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36.xml" ContentType="application/vnd.openxmlformats-officedocument.wordprocessingml.footer+xml"/>
  <Override PartName="/word/footer10.xml" ContentType="application/vnd.openxmlformats-officedocument.wordprocessingml.footer+xml"/>
  <Override PartName="/word/footer9.xml" ContentType="application/vnd.openxmlformats-officedocument.wordprocessingml.footer+xml"/>
  <Override PartName="/word/footer8.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20.xml" ContentType="application/vnd.openxmlformats-officedocument.wordprocessingml.footer+xml"/>
  <Override PartName="/word/footer19.xml" ContentType="application/vnd.openxmlformats-officedocument.wordprocessingml.footer+xml"/>
  <Override PartName="/word/footer18.xml" ContentType="application/vnd.openxmlformats-officedocument.wordprocessingml.footer+xml"/>
  <Override PartName="/word/footer17.xml" ContentType="application/vnd.openxmlformats-officedocument.wordprocessingml.footer+xml"/>
  <Override PartName="/word/footer16.xml" ContentType="application/vnd.openxmlformats-officedocument.wordprocessingml.footer+xml"/>
  <Override PartName="/word/footer15.xml" ContentType="application/vnd.openxmlformats-officedocument.wordprocessingml.footer+xml"/>
  <Override PartName="/word/footer14.xml" ContentType="application/vnd.openxmlformats-officedocument.wordprocessingml.footer+xml"/>
  <Override PartName="/word/footer26.xml" ContentType="application/vnd.openxmlformats-officedocument.wordprocessingml.footer+xml"/>
  <Override PartName="/word/footer7.xml" ContentType="application/vnd.openxmlformats-officedocument.wordprocessingml.footer+xml"/>
  <Override PartName="/word/footer27.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footer28.xml" ContentType="application/vnd.openxmlformats-officedocument.wordprocessingml.footer+xml"/>
  <Override PartName="/word/footer5.xml" ContentType="application/vnd.openxmlformats-officedocument.wordprocessingml.footer+xml"/>
  <Override PartName="/word/footer29.xml" ContentType="application/vnd.openxmlformats-officedocument.wordprocessingml.footer+xml"/>
  <Override PartName="/word/footer30.xml" ContentType="application/vnd.openxmlformats-officedocument.wordprocessingml.footer+xml"/>
  <Override PartName="/word/footer4.xml" ContentType="application/vnd.openxmlformats-officedocument.wordprocessingml.footer+xml"/>
  <Override PartName="/word/footer3.xml" ContentType="application/vnd.openxmlformats-officedocument.wordprocessingml.footer+xml"/>
  <Override PartName="/word/footer21.xml" ContentType="application/vnd.openxmlformats-officedocument.wordprocessingml.footer+xml"/>
  <Override PartName="/word/theme/theme1.xml" ContentType="application/vnd.openxmlformats-officedocument.theme+xml"/>
  <Override PartName="/word/glossary/settings.xml" ContentType="application/vnd.openxmlformats-officedocument.wordprocessingml.settings+xml"/>
  <Override PartName="/word/settings.xml" ContentType="application/vnd.openxmlformats-officedocument.wordprocessingml.settings+xml"/>
  <Override PartName="/word/glossary/document.xml" ContentType="application/vnd.openxmlformats-officedocument.wordprocessingml.document.glossary+xml"/>
  <Override PartName="/word/webSettings.xml" ContentType="application/vnd.openxmlformats-officedocument.wordprocessingml.webSettings+xml"/>
  <Override PartName="/docProps/app.xml" ContentType="application/vnd.openxmlformats-officedocument.extended-properties+xml"/>
  <Override PartName="/word/styles.xml" ContentType="application/vnd.openxmlformats-officedocument.wordprocessingml.styles+xml"/>
  <Override PartName="/docProps/custom.xml" ContentType="application/vnd.openxmlformats-officedocument.custom-properties+xml"/>
  <Override PartName="/word/numbering.xml" ContentType="application/vnd.openxmlformats-officedocument.wordprocessingml.numbering+xml"/>
  <Override PartName="/word/glossary/fontTable.xml" ContentType="application/vnd.openxmlformats-officedocument.wordprocessingml.fontTable+xml"/>
  <Override PartName="/word/glossary/webSettings.xml" ContentType="application/vnd.openxmlformats-officedocument.wordprocessingml.webSettings+xml"/>
  <Override PartName="/word/glossary/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259F2" w:rsidRDefault="00DE6B1C">
      <w:pPr>
        <w:pStyle w:val="Ttulo"/>
        <w:tabs>
          <w:tab w:val="left" w:pos="5071"/>
        </w:tabs>
        <w:spacing w:line="199" w:lineRule="auto"/>
      </w:pPr>
      <w:r w:rsidRPr="00DE6B1C">
        <w:pict>
          <v:group id="docshapegroup1" o:spid="_x0000_s1212" style="position:absolute;left:0;text-align:left;margin-left:0;margin-top:53.2pt;width:595.5pt;height:789.05pt;z-index:-19479552;mso-position-horizontal-relative:page;mso-position-vertical-relative:page" coordsize="11910,1684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2" o:spid="_x0000_s1217" type="#_x0000_t75" style="position:absolute;width:11910;height:16845">
              <v:imagedata r:id="rId7" o:title=""/>
            </v:shape>
            <v:shape id="docshape3" o:spid="_x0000_s1216" type="#_x0000_t75" style="position:absolute;left:247;top:15326;width:1126;height:1276">
              <v:imagedata r:id="rId8" o:title=""/>
            </v:shape>
            <v:shape id="docshape4" o:spid="_x0000_s1215" type="#_x0000_t75" style="position:absolute;left:1536;top:9806;width:10279;height:7038">
              <v:imagedata r:id="rId9" o:title=""/>
            </v:shape>
            <v:shape id="docshape5" o:spid="_x0000_s1214" type="#_x0000_t75" style="position:absolute;left:1863;top:6360;width:2702;height:2702">
              <v:imagedata r:id="rId10" o:title=""/>
            </v:shape>
            <v:shape id="docshape6" o:spid="_x0000_s1213" type="#_x0000_t75" style="position:absolute;left:1828;top:6773;width:2777;height:2071">
              <v:imagedata r:id="rId11" o:title=""/>
            </v:shape>
            <w10:wrap anchorx="page" anchory="page"/>
          </v:group>
        </w:pict>
      </w:r>
      <w:r w:rsidR="00E655B4">
        <w:rPr>
          <w:rFonts w:ascii="Arial MT" w:hAnsi="Arial MT"/>
          <w:spacing w:val="-6"/>
          <w:w w:val="95"/>
          <w:position w:val="-3"/>
          <w:sz w:val="103"/>
        </w:rPr>
        <w:t>13</w:t>
      </w:r>
      <w:r w:rsidR="00E655B4">
        <w:rPr>
          <w:rFonts w:ascii="Arial MT" w:hAnsi="Arial MT"/>
          <w:position w:val="-3"/>
          <w:sz w:val="103"/>
        </w:rPr>
        <w:tab/>
      </w:r>
      <w:r w:rsidR="00E655B4">
        <w:rPr>
          <w:rFonts w:ascii="Arial MT" w:hAnsi="Arial MT"/>
          <w:position w:val="-3"/>
          <w:sz w:val="103"/>
        </w:rPr>
        <w:tab/>
      </w:r>
      <w:r w:rsidR="00E655B4">
        <w:rPr>
          <w:spacing w:val="-2"/>
          <w:w w:val="85"/>
        </w:rPr>
        <w:t>REVISTA JURÍDICA</w:t>
      </w:r>
    </w:p>
    <w:p w:rsidR="007259F2" w:rsidRDefault="00E655B4">
      <w:pPr>
        <w:spacing w:line="782" w:lineRule="exact"/>
        <w:ind w:right="50"/>
        <w:jc w:val="right"/>
        <w:rPr>
          <w:rFonts w:ascii="Lucida Sans Unicode"/>
          <w:sz w:val="62"/>
        </w:rPr>
      </w:pPr>
      <w:r>
        <w:rPr>
          <w:rFonts w:ascii="Lucida Sans Unicode"/>
          <w:spacing w:val="-31"/>
          <w:sz w:val="62"/>
        </w:rPr>
        <w:t>DA</w:t>
      </w:r>
      <w:r>
        <w:rPr>
          <w:rFonts w:ascii="Lucida Sans Unicode"/>
          <w:spacing w:val="-33"/>
          <w:sz w:val="62"/>
        </w:rPr>
        <w:t xml:space="preserve"> </w:t>
      </w:r>
      <w:r>
        <w:rPr>
          <w:rFonts w:ascii="Lucida Sans Unicode"/>
          <w:spacing w:val="-2"/>
          <w:sz w:val="62"/>
        </w:rPr>
        <w:t>PROCURADORIA</w:t>
      </w:r>
    </w:p>
    <w:p w:rsidR="007259F2" w:rsidRDefault="00E655B4">
      <w:pPr>
        <w:spacing w:line="833" w:lineRule="exact"/>
        <w:ind w:right="50"/>
        <w:jc w:val="right"/>
        <w:rPr>
          <w:rFonts w:ascii="Lucida Sans Unicode" w:hAnsi="Lucida Sans Unicode"/>
          <w:sz w:val="62"/>
        </w:rPr>
      </w:pPr>
      <w:r>
        <w:rPr>
          <w:rFonts w:ascii="Lucida Sans Unicode" w:hAnsi="Lucida Sans Unicode"/>
          <w:spacing w:val="-12"/>
          <w:sz w:val="62"/>
        </w:rPr>
        <w:t>GERAL</w:t>
      </w:r>
      <w:r>
        <w:rPr>
          <w:rFonts w:ascii="Lucida Sans Unicode" w:hAnsi="Lucida Sans Unicode"/>
          <w:spacing w:val="-33"/>
          <w:sz w:val="62"/>
        </w:rPr>
        <w:t xml:space="preserve"> </w:t>
      </w:r>
      <w:r>
        <w:rPr>
          <w:rFonts w:ascii="Lucida Sans Unicode" w:hAnsi="Lucida Sans Unicode"/>
          <w:spacing w:val="-12"/>
          <w:sz w:val="62"/>
        </w:rPr>
        <w:t>DO</w:t>
      </w:r>
      <w:r>
        <w:rPr>
          <w:rFonts w:ascii="Lucida Sans Unicode" w:hAnsi="Lucida Sans Unicode"/>
          <w:spacing w:val="-33"/>
          <w:sz w:val="62"/>
        </w:rPr>
        <w:t xml:space="preserve"> </w:t>
      </w:r>
      <w:r>
        <w:rPr>
          <w:rFonts w:ascii="Lucida Sans Unicode" w:hAnsi="Lucida Sans Unicode"/>
          <w:spacing w:val="-12"/>
          <w:sz w:val="62"/>
        </w:rPr>
        <w:t>MUNICÍPIO</w:t>
      </w:r>
    </w:p>
    <w:p w:rsidR="007259F2" w:rsidRDefault="00E655B4">
      <w:pPr>
        <w:spacing w:line="893" w:lineRule="exact"/>
        <w:ind w:right="50"/>
        <w:jc w:val="right"/>
        <w:rPr>
          <w:rFonts w:ascii="Lucida Sans Unicode" w:hAnsi="Lucida Sans Unicode"/>
          <w:sz w:val="62"/>
        </w:rPr>
      </w:pPr>
      <w:r>
        <w:rPr>
          <w:rFonts w:ascii="Lucida Sans Unicode" w:hAnsi="Lucida Sans Unicode"/>
          <w:spacing w:val="-8"/>
          <w:sz w:val="62"/>
        </w:rPr>
        <w:t>DE</w:t>
      </w:r>
      <w:r>
        <w:rPr>
          <w:rFonts w:ascii="Lucida Sans Unicode" w:hAnsi="Lucida Sans Unicode"/>
          <w:spacing w:val="-41"/>
          <w:sz w:val="62"/>
        </w:rPr>
        <w:t xml:space="preserve"> </w:t>
      </w:r>
      <w:r>
        <w:rPr>
          <w:rFonts w:ascii="Lucida Sans Unicode" w:hAnsi="Lucida Sans Unicode"/>
          <w:spacing w:val="-8"/>
          <w:sz w:val="62"/>
        </w:rPr>
        <w:t>SÃO</w:t>
      </w:r>
      <w:r>
        <w:rPr>
          <w:rFonts w:ascii="Lucida Sans Unicode" w:hAnsi="Lucida Sans Unicode"/>
          <w:spacing w:val="-42"/>
          <w:sz w:val="62"/>
        </w:rPr>
        <w:t xml:space="preserve"> </w:t>
      </w:r>
      <w:r>
        <w:rPr>
          <w:rFonts w:ascii="Lucida Sans Unicode" w:hAnsi="Lucida Sans Unicode"/>
          <w:spacing w:val="-8"/>
          <w:sz w:val="62"/>
        </w:rPr>
        <w:t>PAULO</w:t>
      </w:r>
    </w:p>
    <w:p w:rsidR="007259F2" w:rsidRDefault="00E655B4">
      <w:pPr>
        <w:spacing w:before="554"/>
        <w:ind w:right="594"/>
        <w:jc w:val="right"/>
        <w:rPr>
          <w:rFonts w:ascii="Trebuchet MS"/>
          <w:i/>
          <w:sz w:val="46"/>
        </w:rPr>
      </w:pPr>
      <w:r>
        <w:rPr>
          <w:rFonts w:ascii="Trebuchet MS"/>
          <w:i/>
          <w:spacing w:val="-15"/>
          <w:sz w:val="46"/>
        </w:rPr>
        <w:t>Junho</w:t>
      </w:r>
      <w:r>
        <w:rPr>
          <w:rFonts w:ascii="Trebuchet MS"/>
          <w:i/>
          <w:spacing w:val="-18"/>
          <w:sz w:val="46"/>
        </w:rPr>
        <w:t xml:space="preserve"> </w:t>
      </w:r>
      <w:r>
        <w:rPr>
          <w:rFonts w:ascii="Trebuchet MS"/>
          <w:i/>
          <w:spacing w:val="-4"/>
          <w:sz w:val="46"/>
        </w:rPr>
        <w:t>2025</w:t>
      </w:r>
    </w:p>
    <w:p w:rsidR="007259F2" w:rsidRDefault="007259F2">
      <w:pPr>
        <w:jc w:val="right"/>
        <w:rPr>
          <w:rFonts w:ascii="Trebuchet MS"/>
          <w:i/>
          <w:sz w:val="46"/>
        </w:rPr>
        <w:sectPr w:rsidR="007259F2">
          <w:headerReference w:type="default" r:id="rId12"/>
          <w:type w:val="continuous"/>
          <w:pgSz w:w="11910" w:h="16850"/>
          <w:pgMar w:top="1180" w:right="1700" w:bottom="280" w:left="141" w:header="720" w:footer="720" w:gutter="0"/>
          <w:cols w:space="720"/>
        </w:sectPr>
      </w:pPr>
    </w:p>
    <w:p w:rsidR="007259F2" w:rsidRDefault="007259F2">
      <w:pPr>
        <w:pStyle w:val="Corpodetexto"/>
        <w:ind w:left="0" w:firstLine="0"/>
        <w:jc w:val="left"/>
        <w:rPr>
          <w:rFonts w:ascii="Trebuchet MS"/>
          <w:i/>
          <w:sz w:val="28"/>
        </w:rPr>
      </w:pPr>
    </w:p>
    <w:p w:rsidR="007259F2" w:rsidRDefault="007259F2">
      <w:pPr>
        <w:pStyle w:val="Corpodetexto"/>
        <w:ind w:left="0" w:firstLine="0"/>
        <w:jc w:val="left"/>
        <w:rPr>
          <w:rFonts w:ascii="Trebuchet MS"/>
          <w:i/>
          <w:sz w:val="28"/>
        </w:rPr>
      </w:pPr>
    </w:p>
    <w:p w:rsidR="007259F2" w:rsidRDefault="007259F2">
      <w:pPr>
        <w:pStyle w:val="Corpodetexto"/>
        <w:ind w:left="0" w:firstLine="0"/>
        <w:jc w:val="left"/>
        <w:rPr>
          <w:rFonts w:ascii="Trebuchet MS"/>
          <w:i/>
          <w:sz w:val="28"/>
        </w:rPr>
      </w:pPr>
    </w:p>
    <w:p w:rsidR="007259F2" w:rsidRDefault="007259F2">
      <w:pPr>
        <w:pStyle w:val="Corpodetexto"/>
        <w:ind w:left="0" w:firstLine="0"/>
        <w:jc w:val="left"/>
        <w:rPr>
          <w:rFonts w:ascii="Trebuchet MS"/>
          <w:i/>
          <w:sz w:val="28"/>
        </w:rPr>
      </w:pPr>
    </w:p>
    <w:p w:rsidR="007259F2" w:rsidRDefault="007259F2">
      <w:pPr>
        <w:pStyle w:val="Corpodetexto"/>
        <w:spacing w:before="72"/>
        <w:ind w:left="0" w:firstLine="0"/>
        <w:jc w:val="left"/>
        <w:rPr>
          <w:rFonts w:ascii="Trebuchet MS"/>
          <w:i/>
          <w:sz w:val="28"/>
        </w:rPr>
      </w:pPr>
    </w:p>
    <w:p w:rsidR="007259F2" w:rsidRDefault="00E655B4">
      <w:pPr>
        <w:ind w:left="3089" w:right="3376" w:firstLine="4"/>
        <w:jc w:val="center"/>
        <w:rPr>
          <w:b/>
          <w:sz w:val="28"/>
        </w:rPr>
      </w:pPr>
      <w:r>
        <w:rPr>
          <w:b/>
          <w:sz w:val="28"/>
        </w:rPr>
        <w:t>REVISTA JURÍDICA DA PROCURADORIA DO MUNICÍPIO</w:t>
      </w:r>
      <w:r>
        <w:rPr>
          <w:b/>
          <w:spacing w:val="-13"/>
          <w:sz w:val="28"/>
        </w:rPr>
        <w:t xml:space="preserve"> </w:t>
      </w:r>
      <w:r>
        <w:rPr>
          <w:b/>
          <w:sz w:val="28"/>
        </w:rPr>
        <w:t>DE</w:t>
      </w:r>
      <w:r>
        <w:rPr>
          <w:b/>
          <w:spacing w:val="-13"/>
          <w:sz w:val="28"/>
        </w:rPr>
        <w:t xml:space="preserve"> </w:t>
      </w:r>
      <w:r>
        <w:rPr>
          <w:b/>
          <w:sz w:val="28"/>
        </w:rPr>
        <w:t>SÃO</w:t>
      </w:r>
      <w:r>
        <w:rPr>
          <w:b/>
          <w:spacing w:val="-13"/>
          <w:sz w:val="28"/>
        </w:rPr>
        <w:t xml:space="preserve"> </w:t>
      </w:r>
      <w:r>
        <w:rPr>
          <w:b/>
          <w:sz w:val="28"/>
        </w:rPr>
        <w:t>PAULO</w:t>
      </w:r>
    </w:p>
    <w:p w:rsidR="007259F2" w:rsidRDefault="007259F2">
      <w:pPr>
        <w:pStyle w:val="Corpodetexto"/>
        <w:ind w:left="0" w:firstLine="0"/>
        <w:jc w:val="left"/>
        <w:rPr>
          <w:b/>
          <w:sz w:val="28"/>
        </w:rPr>
      </w:pPr>
    </w:p>
    <w:p w:rsidR="007259F2" w:rsidRDefault="007259F2">
      <w:pPr>
        <w:pStyle w:val="Corpodetexto"/>
        <w:ind w:left="0" w:firstLine="0"/>
        <w:jc w:val="left"/>
        <w:rPr>
          <w:b/>
          <w:sz w:val="28"/>
        </w:rPr>
      </w:pPr>
    </w:p>
    <w:p w:rsidR="007259F2" w:rsidRDefault="007259F2">
      <w:pPr>
        <w:pStyle w:val="Corpodetexto"/>
        <w:spacing w:before="295"/>
        <w:ind w:left="0" w:firstLine="0"/>
        <w:jc w:val="left"/>
        <w:rPr>
          <w:b/>
          <w:sz w:val="28"/>
        </w:rPr>
      </w:pPr>
    </w:p>
    <w:p w:rsidR="007259F2" w:rsidRDefault="00E655B4">
      <w:pPr>
        <w:pStyle w:val="Corpodetexto"/>
        <w:ind w:left="3038" w:right="3324" w:firstLine="0"/>
        <w:jc w:val="center"/>
      </w:pPr>
      <w:r>
        <w:t>PREFEITURA</w:t>
      </w:r>
      <w:r>
        <w:rPr>
          <w:spacing w:val="-13"/>
        </w:rPr>
        <w:t xml:space="preserve"> </w:t>
      </w:r>
      <w:r>
        <w:t>DO</w:t>
      </w:r>
      <w:r>
        <w:rPr>
          <w:spacing w:val="-13"/>
        </w:rPr>
        <w:t xml:space="preserve"> </w:t>
      </w:r>
      <w:r>
        <w:t>MUNICÍPIO</w:t>
      </w:r>
      <w:r>
        <w:rPr>
          <w:spacing w:val="-12"/>
        </w:rPr>
        <w:t xml:space="preserve"> </w:t>
      </w:r>
      <w:r>
        <w:t>DE SÃO PAULO</w:t>
      </w:r>
    </w:p>
    <w:p w:rsidR="007259F2" w:rsidRDefault="00E655B4">
      <w:pPr>
        <w:pStyle w:val="Corpodetexto"/>
        <w:ind w:left="3038" w:right="3325" w:firstLine="0"/>
        <w:jc w:val="center"/>
      </w:pPr>
      <w:r>
        <w:t>Procuradoria</w:t>
      </w:r>
      <w:r>
        <w:rPr>
          <w:spacing w:val="-2"/>
        </w:rPr>
        <w:t xml:space="preserve"> </w:t>
      </w:r>
      <w:r>
        <w:t>Geral</w:t>
      </w:r>
      <w:r>
        <w:rPr>
          <w:spacing w:val="-2"/>
        </w:rPr>
        <w:t xml:space="preserve"> </w:t>
      </w:r>
      <w:r>
        <w:t>do</w:t>
      </w:r>
      <w:r>
        <w:rPr>
          <w:spacing w:val="-2"/>
        </w:rPr>
        <w:t xml:space="preserve"> Município</w:t>
      </w:r>
    </w:p>
    <w:p w:rsidR="007259F2" w:rsidRDefault="007259F2">
      <w:pPr>
        <w:pStyle w:val="Corpodetexto"/>
        <w:ind w:left="0" w:firstLine="0"/>
        <w:jc w:val="left"/>
      </w:pPr>
    </w:p>
    <w:p w:rsidR="007259F2" w:rsidRDefault="007259F2">
      <w:pPr>
        <w:pStyle w:val="Corpodetexto"/>
        <w:ind w:left="0" w:firstLine="0"/>
        <w:jc w:val="left"/>
      </w:pPr>
    </w:p>
    <w:p w:rsidR="007259F2" w:rsidRDefault="007259F2">
      <w:pPr>
        <w:pStyle w:val="Corpodetexto"/>
        <w:ind w:left="0" w:firstLine="0"/>
        <w:jc w:val="left"/>
      </w:pPr>
    </w:p>
    <w:p w:rsidR="007259F2" w:rsidRDefault="007259F2">
      <w:pPr>
        <w:pStyle w:val="Corpodetexto"/>
        <w:spacing w:before="161"/>
        <w:ind w:left="0" w:firstLine="0"/>
        <w:jc w:val="left"/>
      </w:pPr>
    </w:p>
    <w:p w:rsidR="007259F2" w:rsidRDefault="00E655B4">
      <w:pPr>
        <w:pStyle w:val="Corpodetexto"/>
        <w:spacing w:before="1"/>
        <w:ind w:left="3039" w:right="3322" w:firstLine="0"/>
        <w:jc w:val="center"/>
      </w:pPr>
      <w:r>
        <w:t>PREFEITO</w:t>
      </w:r>
      <w:r>
        <w:rPr>
          <w:spacing w:val="-9"/>
        </w:rPr>
        <w:t xml:space="preserve"> </w:t>
      </w:r>
      <w:r>
        <w:t>DO</w:t>
      </w:r>
      <w:r>
        <w:rPr>
          <w:spacing w:val="-9"/>
        </w:rPr>
        <w:t xml:space="preserve"> </w:t>
      </w:r>
      <w:r>
        <w:t>MUNICÍPIO</w:t>
      </w:r>
      <w:r>
        <w:rPr>
          <w:spacing w:val="-9"/>
        </w:rPr>
        <w:t xml:space="preserve"> </w:t>
      </w:r>
      <w:r>
        <w:t>DE</w:t>
      </w:r>
      <w:r>
        <w:rPr>
          <w:spacing w:val="-9"/>
        </w:rPr>
        <w:t xml:space="preserve"> </w:t>
      </w:r>
      <w:r>
        <w:t xml:space="preserve">SÃO </w:t>
      </w:r>
      <w:r>
        <w:rPr>
          <w:spacing w:val="-2"/>
        </w:rPr>
        <w:t>PAULO</w:t>
      </w:r>
    </w:p>
    <w:p w:rsidR="007259F2" w:rsidRDefault="00E655B4">
      <w:pPr>
        <w:pStyle w:val="Corpodetexto"/>
        <w:ind w:left="3038" w:right="3326" w:firstLine="0"/>
        <w:jc w:val="center"/>
      </w:pPr>
      <w:r>
        <w:t>Ricardo</w:t>
      </w:r>
      <w:r>
        <w:rPr>
          <w:spacing w:val="-5"/>
        </w:rPr>
        <w:t xml:space="preserve"> </w:t>
      </w:r>
      <w:r>
        <w:rPr>
          <w:spacing w:val="-4"/>
        </w:rPr>
        <w:t>Nunes</w:t>
      </w:r>
    </w:p>
    <w:p w:rsidR="007259F2" w:rsidRDefault="007259F2">
      <w:pPr>
        <w:pStyle w:val="Corpodetexto"/>
        <w:ind w:left="0" w:firstLine="0"/>
        <w:jc w:val="left"/>
      </w:pPr>
    </w:p>
    <w:p w:rsidR="007259F2" w:rsidRDefault="007259F2">
      <w:pPr>
        <w:pStyle w:val="Corpodetexto"/>
        <w:ind w:left="0" w:firstLine="0"/>
        <w:jc w:val="left"/>
      </w:pPr>
    </w:p>
    <w:p w:rsidR="007259F2" w:rsidRDefault="007259F2">
      <w:pPr>
        <w:pStyle w:val="Corpodetexto"/>
        <w:ind w:left="0" w:firstLine="0"/>
        <w:jc w:val="left"/>
      </w:pPr>
    </w:p>
    <w:p w:rsidR="007259F2" w:rsidRDefault="007259F2">
      <w:pPr>
        <w:pStyle w:val="Corpodetexto"/>
        <w:spacing w:before="160"/>
        <w:ind w:left="0" w:firstLine="0"/>
        <w:jc w:val="left"/>
      </w:pPr>
    </w:p>
    <w:p w:rsidR="007259F2" w:rsidRDefault="00E655B4">
      <w:pPr>
        <w:pStyle w:val="Corpodetexto"/>
        <w:spacing w:before="1"/>
        <w:ind w:left="3038" w:right="3322" w:firstLine="0"/>
        <w:jc w:val="center"/>
      </w:pPr>
      <w:r>
        <w:t>PROCURADORA</w:t>
      </w:r>
      <w:r>
        <w:rPr>
          <w:spacing w:val="-15"/>
        </w:rPr>
        <w:t xml:space="preserve"> </w:t>
      </w:r>
      <w:r>
        <w:t>GERAL</w:t>
      </w:r>
      <w:r>
        <w:rPr>
          <w:spacing w:val="-15"/>
        </w:rPr>
        <w:t xml:space="preserve"> </w:t>
      </w:r>
      <w:r>
        <w:t xml:space="preserve">DO </w:t>
      </w:r>
      <w:r>
        <w:rPr>
          <w:spacing w:val="-2"/>
        </w:rPr>
        <w:t>MUNICÍPIO</w:t>
      </w:r>
    </w:p>
    <w:p w:rsidR="007259F2" w:rsidRDefault="00E655B4">
      <w:pPr>
        <w:pStyle w:val="Corpodetexto"/>
        <w:ind w:left="3038" w:right="3324" w:firstLine="0"/>
        <w:jc w:val="center"/>
      </w:pPr>
      <w:r>
        <w:t>Luciana</w:t>
      </w:r>
      <w:r>
        <w:rPr>
          <w:spacing w:val="-4"/>
        </w:rPr>
        <w:t xml:space="preserve"> </w:t>
      </w:r>
      <w:r>
        <w:t>Sant'Ana</w:t>
      </w:r>
      <w:r>
        <w:rPr>
          <w:spacing w:val="-2"/>
        </w:rPr>
        <w:t xml:space="preserve"> </w:t>
      </w:r>
      <w:r>
        <w:rPr>
          <w:spacing w:val="-4"/>
        </w:rPr>
        <w:t>Nardi</w:t>
      </w:r>
    </w:p>
    <w:p w:rsidR="007259F2" w:rsidRDefault="007259F2">
      <w:pPr>
        <w:pStyle w:val="Corpodetexto"/>
        <w:ind w:left="0" w:firstLine="0"/>
        <w:jc w:val="left"/>
      </w:pPr>
    </w:p>
    <w:p w:rsidR="007259F2" w:rsidRDefault="007259F2">
      <w:pPr>
        <w:pStyle w:val="Corpodetexto"/>
        <w:ind w:left="0" w:firstLine="0"/>
        <w:jc w:val="left"/>
      </w:pPr>
    </w:p>
    <w:p w:rsidR="007259F2" w:rsidRDefault="007259F2">
      <w:pPr>
        <w:pStyle w:val="Corpodetexto"/>
        <w:ind w:left="0" w:firstLine="0"/>
        <w:jc w:val="left"/>
      </w:pPr>
    </w:p>
    <w:p w:rsidR="007259F2" w:rsidRDefault="007259F2">
      <w:pPr>
        <w:pStyle w:val="Corpodetexto"/>
        <w:spacing w:before="161"/>
        <w:ind w:left="0" w:firstLine="0"/>
        <w:jc w:val="left"/>
      </w:pPr>
    </w:p>
    <w:p w:rsidR="007259F2" w:rsidRDefault="00E655B4">
      <w:pPr>
        <w:pStyle w:val="Corpodetexto"/>
        <w:ind w:left="3038" w:right="3322" w:firstLine="0"/>
        <w:jc w:val="center"/>
      </w:pPr>
      <w:r>
        <w:t>DIRETOR</w:t>
      </w:r>
      <w:r>
        <w:rPr>
          <w:spacing w:val="-12"/>
        </w:rPr>
        <w:t xml:space="preserve"> </w:t>
      </w:r>
      <w:r>
        <w:t>DO</w:t>
      </w:r>
      <w:r>
        <w:rPr>
          <w:spacing w:val="-13"/>
        </w:rPr>
        <w:t xml:space="preserve"> </w:t>
      </w:r>
      <w:r>
        <w:t>CENTRO</w:t>
      </w:r>
      <w:r>
        <w:rPr>
          <w:spacing w:val="-12"/>
        </w:rPr>
        <w:t xml:space="preserve"> </w:t>
      </w:r>
      <w:r>
        <w:t>DE ESTUDOS JURÍDICOS</w:t>
      </w:r>
    </w:p>
    <w:p w:rsidR="007259F2" w:rsidRDefault="00E655B4">
      <w:pPr>
        <w:pStyle w:val="Corpodetexto"/>
        <w:ind w:left="3038" w:right="3322" w:firstLine="0"/>
        <w:jc w:val="center"/>
      </w:pPr>
      <w:r>
        <w:t>Roberto</w:t>
      </w:r>
      <w:r>
        <w:rPr>
          <w:spacing w:val="-3"/>
        </w:rPr>
        <w:t xml:space="preserve"> </w:t>
      </w:r>
      <w:r>
        <w:t>Angotti</w:t>
      </w:r>
      <w:r>
        <w:rPr>
          <w:spacing w:val="-2"/>
        </w:rPr>
        <w:t xml:space="preserve"> Júnior</w:t>
      </w:r>
    </w:p>
    <w:p w:rsidR="007259F2" w:rsidRDefault="007259F2">
      <w:pPr>
        <w:pStyle w:val="Corpodetexto"/>
        <w:jc w:val="center"/>
        <w:sectPr w:rsidR="007259F2">
          <w:pgSz w:w="11910" w:h="16840"/>
          <w:pgMar w:top="1920" w:right="708" w:bottom="280" w:left="992" w:header="720" w:footer="720" w:gutter="0"/>
          <w:cols w:space="720"/>
        </w:sectPr>
      </w:pPr>
    </w:p>
    <w:p w:rsidR="007259F2" w:rsidRDefault="00E655B4">
      <w:pPr>
        <w:pStyle w:val="Corpodetexto"/>
        <w:spacing w:before="75"/>
        <w:ind w:left="2409" w:firstLine="0"/>
        <w:jc w:val="left"/>
      </w:pPr>
      <w:r>
        <w:lastRenderedPageBreak/>
        <w:t>AUTOR</w:t>
      </w:r>
      <w:r>
        <w:rPr>
          <w:spacing w:val="-1"/>
        </w:rPr>
        <w:t xml:space="preserve"> </w:t>
      </w:r>
      <w:r>
        <w:rPr>
          <w:spacing w:val="-2"/>
        </w:rPr>
        <w:t>CORPORATIVO</w:t>
      </w:r>
    </w:p>
    <w:p w:rsidR="007259F2" w:rsidRDefault="007259F2">
      <w:pPr>
        <w:pStyle w:val="Corpodetexto"/>
        <w:spacing w:before="120"/>
        <w:ind w:left="0" w:firstLine="0"/>
        <w:jc w:val="left"/>
      </w:pPr>
    </w:p>
    <w:p w:rsidR="007259F2" w:rsidRDefault="00E655B4">
      <w:pPr>
        <w:pStyle w:val="Corpodetexto"/>
        <w:ind w:left="2409" w:firstLine="0"/>
        <w:jc w:val="left"/>
      </w:pPr>
      <w:r>
        <w:t>CENTRO</w:t>
      </w:r>
      <w:r>
        <w:rPr>
          <w:spacing w:val="-3"/>
        </w:rPr>
        <w:t xml:space="preserve"> </w:t>
      </w:r>
      <w:r>
        <w:t>DE</w:t>
      </w:r>
      <w:r>
        <w:rPr>
          <w:spacing w:val="-3"/>
        </w:rPr>
        <w:t xml:space="preserve"> </w:t>
      </w:r>
      <w:r>
        <w:t>ESTUDOS</w:t>
      </w:r>
      <w:r>
        <w:rPr>
          <w:spacing w:val="-3"/>
        </w:rPr>
        <w:t xml:space="preserve"> </w:t>
      </w:r>
      <w:r>
        <w:t>JURÍDICOS</w:t>
      </w:r>
      <w:r>
        <w:rPr>
          <w:spacing w:val="-1"/>
        </w:rPr>
        <w:t xml:space="preserve"> </w:t>
      </w:r>
      <w:r>
        <w:t>Lúcia</w:t>
      </w:r>
      <w:r>
        <w:rPr>
          <w:spacing w:val="-1"/>
        </w:rPr>
        <w:t xml:space="preserve"> </w:t>
      </w:r>
      <w:r>
        <w:rPr>
          <w:spacing w:val="-4"/>
        </w:rPr>
        <w:t>Maria</w:t>
      </w:r>
    </w:p>
    <w:p w:rsidR="007259F2" w:rsidRDefault="00E655B4">
      <w:pPr>
        <w:pStyle w:val="Corpodetexto"/>
        <w:spacing w:line="292" w:lineRule="auto"/>
        <w:ind w:left="2409" w:right="3786" w:firstLine="0"/>
        <w:jc w:val="left"/>
      </w:pPr>
      <w:r>
        <w:t>Moraes</w:t>
      </w:r>
      <w:r>
        <w:rPr>
          <w:spacing w:val="-6"/>
        </w:rPr>
        <w:t xml:space="preserve"> </w:t>
      </w:r>
      <w:r>
        <w:t>Ribeiro</w:t>
      </w:r>
      <w:r>
        <w:rPr>
          <w:spacing w:val="-7"/>
        </w:rPr>
        <w:t xml:space="preserve"> </w:t>
      </w:r>
      <w:r>
        <w:t>de</w:t>
      </w:r>
      <w:r>
        <w:rPr>
          <w:spacing w:val="-7"/>
        </w:rPr>
        <w:t xml:space="preserve"> </w:t>
      </w:r>
      <w:r>
        <w:t>Mendonça</w:t>
      </w:r>
      <w:r>
        <w:rPr>
          <w:spacing w:val="-6"/>
        </w:rPr>
        <w:t xml:space="preserve"> </w:t>
      </w:r>
      <w:r>
        <w:t>-</w:t>
      </w:r>
      <w:r>
        <w:rPr>
          <w:spacing w:val="-7"/>
        </w:rPr>
        <w:t xml:space="preserve"> </w:t>
      </w:r>
      <w:r>
        <w:t>CEJUR Pátio do Colégio, nº 5</w:t>
      </w:r>
    </w:p>
    <w:p w:rsidR="007259F2" w:rsidRDefault="00E655B4">
      <w:pPr>
        <w:pStyle w:val="Corpodetexto"/>
        <w:ind w:left="2409" w:right="2958" w:firstLine="0"/>
        <w:jc w:val="left"/>
      </w:pPr>
      <w:r>
        <w:t>01016-040</w:t>
      </w:r>
      <w:r>
        <w:rPr>
          <w:spacing w:val="-5"/>
        </w:rPr>
        <w:t xml:space="preserve"> </w:t>
      </w:r>
      <w:r>
        <w:t>São</w:t>
      </w:r>
      <w:r>
        <w:rPr>
          <w:spacing w:val="-5"/>
        </w:rPr>
        <w:t xml:space="preserve"> </w:t>
      </w:r>
      <w:r>
        <w:t>Paulo</w:t>
      </w:r>
      <w:r>
        <w:rPr>
          <w:spacing w:val="-4"/>
        </w:rPr>
        <w:t xml:space="preserve"> </w:t>
      </w:r>
      <w:r>
        <w:t>-</w:t>
      </w:r>
      <w:r>
        <w:rPr>
          <w:spacing w:val="-6"/>
        </w:rPr>
        <w:t xml:space="preserve"> </w:t>
      </w:r>
      <w:r>
        <w:t>SP</w:t>
      </w:r>
      <w:r>
        <w:rPr>
          <w:spacing w:val="-5"/>
        </w:rPr>
        <w:t xml:space="preserve"> </w:t>
      </w:r>
      <w:r>
        <w:t>-</w:t>
      </w:r>
      <w:r>
        <w:rPr>
          <w:spacing w:val="-6"/>
        </w:rPr>
        <w:t xml:space="preserve"> </w:t>
      </w:r>
      <w:r>
        <w:t>Brasil</w:t>
      </w:r>
      <w:r>
        <w:rPr>
          <w:spacing w:val="-5"/>
        </w:rPr>
        <w:t xml:space="preserve"> </w:t>
      </w:r>
      <w:r>
        <w:t>Telefones:</w:t>
      </w:r>
      <w:r>
        <w:rPr>
          <w:spacing w:val="-5"/>
        </w:rPr>
        <w:t xml:space="preserve"> </w:t>
      </w:r>
      <w:r>
        <w:t>(11) 3116-1655 / 3116-1658</w:t>
      </w:r>
    </w:p>
    <w:p w:rsidR="007259F2" w:rsidRDefault="00E655B4">
      <w:pPr>
        <w:pStyle w:val="Corpodetexto"/>
        <w:spacing w:before="61"/>
        <w:ind w:left="2409" w:firstLine="0"/>
        <w:jc w:val="left"/>
      </w:pPr>
      <w:r>
        <w:t>Periodicidade:</w:t>
      </w:r>
      <w:r>
        <w:rPr>
          <w:spacing w:val="-4"/>
        </w:rPr>
        <w:t xml:space="preserve"> </w:t>
      </w:r>
      <w:r>
        <w:rPr>
          <w:spacing w:val="-2"/>
        </w:rPr>
        <w:t>Bianual</w:t>
      </w:r>
    </w:p>
    <w:p w:rsidR="007259F2" w:rsidRDefault="007259F2">
      <w:pPr>
        <w:pStyle w:val="Corpodetexto"/>
        <w:ind w:left="0" w:firstLine="0"/>
        <w:jc w:val="left"/>
      </w:pPr>
    </w:p>
    <w:p w:rsidR="007259F2" w:rsidRDefault="007259F2">
      <w:pPr>
        <w:pStyle w:val="Corpodetexto"/>
        <w:ind w:left="0" w:firstLine="0"/>
        <w:jc w:val="left"/>
      </w:pPr>
    </w:p>
    <w:p w:rsidR="007259F2" w:rsidRDefault="007259F2">
      <w:pPr>
        <w:pStyle w:val="Corpodetexto"/>
        <w:spacing w:before="157"/>
        <w:ind w:left="0" w:firstLine="0"/>
        <w:jc w:val="left"/>
      </w:pPr>
    </w:p>
    <w:p w:rsidR="007259F2" w:rsidRDefault="00E655B4">
      <w:pPr>
        <w:pStyle w:val="Corpodetexto"/>
        <w:ind w:left="2409" w:firstLine="0"/>
        <w:jc w:val="left"/>
      </w:pPr>
      <w:r>
        <w:t xml:space="preserve">CORPO </w:t>
      </w:r>
      <w:r>
        <w:rPr>
          <w:spacing w:val="-2"/>
        </w:rPr>
        <w:t>EDITORIAL</w:t>
      </w:r>
    </w:p>
    <w:p w:rsidR="007259F2" w:rsidRDefault="00E655B4">
      <w:pPr>
        <w:pStyle w:val="Corpodetexto"/>
        <w:spacing w:before="242" w:line="276" w:lineRule="auto"/>
        <w:ind w:left="2409" w:right="2069" w:firstLine="0"/>
        <w:jc w:val="left"/>
      </w:pPr>
      <w:r>
        <w:t>Procuradores:</w:t>
      </w:r>
      <w:r>
        <w:rPr>
          <w:spacing w:val="-7"/>
        </w:rPr>
        <w:t xml:space="preserve"> </w:t>
      </w:r>
      <w:r>
        <w:t>Roberto</w:t>
      </w:r>
      <w:r>
        <w:rPr>
          <w:spacing w:val="-7"/>
        </w:rPr>
        <w:t xml:space="preserve"> </w:t>
      </w:r>
      <w:r>
        <w:t>Angotti</w:t>
      </w:r>
      <w:r>
        <w:rPr>
          <w:spacing w:val="-7"/>
        </w:rPr>
        <w:t xml:space="preserve"> </w:t>
      </w:r>
      <w:r>
        <w:t>Júnior,</w:t>
      </w:r>
      <w:r>
        <w:rPr>
          <w:spacing w:val="-6"/>
        </w:rPr>
        <w:t xml:space="preserve"> </w:t>
      </w:r>
      <w:r>
        <w:t>Fábio</w:t>
      </w:r>
      <w:r>
        <w:rPr>
          <w:spacing w:val="-7"/>
        </w:rPr>
        <w:t xml:space="preserve"> </w:t>
      </w:r>
      <w:r>
        <w:t>Vicente Vetritti Filho</w:t>
      </w:r>
    </w:p>
    <w:p w:rsidR="007259F2" w:rsidRDefault="00E655B4">
      <w:pPr>
        <w:pStyle w:val="Corpodetexto"/>
        <w:spacing w:before="199" w:line="278" w:lineRule="auto"/>
        <w:ind w:left="2409" w:right="3786" w:firstLine="0"/>
        <w:jc w:val="left"/>
      </w:pPr>
      <w:r>
        <w:t>Bibliotecárias:</w:t>
      </w:r>
      <w:r>
        <w:rPr>
          <w:spacing w:val="-8"/>
        </w:rPr>
        <w:t xml:space="preserve"> </w:t>
      </w:r>
      <w:r>
        <w:t>Beatriz</w:t>
      </w:r>
      <w:r>
        <w:rPr>
          <w:spacing w:val="-9"/>
        </w:rPr>
        <w:t xml:space="preserve"> </w:t>
      </w:r>
      <w:r>
        <w:t>de</w:t>
      </w:r>
      <w:r>
        <w:rPr>
          <w:spacing w:val="-11"/>
        </w:rPr>
        <w:t xml:space="preserve"> </w:t>
      </w:r>
      <w:r>
        <w:t>Oliveira</w:t>
      </w:r>
      <w:r>
        <w:rPr>
          <w:spacing w:val="-11"/>
        </w:rPr>
        <w:t xml:space="preserve"> </w:t>
      </w:r>
      <w:r>
        <w:t>Royer Massonetto, Juliana Subino Teixeira</w:t>
      </w:r>
    </w:p>
    <w:p w:rsidR="007259F2" w:rsidRDefault="00E655B4">
      <w:pPr>
        <w:pStyle w:val="Corpodetexto"/>
        <w:spacing w:before="194"/>
        <w:ind w:left="2409" w:firstLine="0"/>
        <w:jc w:val="left"/>
      </w:pPr>
      <w:r>
        <w:t>Residente</w:t>
      </w:r>
      <w:r>
        <w:rPr>
          <w:spacing w:val="-3"/>
        </w:rPr>
        <w:t xml:space="preserve"> </w:t>
      </w:r>
      <w:r>
        <w:t>jurídica: Luana</w:t>
      </w:r>
      <w:r>
        <w:rPr>
          <w:spacing w:val="-2"/>
        </w:rPr>
        <w:t xml:space="preserve"> </w:t>
      </w:r>
      <w:r>
        <w:t>de</w:t>
      </w:r>
      <w:r>
        <w:rPr>
          <w:spacing w:val="-1"/>
        </w:rPr>
        <w:t xml:space="preserve"> </w:t>
      </w:r>
      <w:r>
        <w:t>Jesus</w:t>
      </w:r>
      <w:r>
        <w:rPr>
          <w:spacing w:val="-1"/>
        </w:rPr>
        <w:t xml:space="preserve"> </w:t>
      </w:r>
      <w:r>
        <w:t>Teles</w:t>
      </w:r>
      <w:r>
        <w:rPr>
          <w:spacing w:val="-1"/>
        </w:rPr>
        <w:t xml:space="preserve"> </w:t>
      </w:r>
      <w:r>
        <w:rPr>
          <w:spacing w:val="-2"/>
        </w:rPr>
        <w:t>Santos</w:t>
      </w:r>
    </w:p>
    <w:p w:rsidR="007259F2" w:rsidRDefault="00E655B4">
      <w:pPr>
        <w:pStyle w:val="Corpodetexto"/>
        <w:spacing w:before="243" w:line="276" w:lineRule="auto"/>
        <w:ind w:left="2409" w:right="2069" w:firstLine="0"/>
        <w:jc w:val="left"/>
      </w:pPr>
      <w:r>
        <w:t>Estagiários:</w:t>
      </w:r>
      <w:r>
        <w:rPr>
          <w:spacing w:val="-6"/>
        </w:rPr>
        <w:t xml:space="preserve"> </w:t>
      </w:r>
      <w:r>
        <w:t>Luana</w:t>
      </w:r>
      <w:r>
        <w:rPr>
          <w:spacing w:val="-7"/>
        </w:rPr>
        <w:t xml:space="preserve"> </w:t>
      </w:r>
      <w:r>
        <w:t>Bertarelli</w:t>
      </w:r>
      <w:r>
        <w:rPr>
          <w:spacing w:val="-7"/>
        </w:rPr>
        <w:t xml:space="preserve"> </w:t>
      </w:r>
      <w:r>
        <w:t>Gimenes</w:t>
      </w:r>
      <w:r>
        <w:rPr>
          <w:spacing w:val="-7"/>
        </w:rPr>
        <w:t xml:space="preserve"> </w:t>
      </w:r>
      <w:r>
        <w:t>Santos,</w:t>
      </w:r>
      <w:r>
        <w:rPr>
          <w:spacing w:val="-7"/>
        </w:rPr>
        <w:t xml:space="preserve"> </w:t>
      </w:r>
      <w:r>
        <w:t>Paulo Henrique Sanchez Zuza</w:t>
      </w:r>
    </w:p>
    <w:p w:rsidR="007259F2" w:rsidRDefault="00E655B4">
      <w:pPr>
        <w:pStyle w:val="Corpodetexto"/>
        <w:spacing w:before="201"/>
        <w:ind w:left="2409" w:firstLine="0"/>
        <w:jc w:val="left"/>
      </w:pPr>
      <w:r>
        <w:t>Capa:</w:t>
      </w:r>
      <w:r>
        <w:rPr>
          <w:spacing w:val="-1"/>
        </w:rPr>
        <w:t xml:space="preserve"> </w:t>
      </w:r>
      <w:r>
        <w:t>Foto</w:t>
      </w:r>
      <w:r>
        <w:rPr>
          <w:spacing w:val="-1"/>
        </w:rPr>
        <w:t xml:space="preserve"> </w:t>
      </w:r>
      <w:r>
        <w:t>Prédio</w:t>
      </w:r>
      <w:r>
        <w:rPr>
          <w:spacing w:val="-1"/>
        </w:rPr>
        <w:t xml:space="preserve"> </w:t>
      </w:r>
      <w:r>
        <w:t>do</w:t>
      </w:r>
      <w:r>
        <w:rPr>
          <w:spacing w:val="-1"/>
        </w:rPr>
        <w:t xml:space="preserve"> </w:t>
      </w:r>
      <w:r>
        <w:rPr>
          <w:spacing w:val="-4"/>
        </w:rPr>
        <w:t>CEJUR</w:t>
      </w:r>
    </w:p>
    <w:p w:rsidR="007259F2" w:rsidRDefault="007259F2">
      <w:pPr>
        <w:pStyle w:val="Corpodetexto"/>
        <w:ind w:left="0" w:firstLine="0"/>
        <w:jc w:val="left"/>
      </w:pPr>
    </w:p>
    <w:p w:rsidR="007259F2" w:rsidRDefault="007259F2">
      <w:pPr>
        <w:pStyle w:val="Corpodetexto"/>
        <w:ind w:left="0" w:firstLine="0"/>
        <w:jc w:val="left"/>
      </w:pPr>
    </w:p>
    <w:p w:rsidR="007259F2" w:rsidRDefault="007259F2">
      <w:pPr>
        <w:pStyle w:val="Corpodetexto"/>
        <w:ind w:left="0" w:firstLine="0"/>
        <w:jc w:val="left"/>
      </w:pPr>
    </w:p>
    <w:p w:rsidR="007259F2" w:rsidRDefault="007259F2">
      <w:pPr>
        <w:pStyle w:val="Corpodetexto"/>
        <w:ind w:left="0" w:firstLine="0"/>
        <w:jc w:val="left"/>
      </w:pPr>
    </w:p>
    <w:p w:rsidR="007259F2" w:rsidRDefault="007259F2">
      <w:pPr>
        <w:pStyle w:val="Corpodetexto"/>
        <w:spacing w:before="168"/>
        <w:ind w:left="0" w:firstLine="0"/>
        <w:jc w:val="left"/>
      </w:pPr>
    </w:p>
    <w:p w:rsidR="007259F2" w:rsidRDefault="00E655B4">
      <w:pPr>
        <w:pStyle w:val="Corpodetexto"/>
        <w:ind w:left="546" w:firstLine="0"/>
        <w:jc w:val="left"/>
      </w:pPr>
      <w:r>
        <w:rPr>
          <w:spacing w:val="-2"/>
        </w:rPr>
        <w:t>Ficha</w:t>
      </w:r>
      <w:r>
        <w:rPr>
          <w:spacing w:val="-11"/>
        </w:rPr>
        <w:t xml:space="preserve"> </w:t>
      </w:r>
      <w:r>
        <w:rPr>
          <w:spacing w:val="-2"/>
        </w:rPr>
        <w:t>catalográfica</w:t>
      </w:r>
    </w:p>
    <w:p w:rsidR="007259F2" w:rsidRDefault="00DE6B1C">
      <w:pPr>
        <w:pStyle w:val="Corpodetexto"/>
        <w:spacing w:before="91"/>
        <w:ind w:left="0" w:firstLine="0"/>
        <w:jc w:val="left"/>
        <w:rPr>
          <w:sz w:val="20"/>
        </w:rPr>
      </w:pPr>
      <w:r w:rsidRPr="00DE6B1C">
        <w:rPr>
          <w:sz w:val="20"/>
        </w:rPr>
        <w:pict>
          <v:shapetype id="_x0000_t202" coordsize="21600,21600" o:spt="202" path="m,l,21600r21600,l21600,xe">
            <v:stroke joinstyle="miter"/>
            <v:path gradientshapeok="t" o:connecttype="rect"/>
          </v:shapetype>
          <v:shape id="docshape7" o:spid="_x0000_s1211" type="#_x0000_t202" style="position:absolute;margin-left:126.85pt;margin-top:17.65pt;width:354.35pt;height:212.6pt;z-index:-15728128;mso-wrap-distance-left:0;mso-wrap-distance-right:0;mso-position-horizontal-relative:page" filled="f">
            <v:textbox inset="0,0,0,0">
              <w:txbxContent>
                <w:p w:rsidR="007259F2" w:rsidRDefault="007259F2">
                  <w:pPr>
                    <w:pStyle w:val="Corpodetexto"/>
                    <w:spacing w:before="21"/>
                    <w:ind w:left="0" w:firstLine="0"/>
                    <w:jc w:val="left"/>
                  </w:pPr>
                </w:p>
                <w:p w:rsidR="007259F2" w:rsidRDefault="00E655B4">
                  <w:pPr>
                    <w:pStyle w:val="Corpodetexto"/>
                    <w:spacing w:line="283" w:lineRule="auto"/>
                    <w:ind w:left="520" w:hanging="320"/>
                    <w:jc w:val="left"/>
                  </w:pPr>
                  <w:r>
                    <w:rPr>
                      <w:spacing w:val="-2"/>
                      <w:w w:val="105"/>
                    </w:rPr>
                    <w:t>Revista</w:t>
                  </w:r>
                  <w:r>
                    <w:rPr>
                      <w:spacing w:val="-13"/>
                      <w:w w:val="105"/>
                    </w:rPr>
                    <w:t xml:space="preserve"> </w:t>
                  </w:r>
                  <w:r>
                    <w:rPr>
                      <w:spacing w:val="-2"/>
                      <w:w w:val="105"/>
                    </w:rPr>
                    <w:t>Jurídica</w:t>
                  </w:r>
                  <w:r>
                    <w:rPr>
                      <w:spacing w:val="-12"/>
                      <w:w w:val="105"/>
                    </w:rPr>
                    <w:t xml:space="preserve"> </w:t>
                  </w:r>
                  <w:r>
                    <w:rPr>
                      <w:spacing w:val="-2"/>
                      <w:w w:val="105"/>
                    </w:rPr>
                    <w:t>da</w:t>
                  </w:r>
                  <w:r>
                    <w:rPr>
                      <w:spacing w:val="-8"/>
                      <w:w w:val="105"/>
                    </w:rPr>
                    <w:t xml:space="preserve"> </w:t>
                  </w:r>
                  <w:r>
                    <w:rPr>
                      <w:spacing w:val="-2"/>
                      <w:w w:val="105"/>
                    </w:rPr>
                    <w:t>Procuradoria</w:t>
                  </w:r>
                  <w:r>
                    <w:rPr>
                      <w:spacing w:val="-11"/>
                      <w:w w:val="105"/>
                    </w:rPr>
                    <w:t xml:space="preserve"> </w:t>
                  </w:r>
                  <w:r>
                    <w:rPr>
                      <w:spacing w:val="-2"/>
                      <w:w w:val="105"/>
                    </w:rPr>
                    <w:t>Geral</w:t>
                  </w:r>
                  <w:r>
                    <w:rPr>
                      <w:spacing w:val="-11"/>
                      <w:w w:val="105"/>
                    </w:rPr>
                    <w:t xml:space="preserve"> </w:t>
                  </w:r>
                  <w:r>
                    <w:rPr>
                      <w:spacing w:val="-2"/>
                      <w:w w:val="105"/>
                    </w:rPr>
                    <w:t>do</w:t>
                  </w:r>
                  <w:r>
                    <w:rPr>
                      <w:spacing w:val="-12"/>
                      <w:w w:val="105"/>
                    </w:rPr>
                    <w:t xml:space="preserve"> </w:t>
                  </w:r>
                  <w:r>
                    <w:rPr>
                      <w:spacing w:val="-2"/>
                      <w:w w:val="105"/>
                    </w:rPr>
                    <w:t>Município</w:t>
                  </w:r>
                  <w:r>
                    <w:rPr>
                      <w:spacing w:val="-13"/>
                      <w:w w:val="105"/>
                    </w:rPr>
                    <w:t xml:space="preserve"> </w:t>
                  </w:r>
                  <w:r>
                    <w:rPr>
                      <w:spacing w:val="-2"/>
                      <w:w w:val="105"/>
                    </w:rPr>
                    <w:t>de</w:t>
                  </w:r>
                  <w:r>
                    <w:rPr>
                      <w:spacing w:val="-10"/>
                      <w:w w:val="105"/>
                    </w:rPr>
                    <w:t xml:space="preserve"> </w:t>
                  </w:r>
                  <w:r>
                    <w:rPr>
                      <w:spacing w:val="-2"/>
                      <w:w w:val="105"/>
                    </w:rPr>
                    <w:t>São</w:t>
                  </w:r>
                  <w:r>
                    <w:rPr>
                      <w:spacing w:val="-13"/>
                      <w:w w:val="105"/>
                    </w:rPr>
                    <w:t xml:space="preserve"> </w:t>
                  </w:r>
                  <w:r>
                    <w:rPr>
                      <w:spacing w:val="-2"/>
                      <w:w w:val="105"/>
                    </w:rPr>
                    <w:t xml:space="preserve">Paulo/ </w:t>
                  </w:r>
                  <w:r>
                    <w:rPr>
                      <w:w w:val="105"/>
                    </w:rPr>
                    <w:t xml:space="preserve">Centro de Estudos Jurídicos Lúcia Maria Moraes Ribeiro de Mendonça CEJUR / Procuradoria Geral do Município de São </w:t>
                  </w:r>
                  <w:r>
                    <w:rPr>
                      <w:spacing w:val="-2"/>
                      <w:w w:val="105"/>
                    </w:rPr>
                    <w:t>Paulo</w:t>
                  </w:r>
                </w:p>
                <w:p w:rsidR="007259F2" w:rsidRDefault="00E655B4">
                  <w:pPr>
                    <w:pStyle w:val="Corpodetexto"/>
                    <w:spacing w:before="8"/>
                    <w:ind w:left="261" w:firstLine="0"/>
                    <w:jc w:val="left"/>
                  </w:pPr>
                  <w:r>
                    <w:t>n.</w:t>
                  </w:r>
                  <w:r>
                    <w:rPr>
                      <w:spacing w:val="-3"/>
                    </w:rPr>
                    <w:t xml:space="preserve"> </w:t>
                  </w:r>
                  <w:r>
                    <w:t>13,</w:t>
                  </w:r>
                  <w:r>
                    <w:rPr>
                      <w:spacing w:val="-3"/>
                    </w:rPr>
                    <w:t xml:space="preserve"> </w:t>
                  </w:r>
                  <w:r>
                    <w:rPr>
                      <w:spacing w:val="-2"/>
                    </w:rPr>
                    <w:t>2025.</w:t>
                  </w:r>
                </w:p>
                <w:p w:rsidR="007259F2" w:rsidRDefault="007259F2">
                  <w:pPr>
                    <w:pStyle w:val="Corpodetexto"/>
                    <w:spacing w:before="81"/>
                    <w:ind w:left="0" w:firstLine="0"/>
                    <w:jc w:val="left"/>
                  </w:pPr>
                </w:p>
                <w:p w:rsidR="007259F2" w:rsidRDefault="00E655B4">
                  <w:pPr>
                    <w:pStyle w:val="Corpodetexto"/>
                    <w:spacing w:line="283" w:lineRule="auto"/>
                    <w:ind w:left="520" w:right="3661" w:firstLine="0"/>
                    <w:jc w:val="left"/>
                  </w:pPr>
                  <w:r>
                    <w:t>Periodicidade: Bianual ISSN 2175-649X</w:t>
                  </w:r>
                  <w:r>
                    <w:rPr>
                      <w:spacing w:val="-11"/>
                    </w:rPr>
                    <w:t xml:space="preserve"> </w:t>
                  </w:r>
                  <w:r>
                    <w:t>(impresso)</w:t>
                  </w:r>
                </w:p>
                <w:p w:rsidR="007259F2" w:rsidRDefault="007259F2">
                  <w:pPr>
                    <w:pStyle w:val="Corpodetexto"/>
                    <w:spacing w:before="42"/>
                    <w:ind w:left="0" w:firstLine="0"/>
                    <w:jc w:val="left"/>
                  </w:pPr>
                </w:p>
                <w:p w:rsidR="007259F2" w:rsidRDefault="00E655B4">
                  <w:pPr>
                    <w:pStyle w:val="Corpodetexto"/>
                    <w:spacing w:before="1"/>
                    <w:ind w:left="261" w:firstLine="0"/>
                    <w:jc w:val="left"/>
                  </w:pPr>
                  <w:r>
                    <w:t>1.</w:t>
                  </w:r>
                  <w:r>
                    <w:rPr>
                      <w:spacing w:val="15"/>
                    </w:rPr>
                    <w:t xml:space="preserve"> </w:t>
                  </w:r>
                  <w:r>
                    <w:t>Direito</w:t>
                  </w:r>
                  <w:r>
                    <w:rPr>
                      <w:spacing w:val="19"/>
                    </w:rPr>
                    <w:t xml:space="preserve"> </w:t>
                  </w:r>
                  <w:r>
                    <w:t>–</w:t>
                  </w:r>
                  <w:r>
                    <w:rPr>
                      <w:spacing w:val="18"/>
                    </w:rPr>
                    <w:t xml:space="preserve"> </w:t>
                  </w:r>
                  <w:r>
                    <w:t>periódicos</w:t>
                  </w:r>
                  <w:r>
                    <w:rPr>
                      <w:spacing w:val="19"/>
                    </w:rPr>
                    <w:t xml:space="preserve"> </w:t>
                  </w:r>
                  <w:r>
                    <w:t>2.</w:t>
                  </w:r>
                  <w:r>
                    <w:rPr>
                      <w:spacing w:val="15"/>
                    </w:rPr>
                    <w:t xml:space="preserve"> </w:t>
                  </w:r>
                  <w:r>
                    <w:t>Direito</w:t>
                  </w:r>
                  <w:r>
                    <w:rPr>
                      <w:spacing w:val="17"/>
                    </w:rPr>
                    <w:t xml:space="preserve"> </w:t>
                  </w:r>
                  <w:r>
                    <w:rPr>
                      <w:spacing w:val="-2"/>
                    </w:rPr>
                    <w:t>Público</w:t>
                  </w:r>
                </w:p>
                <w:p w:rsidR="007259F2" w:rsidRDefault="00E655B4">
                  <w:pPr>
                    <w:pStyle w:val="Corpodetexto"/>
                    <w:spacing w:before="50"/>
                    <w:ind w:left="0" w:right="1015" w:firstLine="0"/>
                    <w:jc w:val="right"/>
                  </w:pPr>
                  <w:r>
                    <w:rPr>
                      <w:spacing w:val="-5"/>
                    </w:rPr>
                    <w:t>CDU</w:t>
                  </w:r>
                  <w:r>
                    <w:rPr>
                      <w:spacing w:val="-11"/>
                    </w:rPr>
                    <w:t xml:space="preserve"> </w:t>
                  </w:r>
                  <w:r>
                    <w:rPr>
                      <w:spacing w:val="-2"/>
                    </w:rPr>
                    <w:t>34(05)</w:t>
                  </w:r>
                </w:p>
              </w:txbxContent>
            </v:textbox>
            <w10:wrap type="topAndBottom" anchorx="page"/>
          </v:shape>
        </w:pict>
      </w:r>
    </w:p>
    <w:p w:rsidR="007259F2" w:rsidRDefault="007259F2">
      <w:pPr>
        <w:pStyle w:val="Corpodetexto"/>
        <w:jc w:val="left"/>
        <w:rPr>
          <w:sz w:val="20"/>
        </w:rPr>
        <w:sectPr w:rsidR="007259F2">
          <w:pgSz w:w="11910" w:h="16840"/>
          <w:pgMar w:top="1600" w:right="708" w:bottom="280" w:left="992" w:header="720" w:footer="720" w:gutter="0"/>
          <w:cols w:space="720"/>
        </w:sectPr>
      </w:pPr>
    </w:p>
    <w:p w:rsidR="007259F2" w:rsidRDefault="00E655B4">
      <w:pPr>
        <w:spacing w:before="61"/>
        <w:ind w:left="3039" w:right="3322"/>
        <w:jc w:val="center"/>
        <w:rPr>
          <w:b/>
          <w:sz w:val="28"/>
        </w:rPr>
      </w:pPr>
      <w:r>
        <w:rPr>
          <w:b/>
          <w:spacing w:val="-2"/>
          <w:sz w:val="28"/>
        </w:rPr>
        <w:lastRenderedPageBreak/>
        <w:t>SUMÁRIO</w:t>
      </w:r>
    </w:p>
    <w:p w:rsidR="007259F2" w:rsidRDefault="007259F2">
      <w:pPr>
        <w:pStyle w:val="Corpodetexto"/>
        <w:ind w:left="0" w:firstLine="0"/>
        <w:jc w:val="left"/>
        <w:rPr>
          <w:b/>
        </w:rPr>
      </w:pPr>
    </w:p>
    <w:p w:rsidR="007259F2" w:rsidRDefault="007259F2">
      <w:pPr>
        <w:pStyle w:val="Corpodetexto"/>
        <w:spacing w:before="6"/>
        <w:ind w:left="0" w:firstLine="0"/>
        <w:jc w:val="left"/>
        <w:rPr>
          <w:b/>
        </w:rPr>
      </w:pPr>
    </w:p>
    <w:p w:rsidR="007259F2" w:rsidRDefault="00E655B4">
      <w:pPr>
        <w:ind w:left="140"/>
        <w:rPr>
          <w:b/>
          <w:sz w:val="24"/>
        </w:rPr>
      </w:pPr>
      <w:r>
        <w:rPr>
          <w:b/>
          <w:spacing w:val="-2"/>
          <w:sz w:val="24"/>
          <w:u w:val="single"/>
        </w:rPr>
        <w:t>ARTIGOS</w:t>
      </w:r>
    </w:p>
    <w:p w:rsidR="007259F2" w:rsidRDefault="007259F2">
      <w:pPr>
        <w:rPr>
          <w:b/>
          <w:sz w:val="24"/>
        </w:rPr>
        <w:sectPr w:rsidR="007259F2">
          <w:pgSz w:w="11910" w:h="16840"/>
          <w:pgMar w:top="1620" w:right="708" w:bottom="1828" w:left="992" w:header="720" w:footer="720" w:gutter="0"/>
          <w:cols w:space="720"/>
        </w:sectPr>
      </w:pPr>
    </w:p>
    <w:sdt>
      <w:sdtPr>
        <w:id w:val="1392534563"/>
        <w:docPartObj>
          <w:docPartGallery w:val="Table of Contents"/>
          <w:docPartUnique/>
        </w:docPartObj>
      </w:sdtPr>
      <w:sdtContent>
        <w:p w:rsidR="007259F2" w:rsidRDefault="00DE6B1C">
          <w:pPr>
            <w:pStyle w:val="TOC1"/>
            <w:tabs>
              <w:tab w:val="left" w:leader="dot" w:pos="9651"/>
            </w:tabs>
            <w:spacing w:before="756" w:line="242" w:lineRule="auto"/>
            <w:ind w:right="432"/>
          </w:pPr>
          <w:hyperlink w:anchor="_bookmark0" w:history="1">
            <w:r w:rsidR="00E655B4">
              <w:t>Formação ativa na área do Direito: o caso da Residência Jurídica da Procuradoria Geral do</w:t>
            </w:r>
          </w:hyperlink>
          <w:r w:rsidR="00E655B4">
            <w:t xml:space="preserve"> </w:t>
          </w:r>
          <w:hyperlink w:anchor="_bookmark0" w:history="1">
            <w:r w:rsidR="00E655B4">
              <w:t>Município de São Paulo</w:t>
            </w:r>
            <w:r w:rsidR="00E655B4">
              <w:tab/>
            </w:r>
          </w:hyperlink>
        </w:p>
        <w:p w:rsidR="007259F2" w:rsidRDefault="00E655B4">
          <w:pPr>
            <w:pStyle w:val="TOC2"/>
            <w:spacing w:before="33"/>
          </w:pPr>
          <w:r>
            <w:t>Guilherme</w:t>
          </w:r>
          <w:r>
            <w:rPr>
              <w:spacing w:val="-3"/>
            </w:rPr>
            <w:t xml:space="preserve"> </w:t>
          </w:r>
          <w:r>
            <w:t>Gomes Skrivan e</w:t>
          </w:r>
          <w:r>
            <w:rPr>
              <w:spacing w:val="-1"/>
            </w:rPr>
            <w:t xml:space="preserve"> </w:t>
          </w:r>
          <w:r>
            <w:t xml:space="preserve">Roberto Angotti </w:t>
          </w:r>
          <w:r>
            <w:rPr>
              <w:spacing w:val="-2"/>
            </w:rPr>
            <w:t>Júnior</w:t>
          </w:r>
        </w:p>
        <w:p w:rsidR="007259F2" w:rsidRDefault="00DE6B1C">
          <w:pPr>
            <w:pStyle w:val="TOC1"/>
            <w:tabs>
              <w:tab w:val="left" w:leader="dot" w:pos="9531"/>
            </w:tabs>
            <w:spacing w:before="122" w:line="242" w:lineRule="auto"/>
            <w:ind w:right="432"/>
          </w:pPr>
          <w:hyperlink w:anchor="_bookmark1" w:history="1">
            <w:r w:rsidR="00E655B4">
              <w:t>Responsabilidade Civil nos Contratos de Gestão na Área da Saúde Pública: Direito de</w:t>
            </w:r>
          </w:hyperlink>
          <w:r w:rsidR="00E655B4">
            <w:t xml:space="preserve"> </w:t>
          </w:r>
          <w:hyperlink w:anchor="_bookmark1" w:history="1">
            <w:r w:rsidR="00E655B4">
              <w:t>Regresso do Estado em Face das Entidades do Terceiro Setor Decorrente de Erro Médico</w:t>
            </w:r>
            <w:r w:rsidR="00E655B4">
              <w:tab/>
            </w:r>
          </w:hyperlink>
        </w:p>
        <w:p w:rsidR="007259F2" w:rsidRDefault="00E655B4">
          <w:pPr>
            <w:pStyle w:val="TOC2"/>
            <w:spacing w:before="10"/>
          </w:pPr>
          <w:r>
            <w:t>Amanda</w:t>
          </w:r>
          <w:r>
            <w:rPr>
              <w:spacing w:val="-1"/>
            </w:rPr>
            <w:t xml:space="preserve"> </w:t>
          </w:r>
          <w:r>
            <w:t xml:space="preserve">Torres </w:t>
          </w:r>
          <w:r>
            <w:rPr>
              <w:spacing w:val="-2"/>
            </w:rPr>
            <w:t>Santos</w:t>
          </w:r>
        </w:p>
        <w:p w:rsidR="007259F2" w:rsidRDefault="00DE6B1C">
          <w:pPr>
            <w:pStyle w:val="TOC1"/>
          </w:pPr>
          <w:hyperlink w:anchor="_bookmark2" w:history="1">
            <w:r w:rsidR="00E655B4">
              <w:t>Aspectos</w:t>
            </w:r>
            <w:r w:rsidR="00E655B4">
              <w:rPr>
                <w:spacing w:val="-1"/>
              </w:rPr>
              <w:t xml:space="preserve"> </w:t>
            </w:r>
            <w:r w:rsidR="00E655B4">
              <w:t>Gerais</w:t>
            </w:r>
            <w:r w:rsidR="00E655B4">
              <w:rPr>
                <w:spacing w:val="-1"/>
              </w:rPr>
              <w:t xml:space="preserve"> </w:t>
            </w:r>
            <w:r w:rsidR="00E655B4">
              <w:t>do</w:t>
            </w:r>
            <w:r w:rsidR="00E655B4">
              <w:rPr>
                <w:spacing w:val="1"/>
              </w:rPr>
              <w:t xml:space="preserve"> </w:t>
            </w:r>
            <w:r w:rsidR="00E655B4">
              <w:t>Procedimento</w:t>
            </w:r>
            <w:r w:rsidR="00E655B4">
              <w:rPr>
                <w:spacing w:val="-1"/>
              </w:rPr>
              <w:t xml:space="preserve"> </w:t>
            </w:r>
            <w:r w:rsidR="00E655B4">
              <w:t>de</w:t>
            </w:r>
            <w:r w:rsidR="00E655B4">
              <w:rPr>
                <w:spacing w:val="-3"/>
              </w:rPr>
              <w:t xml:space="preserve"> </w:t>
            </w:r>
            <w:r w:rsidR="00E655B4">
              <w:t>Contratação</w:t>
            </w:r>
            <w:r w:rsidR="00E655B4">
              <w:rPr>
                <w:spacing w:val="-1"/>
              </w:rPr>
              <w:t xml:space="preserve"> </w:t>
            </w:r>
            <w:r w:rsidR="00E655B4">
              <w:t>Direta</w:t>
            </w:r>
            <w:r w:rsidR="00E655B4">
              <w:rPr>
                <w:spacing w:val="-1"/>
              </w:rPr>
              <w:t xml:space="preserve"> </w:t>
            </w:r>
            <w:r w:rsidR="00E655B4">
              <w:t>à</w:t>
            </w:r>
            <w:r w:rsidR="00E655B4">
              <w:rPr>
                <w:spacing w:val="-1"/>
              </w:rPr>
              <w:t xml:space="preserve"> </w:t>
            </w:r>
            <w:r w:rsidR="00E655B4">
              <w:t>Luz</w:t>
            </w:r>
            <w:r w:rsidR="00E655B4">
              <w:rPr>
                <w:spacing w:val="-3"/>
              </w:rPr>
              <w:t xml:space="preserve"> </w:t>
            </w:r>
            <w:r w:rsidR="00E655B4">
              <w:t>da</w:t>
            </w:r>
            <w:r w:rsidR="00E655B4">
              <w:rPr>
                <w:spacing w:val="-1"/>
              </w:rPr>
              <w:t xml:space="preserve"> </w:t>
            </w:r>
            <w:r w:rsidR="00E655B4">
              <w:t>Lei</w:t>
            </w:r>
            <w:r w:rsidR="00E655B4">
              <w:rPr>
                <w:spacing w:val="-1"/>
              </w:rPr>
              <w:t xml:space="preserve"> </w:t>
            </w:r>
            <w:r w:rsidR="00E655B4">
              <w:t>Federal</w:t>
            </w:r>
            <w:r w:rsidR="00E655B4">
              <w:rPr>
                <w:spacing w:val="-1"/>
              </w:rPr>
              <w:t xml:space="preserve"> </w:t>
            </w:r>
            <w:r w:rsidR="00E655B4">
              <w:t>nº</w:t>
            </w:r>
            <w:r w:rsidR="00E655B4">
              <w:rPr>
                <w:spacing w:val="-1"/>
              </w:rPr>
              <w:t xml:space="preserve"> </w:t>
            </w:r>
            <w:r w:rsidR="00E655B4">
              <w:rPr>
                <w:spacing w:val="-2"/>
              </w:rPr>
              <w:t>14.133/2021</w:t>
            </w:r>
          </w:hyperlink>
        </w:p>
        <w:p w:rsidR="007259F2" w:rsidRDefault="00DE6B1C">
          <w:pPr>
            <w:pStyle w:val="TOC1"/>
            <w:tabs>
              <w:tab w:val="left" w:leader="dot" w:pos="9531"/>
            </w:tabs>
            <w:spacing w:before="2"/>
            <w:ind w:left="147"/>
          </w:pPr>
          <w:hyperlink w:anchor="_bookmark2" w:history="1">
            <w:r w:rsidR="00E655B4">
              <w:rPr>
                <w:spacing w:val="-10"/>
              </w:rPr>
              <w:t>.</w:t>
            </w:r>
            <w:r w:rsidR="00E655B4">
              <w:tab/>
            </w:r>
          </w:hyperlink>
        </w:p>
        <w:p w:rsidR="007259F2" w:rsidRDefault="00E655B4">
          <w:pPr>
            <w:pStyle w:val="TOC2"/>
          </w:pPr>
          <w:r>
            <w:t>Ana</w:t>
          </w:r>
          <w:r>
            <w:rPr>
              <w:spacing w:val="-1"/>
            </w:rPr>
            <w:t xml:space="preserve"> </w:t>
          </w:r>
          <w:r>
            <w:t>Flávia</w:t>
          </w:r>
          <w:r>
            <w:rPr>
              <w:spacing w:val="-1"/>
            </w:rPr>
            <w:t xml:space="preserve"> </w:t>
          </w:r>
          <w:r>
            <w:t>de</w:t>
          </w:r>
          <w:r>
            <w:rPr>
              <w:spacing w:val="-1"/>
            </w:rPr>
            <w:t xml:space="preserve"> </w:t>
          </w:r>
          <w:r>
            <w:t xml:space="preserve">Almeida </w:t>
          </w:r>
          <w:r>
            <w:rPr>
              <w:spacing w:val="-2"/>
            </w:rPr>
            <w:t>Carvalho</w:t>
          </w:r>
        </w:p>
        <w:p w:rsidR="007259F2" w:rsidRDefault="00DE6B1C">
          <w:pPr>
            <w:pStyle w:val="TOC1"/>
            <w:tabs>
              <w:tab w:val="left" w:leader="dot" w:pos="9531"/>
            </w:tabs>
            <w:spacing w:line="242" w:lineRule="auto"/>
            <w:ind w:right="432"/>
          </w:pPr>
          <w:hyperlink w:anchor="_bookmark3" w:history="1">
            <w:r w:rsidR="00E655B4">
              <w:t>Da</w:t>
            </w:r>
            <w:r w:rsidR="00E655B4">
              <w:rPr>
                <w:spacing w:val="-5"/>
              </w:rPr>
              <w:t xml:space="preserve"> </w:t>
            </w:r>
            <w:r w:rsidR="00E655B4">
              <w:t>propriedade</w:t>
            </w:r>
            <w:r w:rsidR="00E655B4">
              <w:rPr>
                <w:spacing w:val="-1"/>
              </w:rPr>
              <w:t xml:space="preserve"> </w:t>
            </w:r>
            <w:r w:rsidR="00E655B4">
              <w:t>privada à propriedade</w:t>
            </w:r>
            <w:r w:rsidR="00E655B4">
              <w:rPr>
                <w:spacing w:val="-1"/>
              </w:rPr>
              <w:t xml:space="preserve"> </w:t>
            </w:r>
            <w:r w:rsidR="00E655B4">
              <w:t>urbanística:</w:t>
            </w:r>
            <w:r w:rsidR="00E655B4">
              <w:rPr>
                <w:spacing w:val="-9"/>
              </w:rPr>
              <w:t xml:space="preserve"> </w:t>
            </w:r>
            <w:r w:rsidR="00E655B4">
              <w:t>A</w:t>
            </w:r>
            <w:r w:rsidR="00E655B4">
              <w:rPr>
                <w:spacing w:val="-9"/>
              </w:rPr>
              <w:t xml:space="preserve"> </w:t>
            </w:r>
            <w:r w:rsidR="00E655B4">
              <w:t>coexistência entre</w:t>
            </w:r>
            <w:r w:rsidR="00E655B4">
              <w:rPr>
                <w:spacing w:val="-1"/>
              </w:rPr>
              <w:t xml:space="preserve"> </w:t>
            </w:r>
            <w:r w:rsidR="00E655B4">
              <w:t>o</w:t>
            </w:r>
            <w:r w:rsidR="00E655B4">
              <w:rPr>
                <w:spacing w:val="-1"/>
              </w:rPr>
              <w:t xml:space="preserve"> </w:t>
            </w:r>
            <w:r w:rsidR="00E655B4">
              <w:t>direito individual à</w:t>
            </w:r>
          </w:hyperlink>
          <w:r w:rsidR="00E655B4">
            <w:t xml:space="preserve"> </w:t>
          </w:r>
          <w:hyperlink w:anchor="_bookmark3" w:history="1">
            <w:r w:rsidR="00E655B4">
              <w:t>propriedade</w:t>
            </w:r>
            <w:r w:rsidR="00E655B4">
              <w:rPr>
                <w:spacing w:val="-3"/>
              </w:rPr>
              <w:t xml:space="preserve"> </w:t>
            </w:r>
            <w:r w:rsidR="00E655B4">
              <w:t>e</w:t>
            </w:r>
            <w:r w:rsidR="00E655B4">
              <w:rPr>
                <w:spacing w:val="-2"/>
              </w:rPr>
              <w:t xml:space="preserve"> </w:t>
            </w:r>
            <w:r w:rsidR="00E655B4">
              <w:t>a gestão democrática</w:t>
            </w:r>
            <w:r w:rsidR="00E655B4">
              <w:rPr>
                <w:spacing w:val="-1"/>
              </w:rPr>
              <w:t xml:space="preserve"> </w:t>
            </w:r>
            <w:r w:rsidR="00E655B4">
              <w:t>das</w:t>
            </w:r>
            <w:r w:rsidR="00E655B4">
              <w:rPr>
                <w:spacing w:val="-1"/>
              </w:rPr>
              <w:t xml:space="preserve"> </w:t>
            </w:r>
            <w:r w:rsidR="00E655B4">
              <w:rPr>
                <w:spacing w:val="-2"/>
              </w:rPr>
              <w:t>cidades</w:t>
            </w:r>
            <w:r w:rsidR="00E655B4">
              <w:tab/>
            </w:r>
          </w:hyperlink>
        </w:p>
        <w:p w:rsidR="007259F2" w:rsidRDefault="00E655B4">
          <w:pPr>
            <w:pStyle w:val="TOC2"/>
            <w:spacing w:before="11"/>
          </w:pPr>
          <w:r>
            <w:t>Anderson</w:t>
          </w:r>
          <w:r>
            <w:rPr>
              <w:spacing w:val="-3"/>
            </w:rPr>
            <w:t xml:space="preserve"> </w:t>
          </w:r>
          <w:r>
            <w:t xml:space="preserve">Mendes </w:t>
          </w:r>
          <w:r>
            <w:rPr>
              <w:spacing w:val="-2"/>
            </w:rPr>
            <w:t>Duarte</w:t>
          </w:r>
        </w:p>
        <w:p w:rsidR="007259F2" w:rsidRDefault="00DE6B1C">
          <w:pPr>
            <w:pStyle w:val="TOC1"/>
            <w:tabs>
              <w:tab w:val="left" w:leader="dot" w:pos="9531"/>
            </w:tabs>
            <w:spacing w:line="242" w:lineRule="auto"/>
            <w:ind w:right="432"/>
          </w:pPr>
          <w:hyperlink w:anchor="_bookmark6" w:history="1">
            <w:r w:rsidR="00E655B4">
              <w:t>Dispensa de licitação: A</w:t>
            </w:r>
            <w:r w:rsidR="00E655B4">
              <w:rPr>
                <w:spacing w:val="-1"/>
              </w:rPr>
              <w:t xml:space="preserve"> </w:t>
            </w:r>
            <w:r w:rsidR="00E655B4">
              <w:t>questão da emergência fabricada e a atuação dos Órgãos de Controle</w:t>
            </w:r>
          </w:hyperlink>
          <w:r w:rsidR="00E655B4">
            <w:t xml:space="preserve"> </w:t>
          </w:r>
          <w:hyperlink w:anchor="_bookmark6" w:history="1">
            <w:r w:rsidR="00E655B4">
              <w:t>em</w:t>
            </w:r>
            <w:r w:rsidR="00E655B4">
              <w:rPr>
                <w:spacing w:val="-9"/>
              </w:rPr>
              <w:t xml:space="preserve"> </w:t>
            </w:r>
            <w:r w:rsidR="00E655B4">
              <w:t>relação</w:t>
            </w:r>
            <w:r w:rsidR="00E655B4">
              <w:rPr>
                <w:spacing w:val="-6"/>
              </w:rPr>
              <w:t xml:space="preserve"> </w:t>
            </w:r>
            <w:r w:rsidR="00E655B4">
              <w:t>às</w:t>
            </w:r>
            <w:r w:rsidR="00E655B4">
              <w:rPr>
                <w:spacing w:val="-6"/>
              </w:rPr>
              <w:t xml:space="preserve"> </w:t>
            </w:r>
            <w:r w:rsidR="00E655B4">
              <w:t>contratações</w:t>
            </w:r>
            <w:r w:rsidR="00E655B4">
              <w:rPr>
                <w:spacing w:val="-4"/>
              </w:rPr>
              <w:t xml:space="preserve"> </w:t>
            </w:r>
            <w:r w:rsidR="00E655B4">
              <w:t>emergenciais</w:t>
            </w:r>
            <w:r w:rsidR="00E655B4">
              <w:rPr>
                <w:spacing w:val="-1"/>
              </w:rPr>
              <w:t xml:space="preserve"> </w:t>
            </w:r>
            <w:r w:rsidR="00E655B4">
              <w:t>de</w:t>
            </w:r>
            <w:r w:rsidR="00E655B4">
              <w:rPr>
                <w:spacing w:val="-7"/>
              </w:rPr>
              <w:t xml:space="preserve"> </w:t>
            </w:r>
            <w:r w:rsidR="00E655B4">
              <w:t>obras</w:t>
            </w:r>
            <w:r w:rsidR="00E655B4">
              <w:rPr>
                <w:spacing w:val="-6"/>
              </w:rPr>
              <w:t xml:space="preserve"> </w:t>
            </w:r>
            <w:r w:rsidR="00E655B4">
              <w:t>do</w:t>
            </w:r>
            <w:r w:rsidR="00E655B4">
              <w:rPr>
                <w:spacing w:val="-7"/>
              </w:rPr>
              <w:t xml:space="preserve"> </w:t>
            </w:r>
            <w:r w:rsidR="00E655B4">
              <w:t>Município</w:t>
            </w:r>
            <w:r w:rsidR="00E655B4">
              <w:rPr>
                <w:spacing w:val="-7"/>
              </w:rPr>
              <w:t xml:space="preserve"> </w:t>
            </w:r>
            <w:r w:rsidR="00E655B4">
              <w:t>de</w:t>
            </w:r>
            <w:r w:rsidR="00E655B4">
              <w:rPr>
                <w:spacing w:val="-9"/>
              </w:rPr>
              <w:t xml:space="preserve"> </w:t>
            </w:r>
            <w:r w:rsidR="00E655B4">
              <w:t>São</w:t>
            </w:r>
            <w:r w:rsidR="00E655B4">
              <w:rPr>
                <w:spacing w:val="-5"/>
              </w:rPr>
              <w:t xml:space="preserve"> </w:t>
            </w:r>
            <w:r w:rsidR="00E655B4">
              <w:rPr>
                <w:spacing w:val="-2"/>
              </w:rPr>
              <w:t>Paulo</w:t>
            </w:r>
            <w:r w:rsidR="00E655B4">
              <w:tab/>
            </w:r>
          </w:hyperlink>
        </w:p>
        <w:p w:rsidR="007259F2" w:rsidRDefault="00E655B4">
          <w:pPr>
            <w:pStyle w:val="TOC2"/>
            <w:spacing w:before="9"/>
          </w:pPr>
          <w:r>
            <w:t>Beatriz</w:t>
          </w:r>
          <w:r>
            <w:rPr>
              <w:spacing w:val="-4"/>
            </w:rPr>
            <w:t xml:space="preserve"> </w:t>
          </w:r>
          <w:r>
            <w:t>Almeida</w:t>
          </w:r>
          <w:r>
            <w:rPr>
              <w:spacing w:val="-1"/>
            </w:rPr>
            <w:t xml:space="preserve"> </w:t>
          </w:r>
          <w:r>
            <w:rPr>
              <w:spacing w:val="-2"/>
            </w:rPr>
            <w:t>Silva</w:t>
          </w:r>
        </w:p>
        <w:p w:rsidR="007259F2" w:rsidRDefault="00DE6B1C">
          <w:pPr>
            <w:pStyle w:val="TOC1"/>
            <w:tabs>
              <w:tab w:val="left" w:leader="dot" w:pos="9531"/>
            </w:tabs>
            <w:spacing w:before="128"/>
          </w:pPr>
          <w:hyperlink w:anchor="_bookmark7" w:history="1">
            <w:r w:rsidR="00E655B4">
              <w:t>A</w:t>
            </w:r>
            <w:r w:rsidR="00E655B4">
              <w:rPr>
                <w:spacing w:val="-7"/>
              </w:rPr>
              <w:t xml:space="preserve"> </w:t>
            </w:r>
            <w:r w:rsidR="00E655B4">
              <w:t>concessão</w:t>
            </w:r>
            <w:r w:rsidR="00E655B4">
              <w:rPr>
                <w:spacing w:val="-3"/>
              </w:rPr>
              <w:t xml:space="preserve"> </w:t>
            </w:r>
            <w:r w:rsidR="00E655B4">
              <w:t>de</w:t>
            </w:r>
            <w:r w:rsidR="00E655B4">
              <w:rPr>
                <w:spacing w:val="-7"/>
              </w:rPr>
              <w:t xml:space="preserve"> </w:t>
            </w:r>
            <w:r w:rsidR="00E655B4">
              <w:t>uso</w:t>
            </w:r>
            <w:r w:rsidR="00E655B4">
              <w:rPr>
                <w:spacing w:val="-3"/>
              </w:rPr>
              <w:t xml:space="preserve"> </w:t>
            </w:r>
            <w:r w:rsidR="00E655B4">
              <w:t>especial</w:t>
            </w:r>
            <w:r w:rsidR="00E655B4">
              <w:rPr>
                <w:spacing w:val="-3"/>
              </w:rPr>
              <w:t xml:space="preserve"> </w:t>
            </w:r>
            <w:r w:rsidR="00E655B4">
              <w:t>para</w:t>
            </w:r>
            <w:r w:rsidR="00E655B4">
              <w:rPr>
                <w:spacing w:val="-4"/>
              </w:rPr>
              <w:t xml:space="preserve"> </w:t>
            </w:r>
            <w:r w:rsidR="00E655B4">
              <w:t>fins</w:t>
            </w:r>
            <w:r w:rsidR="00E655B4">
              <w:rPr>
                <w:spacing w:val="-6"/>
              </w:rPr>
              <w:t xml:space="preserve"> </w:t>
            </w:r>
            <w:r w:rsidR="00E655B4">
              <w:t>de</w:t>
            </w:r>
            <w:r w:rsidR="00E655B4">
              <w:rPr>
                <w:spacing w:val="-7"/>
              </w:rPr>
              <w:t xml:space="preserve"> </w:t>
            </w:r>
            <w:r w:rsidR="00E655B4">
              <w:t>moradia</w:t>
            </w:r>
            <w:r w:rsidR="00E655B4">
              <w:rPr>
                <w:spacing w:val="-3"/>
              </w:rPr>
              <w:t xml:space="preserve"> </w:t>
            </w:r>
            <w:r w:rsidR="00E655B4">
              <w:t>como</w:t>
            </w:r>
            <w:r w:rsidR="00E655B4">
              <w:rPr>
                <w:spacing w:val="-2"/>
              </w:rPr>
              <w:t xml:space="preserve"> </w:t>
            </w:r>
            <w:r w:rsidR="00E655B4">
              <w:t>instrumento</w:t>
            </w:r>
            <w:r w:rsidR="00E655B4">
              <w:rPr>
                <w:spacing w:val="-4"/>
              </w:rPr>
              <w:t xml:space="preserve"> </w:t>
            </w:r>
            <w:r w:rsidR="00E655B4">
              <w:t>da</w:t>
            </w:r>
            <w:r w:rsidR="00E655B4">
              <w:rPr>
                <w:spacing w:val="-4"/>
              </w:rPr>
              <w:t xml:space="preserve"> </w:t>
            </w:r>
            <w:r w:rsidR="00E655B4">
              <w:t>política</w:t>
            </w:r>
            <w:r w:rsidR="00E655B4">
              <w:rPr>
                <w:spacing w:val="-3"/>
              </w:rPr>
              <w:t xml:space="preserve"> </w:t>
            </w:r>
            <w:r w:rsidR="00E655B4">
              <w:rPr>
                <w:spacing w:val="-2"/>
              </w:rPr>
              <w:t>urbana</w:t>
            </w:r>
            <w:r w:rsidR="00E655B4">
              <w:tab/>
            </w:r>
          </w:hyperlink>
        </w:p>
        <w:p w:rsidR="007259F2" w:rsidRDefault="00E655B4">
          <w:pPr>
            <w:pStyle w:val="TOC2"/>
          </w:pPr>
          <w:r>
            <w:t>Daniel</w:t>
          </w:r>
          <w:r>
            <w:rPr>
              <w:spacing w:val="-1"/>
            </w:rPr>
            <w:t xml:space="preserve"> </w:t>
          </w:r>
          <w:r>
            <w:t>Araújo de</w:t>
          </w:r>
          <w:r>
            <w:rPr>
              <w:spacing w:val="-1"/>
            </w:rPr>
            <w:t xml:space="preserve"> </w:t>
          </w:r>
          <w:r>
            <w:rPr>
              <w:spacing w:val="-2"/>
            </w:rPr>
            <w:t>Assis</w:t>
          </w:r>
        </w:p>
        <w:p w:rsidR="007259F2" w:rsidRDefault="00DE6B1C">
          <w:pPr>
            <w:pStyle w:val="TOC1"/>
            <w:tabs>
              <w:tab w:val="left" w:leader="dot" w:pos="9411"/>
            </w:tabs>
            <w:spacing w:before="124" w:line="242" w:lineRule="auto"/>
            <w:ind w:right="432"/>
          </w:pPr>
          <w:hyperlink w:anchor="_bookmark8" w:history="1">
            <w:r w:rsidR="00E655B4">
              <w:t>Arrematação Judicial e a Responsabilidade Tributária pelos Débitos de IPTU: Análise da Lei</w:t>
            </w:r>
          </w:hyperlink>
          <w:r w:rsidR="00E655B4">
            <w:t xml:space="preserve"> </w:t>
          </w:r>
          <w:hyperlink w:anchor="_bookmark8" w:history="1">
            <w:r w:rsidR="00E655B4">
              <w:t>e</w:t>
            </w:r>
            <w:r w:rsidR="00E655B4">
              <w:rPr>
                <w:spacing w:val="-1"/>
              </w:rPr>
              <w:t xml:space="preserve"> </w:t>
            </w:r>
            <w:r w:rsidR="00E655B4">
              <w:t xml:space="preserve">da </w:t>
            </w:r>
            <w:r w:rsidR="00E655B4">
              <w:rPr>
                <w:spacing w:val="-2"/>
              </w:rPr>
              <w:t>Jurisprudência</w:t>
            </w:r>
            <w:r w:rsidR="00E655B4">
              <w:tab/>
            </w:r>
          </w:hyperlink>
        </w:p>
        <w:p w:rsidR="007259F2" w:rsidRDefault="00E655B4">
          <w:pPr>
            <w:pStyle w:val="TOC2"/>
          </w:pPr>
          <w:r>
            <w:t>Fábio</w:t>
          </w:r>
          <w:r>
            <w:rPr>
              <w:spacing w:val="-3"/>
            </w:rPr>
            <w:t xml:space="preserve"> </w:t>
          </w:r>
          <w:r>
            <w:t>Wyner</w:t>
          </w:r>
          <w:r>
            <w:rPr>
              <w:spacing w:val="-2"/>
            </w:rPr>
            <w:t xml:space="preserve"> </w:t>
          </w:r>
          <w:r>
            <w:t>Portela</w:t>
          </w:r>
          <w:r>
            <w:rPr>
              <w:spacing w:val="-2"/>
            </w:rPr>
            <w:t xml:space="preserve"> </w:t>
          </w:r>
          <w:r>
            <w:rPr>
              <w:spacing w:val="-4"/>
            </w:rPr>
            <w:t>Petri</w:t>
          </w:r>
        </w:p>
        <w:p w:rsidR="007259F2" w:rsidRDefault="00DE6B1C">
          <w:pPr>
            <w:pStyle w:val="TOC1"/>
            <w:tabs>
              <w:tab w:val="left" w:leader="dot" w:pos="9411"/>
            </w:tabs>
            <w:spacing w:before="127"/>
          </w:pPr>
          <w:hyperlink w:anchor="_bookmark9" w:history="1">
            <w:r w:rsidR="00E655B4">
              <w:t>A</w:t>
            </w:r>
            <w:r w:rsidR="00E655B4">
              <w:rPr>
                <w:spacing w:val="-3"/>
              </w:rPr>
              <w:t xml:space="preserve"> </w:t>
            </w:r>
            <w:r w:rsidR="00E655B4">
              <w:t>Tributação</w:t>
            </w:r>
            <w:r w:rsidR="00E655B4">
              <w:rPr>
                <w:spacing w:val="-1"/>
              </w:rPr>
              <w:t xml:space="preserve"> </w:t>
            </w:r>
            <w:r w:rsidR="00E655B4">
              <w:t>da</w:t>
            </w:r>
            <w:r w:rsidR="00E655B4">
              <w:rPr>
                <w:spacing w:val="-1"/>
              </w:rPr>
              <w:t xml:space="preserve"> </w:t>
            </w:r>
            <w:r w:rsidR="00E655B4">
              <w:t>distribuição</w:t>
            </w:r>
            <w:r w:rsidR="00E655B4">
              <w:rPr>
                <w:spacing w:val="-1"/>
              </w:rPr>
              <w:t xml:space="preserve"> </w:t>
            </w:r>
            <w:r w:rsidR="00E655B4">
              <w:t>de</w:t>
            </w:r>
            <w:r w:rsidR="00E655B4">
              <w:rPr>
                <w:spacing w:val="-7"/>
              </w:rPr>
              <w:t xml:space="preserve"> </w:t>
            </w:r>
            <w:r w:rsidR="00E655B4">
              <w:t>lucros</w:t>
            </w:r>
            <w:r w:rsidR="00E655B4">
              <w:rPr>
                <w:spacing w:val="-1"/>
              </w:rPr>
              <w:t xml:space="preserve"> </w:t>
            </w:r>
            <w:r w:rsidR="00E655B4">
              <w:t>e</w:t>
            </w:r>
            <w:r w:rsidR="00E655B4">
              <w:rPr>
                <w:spacing w:val="-7"/>
              </w:rPr>
              <w:t xml:space="preserve"> </w:t>
            </w:r>
            <w:r w:rsidR="00E655B4">
              <w:t>dividendos</w:t>
            </w:r>
            <w:r w:rsidR="00E655B4">
              <w:rPr>
                <w:spacing w:val="-1"/>
              </w:rPr>
              <w:t xml:space="preserve"> </w:t>
            </w:r>
            <w:r w:rsidR="00E655B4">
              <w:t>no</w:t>
            </w:r>
            <w:r w:rsidR="00E655B4">
              <w:rPr>
                <w:spacing w:val="-2"/>
              </w:rPr>
              <w:t xml:space="preserve"> </w:t>
            </w:r>
            <w:r w:rsidR="00E655B4">
              <w:t>Ordenamento</w:t>
            </w:r>
            <w:r w:rsidR="00E655B4">
              <w:rPr>
                <w:spacing w:val="-2"/>
              </w:rPr>
              <w:t xml:space="preserve"> </w:t>
            </w:r>
            <w:r w:rsidR="00E655B4">
              <w:t xml:space="preserve">Jurídico </w:t>
            </w:r>
            <w:r w:rsidR="00E655B4">
              <w:rPr>
                <w:spacing w:val="-2"/>
              </w:rPr>
              <w:t>Brasileiro</w:t>
            </w:r>
            <w:r w:rsidR="00E655B4">
              <w:tab/>
            </w:r>
          </w:hyperlink>
        </w:p>
        <w:p w:rsidR="007259F2" w:rsidRDefault="00E655B4">
          <w:pPr>
            <w:pStyle w:val="TOC2"/>
          </w:pPr>
          <w:r>
            <w:t>Felipe</w:t>
          </w:r>
          <w:r>
            <w:rPr>
              <w:spacing w:val="-2"/>
            </w:rPr>
            <w:t xml:space="preserve"> </w:t>
          </w:r>
          <w:r>
            <w:t>Monteiro</w:t>
          </w:r>
          <w:r>
            <w:rPr>
              <w:spacing w:val="-1"/>
            </w:rPr>
            <w:t xml:space="preserve"> </w:t>
          </w:r>
          <w:r>
            <w:t>dos</w:t>
          </w:r>
          <w:r>
            <w:rPr>
              <w:spacing w:val="-1"/>
            </w:rPr>
            <w:t xml:space="preserve"> </w:t>
          </w:r>
          <w:r>
            <w:rPr>
              <w:spacing w:val="-2"/>
            </w:rPr>
            <w:t>Santos</w:t>
          </w:r>
        </w:p>
        <w:p w:rsidR="007259F2" w:rsidRDefault="00DE6B1C">
          <w:pPr>
            <w:pStyle w:val="TOC1"/>
            <w:tabs>
              <w:tab w:val="left" w:leader="dot" w:pos="9411"/>
            </w:tabs>
            <w:spacing w:before="127"/>
          </w:pPr>
          <w:hyperlink w:anchor="_bookmark10" w:history="1">
            <w:r w:rsidR="00E655B4">
              <w:t>A</w:t>
            </w:r>
            <w:r w:rsidR="00E655B4">
              <w:rPr>
                <w:spacing w:val="-9"/>
              </w:rPr>
              <w:t xml:space="preserve"> </w:t>
            </w:r>
            <w:r w:rsidR="00E655B4">
              <w:t>legitimidade</w:t>
            </w:r>
            <w:r w:rsidR="00E655B4">
              <w:rPr>
                <w:spacing w:val="-4"/>
              </w:rPr>
              <w:t xml:space="preserve"> </w:t>
            </w:r>
            <w:r w:rsidR="00E655B4">
              <w:t>do</w:t>
            </w:r>
            <w:r w:rsidR="00E655B4">
              <w:rPr>
                <w:spacing w:val="-2"/>
              </w:rPr>
              <w:t xml:space="preserve"> </w:t>
            </w:r>
            <w:r w:rsidR="00E655B4">
              <w:t>ente</w:t>
            </w:r>
            <w:r w:rsidR="00E655B4">
              <w:rPr>
                <w:spacing w:val="-5"/>
              </w:rPr>
              <w:t xml:space="preserve"> </w:t>
            </w:r>
            <w:r w:rsidR="00E655B4">
              <w:t>jurídico</w:t>
            </w:r>
            <w:r w:rsidR="00E655B4">
              <w:rPr>
                <w:spacing w:val="-1"/>
              </w:rPr>
              <w:t xml:space="preserve"> </w:t>
            </w:r>
            <w:r w:rsidR="00E655B4">
              <w:t>interessado</w:t>
            </w:r>
            <w:r w:rsidR="00E655B4">
              <w:rPr>
                <w:spacing w:val="-1"/>
              </w:rPr>
              <w:t xml:space="preserve"> </w:t>
            </w:r>
            <w:r w:rsidR="00E655B4">
              <w:t>e</w:t>
            </w:r>
            <w:r w:rsidR="00E655B4">
              <w:rPr>
                <w:spacing w:val="-5"/>
              </w:rPr>
              <w:t xml:space="preserve"> </w:t>
            </w:r>
            <w:r w:rsidR="00E655B4">
              <w:t>o</w:t>
            </w:r>
            <w:r w:rsidR="00E655B4">
              <w:rPr>
                <w:spacing w:val="-4"/>
              </w:rPr>
              <w:t xml:space="preserve"> </w:t>
            </w:r>
            <w:r w:rsidR="00E655B4">
              <w:t xml:space="preserve">Supremo Tribunal </w:t>
            </w:r>
            <w:r w:rsidR="00E655B4">
              <w:rPr>
                <w:spacing w:val="-2"/>
              </w:rPr>
              <w:t>Federal</w:t>
            </w:r>
            <w:r w:rsidR="00E655B4">
              <w:tab/>
            </w:r>
          </w:hyperlink>
        </w:p>
        <w:p w:rsidR="007259F2" w:rsidRDefault="00E655B4">
          <w:pPr>
            <w:pStyle w:val="TOC2"/>
          </w:pPr>
          <w:r>
            <w:t>Henrique</w:t>
          </w:r>
          <w:r>
            <w:rPr>
              <w:spacing w:val="-4"/>
            </w:rPr>
            <w:t xml:space="preserve"> </w:t>
          </w:r>
          <w:r>
            <w:t>Eurico</w:t>
          </w:r>
          <w:r>
            <w:rPr>
              <w:spacing w:val="-1"/>
            </w:rPr>
            <w:t xml:space="preserve"> </w:t>
          </w:r>
          <w:r>
            <w:rPr>
              <w:spacing w:val="-2"/>
            </w:rPr>
            <w:t>Silva</w:t>
          </w:r>
        </w:p>
        <w:p w:rsidR="007259F2" w:rsidRDefault="00DE6B1C">
          <w:pPr>
            <w:pStyle w:val="TOC1"/>
            <w:tabs>
              <w:tab w:val="left" w:leader="dot" w:pos="9411"/>
            </w:tabs>
            <w:spacing w:before="128"/>
          </w:pPr>
          <w:hyperlink w:anchor="_bookmark11" w:history="1">
            <w:r w:rsidR="00E655B4">
              <w:t>A</w:t>
            </w:r>
            <w:r w:rsidR="00E655B4">
              <w:rPr>
                <w:spacing w:val="-15"/>
              </w:rPr>
              <w:t xml:space="preserve"> </w:t>
            </w:r>
            <w:r w:rsidR="00E655B4">
              <w:t>Lei</w:t>
            </w:r>
            <w:r w:rsidR="00E655B4">
              <w:rPr>
                <w:spacing w:val="-2"/>
              </w:rPr>
              <w:t xml:space="preserve"> </w:t>
            </w:r>
            <w:r w:rsidR="00E655B4">
              <w:t>nº</w:t>
            </w:r>
            <w:r w:rsidR="00E655B4">
              <w:rPr>
                <w:spacing w:val="-1"/>
              </w:rPr>
              <w:t xml:space="preserve"> </w:t>
            </w:r>
            <w:r w:rsidR="00E655B4">
              <w:t>10.639/03 e</w:t>
            </w:r>
            <w:r w:rsidR="00E655B4">
              <w:rPr>
                <w:spacing w:val="-1"/>
              </w:rPr>
              <w:t xml:space="preserve"> </w:t>
            </w:r>
            <w:r w:rsidR="00E655B4">
              <w:t>o</w:t>
            </w:r>
            <w:r w:rsidR="00E655B4">
              <w:rPr>
                <w:spacing w:val="-1"/>
              </w:rPr>
              <w:t xml:space="preserve"> </w:t>
            </w:r>
            <w:r w:rsidR="00E655B4">
              <w:t>município</w:t>
            </w:r>
            <w:r w:rsidR="00E655B4">
              <w:rPr>
                <w:spacing w:val="-1"/>
              </w:rPr>
              <w:t xml:space="preserve"> </w:t>
            </w:r>
            <w:r w:rsidR="00E655B4">
              <w:t>de</w:t>
            </w:r>
            <w:r w:rsidR="00E655B4">
              <w:rPr>
                <w:spacing w:val="-1"/>
              </w:rPr>
              <w:t xml:space="preserve"> </w:t>
            </w:r>
            <w:r w:rsidR="00E655B4">
              <w:t>São</w:t>
            </w:r>
            <w:r w:rsidR="00E655B4">
              <w:rPr>
                <w:spacing w:val="-1"/>
              </w:rPr>
              <w:t xml:space="preserve"> </w:t>
            </w:r>
            <w:r w:rsidR="00E655B4">
              <w:t>Paulo:</w:t>
            </w:r>
            <w:r w:rsidR="00E655B4">
              <w:rPr>
                <w:spacing w:val="-1"/>
              </w:rPr>
              <w:t xml:space="preserve"> </w:t>
            </w:r>
            <w:r w:rsidR="00E655B4">
              <w:t>do regime</w:t>
            </w:r>
            <w:r w:rsidR="00E655B4">
              <w:rPr>
                <w:spacing w:val="-2"/>
              </w:rPr>
              <w:t xml:space="preserve"> </w:t>
            </w:r>
            <w:r w:rsidR="00E655B4">
              <w:t>jurídico</w:t>
            </w:r>
            <w:r w:rsidR="00E655B4">
              <w:rPr>
                <w:spacing w:val="-1"/>
              </w:rPr>
              <w:t xml:space="preserve"> </w:t>
            </w:r>
            <w:r w:rsidR="00E655B4">
              <w:t>às</w:t>
            </w:r>
            <w:r w:rsidR="00E655B4">
              <w:rPr>
                <w:spacing w:val="-1"/>
              </w:rPr>
              <w:t xml:space="preserve"> </w:t>
            </w:r>
            <w:r w:rsidR="00E655B4">
              <w:t>ações</w:t>
            </w:r>
            <w:r w:rsidR="00E655B4">
              <w:rPr>
                <w:spacing w:val="2"/>
              </w:rPr>
              <w:t xml:space="preserve"> </w:t>
            </w:r>
            <w:r w:rsidR="00E655B4">
              <w:rPr>
                <w:spacing w:val="-2"/>
              </w:rPr>
              <w:t>municipais</w:t>
            </w:r>
            <w:r w:rsidR="00E655B4">
              <w:tab/>
            </w:r>
          </w:hyperlink>
        </w:p>
        <w:p w:rsidR="007259F2" w:rsidRDefault="00E655B4">
          <w:pPr>
            <w:pStyle w:val="TOC2"/>
            <w:spacing w:before="15"/>
          </w:pPr>
          <w:r>
            <w:t>Luana</w:t>
          </w:r>
          <w:r>
            <w:rPr>
              <w:spacing w:val="-1"/>
            </w:rPr>
            <w:t xml:space="preserve"> </w:t>
          </w:r>
          <w:r>
            <w:t>de</w:t>
          </w:r>
          <w:r>
            <w:rPr>
              <w:spacing w:val="-1"/>
            </w:rPr>
            <w:t xml:space="preserve"> </w:t>
          </w:r>
          <w:r>
            <w:t>Jesus</w:t>
          </w:r>
          <w:r>
            <w:rPr>
              <w:spacing w:val="-1"/>
            </w:rPr>
            <w:t xml:space="preserve"> </w:t>
          </w:r>
          <w:r>
            <w:t xml:space="preserve">Teles </w:t>
          </w:r>
          <w:r>
            <w:rPr>
              <w:spacing w:val="-2"/>
            </w:rPr>
            <w:t>Santos</w:t>
          </w:r>
        </w:p>
        <w:p w:rsidR="007259F2" w:rsidRDefault="00DE6B1C">
          <w:pPr>
            <w:pStyle w:val="TOC1"/>
            <w:tabs>
              <w:tab w:val="left" w:leader="dot" w:pos="9411"/>
            </w:tabs>
            <w:spacing w:before="124" w:line="242" w:lineRule="auto"/>
            <w:ind w:right="432"/>
          </w:pPr>
          <w:hyperlink w:anchor="_bookmark12" w:history="1">
            <w:r w:rsidR="00E655B4">
              <w:rPr>
                <w:i/>
              </w:rPr>
              <w:t xml:space="preserve">Software </w:t>
            </w:r>
            <w:r w:rsidR="00E655B4">
              <w:t>no Piratininga: propriedade intelectual de programas de computador nas</w:t>
            </w:r>
          </w:hyperlink>
          <w:r w:rsidR="00E655B4">
            <w:t xml:space="preserve"> </w:t>
          </w:r>
          <w:hyperlink w:anchor="_bookmark12" w:history="1">
            <w:r w:rsidR="00E655B4">
              <w:t>contratações públicas do Município</w:t>
            </w:r>
            <w:r w:rsidR="00E655B4">
              <w:tab/>
            </w:r>
          </w:hyperlink>
        </w:p>
        <w:p w:rsidR="007259F2" w:rsidRDefault="00E655B4">
          <w:pPr>
            <w:pStyle w:val="TOC2"/>
            <w:spacing w:before="9"/>
          </w:pPr>
          <w:r>
            <w:t>Lucas</w:t>
          </w:r>
          <w:r>
            <w:rPr>
              <w:spacing w:val="-1"/>
            </w:rPr>
            <w:t xml:space="preserve"> </w:t>
          </w:r>
          <w:r>
            <w:t xml:space="preserve">Lazarini </w:t>
          </w:r>
          <w:r>
            <w:rPr>
              <w:spacing w:val="-2"/>
            </w:rPr>
            <w:t>Reginato</w:t>
          </w:r>
        </w:p>
        <w:p w:rsidR="007259F2" w:rsidRDefault="00DE6B1C">
          <w:pPr>
            <w:pStyle w:val="TOC1"/>
            <w:tabs>
              <w:tab w:val="left" w:leader="dot" w:pos="9411"/>
            </w:tabs>
            <w:spacing w:line="242" w:lineRule="auto"/>
            <w:ind w:right="432"/>
          </w:pPr>
          <w:hyperlink w:anchor="_bookmark13" w:history="1">
            <w:r w:rsidR="00E655B4">
              <w:rPr>
                <w:w w:val="105"/>
              </w:rPr>
              <w:t>A Base de cálculo do ITBI no município de São Paulo e o entendimento jurisprudencial</w:t>
            </w:r>
          </w:hyperlink>
          <w:r w:rsidR="00E655B4">
            <w:rPr>
              <w:w w:val="105"/>
            </w:rPr>
            <w:t xml:space="preserve"> </w:t>
          </w:r>
          <w:hyperlink w:anchor="_bookmark13" w:history="1">
            <w:r w:rsidR="00E655B4">
              <w:rPr>
                <w:w w:val="105"/>
              </w:rPr>
              <w:t>acerca do tema</w:t>
            </w:r>
            <w:r w:rsidR="00E655B4">
              <w:tab/>
            </w:r>
          </w:hyperlink>
        </w:p>
        <w:p w:rsidR="007259F2" w:rsidRDefault="00E655B4">
          <w:pPr>
            <w:pStyle w:val="TOC2"/>
            <w:spacing w:before="9"/>
          </w:pPr>
          <w:r>
            <w:t>Mariane</w:t>
          </w:r>
          <w:r>
            <w:rPr>
              <w:spacing w:val="-2"/>
            </w:rPr>
            <w:t xml:space="preserve"> </w:t>
          </w:r>
          <w:r>
            <w:t>Paiva de</w:t>
          </w:r>
          <w:r>
            <w:rPr>
              <w:spacing w:val="-2"/>
            </w:rPr>
            <w:t xml:space="preserve"> </w:t>
          </w:r>
          <w:r>
            <w:t xml:space="preserve">Oliveira </w:t>
          </w:r>
          <w:r>
            <w:rPr>
              <w:spacing w:val="-2"/>
            </w:rPr>
            <w:t>Silva</w:t>
          </w:r>
        </w:p>
        <w:p w:rsidR="007259F2" w:rsidRDefault="00DE6B1C">
          <w:pPr>
            <w:pStyle w:val="TOC1"/>
            <w:tabs>
              <w:tab w:val="left" w:leader="dot" w:pos="9411"/>
            </w:tabs>
            <w:spacing w:line="242" w:lineRule="auto"/>
            <w:ind w:right="432"/>
          </w:pPr>
          <w:hyperlink w:anchor="_bookmark14" w:history="1">
            <w:r w:rsidR="00E655B4">
              <w:t>Direito à saúde, discricionariedade, finalidade e a (im)possibilidade de controle do mérito</w:t>
            </w:r>
          </w:hyperlink>
          <w:r w:rsidR="00E655B4">
            <w:t xml:space="preserve"> </w:t>
          </w:r>
          <w:hyperlink w:anchor="_bookmark14" w:history="1">
            <w:r w:rsidR="00E655B4">
              <w:t>administrativo à luz do RE nº 684.612/RJ</w:t>
            </w:r>
            <w:r w:rsidR="00E655B4">
              <w:tab/>
            </w:r>
          </w:hyperlink>
        </w:p>
        <w:p w:rsidR="007259F2" w:rsidRDefault="00E655B4">
          <w:pPr>
            <w:pStyle w:val="TOC2"/>
            <w:spacing w:after="20"/>
          </w:pPr>
          <w:r>
            <w:t>Nicolaus</w:t>
          </w:r>
          <w:r>
            <w:rPr>
              <w:spacing w:val="-1"/>
            </w:rPr>
            <w:t xml:space="preserve"> </w:t>
          </w:r>
          <w:r>
            <w:t>Felipe</w:t>
          </w:r>
          <w:r>
            <w:rPr>
              <w:spacing w:val="-2"/>
            </w:rPr>
            <w:t xml:space="preserve"> </w:t>
          </w:r>
          <w:r>
            <w:t>Mendes</w:t>
          </w:r>
          <w:r>
            <w:rPr>
              <w:spacing w:val="1"/>
            </w:rPr>
            <w:t xml:space="preserve"> </w:t>
          </w:r>
          <w:r>
            <w:t>Prota</w:t>
          </w:r>
          <w:r>
            <w:rPr>
              <w:spacing w:val="-1"/>
            </w:rPr>
            <w:t xml:space="preserve"> </w:t>
          </w:r>
          <w:r>
            <w:rPr>
              <w:spacing w:val="-2"/>
            </w:rPr>
            <w:t>Torrens</w:t>
          </w:r>
        </w:p>
        <w:p w:rsidR="007259F2" w:rsidRDefault="00DE6B1C">
          <w:pPr>
            <w:pStyle w:val="TOC1"/>
            <w:tabs>
              <w:tab w:val="left" w:leader="dot" w:pos="9411"/>
            </w:tabs>
            <w:spacing w:before="61"/>
            <w:ind w:right="432"/>
          </w:pPr>
          <w:hyperlink w:anchor="_bookmark15" w:history="1">
            <w:r w:rsidR="00E655B4">
              <w:t>A legitimação fundiária como uma vertente do direito a felicidade: como o instrumento</w:t>
            </w:r>
          </w:hyperlink>
          <w:r w:rsidR="00E655B4">
            <w:t xml:space="preserve"> </w:t>
          </w:r>
          <w:hyperlink w:anchor="_bookmark15" w:history="1">
            <w:r w:rsidR="00E655B4">
              <w:t>trazido pela lei nº 13.465/2017 representa um aprimoramento da antiga concessão especial de</w:t>
            </w:r>
          </w:hyperlink>
          <w:r w:rsidR="00E655B4">
            <w:t xml:space="preserve"> </w:t>
          </w:r>
          <w:hyperlink w:anchor="_bookmark15" w:history="1">
            <w:r w:rsidR="00E655B4">
              <w:t>uso</w:t>
            </w:r>
            <w:r w:rsidR="00E655B4">
              <w:rPr>
                <w:spacing w:val="-3"/>
              </w:rPr>
              <w:t xml:space="preserve"> </w:t>
            </w:r>
            <w:r w:rsidR="00E655B4">
              <w:t>para</w:t>
            </w:r>
            <w:r w:rsidR="00E655B4">
              <w:rPr>
                <w:spacing w:val="-3"/>
              </w:rPr>
              <w:t xml:space="preserve"> </w:t>
            </w:r>
            <w:r w:rsidR="00E655B4">
              <w:t>fins</w:t>
            </w:r>
            <w:r w:rsidR="00E655B4">
              <w:rPr>
                <w:spacing w:val="-3"/>
              </w:rPr>
              <w:t xml:space="preserve"> </w:t>
            </w:r>
            <w:r w:rsidR="00E655B4">
              <w:t>de</w:t>
            </w:r>
            <w:r w:rsidR="00E655B4">
              <w:rPr>
                <w:spacing w:val="-3"/>
              </w:rPr>
              <w:t xml:space="preserve"> </w:t>
            </w:r>
            <w:r w:rsidR="00E655B4">
              <w:t>moradia</w:t>
            </w:r>
            <w:r w:rsidR="00E655B4">
              <w:rPr>
                <w:spacing w:val="-3"/>
              </w:rPr>
              <w:t xml:space="preserve"> </w:t>
            </w:r>
            <w:r w:rsidR="00E655B4">
              <w:t>e</w:t>
            </w:r>
            <w:r w:rsidR="00E655B4">
              <w:rPr>
                <w:spacing w:val="-3"/>
              </w:rPr>
              <w:t xml:space="preserve"> </w:t>
            </w:r>
            <w:r w:rsidR="00E655B4">
              <w:t>pode</w:t>
            </w:r>
            <w:r w:rsidR="00E655B4">
              <w:rPr>
                <w:spacing w:val="-3"/>
              </w:rPr>
              <w:t xml:space="preserve"> </w:t>
            </w:r>
            <w:r w:rsidR="00E655B4">
              <w:t>auxiliar</w:t>
            </w:r>
            <w:r w:rsidR="00E655B4">
              <w:rPr>
                <w:spacing w:val="-3"/>
              </w:rPr>
              <w:t xml:space="preserve"> </w:t>
            </w:r>
            <w:r w:rsidR="00E655B4">
              <w:t>na</w:t>
            </w:r>
            <w:r w:rsidR="00E655B4">
              <w:rPr>
                <w:spacing w:val="-3"/>
              </w:rPr>
              <w:t xml:space="preserve"> </w:t>
            </w:r>
            <w:r w:rsidR="00E655B4">
              <w:t>concretização</w:t>
            </w:r>
            <w:r w:rsidR="00E655B4">
              <w:rPr>
                <w:spacing w:val="-3"/>
              </w:rPr>
              <w:t xml:space="preserve"> </w:t>
            </w:r>
            <w:r w:rsidR="00E655B4">
              <w:t>do</w:t>
            </w:r>
            <w:r w:rsidR="00E655B4">
              <w:rPr>
                <w:spacing w:val="-3"/>
              </w:rPr>
              <w:t xml:space="preserve"> </w:t>
            </w:r>
            <w:r w:rsidR="00E655B4">
              <w:t>princípio</w:t>
            </w:r>
            <w:r w:rsidR="00E655B4">
              <w:rPr>
                <w:spacing w:val="-3"/>
              </w:rPr>
              <w:t xml:space="preserve"> </w:t>
            </w:r>
            <w:r w:rsidR="00E655B4">
              <w:t>da</w:t>
            </w:r>
            <w:r w:rsidR="00E655B4">
              <w:rPr>
                <w:spacing w:val="-3"/>
              </w:rPr>
              <w:t xml:space="preserve"> </w:t>
            </w:r>
            <w:r w:rsidR="00E655B4">
              <w:t>dignidade</w:t>
            </w:r>
            <w:r w:rsidR="00E655B4">
              <w:rPr>
                <w:spacing w:val="-3"/>
              </w:rPr>
              <w:t xml:space="preserve"> </w:t>
            </w:r>
            <w:r w:rsidR="00E655B4">
              <w:t>da</w:t>
            </w:r>
            <w:r w:rsidR="00E655B4">
              <w:rPr>
                <w:spacing w:val="-5"/>
              </w:rPr>
              <w:t xml:space="preserve"> </w:t>
            </w:r>
            <w:r w:rsidR="00E655B4">
              <w:t>pessoa</w:t>
            </w:r>
          </w:hyperlink>
          <w:r w:rsidR="00E655B4">
            <w:t xml:space="preserve"> </w:t>
          </w:r>
          <w:hyperlink w:anchor="_bookmark15" w:history="1">
            <w:r w:rsidR="00E655B4">
              <w:rPr>
                <w:spacing w:val="-2"/>
              </w:rPr>
              <w:t>humana</w:t>
            </w:r>
            <w:r w:rsidR="00E655B4">
              <w:tab/>
            </w:r>
          </w:hyperlink>
        </w:p>
        <w:p w:rsidR="007259F2" w:rsidRDefault="00E655B4">
          <w:pPr>
            <w:pStyle w:val="TOC2"/>
            <w:spacing w:before="15"/>
          </w:pPr>
          <w:r>
            <w:t>Paulo</w:t>
          </w:r>
          <w:r>
            <w:rPr>
              <w:spacing w:val="-1"/>
            </w:rPr>
            <w:t xml:space="preserve"> </w:t>
          </w:r>
          <w:r>
            <w:t>Eduardo Melo</w:t>
          </w:r>
          <w:r>
            <w:rPr>
              <w:spacing w:val="-1"/>
            </w:rPr>
            <w:t xml:space="preserve"> </w:t>
          </w:r>
          <w:r>
            <w:t>Cavalcante</w:t>
          </w:r>
          <w:r>
            <w:rPr>
              <w:spacing w:val="-1"/>
            </w:rPr>
            <w:t xml:space="preserve"> </w:t>
          </w:r>
          <w:r>
            <w:t>do</w:t>
          </w:r>
          <w:r>
            <w:rPr>
              <w:spacing w:val="-1"/>
            </w:rPr>
            <w:t xml:space="preserve"> </w:t>
          </w:r>
          <w:r>
            <w:t xml:space="preserve">Espírito </w:t>
          </w:r>
          <w:r>
            <w:rPr>
              <w:spacing w:val="-4"/>
            </w:rPr>
            <w:t>Santo</w:t>
          </w:r>
        </w:p>
        <w:p w:rsidR="007259F2" w:rsidRDefault="00DE6B1C">
          <w:pPr>
            <w:pStyle w:val="TOC1"/>
            <w:tabs>
              <w:tab w:val="left" w:leader="dot" w:pos="9411"/>
            </w:tabs>
            <w:spacing w:before="127"/>
          </w:pPr>
          <w:hyperlink w:anchor="_bookmark16" w:history="1">
            <w:r w:rsidR="00E655B4">
              <w:t>Por</w:t>
            </w:r>
            <w:r w:rsidR="00E655B4">
              <w:rPr>
                <w:spacing w:val="-2"/>
              </w:rPr>
              <w:t xml:space="preserve"> </w:t>
            </w:r>
            <w:r w:rsidR="00E655B4">
              <w:t>dentro</w:t>
            </w:r>
            <w:r w:rsidR="00E655B4">
              <w:rPr>
                <w:spacing w:val="-1"/>
              </w:rPr>
              <w:t xml:space="preserve"> </w:t>
            </w:r>
            <w:r w:rsidR="00E655B4">
              <w:t>da</w:t>
            </w:r>
            <w:r w:rsidR="00E655B4">
              <w:rPr>
                <w:spacing w:val="-1"/>
              </w:rPr>
              <w:t xml:space="preserve"> </w:t>
            </w:r>
            <w:r w:rsidR="00E655B4">
              <w:t>Casa</w:t>
            </w:r>
            <w:r w:rsidR="00E655B4">
              <w:rPr>
                <w:spacing w:val="-1"/>
              </w:rPr>
              <w:t xml:space="preserve"> </w:t>
            </w:r>
            <w:r w:rsidR="00E655B4">
              <w:t>Civil/ATL:</w:t>
            </w:r>
            <w:r w:rsidR="00E655B4">
              <w:rPr>
                <w:spacing w:val="-1"/>
              </w:rPr>
              <w:t xml:space="preserve"> </w:t>
            </w:r>
            <w:r w:rsidR="00E655B4">
              <w:t>fica autorizada</w:t>
            </w:r>
            <w:r w:rsidR="00E655B4">
              <w:rPr>
                <w:spacing w:val="-1"/>
              </w:rPr>
              <w:t xml:space="preserve"> </w:t>
            </w:r>
            <w:r w:rsidR="00E655B4">
              <w:t>uma</w:t>
            </w:r>
            <w:r w:rsidR="00E655B4">
              <w:rPr>
                <w:spacing w:val="-1"/>
              </w:rPr>
              <w:t xml:space="preserve"> </w:t>
            </w:r>
            <w:r w:rsidR="00E655B4">
              <w:t>análise</w:t>
            </w:r>
            <w:r w:rsidR="00E655B4">
              <w:rPr>
                <w:spacing w:val="-2"/>
              </w:rPr>
              <w:t xml:space="preserve"> </w:t>
            </w:r>
            <w:r w:rsidR="00E655B4">
              <w:t>linguística</w:t>
            </w:r>
            <w:r w:rsidR="00E655B4">
              <w:rPr>
                <w:spacing w:val="-4"/>
              </w:rPr>
              <w:t xml:space="preserve"> </w:t>
            </w:r>
            <w:r w:rsidR="00E655B4">
              <w:t xml:space="preserve">do </w:t>
            </w:r>
            <w:r w:rsidR="00E655B4">
              <w:rPr>
                <w:spacing w:val="-2"/>
              </w:rPr>
              <w:t>Direito</w:t>
            </w:r>
            <w:r w:rsidR="00E655B4">
              <w:tab/>
            </w:r>
          </w:hyperlink>
        </w:p>
        <w:p w:rsidR="007259F2" w:rsidRDefault="00E655B4">
          <w:pPr>
            <w:pStyle w:val="TOC2"/>
          </w:pPr>
          <w:r>
            <w:t>Renata</w:t>
          </w:r>
          <w:r>
            <w:rPr>
              <w:spacing w:val="-2"/>
            </w:rPr>
            <w:t xml:space="preserve"> </w:t>
          </w:r>
          <w:r>
            <w:t>de</w:t>
          </w:r>
          <w:r>
            <w:rPr>
              <w:spacing w:val="-1"/>
            </w:rPr>
            <w:t xml:space="preserve"> </w:t>
          </w:r>
          <w:r>
            <w:t>Moraes</w:t>
          </w:r>
          <w:r>
            <w:rPr>
              <w:spacing w:val="-1"/>
            </w:rPr>
            <w:t xml:space="preserve"> </w:t>
          </w:r>
          <w:r>
            <w:t>Rosa</w:t>
          </w:r>
          <w:r>
            <w:rPr>
              <w:spacing w:val="1"/>
            </w:rPr>
            <w:t xml:space="preserve"> </w:t>
          </w:r>
          <w:r>
            <w:rPr>
              <w:spacing w:val="-2"/>
            </w:rPr>
            <w:t>Santana</w:t>
          </w:r>
        </w:p>
        <w:p w:rsidR="007259F2" w:rsidRDefault="00DE6B1C">
          <w:pPr>
            <w:pStyle w:val="TOC1"/>
            <w:tabs>
              <w:tab w:val="left" w:leader="dot" w:pos="9411"/>
            </w:tabs>
            <w:spacing w:before="127"/>
          </w:pPr>
          <w:hyperlink w:anchor="_bookmark17" w:history="1">
            <w:r w:rsidR="00E655B4">
              <w:t>O</w:t>
            </w:r>
            <w:r w:rsidR="00E655B4">
              <w:rPr>
                <w:spacing w:val="-5"/>
              </w:rPr>
              <w:t xml:space="preserve"> </w:t>
            </w:r>
            <w:r w:rsidR="00E655B4">
              <w:t>impacto</w:t>
            </w:r>
            <w:r w:rsidR="00E655B4">
              <w:rPr>
                <w:spacing w:val="-2"/>
              </w:rPr>
              <w:t xml:space="preserve"> </w:t>
            </w:r>
            <w:r w:rsidR="00E655B4">
              <w:t>da</w:t>
            </w:r>
            <w:r w:rsidR="00E655B4">
              <w:rPr>
                <w:spacing w:val="-2"/>
              </w:rPr>
              <w:t xml:space="preserve"> </w:t>
            </w:r>
            <w:r w:rsidR="00E655B4">
              <w:t>inserção</w:t>
            </w:r>
            <w:r w:rsidR="00E655B4">
              <w:rPr>
                <w:spacing w:val="-1"/>
              </w:rPr>
              <w:t xml:space="preserve"> </w:t>
            </w:r>
            <w:r w:rsidR="00E655B4">
              <w:t>do</w:t>
            </w:r>
            <w:r w:rsidR="00E655B4">
              <w:rPr>
                <w:spacing w:val="-2"/>
              </w:rPr>
              <w:t xml:space="preserve"> </w:t>
            </w:r>
            <w:r w:rsidR="00E655B4">
              <w:t>diálogo</w:t>
            </w:r>
            <w:r w:rsidR="00E655B4">
              <w:rPr>
                <w:spacing w:val="-2"/>
              </w:rPr>
              <w:t xml:space="preserve"> </w:t>
            </w:r>
            <w:r w:rsidR="00E655B4">
              <w:t>competitivo</w:t>
            </w:r>
            <w:r w:rsidR="00E655B4">
              <w:rPr>
                <w:spacing w:val="-1"/>
              </w:rPr>
              <w:t xml:space="preserve"> </w:t>
            </w:r>
            <w:r w:rsidR="00E655B4">
              <w:t>nas</w:t>
            </w:r>
            <w:r w:rsidR="00E655B4">
              <w:rPr>
                <w:spacing w:val="-2"/>
              </w:rPr>
              <w:t xml:space="preserve"> </w:t>
            </w:r>
            <w:r w:rsidR="00E655B4">
              <w:t>contratações</w:t>
            </w:r>
            <w:r w:rsidR="00E655B4">
              <w:rPr>
                <w:spacing w:val="-2"/>
              </w:rPr>
              <w:t xml:space="preserve"> públicas</w:t>
            </w:r>
            <w:r w:rsidR="00E655B4">
              <w:tab/>
            </w:r>
          </w:hyperlink>
        </w:p>
        <w:p w:rsidR="007259F2" w:rsidRDefault="00E655B4">
          <w:pPr>
            <w:pStyle w:val="TOC2"/>
            <w:spacing w:before="14"/>
          </w:pPr>
          <w:r>
            <w:t>Renato</w:t>
          </w:r>
          <w:r>
            <w:rPr>
              <w:spacing w:val="-1"/>
            </w:rPr>
            <w:t xml:space="preserve"> </w:t>
          </w:r>
          <w:r>
            <w:t>Santos</w:t>
          </w:r>
          <w:r>
            <w:rPr>
              <w:spacing w:val="-1"/>
            </w:rPr>
            <w:t xml:space="preserve"> </w:t>
          </w:r>
          <w:r>
            <w:t>de</w:t>
          </w:r>
          <w:r>
            <w:rPr>
              <w:spacing w:val="-1"/>
            </w:rPr>
            <w:t xml:space="preserve"> </w:t>
          </w:r>
          <w:r>
            <w:rPr>
              <w:spacing w:val="-2"/>
            </w:rPr>
            <w:t>Oliveira</w:t>
          </w:r>
        </w:p>
        <w:p w:rsidR="007259F2" w:rsidRDefault="00DE6B1C">
          <w:pPr>
            <w:pStyle w:val="TOC1"/>
            <w:tabs>
              <w:tab w:val="left" w:leader="dot" w:pos="9411"/>
            </w:tabs>
            <w:spacing w:line="242" w:lineRule="auto"/>
            <w:ind w:right="432"/>
          </w:pPr>
          <w:hyperlink w:anchor="_bookmark18" w:history="1">
            <w:r w:rsidR="00E655B4">
              <w:t>A aplicação da teoria dos diálogos institucionais na discussão de projetos de lei</w:t>
            </w:r>
            <w:r w:rsidR="00E655B4">
              <w:rPr>
                <w:spacing w:val="-4"/>
              </w:rPr>
              <w:t xml:space="preserve"> </w:t>
            </w:r>
            <w:r w:rsidR="00E655B4">
              <w:t>dentro da</w:t>
            </w:r>
          </w:hyperlink>
          <w:r w:rsidR="00E655B4">
            <w:t xml:space="preserve"> </w:t>
          </w:r>
          <w:hyperlink w:anchor="_bookmark18" w:history="1">
            <w:r w:rsidR="00E655B4">
              <w:t>administração municipal</w:t>
            </w:r>
            <w:r w:rsidR="00E655B4">
              <w:tab/>
            </w:r>
          </w:hyperlink>
        </w:p>
        <w:p w:rsidR="007259F2" w:rsidRDefault="00E655B4">
          <w:pPr>
            <w:pStyle w:val="TOC2"/>
            <w:spacing w:before="10"/>
          </w:pPr>
          <w:r>
            <w:t>Romulo</w:t>
          </w:r>
          <w:r>
            <w:rPr>
              <w:spacing w:val="-2"/>
            </w:rPr>
            <w:t xml:space="preserve"> </w:t>
          </w:r>
          <w:r>
            <w:t>Oliveira</w:t>
          </w:r>
          <w:r>
            <w:rPr>
              <w:spacing w:val="-1"/>
            </w:rPr>
            <w:t xml:space="preserve"> </w:t>
          </w:r>
          <w:r>
            <w:rPr>
              <w:spacing w:val="-2"/>
            </w:rPr>
            <w:t>Redondo</w:t>
          </w:r>
        </w:p>
        <w:p w:rsidR="007259F2" w:rsidRDefault="00DE6B1C">
          <w:pPr>
            <w:pStyle w:val="TOC1"/>
            <w:tabs>
              <w:tab w:val="left" w:leader="dot" w:pos="9411"/>
            </w:tabs>
            <w:ind w:right="432"/>
          </w:pPr>
          <w:hyperlink w:anchor="_bookmark19" w:history="1">
            <w:r w:rsidR="00E655B4">
              <w:t>Instrumentos</w:t>
            </w:r>
            <w:r w:rsidR="00E655B4">
              <w:rPr>
                <w:spacing w:val="-3"/>
              </w:rPr>
              <w:t xml:space="preserve"> </w:t>
            </w:r>
            <w:r w:rsidR="00E655B4">
              <w:t>Indutores</w:t>
            </w:r>
            <w:r w:rsidR="00E655B4">
              <w:rPr>
                <w:spacing w:val="-1"/>
              </w:rPr>
              <w:t xml:space="preserve"> </w:t>
            </w:r>
            <w:r w:rsidR="00E655B4">
              <w:t>da</w:t>
            </w:r>
            <w:r w:rsidR="00E655B4">
              <w:rPr>
                <w:spacing w:val="-3"/>
              </w:rPr>
              <w:t xml:space="preserve"> </w:t>
            </w:r>
            <w:r w:rsidR="00E655B4">
              <w:t>Função</w:t>
            </w:r>
            <w:r w:rsidR="00E655B4">
              <w:rPr>
                <w:spacing w:val="-3"/>
              </w:rPr>
              <w:t xml:space="preserve"> </w:t>
            </w:r>
            <w:r w:rsidR="00E655B4">
              <w:t>Social</w:t>
            </w:r>
            <w:r w:rsidR="00E655B4">
              <w:rPr>
                <w:spacing w:val="-3"/>
              </w:rPr>
              <w:t xml:space="preserve"> </w:t>
            </w:r>
            <w:r w:rsidR="00E655B4">
              <w:t>da</w:t>
            </w:r>
            <w:r w:rsidR="00E655B4">
              <w:rPr>
                <w:spacing w:val="-3"/>
              </w:rPr>
              <w:t xml:space="preserve"> </w:t>
            </w:r>
            <w:r w:rsidR="00E655B4">
              <w:t>Propriedade</w:t>
            </w:r>
            <w:r w:rsidR="00E655B4">
              <w:rPr>
                <w:spacing w:val="-4"/>
              </w:rPr>
              <w:t xml:space="preserve"> </w:t>
            </w:r>
            <w:r w:rsidR="00E655B4">
              <w:t>Urbana</w:t>
            </w:r>
            <w:r w:rsidR="00E655B4">
              <w:rPr>
                <w:spacing w:val="-3"/>
              </w:rPr>
              <w:t xml:space="preserve"> </w:t>
            </w:r>
            <w:r w:rsidR="00E655B4">
              <w:t>no</w:t>
            </w:r>
            <w:r w:rsidR="00E655B4">
              <w:rPr>
                <w:spacing w:val="-6"/>
              </w:rPr>
              <w:t xml:space="preserve"> </w:t>
            </w:r>
            <w:r w:rsidR="00E655B4">
              <w:t>Município</w:t>
            </w:r>
            <w:r w:rsidR="00E655B4">
              <w:rPr>
                <w:spacing w:val="-3"/>
              </w:rPr>
              <w:t xml:space="preserve"> </w:t>
            </w:r>
            <w:r w:rsidR="00E655B4">
              <w:t>de</w:t>
            </w:r>
            <w:r w:rsidR="00E655B4">
              <w:rPr>
                <w:spacing w:val="-4"/>
              </w:rPr>
              <w:t xml:space="preserve"> </w:t>
            </w:r>
            <w:r w:rsidR="00E655B4">
              <w:t>São</w:t>
            </w:r>
            <w:r w:rsidR="00E655B4">
              <w:rPr>
                <w:spacing w:val="-3"/>
              </w:rPr>
              <w:t xml:space="preserve"> </w:t>
            </w:r>
            <w:r w:rsidR="00E655B4">
              <w:t>Paulo:</w:t>
            </w:r>
          </w:hyperlink>
          <w:r w:rsidR="00E655B4">
            <w:t xml:space="preserve"> </w:t>
          </w:r>
          <w:hyperlink w:anchor="_bookmark19" w:history="1">
            <w:r w:rsidR="00E655B4">
              <w:t>Desapropriação com Pagamento Mediante Títulos da Dívida Pública e Instrumentos</w:t>
            </w:r>
          </w:hyperlink>
          <w:r w:rsidR="00E655B4">
            <w:t xml:space="preserve"> </w:t>
          </w:r>
          <w:hyperlink w:anchor="_bookmark19" w:history="1">
            <w:r w:rsidR="00E655B4">
              <w:rPr>
                <w:spacing w:val="-2"/>
              </w:rPr>
              <w:t>Alternativos</w:t>
            </w:r>
            <w:r w:rsidR="00E655B4">
              <w:tab/>
            </w:r>
          </w:hyperlink>
        </w:p>
        <w:p w:rsidR="007259F2" w:rsidRDefault="00E655B4">
          <w:pPr>
            <w:pStyle w:val="TOC2"/>
            <w:spacing w:before="14"/>
          </w:pPr>
          <w:r>
            <w:t>Thais de</w:t>
          </w:r>
          <w:r>
            <w:rPr>
              <w:spacing w:val="-1"/>
            </w:rPr>
            <w:t xml:space="preserve"> </w:t>
          </w:r>
          <w:r>
            <w:t xml:space="preserve">Arruda </w:t>
          </w:r>
          <w:r>
            <w:rPr>
              <w:spacing w:val="-2"/>
            </w:rPr>
            <w:t>Pelligrino</w:t>
          </w:r>
        </w:p>
        <w:p w:rsidR="007259F2" w:rsidRDefault="00DE6B1C">
          <w:pPr>
            <w:pStyle w:val="TOC1"/>
            <w:tabs>
              <w:tab w:val="left" w:leader="dot" w:pos="9411"/>
            </w:tabs>
            <w:spacing w:line="242" w:lineRule="auto"/>
            <w:ind w:right="432"/>
          </w:pPr>
          <w:hyperlink w:anchor="_bookmark20" w:history="1">
            <w:r w:rsidR="00E655B4">
              <w:t>Imunidade</w:t>
            </w:r>
            <w:r w:rsidR="00E655B4">
              <w:rPr>
                <w:spacing w:val="-2"/>
              </w:rPr>
              <w:t xml:space="preserve"> </w:t>
            </w:r>
            <w:r w:rsidR="00E655B4">
              <w:t>Tributária recíproca</w:t>
            </w:r>
            <w:r w:rsidR="00E655B4">
              <w:rPr>
                <w:spacing w:val="-1"/>
              </w:rPr>
              <w:t xml:space="preserve"> </w:t>
            </w:r>
            <w:r w:rsidR="00E655B4">
              <w:t>ao</w:t>
            </w:r>
            <w:r w:rsidR="00E655B4">
              <w:rPr>
                <w:spacing w:val="-1"/>
              </w:rPr>
              <w:t xml:space="preserve"> </w:t>
            </w:r>
            <w:r w:rsidR="00E655B4">
              <w:t>IPTU</w:t>
            </w:r>
            <w:r w:rsidR="00E655B4">
              <w:rPr>
                <w:spacing w:val="-1"/>
              </w:rPr>
              <w:t xml:space="preserve"> </w:t>
            </w:r>
            <w:r w:rsidR="00E655B4">
              <w:t>em</w:t>
            </w:r>
            <w:r w:rsidR="00E655B4">
              <w:rPr>
                <w:spacing w:val="-2"/>
              </w:rPr>
              <w:t xml:space="preserve"> </w:t>
            </w:r>
            <w:r w:rsidR="00E655B4">
              <w:t>imóveis</w:t>
            </w:r>
            <w:r w:rsidR="00E655B4">
              <w:rPr>
                <w:spacing w:val="-1"/>
              </w:rPr>
              <w:t xml:space="preserve"> </w:t>
            </w:r>
            <w:r w:rsidR="00E655B4">
              <w:t>públicos</w:t>
            </w:r>
            <w:r w:rsidR="00E655B4">
              <w:rPr>
                <w:spacing w:val="-1"/>
              </w:rPr>
              <w:t xml:space="preserve"> </w:t>
            </w:r>
            <w:r w:rsidR="00E655B4">
              <w:t>utilizados</w:t>
            </w:r>
            <w:r w:rsidR="00E655B4">
              <w:rPr>
                <w:spacing w:val="-1"/>
              </w:rPr>
              <w:t xml:space="preserve"> </w:t>
            </w:r>
            <w:r w:rsidR="00E655B4">
              <w:t>por</w:t>
            </w:r>
            <w:r w:rsidR="00E655B4">
              <w:rPr>
                <w:spacing w:val="-2"/>
              </w:rPr>
              <w:t xml:space="preserve"> </w:t>
            </w:r>
            <w:r w:rsidR="00E655B4">
              <w:t>pessoas</w:t>
            </w:r>
            <w:r w:rsidR="00E655B4">
              <w:rPr>
                <w:spacing w:val="-1"/>
              </w:rPr>
              <w:t xml:space="preserve"> </w:t>
            </w:r>
            <w:r w:rsidR="00E655B4">
              <w:t>jurídicas</w:t>
            </w:r>
          </w:hyperlink>
          <w:r w:rsidR="00E655B4">
            <w:t xml:space="preserve"> </w:t>
          </w:r>
          <w:hyperlink w:anchor="_bookmark20" w:history="1">
            <w:r w:rsidR="00E655B4">
              <w:t>de</w:t>
            </w:r>
            <w:r w:rsidR="00E655B4">
              <w:rPr>
                <w:spacing w:val="-2"/>
              </w:rPr>
              <w:t xml:space="preserve"> </w:t>
            </w:r>
            <w:r w:rsidR="00E655B4">
              <w:t>direito</w:t>
            </w:r>
            <w:r w:rsidR="00E655B4">
              <w:rPr>
                <w:spacing w:val="-1"/>
              </w:rPr>
              <w:t xml:space="preserve"> </w:t>
            </w:r>
            <w:r w:rsidR="00E655B4">
              <w:t>privado</w:t>
            </w:r>
            <w:r w:rsidR="00E655B4">
              <w:rPr>
                <w:spacing w:val="-1"/>
              </w:rPr>
              <w:t xml:space="preserve"> </w:t>
            </w:r>
            <w:r w:rsidR="00E655B4">
              <w:t>prestadoras</w:t>
            </w:r>
            <w:r w:rsidR="00E655B4">
              <w:rPr>
                <w:spacing w:val="-1"/>
              </w:rPr>
              <w:t xml:space="preserve"> </w:t>
            </w:r>
            <w:r w:rsidR="00E655B4">
              <w:t>de</w:t>
            </w:r>
            <w:r w:rsidR="00E655B4">
              <w:rPr>
                <w:spacing w:val="-2"/>
              </w:rPr>
              <w:t xml:space="preserve"> </w:t>
            </w:r>
            <w:r w:rsidR="00E655B4">
              <w:t>serviço</w:t>
            </w:r>
            <w:r w:rsidR="00E655B4">
              <w:rPr>
                <w:spacing w:val="-1"/>
              </w:rPr>
              <w:t xml:space="preserve"> </w:t>
            </w:r>
            <w:r w:rsidR="00E655B4">
              <w:rPr>
                <w:spacing w:val="-2"/>
              </w:rPr>
              <w:t>público</w:t>
            </w:r>
            <w:r w:rsidR="00E655B4">
              <w:tab/>
            </w:r>
          </w:hyperlink>
        </w:p>
        <w:p w:rsidR="007259F2" w:rsidRDefault="00E655B4">
          <w:pPr>
            <w:pStyle w:val="TOC2"/>
            <w:spacing w:before="11"/>
          </w:pPr>
          <w:r>
            <w:t>Vitória</w:t>
          </w:r>
          <w:r>
            <w:rPr>
              <w:spacing w:val="-1"/>
            </w:rPr>
            <w:t xml:space="preserve"> </w:t>
          </w:r>
          <w:r>
            <w:t>de</w:t>
          </w:r>
          <w:r>
            <w:rPr>
              <w:spacing w:val="-1"/>
            </w:rPr>
            <w:t xml:space="preserve"> </w:t>
          </w:r>
          <w:r>
            <w:t>Melo</w:t>
          </w:r>
          <w:r>
            <w:rPr>
              <w:spacing w:val="-1"/>
            </w:rPr>
            <w:t xml:space="preserve"> </w:t>
          </w:r>
          <w:r>
            <w:rPr>
              <w:spacing w:val="-2"/>
            </w:rPr>
            <w:t>Pereira</w:t>
          </w:r>
        </w:p>
        <w:p w:rsidR="007259F2" w:rsidRDefault="00DE6B1C">
          <w:pPr>
            <w:pStyle w:val="TOC1"/>
            <w:tabs>
              <w:tab w:val="left" w:leader="dot" w:pos="9411"/>
            </w:tabs>
            <w:spacing w:before="127"/>
          </w:pPr>
          <w:hyperlink w:anchor="_bookmark21" w:history="1">
            <w:r w:rsidR="00E655B4">
              <w:t>Usucapião</w:t>
            </w:r>
            <w:r w:rsidR="00E655B4">
              <w:rPr>
                <w:spacing w:val="-2"/>
              </w:rPr>
              <w:t xml:space="preserve"> </w:t>
            </w:r>
            <w:r w:rsidR="00E655B4">
              <w:t>de</w:t>
            </w:r>
            <w:r w:rsidR="00E655B4">
              <w:rPr>
                <w:spacing w:val="-2"/>
              </w:rPr>
              <w:t xml:space="preserve"> </w:t>
            </w:r>
            <w:r w:rsidR="00E655B4">
              <w:t>Bens</w:t>
            </w:r>
            <w:r w:rsidR="00E655B4">
              <w:rPr>
                <w:spacing w:val="-1"/>
              </w:rPr>
              <w:t xml:space="preserve"> </w:t>
            </w:r>
            <w:r w:rsidR="00E655B4">
              <w:t>Públicos:</w:t>
            </w:r>
            <w:r w:rsidR="00E655B4">
              <w:rPr>
                <w:spacing w:val="-1"/>
              </w:rPr>
              <w:t xml:space="preserve"> </w:t>
            </w:r>
            <w:r w:rsidR="00E655B4">
              <w:rPr>
                <w:spacing w:val="-2"/>
              </w:rPr>
              <w:t>(Im)possibilidade?</w:t>
            </w:r>
            <w:r w:rsidR="00E655B4">
              <w:tab/>
            </w:r>
          </w:hyperlink>
        </w:p>
        <w:p w:rsidR="007259F2" w:rsidRDefault="00E655B4">
          <w:pPr>
            <w:pStyle w:val="TOC2"/>
            <w:spacing w:before="13"/>
          </w:pPr>
          <w:r>
            <w:t>Yasmine</w:t>
          </w:r>
          <w:r>
            <w:rPr>
              <w:spacing w:val="-1"/>
            </w:rPr>
            <w:t xml:space="preserve"> </w:t>
          </w:r>
          <w:r>
            <w:t>Ramos Cezar</w:t>
          </w:r>
          <w:r>
            <w:rPr>
              <w:spacing w:val="2"/>
            </w:rPr>
            <w:t xml:space="preserve"> </w:t>
          </w:r>
          <w:r>
            <w:rPr>
              <w:spacing w:val="-2"/>
            </w:rPr>
            <w:t>Gomes</w:t>
          </w:r>
        </w:p>
        <w:p w:rsidR="007259F2" w:rsidRDefault="00E655B4">
          <w:pPr>
            <w:pStyle w:val="TOC1"/>
            <w:spacing w:before="521"/>
          </w:pPr>
          <w:r>
            <w:rPr>
              <w:u w:val="single"/>
            </w:rPr>
            <w:t>ESTUDOS</w:t>
          </w:r>
          <w:r>
            <w:rPr>
              <w:spacing w:val="-2"/>
              <w:u w:val="single"/>
            </w:rPr>
            <w:t xml:space="preserve"> </w:t>
          </w:r>
          <w:r>
            <w:rPr>
              <w:u w:val="single"/>
            </w:rPr>
            <w:t xml:space="preserve">DE </w:t>
          </w:r>
          <w:r>
            <w:rPr>
              <w:spacing w:val="-4"/>
              <w:u w:val="single"/>
            </w:rPr>
            <w:t>CASO</w:t>
          </w:r>
        </w:p>
        <w:p w:rsidR="007259F2" w:rsidRDefault="00DE6B1C">
          <w:pPr>
            <w:pStyle w:val="TOC1"/>
            <w:spacing w:before="516"/>
          </w:pPr>
          <w:hyperlink w:anchor="_bookmark22" w:history="1">
            <w:r w:rsidR="00E655B4">
              <w:t>O</w:t>
            </w:r>
            <w:r w:rsidR="00E655B4">
              <w:rPr>
                <w:spacing w:val="-2"/>
              </w:rPr>
              <w:t xml:space="preserve"> </w:t>
            </w:r>
            <w:r w:rsidR="00E655B4">
              <w:t>Termo</w:t>
            </w:r>
            <w:r w:rsidR="00E655B4">
              <w:rPr>
                <w:spacing w:val="-1"/>
              </w:rPr>
              <w:t xml:space="preserve"> </w:t>
            </w:r>
            <w:r w:rsidR="00E655B4">
              <w:t>Inicial</w:t>
            </w:r>
            <w:r w:rsidR="00E655B4">
              <w:rPr>
                <w:spacing w:val="-1"/>
              </w:rPr>
              <w:t xml:space="preserve"> </w:t>
            </w:r>
            <w:r w:rsidR="00E655B4">
              <w:t>da</w:t>
            </w:r>
            <w:r w:rsidR="00E655B4">
              <w:rPr>
                <w:spacing w:val="-1"/>
              </w:rPr>
              <w:t xml:space="preserve"> </w:t>
            </w:r>
            <w:r w:rsidR="00E655B4">
              <w:t>Pretensão</w:t>
            </w:r>
            <w:r w:rsidR="00E655B4">
              <w:rPr>
                <w:spacing w:val="-1"/>
              </w:rPr>
              <w:t xml:space="preserve"> </w:t>
            </w:r>
            <w:r w:rsidR="00E655B4">
              <w:t>Regressiva</w:t>
            </w:r>
            <w:r w:rsidR="00E655B4">
              <w:rPr>
                <w:spacing w:val="-1"/>
              </w:rPr>
              <w:t xml:space="preserve"> </w:t>
            </w:r>
            <w:r w:rsidR="00E655B4">
              <w:t>do</w:t>
            </w:r>
            <w:r w:rsidR="00E655B4">
              <w:rPr>
                <w:spacing w:val="-1"/>
              </w:rPr>
              <w:t xml:space="preserve"> </w:t>
            </w:r>
            <w:r w:rsidR="00E655B4">
              <w:t>Estado</w:t>
            </w:r>
            <w:r w:rsidR="00E655B4">
              <w:rPr>
                <w:spacing w:val="-2"/>
              </w:rPr>
              <w:t xml:space="preserve"> </w:t>
            </w:r>
            <w:r w:rsidR="00E655B4">
              <w:t>sob o</w:t>
            </w:r>
            <w:r w:rsidR="00E655B4">
              <w:rPr>
                <w:spacing w:val="-1"/>
              </w:rPr>
              <w:t xml:space="preserve"> </w:t>
            </w:r>
            <w:r w:rsidR="00E655B4">
              <w:t>Viés</w:t>
            </w:r>
            <w:r w:rsidR="00E655B4">
              <w:rPr>
                <w:spacing w:val="-1"/>
              </w:rPr>
              <w:t xml:space="preserve"> </w:t>
            </w:r>
            <w:r w:rsidR="00E655B4">
              <w:t>Subjetivo</w:t>
            </w:r>
            <w:r w:rsidR="00E655B4">
              <w:rPr>
                <w:spacing w:val="-2"/>
              </w:rPr>
              <w:t xml:space="preserve"> </w:t>
            </w:r>
            <w:r w:rsidR="00E655B4">
              <w:t>da</w:t>
            </w:r>
            <w:r w:rsidR="00E655B4">
              <w:rPr>
                <w:spacing w:val="-1"/>
              </w:rPr>
              <w:t xml:space="preserve"> </w:t>
            </w:r>
            <w:r w:rsidR="00E655B4">
              <w:t>Teoria</w:t>
            </w:r>
            <w:r w:rsidR="00E655B4">
              <w:rPr>
                <w:spacing w:val="-1"/>
              </w:rPr>
              <w:t xml:space="preserve"> </w:t>
            </w:r>
            <w:r w:rsidR="00E655B4">
              <w:t>Actio</w:t>
            </w:r>
            <w:r w:rsidR="00E655B4">
              <w:rPr>
                <w:spacing w:val="-1"/>
              </w:rPr>
              <w:t xml:space="preserve"> </w:t>
            </w:r>
            <w:r w:rsidR="00E655B4">
              <w:rPr>
                <w:spacing w:val="-4"/>
              </w:rPr>
              <w:t>Nata</w:t>
            </w:r>
          </w:hyperlink>
        </w:p>
        <w:p w:rsidR="007259F2" w:rsidRDefault="00DE6B1C">
          <w:pPr>
            <w:pStyle w:val="TOC1"/>
            <w:tabs>
              <w:tab w:val="left" w:leader="dot" w:pos="9411"/>
            </w:tabs>
            <w:spacing w:before="2"/>
            <w:ind w:left="147"/>
          </w:pPr>
          <w:hyperlink w:anchor="_bookmark22" w:history="1">
            <w:r w:rsidR="00E655B4">
              <w:rPr>
                <w:spacing w:val="-10"/>
              </w:rPr>
              <w:t>.</w:t>
            </w:r>
            <w:r w:rsidR="00E655B4">
              <w:tab/>
            </w:r>
          </w:hyperlink>
        </w:p>
        <w:p w:rsidR="007259F2" w:rsidRDefault="00E655B4">
          <w:pPr>
            <w:pStyle w:val="TOC2"/>
          </w:pPr>
          <w:r>
            <w:t>Antonio</w:t>
          </w:r>
          <w:r>
            <w:rPr>
              <w:spacing w:val="-1"/>
            </w:rPr>
            <w:t xml:space="preserve"> </w:t>
          </w:r>
          <w:r>
            <w:t>de</w:t>
          </w:r>
          <w:r>
            <w:rPr>
              <w:spacing w:val="-2"/>
            </w:rPr>
            <w:t xml:space="preserve"> </w:t>
          </w:r>
          <w:r>
            <w:t xml:space="preserve">Meira </w:t>
          </w:r>
          <w:r>
            <w:rPr>
              <w:spacing w:val="-2"/>
            </w:rPr>
            <w:t>Sousa</w:t>
          </w:r>
        </w:p>
        <w:p w:rsidR="007259F2" w:rsidRDefault="00DE6B1C">
          <w:pPr>
            <w:pStyle w:val="TOC1"/>
            <w:tabs>
              <w:tab w:val="left" w:leader="dot" w:pos="9411"/>
            </w:tabs>
            <w:spacing w:before="127"/>
          </w:pPr>
          <w:hyperlink w:anchor="_bookmark23" w:history="1">
            <w:r w:rsidR="00E655B4">
              <w:t>Responsabilidade</w:t>
            </w:r>
            <w:r w:rsidR="00E655B4">
              <w:rPr>
                <w:spacing w:val="-5"/>
              </w:rPr>
              <w:t xml:space="preserve"> </w:t>
            </w:r>
            <w:r w:rsidR="00E655B4">
              <w:t>Civil</w:t>
            </w:r>
            <w:r w:rsidR="00E655B4">
              <w:rPr>
                <w:spacing w:val="-3"/>
              </w:rPr>
              <w:t xml:space="preserve"> </w:t>
            </w:r>
            <w:r w:rsidR="00E655B4">
              <w:t>Ambiental:</w:t>
            </w:r>
            <w:r w:rsidR="00E655B4">
              <w:rPr>
                <w:spacing w:val="-2"/>
              </w:rPr>
              <w:t xml:space="preserve"> </w:t>
            </w:r>
            <w:r w:rsidR="00E655B4">
              <w:t>Supressão</w:t>
            </w:r>
            <w:r w:rsidR="00E655B4">
              <w:rPr>
                <w:spacing w:val="-1"/>
              </w:rPr>
              <w:t xml:space="preserve"> </w:t>
            </w:r>
            <w:r w:rsidR="00E655B4">
              <w:t>de</w:t>
            </w:r>
            <w:r w:rsidR="00E655B4">
              <w:rPr>
                <w:spacing w:val="-2"/>
              </w:rPr>
              <w:t xml:space="preserve"> Árvores</w:t>
            </w:r>
            <w:r w:rsidR="00E655B4">
              <w:tab/>
            </w:r>
          </w:hyperlink>
        </w:p>
        <w:p w:rsidR="007259F2" w:rsidRDefault="00E655B4">
          <w:pPr>
            <w:pStyle w:val="TOC2"/>
          </w:pPr>
          <w:r>
            <w:t>Caio</w:t>
          </w:r>
          <w:r>
            <w:rPr>
              <w:spacing w:val="-1"/>
            </w:rPr>
            <w:t xml:space="preserve"> </w:t>
          </w:r>
          <w:r>
            <w:t>Oliveira</w:t>
          </w:r>
          <w:r>
            <w:rPr>
              <w:spacing w:val="-1"/>
            </w:rPr>
            <w:t xml:space="preserve"> </w:t>
          </w:r>
          <w:r>
            <w:rPr>
              <w:spacing w:val="-2"/>
            </w:rPr>
            <w:t>Marques</w:t>
          </w:r>
        </w:p>
        <w:p w:rsidR="007259F2" w:rsidRDefault="00DE6B1C">
          <w:pPr>
            <w:pStyle w:val="TOC1"/>
            <w:tabs>
              <w:tab w:val="left" w:leader="dot" w:pos="9411"/>
            </w:tabs>
            <w:spacing w:before="126" w:line="242" w:lineRule="auto"/>
            <w:ind w:right="432"/>
          </w:pPr>
          <w:hyperlink w:anchor="_bookmark24" w:history="1">
            <w:r w:rsidR="00E655B4">
              <w:t>A Verificação da Responsabilidade Subsidiária da Administração Pública nos Contratos de</w:t>
            </w:r>
          </w:hyperlink>
          <w:r w:rsidR="00E655B4">
            <w:t xml:space="preserve"> </w:t>
          </w:r>
          <w:hyperlink w:anchor="_bookmark24" w:history="1">
            <w:r w:rsidR="00E655B4">
              <w:t>Gestão por ela Celebrados</w:t>
            </w:r>
            <w:r w:rsidR="00E655B4">
              <w:tab/>
            </w:r>
          </w:hyperlink>
        </w:p>
        <w:p w:rsidR="007259F2" w:rsidRDefault="00E655B4">
          <w:pPr>
            <w:pStyle w:val="TOC2"/>
            <w:spacing w:before="11"/>
          </w:pPr>
          <w:r>
            <w:t>Richard</w:t>
          </w:r>
          <w:r>
            <w:rPr>
              <w:spacing w:val="-1"/>
            </w:rPr>
            <w:t xml:space="preserve"> </w:t>
          </w:r>
          <w:r>
            <w:t>de</w:t>
          </w:r>
          <w:r>
            <w:rPr>
              <w:spacing w:val="-1"/>
            </w:rPr>
            <w:t xml:space="preserve"> </w:t>
          </w:r>
          <w:r>
            <w:t xml:space="preserve">Moraes Pereira </w:t>
          </w:r>
          <w:r>
            <w:rPr>
              <w:spacing w:val="-2"/>
            </w:rPr>
            <w:t>Martins</w:t>
          </w:r>
        </w:p>
        <w:p w:rsidR="007259F2" w:rsidRDefault="00DE6B1C">
          <w:pPr>
            <w:pStyle w:val="TOC1"/>
            <w:tabs>
              <w:tab w:val="left" w:leader="dot" w:pos="9411"/>
            </w:tabs>
            <w:spacing w:before="127"/>
          </w:pPr>
          <w:hyperlink w:anchor="_bookmark25" w:history="1">
            <w:r w:rsidR="00E655B4">
              <w:t>Possibilidade</w:t>
            </w:r>
            <w:r w:rsidR="00E655B4">
              <w:rPr>
                <w:spacing w:val="-17"/>
              </w:rPr>
              <w:t xml:space="preserve"> </w:t>
            </w:r>
            <w:r w:rsidR="00E655B4">
              <w:t>de</w:t>
            </w:r>
            <w:r w:rsidR="00E655B4">
              <w:rPr>
                <w:spacing w:val="-18"/>
              </w:rPr>
              <w:t xml:space="preserve"> </w:t>
            </w:r>
            <w:r w:rsidR="00E655B4">
              <w:t>transação</w:t>
            </w:r>
            <w:r w:rsidR="00E655B4">
              <w:rPr>
                <w:spacing w:val="-17"/>
              </w:rPr>
              <w:t xml:space="preserve"> </w:t>
            </w:r>
            <w:r w:rsidR="00E655B4">
              <w:t>em</w:t>
            </w:r>
            <w:r w:rsidR="00E655B4">
              <w:rPr>
                <w:spacing w:val="-18"/>
              </w:rPr>
              <w:t xml:space="preserve"> </w:t>
            </w:r>
            <w:r w:rsidR="00E655B4">
              <w:t>matéria</w:t>
            </w:r>
            <w:r w:rsidR="00E655B4">
              <w:rPr>
                <w:spacing w:val="-16"/>
              </w:rPr>
              <w:t xml:space="preserve"> </w:t>
            </w:r>
            <w:r w:rsidR="00E655B4">
              <w:t>ambiental:</w:t>
            </w:r>
            <w:r w:rsidR="00E655B4">
              <w:rPr>
                <w:spacing w:val="-10"/>
              </w:rPr>
              <w:t xml:space="preserve"> </w:t>
            </w:r>
            <w:r w:rsidR="00E655B4">
              <w:t>caso</w:t>
            </w:r>
            <w:r w:rsidR="00E655B4">
              <w:rPr>
                <w:spacing w:val="-16"/>
              </w:rPr>
              <w:t xml:space="preserve"> </w:t>
            </w:r>
            <w:r w:rsidR="00E655B4">
              <w:t>SVMA</w:t>
            </w:r>
            <w:r w:rsidR="00E655B4">
              <w:rPr>
                <w:spacing w:val="-2"/>
              </w:rPr>
              <w:t xml:space="preserve"> </w:t>
            </w:r>
            <w:r w:rsidR="00E655B4">
              <w:t>x</w:t>
            </w:r>
            <w:r w:rsidR="00E655B4">
              <w:rPr>
                <w:spacing w:val="-1"/>
              </w:rPr>
              <w:t xml:space="preserve"> </w:t>
            </w:r>
            <w:r w:rsidR="00E655B4">
              <w:rPr>
                <w:spacing w:val="-2"/>
              </w:rPr>
              <w:t>COHAB</w:t>
            </w:r>
            <w:r w:rsidR="00E655B4">
              <w:tab/>
            </w:r>
          </w:hyperlink>
        </w:p>
      </w:sdtContent>
    </w:sdt>
    <w:p w:rsidR="007259F2" w:rsidRDefault="007259F2">
      <w:pPr>
        <w:pStyle w:val="TOC1"/>
        <w:sectPr w:rsidR="007259F2">
          <w:type w:val="continuous"/>
          <w:pgSz w:w="11910" w:h="16840"/>
          <w:pgMar w:top="1638" w:right="708" w:bottom="1828" w:left="992" w:header="720" w:footer="720" w:gutter="0"/>
          <w:cols w:space="720"/>
        </w:sectPr>
      </w:pPr>
    </w:p>
    <w:p w:rsidR="007259F2" w:rsidRDefault="00E655B4">
      <w:pPr>
        <w:spacing w:before="12"/>
        <w:ind w:left="140"/>
        <w:rPr>
          <w:i/>
          <w:sz w:val="24"/>
        </w:rPr>
      </w:pPr>
      <w:r>
        <w:rPr>
          <w:i/>
          <w:sz w:val="24"/>
        </w:rPr>
        <w:lastRenderedPageBreak/>
        <w:t>Vinícius</w:t>
      </w:r>
      <w:r>
        <w:rPr>
          <w:i/>
          <w:spacing w:val="-3"/>
          <w:sz w:val="24"/>
        </w:rPr>
        <w:t xml:space="preserve"> </w:t>
      </w:r>
      <w:r>
        <w:rPr>
          <w:i/>
          <w:sz w:val="24"/>
        </w:rPr>
        <w:t>Manosalva</w:t>
      </w:r>
      <w:r>
        <w:rPr>
          <w:i/>
          <w:spacing w:val="-1"/>
          <w:sz w:val="24"/>
        </w:rPr>
        <w:t xml:space="preserve"> </w:t>
      </w:r>
      <w:r>
        <w:rPr>
          <w:i/>
          <w:spacing w:val="-4"/>
          <w:sz w:val="24"/>
        </w:rPr>
        <w:t>Alves</w:t>
      </w:r>
    </w:p>
    <w:p w:rsidR="007259F2" w:rsidRDefault="007259F2">
      <w:pPr>
        <w:rPr>
          <w:i/>
          <w:sz w:val="24"/>
        </w:rPr>
        <w:sectPr w:rsidR="007259F2">
          <w:type w:val="continuous"/>
          <w:pgSz w:w="11910" w:h="16840"/>
          <w:pgMar w:top="1620" w:right="708" w:bottom="280" w:left="992" w:header="720" w:footer="720" w:gutter="0"/>
          <w:cols w:space="720"/>
        </w:sectPr>
      </w:pPr>
    </w:p>
    <w:p w:rsidR="007259F2" w:rsidRDefault="00E655B4">
      <w:pPr>
        <w:spacing w:before="76" w:line="242" w:lineRule="auto"/>
        <w:ind w:left="710" w:right="990"/>
        <w:rPr>
          <w:b/>
          <w:sz w:val="24"/>
        </w:rPr>
      </w:pPr>
      <w:bookmarkStart w:id="0" w:name="_bookmark0"/>
      <w:bookmarkEnd w:id="0"/>
      <w:r>
        <w:rPr>
          <w:b/>
          <w:sz w:val="24"/>
        </w:rPr>
        <w:lastRenderedPageBreak/>
        <w:t xml:space="preserve">Formação ativa na área do Direito: o caso da Residência Jurídica da Procuradoria Geral do Município de São Paulo </w:t>
      </w:r>
      <w:r>
        <w:rPr>
          <w:b/>
          <w:sz w:val="24"/>
          <w:vertAlign w:val="superscript"/>
        </w:rPr>
        <w:t>1</w:t>
      </w:r>
    </w:p>
    <w:p w:rsidR="007259F2" w:rsidRDefault="00E655B4">
      <w:pPr>
        <w:spacing w:before="194" w:line="242" w:lineRule="auto"/>
        <w:ind w:left="710" w:right="990"/>
        <w:rPr>
          <w:b/>
          <w:sz w:val="24"/>
        </w:rPr>
      </w:pPr>
      <w:r>
        <w:rPr>
          <w:b/>
          <w:sz w:val="24"/>
        </w:rPr>
        <w:t>Active</w:t>
      </w:r>
      <w:r>
        <w:rPr>
          <w:b/>
          <w:spacing w:val="-5"/>
          <w:sz w:val="24"/>
        </w:rPr>
        <w:t xml:space="preserve"> </w:t>
      </w:r>
      <w:r>
        <w:rPr>
          <w:b/>
          <w:sz w:val="24"/>
        </w:rPr>
        <w:t>training</w:t>
      </w:r>
      <w:r>
        <w:rPr>
          <w:b/>
          <w:spacing w:val="-3"/>
          <w:sz w:val="24"/>
        </w:rPr>
        <w:t xml:space="preserve"> </w:t>
      </w:r>
      <w:r>
        <w:rPr>
          <w:b/>
          <w:sz w:val="24"/>
        </w:rPr>
        <w:t>in</w:t>
      </w:r>
      <w:r>
        <w:rPr>
          <w:b/>
          <w:spacing w:val="-2"/>
          <w:sz w:val="24"/>
        </w:rPr>
        <w:t xml:space="preserve"> </w:t>
      </w:r>
      <w:r>
        <w:rPr>
          <w:b/>
          <w:sz w:val="24"/>
        </w:rPr>
        <w:t>the</w:t>
      </w:r>
      <w:r>
        <w:rPr>
          <w:b/>
          <w:spacing w:val="-4"/>
          <w:sz w:val="24"/>
        </w:rPr>
        <w:t xml:space="preserve"> </w:t>
      </w:r>
      <w:r>
        <w:rPr>
          <w:b/>
          <w:sz w:val="24"/>
        </w:rPr>
        <w:t>field</w:t>
      </w:r>
      <w:r>
        <w:rPr>
          <w:b/>
          <w:spacing w:val="-2"/>
          <w:sz w:val="24"/>
        </w:rPr>
        <w:t xml:space="preserve"> </w:t>
      </w:r>
      <w:r>
        <w:rPr>
          <w:b/>
          <w:sz w:val="24"/>
        </w:rPr>
        <w:t>of law:</w:t>
      </w:r>
      <w:r>
        <w:rPr>
          <w:b/>
          <w:spacing w:val="-3"/>
          <w:sz w:val="24"/>
        </w:rPr>
        <w:t xml:space="preserve"> </w:t>
      </w:r>
      <w:r>
        <w:rPr>
          <w:b/>
          <w:sz w:val="24"/>
        </w:rPr>
        <w:t>the</w:t>
      </w:r>
      <w:r>
        <w:rPr>
          <w:b/>
          <w:spacing w:val="-4"/>
          <w:sz w:val="24"/>
        </w:rPr>
        <w:t xml:space="preserve"> </w:t>
      </w:r>
      <w:r>
        <w:rPr>
          <w:b/>
          <w:sz w:val="24"/>
        </w:rPr>
        <w:t>case</w:t>
      </w:r>
      <w:r>
        <w:rPr>
          <w:b/>
          <w:spacing w:val="-3"/>
          <w:sz w:val="24"/>
        </w:rPr>
        <w:t xml:space="preserve"> </w:t>
      </w:r>
      <w:r>
        <w:rPr>
          <w:b/>
          <w:sz w:val="24"/>
        </w:rPr>
        <w:t>of</w:t>
      </w:r>
      <w:r>
        <w:rPr>
          <w:b/>
          <w:spacing w:val="-2"/>
          <w:sz w:val="24"/>
        </w:rPr>
        <w:t xml:space="preserve"> </w:t>
      </w:r>
      <w:r>
        <w:rPr>
          <w:b/>
          <w:sz w:val="24"/>
        </w:rPr>
        <w:t>the</w:t>
      </w:r>
      <w:r>
        <w:rPr>
          <w:b/>
          <w:spacing w:val="-4"/>
          <w:sz w:val="24"/>
        </w:rPr>
        <w:t xml:space="preserve"> </w:t>
      </w:r>
      <w:r>
        <w:rPr>
          <w:b/>
          <w:sz w:val="24"/>
        </w:rPr>
        <w:t>Juridical</w:t>
      </w:r>
      <w:r>
        <w:rPr>
          <w:b/>
          <w:spacing w:val="-3"/>
          <w:sz w:val="24"/>
        </w:rPr>
        <w:t xml:space="preserve"> </w:t>
      </w:r>
      <w:r>
        <w:rPr>
          <w:b/>
          <w:sz w:val="24"/>
        </w:rPr>
        <w:t>Residency</w:t>
      </w:r>
      <w:r>
        <w:rPr>
          <w:b/>
          <w:spacing w:val="-3"/>
          <w:sz w:val="24"/>
        </w:rPr>
        <w:t xml:space="preserve"> </w:t>
      </w:r>
      <w:r>
        <w:rPr>
          <w:b/>
          <w:sz w:val="24"/>
        </w:rPr>
        <w:t>at</w:t>
      </w:r>
      <w:r>
        <w:rPr>
          <w:b/>
          <w:spacing w:val="-3"/>
          <w:sz w:val="24"/>
        </w:rPr>
        <w:t xml:space="preserve"> </w:t>
      </w:r>
      <w:r>
        <w:rPr>
          <w:b/>
          <w:sz w:val="24"/>
        </w:rPr>
        <w:t>the</w:t>
      </w:r>
      <w:r>
        <w:rPr>
          <w:b/>
          <w:spacing w:val="-4"/>
          <w:sz w:val="24"/>
        </w:rPr>
        <w:t xml:space="preserve"> </w:t>
      </w:r>
      <w:r>
        <w:rPr>
          <w:b/>
          <w:sz w:val="24"/>
        </w:rPr>
        <w:t>São Paulo City Attorney’s Office</w:t>
      </w:r>
    </w:p>
    <w:p w:rsidR="007259F2" w:rsidRDefault="00E655B4">
      <w:pPr>
        <w:spacing w:before="196"/>
        <w:ind w:left="710"/>
        <w:rPr>
          <w:b/>
          <w:sz w:val="24"/>
        </w:rPr>
      </w:pPr>
      <w:r>
        <w:rPr>
          <w:b/>
          <w:sz w:val="24"/>
        </w:rPr>
        <w:t>Guilherme</w:t>
      </w:r>
      <w:r>
        <w:rPr>
          <w:b/>
          <w:spacing w:val="-2"/>
          <w:sz w:val="24"/>
        </w:rPr>
        <w:t xml:space="preserve"> </w:t>
      </w:r>
      <w:r>
        <w:rPr>
          <w:b/>
          <w:sz w:val="24"/>
        </w:rPr>
        <w:t>Gomes</w:t>
      </w:r>
      <w:r>
        <w:rPr>
          <w:b/>
          <w:spacing w:val="-3"/>
          <w:sz w:val="24"/>
        </w:rPr>
        <w:t xml:space="preserve"> </w:t>
      </w:r>
      <w:r>
        <w:rPr>
          <w:b/>
          <w:sz w:val="24"/>
        </w:rPr>
        <w:t>Skrivan</w:t>
      </w:r>
      <w:r>
        <w:rPr>
          <w:b/>
          <w:spacing w:val="1"/>
          <w:sz w:val="24"/>
        </w:rPr>
        <w:t xml:space="preserve"> </w:t>
      </w:r>
      <w:r>
        <w:rPr>
          <w:b/>
          <w:spacing w:val="-10"/>
          <w:sz w:val="24"/>
          <w:vertAlign w:val="superscript"/>
        </w:rPr>
        <w:t>2</w:t>
      </w:r>
    </w:p>
    <w:p w:rsidR="007259F2" w:rsidRDefault="00E655B4">
      <w:pPr>
        <w:spacing w:before="242"/>
        <w:ind w:left="710"/>
        <w:rPr>
          <w:b/>
          <w:sz w:val="24"/>
        </w:rPr>
      </w:pPr>
      <w:r>
        <w:rPr>
          <w:b/>
          <w:sz w:val="24"/>
        </w:rPr>
        <w:t>Roberto</w:t>
      </w:r>
      <w:r>
        <w:rPr>
          <w:b/>
          <w:spacing w:val="-2"/>
          <w:sz w:val="24"/>
        </w:rPr>
        <w:t xml:space="preserve"> </w:t>
      </w:r>
      <w:r>
        <w:rPr>
          <w:b/>
          <w:sz w:val="24"/>
        </w:rPr>
        <w:t>Angotti</w:t>
      </w:r>
      <w:r>
        <w:rPr>
          <w:b/>
          <w:spacing w:val="-2"/>
          <w:sz w:val="24"/>
        </w:rPr>
        <w:t xml:space="preserve"> </w:t>
      </w:r>
      <w:r>
        <w:rPr>
          <w:b/>
          <w:sz w:val="24"/>
        </w:rPr>
        <w:t>Júnior</w:t>
      </w:r>
      <w:r>
        <w:rPr>
          <w:b/>
          <w:spacing w:val="2"/>
          <w:sz w:val="24"/>
        </w:rPr>
        <w:t xml:space="preserve"> </w:t>
      </w:r>
      <w:r>
        <w:rPr>
          <w:b/>
          <w:spacing w:val="-10"/>
          <w:sz w:val="24"/>
          <w:vertAlign w:val="superscript"/>
        </w:rPr>
        <w:t>3</w:t>
      </w:r>
    </w:p>
    <w:p w:rsidR="007259F2" w:rsidRDefault="007259F2">
      <w:pPr>
        <w:pStyle w:val="Corpodetexto"/>
        <w:ind w:left="0" w:firstLine="0"/>
        <w:jc w:val="left"/>
        <w:rPr>
          <w:b/>
        </w:rPr>
      </w:pPr>
    </w:p>
    <w:p w:rsidR="007259F2" w:rsidRDefault="007259F2">
      <w:pPr>
        <w:pStyle w:val="Corpodetexto"/>
        <w:spacing w:before="163"/>
        <w:ind w:left="0" w:firstLine="0"/>
        <w:jc w:val="left"/>
        <w:rPr>
          <w:b/>
        </w:rPr>
      </w:pPr>
    </w:p>
    <w:p w:rsidR="007259F2" w:rsidRDefault="00E655B4">
      <w:pPr>
        <w:pStyle w:val="Heading1"/>
        <w:spacing w:before="1"/>
      </w:pPr>
      <w:r>
        <w:rPr>
          <w:spacing w:val="-2"/>
        </w:rPr>
        <w:t>RESUMO</w:t>
      </w:r>
    </w:p>
    <w:p w:rsidR="007259F2" w:rsidRDefault="00E655B4">
      <w:pPr>
        <w:pStyle w:val="Corpodetexto"/>
        <w:spacing w:before="115"/>
        <w:ind w:right="989" w:firstLine="0"/>
      </w:pPr>
      <w:r>
        <w:t>Este artigo</w:t>
      </w:r>
      <w:r>
        <w:rPr>
          <w:vertAlign w:val="superscript"/>
        </w:rPr>
        <w:t>4</w:t>
      </w:r>
      <w:r>
        <w:t xml:space="preserve"> tem como objetivo analisar a metodologia de ensino praticada no curso "Teoria e Prática da Advocacia Pública Municipal - Residência Jurídica" ofertado pela Procuradoria Geral do Município de São Paulo e, mais especificamente, por seu Centro de</w:t>
      </w:r>
      <w:r>
        <w:rPr>
          <w:spacing w:val="-2"/>
        </w:rPr>
        <w:t xml:space="preserve"> </w:t>
      </w:r>
      <w:r>
        <w:t>Estudos</w:t>
      </w:r>
      <w:r>
        <w:rPr>
          <w:spacing w:val="-1"/>
        </w:rPr>
        <w:t xml:space="preserve"> </w:t>
      </w:r>
      <w:r>
        <w:t>Jurídicos</w:t>
      </w:r>
      <w:r>
        <w:rPr>
          <w:spacing w:val="-1"/>
        </w:rPr>
        <w:t xml:space="preserve"> </w:t>
      </w:r>
      <w:r>
        <w:t>e</w:t>
      </w:r>
      <w:r>
        <w:rPr>
          <w:spacing w:val="-2"/>
        </w:rPr>
        <w:t xml:space="preserve"> </w:t>
      </w:r>
      <w:r>
        <w:t>Escola</w:t>
      </w:r>
      <w:r>
        <w:rPr>
          <w:spacing w:val="-2"/>
        </w:rPr>
        <w:t xml:space="preserve"> </w:t>
      </w:r>
      <w:r>
        <w:t>Superior</w:t>
      </w:r>
      <w:r>
        <w:rPr>
          <w:spacing w:val="-2"/>
        </w:rPr>
        <w:t xml:space="preserve"> </w:t>
      </w:r>
      <w:r>
        <w:t>de</w:t>
      </w:r>
      <w:r>
        <w:rPr>
          <w:spacing w:val="-2"/>
        </w:rPr>
        <w:t xml:space="preserve"> </w:t>
      </w:r>
      <w:r>
        <w:t>Direito</w:t>
      </w:r>
      <w:r>
        <w:rPr>
          <w:spacing w:val="-1"/>
        </w:rPr>
        <w:t xml:space="preserve"> </w:t>
      </w:r>
      <w:r>
        <w:t>Público</w:t>
      </w:r>
      <w:r>
        <w:rPr>
          <w:spacing w:val="-1"/>
        </w:rPr>
        <w:t xml:space="preserve"> </w:t>
      </w:r>
      <w:r>
        <w:t>Municipal.</w:t>
      </w:r>
      <w:r>
        <w:rPr>
          <w:spacing w:val="-1"/>
        </w:rPr>
        <w:t xml:space="preserve"> </w:t>
      </w:r>
      <w:r>
        <w:t>O</w:t>
      </w:r>
      <w:r>
        <w:rPr>
          <w:spacing w:val="-2"/>
        </w:rPr>
        <w:t xml:space="preserve"> </w:t>
      </w:r>
      <w:r>
        <w:t>curso</w:t>
      </w:r>
      <w:r>
        <w:rPr>
          <w:spacing w:val="-1"/>
        </w:rPr>
        <w:t xml:space="preserve"> </w:t>
      </w:r>
      <w:r>
        <w:t>une</w:t>
      </w:r>
      <w:r>
        <w:rPr>
          <w:spacing w:val="-2"/>
        </w:rPr>
        <w:t xml:space="preserve"> </w:t>
      </w:r>
      <w:r>
        <w:t>teoria e prática da advocacia pública, permitindo que o estudante participe como observador nas atividades diárias dos procuradores. Poucas produções sobre o tema foram encontradas, o que demonstra a necessidade de mais estudos sobre essa forma educacional. No caso examinado, foram coletados dados a partir de documentos acerca do planejamento do curso, sua execução e a atividade dos estudantes. Pode-se afirmar que a Residência Jurídica analisada é um caso singular que parte da Aprendizagem</w:t>
      </w:r>
      <w:r>
        <w:rPr>
          <w:spacing w:val="40"/>
        </w:rPr>
        <w:t xml:space="preserve"> </w:t>
      </w:r>
      <w:r>
        <w:t xml:space="preserve">Ativa no próprio planejamento pedagógico, alcançando com sucesso seu objetivo de conectar a prática da advocacia pública com os conhecimentos teóricos sobre a área jurídica, ao se basear nas atividades diárias do estudante como forma principal de </w:t>
      </w:r>
      <w:r>
        <w:rPr>
          <w:spacing w:val="-2"/>
        </w:rPr>
        <w:t>aprendizagem.</w:t>
      </w:r>
    </w:p>
    <w:p w:rsidR="007259F2" w:rsidRDefault="00E655B4">
      <w:pPr>
        <w:pStyle w:val="Corpodetexto"/>
        <w:spacing w:before="124"/>
        <w:ind w:firstLine="0"/>
      </w:pPr>
      <w:r>
        <w:rPr>
          <w:b/>
        </w:rPr>
        <w:t>Palavras-chave</w:t>
      </w:r>
      <w:r>
        <w:t>:</w:t>
      </w:r>
      <w:r>
        <w:rPr>
          <w:spacing w:val="-2"/>
        </w:rPr>
        <w:t xml:space="preserve"> </w:t>
      </w:r>
      <w:r>
        <w:t>residência</w:t>
      </w:r>
      <w:r>
        <w:rPr>
          <w:spacing w:val="-1"/>
        </w:rPr>
        <w:t xml:space="preserve"> </w:t>
      </w:r>
      <w:r>
        <w:t>juridica;</w:t>
      </w:r>
      <w:r>
        <w:rPr>
          <w:spacing w:val="-2"/>
        </w:rPr>
        <w:t xml:space="preserve"> </w:t>
      </w:r>
      <w:r>
        <w:t>aprendizagem</w:t>
      </w:r>
      <w:r>
        <w:rPr>
          <w:spacing w:val="-1"/>
        </w:rPr>
        <w:t xml:space="preserve"> </w:t>
      </w:r>
      <w:r>
        <w:t>ativa;</w:t>
      </w:r>
      <w:r>
        <w:rPr>
          <w:spacing w:val="-1"/>
        </w:rPr>
        <w:t xml:space="preserve"> </w:t>
      </w:r>
      <w:r>
        <w:t>advocacia</w:t>
      </w:r>
      <w:r>
        <w:rPr>
          <w:spacing w:val="-2"/>
        </w:rPr>
        <w:t xml:space="preserve"> pública.</w:t>
      </w:r>
    </w:p>
    <w:p w:rsidR="007259F2" w:rsidRDefault="007259F2">
      <w:pPr>
        <w:pStyle w:val="Corpodetexto"/>
        <w:ind w:left="0" w:firstLine="0"/>
        <w:jc w:val="left"/>
      </w:pPr>
    </w:p>
    <w:p w:rsidR="007259F2" w:rsidRDefault="007259F2">
      <w:pPr>
        <w:pStyle w:val="Corpodetexto"/>
        <w:spacing w:before="47"/>
        <w:ind w:left="0" w:firstLine="0"/>
        <w:jc w:val="left"/>
      </w:pPr>
    </w:p>
    <w:p w:rsidR="007259F2" w:rsidRDefault="00E655B4">
      <w:pPr>
        <w:pStyle w:val="Heading1"/>
        <w:spacing w:before="1"/>
      </w:pPr>
      <w:r>
        <w:rPr>
          <w:spacing w:val="-2"/>
        </w:rPr>
        <w:t>ABSTRACT</w:t>
      </w:r>
    </w:p>
    <w:p w:rsidR="007259F2" w:rsidRDefault="00E655B4">
      <w:pPr>
        <w:pStyle w:val="Corpodetexto"/>
        <w:spacing w:before="115"/>
        <w:ind w:right="993" w:firstLine="0"/>
      </w:pPr>
      <w:r>
        <w:t>This article aims to analyze the teaching methodology employed in the course "Theory and Practice of Municipal Public Advocacy – Juridical Residency" provided by the São Paulo City Attorney’s Office, specifically by its Center for Legal Studies and Higher School of</w:t>
      </w:r>
      <w:r>
        <w:rPr>
          <w:spacing w:val="-1"/>
        </w:rPr>
        <w:t xml:space="preserve"> </w:t>
      </w:r>
      <w:r>
        <w:t>Municipal Public Law.</w:t>
      </w:r>
      <w:r>
        <w:rPr>
          <w:spacing w:val="-1"/>
        </w:rPr>
        <w:t xml:space="preserve"> </w:t>
      </w:r>
      <w:r>
        <w:t>The</w:t>
      </w:r>
      <w:r>
        <w:rPr>
          <w:spacing w:val="-2"/>
        </w:rPr>
        <w:t xml:space="preserve"> </w:t>
      </w:r>
      <w:r>
        <w:t>course</w:t>
      </w:r>
      <w:r>
        <w:rPr>
          <w:spacing w:val="-1"/>
        </w:rPr>
        <w:t xml:space="preserve"> </w:t>
      </w:r>
      <w:r>
        <w:t>integrates</w:t>
      </w:r>
      <w:r>
        <w:rPr>
          <w:spacing w:val="-1"/>
        </w:rPr>
        <w:t xml:space="preserve"> </w:t>
      </w:r>
      <w:r>
        <w:t>the</w:t>
      </w:r>
      <w:r>
        <w:rPr>
          <w:spacing w:val="-1"/>
        </w:rPr>
        <w:t xml:space="preserve"> </w:t>
      </w:r>
      <w:r>
        <w:t>theory</w:t>
      </w:r>
      <w:r>
        <w:rPr>
          <w:spacing w:val="-5"/>
        </w:rPr>
        <w:t xml:space="preserve"> </w:t>
      </w:r>
      <w:r>
        <w:t>and practice</w:t>
      </w:r>
      <w:r>
        <w:rPr>
          <w:spacing w:val="-2"/>
        </w:rPr>
        <w:t xml:space="preserve"> </w:t>
      </w:r>
      <w:r>
        <w:t>of</w:t>
      </w:r>
      <w:r>
        <w:rPr>
          <w:spacing w:val="-1"/>
        </w:rPr>
        <w:t xml:space="preserve"> </w:t>
      </w:r>
      <w:r>
        <w:t>public law, wherein students participate as observers in the daily work of attorneys.</w:t>
      </w:r>
      <w:r>
        <w:rPr>
          <w:spacing w:val="40"/>
        </w:rPr>
        <w:t xml:space="preserve"> </w:t>
      </w:r>
      <w:r>
        <w:t>The scarcity of literature on this subject emphasizes the need for further studies on this educational approach.</w:t>
      </w:r>
      <w:r>
        <w:rPr>
          <w:spacing w:val="40"/>
        </w:rPr>
        <w:t xml:space="preserve"> </w:t>
      </w:r>
      <w:r>
        <w:t>In the case under examination, data were gathered from documents</w:t>
      </w:r>
      <w:r>
        <w:rPr>
          <w:spacing w:val="18"/>
        </w:rPr>
        <w:t xml:space="preserve"> </w:t>
      </w:r>
      <w:r>
        <w:t>detailing</w:t>
      </w:r>
      <w:r>
        <w:rPr>
          <w:spacing w:val="17"/>
        </w:rPr>
        <w:t xml:space="preserve"> </w:t>
      </w:r>
      <w:r>
        <w:t>the</w:t>
      </w:r>
      <w:r>
        <w:rPr>
          <w:spacing w:val="21"/>
        </w:rPr>
        <w:t xml:space="preserve"> </w:t>
      </w:r>
      <w:r>
        <w:t>course</w:t>
      </w:r>
      <w:r>
        <w:rPr>
          <w:spacing w:val="18"/>
        </w:rPr>
        <w:t xml:space="preserve"> </w:t>
      </w:r>
      <w:r>
        <w:t>planning,</w:t>
      </w:r>
      <w:r>
        <w:rPr>
          <w:spacing w:val="20"/>
        </w:rPr>
        <w:t xml:space="preserve"> </w:t>
      </w:r>
      <w:r>
        <w:t>its</w:t>
      </w:r>
      <w:r>
        <w:rPr>
          <w:spacing w:val="21"/>
        </w:rPr>
        <w:t xml:space="preserve"> </w:t>
      </w:r>
      <w:r>
        <w:t>execution</w:t>
      </w:r>
      <w:r>
        <w:rPr>
          <w:spacing w:val="20"/>
        </w:rPr>
        <w:t xml:space="preserve"> </w:t>
      </w:r>
      <w:r>
        <w:t>and</w:t>
      </w:r>
      <w:r>
        <w:rPr>
          <w:spacing w:val="20"/>
        </w:rPr>
        <w:t xml:space="preserve"> </w:t>
      </w:r>
      <w:r>
        <w:t>students'</w:t>
      </w:r>
      <w:r>
        <w:rPr>
          <w:spacing w:val="20"/>
        </w:rPr>
        <w:t xml:space="preserve"> </w:t>
      </w:r>
      <w:r>
        <w:t>activity.</w:t>
      </w:r>
      <w:r>
        <w:rPr>
          <w:spacing w:val="22"/>
        </w:rPr>
        <w:t xml:space="preserve"> </w:t>
      </w:r>
      <w:r>
        <w:t>It</w:t>
      </w:r>
      <w:r>
        <w:rPr>
          <w:spacing w:val="23"/>
        </w:rPr>
        <w:t xml:space="preserve"> </w:t>
      </w:r>
      <w:r>
        <w:t>can</w:t>
      </w:r>
      <w:r>
        <w:rPr>
          <w:spacing w:val="21"/>
        </w:rPr>
        <w:t xml:space="preserve"> </w:t>
      </w:r>
      <w:r>
        <w:rPr>
          <w:spacing w:val="-5"/>
        </w:rPr>
        <w:t>be</w:t>
      </w:r>
    </w:p>
    <w:p w:rsidR="007259F2" w:rsidRDefault="00DE6B1C">
      <w:pPr>
        <w:pStyle w:val="Corpodetexto"/>
        <w:spacing w:before="38"/>
        <w:ind w:left="0" w:firstLine="0"/>
        <w:jc w:val="left"/>
        <w:rPr>
          <w:sz w:val="20"/>
        </w:rPr>
      </w:pPr>
      <w:r w:rsidRPr="00DE6B1C">
        <w:rPr>
          <w:sz w:val="20"/>
        </w:rPr>
        <w:pict>
          <v:rect id="docshape10" o:spid="_x0000_s1210" style="position:absolute;margin-left:85.1pt;margin-top:14.6pt;width:2in;height:.7pt;z-index:-15727616;mso-wrap-distance-left:0;mso-wrap-distance-right:0;mso-position-horizontal-relative:page" fillcolor="black" stroked="f">
            <w10:wrap type="topAndBottom" anchorx="page"/>
          </v:rect>
        </w:pict>
      </w:r>
    </w:p>
    <w:p w:rsidR="007259F2" w:rsidRDefault="00E655B4">
      <w:pPr>
        <w:spacing w:before="96"/>
        <w:ind w:left="710" w:right="1279"/>
        <w:rPr>
          <w:sz w:val="20"/>
        </w:rPr>
      </w:pPr>
      <w:r>
        <w:rPr>
          <w:sz w:val="20"/>
          <w:vertAlign w:val="superscript"/>
        </w:rPr>
        <w:t>1</w:t>
      </w:r>
      <w:r>
        <w:rPr>
          <w:spacing w:val="-3"/>
          <w:sz w:val="20"/>
        </w:rPr>
        <w:t xml:space="preserve"> </w:t>
      </w:r>
      <w:r>
        <w:rPr>
          <w:sz w:val="20"/>
        </w:rPr>
        <w:t>Artigo</w:t>
      </w:r>
      <w:r>
        <w:rPr>
          <w:spacing w:val="-2"/>
          <w:sz w:val="20"/>
        </w:rPr>
        <w:t xml:space="preserve"> </w:t>
      </w:r>
      <w:r>
        <w:rPr>
          <w:sz w:val="20"/>
        </w:rPr>
        <w:t>publicado</w:t>
      </w:r>
      <w:r>
        <w:rPr>
          <w:spacing w:val="-2"/>
          <w:sz w:val="20"/>
        </w:rPr>
        <w:t xml:space="preserve"> </w:t>
      </w:r>
      <w:r>
        <w:rPr>
          <w:sz w:val="20"/>
        </w:rPr>
        <w:t>originalmente</w:t>
      </w:r>
      <w:r>
        <w:rPr>
          <w:spacing w:val="-3"/>
          <w:sz w:val="20"/>
        </w:rPr>
        <w:t xml:space="preserve"> </w:t>
      </w:r>
      <w:r>
        <w:rPr>
          <w:sz w:val="20"/>
        </w:rPr>
        <w:t>nos</w:t>
      </w:r>
      <w:r>
        <w:rPr>
          <w:spacing w:val="-1"/>
          <w:sz w:val="20"/>
        </w:rPr>
        <w:t xml:space="preserve"> </w:t>
      </w:r>
      <w:r>
        <w:rPr>
          <w:b/>
          <w:sz w:val="20"/>
        </w:rPr>
        <w:t>Cadernos</w:t>
      </w:r>
      <w:r>
        <w:rPr>
          <w:b/>
          <w:spacing w:val="-4"/>
          <w:sz w:val="20"/>
        </w:rPr>
        <w:t xml:space="preserve"> </w:t>
      </w:r>
      <w:r>
        <w:rPr>
          <w:b/>
          <w:sz w:val="20"/>
        </w:rPr>
        <w:t>da</w:t>
      </w:r>
      <w:r>
        <w:rPr>
          <w:b/>
          <w:spacing w:val="-3"/>
          <w:sz w:val="20"/>
        </w:rPr>
        <w:t xml:space="preserve"> </w:t>
      </w:r>
      <w:r>
        <w:rPr>
          <w:b/>
          <w:sz w:val="20"/>
        </w:rPr>
        <w:t>Defensoria</w:t>
      </w:r>
      <w:r>
        <w:rPr>
          <w:b/>
          <w:spacing w:val="-2"/>
          <w:sz w:val="20"/>
        </w:rPr>
        <w:t xml:space="preserve"> </w:t>
      </w:r>
      <w:r>
        <w:rPr>
          <w:b/>
          <w:sz w:val="20"/>
        </w:rPr>
        <w:t>Pública</w:t>
      </w:r>
      <w:r>
        <w:rPr>
          <w:b/>
          <w:spacing w:val="-2"/>
          <w:sz w:val="20"/>
        </w:rPr>
        <w:t xml:space="preserve"> </w:t>
      </w:r>
      <w:r>
        <w:rPr>
          <w:b/>
          <w:sz w:val="20"/>
        </w:rPr>
        <w:t>do</w:t>
      </w:r>
      <w:r>
        <w:rPr>
          <w:b/>
          <w:spacing w:val="-3"/>
          <w:sz w:val="20"/>
        </w:rPr>
        <w:t xml:space="preserve"> </w:t>
      </w:r>
      <w:r>
        <w:rPr>
          <w:b/>
          <w:sz w:val="20"/>
        </w:rPr>
        <w:t>Estado</w:t>
      </w:r>
      <w:r>
        <w:rPr>
          <w:b/>
          <w:spacing w:val="-3"/>
          <w:sz w:val="20"/>
        </w:rPr>
        <w:t xml:space="preserve"> </w:t>
      </w:r>
      <w:r>
        <w:rPr>
          <w:b/>
          <w:sz w:val="20"/>
        </w:rPr>
        <w:t>de</w:t>
      </w:r>
      <w:r>
        <w:rPr>
          <w:b/>
          <w:spacing w:val="-3"/>
          <w:sz w:val="20"/>
        </w:rPr>
        <w:t xml:space="preserve"> </w:t>
      </w:r>
      <w:r>
        <w:rPr>
          <w:b/>
          <w:sz w:val="20"/>
        </w:rPr>
        <w:t>São</w:t>
      </w:r>
      <w:r>
        <w:rPr>
          <w:b/>
          <w:spacing w:val="-2"/>
          <w:sz w:val="20"/>
        </w:rPr>
        <w:t xml:space="preserve"> </w:t>
      </w:r>
      <w:r>
        <w:rPr>
          <w:b/>
          <w:sz w:val="20"/>
        </w:rPr>
        <w:t>Paulo</w:t>
      </w:r>
      <w:r>
        <w:rPr>
          <w:sz w:val="20"/>
        </w:rPr>
        <w:t>,</w:t>
      </w:r>
      <w:r>
        <w:rPr>
          <w:spacing w:val="-3"/>
          <w:sz w:val="20"/>
        </w:rPr>
        <w:t xml:space="preserve"> </w:t>
      </w:r>
      <w:r>
        <w:rPr>
          <w:sz w:val="20"/>
        </w:rPr>
        <w:t xml:space="preserve">São Paulo, v. 9, n. 40, p. 9-23, abr. 2024. Disponível em: </w:t>
      </w:r>
      <w:r>
        <w:rPr>
          <w:spacing w:val="-2"/>
          <w:sz w:val="20"/>
        </w:rPr>
        <w:t>https://</w:t>
      </w:r>
      <w:hyperlink r:id="rId13">
        <w:r>
          <w:rPr>
            <w:spacing w:val="-2"/>
            <w:sz w:val="20"/>
          </w:rPr>
          <w:t>www.defensoria.sp.def.br/documents/20122/b042ae95-a01f-3040-c5e9-4f85cde1d116.</w:t>
        </w:r>
      </w:hyperlink>
    </w:p>
    <w:p w:rsidR="007259F2" w:rsidRDefault="00E655B4">
      <w:pPr>
        <w:spacing w:before="1"/>
        <w:ind w:left="710" w:right="991"/>
        <w:jc w:val="both"/>
        <w:rPr>
          <w:sz w:val="20"/>
        </w:rPr>
      </w:pPr>
      <w:r>
        <w:rPr>
          <w:sz w:val="20"/>
          <w:vertAlign w:val="superscript"/>
        </w:rPr>
        <w:t>2</w:t>
      </w:r>
      <w:r>
        <w:rPr>
          <w:sz w:val="20"/>
        </w:rPr>
        <w:t xml:space="preserve"> Assistente Administrativo de Gestão na Procuradoria Geral do Município - PGM-SP e Doutorando no Programa de Estudos Pós-Graduados Educação: história, política, sociedade da Pontifícia Universidade Católica de São Paulo - PUC-SP. E-mail: </w:t>
      </w:r>
      <w:hyperlink r:id="rId14">
        <w:r>
          <w:rPr>
            <w:sz w:val="20"/>
          </w:rPr>
          <w:t>guilhermegskrivan@prefeitura.sp.gov.br.</w:t>
        </w:r>
      </w:hyperlink>
    </w:p>
    <w:p w:rsidR="007259F2" w:rsidRDefault="00E655B4">
      <w:pPr>
        <w:ind w:left="710" w:right="992"/>
        <w:jc w:val="both"/>
        <w:rPr>
          <w:sz w:val="20"/>
        </w:rPr>
      </w:pPr>
      <w:r>
        <w:rPr>
          <w:sz w:val="20"/>
          <w:vertAlign w:val="superscript"/>
        </w:rPr>
        <w:t>3</w:t>
      </w:r>
      <w:r>
        <w:rPr>
          <w:sz w:val="20"/>
        </w:rPr>
        <w:t xml:space="preserve"> Procurador do Município de São Paulo e Diretor do Centro de Estudos Jurídicos/Escola Superior de Direito Público Municipal - CEJUR/ESDPM da Procuradoria Geral do Município - PGM-SP. E-mail: </w:t>
      </w:r>
      <w:hyperlink r:id="rId15">
        <w:r>
          <w:rPr>
            <w:spacing w:val="-2"/>
            <w:sz w:val="20"/>
          </w:rPr>
          <w:t>rangotti@prefeitura.sp.gov.br.</w:t>
        </w:r>
      </w:hyperlink>
    </w:p>
    <w:p w:rsidR="007259F2" w:rsidRDefault="00E655B4">
      <w:pPr>
        <w:spacing w:before="1"/>
        <w:ind w:left="710" w:right="1000"/>
        <w:jc w:val="both"/>
        <w:rPr>
          <w:sz w:val="20"/>
        </w:rPr>
      </w:pPr>
      <w:r>
        <w:rPr>
          <w:sz w:val="20"/>
          <w:vertAlign w:val="superscript"/>
        </w:rPr>
        <w:t>4</w:t>
      </w:r>
      <w:r>
        <w:rPr>
          <w:sz w:val="20"/>
        </w:rPr>
        <w:t xml:space="preserve"> Agradecemos especialmente à nossa colega servidora Gabriela Carezzato Miani pela revisão deste</w:t>
      </w:r>
      <w:r>
        <w:rPr>
          <w:spacing w:val="40"/>
          <w:sz w:val="20"/>
        </w:rPr>
        <w:t xml:space="preserve"> </w:t>
      </w:r>
      <w:r>
        <w:rPr>
          <w:spacing w:val="-2"/>
          <w:sz w:val="20"/>
        </w:rPr>
        <w:t>artigo.</w:t>
      </w:r>
    </w:p>
    <w:p w:rsidR="007259F2" w:rsidRDefault="007259F2">
      <w:pPr>
        <w:jc w:val="both"/>
        <w:rPr>
          <w:sz w:val="20"/>
        </w:rPr>
        <w:sectPr w:rsidR="007259F2">
          <w:footerReference w:type="default" r:id="rId16"/>
          <w:pgSz w:w="11910" w:h="16840"/>
          <w:pgMar w:top="1520" w:right="708" w:bottom="1160" w:left="992" w:header="0" w:footer="962" w:gutter="0"/>
          <w:pgNumType w:start="6"/>
          <w:cols w:space="720"/>
        </w:sectPr>
      </w:pPr>
    </w:p>
    <w:p w:rsidR="007259F2" w:rsidRDefault="00E655B4">
      <w:pPr>
        <w:pStyle w:val="Corpodetexto"/>
        <w:spacing w:before="69"/>
        <w:ind w:right="994" w:firstLine="0"/>
      </w:pPr>
      <w:r>
        <w:lastRenderedPageBreak/>
        <w:t>said that the analyzed Juridical Residence represents a unique case that incorporates active learning into the pedagogical planning, successfully achieving its objective of connecting the practice of public law with theoretical knowledge in the legal field by emphasizing the student's daily activities as the primary mode of learning.</w:t>
      </w:r>
    </w:p>
    <w:p w:rsidR="007259F2" w:rsidRDefault="00E655B4">
      <w:pPr>
        <w:pStyle w:val="Corpodetexto"/>
        <w:spacing w:before="123"/>
        <w:ind w:firstLine="0"/>
      </w:pPr>
      <w:r>
        <w:rPr>
          <w:b/>
        </w:rPr>
        <w:t>Keywords</w:t>
      </w:r>
      <w:r>
        <w:t>:</w:t>
      </w:r>
      <w:r>
        <w:rPr>
          <w:spacing w:val="-4"/>
        </w:rPr>
        <w:t xml:space="preserve"> </w:t>
      </w:r>
      <w:r>
        <w:t>juridical</w:t>
      </w:r>
      <w:r>
        <w:rPr>
          <w:spacing w:val="-1"/>
        </w:rPr>
        <w:t xml:space="preserve"> </w:t>
      </w:r>
      <w:r>
        <w:t>residency;</w:t>
      </w:r>
      <w:r>
        <w:rPr>
          <w:spacing w:val="-2"/>
        </w:rPr>
        <w:t xml:space="preserve"> </w:t>
      </w:r>
      <w:r>
        <w:t>active</w:t>
      </w:r>
      <w:r>
        <w:rPr>
          <w:spacing w:val="-2"/>
        </w:rPr>
        <w:t xml:space="preserve"> </w:t>
      </w:r>
      <w:r>
        <w:t>learning,</w:t>
      </w:r>
      <w:r>
        <w:rPr>
          <w:spacing w:val="-1"/>
        </w:rPr>
        <w:t xml:space="preserve"> </w:t>
      </w:r>
      <w:r>
        <w:t>public</w:t>
      </w:r>
      <w:r>
        <w:rPr>
          <w:spacing w:val="-2"/>
        </w:rPr>
        <w:t xml:space="preserve"> advocacy.</w:t>
      </w:r>
    </w:p>
    <w:p w:rsidR="007259F2" w:rsidRDefault="007259F2">
      <w:pPr>
        <w:pStyle w:val="Corpodetexto"/>
        <w:ind w:left="0" w:firstLine="0"/>
        <w:jc w:val="left"/>
      </w:pPr>
    </w:p>
    <w:p w:rsidR="007259F2" w:rsidRDefault="007259F2">
      <w:pPr>
        <w:pStyle w:val="Corpodetexto"/>
        <w:spacing w:before="50"/>
        <w:ind w:left="0" w:firstLine="0"/>
        <w:jc w:val="left"/>
      </w:pPr>
    </w:p>
    <w:p w:rsidR="007259F2" w:rsidRDefault="00E655B4">
      <w:pPr>
        <w:pStyle w:val="Heading2"/>
        <w:numPr>
          <w:ilvl w:val="0"/>
          <w:numId w:val="6"/>
        </w:numPr>
        <w:tabs>
          <w:tab w:val="left" w:pos="890"/>
        </w:tabs>
        <w:spacing w:before="1"/>
        <w:ind w:left="890" w:hanging="180"/>
      </w:pPr>
      <w:r>
        <w:rPr>
          <w:spacing w:val="-2"/>
        </w:rPr>
        <w:t>Introdução</w:t>
      </w:r>
    </w:p>
    <w:p w:rsidR="007259F2" w:rsidRDefault="00E655B4">
      <w:pPr>
        <w:pStyle w:val="Corpodetexto"/>
        <w:spacing w:before="115"/>
        <w:ind w:right="988"/>
      </w:pPr>
      <w:r>
        <w:t>O presente artigo investiga o caráter pedagógico do caso da Residência Jurídica do Centro de Estudos Jurídicos da Procuradoria Geral do Município de São Paulo (PGM-SP). Mais especificamente, o objeto de estudo é a metodologia de ensino- aprendizagem desenvolvida no curso, caracterizada como uma Metodologia Ativa de Aprendizagem, opondo-se ao ensino tradicional que ocorre nas graduações de Direito.</w:t>
      </w:r>
      <w:r>
        <w:rPr>
          <w:spacing w:val="80"/>
        </w:rPr>
        <w:t xml:space="preserve"> </w:t>
      </w:r>
      <w:r>
        <w:t>O</w:t>
      </w:r>
      <w:r>
        <w:rPr>
          <w:spacing w:val="-2"/>
        </w:rPr>
        <w:t xml:space="preserve"> </w:t>
      </w:r>
      <w:r>
        <w:t>foco está</w:t>
      </w:r>
      <w:r>
        <w:rPr>
          <w:spacing w:val="-2"/>
        </w:rPr>
        <w:t xml:space="preserve"> </w:t>
      </w:r>
      <w:r>
        <w:t>na atividade estudantil</w:t>
      </w:r>
      <w:r>
        <w:rPr>
          <w:spacing w:val="-1"/>
        </w:rPr>
        <w:t xml:space="preserve"> </w:t>
      </w:r>
      <w:r>
        <w:t>como melhor</w:t>
      </w:r>
      <w:r>
        <w:rPr>
          <w:spacing w:val="-2"/>
        </w:rPr>
        <w:t xml:space="preserve"> </w:t>
      </w:r>
      <w:r>
        <w:t>ferramenta</w:t>
      </w:r>
      <w:r>
        <w:rPr>
          <w:spacing w:val="-2"/>
        </w:rPr>
        <w:t xml:space="preserve"> </w:t>
      </w:r>
      <w:r>
        <w:t>de aprendizagem,</w:t>
      </w:r>
      <w:r>
        <w:rPr>
          <w:spacing w:val="-1"/>
        </w:rPr>
        <w:t xml:space="preserve"> </w:t>
      </w:r>
      <w:r>
        <w:t>visando</w:t>
      </w:r>
      <w:r>
        <w:rPr>
          <w:spacing w:val="-2"/>
        </w:rPr>
        <w:t xml:space="preserve"> </w:t>
      </w:r>
      <w:r>
        <w:t>a assimilação e disseminação de saberes acerca do trabalho dos procuradores no serviço público municipal.</w:t>
      </w:r>
    </w:p>
    <w:p w:rsidR="007259F2" w:rsidRDefault="00E655B4">
      <w:pPr>
        <w:pStyle w:val="Corpodetexto"/>
        <w:spacing w:before="1"/>
        <w:ind w:right="986"/>
      </w:pPr>
      <w:r>
        <w:t xml:space="preserve">A formação escolar na área do Direito em graduações de universidades e faculdades públicas ou privadas brasileiras tem sido tradicionalmente caracterizada por sua abordagem generalista, isto é, voltada para conhecimentos gerais sobre diversas matérias do curso, e passiva, na qual o papel de aluno-ouvinte é preponderante. Com raras e louváveis exceções, dentro da sala de aula ocorrem monólogos a partir da experiência prática do professor e de manuais sobre os diversos temas da área. Portanto, ao estudante é oferecida uma formação apartada da atuação prática futura (SOARES </w:t>
      </w:r>
      <w:r>
        <w:rPr>
          <w:i/>
        </w:rPr>
        <w:t>et al</w:t>
      </w:r>
      <w:r>
        <w:t>., 2022). Essa prática será chamada, aqui, de tradicional: métodos didático- pedagógicos no qual o professor é o centralizador do conhecimento e da ação (de ensinar), enquanto a aprendizagem é uma tarefa do discente a ser avaliada.</w:t>
      </w:r>
    </w:p>
    <w:p w:rsidR="007259F2" w:rsidRDefault="00E655B4">
      <w:pPr>
        <w:pStyle w:val="Corpodetexto"/>
        <w:ind w:right="986"/>
      </w:pPr>
      <w:r>
        <w:t>Nas últimas décadas, debates críticos sobre o tema vêm ganhando espaço – não apenas na área do Direito ou no ensino superior, mas em todo o sistema educacional – apresentando-se como alternativas ao ensino tradicional (PINTO, 2018). Uma das correntes críticas resultou nas chamadas Metodologias Ativas de Aprendizagem – que são objeto do presente artigo. Essa abordagem pedagógica defende que a educação deve centralizar-se na atuação dos estudantes como chave para o processo de ensino- aprendizagem. Ou seja, a prática pedagógica deve originar-se das próprias atividades</w:t>
      </w:r>
      <w:r>
        <w:rPr>
          <w:spacing w:val="40"/>
        </w:rPr>
        <w:t xml:space="preserve"> </w:t>
      </w:r>
      <w:r>
        <w:t xml:space="preserve">dos estudantes (leitura, discussão, argumentação, redação, observação etc.) para que possam desenvolver melhor seus conhecimentos e suas habilidades (MARQUES </w:t>
      </w:r>
      <w:r>
        <w:rPr>
          <w:i/>
        </w:rPr>
        <w:t>et al</w:t>
      </w:r>
      <w:r>
        <w:t xml:space="preserve">., </w:t>
      </w:r>
      <w:r>
        <w:rPr>
          <w:spacing w:val="-2"/>
        </w:rPr>
        <w:t>2021).</w:t>
      </w:r>
    </w:p>
    <w:p w:rsidR="007259F2" w:rsidRDefault="00E655B4">
      <w:pPr>
        <w:pStyle w:val="Corpodetexto"/>
        <w:spacing w:before="1"/>
        <w:ind w:right="993"/>
      </w:pPr>
      <w:r>
        <w:t>Ter como ponto de partida a atividade estudantil não é uma inovação. A prática pedagógica voltada para atividade do estudante já acontecia no ensino tradicional, mesmo que não fosse denominada como Metodologia Ativa. A exemplo da formação superior em Direito, a Aprendizagem Ativa planejada ocorre majoritariamente em duas situações: simulações de situações reais e no estudo aprofundado de casos concretos ou por meio de estágios supervisionados, integrantes do itinerário formativo conforme estabelecido nos projetos pedagógicos dos cursos segundo a Lei nº 11.788/2008.</w:t>
      </w:r>
    </w:p>
    <w:p w:rsidR="007259F2" w:rsidRDefault="00E655B4">
      <w:pPr>
        <w:pStyle w:val="Corpodetexto"/>
        <w:ind w:right="988"/>
      </w:pPr>
      <w:r>
        <w:t>A profissionalização – entendida aqui como especialização do saber para o trabalho prático na área do Direito – ocorre fora da graduação, seja no ofício prático ou em cursos latu sensu que seguem a mesma fórmula pedagógica da graduação. Em</w:t>
      </w:r>
      <w:r>
        <w:rPr>
          <w:spacing w:val="40"/>
        </w:rPr>
        <w:t xml:space="preserve"> </w:t>
      </w:r>
      <w:r>
        <w:t>menor número, existem programas denominados “residência jurídica”, cursos</w:t>
      </w:r>
      <w:r>
        <w:rPr>
          <w:spacing w:val="40"/>
        </w:rPr>
        <w:t xml:space="preserve"> </w:t>
      </w:r>
      <w:r>
        <w:t>destinados</w:t>
      </w:r>
      <w:r>
        <w:rPr>
          <w:spacing w:val="-2"/>
        </w:rPr>
        <w:t xml:space="preserve"> </w:t>
      </w:r>
      <w:r>
        <w:t>à</w:t>
      </w:r>
      <w:r>
        <w:rPr>
          <w:spacing w:val="-3"/>
        </w:rPr>
        <w:t xml:space="preserve"> </w:t>
      </w:r>
      <w:r>
        <w:t>formação</w:t>
      </w:r>
      <w:r>
        <w:rPr>
          <w:spacing w:val="-2"/>
        </w:rPr>
        <w:t xml:space="preserve"> </w:t>
      </w:r>
      <w:r>
        <w:t>continuada</w:t>
      </w:r>
      <w:r>
        <w:rPr>
          <w:spacing w:val="-3"/>
        </w:rPr>
        <w:t xml:space="preserve"> </w:t>
      </w:r>
      <w:r>
        <w:t>(cursos</w:t>
      </w:r>
      <w:r>
        <w:rPr>
          <w:spacing w:val="-2"/>
        </w:rPr>
        <w:t xml:space="preserve"> </w:t>
      </w:r>
      <w:r>
        <w:t>de</w:t>
      </w:r>
      <w:r>
        <w:rPr>
          <w:spacing w:val="-3"/>
        </w:rPr>
        <w:t xml:space="preserve"> </w:t>
      </w:r>
      <w:r>
        <w:t>extensão</w:t>
      </w:r>
      <w:r>
        <w:rPr>
          <w:spacing w:val="-2"/>
        </w:rPr>
        <w:t xml:space="preserve"> </w:t>
      </w:r>
      <w:r>
        <w:t>e</w:t>
      </w:r>
      <w:r>
        <w:rPr>
          <w:spacing w:val="-3"/>
        </w:rPr>
        <w:t xml:space="preserve"> </w:t>
      </w:r>
      <w:r>
        <w:t>especialização)</w:t>
      </w:r>
      <w:r>
        <w:rPr>
          <w:spacing w:val="-3"/>
        </w:rPr>
        <w:t xml:space="preserve"> </w:t>
      </w:r>
      <w:r>
        <w:t>dos já bacharéis em</w:t>
      </w:r>
      <w:r>
        <w:rPr>
          <w:spacing w:val="23"/>
        </w:rPr>
        <w:t xml:space="preserve"> </w:t>
      </w:r>
      <w:r>
        <w:t>Direito</w:t>
      </w:r>
      <w:r>
        <w:rPr>
          <w:spacing w:val="25"/>
        </w:rPr>
        <w:t xml:space="preserve"> </w:t>
      </w:r>
      <w:r>
        <w:t>que</w:t>
      </w:r>
      <w:r>
        <w:rPr>
          <w:spacing w:val="25"/>
        </w:rPr>
        <w:t xml:space="preserve"> </w:t>
      </w:r>
      <w:r>
        <w:t>unem</w:t>
      </w:r>
      <w:r>
        <w:rPr>
          <w:spacing w:val="28"/>
        </w:rPr>
        <w:t xml:space="preserve"> </w:t>
      </w:r>
      <w:r>
        <w:t>estudo</w:t>
      </w:r>
      <w:r>
        <w:rPr>
          <w:spacing w:val="25"/>
        </w:rPr>
        <w:t xml:space="preserve"> </w:t>
      </w:r>
      <w:r>
        <w:t>e</w:t>
      </w:r>
      <w:r>
        <w:rPr>
          <w:spacing w:val="25"/>
        </w:rPr>
        <w:t xml:space="preserve"> </w:t>
      </w:r>
      <w:r>
        <w:t>acompanhamento</w:t>
      </w:r>
      <w:r>
        <w:rPr>
          <w:spacing w:val="27"/>
        </w:rPr>
        <w:t xml:space="preserve"> </w:t>
      </w:r>
      <w:r>
        <w:t>do</w:t>
      </w:r>
      <w:r>
        <w:rPr>
          <w:spacing w:val="25"/>
        </w:rPr>
        <w:t xml:space="preserve"> </w:t>
      </w:r>
      <w:r>
        <w:t>trabalho</w:t>
      </w:r>
      <w:r>
        <w:rPr>
          <w:spacing w:val="26"/>
        </w:rPr>
        <w:t xml:space="preserve"> </w:t>
      </w:r>
      <w:r>
        <w:t>prático</w:t>
      </w:r>
      <w:r>
        <w:rPr>
          <w:spacing w:val="27"/>
        </w:rPr>
        <w:t xml:space="preserve"> </w:t>
      </w:r>
      <w:r>
        <w:t>no</w:t>
      </w:r>
      <w:r>
        <w:rPr>
          <w:spacing w:val="27"/>
        </w:rPr>
        <w:t xml:space="preserve"> </w:t>
      </w:r>
      <w:r>
        <w:t>setor</w:t>
      </w:r>
      <w:r>
        <w:rPr>
          <w:spacing w:val="25"/>
        </w:rPr>
        <w:t xml:space="preserve"> </w:t>
      </w:r>
      <w:r>
        <w:rPr>
          <w:spacing w:val="-2"/>
        </w:rPr>
        <w:t>público.</w:t>
      </w:r>
    </w:p>
    <w:p w:rsidR="007259F2" w:rsidRDefault="007259F2">
      <w:pPr>
        <w:pStyle w:val="Corpodetexto"/>
        <w:sectPr w:rsidR="007259F2">
          <w:pgSz w:w="11910" w:h="16840"/>
          <w:pgMar w:top="1320" w:right="708" w:bottom="1160" w:left="992" w:header="0" w:footer="962" w:gutter="0"/>
          <w:cols w:space="720"/>
        </w:sectPr>
      </w:pPr>
    </w:p>
    <w:p w:rsidR="007259F2" w:rsidRDefault="00E655B4">
      <w:pPr>
        <w:pStyle w:val="Corpodetexto"/>
        <w:spacing w:before="69"/>
        <w:ind w:right="997" w:firstLine="0"/>
      </w:pPr>
      <w:r>
        <w:lastRenderedPageBreak/>
        <w:t>Existem cursos promovidos por Instituições de Ensino Superior e por Escolas da Administração Pública nas mais diversas esferas.</w:t>
      </w:r>
    </w:p>
    <w:p w:rsidR="007259F2" w:rsidRDefault="00E655B4">
      <w:pPr>
        <w:pStyle w:val="Corpodetexto"/>
        <w:spacing w:before="1"/>
        <w:ind w:right="991"/>
      </w:pPr>
      <w:r>
        <w:t>Mesmo contando com alguns exemplos nacionais de programas de residência jurídica,</w:t>
      </w:r>
      <w:r>
        <w:rPr>
          <w:spacing w:val="-1"/>
        </w:rPr>
        <w:t xml:space="preserve"> </w:t>
      </w:r>
      <w:r>
        <w:t>o</w:t>
      </w:r>
      <w:r>
        <w:rPr>
          <w:spacing w:val="-1"/>
        </w:rPr>
        <w:t xml:space="preserve"> </w:t>
      </w:r>
      <w:r>
        <w:t>tema</w:t>
      </w:r>
      <w:r>
        <w:rPr>
          <w:spacing w:val="-2"/>
        </w:rPr>
        <w:t xml:space="preserve"> </w:t>
      </w:r>
      <w:r>
        <w:t>é pouco explorado.</w:t>
      </w:r>
      <w:r>
        <w:rPr>
          <w:spacing w:val="-1"/>
        </w:rPr>
        <w:t xml:space="preserve"> </w:t>
      </w:r>
      <w:r>
        <w:t>Não foram encontrados artigos na plataforma Scielo sobre o tema. Na Biblioteca Digital Brasileira de Teses e Dissertações (BDTD) foi encontrada apenas uma dissertação, de Deise Ferraz (2018) e no Catálogo de Teses e Dissertações da Capes foi encontrado o mesmo estudo.</w:t>
      </w:r>
    </w:p>
    <w:p w:rsidR="007259F2" w:rsidRDefault="00E655B4">
      <w:pPr>
        <w:pStyle w:val="Corpodetexto"/>
        <w:ind w:right="991"/>
      </w:pPr>
      <w:r>
        <w:t>Durante as buscas, deparamo-nos com uma vasta bibliografia sobre programas</w:t>
      </w:r>
      <w:r>
        <w:rPr>
          <w:spacing w:val="40"/>
        </w:rPr>
        <w:t xml:space="preserve"> </w:t>
      </w:r>
      <w:r>
        <w:t>de residência na área da Saúde, obrigatória para os cursos de Medicina, mas também praticadas em Enfermagem, Psicologia, Pedagogia etc. Deve-se compreender os mecanismos comuns que suscitam o nome “residência”.</w:t>
      </w:r>
    </w:p>
    <w:p w:rsidR="007259F2" w:rsidRDefault="00E655B4">
      <w:pPr>
        <w:pStyle w:val="Corpodetexto"/>
        <w:ind w:right="988"/>
      </w:pPr>
      <w:r>
        <w:t>A dissertação de Ferraz (2018) analisa a residência jurídica enquanto curso de especialização da Universidade Federal do Rio Grande (FURG) diante da hipótese - confirmada pela pesquisadora - de que os saberes adquiridos a partir da residência humanizam o ensino jurídico, abrindo a possibilidade de ação a partir do diálogo e da visão político-pedagógica em situações desumanizantes.</w:t>
      </w:r>
    </w:p>
    <w:p w:rsidR="007259F2" w:rsidRDefault="00E655B4">
      <w:pPr>
        <w:pStyle w:val="Corpodetexto"/>
        <w:spacing w:before="1"/>
        <w:ind w:right="989"/>
      </w:pPr>
      <w:r>
        <w:t>Diante da escassa bibliografia sobre residência jurídica, entende-se que há um campo educativo a ser explorado. É frutífero aferirmos como a união entre conhecimentos teórico e prático tem sido efetivada na formação em Direito. O presente artigo visa compreender a metodologia proposta no curso da residência jurídica do PGM-SP</w:t>
      </w:r>
      <w:r>
        <w:rPr>
          <w:spacing w:val="-11"/>
        </w:rPr>
        <w:t xml:space="preserve"> </w:t>
      </w:r>
      <w:r>
        <w:t>e,</w:t>
      </w:r>
      <w:r>
        <w:rPr>
          <w:spacing w:val="-3"/>
        </w:rPr>
        <w:t xml:space="preserve"> </w:t>
      </w:r>
      <w:r>
        <w:t>mais</w:t>
      </w:r>
      <w:r>
        <w:rPr>
          <w:spacing w:val="-3"/>
        </w:rPr>
        <w:t xml:space="preserve"> </w:t>
      </w:r>
      <w:r>
        <w:t>especificamente,</w:t>
      </w:r>
      <w:r>
        <w:rPr>
          <w:spacing w:val="-3"/>
        </w:rPr>
        <w:t xml:space="preserve"> </w:t>
      </w:r>
      <w:r>
        <w:t>descrever</w:t>
      </w:r>
      <w:r>
        <w:rPr>
          <w:spacing w:val="-2"/>
        </w:rPr>
        <w:t xml:space="preserve"> </w:t>
      </w:r>
      <w:r>
        <w:t>as</w:t>
      </w:r>
      <w:r>
        <w:rPr>
          <w:spacing w:val="-1"/>
        </w:rPr>
        <w:t xml:space="preserve"> </w:t>
      </w:r>
      <w:r>
        <w:t>etapas</w:t>
      </w:r>
      <w:r>
        <w:rPr>
          <w:spacing w:val="-3"/>
        </w:rPr>
        <w:t xml:space="preserve"> </w:t>
      </w:r>
      <w:r>
        <w:t>do</w:t>
      </w:r>
      <w:r>
        <w:rPr>
          <w:spacing w:val="-3"/>
        </w:rPr>
        <w:t xml:space="preserve"> </w:t>
      </w:r>
      <w:r>
        <w:t>curso</w:t>
      </w:r>
      <w:r>
        <w:rPr>
          <w:spacing w:val="-3"/>
        </w:rPr>
        <w:t xml:space="preserve"> </w:t>
      </w:r>
      <w:r>
        <w:t>e analisar</w:t>
      </w:r>
      <w:r>
        <w:rPr>
          <w:spacing w:val="-2"/>
        </w:rPr>
        <w:t xml:space="preserve"> </w:t>
      </w:r>
      <w:r>
        <w:t>a</w:t>
      </w:r>
      <w:r>
        <w:rPr>
          <w:spacing w:val="-2"/>
        </w:rPr>
        <w:t xml:space="preserve"> </w:t>
      </w:r>
      <w:r>
        <w:t>forma</w:t>
      </w:r>
      <w:r>
        <w:rPr>
          <w:spacing w:val="-3"/>
        </w:rPr>
        <w:t xml:space="preserve"> </w:t>
      </w:r>
      <w:r>
        <w:t>que</w:t>
      </w:r>
      <w:r>
        <w:rPr>
          <w:spacing w:val="-3"/>
        </w:rPr>
        <w:t xml:space="preserve"> </w:t>
      </w:r>
      <w:r>
        <w:t>os conceitos de</w:t>
      </w:r>
      <w:r>
        <w:rPr>
          <w:spacing w:val="-4"/>
        </w:rPr>
        <w:t xml:space="preserve"> </w:t>
      </w:r>
      <w:r>
        <w:t>Aprendizagem</w:t>
      </w:r>
      <w:r>
        <w:rPr>
          <w:spacing w:val="-5"/>
        </w:rPr>
        <w:t xml:space="preserve"> </w:t>
      </w:r>
      <w:r>
        <w:t>Ativa e de Metodologias</w:t>
      </w:r>
      <w:r>
        <w:rPr>
          <w:spacing w:val="-6"/>
        </w:rPr>
        <w:t xml:space="preserve"> </w:t>
      </w:r>
      <w:r>
        <w:t>Ativas de</w:t>
      </w:r>
      <w:r>
        <w:rPr>
          <w:spacing w:val="-7"/>
        </w:rPr>
        <w:t xml:space="preserve"> </w:t>
      </w:r>
      <w:r>
        <w:t>Aprendizagem norteiam o caso.</w:t>
      </w:r>
    </w:p>
    <w:p w:rsidR="007259F2" w:rsidRDefault="00E655B4">
      <w:pPr>
        <w:pStyle w:val="Heading2"/>
        <w:numPr>
          <w:ilvl w:val="0"/>
          <w:numId w:val="6"/>
        </w:numPr>
        <w:tabs>
          <w:tab w:val="left" w:pos="950"/>
        </w:tabs>
        <w:ind w:left="950" w:hanging="240"/>
        <w:jc w:val="both"/>
      </w:pPr>
      <w:r>
        <w:t>Avaliando</w:t>
      </w:r>
      <w:r>
        <w:rPr>
          <w:spacing w:val="-1"/>
        </w:rPr>
        <w:t xml:space="preserve"> </w:t>
      </w:r>
      <w:r>
        <w:t>a</w:t>
      </w:r>
      <w:r>
        <w:rPr>
          <w:spacing w:val="-4"/>
        </w:rPr>
        <w:t xml:space="preserve"> </w:t>
      </w:r>
      <w:r>
        <w:t>formação</w:t>
      </w:r>
      <w:r>
        <w:rPr>
          <w:spacing w:val="-1"/>
        </w:rPr>
        <w:t xml:space="preserve"> </w:t>
      </w:r>
      <w:r>
        <w:t>em</w:t>
      </w:r>
      <w:r>
        <w:rPr>
          <w:spacing w:val="-5"/>
        </w:rPr>
        <w:t xml:space="preserve"> </w:t>
      </w:r>
      <w:r>
        <w:t>residência</w:t>
      </w:r>
      <w:r>
        <w:rPr>
          <w:spacing w:val="2"/>
        </w:rPr>
        <w:t xml:space="preserve"> </w:t>
      </w:r>
      <w:r>
        <w:rPr>
          <w:spacing w:val="-2"/>
        </w:rPr>
        <w:t>juridica</w:t>
      </w:r>
    </w:p>
    <w:p w:rsidR="007259F2" w:rsidRDefault="00E655B4">
      <w:pPr>
        <w:pStyle w:val="Corpodetexto"/>
        <w:spacing w:before="115"/>
        <w:ind w:right="994"/>
      </w:pPr>
      <w:r>
        <w:t>Por ser um assunto pouco explorado na academia, a pesquisa sobre residência jurídica para o presente relatório foi exploratória e descritiva. O objetivo principal é elucidar como a aproximação entre teoria e prática (práxis), através da centralidade do discente na prática pedagógica jurídica, pode ser um recurso para as formações da área.</w:t>
      </w:r>
    </w:p>
    <w:p w:rsidR="007259F2" w:rsidRDefault="00E655B4">
      <w:pPr>
        <w:pStyle w:val="Corpodetexto"/>
        <w:ind w:right="987"/>
      </w:pPr>
      <w:r>
        <w:t>A coleta de dados foi realizada através do contato com os agentes públicos responsáveis pelo curso, além dos acessos à página da Residência Jurídica do Centro de Estudos</w:t>
      </w:r>
      <w:r>
        <w:rPr>
          <w:spacing w:val="-3"/>
        </w:rPr>
        <w:t xml:space="preserve"> </w:t>
      </w:r>
      <w:r>
        <w:t>Jurídicos/Escola</w:t>
      </w:r>
      <w:r>
        <w:rPr>
          <w:spacing w:val="-3"/>
        </w:rPr>
        <w:t xml:space="preserve"> </w:t>
      </w:r>
      <w:r>
        <w:t>Superior</w:t>
      </w:r>
      <w:r>
        <w:rPr>
          <w:spacing w:val="-3"/>
        </w:rPr>
        <w:t xml:space="preserve"> </w:t>
      </w:r>
      <w:r>
        <w:t>de</w:t>
      </w:r>
      <w:r>
        <w:rPr>
          <w:spacing w:val="-5"/>
        </w:rPr>
        <w:t xml:space="preserve"> </w:t>
      </w:r>
      <w:r>
        <w:t>Direito</w:t>
      </w:r>
      <w:r>
        <w:rPr>
          <w:spacing w:val="-3"/>
        </w:rPr>
        <w:t xml:space="preserve"> </w:t>
      </w:r>
      <w:r>
        <w:t>Público</w:t>
      </w:r>
      <w:r>
        <w:rPr>
          <w:spacing w:val="-3"/>
        </w:rPr>
        <w:t xml:space="preserve"> </w:t>
      </w:r>
      <w:r>
        <w:t>Municipal</w:t>
      </w:r>
      <w:r>
        <w:rPr>
          <w:spacing w:val="-3"/>
        </w:rPr>
        <w:t xml:space="preserve"> </w:t>
      </w:r>
      <w:r>
        <w:t>(CEJUR/ESDPM)</w:t>
      </w:r>
      <w:r>
        <w:rPr>
          <w:vertAlign w:val="superscript"/>
        </w:rPr>
        <w:t>5</w:t>
      </w:r>
      <w:r>
        <w:rPr>
          <w:spacing w:val="-2"/>
        </w:rPr>
        <w:t xml:space="preserve"> </w:t>
      </w:r>
      <w:r>
        <w:t>e</w:t>
      </w:r>
      <w:r>
        <w:rPr>
          <w:spacing w:val="-4"/>
        </w:rPr>
        <w:t xml:space="preserve"> </w:t>
      </w:r>
      <w:r>
        <w:t>ao Ambiente Virtual de Aprendizagem (AVA) utilizado, a plataforma Moodle. O acesso a este último está disponível exclusivamente para funcionários e estudantes cadastrados</w:t>
      </w:r>
      <w:r>
        <w:rPr>
          <w:spacing w:val="40"/>
        </w:rPr>
        <w:t xml:space="preserve"> </w:t>
      </w:r>
      <w:r>
        <w:t>no Programa.</w:t>
      </w:r>
    </w:p>
    <w:p w:rsidR="007259F2" w:rsidRDefault="00E655B4">
      <w:pPr>
        <w:pStyle w:val="Corpodetexto"/>
        <w:ind w:right="992"/>
      </w:pPr>
      <w:r>
        <w:t>Foram adquiridos documentos que vão desde as avaliações dos estudantes até o Projeto Pedagógico do Curso, passando por um formulário de inscrição do projeto no Premia Sampa (prêmio da Prefeitura Municipal de São Paulo para projetos inovadores), que conta com aprofundada descrição do curso. A análise de tais documentos buscou entender como a práxis é estabelecida no curso.</w:t>
      </w:r>
    </w:p>
    <w:p w:rsidR="007259F2" w:rsidRDefault="00E655B4">
      <w:pPr>
        <w:pStyle w:val="Corpodetexto"/>
        <w:ind w:right="990"/>
      </w:pPr>
      <w:r>
        <w:t>Para a realização do estudo, buscou-se fontes bibliográficas que pudessem esclarecer os fenômenos analisados sobre Metodologias Ativas de Aprendizagem e Aprendizagem Ativa. Algumas dessas fontes incluem os trabalhos de Marques e colaboradores (2021) e Moran (2018), que conduziram uma revisão sistemática de artigos sobre metodologias ativas de ensino-aprendizagem.</w:t>
      </w:r>
      <w:r>
        <w:rPr>
          <w:spacing w:val="-13"/>
        </w:rPr>
        <w:t xml:space="preserve"> </w:t>
      </w:r>
      <w:r>
        <w:t xml:space="preserve">Além disso, Marin </w:t>
      </w:r>
      <w:r>
        <w:rPr>
          <w:i/>
        </w:rPr>
        <w:t xml:space="preserve">et al. </w:t>
      </w:r>
      <w:r>
        <w:t>que analisaram o caso da Faculdade de Medicina de Marília, enquanto Carneiro, Teixeira e Pedrosa</w:t>
      </w:r>
      <w:r>
        <w:rPr>
          <w:spacing w:val="5"/>
        </w:rPr>
        <w:t xml:space="preserve"> </w:t>
      </w:r>
      <w:r>
        <w:t>avaliaram</w:t>
      </w:r>
      <w:r>
        <w:rPr>
          <w:spacing w:val="7"/>
        </w:rPr>
        <w:t xml:space="preserve"> </w:t>
      </w:r>
      <w:r>
        <w:t>experiências</w:t>
      </w:r>
      <w:r>
        <w:rPr>
          <w:spacing w:val="7"/>
        </w:rPr>
        <w:t xml:space="preserve"> </w:t>
      </w:r>
      <w:r>
        <w:t>de</w:t>
      </w:r>
      <w:r>
        <w:rPr>
          <w:spacing w:val="6"/>
        </w:rPr>
        <w:t xml:space="preserve"> </w:t>
      </w:r>
      <w:r>
        <w:t>residências</w:t>
      </w:r>
      <w:r>
        <w:rPr>
          <w:spacing w:val="7"/>
        </w:rPr>
        <w:t xml:space="preserve"> </w:t>
      </w:r>
      <w:r>
        <w:t>nas</w:t>
      </w:r>
      <w:r>
        <w:rPr>
          <w:spacing w:val="9"/>
        </w:rPr>
        <w:t xml:space="preserve"> </w:t>
      </w:r>
      <w:r>
        <w:t>áreas</w:t>
      </w:r>
      <w:r>
        <w:rPr>
          <w:spacing w:val="7"/>
        </w:rPr>
        <w:t xml:space="preserve"> </w:t>
      </w:r>
      <w:r>
        <w:t>da</w:t>
      </w:r>
      <w:r>
        <w:rPr>
          <w:spacing w:val="6"/>
        </w:rPr>
        <w:t xml:space="preserve"> </w:t>
      </w:r>
      <w:r>
        <w:t>Saúde.</w:t>
      </w:r>
      <w:r>
        <w:rPr>
          <w:spacing w:val="7"/>
        </w:rPr>
        <w:t xml:space="preserve"> </w:t>
      </w:r>
      <w:r>
        <w:t>Outras</w:t>
      </w:r>
      <w:r>
        <w:rPr>
          <w:spacing w:val="8"/>
        </w:rPr>
        <w:t xml:space="preserve"> </w:t>
      </w:r>
      <w:r>
        <w:rPr>
          <w:spacing w:val="-2"/>
        </w:rPr>
        <w:t>contribuições</w:t>
      </w:r>
    </w:p>
    <w:p w:rsidR="007259F2" w:rsidRDefault="00DE6B1C">
      <w:pPr>
        <w:pStyle w:val="Corpodetexto"/>
        <w:spacing w:before="4"/>
        <w:ind w:left="0" w:firstLine="0"/>
        <w:jc w:val="left"/>
        <w:rPr>
          <w:sz w:val="14"/>
        </w:rPr>
      </w:pPr>
      <w:r w:rsidRPr="00DE6B1C">
        <w:rPr>
          <w:sz w:val="14"/>
        </w:rPr>
        <w:pict>
          <v:rect id="docshape11" o:spid="_x0000_s1209" style="position:absolute;margin-left:85.1pt;margin-top:9.45pt;width:2in;height:.7pt;z-index:-15727104;mso-wrap-distance-left:0;mso-wrap-distance-right:0;mso-position-horizontal-relative:page" fillcolor="black" stroked="f">
            <w10:wrap type="topAndBottom" anchorx="page"/>
          </v:rect>
        </w:pict>
      </w:r>
    </w:p>
    <w:p w:rsidR="007259F2" w:rsidRDefault="00E655B4">
      <w:pPr>
        <w:spacing w:before="97"/>
        <w:ind w:left="710"/>
        <w:rPr>
          <w:sz w:val="20"/>
        </w:rPr>
      </w:pPr>
      <w:r>
        <w:rPr>
          <w:sz w:val="20"/>
          <w:vertAlign w:val="superscript"/>
        </w:rPr>
        <w:t>5</w:t>
      </w:r>
      <w:r>
        <w:rPr>
          <w:sz w:val="20"/>
        </w:rPr>
        <w:t xml:space="preserve"> Página eletrônica do caso analisado, na qual pode-se acessar os documentos públicos referenciados: </w:t>
      </w:r>
      <w:r>
        <w:rPr>
          <w:spacing w:val="-2"/>
          <w:sz w:val="20"/>
        </w:rPr>
        <w:t>https://</w:t>
      </w:r>
      <w:hyperlink r:id="rId17">
        <w:r>
          <w:rPr>
            <w:spacing w:val="-2"/>
            <w:sz w:val="20"/>
          </w:rPr>
          <w:t>www.prefeitura.sp.gov.br/cidade/secretarias/procuradoria_geral/cejur/escola_superior_de_direito_</w:t>
        </w:r>
      </w:hyperlink>
      <w:r>
        <w:rPr>
          <w:spacing w:val="-2"/>
          <w:sz w:val="20"/>
        </w:rPr>
        <w:t xml:space="preserve"> publico_municipal/programa_de_residencia_juridica/index.php.</w:t>
      </w:r>
    </w:p>
    <w:p w:rsidR="007259F2" w:rsidRDefault="007259F2">
      <w:pPr>
        <w:rPr>
          <w:sz w:val="20"/>
        </w:rPr>
        <w:sectPr w:rsidR="007259F2">
          <w:pgSz w:w="11910" w:h="16840"/>
          <w:pgMar w:top="1320" w:right="708" w:bottom="1160" w:left="992" w:header="0" w:footer="962" w:gutter="0"/>
          <w:cols w:space="720"/>
        </w:sectPr>
      </w:pPr>
    </w:p>
    <w:p w:rsidR="007259F2" w:rsidRDefault="00E655B4">
      <w:pPr>
        <w:pStyle w:val="Corpodetexto"/>
        <w:spacing w:before="69"/>
        <w:ind w:right="996" w:firstLine="0"/>
      </w:pPr>
      <w:r>
        <w:lastRenderedPageBreak/>
        <w:t>relevantes abordaram a formação ativa na área do Direito, conforme apresentado por Soares e colaboradores (2022) e Silveira (2022).</w:t>
      </w:r>
    </w:p>
    <w:p w:rsidR="007259F2" w:rsidRDefault="00E655B4">
      <w:pPr>
        <w:pStyle w:val="Corpodetexto"/>
        <w:spacing w:before="1"/>
        <w:ind w:right="989"/>
      </w:pPr>
      <w:r>
        <w:t>A partir dos estudos sobre as residências em outras áreas pesquisadas há mais tempo, é possível compreender o funcionamento desse mecanismo distinto da educação em sala de aula. As concepções, métodos e objetivos educacionais em todas as residências,</w:t>
      </w:r>
      <w:r>
        <w:rPr>
          <w:spacing w:val="-1"/>
        </w:rPr>
        <w:t xml:space="preserve"> </w:t>
      </w:r>
      <w:r>
        <w:t>independente da área</w:t>
      </w:r>
      <w:r>
        <w:rPr>
          <w:spacing w:val="2"/>
        </w:rPr>
        <w:t xml:space="preserve"> </w:t>
      </w:r>
      <w:r>
        <w:t>- seja na</w:t>
      </w:r>
      <w:r>
        <w:rPr>
          <w:spacing w:val="-1"/>
        </w:rPr>
        <w:t xml:space="preserve"> </w:t>
      </w:r>
      <w:r>
        <w:t>Saúde,</w:t>
      </w:r>
      <w:r>
        <w:rPr>
          <w:spacing w:val="3"/>
        </w:rPr>
        <w:t xml:space="preserve"> </w:t>
      </w:r>
      <w:r>
        <w:t>no</w:t>
      </w:r>
      <w:r>
        <w:rPr>
          <w:spacing w:val="1"/>
        </w:rPr>
        <w:t xml:space="preserve"> </w:t>
      </w:r>
      <w:r>
        <w:t>Direito,</w:t>
      </w:r>
      <w:r>
        <w:rPr>
          <w:spacing w:val="3"/>
        </w:rPr>
        <w:t xml:space="preserve"> </w:t>
      </w:r>
      <w:r>
        <w:t>na Pedagogia,</w:t>
      </w:r>
      <w:r>
        <w:rPr>
          <w:spacing w:val="1"/>
        </w:rPr>
        <w:t xml:space="preserve"> </w:t>
      </w:r>
      <w:r>
        <w:t>entre</w:t>
      </w:r>
      <w:r>
        <w:rPr>
          <w:spacing w:val="-1"/>
        </w:rPr>
        <w:t xml:space="preserve"> </w:t>
      </w:r>
      <w:r>
        <w:rPr>
          <w:spacing w:val="-2"/>
        </w:rPr>
        <w:t>outros</w:t>
      </w:r>
    </w:p>
    <w:p w:rsidR="007259F2" w:rsidRDefault="00E655B4">
      <w:pPr>
        <w:pStyle w:val="Corpodetexto"/>
        <w:ind w:firstLine="0"/>
      </w:pPr>
      <w:r>
        <w:t>-</w:t>
      </w:r>
      <w:r>
        <w:rPr>
          <w:spacing w:val="7"/>
        </w:rPr>
        <w:t xml:space="preserve"> </w:t>
      </w:r>
      <w:r>
        <w:t>são</w:t>
      </w:r>
      <w:r>
        <w:rPr>
          <w:spacing w:val="10"/>
        </w:rPr>
        <w:t xml:space="preserve"> </w:t>
      </w:r>
      <w:r>
        <w:t>os</w:t>
      </w:r>
      <w:r>
        <w:rPr>
          <w:spacing w:val="11"/>
        </w:rPr>
        <w:t xml:space="preserve"> </w:t>
      </w:r>
      <w:r>
        <w:t>mesmos,</w:t>
      </w:r>
      <w:r>
        <w:rPr>
          <w:spacing w:val="11"/>
        </w:rPr>
        <w:t xml:space="preserve"> </w:t>
      </w:r>
      <w:r>
        <w:t>respectivamente:</w:t>
      </w:r>
      <w:r>
        <w:rPr>
          <w:spacing w:val="11"/>
        </w:rPr>
        <w:t xml:space="preserve"> </w:t>
      </w:r>
      <w:r>
        <w:t>1)</w:t>
      </w:r>
      <w:r>
        <w:rPr>
          <w:spacing w:val="10"/>
        </w:rPr>
        <w:t xml:space="preserve"> </w:t>
      </w:r>
      <w:r>
        <w:t>relação</w:t>
      </w:r>
      <w:r>
        <w:rPr>
          <w:spacing w:val="10"/>
        </w:rPr>
        <w:t xml:space="preserve"> </w:t>
      </w:r>
      <w:r>
        <w:t>mestre-aprendiz</w:t>
      </w:r>
      <w:r>
        <w:rPr>
          <w:spacing w:val="12"/>
        </w:rPr>
        <w:t xml:space="preserve"> </w:t>
      </w:r>
      <w:r>
        <w:t>em</w:t>
      </w:r>
      <w:r>
        <w:rPr>
          <w:spacing w:val="11"/>
        </w:rPr>
        <w:t xml:space="preserve"> </w:t>
      </w:r>
      <w:r>
        <w:t>contexto</w:t>
      </w:r>
      <w:r>
        <w:rPr>
          <w:spacing w:val="8"/>
        </w:rPr>
        <w:t xml:space="preserve"> </w:t>
      </w:r>
      <w:r>
        <w:t>de</w:t>
      </w:r>
      <w:r>
        <w:rPr>
          <w:spacing w:val="9"/>
        </w:rPr>
        <w:t xml:space="preserve"> </w:t>
      </w:r>
      <w:r>
        <w:rPr>
          <w:spacing w:val="-2"/>
        </w:rPr>
        <w:t>trabalho;</w:t>
      </w:r>
    </w:p>
    <w:p w:rsidR="007259F2" w:rsidRDefault="00E655B4">
      <w:pPr>
        <w:pStyle w:val="Corpodetexto"/>
        <w:ind w:right="996" w:firstLine="0"/>
      </w:pPr>
      <w:r>
        <w:t>2)</w:t>
      </w:r>
      <w:r>
        <w:rPr>
          <w:spacing w:val="-1"/>
        </w:rPr>
        <w:t xml:space="preserve"> </w:t>
      </w:r>
      <w:r>
        <w:t>observação e reflexão do estudante</w:t>
      </w:r>
      <w:r>
        <w:rPr>
          <w:spacing w:val="-1"/>
        </w:rPr>
        <w:t xml:space="preserve"> </w:t>
      </w:r>
      <w:r>
        <w:t>sobre a</w:t>
      </w:r>
      <w:r>
        <w:rPr>
          <w:spacing w:val="-1"/>
        </w:rPr>
        <w:t xml:space="preserve"> </w:t>
      </w:r>
      <w:r>
        <w:t>prática</w:t>
      </w:r>
      <w:r>
        <w:rPr>
          <w:spacing w:val="-2"/>
        </w:rPr>
        <w:t xml:space="preserve"> </w:t>
      </w:r>
      <w:r>
        <w:t>profissional e; 3) desenvolvimento de saberes relativos à atuação profissional in loco.</w:t>
      </w:r>
    </w:p>
    <w:p w:rsidR="007259F2" w:rsidRDefault="00E655B4">
      <w:pPr>
        <w:pStyle w:val="Heading2"/>
        <w:numPr>
          <w:ilvl w:val="0"/>
          <w:numId w:val="6"/>
        </w:numPr>
        <w:tabs>
          <w:tab w:val="left" w:pos="950"/>
        </w:tabs>
        <w:spacing w:before="201"/>
        <w:ind w:left="950" w:hanging="240"/>
        <w:jc w:val="both"/>
      </w:pPr>
      <w:r>
        <w:t>Aprendizagem</w:t>
      </w:r>
      <w:r>
        <w:rPr>
          <w:spacing w:val="-6"/>
        </w:rPr>
        <w:t xml:space="preserve"> </w:t>
      </w:r>
      <w:r>
        <w:t>Ativa</w:t>
      </w:r>
      <w:r>
        <w:rPr>
          <w:spacing w:val="1"/>
        </w:rPr>
        <w:t xml:space="preserve"> </w:t>
      </w:r>
      <w:r>
        <w:t>e</w:t>
      </w:r>
      <w:r>
        <w:rPr>
          <w:spacing w:val="-2"/>
        </w:rPr>
        <w:t xml:space="preserve"> </w:t>
      </w:r>
      <w:r>
        <w:t>Metodologias</w:t>
      </w:r>
      <w:r>
        <w:rPr>
          <w:spacing w:val="-1"/>
        </w:rPr>
        <w:t xml:space="preserve"> </w:t>
      </w:r>
      <w:r>
        <w:t>Ativas</w:t>
      </w:r>
      <w:r>
        <w:rPr>
          <w:spacing w:val="-1"/>
        </w:rPr>
        <w:t xml:space="preserve"> </w:t>
      </w:r>
      <w:r>
        <w:t>de</w:t>
      </w:r>
      <w:r>
        <w:rPr>
          <w:spacing w:val="-2"/>
        </w:rPr>
        <w:t xml:space="preserve"> Aprendizagem</w:t>
      </w:r>
    </w:p>
    <w:p w:rsidR="007259F2" w:rsidRDefault="00E655B4">
      <w:pPr>
        <w:pStyle w:val="Corpodetexto"/>
        <w:spacing w:before="120"/>
        <w:ind w:right="992"/>
      </w:pPr>
      <w:r>
        <w:t>A instituição escolar constitui um espaço destinado à educação, composto por diversos elementos como organização, escolha de conteúdos, arquitetura, cultura própria, relação entre estudantes e professores etc. O objetivo final é a educação, e os componentes são pensados e</w:t>
      </w:r>
      <w:r>
        <w:rPr>
          <w:spacing w:val="-1"/>
        </w:rPr>
        <w:t xml:space="preserve"> </w:t>
      </w:r>
      <w:r>
        <w:t>configurados para fomentarem a aprendizagem. Em última instância, entretanto, a educação acontece na relação mestre-aprendiz, na forma de professor-estudante. Temos duas pontas que se relacionam, sendo que a primeira (professor) é responsável pelo trabalho pedagógico e seu planejamento, enquanto a segunda (estudante) se desenvolve a partir desse trabalho.</w:t>
      </w:r>
    </w:p>
    <w:p w:rsidR="007259F2" w:rsidRDefault="00E655B4">
      <w:pPr>
        <w:pStyle w:val="Corpodetexto"/>
        <w:spacing w:before="1"/>
        <w:ind w:right="991"/>
      </w:pPr>
      <w:r>
        <w:t>Tradicionalmente, ou melhor, a partir da universalização da instituição escolar iniciada</w:t>
      </w:r>
      <w:r>
        <w:rPr>
          <w:spacing w:val="-3"/>
        </w:rPr>
        <w:t xml:space="preserve"> </w:t>
      </w:r>
      <w:r>
        <w:t>na</w:t>
      </w:r>
      <w:r>
        <w:rPr>
          <w:spacing w:val="-2"/>
        </w:rPr>
        <w:t xml:space="preserve"> </w:t>
      </w:r>
      <w:r>
        <w:t>Europa</w:t>
      </w:r>
      <w:r>
        <w:rPr>
          <w:spacing w:val="-2"/>
        </w:rPr>
        <w:t xml:space="preserve"> </w:t>
      </w:r>
      <w:r>
        <w:t>do</w:t>
      </w:r>
      <w:r>
        <w:rPr>
          <w:spacing w:val="-1"/>
        </w:rPr>
        <w:t xml:space="preserve"> </w:t>
      </w:r>
      <w:r>
        <w:t>século</w:t>
      </w:r>
      <w:r>
        <w:rPr>
          <w:spacing w:val="-1"/>
        </w:rPr>
        <w:t xml:space="preserve"> </w:t>
      </w:r>
      <w:r>
        <w:t>XVIII,</w:t>
      </w:r>
      <w:r>
        <w:rPr>
          <w:spacing w:val="-1"/>
        </w:rPr>
        <w:t xml:space="preserve"> </w:t>
      </w:r>
      <w:r>
        <w:t>o</w:t>
      </w:r>
      <w:r>
        <w:rPr>
          <w:spacing w:val="-1"/>
        </w:rPr>
        <w:t xml:space="preserve"> </w:t>
      </w:r>
      <w:r>
        <w:t>trabalho</w:t>
      </w:r>
      <w:r>
        <w:rPr>
          <w:spacing w:val="-1"/>
        </w:rPr>
        <w:t xml:space="preserve"> </w:t>
      </w:r>
      <w:r>
        <w:t>pedagógico</w:t>
      </w:r>
      <w:r>
        <w:rPr>
          <w:spacing w:val="-1"/>
        </w:rPr>
        <w:t xml:space="preserve"> </w:t>
      </w:r>
      <w:r>
        <w:t>é</w:t>
      </w:r>
      <w:r>
        <w:rPr>
          <w:spacing w:val="-2"/>
        </w:rPr>
        <w:t xml:space="preserve"> </w:t>
      </w:r>
      <w:r>
        <w:t>conduzido</w:t>
      </w:r>
      <w:r>
        <w:rPr>
          <w:spacing w:val="-1"/>
        </w:rPr>
        <w:t xml:space="preserve"> </w:t>
      </w:r>
      <w:r>
        <w:t>através</w:t>
      </w:r>
      <w:r>
        <w:rPr>
          <w:spacing w:val="-1"/>
        </w:rPr>
        <w:t xml:space="preserve"> </w:t>
      </w:r>
      <w:r>
        <w:t>de</w:t>
      </w:r>
      <w:r>
        <w:rPr>
          <w:spacing w:val="-2"/>
        </w:rPr>
        <w:t xml:space="preserve"> </w:t>
      </w:r>
      <w:r>
        <w:t>aulas com tempo determinado, em salas com carteiras organizadas em fileiras com estudantes ouvindo passivamente e agindo conforme as ordens do docente.</w:t>
      </w:r>
    </w:p>
    <w:p w:rsidR="007259F2" w:rsidRDefault="00E655B4">
      <w:pPr>
        <w:pStyle w:val="Corpodetexto"/>
        <w:ind w:right="991"/>
      </w:pPr>
      <w:r>
        <w:t>Estudos recentes, como dito por Ugalde (2020), mostram que, por parte do aprendiz, esse cenário é pouco proveitoso para a aprendizagem. Somam-se ao contexto descrito as evoluções tecnológicas recentes que geraram recursos transformadores para no contexto da educação escolar. Seja pela concorrência com o lazer de fácil alcance através de smartphones, seja pela proliferação de ambientes virtuais desenhados especificamente para a aprendizagem, a escola vem sofrendo pressões para mudanças dos métodos tradicionais de ensino.</w:t>
      </w:r>
    </w:p>
    <w:p w:rsidR="007259F2" w:rsidRDefault="00E655B4">
      <w:pPr>
        <w:pStyle w:val="Corpodetexto"/>
        <w:ind w:right="995"/>
      </w:pPr>
      <w:r>
        <w:t>Corroborando essa visão, Moran afirma: “O que constatamos, cada vez mais, é que a aprendizagem por meio da transmissão é importante, mas a aprendizagem por questionamento</w:t>
      </w:r>
      <w:r>
        <w:rPr>
          <w:spacing w:val="-2"/>
        </w:rPr>
        <w:t xml:space="preserve"> </w:t>
      </w:r>
      <w:r>
        <w:t>e</w:t>
      </w:r>
      <w:r>
        <w:rPr>
          <w:spacing w:val="-2"/>
        </w:rPr>
        <w:t xml:space="preserve"> </w:t>
      </w:r>
      <w:r>
        <w:t>experimentação</w:t>
      </w:r>
      <w:r>
        <w:rPr>
          <w:spacing w:val="-2"/>
        </w:rPr>
        <w:t xml:space="preserve"> </w:t>
      </w:r>
      <w:r>
        <w:t>é</w:t>
      </w:r>
      <w:r>
        <w:rPr>
          <w:spacing w:val="-2"/>
        </w:rPr>
        <w:t xml:space="preserve"> </w:t>
      </w:r>
      <w:r>
        <w:t>mais</w:t>
      </w:r>
      <w:r>
        <w:rPr>
          <w:spacing w:val="-2"/>
        </w:rPr>
        <w:t xml:space="preserve"> </w:t>
      </w:r>
      <w:r>
        <w:t>relevante</w:t>
      </w:r>
      <w:r>
        <w:rPr>
          <w:spacing w:val="-2"/>
        </w:rPr>
        <w:t xml:space="preserve"> </w:t>
      </w:r>
      <w:r>
        <w:t>para</w:t>
      </w:r>
      <w:r>
        <w:rPr>
          <w:spacing w:val="-3"/>
        </w:rPr>
        <w:t xml:space="preserve"> </w:t>
      </w:r>
      <w:r>
        <w:t>uma</w:t>
      </w:r>
      <w:r>
        <w:rPr>
          <w:spacing w:val="-2"/>
        </w:rPr>
        <w:t xml:space="preserve"> </w:t>
      </w:r>
      <w:r>
        <w:t>compreensão</w:t>
      </w:r>
      <w:r>
        <w:rPr>
          <w:spacing w:val="-2"/>
        </w:rPr>
        <w:t xml:space="preserve"> </w:t>
      </w:r>
      <w:r>
        <w:t>mais</w:t>
      </w:r>
      <w:r>
        <w:rPr>
          <w:spacing w:val="-2"/>
        </w:rPr>
        <w:t xml:space="preserve"> </w:t>
      </w:r>
      <w:r>
        <w:t>ampla</w:t>
      </w:r>
      <w:r>
        <w:rPr>
          <w:spacing w:val="-2"/>
        </w:rPr>
        <w:t xml:space="preserve"> </w:t>
      </w:r>
      <w:r>
        <w:t>e profunda.” (2018, p. 37). O autor complementa ao deduzir que a prática e os ambientes propícios são fundamentais para que o conhecimento se desenvolva ativamente.</w:t>
      </w:r>
    </w:p>
    <w:p w:rsidR="007259F2" w:rsidRDefault="00E655B4">
      <w:pPr>
        <w:pStyle w:val="Corpodetexto"/>
        <w:ind w:right="992"/>
      </w:pPr>
      <w:r>
        <w:t>Apesar da possibilidade de se aprender em qualquer contexto, características como planejamento, orientação, objetivos educacionais e colaboração tornam a educação institucional privilegiada para o desenvolvimento adequado das práticas educadoras. Em certo grau, todo modo de aprender é ativo (MORAN, 2018); no</w:t>
      </w:r>
      <w:r>
        <w:rPr>
          <w:spacing w:val="40"/>
        </w:rPr>
        <w:t xml:space="preserve"> </w:t>
      </w:r>
      <w:r>
        <w:t>entanto, a relação entre mestre e aprendiz é fundamental para mobilizar conhecimentos prévios, avaliar os conhecimentos apreendidos, estabelecer conexão entre saberes distintos, interpretar corretamente as informações e saber aplicá-las.</w:t>
      </w:r>
    </w:p>
    <w:p w:rsidR="007259F2" w:rsidRDefault="00E655B4">
      <w:pPr>
        <w:pStyle w:val="Corpodetexto"/>
        <w:ind w:right="994"/>
      </w:pPr>
      <w:r>
        <w:t>Como crítica ao sistema tradicional, o conceito de Aprendizagem Ativa representa uma reconfiguração na prática pedagógica estabelecida. Essa abordagem estabelece uma nova dinâmica, distinta daquela descrita anteriormente, na qual o professor era o ator principal. Nessa nova perspectiva, o estudante é o sujeito principal, porém com conhecimentos em desenvolvimento. O trabalho do professor se</w:t>
      </w:r>
      <w:r>
        <w:rPr>
          <w:spacing w:val="-1"/>
        </w:rPr>
        <w:t xml:space="preserve"> </w:t>
      </w:r>
      <w:r>
        <w:t>transforma, seu método é renovado considerando estratégias que permitam o aluno alcançar o conhecimento</w:t>
      </w:r>
      <w:r>
        <w:rPr>
          <w:spacing w:val="-3"/>
        </w:rPr>
        <w:t xml:space="preserve"> </w:t>
      </w:r>
      <w:r>
        <w:t>de</w:t>
      </w:r>
      <w:r>
        <w:rPr>
          <w:spacing w:val="-3"/>
        </w:rPr>
        <w:t xml:space="preserve"> </w:t>
      </w:r>
      <w:r>
        <w:t>outras</w:t>
      </w:r>
      <w:r>
        <w:rPr>
          <w:spacing w:val="-3"/>
        </w:rPr>
        <w:t xml:space="preserve"> </w:t>
      </w:r>
      <w:r>
        <w:t>formas,</w:t>
      </w:r>
      <w:r>
        <w:rPr>
          <w:spacing w:val="-3"/>
        </w:rPr>
        <w:t xml:space="preserve"> </w:t>
      </w:r>
      <w:r>
        <w:t>a</w:t>
      </w:r>
      <w:r>
        <w:rPr>
          <w:spacing w:val="-5"/>
        </w:rPr>
        <w:t xml:space="preserve"> </w:t>
      </w:r>
      <w:r>
        <w:t>partir</w:t>
      </w:r>
      <w:r>
        <w:rPr>
          <w:spacing w:val="-3"/>
        </w:rPr>
        <w:t xml:space="preserve"> </w:t>
      </w:r>
      <w:r>
        <w:t>de</w:t>
      </w:r>
      <w:r>
        <w:rPr>
          <w:spacing w:val="-5"/>
        </w:rPr>
        <w:t xml:space="preserve"> </w:t>
      </w:r>
      <w:r>
        <w:t>suas</w:t>
      </w:r>
      <w:r>
        <w:rPr>
          <w:spacing w:val="-3"/>
        </w:rPr>
        <w:t xml:space="preserve"> </w:t>
      </w:r>
      <w:r>
        <w:t>ações</w:t>
      </w:r>
      <w:r>
        <w:rPr>
          <w:spacing w:val="-3"/>
        </w:rPr>
        <w:t xml:space="preserve"> </w:t>
      </w:r>
      <w:r>
        <w:t>que</w:t>
      </w:r>
      <w:r>
        <w:rPr>
          <w:spacing w:val="-4"/>
        </w:rPr>
        <w:t xml:space="preserve"> </w:t>
      </w:r>
      <w:r>
        <w:t>o</w:t>
      </w:r>
      <w:r>
        <w:rPr>
          <w:spacing w:val="-3"/>
        </w:rPr>
        <w:t xml:space="preserve"> </w:t>
      </w:r>
      <w:r>
        <w:t>tornam</w:t>
      </w:r>
      <w:r>
        <w:rPr>
          <w:spacing w:val="-1"/>
        </w:rPr>
        <w:t xml:space="preserve"> </w:t>
      </w:r>
      <w:r>
        <w:t>guia</w:t>
      </w:r>
      <w:r>
        <w:rPr>
          <w:spacing w:val="-3"/>
        </w:rPr>
        <w:t xml:space="preserve"> </w:t>
      </w:r>
      <w:r>
        <w:t>de</w:t>
      </w:r>
      <w:r>
        <w:rPr>
          <w:spacing w:val="-2"/>
        </w:rPr>
        <w:t xml:space="preserve"> </w:t>
      </w:r>
      <w:r>
        <w:t>um</w:t>
      </w:r>
      <w:r>
        <w:rPr>
          <w:spacing w:val="-3"/>
        </w:rPr>
        <w:t xml:space="preserve"> </w:t>
      </w:r>
      <w:r>
        <w:t>percurso com um objetivo final a ser alcançado.</w:t>
      </w:r>
    </w:p>
    <w:p w:rsidR="007259F2" w:rsidRDefault="007259F2">
      <w:pPr>
        <w:pStyle w:val="Corpodetexto"/>
        <w:sectPr w:rsidR="007259F2">
          <w:pgSz w:w="11910" w:h="16840"/>
          <w:pgMar w:top="1320" w:right="708" w:bottom="1160" w:left="992" w:header="0" w:footer="962" w:gutter="0"/>
          <w:cols w:space="720"/>
        </w:sectPr>
      </w:pPr>
    </w:p>
    <w:p w:rsidR="007259F2" w:rsidRDefault="00E655B4">
      <w:pPr>
        <w:pStyle w:val="Corpodetexto"/>
        <w:spacing w:before="69"/>
        <w:ind w:right="995"/>
      </w:pPr>
      <w:r>
        <w:lastRenderedPageBreak/>
        <w:t>Engana-se quem pensa que a mudança de foco torna irrelevante o trabalho docente. Pelo contrário, o trabalho pedagógico é renovado ao se apropriar mais da atividade estudantil como insumo para fomento de mais aprendizagem. O trabalho que anteriormente</w:t>
      </w:r>
      <w:r>
        <w:rPr>
          <w:spacing w:val="-3"/>
        </w:rPr>
        <w:t xml:space="preserve"> </w:t>
      </w:r>
      <w:r>
        <w:t>era</w:t>
      </w:r>
      <w:r>
        <w:rPr>
          <w:spacing w:val="-4"/>
        </w:rPr>
        <w:t xml:space="preserve"> </w:t>
      </w:r>
      <w:r>
        <w:t>de</w:t>
      </w:r>
      <w:r>
        <w:rPr>
          <w:spacing w:val="-3"/>
        </w:rPr>
        <w:t xml:space="preserve"> </w:t>
      </w:r>
      <w:r>
        <w:t>conhecimento</w:t>
      </w:r>
      <w:r>
        <w:rPr>
          <w:spacing w:val="-2"/>
        </w:rPr>
        <w:t xml:space="preserve"> </w:t>
      </w:r>
      <w:r>
        <w:t>e</w:t>
      </w:r>
      <w:r>
        <w:rPr>
          <w:spacing w:val="-3"/>
        </w:rPr>
        <w:t xml:space="preserve"> </w:t>
      </w:r>
      <w:r>
        <w:t>comunicação,</w:t>
      </w:r>
      <w:r>
        <w:rPr>
          <w:spacing w:val="-2"/>
        </w:rPr>
        <w:t xml:space="preserve"> </w:t>
      </w:r>
      <w:r>
        <w:t>se</w:t>
      </w:r>
      <w:r>
        <w:rPr>
          <w:spacing w:val="-3"/>
        </w:rPr>
        <w:t xml:space="preserve"> </w:t>
      </w:r>
      <w:r>
        <w:t>torna</w:t>
      </w:r>
      <w:r>
        <w:rPr>
          <w:spacing w:val="-4"/>
        </w:rPr>
        <w:t xml:space="preserve"> </w:t>
      </w:r>
      <w:r>
        <w:t>o</w:t>
      </w:r>
      <w:r>
        <w:rPr>
          <w:spacing w:val="-2"/>
        </w:rPr>
        <w:t xml:space="preserve"> </w:t>
      </w:r>
      <w:r>
        <w:t>trabalho</w:t>
      </w:r>
      <w:r>
        <w:rPr>
          <w:spacing w:val="-2"/>
        </w:rPr>
        <w:t xml:space="preserve"> </w:t>
      </w:r>
      <w:r>
        <w:t>de</w:t>
      </w:r>
      <w:r>
        <w:rPr>
          <w:spacing w:val="-3"/>
        </w:rPr>
        <w:t xml:space="preserve"> </w:t>
      </w:r>
      <w:r>
        <w:t>transformação do conhecimento, mais inventivo na medida que depende de: a) criar “condições propícias” para a aprendizagem; b) conciliar saberes atuais com objetivos educacionais e; c) ter o estudante como base para atuação docente.</w:t>
      </w:r>
    </w:p>
    <w:p w:rsidR="007259F2" w:rsidRDefault="00E655B4">
      <w:pPr>
        <w:pStyle w:val="Corpodetexto"/>
        <w:spacing w:before="1"/>
        <w:ind w:right="990"/>
      </w:pPr>
      <w:r>
        <w:t>Esse trabalho pedagógico reformulado é composto por uma gama teorizada e praticada de diferentes métodos de ensino novos, conhecidos como Metodologias</w:t>
      </w:r>
      <w:r>
        <w:rPr>
          <w:spacing w:val="40"/>
        </w:rPr>
        <w:t xml:space="preserve"> </w:t>
      </w:r>
      <w:r>
        <w:t>Ativas de Aprendizagem, aplicadas em ambientes físicos e virtuais. Essas metodologias consideram o conhecimento estudantil estabelecido e seu desenvolvimento como bases para atuação (MORAN, 2018). Ou seja, o entendimento que a aprendizagem deve ser ativa implica na criação de maneiras de ensinar adequadas a esse cenário.</w:t>
      </w:r>
    </w:p>
    <w:p w:rsidR="007259F2" w:rsidRDefault="00E655B4">
      <w:pPr>
        <w:pStyle w:val="Corpodetexto"/>
        <w:spacing w:before="1"/>
        <w:ind w:right="992"/>
      </w:pPr>
      <w:r>
        <w:t>Há métodos que não são inéditos e não devem ser deixados de lado, pois mesmo em</w:t>
      </w:r>
      <w:r>
        <w:rPr>
          <w:spacing w:val="-1"/>
        </w:rPr>
        <w:t xml:space="preserve"> </w:t>
      </w:r>
      <w:r>
        <w:t>contextos</w:t>
      </w:r>
      <w:r>
        <w:rPr>
          <w:spacing w:val="-1"/>
        </w:rPr>
        <w:t xml:space="preserve"> </w:t>
      </w:r>
      <w:r>
        <w:t>de</w:t>
      </w:r>
      <w:r>
        <w:rPr>
          <w:spacing w:val="-2"/>
        </w:rPr>
        <w:t xml:space="preserve"> </w:t>
      </w:r>
      <w:r>
        <w:t>ensino</w:t>
      </w:r>
      <w:r>
        <w:rPr>
          <w:spacing w:val="-1"/>
        </w:rPr>
        <w:t xml:space="preserve"> </w:t>
      </w:r>
      <w:r>
        <w:t>tradicional</w:t>
      </w:r>
      <w:r>
        <w:rPr>
          <w:spacing w:val="-1"/>
        </w:rPr>
        <w:t xml:space="preserve"> </w:t>
      </w:r>
      <w:r>
        <w:t>são maneiras</w:t>
      </w:r>
      <w:r>
        <w:rPr>
          <w:spacing w:val="-1"/>
        </w:rPr>
        <w:t xml:space="preserve"> </w:t>
      </w:r>
      <w:r>
        <w:t>ativas</w:t>
      </w:r>
      <w:r>
        <w:rPr>
          <w:spacing w:val="-1"/>
        </w:rPr>
        <w:t xml:space="preserve"> </w:t>
      </w:r>
      <w:r>
        <w:t>de</w:t>
      </w:r>
      <w:r>
        <w:rPr>
          <w:spacing w:val="-2"/>
        </w:rPr>
        <w:t xml:space="preserve"> </w:t>
      </w:r>
      <w:r>
        <w:t>compor a</w:t>
      </w:r>
      <w:r>
        <w:rPr>
          <w:spacing w:val="-2"/>
        </w:rPr>
        <w:t xml:space="preserve"> </w:t>
      </w:r>
      <w:r>
        <w:t>relação</w:t>
      </w:r>
      <w:r>
        <w:rPr>
          <w:spacing w:val="-1"/>
        </w:rPr>
        <w:t xml:space="preserve"> </w:t>
      </w:r>
      <w:r>
        <w:t>pedagógica. São os seminários, a leitura prévia como preparo para a aula, os debates, as atividades em grupo, a sala de aula invertida etc. Metodologias que, por vezes, não estavam no projeto pedagógico, mas estavam presentes na atividade docente.</w:t>
      </w:r>
    </w:p>
    <w:p w:rsidR="007259F2" w:rsidRDefault="00E655B4">
      <w:pPr>
        <w:pStyle w:val="Corpodetexto"/>
        <w:ind w:right="993"/>
      </w:pPr>
      <w:r>
        <w:t>Mais recentemente, foi desenvolvido o Peer Instruction, forma de mudar a dinâmica na sala de aula. Junto a elas, cabe citar outros métodos pensados a longo</w:t>
      </w:r>
      <w:r>
        <w:rPr>
          <w:spacing w:val="40"/>
        </w:rPr>
        <w:t xml:space="preserve"> </w:t>
      </w:r>
      <w:r>
        <w:t>prazo, ou seja, que ultrapassam o período de uma aula como a Aprendizagem Baseada em Problemas, a Aprendizagem Baseada em Projetos, o Arco de Maguerez etc. Esses métodos, considerados inovadores, fazem parte do conjunto chamado “Metodologias Ativas de Aprendizagem”.</w:t>
      </w:r>
    </w:p>
    <w:p w:rsidR="007259F2" w:rsidRDefault="00E655B4">
      <w:pPr>
        <w:pStyle w:val="Corpodetexto"/>
        <w:ind w:right="990"/>
      </w:pPr>
      <w:r>
        <w:t>Cabe afirmar que, nas Metodologias Ativas e na Aprendizagem Ativa, a educação tende a ser menos teórico-abstrata e mais prática. Isso não exclui a característica teórica, mas estabelece uma relação na forma de práxis, uma conciliação entre</w:t>
      </w:r>
      <w:r>
        <w:rPr>
          <w:spacing w:val="-2"/>
        </w:rPr>
        <w:t xml:space="preserve"> </w:t>
      </w:r>
      <w:r>
        <w:t>atividade</w:t>
      </w:r>
      <w:r>
        <w:rPr>
          <w:spacing w:val="-1"/>
        </w:rPr>
        <w:t xml:space="preserve"> </w:t>
      </w:r>
      <w:r>
        <w:t>e reflexão. A</w:t>
      </w:r>
      <w:r>
        <w:rPr>
          <w:spacing w:val="-1"/>
        </w:rPr>
        <w:t xml:space="preserve"> </w:t>
      </w:r>
      <w:r>
        <w:t>atividade – para</w:t>
      </w:r>
      <w:r>
        <w:rPr>
          <w:spacing w:val="-1"/>
        </w:rPr>
        <w:t xml:space="preserve"> </w:t>
      </w:r>
      <w:r>
        <w:t>esclarecer – não se</w:t>
      </w:r>
      <w:r>
        <w:rPr>
          <w:spacing w:val="-1"/>
        </w:rPr>
        <w:t xml:space="preserve"> </w:t>
      </w:r>
      <w:r>
        <w:t>refere a</w:t>
      </w:r>
      <w:r>
        <w:rPr>
          <w:spacing w:val="-1"/>
        </w:rPr>
        <w:t xml:space="preserve"> </w:t>
      </w:r>
      <w:r>
        <w:t>ação estudantil objetiva</w:t>
      </w:r>
      <w:r>
        <w:rPr>
          <w:spacing w:val="-2"/>
        </w:rPr>
        <w:t xml:space="preserve"> </w:t>
      </w:r>
      <w:r>
        <w:t>naquilo</w:t>
      </w:r>
      <w:r>
        <w:rPr>
          <w:spacing w:val="-1"/>
        </w:rPr>
        <w:t xml:space="preserve"> </w:t>
      </w:r>
      <w:r>
        <w:t>que</w:t>
      </w:r>
      <w:r>
        <w:rPr>
          <w:spacing w:val="-2"/>
        </w:rPr>
        <w:t xml:space="preserve"> </w:t>
      </w:r>
      <w:r>
        <w:t>se</w:t>
      </w:r>
      <w:r>
        <w:rPr>
          <w:spacing w:val="-2"/>
        </w:rPr>
        <w:t xml:space="preserve"> </w:t>
      </w:r>
      <w:r>
        <w:t>deseja</w:t>
      </w:r>
      <w:r>
        <w:rPr>
          <w:spacing w:val="-2"/>
        </w:rPr>
        <w:t xml:space="preserve"> </w:t>
      </w:r>
      <w:r>
        <w:t>cultivar</w:t>
      </w:r>
      <w:r>
        <w:rPr>
          <w:spacing w:val="-3"/>
        </w:rPr>
        <w:t xml:space="preserve"> </w:t>
      </w:r>
      <w:r>
        <w:t>(objetivo), mas</w:t>
      </w:r>
      <w:r>
        <w:rPr>
          <w:spacing w:val="-2"/>
        </w:rPr>
        <w:t xml:space="preserve"> </w:t>
      </w:r>
      <w:r>
        <w:t>é</w:t>
      </w:r>
      <w:r>
        <w:rPr>
          <w:spacing w:val="-2"/>
        </w:rPr>
        <w:t xml:space="preserve"> </w:t>
      </w:r>
      <w:r>
        <w:t>sua</w:t>
      </w:r>
      <w:r>
        <w:rPr>
          <w:spacing w:val="-2"/>
        </w:rPr>
        <w:t xml:space="preserve"> </w:t>
      </w:r>
      <w:r>
        <w:t>atuação</w:t>
      </w:r>
      <w:r>
        <w:rPr>
          <w:spacing w:val="-1"/>
        </w:rPr>
        <w:t xml:space="preserve"> </w:t>
      </w:r>
      <w:r>
        <w:t>específica</w:t>
      </w:r>
      <w:r>
        <w:rPr>
          <w:spacing w:val="-2"/>
        </w:rPr>
        <w:t xml:space="preserve"> </w:t>
      </w:r>
      <w:r>
        <w:t>enquanto sujeito-aprendente no contexto educacional. Para ilustrar, em nosso caso, a práxis não é o aluno aprendendo enquanto atua como advogado público, mas, em sua condição de estudante, aprender a partir da produção de seu próprio conhecimento sobre o assunto.</w:t>
      </w:r>
    </w:p>
    <w:p w:rsidR="007259F2" w:rsidRDefault="00E655B4">
      <w:pPr>
        <w:pStyle w:val="Corpodetexto"/>
        <w:ind w:right="988"/>
      </w:pPr>
      <w:r>
        <w:t>Até aqui foram desenvolvidos os conceitos de Aprendizagem Ativa e Metodologias Ativas de Aprendizagem para afirmar que a relação de ensino- aprendizagem (professor-estudante) aparece transformada no novo contexto educacional. Também afirmamos que essas são ideias em expansão e inserção na educação, em todos os níveis educacionais. Paulatinamente, as ideias e os métodos entram como parte fundamental dos cursos nos mais diferentes níveis de ensino.</w:t>
      </w:r>
    </w:p>
    <w:p w:rsidR="007259F2" w:rsidRDefault="00E655B4">
      <w:pPr>
        <w:pStyle w:val="Corpodetexto"/>
        <w:spacing w:before="1"/>
        <w:ind w:right="995"/>
      </w:pPr>
      <w:r>
        <w:t>Na revisão de literatura feita por Barros, Santos e Lima (2017) é identificada a razão essencial para que essa mudança educacional seja posta em ação. Os autores demonstram que a educação atualmente necessita fomentar autonomia, criatividade e resolução de problemas práticos na vida dos sujeitos. São os problemas da realidade (mundo do trabalho e cidadania) que devem ser levados aos estudantes para análise, avaliação e resolução.</w:t>
      </w:r>
    </w:p>
    <w:p w:rsidR="007259F2" w:rsidRDefault="00E655B4">
      <w:pPr>
        <w:pStyle w:val="Corpodetexto"/>
        <w:ind w:right="994"/>
      </w:pPr>
      <w:r>
        <w:t>Os autores argumentam que a Aprendizagem Ativa e Metodologias Ativas se contrapõem ao ensino que</w:t>
      </w:r>
      <w:r>
        <w:rPr>
          <w:spacing w:val="-1"/>
        </w:rPr>
        <w:t xml:space="preserve"> </w:t>
      </w:r>
      <w:r>
        <w:t>busca</w:t>
      </w:r>
      <w:r>
        <w:rPr>
          <w:spacing w:val="-2"/>
        </w:rPr>
        <w:t xml:space="preserve"> </w:t>
      </w:r>
      <w:r>
        <w:t>a</w:t>
      </w:r>
      <w:r>
        <w:rPr>
          <w:spacing w:val="-1"/>
        </w:rPr>
        <w:t xml:space="preserve"> </w:t>
      </w:r>
      <w:r>
        <w:t>especialização do indivíduo através do conhecimento utilitarista específico em determinada área de atuação, vinculado à pedagogia tradicional, abstrata e repetitiva fomentadora de tecnicismo para ofícios</w:t>
      </w:r>
      <w:r>
        <w:rPr>
          <w:spacing w:val="40"/>
        </w:rPr>
        <w:t xml:space="preserve"> </w:t>
      </w:r>
      <w:r>
        <w:t>particularizados. Esse tipo de abordagem educacional dificulta a criação de sujeitos capazes</w:t>
      </w:r>
      <w:r>
        <w:rPr>
          <w:spacing w:val="18"/>
        </w:rPr>
        <w:t xml:space="preserve"> </w:t>
      </w:r>
      <w:r>
        <w:t>de</w:t>
      </w:r>
      <w:r>
        <w:rPr>
          <w:spacing w:val="20"/>
        </w:rPr>
        <w:t xml:space="preserve"> </w:t>
      </w:r>
      <w:r>
        <w:t>avaliar</w:t>
      </w:r>
      <w:r>
        <w:rPr>
          <w:spacing w:val="23"/>
        </w:rPr>
        <w:t xml:space="preserve"> </w:t>
      </w:r>
      <w:r>
        <w:t>a</w:t>
      </w:r>
      <w:r>
        <w:rPr>
          <w:spacing w:val="20"/>
        </w:rPr>
        <w:t xml:space="preserve"> </w:t>
      </w:r>
      <w:r>
        <w:t>realidade</w:t>
      </w:r>
      <w:r>
        <w:rPr>
          <w:spacing w:val="19"/>
        </w:rPr>
        <w:t xml:space="preserve"> </w:t>
      </w:r>
      <w:r>
        <w:t>amplamente</w:t>
      </w:r>
      <w:r>
        <w:rPr>
          <w:spacing w:val="20"/>
        </w:rPr>
        <w:t xml:space="preserve"> </w:t>
      </w:r>
      <w:r>
        <w:t>e</w:t>
      </w:r>
      <w:r>
        <w:rPr>
          <w:spacing w:val="21"/>
        </w:rPr>
        <w:t xml:space="preserve"> </w:t>
      </w:r>
      <w:r>
        <w:t>estabelecer</w:t>
      </w:r>
      <w:r>
        <w:rPr>
          <w:spacing w:val="20"/>
        </w:rPr>
        <w:t xml:space="preserve"> </w:t>
      </w:r>
      <w:r>
        <w:t>conexões</w:t>
      </w:r>
      <w:r>
        <w:rPr>
          <w:spacing w:val="21"/>
        </w:rPr>
        <w:t xml:space="preserve"> </w:t>
      </w:r>
      <w:r>
        <w:t>para</w:t>
      </w:r>
      <w:r>
        <w:rPr>
          <w:spacing w:val="20"/>
        </w:rPr>
        <w:t xml:space="preserve"> </w:t>
      </w:r>
      <w:r>
        <w:t>a</w:t>
      </w:r>
      <w:r>
        <w:rPr>
          <w:spacing w:val="24"/>
        </w:rPr>
        <w:t xml:space="preserve"> </w:t>
      </w:r>
      <w:r>
        <w:t>resolução</w:t>
      </w:r>
      <w:r>
        <w:rPr>
          <w:spacing w:val="23"/>
        </w:rPr>
        <w:t xml:space="preserve"> </w:t>
      </w:r>
      <w:r>
        <w:rPr>
          <w:spacing w:val="-5"/>
        </w:rPr>
        <w:t>de</w:t>
      </w:r>
    </w:p>
    <w:p w:rsidR="007259F2" w:rsidRDefault="007259F2">
      <w:pPr>
        <w:pStyle w:val="Corpodetexto"/>
        <w:sectPr w:rsidR="007259F2">
          <w:pgSz w:w="11910" w:h="16840"/>
          <w:pgMar w:top="1320" w:right="708" w:bottom="1160" w:left="992" w:header="0" w:footer="962" w:gutter="0"/>
          <w:cols w:space="720"/>
        </w:sectPr>
      </w:pPr>
    </w:p>
    <w:p w:rsidR="007259F2" w:rsidRDefault="00E655B4">
      <w:pPr>
        <w:pStyle w:val="Corpodetexto"/>
        <w:spacing w:before="69"/>
        <w:ind w:right="990" w:firstLine="0"/>
        <w:jc w:val="left"/>
      </w:pPr>
      <w:r>
        <w:lastRenderedPageBreak/>
        <w:t>seus</w:t>
      </w:r>
      <w:r>
        <w:rPr>
          <w:spacing w:val="29"/>
        </w:rPr>
        <w:t xml:space="preserve"> </w:t>
      </w:r>
      <w:r>
        <w:t>problemas.</w:t>
      </w:r>
      <w:r>
        <w:rPr>
          <w:spacing w:val="29"/>
        </w:rPr>
        <w:t xml:space="preserve"> </w:t>
      </w:r>
      <w:r>
        <w:t>Marques</w:t>
      </w:r>
      <w:r>
        <w:rPr>
          <w:spacing w:val="29"/>
        </w:rPr>
        <w:t xml:space="preserve"> </w:t>
      </w:r>
      <w:r>
        <w:t>e</w:t>
      </w:r>
      <w:r>
        <w:rPr>
          <w:spacing w:val="28"/>
        </w:rPr>
        <w:t xml:space="preserve"> </w:t>
      </w:r>
      <w:r>
        <w:t>colaboradores</w:t>
      </w:r>
      <w:r>
        <w:rPr>
          <w:spacing w:val="29"/>
        </w:rPr>
        <w:t xml:space="preserve"> </w:t>
      </w:r>
      <w:r>
        <w:t>(2021,</w:t>
      </w:r>
      <w:r>
        <w:rPr>
          <w:spacing w:val="29"/>
        </w:rPr>
        <w:t xml:space="preserve"> </w:t>
      </w:r>
      <w:r>
        <w:t>p.</w:t>
      </w:r>
      <w:r>
        <w:rPr>
          <w:spacing w:val="29"/>
        </w:rPr>
        <w:t xml:space="preserve"> </w:t>
      </w:r>
      <w:r>
        <w:t>734)</w:t>
      </w:r>
      <w:r>
        <w:rPr>
          <w:spacing w:val="28"/>
        </w:rPr>
        <w:t xml:space="preserve"> </w:t>
      </w:r>
      <w:r>
        <w:t>oferecem</w:t>
      </w:r>
      <w:r>
        <w:rPr>
          <w:spacing w:val="29"/>
        </w:rPr>
        <w:t xml:space="preserve"> </w:t>
      </w:r>
      <w:r>
        <w:t>uma</w:t>
      </w:r>
      <w:r>
        <w:rPr>
          <w:spacing w:val="31"/>
        </w:rPr>
        <w:t xml:space="preserve"> </w:t>
      </w:r>
      <w:r>
        <w:t>síntese</w:t>
      </w:r>
      <w:r>
        <w:rPr>
          <w:spacing w:val="28"/>
        </w:rPr>
        <w:t xml:space="preserve"> </w:t>
      </w:r>
      <w:r>
        <w:t xml:space="preserve">dessa </w:t>
      </w:r>
      <w:r>
        <w:rPr>
          <w:spacing w:val="-2"/>
        </w:rPr>
        <w:t>diferença:</w:t>
      </w:r>
    </w:p>
    <w:p w:rsidR="007259F2" w:rsidRDefault="00E655B4">
      <w:pPr>
        <w:spacing w:before="2"/>
        <w:ind w:left="2978" w:right="993"/>
        <w:jc w:val="both"/>
        <w:rPr>
          <w:sz w:val="20"/>
        </w:rPr>
      </w:pPr>
      <w:r>
        <w:rPr>
          <w:sz w:val="20"/>
        </w:rPr>
        <w:t>No método tradicional de ensino os alunos são impedidos de se verem como criadores de conhecimento, sendo apenas consumidores, de modo que as metodologias ativas de ensino-aprendizagem vêm mudar esta realidade proporcionando um maior envolvimento dos alunos, incentivando a autoaprendizagem</w:t>
      </w:r>
      <w:r>
        <w:rPr>
          <w:spacing w:val="-3"/>
          <w:sz w:val="20"/>
        </w:rPr>
        <w:t xml:space="preserve"> </w:t>
      </w:r>
      <w:r>
        <w:rPr>
          <w:sz w:val="20"/>
        </w:rPr>
        <w:t>e a</w:t>
      </w:r>
      <w:r>
        <w:rPr>
          <w:spacing w:val="-2"/>
          <w:sz w:val="20"/>
        </w:rPr>
        <w:t xml:space="preserve"> </w:t>
      </w:r>
      <w:r>
        <w:rPr>
          <w:sz w:val="20"/>
        </w:rPr>
        <w:t>criatividade.</w:t>
      </w:r>
      <w:r>
        <w:rPr>
          <w:spacing w:val="-1"/>
          <w:sz w:val="20"/>
        </w:rPr>
        <w:t xml:space="preserve"> </w:t>
      </w:r>
      <w:r>
        <w:rPr>
          <w:sz w:val="20"/>
        </w:rPr>
        <w:t>Nessa nova</w:t>
      </w:r>
      <w:r>
        <w:rPr>
          <w:spacing w:val="-2"/>
          <w:sz w:val="20"/>
        </w:rPr>
        <w:t xml:space="preserve"> </w:t>
      </w:r>
      <w:r>
        <w:rPr>
          <w:sz w:val="20"/>
        </w:rPr>
        <w:t>perspectiva, os</w:t>
      </w:r>
      <w:r>
        <w:rPr>
          <w:spacing w:val="-2"/>
          <w:sz w:val="20"/>
        </w:rPr>
        <w:t xml:space="preserve"> </w:t>
      </w:r>
      <w:r>
        <w:rPr>
          <w:sz w:val="20"/>
        </w:rPr>
        <w:t>alunos deixam de ser meros receptores de informações e passam a interagir tanto com o professor quanto com o restante da turma, de modo que as metodologias ativas permitem que eles vivenciem situações mais profundas de</w:t>
      </w:r>
      <w:r>
        <w:rPr>
          <w:spacing w:val="80"/>
          <w:sz w:val="20"/>
        </w:rPr>
        <w:t xml:space="preserve"> </w:t>
      </w:r>
      <w:r>
        <w:rPr>
          <w:spacing w:val="-2"/>
          <w:sz w:val="20"/>
        </w:rPr>
        <w:t>aprendizado.</w:t>
      </w:r>
    </w:p>
    <w:p w:rsidR="007259F2" w:rsidRDefault="007259F2">
      <w:pPr>
        <w:pStyle w:val="Corpodetexto"/>
        <w:ind w:left="0" w:firstLine="0"/>
        <w:jc w:val="left"/>
        <w:rPr>
          <w:sz w:val="20"/>
        </w:rPr>
      </w:pPr>
    </w:p>
    <w:p w:rsidR="007259F2" w:rsidRDefault="00E655B4">
      <w:pPr>
        <w:pStyle w:val="Corpodetexto"/>
        <w:ind w:right="988"/>
      </w:pPr>
      <w:r>
        <w:t xml:space="preserve">Em seu estudo, os autores também destacam duas desvantagens identificadas no contexto das Metodologias Ativas. Existe a difícil adequação da prática docente já estabelecida socialmente para esse novo cenário e o possível desinteresse do aluno diante da Aprendizagem Ativa (MARQUES </w:t>
      </w:r>
      <w:r>
        <w:rPr>
          <w:i/>
        </w:rPr>
        <w:t>et al</w:t>
      </w:r>
      <w:r>
        <w:t>., 2021). Naturalmente, professores e estudantes, já condicionados diante da vida escolar passada e das representações sobre a educação escolar, esperam que o método praticado seja homogêneo e constante. A ruptura pedagógica não é simples e deve lidar com o fato de ser um contraponto à prática dominante.</w:t>
      </w:r>
    </w:p>
    <w:p w:rsidR="007259F2" w:rsidRDefault="00E655B4">
      <w:pPr>
        <w:pStyle w:val="Corpodetexto"/>
        <w:spacing w:before="1"/>
        <w:ind w:right="989"/>
      </w:pPr>
      <w:r>
        <w:t xml:space="preserve">Estudantes, até então acomodados no papel de ouvintes, sentem-se perdidos quando devem buscar conhecimentos (MARIN </w:t>
      </w:r>
      <w:r>
        <w:rPr>
          <w:i/>
        </w:rPr>
        <w:t>et al</w:t>
      </w:r>
      <w:r>
        <w:t xml:space="preserve">., 2010). A reformulação do papel docente enquanto “aquele que ensina” para “mediador entre aquele que aprende e o conhecimento” deve vir acompanhada da clareza do projeto pedagógico, seus objetivos, métodos e do fomento constante à participação do discente em sua própria </w:t>
      </w:r>
      <w:r>
        <w:rPr>
          <w:spacing w:val="-2"/>
        </w:rPr>
        <w:t>aprendizagem.</w:t>
      </w:r>
    </w:p>
    <w:p w:rsidR="007259F2" w:rsidRDefault="00E655B4">
      <w:pPr>
        <w:pStyle w:val="Corpodetexto"/>
        <w:spacing w:before="1"/>
        <w:ind w:right="993"/>
      </w:pPr>
      <w:r>
        <w:t>Em síntese, podemos afirmar que a Aprendizagem Ativa e as Metodologias Ativas configuram uma tendência educacional cujos objetivos são o desenvolvimento</w:t>
      </w:r>
      <w:r>
        <w:rPr>
          <w:spacing w:val="80"/>
        </w:rPr>
        <w:t xml:space="preserve"> </w:t>
      </w:r>
      <w:r>
        <w:t>de conhecimentos a partir da interlocução entre saberes teóricos e práticos. No Ensino Superior,</w:t>
      </w:r>
      <w:r>
        <w:rPr>
          <w:spacing w:val="-2"/>
        </w:rPr>
        <w:t xml:space="preserve"> </w:t>
      </w:r>
      <w:r>
        <w:t>sua</w:t>
      </w:r>
      <w:r>
        <w:rPr>
          <w:spacing w:val="-1"/>
        </w:rPr>
        <w:t xml:space="preserve"> </w:t>
      </w:r>
      <w:r>
        <w:t>manifestação</w:t>
      </w:r>
      <w:r>
        <w:rPr>
          <w:spacing w:val="-2"/>
        </w:rPr>
        <w:t xml:space="preserve"> </w:t>
      </w:r>
      <w:r>
        <w:t>se</w:t>
      </w:r>
      <w:r>
        <w:rPr>
          <w:spacing w:val="-1"/>
        </w:rPr>
        <w:t xml:space="preserve"> </w:t>
      </w:r>
      <w:r>
        <w:t>caracteriza</w:t>
      </w:r>
      <w:r>
        <w:rPr>
          <w:spacing w:val="-3"/>
        </w:rPr>
        <w:t xml:space="preserve"> </w:t>
      </w:r>
      <w:r>
        <w:t>pela</w:t>
      </w:r>
      <w:r>
        <w:rPr>
          <w:spacing w:val="-1"/>
        </w:rPr>
        <w:t xml:space="preserve"> </w:t>
      </w:r>
      <w:r>
        <w:t>melhor</w:t>
      </w:r>
      <w:r>
        <w:rPr>
          <w:spacing w:val="-3"/>
        </w:rPr>
        <w:t xml:space="preserve"> </w:t>
      </w:r>
      <w:r>
        <w:t>apropriação dos</w:t>
      </w:r>
      <w:r>
        <w:rPr>
          <w:spacing w:val="-2"/>
        </w:rPr>
        <w:t xml:space="preserve"> </w:t>
      </w:r>
      <w:r>
        <w:t>saberes acerca</w:t>
      </w:r>
      <w:r>
        <w:rPr>
          <w:spacing w:val="-3"/>
        </w:rPr>
        <w:t xml:space="preserve"> </w:t>
      </w:r>
      <w:r>
        <w:t>do mundo do trabalho no qual o egresso atuará</w:t>
      </w:r>
      <w:r>
        <w:rPr>
          <w:spacing w:val="-1"/>
        </w:rPr>
        <w:t xml:space="preserve"> </w:t>
      </w:r>
      <w:r>
        <w:t>criando condições para atuação profissional pautada na complexidade, na resolução de problemas e na autonomia individual.</w:t>
      </w:r>
    </w:p>
    <w:p w:rsidR="007259F2" w:rsidRDefault="00E655B4">
      <w:pPr>
        <w:pStyle w:val="Heading2"/>
        <w:numPr>
          <w:ilvl w:val="0"/>
          <w:numId w:val="6"/>
        </w:numPr>
        <w:tabs>
          <w:tab w:val="left" w:pos="950"/>
        </w:tabs>
        <w:spacing w:before="204"/>
        <w:ind w:left="950" w:hanging="240"/>
        <w:jc w:val="both"/>
      </w:pPr>
      <w:r>
        <w:t>Residências</w:t>
      </w:r>
      <w:r>
        <w:rPr>
          <w:spacing w:val="-1"/>
        </w:rPr>
        <w:t xml:space="preserve"> </w:t>
      </w:r>
      <w:r>
        <w:t>jurídicas</w:t>
      </w:r>
      <w:r>
        <w:rPr>
          <w:spacing w:val="-1"/>
        </w:rPr>
        <w:t xml:space="preserve"> </w:t>
      </w:r>
      <w:r>
        <w:t>no</w:t>
      </w:r>
      <w:r>
        <w:rPr>
          <w:spacing w:val="-1"/>
        </w:rPr>
        <w:t xml:space="preserve"> </w:t>
      </w:r>
      <w:r>
        <w:rPr>
          <w:spacing w:val="-2"/>
        </w:rPr>
        <w:t>Brasil</w:t>
      </w:r>
    </w:p>
    <w:p w:rsidR="007259F2" w:rsidRDefault="00E655B4">
      <w:pPr>
        <w:pStyle w:val="Corpodetexto"/>
        <w:spacing w:before="115"/>
        <w:ind w:right="991"/>
      </w:pPr>
      <w:r>
        <w:t>Como introduzido anteriormente, no Brasil, há uma variedade de residências jurídicas,</w:t>
      </w:r>
      <w:r>
        <w:rPr>
          <w:spacing w:val="-3"/>
        </w:rPr>
        <w:t xml:space="preserve"> </w:t>
      </w:r>
      <w:r>
        <w:t>algumas</w:t>
      </w:r>
      <w:r>
        <w:rPr>
          <w:spacing w:val="-3"/>
        </w:rPr>
        <w:t xml:space="preserve"> </w:t>
      </w:r>
      <w:r>
        <w:t>estão</w:t>
      </w:r>
      <w:r>
        <w:rPr>
          <w:spacing w:val="-1"/>
        </w:rPr>
        <w:t xml:space="preserve"> </w:t>
      </w:r>
      <w:r>
        <w:t>em</w:t>
      </w:r>
      <w:r>
        <w:rPr>
          <w:spacing w:val="-1"/>
        </w:rPr>
        <w:t xml:space="preserve"> </w:t>
      </w:r>
      <w:r>
        <w:t>Instituições</w:t>
      </w:r>
      <w:r>
        <w:rPr>
          <w:spacing w:val="-3"/>
        </w:rPr>
        <w:t xml:space="preserve"> </w:t>
      </w:r>
      <w:r>
        <w:t>de</w:t>
      </w:r>
      <w:r>
        <w:rPr>
          <w:spacing w:val="-3"/>
        </w:rPr>
        <w:t xml:space="preserve"> </w:t>
      </w:r>
      <w:r>
        <w:t>Ensino</w:t>
      </w:r>
      <w:r>
        <w:rPr>
          <w:spacing w:val="-3"/>
        </w:rPr>
        <w:t xml:space="preserve"> </w:t>
      </w:r>
      <w:r>
        <w:t>Superior</w:t>
      </w:r>
      <w:r>
        <w:rPr>
          <w:spacing w:val="-4"/>
        </w:rPr>
        <w:t xml:space="preserve"> </w:t>
      </w:r>
      <w:r>
        <w:t>(IES)</w:t>
      </w:r>
      <w:r>
        <w:rPr>
          <w:spacing w:val="-1"/>
        </w:rPr>
        <w:t xml:space="preserve"> </w:t>
      </w:r>
      <w:r>
        <w:t>privadas</w:t>
      </w:r>
      <w:r>
        <w:rPr>
          <w:spacing w:val="-3"/>
        </w:rPr>
        <w:t xml:space="preserve"> </w:t>
      </w:r>
      <w:r>
        <w:t>ou</w:t>
      </w:r>
      <w:r>
        <w:rPr>
          <w:spacing w:val="-3"/>
        </w:rPr>
        <w:t xml:space="preserve"> </w:t>
      </w:r>
      <w:r>
        <w:t>públicas</w:t>
      </w:r>
      <w:r>
        <w:rPr>
          <w:spacing w:val="-3"/>
        </w:rPr>
        <w:t xml:space="preserve"> </w:t>
      </w:r>
      <w:r>
        <w:t>e outras em distintas esferas políticas da Administração Pública, cada uma organizada de diferentes maneiras e seguindo linha própria. Independente do contexto educacional, o objetivo de uma residência jurídica está na formação para o Direito Público.</w:t>
      </w:r>
    </w:p>
    <w:p w:rsidR="007259F2" w:rsidRDefault="00E655B4">
      <w:pPr>
        <w:pStyle w:val="Corpodetexto"/>
        <w:spacing w:before="1"/>
        <w:ind w:right="988" w:firstLine="767"/>
      </w:pPr>
      <w:r>
        <w:t>Tratando-se de IES, há cursos de residência jurídica na Universidade Federal Fluminense; na Universidade Estadual do Rio de Janeiro; na Universidade Federal do Rio Grande do Norte; no Centro Universitário Uni-Anhanguera de Goiás; na Universidade da Amazônia e; na Universidade Federal de Rio Grande. Todos os cursos são na modalidade de especialização (FERRAZ, 2018).</w:t>
      </w:r>
    </w:p>
    <w:p w:rsidR="007259F2" w:rsidRDefault="00E655B4">
      <w:pPr>
        <w:pStyle w:val="Corpodetexto"/>
        <w:ind w:right="989"/>
      </w:pPr>
      <w:r>
        <w:t>Já na Administração Pública, os programas de residência estão presentes nas diversas esferas do serviço público estadual. Santos (2018) descreve a existência deles em Procuradorias, Defensorias, Ministérios Públicos e Tribunais nos Estados do Rio Grande do Norte, Minas Gerais, Bahia, Tocantins, Santa Catarina, Amazonas, Rio de Janeiro e Paraná. A nível municipal, é relevante mencionar o caso estudado, referente à Procuradoria Geral do Município de São Paulo e à Procuradoria Geral do Município do Rio de Janeiro. No âmbito federal, verifica-se, como exemplo, a residência jurídica na Procuradoria de Justiça Militar, atuante em diversos estados.</w:t>
      </w:r>
    </w:p>
    <w:p w:rsidR="007259F2" w:rsidRDefault="007259F2">
      <w:pPr>
        <w:pStyle w:val="Corpodetexto"/>
        <w:sectPr w:rsidR="007259F2">
          <w:pgSz w:w="11910" w:h="16840"/>
          <w:pgMar w:top="1320" w:right="708" w:bottom="1160" w:left="992" w:header="0" w:footer="962" w:gutter="0"/>
          <w:cols w:space="720"/>
        </w:sectPr>
      </w:pPr>
    </w:p>
    <w:p w:rsidR="007259F2" w:rsidRDefault="00E655B4">
      <w:pPr>
        <w:pStyle w:val="Corpodetexto"/>
        <w:spacing w:before="69"/>
        <w:ind w:right="989"/>
      </w:pPr>
      <w:r>
        <w:lastRenderedPageBreak/>
        <w:t>Além da sua atuação, cabe esclarecer a diferença entre o estágio e a residência jurídica. A principal distinção está no tipo de instituição à qual o estudante está vinculado, além do grau de maturidade de sua formação.</w:t>
      </w:r>
    </w:p>
    <w:p w:rsidR="007259F2" w:rsidRDefault="00E655B4">
      <w:pPr>
        <w:pStyle w:val="Corpodetexto"/>
        <w:spacing w:before="1"/>
        <w:ind w:right="997"/>
      </w:pPr>
      <w:r>
        <w:t>A Lei</w:t>
      </w:r>
      <w:r>
        <w:rPr>
          <w:spacing w:val="-2"/>
        </w:rPr>
        <w:t xml:space="preserve"> </w:t>
      </w:r>
      <w:r>
        <w:t>nº</w:t>
      </w:r>
      <w:r>
        <w:rPr>
          <w:spacing w:val="-2"/>
        </w:rPr>
        <w:t xml:space="preserve"> </w:t>
      </w:r>
      <w:r>
        <w:t>11.788,</w:t>
      </w:r>
      <w:r>
        <w:rPr>
          <w:spacing w:val="-2"/>
        </w:rPr>
        <w:t xml:space="preserve"> </w:t>
      </w:r>
      <w:r>
        <w:t>de</w:t>
      </w:r>
      <w:r>
        <w:rPr>
          <w:spacing w:val="-3"/>
        </w:rPr>
        <w:t xml:space="preserve"> </w:t>
      </w:r>
      <w:r>
        <w:t>25</w:t>
      </w:r>
      <w:r>
        <w:rPr>
          <w:spacing w:val="-2"/>
        </w:rPr>
        <w:t xml:space="preserve"> </w:t>
      </w:r>
      <w:r>
        <w:t>de</w:t>
      </w:r>
      <w:r>
        <w:rPr>
          <w:spacing w:val="-3"/>
        </w:rPr>
        <w:t xml:space="preserve"> </w:t>
      </w:r>
      <w:r>
        <w:t>setembro</w:t>
      </w:r>
      <w:r>
        <w:rPr>
          <w:spacing w:val="-2"/>
        </w:rPr>
        <w:t xml:space="preserve"> </w:t>
      </w:r>
      <w:r>
        <w:t>de</w:t>
      </w:r>
      <w:r>
        <w:rPr>
          <w:spacing w:val="-3"/>
        </w:rPr>
        <w:t xml:space="preserve"> </w:t>
      </w:r>
      <w:r>
        <w:t>2008,</w:t>
      </w:r>
      <w:r>
        <w:rPr>
          <w:spacing w:val="-2"/>
        </w:rPr>
        <w:t xml:space="preserve"> </w:t>
      </w:r>
      <w:r>
        <w:t>popularmente</w:t>
      </w:r>
      <w:r>
        <w:rPr>
          <w:spacing w:val="-3"/>
        </w:rPr>
        <w:t xml:space="preserve"> </w:t>
      </w:r>
      <w:r>
        <w:t>conhecida</w:t>
      </w:r>
      <w:r>
        <w:rPr>
          <w:spacing w:val="-3"/>
        </w:rPr>
        <w:t xml:space="preserve"> </w:t>
      </w:r>
      <w:r>
        <w:t>como</w:t>
      </w:r>
      <w:r>
        <w:rPr>
          <w:spacing w:val="-2"/>
        </w:rPr>
        <w:t xml:space="preserve"> </w:t>
      </w:r>
      <w:r>
        <w:t>“Lei do Estágio”, define o estágio, em seu artigo 1º, como:</w:t>
      </w:r>
    </w:p>
    <w:p w:rsidR="007259F2" w:rsidRDefault="007259F2">
      <w:pPr>
        <w:pStyle w:val="Corpodetexto"/>
        <w:spacing w:before="1"/>
        <w:ind w:left="0" w:firstLine="0"/>
        <w:jc w:val="left"/>
      </w:pPr>
    </w:p>
    <w:p w:rsidR="007259F2" w:rsidRDefault="00E655B4">
      <w:pPr>
        <w:ind w:left="2978" w:right="989"/>
        <w:jc w:val="both"/>
        <w:rPr>
          <w:sz w:val="20"/>
        </w:rPr>
      </w:pPr>
      <w:r>
        <w:rPr>
          <w:sz w:val="20"/>
        </w:rPr>
        <w:t>ato educativo escolar supervisionado, desenvolvido no ambiente de trabalho, que visa à preparação para o trabalho produtivo de educandos que estejam frequentando o ensino regular em instituições de educação superior, de educação profissional, de ensino médio, da educação especial e dos anos finais do ensino fundamental, na modalidade profissional da educação de jovens e adultos”. (BRASIL, 2008)</w:t>
      </w:r>
    </w:p>
    <w:p w:rsidR="007259F2" w:rsidRDefault="00E655B4">
      <w:pPr>
        <w:pStyle w:val="Corpodetexto"/>
        <w:spacing w:before="229"/>
        <w:ind w:right="993"/>
      </w:pPr>
      <w:r>
        <w:t>Já a Lei nº 17.673, de 7 de outubro de 2021, que Institui os Programas de Residência Jurídica e Residência em Gestão Pública na Administração Pública Direta</w:t>
      </w:r>
      <w:r>
        <w:rPr>
          <w:spacing w:val="40"/>
        </w:rPr>
        <w:t xml:space="preserve"> </w:t>
      </w:r>
      <w:r>
        <w:t>do Município de São Paulo, define a residência jurídica (art. 1º, §1º) como:</w:t>
      </w:r>
    </w:p>
    <w:p w:rsidR="007259F2" w:rsidRDefault="007259F2">
      <w:pPr>
        <w:pStyle w:val="Corpodetexto"/>
        <w:spacing w:before="2"/>
        <w:ind w:left="0" w:firstLine="0"/>
        <w:jc w:val="left"/>
      </w:pPr>
    </w:p>
    <w:p w:rsidR="007259F2" w:rsidRDefault="00E655B4">
      <w:pPr>
        <w:ind w:left="2978" w:right="988"/>
        <w:jc w:val="both"/>
        <w:rPr>
          <w:sz w:val="20"/>
        </w:rPr>
      </w:pPr>
      <w:r>
        <w:rPr>
          <w:sz w:val="20"/>
        </w:rPr>
        <w:t>modalidade de ensino destinada a bacharéis em direito, caracterizada por treinamento em serviço, abrangendo ensino, pesquisa e extensão, bem como</w:t>
      </w:r>
      <w:r>
        <w:rPr>
          <w:spacing w:val="40"/>
          <w:sz w:val="20"/>
        </w:rPr>
        <w:t xml:space="preserve"> </w:t>
      </w:r>
      <w:r>
        <w:rPr>
          <w:sz w:val="20"/>
        </w:rPr>
        <w:t>o auxílio prático aos Procuradores Municipais no desempenho de suas atribuições institucionais, sob orientação, supervisão e condução direta de Procuradores Supervisores, sendo vedado atuar isolada e diretamente nas atividades finalísticas da Procuradoria Geral do Município. (SÃO PAULO - SP, 2021)</w:t>
      </w:r>
    </w:p>
    <w:p w:rsidR="007259F2" w:rsidRDefault="007259F2">
      <w:pPr>
        <w:pStyle w:val="Corpodetexto"/>
        <w:ind w:left="0" w:firstLine="0"/>
        <w:jc w:val="left"/>
        <w:rPr>
          <w:sz w:val="20"/>
        </w:rPr>
      </w:pPr>
    </w:p>
    <w:p w:rsidR="007259F2" w:rsidRDefault="00E655B4">
      <w:pPr>
        <w:pStyle w:val="Corpodetexto"/>
        <w:ind w:right="992"/>
      </w:pPr>
      <w:r>
        <w:t>Assim,</w:t>
      </w:r>
      <w:r>
        <w:rPr>
          <w:spacing w:val="-1"/>
        </w:rPr>
        <w:t xml:space="preserve"> </w:t>
      </w:r>
      <w:r>
        <w:t>enquanto</w:t>
      </w:r>
      <w:r>
        <w:rPr>
          <w:spacing w:val="-1"/>
        </w:rPr>
        <w:t xml:space="preserve"> </w:t>
      </w:r>
      <w:r>
        <w:t>o</w:t>
      </w:r>
      <w:r>
        <w:rPr>
          <w:spacing w:val="-1"/>
        </w:rPr>
        <w:t xml:space="preserve"> </w:t>
      </w:r>
      <w:r>
        <w:t>estágio</w:t>
      </w:r>
      <w:r>
        <w:rPr>
          <w:spacing w:val="-1"/>
        </w:rPr>
        <w:t xml:space="preserve"> </w:t>
      </w:r>
      <w:r>
        <w:t>pressupõe</w:t>
      </w:r>
      <w:r>
        <w:rPr>
          <w:spacing w:val="-2"/>
        </w:rPr>
        <w:t xml:space="preserve"> </w:t>
      </w:r>
      <w:r>
        <w:t>a</w:t>
      </w:r>
      <w:r>
        <w:rPr>
          <w:spacing w:val="-2"/>
        </w:rPr>
        <w:t xml:space="preserve"> </w:t>
      </w:r>
      <w:r>
        <w:t>vinculação ao</w:t>
      </w:r>
      <w:r>
        <w:rPr>
          <w:spacing w:val="-1"/>
        </w:rPr>
        <w:t xml:space="preserve"> </w:t>
      </w:r>
      <w:r>
        <w:t>ensino</w:t>
      </w:r>
      <w:r>
        <w:rPr>
          <w:spacing w:val="-1"/>
        </w:rPr>
        <w:t xml:space="preserve"> </w:t>
      </w:r>
      <w:r>
        <w:t>regular</w:t>
      </w:r>
      <w:r>
        <w:rPr>
          <w:spacing w:val="-3"/>
        </w:rPr>
        <w:t xml:space="preserve"> </w:t>
      </w:r>
      <w:r>
        <w:t>de</w:t>
      </w:r>
      <w:r>
        <w:rPr>
          <w:spacing w:val="-2"/>
        </w:rPr>
        <w:t xml:space="preserve"> </w:t>
      </w:r>
      <w:r>
        <w:t>uma IES, esse requisito não está inexoravelmente presente na residência jurídica. Quando instituída no âmbito do serviço público, por exemplo, a residência, via de regra, estará vinculada a uma Escola de Governo. Essa instituição pode oferecer aos residentes quaisquer</w:t>
      </w:r>
      <w:r>
        <w:rPr>
          <w:spacing w:val="-4"/>
        </w:rPr>
        <w:t xml:space="preserve"> </w:t>
      </w:r>
      <w:r>
        <w:t>das</w:t>
      </w:r>
      <w:r>
        <w:rPr>
          <w:spacing w:val="-1"/>
        </w:rPr>
        <w:t xml:space="preserve"> </w:t>
      </w:r>
      <w:r>
        <w:t>modalidades</w:t>
      </w:r>
      <w:r>
        <w:rPr>
          <w:spacing w:val="-3"/>
        </w:rPr>
        <w:t xml:space="preserve"> </w:t>
      </w:r>
      <w:r>
        <w:t>de</w:t>
      </w:r>
      <w:r>
        <w:rPr>
          <w:spacing w:val="-2"/>
        </w:rPr>
        <w:t xml:space="preserve"> </w:t>
      </w:r>
      <w:r>
        <w:t>ensino</w:t>
      </w:r>
      <w:r>
        <w:rPr>
          <w:spacing w:val="-3"/>
        </w:rPr>
        <w:t xml:space="preserve"> </w:t>
      </w:r>
      <w:r>
        <w:t>superior</w:t>
      </w:r>
      <w:r>
        <w:rPr>
          <w:spacing w:val="-4"/>
        </w:rPr>
        <w:t xml:space="preserve"> </w:t>
      </w:r>
      <w:r>
        <w:t>previstas</w:t>
      </w:r>
      <w:r>
        <w:rPr>
          <w:spacing w:val="-3"/>
        </w:rPr>
        <w:t xml:space="preserve"> </w:t>
      </w:r>
      <w:r>
        <w:t>no</w:t>
      </w:r>
      <w:r>
        <w:rPr>
          <w:spacing w:val="-3"/>
        </w:rPr>
        <w:t xml:space="preserve"> </w:t>
      </w:r>
      <w:r>
        <w:t>artigo</w:t>
      </w:r>
      <w:r>
        <w:rPr>
          <w:spacing w:val="-1"/>
        </w:rPr>
        <w:t xml:space="preserve"> </w:t>
      </w:r>
      <w:r>
        <w:t>44</w:t>
      </w:r>
      <w:r>
        <w:rPr>
          <w:spacing w:val="-3"/>
        </w:rPr>
        <w:t xml:space="preserve"> </w:t>
      </w:r>
      <w:r>
        <w:t>da Lei</w:t>
      </w:r>
      <w:r>
        <w:rPr>
          <w:spacing w:val="-1"/>
        </w:rPr>
        <w:t xml:space="preserve"> </w:t>
      </w:r>
      <w:r>
        <w:t>de</w:t>
      </w:r>
      <w:r>
        <w:rPr>
          <w:spacing w:val="-4"/>
        </w:rPr>
        <w:t xml:space="preserve"> </w:t>
      </w:r>
      <w:r>
        <w:t>Diretrizes e Bases da Educação Nacional (LDB) de 1996, inclusive na modalidade de extensão, consoante previsto na legislação paulistana.</w:t>
      </w:r>
    </w:p>
    <w:p w:rsidR="007259F2" w:rsidRDefault="00E655B4">
      <w:pPr>
        <w:pStyle w:val="Corpodetexto"/>
        <w:spacing w:before="1"/>
        <w:ind w:right="991"/>
      </w:pPr>
      <w:r>
        <w:t>Isso porque, na residência, pressupõe-se a conclusão bem-sucedida de pelo menos uma das fases da educação superior, notadamente a graduação. Dessa forma, o residente já deve possuir, no mínimo, a formação teórica e generalista acima propalada.</w:t>
      </w:r>
    </w:p>
    <w:p w:rsidR="007259F2" w:rsidRDefault="00E655B4">
      <w:pPr>
        <w:pStyle w:val="Heading2"/>
        <w:numPr>
          <w:ilvl w:val="0"/>
          <w:numId w:val="6"/>
        </w:numPr>
        <w:tabs>
          <w:tab w:val="left" w:pos="950"/>
        </w:tabs>
        <w:spacing w:before="206"/>
        <w:ind w:left="950" w:hanging="240"/>
        <w:jc w:val="both"/>
      </w:pPr>
      <w:r>
        <w:t>Descrevendo</w:t>
      </w:r>
      <w:r>
        <w:rPr>
          <w:spacing w:val="-3"/>
        </w:rPr>
        <w:t xml:space="preserve"> </w:t>
      </w:r>
      <w:r>
        <w:t>o</w:t>
      </w:r>
      <w:r>
        <w:rPr>
          <w:spacing w:val="-2"/>
        </w:rPr>
        <w:t xml:space="preserve"> </w:t>
      </w:r>
      <w:r>
        <w:t>Programa</w:t>
      </w:r>
      <w:r>
        <w:rPr>
          <w:spacing w:val="-2"/>
        </w:rPr>
        <w:t xml:space="preserve"> </w:t>
      </w:r>
      <w:r>
        <w:t>de</w:t>
      </w:r>
      <w:r>
        <w:rPr>
          <w:spacing w:val="-1"/>
        </w:rPr>
        <w:t xml:space="preserve"> </w:t>
      </w:r>
      <w:r>
        <w:t>Residência</w:t>
      </w:r>
      <w:r>
        <w:rPr>
          <w:spacing w:val="-2"/>
        </w:rPr>
        <w:t xml:space="preserve"> </w:t>
      </w:r>
      <w:r>
        <w:t>da</w:t>
      </w:r>
      <w:r>
        <w:rPr>
          <w:spacing w:val="-2"/>
        </w:rPr>
        <w:t xml:space="preserve"> </w:t>
      </w:r>
      <w:r>
        <w:t>PGM-</w:t>
      </w:r>
      <w:r>
        <w:rPr>
          <w:spacing w:val="-5"/>
        </w:rPr>
        <w:t>SP</w:t>
      </w:r>
    </w:p>
    <w:p w:rsidR="007259F2" w:rsidRDefault="00E655B4">
      <w:pPr>
        <w:pStyle w:val="Corpodetexto"/>
        <w:spacing w:before="113"/>
        <w:ind w:right="990"/>
      </w:pPr>
      <w:r>
        <w:t>Com a teoria que orienta o presente artigo esclarecida e a análise das residências jurídicas apresentada, cabe descrever como acontece o curso da PGM-SP, avaliar sua proposta pedagógica nos documentos institucionais e compreender em que medida a Aprendizagem Ativa acontece no percurso dos estudantes.</w:t>
      </w:r>
    </w:p>
    <w:p w:rsidR="007259F2" w:rsidRDefault="00E655B4">
      <w:pPr>
        <w:pStyle w:val="Corpodetexto"/>
        <w:ind w:right="989"/>
      </w:pPr>
      <w:r>
        <w:t>Como afirmado anteriormente, as residências são uma prática estabelecida e disseminada na área da saúde. Elas representam, em sua essência, uma “modalidade de formação</w:t>
      </w:r>
      <w:r>
        <w:rPr>
          <w:spacing w:val="-3"/>
        </w:rPr>
        <w:t xml:space="preserve"> </w:t>
      </w:r>
      <w:r>
        <w:t>continuada,</w:t>
      </w:r>
      <w:r>
        <w:rPr>
          <w:spacing w:val="-2"/>
        </w:rPr>
        <w:t xml:space="preserve"> </w:t>
      </w:r>
      <w:r>
        <w:t>que</w:t>
      </w:r>
      <w:r>
        <w:rPr>
          <w:spacing w:val="-4"/>
        </w:rPr>
        <w:t xml:space="preserve"> </w:t>
      </w:r>
      <w:r>
        <w:t>tem</w:t>
      </w:r>
      <w:r>
        <w:rPr>
          <w:spacing w:val="-3"/>
        </w:rPr>
        <w:t xml:space="preserve"> </w:t>
      </w:r>
      <w:r>
        <w:t>como</w:t>
      </w:r>
      <w:r>
        <w:rPr>
          <w:spacing w:val="-1"/>
        </w:rPr>
        <w:t xml:space="preserve"> </w:t>
      </w:r>
      <w:r>
        <w:t>essência</w:t>
      </w:r>
      <w:r>
        <w:rPr>
          <w:spacing w:val="-2"/>
        </w:rPr>
        <w:t xml:space="preserve"> </w:t>
      </w:r>
      <w:r>
        <w:t>o</w:t>
      </w:r>
      <w:r>
        <w:rPr>
          <w:spacing w:val="-3"/>
        </w:rPr>
        <w:t xml:space="preserve"> </w:t>
      </w:r>
      <w:r>
        <w:t>treinamento</w:t>
      </w:r>
      <w:r>
        <w:rPr>
          <w:spacing w:val="-3"/>
        </w:rPr>
        <w:t xml:space="preserve"> </w:t>
      </w:r>
      <w:r>
        <w:t>em</w:t>
      </w:r>
      <w:r>
        <w:rPr>
          <w:spacing w:val="-3"/>
        </w:rPr>
        <w:t xml:space="preserve"> </w:t>
      </w:r>
      <w:r>
        <w:t>serviço</w:t>
      </w:r>
      <w:r>
        <w:rPr>
          <w:spacing w:val="-3"/>
        </w:rPr>
        <w:t xml:space="preserve"> </w:t>
      </w:r>
      <w:r>
        <w:t>vinculado</w:t>
      </w:r>
      <w:r>
        <w:rPr>
          <w:spacing w:val="-3"/>
        </w:rPr>
        <w:t xml:space="preserve"> </w:t>
      </w:r>
      <w:r>
        <w:t>a</w:t>
      </w:r>
      <w:r>
        <w:rPr>
          <w:spacing w:val="-5"/>
        </w:rPr>
        <w:t xml:space="preserve"> </w:t>
      </w:r>
      <w:r>
        <w:t xml:space="preserve">uma discussão acadêmica” (BARBOSA </w:t>
      </w:r>
      <w:r>
        <w:rPr>
          <w:i/>
        </w:rPr>
        <w:t>et al</w:t>
      </w:r>
      <w:r>
        <w:t>. 2022, p. 2). O mesmo se aplica ao caso estudado, no qual busca-se aperfeiçoar profissionais já formados em Direito para atuação na Advocacia Pública Municipal: vinculação entre conhecimentos práticos do trabalho e conhecimentos teóricos da área jurídica.</w:t>
      </w:r>
    </w:p>
    <w:p w:rsidR="007259F2" w:rsidRDefault="00E655B4">
      <w:pPr>
        <w:pStyle w:val="Corpodetexto"/>
        <w:spacing w:before="1"/>
        <w:ind w:right="988"/>
      </w:pPr>
      <w:r>
        <w:t>A Residência Jurídica da Procuradoria Geral do Município de São Paulo foi estabelecida</w:t>
      </w:r>
      <w:r>
        <w:rPr>
          <w:spacing w:val="-2"/>
        </w:rPr>
        <w:t xml:space="preserve"> </w:t>
      </w:r>
      <w:r>
        <w:t>pela</w:t>
      </w:r>
      <w:r>
        <w:rPr>
          <w:spacing w:val="1"/>
        </w:rPr>
        <w:t xml:space="preserve"> </w:t>
      </w:r>
      <w:r>
        <w:t>Lei</w:t>
      </w:r>
      <w:r>
        <w:rPr>
          <w:spacing w:val="2"/>
        </w:rPr>
        <w:t xml:space="preserve"> </w:t>
      </w:r>
      <w:r>
        <w:t>nº 17.673, de</w:t>
      </w:r>
      <w:r>
        <w:rPr>
          <w:spacing w:val="-1"/>
        </w:rPr>
        <w:t xml:space="preserve"> </w:t>
      </w:r>
      <w:r>
        <w:t>7</w:t>
      </w:r>
      <w:r>
        <w:rPr>
          <w:spacing w:val="2"/>
        </w:rPr>
        <w:t xml:space="preserve"> </w:t>
      </w:r>
      <w:r>
        <w:t>de</w:t>
      </w:r>
      <w:r>
        <w:rPr>
          <w:spacing w:val="-1"/>
        </w:rPr>
        <w:t xml:space="preserve"> </w:t>
      </w:r>
      <w:r>
        <w:t>outubro</w:t>
      </w:r>
      <w:r>
        <w:rPr>
          <w:spacing w:val="1"/>
        </w:rPr>
        <w:t xml:space="preserve"> </w:t>
      </w:r>
      <w:r>
        <w:t>de</w:t>
      </w:r>
      <w:r>
        <w:rPr>
          <w:spacing w:val="2"/>
        </w:rPr>
        <w:t xml:space="preserve"> </w:t>
      </w:r>
      <w:r>
        <w:t>2021</w:t>
      </w:r>
      <w:r>
        <w:rPr>
          <w:vertAlign w:val="superscript"/>
        </w:rPr>
        <w:t>6</w:t>
      </w:r>
      <w:r>
        <w:t>, e</w:t>
      </w:r>
      <w:r>
        <w:rPr>
          <w:spacing w:val="1"/>
        </w:rPr>
        <w:t xml:space="preserve"> </w:t>
      </w:r>
      <w:r>
        <w:t xml:space="preserve">regulamentada pela </w:t>
      </w:r>
      <w:r>
        <w:rPr>
          <w:spacing w:val="-2"/>
        </w:rPr>
        <w:t>Portaria</w:t>
      </w:r>
    </w:p>
    <w:p w:rsidR="007259F2" w:rsidRDefault="00DE6B1C">
      <w:pPr>
        <w:pStyle w:val="Corpodetexto"/>
        <w:spacing w:before="28"/>
        <w:ind w:left="0" w:firstLine="0"/>
        <w:jc w:val="left"/>
        <w:rPr>
          <w:sz w:val="20"/>
        </w:rPr>
      </w:pPr>
      <w:r w:rsidRPr="00DE6B1C">
        <w:rPr>
          <w:sz w:val="20"/>
        </w:rPr>
        <w:pict>
          <v:rect id="docshape12" o:spid="_x0000_s1208" style="position:absolute;margin-left:85.1pt;margin-top:14.1pt;width:2in;height:.7pt;z-index:-15726592;mso-wrap-distance-left:0;mso-wrap-distance-right:0;mso-position-horizontal-relative:page" fillcolor="black" stroked="f">
            <w10:wrap type="topAndBottom" anchorx="page"/>
          </v:rect>
        </w:pict>
      </w:r>
    </w:p>
    <w:p w:rsidR="007259F2" w:rsidRDefault="00E655B4">
      <w:pPr>
        <w:spacing w:before="96"/>
        <w:ind w:left="710" w:right="990"/>
        <w:rPr>
          <w:sz w:val="20"/>
        </w:rPr>
      </w:pPr>
      <w:r>
        <w:rPr>
          <w:sz w:val="20"/>
          <w:vertAlign w:val="superscript"/>
        </w:rPr>
        <w:t>6</w:t>
      </w:r>
      <w:r>
        <w:rPr>
          <w:sz w:val="20"/>
        </w:rPr>
        <w:t xml:space="preserve"> </w:t>
      </w:r>
      <w:r>
        <w:rPr>
          <w:b/>
          <w:sz w:val="20"/>
        </w:rPr>
        <w:t xml:space="preserve">Lei nº 17.673 de 7 de outubro de 2021. </w:t>
      </w:r>
      <w:r>
        <w:rPr>
          <w:sz w:val="20"/>
        </w:rPr>
        <w:t xml:space="preserve">Disponível em: https://legislacao.prefeitura.sp.gov.br/leis/lei- </w:t>
      </w:r>
      <w:r>
        <w:rPr>
          <w:spacing w:val="-2"/>
          <w:sz w:val="20"/>
        </w:rPr>
        <w:t>17673-de-7-de-outubro-de-2021</w:t>
      </w:r>
    </w:p>
    <w:p w:rsidR="007259F2" w:rsidRDefault="007259F2">
      <w:pPr>
        <w:rPr>
          <w:sz w:val="20"/>
        </w:rPr>
        <w:sectPr w:rsidR="007259F2">
          <w:pgSz w:w="11910" w:h="16840"/>
          <w:pgMar w:top="1320" w:right="708" w:bottom="1160" w:left="992" w:header="0" w:footer="962" w:gutter="0"/>
          <w:cols w:space="720"/>
        </w:sectPr>
      </w:pPr>
    </w:p>
    <w:p w:rsidR="007259F2" w:rsidRDefault="00E655B4">
      <w:pPr>
        <w:pStyle w:val="Corpodetexto"/>
        <w:spacing w:before="109"/>
        <w:ind w:right="989" w:firstLine="0"/>
      </w:pPr>
      <w:r>
        <w:lastRenderedPageBreak/>
        <w:t>da PGM nº 131</w:t>
      </w:r>
      <w:r>
        <w:rPr>
          <w:vertAlign w:val="superscript"/>
        </w:rPr>
        <w:t>7</w:t>
      </w:r>
      <w:r>
        <w:t>, contando com um processo seletivo público destinado a graduados em Direito. A seleção é realizada por meio de provas, sendo os candidatos regidos pelo edital.</w:t>
      </w:r>
      <w:r>
        <w:rPr>
          <w:vertAlign w:val="superscript"/>
        </w:rPr>
        <w:t>8</w:t>
      </w:r>
      <w:r>
        <w:t xml:space="preserve"> Esse documento aborda o processo seletivo de residentes tanto para a PGM-SP quanto para as Secretarias e Subprefeituras.</w:t>
      </w:r>
    </w:p>
    <w:p w:rsidR="007259F2" w:rsidRDefault="007259F2">
      <w:pPr>
        <w:pStyle w:val="Corpodetexto"/>
        <w:spacing w:before="2"/>
        <w:ind w:left="0" w:firstLine="0"/>
        <w:jc w:val="left"/>
      </w:pPr>
    </w:p>
    <w:p w:rsidR="007259F2" w:rsidRDefault="00E655B4">
      <w:pPr>
        <w:ind w:left="2978"/>
        <w:jc w:val="both"/>
        <w:rPr>
          <w:sz w:val="20"/>
        </w:rPr>
      </w:pPr>
      <w:r>
        <w:rPr>
          <w:sz w:val="20"/>
        </w:rPr>
        <w:t>A</w:t>
      </w:r>
      <w:r>
        <w:rPr>
          <w:spacing w:val="3"/>
          <w:sz w:val="20"/>
        </w:rPr>
        <w:t xml:space="preserve"> </w:t>
      </w:r>
      <w:r>
        <w:rPr>
          <w:sz w:val="20"/>
        </w:rPr>
        <w:t>atuação</w:t>
      </w:r>
      <w:r>
        <w:rPr>
          <w:spacing w:val="8"/>
          <w:sz w:val="20"/>
        </w:rPr>
        <w:t xml:space="preserve"> </w:t>
      </w:r>
      <w:r>
        <w:rPr>
          <w:sz w:val="20"/>
        </w:rPr>
        <w:t>dos</w:t>
      </w:r>
      <w:r>
        <w:rPr>
          <w:spacing w:val="6"/>
          <w:sz w:val="20"/>
        </w:rPr>
        <w:t xml:space="preserve"> </w:t>
      </w:r>
      <w:r>
        <w:rPr>
          <w:sz w:val="20"/>
        </w:rPr>
        <w:t>residentes</w:t>
      </w:r>
      <w:r>
        <w:rPr>
          <w:spacing w:val="5"/>
          <w:sz w:val="20"/>
        </w:rPr>
        <w:t xml:space="preserve"> </w:t>
      </w:r>
      <w:r>
        <w:rPr>
          <w:sz w:val="20"/>
        </w:rPr>
        <w:t>consistirá</w:t>
      </w:r>
      <w:r>
        <w:rPr>
          <w:spacing w:val="7"/>
          <w:sz w:val="20"/>
        </w:rPr>
        <w:t xml:space="preserve"> </w:t>
      </w:r>
      <w:r>
        <w:rPr>
          <w:sz w:val="20"/>
        </w:rPr>
        <w:t>no</w:t>
      </w:r>
      <w:r>
        <w:rPr>
          <w:spacing w:val="7"/>
          <w:sz w:val="20"/>
        </w:rPr>
        <w:t xml:space="preserve"> </w:t>
      </w:r>
      <w:r>
        <w:rPr>
          <w:sz w:val="20"/>
        </w:rPr>
        <w:t>desempenho</w:t>
      </w:r>
      <w:r>
        <w:rPr>
          <w:spacing w:val="8"/>
          <w:sz w:val="20"/>
        </w:rPr>
        <w:t xml:space="preserve"> </w:t>
      </w:r>
      <w:r>
        <w:rPr>
          <w:sz w:val="20"/>
        </w:rPr>
        <w:t>das</w:t>
      </w:r>
      <w:r>
        <w:rPr>
          <w:spacing w:val="6"/>
          <w:sz w:val="20"/>
        </w:rPr>
        <w:t xml:space="preserve"> </w:t>
      </w:r>
      <w:r>
        <w:rPr>
          <w:sz w:val="20"/>
        </w:rPr>
        <w:t>seguintes</w:t>
      </w:r>
      <w:r>
        <w:rPr>
          <w:spacing w:val="5"/>
          <w:sz w:val="20"/>
        </w:rPr>
        <w:t xml:space="preserve"> </w:t>
      </w:r>
      <w:r>
        <w:rPr>
          <w:spacing w:val="-2"/>
          <w:sz w:val="20"/>
        </w:rPr>
        <w:t>atividades:</w:t>
      </w:r>
    </w:p>
    <w:p w:rsidR="007259F2" w:rsidRDefault="00E655B4">
      <w:pPr>
        <w:spacing w:before="1"/>
        <w:ind w:left="2978" w:right="988"/>
        <w:jc w:val="both"/>
        <w:rPr>
          <w:sz w:val="20"/>
        </w:rPr>
      </w:pPr>
      <w:r>
        <w:rPr>
          <w:sz w:val="20"/>
        </w:rPr>
        <w:t>a) Frequência aos cursos ou eventos ministrados ou indicados pelo CEJUR - Centro de Estudos Jurídicos Lucia Maria Moraes Ribeiro de Mendonça da Procuradoria Geral do Município, onde receberão orientações teóricas e práticas sobre o exercício da advocacia pública, bem como desenvolverão atividades de pesquisa e extensão. b) Apoio aos Procuradores do Município de São Paulo na realização de atividades práticas da área do contencioso ou consultivo</w:t>
      </w:r>
      <w:r>
        <w:rPr>
          <w:spacing w:val="-1"/>
          <w:sz w:val="20"/>
        </w:rPr>
        <w:t xml:space="preserve"> </w:t>
      </w:r>
      <w:r>
        <w:rPr>
          <w:sz w:val="20"/>
        </w:rPr>
        <w:t>em</w:t>
      </w:r>
      <w:r>
        <w:rPr>
          <w:spacing w:val="-1"/>
          <w:sz w:val="20"/>
        </w:rPr>
        <w:t xml:space="preserve"> </w:t>
      </w:r>
      <w:r>
        <w:rPr>
          <w:sz w:val="20"/>
        </w:rPr>
        <w:t>um</w:t>
      </w:r>
      <w:r>
        <w:rPr>
          <w:spacing w:val="-4"/>
          <w:sz w:val="20"/>
        </w:rPr>
        <w:t xml:space="preserve"> </w:t>
      </w:r>
      <w:r>
        <w:rPr>
          <w:sz w:val="20"/>
        </w:rPr>
        <w:t>dos</w:t>
      </w:r>
      <w:r>
        <w:rPr>
          <w:spacing w:val="-3"/>
          <w:sz w:val="20"/>
        </w:rPr>
        <w:t xml:space="preserve"> </w:t>
      </w:r>
      <w:r>
        <w:rPr>
          <w:sz w:val="20"/>
        </w:rPr>
        <w:t>Departamentos</w:t>
      </w:r>
      <w:r>
        <w:rPr>
          <w:spacing w:val="-3"/>
          <w:sz w:val="20"/>
        </w:rPr>
        <w:t xml:space="preserve"> </w:t>
      </w:r>
      <w:r>
        <w:rPr>
          <w:sz w:val="20"/>
        </w:rPr>
        <w:t>da</w:t>
      </w:r>
      <w:r>
        <w:rPr>
          <w:spacing w:val="-2"/>
          <w:sz w:val="20"/>
        </w:rPr>
        <w:t xml:space="preserve"> </w:t>
      </w:r>
      <w:r>
        <w:rPr>
          <w:sz w:val="20"/>
        </w:rPr>
        <w:t>Procuradoria</w:t>
      </w:r>
      <w:r>
        <w:rPr>
          <w:spacing w:val="-2"/>
          <w:sz w:val="20"/>
        </w:rPr>
        <w:t xml:space="preserve"> </w:t>
      </w:r>
      <w:r>
        <w:rPr>
          <w:sz w:val="20"/>
        </w:rPr>
        <w:t>Geral do</w:t>
      </w:r>
      <w:r>
        <w:rPr>
          <w:spacing w:val="-1"/>
          <w:sz w:val="20"/>
        </w:rPr>
        <w:t xml:space="preserve"> </w:t>
      </w:r>
      <w:r>
        <w:rPr>
          <w:sz w:val="20"/>
        </w:rPr>
        <w:t>Município</w:t>
      </w:r>
      <w:r>
        <w:rPr>
          <w:spacing w:val="-1"/>
          <w:sz w:val="20"/>
        </w:rPr>
        <w:t xml:space="preserve"> </w:t>
      </w:r>
      <w:r>
        <w:rPr>
          <w:sz w:val="20"/>
        </w:rPr>
        <w:t xml:space="preserve">ou nas Assessorias Jurídicas de quaisquer órgãos da Administração Pública Direta, Autarquias ou Fundações do Município de São Paulo. (Edital nº </w:t>
      </w:r>
      <w:r>
        <w:rPr>
          <w:spacing w:val="-2"/>
          <w:sz w:val="20"/>
        </w:rPr>
        <w:t>01/2022)</w:t>
      </w:r>
    </w:p>
    <w:p w:rsidR="007259F2" w:rsidRDefault="00E655B4">
      <w:pPr>
        <w:pStyle w:val="Corpodetexto"/>
        <w:spacing w:before="229"/>
        <w:ind w:right="993"/>
      </w:pPr>
      <w:r>
        <w:t>São 150 vagas para residentes preenchidas ao longo dos anos de 2022 e 2023 através de chamamentos esporádicos devido à evasão espontânea dos alunos. Essa evasão se dá, obviamente, pelos mais variados motivos. Contudo, na área do Direito ela é especialmente esperada em razão da alta procura pelos concursos públicos das carreiras jurídicas. Os residentes jurídicos, em regra, são também “concurseiros”</w:t>
      </w:r>
    </w:p>
    <w:p w:rsidR="007259F2" w:rsidRDefault="00E655B4">
      <w:pPr>
        <w:pStyle w:val="Corpodetexto"/>
        <w:ind w:right="993"/>
      </w:pPr>
      <w:r>
        <w:t>Por essa razão, foi estabelecido um curso assíncrono com a possibilidade de ser aplicado</w:t>
      </w:r>
      <w:r>
        <w:rPr>
          <w:spacing w:val="-2"/>
        </w:rPr>
        <w:t xml:space="preserve"> </w:t>
      </w:r>
      <w:r>
        <w:t>a</w:t>
      </w:r>
      <w:r>
        <w:rPr>
          <w:spacing w:val="-3"/>
        </w:rPr>
        <w:t xml:space="preserve"> </w:t>
      </w:r>
      <w:r>
        <w:t>diversas</w:t>
      </w:r>
      <w:r>
        <w:rPr>
          <w:spacing w:val="-2"/>
        </w:rPr>
        <w:t xml:space="preserve"> </w:t>
      </w:r>
      <w:r>
        <w:t>turmas</w:t>
      </w:r>
      <w:r>
        <w:rPr>
          <w:spacing w:val="-2"/>
        </w:rPr>
        <w:t xml:space="preserve"> </w:t>
      </w:r>
      <w:r>
        <w:t>em tempos</w:t>
      </w:r>
      <w:r>
        <w:rPr>
          <w:spacing w:val="-2"/>
        </w:rPr>
        <w:t xml:space="preserve"> </w:t>
      </w:r>
      <w:r>
        <w:t>diferentes.</w:t>
      </w:r>
      <w:r>
        <w:rPr>
          <w:spacing w:val="-3"/>
        </w:rPr>
        <w:t xml:space="preserve"> </w:t>
      </w:r>
      <w:r>
        <w:t>Essa</w:t>
      </w:r>
      <w:r>
        <w:rPr>
          <w:spacing w:val="-3"/>
        </w:rPr>
        <w:t xml:space="preserve"> </w:t>
      </w:r>
      <w:r>
        <w:t>viabilidade</w:t>
      </w:r>
      <w:r>
        <w:rPr>
          <w:spacing w:val="-3"/>
        </w:rPr>
        <w:t xml:space="preserve"> </w:t>
      </w:r>
      <w:r>
        <w:t>apenas</w:t>
      </w:r>
      <w:r>
        <w:rPr>
          <w:spacing w:val="-2"/>
        </w:rPr>
        <w:t xml:space="preserve"> </w:t>
      </w:r>
      <w:r>
        <w:t>se</w:t>
      </w:r>
      <w:r>
        <w:rPr>
          <w:spacing w:val="-3"/>
        </w:rPr>
        <w:t xml:space="preserve"> </w:t>
      </w:r>
      <w:r>
        <w:t>concretizou graças ao AVA desenvolvido, pois, na educação a distância, o acesso ao conteúdo e às aulas de maneira individualizada (materiais disponibilizados para serem acessados a qualquer hora) é uma prática plenamente possível.</w:t>
      </w:r>
    </w:p>
    <w:p w:rsidR="007259F2" w:rsidRDefault="00E655B4">
      <w:pPr>
        <w:pStyle w:val="Corpodetexto"/>
        <w:ind w:right="990"/>
      </w:pPr>
      <w:r>
        <w:t>No que se refere ao planejamento do curso, as ideias que permeiam e norteiam a parte teórica encontram-se no documento Projeto Pedagógico do Curso (PPC) “Teoria e Prática da Advocacia Pública Municipal”. Essa etapa acontece via AVA, como dito anteriormente, mediante aulas assíncronas sobre assuntos selecionados, sempre relacionados às atividades da Procuradoria, seguidas de avaliações objetivas.</w:t>
      </w:r>
    </w:p>
    <w:p w:rsidR="007259F2" w:rsidRDefault="00E655B4">
      <w:pPr>
        <w:pStyle w:val="Corpodetexto"/>
        <w:ind w:right="989"/>
      </w:pPr>
      <w:r>
        <w:t>O curso teórico online é dividido em “núcleos”, isto é, assuntos-base que norteiam as aulas gravadas. São seis núcleos: 1) Direito Constitucional; 2) Direito Administrativo; 3) Direitos Tributário e Financeiro; 4) Processo e Contencioso; 5) Direitos Urbanístico, Ambiental e Difusos e; 6) Residual.</w:t>
      </w:r>
      <w:r>
        <w:rPr>
          <w:vertAlign w:val="superscript"/>
        </w:rPr>
        <w:t>9</w:t>
      </w:r>
      <w:r>
        <w:t xml:space="preserve"> Cada núcleo possui seu coordenador, além do coordenador-geral do curso. Estes coordenadores convidaram procuradores para se tornarem professores-conteudistas responsáveis pelas aulas gravadas, as quais são disponibilizadas em parceria com a equipe do CEJUR/ESDPM.</w:t>
      </w:r>
    </w:p>
    <w:p w:rsidR="007259F2" w:rsidRDefault="00E655B4">
      <w:pPr>
        <w:pStyle w:val="Corpodetexto"/>
        <w:spacing w:before="1"/>
        <w:ind w:right="993"/>
      </w:pPr>
      <w:r>
        <w:t>Voltando ao PPC, é possível identificar os resultados de ensino e aprendizagem esperados nos itens: 6. Objetivos Gerais e 7. Perfil do Egresso, e o andamento das aulas no item 8. Metodologia. Acerca dos objetivos de aprendizagem, é evidente que o desejado</w:t>
      </w:r>
      <w:r>
        <w:rPr>
          <w:spacing w:val="5"/>
        </w:rPr>
        <w:t xml:space="preserve"> </w:t>
      </w:r>
      <w:r>
        <w:t>é</w:t>
      </w:r>
      <w:r>
        <w:rPr>
          <w:spacing w:val="6"/>
        </w:rPr>
        <w:t xml:space="preserve"> </w:t>
      </w:r>
      <w:r>
        <w:t>um</w:t>
      </w:r>
      <w:r>
        <w:rPr>
          <w:spacing w:val="7"/>
        </w:rPr>
        <w:t xml:space="preserve"> </w:t>
      </w:r>
      <w:r>
        <w:t>sujeito</w:t>
      </w:r>
      <w:r>
        <w:rPr>
          <w:spacing w:val="6"/>
        </w:rPr>
        <w:t xml:space="preserve"> </w:t>
      </w:r>
      <w:r>
        <w:t>que</w:t>
      </w:r>
      <w:r>
        <w:rPr>
          <w:spacing w:val="5"/>
        </w:rPr>
        <w:t xml:space="preserve"> </w:t>
      </w:r>
      <w:r>
        <w:t>tenha</w:t>
      </w:r>
      <w:r>
        <w:rPr>
          <w:spacing w:val="5"/>
        </w:rPr>
        <w:t xml:space="preserve"> </w:t>
      </w:r>
      <w:r>
        <w:t>se</w:t>
      </w:r>
      <w:r>
        <w:rPr>
          <w:spacing w:val="6"/>
        </w:rPr>
        <w:t xml:space="preserve"> </w:t>
      </w:r>
      <w:r>
        <w:t>apropriado</w:t>
      </w:r>
      <w:r>
        <w:rPr>
          <w:spacing w:val="6"/>
        </w:rPr>
        <w:t xml:space="preserve"> </w:t>
      </w:r>
      <w:r>
        <w:t>da</w:t>
      </w:r>
      <w:r>
        <w:rPr>
          <w:spacing w:val="12"/>
        </w:rPr>
        <w:t xml:space="preserve"> </w:t>
      </w:r>
      <w:r>
        <w:t>experiência</w:t>
      </w:r>
      <w:r>
        <w:rPr>
          <w:spacing w:val="6"/>
        </w:rPr>
        <w:t xml:space="preserve"> </w:t>
      </w:r>
      <w:r>
        <w:t>na</w:t>
      </w:r>
      <w:r>
        <w:rPr>
          <w:spacing w:val="8"/>
        </w:rPr>
        <w:t xml:space="preserve"> </w:t>
      </w:r>
      <w:r>
        <w:t>Administração</w:t>
      </w:r>
      <w:r>
        <w:rPr>
          <w:spacing w:val="6"/>
        </w:rPr>
        <w:t xml:space="preserve"> </w:t>
      </w:r>
      <w:r>
        <w:rPr>
          <w:spacing w:val="-2"/>
        </w:rPr>
        <w:t>Pública</w:t>
      </w:r>
    </w:p>
    <w:p w:rsidR="007259F2" w:rsidRDefault="00DE6B1C">
      <w:pPr>
        <w:pStyle w:val="Corpodetexto"/>
        <w:spacing w:before="25"/>
        <w:ind w:left="0" w:firstLine="0"/>
        <w:jc w:val="left"/>
        <w:rPr>
          <w:sz w:val="20"/>
        </w:rPr>
      </w:pPr>
      <w:r w:rsidRPr="00DE6B1C">
        <w:rPr>
          <w:sz w:val="20"/>
        </w:rPr>
        <w:pict>
          <v:rect id="docshape13" o:spid="_x0000_s1207" style="position:absolute;margin-left:85.1pt;margin-top:14pt;width:2in;height:.7pt;z-index:-15726080;mso-wrap-distance-left:0;mso-wrap-distance-right:0;mso-position-horizontal-relative:page" fillcolor="black" stroked="f">
            <w10:wrap type="topAndBottom" anchorx="page"/>
          </v:rect>
        </w:pict>
      </w:r>
    </w:p>
    <w:p w:rsidR="007259F2" w:rsidRDefault="00E655B4">
      <w:pPr>
        <w:spacing w:before="96"/>
        <w:ind w:left="710" w:right="991"/>
        <w:rPr>
          <w:sz w:val="20"/>
        </w:rPr>
      </w:pPr>
      <w:r>
        <w:rPr>
          <w:sz w:val="20"/>
          <w:vertAlign w:val="superscript"/>
        </w:rPr>
        <w:t>7</w:t>
      </w:r>
      <w:r>
        <w:rPr>
          <w:sz w:val="20"/>
        </w:rPr>
        <w:t xml:space="preserve"> Portaria Procuradoria Geral do Município</w:t>
      </w:r>
      <w:r>
        <w:rPr>
          <w:spacing w:val="23"/>
          <w:sz w:val="20"/>
        </w:rPr>
        <w:t xml:space="preserve"> </w:t>
      </w:r>
      <w:r>
        <w:rPr>
          <w:sz w:val="20"/>
        </w:rPr>
        <w:t>- PGM</w:t>
      </w:r>
      <w:r>
        <w:rPr>
          <w:spacing w:val="17"/>
          <w:sz w:val="20"/>
        </w:rPr>
        <w:t xml:space="preserve"> </w:t>
      </w:r>
      <w:r>
        <w:rPr>
          <w:sz w:val="20"/>
        </w:rPr>
        <w:t>nº</w:t>
      </w:r>
      <w:r>
        <w:rPr>
          <w:spacing w:val="17"/>
          <w:sz w:val="20"/>
        </w:rPr>
        <w:t xml:space="preserve"> </w:t>
      </w:r>
      <w:r>
        <w:rPr>
          <w:sz w:val="20"/>
        </w:rPr>
        <w:t>131 de 29 de dezembro de 2021. Disponível em:</w:t>
      </w:r>
      <w:r>
        <w:rPr>
          <w:spacing w:val="40"/>
          <w:sz w:val="20"/>
        </w:rPr>
        <w:t xml:space="preserve"> </w:t>
      </w:r>
      <w:r>
        <w:rPr>
          <w:spacing w:val="-2"/>
          <w:sz w:val="20"/>
        </w:rPr>
        <w:t>https://legislacao.prefeitura.sp.gov.br/leis/portaria-procuradoria-geral-do-municipio-pgm-131-de-29-de- dezembro-de-2021</w:t>
      </w:r>
    </w:p>
    <w:p w:rsidR="007259F2" w:rsidRDefault="00E655B4">
      <w:pPr>
        <w:spacing w:before="1"/>
        <w:ind w:left="710" w:right="990"/>
        <w:jc w:val="both"/>
        <w:rPr>
          <w:sz w:val="20"/>
        </w:rPr>
      </w:pPr>
      <w:r>
        <w:rPr>
          <w:sz w:val="20"/>
          <w:vertAlign w:val="superscript"/>
        </w:rPr>
        <w:t>8</w:t>
      </w:r>
      <w:r>
        <w:rPr>
          <w:sz w:val="20"/>
        </w:rPr>
        <w:t xml:space="preserve"> O processo seletivo para ingresso no Programa de Residência Jurídica da PGM-SP aconteceu em conjunto com o processo seletivo para o Programa de Residência Jurídica em Gestão Pública da</w:t>
      </w:r>
      <w:r>
        <w:rPr>
          <w:spacing w:val="40"/>
          <w:sz w:val="20"/>
        </w:rPr>
        <w:t xml:space="preserve"> </w:t>
      </w:r>
      <w:r>
        <w:rPr>
          <w:sz w:val="20"/>
        </w:rPr>
        <w:t xml:space="preserve">Secretaria de Gestão Pública do Município de São Paulo. O edital é o mesmo e está disponível em: </w:t>
      </w:r>
      <w:hyperlink r:id="rId18">
        <w:r>
          <w:rPr>
            <w:color w:val="0000FF"/>
            <w:spacing w:val="-2"/>
            <w:sz w:val="20"/>
            <w:u w:val="single" w:color="0000FF"/>
          </w:rPr>
          <w:t>https://www.institutomais.org.br/Concursos/Detalhe/416</w:t>
        </w:r>
      </w:hyperlink>
    </w:p>
    <w:p w:rsidR="007259F2" w:rsidRDefault="00E655B4">
      <w:pPr>
        <w:ind w:left="710" w:right="987"/>
        <w:jc w:val="both"/>
        <w:rPr>
          <w:sz w:val="20"/>
        </w:rPr>
      </w:pPr>
      <w:r>
        <w:rPr>
          <w:sz w:val="20"/>
          <w:vertAlign w:val="superscript"/>
        </w:rPr>
        <w:t>9</w:t>
      </w:r>
      <w:r>
        <w:rPr>
          <w:sz w:val="20"/>
        </w:rPr>
        <w:t xml:space="preserve"> O chamado Núcleo Residual abrange temas diversos no campo do Direito, tais como Teoria Política, Aplicação do Direito à Advocacia Pública, Sistemas de Informação, Legislações próprias do Município e Metodologia de Trabalho Científico.</w:t>
      </w:r>
    </w:p>
    <w:p w:rsidR="007259F2" w:rsidRDefault="007259F2">
      <w:pPr>
        <w:jc w:val="both"/>
        <w:rPr>
          <w:sz w:val="20"/>
        </w:rPr>
        <w:sectPr w:rsidR="007259F2">
          <w:pgSz w:w="11910" w:h="16840"/>
          <w:pgMar w:top="1280" w:right="708" w:bottom="1160" w:left="992" w:header="0" w:footer="962" w:gutter="0"/>
          <w:cols w:space="720"/>
        </w:sectPr>
      </w:pPr>
    </w:p>
    <w:p w:rsidR="007259F2" w:rsidRDefault="00E655B4">
      <w:pPr>
        <w:pStyle w:val="Corpodetexto"/>
        <w:spacing w:before="69"/>
        <w:ind w:right="990" w:firstLine="0"/>
      </w:pPr>
      <w:r>
        <w:lastRenderedPageBreak/>
        <w:t>envolvendo conhecimentos sobre o funcionamento burocrático, técnico e tecnológico, procedural e legal. A ênfase na atuação da PGM-SP é reiterada, como se vê nos Objetivos Gerais:</w:t>
      </w:r>
    </w:p>
    <w:p w:rsidR="007259F2" w:rsidRDefault="007259F2">
      <w:pPr>
        <w:pStyle w:val="Corpodetexto"/>
        <w:spacing w:before="2"/>
        <w:ind w:left="0" w:firstLine="0"/>
        <w:jc w:val="left"/>
      </w:pPr>
    </w:p>
    <w:p w:rsidR="007259F2" w:rsidRDefault="00E655B4">
      <w:pPr>
        <w:pStyle w:val="PargrafodaLista"/>
        <w:numPr>
          <w:ilvl w:val="1"/>
          <w:numId w:val="6"/>
        </w:numPr>
        <w:tabs>
          <w:tab w:val="left" w:pos="3155"/>
        </w:tabs>
        <w:ind w:right="995" w:firstLine="0"/>
        <w:rPr>
          <w:sz w:val="20"/>
        </w:rPr>
      </w:pPr>
      <w:r>
        <w:rPr>
          <w:sz w:val="20"/>
        </w:rPr>
        <w:t>Reforçar os aspectos teóricos das disciplinas ministradas na graduação que tenham especial correlação com as competências dos municípios enquanto entes da federação;</w:t>
      </w:r>
    </w:p>
    <w:p w:rsidR="007259F2" w:rsidRDefault="00E655B4">
      <w:pPr>
        <w:pStyle w:val="PargrafodaLista"/>
        <w:numPr>
          <w:ilvl w:val="1"/>
          <w:numId w:val="6"/>
        </w:numPr>
        <w:tabs>
          <w:tab w:val="left" w:pos="3155"/>
        </w:tabs>
        <w:spacing w:before="1"/>
        <w:ind w:right="999" w:firstLine="0"/>
        <w:rPr>
          <w:sz w:val="20"/>
        </w:rPr>
      </w:pPr>
      <w:r>
        <w:rPr>
          <w:sz w:val="20"/>
        </w:rPr>
        <w:t>Conhecer as fontes do Direito Público Municipal, com</w:t>
      </w:r>
      <w:r>
        <w:rPr>
          <w:spacing w:val="-2"/>
          <w:sz w:val="20"/>
        </w:rPr>
        <w:t xml:space="preserve"> </w:t>
      </w:r>
      <w:r>
        <w:rPr>
          <w:sz w:val="20"/>
        </w:rPr>
        <w:t>estudo aprofundado de legislação, doutrina, jurisprudência e pareceres;</w:t>
      </w:r>
    </w:p>
    <w:p w:rsidR="007259F2" w:rsidRDefault="00E655B4">
      <w:pPr>
        <w:pStyle w:val="PargrafodaLista"/>
        <w:numPr>
          <w:ilvl w:val="1"/>
          <w:numId w:val="6"/>
        </w:numPr>
        <w:tabs>
          <w:tab w:val="left" w:pos="3157"/>
        </w:tabs>
        <w:spacing w:before="1"/>
        <w:ind w:right="997" w:firstLine="0"/>
        <w:rPr>
          <w:sz w:val="20"/>
        </w:rPr>
      </w:pPr>
      <w:r>
        <w:rPr>
          <w:sz w:val="20"/>
        </w:rPr>
        <w:t>Fornecer uma visão dos temas polêmicos e das novas teses que circundam as disciplinas ministradas;</w:t>
      </w:r>
    </w:p>
    <w:p w:rsidR="007259F2" w:rsidRDefault="00E655B4">
      <w:pPr>
        <w:pStyle w:val="PargrafodaLista"/>
        <w:numPr>
          <w:ilvl w:val="1"/>
          <w:numId w:val="6"/>
        </w:numPr>
        <w:tabs>
          <w:tab w:val="left" w:pos="3169"/>
        </w:tabs>
        <w:ind w:right="995" w:firstLine="0"/>
        <w:rPr>
          <w:sz w:val="20"/>
        </w:rPr>
      </w:pPr>
      <w:r>
        <w:rPr>
          <w:sz w:val="20"/>
        </w:rPr>
        <w:t>Compreender a organização, competência e especificidades do Município de São Paulo e a inserção da Procuradoria-Geral do Município nesse</w:t>
      </w:r>
      <w:r>
        <w:rPr>
          <w:spacing w:val="40"/>
          <w:sz w:val="20"/>
        </w:rPr>
        <w:t xml:space="preserve"> </w:t>
      </w:r>
      <w:r>
        <w:rPr>
          <w:spacing w:val="-2"/>
          <w:sz w:val="20"/>
        </w:rPr>
        <w:t>contexto;</w:t>
      </w:r>
    </w:p>
    <w:p w:rsidR="007259F2" w:rsidRDefault="00E655B4">
      <w:pPr>
        <w:pStyle w:val="PargrafodaLista"/>
        <w:numPr>
          <w:ilvl w:val="1"/>
          <w:numId w:val="6"/>
        </w:numPr>
        <w:tabs>
          <w:tab w:val="left" w:pos="3184"/>
        </w:tabs>
        <w:ind w:right="997" w:firstLine="0"/>
        <w:rPr>
          <w:sz w:val="20"/>
        </w:rPr>
      </w:pPr>
      <w:r>
        <w:rPr>
          <w:sz w:val="20"/>
        </w:rPr>
        <w:t>Permitir o aprofundamento nas principais questões jurídicas enfrentadas contemporaneamente pela Advocacia Pública Municipal com especial ênfase na Procuradoria-Geral do Município de São Paulo;</w:t>
      </w:r>
    </w:p>
    <w:p w:rsidR="007259F2" w:rsidRDefault="00E655B4">
      <w:pPr>
        <w:pStyle w:val="PargrafodaLista"/>
        <w:numPr>
          <w:ilvl w:val="1"/>
          <w:numId w:val="6"/>
        </w:numPr>
        <w:tabs>
          <w:tab w:val="left" w:pos="3164"/>
        </w:tabs>
        <w:ind w:right="989" w:firstLine="0"/>
        <w:rPr>
          <w:sz w:val="20"/>
        </w:rPr>
      </w:pPr>
      <w:r>
        <w:rPr>
          <w:sz w:val="20"/>
        </w:rPr>
        <w:t>Ministrar substrato teórico que permita a boa interpretação e aplicação do Direito no âmbito do contencioso e do consultivo;</w:t>
      </w:r>
    </w:p>
    <w:p w:rsidR="007259F2" w:rsidRDefault="00E655B4">
      <w:pPr>
        <w:pStyle w:val="PargrafodaLista"/>
        <w:numPr>
          <w:ilvl w:val="1"/>
          <w:numId w:val="6"/>
        </w:numPr>
        <w:tabs>
          <w:tab w:val="left" w:pos="3222"/>
        </w:tabs>
        <w:ind w:right="997" w:firstLine="0"/>
        <w:rPr>
          <w:sz w:val="20"/>
        </w:rPr>
      </w:pPr>
      <w:r>
        <w:rPr>
          <w:sz w:val="20"/>
        </w:rPr>
        <w:t>Compreender, por meio da interdisciplinaridade e transversalidade a correlação entre as disciplinas ministradas no curso e a consequente atuação coordenada da PGM face a esses assuntos;</w:t>
      </w:r>
    </w:p>
    <w:p w:rsidR="007259F2" w:rsidRDefault="00E655B4">
      <w:pPr>
        <w:pStyle w:val="PargrafodaLista"/>
        <w:numPr>
          <w:ilvl w:val="1"/>
          <w:numId w:val="6"/>
        </w:numPr>
        <w:tabs>
          <w:tab w:val="left" w:pos="3176"/>
        </w:tabs>
        <w:ind w:right="1000" w:firstLine="0"/>
        <w:rPr>
          <w:sz w:val="20"/>
        </w:rPr>
      </w:pPr>
      <w:r>
        <w:rPr>
          <w:sz w:val="20"/>
        </w:rPr>
        <w:t>Estimular a reflexão e o espírito crítico na busca do aprimoramento das instituições municipais. (PPC)</w:t>
      </w:r>
    </w:p>
    <w:p w:rsidR="007259F2" w:rsidRDefault="00E655B4">
      <w:pPr>
        <w:pStyle w:val="Corpodetexto"/>
        <w:spacing w:before="229"/>
        <w:ind w:left="1418" w:firstLine="0"/>
        <w:jc w:val="left"/>
      </w:pPr>
      <w:r>
        <w:t>E</w:t>
      </w:r>
      <w:r>
        <w:rPr>
          <w:spacing w:val="-3"/>
        </w:rPr>
        <w:t xml:space="preserve"> </w:t>
      </w:r>
      <w:r>
        <w:t>no</w:t>
      </w:r>
      <w:r>
        <w:rPr>
          <w:spacing w:val="-1"/>
        </w:rPr>
        <w:t xml:space="preserve"> </w:t>
      </w:r>
      <w:r>
        <w:t>Perfil</w:t>
      </w:r>
      <w:r>
        <w:rPr>
          <w:spacing w:val="-1"/>
        </w:rPr>
        <w:t xml:space="preserve"> </w:t>
      </w:r>
      <w:r>
        <w:t xml:space="preserve">do </w:t>
      </w:r>
      <w:r>
        <w:rPr>
          <w:spacing w:val="-2"/>
        </w:rPr>
        <w:t>Egresso:</w:t>
      </w:r>
    </w:p>
    <w:p w:rsidR="007259F2" w:rsidRDefault="007259F2">
      <w:pPr>
        <w:pStyle w:val="Corpodetexto"/>
        <w:spacing w:before="1"/>
        <w:ind w:left="0" w:firstLine="0"/>
        <w:jc w:val="left"/>
      </w:pPr>
    </w:p>
    <w:p w:rsidR="007259F2" w:rsidRDefault="00E655B4">
      <w:pPr>
        <w:ind w:left="2978" w:right="991"/>
        <w:jc w:val="both"/>
        <w:rPr>
          <w:sz w:val="20"/>
        </w:rPr>
      </w:pPr>
      <w:r>
        <w:rPr>
          <w:sz w:val="20"/>
        </w:rPr>
        <w:t>Espera-se formar um estudante com pensamento crítico e atualizado com as principais questões teóricas e práticas da Advocacia Pública Municipal e do Direito Público Municipal em geral, apto a auxiliar os procuradores municipais em suas atribuições institucionais. (PPC)</w:t>
      </w:r>
    </w:p>
    <w:p w:rsidR="007259F2" w:rsidRDefault="00E655B4">
      <w:pPr>
        <w:pStyle w:val="Corpodetexto"/>
        <w:spacing w:before="229"/>
        <w:ind w:right="991"/>
      </w:pPr>
      <w:r>
        <w:t>Pode-se afirmar que o projeto do curso é integrador, isto é, interdisciplinar (MORAN, 2018), por conciliar</w:t>
      </w:r>
      <w:r>
        <w:rPr>
          <w:spacing w:val="-2"/>
        </w:rPr>
        <w:t xml:space="preserve"> </w:t>
      </w:r>
      <w:r>
        <w:t>conteúdos teóricos e</w:t>
      </w:r>
      <w:r>
        <w:rPr>
          <w:spacing w:val="-1"/>
        </w:rPr>
        <w:t xml:space="preserve"> </w:t>
      </w:r>
      <w:r>
        <w:t>práticos e relacioná-los no dia</w:t>
      </w:r>
      <w:r>
        <w:rPr>
          <w:spacing w:val="-1"/>
        </w:rPr>
        <w:t xml:space="preserve"> </w:t>
      </w:r>
      <w:r>
        <w:t>a</w:t>
      </w:r>
      <w:r>
        <w:rPr>
          <w:spacing w:val="-1"/>
        </w:rPr>
        <w:t xml:space="preserve"> </w:t>
      </w:r>
      <w:r>
        <w:t>dia do estudante supervisionado. O perfil do estudante egresso esperado mostra isso: é de um sujeito que interpola os conhecimentos teóricos na atuação prática. Há também uma temporalidade dupla implícita, pois ao mesmo tempo que se forma para a reflexão</w:t>
      </w:r>
      <w:r>
        <w:rPr>
          <w:spacing w:val="40"/>
        </w:rPr>
        <w:t xml:space="preserve"> </w:t>
      </w:r>
      <w:r>
        <w:t>crítica no presente, espera-se que os conhecimentos desenvolvidos na experiência da residência sejam úteis no futuro.</w:t>
      </w:r>
    </w:p>
    <w:p w:rsidR="007259F2" w:rsidRDefault="00E655B4">
      <w:pPr>
        <w:pStyle w:val="Corpodetexto"/>
        <w:ind w:right="993"/>
      </w:pPr>
      <w:r>
        <w:t>É possível verificar consonância dos objetivos do curso com a prática diária do residente. Em sua atuação, o residente deve: 1) acompanhar, visando a sua aprendizagem, as tarefas desenvolvidas pelos procuradores em seu dia a dia e; 2)</w:t>
      </w:r>
      <w:r>
        <w:rPr>
          <w:spacing w:val="40"/>
        </w:rPr>
        <w:t xml:space="preserve"> </w:t>
      </w:r>
      <w:r>
        <w:t>realizar as atividades do curso teórico, as quais envolvem a participação nas aulas assíncronas gravadas em vídeo, o acompanhamento do material de apoio, a resolução das atividades avaliativas e a descrição das atividades significativas observadas no acompanhamento diário.</w:t>
      </w:r>
    </w:p>
    <w:p w:rsidR="007259F2" w:rsidRDefault="00E655B4">
      <w:pPr>
        <w:pStyle w:val="Corpodetexto"/>
        <w:spacing w:before="1"/>
        <w:ind w:right="994"/>
      </w:pPr>
      <w:r>
        <w:t>Os residentes, ao acompanharem os procuradores que os supervisionam, são lotados em diferentes áreas da Prefeitura de São Paulo. Isso ocorre porque o trabalho desses procuradores se distribui em diferentes frentes do município, advogando em prol da administração pública. Os procuradores atuam como supervisores dos estudantes, proporcionando o acompanhamento do ambiente de trabalho durante seis horas nos dias úteis. Durante esse período, eles apresentam os recursos tecnológicos e burocráticos presentes em seu cotidiano.</w:t>
      </w:r>
    </w:p>
    <w:p w:rsidR="007259F2" w:rsidRDefault="00E655B4">
      <w:pPr>
        <w:pStyle w:val="Corpodetexto"/>
        <w:spacing w:before="1"/>
        <w:ind w:right="995"/>
      </w:pPr>
      <w:r>
        <w:t>É um trabalho no qual o procurador se especializa em uma determinada temática e</w:t>
      </w:r>
      <w:r>
        <w:rPr>
          <w:spacing w:val="24"/>
        </w:rPr>
        <w:t xml:space="preserve"> </w:t>
      </w:r>
      <w:r>
        <w:t>atua</w:t>
      </w:r>
      <w:r>
        <w:rPr>
          <w:spacing w:val="30"/>
        </w:rPr>
        <w:t xml:space="preserve"> </w:t>
      </w:r>
      <w:r>
        <w:t>sobre</w:t>
      </w:r>
      <w:r>
        <w:rPr>
          <w:spacing w:val="28"/>
        </w:rPr>
        <w:t xml:space="preserve"> </w:t>
      </w:r>
      <w:r>
        <w:t>ela.</w:t>
      </w:r>
      <w:r>
        <w:rPr>
          <w:spacing w:val="32"/>
        </w:rPr>
        <w:t xml:space="preserve"> </w:t>
      </w:r>
      <w:r>
        <w:t>Isso</w:t>
      </w:r>
      <w:r>
        <w:rPr>
          <w:spacing w:val="28"/>
        </w:rPr>
        <w:t xml:space="preserve"> </w:t>
      </w:r>
      <w:r>
        <w:t>proporciona</w:t>
      </w:r>
      <w:r>
        <w:rPr>
          <w:spacing w:val="30"/>
        </w:rPr>
        <w:t xml:space="preserve"> </w:t>
      </w:r>
      <w:r>
        <w:t>a</w:t>
      </w:r>
      <w:r>
        <w:rPr>
          <w:spacing w:val="26"/>
        </w:rPr>
        <w:t xml:space="preserve"> </w:t>
      </w:r>
      <w:r>
        <w:t>oportunidade</w:t>
      </w:r>
      <w:r>
        <w:rPr>
          <w:spacing w:val="27"/>
        </w:rPr>
        <w:t xml:space="preserve"> </w:t>
      </w:r>
      <w:r>
        <w:t>ao</w:t>
      </w:r>
      <w:r>
        <w:rPr>
          <w:spacing w:val="29"/>
        </w:rPr>
        <w:t xml:space="preserve"> </w:t>
      </w:r>
      <w:r>
        <w:t>residente</w:t>
      </w:r>
      <w:r>
        <w:rPr>
          <w:spacing w:val="27"/>
        </w:rPr>
        <w:t xml:space="preserve"> </w:t>
      </w:r>
      <w:r>
        <w:t>de</w:t>
      </w:r>
      <w:r>
        <w:rPr>
          <w:spacing w:val="28"/>
        </w:rPr>
        <w:t xml:space="preserve"> </w:t>
      </w:r>
      <w:r>
        <w:t>observar</w:t>
      </w:r>
      <w:r>
        <w:rPr>
          <w:spacing w:val="27"/>
        </w:rPr>
        <w:t xml:space="preserve"> </w:t>
      </w:r>
      <w:r>
        <w:t>o</w:t>
      </w:r>
      <w:r>
        <w:rPr>
          <w:spacing w:val="30"/>
        </w:rPr>
        <w:t xml:space="preserve"> </w:t>
      </w:r>
      <w:r>
        <w:rPr>
          <w:spacing w:val="-2"/>
        </w:rPr>
        <w:t>trabalho</w:t>
      </w:r>
    </w:p>
    <w:p w:rsidR="007259F2" w:rsidRDefault="007259F2">
      <w:pPr>
        <w:pStyle w:val="Corpodetexto"/>
        <w:sectPr w:rsidR="007259F2">
          <w:pgSz w:w="11910" w:h="16840"/>
          <w:pgMar w:top="1320" w:right="708" w:bottom="1160" w:left="992" w:header="0" w:footer="962" w:gutter="0"/>
          <w:cols w:space="720"/>
        </w:sectPr>
      </w:pPr>
    </w:p>
    <w:p w:rsidR="007259F2" w:rsidRDefault="00E655B4">
      <w:pPr>
        <w:pStyle w:val="Corpodetexto"/>
        <w:spacing w:before="69"/>
        <w:ind w:right="992" w:firstLine="0"/>
      </w:pPr>
      <w:r>
        <w:lastRenderedPageBreak/>
        <w:t>deste</w:t>
      </w:r>
      <w:r>
        <w:rPr>
          <w:spacing w:val="-4"/>
        </w:rPr>
        <w:t xml:space="preserve"> </w:t>
      </w:r>
      <w:r>
        <w:t>especialista.</w:t>
      </w:r>
      <w:r>
        <w:rPr>
          <w:spacing w:val="-4"/>
        </w:rPr>
        <w:t xml:space="preserve"> </w:t>
      </w:r>
      <w:r>
        <w:t>Enquanto</w:t>
      </w:r>
      <w:r>
        <w:rPr>
          <w:spacing w:val="-4"/>
        </w:rPr>
        <w:t xml:space="preserve"> </w:t>
      </w:r>
      <w:r>
        <w:t>grupo,</w:t>
      </w:r>
      <w:r>
        <w:rPr>
          <w:spacing w:val="-3"/>
        </w:rPr>
        <w:t xml:space="preserve"> </w:t>
      </w:r>
      <w:r>
        <w:t>os</w:t>
      </w:r>
      <w:r>
        <w:rPr>
          <w:spacing w:val="-4"/>
        </w:rPr>
        <w:t xml:space="preserve"> </w:t>
      </w:r>
      <w:r>
        <w:t>residentes</w:t>
      </w:r>
      <w:r>
        <w:rPr>
          <w:spacing w:val="-3"/>
        </w:rPr>
        <w:t xml:space="preserve"> </w:t>
      </w:r>
      <w:r>
        <w:t>adquirem</w:t>
      </w:r>
      <w:r>
        <w:rPr>
          <w:spacing w:val="-4"/>
        </w:rPr>
        <w:t xml:space="preserve"> </w:t>
      </w:r>
      <w:r>
        <w:t>conhecimento</w:t>
      </w:r>
      <w:r>
        <w:rPr>
          <w:spacing w:val="-4"/>
        </w:rPr>
        <w:t xml:space="preserve"> </w:t>
      </w:r>
      <w:r>
        <w:t>sobre</w:t>
      </w:r>
      <w:r>
        <w:rPr>
          <w:spacing w:val="-6"/>
        </w:rPr>
        <w:t xml:space="preserve"> </w:t>
      </w:r>
      <w:r>
        <w:t xml:space="preserve">variados temas, porém concentram-se em compreender a atuação da procuradoria de forma </w:t>
      </w:r>
      <w:r>
        <w:rPr>
          <w:spacing w:val="-2"/>
        </w:rPr>
        <w:t>homogênea.</w:t>
      </w:r>
    </w:p>
    <w:p w:rsidR="007259F2" w:rsidRDefault="00E655B4">
      <w:pPr>
        <w:pStyle w:val="Corpodetexto"/>
        <w:spacing w:before="1"/>
        <w:ind w:right="992"/>
      </w:pPr>
      <w:r>
        <w:t>Ao final de cada trimestre, os residentes devem submeter relatórios sobre três atividades acompanhadas que foram significativas para sua formação, a partir de seus próprios interesses. Tais relatórios são enviados via AVA e avaliados pelos</w:t>
      </w:r>
      <w:r>
        <w:rPr>
          <w:spacing w:val="80"/>
        </w:rPr>
        <w:t xml:space="preserve"> </w:t>
      </w:r>
      <w:r>
        <w:t>profissionais da equipe CEJUR/ESDPM. No relatório, são abordadas duas questões específicas: a) “Descrição sucinta das atividades desenvolvidas” e b) “Avaliação dos objetivos do programa (destacar</w:t>
      </w:r>
      <w:r>
        <w:rPr>
          <w:spacing w:val="-1"/>
        </w:rPr>
        <w:t xml:space="preserve"> </w:t>
      </w:r>
      <w:r>
        <w:t xml:space="preserve">alguns conhecimentos teóricos e práticos adquiridos no seu dia a dia e a forma como eles têm contribuído para aprimorar sua formação na </w:t>
      </w:r>
      <w:r>
        <w:rPr>
          <w:spacing w:val="-2"/>
        </w:rPr>
        <w:t>graduação)”.</w:t>
      </w:r>
    </w:p>
    <w:p w:rsidR="007259F2" w:rsidRDefault="00E655B4">
      <w:pPr>
        <w:pStyle w:val="Corpodetexto"/>
        <w:ind w:right="989"/>
      </w:pPr>
      <w:r>
        <w:t>Ao</w:t>
      </w:r>
      <w:r>
        <w:rPr>
          <w:spacing w:val="-2"/>
        </w:rPr>
        <w:t xml:space="preserve"> </w:t>
      </w:r>
      <w:r>
        <w:t>finalizar</w:t>
      </w:r>
      <w:r>
        <w:rPr>
          <w:spacing w:val="-2"/>
        </w:rPr>
        <w:t xml:space="preserve"> </w:t>
      </w:r>
      <w:r>
        <w:t>o</w:t>
      </w:r>
      <w:r>
        <w:rPr>
          <w:spacing w:val="-2"/>
        </w:rPr>
        <w:t xml:space="preserve"> </w:t>
      </w:r>
      <w:r>
        <w:t>curso</w:t>
      </w:r>
      <w:r>
        <w:rPr>
          <w:spacing w:val="-2"/>
        </w:rPr>
        <w:t xml:space="preserve"> </w:t>
      </w:r>
      <w:r>
        <w:t>teórico</w:t>
      </w:r>
      <w:r>
        <w:rPr>
          <w:spacing w:val="-1"/>
        </w:rPr>
        <w:t xml:space="preserve"> </w:t>
      </w:r>
      <w:r>
        <w:t>–</w:t>
      </w:r>
      <w:r>
        <w:rPr>
          <w:spacing w:val="-2"/>
        </w:rPr>
        <w:t xml:space="preserve"> </w:t>
      </w:r>
      <w:r>
        <w:t>que</w:t>
      </w:r>
      <w:r>
        <w:rPr>
          <w:spacing w:val="-3"/>
        </w:rPr>
        <w:t xml:space="preserve"> </w:t>
      </w:r>
      <w:r>
        <w:t>tem a</w:t>
      </w:r>
      <w:r>
        <w:rPr>
          <w:spacing w:val="-3"/>
        </w:rPr>
        <w:t xml:space="preserve"> </w:t>
      </w:r>
      <w:r>
        <w:t>duração</w:t>
      </w:r>
      <w:r>
        <w:rPr>
          <w:spacing w:val="-2"/>
        </w:rPr>
        <w:t xml:space="preserve"> </w:t>
      </w:r>
      <w:r>
        <w:t>de</w:t>
      </w:r>
      <w:r>
        <w:rPr>
          <w:spacing w:val="-3"/>
        </w:rPr>
        <w:t xml:space="preserve"> </w:t>
      </w:r>
      <w:r>
        <w:t>três</w:t>
      </w:r>
      <w:r>
        <w:rPr>
          <w:spacing w:val="-2"/>
        </w:rPr>
        <w:t xml:space="preserve"> </w:t>
      </w:r>
      <w:r>
        <w:t>semestres –</w:t>
      </w:r>
      <w:r>
        <w:rPr>
          <w:spacing w:val="-2"/>
        </w:rPr>
        <w:t xml:space="preserve"> </w:t>
      </w:r>
      <w:r>
        <w:t>os</w:t>
      </w:r>
      <w:r>
        <w:rPr>
          <w:spacing w:val="-2"/>
        </w:rPr>
        <w:t xml:space="preserve"> </w:t>
      </w:r>
      <w:r>
        <w:t>residentes ingressam na fase de desenvolvimento de suas monografias. Nesse estágio, eles escolhem tema e orientador, podendo selecionar qualquer procurador do município. Cabe ao procurador aceitar ou recusar a orientação.</w:t>
      </w:r>
    </w:p>
    <w:p w:rsidR="007259F2" w:rsidRDefault="00E655B4">
      <w:pPr>
        <w:pStyle w:val="Corpodetexto"/>
        <w:spacing w:before="1"/>
        <w:ind w:right="990"/>
      </w:pPr>
      <w:r>
        <w:t>Segundo o “Regulamento da Monografia”, o artigo científico deve versar sobre temas diretamente vinculados às disciplinas que compõem a grade curricular do curso “Teoria e Prática da Advocacia Pública Municipal”. A avaliação do artigo considera a capacidade de argumentação jurídica do residente, a estruturação lógica do trabalho, a relevância e pertinência na escolha do tema, o adequado emprego gramatical, a observância dos critérios formais estabelecidos e a entrega no prazo estipulado. São especialmente valorizados os trabalhos que tragam reflexões sobre inovações, desafios, boas práticas e soluções afetas à realidade do Município de São Paulo (arts. 6º a 8º).</w:t>
      </w:r>
    </w:p>
    <w:p w:rsidR="007259F2" w:rsidRDefault="00E655B4">
      <w:pPr>
        <w:pStyle w:val="Corpodetexto"/>
        <w:ind w:right="990"/>
      </w:pPr>
      <w:r>
        <w:t>A produção de conteúdo jurídico escrito consiste na elaboração de estudo de</w:t>
      </w:r>
      <w:r>
        <w:rPr>
          <w:spacing w:val="40"/>
        </w:rPr>
        <w:t xml:space="preserve"> </w:t>
      </w:r>
      <w:r>
        <w:t>caso com temas diretamente vinculados às disciplinas que compõem a grade curricular do curso de “Teoria e Prática da Advocacia Pública Municipal”, ou na redação de um fichamento de uma das aulas dos núcleos disponíveis no AVA do mesmo curso. O estudo</w:t>
      </w:r>
      <w:r>
        <w:rPr>
          <w:spacing w:val="-2"/>
        </w:rPr>
        <w:t xml:space="preserve"> </w:t>
      </w:r>
      <w:r>
        <w:t>de</w:t>
      </w:r>
      <w:r>
        <w:rPr>
          <w:spacing w:val="-3"/>
        </w:rPr>
        <w:t xml:space="preserve"> </w:t>
      </w:r>
      <w:r>
        <w:t>caso</w:t>
      </w:r>
      <w:r>
        <w:rPr>
          <w:spacing w:val="-2"/>
        </w:rPr>
        <w:t xml:space="preserve"> </w:t>
      </w:r>
      <w:r>
        <w:t>tem</w:t>
      </w:r>
      <w:r>
        <w:rPr>
          <w:spacing w:val="-2"/>
        </w:rPr>
        <w:t xml:space="preserve"> </w:t>
      </w:r>
      <w:r>
        <w:t>validade</w:t>
      </w:r>
      <w:r>
        <w:rPr>
          <w:spacing w:val="-3"/>
        </w:rPr>
        <w:t xml:space="preserve"> </w:t>
      </w:r>
      <w:r>
        <w:t>de</w:t>
      </w:r>
      <w:r>
        <w:rPr>
          <w:spacing w:val="-1"/>
        </w:rPr>
        <w:t xml:space="preserve"> </w:t>
      </w:r>
      <w:r>
        <w:t>Monografia</w:t>
      </w:r>
      <w:r>
        <w:rPr>
          <w:spacing w:val="-4"/>
        </w:rPr>
        <w:t xml:space="preserve"> </w:t>
      </w:r>
      <w:r>
        <w:t>para</w:t>
      </w:r>
      <w:r>
        <w:rPr>
          <w:spacing w:val="-2"/>
        </w:rPr>
        <w:t xml:space="preserve"> </w:t>
      </w:r>
      <w:r>
        <w:t>os</w:t>
      </w:r>
      <w:r>
        <w:rPr>
          <w:spacing w:val="-2"/>
        </w:rPr>
        <w:t xml:space="preserve"> </w:t>
      </w:r>
      <w:r>
        <w:t>Residentes</w:t>
      </w:r>
      <w:r>
        <w:rPr>
          <w:spacing w:val="-2"/>
        </w:rPr>
        <w:t xml:space="preserve"> </w:t>
      </w:r>
      <w:r>
        <w:t>que</w:t>
      </w:r>
      <w:r>
        <w:rPr>
          <w:spacing w:val="-4"/>
        </w:rPr>
        <w:t xml:space="preserve"> </w:t>
      </w:r>
      <w:r>
        <w:t>optarem</w:t>
      </w:r>
      <w:r>
        <w:rPr>
          <w:spacing w:val="-2"/>
        </w:rPr>
        <w:t xml:space="preserve"> </w:t>
      </w:r>
      <w:r>
        <w:t>por</w:t>
      </w:r>
      <w:r>
        <w:rPr>
          <w:spacing w:val="-2"/>
        </w:rPr>
        <w:t xml:space="preserve"> </w:t>
      </w:r>
      <w:r>
        <w:t>elaborá- lo, enquanto o fichamento das aulas é facultativo e complementar à entrega do artigo ou do estudo de caso (art. 12)</w:t>
      </w:r>
    </w:p>
    <w:p w:rsidR="007259F2" w:rsidRDefault="00E655B4">
      <w:pPr>
        <w:pStyle w:val="Corpodetexto"/>
        <w:ind w:right="991"/>
      </w:pPr>
      <w:r>
        <w:t>A produção de estudo de caso pelo próprio residente, simulando questões complexas e assumindo a posição imaginária de “Procurador Municipal”, representa uma forma de aprendizagem das mais abrangentes. Esse processo demanda conhecimento teórico, habilidade para a advocacia pública e imaginação criativa. Além disso, indiretamente, prepara o residente para a docência, na árdua tarefa do professor- conteudista. A crítica ao problema, desenvolvida pelo estudante, é avaliada pelo orientador e pode ser aperfeiçoada para um modelo final construído em conjunto. Esse método supera com vantagem o tradicional modelo no qual o professor apresenta o estudo de caso e avalia o aluno com base em sua resposta.</w:t>
      </w:r>
    </w:p>
    <w:p w:rsidR="007259F2" w:rsidRDefault="00E655B4">
      <w:pPr>
        <w:pStyle w:val="Corpodetexto"/>
        <w:spacing w:before="1"/>
        <w:ind w:right="990"/>
      </w:pPr>
      <w:r>
        <w:t>O fichamento das aulas do curso de “Teoria e Prática de Advocacia Pública Municipal”</w:t>
      </w:r>
      <w:r>
        <w:rPr>
          <w:spacing w:val="-1"/>
        </w:rPr>
        <w:t xml:space="preserve"> </w:t>
      </w:r>
      <w:r>
        <w:t>envolve a elaboração de um resumo conciso e</w:t>
      </w:r>
      <w:r>
        <w:rPr>
          <w:spacing w:val="-1"/>
        </w:rPr>
        <w:t xml:space="preserve"> </w:t>
      </w:r>
      <w:r>
        <w:t>direto dos aspectos essenciais abordados na aula. Essa atividade é facultativa e funciona como complemento à entrega do artigo ou estudo de caso, sendo atribuído 1,0 (um) ponto na média da monografia do Residente</w:t>
      </w:r>
      <w:r>
        <w:rPr>
          <w:spacing w:val="-1"/>
        </w:rPr>
        <w:t xml:space="preserve"> </w:t>
      </w:r>
      <w:r>
        <w:t>que entregar</w:t>
      </w:r>
      <w:r>
        <w:rPr>
          <w:spacing w:val="-1"/>
        </w:rPr>
        <w:t xml:space="preserve"> </w:t>
      </w:r>
      <w:r>
        <w:t>o fichamento de</w:t>
      </w:r>
      <w:r>
        <w:rPr>
          <w:spacing w:val="-1"/>
        </w:rPr>
        <w:t xml:space="preserve"> </w:t>
      </w:r>
      <w:r>
        <w:t>pelo menos uma</w:t>
      </w:r>
      <w:r>
        <w:rPr>
          <w:spacing w:val="-1"/>
        </w:rPr>
        <w:t xml:space="preserve"> </w:t>
      </w:r>
      <w:r>
        <w:t>aula completa. Os objetivos do fichamento incluem auxiliar o Residente a assimilar o conteúdo do curso de “Teoria e Prática da Advocacia Pública Municipal”, aprimorar a capacidade de expor conceitos e ideias de forma objetiva, desenvolver a habilidade de destacar os pontos principais da aula e criar um material escrito otimizado para revisão das matérias (art. 39).</w:t>
      </w:r>
    </w:p>
    <w:p w:rsidR="007259F2" w:rsidRDefault="00E655B4">
      <w:pPr>
        <w:pStyle w:val="Corpodetexto"/>
        <w:spacing w:before="1"/>
        <w:ind w:right="993"/>
      </w:pPr>
      <w:r>
        <w:t>Todas essas formas de reforço do aprendizado, por meio da produção científica ou</w:t>
      </w:r>
      <w:r>
        <w:rPr>
          <w:spacing w:val="13"/>
        </w:rPr>
        <w:t xml:space="preserve"> </w:t>
      </w:r>
      <w:r>
        <w:t>de</w:t>
      </w:r>
      <w:r>
        <w:rPr>
          <w:spacing w:val="18"/>
        </w:rPr>
        <w:t xml:space="preserve"> </w:t>
      </w:r>
      <w:r>
        <w:t>conteúdo</w:t>
      </w:r>
      <w:r>
        <w:rPr>
          <w:spacing w:val="16"/>
        </w:rPr>
        <w:t xml:space="preserve"> </w:t>
      </w:r>
      <w:r>
        <w:t>pelos</w:t>
      </w:r>
      <w:r>
        <w:rPr>
          <w:spacing w:val="17"/>
        </w:rPr>
        <w:t xml:space="preserve"> </w:t>
      </w:r>
      <w:r>
        <w:t>próprios</w:t>
      </w:r>
      <w:r>
        <w:rPr>
          <w:spacing w:val="16"/>
        </w:rPr>
        <w:t xml:space="preserve"> </w:t>
      </w:r>
      <w:r>
        <w:t>residentes,</w:t>
      </w:r>
      <w:r>
        <w:rPr>
          <w:spacing w:val="18"/>
        </w:rPr>
        <w:t xml:space="preserve"> </w:t>
      </w:r>
      <w:r>
        <w:t>cada</w:t>
      </w:r>
      <w:r>
        <w:rPr>
          <w:spacing w:val="16"/>
        </w:rPr>
        <w:t xml:space="preserve"> </w:t>
      </w:r>
      <w:r>
        <w:t>qual</w:t>
      </w:r>
      <w:r>
        <w:rPr>
          <w:spacing w:val="17"/>
        </w:rPr>
        <w:t xml:space="preserve"> </w:t>
      </w:r>
      <w:r>
        <w:t>em</w:t>
      </w:r>
      <w:r>
        <w:rPr>
          <w:spacing w:val="17"/>
        </w:rPr>
        <w:t xml:space="preserve"> </w:t>
      </w:r>
      <w:r>
        <w:t>sua</w:t>
      </w:r>
      <w:r>
        <w:rPr>
          <w:spacing w:val="15"/>
        </w:rPr>
        <w:t xml:space="preserve"> </w:t>
      </w:r>
      <w:r>
        <w:t>medida</w:t>
      </w:r>
      <w:r>
        <w:rPr>
          <w:spacing w:val="17"/>
        </w:rPr>
        <w:t xml:space="preserve"> </w:t>
      </w:r>
      <w:r>
        <w:t>e</w:t>
      </w:r>
      <w:r>
        <w:rPr>
          <w:spacing w:val="20"/>
        </w:rPr>
        <w:t xml:space="preserve"> </w:t>
      </w:r>
      <w:r>
        <w:t>grau,</w:t>
      </w:r>
      <w:r>
        <w:rPr>
          <w:spacing w:val="16"/>
        </w:rPr>
        <w:t xml:space="preserve"> </w:t>
      </w:r>
      <w:r>
        <w:rPr>
          <w:spacing w:val="-2"/>
        </w:rPr>
        <w:t>constituem</w:t>
      </w:r>
    </w:p>
    <w:p w:rsidR="007259F2" w:rsidRDefault="007259F2">
      <w:pPr>
        <w:pStyle w:val="Corpodetexto"/>
        <w:sectPr w:rsidR="007259F2">
          <w:pgSz w:w="11910" w:h="16840"/>
          <w:pgMar w:top="1320" w:right="708" w:bottom="1160" w:left="992" w:header="0" w:footer="962" w:gutter="0"/>
          <w:cols w:space="720"/>
        </w:sectPr>
      </w:pPr>
    </w:p>
    <w:p w:rsidR="007259F2" w:rsidRDefault="00E655B4">
      <w:pPr>
        <w:pStyle w:val="Corpodetexto"/>
        <w:spacing w:before="69"/>
        <w:ind w:right="989" w:firstLine="0"/>
      </w:pPr>
      <w:r>
        <w:lastRenderedPageBreak/>
        <w:t>estratégias pedagógicas de reforço do conteúdo ministrado no curso. O foco recai no questionamento, na experimentação e na autonomia. A ideia é estabelecer uma relação entre atividade e reflexão, colocando o aluno como sujeito-aprendente no contexto educacional e fomentando sua autonomia, criatividade e capacidade de resolver problemas práticos do dia a dia.</w:t>
      </w:r>
    </w:p>
    <w:p w:rsidR="007259F2" w:rsidRDefault="00E655B4">
      <w:pPr>
        <w:pStyle w:val="Corpodetexto"/>
        <w:spacing w:before="1"/>
        <w:ind w:right="991"/>
      </w:pPr>
      <w:r>
        <w:t>Como observado, se a Aprendizagem</w:t>
      </w:r>
      <w:r>
        <w:rPr>
          <w:spacing w:val="-1"/>
        </w:rPr>
        <w:t xml:space="preserve"> </w:t>
      </w:r>
      <w:r>
        <w:t>Ativa e as Metodologias Ativas buscam o desenvolvimento de conhecimentos a partir da interlocução entre saberes teóricos e práticos, o programa de residência jurídica é um terreno propício para a implementação dessas estratégias. No contexto do programa de residência jurídica da PGM/SP, essa abordagem</w:t>
      </w:r>
      <w:r>
        <w:rPr>
          <w:spacing w:val="-1"/>
        </w:rPr>
        <w:t xml:space="preserve"> </w:t>
      </w:r>
      <w:r>
        <w:t>se</w:t>
      </w:r>
      <w:r>
        <w:rPr>
          <w:spacing w:val="-2"/>
        </w:rPr>
        <w:t xml:space="preserve"> </w:t>
      </w:r>
      <w:r>
        <w:t>materializa</w:t>
      </w:r>
      <w:r>
        <w:rPr>
          <w:spacing w:val="-2"/>
        </w:rPr>
        <w:t xml:space="preserve"> </w:t>
      </w:r>
      <w:r>
        <w:t>por</w:t>
      </w:r>
      <w:r>
        <w:rPr>
          <w:spacing w:val="-2"/>
        </w:rPr>
        <w:t xml:space="preserve"> </w:t>
      </w:r>
      <w:r>
        <w:t>meio</w:t>
      </w:r>
      <w:r>
        <w:rPr>
          <w:spacing w:val="-1"/>
        </w:rPr>
        <w:t xml:space="preserve"> </w:t>
      </w:r>
      <w:r>
        <w:t>da</w:t>
      </w:r>
      <w:r>
        <w:rPr>
          <w:spacing w:val="-2"/>
        </w:rPr>
        <w:t xml:space="preserve"> </w:t>
      </w:r>
      <w:r>
        <w:t>apropriação dos</w:t>
      </w:r>
      <w:r>
        <w:rPr>
          <w:spacing w:val="-1"/>
        </w:rPr>
        <w:t xml:space="preserve"> </w:t>
      </w:r>
      <w:r>
        <w:t>saberes</w:t>
      </w:r>
      <w:r>
        <w:rPr>
          <w:spacing w:val="-1"/>
        </w:rPr>
        <w:t xml:space="preserve"> </w:t>
      </w:r>
      <w:r>
        <w:t>do</w:t>
      </w:r>
      <w:r>
        <w:rPr>
          <w:spacing w:val="-1"/>
        </w:rPr>
        <w:t xml:space="preserve"> </w:t>
      </w:r>
      <w:r>
        <w:t>mundo</w:t>
      </w:r>
      <w:r>
        <w:rPr>
          <w:spacing w:val="-1"/>
        </w:rPr>
        <w:t xml:space="preserve"> </w:t>
      </w:r>
      <w:r>
        <w:t>do</w:t>
      </w:r>
      <w:r>
        <w:rPr>
          <w:spacing w:val="-1"/>
        </w:rPr>
        <w:t xml:space="preserve"> </w:t>
      </w:r>
      <w:r>
        <w:t>trabalho</w:t>
      </w:r>
      <w:r>
        <w:rPr>
          <w:spacing w:val="-1"/>
        </w:rPr>
        <w:t xml:space="preserve"> </w:t>
      </w:r>
      <w:r>
        <w:t>do advogado público e outras funções próximas. Do egresso, espera-se uma compreensão da complexidade dos problemas que afetam a máquina pública nos dias atuais e o domínio das ferramentas necessárias para solucioná-los.</w:t>
      </w:r>
    </w:p>
    <w:p w:rsidR="007259F2" w:rsidRDefault="00E655B4">
      <w:pPr>
        <w:pStyle w:val="Heading2"/>
        <w:numPr>
          <w:ilvl w:val="0"/>
          <w:numId w:val="6"/>
        </w:numPr>
        <w:tabs>
          <w:tab w:val="left" w:pos="950"/>
        </w:tabs>
        <w:ind w:left="950" w:hanging="240"/>
        <w:jc w:val="both"/>
      </w:pPr>
      <w:r>
        <w:t>Considerações</w:t>
      </w:r>
      <w:r>
        <w:rPr>
          <w:spacing w:val="-3"/>
        </w:rPr>
        <w:t xml:space="preserve"> </w:t>
      </w:r>
      <w:r>
        <w:rPr>
          <w:spacing w:val="-2"/>
        </w:rPr>
        <w:t>finais</w:t>
      </w:r>
    </w:p>
    <w:p w:rsidR="007259F2" w:rsidRDefault="00E655B4">
      <w:pPr>
        <w:pStyle w:val="Corpodetexto"/>
        <w:spacing w:before="115"/>
        <w:ind w:right="991"/>
      </w:pPr>
      <w:r>
        <w:t>O objetivo principal deste artigo foi descrever o caso do curso “Teoria e Prática da Advocacia Pública Municipal” da Procuradoria Geral do Município de São Paulo na modalidade</w:t>
      </w:r>
      <w:r>
        <w:rPr>
          <w:spacing w:val="-3"/>
        </w:rPr>
        <w:t xml:space="preserve"> </w:t>
      </w:r>
      <w:r>
        <w:t>de</w:t>
      </w:r>
      <w:r>
        <w:rPr>
          <w:spacing w:val="-2"/>
        </w:rPr>
        <w:t xml:space="preserve"> </w:t>
      </w:r>
      <w:r>
        <w:t>Residência Jurídica.</w:t>
      </w:r>
      <w:r>
        <w:rPr>
          <w:spacing w:val="-1"/>
        </w:rPr>
        <w:t xml:space="preserve"> </w:t>
      </w:r>
      <w:r>
        <w:t>O</w:t>
      </w:r>
      <w:r>
        <w:rPr>
          <w:spacing w:val="-2"/>
        </w:rPr>
        <w:t xml:space="preserve"> </w:t>
      </w:r>
      <w:r>
        <w:t>método</w:t>
      </w:r>
      <w:r>
        <w:rPr>
          <w:spacing w:val="-1"/>
        </w:rPr>
        <w:t xml:space="preserve"> </w:t>
      </w:r>
      <w:r>
        <w:t>descritivo</w:t>
      </w:r>
      <w:r>
        <w:rPr>
          <w:spacing w:val="-1"/>
        </w:rPr>
        <w:t xml:space="preserve"> </w:t>
      </w:r>
      <w:r>
        <w:t>foi</w:t>
      </w:r>
      <w:r>
        <w:rPr>
          <w:spacing w:val="-2"/>
        </w:rPr>
        <w:t xml:space="preserve"> </w:t>
      </w:r>
      <w:r>
        <w:t>escolhido</w:t>
      </w:r>
      <w:r>
        <w:rPr>
          <w:spacing w:val="-1"/>
        </w:rPr>
        <w:t xml:space="preserve"> </w:t>
      </w:r>
      <w:r>
        <w:t>devido</w:t>
      </w:r>
      <w:r>
        <w:rPr>
          <w:spacing w:val="-1"/>
        </w:rPr>
        <w:t xml:space="preserve"> </w:t>
      </w:r>
      <w:r>
        <w:t>à</w:t>
      </w:r>
      <w:r>
        <w:rPr>
          <w:spacing w:val="-2"/>
        </w:rPr>
        <w:t xml:space="preserve"> </w:t>
      </w:r>
      <w:r>
        <w:t>escassez de</w:t>
      </w:r>
      <w:r>
        <w:rPr>
          <w:spacing w:val="-1"/>
        </w:rPr>
        <w:t xml:space="preserve"> </w:t>
      </w:r>
      <w:r>
        <w:t>literatura</w:t>
      </w:r>
      <w:r>
        <w:rPr>
          <w:spacing w:val="-1"/>
        </w:rPr>
        <w:t xml:space="preserve"> </w:t>
      </w:r>
      <w:r>
        <w:t>encontrada, fazendo-se</w:t>
      </w:r>
      <w:r>
        <w:rPr>
          <w:spacing w:val="-1"/>
        </w:rPr>
        <w:t xml:space="preserve"> </w:t>
      </w:r>
      <w:r>
        <w:t>necessários esclarecimentos iniciais sobre</w:t>
      </w:r>
      <w:r>
        <w:rPr>
          <w:spacing w:val="-1"/>
        </w:rPr>
        <w:t xml:space="preserve"> </w:t>
      </w:r>
      <w:r>
        <w:t>o modelo de Residência Jurídica, sua diferenciação de outras residências, do trabalho e de programas de estágio.</w:t>
      </w:r>
    </w:p>
    <w:p w:rsidR="007259F2" w:rsidRDefault="00E655B4">
      <w:pPr>
        <w:pStyle w:val="Corpodetexto"/>
        <w:ind w:right="989"/>
      </w:pPr>
      <w:r>
        <w:t xml:space="preserve">Foram utilizadas fontes documentais que demonstram questões didáticas relacionadas à atuação dos estudantes em duas esferas distintas - teórica e prática - no curso online através do AVA e no acompanhamento do trabalho de procuradores em suas atividades diárias em diferentes postos no Município de São Paulo, </w:t>
      </w:r>
      <w:r>
        <w:rPr>
          <w:spacing w:val="-2"/>
        </w:rPr>
        <w:t>respectivamente.</w:t>
      </w:r>
    </w:p>
    <w:p w:rsidR="007259F2" w:rsidRDefault="00E655B4">
      <w:pPr>
        <w:pStyle w:val="Corpodetexto"/>
        <w:spacing w:before="1"/>
        <w:ind w:right="988"/>
      </w:pPr>
      <w:r>
        <w:t>O eixo central da discussão está pautado nas Metodologias Ativas de Aprendizagem e na Aprendizagem Ativa dos estudantes. Entende-se que essas características dependem de uma relação de ensino-aprendizagem inovadora e diferenciada de modelos tradicionais. Tanto a instituição quanto seus estudantes necessitam agir em direção a uma educação que vá além da tradicional escuta em sala</w:t>
      </w:r>
      <w:r>
        <w:rPr>
          <w:spacing w:val="40"/>
        </w:rPr>
        <w:t xml:space="preserve"> </w:t>
      </w:r>
      <w:r>
        <w:t>de aula, ampliando as formas de aprendizado.</w:t>
      </w:r>
    </w:p>
    <w:p w:rsidR="007259F2" w:rsidRDefault="00E655B4">
      <w:pPr>
        <w:pStyle w:val="Corpodetexto"/>
        <w:ind w:right="993"/>
      </w:pPr>
      <w:r>
        <w:t>Por parte da instituição,</w:t>
      </w:r>
      <w:r>
        <w:rPr>
          <w:spacing w:val="-1"/>
        </w:rPr>
        <w:t xml:space="preserve"> </w:t>
      </w:r>
      <w:r>
        <w:t>cabe centralizar o estudante em seu processo e estimular suas ações, criando o caminho adequado para uma Aprendizagem Ativa. O CEJUR/ESDPM</w:t>
      </w:r>
      <w:r>
        <w:rPr>
          <w:spacing w:val="-3"/>
        </w:rPr>
        <w:t xml:space="preserve"> </w:t>
      </w:r>
      <w:r>
        <w:t>age</w:t>
      </w:r>
      <w:r>
        <w:rPr>
          <w:spacing w:val="-4"/>
        </w:rPr>
        <w:t xml:space="preserve"> </w:t>
      </w:r>
      <w:r>
        <w:t>de</w:t>
      </w:r>
      <w:r>
        <w:rPr>
          <w:spacing w:val="-4"/>
        </w:rPr>
        <w:t xml:space="preserve"> </w:t>
      </w:r>
      <w:r>
        <w:t>forma</w:t>
      </w:r>
      <w:r>
        <w:rPr>
          <w:spacing w:val="-3"/>
        </w:rPr>
        <w:t xml:space="preserve"> </w:t>
      </w:r>
      <w:r>
        <w:t>a</w:t>
      </w:r>
      <w:r>
        <w:rPr>
          <w:spacing w:val="-5"/>
        </w:rPr>
        <w:t xml:space="preserve"> </w:t>
      </w:r>
      <w:r>
        <w:t>criar</w:t>
      </w:r>
      <w:r>
        <w:rPr>
          <w:spacing w:val="-3"/>
        </w:rPr>
        <w:t xml:space="preserve"> </w:t>
      </w:r>
      <w:r>
        <w:t>mecanismos</w:t>
      </w:r>
      <w:r>
        <w:rPr>
          <w:spacing w:val="-1"/>
        </w:rPr>
        <w:t xml:space="preserve"> </w:t>
      </w:r>
      <w:r>
        <w:t>de</w:t>
      </w:r>
      <w:r>
        <w:rPr>
          <w:spacing w:val="-4"/>
        </w:rPr>
        <w:t xml:space="preserve"> </w:t>
      </w:r>
      <w:r>
        <w:t>aprendizagem</w:t>
      </w:r>
      <w:r>
        <w:rPr>
          <w:spacing w:val="-3"/>
        </w:rPr>
        <w:t xml:space="preserve"> </w:t>
      </w:r>
      <w:r>
        <w:t>nas</w:t>
      </w:r>
      <w:r>
        <w:rPr>
          <w:spacing w:val="-3"/>
        </w:rPr>
        <w:t xml:space="preserve"> </w:t>
      </w:r>
      <w:r>
        <w:t>esferas</w:t>
      </w:r>
      <w:r>
        <w:rPr>
          <w:spacing w:val="-3"/>
        </w:rPr>
        <w:t xml:space="preserve"> </w:t>
      </w:r>
      <w:r>
        <w:t>teórica</w:t>
      </w:r>
      <w:r>
        <w:rPr>
          <w:spacing w:val="-3"/>
        </w:rPr>
        <w:t xml:space="preserve"> </w:t>
      </w:r>
      <w:r>
        <w:t>e práticas. Na esfera teórica, desafia seus estudantes a reverem e ampliarem seus conhecimentos anteriores, direcionando esses conhecimentos para a prática no serviço público municipal e propondo trabalhos escritos que aprofundem seus interesses e compreendam problemas reais.</w:t>
      </w:r>
    </w:p>
    <w:p w:rsidR="007259F2" w:rsidRDefault="00E655B4">
      <w:pPr>
        <w:pStyle w:val="Corpodetexto"/>
        <w:ind w:right="994"/>
      </w:pPr>
      <w:r>
        <w:t>Na esfera prática, estimulam-se aprendizagens baseadas na inserção e</w:t>
      </w:r>
      <w:r>
        <w:rPr>
          <w:spacing w:val="40"/>
        </w:rPr>
        <w:t xml:space="preserve"> </w:t>
      </w:r>
      <w:r>
        <w:t>observação no ambiente de trabalho, promovendo a reflexão crítica da realidade através dos relatórios trimestrais que fomentam a percepção sobre as atividades acompanhadas</w:t>
      </w:r>
      <w:r>
        <w:rPr>
          <w:spacing w:val="40"/>
        </w:rPr>
        <w:t xml:space="preserve"> </w:t>
      </w:r>
      <w:r>
        <w:t>e a utilização de seus próprios saberes.</w:t>
      </w:r>
    </w:p>
    <w:p w:rsidR="007259F2" w:rsidRDefault="00E655B4">
      <w:pPr>
        <w:pStyle w:val="Corpodetexto"/>
        <w:ind w:right="995"/>
      </w:pPr>
      <w:r>
        <w:t>Por fim, o grau de liberdade na atuação dos residentes durante o curso, no acompanhamento do trabalho cotidiano e na relação pedagógica com seu supervisor e</w:t>
      </w:r>
      <w:r>
        <w:rPr>
          <w:spacing w:val="40"/>
        </w:rPr>
        <w:t xml:space="preserve"> </w:t>
      </w:r>
      <w:r>
        <w:t>na escolha da forma e do tema da monografia são formas de fomentar autonomia individual. Assim, o método estabelecido está alinhado ao perfil do egresso esperado: autônomo para pensar e resolver problemas, integrando saberes teóricos e práticos.</w:t>
      </w:r>
    </w:p>
    <w:p w:rsidR="007259F2" w:rsidRDefault="007259F2">
      <w:pPr>
        <w:pStyle w:val="Corpodetexto"/>
        <w:sectPr w:rsidR="007259F2">
          <w:pgSz w:w="11910" w:h="16840"/>
          <w:pgMar w:top="1320" w:right="708" w:bottom="1160" w:left="992" w:header="0" w:footer="962" w:gutter="0"/>
          <w:cols w:space="720"/>
        </w:sectPr>
      </w:pPr>
    </w:p>
    <w:p w:rsidR="007259F2" w:rsidRDefault="00E655B4">
      <w:pPr>
        <w:pStyle w:val="Heading1"/>
        <w:spacing w:before="77"/>
      </w:pPr>
      <w:r>
        <w:rPr>
          <w:spacing w:val="-2"/>
        </w:rPr>
        <w:lastRenderedPageBreak/>
        <w:t>REFERÊNCIAS</w:t>
      </w:r>
    </w:p>
    <w:p w:rsidR="007259F2" w:rsidRDefault="00E655B4">
      <w:pPr>
        <w:pStyle w:val="Corpodetexto"/>
        <w:tabs>
          <w:tab w:val="left" w:pos="8856"/>
        </w:tabs>
        <w:spacing w:before="194"/>
        <w:ind w:right="988" w:firstLine="0"/>
      </w:pPr>
      <w:r>
        <w:t xml:space="preserve">BARROS, K. B. N. T.; SANTOS, S. L. F. dos; LIMA, G. P. Perspectivas da formação no ensino superior transformada através de metodologias ativas: uma revisão narrativa da literatura. </w:t>
      </w:r>
      <w:r>
        <w:rPr>
          <w:b/>
        </w:rPr>
        <w:t>Revista Conhecimento Online</w:t>
      </w:r>
      <w:r>
        <w:t>,</w:t>
      </w:r>
      <w:r>
        <w:rPr>
          <w:spacing w:val="-2"/>
        </w:rPr>
        <w:t xml:space="preserve"> </w:t>
      </w:r>
      <w:r>
        <w:rPr>
          <w:i/>
        </w:rPr>
        <w:t>[S. l.]</w:t>
      </w:r>
      <w:r>
        <w:t xml:space="preserve">, v. 1, p. 65–76, jan./jun. 2017. </w:t>
      </w:r>
      <w:r>
        <w:rPr>
          <w:spacing w:val="-2"/>
        </w:rPr>
        <w:t>Disponível</w:t>
      </w:r>
      <w:r>
        <w:tab/>
      </w:r>
      <w:r>
        <w:rPr>
          <w:spacing w:val="-5"/>
        </w:rPr>
        <w:t>em:</w:t>
      </w:r>
    </w:p>
    <w:p w:rsidR="007259F2" w:rsidRDefault="00DE6B1C">
      <w:pPr>
        <w:pStyle w:val="Corpodetexto"/>
        <w:ind w:right="1004" w:firstLine="0"/>
      </w:pPr>
      <w:hyperlink r:id="rId19">
        <w:r w:rsidR="00E655B4">
          <w:rPr>
            <w:color w:val="0000FF"/>
            <w:spacing w:val="-2"/>
            <w:u w:val="single" w:color="0000FF"/>
          </w:rPr>
          <w:t>https://periodicos.feevale.br/seer/index.php/revistaconhecimentoonline/article/view/472</w:t>
        </w:r>
      </w:hyperlink>
      <w:r w:rsidR="00E655B4">
        <w:rPr>
          <w:spacing w:val="-2"/>
        </w:rPr>
        <w:t xml:space="preserve">. </w:t>
      </w:r>
      <w:r w:rsidR="00E655B4">
        <w:t>Acesso em: 30 jan. 2023.</w:t>
      </w:r>
    </w:p>
    <w:p w:rsidR="007259F2" w:rsidRDefault="00E655B4">
      <w:pPr>
        <w:spacing w:before="120"/>
        <w:ind w:left="710" w:right="991"/>
        <w:jc w:val="both"/>
        <w:rPr>
          <w:sz w:val="24"/>
        </w:rPr>
      </w:pPr>
      <w:r>
        <w:rPr>
          <w:sz w:val="24"/>
        </w:rPr>
        <w:t xml:space="preserve">BRASIL. </w:t>
      </w:r>
      <w:r>
        <w:rPr>
          <w:b/>
          <w:sz w:val="24"/>
        </w:rPr>
        <w:t>Lei nº 9.394,</w:t>
      </w:r>
      <w:r>
        <w:rPr>
          <w:b/>
          <w:spacing w:val="-1"/>
          <w:sz w:val="24"/>
        </w:rPr>
        <w:t xml:space="preserve"> </w:t>
      </w:r>
      <w:r>
        <w:rPr>
          <w:b/>
          <w:sz w:val="24"/>
        </w:rPr>
        <w:t>de 20 de dezembro de 1996</w:t>
      </w:r>
      <w:r>
        <w:rPr>
          <w:sz w:val="24"/>
        </w:rPr>
        <w:t>. Estabelece as diretrizes e bases da educação nacional. Brasília, DF: Diário Oficial da União, 1996.</w:t>
      </w:r>
    </w:p>
    <w:p w:rsidR="007259F2" w:rsidRDefault="00E655B4">
      <w:pPr>
        <w:spacing w:before="120"/>
        <w:ind w:left="710" w:right="991"/>
        <w:jc w:val="both"/>
        <w:rPr>
          <w:sz w:val="24"/>
        </w:rPr>
      </w:pPr>
      <w:r>
        <w:rPr>
          <w:sz w:val="24"/>
        </w:rPr>
        <w:t xml:space="preserve">BRASIL. </w:t>
      </w:r>
      <w:r>
        <w:rPr>
          <w:b/>
          <w:sz w:val="24"/>
        </w:rPr>
        <w:t>Lei nº 11.788, de 25 de setembro de 2008</w:t>
      </w:r>
      <w:r>
        <w:rPr>
          <w:sz w:val="24"/>
        </w:rPr>
        <w:t>. Dispõe sobre o estágio de estudantes[...] Brasília, DF: Diário Oficial da União, 2008.</w:t>
      </w:r>
    </w:p>
    <w:p w:rsidR="007259F2" w:rsidRDefault="00E655B4">
      <w:pPr>
        <w:pStyle w:val="Corpodetexto"/>
        <w:spacing w:before="121"/>
        <w:ind w:firstLine="0"/>
        <w:jc w:val="left"/>
      </w:pPr>
      <w:r>
        <w:t>CARNEIRO,</w:t>
      </w:r>
      <w:r>
        <w:rPr>
          <w:spacing w:val="64"/>
        </w:rPr>
        <w:t xml:space="preserve"> </w:t>
      </w:r>
      <w:r>
        <w:t>E.</w:t>
      </w:r>
      <w:r>
        <w:rPr>
          <w:spacing w:val="65"/>
        </w:rPr>
        <w:t xml:space="preserve"> </w:t>
      </w:r>
      <w:r>
        <w:t>M.;</w:t>
      </w:r>
      <w:r>
        <w:rPr>
          <w:spacing w:val="66"/>
        </w:rPr>
        <w:t xml:space="preserve"> </w:t>
      </w:r>
      <w:r>
        <w:t>TEIXEIRA,</w:t>
      </w:r>
      <w:r>
        <w:rPr>
          <w:spacing w:val="66"/>
        </w:rPr>
        <w:t xml:space="preserve"> </w:t>
      </w:r>
      <w:r>
        <w:t>L.</w:t>
      </w:r>
      <w:r>
        <w:rPr>
          <w:spacing w:val="65"/>
        </w:rPr>
        <w:t xml:space="preserve"> </w:t>
      </w:r>
      <w:r>
        <w:t>M.</w:t>
      </w:r>
      <w:r>
        <w:rPr>
          <w:spacing w:val="65"/>
        </w:rPr>
        <w:t xml:space="preserve"> </w:t>
      </w:r>
      <w:r>
        <w:t>S.;</w:t>
      </w:r>
      <w:r>
        <w:rPr>
          <w:spacing w:val="66"/>
        </w:rPr>
        <w:t xml:space="preserve"> </w:t>
      </w:r>
      <w:r>
        <w:t>PEDROSA,</w:t>
      </w:r>
      <w:r>
        <w:rPr>
          <w:spacing w:val="64"/>
        </w:rPr>
        <w:t xml:space="preserve"> </w:t>
      </w:r>
      <w:r>
        <w:t>J.</w:t>
      </w:r>
      <w:r>
        <w:rPr>
          <w:spacing w:val="65"/>
        </w:rPr>
        <w:t xml:space="preserve"> </w:t>
      </w:r>
      <w:r>
        <w:t>I.</w:t>
      </w:r>
      <w:r>
        <w:rPr>
          <w:spacing w:val="64"/>
        </w:rPr>
        <w:t xml:space="preserve"> </w:t>
      </w:r>
      <w:r>
        <w:t>dos</w:t>
      </w:r>
      <w:r>
        <w:rPr>
          <w:spacing w:val="66"/>
        </w:rPr>
        <w:t xml:space="preserve"> </w:t>
      </w:r>
      <w:r>
        <w:t>S.</w:t>
      </w:r>
      <w:r>
        <w:rPr>
          <w:spacing w:val="64"/>
        </w:rPr>
        <w:t xml:space="preserve"> </w:t>
      </w:r>
      <w:r>
        <w:t>A</w:t>
      </w:r>
      <w:r>
        <w:rPr>
          <w:spacing w:val="65"/>
        </w:rPr>
        <w:t xml:space="preserve"> </w:t>
      </w:r>
      <w:r>
        <w:rPr>
          <w:spacing w:val="-2"/>
        </w:rPr>
        <w:t>residência</w:t>
      </w:r>
    </w:p>
    <w:p w:rsidR="007259F2" w:rsidRDefault="00E655B4">
      <w:pPr>
        <w:pStyle w:val="Corpodetexto"/>
        <w:ind w:right="989" w:firstLine="0"/>
      </w:pPr>
      <w:r>
        <w:t xml:space="preserve">multiprofissional em saúde: expectativas de ingressantes e percepções de egressos. </w:t>
      </w:r>
      <w:r>
        <w:rPr>
          <w:b/>
        </w:rPr>
        <w:t>Physis</w:t>
      </w:r>
      <w:r>
        <w:t>: Revista</w:t>
      </w:r>
      <w:r>
        <w:rPr>
          <w:spacing w:val="-1"/>
        </w:rPr>
        <w:t xml:space="preserve"> </w:t>
      </w:r>
      <w:r>
        <w:t>de</w:t>
      </w:r>
      <w:r>
        <w:rPr>
          <w:spacing w:val="-1"/>
        </w:rPr>
        <w:t xml:space="preserve"> </w:t>
      </w:r>
      <w:r>
        <w:t>Saúde Coletiva,</w:t>
      </w:r>
      <w:r>
        <w:rPr>
          <w:spacing w:val="-1"/>
        </w:rPr>
        <w:t xml:space="preserve"> </w:t>
      </w:r>
      <w:r>
        <w:t>Rio de</w:t>
      </w:r>
      <w:r>
        <w:rPr>
          <w:spacing w:val="-1"/>
        </w:rPr>
        <w:t xml:space="preserve"> </w:t>
      </w:r>
      <w:r>
        <w:t>Janeiro,</w:t>
      </w:r>
      <w:r>
        <w:rPr>
          <w:spacing w:val="-1"/>
        </w:rPr>
        <w:t xml:space="preserve"> </w:t>
      </w:r>
      <w:r>
        <w:t>v. 31, n. 3, p. 1-19, 2021. Disponível em:</w:t>
      </w:r>
      <w:r>
        <w:rPr>
          <w:spacing w:val="-3"/>
        </w:rPr>
        <w:t xml:space="preserve"> </w:t>
      </w:r>
      <w:hyperlink r:id="rId20">
        <w:r>
          <w:rPr>
            <w:color w:val="0000FF"/>
            <w:u w:val="single" w:color="0000FF"/>
          </w:rPr>
          <w:t>https://www.scielo.br/j/physis/a/PT96npfTcfqT7xWPZZkyGpt/</w:t>
        </w:r>
      </w:hyperlink>
      <w:r>
        <w:t>.</w:t>
      </w:r>
      <w:r>
        <w:rPr>
          <w:spacing w:val="-4"/>
        </w:rPr>
        <w:t xml:space="preserve"> </w:t>
      </w:r>
      <w:r>
        <w:t>Acesso</w:t>
      </w:r>
      <w:r>
        <w:rPr>
          <w:spacing w:val="-3"/>
        </w:rPr>
        <w:t xml:space="preserve"> </w:t>
      </w:r>
      <w:r>
        <w:t>em:</w:t>
      </w:r>
      <w:r>
        <w:rPr>
          <w:spacing w:val="-3"/>
        </w:rPr>
        <w:t xml:space="preserve"> </w:t>
      </w:r>
      <w:r>
        <w:t>30</w:t>
      </w:r>
      <w:r>
        <w:rPr>
          <w:spacing w:val="-5"/>
        </w:rPr>
        <w:t xml:space="preserve"> </w:t>
      </w:r>
      <w:r>
        <w:t xml:space="preserve">jan. </w:t>
      </w:r>
      <w:r>
        <w:rPr>
          <w:spacing w:val="-2"/>
        </w:rPr>
        <w:t>2023.</w:t>
      </w:r>
    </w:p>
    <w:p w:rsidR="007259F2" w:rsidRDefault="00E655B4">
      <w:pPr>
        <w:pStyle w:val="Corpodetexto"/>
        <w:spacing w:before="120"/>
        <w:ind w:right="990" w:firstLine="0"/>
      </w:pPr>
      <w:r>
        <w:t>LARA, E. M. de O. et al. O professor nas metodologias ativas e as nuances entre</w:t>
      </w:r>
      <w:r>
        <w:rPr>
          <w:spacing w:val="40"/>
        </w:rPr>
        <w:t xml:space="preserve"> </w:t>
      </w:r>
      <w:r>
        <w:t xml:space="preserve">ensinar e aprender: desafios e possibilidades. </w:t>
      </w:r>
      <w:r>
        <w:rPr>
          <w:b/>
        </w:rPr>
        <w:t>Interface</w:t>
      </w:r>
      <w:r>
        <w:t>, Botucatu, n. 23, 2019. Disponível</w:t>
      </w:r>
      <w:r>
        <w:rPr>
          <w:spacing w:val="-4"/>
        </w:rPr>
        <w:t xml:space="preserve"> </w:t>
      </w:r>
      <w:r>
        <w:t>em:</w:t>
      </w:r>
      <w:r>
        <w:rPr>
          <w:spacing w:val="-3"/>
        </w:rPr>
        <w:t xml:space="preserve"> </w:t>
      </w:r>
      <w:r>
        <w:t>https:/</w:t>
      </w:r>
      <w:hyperlink r:id="rId21">
        <w:r>
          <w:t>/www.scielo.br/j/icse/a/ZvjJ4wJr4SWLZL5hJmWD6QR/.</w:t>
        </w:r>
      </w:hyperlink>
      <w:r>
        <w:rPr>
          <w:spacing w:val="-4"/>
        </w:rPr>
        <w:t xml:space="preserve"> </w:t>
      </w:r>
      <w:r>
        <w:t>Acesso em: 30 jan. 2023.</w:t>
      </w:r>
    </w:p>
    <w:p w:rsidR="007259F2" w:rsidRDefault="00E655B4">
      <w:pPr>
        <w:pStyle w:val="Corpodetexto"/>
        <w:spacing w:before="120"/>
        <w:ind w:right="990" w:firstLine="0"/>
      </w:pPr>
      <w:r>
        <w:t xml:space="preserve">LIMA, V. V. Espiral construtivista: uma metodologia ativa de ensino-aprendizagem. </w:t>
      </w:r>
      <w:r>
        <w:rPr>
          <w:b/>
        </w:rPr>
        <w:t>Interface</w:t>
      </w:r>
      <w:r>
        <w:t xml:space="preserve">, Botucatu, v. 61, n. 21, p. 421-434 2017. Disponível em: </w:t>
      </w:r>
      <w:r>
        <w:rPr>
          <w:spacing w:val="-2"/>
        </w:rPr>
        <w:t>https:/</w:t>
      </w:r>
      <w:hyperlink r:id="rId22">
        <w:r>
          <w:rPr>
            <w:spacing w:val="-2"/>
          </w:rPr>
          <w:t>/www.scielo.br/j/icse/a/736VVYw4p3MvtCHNvbnvHrL/abstract/?lang=pt.</w:t>
        </w:r>
      </w:hyperlink>
    </w:p>
    <w:p w:rsidR="007259F2" w:rsidRDefault="00E655B4">
      <w:pPr>
        <w:pStyle w:val="Corpodetexto"/>
        <w:spacing w:before="1"/>
        <w:ind w:firstLine="0"/>
      </w:pPr>
      <w:r>
        <w:t>Acesso</w:t>
      </w:r>
      <w:r>
        <w:rPr>
          <w:spacing w:val="-3"/>
        </w:rPr>
        <w:t xml:space="preserve"> </w:t>
      </w:r>
      <w:r>
        <w:t>em:</w:t>
      </w:r>
      <w:r>
        <w:rPr>
          <w:spacing w:val="-1"/>
        </w:rPr>
        <w:t xml:space="preserve"> </w:t>
      </w:r>
      <w:r>
        <w:t>30</w:t>
      </w:r>
      <w:r>
        <w:rPr>
          <w:spacing w:val="-1"/>
        </w:rPr>
        <w:t xml:space="preserve"> </w:t>
      </w:r>
      <w:r>
        <w:t>jan.</w:t>
      </w:r>
      <w:r>
        <w:rPr>
          <w:spacing w:val="-1"/>
        </w:rPr>
        <w:t xml:space="preserve"> </w:t>
      </w:r>
      <w:r>
        <w:rPr>
          <w:spacing w:val="-2"/>
        </w:rPr>
        <w:t>2023.</w:t>
      </w:r>
    </w:p>
    <w:p w:rsidR="007259F2" w:rsidRDefault="00E655B4">
      <w:pPr>
        <w:pStyle w:val="Corpodetexto"/>
        <w:spacing w:before="120"/>
        <w:ind w:firstLine="0"/>
        <w:jc w:val="left"/>
        <w:rPr>
          <w:b/>
        </w:rPr>
      </w:pPr>
      <w:r>
        <w:t>LUCHESI,</w:t>
      </w:r>
      <w:r>
        <w:rPr>
          <w:spacing w:val="14"/>
        </w:rPr>
        <w:t xml:space="preserve"> </w:t>
      </w:r>
      <w:r>
        <w:t>B.</w:t>
      </w:r>
      <w:r>
        <w:rPr>
          <w:spacing w:val="15"/>
        </w:rPr>
        <w:t xml:space="preserve"> </w:t>
      </w:r>
      <w:r>
        <w:t>M.</w:t>
      </w:r>
      <w:r>
        <w:rPr>
          <w:spacing w:val="13"/>
        </w:rPr>
        <w:t xml:space="preserve"> </w:t>
      </w:r>
      <w:r>
        <w:t>(org.);</w:t>
      </w:r>
      <w:r>
        <w:rPr>
          <w:spacing w:val="17"/>
        </w:rPr>
        <w:t xml:space="preserve"> </w:t>
      </w:r>
      <w:r>
        <w:t>LARA,</w:t>
      </w:r>
      <w:r>
        <w:rPr>
          <w:spacing w:val="12"/>
        </w:rPr>
        <w:t xml:space="preserve"> </w:t>
      </w:r>
      <w:r>
        <w:t>E.</w:t>
      </w:r>
      <w:r>
        <w:rPr>
          <w:spacing w:val="15"/>
        </w:rPr>
        <w:t xml:space="preserve"> </w:t>
      </w:r>
      <w:r>
        <w:t>M.</w:t>
      </w:r>
      <w:r>
        <w:rPr>
          <w:spacing w:val="13"/>
        </w:rPr>
        <w:t xml:space="preserve"> </w:t>
      </w:r>
      <w:r>
        <w:t>de</w:t>
      </w:r>
      <w:r>
        <w:rPr>
          <w:spacing w:val="13"/>
        </w:rPr>
        <w:t xml:space="preserve"> </w:t>
      </w:r>
      <w:r>
        <w:t>O.</w:t>
      </w:r>
      <w:r>
        <w:rPr>
          <w:spacing w:val="15"/>
        </w:rPr>
        <w:t xml:space="preserve"> </w:t>
      </w:r>
      <w:r>
        <w:t>(org.);</w:t>
      </w:r>
      <w:r>
        <w:rPr>
          <w:spacing w:val="15"/>
        </w:rPr>
        <w:t xml:space="preserve"> </w:t>
      </w:r>
      <w:r>
        <w:t>SANTOS,</w:t>
      </w:r>
      <w:r>
        <w:rPr>
          <w:spacing w:val="13"/>
        </w:rPr>
        <w:t xml:space="preserve"> </w:t>
      </w:r>
      <w:r>
        <w:t>M.</w:t>
      </w:r>
      <w:r>
        <w:rPr>
          <w:spacing w:val="12"/>
        </w:rPr>
        <w:t xml:space="preserve"> </w:t>
      </w:r>
      <w:r>
        <w:t>A.</w:t>
      </w:r>
      <w:r>
        <w:rPr>
          <w:spacing w:val="14"/>
        </w:rPr>
        <w:t xml:space="preserve"> </w:t>
      </w:r>
      <w:r>
        <w:t>dos</w:t>
      </w:r>
      <w:r>
        <w:rPr>
          <w:spacing w:val="13"/>
        </w:rPr>
        <w:t xml:space="preserve"> </w:t>
      </w:r>
      <w:r>
        <w:t>(org.).</w:t>
      </w:r>
      <w:r>
        <w:rPr>
          <w:spacing w:val="23"/>
        </w:rPr>
        <w:t xml:space="preserve"> </w:t>
      </w:r>
      <w:r>
        <w:rPr>
          <w:b/>
          <w:spacing w:val="-4"/>
        </w:rPr>
        <w:t>Guia</w:t>
      </w:r>
    </w:p>
    <w:p w:rsidR="007259F2" w:rsidRDefault="00E655B4">
      <w:pPr>
        <w:spacing w:before="2" w:line="237" w:lineRule="auto"/>
        <w:ind w:left="710" w:right="990"/>
        <w:rPr>
          <w:sz w:val="24"/>
        </w:rPr>
      </w:pPr>
      <w:r>
        <w:rPr>
          <w:b/>
          <w:sz w:val="24"/>
        </w:rPr>
        <w:t>prático</w:t>
      </w:r>
      <w:r>
        <w:rPr>
          <w:b/>
          <w:spacing w:val="75"/>
          <w:sz w:val="24"/>
        </w:rPr>
        <w:t xml:space="preserve"> </w:t>
      </w:r>
      <w:r>
        <w:rPr>
          <w:b/>
          <w:sz w:val="24"/>
        </w:rPr>
        <w:t>de</w:t>
      </w:r>
      <w:r>
        <w:rPr>
          <w:b/>
          <w:spacing w:val="75"/>
          <w:sz w:val="24"/>
        </w:rPr>
        <w:t xml:space="preserve"> </w:t>
      </w:r>
      <w:r>
        <w:rPr>
          <w:b/>
          <w:sz w:val="24"/>
        </w:rPr>
        <w:t>introdução</w:t>
      </w:r>
      <w:r>
        <w:rPr>
          <w:b/>
          <w:spacing w:val="78"/>
          <w:sz w:val="24"/>
        </w:rPr>
        <w:t xml:space="preserve"> </w:t>
      </w:r>
      <w:r>
        <w:rPr>
          <w:b/>
          <w:sz w:val="24"/>
        </w:rPr>
        <w:t>às</w:t>
      </w:r>
      <w:r>
        <w:rPr>
          <w:b/>
          <w:spacing w:val="78"/>
          <w:sz w:val="24"/>
        </w:rPr>
        <w:t xml:space="preserve"> </w:t>
      </w:r>
      <w:r>
        <w:rPr>
          <w:b/>
          <w:sz w:val="24"/>
        </w:rPr>
        <w:t>metodologias</w:t>
      </w:r>
      <w:r>
        <w:rPr>
          <w:b/>
          <w:spacing w:val="76"/>
          <w:sz w:val="24"/>
        </w:rPr>
        <w:t xml:space="preserve"> </w:t>
      </w:r>
      <w:r>
        <w:rPr>
          <w:b/>
          <w:sz w:val="24"/>
        </w:rPr>
        <w:t>ativas</w:t>
      </w:r>
      <w:r>
        <w:rPr>
          <w:b/>
          <w:spacing w:val="76"/>
          <w:sz w:val="24"/>
        </w:rPr>
        <w:t xml:space="preserve"> </w:t>
      </w:r>
      <w:r>
        <w:rPr>
          <w:b/>
          <w:sz w:val="24"/>
        </w:rPr>
        <w:t>de</w:t>
      </w:r>
      <w:r>
        <w:rPr>
          <w:b/>
          <w:spacing w:val="75"/>
          <w:sz w:val="24"/>
        </w:rPr>
        <w:t xml:space="preserve"> </w:t>
      </w:r>
      <w:r>
        <w:rPr>
          <w:b/>
          <w:sz w:val="24"/>
        </w:rPr>
        <w:t>aprendizagem</w:t>
      </w:r>
      <w:r>
        <w:rPr>
          <w:sz w:val="24"/>
        </w:rPr>
        <w:t>.</w:t>
      </w:r>
      <w:r>
        <w:rPr>
          <w:spacing w:val="78"/>
          <w:sz w:val="24"/>
        </w:rPr>
        <w:t xml:space="preserve"> </w:t>
      </w:r>
      <w:r>
        <w:rPr>
          <w:sz w:val="24"/>
        </w:rPr>
        <w:t>1</w:t>
      </w:r>
      <w:r>
        <w:rPr>
          <w:spacing w:val="75"/>
          <w:sz w:val="24"/>
        </w:rPr>
        <w:t xml:space="preserve"> </w:t>
      </w:r>
      <w:r>
        <w:rPr>
          <w:sz w:val="24"/>
        </w:rPr>
        <w:t>ed.</w:t>
      </w:r>
      <w:r>
        <w:rPr>
          <w:spacing w:val="75"/>
          <w:sz w:val="24"/>
        </w:rPr>
        <w:t xml:space="preserve"> </w:t>
      </w:r>
      <w:r>
        <w:rPr>
          <w:sz w:val="24"/>
        </w:rPr>
        <w:t>Campo Grande: Editora UFMS, 2022.</w:t>
      </w:r>
    </w:p>
    <w:p w:rsidR="007259F2" w:rsidRDefault="00E655B4">
      <w:pPr>
        <w:pStyle w:val="Corpodetexto"/>
        <w:tabs>
          <w:tab w:val="left" w:pos="2003"/>
          <w:tab w:val="left" w:pos="3296"/>
          <w:tab w:val="left" w:pos="5032"/>
          <w:tab w:val="left" w:pos="6685"/>
          <w:tab w:val="left" w:pos="8852"/>
        </w:tabs>
        <w:spacing w:before="121"/>
        <w:ind w:right="989" w:firstLine="0"/>
        <w:jc w:val="left"/>
      </w:pPr>
      <w:r>
        <w:t xml:space="preserve">MARIN, M. J. S. et al. Aspectos das fortalezas e fragilidades no uso das Metodologias Ativas de Aprendizagem. </w:t>
      </w:r>
      <w:r>
        <w:rPr>
          <w:b/>
        </w:rPr>
        <w:t>Revista Brasileira de Educação Médica</w:t>
      </w:r>
      <w:r>
        <w:t>, Brasília, v. 34, n.</w:t>
      </w:r>
      <w:r>
        <w:rPr>
          <w:spacing w:val="40"/>
        </w:rPr>
        <w:t xml:space="preserve"> </w:t>
      </w:r>
      <w:r>
        <w:rPr>
          <w:spacing w:val="-6"/>
        </w:rPr>
        <w:t>1,</w:t>
      </w:r>
      <w:r>
        <w:tab/>
      </w:r>
      <w:r>
        <w:rPr>
          <w:spacing w:val="-6"/>
        </w:rPr>
        <w:t>p.</w:t>
      </w:r>
      <w:r>
        <w:tab/>
      </w:r>
      <w:r>
        <w:rPr>
          <w:spacing w:val="-2"/>
        </w:rPr>
        <w:t>13-20,</w:t>
      </w:r>
      <w:r>
        <w:tab/>
      </w:r>
      <w:r>
        <w:rPr>
          <w:spacing w:val="-2"/>
        </w:rPr>
        <w:t>2010.</w:t>
      </w:r>
      <w:r>
        <w:tab/>
      </w:r>
      <w:r>
        <w:rPr>
          <w:spacing w:val="-2"/>
        </w:rPr>
        <w:t>Disponível</w:t>
      </w:r>
      <w:r>
        <w:tab/>
      </w:r>
      <w:r>
        <w:rPr>
          <w:spacing w:val="-4"/>
        </w:rPr>
        <w:t xml:space="preserve">em: </w:t>
      </w:r>
      <w:r>
        <w:rPr>
          <w:spacing w:val="-2"/>
        </w:rPr>
        <w:t>https:/</w:t>
      </w:r>
      <w:hyperlink r:id="rId23">
        <w:r>
          <w:rPr>
            <w:spacing w:val="-2"/>
          </w:rPr>
          <w:t>/www.scielo.br/j/rbem/a/PgYxhjqpFYqvYKm8HvQkDtP/abstract/?lang=pt</w:t>
        </w:r>
      </w:hyperlink>
      <w:r>
        <w:rPr>
          <w:spacing w:val="80"/>
          <w:w w:val="150"/>
        </w:rPr>
        <w:t xml:space="preserve"> </w:t>
      </w:r>
      <w:r>
        <w:t>Acesso em: 30 jan. 2023.</w:t>
      </w:r>
    </w:p>
    <w:p w:rsidR="007259F2" w:rsidRDefault="00E655B4">
      <w:pPr>
        <w:pStyle w:val="Corpodetexto"/>
        <w:spacing w:before="121"/>
        <w:ind w:right="989" w:firstLine="0"/>
      </w:pPr>
      <w:r>
        <w:t xml:space="preserve">MARQUES, H. R. et al. Inovação no ensino: uma revisão sistemática das metodologias ativas de ensino-aprendizagem. </w:t>
      </w:r>
      <w:r>
        <w:rPr>
          <w:b/>
        </w:rPr>
        <w:t>Avaliação</w:t>
      </w:r>
      <w:r>
        <w:t>, Campinas, v. 26, n. 3, p. 718-741, 2021. Disponível em: https://</w:t>
      </w:r>
      <w:hyperlink r:id="rId24">
        <w:r>
          <w:t>www.scielo.br/j/aval/a/C9khps4n4BnGj6ZWkZvBk9z/?lang=pt.</w:t>
        </w:r>
      </w:hyperlink>
      <w:r>
        <w:t xml:space="preserve"> Acesso em: 30 jan. 2023.</w:t>
      </w:r>
    </w:p>
    <w:p w:rsidR="007259F2" w:rsidRDefault="00E655B4">
      <w:pPr>
        <w:spacing w:before="120"/>
        <w:ind w:left="710" w:right="993"/>
        <w:jc w:val="both"/>
        <w:rPr>
          <w:sz w:val="24"/>
        </w:rPr>
      </w:pPr>
      <w:r>
        <w:rPr>
          <w:sz w:val="24"/>
        </w:rPr>
        <w:t xml:space="preserve">MORAN, J. Metodologias ativas de aprendizagem para uma aprendizagem mais profunda. </w:t>
      </w:r>
      <w:r>
        <w:rPr>
          <w:i/>
          <w:sz w:val="24"/>
        </w:rPr>
        <w:t xml:space="preserve">In: </w:t>
      </w:r>
      <w:r>
        <w:rPr>
          <w:sz w:val="24"/>
        </w:rPr>
        <w:t xml:space="preserve">BACICH, L. (org.); MORAN, J. (org.). </w:t>
      </w:r>
      <w:r>
        <w:rPr>
          <w:b/>
          <w:sz w:val="24"/>
        </w:rPr>
        <w:t>Metodologias ativas para uma educação inovadora</w:t>
      </w:r>
      <w:r>
        <w:rPr>
          <w:sz w:val="24"/>
        </w:rPr>
        <w:t>: uma abordagem teórico-prática. Porto Alegre: Penso, 2018</w:t>
      </w:r>
    </w:p>
    <w:p w:rsidR="007259F2" w:rsidRDefault="00E655B4">
      <w:pPr>
        <w:pStyle w:val="Corpodetexto"/>
        <w:spacing w:before="120"/>
        <w:ind w:right="992" w:firstLine="0"/>
      </w:pPr>
      <w:r>
        <w:t xml:space="preserve">MOURTHÉ JÚNIOR, C. A.; LIMA, V. V.; PADILHA, R. de Q. Integrando emoções e racionalidades para o desenvolvimento de competência nas metodologias ativas de aprendizagem. </w:t>
      </w:r>
      <w:r>
        <w:rPr>
          <w:b/>
        </w:rPr>
        <w:t>Interface</w:t>
      </w:r>
      <w:r>
        <w:t xml:space="preserve">, Botucatu, v. 65, n. 22, p. 577-588, 2018. Disponível em: </w:t>
      </w:r>
      <w:r>
        <w:rPr>
          <w:spacing w:val="-2"/>
        </w:rPr>
        <w:t>https:/</w:t>
      </w:r>
      <w:hyperlink r:id="rId25">
        <w:r>
          <w:rPr>
            <w:spacing w:val="-2"/>
          </w:rPr>
          <w:t>/www.scielo.br/j/icse/a/qYWSNj6CdKGt7FxF4HFR9Lj/abstract/?lang=pt.</w:t>
        </w:r>
      </w:hyperlink>
    </w:p>
    <w:p w:rsidR="007259F2" w:rsidRDefault="00E655B4">
      <w:pPr>
        <w:pStyle w:val="Corpodetexto"/>
        <w:ind w:firstLine="0"/>
      </w:pPr>
      <w:r>
        <w:t>Acesso</w:t>
      </w:r>
      <w:r>
        <w:rPr>
          <w:spacing w:val="-3"/>
        </w:rPr>
        <w:t xml:space="preserve"> </w:t>
      </w:r>
      <w:r>
        <w:t>em:</w:t>
      </w:r>
      <w:r>
        <w:rPr>
          <w:spacing w:val="-1"/>
        </w:rPr>
        <w:t xml:space="preserve"> </w:t>
      </w:r>
      <w:r>
        <w:t>30</w:t>
      </w:r>
      <w:r>
        <w:rPr>
          <w:spacing w:val="-1"/>
        </w:rPr>
        <w:t xml:space="preserve"> </w:t>
      </w:r>
      <w:r>
        <w:t>jan.</w:t>
      </w:r>
      <w:r>
        <w:rPr>
          <w:spacing w:val="-1"/>
        </w:rPr>
        <w:t xml:space="preserve"> </w:t>
      </w:r>
      <w:r>
        <w:rPr>
          <w:spacing w:val="-2"/>
        </w:rPr>
        <w:t>2023.</w:t>
      </w:r>
    </w:p>
    <w:p w:rsidR="007259F2" w:rsidRDefault="007259F2">
      <w:pPr>
        <w:pStyle w:val="Corpodetexto"/>
        <w:sectPr w:rsidR="007259F2">
          <w:pgSz w:w="11910" w:h="16840"/>
          <w:pgMar w:top="1320" w:right="708" w:bottom="1160" w:left="992" w:header="0" w:footer="962" w:gutter="0"/>
          <w:cols w:space="720"/>
        </w:sectPr>
      </w:pPr>
    </w:p>
    <w:p w:rsidR="007259F2" w:rsidRDefault="00E655B4">
      <w:pPr>
        <w:pStyle w:val="Corpodetexto"/>
        <w:spacing w:before="69"/>
        <w:ind w:right="991" w:firstLine="0"/>
      </w:pPr>
      <w:r>
        <w:lastRenderedPageBreak/>
        <w:t xml:space="preserve">SÃO PAULO (SP). </w:t>
      </w:r>
      <w:r>
        <w:rPr>
          <w:b/>
        </w:rPr>
        <w:t>Lei nº 17.673 de 7 de outubro de 2021</w:t>
      </w:r>
      <w:r>
        <w:t>. Institui os Programas de Residência Jurídica e Residência em Gestão Pública na Administração Pública Direta</w:t>
      </w:r>
      <w:r>
        <w:rPr>
          <w:spacing w:val="40"/>
        </w:rPr>
        <w:t xml:space="preserve"> </w:t>
      </w:r>
      <w:r>
        <w:t>do Município de São Paulo, e dá providências. São Paulo, SP: Diário Oficial do Município, 2021.</w:t>
      </w:r>
    </w:p>
    <w:p w:rsidR="007259F2" w:rsidRDefault="00E655B4">
      <w:pPr>
        <w:tabs>
          <w:tab w:val="left" w:pos="2805"/>
          <w:tab w:val="left" w:pos="4219"/>
          <w:tab w:val="left" w:pos="6468"/>
          <w:tab w:val="left" w:pos="8856"/>
        </w:tabs>
        <w:spacing w:before="121"/>
        <w:ind w:left="710" w:right="989"/>
        <w:jc w:val="both"/>
        <w:rPr>
          <w:sz w:val="24"/>
        </w:rPr>
      </w:pPr>
      <w:r>
        <w:rPr>
          <w:sz w:val="24"/>
        </w:rPr>
        <w:t xml:space="preserve">SÃO PAULO (SP). Procuradoria Geral do Município. </w:t>
      </w:r>
      <w:r>
        <w:rPr>
          <w:b/>
          <w:sz w:val="24"/>
        </w:rPr>
        <w:t xml:space="preserve">Projeto pedagógico curso “Teoria e Prática da Advocacia Pública Municipal” </w:t>
      </w:r>
      <w:r>
        <w:rPr>
          <w:sz w:val="24"/>
        </w:rPr>
        <w:t xml:space="preserve">- Programa de Residência </w:t>
      </w:r>
      <w:r>
        <w:rPr>
          <w:spacing w:val="-2"/>
          <w:sz w:val="24"/>
        </w:rPr>
        <w:t>Jurídica</w:t>
      </w:r>
      <w:r>
        <w:rPr>
          <w:sz w:val="24"/>
        </w:rPr>
        <w:tab/>
      </w:r>
      <w:r>
        <w:rPr>
          <w:spacing w:val="-10"/>
          <w:sz w:val="24"/>
        </w:rPr>
        <w:t>-</w:t>
      </w:r>
      <w:r>
        <w:rPr>
          <w:sz w:val="24"/>
        </w:rPr>
        <w:tab/>
      </w:r>
      <w:r>
        <w:rPr>
          <w:spacing w:val="-2"/>
          <w:sz w:val="24"/>
        </w:rPr>
        <w:t>PGM/SP.</w:t>
      </w:r>
      <w:r>
        <w:rPr>
          <w:sz w:val="24"/>
        </w:rPr>
        <w:tab/>
      </w:r>
      <w:r>
        <w:rPr>
          <w:spacing w:val="-2"/>
          <w:sz w:val="24"/>
        </w:rPr>
        <w:t>Disponível</w:t>
      </w:r>
      <w:r>
        <w:rPr>
          <w:sz w:val="24"/>
        </w:rPr>
        <w:tab/>
      </w:r>
      <w:r>
        <w:rPr>
          <w:spacing w:val="-4"/>
          <w:sz w:val="24"/>
        </w:rPr>
        <w:t xml:space="preserve">em: </w:t>
      </w:r>
      <w:hyperlink r:id="rId26">
        <w:r>
          <w:rPr>
            <w:color w:val="0000FF"/>
            <w:spacing w:val="-2"/>
            <w:sz w:val="24"/>
            <w:u w:val="single" w:color="0000FF"/>
          </w:rPr>
          <w:t>https://www.prefeitura.sp.gov.br/cidade/secretarias/upload/procuradoria_geral/cejur/Pro</w:t>
        </w:r>
      </w:hyperlink>
      <w:r>
        <w:rPr>
          <w:color w:val="0000FF"/>
          <w:spacing w:val="-2"/>
          <w:sz w:val="24"/>
        </w:rPr>
        <w:t xml:space="preserve"> </w:t>
      </w:r>
      <w:hyperlink r:id="rId27">
        <w:r>
          <w:rPr>
            <w:color w:val="0000FF"/>
            <w:sz w:val="24"/>
            <w:u w:val="single" w:color="0000FF"/>
          </w:rPr>
          <w:t>jeto%20Pedagogico.pdf</w:t>
        </w:r>
        <w:r>
          <w:rPr>
            <w:sz w:val="24"/>
          </w:rPr>
          <w:t>.</w:t>
        </w:r>
      </w:hyperlink>
      <w:r>
        <w:rPr>
          <w:sz w:val="24"/>
        </w:rPr>
        <w:t xml:space="preserve"> Acesso em: 01 fev. 2024.</w:t>
      </w:r>
    </w:p>
    <w:p w:rsidR="007259F2" w:rsidRDefault="00E655B4">
      <w:pPr>
        <w:pStyle w:val="Corpodetexto"/>
        <w:spacing w:before="120"/>
        <w:ind w:right="988" w:firstLine="0"/>
      </w:pPr>
      <w:r>
        <w:t xml:space="preserve">SÃO PAULO (SP). Procuradoria Geral do Município. </w:t>
      </w:r>
      <w:r>
        <w:rPr>
          <w:b/>
        </w:rPr>
        <w:t>Regulamento da monografia</w:t>
      </w:r>
      <w:r>
        <w:t xml:space="preserve">: programa de residência juridica. CEJUR/ESDPM ingressos 2022. São Paulo, SP. Disponível em: https://legislacao.prefeitura.sp.gov.br/leis/resolucao-procuradoria-geral- do-municipio-pgm-cejur-1-de-27-de-janeiro-de-2023/consolidado. Acesso em: 01 fev. </w:t>
      </w:r>
      <w:r>
        <w:rPr>
          <w:spacing w:val="-2"/>
        </w:rPr>
        <w:t>2024.</w:t>
      </w:r>
    </w:p>
    <w:p w:rsidR="007259F2" w:rsidRDefault="00E655B4">
      <w:pPr>
        <w:pStyle w:val="Corpodetexto"/>
        <w:spacing w:before="121"/>
        <w:ind w:right="988" w:firstLine="0"/>
      </w:pPr>
      <w:r>
        <w:t>SILVEIRA,</w:t>
      </w:r>
      <w:r>
        <w:rPr>
          <w:spacing w:val="-1"/>
        </w:rPr>
        <w:t xml:space="preserve"> </w:t>
      </w:r>
      <w:r>
        <w:t>S. de B. A. B. da. O</w:t>
      </w:r>
      <w:r>
        <w:rPr>
          <w:spacing w:val="-1"/>
        </w:rPr>
        <w:t xml:space="preserve"> </w:t>
      </w:r>
      <w:r>
        <w:t>EMAJ/FURG</w:t>
      </w:r>
      <w:r>
        <w:rPr>
          <w:spacing w:val="-1"/>
        </w:rPr>
        <w:t xml:space="preserve"> </w:t>
      </w:r>
      <w:r>
        <w:t>no contexto do ensino superior: por</w:t>
      </w:r>
      <w:r>
        <w:rPr>
          <w:spacing w:val="-1"/>
        </w:rPr>
        <w:t xml:space="preserve"> </w:t>
      </w:r>
      <w:r>
        <w:t xml:space="preserve">uma educação ativa e reflexiva. </w:t>
      </w:r>
      <w:r>
        <w:rPr>
          <w:i/>
        </w:rPr>
        <w:t>In</w:t>
      </w:r>
      <w:r>
        <w:t xml:space="preserve">: ROCHA, J. C. de SÁ da. (org.) et al. </w:t>
      </w:r>
      <w:r>
        <w:rPr>
          <w:b/>
        </w:rPr>
        <w:t>Ensino jurídico, desafios e perspectivas</w:t>
      </w:r>
      <w:r>
        <w:t>: experiência dos cursos jurídicos das Universidades Federais Brasileiras. 1 ed. Rio Grande: Editora da FURG, 2022.</w:t>
      </w:r>
    </w:p>
    <w:p w:rsidR="007259F2" w:rsidRDefault="00E655B4">
      <w:pPr>
        <w:pStyle w:val="Corpodetexto"/>
        <w:spacing w:before="120"/>
        <w:ind w:right="990" w:firstLine="0"/>
        <w:jc w:val="left"/>
      </w:pPr>
      <w:r>
        <w:t xml:space="preserve">SOARES, L. F. </w:t>
      </w:r>
      <w:r>
        <w:rPr>
          <w:i/>
        </w:rPr>
        <w:t>et al</w:t>
      </w:r>
      <w:r>
        <w:t xml:space="preserve">. Do ensinar e do aprender Direito por meio de metodologia ativa. </w:t>
      </w:r>
      <w:r>
        <w:rPr>
          <w:b/>
        </w:rPr>
        <w:t>Research, Society and Development</w:t>
      </w:r>
      <w:r>
        <w:t xml:space="preserve">, Vargem Grande Paulista, v. 11, n. 12, p. 1-11, 2022. Disponível em: </w:t>
      </w:r>
      <w:r>
        <w:rPr>
          <w:spacing w:val="-2"/>
        </w:rPr>
        <w:t>https:/</w:t>
      </w:r>
      <w:hyperlink r:id="rId28">
        <w:r>
          <w:rPr>
            <w:spacing w:val="-2"/>
          </w:rPr>
          <w:t>/www.researchgate.net/publication/363726585_Do_ensinar_e_do_aprender_Direi</w:t>
        </w:r>
      </w:hyperlink>
      <w:r>
        <w:rPr>
          <w:spacing w:val="-2"/>
        </w:rPr>
        <w:t xml:space="preserve"> </w:t>
      </w:r>
      <w:r>
        <w:t>to_por_meio_de_metodologia_ativa. Acesso em: 30 jan. 2023.</w:t>
      </w:r>
    </w:p>
    <w:p w:rsidR="007259F2" w:rsidRDefault="00E655B4">
      <w:pPr>
        <w:pStyle w:val="Corpodetexto"/>
        <w:spacing w:before="120"/>
        <w:ind w:right="992" w:firstLine="0"/>
      </w:pPr>
      <w:r>
        <w:t xml:space="preserve">UGALDE, N. A. P. </w:t>
      </w:r>
      <w:r>
        <w:rPr>
          <w:b/>
        </w:rPr>
        <w:t>Inovando no ensino jurídico</w:t>
      </w:r>
      <w:r>
        <w:t xml:space="preserve">: metodologias ativas e recursos educacionais. 1 ed. Rio Branco: Instituto Federal do Acre, 2020. Disponível em: </w:t>
      </w:r>
      <w:r>
        <w:rPr>
          <w:spacing w:val="-2"/>
        </w:rPr>
        <w:t>https://repositorio.ifac.edu.br/jspui/bitstream/123456789/70/1/Produto%20Educacional</w:t>
      </w:r>
    </w:p>
    <w:p w:rsidR="007259F2" w:rsidRDefault="00E655B4">
      <w:pPr>
        <w:pStyle w:val="Corpodetexto"/>
        <w:ind w:right="988" w:firstLine="0"/>
      </w:pPr>
      <w:r>
        <w:t xml:space="preserve">%20-%20Inovando%20no%20Ensino%20Jur%c3%addico..pdf. Acesso em: 30 jan. </w:t>
      </w:r>
      <w:r>
        <w:rPr>
          <w:spacing w:val="-2"/>
        </w:rPr>
        <w:t>2023.</w:t>
      </w:r>
    </w:p>
    <w:p w:rsidR="007259F2" w:rsidRDefault="007259F2">
      <w:pPr>
        <w:pStyle w:val="Corpodetexto"/>
        <w:sectPr w:rsidR="007259F2">
          <w:pgSz w:w="11910" w:h="16840"/>
          <w:pgMar w:top="1320" w:right="708" w:bottom="1160" w:left="992" w:header="0" w:footer="962" w:gutter="0"/>
          <w:cols w:space="720"/>
        </w:sectPr>
      </w:pPr>
    </w:p>
    <w:p w:rsidR="007259F2" w:rsidRDefault="00E655B4">
      <w:pPr>
        <w:pStyle w:val="Heading2"/>
        <w:spacing w:before="60"/>
        <w:ind w:right="425"/>
      </w:pPr>
      <w:bookmarkStart w:id="1" w:name="_bookmark1"/>
      <w:bookmarkEnd w:id="1"/>
      <w:r>
        <w:lastRenderedPageBreak/>
        <w:t xml:space="preserve">Responsabilidade Civil nos Contratos de Gestão na Área da Saúde Pública: Direito de Regresso do Estado em Face das Entidades do Terceiro Setor Decorrente de Erro </w:t>
      </w:r>
      <w:r>
        <w:rPr>
          <w:spacing w:val="-2"/>
        </w:rPr>
        <w:t>Médico</w:t>
      </w:r>
    </w:p>
    <w:p w:rsidR="007259F2" w:rsidRDefault="007259F2">
      <w:pPr>
        <w:pStyle w:val="Corpodetexto"/>
        <w:spacing w:before="2"/>
        <w:ind w:left="0" w:firstLine="0"/>
        <w:jc w:val="left"/>
        <w:rPr>
          <w:b/>
        </w:rPr>
      </w:pPr>
    </w:p>
    <w:p w:rsidR="007259F2" w:rsidRDefault="00E655B4">
      <w:pPr>
        <w:spacing w:before="1" w:line="276" w:lineRule="auto"/>
        <w:ind w:left="710" w:right="422"/>
        <w:jc w:val="both"/>
        <w:rPr>
          <w:b/>
          <w:sz w:val="24"/>
        </w:rPr>
      </w:pPr>
      <w:r>
        <w:rPr>
          <w:b/>
          <w:sz w:val="24"/>
        </w:rPr>
        <w:t>Civil</w:t>
      </w:r>
      <w:r>
        <w:rPr>
          <w:b/>
          <w:spacing w:val="-4"/>
          <w:sz w:val="24"/>
        </w:rPr>
        <w:t xml:space="preserve"> </w:t>
      </w:r>
      <w:r>
        <w:rPr>
          <w:b/>
          <w:sz w:val="24"/>
        </w:rPr>
        <w:t>liability</w:t>
      </w:r>
      <w:r>
        <w:rPr>
          <w:b/>
          <w:spacing w:val="-4"/>
          <w:sz w:val="24"/>
        </w:rPr>
        <w:t xml:space="preserve"> </w:t>
      </w:r>
      <w:r>
        <w:rPr>
          <w:b/>
          <w:sz w:val="24"/>
        </w:rPr>
        <w:t>in</w:t>
      </w:r>
      <w:r>
        <w:rPr>
          <w:b/>
          <w:spacing w:val="-1"/>
          <w:sz w:val="24"/>
        </w:rPr>
        <w:t xml:space="preserve"> </w:t>
      </w:r>
      <w:r>
        <w:rPr>
          <w:b/>
          <w:sz w:val="24"/>
        </w:rPr>
        <w:t>management</w:t>
      </w:r>
      <w:r>
        <w:rPr>
          <w:b/>
          <w:spacing w:val="-4"/>
          <w:sz w:val="24"/>
        </w:rPr>
        <w:t xml:space="preserve"> </w:t>
      </w:r>
      <w:r>
        <w:rPr>
          <w:b/>
          <w:sz w:val="24"/>
        </w:rPr>
        <w:t>contracts</w:t>
      </w:r>
      <w:r>
        <w:rPr>
          <w:b/>
          <w:spacing w:val="-4"/>
          <w:sz w:val="24"/>
        </w:rPr>
        <w:t xml:space="preserve"> </w:t>
      </w:r>
      <w:r>
        <w:rPr>
          <w:b/>
          <w:sz w:val="24"/>
        </w:rPr>
        <w:t>in</w:t>
      </w:r>
      <w:r>
        <w:rPr>
          <w:b/>
          <w:spacing w:val="-1"/>
          <w:sz w:val="24"/>
        </w:rPr>
        <w:t xml:space="preserve"> </w:t>
      </w:r>
      <w:r>
        <w:rPr>
          <w:b/>
          <w:sz w:val="24"/>
        </w:rPr>
        <w:t>the</w:t>
      </w:r>
      <w:r>
        <w:rPr>
          <w:b/>
          <w:spacing w:val="-4"/>
          <w:sz w:val="24"/>
        </w:rPr>
        <w:t xml:space="preserve"> </w:t>
      </w:r>
      <w:r>
        <w:rPr>
          <w:b/>
          <w:sz w:val="24"/>
        </w:rPr>
        <w:t>Public</w:t>
      </w:r>
      <w:r>
        <w:rPr>
          <w:b/>
          <w:spacing w:val="-4"/>
          <w:sz w:val="24"/>
        </w:rPr>
        <w:t xml:space="preserve"> </w:t>
      </w:r>
      <w:r>
        <w:rPr>
          <w:b/>
          <w:sz w:val="24"/>
        </w:rPr>
        <w:t>Health:</w:t>
      </w:r>
      <w:r>
        <w:rPr>
          <w:b/>
          <w:spacing w:val="-4"/>
          <w:sz w:val="24"/>
        </w:rPr>
        <w:t xml:space="preserve"> </w:t>
      </w:r>
      <w:r>
        <w:rPr>
          <w:b/>
          <w:sz w:val="24"/>
        </w:rPr>
        <w:t>the</w:t>
      </w:r>
      <w:r>
        <w:rPr>
          <w:b/>
          <w:spacing w:val="-4"/>
          <w:sz w:val="24"/>
        </w:rPr>
        <w:t xml:space="preserve"> </w:t>
      </w:r>
      <w:r>
        <w:rPr>
          <w:b/>
          <w:sz w:val="24"/>
        </w:rPr>
        <w:t>State’s</w:t>
      </w:r>
      <w:r>
        <w:rPr>
          <w:b/>
          <w:spacing w:val="-4"/>
          <w:sz w:val="24"/>
        </w:rPr>
        <w:t xml:space="preserve"> </w:t>
      </w:r>
      <w:r>
        <w:rPr>
          <w:b/>
          <w:sz w:val="24"/>
        </w:rPr>
        <w:t>right</w:t>
      </w:r>
      <w:r>
        <w:rPr>
          <w:b/>
          <w:spacing w:val="-4"/>
          <w:sz w:val="24"/>
        </w:rPr>
        <w:t xml:space="preserve"> </w:t>
      </w:r>
      <w:r>
        <w:rPr>
          <w:b/>
          <w:sz w:val="24"/>
        </w:rPr>
        <w:t>of recourse against third sector organisations from medical malpractice</w:t>
      </w:r>
    </w:p>
    <w:p w:rsidR="007259F2" w:rsidRDefault="00E655B4">
      <w:pPr>
        <w:spacing w:before="200"/>
        <w:ind w:left="710"/>
        <w:jc w:val="both"/>
        <w:rPr>
          <w:b/>
          <w:sz w:val="24"/>
        </w:rPr>
      </w:pPr>
      <w:r>
        <w:rPr>
          <w:b/>
          <w:sz w:val="24"/>
        </w:rPr>
        <w:t>Amanda</w:t>
      </w:r>
      <w:r>
        <w:rPr>
          <w:b/>
          <w:spacing w:val="-3"/>
          <w:sz w:val="24"/>
        </w:rPr>
        <w:t xml:space="preserve"> </w:t>
      </w:r>
      <w:r>
        <w:rPr>
          <w:b/>
          <w:sz w:val="24"/>
        </w:rPr>
        <w:t>Torres</w:t>
      </w:r>
      <w:r>
        <w:rPr>
          <w:b/>
          <w:spacing w:val="-3"/>
          <w:sz w:val="24"/>
        </w:rPr>
        <w:t xml:space="preserve"> </w:t>
      </w:r>
      <w:r>
        <w:rPr>
          <w:b/>
          <w:spacing w:val="-2"/>
          <w:sz w:val="24"/>
        </w:rPr>
        <w:t>Santos</w:t>
      </w:r>
      <w:r>
        <w:rPr>
          <w:b/>
          <w:spacing w:val="-2"/>
          <w:sz w:val="24"/>
          <w:vertAlign w:val="superscript"/>
        </w:rPr>
        <w:t>1</w:t>
      </w:r>
    </w:p>
    <w:p w:rsidR="007259F2" w:rsidRDefault="007259F2">
      <w:pPr>
        <w:pStyle w:val="Corpodetexto"/>
        <w:spacing w:before="240"/>
        <w:ind w:left="0" w:firstLine="0"/>
        <w:jc w:val="left"/>
        <w:rPr>
          <w:b/>
        </w:rPr>
      </w:pPr>
    </w:p>
    <w:p w:rsidR="007259F2" w:rsidRDefault="00E655B4">
      <w:pPr>
        <w:pStyle w:val="Heading1"/>
      </w:pPr>
      <w:r>
        <w:rPr>
          <w:spacing w:val="-2"/>
        </w:rPr>
        <w:t>RESUMO</w:t>
      </w:r>
    </w:p>
    <w:p w:rsidR="007259F2" w:rsidRDefault="00E655B4">
      <w:pPr>
        <w:pStyle w:val="Corpodetexto"/>
        <w:spacing w:before="154"/>
        <w:ind w:right="847" w:firstLine="0"/>
      </w:pPr>
      <w:r>
        <w:t>O presente artigo tem o objetivo de investigar a responsabilidade civil do Estado pelo</w:t>
      </w:r>
      <w:r>
        <w:rPr>
          <w:spacing w:val="80"/>
        </w:rPr>
        <w:t xml:space="preserve"> </w:t>
      </w:r>
      <w:r>
        <w:t>erro médico ocorrido nas unidades de saúde públicas administradas por entidades do terceiro setor por meio de contrato de gestão e a possibilidade de direito de regresso do Estado contra a organização social. Utilizou-se o método de pesquisa jurídico-teórico, com levantamento bibliográfico e análise da legislação federal, doutrina e jurisprudência relacionadas ao tema. Conclui-se que, apesar das divergências doutrinárias apresentadas, considerando o entendimento da jurisprudência estudada, o Estado possui responsabilidade objetiva pelo erro médico causado no âmbito do contrato de gestão na área da saúde, havendo a possibilidade de direito de regresso em prol do Estado, que arcou com a indenização à vítima do dano.</w:t>
      </w:r>
    </w:p>
    <w:p w:rsidR="007259F2" w:rsidRDefault="00E655B4">
      <w:pPr>
        <w:pStyle w:val="Corpodetexto"/>
        <w:spacing w:before="120"/>
        <w:ind w:right="852" w:firstLine="0"/>
      </w:pPr>
      <w:r>
        <w:rPr>
          <w:b/>
        </w:rPr>
        <w:t xml:space="preserve">Palavras-chave: </w:t>
      </w:r>
      <w:r>
        <w:t>responsabilidade civil do Estado; contrato de gestão na área da saúde; erro médico.</w:t>
      </w:r>
    </w:p>
    <w:p w:rsidR="007259F2" w:rsidRDefault="007259F2">
      <w:pPr>
        <w:pStyle w:val="Corpodetexto"/>
        <w:spacing w:before="246"/>
        <w:ind w:left="0" w:firstLine="0"/>
        <w:jc w:val="left"/>
      </w:pPr>
    </w:p>
    <w:p w:rsidR="007259F2" w:rsidRDefault="00E655B4">
      <w:pPr>
        <w:pStyle w:val="Heading1"/>
      </w:pPr>
      <w:r>
        <w:rPr>
          <w:spacing w:val="-2"/>
        </w:rPr>
        <w:t>ABSTRACT</w:t>
      </w:r>
    </w:p>
    <w:p w:rsidR="007259F2" w:rsidRDefault="00E655B4">
      <w:pPr>
        <w:pStyle w:val="Corpodetexto"/>
        <w:spacing w:before="115"/>
        <w:ind w:right="844" w:firstLine="0"/>
      </w:pPr>
      <w:r>
        <w:t>The present article aims to investigate the civil liability of the State for medical malpractice occurred in public health facilities managed by third sector organisations through a management contract and the possibility of the right of recourse to the State against</w:t>
      </w:r>
      <w:r>
        <w:rPr>
          <w:spacing w:val="40"/>
        </w:rPr>
        <w:t xml:space="preserve"> </w:t>
      </w:r>
      <w:r>
        <w:t>such organizations.</w:t>
      </w:r>
      <w:r>
        <w:rPr>
          <w:spacing w:val="40"/>
        </w:rPr>
        <w:t xml:space="preserve"> </w:t>
      </w:r>
      <w:r>
        <w:t>The</w:t>
      </w:r>
      <w:r>
        <w:rPr>
          <w:spacing w:val="40"/>
        </w:rPr>
        <w:t xml:space="preserve"> </w:t>
      </w:r>
      <w:r>
        <w:t>legal-theoretical</w:t>
      </w:r>
      <w:r>
        <w:rPr>
          <w:spacing w:val="40"/>
        </w:rPr>
        <w:t xml:space="preserve"> </w:t>
      </w:r>
      <w:r>
        <w:t>method</w:t>
      </w:r>
      <w:r>
        <w:rPr>
          <w:spacing w:val="40"/>
        </w:rPr>
        <w:t xml:space="preserve"> </w:t>
      </w:r>
      <w:r>
        <w:t>was</w:t>
      </w:r>
      <w:r>
        <w:rPr>
          <w:spacing w:val="40"/>
        </w:rPr>
        <w:t xml:space="preserve"> </w:t>
      </w:r>
      <w:r>
        <w:t>used,</w:t>
      </w:r>
      <w:r>
        <w:rPr>
          <w:spacing w:val="40"/>
        </w:rPr>
        <w:t xml:space="preserve"> </w:t>
      </w:r>
      <w:r>
        <w:t>with</w:t>
      </w:r>
      <w:r>
        <w:rPr>
          <w:spacing w:val="40"/>
        </w:rPr>
        <w:t xml:space="preserve"> </w:t>
      </w:r>
      <w:r>
        <w:t>a bibliographic</w:t>
      </w:r>
      <w:r>
        <w:rPr>
          <w:spacing w:val="40"/>
        </w:rPr>
        <w:t xml:space="preserve"> </w:t>
      </w:r>
      <w:r>
        <w:t>survey</w:t>
      </w:r>
      <w:r>
        <w:rPr>
          <w:spacing w:val="40"/>
        </w:rPr>
        <w:t xml:space="preserve"> </w:t>
      </w:r>
      <w:r>
        <w:t>and analysis of federal legislation, doctrine and jurisprudence related to the subject were carried out. It is concluded that, despite the doctrinal divergences presented, considering the understanding of the jurisprudence studied, the State has strict liability for medical</w:t>
      </w:r>
      <w:r>
        <w:rPr>
          <w:spacing w:val="40"/>
        </w:rPr>
        <w:t xml:space="preserve"> </w:t>
      </w:r>
      <w:r>
        <w:t>malpractice occured under the health management contract, and there is the possibility</w:t>
      </w:r>
      <w:r>
        <w:rPr>
          <w:spacing w:val="-3"/>
        </w:rPr>
        <w:t xml:space="preserve"> </w:t>
      </w:r>
      <w:r>
        <w:t>of a right of recourse in favor of the State, which has paid compensation to the victim of the</w:t>
      </w:r>
      <w:r>
        <w:rPr>
          <w:spacing w:val="80"/>
        </w:rPr>
        <w:t xml:space="preserve"> </w:t>
      </w:r>
      <w:r>
        <w:t>injury.</w:t>
      </w:r>
    </w:p>
    <w:p w:rsidR="007259F2" w:rsidRDefault="00E655B4">
      <w:pPr>
        <w:pStyle w:val="Corpodetexto"/>
        <w:spacing w:before="121"/>
        <w:ind w:firstLine="0"/>
      </w:pPr>
      <w:r>
        <w:rPr>
          <w:b/>
        </w:rPr>
        <w:t>Keywords:</w:t>
      </w:r>
      <w:r>
        <w:rPr>
          <w:b/>
          <w:spacing w:val="-9"/>
        </w:rPr>
        <w:t xml:space="preserve"> </w:t>
      </w:r>
      <w:r>
        <w:t>civil</w:t>
      </w:r>
      <w:r>
        <w:rPr>
          <w:spacing w:val="-1"/>
        </w:rPr>
        <w:t xml:space="preserve"> </w:t>
      </w:r>
      <w:r>
        <w:t>liability</w:t>
      </w:r>
      <w:r>
        <w:rPr>
          <w:spacing w:val="-9"/>
        </w:rPr>
        <w:t xml:space="preserve"> </w:t>
      </w:r>
      <w:r>
        <w:t>of</w:t>
      </w:r>
      <w:r>
        <w:rPr>
          <w:spacing w:val="-6"/>
        </w:rPr>
        <w:t xml:space="preserve"> </w:t>
      </w:r>
      <w:r>
        <w:t>the</w:t>
      </w:r>
      <w:r>
        <w:rPr>
          <w:spacing w:val="-2"/>
        </w:rPr>
        <w:t xml:space="preserve"> </w:t>
      </w:r>
      <w:r>
        <w:t>State;</w:t>
      </w:r>
      <w:r>
        <w:rPr>
          <w:spacing w:val="-4"/>
        </w:rPr>
        <w:t xml:space="preserve"> </w:t>
      </w:r>
      <w:r>
        <w:t>health</w:t>
      </w:r>
      <w:r>
        <w:rPr>
          <w:spacing w:val="-1"/>
        </w:rPr>
        <w:t xml:space="preserve"> </w:t>
      </w:r>
      <w:r>
        <w:t>management</w:t>
      </w:r>
      <w:r>
        <w:rPr>
          <w:spacing w:val="-1"/>
        </w:rPr>
        <w:t xml:space="preserve"> </w:t>
      </w:r>
      <w:r>
        <w:t>contract; medical</w:t>
      </w:r>
      <w:r>
        <w:rPr>
          <w:spacing w:val="2"/>
        </w:rPr>
        <w:t xml:space="preserve"> </w:t>
      </w:r>
      <w:r>
        <w:rPr>
          <w:spacing w:val="-2"/>
        </w:rPr>
        <w:t>malpractice.</w:t>
      </w:r>
    </w:p>
    <w:p w:rsidR="007259F2" w:rsidRDefault="007259F2">
      <w:pPr>
        <w:pStyle w:val="Corpodetexto"/>
        <w:spacing w:before="127"/>
        <w:ind w:left="0" w:firstLine="0"/>
        <w:jc w:val="left"/>
      </w:pPr>
    </w:p>
    <w:p w:rsidR="007259F2" w:rsidRDefault="00E655B4">
      <w:pPr>
        <w:pStyle w:val="Heading2"/>
        <w:numPr>
          <w:ilvl w:val="0"/>
          <w:numId w:val="44"/>
        </w:numPr>
        <w:tabs>
          <w:tab w:val="left" w:pos="1009"/>
        </w:tabs>
        <w:spacing w:before="0"/>
        <w:ind w:left="1009" w:hanging="297"/>
      </w:pPr>
      <w:r>
        <w:rPr>
          <w:spacing w:val="-2"/>
        </w:rPr>
        <w:t>Introdução</w:t>
      </w:r>
    </w:p>
    <w:p w:rsidR="007259F2" w:rsidRDefault="00E655B4">
      <w:pPr>
        <w:pStyle w:val="Corpodetexto"/>
        <w:spacing w:before="113"/>
        <w:ind w:right="424"/>
        <w:jc w:val="left"/>
      </w:pPr>
      <w:r>
        <w:t>O</w:t>
      </w:r>
      <w:r>
        <w:rPr>
          <w:spacing w:val="40"/>
        </w:rPr>
        <w:t xml:space="preserve"> </w:t>
      </w:r>
      <w:r>
        <w:t>presente</w:t>
      </w:r>
      <w:r>
        <w:rPr>
          <w:spacing w:val="40"/>
        </w:rPr>
        <w:t xml:space="preserve"> </w:t>
      </w:r>
      <w:r>
        <w:t>estudo</w:t>
      </w:r>
      <w:r>
        <w:rPr>
          <w:spacing w:val="40"/>
        </w:rPr>
        <w:t xml:space="preserve"> </w:t>
      </w:r>
      <w:r>
        <w:t>tem</w:t>
      </w:r>
      <w:r>
        <w:rPr>
          <w:spacing w:val="40"/>
        </w:rPr>
        <w:t xml:space="preserve"> </w:t>
      </w:r>
      <w:r>
        <w:t>por</w:t>
      </w:r>
      <w:r>
        <w:rPr>
          <w:spacing w:val="40"/>
        </w:rPr>
        <w:t xml:space="preserve"> </w:t>
      </w:r>
      <w:r>
        <w:t>objetivo</w:t>
      </w:r>
      <w:r>
        <w:rPr>
          <w:spacing w:val="40"/>
        </w:rPr>
        <w:t xml:space="preserve"> </w:t>
      </w:r>
      <w:r>
        <w:t>investigar</w:t>
      </w:r>
      <w:r>
        <w:rPr>
          <w:spacing w:val="40"/>
        </w:rPr>
        <w:t xml:space="preserve"> </w:t>
      </w:r>
      <w:r>
        <w:t>a</w:t>
      </w:r>
      <w:r>
        <w:rPr>
          <w:spacing w:val="40"/>
        </w:rPr>
        <w:t xml:space="preserve"> </w:t>
      </w:r>
      <w:r>
        <w:t>responsabilização</w:t>
      </w:r>
      <w:r>
        <w:rPr>
          <w:spacing w:val="40"/>
        </w:rPr>
        <w:t xml:space="preserve"> </w:t>
      </w:r>
      <w:r>
        <w:t>civil</w:t>
      </w:r>
      <w:r>
        <w:rPr>
          <w:spacing w:val="40"/>
        </w:rPr>
        <w:t xml:space="preserve"> </w:t>
      </w:r>
      <w:r>
        <w:t>do</w:t>
      </w:r>
      <w:r>
        <w:rPr>
          <w:spacing w:val="40"/>
        </w:rPr>
        <w:t xml:space="preserve"> </w:t>
      </w:r>
      <w:r>
        <w:t>Estado decorrente de erro médico ocorrido nas unidades de saúde públicas geridas pelas</w:t>
      </w:r>
    </w:p>
    <w:p w:rsidR="007259F2" w:rsidRDefault="007259F2">
      <w:pPr>
        <w:pStyle w:val="Corpodetexto"/>
        <w:ind w:left="0" w:firstLine="0"/>
        <w:jc w:val="left"/>
        <w:rPr>
          <w:sz w:val="20"/>
        </w:rPr>
      </w:pPr>
    </w:p>
    <w:p w:rsidR="007259F2" w:rsidRDefault="007259F2">
      <w:pPr>
        <w:pStyle w:val="Corpodetexto"/>
        <w:ind w:left="0" w:firstLine="0"/>
        <w:jc w:val="left"/>
        <w:rPr>
          <w:sz w:val="20"/>
        </w:rPr>
      </w:pPr>
    </w:p>
    <w:p w:rsidR="007259F2" w:rsidRDefault="007259F2">
      <w:pPr>
        <w:pStyle w:val="Corpodetexto"/>
        <w:ind w:left="0" w:firstLine="0"/>
        <w:jc w:val="left"/>
        <w:rPr>
          <w:sz w:val="20"/>
        </w:rPr>
      </w:pPr>
    </w:p>
    <w:p w:rsidR="007259F2" w:rsidRDefault="007259F2">
      <w:pPr>
        <w:pStyle w:val="Corpodetexto"/>
        <w:ind w:left="0" w:firstLine="0"/>
        <w:jc w:val="left"/>
        <w:rPr>
          <w:sz w:val="20"/>
        </w:rPr>
      </w:pPr>
    </w:p>
    <w:p w:rsidR="007259F2" w:rsidRDefault="00DE6B1C">
      <w:pPr>
        <w:pStyle w:val="Corpodetexto"/>
        <w:spacing w:before="18"/>
        <w:ind w:left="0" w:firstLine="0"/>
        <w:jc w:val="left"/>
        <w:rPr>
          <w:sz w:val="20"/>
        </w:rPr>
      </w:pPr>
      <w:r w:rsidRPr="00DE6B1C">
        <w:rPr>
          <w:sz w:val="20"/>
        </w:rPr>
        <w:pict>
          <v:rect id="docshape16" o:spid="_x0000_s1206" style="position:absolute;margin-left:85.1pt;margin-top:13.6pt;width:2in;height:.7pt;z-index:-15725568;mso-wrap-distance-left:0;mso-wrap-distance-right:0;mso-position-horizontal-relative:page" fillcolor="black" stroked="f">
            <w10:wrap type="topAndBottom" anchorx="page"/>
          </v:rect>
        </w:pict>
      </w:r>
    </w:p>
    <w:p w:rsidR="007259F2" w:rsidRDefault="00E655B4">
      <w:pPr>
        <w:spacing w:before="96"/>
        <w:ind w:left="710" w:right="423"/>
        <w:jc w:val="both"/>
        <w:rPr>
          <w:sz w:val="20"/>
        </w:rPr>
      </w:pPr>
      <w:r>
        <w:rPr>
          <w:sz w:val="20"/>
          <w:vertAlign w:val="superscript"/>
        </w:rPr>
        <w:t>1</w:t>
      </w:r>
      <w:r>
        <w:rPr>
          <w:sz w:val="20"/>
        </w:rPr>
        <w:t xml:space="preserve"> Residente Jurídica do Programa de Residência Jurídica da Procuradoria Geral do Município de São Paulo, alocada na Secretaria Municipal da Pessoa com Deficiência – SMPED (2022-2025). E-mail: </w:t>
      </w:r>
      <w:hyperlink r:id="rId29">
        <w:r>
          <w:rPr>
            <w:spacing w:val="-2"/>
            <w:sz w:val="20"/>
          </w:rPr>
          <w:t>amandatorres.san@gmail.com</w:t>
        </w:r>
      </w:hyperlink>
    </w:p>
    <w:p w:rsidR="007259F2" w:rsidRDefault="007259F2">
      <w:pPr>
        <w:jc w:val="both"/>
        <w:rPr>
          <w:sz w:val="20"/>
        </w:rPr>
        <w:sectPr w:rsidR="007259F2">
          <w:footerReference w:type="default" r:id="rId30"/>
          <w:pgSz w:w="11910" w:h="16840"/>
          <w:pgMar w:top="1620" w:right="708" w:bottom="1020" w:left="992" w:header="0" w:footer="820" w:gutter="0"/>
          <w:cols w:space="720"/>
        </w:sectPr>
      </w:pPr>
    </w:p>
    <w:p w:rsidR="007259F2" w:rsidRDefault="00E655B4">
      <w:pPr>
        <w:pStyle w:val="Corpodetexto"/>
        <w:spacing w:before="75"/>
        <w:ind w:right="422" w:firstLine="0"/>
      </w:pPr>
      <w:r>
        <w:lastRenderedPageBreak/>
        <w:t>entidades do terceiro setor por meio de contrato de gestão e a possibilidade de direito de regresso do Estado em face destas últimas.</w:t>
      </w:r>
    </w:p>
    <w:p w:rsidR="007259F2" w:rsidRDefault="00E655B4">
      <w:pPr>
        <w:pStyle w:val="Corpodetexto"/>
        <w:ind w:right="424"/>
      </w:pPr>
      <w:r>
        <w:t>Pretende-se identificar qual ou quais pessoas jurídicas devem responder pelos erros médicos consumados em tais circunstâncias, se o Estado ou a organização social gestora e, ainda, confirmada a hipótese de o Estado ter responsabilidade objetiva frente à vítima do</w:t>
      </w:r>
      <w:r>
        <w:rPr>
          <w:spacing w:val="40"/>
        </w:rPr>
        <w:t xml:space="preserve"> </w:t>
      </w:r>
      <w:r>
        <w:t>dano,</w:t>
      </w:r>
      <w:r>
        <w:rPr>
          <w:spacing w:val="-1"/>
        </w:rPr>
        <w:t xml:space="preserve"> </w:t>
      </w:r>
      <w:r>
        <w:t>uma</w:t>
      </w:r>
      <w:r>
        <w:rPr>
          <w:spacing w:val="-1"/>
        </w:rPr>
        <w:t xml:space="preserve"> </w:t>
      </w:r>
      <w:r>
        <w:t>vez tendo</w:t>
      </w:r>
      <w:r>
        <w:rPr>
          <w:spacing w:val="-2"/>
        </w:rPr>
        <w:t xml:space="preserve"> </w:t>
      </w:r>
      <w:r>
        <w:t>este arcado</w:t>
      </w:r>
      <w:r>
        <w:rPr>
          <w:spacing w:val="-1"/>
        </w:rPr>
        <w:t xml:space="preserve"> </w:t>
      </w:r>
      <w:r>
        <w:t>com a indenização</w:t>
      </w:r>
      <w:r>
        <w:rPr>
          <w:spacing w:val="-1"/>
        </w:rPr>
        <w:t xml:space="preserve"> </w:t>
      </w:r>
      <w:r>
        <w:t>devida,</w:t>
      </w:r>
      <w:r>
        <w:rPr>
          <w:spacing w:val="-1"/>
        </w:rPr>
        <w:t xml:space="preserve"> </w:t>
      </w:r>
      <w:r>
        <w:t>pretende-se</w:t>
      </w:r>
      <w:r>
        <w:rPr>
          <w:spacing w:val="-2"/>
        </w:rPr>
        <w:t xml:space="preserve"> </w:t>
      </w:r>
      <w:r>
        <w:t>averiguar</w:t>
      </w:r>
      <w:r>
        <w:rPr>
          <w:spacing w:val="-1"/>
        </w:rPr>
        <w:t xml:space="preserve"> </w:t>
      </w:r>
      <w:r>
        <w:t>se</w:t>
      </w:r>
      <w:r>
        <w:rPr>
          <w:spacing w:val="-2"/>
        </w:rPr>
        <w:t xml:space="preserve"> </w:t>
      </w:r>
      <w:r>
        <w:t>é cabível o direito de regresso contra a entidade gestora da unidade de saúde.</w:t>
      </w:r>
    </w:p>
    <w:p w:rsidR="007259F2" w:rsidRDefault="00E655B4">
      <w:pPr>
        <w:pStyle w:val="Corpodetexto"/>
        <w:ind w:right="424"/>
      </w:pPr>
      <w:r>
        <w:t>Para tanto, a pesquisa tem como objetivos específicos analisar o panorama geral da responsabilidade objetiva estatal, conforme a teoria do risco do direito civil e, especificamente, a teoria do risco administrativo, além das disposições atinentes na Constituição Federal de 1988 e no Código Civil, e, na sequência, se incide para o Estado o dever de indenizar o usuário dos serviços públicos de saúde vítima de erro médico.</w:t>
      </w:r>
    </w:p>
    <w:p w:rsidR="007259F2" w:rsidRDefault="00E655B4">
      <w:pPr>
        <w:pStyle w:val="Corpodetexto"/>
        <w:spacing w:before="1"/>
        <w:ind w:right="423"/>
      </w:pPr>
      <w:r>
        <w:t>Ainda, na última seção do presente artigo objetiva-se examinar o contrato de gestão conforme a lei de regência das organizações sociais e a competência para a respectiva celebração e fiscalização, bem como investigar sobre quem recai a responsabilidade civil decorrente de erro médico cometido em unidade de saúde pública gerida por contrato de gestão, e, por fim, caso confirmado que o Estado responde objetivamente pelo erro médico causado nessas condições, se há possibilidade deste exercer direito de regresso contra a organização social gestora da unidade de saúde.</w:t>
      </w:r>
    </w:p>
    <w:p w:rsidR="007259F2" w:rsidRDefault="00E655B4">
      <w:pPr>
        <w:pStyle w:val="Corpodetexto"/>
        <w:ind w:right="412"/>
      </w:pPr>
      <w:r>
        <w:t>O contrato de gestão é instrumento cada vez mais utilizado pelo poder público para a formação</w:t>
      </w:r>
      <w:r>
        <w:rPr>
          <w:spacing w:val="-3"/>
        </w:rPr>
        <w:t xml:space="preserve"> </w:t>
      </w:r>
      <w:r>
        <w:t>de</w:t>
      </w:r>
      <w:r>
        <w:rPr>
          <w:spacing w:val="-2"/>
        </w:rPr>
        <w:t xml:space="preserve"> </w:t>
      </w:r>
      <w:r>
        <w:t>parcerias com</w:t>
      </w:r>
      <w:r>
        <w:rPr>
          <w:spacing w:val="-3"/>
        </w:rPr>
        <w:t xml:space="preserve"> </w:t>
      </w:r>
      <w:r>
        <w:t>entidades</w:t>
      </w:r>
      <w:r>
        <w:rPr>
          <w:spacing w:val="-3"/>
        </w:rPr>
        <w:t xml:space="preserve"> </w:t>
      </w:r>
      <w:r>
        <w:t>qualificadas como</w:t>
      </w:r>
      <w:r>
        <w:rPr>
          <w:spacing w:val="-1"/>
        </w:rPr>
        <w:t xml:space="preserve"> </w:t>
      </w:r>
      <w:r>
        <w:t>organização</w:t>
      </w:r>
      <w:r>
        <w:rPr>
          <w:spacing w:val="-3"/>
        </w:rPr>
        <w:t xml:space="preserve"> </w:t>
      </w:r>
      <w:r>
        <w:t>social para</w:t>
      </w:r>
      <w:r>
        <w:rPr>
          <w:spacing w:val="-5"/>
        </w:rPr>
        <w:t xml:space="preserve"> </w:t>
      </w:r>
      <w:r>
        <w:t>o</w:t>
      </w:r>
      <w:r>
        <w:rPr>
          <w:spacing w:val="-1"/>
        </w:rPr>
        <w:t xml:space="preserve"> </w:t>
      </w:r>
      <w:r>
        <w:t>fomento</w:t>
      </w:r>
      <w:r>
        <w:rPr>
          <w:spacing w:val="-1"/>
        </w:rPr>
        <w:t xml:space="preserve"> </w:t>
      </w:r>
      <w:r>
        <w:t>e a execução de serviços públicos, especialmente pelo Poder Executivo, o principal responsável pela prestação destes serviços e pela efetivação de políticas públicas, incluindo a Saúde.</w:t>
      </w:r>
    </w:p>
    <w:p w:rsidR="007259F2" w:rsidRDefault="00E655B4">
      <w:pPr>
        <w:pStyle w:val="Corpodetexto"/>
        <w:spacing w:before="1"/>
        <w:ind w:right="423"/>
      </w:pPr>
      <w:r>
        <w:t>Atualmente, grande parte dos contratos de gestão da Administração Pública é para o atendimento da área da saúde, sendo esta um direito social de todos e dever do Estado, consoante o artigo 196 de nossa Constituição Federal.</w:t>
      </w:r>
    </w:p>
    <w:p w:rsidR="007259F2" w:rsidRDefault="00E655B4">
      <w:pPr>
        <w:pStyle w:val="Corpodetexto"/>
        <w:ind w:right="427"/>
      </w:pPr>
      <w:r>
        <w:t>Algumas das causas possíveis de serem elencadas para o aumento da descentralização do serviço público de saúde ao terceiro setor por meio dos contratos de gestão ao longo das últimas décadas são a maior agilidade e eficiência na prestação do serviço, assim como uma maior capilarização do sistema de saúde como um todo, facilitando a instalação de hospitais e unidades de saúde de forma regionalizada, mais próxima do cidadão.</w:t>
      </w:r>
    </w:p>
    <w:p w:rsidR="007259F2" w:rsidRDefault="00E655B4">
      <w:pPr>
        <w:pStyle w:val="Corpodetexto"/>
        <w:ind w:right="424"/>
      </w:pPr>
      <w:r>
        <w:t>Desde o advento da Lei Federal n° 9.637 de 1998, que dispõe sobre a qualificação de entidades</w:t>
      </w:r>
      <w:r>
        <w:rPr>
          <w:spacing w:val="-1"/>
        </w:rPr>
        <w:t xml:space="preserve"> </w:t>
      </w:r>
      <w:r>
        <w:t>como</w:t>
      </w:r>
      <w:r>
        <w:rPr>
          <w:spacing w:val="-3"/>
        </w:rPr>
        <w:t xml:space="preserve"> </w:t>
      </w:r>
      <w:r>
        <w:t>organizações</w:t>
      </w:r>
      <w:r>
        <w:rPr>
          <w:spacing w:val="-2"/>
        </w:rPr>
        <w:t xml:space="preserve"> </w:t>
      </w:r>
      <w:r>
        <w:t>sociais</w:t>
      </w:r>
      <w:r>
        <w:rPr>
          <w:spacing w:val="-3"/>
        </w:rPr>
        <w:t xml:space="preserve"> </w:t>
      </w:r>
      <w:r>
        <w:t>e</w:t>
      </w:r>
      <w:r>
        <w:rPr>
          <w:spacing w:val="-2"/>
        </w:rPr>
        <w:t xml:space="preserve"> </w:t>
      </w:r>
      <w:r>
        <w:t>sobre</w:t>
      </w:r>
      <w:r>
        <w:rPr>
          <w:spacing w:val="-5"/>
        </w:rPr>
        <w:t xml:space="preserve"> </w:t>
      </w:r>
      <w:r>
        <w:t>o contrato</w:t>
      </w:r>
      <w:r>
        <w:rPr>
          <w:spacing w:val="-2"/>
        </w:rPr>
        <w:t xml:space="preserve"> </w:t>
      </w:r>
      <w:r>
        <w:t>de gestão,</w:t>
      </w:r>
      <w:r>
        <w:rPr>
          <w:spacing w:val="-1"/>
        </w:rPr>
        <w:t xml:space="preserve"> </w:t>
      </w:r>
      <w:r>
        <w:t>houve</w:t>
      </w:r>
      <w:r>
        <w:rPr>
          <w:spacing w:val="-4"/>
        </w:rPr>
        <w:t xml:space="preserve"> </w:t>
      </w:r>
      <w:r>
        <w:t>abrangente discussão no campo jurídico, gerando a produção de diversas obras, artigos, teses e demais pesquisas acadêmicas, além de jurisprudência acerca da temática.</w:t>
      </w:r>
    </w:p>
    <w:p w:rsidR="007259F2" w:rsidRDefault="00E655B4">
      <w:pPr>
        <w:pStyle w:val="Corpodetexto"/>
        <w:ind w:right="422"/>
      </w:pPr>
      <w:r>
        <w:t>Contudo, passados mais de vinte anos desde a vigência desta lei, observa-se a insuficiência</w:t>
      </w:r>
      <w:r>
        <w:rPr>
          <w:spacing w:val="-4"/>
        </w:rPr>
        <w:t xml:space="preserve"> </w:t>
      </w:r>
      <w:r>
        <w:t>de</w:t>
      </w:r>
      <w:r>
        <w:rPr>
          <w:spacing w:val="-4"/>
        </w:rPr>
        <w:t xml:space="preserve"> </w:t>
      </w:r>
      <w:r>
        <w:t>debate</w:t>
      </w:r>
      <w:r>
        <w:rPr>
          <w:spacing w:val="-1"/>
        </w:rPr>
        <w:t xml:space="preserve"> </w:t>
      </w:r>
      <w:r>
        <w:t>a respeito</w:t>
      </w:r>
      <w:r>
        <w:rPr>
          <w:spacing w:val="-3"/>
        </w:rPr>
        <w:t xml:space="preserve"> </w:t>
      </w:r>
      <w:r>
        <w:t>da</w:t>
      </w:r>
      <w:r>
        <w:rPr>
          <w:spacing w:val="-2"/>
        </w:rPr>
        <w:t xml:space="preserve"> </w:t>
      </w:r>
      <w:r>
        <w:t>responsabilidade</w:t>
      </w:r>
      <w:r>
        <w:rPr>
          <w:spacing w:val="-4"/>
        </w:rPr>
        <w:t xml:space="preserve"> </w:t>
      </w:r>
      <w:r>
        <w:t>civil</w:t>
      </w:r>
      <w:r>
        <w:rPr>
          <w:spacing w:val="-3"/>
        </w:rPr>
        <w:t xml:space="preserve"> </w:t>
      </w:r>
      <w:r>
        <w:t>das</w:t>
      </w:r>
      <w:r>
        <w:rPr>
          <w:spacing w:val="-1"/>
        </w:rPr>
        <w:t xml:space="preserve"> </w:t>
      </w:r>
      <w:r>
        <w:t>organizações</w:t>
      </w:r>
      <w:r>
        <w:rPr>
          <w:spacing w:val="-2"/>
        </w:rPr>
        <w:t xml:space="preserve"> </w:t>
      </w:r>
      <w:r>
        <w:t>sociais</w:t>
      </w:r>
      <w:r>
        <w:rPr>
          <w:spacing w:val="-3"/>
        </w:rPr>
        <w:t xml:space="preserve"> </w:t>
      </w:r>
      <w:r>
        <w:t>partes</w:t>
      </w:r>
      <w:r>
        <w:rPr>
          <w:spacing w:val="-1"/>
        </w:rPr>
        <w:t xml:space="preserve"> </w:t>
      </w:r>
      <w:r>
        <w:t>nos contratos de gestão frente ao poder público, quanto mais em relação à responsabilidade que recai pelo erro médico ocorrido nos hospitais e unidades geridas por tais entidades.</w:t>
      </w:r>
    </w:p>
    <w:p w:rsidR="007259F2" w:rsidRDefault="00E655B4">
      <w:pPr>
        <w:pStyle w:val="Corpodetexto"/>
        <w:ind w:right="424"/>
      </w:pPr>
      <w:r>
        <w:t>Nesses termos, o presente artigo aborda tema necessário e relevante para o meio jurídico e social em si, mas precipuamente para a Administração Pública, considerando os casos em que esta é a primeira a ser condenada judicialmente a arcar com os custos de ressarcimento</w:t>
      </w:r>
      <w:r>
        <w:rPr>
          <w:spacing w:val="-2"/>
        </w:rPr>
        <w:t xml:space="preserve"> </w:t>
      </w:r>
      <w:r>
        <w:t>à</w:t>
      </w:r>
      <w:r>
        <w:rPr>
          <w:spacing w:val="-4"/>
        </w:rPr>
        <w:t xml:space="preserve"> </w:t>
      </w:r>
      <w:r>
        <w:t>vítima</w:t>
      </w:r>
      <w:r>
        <w:rPr>
          <w:spacing w:val="-3"/>
        </w:rPr>
        <w:t xml:space="preserve"> </w:t>
      </w:r>
      <w:r>
        <w:t>do</w:t>
      </w:r>
      <w:r>
        <w:rPr>
          <w:spacing w:val="-3"/>
        </w:rPr>
        <w:t xml:space="preserve"> </w:t>
      </w:r>
      <w:r>
        <w:t>dano,</w:t>
      </w:r>
      <w:r>
        <w:rPr>
          <w:spacing w:val="-3"/>
        </w:rPr>
        <w:t xml:space="preserve"> </w:t>
      </w:r>
      <w:r>
        <w:t>ou</w:t>
      </w:r>
      <w:r>
        <w:rPr>
          <w:spacing w:val="-3"/>
        </w:rPr>
        <w:t xml:space="preserve"> </w:t>
      </w:r>
      <w:r>
        <w:t>então</w:t>
      </w:r>
      <w:r>
        <w:rPr>
          <w:spacing w:val="-4"/>
        </w:rPr>
        <w:t xml:space="preserve"> </w:t>
      </w:r>
      <w:r>
        <w:t>quando é</w:t>
      </w:r>
      <w:r>
        <w:rPr>
          <w:spacing w:val="-4"/>
        </w:rPr>
        <w:t xml:space="preserve"> </w:t>
      </w:r>
      <w:r>
        <w:t>condenada</w:t>
      </w:r>
      <w:r>
        <w:rPr>
          <w:spacing w:val="-4"/>
        </w:rPr>
        <w:t xml:space="preserve"> </w:t>
      </w:r>
      <w:r>
        <w:t>em</w:t>
      </w:r>
      <w:r>
        <w:rPr>
          <w:spacing w:val="-1"/>
        </w:rPr>
        <w:t xml:space="preserve"> </w:t>
      </w:r>
      <w:r>
        <w:t>conjunto</w:t>
      </w:r>
      <w:r>
        <w:rPr>
          <w:spacing w:val="-3"/>
        </w:rPr>
        <w:t xml:space="preserve"> </w:t>
      </w:r>
      <w:r>
        <w:t>com</w:t>
      </w:r>
      <w:r>
        <w:rPr>
          <w:spacing w:val="-3"/>
        </w:rPr>
        <w:t xml:space="preserve"> </w:t>
      </w:r>
      <w:r>
        <w:t>a</w:t>
      </w:r>
      <w:r>
        <w:rPr>
          <w:spacing w:val="-4"/>
        </w:rPr>
        <w:t xml:space="preserve"> </w:t>
      </w:r>
      <w:r>
        <w:t>organização do terceiro setor, sendo pertinente, então, ampliar a discussão sobre essa questão.</w:t>
      </w:r>
    </w:p>
    <w:p w:rsidR="007259F2" w:rsidRDefault="007259F2">
      <w:pPr>
        <w:pStyle w:val="Corpodetexto"/>
        <w:sectPr w:rsidR="007259F2">
          <w:pgSz w:w="11910" w:h="16840"/>
          <w:pgMar w:top="1600" w:right="708" w:bottom="1020" w:left="992" w:header="0" w:footer="820" w:gutter="0"/>
          <w:cols w:space="720"/>
        </w:sectPr>
      </w:pPr>
    </w:p>
    <w:p w:rsidR="007259F2" w:rsidRDefault="00E655B4">
      <w:pPr>
        <w:pStyle w:val="Corpodetexto"/>
        <w:spacing w:before="75"/>
        <w:ind w:right="421"/>
      </w:pPr>
      <w:r>
        <w:lastRenderedPageBreak/>
        <w:t>Para a sua elaboração, será utilizado o método de pesquisa jurídico-teórico, pelo levantamento bibliográfico e avaliação crítica do material produzido pela doutrina nas áreas</w:t>
      </w:r>
      <w:r>
        <w:rPr>
          <w:spacing w:val="40"/>
        </w:rPr>
        <w:t xml:space="preserve"> </w:t>
      </w:r>
      <w:r>
        <w:t>de Direito Constitucional, quanto ao direito à saúde e à competência dos entes federados para a sua promoção, de Direito Civil, no que tange às questões que envolvem a responsabilidade civil objetiva estatal, principalmente perante o usuário dos serviços públicos vítima de erro médico, e Direito Administrativo, ao tratar do contrato de gestão, das organizações sociais e do debate acerca da responsabilidade destas em relação aos danos causados aos usuários dos serviços por ela administrados, e, ainda, do direito de regresso do Estado. Denota-se, assim, o caráter interdisciplinar do tema proposto.</w:t>
      </w:r>
    </w:p>
    <w:p w:rsidR="007259F2" w:rsidRDefault="00E655B4">
      <w:pPr>
        <w:pStyle w:val="Corpodetexto"/>
        <w:ind w:right="421"/>
      </w:pPr>
      <w:r>
        <w:t>A metodologia e procedimentos utilizados reúnem a análise de estudos jurídicos existentes</w:t>
      </w:r>
      <w:r>
        <w:rPr>
          <w:spacing w:val="-3"/>
        </w:rPr>
        <w:t xml:space="preserve"> </w:t>
      </w:r>
      <w:r>
        <w:t>a</w:t>
      </w:r>
      <w:r>
        <w:rPr>
          <w:spacing w:val="-7"/>
        </w:rPr>
        <w:t xml:space="preserve"> </w:t>
      </w:r>
      <w:r>
        <w:t>respeito</w:t>
      </w:r>
      <w:r>
        <w:rPr>
          <w:spacing w:val="-3"/>
        </w:rPr>
        <w:t xml:space="preserve"> </w:t>
      </w:r>
      <w:r>
        <w:t>da</w:t>
      </w:r>
      <w:r>
        <w:rPr>
          <w:spacing w:val="-1"/>
        </w:rPr>
        <w:t xml:space="preserve"> </w:t>
      </w:r>
      <w:r>
        <w:t>matéria</w:t>
      </w:r>
      <w:r>
        <w:rPr>
          <w:spacing w:val="-4"/>
        </w:rPr>
        <w:t xml:space="preserve"> </w:t>
      </w:r>
      <w:r>
        <w:t>através</w:t>
      </w:r>
      <w:r>
        <w:rPr>
          <w:spacing w:val="-1"/>
        </w:rPr>
        <w:t xml:space="preserve"> </w:t>
      </w:r>
      <w:r>
        <w:t>da</w:t>
      </w:r>
      <w:r>
        <w:rPr>
          <w:spacing w:val="-4"/>
        </w:rPr>
        <w:t xml:space="preserve"> </w:t>
      </w:r>
      <w:r>
        <w:t>legislação</w:t>
      </w:r>
      <w:r>
        <w:rPr>
          <w:spacing w:val="-2"/>
        </w:rPr>
        <w:t xml:space="preserve"> </w:t>
      </w:r>
      <w:r>
        <w:t>federal</w:t>
      </w:r>
      <w:r>
        <w:rPr>
          <w:spacing w:val="-2"/>
        </w:rPr>
        <w:t xml:space="preserve"> </w:t>
      </w:r>
      <w:r>
        <w:t>pertinente,</w:t>
      </w:r>
      <w:r>
        <w:rPr>
          <w:spacing w:val="-1"/>
        </w:rPr>
        <w:t xml:space="preserve"> </w:t>
      </w:r>
      <w:r>
        <w:t>de obras</w:t>
      </w:r>
      <w:r>
        <w:rPr>
          <w:spacing w:val="-3"/>
        </w:rPr>
        <w:t xml:space="preserve"> </w:t>
      </w:r>
      <w:r>
        <w:t>de</w:t>
      </w:r>
      <w:r>
        <w:rPr>
          <w:spacing w:val="-4"/>
        </w:rPr>
        <w:t xml:space="preserve"> </w:t>
      </w:r>
      <w:r>
        <w:t>estudiosos das matérias correlatas, artigos acadêmicos e demais publicações especializadas, bem como</w:t>
      </w:r>
      <w:r>
        <w:rPr>
          <w:spacing w:val="40"/>
        </w:rPr>
        <w:t xml:space="preserve"> </w:t>
      </w:r>
      <w:r>
        <w:t>da jurisprudência dos tribunais brasileiros quanto aos aspectos controvertidos da responsabilidade civil pelo erro médico causado dentro de unidades de saúde públicas objeto de contrato de gestão.</w:t>
      </w:r>
    </w:p>
    <w:p w:rsidR="007259F2" w:rsidRDefault="00E655B4">
      <w:pPr>
        <w:pStyle w:val="Corpodetexto"/>
        <w:spacing w:before="1"/>
        <w:ind w:right="422"/>
      </w:pPr>
      <w:r>
        <w:t>Para iniciar o desenvolvimento deste trabalho, é pertinente considerar as disposições normativas</w:t>
      </w:r>
      <w:r>
        <w:rPr>
          <w:spacing w:val="-1"/>
        </w:rPr>
        <w:t xml:space="preserve"> </w:t>
      </w:r>
      <w:r>
        <w:t>pátrias</w:t>
      </w:r>
      <w:r>
        <w:rPr>
          <w:spacing w:val="-1"/>
        </w:rPr>
        <w:t xml:space="preserve"> </w:t>
      </w:r>
      <w:r>
        <w:t>a</w:t>
      </w:r>
      <w:r>
        <w:rPr>
          <w:spacing w:val="-4"/>
        </w:rPr>
        <w:t xml:space="preserve"> </w:t>
      </w:r>
      <w:r>
        <w:t>respeito</w:t>
      </w:r>
      <w:r>
        <w:rPr>
          <w:spacing w:val="-1"/>
        </w:rPr>
        <w:t xml:space="preserve"> </w:t>
      </w:r>
      <w:r>
        <w:t>do direito</w:t>
      </w:r>
      <w:r>
        <w:rPr>
          <w:spacing w:val="-1"/>
        </w:rPr>
        <w:t xml:space="preserve"> </w:t>
      </w:r>
      <w:r>
        <w:t>à</w:t>
      </w:r>
      <w:r>
        <w:rPr>
          <w:spacing w:val="-4"/>
        </w:rPr>
        <w:t xml:space="preserve"> </w:t>
      </w:r>
      <w:r>
        <w:t>saúde,</w:t>
      </w:r>
      <w:r>
        <w:rPr>
          <w:spacing w:val="-1"/>
        </w:rPr>
        <w:t xml:space="preserve"> </w:t>
      </w:r>
      <w:r>
        <w:t>partindo</w:t>
      </w:r>
      <w:r>
        <w:rPr>
          <w:spacing w:val="-1"/>
        </w:rPr>
        <w:t xml:space="preserve"> </w:t>
      </w:r>
      <w:r>
        <w:t>da</w:t>
      </w:r>
      <w:r>
        <w:rPr>
          <w:spacing w:val="-4"/>
        </w:rPr>
        <w:t xml:space="preserve"> </w:t>
      </w:r>
      <w:r>
        <w:t>Constituição Federal de</w:t>
      </w:r>
      <w:r>
        <w:rPr>
          <w:spacing w:val="-2"/>
        </w:rPr>
        <w:t xml:space="preserve"> </w:t>
      </w:r>
      <w:r>
        <w:t>1988</w:t>
      </w:r>
      <w:r>
        <w:rPr>
          <w:spacing w:val="-1"/>
        </w:rPr>
        <w:t xml:space="preserve"> </w:t>
      </w:r>
      <w:r>
        <w:t>e</w:t>
      </w:r>
      <w:r>
        <w:rPr>
          <w:spacing w:val="-4"/>
        </w:rPr>
        <w:t xml:space="preserve"> </w:t>
      </w:r>
      <w:r>
        <w:t>da instituição do Sistema Único de Saúde (SUS), bem como em relação à competência dos entes federativos para promover e prestar atendimento em saúde à população.</w:t>
      </w:r>
    </w:p>
    <w:p w:rsidR="007259F2" w:rsidRDefault="00E655B4">
      <w:pPr>
        <w:pStyle w:val="Heading2"/>
        <w:numPr>
          <w:ilvl w:val="0"/>
          <w:numId w:val="44"/>
        </w:numPr>
        <w:tabs>
          <w:tab w:val="left" w:pos="892"/>
        </w:tabs>
        <w:ind w:left="892" w:hanging="180"/>
        <w:jc w:val="both"/>
      </w:pPr>
      <w:r>
        <w:t>O</w:t>
      </w:r>
      <w:r>
        <w:rPr>
          <w:spacing w:val="-2"/>
        </w:rPr>
        <w:t xml:space="preserve"> </w:t>
      </w:r>
      <w:r>
        <w:t>direito</w:t>
      </w:r>
      <w:r>
        <w:rPr>
          <w:spacing w:val="-1"/>
        </w:rPr>
        <w:t xml:space="preserve"> </w:t>
      </w:r>
      <w:r>
        <w:t>social</w:t>
      </w:r>
      <w:r>
        <w:rPr>
          <w:spacing w:val="-2"/>
        </w:rPr>
        <w:t xml:space="preserve"> </w:t>
      </w:r>
      <w:r>
        <w:t>à</w:t>
      </w:r>
      <w:r>
        <w:rPr>
          <w:spacing w:val="-1"/>
        </w:rPr>
        <w:t xml:space="preserve"> </w:t>
      </w:r>
      <w:r>
        <w:t>saúde</w:t>
      </w:r>
      <w:r>
        <w:rPr>
          <w:spacing w:val="-3"/>
        </w:rPr>
        <w:t xml:space="preserve"> </w:t>
      </w:r>
      <w:r>
        <w:t>e</w:t>
      </w:r>
      <w:r>
        <w:rPr>
          <w:spacing w:val="-2"/>
        </w:rPr>
        <w:t xml:space="preserve"> </w:t>
      </w:r>
      <w:r>
        <w:t>a</w:t>
      </w:r>
      <w:r>
        <w:rPr>
          <w:spacing w:val="-1"/>
        </w:rPr>
        <w:t xml:space="preserve"> </w:t>
      </w:r>
      <w:r>
        <w:t>Constituição</w:t>
      </w:r>
      <w:r>
        <w:rPr>
          <w:spacing w:val="-3"/>
        </w:rPr>
        <w:t xml:space="preserve"> </w:t>
      </w:r>
      <w:r>
        <w:t>Federal de</w:t>
      </w:r>
      <w:r>
        <w:rPr>
          <w:spacing w:val="-2"/>
        </w:rPr>
        <w:t xml:space="preserve"> </w:t>
      </w:r>
      <w:r>
        <w:rPr>
          <w:spacing w:val="-4"/>
        </w:rPr>
        <w:t>1988</w:t>
      </w:r>
    </w:p>
    <w:p w:rsidR="007259F2" w:rsidRDefault="00E655B4">
      <w:pPr>
        <w:pStyle w:val="Corpodetexto"/>
        <w:spacing w:before="113"/>
        <w:ind w:right="423"/>
      </w:pPr>
      <w:r>
        <w:t xml:space="preserve">A saúde foi um dos primeiros direitos a serem reconhecidos como direito social e na ordem constitucional brasileira foi elevada aos </w:t>
      </w:r>
      <w:r>
        <w:rPr>
          <w:i/>
        </w:rPr>
        <w:t xml:space="preserve">status </w:t>
      </w:r>
      <w:r>
        <w:t>de direito fundamental com a Carta Magna de 1988, a qual integrou o cuidado médico com a saúde de todos os cidadãos ao rol</w:t>
      </w:r>
      <w:r>
        <w:rPr>
          <w:spacing w:val="40"/>
        </w:rPr>
        <w:t xml:space="preserve"> </w:t>
      </w:r>
      <w:r>
        <w:t>dos direitos fundamentais (CATÃO, 2011, p. 48).</w:t>
      </w:r>
    </w:p>
    <w:p w:rsidR="007259F2" w:rsidRDefault="00E655B4">
      <w:pPr>
        <w:pStyle w:val="Corpodetexto"/>
        <w:ind w:right="421"/>
      </w:pPr>
      <w:r>
        <w:t>Sendo</w:t>
      </w:r>
      <w:r>
        <w:rPr>
          <w:spacing w:val="-2"/>
        </w:rPr>
        <w:t xml:space="preserve"> </w:t>
      </w:r>
      <w:r>
        <w:t>a</w:t>
      </w:r>
      <w:r>
        <w:rPr>
          <w:spacing w:val="-3"/>
        </w:rPr>
        <w:t xml:space="preserve"> </w:t>
      </w:r>
      <w:r>
        <w:t>saúde</w:t>
      </w:r>
      <w:r>
        <w:rPr>
          <w:spacing w:val="-3"/>
        </w:rPr>
        <w:t xml:space="preserve"> </w:t>
      </w:r>
      <w:r>
        <w:t>um</w:t>
      </w:r>
      <w:r>
        <w:rPr>
          <w:spacing w:val="-2"/>
        </w:rPr>
        <w:t xml:space="preserve"> </w:t>
      </w:r>
      <w:r>
        <w:t>direito</w:t>
      </w:r>
      <w:r>
        <w:rPr>
          <w:spacing w:val="-2"/>
        </w:rPr>
        <w:t xml:space="preserve"> </w:t>
      </w:r>
      <w:r>
        <w:t>fundamental e</w:t>
      </w:r>
      <w:r>
        <w:rPr>
          <w:spacing w:val="-3"/>
        </w:rPr>
        <w:t xml:space="preserve"> </w:t>
      </w:r>
      <w:r>
        <w:t>social</w:t>
      </w:r>
      <w:r>
        <w:rPr>
          <w:spacing w:val="-2"/>
        </w:rPr>
        <w:t xml:space="preserve"> </w:t>
      </w:r>
      <w:r>
        <w:t>decorrente</w:t>
      </w:r>
      <w:r>
        <w:rPr>
          <w:spacing w:val="-1"/>
        </w:rPr>
        <w:t xml:space="preserve"> </w:t>
      </w:r>
      <w:r>
        <w:t>do</w:t>
      </w:r>
      <w:r>
        <w:rPr>
          <w:spacing w:val="-2"/>
        </w:rPr>
        <w:t xml:space="preserve"> </w:t>
      </w:r>
      <w:r>
        <w:t>princípio</w:t>
      </w:r>
      <w:r>
        <w:rPr>
          <w:spacing w:val="-2"/>
        </w:rPr>
        <w:t xml:space="preserve"> </w:t>
      </w:r>
      <w:r>
        <w:t>da</w:t>
      </w:r>
      <w:r>
        <w:rPr>
          <w:spacing w:val="-3"/>
        </w:rPr>
        <w:t xml:space="preserve"> </w:t>
      </w:r>
      <w:r>
        <w:t>dignidade</w:t>
      </w:r>
      <w:r>
        <w:rPr>
          <w:spacing w:val="-3"/>
        </w:rPr>
        <w:t xml:space="preserve"> </w:t>
      </w:r>
      <w:r>
        <w:t>da pessoa</w:t>
      </w:r>
      <w:r>
        <w:rPr>
          <w:spacing w:val="-2"/>
        </w:rPr>
        <w:t xml:space="preserve"> </w:t>
      </w:r>
      <w:r>
        <w:t>humana,</w:t>
      </w:r>
      <w:r>
        <w:rPr>
          <w:spacing w:val="-3"/>
        </w:rPr>
        <w:t xml:space="preserve"> </w:t>
      </w:r>
      <w:r>
        <w:t>importa retomar,</w:t>
      </w:r>
      <w:r>
        <w:rPr>
          <w:spacing w:val="-3"/>
        </w:rPr>
        <w:t xml:space="preserve"> </w:t>
      </w:r>
      <w:r>
        <w:t>de</w:t>
      </w:r>
      <w:r>
        <w:rPr>
          <w:spacing w:val="-4"/>
        </w:rPr>
        <w:t xml:space="preserve"> </w:t>
      </w:r>
      <w:r>
        <w:t>modo</w:t>
      </w:r>
      <w:r>
        <w:rPr>
          <w:spacing w:val="-3"/>
        </w:rPr>
        <w:t xml:space="preserve"> </w:t>
      </w:r>
      <w:r>
        <w:t>muito breve,</w:t>
      </w:r>
      <w:r>
        <w:rPr>
          <w:spacing w:val="-1"/>
        </w:rPr>
        <w:t xml:space="preserve"> </w:t>
      </w:r>
      <w:r>
        <w:t>a</w:t>
      </w:r>
      <w:r>
        <w:rPr>
          <w:spacing w:val="-2"/>
        </w:rPr>
        <w:t xml:space="preserve"> </w:t>
      </w:r>
      <w:r>
        <w:t>conceituação dos</w:t>
      </w:r>
      <w:r>
        <w:rPr>
          <w:spacing w:val="-2"/>
        </w:rPr>
        <w:t xml:space="preserve"> </w:t>
      </w:r>
      <w:r>
        <w:t>direitos</w:t>
      </w:r>
      <w:r>
        <w:rPr>
          <w:spacing w:val="-3"/>
        </w:rPr>
        <w:t xml:space="preserve"> </w:t>
      </w:r>
      <w:r>
        <w:t>sociais,</w:t>
      </w:r>
      <w:r>
        <w:rPr>
          <w:spacing w:val="-3"/>
        </w:rPr>
        <w:t xml:space="preserve"> </w:t>
      </w:r>
      <w:r>
        <w:t xml:space="preserve">os quais doutrinariamente são classificados como direitos fundamentais de segunda geração ou segunda dimensão, que, por sua vez, não demandam mais uma abstenção estatal buscando a proteção da vida ou liberdade do ser humano, somente, mas sim uma prestação positiva, uma ação do Estado de cunho coletivo, e, portanto, social, como forma de se concretizar a </w:t>
      </w:r>
      <w:r>
        <w:rPr>
          <w:spacing w:val="-2"/>
        </w:rPr>
        <w:t>igualdade.</w:t>
      </w:r>
    </w:p>
    <w:p w:rsidR="007259F2" w:rsidRDefault="00E655B4">
      <w:pPr>
        <w:pStyle w:val="Corpodetexto"/>
        <w:ind w:left="1418" w:firstLine="0"/>
      </w:pPr>
      <w:r>
        <w:t>Marconi</w:t>
      </w:r>
      <w:r>
        <w:rPr>
          <w:spacing w:val="-5"/>
        </w:rPr>
        <w:t xml:space="preserve"> </w:t>
      </w:r>
      <w:r>
        <w:t>do</w:t>
      </w:r>
      <w:r>
        <w:rPr>
          <w:spacing w:val="-1"/>
        </w:rPr>
        <w:t xml:space="preserve"> </w:t>
      </w:r>
      <w:r>
        <w:t>Ó</w:t>
      </w:r>
      <w:r>
        <w:rPr>
          <w:spacing w:val="-1"/>
        </w:rPr>
        <w:t xml:space="preserve"> </w:t>
      </w:r>
      <w:r>
        <w:t>Catão</w:t>
      </w:r>
      <w:r>
        <w:rPr>
          <w:spacing w:val="-1"/>
        </w:rPr>
        <w:t xml:space="preserve"> </w:t>
      </w:r>
      <w:r>
        <w:t>(2011,</w:t>
      </w:r>
      <w:r>
        <w:rPr>
          <w:spacing w:val="-1"/>
        </w:rPr>
        <w:t xml:space="preserve"> </w:t>
      </w:r>
      <w:r>
        <w:t>p.46)</w:t>
      </w:r>
      <w:r>
        <w:rPr>
          <w:spacing w:val="-4"/>
        </w:rPr>
        <w:t xml:space="preserve"> </w:t>
      </w:r>
      <w:r>
        <w:t>formula</w:t>
      </w:r>
      <w:r>
        <w:rPr>
          <w:spacing w:val="-2"/>
        </w:rPr>
        <w:t xml:space="preserve"> </w:t>
      </w:r>
      <w:r>
        <w:t>a</w:t>
      </w:r>
      <w:r>
        <w:rPr>
          <w:spacing w:val="-5"/>
        </w:rPr>
        <w:t xml:space="preserve"> </w:t>
      </w:r>
      <w:r>
        <w:t>seguinte</w:t>
      </w:r>
      <w:r>
        <w:rPr>
          <w:spacing w:val="-2"/>
        </w:rPr>
        <w:t xml:space="preserve"> </w:t>
      </w:r>
      <w:r>
        <w:t>definição</w:t>
      </w:r>
      <w:r>
        <w:rPr>
          <w:spacing w:val="-1"/>
        </w:rPr>
        <w:t xml:space="preserve"> </w:t>
      </w:r>
      <w:r>
        <w:t>de</w:t>
      </w:r>
      <w:r>
        <w:rPr>
          <w:spacing w:val="-2"/>
        </w:rPr>
        <w:t xml:space="preserve"> </w:t>
      </w:r>
      <w:r>
        <w:t>direitos</w:t>
      </w:r>
      <w:r>
        <w:rPr>
          <w:spacing w:val="1"/>
        </w:rPr>
        <w:t xml:space="preserve"> </w:t>
      </w:r>
      <w:r>
        <w:rPr>
          <w:spacing w:val="-2"/>
        </w:rPr>
        <w:t>sociais:</w:t>
      </w:r>
    </w:p>
    <w:p w:rsidR="007259F2" w:rsidRDefault="00E655B4">
      <w:pPr>
        <w:spacing w:before="2"/>
        <w:ind w:left="2978" w:right="427"/>
        <w:jc w:val="both"/>
        <w:rPr>
          <w:sz w:val="20"/>
        </w:rPr>
      </w:pPr>
      <w:r>
        <w:rPr>
          <w:sz w:val="20"/>
        </w:rPr>
        <w:t>[...] os direitos sociais, também chamados de direitos fundamentais de segunda geração e “direitos de igualdade”, próprios do Estado Social Democrático de</w:t>
      </w:r>
      <w:r>
        <w:rPr>
          <w:spacing w:val="80"/>
          <w:sz w:val="20"/>
        </w:rPr>
        <w:t xml:space="preserve"> </w:t>
      </w:r>
      <w:r>
        <w:rPr>
          <w:sz w:val="20"/>
        </w:rPr>
        <w:t>Direito, são entendidos como direitos da pessoa humana situada na sociedade ou direitos relativos às relações sociais, econômicas ou culturais que o indivíduo desenvolve no curso de sua vida.</w:t>
      </w:r>
    </w:p>
    <w:p w:rsidR="007259F2" w:rsidRDefault="00E655B4">
      <w:pPr>
        <w:pStyle w:val="Corpodetexto"/>
        <w:spacing w:before="229"/>
        <w:ind w:right="427"/>
      </w:pPr>
      <w:r>
        <w:t xml:space="preserve">Nesse sentido, ensinam José Joaquim Gomes Canotilho e Vital Moreira (1984, p. 342 </w:t>
      </w:r>
      <w:r>
        <w:rPr>
          <w:i/>
        </w:rPr>
        <w:t xml:space="preserve">apud </w:t>
      </w:r>
      <w:r>
        <w:t>AFONSO DA SILVA, 2012, p. 309) que o direito à saúde se apresenta sob duas vertentes, a saber:</w:t>
      </w:r>
    </w:p>
    <w:p w:rsidR="007259F2" w:rsidRDefault="00E655B4">
      <w:pPr>
        <w:spacing w:before="1"/>
        <w:ind w:left="2978" w:right="422"/>
        <w:jc w:val="both"/>
        <w:rPr>
          <w:sz w:val="20"/>
        </w:rPr>
      </w:pPr>
      <w:r>
        <w:rPr>
          <w:sz w:val="20"/>
        </w:rPr>
        <w:t>uma, de natureza negativa, que consiste no direito a exigir do Estado (ou de terceiros) que se abstenha de qualquer acto que prejudique a saúde, outra, de</w:t>
      </w:r>
      <w:r>
        <w:rPr>
          <w:spacing w:val="40"/>
          <w:sz w:val="20"/>
        </w:rPr>
        <w:t xml:space="preserve"> </w:t>
      </w:r>
      <w:r>
        <w:rPr>
          <w:sz w:val="20"/>
        </w:rPr>
        <w:t>natureza positiva, que significa</w:t>
      </w:r>
      <w:r>
        <w:rPr>
          <w:spacing w:val="-1"/>
          <w:sz w:val="20"/>
        </w:rPr>
        <w:t xml:space="preserve"> </w:t>
      </w:r>
      <w:r>
        <w:rPr>
          <w:sz w:val="20"/>
        </w:rPr>
        <w:t>o direito às medidas</w:t>
      </w:r>
      <w:r>
        <w:rPr>
          <w:spacing w:val="-1"/>
          <w:sz w:val="20"/>
        </w:rPr>
        <w:t xml:space="preserve"> </w:t>
      </w:r>
      <w:r>
        <w:rPr>
          <w:sz w:val="20"/>
        </w:rPr>
        <w:t>e prestações</w:t>
      </w:r>
      <w:r>
        <w:rPr>
          <w:spacing w:val="-1"/>
          <w:sz w:val="20"/>
        </w:rPr>
        <w:t xml:space="preserve"> </w:t>
      </w:r>
      <w:r>
        <w:rPr>
          <w:sz w:val="20"/>
        </w:rPr>
        <w:t>estaduais visando a prevenção das doenças e o tratamento delas.</w:t>
      </w:r>
    </w:p>
    <w:p w:rsidR="007259F2" w:rsidRDefault="00E655B4">
      <w:pPr>
        <w:pStyle w:val="Corpodetexto"/>
        <w:spacing w:before="229"/>
        <w:jc w:val="left"/>
      </w:pPr>
      <w:r>
        <w:t>No</w:t>
      </w:r>
      <w:r>
        <w:rPr>
          <w:spacing w:val="23"/>
        </w:rPr>
        <w:t xml:space="preserve"> </w:t>
      </w:r>
      <w:r>
        <w:t>que</w:t>
      </w:r>
      <w:r>
        <w:rPr>
          <w:spacing w:val="23"/>
        </w:rPr>
        <w:t xml:space="preserve"> </w:t>
      </w:r>
      <w:r>
        <w:t>tange</w:t>
      </w:r>
      <w:r>
        <w:rPr>
          <w:spacing w:val="23"/>
        </w:rPr>
        <w:t xml:space="preserve"> </w:t>
      </w:r>
      <w:r>
        <w:t>à</w:t>
      </w:r>
      <w:r>
        <w:rPr>
          <w:spacing w:val="23"/>
        </w:rPr>
        <w:t xml:space="preserve"> </w:t>
      </w:r>
      <w:r>
        <w:t>natureza</w:t>
      </w:r>
      <w:r>
        <w:rPr>
          <w:spacing w:val="25"/>
        </w:rPr>
        <w:t xml:space="preserve"> </w:t>
      </w:r>
      <w:r>
        <w:t>positiva</w:t>
      </w:r>
      <w:r>
        <w:rPr>
          <w:spacing w:val="23"/>
        </w:rPr>
        <w:t xml:space="preserve"> </w:t>
      </w:r>
      <w:r>
        <w:t>não</w:t>
      </w:r>
      <w:r>
        <w:rPr>
          <w:spacing w:val="24"/>
        </w:rPr>
        <w:t xml:space="preserve"> </w:t>
      </w:r>
      <w:r>
        <w:t>só</w:t>
      </w:r>
      <w:r>
        <w:rPr>
          <w:spacing w:val="24"/>
        </w:rPr>
        <w:t xml:space="preserve"> </w:t>
      </w:r>
      <w:r>
        <w:t>do</w:t>
      </w:r>
      <w:r>
        <w:rPr>
          <w:spacing w:val="24"/>
        </w:rPr>
        <w:t xml:space="preserve"> </w:t>
      </w:r>
      <w:r>
        <w:t>direito</w:t>
      </w:r>
      <w:r>
        <w:rPr>
          <w:spacing w:val="24"/>
        </w:rPr>
        <w:t xml:space="preserve"> </w:t>
      </w:r>
      <w:r>
        <w:t>à</w:t>
      </w:r>
      <w:r>
        <w:rPr>
          <w:spacing w:val="23"/>
        </w:rPr>
        <w:t xml:space="preserve"> </w:t>
      </w:r>
      <w:r>
        <w:t>saúde,</w:t>
      </w:r>
      <w:r>
        <w:rPr>
          <w:spacing w:val="24"/>
        </w:rPr>
        <w:t xml:space="preserve"> </w:t>
      </w:r>
      <w:r>
        <w:t>mas</w:t>
      </w:r>
      <w:r>
        <w:rPr>
          <w:spacing w:val="23"/>
        </w:rPr>
        <w:t xml:space="preserve"> </w:t>
      </w:r>
      <w:r>
        <w:t>dos</w:t>
      </w:r>
      <w:r>
        <w:rPr>
          <w:spacing w:val="24"/>
        </w:rPr>
        <w:t xml:space="preserve"> </w:t>
      </w:r>
      <w:r>
        <w:t>direitos</w:t>
      </w:r>
      <w:r>
        <w:rPr>
          <w:spacing w:val="24"/>
        </w:rPr>
        <w:t xml:space="preserve"> </w:t>
      </w:r>
      <w:r>
        <w:t>sociais como um todo, as prestações positivas cabíveis ao Estado têm como característica, em regra,</w:t>
      </w:r>
    </w:p>
    <w:p w:rsidR="007259F2" w:rsidRDefault="007259F2">
      <w:pPr>
        <w:pStyle w:val="Corpodetexto"/>
        <w:jc w:val="left"/>
        <w:sectPr w:rsidR="007259F2">
          <w:pgSz w:w="11910" w:h="16840"/>
          <w:pgMar w:top="1600" w:right="708" w:bottom="1020" w:left="992" w:header="0" w:footer="820" w:gutter="0"/>
          <w:cols w:space="720"/>
        </w:sectPr>
      </w:pPr>
    </w:p>
    <w:p w:rsidR="007259F2" w:rsidRDefault="00E655B4">
      <w:pPr>
        <w:spacing w:before="75"/>
        <w:ind w:left="710" w:right="423" w:firstLine="60"/>
        <w:jc w:val="both"/>
        <w:rPr>
          <w:sz w:val="24"/>
        </w:rPr>
      </w:pPr>
      <w:r>
        <w:rPr>
          <w:sz w:val="24"/>
        </w:rPr>
        <w:lastRenderedPageBreak/>
        <w:t>serem disciplinadas “</w:t>
      </w:r>
      <w:r>
        <w:rPr>
          <w:i/>
          <w:sz w:val="24"/>
        </w:rPr>
        <w:t>em regras constitucionais, com o objetivo de equalizar situações sociais, econômicas ou culturais distintas</w:t>
      </w:r>
      <w:r>
        <w:rPr>
          <w:sz w:val="24"/>
        </w:rPr>
        <w:t>”, segundo afirma Catão (2011, p. 47).</w:t>
      </w:r>
    </w:p>
    <w:p w:rsidR="007259F2" w:rsidRDefault="00E655B4">
      <w:pPr>
        <w:pStyle w:val="Corpodetexto"/>
        <w:ind w:right="423"/>
      </w:pPr>
      <w:r>
        <w:t>E este é o exemplo da Constituição pátria vigente. A primeira menção à saúde foi feita no artigo 6º, que inaugura o capítulo dedicado aos direitos sociais, ao firmar que a</w:t>
      </w:r>
      <w:r>
        <w:rPr>
          <w:spacing w:val="-2"/>
        </w:rPr>
        <w:t xml:space="preserve"> </w:t>
      </w:r>
      <w:r>
        <w:t>saúde é</w:t>
      </w:r>
      <w:r>
        <w:rPr>
          <w:spacing w:val="-1"/>
        </w:rPr>
        <w:t xml:space="preserve"> </w:t>
      </w:r>
      <w:r>
        <w:t>um direito social, em conjunto com a educação, a alimentação, o trabalho, a moradia, o</w:t>
      </w:r>
      <w:r>
        <w:rPr>
          <w:spacing w:val="80"/>
        </w:rPr>
        <w:t xml:space="preserve"> </w:t>
      </w:r>
      <w:r>
        <w:t>transporte, entre outros direitos dispostos no mesmo artigo e nos subsequentes, todos provenientes do princípio maior da dignidade da pessoa humana.</w:t>
      </w:r>
    </w:p>
    <w:p w:rsidR="007259F2" w:rsidRDefault="00E655B4">
      <w:pPr>
        <w:pStyle w:val="Corpodetexto"/>
        <w:ind w:right="427"/>
      </w:pPr>
      <w:r>
        <w:t>No que se refere à repartição de competência para a promoção da saúde, seu artigo 23, inciso II, determina ser competência material comum da União, Estados, Distrito Federal e Municípios cuidar da saúde e assistência públicas, e, ainda, fornecer proteção e garantia para as pessoas com deficiência, o que evidencia a importância dada pelo Constituinte originário para a prestação deste direito fundamental, ao firmar que a saúde é de responsabilidade de todos os entes federativos.</w:t>
      </w:r>
    </w:p>
    <w:p w:rsidR="007259F2" w:rsidRDefault="00E655B4">
      <w:pPr>
        <w:spacing w:before="1"/>
        <w:ind w:left="710" w:right="422" w:firstLine="707"/>
        <w:jc w:val="both"/>
        <w:rPr>
          <w:sz w:val="24"/>
        </w:rPr>
      </w:pPr>
      <w:r>
        <w:rPr>
          <w:sz w:val="24"/>
        </w:rPr>
        <w:t>Há ainda uma Seção dedicada à Saúde na Constituição Federal, que se inicia com o</w:t>
      </w:r>
      <w:r>
        <w:rPr>
          <w:spacing w:val="40"/>
          <w:sz w:val="24"/>
        </w:rPr>
        <w:t xml:space="preserve"> </w:t>
      </w:r>
      <w:r>
        <w:rPr>
          <w:sz w:val="24"/>
        </w:rPr>
        <w:t>art. 196, o qual prevê que a saúde é um “</w:t>
      </w:r>
      <w:r>
        <w:rPr>
          <w:i/>
          <w:sz w:val="24"/>
        </w:rPr>
        <w:t>direito de todos e dever do Estado, garantido mediante políticas sociais e econômicas que visem à redução do risco de doença e de outros agravos e ao acesso universal e igualitário às ações e serviços para sua promoção, proteção e recuperação</w:t>
      </w:r>
      <w:r>
        <w:rPr>
          <w:sz w:val="24"/>
        </w:rPr>
        <w:t>” (BRASIL, 1988).</w:t>
      </w:r>
    </w:p>
    <w:p w:rsidR="007259F2" w:rsidRDefault="00E655B4">
      <w:pPr>
        <w:pStyle w:val="Corpodetexto"/>
        <w:ind w:right="420"/>
      </w:pPr>
      <w:r>
        <w:t>A respeito de tais políticas públicas para a preservação da saúde, Da Silva, R. e Vieira (2017, p. 13)</w:t>
      </w:r>
      <w:r>
        <w:rPr>
          <w:spacing w:val="-1"/>
        </w:rPr>
        <w:t xml:space="preserve"> </w:t>
      </w:r>
      <w:r>
        <w:t>pontuam que</w:t>
      </w:r>
      <w:r>
        <w:rPr>
          <w:spacing w:val="-3"/>
        </w:rPr>
        <w:t xml:space="preserve"> </w:t>
      </w:r>
      <w:r>
        <w:t>a</w:t>
      </w:r>
      <w:r>
        <w:rPr>
          <w:spacing w:val="-1"/>
        </w:rPr>
        <w:t xml:space="preserve"> </w:t>
      </w:r>
      <w:r>
        <w:t>obrigação estatal disposta</w:t>
      </w:r>
      <w:r>
        <w:rPr>
          <w:spacing w:val="-2"/>
        </w:rPr>
        <w:t xml:space="preserve"> </w:t>
      </w:r>
      <w:r>
        <w:t>no art.</w:t>
      </w:r>
      <w:r>
        <w:rPr>
          <w:spacing w:val="-3"/>
        </w:rPr>
        <w:t xml:space="preserve"> </w:t>
      </w:r>
      <w:r>
        <w:t>196 perpassa a</w:t>
      </w:r>
      <w:r>
        <w:rPr>
          <w:spacing w:val="-2"/>
        </w:rPr>
        <w:t xml:space="preserve"> </w:t>
      </w:r>
      <w:r>
        <w:t>mera</w:t>
      </w:r>
      <w:r>
        <w:rPr>
          <w:spacing w:val="-3"/>
        </w:rPr>
        <w:t xml:space="preserve"> </w:t>
      </w:r>
      <w:r>
        <w:t>redução do risco de doença e demais agravos e o acesso universal da população às ações e serviços de saúde, devendo também criar condições para a qualidade de vida e bem-estar das pessoas:</w:t>
      </w:r>
    </w:p>
    <w:p w:rsidR="007259F2" w:rsidRDefault="007259F2">
      <w:pPr>
        <w:pStyle w:val="Corpodetexto"/>
        <w:spacing w:before="2"/>
        <w:ind w:left="0" w:firstLine="0"/>
        <w:jc w:val="left"/>
      </w:pPr>
    </w:p>
    <w:p w:rsidR="007259F2" w:rsidRDefault="00E655B4">
      <w:pPr>
        <w:ind w:left="2978" w:right="428"/>
        <w:jc w:val="both"/>
        <w:rPr>
          <w:sz w:val="20"/>
        </w:rPr>
      </w:pPr>
      <w:r>
        <w:rPr>
          <w:sz w:val="20"/>
        </w:rPr>
        <w:t>Essa tratativa dada pelo Estado obriga-o a prestar de forma eficiente e positiva as diretrizes</w:t>
      </w:r>
      <w:r>
        <w:rPr>
          <w:spacing w:val="-2"/>
          <w:sz w:val="20"/>
        </w:rPr>
        <w:t xml:space="preserve"> </w:t>
      </w:r>
      <w:r>
        <w:rPr>
          <w:sz w:val="20"/>
        </w:rPr>
        <w:t>dadas</w:t>
      </w:r>
      <w:r>
        <w:rPr>
          <w:spacing w:val="-2"/>
          <w:sz w:val="20"/>
        </w:rPr>
        <w:t xml:space="preserve"> </w:t>
      </w:r>
      <w:r>
        <w:rPr>
          <w:sz w:val="20"/>
        </w:rPr>
        <w:t>à</w:t>
      </w:r>
      <w:r>
        <w:rPr>
          <w:spacing w:val="-2"/>
          <w:sz w:val="20"/>
        </w:rPr>
        <w:t xml:space="preserve"> </w:t>
      </w:r>
      <w:r>
        <w:rPr>
          <w:sz w:val="20"/>
        </w:rPr>
        <w:t>formulação</w:t>
      </w:r>
      <w:r>
        <w:rPr>
          <w:spacing w:val="-1"/>
          <w:sz w:val="20"/>
        </w:rPr>
        <w:t xml:space="preserve"> </w:t>
      </w:r>
      <w:r>
        <w:rPr>
          <w:sz w:val="20"/>
        </w:rPr>
        <w:t>de</w:t>
      </w:r>
      <w:r>
        <w:rPr>
          <w:spacing w:val="-2"/>
          <w:sz w:val="20"/>
        </w:rPr>
        <w:t xml:space="preserve"> </w:t>
      </w:r>
      <w:r>
        <w:rPr>
          <w:sz w:val="20"/>
        </w:rPr>
        <w:t>políticas</w:t>
      </w:r>
      <w:r>
        <w:rPr>
          <w:spacing w:val="-2"/>
          <w:sz w:val="20"/>
        </w:rPr>
        <w:t xml:space="preserve"> </w:t>
      </w:r>
      <w:r>
        <w:rPr>
          <w:sz w:val="20"/>
        </w:rPr>
        <w:t>públicas</w:t>
      </w:r>
      <w:r>
        <w:rPr>
          <w:spacing w:val="-2"/>
          <w:sz w:val="20"/>
        </w:rPr>
        <w:t xml:space="preserve"> </w:t>
      </w:r>
      <w:r>
        <w:rPr>
          <w:sz w:val="20"/>
        </w:rPr>
        <w:t>sociais</w:t>
      </w:r>
      <w:r>
        <w:rPr>
          <w:spacing w:val="-2"/>
          <w:sz w:val="20"/>
        </w:rPr>
        <w:t xml:space="preserve"> </w:t>
      </w:r>
      <w:r>
        <w:rPr>
          <w:sz w:val="20"/>
        </w:rPr>
        <w:t>e</w:t>
      </w:r>
      <w:r>
        <w:rPr>
          <w:spacing w:val="-2"/>
          <w:sz w:val="20"/>
        </w:rPr>
        <w:t xml:space="preserve"> </w:t>
      </w:r>
      <w:r>
        <w:rPr>
          <w:sz w:val="20"/>
        </w:rPr>
        <w:t>econômicas</w:t>
      </w:r>
      <w:r>
        <w:rPr>
          <w:spacing w:val="-2"/>
          <w:sz w:val="20"/>
        </w:rPr>
        <w:t xml:space="preserve"> </w:t>
      </w:r>
      <w:r>
        <w:rPr>
          <w:sz w:val="20"/>
        </w:rPr>
        <w:t>destinadas</w:t>
      </w:r>
      <w:r>
        <w:rPr>
          <w:spacing w:val="-2"/>
          <w:sz w:val="20"/>
        </w:rPr>
        <w:t xml:space="preserve"> </w:t>
      </w:r>
      <w:r>
        <w:rPr>
          <w:sz w:val="20"/>
        </w:rPr>
        <w:t>à promoção, à proteção e à recuperação da saúde. Para tanto, ao Estado caberá não somente efetivar o acesso da população ao tratamento médico com qualidade, como também prestar melhoria na qualidade de vida populacional.</w:t>
      </w:r>
    </w:p>
    <w:p w:rsidR="007259F2" w:rsidRDefault="00E655B4">
      <w:pPr>
        <w:pStyle w:val="Corpodetexto"/>
        <w:spacing w:before="226"/>
        <w:ind w:right="423"/>
      </w:pPr>
      <w:r>
        <w:t>Dando sequência ao texto constitucional, o art. 197 estabelece caber ao Poder Público dispor, nos termos da lei, sobre a regulamentação, fiscalização e controle das ações e serviços de</w:t>
      </w:r>
      <w:r>
        <w:rPr>
          <w:spacing w:val="-2"/>
        </w:rPr>
        <w:t xml:space="preserve"> </w:t>
      </w:r>
      <w:r>
        <w:t>saúde,</w:t>
      </w:r>
      <w:r>
        <w:rPr>
          <w:spacing w:val="-1"/>
        </w:rPr>
        <w:t xml:space="preserve"> </w:t>
      </w:r>
      <w:r>
        <w:t>bem como</w:t>
      </w:r>
      <w:r>
        <w:rPr>
          <w:spacing w:val="-1"/>
        </w:rPr>
        <w:t xml:space="preserve"> </w:t>
      </w:r>
      <w:r>
        <w:t>prevê que</w:t>
      </w:r>
      <w:r>
        <w:rPr>
          <w:spacing w:val="-2"/>
        </w:rPr>
        <w:t xml:space="preserve"> </w:t>
      </w:r>
      <w:r>
        <w:t>sua</w:t>
      </w:r>
      <w:r>
        <w:rPr>
          <w:spacing w:val="-2"/>
        </w:rPr>
        <w:t xml:space="preserve"> </w:t>
      </w:r>
      <w:r>
        <w:t>execução deve</w:t>
      </w:r>
      <w:r>
        <w:rPr>
          <w:spacing w:val="-2"/>
        </w:rPr>
        <w:t xml:space="preserve"> </w:t>
      </w:r>
      <w:r>
        <w:t>ser feita</w:t>
      </w:r>
      <w:r>
        <w:rPr>
          <w:spacing w:val="-1"/>
        </w:rPr>
        <w:t xml:space="preserve"> </w:t>
      </w:r>
      <w:r>
        <w:t>diretamente</w:t>
      </w:r>
      <w:r>
        <w:rPr>
          <w:spacing w:val="-1"/>
        </w:rPr>
        <w:t xml:space="preserve"> </w:t>
      </w:r>
      <w:r>
        <w:t>ou através de terceiros e, também, por pessoa física ou jurídica de direito privado. Tem-se aí a autorização para a participação das pessoas jurídicas de direito privado na saúde pública.</w:t>
      </w:r>
    </w:p>
    <w:p w:rsidR="007259F2" w:rsidRDefault="00E655B4">
      <w:pPr>
        <w:spacing w:before="1"/>
        <w:ind w:left="710" w:right="423" w:firstLine="707"/>
        <w:jc w:val="both"/>
        <w:rPr>
          <w:sz w:val="24"/>
        </w:rPr>
      </w:pPr>
      <w:r>
        <w:rPr>
          <w:sz w:val="24"/>
        </w:rPr>
        <w:t>Nessa esteira, o art. 199, ao tratar da participação complementar dessas pessoas jurídicas no sistema único de saúde, menciona a figura do convênio e do “contrato de direito público” no § 1º: “</w:t>
      </w:r>
      <w:r>
        <w:rPr>
          <w:i/>
          <w:sz w:val="24"/>
        </w:rPr>
        <w:t xml:space="preserve">As instituições privadas poderão participar de forma complementar do sistema único de saúde, </w:t>
      </w:r>
      <w:r>
        <w:rPr>
          <w:b/>
          <w:i/>
          <w:sz w:val="24"/>
        </w:rPr>
        <w:t>segundo diretrizes deste, mediante contrato de direito público ou convênio, tendo preferência as entidades filantrópicas e as sem fins lucrativos</w:t>
      </w:r>
      <w:r>
        <w:rPr>
          <w:sz w:val="24"/>
        </w:rPr>
        <w:t>” (BRASIL, 1988, grifo nosso).</w:t>
      </w:r>
    </w:p>
    <w:p w:rsidR="007259F2" w:rsidRDefault="00E655B4">
      <w:pPr>
        <w:pStyle w:val="Corpodetexto"/>
        <w:ind w:right="419"/>
      </w:pPr>
      <w:r>
        <w:t>Deste excerto</w:t>
      </w:r>
      <w:r>
        <w:rPr>
          <w:spacing w:val="-1"/>
        </w:rPr>
        <w:t xml:space="preserve"> </w:t>
      </w:r>
      <w:r>
        <w:t>pode-se extrair</w:t>
      </w:r>
      <w:r>
        <w:rPr>
          <w:spacing w:val="-1"/>
        </w:rPr>
        <w:t xml:space="preserve"> </w:t>
      </w:r>
      <w:r>
        <w:t>que a Constituição Federal condiciona a participação das pessoas jurídicas de direito privado na saúde pública ao instrumento de contrato de direito público</w:t>
      </w:r>
      <w:r>
        <w:rPr>
          <w:spacing w:val="-1"/>
        </w:rPr>
        <w:t xml:space="preserve"> </w:t>
      </w:r>
      <w:r>
        <w:t>ou</w:t>
      </w:r>
      <w:r>
        <w:rPr>
          <w:spacing w:val="-1"/>
        </w:rPr>
        <w:t xml:space="preserve"> </w:t>
      </w:r>
      <w:r>
        <w:t>convênio,</w:t>
      </w:r>
      <w:r>
        <w:rPr>
          <w:spacing w:val="-1"/>
        </w:rPr>
        <w:t xml:space="preserve"> </w:t>
      </w:r>
      <w:r>
        <w:t>bem</w:t>
      </w:r>
      <w:r>
        <w:rPr>
          <w:spacing w:val="-1"/>
        </w:rPr>
        <w:t xml:space="preserve"> </w:t>
      </w:r>
      <w:r>
        <w:t>como</w:t>
      </w:r>
      <w:r>
        <w:rPr>
          <w:spacing w:val="-1"/>
        </w:rPr>
        <w:t xml:space="preserve"> </w:t>
      </w:r>
      <w:r>
        <w:t>à observância</w:t>
      </w:r>
      <w:r>
        <w:rPr>
          <w:spacing w:val="-1"/>
        </w:rPr>
        <w:t xml:space="preserve"> </w:t>
      </w:r>
      <w:r>
        <w:t>destas</w:t>
      </w:r>
      <w:r>
        <w:rPr>
          <w:spacing w:val="-1"/>
        </w:rPr>
        <w:t xml:space="preserve"> </w:t>
      </w:r>
      <w:r>
        <w:t>últimas</w:t>
      </w:r>
      <w:r>
        <w:rPr>
          <w:spacing w:val="-1"/>
        </w:rPr>
        <w:t xml:space="preserve"> </w:t>
      </w:r>
      <w:r>
        <w:t>às</w:t>
      </w:r>
      <w:r>
        <w:rPr>
          <w:spacing w:val="-1"/>
        </w:rPr>
        <w:t xml:space="preserve"> </w:t>
      </w:r>
      <w:r>
        <w:t>diretrizes</w:t>
      </w:r>
      <w:r>
        <w:rPr>
          <w:spacing w:val="-1"/>
        </w:rPr>
        <w:t xml:space="preserve"> </w:t>
      </w:r>
      <w:r>
        <w:t>do</w:t>
      </w:r>
      <w:r>
        <w:rPr>
          <w:spacing w:val="-1"/>
        </w:rPr>
        <w:t xml:space="preserve"> </w:t>
      </w:r>
      <w:r>
        <w:t>sistema</w:t>
      </w:r>
      <w:r>
        <w:rPr>
          <w:spacing w:val="-1"/>
        </w:rPr>
        <w:t xml:space="preserve"> </w:t>
      </w:r>
      <w:r>
        <w:t>único</w:t>
      </w:r>
      <w:r>
        <w:rPr>
          <w:spacing w:val="-1"/>
        </w:rPr>
        <w:t xml:space="preserve"> </w:t>
      </w:r>
      <w:r>
        <w:t>de saúde, o que denota que há prerrogativa do poder público para acompanhar e fiscalizar a execução desses instrumentos pelas instituições privadas.</w:t>
      </w:r>
    </w:p>
    <w:p w:rsidR="007259F2" w:rsidRDefault="00E655B4">
      <w:pPr>
        <w:pStyle w:val="Corpodetexto"/>
        <w:ind w:right="423"/>
      </w:pPr>
      <w:r>
        <w:t>Outro ponto é que, consoante o disposto no parágrafo em comento, observa-se que o contrato de gestão na área da saúde constitui contrato de direito público, firmado com</w:t>
      </w:r>
    </w:p>
    <w:p w:rsidR="007259F2" w:rsidRDefault="007259F2">
      <w:pPr>
        <w:pStyle w:val="Corpodetexto"/>
        <w:sectPr w:rsidR="007259F2">
          <w:pgSz w:w="11910" w:h="16840"/>
          <w:pgMar w:top="1600" w:right="708" w:bottom="1020" w:left="992" w:header="0" w:footer="820" w:gutter="0"/>
          <w:cols w:space="720"/>
        </w:sectPr>
      </w:pPr>
    </w:p>
    <w:p w:rsidR="007259F2" w:rsidRDefault="00E655B4">
      <w:pPr>
        <w:pStyle w:val="Corpodetexto"/>
        <w:spacing w:before="75"/>
        <w:ind w:right="430" w:firstLine="0"/>
      </w:pPr>
      <w:r>
        <w:lastRenderedPageBreak/>
        <w:t>entidades do terceiro setor, portanto filantrópicas, sem fins lucrativos. Desta forma, o citado art. 199, § 1º, é aplicável ao contrato de gestão.</w:t>
      </w:r>
    </w:p>
    <w:p w:rsidR="007259F2" w:rsidRDefault="00E655B4">
      <w:pPr>
        <w:pStyle w:val="Corpodetexto"/>
        <w:ind w:left="1418" w:firstLine="0"/>
      </w:pPr>
      <w:r>
        <w:t>A</w:t>
      </w:r>
      <w:r>
        <w:rPr>
          <w:spacing w:val="-6"/>
        </w:rPr>
        <w:t xml:space="preserve"> </w:t>
      </w:r>
      <w:r>
        <w:t>participação</w:t>
      </w:r>
      <w:r>
        <w:rPr>
          <w:spacing w:val="15"/>
        </w:rPr>
        <w:t xml:space="preserve"> </w:t>
      </w:r>
      <w:r>
        <w:t>complementar</w:t>
      </w:r>
      <w:r>
        <w:rPr>
          <w:spacing w:val="11"/>
        </w:rPr>
        <w:t xml:space="preserve"> </w:t>
      </w:r>
      <w:r>
        <w:t>no</w:t>
      </w:r>
      <w:r>
        <w:rPr>
          <w:spacing w:val="14"/>
        </w:rPr>
        <w:t xml:space="preserve"> </w:t>
      </w:r>
      <w:r>
        <w:t>sistema</w:t>
      </w:r>
      <w:r>
        <w:rPr>
          <w:spacing w:val="13"/>
        </w:rPr>
        <w:t xml:space="preserve"> </w:t>
      </w:r>
      <w:r>
        <w:t>único</w:t>
      </w:r>
      <w:r>
        <w:rPr>
          <w:spacing w:val="14"/>
        </w:rPr>
        <w:t xml:space="preserve"> </w:t>
      </w:r>
      <w:r>
        <w:t>de</w:t>
      </w:r>
      <w:r>
        <w:rPr>
          <w:spacing w:val="11"/>
        </w:rPr>
        <w:t xml:space="preserve"> </w:t>
      </w:r>
      <w:r>
        <w:t>saúde</w:t>
      </w:r>
      <w:r>
        <w:rPr>
          <w:spacing w:val="13"/>
        </w:rPr>
        <w:t xml:space="preserve"> </w:t>
      </w:r>
      <w:r>
        <w:t>também</w:t>
      </w:r>
      <w:r>
        <w:rPr>
          <w:spacing w:val="16"/>
        </w:rPr>
        <w:t xml:space="preserve"> </w:t>
      </w:r>
      <w:r>
        <w:t>é</w:t>
      </w:r>
      <w:r>
        <w:rPr>
          <w:spacing w:val="11"/>
        </w:rPr>
        <w:t xml:space="preserve"> </w:t>
      </w:r>
      <w:r>
        <w:t>prevista</w:t>
      </w:r>
      <w:r>
        <w:rPr>
          <w:spacing w:val="11"/>
        </w:rPr>
        <w:t xml:space="preserve"> </w:t>
      </w:r>
      <w:r>
        <w:t>no</w:t>
      </w:r>
      <w:r>
        <w:rPr>
          <w:spacing w:val="14"/>
        </w:rPr>
        <w:t xml:space="preserve"> </w:t>
      </w:r>
      <w:r>
        <w:t>art.</w:t>
      </w:r>
      <w:r>
        <w:rPr>
          <w:spacing w:val="14"/>
        </w:rPr>
        <w:t xml:space="preserve"> </w:t>
      </w:r>
      <w:r>
        <w:rPr>
          <w:spacing w:val="-5"/>
        </w:rPr>
        <w:t>4º,</w:t>
      </w:r>
    </w:p>
    <w:p w:rsidR="007259F2" w:rsidRDefault="00E655B4">
      <w:pPr>
        <w:pStyle w:val="Corpodetexto"/>
        <w:ind w:right="425" w:firstLine="0"/>
      </w:pPr>
      <w:r>
        <w:t>§ 2º, da lei federal nº 8.080/1990, a Lei Orgânica da Saúde, que instituiu o Sistema Único de Saúde (SUS) no Brasil, sobre a qual serão feitas as ponderações que seguem, dentro do</w:t>
      </w:r>
      <w:r>
        <w:rPr>
          <w:spacing w:val="40"/>
        </w:rPr>
        <w:t xml:space="preserve"> </w:t>
      </w:r>
      <w:r>
        <w:t>escopo da presente pesquisa.</w:t>
      </w:r>
    </w:p>
    <w:p w:rsidR="007259F2" w:rsidRDefault="00E655B4">
      <w:pPr>
        <w:pStyle w:val="Heading2"/>
        <w:numPr>
          <w:ilvl w:val="1"/>
          <w:numId w:val="44"/>
        </w:numPr>
        <w:tabs>
          <w:tab w:val="left" w:pos="899"/>
          <w:tab w:val="left" w:pos="1152"/>
        </w:tabs>
        <w:spacing w:before="209" w:line="237" w:lineRule="auto"/>
        <w:ind w:right="850" w:hanging="188"/>
        <w:jc w:val="both"/>
      </w:pPr>
      <w:r>
        <w:t>O Sistema Único de Saúde na Lei nº 8.080/1990: competências dos entes federativos e a participação complementar</w:t>
      </w:r>
    </w:p>
    <w:p w:rsidR="007259F2" w:rsidRDefault="00E655B4">
      <w:pPr>
        <w:pStyle w:val="Corpodetexto"/>
        <w:spacing w:before="116"/>
        <w:ind w:right="422"/>
      </w:pPr>
      <w:r>
        <w:t>A primeira menção legal a um sistema único de saúde foi feita no art. 198 da Constituição da República, o qual prevê que as ações e serviços públicos de saúde integram uma rede regionalizada e hierarquizada, constituindo um sistema único organizado conforme as diretrizes gerais de descentralização, com direção única em cada esfera de governo, atendimento integral, sem prejuízo dos serviços assistenciais e de participação da</w:t>
      </w:r>
      <w:r>
        <w:rPr>
          <w:spacing w:val="80"/>
        </w:rPr>
        <w:t xml:space="preserve"> </w:t>
      </w:r>
      <w:r>
        <w:rPr>
          <w:spacing w:val="-2"/>
        </w:rPr>
        <w:t>comunidade.</w:t>
      </w:r>
    </w:p>
    <w:p w:rsidR="007259F2" w:rsidRDefault="00E655B4">
      <w:pPr>
        <w:pStyle w:val="Corpodetexto"/>
        <w:spacing w:before="1"/>
        <w:ind w:right="427"/>
      </w:pPr>
      <w:r>
        <w:t>Posteriormente, no ano de 1990, a lei n° 8.080, que dispõe sobre as condições para a promoção, proteção e recuperação da saúde, foi inserida no ordenamento jurídico, sendo um marco legal imprescindível para a concretização do direito fundamental e social à saúde, constitucionalmente previsto para todos os brasileiros, com a implementação do Sistema Único de Saúde no país.</w:t>
      </w:r>
    </w:p>
    <w:p w:rsidR="007259F2" w:rsidRDefault="00E655B4">
      <w:pPr>
        <w:ind w:left="710" w:right="419" w:firstLine="707"/>
        <w:jc w:val="both"/>
        <w:rPr>
          <w:sz w:val="24"/>
        </w:rPr>
      </w:pPr>
      <w:r>
        <w:rPr>
          <w:sz w:val="24"/>
        </w:rPr>
        <w:t>Seu artigo 1º traz o objetivo da norma, que é o de regular as ações e serviços de saúde em todo o território nacional, a serem “</w:t>
      </w:r>
      <w:r>
        <w:rPr>
          <w:i/>
          <w:sz w:val="24"/>
        </w:rPr>
        <w:t>executados isolada ou conjuntamente, em caráter permanente ou eventual, por pessoas naturais ou jurídicas de direito Público ou privado</w:t>
      </w:r>
      <w:r>
        <w:rPr>
          <w:sz w:val="24"/>
        </w:rPr>
        <w:t>” (BRASIL, 1990), estando aí inclusa a participação em caráter complementar da iniciativa privada no SUS, o que é reforçado de maneira expressa no art. 4º, § 2º.</w:t>
      </w:r>
    </w:p>
    <w:p w:rsidR="007259F2" w:rsidRDefault="00E655B4">
      <w:pPr>
        <w:pStyle w:val="Corpodetexto"/>
        <w:spacing w:before="1"/>
        <w:ind w:right="422"/>
      </w:pPr>
      <w:r>
        <w:t>Os princípios e diretrizes das ações e serviços de saúde públicos e dos serviços privados que integram o SUS por contrato ou convênio são listados no art. 7º, dentre os quais destaca-se o inciso IX, que traz o princípio da descentralização político-administrativa, com direção única</w:t>
      </w:r>
      <w:r>
        <w:rPr>
          <w:spacing w:val="-1"/>
        </w:rPr>
        <w:t xml:space="preserve"> </w:t>
      </w:r>
      <w:r>
        <w:t>em</w:t>
      </w:r>
      <w:r>
        <w:rPr>
          <w:spacing w:val="-1"/>
        </w:rPr>
        <w:t xml:space="preserve"> </w:t>
      </w:r>
      <w:r>
        <w:t>cada esfera</w:t>
      </w:r>
      <w:r>
        <w:rPr>
          <w:spacing w:val="-1"/>
        </w:rPr>
        <w:t xml:space="preserve"> </w:t>
      </w:r>
      <w:r>
        <w:t>de governo, com</w:t>
      </w:r>
      <w:r>
        <w:rPr>
          <w:spacing w:val="-1"/>
        </w:rPr>
        <w:t xml:space="preserve"> </w:t>
      </w:r>
      <w:r>
        <w:t>ênfase na</w:t>
      </w:r>
      <w:r>
        <w:rPr>
          <w:spacing w:val="-2"/>
        </w:rPr>
        <w:t xml:space="preserve"> </w:t>
      </w:r>
      <w:r>
        <w:t>descentralização</w:t>
      </w:r>
      <w:r>
        <w:rPr>
          <w:spacing w:val="-1"/>
        </w:rPr>
        <w:t xml:space="preserve"> </w:t>
      </w:r>
      <w:r>
        <w:t>dos</w:t>
      </w:r>
      <w:r>
        <w:rPr>
          <w:spacing w:val="-1"/>
        </w:rPr>
        <w:t xml:space="preserve"> </w:t>
      </w:r>
      <w:r>
        <w:t>serviços</w:t>
      </w:r>
      <w:r>
        <w:rPr>
          <w:spacing w:val="-1"/>
        </w:rPr>
        <w:t xml:space="preserve"> </w:t>
      </w:r>
      <w:r>
        <w:t xml:space="preserve">para os municípios, de acordo com sua alínea </w:t>
      </w:r>
      <w:r>
        <w:rPr>
          <w:i/>
        </w:rPr>
        <w:t>a</w:t>
      </w:r>
      <w:r>
        <w:t>, o que se coaduna com a repartição constitucional de competência para a promoção da saúde estabelecida no art. 23, II, da Constituição Federal.</w:t>
      </w:r>
    </w:p>
    <w:p w:rsidR="007259F2" w:rsidRDefault="00E655B4">
      <w:pPr>
        <w:pStyle w:val="Corpodetexto"/>
        <w:ind w:right="424"/>
      </w:pPr>
      <w:r>
        <w:t>Também integra este princípio a regionalização e hierarquização da rede de serviços</w:t>
      </w:r>
      <w:r>
        <w:rPr>
          <w:spacing w:val="40"/>
        </w:rPr>
        <w:t xml:space="preserve"> </w:t>
      </w:r>
      <w:r>
        <w:t>de saúde. Ainda tratando de competências dos entes federados, União, Estados, Distrito Federal e Municípios têm como atribuição comum definida no art. 15, I, da lei que rege o</w:t>
      </w:r>
      <w:r>
        <w:rPr>
          <w:spacing w:val="40"/>
        </w:rPr>
        <w:t xml:space="preserve"> </w:t>
      </w:r>
      <w:r>
        <w:t>SUS a definição das instâncias e mecanismos de controle, avaliação e fiscalização das ações e serviços de saúde, o que abrange tanto as ações e serviços prestados diretamente pela Administração Pública Direta e Indireta como aqueles prestados pelas pessoas jurídicas de direito privado em participação complementar.</w:t>
      </w:r>
    </w:p>
    <w:p w:rsidR="007259F2" w:rsidRDefault="00E655B4">
      <w:pPr>
        <w:pStyle w:val="Corpodetexto"/>
        <w:ind w:right="424"/>
      </w:pPr>
      <w:r>
        <w:t>Releva anotar que o art. 18, que elenca as competências da direção municipal do SUS, determina em seu inciso I a execução direta dos serviços públicos de saúde, bem como o planejamento, organização, controle e avaliação das respectivas ações e serviços. Ainda, cabe à direção municipal normatizar de forma complementar, no seu âmbito de atuação, as ações e serviços públicos de saúde, de acordo com o inciso XII.</w:t>
      </w:r>
    </w:p>
    <w:p w:rsidR="007259F2" w:rsidRDefault="00E655B4">
      <w:pPr>
        <w:pStyle w:val="Corpodetexto"/>
        <w:spacing w:before="1"/>
        <w:ind w:right="417"/>
      </w:pPr>
      <w:r>
        <w:t xml:space="preserve">No mesmo artigo há disposição específica a respeito da celebração de contratos e convênios com entidades de direito privado que prestem serviços de saúde, o que será oportunamente trabalhado em seção futura, que irá tratar do contrato de gestão na área da </w:t>
      </w:r>
      <w:r>
        <w:rPr>
          <w:spacing w:val="-2"/>
        </w:rPr>
        <w:t>saúde.</w:t>
      </w:r>
    </w:p>
    <w:p w:rsidR="007259F2" w:rsidRDefault="00E655B4">
      <w:pPr>
        <w:pStyle w:val="Corpodetexto"/>
        <w:jc w:val="left"/>
      </w:pPr>
      <w:r>
        <w:t>Ainda</w:t>
      </w:r>
      <w:r>
        <w:rPr>
          <w:spacing w:val="29"/>
        </w:rPr>
        <w:t xml:space="preserve"> </w:t>
      </w:r>
      <w:r>
        <w:t>sobre</w:t>
      </w:r>
      <w:r>
        <w:rPr>
          <w:spacing w:val="28"/>
        </w:rPr>
        <w:t xml:space="preserve"> </w:t>
      </w:r>
      <w:r>
        <w:t>o</w:t>
      </w:r>
      <w:r>
        <w:rPr>
          <w:spacing w:val="30"/>
        </w:rPr>
        <w:t xml:space="preserve"> </w:t>
      </w:r>
      <w:r>
        <w:t>tema</w:t>
      </w:r>
      <w:r>
        <w:rPr>
          <w:spacing w:val="29"/>
        </w:rPr>
        <w:t xml:space="preserve"> </w:t>
      </w:r>
      <w:r>
        <w:t>da</w:t>
      </w:r>
      <w:r>
        <w:rPr>
          <w:spacing w:val="31"/>
        </w:rPr>
        <w:t xml:space="preserve"> </w:t>
      </w:r>
      <w:r>
        <w:t>participação</w:t>
      </w:r>
      <w:r>
        <w:rPr>
          <w:spacing w:val="30"/>
        </w:rPr>
        <w:t xml:space="preserve"> </w:t>
      </w:r>
      <w:r>
        <w:t>complementar</w:t>
      </w:r>
      <w:r>
        <w:rPr>
          <w:spacing w:val="29"/>
        </w:rPr>
        <w:t xml:space="preserve"> </w:t>
      </w:r>
      <w:r>
        <w:t>no</w:t>
      </w:r>
      <w:r>
        <w:rPr>
          <w:spacing w:val="30"/>
        </w:rPr>
        <w:t xml:space="preserve"> </w:t>
      </w:r>
      <w:r>
        <w:t>SUS,</w:t>
      </w:r>
      <w:r>
        <w:rPr>
          <w:spacing w:val="30"/>
        </w:rPr>
        <w:t xml:space="preserve"> </w:t>
      </w:r>
      <w:r>
        <w:t>dispõe</w:t>
      </w:r>
      <w:r>
        <w:rPr>
          <w:spacing w:val="29"/>
        </w:rPr>
        <w:t xml:space="preserve"> </w:t>
      </w:r>
      <w:r>
        <w:t>o</w:t>
      </w:r>
      <w:r>
        <w:rPr>
          <w:spacing w:val="30"/>
        </w:rPr>
        <w:t xml:space="preserve"> </w:t>
      </w:r>
      <w:r>
        <w:t>art.</w:t>
      </w:r>
      <w:r>
        <w:rPr>
          <w:spacing w:val="32"/>
        </w:rPr>
        <w:t xml:space="preserve"> </w:t>
      </w:r>
      <w:r>
        <w:t>24</w:t>
      </w:r>
      <w:r>
        <w:rPr>
          <w:spacing w:val="30"/>
        </w:rPr>
        <w:t xml:space="preserve"> </w:t>
      </w:r>
      <w:r>
        <w:t>da</w:t>
      </w:r>
      <w:r>
        <w:rPr>
          <w:spacing w:val="31"/>
        </w:rPr>
        <w:t xml:space="preserve"> </w:t>
      </w:r>
      <w:r>
        <w:t>Lei Orgânica da Saúde que o Sistema Único de Saúde fica autorizado a recorrer aos serviços da</w:t>
      </w:r>
    </w:p>
    <w:p w:rsidR="007259F2" w:rsidRDefault="007259F2">
      <w:pPr>
        <w:pStyle w:val="Corpodetexto"/>
        <w:jc w:val="left"/>
        <w:sectPr w:rsidR="007259F2">
          <w:pgSz w:w="11910" w:h="16840"/>
          <w:pgMar w:top="1600" w:right="708" w:bottom="1020" w:left="992" w:header="0" w:footer="820" w:gutter="0"/>
          <w:cols w:space="720"/>
        </w:sectPr>
      </w:pPr>
    </w:p>
    <w:p w:rsidR="007259F2" w:rsidRDefault="00E655B4">
      <w:pPr>
        <w:pStyle w:val="Corpodetexto"/>
        <w:spacing w:before="75"/>
        <w:ind w:right="425" w:firstLine="0"/>
      </w:pPr>
      <w:r>
        <w:lastRenderedPageBreak/>
        <w:t>iniciativa privada quando as suas disponibilidades forem insuficientes para garantir a cobertura assistencial à população de uma determinada área. O parágrafo único deste artigo aduz que a participação complementar deve ser formalizada mediante contrato ou convênio, observadas as normas de direito público. Ainda, o art. 25 confere preferência às entidades filantrópicas e às sem fins lucrativos para participar desta forma do SUS. Ambos os artigos mencionados reproduzem o teor do art. 199, § 1º, da Constituição Federal.</w:t>
      </w:r>
    </w:p>
    <w:p w:rsidR="007259F2" w:rsidRDefault="00E655B4">
      <w:pPr>
        <w:pStyle w:val="Corpodetexto"/>
        <w:ind w:right="423"/>
      </w:pPr>
      <w:r>
        <w:t>Apresentadas as disposições constitucionais a respeito do direito social à saúde, as normas de competência para a sua promoção por todos os entes federativos e as disposições</w:t>
      </w:r>
      <w:r>
        <w:rPr>
          <w:spacing w:val="40"/>
        </w:rPr>
        <w:t xml:space="preserve"> </w:t>
      </w:r>
      <w:r>
        <w:t xml:space="preserve">da Lei Orgânica da Saúde com as diretrizes gerais para a participação da iniciativa privada no Sistema Único de Saúde em caráter complementar, é pertinente caminhar para a análise de uma situação de saúde a ser administrada e, em muitas vezes, “remediada” pelo Estado. Remediada, e não propriamente sanada, haja vista ser quase impossível na prática retornar ao </w:t>
      </w:r>
      <w:r>
        <w:rPr>
          <w:i/>
        </w:rPr>
        <w:t xml:space="preserve">status quo ante </w:t>
      </w:r>
      <w:r>
        <w:t>- os erros médicos ocorridos nas dependências dos hospitais e demais</w:t>
      </w:r>
      <w:r>
        <w:rPr>
          <w:spacing w:val="40"/>
        </w:rPr>
        <w:t xml:space="preserve"> </w:t>
      </w:r>
      <w:r>
        <w:t>unidades de saúde públicas.</w:t>
      </w:r>
    </w:p>
    <w:p w:rsidR="007259F2" w:rsidRDefault="00E655B4">
      <w:pPr>
        <w:pStyle w:val="Corpodetexto"/>
        <w:spacing w:before="1"/>
        <w:ind w:right="423"/>
      </w:pPr>
      <w:r>
        <w:t>Para tanto, necessário é retomar conceitos relacionados à responsabilidade civil objetiva</w:t>
      </w:r>
      <w:r>
        <w:rPr>
          <w:spacing w:val="-4"/>
        </w:rPr>
        <w:t xml:space="preserve"> </w:t>
      </w:r>
      <w:r>
        <w:t>estatal</w:t>
      </w:r>
      <w:r>
        <w:rPr>
          <w:spacing w:val="-1"/>
        </w:rPr>
        <w:t xml:space="preserve"> </w:t>
      </w:r>
      <w:r>
        <w:t>para</w:t>
      </w:r>
      <w:r>
        <w:rPr>
          <w:spacing w:val="-1"/>
        </w:rPr>
        <w:t xml:space="preserve"> </w:t>
      </w:r>
      <w:r>
        <w:t>então</w:t>
      </w:r>
      <w:r>
        <w:rPr>
          <w:spacing w:val="-3"/>
        </w:rPr>
        <w:t xml:space="preserve"> </w:t>
      </w:r>
      <w:r>
        <w:t>se</w:t>
      </w:r>
      <w:r>
        <w:rPr>
          <w:spacing w:val="-2"/>
        </w:rPr>
        <w:t xml:space="preserve"> </w:t>
      </w:r>
      <w:r>
        <w:t>analisar a</w:t>
      </w:r>
      <w:r>
        <w:rPr>
          <w:spacing w:val="-1"/>
        </w:rPr>
        <w:t xml:space="preserve"> </w:t>
      </w:r>
      <w:r>
        <w:t>hipótese</w:t>
      </w:r>
      <w:r>
        <w:rPr>
          <w:spacing w:val="-3"/>
        </w:rPr>
        <w:t xml:space="preserve"> </w:t>
      </w:r>
      <w:r>
        <w:t>de</w:t>
      </w:r>
      <w:r>
        <w:rPr>
          <w:spacing w:val="-4"/>
        </w:rPr>
        <w:t xml:space="preserve"> </w:t>
      </w:r>
      <w:r>
        <w:t>caracterização</w:t>
      </w:r>
      <w:r>
        <w:rPr>
          <w:spacing w:val="-2"/>
        </w:rPr>
        <w:t xml:space="preserve"> </w:t>
      </w:r>
      <w:r>
        <w:t>da</w:t>
      </w:r>
      <w:r>
        <w:rPr>
          <w:spacing w:val="-2"/>
        </w:rPr>
        <w:t xml:space="preserve"> </w:t>
      </w:r>
      <w:r>
        <w:t>responsabilidade</w:t>
      </w:r>
      <w:r>
        <w:rPr>
          <w:spacing w:val="-3"/>
        </w:rPr>
        <w:t xml:space="preserve"> </w:t>
      </w:r>
      <w:r>
        <w:t>civil</w:t>
      </w:r>
      <w:r>
        <w:rPr>
          <w:spacing w:val="-3"/>
        </w:rPr>
        <w:t xml:space="preserve"> </w:t>
      </w:r>
      <w:r>
        <w:t>do Estado</w:t>
      </w:r>
      <w:r>
        <w:rPr>
          <w:spacing w:val="-1"/>
        </w:rPr>
        <w:t xml:space="preserve"> </w:t>
      </w:r>
      <w:r>
        <w:t>frente ao paciente dos serviços públicos de saúde vitimado por erro médico, o que</w:t>
      </w:r>
      <w:r>
        <w:rPr>
          <w:spacing w:val="-1"/>
        </w:rPr>
        <w:t xml:space="preserve"> </w:t>
      </w:r>
      <w:r>
        <w:t>será feito a seguir.</w:t>
      </w:r>
    </w:p>
    <w:p w:rsidR="007259F2" w:rsidRDefault="00E655B4">
      <w:pPr>
        <w:pStyle w:val="Heading2"/>
        <w:numPr>
          <w:ilvl w:val="0"/>
          <w:numId w:val="44"/>
        </w:numPr>
        <w:tabs>
          <w:tab w:val="left" w:pos="952"/>
        </w:tabs>
        <w:ind w:left="952" w:hanging="240"/>
        <w:jc w:val="both"/>
      </w:pPr>
      <w:r>
        <w:t>Teoria</w:t>
      </w:r>
      <w:r>
        <w:rPr>
          <w:spacing w:val="-6"/>
        </w:rPr>
        <w:t xml:space="preserve"> </w:t>
      </w:r>
      <w:r>
        <w:t>do</w:t>
      </w:r>
      <w:r>
        <w:rPr>
          <w:spacing w:val="-3"/>
        </w:rPr>
        <w:t xml:space="preserve"> </w:t>
      </w:r>
      <w:r>
        <w:t>risco</w:t>
      </w:r>
      <w:r>
        <w:rPr>
          <w:spacing w:val="-2"/>
        </w:rPr>
        <w:t xml:space="preserve"> </w:t>
      </w:r>
      <w:r>
        <w:t>administrativo</w:t>
      </w:r>
      <w:r>
        <w:rPr>
          <w:spacing w:val="-1"/>
        </w:rPr>
        <w:t xml:space="preserve"> </w:t>
      </w:r>
      <w:r>
        <w:t>e</w:t>
      </w:r>
      <w:r>
        <w:rPr>
          <w:spacing w:val="-6"/>
        </w:rPr>
        <w:t xml:space="preserve"> </w:t>
      </w:r>
      <w:r>
        <w:t>responsabilidade</w:t>
      </w:r>
      <w:r>
        <w:rPr>
          <w:spacing w:val="-3"/>
        </w:rPr>
        <w:t xml:space="preserve"> </w:t>
      </w:r>
      <w:r>
        <w:t>civil</w:t>
      </w:r>
      <w:r>
        <w:rPr>
          <w:spacing w:val="-4"/>
        </w:rPr>
        <w:t xml:space="preserve"> </w:t>
      </w:r>
      <w:r>
        <w:t>objetiva</w:t>
      </w:r>
      <w:r>
        <w:rPr>
          <w:spacing w:val="-2"/>
        </w:rPr>
        <w:t xml:space="preserve"> </w:t>
      </w:r>
      <w:r>
        <w:t>do</w:t>
      </w:r>
      <w:r>
        <w:rPr>
          <w:spacing w:val="-2"/>
        </w:rPr>
        <w:t xml:space="preserve"> Estado</w:t>
      </w:r>
    </w:p>
    <w:p w:rsidR="007259F2" w:rsidRDefault="00E655B4">
      <w:pPr>
        <w:pStyle w:val="Corpodetexto"/>
        <w:spacing w:before="112"/>
        <w:ind w:right="420"/>
      </w:pPr>
      <w:r>
        <w:t>O entendimento sobre a responsabilização estatal no plano civil sofreu significativas mudanças ao longo dos séculos, evoluindo, em apertada síntese, da ideia da total irresponsabilidade do Estado, aplicada desde a época dos Estados Absolutistas, que perpetuou injustiças aos súditos por muito tempo sob o falso pretexto da manutenção da soberania, para</w:t>
      </w:r>
      <w:r>
        <w:rPr>
          <w:spacing w:val="40"/>
        </w:rPr>
        <w:t xml:space="preserve"> </w:t>
      </w:r>
      <w:r>
        <w:t>a responsabilidade subjetiva do Estado, com as doutrinas civilistas, a qual só aceitava que o Estado poderia ser responsabilizado mediante a demonstração de culpa para qualquer ato praticado por seus prepostos, e, enfim, para a teoria da responsabilidade objetiva do Estado, que foi desenvolvida conforme princípios de direito público, hoje utilizada como regra geral no direito positivo brasileiro.</w:t>
      </w:r>
    </w:p>
    <w:p w:rsidR="007259F2" w:rsidRDefault="00E655B4">
      <w:pPr>
        <w:pStyle w:val="Corpodetexto"/>
        <w:spacing w:before="1"/>
        <w:ind w:right="431"/>
      </w:pPr>
      <w:r>
        <w:t>Para tratar da responsabilidade objetiva estatal na forma como é aplicada atualmente, convém abordar a teoria do risco, que a fundamentou.</w:t>
      </w:r>
    </w:p>
    <w:p w:rsidR="007259F2" w:rsidRDefault="00E655B4">
      <w:pPr>
        <w:pStyle w:val="Corpodetexto"/>
        <w:ind w:right="423"/>
      </w:pPr>
      <w:r>
        <w:t xml:space="preserve">O risco implica, </w:t>
      </w:r>
      <w:r>
        <w:rPr>
          <w:i/>
        </w:rPr>
        <w:t>de per si</w:t>
      </w:r>
      <w:r>
        <w:t>, em probabilidade de ocorrência de dano. Assim, aqueles</w:t>
      </w:r>
      <w:r>
        <w:rPr>
          <w:spacing w:val="40"/>
        </w:rPr>
        <w:t xml:space="preserve"> </w:t>
      </w:r>
      <w:r>
        <w:t>que</w:t>
      </w:r>
      <w:r>
        <w:rPr>
          <w:spacing w:val="-2"/>
        </w:rPr>
        <w:t xml:space="preserve"> </w:t>
      </w:r>
      <w:r>
        <w:t>desenvolvem atividades</w:t>
      </w:r>
      <w:r>
        <w:rPr>
          <w:spacing w:val="-1"/>
        </w:rPr>
        <w:t xml:space="preserve"> </w:t>
      </w:r>
      <w:r>
        <w:t>perigosas</w:t>
      </w:r>
      <w:r>
        <w:rPr>
          <w:spacing w:val="-1"/>
        </w:rPr>
        <w:t xml:space="preserve"> </w:t>
      </w:r>
      <w:r>
        <w:t>ou que</w:t>
      </w:r>
      <w:r>
        <w:rPr>
          <w:spacing w:val="-2"/>
        </w:rPr>
        <w:t xml:space="preserve"> </w:t>
      </w:r>
      <w:r>
        <w:t>de qualquer</w:t>
      </w:r>
      <w:r>
        <w:rPr>
          <w:spacing w:val="-1"/>
        </w:rPr>
        <w:t xml:space="preserve"> </w:t>
      </w:r>
      <w:r>
        <w:t>forma,</w:t>
      </w:r>
      <w:r>
        <w:rPr>
          <w:spacing w:val="-1"/>
        </w:rPr>
        <w:t xml:space="preserve"> </w:t>
      </w:r>
      <w:r>
        <w:t>pela sua natureza, acarretem riscos, uma vez efetivado o dano a consequência é a obrigação, por quem desenvolve a atividade, de repará-lo.</w:t>
      </w:r>
    </w:p>
    <w:p w:rsidR="007259F2" w:rsidRDefault="00E655B4">
      <w:pPr>
        <w:pStyle w:val="Corpodetexto"/>
        <w:spacing w:before="1"/>
        <w:ind w:left="1418" w:firstLine="0"/>
      </w:pPr>
      <w:r>
        <w:t>Sérgio</w:t>
      </w:r>
      <w:r>
        <w:rPr>
          <w:spacing w:val="-7"/>
        </w:rPr>
        <w:t xml:space="preserve"> </w:t>
      </w:r>
      <w:r>
        <w:t>Cavalieri Filho,</w:t>
      </w:r>
      <w:r>
        <w:rPr>
          <w:spacing w:val="-2"/>
        </w:rPr>
        <w:t xml:space="preserve"> </w:t>
      </w:r>
      <w:r>
        <w:t>ao</w:t>
      </w:r>
      <w:r>
        <w:rPr>
          <w:spacing w:val="-4"/>
        </w:rPr>
        <w:t xml:space="preserve"> </w:t>
      </w:r>
      <w:r>
        <w:t>comentar</w:t>
      </w:r>
      <w:r>
        <w:rPr>
          <w:spacing w:val="-3"/>
        </w:rPr>
        <w:t xml:space="preserve"> </w:t>
      </w:r>
      <w:r>
        <w:t>a</w:t>
      </w:r>
      <w:r>
        <w:rPr>
          <w:spacing w:val="-5"/>
        </w:rPr>
        <w:t xml:space="preserve"> </w:t>
      </w:r>
      <w:r>
        <w:t>teoria</w:t>
      </w:r>
      <w:r>
        <w:rPr>
          <w:spacing w:val="-1"/>
        </w:rPr>
        <w:t xml:space="preserve"> </w:t>
      </w:r>
      <w:r>
        <w:t>geral</w:t>
      </w:r>
      <w:r>
        <w:rPr>
          <w:spacing w:val="-1"/>
        </w:rPr>
        <w:t xml:space="preserve"> </w:t>
      </w:r>
      <w:r>
        <w:t>do</w:t>
      </w:r>
      <w:r>
        <w:rPr>
          <w:spacing w:val="-1"/>
        </w:rPr>
        <w:t xml:space="preserve"> </w:t>
      </w:r>
      <w:r>
        <w:t>risco,</w:t>
      </w:r>
      <w:r>
        <w:rPr>
          <w:spacing w:val="-1"/>
        </w:rPr>
        <w:t xml:space="preserve"> </w:t>
      </w:r>
      <w:r>
        <w:t>afirma</w:t>
      </w:r>
      <w:r>
        <w:rPr>
          <w:spacing w:val="-4"/>
        </w:rPr>
        <w:t xml:space="preserve"> </w:t>
      </w:r>
      <w:r>
        <w:rPr>
          <w:spacing w:val="-5"/>
        </w:rPr>
        <w:t>que</w:t>
      </w:r>
    </w:p>
    <w:p w:rsidR="007259F2" w:rsidRDefault="00E655B4">
      <w:pPr>
        <w:spacing w:before="232"/>
        <w:ind w:left="2978" w:right="424"/>
        <w:jc w:val="both"/>
        <w:rPr>
          <w:sz w:val="20"/>
        </w:rPr>
      </w:pPr>
      <w:r>
        <w:rPr>
          <w:sz w:val="20"/>
        </w:rPr>
        <w:t xml:space="preserve">todo prejuízo deve ser atribuído ao seu autor e reparado por quem o causou, </w:t>
      </w:r>
      <w:r>
        <w:rPr>
          <w:b/>
          <w:sz w:val="20"/>
        </w:rPr>
        <w:t>independentemente de ter ou não agido com culpa</w:t>
      </w:r>
      <w:r>
        <w:rPr>
          <w:sz w:val="20"/>
        </w:rPr>
        <w:t>. Resolve-se o</w:t>
      </w:r>
      <w:r>
        <w:rPr>
          <w:spacing w:val="40"/>
          <w:sz w:val="20"/>
        </w:rPr>
        <w:t xml:space="preserve"> </w:t>
      </w:r>
      <w:r>
        <w:rPr>
          <w:sz w:val="20"/>
        </w:rPr>
        <w:t xml:space="preserve">problema na relação de causalidade, </w:t>
      </w:r>
      <w:r>
        <w:rPr>
          <w:b/>
          <w:sz w:val="20"/>
        </w:rPr>
        <w:t>dispensável qualquer juízo de valor sobre a culpa do responsável, que é aquele que materialmente causou o dano</w:t>
      </w:r>
      <w:r>
        <w:rPr>
          <w:sz w:val="20"/>
        </w:rPr>
        <w:t>. (CAVALIERI FILHO, 2014, p. 181, grifo nosso)</w:t>
      </w:r>
    </w:p>
    <w:p w:rsidR="007259F2" w:rsidRDefault="00E655B4">
      <w:pPr>
        <w:pStyle w:val="Corpodetexto"/>
        <w:spacing w:before="228"/>
        <w:ind w:right="428"/>
      </w:pPr>
      <w:r>
        <w:t>Sob a vertente do direito administrativo, a teoria do risco prega que a avaliação quanto a culpa do preposto ou agente deve ser substituída pela avaliação da existência de nexo de causalidade entre o funcionamento do serviço público e o prejuízo sofrido pelo administrado, sendo irrelevante as condições de funcionamento do serviço, ou seja, se ele foi prestado de forma regular ou irregular, boa ou ruim (DI PIETRO, 2014).</w:t>
      </w:r>
    </w:p>
    <w:p w:rsidR="007259F2" w:rsidRDefault="007259F2">
      <w:pPr>
        <w:pStyle w:val="Corpodetexto"/>
        <w:sectPr w:rsidR="007259F2">
          <w:pgSz w:w="11910" w:h="16840"/>
          <w:pgMar w:top="1600" w:right="708" w:bottom="1020" w:left="992" w:header="0" w:footer="820" w:gutter="0"/>
          <w:cols w:space="720"/>
        </w:sectPr>
      </w:pPr>
    </w:p>
    <w:p w:rsidR="007259F2" w:rsidRDefault="00E655B4">
      <w:pPr>
        <w:pStyle w:val="Corpodetexto"/>
        <w:spacing w:before="75"/>
        <w:ind w:right="422"/>
      </w:pPr>
      <w:r>
        <w:lastRenderedPageBreak/>
        <w:t xml:space="preserve">Fato é que o risco é intrínseco à execução das atividades estatais, não podendo a Administração Pública deixar de prestar os serviços à população a fim de evitar que o risco se concretize, devendo suportar os ônus daí decorrentes, independentemente da culpa de seus </w:t>
      </w:r>
      <w:r>
        <w:rPr>
          <w:spacing w:val="-2"/>
        </w:rPr>
        <w:t>agentes.</w:t>
      </w:r>
    </w:p>
    <w:p w:rsidR="007259F2" w:rsidRDefault="00E655B4">
      <w:pPr>
        <w:pStyle w:val="Corpodetexto"/>
        <w:ind w:right="423"/>
      </w:pPr>
      <w:r>
        <w:t xml:space="preserve">Celso Antônio Bandeira de Mello (2005, p. 866, </w:t>
      </w:r>
      <w:r>
        <w:rPr>
          <w:i/>
        </w:rPr>
        <w:t xml:space="preserve">apud </w:t>
      </w:r>
      <w:r>
        <w:t>CAVALIERI FILHO, 2014, p. 286) nos ensina que a responsabilidade do Estado tem como fundamento o princípio da igualdade, no sentido de que suas atividades são desempenhadas no interesse da coletividade, e, se por um lado todos podem se beneficiar dessas atividades, de outro, se delas resultarem ônus, os prejuízos também devem ser repartidos entre toda a sociedade, por meio dos</w:t>
      </w:r>
      <w:r>
        <w:rPr>
          <w:spacing w:val="40"/>
        </w:rPr>
        <w:t xml:space="preserve"> </w:t>
      </w:r>
      <w:r>
        <w:t>impostos arrecadados pelo Estado, a serem utilizados para indenizar a vítima do dano oriundo da atividade administrativa, pois não seria justo que a vítima suportasse sozinha os ônus inerentes a uma atividade estatal que beneficia a todos.</w:t>
      </w:r>
    </w:p>
    <w:p w:rsidR="007259F2" w:rsidRDefault="00E655B4">
      <w:pPr>
        <w:pStyle w:val="Corpodetexto"/>
        <w:spacing w:before="1"/>
        <w:ind w:left="1418" w:firstLine="0"/>
      </w:pPr>
      <w:r>
        <w:t>A</w:t>
      </w:r>
      <w:r>
        <w:rPr>
          <w:spacing w:val="-9"/>
        </w:rPr>
        <w:t xml:space="preserve"> </w:t>
      </w:r>
      <w:r>
        <w:t>teoria</w:t>
      </w:r>
      <w:r>
        <w:rPr>
          <w:spacing w:val="-2"/>
        </w:rPr>
        <w:t xml:space="preserve"> </w:t>
      </w:r>
      <w:r>
        <w:t>do</w:t>
      </w:r>
      <w:r>
        <w:rPr>
          <w:spacing w:val="-1"/>
        </w:rPr>
        <w:t xml:space="preserve"> </w:t>
      </w:r>
      <w:r>
        <w:t>risco</w:t>
      </w:r>
      <w:r>
        <w:rPr>
          <w:spacing w:val="-1"/>
        </w:rPr>
        <w:t xml:space="preserve"> </w:t>
      </w:r>
      <w:r>
        <w:t>administrativo pode</w:t>
      </w:r>
      <w:r>
        <w:rPr>
          <w:spacing w:val="-4"/>
        </w:rPr>
        <w:t xml:space="preserve"> </w:t>
      </w:r>
      <w:r>
        <w:t>ser</w:t>
      </w:r>
      <w:r>
        <w:rPr>
          <w:spacing w:val="-4"/>
        </w:rPr>
        <w:t xml:space="preserve"> </w:t>
      </w:r>
      <w:r>
        <w:t>sintetizada</w:t>
      </w:r>
      <w:r>
        <w:rPr>
          <w:spacing w:val="-1"/>
        </w:rPr>
        <w:t xml:space="preserve"> </w:t>
      </w:r>
      <w:r>
        <w:t>da</w:t>
      </w:r>
      <w:r>
        <w:rPr>
          <w:spacing w:val="-5"/>
        </w:rPr>
        <w:t xml:space="preserve"> </w:t>
      </w:r>
      <w:r>
        <w:t>seguinte</w:t>
      </w:r>
      <w:r>
        <w:rPr>
          <w:spacing w:val="-1"/>
        </w:rPr>
        <w:t xml:space="preserve"> </w:t>
      </w:r>
      <w:r>
        <w:rPr>
          <w:spacing w:val="-2"/>
        </w:rPr>
        <w:t>forma:</w:t>
      </w:r>
    </w:p>
    <w:p w:rsidR="007259F2" w:rsidRDefault="007259F2">
      <w:pPr>
        <w:pStyle w:val="Corpodetexto"/>
        <w:spacing w:before="1"/>
        <w:ind w:left="0" w:firstLine="0"/>
        <w:jc w:val="left"/>
      </w:pPr>
    </w:p>
    <w:p w:rsidR="007259F2" w:rsidRDefault="00E655B4">
      <w:pPr>
        <w:spacing w:before="1"/>
        <w:ind w:left="2978" w:right="420"/>
        <w:jc w:val="both"/>
        <w:rPr>
          <w:sz w:val="20"/>
        </w:rPr>
      </w:pPr>
      <w:r>
        <w:rPr>
          <w:sz w:val="20"/>
        </w:rPr>
        <w:t xml:space="preserve">a teoria do risco administrativo importa atribuir ao Estado a responsabilidade pelo risco criado pela sua atividade administrativa. Esta teoria, como se vê, surge como expressão concreta do princípio da igualdade dos indivíduos diante dos encargos públicos. É a forma democrática de repartir os ónus e encargos sociais por todos aqueles que são beneficiados pela atividade da Administração Pública. </w:t>
      </w:r>
      <w:r>
        <w:rPr>
          <w:b/>
          <w:sz w:val="20"/>
        </w:rPr>
        <w:t>Toda lesão sofrida pelo particular deve ser ressarcida, independentemente de culpa do agente público que a causou. O que se tem que verificar é, apenas, a relação de causalidade entre a ação administrativa e o dano sofrido pelo administrado</w:t>
      </w:r>
      <w:r>
        <w:rPr>
          <w:sz w:val="20"/>
        </w:rPr>
        <w:t>. (CAVALIERI FILHO, 2014, p. 287, grifo nosso)</w:t>
      </w:r>
    </w:p>
    <w:p w:rsidR="007259F2" w:rsidRDefault="00E655B4">
      <w:pPr>
        <w:pStyle w:val="Corpodetexto"/>
        <w:spacing w:before="199"/>
        <w:ind w:right="421"/>
      </w:pPr>
      <w:r>
        <w:t>Conforme a teoria em análise, a responsabilidade objetiva estatal caracteriza-se pelo ato administrativo lesivo causado pelo agente público, o dano sofrido pelo administrado e o nexo de causalidade entre ambos, sendo irrelevante, portanto, a existência de culpa em seu sentido amplo (culpa ou dolo) por parte do agente.</w:t>
      </w:r>
    </w:p>
    <w:p w:rsidR="007259F2" w:rsidRDefault="00E655B4">
      <w:pPr>
        <w:pStyle w:val="Heading2"/>
        <w:numPr>
          <w:ilvl w:val="1"/>
          <w:numId w:val="44"/>
        </w:numPr>
        <w:tabs>
          <w:tab w:val="left" w:pos="1072"/>
        </w:tabs>
        <w:spacing w:before="204"/>
        <w:ind w:left="1072" w:hanging="360"/>
      </w:pPr>
      <w:r>
        <w:t>A</w:t>
      </w:r>
      <w:r>
        <w:rPr>
          <w:spacing w:val="-5"/>
        </w:rPr>
        <w:t xml:space="preserve"> </w:t>
      </w:r>
      <w:r>
        <w:t>responsabilidade</w:t>
      </w:r>
      <w:r>
        <w:rPr>
          <w:spacing w:val="-5"/>
        </w:rPr>
        <w:t xml:space="preserve"> </w:t>
      </w:r>
      <w:r>
        <w:t>civil</w:t>
      </w:r>
      <w:r>
        <w:rPr>
          <w:spacing w:val="-1"/>
        </w:rPr>
        <w:t xml:space="preserve"> </w:t>
      </w:r>
      <w:r>
        <w:t>objetiva</w:t>
      </w:r>
      <w:r>
        <w:rPr>
          <w:spacing w:val="-1"/>
        </w:rPr>
        <w:t xml:space="preserve"> </w:t>
      </w:r>
      <w:r>
        <w:t>do</w:t>
      </w:r>
      <w:r>
        <w:rPr>
          <w:spacing w:val="-4"/>
        </w:rPr>
        <w:t xml:space="preserve"> </w:t>
      </w:r>
      <w:r>
        <w:t>Estado</w:t>
      </w:r>
      <w:r>
        <w:rPr>
          <w:spacing w:val="-5"/>
        </w:rPr>
        <w:t xml:space="preserve"> </w:t>
      </w:r>
      <w:r>
        <w:t>no</w:t>
      </w:r>
      <w:r>
        <w:rPr>
          <w:spacing w:val="-2"/>
        </w:rPr>
        <w:t xml:space="preserve"> </w:t>
      </w:r>
      <w:r>
        <w:t>direito</w:t>
      </w:r>
      <w:r>
        <w:rPr>
          <w:spacing w:val="-1"/>
        </w:rPr>
        <w:t xml:space="preserve"> </w:t>
      </w:r>
      <w:r>
        <w:rPr>
          <w:spacing w:val="-2"/>
        </w:rPr>
        <w:t>positivo</w:t>
      </w:r>
    </w:p>
    <w:p w:rsidR="007259F2" w:rsidRDefault="00E655B4">
      <w:pPr>
        <w:pStyle w:val="Corpodetexto"/>
        <w:spacing w:before="115"/>
        <w:ind w:left="1418" w:firstLine="0"/>
        <w:jc w:val="left"/>
      </w:pPr>
      <w:r>
        <w:t>No</w:t>
      </w:r>
      <w:r>
        <w:rPr>
          <w:spacing w:val="19"/>
        </w:rPr>
        <w:t xml:space="preserve"> </w:t>
      </w:r>
      <w:r>
        <w:t>ordenamento</w:t>
      </w:r>
      <w:r>
        <w:rPr>
          <w:spacing w:val="20"/>
        </w:rPr>
        <w:t xml:space="preserve"> </w:t>
      </w:r>
      <w:r>
        <w:t>vigente</w:t>
      </w:r>
      <w:r>
        <w:rPr>
          <w:spacing w:val="22"/>
        </w:rPr>
        <w:t xml:space="preserve"> </w:t>
      </w:r>
      <w:r>
        <w:t>a</w:t>
      </w:r>
      <w:r>
        <w:rPr>
          <w:spacing w:val="19"/>
        </w:rPr>
        <w:t xml:space="preserve"> </w:t>
      </w:r>
      <w:r>
        <w:t>responsabilidade</w:t>
      </w:r>
      <w:r>
        <w:rPr>
          <w:spacing w:val="19"/>
        </w:rPr>
        <w:t xml:space="preserve"> </w:t>
      </w:r>
      <w:r>
        <w:t>objetiva</w:t>
      </w:r>
      <w:r>
        <w:rPr>
          <w:spacing w:val="19"/>
        </w:rPr>
        <w:t xml:space="preserve"> </w:t>
      </w:r>
      <w:r>
        <w:t>estatal</w:t>
      </w:r>
      <w:r>
        <w:rPr>
          <w:spacing w:val="20"/>
        </w:rPr>
        <w:t xml:space="preserve"> </w:t>
      </w:r>
      <w:r>
        <w:t>encontra</w:t>
      </w:r>
      <w:r>
        <w:rPr>
          <w:spacing w:val="19"/>
        </w:rPr>
        <w:t xml:space="preserve"> </w:t>
      </w:r>
      <w:r>
        <w:t>previsão</w:t>
      </w:r>
      <w:r>
        <w:rPr>
          <w:spacing w:val="20"/>
        </w:rPr>
        <w:t xml:space="preserve"> </w:t>
      </w:r>
      <w:r>
        <w:t>no</w:t>
      </w:r>
      <w:r>
        <w:rPr>
          <w:spacing w:val="21"/>
        </w:rPr>
        <w:t xml:space="preserve"> </w:t>
      </w:r>
      <w:r>
        <w:rPr>
          <w:spacing w:val="-4"/>
        </w:rPr>
        <w:t>art.</w:t>
      </w:r>
    </w:p>
    <w:p w:rsidR="007259F2" w:rsidRDefault="00E655B4">
      <w:pPr>
        <w:pStyle w:val="Corpodetexto"/>
        <w:ind w:firstLine="0"/>
        <w:jc w:val="left"/>
      </w:pPr>
      <w:r>
        <w:t>37,</w:t>
      </w:r>
      <w:r>
        <w:rPr>
          <w:spacing w:val="-1"/>
        </w:rPr>
        <w:t xml:space="preserve"> </w:t>
      </w:r>
      <w:r>
        <w:t>§</w:t>
      </w:r>
      <w:r>
        <w:rPr>
          <w:spacing w:val="-1"/>
        </w:rPr>
        <w:t xml:space="preserve"> </w:t>
      </w:r>
      <w:r>
        <w:t>6º, da</w:t>
      </w:r>
      <w:r>
        <w:rPr>
          <w:spacing w:val="-2"/>
        </w:rPr>
        <w:t xml:space="preserve"> </w:t>
      </w:r>
      <w:r>
        <w:t>Carta</w:t>
      </w:r>
      <w:r>
        <w:rPr>
          <w:spacing w:val="-2"/>
        </w:rPr>
        <w:t xml:space="preserve"> </w:t>
      </w:r>
      <w:r>
        <w:t>Magna,</w:t>
      </w:r>
      <w:r>
        <w:rPr>
          <w:spacing w:val="1"/>
        </w:rPr>
        <w:t xml:space="preserve"> </w:t>
      </w:r>
      <w:r>
        <w:t>o qual</w:t>
      </w:r>
      <w:r>
        <w:rPr>
          <w:spacing w:val="-1"/>
        </w:rPr>
        <w:t xml:space="preserve"> </w:t>
      </w:r>
      <w:r>
        <w:t>estabelece</w:t>
      </w:r>
      <w:r>
        <w:rPr>
          <w:spacing w:val="-1"/>
        </w:rPr>
        <w:t xml:space="preserve"> </w:t>
      </w:r>
      <w:r>
        <w:rPr>
          <w:spacing w:val="-4"/>
        </w:rPr>
        <w:t>que:</w:t>
      </w:r>
    </w:p>
    <w:p w:rsidR="007259F2" w:rsidRDefault="00E655B4">
      <w:pPr>
        <w:spacing w:before="122"/>
        <w:ind w:left="2978" w:right="428"/>
        <w:jc w:val="both"/>
        <w:rPr>
          <w:sz w:val="20"/>
        </w:rPr>
      </w:pPr>
      <w:r>
        <w:rPr>
          <w:sz w:val="20"/>
        </w:rPr>
        <w:t>As pessoas jurídicas de direito público e as de direito privado prestadoras de</w:t>
      </w:r>
      <w:r>
        <w:rPr>
          <w:spacing w:val="40"/>
          <w:sz w:val="20"/>
        </w:rPr>
        <w:t xml:space="preserve"> </w:t>
      </w:r>
      <w:r>
        <w:rPr>
          <w:sz w:val="20"/>
        </w:rPr>
        <w:t>serviços públicos responderão pelos danos que seus agentes, nessa qualidade, causarem a terceiros, assegurado o direito de regresso contra o responsável nos</w:t>
      </w:r>
      <w:r>
        <w:rPr>
          <w:spacing w:val="80"/>
          <w:sz w:val="20"/>
        </w:rPr>
        <w:t xml:space="preserve"> </w:t>
      </w:r>
      <w:r>
        <w:rPr>
          <w:sz w:val="20"/>
        </w:rPr>
        <w:t>casos de dolo ou culpa (BRASIL, 1988).</w:t>
      </w:r>
    </w:p>
    <w:p w:rsidR="007259F2" w:rsidRDefault="00E655B4">
      <w:pPr>
        <w:spacing w:before="229"/>
        <w:ind w:left="710" w:right="417" w:firstLine="707"/>
        <w:jc w:val="both"/>
        <w:rPr>
          <w:sz w:val="24"/>
        </w:rPr>
      </w:pPr>
      <w:r>
        <w:rPr>
          <w:sz w:val="24"/>
        </w:rPr>
        <w:t>A primeira coisa a se pontuar deste dispositivo é que a teoria do risco administrativo foi expressamente adotada pela Constituição de 1988 como fundamento para a responsabilização da Administração Pública, “</w:t>
      </w:r>
      <w:r>
        <w:rPr>
          <w:i/>
          <w:sz w:val="24"/>
        </w:rPr>
        <w:t>porquanto condicionou a responsabilidade objetiva do Poder Público ao dano decorrente da sua atividade administrativa, isto é, aos casos em que houver relação de causa e efeito entre a atuação do agente público e o dano</w:t>
      </w:r>
      <w:r>
        <w:rPr>
          <w:sz w:val="24"/>
        </w:rPr>
        <w:t>” (CAVALIERI FILHO, 2014, p. 291).</w:t>
      </w:r>
    </w:p>
    <w:p w:rsidR="007259F2" w:rsidRDefault="00E655B4">
      <w:pPr>
        <w:pStyle w:val="Corpodetexto"/>
        <w:ind w:right="423"/>
      </w:pPr>
      <w:r>
        <w:t>Isso</w:t>
      </w:r>
      <w:r>
        <w:rPr>
          <w:spacing w:val="-1"/>
        </w:rPr>
        <w:t xml:space="preserve"> </w:t>
      </w:r>
      <w:r>
        <w:t>posto, releva discorrer sobre</w:t>
      </w:r>
      <w:r>
        <w:rPr>
          <w:spacing w:val="-3"/>
        </w:rPr>
        <w:t xml:space="preserve"> </w:t>
      </w:r>
      <w:r>
        <w:t>as regras para</w:t>
      </w:r>
      <w:r>
        <w:rPr>
          <w:spacing w:val="-2"/>
        </w:rPr>
        <w:t xml:space="preserve"> </w:t>
      </w:r>
      <w:r>
        <w:t>a responsabilização objetiva do</w:t>
      </w:r>
      <w:r>
        <w:rPr>
          <w:spacing w:val="-1"/>
        </w:rPr>
        <w:t xml:space="preserve"> </w:t>
      </w:r>
      <w:r>
        <w:t>Estado que podem daí ser extraídas.</w:t>
      </w:r>
    </w:p>
    <w:p w:rsidR="007259F2" w:rsidRDefault="00E655B4">
      <w:pPr>
        <w:pStyle w:val="Corpodetexto"/>
        <w:ind w:right="422"/>
      </w:pPr>
      <w:r>
        <w:t>Quanto ao “agente que, nessa qualidade”, cause dano a terceiros, referido na norma, muito já foi discutido na doutrina a respeito do ato do agente e a sua relação com a atividade administrativa</w:t>
      </w:r>
      <w:r>
        <w:rPr>
          <w:spacing w:val="-2"/>
        </w:rPr>
        <w:t xml:space="preserve"> </w:t>
      </w:r>
      <w:r>
        <w:t>e</w:t>
      </w:r>
      <w:r>
        <w:rPr>
          <w:spacing w:val="-3"/>
        </w:rPr>
        <w:t xml:space="preserve"> </w:t>
      </w:r>
      <w:r>
        <w:t>o</w:t>
      </w:r>
      <w:r>
        <w:rPr>
          <w:spacing w:val="-2"/>
        </w:rPr>
        <w:t xml:space="preserve"> </w:t>
      </w:r>
      <w:r>
        <w:t>dano, se</w:t>
      </w:r>
      <w:r>
        <w:rPr>
          <w:spacing w:val="-2"/>
        </w:rPr>
        <w:t xml:space="preserve"> </w:t>
      </w:r>
      <w:r>
        <w:t>ele</w:t>
      </w:r>
      <w:r>
        <w:rPr>
          <w:spacing w:val="-3"/>
        </w:rPr>
        <w:t xml:space="preserve"> </w:t>
      </w:r>
      <w:r>
        <w:t>necessita</w:t>
      </w:r>
      <w:r>
        <w:rPr>
          <w:spacing w:val="-2"/>
        </w:rPr>
        <w:t xml:space="preserve"> </w:t>
      </w:r>
      <w:r>
        <w:t>ter</w:t>
      </w:r>
      <w:r>
        <w:rPr>
          <w:spacing w:val="-3"/>
        </w:rPr>
        <w:t xml:space="preserve"> </w:t>
      </w:r>
      <w:r>
        <w:t>agido no</w:t>
      </w:r>
      <w:r>
        <w:rPr>
          <w:spacing w:val="-2"/>
        </w:rPr>
        <w:t xml:space="preserve"> </w:t>
      </w:r>
      <w:r>
        <w:t>exercício</w:t>
      </w:r>
      <w:r>
        <w:rPr>
          <w:spacing w:val="-2"/>
        </w:rPr>
        <w:t xml:space="preserve"> </w:t>
      </w:r>
      <w:r>
        <w:t>de</w:t>
      </w:r>
      <w:r>
        <w:rPr>
          <w:spacing w:val="-3"/>
        </w:rPr>
        <w:t xml:space="preserve"> </w:t>
      </w:r>
      <w:r>
        <w:t>suas funções</w:t>
      </w:r>
      <w:r>
        <w:rPr>
          <w:spacing w:val="-1"/>
        </w:rPr>
        <w:t xml:space="preserve"> </w:t>
      </w:r>
      <w:r>
        <w:t>ou</w:t>
      </w:r>
      <w:r>
        <w:rPr>
          <w:spacing w:val="-2"/>
        </w:rPr>
        <w:t xml:space="preserve"> </w:t>
      </w:r>
      <w:r>
        <w:t>se</w:t>
      </w:r>
      <w:r>
        <w:rPr>
          <w:spacing w:val="-3"/>
        </w:rPr>
        <w:t xml:space="preserve"> </w:t>
      </w:r>
      <w:r>
        <w:t>basta</w:t>
      </w:r>
      <w:r>
        <w:rPr>
          <w:spacing w:val="-3"/>
        </w:rPr>
        <w:t xml:space="preserve"> </w:t>
      </w:r>
      <w:r>
        <w:t>que tenha</w:t>
      </w:r>
      <w:r>
        <w:rPr>
          <w:spacing w:val="-5"/>
        </w:rPr>
        <w:t xml:space="preserve"> </w:t>
      </w:r>
      <w:r>
        <w:t>agido em</w:t>
      </w:r>
      <w:r>
        <w:rPr>
          <w:spacing w:val="-1"/>
        </w:rPr>
        <w:t xml:space="preserve"> </w:t>
      </w:r>
      <w:r>
        <w:t>razão</w:t>
      </w:r>
      <w:r>
        <w:rPr>
          <w:spacing w:val="-3"/>
        </w:rPr>
        <w:t xml:space="preserve"> </w:t>
      </w:r>
      <w:r>
        <w:t>delas.</w:t>
      </w:r>
      <w:r>
        <w:rPr>
          <w:spacing w:val="-3"/>
        </w:rPr>
        <w:t xml:space="preserve"> </w:t>
      </w:r>
      <w:r>
        <w:t>Adota-se</w:t>
      </w:r>
      <w:r>
        <w:rPr>
          <w:spacing w:val="-4"/>
        </w:rPr>
        <w:t xml:space="preserve"> </w:t>
      </w:r>
      <w:r>
        <w:t>o</w:t>
      </w:r>
      <w:r>
        <w:rPr>
          <w:spacing w:val="-1"/>
        </w:rPr>
        <w:t xml:space="preserve"> </w:t>
      </w:r>
      <w:r>
        <w:t>posicionamento</w:t>
      </w:r>
      <w:r>
        <w:rPr>
          <w:spacing w:val="-2"/>
        </w:rPr>
        <w:t xml:space="preserve"> </w:t>
      </w:r>
      <w:r>
        <w:t>de</w:t>
      </w:r>
      <w:r>
        <w:rPr>
          <w:spacing w:val="-4"/>
        </w:rPr>
        <w:t xml:space="preserve"> </w:t>
      </w:r>
      <w:r>
        <w:t>Sérgio</w:t>
      </w:r>
      <w:r>
        <w:rPr>
          <w:spacing w:val="-2"/>
        </w:rPr>
        <w:t xml:space="preserve"> </w:t>
      </w:r>
      <w:r>
        <w:t>Cavalieri</w:t>
      </w:r>
      <w:r>
        <w:rPr>
          <w:spacing w:val="-1"/>
        </w:rPr>
        <w:t xml:space="preserve"> </w:t>
      </w:r>
      <w:r>
        <w:t>Filho</w:t>
      </w:r>
      <w:r>
        <w:rPr>
          <w:spacing w:val="-1"/>
        </w:rPr>
        <w:t xml:space="preserve"> </w:t>
      </w:r>
      <w:r>
        <w:t>(2014),</w:t>
      </w:r>
      <w:r>
        <w:rPr>
          <w:spacing w:val="-1"/>
        </w:rPr>
        <w:t xml:space="preserve"> </w:t>
      </w:r>
      <w:r>
        <w:t>para o qual basta que a função ou a atividade administrativa tenham oportunizado a prática do ato</w:t>
      </w:r>
    </w:p>
    <w:p w:rsidR="007259F2" w:rsidRDefault="007259F2">
      <w:pPr>
        <w:pStyle w:val="Corpodetexto"/>
        <w:sectPr w:rsidR="007259F2">
          <w:pgSz w:w="11910" w:h="16840"/>
          <w:pgMar w:top="1600" w:right="708" w:bottom="1020" w:left="992" w:header="0" w:footer="820" w:gutter="0"/>
          <w:cols w:space="720"/>
        </w:sectPr>
      </w:pPr>
    </w:p>
    <w:p w:rsidR="007259F2" w:rsidRDefault="00E655B4">
      <w:pPr>
        <w:pStyle w:val="Corpodetexto"/>
        <w:spacing w:before="75"/>
        <w:ind w:right="427" w:firstLine="0"/>
      </w:pPr>
      <w:r>
        <w:lastRenderedPageBreak/>
        <w:t>danoso, sendo então suficiente que o agente tenha agido em razão do cargo, função ou atividade administrativa, dispensável o exercício estrito da função.</w:t>
      </w:r>
    </w:p>
    <w:p w:rsidR="007259F2" w:rsidRDefault="00E655B4">
      <w:pPr>
        <w:pStyle w:val="Corpodetexto"/>
        <w:ind w:right="424"/>
      </w:pPr>
      <w:r>
        <w:t>No mais, da redação do dispositivo constitucional infere-se que não somente todas as pessoas jurídicas de direito público devem ser responsabilizadas pelos danos causados por seus agentes a terceiros, mas também as pessoas jurídicas de direito privado que prestem serviços públicos, questão essa que será melhor discutida em seção futura deste trabalho.</w:t>
      </w:r>
    </w:p>
    <w:p w:rsidR="007259F2" w:rsidRDefault="00E655B4">
      <w:pPr>
        <w:pStyle w:val="Corpodetexto"/>
        <w:ind w:right="426"/>
      </w:pPr>
      <w:r>
        <w:t>Outro ponto é que o “terceiro” vítima do dano pode ser um usuário do serviço público ou não, pois a caracterização enquanto vítima do dano resultante do ato administrativo lesivo independe da qualidade de usuário do serviço público, entendimento este já consolidado pelo Supremo Tribunal Federal no Tema 110.</w:t>
      </w:r>
    </w:p>
    <w:p w:rsidR="007259F2" w:rsidRDefault="00E655B4">
      <w:pPr>
        <w:pStyle w:val="Corpodetexto"/>
        <w:ind w:right="429"/>
      </w:pPr>
      <w:r>
        <w:t>Como última regra, reitera-se que é imprescindível haver nexo de causalidade entre o ato lesivo perpetrado pelo agente e o dano.</w:t>
      </w:r>
    </w:p>
    <w:p w:rsidR="007259F2" w:rsidRDefault="00E655B4">
      <w:pPr>
        <w:spacing w:before="1"/>
        <w:ind w:left="710" w:right="426" w:firstLine="707"/>
        <w:jc w:val="both"/>
        <w:rPr>
          <w:sz w:val="24"/>
        </w:rPr>
      </w:pPr>
      <w:r>
        <w:rPr>
          <w:sz w:val="24"/>
        </w:rPr>
        <w:t>Posteriormente à Constituição de 1988, a teoria da responsabilidade civil objetiva também foi expressamente acolhida. O Código Civil determina em seu art. 927, parágrafo único, que “</w:t>
      </w:r>
      <w:r>
        <w:rPr>
          <w:i/>
          <w:sz w:val="24"/>
        </w:rPr>
        <w:t xml:space="preserve">haverá obrigação de reparar o dano, </w:t>
      </w:r>
      <w:r>
        <w:rPr>
          <w:b/>
          <w:i/>
          <w:sz w:val="24"/>
        </w:rPr>
        <w:t>independentemente de culpa, nos casos especificados em lei, ou quando a atividade normalmente desenvolvida pelo autor do dano implicar, por sua natureza, risco para os direitos de outrem</w:t>
      </w:r>
      <w:r>
        <w:rPr>
          <w:sz w:val="24"/>
        </w:rPr>
        <w:t>” (BRASIL, 2002, grifo nosso).</w:t>
      </w:r>
    </w:p>
    <w:p w:rsidR="007259F2" w:rsidRDefault="00E655B4">
      <w:pPr>
        <w:pStyle w:val="Corpodetexto"/>
        <w:ind w:right="425"/>
      </w:pPr>
      <w:r>
        <w:t xml:space="preserve">Nesse dispositivo, além da desnecessidade de verificação de culpa do autor do dano, o que evidencia o pressuposto do nexo de causalidade em seu lugar, o fator do risco pela atividade desenvolvida está presente de forma expressa, tal como no art. 37, § 6º, da </w:t>
      </w:r>
      <w:r>
        <w:rPr>
          <w:spacing w:val="-2"/>
        </w:rPr>
        <w:t>Constituição.</w:t>
      </w:r>
    </w:p>
    <w:p w:rsidR="007259F2" w:rsidRDefault="00E655B4">
      <w:pPr>
        <w:ind w:left="710" w:right="422" w:firstLine="707"/>
        <w:jc w:val="both"/>
        <w:rPr>
          <w:sz w:val="24"/>
        </w:rPr>
      </w:pPr>
      <w:r>
        <w:rPr>
          <w:sz w:val="24"/>
        </w:rPr>
        <w:t>Ainda, tratando do nexo de causalidade, que é o elemento basilar da responsabilidade civil</w:t>
      </w:r>
      <w:r>
        <w:rPr>
          <w:spacing w:val="-2"/>
          <w:sz w:val="24"/>
        </w:rPr>
        <w:t xml:space="preserve"> </w:t>
      </w:r>
      <w:r>
        <w:rPr>
          <w:sz w:val="24"/>
        </w:rPr>
        <w:t>objetiva,</w:t>
      </w:r>
      <w:r>
        <w:rPr>
          <w:spacing w:val="-3"/>
          <w:sz w:val="24"/>
        </w:rPr>
        <w:t xml:space="preserve"> </w:t>
      </w:r>
      <w:r>
        <w:rPr>
          <w:sz w:val="24"/>
        </w:rPr>
        <w:t>esta</w:t>
      </w:r>
      <w:r>
        <w:rPr>
          <w:spacing w:val="-3"/>
          <w:sz w:val="24"/>
        </w:rPr>
        <w:t xml:space="preserve"> </w:t>
      </w:r>
      <w:r>
        <w:rPr>
          <w:sz w:val="24"/>
        </w:rPr>
        <w:t>só</w:t>
      </w:r>
      <w:r>
        <w:rPr>
          <w:spacing w:val="-3"/>
          <w:sz w:val="24"/>
        </w:rPr>
        <w:t xml:space="preserve"> </w:t>
      </w:r>
      <w:r>
        <w:rPr>
          <w:sz w:val="24"/>
        </w:rPr>
        <w:t>poderá</w:t>
      </w:r>
      <w:r>
        <w:rPr>
          <w:spacing w:val="-6"/>
          <w:sz w:val="24"/>
        </w:rPr>
        <w:t xml:space="preserve"> </w:t>
      </w:r>
      <w:r>
        <w:rPr>
          <w:sz w:val="24"/>
        </w:rPr>
        <w:t>ser</w:t>
      </w:r>
      <w:r>
        <w:rPr>
          <w:spacing w:val="-1"/>
          <w:sz w:val="24"/>
        </w:rPr>
        <w:t xml:space="preserve"> </w:t>
      </w:r>
      <w:r>
        <w:rPr>
          <w:sz w:val="24"/>
        </w:rPr>
        <w:t>excluída,</w:t>
      </w:r>
      <w:r>
        <w:rPr>
          <w:spacing w:val="-2"/>
          <w:sz w:val="24"/>
        </w:rPr>
        <w:t xml:space="preserve"> </w:t>
      </w:r>
      <w:r>
        <w:rPr>
          <w:sz w:val="24"/>
        </w:rPr>
        <w:t>via</w:t>
      </w:r>
      <w:r>
        <w:rPr>
          <w:spacing w:val="-3"/>
          <w:sz w:val="24"/>
        </w:rPr>
        <w:t xml:space="preserve"> </w:t>
      </w:r>
      <w:r>
        <w:rPr>
          <w:sz w:val="24"/>
        </w:rPr>
        <w:t>de</w:t>
      </w:r>
      <w:r>
        <w:rPr>
          <w:spacing w:val="-3"/>
          <w:sz w:val="24"/>
        </w:rPr>
        <w:t xml:space="preserve"> </w:t>
      </w:r>
      <w:r>
        <w:rPr>
          <w:sz w:val="24"/>
        </w:rPr>
        <w:t>regra, mediante a</w:t>
      </w:r>
      <w:r>
        <w:rPr>
          <w:spacing w:val="-3"/>
          <w:sz w:val="24"/>
        </w:rPr>
        <w:t xml:space="preserve"> </w:t>
      </w:r>
      <w:r>
        <w:rPr>
          <w:sz w:val="24"/>
        </w:rPr>
        <w:t>ocorrência</w:t>
      </w:r>
      <w:r>
        <w:rPr>
          <w:spacing w:val="-2"/>
          <w:sz w:val="24"/>
        </w:rPr>
        <w:t xml:space="preserve"> </w:t>
      </w:r>
      <w:r>
        <w:rPr>
          <w:sz w:val="24"/>
        </w:rPr>
        <w:t>de</w:t>
      </w:r>
      <w:r>
        <w:rPr>
          <w:spacing w:val="-3"/>
          <w:sz w:val="24"/>
        </w:rPr>
        <w:t xml:space="preserve"> </w:t>
      </w:r>
      <w:r>
        <w:rPr>
          <w:sz w:val="24"/>
        </w:rPr>
        <w:t>força</w:t>
      </w:r>
      <w:r>
        <w:rPr>
          <w:spacing w:val="-3"/>
          <w:sz w:val="24"/>
        </w:rPr>
        <w:t xml:space="preserve"> </w:t>
      </w:r>
      <w:r>
        <w:rPr>
          <w:sz w:val="24"/>
        </w:rPr>
        <w:t>maior</w:t>
      </w:r>
      <w:r>
        <w:rPr>
          <w:spacing w:val="-3"/>
          <w:sz w:val="24"/>
        </w:rPr>
        <w:t xml:space="preserve"> </w:t>
      </w:r>
      <w:r>
        <w:rPr>
          <w:sz w:val="24"/>
        </w:rPr>
        <w:t>e culpa exclusiva da vítima ou de terceiros. Caso a vítima concorra com o Estado quanto à culpa, a responsabilidade do primeiro não será totalmente elidida, mas sim atenuada, sendo a respectiva indenização arbitrada de acordo com os critérios especificados no art. 945 do Código Civil: “</w:t>
      </w:r>
      <w:r>
        <w:rPr>
          <w:i/>
          <w:sz w:val="24"/>
        </w:rPr>
        <w:t>Se a vítima tiver concorrido culposamente para o evento danoso, a sua indenização será fixada tendo-se em conta a gravidade de sua culpa em confronto com a do autor do dano</w:t>
      </w:r>
      <w:r>
        <w:rPr>
          <w:sz w:val="24"/>
        </w:rPr>
        <w:t>” (BRASIL, 2002).</w:t>
      </w:r>
    </w:p>
    <w:p w:rsidR="007259F2" w:rsidRDefault="00E655B4">
      <w:pPr>
        <w:pStyle w:val="Corpodetexto"/>
        <w:ind w:right="425"/>
      </w:pPr>
      <w:r>
        <w:t>Verificado que, na hipótese de ato do poder público causar dano a terceiro, o Estado responde, em regra, de forma objetiva, torna-se oportuno analisar a responsabilidade civil estatal pelo erro médico ocorrido nas unidades de saúde públicas.</w:t>
      </w:r>
    </w:p>
    <w:p w:rsidR="007259F2" w:rsidRDefault="00E655B4">
      <w:pPr>
        <w:pStyle w:val="Heading2"/>
        <w:numPr>
          <w:ilvl w:val="1"/>
          <w:numId w:val="44"/>
        </w:numPr>
        <w:tabs>
          <w:tab w:val="left" w:pos="1072"/>
        </w:tabs>
        <w:spacing w:before="205"/>
        <w:ind w:left="1072" w:hanging="360"/>
        <w:jc w:val="both"/>
      </w:pPr>
      <w:r>
        <w:t>Responsabilidade</w:t>
      </w:r>
      <w:r>
        <w:rPr>
          <w:spacing w:val="-4"/>
        </w:rPr>
        <w:t xml:space="preserve"> </w:t>
      </w:r>
      <w:r>
        <w:t>civil</w:t>
      </w:r>
      <w:r>
        <w:rPr>
          <w:spacing w:val="-1"/>
        </w:rPr>
        <w:t xml:space="preserve"> </w:t>
      </w:r>
      <w:r>
        <w:t>do</w:t>
      </w:r>
      <w:r>
        <w:rPr>
          <w:spacing w:val="-2"/>
        </w:rPr>
        <w:t xml:space="preserve"> </w:t>
      </w:r>
      <w:r>
        <w:t>Estado</w:t>
      </w:r>
      <w:r>
        <w:rPr>
          <w:spacing w:val="-6"/>
        </w:rPr>
        <w:t xml:space="preserve"> </w:t>
      </w:r>
      <w:r>
        <w:t>pelo</w:t>
      </w:r>
      <w:r>
        <w:rPr>
          <w:spacing w:val="-1"/>
        </w:rPr>
        <w:t xml:space="preserve"> </w:t>
      </w:r>
      <w:r>
        <w:t>erro</w:t>
      </w:r>
      <w:r>
        <w:rPr>
          <w:spacing w:val="-2"/>
        </w:rPr>
        <w:t xml:space="preserve"> </w:t>
      </w:r>
      <w:r>
        <w:t>médico</w:t>
      </w:r>
      <w:r>
        <w:rPr>
          <w:spacing w:val="-2"/>
        </w:rPr>
        <w:t xml:space="preserve"> </w:t>
      </w:r>
      <w:r>
        <w:t>ocorrido</w:t>
      </w:r>
      <w:r>
        <w:rPr>
          <w:spacing w:val="-1"/>
        </w:rPr>
        <w:t xml:space="preserve"> </w:t>
      </w:r>
      <w:r>
        <w:t>no</w:t>
      </w:r>
      <w:r>
        <w:rPr>
          <w:spacing w:val="-2"/>
        </w:rPr>
        <w:t xml:space="preserve"> </w:t>
      </w:r>
      <w:r>
        <w:t>âmbito</w:t>
      </w:r>
      <w:r>
        <w:rPr>
          <w:spacing w:val="-1"/>
        </w:rPr>
        <w:t xml:space="preserve"> </w:t>
      </w:r>
      <w:r>
        <w:t>no</w:t>
      </w:r>
      <w:r>
        <w:rPr>
          <w:spacing w:val="-4"/>
        </w:rPr>
        <w:t xml:space="preserve"> </w:t>
      </w:r>
      <w:r>
        <w:rPr>
          <w:spacing w:val="-5"/>
        </w:rPr>
        <w:t>SUS</w:t>
      </w:r>
    </w:p>
    <w:p w:rsidR="007259F2" w:rsidRDefault="00E655B4">
      <w:pPr>
        <w:pStyle w:val="Corpodetexto"/>
        <w:spacing w:before="115"/>
        <w:ind w:right="429"/>
      </w:pPr>
      <w:r>
        <w:t>É sabido que o Sistema Único de Saúde é o grande responsável pelo atendimento na área da saúde no país, fornecendo acesso universal e igualitário às ações e serviços para a promoção, proteção e recuperação da saúde a maior parcela da população.</w:t>
      </w:r>
    </w:p>
    <w:p w:rsidR="007259F2" w:rsidRDefault="00E655B4">
      <w:pPr>
        <w:pStyle w:val="Corpodetexto"/>
        <w:spacing w:before="1"/>
        <w:ind w:right="422"/>
      </w:pPr>
      <w:r>
        <w:t>Fornecer atendimento público integral em um país de dimensões continentais é sem dúvidas desafiador, mesmo considerando que a rede de serviços do SUS é regionalizada e hierarquizada entre os entes federativos. Os profissionais que atuam na saúde pública, prestando este serviço diretamente à população, enfrentam diversos percalços, como a alta demanda incessante, a insuficiência de recursos humanos e orçamentários, principalmente nas regiões e localidades mais afastadas do país, longe dos centros urbanos, onde há uma má- distribuição de profissionais da saúde e de verbas, culminando em precarização.</w:t>
      </w:r>
    </w:p>
    <w:p w:rsidR="007259F2" w:rsidRDefault="007259F2">
      <w:pPr>
        <w:pStyle w:val="Corpodetexto"/>
        <w:sectPr w:rsidR="007259F2">
          <w:pgSz w:w="11910" w:h="16840"/>
          <w:pgMar w:top="1600" w:right="708" w:bottom="1020" w:left="992" w:header="0" w:footer="820" w:gutter="0"/>
          <w:cols w:space="720"/>
        </w:sectPr>
      </w:pPr>
    </w:p>
    <w:p w:rsidR="007259F2" w:rsidRDefault="00E655B4">
      <w:pPr>
        <w:pStyle w:val="Corpodetexto"/>
        <w:spacing w:before="75"/>
        <w:ind w:right="423"/>
      </w:pPr>
      <w:r>
        <w:lastRenderedPageBreak/>
        <w:t>Este cenário de deficiências estruturais da saúde pública pode acabar contribuindo</w:t>
      </w:r>
      <w:r>
        <w:rPr>
          <w:spacing w:val="80"/>
        </w:rPr>
        <w:t xml:space="preserve"> </w:t>
      </w:r>
      <w:r>
        <w:t>para uma situação que resulta no total oposto da promoção e proteção da saúde, que são buscadas e esperadas por todos aqueles que utilizam o SUS: o erro médico.</w:t>
      </w:r>
    </w:p>
    <w:p w:rsidR="007259F2" w:rsidRDefault="00E655B4">
      <w:pPr>
        <w:pStyle w:val="Corpodetexto"/>
        <w:ind w:left="1418" w:firstLine="0"/>
      </w:pPr>
      <w:r>
        <w:t>O</w:t>
      </w:r>
      <w:r>
        <w:rPr>
          <w:spacing w:val="-7"/>
        </w:rPr>
        <w:t xml:space="preserve"> </w:t>
      </w:r>
      <w:r>
        <w:t>erro</w:t>
      </w:r>
      <w:r>
        <w:rPr>
          <w:spacing w:val="-1"/>
        </w:rPr>
        <w:t xml:space="preserve"> </w:t>
      </w:r>
      <w:r>
        <w:t>médico,</w:t>
      </w:r>
      <w:r>
        <w:rPr>
          <w:spacing w:val="-1"/>
        </w:rPr>
        <w:t xml:space="preserve"> </w:t>
      </w:r>
      <w:r>
        <w:t>conforme a</w:t>
      </w:r>
      <w:r>
        <w:rPr>
          <w:spacing w:val="-2"/>
        </w:rPr>
        <w:t xml:space="preserve"> </w:t>
      </w:r>
      <w:r>
        <w:t>definição</w:t>
      </w:r>
      <w:r>
        <w:rPr>
          <w:spacing w:val="-1"/>
        </w:rPr>
        <w:t xml:space="preserve"> </w:t>
      </w:r>
      <w:r>
        <w:t>de</w:t>
      </w:r>
      <w:r>
        <w:rPr>
          <w:spacing w:val="-2"/>
        </w:rPr>
        <w:t xml:space="preserve"> </w:t>
      </w:r>
      <w:r>
        <w:t>Genival</w:t>
      </w:r>
      <w:r>
        <w:rPr>
          <w:spacing w:val="-1"/>
        </w:rPr>
        <w:t xml:space="preserve"> </w:t>
      </w:r>
      <w:r>
        <w:t>Veloso</w:t>
      </w:r>
      <w:r>
        <w:rPr>
          <w:spacing w:val="-1"/>
        </w:rPr>
        <w:t xml:space="preserve"> </w:t>
      </w:r>
      <w:r>
        <w:t>de</w:t>
      </w:r>
      <w:r>
        <w:rPr>
          <w:spacing w:val="-2"/>
        </w:rPr>
        <w:t xml:space="preserve"> </w:t>
      </w:r>
      <w:r>
        <w:t>França</w:t>
      </w:r>
      <w:r>
        <w:rPr>
          <w:spacing w:val="-2"/>
        </w:rPr>
        <w:t xml:space="preserve"> </w:t>
      </w:r>
      <w:r>
        <w:t>(2014,</w:t>
      </w:r>
      <w:r>
        <w:rPr>
          <w:spacing w:val="2"/>
        </w:rPr>
        <w:t xml:space="preserve"> </w:t>
      </w:r>
      <w:r>
        <w:t>p.</w:t>
      </w:r>
      <w:r>
        <w:rPr>
          <w:spacing w:val="1"/>
        </w:rPr>
        <w:t xml:space="preserve"> </w:t>
      </w:r>
      <w:r>
        <w:rPr>
          <w:spacing w:val="-2"/>
        </w:rPr>
        <w:t>257):</w:t>
      </w:r>
    </w:p>
    <w:p w:rsidR="007259F2" w:rsidRDefault="007259F2">
      <w:pPr>
        <w:pStyle w:val="Corpodetexto"/>
        <w:spacing w:before="2"/>
        <w:ind w:left="0" w:firstLine="0"/>
        <w:jc w:val="left"/>
      </w:pPr>
    </w:p>
    <w:p w:rsidR="007259F2" w:rsidRDefault="00E655B4">
      <w:pPr>
        <w:ind w:left="2978" w:right="422"/>
        <w:jc w:val="both"/>
        <w:rPr>
          <w:sz w:val="20"/>
        </w:rPr>
      </w:pPr>
      <w:r>
        <w:rPr>
          <w:sz w:val="20"/>
        </w:rPr>
        <w:t>é uma forma de conduta profissional inadequada que supõe uma inobservância técnica, capaz de produzir um dano à vida ou à saúde do paciente. É o dano sofrido pelo paciente que possa ser caracterizado como imperícia, negligência ou imprudência do médico, no exercício de suas atividades profissionais. Levam-se em conta as condições do atendimento, a necessidade da ação e os meios empregados.</w:t>
      </w:r>
    </w:p>
    <w:p w:rsidR="007259F2" w:rsidRDefault="00E655B4">
      <w:pPr>
        <w:spacing w:before="228"/>
        <w:ind w:left="710" w:right="423" w:firstLine="707"/>
        <w:jc w:val="both"/>
        <w:rPr>
          <w:sz w:val="24"/>
        </w:rPr>
      </w:pPr>
      <w:r>
        <w:rPr>
          <w:sz w:val="24"/>
        </w:rPr>
        <w:t>A inobservância técnica que cause dano por imperícia, negligência ou imprudência caracteriza culpa em sentido estrito, que é a falta do dever de cuidado objetivo. Na lição de Sérgio Cavalieri Filho (2014, p. 52), a imprudência seria a falta de cuidado por uma conduta comissiva, ou seja, por uma ação, um fazer; a negligência se consubstancia na falta do dever de cuidado por uma conduta omissiva, um não fazer; já a imperícia “</w:t>
      </w:r>
      <w:r>
        <w:rPr>
          <w:i/>
          <w:sz w:val="24"/>
        </w:rPr>
        <w:t>decorre de falta de habilidade no exercício de atividade técnica, caso em que se exige, de regra, maior cuidado ou cautela do agente</w:t>
      </w:r>
      <w:r>
        <w:rPr>
          <w:sz w:val="24"/>
        </w:rPr>
        <w:t>”.</w:t>
      </w:r>
    </w:p>
    <w:p w:rsidR="007259F2" w:rsidRDefault="00E655B4">
      <w:pPr>
        <w:pStyle w:val="Corpodetexto"/>
        <w:spacing w:before="1"/>
        <w:ind w:right="423"/>
      </w:pPr>
      <w:r>
        <w:t>Convém tecer</w:t>
      </w:r>
      <w:r>
        <w:rPr>
          <w:spacing w:val="-1"/>
        </w:rPr>
        <w:t xml:space="preserve"> </w:t>
      </w:r>
      <w:r>
        <w:t>breves comentários quanto à responsabilidade</w:t>
      </w:r>
      <w:r>
        <w:rPr>
          <w:spacing w:val="-1"/>
        </w:rPr>
        <w:t xml:space="preserve"> </w:t>
      </w:r>
      <w:r>
        <w:t>civil dos médicos. De</w:t>
      </w:r>
      <w:r>
        <w:rPr>
          <w:spacing w:val="-1"/>
        </w:rPr>
        <w:t xml:space="preserve"> </w:t>
      </w:r>
      <w:r>
        <w:t>um modo geral, a obrigação dos médicos e demais profissionais da saúde é de meio, na qual há o comprometimento de atuar com os conhecimentos técnicos, os métodos e diligência habituais para o resultado esperado pelo paciente, sem garantia quanto ao êxito absoluto deste</w:t>
      </w:r>
      <w:r>
        <w:rPr>
          <w:spacing w:val="80"/>
        </w:rPr>
        <w:t xml:space="preserve"> </w:t>
      </w:r>
      <w:r>
        <w:rPr>
          <w:spacing w:val="-2"/>
        </w:rPr>
        <w:t>resultado.</w:t>
      </w:r>
    </w:p>
    <w:p w:rsidR="007259F2" w:rsidRDefault="00E655B4">
      <w:pPr>
        <w:pStyle w:val="Corpodetexto"/>
        <w:ind w:left="1418" w:firstLine="0"/>
      </w:pPr>
      <w:r>
        <w:t>Nesse</w:t>
      </w:r>
      <w:r>
        <w:rPr>
          <w:spacing w:val="-4"/>
        </w:rPr>
        <w:t xml:space="preserve"> </w:t>
      </w:r>
      <w:r>
        <w:t>sentido,</w:t>
      </w:r>
      <w:r>
        <w:rPr>
          <w:spacing w:val="-1"/>
        </w:rPr>
        <w:t xml:space="preserve"> </w:t>
      </w:r>
      <w:r>
        <w:t>Veloso de França</w:t>
      </w:r>
      <w:r>
        <w:rPr>
          <w:spacing w:val="-2"/>
        </w:rPr>
        <w:t xml:space="preserve"> </w:t>
      </w:r>
      <w:r>
        <w:t>(2014,</w:t>
      </w:r>
      <w:r>
        <w:rPr>
          <w:spacing w:val="-1"/>
        </w:rPr>
        <w:t xml:space="preserve"> </w:t>
      </w:r>
      <w:r>
        <w:t>p. 269)</w:t>
      </w:r>
      <w:r>
        <w:rPr>
          <w:spacing w:val="-4"/>
        </w:rPr>
        <w:t xml:space="preserve"> </w:t>
      </w:r>
      <w:r>
        <w:t>assinala</w:t>
      </w:r>
      <w:r>
        <w:rPr>
          <w:spacing w:val="-1"/>
        </w:rPr>
        <w:t xml:space="preserve"> </w:t>
      </w:r>
      <w:r>
        <w:rPr>
          <w:spacing w:val="-4"/>
        </w:rPr>
        <w:t>que:</w:t>
      </w:r>
    </w:p>
    <w:p w:rsidR="007259F2" w:rsidRDefault="007259F2">
      <w:pPr>
        <w:pStyle w:val="Corpodetexto"/>
        <w:spacing w:before="2"/>
        <w:ind w:left="0" w:firstLine="0"/>
        <w:jc w:val="left"/>
      </w:pPr>
    </w:p>
    <w:p w:rsidR="007259F2" w:rsidRDefault="00E655B4">
      <w:pPr>
        <w:ind w:left="2978" w:right="419"/>
        <w:jc w:val="both"/>
        <w:rPr>
          <w:sz w:val="20"/>
        </w:rPr>
      </w:pPr>
      <w:r>
        <w:rPr>
          <w:sz w:val="20"/>
        </w:rPr>
        <w:t>existe na responsabilidade contratual civil do médico uma obrigação de meios ou de diligências, onde o próprio empenho do profissional é o objeto do contrato, sem compromisso de resultado. Cabe-lhe, todavia, dedicar-se da melhor maneira e usar</w:t>
      </w:r>
      <w:r>
        <w:rPr>
          <w:spacing w:val="40"/>
          <w:sz w:val="20"/>
        </w:rPr>
        <w:t xml:space="preserve"> </w:t>
      </w:r>
      <w:r>
        <w:rPr>
          <w:sz w:val="20"/>
        </w:rPr>
        <w:t>de todos os recursos necessários e disponíveis. Isso também não quer dizer que ele esteja imune à culpa. Enfim, essa é a ideia</w:t>
      </w:r>
      <w:r>
        <w:rPr>
          <w:spacing w:val="40"/>
          <w:sz w:val="20"/>
        </w:rPr>
        <w:t xml:space="preserve"> </w:t>
      </w:r>
      <w:r>
        <w:rPr>
          <w:sz w:val="20"/>
        </w:rPr>
        <w:t>que tem prevalecido. O contrário seria conspirar contra a lógica dos fatos.</w:t>
      </w:r>
    </w:p>
    <w:p w:rsidR="007259F2" w:rsidRDefault="00E655B4">
      <w:pPr>
        <w:pStyle w:val="Corpodetexto"/>
        <w:spacing w:before="227"/>
        <w:ind w:right="429"/>
      </w:pPr>
      <w:r>
        <w:t>E por se tratar de obrigação de meio, a responsabilidade civil do médico é subjetiva, sujeita à comprovação de culpa pelas modalidades de imprudência, negligência ou imperícia, além do ato antijurídico, do dano e do nexo causal.</w:t>
      </w:r>
    </w:p>
    <w:p w:rsidR="007259F2" w:rsidRDefault="00E655B4">
      <w:pPr>
        <w:ind w:left="710" w:right="422" w:firstLine="707"/>
        <w:jc w:val="both"/>
        <w:rPr>
          <w:sz w:val="24"/>
        </w:rPr>
      </w:pPr>
      <w:r>
        <w:rPr>
          <w:sz w:val="24"/>
        </w:rPr>
        <w:t>As principais disposições legais que disciplinam a responsabilidade civil dos profissionais</w:t>
      </w:r>
      <w:r>
        <w:rPr>
          <w:spacing w:val="-3"/>
          <w:sz w:val="24"/>
        </w:rPr>
        <w:t xml:space="preserve"> </w:t>
      </w:r>
      <w:r>
        <w:rPr>
          <w:sz w:val="24"/>
        </w:rPr>
        <w:t>de</w:t>
      </w:r>
      <w:r>
        <w:rPr>
          <w:spacing w:val="-4"/>
          <w:sz w:val="24"/>
        </w:rPr>
        <w:t xml:space="preserve"> </w:t>
      </w:r>
      <w:r>
        <w:rPr>
          <w:sz w:val="24"/>
        </w:rPr>
        <w:t>saúde</w:t>
      </w:r>
      <w:r>
        <w:rPr>
          <w:spacing w:val="-1"/>
          <w:sz w:val="24"/>
        </w:rPr>
        <w:t xml:space="preserve"> </w:t>
      </w:r>
      <w:r>
        <w:rPr>
          <w:sz w:val="24"/>
        </w:rPr>
        <w:t>atualmente</w:t>
      </w:r>
      <w:r>
        <w:rPr>
          <w:spacing w:val="-3"/>
          <w:sz w:val="24"/>
        </w:rPr>
        <w:t xml:space="preserve"> </w:t>
      </w:r>
      <w:r>
        <w:rPr>
          <w:sz w:val="24"/>
        </w:rPr>
        <w:t>estão</w:t>
      </w:r>
      <w:r>
        <w:rPr>
          <w:spacing w:val="-4"/>
          <w:sz w:val="24"/>
        </w:rPr>
        <w:t xml:space="preserve"> </w:t>
      </w:r>
      <w:r>
        <w:rPr>
          <w:sz w:val="24"/>
        </w:rPr>
        <w:t>no</w:t>
      </w:r>
      <w:r>
        <w:rPr>
          <w:spacing w:val="-3"/>
          <w:sz w:val="24"/>
        </w:rPr>
        <w:t xml:space="preserve"> </w:t>
      </w:r>
      <w:r>
        <w:rPr>
          <w:sz w:val="24"/>
        </w:rPr>
        <w:t>Código</w:t>
      </w:r>
      <w:r>
        <w:rPr>
          <w:spacing w:val="-3"/>
          <w:sz w:val="24"/>
        </w:rPr>
        <w:t xml:space="preserve"> </w:t>
      </w:r>
      <w:r>
        <w:rPr>
          <w:sz w:val="24"/>
        </w:rPr>
        <w:t>Civil,</w:t>
      </w:r>
      <w:r>
        <w:rPr>
          <w:spacing w:val="-2"/>
          <w:sz w:val="24"/>
        </w:rPr>
        <w:t xml:space="preserve"> </w:t>
      </w:r>
      <w:r>
        <w:rPr>
          <w:sz w:val="24"/>
        </w:rPr>
        <w:t>art.</w:t>
      </w:r>
      <w:r>
        <w:rPr>
          <w:spacing w:val="-4"/>
          <w:sz w:val="24"/>
        </w:rPr>
        <w:t xml:space="preserve"> </w:t>
      </w:r>
      <w:r>
        <w:rPr>
          <w:sz w:val="24"/>
        </w:rPr>
        <w:t>951,</w:t>
      </w:r>
      <w:r>
        <w:rPr>
          <w:spacing w:val="-3"/>
          <w:sz w:val="24"/>
        </w:rPr>
        <w:t xml:space="preserve"> </w:t>
      </w:r>
      <w:r>
        <w:rPr>
          <w:sz w:val="24"/>
        </w:rPr>
        <w:t>que</w:t>
      </w:r>
      <w:r>
        <w:rPr>
          <w:spacing w:val="-4"/>
          <w:sz w:val="24"/>
        </w:rPr>
        <w:t xml:space="preserve"> </w:t>
      </w:r>
      <w:r>
        <w:rPr>
          <w:sz w:val="24"/>
        </w:rPr>
        <w:t>trata</w:t>
      </w:r>
      <w:r>
        <w:rPr>
          <w:spacing w:val="-3"/>
          <w:sz w:val="24"/>
        </w:rPr>
        <w:t xml:space="preserve"> </w:t>
      </w:r>
      <w:r>
        <w:rPr>
          <w:sz w:val="24"/>
        </w:rPr>
        <w:t>da</w:t>
      </w:r>
      <w:r>
        <w:rPr>
          <w:spacing w:val="-4"/>
          <w:sz w:val="24"/>
        </w:rPr>
        <w:t xml:space="preserve"> </w:t>
      </w:r>
      <w:r>
        <w:rPr>
          <w:sz w:val="24"/>
        </w:rPr>
        <w:t>indenização</w:t>
      </w:r>
      <w:r>
        <w:rPr>
          <w:spacing w:val="-3"/>
          <w:sz w:val="24"/>
        </w:rPr>
        <w:t xml:space="preserve"> </w:t>
      </w:r>
      <w:r>
        <w:rPr>
          <w:sz w:val="24"/>
        </w:rPr>
        <w:t>por danos causados à vida e à saúde devida por “</w:t>
      </w:r>
      <w:r>
        <w:rPr>
          <w:i/>
          <w:sz w:val="24"/>
        </w:rPr>
        <w:t>aquele que, no exercício de atividade profissional, por negligência, imprudência ou imperícia, causar a morte do paciente,</w:t>
      </w:r>
      <w:r>
        <w:rPr>
          <w:i/>
          <w:spacing w:val="40"/>
          <w:sz w:val="24"/>
        </w:rPr>
        <w:t xml:space="preserve"> </w:t>
      </w:r>
      <w:r>
        <w:rPr>
          <w:i/>
          <w:sz w:val="24"/>
        </w:rPr>
        <w:t>agravar-lhe o mal, causar-lhe lesão, ou inabilitá-lo para o trabalho</w:t>
      </w:r>
      <w:r>
        <w:rPr>
          <w:sz w:val="24"/>
        </w:rPr>
        <w:t>” (BRASIL, 2002), e no Código de Defesa do Consumidor, que mesmo adotando a teoria da responsabilidade objetiva como regra geral em relação aos fornecedores de bens e serviços, afirma expressamente em seu art. 14, § 4º, que a responsabilidade pessoal dos profissionais liberais será apurada mediante a verificação de culpa.</w:t>
      </w:r>
    </w:p>
    <w:p w:rsidR="007259F2" w:rsidRDefault="00E655B4">
      <w:pPr>
        <w:pStyle w:val="Corpodetexto"/>
        <w:spacing w:before="1"/>
        <w:ind w:right="429"/>
      </w:pPr>
      <w:r>
        <w:t>Quando o médico atua como profissional liberal, não restam dúvidas de que a responsabilidade civil deste frente ao paciente será subjetiva, dependendo do elemento culpa, devendo ser analisada conforme as normas que regem a responsabilidade subjetiva na legislação civil e consumerista já explanadas.</w:t>
      </w:r>
    </w:p>
    <w:p w:rsidR="007259F2" w:rsidRDefault="00E655B4">
      <w:pPr>
        <w:pStyle w:val="Corpodetexto"/>
        <w:ind w:right="426"/>
      </w:pPr>
      <w:r>
        <w:t>Contudo, se o profissional trabalha em estabelecimento de saúde de pessoa jurídica, seja pública ou privada, na ocorrência de erro médico a regra quanto à reparação devida ao</w:t>
      </w:r>
    </w:p>
    <w:p w:rsidR="007259F2" w:rsidRDefault="007259F2">
      <w:pPr>
        <w:pStyle w:val="Corpodetexto"/>
        <w:sectPr w:rsidR="007259F2">
          <w:pgSz w:w="11910" w:h="16840"/>
          <w:pgMar w:top="1600" w:right="708" w:bottom="1020" w:left="992" w:header="0" w:footer="820" w:gutter="0"/>
          <w:cols w:space="720"/>
        </w:sectPr>
      </w:pPr>
    </w:p>
    <w:p w:rsidR="007259F2" w:rsidRDefault="00E655B4">
      <w:pPr>
        <w:pStyle w:val="Corpodetexto"/>
        <w:spacing w:before="75"/>
        <w:ind w:right="429" w:firstLine="0"/>
      </w:pPr>
      <w:r>
        <w:lastRenderedPageBreak/>
        <w:t>paciente muda, pois nesse caso o dever de indenizar recai sobre a pessoa jurídica, cuja responsabilidade deverá ser apurada de forma objetiva.</w:t>
      </w:r>
    </w:p>
    <w:p w:rsidR="007259F2" w:rsidRDefault="00E655B4">
      <w:pPr>
        <w:pStyle w:val="Corpodetexto"/>
        <w:ind w:right="423"/>
      </w:pPr>
      <w:r>
        <w:t>Quanto ao médico, sua responsabilidade pelo erro não é substituída pela responsabilização</w:t>
      </w:r>
      <w:r>
        <w:rPr>
          <w:spacing w:val="-3"/>
        </w:rPr>
        <w:t xml:space="preserve"> </w:t>
      </w:r>
      <w:r>
        <w:t>da</w:t>
      </w:r>
      <w:r>
        <w:rPr>
          <w:spacing w:val="-4"/>
        </w:rPr>
        <w:t xml:space="preserve"> </w:t>
      </w:r>
      <w:r>
        <w:t>pessoa</w:t>
      </w:r>
      <w:r>
        <w:rPr>
          <w:spacing w:val="-3"/>
        </w:rPr>
        <w:t xml:space="preserve"> </w:t>
      </w:r>
      <w:r>
        <w:t>jurídica</w:t>
      </w:r>
      <w:r>
        <w:rPr>
          <w:spacing w:val="-4"/>
        </w:rPr>
        <w:t xml:space="preserve"> </w:t>
      </w:r>
      <w:r>
        <w:t>que</w:t>
      </w:r>
      <w:r>
        <w:rPr>
          <w:spacing w:val="-2"/>
        </w:rPr>
        <w:t xml:space="preserve"> </w:t>
      </w:r>
      <w:r>
        <w:t>gerencia a</w:t>
      </w:r>
      <w:r>
        <w:rPr>
          <w:spacing w:val="-4"/>
        </w:rPr>
        <w:t xml:space="preserve"> </w:t>
      </w:r>
      <w:r>
        <w:t>unidade</w:t>
      </w:r>
      <w:r>
        <w:rPr>
          <w:spacing w:val="-7"/>
        </w:rPr>
        <w:t xml:space="preserve"> </w:t>
      </w:r>
      <w:r>
        <w:t>de</w:t>
      </w:r>
      <w:r>
        <w:rPr>
          <w:spacing w:val="-2"/>
        </w:rPr>
        <w:t xml:space="preserve"> </w:t>
      </w:r>
      <w:r>
        <w:t>saúde</w:t>
      </w:r>
      <w:r>
        <w:rPr>
          <w:spacing w:val="-2"/>
        </w:rPr>
        <w:t xml:space="preserve"> </w:t>
      </w:r>
      <w:r>
        <w:t>e</w:t>
      </w:r>
      <w:r>
        <w:rPr>
          <w:spacing w:val="-4"/>
        </w:rPr>
        <w:t xml:space="preserve"> </w:t>
      </w:r>
      <w:r>
        <w:t>que pagou</w:t>
      </w:r>
      <w:r>
        <w:rPr>
          <w:spacing w:val="-3"/>
        </w:rPr>
        <w:t xml:space="preserve"> </w:t>
      </w:r>
      <w:r>
        <w:t>indenização à vítima. Subsiste o direito de regresso da pessoa jurídica contra o médico, como bem lembra Veloso de França:</w:t>
      </w:r>
    </w:p>
    <w:p w:rsidR="007259F2" w:rsidRDefault="007259F2">
      <w:pPr>
        <w:pStyle w:val="Corpodetexto"/>
        <w:spacing w:before="2"/>
        <w:ind w:left="0" w:firstLine="0"/>
        <w:jc w:val="left"/>
      </w:pPr>
    </w:p>
    <w:p w:rsidR="007259F2" w:rsidRDefault="00E655B4">
      <w:pPr>
        <w:ind w:left="2978" w:right="422"/>
        <w:jc w:val="both"/>
        <w:rPr>
          <w:sz w:val="20"/>
        </w:rPr>
      </w:pPr>
      <w:r>
        <w:rPr>
          <w:sz w:val="20"/>
        </w:rPr>
        <w:t xml:space="preserve">No que diz respeito aos médicos que tenham vínculo empregatício com pessoas jurídicas de direito público ou privado, a exemplo das clínicas e hospitais, </w:t>
      </w:r>
      <w:r>
        <w:rPr>
          <w:b/>
          <w:sz w:val="20"/>
        </w:rPr>
        <w:t>a reparação civil</w:t>
      </w:r>
      <w:r>
        <w:rPr>
          <w:b/>
          <w:spacing w:val="-1"/>
          <w:sz w:val="20"/>
        </w:rPr>
        <w:t xml:space="preserve"> </w:t>
      </w:r>
      <w:r>
        <w:rPr>
          <w:b/>
          <w:sz w:val="20"/>
        </w:rPr>
        <w:t>por</w:t>
      </w:r>
      <w:r>
        <w:rPr>
          <w:b/>
          <w:spacing w:val="-1"/>
          <w:sz w:val="20"/>
        </w:rPr>
        <w:t xml:space="preserve"> </w:t>
      </w:r>
      <w:r>
        <w:rPr>
          <w:b/>
          <w:sz w:val="20"/>
        </w:rPr>
        <w:t>dano culposo será arguida dos</w:t>
      </w:r>
      <w:r>
        <w:rPr>
          <w:b/>
          <w:spacing w:val="40"/>
          <w:sz w:val="20"/>
        </w:rPr>
        <w:t xml:space="preserve"> </w:t>
      </w:r>
      <w:r>
        <w:rPr>
          <w:b/>
          <w:sz w:val="20"/>
        </w:rPr>
        <w:t xml:space="preserve">respectivos estabelecimentos de saúde </w:t>
      </w:r>
      <w:r>
        <w:rPr>
          <w:sz w:val="20"/>
        </w:rPr>
        <w:t>[...] Ainda assim, terão as empresas médicas direito de regresso, conforme estabelecem as Súmulas 187 e 188 do STF. Sobre o assunto, reporta-se Antonio Herman de Vasconcelos</w:t>
      </w:r>
      <w:r>
        <w:rPr>
          <w:spacing w:val="40"/>
          <w:sz w:val="20"/>
        </w:rPr>
        <w:t xml:space="preserve"> </w:t>
      </w:r>
      <w:r>
        <w:rPr>
          <w:sz w:val="20"/>
        </w:rPr>
        <w:t>Benjamin: „O Código é claro ao asseverar que só para a responsabilidade pessoal dos profissionais liberais é que se utiliza o sistema alicerçado em</w:t>
      </w:r>
      <w:r>
        <w:rPr>
          <w:spacing w:val="-1"/>
          <w:sz w:val="20"/>
        </w:rPr>
        <w:t xml:space="preserve"> </w:t>
      </w:r>
      <w:r>
        <w:rPr>
          <w:sz w:val="20"/>
        </w:rPr>
        <w:t xml:space="preserve">culpa. </w:t>
      </w:r>
      <w:r>
        <w:rPr>
          <w:b/>
          <w:sz w:val="20"/>
        </w:rPr>
        <w:t>Logo, se o médico trabalha em</w:t>
      </w:r>
      <w:r>
        <w:rPr>
          <w:b/>
          <w:spacing w:val="-1"/>
          <w:sz w:val="20"/>
        </w:rPr>
        <w:t xml:space="preserve"> </w:t>
      </w:r>
      <w:r>
        <w:rPr>
          <w:b/>
          <w:sz w:val="20"/>
        </w:rPr>
        <w:t xml:space="preserve">hospital, responderá apenas por culpa, enquanto a responsabilidade do hospital será apreciada </w:t>
      </w:r>
      <w:r>
        <w:rPr>
          <w:b/>
          <w:spacing w:val="-2"/>
          <w:sz w:val="20"/>
        </w:rPr>
        <w:t>objetivamente’</w:t>
      </w:r>
      <w:r>
        <w:rPr>
          <w:spacing w:val="-2"/>
          <w:sz w:val="20"/>
        </w:rPr>
        <w:t>.</w:t>
      </w:r>
    </w:p>
    <w:p w:rsidR="007259F2" w:rsidRDefault="00E655B4">
      <w:pPr>
        <w:ind w:left="2978" w:right="430"/>
        <w:jc w:val="both"/>
        <w:rPr>
          <w:sz w:val="20"/>
        </w:rPr>
      </w:pPr>
      <w:r>
        <w:rPr>
          <w:sz w:val="20"/>
        </w:rPr>
        <w:t>[...]</w:t>
      </w:r>
      <w:r>
        <w:rPr>
          <w:spacing w:val="-1"/>
          <w:sz w:val="20"/>
        </w:rPr>
        <w:t xml:space="preserve"> </w:t>
      </w:r>
      <w:r>
        <w:rPr>
          <w:sz w:val="20"/>
        </w:rPr>
        <w:t>Destarte, fica</w:t>
      </w:r>
      <w:r>
        <w:rPr>
          <w:spacing w:val="-1"/>
          <w:sz w:val="20"/>
        </w:rPr>
        <w:t xml:space="preserve"> </w:t>
      </w:r>
      <w:r>
        <w:rPr>
          <w:sz w:val="20"/>
        </w:rPr>
        <w:t>bem</w:t>
      </w:r>
      <w:r>
        <w:rPr>
          <w:spacing w:val="-5"/>
          <w:sz w:val="20"/>
        </w:rPr>
        <w:t xml:space="preserve"> </w:t>
      </w:r>
      <w:r>
        <w:rPr>
          <w:sz w:val="20"/>
        </w:rPr>
        <w:t>claro</w:t>
      </w:r>
      <w:r>
        <w:rPr>
          <w:spacing w:val="-1"/>
          <w:sz w:val="20"/>
        </w:rPr>
        <w:t xml:space="preserve"> </w:t>
      </w:r>
      <w:r>
        <w:rPr>
          <w:sz w:val="20"/>
        </w:rPr>
        <w:t>que</w:t>
      </w:r>
      <w:r>
        <w:rPr>
          <w:spacing w:val="-2"/>
          <w:sz w:val="20"/>
        </w:rPr>
        <w:t xml:space="preserve"> </w:t>
      </w:r>
      <w:r>
        <w:rPr>
          <w:sz w:val="20"/>
        </w:rPr>
        <w:t>só</w:t>
      </w:r>
      <w:r>
        <w:rPr>
          <w:spacing w:val="-1"/>
          <w:sz w:val="20"/>
        </w:rPr>
        <w:t xml:space="preserve"> </w:t>
      </w:r>
      <w:r>
        <w:rPr>
          <w:sz w:val="20"/>
        </w:rPr>
        <w:t>para</w:t>
      </w:r>
      <w:r>
        <w:rPr>
          <w:spacing w:val="-2"/>
          <w:sz w:val="20"/>
        </w:rPr>
        <w:t xml:space="preserve"> </w:t>
      </w:r>
      <w:r>
        <w:rPr>
          <w:sz w:val="20"/>
        </w:rPr>
        <w:t>a</w:t>
      </w:r>
      <w:r>
        <w:rPr>
          <w:spacing w:val="-2"/>
          <w:sz w:val="20"/>
        </w:rPr>
        <w:t xml:space="preserve"> </w:t>
      </w:r>
      <w:r>
        <w:rPr>
          <w:sz w:val="20"/>
        </w:rPr>
        <w:t>responsabilidade</w:t>
      </w:r>
      <w:r>
        <w:rPr>
          <w:spacing w:val="-4"/>
          <w:sz w:val="20"/>
        </w:rPr>
        <w:t xml:space="preserve"> </w:t>
      </w:r>
      <w:r>
        <w:rPr>
          <w:sz w:val="20"/>
        </w:rPr>
        <w:t>pessoal</w:t>
      </w:r>
      <w:r>
        <w:rPr>
          <w:spacing w:val="-2"/>
          <w:sz w:val="20"/>
        </w:rPr>
        <w:t xml:space="preserve"> </w:t>
      </w:r>
      <w:r>
        <w:rPr>
          <w:sz w:val="20"/>
        </w:rPr>
        <w:t>dos</w:t>
      </w:r>
      <w:r>
        <w:rPr>
          <w:spacing w:val="-2"/>
          <w:sz w:val="20"/>
        </w:rPr>
        <w:t xml:space="preserve"> </w:t>
      </w:r>
      <w:r>
        <w:rPr>
          <w:sz w:val="20"/>
        </w:rPr>
        <w:t>profissionais liberais é que se utiliza o sistema fundado na culpa, enquanto a responsabilidade</w:t>
      </w:r>
      <w:r>
        <w:rPr>
          <w:spacing w:val="40"/>
          <w:sz w:val="20"/>
        </w:rPr>
        <w:t xml:space="preserve"> </w:t>
      </w:r>
      <w:r>
        <w:rPr>
          <w:sz w:val="20"/>
        </w:rPr>
        <w:t>civil das empresas seria avaliada pela teoria objetiva do risco, tendo no montante do dano o seu</w:t>
      </w:r>
      <w:r>
        <w:rPr>
          <w:spacing w:val="-2"/>
          <w:sz w:val="20"/>
        </w:rPr>
        <w:t xml:space="preserve"> </w:t>
      </w:r>
      <w:r>
        <w:rPr>
          <w:sz w:val="20"/>
        </w:rPr>
        <w:t>elemento de</w:t>
      </w:r>
      <w:r>
        <w:rPr>
          <w:spacing w:val="-1"/>
          <w:sz w:val="20"/>
        </w:rPr>
        <w:t xml:space="preserve"> </w:t>
      </w:r>
      <w:r>
        <w:rPr>
          <w:sz w:val="20"/>
        </w:rPr>
        <w:t>arbitragem.</w:t>
      </w:r>
      <w:r>
        <w:rPr>
          <w:spacing w:val="-1"/>
          <w:sz w:val="20"/>
        </w:rPr>
        <w:t xml:space="preserve"> </w:t>
      </w:r>
      <w:r>
        <w:rPr>
          <w:sz w:val="20"/>
        </w:rPr>
        <w:t>(FRANÇA</w:t>
      </w:r>
      <w:r>
        <w:rPr>
          <w:spacing w:val="-3"/>
          <w:sz w:val="20"/>
        </w:rPr>
        <w:t xml:space="preserve"> </w:t>
      </w:r>
      <w:r>
        <w:rPr>
          <w:sz w:val="20"/>
        </w:rPr>
        <w:t>VELOSO,</w:t>
      </w:r>
      <w:r>
        <w:rPr>
          <w:spacing w:val="-1"/>
          <w:sz w:val="20"/>
        </w:rPr>
        <w:t xml:space="preserve"> </w:t>
      </w:r>
      <w:r>
        <w:rPr>
          <w:sz w:val="20"/>
        </w:rPr>
        <w:t>2014,</w:t>
      </w:r>
      <w:r>
        <w:rPr>
          <w:spacing w:val="-3"/>
          <w:sz w:val="20"/>
        </w:rPr>
        <w:t xml:space="preserve"> </w:t>
      </w:r>
      <w:r>
        <w:rPr>
          <w:sz w:val="20"/>
        </w:rPr>
        <w:t>p.</w:t>
      </w:r>
      <w:r>
        <w:rPr>
          <w:spacing w:val="-1"/>
          <w:sz w:val="20"/>
        </w:rPr>
        <w:t xml:space="preserve"> </w:t>
      </w:r>
      <w:r>
        <w:rPr>
          <w:sz w:val="20"/>
        </w:rPr>
        <w:t>103,</w:t>
      </w:r>
      <w:r>
        <w:rPr>
          <w:spacing w:val="-1"/>
          <w:sz w:val="20"/>
        </w:rPr>
        <w:t xml:space="preserve"> </w:t>
      </w:r>
      <w:r>
        <w:rPr>
          <w:sz w:val="20"/>
        </w:rPr>
        <w:t>grifo nosso)</w:t>
      </w:r>
    </w:p>
    <w:p w:rsidR="007259F2" w:rsidRDefault="00E655B4">
      <w:pPr>
        <w:pStyle w:val="Corpodetexto"/>
        <w:spacing w:before="228"/>
        <w:ind w:right="422"/>
      </w:pPr>
      <w:r>
        <w:t>Ocorrendo erro médico por profissional que tenha vínculo com pessoa jurídica de direito público ou privado, a respectiva indenização deverá ser arcada pela pessoa jurídica responsável pela unidade de saúde, independentemente de verificação de culpa, consoante as normas de responsabilização civil objetiva constantes do Código Civil e do Código de Defesa do Consumidor, tratando-se da assistência privada à saúde, e, no caso da saúde pública, ainda pelo mandamento do art. 37, § 6º, da Carta Magna, já comentado anteriormente.</w:t>
      </w:r>
    </w:p>
    <w:p w:rsidR="007259F2" w:rsidRDefault="00E655B4">
      <w:pPr>
        <w:pStyle w:val="Corpodetexto"/>
        <w:spacing w:before="1"/>
        <w:ind w:right="422"/>
      </w:pPr>
      <w:r>
        <w:t>Consoante a inteligência desta norma constitucional, caberá à Administração Pública indenizar o paciente vítima do erro médico, tendo a primeira legitimidade passiva para figurar na ação judicial intentada pela vítima. Lopes, ao abordar o erro médico no âmbito do Sistema Único de Saúde e a legitimidade processual para arcar com a respectiva indenização, comenta o seguinte:</w:t>
      </w:r>
    </w:p>
    <w:p w:rsidR="007259F2" w:rsidRDefault="007259F2">
      <w:pPr>
        <w:pStyle w:val="Corpodetexto"/>
        <w:spacing w:before="1"/>
        <w:ind w:left="0" w:firstLine="0"/>
        <w:jc w:val="left"/>
      </w:pPr>
    </w:p>
    <w:p w:rsidR="007259F2" w:rsidRDefault="00E655B4">
      <w:pPr>
        <w:ind w:left="2978" w:right="424"/>
        <w:jc w:val="both"/>
        <w:rPr>
          <w:sz w:val="20"/>
        </w:rPr>
      </w:pPr>
      <w:r>
        <w:rPr>
          <w:sz w:val="20"/>
        </w:rPr>
        <w:t>quem</w:t>
      </w:r>
      <w:r>
        <w:rPr>
          <w:spacing w:val="-2"/>
          <w:sz w:val="20"/>
        </w:rPr>
        <w:t xml:space="preserve"> </w:t>
      </w:r>
      <w:r>
        <w:rPr>
          <w:sz w:val="20"/>
        </w:rPr>
        <w:t>indeniza o particular é o Estado e</w:t>
      </w:r>
      <w:r>
        <w:rPr>
          <w:spacing w:val="-1"/>
          <w:sz w:val="20"/>
        </w:rPr>
        <w:t xml:space="preserve"> </w:t>
      </w:r>
      <w:r>
        <w:rPr>
          <w:sz w:val="20"/>
        </w:rPr>
        <w:t>este, comprovado os elementos retrocitados, cobra</w:t>
      </w:r>
      <w:r>
        <w:rPr>
          <w:spacing w:val="-2"/>
          <w:sz w:val="20"/>
        </w:rPr>
        <w:t xml:space="preserve"> </w:t>
      </w:r>
      <w:r>
        <w:rPr>
          <w:sz w:val="20"/>
        </w:rPr>
        <w:t>de</w:t>
      </w:r>
      <w:r>
        <w:rPr>
          <w:spacing w:val="-5"/>
          <w:sz w:val="20"/>
        </w:rPr>
        <w:t xml:space="preserve"> </w:t>
      </w:r>
      <w:r>
        <w:rPr>
          <w:sz w:val="20"/>
        </w:rPr>
        <w:t>seu</w:t>
      </w:r>
      <w:r>
        <w:rPr>
          <w:spacing w:val="-6"/>
          <w:sz w:val="20"/>
        </w:rPr>
        <w:t xml:space="preserve"> </w:t>
      </w:r>
      <w:r>
        <w:rPr>
          <w:sz w:val="20"/>
        </w:rPr>
        <w:t>agente</w:t>
      </w:r>
      <w:r>
        <w:rPr>
          <w:spacing w:val="-3"/>
          <w:sz w:val="20"/>
        </w:rPr>
        <w:t xml:space="preserve"> </w:t>
      </w:r>
      <w:r>
        <w:rPr>
          <w:sz w:val="20"/>
        </w:rPr>
        <w:t>o</w:t>
      </w:r>
      <w:r>
        <w:rPr>
          <w:spacing w:val="-4"/>
          <w:sz w:val="20"/>
        </w:rPr>
        <w:t xml:space="preserve"> </w:t>
      </w:r>
      <w:r>
        <w:rPr>
          <w:sz w:val="20"/>
        </w:rPr>
        <w:t>valor</w:t>
      </w:r>
      <w:r>
        <w:rPr>
          <w:spacing w:val="-4"/>
          <w:sz w:val="20"/>
        </w:rPr>
        <w:t xml:space="preserve"> </w:t>
      </w:r>
      <w:r>
        <w:rPr>
          <w:sz w:val="20"/>
        </w:rPr>
        <w:t>pago.</w:t>
      </w:r>
      <w:r>
        <w:rPr>
          <w:spacing w:val="-2"/>
          <w:sz w:val="20"/>
        </w:rPr>
        <w:t xml:space="preserve"> </w:t>
      </w:r>
      <w:r>
        <w:rPr>
          <w:b/>
          <w:sz w:val="20"/>
        </w:rPr>
        <w:t>Em</w:t>
      </w:r>
      <w:r>
        <w:rPr>
          <w:b/>
          <w:spacing w:val="-4"/>
          <w:sz w:val="20"/>
        </w:rPr>
        <w:t xml:space="preserve"> </w:t>
      </w:r>
      <w:r>
        <w:rPr>
          <w:b/>
          <w:sz w:val="20"/>
        </w:rPr>
        <w:t>suma,</w:t>
      </w:r>
      <w:r>
        <w:rPr>
          <w:b/>
          <w:spacing w:val="-3"/>
          <w:sz w:val="20"/>
        </w:rPr>
        <w:t xml:space="preserve"> </w:t>
      </w:r>
      <w:r>
        <w:rPr>
          <w:b/>
          <w:sz w:val="20"/>
        </w:rPr>
        <w:t>implica</w:t>
      </w:r>
      <w:r>
        <w:rPr>
          <w:b/>
          <w:spacing w:val="-2"/>
          <w:sz w:val="20"/>
        </w:rPr>
        <w:t xml:space="preserve"> </w:t>
      </w:r>
      <w:r>
        <w:rPr>
          <w:b/>
          <w:sz w:val="20"/>
        </w:rPr>
        <w:t>dizer que</w:t>
      </w:r>
      <w:r>
        <w:rPr>
          <w:b/>
          <w:spacing w:val="-3"/>
          <w:sz w:val="20"/>
        </w:rPr>
        <w:t xml:space="preserve"> </w:t>
      </w:r>
      <w:r>
        <w:rPr>
          <w:b/>
          <w:sz w:val="20"/>
        </w:rPr>
        <w:t>o</w:t>
      </w:r>
      <w:r>
        <w:rPr>
          <w:b/>
          <w:spacing w:val="-2"/>
          <w:sz w:val="20"/>
        </w:rPr>
        <w:t xml:space="preserve"> </w:t>
      </w:r>
      <w:r>
        <w:rPr>
          <w:b/>
          <w:sz w:val="20"/>
        </w:rPr>
        <w:t>particular</w:t>
      </w:r>
      <w:r>
        <w:rPr>
          <w:b/>
          <w:spacing w:val="-1"/>
          <w:sz w:val="20"/>
        </w:rPr>
        <w:t xml:space="preserve"> </w:t>
      </w:r>
      <w:r>
        <w:rPr>
          <w:b/>
          <w:sz w:val="20"/>
        </w:rPr>
        <w:t>deverá buscar reparo diretamente junto à Administração Pública, que tem</w:t>
      </w:r>
      <w:r>
        <w:rPr>
          <w:b/>
          <w:spacing w:val="40"/>
          <w:sz w:val="20"/>
        </w:rPr>
        <w:t xml:space="preserve"> </w:t>
      </w:r>
      <w:r>
        <w:rPr>
          <w:b/>
          <w:sz w:val="20"/>
        </w:rPr>
        <w:t xml:space="preserve">legitimidade processual passiva, visto que sua responsabilidade é objetiva. </w:t>
      </w:r>
      <w:r>
        <w:rPr>
          <w:sz w:val="20"/>
        </w:rPr>
        <w:t>(LOPES, 2021, p. 10, grifo nosso)</w:t>
      </w:r>
    </w:p>
    <w:p w:rsidR="007259F2" w:rsidRDefault="00E655B4">
      <w:pPr>
        <w:pStyle w:val="Corpodetexto"/>
        <w:spacing w:before="229"/>
        <w:ind w:right="418"/>
      </w:pPr>
      <w:r>
        <w:t>Assim,</w:t>
      </w:r>
      <w:r>
        <w:rPr>
          <w:spacing w:val="-1"/>
        </w:rPr>
        <w:t xml:space="preserve"> </w:t>
      </w:r>
      <w:r>
        <w:t>uma</w:t>
      </w:r>
      <w:r>
        <w:rPr>
          <w:spacing w:val="-1"/>
        </w:rPr>
        <w:t xml:space="preserve"> </w:t>
      </w:r>
      <w:r>
        <w:t>vez tendo</w:t>
      </w:r>
      <w:r>
        <w:rPr>
          <w:spacing w:val="-1"/>
        </w:rPr>
        <w:t xml:space="preserve"> </w:t>
      </w:r>
      <w:r>
        <w:t>a</w:t>
      </w:r>
      <w:r>
        <w:rPr>
          <w:spacing w:val="-15"/>
        </w:rPr>
        <w:t xml:space="preserve"> </w:t>
      </w:r>
      <w:r>
        <w:t>Administração</w:t>
      </w:r>
      <w:r>
        <w:rPr>
          <w:spacing w:val="-1"/>
        </w:rPr>
        <w:t xml:space="preserve"> </w:t>
      </w:r>
      <w:r>
        <w:t>indenizado a</w:t>
      </w:r>
      <w:r>
        <w:rPr>
          <w:spacing w:val="-4"/>
        </w:rPr>
        <w:t xml:space="preserve"> </w:t>
      </w:r>
      <w:r>
        <w:t>vítima</w:t>
      </w:r>
      <w:r>
        <w:rPr>
          <w:spacing w:val="-4"/>
        </w:rPr>
        <w:t xml:space="preserve"> </w:t>
      </w:r>
      <w:r>
        <w:t>do erro médico,</w:t>
      </w:r>
      <w:r>
        <w:rPr>
          <w:spacing w:val="-1"/>
        </w:rPr>
        <w:t xml:space="preserve"> </w:t>
      </w:r>
      <w:r>
        <w:t>ela</w:t>
      </w:r>
      <w:r>
        <w:rPr>
          <w:spacing w:val="-1"/>
        </w:rPr>
        <w:t xml:space="preserve"> </w:t>
      </w:r>
      <w:r>
        <w:t>poderá demandar de forma regressiva o profissional de saúde que causou o dano, que somente ressarcirá o Estado se comprovada a sua culpa por negligência, imprudência ou imperícia,</w:t>
      </w:r>
      <w:r>
        <w:rPr>
          <w:spacing w:val="40"/>
        </w:rPr>
        <w:t xml:space="preserve"> </w:t>
      </w:r>
      <w:r>
        <w:t>pois a responsabilidade civil do médico, via de regra, será sempre subjetiva, independentemente deste ser um agente público ou contratado por pessoa jurídica de direito privado prestadora de serviços públicos.</w:t>
      </w:r>
    </w:p>
    <w:p w:rsidR="007259F2" w:rsidRDefault="00E655B4">
      <w:pPr>
        <w:pStyle w:val="Corpodetexto"/>
        <w:spacing w:before="1"/>
        <w:ind w:right="427"/>
      </w:pPr>
      <w:r>
        <w:t>Apresentado o panorama geral da responsabilidade civil objetiva do Estado e confirmada a sua incidência em caso de dano perpetrado a paciente do Sistema Único de Saúde vitimado por erro médico, resta saber se a responsabilidade do poder público frente ao paciente persiste mesmo quando o hospital ou unidade de saúde pública é gerido por organização social, por meio de contrato de gestão. Para tanto, é pertinente iniciar a discussão tratando deste instrumento.</w:t>
      </w:r>
    </w:p>
    <w:p w:rsidR="007259F2" w:rsidRDefault="007259F2">
      <w:pPr>
        <w:pStyle w:val="Corpodetexto"/>
        <w:sectPr w:rsidR="007259F2">
          <w:pgSz w:w="11910" w:h="16840"/>
          <w:pgMar w:top="1600" w:right="708" w:bottom="1020" w:left="992" w:header="0" w:footer="820" w:gutter="0"/>
          <w:cols w:space="720"/>
        </w:sectPr>
      </w:pPr>
    </w:p>
    <w:p w:rsidR="007259F2" w:rsidRDefault="00E655B4">
      <w:pPr>
        <w:pStyle w:val="Heading2"/>
        <w:numPr>
          <w:ilvl w:val="0"/>
          <w:numId w:val="44"/>
        </w:numPr>
        <w:tabs>
          <w:tab w:val="left" w:pos="952"/>
        </w:tabs>
        <w:spacing w:before="60"/>
        <w:ind w:left="952" w:hanging="240"/>
        <w:jc w:val="both"/>
      </w:pPr>
      <w:r>
        <w:lastRenderedPageBreak/>
        <w:t>O</w:t>
      </w:r>
      <w:r>
        <w:rPr>
          <w:spacing w:val="-1"/>
        </w:rPr>
        <w:t xml:space="preserve"> </w:t>
      </w:r>
      <w:r>
        <w:t>contrato</w:t>
      </w:r>
      <w:r>
        <w:rPr>
          <w:spacing w:val="-1"/>
        </w:rPr>
        <w:t xml:space="preserve"> </w:t>
      </w:r>
      <w:r>
        <w:t>de</w:t>
      </w:r>
      <w:r>
        <w:rPr>
          <w:spacing w:val="-3"/>
        </w:rPr>
        <w:t xml:space="preserve"> </w:t>
      </w:r>
      <w:r>
        <w:t>gestão</w:t>
      </w:r>
      <w:r>
        <w:rPr>
          <w:spacing w:val="3"/>
        </w:rPr>
        <w:t xml:space="preserve"> </w:t>
      </w:r>
      <w:r>
        <w:t>e</w:t>
      </w:r>
      <w:r>
        <w:rPr>
          <w:spacing w:val="-5"/>
        </w:rPr>
        <w:t xml:space="preserve"> </w:t>
      </w:r>
      <w:r>
        <w:t>a Lei</w:t>
      </w:r>
      <w:r>
        <w:rPr>
          <w:spacing w:val="-1"/>
        </w:rPr>
        <w:t xml:space="preserve"> </w:t>
      </w:r>
      <w:r>
        <w:t xml:space="preserve">nº </w:t>
      </w:r>
      <w:r>
        <w:rPr>
          <w:spacing w:val="-2"/>
        </w:rPr>
        <w:t>9.637/1998</w:t>
      </w:r>
    </w:p>
    <w:p w:rsidR="007259F2" w:rsidRDefault="00E655B4">
      <w:pPr>
        <w:pStyle w:val="Corpodetexto"/>
        <w:spacing w:before="115"/>
        <w:ind w:right="419"/>
      </w:pPr>
      <w:r>
        <w:t>Sendo o SUS o grande garantidor e prestador das ações e serviços de saúde ao povo brasileiro, cujo atendimento é universal e fornecido a nível nacional, mesmo considerando o princípio da descentralização político-administrativa entre os entes federados e que a rede de saúde é regionalizada, tal como comentado anteriormente, a prestação dos serviços de saúde de forma direta pela Administração Pública pode ser algo bem dificultoso.</w:t>
      </w:r>
    </w:p>
    <w:p w:rsidR="007259F2" w:rsidRDefault="00E655B4">
      <w:pPr>
        <w:pStyle w:val="Corpodetexto"/>
        <w:ind w:right="423"/>
      </w:pPr>
      <w:r>
        <w:t>Há de se considerar os entraves típicos do Estado que resultam nessa dificuldade, mormente na área da saúde, que está dentre as que geram as maiores despesas no orçamento público, - o que é totalmente justificável – orçamento e quadro de profissionais sempre insuficientes, escassez ou mesmo ausência de hospitais e demais unidades de saúde nas localidades mais afastadas, altíssima demanda de pacientes, além da burocracia estatal.</w:t>
      </w:r>
    </w:p>
    <w:p w:rsidR="007259F2" w:rsidRDefault="00E655B4">
      <w:pPr>
        <w:pStyle w:val="Corpodetexto"/>
        <w:spacing w:before="1"/>
        <w:ind w:right="420"/>
      </w:pPr>
      <w:r>
        <w:t>Desde muito observa-se ser patente a necessidade do aparelho estatal ser mais</w:t>
      </w:r>
      <w:r>
        <w:rPr>
          <w:spacing w:val="80"/>
        </w:rPr>
        <w:t xml:space="preserve"> </w:t>
      </w:r>
      <w:r>
        <w:t>eficiente e ágil como um todo, principalmente em relação à Administração Pública, que tem por finalidade precípua executar os serviços públicos à população.</w:t>
      </w:r>
    </w:p>
    <w:p w:rsidR="007259F2" w:rsidRDefault="00E655B4">
      <w:pPr>
        <w:pStyle w:val="Corpodetexto"/>
        <w:ind w:right="427"/>
      </w:pPr>
      <w:r>
        <w:t>E nesse contexto a descentralização de serviços não exclusivos do Estado, também chamados de serviços sociais, como é o caso da Saúde, às entidades do terceiro setor, passa a ser uma opção viável. Assim, Estado e terceiro setor podem trabalhar em colaboração por meio da realização de parcerias, tendo por objetivo comum a execução das atividades de interesse público.</w:t>
      </w:r>
    </w:p>
    <w:p w:rsidR="007259F2" w:rsidRDefault="00E655B4">
      <w:pPr>
        <w:pStyle w:val="Corpodetexto"/>
        <w:ind w:right="424"/>
      </w:pPr>
      <w:r>
        <w:t>No caso da Saúde, a descentralização de seus serviços nas últimas décadas tem sido feita às organizações sociais, mais especificamente às Organizações Sociais de Saúde (OSS), por meio do contrato de gestão. As organizações sociais têm marco legal próprio, a Lei nº 9.637/1998, que dispõe sobre a qualificação de entidades do terceiro setor para o recebimento do título de organização social.</w:t>
      </w:r>
    </w:p>
    <w:p w:rsidR="007259F2" w:rsidRDefault="00E655B4">
      <w:pPr>
        <w:pStyle w:val="Corpodetexto"/>
        <w:spacing w:before="1"/>
        <w:ind w:right="428"/>
      </w:pPr>
      <w:r>
        <w:t>Conforme o art. 1º da norma, podem receber a qualificação de organização social pelo poder público as pessoas jurídicas de direito privado, sem fins lucrativos, cujas atividades sejam destinadas ao ensino, à pesquisa científica, ao desenvolvimento tecnológico, à proteção e preservação do meio ambiente, à cultura e à saúde.</w:t>
      </w:r>
    </w:p>
    <w:p w:rsidR="007259F2" w:rsidRDefault="00E655B4">
      <w:pPr>
        <w:pStyle w:val="Corpodetexto"/>
        <w:ind w:right="426"/>
      </w:pPr>
      <w:r>
        <w:t xml:space="preserve">A ilustre administrativista Maria Sylvia Zanella Di Pietro atenta para uma característica própria das organizações sociais – a de prestar serviços por delegação do poder </w:t>
      </w:r>
      <w:r>
        <w:rPr>
          <w:spacing w:val="-2"/>
        </w:rPr>
        <w:t>público:</w:t>
      </w:r>
    </w:p>
    <w:p w:rsidR="007259F2" w:rsidRDefault="00E655B4">
      <w:pPr>
        <w:spacing w:before="4"/>
        <w:ind w:left="2978" w:right="421"/>
        <w:jc w:val="both"/>
        <w:rPr>
          <w:sz w:val="20"/>
        </w:rPr>
      </w:pPr>
      <w:r>
        <w:rPr>
          <w:b/>
          <w:sz w:val="20"/>
        </w:rPr>
        <w:t>Elas se substituem ao poder público na prestação de uma atividade que</w:t>
      </w:r>
      <w:r>
        <w:rPr>
          <w:b/>
          <w:spacing w:val="40"/>
          <w:sz w:val="20"/>
        </w:rPr>
        <w:t xml:space="preserve"> </w:t>
      </w:r>
      <w:r>
        <w:rPr>
          <w:b/>
          <w:sz w:val="20"/>
        </w:rPr>
        <w:t>a este incumbe</w:t>
      </w:r>
      <w:r>
        <w:rPr>
          <w:sz w:val="20"/>
        </w:rPr>
        <w:t xml:space="preserve">; prestam a atividade utilizando-se de bens do patrimônio público, muitas vezes contando com servidores públicos em seu quadro de pessoal, e são mantidas com recursos públicos; embora instituídas como entidades privadas, criadas por iniciativa do particular, </w:t>
      </w:r>
      <w:r>
        <w:rPr>
          <w:b/>
          <w:sz w:val="20"/>
        </w:rPr>
        <w:t>a sua qualificação como organização social constitui iniciativa do poder público e é feita com o objetivo específico de a elas</w:t>
      </w:r>
      <w:r>
        <w:rPr>
          <w:b/>
          <w:spacing w:val="80"/>
          <w:sz w:val="20"/>
        </w:rPr>
        <w:t xml:space="preserve"> </w:t>
      </w:r>
      <w:r>
        <w:rPr>
          <w:b/>
          <w:sz w:val="20"/>
        </w:rPr>
        <w:t>transferir a gestão de determinado serviço público e a gestão de um</w:t>
      </w:r>
      <w:r>
        <w:rPr>
          <w:b/>
          <w:spacing w:val="-1"/>
          <w:sz w:val="20"/>
        </w:rPr>
        <w:t xml:space="preserve"> </w:t>
      </w:r>
      <w:r>
        <w:rPr>
          <w:b/>
          <w:sz w:val="20"/>
        </w:rPr>
        <w:t>patrimônio público</w:t>
      </w:r>
      <w:r>
        <w:rPr>
          <w:sz w:val="20"/>
        </w:rPr>
        <w:t>. (DI PIETRO, 2021, posição</w:t>
      </w:r>
      <w:r>
        <w:rPr>
          <w:spacing w:val="40"/>
          <w:sz w:val="20"/>
        </w:rPr>
        <w:t xml:space="preserve"> </w:t>
      </w:r>
      <w:r>
        <w:rPr>
          <w:sz w:val="20"/>
        </w:rPr>
        <w:t>7306-7310, grifos nossos)</w:t>
      </w:r>
    </w:p>
    <w:p w:rsidR="007259F2" w:rsidRDefault="00E655B4">
      <w:pPr>
        <w:pStyle w:val="Corpodetexto"/>
        <w:spacing w:before="226"/>
        <w:ind w:right="429"/>
      </w:pPr>
      <w:r>
        <w:t>Com efeito, é expresso no art. 12 da lei retro citada que poderão ser destinados recursos orçamentários e bens públicos necessários ao cumprimento do contrato de gestão para as organizações sociais, bem como o artigo 14 faculta ao Poder Executivo a cessão especial de servidor para as organizações sociais, com ônus para a origem, o que implica a transferência de prerrogativas próprias da Administração à organização social.</w:t>
      </w:r>
    </w:p>
    <w:p w:rsidR="007259F2" w:rsidRDefault="00E655B4">
      <w:pPr>
        <w:pStyle w:val="Corpodetexto"/>
        <w:ind w:right="432"/>
      </w:pPr>
      <w:r>
        <w:t>E no que diz respeito ao contrato de gestão, há uma definição legal no art. 5º da lei, o qual</w:t>
      </w:r>
      <w:r>
        <w:rPr>
          <w:spacing w:val="-3"/>
        </w:rPr>
        <w:t xml:space="preserve"> </w:t>
      </w:r>
      <w:r>
        <w:t>aduz</w:t>
      </w:r>
      <w:r>
        <w:rPr>
          <w:spacing w:val="-2"/>
        </w:rPr>
        <w:t xml:space="preserve"> </w:t>
      </w:r>
      <w:r>
        <w:t>ser</w:t>
      </w:r>
      <w:r>
        <w:rPr>
          <w:spacing w:val="-7"/>
        </w:rPr>
        <w:t xml:space="preserve"> </w:t>
      </w:r>
      <w:r>
        <w:t>o</w:t>
      </w:r>
      <w:r>
        <w:rPr>
          <w:spacing w:val="-1"/>
        </w:rPr>
        <w:t xml:space="preserve"> </w:t>
      </w:r>
      <w:r>
        <w:t>contrato de</w:t>
      </w:r>
      <w:r>
        <w:rPr>
          <w:spacing w:val="-2"/>
        </w:rPr>
        <w:t xml:space="preserve"> </w:t>
      </w:r>
      <w:r>
        <w:t>gestão</w:t>
      </w:r>
      <w:r>
        <w:rPr>
          <w:spacing w:val="-4"/>
        </w:rPr>
        <w:t xml:space="preserve"> </w:t>
      </w:r>
      <w:r>
        <w:t>o</w:t>
      </w:r>
      <w:r>
        <w:rPr>
          <w:spacing w:val="-4"/>
        </w:rPr>
        <w:t xml:space="preserve"> </w:t>
      </w:r>
      <w:r>
        <w:t>instrumento pactuado</w:t>
      </w:r>
      <w:r>
        <w:rPr>
          <w:spacing w:val="-2"/>
        </w:rPr>
        <w:t xml:space="preserve"> </w:t>
      </w:r>
      <w:r>
        <w:t>entre</w:t>
      </w:r>
      <w:r>
        <w:rPr>
          <w:spacing w:val="-7"/>
        </w:rPr>
        <w:t xml:space="preserve"> </w:t>
      </w:r>
      <w:r>
        <w:t>o</w:t>
      </w:r>
      <w:r>
        <w:rPr>
          <w:spacing w:val="-4"/>
        </w:rPr>
        <w:t xml:space="preserve"> </w:t>
      </w:r>
      <w:r>
        <w:t>poder</w:t>
      </w:r>
      <w:r>
        <w:rPr>
          <w:spacing w:val="-4"/>
        </w:rPr>
        <w:t xml:space="preserve"> </w:t>
      </w:r>
      <w:r>
        <w:t>público</w:t>
      </w:r>
      <w:r>
        <w:rPr>
          <w:spacing w:val="-3"/>
        </w:rPr>
        <w:t xml:space="preserve"> </w:t>
      </w:r>
      <w:r>
        <w:t>e</w:t>
      </w:r>
      <w:r>
        <w:rPr>
          <w:spacing w:val="-5"/>
        </w:rPr>
        <w:t xml:space="preserve"> </w:t>
      </w:r>
      <w:r>
        <w:t>as</w:t>
      </w:r>
      <w:r>
        <w:rPr>
          <w:spacing w:val="-1"/>
        </w:rPr>
        <w:t xml:space="preserve"> </w:t>
      </w:r>
      <w:r>
        <w:t>entidades</w:t>
      </w:r>
    </w:p>
    <w:p w:rsidR="007259F2" w:rsidRDefault="007259F2">
      <w:pPr>
        <w:pStyle w:val="Corpodetexto"/>
        <w:sectPr w:rsidR="007259F2">
          <w:pgSz w:w="11910" w:h="16840"/>
          <w:pgMar w:top="1620" w:right="708" w:bottom="1020" w:left="992" w:header="0" w:footer="820" w:gutter="0"/>
          <w:cols w:space="720"/>
        </w:sectPr>
      </w:pPr>
    </w:p>
    <w:p w:rsidR="007259F2" w:rsidRDefault="00E655B4">
      <w:pPr>
        <w:pStyle w:val="Corpodetexto"/>
        <w:spacing w:before="75"/>
        <w:ind w:right="422" w:firstLine="0"/>
      </w:pPr>
      <w:r>
        <w:lastRenderedPageBreak/>
        <w:t>qualificadas como</w:t>
      </w:r>
      <w:r>
        <w:rPr>
          <w:spacing w:val="-1"/>
        </w:rPr>
        <w:t xml:space="preserve"> </w:t>
      </w:r>
      <w:r>
        <w:t>organização</w:t>
      </w:r>
      <w:r>
        <w:rPr>
          <w:spacing w:val="-1"/>
        </w:rPr>
        <w:t xml:space="preserve"> </w:t>
      </w:r>
      <w:r>
        <w:t>social,</w:t>
      </w:r>
      <w:r>
        <w:rPr>
          <w:spacing w:val="-1"/>
        </w:rPr>
        <w:t xml:space="preserve"> </w:t>
      </w:r>
      <w:r>
        <w:t>objetivando a</w:t>
      </w:r>
      <w:r>
        <w:rPr>
          <w:spacing w:val="-2"/>
        </w:rPr>
        <w:t xml:space="preserve"> </w:t>
      </w:r>
      <w:r>
        <w:t>formação</w:t>
      </w:r>
      <w:r>
        <w:rPr>
          <w:spacing w:val="-2"/>
        </w:rPr>
        <w:t xml:space="preserve"> </w:t>
      </w:r>
      <w:r>
        <w:t>de</w:t>
      </w:r>
      <w:r>
        <w:rPr>
          <w:spacing w:val="-2"/>
        </w:rPr>
        <w:t xml:space="preserve"> </w:t>
      </w:r>
      <w:r>
        <w:t>parcerias para</w:t>
      </w:r>
      <w:r>
        <w:rPr>
          <w:spacing w:val="-4"/>
        </w:rPr>
        <w:t xml:space="preserve"> </w:t>
      </w:r>
      <w:r>
        <w:t>o fomento e</w:t>
      </w:r>
      <w:r>
        <w:rPr>
          <w:spacing w:val="-1"/>
        </w:rPr>
        <w:t xml:space="preserve"> </w:t>
      </w:r>
      <w:r>
        <w:t>a execução de atividades relacionadas às áreas listadas no art. 1º.</w:t>
      </w:r>
    </w:p>
    <w:p w:rsidR="007259F2" w:rsidRDefault="00E655B4">
      <w:pPr>
        <w:pStyle w:val="Corpodetexto"/>
        <w:ind w:right="427"/>
      </w:pPr>
      <w:r>
        <w:t>O contrato de gestão tem por finalidade a prestação de serviço público ou de</w:t>
      </w:r>
      <w:r>
        <w:rPr>
          <w:spacing w:val="40"/>
        </w:rPr>
        <w:t xml:space="preserve"> </w:t>
      </w:r>
      <w:r>
        <w:t>atividades de interesse público, mediante fomento, pelo Estado, diretamente às instituições não governamentais aptas a receberem a qualificação de organizações sociais.</w:t>
      </w:r>
    </w:p>
    <w:p w:rsidR="007259F2" w:rsidRDefault="00E655B4">
      <w:pPr>
        <w:pStyle w:val="Corpodetexto"/>
        <w:ind w:right="430"/>
      </w:pPr>
      <w:r>
        <w:t>Diante dos poderes e prerrogativas do poder público que acabam por ser, de certo modo, transferidos à organização social com a delegação dos serviços sociais públicos, um maior grau de fiscalização sobre a atuação da organização social é medida que se impõe.</w:t>
      </w:r>
    </w:p>
    <w:p w:rsidR="007259F2" w:rsidRDefault="00E655B4">
      <w:pPr>
        <w:pStyle w:val="Corpodetexto"/>
        <w:ind w:right="428"/>
      </w:pPr>
      <w:r>
        <w:t>O art. 8º da Lei nº 9.637/1998 determina que caberá ao órgão ou entidade supervisora da área de atuação correspondente à atividade fomentada a fiscalização quanto à execução do contrato de gestão.</w:t>
      </w:r>
    </w:p>
    <w:p w:rsidR="007259F2" w:rsidRDefault="00E655B4">
      <w:pPr>
        <w:pStyle w:val="Corpodetexto"/>
        <w:spacing w:before="1"/>
        <w:ind w:right="424"/>
      </w:pPr>
      <w:r>
        <w:t>Trazendo o contrato de gestão para a área da saúde pública, a Lei nº 8.080/1990 em</w:t>
      </w:r>
      <w:r>
        <w:rPr>
          <w:spacing w:val="40"/>
        </w:rPr>
        <w:t xml:space="preserve"> </w:t>
      </w:r>
      <w:r>
        <w:t>seu art. 18, X, confere competência aos municípios para celebrar contratos e convênios com</w:t>
      </w:r>
      <w:r>
        <w:rPr>
          <w:spacing w:val="40"/>
        </w:rPr>
        <w:t xml:space="preserve"> </w:t>
      </w:r>
      <w:r>
        <w:t>as entidades privadas prestadoras de serviços de saúde, bem como para controlar e avaliar a sua execução. O dispositivo em comento confirma que o município detém competência para, além de acompanhar a execução dos serviços prestados pelas organizações sociais via</w:t>
      </w:r>
      <w:r>
        <w:rPr>
          <w:spacing w:val="40"/>
        </w:rPr>
        <w:t xml:space="preserve"> </w:t>
      </w:r>
      <w:r>
        <w:t>contrato de gestão na área da saúde, fiscalizá-los e avaliá-los.</w:t>
      </w:r>
    </w:p>
    <w:p w:rsidR="007259F2" w:rsidRDefault="00E655B4">
      <w:pPr>
        <w:pStyle w:val="Corpodetexto"/>
        <w:ind w:right="424"/>
      </w:pPr>
      <w:r>
        <w:t xml:space="preserve">Feitas as devidas considerações a respeito do contrato de gestão e das organizações sociais, sob a perspectiva da lei de regência, resta, por fim, analisar a responsabilidade civil decorrente de erro médico causado nos hospitais e unidades de saúde administrados pelas </w:t>
      </w:r>
      <w:r>
        <w:rPr>
          <w:spacing w:val="-4"/>
        </w:rPr>
        <w:t>OSS.</w:t>
      </w:r>
    </w:p>
    <w:p w:rsidR="007259F2" w:rsidRDefault="00E655B4">
      <w:pPr>
        <w:pStyle w:val="Heading2"/>
        <w:numPr>
          <w:ilvl w:val="1"/>
          <w:numId w:val="44"/>
        </w:numPr>
        <w:tabs>
          <w:tab w:val="left" w:pos="899"/>
          <w:tab w:val="left" w:pos="1094"/>
        </w:tabs>
        <w:ind w:right="852" w:hanging="188"/>
        <w:jc w:val="both"/>
      </w:pPr>
      <w:r>
        <w:t>Responsabilidade civil pelo erro médico ocorrido em unidade de saúde pública gerida por organização social e direito de regresso do Estado</w:t>
      </w:r>
    </w:p>
    <w:p w:rsidR="007259F2" w:rsidRDefault="00E655B4">
      <w:pPr>
        <w:pStyle w:val="Corpodetexto"/>
        <w:spacing w:before="113"/>
        <w:ind w:right="429"/>
      </w:pPr>
      <w:r>
        <w:t>É certo que a responsabilidade civil por erro cometido pelos profissionais de saúde no atendimento do Sistema Único de Saúde recai ao Estado de forma objetiva, ante o risco inerente à atividade administrativa, conforme verificado no decorrer da presente pesquisa.</w:t>
      </w:r>
    </w:p>
    <w:p w:rsidR="007259F2" w:rsidRDefault="00E655B4">
      <w:pPr>
        <w:pStyle w:val="Corpodetexto"/>
        <w:ind w:right="424"/>
      </w:pPr>
      <w:r>
        <w:t>Contudo, se o erro médico foi causado em unidade de saúde que, embora pertença à rede do SUS, é administrada por organização social de saúde, é de se examinar se a pessoa jurídica que deverá arcar com a indenização ao paciente vítima do dano é a de direito público ou a de direito privado que está executando o serviço público.</w:t>
      </w:r>
    </w:p>
    <w:p w:rsidR="007259F2" w:rsidRDefault="00E655B4">
      <w:pPr>
        <w:pStyle w:val="Corpodetexto"/>
        <w:ind w:right="423"/>
      </w:pPr>
      <w:r>
        <w:t>Necessário</w:t>
      </w:r>
      <w:r>
        <w:rPr>
          <w:spacing w:val="-1"/>
        </w:rPr>
        <w:t xml:space="preserve"> </w:t>
      </w:r>
      <w:r>
        <w:t>discutir,</w:t>
      </w:r>
      <w:r>
        <w:rPr>
          <w:spacing w:val="-1"/>
        </w:rPr>
        <w:t xml:space="preserve"> </w:t>
      </w:r>
      <w:r>
        <w:t>novamente,</w:t>
      </w:r>
      <w:r>
        <w:rPr>
          <w:spacing w:val="-1"/>
        </w:rPr>
        <w:t xml:space="preserve"> </w:t>
      </w:r>
      <w:r>
        <w:t>a</w:t>
      </w:r>
      <w:r>
        <w:rPr>
          <w:spacing w:val="-2"/>
        </w:rPr>
        <w:t xml:space="preserve"> </w:t>
      </w:r>
      <w:r>
        <w:t>inteligência do art. 37,</w:t>
      </w:r>
      <w:r>
        <w:rPr>
          <w:spacing w:val="-1"/>
        </w:rPr>
        <w:t xml:space="preserve"> </w:t>
      </w:r>
      <w:r>
        <w:t>§ 6ª,</w:t>
      </w:r>
      <w:r>
        <w:rPr>
          <w:spacing w:val="-1"/>
        </w:rPr>
        <w:t xml:space="preserve"> </w:t>
      </w:r>
      <w:r>
        <w:t>da</w:t>
      </w:r>
      <w:r>
        <w:rPr>
          <w:spacing w:val="-2"/>
        </w:rPr>
        <w:t xml:space="preserve"> </w:t>
      </w:r>
      <w:r>
        <w:t>Constituição Federal, o qual estabelece que não só as pessoas jurídicas de direito público como as pessoas jurídicas de direito privado que atuem prestando serviços públicos deverão responder pelos danos que seus agentes, nessa qualidade, causarem a terceiros, assegurado o direito de regresso contra o responsável nos casos de dolo ou culpa.</w:t>
      </w:r>
    </w:p>
    <w:p w:rsidR="007259F2" w:rsidRDefault="00E655B4">
      <w:pPr>
        <w:spacing w:before="1"/>
        <w:ind w:left="710" w:right="422" w:firstLine="707"/>
        <w:jc w:val="both"/>
        <w:rPr>
          <w:sz w:val="24"/>
        </w:rPr>
      </w:pPr>
      <w:r>
        <w:rPr>
          <w:sz w:val="24"/>
        </w:rPr>
        <w:t>A redação deste dispositivo evidencia que as entidades do terceiro setor que prestam serviços públicos são atingidas pela regra geral de responsabilização do Estado, o que é corroborado por Maria Sylvia Zanella Di Pietro (2014, p. 792), ao afirmar que a pessoa jurídica de direito privado prestadora de serviço público abrange “</w:t>
      </w:r>
      <w:r>
        <w:rPr>
          <w:i/>
          <w:sz w:val="24"/>
        </w:rPr>
        <w:t>qualquer entidade com personalidade jurídica de direito privado, inclusive as do terceiro setor, que recebam delegação do Poder Público, a qualquer título, para a prestação do serviço público</w:t>
      </w:r>
      <w:r>
        <w:rPr>
          <w:sz w:val="24"/>
        </w:rPr>
        <w:t>”.</w:t>
      </w:r>
    </w:p>
    <w:p w:rsidR="007259F2" w:rsidRDefault="00E655B4">
      <w:pPr>
        <w:pStyle w:val="Corpodetexto"/>
        <w:ind w:right="428"/>
      </w:pPr>
      <w:r>
        <w:t>Ainda, tratando em específico das organizações sociais, que recebem a delegação de serviços do poder público por meio do contrato de gestão, a autora defende que a responsabilização da organização social por danos causados a terceiros seja objetiva e a da pessoa jurídica de direito público parte no contrato de gestão seja subsidiária:</w:t>
      </w:r>
    </w:p>
    <w:p w:rsidR="007259F2" w:rsidRDefault="007259F2">
      <w:pPr>
        <w:pStyle w:val="Corpodetexto"/>
        <w:sectPr w:rsidR="007259F2">
          <w:pgSz w:w="11910" w:h="16840"/>
          <w:pgMar w:top="1600" w:right="708" w:bottom="1020" w:left="992" w:header="0" w:footer="820" w:gutter="0"/>
          <w:cols w:space="720"/>
        </w:sectPr>
      </w:pPr>
    </w:p>
    <w:p w:rsidR="007259F2" w:rsidRDefault="00E655B4">
      <w:pPr>
        <w:spacing w:before="61"/>
        <w:ind w:left="2978" w:right="421"/>
        <w:jc w:val="both"/>
        <w:rPr>
          <w:sz w:val="20"/>
        </w:rPr>
      </w:pPr>
      <w:r>
        <w:rPr>
          <w:b/>
          <w:sz w:val="20"/>
        </w:rPr>
        <w:lastRenderedPageBreak/>
        <w:t>Quanto à responsabilidade da organização social por danos causados a terceiros, submete-se à norma do art. 37, § 6º, da Constituição, quando o dano for causado na prestação de serviço público</w:t>
      </w:r>
      <w:r>
        <w:rPr>
          <w:sz w:val="20"/>
        </w:rPr>
        <w:t>. Ou seja, trata-se de responsabilidade objetiva da pessoa jurídica e subjetiva do agente causador do dano. É a conclusão possível, tendo em</w:t>
      </w:r>
      <w:r>
        <w:rPr>
          <w:spacing w:val="-5"/>
          <w:sz w:val="20"/>
        </w:rPr>
        <w:t xml:space="preserve"> </w:t>
      </w:r>
      <w:r>
        <w:rPr>
          <w:sz w:val="20"/>
        </w:rPr>
        <w:t>vista</w:t>
      </w:r>
      <w:r>
        <w:rPr>
          <w:spacing w:val="-1"/>
          <w:sz w:val="20"/>
        </w:rPr>
        <w:t xml:space="preserve"> </w:t>
      </w:r>
      <w:r>
        <w:rPr>
          <w:sz w:val="20"/>
        </w:rPr>
        <w:t>que</w:t>
      </w:r>
      <w:r>
        <w:rPr>
          <w:spacing w:val="-1"/>
          <w:sz w:val="20"/>
        </w:rPr>
        <w:t xml:space="preserve"> </w:t>
      </w:r>
      <w:r>
        <w:rPr>
          <w:sz w:val="20"/>
        </w:rPr>
        <w:t>o dispositivo constitucional</w:t>
      </w:r>
      <w:r>
        <w:rPr>
          <w:spacing w:val="-1"/>
          <w:sz w:val="20"/>
        </w:rPr>
        <w:t xml:space="preserve"> </w:t>
      </w:r>
      <w:r>
        <w:rPr>
          <w:sz w:val="20"/>
        </w:rPr>
        <w:t>alcança as</w:t>
      </w:r>
      <w:r>
        <w:rPr>
          <w:spacing w:val="-1"/>
          <w:sz w:val="20"/>
        </w:rPr>
        <w:t xml:space="preserve"> </w:t>
      </w:r>
      <w:r>
        <w:rPr>
          <w:sz w:val="20"/>
        </w:rPr>
        <w:t>pessoas</w:t>
      </w:r>
      <w:r>
        <w:rPr>
          <w:spacing w:val="-1"/>
          <w:sz w:val="20"/>
        </w:rPr>
        <w:t xml:space="preserve"> </w:t>
      </w:r>
      <w:r>
        <w:rPr>
          <w:sz w:val="20"/>
        </w:rPr>
        <w:t xml:space="preserve">jurídicas de direito público e as de direito privado prestadoras de serviço público. </w:t>
      </w:r>
      <w:r>
        <w:rPr>
          <w:b/>
          <w:sz w:val="20"/>
        </w:rPr>
        <w:t>Essa responsabilidade da organização social não afasta a responsabilidade subsidiária da pessoa jurídica de direito público que firmou o contrato de gestão</w:t>
      </w:r>
      <w:r>
        <w:rPr>
          <w:sz w:val="20"/>
        </w:rPr>
        <w:t>,</w:t>
      </w:r>
      <w:r>
        <w:rPr>
          <w:spacing w:val="-2"/>
          <w:sz w:val="20"/>
        </w:rPr>
        <w:t xml:space="preserve"> </w:t>
      </w:r>
      <w:r>
        <w:rPr>
          <w:sz w:val="20"/>
        </w:rPr>
        <w:t>à semelhança do que ocorre na concessão de serviço público. (2022,</w:t>
      </w:r>
      <w:r>
        <w:rPr>
          <w:spacing w:val="-1"/>
          <w:sz w:val="20"/>
        </w:rPr>
        <w:t xml:space="preserve"> </w:t>
      </w:r>
      <w:r>
        <w:rPr>
          <w:sz w:val="20"/>
        </w:rPr>
        <w:t xml:space="preserve">posição </w:t>
      </w:r>
      <w:r>
        <w:rPr>
          <w:spacing w:val="-2"/>
          <w:sz w:val="20"/>
        </w:rPr>
        <w:t>7836-7841)</w:t>
      </w:r>
    </w:p>
    <w:p w:rsidR="007259F2" w:rsidRDefault="00E655B4">
      <w:pPr>
        <w:pStyle w:val="Corpodetexto"/>
        <w:spacing w:before="224"/>
        <w:ind w:right="420"/>
      </w:pPr>
      <w:r>
        <w:t>Estevam Giron De La Torre (2020) apresenta posicionamento semelhante, ao afirmar que o poder público deve responder de forma subsidiária, entretanto somente na hipótese de a entidade comprovadamente não possuir meios para arcar com a indenização à vítima do dano, em razão dos benefícios concedidos pela Lei n° 9.637/1998, dentre eles o recebimento de até</w:t>
      </w:r>
      <w:r>
        <w:rPr>
          <w:spacing w:val="40"/>
        </w:rPr>
        <w:t xml:space="preserve"> </w:t>
      </w:r>
      <w:r>
        <w:t>a totalidade do orçamento necessário para a manutenção da unidade de saúde e a alocação de bens e de servidores da Administração.</w:t>
      </w:r>
    </w:p>
    <w:p w:rsidR="007259F2" w:rsidRDefault="00E655B4">
      <w:pPr>
        <w:pStyle w:val="Corpodetexto"/>
        <w:spacing w:before="1"/>
        <w:ind w:right="421"/>
      </w:pPr>
      <w:r>
        <w:t xml:space="preserve">Inclusive, há tema do Supremo Tribunal Federal com repercussão geral relacionado a temática - no Tema 130 foi fixada há mais de uma década a tese de que a responsabilidade civil disciplinada na norma constitucional em análise é objetiva para as pessoas jurídicas de direito privado prestadoras de serviço público em relação tanto a terceiros usuários como aos não usuários do serviço, conforme se observa de trecho do respectivo </w:t>
      </w:r>
      <w:r>
        <w:rPr>
          <w:i/>
        </w:rPr>
        <w:t>leading case</w:t>
      </w:r>
      <w:r>
        <w:t>, o Recurso Extraordinário 591.874:</w:t>
      </w:r>
    </w:p>
    <w:p w:rsidR="007259F2" w:rsidRDefault="007259F2">
      <w:pPr>
        <w:pStyle w:val="Corpodetexto"/>
        <w:spacing w:before="6"/>
        <w:ind w:left="0" w:firstLine="0"/>
        <w:jc w:val="left"/>
      </w:pPr>
    </w:p>
    <w:p w:rsidR="007259F2" w:rsidRDefault="00E655B4">
      <w:pPr>
        <w:ind w:left="2978" w:right="421"/>
        <w:jc w:val="both"/>
        <w:rPr>
          <w:sz w:val="20"/>
        </w:rPr>
      </w:pPr>
      <w:r>
        <w:rPr>
          <w:b/>
          <w:sz w:val="20"/>
        </w:rPr>
        <w:t>A</w:t>
      </w:r>
      <w:r>
        <w:rPr>
          <w:b/>
          <w:spacing w:val="-1"/>
          <w:sz w:val="20"/>
        </w:rPr>
        <w:t xml:space="preserve"> </w:t>
      </w:r>
      <w:r>
        <w:rPr>
          <w:b/>
          <w:sz w:val="20"/>
        </w:rPr>
        <w:t>responsabilidade</w:t>
      </w:r>
      <w:r>
        <w:rPr>
          <w:b/>
          <w:spacing w:val="-1"/>
          <w:sz w:val="20"/>
        </w:rPr>
        <w:t xml:space="preserve"> </w:t>
      </w:r>
      <w:r>
        <w:rPr>
          <w:b/>
          <w:sz w:val="20"/>
        </w:rPr>
        <w:t>civil das pessoas jurídicas de</w:t>
      </w:r>
      <w:r>
        <w:rPr>
          <w:b/>
          <w:spacing w:val="-1"/>
          <w:sz w:val="20"/>
        </w:rPr>
        <w:t xml:space="preserve"> </w:t>
      </w:r>
      <w:r>
        <w:rPr>
          <w:b/>
          <w:sz w:val="20"/>
        </w:rPr>
        <w:t>direito privado prestadoras</w:t>
      </w:r>
      <w:r>
        <w:rPr>
          <w:b/>
          <w:spacing w:val="-1"/>
          <w:sz w:val="20"/>
        </w:rPr>
        <w:t xml:space="preserve"> </w:t>
      </w:r>
      <w:r>
        <w:rPr>
          <w:b/>
          <w:sz w:val="20"/>
        </w:rPr>
        <w:t>de serviço público é objetiva relativamente a terceiros usuários, e não usuários do serviço, segundo decorre do art. 37, § 6.º, da CF</w:t>
      </w:r>
      <w:r>
        <w:rPr>
          <w:sz w:val="20"/>
        </w:rPr>
        <w:t>. A inequívoca presença do nexo de</w:t>
      </w:r>
      <w:r>
        <w:rPr>
          <w:spacing w:val="40"/>
          <w:sz w:val="20"/>
        </w:rPr>
        <w:t xml:space="preserve"> </w:t>
      </w:r>
      <w:r>
        <w:rPr>
          <w:sz w:val="20"/>
        </w:rPr>
        <w:t>causalidade</w:t>
      </w:r>
      <w:r>
        <w:rPr>
          <w:spacing w:val="40"/>
          <w:sz w:val="20"/>
        </w:rPr>
        <w:t xml:space="preserve"> </w:t>
      </w:r>
      <w:r>
        <w:rPr>
          <w:sz w:val="20"/>
        </w:rPr>
        <w:t>entre</w:t>
      </w:r>
      <w:r>
        <w:rPr>
          <w:spacing w:val="40"/>
          <w:sz w:val="20"/>
        </w:rPr>
        <w:t xml:space="preserve"> </w:t>
      </w:r>
      <w:r>
        <w:rPr>
          <w:sz w:val="20"/>
        </w:rPr>
        <w:t>o</w:t>
      </w:r>
      <w:r>
        <w:rPr>
          <w:spacing w:val="40"/>
          <w:sz w:val="20"/>
        </w:rPr>
        <w:t xml:space="preserve"> </w:t>
      </w:r>
      <w:r>
        <w:rPr>
          <w:sz w:val="20"/>
        </w:rPr>
        <w:t>ato</w:t>
      </w:r>
      <w:r>
        <w:rPr>
          <w:spacing w:val="40"/>
          <w:sz w:val="20"/>
        </w:rPr>
        <w:t xml:space="preserve"> </w:t>
      </w:r>
      <w:r>
        <w:rPr>
          <w:sz w:val="20"/>
        </w:rPr>
        <w:t>administrativo</w:t>
      </w:r>
      <w:r>
        <w:rPr>
          <w:spacing w:val="40"/>
          <w:sz w:val="20"/>
        </w:rPr>
        <w:t xml:space="preserve"> </w:t>
      </w:r>
      <w:r>
        <w:rPr>
          <w:sz w:val="20"/>
        </w:rPr>
        <w:t>e</w:t>
      </w:r>
      <w:r>
        <w:rPr>
          <w:spacing w:val="40"/>
          <w:sz w:val="20"/>
        </w:rPr>
        <w:t xml:space="preserve"> </w:t>
      </w:r>
      <w:r>
        <w:rPr>
          <w:sz w:val="20"/>
        </w:rPr>
        <w:t>o</w:t>
      </w:r>
      <w:r>
        <w:rPr>
          <w:spacing w:val="40"/>
          <w:sz w:val="20"/>
        </w:rPr>
        <w:t xml:space="preserve"> </w:t>
      </w:r>
      <w:r>
        <w:rPr>
          <w:sz w:val="20"/>
        </w:rPr>
        <w:t>dano</w:t>
      </w:r>
      <w:r>
        <w:rPr>
          <w:spacing w:val="40"/>
          <w:sz w:val="20"/>
        </w:rPr>
        <w:t xml:space="preserve"> </w:t>
      </w:r>
      <w:r>
        <w:rPr>
          <w:sz w:val="20"/>
        </w:rPr>
        <w:t>causado</w:t>
      </w:r>
      <w:r>
        <w:rPr>
          <w:spacing w:val="40"/>
          <w:sz w:val="20"/>
        </w:rPr>
        <w:t xml:space="preserve"> </w:t>
      </w:r>
      <w:r>
        <w:rPr>
          <w:sz w:val="20"/>
        </w:rPr>
        <w:t>ao</w:t>
      </w:r>
      <w:r>
        <w:rPr>
          <w:spacing w:val="40"/>
          <w:sz w:val="20"/>
        </w:rPr>
        <w:t xml:space="preserve"> </w:t>
      </w:r>
      <w:r>
        <w:rPr>
          <w:sz w:val="20"/>
        </w:rPr>
        <w:t>terceiro</w:t>
      </w:r>
      <w:r>
        <w:rPr>
          <w:spacing w:val="40"/>
          <w:sz w:val="20"/>
        </w:rPr>
        <w:t xml:space="preserve"> </w:t>
      </w:r>
      <w:r>
        <w:rPr>
          <w:sz w:val="20"/>
        </w:rPr>
        <w:t>não usuário</w:t>
      </w:r>
      <w:r>
        <w:rPr>
          <w:spacing w:val="30"/>
          <w:sz w:val="20"/>
        </w:rPr>
        <w:t xml:space="preserve"> </w:t>
      </w:r>
      <w:r>
        <w:rPr>
          <w:sz w:val="20"/>
        </w:rPr>
        <w:t>do</w:t>
      </w:r>
      <w:r>
        <w:rPr>
          <w:spacing w:val="-1"/>
          <w:sz w:val="20"/>
        </w:rPr>
        <w:t xml:space="preserve"> </w:t>
      </w:r>
      <w:r>
        <w:rPr>
          <w:sz w:val="20"/>
        </w:rPr>
        <w:t>serviço público é condição suficiente para estabelecer a responsabilidade objetiva da pessoa jurídica de direito privado. (RE</w:t>
      </w:r>
      <w:r>
        <w:rPr>
          <w:spacing w:val="40"/>
          <w:sz w:val="20"/>
        </w:rPr>
        <w:t xml:space="preserve"> </w:t>
      </w:r>
      <w:r>
        <w:rPr>
          <w:sz w:val="20"/>
        </w:rPr>
        <w:t>591.874/MS,</w:t>
      </w:r>
      <w:r>
        <w:rPr>
          <w:spacing w:val="40"/>
          <w:sz w:val="20"/>
        </w:rPr>
        <w:t xml:space="preserve"> </w:t>
      </w:r>
      <w:r>
        <w:rPr>
          <w:sz w:val="20"/>
        </w:rPr>
        <w:t xml:space="preserve">Pleno. Relator: Min. Ricardo Lewandowski. Data do julgamento: 26/08/2009. Data da publicação: </w:t>
      </w:r>
      <w:r>
        <w:rPr>
          <w:spacing w:val="-2"/>
          <w:sz w:val="20"/>
        </w:rPr>
        <w:t>18/12/2009).</w:t>
      </w:r>
    </w:p>
    <w:p w:rsidR="007259F2" w:rsidRDefault="00E655B4">
      <w:pPr>
        <w:pStyle w:val="Corpodetexto"/>
        <w:spacing w:before="223"/>
        <w:ind w:right="424"/>
      </w:pPr>
      <w:r>
        <w:t>Giron De La Torre (2020) defende, ainda, que a responsabilização das organizações sociais de saúde no contrato de gestão ocorra de objetiva e primária, considerando uma maior celeridade para a vítima do dano receber a indenização, a qual não dependeria do regime dos precatórios públicos:</w:t>
      </w:r>
    </w:p>
    <w:p w:rsidR="007259F2" w:rsidRDefault="007259F2">
      <w:pPr>
        <w:pStyle w:val="Corpodetexto"/>
        <w:spacing w:before="2"/>
        <w:ind w:left="0" w:firstLine="0"/>
        <w:jc w:val="left"/>
      </w:pPr>
    </w:p>
    <w:p w:rsidR="007259F2" w:rsidRDefault="00E655B4">
      <w:pPr>
        <w:ind w:left="2978" w:right="423"/>
        <w:jc w:val="both"/>
        <w:rPr>
          <w:sz w:val="20"/>
        </w:rPr>
      </w:pPr>
      <w:r>
        <w:rPr>
          <w:sz w:val="20"/>
        </w:rPr>
        <w:t xml:space="preserve">Portanto, </w:t>
      </w:r>
      <w:r>
        <w:rPr>
          <w:b/>
          <w:sz w:val="20"/>
        </w:rPr>
        <w:t>em respeito à norma geral de responsabilização dos</w:t>
      </w:r>
      <w:r>
        <w:rPr>
          <w:b/>
          <w:spacing w:val="40"/>
          <w:sz w:val="20"/>
        </w:rPr>
        <w:t xml:space="preserve"> </w:t>
      </w:r>
      <w:r>
        <w:rPr>
          <w:b/>
          <w:sz w:val="20"/>
        </w:rPr>
        <w:t>prestadores de serviços públicos insculpida no § 6º, artigo 37, do texto constitucional, a responsabilidade da O.S.S., enquanto prestadora de serviços públicos, principalmente aquelas que gerenciam hospitais públicos, deve ser objetiva e primária</w:t>
      </w:r>
      <w:r>
        <w:rPr>
          <w:sz w:val="20"/>
        </w:rPr>
        <w:t>, até mesmo visando facilitar a reparação do dano ao particular, para que este não tenha que aguardar a extensa fila de precatórios do regime fazendário, não havendo que se falar</w:t>
      </w:r>
      <w:r>
        <w:rPr>
          <w:spacing w:val="40"/>
          <w:sz w:val="20"/>
        </w:rPr>
        <w:t xml:space="preserve"> </w:t>
      </w:r>
      <w:r>
        <w:rPr>
          <w:sz w:val="20"/>
        </w:rPr>
        <w:t>em responsabilidade solidária, salvo expressa previsão no contrato de gestão.</w:t>
      </w:r>
    </w:p>
    <w:p w:rsidR="007259F2" w:rsidRDefault="007259F2">
      <w:pPr>
        <w:pStyle w:val="Corpodetexto"/>
        <w:spacing w:before="22"/>
        <w:ind w:left="0" w:firstLine="0"/>
        <w:jc w:val="left"/>
        <w:rPr>
          <w:sz w:val="20"/>
        </w:rPr>
      </w:pPr>
    </w:p>
    <w:p w:rsidR="007259F2" w:rsidRDefault="00E655B4">
      <w:pPr>
        <w:pStyle w:val="Corpodetexto"/>
        <w:ind w:right="422"/>
      </w:pPr>
      <w:r>
        <w:t>Nesse</w:t>
      </w:r>
      <w:r>
        <w:rPr>
          <w:spacing w:val="-2"/>
        </w:rPr>
        <w:t xml:space="preserve"> </w:t>
      </w:r>
      <w:r>
        <w:t>diapasão,</w:t>
      </w:r>
      <w:r>
        <w:rPr>
          <w:spacing w:val="-1"/>
        </w:rPr>
        <w:t xml:space="preserve"> </w:t>
      </w:r>
      <w:r>
        <w:t>havendo falha na</w:t>
      </w:r>
      <w:r>
        <w:rPr>
          <w:spacing w:val="-2"/>
        </w:rPr>
        <w:t xml:space="preserve"> </w:t>
      </w:r>
      <w:r>
        <w:t>prestação do</w:t>
      </w:r>
      <w:r>
        <w:rPr>
          <w:spacing w:val="-1"/>
        </w:rPr>
        <w:t xml:space="preserve"> </w:t>
      </w:r>
      <w:r>
        <w:t>serviço público</w:t>
      </w:r>
      <w:r>
        <w:rPr>
          <w:spacing w:val="-1"/>
        </w:rPr>
        <w:t xml:space="preserve"> </w:t>
      </w:r>
      <w:r>
        <w:t>pela organização social que cause danos aos usuários da unidade de saúde vinculada ao SUS por ela gerenciada, não seria</w:t>
      </w:r>
      <w:r>
        <w:rPr>
          <w:spacing w:val="-4"/>
        </w:rPr>
        <w:t xml:space="preserve"> </w:t>
      </w:r>
      <w:r>
        <w:t>razoável que</w:t>
      </w:r>
      <w:r>
        <w:rPr>
          <w:spacing w:val="-3"/>
        </w:rPr>
        <w:t xml:space="preserve"> </w:t>
      </w:r>
      <w:r>
        <w:t>o Estado</w:t>
      </w:r>
      <w:r>
        <w:rPr>
          <w:spacing w:val="-2"/>
        </w:rPr>
        <w:t xml:space="preserve"> </w:t>
      </w:r>
      <w:r>
        <w:t>fosse</w:t>
      </w:r>
      <w:r>
        <w:rPr>
          <w:spacing w:val="-4"/>
        </w:rPr>
        <w:t xml:space="preserve"> </w:t>
      </w:r>
      <w:r>
        <w:t>o primeiro a</w:t>
      </w:r>
      <w:r>
        <w:rPr>
          <w:spacing w:val="-1"/>
        </w:rPr>
        <w:t xml:space="preserve"> </w:t>
      </w:r>
      <w:r>
        <w:t>arcar</w:t>
      </w:r>
      <w:r>
        <w:rPr>
          <w:spacing w:val="-2"/>
        </w:rPr>
        <w:t xml:space="preserve"> </w:t>
      </w:r>
      <w:r>
        <w:t>com a</w:t>
      </w:r>
      <w:r>
        <w:rPr>
          <w:spacing w:val="-1"/>
        </w:rPr>
        <w:t xml:space="preserve"> </w:t>
      </w:r>
      <w:r>
        <w:t>obrigação de</w:t>
      </w:r>
      <w:r>
        <w:rPr>
          <w:spacing w:val="-1"/>
        </w:rPr>
        <w:t xml:space="preserve"> </w:t>
      </w:r>
      <w:r>
        <w:t>reparar os danos, uma vez tendo repassado recursos públicos para a execução do contrato de gestão, pois segundo o autor em comento, neste caso o Estado se tornaria um garantidor da organização social no contrato de gestão.</w:t>
      </w:r>
    </w:p>
    <w:p w:rsidR="007259F2" w:rsidRDefault="007259F2">
      <w:pPr>
        <w:pStyle w:val="Corpodetexto"/>
        <w:sectPr w:rsidR="007259F2">
          <w:pgSz w:w="11910" w:h="16840"/>
          <w:pgMar w:top="1620" w:right="708" w:bottom="1020" w:left="992" w:header="0" w:footer="820" w:gutter="0"/>
          <w:cols w:space="720"/>
        </w:sectPr>
      </w:pPr>
    </w:p>
    <w:p w:rsidR="007259F2" w:rsidRDefault="00E655B4">
      <w:pPr>
        <w:pStyle w:val="Corpodetexto"/>
        <w:spacing w:before="75"/>
        <w:ind w:right="420"/>
      </w:pPr>
      <w:r>
        <w:lastRenderedPageBreak/>
        <w:t>No entanto, verifica-se que, na esfera do Poder Judiciário, o entendimento quanto a quem deve recair a responsabilidade civil pelo erro médico advindo de hospital ou outra unidade de saúde pública objeto de contrato de gestão difere da doutrina. Na prática do Tribunal de Justiça de São Paulo, por exemplo, é reconhecida a legitimidade passiva do</w:t>
      </w:r>
      <w:r>
        <w:rPr>
          <w:spacing w:val="40"/>
        </w:rPr>
        <w:t xml:space="preserve"> </w:t>
      </w:r>
      <w:r>
        <w:t>Estado para arcar com indenização por dano material e moral ocorrido em unidade de saúde pública gerida por organizações sociais de saúde:</w:t>
      </w:r>
    </w:p>
    <w:p w:rsidR="007259F2" w:rsidRDefault="007259F2">
      <w:pPr>
        <w:pStyle w:val="Corpodetexto"/>
        <w:spacing w:before="2"/>
        <w:ind w:left="0" w:firstLine="0"/>
        <w:jc w:val="left"/>
      </w:pPr>
    </w:p>
    <w:p w:rsidR="007259F2" w:rsidRDefault="00E655B4">
      <w:pPr>
        <w:ind w:left="2978" w:right="423"/>
        <w:jc w:val="both"/>
        <w:rPr>
          <w:sz w:val="20"/>
        </w:rPr>
      </w:pPr>
      <w:r>
        <w:rPr>
          <w:sz w:val="20"/>
        </w:rPr>
        <w:t>RESPONSABILIDADE CIVIL DO ESTADO. DANOS MATERIAL E MORAL. ERRO MÉDICO. HOSPITAL PÚBLICO. PRELIMINAR DE ILEGITIMIDADE PASSIVA</w:t>
      </w:r>
      <w:r>
        <w:rPr>
          <w:spacing w:val="-4"/>
          <w:sz w:val="20"/>
        </w:rPr>
        <w:t xml:space="preserve"> </w:t>
      </w:r>
      <w:r>
        <w:rPr>
          <w:sz w:val="20"/>
        </w:rPr>
        <w:t>DO</w:t>
      </w:r>
      <w:r>
        <w:rPr>
          <w:spacing w:val="-2"/>
          <w:sz w:val="20"/>
        </w:rPr>
        <w:t xml:space="preserve"> </w:t>
      </w:r>
      <w:r>
        <w:rPr>
          <w:sz w:val="20"/>
        </w:rPr>
        <w:t>ESTADO.</w:t>
      </w:r>
      <w:r>
        <w:rPr>
          <w:spacing w:val="-1"/>
          <w:sz w:val="20"/>
        </w:rPr>
        <w:t xml:space="preserve"> </w:t>
      </w:r>
      <w:r>
        <w:rPr>
          <w:sz w:val="20"/>
        </w:rPr>
        <w:t>HOSPITAL</w:t>
      </w:r>
      <w:r>
        <w:rPr>
          <w:spacing w:val="-4"/>
          <w:sz w:val="20"/>
        </w:rPr>
        <w:t xml:space="preserve"> </w:t>
      </w:r>
      <w:r>
        <w:rPr>
          <w:sz w:val="20"/>
        </w:rPr>
        <w:t>GERIDO</w:t>
      </w:r>
      <w:r>
        <w:rPr>
          <w:spacing w:val="-2"/>
          <w:sz w:val="20"/>
        </w:rPr>
        <w:t xml:space="preserve"> </w:t>
      </w:r>
      <w:r>
        <w:rPr>
          <w:sz w:val="20"/>
        </w:rPr>
        <w:t>POR</w:t>
      </w:r>
      <w:r>
        <w:rPr>
          <w:spacing w:val="-2"/>
          <w:sz w:val="20"/>
        </w:rPr>
        <w:t xml:space="preserve"> </w:t>
      </w:r>
      <w:r>
        <w:rPr>
          <w:sz w:val="20"/>
        </w:rPr>
        <w:t>ENTIDADE</w:t>
      </w:r>
      <w:r>
        <w:rPr>
          <w:spacing w:val="-1"/>
          <w:sz w:val="20"/>
        </w:rPr>
        <w:t xml:space="preserve"> </w:t>
      </w:r>
      <w:r>
        <w:rPr>
          <w:sz w:val="20"/>
        </w:rPr>
        <w:t>PRIVADA</w:t>
      </w:r>
      <w:r>
        <w:rPr>
          <w:spacing w:val="-4"/>
          <w:sz w:val="20"/>
        </w:rPr>
        <w:t xml:space="preserve"> </w:t>
      </w:r>
      <w:r>
        <w:rPr>
          <w:sz w:val="20"/>
        </w:rPr>
        <w:t>SEM FINS</w:t>
      </w:r>
      <w:r>
        <w:rPr>
          <w:spacing w:val="68"/>
          <w:sz w:val="20"/>
        </w:rPr>
        <w:t xml:space="preserve">  </w:t>
      </w:r>
      <w:r>
        <w:rPr>
          <w:sz w:val="20"/>
        </w:rPr>
        <w:t>LUCRATIVOS,</w:t>
      </w:r>
      <w:r>
        <w:rPr>
          <w:spacing w:val="70"/>
          <w:sz w:val="20"/>
        </w:rPr>
        <w:t xml:space="preserve">  </w:t>
      </w:r>
      <w:r>
        <w:rPr>
          <w:sz w:val="20"/>
        </w:rPr>
        <w:t>QUALIFICADA</w:t>
      </w:r>
      <w:r>
        <w:rPr>
          <w:spacing w:val="68"/>
          <w:sz w:val="20"/>
        </w:rPr>
        <w:t xml:space="preserve">  </w:t>
      </w:r>
      <w:r>
        <w:rPr>
          <w:sz w:val="20"/>
        </w:rPr>
        <w:t>PERANTE</w:t>
      </w:r>
      <w:r>
        <w:rPr>
          <w:spacing w:val="54"/>
          <w:sz w:val="20"/>
        </w:rPr>
        <w:t xml:space="preserve">   </w:t>
      </w:r>
      <w:r>
        <w:rPr>
          <w:sz w:val="20"/>
        </w:rPr>
        <w:t>AQUELE</w:t>
      </w:r>
      <w:r>
        <w:rPr>
          <w:spacing w:val="56"/>
          <w:sz w:val="20"/>
        </w:rPr>
        <w:t xml:space="preserve">   </w:t>
      </w:r>
      <w:r>
        <w:rPr>
          <w:spacing w:val="-4"/>
          <w:sz w:val="20"/>
        </w:rPr>
        <w:t>COMO</w:t>
      </w:r>
    </w:p>
    <w:p w:rsidR="007259F2" w:rsidRDefault="00E655B4">
      <w:pPr>
        <w:ind w:left="2978" w:right="422"/>
        <w:jc w:val="both"/>
        <w:rPr>
          <w:sz w:val="20"/>
        </w:rPr>
      </w:pPr>
      <w:r>
        <w:rPr>
          <w:sz w:val="20"/>
        </w:rPr>
        <w:t>ORGANIZAÇÃO</w:t>
      </w:r>
      <w:r>
        <w:rPr>
          <w:spacing w:val="40"/>
          <w:sz w:val="20"/>
        </w:rPr>
        <w:t xml:space="preserve"> </w:t>
      </w:r>
      <w:r>
        <w:rPr>
          <w:sz w:val="20"/>
        </w:rPr>
        <w:t>SOCIAL</w:t>
      </w:r>
      <w:r>
        <w:rPr>
          <w:spacing w:val="40"/>
          <w:sz w:val="20"/>
        </w:rPr>
        <w:t xml:space="preserve"> </w:t>
      </w:r>
      <w:r>
        <w:rPr>
          <w:sz w:val="20"/>
        </w:rPr>
        <w:t>DE</w:t>
      </w:r>
      <w:r>
        <w:rPr>
          <w:spacing w:val="40"/>
          <w:sz w:val="20"/>
        </w:rPr>
        <w:t xml:space="preserve"> </w:t>
      </w:r>
      <w:r>
        <w:rPr>
          <w:sz w:val="20"/>
        </w:rPr>
        <w:t>SAÚDE</w:t>
      </w:r>
      <w:r>
        <w:rPr>
          <w:spacing w:val="40"/>
          <w:sz w:val="20"/>
        </w:rPr>
        <w:t xml:space="preserve"> </w:t>
      </w:r>
      <w:r>
        <w:rPr>
          <w:sz w:val="20"/>
        </w:rPr>
        <w:t>(OSS)</w:t>
      </w:r>
      <w:r>
        <w:rPr>
          <w:spacing w:val="40"/>
          <w:sz w:val="20"/>
        </w:rPr>
        <w:t xml:space="preserve"> </w:t>
      </w:r>
      <w:r>
        <w:rPr>
          <w:sz w:val="20"/>
        </w:rPr>
        <w:t>Participação</w:t>
      </w:r>
      <w:r>
        <w:rPr>
          <w:spacing w:val="40"/>
          <w:sz w:val="20"/>
        </w:rPr>
        <w:t xml:space="preserve"> </w:t>
      </w:r>
      <w:r>
        <w:rPr>
          <w:sz w:val="20"/>
        </w:rPr>
        <w:t>de</w:t>
      </w:r>
      <w:r>
        <w:rPr>
          <w:spacing w:val="40"/>
          <w:sz w:val="20"/>
        </w:rPr>
        <w:t xml:space="preserve"> </w:t>
      </w:r>
      <w:r>
        <w:rPr>
          <w:sz w:val="20"/>
        </w:rPr>
        <w:t>entidades privadas no SUS que tem caráter apenas complementar (CF, art. 199, § 1º)</w:t>
      </w:r>
      <w:r>
        <w:rPr>
          <w:spacing w:val="28"/>
          <w:sz w:val="20"/>
        </w:rPr>
        <w:t xml:space="preserve"> </w:t>
      </w:r>
      <w:r>
        <w:rPr>
          <w:sz w:val="20"/>
        </w:rPr>
        <w:t xml:space="preserve">- OSS que se condicionam a veemente influência do Direito Público, sendo remuneradas integralmente pelo Governo e podendo, inclusive, valer-se de servidores públicos a elas afastados. </w:t>
      </w:r>
      <w:r>
        <w:rPr>
          <w:b/>
          <w:sz w:val="20"/>
        </w:rPr>
        <w:t>Modelo jurídico que não exime o Estado de sua responsabilidade constitucional pela saúde, a qual tem por corolário a responsabilidade civil. Ademais, os serviços públicos de saúde afiguram- se aos usuários como de prestação direta, não cogitando eles da relação jurídica subjacente (teoria da aparência) Similaridade com o entendimento relativo às Santas Casas. Legitimidade passiva do Estado reconhecida. Agravo retido não provido</w:t>
      </w:r>
      <w:r>
        <w:rPr>
          <w:sz w:val="20"/>
        </w:rPr>
        <w:t>.</w:t>
      </w:r>
    </w:p>
    <w:p w:rsidR="007259F2" w:rsidRDefault="00E655B4">
      <w:pPr>
        <w:ind w:left="2978" w:right="423"/>
        <w:jc w:val="both"/>
        <w:rPr>
          <w:sz w:val="20"/>
        </w:rPr>
      </w:pPr>
      <w:r>
        <w:rPr>
          <w:sz w:val="20"/>
        </w:rPr>
        <w:t>(TJ-SP, 9ª Câmara de Direito Público. Reexame necessário 271401620018260053. Relator: Des. Gonzaga Franceschini. Data de julgamento: 24/08/2011. Data de publicação: 26/08/2011, grifo nosso)</w:t>
      </w:r>
    </w:p>
    <w:p w:rsidR="007259F2" w:rsidRDefault="007259F2">
      <w:pPr>
        <w:pStyle w:val="Corpodetexto"/>
        <w:spacing w:before="1"/>
        <w:ind w:left="0" w:firstLine="0"/>
        <w:jc w:val="left"/>
        <w:rPr>
          <w:sz w:val="20"/>
        </w:rPr>
      </w:pPr>
    </w:p>
    <w:p w:rsidR="007259F2" w:rsidRDefault="00E655B4">
      <w:pPr>
        <w:ind w:left="2978" w:right="421"/>
        <w:jc w:val="both"/>
        <w:rPr>
          <w:sz w:val="20"/>
        </w:rPr>
      </w:pPr>
      <w:r>
        <w:rPr>
          <w:sz w:val="20"/>
        </w:rPr>
        <w:t xml:space="preserve">PRELIMINAR. </w:t>
      </w:r>
      <w:r>
        <w:rPr>
          <w:b/>
          <w:sz w:val="20"/>
        </w:rPr>
        <w:t>Afastada a preliminar de ilegitimidade passiva arguida. Celebração de convênio com Organização Social para a administração de hospital público e prestação de serviço de saúde, que não afasta a responsabilidade do Municipal pelo serviço prestado pelo conveniado</w:t>
      </w:r>
      <w:r>
        <w:rPr>
          <w:sz w:val="20"/>
        </w:rPr>
        <w:t>. APELAÇÃO. RESPONSABILIDADE CIVIL. Indenização por danos</w:t>
      </w:r>
      <w:r>
        <w:rPr>
          <w:spacing w:val="40"/>
          <w:sz w:val="20"/>
        </w:rPr>
        <w:t xml:space="preserve"> </w:t>
      </w:r>
      <w:r>
        <w:rPr>
          <w:sz w:val="20"/>
        </w:rPr>
        <w:t>morais e materiais. Uso prolongado do garrote por erro médico, gerando necrose, e, por consequência amputação do dedo do autor. Evidenciada falha na prestação do serviço</w:t>
      </w:r>
      <w:r>
        <w:rPr>
          <w:spacing w:val="-1"/>
          <w:sz w:val="20"/>
        </w:rPr>
        <w:t xml:space="preserve"> </w:t>
      </w:r>
      <w:r>
        <w:rPr>
          <w:sz w:val="20"/>
        </w:rPr>
        <w:t>público</w:t>
      </w:r>
      <w:r>
        <w:rPr>
          <w:spacing w:val="-1"/>
          <w:sz w:val="20"/>
        </w:rPr>
        <w:t xml:space="preserve"> </w:t>
      </w:r>
      <w:r>
        <w:rPr>
          <w:sz w:val="20"/>
        </w:rPr>
        <w:t>de</w:t>
      </w:r>
      <w:r>
        <w:rPr>
          <w:spacing w:val="-2"/>
          <w:sz w:val="20"/>
        </w:rPr>
        <w:t xml:space="preserve"> </w:t>
      </w:r>
      <w:r>
        <w:rPr>
          <w:sz w:val="20"/>
        </w:rPr>
        <w:t>saúde,</w:t>
      </w:r>
      <w:r>
        <w:rPr>
          <w:spacing w:val="-1"/>
          <w:sz w:val="20"/>
        </w:rPr>
        <w:t xml:space="preserve"> </w:t>
      </w:r>
      <w:r>
        <w:rPr>
          <w:sz w:val="20"/>
        </w:rPr>
        <w:t>ensejadora</w:t>
      </w:r>
      <w:r>
        <w:rPr>
          <w:spacing w:val="-2"/>
          <w:sz w:val="20"/>
        </w:rPr>
        <w:t xml:space="preserve"> </w:t>
      </w:r>
      <w:r>
        <w:rPr>
          <w:sz w:val="20"/>
        </w:rPr>
        <w:t>da</w:t>
      </w:r>
      <w:r>
        <w:rPr>
          <w:spacing w:val="-3"/>
          <w:sz w:val="20"/>
        </w:rPr>
        <w:t xml:space="preserve"> </w:t>
      </w:r>
      <w:r>
        <w:rPr>
          <w:sz w:val="20"/>
        </w:rPr>
        <w:t>responsabilidade</w:t>
      </w:r>
      <w:r>
        <w:rPr>
          <w:spacing w:val="-2"/>
          <w:sz w:val="20"/>
        </w:rPr>
        <w:t xml:space="preserve"> </w:t>
      </w:r>
      <w:r>
        <w:rPr>
          <w:sz w:val="20"/>
        </w:rPr>
        <w:t>da</w:t>
      </w:r>
      <w:r>
        <w:rPr>
          <w:spacing w:val="-3"/>
          <w:sz w:val="20"/>
        </w:rPr>
        <w:t xml:space="preserve"> </w:t>
      </w:r>
      <w:r>
        <w:rPr>
          <w:sz w:val="20"/>
        </w:rPr>
        <w:t>Administração.</w:t>
      </w:r>
      <w:r>
        <w:rPr>
          <w:spacing w:val="-2"/>
          <w:sz w:val="20"/>
        </w:rPr>
        <w:t xml:space="preserve"> </w:t>
      </w:r>
      <w:r>
        <w:rPr>
          <w:sz w:val="20"/>
        </w:rPr>
        <w:t>Recurso parcialmente provido.</w:t>
      </w:r>
    </w:p>
    <w:p w:rsidR="007259F2" w:rsidRDefault="00E655B4">
      <w:pPr>
        <w:ind w:left="2978" w:right="425"/>
        <w:jc w:val="both"/>
        <w:rPr>
          <w:sz w:val="20"/>
        </w:rPr>
      </w:pPr>
      <w:r>
        <w:rPr>
          <w:sz w:val="20"/>
        </w:rPr>
        <w:t>(TJ-SP, 5ª Câmara de Direito Público. Apelação Cível 00280959520118260053. Relatora: Des. Heloísa Martins Mimessi. Data de Julgamento: 23/04/2018. Data de Publicação: 24/04/2018, grifo nosso)</w:t>
      </w:r>
    </w:p>
    <w:p w:rsidR="007259F2" w:rsidRDefault="007259F2">
      <w:pPr>
        <w:pStyle w:val="Corpodetexto"/>
        <w:spacing w:before="21"/>
        <w:ind w:left="0" w:firstLine="0"/>
        <w:jc w:val="left"/>
        <w:rPr>
          <w:sz w:val="20"/>
        </w:rPr>
      </w:pPr>
    </w:p>
    <w:p w:rsidR="007259F2" w:rsidRDefault="00E655B4">
      <w:pPr>
        <w:pStyle w:val="Corpodetexto"/>
        <w:ind w:right="421"/>
      </w:pPr>
      <w:r>
        <w:t>Em que pese o douto entendimento da doutrina, no dia-a-dia dos tribunais também é imputada ao Estado a responsabilidade civil objetiva pelo erro médico ocorrido nas unidades de saúde geridas pelas OSS via contrato de gestão. Pensando sob a perspectiva da vítima do erro médico, o posicionamento da jurisprudência se revela acertado, pois quando o paciente adentra uma unidade de saúde pertencente ao SUS necessitando de socorro imediato ou de assistência médica, pouco importa se o atendimento é prestado diretamente pelo Estado ou</w:t>
      </w:r>
      <w:r>
        <w:rPr>
          <w:spacing w:val="80"/>
        </w:rPr>
        <w:t xml:space="preserve"> </w:t>
      </w:r>
      <w:r>
        <w:t>por organização social delegatária daquele serviço público, o que nem deve ser uma preocupação para o usuário do SUS.</w:t>
      </w:r>
    </w:p>
    <w:p w:rsidR="007259F2" w:rsidRDefault="00E655B4">
      <w:pPr>
        <w:pStyle w:val="Corpodetexto"/>
        <w:spacing w:before="1"/>
        <w:ind w:right="422"/>
      </w:pPr>
      <w:r>
        <w:t>O</w:t>
      </w:r>
      <w:r>
        <w:rPr>
          <w:spacing w:val="-1"/>
        </w:rPr>
        <w:t xml:space="preserve"> </w:t>
      </w:r>
      <w:r>
        <w:t>que</w:t>
      </w:r>
      <w:r>
        <w:rPr>
          <w:spacing w:val="-1"/>
        </w:rPr>
        <w:t xml:space="preserve"> </w:t>
      </w:r>
      <w:r>
        <w:t>importa</w:t>
      </w:r>
      <w:r>
        <w:rPr>
          <w:spacing w:val="-3"/>
        </w:rPr>
        <w:t xml:space="preserve"> </w:t>
      </w:r>
      <w:r>
        <w:t>ao paciente, o que</w:t>
      </w:r>
      <w:r>
        <w:rPr>
          <w:spacing w:val="-1"/>
        </w:rPr>
        <w:t xml:space="preserve"> </w:t>
      </w:r>
      <w:r>
        <w:t>ele</w:t>
      </w:r>
      <w:r>
        <w:rPr>
          <w:spacing w:val="-1"/>
        </w:rPr>
        <w:t xml:space="preserve"> </w:t>
      </w:r>
      <w:r>
        <w:t>identifica quando adentra esta unidade</w:t>
      </w:r>
      <w:r>
        <w:rPr>
          <w:spacing w:val="-1"/>
        </w:rPr>
        <w:t xml:space="preserve"> </w:t>
      </w:r>
      <w:r>
        <w:t>de</w:t>
      </w:r>
      <w:r>
        <w:rPr>
          <w:spacing w:val="-1"/>
        </w:rPr>
        <w:t xml:space="preserve"> </w:t>
      </w:r>
      <w:r>
        <w:t>saúde é que se trata de uma unidade de saúde pública, de responsabilidade do Estado, no fim das contas, a quem compete o dever de cuidar da saúde da população, e que por essa razão deve ser responsabilizado quando o erro médico ocorrido em unidade de saúde administrada por contrato de gestão causar danos aos usuários deste serviço público.</w:t>
      </w:r>
    </w:p>
    <w:p w:rsidR="007259F2" w:rsidRDefault="007259F2">
      <w:pPr>
        <w:pStyle w:val="Corpodetexto"/>
        <w:sectPr w:rsidR="007259F2">
          <w:pgSz w:w="11910" w:h="16840"/>
          <w:pgMar w:top="1600" w:right="708" w:bottom="1020" w:left="992" w:header="0" w:footer="820" w:gutter="0"/>
          <w:cols w:space="720"/>
        </w:sectPr>
      </w:pPr>
    </w:p>
    <w:p w:rsidR="007259F2" w:rsidRDefault="00E655B4">
      <w:pPr>
        <w:pStyle w:val="Corpodetexto"/>
        <w:spacing w:before="75"/>
        <w:ind w:right="427"/>
      </w:pPr>
      <w:r>
        <w:lastRenderedPageBreak/>
        <w:t>Uma vez sendo efetivamente condenado à reparação do dano, surge para o Estado o direito de regresso contra a OSS e contra o agente profissional da saúde que cometeu o erro. Quanto a este último, como bem sabido, ele só poderá ser responsabilizado de forma</w:t>
      </w:r>
      <w:r>
        <w:rPr>
          <w:spacing w:val="40"/>
        </w:rPr>
        <w:t xml:space="preserve"> </w:t>
      </w:r>
      <w:r>
        <w:t>subjetiva, caso comprovado dolo ou culpa em sua atuação.</w:t>
      </w:r>
    </w:p>
    <w:p w:rsidR="007259F2" w:rsidRDefault="00E655B4">
      <w:pPr>
        <w:pStyle w:val="Corpodetexto"/>
        <w:ind w:right="427"/>
      </w:pPr>
      <w:r>
        <w:t>No que tange às organizações sociais, verifica-se que em sua lei de regência, a Lei nº 9.637/1998, não há previsão específica acerca de ação regressiva contra as organizações sociais por danos causados aos destinatários dos serviços públicos por elas prestados.</w:t>
      </w:r>
    </w:p>
    <w:p w:rsidR="007259F2" w:rsidRDefault="00E655B4">
      <w:pPr>
        <w:pStyle w:val="Corpodetexto"/>
        <w:ind w:right="423"/>
      </w:pPr>
      <w:r>
        <w:t>De outro lado, a ocorrência de erro médico, neste cenário, poderá caracterizar o descumprimento de disposição contida no próprio contrato de gestão, o qual deve discriminar as responsabilidades e</w:t>
      </w:r>
      <w:r>
        <w:rPr>
          <w:spacing w:val="-1"/>
        </w:rPr>
        <w:t xml:space="preserve"> </w:t>
      </w:r>
      <w:r>
        <w:t>obrigações da OSS e</w:t>
      </w:r>
      <w:r>
        <w:rPr>
          <w:spacing w:val="-1"/>
        </w:rPr>
        <w:t xml:space="preserve"> </w:t>
      </w:r>
      <w:r>
        <w:t>do poder</w:t>
      </w:r>
      <w:r>
        <w:rPr>
          <w:spacing w:val="-1"/>
        </w:rPr>
        <w:t xml:space="preserve"> </w:t>
      </w:r>
      <w:r>
        <w:t xml:space="preserve">público partes do ajuste, conforme o art. 6º, </w:t>
      </w:r>
      <w:r>
        <w:rPr>
          <w:i/>
        </w:rPr>
        <w:t>caput</w:t>
      </w:r>
      <w:r>
        <w:t>, da lei.</w:t>
      </w:r>
    </w:p>
    <w:p w:rsidR="007259F2" w:rsidRDefault="00E655B4">
      <w:pPr>
        <w:pStyle w:val="Corpodetexto"/>
        <w:spacing w:before="1"/>
        <w:ind w:right="428"/>
      </w:pPr>
      <w:r>
        <w:t>Não se olvide que tal situação também poderá causar impactos no cumprimento das metas a serem atingidas e nos indicadores de qualidade e produtividade da avaliação de desempenho da organização social previstos no art. 7º, I, da norma, mormente se a ocorrência de erro médico gerador de danos aos pacientes atendidos pela unidade ou unidades geridas pela entidade tiver certa recorrência.</w:t>
      </w:r>
    </w:p>
    <w:p w:rsidR="007259F2" w:rsidRDefault="00E655B4">
      <w:pPr>
        <w:pStyle w:val="Corpodetexto"/>
        <w:ind w:right="424"/>
      </w:pPr>
      <w:r>
        <w:t>No mais, o direito de regresso do Estado também encontra alicerce na prerrogativa de controle e fiscalização da execução do contrato de gestão previsto no art. 8º da lei em comento, bem como na Lei nº 8.080/1990, em seu art. 18, X, que atribui tal poder-dever ao município, vez que este é o principal responsável por executar os serviços públicos de saúde diretamente à população.</w:t>
      </w:r>
    </w:p>
    <w:p w:rsidR="007259F2" w:rsidRDefault="00E655B4">
      <w:pPr>
        <w:pStyle w:val="Corpodetexto"/>
        <w:ind w:right="426"/>
      </w:pPr>
      <w:r>
        <w:t>Destarte, em havendo erro médico causado nas dependências de unidades de saúde administradas por contrato de gestão, ante a lacuna legislativa sobre a questão, uma possível solução seria o Estado buscar o ressarcimento pelas despesas com a indenização destinada à vítima do dano por meio do próprio instrumento do contrato de gestão, seja em razão de penalidades contratualmente previstas para o descumprimento de obrigações por parte da organização social, ou pelo exercício do poder de controle e fiscalização do poder público em face da organização social gestora.</w:t>
      </w:r>
    </w:p>
    <w:p w:rsidR="007259F2" w:rsidRDefault="00E655B4">
      <w:pPr>
        <w:pStyle w:val="Heading2"/>
        <w:numPr>
          <w:ilvl w:val="0"/>
          <w:numId w:val="44"/>
        </w:numPr>
        <w:tabs>
          <w:tab w:val="left" w:pos="952"/>
        </w:tabs>
        <w:spacing w:before="205"/>
        <w:ind w:left="952" w:hanging="240"/>
        <w:jc w:val="both"/>
      </w:pPr>
      <w:r>
        <w:t>Considerações</w:t>
      </w:r>
      <w:r>
        <w:rPr>
          <w:spacing w:val="-5"/>
        </w:rPr>
        <w:t xml:space="preserve"> </w:t>
      </w:r>
      <w:r>
        <w:rPr>
          <w:spacing w:val="-2"/>
        </w:rPr>
        <w:t>finais</w:t>
      </w:r>
    </w:p>
    <w:p w:rsidR="007259F2" w:rsidRDefault="00E655B4">
      <w:pPr>
        <w:pStyle w:val="Corpodetexto"/>
        <w:spacing w:before="115"/>
        <w:ind w:right="422"/>
      </w:pPr>
      <w:r>
        <w:t>O direito fundamental e social à saúde deve ser garantido pelo Estado, que pode fazê- lo de modo direto ou pela participação complementar das pessoas jurídicas de direito privado sem fins lucrativos que prestem serviços públicos, o que autoriza a participação das entidades do terceiro setor no Sistema Único de Saúde, dentre elas as organizações sociais, que prestam serviços públicos por delegação e atuam junto ao poder público pelo contrato de gestão.</w:t>
      </w:r>
    </w:p>
    <w:p w:rsidR="007259F2" w:rsidRDefault="00E655B4">
      <w:pPr>
        <w:pStyle w:val="Corpodetexto"/>
        <w:spacing w:before="1"/>
        <w:ind w:right="422"/>
      </w:pPr>
      <w:r>
        <w:t xml:space="preserve">Contudo, os agentes que realizam a prestação do serviço público de saúde podem causar danos a terceiros, aos administrados. Nesse sentido, a regra geral de responsabilidade civil do Estado, insculpida no art. 37, § 6º, da Carta Magna, é clara ao determinar que tanto as pessoas jurídicas de direito público, como as pessoas jurídicas de direito privado prestadoras de serviços públicos devem responder pelos danos que seus agentes, nessa qualidade, causarem a terceiros. Tem-se, desta forma, que a responsabilidade civil do Estado é objetiva, bastando a demonstração do nexo de causalidade entre a conduta do agente e o dano sofrido, com fundamento na teoria do risco administrativo, diante do risco que é intrínseco à atividade </w:t>
      </w:r>
      <w:r>
        <w:rPr>
          <w:spacing w:val="-2"/>
        </w:rPr>
        <w:t>administrativa.</w:t>
      </w:r>
    </w:p>
    <w:p w:rsidR="007259F2" w:rsidRDefault="00E655B4">
      <w:pPr>
        <w:pStyle w:val="Corpodetexto"/>
        <w:ind w:right="425"/>
      </w:pPr>
      <w:r>
        <w:t>Assim, não resta dúvidas de que o Estado é civilmente responsável pelo erro médico cometido nas unidades de saúde integrantes do Sistema Único de Saúde. Tratando em específico da responsabilidade civil pelo erro médico ocorrido nas unidades de saúde públicas administradas pelas organizações sociais por meio de contrato de gestão, o presente estudo</w:t>
      </w:r>
    </w:p>
    <w:p w:rsidR="007259F2" w:rsidRDefault="007259F2">
      <w:pPr>
        <w:pStyle w:val="Corpodetexto"/>
        <w:sectPr w:rsidR="007259F2">
          <w:pgSz w:w="11910" w:h="16840"/>
          <w:pgMar w:top="1600" w:right="708" w:bottom="1020" w:left="992" w:header="0" w:footer="820" w:gutter="0"/>
          <w:cols w:space="720"/>
        </w:sectPr>
      </w:pPr>
    </w:p>
    <w:p w:rsidR="007259F2" w:rsidRDefault="00E655B4">
      <w:pPr>
        <w:pStyle w:val="Corpodetexto"/>
        <w:spacing w:before="75"/>
        <w:ind w:right="427" w:firstLine="0"/>
      </w:pPr>
      <w:r>
        <w:lastRenderedPageBreak/>
        <w:t>identificou que há posicionamento da doutrina defendendo que a responsabilização da organização social por danos causados a terceiros seja objetiva, pela mesma regra constitucional acima descrita, e que a responsabilidade do Estado seja meramente subsidiária.</w:t>
      </w:r>
    </w:p>
    <w:p w:rsidR="007259F2" w:rsidRDefault="00E655B4">
      <w:pPr>
        <w:pStyle w:val="Corpodetexto"/>
        <w:ind w:right="423"/>
      </w:pPr>
      <w:r>
        <w:t>Porém, o mesmo não ocorre em relação à jurisprudência. Na materialidade do caso concreto,</w:t>
      </w:r>
      <w:r>
        <w:rPr>
          <w:spacing w:val="-3"/>
        </w:rPr>
        <w:t xml:space="preserve"> </w:t>
      </w:r>
      <w:r>
        <w:t>os</w:t>
      </w:r>
      <w:r>
        <w:rPr>
          <w:spacing w:val="-3"/>
        </w:rPr>
        <w:t xml:space="preserve"> </w:t>
      </w:r>
      <w:r>
        <w:t>tribunais</w:t>
      </w:r>
      <w:r>
        <w:rPr>
          <w:spacing w:val="-2"/>
        </w:rPr>
        <w:t xml:space="preserve"> </w:t>
      </w:r>
      <w:r>
        <w:t>vêm</w:t>
      </w:r>
      <w:r>
        <w:rPr>
          <w:spacing w:val="-3"/>
        </w:rPr>
        <w:t xml:space="preserve"> </w:t>
      </w:r>
      <w:r>
        <w:t>decidindo</w:t>
      </w:r>
      <w:r>
        <w:rPr>
          <w:spacing w:val="-3"/>
        </w:rPr>
        <w:t xml:space="preserve"> </w:t>
      </w:r>
      <w:r>
        <w:t>que</w:t>
      </w:r>
      <w:r>
        <w:rPr>
          <w:spacing w:val="-4"/>
        </w:rPr>
        <w:t xml:space="preserve"> </w:t>
      </w:r>
      <w:r>
        <w:t>o</w:t>
      </w:r>
      <w:r>
        <w:rPr>
          <w:spacing w:val="-3"/>
        </w:rPr>
        <w:t xml:space="preserve"> </w:t>
      </w:r>
      <w:r>
        <w:t>Estado</w:t>
      </w:r>
      <w:r>
        <w:rPr>
          <w:spacing w:val="-3"/>
        </w:rPr>
        <w:t xml:space="preserve"> </w:t>
      </w:r>
      <w:r>
        <w:t>é</w:t>
      </w:r>
      <w:r>
        <w:rPr>
          <w:spacing w:val="-7"/>
        </w:rPr>
        <w:t xml:space="preserve"> </w:t>
      </w:r>
      <w:r>
        <w:t>objetivamente</w:t>
      </w:r>
      <w:r>
        <w:rPr>
          <w:spacing w:val="-3"/>
        </w:rPr>
        <w:t xml:space="preserve"> </w:t>
      </w:r>
      <w:r>
        <w:t>responsável</w:t>
      </w:r>
      <w:r>
        <w:rPr>
          <w:spacing w:val="-2"/>
        </w:rPr>
        <w:t xml:space="preserve"> </w:t>
      </w:r>
      <w:r>
        <w:t>pela</w:t>
      </w:r>
      <w:r>
        <w:rPr>
          <w:spacing w:val="-4"/>
        </w:rPr>
        <w:t xml:space="preserve"> </w:t>
      </w:r>
      <w:r>
        <w:t>reparação civil pelos erros médicos ocorridos nas unidades de saúde</w:t>
      </w:r>
      <w:r>
        <w:rPr>
          <w:spacing w:val="-1"/>
        </w:rPr>
        <w:t xml:space="preserve"> </w:t>
      </w:r>
      <w:r>
        <w:t>públicas geridas pelas organizações sociais de saúde, tendo, portanto, a sua legitimidade passiva reconhecida.</w:t>
      </w:r>
    </w:p>
    <w:p w:rsidR="007259F2" w:rsidRDefault="00E655B4">
      <w:pPr>
        <w:pStyle w:val="Corpodetexto"/>
        <w:ind w:right="420"/>
      </w:pPr>
      <w:r>
        <w:t>Neste cenário, considerando a ausência de previsão legal específica quanto ao direito de regresso do Estado em face das organizações sociais por danos causados aos destinatários dos</w:t>
      </w:r>
      <w:r>
        <w:rPr>
          <w:spacing w:val="-1"/>
        </w:rPr>
        <w:t xml:space="preserve"> </w:t>
      </w:r>
      <w:r>
        <w:t>serviços</w:t>
      </w:r>
      <w:r>
        <w:rPr>
          <w:spacing w:val="-1"/>
        </w:rPr>
        <w:t xml:space="preserve"> </w:t>
      </w:r>
      <w:r>
        <w:t>públicos por</w:t>
      </w:r>
      <w:r>
        <w:rPr>
          <w:spacing w:val="-4"/>
        </w:rPr>
        <w:t xml:space="preserve"> </w:t>
      </w:r>
      <w:r>
        <w:t>elas</w:t>
      </w:r>
      <w:r>
        <w:rPr>
          <w:spacing w:val="-4"/>
        </w:rPr>
        <w:t xml:space="preserve"> </w:t>
      </w:r>
      <w:r>
        <w:t>prestados,</w:t>
      </w:r>
      <w:r>
        <w:rPr>
          <w:spacing w:val="-1"/>
        </w:rPr>
        <w:t xml:space="preserve"> </w:t>
      </w:r>
      <w:r>
        <w:t>um</w:t>
      </w:r>
      <w:r>
        <w:rPr>
          <w:spacing w:val="-1"/>
        </w:rPr>
        <w:t xml:space="preserve"> </w:t>
      </w:r>
      <w:r>
        <w:t>caminho possível para</w:t>
      </w:r>
      <w:r>
        <w:rPr>
          <w:spacing w:val="-5"/>
        </w:rPr>
        <w:t xml:space="preserve"> </w:t>
      </w:r>
      <w:r>
        <w:t>o</w:t>
      </w:r>
      <w:r>
        <w:rPr>
          <w:spacing w:val="-1"/>
        </w:rPr>
        <w:t xml:space="preserve"> </w:t>
      </w:r>
      <w:r>
        <w:t>ressarcimento do</w:t>
      </w:r>
      <w:r>
        <w:rPr>
          <w:spacing w:val="-1"/>
        </w:rPr>
        <w:t xml:space="preserve"> </w:t>
      </w:r>
      <w:r>
        <w:t>Estado seria por meio das penalidades contratualmente previstas em relação ao descumprimento de obrigações por parte da organização social, e, no mais, pelos instrumentos de controle e fiscalização do contrato de gestão pelo poder público.</w:t>
      </w:r>
    </w:p>
    <w:p w:rsidR="007259F2" w:rsidRDefault="00E655B4">
      <w:pPr>
        <w:pStyle w:val="Heading1"/>
        <w:spacing w:before="208"/>
        <w:ind w:left="712"/>
      </w:pPr>
      <w:r>
        <w:rPr>
          <w:spacing w:val="-2"/>
        </w:rPr>
        <w:t>REFERÊNCIAS</w:t>
      </w:r>
    </w:p>
    <w:p w:rsidR="007259F2" w:rsidRDefault="00E655B4">
      <w:pPr>
        <w:spacing w:before="196" w:line="237" w:lineRule="auto"/>
        <w:ind w:left="712" w:right="921"/>
        <w:jc w:val="both"/>
        <w:rPr>
          <w:sz w:val="24"/>
        </w:rPr>
      </w:pPr>
      <w:r>
        <w:rPr>
          <w:sz w:val="24"/>
        </w:rPr>
        <w:t xml:space="preserve">AFONSO DA SILVA, José. Direito à saúde. </w:t>
      </w:r>
      <w:r>
        <w:rPr>
          <w:i/>
          <w:sz w:val="24"/>
        </w:rPr>
        <w:t>In</w:t>
      </w:r>
      <w:r>
        <w:rPr>
          <w:sz w:val="24"/>
        </w:rPr>
        <w:t xml:space="preserve">: AFONSO DA SILVA, José. </w:t>
      </w:r>
      <w:r>
        <w:rPr>
          <w:b/>
          <w:sz w:val="24"/>
        </w:rPr>
        <w:t>Curso de Direito Constitucional Positivo</w:t>
      </w:r>
      <w:r>
        <w:rPr>
          <w:sz w:val="24"/>
        </w:rPr>
        <w:t>. 35. ed. São Paulo: Malheiros, 2012, p. 308-310.</w:t>
      </w:r>
    </w:p>
    <w:p w:rsidR="007259F2" w:rsidRDefault="00E655B4">
      <w:pPr>
        <w:tabs>
          <w:tab w:val="left" w:pos="3013"/>
          <w:tab w:val="left" w:pos="4438"/>
          <w:tab w:val="left" w:pos="6672"/>
          <w:tab w:val="left" w:pos="8923"/>
        </w:tabs>
        <w:spacing w:before="121"/>
        <w:ind w:left="712" w:right="920"/>
        <w:jc w:val="both"/>
        <w:rPr>
          <w:sz w:val="24"/>
        </w:rPr>
      </w:pPr>
      <w:r>
        <w:rPr>
          <w:sz w:val="24"/>
        </w:rPr>
        <w:t xml:space="preserve">BRASIL. </w:t>
      </w:r>
      <w:r>
        <w:rPr>
          <w:b/>
          <w:sz w:val="24"/>
        </w:rPr>
        <w:t>Constituição da República Federativa do Brasil de 1988</w:t>
      </w:r>
      <w:r>
        <w:rPr>
          <w:sz w:val="24"/>
        </w:rPr>
        <w:t xml:space="preserve">. Brasília, DF: </w:t>
      </w:r>
      <w:r>
        <w:rPr>
          <w:spacing w:val="-2"/>
          <w:sz w:val="24"/>
        </w:rPr>
        <w:t>Presidência</w:t>
      </w:r>
      <w:r>
        <w:rPr>
          <w:sz w:val="24"/>
        </w:rPr>
        <w:tab/>
      </w:r>
      <w:r>
        <w:rPr>
          <w:spacing w:val="-6"/>
          <w:sz w:val="24"/>
        </w:rPr>
        <w:t>da</w:t>
      </w:r>
      <w:r>
        <w:rPr>
          <w:sz w:val="24"/>
        </w:rPr>
        <w:tab/>
      </w:r>
      <w:r>
        <w:rPr>
          <w:spacing w:val="-2"/>
          <w:sz w:val="24"/>
        </w:rPr>
        <w:t>República.</w:t>
      </w:r>
      <w:r>
        <w:rPr>
          <w:sz w:val="24"/>
        </w:rPr>
        <w:tab/>
      </w:r>
      <w:r>
        <w:rPr>
          <w:spacing w:val="-2"/>
          <w:sz w:val="24"/>
        </w:rPr>
        <w:t>Disponível</w:t>
      </w:r>
      <w:r>
        <w:rPr>
          <w:sz w:val="24"/>
        </w:rPr>
        <w:tab/>
      </w:r>
      <w:r>
        <w:rPr>
          <w:spacing w:val="-4"/>
          <w:sz w:val="24"/>
        </w:rPr>
        <w:t xml:space="preserve">em: </w:t>
      </w:r>
      <w:r>
        <w:rPr>
          <w:sz w:val="24"/>
        </w:rPr>
        <w:t>https:/</w:t>
      </w:r>
      <w:hyperlink r:id="rId31">
        <w:r>
          <w:rPr>
            <w:sz w:val="24"/>
          </w:rPr>
          <w:t>/www.planalto.gov.br/ccivil_03/constituicao/constituicao.htm.</w:t>
        </w:r>
      </w:hyperlink>
      <w:r>
        <w:rPr>
          <w:sz w:val="24"/>
        </w:rPr>
        <w:t xml:space="preserve"> Acesso</w:t>
      </w:r>
      <w:r>
        <w:rPr>
          <w:spacing w:val="-3"/>
          <w:sz w:val="24"/>
        </w:rPr>
        <w:t xml:space="preserve"> </w:t>
      </w:r>
      <w:r>
        <w:rPr>
          <w:sz w:val="24"/>
        </w:rPr>
        <w:t>em:</w:t>
      </w:r>
      <w:r>
        <w:rPr>
          <w:spacing w:val="-3"/>
          <w:sz w:val="24"/>
        </w:rPr>
        <w:t xml:space="preserve"> </w:t>
      </w:r>
      <w:r>
        <w:rPr>
          <w:sz w:val="24"/>
        </w:rPr>
        <w:t>16</w:t>
      </w:r>
      <w:r>
        <w:rPr>
          <w:spacing w:val="-4"/>
          <w:sz w:val="24"/>
        </w:rPr>
        <w:t xml:space="preserve"> </w:t>
      </w:r>
      <w:r>
        <w:rPr>
          <w:sz w:val="24"/>
        </w:rPr>
        <w:t xml:space="preserve">ago. </w:t>
      </w:r>
      <w:r>
        <w:rPr>
          <w:spacing w:val="-2"/>
          <w:sz w:val="24"/>
        </w:rPr>
        <w:t>2023.</w:t>
      </w:r>
    </w:p>
    <w:p w:rsidR="007259F2" w:rsidRDefault="007259F2">
      <w:pPr>
        <w:pStyle w:val="Corpodetexto"/>
        <w:ind w:left="0" w:firstLine="0"/>
        <w:jc w:val="left"/>
      </w:pPr>
    </w:p>
    <w:p w:rsidR="007259F2" w:rsidRDefault="00E655B4">
      <w:pPr>
        <w:pStyle w:val="Corpodetexto"/>
        <w:tabs>
          <w:tab w:val="left" w:pos="1429"/>
        </w:tabs>
        <w:spacing w:before="1"/>
        <w:ind w:right="971" w:firstLine="0"/>
      </w:pPr>
      <w:r>
        <w:rPr>
          <w:u w:val="single"/>
        </w:rPr>
        <w:tab/>
      </w:r>
      <w:r>
        <w:t xml:space="preserve">. </w:t>
      </w:r>
      <w:r>
        <w:rPr>
          <w:b/>
        </w:rPr>
        <w:t>Lei nº 8.078, de 11 de setembro de 1990</w:t>
      </w:r>
      <w:r>
        <w:t>. Dispõe sobre a proteção do consumidor e dá outras providências. Brasília, DF: Presidência da República.</w:t>
      </w:r>
      <w:r>
        <w:rPr>
          <w:spacing w:val="40"/>
        </w:rPr>
        <w:t xml:space="preserve"> </w:t>
      </w:r>
      <w:r>
        <w:t>Disponível em: https:/</w:t>
      </w:r>
      <w:hyperlink r:id="rId32">
        <w:r>
          <w:t>/www.planalto.gov.br/ccivil_03/Leis/L8078compilado.htm.</w:t>
        </w:r>
      </w:hyperlink>
      <w:r>
        <w:t xml:space="preserve"> Acesso em: 13 dez. 2023.</w:t>
      </w:r>
    </w:p>
    <w:p w:rsidR="007259F2" w:rsidRDefault="00E655B4">
      <w:pPr>
        <w:pStyle w:val="Corpodetexto"/>
        <w:tabs>
          <w:tab w:val="left" w:pos="1429"/>
        </w:tabs>
        <w:spacing w:before="117"/>
        <w:ind w:right="952" w:firstLine="0"/>
      </w:pPr>
      <w:r>
        <w:rPr>
          <w:u w:val="single"/>
        </w:rPr>
        <w:tab/>
      </w:r>
      <w:r>
        <w:t xml:space="preserve">. </w:t>
      </w:r>
      <w:r>
        <w:rPr>
          <w:b/>
        </w:rPr>
        <w:t>Lei nº 8.080, de 19 de setembro de 1990</w:t>
      </w:r>
      <w:r>
        <w:t>. Dispõe sobre as condições para a promoção, proteção e recuperação da saúde, a organização e o funcionamento dos serviços correspondentes e dá outras providências. Brasília, DF: Presidência da República. Disponível em: https:/</w:t>
      </w:r>
      <w:hyperlink r:id="rId33">
        <w:r>
          <w:t>/www.planalto.gov.br/ccivil_03/LEIS/L8080.htm.</w:t>
        </w:r>
      </w:hyperlink>
      <w:r>
        <w:t xml:space="preserve"> Acesso em: 22 ago. 2023.</w:t>
      </w:r>
    </w:p>
    <w:p w:rsidR="007259F2" w:rsidRDefault="00E655B4">
      <w:pPr>
        <w:pStyle w:val="Corpodetexto"/>
        <w:tabs>
          <w:tab w:val="left" w:pos="1429"/>
        </w:tabs>
        <w:spacing w:before="120"/>
        <w:ind w:right="880" w:firstLine="0"/>
      </w:pPr>
      <w:r>
        <w:rPr>
          <w:u w:val="single"/>
        </w:rPr>
        <w:tab/>
      </w:r>
      <w:r>
        <w:t xml:space="preserve">. </w:t>
      </w:r>
      <w:r>
        <w:rPr>
          <w:b/>
        </w:rPr>
        <w:t>Lei nº 9.637, de 15 de maio de 1998</w:t>
      </w:r>
      <w:r>
        <w:t>. Dispõe sobre a qualificação de entidades como organizações sociais, a criação do Programa Nacional de Publicização, a extinção dos órgãos e entidades que menciona e a absorção de suas atividades por organizações sociais,</w:t>
      </w:r>
      <w:r>
        <w:rPr>
          <w:spacing w:val="-1"/>
        </w:rPr>
        <w:t xml:space="preserve"> </w:t>
      </w:r>
      <w:r>
        <w:t>e</w:t>
      </w:r>
      <w:r>
        <w:rPr>
          <w:spacing w:val="-2"/>
        </w:rPr>
        <w:t xml:space="preserve"> </w:t>
      </w:r>
      <w:r>
        <w:t>dá</w:t>
      </w:r>
      <w:r>
        <w:rPr>
          <w:spacing w:val="38"/>
        </w:rPr>
        <w:t xml:space="preserve"> </w:t>
      </w:r>
      <w:r>
        <w:t>outras</w:t>
      </w:r>
      <w:r>
        <w:rPr>
          <w:spacing w:val="-1"/>
        </w:rPr>
        <w:t xml:space="preserve"> </w:t>
      </w:r>
      <w:r>
        <w:t>providências. Brasília,</w:t>
      </w:r>
      <w:r>
        <w:rPr>
          <w:spacing w:val="-2"/>
        </w:rPr>
        <w:t xml:space="preserve"> </w:t>
      </w:r>
      <w:r>
        <w:t>DF:</w:t>
      </w:r>
      <w:r>
        <w:rPr>
          <w:spacing w:val="-1"/>
        </w:rPr>
        <w:t xml:space="preserve"> </w:t>
      </w:r>
      <w:r>
        <w:t>Presidência</w:t>
      </w:r>
      <w:r>
        <w:rPr>
          <w:spacing w:val="-2"/>
        </w:rPr>
        <w:t xml:space="preserve"> </w:t>
      </w:r>
      <w:r>
        <w:t>da</w:t>
      </w:r>
      <w:r>
        <w:rPr>
          <w:spacing w:val="-2"/>
        </w:rPr>
        <w:t xml:space="preserve"> </w:t>
      </w:r>
      <w:r>
        <w:t>República. Disponível</w:t>
      </w:r>
      <w:r>
        <w:rPr>
          <w:spacing w:val="-1"/>
        </w:rPr>
        <w:t xml:space="preserve"> </w:t>
      </w:r>
      <w:r>
        <w:t>em: https:/</w:t>
      </w:r>
      <w:hyperlink r:id="rId34">
        <w:r>
          <w:t>/www.planalto.gov.br/ccivil_03/leis/l9637.htm.</w:t>
        </w:r>
      </w:hyperlink>
      <w:r>
        <w:t xml:space="preserve"> Acesso em: 19 dez. 2023.</w:t>
      </w:r>
    </w:p>
    <w:p w:rsidR="007259F2" w:rsidRDefault="00E655B4">
      <w:pPr>
        <w:pStyle w:val="Corpodetexto"/>
        <w:tabs>
          <w:tab w:val="left" w:pos="1429"/>
          <w:tab w:val="left" w:pos="3016"/>
          <w:tab w:val="left" w:pos="4445"/>
          <w:tab w:val="left" w:pos="6681"/>
          <w:tab w:val="left" w:pos="8937"/>
        </w:tabs>
        <w:spacing w:before="121"/>
        <w:ind w:right="903" w:firstLine="0"/>
      </w:pPr>
      <w:r>
        <w:rPr>
          <w:u w:val="single"/>
        </w:rPr>
        <w:tab/>
      </w:r>
      <w:r>
        <w:t xml:space="preserve">. </w:t>
      </w:r>
      <w:r>
        <w:rPr>
          <w:b/>
        </w:rPr>
        <w:t>Lei nº 10.406, de 10 de janeiro de 2002</w:t>
      </w:r>
      <w:r>
        <w:t xml:space="preserve">. Institui o Código Civil. Brasília, DF: </w:t>
      </w:r>
      <w:r>
        <w:rPr>
          <w:spacing w:val="-2"/>
        </w:rPr>
        <w:t>Presidência</w:t>
      </w:r>
      <w:r>
        <w:tab/>
      </w:r>
      <w:r>
        <w:rPr>
          <w:spacing w:val="-6"/>
        </w:rPr>
        <w:t>da</w:t>
      </w:r>
      <w:r>
        <w:tab/>
      </w:r>
      <w:r>
        <w:rPr>
          <w:spacing w:val="-2"/>
        </w:rPr>
        <w:t>República.</w:t>
      </w:r>
      <w:r>
        <w:tab/>
      </w:r>
      <w:r>
        <w:rPr>
          <w:spacing w:val="-2"/>
        </w:rPr>
        <w:t>Disponível</w:t>
      </w:r>
      <w:r>
        <w:tab/>
      </w:r>
      <w:r>
        <w:rPr>
          <w:spacing w:val="-4"/>
        </w:rPr>
        <w:t xml:space="preserve">em: </w:t>
      </w:r>
      <w:r>
        <w:t>https:/</w:t>
      </w:r>
      <w:hyperlink r:id="rId35">
        <w:r>
          <w:t>/www.planalto.gov.br/ccivil_03/LEIS/2002/L10406compilada.htm.</w:t>
        </w:r>
      </w:hyperlink>
      <w:r>
        <w:t xml:space="preserve"> Acesso em:</w:t>
      </w:r>
      <w:r>
        <w:rPr>
          <w:spacing w:val="-3"/>
        </w:rPr>
        <w:t xml:space="preserve"> </w:t>
      </w:r>
      <w:r>
        <w:t>07 dez. 2023.</w:t>
      </w:r>
    </w:p>
    <w:p w:rsidR="007259F2" w:rsidRDefault="00E655B4">
      <w:pPr>
        <w:pStyle w:val="Corpodetexto"/>
        <w:tabs>
          <w:tab w:val="left" w:pos="1429"/>
        </w:tabs>
        <w:spacing w:before="120"/>
        <w:ind w:right="1124" w:firstLine="0"/>
      </w:pPr>
      <w:r>
        <w:rPr>
          <w:u w:val="single"/>
        </w:rPr>
        <w:tab/>
      </w:r>
      <w:r>
        <w:t xml:space="preserve">. Supremo Tribunal Federal (Pleno). </w:t>
      </w:r>
      <w:r>
        <w:rPr>
          <w:b/>
        </w:rPr>
        <w:t>Recurso Extraordinário 591.874/MS</w:t>
      </w:r>
      <w:r>
        <w:t xml:space="preserve">. Recorrente: Viação São Francisco Ltda. Recorrido: Justa Servin Franco e outros. Relator: Min. Ricardo Lewandowski, 26 de agosto de 2009. Disponível em: https://portal.stf.jus.br/processos/detalhe.asp?incidente=2635450. Acesso em: 22 out. </w:t>
      </w:r>
      <w:r>
        <w:rPr>
          <w:spacing w:val="-2"/>
        </w:rPr>
        <w:t>2023.</w:t>
      </w:r>
    </w:p>
    <w:p w:rsidR="007259F2" w:rsidRDefault="007259F2">
      <w:pPr>
        <w:pStyle w:val="Corpodetexto"/>
        <w:sectPr w:rsidR="007259F2">
          <w:pgSz w:w="11910" w:h="16840"/>
          <w:pgMar w:top="1600" w:right="708" w:bottom="1020" w:left="992" w:header="0" w:footer="820" w:gutter="0"/>
          <w:cols w:space="720"/>
        </w:sectPr>
      </w:pPr>
    </w:p>
    <w:p w:rsidR="007259F2" w:rsidRDefault="00E655B4">
      <w:pPr>
        <w:spacing w:before="75"/>
        <w:ind w:left="712" w:right="879"/>
        <w:jc w:val="both"/>
        <w:rPr>
          <w:sz w:val="24"/>
        </w:rPr>
      </w:pPr>
      <w:r>
        <w:rPr>
          <w:sz w:val="24"/>
        </w:rPr>
        <w:lastRenderedPageBreak/>
        <w:t xml:space="preserve">CATÃO, Marconi do Ó. Do Estado-nação ao </w:t>
      </w:r>
      <w:r>
        <w:rPr>
          <w:i/>
          <w:sz w:val="24"/>
        </w:rPr>
        <w:t>Welfare State</w:t>
      </w:r>
      <w:r>
        <w:rPr>
          <w:sz w:val="24"/>
        </w:rPr>
        <w:t xml:space="preserve">: o direito social à saúde. </w:t>
      </w:r>
      <w:r>
        <w:rPr>
          <w:i/>
          <w:sz w:val="24"/>
        </w:rPr>
        <w:t>In</w:t>
      </w:r>
      <w:r>
        <w:rPr>
          <w:sz w:val="24"/>
        </w:rPr>
        <w:t xml:space="preserve">: CATÃO, Marconi do Ó. </w:t>
      </w:r>
      <w:r>
        <w:rPr>
          <w:b/>
          <w:sz w:val="24"/>
        </w:rPr>
        <w:t>Genealogia do direito à saúde: uma reconstrução de saberes e práticas na modernidade</w:t>
      </w:r>
      <w:r>
        <w:rPr>
          <w:sz w:val="24"/>
        </w:rPr>
        <w:t xml:space="preserve">. Campina Grande: EDUEPB, 2011, p. 31-49. </w:t>
      </w:r>
      <w:r>
        <w:rPr>
          <w:i/>
          <w:sz w:val="24"/>
        </w:rPr>
        <w:t>E-Book</w:t>
      </w:r>
      <w:r>
        <w:rPr>
          <w:sz w:val="24"/>
        </w:rPr>
        <w:t>. Disponível em:</w:t>
      </w:r>
      <w:r>
        <w:rPr>
          <w:spacing w:val="-1"/>
          <w:sz w:val="24"/>
        </w:rPr>
        <w:t xml:space="preserve"> </w:t>
      </w:r>
      <w:r>
        <w:rPr>
          <w:sz w:val="24"/>
        </w:rPr>
        <w:t>https://static.scielo.org/scielobooks/szgxv/pdf/catao-9788578791919.pdf. Acesso em: 26 dez. 2023.</w:t>
      </w:r>
    </w:p>
    <w:p w:rsidR="007259F2" w:rsidRDefault="007259F2">
      <w:pPr>
        <w:pStyle w:val="Corpodetexto"/>
        <w:ind w:left="0" w:firstLine="0"/>
        <w:jc w:val="left"/>
      </w:pPr>
    </w:p>
    <w:p w:rsidR="007259F2" w:rsidRDefault="00E655B4">
      <w:pPr>
        <w:pStyle w:val="Corpodetexto"/>
        <w:ind w:right="914" w:firstLine="0"/>
      </w:pPr>
      <w:r>
        <w:t xml:space="preserve">CAVALIERI FILHO, Sérgio. Responsabilidade da Administração Pública. </w:t>
      </w:r>
      <w:r>
        <w:rPr>
          <w:i/>
        </w:rPr>
        <w:t>In</w:t>
      </w:r>
      <w:r>
        <w:t xml:space="preserve">: CAVALIERI FILHO, Sérgio. </w:t>
      </w:r>
      <w:r>
        <w:rPr>
          <w:b/>
        </w:rPr>
        <w:t>Programa de responsabilidade civil</w:t>
      </w:r>
      <w:r>
        <w:t>. 11. ed. São Paulo: Atlas, 2014, p. 181, 282-293.</w:t>
      </w:r>
    </w:p>
    <w:p w:rsidR="007259F2" w:rsidRDefault="007259F2">
      <w:pPr>
        <w:pStyle w:val="Corpodetexto"/>
        <w:ind w:left="0" w:firstLine="0"/>
        <w:jc w:val="left"/>
      </w:pPr>
    </w:p>
    <w:p w:rsidR="007259F2" w:rsidRDefault="00E655B4">
      <w:pPr>
        <w:pStyle w:val="Corpodetexto"/>
        <w:ind w:right="912" w:firstLine="0"/>
      </w:pPr>
      <w:r>
        <w:t xml:space="preserve">DI PIETRO, Maria Sylvia Zanella. Responsabilidade Extracontratual do Estado. </w:t>
      </w:r>
      <w:r>
        <w:rPr>
          <w:i/>
        </w:rPr>
        <w:t>In</w:t>
      </w:r>
      <w:r>
        <w:t>: DI PIETRO,</w:t>
      </w:r>
      <w:r>
        <w:rPr>
          <w:spacing w:val="2"/>
        </w:rPr>
        <w:t xml:space="preserve"> </w:t>
      </w:r>
      <w:r>
        <w:t>Maria Sylvia</w:t>
      </w:r>
      <w:r>
        <w:rPr>
          <w:spacing w:val="6"/>
        </w:rPr>
        <w:t xml:space="preserve"> </w:t>
      </w:r>
      <w:r>
        <w:t>Zanella.</w:t>
      </w:r>
      <w:r>
        <w:rPr>
          <w:spacing w:val="3"/>
        </w:rPr>
        <w:t xml:space="preserve"> </w:t>
      </w:r>
      <w:r>
        <w:rPr>
          <w:b/>
        </w:rPr>
        <w:t>Direito</w:t>
      </w:r>
      <w:r>
        <w:rPr>
          <w:b/>
          <w:spacing w:val="3"/>
        </w:rPr>
        <w:t xml:space="preserve"> </w:t>
      </w:r>
      <w:r>
        <w:rPr>
          <w:b/>
        </w:rPr>
        <w:t>Administrativo</w:t>
      </w:r>
      <w:r>
        <w:t>.</w:t>
      </w:r>
      <w:r>
        <w:rPr>
          <w:spacing w:val="3"/>
        </w:rPr>
        <w:t xml:space="preserve"> </w:t>
      </w:r>
      <w:r>
        <w:t>28.</w:t>
      </w:r>
      <w:r>
        <w:rPr>
          <w:spacing w:val="3"/>
        </w:rPr>
        <w:t xml:space="preserve"> </w:t>
      </w:r>
      <w:r>
        <w:t>ed.</w:t>
      </w:r>
      <w:r>
        <w:rPr>
          <w:spacing w:val="2"/>
        </w:rPr>
        <w:t xml:space="preserve"> </w:t>
      </w:r>
      <w:r>
        <w:t>São</w:t>
      </w:r>
      <w:r>
        <w:rPr>
          <w:spacing w:val="4"/>
        </w:rPr>
        <w:t xml:space="preserve"> </w:t>
      </w:r>
      <w:r>
        <w:t>Paulo:</w:t>
      </w:r>
      <w:r>
        <w:rPr>
          <w:spacing w:val="5"/>
        </w:rPr>
        <w:t xml:space="preserve"> </w:t>
      </w:r>
      <w:r>
        <w:t>Atlas,</w:t>
      </w:r>
      <w:r>
        <w:rPr>
          <w:spacing w:val="3"/>
        </w:rPr>
        <w:t xml:space="preserve"> </w:t>
      </w:r>
      <w:r>
        <w:rPr>
          <w:spacing w:val="-2"/>
        </w:rPr>
        <w:t>2014,</w:t>
      </w:r>
    </w:p>
    <w:p w:rsidR="007259F2" w:rsidRDefault="00E655B4">
      <w:pPr>
        <w:pStyle w:val="Corpodetexto"/>
        <w:spacing w:before="1"/>
        <w:ind w:firstLine="0"/>
      </w:pPr>
      <w:r>
        <w:t>p.</w:t>
      </w:r>
      <w:r>
        <w:rPr>
          <w:spacing w:val="-15"/>
        </w:rPr>
        <w:t xml:space="preserve"> </w:t>
      </w:r>
      <w:r>
        <w:t>785-</w:t>
      </w:r>
      <w:r>
        <w:rPr>
          <w:spacing w:val="-4"/>
        </w:rPr>
        <w:t>797.</w:t>
      </w:r>
    </w:p>
    <w:p w:rsidR="007259F2" w:rsidRDefault="00E655B4">
      <w:pPr>
        <w:pStyle w:val="Corpodetexto"/>
        <w:tabs>
          <w:tab w:val="left" w:pos="3710"/>
        </w:tabs>
        <w:spacing w:before="120"/>
        <w:ind w:right="926" w:firstLine="0"/>
      </w:pPr>
      <w:r>
        <w:rPr>
          <w:u w:val="single"/>
        </w:rPr>
        <w:tab/>
      </w:r>
      <w:r>
        <w:t xml:space="preserve">. Parcerias com o terceiro setor. </w:t>
      </w:r>
      <w:r>
        <w:rPr>
          <w:i/>
        </w:rPr>
        <w:t>In</w:t>
      </w:r>
      <w:r>
        <w:t xml:space="preserve">: DI PIETRO, Maria Sylvia Zanella. </w:t>
      </w:r>
      <w:r>
        <w:rPr>
          <w:b/>
        </w:rPr>
        <w:t>Parcerias na administração pública</w:t>
      </w:r>
      <w:r>
        <w:t xml:space="preserve">: concessão, permissão, franquia, terceirização, parceria público-privada. 13. ed. Rio de Janeiro: Forense, 2022, posições 7212-7841, </w:t>
      </w:r>
      <w:r>
        <w:rPr>
          <w:i/>
        </w:rPr>
        <w:t>E-book</w:t>
      </w:r>
      <w:r>
        <w:t>. 9279 posições. Acesso em 03 dez. 2023.</w:t>
      </w:r>
    </w:p>
    <w:p w:rsidR="007259F2" w:rsidRDefault="00E655B4">
      <w:pPr>
        <w:pStyle w:val="Corpodetexto"/>
        <w:spacing w:before="120"/>
        <w:ind w:right="906" w:firstLine="0"/>
      </w:pPr>
      <w:r>
        <w:t xml:space="preserve">GIRON DE LA TORRE, Estevam. </w:t>
      </w:r>
      <w:r>
        <w:rPr>
          <w:b/>
        </w:rPr>
        <w:t xml:space="preserve">A responsabilidade das Organizações Sociais de Saúde por danos causados ao usuários: </w:t>
      </w:r>
      <w:r>
        <w:t>Reflexões sobre os fundamentos jurídicos da responsabilidade objetiva, e primária, das Organizações Sociais de Saúde por danos causados aos usuários. São Paulo: 2020. Disponível em: https:/</w:t>
      </w:r>
      <w:hyperlink r:id="rId36">
        <w:r>
          <w:t>/www.jusbrasil.com.br/artigos/a-</w:t>
        </w:r>
      </w:hyperlink>
      <w:r>
        <w:t xml:space="preserve"> responsabilidade-das-organizacoes-sociais-de- saude-por-danos-causados-ao- usuarios/920168767. Acesso em: 14 ago. 2023.</w:t>
      </w:r>
    </w:p>
    <w:p w:rsidR="007259F2" w:rsidRDefault="00E655B4">
      <w:pPr>
        <w:pStyle w:val="Corpodetexto"/>
        <w:spacing w:before="121"/>
        <w:ind w:right="918" w:firstLine="0"/>
      </w:pPr>
      <w:r>
        <w:t xml:space="preserve">SANTOS DA SILVA, Rômulo Ruan; VIEIRA, Victória Andrade. Direito à saúde: um direito fundamental e sob respaldo da Constituição Federal. </w:t>
      </w:r>
      <w:r>
        <w:rPr>
          <w:i/>
        </w:rPr>
        <w:t>In</w:t>
      </w:r>
      <w:r>
        <w:t xml:space="preserve">: ROSA, C.; PIMENTEL, D.; santos DA SILVA, R. R. (org.). </w:t>
      </w:r>
      <w:r>
        <w:rPr>
          <w:b/>
        </w:rPr>
        <w:t>Direito do consumidor aplicado ao direito à saúde</w:t>
      </w:r>
      <w:r>
        <w:t>:</w:t>
      </w:r>
      <w:r>
        <w:rPr>
          <w:spacing w:val="-1"/>
        </w:rPr>
        <w:t xml:space="preserve"> </w:t>
      </w:r>
      <w:r>
        <w:t>análise</w:t>
      </w:r>
      <w:r>
        <w:rPr>
          <w:spacing w:val="-2"/>
        </w:rPr>
        <w:t xml:space="preserve"> </w:t>
      </w:r>
      <w:r>
        <w:t>de</w:t>
      </w:r>
      <w:r>
        <w:rPr>
          <w:spacing w:val="-2"/>
        </w:rPr>
        <w:t xml:space="preserve"> </w:t>
      </w:r>
      <w:r>
        <w:t>julgados.</w:t>
      </w:r>
      <w:r>
        <w:rPr>
          <w:spacing w:val="-1"/>
        </w:rPr>
        <w:t xml:space="preserve"> </w:t>
      </w:r>
      <w:r>
        <w:t>Feira</w:t>
      </w:r>
      <w:r>
        <w:rPr>
          <w:spacing w:val="-3"/>
        </w:rPr>
        <w:t xml:space="preserve"> </w:t>
      </w:r>
      <w:r>
        <w:t>de</w:t>
      </w:r>
      <w:r>
        <w:rPr>
          <w:spacing w:val="-2"/>
        </w:rPr>
        <w:t xml:space="preserve"> </w:t>
      </w:r>
      <w:r>
        <w:t>Santana:</w:t>
      </w:r>
      <w:r>
        <w:rPr>
          <w:spacing w:val="-1"/>
        </w:rPr>
        <w:t xml:space="preserve"> </w:t>
      </w:r>
      <w:r>
        <w:t>Universidade</w:t>
      </w:r>
      <w:r>
        <w:rPr>
          <w:spacing w:val="-2"/>
        </w:rPr>
        <w:t xml:space="preserve"> </w:t>
      </w:r>
      <w:r>
        <w:t>Estadual</w:t>
      </w:r>
      <w:r>
        <w:rPr>
          <w:spacing w:val="-1"/>
        </w:rPr>
        <w:t xml:space="preserve"> </w:t>
      </w:r>
      <w:r>
        <w:t>de</w:t>
      </w:r>
      <w:r>
        <w:rPr>
          <w:spacing w:val="-2"/>
        </w:rPr>
        <w:t xml:space="preserve"> </w:t>
      </w:r>
      <w:r>
        <w:t>Feira</w:t>
      </w:r>
      <w:r>
        <w:rPr>
          <w:spacing w:val="-2"/>
        </w:rPr>
        <w:t xml:space="preserve"> </w:t>
      </w:r>
      <w:r>
        <w:t>de</w:t>
      </w:r>
      <w:r>
        <w:rPr>
          <w:spacing w:val="-2"/>
        </w:rPr>
        <w:t xml:space="preserve"> </w:t>
      </w:r>
      <w:r>
        <w:t>Santana, 2017, p. 12-14.</w:t>
      </w:r>
    </w:p>
    <w:p w:rsidR="007259F2" w:rsidRDefault="00E655B4">
      <w:pPr>
        <w:pStyle w:val="Corpodetexto"/>
        <w:tabs>
          <w:tab w:val="left" w:pos="8926"/>
        </w:tabs>
        <w:spacing w:before="273"/>
        <w:ind w:right="919" w:firstLine="0"/>
      </w:pPr>
      <w:r>
        <w:t xml:space="preserve">SÃO PAULO. Tribunal de Justiça de São Paulo (9ª Câmara de Direito Público). </w:t>
      </w:r>
      <w:r>
        <w:rPr>
          <w:b/>
        </w:rPr>
        <w:t>Reexame necessário 00271401620018260053</w:t>
      </w:r>
      <w:r>
        <w:t xml:space="preserve">. Recorrente: Fazenda do Estado de São Paulo e Juízo </w:t>
      </w:r>
      <w:r>
        <w:rPr>
          <w:i/>
        </w:rPr>
        <w:t>ex officio</w:t>
      </w:r>
      <w:r>
        <w:t xml:space="preserve">. Recorrido: José Moreira dos Santos. Relator: Des. Gonzaga Franceschini, 24 de agosto de 2011. Data de publicação: 26 de agosto de 2011. </w:t>
      </w:r>
      <w:r>
        <w:rPr>
          <w:spacing w:val="-2"/>
        </w:rPr>
        <w:t>Disponível</w:t>
      </w:r>
      <w:r>
        <w:tab/>
      </w:r>
      <w:r>
        <w:rPr>
          <w:spacing w:val="-5"/>
        </w:rPr>
        <w:t>em:</w:t>
      </w:r>
    </w:p>
    <w:p w:rsidR="007259F2" w:rsidRDefault="00E655B4">
      <w:pPr>
        <w:pStyle w:val="Corpodetexto"/>
        <w:spacing w:before="1"/>
        <w:ind w:right="992" w:firstLine="0"/>
      </w:pPr>
      <w:r>
        <w:rPr>
          <w:spacing w:val="-2"/>
        </w:rPr>
        <w:t xml:space="preserve">https://esaj.tjsp.jus.br/cposg/show.do?processo.codigo=RI000SPMZ0000#?cdDocument </w:t>
      </w:r>
      <w:r>
        <w:t>o=23. Acesso em: 4 dez. 2023.</w:t>
      </w:r>
    </w:p>
    <w:p w:rsidR="007259F2" w:rsidRDefault="00E655B4">
      <w:pPr>
        <w:pStyle w:val="Corpodetexto"/>
        <w:tabs>
          <w:tab w:val="left" w:pos="8940"/>
        </w:tabs>
        <w:spacing w:before="120"/>
        <w:ind w:left="712" w:right="904" w:firstLine="0"/>
      </w:pPr>
      <w:r>
        <w:t xml:space="preserve">SÃO PAULO. Tribunal de Justiça de São Paulo (5ª Câmara de Direito Público). </w:t>
      </w:r>
      <w:r>
        <w:rPr>
          <w:b/>
        </w:rPr>
        <w:t>Apelação Cível 00280959520118260053</w:t>
      </w:r>
      <w:r>
        <w:t xml:space="preserve">. Recorrentes: Município de São Paulo, Hospital Israelita Albert Einstein e Julio Cesar M. Marin. Recorridos: Walter de Souza e Centro de Estudos e Pesquisas Doutor João Amorim – CEJAM. Relatora: Des. Heloísa Martins Mimessi, 23 de abril de 2018. Data de Publicação: 24 de abril de 2018. </w:t>
      </w:r>
      <w:r>
        <w:rPr>
          <w:spacing w:val="-2"/>
        </w:rPr>
        <w:t>Disponível</w:t>
      </w:r>
      <w:r>
        <w:tab/>
      </w:r>
      <w:r>
        <w:rPr>
          <w:spacing w:val="-5"/>
        </w:rPr>
        <w:t>em:</w:t>
      </w:r>
    </w:p>
    <w:p w:rsidR="007259F2" w:rsidRDefault="00E655B4">
      <w:pPr>
        <w:pStyle w:val="Corpodetexto"/>
        <w:ind w:left="712" w:right="907" w:firstLine="0"/>
      </w:pPr>
      <w:r>
        <w:rPr>
          <w:spacing w:val="-2"/>
        </w:rPr>
        <w:t xml:space="preserve">https://esaj.tjsp.jus.br/cposg/search.do?conversationId=&amp;paginaConsulta=0&amp;cbPesquisa= NUMPROC&amp;numeroDigitoAnoUnificado=002809595.2011&amp;foroNumeroUnificado=005 3&amp;dePesquisaNuUnificado=002809595.2011.8.26.0053&amp;dePesquisaNuUnificado=UNIFI </w:t>
      </w:r>
      <w:r>
        <w:t>CADO&amp;dePesquisa=&amp;tipoNuProcesso=UNIFICADO#?cdDocumento=18.</w:t>
      </w:r>
      <w:r>
        <w:rPr>
          <w:spacing w:val="-14"/>
        </w:rPr>
        <w:t xml:space="preserve"> </w:t>
      </w:r>
      <w:r>
        <w:t>Acesso</w:t>
      </w:r>
      <w:r>
        <w:rPr>
          <w:spacing w:val="-14"/>
        </w:rPr>
        <w:t xml:space="preserve"> </w:t>
      </w:r>
      <w:r>
        <w:t>em:</w:t>
      </w:r>
      <w:r>
        <w:rPr>
          <w:spacing w:val="-14"/>
        </w:rPr>
        <w:t xml:space="preserve"> </w:t>
      </w:r>
      <w:r>
        <w:t>4 dez. 2023.</w:t>
      </w:r>
    </w:p>
    <w:p w:rsidR="007259F2" w:rsidRDefault="007259F2">
      <w:pPr>
        <w:pStyle w:val="Corpodetexto"/>
        <w:sectPr w:rsidR="007259F2">
          <w:pgSz w:w="11910" w:h="16840"/>
          <w:pgMar w:top="1600" w:right="708" w:bottom="1020" w:left="992" w:header="0" w:footer="820" w:gutter="0"/>
          <w:cols w:space="720"/>
        </w:sectPr>
      </w:pPr>
    </w:p>
    <w:p w:rsidR="007259F2" w:rsidRDefault="00E655B4">
      <w:pPr>
        <w:pStyle w:val="Corpodetexto"/>
        <w:spacing w:before="75"/>
        <w:ind w:right="879" w:firstLine="0"/>
      </w:pPr>
      <w:r>
        <w:lastRenderedPageBreak/>
        <w:t xml:space="preserve">VELOSO DE FRANÇA, Genival. Responsabilidade médica. </w:t>
      </w:r>
      <w:r>
        <w:rPr>
          <w:i/>
        </w:rPr>
        <w:t>In</w:t>
      </w:r>
      <w:r>
        <w:t xml:space="preserve">: VELOSO DE FRANÇA, Genival. </w:t>
      </w:r>
      <w:r>
        <w:rPr>
          <w:b/>
        </w:rPr>
        <w:t>Direito Médico</w:t>
      </w:r>
      <w:r>
        <w:t>. 12. ed. Rio de Janeiro: Forense, 2014, p. 103-104, 257-258, 269-272.</w:t>
      </w:r>
    </w:p>
    <w:p w:rsidR="007259F2" w:rsidRDefault="007259F2">
      <w:pPr>
        <w:pStyle w:val="Corpodetexto"/>
        <w:sectPr w:rsidR="007259F2">
          <w:pgSz w:w="11910" w:h="16840"/>
          <w:pgMar w:top="1600" w:right="708" w:bottom="1020" w:left="992" w:header="0" w:footer="820" w:gutter="0"/>
          <w:cols w:space="720"/>
        </w:sectPr>
      </w:pPr>
    </w:p>
    <w:p w:rsidR="007259F2" w:rsidRDefault="00E655B4">
      <w:pPr>
        <w:pStyle w:val="Heading2"/>
        <w:spacing w:before="76" w:line="242" w:lineRule="auto"/>
        <w:ind w:right="995"/>
      </w:pPr>
      <w:bookmarkStart w:id="2" w:name="_bookmark2"/>
      <w:bookmarkEnd w:id="2"/>
      <w:r>
        <w:lastRenderedPageBreak/>
        <w:t xml:space="preserve">Aspectos Gerais do Procedimento de Contratação Direta à Luz da Lei Federal nº </w:t>
      </w:r>
      <w:r>
        <w:rPr>
          <w:spacing w:val="-2"/>
        </w:rPr>
        <w:t>14.133/2021</w:t>
      </w:r>
    </w:p>
    <w:p w:rsidR="007259F2" w:rsidRDefault="00E655B4">
      <w:pPr>
        <w:spacing w:before="196" w:line="276" w:lineRule="auto"/>
        <w:ind w:left="710" w:right="997"/>
        <w:jc w:val="both"/>
        <w:rPr>
          <w:b/>
          <w:sz w:val="24"/>
        </w:rPr>
      </w:pPr>
      <w:r>
        <w:rPr>
          <w:b/>
          <w:sz w:val="24"/>
        </w:rPr>
        <w:t>Overall Aspects of the Direct Contracting Procedure According to the Federal</w:t>
      </w:r>
      <w:r>
        <w:rPr>
          <w:b/>
          <w:spacing w:val="40"/>
          <w:sz w:val="24"/>
        </w:rPr>
        <w:t xml:space="preserve"> </w:t>
      </w:r>
      <w:r>
        <w:rPr>
          <w:b/>
          <w:sz w:val="24"/>
        </w:rPr>
        <w:t>Law n° 14.133/2021</w:t>
      </w:r>
    </w:p>
    <w:p w:rsidR="007259F2" w:rsidRDefault="00E655B4">
      <w:pPr>
        <w:spacing w:before="201"/>
        <w:ind w:left="710"/>
        <w:jc w:val="both"/>
        <w:rPr>
          <w:b/>
          <w:sz w:val="24"/>
        </w:rPr>
      </w:pPr>
      <w:r>
        <w:rPr>
          <w:b/>
          <w:sz w:val="24"/>
        </w:rPr>
        <w:t>Ana</w:t>
      </w:r>
      <w:r>
        <w:rPr>
          <w:b/>
          <w:spacing w:val="-4"/>
          <w:sz w:val="24"/>
        </w:rPr>
        <w:t xml:space="preserve"> </w:t>
      </w:r>
      <w:r>
        <w:rPr>
          <w:b/>
          <w:sz w:val="24"/>
        </w:rPr>
        <w:t>Flávia</w:t>
      </w:r>
      <w:r>
        <w:rPr>
          <w:b/>
          <w:spacing w:val="-1"/>
          <w:sz w:val="24"/>
        </w:rPr>
        <w:t xml:space="preserve"> </w:t>
      </w:r>
      <w:r>
        <w:rPr>
          <w:b/>
          <w:sz w:val="24"/>
        </w:rPr>
        <w:t>de</w:t>
      </w:r>
      <w:r>
        <w:rPr>
          <w:b/>
          <w:spacing w:val="-2"/>
          <w:sz w:val="24"/>
        </w:rPr>
        <w:t xml:space="preserve"> </w:t>
      </w:r>
      <w:r>
        <w:rPr>
          <w:b/>
          <w:sz w:val="24"/>
        </w:rPr>
        <w:t>Almeida</w:t>
      </w:r>
      <w:r>
        <w:rPr>
          <w:b/>
          <w:spacing w:val="-1"/>
          <w:sz w:val="24"/>
        </w:rPr>
        <w:t xml:space="preserve"> </w:t>
      </w:r>
      <w:r>
        <w:rPr>
          <w:b/>
          <w:spacing w:val="-2"/>
          <w:sz w:val="24"/>
        </w:rPr>
        <w:t>Carvalho</w:t>
      </w:r>
      <w:r>
        <w:rPr>
          <w:b/>
          <w:spacing w:val="-2"/>
          <w:sz w:val="24"/>
          <w:vertAlign w:val="superscript"/>
        </w:rPr>
        <w:t>1</w:t>
      </w:r>
    </w:p>
    <w:p w:rsidR="007259F2" w:rsidRDefault="007259F2">
      <w:pPr>
        <w:pStyle w:val="Corpodetexto"/>
        <w:spacing w:before="199"/>
        <w:ind w:left="0" w:firstLine="0"/>
        <w:jc w:val="left"/>
        <w:rPr>
          <w:b/>
        </w:rPr>
      </w:pPr>
    </w:p>
    <w:p w:rsidR="007259F2" w:rsidRDefault="00E655B4">
      <w:pPr>
        <w:pStyle w:val="Heading1"/>
      </w:pPr>
      <w:r>
        <w:rPr>
          <w:spacing w:val="-2"/>
        </w:rPr>
        <w:t>RESUMO</w:t>
      </w:r>
    </w:p>
    <w:p w:rsidR="007259F2" w:rsidRDefault="00E655B4">
      <w:pPr>
        <w:pStyle w:val="Corpodetexto"/>
        <w:spacing w:before="235"/>
        <w:ind w:right="1126" w:firstLine="0"/>
      </w:pPr>
      <w:r>
        <w:t>Em regra, as contratações públicas ocorrem por meio do procedimento de licitação. Para situações em que tal procedimento seja inviável ou que não seja a melhor opção para</w:t>
      </w:r>
      <w:r>
        <w:rPr>
          <w:spacing w:val="-1"/>
        </w:rPr>
        <w:t xml:space="preserve"> </w:t>
      </w:r>
      <w:r>
        <w:t>satisfação do interesse público, a licitação deixa de ser obrigatória, aplicando-se o procedimento da contratação direta. Apesar da ideia de regra (licitação) e exceção (contratação direta), ao se analisar as compras da Administração Pública em nosso país, verifica-se que o procedimento de contratação direta está longe de ser uma excepcionalidade, correspondendo ao maior</w:t>
      </w:r>
      <w:r>
        <w:rPr>
          <w:spacing w:val="-1"/>
        </w:rPr>
        <w:t xml:space="preserve"> </w:t>
      </w:r>
      <w:r>
        <w:t>número de</w:t>
      </w:r>
      <w:r>
        <w:rPr>
          <w:spacing w:val="-1"/>
        </w:rPr>
        <w:t xml:space="preserve"> </w:t>
      </w:r>
      <w:r>
        <w:t>compras quando comparado às modalidades licitatórias. Este cenário aponta para a importância do estudo de tal procedimento, bem como de seu</w:t>
      </w:r>
      <w:r>
        <w:rPr>
          <w:spacing w:val="40"/>
        </w:rPr>
        <w:t xml:space="preserve"> </w:t>
      </w:r>
      <w:r>
        <w:t>maior regramento, o que fora aprofundado pela Lei Federal n. 14.133/2021 em relação à norma anterior. Ainda que o procedimento seja mais regulamentado e haja requisitos mínimos a serem observados pelos agentes públicos, é inerente ao conceito da contratação direta que o procedimento seja mais simplificado e menos rígido que o procedimento licitatório. Por conta de tal flexibilidade, ganha especial importância a observância dos princípios jurídicos que regem as contratações públicas quando da aplicação de tal procedimento. São os princípios jurídicos que darão ao agente público as diretrizes para que o procedimento da contratação direta seja aplicado de forma legal, válida e isonômica, garantindo a melhor contratação à Administração.</w:t>
      </w:r>
    </w:p>
    <w:p w:rsidR="007259F2" w:rsidRDefault="00E655B4">
      <w:pPr>
        <w:spacing w:before="124"/>
        <w:ind w:left="712"/>
        <w:jc w:val="both"/>
        <w:rPr>
          <w:sz w:val="24"/>
        </w:rPr>
      </w:pPr>
      <w:r>
        <w:rPr>
          <w:b/>
          <w:sz w:val="24"/>
        </w:rPr>
        <w:t>Palavras-chave:</w:t>
      </w:r>
      <w:r>
        <w:rPr>
          <w:b/>
          <w:spacing w:val="-8"/>
          <w:sz w:val="24"/>
        </w:rPr>
        <w:t xml:space="preserve"> </w:t>
      </w:r>
      <w:r>
        <w:rPr>
          <w:sz w:val="24"/>
        </w:rPr>
        <w:t>contratação</w:t>
      </w:r>
      <w:r>
        <w:rPr>
          <w:spacing w:val="-5"/>
          <w:sz w:val="24"/>
        </w:rPr>
        <w:t xml:space="preserve"> </w:t>
      </w:r>
      <w:r>
        <w:rPr>
          <w:sz w:val="24"/>
        </w:rPr>
        <w:t>direta;</w:t>
      </w:r>
      <w:r>
        <w:rPr>
          <w:spacing w:val="-5"/>
          <w:sz w:val="24"/>
        </w:rPr>
        <w:t xml:space="preserve"> </w:t>
      </w:r>
      <w:r>
        <w:rPr>
          <w:sz w:val="24"/>
        </w:rPr>
        <w:t>licitação;</w:t>
      </w:r>
      <w:r>
        <w:rPr>
          <w:spacing w:val="-5"/>
          <w:sz w:val="24"/>
        </w:rPr>
        <w:t xml:space="preserve"> </w:t>
      </w:r>
      <w:r>
        <w:rPr>
          <w:sz w:val="24"/>
        </w:rPr>
        <w:t>procedimento;</w:t>
      </w:r>
      <w:r>
        <w:rPr>
          <w:spacing w:val="-4"/>
          <w:sz w:val="24"/>
        </w:rPr>
        <w:t xml:space="preserve"> </w:t>
      </w:r>
      <w:r>
        <w:rPr>
          <w:spacing w:val="-2"/>
          <w:sz w:val="24"/>
        </w:rPr>
        <w:t>princípios.</w:t>
      </w:r>
    </w:p>
    <w:p w:rsidR="007259F2" w:rsidRDefault="007259F2">
      <w:pPr>
        <w:pStyle w:val="Corpodetexto"/>
        <w:ind w:left="0" w:firstLine="0"/>
        <w:jc w:val="left"/>
      </w:pPr>
    </w:p>
    <w:p w:rsidR="007259F2" w:rsidRDefault="007259F2">
      <w:pPr>
        <w:pStyle w:val="Corpodetexto"/>
        <w:spacing w:before="9"/>
        <w:ind w:left="0" w:firstLine="0"/>
        <w:jc w:val="left"/>
      </w:pPr>
    </w:p>
    <w:p w:rsidR="007259F2" w:rsidRDefault="00E655B4">
      <w:pPr>
        <w:pStyle w:val="Heading1"/>
        <w:spacing w:before="1"/>
      </w:pPr>
      <w:r>
        <w:rPr>
          <w:spacing w:val="-2"/>
        </w:rPr>
        <w:t>ABSTRACT</w:t>
      </w:r>
    </w:p>
    <w:p w:rsidR="007259F2" w:rsidRDefault="00E655B4">
      <w:pPr>
        <w:pStyle w:val="Corpodetexto"/>
        <w:spacing w:before="232"/>
        <w:ind w:right="1131" w:firstLine="0"/>
      </w:pPr>
      <w:r>
        <w:t>As a rule, public contracts are carried out through the bidding process. In situations where such a procedure is unfeasible or not the best option for the satisfaction of</w:t>
      </w:r>
      <w:r>
        <w:rPr>
          <w:spacing w:val="40"/>
        </w:rPr>
        <w:t xml:space="preserve"> </w:t>
      </w:r>
      <w:r>
        <w:t>public interest, bidding becomes non-mandatory, and the direct contracting procedure is applied. Despite the notion of a rule (bidding) and exception (direct contracting), an analysis of public sector purchases in our country reveals that the direct contracting procedure is far from being an exception, accounting for the majority of purchases when compared to bidding modalities. This scenario underscores the importance of studying such a procedure, as well as its increased regulation, which was deepened by Federal Law nº 14.133/2021 in relation to the previous norm. Even though the procedure is more regulated, with minimum requirements to be observed by public agents, it is inherent to the concept of direct contracting that the procedure be simplified</w:t>
      </w:r>
      <w:r>
        <w:rPr>
          <w:spacing w:val="77"/>
        </w:rPr>
        <w:t xml:space="preserve"> </w:t>
      </w:r>
      <w:r>
        <w:t>and</w:t>
      </w:r>
      <w:r>
        <w:rPr>
          <w:spacing w:val="77"/>
        </w:rPr>
        <w:t xml:space="preserve"> </w:t>
      </w:r>
      <w:r>
        <w:t>less</w:t>
      </w:r>
      <w:r>
        <w:rPr>
          <w:spacing w:val="50"/>
          <w:w w:val="150"/>
        </w:rPr>
        <w:t xml:space="preserve"> </w:t>
      </w:r>
      <w:r>
        <w:t>rigid</w:t>
      </w:r>
      <w:r>
        <w:rPr>
          <w:spacing w:val="78"/>
        </w:rPr>
        <w:t xml:space="preserve"> </w:t>
      </w:r>
      <w:r>
        <w:t>than</w:t>
      </w:r>
      <w:r>
        <w:rPr>
          <w:spacing w:val="77"/>
        </w:rPr>
        <w:t xml:space="preserve"> </w:t>
      </w:r>
      <w:r>
        <w:t>the</w:t>
      </w:r>
      <w:r>
        <w:rPr>
          <w:spacing w:val="80"/>
        </w:rPr>
        <w:t xml:space="preserve"> </w:t>
      </w:r>
      <w:r>
        <w:t>bidding</w:t>
      </w:r>
      <w:r>
        <w:rPr>
          <w:spacing w:val="77"/>
        </w:rPr>
        <w:t xml:space="preserve"> </w:t>
      </w:r>
      <w:r>
        <w:t>process.</w:t>
      </w:r>
      <w:r>
        <w:rPr>
          <w:spacing w:val="78"/>
        </w:rPr>
        <w:t xml:space="preserve"> </w:t>
      </w:r>
      <w:r>
        <w:t>Due</w:t>
      </w:r>
      <w:r>
        <w:rPr>
          <w:spacing w:val="77"/>
        </w:rPr>
        <w:t xml:space="preserve"> </w:t>
      </w:r>
      <w:r>
        <w:t>to</w:t>
      </w:r>
      <w:r>
        <w:rPr>
          <w:spacing w:val="78"/>
        </w:rPr>
        <w:t xml:space="preserve"> </w:t>
      </w:r>
      <w:r>
        <w:t>such</w:t>
      </w:r>
      <w:r>
        <w:rPr>
          <w:spacing w:val="50"/>
          <w:w w:val="150"/>
        </w:rPr>
        <w:t xml:space="preserve"> </w:t>
      </w:r>
      <w:r>
        <w:t>flexibility,</w:t>
      </w:r>
      <w:r>
        <w:rPr>
          <w:spacing w:val="78"/>
        </w:rPr>
        <w:t xml:space="preserve"> </w:t>
      </w:r>
      <w:r>
        <w:rPr>
          <w:spacing w:val="-5"/>
        </w:rPr>
        <w:t>the</w:t>
      </w:r>
    </w:p>
    <w:p w:rsidR="007259F2" w:rsidRDefault="00DE6B1C">
      <w:pPr>
        <w:pStyle w:val="Corpodetexto"/>
        <w:spacing w:before="7"/>
        <w:ind w:left="0" w:firstLine="0"/>
        <w:jc w:val="left"/>
        <w:rPr>
          <w:sz w:val="14"/>
        </w:rPr>
      </w:pPr>
      <w:r w:rsidRPr="00DE6B1C">
        <w:rPr>
          <w:sz w:val="14"/>
        </w:rPr>
        <w:pict>
          <v:rect id="docshape19" o:spid="_x0000_s1205" style="position:absolute;margin-left:85.1pt;margin-top:9.6pt;width:2in;height:.7pt;z-index:-15725056;mso-wrap-distance-left:0;mso-wrap-distance-right:0;mso-position-horizontal-relative:page" fillcolor="black" stroked="f">
            <w10:wrap type="topAndBottom" anchorx="page"/>
          </v:rect>
        </w:pict>
      </w:r>
    </w:p>
    <w:p w:rsidR="007259F2" w:rsidRDefault="00E655B4">
      <w:pPr>
        <w:spacing w:before="210" w:line="232" w:lineRule="auto"/>
        <w:ind w:left="712" w:right="989"/>
        <w:jc w:val="both"/>
        <w:rPr>
          <w:sz w:val="20"/>
        </w:rPr>
      </w:pPr>
      <w:r>
        <w:rPr>
          <w:rFonts w:ascii="Calibri" w:hAnsi="Calibri"/>
        </w:rPr>
        <w:t xml:space="preserve">1 </w:t>
      </w:r>
      <w:r>
        <w:rPr>
          <w:sz w:val="20"/>
        </w:rPr>
        <w:t xml:space="preserve">Residente Jurídica do Programa de Residência Jurídica da Procuradoria Geral do Município de São Paulo, alocada na Secretaria Municipal de Gestão - SEGES (2022-2025). E-mail: </w:t>
      </w:r>
      <w:hyperlink r:id="rId37">
        <w:r>
          <w:rPr>
            <w:spacing w:val="-2"/>
            <w:sz w:val="20"/>
          </w:rPr>
          <w:t>anaflaviaac93@gmail.com</w:t>
        </w:r>
      </w:hyperlink>
    </w:p>
    <w:p w:rsidR="007259F2" w:rsidRDefault="007259F2">
      <w:pPr>
        <w:spacing w:line="232" w:lineRule="auto"/>
        <w:jc w:val="both"/>
        <w:rPr>
          <w:sz w:val="20"/>
        </w:rPr>
        <w:sectPr w:rsidR="007259F2">
          <w:footerReference w:type="default" r:id="rId38"/>
          <w:pgSz w:w="11910" w:h="16840"/>
          <w:pgMar w:top="1400" w:right="708" w:bottom="1160" w:left="992" w:header="0" w:footer="962" w:gutter="0"/>
          <w:cols w:space="720"/>
        </w:sectPr>
      </w:pPr>
    </w:p>
    <w:p w:rsidR="007259F2" w:rsidRDefault="00E655B4">
      <w:pPr>
        <w:pStyle w:val="Corpodetexto"/>
        <w:spacing w:before="69"/>
        <w:ind w:right="1135" w:firstLine="0"/>
      </w:pPr>
      <w:r>
        <w:lastRenderedPageBreak/>
        <w:t>adherence to legal principles governing public contracts gains special importance</w:t>
      </w:r>
      <w:r>
        <w:rPr>
          <w:spacing w:val="40"/>
        </w:rPr>
        <w:t xml:space="preserve"> </w:t>
      </w:r>
      <w:r>
        <w:t>when applying this procedure. Legal principles provide public agents with guidelines to</w:t>
      </w:r>
      <w:r>
        <w:rPr>
          <w:spacing w:val="-1"/>
        </w:rPr>
        <w:t xml:space="preserve"> </w:t>
      </w:r>
      <w:r>
        <w:t>ensure</w:t>
      </w:r>
      <w:r>
        <w:rPr>
          <w:spacing w:val="-3"/>
        </w:rPr>
        <w:t xml:space="preserve"> </w:t>
      </w:r>
      <w:r>
        <w:t>that</w:t>
      </w:r>
      <w:r>
        <w:rPr>
          <w:spacing w:val="-1"/>
        </w:rPr>
        <w:t xml:space="preserve"> </w:t>
      </w:r>
      <w:r>
        <w:t>the</w:t>
      </w:r>
      <w:r>
        <w:rPr>
          <w:spacing w:val="-2"/>
        </w:rPr>
        <w:t xml:space="preserve"> </w:t>
      </w:r>
      <w:r>
        <w:t>direct</w:t>
      </w:r>
      <w:r>
        <w:rPr>
          <w:spacing w:val="-1"/>
        </w:rPr>
        <w:t xml:space="preserve"> </w:t>
      </w:r>
      <w:r>
        <w:t>contracting</w:t>
      </w:r>
      <w:r>
        <w:rPr>
          <w:spacing w:val="-4"/>
        </w:rPr>
        <w:t xml:space="preserve"> </w:t>
      </w:r>
      <w:r>
        <w:t>procedure</w:t>
      </w:r>
      <w:r>
        <w:rPr>
          <w:spacing w:val="-2"/>
        </w:rPr>
        <w:t xml:space="preserve"> </w:t>
      </w:r>
      <w:r>
        <w:t>is</w:t>
      </w:r>
      <w:r>
        <w:rPr>
          <w:spacing w:val="-1"/>
        </w:rPr>
        <w:t xml:space="preserve"> </w:t>
      </w:r>
      <w:r>
        <w:t>applied</w:t>
      </w:r>
      <w:r>
        <w:rPr>
          <w:spacing w:val="-1"/>
        </w:rPr>
        <w:t xml:space="preserve"> </w:t>
      </w:r>
      <w:r>
        <w:t>in</w:t>
      </w:r>
      <w:r>
        <w:rPr>
          <w:spacing w:val="-1"/>
        </w:rPr>
        <w:t xml:space="preserve"> </w:t>
      </w:r>
      <w:r>
        <w:t>a</w:t>
      </w:r>
      <w:r>
        <w:rPr>
          <w:spacing w:val="-2"/>
        </w:rPr>
        <w:t xml:space="preserve"> </w:t>
      </w:r>
      <w:r>
        <w:t>legal,</w:t>
      </w:r>
      <w:r>
        <w:rPr>
          <w:spacing w:val="-1"/>
        </w:rPr>
        <w:t xml:space="preserve"> </w:t>
      </w:r>
      <w:r>
        <w:t>valid,</w:t>
      </w:r>
      <w:r>
        <w:rPr>
          <w:spacing w:val="-1"/>
        </w:rPr>
        <w:t xml:space="preserve"> </w:t>
      </w:r>
      <w:r>
        <w:t>and</w:t>
      </w:r>
      <w:r>
        <w:rPr>
          <w:spacing w:val="-1"/>
        </w:rPr>
        <w:t xml:space="preserve"> </w:t>
      </w:r>
      <w:r>
        <w:t>equitable manner, guaranteeing the best contract for the Administration.</w:t>
      </w:r>
    </w:p>
    <w:p w:rsidR="007259F2" w:rsidRDefault="00E655B4">
      <w:pPr>
        <w:pStyle w:val="Corpodetexto"/>
        <w:spacing w:before="121"/>
        <w:ind w:firstLine="0"/>
      </w:pPr>
      <w:r>
        <w:rPr>
          <w:b/>
        </w:rPr>
        <w:t>Keywords:</w:t>
      </w:r>
      <w:r>
        <w:rPr>
          <w:b/>
          <w:spacing w:val="-8"/>
        </w:rPr>
        <w:t xml:space="preserve"> </w:t>
      </w:r>
      <w:r>
        <w:t>direct</w:t>
      </w:r>
      <w:r>
        <w:rPr>
          <w:spacing w:val="-2"/>
        </w:rPr>
        <w:t xml:space="preserve"> </w:t>
      </w:r>
      <w:r>
        <w:t>contracting;</w:t>
      </w:r>
      <w:r>
        <w:rPr>
          <w:spacing w:val="-3"/>
        </w:rPr>
        <w:t xml:space="preserve"> </w:t>
      </w:r>
      <w:r>
        <w:t>bidding;</w:t>
      </w:r>
      <w:r>
        <w:rPr>
          <w:spacing w:val="-1"/>
        </w:rPr>
        <w:t xml:space="preserve"> </w:t>
      </w:r>
      <w:r>
        <w:t>procedure;</w:t>
      </w:r>
      <w:r>
        <w:rPr>
          <w:spacing w:val="-1"/>
        </w:rPr>
        <w:t xml:space="preserve"> </w:t>
      </w:r>
      <w:r>
        <w:rPr>
          <w:spacing w:val="-2"/>
        </w:rPr>
        <w:t>principles.</w:t>
      </w:r>
    </w:p>
    <w:p w:rsidR="007259F2" w:rsidRDefault="007259F2">
      <w:pPr>
        <w:pStyle w:val="Corpodetexto"/>
        <w:spacing w:before="247"/>
        <w:ind w:left="0" w:firstLine="0"/>
        <w:jc w:val="left"/>
      </w:pPr>
    </w:p>
    <w:p w:rsidR="007259F2" w:rsidRDefault="00E655B4">
      <w:pPr>
        <w:pStyle w:val="Heading2"/>
        <w:numPr>
          <w:ilvl w:val="0"/>
          <w:numId w:val="43"/>
        </w:numPr>
        <w:tabs>
          <w:tab w:val="left" w:pos="942"/>
        </w:tabs>
        <w:spacing w:before="0"/>
        <w:ind w:hanging="232"/>
      </w:pPr>
      <w:r>
        <w:rPr>
          <w:spacing w:val="-2"/>
        </w:rPr>
        <w:t>Introdução</w:t>
      </w:r>
    </w:p>
    <w:p w:rsidR="007259F2" w:rsidRDefault="00E655B4">
      <w:pPr>
        <w:pStyle w:val="Corpodetexto"/>
        <w:spacing w:before="156"/>
        <w:ind w:right="989"/>
      </w:pPr>
      <w:r>
        <w:t>O exercício das atividades administrativas do Estado exige uma atuação pautada pelos princípios do regime jurídico administrativo, que implica na substituição da autonomia da vontade (predominante no Direito Privado) pelo exercício da função administrativa. A ideia</w:t>
      </w:r>
      <w:r>
        <w:rPr>
          <w:spacing w:val="40"/>
        </w:rPr>
        <w:t xml:space="preserve"> </w:t>
      </w:r>
      <w:r>
        <w:t>de função, por sua vez, está ligada ao dever de atendimento ao interesse público pelos órgãos e/ou pessoas que desempenham tal função, de modo a garantir uma atuação estatal isonômica e republicana (MELLO, 2019, p. 27 a 36).</w:t>
      </w:r>
    </w:p>
    <w:p w:rsidR="007259F2" w:rsidRDefault="00E655B4">
      <w:pPr>
        <w:pStyle w:val="Corpodetexto"/>
        <w:spacing w:before="1"/>
        <w:ind w:right="987"/>
      </w:pPr>
      <w:r>
        <w:t>Se</w:t>
      </w:r>
      <w:r>
        <w:rPr>
          <w:spacing w:val="-2"/>
        </w:rPr>
        <w:t xml:space="preserve"> </w:t>
      </w:r>
      <w:r>
        <w:t>assim</w:t>
      </w:r>
      <w:r>
        <w:rPr>
          <w:spacing w:val="-1"/>
        </w:rPr>
        <w:t xml:space="preserve"> </w:t>
      </w:r>
      <w:r>
        <w:t>é</w:t>
      </w:r>
      <w:r>
        <w:rPr>
          <w:spacing w:val="-2"/>
        </w:rPr>
        <w:t xml:space="preserve"> </w:t>
      </w:r>
      <w:r>
        <w:t>em</w:t>
      </w:r>
      <w:r>
        <w:rPr>
          <w:spacing w:val="-3"/>
        </w:rPr>
        <w:t xml:space="preserve"> </w:t>
      </w:r>
      <w:r>
        <w:t>toda</w:t>
      </w:r>
      <w:r>
        <w:rPr>
          <w:spacing w:val="-2"/>
        </w:rPr>
        <w:t xml:space="preserve"> </w:t>
      </w:r>
      <w:r>
        <w:t>a</w:t>
      </w:r>
      <w:r>
        <w:rPr>
          <w:spacing w:val="-2"/>
        </w:rPr>
        <w:t xml:space="preserve"> </w:t>
      </w:r>
      <w:r>
        <w:t>atividade</w:t>
      </w:r>
      <w:r>
        <w:rPr>
          <w:spacing w:val="-3"/>
        </w:rPr>
        <w:t xml:space="preserve"> </w:t>
      </w:r>
      <w:r>
        <w:t>administrativa,</w:t>
      </w:r>
      <w:r>
        <w:rPr>
          <w:spacing w:val="-1"/>
        </w:rPr>
        <w:t xml:space="preserve"> </w:t>
      </w:r>
      <w:r>
        <w:t>não</w:t>
      </w:r>
      <w:r>
        <w:rPr>
          <w:spacing w:val="-1"/>
        </w:rPr>
        <w:t xml:space="preserve"> </w:t>
      </w:r>
      <w:r>
        <w:t>há</w:t>
      </w:r>
      <w:r>
        <w:rPr>
          <w:spacing w:val="-2"/>
        </w:rPr>
        <w:t xml:space="preserve"> </w:t>
      </w:r>
      <w:r>
        <w:t>exceção,</w:t>
      </w:r>
      <w:r>
        <w:rPr>
          <w:spacing w:val="-1"/>
        </w:rPr>
        <w:t xml:space="preserve"> </w:t>
      </w:r>
      <w:r>
        <w:t>por</w:t>
      </w:r>
      <w:r>
        <w:rPr>
          <w:spacing w:val="-2"/>
        </w:rPr>
        <w:t xml:space="preserve"> </w:t>
      </w:r>
      <w:r>
        <w:t>óbvio,</w:t>
      </w:r>
      <w:r>
        <w:rPr>
          <w:spacing w:val="-1"/>
        </w:rPr>
        <w:t xml:space="preserve"> </w:t>
      </w:r>
      <w:r>
        <w:t>no</w:t>
      </w:r>
      <w:r>
        <w:rPr>
          <w:spacing w:val="-1"/>
        </w:rPr>
        <w:t xml:space="preserve"> </w:t>
      </w:r>
      <w:r>
        <w:t>que tange às compras públicas. Neste aspecto, prevalece o regime jurídico das licitações e contratos, conforme expressa previsão da Carta Magna, que, em seu artigo 37, inciso XXI, assim dispõe:</w:t>
      </w:r>
    </w:p>
    <w:p w:rsidR="007259F2" w:rsidRDefault="00E655B4">
      <w:pPr>
        <w:spacing w:before="275"/>
        <w:ind w:left="2978" w:right="987"/>
        <w:jc w:val="both"/>
        <w:rPr>
          <w:sz w:val="20"/>
        </w:rPr>
      </w:pPr>
      <w:r>
        <w:rPr>
          <w:sz w:val="20"/>
        </w:rPr>
        <w:t>Art. 37. A administração pública direta e indireta de qualquer dos Poderes da União, dos Estados, do Distrito Federal e dos Municípios obedecerá aos princípios de legalidade, impessoalidade, moralidade, publicidade e</w:t>
      </w:r>
      <w:r>
        <w:rPr>
          <w:spacing w:val="80"/>
          <w:sz w:val="20"/>
        </w:rPr>
        <w:t xml:space="preserve"> </w:t>
      </w:r>
      <w:r>
        <w:rPr>
          <w:sz w:val="20"/>
        </w:rPr>
        <w:t>eficiência e, também, ao seguinte: (...)</w:t>
      </w:r>
    </w:p>
    <w:p w:rsidR="007259F2" w:rsidRDefault="00E655B4">
      <w:pPr>
        <w:spacing w:before="1"/>
        <w:ind w:left="2978" w:right="988"/>
        <w:jc w:val="both"/>
        <w:rPr>
          <w:sz w:val="20"/>
        </w:rPr>
      </w:pPr>
      <w:r>
        <w:rPr>
          <w:sz w:val="20"/>
        </w:rPr>
        <w:t>XXI - ressalvados os casos especificados na legislação, as obras, serviços, compras e alienações serão contratados mediante processo de licitação</w:t>
      </w:r>
      <w:r>
        <w:rPr>
          <w:spacing w:val="40"/>
          <w:sz w:val="20"/>
        </w:rPr>
        <w:t xml:space="preserve"> </w:t>
      </w:r>
      <w:r>
        <w:rPr>
          <w:sz w:val="20"/>
        </w:rPr>
        <w:t>pública que assegure igualdade de condições a todos os concorrentes, com cláusulas que estabeleçam obrigações de pagamento, mantidas as condições efetivas da proposta, nos termos da lei,</w:t>
      </w:r>
      <w:r>
        <w:rPr>
          <w:spacing w:val="40"/>
          <w:sz w:val="20"/>
        </w:rPr>
        <w:t xml:space="preserve"> </w:t>
      </w:r>
      <w:r>
        <w:rPr>
          <w:sz w:val="20"/>
        </w:rPr>
        <w:t>o</w:t>
      </w:r>
      <w:r>
        <w:rPr>
          <w:spacing w:val="40"/>
          <w:sz w:val="20"/>
        </w:rPr>
        <w:t xml:space="preserve"> </w:t>
      </w:r>
      <w:r>
        <w:rPr>
          <w:sz w:val="20"/>
        </w:rPr>
        <w:t>qual</w:t>
      </w:r>
      <w:r>
        <w:rPr>
          <w:spacing w:val="40"/>
          <w:sz w:val="20"/>
        </w:rPr>
        <w:t xml:space="preserve"> </w:t>
      </w:r>
      <w:r>
        <w:rPr>
          <w:sz w:val="20"/>
        </w:rPr>
        <w:t>somente</w:t>
      </w:r>
      <w:r>
        <w:rPr>
          <w:spacing w:val="40"/>
          <w:sz w:val="20"/>
        </w:rPr>
        <w:t xml:space="preserve"> </w:t>
      </w:r>
      <w:r>
        <w:rPr>
          <w:sz w:val="20"/>
        </w:rPr>
        <w:t>permitirá</w:t>
      </w:r>
      <w:r>
        <w:rPr>
          <w:spacing w:val="40"/>
          <w:sz w:val="20"/>
        </w:rPr>
        <w:t xml:space="preserve"> </w:t>
      </w:r>
      <w:r>
        <w:rPr>
          <w:sz w:val="20"/>
        </w:rPr>
        <w:t>as exigências</w:t>
      </w:r>
      <w:r>
        <w:rPr>
          <w:spacing w:val="40"/>
          <w:sz w:val="20"/>
        </w:rPr>
        <w:t xml:space="preserve"> </w:t>
      </w:r>
      <w:r>
        <w:rPr>
          <w:sz w:val="20"/>
        </w:rPr>
        <w:t>de</w:t>
      </w:r>
      <w:r>
        <w:rPr>
          <w:spacing w:val="40"/>
          <w:sz w:val="20"/>
        </w:rPr>
        <w:t xml:space="preserve"> </w:t>
      </w:r>
      <w:r>
        <w:rPr>
          <w:sz w:val="20"/>
        </w:rPr>
        <w:t>qualificação</w:t>
      </w:r>
      <w:r>
        <w:rPr>
          <w:spacing w:val="40"/>
          <w:sz w:val="20"/>
        </w:rPr>
        <w:t xml:space="preserve"> </w:t>
      </w:r>
      <w:r>
        <w:rPr>
          <w:sz w:val="20"/>
        </w:rPr>
        <w:t>técnica</w:t>
      </w:r>
      <w:r>
        <w:rPr>
          <w:spacing w:val="40"/>
          <w:sz w:val="20"/>
        </w:rPr>
        <w:t xml:space="preserve"> </w:t>
      </w:r>
      <w:r>
        <w:rPr>
          <w:sz w:val="20"/>
        </w:rPr>
        <w:t>e</w:t>
      </w:r>
      <w:r>
        <w:rPr>
          <w:spacing w:val="40"/>
          <w:sz w:val="20"/>
        </w:rPr>
        <w:t xml:space="preserve"> </w:t>
      </w:r>
      <w:r>
        <w:rPr>
          <w:sz w:val="20"/>
        </w:rPr>
        <w:t>econômica</w:t>
      </w:r>
      <w:r>
        <w:rPr>
          <w:spacing w:val="26"/>
          <w:sz w:val="20"/>
        </w:rPr>
        <w:t xml:space="preserve"> </w:t>
      </w:r>
      <w:r>
        <w:rPr>
          <w:sz w:val="20"/>
        </w:rPr>
        <w:t>indispensáveis à garantia do cumprimento das obrigações. (BRASIL, 1988)</w:t>
      </w:r>
    </w:p>
    <w:p w:rsidR="007259F2" w:rsidRDefault="00E655B4">
      <w:pPr>
        <w:pStyle w:val="Corpodetexto"/>
        <w:spacing w:before="228"/>
        <w:ind w:right="994"/>
      </w:pPr>
      <w:r>
        <w:t>De tal dispositivo extraem-se os principais aspectos da licitação, que também estão destacados no seguinte conceito apresentado por Di Pietro (2023, p. 407):</w:t>
      </w:r>
    </w:p>
    <w:p w:rsidR="007259F2" w:rsidRDefault="007259F2">
      <w:pPr>
        <w:pStyle w:val="Corpodetexto"/>
        <w:spacing w:before="1"/>
        <w:ind w:left="0" w:firstLine="0"/>
        <w:jc w:val="left"/>
      </w:pPr>
    </w:p>
    <w:p w:rsidR="007259F2" w:rsidRDefault="00E655B4">
      <w:pPr>
        <w:ind w:left="2978" w:right="991"/>
        <w:jc w:val="both"/>
        <w:rPr>
          <w:sz w:val="20"/>
        </w:rPr>
      </w:pPr>
      <w:r>
        <w:rPr>
          <w:sz w:val="20"/>
        </w:rPr>
        <w:t>pode-se definir a licitação como o procedimento administrativo pelo qual um ente público, no exercício da função administrativa, abre a todos os interessados, que se sujeitem às condições fixadas no instrumento convocatório, a possibilidade de formularem propostas dentre as quais selecionará e aceitará a mais conveniente para a celebração de contrato.</w:t>
      </w:r>
    </w:p>
    <w:p w:rsidR="007259F2" w:rsidRDefault="00E655B4">
      <w:pPr>
        <w:pStyle w:val="Corpodetexto"/>
        <w:spacing w:before="119"/>
        <w:ind w:right="989"/>
      </w:pPr>
      <w:r>
        <w:t>Em linhas gerais, verifica-se que a licitação é o procedimento legalmente estabelecido, a ser observado pelo Estado nas compras e alienações públicas, que visa, por um lado,</w:t>
      </w:r>
      <w:r>
        <w:rPr>
          <w:spacing w:val="40"/>
        </w:rPr>
        <w:t xml:space="preserve"> </w:t>
      </w:r>
      <w:r>
        <w:t>garantir a concorrência entre os interessados de forma isonômica e, por outro, garantir a melhor contratação à Administração.</w:t>
      </w:r>
    </w:p>
    <w:p w:rsidR="007259F2" w:rsidRDefault="00E655B4">
      <w:pPr>
        <w:pStyle w:val="Corpodetexto"/>
        <w:spacing w:before="1"/>
        <w:ind w:right="991"/>
      </w:pPr>
      <w:r>
        <w:t>E, nesse sentido, para atendimento das diretrizes constitucionais, estabeleceu-se</w:t>
      </w:r>
      <w:r>
        <w:rPr>
          <w:spacing w:val="40"/>
        </w:rPr>
        <w:t xml:space="preserve"> </w:t>
      </w:r>
      <w:r>
        <w:t>o regime jurídico das licitações, notadamente disposto na Lei Federal nº 14.133/2021, exarada nos termos da competência privativa atribuída à União para legislar sobre normas gerais de licitação pelo artigo 22, inciso XXVII, da Constituição da República. Como é sabido, o</w:t>
      </w:r>
      <w:r>
        <w:rPr>
          <w:spacing w:val="40"/>
        </w:rPr>
        <w:t xml:space="preserve"> </w:t>
      </w:r>
      <w:r>
        <w:t>regime jurídico das licitações fora disciplinado, por quase trinta anos, pela Lei Federal nº 8.666/1993 e outras normas correlatas. Sobreveio, recentemente, a referida Lei Federal nº 14.133/2021, trazendo um novo regramento ao tema.</w:t>
      </w:r>
    </w:p>
    <w:p w:rsidR="007259F2" w:rsidRDefault="007259F2">
      <w:pPr>
        <w:pStyle w:val="Corpodetexto"/>
        <w:sectPr w:rsidR="007259F2">
          <w:pgSz w:w="11910" w:h="16840"/>
          <w:pgMar w:top="1320" w:right="708" w:bottom="1160" w:left="992" w:header="0" w:footer="962" w:gutter="0"/>
          <w:cols w:space="720"/>
        </w:sectPr>
      </w:pPr>
    </w:p>
    <w:p w:rsidR="007259F2" w:rsidRDefault="00E655B4">
      <w:pPr>
        <w:pStyle w:val="Corpodetexto"/>
        <w:spacing w:before="69"/>
        <w:ind w:right="994"/>
      </w:pPr>
      <w:r>
        <w:lastRenderedPageBreak/>
        <w:t>O regime jurídico das contratações públicas é composto por uma variedade de princípios, que na Lei Federal nº 14.133/2021 foram elencados no artigo 5º, nos seguintes termos:</w:t>
      </w:r>
    </w:p>
    <w:p w:rsidR="007259F2" w:rsidRDefault="00E655B4">
      <w:pPr>
        <w:spacing w:before="2"/>
        <w:ind w:left="2978" w:right="987"/>
        <w:jc w:val="both"/>
        <w:rPr>
          <w:sz w:val="20"/>
        </w:rPr>
      </w:pPr>
      <w:r>
        <w:rPr>
          <w:sz w:val="20"/>
        </w:rPr>
        <w:t>Art. 5º Na aplicação desta Lei, serão observados os princípios da legalidade, da impessoalidade, da moralidade, da publicidade, da eficiência, do interesse público,</w:t>
      </w:r>
      <w:r>
        <w:rPr>
          <w:spacing w:val="40"/>
          <w:sz w:val="20"/>
        </w:rPr>
        <w:t xml:space="preserve"> </w:t>
      </w:r>
      <w:r>
        <w:rPr>
          <w:sz w:val="20"/>
        </w:rPr>
        <w:t>da probidade administrativa, da igualdade, do planejamento, da transparência, da eficácia, da segregação de funções, da motivação, da vinculação ao edital, do julgamento objetivo, da segurança jurídica, da razoabilidade, da competitividade, da proporcionalidade, da celeridade, da economicidade e do desenvolvimento nacional sustentável, assim como as disposições do Decreto-Lei nº 4.657, de 4 de setembro</w:t>
      </w:r>
      <w:r>
        <w:rPr>
          <w:spacing w:val="40"/>
          <w:sz w:val="20"/>
        </w:rPr>
        <w:t xml:space="preserve"> </w:t>
      </w:r>
      <w:r>
        <w:rPr>
          <w:sz w:val="20"/>
        </w:rPr>
        <w:t>de 1942. (Lei de Introdução às Normas do Direito Brasileiro)</w:t>
      </w:r>
    </w:p>
    <w:p w:rsidR="007259F2" w:rsidRDefault="007259F2">
      <w:pPr>
        <w:pStyle w:val="Corpodetexto"/>
        <w:ind w:left="0" w:firstLine="0"/>
        <w:jc w:val="left"/>
        <w:rPr>
          <w:sz w:val="20"/>
        </w:rPr>
      </w:pPr>
    </w:p>
    <w:p w:rsidR="007259F2" w:rsidRDefault="00E655B4">
      <w:pPr>
        <w:pStyle w:val="Corpodetexto"/>
        <w:spacing w:before="1"/>
        <w:ind w:right="994"/>
      </w:pPr>
      <w:r>
        <w:t>Como se observa, a norma federal foi profusa ao elencar uma série de princípios que devem reger o procedimento licitatório. Dos mais de vinte princípios elencados, muitos são basilares da atividade administrativa como um todo, não sendo específicos do procedimento licitatório. Como princípios próprios da licitação, que têm mais especificidade com o tema e, portanto, merecem destaque, é possível citar os princípios da igualdade, do planejamento, da segregação de funções, da vinculação ao edital, do julgamento objetivo e da competitividade.</w:t>
      </w:r>
    </w:p>
    <w:p w:rsidR="007259F2" w:rsidRDefault="00E655B4">
      <w:pPr>
        <w:pStyle w:val="Corpodetexto"/>
        <w:ind w:right="990"/>
      </w:pPr>
      <w:r>
        <w:t>Como destaca Di Pietro (2023, p. 412), o princípio da igualdade “constitui um dos alicerces da licitação”. Tal princípio se revela, especialmente, na necessidade de tratamento igualitário entre os licitantes, impedindo tratamentos discriminatórios que prejudiquem a concorrência e/ou representem favorecimento a determinados interessados no certame.</w:t>
      </w:r>
    </w:p>
    <w:p w:rsidR="007259F2" w:rsidRDefault="00E655B4">
      <w:pPr>
        <w:pStyle w:val="Corpodetexto"/>
        <w:ind w:right="992"/>
      </w:pPr>
      <w:r>
        <w:t>O princípio do planejamento merece destaque, pois é um ponto ao qual a nova norma de licitações optou por dar maior importância. Trata-se de uma diretriz ao administrador público que permeia toda a lei, presente na busca de mecanismos que visam dar maior eficiência, eficácia e efetividade às compras públicas, tanto sob a ótica da própria Administração (melhoramento interno), quanto sob a ótica externa, pela perspectiva da atividade licitatória enquanto fomentadora e reguladora de atividades comerciais (NOHARA, 2023, p. 316/317).</w:t>
      </w:r>
    </w:p>
    <w:p w:rsidR="007259F2" w:rsidRDefault="00E655B4">
      <w:pPr>
        <w:pStyle w:val="Corpodetexto"/>
        <w:ind w:right="992"/>
      </w:pPr>
      <w:r>
        <w:t>Também é novidade da nova norma o princípio da segregação de funções, que não era previsto na lei anterior (Lei Federal 8.666/1993). Conforme explica Nohara (2023, p. 317), tal princípio “implica a separação de funções, sendo divididas para distintos agentes: a autorização, a execução e o controle, com a finalidade de evitar conflito</w:t>
      </w:r>
      <w:r>
        <w:rPr>
          <w:spacing w:val="-3"/>
        </w:rPr>
        <w:t xml:space="preserve"> </w:t>
      </w:r>
      <w:r>
        <w:t>de</w:t>
      </w:r>
      <w:r>
        <w:rPr>
          <w:spacing w:val="-4"/>
        </w:rPr>
        <w:t xml:space="preserve"> </w:t>
      </w:r>
      <w:r>
        <w:t>interesses”,</w:t>
      </w:r>
      <w:r>
        <w:rPr>
          <w:spacing w:val="-1"/>
        </w:rPr>
        <w:t xml:space="preserve"> </w:t>
      </w:r>
      <w:r>
        <w:t>complementando</w:t>
      </w:r>
      <w:r>
        <w:rPr>
          <w:spacing w:val="-3"/>
        </w:rPr>
        <w:t xml:space="preserve"> </w:t>
      </w:r>
      <w:r>
        <w:t>que</w:t>
      </w:r>
      <w:r>
        <w:rPr>
          <w:spacing w:val="-5"/>
        </w:rPr>
        <w:t xml:space="preserve"> </w:t>
      </w:r>
      <w:r>
        <w:t>tal</w:t>
      </w:r>
      <w:r>
        <w:rPr>
          <w:spacing w:val="-3"/>
        </w:rPr>
        <w:t xml:space="preserve"> </w:t>
      </w:r>
      <w:r>
        <w:t>previsão</w:t>
      </w:r>
      <w:r>
        <w:rPr>
          <w:spacing w:val="-3"/>
        </w:rPr>
        <w:t xml:space="preserve"> </w:t>
      </w:r>
      <w:r>
        <w:t>tem</w:t>
      </w:r>
      <w:r>
        <w:rPr>
          <w:spacing w:val="-3"/>
        </w:rPr>
        <w:t xml:space="preserve"> </w:t>
      </w:r>
      <w:r>
        <w:t>por</w:t>
      </w:r>
      <w:r>
        <w:rPr>
          <w:spacing w:val="-3"/>
        </w:rPr>
        <w:t xml:space="preserve"> </w:t>
      </w:r>
      <w:r>
        <w:t>objeto</w:t>
      </w:r>
      <w:r>
        <w:rPr>
          <w:spacing w:val="-3"/>
        </w:rPr>
        <w:t xml:space="preserve"> </w:t>
      </w:r>
      <w:r>
        <w:t>evitar</w:t>
      </w:r>
      <w:r>
        <w:rPr>
          <w:spacing w:val="-3"/>
        </w:rPr>
        <w:t xml:space="preserve"> </w:t>
      </w:r>
      <w:r>
        <w:t>que</w:t>
      </w:r>
      <w:r>
        <w:rPr>
          <w:spacing w:val="-3"/>
        </w:rPr>
        <w:t xml:space="preserve"> </w:t>
      </w:r>
      <w:r>
        <w:t>erros e fraudes sejam perpetrados nos curso do desempenho da função, visando assegurar maior controle ao longo do procedimento.</w:t>
      </w:r>
    </w:p>
    <w:p w:rsidR="007259F2" w:rsidRDefault="00E655B4">
      <w:pPr>
        <w:pStyle w:val="Corpodetexto"/>
        <w:ind w:right="988"/>
      </w:pPr>
      <w:r>
        <w:t>Quanto aos princípios da vinculação ao edital e do julgamento objetivo, tratam- se de princípios próprios do procedimento licitatório, decorrentes do princípio da legalidade, e essenciais à licitação. Enquanto o primeiro refere-se à obrigatoriedade de observância do instrumento convocatório, tanto pela Administração quanto pelos licitantes, o segundo</w:t>
      </w:r>
      <w:r>
        <w:rPr>
          <w:spacing w:val="40"/>
        </w:rPr>
        <w:t xml:space="preserve"> </w:t>
      </w:r>
      <w:r>
        <w:t>ressalta a obrigatoriedade de julgamento das propostas por</w:t>
      </w:r>
      <w:r>
        <w:rPr>
          <w:spacing w:val="40"/>
        </w:rPr>
        <w:t xml:space="preserve"> </w:t>
      </w:r>
      <w:r>
        <w:t>critérios pré-estabelecidos no edital, assegurando sua aferição pelos licitantes e pelos órgãos de controle (DI PIETRO, 2023, p. 419).</w:t>
      </w:r>
    </w:p>
    <w:p w:rsidR="007259F2" w:rsidRDefault="00E655B4">
      <w:pPr>
        <w:pStyle w:val="Corpodetexto"/>
        <w:ind w:right="989"/>
      </w:pPr>
      <w:r>
        <w:t>Outro princípio essencial da licitação, muito vinculado ao acima tratado</w:t>
      </w:r>
      <w:r>
        <w:rPr>
          <w:spacing w:val="40"/>
        </w:rPr>
        <w:t xml:space="preserve"> </w:t>
      </w:r>
      <w:r>
        <w:t>princípio da igualdade, é o princípio da competitividade, o qual busca garantir a obtenção da melhor proposta pela Administração. Como explica Oliveira (2023, p.38), “referido princípio deve servir, ainda, como norte interpretativo das cláusulas</w:t>
      </w:r>
      <w:r>
        <w:rPr>
          <w:spacing w:val="40"/>
        </w:rPr>
        <w:t xml:space="preserve"> </w:t>
      </w:r>
      <w:r>
        <w:t>editalícias, de maneira a aumentar o universo de competidores”, acrescentando que:</w:t>
      </w:r>
    </w:p>
    <w:p w:rsidR="007259F2" w:rsidRDefault="007259F2">
      <w:pPr>
        <w:pStyle w:val="Corpodetexto"/>
        <w:sectPr w:rsidR="007259F2">
          <w:pgSz w:w="11910" w:h="16840"/>
          <w:pgMar w:top="1320" w:right="708" w:bottom="1160" w:left="992" w:header="0" w:footer="962" w:gutter="0"/>
          <w:cols w:space="720"/>
        </w:sectPr>
      </w:pPr>
    </w:p>
    <w:p w:rsidR="007259F2" w:rsidRDefault="00E655B4">
      <w:pPr>
        <w:spacing w:before="71"/>
        <w:ind w:left="2978" w:right="994"/>
        <w:jc w:val="both"/>
        <w:rPr>
          <w:sz w:val="20"/>
        </w:rPr>
      </w:pPr>
      <w:r>
        <w:rPr>
          <w:sz w:val="20"/>
        </w:rPr>
        <w:lastRenderedPageBreak/>
        <w:t>A competitividade nas licitações públicas, com a implementação de ampla concorrência entre interessados, impõe a adoção de regras editalícias e contratuais que promovam a ampla participação de potenciais interessados, inclusive com a adoção de exigências que inibam a corrupção e conluios, tal como</w:t>
      </w:r>
      <w:r>
        <w:rPr>
          <w:spacing w:val="-5"/>
          <w:sz w:val="20"/>
        </w:rPr>
        <w:t xml:space="preserve"> </w:t>
      </w:r>
      <w:r>
        <w:rPr>
          <w:sz w:val="20"/>
        </w:rPr>
        <w:t>a</w:t>
      </w:r>
      <w:r>
        <w:rPr>
          <w:spacing w:val="-3"/>
          <w:sz w:val="20"/>
        </w:rPr>
        <w:t xml:space="preserve"> </w:t>
      </w:r>
      <w:r>
        <w:rPr>
          <w:sz w:val="20"/>
        </w:rPr>
        <w:t>formação</w:t>
      </w:r>
      <w:r>
        <w:rPr>
          <w:spacing w:val="-5"/>
          <w:sz w:val="20"/>
        </w:rPr>
        <w:t xml:space="preserve"> </w:t>
      </w:r>
      <w:r>
        <w:rPr>
          <w:sz w:val="20"/>
        </w:rPr>
        <w:t>de</w:t>
      </w:r>
      <w:r>
        <w:rPr>
          <w:spacing w:val="-5"/>
          <w:sz w:val="20"/>
        </w:rPr>
        <w:t xml:space="preserve"> </w:t>
      </w:r>
      <w:r>
        <w:rPr>
          <w:sz w:val="20"/>
        </w:rPr>
        <w:t>cartéis</w:t>
      </w:r>
      <w:r>
        <w:rPr>
          <w:spacing w:val="-6"/>
          <w:sz w:val="20"/>
        </w:rPr>
        <w:t xml:space="preserve"> </w:t>
      </w:r>
      <w:r>
        <w:rPr>
          <w:sz w:val="20"/>
        </w:rPr>
        <w:t>entre</w:t>
      </w:r>
      <w:r>
        <w:rPr>
          <w:spacing w:val="-5"/>
          <w:sz w:val="20"/>
        </w:rPr>
        <w:t xml:space="preserve"> </w:t>
      </w:r>
      <w:r>
        <w:rPr>
          <w:sz w:val="20"/>
        </w:rPr>
        <w:t>os</w:t>
      </w:r>
      <w:r>
        <w:rPr>
          <w:spacing w:val="-7"/>
          <w:sz w:val="20"/>
        </w:rPr>
        <w:t xml:space="preserve"> </w:t>
      </w:r>
      <w:r>
        <w:rPr>
          <w:sz w:val="20"/>
        </w:rPr>
        <w:t>participantes</w:t>
      </w:r>
      <w:r>
        <w:rPr>
          <w:spacing w:val="-6"/>
          <w:sz w:val="20"/>
        </w:rPr>
        <w:t xml:space="preserve"> </w:t>
      </w:r>
      <w:r>
        <w:rPr>
          <w:sz w:val="20"/>
        </w:rPr>
        <w:t>do</w:t>
      </w:r>
      <w:r>
        <w:rPr>
          <w:spacing w:val="-4"/>
          <w:sz w:val="20"/>
        </w:rPr>
        <w:t xml:space="preserve"> </w:t>
      </w:r>
      <w:r>
        <w:rPr>
          <w:sz w:val="20"/>
        </w:rPr>
        <w:t>procedimento</w:t>
      </w:r>
      <w:r>
        <w:rPr>
          <w:spacing w:val="-4"/>
          <w:sz w:val="20"/>
        </w:rPr>
        <w:t xml:space="preserve"> </w:t>
      </w:r>
      <w:r>
        <w:rPr>
          <w:spacing w:val="-2"/>
          <w:sz w:val="20"/>
        </w:rPr>
        <w:t>licitatório.</w:t>
      </w:r>
    </w:p>
    <w:p w:rsidR="007259F2" w:rsidRDefault="007259F2">
      <w:pPr>
        <w:pStyle w:val="Corpodetexto"/>
        <w:spacing w:before="47"/>
        <w:ind w:left="0" w:firstLine="0"/>
        <w:jc w:val="left"/>
        <w:rPr>
          <w:sz w:val="20"/>
        </w:rPr>
      </w:pPr>
    </w:p>
    <w:p w:rsidR="007259F2" w:rsidRDefault="00E655B4">
      <w:pPr>
        <w:pStyle w:val="Corpodetexto"/>
        <w:ind w:right="992"/>
      </w:pPr>
      <w:r>
        <w:t>Com estas breves explanações introdutórias, é possível conformar a base do regime jurídico das contratações públicas. De modo a assegurar a observância de tal regime, impõe-se à Administração Pública a utilização, como regra, do procedimento legalmente estabelecido em suas contratações, qual seja, a licitação.</w:t>
      </w:r>
    </w:p>
    <w:p w:rsidR="007259F2" w:rsidRDefault="00E655B4">
      <w:pPr>
        <w:pStyle w:val="Corpodetexto"/>
        <w:ind w:right="987"/>
      </w:pPr>
      <w:r>
        <w:t>Como será adiante tratado, tal procedimento será aplicado, nos termos do mandamento constitucional, “</w:t>
      </w:r>
      <w:r>
        <w:rPr>
          <w:i/>
        </w:rPr>
        <w:t>ressalvados os casos especificados na legislação</w:t>
      </w:r>
      <w:r>
        <w:t>”. Em</w:t>
      </w:r>
      <w:r>
        <w:rPr>
          <w:spacing w:val="40"/>
        </w:rPr>
        <w:t xml:space="preserve"> </w:t>
      </w:r>
      <w:r>
        <w:t xml:space="preserve">tais casos, em que a licitação seja impossível ou inadequada para a satisfação do interesse público, será adotado o procedimento de contratação direta, objeto deste </w:t>
      </w:r>
      <w:r>
        <w:rPr>
          <w:spacing w:val="-2"/>
        </w:rPr>
        <w:t>estudo.</w:t>
      </w:r>
    </w:p>
    <w:p w:rsidR="007259F2" w:rsidRDefault="00E655B4">
      <w:pPr>
        <w:pStyle w:val="Corpodetexto"/>
        <w:ind w:right="987"/>
      </w:pPr>
      <w:r>
        <w:t>Importa, entretanto, desde já asseverar que o que se afasta é o procedimento da licitação, mas não o regime jurídico das contratações públicas, ao qual o procedimento de contratação direta, ainda que mais simples que as modalidades licitatórias, também deve obediência. Assim, ainda que seja um procedimento mais simplificado que a licitação, a contratação direta submete-se às formalidades legalmente exigidas e, como não poderia deixar de ser, aos princípios jurídicos que regem as compras pública.</w:t>
      </w:r>
    </w:p>
    <w:p w:rsidR="007259F2" w:rsidRDefault="00E655B4">
      <w:pPr>
        <w:pStyle w:val="Corpodetexto"/>
        <w:ind w:right="992"/>
      </w:pPr>
      <w:r>
        <w:t>O</w:t>
      </w:r>
      <w:r>
        <w:rPr>
          <w:spacing w:val="-2"/>
        </w:rPr>
        <w:t xml:space="preserve"> </w:t>
      </w:r>
      <w:r>
        <w:t>estudo</w:t>
      </w:r>
      <w:r>
        <w:rPr>
          <w:spacing w:val="-1"/>
        </w:rPr>
        <w:t xml:space="preserve"> </w:t>
      </w:r>
      <w:r>
        <w:t>do procedimento</w:t>
      </w:r>
      <w:r>
        <w:rPr>
          <w:spacing w:val="-1"/>
        </w:rPr>
        <w:t xml:space="preserve"> </w:t>
      </w:r>
      <w:r>
        <w:t>ganha</w:t>
      </w:r>
      <w:r>
        <w:rPr>
          <w:spacing w:val="-2"/>
        </w:rPr>
        <w:t xml:space="preserve"> </w:t>
      </w:r>
      <w:r>
        <w:t>maior relevância quando</w:t>
      </w:r>
      <w:r>
        <w:rPr>
          <w:spacing w:val="-1"/>
        </w:rPr>
        <w:t xml:space="preserve"> </w:t>
      </w:r>
      <w:r>
        <w:t>se</w:t>
      </w:r>
      <w:r>
        <w:rPr>
          <w:spacing w:val="-2"/>
        </w:rPr>
        <w:t xml:space="preserve"> </w:t>
      </w:r>
      <w:r>
        <w:t>observa,</w:t>
      </w:r>
      <w:r>
        <w:rPr>
          <w:spacing w:val="-1"/>
        </w:rPr>
        <w:t xml:space="preserve"> </w:t>
      </w:r>
      <w:r>
        <w:t>a partir</w:t>
      </w:r>
      <w:r>
        <w:rPr>
          <w:spacing w:val="-2"/>
        </w:rPr>
        <w:t xml:space="preserve"> </w:t>
      </w:r>
      <w:r>
        <w:t>de dados oficiais, que a contratação direta é amplamente utilizada pela Administração Pública, representando, muitas vezes, um número de compras superior àquelas em que se aplica o procedimento licitatório. Dessa forma, o maior exame das contratações diretas, de modo a estabelecer maiores requisitos, limites e diretrizes ao procedimento, orientará os agentes públicos em sua condução e contribuirá para um aperfeiçoamento das contratações públicas.</w:t>
      </w:r>
    </w:p>
    <w:p w:rsidR="007259F2" w:rsidRDefault="00E655B4">
      <w:pPr>
        <w:pStyle w:val="Heading2"/>
        <w:numPr>
          <w:ilvl w:val="0"/>
          <w:numId w:val="43"/>
        </w:numPr>
        <w:tabs>
          <w:tab w:val="left" w:pos="890"/>
        </w:tabs>
        <w:spacing w:before="205"/>
        <w:ind w:left="890" w:hanging="180"/>
      </w:pPr>
      <w:r>
        <w:t>Contratação</w:t>
      </w:r>
      <w:r>
        <w:rPr>
          <w:spacing w:val="-5"/>
        </w:rPr>
        <w:t xml:space="preserve"> </w:t>
      </w:r>
      <w:r>
        <w:t>direta:</w:t>
      </w:r>
      <w:r>
        <w:rPr>
          <w:spacing w:val="-4"/>
        </w:rPr>
        <w:t xml:space="preserve"> </w:t>
      </w:r>
      <w:r>
        <w:t>conceito</w:t>
      </w:r>
      <w:r>
        <w:rPr>
          <w:spacing w:val="-1"/>
        </w:rPr>
        <w:t xml:space="preserve"> </w:t>
      </w:r>
      <w:r>
        <w:t>e</w:t>
      </w:r>
      <w:r>
        <w:rPr>
          <w:spacing w:val="-5"/>
        </w:rPr>
        <w:t xml:space="preserve"> </w:t>
      </w:r>
      <w:r>
        <w:rPr>
          <w:spacing w:val="-2"/>
        </w:rPr>
        <w:t>hipóteses</w:t>
      </w:r>
    </w:p>
    <w:p w:rsidR="007259F2" w:rsidRDefault="00E655B4">
      <w:pPr>
        <w:pStyle w:val="Corpodetexto"/>
        <w:spacing w:before="156"/>
        <w:ind w:right="997"/>
      </w:pPr>
      <w:r>
        <w:t>Como visto, a Constituição Federal estabelece que as obras, serviços, compras e alienações serão contratados mediante processo de licitação pública, ressalvados os casos especificados na legislação. Assim, a norma constitucional permite que a legislação preveja casos em que a licitação deixa de ser obrigatória. Para tais casos, em que não se aplica o processo de licitação, aplica-se a chamada contratação direta.</w:t>
      </w:r>
    </w:p>
    <w:p w:rsidR="007259F2" w:rsidRDefault="00E655B4">
      <w:pPr>
        <w:pStyle w:val="Corpodetexto"/>
        <w:ind w:right="989"/>
      </w:pPr>
      <w:r>
        <w:t>O fundamento jurídico para existência de tais hipóteses em que a licitação é afastada</w:t>
      </w:r>
      <w:r>
        <w:rPr>
          <w:spacing w:val="-2"/>
        </w:rPr>
        <w:t xml:space="preserve"> </w:t>
      </w:r>
      <w:r>
        <w:t>pode ser extraído</w:t>
      </w:r>
      <w:r>
        <w:rPr>
          <w:spacing w:val="-1"/>
        </w:rPr>
        <w:t xml:space="preserve"> </w:t>
      </w:r>
      <w:r>
        <w:t>do</w:t>
      </w:r>
      <w:r>
        <w:rPr>
          <w:spacing w:val="-1"/>
        </w:rPr>
        <w:t xml:space="preserve"> </w:t>
      </w:r>
      <w:r>
        <w:t>seguinte excerto</w:t>
      </w:r>
      <w:r>
        <w:rPr>
          <w:spacing w:val="-2"/>
        </w:rPr>
        <w:t xml:space="preserve"> </w:t>
      </w:r>
      <w:r>
        <w:t>extraído</w:t>
      </w:r>
      <w:r>
        <w:rPr>
          <w:spacing w:val="-1"/>
        </w:rPr>
        <w:t xml:space="preserve"> </w:t>
      </w:r>
      <w:r>
        <w:t>das</w:t>
      </w:r>
      <w:r>
        <w:rPr>
          <w:spacing w:val="-1"/>
        </w:rPr>
        <w:t xml:space="preserve"> </w:t>
      </w:r>
      <w:r>
        <w:t>lições</w:t>
      </w:r>
      <w:r>
        <w:rPr>
          <w:spacing w:val="-1"/>
        </w:rPr>
        <w:t xml:space="preserve"> </w:t>
      </w:r>
      <w:r>
        <w:t>de Justen</w:t>
      </w:r>
      <w:r>
        <w:rPr>
          <w:spacing w:val="-2"/>
        </w:rPr>
        <w:t xml:space="preserve"> </w:t>
      </w:r>
      <w:r>
        <w:t>Filho (2021, p. 938) sobre o tema:</w:t>
      </w:r>
    </w:p>
    <w:p w:rsidR="007259F2" w:rsidRDefault="00E655B4">
      <w:pPr>
        <w:spacing w:before="2"/>
        <w:ind w:left="2978" w:right="996"/>
        <w:jc w:val="both"/>
        <w:rPr>
          <w:sz w:val="20"/>
        </w:rPr>
      </w:pPr>
      <w:r>
        <w:rPr>
          <w:sz w:val="20"/>
        </w:rPr>
        <w:t>Admite-se que a licitação é um pressuposto do desempenho satisfatório pelo Estado das funções administrativas a ele atribuídas.</w:t>
      </w:r>
    </w:p>
    <w:p w:rsidR="007259F2" w:rsidRDefault="00E655B4">
      <w:pPr>
        <w:ind w:left="2978" w:right="995"/>
        <w:jc w:val="both"/>
        <w:rPr>
          <w:sz w:val="20"/>
        </w:rPr>
      </w:pPr>
      <w:r>
        <w:rPr>
          <w:sz w:val="20"/>
        </w:rPr>
        <w:t>No entanto, existem hipóteses em que a licitação formal seria impossível ou frustraria a realização adequada das funções estatais.</w:t>
      </w:r>
    </w:p>
    <w:p w:rsidR="007259F2" w:rsidRDefault="00E655B4">
      <w:pPr>
        <w:ind w:left="2978" w:right="992"/>
        <w:jc w:val="both"/>
        <w:rPr>
          <w:sz w:val="20"/>
        </w:rPr>
      </w:pPr>
      <w:r>
        <w:rPr>
          <w:sz w:val="20"/>
        </w:rPr>
        <w:t>O procedimento licitatório conduziria ao sacrifício dos fins buscados pelo Estado e não asseguraria a contratação mais vantajosa. Por isso, autoriza-se a Administração a implementar outro procedimento, em que formalidades são suprimidas ou substituídas por outras.</w:t>
      </w:r>
    </w:p>
    <w:p w:rsidR="007259F2" w:rsidRDefault="00E655B4">
      <w:pPr>
        <w:pStyle w:val="Corpodetexto"/>
        <w:spacing w:before="228"/>
        <w:ind w:right="992"/>
      </w:pPr>
      <w:r>
        <w:t>Assim, quando o procedimento licitatório não se mostrar como o instrumento mais favorável à obtenção da melhor contratação, implicando em prejuízos à satisfação do interesse público, o Poder Público poderá contratar independente de licitação.</w:t>
      </w:r>
    </w:p>
    <w:p w:rsidR="007259F2" w:rsidRDefault="007259F2">
      <w:pPr>
        <w:pStyle w:val="Corpodetexto"/>
        <w:sectPr w:rsidR="007259F2">
          <w:pgSz w:w="11910" w:h="16840"/>
          <w:pgMar w:top="1320" w:right="708" w:bottom="1160" w:left="992" w:header="0" w:footer="962" w:gutter="0"/>
          <w:cols w:space="720"/>
        </w:sectPr>
      </w:pPr>
    </w:p>
    <w:p w:rsidR="007259F2" w:rsidRDefault="00E655B4">
      <w:pPr>
        <w:pStyle w:val="Corpodetexto"/>
        <w:spacing w:before="69"/>
        <w:ind w:right="991"/>
      </w:pPr>
      <w:r>
        <w:lastRenderedPageBreak/>
        <w:t>Há dois gêneros de situações em que a licitação deixa de ser obrigatória, sendo eles os casos de inexigibilidade e de dispensa de licitação. A diferença entre ambos é explicada por Celso Antônio Bandeira de Mello (2019, p. 561) nos seguintes termos:</w:t>
      </w:r>
    </w:p>
    <w:p w:rsidR="007259F2" w:rsidRDefault="007259F2">
      <w:pPr>
        <w:pStyle w:val="Corpodetexto"/>
        <w:spacing w:before="2"/>
        <w:ind w:left="0" w:firstLine="0"/>
        <w:jc w:val="left"/>
      </w:pPr>
    </w:p>
    <w:p w:rsidR="007259F2" w:rsidRDefault="00E655B4">
      <w:pPr>
        <w:ind w:left="2978" w:right="991"/>
        <w:jc w:val="both"/>
        <w:rPr>
          <w:sz w:val="20"/>
        </w:rPr>
      </w:pPr>
      <w:r>
        <w:rPr>
          <w:sz w:val="20"/>
        </w:rPr>
        <w:t>Em tese, a dispensa contempla hipóteses em que a licitação seria possível; entretanto, razões de tomo justificam que se deixe de efetuá-las em nome de outros interesses públicos que merecem acolhida. Já, a inexigibilidade resultaria de inviabilidade da competição, dada a singularidade do objeto ou do ofertante, ou mesmo - deve-se acrescentar - por falta dos pressupostos jurídicos ou fáticos da licitação não tomados em conta no arrolamento dos casos de licitação dispensável.</w:t>
      </w:r>
    </w:p>
    <w:p w:rsidR="007259F2" w:rsidRDefault="00E655B4">
      <w:pPr>
        <w:pStyle w:val="Corpodetexto"/>
        <w:spacing w:before="230"/>
        <w:ind w:left="1418" w:firstLine="0"/>
        <w:jc w:val="left"/>
      </w:pPr>
      <w:r>
        <w:t>No</w:t>
      </w:r>
      <w:r>
        <w:rPr>
          <w:spacing w:val="-4"/>
        </w:rPr>
        <w:t xml:space="preserve"> </w:t>
      </w:r>
      <w:r>
        <w:t>mesmo</w:t>
      </w:r>
      <w:r>
        <w:rPr>
          <w:spacing w:val="-1"/>
        </w:rPr>
        <w:t xml:space="preserve"> </w:t>
      </w:r>
      <w:r>
        <w:t>sentido,</w:t>
      </w:r>
      <w:r>
        <w:rPr>
          <w:spacing w:val="-1"/>
        </w:rPr>
        <w:t xml:space="preserve"> </w:t>
      </w:r>
      <w:r>
        <w:t>Di</w:t>
      </w:r>
      <w:r>
        <w:rPr>
          <w:spacing w:val="-3"/>
        </w:rPr>
        <w:t xml:space="preserve"> </w:t>
      </w:r>
      <w:r>
        <w:t>Pietro</w:t>
      </w:r>
      <w:r>
        <w:rPr>
          <w:spacing w:val="-1"/>
        </w:rPr>
        <w:t xml:space="preserve"> </w:t>
      </w:r>
      <w:r>
        <w:t>(2023,</w:t>
      </w:r>
      <w:r>
        <w:rPr>
          <w:spacing w:val="-1"/>
        </w:rPr>
        <w:t xml:space="preserve"> </w:t>
      </w:r>
      <w:r>
        <w:t>p.</w:t>
      </w:r>
      <w:r>
        <w:rPr>
          <w:spacing w:val="-1"/>
        </w:rPr>
        <w:t xml:space="preserve"> </w:t>
      </w:r>
      <w:r>
        <w:t>425)</w:t>
      </w:r>
      <w:r>
        <w:rPr>
          <w:spacing w:val="-2"/>
        </w:rPr>
        <w:t xml:space="preserve"> </w:t>
      </w:r>
      <w:r>
        <w:t xml:space="preserve">assim </w:t>
      </w:r>
      <w:r>
        <w:rPr>
          <w:spacing w:val="-2"/>
        </w:rPr>
        <w:t>explica:</w:t>
      </w:r>
    </w:p>
    <w:p w:rsidR="007259F2" w:rsidRDefault="007259F2">
      <w:pPr>
        <w:pStyle w:val="Corpodetexto"/>
        <w:spacing w:before="1"/>
        <w:ind w:left="0" w:firstLine="0"/>
        <w:jc w:val="left"/>
      </w:pPr>
    </w:p>
    <w:p w:rsidR="007259F2" w:rsidRDefault="00E655B4">
      <w:pPr>
        <w:spacing w:before="1"/>
        <w:ind w:left="2978" w:right="993"/>
        <w:jc w:val="both"/>
        <w:rPr>
          <w:sz w:val="20"/>
        </w:rPr>
      </w:pPr>
      <w:r>
        <w:rPr>
          <w:sz w:val="20"/>
        </w:rPr>
        <w:t>A</w:t>
      </w:r>
      <w:r>
        <w:rPr>
          <w:spacing w:val="-5"/>
          <w:sz w:val="20"/>
        </w:rPr>
        <w:t xml:space="preserve"> </w:t>
      </w:r>
      <w:r>
        <w:rPr>
          <w:sz w:val="20"/>
        </w:rPr>
        <w:t>diferença</w:t>
      </w:r>
      <w:r>
        <w:rPr>
          <w:spacing w:val="-3"/>
          <w:sz w:val="20"/>
        </w:rPr>
        <w:t xml:space="preserve"> </w:t>
      </w:r>
      <w:r>
        <w:rPr>
          <w:sz w:val="20"/>
        </w:rPr>
        <w:t>básica</w:t>
      </w:r>
      <w:r>
        <w:rPr>
          <w:spacing w:val="-3"/>
          <w:sz w:val="20"/>
        </w:rPr>
        <w:t xml:space="preserve"> </w:t>
      </w:r>
      <w:r>
        <w:rPr>
          <w:sz w:val="20"/>
        </w:rPr>
        <w:t>entre</w:t>
      </w:r>
      <w:r>
        <w:rPr>
          <w:spacing w:val="-3"/>
          <w:sz w:val="20"/>
        </w:rPr>
        <w:t xml:space="preserve"> </w:t>
      </w:r>
      <w:r>
        <w:rPr>
          <w:sz w:val="20"/>
        </w:rPr>
        <w:t>as</w:t>
      </w:r>
      <w:r>
        <w:rPr>
          <w:spacing w:val="-4"/>
          <w:sz w:val="20"/>
        </w:rPr>
        <w:t xml:space="preserve"> </w:t>
      </w:r>
      <w:r>
        <w:rPr>
          <w:sz w:val="20"/>
        </w:rPr>
        <w:t>duas</w:t>
      </w:r>
      <w:r>
        <w:rPr>
          <w:spacing w:val="-4"/>
          <w:sz w:val="20"/>
        </w:rPr>
        <w:t xml:space="preserve"> </w:t>
      </w:r>
      <w:r>
        <w:rPr>
          <w:sz w:val="20"/>
        </w:rPr>
        <w:t>hipóteses</w:t>
      </w:r>
      <w:r>
        <w:rPr>
          <w:spacing w:val="-4"/>
          <w:sz w:val="20"/>
        </w:rPr>
        <w:t xml:space="preserve"> </w:t>
      </w:r>
      <w:r>
        <w:rPr>
          <w:sz w:val="20"/>
        </w:rPr>
        <w:t>está</w:t>
      </w:r>
      <w:r>
        <w:rPr>
          <w:spacing w:val="-1"/>
          <w:sz w:val="20"/>
        </w:rPr>
        <w:t xml:space="preserve"> </w:t>
      </w:r>
      <w:r>
        <w:rPr>
          <w:sz w:val="20"/>
        </w:rPr>
        <w:t>no</w:t>
      </w:r>
      <w:r>
        <w:rPr>
          <w:spacing w:val="-2"/>
          <w:sz w:val="20"/>
        </w:rPr>
        <w:t xml:space="preserve"> </w:t>
      </w:r>
      <w:r>
        <w:rPr>
          <w:sz w:val="20"/>
        </w:rPr>
        <w:t>fato</w:t>
      </w:r>
      <w:r>
        <w:rPr>
          <w:spacing w:val="-2"/>
          <w:sz w:val="20"/>
        </w:rPr>
        <w:t xml:space="preserve"> </w:t>
      </w:r>
      <w:r>
        <w:rPr>
          <w:sz w:val="20"/>
        </w:rPr>
        <w:t>de</w:t>
      </w:r>
      <w:r>
        <w:rPr>
          <w:spacing w:val="-3"/>
          <w:sz w:val="20"/>
        </w:rPr>
        <w:t xml:space="preserve"> </w:t>
      </w:r>
      <w:r>
        <w:rPr>
          <w:sz w:val="20"/>
        </w:rPr>
        <w:t>que,</w:t>
      </w:r>
      <w:r>
        <w:rPr>
          <w:spacing w:val="-2"/>
          <w:sz w:val="20"/>
        </w:rPr>
        <w:t xml:space="preserve"> </w:t>
      </w:r>
      <w:r>
        <w:rPr>
          <w:sz w:val="20"/>
        </w:rPr>
        <w:t>na</w:t>
      </w:r>
      <w:r>
        <w:rPr>
          <w:spacing w:val="-3"/>
          <w:sz w:val="20"/>
        </w:rPr>
        <w:t xml:space="preserve"> </w:t>
      </w:r>
      <w:r>
        <w:rPr>
          <w:sz w:val="20"/>
        </w:rPr>
        <w:t>dispensa, há possibilidade de competição que justifique a licitação; de modo que a lei faculta a dispensa, que fica inserida na competência discricionária da Administração. Nos casos de inexigibilidade, não há possibilidade de competição, porque só existe um objeto ou uma pessoa que atenda às necessidades da Administração; a licitação é, portanto, inviável.</w:t>
      </w:r>
    </w:p>
    <w:p w:rsidR="007259F2" w:rsidRDefault="00E655B4">
      <w:pPr>
        <w:pStyle w:val="Corpodetexto"/>
        <w:spacing w:before="229"/>
        <w:ind w:right="993"/>
      </w:pPr>
      <w:r>
        <w:t>Como se observa, a diferença entre as hipóteses está, especialmente, no fato de em um caso a licitação ser impossível por falta de algum de seus pressupostos básicos (inexigibilidade) e no outro a licitação ser, em tese, possível, mas não ser a melhor opção para a satisfação do interesse público (dispensa).</w:t>
      </w:r>
    </w:p>
    <w:p w:rsidR="007259F2" w:rsidRDefault="00E655B4">
      <w:pPr>
        <w:pStyle w:val="Corpodetexto"/>
        <w:ind w:right="998"/>
      </w:pPr>
      <w:r>
        <w:t>No âmbito da legislação, as hipóteses de inexigibilidade e dispensa de licitação estão previstas, respectivamente, nos artigos 74 e 75 da Lei Federal n. 14.133/2021.</w:t>
      </w:r>
    </w:p>
    <w:p w:rsidR="007259F2" w:rsidRDefault="00E655B4">
      <w:pPr>
        <w:pStyle w:val="Corpodetexto"/>
        <w:ind w:right="989"/>
      </w:pPr>
      <w:r>
        <w:t>Quanto às hipóteses de inexigibilidade, o artigo 74 dispõe que a licitação será inexigível quando inviável a competição, apresentando na sequência um rol exemplificativo de cinco hipóteses. Em comparação com a Lei Federal nº 8.666/1993, a Lei</w:t>
      </w:r>
      <w:r>
        <w:rPr>
          <w:spacing w:val="3"/>
        </w:rPr>
        <w:t xml:space="preserve"> </w:t>
      </w:r>
      <w:r>
        <w:t>Federal</w:t>
      </w:r>
      <w:r>
        <w:rPr>
          <w:spacing w:val="3"/>
        </w:rPr>
        <w:t xml:space="preserve"> </w:t>
      </w:r>
      <w:r>
        <w:t>nº</w:t>
      </w:r>
      <w:r>
        <w:rPr>
          <w:spacing w:val="2"/>
        </w:rPr>
        <w:t xml:space="preserve"> </w:t>
      </w:r>
      <w:r>
        <w:t>14.133/2021</w:t>
      </w:r>
      <w:r>
        <w:rPr>
          <w:spacing w:val="4"/>
        </w:rPr>
        <w:t xml:space="preserve"> </w:t>
      </w:r>
      <w:r>
        <w:t>previu</w:t>
      </w:r>
      <w:r>
        <w:rPr>
          <w:spacing w:val="3"/>
        </w:rPr>
        <w:t xml:space="preserve"> </w:t>
      </w:r>
      <w:r>
        <w:t>as</w:t>
      </w:r>
      <w:r>
        <w:rPr>
          <w:spacing w:val="2"/>
        </w:rPr>
        <w:t xml:space="preserve"> </w:t>
      </w:r>
      <w:r>
        <w:t>mesmas</w:t>
      </w:r>
      <w:r>
        <w:rPr>
          <w:spacing w:val="2"/>
        </w:rPr>
        <w:t xml:space="preserve"> </w:t>
      </w:r>
      <w:r>
        <w:t>três</w:t>
      </w:r>
      <w:r>
        <w:rPr>
          <w:spacing w:val="3"/>
        </w:rPr>
        <w:t xml:space="preserve"> </w:t>
      </w:r>
      <w:r>
        <w:t>hipóteses</w:t>
      </w:r>
      <w:r>
        <w:rPr>
          <w:spacing w:val="2"/>
        </w:rPr>
        <w:t xml:space="preserve"> </w:t>
      </w:r>
      <w:r>
        <w:t>antes</w:t>
      </w:r>
      <w:r>
        <w:rPr>
          <w:spacing w:val="2"/>
        </w:rPr>
        <w:t xml:space="preserve"> </w:t>
      </w:r>
      <w:r>
        <w:t>previstas</w:t>
      </w:r>
      <w:r>
        <w:rPr>
          <w:spacing w:val="3"/>
        </w:rPr>
        <w:t xml:space="preserve"> </w:t>
      </w:r>
      <w:r>
        <w:rPr>
          <w:spacing w:val="-2"/>
        </w:rPr>
        <w:t>(contratação</w:t>
      </w:r>
    </w:p>
    <w:p w:rsidR="007259F2" w:rsidRDefault="00E655B4">
      <w:pPr>
        <w:pStyle w:val="Corpodetexto"/>
        <w:ind w:right="995" w:firstLine="0"/>
      </w:pPr>
      <w:r>
        <w:t>(i) de fornecedor exclusivo; (ii) de profissionais do setor artístico; (iii) de serviço</w:t>
      </w:r>
      <w:r>
        <w:rPr>
          <w:spacing w:val="40"/>
        </w:rPr>
        <w:t xml:space="preserve"> </w:t>
      </w:r>
      <w:r>
        <w:t>técnico especializado), acrescentando outras duas hipóteses (contratação por meio do instrumento auxiliar do credenciamento; e aquisição ou locação de imóveis cujas características de instalações e localização tornem necessária sua escolha.).</w:t>
      </w:r>
    </w:p>
    <w:p w:rsidR="007259F2" w:rsidRDefault="00E655B4">
      <w:pPr>
        <w:pStyle w:val="Corpodetexto"/>
        <w:spacing w:before="1"/>
        <w:ind w:right="989"/>
      </w:pPr>
      <w:r>
        <w:t>Como dito, trata-se de rol meramente exemplificativo, já que, em situações fáticas que não se enquadrem em algum dos incisos, mas fique demonstrada a impossibilidade de contratação por licitação, esta será inexigível. Nesse sentido, Mello (2019, p. 568) explica que a lei estabelece “uma prévia e já resoluta indicação de hipóteses nas quais ficam antecipadas situações características de inviabilidade, nos termos ali enumerados, sem exclusão de casos não catalogados, mas igualmente possíveis”, complementando que</w:t>
      </w:r>
      <w:r>
        <w:rPr>
          <w:spacing w:val="-1"/>
        </w:rPr>
        <w:t xml:space="preserve"> </w:t>
      </w:r>
      <w:r>
        <w:t>em “situações nas quais estejam ausentes pressupostos jurídicos ou fáticos condicionadores dos certames licitatórios”, ainda que não previstas na norma, configurarão hipótese de inexigibilidade.</w:t>
      </w:r>
    </w:p>
    <w:p w:rsidR="007259F2" w:rsidRDefault="00E655B4">
      <w:pPr>
        <w:pStyle w:val="Corpodetexto"/>
        <w:ind w:right="991"/>
      </w:pPr>
      <w:r>
        <w:t>Em relação à dispensa, por outro lado, como se refere a hipóteses em que a licitação é, em tese, possível, mas para satisfação de outro interesse jurídico não se mostra adequada sua aplicação, o rol apresentado pelo artigo 75 da referida norma é taxativo. O dispositivo apresenta dezoito incisos que costumam ser divididos pela doutrina, como apontam Di Pietro (2023, p. 427) e Nohara (2023, p. 327/329), em quatro grupos, sendo eles da dispensa (i) em razão do valor (incisos I e II); (ii) em situações excepcionais (incisos</w:t>
      </w:r>
      <w:r>
        <w:rPr>
          <w:spacing w:val="28"/>
        </w:rPr>
        <w:t xml:space="preserve"> </w:t>
      </w:r>
      <w:r>
        <w:t>III, VI, VII, VIII</w:t>
      </w:r>
      <w:r>
        <w:rPr>
          <w:spacing w:val="27"/>
        </w:rPr>
        <w:t xml:space="preserve"> </w:t>
      </w:r>
      <w:r>
        <w:t xml:space="preserve">e X); (iii) em razão do objeto (inciso IV e V); (iv) em razão da pessoa (incisos IX, XI, XII, XIII, XIV, XV, XVI, XVII e </w:t>
      </w:r>
      <w:r>
        <w:rPr>
          <w:spacing w:val="-2"/>
        </w:rPr>
        <w:t>XVIII).</w:t>
      </w:r>
    </w:p>
    <w:p w:rsidR="007259F2" w:rsidRDefault="007259F2">
      <w:pPr>
        <w:pStyle w:val="Corpodetexto"/>
        <w:sectPr w:rsidR="007259F2">
          <w:pgSz w:w="11910" w:h="16840"/>
          <w:pgMar w:top="1320" w:right="708" w:bottom="1160" w:left="992" w:header="0" w:footer="962" w:gutter="0"/>
          <w:cols w:space="720"/>
        </w:sectPr>
      </w:pPr>
    </w:p>
    <w:p w:rsidR="007259F2" w:rsidRDefault="00E655B4">
      <w:pPr>
        <w:pStyle w:val="Corpodetexto"/>
        <w:spacing w:before="69"/>
        <w:ind w:right="990"/>
      </w:pPr>
      <w:r>
        <w:lastRenderedPageBreak/>
        <w:t>Vale mencionar ainda o que parte da doutrina chama de licitação dispensada. Conforme explica Nohara (2023, p. 330), “a diferença entre a licitação dispensável e a dispensada reside, como regra geral, no fato de que esta última é compulsória, ou seja, não confere discricionariedade à Administração para avaliar se dispensará ou não a licitação nas situações contempladas na lei”. Enquadra-se nesta hipótese o previsto no artigo 76, incisos I e II, da Lei Federal n. 14.133/2021, que trata da alienação de bens imóveis e móveis.</w:t>
      </w:r>
    </w:p>
    <w:p w:rsidR="007259F2" w:rsidRDefault="00E655B4">
      <w:pPr>
        <w:pStyle w:val="Corpodetexto"/>
        <w:spacing w:before="1"/>
        <w:ind w:right="991"/>
      </w:pPr>
      <w:r>
        <w:t>À parte de maiores aprofundamentos nas hipóteses de inexigibilidade e dispensa de licitação, já que não é este o objetivo deste artigo, quer seja por uma ou outra hipótese, o procedimento de licitação será afastado, aplicando-se o procedimento de contratação direta.</w:t>
      </w:r>
    </w:p>
    <w:p w:rsidR="007259F2" w:rsidRDefault="00E655B4">
      <w:pPr>
        <w:pStyle w:val="Corpodetexto"/>
        <w:ind w:right="988"/>
      </w:pPr>
      <w:r>
        <w:t>Ainda que o termo contratação direta possa dar a entender que a Administração contratará com o mercado de maneira amplamente discricionária, “é incorreto dizer que a contratação direta exclui um procedimento administrativo” (JUSTEN FILHO, 2021, p.945). Em verdade, o que se afasta é o procedimento licitatório, pela impossibilidade</w:t>
      </w:r>
      <w:r>
        <w:rPr>
          <w:spacing w:val="40"/>
        </w:rPr>
        <w:t xml:space="preserve"> </w:t>
      </w:r>
      <w:r>
        <w:t>ou</w:t>
      </w:r>
      <w:r>
        <w:rPr>
          <w:spacing w:val="40"/>
        </w:rPr>
        <w:t xml:space="preserve"> </w:t>
      </w:r>
      <w:r>
        <w:t xml:space="preserve">inviabilidade da licitação, mas não se afasta qualquer procedimento. Como frisa Justen Filho (2021, p. 941), “a contratação direta não consiste em oportunidade concedida pela Lei para o agente público realizar contratações inadequadas ou </w:t>
      </w:r>
      <w:r>
        <w:rPr>
          <w:spacing w:val="-2"/>
        </w:rPr>
        <w:t>prejudiciais.”.</w:t>
      </w:r>
    </w:p>
    <w:p w:rsidR="007259F2" w:rsidRDefault="00E655B4">
      <w:pPr>
        <w:pStyle w:val="Corpodetexto"/>
        <w:spacing w:before="1"/>
        <w:ind w:right="992"/>
      </w:pPr>
      <w:r>
        <w:t>Assim, há de se observar</w:t>
      </w:r>
      <w:r>
        <w:rPr>
          <w:spacing w:val="40"/>
        </w:rPr>
        <w:t xml:space="preserve"> </w:t>
      </w:r>
      <w:r>
        <w:t>que há um procedimento formal a ser seguido, ainda que mais simplificado ou flexível que o procedimento licitatório. E tal procedimento deve</w:t>
      </w:r>
      <w:r>
        <w:rPr>
          <w:spacing w:val="-3"/>
        </w:rPr>
        <w:t xml:space="preserve"> </w:t>
      </w:r>
      <w:r>
        <w:t>atenção</w:t>
      </w:r>
      <w:r>
        <w:rPr>
          <w:spacing w:val="-2"/>
        </w:rPr>
        <w:t xml:space="preserve"> </w:t>
      </w:r>
      <w:r>
        <w:t>aos</w:t>
      </w:r>
      <w:r>
        <w:rPr>
          <w:spacing w:val="-2"/>
        </w:rPr>
        <w:t xml:space="preserve"> </w:t>
      </w:r>
      <w:r>
        <w:t>princípios</w:t>
      </w:r>
      <w:r>
        <w:rPr>
          <w:spacing w:val="-2"/>
        </w:rPr>
        <w:t xml:space="preserve"> </w:t>
      </w:r>
      <w:r>
        <w:t>do</w:t>
      </w:r>
      <w:r>
        <w:rPr>
          <w:spacing w:val="-2"/>
        </w:rPr>
        <w:t xml:space="preserve"> </w:t>
      </w:r>
      <w:r>
        <w:t>regime</w:t>
      </w:r>
      <w:r>
        <w:rPr>
          <w:spacing w:val="-3"/>
        </w:rPr>
        <w:t xml:space="preserve"> </w:t>
      </w:r>
      <w:r>
        <w:t>jurídico</w:t>
      </w:r>
      <w:r>
        <w:rPr>
          <w:spacing w:val="-2"/>
        </w:rPr>
        <w:t xml:space="preserve"> </w:t>
      </w:r>
      <w:r>
        <w:t>das contratações</w:t>
      </w:r>
      <w:r>
        <w:rPr>
          <w:spacing w:val="-2"/>
        </w:rPr>
        <w:t xml:space="preserve"> </w:t>
      </w:r>
      <w:r>
        <w:t>públicas.</w:t>
      </w:r>
      <w:r>
        <w:rPr>
          <w:spacing w:val="-2"/>
        </w:rPr>
        <w:t xml:space="preserve"> </w:t>
      </w:r>
      <w:r>
        <w:t>Nesse</w:t>
      </w:r>
      <w:r>
        <w:rPr>
          <w:spacing w:val="-3"/>
        </w:rPr>
        <w:t xml:space="preserve"> </w:t>
      </w:r>
      <w:r>
        <w:t>sentido, aponta Justen</w:t>
      </w:r>
      <w:r>
        <w:rPr>
          <w:spacing w:val="40"/>
        </w:rPr>
        <w:t xml:space="preserve"> </w:t>
      </w:r>
      <w:r>
        <w:t>Filho (2021, p.944) que:</w:t>
      </w:r>
    </w:p>
    <w:p w:rsidR="007259F2" w:rsidRDefault="007259F2">
      <w:pPr>
        <w:pStyle w:val="Corpodetexto"/>
        <w:spacing w:before="1"/>
        <w:ind w:left="0" w:firstLine="0"/>
        <w:jc w:val="left"/>
      </w:pPr>
    </w:p>
    <w:p w:rsidR="007259F2" w:rsidRDefault="00E655B4">
      <w:pPr>
        <w:spacing w:before="1"/>
        <w:ind w:left="2978" w:right="990"/>
        <w:jc w:val="both"/>
        <w:rPr>
          <w:sz w:val="20"/>
        </w:rPr>
      </w:pPr>
      <w:r>
        <w:rPr>
          <w:sz w:val="20"/>
        </w:rPr>
        <w:t>A escolha do particular a ser contratado deverá ser a mais objetiva possível. Nesse ponto, o princípio da isonomia conjuga-se com o princípio da República, interpretado como vinculação do Estado à realização das finalidades que lhe foram atribuídas pelo Direito. (…)</w:t>
      </w:r>
    </w:p>
    <w:p w:rsidR="007259F2" w:rsidRDefault="00E655B4">
      <w:pPr>
        <w:ind w:left="2978" w:right="998"/>
        <w:jc w:val="both"/>
        <w:rPr>
          <w:sz w:val="20"/>
        </w:rPr>
      </w:pPr>
      <w:r>
        <w:rPr>
          <w:sz w:val="20"/>
        </w:rPr>
        <w:t>A Administração deverá buscar a maior qualidade e o menor desembolso possíveis, segundo a natureza do interesse a ser satisfeito. (...)</w:t>
      </w:r>
    </w:p>
    <w:p w:rsidR="007259F2" w:rsidRDefault="00E655B4">
      <w:pPr>
        <w:ind w:left="2978" w:right="994"/>
        <w:jc w:val="both"/>
        <w:rPr>
          <w:sz w:val="20"/>
        </w:rPr>
      </w:pPr>
      <w:r>
        <w:rPr>
          <w:sz w:val="20"/>
        </w:rPr>
        <w:t>Por tudo isso, afirma-se que a contratação direta não legitima escolhas despropositadas da Administração Pública. Não é válido desembolsar inadequadamente recursos públicos, sob pretexto da desnecessidade de licitação. O campo da contratação direta não está excluído da incidência dos princípios norteadores da atividade administrativa do Estado.</w:t>
      </w:r>
    </w:p>
    <w:p w:rsidR="007259F2" w:rsidRDefault="00E655B4">
      <w:pPr>
        <w:pStyle w:val="Corpodetexto"/>
        <w:spacing w:before="228"/>
        <w:ind w:right="991"/>
      </w:pPr>
      <w:r>
        <w:t>Nesse sentido, a Lei Federal n. 14.133/2021 prevê em seu Capítulo VII (artigos 72 a 75) diversos atos que devem ser adotados pela</w:t>
      </w:r>
      <w:r>
        <w:rPr>
          <w:spacing w:val="-9"/>
        </w:rPr>
        <w:t xml:space="preserve"> </w:t>
      </w:r>
      <w:r>
        <w:t>Administração quando da aplicação do procedimento de contratação direta. Como será tratado mais adiante, a nova norma inovou consideravelmente neste tema em relação às previsões da Lei Federal n. 8.666/1993, especialmente nas exigências relacionadas à instrução do procedimento.</w:t>
      </w:r>
    </w:p>
    <w:p w:rsidR="007259F2" w:rsidRDefault="00E655B4">
      <w:pPr>
        <w:pStyle w:val="Corpodetexto"/>
        <w:spacing w:before="1"/>
        <w:ind w:right="989"/>
      </w:pPr>
      <w:r>
        <w:t>Diante disso, resta claro que o procedimento de contratação direta não pode ser encarado como uma oportunidade de práticas meramente discricionárias pela Administração. Ao contrário, trata-se de procedimento formal em que os agentes públicos que forem conduzi- lo deverão atentar-se aos regramentos quanto ao procedimento, bem como aos princípios do regime jurídico das contratações públicas.</w:t>
      </w:r>
    </w:p>
    <w:p w:rsidR="007259F2" w:rsidRDefault="00E655B4">
      <w:pPr>
        <w:pStyle w:val="Heading2"/>
        <w:numPr>
          <w:ilvl w:val="0"/>
          <w:numId w:val="43"/>
        </w:numPr>
        <w:tabs>
          <w:tab w:val="left" w:pos="890"/>
        </w:tabs>
        <w:ind w:left="890" w:hanging="180"/>
        <w:jc w:val="both"/>
      </w:pPr>
      <w:r>
        <w:t>Panorama</w:t>
      </w:r>
      <w:r>
        <w:rPr>
          <w:spacing w:val="-3"/>
        </w:rPr>
        <w:t xml:space="preserve"> </w:t>
      </w:r>
      <w:r>
        <w:t>da</w:t>
      </w:r>
      <w:r>
        <w:rPr>
          <w:spacing w:val="-2"/>
        </w:rPr>
        <w:t xml:space="preserve"> </w:t>
      </w:r>
      <w:r>
        <w:t>contratação</w:t>
      </w:r>
      <w:r>
        <w:rPr>
          <w:spacing w:val="-2"/>
        </w:rPr>
        <w:t xml:space="preserve"> </w:t>
      </w:r>
      <w:r>
        <w:t>direta</w:t>
      </w:r>
      <w:r>
        <w:rPr>
          <w:spacing w:val="-3"/>
        </w:rPr>
        <w:t xml:space="preserve"> </w:t>
      </w:r>
      <w:r>
        <w:t>na</w:t>
      </w:r>
      <w:r>
        <w:rPr>
          <w:spacing w:val="-2"/>
        </w:rPr>
        <w:t xml:space="preserve"> </w:t>
      </w:r>
      <w:r>
        <w:t>Administração Pública</w:t>
      </w:r>
      <w:r>
        <w:rPr>
          <w:spacing w:val="-2"/>
        </w:rPr>
        <w:t xml:space="preserve"> brasileira</w:t>
      </w:r>
    </w:p>
    <w:p w:rsidR="007259F2" w:rsidRDefault="00E655B4">
      <w:pPr>
        <w:pStyle w:val="Corpodetexto"/>
        <w:spacing w:before="112"/>
        <w:ind w:right="993"/>
      </w:pPr>
      <w:r>
        <w:t>A ideia de que o procedimento licitatório é a regra e a contratação direta é sua exceção</w:t>
      </w:r>
      <w:r>
        <w:rPr>
          <w:spacing w:val="-1"/>
        </w:rPr>
        <w:t xml:space="preserve"> </w:t>
      </w:r>
      <w:r>
        <w:t>pode</w:t>
      </w:r>
      <w:r>
        <w:rPr>
          <w:spacing w:val="-2"/>
        </w:rPr>
        <w:t xml:space="preserve"> </w:t>
      </w:r>
      <w:r>
        <w:t>levar</w:t>
      </w:r>
      <w:r>
        <w:rPr>
          <w:spacing w:val="-2"/>
        </w:rPr>
        <w:t xml:space="preserve"> </w:t>
      </w:r>
      <w:r>
        <w:t>a</w:t>
      </w:r>
      <w:r>
        <w:rPr>
          <w:spacing w:val="-2"/>
        </w:rPr>
        <w:t xml:space="preserve"> </w:t>
      </w:r>
      <w:r>
        <w:t>crer que</w:t>
      </w:r>
      <w:r>
        <w:rPr>
          <w:spacing w:val="-2"/>
        </w:rPr>
        <w:t xml:space="preserve"> </w:t>
      </w:r>
      <w:r>
        <w:t>as</w:t>
      </w:r>
      <w:r>
        <w:rPr>
          <w:spacing w:val="-1"/>
        </w:rPr>
        <w:t xml:space="preserve"> </w:t>
      </w:r>
      <w:r>
        <w:t>situações</w:t>
      </w:r>
      <w:r>
        <w:rPr>
          <w:spacing w:val="-1"/>
        </w:rPr>
        <w:t xml:space="preserve"> </w:t>
      </w:r>
      <w:r>
        <w:t>de</w:t>
      </w:r>
      <w:r>
        <w:rPr>
          <w:spacing w:val="-2"/>
        </w:rPr>
        <w:t xml:space="preserve"> </w:t>
      </w:r>
      <w:r>
        <w:t>contratação</w:t>
      </w:r>
      <w:r>
        <w:rPr>
          <w:spacing w:val="-1"/>
        </w:rPr>
        <w:t xml:space="preserve"> </w:t>
      </w:r>
      <w:r>
        <w:t>direta</w:t>
      </w:r>
      <w:r>
        <w:rPr>
          <w:spacing w:val="-2"/>
        </w:rPr>
        <w:t xml:space="preserve"> </w:t>
      </w:r>
      <w:r>
        <w:t>são</w:t>
      </w:r>
      <w:r>
        <w:rPr>
          <w:spacing w:val="-1"/>
        </w:rPr>
        <w:t xml:space="preserve"> </w:t>
      </w:r>
      <w:r>
        <w:t>poucas</w:t>
      </w:r>
      <w:r>
        <w:rPr>
          <w:spacing w:val="-1"/>
        </w:rPr>
        <w:t xml:space="preserve"> </w:t>
      </w:r>
      <w:r>
        <w:t>ou</w:t>
      </w:r>
      <w:r>
        <w:rPr>
          <w:spacing w:val="-1"/>
        </w:rPr>
        <w:t xml:space="preserve"> </w:t>
      </w:r>
      <w:r>
        <w:t>eventuais no</w:t>
      </w:r>
      <w:r>
        <w:rPr>
          <w:spacing w:val="8"/>
        </w:rPr>
        <w:t xml:space="preserve"> </w:t>
      </w:r>
      <w:r>
        <w:t>dia</w:t>
      </w:r>
      <w:r>
        <w:rPr>
          <w:spacing w:val="7"/>
        </w:rPr>
        <w:t xml:space="preserve"> </w:t>
      </w:r>
      <w:r>
        <w:t>a</w:t>
      </w:r>
      <w:r>
        <w:rPr>
          <w:spacing w:val="7"/>
        </w:rPr>
        <w:t xml:space="preserve"> </w:t>
      </w:r>
      <w:r>
        <w:t>dia</w:t>
      </w:r>
      <w:r>
        <w:rPr>
          <w:spacing w:val="49"/>
        </w:rPr>
        <w:t xml:space="preserve"> </w:t>
      </w:r>
      <w:r>
        <w:t>da</w:t>
      </w:r>
      <w:r>
        <w:rPr>
          <w:spacing w:val="7"/>
        </w:rPr>
        <w:t xml:space="preserve"> </w:t>
      </w:r>
      <w:r>
        <w:t>Administração</w:t>
      </w:r>
      <w:r>
        <w:rPr>
          <w:spacing w:val="10"/>
        </w:rPr>
        <w:t xml:space="preserve"> </w:t>
      </w:r>
      <w:r>
        <w:t>Pública.</w:t>
      </w:r>
      <w:r>
        <w:rPr>
          <w:spacing w:val="10"/>
        </w:rPr>
        <w:t xml:space="preserve"> </w:t>
      </w:r>
      <w:r>
        <w:t>Isto</w:t>
      </w:r>
      <w:r>
        <w:rPr>
          <w:spacing w:val="9"/>
        </w:rPr>
        <w:t xml:space="preserve"> </w:t>
      </w:r>
      <w:r>
        <w:t>porque</w:t>
      </w:r>
      <w:r>
        <w:rPr>
          <w:spacing w:val="8"/>
        </w:rPr>
        <w:t xml:space="preserve"> </w:t>
      </w:r>
      <w:r>
        <w:t>as</w:t>
      </w:r>
      <w:r>
        <w:rPr>
          <w:spacing w:val="8"/>
        </w:rPr>
        <w:t xml:space="preserve"> </w:t>
      </w:r>
      <w:r>
        <w:t>regras</w:t>
      </w:r>
      <w:r>
        <w:rPr>
          <w:spacing w:val="10"/>
        </w:rPr>
        <w:t xml:space="preserve"> </w:t>
      </w:r>
      <w:r>
        <w:t>correspondem</w:t>
      </w:r>
      <w:r>
        <w:rPr>
          <w:spacing w:val="8"/>
        </w:rPr>
        <w:t xml:space="preserve"> </w:t>
      </w:r>
      <w:r>
        <w:t>a</w:t>
      </w:r>
      <w:r>
        <w:rPr>
          <w:spacing w:val="7"/>
        </w:rPr>
        <w:t xml:space="preserve"> </w:t>
      </w:r>
      <w:r>
        <w:t>padrões</w:t>
      </w:r>
      <w:r>
        <w:rPr>
          <w:spacing w:val="9"/>
        </w:rPr>
        <w:t xml:space="preserve"> </w:t>
      </w:r>
      <w:r>
        <w:rPr>
          <w:spacing w:val="-10"/>
        </w:rPr>
        <w:t>a</w:t>
      </w:r>
    </w:p>
    <w:p w:rsidR="007259F2" w:rsidRDefault="007259F2">
      <w:pPr>
        <w:pStyle w:val="Corpodetexto"/>
        <w:sectPr w:rsidR="007259F2">
          <w:pgSz w:w="11910" w:h="16840"/>
          <w:pgMar w:top="1320" w:right="708" w:bottom="1160" w:left="992" w:header="0" w:footer="962" w:gutter="0"/>
          <w:cols w:space="720"/>
        </w:sectPr>
      </w:pPr>
    </w:p>
    <w:p w:rsidR="007259F2" w:rsidRDefault="00DE6B1C">
      <w:pPr>
        <w:pStyle w:val="Corpodetexto"/>
        <w:spacing w:before="69"/>
        <w:ind w:right="995" w:firstLine="0"/>
      </w:pPr>
      <w:r w:rsidRPr="00DE6B1C">
        <w:lastRenderedPageBreak/>
        <w:pict>
          <v:group id="docshapegroup20" o:spid="_x0000_s1201" style="position:absolute;left:0;text-align:left;margin-left:60.1pt;margin-top:701.1pt;width:515.35pt;height:141.2pt;z-index:-19474944;mso-position-horizontal-relative:page;mso-position-vertical-relative:page" coordorigin="1202,14023" coordsize="10307,2824">
            <v:shape id="docshape21" o:spid="_x0000_s1204" style="position:absolute;left:10613;top:15686;width:885;height:885" coordorigin="10613,15686" coordsize="885,885" path="m11056,16571r-72,-6l10916,16548r-64,-26l10794,16486r-51,-45l10698,16390r-36,-58l10636,16268r-17,-68l10613,16129r6,-72l10636,15989r26,-64l10698,15867r45,-51l10794,15771r58,-36l10916,15709r68,-17l11056,15686r71,6l11195,15709r64,26l11317,15771r51,45l11413,15867r36,58l11475,15989r17,68l11498,16129r-6,71l11475,16268r-26,64l11413,16390r-45,51l11317,16486r-58,36l11195,16548r-68,17l11056,16571xe" filled="f" strokecolor="#a7bede" strokeweight="1pt">
              <v:path arrowok="t"/>
            </v:shape>
            <v:rect id="docshape22" o:spid="_x0000_s1203" style="position:absolute;left:1209;top:14030;width:9727;height:2809" stroked="f"/>
            <v:shape id="docshape23" o:spid="_x0000_s1202" style="position:absolute;left:1209;top:14030;width:9727;height:2809" coordorigin="1209,14030" coordsize="9727,2809" path="m10936,16838r,-2808l1209,14030r,2808e" filled="f" strokecolor="white">
              <v:path arrowok="t"/>
            </v:shape>
            <w10:wrap anchorx="page" anchory="page"/>
          </v:group>
        </w:pict>
      </w:r>
      <w:r w:rsidR="00E655B4">
        <w:t xml:space="preserve">serem seguidos, de modo que sua aplicação é afastada, em tese, apenas em caráter </w:t>
      </w:r>
      <w:r w:rsidR="00E655B4">
        <w:rPr>
          <w:spacing w:val="-2"/>
        </w:rPr>
        <w:t>eventual.</w:t>
      </w:r>
    </w:p>
    <w:p w:rsidR="007259F2" w:rsidRDefault="00E655B4">
      <w:pPr>
        <w:pStyle w:val="Corpodetexto"/>
        <w:spacing w:before="1"/>
        <w:ind w:right="993"/>
      </w:pPr>
      <w:r>
        <w:t>No entanto, ao verificar os dados e informações correspondentes à atividade administrativa no Estado Brasileiro, nas diferentes esferas de poder e entes federativos, logo se observa que esta ideia de regra e exceção não corresponde à realidade. Na verdade, os casos de contratação direta estão, comparados às modalidades de licitação, entre as principais formas utilizadas pela Administração Pública em suas contratações.</w:t>
      </w:r>
    </w:p>
    <w:p w:rsidR="007259F2" w:rsidRDefault="00E655B4">
      <w:pPr>
        <w:pStyle w:val="Corpodetexto"/>
        <w:ind w:right="992"/>
      </w:pPr>
      <w:r>
        <w:t>Esta realidade fora bem apresentada por Schiefler (2021, p. 28/30) que, a partir da análise de dados do Painel de Compras do Governo Federal, indicou que:</w:t>
      </w:r>
    </w:p>
    <w:p w:rsidR="007259F2" w:rsidRDefault="007259F2">
      <w:pPr>
        <w:pStyle w:val="Corpodetexto"/>
        <w:spacing w:before="1"/>
        <w:ind w:left="0" w:firstLine="0"/>
        <w:jc w:val="left"/>
      </w:pPr>
    </w:p>
    <w:p w:rsidR="007259F2" w:rsidRDefault="00E655B4">
      <w:pPr>
        <w:ind w:left="2978" w:right="986"/>
        <w:jc w:val="both"/>
        <w:rPr>
          <w:sz w:val="20"/>
        </w:rPr>
      </w:pPr>
      <w:r>
        <w:rPr>
          <w:sz w:val="20"/>
        </w:rPr>
        <w:t>No</w:t>
      </w:r>
      <w:r>
        <w:rPr>
          <w:spacing w:val="40"/>
          <w:sz w:val="20"/>
        </w:rPr>
        <w:t xml:space="preserve"> </w:t>
      </w:r>
      <w:r>
        <w:rPr>
          <w:sz w:val="20"/>
        </w:rPr>
        <w:t>período</w:t>
      </w:r>
      <w:r>
        <w:rPr>
          <w:spacing w:val="40"/>
          <w:sz w:val="20"/>
        </w:rPr>
        <w:t xml:space="preserve"> </w:t>
      </w:r>
      <w:r>
        <w:rPr>
          <w:sz w:val="20"/>
        </w:rPr>
        <w:t>de</w:t>
      </w:r>
      <w:r>
        <w:rPr>
          <w:spacing w:val="40"/>
          <w:sz w:val="20"/>
        </w:rPr>
        <w:t xml:space="preserve"> </w:t>
      </w:r>
      <w:r>
        <w:rPr>
          <w:sz w:val="20"/>
        </w:rPr>
        <w:t>2016</w:t>
      </w:r>
      <w:r>
        <w:rPr>
          <w:spacing w:val="40"/>
          <w:sz w:val="20"/>
        </w:rPr>
        <w:t xml:space="preserve"> </w:t>
      </w:r>
      <w:r>
        <w:rPr>
          <w:sz w:val="20"/>
        </w:rPr>
        <w:t>a</w:t>
      </w:r>
      <w:r>
        <w:rPr>
          <w:spacing w:val="40"/>
          <w:sz w:val="20"/>
        </w:rPr>
        <w:t xml:space="preserve"> </w:t>
      </w:r>
      <w:r>
        <w:rPr>
          <w:sz w:val="20"/>
        </w:rPr>
        <w:t>2020,</w:t>
      </w:r>
      <w:r>
        <w:rPr>
          <w:spacing w:val="40"/>
          <w:sz w:val="20"/>
        </w:rPr>
        <w:t xml:space="preserve"> </w:t>
      </w:r>
      <w:r>
        <w:rPr>
          <w:sz w:val="20"/>
        </w:rPr>
        <w:t>dos</w:t>
      </w:r>
      <w:r>
        <w:rPr>
          <w:spacing w:val="40"/>
          <w:sz w:val="20"/>
        </w:rPr>
        <w:t xml:space="preserve"> </w:t>
      </w:r>
      <w:r>
        <w:rPr>
          <w:sz w:val="20"/>
        </w:rPr>
        <w:t>897.538</w:t>
      </w:r>
      <w:r>
        <w:rPr>
          <w:spacing w:val="40"/>
          <w:sz w:val="20"/>
        </w:rPr>
        <w:t xml:space="preserve"> </w:t>
      </w:r>
      <w:r>
        <w:rPr>
          <w:sz w:val="20"/>
        </w:rPr>
        <w:t>processos</w:t>
      </w:r>
      <w:r>
        <w:rPr>
          <w:spacing w:val="40"/>
          <w:sz w:val="20"/>
        </w:rPr>
        <w:t xml:space="preserve"> </w:t>
      </w:r>
      <w:r>
        <w:rPr>
          <w:sz w:val="20"/>
        </w:rPr>
        <w:t>de</w:t>
      </w:r>
      <w:r>
        <w:rPr>
          <w:spacing w:val="40"/>
          <w:sz w:val="20"/>
        </w:rPr>
        <w:t xml:space="preserve"> </w:t>
      </w:r>
      <w:r>
        <w:rPr>
          <w:sz w:val="20"/>
        </w:rPr>
        <w:t>compras divulgados</w:t>
      </w:r>
      <w:r>
        <w:rPr>
          <w:spacing w:val="40"/>
          <w:sz w:val="20"/>
        </w:rPr>
        <w:t xml:space="preserve"> </w:t>
      </w:r>
      <w:r>
        <w:rPr>
          <w:sz w:val="20"/>
        </w:rPr>
        <w:t>no Governo</w:t>
      </w:r>
      <w:r>
        <w:rPr>
          <w:spacing w:val="40"/>
          <w:sz w:val="20"/>
        </w:rPr>
        <w:t xml:space="preserve"> </w:t>
      </w:r>
      <w:r>
        <w:rPr>
          <w:sz w:val="20"/>
        </w:rPr>
        <w:t>Federal,</w:t>
      </w:r>
      <w:r>
        <w:rPr>
          <w:spacing w:val="40"/>
          <w:sz w:val="20"/>
        </w:rPr>
        <w:t xml:space="preserve"> </w:t>
      </w:r>
      <w:r>
        <w:rPr>
          <w:sz w:val="20"/>
        </w:rPr>
        <w:t>531.198</w:t>
      </w:r>
      <w:r>
        <w:rPr>
          <w:spacing w:val="40"/>
          <w:sz w:val="20"/>
        </w:rPr>
        <w:t xml:space="preserve"> </w:t>
      </w:r>
      <w:r>
        <w:rPr>
          <w:sz w:val="20"/>
        </w:rPr>
        <w:t>ocorreram</w:t>
      </w:r>
      <w:r>
        <w:rPr>
          <w:spacing w:val="40"/>
          <w:sz w:val="20"/>
        </w:rPr>
        <w:t xml:space="preserve"> </w:t>
      </w:r>
      <w:r>
        <w:rPr>
          <w:sz w:val="20"/>
        </w:rPr>
        <w:t>por</w:t>
      </w:r>
      <w:r>
        <w:rPr>
          <w:spacing w:val="40"/>
          <w:sz w:val="20"/>
        </w:rPr>
        <w:t xml:space="preserve"> </w:t>
      </w:r>
      <w:r>
        <w:rPr>
          <w:sz w:val="20"/>
        </w:rPr>
        <w:t>dispensa</w:t>
      </w:r>
      <w:r>
        <w:rPr>
          <w:spacing w:val="40"/>
          <w:sz w:val="20"/>
        </w:rPr>
        <w:t xml:space="preserve"> </w:t>
      </w:r>
      <w:r>
        <w:rPr>
          <w:sz w:val="20"/>
        </w:rPr>
        <w:t>de licitação e 108.317 por inexigibilidade de licitação, o que corresponde a aproximadamente 71,25% do total de processos. Por sua vez, o restante das compras (28,75%) foi realizado mediante licitação,</w:t>
      </w:r>
      <w:r>
        <w:rPr>
          <w:spacing w:val="40"/>
          <w:sz w:val="20"/>
        </w:rPr>
        <w:t xml:space="preserve"> </w:t>
      </w:r>
      <w:r>
        <w:rPr>
          <w:sz w:val="20"/>
        </w:rPr>
        <w:t>sendo</w:t>
      </w:r>
      <w:r>
        <w:rPr>
          <w:spacing w:val="40"/>
          <w:sz w:val="20"/>
        </w:rPr>
        <w:t xml:space="preserve"> </w:t>
      </w:r>
      <w:r>
        <w:rPr>
          <w:sz w:val="20"/>
        </w:rPr>
        <w:t>252.692</w:t>
      </w:r>
      <w:r>
        <w:rPr>
          <w:spacing w:val="40"/>
          <w:sz w:val="20"/>
        </w:rPr>
        <w:t xml:space="preserve"> </w:t>
      </w:r>
      <w:r>
        <w:rPr>
          <w:sz w:val="20"/>
        </w:rPr>
        <w:t>por pregão,</w:t>
      </w:r>
      <w:r>
        <w:rPr>
          <w:spacing w:val="40"/>
          <w:sz w:val="20"/>
        </w:rPr>
        <w:t xml:space="preserve"> </w:t>
      </w:r>
      <w:r>
        <w:rPr>
          <w:sz w:val="20"/>
        </w:rPr>
        <w:t>3.134 por</w:t>
      </w:r>
      <w:r>
        <w:rPr>
          <w:spacing w:val="40"/>
          <w:sz w:val="20"/>
        </w:rPr>
        <w:t xml:space="preserve"> </w:t>
      </w:r>
      <w:r>
        <w:rPr>
          <w:sz w:val="20"/>
        </w:rPr>
        <w:t>tomada de</w:t>
      </w:r>
      <w:r>
        <w:rPr>
          <w:spacing w:val="40"/>
          <w:sz w:val="20"/>
        </w:rPr>
        <w:t xml:space="preserve"> </w:t>
      </w:r>
      <w:r>
        <w:rPr>
          <w:sz w:val="20"/>
        </w:rPr>
        <w:t>preços,</w:t>
      </w:r>
      <w:r>
        <w:rPr>
          <w:spacing w:val="40"/>
          <w:sz w:val="20"/>
        </w:rPr>
        <w:t xml:space="preserve"> </w:t>
      </w:r>
      <w:r>
        <w:rPr>
          <w:sz w:val="20"/>
        </w:rPr>
        <w:t>1.492</w:t>
      </w:r>
      <w:r>
        <w:rPr>
          <w:spacing w:val="40"/>
          <w:sz w:val="20"/>
        </w:rPr>
        <w:t xml:space="preserve"> </w:t>
      </w:r>
      <w:r>
        <w:rPr>
          <w:sz w:val="20"/>
        </w:rPr>
        <w:t>por concorrência, 570 por convite, 84 por concurso e 51 por concorrência internacional. Em valores financeiros despendidos, a ordem de prevalência das modalidades sofre alteração, de sorte que: (i) o pregão representa o principal destinatário dos valores destinados aos processos de compras, atingindo o montante que supera</w:t>
      </w:r>
      <w:r>
        <w:rPr>
          <w:spacing w:val="40"/>
          <w:sz w:val="20"/>
        </w:rPr>
        <w:t xml:space="preserve"> </w:t>
      </w:r>
      <w:r>
        <w:rPr>
          <w:sz w:val="20"/>
        </w:rPr>
        <w:t>R$</w:t>
      </w:r>
      <w:r>
        <w:rPr>
          <w:spacing w:val="40"/>
          <w:sz w:val="20"/>
        </w:rPr>
        <w:t xml:space="preserve"> </w:t>
      </w:r>
      <w:r>
        <w:rPr>
          <w:sz w:val="20"/>
        </w:rPr>
        <w:t>630 bilhões;</w:t>
      </w:r>
      <w:r>
        <w:rPr>
          <w:spacing w:val="40"/>
          <w:sz w:val="20"/>
        </w:rPr>
        <w:t xml:space="preserve"> </w:t>
      </w:r>
      <w:r>
        <w:rPr>
          <w:sz w:val="20"/>
        </w:rPr>
        <w:t>em</w:t>
      </w:r>
      <w:r>
        <w:rPr>
          <w:spacing w:val="40"/>
          <w:sz w:val="20"/>
        </w:rPr>
        <w:t xml:space="preserve"> </w:t>
      </w:r>
      <w:r>
        <w:rPr>
          <w:sz w:val="20"/>
        </w:rPr>
        <w:t>seguida,</w:t>
      </w:r>
      <w:r>
        <w:rPr>
          <w:spacing w:val="40"/>
          <w:sz w:val="20"/>
        </w:rPr>
        <w:t xml:space="preserve"> </w:t>
      </w:r>
      <w:r>
        <w:rPr>
          <w:sz w:val="20"/>
        </w:rPr>
        <w:t>têm-se</w:t>
      </w:r>
      <w:r>
        <w:rPr>
          <w:spacing w:val="40"/>
          <w:sz w:val="20"/>
        </w:rPr>
        <w:t xml:space="preserve"> </w:t>
      </w:r>
      <w:r>
        <w:rPr>
          <w:sz w:val="20"/>
        </w:rPr>
        <w:t>(ii)</w:t>
      </w:r>
      <w:r>
        <w:rPr>
          <w:spacing w:val="40"/>
          <w:sz w:val="20"/>
        </w:rPr>
        <w:t xml:space="preserve"> </w:t>
      </w:r>
      <w:r>
        <w:rPr>
          <w:sz w:val="20"/>
        </w:rPr>
        <w:t>a</w:t>
      </w:r>
      <w:r>
        <w:rPr>
          <w:spacing w:val="40"/>
          <w:sz w:val="20"/>
        </w:rPr>
        <w:t xml:space="preserve"> </w:t>
      </w:r>
      <w:r>
        <w:rPr>
          <w:sz w:val="20"/>
        </w:rPr>
        <w:t>dispensa</w:t>
      </w:r>
      <w:r>
        <w:rPr>
          <w:spacing w:val="40"/>
          <w:sz w:val="20"/>
        </w:rPr>
        <w:t xml:space="preserve"> </w:t>
      </w:r>
      <w:r>
        <w:rPr>
          <w:sz w:val="20"/>
        </w:rPr>
        <w:t>de</w:t>
      </w:r>
      <w:r>
        <w:rPr>
          <w:spacing w:val="40"/>
          <w:sz w:val="20"/>
        </w:rPr>
        <w:t xml:space="preserve"> </w:t>
      </w:r>
      <w:r>
        <w:rPr>
          <w:sz w:val="20"/>
        </w:rPr>
        <w:t>licitação</w:t>
      </w:r>
      <w:r>
        <w:rPr>
          <w:spacing w:val="40"/>
          <w:sz w:val="20"/>
        </w:rPr>
        <w:t xml:space="preserve"> </w:t>
      </w:r>
      <w:r>
        <w:rPr>
          <w:sz w:val="20"/>
        </w:rPr>
        <w:t>e</w:t>
      </w:r>
      <w:r>
        <w:rPr>
          <w:spacing w:val="40"/>
          <w:sz w:val="20"/>
        </w:rPr>
        <w:t xml:space="preserve"> </w:t>
      </w:r>
      <w:r>
        <w:rPr>
          <w:sz w:val="20"/>
        </w:rPr>
        <w:t>a inexigibilidade de licitação, as quais representam aproximada e respectivamente R$ 82 bilhões e R$ 78 bilhões;</w:t>
      </w:r>
      <w:r>
        <w:rPr>
          <w:spacing w:val="80"/>
          <w:sz w:val="20"/>
        </w:rPr>
        <w:t xml:space="preserve"> </w:t>
      </w:r>
      <w:r>
        <w:rPr>
          <w:sz w:val="20"/>
        </w:rPr>
        <w:t>por</w:t>
      </w:r>
      <w:r>
        <w:rPr>
          <w:spacing w:val="80"/>
          <w:sz w:val="20"/>
        </w:rPr>
        <w:t xml:space="preserve"> </w:t>
      </w:r>
      <w:r>
        <w:rPr>
          <w:sz w:val="20"/>
        </w:rPr>
        <w:t>sua</w:t>
      </w:r>
      <w:r>
        <w:rPr>
          <w:spacing w:val="80"/>
          <w:sz w:val="20"/>
        </w:rPr>
        <w:t xml:space="preserve"> </w:t>
      </w:r>
      <w:r>
        <w:rPr>
          <w:sz w:val="20"/>
        </w:rPr>
        <w:t>vez,</w:t>
      </w:r>
      <w:r>
        <w:rPr>
          <w:spacing w:val="80"/>
          <w:sz w:val="20"/>
        </w:rPr>
        <w:t xml:space="preserve"> </w:t>
      </w:r>
      <w:r>
        <w:rPr>
          <w:sz w:val="20"/>
        </w:rPr>
        <w:t>(iii)</w:t>
      </w:r>
      <w:r>
        <w:rPr>
          <w:spacing w:val="80"/>
          <w:sz w:val="20"/>
        </w:rPr>
        <w:t xml:space="preserve"> </w:t>
      </w:r>
      <w:r>
        <w:rPr>
          <w:sz w:val="20"/>
        </w:rPr>
        <w:t>as demais</w:t>
      </w:r>
      <w:r>
        <w:rPr>
          <w:spacing w:val="40"/>
          <w:sz w:val="20"/>
        </w:rPr>
        <w:t xml:space="preserve"> </w:t>
      </w:r>
      <w:r>
        <w:rPr>
          <w:sz w:val="20"/>
        </w:rPr>
        <w:t>modalidades</w:t>
      </w:r>
      <w:r>
        <w:rPr>
          <w:spacing w:val="40"/>
          <w:sz w:val="20"/>
        </w:rPr>
        <w:t xml:space="preserve"> </w:t>
      </w:r>
      <w:r>
        <w:rPr>
          <w:sz w:val="20"/>
        </w:rPr>
        <w:t>de</w:t>
      </w:r>
      <w:r>
        <w:rPr>
          <w:spacing w:val="40"/>
          <w:sz w:val="20"/>
        </w:rPr>
        <w:t xml:space="preserve"> </w:t>
      </w:r>
      <w:r>
        <w:rPr>
          <w:sz w:val="20"/>
        </w:rPr>
        <w:t>licitação</w:t>
      </w:r>
      <w:r>
        <w:rPr>
          <w:spacing w:val="40"/>
          <w:sz w:val="20"/>
        </w:rPr>
        <w:t xml:space="preserve"> </w:t>
      </w:r>
      <w:r>
        <w:rPr>
          <w:sz w:val="20"/>
        </w:rPr>
        <w:t>alcançam aproximadamente R$ 10,5 bilhões (concorrência), R$ 1,8 bilhão (tomada de preços), R$</w:t>
      </w:r>
      <w:r>
        <w:rPr>
          <w:spacing w:val="40"/>
          <w:sz w:val="20"/>
        </w:rPr>
        <w:t xml:space="preserve"> </w:t>
      </w:r>
      <w:r>
        <w:rPr>
          <w:sz w:val="20"/>
        </w:rPr>
        <w:t>280</w:t>
      </w:r>
      <w:r>
        <w:rPr>
          <w:spacing w:val="40"/>
          <w:sz w:val="20"/>
        </w:rPr>
        <w:t xml:space="preserve"> </w:t>
      </w:r>
      <w:r>
        <w:rPr>
          <w:sz w:val="20"/>
        </w:rPr>
        <w:t>milhões (concorrência internacional), R$ 58 milhões (convite) e R$ 6,6 milhões (concurso). Ademais, observa-se do Painel de Compras que, do total de processos de compras divulgados, a contratação de serviços corresponde a 40,1%,</w:t>
      </w:r>
      <w:r>
        <w:rPr>
          <w:spacing w:val="40"/>
          <w:sz w:val="20"/>
        </w:rPr>
        <w:t xml:space="preserve"> </w:t>
      </w:r>
      <w:r>
        <w:rPr>
          <w:sz w:val="20"/>
        </w:rPr>
        <w:t>enquanto a de materiais representa 59,9%.</w:t>
      </w:r>
    </w:p>
    <w:p w:rsidR="007259F2" w:rsidRDefault="00E655B4">
      <w:pPr>
        <w:spacing w:before="2"/>
        <w:ind w:left="2978"/>
        <w:rPr>
          <w:sz w:val="20"/>
        </w:rPr>
      </w:pPr>
      <w:r>
        <w:rPr>
          <w:spacing w:val="-2"/>
          <w:sz w:val="20"/>
        </w:rPr>
        <w:t>(...)</w:t>
      </w:r>
    </w:p>
    <w:p w:rsidR="007259F2" w:rsidRDefault="00E655B4">
      <w:pPr>
        <w:ind w:left="2978" w:right="992"/>
        <w:jc w:val="both"/>
        <w:rPr>
          <w:sz w:val="20"/>
        </w:rPr>
      </w:pPr>
      <w:r>
        <w:rPr>
          <w:sz w:val="20"/>
        </w:rPr>
        <w:t>Como se verifica, na prática, quantitativamente o que deveria ser a exceção (contratação</w:t>
      </w:r>
      <w:r>
        <w:rPr>
          <w:spacing w:val="-3"/>
          <w:sz w:val="20"/>
        </w:rPr>
        <w:t xml:space="preserve"> </w:t>
      </w:r>
      <w:r>
        <w:rPr>
          <w:sz w:val="20"/>
        </w:rPr>
        <w:t>direta</w:t>
      </w:r>
      <w:r>
        <w:rPr>
          <w:spacing w:val="-4"/>
          <w:sz w:val="20"/>
        </w:rPr>
        <w:t xml:space="preserve"> </w:t>
      </w:r>
      <w:r>
        <w:rPr>
          <w:sz w:val="20"/>
        </w:rPr>
        <w:t>de</w:t>
      </w:r>
      <w:r>
        <w:rPr>
          <w:spacing w:val="-4"/>
          <w:sz w:val="20"/>
        </w:rPr>
        <w:t xml:space="preserve"> </w:t>
      </w:r>
      <w:r>
        <w:rPr>
          <w:sz w:val="20"/>
        </w:rPr>
        <w:t>bens</w:t>
      </w:r>
      <w:r>
        <w:rPr>
          <w:spacing w:val="-5"/>
          <w:sz w:val="20"/>
        </w:rPr>
        <w:t xml:space="preserve"> </w:t>
      </w:r>
      <w:r>
        <w:rPr>
          <w:sz w:val="20"/>
        </w:rPr>
        <w:t>e</w:t>
      </w:r>
      <w:r>
        <w:rPr>
          <w:spacing w:val="-2"/>
          <w:sz w:val="20"/>
        </w:rPr>
        <w:t xml:space="preserve"> </w:t>
      </w:r>
      <w:r>
        <w:rPr>
          <w:sz w:val="20"/>
        </w:rPr>
        <w:t>serviços),</w:t>
      </w:r>
      <w:r>
        <w:rPr>
          <w:spacing w:val="-4"/>
          <w:sz w:val="20"/>
        </w:rPr>
        <w:t xml:space="preserve"> </w:t>
      </w:r>
      <w:r>
        <w:rPr>
          <w:sz w:val="20"/>
        </w:rPr>
        <w:t>conforme</w:t>
      </w:r>
      <w:r>
        <w:rPr>
          <w:spacing w:val="-4"/>
          <w:sz w:val="20"/>
        </w:rPr>
        <w:t xml:space="preserve"> </w:t>
      </w:r>
      <w:r>
        <w:rPr>
          <w:sz w:val="20"/>
        </w:rPr>
        <w:t>a</w:t>
      </w:r>
      <w:r>
        <w:rPr>
          <w:spacing w:val="-2"/>
          <w:sz w:val="20"/>
        </w:rPr>
        <w:t xml:space="preserve"> </w:t>
      </w:r>
      <w:r>
        <w:rPr>
          <w:sz w:val="20"/>
        </w:rPr>
        <w:t>legislação</w:t>
      </w:r>
      <w:r>
        <w:rPr>
          <w:spacing w:val="-3"/>
          <w:sz w:val="20"/>
        </w:rPr>
        <w:t xml:space="preserve"> </w:t>
      </w:r>
      <w:r>
        <w:rPr>
          <w:sz w:val="20"/>
        </w:rPr>
        <w:t>constitucional</w:t>
      </w:r>
      <w:r>
        <w:rPr>
          <w:spacing w:val="-2"/>
          <w:sz w:val="20"/>
        </w:rPr>
        <w:t xml:space="preserve"> </w:t>
      </w:r>
      <w:r>
        <w:rPr>
          <w:sz w:val="20"/>
        </w:rPr>
        <w:t>e infraconstitucional, acaba se tornando a regra nos processos de compras públicas, ao passo que a regra (contratação mediante processo licitatório) é empreendida em menos ocasiões.</w:t>
      </w:r>
    </w:p>
    <w:p w:rsidR="007259F2" w:rsidRDefault="00E655B4">
      <w:pPr>
        <w:pStyle w:val="Corpodetexto"/>
        <w:spacing w:before="229"/>
        <w:ind w:right="989"/>
      </w:pPr>
      <w:r>
        <w:t>Como bem apontado pelo autor, o que se observa é uma real inversão da regra e exceção, haja vista que as contratações diretas no período analisado representaram</w:t>
      </w:r>
      <w:r>
        <w:rPr>
          <w:spacing w:val="40"/>
        </w:rPr>
        <w:t xml:space="preserve"> </w:t>
      </w:r>
      <w:r>
        <w:t>muito mais que a metade das compras públicas (71,25%). Ainda que, quando analisado o valor das contratações, a modalidade licitatória pregão ultrapasse as contratações diretas, os valores despendidos em dispensas e inexigibilidade ainda representam uma parcela</w:t>
      </w:r>
      <w:r>
        <w:rPr>
          <w:spacing w:val="40"/>
        </w:rPr>
        <w:t xml:space="preserve"> </w:t>
      </w:r>
      <w:r>
        <w:t>significativa</w:t>
      </w:r>
      <w:r>
        <w:rPr>
          <w:spacing w:val="40"/>
        </w:rPr>
        <w:t xml:space="preserve"> </w:t>
      </w:r>
      <w:r>
        <w:t xml:space="preserve">do total de compras. Isto mostra que o procedimento de contratação direta não pode ser encarado como uma excepcionalidade na atividade </w:t>
      </w:r>
      <w:r>
        <w:rPr>
          <w:spacing w:val="-2"/>
        </w:rPr>
        <w:t>administrativa.</w:t>
      </w:r>
    </w:p>
    <w:p w:rsidR="007259F2" w:rsidRDefault="00E655B4">
      <w:pPr>
        <w:pStyle w:val="Corpodetexto"/>
        <w:spacing w:before="1"/>
        <w:ind w:right="993"/>
      </w:pPr>
      <w:r>
        <w:t>Ao se analisar dados mais recentes, vê-se que tal panorama referente ao período de 2016 e 2020 supracitado não se modificou. É o que aponta o gráfico abaixo retirado do Portal da Transparência do Governo Federal relativo ao ano de 2023:</w:t>
      </w:r>
    </w:p>
    <w:p w:rsidR="007259F2" w:rsidRDefault="007259F2">
      <w:pPr>
        <w:pStyle w:val="Corpodetexto"/>
        <w:ind w:left="0" w:firstLine="0"/>
        <w:jc w:val="left"/>
        <w:rPr>
          <w:sz w:val="22"/>
        </w:rPr>
      </w:pPr>
    </w:p>
    <w:p w:rsidR="007259F2" w:rsidRDefault="007259F2">
      <w:pPr>
        <w:pStyle w:val="Corpodetexto"/>
        <w:ind w:left="0" w:firstLine="0"/>
        <w:jc w:val="left"/>
        <w:rPr>
          <w:sz w:val="22"/>
        </w:rPr>
      </w:pPr>
    </w:p>
    <w:p w:rsidR="007259F2" w:rsidRDefault="007259F2">
      <w:pPr>
        <w:pStyle w:val="Corpodetexto"/>
        <w:ind w:left="0" w:firstLine="0"/>
        <w:jc w:val="left"/>
        <w:rPr>
          <w:sz w:val="22"/>
        </w:rPr>
      </w:pPr>
    </w:p>
    <w:p w:rsidR="007259F2" w:rsidRDefault="007259F2">
      <w:pPr>
        <w:pStyle w:val="Corpodetexto"/>
        <w:ind w:left="0" w:firstLine="0"/>
        <w:jc w:val="left"/>
        <w:rPr>
          <w:sz w:val="22"/>
        </w:rPr>
      </w:pPr>
    </w:p>
    <w:p w:rsidR="007259F2" w:rsidRDefault="007259F2">
      <w:pPr>
        <w:pStyle w:val="Corpodetexto"/>
        <w:ind w:left="0" w:firstLine="0"/>
        <w:jc w:val="left"/>
        <w:rPr>
          <w:sz w:val="22"/>
        </w:rPr>
      </w:pPr>
    </w:p>
    <w:p w:rsidR="007259F2" w:rsidRDefault="007259F2">
      <w:pPr>
        <w:pStyle w:val="Corpodetexto"/>
        <w:ind w:left="0" w:firstLine="0"/>
        <w:jc w:val="left"/>
        <w:rPr>
          <w:sz w:val="22"/>
        </w:rPr>
      </w:pPr>
    </w:p>
    <w:p w:rsidR="007259F2" w:rsidRDefault="007259F2">
      <w:pPr>
        <w:pStyle w:val="Corpodetexto"/>
        <w:ind w:left="0" w:firstLine="0"/>
        <w:jc w:val="left"/>
        <w:rPr>
          <w:sz w:val="22"/>
        </w:rPr>
      </w:pPr>
    </w:p>
    <w:p w:rsidR="007259F2" w:rsidRDefault="007259F2">
      <w:pPr>
        <w:pStyle w:val="Corpodetexto"/>
        <w:ind w:left="0" w:firstLine="0"/>
        <w:jc w:val="left"/>
        <w:rPr>
          <w:sz w:val="22"/>
        </w:rPr>
      </w:pPr>
    </w:p>
    <w:p w:rsidR="007259F2" w:rsidRDefault="007259F2">
      <w:pPr>
        <w:pStyle w:val="Corpodetexto"/>
        <w:ind w:left="0" w:firstLine="0"/>
        <w:jc w:val="left"/>
        <w:rPr>
          <w:sz w:val="22"/>
        </w:rPr>
      </w:pPr>
    </w:p>
    <w:p w:rsidR="007259F2" w:rsidRDefault="007259F2">
      <w:pPr>
        <w:pStyle w:val="Corpodetexto"/>
        <w:ind w:left="0" w:firstLine="0"/>
        <w:jc w:val="left"/>
        <w:rPr>
          <w:sz w:val="22"/>
        </w:rPr>
      </w:pPr>
    </w:p>
    <w:p w:rsidR="007259F2" w:rsidRDefault="007259F2">
      <w:pPr>
        <w:pStyle w:val="Corpodetexto"/>
        <w:spacing w:before="37"/>
        <w:ind w:left="0" w:firstLine="0"/>
        <w:jc w:val="left"/>
        <w:rPr>
          <w:sz w:val="22"/>
        </w:rPr>
      </w:pPr>
    </w:p>
    <w:p w:rsidR="007259F2" w:rsidRDefault="00DE6B1C">
      <w:pPr>
        <w:ind w:right="120"/>
        <w:jc w:val="right"/>
      </w:pPr>
      <w:r w:rsidRPr="00DE6B1C">
        <w:pict>
          <v:shape id="docshape24" o:spid="_x0000_s1200" type="#_x0000_t202" style="position:absolute;left:0;text-align:left;margin-left:542.75pt;margin-top:.45pt;width:5.55pt;height:12.25pt;z-index:-19475456;mso-position-horizontal-relative:page" filled="f" stroked="f">
            <v:textbox inset="0,0,0,0">
              <w:txbxContent>
                <w:p w:rsidR="007259F2" w:rsidRDefault="00E655B4">
                  <w:pPr>
                    <w:spacing w:line="244" w:lineRule="exact"/>
                  </w:pPr>
                  <w:r>
                    <w:rPr>
                      <w:color w:val="4F81BC"/>
                      <w:spacing w:val="-10"/>
                    </w:rPr>
                    <w:t>4</w:t>
                  </w:r>
                </w:p>
              </w:txbxContent>
            </v:textbox>
            <w10:wrap anchorx="page"/>
          </v:shape>
        </w:pict>
      </w:r>
      <w:r w:rsidR="00E655B4">
        <w:rPr>
          <w:color w:val="4F81BC"/>
          <w:spacing w:val="-10"/>
        </w:rPr>
        <w:t>3</w:t>
      </w:r>
    </w:p>
    <w:p w:rsidR="007259F2" w:rsidRDefault="007259F2">
      <w:pPr>
        <w:jc w:val="right"/>
        <w:sectPr w:rsidR="007259F2">
          <w:footerReference w:type="default" r:id="rId39"/>
          <w:pgSz w:w="11910" w:h="16840"/>
          <w:pgMar w:top="1320" w:right="708" w:bottom="0" w:left="992" w:header="0" w:footer="0" w:gutter="0"/>
          <w:cols w:space="720"/>
        </w:sectPr>
      </w:pPr>
    </w:p>
    <w:p w:rsidR="007259F2" w:rsidRDefault="00E655B4">
      <w:pPr>
        <w:pStyle w:val="Corpodetexto"/>
        <w:ind w:left="750" w:firstLine="0"/>
        <w:jc w:val="left"/>
        <w:rPr>
          <w:sz w:val="20"/>
        </w:rPr>
      </w:pPr>
      <w:r>
        <w:rPr>
          <w:noProof/>
          <w:sz w:val="20"/>
          <w:lang w:val="pt-BR" w:eastAsia="pt-BR"/>
        </w:rPr>
        <w:lastRenderedPageBreak/>
        <w:drawing>
          <wp:inline distT="0" distB="0" distL="0" distR="0">
            <wp:extent cx="5349634" cy="3451860"/>
            <wp:effectExtent l="0" t="0" r="0" b="0"/>
            <wp:docPr id="27" name="Image 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 name="Image 27"/>
                    <pic:cNvPicPr/>
                  </pic:nvPicPr>
                  <pic:blipFill>
                    <a:blip r:embed="rId40" cstate="print"/>
                    <a:stretch>
                      <a:fillRect/>
                    </a:stretch>
                  </pic:blipFill>
                  <pic:spPr>
                    <a:xfrm>
                      <a:off x="0" y="0"/>
                      <a:ext cx="5349634" cy="3451860"/>
                    </a:xfrm>
                    <a:prstGeom prst="rect">
                      <a:avLst/>
                    </a:prstGeom>
                  </pic:spPr>
                </pic:pic>
              </a:graphicData>
            </a:graphic>
          </wp:inline>
        </w:drawing>
      </w:r>
    </w:p>
    <w:p w:rsidR="007259F2" w:rsidRDefault="007259F2">
      <w:pPr>
        <w:pStyle w:val="Corpodetexto"/>
        <w:spacing w:before="33"/>
        <w:ind w:left="0" w:firstLine="0"/>
        <w:jc w:val="left"/>
        <w:rPr>
          <w:sz w:val="20"/>
        </w:rPr>
      </w:pPr>
    </w:p>
    <w:p w:rsidR="007259F2" w:rsidRDefault="00E655B4">
      <w:pPr>
        <w:ind w:right="290"/>
        <w:jc w:val="center"/>
        <w:rPr>
          <w:sz w:val="20"/>
        </w:rPr>
      </w:pPr>
      <w:r>
        <w:rPr>
          <w:sz w:val="20"/>
        </w:rPr>
        <w:t>Figura</w:t>
      </w:r>
      <w:r>
        <w:rPr>
          <w:spacing w:val="-5"/>
          <w:sz w:val="20"/>
        </w:rPr>
        <w:t xml:space="preserve"> </w:t>
      </w:r>
      <w:r>
        <w:rPr>
          <w:sz w:val="20"/>
        </w:rPr>
        <w:t>01:</w:t>
      </w:r>
      <w:r>
        <w:rPr>
          <w:spacing w:val="-6"/>
          <w:sz w:val="20"/>
        </w:rPr>
        <w:t xml:space="preserve"> </w:t>
      </w:r>
      <w:r>
        <w:rPr>
          <w:sz w:val="20"/>
        </w:rPr>
        <w:t>Valores</w:t>
      </w:r>
      <w:r>
        <w:rPr>
          <w:spacing w:val="-6"/>
          <w:sz w:val="20"/>
        </w:rPr>
        <w:t xml:space="preserve"> </w:t>
      </w:r>
      <w:r>
        <w:rPr>
          <w:sz w:val="20"/>
        </w:rPr>
        <w:t>contratados</w:t>
      </w:r>
      <w:r>
        <w:rPr>
          <w:spacing w:val="-6"/>
          <w:sz w:val="20"/>
        </w:rPr>
        <w:t xml:space="preserve"> </w:t>
      </w:r>
      <w:r>
        <w:rPr>
          <w:sz w:val="20"/>
        </w:rPr>
        <w:t>pelo</w:t>
      </w:r>
      <w:r>
        <w:rPr>
          <w:spacing w:val="-4"/>
          <w:sz w:val="20"/>
        </w:rPr>
        <w:t xml:space="preserve"> </w:t>
      </w:r>
      <w:r>
        <w:rPr>
          <w:sz w:val="20"/>
        </w:rPr>
        <w:t>Governo</w:t>
      </w:r>
      <w:r>
        <w:rPr>
          <w:spacing w:val="-4"/>
          <w:sz w:val="20"/>
        </w:rPr>
        <w:t xml:space="preserve"> </w:t>
      </w:r>
      <w:r>
        <w:rPr>
          <w:sz w:val="20"/>
        </w:rPr>
        <w:t>Federal</w:t>
      </w:r>
      <w:r>
        <w:rPr>
          <w:spacing w:val="-5"/>
          <w:sz w:val="20"/>
        </w:rPr>
        <w:t xml:space="preserve"> </w:t>
      </w:r>
      <w:r>
        <w:rPr>
          <w:sz w:val="20"/>
        </w:rPr>
        <w:t>por</w:t>
      </w:r>
      <w:r>
        <w:rPr>
          <w:spacing w:val="-4"/>
          <w:sz w:val="20"/>
        </w:rPr>
        <w:t xml:space="preserve"> </w:t>
      </w:r>
      <w:r>
        <w:rPr>
          <w:sz w:val="20"/>
        </w:rPr>
        <w:t>modalidade</w:t>
      </w:r>
      <w:r>
        <w:rPr>
          <w:spacing w:val="-7"/>
          <w:sz w:val="20"/>
        </w:rPr>
        <w:t xml:space="preserve"> </w:t>
      </w:r>
      <w:r>
        <w:rPr>
          <w:sz w:val="20"/>
        </w:rPr>
        <w:t>de</w:t>
      </w:r>
      <w:r>
        <w:rPr>
          <w:spacing w:val="-5"/>
          <w:sz w:val="20"/>
        </w:rPr>
        <w:t xml:space="preserve"> </w:t>
      </w:r>
      <w:r>
        <w:rPr>
          <w:spacing w:val="-2"/>
          <w:sz w:val="20"/>
        </w:rPr>
        <w:t>licitação.</w:t>
      </w:r>
    </w:p>
    <w:p w:rsidR="007259F2" w:rsidRDefault="00E655B4">
      <w:pPr>
        <w:ind w:left="3441"/>
        <w:rPr>
          <w:sz w:val="20"/>
        </w:rPr>
      </w:pPr>
      <w:r>
        <w:rPr>
          <w:sz w:val="20"/>
        </w:rPr>
        <w:t>Fonte:</w:t>
      </w:r>
      <w:r>
        <w:rPr>
          <w:spacing w:val="-8"/>
          <w:sz w:val="20"/>
        </w:rPr>
        <w:t xml:space="preserve"> </w:t>
      </w:r>
      <w:r>
        <w:rPr>
          <w:sz w:val="20"/>
        </w:rPr>
        <w:t>GOVERNO</w:t>
      </w:r>
      <w:r>
        <w:rPr>
          <w:spacing w:val="-8"/>
          <w:sz w:val="20"/>
        </w:rPr>
        <w:t xml:space="preserve"> </w:t>
      </w:r>
      <w:r>
        <w:rPr>
          <w:sz w:val="20"/>
        </w:rPr>
        <w:t>FEDERAL,</w:t>
      </w:r>
      <w:r>
        <w:rPr>
          <w:spacing w:val="-8"/>
          <w:sz w:val="20"/>
        </w:rPr>
        <w:t xml:space="preserve"> </w:t>
      </w:r>
      <w:r>
        <w:rPr>
          <w:spacing w:val="-2"/>
          <w:sz w:val="20"/>
        </w:rPr>
        <w:t>2024.</w:t>
      </w:r>
    </w:p>
    <w:p w:rsidR="007259F2" w:rsidRDefault="007259F2">
      <w:pPr>
        <w:pStyle w:val="Corpodetexto"/>
        <w:spacing w:before="14"/>
        <w:ind w:left="0" w:firstLine="0"/>
        <w:jc w:val="left"/>
        <w:rPr>
          <w:sz w:val="20"/>
        </w:rPr>
      </w:pPr>
    </w:p>
    <w:p w:rsidR="007259F2" w:rsidRDefault="00E655B4">
      <w:pPr>
        <w:pStyle w:val="Corpodetexto"/>
        <w:ind w:right="997"/>
      </w:pPr>
      <w:r>
        <w:t>Os dados apontam que, considerando os valores contratados, o pregão é a modalidade de licitação mais utilizada, seguido dos casos de inexigibilidade e dispensa, respectivamente. No entanto, a soma das duas hipóteses de contratação direta ultrapassa o valor do pregão, representando então a maior parcela das compras públicas.</w:t>
      </w:r>
    </w:p>
    <w:p w:rsidR="007259F2" w:rsidRDefault="00E655B4">
      <w:pPr>
        <w:pStyle w:val="Corpodetexto"/>
        <w:ind w:right="992"/>
      </w:pPr>
      <w:r>
        <w:t>O</w:t>
      </w:r>
      <w:r>
        <w:rPr>
          <w:spacing w:val="-1"/>
        </w:rPr>
        <w:t xml:space="preserve"> </w:t>
      </w:r>
      <w:r>
        <w:t>padrão se mantém nos dados extraídos do Painel de</w:t>
      </w:r>
      <w:r>
        <w:rPr>
          <w:spacing w:val="-1"/>
        </w:rPr>
        <w:t xml:space="preserve"> </w:t>
      </w:r>
      <w:r>
        <w:t>Compras do Ministério</w:t>
      </w:r>
      <w:r>
        <w:rPr>
          <w:spacing w:val="-1"/>
        </w:rPr>
        <w:t xml:space="preserve"> </w:t>
      </w:r>
      <w:r>
        <w:t>da Economia que contabiliza as compras realizadas por meio da plataforma Compras.gov, sistema este utilizado por diferentes órgãos da Administração Pública, de todos os entes federativos. Veja-se:</w:t>
      </w:r>
    </w:p>
    <w:p w:rsidR="007259F2" w:rsidRDefault="00E655B4">
      <w:pPr>
        <w:pStyle w:val="Corpodetexto"/>
        <w:spacing w:before="84"/>
        <w:ind w:left="0" w:firstLine="0"/>
        <w:jc w:val="left"/>
        <w:rPr>
          <w:sz w:val="20"/>
        </w:rPr>
      </w:pPr>
      <w:r>
        <w:rPr>
          <w:noProof/>
          <w:sz w:val="20"/>
          <w:lang w:val="pt-BR" w:eastAsia="pt-BR"/>
        </w:rPr>
        <w:drawing>
          <wp:anchor distT="0" distB="0" distL="0" distR="0" simplePos="0" relativeHeight="487592960" behindDoc="1" locked="0" layoutInCell="1" allowOverlap="1">
            <wp:simplePos x="0" y="0"/>
            <wp:positionH relativeFrom="page">
              <wp:posOffset>2228850</wp:posOffset>
            </wp:positionH>
            <wp:positionV relativeFrom="paragraph">
              <wp:posOffset>215179</wp:posOffset>
            </wp:positionV>
            <wp:extent cx="3433152" cy="2434590"/>
            <wp:effectExtent l="0" t="0" r="0" b="0"/>
            <wp:wrapTopAndBottom/>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41" cstate="print"/>
                    <a:stretch>
                      <a:fillRect/>
                    </a:stretch>
                  </pic:blipFill>
                  <pic:spPr>
                    <a:xfrm>
                      <a:off x="0" y="0"/>
                      <a:ext cx="3433152" cy="2434590"/>
                    </a:xfrm>
                    <a:prstGeom prst="rect">
                      <a:avLst/>
                    </a:prstGeom>
                  </pic:spPr>
                </pic:pic>
              </a:graphicData>
            </a:graphic>
          </wp:anchor>
        </w:drawing>
      </w:r>
    </w:p>
    <w:p w:rsidR="007259F2" w:rsidRDefault="00E655B4">
      <w:pPr>
        <w:spacing w:before="212"/>
        <w:ind w:left="425"/>
        <w:jc w:val="center"/>
        <w:rPr>
          <w:sz w:val="20"/>
        </w:rPr>
      </w:pPr>
      <w:r>
        <w:rPr>
          <w:sz w:val="20"/>
        </w:rPr>
        <w:t>Figura</w:t>
      </w:r>
      <w:r>
        <w:rPr>
          <w:spacing w:val="-9"/>
          <w:sz w:val="20"/>
        </w:rPr>
        <w:t xml:space="preserve"> </w:t>
      </w:r>
      <w:r>
        <w:rPr>
          <w:sz w:val="20"/>
        </w:rPr>
        <w:t>02:</w:t>
      </w:r>
      <w:r>
        <w:rPr>
          <w:spacing w:val="-10"/>
          <w:sz w:val="20"/>
        </w:rPr>
        <w:t xml:space="preserve"> </w:t>
      </w:r>
      <w:r>
        <w:rPr>
          <w:sz w:val="20"/>
        </w:rPr>
        <w:t>Quantidade</w:t>
      </w:r>
      <w:r>
        <w:rPr>
          <w:spacing w:val="-10"/>
          <w:sz w:val="20"/>
        </w:rPr>
        <w:t xml:space="preserve"> </w:t>
      </w:r>
      <w:r>
        <w:rPr>
          <w:sz w:val="20"/>
        </w:rPr>
        <w:t>de</w:t>
      </w:r>
      <w:r>
        <w:rPr>
          <w:spacing w:val="-10"/>
          <w:sz w:val="20"/>
        </w:rPr>
        <w:t xml:space="preserve"> </w:t>
      </w:r>
      <w:r>
        <w:rPr>
          <w:sz w:val="20"/>
        </w:rPr>
        <w:t>compras</w:t>
      </w:r>
      <w:r>
        <w:rPr>
          <w:spacing w:val="-11"/>
          <w:sz w:val="20"/>
        </w:rPr>
        <w:t xml:space="preserve"> </w:t>
      </w:r>
      <w:r>
        <w:rPr>
          <w:sz w:val="20"/>
        </w:rPr>
        <w:t>no</w:t>
      </w:r>
      <w:r>
        <w:rPr>
          <w:spacing w:val="-6"/>
          <w:sz w:val="20"/>
        </w:rPr>
        <w:t xml:space="preserve"> </w:t>
      </w:r>
      <w:r>
        <w:rPr>
          <w:sz w:val="20"/>
        </w:rPr>
        <w:t>sistema</w:t>
      </w:r>
      <w:r>
        <w:rPr>
          <w:spacing w:val="-9"/>
          <w:sz w:val="20"/>
        </w:rPr>
        <w:t xml:space="preserve"> </w:t>
      </w:r>
      <w:r>
        <w:rPr>
          <w:sz w:val="20"/>
        </w:rPr>
        <w:t>Compras.gov</w:t>
      </w:r>
      <w:r>
        <w:rPr>
          <w:spacing w:val="-9"/>
          <w:sz w:val="20"/>
        </w:rPr>
        <w:t xml:space="preserve"> </w:t>
      </w:r>
      <w:r>
        <w:rPr>
          <w:sz w:val="20"/>
        </w:rPr>
        <w:t>em</w:t>
      </w:r>
      <w:r>
        <w:rPr>
          <w:spacing w:val="-11"/>
          <w:sz w:val="20"/>
        </w:rPr>
        <w:t xml:space="preserve"> </w:t>
      </w:r>
      <w:r>
        <w:rPr>
          <w:sz w:val="20"/>
        </w:rPr>
        <w:t>2023</w:t>
      </w:r>
      <w:r>
        <w:rPr>
          <w:spacing w:val="-8"/>
          <w:sz w:val="20"/>
        </w:rPr>
        <w:t xml:space="preserve"> </w:t>
      </w:r>
      <w:r>
        <w:rPr>
          <w:sz w:val="20"/>
        </w:rPr>
        <w:t>por</w:t>
      </w:r>
      <w:r>
        <w:rPr>
          <w:spacing w:val="-9"/>
          <w:sz w:val="20"/>
        </w:rPr>
        <w:t xml:space="preserve"> </w:t>
      </w:r>
      <w:r>
        <w:rPr>
          <w:sz w:val="20"/>
        </w:rPr>
        <w:t>modalidade</w:t>
      </w:r>
      <w:r>
        <w:rPr>
          <w:spacing w:val="-10"/>
          <w:sz w:val="20"/>
        </w:rPr>
        <w:t xml:space="preserve"> </w:t>
      </w:r>
      <w:r>
        <w:rPr>
          <w:sz w:val="20"/>
        </w:rPr>
        <w:t>de</w:t>
      </w:r>
      <w:r>
        <w:rPr>
          <w:spacing w:val="-9"/>
          <w:sz w:val="20"/>
        </w:rPr>
        <w:t xml:space="preserve"> </w:t>
      </w:r>
      <w:r>
        <w:rPr>
          <w:spacing w:val="-2"/>
          <w:sz w:val="20"/>
        </w:rPr>
        <w:t>licitação.</w:t>
      </w:r>
    </w:p>
    <w:p w:rsidR="007259F2" w:rsidRDefault="00E655B4">
      <w:pPr>
        <w:spacing w:before="1"/>
        <w:ind w:left="3473"/>
        <w:rPr>
          <w:sz w:val="20"/>
        </w:rPr>
      </w:pPr>
      <w:r>
        <w:rPr>
          <w:spacing w:val="-2"/>
          <w:sz w:val="20"/>
        </w:rPr>
        <w:t>Fonte:</w:t>
      </w:r>
      <w:r>
        <w:rPr>
          <w:spacing w:val="-1"/>
          <w:sz w:val="20"/>
        </w:rPr>
        <w:t xml:space="preserve"> </w:t>
      </w:r>
      <w:r>
        <w:rPr>
          <w:spacing w:val="-2"/>
          <w:sz w:val="20"/>
        </w:rPr>
        <w:t>MINISTÉRIO</w:t>
      </w:r>
      <w:r>
        <w:rPr>
          <w:sz w:val="20"/>
        </w:rPr>
        <w:t xml:space="preserve"> </w:t>
      </w:r>
      <w:r>
        <w:rPr>
          <w:spacing w:val="-2"/>
          <w:sz w:val="20"/>
        </w:rPr>
        <w:t>DA</w:t>
      </w:r>
      <w:r>
        <w:rPr>
          <w:spacing w:val="-3"/>
          <w:sz w:val="20"/>
        </w:rPr>
        <w:t xml:space="preserve"> </w:t>
      </w:r>
      <w:r>
        <w:rPr>
          <w:spacing w:val="-2"/>
          <w:sz w:val="20"/>
        </w:rPr>
        <w:t>ECONOMIA,</w:t>
      </w:r>
      <w:r>
        <w:rPr>
          <w:spacing w:val="1"/>
          <w:sz w:val="20"/>
        </w:rPr>
        <w:t xml:space="preserve"> </w:t>
      </w:r>
      <w:r>
        <w:rPr>
          <w:spacing w:val="-2"/>
          <w:sz w:val="20"/>
        </w:rPr>
        <w:t>2024.</w:t>
      </w:r>
    </w:p>
    <w:p w:rsidR="007259F2" w:rsidRDefault="007259F2">
      <w:pPr>
        <w:rPr>
          <w:sz w:val="20"/>
        </w:rPr>
        <w:sectPr w:rsidR="007259F2">
          <w:footerReference w:type="default" r:id="rId42"/>
          <w:pgSz w:w="11910" w:h="16840"/>
          <w:pgMar w:top="1400" w:right="708" w:bottom="1160" w:left="992" w:header="0" w:footer="962" w:gutter="0"/>
          <w:pgNumType w:start="44"/>
          <w:cols w:space="720"/>
        </w:sectPr>
      </w:pPr>
    </w:p>
    <w:p w:rsidR="007259F2" w:rsidRDefault="00E655B4">
      <w:pPr>
        <w:pStyle w:val="Corpodetexto"/>
        <w:ind w:left="2523" w:firstLine="0"/>
        <w:jc w:val="left"/>
        <w:rPr>
          <w:sz w:val="20"/>
        </w:rPr>
      </w:pPr>
      <w:r>
        <w:rPr>
          <w:noProof/>
          <w:sz w:val="20"/>
          <w:lang w:val="pt-BR" w:eastAsia="pt-BR"/>
        </w:rPr>
        <w:lastRenderedPageBreak/>
        <w:drawing>
          <wp:inline distT="0" distB="0" distL="0" distR="0">
            <wp:extent cx="3444290" cy="2680334"/>
            <wp:effectExtent l="0" t="0" r="0" b="0"/>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43" cstate="print"/>
                    <a:stretch>
                      <a:fillRect/>
                    </a:stretch>
                  </pic:blipFill>
                  <pic:spPr>
                    <a:xfrm>
                      <a:off x="0" y="0"/>
                      <a:ext cx="3444290" cy="2680334"/>
                    </a:xfrm>
                    <a:prstGeom prst="rect">
                      <a:avLst/>
                    </a:prstGeom>
                  </pic:spPr>
                </pic:pic>
              </a:graphicData>
            </a:graphic>
          </wp:inline>
        </w:drawing>
      </w:r>
    </w:p>
    <w:p w:rsidR="007259F2" w:rsidRDefault="00E655B4">
      <w:pPr>
        <w:ind w:left="427"/>
        <w:jc w:val="center"/>
        <w:rPr>
          <w:sz w:val="20"/>
        </w:rPr>
      </w:pPr>
      <w:r>
        <w:rPr>
          <w:sz w:val="20"/>
        </w:rPr>
        <w:t>Figura</w:t>
      </w:r>
      <w:r>
        <w:rPr>
          <w:spacing w:val="-9"/>
          <w:sz w:val="20"/>
        </w:rPr>
        <w:t xml:space="preserve"> </w:t>
      </w:r>
      <w:r>
        <w:rPr>
          <w:sz w:val="20"/>
        </w:rPr>
        <w:t>03:</w:t>
      </w:r>
      <w:r>
        <w:rPr>
          <w:spacing w:val="-9"/>
          <w:sz w:val="20"/>
        </w:rPr>
        <w:t xml:space="preserve"> </w:t>
      </w:r>
      <w:r>
        <w:rPr>
          <w:sz w:val="20"/>
        </w:rPr>
        <w:t>Valores</w:t>
      </w:r>
      <w:r>
        <w:rPr>
          <w:spacing w:val="-8"/>
          <w:sz w:val="20"/>
        </w:rPr>
        <w:t xml:space="preserve"> </w:t>
      </w:r>
      <w:r>
        <w:rPr>
          <w:sz w:val="20"/>
        </w:rPr>
        <w:t>das</w:t>
      </w:r>
      <w:r>
        <w:rPr>
          <w:spacing w:val="-10"/>
          <w:sz w:val="20"/>
        </w:rPr>
        <w:t xml:space="preserve"> </w:t>
      </w:r>
      <w:r>
        <w:rPr>
          <w:sz w:val="20"/>
        </w:rPr>
        <w:t>compras</w:t>
      </w:r>
      <w:r>
        <w:rPr>
          <w:spacing w:val="-9"/>
          <w:sz w:val="20"/>
        </w:rPr>
        <w:t xml:space="preserve"> </w:t>
      </w:r>
      <w:r>
        <w:rPr>
          <w:sz w:val="20"/>
        </w:rPr>
        <w:t>no</w:t>
      </w:r>
      <w:r>
        <w:rPr>
          <w:spacing w:val="-6"/>
          <w:sz w:val="20"/>
        </w:rPr>
        <w:t xml:space="preserve"> </w:t>
      </w:r>
      <w:r>
        <w:rPr>
          <w:sz w:val="20"/>
        </w:rPr>
        <w:t>sistema</w:t>
      </w:r>
      <w:r>
        <w:rPr>
          <w:spacing w:val="-8"/>
          <w:sz w:val="20"/>
        </w:rPr>
        <w:t xml:space="preserve"> </w:t>
      </w:r>
      <w:r>
        <w:rPr>
          <w:sz w:val="20"/>
        </w:rPr>
        <w:t>Compras.gov</w:t>
      </w:r>
      <w:r>
        <w:rPr>
          <w:spacing w:val="-7"/>
          <w:sz w:val="20"/>
        </w:rPr>
        <w:t xml:space="preserve"> </w:t>
      </w:r>
      <w:r>
        <w:rPr>
          <w:sz w:val="20"/>
        </w:rPr>
        <w:t>em</w:t>
      </w:r>
      <w:r>
        <w:rPr>
          <w:spacing w:val="-10"/>
          <w:sz w:val="20"/>
        </w:rPr>
        <w:t xml:space="preserve"> </w:t>
      </w:r>
      <w:r>
        <w:rPr>
          <w:sz w:val="20"/>
        </w:rPr>
        <w:t>2023</w:t>
      </w:r>
      <w:r>
        <w:rPr>
          <w:spacing w:val="-8"/>
          <w:sz w:val="20"/>
        </w:rPr>
        <w:t xml:space="preserve"> </w:t>
      </w:r>
      <w:r>
        <w:rPr>
          <w:sz w:val="20"/>
        </w:rPr>
        <w:t>por</w:t>
      </w:r>
      <w:r>
        <w:rPr>
          <w:spacing w:val="-8"/>
          <w:sz w:val="20"/>
        </w:rPr>
        <w:t xml:space="preserve"> </w:t>
      </w:r>
      <w:r>
        <w:rPr>
          <w:sz w:val="20"/>
        </w:rPr>
        <w:t>modalidade</w:t>
      </w:r>
      <w:r>
        <w:rPr>
          <w:spacing w:val="-10"/>
          <w:sz w:val="20"/>
        </w:rPr>
        <w:t xml:space="preserve"> </w:t>
      </w:r>
      <w:r>
        <w:rPr>
          <w:sz w:val="20"/>
        </w:rPr>
        <w:t>de</w:t>
      </w:r>
      <w:r>
        <w:rPr>
          <w:spacing w:val="-9"/>
          <w:sz w:val="20"/>
        </w:rPr>
        <w:t xml:space="preserve"> </w:t>
      </w:r>
      <w:r>
        <w:rPr>
          <w:spacing w:val="-2"/>
          <w:sz w:val="20"/>
        </w:rPr>
        <w:t>licitação.</w:t>
      </w:r>
    </w:p>
    <w:p w:rsidR="007259F2" w:rsidRDefault="00E655B4">
      <w:pPr>
        <w:ind w:left="424"/>
        <w:jc w:val="center"/>
        <w:rPr>
          <w:sz w:val="20"/>
        </w:rPr>
      </w:pPr>
      <w:r>
        <w:rPr>
          <w:spacing w:val="-2"/>
          <w:sz w:val="20"/>
        </w:rPr>
        <w:t>Fonte:</w:t>
      </w:r>
      <w:r>
        <w:rPr>
          <w:spacing w:val="-1"/>
          <w:sz w:val="20"/>
        </w:rPr>
        <w:t xml:space="preserve"> </w:t>
      </w:r>
      <w:r>
        <w:rPr>
          <w:spacing w:val="-2"/>
          <w:sz w:val="20"/>
        </w:rPr>
        <w:t>MINISTÉRIO</w:t>
      </w:r>
      <w:r>
        <w:rPr>
          <w:sz w:val="20"/>
        </w:rPr>
        <w:t xml:space="preserve"> </w:t>
      </w:r>
      <w:r>
        <w:rPr>
          <w:spacing w:val="-2"/>
          <w:sz w:val="20"/>
        </w:rPr>
        <w:t>DA</w:t>
      </w:r>
      <w:r>
        <w:rPr>
          <w:spacing w:val="-3"/>
          <w:sz w:val="20"/>
        </w:rPr>
        <w:t xml:space="preserve"> </w:t>
      </w:r>
      <w:r>
        <w:rPr>
          <w:spacing w:val="-2"/>
          <w:sz w:val="20"/>
        </w:rPr>
        <w:t>ECONOMIA,</w:t>
      </w:r>
      <w:r>
        <w:rPr>
          <w:spacing w:val="1"/>
          <w:sz w:val="20"/>
        </w:rPr>
        <w:t xml:space="preserve"> </w:t>
      </w:r>
      <w:r>
        <w:rPr>
          <w:spacing w:val="-2"/>
          <w:sz w:val="20"/>
        </w:rPr>
        <w:t>2024.</w:t>
      </w:r>
    </w:p>
    <w:p w:rsidR="007259F2" w:rsidRDefault="00E655B4">
      <w:pPr>
        <w:pStyle w:val="Corpodetexto"/>
        <w:spacing w:before="102"/>
        <w:ind w:right="993"/>
      </w:pPr>
      <w:r>
        <w:t>Em tal painel, há opção de diferentes filtros de seleção, de modo a possibilitar a pesquisa das compras por esferas (federal, estadual ou municipal), por poderes (Executivo, Legislativo ou Judiciário), por órgãos, dentre outras opções. Mesmo com a seleção de tais filtros, não há grandes modificações nas porcentagens por modalidades de compras daquelas indicadas nas tabelas acima.</w:t>
      </w:r>
    </w:p>
    <w:p w:rsidR="007259F2" w:rsidRDefault="00E655B4">
      <w:pPr>
        <w:pStyle w:val="Corpodetexto"/>
        <w:ind w:right="991"/>
      </w:pPr>
      <w:r>
        <w:t>No</w:t>
      </w:r>
      <w:r>
        <w:rPr>
          <w:spacing w:val="-1"/>
        </w:rPr>
        <w:t xml:space="preserve"> </w:t>
      </w:r>
      <w:r>
        <w:t>âmbito da</w:t>
      </w:r>
      <w:r>
        <w:rPr>
          <w:spacing w:val="-1"/>
        </w:rPr>
        <w:t xml:space="preserve"> </w:t>
      </w:r>
      <w:r>
        <w:t>Prefeitura de</w:t>
      </w:r>
      <w:r>
        <w:rPr>
          <w:spacing w:val="-1"/>
        </w:rPr>
        <w:t xml:space="preserve"> </w:t>
      </w:r>
      <w:r>
        <w:t>São Paulo, o mesmo padrão se</w:t>
      </w:r>
      <w:r>
        <w:rPr>
          <w:spacing w:val="-1"/>
        </w:rPr>
        <w:t xml:space="preserve"> </w:t>
      </w:r>
      <w:r>
        <w:t>repete.</w:t>
      </w:r>
      <w:r>
        <w:rPr>
          <w:spacing w:val="-1"/>
        </w:rPr>
        <w:t xml:space="preserve"> </w:t>
      </w:r>
      <w:r>
        <w:t>Para</w:t>
      </w:r>
      <w:r>
        <w:rPr>
          <w:spacing w:val="-1"/>
        </w:rPr>
        <w:t xml:space="preserve"> </w:t>
      </w:r>
      <w:r>
        <w:t>o período de 2018 a 2022, as contratações por inexigibilidade e dispensa, somadas, ultrapassam metade do total das compras, seguido pelas aquisições por ata de registro de preços e pregão, nesta</w:t>
      </w:r>
      <w:r>
        <w:rPr>
          <w:spacing w:val="40"/>
        </w:rPr>
        <w:t xml:space="preserve"> </w:t>
      </w:r>
      <w:r>
        <w:t>ordem (SECRETARIA MUNICIPAL DE GESTÃO, 2023).</w:t>
      </w:r>
    </w:p>
    <w:p w:rsidR="007259F2" w:rsidRDefault="00E655B4">
      <w:pPr>
        <w:pStyle w:val="Corpodetexto"/>
        <w:spacing w:before="1"/>
        <w:ind w:right="988"/>
      </w:pPr>
      <w:r>
        <w:t>De tais dados, é possível concluir que há um padrão para as compras públicas</w:t>
      </w:r>
      <w:r>
        <w:rPr>
          <w:spacing w:val="80"/>
        </w:rPr>
        <w:t xml:space="preserve"> </w:t>
      </w:r>
      <w:r>
        <w:t>em que, pelo critério da quantidade de compras, há mais casos de contratação direta do que de licitação, sendo que os casos de dispensa e inexigibilidade superam os casos de pregão, modalidade licitatória mais utilizada. Pelo critério de valor das compras, a modalidade de licitação mais utilizada é o pregão, seguido das hipóteses de inexigibilidade e dispensa. No entanto, em muitos casos, somados os valores de inexigibilidade e dispensa, mesmo pelo critério valor, as contratações diretas somam o maior montante das compras públicas.</w:t>
      </w:r>
    </w:p>
    <w:p w:rsidR="007259F2" w:rsidRDefault="00E655B4">
      <w:pPr>
        <w:pStyle w:val="Corpodetexto"/>
        <w:ind w:right="988"/>
      </w:pPr>
      <w:r>
        <w:t>Essa realidade demonstra a importância do estudo do procedimento de contratação direta. Se o que seria a exceção é mais recorrente do que a regra, é fundamental que se tenham diretrizes precisas quanto ao procedimento. Isso porque o objetivo do processo de licitação</w:t>
      </w:r>
      <w:r>
        <w:rPr>
          <w:spacing w:val="40"/>
        </w:rPr>
        <w:t xml:space="preserve"> </w:t>
      </w:r>
      <w:r>
        <w:t>nas contratações públicas é a garantia da isonomia e demais princípios apontados na introdução deste trabalho, de modo que a observância pelos</w:t>
      </w:r>
      <w:r>
        <w:rPr>
          <w:spacing w:val="-4"/>
        </w:rPr>
        <w:t xml:space="preserve"> </w:t>
      </w:r>
      <w:r>
        <w:t>agentes</w:t>
      </w:r>
      <w:r>
        <w:rPr>
          <w:spacing w:val="-6"/>
        </w:rPr>
        <w:t xml:space="preserve"> </w:t>
      </w:r>
      <w:r>
        <w:t>públicos</w:t>
      </w:r>
      <w:r>
        <w:rPr>
          <w:spacing w:val="-5"/>
        </w:rPr>
        <w:t xml:space="preserve"> </w:t>
      </w:r>
      <w:r>
        <w:t>do</w:t>
      </w:r>
      <w:r>
        <w:rPr>
          <w:spacing w:val="-4"/>
        </w:rPr>
        <w:t xml:space="preserve"> </w:t>
      </w:r>
      <w:r>
        <w:t>procedimento</w:t>
      </w:r>
      <w:r>
        <w:rPr>
          <w:spacing w:val="-2"/>
        </w:rPr>
        <w:t xml:space="preserve"> </w:t>
      </w:r>
      <w:r>
        <w:t>estabelecido</w:t>
      </w:r>
      <w:r>
        <w:rPr>
          <w:spacing w:val="-4"/>
        </w:rPr>
        <w:t xml:space="preserve"> </w:t>
      </w:r>
      <w:r>
        <w:t>permita</w:t>
      </w:r>
      <w:r>
        <w:rPr>
          <w:spacing w:val="-4"/>
        </w:rPr>
        <w:t xml:space="preserve"> </w:t>
      </w:r>
      <w:r>
        <w:t>o</w:t>
      </w:r>
      <w:r>
        <w:rPr>
          <w:spacing w:val="-3"/>
        </w:rPr>
        <w:t xml:space="preserve"> </w:t>
      </w:r>
      <w:r>
        <w:t>atendimento</w:t>
      </w:r>
      <w:r>
        <w:rPr>
          <w:spacing w:val="-4"/>
        </w:rPr>
        <w:t xml:space="preserve"> </w:t>
      </w:r>
      <w:r>
        <w:t>do</w:t>
      </w:r>
      <w:r>
        <w:rPr>
          <w:spacing w:val="-4"/>
        </w:rPr>
        <w:t xml:space="preserve"> </w:t>
      </w:r>
      <w:r>
        <w:t>interesse público e evite fraudes ou favorecimentos. E tais objetivos não podem ser frustrados quando a licitação não for obrigatória para determinadas contratações.</w:t>
      </w:r>
    </w:p>
    <w:p w:rsidR="007259F2" w:rsidRDefault="00E655B4">
      <w:pPr>
        <w:pStyle w:val="Corpodetexto"/>
        <w:spacing w:before="1"/>
        <w:ind w:right="993"/>
      </w:pPr>
      <w:r>
        <w:t>Este cenário, em que a contratação direta é um dos procedimentos mais utilizados nas contratações públicas, coaduna com o defendido por Justen Filho (2021, p. 946) de que “a contratação direta deve ser interpretada como uma modalidade anômala de licitação”. E,</w:t>
      </w:r>
      <w:r>
        <w:rPr>
          <w:spacing w:val="40"/>
        </w:rPr>
        <w:t xml:space="preserve"> </w:t>
      </w:r>
      <w:r>
        <w:t>sendo assim, importante que sejam definidos parâmetros, ainda que mínimos, para o procedimento da contratação direta, de modo a assegurar a lisura das contratações públicas.</w:t>
      </w:r>
    </w:p>
    <w:p w:rsidR="007259F2" w:rsidRDefault="007259F2">
      <w:pPr>
        <w:pStyle w:val="Corpodetexto"/>
        <w:sectPr w:rsidR="007259F2">
          <w:pgSz w:w="11910" w:h="16840"/>
          <w:pgMar w:top="1640" w:right="708" w:bottom="1160" w:left="992" w:header="0" w:footer="962" w:gutter="0"/>
          <w:cols w:space="720"/>
        </w:sectPr>
      </w:pPr>
    </w:p>
    <w:p w:rsidR="007259F2" w:rsidRDefault="00E655B4">
      <w:pPr>
        <w:pStyle w:val="Heading2"/>
        <w:numPr>
          <w:ilvl w:val="0"/>
          <w:numId w:val="43"/>
        </w:numPr>
        <w:tabs>
          <w:tab w:val="left" w:pos="890"/>
        </w:tabs>
        <w:spacing w:before="77"/>
        <w:ind w:left="890" w:hanging="180"/>
        <w:jc w:val="both"/>
      </w:pPr>
      <w:r>
        <w:lastRenderedPageBreak/>
        <w:t>Contratação</w:t>
      </w:r>
      <w:r>
        <w:rPr>
          <w:spacing w:val="-5"/>
        </w:rPr>
        <w:t xml:space="preserve"> </w:t>
      </w:r>
      <w:r>
        <w:t>direta</w:t>
      </w:r>
      <w:r>
        <w:rPr>
          <w:spacing w:val="-1"/>
        </w:rPr>
        <w:t xml:space="preserve"> </w:t>
      </w:r>
      <w:r>
        <w:t>na</w:t>
      </w:r>
      <w:r>
        <w:rPr>
          <w:spacing w:val="-2"/>
        </w:rPr>
        <w:t xml:space="preserve"> </w:t>
      </w:r>
      <w:r>
        <w:t>Lei</w:t>
      </w:r>
      <w:r>
        <w:rPr>
          <w:spacing w:val="-1"/>
        </w:rPr>
        <w:t xml:space="preserve"> </w:t>
      </w:r>
      <w:r>
        <w:rPr>
          <w:spacing w:val="-2"/>
        </w:rPr>
        <w:t>14.133/2021</w:t>
      </w:r>
    </w:p>
    <w:p w:rsidR="007259F2" w:rsidRDefault="00E655B4">
      <w:pPr>
        <w:pStyle w:val="PargrafodaLista"/>
        <w:numPr>
          <w:ilvl w:val="1"/>
          <w:numId w:val="43"/>
        </w:numPr>
        <w:tabs>
          <w:tab w:val="left" w:pos="1069"/>
        </w:tabs>
        <w:spacing w:before="242"/>
        <w:ind w:left="1069" w:hanging="359"/>
        <w:jc w:val="both"/>
        <w:rPr>
          <w:b/>
          <w:sz w:val="24"/>
        </w:rPr>
      </w:pPr>
      <w:r>
        <w:rPr>
          <w:b/>
          <w:sz w:val="24"/>
        </w:rPr>
        <w:t>Novidades</w:t>
      </w:r>
      <w:r>
        <w:rPr>
          <w:b/>
          <w:spacing w:val="-1"/>
          <w:sz w:val="24"/>
        </w:rPr>
        <w:t xml:space="preserve"> </w:t>
      </w:r>
      <w:r>
        <w:rPr>
          <w:b/>
          <w:sz w:val="24"/>
        </w:rPr>
        <w:t>e</w:t>
      </w:r>
      <w:r>
        <w:rPr>
          <w:b/>
          <w:spacing w:val="-4"/>
          <w:sz w:val="24"/>
        </w:rPr>
        <w:t xml:space="preserve"> </w:t>
      </w:r>
      <w:r>
        <w:rPr>
          <w:b/>
          <w:sz w:val="24"/>
        </w:rPr>
        <w:t>principais</w:t>
      </w:r>
      <w:r>
        <w:rPr>
          <w:b/>
          <w:spacing w:val="-3"/>
          <w:sz w:val="24"/>
        </w:rPr>
        <w:t xml:space="preserve"> </w:t>
      </w:r>
      <w:r>
        <w:rPr>
          <w:b/>
          <w:spacing w:val="-2"/>
          <w:sz w:val="24"/>
        </w:rPr>
        <w:t>previsões</w:t>
      </w:r>
    </w:p>
    <w:p w:rsidR="007259F2" w:rsidRDefault="00E655B4">
      <w:pPr>
        <w:pStyle w:val="Corpodetexto"/>
        <w:spacing w:before="113"/>
        <w:ind w:right="995"/>
      </w:pPr>
      <w:r>
        <w:t>A Lei Federal 14.133/2021 dedicou maior atenção ao tratamento da contratação direta em relação à Lei Federal 8.666/1993, por ela revogada. Enquanto a norma</w:t>
      </w:r>
      <w:r>
        <w:rPr>
          <w:spacing w:val="40"/>
        </w:rPr>
        <w:t xml:space="preserve"> </w:t>
      </w:r>
      <w:r>
        <w:t>anterior trazia poucas previsões ou exigências ao procedimento, o novo regramento estabelece maiores critérios e requisitos, especialmente ao que se refere à sua instrução.</w:t>
      </w:r>
    </w:p>
    <w:p w:rsidR="007259F2" w:rsidRDefault="00E655B4">
      <w:pPr>
        <w:pStyle w:val="Corpodetexto"/>
        <w:ind w:right="989"/>
      </w:pPr>
      <w:r>
        <w:t>Nesse sentido, Spitzcovsky (2021, p. 34) aponta que a nova lei inovou de maneira significativa sobre a temática. Nohara (2023, p. 333), no mesmo sentido,</w:t>
      </w:r>
      <w:r>
        <w:rPr>
          <w:spacing w:val="80"/>
        </w:rPr>
        <w:t xml:space="preserve"> </w:t>
      </w:r>
      <w:r>
        <w:t>aponta para o incremento de mudanças ao procedimento pela nova norma, destacando que “há mais exigências de documentos e justificativas para motivar o procedimento; sua divulgação deverá ser feita pela via eletrônica; e também houve inserção de dispositivo desdobrando a responsabilidade entre Administração e contratado”.</w:t>
      </w:r>
    </w:p>
    <w:p w:rsidR="007259F2" w:rsidRDefault="00E655B4">
      <w:pPr>
        <w:pStyle w:val="Corpodetexto"/>
        <w:spacing w:before="1"/>
        <w:ind w:right="991"/>
      </w:pPr>
      <w:r>
        <w:t>Em sentido oposto, Justen Filho (2021, p. 938/939) aponta para a manutenção das “soluções normativas consagradas na tradição do direito brasileiro” no âmbito das contratações diretas. Segundo o autor, a pouca diferença entre as previsões da lei anterior e da atual permitiriam a continuidade da aplicação das interpretações doutrinárias e da jurisprudência produzidas sob a égide da Lei Federal n. 8.666/1993.</w:t>
      </w:r>
    </w:p>
    <w:p w:rsidR="007259F2" w:rsidRDefault="00E655B4">
      <w:pPr>
        <w:pStyle w:val="Corpodetexto"/>
        <w:ind w:right="988"/>
      </w:pPr>
      <w:r>
        <w:t>No entanto, o mesmo autor indica que deve ser adotada</w:t>
      </w:r>
      <w:r>
        <w:rPr>
          <w:spacing w:val="-1"/>
        </w:rPr>
        <w:t xml:space="preserve"> </w:t>
      </w:r>
      <w:r>
        <w:t>cautela pelos intérpretes, haja vista que a semelhança de redação entre as leis não necessariamente levará às mesmas interpretações. Isto porque, a atividade hermenêutica implica na consideração da sistemática legislativa trazida pela norma em seu conjunto; e, considerando as diferenças sistemáticas entre as normas, a interpretação de determinados dispositivos, ainda que com redação semelhante, deverá sofrer alterações.</w:t>
      </w:r>
    </w:p>
    <w:p w:rsidR="007259F2" w:rsidRDefault="00E655B4">
      <w:pPr>
        <w:pStyle w:val="Corpodetexto"/>
        <w:spacing w:before="1"/>
        <w:ind w:right="993"/>
      </w:pPr>
      <w:r>
        <w:t>Fato é que, em que pese a manutenção da mesma lógica do regramento anterior, especialmente quanto às hipóteses de dispensa e inexigibilidade, no âmbito do procedimento, houve inovações relevantes no novo regramento. É possível perceber,</w:t>
      </w:r>
      <w:r>
        <w:rPr>
          <w:spacing w:val="40"/>
        </w:rPr>
        <w:t xml:space="preserve"> </w:t>
      </w:r>
      <w:r>
        <w:t>por exemplo, que a Lei Federal 14.133/2021 ampliou a importância dada ao planejamento</w:t>
      </w:r>
      <w:r>
        <w:rPr>
          <w:spacing w:val="-4"/>
        </w:rPr>
        <w:t xml:space="preserve"> </w:t>
      </w:r>
      <w:r>
        <w:t>das</w:t>
      </w:r>
      <w:r>
        <w:rPr>
          <w:spacing w:val="-4"/>
        </w:rPr>
        <w:t xml:space="preserve"> </w:t>
      </w:r>
      <w:r>
        <w:t>contratações,</w:t>
      </w:r>
      <w:r>
        <w:rPr>
          <w:spacing w:val="36"/>
        </w:rPr>
        <w:t xml:space="preserve"> </w:t>
      </w:r>
      <w:r>
        <w:t>e</w:t>
      </w:r>
      <w:r>
        <w:rPr>
          <w:spacing w:val="-5"/>
        </w:rPr>
        <w:t xml:space="preserve"> </w:t>
      </w:r>
      <w:r>
        <w:t>isto</w:t>
      </w:r>
      <w:r>
        <w:rPr>
          <w:spacing w:val="-4"/>
        </w:rPr>
        <w:t xml:space="preserve"> </w:t>
      </w:r>
      <w:r>
        <w:t>se</w:t>
      </w:r>
      <w:r>
        <w:rPr>
          <w:spacing w:val="-4"/>
        </w:rPr>
        <w:t xml:space="preserve"> </w:t>
      </w:r>
      <w:r>
        <w:t>reflete</w:t>
      </w:r>
      <w:r>
        <w:rPr>
          <w:spacing w:val="-4"/>
        </w:rPr>
        <w:t xml:space="preserve"> </w:t>
      </w:r>
      <w:r>
        <w:t>também</w:t>
      </w:r>
      <w:r>
        <w:rPr>
          <w:spacing w:val="-4"/>
        </w:rPr>
        <w:t xml:space="preserve"> </w:t>
      </w:r>
      <w:r>
        <w:t>no</w:t>
      </w:r>
      <w:r>
        <w:rPr>
          <w:spacing w:val="-4"/>
        </w:rPr>
        <w:t xml:space="preserve"> </w:t>
      </w:r>
      <w:r>
        <w:t>procedimento</w:t>
      </w:r>
      <w:r>
        <w:rPr>
          <w:spacing w:val="-2"/>
        </w:rPr>
        <w:t xml:space="preserve"> </w:t>
      </w:r>
      <w:r>
        <w:t>da</w:t>
      </w:r>
      <w:r>
        <w:rPr>
          <w:spacing w:val="-5"/>
        </w:rPr>
        <w:t xml:space="preserve"> </w:t>
      </w:r>
      <w:r>
        <w:t>contratação direta, especialmente nas maiores exigências quanto à instrução do procedimento.</w:t>
      </w:r>
    </w:p>
    <w:p w:rsidR="007259F2" w:rsidRDefault="00E655B4">
      <w:pPr>
        <w:pStyle w:val="Corpodetexto"/>
        <w:ind w:right="993"/>
      </w:pPr>
      <w:r>
        <w:t>Neste cenário, destaca-se o artigo 72 da Lei Federal n. 14.133/2021, que não possui correspondência com dispositivos da Lei Federal n. 8.666/1993. Tal dispositivo apresenta um rol de documentos que devem instruir o procedimento de contratação direta, sendo relevante a sua transcrição:</w:t>
      </w:r>
    </w:p>
    <w:p w:rsidR="007259F2" w:rsidRDefault="007259F2">
      <w:pPr>
        <w:pStyle w:val="Corpodetexto"/>
        <w:spacing w:before="1"/>
        <w:ind w:left="0" w:firstLine="0"/>
        <w:jc w:val="left"/>
      </w:pPr>
    </w:p>
    <w:p w:rsidR="007259F2" w:rsidRDefault="00E655B4">
      <w:pPr>
        <w:ind w:left="2978" w:right="997"/>
        <w:jc w:val="both"/>
        <w:rPr>
          <w:sz w:val="20"/>
        </w:rPr>
      </w:pPr>
      <w:r>
        <w:rPr>
          <w:sz w:val="20"/>
        </w:rPr>
        <w:t>Art. 72. O processo de contratação direta, que compreende os casos de inexigibilidade e de dispensa de licitação, deverá ser instruído com os seguintes documentos:</w:t>
      </w:r>
    </w:p>
    <w:p w:rsidR="007259F2" w:rsidRDefault="00E655B4">
      <w:pPr>
        <w:pStyle w:val="PargrafodaLista"/>
        <w:numPr>
          <w:ilvl w:val="2"/>
          <w:numId w:val="43"/>
        </w:numPr>
        <w:tabs>
          <w:tab w:val="left" w:pos="3696"/>
          <w:tab w:val="left" w:pos="3698"/>
        </w:tabs>
        <w:ind w:right="995"/>
        <w:jc w:val="both"/>
        <w:rPr>
          <w:sz w:val="20"/>
        </w:rPr>
      </w:pPr>
      <w:r>
        <w:rPr>
          <w:sz w:val="20"/>
        </w:rPr>
        <w:t>documento de formalização de demanda e, se for o caso, estudo técnico preliminar, análise de riscos, termo de referência, projeto básico ou projeto executivo;</w:t>
      </w:r>
    </w:p>
    <w:p w:rsidR="007259F2" w:rsidRDefault="00E655B4">
      <w:pPr>
        <w:pStyle w:val="PargrafodaLista"/>
        <w:numPr>
          <w:ilvl w:val="2"/>
          <w:numId w:val="43"/>
        </w:numPr>
        <w:tabs>
          <w:tab w:val="left" w:pos="3695"/>
          <w:tab w:val="left" w:pos="3698"/>
        </w:tabs>
        <w:spacing w:before="1"/>
        <w:ind w:right="996" w:hanging="543"/>
        <w:jc w:val="both"/>
        <w:rPr>
          <w:sz w:val="20"/>
        </w:rPr>
      </w:pPr>
      <w:r>
        <w:rPr>
          <w:sz w:val="20"/>
        </w:rPr>
        <w:t>estimativa de despesa, que deverá ser calculada na forma estabelecida no art. 23 desta Lei;</w:t>
      </w:r>
    </w:p>
    <w:p w:rsidR="007259F2" w:rsidRDefault="00E655B4">
      <w:pPr>
        <w:pStyle w:val="PargrafodaLista"/>
        <w:numPr>
          <w:ilvl w:val="2"/>
          <w:numId w:val="43"/>
        </w:numPr>
        <w:tabs>
          <w:tab w:val="left" w:pos="3698"/>
        </w:tabs>
        <w:ind w:right="992" w:hanging="610"/>
        <w:jc w:val="left"/>
        <w:rPr>
          <w:sz w:val="20"/>
        </w:rPr>
      </w:pPr>
      <w:r>
        <w:rPr>
          <w:sz w:val="20"/>
        </w:rPr>
        <w:t>parecer jurídico e pareceres técnicos, se for o caso, que demonstrem o atendimento dos requisitos exigidos;</w:t>
      </w:r>
    </w:p>
    <w:p w:rsidR="007259F2" w:rsidRDefault="00E655B4">
      <w:pPr>
        <w:pStyle w:val="PargrafodaLista"/>
        <w:numPr>
          <w:ilvl w:val="2"/>
          <w:numId w:val="43"/>
        </w:numPr>
        <w:tabs>
          <w:tab w:val="left" w:pos="3698"/>
          <w:tab w:val="left" w:pos="5007"/>
          <w:tab w:val="left" w:pos="5398"/>
          <w:tab w:val="left" w:pos="6887"/>
          <w:tab w:val="left" w:pos="7278"/>
          <w:tab w:val="left" w:pos="8153"/>
          <w:tab w:val="left" w:pos="8544"/>
        </w:tabs>
        <w:ind w:right="995" w:hanging="622"/>
        <w:jc w:val="left"/>
        <w:rPr>
          <w:sz w:val="20"/>
        </w:rPr>
      </w:pPr>
      <w:r>
        <w:rPr>
          <w:spacing w:val="-2"/>
          <w:sz w:val="20"/>
        </w:rPr>
        <w:t>demonstração</w:t>
      </w:r>
      <w:r>
        <w:rPr>
          <w:sz w:val="20"/>
        </w:rPr>
        <w:tab/>
      </w:r>
      <w:r>
        <w:rPr>
          <w:spacing w:val="-6"/>
          <w:sz w:val="20"/>
        </w:rPr>
        <w:t>da</w:t>
      </w:r>
      <w:r>
        <w:rPr>
          <w:sz w:val="20"/>
        </w:rPr>
        <w:tab/>
      </w:r>
      <w:r>
        <w:rPr>
          <w:spacing w:val="-2"/>
          <w:sz w:val="20"/>
        </w:rPr>
        <w:t>compatibilidade</w:t>
      </w:r>
      <w:r>
        <w:rPr>
          <w:sz w:val="20"/>
        </w:rPr>
        <w:tab/>
      </w:r>
      <w:r>
        <w:rPr>
          <w:spacing w:val="-6"/>
          <w:sz w:val="20"/>
        </w:rPr>
        <w:t>da</w:t>
      </w:r>
      <w:r>
        <w:rPr>
          <w:sz w:val="20"/>
        </w:rPr>
        <w:tab/>
      </w:r>
      <w:r>
        <w:rPr>
          <w:spacing w:val="-2"/>
          <w:sz w:val="20"/>
        </w:rPr>
        <w:t>previsão</w:t>
      </w:r>
      <w:r>
        <w:rPr>
          <w:sz w:val="20"/>
        </w:rPr>
        <w:tab/>
      </w:r>
      <w:r>
        <w:rPr>
          <w:spacing w:val="-6"/>
          <w:sz w:val="20"/>
        </w:rPr>
        <w:t>de</w:t>
      </w:r>
      <w:r>
        <w:rPr>
          <w:sz w:val="20"/>
        </w:rPr>
        <w:tab/>
      </w:r>
      <w:r>
        <w:rPr>
          <w:spacing w:val="-2"/>
          <w:sz w:val="20"/>
        </w:rPr>
        <w:t xml:space="preserve">recursos </w:t>
      </w:r>
      <w:r>
        <w:rPr>
          <w:sz w:val="20"/>
        </w:rPr>
        <w:t>orçamentários com o compromisso a ser assumido;</w:t>
      </w:r>
    </w:p>
    <w:p w:rsidR="007259F2" w:rsidRDefault="00E655B4">
      <w:pPr>
        <w:pStyle w:val="PargrafodaLista"/>
        <w:numPr>
          <w:ilvl w:val="2"/>
          <w:numId w:val="43"/>
        </w:numPr>
        <w:tabs>
          <w:tab w:val="left" w:pos="3698"/>
        </w:tabs>
        <w:ind w:right="996" w:hanging="555"/>
        <w:jc w:val="left"/>
        <w:rPr>
          <w:sz w:val="20"/>
        </w:rPr>
      </w:pPr>
      <w:r>
        <w:rPr>
          <w:sz w:val="20"/>
        </w:rPr>
        <w:t>comprovação</w:t>
      </w:r>
      <w:r>
        <w:rPr>
          <w:spacing w:val="80"/>
          <w:sz w:val="20"/>
        </w:rPr>
        <w:t xml:space="preserve"> </w:t>
      </w:r>
      <w:r>
        <w:rPr>
          <w:sz w:val="20"/>
        </w:rPr>
        <w:t>de</w:t>
      </w:r>
      <w:r>
        <w:rPr>
          <w:spacing w:val="80"/>
          <w:sz w:val="20"/>
        </w:rPr>
        <w:t xml:space="preserve"> </w:t>
      </w:r>
      <w:r>
        <w:rPr>
          <w:sz w:val="20"/>
        </w:rPr>
        <w:t>que</w:t>
      </w:r>
      <w:r>
        <w:rPr>
          <w:spacing w:val="80"/>
          <w:sz w:val="20"/>
        </w:rPr>
        <w:t xml:space="preserve"> </w:t>
      </w:r>
      <w:r>
        <w:rPr>
          <w:sz w:val="20"/>
        </w:rPr>
        <w:t>o</w:t>
      </w:r>
      <w:r>
        <w:rPr>
          <w:spacing w:val="80"/>
          <w:sz w:val="20"/>
        </w:rPr>
        <w:t xml:space="preserve"> </w:t>
      </w:r>
      <w:r>
        <w:rPr>
          <w:sz w:val="20"/>
        </w:rPr>
        <w:t>contratado</w:t>
      </w:r>
      <w:r>
        <w:rPr>
          <w:spacing w:val="80"/>
          <w:sz w:val="20"/>
        </w:rPr>
        <w:t xml:space="preserve"> </w:t>
      </w:r>
      <w:r>
        <w:rPr>
          <w:sz w:val="20"/>
        </w:rPr>
        <w:t>preenche</w:t>
      </w:r>
      <w:r>
        <w:rPr>
          <w:spacing w:val="80"/>
          <w:sz w:val="20"/>
        </w:rPr>
        <w:t xml:space="preserve"> </w:t>
      </w:r>
      <w:r>
        <w:rPr>
          <w:sz w:val="20"/>
        </w:rPr>
        <w:t>os</w:t>
      </w:r>
      <w:r>
        <w:rPr>
          <w:spacing w:val="80"/>
          <w:sz w:val="20"/>
        </w:rPr>
        <w:t xml:space="preserve"> </w:t>
      </w:r>
      <w:r>
        <w:rPr>
          <w:sz w:val="20"/>
        </w:rPr>
        <w:t>requisitos</w:t>
      </w:r>
      <w:r>
        <w:rPr>
          <w:spacing w:val="80"/>
          <w:sz w:val="20"/>
        </w:rPr>
        <w:t xml:space="preserve"> </w:t>
      </w:r>
      <w:r>
        <w:rPr>
          <w:sz w:val="20"/>
        </w:rPr>
        <w:t>de habilitação e qualificação mínima necessária;</w:t>
      </w:r>
    </w:p>
    <w:p w:rsidR="007259F2" w:rsidRDefault="00E655B4">
      <w:pPr>
        <w:pStyle w:val="PargrafodaLista"/>
        <w:numPr>
          <w:ilvl w:val="2"/>
          <w:numId w:val="43"/>
        </w:numPr>
        <w:tabs>
          <w:tab w:val="left" w:pos="3698"/>
        </w:tabs>
        <w:spacing w:line="228" w:lineRule="exact"/>
        <w:ind w:hanging="621"/>
        <w:jc w:val="left"/>
        <w:rPr>
          <w:sz w:val="20"/>
        </w:rPr>
      </w:pPr>
      <w:r>
        <w:rPr>
          <w:sz w:val="20"/>
        </w:rPr>
        <w:t>razão</w:t>
      </w:r>
      <w:r>
        <w:rPr>
          <w:spacing w:val="-4"/>
          <w:sz w:val="20"/>
        </w:rPr>
        <w:t xml:space="preserve"> </w:t>
      </w:r>
      <w:r>
        <w:rPr>
          <w:sz w:val="20"/>
        </w:rPr>
        <w:t>da</w:t>
      </w:r>
      <w:r>
        <w:rPr>
          <w:spacing w:val="-8"/>
          <w:sz w:val="20"/>
        </w:rPr>
        <w:t xml:space="preserve"> </w:t>
      </w:r>
      <w:r>
        <w:rPr>
          <w:sz w:val="20"/>
        </w:rPr>
        <w:t>escolha</w:t>
      </w:r>
      <w:r>
        <w:rPr>
          <w:spacing w:val="-7"/>
          <w:sz w:val="20"/>
        </w:rPr>
        <w:t xml:space="preserve"> </w:t>
      </w:r>
      <w:r>
        <w:rPr>
          <w:sz w:val="20"/>
        </w:rPr>
        <w:t>do</w:t>
      </w:r>
      <w:r>
        <w:rPr>
          <w:spacing w:val="-3"/>
          <w:sz w:val="20"/>
        </w:rPr>
        <w:t xml:space="preserve"> </w:t>
      </w:r>
      <w:r>
        <w:rPr>
          <w:spacing w:val="-2"/>
          <w:sz w:val="20"/>
        </w:rPr>
        <w:t>contratado;</w:t>
      </w:r>
    </w:p>
    <w:p w:rsidR="007259F2" w:rsidRDefault="00E655B4">
      <w:pPr>
        <w:pStyle w:val="PargrafodaLista"/>
        <w:numPr>
          <w:ilvl w:val="2"/>
          <w:numId w:val="43"/>
        </w:numPr>
        <w:tabs>
          <w:tab w:val="left" w:pos="3698"/>
        </w:tabs>
        <w:spacing w:before="1"/>
        <w:ind w:hanging="689"/>
        <w:jc w:val="left"/>
        <w:rPr>
          <w:sz w:val="20"/>
        </w:rPr>
      </w:pPr>
      <w:r>
        <w:rPr>
          <w:sz w:val="20"/>
        </w:rPr>
        <w:t>justificativa</w:t>
      </w:r>
      <w:r>
        <w:rPr>
          <w:spacing w:val="-9"/>
          <w:sz w:val="20"/>
        </w:rPr>
        <w:t xml:space="preserve"> </w:t>
      </w:r>
      <w:r>
        <w:rPr>
          <w:sz w:val="20"/>
        </w:rPr>
        <w:t>de</w:t>
      </w:r>
      <w:r>
        <w:rPr>
          <w:spacing w:val="-9"/>
          <w:sz w:val="20"/>
        </w:rPr>
        <w:t xml:space="preserve"> </w:t>
      </w:r>
      <w:r>
        <w:rPr>
          <w:spacing w:val="-2"/>
          <w:sz w:val="20"/>
        </w:rPr>
        <w:t>preço;</w:t>
      </w:r>
    </w:p>
    <w:p w:rsidR="007259F2" w:rsidRDefault="00E655B4">
      <w:pPr>
        <w:pStyle w:val="PargrafodaLista"/>
        <w:numPr>
          <w:ilvl w:val="2"/>
          <w:numId w:val="43"/>
        </w:numPr>
        <w:tabs>
          <w:tab w:val="left" w:pos="3698"/>
        </w:tabs>
        <w:ind w:hanging="753"/>
        <w:jc w:val="left"/>
        <w:rPr>
          <w:sz w:val="20"/>
        </w:rPr>
      </w:pPr>
      <w:r>
        <w:rPr>
          <w:sz w:val="20"/>
        </w:rPr>
        <w:t>autorização</w:t>
      </w:r>
      <w:r>
        <w:rPr>
          <w:spacing w:val="-12"/>
          <w:sz w:val="20"/>
        </w:rPr>
        <w:t xml:space="preserve"> </w:t>
      </w:r>
      <w:r>
        <w:rPr>
          <w:sz w:val="20"/>
        </w:rPr>
        <w:t>da</w:t>
      </w:r>
      <w:r>
        <w:rPr>
          <w:spacing w:val="-12"/>
          <w:sz w:val="20"/>
        </w:rPr>
        <w:t xml:space="preserve"> </w:t>
      </w:r>
      <w:r>
        <w:rPr>
          <w:sz w:val="20"/>
        </w:rPr>
        <w:t>autoridade</w:t>
      </w:r>
      <w:r>
        <w:rPr>
          <w:spacing w:val="-12"/>
          <w:sz w:val="20"/>
        </w:rPr>
        <w:t xml:space="preserve"> </w:t>
      </w:r>
      <w:r>
        <w:rPr>
          <w:spacing w:val="-2"/>
          <w:sz w:val="20"/>
        </w:rPr>
        <w:t>competente.</w:t>
      </w:r>
    </w:p>
    <w:p w:rsidR="007259F2" w:rsidRDefault="007259F2">
      <w:pPr>
        <w:pStyle w:val="PargrafodaLista"/>
        <w:jc w:val="left"/>
        <w:rPr>
          <w:sz w:val="20"/>
        </w:rPr>
        <w:sectPr w:rsidR="007259F2">
          <w:pgSz w:w="11910" w:h="16840"/>
          <w:pgMar w:top="1320" w:right="708" w:bottom="1160" w:left="992" w:header="0" w:footer="962" w:gutter="0"/>
          <w:cols w:space="720"/>
        </w:sectPr>
      </w:pPr>
    </w:p>
    <w:p w:rsidR="007259F2" w:rsidRDefault="00E655B4">
      <w:pPr>
        <w:spacing w:before="71"/>
        <w:ind w:left="2978" w:right="989"/>
        <w:jc w:val="both"/>
        <w:rPr>
          <w:sz w:val="20"/>
        </w:rPr>
      </w:pPr>
      <w:r>
        <w:rPr>
          <w:sz w:val="20"/>
        </w:rPr>
        <w:lastRenderedPageBreak/>
        <w:t>Parágrafo único. O ato que autoriza a contratação direta ou o extrato decorrente do contrato deverá ser divulgado e mantido à disposição do público em sítio eletrônico oficial. (BRASIL, 2021)</w:t>
      </w:r>
    </w:p>
    <w:p w:rsidR="007259F2" w:rsidRDefault="007259F2">
      <w:pPr>
        <w:pStyle w:val="Corpodetexto"/>
        <w:ind w:left="0" w:firstLine="0"/>
        <w:jc w:val="left"/>
        <w:rPr>
          <w:sz w:val="20"/>
        </w:rPr>
      </w:pPr>
    </w:p>
    <w:p w:rsidR="007259F2" w:rsidRDefault="00E655B4">
      <w:pPr>
        <w:pStyle w:val="Corpodetexto"/>
        <w:ind w:right="993"/>
      </w:pPr>
      <w:r>
        <w:t>O</w:t>
      </w:r>
      <w:r>
        <w:rPr>
          <w:spacing w:val="-2"/>
        </w:rPr>
        <w:t xml:space="preserve"> </w:t>
      </w:r>
      <w:r>
        <w:t>rol</w:t>
      </w:r>
      <w:r>
        <w:rPr>
          <w:spacing w:val="-2"/>
        </w:rPr>
        <w:t xml:space="preserve"> </w:t>
      </w:r>
      <w:r>
        <w:t>de documentos elencado</w:t>
      </w:r>
      <w:r>
        <w:rPr>
          <w:spacing w:val="-1"/>
        </w:rPr>
        <w:t xml:space="preserve"> </w:t>
      </w:r>
      <w:r>
        <w:t>mostra-se</w:t>
      </w:r>
      <w:r>
        <w:rPr>
          <w:spacing w:val="-2"/>
        </w:rPr>
        <w:t xml:space="preserve"> </w:t>
      </w:r>
      <w:r>
        <w:t>mais extenso</w:t>
      </w:r>
      <w:r>
        <w:rPr>
          <w:spacing w:val="-2"/>
        </w:rPr>
        <w:t xml:space="preserve"> </w:t>
      </w:r>
      <w:r>
        <w:t>que aquele exigido na Lei 8.666/1993, que em seu artigo 26 exigia apenas (i) caracterização da situação emergencial, calamitosa ou de grave e iminente risco à segurança pública que justifique a dispensa, quando for o caso; (ii) razão da escolha do fornecedor ou executante; (iii) justificativa</w:t>
      </w:r>
      <w:r>
        <w:rPr>
          <w:spacing w:val="-3"/>
        </w:rPr>
        <w:t xml:space="preserve"> </w:t>
      </w:r>
      <w:r>
        <w:t>do preço, e (iv)</w:t>
      </w:r>
      <w:r>
        <w:rPr>
          <w:spacing w:val="-1"/>
        </w:rPr>
        <w:t xml:space="preserve"> </w:t>
      </w:r>
      <w:r>
        <w:t>documento de</w:t>
      </w:r>
      <w:r>
        <w:rPr>
          <w:spacing w:val="-1"/>
        </w:rPr>
        <w:t xml:space="preserve"> </w:t>
      </w:r>
      <w:r>
        <w:t>aprovação dos projetos de</w:t>
      </w:r>
      <w:r>
        <w:rPr>
          <w:spacing w:val="-1"/>
        </w:rPr>
        <w:t xml:space="preserve"> </w:t>
      </w:r>
      <w:r>
        <w:t>pesquisa</w:t>
      </w:r>
      <w:r>
        <w:rPr>
          <w:spacing w:val="-1"/>
        </w:rPr>
        <w:t xml:space="preserve"> </w:t>
      </w:r>
      <w:r>
        <w:t>aos quais os bens serão alocados.</w:t>
      </w:r>
    </w:p>
    <w:p w:rsidR="007259F2" w:rsidRDefault="00E655B4">
      <w:pPr>
        <w:pStyle w:val="Corpodetexto"/>
        <w:ind w:right="993"/>
      </w:pPr>
      <w:r>
        <w:t>Assim, de modo a prestigiar o planejamento das contratações, seja quanto à definição do objeto como quanto aos recursos orçamentários, a lei impõe a elaboração de documentos técnicos hábeis a justificar a necessidade da contratação, e que possam, também, demonstrar sua viabilidade no sentido financeiro. Destaque para o inciso I do referido artigo que exige a confecção de documentos técnicos para a formalização da demanda, como estudo técnico preliminar e o termo de referência.</w:t>
      </w:r>
    </w:p>
    <w:p w:rsidR="007259F2" w:rsidRDefault="00E655B4">
      <w:pPr>
        <w:pStyle w:val="Corpodetexto"/>
        <w:spacing w:before="1"/>
        <w:ind w:right="988"/>
      </w:pPr>
      <w:r>
        <w:t>É também possível extrair a maior preocupação com o controle do processo, permitindo a verificação da probidade e lisura do procedimento. Isso se evidencia, por exemplo, na exigência de pareceres jurídicos e técnicos, de comprovação das condições de habilitação da contratada, da necessidade de formalização dos documentos e justificativas ao longo do procedimento, bem como na exigência do parágrafo primeiro do artigo acima transcrito quanto à publicidade do procedimento.</w:t>
      </w:r>
    </w:p>
    <w:p w:rsidR="007259F2" w:rsidRDefault="00E655B4">
      <w:pPr>
        <w:pStyle w:val="Corpodetexto"/>
        <w:ind w:right="994"/>
      </w:pPr>
      <w:r>
        <w:t>Sobre este ponto da divulgação em sítio eletrônico, inclusive, e sua relação com o aspecto do controle das contratações, especialmente valorizado na nova normativa, Nohara (2023, p. 334) explica que:</w:t>
      </w:r>
    </w:p>
    <w:p w:rsidR="007259F2" w:rsidRDefault="007259F2">
      <w:pPr>
        <w:pStyle w:val="Corpodetexto"/>
        <w:spacing w:before="2"/>
        <w:ind w:left="0" w:firstLine="0"/>
        <w:jc w:val="left"/>
      </w:pPr>
    </w:p>
    <w:p w:rsidR="007259F2" w:rsidRDefault="00E655B4">
      <w:pPr>
        <w:ind w:left="2978" w:right="991"/>
        <w:jc w:val="both"/>
        <w:rPr>
          <w:sz w:val="20"/>
        </w:rPr>
      </w:pPr>
      <w:r>
        <w:rPr>
          <w:sz w:val="20"/>
        </w:rPr>
        <w:t>A transformação contemporânea dos meios digitais e a visibilidade maior proporcionada por um governo eletrônico e digital dos processos administrativos, aliadas às exigências legais de transparência nas</w:t>
      </w:r>
      <w:r>
        <w:rPr>
          <w:spacing w:val="80"/>
          <w:sz w:val="20"/>
        </w:rPr>
        <w:t xml:space="preserve"> </w:t>
      </w:r>
      <w:r>
        <w:rPr>
          <w:sz w:val="20"/>
        </w:rPr>
        <w:t>contratações públicas, inclusive as contratações diretas, isto é, com dispensa ou</w:t>
      </w:r>
      <w:r>
        <w:rPr>
          <w:spacing w:val="-2"/>
          <w:sz w:val="20"/>
        </w:rPr>
        <w:t xml:space="preserve"> </w:t>
      </w:r>
      <w:r>
        <w:rPr>
          <w:sz w:val="20"/>
        </w:rPr>
        <w:t>inexigibilidade, potencializarão o controle da Administração, facilitando o trabalho tanto das instituições oficialmente munidas de competência para engendrar</w:t>
      </w:r>
      <w:r>
        <w:rPr>
          <w:spacing w:val="-2"/>
          <w:sz w:val="20"/>
        </w:rPr>
        <w:t xml:space="preserve"> </w:t>
      </w:r>
      <w:r>
        <w:rPr>
          <w:sz w:val="20"/>
        </w:rPr>
        <w:t>a</w:t>
      </w:r>
      <w:r>
        <w:rPr>
          <w:spacing w:val="-3"/>
          <w:sz w:val="20"/>
        </w:rPr>
        <w:t xml:space="preserve"> </w:t>
      </w:r>
      <w:r>
        <w:rPr>
          <w:sz w:val="20"/>
        </w:rPr>
        <w:t>fiscalização</w:t>
      </w:r>
      <w:r>
        <w:rPr>
          <w:spacing w:val="-2"/>
          <w:sz w:val="20"/>
        </w:rPr>
        <w:t xml:space="preserve"> </w:t>
      </w:r>
      <w:r>
        <w:rPr>
          <w:sz w:val="20"/>
        </w:rPr>
        <w:t>como</w:t>
      </w:r>
      <w:r>
        <w:rPr>
          <w:spacing w:val="-1"/>
          <w:sz w:val="20"/>
        </w:rPr>
        <w:t xml:space="preserve"> </w:t>
      </w:r>
      <w:r>
        <w:rPr>
          <w:sz w:val="20"/>
        </w:rPr>
        <w:t>dos</w:t>
      </w:r>
      <w:r>
        <w:rPr>
          <w:spacing w:val="-4"/>
          <w:sz w:val="20"/>
        </w:rPr>
        <w:t xml:space="preserve"> </w:t>
      </w:r>
      <w:r>
        <w:rPr>
          <w:sz w:val="20"/>
        </w:rPr>
        <w:t>jornalistas,</w:t>
      </w:r>
      <w:r>
        <w:rPr>
          <w:spacing w:val="-3"/>
          <w:sz w:val="20"/>
        </w:rPr>
        <w:t xml:space="preserve"> </w:t>
      </w:r>
      <w:r>
        <w:rPr>
          <w:sz w:val="20"/>
        </w:rPr>
        <w:t>da</w:t>
      </w:r>
      <w:r>
        <w:rPr>
          <w:spacing w:val="-3"/>
          <w:sz w:val="20"/>
        </w:rPr>
        <w:t xml:space="preserve"> </w:t>
      </w:r>
      <w:r>
        <w:rPr>
          <w:sz w:val="20"/>
        </w:rPr>
        <w:t>sociedade</w:t>
      </w:r>
      <w:r>
        <w:rPr>
          <w:spacing w:val="-1"/>
          <w:sz w:val="20"/>
        </w:rPr>
        <w:t xml:space="preserve"> </w:t>
      </w:r>
      <w:r>
        <w:rPr>
          <w:sz w:val="20"/>
        </w:rPr>
        <w:t>civil</w:t>
      </w:r>
      <w:r>
        <w:rPr>
          <w:spacing w:val="-4"/>
          <w:sz w:val="20"/>
        </w:rPr>
        <w:t xml:space="preserve"> </w:t>
      </w:r>
      <w:r>
        <w:rPr>
          <w:sz w:val="20"/>
        </w:rPr>
        <w:t>organizada</w:t>
      </w:r>
      <w:r>
        <w:rPr>
          <w:spacing w:val="-3"/>
          <w:sz w:val="20"/>
        </w:rPr>
        <w:t xml:space="preserve"> </w:t>
      </w:r>
      <w:r>
        <w:rPr>
          <w:sz w:val="20"/>
        </w:rPr>
        <w:t>e dos cidadãos no geral, o que pode ter um resultado positivo.</w:t>
      </w:r>
    </w:p>
    <w:p w:rsidR="007259F2" w:rsidRDefault="00E655B4">
      <w:pPr>
        <w:pStyle w:val="Corpodetexto"/>
        <w:spacing w:before="228"/>
        <w:ind w:right="990"/>
      </w:pPr>
      <w:r>
        <w:t>Diante de tais disposições, é possível notar que a nova lei de licitações dedicou maior atenção ao procedimento de contratação direta, concedendo-lhe maior formalidade através das exigências acima comentadas.</w:t>
      </w:r>
    </w:p>
    <w:p w:rsidR="007259F2" w:rsidRDefault="00E655B4">
      <w:pPr>
        <w:pStyle w:val="Corpodetexto"/>
        <w:ind w:right="989"/>
      </w:pPr>
      <w:r>
        <w:t>Ainda que o regramento tenha avançado, como as hipóteses de contratação direta, seja por inexigibilidade ou dispensa, são bastante diferentes entre si, há uma impossibilidade de estabelecer um procedimento padronizado e rígido para contratações diretas, sendo necessária certa flexibilidade para que o procedimento seja moldado de acordo com as possibilidades do caso concreto.</w:t>
      </w:r>
    </w:p>
    <w:p w:rsidR="007259F2" w:rsidRDefault="00E655B4">
      <w:pPr>
        <w:pStyle w:val="Corpodetexto"/>
        <w:spacing w:before="1"/>
        <w:ind w:right="989"/>
      </w:pPr>
      <w:r>
        <w:t>De todo modo, um procedimento mínimo há de ser observado. Tal</w:t>
      </w:r>
      <w:r>
        <w:rPr>
          <w:spacing w:val="40"/>
        </w:rPr>
        <w:t xml:space="preserve"> </w:t>
      </w:r>
      <w:r>
        <w:t>procedimento, na fase interna, não difere muito do procedimento de licitação, nas exigências quanto à definição do objeto, previsão da despesa e reserva de recursos, e estabelecimento das condições contratuais. Há de existir, sempre, a justificativa para o cabimento da contratação direta, demonstrando ser o caso de inexigibilidade ou dispensa. Outro ponto imprescindível é a justificativa de preço, com pesquisa que indique as condições de mercado e a vantagem da contratação. Para as contratações por conta do valor, a lei impõe a divulgação de aviso em sítio eletrônico oficial, pelo prazo mínimo</w:t>
      </w:r>
      <w:r>
        <w:rPr>
          <w:spacing w:val="61"/>
        </w:rPr>
        <w:t xml:space="preserve"> </w:t>
      </w:r>
      <w:r>
        <w:t>de</w:t>
      </w:r>
      <w:r>
        <w:rPr>
          <w:spacing w:val="58"/>
        </w:rPr>
        <w:t xml:space="preserve"> </w:t>
      </w:r>
      <w:r>
        <w:t>3</w:t>
      </w:r>
      <w:r>
        <w:rPr>
          <w:spacing w:val="62"/>
        </w:rPr>
        <w:t xml:space="preserve"> </w:t>
      </w:r>
      <w:r>
        <w:t>(três)</w:t>
      </w:r>
      <w:r>
        <w:rPr>
          <w:spacing w:val="58"/>
        </w:rPr>
        <w:t xml:space="preserve"> </w:t>
      </w:r>
      <w:r>
        <w:t>dias</w:t>
      </w:r>
      <w:r>
        <w:rPr>
          <w:spacing w:val="60"/>
        </w:rPr>
        <w:t xml:space="preserve"> </w:t>
      </w:r>
      <w:r>
        <w:t>úteis,</w:t>
      </w:r>
      <w:r>
        <w:rPr>
          <w:spacing w:val="62"/>
        </w:rPr>
        <w:t xml:space="preserve"> </w:t>
      </w:r>
      <w:r>
        <w:t>com</w:t>
      </w:r>
      <w:r>
        <w:rPr>
          <w:spacing w:val="61"/>
        </w:rPr>
        <w:t xml:space="preserve"> </w:t>
      </w:r>
      <w:r>
        <w:t>a</w:t>
      </w:r>
      <w:r>
        <w:rPr>
          <w:spacing w:val="58"/>
        </w:rPr>
        <w:t xml:space="preserve"> </w:t>
      </w:r>
      <w:r>
        <w:t>especificação</w:t>
      </w:r>
      <w:r>
        <w:rPr>
          <w:spacing w:val="62"/>
        </w:rPr>
        <w:t xml:space="preserve"> </w:t>
      </w:r>
      <w:r>
        <w:t>do</w:t>
      </w:r>
      <w:r>
        <w:rPr>
          <w:spacing w:val="61"/>
        </w:rPr>
        <w:t xml:space="preserve"> </w:t>
      </w:r>
      <w:r>
        <w:t>objeto</w:t>
      </w:r>
      <w:r>
        <w:rPr>
          <w:spacing w:val="61"/>
        </w:rPr>
        <w:t xml:space="preserve"> </w:t>
      </w:r>
      <w:r>
        <w:t>pretendido</w:t>
      </w:r>
      <w:r>
        <w:rPr>
          <w:spacing w:val="62"/>
        </w:rPr>
        <w:t xml:space="preserve"> </w:t>
      </w:r>
      <w:r>
        <w:t>e</w:t>
      </w:r>
      <w:r>
        <w:rPr>
          <w:spacing w:val="60"/>
        </w:rPr>
        <w:t xml:space="preserve"> </w:t>
      </w:r>
      <w:r>
        <w:t>com</w:t>
      </w:r>
      <w:r>
        <w:rPr>
          <w:spacing w:val="62"/>
        </w:rPr>
        <w:t xml:space="preserve"> </w:t>
      </w:r>
      <w:r>
        <w:rPr>
          <w:spacing w:val="-10"/>
        </w:rPr>
        <w:t>a</w:t>
      </w:r>
    </w:p>
    <w:p w:rsidR="007259F2" w:rsidRDefault="007259F2">
      <w:pPr>
        <w:pStyle w:val="Corpodetexto"/>
        <w:sectPr w:rsidR="007259F2">
          <w:pgSz w:w="11910" w:h="16840"/>
          <w:pgMar w:top="1320" w:right="708" w:bottom="1160" w:left="992" w:header="0" w:footer="962" w:gutter="0"/>
          <w:cols w:space="720"/>
        </w:sectPr>
      </w:pPr>
    </w:p>
    <w:p w:rsidR="007259F2" w:rsidRDefault="00E655B4">
      <w:pPr>
        <w:pStyle w:val="Corpodetexto"/>
        <w:spacing w:before="69"/>
        <w:ind w:right="990" w:firstLine="0"/>
      </w:pPr>
      <w:r>
        <w:lastRenderedPageBreak/>
        <w:t>manifestação de interesse da Administração em obter propostas adicionais de eventuais interessados, devendo ser selecionada a proposta mais vantajosa (§3º do artigo 75). Ainda, o ato decisório que autoriza a contratação deve ser motivado, de modo que seja indicada</w:t>
      </w:r>
      <w:r>
        <w:rPr>
          <w:spacing w:val="40"/>
        </w:rPr>
        <w:t xml:space="preserve"> </w:t>
      </w:r>
      <w:r>
        <w:t>a</w:t>
      </w:r>
      <w:r>
        <w:rPr>
          <w:spacing w:val="40"/>
        </w:rPr>
        <w:t xml:space="preserve"> </w:t>
      </w:r>
      <w:r>
        <w:t>presença</w:t>
      </w:r>
      <w:r>
        <w:rPr>
          <w:spacing w:val="80"/>
        </w:rPr>
        <w:t xml:space="preserve"> </w:t>
      </w:r>
      <w:r>
        <w:t>dos</w:t>
      </w:r>
      <w:r>
        <w:rPr>
          <w:spacing w:val="80"/>
        </w:rPr>
        <w:t xml:space="preserve"> </w:t>
      </w:r>
      <w:r>
        <w:t>pressupostos</w:t>
      </w:r>
      <w:r>
        <w:rPr>
          <w:spacing w:val="80"/>
        </w:rPr>
        <w:t xml:space="preserve"> </w:t>
      </w:r>
      <w:r>
        <w:t>que</w:t>
      </w:r>
      <w:r>
        <w:rPr>
          <w:spacing w:val="80"/>
        </w:rPr>
        <w:t xml:space="preserve"> </w:t>
      </w:r>
      <w:r>
        <w:t>autorizam</w:t>
      </w:r>
      <w:r>
        <w:rPr>
          <w:spacing w:val="80"/>
        </w:rPr>
        <w:t xml:space="preserve"> </w:t>
      </w:r>
      <w:r>
        <w:t>a</w:t>
      </w:r>
      <w:r>
        <w:rPr>
          <w:spacing w:val="40"/>
        </w:rPr>
        <w:t xml:space="preserve"> </w:t>
      </w:r>
      <w:r>
        <w:t>contratação</w:t>
      </w:r>
      <w:r>
        <w:rPr>
          <w:spacing w:val="80"/>
        </w:rPr>
        <w:t xml:space="preserve"> </w:t>
      </w:r>
      <w:r>
        <w:t>direta,</w:t>
      </w:r>
      <w:r>
        <w:rPr>
          <w:spacing w:val="40"/>
        </w:rPr>
        <w:t xml:space="preserve"> </w:t>
      </w:r>
      <w:r>
        <w:t>bem como</w:t>
      </w:r>
      <w:r>
        <w:rPr>
          <w:spacing w:val="40"/>
        </w:rPr>
        <w:t xml:space="preserve"> </w:t>
      </w:r>
      <w:r>
        <w:t>se</w:t>
      </w:r>
      <w:r>
        <w:rPr>
          <w:spacing w:val="40"/>
        </w:rPr>
        <w:t xml:space="preserve"> </w:t>
      </w:r>
      <w:r>
        <w:t>justifique</w:t>
      </w:r>
      <w:r>
        <w:rPr>
          <w:spacing w:val="40"/>
        </w:rPr>
        <w:t xml:space="preserve"> </w:t>
      </w:r>
      <w:r>
        <w:t>a</w:t>
      </w:r>
      <w:r>
        <w:rPr>
          <w:spacing w:val="40"/>
        </w:rPr>
        <w:t xml:space="preserve"> </w:t>
      </w:r>
      <w:r>
        <w:t>escolha</w:t>
      </w:r>
      <w:r>
        <w:rPr>
          <w:spacing w:val="40"/>
        </w:rPr>
        <w:t xml:space="preserve"> </w:t>
      </w:r>
      <w:r>
        <w:t>de</w:t>
      </w:r>
      <w:r>
        <w:rPr>
          <w:spacing w:val="40"/>
        </w:rPr>
        <w:t xml:space="preserve"> </w:t>
      </w:r>
      <w:r>
        <w:t>determinado</w:t>
      </w:r>
      <w:r>
        <w:rPr>
          <w:spacing w:val="40"/>
        </w:rPr>
        <w:t xml:space="preserve"> </w:t>
      </w:r>
      <w:r>
        <w:t>contratante</w:t>
      </w:r>
      <w:r>
        <w:rPr>
          <w:spacing w:val="40"/>
        </w:rPr>
        <w:t xml:space="preserve"> </w:t>
      </w:r>
      <w:r>
        <w:t>a</w:t>
      </w:r>
      <w:r>
        <w:rPr>
          <w:spacing w:val="40"/>
        </w:rPr>
        <w:t xml:space="preserve"> </w:t>
      </w:r>
      <w:r>
        <w:t>partir</w:t>
      </w:r>
      <w:r>
        <w:rPr>
          <w:spacing w:val="40"/>
        </w:rPr>
        <w:t xml:space="preserve"> </w:t>
      </w:r>
      <w:r>
        <w:t>de</w:t>
      </w:r>
      <w:r>
        <w:rPr>
          <w:spacing w:val="40"/>
        </w:rPr>
        <w:t xml:space="preserve"> </w:t>
      </w:r>
      <w:r>
        <w:t>critérios objetivos</w:t>
      </w:r>
      <w:r>
        <w:rPr>
          <w:spacing w:val="40"/>
        </w:rPr>
        <w:t xml:space="preserve"> </w:t>
      </w:r>
      <w:r>
        <w:t>de</w:t>
      </w:r>
      <w:r>
        <w:rPr>
          <w:spacing w:val="40"/>
        </w:rPr>
        <w:t xml:space="preserve"> </w:t>
      </w:r>
      <w:r>
        <w:t>escolha (JUSTEN FILHO, 2021, p. 945-954).</w:t>
      </w:r>
    </w:p>
    <w:p w:rsidR="007259F2" w:rsidRDefault="00E655B4">
      <w:pPr>
        <w:pStyle w:val="Corpodetexto"/>
        <w:spacing w:before="1"/>
        <w:ind w:right="990"/>
      </w:pPr>
      <w:r>
        <w:t>Portanto, em que pese o procedimento ser mais simplificado que a licitação, na hipótese de</w:t>
      </w:r>
      <w:r>
        <w:rPr>
          <w:spacing w:val="40"/>
        </w:rPr>
        <w:t xml:space="preserve"> </w:t>
      </w:r>
      <w:r>
        <w:t>contratação direta deverão ser observados, ao menos, requisitos básicos</w:t>
      </w:r>
      <w:r>
        <w:rPr>
          <w:spacing w:val="40"/>
        </w:rPr>
        <w:t xml:space="preserve"> </w:t>
      </w:r>
      <w:r>
        <w:t xml:space="preserve">para a devida formalização do procedimento administrativo. Nesse sentido, a norma federal dá diretrizes a serem seguidas pelos agentes públicos quando da condução de tal procedimento. Nada impede, contudo, que cada ente federativo estabeleça maiores regramentos para o procedimento. É o que sugere Justen Filho (2021, p. 953), dispondo </w:t>
      </w:r>
      <w:r>
        <w:rPr>
          <w:spacing w:val="-4"/>
        </w:rPr>
        <w:t>que:</w:t>
      </w:r>
    </w:p>
    <w:p w:rsidR="007259F2" w:rsidRDefault="00E655B4">
      <w:pPr>
        <w:spacing w:before="2"/>
        <w:ind w:left="2978" w:right="988"/>
        <w:jc w:val="both"/>
        <w:rPr>
          <w:sz w:val="20"/>
        </w:rPr>
      </w:pPr>
      <w:r>
        <w:rPr>
          <w:sz w:val="20"/>
        </w:rPr>
        <w:t>Cabe insistir sobre a relevância da regulamentação, ao interno de cada unidade estatal, do procedimento de contratação direta. Trata-se não de</w:t>
      </w:r>
      <w:r>
        <w:rPr>
          <w:spacing w:val="40"/>
          <w:sz w:val="20"/>
        </w:rPr>
        <w:t xml:space="preserve"> </w:t>
      </w:r>
      <w:r>
        <w:rPr>
          <w:sz w:val="20"/>
        </w:rPr>
        <w:t>inovar a disciplina legislativa, hipótese totalmente descabida.</w:t>
      </w:r>
    </w:p>
    <w:p w:rsidR="007259F2" w:rsidRDefault="00E655B4">
      <w:pPr>
        <w:spacing w:before="1"/>
        <w:ind w:left="2978" w:right="989"/>
        <w:jc w:val="both"/>
        <w:rPr>
          <w:sz w:val="20"/>
        </w:rPr>
      </w:pPr>
      <w:r>
        <w:rPr>
          <w:sz w:val="20"/>
        </w:rPr>
        <w:t>O que se busca são padrões uniformes e estáveis atinentes às situações de contratação direta, indicando de antemão todas as providências cabíveis e previsíveis que seriam adotadas no âmbito da entidade.</w:t>
      </w:r>
    </w:p>
    <w:p w:rsidR="007259F2" w:rsidRDefault="00E655B4">
      <w:pPr>
        <w:ind w:left="2978" w:right="994"/>
        <w:jc w:val="both"/>
        <w:rPr>
          <w:sz w:val="20"/>
        </w:rPr>
      </w:pPr>
      <w:r>
        <w:rPr>
          <w:sz w:val="20"/>
        </w:rPr>
        <w:t>Isso permitirá a institucionalização da contratação direta, na acepção de eliminar-se o cunho de anomalia, excepcionalidade, imprevisibilidade e</w:t>
      </w:r>
      <w:r>
        <w:rPr>
          <w:spacing w:val="40"/>
          <w:sz w:val="20"/>
        </w:rPr>
        <w:t xml:space="preserve"> </w:t>
      </w:r>
      <w:r>
        <w:rPr>
          <w:sz w:val="20"/>
        </w:rPr>
        <w:t xml:space="preserve">outras características que impossibilitam o controle da contratação </w:t>
      </w:r>
      <w:r>
        <w:rPr>
          <w:spacing w:val="-2"/>
          <w:sz w:val="20"/>
        </w:rPr>
        <w:t>administrativa.</w:t>
      </w:r>
    </w:p>
    <w:p w:rsidR="007259F2" w:rsidRDefault="00E655B4">
      <w:pPr>
        <w:pStyle w:val="Corpodetexto"/>
        <w:spacing w:before="227"/>
        <w:ind w:right="991"/>
      </w:pPr>
      <w:r>
        <w:t>No</w:t>
      </w:r>
      <w:r>
        <w:rPr>
          <w:spacing w:val="-2"/>
        </w:rPr>
        <w:t xml:space="preserve"> </w:t>
      </w:r>
      <w:r>
        <w:t>âmbito</w:t>
      </w:r>
      <w:r>
        <w:rPr>
          <w:spacing w:val="-1"/>
        </w:rPr>
        <w:t xml:space="preserve"> </w:t>
      </w:r>
      <w:r>
        <w:t>do</w:t>
      </w:r>
      <w:r>
        <w:rPr>
          <w:spacing w:val="-1"/>
        </w:rPr>
        <w:t xml:space="preserve"> </w:t>
      </w:r>
      <w:r>
        <w:t>Município</w:t>
      </w:r>
      <w:r>
        <w:rPr>
          <w:spacing w:val="-3"/>
        </w:rPr>
        <w:t xml:space="preserve"> </w:t>
      </w:r>
      <w:r>
        <w:t>de</w:t>
      </w:r>
      <w:r>
        <w:rPr>
          <w:spacing w:val="-2"/>
        </w:rPr>
        <w:t xml:space="preserve"> </w:t>
      </w:r>
      <w:r>
        <w:t>São</w:t>
      </w:r>
      <w:r>
        <w:rPr>
          <w:spacing w:val="-1"/>
        </w:rPr>
        <w:t xml:space="preserve"> </w:t>
      </w:r>
      <w:r>
        <w:t>Paulo,</w:t>
      </w:r>
      <w:r>
        <w:rPr>
          <w:spacing w:val="-1"/>
        </w:rPr>
        <w:t xml:space="preserve"> </w:t>
      </w:r>
      <w:r>
        <w:t>o</w:t>
      </w:r>
      <w:r>
        <w:rPr>
          <w:spacing w:val="-1"/>
        </w:rPr>
        <w:t xml:space="preserve"> </w:t>
      </w:r>
      <w:r>
        <w:t>Decreto Municipal</w:t>
      </w:r>
      <w:r>
        <w:rPr>
          <w:spacing w:val="-1"/>
        </w:rPr>
        <w:t xml:space="preserve"> </w:t>
      </w:r>
      <w:r>
        <w:t>n.</w:t>
      </w:r>
      <w:r>
        <w:rPr>
          <w:spacing w:val="-1"/>
        </w:rPr>
        <w:t xml:space="preserve"> </w:t>
      </w:r>
      <w:r>
        <w:t>62.100/2021,</w:t>
      </w:r>
      <w:r>
        <w:rPr>
          <w:spacing w:val="-1"/>
        </w:rPr>
        <w:t xml:space="preserve"> </w:t>
      </w:r>
      <w:r>
        <w:t>que regulamenta a lei federal no âmbito municipal, dedica seu Capítulo IV ao tema da contratação</w:t>
      </w:r>
      <w:r>
        <w:rPr>
          <w:spacing w:val="-4"/>
        </w:rPr>
        <w:t xml:space="preserve"> </w:t>
      </w:r>
      <w:r>
        <w:t>direta.</w:t>
      </w:r>
      <w:r>
        <w:rPr>
          <w:spacing w:val="-6"/>
        </w:rPr>
        <w:t xml:space="preserve"> </w:t>
      </w:r>
      <w:r>
        <w:t>Seguindo,</w:t>
      </w:r>
      <w:r>
        <w:rPr>
          <w:spacing w:val="-5"/>
        </w:rPr>
        <w:t xml:space="preserve"> </w:t>
      </w:r>
      <w:r>
        <w:t>de</w:t>
      </w:r>
      <w:r>
        <w:rPr>
          <w:spacing w:val="-5"/>
        </w:rPr>
        <w:t xml:space="preserve"> </w:t>
      </w:r>
      <w:r>
        <w:t>modo</w:t>
      </w:r>
      <w:r>
        <w:rPr>
          <w:spacing w:val="-6"/>
        </w:rPr>
        <w:t xml:space="preserve"> </w:t>
      </w:r>
      <w:r>
        <w:t>geral,</w:t>
      </w:r>
      <w:r>
        <w:rPr>
          <w:spacing w:val="-4"/>
        </w:rPr>
        <w:t xml:space="preserve"> </w:t>
      </w:r>
      <w:r>
        <w:t>as</w:t>
      </w:r>
      <w:r>
        <w:rPr>
          <w:spacing w:val="-7"/>
        </w:rPr>
        <w:t xml:space="preserve"> </w:t>
      </w:r>
      <w:r>
        <w:t>disposições</w:t>
      </w:r>
      <w:r>
        <w:rPr>
          <w:spacing w:val="-6"/>
        </w:rPr>
        <w:t xml:space="preserve"> </w:t>
      </w:r>
      <w:r>
        <w:t>da</w:t>
      </w:r>
      <w:r>
        <w:rPr>
          <w:spacing w:val="-5"/>
        </w:rPr>
        <w:t xml:space="preserve"> </w:t>
      </w:r>
      <w:r>
        <w:t>norma</w:t>
      </w:r>
      <w:r>
        <w:rPr>
          <w:spacing w:val="-8"/>
        </w:rPr>
        <w:t xml:space="preserve"> </w:t>
      </w:r>
      <w:r>
        <w:t>federal,</w:t>
      </w:r>
      <w:r>
        <w:rPr>
          <w:spacing w:val="-5"/>
        </w:rPr>
        <w:t xml:space="preserve"> </w:t>
      </w:r>
      <w:r>
        <w:t>acrescenta requisitos quanto à análise da notória especialização e essencialidade do trabalho para</w:t>
      </w:r>
      <w:r>
        <w:rPr>
          <w:spacing w:val="40"/>
        </w:rPr>
        <w:t xml:space="preserve"> </w:t>
      </w:r>
      <w:r>
        <w:t>os casos de inexigibilidade, bem como determina que os casos de dispensa em razão do valor devem ser promovidos por meio de cotação eletrônica, com a seleção da melhor proposta obtida.</w:t>
      </w:r>
    </w:p>
    <w:p w:rsidR="007259F2" w:rsidRDefault="00E655B4">
      <w:pPr>
        <w:pStyle w:val="Corpodetexto"/>
        <w:spacing w:before="1"/>
        <w:ind w:right="989"/>
      </w:pPr>
      <w:r>
        <w:t>Há ainda, no âmbito municipal, Instruções Normativas que tratam dos procedimentos licitatórios, que contêm previsões afetas à contratação direta, como, por exemplo, casos de dispensa em que não se exige a elaboração do Estudo Técnico Preliminar (Instrução Normativa SEGES nº 01/2023), determinação para utilização do “Sistema Compras.gov” nas cotações eletrônicas dos procedimentos de dispensa (Instrução Normativa SEGES nº 02/2023), possibilidade de utilização de critérios diversos na obtenção do preço estimado, no âmbito da pesquisa de preços, nos procedimentos de contratação direta (Instrução Normativa SEGES nº 06/2023).</w:t>
      </w:r>
    </w:p>
    <w:p w:rsidR="007259F2" w:rsidRDefault="00E655B4">
      <w:pPr>
        <w:pStyle w:val="Corpodetexto"/>
        <w:spacing w:before="1"/>
        <w:ind w:right="992"/>
      </w:pPr>
      <w:r>
        <w:t>Tais disposições ajudam a conformar o procedimento da contratação direta, que, por mais simplificado ou flexível que seja em relação ao procedimento licitatório, não deixa de ser um procedimento administrativo formal com requisitos a serem</w:t>
      </w:r>
      <w:r>
        <w:rPr>
          <w:spacing w:val="80"/>
        </w:rPr>
        <w:t xml:space="preserve"> </w:t>
      </w:r>
      <w:r>
        <w:t>observados. Uma maior padronização do procedimento auxilia o agente público no exercício de sua função, uma vez que este contará com maiores diretrizes na condução do procedimento e na tomada de decisões. Desse modo, favorece também a satisfação do interesse público, promovendo maior segurança jurídica e lisura</w:t>
      </w:r>
      <w:r>
        <w:rPr>
          <w:spacing w:val="40"/>
        </w:rPr>
        <w:t xml:space="preserve"> </w:t>
      </w:r>
      <w:r>
        <w:t>nos procedimentos de contratação direta que são, como visto, tão recorrentes na atividade administrativa.</w:t>
      </w:r>
    </w:p>
    <w:p w:rsidR="007259F2" w:rsidRDefault="00E655B4">
      <w:pPr>
        <w:pStyle w:val="Heading2"/>
        <w:numPr>
          <w:ilvl w:val="1"/>
          <w:numId w:val="43"/>
        </w:numPr>
        <w:tabs>
          <w:tab w:val="left" w:pos="1069"/>
        </w:tabs>
        <w:spacing w:before="206"/>
        <w:ind w:left="1069" w:hanging="359"/>
      </w:pPr>
      <w:r>
        <w:t>A</w:t>
      </w:r>
      <w:r>
        <w:rPr>
          <w:spacing w:val="-7"/>
        </w:rPr>
        <w:t xml:space="preserve"> </w:t>
      </w:r>
      <w:r>
        <w:t>importância</w:t>
      </w:r>
      <w:r>
        <w:rPr>
          <w:spacing w:val="-1"/>
        </w:rPr>
        <w:t xml:space="preserve"> </w:t>
      </w:r>
      <w:r>
        <w:t>dos</w:t>
      </w:r>
      <w:r>
        <w:rPr>
          <w:spacing w:val="-1"/>
        </w:rPr>
        <w:t xml:space="preserve"> </w:t>
      </w:r>
      <w:r>
        <w:t>princípios</w:t>
      </w:r>
      <w:r>
        <w:rPr>
          <w:spacing w:val="-3"/>
        </w:rPr>
        <w:t xml:space="preserve"> </w:t>
      </w:r>
      <w:r>
        <w:t>no</w:t>
      </w:r>
      <w:r>
        <w:rPr>
          <w:spacing w:val="-5"/>
        </w:rPr>
        <w:t xml:space="preserve"> </w:t>
      </w:r>
      <w:r>
        <w:t>procedimento</w:t>
      </w:r>
      <w:r>
        <w:rPr>
          <w:spacing w:val="-1"/>
        </w:rPr>
        <w:t xml:space="preserve"> </w:t>
      </w:r>
      <w:r>
        <w:t>da</w:t>
      </w:r>
      <w:r>
        <w:rPr>
          <w:spacing w:val="-3"/>
        </w:rPr>
        <w:t xml:space="preserve"> </w:t>
      </w:r>
      <w:r>
        <w:t>contratação</w:t>
      </w:r>
      <w:r>
        <w:rPr>
          <w:spacing w:val="-1"/>
        </w:rPr>
        <w:t xml:space="preserve"> </w:t>
      </w:r>
      <w:r>
        <w:rPr>
          <w:spacing w:val="-2"/>
        </w:rPr>
        <w:t>direta</w:t>
      </w:r>
    </w:p>
    <w:p w:rsidR="007259F2" w:rsidRDefault="00E655B4">
      <w:pPr>
        <w:pStyle w:val="Corpodetexto"/>
        <w:spacing w:before="157"/>
        <w:ind w:right="991"/>
      </w:pPr>
      <w:r>
        <w:t>As novas previsões quanto ao procedimento de contratação direta e as possíveis regulamentações do procedimento geram maior padronização, objetivando uma maior segurança</w:t>
      </w:r>
      <w:r>
        <w:rPr>
          <w:spacing w:val="76"/>
        </w:rPr>
        <w:t xml:space="preserve"> </w:t>
      </w:r>
      <w:r>
        <w:t>jurídica</w:t>
      </w:r>
      <w:r>
        <w:rPr>
          <w:spacing w:val="79"/>
        </w:rPr>
        <w:t xml:space="preserve"> </w:t>
      </w:r>
      <w:r>
        <w:t>e</w:t>
      </w:r>
      <w:r>
        <w:rPr>
          <w:spacing w:val="79"/>
        </w:rPr>
        <w:t xml:space="preserve"> </w:t>
      </w:r>
      <w:r>
        <w:t>melhores</w:t>
      </w:r>
      <w:r>
        <w:rPr>
          <w:spacing w:val="50"/>
          <w:w w:val="150"/>
        </w:rPr>
        <w:t xml:space="preserve"> </w:t>
      </w:r>
      <w:r>
        <w:t>resultados</w:t>
      </w:r>
      <w:r>
        <w:rPr>
          <w:spacing w:val="50"/>
          <w:w w:val="150"/>
        </w:rPr>
        <w:t xml:space="preserve"> </w:t>
      </w:r>
      <w:r>
        <w:t>nas</w:t>
      </w:r>
      <w:r>
        <w:rPr>
          <w:spacing w:val="52"/>
          <w:w w:val="150"/>
        </w:rPr>
        <w:t xml:space="preserve"> </w:t>
      </w:r>
      <w:r>
        <w:t>contratações.</w:t>
      </w:r>
      <w:r>
        <w:rPr>
          <w:spacing w:val="50"/>
          <w:w w:val="150"/>
        </w:rPr>
        <w:t xml:space="preserve"> </w:t>
      </w:r>
      <w:r>
        <w:t>No</w:t>
      </w:r>
      <w:r>
        <w:rPr>
          <w:spacing w:val="79"/>
        </w:rPr>
        <w:t xml:space="preserve"> </w:t>
      </w:r>
      <w:r>
        <w:t>entanto,</w:t>
      </w:r>
      <w:r>
        <w:rPr>
          <w:spacing w:val="50"/>
          <w:w w:val="150"/>
        </w:rPr>
        <w:t xml:space="preserve"> </w:t>
      </w:r>
      <w:r>
        <w:t>a</w:t>
      </w:r>
      <w:r>
        <w:rPr>
          <w:spacing w:val="79"/>
        </w:rPr>
        <w:t xml:space="preserve"> </w:t>
      </w:r>
      <w:r>
        <w:rPr>
          <w:spacing w:val="-2"/>
        </w:rPr>
        <w:t>própria</w:t>
      </w:r>
    </w:p>
    <w:p w:rsidR="007259F2" w:rsidRDefault="007259F2">
      <w:pPr>
        <w:pStyle w:val="Corpodetexto"/>
        <w:sectPr w:rsidR="007259F2">
          <w:pgSz w:w="11910" w:h="16840"/>
          <w:pgMar w:top="1320" w:right="708" w:bottom="1160" w:left="992" w:header="0" w:footer="962" w:gutter="0"/>
          <w:cols w:space="720"/>
        </w:sectPr>
      </w:pPr>
    </w:p>
    <w:p w:rsidR="007259F2" w:rsidRDefault="00E655B4">
      <w:pPr>
        <w:pStyle w:val="Corpodetexto"/>
        <w:spacing w:before="69"/>
        <w:ind w:right="992" w:firstLine="0"/>
      </w:pPr>
      <w:r>
        <w:lastRenderedPageBreak/>
        <w:t>natureza do procedimento, enquanto exceção à regra da licitação, impede um exaurimento da matéria e uma excessiva burocratização do procedimento.</w:t>
      </w:r>
    </w:p>
    <w:p w:rsidR="007259F2" w:rsidRDefault="00E655B4">
      <w:pPr>
        <w:pStyle w:val="Corpodetexto"/>
        <w:spacing w:before="1"/>
        <w:ind w:right="993"/>
      </w:pPr>
      <w:r>
        <w:t>O procedimento de contratação direta é previsto para as hipóteses em que o procedimento padronizado e burocrático da licitação não é viável, por questões fáticas que exigem um procedimento diferenciado. Assim, por maior que seja a disciplina normativa sobre a matéria, sempre há de existir certa margem de liberalidade no procedimento que permita a adequação ao caso concreto.</w:t>
      </w:r>
    </w:p>
    <w:p w:rsidR="007259F2" w:rsidRDefault="00E655B4">
      <w:pPr>
        <w:pStyle w:val="Corpodetexto"/>
        <w:ind w:right="990"/>
      </w:pPr>
      <w:r>
        <w:t>A existência de um único fornecedor, por exemplo, afasta os atos relacionados à garantia da competição. É possível que casos de grave emergência imponham um afastamento das formalidades do procedimento para a satisfação imediata do interesse público. Contratações de serviços artísticos muitas vezes afastaram critérios mais objetivos de escolha, em detrimento de critérios subjetivos próprios do objeto da contratação. Outras contratações podem implicar em exigências de mais documentos</w:t>
      </w:r>
      <w:r>
        <w:rPr>
          <w:spacing w:val="40"/>
        </w:rPr>
        <w:t xml:space="preserve"> </w:t>
      </w:r>
      <w:r>
        <w:t>que caracterizem a hipótese, como, por exemplo, as justificativas e pareceres que demonstrem a especialidade técnica e natureza dos serviços que implicam em inexigibilidade da contratação.</w:t>
      </w:r>
    </w:p>
    <w:p w:rsidR="007259F2" w:rsidRDefault="00E655B4">
      <w:pPr>
        <w:pStyle w:val="Corpodetexto"/>
        <w:spacing w:before="1"/>
        <w:ind w:right="994"/>
      </w:pPr>
      <w:r>
        <w:t>Estes exemplos demonstram que, por maior que seja a regulamentação, o procedimento de contratação direta sempre contará com lacunas, de modo que será um procedimento com maior grau de discricionariedade. E, neste cenário, os princípios jurídicos ganham especial relevância de modo a direcionar os agentes públicos na condução de um procedimento que não rompa com o regime jurídico.</w:t>
      </w:r>
    </w:p>
    <w:p w:rsidR="007259F2" w:rsidRDefault="00E655B4">
      <w:pPr>
        <w:pStyle w:val="Corpodetexto"/>
        <w:ind w:right="994"/>
      </w:pPr>
      <w:r>
        <w:t>As definições de princípios são diversas na doutrina, mas de modo geral</w:t>
      </w:r>
      <w:r>
        <w:rPr>
          <w:spacing w:val="40"/>
        </w:rPr>
        <w:t xml:space="preserve"> </w:t>
      </w:r>
      <w:r>
        <w:t>apontam para o aspecto conformador e orientador de tais normas. Nesse sentido, dois grandes juristas brasileiros, Miguel Reale e Celso Antônio Bandeira de Mello, assim definem princípios:</w:t>
      </w:r>
    </w:p>
    <w:p w:rsidR="007259F2" w:rsidRDefault="00E655B4">
      <w:pPr>
        <w:spacing w:before="2"/>
        <w:ind w:left="2978" w:right="996"/>
        <w:jc w:val="both"/>
        <w:rPr>
          <w:sz w:val="20"/>
        </w:rPr>
      </w:pPr>
      <w:r>
        <w:rPr>
          <w:sz w:val="20"/>
        </w:rPr>
        <w:t>Princípios</w:t>
      </w:r>
      <w:r>
        <w:rPr>
          <w:spacing w:val="-2"/>
          <w:sz w:val="20"/>
        </w:rPr>
        <w:t xml:space="preserve"> </w:t>
      </w:r>
      <w:r>
        <w:rPr>
          <w:sz w:val="20"/>
        </w:rPr>
        <w:t>gerais</w:t>
      </w:r>
      <w:r>
        <w:rPr>
          <w:spacing w:val="-2"/>
          <w:sz w:val="20"/>
        </w:rPr>
        <w:t xml:space="preserve"> </w:t>
      </w:r>
      <w:r>
        <w:rPr>
          <w:sz w:val="20"/>
        </w:rPr>
        <w:t>de</w:t>
      </w:r>
      <w:r>
        <w:rPr>
          <w:spacing w:val="-2"/>
          <w:sz w:val="20"/>
        </w:rPr>
        <w:t xml:space="preserve"> </w:t>
      </w:r>
      <w:r>
        <w:rPr>
          <w:sz w:val="20"/>
        </w:rPr>
        <w:t>direito</w:t>
      </w:r>
      <w:r>
        <w:rPr>
          <w:spacing w:val="-2"/>
          <w:sz w:val="20"/>
        </w:rPr>
        <w:t xml:space="preserve"> </w:t>
      </w:r>
      <w:r>
        <w:rPr>
          <w:sz w:val="20"/>
        </w:rPr>
        <w:t>são</w:t>
      </w:r>
      <w:r>
        <w:rPr>
          <w:spacing w:val="-2"/>
          <w:sz w:val="20"/>
        </w:rPr>
        <w:t xml:space="preserve"> </w:t>
      </w:r>
      <w:r>
        <w:rPr>
          <w:sz w:val="20"/>
        </w:rPr>
        <w:t>enunciações</w:t>
      </w:r>
      <w:r>
        <w:rPr>
          <w:spacing w:val="-2"/>
          <w:sz w:val="20"/>
        </w:rPr>
        <w:t xml:space="preserve"> </w:t>
      </w:r>
      <w:r>
        <w:rPr>
          <w:sz w:val="20"/>
        </w:rPr>
        <w:t>normativas</w:t>
      </w:r>
      <w:r>
        <w:rPr>
          <w:spacing w:val="-2"/>
          <w:sz w:val="20"/>
        </w:rPr>
        <w:t xml:space="preserve"> </w:t>
      </w:r>
      <w:r>
        <w:rPr>
          <w:sz w:val="20"/>
        </w:rPr>
        <w:t>de valor</w:t>
      </w:r>
      <w:r>
        <w:rPr>
          <w:spacing w:val="-2"/>
          <w:sz w:val="20"/>
        </w:rPr>
        <w:t xml:space="preserve"> </w:t>
      </w:r>
      <w:r>
        <w:rPr>
          <w:sz w:val="20"/>
        </w:rPr>
        <w:t>genérico</w:t>
      </w:r>
      <w:r>
        <w:rPr>
          <w:spacing w:val="-2"/>
          <w:sz w:val="20"/>
        </w:rPr>
        <w:t xml:space="preserve"> </w:t>
      </w:r>
      <w:r>
        <w:rPr>
          <w:sz w:val="20"/>
        </w:rPr>
        <w:t>que condicionam e orientam a compreensão do ordenamento jurídico, quer para sua aplicação e integração, quer para a</w:t>
      </w:r>
      <w:r>
        <w:rPr>
          <w:spacing w:val="-2"/>
          <w:sz w:val="20"/>
        </w:rPr>
        <w:t xml:space="preserve"> </w:t>
      </w:r>
      <w:r>
        <w:rPr>
          <w:sz w:val="20"/>
        </w:rPr>
        <w:t>elaboração de</w:t>
      </w:r>
      <w:r>
        <w:rPr>
          <w:spacing w:val="-2"/>
          <w:sz w:val="20"/>
        </w:rPr>
        <w:t xml:space="preserve"> </w:t>
      </w:r>
      <w:r>
        <w:rPr>
          <w:sz w:val="20"/>
        </w:rPr>
        <w:t>novas normas. Cobrem, desse modo, tanto o campo da pesquisa pura do Direito quanto o de sua atualização</w:t>
      </w:r>
      <w:r>
        <w:rPr>
          <w:spacing w:val="40"/>
          <w:sz w:val="20"/>
        </w:rPr>
        <w:t xml:space="preserve"> </w:t>
      </w:r>
      <w:r>
        <w:rPr>
          <w:sz w:val="20"/>
        </w:rPr>
        <w:t>prática. (REALE, 1981, p. 300).</w:t>
      </w:r>
    </w:p>
    <w:p w:rsidR="007259F2" w:rsidRDefault="00E655B4">
      <w:pPr>
        <w:spacing w:before="230"/>
        <w:ind w:left="2978" w:right="991"/>
        <w:jc w:val="both"/>
        <w:rPr>
          <w:sz w:val="20"/>
        </w:rPr>
      </w:pPr>
      <w:r>
        <w:rPr>
          <w:sz w:val="20"/>
        </w:rPr>
        <w:t>Princípio é, pois, por definição, mandamento nuclear de um sistema, verdadeiro alicerce dele, disposição fundamental que se irradia sobre diferentes normas, compondo-lhes o espírito e servindo de critério para exata compreensão e inteligência delas, exatamente porque define a lógica e a racionalidade do sistema normativo, conferindo-lhe a tônica que lhe dá sentido harmônico. (MELLO, 2019, p. 54).</w:t>
      </w:r>
    </w:p>
    <w:p w:rsidR="007259F2" w:rsidRDefault="00E655B4">
      <w:pPr>
        <w:pStyle w:val="Corpodetexto"/>
        <w:spacing w:before="229"/>
        <w:ind w:right="988"/>
      </w:pPr>
      <w:r>
        <w:t>Assim, considerando o papel de integrador do sistema e de orientador na prática jurídica explicados pelos doutrinadores, a compreensão dos princípios do regime jurídico administrativo, tanto os gerais como os específicos das contratações, mostra-se fundamental para que o procedimento possa ser conduzido, mesmo que com suas variações práticas, dentro dos limites e em conformidade com o ordenamento jurídico como um todo.</w:t>
      </w:r>
    </w:p>
    <w:p w:rsidR="007259F2" w:rsidRDefault="00E655B4">
      <w:pPr>
        <w:pStyle w:val="Corpodetexto"/>
        <w:spacing w:before="1"/>
        <w:ind w:right="992"/>
      </w:pPr>
      <w:r>
        <w:t>Sobre a aplicação dos princípios nas contratações diretas, Justen Filho (2021, p. 941) destaca que “os princípios constitucionais incidem, como não poderia deixar de</w:t>
      </w:r>
      <w:r>
        <w:rPr>
          <w:spacing w:val="40"/>
        </w:rPr>
        <w:t xml:space="preserve"> </w:t>
      </w:r>
      <w:r>
        <w:t>ser,</w:t>
      </w:r>
      <w:r>
        <w:rPr>
          <w:spacing w:val="-2"/>
        </w:rPr>
        <w:t xml:space="preserve"> </w:t>
      </w:r>
      <w:r>
        <w:t>sobre</w:t>
      </w:r>
      <w:r>
        <w:rPr>
          <w:spacing w:val="-3"/>
        </w:rPr>
        <w:t xml:space="preserve"> </w:t>
      </w:r>
      <w:r>
        <w:t>a</w:t>
      </w:r>
      <w:r>
        <w:rPr>
          <w:spacing w:val="-2"/>
        </w:rPr>
        <w:t xml:space="preserve"> </w:t>
      </w:r>
      <w:r>
        <w:t>contratação</w:t>
      </w:r>
      <w:r>
        <w:rPr>
          <w:spacing w:val="-1"/>
        </w:rPr>
        <w:t xml:space="preserve"> </w:t>
      </w:r>
      <w:r>
        <w:t>direta”.</w:t>
      </w:r>
      <w:r>
        <w:rPr>
          <w:spacing w:val="-1"/>
        </w:rPr>
        <w:t xml:space="preserve"> </w:t>
      </w:r>
      <w:r>
        <w:t>E,</w:t>
      </w:r>
      <w:r>
        <w:rPr>
          <w:spacing w:val="-2"/>
        </w:rPr>
        <w:t xml:space="preserve"> </w:t>
      </w:r>
      <w:r>
        <w:t>sobre</w:t>
      </w:r>
      <w:r>
        <w:rPr>
          <w:spacing w:val="-3"/>
        </w:rPr>
        <w:t xml:space="preserve"> </w:t>
      </w:r>
      <w:r>
        <w:t>a</w:t>
      </w:r>
      <w:r>
        <w:rPr>
          <w:spacing w:val="-2"/>
        </w:rPr>
        <w:t xml:space="preserve"> </w:t>
      </w:r>
      <w:r>
        <w:t>dificuldade</w:t>
      </w:r>
      <w:r>
        <w:rPr>
          <w:spacing w:val="-2"/>
        </w:rPr>
        <w:t xml:space="preserve"> </w:t>
      </w:r>
      <w:r>
        <w:t>de</w:t>
      </w:r>
      <w:r>
        <w:rPr>
          <w:spacing w:val="-2"/>
        </w:rPr>
        <w:t xml:space="preserve"> </w:t>
      </w:r>
      <w:r>
        <w:t>padronização</w:t>
      </w:r>
      <w:r>
        <w:rPr>
          <w:spacing w:val="-1"/>
        </w:rPr>
        <w:t xml:space="preserve"> </w:t>
      </w:r>
      <w:r>
        <w:t>do</w:t>
      </w:r>
      <w:r>
        <w:rPr>
          <w:spacing w:val="-1"/>
        </w:rPr>
        <w:t xml:space="preserve"> </w:t>
      </w:r>
      <w:r>
        <w:t>procedimento e a importância dos princípios, o mesmo autor explica que “as hipóteses de contratação direta são bastante heterogêneas entre si. Isso impede estabelecer regras padrões, aplicáveis a todos os casos.</w:t>
      </w:r>
      <w:r>
        <w:rPr>
          <w:spacing w:val="40"/>
        </w:rPr>
        <w:t xml:space="preserve"> </w:t>
      </w:r>
      <w:r>
        <w:t>Mas há princípios gerais aplicáveis de modo uniforme.”.</w:t>
      </w:r>
    </w:p>
    <w:p w:rsidR="007259F2" w:rsidRDefault="00E655B4">
      <w:pPr>
        <w:pStyle w:val="Corpodetexto"/>
        <w:ind w:right="993"/>
      </w:pPr>
      <w:r>
        <w:t>Nesse sentido, é fundamental que a condução do procedimento de contratação direta</w:t>
      </w:r>
      <w:r>
        <w:rPr>
          <w:spacing w:val="29"/>
        </w:rPr>
        <w:t xml:space="preserve"> </w:t>
      </w:r>
      <w:r>
        <w:t>seja</w:t>
      </w:r>
      <w:r>
        <w:rPr>
          <w:spacing w:val="31"/>
        </w:rPr>
        <w:t xml:space="preserve"> </w:t>
      </w:r>
      <w:r>
        <w:t>norteada</w:t>
      </w:r>
      <w:r>
        <w:rPr>
          <w:spacing w:val="32"/>
        </w:rPr>
        <w:t xml:space="preserve"> </w:t>
      </w:r>
      <w:r>
        <w:t>pelos</w:t>
      </w:r>
      <w:r>
        <w:rPr>
          <w:spacing w:val="32"/>
        </w:rPr>
        <w:t xml:space="preserve"> </w:t>
      </w:r>
      <w:r>
        <w:t>princípios</w:t>
      </w:r>
      <w:r>
        <w:rPr>
          <w:spacing w:val="33"/>
        </w:rPr>
        <w:t xml:space="preserve"> </w:t>
      </w:r>
      <w:r>
        <w:t>do</w:t>
      </w:r>
      <w:r>
        <w:rPr>
          <w:spacing w:val="32"/>
        </w:rPr>
        <w:t xml:space="preserve"> </w:t>
      </w:r>
      <w:r>
        <w:t>regime</w:t>
      </w:r>
      <w:r>
        <w:rPr>
          <w:spacing w:val="32"/>
        </w:rPr>
        <w:t xml:space="preserve"> </w:t>
      </w:r>
      <w:r>
        <w:t>jurídico</w:t>
      </w:r>
      <w:r>
        <w:rPr>
          <w:spacing w:val="32"/>
        </w:rPr>
        <w:t xml:space="preserve"> </w:t>
      </w:r>
      <w:r>
        <w:t>das</w:t>
      </w:r>
      <w:r>
        <w:rPr>
          <w:spacing w:val="33"/>
        </w:rPr>
        <w:t xml:space="preserve"> </w:t>
      </w:r>
      <w:r>
        <w:t>contratações</w:t>
      </w:r>
      <w:r>
        <w:rPr>
          <w:spacing w:val="34"/>
        </w:rPr>
        <w:t xml:space="preserve"> </w:t>
      </w:r>
      <w:r>
        <w:t>públicas,</w:t>
      </w:r>
      <w:r>
        <w:rPr>
          <w:spacing w:val="33"/>
        </w:rPr>
        <w:t xml:space="preserve"> </w:t>
      </w:r>
      <w:r>
        <w:rPr>
          <w:spacing w:val="-5"/>
        </w:rPr>
        <w:t>de</w:t>
      </w:r>
    </w:p>
    <w:p w:rsidR="007259F2" w:rsidRDefault="007259F2">
      <w:pPr>
        <w:pStyle w:val="Corpodetexto"/>
        <w:sectPr w:rsidR="007259F2">
          <w:pgSz w:w="11910" w:h="16840"/>
          <w:pgMar w:top="1320" w:right="708" w:bottom="1160" w:left="992" w:header="0" w:footer="962" w:gutter="0"/>
          <w:cols w:space="720"/>
        </w:sectPr>
      </w:pPr>
    </w:p>
    <w:p w:rsidR="007259F2" w:rsidRDefault="00E655B4">
      <w:pPr>
        <w:pStyle w:val="Corpodetexto"/>
        <w:spacing w:before="69"/>
        <w:ind w:right="995" w:firstLine="0"/>
      </w:pPr>
      <w:r>
        <w:lastRenderedPageBreak/>
        <w:t>modo a</w:t>
      </w:r>
      <w:r>
        <w:rPr>
          <w:spacing w:val="40"/>
        </w:rPr>
        <w:t xml:space="preserve"> </w:t>
      </w:r>
      <w:r>
        <w:t>garantir contratações mais vantajosas à Administração, feitas de forma legal e juridicamente válida.</w:t>
      </w:r>
    </w:p>
    <w:p w:rsidR="007259F2" w:rsidRDefault="00E655B4">
      <w:pPr>
        <w:pStyle w:val="Corpodetexto"/>
        <w:spacing w:before="1"/>
        <w:ind w:right="993"/>
      </w:pPr>
      <w:r>
        <w:t>Dentre os princípios norteadores das contratações, no âmbito da contratação direta, merecem destaque os princípios da isonomia, da motivação, da razoabilidade e</w:t>
      </w:r>
      <w:r>
        <w:rPr>
          <w:spacing w:val="40"/>
        </w:rPr>
        <w:t xml:space="preserve"> </w:t>
      </w:r>
      <w:r>
        <w:t xml:space="preserve">da eficiência. Acrescem-se a estes, considerando os valores prestigiados pela nova sistemática trazida pela Lei Federal 14.133/2021, os princípios do planejamento e da </w:t>
      </w:r>
      <w:r>
        <w:rPr>
          <w:spacing w:val="-2"/>
        </w:rPr>
        <w:t>transparência.</w:t>
      </w:r>
    </w:p>
    <w:p w:rsidR="007259F2" w:rsidRDefault="00E655B4">
      <w:pPr>
        <w:pStyle w:val="Corpodetexto"/>
        <w:ind w:right="988"/>
      </w:pPr>
      <w:r>
        <w:t>O princípio da isonomia, basilar de todo o ordenamento jurídico pátrio, possui especial relevância no âmbito das contratações. Como já mencionado no item 2 deste trabalho, este princípio se revela na necessidade de tratamento igualitário entre os potenciais contratados, impedindo tratamentos discriminatórios ou favorecimentos. Mencionado princípio se espelhará, na contratação direta, especialmente na escolha do fornecedor, que deverá ser feita com a adoção de critérios objetivos.</w:t>
      </w:r>
    </w:p>
    <w:p w:rsidR="007259F2" w:rsidRDefault="00E655B4">
      <w:pPr>
        <w:pStyle w:val="Corpodetexto"/>
        <w:spacing w:before="1"/>
        <w:ind w:right="988"/>
      </w:pPr>
      <w:r>
        <w:t>Considerando o grau de discricionariedade do procedimento, o princípio da motivação se mostra particularmente importante. Isto porque, as justificativas ao longo do feito, desde a identificação da necessidade e definição do objeto até a escolha da contratada, são fundamentais de modo a demonstrar a validade dos atos adotados. Também devem ser motivadas as escolhas pela adoção ou não de determinados atos ao longo</w:t>
      </w:r>
      <w:r>
        <w:rPr>
          <w:spacing w:val="-3"/>
        </w:rPr>
        <w:t xml:space="preserve"> </w:t>
      </w:r>
      <w:r>
        <w:t>do</w:t>
      </w:r>
      <w:r>
        <w:rPr>
          <w:spacing w:val="-1"/>
        </w:rPr>
        <w:t xml:space="preserve"> </w:t>
      </w:r>
      <w:r>
        <w:t>procedimento,</w:t>
      </w:r>
      <w:r>
        <w:rPr>
          <w:spacing w:val="-1"/>
        </w:rPr>
        <w:t xml:space="preserve"> </w:t>
      </w:r>
      <w:r>
        <w:t>de</w:t>
      </w:r>
      <w:r>
        <w:rPr>
          <w:spacing w:val="-4"/>
        </w:rPr>
        <w:t xml:space="preserve"> </w:t>
      </w:r>
      <w:r>
        <w:t>modo</w:t>
      </w:r>
      <w:r>
        <w:rPr>
          <w:spacing w:val="-3"/>
        </w:rPr>
        <w:t xml:space="preserve"> </w:t>
      </w:r>
      <w:r>
        <w:t>que</w:t>
      </w:r>
      <w:r>
        <w:rPr>
          <w:spacing w:val="-2"/>
        </w:rPr>
        <w:t xml:space="preserve"> </w:t>
      </w:r>
      <w:r>
        <w:t>se</w:t>
      </w:r>
      <w:r>
        <w:rPr>
          <w:spacing w:val="-2"/>
        </w:rPr>
        <w:t xml:space="preserve"> </w:t>
      </w:r>
      <w:r>
        <w:t>demonstra</w:t>
      </w:r>
      <w:r>
        <w:rPr>
          <w:spacing w:val="-4"/>
        </w:rPr>
        <w:t xml:space="preserve"> </w:t>
      </w:r>
      <w:r>
        <w:t>o</w:t>
      </w:r>
      <w:r>
        <w:rPr>
          <w:spacing w:val="-1"/>
        </w:rPr>
        <w:t xml:space="preserve"> </w:t>
      </w:r>
      <w:r>
        <w:t>porquê</w:t>
      </w:r>
      <w:r>
        <w:rPr>
          <w:spacing w:val="-2"/>
        </w:rPr>
        <w:t xml:space="preserve"> </w:t>
      </w:r>
      <w:r>
        <w:t>do</w:t>
      </w:r>
      <w:r>
        <w:rPr>
          <w:spacing w:val="-3"/>
        </w:rPr>
        <w:t xml:space="preserve"> </w:t>
      </w:r>
      <w:r>
        <w:t>eventual</w:t>
      </w:r>
      <w:r>
        <w:rPr>
          <w:spacing w:val="-1"/>
        </w:rPr>
        <w:t xml:space="preserve"> </w:t>
      </w:r>
      <w:r>
        <w:t>afastamento</w:t>
      </w:r>
      <w:r>
        <w:rPr>
          <w:spacing w:val="-3"/>
        </w:rPr>
        <w:t xml:space="preserve"> </w:t>
      </w:r>
      <w:r>
        <w:t>de certas formalidades.</w:t>
      </w:r>
    </w:p>
    <w:p w:rsidR="007259F2" w:rsidRDefault="00E655B4">
      <w:pPr>
        <w:pStyle w:val="Corpodetexto"/>
        <w:ind w:right="989"/>
      </w:pPr>
      <w:r>
        <w:t>Ainda considerando o grau de discricionariedade do procedimento e sua menor padronização, o princípio da razoabilidade é importante orientador do agente público na condução do procedimento. Este princípio deve guiar o agente na análise do caso concreto, para verificar quais atos serão necessários ou dispensáveis no procedimento, de modo a maximizar o resultado da contratação.</w:t>
      </w:r>
    </w:p>
    <w:p w:rsidR="007259F2" w:rsidRDefault="00E655B4">
      <w:pPr>
        <w:pStyle w:val="Corpodetexto"/>
        <w:ind w:right="996"/>
      </w:pPr>
      <w:r>
        <w:t>Em se tratando de compras públicas, o princípio da eficiência é importante orientador</w:t>
      </w:r>
      <w:r>
        <w:rPr>
          <w:spacing w:val="-3"/>
        </w:rPr>
        <w:t xml:space="preserve"> </w:t>
      </w:r>
      <w:r>
        <w:t>para</w:t>
      </w:r>
      <w:r>
        <w:rPr>
          <w:spacing w:val="-3"/>
        </w:rPr>
        <w:t xml:space="preserve"> </w:t>
      </w:r>
      <w:r>
        <w:t>os</w:t>
      </w:r>
      <w:r>
        <w:rPr>
          <w:spacing w:val="-2"/>
        </w:rPr>
        <w:t xml:space="preserve"> </w:t>
      </w:r>
      <w:r>
        <w:t>agentes</w:t>
      </w:r>
      <w:r>
        <w:rPr>
          <w:spacing w:val="-2"/>
        </w:rPr>
        <w:t xml:space="preserve"> </w:t>
      </w:r>
      <w:r>
        <w:t>envolvidos</w:t>
      </w:r>
      <w:r>
        <w:rPr>
          <w:spacing w:val="-2"/>
        </w:rPr>
        <w:t xml:space="preserve"> </w:t>
      </w:r>
      <w:r>
        <w:t>no</w:t>
      </w:r>
      <w:r>
        <w:rPr>
          <w:spacing w:val="-2"/>
        </w:rPr>
        <w:t xml:space="preserve"> </w:t>
      </w:r>
      <w:r>
        <w:t>procedimento,</w:t>
      </w:r>
      <w:r>
        <w:rPr>
          <w:spacing w:val="-2"/>
        </w:rPr>
        <w:t xml:space="preserve"> </w:t>
      </w:r>
      <w:r>
        <w:t>já</w:t>
      </w:r>
      <w:r>
        <w:rPr>
          <w:spacing w:val="-3"/>
        </w:rPr>
        <w:t xml:space="preserve"> </w:t>
      </w:r>
      <w:r>
        <w:t>que</w:t>
      </w:r>
      <w:r>
        <w:rPr>
          <w:spacing w:val="-3"/>
        </w:rPr>
        <w:t xml:space="preserve"> </w:t>
      </w:r>
      <w:r>
        <w:t>o</w:t>
      </w:r>
      <w:r>
        <w:rPr>
          <w:spacing w:val="-2"/>
        </w:rPr>
        <w:t xml:space="preserve"> </w:t>
      </w:r>
      <w:r>
        <w:t>objetivo</w:t>
      </w:r>
      <w:r>
        <w:rPr>
          <w:spacing w:val="-4"/>
        </w:rPr>
        <w:t xml:space="preserve"> </w:t>
      </w:r>
      <w:r>
        <w:t>da</w:t>
      </w:r>
      <w:r>
        <w:rPr>
          <w:spacing w:val="-3"/>
        </w:rPr>
        <w:t xml:space="preserve"> </w:t>
      </w:r>
      <w:r>
        <w:t xml:space="preserve">contratação deve ser o de sempre obter a proposta mais vantajosa à Administração, que coadune a melhor qualidade ao menor custo possíveis. Dessa forma, nos atos e decisões que compõem o procedimento de contratação direta, tal objetivo deve ser sempre </w:t>
      </w:r>
      <w:r>
        <w:rPr>
          <w:spacing w:val="-2"/>
        </w:rPr>
        <w:t>considerado.</w:t>
      </w:r>
    </w:p>
    <w:p w:rsidR="007259F2" w:rsidRDefault="00E655B4">
      <w:pPr>
        <w:pStyle w:val="Corpodetexto"/>
        <w:ind w:right="989"/>
      </w:pPr>
      <w:r>
        <w:t>Quanto aos princípios do planejamento e da transparência, tratam-se de valores prestigiados pela nova normativa que devem ser observados nas contratações diretas. O primeiro impõe a observação do plano de compras da</w:t>
      </w:r>
      <w:r>
        <w:rPr>
          <w:spacing w:val="-8"/>
        </w:rPr>
        <w:t xml:space="preserve"> </w:t>
      </w:r>
      <w:r>
        <w:t>Administração como um todo, de modo a identificar as hipóteses que devem ser contratadas diretamente ou que possam ser licitadas; por exemplo, contratações que seriam dispensadas pelo valor, mas que se feitas</w:t>
      </w:r>
      <w:r>
        <w:rPr>
          <w:spacing w:val="40"/>
        </w:rPr>
        <w:t xml:space="preserve"> </w:t>
      </w:r>
      <w:r>
        <w:t>conjuntamente trariam maior economia à</w:t>
      </w:r>
      <w:r>
        <w:rPr>
          <w:spacing w:val="-13"/>
        </w:rPr>
        <w:t xml:space="preserve"> </w:t>
      </w:r>
      <w:r>
        <w:t>Administração e poderiam ser feitas por procedimento licitatório. Quanto à transparência, reflete na necessidade de dar publicidade ao procedimento, quer seja pela necessária prestação de contas, quer por viabilizar um melhor controle da atividade administrativa pelos órgãos internos,</w:t>
      </w:r>
      <w:r>
        <w:rPr>
          <w:spacing w:val="40"/>
        </w:rPr>
        <w:t xml:space="preserve"> </w:t>
      </w:r>
      <w:r>
        <w:t>externos e pela sociedade como um todo.</w:t>
      </w:r>
    </w:p>
    <w:p w:rsidR="007259F2" w:rsidRDefault="00E655B4">
      <w:pPr>
        <w:pStyle w:val="Corpodetexto"/>
        <w:spacing w:before="1"/>
        <w:ind w:right="995"/>
      </w:pPr>
      <w:r>
        <w:t>Portanto, em se tratando a contratação direta de procedimento menos padronizado que o procedimento de licitação, com maior grau de discricionariedade, os princípios jurídicos ganham destaque na orientação dos agentes públicos para a condução do procedimento, especialmente nas situações em que as especificidades do caso concreto exigirem respostas não alcançadas pelo regramento legal. Nestes casos, serão os princípios jurídicos que darão a diretriz de qual o procedimento a ser adotado.</w:t>
      </w:r>
    </w:p>
    <w:p w:rsidR="007259F2" w:rsidRDefault="00E655B4">
      <w:pPr>
        <w:pStyle w:val="Heading2"/>
        <w:numPr>
          <w:ilvl w:val="0"/>
          <w:numId w:val="43"/>
        </w:numPr>
        <w:tabs>
          <w:tab w:val="left" w:pos="950"/>
        </w:tabs>
        <w:ind w:left="950" w:hanging="240"/>
      </w:pPr>
      <w:r>
        <w:t>Considerações</w:t>
      </w:r>
      <w:r>
        <w:rPr>
          <w:spacing w:val="-6"/>
        </w:rPr>
        <w:t xml:space="preserve"> </w:t>
      </w:r>
      <w:r>
        <w:rPr>
          <w:spacing w:val="-2"/>
        </w:rPr>
        <w:t>finais</w:t>
      </w:r>
    </w:p>
    <w:p w:rsidR="007259F2" w:rsidRDefault="007259F2">
      <w:pPr>
        <w:pStyle w:val="Heading2"/>
        <w:jc w:val="left"/>
        <w:sectPr w:rsidR="007259F2">
          <w:pgSz w:w="11910" w:h="16840"/>
          <w:pgMar w:top="1320" w:right="708" w:bottom="1160" w:left="992" w:header="0" w:footer="962" w:gutter="0"/>
          <w:cols w:space="720"/>
        </w:sectPr>
      </w:pPr>
    </w:p>
    <w:p w:rsidR="007259F2" w:rsidRDefault="00E655B4">
      <w:pPr>
        <w:pStyle w:val="Corpodetexto"/>
        <w:spacing w:before="69"/>
        <w:ind w:right="991"/>
      </w:pPr>
      <w:r>
        <w:lastRenderedPageBreak/>
        <w:t>As contratações públicas submetem-se ao regime jurídico administrativo, de modo que devem ser promovidas por procedimentos formais que assegurem a melhor contratação à Administração, de forma isonômica e transparente. Para tanto, o procedimento licitatório, em suas diferentes modalidades, é a regra para as compras e alienações pelo Poder Público, não sendo obrigatório nas situações excepcionais autorizadas pela lei.</w:t>
      </w:r>
    </w:p>
    <w:p w:rsidR="007259F2" w:rsidRDefault="00E655B4">
      <w:pPr>
        <w:pStyle w:val="Corpodetexto"/>
        <w:spacing w:before="1"/>
        <w:ind w:right="991"/>
      </w:pPr>
      <w:r>
        <w:t>Apesar da ideia de regra e exceção, como visto, as situações de contratação de direta, quando a licitação não é obrigatória, não correspondem a meras eventualidades na atividade estatal. Na verdade, o procedimento de contratação direta se trata de verdadeira rotina administrativa, sendo que em quantidade de compras, as contratações diretas superam as modalidades licitatórias.</w:t>
      </w:r>
    </w:p>
    <w:p w:rsidR="007259F2" w:rsidRDefault="00E655B4">
      <w:pPr>
        <w:pStyle w:val="Corpodetexto"/>
        <w:ind w:right="995"/>
      </w:pPr>
      <w:r>
        <w:t>E, diante deste cenário, o procedimento merece maior atenção, seja pelo aspecto normativo, com maior regulamentação, seja pelo aspecto doutrinário, com maior desenvolvimento dos estudos acerca das contratações diretas.</w:t>
      </w:r>
    </w:p>
    <w:p w:rsidR="007259F2" w:rsidRDefault="00E655B4">
      <w:pPr>
        <w:pStyle w:val="Corpodetexto"/>
        <w:spacing w:before="1"/>
        <w:ind w:right="989"/>
      </w:pPr>
      <w:r>
        <w:t>Neste</w:t>
      </w:r>
      <w:r>
        <w:rPr>
          <w:spacing w:val="-2"/>
        </w:rPr>
        <w:t xml:space="preserve"> </w:t>
      </w:r>
      <w:r>
        <w:t>sentido,</w:t>
      </w:r>
      <w:r>
        <w:rPr>
          <w:spacing w:val="-1"/>
        </w:rPr>
        <w:t xml:space="preserve"> </w:t>
      </w:r>
      <w:r>
        <w:t>a Lei</w:t>
      </w:r>
      <w:r>
        <w:rPr>
          <w:spacing w:val="-1"/>
        </w:rPr>
        <w:t xml:space="preserve"> </w:t>
      </w:r>
      <w:r>
        <w:t>Federal</w:t>
      </w:r>
      <w:r>
        <w:rPr>
          <w:spacing w:val="-1"/>
        </w:rPr>
        <w:t xml:space="preserve"> </w:t>
      </w:r>
      <w:r>
        <w:t>n.</w:t>
      </w:r>
      <w:r>
        <w:rPr>
          <w:spacing w:val="-1"/>
        </w:rPr>
        <w:t xml:space="preserve"> </w:t>
      </w:r>
      <w:r>
        <w:t>14.133/2021</w:t>
      </w:r>
      <w:r>
        <w:rPr>
          <w:spacing w:val="-1"/>
        </w:rPr>
        <w:t xml:space="preserve"> </w:t>
      </w:r>
      <w:r>
        <w:t>trouxe</w:t>
      </w:r>
      <w:r>
        <w:rPr>
          <w:spacing w:val="-5"/>
        </w:rPr>
        <w:t xml:space="preserve"> </w:t>
      </w:r>
      <w:r>
        <w:t>novidades</w:t>
      </w:r>
      <w:r>
        <w:rPr>
          <w:spacing w:val="-1"/>
        </w:rPr>
        <w:t xml:space="preserve"> </w:t>
      </w:r>
      <w:r>
        <w:t>a</w:t>
      </w:r>
      <w:r>
        <w:rPr>
          <w:spacing w:val="-2"/>
        </w:rPr>
        <w:t xml:space="preserve"> </w:t>
      </w:r>
      <w:r>
        <w:t>respeito</w:t>
      </w:r>
      <w:r>
        <w:rPr>
          <w:spacing w:val="-1"/>
        </w:rPr>
        <w:t xml:space="preserve"> </w:t>
      </w:r>
      <w:r>
        <w:t>do</w:t>
      </w:r>
      <w:r>
        <w:rPr>
          <w:spacing w:val="-1"/>
        </w:rPr>
        <w:t xml:space="preserve"> </w:t>
      </w:r>
      <w:r>
        <w:t>tema, buscando dar maior conformação ao procedimento. As inovações referem-se, notadamente, à instrução do processo, exigindo-se uma variedade de documentos que consagram o planejamento, a transparência e o controle em tais contratações. Dentre as novas previsões, destacam-se os documentos que formalizam a demanda, as justificativas e análises técnicas e jurídicas que devem acompanhar o procedimento,</w:t>
      </w:r>
      <w:r>
        <w:rPr>
          <w:spacing w:val="40"/>
        </w:rPr>
        <w:t xml:space="preserve"> </w:t>
      </w:r>
      <w:r>
        <w:t>bem como a atenção aos aspectos orçamentários da contratação.</w:t>
      </w:r>
    </w:p>
    <w:p w:rsidR="007259F2" w:rsidRDefault="00E655B4">
      <w:pPr>
        <w:pStyle w:val="Corpodetexto"/>
        <w:ind w:right="991"/>
      </w:pPr>
      <w:r>
        <w:t>Para além das disposições normativas, a menor padronização do procedimento em relação à licitação resulta em uma maior relevância dos princípios do regime</w:t>
      </w:r>
      <w:r>
        <w:rPr>
          <w:spacing w:val="40"/>
        </w:rPr>
        <w:t xml:space="preserve"> </w:t>
      </w:r>
      <w:r>
        <w:t>jurídico das contratações públicas. Isto porque, nas situações em que houver lacunas legais ou um maior grau de discricionariedade conferido ao agente público na condução do procedimento, os princípios deverão ser os instrumentos orientadores para a conformação do procedimento, para que este seja, por um lado, adaptado ao caso concreto e, por outro, não incida em ruptura com o ordenamento jurídico.</w:t>
      </w:r>
    </w:p>
    <w:p w:rsidR="007259F2" w:rsidRDefault="00E655B4">
      <w:pPr>
        <w:pStyle w:val="Corpodetexto"/>
        <w:ind w:right="993"/>
      </w:pPr>
      <w:r>
        <w:t>Neste aspecto, destacam-se os princípios da isonomia (alicerce das compras públicas), da motivação e da razoabilidade (condutores na adaptação do procedimento</w:t>
      </w:r>
      <w:r>
        <w:rPr>
          <w:spacing w:val="40"/>
        </w:rPr>
        <w:t xml:space="preserve"> </w:t>
      </w:r>
      <w:r>
        <w:t>às peculiaridades do caso concreto), da eficiência (no compromisso com a contratação mais vantajosa à Administração), bem como os princípios do planejamento e da transparência,</w:t>
      </w:r>
      <w:r>
        <w:rPr>
          <w:spacing w:val="-5"/>
        </w:rPr>
        <w:t xml:space="preserve"> </w:t>
      </w:r>
      <w:r>
        <w:t>que</w:t>
      </w:r>
      <w:r>
        <w:rPr>
          <w:spacing w:val="-5"/>
        </w:rPr>
        <w:t xml:space="preserve"> </w:t>
      </w:r>
      <w:r>
        <w:t>estão</w:t>
      </w:r>
      <w:r>
        <w:rPr>
          <w:spacing w:val="-4"/>
        </w:rPr>
        <w:t xml:space="preserve"> </w:t>
      </w:r>
      <w:r>
        <w:t>vinculados</w:t>
      </w:r>
      <w:r>
        <w:rPr>
          <w:spacing w:val="-4"/>
        </w:rPr>
        <w:t xml:space="preserve"> </w:t>
      </w:r>
      <w:r>
        <w:t>às</w:t>
      </w:r>
      <w:r>
        <w:rPr>
          <w:spacing w:val="-5"/>
        </w:rPr>
        <w:t xml:space="preserve"> </w:t>
      </w:r>
      <w:r>
        <w:t>imposições</w:t>
      </w:r>
      <w:r>
        <w:rPr>
          <w:spacing w:val="-3"/>
        </w:rPr>
        <w:t xml:space="preserve"> </w:t>
      </w:r>
      <w:r>
        <w:t>republicanas</w:t>
      </w:r>
      <w:r>
        <w:rPr>
          <w:spacing w:val="-5"/>
        </w:rPr>
        <w:t xml:space="preserve"> </w:t>
      </w:r>
      <w:r>
        <w:t>de</w:t>
      </w:r>
      <w:r>
        <w:rPr>
          <w:spacing w:val="-6"/>
        </w:rPr>
        <w:t xml:space="preserve"> </w:t>
      </w:r>
      <w:r>
        <w:t>responsabilidade</w:t>
      </w:r>
      <w:r>
        <w:rPr>
          <w:spacing w:val="-7"/>
        </w:rPr>
        <w:t xml:space="preserve"> </w:t>
      </w:r>
      <w:r>
        <w:t>com o trato da coisa publica e dever de prestação de contas.</w:t>
      </w:r>
    </w:p>
    <w:p w:rsidR="007259F2" w:rsidRDefault="00E655B4">
      <w:pPr>
        <w:pStyle w:val="Corpodetexto"/>
        <w:ind w:right="990"/>
      </w:pPr>
      <w:r>
        <w:t>Portanto, é preciso asseverar que o procedimento de contratação direta afasta apenas a licitação, mas não o regime jurídico. Assim, se o objetivo da licitação é a obtenção</w:t>
      </w:r>
      <w:r>
        <w:rPr>
          <w:spacing w:val="-1"/>
        </w:rPr>
        <w:t xml:space="preserve"> </w:t>
      </w:r>
      <w:r>
        <w:t>de</w:t>
      </w:r>
      <w:r>
        <w:rPr>
          <w:spacing w:val="38"/>
        </w:rPr>
        <w:t xml:space="preserve"> </w:t>
      </w:r>
      <w:r>
        <w:t>compras</w:t>
      </w:r>
      <w:r>
        <w:rPr>
          <w:spacing w:val="-1"/>
        </w:rPr>
        <w:t xml:space="preserve"> </w:t>
      </w:r>
      <w:r>
        <w:t>mais</w:t>
      </w:r>
      <w:r>
        <w:rPr>
          <w:spacing w:val="-1"/>
        </w:rPr>
        <w:t xml:space="preserve"> </w:t>
      </w:r>
      <w:r>
        <w:t>satisfatórias à</w:t>
      </w:r>
      <w:r>
        <w:rPr>
          <w:spacing w:val="-13"/>
        </w:rPr>
        <w:t xml:space="preserve"> </w:t>
      </w:r>
      <w:r>
        <w:t>Administração, coadunando</w:t>
      </w:r>
      <w:r>
        <w:rPr>
          <w:spacing w:val="-1"/>
        </w:rPr>
        <w:t xml:space="preserve"> </w:t>
      </w:r>
      <w:r>
        <w:t>maior</w:t>
      </w:r>
      <w:r>
        <w:rPr>
          <w:spacing w:val="-2"/>
        </w:rPr>
        <w:t xml:space="preserve"> </w:t>
      </w:r>
      <w:r>
        <w:t xml:space="preserve">qualidade e menor custo com atendimento do interesse público e respeito aos princípios jurídicos administrativos, tal objetivo deve ser também atingido nos casos de contratação direta a partir da adoção de um procedimento formal, legalmente válido e adequado ao regime </w:t>
      </w:r>
      <w:r>
        <w:rPr>
          <w:spacing w:val="-2"/>
        </w:rPr>
        <w:t>jurídico.</w:t>
      </w:r>
    </w:p>
    <w:p w:rsidR="007259F2" w:rsidRDefault="00E655B4">
      <w:pPr>
        <w:pStyle w:val="Heading1"/>
        <w:spacing w:before="208"/>
      </w:pPr>
      <w:r>
        <w:rPr>
          <w:spacing w:val="-2"/>
        </w:rPr>
        <w:t>REFERÊNCIAS</w:t>
      </w:r>
    </w:p>
    <w:p w:rsidR="007259F2" w:rsidRDefault="00E655B4">
      <w:pPr>
        <w:spacing w:before="156"/>
        <w:ind w:left="710" w:right="990"/>
        <w:rPr>
          <w:sz w:val="24"/>
        </w:rPr>
      </w:pPr>
      <w:r>
        <w:rPr>
          <w:sz w:val="24"/>
        </w:rPr>
        <w:t xml:space="preserve">BRASIL, </w:t>
      </w:r>
      <w:r>
        <w:rPr>
          <w:b/>
          <w:sz w:val="24"/>
        </w:rPr>
        <w:t xml:space="preserve">Constituição da República Federativa do Brasil de 1988. </w:t>
      </w:r>
      <w:r>
        <w:rPr>
          <w:sz w:val="24"/>
        </w:rPr>
        <w:t>Brasília,DF: Presidência da República. Disponível em: https:/</w:t>
      </w:r>
      <w:hyperlink r:id="rId44">
        <w:r>
          <w:rPr>
            <w:sz w:val="24"/>
          </w:rPr>
          <w:t>/www.planalto.gov.br/ccivil_03/constituicao/constituicao.htm.</w:t>
        </w:r>
      </w:hyperlink>
      <w:r>
        <w:rPr>
          <w:spacing w:val="-11"/>
          <w:sz w:val="24"/>
        </w:rPr>
        <w:t xml:space="preserve"> </w:t>
      </w:r>
      <w:r>
        <w:rPr>
          <w:sz w:val="24"/>
        </w:rPr>
        <w:t>Acesso</w:t>
      </w:r>
      <w:r>
        <w:rPr>
          <w:spacing w:val="-14"/>
          <w:sz w:val="24"/>
        </w:rPr>
        <w:t xml:space="preserve"> </w:t>
      </w:r>
      <w:r>
        <w:rPr>
          <w:sz w:val="24"/>
        </w:rPr>
        <w:t>em:</w:t>
      </w:r>
      <w:r>
        <w:rPr>
          <w:spacing w:val="-14"/>
          <w:sz w:val="24"/>
        </w:rPr>
        <w:t xml:space="preserve"> </w:t>
      </w:r>
      <w:r>
        <w:rPr>
          <w:sz w:val="24"/>
        </w:rPr>
        <w:t xml:space="preserve">06 </w:t>
      </w:r>
      <w:r>
        <w:rPr>
          <w:spacing w:val="-2"/>
          <w:sz w:val="24"/>
        </w:rPr>
        <w:t>jan.2024.</w:t>
      </w:r>
    </w:p>
    <w:p w:rsidR="007259F2" w:rsidRDefault="00E655B4">
      <w:pPr>
        <w:spacing w:before="120"/>
        <w:ind w:left="710" w:right="1137"/>
        <w:rPr>
          <w:sz w:val="24"/>
        </w:rPr>
      </w:pPr>
      <w:r>
        <w:rPr>
          <w:sz w:val="24"/>
        </w:rPr>
        <w:t xml:space="preserve">BRASIL. </w:t>
      </w:r>
      <w:r>
        <w:rPr>
          <w:b/>
          <w:sz w:val="24"/>
        </w:rPr>
        <w:t>Lei n° 8.666, de 21 de junho de 1993</w:t>
      </w:r>
      <w:r>
        <w:rPr>
          <w:sz w:val="24"/>
        </w:rPr>
        <w:t>. Regulamenta o art. 37, inciso XXI, da</w:t>
      </w:r>
      <w:r>
        <w:rPr>
          <w:spacing w:val="17"/>
          <w:sz w:val="24"/>
        </w:rPr>
        <w:t xml:space="preserve"> </w:t>
      </w:r>
      <w:r>
        <w:rPr>
          <w:sz w:val="24"/>
        </w:rPr>
        <w:t>Constituição</w:t>
      </w:r>
      <w:r>
        <w:rPr>
          <w:spacing w:val="21"/>
          <w:sz w:val="24"/>
        </w:rPr>
        <w:t xml:space="preserve"> </w:t>
      </w:r>
      <w:r>
        <w:rPr>
          <w:sz w:val="24"/>
        </w:rPr>
        <w:t>Federal,</w:t>
      </w:r>
      <w:r>
        <w:rPr>
          <w:spacing w:val="24"/>
          <w:sz w:val="24"/>
        </w:rPr>
        <w:t xml:space="preserve"> </w:t>
      </w:r>
      <w:r>
        <w:rPr>
          <w:sz w:val="24"/>
        </w:rPr>
        <w:t>institui</w:t>
      </w:r>
      <w:r>
        <w:rPr>
          <w:spacing w:val="21"/>
          <w:sz w:val="24"/>
        </w:rPr>
        <w:t xml:space="preserve"> </w:t>
      </w:r>
      <w:r>
        <w:rPr>
          <w:sz w:val="24"/>
        </w:rPr>
        <w:t>normas</w:t>
      </w:r>
      <w:r>
        <w:rPr>
          <w:spacing w:val="22"/>
          <w:sz w:val="24"/>
        </w:rPr>
        <w:t xml:space="preserve"> </w:t>
      </w:r>
      <w:r>
        <w:rPr>
          <w:sz w:val="24"/>
        </w:rPr>
        <w:t>para</w:t>
      </w:r>
      <w:r>
        <w:rPr>
          <w:spacing w:val="20"/>
          <w:sz w:val="24"/>
        </w:rPr>
        <w:t xml:space="preserve"> </w:t>
      </w:r>
      <w:r>
        <w:rPr>
          <w:sz w:val="24"/>
        </w:rPr>
        <w:t>licitações</w:t>
      </w:r>
      <w:r>
        <w:rPr>
          <w:spacing w:val="21"/>
          <w:sz w:val="24"/>
        </w:rPr>
        <w:t xml:space="preserve"> </w:t>
      </w:r>
      <w:r>
        <w:rPr>
          <w:sz w:val="24"/>
        </w:rPr>
        <w:t>e</w:t>
      </w:r>
      <w:r>
        <w:rPr>
          <w:spacing w:val="20"/>
          <w:sz w:val="24"/>
        </w:rPr>
        <w:t xml:space="preserve"> </w:t>
      </w:r>
      <w:r>
        <w:rPr>
          <w:sz w:val="24"/>
        </w:rPr>
        <w:t>contratos</w:t>
      </w:r>
      <w:r>
        <w:rPr>
          <w:spacing w:val="22"/>
          <w:sz w:val="24"/>
        </w:rPr>
        <w:t xml:space="preserve"> </w:t>
      </w:r>
      <w:r>
        <w:rPr>
          <w:sz w:val="24"/>
        </w:rPr>
        <w:t>da</w:t>
      </w:r>
      <w:r>
        <w:rPr>
          <w:spacing w:val="20"/>
          <w:sz w:val="24"/>
        </w:rPr>
        <w:t xml:space="preserve"> </w:t>
      </w:r>
      <w:r>
        <w:rPr>
          <w:spacing w:val="-2"/>
          <w:sz w:val="24"/>
        </w:rPr>
        <w:t>Administração</w:t>
      </w:r>
    </w:p>
    <w:p w:rsidR="007259F2" w:rsidRDefault="007259F2">
      <w:pPr>
        <w:rPr>
          <w:sz w:val="24"/>
        </w:rPr>
        <w:sectPr w:rsidR="007259F2">
          <w:pgSz w:w="11910" w:h="16840"/>
          <w:pgMar w:top="1320" w:right="708" w:bottom="1160" w:left="992" w:header="0" w:footer="962" w:gutter="0"/>
          <w:cols w:space="720"/>
        </w:sectPr>
      </w:pPr>
    </w:p>
    <w:p w:rsidR="007259F2" w:rsidRDefault="00E655B4">
      <w:pPr>
        <w:pStyle w:val="Corpodetexto"/>
        <w:spacing w:before="69"/>
        <w:ind w:right="1127" w:firstLine="0"/>
      </w:pPr>
      <w:r>
        <w:rPr>
          <w:b/>
        </w:rPr>
        <w:lastRenderedPageBreak/>
        <w:t>Pública</w:t>
      </w:r>
      <w:r>
        <w:rPr>
          <w:b/>
          <w:spacing w:val="40"/>
        </w:rPr>
        <w:t xml:space="preserve"> </w:t>
      </w:r>
      <w:r>
        <w:rPr>
          <w:b/>
        </w:rPr>
        <w:t xml:space="preserve">e </w:t>
      </w:r>
      <w:r>
        <w:t>dá outras providências. Brasília, DF: Presidência da República. Disponível em: https:/</w:t>
      </w:r>
      <w:hyperlink r:id="rId45">
        <w:r>
          <w:t>/www.planalto.gov.br/ccivil_03/leis/L8666consimpressao.htm.</w:t>
        </w:r>
      </w:hyperlink>
      <w:r>
        <w:t xml:space="preserve"> Acesso em: 06 jan. 2024.</w:t>
      </w:r>
    </w:p>
    <w:p w:rsidR="007259F2" w:rsidRDefault="00E655B4">
      <w:pPr>
        <w:pStyle w:val="Corpodetexto"/>
        <w:spacing w:before="121"/>
        <w:ind w:right="1124" w:firstLine="0"/>
      </w:pPr>
      <w:r>
        <w:t xml:space="preserve">BRASIL. </w:t>
      </w:r>
      <w:r>
        <w:rPr>
          <w:b/>
        </w:rPr>
        <w:t xml:space="preserve">Lei n° 14.133, de 01 de abril de 2021. </w:t>
      </w:r>
      <w:r>
        <w:t>Lei de Licitações e Contratos Administrativos. Brasília, DF: Presidência da República. Disponível em: https:/</w:t>
      </w:r>
      <w:hyperlink r:id="rId46">
        <w:r>
          <w:t>/www.planalto.gov.br/ccivil_03/_ato2019-2022/2021/lei/l14133.htm.</w:t>
        </w:r>
      </w:hyperlink>
      <w:r>
        <w:t xml:space="preserve"> Acesso em: 06 jan. 2024.</w:t>
      </w:r>
    </w:p>
    <w:p w:rsidR="007259F2" w:rsidRDefault="00E655B4">
      <w:pPr>
        <w:spacing w:before="120"/>
        <w:ind w:left="710" w:right="1135"/>
        <w:jc w:val="both"/>
        <w:rPr>
          <w:sz w:val="24"/>
        </w:rPr>
      </w:pPr>
      <w:r>
        <w:rPr>
          <w:sz w:val="24"/>
        </w:rPr>
        <w:t xml:space="preserve">DI PIETRO, Maria Sylvia Zanella. </w:t>
      </w:r>
      <w:r>
        <w:rPr>
          <w:b/>
          <w:sz w:val="24"/>
        </w:rPr>
        <w:t>Direito administrativo</w:t>
      </w:r>
      <w:r>
        <w:rPr>
          <w:sz w:val="24"/>
        </w:rPr>
        <w:t>. 36ª Edição. Rio de Janeiro: Forense, 2024.</w:t>
      </w:r>
    </w:p>
    <w:p w:rsidR="007259F2" w:rsidRDefault="00E655B4">
      <w:pPr>
        <w:spacing w:before="120"/>
        <w:ind w:left="710" w:right="1129"/>
        <w:jc w:val="both"/>
        <w:rPr>
          <w:sz w:val="24"/>
        </w:rPr>
      </w:pPr>
      <w:r>
        <w:rPr>
          <w:sz w:val="24"/>
        </w:rPr>
        <w:t xml:space="preserve">GOVERNO FEDERAL. </w:t>
      </w:r>
      <w:r>
        <w:rPr>
          <w:b/>
          <w:sz w:val="24"/>
        </w:rPr>
        <w:t>Licitações com contratação realizada</w:t>
      </w:r>
      <w:r>
        <w:rPr>
          <w:sz w:val="24"/>
        </w:rPr>
        <w:t>. Portal da transparência. Disponível em: https://portaldatransparencia.gov.br/licitacoes. Acesso em: 06 jan. 2024.</w:t>
      </w:r>
    </w:p>
    <w:p w:rsidR="007259F2" w:rsidRDefault="00E655B4">
      <w:pPr>
        <w:spacing w:before="121"/>
        <w:ind w:left="710" w:right="1142"/>
        <w:jc w:val="both"/>
        <w:rPr>
          <w:sz w:val="24"/>
        </w:rPr>
      </w:pPr>
      <w:r>
        <w:rPr>
          <w:sz w:val="24"/>
        </w:rPr>
        <w:t xml:space="preserve">JUSTEN FILHO, Marçal. </w:t>
      </w:r>
      <w:r>
        <w:rPr>
          <w:b/>
          <w:sz w:val="24"/>
        </w:rPr>
        <w:t xml:space="preserve">Comentários à Lei de Licitações e Contratações Administrativas: </w:t>
      </w:r>
      <w:r>
        <w:rPr>
          <w:sz w:val="24"/>
        </w:rPr>
        <w:t>Lei 14.133/2021. São Paulo: Thomson Reuters Brasil, 2021.</w:t>
      </w:r>
    </w:p>
    <w:p w:rsidR="007259F2" w:rsidRDefault="00E655B4">
      <w:pPr>
        <w:spacing w:before="120"/>
        <w:ind w:left="710" w:right="1134"/>
        <w:jc w:val="both"/>
        <w:rPr>
          <w:sz w:val="24"/>
        </w:rPr>
      </w:pPr>
      <w:r>
        <w:rPr>
          <w:sz w:val="24"/>
        </w:rPr>
        <w:t xml:space="preserve">MELLO, Celso Antônio Bandeira de. </w:t>
      </w:r>
      <w:r>
        <w:rPr>
          <w:b/>
          <w:sz w:val="24"/>
        </w:rPr>
        <w:t xml:space="preserve">Curso de Direito Administrativo. </w:t>
      </w:r>
      <w:r>
        <w:rPr>
          <w:sz w:val="24"/>
        </w:rPr>
        <w:t>34ª Edição. São Paulo: Malheiros, 2019.</w:t>
      </w:r>
    </w:p>
    <w:p w:rsidR="007259F2" w:rsidRDefault="00E655B4">
      <w:pPr>
        <w:spacing w:before="120"/>
        <w:ind w:left="710" w:right="1131"/>
        <w:jc w:val="both"/>
        <w:rPr>
          <w:sz w:val="24"/>
        </w:rPr>
      </w:pPr>
      <w:r>
        <w:rPr>
          <w:sz w:val="24"/>
        </w:rPr>
        <w:t xml:space="preserve">MINISTÉRIO DA ECONOMIA. </w:t>
      </w:r>
      <w:r>
        <w:rPr>
          <w:b/>
          <w:sz w:val="24"/>
        </w:rPr>
        <w:t>Painel de Compras - Processos de Compras</w:t>
      </w:r>
      <w:r>
        <w:rPr>
          <w:sz w:val="24"/>
        </w:rPr>
        <w:t xml:space="preserve">. Disponível em: </w:t>
      </w:r>
      <w:hyperlink r:id="rId47">
        <w:r>
          <w:rPr>
            <w:sz w:val="24"/>
          </w:rPr>
          <w:t>http://paineldecompras.economia.gov.br/processos-compra.</w:t>
        </w:r>
      </w:hyperlink>
      <w:r>
        <w:rPr>
          <w:sz w:val="24"/>
        </w:rPr>
        <w:t xml:space="preserve"> Acesso em: 06 jan. 2024.</w:t>
      </w:r>
    </w:p>
    <w:p w:rsidR="007259F2" w:rsidRDefault="00E655B4">
      <w:pPr>
        <w:spacing w:before="120"/>
        <w:ind w:left="710" w:right="1136"/>
        <w:jc w:val="both"/>
        <w:rPr>
          <w:sz w:val="24"/>
        </w:rPr>
      </w:pPr>
      <w:r>
        <w:rPr>
          <w:sz w:val="24"/>
        </w:rPr>
        <w:t xml:space="preserve">NOHARA, Irene Patrícia Diom. </w:t>
      </w:r>
      <w:r>
        <w:rPr>
          <w:b/>
          <w:sz w:val="24"/>
        </w:rPr>
        <w:t xml:space="preserve">Direito administrativo. </w:t>
      </w:r>
      <w:r>
        <w:rPr>
          <w:sz w:val="24"/>
        </w:rPr>
        <w:t>12ª Edição. Barueri/SP: Atlas, 2023.</w:t>
      </w:r>
    </w:p>
    <w:p w:rsidR="007259F2" w:rsidRDefault="00E655B4">
      <w:pPr>
        <w:spacing w:before="120"/>
        <w:ind w:left="710"/>
        <w:jc w:val="both"/>
        <w:rPr>
          <w:b/>
          <w:sz w:val="24"/>
        </w:rPr>
      </w:pPr>
      <w:r>
        <w:rPr>
          <w:sz w:val="24"/>
        </w:rPr>
        <w:t>OLIVEIRA,</w:t>
      </w:r>
      <w:r>
        <w:rPr>
          <w:spacing w:val="49"/>
          <w:w w:val="150"/>
          <w:sz w:val="24"/>
        </w:rPr>
        <w:t xml:space="preserve"> </w:t>
      </w:r>
      <w:r>
        <w:rPr>
          <w:sz w:val="24"/>
        </w:rPr>
        <w:t>Rafael</w:t>
      </w:r>
      <w:r>
        <w:rPr>
          <w:spacing w:val="52"/>
          <w:w w:val="150"/>
          <w:sz w:val="24"/>
        </w:rPr>
        <w:t xml:space="preserve"> </w:t>
      </w:r>
      <w:r>
        <w:rPr>
          <w:sz w:val="24"/>
        </w:rPr>
        <w:t>Carvalho</w:t>
      </w:r>
      <w:r>
        <w:rPr>
          <w:spacing w:val="52"/>
          <w:w w:val="150"/>
          <w:sz w:val="24"/>
        </w:rPr>
        <w:t xml:space="preserve"> </w:t>
      </w:r>
      <w:r>
        <w:rPr>
          <w:sz w:val="24"/>
        </w:rPr>
        <w:t>Rezende.</w:t>
      </w:r>
      <w:r>
        <w:rPr>
          <w:spacing w:val="54"/>
          <w:w w:val="150"/>
          <w:sz w:val="24"/>
        </w:rPr>
        <w:t xml:space="preserve"> </w:t>
      </w:r>
      <w:r>
        <w:rPr>
          <w:b/>
          <w:sz w:val="24"/>
        </w:rPr>
        <w:t>Licitações</w:t>
      </w:r>
      <w:r>
        <w:rPr>
          <w:b/>
          <w:spacing w:val="52"/>
          <w:w w:val="150"/>
          <w:sz w:val="24"/>
        </w:rPr>
        <w:t xml:space="preserve"> </w:t>
      </w:r>
      <w:r>
        <w:rPr>
          <w:b/>
          <w:sz w:val="24"/>
        </w:rPr>
        <w:t>e</w:t>
      </w:r>
      <w:r>
        <w:rPr>
          <w:b/>
          <w:spacing w:val="50"/>
          <w:w w:val="150"/>
          <w:sz w:val="24"/>
        </w:rPr>
        <w:t xml:space="preserve"> </w:t>
      </w:r>
      <w:r>
        <w:rPr>
          <w:b/>
          <w:sz w:val="24"/>
        </w:rPr>
        <w:t>contratos</w:t>
      </w:r>
      <w:r>
        <w:rPr>
          <w:b/>
          <w:spacing w:val="53"/>
          <w:w w:val="150"/>
          <w:sz w:val="24"/>
        </w:rPr>
        <w:t xml:space="preserve"> </w:t>
      </w:r>
      <w:r>
        <w:rPr>
          <w:b/>
          <w:spacing w:val="-2"/>
          <w:sz w:val="24"/>
        </w:rPr>
        <w:t>administrativos:</w:t>
      </w:r>
    </w:p>
    <w:p w:rsidR="007259F2" w:rsidRDefault="00E655B4">
      <w:pPr>
        <w:pStyle w:val="Corpodetexto"/>
        <w:ind w:firstLine="0"/>
      </w:pPr>
      <w:r>
        <w:t>teoria</w:t>
      </w:r>
      <w:r>
        <w:rPr>
          <w:spacing w:val="-3"/>
        </w:rPr>
        <w:t xml:space="preserve"> </w:t>
      </w:r>
      <w:r>
        <w:t>e</w:t>
      </w:r>
      <w:r>
        <w:rPr>
          <w:spacing w:val="-3"/>
        </w:rPr>
        <w:t xml:space="preserve"> </w:t>
      </w:r>
      <w:r>
        <w:t>prática.</w:t>
      </w:r>
      <w:r>
        <w:rPr>
          <w:spacing w:val="-1"/>
        </w:rPr>
        <w:t xml:space="preserve"> </w:t>
      </w:r>
      <w:r>
        <w:t>12ª</w:t>
      </w:r>
      <w:r>
        <w:rPr>
          <w:spacing w:val="-1"/>
        </w:rPr>
        <w:t xml:space="preserve"> </w:t>
      </w:r>
      <w:r>
        <w:t>Edição. Rio</w:t>
      </w:r>
      <w:r>
        <w:rPr>
          <w:spacing w:val="-1"/>
        </w:rPr>
        <w:t xml:space="preserve"> </w:t>
      </w:r>
      <w:r>
        <w:t>de</w:t>
      </w:r>
      <w:r>
        <w:rPr>
          <w:spacing w:val="-2"/>
        </w:rPr>
        <w:t xml:space="preserve"> </w:t>
      </w:r>
      <w:r>
        <w:t>Janeiro:</w:t>
      </w:r>
      <w:r>
        <w:rPr>
          <w:spacing w:val="-1"/>
        </w:rPr>
        <w:t xml:space="preserve"> </w:t>
      </w:r>
      <w:r>
        <w:t xml:space="preserve">Forense, </w:t>
      </w:r>
      <w:r>
        <w:rPr>
          <w:spacing w:val="-2"/>
        </w:rPr>
        <w:t>2023.</w:t>
      </w:r>
    </w:p>
    <w:p w:rsidR="007259F2" w:rsidRDefault="00E655B4">
      <w:pPr>
        <w:spacing w:before="120"/>
        <w:ind w:left="710"/>
        <w:jc w:val="both"/>
        <w:rPr>
          <w:sz w:val="24"/>
        </w:rPr>
      </w:pPr>
      <w:r>
        <w:rPr>
          <w:sz w:val="24"/>
        </w:rPr>
        <w:t>REALE,</w:t>
      </w:r>
      <w:r>
        <w:rPr>
          <w:spacing w:val="-6"/>
          <w:sz w:val="24"/>
        </w:rPr>
        <w:t xml:space="preserve"> </w:t>
      </w:r>
      <w:r>
        <w:rPr>
          <w:sz w:val="24"/>
        </w:rPr>
        <w:t>Miguel.</w:t>
      </w:r>
      <w:r>
        <w:rPr>
          <w:spacing w:val="-2"/>
          <w:sz w:val="24"/>
        </w:rPr>
        <w:t xml:space="preserve"> </w:t>
      </w:r>
      <w:r>
        <w:rPr>
          <w:b/>
          <w:sz w:val="24"/>
        </w:rPr>
        <w:t>Lições preliminares</w:t>
      </w:r>
      <w:r>
        <w:rPr>
          <w:b/>
          <w:spacing w:val="-2"/>
          <w:sz w:val="24"/>
        </w:rPr>
        <w:t xml:space="preserve"> </w:t>
      </w:r>
      <w:r>
        <w:rPr>
          <w:b/>
          <w:sz w:val="24"/>
        </w:rPr>
        <w:t>de</w:t>
      </w:r>
      <w:r>
        <w:rPr>
          <w:b/>
          <w:spacing w:val="-6"/>
          <w:sz w:val="24"/>
        </w:rPr>
        <w:t xml:space="preserve"> </w:t>
      </w:r>
      <w:r>
        <w:rPr>
          <w:b/>
          <w:sz w:val="24"/>
        </w:rPr>
        <w:t>direito.</w:t>
      </w:r>
      <w:r>
        <w:rPr>
          <w:b/>
          <w:spacing w:val="-1"/>
          <w:sz w:val="24"/>
        </w:rPr>
        <w:t xml:space="preserve"> </w:t>
      </w:r>
      <w:r>
        <w:rPr>
          <w:sz w:val="24"/>
        </w:rPr>
        <w:t>9ª</w:t>
      </w:r>
      <w:r>
        <w:rPr>
          <w:spacing w:val="-2"/>
          <w:sz w:val="24"/>
        </w:rPr>
        <w:t xml:space="preserve"> </w:t>
      </w:r>
      <w:r>
        <w:rPr>
          <w:sz w:val="24"/>
        </w:rPr>
        <w:t>Edição.</w:t>
      </w:r>
      <w:r>
        <w:rPr>
          <w:spacing w:val="-6"/>
          <w:sz w:val="24"/>
        </w:rPr>
        <w:t xml:space="preserve"> </w:t>
      </w:r>
      <w:r>
        <w:rPr>
          <w:sz w:val="24"/>
        </w:rPr>
        <w:t>São</w:t>
      </w:r>
      <w:r>
        <w:rPr>
          <w:spacing w:val="-2"/>
          <w:sz w:val="24"/>
        </w:rPr>
        <w:t xml:space="preserve"> </w:t>
      </w:r>
      <w:r>
        <w:rPr>
          <w:sz w:val="24"/>
        </w:rPr>
        <w:t>Paulo:</w:t>
      </w:r>
      <w:r>
        <w:rPr>
          <w:spacing w:val="-5"/>
          <w:sz w:val="24"/>
        </w:rPr>
        <w:t xml:space="preserve"> </w:t>
      </w:r>
      <w:r>
        <w:rPr>
          <w:sz w:val="24"/>
        </w:rPr>
        <w:t>Saraiva,</w:t>
      </w:r>
      <w:r>
        <w:rPr>
          <w:spacing w:val="-2"/>
          <w:sz w:val="24"/>
        </w:rPr>
        <w:t xml:space="preserve"> 1981.</w:t>
      </w:r>
    </w:p>
    <w:p w:rsidR="007259F2" w:rsidRDefault="00E655B4">
      <w:pPr>
        <w:pStyle w:val="Corpodetexto"/>
        <w:spacing w:before="120"/>
        <w:ind w:right="1128" w:firstLine="0"/>
      </w:pPr>
      <w:r>
        <w:t xml:space="preserve">SÃO PAULO (SP). </w:t>
      </w:r>
      <w:r>
        <w:rPr>
          <w:b/>
        </w:rPr>
        <w:t xml:space="preserve">Decreto n° 62.100, de 27 de dezembro de 2022. </w:t>
      </w:r>
      <w:r>
        <w:t>Dispõe sobre normas de licitação e contratos administrativos para a Administração Pública direta, autárquica e fundacional do Município de São Paulo, nos termos previstos na Lei Federal nº 14.133, de 1º de abril de 2021, bem como consolida a regulamentação da matéria em âmbito municipal. São Paulo, SP: Prefeitura do Município de São Paulo. Disponível em: https://legislacao.prefeitura.sp.gov.br/leis/decreto-62100-de-27-de- dezembro-de-2022/con solidado. Acesso em: 06 jan. 2024.</w:t>
      </w:r>
    </w:p>
    <w:p w:rsidR="007259F2" w:rsidRDefault="00E655B4">
      <w:pPr>
        <w:pStyle w:val="Corpodetexto"/>
        <w:tabs>
          <w:tab w:val="left" w:pos="2662"/>
          <w:tab w:val="left" w:pos="3840"/>
          <w:tab w:val="left" w:pos="5153"/>
          <w:tab w:val="left" w:pos="6710"/>
          <w:tab w:val="left" w:pos="8716"/>
        </w:tabs>
        <w:spacing w:before="121"/>
        <w:ind w:right="1123" w:firstLine="0"/>
        <w:jc w:val="left"/>
      </w:pPr>
      <w:r>
        <w:t>SÃO</w:t>
      </w:r>
      <w:r>
        <w:rPr>
          <w:spacing w:val="-5"/>
        </w:rPr>
        <w:t xml:space="preserve"> </w:t>
      </w:r>
      <w:r>
        <w:t>PAULO</w:t>
      </w:r>
      <w:r>
        <w:rPr>
          <w:spacing w:val="-4"/>
        </w:rPr>
        <w:t xml:space="preserve"> </w:t>
      </w:r>
      <w:r>
        <w:t>(SP).</w:t>
      </w:r>
      <w:r>
        <w:rPr>
          <w:spacing w:val="-4"/>
        </w:rPr>
        <w:t xml:space="preserve"> </w:t>
      </w:r>
      <w:r>
        <w:rPr>
          <w:b/>
        </w:rPr>
        <w:t>Instrução</w:t>
      </w:r>
      <w:r>
        <w:rPr>
          <w:b/>
          <w:spacing w:val="-4"/>
        </w:rPr>
        <w:t xml:space="preserve"> </w:t>
      </w:r>
      <w:r>
        <w:rPr>
          <w:b/>
        </w:rPr>
        <w:t>Normativa</w:t>
      </w:r>
      <w:r>
        <w:rPr>
          <w:b/>
          <w:spacing w:val="-4"/>
        </w:rPr>
        <w:t xml:space="preserve"> </w:t>
      </w:r>
      <w:r>
        <w:rPr>
          <w:b/>
        </w:rPr>
        <w:t>Secretaria</w:t>
      </w:r>
      <w:r>
        <w:rPr>
          <w:b/>
          <w:spacing w:val="-4"/>
        </w:rPr>
        <w:t xml:space="preserve"> </w:t>
      </w:r>
      <w:r>
        <w:rPr>
          <w:b/>
        </w:rPr>
        <w:t>Municipal</w:t>
      </w:r>
      <w:r>
        <w:rPr>
          <w:b/>
          <w:spacing w:val="-4"/>
        </w:rPr>
        <w:t xml:space="preserve"> </w:t>
      </w:r>
      <w:r>
        <w:rPr>
          <w:b/>
        </w:rPr>
        <w:t>de</w:t>
      </w:r>
      <w:r>
        <w:rPr>
          <w:b/>
          <w:spacing w:val="-5"/>
        </w:rPr>
        <w:t xml:space="preserve"> </w:t>
      </w:r>
      <w:r>
        <w:rPr>
          <w:b/>
        </w:rPr>
        <w:t>Gestão -</w:t>
      </w:r>
      <w:r>
        <w:rPr>
          <w:b/>
          <w:spacing w:val="-5"/>
        </w:rPr>
        <w:t xml:space="preserve"> </w:t>
      </w:r>
      <w:r>
        <w:rPr>
          <w:b/>
        </w:rPr>
        <w:t>SEGES Nº</w:t>
      </w:r>
      <w:r>
        <w:rPr>
          <w:b/>
          <w:spacing w:val="38"/>
        </w:rPr>
        <w:t xml:space="preserve"> </w:t>
      </w:r>
      <w:r>
        <w:rPr>
          <w:b/>
        </w:rPr>
        <w:t>1,</w:t>
      </w:r>
      <w:r>
        <w:rPr>
          <w:b/>
          <w:spacing w:val="38"/>
        </w:rPr>
        <w:t xml:space="preserve"> </w:t>
      </w:r>
      <w:r>
        <w:rPr>
          <w:b/>
        </w:rPr>
        <w:t>de</w:t>
      </w:r>
      <w:r>
        <w:rPr>
          <w:b/>
          <w:spacing w:val="37"/>
        </w:rPr>
        <w:t xml:space="preserve"> </w:t>
      </w:r>
      <w:r>
        <w:rPr>
          <w:b/>
        </w:rPr>
        <w:t>27</w:t>
      </w:r>
      <w:r>
        <w:rPr>
          <w:b/>
          <w:spacing w:val="36"/>
        </w:rPr>
        <w:t xml:space="preserve"> </w:t>
      </w:r>
      <w:r>
        <w:rPr>
          <w:b/>
        </w:rPr>
        <w:t>de</w:t>
      </w:r>
      <w:r>
        <w:rPr>
          <w:b/>
          <w:spacing w:val="37"/>
        </w:rPr>
        <w:t xml:space="preserve"> </w:t>
      </w:r>
      <w:r>
        <w:rPr>
          <w:b/>
        </w:rPr>
        <w:t>janeiro</w:t>
      </w:r>
      <w:r>
        <w:rPr>
          <w:b/>
          <w:spacing w:val="38"/>
        </w:rPr>
        <w:t xml:space="preserve"> </w:t>
      </w:r>
      <w:r>
        <w:rPr>
          <w:b/>
        </w:rPr>
        <w:t>de</w:t>
      </w:r>
      <w:r>
        <w:rPr>
          <w:b/>
          <w:spacing w:val="37"/>
        </w:rPr>
        <w:t xml:space="preserve"> </w:t>
      </w:r>
      <w:r>
        <w:rPr>
          <w:b/>
        </w:rPr>
        <w:t>2023.</w:t>
      </w:r>
      <w:r>
        <w:rPr>
          <w:b/>
          <w:spacing w:val="40"/>
        </w:rPr>
        <w:t xml:space="preserve"> </w:t>
      </w:r>
      <w:r>
        <w:t>Dispõe</w:t>
      </w:r>
      <w:r>
        <w:rPr>
          <w:spacing w:val="37"/>
        </w:rPr>
        <w:t xml:space="preserve"> </w:t>
      </w:r>
      <w:r>
        <w:t>sobre</w:t>
      </w:r>
      <w:r>
        <w:rPr>
          <w:spacing w:val="34"/>
        </w:rPr>
        <w:t xml:space="preserve"> </w:t>
      </w:r>
      <w:r>
        <w:t>a</w:t>
      </w:r>
      <w:r>
        <w:rPr>
          <w:spacing w:val="37"/>
        </w:rPr>
        <w:t xml:space="preserve"> </w:t>
      </w:r>
      <w:r>
        <w:t>elaboração</w:t>
      </w:r>
      <w:r>
        <w:rPr>
          <w:spacing w:val="38"/>
        </w:rPr>
        <w:t xml:space="preserve"> </w:t>
      </w:r>
      <w:r>
        <w:t>dos</w:t>
      </w:r>
      <w:r>
        <w:rPr>
          <w:spacing w:val="38"/>
        </w:rPr>
        <w:t xml:space="preserve"> </w:t>
      </w:r>
      <w:r>
        <w:t>Estudos</w:t>
      </w:r>
      <w:r>
        <w:rPr>
          <w:spacing w:val="38"/>
        </w:rPr>
        <w:t xml:space="preserve"> </w:t>
      </w:r>
      <w:r>
        <w:t>Técnicos Preliminares - ETP - para a aquisição de bens e a contratação de serviços no âmbito da Administração</w:t>
      </w:r>
      <w:r>
        <w:rPr>
          <w:spacing w:val="80"/>
        </w:rPr>
        <w:t xml:space="preserve"> </w:t>
      </w:r>
      <w:r>
        <w:t>Pública</w:t>
      </w:r>
      <w:r>
        <w:rPr>
          <w:spacing w:val="80"/>
        </w:rPr>
        <w:t xml:space="preserve"> </w:t>
      </w:r>
      <w:r>
        <w:t>Municipal</w:t>
      </w:r>
      <w:r>
        <w:rPr>
          <w:spacing w:val="80"/>
        </w:rPr>
        <w:t xml:space="preserve"> </w:t>
      </w:r>
      <w:r>
        <w:t>de</w:t>
      </w:r>
      <w:r>
        <w:rPr>
          <w:spacing w:val="80"/>
        </w:rPr>
        <w:t xml:space="preserve"> </w:t>
      </w:r>
      <w:r>
        <w:t>São</w:t>
      </w:r>
      <w:r>
        <w:rPr>
          <w:spacing w:val="80"/>
        </w:rPr>
        <w:t xml:space="preserve"> </w:t>
      </w:r>
      <w:r>
        <w:t>Paulo.</w:t>
      </w:r>
      <w:r>
        <w:rPr>
          <w:spacing w:val="80"/>
        </w:rPr>
        <w:t xml:space="preserve"> </w:t>
      </w:r>
      <w:r>
        <w:t>São</w:t>
      </w:r>
      <w:r>
        <w:rPr>
          <w:spacing w:val="80"/>
        </w:rPr>
        <w:t xml:space="preserve"> </w:t>
      </w:r>
      <w:r>
        <w:t>Paulo,</w:t>
      </w:r>
      <w:r>
        <w:rPr>
          <w:spacing w:val="80"/>
        </w:rPr>
        <w:t xml:space="preserve"> </w:t>
      </w:r>
      <w:r>
        <w:t>SP:</w:t>
      </w:r>
      <w:r>
        <w:rPr>
          <w:spacing w:val="80"/>
        </w:rPr>
        <w:t xml:space="preserve"> </w:t>
      </w:r>
      <w:r>
        <w:t>Prefeitura</w:t>
      </w:r>
      <w:r>
        <w:rPr>
          <w:spacing w:val="80"/>
        </w:rPr>
        <w:t xml:space="preserve"> </w:t>
      </w:r>
      <w:r>
        <w:t xml:space="preserve">do </w:t>
      </w:r>
      <w:r>
        <w:rPr>
          <w:spacing w:val="-2"/>
        </w:rPr>
        <w:t>Município</w:t>
      </w:r>
      <w:r>
        <w:tab/>
      </w:r>
      <w:r>
        <w:rPr>
          <w:spacing w:val="-6"/>
        </w:rPr>
        <w:t>de</w:t>
      </w:r>
      <w:r>
        <w:tab/>
      </w:r>
      <w:r>
        <w:rPr>
          <w:spacing w:val="-4"/>
        </w:rPr>
        <w:t>São</w:t>
      </w:r>
      <w:r>
        <w:tab/>
      </w:r>
      <w:r>
        <w:rPr>
          <w:spacing w:val="-2"/>
        </w:rPr>
        <w:t>Paulo.</w:t>
      </w:r>
      <w:r>
        <w:tab/>
      </w:r>
      <w:r>
        <w:rPr>
          <w:spacing w:val="-2"/>
        </w:rPr>
        <w:t>Disponível</w:t>
      </w:r>
      <w:r>
        <w:tab/>
      </w:r>
      <w:r>
        <w:rPr>
          <w:spacing w:val="-4"/>
        </w:rPr>
        <w:t xml:space="preserve">em: </w:t>
      </w:r>
      <w:r>
        <w:rPr>
          <w:spacing w:val="-2"/>
        </w:rPr>
        <w:t>https://legislacao.prefeitura.sp.gov.br/leis/instrucao-normativa-secretaria-municipal-</w:t>
      </w:r>
      <w:r>
        <w:rPr>
          <w:spacing w:val="40"/>
        </w:rPr>
        <w:t xml:space="preserve">  </w:t>
      </w:r>
      <w:r>
        <w:t>de-gestao-seges-1-de-27-de-janeiro-de-2023. Acesso em: 06 jan. 2024.</w:t>
      </w:r>
    </w:p>
    <w:p w:rsidR="007259F2" w:rsidRDefault="00E655B4">
      <w:pPr>
        <w:pStyle w:val="Corpodetexto"/>
        <w:spacing w:before="120"/>
        <w:ind w:right="1122" w:firstLine="0"/>
        <w:jc w:val="left"/>
      </w:pPr>
      <w:r>
        <w:t>SÃO</w:t>
      </w:r>
      <w:r>
        <w:rPr>
          <w:spacing w:val="-4"/>
        </w:rPr>
        <w:t xml:space="preserve"> </w:t>
      </w:r>
      <w:r>
        <w:t>PAULO</w:t>
      </w:r>
      <w:r>
        <w:rPr>
          <w:spacing w:val="-3"/>
        </w:rPr>
        <w:t xml:space="preserve"> </w:t>
      </w:r>
      <w:r>
        <w:t>(SP).</w:t>
      </w:r>
      <w:r>
        <w:rPr>
          <w:spacing w:val="-3"/>
        </w:rPr>
        <w:t xml:space="preserve"> </w:t>
      </w:r>
      <w:r>
        <w:rPr>
          <w:b/>
        </w:rPr>
        <w:t>Instrução</w:t>
      </w:r>
      <w:r>
        <w:rPr>
          <w:b/>
          <w:spacing w:val="-3"/>
        </w:rPr>
        <w:t xml:space="preserve"> </w:t>
      </w:r>
      <w:r>
        <w:rPr>
          <w:b/>
        </w:rPr>
        <w:t>Normativa</w:t>
      </w:r>
      <w:r>
        <w:rPr>
          <w:b/>
          <w:spacing w:val="-3"/>
        </w:rPr>
        <w:t xml:space="preserve"> </w:t>
      </w:r>
      <w:r>
        <w:rPr>
          <w:b/>
        </w:rPr>
        <w:t>Secretaria</w:t>
      </w:r>
      <w:r>
        <w:rPr>
          <w:b/>
          <w:spacing w:val="-3"/>
        </w:rPr>
        <w:t xml:space="preserve"> </w:t>
      </w:r>
      <w:r>
        <w:rPr>
          <w:b/>
        </w:rPr>
        <w:t>Municipal</w:t>
      </w:r>
      <w:r>
        <w:rPr>
          <w:b/>
          <w:spacing w:val="-3"/>
        </w:rPr>
        <w:t xml:space="preserve"> </w:t>
      </w:r>
      <w:r>
        <w:rPr>
          <w:b/>
        </w:rPr>
        <w:t>de</w:t>
      </w:r>
      <w:r>
        <w:rPr>
          <w:b/>
          <w:spacing w:val="-4"/>
        </w:rPr>
        <w:t xml:space="preserve"> </w:t>
      </w:r>
      <w:r>
        <w:rPr>
          <w:b/>
        </w:rPr>
        <w:t>Gestão -</w:t>
      </w:r>
      <w:r>
        <w:rPr>
          <w:b/>
          <w:spacing w:val="-4"/>
        </w:rPr>
        <w:t xml:space="preserve"> </w:t>
      </w:r>
      <w:r>
        <w:rPr>
          <w:b/>
        </w:rPr>
        <w:t>SEGES Nº</w:t>
      </w:r>
      <w:r>
        <w:rPr>
          <w:b/>
          <w:spacing w:val="30"/>
        </w:rPr>
        <w:t xml:space="preserve"> </w:t>
      </w:r>
      <w:r>
        <w:rPr>
          <w:b/>
        </w:rPr>
        <w:t>2,</w:t>
      </w:r>
      <w:r>
        <w:rPr>
          <w:b/>
          <w:spacing w:val="31"/>
        </w:rPr>
        <w:t xml:space="preserve"> </w:t>
      </w:r>
      <w:r>
        <w:rPr>
          <w:b/>
        </w:rPr>
        <w:t>de</w:t>
      </w:r>
      <w:r>
        <w:rPr>
          <w:b/>
          <w:spacing w:val="30"/>
        </w:rPr>
        <w:t xml:space="preserve"> </w:t>
      </w:r>
      <w:r>
        <w:rPr>
          <w:b/>
        </w:rPr>
        <w:t>27</w:t>
      </w:r>
      <w:r>
        <w:rPr>
          <w:b/>
          <w:spacing w:val="31"/>
        </w:rPr>
        <w:t xml:space="preserve"> </w:t>
      </w:r>
      <w:r>
        <w:rPr>
          <w:b/>
        </w:rPr>
        <w:t>de</w:t>
      </w:r>
      <w:r>
        <w:rPr>
          <w:b/>
          <w:spacing w:val="32"/>
        </w:rPr>
        <w:t xml:space="preserve"> </w:t>
      </w:r>
      <w:r>
        <w:rPr>
          <w:b/>
        </w:rPr>
        <w:t>janeiro</w:t>
      </w:r>
      <w:r>
        <w:rPr>
          <w:b/>
          <w:spacing w:val="33"/>
        </w:rPr>
        <w:t xml:space="preserve"> </w:t>
      </w:r>
      <w:r>
        <w:rPr>
          <w:b/>
        </w:rPr>
        <w:t>de</w:t>
      </w:r>
      <w:r>
        <w:rPr>
          <w:b/>
          <w:spacing w:val="30"/>
        </w:rPr>
        <w:t xml:space="preserve"> </w:t>
      </w:r>
      <w:r>
        <w:rPr>
          <w:b/>
        </w:rPr>
        <w:t>2023.</w:t>
      </w:r>
      <w:r>
        <w:rPr>
          <w:b/>
          <w:spacing w:val="34"/>
        </w:rPr>
        <w:t xml:space="preserve"> </w:t>
      </w:r>
      <w:r>
        <w:t>Dispõe</w:t>
      </w:r>
      <w:r>
        <w:rPr>
          <w:spacing w:val="30"/>
        </w:rPr>
        <w:t xml:space="preserve"> </w:t>
      </w:r>
      <w:r>
        <w:t>sobre</w:t>
      </w:r>
      <w:r>
        <w:rPr>
          <w:spacing w:val="32"/>
        </w:rPr>
        <w:t xml:space="preserve"> </w:t>
      </w:r>
      <w:r>
        <w:t>os</w:t>
      </w:r>
      <w:r>
        <w:rPr>
          <w:spacing w:val="31"/>
        </w:rPr>
        <w:t xml:space="preserve"> </w:t>
      </w:r>
      <w:r>
        <w:t>sistemas</w:t>
      </w:r>
      <w:r>
        <w:rPr>
          <w:spacing w:val="31"/>
        </w:rPr>
        <w:t xml:space="preserve"> </w:t>
      </w:r>
      <w:r>
        <w:t>para</w:t>
      </w:r>
      <w:r>
        <w:rPr>
          <w:spacing w:val="29"/>
        </w:rPr>
        <w:t xml:space="preserve"> </w:t>
      </w:r>
      <w:r>
        <w:t>processamento</w:t>
      </w:r>
      <w:r>
        <w:rPr>
          <w:spacing w:val="31"/>
        </w:rPr>
        <w:t xml:space="preserve"> </w:t>
      </w:r>
      <w:r>
        <w:t>das licitações realizadas sob</w:t>
      </w:r>
      <w:r>
        <w:rPr>
          <w:spacing w:val="80"/>
        </w:rPr>
        <w:t xml:space="preserve"> </w:t>
      </w:r>
      <w:r>
        <w:t>a</w:t>
      </w:r>
      <w:r>
        <w:rPr>
          <w:spacing w:val="79"/>
        </w:rPr>
        <w:t xml:space="preserve"> </w:t>
      </w:r>
      <w:r>
        <w:t>forma</w:t>
      </w:r>
      <w:r>
        <w:rPr>
          <w:spacing w:val="79"/>
        </w:rPr>
        <w:t xml:space="preserve"> </w:t>
      </w:r>
      <w:r>
        <w:t>eletrônica</w:t>
      </w:r>
      <w:r>
        <w:rPr>
          <w:spacing w:val="79"/>
        </w:rPr>
        <w:t xml:space="preserve"> </w:t>
      </w:r>
      <w:r>
        <w:t>no</w:t>
      </w:r>
      <w:r>
        <w:rPr>
          <w:spacing w:val="80"/>
        </w:rPr>
        <w:t xml:space="preserve"> </w:t>
      </w:r>
      <w:r>
        <w:t>âmbito</w:t>
      </w:r>
      <w:r>
        <w:rPr>
          <w:spacing w:val="80"/>
        </w:rPr>
        <w:t xml:space="preserve"> </w:t>
      </w:r>
      <w:r>
        <w:t>da</w:t>
      </w:r>
      <w:r>
        <w:rPr>
          <w:spacing w:val="79"/>
        </w:rPr>
        <w:t xml:space="preserve"> </w:t>
      </w:r>
      <w:r>
        <w:t>Administração</w:t>
      </w:r>
      <w:r>
        <w:rPr>
          <w:spacing w:val="80"/>
        </w:rPr>
        <w:t xml:space="preserve"> </w:t>
      </w:r>
      <w:r>
        <w:t>Pública direta,</w:t>
      </w:r>
      <w:r>
        <w:rPr>
          <w:spacing w:val="80"/>
          <w:w w:val="150"/>
        </w:rPr>
        <w:t xml:space="preserve"> </w:t>
      </w:r>
      <w:r>
        <w:t>autárquica</w:t>
      </w:r>
      <w:r>
        <w:rPr>
          <w:spacing w:val="80"/>
          <w:w w:val="150"/>
        </w:rPr>
        <w:t xml:space="preserve"> </w:t>
      </w:r>
      <w:r>
        <w:t>e</w:t>
      </w:r>
      <w:r>
        <w:rPr>
          <w:spacing w:val="80"/>
          <w:w w:val="150"/>
        </w:rPr>
        <w:t xml:space="preserve"> </w:t>
      </w:r>
      <w:r>
        <w:t>fundacional</w:t>
      </w:r>
      <w:r>
        <w:rPr>
          <w:spacing w:val="80"/>
          <w:w w:val="150"/>
        </w:rPr>
        <w:t xml:space="preserve"> </w:t>
      </w:r>
      <w:r>
        <w:t>do</w:t>
      </w:r>
      <w:r>
        <w:rPr>
          <w:spacing w:val="80"/>
          <w:w w:val="150"/>
        </w:rPr>
        <w:t xml:space="preserve"> </w:t>
      </w:r>
      <w:r>
        <w:t>Município</w:t>
      </w:r>
      <w:r>
        <w:rPr>
          <w:spacing w:val="80"/>
          <w:w w:val="150"/>
        </w:rPr>
        <w:t xml:space="preserve"> </w:t>
      </w:r>
      <w:r>
        <w:t>de</w:t>
      </w:r>
      <w:r>
        <w:rPr>
          <w:spacing w:val="80"/>
          <w:w w:val="150"/>
        </w:rPr>
        <w:t xml:space="preserve"> </w:t>
      </w:r>
      <w:r>
        <w:t>São</w:t>
      </w:r>
      <w:r>
        <w:rPr>
          <w:spacing w:val="80"/>
          <w:w w:val="150"/>
        </w:rPr>
        <w:t xml:space="preserve"> </w:t>
      </w:r>
      <w:r>
        <w:t>Paulo,</w:t>
      </w:r>
      <w:r>
        <w:rPr>
          <w:spacing w:val="80"/>
          <w:w w:val="150"/>
        </w:rPr>
        <w:t xml:space="preserve"> </w:t>
      </w:r>
      <w:r>
        <w:t>e</w:t>
      </w:r>
      <w:r>
        <w:rPr>
          <w:spacing w:val="80"/>
          <w:w w:val="150"/>
        </w:rPr>
        <w:t xml:space="preserve"> </w:t>
      </w:r>
      <w:r>
        <w:t>dá</w:t>
      </w:r>
      <w:r>
        <w:rPr>
          <w:spacing w:val="80"/>
          <w:w w:val="150"/>
        </w:rPr>
        <w:t xml:space="preserve"> </w:t>
      </w:r>
      <w:r>
        <w:t>outras</w:t>
      </w:r>
      <w:r>
        <w:rPr>
          <w:spacing w:val="80"/>
        </w:rPr>
        <w:t xml:space="preserve"> </w:t>
      </w:r>
      <w:r>
        <w:t>providências</w:t>
      </w:r>
      <w:r>
        <w:rPr>
          <w:b/>
        </w:rPr>
        <w:t>.</w:t>
      </w:r>
      <w:r>
        <w:rPr>
          <w:b/>
          <w:spacing w:val="69"/>
        </w:rPr>
        <w:t xml:space="preserve"> </w:t>
      </w:r>
      <w:r>
        <w:t>São</w:t>
      </w:r>
      <w:r>
        <w:rPr>
          <w:spacing w:val="69"/>
        </w:rPr>
        <w:t xml:space="preserve"> </w:t>
      </w:r>
      <w:r>
        <w:t>Paulo,</w:t>
      </w:r>
      <w:r>
        <w:rPr>
          <w:spacing w:val="70"/>
        </w:rPr>
        <w:t xml:space="preserve"> </w:t>
      </w:r>
      <w:r>
        <w:t>SP:</w:t>
      </w:r>
      <w:r>
        <w:rPr>
          <w:spacing w:val="-1"/>
        </w:rPr>
        <w:t xml:space="preserve"> </w:t>
      </w:r>
      <w:r>
        <w:t>Prefeitura</w:t>
      </w:r>
      <w:r>
        <w:rPr>
          <w:spacing w:val="-3"/>
        </w:rPr>
        <w:t xml:space="preserve"> </w:t>
      </w:r>
      <w:r>
        <w:t>do</w:t>
      </w:r>
      <w:r>
        <w:rPr>
          <w:spacing w:val="-8"/>
        </w:rPr>
        <w:t xml:space="preserve"> </w:t>
      </w:r>
      <w:r>
        <w:t>Município</w:t>
      </w:r>
      <w:r>
        <w:rPr>
          <w:spacing w:val="-2"/>
        </w:rPr>
        <w:t xml:space="preserve"> </w:t>
      </w:r>
      <w:r>
        <w:t>de</w:t>
      </w:r>
      <w:r>
        <w:rPr>
          <w:spacing w:val="-9"/>
        </w:rPr>
        <w:t xml:space="preserve"> </w:t>
      </w:r>
      <w:r>
        <w:t>bSão</w:t>
      </w:r>
      <w:r>
        <w:rPr>
          <w:spacing w:val="-8"/>
        </w:rPr>
        <w:t xml:space="preserve"> </w:t>
      </w:r>
      <w:r>
        <w:t>Paulo.</w:t>
      </w:r>
      <w:r>
        <w:rPr>
          <w:spacing w:val="-2"/>
        </w:rPr>
        <w:t xml:space="preserve"> </w:t>
      </w:r>
      <w:r>
        <w:t>Disponível</w:t>
      </w:r>
      <w:r>
        <w:rPr>
          <w:spacing w:val="-1"/>
        </w:rPr>
        <w:t xml:space="preserve"> </w:t>
      </w:r>
      <w:r>
        <w:t xml:space="preserve">em: </w:t>
      </w:r>
      <w:r>
        <w:rPr>
          <w:spacing w:val="-2"/>
        </w:rPr>
        <w:t xml:space="preserve">https://legislacao.prefeitura.sp.gov.br/leis/instrucao-normativa-secretaria-municipal-de- </w:t>
      </w:r>
      <w:r>
        <w:t>gestao-seges-2-de-27-de-janeiro-de-2023. Acesso em: 06.jan. .2024.</w:t>
      </w:r>
    </w:p>
    <w:p w:rsidR="007259F2" w:rsidRDefault="007259F2">
      <w:pPr>
        <w:pStyle w:val="Corpodetexto"/>
        <w:jc w:val="left"/>
        <w:sectPr w:rsidR="007259F2">
          <w:pgSz w:w="11910" w:h="16840"/>
          <w:pgMar w:top="1320" w:right="708" w:bottom="1160" w:left="992" w:header="0" w:footer="962" w:gutter="0"/>
          <w:cols w:space="720"/>
        </w:sectPr>
      </w:pPr>
    </w:p>
    <w:p w:rsidR="007259F2" w:rsidRDefault="00E655B4">
      <w:pPr>
        <w:pStyle w:val="Corpodetexto"/>
        <w:spacing w:before="69"/>
        <w:ind w:right="1123" w:firstLine="0"/>
      </w:pPr>
      <w:r>
        <w:lastRenderedPageBreak/>
        <w:t>SÃO</w:t>
      </w:r>
      <w:r>
        <w:rPr>
          <w:spacing w:val="-5"/>
        </w:rPr>
        <w:t xml:space="preserve"> </w:t>
      </w:r>
      <w:r>
        <w:t>PAULO</w:t>
      </w:r>
      <w:r>
        <w:rPr>
          <w:spacing w:val="-4"/>
        </w:rPr>
        <w:t xml:space="preserve"> </w:t>
      </w:r>
      <w:r>
        <w:t>(SP).</w:t>
      </w:r>
      <w:r>
        <w:rPr>
          <w:spacing w:val="-4"/>
        </w:rPr>
        <w:t xml:space="preserve"> </w:t>
      </w:r>
      <w:r>
        <w:rPr>
          <w:b/>
        </w:rPr>
        <w:t>Instrução</w:t>
      </w:r>
      <w:r>
        <w:rPr>
          <w:b/>
          <w:spacing w:val="-4"/>
        </w:rPr>
        <w:t xml:space="preserve"> </w:t>
      </w:r>
      <w:r>
        <w:rPr>
          <w:b/>
        </w:rPr>
        <w:t>Normativa</w:t>
      </w:r>
      <w:r>
        <w:rPr>
          <w:b/>
          <w:spacing w:val="-4"/>
        </w:rPr>
        <w:t xml:space="preserve"> </w:t>
      </w:r>
      <w:r>
        <w:rPr>
          <w:b/>
        </w:rPr>
        <w:t>Secretaria</w:t>
      </w:r>
      <w:r>
        <w:rPr>
          <w:b/>
          <w:spacing w:val="-4"/>
        </w:rPr>
        <w:t xml:space="preserve"> </w:t>
      </w:r>
      <w:r>
        <w:rPr>
          <w:b/>
        </w:rPr>
        <w:t>Municipal</w:t>
      </w:r>
      <w:r>
        <w:rPr>
          <w:b/>
          <w:spacing w:val="-4"/>
        </w:rPr>
        <w:t xml:space="preserve"> </w:t>
      </w:r>
      <w:r>
        <w:rPr>
          <w:b/>
        </w:rPr>
        <w:t>de</w:t>
      </w:r>
      <w:r>
        <w:rPr>
          <w:b/>
          <w:spacing w:val="-5"/>
        </w:rPr>
        <w:t xml:space="preserve"> </w:t>
      </w:r>
      <w:r>
        <w:rPr>
          <w:b/>
        </w:rPr>
        <w:t>Gestão -</w:t>
      </w:r>
      <w:r>
        <w:rPr>
          <w:b/>
          <w:spacing w:val="-5"/>
        </w:rPr>
        <w:t xml:space="preserve"> </w:t>
      </w:r>
      <w:r>
        <w:rPr>
          <w:b/>
        </w:rPr>
        <w:t xml:space="preserve">SEGES Nº 6, de 10 de novembro de 2023. </w:t>
      </w:r>
      <w:r>
        <w:t>Dispõe sobre o procedimento administrativo de pesquisa de preços nas</w:t>
      </w:r>
      <w:r>
        <w:rPr>
          <w:spacing w:val="26"/>
        </w:rPr>
        <w:t xml:space="preserve"> </w:t>
      </w:r>
      <w:r>
        <w:t>licitações</w:t>
      </w:r>
      <w:r>
        <w:rPr>
          <w:spacing w:val="30"/>
        </w:rPr>
        <w:t xml:space="preserve"> </w:t>
      </w:r>
      <w:r>
        <w:t>e</w:t>
      </w:r>
      <w:r>
        <w:rPr>
          <w:spacing w:val="26"/>
        </w:rPr>
        <w:t xml:space="preserve"> </w:t>
      </w:r>
      <w:r>
        <w:t>contratações</w:t>
      </w:r>
      <w:r>
        <w:rPr>
          <w:spacing w:val="30"/>
        </w:rPr>
        <w:t xml:space="preserve"> </w:t>
      </w:r>
      <w:r>
        <w:t>formalizadas</w:t>
      </w:r>
      <w:r>
        <w:rPr>
          <w:spacing w:val="28"/>
        </w:rPr>
        <w:t xml:space="preserve"> </w:t>
      </w:r>
      <w:r>
        <w:t>para</w:t>
      </w:r>
      <w:r>
        <w:rPr>
          <w:spacing w:val="25"/>
        </w:rPr>
        <w:t xml:space="preserve"> </w:t>
      </w:r>
      <w:r>
        <w:t>aquisição</w:t>
      </w:r>
      <w:r>
        <w:rPr>
          <w:spacing w:val="28"/>
        </w:rPr>
        <w:t xml:space="preserve"> </w:t>
      </w:r>
      <w:r>
        <w:t>de</w:t>
      </w:r>
      <w:r>
        <w:rPr>
          <w:spacing w:val="24"/>
        </w:rPr>
        <w:t xml:space="preserve"> </w:t>
      </w:r>
      <w:r>
        <w:t>bens e prestação de serviços em</w:t>
      </w:r>
      <w:r>
        <w:rPr>
          <w:spacing w:val="40"/>
        </w:rPr>
        <w:t xml:space="preserve"> </w:t>
      </w:r>
      <w:r>
        <w:t>geral</w:t>
      </w:r>
      <w:r>
        <w:rPr>
          <w:spacing w:val="40"/>
        </w:rPr>
        <w:t xml:space="preserve"> </w:t>
      </w:r>
      <w:r>
        <w:t>no</w:t>
      </w:r>
      <w:r>
        <w:rPr>
          <w:spacing w:val="40"/>
        </w:rPr>
        <w:t xml:space="preserve"> </w:t>
      </w:r>
      <w:r>
        <w:t>âmbito</w:t>
      </w:r>
      <w:r>
        <w:rPr>
          <w:spacing w:val="40"/>
        </w:rPr>
        <w:t xml:space="preserve"> </w:t>
      </w:r>
      <w:r>
        <w:t>da</w:t>
      </w:r>
      <w:r>
        <w:rPr>
          <w:spacing w:val="40"/>
        </w:rPr>
        <w:t xml:space="preserve"> </w:t>
      </w:r>
      <w:r>
        <w:t>Administração</w:t>
      </w:r>
      <w:r>
        <w:rPr>
          <w:spacing w:val="40"/>
        </w:rPr>
        <w:t xml:space="preserve"> </w:t>
      </w:r>
      <w:r>
        <w:t>Pública</w:t>
      </w:r>
      <w:r>
        <w:rPr>
          <w:spacing w:val="40"/>
        </w:rPr>
        <w:t xml:space="preserve"> </w:t>
      </w:r>
      <w:r>
        <w:t>direta, autárquica</w:t>
      </w:r>
      <w:r>
        <w:rPr>
          <w:spacing w:val="40"/>
        </w:rPr>
        <w:t xml:space="preserve"> </w:t>
      </w:r>
      <w:r>
        <w:t>e</w:t>
      </w:r>
      <w:r>
        <w:rPr>
          <w:spacing w:val="40"/>
        </w:rPr>
        <w:t xml:space="preserve"> </w:t>
      </w:r>
      <w:r>
        <w:t>fundacional</w:t>
      </w:r>
      <w:r>
        <w:rPr>
          <w:spacing w:val="40"/>
        </w:rPr>
        <w:t xml:space="preserve"> </w:t>
      </w:r>
      <w:r>
        <w:t>do Município de São Paulo, nos termos previstos na Lei Federal nº 14.133, de</w:t>
      </w:r>
      <w:r>
        <w:rPr>
          <w:spacing w:val="-1"/>
        </w:rPr>
        <w:t xml:space="preserve"> </w:t>
      </w:r>
      <w:r>
        <w:t>1º de</w:t>
      </w:r>
      <w:r>
        <w:rPr>
          <w:spacing w:val="-1"/>
        </w:rPr>
        <w:t xml:space="preserve"> </w:t>
      </w:r>
      <w:r>
        <w:t>abril de</w:t>
      </w:r>
      <w:r>
        <w:rPr>
          <w:spacing w:val="80"/>
        </w:rPr>
        <w:t xml:space="preserve"> </w:t>
      </w:r>
      <w:r>
        <w:t>2021,</w:t>
      </w:r>
      <w:r>
        <w:rPr>
          <w:spacing w:val="40"/>
        </w:rPr>
        <w:t xml:space="preserve"> </w:t>
      </w:r>
      <w:r>
        <w:t>e</w:t>
      </w:r>
      <w:r>
        <w:rPr>
          <w:spacing w:val="39"/>
        </w:rPr>
        <w:t xml:space="preserve"> </w:t>
      </w:r>
      <w:r>
        <w:t>no</w:t>
      </w:r>
      <w:r>
        <w:rPr>
          <w:spacing w:val="40"/>
        </w:rPr>
        <w:t xml:space="preserve"> </w:t>
      </w:r>
      <w:r>
        <w:t>Decreto</w:t>
      </w:r>
      <w:r>
        <w:rPr>
          <w:spacing w:val="40"/>
        </w:rPr>
        <w:t xml:space="preserve"> </w:t>
      </w:r>
      <w:r>
        <w:t>Municipal</w:t>
      </w:r>
      <w:r>
        <w:rPr>
          <w:spacing w:val="40"/>
        </w:rPr>
        <w:t xml:space="preserve"> </w:t>
      </w:r>
      <w:r>
        <w:t>nº</w:t>
      </w:r>
      <w:r>
        <w:rPr>
          <w:spacing w:val="40"/>
        </w:rPr>
        <w:t xml:space="preserve"> </w:t>
      </w:r>
      <w:r>
        <w:t>62.100,</w:t>
      </w:r>
      <w:r>
        <w:rPr>
          <w:spacing w:val="40"/>
        </w:rPr>
        <w:t xml:space="preserve"> </w:t>
      </w:r>
      <w:r>
        <w:t>de</w:t>
      </w:r>
      <w:r>
        <w:rPr>
          <w:spacing w:val="39"/>
        </w:rPr>
        <w:t xml:space="preserve"> </w:t>
      </w:r>
      <w:r>
        <w:t>27 de dezembro de 2022. São Paulo, SP:</w:t>
      </w:r>
      <w:r>
        <w:rPr>
          <w:spacing w:val="-4"/>
        </w:rPr>
        <w:t xml:space="preserve"> </w:t>
      </w:r>
      <w:r>
        <w:t>Prefeiturado</w:t>
      </w:r>
      <w:r>
        <w:rPr>
          <w:spacing w:val="40"/>
        </w:rPr>
        <w:t xml:space="preserve"> </w:t>
      </w:r>
      <w:r>
        <w:t>Município</w:t>
      </w:r>
      <w:r>
        <w:rPr>
          <w:spacing w:val="40"/>
        </w:rPr>
        <w:t xml:space="preserve"> </w:t>
      </w:r>
      <w:r>
        <w:t>de</w:t>
      </w:r>
      <w:r>
        <w:rPr>
          <w:spacing w:val="40"/>
        </w:rPr>
        <w:t xml:space="preserve"> </w:t>
      </w:r>
      <w:r>
        <w:t>São</w:t>
      </w:r>
      <w:r>
        <w:rPr>
          <w:spacing w:val="40"/>
        </w:rPr>
        <w:t xml:space="preserve"> </w:t>
      </w:r>
      <w:r>
        <w:t>Paulo. Disponível em: https://legislacao.prefeitura.sp.gov.br/leis/instrucao-normativa- secretaria-municipal-de- gestao-seges-6-de-10-de-novembro-de-2023. Acesso em: 06 jan. 2024.</w:t>
      </w:r>
    </w:p>
    <w:p w:rsidR="007259F2" w:rsidRDefault="00E655B4">
      <w:pPr>
        <w:tabs>
          <w:tab w:val="left" w:pos="7887"/>
        </w:tabs>
        <w:spacing w:before="121"/>
        <w:ind w:left="710" w:right="1129"/>
        <w:jc w:val="both"/>
        <w:rPr>
          <w:sz w:val="24"/>
        </w:rPr>
      </w:pPr>
      <w:r>
        <w:rPr>
          <w:sz w:val="24"/>
        </w:rPr>
        <w:t xml:space="preserve">SÃO PAULO (SP). Câmara Municipal de São Paulo. </w:t>
      </w:r>
      <w:r>
        <w:rPr>
          <w:b/>
          <w:sz w:val="24"/>
        </w:rPr>
        <w:t xml:space="preserve">Simpósio sobre a Nova Lei de Licitações e Contratos Públicos na Câmara de São Paulo. </w:t>
      </w:r>
      <w:r>
        <w:rPr>
          <w:sz w:val="24"/>
        </w:rPr>
        <w:t xml:space="preserve">Youtube, Canal da Câmara Municipal de São Paulo, 31 de março de 2023. Disponível em: </w:t>
      </w:r>
      <w:r>
        <w:rPr>
          <w:spacing w:val="-2"/>
          <w:sz w:val="24"/>
        </w:rPr>
        <w:t>https:/</w:t>
      </w:r>
      <w:hyperlink r:id="rId48">
        <w:r>
          <w:rPr>
            <w:spacing w:val="-2"/>
            <w:sz w:val="24"/>
          </w:rPr>
          <w:t>/www.youtube.com/watch?v=</w:t>
        </w:r>
      </w:hyperlink>
      <w:r>
        <w:rPr>
          <w:sz w:val="24"/>
        </w:rPr>
        <w:tab/>
      </w:r>
      <w:r>
        <w:rPr>
          <w:spacing w:val="-2"/>
          <w:sz w:val="24"/>
        </w:rPr>
        <w:t xml:space="preserve">jlmbfIM_O- </w:t>
      </w:r>
      <w:r>
        <w:rPr>
          <w:sz w:val="24"/>
        </w:rPr>
        <w:t xml:space="preserve">A&amp;list=PLYt3a0f9wjClHOkZUcMUAl5dKPNkSjjpz&amp;index=2. Acesso em: 06 jan. </w:t>
      </w:r>
      <w:r>
        <w:rPr>
          <w:spacing w:val="-2"/>
          <w:sz w:val="24"/>
        </w:rPr>
        <w:t>2024.</w:t>
      </w:r>
    </w:p>
    <w:p w:rsidR="007259F2" w:rsidRDefault="00E655B4">
      <w:pPr>
        <w:spacing w:before="121"/>
        <w:ind w:left="710" w:right="1128"/>
        <w:jc w:val="both"/>
        <w:rPr>
          <w:sz w:val="24"/>
        </w:rPr>
      </w:pPr>
      <w:r>
        <w:rPr>
          <w:sz w:val="24"/>
        </w:rPr>
        <w:t xml:space="preserve">SCHIEFLER, Eduardo André Carvalho. </w:t>
      </w:r>
      <w:r>
        <w:rPr>
          <w:b/>
          <w:sz w:val="24"/>
        </w:rPr>
        <w:t>Controle das compras públicas, inovação tecnológica e inteligência artificial: o paradigma da administração pública digital e os sistemas inteligentes na nova lei de licitações e contratos administrativos</w:t>
      </w:r>
      <w:r>
        <w:rPr>
          <w:sz w:val="24"/>
        </w:rPr>
        <w:t>, 2021, 218 f., il. Dissertação (Mestrado em Direito) - Universidade de Brasília,</w:t>
      </w:r>
      <w:r>
        <w:rPr>
          <w:spacing w:val="80"/>
          <w:sz w:val="24"/>
        </w:rPr>
        <w:t xml:space="preserve"> </w:t>
      </w:r>
      <w:r>
        <w:rPr>
          <w:sz w:val="24"/>
        </w:rPr>
        <w:t xml:space="preserve">Brasília, 2021. Disponível em: </w:t>
      </w:r>
      <w:hyperlink r:id="rId49">
        <w:r>
          <w:rPr>
            <w:sz w:val="24"/>
          </w:rPr>
          <w:t>http://repositorio2.unb.br/jspui/handle/10482/43103.</w:t>
        </w:r>
      </w:hyperlink>
      <w:r>
        <w:rPr>
          <w:sz w:val="24"/>
        </w:rPr>
        <w:t xml:space="preserve"> Acesso em: 06 jan. 2024.</w:t>
      </w:r>
    </w:p>
    <w:p w:rsidR="007259F2" w:rsidRDefault="00E655B4">
      <w:pPr>
        <w:spacing w:before="120"/>
        <w:ind w:left="710" w:right="1131"/>
        <w:jc w:val="both"/>
        <w:rPr>
          <w:sz w:val="24"/>
        </w:rPr>
      </w:pPr>
      <w:r>
        <w:rPr>
          <w:sz w:val="24"/>
        </w:rPr>
        <w:t xml:space="preserve">SPITZCOVSKY, Celso. </w:t>
      </w:r>
      <w:r>
        <w:rPr>
          <w:b/>
          <w:sz w:val="24"/>
        </w:rPr>
        <w:t>Nova Lei de Licitações e Contratos Administrativos</w:t>
      </w:r>
      <w:r>
        <w:rPr>
          <w:sz w:val="24"/>
        </w:rPr>
        <w:t>: principais diretrizes e mudanças. São Paulo: Editora Saraiva, 2021.</w:t>
      </w:r>
    </w:p>
    <w:p w:rsidR="007259F2" w:rsidRDefault="007259F2">
      <w:pPr>
        <w:jc w:val="both"/>
        <w:rPr>
          <w:sz w:val="24"/>
        </w:rPr>
        <w:sectPr w:rsidR="007259F2">
          <w:pgSz w:w="11910" w:h="16840"/>
          <w:pgMar w:top="1320" w:right="708" w:bottom="1160" w:left="992" w:header="0" w:footer="962" w:gutter="0"/>
          <w:cols w:space="720"/>
        </w:sectPr>
      </w:pPr>
    </w:p>
    <w:p w:rsidR="007259F2" w:rsidRDefault="00E655B4">
      <w:pPr>
        <w:pStyle w:val="Heading2"/>
        <w:spacing w:before="74"/>
        <w:ind w:right="990"/>
        <w:jc w:val="left"/>
      </w:pPr>
      <w:bookmarkStart w:id="3" w:name="_bookmark3"/>
      <w:bookmarkEnd w:id="3"/>
      <w:r>
        <w:lastRenderedPageBreak/>
        <w:t>Da propriedade privada à propriedade urbanística: A coexistência entre o direito individual à propriedade e a gestão democrática das cidades</w:t>
      </w:r>
    </w:p>
    <w:p w:rsidR="007259F2" w:rsidRDefault="007259F2">
      <w:pPr>
        <w:pStyle w:val="Corpodetexto"/>
        <w:ind w:left="0" w:firstLine="0"/>
        <w:jc w:val="left"/>
        <w:rPr>
          <w:b/>
        </w:rPr>
      </w:pPr>
    </w:p>
    <w:p w:rsidR="007259F2" w:rsidRDefault="00E655B4">
      <w:pPr>
        <w:spacing w:before="1"/>
        <w:ind w:left="710" w:right="990"/>
        <w:rPr>
          <w:b/>
          <w:sz w:val="24"/>
        </w:rPr>
      </w:pPr>
      <w:r>
        <w:rPr>
          <w:b/>
          <w:sz w:val="24"/>
        </w:rPr>
        <w:t>From</w:t>
      </w:r>
      <w:r>
        <w:rPr>
          <w:b/>
          <w:spacing w:val="40"/>
          <w:sz w:val="24"/>
        </w:rPr>
        <w:t xml:space="preserve"> </w:t>
      </w:r>
      <w:r>
        <w:rPr>
          <w:b/>
          <w:sz w:val="24"/>
        </w:rPr>
        <w:t>Private</w:t>
      </w:r>
      <w:r>
        <w:rPr>
          <w:b/>
          <w:spacing w:val="40"/>
          <w:sz w:val="24"/>
        </w:rPr>
        <w:t xml:space="preserve"> </w:t>
      </w:r>
      <w:r>
        <w:rPr>
          <w:b/>
          <w:sz w:val="24"/>
        </w:rPr>
        <w:t>Ownership</w:t>
      </w:r>
      <w:r>
        <w:rPr>
          <w:b/>
          <w:spacing w:val="40"/>
          <w:sz w:val="24"/>
        </w:rPr>
        <w:t xml:space="preserve"> </w:t>
      </w:r>
      <w:r>
        <w:rPr>
          <w:b/>
          <w:sz w:val="24"/>
        </w:rPr>
        <w:t>to</w:t>
      </w:r>
      <w:r>
        <w:rPr>
          <w:b/>
          <w:spacing w:val="40"/>
          <w:sz w:val="24"/>
        </w:rPr>
        <w:t xml:space="preserve"> </w:t>
      </w:r>
      <w:r>
        <w:rPr>
          <w:b/>
          <w:sz w:val="24"/>
        </w:rPr>
        <w:t>Urbanistic</w:t>
      </w:r>
      <w:r>
        <w:rPr>
          <w:b/>
          <w:spacing w:val="40"/>
          <w:sz w:val="24"/>
        </w:rPr>
        <w:t xml:space="preserve"> </w:t>
      </w:r>
      <w:r>
        <w:rPr>
          <w:b/>
          <w:sz w:val="24"/>
        </w:rPr>
        <w:t>Ownership:</w:t>
      </w:r>
      <w:r>
        <w:rPr>
          <w:b/>
          <w:spacing w:val="40"/>
          <w:sz w:val="24"/>
        </w:rPr>
        <w:t xml:space="preserve"> </w:t>
      </w:r>
      <w:r>
        <w:rPr>
          <w:b/>
          <w:sz w:val="24"/>
        </w:rPr>
        <w:t>The</w:t>
      </w:r>
      <w:r>
        <w:rPr>
          <w:b/>
          <w:spacing w:val="40"/>
          <w:sz w:val="24"/>
        </w:rPr>
        <w:t xml:space="preserve"> </w:t>
      </w:r>
      <w:r>
        <w:rPr>
          <w:b/>
          <w:sz w:val="24"/>
        </w:rPr>
        <w:t>coexistence</w:t>
      </w:r>
      <w:r>
        <w:rPr>
          <w:b/>
          <w:spacing w:val="40"/>
          <w:sz w:val="24"/>
        </w:rPr>
        <w:t xml:space="preserve"> </w:t>
      </w:r>
      <w:r>
        <w:rPr>
          <w:b/>
          <w:sz w:val="24"/>
        </w:rPr>
        <w:t>between Individual Property Rights and the Democratic Management of Cities</w:t>
      </w:r>
    </w:p>
    <w:p w:rsidR="007259F2" w:rsidRDefault="007259F2">
      <w:pPr>
        <w:pStyle w:val="Corpodetexto"/>
        <w:spacing w:before="2"/>
        <w:ind w:left="0" w:firstLine="0"/>
        <w:jc w:val="left"/>
        <w:rPr>
          <w:b/>
        </w:rPr>
      </w:pPr>
    </w:p>
    <w:p w:rsidR="007259F2" w:rsidRDefault="00E655B4">
      <w:pPr>
        <w:ind w:left="712"/>
        <w:rPr>
          <w:b/>
          <w:position w:val="9"/>
          <w:sz w:val="13"/>
        </w:rPr>
      </w:pPr>
      <w:r>
        <w:rPr>
          <w:b/>
          <w:sz w:val="24"/>
        </w:rPr>
        <w:t>Anderson</w:t>
      </w:r>
      <w:r>
        <w:rPr>
          <w:b/>
          <w:spacing w:val="-2"/>
          <w:sz w:val="24"/>
        </w:rPr>
        <w:t xml:space="preserve"> </w:t>
      </w:r>
      <w:r>
        <w:rPr>
          <w:b/>
          <w:sz w:val="24"/>
        </w:rPr>
        <w:t>Mendes</w:t>
      </w:r>
      <w:r>
        <w:rPr>
          <w:b/>
          <w:spacing w:val="-2"/>
          <w:sz w:val="24"/>
        </w:rPr>
        <w:t xml:space="preserve"> Duarte</w:t>
      </w:r>
      <w:r>
        <w:rPr>
          <w:b/>
          <w:spacing w:val="-2"/>
          <w:position w:val="9"/>
          <w:sz w:val="13"/>
        </w:rPr>
        <w:t>1</w:t>
      </w:r>
    </w:p>
    <w:p w:rsidR="007259F2" w:rsidRDefault="007259F2">
      <w:pPr>
        <w:pStyle w:val="Corpodetexto"/>
        <w:spacing w:before="242"/>
        <w:ind w:left="0" w:firstLine="0"/>
        <w:jc w:val="left"/>
        <w:rPr>
          <w:b/>
        </w:rPr>
      </w:pPr>
    </w:p>
    <w:p w:rsidR="007259F2" w:rsidRDefault="00E655B4">
      <w:pPr>
        <w:pStyle w:val="Heading1"/>
        <w:ind w:left="712"/>
      </w:pPr>
      <w:r>
        <w:rPr>
          <w:spacing w:val="-2"/>
        </w:rPr>
        <w:t>RESUMO</w:t>
      </w:r>
    </w:p>
    <w:p w:rsidR="007259F2" w:rsidRDefault="00E655B4">
      <w:pPr>
        <w:pStyle w:val="Corpodetexto"/>
        <w:spacing w:before="154"/>
        <w:ind w:right="988" w:firstLine="0"/>
      </w:pPr>
      <w:r>
        <w:t>O objetivo desse artigo é demonstrar como a função social da propriedade trouxe nova concepção ao direito fundamental de propriedade e, ao mesmo tempo, é o fundamento para estabelecer a política urbanística. Para isso, inicialmente apresenta-se os elementos principais que compõem o direito â propriedade na lei civil e como através da Constituição Federal de 1988 houve uma evolução e nova concepção em relação ao papel da propriedade e os limites</w:t>
      </w:r>
      <w:r>
        <w:rPr>
          <w:spacing w:val="-5"/>
        </w:rPr>
        <w:t xml:space="preserve"> </w:t>
      </w:r>
      <w:r>
        <w:t>ao</w:t>
      </w:r>
      <w:r>
        <w:rPr>
          <w:spacing w:val="-2"/>
        </w:rPr>
        <w:t xml:space="preserve"> </w:t>
      </w:r>
      <w:r>
        <w:t>seu</w:t>
      </w:r>
      <w:r>
        <w:rPr>
          <w:spacing w:val="-2"/>
        </w:rPr>
        <w:t xml:space="preserve"> </w:t>
      </w:r>
      <w:r>
        <w:t>exercício em</w:t>
      </w:r>
      <w:r>
        <w:rPr>
          <w:spacing w:val="-2"/>
        </w:rPr>
        <w:t xml:space="preserve"> </w:t>
      </w:r>
      <w:r>
        <w:t>face</w:t>
      </w:r>
      <w:r>
        <w:rPr>
          <w:spacing w:val="-2"/>
        </w:rPr>
        <w:t xml:space="preserve"> </w:t>
      </w:r>
      <w:r>
        <w:t>da</w:t>
      </w:r>
      <w:r>
        <w:rPr>
          <w:spacing w:val="-3"/>
        </w:rPr>
        <w:t xml:space="preserve"> </w:t>
      </w:r>
      <w:r>
        <w:t>sua</w:t>
      </w:r>
      <w:r>
        <w:rPr>
          <w:spacing w:val="-2"/>
        </w:rPr>
        <w:t xml:space="preserve"> </w:t>
      </w:r>
      <w:r>
        <w:t>função</w:t>
      </w:r>
      <w:r>
        <w:rPr>
          <w:spacing w:val="-2"/>
        </w:rPr>
        <w:t xml:space="preserve"> </w:t>
      </w:r>
      <w:r>
        <w:t>social.</w:t>
      </w:r>
      <w:r>
        <w:rPr>
          <w:spacing w:val="-2"/>
        </w:rPr>
        <w:t xml:space="preserve"> </w:t>
      </w:r>
      <w:r>
        <w:t>A</w:t>
      </w:r>
      <w:r>
        <w:rPr>
          <w:spacing w:val="-6"/>
        </w:rPr>
        <w:t xml:space="preserve"> </w:t>
      </w:r>
      <w:r>
        <w:t>partir do estudo da evolução da propriedade no Brasil busca-se destacar que sua função social é parte integrante de seu conceito e sua concretude através de instrumentos previstos no Estatuto da Cidade (Lei nº 10.257/2001) lhes dão densidade para um adequado aproveitamento do solo urbano.</w:t>
      </w:r>
    </w:p>
    <w:p w:rsidR="007259F2" w:rsidRDefault="00E655B4">
      <w:pPr>
        <w:spacing w:before="121"/>
        <w:ind w:left="710"/>
        <w:jc w:val="both"/>
        <w:rPr>
          <w:sz w:val="24"/>
        </w:rPr>
      </w:pPr>
      <w:r>
        <w:rPr>
          <w:b/>
          <w:sz w:val="24"/>
        </w:rPr>
        <w:t>Palavras-chave</w:t>
      </w:r>
      <w:r>
        <w:rPr>
          <w:sz w:val="24"/>
        </w:rPr>
        <w:t>:</w:t>
      </w:r>
      <w:r>
        <w:rPr>
          <w:spacing w:val="-9"/>
          <w:sz w:val="24"/>
        </w:rPr>
        <w:t xml:space="preserve"> </w:t>
      </w:r>
      <w:r>
        <w:rPr>
          <w:sz w:val="24"/>
        </w:rPr>
        <w:t>propriedade;</w:t>
      </w:r>
      <w:r>
        <w:rPr>
          <w:spacing w:val="-2"/>
          <w:sz w:val="24"/>
        </w:rPr>
        <w:t xml:space="preserve"> </w:t>
      </w:r>
      <w:r>
        <w:rPr>
          <w:sz w:val="24"/>
        </w:rPr>
        <w:t>função</w:t>
      </w:r>
      <w:r>
        <w:rPr>
          <w:spacing w:val="-3"/>
          <w:sz w:val="24"/>
        </w:rPr>
        <w:t xml:space="preserve"> </w:t>
      </w:r>
      <w:r>
        <w:rPr>
          <w:sz w:val="24"/>
        </w:rPr>
        <w:t>social;</w:t>
      </w:r>
      <w:r>
        <w:rPr>
          <w:spacing w:val="-2"/>
          <w:sz w:val="24"/>
        </w:rPr>
        <w:t xml:space="preserve"> </w:t>
      </w:r>
      <w:r>
        <w:rPr>
          <w:sz w:val="24"/>
        </w:rPr>
        <w:t>política</w:t>
      </w:r>
      <w:r>
        <w:rPr>
          <w:spacing w:val="-3"/>
          <w:sz w:val="24"/>
        </w:rPr>
        <w:t xml:space="preserve"> </w:t>
      </w:r>
      <w:r>
        <w:rPr>
          <w:spacing w:val="-2"/>
          <w:sz w:val="24"/>
        </w:rPr>
        <w:t>urbanística.</w:t>
      </w:r>
    </w:p>
    <w:p w:rsidR="007259F2" w:rsidRDefault="007259F2">
      <w:pPr>
        <w:pStyle w:val="Corpodetexto"/>
        <w:spacing w:before="211"/>
        <w:ind w:left="0" w:firstLine="0"/>
        <w:jc w:val="left"/>
      </w:pPr>
    </w:p>
    <w:p w:rsidR="007259F2" w:rsidRDefault="00E655B4">
      <w:pPr>
        <w:pStyle w:val="Heading1"/>
        <w:ind w:left="712"/>
      </w:pPr>
      <w:r>
        <w:rPr>
          <w:spacing w:val="-2"/>
        </w:rPr>
        <w:t>ABSTRACT</w:t>
      </w:r>
    </w:p>
    <w:p w:rsidR="007259F2" w:rsidRDefault="00E655B4">
      <w:pPr>
        <w:pStyle w:val="Corpodetexto"/>
        <w:spacing w:before="154"/>
        <w:ind w:right="993" w:firstLine="0"/>
      </w:pPr>
      <w:r>
        <w:t>The objective of this article is to demonstrate how the social function of property has brought a new conception to the fundamental right to property and, at the same time, is the basis for establishing urban planning policy. To this end, the main elements that make up the right to property in civil law are initially presented, and how, through the Federal</w:t>
      </w:r>
      <w:r>
        <w:rPr>
          <w:spacing w:val="-1"/>
        </w:rPr>
        <w:t xml:space="preserve"> </w:t>
      </w:r>
      <w:r>
        <w:t>Constitution</w:t>
      </w:r>
      <w:r>
        <w:rPr>
          <w:spacing w:val="-1"/>
        </w:rPr>
        <w:t xml:space="preserve"> </w:t>
      </w:r>
      <w:r>
        <w:t>of</w:t>
      </w:r>
      <w:r>
        <w:rPr>
          <w:spacing w:val="-4"/>
        </w:rPr>
        <w:t xml:space="preserve"> </w:t>
      </w:r>
      <w:r>
        <w:t>1988,</w:t>
      </w:r>
      <w:r>
        <w:rPr>
          <w:spacing w:val="-1"/>
        </w:rPr>
        <w:t xml:space="preserve"> </w:t>
      </w:r>
      <w:r>
        <w:t>there</w:t>
      </w:r>
      <w:r>
        <w:rPr>
          <w:spacing w:val="-2"/>
        </w:rPr>
        <w:t xml:space="preserve"> </w:t>
      </w:r>
      <w:r>
        <w:t>was</w:t>
      </w:r>
      <w:r>
        <w:rPr>
          <w:spacing w:val="-1"/>
        </w:rPr>
        <w:t xml:space="preserve"> </w:t>
      </w:r>
      <w:r>
        <w:t>an</w:t>
      </w:r>
      <w:r>
        <w:rPr>
          <w:spacing w:val="-1"/>
        </w:rPr>
        <w:t xml:space="preserve"> </w:t>
      </w:r>
      <w:r>
        <w:t>evolution</w:t>
      </w:r>
      <w:r>
        <w:rPr>
          <w:spacing w:val="-1"/>
        </w:rPr>
        <w:t xml:space="preserve"> </w:t>
      </w:r>
      <w:r>
        <w:t>and</w:t>
      </w:r>
      <w:r>
        <w:rPr>
          <w:spacing w:val="-1"/>
        </w:rPr>
        <w:t xml:space="preserve"> </w:t>
      </w:r>
      <w:r>
        <w:t>a</w:t>
      </w:r>
      <w:r>
        <w:rPr>
          <w:spacing w:val="-2"/>
        </w:rPr>
        <w:t xml:space="preserve"> </w:t>
      </w:r>
      <w:r>
        <w:t>new</w:t>
      </w:r>
      <w:r>
        <w:rPr>
          <w:spacing w:val="-2"/>
        </w:rPr>
        <w:t xml:space="preserve"> </w:t>
      </w:r>
      <w:r>
        <w:t>conception</w:t>
      </w:r>
      <w:r>
        <w:rPr>
          <w:spacing w:val="-1"/>
        </w:rPr>
        <w:t xml:space="preserve"> </w:t>
      </w:r>
      <w:r>
        <w:t>in</w:t>
      </w:r>
      <w:r>
        <w:rPr>
          <w:spacing w:val="-1"/>
        </w:rPr>
        <w:t xml:space="preserve"> </w:t>
      </w:r>
      <w:r>
        <w:t>relation</w:t>
      </w:r>
      <w:r>
        <w:rPr>
          <w:spacing w:val="-1"/>
        </w:rPr>
        <w:t xml:space="preserve"> </w:t>
      </w:r>
      <w:r>
        <w:t>to the role of property and the limits to its exercise based on its social function. Based on the study of the evolution of property in Brazil, the aim is to highlight that its social function is an integral part of its concept and its concreteness through instruments provided for in the City Statute (Law nº. 10.257/2001) gives it density for an adequate use of urban land.</w:t>
      </w:r>
    </w:p>
    <w:p w:rsidR="007259F2" w:rsidRDefault="00E655B4">
      <w:pPr>
        <w:pStyle w:val="Corpodetexto"/>
        <w:spacing w:before="121"/>
        <w:ind w:firstLine="0"/>
      </w:pPr>
      <w:r>
        <w:rPr>
          <w:b/>
          <w:color w:val="1D2028"/>
        </w:rPr>
        <w:t>Keywords:</w:t>
      </w:r>
      <w:r>
        <w:rPr>
          <w:b/>
          <w:color w:val="1D2028"/>
          <w:spacing w:val="-5"/>
        </w:rPr>
        <w:t xml:space="preserve"> </w:t>
      </w:r>
      <w:r>
        <w:rPr>
          <w:color w:val="1D2028"/>
        </w:rPr>
        <w:t>property;</w:t>
      </w:r>
      <w:r>
        <w:rPr>
          <w:color w:val="1D2028"/>
          <w:spacing w:val="-2"/>
        </w:rPr>
        <w:t xml:space="preserve"> </w:t>
      </w:r>
      <w:r>
        <w:rPr>
          <w:color w:val="1D2028"/>
        </w:rPr>
        <w:t>social</w:t>
      </w:r>
      <w:r>
        <w:rPr>
          <w:color w:val="1D2028"/>
          <w:spacing w:val="-4"/>
        </w:rPr>
        <w:t xml:space="preserve"> </w:t>
      </w:r>
      <w:r>
        <w:rPr>
          <w:color w:val="1D2028"/>
        </w:rPr>
        <w:t>function,</w:t>
      </w:r>
      <w:r>
        <w:rPr>
          <w:color w:val="1D2028"/>
          <w:spacing w:val="-2"/>
        </w:rPr>
        <w:t xml:space="preserve"> </w:t>
      </w:r>
      <w:r>
        <w:rPr>
          <w:color w:val="1D2028"/>
        </w:rPr>
        <w:t>urban</w:t>
      </w:r>
      <w:r>
        <w:rPr>
          <w:color w:val="1D2028"/>
          <w:spacing w:val="-1"/>
        </w:rPr>
        <w:t xml:space="preserve"> </w:t>
      </w:r>
      <w:r>
        <w:rPr>
          <w:color w:val="1D2028"/>
          <w:spacing w:val="-2"/>
        </w:rPr>
        <w:t>policy.</w:t>
      </w:r>
    </w:p>
    <w:p w:rsidR="007259F2" w:rsidRDefault="007259F2">
      <w:pPr>
        <w:pStyle w:val="Corpodetexto"/>
        <w:spacing w:before="209"/>
        <w:ind w:left="0" w:firstLine="0"/>
        <w:jc w:val="left"/>
      </w:pPr>
    </w:p>
    <w:p w:rsidR="007259F2" w:rsidRDefault="00E655B4">
      <w:pPr>
        <w:pStyle w:val="PargrafodaLista"/>
        <w:numPr>
          <w:ilvl w:val="0"/>
          <w:numId w:val="42"/>
        </w:numPr>
        <w:tabs>
          <w:tab w:val="left" w:pos="1780"/>
        </w:tabs>
        <w:jc w:val="both"/>
        <w:rPr>
          <w:b/>
          <w:color w:val="1D2028"/>
          <w:sz w:val="24"/>
        </w:rPr>
      </w:pPr>
      <w:r>
        <w:rPr>
          <w:b/>
          <w:color w:val="1D2028"/>
          <w:spacing w:val="-2"/>
          <w:sz w:val="24"/>
        </w:rPr>
        <w:t>Introdução</w:t>
      </w:r>
    </w:p>
    <w:p w:rsidR="007259F2" w:rsidRDefault="00E655B4">
      <w:pPr>
        <w:pStyle w:val="Corpodetexto"/>
        <w:spacing w:before="115"/>
        <w:ind w:right="991"/>
      </w:pPr>
      <w:r>
        <w:t>A Constituição de 1988 inaugurou nova ordem constitucional no Brasil. Dentre as inovações mais latentes destacam-se a instituição dos municípios como entes da federação dotados de autonomia política e o reconhecimento que, para o exercício do direito fundamental à propriedade, este deve cumprir função social inerente.</w:t>
      </w:r>
    </w:p>
    <w:p w:rsidR="007259F2" w:rsidRDefault="00E655B4">
      <w:pPr>
        <w:pStyle w:val="Corpodetexto"/>
        <w:ind w:right="989"/>
      </w:pPr>
      <w:r>
        <w:t>Mas as inovações foram além, sendo reservado capítulo próprio para as</w:t>
      </w:r>
      <w:r>
        <w:rPr>
          <w:spacing w:val="40"/>
        </w:rPr>
        <w:t xml:space="preserve"> </w:t>
      </w:r>
      <w:r>
        <w:t>diretrizes da política urbana. Tais previsões no texto constitucional têm importância salutar</w:t>
      </w:r>
      <w:r>
        <w:rPr>
          <w:spacing w:val="55"/>
        </w:rPr>
        <w:t xml:space="preserve"> </w:t>
      </w:r>
      <w:r>
        <w:t>para</w:t>
      </w:r>
      <w:r>
        <w:rPr>
          <w:spacing w:val="58"/>
        </w:rPr>
        <w:t xml:space="preserve"> </w:t>
      </w:r>
      <w:r>
        <w:t>a</w:t>
      </w:r>
      <w:r>
        <w:rPr>
          <w:spacing w:val="55"/>
        </w:rPr>
        <w:t xml:space="preserve"> </w:t>
      </w:r>
      <w:r>
        <w:t>definição</w:t>
      </w:r>
      <w:r>
        <w:rPr>
          <w:spacing w:val="59"/>
        </w:rPr>
        <w:t xml:space="preserve"> </w:t>
      </w:r>
      <w:r>
        <w:t>dos</w:t>
      </w:r>
      <w:r>
        <w:rPr>
          <w:spacing w:val="56"/>
        </w:rPr>
        <w:t xml:space="preserve"> </w:t>
      </w:r>
      <w:r>
        <w:t>limites</w:t>
      </w:r>
      <w:r>
        <w:rPr>
          <w:spacing w:val="57"/>
        </w:rPr>
        <w:t xml:space="preserve"> </w:t>
      </w:r>
      <w:r>
        <w:t>da</w:t>
      </w:r>
      <w:r>
        <w:rPr>
          <w:spacing w:val="55"/>
        </w:rPr>
        <w:t xml:space="preserve"> </w:t>
      </w:r>
      <w:r>
        <w:t>política</w:t>
      </w:r>
      <w:r>
        <w:rPr>
          <w:spacing w:val="58"/>
        </w:rPr>
        <w:t xml:space="preserve"> </w:t>
      </w:r>
      <w:r>
        <w:t>urbanística,</w:t>
      </w:r>
      <w:r>
        <w:rPr>
          <w:spacing w:val="45"/>
        </w:rPr>
        <w:t xml:space="preserve">  </w:t>
      </w:r>
      <w:r>
        <w:t>uma</w:t>
      </w:r>
      <w:r>
        <w:rPr>
          <w:spacing w:val="41"/>
        </w:rPr>
        <w:t xml:space="preserve">  </w:t>
      </w:r>
      <w:r>
        <w:t>vez</w:t>
      </w:r>
      <w:r>
        <w:rPr>
          <w:spacing w:val="43"/>
        </w:rPr>
        <w:t xml:space="preserve">  </w:t>
      </w:r>
      <w:r>
        <w:t>que</w:t>
      </w:r>
      <w:r>
        <w:rPr>
          <w:spacing w:val="41"/>
        </w:rPr>
        <w:t xml:space="preserve">  </w:t>
      </w:r>
      <w:r>
        <w:t>é</w:t>
      </w:r>
      <w:r>
        <w:rPr>
          <w:spacing w:val="41"/>
        </w:rPr>
        <w:t xml:space="preserve">  </w:t>
      </w:r>
      <w:r>
        <w:rPr>
          <w:spacing w:val="-5"/>
        </w:rPr>
        <w:t>no</w:t>
      </w:r>
    </w:p>
    <w:p w:rsidR="007259F2" w:rsidRDefault="00DE6B1C">
      <w:pPr>
        <w:pStyle w:val="Corpodetexto"/>
        <w:spacing w:before="28"/>
        <w:ind w:left="0" w:firstLine="0"/>
        <w:jc w:val="left"/>
        <w:rPr>
          <w:sz w:val="20"/>
        </w:rPr>
      </w:pPr>
      <w:r w:rsidRPr="00DE6B1C">
        <w:rPr>
          <w:sz w:val="20"/>
        </w:rPr>
        <w:pict>
          <v:rect id="docshape27" o:spid="_x0000_s1199" style="position:absolute;margin-left:85.1pt;margin-top:14.1pt;width:2in;height:.7pt;z-index:-15723008;mso-wrap-distance-left:0;mso-wrap-distance-right:0;mso-position-horizontal-relative:page" fillcolor="black" stroked="f">
            <w10:wrap type="topAndBottom" anchorx="page"/>
          </v:rect>
        </w:pict>
      </w:r>
    </w:p>
    <w:p w:rsidR="007259F2" w:rsidRDefault="00E655B4">
      <w:pPr>
        <w:spacing w:before="97"/>
        <w:ind w:left="710" w:right="988"/>
        <w:jc w:val="both"/>
        <w:rPr>
          <w:sz w:val="20"/>
        </w:rPr>
      </w:pPr>
      <w:r>
        <w:rPr>
          <w:sz w:val="20"/>
          <w:vertAlign w:val="superscript"/>
        </w:rPr>
        <w:t>1</w:t>
      </w:r>
      <w:r>
        <w:rPr>
          <w:sz w:val="20"/>
        </w:rPr>
        <w:t xml:space="preserve"> Residente Jurídico do Programa de Residência Jurídica da Procuradoria Geral do Município de São Paulo, alocado no </w:t>
      </w:r>
      <w:r>
        <w:rPr>
          <w:color w:val="232323"/>
          <w:sz w:val="20"/>
        </w:rPr>
        <w:t xml:space="preserve">Departamento Fiscal – FISC </w:t>
      </w:r>
      <w:r>
        <w:rPr>
          <w:sz w:val="20"/>
        </w:rPr>
        <w:t xml:space="preserve">(2022-2025). Bacharel em Direito pela Universidade Presbiteriana Mackenzie. E-mail: </w:t>
      </w:r>
      <w:hyperlink r:id="rId50">
        <w:r>
          <w:rPr>
            <w:sz w:val="20"/>
          </w:rPr>
          <w:t>andersonmendes21@yahoo.com.br</w:t>
        </w:r>
      </w:hyperlink>
    </w:p>
    <w:p w:rsidR="007259F2" w:rsidRDefault="007259F2">
      <w:pPr>
        <w:jc w:val="both"/>
        <w:rPr>
          <w:sz w:val="20"/>
        </w:rPr>
        <w:sectPr w:rsidR="007259F2">
          <w:pgSz w:w="11910" w:h="16840"/>
          <w:pgMar w:top="1320" w:right="708" w:bottom="1160" w:left="992" w:header="0" w:footer="962" w:gutter="0"/>
          <w:cols w:space="720"/>
        </w:sectPr>
      </w:pPr>
    </w:p>
    <w:p w:rsidR="007259F2" w:rsidRDefault="00E655B4">
      <w:pPr>
        <w:pStyle w:val="Corpodetexto"/>
        <w:spacing w:before="69"/>
        <w:ind w:right="989" w:firstLine="0"/>
      </w:pPr>
      <w:r>
        <w:lastRenderedPageBreak/>
        <w:t>Município,</w:t>
      </w:r>
      <w:r>
        <w:rPr>
          <w:spacing w:val="80"/>
        </w:rPr>
        <w:t xml:space="preserve"> </w:t>
      </w:r>
      <w:r>
        <w:t>com</w:t>
      </w:r>
      <w:r>
        <w:rPr>
          <w:spacing w:val="80"/>
        </w:rPr>
        <w:t xml:space="preserve"> </w:t>
      </w:r>
      <w:r>
        <w:t>sua</w:t>
      </w:r>
      <w:r>
        <w:rPr>
          <w:spacing w:val="40"/>
        </w:rPr>
        <w:t xml:space="preserve"> </w:t>
      </w:r>
      <w:r>
        <w:t>autonomia,</w:t>
      </w:r>
      <w:r>
        <w:rPr>
          <w:spacing w:val="40"/>
        </w:rPr>
        <w:t xml:space="preserve"> </w:t>
      </w:r>
      <w:r>
        <w:t>que</w:t>
      </w:r>
      <w:r>
        <w:rPr>
          <w:spacing w:val="40"/>
        </w:rPr>
        <w:t xml:space="preserve"> </w:t>
      </w:r>
      <w:r>
        <w:t>as</w:t>
      </w:r>
      <w:r>
        <w:rPr>
          <w:spacing w:val="40"/>
        </w:rPr>
        <w:t xml:space="preserve"> </w:t>
      </w:r>
      <w:r>
        <w:t>políticas</w:t>
      </w:r>
      <w:r>
        <w:rPr>
          <w:spacing w:val="40"/>
        </w:rPr>
        <w:t xml:space="preserve"> </w:t>
      </w:r>
      <w:r>
        <w:t>públicas</w:t>
      </w:r>
      <w:r>
        <w:rPr>
          <w:spacing w:val="40"/>
        </w:rPr>
        <w:t xml:space="preserve"> </w:t>
      </w:r>
      <w:r>
        <w:t>de</w:t>
      </w:r>
      <w:r>
        <w:rPr>
          <w:spacing w:val="40"/>
        </w:rPr>
        <w:t xml:space="preserve"> </w:t>
      </w:r>
      <w:r>
        <w:t>desenvolvimento urbano têm</w:t>
      </w:r>
      <w:r>
        <w:rPr>
          <w:spacing w:val="40"/>
        </w:rPr>
        <w:t xml:space="preserve"> </w:t>
      </w:r>
      <w:r>
        <w:t>plena</w:t>
      </w:r>
      <w:r>
        <w:rPr>
          <w:spacing w:val="40"/>
        </w:rPr>
        <w:t xml:space="preserve"> </w:t>
      </w:r>
      <w:r>
        <w:t>aplicação.</w:t>
      </w:r>
      <w:r>
        <w:rPr>
          <w:spacing w:val="40"/>
        </w:rPr>
        <w:t xml:space="preserve"> </w:t>
      </w:r>
      <w:r>
        <w:t>E, ainda, é a função social da propriedade que constitui a origem dessas políticas.</w:t>
      </w:r>
      <w:r>
        <w:rPr>
          <w:vertAlign w:val="superscript"/>
        </w:rPr>
        <w:t>2</w:t>
      </w:r>
    </w:p>
    <w:p w:rsidR="007259F2" w:rsidRDefault="00E655B4">
      <w:pPr>
        <w:pStyle w:val="Corpodetexto"/>
        <w:spacing w:before="1"/>
        <w:ind w:right="992"/>
      </w:pPr>
      <w:r>
        <w:t>Considerando essas premissas é importante observar as mudanças empreendidas no conceito de propriedade e suas repercussões sociais. Se no início do século XX na propriedade era voltada a atender exclusivamente os interesses de seu titular e isso não pode ser mais verificado hoje. Os influxos da Constituição deram novas luzes ao quem se entendia sobre esse direito e estabeleceram nova configuração jurídica.</w:t>
      </w:r>
    </w:p>
    <w:p w:rsidR="007259F2" w:rsidRDefault="00E655B4">
      <w:pPr>
        <w:pStyle w:val="Corpodetexto"/>
        <w:ind w:right="991"/>
      </w:pPr>
      <w:r>
        <w:t xml:space="preserve">A propriedade é uma garantia fundamental no Estado de Direito e deve ser protegida como corolário da dignidade humana. No entanto, seu exercício pleno está vinculado a sua função social intrínseco a sua própria estrutura. Assim, se uma propriedade se encontra em solo urbano sua função social está ligada a todo corpo </w:t>
      </w:r>
      <w:r>
        <w:rPr>
          <w:spacing w:val="-2"/>
        </w:rPr>
        <w:t>municipal.</w:t>
      </w:r>
    </w:p>
    <w:p w:rsidR="007259F2" w:rsidRDefault="00E655B4">
      <w:pPr>
        <w:pStyle w:val="Corpodetexto"/>
        <w:spacing w:before="1"/>
        <w:ind w:right="992"/>
      </w:pPr>
      <w:r>
        <w:t>Nessa conjuntura, a prioridade não está somente atrelada aos interesses individuais, está também condicionada a atender ingresses coletivos e seu pleno exercício um imperativo, visto que a subutilização demandará sanções.</w:t>
      </w:r>
    </w:p>
    <w:p w:rsidR="007259F2" w:rsidRDefault="00E655B4">
      <w:pPr>
        <w:pStyle w:val="Corpodetexto"/>
        <w:ind w:right="986"/>
      </w:pPr>
      <w:r>
        <w:t>Nesse sentido, o Constituinte formulou um sistema de promoção do urbanísticos que desagua nas políticas específicas desenvolvidas no Munícipio.</w:t>
      </w:r>
      <w:r>
        <w:rPr>
          <w:spacing w:val="-1"/>
        </w:rPr>
        <w:t xml:space="preserve"> </w:t>
      </w:r>
      <w:r>
        <w:t>Assim, o Município ao ser elevado a ente federal e receber suas atribuições próprias (art. 30, da Constituição), entre elas</w:t>
      </w:r>
      <w:r>
        <w:rPr>
          <w:spacing w:val="40"/>
        </w:rPr>
        <w:t xml:space="preserve"> </w:t>
      </w:r>
      <w:r>
        <w:t>a de atender seus interesses locais e desenvolver sua política urbana (artigo 182 e seguintes da Constituição), é o promotor da função social da propriedade que será, por consequência, pilar para o desenvolvimento da função social da cidade.</w:t>
      </w:r>
    </w:p>
    <w:p w:rsidR="007259F2" w:rsidRDefault="00E655B4">
      <w:pPr>
        <w:pStyle w:val="Corpodetexto"/>
        <w:ind w:right="988"/>
      </w:pPr>
      <w:r>
        <w:t>Esse breve artigo pretende abordar, de forma suscinta, como o direito de propriedade ainda</w:t>
      </w:r>
      <w:r>
        <w:rPr>
          <w:spacing w:val="40"/>
        </w:rPr>
        <w:t xml:space="preserve"> </w:t>
      </w:r>
      <w:r>
        <w:t>preserva</w:t>
      </w:r>
      <w:r>
        <w:rPr>
          <w:spacing w:val="40"/>
        </w:rPr>
        <w:t xml:space="preserve"> </w:t>
      </w:r>
      <w:r>
        <w:t>suas</w:t>
      </w:r>
      <w:r>
        <w:rPr>
          <w:spacing w:val="40"/>
        </w:rPr>
        <w:t xml:space="preserve"> </w:t>
      </w:r>
      <w:r>
        <w:t>feições</w:t>
      </w:r>
      <w:r>
        <w:rPr>
          <w:spacing w:val="40"/>
        </w:rPr>
        <w:t xml:space="preserve"> </w:t>
      </w:r>
      <w:r>
        <w:t>desenhas</w:t>
      </w:r>
      <w:r>
        <w:rPr>
          <w:spacing w:val="40"/>
        </w:rPr>
        <w:t xml:space="preserve"> </w:t>
      </w:r>
      <w:r>
        <w:t>desde</w:t>
      </w:r>
      <w:r>
        <w:rPr>
          <w:spacing w:val="40"/>
        </w:rPr>
        <w:t xml:space="preserve"> </w:t>
      </w:r>
      <w:r>
        <w:t>o</w:t>
      </w:r>
      <w:r>
        <w:rPr>
          <w:spacing w:val="40"/>
        </w:rPr>
        <w:t xml:space="preserve"> </w:t>
      </w:r>
      <w:r>
        <w:t>século</w:t>
      </w:r>
      <w:r>
        <w:rPr>
          <w:spacing w:val="40"/>
        </w:rPr>
        <w:t xml:space="preserve"> </w:t>
      </w:r>
      <w:r>
        <w:t>XIX</w:t>
      </w:r>
      <w:r>
        <w:rPr>
          <w:spacing w:val="40"/>
        </w:rPr>
        <w:t xml:space="preserve"> </w:t>
      </w:r>
      <w:r>
        <w:t>na</w:t>
      </w:r>
      <w:r>
        <w:rPr>
          <w:spacing w:val="40"/>
        </w:rPr>
        <w:t xml:space="preserve"> </w:t>
      </w:r>
      <w:r>
        <w:t>lei</w:t>
      </w:r>
      <w:r>
        <w:rPr>
          <w:spacing w:val="40"/>
        </w:rPr>
        <w:t xml:space="preserve"> </w:t>
      </w:r>
      <w:r>
        <w:t>civil</w:t>
      </w:r>
      <w:r>
        <w:rPr>
          <w:spacing w:val="40"/>
        </w:rPr>
        <w:t xml:space="preserve"> </w:t>
      </w:r>
      <w:r>
        <w:t>e ao</w:t>
      </w:r>
      <w:r>
        <w:rPr>
          <w:spacing w:val="39"/>
        </w:rPr>
        <w:t xml:space="preserve"> </w:t>
      </w:r>
      <w:r>
        <w:t>mesmo</w:t>
      </w:r>
      <w:r>
        <w:rPr>
          <w:spacing w:val="40"/>
        </w:rPr>
        <w:t xml:space="preserve"> </w:t>
      </w:r>
      <w:r>
        <w:t>tempo</w:t>
      </w:r>
      <w:r>
        <w:rPr>
          <w:spacing w:val="-3"/>
        </w:rPr>
        <w:t xml:space="preserve"> </w:t>
      </w:r>
      <w:r>
        <w:rPr>
          <w:color w:val="1D2028"/>
        </w:rPr>
        <w:t>evolui</w:t>
      </w:r>
      <w:r>
        <w:rPr>
          <w:color w:val="1D2028"/>
          <w:spacing w:val="-1"/>
        </w:rPr>
        <w:t xml:space="preserve"> </w:t>
      </w:r>
      <w:r>
        <w:rPr>
          <w:color w:val="1D2028"/>
        </w:rPr>
        <w:t>para</w:t>
      </w:r>
      <w:r>
        <w:rPr>
          <w:color w:val="1D2028"/>
          <w:spacing w:val="-3"/>
        </w:rPr>
        <w:t xml:space="preserve"> </w:t>
      </w:r>
      <w:r>
        <w:rPr>
          <w:color w:val="1D2028"/>
        </w:rPr>
        <w:t>incorporar elementos</w:t>
      </w:r>
      <w:r>
        <w:rPr>
          <w:color w:val="1D2028"/>
          <w:spacing w:val="-1"/>
        </w:rPr>
        <w:t xml:space="preserve"> </w:t>
      </w:r>
      <w:r>
        <w:rPr>
          <w:color w:val="1D2028"/>
        </w:rPr>
        <w:t>coletivos</w:t>
      </w:r>
      <w:r>
        <w:rPr>
          <w:color w:val="1D2028"/>
          <w:spacing w:val="-1"/>
        </w:rPr>
        <w:t xml:space="preserve"> </w:t>
      </w:r>
      <w:r>
        <w:rPr>
          <w:color w:val="1D2028"/>
        </w:rPr>
        <w:t>e</w:t>
      </w:r>
      <w:r>
        <w:rPr>
          <w:color w:val="1D2028"/>
          <w:spacing w:val="-2"/>
        </w:rPr>
        <w:t xml:space="preserve"> </w:t>
      </w:r>
      <w:r>
        <w:rPr>
          <w:color w:val="1D2028"/>
        </w:rPr>
        <w:t>de</w:t>
      </w:r>
      <w:r>
        <w:rPr>
          <w:color w:val="1D2028"/>
          <w:spacing w:val="-2"/>
        </w:rPr>
        <w:t xml:space="preserve"> </w:t>
      </w:r>
      <w:r>
        <w:rPr>
          <w:color w:val="1D2028"/>
        </w:rPr>
        <w:t>aspectos urbanísticos. Ainda demostrar que a função social é a pedra angular da política urbana desenhada</w:t>
      </w:r>
      <w:r>
        <w:rPr>
          <w:color w:val="1D2028"/>
          <w:spacing w:val="40"/>
        </w:rPr>
        <w:t xml:space="preserve"> </w:t>
      </w:r>
      <w:r>
        <w:rPr>
          <w:color w:val="1D2028"/>
        </w:rPr>
        <w:t>pela Constituição e que encontra regulamentação no Estatuto da Cidade é a ponte entre as normas constitucionais e as medidas e ações urbanísticas implantadas nos</w:t>
      </w:r>
      <w:r>
        <w:rPr>
          <w:color w:val="1D2028"/>
          <w:spacing w:val="40"/>
        </w:rPr>
        <w:t xml:space="preserve"> </w:t>
      </w:r>
      <w:r>
        <w:rPr>
          <w:color w:val="1D2028"/>
          <w:spacing w:val="-2"/>
        </w:rPr>
        <w:t>Municípios.</w:t>
      </w:r>
    </w:p>
    <w:p w:rsidR="007259F2" w:rsidRDefault="00E655B4">
      <w:pPr>
        <w:pStyle w:val="Heading2"/>
        <w:numPr>
          <w:ilvl w:val="0"/>
          <w:numId w:val="42"/>
        </w:numPr>
        <w:tabs>
          <w:tab w:val="left" w:pos="1780"/>
        </w:tabs>
        <w:jc w:val="both"/>
      </w:pPr>
      <w:r>
        <w:t>Breves</w:t>
      </w:r>
      <w:r>
        <w:rPr>
          <w:spacing w:val="-4"/>
        </w:rPr>
        <w:t xml:space="preserve"> </w:t>
      </w:r>
      <w:r>
        <w:t>Comentários</w:t>
      </w:r>
      <w:r>
        <w:rPr>
          <w:spacing w:val="-1"/>
        </w:rPr>
        <w:t xml:space="preserve"> </w:t>
      </w:r>
      <w:r>
        <w:t>ao</w:t>
      </w:r>
      <w:r>
        <w:rPr>
          <w:spacing w:val="-1"/>
        </w:rPr>
        <w:t xml:space="preserve"> </w:t>
      </w:r>
      <w:r>
        <w:t>Direito</w:t>
      </w:r>
      <w:r>
        <w:rPr>
          <w:spacing w:val="-3"/>
        </w:rPr>
        <w:t xml:space="preserve"> </w:t>
      </w:r>
      <w:r>
        <w:t>de</w:t>
      </w:r>
      <w:r>
        <w:rPr>
          <w:spacing w:val="-2"/>
        </w:rPr>
        <w:t xml:space="preserve"> Propriedade</w:t>
      </w:r>
    </w:p>
    <w:p w:rsidR="007259F2" w:rsidRDefault="00E655B4">
      <w:pPr>
        <w:pStyle w:val="Corpodetexto"/>
        <w:spacing w:before="113"/>
        <w:ind w:right="989"/>
      </w:pPr>
      <w:r>
        <w:t>O direito à propriedade não teve seu conteúdo inalterado durante o curso da história. Desde a Revolução Francesa, quando foram delineadas as balizas desse direito para</w:t>
      </w:r>
      <w:r>
        <w:rPr>
          <w:spacing w:val="28"/>
        </w:rPr>
        <w:t xml:space="preserve"> </w:t>
      </w:r>
      <w:r>
        <w:t>o</w:t>
      </w:r>
      <w:r>
        <w:rPr>
          <w:spacing w:val="33"/>
        </w:rPr>
        <w:t xml:space="preserve"> </w:t>
      </w:r>
      <w:r>
        <w:t>mundo</w:t>
      </w:r>
      <w:r>
        <w:rPr>
          <w:spacing w:val="31"/>
        </w:rPr>
        <w:t xml:space="preserve"> </w:t>
      </w:r>
      <w:r>
        <w:t>moderno,</w:t>
      </w:r>
      <w:r>
        <w:rPr>
          <w:spacing w:val="33"/>
        </w:rPr>
        <w:t xml:space="preserve"> </w:t>
      </w:r>
      <w:r>
        <w:t>passando</w:t>
      </w:r>
      <w:r>
        <w:rPr>
          <w:spacing w:val="29"/>
        </w:rPr>
        <w:t xml:space="preserve"> </w:t>
      </w:r>
      <w:r>
        <w:t>pelo</w:t>
      </w:r>
      <w:r>
        <w:rPr>
          <w:spacing w:val="31"/>
        </w:rPr>
        <w:t xml:space="preserve"> </w:t>
      </w:r>
      <w:r>
        <w:t>Código</w:t>
      </w:r>
      <w:r>
        <w:rPr>
          <w:spacing w:val="33"/>
        </w:rPr>
        <w:t xml:space="preserve"> </w:t>
      </w:r>
      <w:r>
        <w:t>Civil</w:t>
      </w:r>
      <w:r>
        <w:rPr>
          <w:spacing w:val="31"/>
        </w:rPr>
        <w:t xml:space="preserve"> </w:t>
      </w:r>
      <w:r>
        <w:t>francês</w:t>
      </w:r>
      <w:r>
        <w:rPr>
          <w:spacing w:val="30"/>
        </w:rPr>
        <w:t xml:space="preserve"> </w:t>
      </w:r>
      <w:r>
        <w:t>de</w:t>
      </w:r>
      <w:r>
        <w:rPr>
          <w:spacing w:val="30"/>
        </w:rPr>
        <w:t xml:space="preserve"> </w:t>
      </w:r>
      <w:r>
        <w:t>1804</w:t>
      </w:r>
      <w:r>
        <w:rPr>
          <w:vertAlign w:val="superscript"/>
        </w:rPr>
        <w:t>3</w:t>
      </w:r>
      <w:r>
        <w:rPr>
          <w:spacing w:val="32"/>
        </w:rPr>
        <w:t xml:space="preserve"> </w:t>
      </w:r>
      <w:r>
        <w:t>até</w:t>
      </w:r>
      <w:r>
        <w:rPr>
          <w:spacing w:val="30"/>
        </w:rPr>
        <w:t xml:space="preserve"> </w:t>
      </w:r>
      <w:r>
        <w:t>ser</w:t>
      </w:r>
      <w:r>
        <w:rPr>
          <w:spacing w:val="31"/>
        </w:rPr>
        <w:t xml:space="preserve"> </w:t>
      </w:r>
      <w:r>
        <w:rPr>
          <w:spacing w:val="-2"/>
        </w:rPr>
        <w:t>erigido</w:t>
      </w:r>
    </w:p>
    <w:p w:rsidR="007259F2" w:rsidRDefault="00DE6B1C">
      <w:pPr>
        <w:pStyle w:val="Corpodetexto"/>
        <w:spacing w:before="27"/>
        <w:ind w:left="0" w:firstLine="0"/>
        <w:jc w:val="left"/>
        <w:rPr>
          <w:sz w:val="20"/>
        </w:rPr>
      </w:pPr>
      <w:r w:rsidRPr="00DE6B1C">
        <w:rPr>
          <w:sz w:val="20"/>
        </w:rPr>
        <w:pict>
          <v:rect id="docshape28" o:spid="_x0000_s1198" style="position:absolute;margin-left:85.1pt;margin-top:14.1pt;width:2in;height:.7pt;z-index:-15722496;mso-wrap-distance-left:0;mso-wrap-distance-right:0;mso-position-horizontal-relative:page" fillcolor="black" stroked="f">
            <w10:wrap type="topAndBottom" anchorx="page"/>
          </v:rect>
        </w:pict>
      </w:r>
    </w:p>
    <w:p w:rsidR="007259F2" w:rsidRDefault="00E655B4">
      <w:pPr>
        <w:spacing w:before="97"/>
        <w:ind w:left="710" w:right="986"/>
        <w:jc w:val="both"/>
        <w:rPr>
          <w:sz w:val="20"/>
        </w:rPr>
      </w:pPr>
      <w:r>
        <w:rPr>
          <w:sz w:val="20"/>
          <w:vertAlign w:val="superscript"/>
        </w:rPr>
        <w:t>2</w:t>
      </w:r>
      <w:r>
        <w:rPr>
          <w:sz w:val="20"/>
        </w:rPr>
        <w:t xml:space="preserve"> Nathalia</w:t>
      </w:r>
      <w:r>
        <w:rPr>
          <w:spacing w:val="40"/>
          <w:sz w:val="20"/>
        </w:rPr>
        <w:t xml:space="preserve"> </w:t>
      </w:r>
      <w:r>
        <w:rPr>
          <w:sz w:val="20"/>
        </w:rPr>
        <w:t>Leone</w:t>
      </w:r>
      <w:r>
        <w:rPr>
          <w:spacing w:val="40"/>
          <w:sz w:val="20"/>
        </w:rPr>
        <w:t xml:space="preserve"> </w:t>
      </w:r>
      <w:r>
        <w:rPr>
          <w:sz w:val="20"/>
        </w:rPr>
        <w:t>Marco</w:t>
      </w:r>
      <w:r>
        <w:rPr>
          <w:spacing w:val="40"/>
          <w:sz w:val="20"/>
        </w:rPr>
        <w:t xml:space="preserve"> </w:t>
      </w:r>
      <w:r>
        <w:rPr>
          <w:sz w:val="20"/>
        </w:rPr>
        <w:t>aduz que</w:t>
      </w:r>
      <w:r>
        <w:rPr>
          <w:spacing w:val="40"/>
          <w:sz w:val="20"/>
        </w:rPr>
        <w:t xml:space="preserve"> </w:t>
      </w:r>
      <w:r>
        <w:rPr>
          <w:sz w:val="20"/>
        </w:rPr>
        <w:t>“O</w:t>
      </w:r>
      <w:r>
        <w:rPr>
          <w:spacing w:val="40"/>
          <w:sz w:val="20"/>
        </w:rPr>
        <w:t xml:space="preserve"> </w:t>
      </w:r>
      <w:r>
        <w:rPr>
          <w:sz w:val="20"/>
        </w:rPr>
        <w:t>Município</w:t>
      </w:r>
      <w:r>
        <w:rPr>
          <w:spacing w:val="40"/>
          <w:sz w:val="20"/>
        </w:rPr>
        <w:t xml:space="preserve"> </w:t>
      </w:r>
      <w:r>
        <w:rPr>
          <w:sz w:val="20"/>
        </w:rPr>
        <w:t>ganhou</w:t>
      </w:r>
      <w:r>
        <w:rPr>
          <w:spacing w:val="40"/>
          <w:sz w:val="20"/>
        </w:rPr>
        <w:t xml:space="preserve"> </w:t>
      </w:r>
      <w:r>
        <w:rPr>
          <w:sz w:val="20"/>
        </w:rPr>
        <w:t>uma</w:t>
      </w:r>
      <w:r>
        <w:rPr>
          <w:spacing w:val="40"/>
          <w:sz w:val="20"/>
        </w:rPr>
        <w:t xml:space="preserve"> </w:t>
      </w:r>
      <w:r>
        <w:rPr>
          <w:sz w:val="20"/>
        </w:rPr>
        <w:t>enorme</w:t>
      </w:r>
      <w:r>
        <w:rPr>
          <w:spacing w:val="40"/>
          <w:sz w:val="20"/>
        </w:rPr>
        <w:t xml:space="preserve"> </w:t>
      </w:r>
      <w:r>
        <w:rPr>
          <w:sz w:val="20"/>
        </w:rPr>
        <w:t>importância</w:t>
      </w:r>
      <w:r>
        <w:rPr>
          <w:spacing w:val="40"/>
          <w:sz w:val="20"/>
        </w:rPr>
        <w:t xml:space="preserve"> </w:t>
      </w:r>
      <w:r>
        <w:rPr>
          <w:sz w:val="20"/>
        </w:rPr>
        <w:t>a</w:t>
      </w:r>
      <w:r>
        <w:rPr>
          <w:spacing w:val="40"/>
          <w:sz w:val="20"/>
        </w:rPr>
        <w:t xml:space="preserve"> </w:t>
      </w:r>
      <w:r>
        <w:rPr>
          <w:sz w:val="20"/>
        </w:rPr>
        <w:t>partir</w:t>
      </w:r>
      <w:r>
        <w:rPr>
          <w:spacing w:val="40"/>
          <w:sz w:val="20"/>
        </w:rPr>
        <w:t xml:space="preserve"> </w:t>
      </w:r>
      <w:r>
        <w:rPr>
          <w:sz w:val="20"/>
        </w:rPr>
        <w:t>da Constituição</w:t>
      </w:r>
      <w:r>
        <w:rPr>
          <w:spacing w:val="32"/>
          <w:sz w:val="20"/>
        </w:rPr>
        <w:t xml:space="preserve"> </w:t>
      </w:r>
      <w:r>
        <w:rPr>
          <w:sz w:val="20"/>
        </w:rPr>
        <w:t>de 1988, sendo erigido a parte integrante da federação e adquirindo competências próprias. Entre elas, está a de ser um</w:t>
      </w:r>
      <w:r>
        <w:rPr>
          <w:spacing w:val="40"/>
          <w:sz w:val="20"/>
        </w:rPr>
        <w:t xml:space="preserve"> </w:t>
      </w:r>
      <w:r>
        <w:rPr>
          <w:sz w:val="20"/>
        </w:rPr>
        <w:t>grande</w:t>
      </w:r>
      <w:r>
        <w:rPr>
          <w:spacing w:val="40"/>
          <w:sz w:val="20"/>
        </w:rPr>
        <w:t xml:space="preserve"> </w:t>
      </w:r>
      <w:r>
        <w:rPr>
          <w:sz w:val="20"/>
        </w:rPr>
        <w:t>executor</w:t>
      </w:r>
      <w:r>
        <w:rPr>
          <w:spacing w:val="40"/>
          <w:sz w:val="20"/>
        </w:rPr>
        <w:t xml:space="preserve"> </w:t>
      </w:r>
      <w:r>
        <w:rPr>
          <w:sz w:val="20"/>
        </w:rPr>
        <w:t>da</w:t>
      </w:r>
      <w:r>
        <w:rPr>
          <w:spacing w:val="40"/>
          <w:sz w:val="20"/>
        </w:rPr>
        <w:t xml:space="preserve"> </w:t>
      </w:r>
      <w:r>
        <w:rPr>
          <w:sz w:val="20"/>
        </w:rPr>
        <w:t>política</w:t>
      </w:r>
      <w:r>
        <w:rPr>
          <w:spacing w:val="40"/>
          <w:sz w:val="20"/>
        </w:rPr>
        <w:t xml:space="preserve"> </w:t>
      </w:r>
      <w:r>
        <w:rPr>
          <w:sz w:val="20"/>
        </w:rPr>
        <w:t>urbana.</w:t>
      </w:r>
      <w:r>
        <w:rPr>
          <w:spacing w:val="40"/>
          <w:sz w:val="20"/>
        </w:rPr>
        <w:t xml:space="preserve"> </w:t>
      </w:r>
      <w:r>
        <w:rPr>
          <w:sz w:val="20"/>
        </w:rPr>
        <w:t>Isso</w:t>
      </w:r>
      <w:r>
        <w:rPr>
          <w:spacing w:val="40"/>
          <w:sz w:val="20"/>
        </w:rPr>
        <w:t xml:space="preserve"> </w:t>
      </w:r>
      <w:r>
        <w:rPr>
          <w:sz w:val="20"/>
        </w:rPr>
        <w:t>inclui</w:t>
      </w:r>
      <w:r>
        <w:rPr>
          <w:spacing w:val="40"/>
          <w:sz w:val="20"/>
        </w:rPr>
        <w:t xml:space="preserve"> </w:t>
      </w:r>
      <w:r>
        <w:rPr>
          <w:sz w:val="20"/>
        </w:rPr>
        <w:t>a</w:t>
      </w:r>
      <w:r>
        <w:rPr>
          <w:spacing w:val="40"/>
          <w:sz w:val="20"/>
        </w:rPr>
        <w:t xml:space="preserve"> </w:t>
      </w:r>
      <w:r>
        <w:rPr>
          <w:sz w:val="20"/>
        </w:rPr>
        <w:t>gestão</w:t>
      </w:r>
      <w:r>
        <w:rPr>
          <w:spacing w:val="40"/>
          <w:sz w:val="20"/>
        </w:rPr>
        <w:t xml:space="preserve"> </w:t>
      </w:r>
      <w:r>
        <w:rPr>
          <w:sz w:val="20"/>
        </w:rPr>
        <w:t>das</w:t>
      </w:r>
      <w:r>
        <w:rPr>
          <w:spacing w:val="40"/>
          <w:sz w:val="20"/>
        </w:rPr>
        <w:t xml:space="preserve"> </w:t>
      </w:r>
      <w:r>
        <w:rPr>
          <w:sz w:val="20"/>
        </w:rPr>
        <w:t>políticas públicas referentes ao tema, o que envolve questões como zoneamento urbano, operações urbanas consorciadas, planos urbanísticos, entre outros. Também com a promulgação da Constituição de 1988, outro fenômeno ganha destaque: a propriedade deve cumprir sua função social. Esse assunto já havia surgido timidamente em constituições pretéritas, mas em 1988 é aprimorado e erigido a direito fundamental, indissociável ao direito de propriedade.” (MARCO, Nathalia Leone. Função</w:t>
      </w:r>
      <w:r>
        <w:rPr>
          <w:spacing w:val="40"/>
          <w:sz w:val="20"/>
        </w:rPr>
        <w:t xml:space="preserve"> </w:t>
      </w:r>
      <w:r>
        <w:rPr>
          <w:sz w:val="20"/>
        </w:rPr>
        <w:t>social da propriedade</w:t>
      </w:r>
      <w:r>
        <w:rPr>
          <w:spacing w:val="40"/>
          <w:sz w:val="20"/>
        </w:rPr>
        <w:t xml:space="preserve"> </w:t>
      </w:r>
      <w:r>
        <w:rPr>
          <w:sz w:val="20"/>
        </w:rPr>
        <w:t>urbana</w:t>
      </w:r>
      <w:r>
        <w:rPr>
          <w:spacing w:val="40"/>
          <w:sz w:val="20"/>
        </w:rPr>
        <w:t xml:space="preserve"> </w:t>
      </w:r>
      <w:r>
        <w:rPr>
          <w:sz w:val="20"/>
        </w:rPr>
        <w:t>e</w:t>
      </w:r>
      <w:r>
        <w:rPr>
          <w:spacing w:val="40"/>
          <w:sz w:val="20"/>
        </w:rPr>
        <w:t xml:space="preserve"> </w:t>
      </w:r>
      <w:r>
        <w:rPr>
          <w:sz w:val="20"/>
        </w:rPr>
        <w:t>sua</w:t>
      </w:r>
      <w:r>
        <w:rPr>
          <w:spacing w:val="40"/>
          <w:sz w:val="20"/>
        </w:rPr>
        <w:t xml:space="preserve"> </w:t>
      </w:r>
      <w:r>
        <w:rPr>
          <w:sz w:val="20"/>
        </w:rPr>
        <w:t>importância</w:t>
      </w:r>
      <w:r>
        <w:rPr>
          <w:spacing w:val="40"/>
          <w:sz w:val="20"/>
        </w:rPr>
        <w:t xml:space="preserve"> </w:t>
      </w:r>
      <w:r>
        <w:rPr>
          <w:sz w:val="20"/>
        </w:rPr>
        <w:t>para</w:t>
      </w:r>
      <w:r>
        <w:rPr>
          <w:spacing w:val="40"/>
          <w:sz w:val="20"/>
        </w:rPr>
        <w:t xml:space="preserve"> </w:t>
      </w:r>
      <w:r>
        <w:rPr>
          <w:sz w:val="20"/>
        </w:rPr>
        <w:t>o</w:t>
      </w:r>
      <w:r>
        <w:rPr>
          <w:spacing w:val="40"/>
          <w:sz w:val="20"/>
        </w:rPr>
        <w:t xml:space="preserve"> </w:t>
      </w:r>
      <w:r>
        <w:rPr>
          <w:sz w:val="20"/>
        </w:rPr>
        <w:t>desenho</w:t>
      </w:r>
      <w:r>
        <w:rPr>
          <w:spacing w:val="40"/>
          <w:sz w:val="20"/>
        </w:rPr>
        <w:t xml:space="preserve"> </w:t>
      </w:r>
      <w:r>
        <w:rPr>
          <w:sz w:val="20"/>
        </w:rPr>
        <w:t>das</w:t>
      </w:r>
      <w:r>
        <w:rPr>
          <w:spacing w:val="40"/>
          <w:sz w:val="20"/>
        </w:rPr>
        <w:t xml:space="preserve"> </w:t>
      </w:r>
      <w:r>
        <w:rPr>
          <w:sz w:val="20"/>
        </w:rPr>
        <w:t>políticas</w:t>
      </w:r>
      <w:r>
        <w:rPr>
          <w:spacing w:val="40"/>
          <w:sz w:val="20"/>
        </w:rPr>
        <w:t xml:space="preserve"> </w:t>
      </w:r>
      <w:r>
        <w:rPr>
          <w:sz w:val="20"/>
        </w:rPr>
        <w:t>públicas</w:t>
      </w:r>
      <w:r>
        <w:rPr>
          <w:spacing w:val="40"/>
          <w:sz w:val="20"/>
        </w:rPr>
        <w:t xml:space="preserve"> </w:t>
      </w:r>
      <w:r>
        <w:rPr>
          <w:sz w:val="20"/>
        </w:rPr>
        <w:t>de</w:t>
      </w:r>
      <w:r>
        <w:rPr>
          <w:spacing w:val="40"/>
          <w:sz w:val="20"/>
        </w:rPr>
        <w:t xml:space="preserve"> </w:t>
      </w:r>
      <w:r>
        <w:rPr>
          <w:sz w:val="20"/>
        </w:rPr>
        <w:t xml:space="preserve">desenvolvimento urbano. </w:t>
      </w:r>
      <w:r>
        <w:rPr>
          <w:i/>
          <w:sz w:val="20"/>
        </w:rPr>
        <w:t>In</w:t>
      </w:r>
      <w:r>
        <w:rPr>
          <w:sz w:val="20"/>
        </w:rPr>
        <w:t>: FILHO, Gilberto Bernardino de Oliveira; MARCO, Nathalia Leone (Coord.)</w:t>
      </w:r>
      <w:r>
        <w:rPr>
          <w:spacing w:val="40"/>
          <w:sz w:val="20"/>
        </w:rPr>
        <w:t xml:space="preserve"> </w:t>
      </w:r>
      <w:r>
        <w:rPr>
          <w:b/>
          <w:sz w:val="20"/>
        </w:rPr>
        <w:t>A Boa Gestão Pública</w:t>
      </w:r>
      <w:r>
        <w:rPr>
          <w:b/>
          <w:spacing w:val="40"/>
          <w:sz w:val="20"/>
        </w:rPr>
        <w:t xml:space="preserve"> </w:t>
      </w:r>
      <w:r>
        <w:rPr>
          <w:b/>
          <w:sz w:val="20"/>
        </w:rPr>
        <w:t>e</w:t>
      </w:r>
      <w:r>
        <w:rPr>
          <w:b/>
          <w:spacing w:val="40"/>
          <w:sz w:val="20"/>
        </w:rPr>
        <w:t xml:space="preserve"> </w:t>
      </w:r>
      <w:r>
        <w:rPr>
          <w:b/>
          <w:sz w:val="20"/>
        </w:rPr>
        <w:t>o</w:t>
      </w:r>
      <w:r>
        <w:rPr>
          <w:b/>
          <w:spacing w:val="40"/>
          <w:sz w:val="20"/>
        </w:rPr>
        <w:t xml:space="preserve"> </w:t>
      </w:r>
      <w:r>
        <w:rPr>
          <w:b/>
          <w:sz w:val="20"/>
        </w:rPr>
        <w:t>Novo</w:t>
      </w:r>
      <w:r>
        <w:rPr>
          <w:b/>
          <w:spacing w:val="40"/>
          <w:sz w:val="20"/>
        </w:rPr>
        <w:t xml:space="preserve"> </w:t>
      </w:r>
      <w:r>
        <w:rPr>
          <w:b/>
          <w:sz w:val="20"/>
        </w:rPr>
        <w:t>Direito</w:t>
      </w:r>
      <w:r>
        <w:rPr>
          <w:b/>
          <w:spacing w:val="40"/>
          <w:sz w:val="20"/>
        </w:rPr>
        <w:t xml:space="preserve"> </w:t>
      </w:r>
      <w:r>
        <w:rPr>
          <w:b/>
          <w:sz w:val="20"/>
        </w:rPr>
        <w:t>Administrativo</w:t>
      </w:r>
      <w:r>
        <w:rPr>
          <w:sz w:val="20"/>
        </w:rPr>
        <w:t>:</w:t>
      </w:r>
      <w:r>
        <w:rPr>
          <w:spacing w:val="40"/>
          <w:sz w:val="20"/>
        </w:rPr>
        <w:t xml:space="preserve"> </w:t>
      </w:r>
      <w:r>
        <w:rPr>
          <w:sz w:val="20"/>
        </w:rPr>
        <w:t>dos</w:t>
      </w:r>
      <w:r>
        <w:rPr>
          <w:spacing w:val="40"/>
          <w:sz w:val="20"/>
        </w:rPr>
        <w:t xml:space="preserve"> </w:t>
      </w:r>
      <w:r>
        <w:rPr>
          <w:sz w:val="20"/>
        </w:rPr>
        <w:t>conflitos</w:t>
      </w:r>
      <w:r>
        <w:rPr>
          <w:spacing w:val="40"/>
          <w:sz w:val="20"/>
        </w:rPr>
        <w:t xml:space="preserve"> </w:t>
      </w:r>
      <w:r>
        <w:rPr>
          <w:sz w:val="20"/>
        </w:rPr>
        <w:t>às</w:t>
      </w:r>
      <w:r>
        <w:rPr>
          <w:spacing w:val="40"/>
          <w:sz w:val="20"/>
        </w:rPr>
        <w:t xml:space="preserve"> </w:t>
      </w:r>
      <w:r>
        <w:rPr>
          <w:sz w:val="20"/>
        </w:rPr>
        <w:t>melhores</w:t>
      </w:r>
      <w:r>
        <w:rPr>
          <w:spacing w:val="40"/>
          <w:sz w:val="20"/>
        </w:rPr>
        <w:t xml:space="preserve"> </w:t>
      </w:r>
      <w:r>
        <w:rPr>
          <w:sz w:val="20"/>
        </w:rPr>
        <w:t>soluções</w:t>
      </w:r>
      <w:r>
        <w:rPr>
          <w:spacing w:val="40"/>
          <w:sz w:val="20"/>
        </w:rPr>
        <w:t xml:space="preserve"> </w:t>
      </w:r>
      <w:r>
        <w:rPr>
          <w:sz w:val="20"/>
        </w:rPr>
        <w:t>práticas.</w:t>
      </w:r>
      <w:r>
        <w:rPr>
          <w:spacing w:val="40"/>
          <w:sz w:val="20"/>
        </w:rPr>
        <w:t xml:space="preserve"> </w:t>
      </w:r>
      <w:r>
        <w:rPr>
          <w:sz w:val="20"/>
        </w:rPr>
        <w:t>1.</w:t>
      </w:r>
      <w:r>
        <w:rPr>
          <w:spacing w:val="40"/>
          <w:sz w:val="20"/>
        </w:rPr>
        <w:t xml:space="preserve"> </w:t>
      </w:r>
      <w:r>
        <w:rPr>
          <w:sz w:val="20"/>
        </w:rPr>
        <w:t>ed.</w:t>
      </w:r>
      <w:r>
        <w:rPr>
          <w:spacing w:val="40"/>
          <w:sz w:val="20"/>
        </w:rPr>
        <w:t xml:space="preserve"> </w:t>
      </w:r>
      <w:r>
        <w:rPr>
          <w:sz w:val="20"/>
        </w:rPr>
        <w:t>São Paulo: SGP – Soluções em Gestão Pública, 2021, p. 429.)</w:t>
      </w:r>
    </w:p>
    <w:p w:rsidR="007259F2" w:rsidRDefault="00E655B4">
      <w:pPr>
        <w:ind w:left="710" w:right="994"/>
        <w:jc w:val="both"/>
        <w:rPr>
          <w:sz w:val="20"/>
        </w:rPr>
      </w:pPr>
      <w:r>
        <w:rPr>
          <w:sz w:val="20"/>
          <w:vertAlign w:val="superscript"/>
        </w:rPr>
        <w:t>3</w:t>
      </w:r>
      <w:r>
        <w:rPr>
          <w:sz w:val="20"/>
        </w:rPr>
        <w:t xml:space="preserve"> “Já na época das revoluções burguesas, a Declaração Universal dos Direitos do Homem e do Cidadão equiparou a propriedade à liberdade, qualificando-as, em seu art. 2º, 10 como direitos naturais e imprescritíveis.</w:t>
      </w:r>
      <w:r>
        <w:rPr>
          <w:spacing w:val="-1"/>
          <w:sz w:val="20"/>
        </w:rPr>
        <w:t xml:space="preserve"> </w:t>
      </w:r>
      <w:r>
        <w:rPr>
          <w:sz w:val="20"/>
        </w:rPr>
        <w:t>O</w:t>
      </w:r>
      <w:r>
        <w:rPr>
          <w:spacing w:val="-1"/>
          <w:sz w:val="20"/>
        </w:rPr>
        <w:t xml:space="preserve"> </w:t>
      </w:r>
      <w:r>
        <w:rPr>
          <w:sz w:val="20"/>
        </w:rPr>
        <w:t>art.</w:t>
      </w:r>
      <w:r>
        <w:rPr>
          <w:spacing w:val="-1"/>
          <w:sz w:val="20"/>
        </w:rPr>
        <w:t xml:space="preserve"> </w:t>
      </w:r>
      <w:r>
        <w:rPr>
          <w:sz w:val="20"/>
        </w:rPr>
        <w:t>17 expressa</w:t>
      </w:r>
      <w:r>
        <w:rPr>
          <w:spacing w:val="-1"/>
          <w:sz w:val="20"/>
        </w:rPr>
        <w:t xml:space="preserve"> </w:t>
      </w:r>
      <w:r>
        <w:rPr>
          <w:sz w:val="20"/>
        </w:rPr>
        <w:t>a</w:t>
      </w:r>
      <w:r>
        <w:rPr>
          <w:spacing w:val="-1"/>
          <w:sz w:val="20"/>
        </w:rPr>
        <w:t xml:space="preserve"> </w:t>
      </w:r>
      <w:r>
        <w:rPr>
          <w:sz w:val="20"/>
        </w:rPr>
        <w:t>garantia</w:t>
      </w:r>
      <w:r>
        <w:rPr>
          <w:spacing w:val="-1"/>
          <w:sz w:val="20"/>
        </w:rPr>
        <w:t xml:space="preserve"> </w:t>
      </w:r>
      <w:r>
        <w:rPr>
          <w:sz w:val="20"/>
        </w:rPr>
        <w:t>ao direito</w:t>
      </w:r>
      <w:r>
        <w:rPr>
          <w:spacing w:val="-2"/>
          <w:sz w:val="20"/>
        </w:rPr>
        <w:t xml:space="preserve"> </w:t>
      </w:r>
      <w:r>
        <w:rPr>
          <w:sz w:val="20"/>
        </w:rPr>
        <w:t>de</w:t>
      </w:r>
      <w:r>
        <w:rPr>
          <w:spacing w:val="-1"/>
          <w:sz w:val="20"/>
        </w:rPr>
        <w:t xml:space="preserve"> </w:t>
      </w:r>
      <w:r>
        <w:rPr>
          <w:sz w:val="20"/>
        </w:rPr>
        <w:t>propriedade,</w:t>
      </w:r>
      <w:r>
        <w:rPr>
          <w:spacing w:val="-1"/>
          <w:sz w:val="20"/>
        </w:rPr>
        <w:t xml:space="preserve"> </w:t>
      </w:r>
      <w:r>
        <w:rPr>
          <w:sz w:val="20"/>
        </w:rPr>
        <w:t>admitindo sua</w:t>
      </w:r>
      <w:r>
        <w:rPr>
          <w:spacing w:val="-1"/>
          <w:sz w:val="20"/>
        </w:rPr>
        <w:t xml:space="preserve"> </w:t>
      </w:r>
      <w:r>
        <w:rPr>
          <w:sz w:val="20"/>
        </w:rPr>
        <w:t>privação apenas</w:t>
      </w:r>
      <w:r>
        <w:rPr>
          <w:spacing w:val="-1"/>
          <w:sz w:val="20"/>
        </w:rPr>
        <w:t xml:space="preserve"> </w:t>
      </w:r>
      <w:r>
        <w:rPr>
          <w:sz w:val="20"/>
        </w:rPr>
        <w:t>em casos de necessidade pública, mediante justa e anterior indenização. Em momento seguinte, a doutrina social</w:t>
      </w:r>
      <w:r>
        <w:rPr>
          <w:spacing w:val="20"/>
          <w:sz w:val="20"/>
        </w:rPr>
        <w:t xml:space="preserve"> </w:t>
      </w:r>
      <w:r>
        <w:rPr>
          <w:sz w:val="20"/>
        </w:rPr>
        <w:t>da</w:t>
      </w:r>
      <w:r>
        <w:rPr>
          <w:spacing w:val="21"/>
          <w:sz w:val="20"/>
        </w:rPr>
        <w:t xml:space="preserve"> </w:t>
      </w:r>
      <w:r>
        <w:rPr>
          <w:sz w:val="20"/>
        </w:rPr>
        <w:t>Igreja,</w:t>
      </w:r>
      <w:r>
        <w:rPr>
          <w:spacing w:val="19"/>
          <w:sz w:val="20"/>
        </w:rPr>
        <w:t xml:space="preserve"> </w:t>
      </w:r>
      <w:r>
        <w:rPr>
          <w:sz w:val="20"/>
        </w:rPr>
        <w:t>rebatendo</w:t>
      </w:r>
      <w:r>
        <w:rPr>
          <w:spacing w:val="20"/>
          <w:sz w:val="20"/>
        </w:rPr>
        <w:t xml:space="preserve"> </w:t>
      </w:r>
      <w:r>
        <w:rPr>
          <w:sz w:val="20"/>
        </w:rPr>
        <w:t>o</w:t>
      </w:r>
      <w:r>
        <w:rPr>
          <w:spacing w:val="20"/>
          <w:sz w:val="20"/>
        </w:rPr>
        <w:t xml:space="preserve"> </w:t>
      </w:r>
      <w:r>
        <w:rPr>
          <w:sz w:val="20"/>
        </w:rPr>
        <w:t>regime</w:t>
      </w:r>
      <w:r>
        <w:rPr>
          <w:spacing w:val="23"/>
          <w:sz w:val="20"/>
        </w:rPr>
        <w:t xml:space="preserve"> </w:t>
      </w:r>
      <w:r>
        <w:rPr>
          <w:sz w:val="20"/>
        </w:rPr>
        <w:t>socialista</w:t>
      </w:r>
      <w:r>
        <w:rPr>
          <w:spacing w:val="21"/>
          <w:sz w:val="20"/>
        </w:rPr>
        <w:t xml:space="preserve"> </w:t>
      </w:r>
      <w:r>
        <w:rPr>
          <w:sz w:val="20"/>
        </w:rPr>
        <w:t>já</w:t>
      </w:r>
      <w:r>
        <w:rPr>
          <w:spacing w:val="21"/>
          <w:sz w:val="20"/>
        </w:rPr>
        <w:t xml:space="preserve"> </w:t>
      </w:r>
      <w:r>
        <w:rPr>
          <w:sz w:val="20"/>
        </w:rPr>
        <w:t>firmado</w:t>
      </w:r>
      <w:r>
        <w:rPr>
          <w:spacing w:val="21"/>
          <w:sz w:val="20"/>
        </w:rPr>
        <w:t xml:space="preserve"> </w:t>
      </w:r>
      <w:r>
        <w:rPr>
          <w:sz w:val="20"/>
        </w:rPr>
        <w:t>na</w:t>
      </w:r>
      <w:r>
        <w:rPr>
          <w:spacing w:val="21"/>
          <w:sz w:val="20"/>
        </w:rPr>
        <w:t xml:space="preserve"> </w:t>
      </w:r>
      <w:r>
        <w:rPr>
          <w:sz w:val="20"/>
        </w:rPr>
        <w:t>União</w:t>
      </w:r>
      <w:r>
        <w:rPr>
          <w:spacing w:val="21"/>
          <w:sz w:val="20"/>
        </w:rPr>
        <w:t xml:space="preserve"> </w:t>
      </w:r>
      <w:r>
        <w:rPr>
          <w:sz w:val="20"/>
        </w:rPr>
        <w:t>Soviética,</w:t>
      </w:r>
      <w:r>
        <w:rPr>
          <w:spacing w:val="22"/>
          <w:sz w:val="20"/>
        </w:rPr>
        <w:t xml:space="preserve"> </w:t>
      </w:r>
      <w:r>
        <w:rPr>
          <w:sz w:val="20"/>
        </w:rPr>
        <w:t>afirma</w:t>
      </w:r>
      <w:r>
        <w:rPr>
          <w:spacing w:val="21"/>
          <w:sz w:val="20"/>
        </w:rPr>
        <w:t xml:space="preserve"> </w:t>
      </w:r>
      <w:r>
        <w:rPr>
          <w:sz w:val="20"/>
        </w:rPr>
        <w:t>a</w:t>
      </w:r>
      <w:r>
        <w:rPr>
          <w:spacing w:val="20"/>
          <w:sz w:val="20"/>
        </w:rPr>
        <w:t xml:space="preserve"> </w:t>
      </w:r>
      <w:r>
        <w:rPr>
          <w:sz w:val="20"/>
        </w:rPr>
        <w:t>necessidade</w:t>
      </w:r>
      <w:r>
        <w:rPr>
          <w:spacing w:val="21"/>
          <w:sz w:val="20"/>
        </w:rPr>
        <w:t xml:space="preserve"> </w:t>
      </w:r>
      <w:r>
        <w:rPr>
          <w:spacing w:val="-5"/>
          <w:sz w:val="20"/>
        </w:rPr>
        <w:t>da</w:t>
      </w:r>
    </w:p>
    <w:p w:rsidR="007259F2" w:rsidRDefault="007259F2">
      <w:pPr>
        <w:jc w:val="both"/>
        <w:rPr>
          <w:sz w:val="20"/>
        </w:rPr>
        <w:sectPr w:rsidR="007259F2">
          <w:pgSz w:w="11910" w:h="16840"/>
          <w:pgMar w:top="1320" w:right="708" w:bottom="1160" w:left="992" w:header="0" w:footer="962" w:gutter="0"/>
          <w:cols w:space="720"/>
        </w:sectPr>
      </w:pPr>
    </w:p>
    <w:p w:rsidR="007259F2" w:rsidRDefault="00E655B4">
      <w:pPr>
        <w:pStyle w:val="Corpodetexto"/>
        <w:spacing w:before="69"/>
        <w:ind w:right="995" w:firstLine="0"/>
      </w:pPr>
      <w:r>
        <w:lastRenderedPageBreak/>
        <w:t>como direito fundamental na Constituição Federal de 1988 no Brasil, os juristas se debruçaram fortemente a estudá-lo a fim de definir sua natureza jurídica.</w:t>
      </w:r>
      <w:bookmarkStart w:id="4" w:name="_bookmark4"/>
      <w:bookmarkEnd w:id="4"/>
      <w:r>
        <w:rPr>
          <w:vertAlign w:val="superscript"/>
        </w:rPr>
        <w:t>4</w:t>
      </w:r>
    </w:p>
    <w:p w:rsidR="007259F2" w:rsidRDefault="00E655B4">
      <w:pPr>
        <w:pStyle w:val="Corpodetexto"/>
        <w:spacing w:before="1"/>
        <w:ind w:right="995"/>
      </w:pPr>
      <w:r>
        <w:t>Conquanto a evolução histórica do direito à propriedade seja importante até para estabelecer a relação entre o indivíduo e o Estado, aqui traremos sua configuração atual no ordenamento jurídico brasileiro e as repercussões para o direito urbanístico.</w:t>
      </w:r>
    </w:p>
    <w:p w:rsidR="007259F2" w:rsidRDefault="00E655B4">
      <w:pPr>
        <w:pStyle w:val="Corpodetexto"/>
        <w:ind w:right="994"/>
      </w:pPr>
      <w:r>
        <w:t>Inicialmente, cumpre estabelecer os fundamentos da propriedade, o que sedimenta</w:t>
      </w:r>
      <w:r>
        <w:rPr>
          <w:spacing w:val="40"/>
        </w:rPr>
        <w:t xml:space="preserve"> </w:t>
      </w:r>
      <w:r>
        <w:t>esse direito.</w:t>
      </w:r>
    </w:p>
    <w:p w:rsidR="007259F2" w:rsidRDefault="00E655B4">
      <w:pPr>
        <w:pStyle w:val="Corpodetexto"/>
        <w:ind w:right="987"/>
      </w:pPr>
      <w:r>
        <w:t>Três teorias foram elaboradas a fim de explicar tal fundamento</w:t>
      </w:r>
      <w:r>
        <w:rPr>
          <w:vertAlign w:val="superscript"/>
        </w:rPr>
        <w:t>5</w:t>
      </w:r>
      <w:r>
        <w:t>, porém a mais aceita é a da natureza humana que indica a propriedade como ínsita a própria natureza humana sendo um dado da realidade que não se pode olvidar.</w:t>
      </w:r>
      <w:r>
        <w:rPr>
          <w:vertAlign w:val="superscript"/>
        </w:rPr>
        <w:t>6</w:t>
      </w:r>
      <w:r>
        <w:t xml:space="preserve"> De fato, verifica-se no curso</w:t>
      </w:r>
      <w:r>
        <w:rPr>
          <w:spacing w:val="18"/>
        </w:rPr>
        <w:t xml:space="preserve"> </w:t>
      </w:r>
      <w:r>
        <w:t>da</w:t>
      </w:r>
      <w:r>
        <w:rPr>
          <w:spacing w:val="19"/>
        </w:rPr>
        <w:t xml:space="preserve"> </w:t>
      </w:r>
      <w:r>
        <w:t>história</w:t>
      </w:r>
      <w:r>
        <w:rPr>
          <w:spacing w:val="20"/>
        </w:rPr>
        <w:t xml:space="preserve"> </w:t>
      </w:r>
      <w:r>
        <w:t>que</w:t>
      </w:r>
      <w:r>
        <w:rPr>
          <w:spacing w:val="19"/>
        </w:rPr>
        <w:t xml:space="preserve"> </w:t>
      </w:r>
      <w:r>
        <w:t>a</w:t>
      </w:r>
      <w:r>
        <w:rPr>
          <w:spacing w:val="20"/>
        </w:rPr>
        <w:t xml:space="preserve"> </w:t>
      </w:r>
      <w:r>
        <w:t>propriedade</w:t>
      </w:r>
      <w:r>
        <w:rPr>
          <w:spacing w:val="19"/>
        </w:rPr>
        <w:t xml:space="preserve"> </w:t>
      </w:r>
      <w:r>
        <w:t>teve</w:t>
      </w:r>
      <w:r>
        <w:rPr>
          <w:spacing w:val="18"/>
        </w:rPr>
        <w:t xml:space="preserve"> </w:t>
      </w:r>
      <w:r>
        <w:t>sempre</w:t>
      </w:r>
      <w:r>
        <w:rPr>
          <w:spacing w:val="20"/>
        </w:rPr>
        <w:t xml:space="preserve"> </w:t>
      </w:r>
      <w:r>
        <w:t>destaque</w:t>
      </w:r>
      <w:r>
        <w:rPr>
          <w:spacing w:val="19"/>
        </w:rPr>
        <w:t xml:space="preserve"> </w:t>
      </w:r>
      <w:r>
        <w:t>nas</w:t>
      </w:r>
      <w:r>
        <w:rPr>
          <w:spacing w:val="21"/>
        </w:rPr>
        <w:t xml:space="preserve"> </w:t>
      </w:r>
      <w:r>
        <w:t>culturas</w:t>
      </w:r>
      <w:r>
        <w:rPr>
          <w:spacing w:val="23"/>
        </w:rPr>
        <w:t xml:space="preserve"> </w:t>
      </w:r>
      <w:r>
        <w:t>e</w:t>
      </w:r>
      <w:r>
        <w:rPr>
          <w:spacing w:val="20"/>
        </w:rPr>
        <w:t xml:space="preserve"> </w:t>
      </w:r>
      <w:r>
        <w:rPr>
          <w:spacing w:val="-2"/>
        </w:rPr>
        <w:t>ordenamentos</w:t>
      </w:r>
    </w:p>
    <w:p w:rsidR="007259F2" w:rsidRDefault="007259F2">
      <w:pPr>
        <w:pStyle w:val="Corpodetexto"/>
        <w:ind w:left="0" w:firstLine="0"/>
        <w:jc w:val="left"/>
        <w:rPr>
          <w:sz w:val="20"/>
        </w:rPr>
      </w:pPr>
    </w:p>
    <w:p w:rsidR="007259F2" w:rsidRDefault="00DE6B1C">
      <w:pPr>
        <w:pStyle w:val="Corpodetexto"/>
        <w:spacing w:before="26"/>
        <w:ind w:left="0" w:firstLine="0"/>
        <w:jc w:val="left"/>
        <w:rPr>
          <w:sz w:val="20"/>
        </w:rPr>
      </w:pPr>
      <w:r w:rsidRPr="00DE6B1C">
        <w:rPr>
          <w:sz w:val="20"/>
        </w:rPr>
        <w:pict>
          <v:rect id="docshape29" o:spid="_x0000_s1197" style="position:absolute;margin-left:85.1pt;margin-top:14pt;width:425.25pt;height:.7pt;z-index:-15721984;mso-wrap-distance-left:0;mso-wrap-distance-right:0;mso-position-horizontal-relative:page" fillcolor="black" stroked="f">
            <w10:wrap type="topAndBottom" anchorx="page"/>
          </v:rect>
        </w:pict>
      </w:r>
    </w:p>
    <w:p w:rsidR="007259F2" w:rsidRDefault="00E655B4">
      <w:pPr>
        <w:spacing w:before="96"/>
        <w:ind w:left="710" w:right="986"/>
        <w:jc w:val="both"/>
        <w:rPr>
          <w:sz w:val="20"/>
        </w:rPr>
      </w:pPr>
      <w:r>
        <w:rPr>
          <w:sz w:val="20"/>
        </w:rPr>
        <w:t xml:space="preserve">propriedade privada se dar não apenas em benefício do particular, mas também do bem comum, servindo sempre à utilidade pública, de modo a viabilizar a justa distribuição de riquezas entre os homens. 12 Este entendimento será seguido em </w:t>
      </w:r>
      <w:r>
        <w:rPr>
          <w:i/>
          <w:sz w:val="20"/>
        </w:rPr>
        <w:t>Mater et Magistra</w:t>
      </w:r>
      <w:r>
        <w:rPr>
          <w:sz w:val="20"/>
        </w:rPr>
        <w:t>, ao se utilizar a expressão função social da propriedade para</w:t>
      </w:r>
      <w:r>
        <w:rPr>
          <w:spacing w:val="-1"/>
          <w:sz w:val="20"/>
        </w:rPr>
        <w:t xml:space="preserve"> </w:t>
      </w:r>
      <w:r>
        <w:rPr>
          <w:sz w:val="20"/>
        </w:rPr>
        <w:t>afirmar que</w:t>
      </w:r>
      <w:r>
        <w:rPr>
          <w:spacing w:val="-1"/>
          <w:sz w:val="20"/>
        </w:rPr>
        <w:t xml:space="preserve"> </w:t>
      </w:r>
      <w:r>
        <w:rPr>
          <w:sz w:val="20"/>
        </w:rPr>
        <w:t>os bens</w:t>
      </w:r>
      <w:r>
        <w:rPr>
          <w:spacing w:val="-1"/>
          <w:sz w:val="20"/>
        </w:rPr>
        <w:t xml:space="preserve"> </w:t>
      </w:r>
      <w:r>
        <w:rPr>
          <w:sz w:val="20"/>
        </w:rPr>
        <w:t>deverão satisfazer às necessidades que não possam</w:t>
      </w:r>
      <w:r>
        <w:rPr>
          <w:spacing w:val="-2"/>
          <w:sz w:val="20"/>
        </w:rPr>
        <w:t xml:space="preserve"> </w:t>
      </w:r>
      <w:r>
        <w:rPr>
          <w:sz w:val="20"/>
        </w:rPr>
        <w:t>ser atendidas pela assistência pública. O conteúdo da propriedade imobiliária recebe tratamento constitucional nas Cartas de Weimar e do México, admitindo-se a possibilidade de exploração de riquezas em prol do interesse coletivo. Tais documentos serviram de inspiração para as Cartas Constitucionais brasileiras. A Constituição de 1934 previu em seu art. 113, alínea 17, a garantia à propriedade, não podendo seu exercício contrariar o interesse social ou coletivo, na forma da lei. Tal dispositivo já revela o conteúdo do princípio da função social da propriedade na normativa nacional. Em 1946, com o fim do regime de Getúlio Vargas, é elaborada nova Constituição, garantindo a propriedade, mas condicionando seu uso ao bem-estar</w:t>
      </w:r>
      <w:r>
        <w:rPr>
          <w:spacing w:val="40"/>
          <w:sz w:val="20"/>
        </w:rPr>
        <w:t xml:space="preserve"> </w:t>
      </w:r>
      <w:r>
        <w:rPr>
          <w:sz w:val="20"/>
        </w:rPr>
        <w:t>social, conforme o texto expresso do art. 147. Trata-se da primeira previsão constitucional determinando condicionamento</w:t>
      </w:r>
      <w:r>
        <w:rPr>
          <w:spacing w:val="-2"/>
          <w:sz w:val="20"/>
        </w:rPr>
        <w:t xml:space="preserve"> </w:t>
      </w:r>
      <w:r>
        <w:rPr>
          <w:sz w:val="20"/>
        </w:rPr>
        <w:t>ao</w:t>
      </w:r>
      <w:r>
        <w:rPr>
          <w:spacing w:val="-2"/>
          <w:sz w:val="20"/>
        </w:rPr>
        <w:t xml:space="preserve"> </w:t>
      </w:r>
      <w:r>
        <w:rPr>
          <w:sz w:val="20"/>
        </w:rPr>
        <w:t>exercício da</w:t>
      </w:r>
      <w:r>
        <w:rPr>
          <w:spacing w:val="-3"/>
          <w:sz w:val="20"/>
        </w:rPr>
        <w:t xml:space="preserve"> </w:t>
      </w:r>
      <w:r>
        <w:rPr>
          <w:sz w:val="20"/>
        </w:rPr>
        <w:t>propriedade.</w:t>
      </w:r>
      <w:r>
        <w:rPr>
          <w:spacing w:val="-2"/>
          <w:sz w:val="20"/>
        </w:rPr>
        <w:t xml:space="preserve"> </w:t>
      </w:r>
      <w:r>
        <w:rPr>
          <w:sz w:val="20"/>
        </w:rPr>
        <w:t>Na</w:t>
      </w:r>
      <w:r>
        <w:rPr>
          <w:spacing w:val="-3"/>
          <w:sz w:val="20"/>
        </w:rPr>
        <w:t xml:space="preserve"> </w:t>
      </w:r>
      <w:r>
        <w:rPr>
          <w:sz w:val="20"/>
        </w:rPr>
        <w:t>Constituição</w:t>
      </w:r>
      <w:r>
        <w:rPr>
          <w:spacing w:val="-2"/>
          <w:sz w:val="20"/>
        </w:rPr>
        <w:t xml:space="preserve"> </w:t>
      </w:r>
      <w:r>
        <w:rPr>
          <w:sz w:val="20"/>
        </w:rPr>
        <w:t>de</w:t>
      </w:r>
      <w:r>
        <w:rPr>
          <w:spacing w:val="-3"/>
          <w:sz w:val="20"/>
        </w:rPr>
        <w:t xml:space="preserve"> </w:t>
      </w:r>
      <w:r>
        <w:rPr>
          <w:sz w:val="20"/>
        </w:rPr>
        <w:t>1967,</w:t>
      </w:r>
      <w:r>
        <w:rPr>
          <w:spacing w:val="-3"/>
          <w:sz w:val="20"/>
        </w:rPr>
        <w:t xml:space="preserve"> </w:t>
      </w:r>
      <w:r>
        <w:rPr>
          <w:sz w:val="20"/>
        </w:rPr>
        <w:t>surge,</w:t>
      </w:r>
      <w:r>
        <w:rPr>
          <w:spacing w:val="-2"/>
          <w:sz w:val="20"/>
        </w:rPr>
        <w:t xml:space="preserve"> </w:t>
      </w:r>
      <w:r>
        <w:rPr>
          <w:sz w:val="20"/>
        </w:rPr>
        <w:t>pela</w:t>
      </w:r>
      <w:r>
        <w:rPr>
          <w:spacing w:val="-3"/>
          <w:sz w:val="20"/>
        </w:rPr>
        <w:t xml:space="preserve"> </w:t>
      </w:r>
      <w:r>
        <w:rPr>
          <w:sz w:val="20"/>
        </w:rPr>
        <w:t>primeira</w:t>
      </w:r>
      <w:r>
        <w:rPr>
          <w:spacing w:val="-3"/>
          <w:sz w:val="20"/>
        </w:rPr>
        <w:t xml:space="preserve"> </w:t>
      </w:r>
      <w:r>
        <w:rPr>
          <w:sz w:val="20"/>
        </w:rPr>
        <w:t>vez,</w:t>
      </w:r>
      <w:r>
        <w:rPr>
          <w:spacing w:val="-3"/>
          <w:sz w:val="20"/>
        </w:rPr>
        <w:t xml:space="preserve"> </w:t>
      </w:r>
      <w:r>
        <w:rPr>
          <w:sz w:val="20"/>
        </w:rPr>
        <w:t>em</w:t>
      </w:r>
      <w:r>
        <w:rPr>
          <w:spacing w:val="-4"/>
          <w:sz w:val="20"/>
        </w:rPr>
        <w:t xml:space="preserve"> </w:t>
      </w:r>
      <w:r>
        <w:rPr>
          <w:sz w:val="20"/>
        </w:rPr>
        <w:t>sede constitucional, a expressão função social da propriedade, nomeada entre os princípios da ordem econômica, prevendo-se, ainda, a desapropriação mediante pagamento de títulos da dívida pública, na linha do art. 157.” (</w:t>
      </w:r>
      <w:r>
        <w:rPr>
          <w:color w:val="202020"/>
          <w:sz w:val="20"/>
        </w:rPr>
        <w:t xml:space="preserve">CARDOSO, Fernanda Lousada. Propriedade Urbana no Ordenamento Brasileiro. </w:t>
      </w:r>
      <w:r>
        <w:rPr>
          <w:b/>
          <w:color w:val="202020"/>
          <w:sz w:val="20"/>
        </w:rPr>
        <w:t>Revista de Direito Administrativo</w:t>
      </w:r>
      <w:r>
        <w:rPr>
          <w:color w:val="202020"/>
          <w:sz w:val="20"/>
        </w:rPr>
        <w:t xml:space="preserve">, 247, p. 100-101, jan./abr. 2008. Disponível em </w:t>
      </w:r>
      <w:hyperlink r:id="rId51">
        <w:r>
          <w:rPr>
            <w:sz w:val="20"/>
          </w:rPr>
          <w:t>https://doi.org/10.12660/rda.v247.2008.41549.</w:t>
        </w:r>
      </w:hyperlink>
      <w:r>
        <w:rPr>
          <w:sz w:val="20"/>
        </w:rPr>
        <w:t xml:space="preserve"> Acesso em 08 jan 2025</w:t>
      </w:r>
      <w:r>
        <w:rPr>
          <w:color w:val="202020"/>
          <w:sz w:val="20"/>
        </w:rPr>
        <w:t>).</w:t>
      </w:r>
    </w:p>
    <w:p w:rsidR="007259F2" w:rsidRDefault="00E655B4">
      <w:pPr>
        <w:spacing w:before="1"/>
        <w:ind w:left="710" w:right="991"/>
        <w:jc w:val="both"/>
        <w:rPr>
          <w:sz w:val="20"/>
        </w:rPr>
      </w:pPr>
      <w:r>
        <w:rPr>
          <w:sz w:val="20"/>
          <w:vertAlign w:val="superscript"/>
        </w:rPr>
        <w:t>4</w:t>
      </w:r>
      <w:r>
        <w:rPr>
          <w:sz w:val="20"/>
        </w:rPr>
        <w:t xml:space="preserve"> “Os abusos da propriedade eminente foram combatidos pelos revolucionários franceses de 1.789, que erigiram o direito de propriedade à esfera de direito natural do indivíduo, sagrado e intocável. Na época revolucionária, a propriedade equiparava-se à liberdade, ambos direitos naturais invioláveis dos indivíduos, oponível a todos, inclusive contra o Estado. Vale citar que a Convenção Americana de 1.776 apenou com</w:t>
      </w:r>
      <w:r>
        <w:rPr>
          <w:spacing w:val="-1"/>
          <w:sz w:val="20"/>
        </w:rPr>
        <w:t xml:space="preserve"> </w:t>
      </w:r>
      <w:r>
        <w:rPr>
          <w:sz w:val="20"/>
        </w:rPr>
        <w:t>a</w:t>
      </w:r>
      <w:r>
        <w:rPr>
          <w:spacing w:val="40"/>
          <w:sz w:val="20"/>
        </w:rPr>
        <w:t xml:space="preserve"> </w:t>
      </w:r>
      <w:r>
        <w:rPr>
          <w:sz w:val="20"/>
        </w:rPr>
        <w:t>morte mera proposição de lei agrária ou limitadora da propriedade territorial. O artigo 544 do Código Civil Francês proclamou o direito absoluto da propriedade, tomado como padrão pelos demais Códigos, inclusive o nosso, fazendo-se "tabula rasa" de seu condicionamento às leis ou regulamentos. Já</w:t>
      </w:r>
      <w:r>
        <w:rPr>
          <w:spacing w:val="80"/>
          <w:sz w:val="20"/>
        </w:rPr>
        <w:t xml:space="preserve"> </w:t>
      </w:r>
      <w:r>
        <w:rPr>
          <w:sz w:val="20"/>
        </w:rPr>
        <w:t>o direito inglês tem da propriedade, um conceito diverso do poder absoluto conferido ao proprietário</w:t>
      </w:r>
      <w:r>
        <w:rPr>
          <w:spacing w:val="40"/>
          <w:sz w:val="20"/>
        </w:rPr>
        <w:t xml:space="preserve"> </w:t>
      </w:r>
      <w:r>
        <w:rPr>
          <w:sz w:val="20"/>
        </w:rPr>
        <w:t>sobre a coisa corpórea, já enfatiza na propriedade um conjunto de faculdades, sendo mais compatível, pois,</w:t>
      </w:r>
      <w:r>
        <w:rPr>
          <w:spacing w:val="40"/>
          <w:sz w:val="20"/>
        </w:rPr>
        <w:t xml:space="preserve"> </w:t>
      </w:r>
      <w:r>
        <w:rPr>
          <w:sz w:val="20"/>
        </w:rPr>
        <w:t>com</w:t>
      </w:r>
      <w:r>
        <w:rPr>
          <w:spacing w:val="40"/>
          <w:sz w:val="20"/>
        </w:rPr>
        <w:t xml:space="preserve"> </w:t>
      </w:r>
      <w:r>
        <w:rPr>
          <w:sz w:val="20"/>
        </w:rPr>
        <w:t>a</w:t>
      </w:r>
      <w:r>
        <w:rPr>
          <w:spacing w:val="40"/>
          <w:sz w:val="20"/>
        </w:rPr>
        <w:t xml:space="preserve"> </w:t>
      </w:r>
      <w:r>
        <w:rPr>
          <w:sz w:val="20"/>
        </w:rPr>
        <w:t>compreensão</w:t>
      </w:r>
      <w:r>
        <w:rPr>
          <w:spacing w:val="40"/>
          <w:sz w:val="20"/>
        </w:rPr>
        <w:t xml:space="preserve"> </w:t>
      </w:r>
      <w:r>
        <w:rPr>
          <w:sz w:val="20"/>
        </w:rPr>
        <w:t>do</w:t>
      </w:r>
      <w:r>
        <w:rPr>
          <w:spacing w:val="40"/>
          <w:sz w:val="20"/>
        </w:rPr>
        <w:t xml:space="preserve"> </w:t>
      </w:r>
      <w:r>
        <w:rPr>
          <w:sz w:val="20"/>
        </w:rPr>
        <w:t>instituto</w:t>
      </w:r>
      <w:r>
        <w:rPr>
          <w:spacing w:val="40"/>
          <w:sz w:val="20"/>
        </w:rPr>
        <w:t xml:space="preserve"> </w:t>
      </w:r>
      <w:r>
        <w:rPr>
          <w:sz w:val="20"/>
        </w:rPr>
        <w:t>nas sociedades industriais e em nossos dias. Augusto Comte lançou os fundamentos da função social, mas foi Leon Duguit quem estruturou a transformação da propriedade, que passou a ser entendida não mais como direito subjetivo, mas como função social, impositiva de deveres, obrigações e ônus. (ZAGO, Lívia Maria Armentano Koenigstein. A função social da</w:t>
      </w:r>
      <w:r>
        <w:rPr>
          <w:spacing w:val="7"/>
          <w:sz w:val="20"/>
        </w:rPr>
        <w:t xml:space="preserve"> </w:t>
      </w:r>
      <w:r>
        <w:rPr>
          <w:sz w:val="20"/>
        </w:rPr>
        <w:t>propriedade</w:t>
      </w:r>
      <w:r>
        <w:rPr>
          <w:spacing w:val="7"/>
          <w:sz w:val="20"/>
        </w:rPr>
        <w:t xml:space="preserve"> </w:t>
      </w:r>
      <w:r>
        <w:rPr>
          <w:sz w:val="20"/>
        </w:rPr>
        <w:t>urbana.</w:t>
      </w:r>
      <w:r>
        <w:rPr>
          <w:spacing w:val="10"/>
          <w:sz w:val="20"/>
        </w:rPr>
        <w:t xml:space="preserve"> </w:t>
      </w:r>
      <w:r>
        <w:rPr>
          <w:b/>
          <w:sz w:val="20"/>
        </w:rPr>
        <w:t>Revista</w:t>
      </w:r>
      <w:r>
        <w:rPr>
          <w:b/>
          <w:spacing w:val="8"/>
          <w:sz w:val="20"/>
        </w:rPr>
        <w:t xml:space="preserve"> </w:t>
      </w:r>
      <w:r>
        <w:rPr>
          <w:b/>
          <w:sz w:val="20"/>
        </w:rPr>
        <w:t>Jurídica</w:t>
      </w:r>
      <w:r>
        <w:rPr>
          <w:b/>
          <w:spacing w:val="8"/>
          <w:sz w:val="20"/>
        </w:rPr>
        <w:t xml:space="preserve"> </w:t>
      </w:r>
      <w:r>
        <w:rPr>
          <w:b/>
          <w:sz w:val="20"/>
        </w:rPr>
        <w:t>da</w:t>
      </w:r>
      <w:r>
        <w:rPr>
          <w:b/>
          <w:spacing w:val="7"/>
          <w:sz w:val="20"/>
        </w:rPr>
        <w:t xml:space="preserve"> </w:t>
      </w:r>
      <w:r>
        <w:rPr>
          <w:b/>
          <w:sz w:val="20"/>
        </w:rPr>
        <w:t>Procuradoria</w:t>
      </w:r>
      <w:r>
        <w:rPr>
          <w:b/>
          <w:spacing w:val="6"/>
          <w:sz w:val="20"/>
        </w:rPr>
        <w:t xml:space="preserve"> </w:t>
      </w:r>
      <w:r>
        <w:rPr>
          <w:b/>
          <w:sz w:val="20"/>
        </w:rPr>
        <w:t>Geral</w:t>
      </w:r>
      <w:r>
        <w:rPr>
          <w:b/>
          <w:spacing w:val="6"/>
          <w:sz w:val="20"/>
        </w:rPr>
        <w:t xml:space="preserve"> </w:t>
      </w:r>
      <w:r>
        <w:rPr>
          <w:b/>
          <w:sz w:val="20"/>
        </w:rPr>
        <w:t>do</w:t>
      </w:r>
      <w:r>
        <w:rPr>
          <w:b/>
          <w:spacing w:val="7"/>
          <w:sz w:val="20"/>
        </w:rPr>
        <w:t xml:space="preserve"> </w:t>
      </w:r>
      <w:r>
        <w:rPr>
          <w:b/>
          <w:sz w:val="20"/>
        </w:rPr>
        <w:t>Município</w:t>
      </w:r>
      <w:r>
        <w:rPr>
          <w:sz w:val="20"/>
        </w:rPr>
        <w:t>,</w:t>
      </w:r>
      <w:r>
        <w:rPr>
          <w:spacing w:val="7"/>
          <w:sz w:val="20"/>
        </w:rPr>
        <w:t xml:space="preserve"> </w:t>
      </w:r>
      <w:r>
        <w:rPr>
          <w:sz w:val="20"/>
        </w:rPr>
        <w:t>São</w:t>
      </w:r>
      <w:r>
        <w:rPr>
          <w:spacing w:val="8"/>
          <w:sz w:val="20"/>
        </w:rPr>
        <w:t xml:space="preserve"> </w:t>
      </w:r>
      <w:r>
        <w:rPr>
          <w:sz w:val="20"/>
        </w:rPr>
        <w:t>Paulo,</w:t>
      </w:r>
      <w:r>
        <w:rPr>
          <w:spacing w:val="7"/>
          <w:sz w:val="20"/>
        </w:rPr>
        <w:t xml:space="preserve"> </w:t>
      </w:r>
      <w:r>
        <w:rPr>
          <w:sz w:val="20"/>
        </w:rPr>
        <w:t>v.</w:t>
      </w:r>
      <w:r>
        <w:rPr>
          <w:spacing w:val="8"/>
          <w:sz w:val="20"/>
        </w:rPr>
        <w:t xml:space="preserve"> </w:t>
      </w:r>
      <w:r>
        <w:rPr>
          <w:sz w:val="20"/>
        </w:rPr>
        <w:t>4,</w:t>
      </w:r>
      <w:r>
        <w:rPr>
          <w:spacing w:val="7"/>
          <w:sz w:val="20"/>
        </w:rPr>
        <w:t xml:space="preserve"> </w:t>
      </w:r>
      <w:r>
        <w:rPr>
          <w:spacing w:val="-2"/>
          <w:sz w:val="20"/>
        </w:rPr>
        <w:t>2000,</w:t>
      </w:r>
    </w:p>
    <w:p w:rsidR="007259F2" w:rsidRDefault="00E655B4">
      <w:pPr>
        <w:spacing w:before="2"/>
        <w:ind w:left="710"/>
        <w:jc w:val="both"/>
        <w:rPr>
          <w:sz w:val="20"/>
        </w:rPr>
      </w:pPr>
      <w:r>
        <w:rPr>
          <w:sz w:val="20"/>
        </w:rPr>
        <w:t>p.</w:t>
      </w:r>
      <w:r>
        <w:rPr>
          <w:spacing w:val="-7"/>
          <w:sz w:val="20"/>
        </w:rPr>
        <w:t xml:space="preserve"> </w:t>
      </w:r>
      <w:r>
        <w:rPr>
          <w:sz w:val="20"/>
        </w:rPr>
        <w:t>123-</w:t>
      </w:r>
      <w:r>
        <w:rPr>
          <w:spacing w:val="-2"/>
          <w:sz w:val="20"/>
        </w:rPr>
        <w:t>124).</w:t>
      </w:r>
    </w:p>
    <w:p w:rsidR="007259F2" w:rsidRDefault="00E655B4">
      <w:pPr>
        <w:ind w:left="710" w:right="987"/>
        <w:jc w:val="both"/>
        <w:rPr>
          <w:sz w:val="20"/>
        </w:rPr>
      </w:pPr>
      <w:r>
        <w:rPr>
          <w:sz w:val="20"/>
          <w:vertAlign w:val="superscript"/>
        </w:rPr>
        <w:t>5</w:t>
      </w:r>
      <w:r>
        <w:rPr>
          <w:sz w:val="20"/>
        </w:rPr>
        <w:t xml:space="preserve"> As outras três teorias são a teoria da ocupação, teoria da especificação e a teoria da lei. “Para a teoria da ocupação, por exemplo, a propriedade deriva da captação dos bens que estejam ao arredor e que não pertencem a ninguém. Já para a teoria da especificação, a propriedade se justifica no trabalho, devendo a propriedade da coisa ser conferida ao homem sempre que esta for resultante de seu trabalho. Ao seu</w:t>
      </w:r>
      <w:r>
        <w:rPr>
          <w:spacing w:val="40"/>
          <w:sz w:val="20"/>
        </w:rPr>
        <w:t xml:space="preserve"> </w:t>
      </w:r>
      <w:r>
        <w:rPr>
          <w:sz w:val="20"/>
        </w:rPr>
        <w:t>turno, a teoria da lei, defendida por Montesquieu, defende que a propriedade é criação de lei, e só existe em razão da vontade do legislador.” (FRANCESCET, Júlio César; AGRIÃO, Renan Muriel; DIAS, Wagner Inácio</w:t>
      </w:r>
      <w:r>
        <w:rPr>
          <w:b/>
          <w:sz w:val="20"/>
        </w:rPr>
        <w:t xml:space="preserve">. Direito Civil </w:t>
      </w:r>
      <w:r>
        <w:rPr>
          <w:sz w:val="20"/>
        </w:rPr>
        <w:t>– Volume Único</w:t>
      </w:r>
      <w:r>
        <w:rPr>
          <w:spacing w:val="40"/>
          <w:sz w:val="20"/>
        </w:rPr>
        <w:t xml:space="preserve"> </w:t>
      </w:r>
      <w:r>
        <w:rPr>
          <w:sz w:val="20"/>
        </w:rPr>
        <w:t>na Medida Certa para Concursos. 2. ed. São Paulo:</w:t>
      </w:r>
      <w:r>
        <w:rPr>
          <w:spacing w:val="40"/>
          <w:sz w:val="20"/>
        </w:rPr>
        <w:t xml:space="preserve"> </w:t>
      </w:r>
      <w:r>
        <w:rPr>
          <w:sz w:val="20"/>
        </w:rPr>
        <w:t>Editora JusPodivm, 2024, p. 356-357).</w:t>
      </w:r>
    </w:p>
    <w:p w:rsidR="007259F2" w:rsidRDefault="00E655B4">
      <w:pPr>
        <w:ind w:left="710" w:right="992"/>
        <w:jc w:val="both"/>
        <w:rPr>
          <w:sz w:val="20"/>
        </w:rPr>
      </w:pPr>
      <w:r>
        <w:rPr>
          <w:sz w:val="20"/>
          <w:vertAlign w:val="superscript"/>
        </w:rPr>
        <w:t>6</w:t>
      </w:r>
      <w:r>
        <w:rPr>
          <w:spacing w:val="-3"/>
          <w:sz w:val="20"/>
        </w:rPr>
        <w:t xml:space="preserve"> </w:t>
      </w:r>
      <w:r>
        <w:rPr>
          <w:sz w:val="20"/>
        </w:rPr>
        <w:t>“Negar</w:t>
      </w:r>
      <w:r>
        <w:rPr>
          <w:spacing w:val="-2"/>
          <w:sz w:val="20"/>
        </w:rPr>
        <w:t xml:space="preserve"> </w:t>
      </w:r>
      <w:r>
        <w:rPr>
          <w:sz w:val="20"/>
        </w:rPr>
        <w:t>a</w:t>
      </w:r>
      <w:r>
        <w:rPr>
          <w:spacing w:val="-3"/>
          <w:sz w:val="20"/>
        </w:rPr>
        <w:t xml:space="preserve"> </w:t>
      </w:r>
      <w:r>
        <w:rPr>
          <w:sz w:val="20"/>
        </w:rPr>
        <w:t>propriedade</w:t>
      </w:r>
      <w:r>
        <w:rPr>
          <w:spacing w:val="-3"/>
          <w:sz w:val="20"/>
        </w:rPr>
        <w:t xml:space="preserve"> </w:t>
      </w:r>
      <w:r>
        <w:rPr>
          <w:sz w:val="20"/>
        </w:rPr>
        <w:t>individual</w:t>
      </w:r>
      <w:r>
        <w:rPr>
          <w:spacing w:val="-3"/>
          <w:sz w:val="20"/>
        </w:rPr>
        <w:t xml:space="preserve"> </w:t>
      </w:r>
      <w:r>
        <w:rPr>
          <w:sz w:val="20"/>
        </w:rPr>
        <w:t>é</w:t>
      </w:r>
      <w:r>
        <w:rPr>
          <w:spacing w:val="-3"/>
          <w:sz w:val="20"/>
        </w:rPr>
        <w:t xml:space="preserve"> </w:t>
      </w:r>
      <w:r>
        <w:rPr>
          <w:sz w:val="20"/>
        </w:rPr>
        <w:t>negar</w:t>
      </w:r>
      <w:r>
        <w:rPr>
          <w:spacing w:val="-2"/>
          <w:sz w:val="20"/>
        </w:rPr>
        <w:t xml:space="preserve"> </w:t>
      </w:r>
      <w:r>
        <w:rPr>
          <w:sz w:val="20"/>
        </w:rPr>
        <w:t>a</w:t>
      </w:r>
      <w:r>
        <w:rPr>
          <w:spacing w:val="-3"/>
          <w:sz w:val="20"/>
        </w:rPr>
        <w:t xml:space="preserve"> </w:t>
      </w:r>
      <w:r>
        <w:rPr>
          <w:sz w:val="20"/>
        </w:rPr>
        <w:t>própria</w:t>
      </w:r>
      <w:r>
        <w:rPr>
          <w:spacing w:val="-3"/>
          <w:sz w:val="20"/>
        </w:rPr>
        <w:t xml:space="preserve"> </w:t>
      </w:r>
      <w:r>
        <w:rPr>
          <w:sz w:val="20"/>
        </w:rPr>
        <w:t>natureza</w:t>
      </w:r>
      <w:r>
        <w:rPr>
          <w:spacing w:val="-3"/>
          <w:sz w:val="20"/>
        </w:rPr>
        <w:t xml:space="preserve"> </w:t>
      </w:r>
      <w:r>
        <w:rPr>
          <w:sz w:val="20"/>
        </w:rPr>
        <w:t>humana. A</w:t>
      </w:r>
      <w:r>
        <w:rPr>
          <w:spacing w:val="-5"/>
          <w:sz w:val="20"/>
        </w:rPr>
        <w:t xml:space="preserve"> </w:t>
      </w:r>
      <w:r>
        <w:rPr>
          <w:sz w:val="20"/>
        </w:rPr>
        <w:t>filosofia</w:t>
      </w:r>
      <w:r>
        <w:rPr>
          <w:spacing w:val="-1"/>
          <w:sz w:val="20"/>
        </w:rPr>
        <w:t xml:space="preserve"> </w:t>
      </w:r>
      <w:r>
        <w:rPr>
          <w:sz w:val="20"/>
        </w:rPr>
        <w:t>marxista</w:t>
      </w:r>
      <w:r>
        <w:rPr>
          <w:spacing w:val="-3"/>
          <w:sz w:val="20"/>
        </w:rPr>
        <w:t xml:space="preserve"> </w:t>
      </w:r>
      <w:r>
        <w:rPr>
          <w:sz w:val="20"/>
        </w:rPr>
        <w:t>tentou</w:t>
      </w:r>
      <w:r>
        <w:rPr>
          <w:spacing w:val="-2"/>
          <w:sz w:val="20"/>
        </w:rPr>
        <w:t xml:space="preserve"> </w:t>
      </w:r>
      <w:r>
        <w:rPr>
          <w:sz w:val="20"/>
        </w:rPr>
        <w:t>fazê-lo</w:t>
      </w:r>
      <w:r>
        <w:rPr>
          <w:spacing w:val="-2"/>
          <w:sz w:val="20"/>
        </w:rPr>
        <w:t xml:space="preserve"> </w:t>
      </w:r>
      <w:r>
        <w:rPr>
          <w:sz w:val="20"/>
        </w:rPr>
        <w:t>e rustrou-se na prática. Assim como em outros fenômenos sociais, como a família, o casamento, a filiação,</w:t>
      </w:r>
      <w:r>
        <w:rPr>
          <w:spacing w:val="40"/>
          <w:sz w:val="20"/>
        </w:rPr>
        <w:t xml:space="preserve"> </w:t>
      </w:r>
      <w:r>
        <w:rPr>
          <w:sz w:val="20"/>
        </w:rPr>
        <w:t xml:space="preserve">a sucessão, o contrato etc., o conceito de propriedade altera-se no tempo e no espaço.” (VENOSA, Silvio de Salvo. </w:t>
      </w:r>
      <w:r>
        <w:rPr>
          <w:b/>
          <w:sz w:val="20"/>
        </w:rPr>
        <w:t>Direito Civil</w:t>
      </w:r>
      <w:r>
        <w:rPr>
          <w:sz w:val="20"/>
        </w:rPr>
        <w:t>. 16. ed. São Paulo: Atlas, v.5, 2016, p. 181).</w:t>
      </w:r>
    </w:p>
    <w:p w:rsidR="007259F2" w:rsidRDefault="007259F2">
      <w:pPr>
        <w:jc w:val="both"/>
        <w:rPr>
          <w:sz w:val="20"/>
        </w:rPr>
        <w:sectPr w:rsidR="007259F2">
          <w:pgSz w:w="11910" w:h="16840"/>
          <w:pgMar w:top="1320" w:right="708" w:bottom="1160" w:left="992" w:header="0" w:footer="962" w:gutter="0"/>
          <w:cols w:space="720"/>
        </w:sectPr>
      </w:pPr>
    </w:p>
    <w:p w:rsidR="007259F2" w:rsidRDefault="00E655B4">
      <w:pPr>
        <w:pStyle w:val="Corpodetexto"/>
        <w:spacing w:before="69"/>
        <w:ind w:right="994" w:firstLine="0"/>
      </w:pPr>
      <w:r>
        <w:lastRenderedPageBreak/>
        <w:t>jurídicos, demonstrando assim seu liame a vontade do ser humano ao ponto de ser um fato de relevância jurídica.</w:t>
      </w:r>
      <w:r>
        <w:rPr>
          <w:vertAlign w:val="superscript"/>
        </w:rPr>
        <w:t>7</w:t>
      </w:r>
    </w:p>
    <w:p w:rsidR="007259F2" w:rsidRDefault="00E655B4">
      <w:pPr>
        <w:pStyle w:val="Corpodetexto"/>
        <w:spacing w:before="1"/>
        <w:ind w:right="987"/>
      </w:pPr>
      <w:r>
        <w:t>O Código Civil não traz o conceito da propriedade. Em vez disso estabelece quais são as faculdades e os poderes que o proprietário tem sobre a coisa.</w:t>
      </w:r>
      <w:r>
        <w:rPr>
          <w:vertAlign w:val="superscript"/>
        </w:rPr>
        <w:t>8</w:t>
      </w:r>
      <w:r>
        <w:t xml:space="preserve"> Assim está estabelecido</w:t>
      </w:r>
      <w:r>
        <w:rPr>
          <w:spacing w:val="-3"/>
        </w:rPr>
        <w:t xml:space="preserve"> </w:t>
      </w:r>
      <w:r>
        <w:t>no</w:t>
      </w:r>
      <w:r>
        <w:rPr>
          <w:spacing w:val="-1"/>
        </w:rPr>
        <w:t xml:space="preserve"> </w:t>
      </w:r>
      <w:r>
        <w:t>art.</w:t>
      </w:r>
      <w:r>
        <w:rPr>
          <w:spacing w:val="-6"/>
        </w:rPr>
        <w:t xml:space="preserve"> </w:t>
      </w:r>
      <w:r>
        <w:t>1.228</w:t>
      </w:r>
      <w:r>
        <w:rPr>
          <w:spacing w:val="-5"/>
        </w:rPr>
        <w:t xml:space="preserve"> </w:t>
      </w:r>
      <w:r>
        <w:t>do</w:t>
      </w:r>
      <w:r>
        <w:rPr>
          <w:spacing w:val="-3"/>
        </w:rPr>
        <w:t xml:space="preserve"> </w:t>
      </w:r>
      <w:r>
        <w:t>Código</w:t>
      </w:r>
      <w:r>
        <w:rPr>
          <w:spacing w:val="-6"/>
        </w:rPr>
        <w:t xml:space="preserve"> </w:t>
      </w:r>
      <w:r>
        <w:t>Civil</w:t>
      </w:r>
      <w:r>
        <w:rPr>
          <w:spacing w:val="-5"/>
        </w:rPr>
        <w:t xml:space="preserve"> </w:t>
      </w:r>
      <w:r>
        <w:t>“o</w:t>
      </w:r>
      <w:r>
        <w:rPr>
          <w:spacing w:val="-6"/>
        </w:rPr>
        <w:t xml:space="preserve"> </w:t>
      </w:r>
      <w:r>
        <w:t>proprietário</w:t>
      </w:r>
      <w:r>
        <w:rPr>
          <w:spacing w:val="-5"/>
        </w:rPr>
        <w:t xml:space="preserve"> </w:t>
      </w:r>
      <w:r>
        <w:t>tem</w:t>
      </w:r>
      <w:r>
        <w:rPr>
          <w:spacing w:val="-3"/>
        </w:rPr>
        <w:t xml:space="preserve"> </w:t>
      </w:r>
      <w:r>
        <w:t>a</w:t>
      </w:r>
      <w:r>
        <w:rPr>
          <w:spacing w:val="-4"/>
        </w:rPr>
        <w:t xml:space="preserve"> </w:t>
      </w:r>
      <w:r>
        <w:t>faculdade</w:t>
      </w:r>
      <w:r>
        <w:rPr>
          <w:spacing w:val="-5"/>
        </w:rPr>
        <w:t xml:space="preserve"> </w:t>
      </w:r>
      <w:r>
        <w:t>de</w:t>
      </w:r>
      <w:r>
        <w:rPr>
          <w:spacing w:val="-6"/>
        </w:rPr>
        <w:t xml:space="preserve"> </w:t>
      </w:r>
      <w:r>
        <w:t>usar,</w:t>
      </w:r>
      <w:r>
        <w:rPr>
          <w:spacing w:val="-3"/>
        </w:rPr>
        <w:t xml:space="preserve"> </w:t>
      </w:r>
      <w:r>
        <w:t>gozar e dispor da coisa, e o direito de reavê-la do poder de quem quer que injustamente a possua ou detenha.”.</w:t>
      </w:r>
    </w:p>
    <w:p w:rsidR="007259F2" w:rsidRDefault="00E655B4">
      <w:pPr>
        <w:pStyle w:val="Corpodetexto"/>
        <w:ind w:right="991"/>
      </w:pPr>
      <w:r>
        <w:t>Partindo-se desses poderes previstos no Código pode-se delinear o direito à propriedade com mais precisão.</w:t>
      </w:r>
    </w:p>
    <w:p w:rsidR="007259F2" w:rsidRDefault="00E655B4">
      <w:pPr>
        <w:pStyle w:val="Corpodetexto"/>
        <w:ind w:right="993"/>
      </w:pPr>
      <w:r>
        <w:t xml:space="preserve">A faculdade de usar, </w:t>
      </w:r>
      <w:r>
        <w:rPr>
          <w:i/>
        </w:rPr>
        <w:t>ius utendi</w:t>
      </w:r>
      <w:r>
        <w:t>, está atrelada a possibilidade de a coisa estar à disposição e a serviço do proprietário, pode este utilizá-la como lhe aprouver.</w:t>
      </w:r>
    </w:p>
    <w:p w:rsidR="007259F2" w:rsidRDefault="00E655B4">
      <w:pPr>
        <w:pStyle w:val="Corpodetexto"/>
        <w:ind w:right="986"/>
      </w:pPr>
      <w:r>
        <w:t>Já</w:t>
      </w:r>
      <w:r>
        <w:rPr>
          <w:spacing w:val="-1"/>
        </w:rPr>
        <w:t xml:space="preserve"> </w:t>
      </w:r>
      <w:r>
        <w:t>a</w:t>
      </w:r>
      <w:r>
        <w:rPr>
          <w:spacing w:val="-1"/>
        </w:rPr>
        <w:t xml:space="preserve"> </w:t>
      </w:r>
      <w:r>
        <w:t>faculdade</w:t>
      </w:r>
      <w:r>
        <w:rPr>
          <w:spacing w:val="-2"/>
        </w:rPr>
        <w:t xml:space="preserve"> </w:t>
      </w:r>
      <w:r>
        <w:t xml:space="preserve">de gozar, </w:t>
      </w:r>
      <w:r>
        <w:rPr>
          <w:i/>
        </w:rPr>
        <w:t>ius fruendi</w:t>
      </w:r>
      <w:r>
        <w:t>, refere-se</w:t>
      </w:r>
      <w:r>
        <w:rPr>
          <w:spacing w:val="-1"/>
        </w:rPr>
        <w:t xml:space="preserve"> </w:t>
      </w:r>
      <w:r>
        <w:t>à</w:t>
      </w:r>
      <w:r>
        <w:rPr>
          <w:spacing w:val="-1"/>
        </w:rPr>
        <w:t xml:space="preserve"> </w:t>
      </w:r>
      <w:r>
        <w:t>extração de</w:t>
      </w:r>
      <w:r>
        <w:rPr>
          <w:spacing w:val="-1"/>
        </w:rPr>
        <w:t xml:space="preserve"> </w:t>
      </w:r>
      <w:r>
        <w:t>frutos e</w:t>
      </w:r>
      <w:r>
        <w:rPr>
          <w:spacing w:val="-1"/>
        </w:rPr>
        <w:t xml:space="preserve"> </w:t>
      </w:r>
      <w:r>
        <w:t>produtos que derivam da coisa. Aqui evidencia-se que o acessório segue o principal, pois há uma presunção de que o proprietário deve ficar com o que sua propriedade gera. Há,</w:t>
      </w:r>
      <w:r>
        <w:rPr>
          <w:spacing w:val="40"/>
        </w:rPr>
        <w:t xml:space="preserve"> </w:t>
      </w:r>
      <w:r>
        <w:t>contudo, uma exceção legal prevista no art. 1.214</w:t>
      </w:r>
      <w:r>
        <w:rPr>
          <w:vertAlign w:val="superscript"/>
        </w:rPr>
        <w:t>9</w:t>
      </w:r>
      <w:r>
        <w:t>, do Código Civil, quando prevê que</w:t>
      </w:r>
      <w:r>
        <w:rPr>
          <w:spacing w:val="80"/>
        </w:rPr>
        <w:t xml:space="preserve"> </w:t>
      </w:r>
      <w:r>
        <w:t>o possuidor de boa-fé perceberá os frutos gerados.</w:t>
      </w:r>
    </w:p>
    <w:p w:rsidR="007259F2" w:rsidRDefault="00E655B4">
      <w:pPr>
        <w:pStyle w:val="Corpodetexto"/>
        <w:spacing w:before="1"/>
        <w:ind w:right="988"/>
      </w:pPr>
      <w:r>
        <w:t xml:space="preserve">Ainda, a faculdade de dispor, </w:t>
      </w:r>
      <w:r>
        <w:rPr>
          <w:i/>
        </w:rPr>
        <w:t>ius abutendi</w:t>
      </w:r>
      <w:r>
        <w:rPr>
          <w:i/>
          <w:vertAlign w:val="superscript"/>
        </w:rPr>
        <w:t>10</w:t>
      </w:r>
      <w:r>
        <w:t>, compreende a prerrogativa de consumir o bem, aliená-lo e permitir que seja gravado em quaisquer ônus. O domínio pode ensejar, inclusive, a destruição do bem, pois o proprietário, a rigor, é quem tem interesse no destino do bem.</w:t>
      </w:r>
      <w:r>
        <w:rPr>
          <w:vertAlign w:val="superscript"/>
        </w:rPr>
        <w:t>11</w:t>
      </w:r>
    </w:p>
    <w:p w:rsidR="007259F2" w:rsidRDefault="00E655B4">
      <w:pPr>
        <w:pStyle w:val="Corpodetexto"/>
        <w:ind w:right="990"/>
      </w:pPr>
      <w:r>
        <w:t>Merece destaque também tecer comentários sobre as três principais características</w:t>
      </w:r>
      <w:r>
        <w:rPr>
          <w:spacing w:val="-2"/>
        </w:rPr>
        <w:t xml:space="preserve"> </w:t>
      </w:r>
      <w:r>
        <w:t>da</w:t>
      </w:r>
      <w:r>
        <w:rPr>
          <w:spacing w:val="-2"/>
        </w:rPr>
        <w:t xml:space="preserve"> </w:t>
      </w:r>
      <w:r>
        <w:t>propriedade</w:t>
      </w:r>
      <w:r>
        <w:rPr>
          <w:spacing w:val="-3"/>
        </w:rPr>
        <w:t xml:space="preserve"> </w:t>
      </w:r>
      <w:r>
        <w:t>elencadas</w:t>
      </w:r>
      <w:r>
        <w:rPr>
          <w:spacing w:val="-2"/>
        </w:rPr>
        <w:t xml:space="preserve"> </w:t>
      </w:r>
      <w:r>
        <w:t>pela</w:t>
      </w:r>
      <w:r>
        <w:rPr>
          <w:spacing w:val="-2"/>
        </w:rPr>
        <w:t xml:space="preserve"> </w:t>
      </w:r>
      <w:r>
        <w:t>doutrina</w:t>
      </w:r>
      <w:r>
        <w:rPr>
          <w:spacing w:val="-3"/>
        </w:rPr>
        <w:t xml:space="preserve"> </w:t>
      </w:r>
      <w:r>
        <w:t>quais</w:t>
      </w:r>
      <w:r>
        <w:rPr>
          <w:spacing w:val="-2"/>
        </w:rPr>
        <w:t xml:space="preserve"> </w:t>
      </w:r>
      <w:r>
        <w:t>sejam,</w:t>
      </w:r>
      <w:r>
        <w:rPr>
          <w:spacing w:val="-2"/>
        </w:rPr>
        <w:t xml:space="preserve"> </w:t>
      </w:r>
      <w:r>
        <w:t>absoluto,</w:t>
      </w:r>
      <w:r>
        <w:rPr>
          <w:spacing w:val="-2"/>
        </w:rPr>
        <w:t xml:space="preserve"> </w:t>
      </w:r>
      <w:r>
        <w:t>exclusivo</w:t>
      </w:r>
      <w:r>
        <w:rPr>
          <w:spacing w:val="-6"/>
        </w:rPr>
        <w:t xml:space="preserve"> </w:t>
      </w:r>
      <w:r>
        <w:t xml:space="preserve">e </w:t>
      </w:r>
      <w:r>
        <w:rPr>
          <w:spacing w:val="-2"/>
        </w:rPr>
        <w:t>perpétuo.</w:t>
      </w:r>
    </w:p>
    <w:p w:rsidR="007259F2" w:rsidRDefault="00E655B4">
      <w:pPr>
        <w:pStyle w:val="Corpodetexto"/>
        <w:ind w:right="989"/>
      </w:pPr>
      <w:r>
        <w:t>Absoluto porque o titular do domínio pode exercer seus poderes em face de todos,</w:t>
      </w:r>
      <w:r>
        <w:rPr>
          <w:spacing w:val="40"/>
        </w:rPr>
        <w:t xml:space="preserve"> </w:t>
      </w:r>
      <w:r>
        <w:rPr>
          <w:i/>
        </w:rPr>
        <w:t>erga omnes</w:t>
      </w:r>
      <w:r>
        <w:t>. Está ligado à faculdade de dispor do bem segundo a vontade do proprietário nos limites impostos pelo ordenamento. Como exemplo dessa limitação trazemos</w:t>
      </w:r>
      <w:r>
        <w:rPr>
          <w:spacing w:val="40"/>
        </w:rPr>
        <w:t xml:space="preserve"> </w:t>
      </w:r>
      <w:r>
        <w:t>a</w:t>
      </w:r>
      <w:r>
        <w:rPr>
          <w:spacing w:val="40"/>
        </w:rPr>
        <w:t xml:space="preserve"> </w:t>
      </w:r>
      <w:r>
        <w:t>colação</w:t>
      </w:r>
      <w:r>
        <w:rPr>
          <w:spacing w:val="40"/>
        </w:rPr>
        <w:t xml:space="preserve"> </w:t>
      </w:r>
      <w:r>
        <w:t>os artigos 1.229 e 1.230,</w:t>
      </w:r>
      <w:r>
        <w:rPr>
          <w:vertAlign w:val="superscript"/>
        </w:rPr>
        <w:t>12</w:t>
      </w:r>
      <w:r>
        <w:t xml:space="preserve"> do Código Civil, que estabelecem</w:t>
      </w:r>
      <w:r>
        <w:rPr>
          <w:spacing w:val="40"/>
        </w:rPr>
        <w:t xml:space="preserve"> </w:t>
      </w:r>
      <w:r>
        <w:t>limites à exploração do solo e do</w:t>
      </w:r>
      <w:r>
        <w:rPr>
          <w:spacing w:val="80"/>
        </w:rPr>
        <w:t xml:space="preserve"> </w:t>
      </w:r>
      <w:r>
        <w:t>espaço aéreo circunscrito ao bem imóvel.</w:t>
      </w:r>
    </w:p>
    <w:p w:rsidR="007259F2" w:rsidRDefault="00DE6B1C">
      <w:pPr>
        <w:pStyle w:val="Corpodetexto"/>
        <w:spacing w:before="165"/>
        <w:ind w:left="0" w:firstLine="0"/>
        <w:jc w:val="left"/>
        <w:rPr>
          <w:sz w:val="20"/>
        </w:rPr>
      </w:pPr>
      <w:r w:rsidRPr="00DE6B1C">
        <w:rPr>
          <w:sz w:val="20"/>
        </w:rPr>
        <w:pict>
          <v:rect id="docshape30" o:spid="_x0000_s1196" style="position:absolute;margin-left:85.1pt;margin-top:20.95pt;width:2in;height:.7pt;z-index:-15721472;mso-wrap-distance-left:0;mso-wrap-distance-right:0;mso-position-horizontal-relative:page" fillcolor="black" stroked="f">
            <w10:wrap type="topAndBottom" anchorx="page"/>
          </v:rect>
        </w:pict>
      </w:r>
    </w:p>
    <w:p w:rsidR="007259F2" w:rsidRDefault="00E655B4">
      <w:pPr>
        <w:spacing w:before="96"/>
        <w:ind w:left="710" w:right="996"/>
        <w:jc w:val="both"/>
        <w:rPr>
          <w:sz w:val="20"/>
        </w:rPr>
      </w:pPr>
      <w:r>
        <w:rPr>
          <w:sz w:val="20"/>
          <w:vertAlign w:val="superscript"/>
        </w:rPr>
        <w:t>7</w:t>
      </w:r>
      <w:r>
        <w:rPr>
          <w:sz w:val="20"/>
        </w:rPr>
        <w:t xml:space="preserve"> “De fato, a propriedade sempre foi ínsita à própria natureza humana, tanto é que se mantém historicamente conservada e respeitada pelos homens no seu convívio social.” (FRANCESCET; AGRIÃO; DIAS, </w:t>
      </w:r>
      <w:r>
        <w:rPr>
          <w:i/>
          <w:sz w:val="20"/>
        </w:rPr>
        <w:t>op.cit</w:t>
      </w:r>
      <w:r>
        <w:rPr>
          <w:sz w:val="20"/>
        </w:rPr>
        <w:t>., 2024, p. 357).</w:t>
      </w:r>
    </w:p>
    <w:p w:rsidR="007259F2" w:rsidRDefault="00E655B4">
      <w:pPr>
        <w:ind w:left="710" w:right="1000"/>
        <w:jc w:val="both"/>
        <w:rPr>
          <w:sz w:val="20"/>
        </w:rPr>
      </w:pPr>
      <w:r>
        <w:rPr>
          <w:sz w:val="20"/>
          <w:vertAlign w:val="superscript"/>
        </w:rPr>
        <w:t>8</w:t>
      </w:r>
      <w:r>
        <w:rPr>
          <w:sz w:val="20"/>
        </w:rPr>
        <w:t xml:space="preserve"> “Trata-se do poder de senhoria de que falamos no início deste livro. O Código preferiu descrever de forma analítica os poderes do proprietário (ius utendi, fruendi, abutendi) a definir a propriedade.”. (VENOSA, </w:t>
      </w:r>
      <w:r>
        <w:rPr>
          <w:i/>
          <w:sz w:val="20"/>
        </w:rPr>
        <w:t>op.cit</w:t>
      </w:r>
      <w:r>
        <w:rPr>
          <w:sz w:val="20"/>
        </w:rPr>
        <w:t>., 2016, p. 184).</w:t>
      </w:r>
    </w:p>
    <w:p w:rsidR="007259F2" w:rsidRDefault="00E655B4">
      <w:pPr>
        <w:ind w:left="710"/>
        <w:jc w:val="both"/>
        <w:rPr>
          <w:sz w:val="20"/>
        </w:rPr>
      </w:pPr>
      <w:r>
        <w:rPr>
          <w:sz w:val="20"/>
          <w:vertAlign w:val="superscript"/>
        </w:rPr>
        <w:t>9</w:t>
      </w:r>
      <w:r>
        <w:rPr>
          <w:spacing w:val="-5"/>
          <w:sz w:val="20"/>
        </w:rPr>
        <w:t xml:space="preserve"> </w:t>
      </w:r>
      <w:r>
        <w:rPr>
          <w:sz w:val="20"/>
        </w:rPr>
        <w:t>“Art.</w:t>
      </w:r>
      <w:r>
        <w:rPr>
          <w:spacing w:val="-4"/>
          <w:sz w:val="20"/>
        </w:rPr>
        <w:t xml:space="preserve"> </w:t>
      </w:r>
      <w:r>
        <w:rPr>
          <w:sz w:val="20"/>
        </w:rPr>
        <w:t>1.214.</w:t>
      </w:r>
      <w:r>
        <w:rPr>
          <w:spacing w:val="-4"/>
          <w:sz w:val="20"/>
        </w:rPr>
        <w:t xml:space="preserve"> </w:t>
      </w:r>
      <w:r>
        <w:rPr>
          <w:sz w:val="20"/>
        </w:rPr>
        <w:t>O</w:t>
      </w:r>
      <w:r>
        <w:rPr>
          <w:spacing w:val="-6"/>
          <w:sz w:val="20"/>
        </w:rPr>
        <w:t xml:space="preserve"> </w:t>
      </w:r>
      <w:r>
        <w:rPr>
          <w:sz w:val="20"/>
        </w:rPr>
        <w:t>possuidor</w:t>
      </w:r>
      <w:r>
        <w:rPr>
          <w:spacing w:val="-4"/>
          <w:sz w:val="20"/>
        </w:rPr>
        <w:t xml:space="preserve"> </w:t>
      </w:r>
      <w:r>
        <w:rPr>
          <w:sz w:val="20"/>
        </w:rPr>
        <w:t>de</w:t>
      </w:r>
      <w:r>
        <w:rPr>
          <w:spacing w:val="-4"/>
          <w:sz w:val="20"/>
        </w:rPr>
        <w:t xml:space="preserve"> </w:t>
      </w:r>
      <w:r>
        <w:rPr>
          <w:sz w:val="20"/>
        </w:rPr>
        <w:t>boa-fé</w:t>
      </w:r>
      <w:r>
        <w:rPr>
          <w:spacing w:val="-4"/>
          <w:sz w:val="20"/>
        </w:rPr>
        <w:t xml:space="preserve"> </w:t>
      </w:r>
      <w:r>
        <w:rPr>
          <w:sz w:val="20"/>
        </w:rPr>
        <w:t>tem</w:t>
      </w:r>
      <w:r>
        <w:rPr>
          <w:spacing w:val="-6"/>
          <w:sz w:val="20"/>
        </w:rPr>
        <w:t xml:space="preserve"> </w:t>
      </w:r>
      <w:r>
        <w:rPr>
          <w:sz w:val="20"/>
        </w:rPr>
        <w:t>direito,</w:t>
      </w:r>
      <w:r>
        <w:rPr>
          <w:spacing w:val="-4"/>
          <w:sz w:val="20"/>
        </w:rPr>
        <w:t xml:space="preserve"> </w:t>
      </w:r>
      <w:r>
        <w:rPr>
          <w:sz w:val="20"/>
        </w:rPr>
        <w:t>enquanto</w:t>
      </w:r>
      <w:r>
        <w:rPr>
          <w:spacing w:val="-4"/>
          <w:sz w:val="20"/>
        </w:rPr>
        <w:t xml:space="preserve"> </w:t>
      </w:r>
      <w:r>
        <w:rPr>
          <w:sz w:val="20"/>
        </w:rPr>
        <w:t>ela</w:t>
      </w:r>
      <w:r>
        <w:rPr>
          <w:spacing w:val="-4"/>
          <w:sz w:val="20"/>
        </w:rPr>
        <w:t xml:space="preserve"> </w:t>
      </w:r>
      <w:r>
        <w:rPr>
          <w:sz w:val="20"/>
        </w:rPr>
        <w:t>durar,</w:t>
      </w:r>
      <w:r>
        <w:rPr>
          <w:spacing w:val="-4"/>
          <w:sz w:val="20"/>
        </w:rPr>
        <w:t xml:space="preserve"> </w:t>
      </w:r>
      <w:r>
        <w:rPr>
          <w:sz w:val="20"/>
        </w:rPr>
        <w:t>aos</w:t>
      </w:r>
      <w:r>
        <w:rPr>
          <w:spacing w:val="-5"/>
          <w:sz w:val="20"/>
        </w:rPr>
        <w:t xml:space="preserve"> </w:t>
      </w:r>
      <w:r>
        <w:rPr>
          <w:sz w:val="20"/>
        </w:rPr>
        <w:t>frutos</w:t>
      </w:r>
      <w:r>
        <w:rPr>
          <w:spacing w:val="-5"/>
          <w:sz w:val="20"/>
        </w:rPr>
        <w:t xml:space="preserve"> </w:t>
      </w:r>
      <w:r>
        <w:rPr>
          <w:spacing w:val="-2"/>
          <w:sz w:val="20"/>
        </w:rPr>
        <w:t>percebidos.”</w:t>
      </w:r>
    </w:p>
    <w:p w:rsidR="007259F2" w:rsidRDefault="00E655B4">
      <w:pPr>
        <w:spacing w:before="1"/>
        <w:ind w:left="710" w:right="996"/>
        <w:jc w:val="both"/>
        <w:rPr>
          <w:sz w:val="20"/>
        </w:rPr>
      </w:pPr>
      <w:r>
        <w:rPr>
          <w:sz w:val="20"/>
          <w:vertAlign w:val="superscript"/>
        </w:rPr>
        <w:t>10</w:t>
      </w:r>
      <w:r>
        <w:rPr>
          <w:sz w:val="20"/>
        </w:rPr>
        <w:t xml:space="preserve"> “A expressão abutendi do Direito Romano não pode ser simplesmente entendido como abusar da coisa, que dá ideia de poder ilimitado, ideia não verdadeira mesmo no direito antigo. Abutendi não possui o sentido nem de destruir, mas de consumir. Daí por que o termo utilizado na lei, disposição, é mais adequado. Não se distancia, contudo, do sentido de destruição da coisa quando o proprietário a aliena,</w:t>
      </w:r>
      <w:r>
        <w:rPr>
          <w:spacing w:val="40"/>
          <w:sz w:val="20"/>
        </w:rPr>
        <w:t xml:space="preserve"> </w:t>
      </w:r>
      <w:r>
        <w:rPr>
          <w:sz w:val="20"/>
        </w:rPr>
        <w:t xml:space="preserve">pois o bem desaparece de seu patrimônio.” (VENOSA, </w:t>
      </w:r>
      <w:r>
        <w:rPr>
          <w:i/>
          <w:sz w:val="20"/>
        </w:rPr>
        <w:t>op.cit</w:t>
      </w:r>
      <w:r>
        <w:rPr>
          <w:sz w:val="20"/>
        </w:rPr>
        <w:t>., 2016, p. 185).</w:t>
      </w:r>
    </w:p>
    <w:p w:rsidR="007259F2" w:rsidRDefault="00E655B4">
      <w:pPr>
        <w:ind w:left="710" w:right="990"/>
        <w:rPr>
          <w:sz w:val="20"/>
        </w:rPr>
      </w:pPr>
      <w:r>
        <w:rPr>
          <w:sz w:val="20"/>
          <w:vertAlign w:val="superscript"/>
        </w:rPr>
        <w:t>11</w:t>
      </w:r>
      <w:r>
        <w:rPr>
          <w:sz w:val="20"/>
        </w:rPr>
        <w:t xml:space="preserve"> COELHO, Fábio Ulhoa. </w:t>
      </w:r>
      <w:r>
        <w:rPr>
          <w:b/>
          <w:sz w:val="20"/>
        </w:rPr>
        <w:t>Direito civil</w:t>
      </w:r>
      <w:r>
        <w:rPr>
          <w:sz w:val="20"/>
        </w:rPr>
        <w:t xml:space="preserve">. 1. ed. São Paulo: Thomson Reuters Brasil, 2022, RB-43.3. E- book. Disponível em: </w:t>
      </w:r>
      <w:hyperlink r:id="rId52">
        <w:r>
          <w:rPr>
            <w:sz w:val="20"/>
          </w:rPr>
          <w:t>https://proview.thomsonreuters.com/launchapp/title/rt/monografias/282422094/v1/page/1.</w:t>
        </w:r>
      </w:hyperlink>
      <w:r>
        <w:rPr>
          <w:spacing w:val="-13"/>
          <w:sz w:val="20"/>
        </w:rPr>
        <w:t xml:space="preserve"> </w:t>
      </w:r>
      <w:r>
        <w:rPr>
          <w:sz w:val="20"/>
        </w:rPr>
        <w:t>Acesso</w:t>
      </w:r>
      <w:r>
        <w:rPr>
          <w:spacing w:val="-11"/>
          <w:sz w:val="20"/>
        </w:rPr>
        <w:t xml:space="preserve"> </w:t>
      </w:r>
      <w:r>
        <w:rPr>
          <w:sz w:val="20"/>
        </w:rPr>
        <w:t>em:</w:t>
      </w:r>
      <w:r>
        <w:rPr>
          <w:spacing w:val="-12"/>
          <w:sz w:val="20"/>
        </w:rPr>
        <w:t xml:space="preserve"> </w:t>
      </w:r>
      <w:r>
        <w:rPr>
          <w:sz w:val="20"/>
        </w:rPr>
        <w:t>10 jan. 2025.</w:t>
      </w:r>
    </w:p>
    <w:p w:rsidR="007259F2" w:rsidRDefault="00E655B4">
      <w:pPr>
        <w:ind w:left="710" w:right="988"/>
        <w:jc w:val="both"/>
        <w:rPr>
          <w:sz w:val="20"/>
        </w:rPr>
      </w:pPr>
      <w:r>
        <w:rPr>
          <w:sz w:val="20"/>
          <w:vertAlign w:val="superscript"/>
        </w:rPr>
        <w:t>12</w:t>
      </w:r>
      <w:r>
        <w:rPr>
          <w:sz w:val="20"/>
        </w:rPr>
        <w:t xml:space="preserve"> “Art. 1.229. A propriedade do solo abrange a do espaço aéreo e subsolo correspondentes, em altura e profundidade úteis ao seu exercício, não podendo o proprietário opor-se a atividades que sejam</w:t>
      </w:r>
      <w:r>
        <w:rPr>
          <w:spacing w:val="80"/>
          <w:sz w:val="20"/>
        </w:rPr>
        <w:t xml:space="preserve"> </w:t>
      </w:r>
      <w:r>
        <w:rPr>
          <w:sz w:val="20"/>
        </w:rPr>
        <w:t xml:space="preserve">realizadas, por terceiros, a uma altura ou profundidade tais, que não tenha ele interesse legítimo em </w:t>
      </w:r>
      <w:r>
        <w:rPr>
          <w:spacing w:val="-2"/>
          <w:sz w:val="20"/>
        </w:rPr>
        <w:t>impedi-las.</w:t>
      </w:r>
    </w:p>
    <w:p w:rsidR="007259F2" w:rsidRDefault="00E655B4">
      <w:pPr>
        <w:ind w:left="710" w:right="994"/>
        <w:jc w:val="both"/>
        <w:rPr>
          <w:sz w:val="20"/>
        </w:rPr>
      </w:pPr>
      <w:r>
        <w:rPr>
          <w:sz w:val="20"/>
        </w:rPr>
        <w:t>Art.</w:t>
      </w:r>
      <w:r>
        <w:rPr>
          <w:spacing w:val="-1"/>
          <w:sz w:val="20"/>
        </w:rPr>
        <w:t xml:space="preserve"> </w:t>
      </w:r>
      <w:r>
        <w:rPr>
          <w:sz w:val="20"/>
        </w:rPr>
        <w:t>1.230.</w:t>
      </w:r>
      <w:r>
        <w:rPr>
          <w:spacing w:val="-1"/>
          <w:sz w:val="20"/>
        </w:rPr>
        <w:t xml:space="preserve"> </w:t>
      </w:r>
      <w:r>
        <w:rPr>
          <w:sz w:val="20"/>
        </w:rPr>
        <w:t>A</w:t>
      </w:r>
      <w:r>
        <w:rPr>
          <w:spacing w:val="-3"/>
          <w:sz w:val="20"/>
        </w:rPr>
        <w:t xml:space="preserve"> </w:t>
      </w:r>
      <w:r>
        <w:rPr>
          <w:sz w:val="20"/>
        </w:rPr>
        <w:t>propriedade</w:t>
      </w:r>
      <w:r>
        <w:rPr>
          <w:spacing w:val="-3"/>
          <w:sz w:val="20"/>
        </w:rPr>
        <w:t xml:space="preserve"> </w:t>
      </w:r>
      <w:r>
        <w:rPr>
          <w:sz w:val="20"/>
        </w:rPr>
        <w:t>do</w:t>
      </w:r>
      <w:r>
        <w:rPr>
          <w:spacing w:val="-2"/>
          <w:sz w:val="20"/>
        </w:rPr>
        <w:t xml:space="preserve"> </w:t>
      </w:r>
      <w:r>
        <w:rPr>
          <w:sz w:val="20"/>
        </w:rPr>
        <w:t>solo não abrange</w:t>
      </w:r>
      <w:r>
        <w:rPr>
          <w:spacing w:val="-1"/>
          <w:sz w:val="20"/>
        </w:rPr>
        <w:t xml:space="preserve"> </w:t>
      </w:r>
      <w:r>
        <w:rPr>
          <w:sz w:val="20"/>
        </w:rPr>
        <w:t>as</w:t>
      </w:r>
      <w:r>
        <w:rPr>
          <w:spacing w:val="-1"/>
          <w:sz w:val="20"/>
        </w:rPr>
        <w:t xml:space="preserve"> </w:t>
      </w:r>
      <w:r>
        <w:rPr>
          <w:sz w:val="20"/>
        </w:rPr>
        <w:t>jazidas, minas</w:t>
      </w:r>
      <w:r>
        <w:rPr>
          <w:spacing w:val="-1"/>
          <w:sz w:val="20"/>
        </w:rPr>
        <w:t xml:space="preserve"> </w:t>
      </w:r>
      <w:r>
        <w:rPr>
          <w:sz w:val="20"/>
        </w:rPr>
        <w:t>e</w:t>
      </w:r>
      <w:r>
        <w:rPr>
          <w:spacing w:val="-1"/>
          <w:sz w:val="20"/>
        </w:rPr>
        <w:t xml:space="preserve"> </w:t>
      </w:r>
      <w:r>
        <w:rPr>
          <w:sz w:val="20"/>
        </w:rPr>
        <w:t>demais</w:t>
      </w:r>
      <w:r>
        <w:rPr>
          <w:spacing w:val="-1"/>
          <w:sz w:val="20"/>
        </w:rPr>
        <w:t xml:space="preserve"> </w:t>
      </w:r>
      <w:r>
        <w:rPr>
          <w:sz w:val="20"/>
        </w:rPr>
        <w:t>recursos minerais,</w:t>
      </w:r>
      <w:r>
        <w:rPr>
          <w:spacing w:val="-1"/>
          <w:sz w:val="20"/>
        </w:rPr>
        <w:t xml:space="preserve"> </w:t>
      </w:r>
      <w:r>
        <w:rPr>
          <w:sz w:val="20"/>
        </w:rPr>
        <w:t>os</w:t>
      </w:r>
      <w:r>
        <w:rPr>
          <w:spacing w:val="-1"/>
          <w:sz w:val="20"/>
        </w:rPr>
        <w:t xml:space="preserve"> </w:t>
      </w:r>
      <w:r>
        <w:rPr>
          <w:sz w:val="20"/>
        </w:rPr>
        <w:t>potenciais de energia hidráulica, os monumentos arqueológicos e outros bens referidos por leis especiais.</w:t>
      </w:r>
    </w:p>
    <w:p w:rsidR="007259F2" w:rsidRDefault="00E655B4">
      <w:pPr>
        <w:ind w:left="710" w:right="998"/>
        <w:jc w:val="both"/>
        <w:rPr>
          <w:sz w:val="20"/>
        </w:rPr>
      </w:pPr>
      <w:r>
        <w:rPr>
          <w:sz w:val="20"/>
        </w:rPr>
        <w:t>Parágrafo único. O proprietário do solo tem o direito de explorar os recursos minerais de emprego imediato na construção civil, desde que não submetidos a transformação industrial, obedecido o disposto em lei especial.”</w:t>
      </w:r>
    </w:p>
    <w:p w:rsidR="007259F2" w:rsidRDefault="007259F2">
      <w:pPr>
        <w:jc w:val="both"/>
        <w:rPr>
          <w:sz w:val="20"/>
        </w:rPr>
        <w:sectPr w:rsidR="007259F2">
          <w:pgSz w:w="11910" w:h="16840"/>
          <w:pgMar w:top="1320" w:right="708" w:bottom="1160" w:left="992" w:header="0" w:footer="962" w:gutter="0"/>
          <w:cols w:space="720"/>
        </w:sectPr>
      </w:pPr>
    </w:p>
    <w:p w:rsidR="007259F2" w:rsidRDefault="00E655B4">
      <w:pPr>
        <w:pStyle w:val="Corpodetexto"/>
        <w:spacing w:before="69"/>
        <w:ind w:right="990"/>
      </w:pPr>
      <w:r>
        <w:lastRenderedPageBreak/>
        <w:t>O caráter exclusivo da propriedade extrai-se do art. 1.231, do Código Civil, ao definir que “a propriedade presume-se plena e exclusiva, até prova em contrário”. Logo é do titular o direito pleno de exercer seus poderes sobre o bem pode repelir qualquer pessoa que esteja usando contra sua vontade o bem.</w:t>
      </w:r>
    </w:p>
    <w:p w:rsidR="007259F2" w:rsidRDefault="00E655B4">
      <w:pPr>
        <w:pStyle w:val="Corpodetexto"/>
        <w:spacing w:before="1"/>
        <w:ind w:right="997"/>
      </w:pPr>
      <w:r>
        <w:t>Por fim, é perpétuo porquanto o direito dura por tempo indeterminado somente se extinguindo por vontade do proprietário ou por determinação da lei.</w:t>
      </w:r>
    </w:p>
    <w:p w:rsidR="007259F2" w:rsidRDefault="00E655B4">
      <w:pPr>
        <w:pStyle w:val="Heading2"/>
        <w:numPr>
          <w:ilvl w:val="0"/>
          <w:numId w:val="42"/>
        </w:numPr>
        <w:tabs>
          <w:tab w:val="left" w:pos="1780"/>
        </w:tabs>
        <w:spacing w:before="206"/>
        <w:jc w:val="both"/>
      </w:pPr>
      <w:r>
        <w:t>Função</w:t>
      </w:r>
      <w:r>
        <w:rPr>
          <w:spacing w:val="-2"/>
        </w:rPr>
        <w:t xml:space="preserve"> </w:t>
      </w:r>
      <w:r>
        <w:t>Social</w:t>
      </w:r>
      <w:r>
        <w:rPr>
          <w:spacing w:val="-1"/>
        </w:rPr>
        <w:t xml:space="preserve"> </w:t>
      </w:r>
      <w:r>
        <w:t>da</w:t>
      </w:r>
      <w:r>
        <w:rPr>
          <w:spacing w:val="-1"/>
        </w:rPr>
        <w:t xml:space="preserve"> </w:t>
      </w:r>
      <w:r>
        <w:rPr>
          <w:spacing w:val="-2"/>
        </w:rPr>
        <w:t>Propriedade</w:t>
      </w:r>
    </w:p>
    <w:p w:rsidR="007259F2" w:rsidRDefault="00E655B4">
      <w:pPr>
        <w:pStyle w:val="Corpodetexto"/>
        <w:spacing w:before="115"/>
        <w:ind w:right="992"/>
      </w:pPr>
      <w:r>
        <w:t>Esses elementos indicados acima constituem o núcleo principal do direito à propriedade considerado na sua perspectiva individual. Com é cediço, a Constituição de 1988 consagrou o a propriedade como direito fundamental individual no art. 5º, XXII. No entanto, previu também que essa mesma propriedade atenderá sua função social, no inciso XXIII.</w:t>
      </w:r>
    </w:p>
    <w:p w:rsidR="007259F2" w:rsidRDefault="00E655B4">
      <w:pPr>
        <w:pStyle w:val="Corpodetexto"/>
        <w:spacing w:before="121"/>
        <w:ind w:right="986"/>
      </w:pPr>
      <w:r>
        <w:t>A função social se tornou ponto fundamental para a compreensão completa da propriedade</w:t>
      </w:r>
      <w:r>
        <w:rPr>
          <w:spacing w:val="40"/>
        </w:rPr>
        <w:t xml:space="preserve"> </w:t>
      </w:r>
      <w:r>
        <w:t>e</w:t>
      </w:r>
      <w:r>
        <w:rPr>
          <w:spacing w:val="40"/>
        </w:rPr>
        <w:t xml:space="preserve"> </w:t>
      </w:r>
      <w:r>
        <w:t>do</w:t>
      </w:r>
      <w:r>
        <w:rPr>
          <w:spacing w:val="40"/>
        </w:rPr>
        <w:t xml:space="preserve"> </w:t>
      </w:r>
      <w:r>
        <w:t>papel</w:t>
      </w:r>
      <w:r>
        <w:rPr>
          <w:spacing w:val="40"/>
        </w:rPr>
        <w:t xml:space="preserve"> </w:t>
      </w:r>
      <w:r>
        <w:t>do</w:t>
      </w:r>
      <w:r>
        <w:rPr>
          <w:spacing w:val="40"/>
        </w:rPr>
        <w:t xml:space="preserve"> </w:t>
      </w:r>
      <w:r>
        <w:t>Estado</w:t>
      </w:r>
      <w:r>
        <w:rPr>
          <w:spacing w:val="40"/>
        </w:rPr>
        <w:t xml:space="preserve"> </w:t>
      </w:r>
      <w:r>
        <w:t>na</w:t>
      </w:r>
      <w:r>
        <w:rPr>
          <w:spacing w:val="40"/>
        </w:rPr>
        <w:t xml:space="preserve"> </w:t>
      </w:r>
      <w:r>
        <w:t>sociedade</w:t>
      </w:r>
      <w:r>
        <w:rPr>
          <w:spacing w:val="40"/>
        </w:rPr>
        <w:t xml:space="preserve"> </w:t>
      </w:r>
      <w:r>
        <w:t>e</w:t>
      </w:r>
      <w:r>
        <w:rPr>
          <w:spacing w:val="40"/>
        </w:rPr>
        <w:t xml:space="preserve"> </w:t>
      </w:r>
      <w:r>
        <w:t>na</w:t>
      </w:r>
      <w:r>
        <w:rPr>
          <w:spacing w:val="40"/>
        </w:rPr>
        <w:t xml:space="preserve"> </w:t>
      </w:r>
      <w:r>
        <w:t>economia.</w:t>
      </w:r>
      <w:r>
        <w:rPr>
          <w:vertAlign w:val="superscript"/>
        </w:rPr>
        <w:t>13</w:t>
      </w:r>
      <w:r>
        <w:rPr>
          <w:spacing w:val="40"/>
        </w:rPr>
        <w:t xml:space="preserve"> </w:t>
      </w:r>
      <w:r>
        <w:t>Antes</w:t>
      </w:r>
      <w:r>
        <w:rPr>
          <w:spacing w:val="40"/>
        </w:rPr>
        <w:t xml:space="preserve"> </w:t>
      </w:r>
      <w:r>
        <w:t xml:space="preserve">da Constituição </w:t>
      </w:r>
      <w:bookmarkStart w:id="5" w:name="_bookmark5"/>
      <w:bookmarkEnd w:id="5"/>
      <w:r>
        <w:t>de 1988 já havia previsões esparsas sobre interesse social que a propriedade era dotada</w:t>
      </w:r>
      <w:r>
        <w:rPr>
          <w:vertAlign w:val="superscript"/>
        </w:rPr>
        <w:t>14</w:t>
      </w:r>
      <w:r>
        <w:t>, porém foi na nova ordem constitucional inaugurada que a função social foi elevada à direito fundamental.</w:t>
      </w:r>
    </w:p>
    <w:p w:rsidR="007259F2" w:rsidRDefault="00E655B4">
      <w:pPr>
        <w:pStyle w:val="Corpodetexto"/>
        <w:ind w:right="987"/>
      </w:pPr>
      <w:r>
        <w:t>A concepção de que o caráter absoluto e super individualista da propriedade era sua característica mais evidente e somente os interesse do titular tinham proteção frente a incursões de terceiros cedeu espaço, sobretudo no século XX</w:t>
      </w:r>
      <w:r>
        <w:rPr>
          <w:vertAlign w:val="superscript"/>
        </w:rPr>
        <w:t>15</w:t>
      </w:r>
      <w:r>
        <w:t>, a uma noção que ambém prestigia os interesses coletivos dentro do Estado de Direito e inseriu contornos existenciais a propriedade.</w:t>
      </w:r>
      <w:r>
        <w:rPr>
          <w:vertAlign w:val="superscript"/>
        </w:rPr>
        <w:t>16</w:t>
      </w:r>
    </w:p>
    <w:p w:rsidR="007259F2" w:rsidRDefault="00DE6B1C">
      <w:pPr>
        <w:pStyle w:val="Corpodetexto"/>
        <w:spacing w:before="129"/>
        <w:ind w:left="0" w:firstLine="0"/>
        <w:jc w:val="left"/>
        <w:rPr>
          <w:sz w:val="20"/>
        </w:rPr>
      </w:pPr>
      <w:r w:rsidRPr="00DE6B1C">
        <w:rPr>
          <w:sz w:val="20"/>
        </w:rPr>
        <w:pict>
          <v:rect id="docshape31" o:spid="_x0000_s1195" style="position:absolute;margin-left:85.1pt;margin-top:19.2pt;width:2in;height:.7pt;z-index:-15720960;mso-wrap-distance-left:0;mso-wrap-distance-right:0;mso-position-horizontal-relative:page" fillcolor="black" stroked="f">
            <w10:wrap type="topAndBottom" anchorx="page"/>
          </v:rect>
        </w:pict>
      </w:r>
    </w:p>
    <w:p w:rsidR="007259F2" w:rsidRDefault="00E655B4">
      <w:pPr>
        <w:spacing w:before="197"/>
        <w:ind w:left="710" w:right="1057"/>
        <w:jc w:val="both"/>
        <w:rPr>
          <w:sz w:val="20"/>
        </w:rPr>
      </w:pPr>
      <w:r>
        <w:rPr>
          <w:sz w:val="20"/>
          <w:vertAlign w:val="superscript"/>
        </w:rPr>
        <w:t>13</w:t>
      </w:r>
      <w:r>
        <w:rPr>
          <w:spacing w:val="-3"/>
          <w:sz w:val="20"/>
        </w:rPr>
        <w:t xml:space="preserve"> </w:t>
      </w:r>
      <w:r>
        <w:rPr>
          <w:sz w:val="20"/>
        </w:rPr>
        <w:t>“Controvérsias</w:t>
      </w:r>
      <w:r>
        <w:rPr>
          <w:spacing w:val="-3"/>
          <w:sz w:val="20"/>
        </w:rPr>
        <w:t xml:space="preserve"> </w:t>
      </w:r>
      <w:r>
        <w:rPr>
          <w:sz w:val="20"/>
        </w:rPr>
        <w:t>à</w:t>
      </w:r>
      <w:r>
        <w:rPr>
          <w:spacing w:val="-3"/>
          <w:sz w:val="20"/>
        </w:rPr>
        <w:t xml:space="preserve"> </w:t>
      </w:r>
      <w:r>
        <w:rPr>
          <w:sz w:val="20"/>
        </w:rPr>
        <w:t>parte,</w:t>
      </w:r>
      <w:r>
        <w:rPr>
          <w:spacing w:val="-3"/>
          <w:sz w:val="20"/>
        </w:rPr>
        <w:t xml:space="preserve"> </w:t>
      </w:r>
      <w:r>
        <w:rPr>
          <w:sz w:val="20"/>
        </w:rPr>
        <w:t>não</w:t>
      </w:r>
      <w:r>
        <w:rPr>
          <w:spacing w:val="-2"/>
          <w:sz w:val="20"/>
        </w:rPr>
        <w:t xml:space="preserve"> </w:t>
      </w:r>
      <w:r>
        <w:rPr>
          <w:sz w:val="20"/>
        </w:rPr>
        <w:t>há</w:t>
      </w:r>
      <w:r>
        <w:rPr>
          <w:spacing w:val="-3"/>
          <w:sz w:val="20"/>
        </w:rPr>
        <w:t xml:space="preserve"> </w:t>
      </w:r>
      <w:r>
        <w:rPr>
          <w:sz w:val="20"/>
        </w:rPr>
        <w:t>dúvida</w:t>
      </w:r>
      <w:r>
        <w:rPr>
          <w:spacing w:val="-3"/>
          <w:sz w:val="20"/>
        </w:rPr>
        <w:t xml:space="preserve"> </w:t>
      </w:r>
      <w:r>
        <w:rPr>
          <w:sz w:val="20"/>
        </w:rPr>
        <w:t>de</w:t>
      </w:r>
      <w:r>
        <w:rPr>
          <w:spacing w:val="-3"/>
          <w:sz w:val="20"/>
        </w:rPr>
        <w:t xml:space="preserve"> </w:t>
      </w:r>
      <w:r>
        <w:rPr>
          <w:sz w:val="20"/>
        </w:rPr>
        <w:t>que</w:t>
      </w:r>
      <w:r>
        <w:rPr>
          <w:spacing w:val="-3"/>
          <w:sz w:val="20"/>
        </w:rPr>
        <w:t xml:space="preserve"> </w:t>
      </w:r>
      <w:r>
        <w:rPr>
          <w:sz w:val="20"/>
        </w:rPr>
        <w:t>o</w:t>
      </w:r>
      <w:r>
        <w:rPr>
          <w:spacing w:val="-2"/>
          <w:sz w:val="20"/>
        </w:rPr>
        <w:t xml:space="preserve"> </w:t>
      </w:r>
      <w:r>
        <w:rPr>
          <w:sz w:val="20"/>
        </w:rPr>
        <w:t>surgimento do</w:t>
      </w:r>
      <w:r>
        <w:rPr>
          <w:spacing w:val="-2"/>
          <w:sz w:val="20"/>
        </w:rPr>
        <w:t xml:space="preserve"> </w:t>
      </w:r>
      <w:r>
        <w:rPr>
          <w:sz w:val="20"/>
        </w:rPr>
        <w:t>conceito</w:t>
      </w:r>
      <w:r>
        <w:rPr>
          <w:spacing w:val="-3"/>
          <w:sz w:val="20"/>
        </w:rPr>
        <w:t xml:space="preserve"> </w:t>
      </w:r>
      <w:r>
        <w:rPr>
          <w:sz w:val="20"/>
        </w:rPr>
        <w:t>de</w:t>
      </w:r>
      <w:r>
        <w:rPr>
          <w:spacing w:val="-3"/>
          <w:sz w:val="20"/>
        </w:rPr>
        <w:t xml:space="preserve"> </w:t>
      </w:r>
      <w:r>
        <w:rPr>
          <w:sz w:val="20"/>
        </w:rPr>
        <w:t>função</w:t>
      </w:r>
      <w:r>
        <w:rPr>
          <w:spacing w:val="-2"/>
          <w:sz w:val="20"/>
        </w:rPr>
        <w:t xml:space="preserve"> </w:t>
      </w:r>
      <w:r>
        <w:rPr>
          <w:sz w:val="20"/>
        </w:rPr>
        <w:t>social</w:t>
      </w:r>
      <w:r>
        <w:rPr>
          <w:spacing w:val="-3"/>
          <w:sz w:val="20"/>
        </w:rPr>
        <w:t xml:space="preserve"> </w:t>
      </w:r>
      <w:r>
        <w:rPr>
          <w:sz w:val="20"/>
        </w:rPr>
        <w:t>da</w:t>
      </w:r>
      <w:r>
        <w:rPr>
          <w:spacing w:val="-3"/>
          <w:sz w:val="20"/>
        </w:rPr>
        <w:t xml:space="preserve"> </w:t>
      </w:r>
      <w:r>
        <w:rPr>
          <w:sz w:val="20"/>
        </w:rPr>
        <w:t>propriedade está atrelado ao desenvolvimento do Estado Social de Direito, que, por sua vez, ocorreu, especialmente, em razão da destruição causada em solo europeu pelas duas Grandes Guerras Mundiais. Essa concepção de Estado é caracterizada pela maior intervenção do Poder Público na economia e na sociedade, com limitação mais significativa aos direitos individuais, antes considerados intangíveis pelo ideário liberal. Intervir na economia significa, em larga medida, intervir na propriedade privada, adequando o seu uso a um</w:t>
      </w:r>
      <w:r>
        <w:rPr>
          <w:spacing w:val="-2"/>
          <w:sz w:val="20"/>
        </w:rPr>
        <w:t xml:space="preserve"> </w:t>
      </w:r>
      <w:r>
        <w:rPr>
          <w:sz w:val="20"/>
        </w:rPr>
        <w:t>plano</w:t>
      </w:r>
      <w:r>
        <w:rPr>
          <w:spacing w:val="4"/>
          <w:sz w:val="20"/>
        </w:rPr>
        <w:t xml:space="preserve"> </w:t>
      </w:r>
      <w:r>
        <w:rPr>
          <w:sz w:val="20"/>
        </w:rPr>
        <w:t>estatal.</w:t>
      </w:r>
      <w:r>
        <w:rPr>
          <w:spacing w:val="2"/>
          <w:sz w:val="20"/>
        </w:rPr>
        <w:t xml:space="preserve"> </w:t>
      </w:r>
      <w:r>
        <w:rPr>
          <w:sz w:val="20"/>
        </w:rPr>
        <w:t>Nessa</w:t>
      </w:r>
      <w:r>
        <w:rPr>
          <w:spacing w:val="77"/>
          <w:sz w:val="20"/>
        </w:rPr>
        <w:t xml:space="preserve"> </w:t>
      </w:r>
      <w:r>
        <w:rPr>
          <w:sz w:val="20"/>
        </w:rPr>
        <w:t>toada,</w:t>
      </w:r>
      <w:r>
        <w:rPr>
          <w:spacing w:val="4"/>
          <w:sz w:val="20"/>
        </w:rPr>
        <w:t xml:space="preserve"> </w:t>
      </w:r>
      <w:r>
        <w:rPr>
          <w:sz w:val="20"/>
        </w:rPr>
        <w:t>o direito</w:t>
      </w:r>
      <w:r>
        <w:rPr>
          <w:spacing w:val="1"/>
          <w:sz w:val="20"/>
        </w:rPr>
        <w:t xml:space="preserve"> </w:t>
      </w:r>
      <w:r>
        <w:rPr>
          <w:sz w:val="20"/>
        </w:rPr>
        <w:t>de</w:t>
      </w:r>
      <w:r>
        <w:rPr>
          <w:spacing w:val="4"/>
          <w:sz w:val="20"/>
        </w:rPr>
        <w:t xml:space="preserve"> </w:t>
      </w:r>
      <w:r>
        <w:rPr>
          <w:sz w:val="20"/>
        </w:rPr>
        <w:t>propriedade perdeu</w:t>
      </w:r>
      <w:r>
        <w:rPr>
          <w:spacing w:val="2"/>
          <w:sz w:val="20"/>
        </w:rPr>
        <w:t xml:space="preserve"> </w:t>
      </w:r>
      <w:r>
        <w:rPr>
          <w:sz w:val="20"/>
        </w:rPr>
        <w:t>definitivamente</w:t>
      </w:r>
      <w:r>
        <w:rPr>
          <w:spacing w:val="2"/>
          <w:sz w:val="20"/>
        </w:rPr>
        <w:t xml:space="preserve"> </w:t>
      </w:r>
      <w:r>
        <w:rPr>
          <w:sz w:val="20"/>
        </w:rPr>
        <w:t>o</w:t>
      </w:r>
      <w:r>
        <w:rPr>
          <w:spacing w:val="4"/>
          <w:sz w:val="20"/>
        </w:rPr>
        <w:t xml:space="preserve"> </w:t>
      </w:r>
      <w:r>
        <w:rPr>
          <w:sz w:val="20"/>
        </w:rPr>
        <w:t>seu</w:t>
      </w:r>
      <w:r>
        <w:rPr>
          <w:spacing w:val="1"/>
          <w:sz w:val="20"/>
        </w:rPr>
        <w:t xml:space="preserve"> </w:t>
      </w:r>
      <w:r>
        <w:rPr>
          <w:sz w:val="20"/>
        </w:rPr>
        <w:t>caráter</w:t>
      </w:r>
      <w:r>
        <w:rPr>
          <w:spacing w:val="4"/>
          <w:sz w:val="20"/>
        </w:rPr>
        <w:t xml:space="preserve"> </w:t>
      </w:r>
      <w:r>
        <w:rPr>
          <w:sz w:val="20"/>
        </w:rPr>
        <w:t>absoluto,</w:t>
      </w:r>
      <w:r>
        <w:rPr>
          <w:spacing w:val="2"/>
          <w:sz w:val="20"/>
        </w:rPr>
        <w:t xml:space="preserve"> </w:t>
      </w:r>
      <w:r>
        <w:rPr>
          <w:spacing w:val="-10"/>
          <w:sz w:val="20"/>
        </w:rPr>
        <w:t>e</w:t>
      </w:r>
    </w:p>
    <w:p w:rsidR="007259F2" w:rsidRDefault="00E655B4">
      <w:pPr>
        <w:spacing w:line="228" w:lineRule="exact"/>
        <w:ind w:left="710"/>
        <w:jc w:val="both"/>
        <w:rPr>
          <w:sz w:val="20"/>
        </w:rPr>
      </w:pPr>
      <w:r>
        <w:rPr>
          <w:sz w:val="20"/>
        </w:rPr>
        <w:t>o</w:t>
      </w:r>
      <w:r>
        <w:rPr>
          <w:spacing w:val="-2"/>
          <w:sz w:val="20"/>
        </w:rPr>
        <w:t xml:space="preserve"> </w:t>
      </w:r>
      <w:r>
        <w:rPr>
          <w:sz w:val="20"/>
        </w:rPr>
        <w:t>proprietário</w:t>
      </w:r>
      <w:r>
        <w:rPr>
          <w:spacing w:val="-3"/>
          <w:sz w:val="20"/>
        </w:rPr>
        <w:t xml:space="preserve"> </w:t>
      </w:r>
      <w:r>
        <w:rPr>
          <w:sz w:val="20"/>
        </w:rPr>
        <w:t>passou</w:t>
      </w:r>
      <w:r>
        <w:rPr>
          <w:spacing w:val="-4"/>
          <w:sz w:val="20"/>
        </w:rPr>
        <w:t xml:space="preserve"> </w:t>
      </w:r>
      <w:r>
        <w:rPr>
          <w:sz w:val="20"/>
        </w:rPr>
        <w:t>a</w:t>
      </w:r>
      <w:r>
        <w:rPr>
          <w:spacing w:val="-2"/>
          <w:sz w:val="20"/>
        </w:rPr>
        <w:t xml:space="preserve"> </w:t>
      </w:r>
      <w:r>
        <w:rPr>
          <w:sz w:val="20"/>
        </w:rPr>
        <w:t>ser</w:t>
      </w:r>
      <w:r>
        <w:rPr>
          <w:spacing w:val="-3"/>
          <w:sz w:val="20"/>
        </w:rPr>
        <w:t xml:space="preserve"> </w:t>
      </w:r>
      <w:r>
        <w:rPr>
          <w:sz w:val="20"/>
        </w:rPr>
        <w:t>obrigado</w:t>
      </w:r>
      <w:r>
        <w:rPr>
          <w:spacing w:val="-2"/>
          <w:sz w:val="20"/>
        </w:rPr>
        <w:t xml:space="preserve"> </w:t>
      </w:r>
      <w:r>
        <w:rPr>
          <w:sz w:val="20"/>
        </w:rPr>
        <w:t>a</w:t>
      </w:r>
      <w:r>
        <w:rPr>
          <w:spacing w:val="-2"/>
          <w:sz w:val="20"/>
        </w:rPr>
        <w:t xml:space="preserve"> </w:t>
      </w:r>
      <w:r>
        <w:rPr>
          <w:sz w:val="20"/>
        </w:rPr>
        <w:t>utilizar</w:t>
      </w:r>
      <w:r>
        <w:rPr>
          <w:spacing w:val="-1"/>
          <w:sz w:val="20"/>
        </w:rPr>
        <w:t xml:space="preserve"> </w:t>
      </w:r>
      <w:r>
        <w:rPr>
          <w:sz w:val="20"/>
        </w:rPr>
        <w:t>o</w:t>
      </w:r>
      <w:r>
        <w:rPr>
          <w:spacing w:val="-2"/>
          <w:sz w:val="20"/>
        </w:rPr>
        <w:t xml:space="preserve"> </w:t>
      </w:r>
      <w:r>
        <w:rPr>
          <w:sz w:val="20"/>
        </w:rPr>
        <w:t>bem</w:t>
      </w:r>
      <w:r>
        <w:rPr>
          <w:spacing w:val="-5"/>
          <w:sz w:val="20"/>
        </w:rPr>
        <w:t xml:space="preserve"> </w:t>
      </w:r>
      <w:r>
        <w:rPr>
          <w:sz w:val="20"/>
        </w:rPr>
        <w:t>não</w:t>
      </w:r>
      <w:r>
        <w:rPr>
          <w:spacing w:val="-2"/>
          <w:sz w:val="20"/>
        </w:rPr>
        <w:t xml:space="preserve"> </w:t>
      </w:r>
      <w:r>
        <w:rPr>
          <w:sz w:val="20"/>
        </w:rPr>
        <w:t>somente</w:t>
      </w:r>
      <w:r>
        <w:rPr>
          <w:spacing w:val="-2"/>
          <w:sz w:val="20"/>
        </w:rPr>
        <w:t xml:space="preserve"> </w:t>
      </w:r>
      <w:r>
        <w:rPr>
          <w:sz w:val="20"/>
        </w:rPr>
        <w:t>em</w:t>
      </w:r>
      <w:r>
        <w:rPr>
          <w:spacing w:val="-6"/>
          <w:sz w:val="20"/>
        </w:rPr>
        <w:t xml:space="preserve"> </w:t>
      </w:r>
      <w:r>
        <w:rPr>
          <w:sz w:val="20"/>
        </w:rPr>
        <w:t>proveito</w:t>
      </w:r>
      <w:r>
        <w:rPr>
          <w:spacing w:val="-1"/>
          <w:sz w:val="20"/>
        </w:rPr>
        <w:t xml:space="preserve"> </w:t>
      </w:r>
      <w:r>
        <w:rPr>
          <w:sz w:val="20"/>
        </w:rPr>
        <w:t>próprio,</w:t>
      </w:r>
      <w:r>
        <w:rPr>
          <w:spacing w:val="-5"/>
          <w:sz w:val="20"/>
        </w:rPr>
        <w:t xml:space="preserve"> </w:t>
      </w:r>
      <w:r>
        <w:rPr>
          <w:sz w:val="20"/>
        </w:rPr>
        <w:t>mas</w:t>
      </w:r>
      <w:r>
        <w:rPr>
          <w:spacing w:val="-2"/>
          <w:sz w:val="20"/>
        </w:rPr>
        <w:t xml:space="preserve"> considerando</w:t>
      </w:r>
    </w:p>
    <w:p w:rsidR="007259F2" w:rsidRDefault="00E655B4">
      <w:pPr>
        <w:ind w:left="710" w:right="1053"/>
        <w:jc w:val="both"/>
        <w:rPr>
          <w:sz w:val="20"/>
        </w:rPr>
      </w:pPr>
      <w:r>
        <w:rPr>
          <w:sz w:val="20"/>
        </w:rPr>
        <w:t xml:space="preserve">o pleno respeito ao interesse social consubstanciado no plano urbanístico.” (LEVIN, Alexandre. Autonomia do Direito Urbanístico e seus princípios fundamentais. </w:t>
      </w:r>
      <w:r>
        <w:rPr>
          <w:b/>
          <w:sz w:val="20"/>
        </w:rPr>
        <w:t>Revista Brasileira de Direito Urbanístico – RBDU</w:t>
      </w:r>
      <w:r>
        <w:rPr>
          <w:sz w:val="20"/>
        </w:rPr>
        <w:t>, Belo Horizonte, ano 2, n. 2, p. 21, jan./jul. 2016.)</w:t>
      </w:r>
    </w:p>
    <w:p w:rsidR="007259F2" w:rsidRDefault="00E655B4">
      <w:pPr>
        <w:spacing w:before="2"/>
        <w:ind w:left="712" w:right="1127"/>
        <w:jc w:val="both"/>
        <w:rPr>
          <w:sz w:val="20"/>
        </w:rPr>
      </w:pPr>
      <w:r>
        <w:rPr>
          <w:sz w:val="20"/>
          <w:vertAlign w:val="superscript"/>
        </w:rPr>
        <w:t>14</w:t>
      </w:r>
      <w:r>
        <w:rPr>
          <w:sz w:val="20"/>
        </w:rPr>
        <w:t xml:space="preserve"> “No Brasil, a Constituição de 1934 previu a sobreposição do bem-estar geral ao interesse privado. A Constituição de 1937 privilegiou o direito de propriedade, sendo que somente em 1946 reavivou a função social, prevendo a desapropriação por interesse social. A Constituição de 1967 manteve a desapropriação por interesse social no caso de descumprimento da função social, mas inseriu junto ao capítulo sobre a ordem econômica social.” (MARCO, </w:t>
      </w:r>
      <w:r>
        <w:rPr>
          <w:i/>
          <w:sz w:val="20"/>
        </w:rPr>
        <w:t>op.cit</w:t>
      </w:r>
      <w:r>
        <w:rPr>
          <w:sz w:val="20"/>
        </w:rPr>
        <w:t>., p. 438.)</w:t>
      </w:r>
    </w:p>
    <w:p w:rsidR="007259F2" w:rsidRDefault="00E655B4">
      <w:pPr>
        <w:ind w:left="710" w:right="991"/>
        <w:jc w:val="both"/>
        <w:rPr>
          <w:sz w:val="20"/>
        </w:rPr>
      </w:pPr>
      <w:r>
        <w:rPr>
          <w:sz w:val="20"/>
          <w:vertAlign w:val="superscript"/>
        </w:rPr>
        <w:t>15</w:t>
      </w:r>
      <w:r>
        <w:rPr>
          <w:sz w:val="20"/>
        </w:rPr>
        <w:t xml:space="preserve"> “No século XX, o francês Leon Duguit desenvolveu teoria que é considerada a primeira que, de fato, tratou</w:t>
      </w:r>
      <w:r>
        <w:rPr>
          <w:spacing w:val="40"/>
          <w:sz w:val="20"/>
        </w:rPr>
        <w:t xml:space="preserve"> </w:t>
      </w:r>
      <w:r>
        <w:rPr>
          <w:sz w:val="20"/>
        </w:rPr>
        <w:t>da função social da propriedade. Sua tese partiu do pressuposto de que a propriedade, assim como toda</w:t>
      </w:r>
      <w:r>
        <w:rPr>
          <w:spacing w:val="40"/>
          <w:sz w:val="20"/>
        </w:rPr>
        <w:t xml:space="preserve"> </w:t>
      </w:r>
      <w:r>
        <w:rPr>
          <w:sz w:val="20"/>
        </w:rPr>
        <w:t xml:space="preserve">instituição jurídica, evolui. Assim, ela já havia negado os interesses individuais e consagrado as aspirações da coletividade. A tese da função social da propriedade foi positivada na Constituição Alemã de 1919 e incorporada pela Constituição de 1949. Em 1948, a Itália também previu oi instituto em sua Constituição, com uma abrangência maior do que a alemã, tratando-a como fato econômico. Já a Constituição Espanhola, vigente desde 1978, foi a grande protagonista do tema, pois evidenciou que o interesse da coletividade integra o próprio conceito de propriedade. A Constituição Chilena de 1981 expressamente previu o instituto e o definiu.” (MARCO, </w:t>
      </w:r>
      <w:r>
        <w:rPr>
          <w:i/>
          <w:sz w:val="20"/>
        </w:rPr>
        <w:t>op.cit</w:t>
      </w:r>
      <w:r>
        <w:rPr>
          <w:sz w:val="20"/>
        </w:rPr>
        <w:t>., p. 437-438.)</w:t>
      </w:r>
    </w:p>
    <w:p w:rsidR="007259F2" w:rsidRDefault="00E655B4">
      <w:pPr>
        <w:ind w:left="710" w:right="994"/>
        <w:jc w:val="both"/>
        <w:rPr>
          <w:sz w:val="20"/>
        </w:rPr>
      </w:pPr>
      <w:r>
        <w:rPr>
          <w:sz w:val="20"/>
          <w:vertAlign w:val="superscript"/>
        </w:rPr>
        <w:t>16</w:t>
      </w:r>
      <w:r>
        <w:rPr>
          <w:sz w:val="20"/>
        </w:rPr>
        <w:t xml:space="preserve"> A tudo isso veio se opor a ideia de função social. A crise de legitimação da propriedade privada e o movimento solidarista evidenciaram a necessidade de se tutelar, com o instituto da propriedade, não apenas os interesses individuais e patrimoniais do proprietário, mas também interesses supraindividuais, de caráter existencial, que poderiam ser prejudicados pelo irresponsável exercício do domínio (e.g., preservação</w:t>
      </w:r>
      <w:r>
        <w:rPr>
          <w:spacing w:val="14"/>
          <w:sz w:val="20"/>
        </w:rPr>
        <w:t xml:space="preserve"> </w:t>
      </w:r>
      <w:r>
        <w:rPr>
          <w:sz w:val="20"/>
        </w:rPr>
        <w:t>do</w:t>
      </w:r>
      <w:r>
        <w:rPr>
          <w:spacing w:val="15"/>
          <w:sz w:val="20"/>
        </w:rPr>
        <w:t xml:space="preserve"> </w:t>
      </w:r>
      <w:r>
        <w:rPr>
          <w:sz w:val="20"/>
        </w:rPr>
        <w:t>meio</w:t>
      </w:r>
      <w:r>
        <w:rPr>
          <w:spacing w:val="14"/>
          <w:sz w:val="20"/>
        </w:rPr>
        <w:t xml:space="preserve"> </w:t>
      </w:r>
      <w:r>
        <w:rPr>
          <w:sz w:val="20"/>
        </w:rPr>
        <w:t>ambiente</w:t>
      </w:r>
      <w:r>
        <w:rPr>
          <w:spacing w:val="14"/>
          <w:sz w:val="20"/>
        </w:rPr>
        <w:t xml:space="preserve"> </w:t>
      </w:r>
      <w:r>
        <w:rPr>
          <w:sz w:val="20"/>
        </w:rPr>
        <w:t>e</w:t>
      </w:r>
      <w:r>
        <w:rPr>
          <w:spacing w:val="13"/>
          <w:sz w:val="20"/>
        </w:rPr>
        <w:t xml:space="preserve"> </w:t>
      </w:r>
      <w:r>
        <w:rPr>
          <w:sz w:val="20"/>
        </w:rPr>
        <w:t>bem-estar</w:t>
      </w:r>
      <w:r>
        <w:rPr>
          <w:spacing w:val="15"/>
          <w:sz w:val="20"/>
        </w:rPr>
        <w:t xml:space="preserve"> </w:t>
      </w:r>
      <w:r>
        <w:rPr>
          <w:sz w:val="20"/>
        </w:rPr>
        <w:t>dos</w:t>
      </w:r>
      <w:r>
        <w:rPr>
          <w:spacing w:val="12"/>
          <w:sz w:val="20"/>
        </w:rPr>
        <w:t xml:space="preserve"> </w:t>
      </w:r>
      <w:r>
        <w:rPr>
          <w:sz w:val="20"/>
        </w:rPr>
        <w:t>trabalhadores).</w:t>
      </w:r>
      <w:r>
        <w:rPr>
          <w:spacing w:val="15"/>
          <w:sz w:val="20"/>
        </w:rPr>
        <w:t xml:space="preserve"> </w:t>
      </w:r>
      <w:r>
        <w:rPr>
          <w:sz w:val="20"/>
        </w:rPr>
        <w:t>Altera-se,</w:t>
      </w:r>
      <w:r>
        <w:rPr>
          <w:spacing w:val="14"/>
          <w:sz w:val="20"/>
        </w:rPr>
        <w:t xml:space="preserve"> </w:t>
      </w:r>
      <w:r>
        <w:rPr>
          <w:sz w:val="20"/>
        </w:rPr>
        <w:t>assim,</w:t>
      </w:r>
      <w:r>
        <w:rPr>
          <w:spacing w:val="14"/>
          <w:sz w:val="20"/>
        </w:rPr>
        <w:t xml:space="preserve"> </w:t>
      </w:r>
      <w:r>
        <w:rPr>
          <w:sz w:val="20"/>
        </w:rPr>
        <w:t>drasticamente</w:t>
      </w:r>
      <w:r>
        <w:rPr>
          <w:spacing w:val="14"/>
          <w:sz w:val="20"/>
        </w:rPr>
        <w:t xml:space="preserve"> </w:t>
      </w:r>
      <w:r>
        <w:rPr>
          <w:sz w:val="20"/>
        </w:rPr>
        <w:t>a</w:t>
      </w:r>
      <w:r>
        <w:rPr>
          <w:spacing w:val="13"/>
          <w:sz w:val="20"/>
        </w:rPr>
        <w:t xml:space="preserve"> </w:t>
      </w:r>
      <w:r>
        <w:rPr>
          <w:spacing w:val="-2"/>
          <w:sz w:val="20"/>
        </w:rPr>
        <w:t>função</w:t>
      </w:r>
    </w:p>
    <w:p w:rsidR="007259F2" w:rsidRDefault="007259F2">
      <w:pPr>
        <w:jc w:val="both"/>
        <w:rPr>
          <w:sz w:val="20"/>
        </w:rPr>
        <w:sectPr w:rsidR="007259F2">
          <w:pgSz w:w="11910" w:h="16840"/>
          <w:pgMar w:top="1320" w:right="708" w:bottom="1160" w:left="992" w:header="0" w:footer="962" w:gutter="0"/>
          <w:cols w:space="720"/>
        </w:sectPr>
      </w:pPr>
    </w:p>
    <w:p w:rsidR="007259F2" w:rsidRDefault="00E655B4">
      <w:pPr>
        <w:pStyle w:val="Corpodetexto"/>
        <w:spacing w:before="69"/>
        <w:ind w:left="1418" w:firstLine="0"/>
      </w:pPr>
      <w:r>
        <w:lastRenderedPageBreak/>
        <w:t>A</w:t>
      </w:r>
      <w:r>
        <w:rPr>
          <w:spacing w:val="-7"/>
        </w:rPr>
        <w:t xml:space="preserve"> </w:t>
      </w:r>
      <w:r>
        <w:t>partir</w:t>
      </w:r>
      <w:r>
        <w:rPr>
          <w:spacing w:val="-2"/>
        </w:rPr>
        <w:t xml:space="preserve"> </w:t>
      </w:r>
      <w:r>
        <w:t>daí</w:t>
      </w:r>
      <w:r>
        <w:rPr>
          <w:spacing w:val="-1"/>
        </w:rPr>
        <w:t xml:space="preserve"> </w:t>
      </w:r>
      <w:r>
        <w:t>o</w:t>
      </w:r>
      <w:r>
        <w:rPr>
          <w:spacing w:val="-1"/>
        </w:rPr>
        <w:t xml:space="preserve"> </w:t>
      </w:r>
      <w:r>
        <w:t>conceito</w:t>
      </w:r>
      <w:r>
        <w:rPr>
          <w:spacing w:val="-1"/>
        </w:rPr>
        <w:t xml:space="preserve"> </w:t>
      </w:r>
      <w:r>
        <w:t>de função</w:t>
      </w:r>
      <w:r>
        <w:rPr>
          <w:spacing w:val="-1"/>
        </w:rPr>
        <w:t xml:space="preserve"> </w:t>
      </w:r>
      <w:r>
        <w:t>social</w:t>
      </w:r>
      <w:r>
        <w:rPr>
          <w:spacing w:val="-1"/>
        </w:rPr>
        <w:t xml:space="preserve"> </w:t>
      </w:r>
      <w:r>
        <w:t>e</w:t>
      </w:r>
      <w:r>
        <w:rPr>
          <w:spacing w:val="-3"/>
        </w:rPr>
        <w:t xml:space="preserve"> </w:t>
      </w:r>
      <w:r>
        <w:t>sua</w:t>
      </w:r>
      <w:r>
        <w:rPr>
          <w:spacing w:val="-4"/>
        </w:rPr>
        <w:t xml:space="preserve"> </w:t>
      </w:r>
      <w:r>
        <w:t>incidência</w:t>
      </w:r>
      <w:r>
        <w:rPr>
          <w:spacing w:val="1"/>
        </w:rPr>
        <w:t xml:space="preserve"> </w:t>
      </w:r>
      <w:r>
        <w:t>ganham</w:t>
      </w:r>
      <w:r>
        <w:rPr>
          <w:spacing w:val="2"/>
        </w:rPr>
        <w:t xml:space="preserve"> </w:t>
      </w:r>
      <w:r>
        <w:rPr>
          <w:spacing w:val="-2"/>
        </w:rPr>
        <w:t>relevância.</w:t>
      </w:r>
    </w:p>
    <w:p w:rsidR="007259F2" w:rsidRDefault="00E655B4">
      <w:pPr>
        <w:pStyle w:val="Corpodetexto"/>
        <w:spacing w:before="1"/>
        <w:ind w:right="991"/>
      </w:pPr>
      <w:r>
        <w:t>Muito se discutiu</w:t>
      </w:r>
      <w:r>
        <w:rPr>
          <w:vertAlign w:val="superscript"/>
        </w:rPr>
        <w:t>17</w:t>
      </w:r>
      <w:r>
        <w:t xml:space="preserve"> se a função social era uma limitação extrínseca ou intrínseca ao conceito de propriedade. Se se considerar a função social com elementos limitativos externos</w:t>
      </w:r>
      <w:r>
        <w:rPr>
          <w:spacing w:val="34"/>
        </w:rPr>
        <w:t xml:space="preserve"> </w:t>
      </w:r>
      <w:r>
        <w:t>a</w:t>
      </w:r>
      <w:r>
        <w:rPr>
          <w:spacing w:val="-3"/>
        </w:rPr>
        <w:t xml:space="preserve"> </w:t>
      </w:r>
      <w:r>
        <w:t>propriedade</w:t>
      </w:r>
      <w:r>
        <w:rPr>
          <w:spacing w:val="-3"/>
        </w:rPr>
        <w:t xml:space="preserve"> </w:t>
      </w:r>
      <w:r>
        <w:t>considerar-se-ia</w:t>
      </w:r>
      <w:r>
        <w:rPr>
          <w:spacing w:val="-3"/>
        </w:rPr>
        <w:t xml:space="preserve"> </w:t>
      </w:r>
      <w:r>
        <w:t>também</w:t>
      </w:r>
      <w:r>
        <w:rPr>
          <w:spacing w:val="-2"/>
        </w:rPr>
        <w:t xml:space="preserve"> </w:t>
      </w:r>
      <w:r>
        <w:t>que</w:t>
      </w:r>
      <w:r>
        <w:rPr>
          <w:spacing w:val="-3"/>
        </w:rPr>
        <w:t xml:space="preserve"> </w:t>
      </w:r>
      <w:r>
        <w:t>as</w:t>
      </w:r>
      <w:r>
        <w:rPr>
          <w:spacing w:val="-2"/>
        </w:rPr>
        <w:t xml:space="preserve"> </w:t>
      </w:r>
      <w:r>
        <w:t>limitações</w:t>
      </w:r>
      <w:r>
        <w:rPr>
          <w:spacing w:val="-2"/>
        </w:rPr>
        <w:t xml:space="preserve"> </w:t>
      </w:r>
      <w:r>
        <w:t>constantes</w:t>
      </w:r>
      <w:r>
        <w:rPr>
          <w:spacing w:val="-3"/>
        </w:rPr>
        <w:t xml:space="preserve"> </w:t>
      </w:r>
      <w:r>
        <w:t>no</w:t>
      </w:r>
      <w:r>
        <w:rPr>
          <w:spacing w:val="-2"/>
        </w:rPr>
        <w:t xml:space="preserve"> </w:t>
      </w:r>
      <w:r>
        <w:t>Código Civil e na legislação administrativa atenderiam aos ditames constitucionais referentes a esse direito.</w:t>
      </w:r>
    </w:p>
    <w:p w:rsidR="007259F2" w:rsidRDefault="00E655B4">
      <w:pPr>
        <w:pStyle w:val="Corpodetexto"/>
        <w:ind w:right="993"/>
      </w:pPr>
      <w:r>
        <w:t>Não obstante, o Constituinte de 1988 definiu que a propriedade está intrinsecamente atrelada a sua função social, pois a expressão “atenderá sua função social” conduz ao entendimento inequívoco que a propriedade privada possui uma função de repercussão social.</w:t>
      </w:r>
    </w:p>
    <w:p w:rsidR="007259F2" w:rsidRDefault="00E655B4">
      <w:pPr>
        <w:pStyle w:val="Corpodetexto"/>
        <w:ind w:right="991"/>
      </w:pPr>
      <w:r>
        <w:t>Nesse diapasão, a função social na verdade integra a estrutura do próprio direito dando a ele os contornos a serem observados obrigatoriamente por seu titular.</w:t>
      </w:r>
    </w:p>
    <w:p w:rsidR="007259F2" w:rsidRDefault="00E655B4">
      <w:pPr>
        <w:pStyle w:val="Corpodetexto"/>
        <w:spacing w:before="1"/>
        <w:ind w:left="1418" w:firstLine="0"/>
      </w:pPr>
      <w:r>
        <w:t>Nessa</w:t>
      </w:r>
      <w:r>
        <w:rPr>
          <w:spacing w:val="-3"/>
        </w:rPr>
        <w:t xml:space="preserve"> </w:t>
      </w:r>
      <w:r>
        <w:t>linha,</w:t>
      </w:r>
      <w:r>
        <w:rPr>
          <w:spacing w:val="-1"/>
        </w:rPr>
        <w:t xml:space="preserve"> </w:t>
      </w:r>
      <w:r>
        <w:t>Anderson</w:t>
      </w:r>
      <w:r>
        <w:rPr>
          <w:spacing w:val="-1"/>
        </w:rPr>
        <w:t xml:space="preserve"> </w:t>
      </w:r>
      <w:r>
        <w:t>Schreiber,</w:t>
      </w:r>
      <w:r>
        <w:rPr>
          <w:spacing w:val="-1"/>
        </w:rPr>
        <w:t xml:space="preserve"> </w:t>
      </w:r>
      <w:r>
        <w:t>trazendo a</w:t>
      </w:r>
      <w:r>
        <w:rPr>
          <w:spacing w:val="-6"/>
        </w:rPr>
        <w:t xml:space="preserve"> </w:t>
      </w:r>
      <w:r>
        <w:t>lição</w:t>
      </w:r>
      <w:r>
        <w:rPr>
          <w:spacing w:val="1"/>
        </w:rPr>
        <w:t xml:space="preserve"> </w:t>
      </w:r>
      <w:r>
        <w:t>de</w:t>
      </w:r>
      <w:r>
        <w:rPr>
          <w:spacing w:val="-2"/>
        </w:rPr>
        <w:t xml:space="preserve"> </w:t>
      </w:r>
      <w:r>
        <w:t>Pietro</w:t>
      </w:r>
      <w:r>
        <w:rPr>
          <w:spacing w:val="-4"/>
        </w:rPr>
        <w:t xml:space="preserve"> </w:t>
      </w:r>
      <w:r>
        <w:t xml:space="preserve">Perlingieri, aduz </w:t>
      </w:r>
      <w:r>
        <w:rPr>
          <w:spacing w:val="-5"/>
        </w:rPr>
        <w:t>que</w:t>
      </w:r>
    </w:p>
    <w:p w:rsidR="007259F2" w:rsidRDefault="007259F2">
      <w:pPr>
        <w:pStyle w:val="Corpodetexto"/>
        <w:spacing w:before="25"/>
        <w:ind w:left="0" w:firstLine="0"/>
        <w:jc w:val="left"/>
      </w:pPr>
    </w:p>
    <w:p w:rsidR="007259F2" w:rsidRDefault="00E655B4">
      <w:pPr>
        <w:ind w:left="2978" w:right="989"/>
        <w:jc w:val="both"/>
        <w:rPr>
          <w:sz w:val="20"/>
        </w:rPr>
      </w:pPr>
      <w:r>
        <w:rPr>
          <w:sz w:val="20"/>
        </w:rPr>
        <w:t>Os institutos jurídicos, em consagrada classificação, decompõem-se em dois elementos: o elemento estrutural e o elemento teleológico ou funcional; em outras palavras, a estrutura e a função. Na lição de Pietro Perlingieri, "estrutura e função respondem a duas indagações que se põem em torno do fato. O como é? evidencia a estrutura, o para que serve? evidencia a função." A função corresponde aos</w:t>
      </w:r>
      <w:r>
        <w:rPr>
          <w:spacing w:val="40"/>
          <w:sz w:val="20"/>
        </w:rPr>
        <w:t xml:space="preserve"> </w:t>
      </w:r>
      <w:r>
        <w:rPr>
          <w:sz w:val="20"/>
        </w:rPr>
        <w:t>interesses que um certo instituto pretende tutelar,</w:t>
      </w:r>
      <w:r>
        <w:rPr>
          <w:spacing w:val="80"/>
          <w:sz w:val="20"/>
        </w:rPr>
        <w:t xml:space="preserve"> </w:t>
      </w:r>
      <w:r>
        <w:rPr>
          <w:sz w:val="20"/>
        </w:rPr>
        <w:t>e é, na verdade, o seu elemento de maior importância já que determina, em última</w:t>
      </w:r>
      <w:r>
        <w:rPr>
          <w:spacing w:val="-2"/>
          <w:sz w:val="20"/>
        </w:rPr>
        <w:t xml:space="preserve"> </w:t>
      </w:r>
      <w:r>
        <w:rPr>
          <w:sz w:val="20"/>
        </w:rPr>
        <w:t>análise,</w:t>
      </w:r>
      <w:r>
        <w:rPr>
          <w:spacing w:val="-1"/>
          <w:sz w:val="20"/>
        </w:rPr>
        <w:t xml:space="preserve"> </w:t>
      </w:r>
      <w:r>
        <w:rPr>
          <w:sz w:val="20"/>
        </w:rPr>
        <w:t>os</w:t>
      </w:r>
      <w:r>
        <w:rPr>
          <w:spacing w:val="-2"/>
          <w:sz w:val="20"/>
        </w:rPr>
        <w:t xml:space="preserve"> </w:t>
      </w:r>
      <w:r>
        <w:rPr>
          <w:sz w:val="20"/>
        </w:rPr>
        <w:t>traços</w:t>
      </w:r>
      <w:r>
        <w:rPr>
          <w:spacing w:val="-2"/>
          <w:sz w:val="20"/>
        </w:rPr>
        <w:t xml:space="preserve"> </w:t>
      </w:r>
      <w:r>
        <w:rPr>
          <w:sz w:val="20"/>
        </w:rPr>
        <w:t>fundamentais</w:t>
      </w:r>
      <w:r>
        <w:rPr>
          <w:spacing w:val="-2"/>
          <w:sz w:val="20"/>
        </w:rPr>
        <w:t xml:space="preserve"> </w:t>
      </w:r>
      <w:r>
        <w:rPr>
          <w:sz w:val="20"/>
        </w:rPr>
        <w:t>da</w:t>
      </w:r>
      <w:r>
        <w:rPr>
          <w:spacing w:val="-2"/>
          <w:sz w:val="20"/>
        </w:rPr>
        <w:t xml:space="preserve"> </w:t>
      </w:r>
      <w:r>
        <w:rPr>
          <w:sz w:val="20"/>
        </w:rPr>
        <w:t>estrutura.</w:t>
      </w:r>
      <w:r>
        <w:rPr>
          <w:spacing w:val="-1"/>
          <w:sz w:val="20"/>
        </w:rPr>
        <w:t xml:space="preserve"> </w:t>
      </w:r>
      <w:r>
        <w:rPr>
          <w:sz w:val="20"/>
        </w:rPr>
        <w:t>Para</w:t>
      </w:r>
      <w:r>
        <w:rPr>
          <w:spacing w:val="-2"/>
          <w:sz w:val="20"/>
        </w:rPr>
        <w:t xml:space="preserve"> </w:t>
      </w:r>
      <w:r>
        <w:rPr>
          <w:sz w:val="20"/>
        </w:rPr>
        <w:t>Salvatore</w:t>
      </w:r>
      <w:r>
        <w:rPr>
          <w:spacing w:val="-2"/>
          <w:sz w:val="20"/>
        </w:rPr>
        <w:t xml:space="preserve"> </w:t>
      </w:r>
      <w:r>
        <w:rPr>
          <w:sz w:val="20"/>
        </w:rPr>
        <w:t>Pugliatti,</w:t>
      </w:r>
      <w:r>
        <w:rPr>
          <w:spacing w:val="-2"/>
          <w:sz w:val="20"/>
        </w:rPr>
        <w:t xml:space="preserve"> </w:t>
      </w:r>
      <w:r>
        <w:rPr>
          <w:sz w:val="20"/>
        </w:rPr>
        <w:t>a função é a "razão genética do instituto" e, por isso mesmo, seu elemento caracterizador. Das lições</w:t>
      </w:r>
      <w:r>
        <w:rPr>
          <w:spacing w:val="-1"/>
          <w:sz w:val="20"/>
        </w:rPr>
        <w:t xml:space="preserve"> </w:t>
      </w:r>
      <w:r>
        <w:rPr>
          <w:sz w:val="20"/>
        </w:rPr>
        <w:t>do</w:t>
      </w:r>
      <w:r>
        <w:rPr>
          <w:spacing w:val="1"/>
          <w:sz w:val="20"/>
        </w:rPr>
        <w:t xml:space="preserve"> </w:t>
      </w:r>
      <w:r>
        <w:rPr>
          <w:sz w:val="20"/>
        </w:rPr>
        <w:t>Professor</w:t>
      </w:r>
      <w:r>
        <w:rPr>
          <w:spacing w:val="1"/>
          <w:sz w:val="20"/>
        </w:rPr>
        <w:t xml:space="preserve"> </w:t>
      </w:r>
      <w:r>
        <w:rPr>
          <w:sz w:val="20"/>
        </w:rPr>
        <w:t>de Messina</w:t>
      </w:r>
      <w:r>
        <w:rPr>
          <w:spacing w:val="1"/>
          <w:sz w:val="20"/>
        </w:rPr>
        <w:t xml:space="preserve"> </w:t>
      </w:r>
      <w:r>
        <w:rPr>
          <w:sz w:val="20"/>
        </w:rPr>
        <w:t>se</w:t>
      </w:r>
      <w:r>
        <w:rPr>
          <w:spacing w:val="2"/>
          <w:sz w:val="20"/>
        </w:rPr>
        <w:t xml:space="preserve"> </w:t>
      </w:r>
      <w:r>
        <w:rPr>
          <w:sz w:val="20"/>
        </w:rPr>
        <w:t>extrai,</w:t>
      </w:r>
      <w:r>
        <w:rPr>
          <w:spacing w:val="1"/>
          <w:sz w:val="20"/>
        </w:rPr>
        <w:t xml:space="preserve"> </w:t>
      </w:r>
      <w:r>
        <w:rPr>
          <w:sz w:val="20"/>
        </w:rPr>
        <w:t>em</w:t>
      </w:r>
      <w:r>
        <w:rPr>
          <w:spacing w:val="4"/>
          <w:sz w:val="20"/>
        </w:rPr>
        <w:t xml:space="preserve"> </w:t>
      </w:r>
      <w:r>
        <w:rPr>
          <w:sz w:val="20"/>
        </w:rPr>
        <w:t>síntese,</w:t>
      </w:r>
      <w:r>
        <w:rPr>
          <w:spacing w:val="1"/>
          <w:sz w:val="20"/>
        </w:rPr>
        <w:t xml:space="preserve"> </w:t>
      </w:r>
      <w:r>
        <w:rPr>
          <w:spacing w:val="-4"/>
          <w:sz w:val="20"/>
        </w:rPr>
        <w:t>que:</w:t>
      </w:r>
    </w:p>
    <w:p w:rsidR="007259F2" w:rsidRDefault="00E655B4">
      <w:pPr>
        <w:ind w:left="2978" w:right="996"/>
        <w:jc w:val="both"/>
        <w:rPr>
          <w:sz w:val="20"/>
        </w:rPr>
      </w:pPr>
      <w:r>
        <w:rPr>
          <w:sz w:val="20"/>
        </w:rPr>
        <w:t>(i)</w:t>
      </w:r>
      <w:r>
        <w:rPr>
          <w:spacing w:val="-3"/>
          <w:sz w:val="20"/>
        </w:rPr>
        <w:t xml:space="preserve"> </w:t>
      </w:r>
      <w:r>
        <w:rPr>
          <w:sz w:val="20"/>
        </w:rPr>
        <w:t>a</w:t>
      </w:r>
      <w:r>
        <w:rPr>
          <w:spacing w:val="-4"/>
          <w:sz w:val="20"/>
        </w:rPr>
        <w:t xml:space="preserve"> </w:t>
      </w:r>
      <w:r>
        <w:rPr>
          <w:sz w:val="20"/>
        </w:rPr>
        <w:t>função</w:t>
      </w:r>
      <w:r>
        <w:rPr>
          <w:spacing w:val="-2"/>
          <w:sz w:val="20"/>
        </w:rPr>
        <w:t xml:space="preserve"> </w:t>
      </w:r>
      <w:r>
        <w:rPr>
          <w:sz w:val="20"/>
        </w:rPr>
        <w:t>corresponde</w:t>
      </w:r>
      <w:r>
        <w:rPr>
          <w:spacing w:val="-2"/>
          <w:sz w:val="20"/>
        </w:rPr>
        <w:t xml:space="preserve"> </w:t>
      </w:r>
      <w:r>
        <w:rPr>
          <w:sz w:val="20"/>
        </w:rPr>
        <w:t>ao</w:t>
      </w:r>
      <w:r>
        <w:rPr>
          <w:spacing w:val="-2"/>
          <w:sz w:val="20"/>
        </w:rPr>
        <w:t xml:space="preserve"> </w:t>
      </w:r>
      <w:r>
        <w:rPr>
          <w:sz w:val="20"/>
        </w:rPr>
        <w:t>interesse</w:t>
      </w:r>
      <w:r>
        <w:rPr>
          <w:spacing w:val="-3"/>
          <w:sz w:val="20"/>
        </w:rPr>
        <w:t xml:space="preserve"> </w:t>
      </w:r>
      <w:r>
        <w:rPr>
          <w:sz w:val="20"/>
        </w:rPr>
        <w:t>que</w:t>
      </w:r>
      <w:r>
        <w:rPr>
          <w:spacing w:val="-4"/>
          <w:sz w:val="20"/>
        </w:rPr>
        <w:t xml:space="preserve"> </w:t>
      </w:r>
      <w:r>
        <w:rPr>
          <w:sz w:val="20"/>
        </w:rPr>
        <w:t>o</w:t>
      </w:r>
      <w:r>
        <w:rPr>
          <w:spacing w:val="-3"/>
          <w:sz w:val="20"/>
        </w:rPr>
        <w:t xml:space="preserve"> </w:t>
      </w:r>
      <w:r>
        <w:rPr>
          <w:sz w:val="20"/>
        </w:rPr>
        <w:t>ordenamento</w:t>
      </w:r>
      <w:r>
        <w:rPr>
          <w:spacing w:val="-3"/>
          <w:sz w:val="20"/>
        </w:rPr>
        <w:t xml:space="preserve"> </w:t>
      </w:r>
      <w:r>
        <w:rPr>
          <w:sz w:val="20"/>
        </w:rPr>
        <w:t>visa tutelar</w:t>
      </w:r>
      <w:r>
        <w:rPr>
          <w:spacing w:val="-2"/>
          <w:sz w:val="20"/>
        </w:rPr>
        <w:t xml:space="preserve"> </w:t>
      </w:r>
      <w:r>
        <w:rPr>
          <w:sz w:val="20"/>
        </w:rPr>
        <w:t>por</w:t>
      </w:r>
      <w:r>
        <w:rPr>
          <w:spacing w:val="-2"/>
          <w:sz w:val="20"/>
        </w:rPr>
        <w:t xml:space="preserve"> </w:t>
      </w:r>
      <w:r>
        <w:rPr>
          <w:sz w:val="20"/>
        </w:rPr>
        <w:t>meio de um determinado instituto jurídico; e (ii) a função de um instituto jurídico pré-determina a sua estrutura.</w:t>
      </w:r>
      <w:r>
        <w:rPr>
          <w:sz w:val="20"/>
          <w:vertAlign w:val="superscript"/>
        </w:rPr>
        <w:t>18</w:t>
      </w:r>
    </w:p>
    <w:p w:rsidR="007259F2" w:rsidRDefault="007259F2">
      <w:pPr>
        <w:pStyle w:val="Corpodetexto"/>
        <w:spacing w:before="45"/>
        <w:ind w:left="0" w:firstLine="0"/>
        <w:jc w:val="left"/>
        <w:rPr>
          <w:sz w:val="20"/>
        </w:rPr>
      </w:pPr>
    </w:p>
    <w:p w:rsidR="007259F2" w:rsidRDefault="00E655B4">
      <w:pPr>
        <w:pStyle w:val="Corpodetexto"/>
        <w:spacing w:before="1"/>
        <w:ind w:right="988"/>
      </w:pPr>
      <w:r>
        <w:t>Assim,</w:t>
      </w:r>
      <w:r>
        <w:rPr>
          <w:spacing w:val="-3"/>
        </w:rPr>
        <w:t xml:space="preserve"> </w:t>
      </w:r>
      <w:r>
        <w:t>a</w:t>
      </w:r>
      <w:r>
        <w:rPr>
          <w:spacing w:val="-4"/>
        </w:rPr>
        <w:t xml:space="preserve"> </w:t>
      </w:r>
      <w:r>
        <w:t>propriedade</w:t>
      </w:r>
      <w:r>
        <w:rPr>
          <w:spacing w:val="-3"/>
        </w:rPr>
        <w:t xml:space="preserve"> </w:t>
      </w:r>
      <w:r>
        <w:t>tem</w:t>
      </w:r>
      <w:r>
        <w:rPr>
          <w:spacing w:val="-3"/>
        </w:rPr>
        <w:t xml:space="preserve"> </w:t>
      </w:r>
      <w:r>
        <w:t>uma</w:t>
      </w:r>
      <w:r>
        <w:rPr>
          <w:spacing w:val="-4"/>
        </w:rPr>
        <w:t xml:space="preserve"> </w:t>
      </w:r>
      <w:r>
        <w:t>finalidade, uma</w:t>
      </w:r>
      <w:r>
        <w:rPr>
          <w:spacing w:val="-4"/>
        </w:rPr>
        <w:t xml:space="preserve"> </w:t>
      </w:r>
      <w:r>
        <w:t>função</w:t>
      </w:r>
      <w:r>
        <w:rPr>
          <w:spacing w:val="-3"/>
        </w:rPr>
        <w:t xml:space="preserve"> </w:t>
      </w:r>
      <w:r>
        <w:t>que</w:t>
      </w:r>
      <w:r>
        <w:rPr>
          <w:spacing w:val="-4"/>
        </w:rPr>
        <w:t xml:space="preserve"> </w:t>
      </w:r>
      <w:r>
        <w:t>determina</w:t>
      </w:r>
      <w:r>
        <w:rPr>
          <w:spacing w:val="-3"/>
        </w:rPr>
        <w:t xml:space="preserve"> </w:t>
      </w:r>
      <w:r>
        <w:t>seu</w:t>
      </w:r>
      <w:r>
        <w:rPr>
          <w:spacing w:val="-1"/>
        </w:rPr>
        <w:t xml:space="preserve"> </w:t>
      </w:r>
      <w:r>
        <w:t>alcance e sua estrutura. É dizer que o proprietário que não cumpre a função social não exerce mais com plenitude seus poderes sobre o bem. Pode-se, inclusive, como ensina Silvio</w:t>
      </w:r>
      <w:r>
        <w:rPr>
          <w:spacing w:val="80"/>
        </w:rPr>
        <w:t xml:space="preserve"> </w:t>
      </w:r>
      <w:r>
        <w:t>de Salvo Venosa,</w:t>
      </w:r>
    </w:p>
    <w:p w:rsidR="007259F2" w:rsidRDefault="00E655B4">
      <w:pPr>
        <w:pStyle w:val="Corpodetexto"/>
        <w:ind w:right="989" w:firstLine="0"/>
      </w:pPr>
      <w:r>
        <w:t>inferir</w:t>
      </w:r>
      <w:r>
        <w:rPr>
          <w:spacing w:val="80"/>
        </w:rPr>
        <w:t xml:space="preserve"> </w:t>
      </w:r>
      <w:r>
        <w:t>que</w:t>
      </w:r>
      <w:r>
        <w:rPr>
          <w:spacing w:val="80"/>
        </w:rPr>
        <w:t xml:space="preserve"> </w:t>
      </w:r>
      <w:r>
        <w:t>o</w:t>
      </w:r>
      <w:r>
        <w:rPr>
          <w:spacing w:val="80"/>
        </w:rPr>
        <w:t xml:space="preserve"> </w:t>
      </w:r>
      <w:r>
        <w:t>descumprimento</w:t>
      </w:r>
      <w:r>
        <w:rPr>
          <w:spacing w:val="80"/>
        </w:rPr>
        <w:t xml:space="preserve"> </w:t>
      </w:r>
      <w:r>
        <w:t>da</w:t>
      </w:r>
      <w:r>
        <w:rPr>
          <w:spacing w:val="80"/>
        </w:rPr>
        <w:t xml:space="preserve"> </w:t>
      </w:r>
      <w:r>
        <w:t>função</w:t>
      </w:r>
      <w:r>
        <w:rPr>
          <w:spacing w:val="80"/>
        </w:rPr>
        <w:t xml:space="preserve"> </w:t>
      </w:r>
      <w:r>
        <w:t>social</w:t>
      </w:r>
      <w:r>
        <w:rPr>
          <w:spacing w:val="80"/>
        </w:rPr>
        <w:t xml:space="preserve"> </w:t>
      </w:r>
      <w:r>
        <w:t>ou</w:t>
      </w:r>
      <w:r>
        <w:rPr>
          <w:spacing w:val="80"/>
        </w:rPr>
        <w:t xml:space="preserve"> </w:t>
      </w:r>
      <w:r>
        <w:t>seu</w:t>
      </w:r>
      <w:r>
        <w:rPr>
          <w:spacing w:val="80"/>
        </w:rPr>
        <w:t xml:space="preserve"> </w:t>
      </w:r>
      <w:r>
        <w:t>exercício</w:t>
      </w:r>
      <w:r>
        <w:rPr>
          <w:spacing w:val="80"/>
        </w:rPr>
        <w:t xml:space="preserve"> </w:t>
      </w:r>
      <w:r>
        <w:t>aquém</w:t>
      </w:r>
      <w:r>
        <w:rPr>
          <w:spacing w:val="80"/>
        </w:rPr>
        <w:t xml:space="preserve"> </w:t>
      </w:r>
      <w:r>
        <w:t>do mínimo estabelecido configura exercício irregular de direito.</w:t>
      </w:r>
      <w:r>
        <w:rPr>
          <w:vertAlign w:val="superscript"/>
        </w:rPr>
        <w:t>19</w:t>
      </w:r>
    </w:p>
    <w:p w:rsidR="007259F2" w:rsidRDefault="00E655B4">
      <w:pPr>
        <w:pStyle w:val="Corpodetexto"/>
        <w:ind w:right="989"/>
      </w:pPr>
      <w:r>
        <w:t>De fato, a função social é parte integrante do conceito constitucional da propriedade sem, contudo, encerrar todo seu conteúdo.</w:t>
      </w:r>
      <w:r>
        <w:rPr>
          <w:vertAlign w:val="superscript"/>
        </w:rPr>
        <w:t>20</w:t>
      </w:r>
      <w:r>
        <w:t xml:space="preserve"> Ou seja, ainda que não cumprida sua função social permanece como direito fundamental, mas com proteção jurídica de baixa densidade.</w:t>
      </w:r>
    </w:p>
    <w:p w:rsidR="007259F2" w:rsidRDefault="00E655B4">
      <w:pPr>
        <w:pStyle w:val="Corpodetexto"/>
        <w:ind w:right="996"/>
      </w:pPr>
      <w:r>
        <w:t>Nesse sentido, a propriedade agora deve atender a necessidades também coletivas na mesma proporção que aos interesses do titular da coisa. Fabio Conder Komparato define a função social conjugando esses fatores:</w:t>
      </w:r>
    </w:p>
    <w:p w:rsidR="007259F2" w:rsidRDefault="00DE6B1C">
      <w:pPr>
        <w:pStyle w:val="Corpodetexto"/>
        <w:spacing w:before="141"/>
        <w:ind w:left="0" w:firstLine="0"/>
        <w:jc w:val="left"/>
        <w:rPr>
          <w:sz w:val="20"/>
        </w:rPr>
      </w:pPr>
      <w:r w:rsidRPr="00DE6B1C">
        <w:rPr>
          <w:sz w:val="20"/>
        </w:rPr>
        <w:pict>
          <v:rect id="docshape32" o:spid="_x0000_s1194" style="position:absolute;margin-left:85.1pt;margin-top:19.75pt;width:425.25pt;height:.7pt;z-index:-15720448;mso-wrap-distance-left:0;mso-wrap-distance-right:0;mso-position-horizontal-relative:page" fillcolor="black" stroked="f">
            <w10:wrap type="topAndBottom" anchorx="page"/>
          </v:rect>
        </w:pict>
      </w:r>
    </w:p>
    <w:p w:rsidR="007259F2" w:rsidRDefault="00E655B4">
      <w:pPr>
        <w:tabs>
          <w:tab w:val="left" w:pos="2308"/>
          <w:tab w:val="left" w:pos="3256"/>
        </w:tabs>
        <w:spacing w:before="96"/>
        <w:ind w:left="710" w:right="985"/>
        <w:jc w:val="both"/>
        <w:rPr>
          <w:sz w:val="20"/>
        </w:rPr>
      </w:pPr>
      <w:r>
        <w:rPr>
          <w:sz w:val="20"/>
        </w:rPr>
        <w:t xml:space="preserve">da propriedade, que passa a abarcar também a tutela de interesses sociais relevantes.” (SCHREIBER, Anderson. </w:t>
      </w:r>
      <w:r>
        <w:rPr>
          <w:b/>
          <w:sz w:val="20"/>
        </w:rPr>
        <w:t>Função social da propriedade</w:t>
      </w:r>
      <w:r>
        <w:rPr>
          <w:b/>
          <w:spacing w:val="40"/>
          <w:sz w:val="20"/>
        </w:rPr>
        <w:t xml:space="preserve"> </w:t>
      </w:r>
      <w:r>
        <w:rPr>
          <w:b/>
          <w:sz w:val="20"/>
        </w:rPr>
        <w:t>na</w:t>
      </w:r>
      <w:r>
        <w:rPr>
          <w:b/>
          <w:spacing w:val="40"/>
          <w:sz w:val="20"/>
        </w:rPr>
        <w:t xml:space="preserve"> </w:t>
      </w:r>
      <w:r>
        <w:rPr>
          <w:b/>
          <w:sz w:val="20"/>
        </w:rPr>
        <w:t>prática</w:t>
      </w:r>
      <w:r>
        <w:rPr>
          <w:b/>
          <w:spacing w:val="40"/>
          <w:sz w:val="20"/>
        </w:rPr>
        <w:t xml:space="preserve"> </w:t>
      </w:r>
      <w:r>
        <w:rPr>
          <w:b/>
          <w:sz w:val="20"/>
        </w:rPr>
        <w:t>jurisprudencial</w:t>
      </w:r>
      <w:r>
        <w:rPr>
          <w:b/>
          <w:spacing w:val="40"/>
          <w:sz w:val="20"/>
        </w:rPr>
        <w:t xml:space="preserve"> </w:t>
      </w:r>
      <w:r>
        <w:rPr>
          <w:b/>
          <w:sz w:val="20"/>
        </w:rPr>
        <w:t>brasileira</w:t>
      </w:r>
      <w:r>
        <w:rPr>
          <w:sz w:val="20"/>
        </w:rPr>
        <w:t>,</w:t>
      </w:r>
      <w:r>
        <w:rPr>
          <w:spacing w:val="40"/>
          <w:sz w:val="20"/>
        </w:rPr>
        <w:t xml:space="preserve"> </w:t>
      </w:r>
      <w:r>
        <w:rPr>
          <w:sz w:val="20"/>
        </w:rPr>
        <w:t>2001.</w:t>
      </w:r>
      <w:r>
        <w:rPr>
          <w:spacing w:val="40"/>
          <w:sz w:val="20"/>
        </w:rPr>
        <w:t xml:space="preserve"> </w:t>
      </w:r>
      <w:r>
        <w:rPr>
          <w:sz w:val="20"/>
        </w:rPr>
        <w:t xml:space="preserve">p. 5. </w:t>
      </w:r>
      <w:r>
        <w:rPr>
          <w:spacing w:val="-2"/>
          <w:sz w:val="20"/>
        </w:rPr>
        <w:t>Disponível</w:t>
      </w:r>
      <w:r>
        <w:rPr>
          <w:sz w:val="20"/>
        </w:rPr>
        <w:tab/>
      </w:r>
      <w:r>
        <w:rPr>
          <w:spacing w:val="-4"/>
          <w:sz w:val="20"/>
        </w:rPr>
        <w:t>em:</w:t>
      </w:r>
      <w:r>
        <w:rPr>
          <w:sz w:val="20"/>
        </w:rPr>
        <w:tab/>
      </w:r>
      <w:hyperlink r:id="rId53">
        <w:r>
          <w:rPr>
            <w:spacing w:val="-2"/>
            <w:sz w:val="20"/>
          </w:rPr>
          <w:t>https://schreiber.adv.br/downloads/funcao-social-da-propriedade-na-pratica-</w:t>
        </w:r>
      </w:hyperlink>
      <w:r>
        <w:rPr>
          <w:spacing w:val="-2"/>
          <w:sz w:val="20"/>
        </w:rPr>
        <w:t xml:space="preserve"> </w:t>
      </w:r>
      <w:hyperlink r:id="rId54">
        <w:r>
          <w:rPr>
            <w:sz w:val="20"/>
          </w:rPr>
          <w:t>jurisprudencial-brasileira.pdf.</w:t>
        </w:r>
      </w:hyperlink>
      <w:r>
        <w:rPr>
          <w:sz w:val="20"/>
        </w:rPr>
        <w:t xml:space="preserve"> Acesso em: 9. jan. 2025).</w:t>
      </w:r>
    </w:p>
    <w:p w:rsidR="007259F2" w:rsidRDefault="00E655B4">
      <w:pPr>
        <w:ind w:left="710" w:right="988"/>
        <w:jc w:val="both"/>
        <w:rPr>
          <w:sz w:val="20"/>
        </w:rPr>
      </w:pPr>
      <w:r>
        <w:rPr>
          <w:sz w:val="20"/>
          <w:vertAlign w:val="superscript"/>
        </w:rPr>
        <w:t>17</w:t>
      </w:r>
      <w:r>
        <w:rPr>
          <w:sz w:val="20"/>
        </w:rPr>
        <w:t xml:space="preserve"> “O alcance de tal conclusão implica constatar a evolução que sofreu o instituto. De início, a função social era apresentada como mera indicação programática, despida de efeito imediato na estrutura do direito de</w:t>
      </w:r>
      <w:r>
        <w:rPr>
          <w:spacing w:val="40"/>
          <w:sz w:val="20"/>
        </w:rPr>
        <w:t xml:space="preserve"> </w:t>
      </w:r>
      <w:r>
        <w:rPr>
          <w:sz w:val="20"/>
        </w:rPr>
        <w:t>propriedade. Num segundo momento, passou a ser identificada como limite externo ao domínio, um condicionamento sem atingir sua estrutura de direito subjetivo.” (</w:t>
      </w:r>
      <w:r>
        <w:rPr>
          <w:color w:val="202020"/>
          <w:sz w:val="20"/>
        </w:rPr>
        <w:t>CARDOSO</w:t>
      </w:r>
      <w:r>
        <w:rPr>
          <w:i/>
          <w:color w:val="202020"/>
          <w:sz w:val="20"/>
        </w:rPr>
        <w:t>, op. cit</w:t>
      </w:r>
      <w:r>
        <w:rPr>
          <w:color w:val="202020"/>
          <w:sz w:val="20"/>
        </w:rPr>
        <w:t xml:space="preserve">., p. </w:t>
      </w:r>
      <w:r>
        <w:rPr>
          <w:color w:val="202020"/>
          <w:spacing w:val="-4"/>
          <w:sz w:val="20"/>
        </w:rPr>
        <w:t>103)</w:t>
      </w:r>
    </w:p>
    <w:p w:rsidR="007259F2" w:rsidRDefault="00E655B4">
      <w:pPr>
        <w:ind w:left="710"/>
        <w:jc w:val="both"/>
        <w:rPr>
          <w:sz w:val="20"/>
        </w:rPr>
      </w:pPr>
      <w:r>
        <w:rPr>
          <w:sz w:val="20"/>
          <w:vertAlign w:val="superscript"/>
        </w:rPr>
        <w:t>18</w:t>
      </w:r>
      <w:r>
        <w:rPr>
          <w:spacing w:val="-4"/>
          <w:sz w:val="20"/>
        </w:rPr>
        <w:t xml:space="preserve"> </w:t>
      </w:r>
      <w:r>
        <w:rPr>
          <w:sz w:val="20"/>
        </w:rPr>
        <w:t>SCHREIBER,</w:t>
      </w:r>
      <w:r>
        <w:rPr>
          <w:spacing w:val="-3"/>
          <w:sz w:val="20"/>
        </w:rPr>
        <w:t xml:space="preserve"> </w:t>
      </w:r>
      <w:r>
        <w:rPr>
          <w:i/>
          <w:sz w:val="20"/>
        </w:rPr>
        <w:t>op.</w:t>
      </w:r>
      <w:r>
        <w:rPr>
          <w:i/>
          <w:spacing w:val="-3"/>
          <w:sz w:val="20"/>
        </w:rPr>
        <w:t xml:space="preserve"> </w:t>
      </w:r>
      <w:r>
        <w:rPr>
          <w:i/>
          <w:sz w:val="20"/>
        </w:rPr>
        <w:t>cit</w:t>
      </w:r>
      <w:r>
        <w:rPr>
          <w:sz w:val="20"/>
        </w:rPr>
        <w:t>.,</w:t>
      </w:r>
      <w:r>
        <w:rPr>
          <w:spacing w:val="-6"/>
          <w:sz w:val="20"/>
        </w:rPr>
        <w:t xml:space="preserve"> </w:t>
      </w:r>
      <w:r>
        <w:rPr>
          <w:sz w:val="20"/>
        </w:rPr>
        <w:t>p.</w:t>
      </w:r>
      <w:r>
        <w:rPr>
          <w:spacing w:val="-4"/>
          <w:sz w:val="20"/>
        </w:rPr>
        <w:t xml:space="preserve"> </w:t>
      </w:r>
      <w:r>
        <w:rPr>
          <w:spacing w:val="-5"/>
          <w:sz w:val="20"/>
        </w:rPr>
        <w:t>3.</w:t>
      </w:r>
    </w:p>
    <w:p w:rsidR="007259F2" w:rsidRDefault="00E655B4">
      <w:pPr>
        <w:ind w:left="710"/>
        <w:jc w:val="both"/>
        <w:rPr>
          <w:sz w:val="20"/>
        </w:rPr>
      </w:pPr>
      <w:r>
        <w:rPr>
          <w:sz w:val="20"/>
          <w:vertAlign w:val="superscript"/>
        </w:rPr>
        <w:t>19</w:t>
      </w:r>
      <w:r>
        <w:rPr>
          <w:spacing w:val="-4"/>
          <w:sz w:val="20"/>
        </w:rPr>
        <w:t xml:space="preserve"> </w:t>
      </w:r>
      <w:r>
        <w:rPr>
          <w:sz w:val="20"/>
        </w:rPr>
        <w:t>VENOSA,</w:t>
      </w:r>
      <w:r>
        <w:rPr>
          <w:spacing w:val="-5"/>
          <w:sz w:val="20"/>
        </w:rPr>
        <w:t xml:space="preserve"> </w:t>
      </w:r>
      <w:r>
        <w:rPr>
          <w:i/>
          <w:sz w:val="20"/>
        </w:rPr>
        <w:t>op.</w:t>
      </w:r>
      <w:r>
        <w:rPr>
          <w:i/>
          <w:spacing w:val="-3"/>
          <w:sz w:val="20"/>
        </w:rPr>
        <w:t xml:space="preserve"> </w:t>
      </w:r>
      <w:r>
        <w:rPr>
          <w:i/>
          <w:sz w:val="20"/>
        </w:rPr>
        <w:t>cit</w:t>
      </w:r>
      <w:r>
        <w:rPr>
          <w:sz w:val="20"/>
        </w:rPr>
        <w:t>.,</w:t>
      </w:r>
      <w:r>
        <w:rPr>
          <w:spacing w:val="-3"/>
          <w:sz w:val="20"/>
        </w:rPr>
        <w:t xml:space="preserve"> </w:t>
      </w:r>
      <w:r>
        <w:rPr>
          <w:sz w:val="20"/>
        </w:rPr>
        <w:t>p.</w:t>
      </w:r>
      <w:r>
        <w:rPr>
          <w:spacing w:val="-8"/>
          <w:sz w:val="20"/>
        </w:rPr>
        <w:t xml:space="preserve"> </w:t>
      </w:r>
      <w:r>
        <w:rPr>
          <w:spacing w:val="-4"/>
          <w:sz w:val="20"/>
        </w:rPr>
        <w:t>186.</w:t>
      </w:r>
    </w:p>
    <w:p w:rsidR="007259F2" w:rsidRDefault="00E655B4">
      <w:pPr>
        <w:ind w:left="710"/>
        <w:jc w:val="both"/>
        <w:rPr>
          <w:sz w:val="20"/>
        </w:rPr>
      </w:pPr>
      <w:r>
        <w:rPr>
          <w:sz w:val="20"/>
          <w:vertAlign w:val="superscript"/>
        </w:rPr>
        <w:t>20</w:t>
      </w:r>
      <w:r>
        <w:rPr>
          <w:spacing w:val="-4"/>
          <w:sz w:val="20"/>
        </w:rPr>
        <w:t xml:space="preserve"> </w:t>
      </w:r>
      <w:r>
        <w:rPr>
          <w:color w:val="202020"/>
          <w:sz w:val="20"/>
        </w:rPr>
        <w:t>CARDOSO,</w:t>
      </w:r>
      <w:r>
        <w:rPr>
          <w:color w:val="202020"/>
          <w:spacing w:val="-3"/>
          <w:sz w:val="20"/>
        </w:rPr>
        <w:t xml:space="preserve"> </w:t>
      </w:r>
      <w:r>
        <w:rPr>
          <w:i/>
          <w:sz w:val="20"/>
        </w:rPr>
        <w:t>op.</w:t>
      </w:r>
      <w:r>
        <w:rPr>
          <w:i/>
          <w:spacing w:val="-3"/>
          <w:sz w:val="20"/>
        </w:rPr>
        <w:t xml:space="preserve"> </w:t>
      </w:r>
      <w:r>
        <w:rPr>
          <w:i/>
          <w:sz w:val="20"/>
        </w:rPr>
        <w:t>cit</w:t>
      </w:r>
      <w:r>
        <w:rPr>
          <w:sz w:val="20"/>
        </w:rPr>
        <w:t>.,</w:t>
      </w:r>
      <w:r>
        <w:rPr>
          <w:spacing w:val="-3"/>
          <w:sz w:val="20"/>
        </w:rPr>
        <w:t xml:space="preserve"> </w:t>
      </w:r>
      <w:r>
        <w:rPr>
          <w:color w:val="202020"/>
          <w:sz w:val="20"/>
        </w:rPr>
        <w:t>p.</w:t>
      </w:r>
      <w:r>
        <w:rPr>
          <w:color w:val="202020"/>
          <w:spacing w:val="-3"/>
          <w:sz w:val="20"/>
        </w:rPr>
        <w:t xml:space="preserve"> </w:t>
      </w:r>
      <w:r>
        <w:rPr>
          <w:color w:val="202020"/>
          <w:spacing w:val="-4"/>
          <w:sz w:val="20"/>
        </w:rPr>
        <w:t>102.</w:t>
      </w:r>
    </w:p>
    <w:p w:rsidR="007259F2" w:rsidRDefault="007259F2">
      <w:pPr>
        <w:jc w:val="both"/>
        <w:rPr>
          <w:sz w:val="20"/>
        </w:rPr>
        <w:sectPr w:rsidR="007259F2">
          <w:pgSz w:w="11910" w:h="16840"/>
          <w:pgMar w:top="1320" w:right="708" w:bottom="1160" w:left="992" w:header="0" w:footer="962" w:gutter="0"/>
          <w:cols w:space="720"/>
        </w:sectPr>
      </w:pPr>
    </w:p>
    <w:p w:rsidR="007259F2" w:rsidRDefault="00E655B4">
      <w:pPr>
        <w:spacing w:before="71"/>
        <w:ind w:left="2978" w:right="990"/>
        <w:jc w:val="both"/>
        <w:rPr>
          <w:sz w:val="20"/>
        </w:rPr>
      </w:pPr>
      <w:r>
        <w:rPr>
          <w:sz w:val="20"/>
        </w:rPr>
        <w:lastRenderedPageBreak/>
        <w:t>Quando se fala em função social da propriedade não se indicam as restrições ao uso</w:t>
      </w:r>
      <w:r>
        <w:rPr>
          <w:spacing w:val="40"/>
          <w:sz w:val="20"/>
        </w:rPr>
        <w:t xml:space="preserve"> </w:t>
      </w:r>
      <w:r>
        <w:rPr>
          <w:sz w:val="20"/>
        </w:rPr>
        <w:t>e gozo dos bens próprios. Estas últimas são limites negativos aos direitos do proprietário. Mas a noção de função, no sentido em que é empregado o termo nesta matéria, significa um poder, mais especificamente,</w:t>
      </w:r>
      <w:r>
        <w:rPr>
          <w:spacing w:val="40"/>
          <w:sz w:val="20"/>
        </w:rPr>
        <w:t xml:space="preserve"> </w:t>
      </w:r>
      <w:r>
        <w:rPr>
          <w:sz w:val="20"/>
        </w:rPr>
        <w:t xml:space="preserve">o poder de dar ao objeto da propriedade destino determinado, de vinculá-lo a certo objetivo. O adjetivo social mostra que esse objetivo corresponde ao interesse coletivo e não ao interesse próprio do </w:t>
      </w:r>
      <w:r>
        <w:rPr>
          <w:i/>
          <w:sz w:val="20"/>
        </w:rPr>
        <w:t>dominus</w:t>
      </w:r>
      <w:r>
        <w:rPr>
          <w:sz w:val="20"/>
        </w:rPr>
        <w:t>; o que não significa que não possa haver harmonização entre um e</w:t>
      </w:r>
      <w:r>
        <w:rPr>
          <w:spacing w:val="40"/>
          <w:sz w:val="20"/>
        </w:rPr>
        <w:t xml:space="preserve"> </w:t>
      </w:r>
      <w:r>
        <w:rPr>
          <w:sz w:val="20"/>
        </w:rPr>
        <w:t>outro. Mas, de qualquer</w:t>
      </w:r>
      <w:r>
        <w:rPr>
          <w:spacing w:val="80"/>
          <w:sz w:val="20"/>
        </w:rPr>
        <w:t xml:space="preserve"> </w:t>
      </w:r>
      <w:r>
        <w:rPr>
          <w:sz w:val="20"/>
        </w:rPr>
        <w:t>modo, se está diante de um interesse coletivo, essa função social da propriedade corresponde a um poder-dever do proprietário, sancionável pela ordem jurídica.</w:t>
      </w:r>
      <w:r>
        <w:rPr>
          <w:sz w:val="20"/>
          <w:vertAlign w:val="superscript"/>
        </w:rPr>
        <w:t>21</w:t>
      </w:r>
    </w:p>
    <w:p w:rsidR="007259F2" w:rsidRDefault="00E655B4">
      <w:pPr>
        <w:pStyle w:val="Corpodetexto"/>
        <w:spacing w:before="200"/>
        <w:ind w:right="987"/>
      </w:pPr>
      <w:r>
        <w:t>Passa-se,</w:t>
      </w:r>
      <w:r>
        <w:rPr>
          <w:spacing w:val="-1"/>
        </w:rPr>
        <w:t xml:space="preserve"> </w:t>
      </w:r>
      <w:r>
        <w:t>então,</w:t>
      </w:r>
      <w:r>
        <w:rPr>
          <w:spacing w:val="-2"/>
        </w:rPr>
        <w:t xml:space="preserve"> </w:t>
      </w:r>
      <w:r>
        <w:t>a</w:t>
      </w:r>
      <w:r>
        <w:rPr>
          <w:spacing w:val="-2"/>
        </w:rPr>
        <w:t xml:space="preserve"> </w:t>
      </w:r>
      <w:r>
        <w:t>considerar</w:t>
      </w:r>
      <w:r>
        <w:rPr>
          <w:spacing w:val="-2"/>
        </w:rPr>
        <w:t xml:space="preserve"> </w:t>
      </w:r>
      <w:r>
        <w:t>que</w:t>
      </w:r>
      <w:r>
        <w:rPr>
          <w:spacing w:val="-2"/>
        </w:rPr>
        <w:t xml:space="preserve"> </w:t>
      </w:r>
      <w:r>
        <w:t>o</w:t>
      </w:r>
      <w:r>
        <w:rPr>
          <w:spacing w:val="-1"/>
        </w:rPr>
        <w:t xml:space="preserve"> </w:t>
      </w:r>
      <w:r>
        <w:t>atendimento</w:t>
      </w:r>
      <w:r>
        <w:rPr>
          <w:spacing w:val="-1"/>
        </w:rPr>
        <w:t xml:space="preserve"> </w:t>
      </w:r>
      <w:r>
        <w:t>de</w:t>
      </w:r>
      <w:r>
        <w:rPr>
          <w:spacing w:val="-2"/>
        </w:rPr>
        <w:t xml:space="preserve"> </w:t>
      </w:r>
      <w:r>
        <w:t>interesses do</w:t>
      </w:r>
      <w:r>
        <w:rPr>
          <w:spacing w:val="-1"/>
        </w:rPr>
        <w:t xml:space="preserve"> </w:t>
      </w:r>
      <w:r>
        <w:t>proprietário</w:t>
      </w:r>
      <w:r>
        <w:rPr>
          <w:spacing w:val="-1"/>
        </w:rPr>
        <w:t xml:space="preserve"> </w:t>
      </w:r>
      <w:r>
        <w:t>está vinculado ao cumprimento da</w:t>
      </w:r>
      <w:r>
        <w:rPr>
          <w:spacing w:val="-1"/>
        </w:rPr>
        <w:t xml:space="preserve"> </w:t>
      </w:r>
      <w:r>
        <w:t>função social. Considerando os valores da</w:t>
      </w:r>
      <w:r>
        <w:rPr>
          <w:spacing w:val="-1"/>
        </w:rPr>
        <w:t xml:space="preserve"> </w:t>
      </w:r>
      <w:r>
        <w:t>solidariedade</w:t>
      </w:r>
      <w:r>
        <w:rPr>
          <w:spacing w:val="-1"/>
        </w:rPr>
        <w:t xml:space="preserve"> </w:t>
      </w:r>
      <w:r>
        <w:t>e da dignidade da pessoa humana, não é escusável ao indivíduo a indiferença aos</w:t>
      </w:r>
      <w:r>
        <w:rPr>
          <w:spacing w:val="40"/>
        </w:rPr>
        <w:t xml:space="preserve"> </w:t>
      </w:r>
      <w:r>
        <w:t>reclames da vida em sociedade. Isso não desnatura seu direito ou interesse, mas o eleva</w:t>
      </w:r>
      <w:r>
        <w:rPr>
          <w:spacing w:val="40"/>
        </w:rPr>
        <w:t xml:space="preserve"> </w:t>
      </w:r>
      <w:r>
        <w:t xml:space="preserve">a um grau de compatibilização democrática mais adequada e dos interesses socialmente </w:t>
      </w:r>
      <w:r>
        <w:rPr>
          <w:spacing w:val="-2"/>
        </w:rPr>
        <w:t>relevantes.</w:t>
      </w:r>
      <w:r>
        <w:rPr>
          <w:spacing w:val="-2"/>
          <w:vertAlign w:val="superscript"/>
        </w:rPr>
        <w:t>22</w:t>
      </w:r>
    </w:p>
    <w:p w:rsidR="007259F2" w:rsidRDefault="00E655B4">
      <w:pPr>
        <w:pStyle w:val="Heading2"/>
        <w:numPr>
          <w:ilvl w:val="0"/>
          <w:numId w:val="42"/>
        </w:numPr>
        <w:tabs>
          <w:tab w:val="left" w:pos="1780"/>
        </w:tabs>
        <w:jc w:val="both"/>
      </w:pPr>
      <w:r>
        <w:t>Função</w:t>
      </w:r>
      <w:r>
        <w:rPr>
          <w:spacing w:val="-6"/>
        </w:rPr>
        <w:t xml:space="preserve"> </w:t>
      </w:r>
      <w:r>
        <w:t>Social</w:t>
      </w:r>
      <w:r>
        <w:rPr>
          <w:spacing w:val="-1"/>
        </w:rPr>
        <w:t xml:space="preserve"> </w:t>
      </w:r>
      <w:r>
        <w:t>da</w:t>
      </w:r>
      <w:r>
        <w:rPr>
          <w:spacing w:val="-4"/>
        </w:rPr>
        <w:t xml:space="preserve"> </w:t>
      </w:r>
      <w:r>
        <w:t>Propriedade</w:t>
      </w:r>
      <w:r>
        <w:rPr>
          <w:spacing w:val="-5"/>
        </w:rPr>
        <w:t xml:space="preserve"> </w:t>
      </w:r>
      <w:r>
        <w:t>Urbana</w:t>
      </w:r>
      <w:r>
        <w:rPr>
          <w:spacing w:val="-2"/>
        </w:rPr>
        <w:t xml:space="preserve"> </w:t>
      </w:r>
      <w:r>
        <w:t>e</w:t>
      </w:r>
      <w:r>
        <w:rPr>
          <w:spacing w:val="-5"/>
        </w:rPr>
        <w:t xml:space="preserve"> </w:t>
      </w:r>
      <w:r>
        <w:t>Estatuto</w:t>
      </w:r>
      <w:r>
        <w:rPr>
          <w:spacing w:val="-3"/>
        </w:rPr>
        <w:t xml:space="preserve"> </w:t>
      </w:r>
      <w:r>
        <w:t>da</w:t>
      </w:r>
      <w:r>
        <w:rPr>
          <w:spacing w:val="-2"/>
        </w:rPr>
        <w:t xml:space="preserve"> Cidade</w:t>
      </w:r>
    </w:p>
    <w:p w:rsidR="007259F2" w:rsidRDefault="00E655B4">
      <w:pPr>
        <w:pStyle w:val="Corpodetexto"/>
        <w:spacing w:before="113"/>
        <w:ind w:right="995"/>
      </w:pPr>
      <w:r>
        <w:t>Definidos os principais contornos da propriedade e de sua função social</w:t>
      </w:r>
      <w:r>
        <w:rPr>
          <w:spacing w:val="40"/>
        </w:rPr>
        <w:t xml:space="preserve"> </w:t>
      </w:r>
      <w:r>
        <w:t>voltemos o olhar par a propriedade urbana.</w:t>
      </w:r>
    </w:p>
    <w:p w:rsidR="007259F2" w:rsidRDefault="00E655B4">
      <w:pPr>
        <w:pStyle w:val="Corpodetexto"/>
        <w:ind w:right="986"/>
      </w:pPr>
      <w:r>
        <w:t xml:space="preserve">Assim como a função social ganhou </w:t>
      </w:r>
      <w:r>
        <w:rPr>
          <w:i/>
        </w:rPr>
        <w:t xml:space="preserve">status </w:t>
      </w:r>
      <w:r>
        <w:t xml:space="preserve">constitucional a partir de 1988, a política urbana também foi elevada a tal </w:t>
      </w:r>
      <w:r>
        <w:rPr>
          <w:i/>
        </w:rPr>
        <w:t>status</w:t>
      </w:r>
      <w:r>
        <w:t>, concomitantemente. Os dois preceitos constitucionais estão ligados com uma terceira inovação trazida pela Constituição de 1988: o Município como ente federativo.</w:t>
      </w:r>
    </w:p>
    <w:p w:rsidR="007259F2" w:rsidRDefault="00E655B4">
      <w:pPr>
        <w:pStyle w:val="Corpodetexto"/>
        <w:spacing w:before="1"/>
        <w:ind w:right="990"/>
      </w:pPr>
      <w:r>
        <w:t>O</w:t>
      </w:r>
      <w:r>
        <w:rPr>
          <w:spacing w:val="-1"/>
        </w:rPr>
        <w:t xml:space="preserve"> </w:t>
      </w:r>
      <w:r>
        <w:t>Município, assim, ganha</w:t>
      </w:r>
      <w:r>
        <w:rPr>
          <w:spacing w:val="-1"/>
        </w:rPr>
        <w:t xml:space="preserve"> </w:t>
      </w:r>
      <w:r>
        <w:t>as competências</w:t>
      </w:r>
      <w:r>
        <w:rPr>
          <w:spacing w:val="-1"/>
        </w:rPr>
        <w:t xml:space="preserve"> </w:t>
      </w:r>
      <w:r>
        <w:t>próprias</w:t>
      </w:r>
      <w:r>
        <w:rPr>
          <w:vertAlign w:val="superscript"/>
        </w:rPr>
        <w:t>23</w:t>
      </w:r>
      <w:r>
        <w:t xml:space="preserve"> e</w:t>
      </w:r>
      <w:r>
        <w:rPr>
          <w:spacing w:val="-1"/>
        </w:rPr>
        <w:t xml:space="preserve"> </w:t>
      </w:r>
      <w:r>
        <w:t>se</w:t>
      </w:r>
      <w:r>
        <w:rPr>
          <w:spacing w:val="-1"/>
        </w:rPr>
        <w:t xml:space="preserve"> </w:t>
      </w:r>
      <w:r>
        <w:t>torna</w:t>
      </w:r>
      <w:r>
        <w:rPr>
          <w:spacing w:val="-1"/>
        </w:rPr>
        <w:t xml:space="preserve"> </w:t>
      </w:r>
      <w:r>
        <w:t>destinatário</w:t>
      </w:r>
      <w:r>
        <w:rPr>
          <w:spacing w:val="-1"/>
        </w:rPr>
        <w:t xml:space="preserve"> </w:t>
      </w:r>
      <w:r>
        <w:t xml:space="preserve">das políticas urbanas descritas no texto constitucional. Para a finalidade deste trabalho importante estabelecer essas balizas para aprofundarmos na propriedade urbana e seus </w:t>
      </w:r>
      <w:r>
        <w:rPr>
          <w:spacing w:val="-2"/>
        </w:rPr>
        <w:t>contornos.</w:t>
      </w:r>
    </w:p>
    <w:p w:rsidR="007259F2" w:rsidRDefault="00E655B4">
      <w:pPr>
        <w:pStyle w:val="Corpodetexto"/>
        <w:ind w:right="992"/>
      </w:pPr>
      <w:r>
        <w:t xml:space="preserve">O do </w:t>
      </w:r>
      <w:r>
        <w:rPr>
          <w:i/>
        </w:rPr>
        <w:t xml:space="preserve">caput </w:t>
      </w:r>
      <w:r>
        <w:t>artigo 182, da Constituição define que “a política de</w:t>
      </w:r>
      <w:r>
        <w:rPr>
          <w:spacing w:val="40"/>
        </w:rPr>
        <w:t xml:space="preserve"> </w:t>
      </w:r>
      <w:r>
        <w:t>desenvolvimento urbano, executada pelo Poder Público municipal, conforme diretrizes gerais fixadas em lei, tem por objetivo ordenar o pleno desenvolvimento das funções sociais da cidade e garantir o bem-estar de seus habitantes”, estabelecendo os fundamentos da política urbana que o direito urbanístico dá os contornos.</w:t>
      </w:r>
    </w:p>
    <w:p w:rsidR="007259F2" w:rsidRDefault="00DE6B1C">
      <w:pPr>
        <w:pStyle w:val="Corpodetexto"/>
        <w:ind w:left="0" w:firstLine="0"/>
        <w:jc w:val="left"/>
        <w:rPr>
          <w:sz w:val="13"/>
        </w:rPr>
      </w:pPr>
      <w:r w:rsidRPr="00DE6B1C">
        <w:rPr>
          <w:sz w:val="13"/>
        </w:rPr>
        <w:pict>
          <v:rect id="docshape33" o:spid="_x0000_s1193" style="position:absolute;margin-left:85.1pt;margin-top:8.7pt;width:2in;height:.7pt;z-index:-15719936;mso-wrap-distance-left:0;mso-wrap-distance-right:0;mso-position-horizontal-relative:page" fillcolor="black" stroked="f">
            <w10:wrap type="topAndBottom" anchorx="page"/>
          </v:rect>
        </w:pict>
      </w:r>
    </w:p>
    <w:p w:rsidR="007259F2" w:rsidRDefault="00E655B4">
      <w:pPr>
        <w:spacing w:before="96"/>
        <w:ind w:left="710" w:right="990"/>
        <w:jc w:val="both"/>
        <w:rPr>
          <w:sz w:val="20"/>
        </w:rPr>
      </w:pPr>
      <w:r>
        <w:rPr>
          <w:sz w:val="20"/>
          <w:vertAlign w:val="superscript"/>
        </w:rPr>
        <w:t>21</w:t>
      </w:r>
      <w:r>
        <w:rPr>
          <w:sz w:val="20"/>
        </w:rPr>
        <w:t xml:space="preserve"> COMPARATO, Fábio Conder. Função social da propriedade dos bens de produção. Revista de Direito Mercantil Industrial, Econômico e Financeiro </w:t>
      </w:r>
      <w:r>
        <w:rPr>
          <w:i/>
          <w:sz w:val="20"/>
        </w:rPr>
        <w:t xml:space="preserve">apud </w:t>
      </w:r>
      <w:r>
        <w:rPr>
          <w:sz w:val="20"/>
        </w:rPr>
        <w:t xml:space="preserve">CARDOSO, </w:t>
      </w:r>
      <w:r>
        <w:rPr>
          <w:i/>
          <w:sz w:val="20"/>
        </w:rPr>
        <w:t>op. cit</w:t>
      </w:r>
      <w:r>
        <w:rPr>
          <w:sz w:val="20"/>
        </w:rPr>
        <w:t>., p.102.</w:t>
      </w:r>
    </w:p>
    <w:p w:rsidR="007259F2" w:rsidRDefault="00E655B4">
      <w:pPr>
        <w:spacing w:before="2"/>
        <w:ind w:left="710" w:right="988"/>
        <w:jc w:val="both"/>
        <w:rPr>
          <w:sz w:val="20"/>
        </w:rPr>
      </w:pPr>
      <w:r>
        <w:rPr>
          <w:sz w:val="20"/>
          <w:vertAlign w:val="superscript"/>
        </w:rPr>
        <w:t>22</w:t>
      </w:r>
      <w:r>
        <w:rPr>
          <w:sz w:val="20"/>
        </w:rPr>
        <w:t xml:space="preserve"> “Esclareça-se que funcionalizar a propriedade ao atendimento de interesses sociais não significa, de modo</w:t>
      </w:r>
      <w:r>
        <w:rPr>
          <w:spacing w:val="-1"/>
          <w:sz w:val="20"/>
        </w:rPr>
        <w:t xml:space="preserve"> </w:t>
      </w:r>
      <w:r>
        <w:rPr>
          <w:sz w:val="20"/>
        </w:rPr>
        <w:t>algum,</w:t>
      </w:r>
      <w:r>
        <w:rPr>
          <w:spacing w:val="-2"/>
          <w:sz w:val="20"/>
        </w:rPr>
        <w:t xml:space="preserve"> </w:t>
      </w:r>
      <w:r>
        <w:rPr>
          <w:sz w:val="20"/>
        </w:rPr>
        <w:t>propor</w:t>
      </w:r>
      <w:r>
        <w:rPr>
          <w:spacing w:val="-2"/>
          <w:sz w:val="20"/>
        </w:rPr>
        <w:t xml:space="preserve"> </w:t>
      </w:r>
      <w:r>
        <w:rPr>
          <w:sz w:val="20"/>
        </w:rPr>
        <w:t>o</w:t>
      </w:r>
      <w:r>
        <w:rPr>
          <w:spacing w:val="-1"/>
          <w:sz w:val="20"/>
        </w:rPr>
        <w:t xml:space="preserve"> </w:t>
      </w:r>
      <w:r>
        <w:rPr>
          <w:sz w:val="20"/>
        </w:rPr>
        <w:t>aniquilamento</w:t>
      </w:r>
      <w:r>
        <w:rPr>
          <w:spacing w:val="-1"/>
          <w:sz w:val="20"/>
        </w:rPr>
        <w:t xml:space="preserve"> </w:t>
      </w:r>
      <w:r>
        <w:rPr>
          <w:sz w:val="20"/>
        </w:rPr>
        <w:t>dos</w:t>
      </w:r>
      <w:r>
        <w:rPr>
          <w:spacing w:val="-3"/>
          <w:sz w:val="20"/>
        </w:rPr>
        <w:t xml:space="preserve"> </w:t>
      </w:r>
      <w:r>
        <w:rPr>
          <w:sz w:val="20"/>
        </w:rPr>
        <w:t>direitos</w:t>
      </w:r>
      <w:r>
        <w:rPr>
          <w:spacing w:val="-3"/>
          <w:sz w:val="20"/>
        </w:rPr>
        <w:t xml:space="preserve"> </w:t>
      </w:r>
      <w:r>
        <w:rPr>
          <w:sz w:val="20"/>
        </w:rPr>
        <w:t>individuais</w:t>
      </w:r>
      <w:r>
        <w:rPr>
          <w:spacing w:val="-3"/>
          <w:sz w:val="20"/>
        </w:rPr>
        <w:t xml:space="preserve"> </w:t>
      </w:r>
      <w:r>
        <w:rPr>
          <w:sz w:val="20"/>
        </w:rPr>
        <w:t>ou</w:t>
      </w:r>
      <w:r>
        <w:rPr>
          <w:spacing w:val="-3"/>
          <w:sz w:val="20"/>
        </w:rPr>
        <w:t xml:space="preserve"> </w:t>
      </w:r>
      <w:r>
        <w:rPr>
          <w:sz w:val="20"/>
        </w:rPr>
        <w:t>pregar</w:t>
      </w:r>
      <w:r>
        <w:rPr>
          <w:spacing w:val="-1"/>
          <w:sz w:val="20"/>
        </w:rPr>
        <w:t xml:space="preserve"> </w:t>
      </w:r>
      <w:r>
        <w:rPr>
          <w:sz w:val="20"/>
        </w:rPr>
        <w:t>a</w:t>
      </w:r>
      <w:r>
        <w:rPr>
          <w:spacing w:val="-2"/>
          <w:sz w:val="20"/>
        </w:rPr>
        <w:t xml:space="preserve"> </w:t>
      </w:r>
      <w:r>
        <w:rPr>
          <w:sz w:val="20"/>
        </w:rPr>
        <w:t>negação</w:t>
      </w:r>
      <w:r>
        <w:rPr>
          <w:spacing w:val="-1"/>
          <w:sz w:val="20"/>
        </w:rPr>
        <w:t xml:space="preserve"> </w:t>
      </w:r>
      <w:r>
        <w:rPr>
          <w:sz w:val="20"/>
        </w:rPr>
        <w:t>da</w:t>
      </w:r>
      <w:r>
        <w:rPr>
          <w:spacing w:val="-2"/>
          <w:sz w:val="20"/>
        </w:rPr>
        <w:t xml:space="preserve"> </w:t>
      </w:r>
      <w:r>
        <w:rPr>
          <w:sz w:val="20"/>
        </w:rPr>
        <w:t>propriedade</w:t>
      </w:r>
      <w:r>
        <w:rPr>
          <w:spacing w:val="-2"/>
          <w:sz w:val="20"/>
        </w:rPr>
        <w:t xml:space="preserve"> </w:t>
      </w:r>
      <w:r>
        <w:rPr>
          <w:sz w:val="20"/>
        </w:rPr>
        <w:t>privada. Muito pelo contrário. A função social, impondo ao proprietário a observância de determinados valores sociais, legitima a</w:t>
      </w:r>
      <w:r>
        <w:rPr>
          <w:spacing w:val="-2"/>
          <w:sz w:val="20"/>
        </w:rPr>
        <w:t xml:space="preserve"> </w:t>
      </w:r>
      <w:r>
        <w:rPr>
          <w:sz w:val="20"/>
        </w:rPr>
        <w:t>propriedade capitalista e a compatibiliza com a democracia social que caracteriza os sistemas</w:t>
      </w:r>
      <w:r>
        <w:rPr>
          <w:spacing w:val="-4"/>
          <w:sz w:val="20"/>
        </w:rPr>
        <w:t xml:space="preserve"> </w:t>
      </w:r>
      <w:r>
        <w:rPr>
          <w:sz w:val="20"/>
        </w:rPr>
        <w:t>políticos</w:t>
      </w:r>
      <w:r>
        <w:rPr>
          <w:spacing w:val="-4"/>
          <w:sz w:val="20"/>
        </w:rPr>
        <w:t xml:space="preserve"> </w:t>
      </w:r>
      <w:r>
        <w:rPr>
          <w:sz w:val="20"/>
        </w:rPr>
        <w:t>contemporâneos.</w:t>
      </w:r>
      <w:r>
        <w:rPr>
          <w:spacing w:val="-3"/>
          <w:sz w:val="20"/>
        </w:rPr>
        <w:t xml:space="preserve"> </w:t>
      </w:r>
      <w:r>
        <w:rPr>
          <w:sz w:val="20"/>
        </w:rPr>
        <w:t>O</w:t>
      </w:r>
      <w:r>
        <w:rPr>
          <w:spacing w:val="-3"/>
          <w:sz w:val="20"/>
        </w:rPr>
        <w:t xml:space="preserve"> </w:t>
      </w:r>
      <w:r>
        <w:rPr>
          <w:sz w:val="20"/>
        </w:rPr>
        <w:t>proprietário</w:t>
      </w:r>
      <w:r>
        <w:rPr>
          <w:spacing w:val="-2"/>
          <w:sz w:val="20"/>
        </w:rPr>
        <w:t xml:space="preserve"> </w:t>
      </w:r>
      <w:r>
        <w:rPr>
          <w:sz w:val="20"/>
        </w:rPr>
        <w:t>permanece</w:t>
      </w:r>
      <w:r>
        <w:rPr>
          <w:spacing w:val="-3"/>
          <w:sz w:val="20"/>
        </w:rPr>
        <w:t xml:space="preserve"> </w:t>
      </w:r>
      <w:r>
        <w:rPr>
          <w:sz w:val="20"/>
        </w:rPr>
        <w:t>como</w:t>
      </w:r>
      <w:r>
        <w:rPr>
          <w:spacing w:val="-2"/>
          <w:sz w:val="20"/>
        </w:rPr>
        <w:t xml:space="preserve"> </w:t>
      </w:r>
      <w:r>
        <w:rPr>
          <w:sz w:val="20"/>
        </w:rPr>
        <w:t>beneficiário</w:t>
      </w:r>
      <w:r>
        <w:rPr>
          <w:spacing w:val="-2"/>
          <w:sz w:val="20"/>
        </w:rPr>
        <w:t xml:space="preserve"> </w:t>
      </w:r>
      <w:r>
        <w:rPr>
          <w:sz w:val="20"/>
        </w:rPr>
        <w:t>imediato,</w:t>
      </w:r>
      <w:r>
        <w:rPr>
          <w:spacing w:val="-3"/>
          <w:sz w:val="20"/>
        </w:rPr>
        <w:t xml:space="preserve"> </w:t>
      </w:r>
      <w:r>
        <w:rPr>
          <w:sz w:val="20"/>
        </w:rPr>
        <w:t>e</w:t>
      </w:r>
      <w:r>
        <w:rPr>
          <w:spacing w:val="-3"/>
          <w:sz w:val="20"/>
        </w:rPr>
        <w:t xml:space="preserve"> </w:t>
      </w:r>
      <w:r>
        <w:rPr>
          <w:sz w:val="20"/>
        </w:rPr>
        <w:t>quase</w:t>
      </w:r>
      <w:r>
        <w:rPr>
          <w:spacing w:val="-3"/>
          <w:sz w:val="20"/>
        </w:rPr>
        <w:t xml:space="preserve"> </w:t>
      </w:r>
      <w:r>
        <w:rPr>
          <w:sz w:val="20"/>
        </w:rPr>
        <w:t>sempre predominante, do domínio; apenas se impõe a ele que exerça o seu direito atendendo também aos interesses sociais. A propriedade se mantém privada, mas se afasta da definição individualista de "poder absoluto do proprietário" para buscar na conformação ao interesse social a sua legitimação, a razão e o fundamento de sua proteção jurídica. Nessa nova concepção, a propriedade</w:t>
      </w:r>
      <w:r>
        <w:rPr>
          <w:spacing w:val="-1"/>
          <w:sz w:val="20"/>
        </w:rPr>
        <w:t xml:space="preserve"> </w:t>
      </w:r>
      <w:r>
        <w:rPr>
          <w:sz w:val="20"/>
        </w:rPr>
        <w:t>passa a ser tutelada apenas na medida em que observe os interesses sociais relevantes. A conduta do proprietário e a tutela dos seus interesses passam</w:t>
      </w:r>
      <w:r>
        <w:rPr>
          <w:spacing w:val="-1"/>
          <w:sz w:val="20"/>
        </w:rPr>
        <w:t xml:space="preserve"> </w:t>
      </w:r>
      <w:r>
        <w:rPr>
          <w:sz w:val="20"/>
        </w:rPr>
        <w:t>a estar condicionadas ao atendimento da função social da propriedade.</w:t>
      </w:r>
      <w:r>
        <w:rPr>
          <w:spacing w:val="-1"/>
          <w:sz w:val="20"/>
        </w:rPr>
        <w:t xml:space="preserve"> </w:t>
      </w:r>
      <w:r>
        <w:rPr>
          <w:sz w:val="20"/>
        </w:rPr>
        <w:t xml:space="preserve">Não se oprime o indivíduo, mas se exige dele alguma atenção aos anseios mais graves do organismo social em que se insere.” (SCHREIBER, </w:t>
      </w:r>
      <w:r>
        <w:rPr>
          <w:i/>
          <w:sz w:val="20"/>
        </w:rPr>
        <w:t>op. cit</w:t>
      </w:r>
      <w:r>
        <w:rPr>
          <w:sz w:val="20"/>
        </w:rPr>
        <w:t>., p. 6)</w:t>
      </w:r>
    </w:p>
    <w:p w:rsidR="007259F2" w:rsidRDefault="00E655B4">
      <w:pPr>
        <w:ind w:left="710" w:right="1122"/>
        <w:jc w:val="both"/>
        <w:rPr>
          <w:sz w:val="20"/>
        </w:rPr>
      </w:pPr>
      <w:r>
        <w:rPr>
          <w:sz w:val="20"/>
          <w:vertAlign w:val="superscript"/>
        </w:rPr>
        <w:t>23</w:t>
      </w:r>
      <w:r>
        <w:rPr>
          <w:sz w:val="20"/>
        </w:rPr>
        <w:t xml:space="preserve"> “Pela Constituição de 1988, o Município é elevado formalmente a ente federativo – o que já era defendido há tempos por nomes como Hely Lopes Meirelles – e, dentro dessa federação </w:t>
      </w:r>
      <w:r>
        <w:rPr>
          <w:i/>
          <w:sz w:val="20"/>
        </w:rPr>
        <w:t>sui generis</w:t>
      </w:r>
      <w:r>
        <w:rPr>
          <w:sz w:val="20"/>
        </w:rPr>
        <w:t>, alcança sua autonomia</w:t>
      </w:r>
      <w:r>
        <w:rPr>
          <w:spacing w:val="40"/>
          <w:sz w:val="20"/>
        </w:rPr>
        <w:t xml:space="preserve"> </w:t>
      </w:r>
      <w:r>
        <w:rPr>
          <w:sz w:val="20"/>
        </w:rPr>
        <w:t xml:space="preserve">nas quatros vertentes: administrativa, para tratar de seus serviços e atividade; financeira, para arrecadar seus tributos e aplicar rendas; política para eleger seu chefe do Executivo e membros do Legislativo e legislativa, para editar sua Lei Orgânica” (MARCO, </w:t>
      </w:r>
      <w:r>
        <w:rPr>
          <w:i/>
          <w:sz w:val="20"/>
        </w:rPr>
        <w:t>op. cit</w:t>
      </w:r>
      <w:r>
        <w:rPr>
          <w:sz w:val="20"/>
        </w:rPr>
        <w:t>.,p. 430).</w:t>
      </w:r>
    </w:p>
    <w:p w:rsidR="007259F2" w:rsidRDefault="007259F2">
      <w:pPr>
        <w:jc w:val="both"/>
        <w:rPr>
          <w:sz w:val="20"/>
        </w:rPr>
        <w:sectPr w:rsidR="007259F2">
          <w:pgSz w:w="11910" w:h="16840"/>
          <w:pgMar w:top="1320" w:right="708" w:bottom="1160" w:left="992" w:header="0" w:footer="962" w:gutter="0"/>
          <w:cols w:space="720"/>
        </w:sectPr>
      </w:pPr>
    </w:p>
    <w:p w:rsidR="007259F2" w:rsidRDefault="00E655B4">
      <w:pPr>
        <w:pStyle w:val="Corpodetexto"/>
        <w:spacing w:before="69"/>
        <w:ind w:right="988"/>
      </w:pPr>
      <w:r>
        <w:lastRenderedPageBreak/>
        <w:t>Primeiro, é o Município o destinatário e o protagonista de tal política sendo ele,</w:t>
      </w:r>
      <w:r>
        <w:rPr>
          <w:spacing w:val="40"/>
        </w:rPr>
        <w:t xml:space="preserve"> </w:t>
      </w:r>
      <w:r>
        <w:t>a partir das diretrizes estabelecidas em lei, a promover o desenvolvimento do solo urbano. Tal desenvolvimento é exercido através de lei, pelo princípio da legalidade, a partir de repartição de competências. Desse modo, conforme artigo 21, XX, da Constituição, compete a União definir as normas gerais relativas ao desenvolvimento urbano, a fim de uniformizar a essa política em âmbito nacional.</w:t>
      </w:r>
      <w:r>
        <w:rPr>
          <w:vertAlign w:val="superscript"/>
        </w:rPr>
        <w:t>24</w:t>
      </w:r>
      <w:r>
        <w:t xml:space="preserve"> Definidos os ditames gerais, o Município os executa de acordo com seus interesses locais.</w:t>
      </w:r>
    </w:p>
    <w:p w:rsidR="007259F2" w:rsidRDefault="00E655B4">
      <w:pPr>
        <w:pStyle w:val="Corpodetexto"/>
        <w:spacing w:before="1"/>
        <w:ind w:right="994"/>
      </w:pPr>
      <w:r>
        <w:t>Aqui é ressaltada a importância da propriedade urbana nas políticas definidas pelo Município, porquanto o próprio dispositivo constitucional, no artigo 182, destaca que o desenvolvimento se dará a partir da função social da cidade. Essa função está arraigada na função social da propriedade sendo no limite indissolúveis. Portanto, a função social da propriedade urbana tem os mesmos fundamentos da função social da propriedade em geral.</w:t>
      </w:r>
    </w:p>
    <w:p w:rsidR="007259F2" w:rsidRDefault="00E655B4">
      <w:pPr>
        <w:pStyle w:val="Corpodetexto"/>
        <w:spacing w:before="1"/>
        <w:ind w:right="986"/>
      </w:pPr>
      <w:r>
        <w:t>O ponto de dicotomia entre ambas se encontra nos instrumentos que a política urbanística se velará para desenvolver a propriedade. A política urbanística específica exercida pelo Município tem suas raízes nas competências esculpidas no artigo 30, da Constituição, que permitem que o interesse local seja preponderante para estabelecer a política urbanística.</w:t>
      </w:r>
      <w:r>
        <w:rPr>
          <w:vertAlign w:val="superscript"/>
        </w:rPr>
        <w:t>25</w:t>
      </w:r>
    </w:p>
    <w:p w:rsidR="007259F2" w:rsidRDefault="00E655B4">
      <w:pPr>
        <w:pStyle w:val="Corpodetexto"/>
        <w:ind w:right="995"/>
      </w:pPr>
      <w:r>
        <w:t>São as normas urbanísticas, assim, que traçam os limites e regulamentam a função social da propriedade urbana, ao estabelecer o uso adequado dessa</w:t>
      </w:r>
      <w:r>
        <w:rPr>
          <w:spacing w:val="80"/>
        </w:rPr>
        <w:t xml:space="preserve"> </w:t>
      </w:r>
      <w:r>
        <w:rPr>
          <w:spacing w:val="-2"/>
        </w:rPr>
        <w:t>propriedade.</w:t>
      </w:r>
      <w:r>
        <w:rPr>
          <w:spacing w:val="-2"/>
          <w:vertAlign w:val="superscript"/>
        </w:rPr>
        <w:t>26</w:t>
      </w:r>
    </w:p>
    <w:p w:rsidR="007259F2" w:rsidRDefault="00E655B4">
      <w:pPr>
        <w:pStyle w:val="Corpodetexto"/>
        <w:ind w:right="990"/>
      </w:pPr>
      <w:r>
        <w:t>Em cumprimento aos mandamentos constitucionais foi editado em 2001 a Lei 10.257, o Estado da Cidade. A lei estabelece normas de regulação do uso da</w:t>
      </w:r>
      <w:r>
        <w:rPr>
          <w:spacing w:val="40"/>
        </w:rPr>
        <w:t xml:space="preserve"> </w:t>
      </w:r>
      <w:r>
        <w:t>propriedade</w:t>
      </w:r>
      <w:r>
        <w:rPr>
          <w:spacing w:val="-3"/>
        </w:rPr>
        <w:t xml:space="preserve"> </w:t>
      </w:r>
      <w:r>
        <w:t>em prol</w:t>
      </w:r>
      <w:r>
        <w:rPr>
          <w:spacing w:val="-2"/>
        </w:rPr>
        <w:t xml:space="preserve"> </w:t>
      </w:r>
      <w:r>
        <w:t>do</w:t>
      </w:r>
      <w:r>
        <w:rPr>
          <w:spacing w:val="-1"/>
        </w:rPr>
        <w:t xml:space="preserve"> </w:t>
      </w:r>
      <w:r>
        <w:t>bem</w:t>
      </w:r>
      <w:r>
        <w:rPr>
          <w:spacing w:val="-2"/>
        </w:rPr>
        <w:t xml:space="preserve"> </w:t>
      </w:r>
      <w:r>
        <w:t>comum,</w:t>
      </w:r>
      <w:r>
        <w:rPr>
          <w:spacing w:val="-2"/>
        </w:rPr>
        <w:t xml:space="preserve"> </w:t>
      </w:r>
      <w:r>
        <w:t>além</w:t>
      </w:r>
      <w:r>
        <w:rPr>
          <w:spacing w:val="-2"/>
        </w:rPr>
        <w:t xml:space="preserve"> </w:t>
      </w:r>
      <w:r>
        <w:t>de</w:t>
      </w:r>
      <w:r>
        <w:rPr>
          <w:spacing w:val="-1"/>
        </w:rPr>
        <w:t xml:space="preserve"> </w:t>
      </w:r>
      <w:r>
        <w:t>concretizar</w:t>
      </w:r>
      <w:r>
        <w:rPr>
          <w:spacing w:val="-1"/>
        </w:rPr>
        <w:t xml:space="preserve"> </w:t>
      </w:r>
      <w:r>
        <w:t>a</w:t>
      </w:r>
      <w:r>
        <w:rPr>
          <w:spacing w:val="-3"/>
        </w:rPr>
        <w:t xml:space="preserve"> </w:t>
      </w:r>
      <w:r>
        <w:t>função social</w:t>
      </w:r>
      <w:r>
        <w:rPr>
          <w:spacing w:val="-2"/>
        </w:rPr>
        <w:t xml:space="preserve"> </w:t>
      </w:r>
      <w:r>
        <w:t>da</w:t>
      </w:r>
      <w:r>
        <w:rPr>
          <w:spacing w:val="-3"/>
        </w:rPr>
        <w:t xml:space="preserve"> </w:t>
      </w:r>
      <w:r>
        <w:t>propriedade urbana. Cria na verdade um microssistema jurídico a ponto de ser considerado um código de direito urbanístico.</w:t>
      </w:r>
      <w:r>
        <w:rPr>
          <w:vertAlign w:val="superscript"/>
        </w:rPr>
        <w:t>27</w:t>
      </w:r>
    </w:p>
    <w:p w:rsidR="007259F2" w:rsidRDefault="00E655B4">
      <w:pPr>
        <w:pStyle w:val="Corpodetexto"/>
        <w:ind w:right="995"/>
      </w:pPr>
      <w:r>
        <w:t>O artigo 2º do Estatuto contempla e traça os objetivos principais para o desenvolvimento das funções sociais da cidade e da propriedade urbana, estabelecendo, por exemplo, a ordenação e o controle do solo e a gestão democrática das cidades.</w:t>
      </w:r>
    </w:p>
    <w:p w:rsidR="007259F2" w:rsidRDefault="00E655B4">
      <w:pPr>
        <w:pStyle w:val="Corpodetexto"/>
        <w:ind w:right="993"/>
      </w:pPr>
      <w:r>
        <w:t>Além disso, a lei federal uniformizou a política urbana nacionalmente e regulamentou instrumentos já previstos na Constituição como edificação, parcelamento e usos compulsórios e o IPTU progressivo, tão importantes para dar concretude da função social.</w:t>
      </w:r>
      <w:r>
        <w:rPr>
          <w:vertAlign w:val="superscript"/>
        </w:rPr>
        <w:t>28</w:t>
      </w:r>
    </w:p>
    <w:p w:rsidR="007259F2" w:rsidRDefault="00E655B4">
      <w:pPr>
        <w:pStyle w:val="Corpodetexto"/>
        <w:ind w:right="991"/>
      </w:pPr>
      <w:r>
        <w:t>Neste passo, os artigos 5º e 6º preveem o parcelamento, edificação ou utilização compulsórios. Os dispositivos visam impedir a subutilização da propriedade criando mecanismos para induzir o uso da propriedade a fim de que sua destinação social integrada ao complexo urbano seja efetivada.</w:t>
      </w:r>
    </w:p>
    <w:p w:rsidR="007259F2" w:rsidRDefault="007259F2">
      <w:pPr>
        <w:pStyle w:val="Corpodetexto"/>
        <w:ind w:left="0" w:firstLine="0"/>
        <w:jc w:val="left"/>
        <w:rPr>
          <w:sz w:val="20"/>
        </w:rPr>
      </w:pPr>
    </w:p>
    <w:p w:rsidR="007259F2" w:rsidRDefault="00DE6B1C">
      <w:pPr>
        <w:pStyle w:val="Corpodetexto"/>
        <w:spacing w:before="211"/>
        <w:ind w:left="0" w:firstLine="0"/>
        <w:jc w:val="left"/>
        <w:rPr>
          <w:sz w:val="20"/>
        </w:rPr>
      </w:pPr>
      <w:r w:rsidRPr="00DE6B1C">
        <w:rPr>
          <w:sz w:val="20"/>
        </w:rPr>
        <w:pict>
          <v:rect id="docshape34" o:spid="_x0000_s1192" style="position:absolute;margin-left:85.1pt;margin-top:23.3pt;width:2in;height:.7pt;z-index:-15719424;mso-wrap-distance-left:0;mso-wrap-distance-right:0;mso-position-horizontal-relative:page" fillcolor="black" stroked="f">
            <w10:wrap type="topAndBottom" anchorx="page"/>
          </v:rect>
        </w:pict>
      </w:r>
    </w:p>
    <w:p w:rsidR="007259F2" w:rsidRDefault="00E655B4">
      <w:pPr>
        <w:spacing w:before="96"/>
        <w:ind w:left="710"/>
        <w:jc w:val="both"/>
        <w:rPr>
          <w:sz w:val="20"/>
        </w:rPr>
      </w:pPr>
      <w:r>
        <w:rPr>
          <w:sz w:val="20"/>
          <w:vertAlign w:val="superscript"/>
        </w:rPr>
        <w:t>24</w:t>
      </w:r>
      <w:r>
        <w:rPr>
          <w:spacing w:val="-4"/>
          <w:sz w:val="20"/>
        </w:rPr>
        <w:t xml:space="preserve"> </w:t>
      </w:r>
      <w:r>
        <w:rPr>
          <w:sz w:val="20"/>
        </w:rPr>
        <w:t>MARCO,</w:t>
      </w:r>
      <w:r>
        <w:rPr>
          <w:spacing w:val="-2"/>
          <w:sz w:val="20"/>
        </w:rPr>
        <w:t xml:space="preserve"> </w:t>
      </w:r>
      <w:r>
        <w:rPr>
          <w:i/>
          <w:sz w:val="20"/>
        </w:rPr>
        <w:t>op.</w:t>
      </w:r>
      <w:r>
        <w:rPr>
          <w:i/>
          <w:spacing w:val="-3"/>
          <w:sz w:val="20"/>
        </w:rPr>
        <w:t xml:space="preserve"> </w:t>
      </w:r>
      <w:r>
        <w:rPr>
          <w:i/>
          <w:sz w:val="20"/>
        </w:rPr>
        <w:t>cit</w:t>
      </w:r>
      <w:r>
        <w:rPr>
          <w:sz w:val="20"/>
        </w:rPr>
        <w:t>.,</w:t>
      </w:r>
      <w:r>
        <w:rPr>
          <w:spacing w:val="-3"/>
          <w:sz w:val="20"/>
        </w:rPr>
        <w:t xml:space="preserve"> </w:t>
      </w:r>
      <w:r>
        <w:rPr>
          <w:sz w:val="20"/>
        </w:rPr>
        <w:t>p.</w:t>
      </w:r>
      <w:r>
        <w:rPr>
          <w:spacing w:val="-3"/>
          <w:sz w:val="20"/>
        </w:rPr>
        <w:t xml:space="preserve"> </w:t>
      </w:r>
      <w:r>
        <w:rPr>
          <w:spacing w:val="-4"/>
          <w:sz w:val="20"/>
        </w:rPr>
        <w:t>431.</w:t>
      </w:r>
    </w:p>
    <w:p w:rsidR="007259F2" w:rsidRDefault="00E655B4">
      <w:pPr>
        <w:spacing w:before="1"/>
        <w:ind w:left="710" w:right="992"/>
        <w:jc w:val="both"/>
        <w:rPr>
          <w:sz w:val="20"/>
        </w:rPr>
      </w:pPr>
      <w:r>
        <w:rPr>
          <w:sz w:val="20"/>
          <w:vertAlign w:val="superscript"/>
        </w:rPr>
        <w:t>25</w:t>
      </w:r>
      <w:r>
        <w:rPr>
          <w:sz w:val="20"/>
        </w:rPr>
        <w:t xml:space="preserve"> “Conforme lembra Hely Lopes Meirelles, a competência do Município em matéria de urbanismo é ampla e decorre do artigo 30, incisos I, II e VIII, combinado com o artigo 182 da Constituição, desdobrando-se as atribuições em dois setores: o de ordenação espacial, materializando em instrumentos como plano diretor e zoneamento, e o de controle da construção, baseado o código de obras e normas correlatas.” (MARCO, </w:t>
      </w:r>
      <w:r>
        <w:rPr>
          <w:i/>
          <w:sz w:val="20"/>
        </w:rPr>
        <w:t>op. cit</w:t>
      </w:r>
      <w:r>
        <w:rPr>
          <w:sz w:val="20"/>
        </w:rPr>
        <w:t>., p. 431).</w:t>
      </w:r>
    </w:p>
    <w:p w:rsidR="007259F2" w:rsidRDefault="00E655B4">
      <w:pPr>
        <w:spacing w:line="229" w:lineRule="exact"/>
        <w:ind w:left="710"/>
        <w:jc w:val="both"/>
        <w:rPr>
          <w:sz w:val="20"/>
        </w:rPr>
      </w:pPr>
      <w:r>
        <w:rPr>
          <w:sz w:val="20"/>
          <w:vertAlign w:val="superscript"/>
        </w:rPr>
        <w:t>26</w:t>
      </w:r>
      <w:r>
        <w:rPr>
          <w:spacing w:val="-4"/>
          <w:sz w:val="20"/>
        </w:rPr>
        <w:t xml:space="preserve"> </w:t>
      </w:r>
      <w:r>
        <w:rPr>
          <w:sz w:val="20"/>
        </w:rPr>
        <w:t>MARCO,</w:t>
      </w:r>
      <w:r>
        <w:rPr>
          <w:spacing w:val="-2"/>
          <w:sz w:val="20"/>
        </w:rPr>
        <w:t xml:space="preserve"> </w:t>
      </w:r>
      <w:r>
        <w:rPr>
          <w:i/>
          <w:sz w:val="20"/>
        </w:rPr>
        <w:t>op.</w:t>
      </w:r>
      <w:r>
        <w:rPr>
          <w:i/>
          <w:spacing w:val="-3"/>
          <w:sz w:val="20"/>
        </w:rPr>
        <w:t xml:space="preserve"> </w:t>
      </w:r>
      <w:r>
        <w:rPr>
          <w:i/>
          <w:sz w:val="20"/>
        </w:rPr>
        <w:t>cit</w:t>
      </w:r>
      <w:r>
        <w:rPr>
          <w:sz w:val="20"/>
        </w:rPr>
        <w:t>.,</w:t>
      </w:r>
      <w:r>
        <w:rPr>
          <w:spacing w:val="-3"/>
          <w:sz w:val="20"/>
        </w:rPr>
        <w:t xml:space="preserve"> </w:t>
      </w:r>
      <w:r>
        <w:rPr>
          <w:sz w:val="20"/>
        </w:rPr>
        <w:t>p.</w:t>
      </w:r>
      <w:r>
        <w:rPr>
          <w:spacing w:val="-3"/>
          <w:sz w:val="20"/>
        </w:rPr>
        <w:t xml:space="preserve"> </w:t>
      </w:r>
      <w:r>
        <w:rPr>
          <w:spacing w:val="-4"/>
          <w:sz w:val="20"/>
        </w:rPr>
        <w:t>432.</w:t>
      </w:r>
    </w:p>
    <w:p w:rsidR="007259F2" w:rsidRDefault="00E655B4">
      <w:pPr>
        <w:tabs>
          <w:tab w:val="left" w:pos="2847"/>
          <w:tab w:val="left" w:pos="8917"/>
        </w:tabs>
        <w:ind w:left="710" w:right="988"/>
        <w:jc w:val="both"/>
        <w:rPr>
          <w:sz w:val="20"/>
        </w:rPr>
      </w:pPr>
      <w:r>
        <w:rPr>
          <w:sz w:val="20"/>
          <w:vertAlign w:val="superscript"/>
        </w:rPr>
        <w:t>27</w:t>
      </w:r>
      <w:r>
        <w:rPr>
          <w:sz w:val="20"/>
        </w:rPr>
        <w:t xml:space="preserve"> NERY, Rosa Maria de Andrade; JUNIOR, Nelson Nery. </w:t>
      </w:r>
      <w:r>
        <w:rPr>
          <w:b/>
          <w:sz w:val="20"/>
        </w:rPr>
        <w:t>Instituição de direito civil</w:t>
      </w:r>
      <w:r>
        <w:rPr>
          <w:sz w:val="20"/>
        </w:rPr>
        <w:t xml:space="preserve">: volume III: direitos patrimoniais, reais e registrários. 3. ed. São Paulo: Thomson Reuters Brasil, 2022, RB-11.1. E- </w:t>
      </w:r>
      <w:r>
        <w:rPr>
          <w:spacing w:val="-2"/>
          <w:sz w:val="20"/>
        </w:rPr>
        <w:t>book.</w:t>
      </w:r>
      <w:r>
        <w:rPr>
          <w:sz w:val="20"/>
        </w:rPr>
        <w:tab/>
      </w:r>
      <w:r>
        <w:rPr>
          <w:spacing w:val="-2"/>
          <w:sz w:val="20"/>
        </w:rPr>
        <w:t>Disponível</w:t>
      </w:r>
      <w:r>
        <w:rPr>
          <w:sz w:val="20"/>
        </w:rPr>
        <w:tab/>
      </w:r>
      <w:r>
        <w:rPr>
          <w:spacing w:val="-5"/>
          <w:sz w:val="20"/>
        </w:rPr>
        <w:t>em:</w:t>
      </w:r>
    </w:p>
    <w:p w:rsidR="007259F2" w:rsidRDefault="00E655B4">
      <w:pPr>
        <w:ind w:left="710" w:right="993"/>
        <w:jc w:val="both"/>
        <w:rPr>
          <w:sz w:val="20"/>
        </w:rPr>
      </w:pPr>
      <w:r>
        <w:rPr>
          <w:sz w:val="20"/>
        </w:rPr>
        <w:t>https://proview.thomsonreuters.com/launchapp/title/rt/monografias/109742596/v3/page/RB-11.1. Acesso em: 10 jan. 2025</w:t>
      </w:r>
    </w:p>
    <w:p w:rsidR="007259F2" w:rsidRDefault="00E655B4">
      <w:pPr>
        <w:spacing w:before="1"/>
        <w:ind w:left="710"/>
        <w:jc w:val="both"/>
        <w:rPr>
          <w:sz w:val="20"/>
        </w:rPr>
      </w:pPr>
      <w:r>
        <w:rPr>
          <w:sz w:val="20"/>
          <w:vertAlign w:val="superscript"/>
        </w:rPr>
        <w:t>28</w:t>
      </w:r>
      <w:r>
        <w:rPr>
          <w:spacing w:val="-4"/>
          <w:sz w:val="20"/>
        </w:rPr>
        <w:t xml:space="preserve"> </w:t>
      </w:r>
      <w:r>
        <w:rPr>
          <w:sz w:val="20"/>
        </w:rPr>
        <w:t>MARCO,</w:t>
      </w:r>
      <w:r>
        <w:rPr>
          <w:spacing w:val="-2"/>
          <w:sz w:val="20"/>
        </w:rPr>
        <w:t xml:space="preserve"> </w:t>
      </w:r>
      <w:r>
        <w:rPr>
          <w:i/>
          <w:sz w:val="20"/>
        </w:rPr>
        <w:t>op.</w:t>
      </w:r>
      <w:r>
        <w:rPr>
          <w:i/>
          <w:spacing w:val="-3"/>
          <w:sz w:val="20"/>
        </w:rPr>
        <w:t xml:space="preserve"> </w:t>
      </w:r>
      <w:r>
        <w:rPr>
          <w:i/>
          <w:sz w:val="20"/>
        </w:rPr>
        <w:t>cit</w:t>
      </w:r>
      <w:r>
        <w:rPr>
          <w:sz w:val="20"/>
        </w:rPr>
        <w:t>.,</w:t>
      </w:r>
      <w:r>
        <w:rPr>
          <w:spacing w:val="-3"/>
          <w:sz w:val="20"/>
        </w:rPr>
        <w:t xml:space="preserve"> </w:t>
      </w:r>
      <w:r>
        <w:rPr>
          <w:sz w:val="20"/>
        </w:rPr>
        <w:t>p.</w:t>
      </w:r>
      <w:r>
        <w:rPr>
          <w:spacing w:val="-3"/>
          <w:sz w:val="20"/>
        </w:rPr>
        <w:t xml:space="preserve"> </w:t>
      </w:r>
      <w:r>
        <w:rPr>
          <w:spacing w:val="-4"/>
          <w:sz w:val="20"/>
        </w:rPr>
        <w:t>432.</w:t>
      </w:r>
    </w:p>
    <w:p w:rsidR="007259F2" w:rsidRDefault="007259F2">
      <w:pPr>
        <w:jc w:val="both"/>
        <w:rPr>
          <w:sz w:val="20"/>
        </w:rPr>
        <w:sectPr w:rsidR="007259F2">
          <w:pgSz w:w="11910" w:h="16840"/>
          <w:pgMar w:top="1320" w:right="708" w:bottom="1160" w:left="992" w:header="0" w:footer="962" w:gutter="0"/>
          <w:cols w:space="720"/>
        </w:sectPr>
      </w:pPr>
    </w:p>
    <w:p w:rsidR="007259F2" w:rsidRDefault="00E655B4">
      <w:pPr>
        <w:pStyle w:val="Corpodetexto"/>
        <w:spacing w:before="69"/>
        <w:ind w:right="988"/>
      </w:pPr>
      <w:r>
        <w:lastRenderedPageBreak/>
        <w:t>Um dos mecanismos mais proeminentes nesse sentido é o coeficiente de aproveitamento mínimo</w:t>
      </w:r>
      <w:r>
        <w:rPr>
          <w:vertAlign w:val="superscript"/>
        </w:rPr>
        <w:t>29</w:t>
      </w:r>
      <w:r>
        <w:t xml:space="preserve"> que consiste em definir, para cada região do território urbano, a utilização mínima</w:t>
      </w:r>
      <w:r>
        <w:rPr>
          <w:vertAlign w:val="superscript"/>
        </w:rPr>
        <w:t>30</w:t>
      </w:r>
      <w:r>
        <w:t>, sob pena de sofre a sanção de edificação ou utilização compulsória. Esse instituto é previsto no artigo 182, §4º, da Constituição e sua efetivação se dá por lei</w:t>
      </w:r>
      <w:r>
        <w:rPr>
          <w:spacing w:val="80"/>
        </w:rPr>
        <w:t xml:space="preserve"> </w:t>
      </w:r>
      <w:r>
        <w:t xml:space="preserve">municipal. Cria-se, então, uma obrigação de fazer </w:t>
      </w:r>
      <w:r>
        <w:rPr>
          <w:i/>
        </w:rPr>
        <w:t xml:space="preserve">propter rem </w:t>
      </w:r>
      <w:r>
        <w:t>ao proprietário.</w:t>
      </w:r>
      <w:r>
        <w:rPr>
          <w:vertAlign w:val="superscript"/>
        </w:rPr>
        <w:t>31</w:t>
      </w:r>
    </w:p>
    <w:p w:rsidR="007259F2" w:rsidRDefault="00E655B4">
      <w:pPr>
        <w:pStyle w:val="Corpodetexto"/>
        <w:spacing w:before="1"/>
        <w:ind w:left="1418" w:firstLine="0"/>
      </w:pPr>
      <w:r>
        <w:t>Alexandre</w:t>
      </w:r>
      <w:r>
        <w:rPr>
          <w:spacing w:val="-2"/>
        </w:rPr>
        <w:t xml:space="preserve"> </w:t>
      </w:r>
      <w:r>
        <w:t>Levin</w:t>
      </w:r>
      <w:r>
        <w:rPr>
          <w:spacing w:val="-2"/>
        </w:rPr>
        <w:t xml:space="preserve"> </w:t>
      </w:r>
      <w:r>
        <w:t>arremata</w:t>
      </w:r>
      <w:r>
        <w:rPr>
          <w:spacing w:val="-2"/>
        </w:rPr>
        <w:t xml:space="preserve"> </w:t>
      </w:r>
      <w:r>
        <w:t>indicando</w:t>
      </w:r>
      <w:r>
        <w:rPr>
          <w:spacing w:val="-1"/>
        </w:rPr>
        <w:t xml:space="preserve"> </w:t>
      </w:r>
      <w:r>
        <w:rPr>
          <w:spacing w:val="-4"/>
        </w:rPr>
        <w:t>que:</w:t>
      </w:r>
    </w:p>
    <w:p w:rsidR="007259F2" w:rsidRDefault="007259F2">
      <w:pPr>
        <w:pStyle w:val="Corpodetexto"/>
        <w:spacing w:before="1"/>
        <w:ind w:left="0" w:firstLine="0"/>
        <w:jc w:val="left"/>
      </w:pPr>
    </w:p>
    <w:p w:rsidR="007259F2" w:rsidRDefault="00E655B4">
      <w:pPr>
        <w:ind w:left="2978" w:right="990"/>
        <w:jc w:val="both"/>
        <w:rPr>
          <w:sz w:val="20"/>
        </w:rPr>
      </w:pPr>
      <w:r>
        <w:rPr>
          <w:sz w:val="20"/>
        </w:rPr>
        <w:t>Em outras palavras, o proprietário deve edificar em seu terreno a quantidade de metros quadrados necessária para se atingir o coeficiente mínimo exigido pelo plano diretor, além de atribuir ao imóvel já edificado uma utilização mínima, também definida na lei municipal para cada área do território</w:t>
      </w:r>
      <w:r>
        <w:rPr>
          <w:spacing w:val="40"/>
          <w:sz w:val="20"/>
        </w:rPr>
        <w:t xml:space="preserve"> </w:t>
      </w:r>
      <w:r>
        <w:rPr>
          <w:sz w:val="20"/>
        </w:rPr>
        <w:t>urbano. Da mesma forma, deve parcelar seu terreno de forma a atingir o tamanho máximo de lote permitido, pelo mesmo diploma local, para a região da cidade em que se localiza o imóvel. Em caso de descumprimento, além</w:t>
      </w:r>
      <w:r>
        <w:rPr>
          <w:spacing w:val="40"/>
          <w:sz w:val="20"/>
        </w:rPr>
        <w:t xml:space="preserve"> </w:t>
      </w:r>
      <w:r>
        <w:rPr>
          <w:sz w:val="20"/>
        </w:rPr>
        <w:t>das sanções de parcelamento, edificação e utilização compulsórias já citadas, estará o proprietário sujeito à cobrança de IPTU com alíquota progressiva no tempo (CF, art. 182, §4º, II, e Lei nº 10.257/2001, art. 7º) e à desapropriação com pagamento em títulos da dívida pública (CF, art. 182, §4º, III, e Lei nº 10.257/2001, art. 8º).</w:t>
      </w:r>
      <w:r>
        <w:rPr>
          <w:sz w:val="20"/>
          <w:vertAlign w:val="superscript"/>
        </w:rPr>
        <w:t>32</w:t>
      </w:r>
    </w:p>
    <w:p w:rsidR="007259F2" w:rsidRDefault="007259F2">
      <w:pPr>
        <w:pStyle w:val="Corpodetexto"/>
        <w:spacing w:before="12"/>
        <w:ind w:left="0" w:firstLine="0"/>
        <w:jc w:val="left"/>
        <w:rPr>
          <w:sz w:val="20"/>
        </w:rPr>
      </w:pPr>
    </w:p>
    <w:p w:rsidR="007259F2" w:rsidRDefault="00E655B4">
      <w:pPr>
        <w:pStyle w:val="Corpodetexto"/>
        <w:ind w:right="993"/>
      </w:pPr>
      <w:r>
        <w:t>Outro instrumento relevante trazido pelo Estatuto da Cidade é o IPTU progressivo que será aplicado na hipótese em que todo o procedimento da edificação compulsória for</w:t>
      </w:r>
      <w:r>
        <w:rPr>
          <w:spacing w:val="40"/>
        </w:rPr>
        <w:t xml:space="preserve"> </w:t>
      </w:r>
      <w:r>
        <w:t xml:space="preserve">esgotado. Logo, seu objetivo precípuo é extrafiscal e visa fazer com que o particular dê adequado destino ao seu bem conformando-o à política urbanística </w:t>
      </w:r>
      <w:r>
        <w:rPr>
          <w:spacing w:val="-2"/>
        </w:rPr>
        <w:t>vigente.</w:t>
      </w:r>
      <w:r>
        <w:rPr>
          <w:spacing w:val="-2"/>
          <w:vertAlign w:val="superscript"/>
        </w:rPr>
        <w:t>33</w:t>
      </w:r>
    </w:p>
    <w:p w:rsidR="007259F2" w:rsidRDefault="00E655B4">
      <w:pPr>
        <w:pStyle w:val="Corpodetexto"/>
        <w:spacing w:before="1"/>
        <w:ind w:right="998"/>
      </w:pPr>
      <w:r>
        <w:t>Em seu artigo 39, o Estatuto estabelece seu principal instrumento para o comprimento da função social da propriedade urbana: o plano diretor. Assim previsto:</w:t>
      </w:r>
    </w:p>
    <w:p w:rsidR="007259F2" w:rsidRDefault="007259F2">
      <w:pPr>
        <w:pStyle w:val="Corpodetexto"/>
        <w:spacing w:before="46"/>
        <w:ind w:left="0" w:firstLine="0"/>
        <w:jc w:val="left"/>
      </w:pPr>
    </w:p>
    <w:p w:rsidR="007259F2" w:rsidRDefault="00E655B4">
      <w:pPr>
        <w:spacing w:before="1"/>
        <w:ind w:left="2978" w:right="996"/>
        <w:jc w:val="both"/>
        <w:rPr>
          <w:sz w:val="20"/>
        </w:rPr>
      </w:pPr>
      <w:r>
        <w:rPr>
          <w:sz w:val="20"/>
        </w:rPr>
        <w:t>Art. 39. A propriedade urbana cumpre sua função social quando atende às exigências</w:t>
      </w:r>
      <w:r>
        <w:rPr>
          <w:spacing w:val="10"/>
          <w:sz w:val="20"/>
        </w:rPr>
        <w:t xml:space="preserve"> </w:t>
      </w:r>
      <w:r>
        <w:rPr>
          <w:sz w:val="20"/>
        </w:rPr>
        <w:t>fundamentais</w:t>
      </w:r>
      <w:r>
        <w:rPr>
          <w:spacing w:val="10"/>
          <w:sz w:val="20"/>
        </w:rPr>
        <w:t xml:space="preserve"> </w:t>
      </w:r>
      <w:r>
        <w:rPr>
          <w:sz w:val="20"/>
        </w:rPr>
        <w:t>de</w:t>
      </w:r>
      <w:r>
        <w:rPr>
          <w:spacing w:val="11"/>
          <w:sz w:val="20"/>
        </w:rPr>
        <w:t xml:space="preserve"> </w:t>
      </w:r>
      <w:r>
        <w:rPr>
          <w:sz w:val="20"/>
        </w:rPr>
        <w:t>ordenação</w:t>
      </w:r>
      <w:r>
        <w:rPr>
          <w:spacing w:val="12"/>
          <w:sz w:val="20"/>
        </w:rPr>
        <w:t xml:space="preserve"> </w:t>
      </w:r>
      <w:r>
        <w:rPr>
          <w:sz w:val="20"/>
        </w:rPr>
        <w:t>da</w:t>
      </w:r>
      <w:r>
        <w:rPr>
          <w:spacing w:val="11"/>
          <w:sz w:val="20"/>
        </w:rPr>
        <w:t xml:space="preserve"> </w:t>
      </w:r>
      <w:r>
        <w:rPr>
          <w:sz w:val="20"/>
        </w:rPr>
        <w:t>cidade</w:t>
      </w:r>
      <w:r>
        <w:rPr>
          <w:spacing w:val="11"/>
          <w:sz w:val="20"/>
        </w:rPr>
        <w:t xml:space="preserve"> </w:t>
      </w:r>
      <w:r>
        <w:rPr>
          <w:sz w:val="20"/>
        </w:rPr>
        <w:t>expressas</w:t>
      </w:r>
      <w:r>
        <w:rPr>
          <w:spacing w:val="10"/>
          <w:sz w:val="20"/>
        </w:rPr>
        <w:t xml:space="preserve"> </w:t>
      </w:r>
      <w:r>
        <w:rPr>
          <w:sz w:val="20"/>
        </w:rPr>
        <w:t>no</w:t>
      </w:r>
      <w:r>
        <w:rPr>
          <w:spacing w:val="11"/>
          <w:sz w:val="20"/>
        </w:rPr>
        <w:t xml:space="preserve"> </w:t>
      </w:r>
      <w:r>
        <w:rPr>
          <w:sz w:val="20"/>
        </w:rPr>
        <w:t>plano</w:t>
      </w:r>
      <w:r>
        <w:rPr>
          <w:spacing w:val="11"/>
          <w:sz w:val="20"/>
        </w:rPr>
        <w:t xml:space="preserve"> </w:t>
      </w:r>
      <w:r>
        <w:rPr>
          <w:spacing w:val="-2"/>
          <w:sz w:val="20"/>
        </w:rPr>
        <w:t>diretor,</w:t>
      </w:r>
    </w:p>
    <w:p w:rsidR="007259F2" w:rsidRDefault="00DE6B1C">
      <w:pPr>
        <w:pStyle w:val="Corpodetexto"/>
        <w:spacing w:before="10"/>
        <w:ind w:left="0" w:firstLine="0"/>
        <w:jc w:val="left"/>
        <w:rPr>
          <w:sz w:val="16"/>
        </w:rPr>
      </w:pPr>
      <w:r w:rsidRPr="00DE6B1C">
        <w:rPr>
          <w:sz w:val="16"/>
        </w:rPr>
        <w:pict>
          <v:rect id="docshape35" o:spid="_x0000_s1191" style="position:absolute;margin-left:85.1pt;margin-top:10.95pt;width:2in;height:.7pt;z-index:-15718912;mso-wrap-distance-left:0;mso-wrap-distance-right:0;mso-position-horizontal-relative:page" fillcolor="black" stroked="f">
            <w10:wrap type="topAndBottom" anchorx="page"/>
          </v:rect>
        </w:pict>
      </w:r>
    </w:p>
    <w:p w:rsidR="007259F2" w:rsidRDefault="00E655B4">
      <w:pPr>
        <w:spacing w:before="96"/>
        <w:ind w:left="710" w:right="988"/>
        <w:jc w:val="both"/>
        <w:rPr>
          <w:sz w:val="20"/>
        </w:rPr>
      </w:pPr>
      <w:r>
        <w:rPr>
          <w:sz w:val="20"/>
          <w:vertAlign w:val="superscript"/>
        </w:rPr>
        <w:t>29</w:t>
      </w:r>
      <w:r>
        <w:rPr>
          <w:sz w:val="20"/>
        </w:rPr>
        <w:t xml:space="preserve"> “Ainda, o titular do domínio deve respeitar o tamanho máximo de lote fixado pelo plano diretor para cada região da cidade, sob pena de sofrer a sanção de parcelamento compulsório, prevista nos mesmos dispositivos. Descumprir esses parâmetros significa desrespeitar a função social da propriedade urbana.” (LEVIN</w:t>
      </w:r>
      <w:r>
        <w:rPr>
          <w:i/>
          <w:sz w:val="20"/>
        </w:rPr>
        <w:t>, op. cit</w:t>
      </w:r>
      <w:r>
        <w:rPr>
          <w:sz w:val="20"/>
        </w:rPr>
        <w:t>.)</w:t>
      </w:r>
    </w:p>
    <w:p w:rsidR="007259F2" w:rsidRDefault="00DE6B1C">
      <w:pPr>
        <w:spacing w:before="2"/>
        <w:ind w:left="710" w:right="987"/>
        <w:jc w:val="both"/>
        <w:rPr>
          <w:sz w:val="20"/>
        </w:rPr>
      </w:pPr>
      <w:r w:rsidRPr="00DE6B1C">
        <w:rPr>
          <w:sz w:val="20"/>
        </w:rPr>
        <w:pict>
          <v:rect id="docshape36" o:spid="_x0000_s1190" style="position:absolute;left:0;text-align:left;margin-left:309.4pt;margin-top:-32.65pt;width:3.25pt;height:.35pt;z-index:-19469312;mso-position-horizontal-relative:page" fillcolor="black" stroked="f">
            <w10:wrap anchorx="page"/>
          </v:rect>
        </w:pict>
      </w:r>
      <w:r w:rsidR="00E655B4">
        <w:rPr>
          <w:sz w:val="20"/>
          <w:vertAlign w:val="superscript"/>
        </w:rPr>
        <w:t>30</w:t>
      </w:r>
      <w:r w:rsidR="00E655B4">
        <w:rPr>
          <w:sz w:val="20"/>
        </w:rPr>
        <w:t xml:space="preserve"> “O coeficiente de aproveitamento máximo de cada lote, por fim, nos termos do art. 28, § 3º do Estatuto da Cidade, também</w:t>
      </w:r>
      <w:r w:rsidR="00E655B4">
        <w:rPr>
          <w:spacing w:val="-3"/>
          <w:sz w:val="20"/>
        </w:rPr>
        <w:t xml:space="preserve"> </w:t>
      </w:r>
      <w:r w:rsidR="00E655B4">
        <w:rPr>
          <w:sz w:val="20"/>
        </w:rPr>
        <w:t>deve constar do plano diretor</w:t>
      </w:r>
      <w:r w:rsidR="00E655B4">
        <w:rPr>
          <w:spacing w:val="-1"/>
          <w:sz w:val="20"/>
        </w:rPr>
        <w:t xml:space="preserve"> </w:t>
      </w:r>
      <w:r w:rsidR="00E655B4">
        <w:rPr>
          <w:sz w:val="20"/>
        </w:rPr>
        <w:t>(ou de sua decorrente lei de zoneamento), e nada mais é que</w:t>
      </w:r>
      <w:r w:rsidR="00E655B4">
        <w:rPr>
          <w:spacing w:val="-4"/>
          <w:sz w:val="20"/>
        </w:rPr>
        <w:t xml:space="preserve"> </w:t>
      </w:r>
      <w:r w:rsidR="00E655B4">
        <w:rPr>
          <w:sz w:val="20"/>
        </w:rPr>
        <w:t>o</w:t>
      </w:r>
      <w:r w:rsidR="00E655B4">
        <w:rPr>
          <w:spacing w:val="-3"/>
          <w:sz w:val="20"/>
        </w:rPr>
        <w:t xml:space="preserve"> </w:t>
      </w:r>
      <w:r w:rsidR="00E655B4">
        <w:rPr>
          <w:sz w:val="20"/>
        </w:rPr>
        <w:t>limite</w:t>
      </w:r>
      <w:r w:rsidR="00E655B4">
        <w:rPr>
          <w:spacing w:val="-5"/>
          <w:sz w:val="20"/>
        </w:rPr>
        <w:t xml:space="preserve"> </w:t>
      </w:r>
      <w:r w:rsidR="00E655B4">
        <w:rPr>
          <w:sz w:val="20"/>
        </w:rPr>
        <w:t>de</w:t>
      </w:r>
      <w:r w:rsidR="00E655B4">
        <w:rPr>
          <w:spacing w:val="-8"/>
          <w:sz w:val="20"/>
        </w:rPr>
        <w:t xml:space="preserve"> </w:t>
      </w:r>
      <w:r w:rsidR="00E655B4">
        <w:rPr>
          <w:sz w:val="20"/>
        </w:rPr>
        <w:t>área</w:t>
      </w:r>
      <w:r w:rsidR="00E655B4">
        <w:rPr>
          <w:spacing w:val="-7"/>
          <w:sz w:val="20"/>
        </w:rPr>
        <w:t xml:space="preserve"> </w:t>
      </w:r>
      <w:r w:rsidR="00E655B4">
        <w:rPr>
          <w:sz w:val="20"/>
        </w:rPr>
        <w:t>edificável</w:t>
      </w:r>
      <w:r w:rsidR="00E655B4">
        <w:rPr>
          <w:spacing w:val="-5"/>
          <w:sz w:val="20"/>
        </w:rPr>
        <w:t xml:space="preserve"> </w:t>
      </w:r>
      <w:r w:rsidR="00E655B4">
        <w:rPr>
          <w:sz w:val="20"/>
        </w:rPr>
        <w:t>incorporável</w:t>
      </w:r>
      <w:r w:rsidR="00E655B4">
        <w:rPr>
          <w:spacing w:val="-7"/>
          <w:sz w:val="20"/>
        </w:rPr>
        <w:t xml:space="preserve"> </w:t>
      </w:r>
      <w:r w:rsidR="00E655B4">
        <w:rPr>
          <w:sz w:val="20"/>
        </w:rPr>
        <w:t>ao</w:t>
      </w:r>
      <w:r w:rsidR="00E655B4">
        <w:rPr>
          <w:spacing w:val="-5"/>
          <w:sz w:val="20"/>
        </w:rPr>
        <w:t xml:space="preserve"> </w:t>
      </w:r>
      <w:r w:rsidR="00E655B4">
        <w:rPr>
          <w:sz w:val="20"/>
        </w:rPr>
        <w:t>terreno,</w:t>
      </w:r>
      <w:r w:rsidR="00E655B4">
        <w:rPr>
          <w:spacing w:val="-7"/>
          <w:sz w:val="20"/>
        </w:rPr>
        <w:t xml:space="preserve"> </w:t>
      </w:r>
      <w:r w:rsidR="00E655B4">
        <w:rPr>
          <w:sz w:val="20"/>
        </w:rPr>
        <w:t>acessível</w:t>
      </w:r>
      <w:r w:rsidR="00E655B4">
        <w:rPr>
          <w:spacing w:val="-5"/>
          <w:sz w:val="20"/>
        </w:rPr>
        <w:t xml:space="preserve"> </w:t>
      </w:r>
      <w:r w:rsidR="00E655B4">
        <w:rPr>
          <w:sz w:val="20"/>
        </w:rPr>
        <w:t>mediante</w:t>
      </w:r>
      <w:r w:rsidR="00E655B4">
        <w:rPr>
          <w:spacing w:val="-7"/>
          <w:sz w:val="20"/>
        </w:rPr>
        <w:t xml:space="preserve"> </w:t>
      </w:r>
      <w:r w:rsidR="00E655B4">
        <w:rPr>
          <w:sz w:val="20"/>
        </w:rPr>
        <w:t>atendimento</w:t>
      </w:r>
      <w:r w:rsidR="00E655B4">
        <w:rPr>
          <w:spacing w:val="-5"/>
          <w:sz w:val="20"/>
        </w:rPr>
        <w:t xml:space="preserve"> </w:t>
      </w:r>
      <w:r w:rsidR="00E655B4">
        <w:rPr>
          <w:sz w:val="20"/>
        </w:rPr>
        <w:t>das</w:t>
      </w:r>
      <w:r w:rsidR="00E655B4">
        <w:rPr>
          <w:spacing w:val="-7"/>
          <w:sz w:val="20"/>
        </w:rPr>
        <w:t xml:space="preserve"> </w:t>
      </w:r>
      <w:r w:rsidR="00E655B4">
        <w:rPr>
          <w:sz w:val="20"/>
        </w:rPr>
        <w:t>condicionantes urbanísticas a tanto. O acesso ao volume de área edificável entre os coeficientes básico e máximo de aproveitamento de um terreno - o potencial construtivo adicional - caracteriza-se, destarte, como mera expectativa</w:t>
      </w:r>
      <w:r w:rsidR="00E655B4">
        <w:rPr>
          <w:spacing w:val="-2"/>
          <w:sz w:val="20"/>
        </w:rPr>
        <w:t xml:space="preserve"> </w:t>
      </w:r>
      <w:r w:rsidR="00E655B4">
        <w:rPr>
          <w:sz w:val="20"/>
        </w:rPr>
        <w:t>de</w:t>
      </w:r>
      <w:r w:rsidR="00E655B4">
        <w:rPr>
          <w:spacing w:val="-2"/>
          <w:sz w:val="20"/>
        </w:rPr>
        <w:t xml:space="preserve"> </w:t>
      </w:r>
      <w:r w:rsidR="00E655B4">
        <w:rPr>
          <w:sz w:val="20"/>
        </w:rPr>
        <w:t>direito</w:t>
      </w:r>
      <w:r w:rsidR="00E655B4">
        <w:rPr>
          <w:spacing w:val="-1"/>
          <w:sz w:val="20"/>
        </w:rPr>
        <w:t xml:space="preserve"> </w:t>
      </w:r>
      <w:r w:rsidR="00E655B4">
        <w:rPr>
          <w:sz w:val="20"/>
        </w:rPr>
        <w:t>por</w:t>
      </w:r>
      <w:r w:rsidR="00E655B4">
        <w:rPr>
          <w:spacing w:val="-2"/>
          <w:sz w:val="20"/>
        </w:rPr>
        <w:t xml:space="preserve"> </w:t>
      </w:r>
      <w:r w:rsidR="00E655B4">
        <w:rPr>
          <w:sz w:val="20"/>
        </w:rPr>
        <w:t>parte</w:t>
      </w:r>
      <w:r w:rsidR="00E655B4">
        <w:rPr>
          <w:spacing w:val="-2"/>
          <w:sz w:val="20"/>
        </w:rPr>
        <w:t xml:space="preserve"> </w:t>
      </w:r>
      <w:r w:rsidR="00E655B4">
        <w:rPr>
          <w:sz w:val="20"/>
        </w:rPr>
        <w:t>dos</w:t>
      </w:r>
      <w:r w:rsidR="00E655B4">
        <w:rPr>
          <w:spacing w:val="-3"/>
          <w:sz w:val="20"/>
        </w:rPr>
        <w:t xml:space="preserve"> </w:t>
      </w:r>
      <w:r w:rsidR="00E655B4">
        <w:rPr>
          <w:sz w:val="20"/>
        </w:rPr>
        <w:t>proprietários,</w:t>
      </w:r>
      <w:r w:rsidR="00E655B4">
        <w:rPr>
          <w:spacing w:val="-2"/>
          <w:sz w:val="20"/>
        </w:rPr>
        <w:t xml:space="preserve"> </w:t>
      </w:r>
      <w:r w:rsidR="00E655B4">
        <w:rPr>
          <w:sz w:val="20"/>
        </w:rPr>
        <w:t>somente</w:t>
      </w:r>
      <w:r w:rsidR="00E655B4">
        <w:rPr>
          <w:spacing w:val="-2"/>
          <w:sz w:val="20"/>
        </w:rPr>
        <w:t xml:space="preserve"> </w:t>
      </w:r>
      <w:r w:rsidR="00E655B4">
        <w:rPr>
          <w:sz w:val="20"/>
        </w:rPr>
        <w:t>obtenível</w:t>
      </w:r>
      <w:r w:rsidR="00E655B4">
        <w:rPr>
          <w:spacing w:val="-2"/>
          <w:sz w:val="20"/>
        </w:rPr>
        <w:t xml:space="preserve"> </w:t>
      </w:r>
      <w:r w:rsidR="00E655B4">
        <w:rPr>
          <w:sz w:val="20"/>
        </w:rPr>
        <w:t>preenchidas as</w:t>
      </w:r>
      <w:r w:rsidR="00E655B4">
        <w:rPr>
          <w:spacing w:val="-3"/>
          <w:sz w:val="20"/>
        </w:rPr>
        <w:t xml:space="preserve"> </w:t>
      </w:r>
      <w:r w:rsidR="00E655B4">
        <w:rPr>
          <w:sz w:val="20"/>
        </w:rPr>
        <w:t>condições</w:t>
      </w:r>
      <w:r w:rsidR="00E655B4">
        <w:rPr>
          <w:spacing w:val="-3"/>
          <w:sz w:val="20"/>
        </w:rPr>
        <w:t xml:space="preserve"> </w:t>
      </w:r>
      <w:r w:rsidR="00E655B4">
        <w:rPr>
          <w:sz w:val="20"/>
        </w:rPr>
        <w:t>a</w:t>
      </w:r>
      <w:r w:rsidR="00E655B4">
        <w:rPr>
          <w:spacing w:val="-2"/>
          <w:sz w:val="20"/>
        </w:rPr>
        <w:t xml:space="preserve"> </w:t>
      </w:r>
      <w:r w:rsidR="00E655B4">
        <w:rPr>
          <w:sz w:val="20"/>
        </w:rPr>
        <w:t>tanto,</w:t>
      </w:r>
      <w:r w:rsidR="00E655B4">
        <w:rPr>
          <w:spacing w:val="-2"/>
          <w:sz w:val="20"/>
        </w:rPr>
        <w:t xml:space="preserve"> </w:t>
      </w:r>
      <w:r w:rsidR="00E655B4">
        <w:rPr>
          <w:sz w:val="20"/>
        </w:rPr>
        <w:t>que podem, eventualmente, incluir a avaliação sobre o mérito urbanístico do pedido (em</w:t>
      </w:r>
      <w:r w:rsidR="00E655B4">
        <w:rPr>
          <w:spacing w:val="-2"/>
          <w:sz w:val="20"/>
        </w:rPr>
        <w:t xml:space="preserve"> </w:t>
      </w:r>
      <w:r w:rsidR="00E655B4">
        <w:rPr>
          <w:sz w:val="20"/>
        </w:rPr>
        <w:t>empreendimentos de grande impacto urbanístico-ambiental, por exemplo)” (APPARECIDO JUNIOR, Jose Antonio</w:t>
      </w:r>
      <w:r w:rsidR="00E655B4">
        <w:rPr>
          <w:b/>
          <w:sz w:val="20"/>
        </w:rPr>
        <w:t>. Métodos</w:t>
      </w:r>
      <w:r w:rsidR="00E655B4">
        <w:rPr>
          <w:b/>
          <w:spacing w:val="40"/>
          <w:sz w:val="20"/>
        </w:rPr>
        <w:t xml:space="preserve"> </w:t>
      </w:r>
      <w:r w:rsidR="00E655B4">
        <w:rPr>
          <w:b/>
          <w:sz w:val="20"/>
        </w:rPr>
        <w:t>e soluções para viabilização jurídica de projetos urbanísticos</w:t>
      </w:r>
      <w:r w:rsidR="00E655B4">
        <w:rPr>
          <w:sz w:val="20"/>
        </w:rPr>
        <w:t>: papéis públicos e privados. p. 129. Doutorado - Faculdade de Direito, Universidade de São Paulo, São Paulo, 2017).</w:t>
      </w:r>
    </w:p>
    <w:p w:rsidR="007259F2" w:rsidRDefault="00E655B4">
      <w:pPr>
        <w:spacing w:before="2"/>
        <w:ind w:left="712" w:right="1127"/>
        <w:jc w:val="both"/>
        <w:rPr>
          <w:sz w:val="20"/>
        </w:rPr>
      </w:pPr>
      <w:r>
        <w:rPr>
          <w:sz w:val="20"/>
          <w:vertAlign w:val="superscript"/>
        </w:rPr>
        <w:t>31</w:t>
      </w:r>
      <w:r>
        <w:rPr>
          <w:sz w:val="20"/>
        </w:rPr>
        <w:t xml:space="preserve"> “Trata-se de uma obrigação de fazer, prestação positiva imposta ao dono do imóvel. A doutrina90 indica como espécie de obrigação </w:t>
      </w:r>
      <w:r>
        <w:rPr>
          <w:i/>
          <w:sz w:val="20"/>
        </w:rPr>
        <w:t>propter rem</w:t>
      </w:r>
      <w:r>
        <w:rPr>
          <w:sz w:val="20"/>
        </w:rPr>
        <w:t>, em razão de o vínculo ser estabelecido com base na titularidade de</w:t>
      </w:r>
      <w:r>
        <w:rPr>
          <w:spacing w:val="-1"/>
          <w:sz w:val="20"/>
        </w:rPr>
        <w:t xml:space="preserve"> </w:t>
      </w:r>
      <w:r>
        <w:rPr>
          <w:sz w:val="20"/>
        </w:rPr>
        <w:t>direito</w:t>
      </w:r>
      <w:r>
        <w:rPr>
          <w:spacing w:val="-2"/>
          <w:sz w:val="20"/>
        </w:rPr>
        <w:t xml:space="preserve"> </w:t>
      </w:r>
      <w:r>
        <w:rPr>
          <w:sz w:val="20"/>
        </w:rPr>
        <w:t>real,</w:t>
      </w:r>
      <w:r>
        <w:rPr>
          <w:spacing w:val="-3"/>
          <w:sz w:val="20"/>
        </w:rPr>
        <w:t xml:space="preserve"> </w:t>
      </w:r>
      <w:r>
        <w:rPr>
          <w:sz w:val="20"/>
        </w:rPr>
        <w:t>passando a</w:t>
      </w:r>
      <w:r>
        <w:rPr>
          <w:spacing w:val="-1"/>
          <w:sz w:val="20"/>
        </w:rPr>
        <w:t xml:space="preserve"> </w:t>
      </w:r>
      <w:r>
        <w:rPr>
          <w:sz w:val="20"/>
        </w:rPr>
        <w:t>ocupar o</w:t>
      </w:r>
      <w:r>
        <w:rPr>
          <w:spacing w:val="-2"/>
          <w:sz w:val="20"/>
        </w:rPr>
        <w:t xml:space="preserve"> </w:t>
      </w:r>
      <w:r>
        <w:rPr>
          <w:sz w:val="20"/>
        </w:rPr>
        <w:t>polo</w:t>
      </w:r>
      <w:r>
        <w:rPr>
          <w:spacing w:val="-2"/>
          <w:sz w:val="20"/>
        </w:rPr>
        <w:t xml:space="preserve"> </w:t>
      </w:r>
      <w:r>
        <w:rPr>
          <w:sz w:val="20"/>
        </w:rPr>
        <w:t>passivo da</w:t>
      </w:r>
      <w:r>
        <w:rPr>
          <w:spacing w:val="-3"/>
          <w:sz w:val="20"/>
        </w:rPr>
        <w:t xml:space="preserve"> </w:t>
      </w:r>
      <w:r>
        <w:rPr>
          <w:sz w:val="20"/>
        </w:rPr>
        <w:t>obrigação. No entanto,</w:t>
      </w:r>
      <w:r>
        <w:rPr>
          <w:spacing w:val="-1"/>
          <w:sz w:val="20"/>
        </w:rPr>
        <w:t xml:space="preserve"> </w:t>
      </w:r>
      <w:r>
        <w:rPr>
          <w:sz w:val="20"/>
        </w:rPr>
        <w:t>tal</w:t>
      </w:r>
      <w:r>
        <w:rPr>
          <w:spacing w:val="-3"/>
          <w:sz w:val="20"/>
        </w:rPr>
        <w:t xml:space="preserve"> </w:t>
      </w:r>
      <w:r>
        <w:rPr>
          <w:sz w:val="20"/>
        </w:rPr>
        <w:t>entendimento permite o abandono da coisa como meio de liberação do antigo proprietário, que não mais poderá ser cobrado pelo cumprimento da obrigação de fazer, frustrando a finalidade da lei. Por sua vez, é possível também</w:t>
      </w:r>
      <w:r>
        <w:rPr>
          <w:spacing w:val="-5"/>
          <w:sz w:val="20"/>
        </w:rPr>
        <w:t xml:space="preserve"> </w:t>
      </w:r>
      <w:r>
        <w:rPr>
          <w:sz w:val="20"/>
        </w:rPr>
        <w:t>identificar na norma um</w:t>
      </w:r>
      <w:r>
        <w:rPr>
          <w:spacing w:val="-4"/>
          <w:sz w:val="20"/>
        </w:rPr>
        <w:t xml:space="preserve"> </w:t>
      </w:r>
      <w:r>
        <w:rPr>
          <w:sz w:val="20"/>
        </w:rPr>
        <w:t>direito potestativ091 público,</w:t>
      </w:r>
      <w:r>
        <w:rPr>
          <w:spacing w:val="-1"/>
          <w:sz w:val="20"/>
        </w:rPr>
        <w:t xml:space="preserve"> </w:t>
      </w:r>
      <w:r>
        <w:rPr>
          <w:sz w:val="20"/>
        </w:rPr>
        <w:t>de</w:t>
      </w:r>
      <w:r>
        <w:rPr>
          <w:spacing w:val="-1"/>
          <w:sz w:val="20"/>
        </w:rPr>
        <w:t xml:space="preserve"> </w:t>
      </w:r>
      <w:r>
        <w:rPr>
          <w:sz w:val="20"/>
        </w:rPr>
        <w:t>modo que</w:t>
      </w:r>
      <w:r>
        <w:rPr>
          <w:spacing w:val="-1"/>
          <w:sz w:val="20"/>
        </w:rPr>
        <w:t xml:space="preserve"> </w:t>
      </w:r>
      <w:r>
        <w:rPr>
          <w:sz w:val="20"/>
        </w:rPr>
        <w:t>o abandono</w:t>
      </w:r>
      <w:r>
        <w:rPr>
          <w:spacing w:val="-2"/>
          <w:sz w:val="20"/>
        </w:rPr>
        <w:t xml:space="preserve"> </w:t>
      </w:r>
      <w:r>
        <w:rPr>
          <w:sz w:val="20"/>
        </w:rPr>
        <w:t>não caracterize a exoneração da obrigação. Nesta hipótese, permanece o antigo proprietário devedor do implemento da função social do bem, sujeitando-se à sua cobrança, objetivo último da municipalidade e da norma federal.” (</w:t>
      </w:r>
      <w:r>
        <w:rPr>
          <w:color w:val="202020"/>
          <w:sz w:val="20"/>
        </w:rPr>
        <w:t xml:space="preserve">CARDOSO, </w:t>
      </w:r>
      <w:r>
        <w:rPr>
          <w:i/>
          <w:color w:val="202020"/>
          <w:sz w:val="20"/>
        </w:rPr>
        <w:t>op. cit</w:t>
      </w:r>
      <w:r>
        <w:rPr>
          <w:color w:val="202020"/>
          <w:sz w:val="20"/>
        </w:rPr>
        <w:t>.,</w:t>
      </w:r>
      <w:r>
        <w:rPr>
          <w:color w:val="202020"/>
          <w:spacing w:val="40"/>
          <w:sz w:val="20"/>
        </w:rPr>
        <w:t xml:space="preserve"> </w:t>
      </w:r>
      <w:r>
        <w:rPr>
          <w:color w:val="202020"/>
          <w:sz w:val="20"/>
        </w:rPr>
        <w:t>p. 120-121)</w:t>
      </w:r>
    </w:p>
    <w:p w:rsidR="007259F2" w:rsidRDefault="00E655B4">
      <w:pPr>
        <w:spacing w:line="229" w:lineRule="exact"/>
        <w:ind w:left="710"/>
        <w:jc w:val="both"/>
        <w:rPr>
          <w:sz w:val="20"/>
        </w:rPr>
      </w:pPr>
      <w:r>
        <w:rPr>
          <w:sz w:val="20"/>
          <w:vertAlign w:val="superscript"/>
        </w:rPr>
        <w:t>32</w:t>
      </w:r>
      <w:r>
        <w:rPr>
          <w:spacing w:val="-4"/>
          <w:sz w:val="20"/>
        </w:rPr>
        <w:t xml:space="preserve"> </w:t>
      </w:r>
      <w:r>
        <w:rPr>
          <w:sz w:val="20"/>
        </w:rPr>
        <w:t>LEVIN,</w:t>
      </w:r>
      <w:r>
        <w:rPr>
          <w:spacing w:val="-2"/>
          <w:sz w:val="20"/>
        </w:rPr>
        <w:t xml:space="preserve"> </w:t>
      </w:r>
      <w:r>
        <w:rPr>
          <w:i/>
          <w:sz w:val="20"/>
        </w:rPr>
        <w:t>op.</w:t>
      </w:r>
      <w:r>
        <w:rPr>
          <w:i/>
          <w:spacing w:val="-4"/>
          <w:sz w:val="20"/>
        </w:rPr>
        <w:t xml:space="preserve"> cit</w:t>
      </w:r>
      <w:r>
        <w:rPr>
          <w:spacing w:val="-4"/>
          <w:sz w:val="20"/>
        </w:rPr>
        <w:t>.</w:t>
      </w:r>
    </w:p>
    <w:p w:rsidR="007259F2" w:rsidRDefault="00E655B4">
      <w:pPr>
        <w:spacing w:before="1"/>
        <w:ind w:left="712"/>
        <w:jc w:val="both"/>
        <w:rPr>
          <w:sz w:val="20"/>
        </w:rPr>
      </w:pPr>
      <w:r>
        <w:rPr>
          <w:sz w:val="20"/>
          <w:vertAlign w:val="superscript"/>
        </w:rPr>
        <w:t>33</w:t>
      </w:r>
      <w:r>
        <w:rPr>
          <w:spacing w:val="1"/>
          <w:sz w:val="20"/>
        </w:rPr>
        <w:t xml:space="preserve"> </w:t>
      </w:r>
      <w:r>
        <w:rPr>
          <w:color w:val="202020"/>
          <w:sz w:val="20"/>
        </w:rPr>
        <w:t>CARDOSO,</w:t>
      </w:r>
      <w:r>
        <w:rPr>
          <w:color w:val="202020"/>
          <w:spacing w:val="-3"/>
          <w:sz w:val="20"/>
        </w:rPr>
        <w:t xml:space="preserve"> </w:t>
      </w:r>
      <w:r>
        <w:rPr>
          <w:i/>
          <w:color w:val="202020"/>
          <w:sz w:val="20"/>
        </w:rPr>
        <w:t>op.</w:t>
      </w:r>
      <w:r>
        <w:rPr>
          <w:i/>
          <w:color w:val="202020"/>
          <w:spacing w:val="-3"/>
          <w:sz w:val="20"/>
        </w:rPr>
        <w:t xml:space="preserve"> </w:t>
      </w:r>
      <w:r>
        <w:rPr>
          <w:i/>
          <w:color w:val="202020"/>
          <w:sz w:val="20"/>
        </w:rPr>
        <w:t>cit.</w:t>
      </w:r>
      <w:r>
        <w:rPr>
          <w:color w:val="202020"/>
          <w:sz w:val="20"/>
        </w:rPr>
        <w:t>,</w:t>
      </w:r>
      <w:r>
        <w:rPr>
          <w:color w:val="202020"/>
          <w:spacing w:val="-3"/>
          <w:sz w:val="20"/>
        </w:rPr>
        <w:t xml:space="preserve"> </w:t>
      </w:r>
      <w:r>
        <w:rPr>
          <w:color w:val="202020"/>
          <w:sz w:val="20"/>
        </w:rPr>
        <w:t>p.</w:t>
      </w:r>
      <w:r>
        <w:rPr>
          <w:color w:val="202020"/>
          <w:spacing w:val="-3"/>
          <w:sz w:val="20"/>
        </w:rPr>
        <w:t xml:space="preserve"> </w:t>
      </w:r>
      <w:r>
        <w:rPr>
          <w:color w:val="202020"/>
          <w:spacing w:val="-4"/>
          <w:sz w:val="20"/>
        </w:rPr>
        <w:t>122.</w:t>
      </w:r>
    </w:p>
    <w:p w:rsidR="007259F2" w:rsidRDefault="007259F2">
      <w:pPr>
        <w:jc w:val="both"/>
        <w:rPr>
          <w:sz w:val="20"/>
        </w:rPr>
        <w:sectPr w:rsidR="007259F2">
          <w:pgSz w:w="11910" w:h="16840"/>
          <w:pgMar w:top="1320" w:right="708" w:bottom="1160" w:left="992" w:header="0" w:footer="962" w:gutter="0"/>
          <w:cols w:space="720"/>
        </w:sectPr>
      </w:pPr>
    </w:p>
    <w:p w:rsidR="007259F2" w:rsidRDefault="00E655B4">
      <w:pPr>
        <w:spacing w:before="71"/>
        <w:ind w:left="2978" w:right="990"/>
        <w:jc w:val="both"/>
        <w:rPr>
          <w:sz w:val="20"/>
        </w:rPr>
      </w:pPr>
      <w:r>
        <w:rPr>
          <w:sz w:val="20"/>
        </w:rPr>
        <w:lastRenderedPageBreak/>
        <w:t>assegurando</w:t>
      </w:r>
      <w:r>
        <w:rPr>
          <w:spacing w:val="-2"/>
          <w:sz w:val="20"/>
        </w:rPr>
        <w:t xml:space="preserve"> </w:t>
      </w:r>
      <w:r>
        <w:rPr>
          <w:sz w:val="20"/>
        </w:rPr>
        <w:t>o</w:t>
      </w:r>
      <w:r>
        <w:rPr>
          <w:spacing w:val="-2"/>
          <w:sz w:val="20"/>
        </w:rPr>
        <w:t xml:space="preserve"> </w:t>
      </w:r>
      <w:r>
        <w:rPr>
          <w:sz w:val="20"/>
        </w:rPr>
        <w:t>atendimento</w:t>
      </w:r>
      <w:r>
        <w:rPr>
          <w:spacing w:val="-2"/>
          <w:sz w:val="20"/>
        </w:rPr>
        <w:t xml:space="preserve"> </w:t>
      </w:r>
      <w:r>
        <w:rPr>
          <w:sz w:val="20"/>
        </w:rPr>
        <w:t>das</w:t>
      </w:r>
      <w:r>
        <w:rPr>
          <w:spacing w:val="-3"/>
          <w:sz w:val="20"/>
        </w:rPr>
        <w:t xml:space="preserve"> </w:t>
      </w:r>
      <w:r>
        <w:rPr>
          <w:sz w:val="20"/>
        </w:rPr>
        <w:t>necessidades dos</w:t>
      </w:r>
      <w:r>
        <w:rPr>
          <w:spacing w:val="-3"/>
          <w:sz w:val="20"/>
        </w:rPr>
        <w:t xml:space="preserve"> </w:t>
      </w:r>
      <w:r>
        <w:rPr>
          <w:sz w:val="20"/>
        </w:rPr>
        <w:t>cidadãos</w:t>
      </w:r>
      <w:r>
        <w:rPr>
          <w:spacing w:val="-3"/>
          <w:sz w:val="20"/>
        </w:rPr>
        <w:t xml:space="preserve"> </w:t>
      </w:r>
      <w:r>
        <w:rPr>
          <w:sz w:val="20"/>
        </w:rPr>
        <w:t>quanto</w:t>
      </w:r>
      <w:r>
        <w:rPr>
          <w:spacing w:val="-2"/>
          <w:sz w:val="20"/>
        </w:rPr>
        <w:t xml:space="preserve"> </w:t>
      </w:r>
      <w:r>
        <w:rPr>
          <w:sz w:val="20"/>
        </w:rPr>
        <w:t>à</w:t>
      </w:r>
      <w:r>
        <w:rPr>
          <w:spacing w:val="-3"/>
          <w:sz w:val="20"/>
        </w:rPr>
        <w:t xml:space="preserve"> </w:t>
      </w:r>
      <w:r>
        <w:rPr>
          <w:sz w:val="20"/>
        </w:rPr>
        <w:t>qualidade de vida, à justiça social e ao desenvolvimento das atividades econômicas, respeitadas as diretrizes previstas no art. 2</w:t>
      </w:r>
      <w:r>
        <w:rPr>
          <w:sz w:val="20"/>
          <w:vertAlign w:val="superscript"/>
        </w:rPr>
        <w:t>o</w:t>
      </w:r>
      <w:r>
        <w:rPr>
          <w:sz w:val="20"/>
        </w:rPr>
        <w:t xml:space="preserve"> desta Lei.</w:t>
      </w:r>
    </w:p>
    <w:p w:rsidR="007259F2" w:rsidRDefault="007259F2">
      <w:pPr>
        <w:pStyle w:val="Corpodetexto"/>
        <w:ind w:left="0" w:firstLine="0"/>
        <w:jc w:val="left"/>
        <w:rPr>
          <w:sz w:val="20"/>
        </w:rPr>
      </w:pPr>
    </w:p>
    <w:p w:rsidR="007259F2" w:rsidRDefault="00E655B4">
      <w:pPr>
        <w:pStyle w:val="Corpodetexto"/>
        <w:ind w:right="992"/>
      </w:pPr>
      <w:r>
        <w:t>O plano diretor será instituído por lei municipal e é o instrumento básico da política urbanística municipal. É nele que se engloba todos os instrumentos estabelecidos no Estatuto da Cidade previstos no artigo 2º da mesma lei e que tem por finalidade impedir que interesses individuais especulativos desnaturem a política</w:t>
      </w:r>
      <w:r>
        <w:rPr>
          <w:spacing w:val="40"/>
        </w:rPr>
        <w:t xml:space="preserve"> </w:t>
      </w:r>
      <w:r>
        <w:rPr>
          <w:spacing w:val="-2"/>
        </w:rPr>
        <w:t>urbana.</w:t>
      </w:r>
    </w:p>
    <w:p w:rsidR="007259F2" w:rsidRDefault="00E655B4">
      <w:pPr>
        <w:pStyle w:val="Corpodetexto"/>
        <w:ind w:right="991"/>
      </w:pPr>
      <w:r>
        <w:t>É o plano diretor que aglutinará todos os anseios da sociedade municipal a fim</w:t>
      </w:r>
      <w:r>
        <w:rPr>
          <w:spacing w:val="40"/>
        </w:rPr>
        <w:t xml:space="preserve"> </w:t>
      </w:r>
      <w:r>
        <w:t xml:space="preserve">de promover a satisfação de seus habitantes. Não por outro motivo um dos elementos fundamentais para elaboração do plano, previsto no artigo 40, §4º, incisos I, II e III, é a promoção de audiência públicas e debates com a participação da população e associações representativas, publicidade dos documentos produzidos e acesso de qualquer interessado nos documentos e informações produzidos. Portanto, o caráter democrático e público da elaboração do plano é evidente para que todos os atores possam ter sua voz ouvida e que o desenvolvimento urbano aconteça o mais pleno </w:t>
      </w:r>
      <w:r>
        <w:rPr>
          <w:spacing w:val="-2"/>
        </w:rPr>
        <w:t>possível.</w:t>
      </w:r>
      <w:r>
        <w:rPr>
          <w:spacing w:val="-2"/>
          <w:vertAlign w:val="superscript"/>
        </w:rPr>
        <w:t>34</w:t>
      </w:r>
    </w:p>
    <w:p w:rsidR="007259F2" w:rsidRDefault="00E655B4">
      <w:pPr>
        <w:pStyle w:val="Corpodetexto"/>
        <w:spacing w:before="1"/>
        <w:ind w:right="989"/>
      </w:pPr>
      <w:r>
        <w:t>Desse modo, o plano diretor é, ao mesmo tempo, o instrumento jurídico básico e principal a definir os critérios da política urbanística e organização do solo a partir das diretrizes do Estatuto da Cidade. E, ademais, nele também há a concretude da função social da cidade que congrega as necessidades dos habitantes.</w:t>
      </w:r>
      <w:r>
        <w:rPr>
          <w:vertAlign w:val="superscript"/>
        </w:rPr>
        <w:t>35</w:t>
      </w:r>
    </w:p>
    <w:p w:rsidR="007259F2" w:rsidRDefault="00E655B4">
      <w:pPr>
        <w:pStyle w:val="Corpodetexto"/>
        <w:ind w:right="990"/>
      </w:pPr>
      <w:r>
        <w:t>Nesse esforço de estabelecer a uma gestão democrática nas cidades, existem as parcerias público-privadas com o escopo de fomentar a cooperação entre governos e o setor privado. A previsão está no artigo 2º, III, da Lei 10.257/2001, que preceitua “cooperação entre os governos, a iniciativa privada e os demais setores da sociedade no processo de</w:t>
      </w:r>
      <w:r>
        <w:rPr>
          <w:spacing w:val="40"/>
        </w:rPr>
        <w:t xml:space="preserve"> </w:t>
      </w:r>
      <w:r>
        <w:t>urbanização, em atendimento ao interesse social”. O objetivo é integrar os recursos utilizados nas operações urbanísticas considerando a escassez que o Poder Público possui, além de</w:t>
      </w:r>
      <w:r>
        <w:rPr>
          <w:spacing w:val="40"/>
        </w:rPr>
        <w:t xml:space="preserve"> </w:t>
      </w:r>
      <w:r>
        <w:t>evitar que as ações no Município sejam tomadas de forma concentrada e verticalizada, ressaltando mais uma vez o caráter democrática que devem nortear as ações urbanas.</w:t>
      </w:r>
      <w:r>
        <w:rPr>
          <w:vertAlign w:val="superscript"/>
        </w:rPr>
        <w:t>36</w:t>
      </w:r>
    </w:p>
    <w:p w:rsidR="007259F2" w:rsidRDefault="00E655B4">
      <w:pPr>
        <w:pStyle w:val="Corpodetexto"/>
        <w:ind w:right="997"/>
      </w:pPr>
      <w:r>
        <w:t>Essa parceria público-privada é denominada concertação urbanística e, nas palavras de Alexandre Levin:</w:t>
      </w:r>
    </w:p>
    <w:p w:rsidR="007259F2" w:rsidRDefault="007259F2">
      <w:pPr>
        <w:pStyle w:val="Corpodetexto"/>
        <w:ind w:left="0" w:firstLine="0"/>
        <w:jc w:val="left"/>
      </w:pPr>
    </w:p>
    <w:p w:rsidR="007259F2" w:rsidRDefault="00E655B4">
      <w:pPr>
        <w:ind w:left="2978" w:right="993"/>
        <w:jc w:val="both"/>
        <w:rPr>
          <w:sz w:val="20"/>
        </w:rPr>
      </w:pPr>
      <w:r>
        <w:rPr>
          <w:sz w:val="20"/>
        </w:rPr>
        <w:t>Essa concepção de urbanismo é caracterizada pela colaboração entre particulares e Poder Público, visando à consecução de objetivos que não podem ser alcançados</w:t>
      </w:r>
      <w:r>
        <w:rPr>
          <w:spacing w:val="40"/>
          <w:sz w:val="20"/>
        </w:rPr>
        <w:t xml:space="preserve"> </w:t>
      </w:r>
      <w:r>
        <w:rPr>
          <w:sz w:val="20"/>
        </w:rPr>
        <w:t>sem ajuda mútua. Transformações significativas no tecido</w:t>
      </w:r>
      <w:r>
        <w:rPr>
          <w:spacing w:val="41"/>
          <w:sz w:val="20"/>
        </w:rPr>
        <w:t xml:space="preserve"> </w:t>
      </w:r>
      <w:r>
        <w:rPr>
          <w:sz w:val="20"/>
        </w:rPr>
        <w:t>urbano,</w:t>
      </w:r>
      <w:r>
        <w:rPr>
          <w:spacing w:val="41"/>
          <w:sz w:val="20"/>
        </w:rPr>
        <w:t xml:space="preserve"> </w:t>
      </w:r>
      <w:r>
        <w:rPr>
          <w:sz w:val="20"/>
        </w:rPr>
        <w:t>em</w:t>
      </w:r>
      <w:r>
        <w:rPr>
          <w:spacing w:val="39"/>
          <w:sz w:val="20"/>
        </w:rPr>
        <w:t xml:space="preserve"> </w:t>
      </w:r>
      <w:r>
        <w:rPr>
          <w:sz w:val="20"/>
        </w:rPr>
        <w:t>geral,</w:t>
      </w:r>
      <w:r>
        <w:rPr>
          <w:spacing w:val="42"/>
          <w:sz w:val="20"/>
        </w:rPr>
        <w:t xml:space="preserve"> </w:t>
      </w:r>
      <w:r>
        <w:rPr>
          <w:sz w:val="20"/>
        </w:rPr>
        <w:t>exigem</w:t>
      </w:r>
      <w:r>
        <w:rPr>
          <w:spacing w:val="39"/>
          <w:sz w:val="20"/>
        </w:rPr>
        <w:t xml:space="preserve"> </w:t>
      </w:r>
      <w:r>
        <w:rPr>
          <w:sz w:val="20"/>
        </w:rPr>
        <w:t>grandes</w:t>
      </w:r>
      <w:r>
        <w:rPr>
          <w:spacing w:val="40"/>
          <w:sz w:val="20"/>
        </w:rPr>
        <w:t xml:space="preserve"> </w:t>
      </w:r>
      <w:r>
        <w:rPr>
          <w:sz w:val="20"/>
        </w:rPr>
        <w:t>aportes</w:t>
      </w:r>
      <w:r>
        <w:rPr>
          <w:spacing w:val="41"/>
          <w:sz w:val="20"/>
        </w:rPr>
        <w:t xml:space="preserve"> </w:t>
      </w:r>
      <w:r>
        <w:rPr>
          <w:sz w:val="20"/>
        </w:rPr>
        <w:t>de</w:t>
      </w:r>
      <w:r>
        <w:rPr>
          <w:spacing w:val="41"/>
          <w:sz w:val="20"/>
        </w:rPr>
        <w:t xml:space="preserve"> </w:t>
      </w:r>
      <w:r>
        <w:rPr>
          <w:sz w:val="20"/>
        </w:rPr>
        <w:t>recursos</w:t>
      </w:r>
      <w:r>
        <w:rPr>
          <w:spacing w:val="42"/>
          <w:sz w:val="20"/>
        </w:rPr>
        <w:t xml:space="preserve"> </w:t>
      </w:r>
      <w:r>
        <w:rPr>
          <w:spacing w:val="-2"/>
          <w:sz w:val="20"/>
        </w:rPr>
        <w:t>financeiros,</w:t>
      </w:r>
    </w:p>
    <w:p w:rsidR="007259F2" w:rsidRDefault="00DE6B1C">
      <w:pPr>
        <w:pStyle w:val="Corpodetexto"/>
        <w:spacing w:before="72"/>
        <w:ind w:left="0" w:firstLine="0"/>
        <w:jc w:val="left"/>
        <w:rPr>
          <w:sz w:val="20"/>
        </w:rPr>
      </w:pPr>
      <w:r w:rsidRPr="00DE6B1C">
        <w:rPr>
          <w:sz w:val="20"/>
        </w:rPr>
        <w:pict>
          <v:rect id="docshape37" o:spid="_x0000_s1189" style="position:absolute;margin-left:85.1pt;margin-top:16.3pt;width:2in;height:.7pt;z-index:-15717888;mso-wrap-distance-left:0;mso-wrap-distance-right:0;mso-position-horizontal-relative:page" fillcolor="black" stroked="f">
            <w10:wrap type="topAndBottom" anchorx="page"/>
          </v:rect>
        </w:pict>
      </w:r>
    </w:p>
    <w:p w:rsidR="007259F2" w:rsidRDefault="00E655B4">
      <w:pPr>
        <w:spacing w:before="96"/>
        <w:ind w:left="710" w:right="987"/>
        <w:jc w:val="both"/>
        <w:rPr>
          <w:sz w:val="20"/>
        </w:rPr>
      </w:pPr>
      <w:r>
        <w:rPr>
          <w:sz w:val="20"/>
          <w:vertAlign w:val="superscript"/>
        </w:rPr>
        <w:t>34</w:t>
      </w:r>
      <w:r>
        <w:rPr>
          <w:sz w:val="20"/>
        </w:rPr>
        <w:t xml:space="preserve"> “De fato, a Lei nº 10.257/2001 exige, no processo de elaboração do plano diretor e na fiscalização de sua</w:t>
      </w:r>
      <w:r>
        <w:rPr>
          <w:spacing w:val="-2"/>
          <w:sz w:val="20"/>
        </w:rPr>
        <w:t xml:space="preserve"> </w:t>
      </w:r>
      <w:r>
        <w:rPr>
          <w:sz w:val="20"/>
        </w:rPr>
        <w:t>implementação,</w:t>
      </w:r>
      <w:r>
        <w:rPr>
          <w:spacing w:val="-2"/>
          <w:sz w:val="20"/>
        </w:rPr>
        <w:t xml:space="preserve"> </w:t>
      </w:r>
      <w:r>
        <w:rPr>
          <w:sz w:val="20"/>
        </w:rPr>
        <w:t>a</w:t>
      </w:r>
      <w:r>
        <w:rPr>
          <w:spacing w:val="-2"/>
          <w:sz w:val="20"/>
        </w:rPr>
        <w:t xml:space="preserve"> </w:t>
      </w:r>
      <w:r>
        <w:rPr>
          <w:sz w:val="20"/>
        </w:rPr>
        <w:t>promoção</w:t>
      </w:r>
      <w:r>
        <w:rPr>
          <w:spacing w:val="-1"/>
          <w:sz w:val="20"/>
        </w:rPr>
        <w:t xml:space="preserve"> </w:t>
      </w:r>
      <w:r>
        <w:rPr>
          <w:sz w:val="20"/>
        </w:rPr>
        <w:t>de</w:t>
      </w:r>
      <w:r>
        <w:rPr>
          <w:spacing w:val="-2"/>
          <w:sz w:val="20"/>
        </w:rPr>
        <w:t xml:space="preserve"> </w:t>
      </w:r>
      <w:r>
        <w:rPr>
          <w:sz w:val="20"/>
        </w:rPr>
        <w:t>audiências</w:t>
      </w:r>
      <w:r>
        <w:rPr>
          <w:spacing w:val="-3"/>
          <w:sz w:val="20"/>
        </w:rPr>
        <w:t xml:space="preserve"> </w:t>
      </w:r>
      <w:r>
        <w:rPr>
          <w:sz w:val="20"/>
        </w:rPr>
        <w:t>públicas</w:t>
      </w:r>
      <w:r>
        <w:rPr>
          <w:spacing w:val="-3"/>
          <w:sz w:val="20"/>
        </w:rPr>
        <w:t xml:space="preserve"> </w:t>
      </w:r>
      <w:r>
        <w:rPr>
          <w:sz w:val="20"/>
        </w:rPr>
        <w:t>e</w:t>
      </w:r>
      <w:r>
        <w:rPr>
          <w:spacing w:val="-2"/>
          <w:sz w:val="20"/>
        </w:rPr>
        <w:t xml:space="preserve"> </w:t>
      </w:r>
      <w:r>
        <w:rPr>
          <w:sz w:val="20"/>
        </w:rPr>
        <w:t>de debates</w:t>
      </w:r>
      <w:r>
        <w:rPr>
          <w:spacing w:val="-3"/>
          <w:sz w:val="20"/>
        </w:rPr>
        <w:t xml:space="preserve"> </w:t>
      </w:r>
      <w:r>
        <w:rPr>
          <w:sz w:val="20"/>
        </w:rPr>
        <w:t>com</w:t>
      </w:r>
      <w:r>
        <w:rPr>
          <w:spacing w:val="-6"/>
          <w:sz w:val="20"/>
        </w:rPr>
        <w:t xml:space="preserve"> </w:t>
      </w:r>
      <w:r>
        <w:rPr>
          <w:sz w:val="20"/>
        </w:rPr>
        <w:t>a</w:t>
      </w:r>
      <w:r>
        <w:rPr>
          <w:spacing w:val="-2"/>
          <w:sz w:val="20"/>
        </w:rPr>
        <w:t xml:space="preserve"> </w:t>
      </w:r>
      <w:r>
        <w:rPr>
          <w:sz w:val="20"/>
        </w:rPr>
        <w:t>participação</w:t>
      </w:r>
      <w:r>
        <w:rPr>
          <w:spacing w:val="-1"/>
          <w:sz w:val="20"/>
        </w:rPr>
        <w:t xml:space="preserve"> </w:t>
      </w:r>
      <w:r>
        <w:rPr>
          <w:sz w:val="20"/>
        </w:rPr>
        <w:t>da</w:t>
      </w:r>
      <w:r>
        <w:rPr>
          <w:spacing w:val="-2"/>
          <w:sz w:val="20"/>
        </w:rPr>
        <w:t xml:space="preserve"> </w:t>
      </w:r>
      <w:r>
        <w:rPr>
          <w:sz w:val="20"/>
        </w:rPr>
        <w:t>população</w:t>
      </w:r>
      <w:r>
        <w:rPr>
          <w:spacing w:val="-1"/>
          <w:sz w:val="20"/>
        </w:rPr>
        <w:t xml:space="preserve"> </w:t>
      </w:r>
      <w:r>
        <w:rPr>
          <w:sz w:val="20"/>
        </w:rPr>
        <w:t>e</w:t>
      </w:r>
      <w:r>
        <w:rPr>
          <w:spacing w:val="-2"/>
          <w:sz w:val="20"/>
        </w:rPr>
        <w:t xml:space="preserve"> </w:t>
      </w:r>
      <w:r>
        <w:rPr>
          <w:sz w:val="20"/>
        </w:rPr>
        <w:t>de associações representativas dos vários segmentos da comunidade (art. 40, §4º, I). Assim, a realização de audiências públicas é requisito de validade do processo legislativo que dá origem ao plano; caso não tenham sido realizadas</w:t>
      </w:r>
      <w:r>
        <w:rPr>
          <w:spacing w:val="-1"/>
          <w:sz w:val="20"/>
        </w:rPr>
        <w:t xml:space="preserve"> </w:t>
      </w:r>
      <w:r>
        <w:rPr>
          <w:sz w:val="20"/>
        </w:rPr>
        <w:t>ou</w:t>
      </w:r>
      <w:r>
        <w:rPr>
          <w:spacing w:val="-2"/>
          <w:sz w:val="20"/>
        </w:rPr>
        <w:t xml:space="preserve"> </w:t>
      </w:r>
      <w:r>
        <w:rPr>
          <w:sz w:val="20"/>
        </w:rPr>
        <w:t>não tenham sido devidamente</w:t>
      </w:r>
      <w:r>
        <w:rPr>
          <w:spacing w:val="-1"/>
          <w:sz w:val="20"/>
        </w:rPr>
        <w:t xml:space="preserve"> </w:t>
      </w:r>
      <w:r>
        <w:rPr>
          <w:sz w:val="20"/>
        </w:rPr>
        <w:t>divulgadas,</w:t>
      </w:r>
      <w:r>
        <w:rPr>
          <w:spacing w:val="-1"/>
          <w:sz w:val="20"/>
        </w:rPr>
        <w:t xml:space="preserve"> </w:t>
      </w:r>
      <w:r>
        <w:rPr>
          <w:sz w:val="20"/>
        </w:rPr>
        <w:t>a</w:t>
      </w:r>
      <w:r>
        <w:rPr>
          <w:spacing w:val="-1"/>
          <w:sz w:val="20"/>
        </w:rPr>
        <w:t xml:space="preserve"> </w:t>
      </w:r>
      <w:r>
        <w:rPr>
          <w:sz w:val="20"/>
        </w:rPr>
        <w:t>lei</w:t>
      </w:r>
      <w:r>
        <w:rPr>
          <w:spacing w:val="-1"/>
          <w:sz w:val="20"/>
        </w:rPr>
        <w:t xml:space="preserve"> </w:t>
      </w:r>
      <w:r>
        <w:rPr>
          <w:sz w:val="20"/>
        </w:rPr>
        <w:t>que</w:t>
      </w:r>
      <w:r>
        <w:rPr>
          <w:spacing w:val="-1"/>
          <w:sz w:val="20"/>
        </w:rPr>
        <w:t xml:space="preserve"> </w:t>
      </w:r>
      <w:r>
        <w:rPr>
          <w:sz w:val="20"/>
        </w:rPr>
        <w:t>institui</w:t>
      </w:r>
      <w:r>
        <w:rPr>
          <w:spacing w:val="-1"/>
          <w:sz w:val="20"/>
        </w:rPr>
        <w:t xml:space="preserve"> </w:t>
      </w:r>
      <w:r>
        <w:rPr>
          <w:sz w:val="20"/>
        </w:rPr>
        <w:t xml:space="preserve">o plano diretor deve ser considerada inválida.” (LEVIN, </w:t>
      </w:r>
      <w:r>
        <w:rPr>
          <w:i/>
          <w:sz w:val="20"/>
        </w:rPr>
        <w:t>op. cit</w:t>
      </w:r>
      <w:r>
        <w:rPr>
          <w:sz w:val="20"/>
        </w:rPr>
        <w:t>., p. 34.)</w:t>
      </w:r>
    </w:p>
    <w:p w:rsidR="007259F2" w:rsidRDefault="00E655B4">
      <w:pPr>
        <w:ind w:left="710" w:right="987"/>
        <w:jc w:val="both"/>
        <w:rPr>
          <w:sz w:val="20"/>
        </w:rPr>
      </w:pPr>
      <w:r>
        <w:rPr>
          <w:sz w:val="20"/>
          <w:vertAlign w:val="superscript"/>
        </w:rPr>
        <w:t>35</w:t>
      </w:r>
      <w:r>
        <w:rPr>
          <w:sz w:val="20"/>
        </w:rPr>
        <w:t xml:space="preserve"> “O pleno desenvolvimento das funções sociais da cidade é, portanto, o vetor da atividade urbanística estatal. O exercício da função urbanística pelo Estado (em cooperação ou não com a iniciativa privada) deve ter como norte a satisfação, no maior grau possível, das necessidades dos habitantes da urbe. Indicamos quatro delas (habitação, trabalho, lazer e circulação), mas há outras que também devem ser garantidas</w:t>
      </w:r>
      <w:r>
        <w:rPr>
          <w:spacing w:val="-1"/>
          <w:sz w:val="20"/>
        </w:rPr>
        <w:t xml:space="preserve"> </w:t>
      </w:r>
      <w:r>
        <w:rPr>
          <w:sz w:val="20"/>
        </w:rPr>
        <w:t>por</w:t>
      </w:r>
      <w:r>
        <w:rPr>
          <w:spacing w:val="-3"/>
          <w:sz w:val="20"/>
        </w:rPr>
        <w:t xml:space="preserve"> </w:t>
      </w:r>
      <w:r>
        <w:rPr>
          <w:sz w:val="20"/>
        </w:rPr>
        <w:t>meio</w:t>
      </w:r>
      <w:r>
        <w:rPr>
          <w:spacing w:val="-2"/>
          <w:sz w:val="20"/>
        </w:rPr>
        <w:t xml:space="preserve"> </w:t>
      </w:r>
      <w:r>
        <w:rPr>
          <w:sz w:val="20"/>
        </w:rPr>
        <w:t>da</w:t>
      </w:r>
      <w:r>
        <w:rPr>
          <w:spacing w:val="-3"/>
          <w:sz w:val="20"/>
        </w:rPr>
        <w:t xml:space="preserve"> </w:t>
      </w:r>
      <w:r>
        <w:rPr>
          <w:sz w:val="20"/>
        </w:rPr>
        <w:t>atividade</w:t>
      </w:r>
      <w:r>
        <w:rPr>
          <w:spacing w:val="-3"/>
          <w:sz w:val="20"/>
        </w:rPr>
        <w:t xml:space="preserve"> </w:t>
      </w:r>
      <w:r>
        <w:rPr>
          <w:sz w:val="20"/>
        </w:rPr>
        <w:t>de</w:t>
      </w:r>
      <w:r>
        <w:rPr>
          <w:spacing w:val="-3"/>
          <w:sz w:val="20"/>
        </w:rPr>
        <w:t xml:space="preserve"> </w:t>
      </w:r>
      <w:r>
        <w:rPr>
          <w:sz w:val="20"/>
        </w:rPr>
        <w:t>organização do</w:t>
      </w:r>
      <w:r>
        <w:rPr>
          <w:spacing w:val="-2"/>
          <w:sz w:val="20"/>
        </w:rPr>
        <w:t xml:space="preserve"> </w:t>
      </w:r>
      <w:r>
        <w:rPr>
          <w:sz w:val="20"/>
        </w:rPr>
        <w:t>espaço</w:t>
      </w:r>
      <w:r>
        <w:rPr>
          <w:spacing w:val="-2"/>
          <w:sz w:val="20"/>
        </w:rPr>
        <w:t xml:space="preserve"> </w:t>
      </w:r>
      <w:r>
        <w:rPr>
          <w:sz w:val="20"/>
        </w:rPr>
        <w:t>urbano,</w:t>
      </w:r>
      <w:r>
        <w:rPr>
          <w:spacing w:val="-3"/>
          <w:sz w:val="20"/>
        </w:rPr>
        <w:t xml:space="preserve"> </w:t>
      </w:r>
      <w:r>
        <w:rPr>
          <w:sz w:val="20"/>
        </w:rPr>
        <w:t>como</w:t>
      </w:r>
      <w:r>
        <w:rPr>
          <w:spacing w:val="-2"/>
          <w:sz w:val="20"/>
        </w:rPr>
        <w:t xml:space="preserve"> </w:t>
      </w:r>
      <w:r>
        <w:rPr>
          <w:sz w:val="20"/>
        </w:rPr>
        <w:t>a</w:t>
      </w:r>
      <w:r>
        <w:rPr>
          <w:spacing w:val="-3"/>
          <w:sz w:val="20"/>
        </w:rPr>
        <w:t xml:space="preserve"> </w:t>
      </w:r>
      <w:r>
        <w:rPr>
          <w:sz w:val="20"/>
        </w:rPr>
        <w:t>disponibilização</w:t>
      </w:r>
      <w:r>
        <w:rPr>
          <w:spacing w:val="-2"/>
          <w:sz w:val="20"/>
        </w:rPr>
        <w:t xml:space="preserve"> </w:t>
      </w:r>
      <w:r>
        <w:rPr>
          <w:sz w:val="20"/>
        </w:rPr>
        <w:t>do</w:t>
      </w:r>
      <w:r>
        <w:rPr>
          <w:spacing w:val="-2"/>
          <w:sz w:val="20"/>
        </w:rPr>
        <w:t xml:space="preserve"> </w:t>
      </w:r>
      <w:r>
        <w:rPr>
          <w:sz w:val="20"/>
        </w:rPr>
        <w:t>sistema</w:t>
      </w:r>
      <w:r>
        <w:rPr>
          <w:spacing w:val="-3"/>
          <w:sz w:val="20"/>
        </w:rPr>
        <w:t xml:space="preserve"> </w:t>
      </w:r>
      <w:r>
        <w:rPr>
          <w:sz w:val="20"/>
        </w:rPr>
        <w:t>de saneamento básico e de iluminação pública, serviço de coleta e tratamento de resíduos sólidos, proteção do patrimônio histórico e natural; todas elas estão</w:t>
      </w:r>
      <w:r>
        <w:rPr>
          <w:spacing w:val="40"/>
          <w:sz w:val="20"/>
        </w:rPr>
        <w:t xml:space="preserve"> </w:t>
      </w:r>
      <w:r>
        <w:rPr>
          <w:sz w:val="20"/>
        </w:rPr>
        <w:t>relacionadas, de alguma forma,</w:t>
      </w:r>
      <w:r>
        <w:rPr>
          <w:spacing w:val="40"/>
          <w:sz w:val="20"/>
        </w:rPr>
        <w:t xml:space="preserve"> </w:t>
      </w:r>
      <w:r>
        <w:rPr>
          <w:sz w:val="20"/>
        </w:rPr>
        <w:t>às quatro funções básicas,</w:t>
      </w:r>
      <w:r>
        <w:rPr>
          <w:spacing w:val="40"/>
          <w:sz w:val="20"/>
        </w:rPr>
        <w:t xml:space="preserve"> </w:t>
      </w:r>
      <w:r>
        <w:rPr>
          <w:sz w:val="20"/>
        </w:rPr>
        <w:t>citadas</w:t>
      </w:r>
      <w:r>
        <w:rPr>
          <w:spacing w:val="40"/>
          <w:sz w:val="20"/>
        </w:rPr>
        <w:t xml:space="preserve"> </w:t>
      </w:r>
      <w:r>
        <w:rPr>
          <w:sz w:val="20"/>
        </w:rPr>
        <w:t>de</w:t>
      </w:r>
      <w:r>
        <w:rPr>
          <w:spacing w:val="40"/>
          <w:sz w:val="20"/>
        </w:rPr>
        <w:t xml:space="preserve"> </w:t>
      </w:r>
      <w:r>
        <w:rPr>
          <w:sz w:val="20"/>
        </w:rPr>
        <w:t>início.”</w:t>
      </w:r>
      <w:r>
        <w:rPr>
          <w:spacing w:val="40"/>
          <w:sz w:val="20"/>
        </w:rPr>
        <w:t xml:space="preserve"> </w:t>
      </w:r>
      <w:r>
        <w:rPr>
          <w:sz w:val="20"/>
        </w:rPr>
        <w:t>(LEVIN,</w:t>
      </w:r>
      <w:r>
        <w:rPr>
          <w:spacing w:val="40"/>
          <w:sz w:val="20"/>
        </w:rPr>
        <w:t xml:space="preserve"> </w:t>
      </w:r>
      <w:r>
        <w:rPr>
          <w:i/>
          <w:sz w:val="20"/>
        </w:rPr>
        <w:t>op. cit</w:t>
      </w:r>
      <w:r>
        <w:rPr>
          <w:sz w:val="20"/>
        </w:rPr>
        <w:t>., p. 20)</w:t>
      </w:r>
    </w:p>
    <w:p w:rsidR="007259F2" w:rsidRDefault="00E655B4">
      <w:pPr>
        <w:spacing w:before="2"/>
        <w:ind w:left="710"/>
        <w:jc w:val="both"/>
        <w:rPr>
          <w:sz w:val="20"/>
        </w:rPr>
      </w:pPr>
      <w:r>
        <w:rPr>
          <w:sz w:val="20"/>
          <w:vertAlign w:val="superscript"/>
        </w:rPr>
        <w:t>36</w:t>
      </w:r>
      <w:r>
        <w:rPr>
          <w:spacing w:val="-3"/>
          <w:sz w:val="20"/>
        </w:rPr>
        <w:t xml:space="preserve"> </w:t>
      </w:r>
      <w:r>
        <w:rPr>
          <w:sz w:val="20"/>
        </w:rPr>
        <w:t>LEVIN,</w:t>
      </w:r>
      <w:r>
        <w:rPr>
          <w:spacing w:val="-2"/>
          <w:sz w:val="20"/>
        </w:rPr>
        <w:t xml:space="preserve"> </w:t>
      </w:r>
      <w:r>
        <w:rPr>
          <w:i/>
          <w:sz w:val="20"/>
        </w:rPr>
        <w:t>op.</w:t>
      </w:r>
      <w:r>
        <w:rPr>
          <w:i/>
          <w:spacing w:val="-3"/>
          <w:sz w:val="20"/>
        </w:rPr>
        <w:t xml:space="preserve"> </w:t>
      </w:r>
      <w:r>
        <w:rPr>
          <w:i/>
          <w:sz w:val="20"/>
        </w:rPr>
        <w:t>cit</w:t>
      </w:r>
      <w:r>
        <w:rPr>
          <w:sz w:val="20"/>
        </w:rPr>
        <w:t>.,</w:t>
      </w:r>
      <w:r>
        <w:rPr>
          <w:spacing w:val="-3"/>
          <w:sz w:val="20"/>
        </w:rPr>
        <w:t xml:space="preserve"> </w:t>
      </w:r>
      <w:r>
        <w:rPr>
          <w:sz w:val="20"/>
        </w:rPr>
        <w:t>p.</w:t>
      </w:r>
      <w:r>
        <w:rPr>
          <w:spacing w:val="-4"/>
          <w:sz w:val="20"/>
        </w:rPr>
        <w:t xml:space="preserve"> </w:t>
      </w:r>
      <w:r>
        <w:rPr>
          <w:spacing w:val="-5"/>
          <w:sz w:val="20"/>
        </w:rPr>
        <w:t>24.</w:t>
      </w:r>
    </w:p>
    <w:p w:rsidR="007259F2" w:rsidRDefault="007259F2">
      <w:pPr>
        <w:jc w:val="both"/>
        <w:rPr>
          <w:sz w:val="20"/>
        </w:rPr>
        <w:sectPr w:rsidR="007259F2">
          <w:pgSz w:w="11910" w:h="16840"/>
          <w:pgMar w:top="1320" w:right="708" w:bottom="1160" w:left="992" w:header="0" w:footer="962" w:gutter="0"/>
          <w:cols w:space="720"/>
        </w:sectPr>
      </w:pPr>
    </w:p>
    <w:p w:rsidR="007259F2" w:rsidRDefault="00E655B4">
      <w:pPr>
        <w:spacing w:before="71"/>
        <w:ind w:left="2978" w:right="994"/>
        <w:jc w:val="both"/>
        <w:rPr>
          <w:sz w:val="20"/>
        </w:rPr>
      </w:pPr>
      <w:r>
        <w:rPr>
          <w:sz w:val="20"/>
        </w:rPr>
        <w:lastRenderedPageBreak/>
        <w:t>indisponíveis, no mais das vezes, para a maioria dos Municípios brasileiros. Busca-se, por isso, atrair a iniciativa privada para que financie essas intervenções urbanísticas, em troca de benefícios que resultem em lucro para os investidores.</w:t>
      </w:r>
      <w:r>
        <w:rPr>
          <w:sz w:val="20"/>
          <w:vertAlign w:val="superscript"/>
        </w:rPr>
        <w:t>37</w:t>
      </w:r>
    </w:p>
    <w:p w:rsidR="007259F2" w:rsidRDefault="007259F2">
      <w:pPr>
        <w:pStyle w:val="Corpodetexto"/>
        <w:spacing w:before="1"/>
        <w:ind w:left="0" w:firstLine="0"/>
        <w:jc w:val="left"/>
        <w:rPr>
          <w:sz w:val="20"/>
        </w:rPr>
      </w:pPr>
    </w:p>
    <w:p w:rsidR="007259F2" w:rsidRDefault="00E655B4">
      <w:pPr>
        <w:pStyle w:val="Corpodetexto"/>
        <w:ind w:right="988"/>
      </w:pPr>
      <w:r>
        <w:t xml:space="preserve">Esse conceito de urbanismo além de ser previsto genericamente no artigo 2º, III, do Estatuto da Cidade, previu um instrumento específico de concertação público- privada. Trata- se da operação urbana consorciada (artigos 32 a 34). Nesse modelo o particular paga um montante a ser aplicado na operação a fim de que possa receber uma contrapartida como modificação de índices e características de parcelamento, uso e ocupação do solo e subsolo, além de alteração de normas edilícias que possibilitam a construção acima dos limites fixados nos coeficientes de aproveitamento. Essas operações serão definidas em lei municipal específica, baseada no plano diretor e serão coordenadas pelo Poder Público. A </w:t>
      </w:r>
      <w:r>
        <w:rPr>
          <w:i/>
        </w:rPr>
        <w:t xml:space="preserve">ratio </w:t>
      </w:r>
      <w:r>
        <w:t>desse instituto é trazer modificações urbanísticas associadas a melhorias sociais, por isso a participação dos particulares é fundamental e estimulada com concessão de benefícios.</w:t>
      </w:r>
    </w:p>
    <w:p w:rsidR="007259F2" w:rsidRDefault="00E655B4">
      <w:pPr>
        <w:pStyle w:val="Corpodetexto"/>
        <w:ind w:right="991"/>
      </w:pPr>
      <w:r>
        <w:t>Outro instrumento de concertação urbanística previsto no Estatuto da Cidade é a outorga</w:t>
      </w:r>
      <w:r>
        <w:rPr>
          <w:spacing w:val="-2"/>
        </w:rPr>
        <w:t xml:space="preserve"> </w:t>
      </w:r>
      <w:r>
        <w:t>onerosa</w:t>
      </w:r>
      <w:r>
        <w:rPr>
          <w:spacing w:val="-3"/>
        </w:rPr>
        <w:t xml:space="preserve"> </w:t>
      </w:r>
      <w:r>
        <w:t>do</w:t>
      </w:r>
      <w:r>
        <w:rPr>
          <w:spacing w:val="-1"/>
        </w:rPr>
        <w:t xml:space="preserve"> </w:t>
      </w:r>
      <w:r>
        <w:t>direito</w:t>
      </w:r>
      <w:r>
        <w:rPr>
          <w:spacing w:val="-1"/>
        </w:rPr>
        <w:t xml:space="preserve"> </w:t>
      </w:r>
      <w:r>
        <w:t>de</w:t>
      </w:r>
      <w:r>
        <w:rPr>
          <w:spacing w:val="-2"/>
        </w:rPr>
        <w:t xml:space="preserve"> </w:t>
      </w:r>
      <w:r>
        <w:t>construir</w:t>
      </w:r>
      <w:r>
        <w:rPr>
          <w:spacing w:val="-2"/>
        </w:rPr>
        <w:t xml:space="preserve"> </w:t>
      </w:r>
      <w:r>
        <w:t>(artigos</w:t>
      </w:r>
      <w:r>
        <w:rPr>
          <w:spacing w:val="-1"/>
        </w:rPr>
        <w:t xml:space="preserve"> </w:t>
      </w:r>
      <w:r>
        <w:t>28 a</w:t>
      </w:r>
      <w:r>
        <w:rPr>
          <w:spacing w:val="-2"/>
        </w:rPr>
        <w:t xml:space="preserve"> </w:t>
      </w:r>
      <w:r>
        <w:t>31).</w:t>
      </w:r>
      <w:r>
        <w:rPr>
          <w:spacing w:val="39"/>
        </w:rPr>
        <w:t xml:space="preserve"> </w:t>
      </w:r>
      <w:r>
        <w:t>Nesse</w:t>
      </w:r>
      <w:r>
        <w:rPr>
          <w:spacing w:val="-2"/>
        </w:rPr>
        <w:t xml:space="preserve"> </w:t>
      </w:r>
      <w:r>
        <w:t>instituto</w:t>
      </w:r>
      <w:r>
        <w:rPr>
          <w:spacing w:val="-1"/>
        </w:rPr>
        <w:t xml:space="preserve"> </w:t>
      </w:r>
      <w:r>
        <w:t>o</w:t>
      </w:r>
      <w:r>
        <w:rPr>
          <w:spacing w:val="-6"/>
        </w:rPr>
        <w:t xml:space="preserve"> </w:t>
      </w:r>
      <w:r>
        <w:t>próprio</w:t>
      </w:r>
      <w:r>
        <w:rPr>
          <w:spacing w:val="-2"/>
        </w:rPr>
        <w:t xml:space="preserve"> </w:t>
      </w:r>
      <w:r>
        <w:t xml:space="preserve">plano diretor indicará áreas urbanas onde o direito de construir será alterado a fim de permitir que o coeficiente de aproveitamento seja excedido mediante contrapartida, geralmente pecuniária, do particular que tem imóvel na área definida ou poderá o beneficiário alterar o uso do solo sem estar vinculado ao zoneamento urbano estabelecido </w:t>
      </w:r>
      <w:r>
        <w:rPr>
          <w:spacing w:val="-2"/>
        </w:rPr>
        <w:t>anteriormente.</w:t>
      </w:r>
    </w:p>
    <w:p w:rsidR="007259F2" w:rsidRDefault="00E655B4">
      <w:pPr>
        <w:pStyle w:val="Corpodetexto"/>
        <w:ind w:right="989"/>
      </w:pPr>
      <w:r>
        <w:t>Os dois instrumentos descritos acima têm o mesmo objetivo: os beneficiários, através do cumprimento de contrapartidas, logram alterar o coeficiente de aproveitamento de seus imóveis ou podem dar destinação diversa ao estabelecido na lei de uso e ocupação do solo. No entanto há diferenças também, enquanto a operação urbana consorciada precisa ser prevista em lei específica, a outorga onerosa já tem suas áreas de incidência definidas no plano diretor. E, ainda, as contrapartidas auferidas pela operação urbana devem ter destinação única voltada as ações da própria operação, enquanto na outorga onerosa as contrapartidas devem ser aplicadas com as finalidades trazidas no artigo 26 da Lei 10.257/2001.</w:t>
      </w:r>
    </w:p>
    <w:p w:rsidR="007259F2" w:rsidRDefault="00E655B4">
      <w:pPr>
        <w:pStyle w:val="Corpodetexto"/>
        <w:ind w:right="991"/>
      </w:pPr>
      <w:r>
        <w:t>Ademais, esses instrumentos têm clara determinação de otimizar a função social da propriedade, visto que os incentivos concedidos visam estimular os particulares a participarem da gestão e operação executadas pelo poder público municipal e não deixarem</w:t>
      </w:r>
      <w:r>
        <w:rPr>
          <w:spacing w:val="-3"/>
        </w:rPr>
        <w:t xml:space="preserve"> </w:t>
      </w:r>
      <w:r>
        <w:t>seus imóveis</w:t>
      </w:r>
      <w:r>
        <w:rPr>
          <w:spacing w:val="-1"/>
        </w:rPr>
        <w:t xml:space="preserve"> </w:t>
      </w:r>
      <w:r>
        <w:t>ociosos e</w:t>
      </w:r>
      <w:r>
        <w:rPr>
          <w:spacing w:val="-2"/>
        </w:rPr>
        <w:t xml:space="preserve"> </w:t>
      </w:r>
      <w:r>
        <w:t>com potencial</w:t>
      </w:r>
      <w:r>
        <w:rPr>
          <w:spacing w:val="-1"/>
        </w:rPr>
        <w:t xml:space="preserve"> </w:t>
      </w:r>
      <w:r>
        <w:t>de</w:t>
      </w:r>
      <w:r>
        <w:rPr>
          <w:spacing w:val="-1"/>
        </w:rPr>
        <w:t xml:space="preserve"> </w:t>
      </w:r>
      <w:r>
        <w:t>violar</w:t>
      </w:r>
      <w:r>
        <w:rPr>
          <w:spacing w:val="-1"/>
        </w:rPr>
        <w:t xml:space="preserve"> </w:t>
      </w:r>
      <w:r>
        <w:t>a</w:t>
      </w:r>
      <w:r>
        <w:rPr>
          <w:spacing w:val="-2"/>
        </w:rPr>
        <w:t xml:space="preserve"> </w:t>
      </w:r>
      <w:r>
        <w:t>função</w:t>
      </w:r>
      <w:r>
        <w:rPr>
          <w:spacing w:val="-1"/>
        </w:rPr>
        <w:t xml:space="preserve"> </w:t>
      </w:r>
      <w:r>
        <w:t xml:space="preserve">social da </w:t>
      </w:r>
      <w:r>
        <w:rPr>
          <w:spacing w:val="-2"/>
        </w:rPr>
        <w:t>propriedade.</w:t>
      </w:r>
    </w:p>
    <w:p w:rsidR="007259F2" w:rsidRDefault="00E655B4">
      <w:pPr>
        <w:pStyle w:val="Heading2"/>
        <w:numPr>
          <w:ilvl w:val="0"/>
          <w:numId w:val="42"/>
        </w:numPr>
        <w:tabs>
          <w:tab w:val="left" w:pos="1780"/>
        </w:tabs>
        <w:spacing w:before="206"/>
        <w:jc w:val="both"/>
      </w:pPr>
      <w:r>
        <w:rPr>
          <w:spacing w:val="-2"/>
        </w:rPr>
        <w:t>Conclusão</w:t>
      </w:r>
    </w:p>
    <w:p w:rsidR="007259F2" w:rsidRDefault="00E655B4">
      <w:pPr>
        <w:pStyle w:val="Corpodetexto"/>
        <w:spacing w:before="115"/>
        <w:ind w:right="992"/>
      </w:pPr>
      <w:r>
        <w:t>O presente trabalho abordou a propriedade sob a perspectiva de sua função social. Inicialmente, trouxe os elementos principais do seu aspecto privatista no código Civil a fim de se indicar como esse direito é tratado no sistema privado.</w:t>
      </w:r>
    </w:p>
    <w:p w:rsidR="007259F2" w:rsidRDefault="00E655B4">
      <w:pPr>
        <w:pStyle w:val="Corpodetexto"/>
        <w:ind w:right="991"/>
      </w:pPr>
      <w:r>
        <w:t>Partindo daí, identificou que a Constituição Federal inovou ao garantir a propriedade no rol de direitos fundamentais considerando sua função social. Até então,</w:t>
      </w:r>
      <w:r>
        <w:rPr>
          <w:spacing w:val="40"/>
        </w:rPr>
        <w:t xml:space="preserve"> </w:t>
      </w:r>
      <w:r>
        <w:t xml:space="preserve">o conceito de propriedade possuía um conteúdo voltado exclusivamente aos interesses de seu proprietário e não havia meios de o Estado se imiscuir na maneira que o titular usos ou fruía de seu bem. Pelo contrário, a não intervenção estatal era a regra a ser </w:t>
      </w:r>
      <w:r>
        <w:rPr>
          <w:spacing w:val="-2"/>
        </w:rPr>
        <w:t>seguida.</w:t>
      </w:r>
    </w:p>
    <w:p w:rsidR="007259F2" w:rsidRDefault="00E655B4">
      <w:pPr>
        <w:pStyle w:val="Corpodetexto"/>
        <w:ind w:right="995"/>
      </w:pPr>
      <w:r>
        <w:t>Esse panorama mudou ao longo do século passado e no Brasil, culminou na previsão</w:t>
      </w:r>
      <w:r>
        <w:rPr>
          <w:spacing w:val="44"/>
        </w:rPr>
        <w:t xml:space="preserve"> </w:t>
      </w:r>
      <w:r>
        <w:t>expressa</w:t>
      </w:r>
      <w:r>
        <w:rPr>
          <w:spacing w:val="42"/>
        </w:rPr>
        <w:t xml:space="preserve"> </w:t>
      </w:r>
      <w:r>
        <w:t>na</w:t>
      </w:r>
      <w:r>
        <w:rPr>
          <w:spacing w:val="44"/>
        </w:rPr>
        <w:t xml:space="preserve"> </w:t>
      </w:r>
      <w:r>
        <w:t>Cata</w:t>
      </w:r>
      <w:r>
        <w:rPr>
          <w:spacing w:val="42"/>
        </w:rPr>
        <w:t xml:space="preserve"> </w:t>
      </w:r>
      <w:r>
        <w:t>Constitucional</w:t>
      </w:r>
      <w:r>
        <w:rPr>
          <w:spacing w:val="42"/>
        </w:rPr>
        <w:t xml:space="preserve"> </w:t>
      </w:r>
      <w:r>
        <w:t>da</w:t>
      </w:r>
      <w:r>
        <w:rPr>
          <w:spacing w:val="42"/>
        </w:rPr>
        <w:t xml:space="preserve"> </w:t>
      </w:r>
      <w:r>
        <w:t>necessidade</w:t>
      </w:r>
      <w:r>
        <w:rPr>
          <w:spacing w:val="42"/>
        </w:rPr>
        <w:t xml:space="preserve"> </w:t>
      </w:r>
      <w:r>
        <w:t>de</w:t>
      </w:r>
      <w:r>
        <w:rPr>
          <w:spacing w:val="42"/>
        </w:rPr>
        <w:t xml:space="preserve"> </w:t>
      </w:r>
      <w:r>
        <w:t>cumprimento</w:t>
      </w:r>
      <w:r>
        <w:rPr>
          <w:spacing w:val="42"/>
        </w:rPr>
        <w:t xml:space="preserve"> </w:t>
      </w:r>
      <w:r>
        <w:t>da</w:t>
      </w:r>
      <w:r>
        <w:rPr>
          <w:spacing w:val="42"/>
        </w:rPr>
        <w:t xml:space="preserve"> </w:t>
      </w:r>
      <w:r>
        <w:rPr>
          <w:spacing w:val="-2"/>
        </w:rPr>
        <w:t>função</w:t>
      </w:r>
    </w:p>
    <w:p w:rsidR="007259F2" w:rsidRDefault="00DE6B1C">
      <w:pPr>
        <w:pStyle w:val="Corpodetexto"/>
        <w:spacing w:before="74"/>
        <w:ind w:left="0" w:firstLine="0"/>
        <w:jc w:val="left"/>
        <w:rPr>
          <w:sz w:val="20"/>
        </w:rPr>
      </w:pPr>
      <w:r w:rsidRPr="00DE6B1C">
        <w:rPr>
          <w:sz w:val="20"/>
        </w:rPr>
        <w:pict>
          <v:rect id="docshape38" o:spid="_x0000_s1188" style="position:absolute;margin-left:85.1pt;margin-top:16.45pt;width:2in;height:.7pt;z-index:-15717376;mso-wrap-distance-left:0;mso-wrap-distance-right:0;mso-position-horizontal-relative:page" fillcolor="black" stroked="f">
            <w10:wrap type="topAndBottom" anchorx="page"/>
          </v:rect>
        </w:pict>
      </w:r>
    </w:p>
    <w:p w:rsidR="007259F2" w:rsidRDefault="00E655B4">
      <w:pPr>
        <w:spacing w:before="96"/>
        <w:ind w:left="710"/>
        <w:rPr>
          <w:sz w:val="20"/>
        </w:rPr>
      </w:pPr>
      <w:r>
        <w:rPr>
          <w:sz w:val="20"/>
          <w:vertAlign w:val="superscript"/>
        </w:rPr>
        <w:t>37</w:t>
      </w:r>
      <w:r>
        <w:rPr>
          <w:spacing w:val="-3"/>
          <w:sz w:val="20"/>
        </w:rPr>
        <w:t xml:space="preserve"> </w:t>
      </w:r>
      <w:r>
        <w:rPr>
          <w:sz w:val="20"/>
        </w:rPr>
        <w:t>LEVIN,</w:t>
      </w:r>
      <w:r>
        <w:rPr>
          <w:spacing w:val="-2"/>
          <w:sz w:val="20"/>
        </w:rPr>
        <w:t xml:space="preserve"> </w:t>
      </w:r>
      <w:r>
        <w:rPr>
          <w:i/>
          <w:sz w:val="20"/>
        </w:rPr>
        <w:t>op.</w:t>
      </w:r>
      <w:r>
        <w:rPr>
          <w:i/>
          <w:spacing w:val="-3"/>
          <w:sz w:val="20"/>
        </w:rPr>
        <w:t xml:space="preserve"> </w:t>
      </w:r>
      <w:r>
        <w:rPr>
          <w:i/>
          <w:sz w:val="20"/>
        </w:rPr>
        <w:t>cit</w:t>
      </w:r>
      <w:r>
        <w:rPr>
          <w:sz w:val="20"/>
        </w:rPr>
        <w:t>.,</w:t>
      </w:r>
      <w:r>
        <w:rPr>
          <w:spacing w:val="-3"/>
          <w:sz w:val="20"/>
        </w:rPr>
        <w:t xml:space="preserve"> </w:t>
      </w:r>
      <w:r>
        <w:rPr>
          <w:sz w:val="20"/>
        </w:rPr>
        <w:t>p.</w:t>
      </w:r>
      <w:r>
        <w:rPr>
          <w:spacing w:val="-4"/>
          <w:sz w:val="20"/>
        </w:rPr>
        <w:t xml:space="preserve"> </w:t>
      </w:r>
      <w:r>
        <w:rPr>
          <w:spacing w:val="-5"/>
          <w:sz w:val="20"/>
        </w:rPr>
        <w:t>24</w:t>
      </w:r>
    </w:p>
    <w:p w:rsidR="007259F2" w:rsidRDefault="007259F2">
      <w:pPr>
        <w:rPr>
          <w:sz w:val="20"/>
        </w:rPr>
        <w:sectPr w:rsidR="007259F2">
          <w:pgSz w:w="11910" w:h="16840"/>
          <w:pgMar w:top="1320" w:right="708" w:bottom="1160" w:left="992" w:header="0" w:footer="962" w:gutter="0"/>
          <w:cols w:space="720"/>
        </w:sectPr>
      </w:pPr>
    </w:p>
    <w:p w:rsidR="007259F2" w:rsidRDefault="00E655B4">
      <w:pPr>
        <w:pStyle w:val="Corpodetexto"/>
        <w:spacing w:before="69"/>
        <w:ind w:right="991" w:firstLine="0"/>
      </w:pPr>
      <w:r>
        <w:lastRenderedPageBreak/>
        <w:t xml:space="preserve">social da propriedade. Esse conceito atribuiu ao domínio do bem a necessidade de estar voltado a sociedade e de prover também interesses sociais ao ter uma destinação </w:t>
      </w:r>
      <w:r>
        <w:rPr>
          <w:spacing w:val="-2"/>
        </w:rPr>
        <w:t>adequada.</w:t>
      </w:r>
    </w:p>
    <w:p w:rsidR="007259F2" w:rsidRDefault="00E655B4">
      <w:pPr>
        <w:pStyle w:val="Corpodetexto"/>
        <w:spacing w:before="1"/>
        <w:ind w:right="991"/>
      </w:pPr>
      <w:r>
        <w:t>Nessa senda, a função social não é apenas um fator eterno ao direito que pode gerar limitações, mas o integra totalmente, e ao não ser cumprido devidamente os poderes inerentes à propriedade não são exercidos em plenitude.</w:t>
      </w:r>
    </w:p>
    <w:p w:rsidR="007259F2" w:rsidRDefault="00E655B4">
      <w:pPr>
        <w:pStyle w:val="Corpodetexto"/>
        <w:ind w:right="993"/>
      </w:pPr>
      <w:r>
        <w:t>A Constituição, outrossim, não previu de forma esparsa tal instituto. Ao fazer uma leitura sistemática dos dispositivos constitucionais referentes ao tema se verifica claramente que a função social é o vetor para estabelecer um verdadeiro novo sistema</w:t>
      </w:r>
      <w:r>
        <w:rPr>
          <w:spacing w:val="40"/>
        </w:rPr>
        <w:t xml:space="preserve"> </w:t>
      </w:r>
      <w:r>
        <w:t>de legal sobre a propriedade.</w:t>
      </w:r>
    </w:p>
    <w:p w:rsidR="007259F2" w:rsidRDefault="00E655B4">
      <w:pPr>
        <w:pStyle w:val="Corpodetexto"/>
        <w:ind w:right="990"/>
      </w:pPr>
      <w:r>
        <w:t>Não por outro motivo, que de forma inovadora também, foi instituído preceitos para se criar uma política urbana nacionalizada que prestigiasse um novo ordenamento do solo urbano. Tal política urbana se fundamenta essencialmente em dar densidade a função social.</w:t>
      </w:r>
    </w:p>
    <w:p w:rsidR="007259F2" w:rsidRDefault="00E655B4">
      <w:pPr>
        <w:pStyle w:val="Corpodetexto"/>
        <w:spacing w:before="1"/>
        <w:ind w:right="992"/>
      </w:pPr>
      <w:r>
        <w:t>Assim, foi editada em 2001 a Lei 10.257, o Estatuto da Cidade, com o objetivo de regulamenta os dispositivos constitucionais referentes a política urbana e instituir instrumentos urbanísticos que otimizassem o desenvolvimento das cidades e coibissem subutilização dos bens.</w:t>
      </w:r>
    </w:p>
    <w:p w:rsidR="007259F2" w:rsidRDefault="00E655B4">
      <w:pPr>
        <w:pStyle w:val="Corpodetexto"/>
        <w:ind w:right="992"/>
      </w:pPr>
      <w:r>
        <w:t>Entre os instrumentos de destaque estão a edificação e o uso compulsórios que induzem o proprietário a dar destinação adequada a seu bem evitando a ociosidade e especulações desmedidas. E, associado a esse instrumento, está o IPTU progressivo que é utilizado justamente para induzir a edificação ou uso do bem, demonstrando seu caráter extrafiscal.</w:t>
      </w:r>
    </w:p>
    <w:p w:rsidR="007259F2" w:rsidRDefault="00E655B4">
      <w:pPr>
        <w:pStyle w:val="Corpodetexto"/>
        <w:ind w:right="988"/>
      </w:pPr>
      <w:r>
        <w:t>Ademais, é no Estatuto que é previsto o coeficiente de aproveitamento que consiste em estabelecer um patamar mínimo e máximo para a construção de um imóvel, ou seja, um instrumento que visa dar contornos ao poder de uso do bem de acordo com</w:t>
      </w:r>
      <w:r>
        <w:rPr>
          <w:spacing w:val="40"/>
        </w:rPr>
        <w:t xml:space="preserve"> </w:t>
      </w:r>
      <w:r>
        <w:t>o zoneamento previamente definido.</w:t>
      </w:r>
    </w:p>
    <w:p w:rsidR="007259F2" w:rsidRDefault="00E655B4">
      <w:pPr>
        <w:pStyle w:val="Corpodetexto"/>
        <w:ind w:right="995"/>
      </w:pPr>
      <w:r>
        <w:t xml:space="preserve">Por fim, institutos como a operação urbana consorciada e a outorga onerosa ao direito de construir, ambos avocam a participação de particulares para participarem das decisões no Município e concedem benefícios aos seus participantes a fim estimular maior uso dos bens e uma gestão democrática das decisões e ações urbanísticas no </w:t>
      </w:r>
      <w:r>
        <w:rPr>
          <w:spacing w:val="-2"/>
        </w:rPr>
        <w:t>Município.</w:t>
      </w:r>
    </w:p>
    <w:p w:rsidR="007259F2" w:rsidRDefault="00E655B4">
      <w:pPr>
        <w:pStyle w:val="Corpodetexto"/>
        <w:ind w:right="992"/>
      </w:pPr>
      <w:r>
        <w:t>Isso somente ilustra que a lei tem um escopo claro de regulamentar a função social que agora tem o mais relevante tratamento para que esse princípio tenha juridicidade adequada e promova a justa utilização do solo e todo espaço urbano como um todo.</w:t>
      </w:r>
    </w:p>
    <w:p w:rsidR="007259F2" w:rsidRDefault="00E655B4">
      <w:pPr>
        <w:pStyle w:val="Heading1"/>
        <w:spacing w:before="207"/>
      </w:pPr>
      <w:r>
        <w:rPr>
          <w:spacing w:val="-2"/>
        </w:rPr>
        <w:t>REFERÊNCIAS</w:t>
      </w:r>
    </w:p>
    <w:p w:rsidR="007259F2" w:rsidRDefault="00E655B4">
      <w:pPr>
        <w:spacing w:before="195"/>
        <w:ind w:left="710" w:right="990"/>
        <w:jc w:val="both"/>
        <w:rPr>
          <w:sz w:val="24"/>
        </w:rPr>
      </w:pPr>
      <w:r>
        <w:rPr>
          <w:sz w:val="24"/>
        </w:rPr>
        <w:t>APPARECIDO JUNIOR, Jose Antonio</w:t>
      </w:r>
      <w:r>
        <w:rPr>
          <w:b/>
          <w:sz w:val="24"/>
        </w:rPr>
        <w:t xml:space="preserve">. Métodos e soluções para viabilização jurídica de projetos urbanísticos: </w:t>
      </w:r>
      <w:r>
        <w:rPr>
          <w:sz w:val="24"/>
        </w:rPr>
        <w:t>papéis públicos e privados. 2017. Tese (Doutorado em Direito) -</w:t>
      </w:r>
      <w:r>
        <w:rPr>
          <w:spacing w:val="40"/>
          <w:sz w:val="24"/>
        </w:rPr>
        <w:t xml:space="preserve"> </w:t>
      </w:r>
      <w:r>
        <w:rPr>
          <w:sz w:val="24"/>
        </w:rPr>
        <w:t>Faculdade de Direito, Universidade de São Paulo, São Paulo, 2017.</w:t>
      </w:r>
    </w:p>
    <w:p w:rsidR="007259F2" w:rsidRDefault="00E655B4">
      <w:pPr>
        <w:pStyle w:val="Corpodetexto"/>
        <w:spacing w:before="120"/>
        <w:ind w:right="990" w:firstLine="0"/>
        <w:jc w:val="left"/>
      </w:pPr>
      <w:r>
        <w:rPr>
          <w:color w:val="202020"/>
        </w:rPr>
        <w:t>CARDOSO,</w:t>
      </w:r>
      <w:r>
        <w:rPr>
          <w:color w:val="202020"/>
          <w:spacing w:val="80"/>
        </w:rPr>
        <w:t xml:space="preserve"> </w:t>
      </w:r>
      <w:r>
        <w:rPr>
          <w:color w:val="202020"/>
        </w:rPr>
        <w:t>Fernanda</w:t>
      </w:r>
      <w:r>
        <w:rPr>
          <w:color w:val="202020"/>
          <w:spacing w:val="80"/>
        </w:rPr>
        <w:t xml:space="preserve"> </w:t>
      </w:r>
      <w:r>
        <w:rPr>
          <w:color w:val="202020"/>
        </w:rPr>
        <w:t>Lousada.</w:t>
      </w:r>
      <w:r>
        <w:rPr>
          <w:color w:val="202020"/>
          <w:spacing w:val="80"/>
        </w:rPr>
        <w:t xml:space="preserve"> </w:t>
      </w:r>
      <w:r>
        <w:rPr>
          <w:color w:val="202020"/>
        </w:rPr>
        <w:t>Propriedade</w:t>
      </w:r>
      <w:r>
        <w:rPr>
          <w:color w:val="202020"/>
          <w:spacing w:val="80"/>
        </w:rPr>
        <w:t xml:space="preserve"> </w:t>
      </w:r>
      <w:r>
        <w:rPr>
          <w:color w:val="202020"/>
        </w:rPr>
        <w:t>Urbana</w:t>
      </w:r>
      <w:r>
        <w:rPr>
          <w:color w:val="202020"/>
          <w:spacing w:val="80"/>
        </w:rPr>
        <w:t xml:space="preserve"> </w:t>
      </w:r>
      <w:r>
        <w:rPr>
          <w:color w:val="202020"/>
        </w:rPr>
        <w:t>no</w:t>
      </w:r>
      <w:r>
        <w:rPr>
          <w:color w:val="202020"/>
          <w:spacing w:val="80"/>
        </w:rPr>
        <w:t xml:space="preserve"> </w:t>
      </w:r>
      <w:r>
        <w:rPr>
          <w:color w:val="202020"/>
        </w:rPr>
        <w:t>Ordenamento</w:t>
      </w:r>
      <w:r>
        <w:rPr>
          <w:color w:val="202020"/>
          <w:spacing w:val="80"/>
        </w:rPr>
        <w:t xml:space="preserve"> </w:t>
      </w:r>
      <w:r>
        <w:rPr>
          <w:color w:val="202020"/>
        </w:rPr>
        <w:t xml:space="preserve">Brasileiro. </w:t>
      </w:r>
      <w:r>
        <w:rPr>
          <w:b/>
          <w:color w:val="202020"/>
        </w:rPr>
        <w:t>Revista de Direito Administrativo</w:t>
      </w:r>
      <w:r>
        <w:rPr>
          <w:color w:val="202020"/>
        </w:rPr>
        <w:t xml:space="preserve">, 247. Disponívelem </w:t>
      </w:r>
      <w:hyperlink r:id="rId55">
        <w:r>
          <w:t>https://doi.org/10.12660/rda.v247.2008.41549</w:t>
        </w:r>
      </w:hyperlink>
      <w:r>
        <w:t>. Acesso em 08 jan 2025.</w:t>
      </w:r>
    </w:p>
    <w:p w:rsidR="007259F2" w:rsidRDefault="00E655B4">
      <w:pPr>
        <w:pStyle w:val="Corpodetexto"/>
        <w:tabs>
          <w:tab w:val="left" w:pos="4543"/>
          <w:tab w:val="left" w:pos="8871"/>
        </w:tabs>
        <w:spacing w:before="120"/>
        <w:ind w:right="984" w:firstLine="0"/>
      </w:pPr>
      <w:r>
        <w:t>COELHO,</w:t>
      </w:r>
      <w:r>
        <w:rPr>
          <w:spacing w:val="40"/>
        </w:rPr>
        <w:t xml:space="preserve"> </w:t>
      </w:r>
      <w:r>
        <w:t>Fábio</w:t>
      </w:r>
      <w:r>
        <w:rPr>
          <w:spacing w:val="40"/>
        </w:rPr>
        <w:t xml:space="preserve"> </w:t>
      </w:r>
      <w:r>
        <w:t>Ulhoa.</w:t>
      </w:r>
      <w:r>
        <w:rPr>
          <w:spacing w:val="40"/>
        </w:rPr>
        <w:t xml:space="preserve"> </w:t>
      </w:r>
      <w:r>
        <w:rPr>
          <w:b/>
        </w:rPr>
        <w:t>Direito</w:t>
      </w:r>
      <w:r>
        <w:rPr>
          <w:b/>
          <w:spacing w:val="40"/>
        </w:rPr>
        <w:t xml:space="preserve"> </w:t>
      </w:r>
      <w:r>
        <w:rPr>
          <w:b/>
        </w:rPr>
        <w:t>civil</w:t>
      </w:r>
      <w:r>
        <w:t>.</w:t>
      </w:r>
      <w:r>
        <w:rPr>
          <w:spacing w:val="40"/>
        </w:rPr>
        <w:t xml:space="preserve"> </w:t>
      </w:r>
      <w:r>
        <w:t>1.</w:t>
      </w:r>
      <w:r>
        <w:rPr>
          <w:spacing w:val="40"/>
        </w:rPr>
        <w:t xml:space="preserve"> </w:t>
      </w:r>
      <w:r>
        <w:t>ed.</w:t>
      </w:r>
      <w:r>
        <w:rPr>
          <w:spacing w:val="40"/>
        </w:rPr>
        <w:t xml:space="preserve"> </w:t>
      </w:r>
      <w:r>
        <w:t>São</w:t>
      </w:r>
      <w:r>
        <w:rPr>
          <w:spacing w:val="40"/>
        </w:rPr>
        <w:t xml:space="preserve"> </w:t>
      </w:r>
      <w:r>
        <w:t>Paulo:</w:t>
      </w:r>
      <w:r>
        <w:rPr>
          <w:spacing w:val="40"/>
        </w:rPr>
        <w:t xml:space="preserve"> </w:t>
      </w:r>
      <w:r>
        <w:t>Thomson</w:t>
      </w:r>
      <w:r>
        <w:rPr>
          <w:spacing w:val="40"/>
        </w:rPr>
        <w:t xml:space="preserve"> </w:t>
      </w:r>
      <w:r>
        <w:t>Reuters</w:t>
      </w:r>
      <w:r>
        <w:rPr>
          <w:spacing w:val="40"/>
        </w:rPr>
        <w:t xml:space="preserve"> </w:t>
      </w:r>
      <w:r>
        <w:t xml:space="preserve">Brasil, </w:t>
      </w:r>
      <w:r>
        <w:rPr>
          <w:spacing w:val="-2"/>
        </w:rPr>
        <w:t>2022.</w:t>
      </w:r>
      <w:r>
        <w:tab/>
      </w:r>
      <w:r>
        <w:rPr>
          <w:spacing w:val="-2"/>
        </w:rPr>
        <w:t>Disponível</w:t>
      </w:r>
      <w:r>
        <w:tab/>
      </w:r>
      <w:r>
        <w:rPr>
          <w:spacing w:val="-6"/>
        </w:rPr>
        <w:t xml:space="preserve">em: </w:t>
      </w:r>
      <w:hyperlink r:id="rId56">
        <w:r>
          <w:rPr>
            <w:spacing w:val="-2"/>
          </w:rPr>
          <w:t>https://proview.thomsonreuters.com/launchapp/title/rt/monografias/282422094/v1/page/1</w:t>
        </w:r>
      </w:hyperlink>
      <w:r>
        <w:rPr>
          <w:spacing w:val="-2"/>
        </w:rPr>
        <w:t xml:space="preserve">. </w:t>
      </w:r>
      <w:r>
        <w:rPr>
          <w:i/>
        </w:rPr>
        <w:t>E-book</w:t>
      </w:r>
      <w:r>
        <w:t>. Acesso em: 10 jan. 2025.</w:t>
      </w:r>
    </w:p>
    <w:p w:rsidR="007259F2" w:rsidRDefault="007259F2">
      <w:pPr>
        <w:pStyle w:val="Corpodetexto"/>
        <w:sectPr w:rsidR="007259F2">
          <w:pgSz w:w="11910" w:h="16840"/>
          <w:pgMar w:top="1320" w:right="708" w:bottom="1160" w:left="992" w:header="0" w:footer="962" w:gutter="0"/>
          <w:cols w:space="720"/>
        </w:sectPr>
      </w:pPr>
    </w:p>
    <w:p w:rsidR="007259F2" w:rsidRDefault="00E655B4">
      <w:pPr>
        <w:pStyle w:val="Corpodetexto"/>
        <w:spacing w:before="69"/>
        <w:ind w:right="991" w:firstLine="0"/>
      </w:pPr>
      <w:r>
        <w:lastRenderedPageBreak/>
        <w:t>FRANCESCET, Júlio César; AGRIÃO, Renan Muriel; DIAS, Wagner Inácio</w:t>
      </w:r>
      <w:r>
        <w:rPr>
          <w:b/>
        </w:rPr>
        <w:t xml:space="preserve">. Direito Civil – </w:t>
      </w:r>
      <w:r>
        <w:t>Volume Único na Medida Certa para Concursos. 2. ed. São Paulo: Editora JusPodivm, 2024.</w:t>
      </w:r>
    </w:p>
    <w:p w:rsidR="007259F2" w:rsidRDefault="00E655B4">
      <w:pPr>
        <w:spacing w:before="121"/>
        <w:ind w:left="710" w:right="988"/>
        <w:jc w:val="both"/>
        <w:rPr>
          <w:sz w:val="24"/>
        </w:rPr>
      </w:pPr>
      <w:r>
        <w:rPr>
          <w:sz w:val="24"/>
        </w:rPr>
        <w:t xml:space="preserve">LEVIN, Alexandre. Autonomia do Direito Urbanístico e seus princípios fundamentais. </w:t>
      </w:r>
      <w:r>
        <w:rPr>
          <w:b/>
          <w:sz w:val="24"/>
        </w:rPr>
        <w:t>Revista Brasileira de Direito Urbanístico – RBDU</w:t>
      </w:r>
      <w:r>
        <w:rPr>
          <w:sz w:val="24"/>
        </w:rPr>
        <w:t>, Belo Horizonte, ano 2, n. 2, p. 9- 38, jan./jul. 2016.</w:t>
      </w:r>
    </w:p>
    <w:p w:rsidR="007259F2" w:rsidRDefault="00E655B4">
      <w:pPr>
        <w:pStyle w:val="Corpodetexto"/>
        <w:spacing w:before="120"/>
        <w:ind w:right="988" w:firstLine="0"/>
      </w:pPr>
      <w:r>
        <w:t>MARCO, Nathalia Leone. Função social da propriedade urbana e sua importância para</w:t>
      </w:r>
      <w:r>
        <w:rPr>
          <w:spacing w:val="40"/>
        </w:rPr>
        <w:t xml:space="preserve"> </w:t>
      </w:r>
      <w:r>
        <w:t xml:space="preserve">o desenho das políticas públicas de desenvolvimento urbano. </w:t>
      </w:r>
      <w:r>
        <w:rPr>
          <w:i/>
        </w:rPr>
        <w:t>In</w:t>
      </w:r>
      <w:r>
        <w:t>: FILHO, Gilberto Bernardino de Oliveira; MARCO, Nathalia Leone (Coord.)</w:t>
      </w:r>
      <w:r>
        <w:rPr>
          <w:spacing w:val="40"/>
        </w:rPr>
        <w:t xml:space="preserve"> </w:t>
      </w:r>
      <w:r>
        <w:rPr>
          <w:b/>
        </w:rPr>
        <w:t>A Boa Gestão Pública e o Novo Direito Administrativo</w:t>
      </w:r>
      <w:r>
        <w:t>: dos conflitos às melhores soluções práticas. 1. ed. São Paulo: SGP – Soluções em Gestão Pública, p. 429-445, 2021.</w:t>
      </w:r>
    </w:p>
    <w:p w:rsidR="007259F2" w:rsidRDefault="00E655B4">
      <w:pPr>
        <w:pStyle w:val="Corpodetexto"/>
        <w:spacing w:before="120"/>
        <w:ind w:right="987" w:firstLine="0"/>
        <w:jc w:val="left"/>
      </w:pPr>
      <w:r>
        <w:t>NERY, Rosa Maria de Andrade; JUNIOR, Nelson Nery</w:t>
      </w:r>
      <w:r>
        <w:rPr>
          <w:b/>
        </w:rPr>
        <w:t>. Instituição de direito civil</w:t>
      </w:r>
      <w:r>
        <w:t>:</w:t>
      </w:r>
      <w:r>
        <w:rPr>
          <w:spacing w:val="80"/>
          <w:w w:val="150"/>
        </w:rPr>
        <w:t xml:space="preserve"> </w:t>
      </w:r>
      <w:r>
        <w:t>volume</w:t>
      </w:r>
      <w:r>
        <w:rPr>
          <w:spacing w:val="70"/>
        </w:rPr>
        <w:t xml:space="preserve"> </w:t>
      </w:r>
      <w:r>
        <w:t>III:</w:t>
      </w:r>
      <w:r>
        <w:rPr>
          <w:spacing w:val="69"/>
        </w:rPr>
        <w:t xml:space="preserve"> </w:t>
      </w:r>
      <w:r>
        <w:t>direitos</w:t>
      </w:r>
      <w:r>
        <w:rPr>
          <w:spacing w:val="69"/>
        </w:rPr>
        <w:t xml:space="preserve"> </w:t>
      </w:r>
      <w:r>
        <w:t>patrimoniais,</w:t>
      </w:r>
      <w:r>
        <w:rPr>
          <w:spacing w:val="69"/>
        </w:rPr>
        <w:t xml:space="preserve"> </w:t>
      </w:r>
      <w:r>
        <w:t>reais</w:t>
      </w:r>
      <w:r>
        <w:rPr>
          <w:spacing w:val="69"/>
        </w:rPr>
        <w:t xml:space="preserve"> </w:t>
      </w:r>
      <w:r>
        <w:t>e</w:t>
      </w:r>
      <w:r>
        <w:rPr>
          <w:spacing w:val="67"/>
        </w:rPr>
        <w:t xml:space="preserve"> </w:t>
      </w:r>
      <w:r>
        <w:t>registrários.</w:t>
      </w:r>
      <w:r>
        <w:rPr>
          <w:spacing w:val="68"/>
        </w:rPr>
        <w:t xml:space="preserve"> </w:t>
      </w:r>
      <w:r>
        <w:t>3.</w:t>
      </w:r>
      <w:r>
        <w:rPr>
          <w:spacing w:val="68"/>
        </w:rPr>
        <w:t xml:space="preserve"> </w:t>
      </w:r>
      <w:r>
        <w:t>ed.</w:t>
      </w:r>
      <w:r>
        <w:rPr>
          <w:spacing w:val="68"/>
        </w:rPr>
        <w:t xml:space="preserve"> </w:t>
      </w:r>
      <w:r>
        <w:t>São</w:t>
      </w:r>
      <w:r>
        <w:rPr>
          <w:spacing w:val="68"/>
        </w:rPr>
        <w:t xml:space="preserve"> </w:t>
      </w:r>
      <w:r>
        <w:t>Paulo:</w:t>
      </w:r>
      <w:r>
        <w:rPr>
          <w:spacing w:val="69"/>
        </w:rPr>
        <w:t xml:space="preserve"> </w:t>
      </w:r>
      <w:r>
        <w:t xml:space="preserve">Thomson Reuters Brasil, 2022. Disponívelem: </w:t>
      </w:r>
      <w:r>
        <w:rPr>
          <w:spacing w:val="-2"/>
        </w:rPr>
        <w:t xml:space="preserve">https://proview.thomsonreuters.com/launchapp/title/rt/monografias/109742596/v3/page/R </w:t>
      </w:r>
      <w:r>
        <w:t xml:space="preserve">B-11.1. </w:t>
      </w:r>
      <w:r>
        <w:rPr>
          <w:i/>
        </w:rPr>
        <w:t>E-book</w:t>
      </w:r>
      <w:r>
        <w:t>.Acesso em: 10 jan. 2025.</w:t>
      </w:r>
    </w:p>
    <w:p w:rsidR="007259F2" w:rsidRDefault="00E655B4">
      <w:pPr>
        <w:spacing w:before="121"/>
        <w:ind w:left="710" w:right="993"/>
        <w:jc w:val="both"/>
        <w:rPr>
          <w:sz w:val="24"/>
        </w:rPr>
      </w:pPr>
      <w:r>
        <w:rPr>
          <w:sz w:val="24"/>
        </w:rPr>
        <w:t xml:space="preserve">SCHREIBER, Anderson. </w:t>
      </w:r>
      <w:r>
        <w:rPr>
          <w:b/>
          <w:sz w:val="24"/>
        </w:rPr>
        <w:t>Função social da propriedade na prática jurisprudencial brasileira</w:t>
      </w:r>
      <w:r>
        <w:rPr>
          <w:sz w:val="24"/>
        </w:rPr>
        <w:t xml:space="preserve">. 2001. p. 1-30. Disponível em: </w:t>
      </w:r>
      <w:hyperlink r:id="rId57">
        <w:r>
          <w:rPr>
            <w:sz w:val="24"/>
          </w:rPr>
          <w:t>https://schreiber.adv.br/downloads/funcao-</w:t>
        </w:r>
      </w:hyperlink>
      <w:r>
        <w:rPr>
          <w:sz w:val="24"/>
        </w:rPr>
        <w:t xml:space="preserve"> </w:t>
      </w:r>
      <w:hyperlink r:id="rId58">
        <w:r>
          <w:rPr>
            <w:sz w:val="24"/>
          </w:rPr>
          <w:t>social-</w:t>
        </w:r>
      </w:hyperlink>
      <w:r>
        <w:rPr>
          <w:sz w:val="24"/>
        </w:rPr>
        <w:t xml:space="preserve"> </w:t>
      </w:r>
      <w:hyperlink r:id="rId59">
        <w:r>
          <w:rPr>
            <w:sz w:val="24"/>
          </w:rPr>
          <w:t>da-propriedade-na-pratica-jurisprudencial-brasileira.pdf.</w:t>
        </w:r>
      </w:hyperlink>
      <w:r>
        <w:rPr>
          <w:sz w:val="24"/>
        </w:rPr>
        <w:t xml:space="preserve"> Acesso em: 9. jan.</w:t>
      </w:r>
      <w:r>
        <w:rPr>
          <w:spacing w:val="40"/>
          <w:sz w:val="24"/>
        </w:rPr>
        <w:t xml:space="preserve"> </w:t>
      </w:r>
      <w:r>
        <w:rPr>
          <w:spacing w:val="-4"/>
          <w:sz w:val="24"/>
        </w:rPr>
        <w:t>2025.</w:t>
      </w:r>
    </w:p>
    <w:p w:rsidR="007259F2" w:rsidRDefault="00E655B4">
      <w:pPr>
        <w:pStyle w:val="Corpodetexto"/>
        <w:spacing w:before="120"/>
        <w:ind w:firstLine="0"/>
      </w:pPr>
      <w:r>
        <w:t>VENOSA,</w:t>
      </w:r>
      <w:r>
        <w:rPr>
          <w:spacing w:val="-2"/>
        </w:rPr>
        <w:t xml:space="preserve"> </w:t>
      </w:r>
      <w:r>
        <w:t>Silvio de</w:t>
      </w:r>
      <w:r>
        <w:rPr>
          <w:spacing w:val="-5"/>
        </w:rPr>
        <w:t xml:space="preserve"> </w:t>
      </w:r>
      <w:r>
        <w:t xml:space="preserve">Salvo. </w:t>
      </w:r>
      <w:r>
        <w:rPr>
          <w:b/>
        </w:rPr>
        <w:t>Direito</w:t>
      </w:r>
      <w:r>
        <w:rPr>
          <w:b/>
          <w:spacing w:val="-2"/>
        </w:rPr>
        <w:t xml:space="preserve"> </w:t>
      </w:r>
      <w:r>
        <w:rPr>
          <w:b/>
        </w:rPr>
        <w:t>Civil</w:t>
      </w:r>
      <w:r>
        <w:t>.</w:t>
      </w:r>
      <w:r>
        <w:rPr>
          <w:spacing w:val="-1"/>
        </w:rPr>
        <w:t xml:space="preserve"> </w:t>
      </w:r>
      <w:r>
        <w:t>16.</w:t>
      </w:r>
      <w:r>
        <w:rPr>
          <w:spacing w:val="-1"/>
        </w:rPr>
        <w:t xml:space="preserve"> </w:t>
      </w:r>
      <w:r>
        <w:t>ed.</w:t>
      </w:r>
      <w:r>
        <w:rPr>
          <w:spacing w:val="2"/>
        </w:rPr>
        <w:t xml:space="preserve"> </w:t>
      </w:r>
      <w:r>
        <w:t>São</w:t>
      </w:r>
      <w:r>
        <w:rPr>
          <w:spacing w:val="-1"/>
        </w:rPr>
        <w:t xml:space="preserve"> </w:t>
      </w:r>
      <w:r>
        <w:t>Paulo: Atlas,</w:t>
      </w:r>
      <w:r>
        <w:rPr>
          <w:spacing w:val="-4"/>
        </w:rPr>
        <w:t xml:space="preserve"> </w:t>
      </w:r>
      <w:r>
        <w:t xml:space="preserve">v.5, </w:t>
      </w:r>
      <w:r>
        <w:rPr>
          <w:spacing w:val="-2"/>
        </w:rPr>
        <w:t>2016.</w:t>
      </w:r>
    </w:p>
    <w:p w:rsidR="007259F2" w:rsidRDefault="00E655B4">
      <w:pPr>
        <w:spacing w:before="120"/>
        <w:ind w:left="710" w:right="1136"/>
        <w:jc w:val="both"/>
        <w:rPr>
          <w:sz w:val="24"/>
        </w:rPr>
      </w:pPr>
      <w:r>
        <w:rPr>
          <w:color w:val="202020"/>
          <w:sz w:val="24"/>
        </w:rPr>
        <w:t xml:space="preserve">ZAGO, Lívia Maria Armentano Koenigstein. A função social da propriedade urbana. </w:t>
      </w:r>
      <w:r>
        <w:rPr>
          <w:b/>
          <w:color w:val="202020"/>
          <w:sz w:val="24"/>
        </w:rPr>
        <w:t>Revista Jurídica da Procuradoria Geral do Município</w:t>
      </w:r>
      <w:r>
        <w:rPr>
          <w:color w:val="202020"/>
          <w:sz w:val="24"/>
        </w:rPr>
        <w:t xml:space="preserve">, São Paulo, v. 4, p. 98-125, </w:t>
      </w:r>
      <w:r>
        <w:rPr>
          <w:color w:val="202020"/>
          <w:spacing w:val="-2"/>
          <w:sz w:val="24"/>
        </w:rPr>
        <w:t>2000.</w:t>
      </w:r>
    </w:p>
    <w:p w:rsidR="007259F2" w:rsidRDefault="007259F2">
      <w:pPr>
        <w:jc w:val="both"/>
        <w:rPr>
          <w:sz w:val="24"/>
        </w:rPr>
        <w:sectPr w:rsidR="007259F2">
          <w:pgSz w:w="11910" w:h="16840"/>
          <w:pgMar w:top="1320" w:right="708" w:bottom="1160" w:left="992" w:header="0" w:footer="962" w:gutter="0"/>
          <w:cols w:space="720"/>
        </w:sectPr>
      </w:pPr>
    </w:p>
    <w:p w:rsidR="007259F2" w:rsidRDefault="00E655B4">
      <w:pPr>
        <w:pStyle w:val="Heading2"/>
        <w:spacing w:before="74"/>
        <w:ind w:right="987"/>
      </w:pPr>
      <w:bookmarkStart w:id="6" w:name="_bookmark6"/>
      <w:bookmarkEnd w:id="6"/>
      <w:r>
        <w:lastRenderedPageBreak/>
        <w:t>Dispensa de licitação: A questão da emergência fabricada e a atuação dos Órgãos de Controle</w:t>
      </w:r>
      <w:r>
        <w:rPr>
          <w:spacing w:val="-4"/>
        </w:rPr>
        <w:t xml:space="preserve"> </w:t>
      </w:r>
      <w:r>
        <w:t>em</w:t>
      </w:r>
      <w:r>
        <w:rPr>
          <w:spacing w:val="-4"/>
        </w:rPr>
        <w:t xml:space="preserve"> </w:t>
      </w:r>
      <w:r>
        <w:t>relação</w:t>
      </w:r>
      <w:r>
        <w:rPr>
          <w:spacing w:val="-1"/>
        </w:rPr>
        <w:t xml:space="preserve"> </w:t>
      </w:r>
      <w:r>
        <w:t>às</w:t>
      </w:r>
      <w:r>
        <w:rPr>
          <w:spacing w:val="-1"/>
        </w:rPr>
        <w:t xml:space="preserve"> </w:t>
      </w:r>
      <w:r>
        <w:t>contratações</w:t>
      </w:r>
      <w:r>
        <w:rPr>
          <w:spacing w:val="-1"/>
        </w:rPr>
        <w:t xml:space="preserve"> </w:t>
      </w:r>
      <w:r>
        <w:t>emergenciais de</w:t>
      </w:r>
      <w:r>
        <w:rPr>
          <w:spacing w:val="-2"/>
        </w:rPr>
        <w:t xml:space="preserve"> </w:t>
      </w:r>
      <w:r>
        <w:t>obras</w:t>
      </w:r>
      <w:r>
        <w:rPr>
          <w:spacing w:val="-1"/>
        </w:rPr>
        <w:t xml:space="preserve"> </w:t>
      </w:r>
      <w:r>
        <w:t>do</w:t>
      </w:r>
      <w:r>
        <w:rPr>
          <w:spacing w:val="-4"/>
        </w:rPr>
        <w:t xml:space="preserve"> </w:t>
      </w:r>
      <w:r>
        <w:t>Município</w:t>
      </w:r>
      <w:r>
        <w:rPr>
          <w:spacing w:val="-2"/>
        </w:rPr>
        <w:t xml:space="preserve"> </w:t>
      </w:r>
      <w:r>
        <w:t>de</w:t>
      </w:r>
      <w:r>
        <w:rPr>
          <w:spacing w:val="-4"/>
        </w:rPr>
        <w:t xml:space="preserve"> </w:t>
      </w:r>
      <w:r>
        <w:t xml:space="preserve">São </w:t>
      </w:r>
      <w:r>
        <w:rPr>
          <w:spacing w:val="-2"/>
        </w:rPr>
        <w:t>Paulo</w:t>
      </w:r>
    </w:p>
    <w:p w:rsidR="007259F2" w:rsidRDefault="007259F2">
      <w:pPr>
        <w:pStyle w:val="Corpodetexto"/>
        <w:ind w:left="0" w:firstLine="0"/>
        <w:jc w:val="left"/>
        <w:rPr>
          <w:b/>
        </w:rPr>
      </w:pPr>
    </w:p>
    <w:p w:rsidR="007259F2" w:rsidRDefault="00E655B4">
      <w:pPr>
        <w:spacing w:before="1"/>
        <w:ind w:left="710" w:right="987"/>
        <w:jc w:val="both"/>
        <w:rPr>
          <w:b/>
          <w:sz w:val="24"/>
        </w:rPr>
      </w:pPr>
      <w:r>
        <w:rPr>
          <w:b/>
          <w:sz w:val="24"/>
        </w:rPr>
        <w:t>Waiver of Bidding Procedures: The issue of manufactured emergencies and the oversight role of Control Agencies in emergency procurement of public works in the Municipality of São Paulo</w:t>
      </w:r>
    </w:p>
    <w:p w:rsidR="007259F2" w:rsidRDefault="00E655B4">
      <w:pPr>
        <w:spacing w:before="204"/>
        <w:ind w:left="710"/>
        <w:jc w:val="both"/>
        <w:rPr>
          <w:b/>
          <w:sz w:val="24"/>
        </w:rPr>
      </w:pPr>
      <w:r>
        <w:rPr>
          <w:b/>
          <w:sz w:val="24"/>
        </w:rPr>
        <w:t>Beatriz</w:t>
      </w:r>
      <w:r>
        <w:rPr>
          <w:b/>
          <w:spacing w:val="-15"/>
          <w:sz w:val="24"/>
        </w:rPr>
        <w:t xml:space="preserve"> </w:t>
      </w:r>
      <w:r>
        <w:rPr>
          <w:b/>
          <w:sz w:val="24"/>
        </w:rPr>
        <w:t>Almeida</w:t>
      </w:r>
      <w:r>
        <w:rPr>
          <w:b/>
          <w:spacing w:val="-15"/>
          <w:sz w:val="24"/>
        </w:rPr>
        <w:t xml:space="preserve"> </w:t>
      </w:r>
      <w:r>
        <w:rPr>
          <w:b/>
          <w:spacing w:val="-2"/>
          <w:sz w:val="24"/>
        </w:rPr>
        <w:t>Silva</w:t>
      </w:r>
      <w:r>
        <w:rPr>
          <w:b/>
          <w:spacing w:val="-2"/>
          <w:sz w:val="24"/>
          <w:vertAlign w:val="superscript"/>
        </w:rPr>
        <w:t>1</w:t>
      </w:r>
    </w:p>
    <w:p w:rsidR="007259F2" w:rsidRDefault="007259F2">
      <w:pPr>
        <w:pStyle w:val="Corpodetexto"/>
        <w:spacing w:before="62"/>
        <w:ind w:left="0" w:firstLine="0"/>
        <w:jc w:val="left"/>
        <w:rPr>
          <w:b/>
        </w:rPr>
      </w:pPr>
    </w:p>
    <w:p w:rsidR="007259F2" w:rsidRDefault="00E655B4">
      <w:pPr>
        <w:pStyle w:val="Heading1"/>
      </w:pPr>
      <w:r>
        <w:rPr>
          <w:spacing w:val="-2"/>
        </w:rPr>
        <w:t>RESUMO</w:t>
      </w:r>
    </w:p>
    <w:p w:rsidR="007259F2" w:rsidRDefault="00E655B4">
      <w:pPr>
        <w:pStyle w:val="Corpodetexto"/>
        <w:spacing w:before="250"/>
        <w:ind w:right="989" w:firstLine="0"/>
      </w:pPr>
      <w:r>
        <w:t>O presente estudo, pretende abordar o tema “Dispensa de Licitação – A Questão da Emergência Fabricada e a Atuação dos Órgãos de Controle em relação às Contratações Emergenciais de Obras do Município de São Paulo” especialmente para tratar das hipóteses de dispensa de licitação previstas na legislação, bem como a chamada emergência fabricada, com ênfase nas contratações de serviços que envolvem obras do Município de São Paulo. Igualmente, o projeto abordará as tratativas adotadas pelos Órgãos de Controle quanto às contratações de obras por emergência, principalmente pelo</w:t>
      </w:r>
      <w:r>
        <w:rPr>
          <w:spacing w:val="-1"/>
        </w:rPr>
        <w:t xml:space="preserve"> </w:t>
      </w:r>
      <w:r>
        <w:t>estudo de</w:t>
      </w:r>
      <w:r>
        <w:rPr>
          <w:spacing w:val="-4"/>
        </w:rPr>
        <w:t xml:space="preserve"> </w:t>
      </w:r>
      <w:r>
        <w:t>caso</w:t>
      </w:r>
      <w:r>
        <w:rPr>
          <w:spacing w:val="-1"/>
        </w:rPr>
        <w:t xml:space="preserve"> </w:t>
      </w:r>
      <w:r>
        <w:t>concreto, a</w:t>
      </w:r>
      <w:r>
        <w:rPr>
          <w:spacing w:val="-4"/>
        </w:rPr>
        <w:t xml:space="preserve"> </w:t>
      </w:r>
      <w:r>
        <w:t>saber,</w:t>
      </w:r>
      <w:r>
        <w:rPr>
          <w:spacing w:val="-2"/>
        </w:rPr>
        <w:t xml:space="preserve"> </w:t>
      </w:r>
      <w:r>
        <w:t>o</w:t>
      </w:r>
      <w:r>
        <w:rPr>
          <w:spacing w:val="-1"/>
        </w:rPr>
        <w:t xml:space="preserve"> </w:t>
      </w:r>
      <w:r>
        <w:t>procedimento</w:t>
      </w:r>
      <w:r>
        <w:rPr>
          <w:spacing w:val="-6"/>
        </w:rPr>
        <w:t xml:space="preserve"> </w:t>
      </w:r>
      <w:r>
        <w:t>de</w:t>
      </w:r>
      <w:r>
        <w:rPr>
          <w:spacing w:val="-7"/>
        </w:rPr>
        <w:t xml:space="preserve"> </w:t>
      </w:r>
      <w:r>
        <w:t>auditoria</w:t>
      </w:r>
      <w:r>
        <w:rPr>
          <w:spacing w:val="-6"/>
        </w:rPr>
        <w:t xml:space="preserve"> </w:t>
      </w:r>
      <w:r>
        <w:t>extraplano</w:t>
      </w:r>
      <w:r>
        <w:rPr>
          <w:spacing w:val="-8"/>
        </w:rPr>
        <w:t xml:space="preserve"> </w:t>
      </w:r>
      <w:r>
        <w:t>instaurado pelo Tribunal de Contas do Município de São Paulo cujo número de identificação é TC 005781/2022. Considerando a importância da contratação emergencial de obras, os Órgãos de Controle têm admitido a execução de obras emergenciais, ainda que fundamentadas pela emergência fabricada, em atenção aos direitos e interesses</w:t>
      </w:r>
      <w:r>
        <w:rPr>
          <w:spacing w:val="40"/>
        </w:rPr>
        <w:t xml:space="preserve"> </w:t>
      </w:r>
      <w:r>
        <w:t>coletivos. Ocorre que, por consequência, há a aplicação de penalidades e sanções àqueles que atuaram nas contratações e concorreram para as irregularidades.</w:t>
      </w:r>
    </w:p>
    <w:p w:rsidR="007259F2" w:rsidRDefault="00E655B4">
      <w:pPr>
        <w:spacing w:before="123"/>
        <w:ind w:left="710"/>
        <w:jc w:val="both"/>
        <w:rPr>
          <w:sz w:val="24"/>
        </w:rPr>
      </w:pPr>
      <w:r>
        <w:rPr>
          <w:b/>
          <w:spacing w:val="-2"/>
          <w:sz w:val="24"/>
        </w:rPr>
        <w:t>Palavras-chave:</w:t>
      </w:r>
      <w:r>
        <w:rPr>
          <w:b/>
          <w:spacing w:val="-1"/>
          <w:sz w:val="24"/>
        </w:rPr>
        <w:t xml:space="preserve"> </w:t>
      </w:r>
      <w:r>
        <w:rPr>
          <w:spacing w:val="-2"/>
          <w:sz w:val="24"/>
        </w:rPr>
        <w:t>contratação;</w:t>
      </w:r>
      <w:r>
        <w:rPr>
          <w:spacing w:val="-1"/>
          <w:sz w:val="24"/>
        </w:rPr>
        <w:t xml:space="preserve"> </w:t>
      </w:r>
      <w:r>
        <w:rPr>
          <w:spacing w:val="-2"/>
          <w:sz w:val="24"/>
        </w:rPr>
        <w:t>emergência;</w:t>
      </w:r>
      <w:r>
        <w:rPr>
          <w:sz w:val="24"/>
        </w:rPr>
        <w:t xml:space="preserve"> </w:t>
      </w:r>
      <w:r>
        <w:rPr>
          <w:spacing w:val="-2"/>
          <w:sz w:val="24"/>
        </w:rPr>
        <w:t>fabricada.</w:t>
      </w:r>
    </w:p>
    <w:p w:rsidR="007259F2" w:rsidRDefault="007259F2">
      <w:pPr>
        <w:pStyle w:val="Corpodetexto"/>
        <w:spacing w:before="166"/>
        <w:ind w:left="0" w:firstLine="0"/>
        <w:jc w:val="left"/>
      </w:pPr>
    </w:p>
    <w:p w:rsidR="007259F2" w:rsidRDefault="00E655B4">
      <w:pPr>
        <w:pStyle w:val="Heading1"/>
      </w:pPr>
      <w:r>
        <w:rPr>
          <w:spacing w:val="-2"/>
        </w:rPr>
        <w:t>ABSTRACT</w:t>
      </w:r>
    </w:p>
    <w:p w:rsidR="007259F2" w:rsidRDefault="00E655B4">
      <w:pPr>
        <w:pStyle w:val="Corpodetexto"/>
        <w:spacing w:before="235"/>
        <w:ind w:right="990" w:firstLine="0"/>
      </w:pPr>
      <w:r>
        <w:t>The purpose of this study is to address the topic “Waiver of Bidding Procedures: The issue of manufactured emergencies and the oversight role of Control Agencies in emergency procurement of public works in the Municipality of São Paulo”, especially</w:t>
      </w:r>
      <w:r>
        <w:rPr>
          <w:spacing w:val="40"/>
        </w:rPr>
        <w:t xml:space="preserve"> </w:t>
      </w:r>
      <w:r>
        <w:t>to deal with the hypotheses of waiver of bidding provided for in the legislation, as well as the so-called manufactured emergency, with emphasis on the contracting of construction work in the Municipality of São Paulo. Likewise, the project will address the</w:t>
      </w:r>
      <w:r>
        <w:rPr>
          <w:spacing w:val="-4"/>
        </w:rPr>
        <w:t xml:space="preserve"> </w:t>
      </w:r>
      <w:r>
        <w:t>procedures</w:t>
      </w:r>
      <w:r>
        <w:rPr>
          <w:spacing w:val="-1"/>
        </w:rPr>
        <w:t xml:space="preserve"> </w:t>
      </w:r>
      <w:r>
        <w:t>adopted</w:t>
      </w:r>
      <w:r>
        <w:rPr>
          <w:spacing w:val="-3"/>
        </w:rPr>
        <w:t xml:space="preserve"> </w:t>
      </w:r>
      <w:r>
        <w:t>by</w:t>
      </w:r>
      <w:r>
        <w:rPr>
          <w:spacing w:val="-6"/>
        </w:rPr>
        <w:t xml:space="preserve"> </w:t>
      </w:r>
      <w:r>
        <w:t>the</w:t>
      </w:r>
      <w:r>
        <w:rPr>
          <w:spacing w:val="-4"/>
        </w:rPr>
        <w:t xml:space="preserve"> </w:t>
      </w:r>
      <w:r>
        <w:t>Control</w:t>
      </w:r>
      <w:r>
        <w:rPr>
          <w:spacing w:val="-3"/>
        </w:rPr>
        <w:t xml:space="preserve"> </w:t>
      </w:r>
      <w:r>
        <w:t>Agencies with</w:t>
      </w:r>
      <w:r>
        <w:rPr>
          <w:spacing w:val="-3"/>
        </w:rPr>
        <w:t xml:space="preserve"> </w:t>
      </w:r>
      <w:r>
        <w:t>regard to the emergency</w:t>
      </w:r>
      <w:r>
        <w:rPr>
          <w:spacing w:val="-1"/>
        </w:rPr>
        <w:t xml:space="preserve"> </w:t>
      </w:r>
      <w:r>
        <w:t>contracts, mainly through the study of a specific case, namely the extra- planned procedure initiated by</w:t>
      </w:r>
      <w:r>
        <w:rPr>
          <w:spacing w:val="-3"/>
        </w:rPr>
        <w:t xml:space="preserve"> </w:t>
      </w:r>
      <w:r>
        <w:t>the Court of Auditors of the Municipality</w:t>
      </w:r>
      <w:r>
        <w:rPr>
          <w:spacing w:val="-3"/>
        </w:rPr>
        <w:t xml:space="preserve"> </w:t>
      </w:r>
      <w:r>
        <w:t>of São Paulo whose identification number is TC 005781/2022.</w:t>
      </w:r>
      <w:r>
        <w:rPr>
          <w:spacing w:val="40"/>
        </w:rPr>
        <w:t xml:space="preserve"> </w:t>
      </w:r>
      <w:r>
        <w:t>Considering the importance of emergency works contracting, the Control Agencies have admitted the execution of emergency contracts, even if based on the manufactured emergency, in attention to collective rights and interests. Consequently, penalties and sanctions are applied to those who acted in the contracting and contributed to the irregularities.</w:t>
      </w:r>
    </w:p>
    <w:p w:rsidR="007259F2" w:rsidRDefault="00E655B4">
      <w:pPr>
        <w:pStyle w:val="Corpodetexto"/>
        <w:spacing w:before="121"/>
        <w:ind w:firstLine="0"/>
      </w:pPr>
      <w:r>
        <w:rPr>
          <w:b/>
          <w:spacing w:val="-2"/>
        </w:rPr>
        <w:t>Keywords</w:t>
      </w:r>
      <w:r>
        <w:rPr>
          <w:spacing w:val="-2"/>
        </w:rPr>
        <w:t>:</w:t>
      </w:r>
      <w:r>
        <w:rPr>
          <w:spacing w:val="-6"/>
        </w:rPr>
        <w:t xml:space="preserve"> </w:t>
      </w:r>
      <w:r>
        <w:rPr>
          <w:spacing w:val="-2"/>
        </w:rPr>
        <w:t>contracting;</w:t>
      </w:r>
      <w:r>
        <w:rPr>
          <w:spacing w:val="-3"/>
        </w:rPr>
        <w:t xml:space="preserve"> </w:t>
      </w:r>
      <w:r>
        <w:rPr>
          <w:spacing w:val="-2"/>
        </w:rPr>
        <w:t>emergency;</w:t>
      </w:r>
      <w:r>
        <w:rPr>
          <w:spacing w:val="-3"/>
        </w:rPr>
        <w:t xml:space="preserve"> </w:t>
      </w:r>
      <w:r>
        <w:rPr>
          <w:spacing w:val="-2"/>
        </w:rPr>
        <w:t>manufactured.</w:t>
      </w:r>
    </w:p>
    <w:p w:rsidR="007259F2" w:rsidRDefault="00DE6B1C">
      <w:pPr>
        <w:pStyle w:val="Corpodetexto"/>
        <w:spacing w:before="196"/>
        <w:ind w:left="0" w:firstLine="0"/>
        <w:jc w:val="left"/>
        <w:rPr>
          <w:sz w:val="20"/>
        </w:rPr>
      </w:pPr>
      <w:r w:rsidRPr="00DE6B1C">
        <w:rPr>
          <w:sz w:val="20"/>
        </w:rPr>
        <w:pict>
          <v:rect id="docshape39" o:spid="_x0000_s1187" style="position:absolute;margin-left:85.1pt;margin-top:22.5pt;width:2in;height:.7pt;z-index:-15716864;mso-wrap-distance-left:0;mso-wrap-distance-right:0;mso-position-horizontal-relative:page" fillcolor="black" stroked="f">
            <w10:wrap type="topAndBottom" anchorx="page"/>
          </v:rect>
        </w:pict>
      </w:r>
    </w:p>
    <w:p w:rsidR="007259F2" w:rsidRDefault="00E655B4">
      <w:pPr>
        <w:spacing w:before="97"/>
        <w:ind w:left="710" w:right="989"/>
        <w:jc w:val="both"/>
        <w:rPr>
          <w:sz w:val="20"/>
        </w:rPr>
      </w:pPr>
      <w:r>
        <w:rPr>
          <w:sz w:val="20"/>
          <w:vertAlign w:val="superscript"/>
        </w:rPr>
        <w:t>1</w:t>
      </w:r>
      <w:r>
        <w:rPr>
          <w:sz w:val="20"/>
        </w:rPr>
        <w:t xml:space="preserve"> Residente Jurídica do Programa de Residência Jurídica da Procuradoria Geral do Município de São Paulo, alocada na Secretaria Municipal de Infraestrutura Urbana e Obras - SIURB (2022-2025). E-mail: </w:t>
      </w:r>
      <w:hyperlink r:id="rId60">
        <w:r>
          <w:rPr>
            <w:spacing w:val="-2"/>
            <w:sz w:val="20"/>
          </w:rPr>
          <w:t>beatriz000347@gmail.com</w:t>
        </w:r>
      </w:hyperlink>
    </w:p>
    <w:p w:rsidR="007259F2" w:rsidRDefault="007259F2">
      <w:pPr>
        <w:jc w:val="both"/>
        <w:rPr>
          <w:sz w:val="20"/>
        </w:rPr>
        <w:sectPr w:rsidR="007259F2">
          <w:pgSz w:w="11910" w:h="16840"/>
          <w:pgMar w:top="1320" w:right="708" w:bottom="1160" w:left="992" w:header="0" w:footer="962" w:gutter="0"/>
          <w:cols w:space="720"/>
        </w:sectPr>
      </w:pPr>
    </w:p>
    <w:p w:rsidR="007259F2" w:rsidRDefault="00E655B4">
      <w:pPr>
        <w:pStyle w:val="Heading2"/>
        <w:numPr>
          <w:ilvl w:val="0"/>
          <w:numId w:val="41"/>
        </w:numPr>
        <w:tabs>
          <w:tab w:val="left" w:pos="942"/>
        </w:tabs>
        <w:spacing w:before="77"/>
        <w:ind w:hanging="232"/>
        <w:jc w:val="left"/>
      </w:pPr>
      <w:r>
        <w:rPr>
          <w:spacing w:val="-2"/>
        </w:rPr>
        <w:lastRenderedPageBreak/>
        <w:t>Introdução</w:t>
      </w:r>
    </w:p>
    <w:p w:rsidR="007259F2" w:rsidRDefault="00E655B4">
      <w:pPr>
        <w:pStyle w:val="Corpodetexto"/>
        <w:spacing w:before="156"/>
        <w:ind w:right="990"/>
      </w:pPr>
      <w:r>
        <w:t>A</w:t>
      </w:r>
      <w:r>
        <w:rPr>
          <w:spacing w:val="-6"/>
        </w:rPr>
        <w:t xml:space="preserve"> </w:t>
      </w:r>
      <w:r>
        <w:t xml:space="preserve">Lei de Licitações e Contratos prevê, como exceção à regra da obrigatoriedade da licitação, as hipóteses de contratação direta por dispensa, que permitem a Administração Pública, no uso da discricionariedade, optar por realizar a licitação ou </w:t>
      </w:r>
      <w:r>
        <w:rPr>
          <w:spacing w:val="-4"/>
        </w:rPr>
        <w:t>não.</w:t>
      </w:r>
    </w:p>
    <w:p w:rsidR="007259F2" w:rsidRDefault="00E655B4">
      <w:pPr>
        <w:pStyle w:val="Corpodetexto"/>
        <w:ind w:right="989"/>
      </w:pPr>
      <w:r>
        <w:t>Inclusive, dentre as hipóteses previstas na legislação, existe a contratação direta por dispensa para os casos de emergência ou de calamidade pública, que tem se mostrado extremamente importante em situações de urgência, em que há graves riscos de danos aos cidadãos, bem como aos bens e equipamentos municipais.</w:t>
      </w:r>
    </w:p>
    <w:p w:rsidR="007259F2" w:rsidRDefault="00E655B4">
      <w:pPr>
        <w:pStyle w:val="Corpodetexto"/>
        <w:ind w:left="849" w:right="1139"/>
      </w:pPr>
      <w:r>
        <w:t>Vale ressaltar que, a Prefeitura de São Paulo, por meio da Secretaria Municipal de Infraestrutura Urbana e Obras, tem feito uso das dispensas emergenciais, para</w:t>
      </w:r>
      <w:r>
        <w:rPr>
          <w:spacing w:val="-2"/>
        </w:rPr>
        <w:t xml:space="preserve"> </w:t>
      </w:r>
      <w:r>
        <w:t>as contratações de</w:t>
      </w:r>
      <w:r>
        <w:rPr>
          <w:spacing w:val="-10"/>
        </w:rPr>
        <w:t xml:space="preserve"> </w:t>
      </w:r>
      <w:r>
        <w:t>obras</w:t>
      </w:r>
      <w:r>
        <w:rPr>
          <w:spacing w:val="-9"/>
        </w:rPr>
        <w:t xml:space="preserve"> </w:t>
      </w:r>
      <w:r>
        <w:t>que</w:t>
      </w:r>
      <w:r>
        <w:rPr>
          <w:spacing w:val="-12"/>
        </w:rPr>
        <w:t xml:space="preserve"> </w:t>
      </w:r>
      <w:r>
        <w:t>incluem,</w:t>
      </w:r>
      <w:r>
        <w:rPr>
          <w:spacing w:val="-11"/>
        </w:rPr>
        <w:t xml:space="preserve"> </w:t>
      </w:r>
      <w:r>
        <w:t>principalmente,</w:t>
      </w:r>
      <w:r>
        <w:rPr>
          <w:spacing w:val="-9"/>
        </w:rPr>
        <w:t xml:space="preserve"> </w:t>
      </w:r>
      <w:r>
        <w:t>a</w:t>
      </w:r>
      <w:r>
        <w:rPr>
          <w:spacing w:val="-13"/>
        </w:rPr>
        <w:t xml:space="preserve"> </w:t>
      </w:r>
      <w:r>
        <w:t xml:space="preserve">contenção de talude, contenção de margem de córrego, recuperação estrutural de obras de arte especiais, recuperação de galeria de águas pluviais e recuperação estrutural de </w:t>
      </w:r>
      <w:r>
        <w:rPr>
          <w:spacing w:val="-2"/>
        </w:rPr>
        <w:t>cobertura.</w:t>
      </w:r>
    </w:p>
    <w:p w:rsidR="007259F2" w:rsidRDefault="00E655B4">
      <w:pPr>
        <w:pStyle w:val="Corpodetexto"/>
        <w:spacing w:before="1"/>
        <w:ind w:left="849" w:right="1137"/>
      </w:pPr>
      <w:r>
        <w:t>Ocorre que, conforme estudo</w:t>
      </w:r>
      <w:r>
        <w:rPr>
          <w:vertAlign w:val="superscript"/>
        </w:rPr>
        <w:t>2</w:t>
      </w:r>
      <w:r>
        <w:t xml:space="preserve"> liderado pelo Tribunal de Contas do Município de São Paulo, que é objeto deste artigo, o valor total equivalente às contratações emergenciais passou de R$ 80 milhões para R$ 2,06 bilhões em 2022, o que representa um crescimento de 2,475%</w:t>
      </w:r>
      <w:hyperlink w:anchor="_bookmark4" w:history="1">
        <w:r>
          <w:t>.</w:t>
        </w:r>
      </w:hyperlink>
      <w:r>
        <w:rPr>
          <w:vertAlign w:val="superscript"/>
        </w:rPr>
        <w:t>3</w:t>
      </w:r>
    </w:p>
    <w:p w:rsidR="007259F2" w:rsidRDefault="00E655B4">
      <w:pPr>
        <w:pStyle w:val="Corpodetexto"/>
        <w:ind w:left="849" w:right="1138"/>
      </w:pPr>
      <w:r>
        <w:t>Diante disso, considerando que houve um aumento expressivo dos valores gastos com as contratações emergenciais, os Órgãos de Controle, especialmente o Tribunal de Contas e a Controladoria Geral do Município, passaram a analisar os processos e encontrar irregularidades importantes que podem invalidar as avenças e gerar a aplicação de penalidades aos agentes públicos.</w:t>
      </w:r>
    </w:p>
    <w:p w:rsidR="007259F2" w:rsidRDefault="00E655B4">
      <w:pPr>
        <w:pStyle w:val="Corpodetexto"/>
        <w:ind w:left="849" w:right="1136" w:firstLine="765"/>
      </w:pPr>
      <w:r>
        <w:t>A partir disso que surge o estudo da chamada emergência fabricada, que é considerada uma irregularidade na contratação por dispensa, por ser caracterizada quando a Administração, agindo em desídia ou negligência, deixa de tomar as providências necessárias para promover procedimento licitatório regular.</w:t>
      </w:r>
    </w:p>
    <w:p w:rsidR="007259F2" w:rsidRDefault="00E655B4">
      <w:pPr>
        <w:pStyle w:val="Corpodetexto"/>
        <w:tabs>
          <w:tab w:val="left" w:pos="1403"/>
          <w:tab w:val="left" w:pos="2974"/>
          <w:tab w:val="left" w:pos="3396"/>
          <w:tab w:val="left" w:pos="5054"/>
          <w:tab w:val="left" w:pos="6419"/>
          <w:tab w:val="left" w:pos="6973"/>
          <w:tab w:val="left" w:pos="8127"/>
        </w:tabs>
        <w:ind w:left="849" w:right="1135"/>
        <w:jc w:val="right"/>
      </w:pPr>
      <w:r>
        <w:t>Nesse sentido, quando há a emergência fabricada, apesar de</w:t>
      </w:r>
      <w:r>
        <w:rPr>
          <w:spacing w:val="28"/>
        </w:rPr>
        <w:t xml:space="preserve"> </w:t>
      </w:r>
      <w:r>
        <w:t>muitas vezes a</w:t>
      </w:r>
      <w:r>
        <w:rPr>
          <w:spacing w:val="80"/>
        </w:rPr>
        <w:t xml:space="preserve"> </w:t>
      </w:r>
      <w:r>
        <w:t>urgência estar</w:t>
      </w:r>
      <w:r>
        <w:rPr>
          <w:spacing w:val="-6"/>
        </w:rPr>
        <w:t xml:space="preserve"> </w:t>
      </w:r>
      <w:r>
        <w:t>caracterizada,</w:t>
      </w:r>
      <w:r>
        <w:rPr>
          <w:spacing w:val="-4"/>
        </w:rPr>
        <w:t xml:space="preserve"> </w:t>
      </w:r>
      <w:r>
        <w:t>o</w:t>
      </w:r>
      <w:r>
        <w:rPr>
          <w:spacing w:val="-2"/>
        </w:rPr>
        <w:t xml:space="preserve"> </w:t>
      </w:r>
      <w:r>
        <w:t>elemento</w:t>
      </w:r>
      <w:r>
        <w:rPr>
          <w:spacing w:val="-5"/>
        </w:rPr>
        <w:t xml:space="preserve"> </w:t>
      </w:r>
      <w:r>
        <w:t>de</w:t>
      </w:r>
      <w:r>
        <w:rPr>
          <w:spacing w:val="-4"/>
        </w:rPr>
        <w:t xml:space="preserve"> </w:t>
      </w:r>
      <w:r>
        <w:t>imprevisibilidade não</w:t>
      </w:r>
      <w:r>
        <w:rPr>
          <w:spacing w:val="-6"/>
        </w:rPr>
        <w:t xml:space="preserve"> </w:t>
      </w:r>
      <w:r>
        <w:t>está</w:t>
      </w:r>
      <w:r>
        <w:rPr>
          <w:spacing w:val="-4"/>
        </w:rPr>
        <w:t xml:space="preserve"> </w:t>
      </w:r>
      <w:r>
        <w:t>presente,</w:t>
      </w:r>
      <w:r>
        <w:rPr>
          <w:spacing w:val="-2"/>
        </w:rPr>
        <w:t xml:space="preserve"> </w:t>
      </w:r>
      <w:r>
        <w:t>o</w:t>
      </w:r>
      <w:r>
        <w:rPr>
          <w:spacing w:val="-6"/>
        </w:rPr>
        <w:t xml:space="preserve"> </w:t>
      </w:r>
      <w:r>
        <w:t>que viola</w:t>
      </w:r>
      <w:r>
        <w:rPr>
          <w:spacing w:val="-14"/>
        </w:rPr>
        <w:t xml:space="preserve"> </w:t>
      </w:r>
      <w:r>
        <w:t>a</w:t>
      </w:r>
      <w:r>
        <w:rPr>
          <w:spacing w:val="-10"/>
        </w:rPr>
        <w:t xml:space="preserve"> </w:t>
      </w:r>
      <w:r>
        <w:t>legislação,</w:t>
      </w:r>
      <w:r>
        <w:rPr>
          <w:spacing w:val="-1"/>
        </w:rPr>
        <w:t xml:space="preserve"> </w:t>
      </w:r>
      <w:r>
        <w:t>os</w:t>
      </w:r>
      <w:r>
        <w:rPr>
          <w:spacing w:val="-1"/>
        </w:rPr>
        <w:t xml:space="preserve"> </w:t>
      </w:r>
      <w:r>
        <w:t>princípios</w:t>
      </w:r>
      <w:r>
        <w:rPr>
          <w:spacing w:val="-1"/>
        </w:rPr>
        <w:t xml:space="preserve"> </w:t>
      </w:r>
      <w:r>
        <w:t>administrativos</w:t>
      </w:r>
      <w:r>
        <w:rPr>
          <w:spacing w:val="-1"/>
        </w:rPr>
        <w:t xml:space="preserve"> </w:t>
      </w:r>
      <w:r>
        <w:t>e</w:t>
      </w:r>
      <w:r>
        <w:rPr>
          <w:spacing w:val="-2"/>
        </w:rPr>
        <w:t xml:space="preserve"> </w:t>
      </w:r>
      <w:r>
        <w:t>vai</w:t>
      </w:r>
      <w:r>
        <w:rPr>
          <w:spacing w:val="-1"/>
        </w:rPr>
        <w:t xml:space="preserve"> </w:t>
      </w:r>
      <w:r>
        <w:t>contra</w:t>
      </w:r>
      <w:r>
        <w:rPr>
          <w:spacing w:val="-2"/>
        </w:rPr>
        <w:t xml:space="preserve"> </w:t>
      </w:r>
      <w:r>
        <w:t>a</w:t>
      </w:r>
      <w:r>
        <w:rPr>
          <w:spacing w:val="-2"/>
        </w:rPr>
        <w:t xml:space="preserve"> </w:t>
      </w:r>
      <w:r>
        <w:t>jurisprudência</w:t>
      </w:r>
      <w:r>
        <w:rPr>
          <w:spacing w:val="-2"/>
        </w:rPr>
        <w:t xml:space="preserve"> </w:t>
      </w:r>
      <w:r>
        <w:t xml:space="preserve">pacífica. </w:t>
      </w:r>
      <w:r>
        <w:rPr>
          <w:spacing w:val="-4"/>
        </w:rPr>
        <w:t>Por</w:t>
      </w:r>
      <w:r>
        <w:tab/>
      </w:r>
      <w:r>
        <w:rPr>
          <w:spacing w:val="-2"/>
        </w:rPr>
        <w:t>consequência,</w:t>
      </w:r>
      <w:r>
        <w:tab/>
      </w:r>
      <w:r>
        <w:rPr>
          <w:spacing w:val="-6"/>
        </w:rPr>
        <w:t>as</w:t>
      </w:r>
      <w:r>
        <w:tab/>
      </w:r>
      <w:r>
        <w:rPr>
          <w:spacing w:val="-2"/>
        </w:rPr>
        <w:t>irregularidades</w:t>
      </w:r>
      <w:r>
        <w:tab/>
      </w:r>
      <w:r>
        <w:rPr>
          <w:spacing w:val="-2"/>
        </w:rPr>
        <w:t>encontradas</w:t>
      </w:r>
      <w:r>
        <w:tab/>
      </w:r>
      <w:r>
        <w:rPr>
          <w:spacing w:val="-4"/>
        </w:rPr>
        <w:t>nos</w:t>
      </w:r>
      <w:r>
        <w:tab/>
      </w:r>
      <w:r>
        <w:rPr>
          <w:spacing w:val="-2"/>
        </w:rPr>
        <w:t>processos</w:t>
      </w:r>
      <w:r>
        <w:tab/>
      </w:r>
      <w:r>
        <w:rPr>
          <w:spacing w:val="-6"/>
        </w:rPr>
        <w:t xml:space="preserve">de </w:t>
      </w:r>
      <w:r>
        <w:t>contratação direta por dispensa emergencial trazem muitos prejuízos para a própria</w:t>
      </w:r>
      <w:r>
        <w:rPr>
          <w:spacing w:val="40"/>
        </w:rPr>
        <w:t xml:space="preserve"> </w:t>
      </w:r>
      <w:r>
        <w:t>Administração,</w:t>
      </w:r>
      <w:r>
        <w:rPr>
          <w:spacing w:val="25"/>
        </w:rPr>
        <w:t xml:space="preserve"> </w:t>
      </w:r>
      <w:r>
        <w:t>por meio</w:t>
      </w:r>
      <w:r>
        <w:rPr>
          <w:spacing w:val="27"/>
        </w:rPr>
        <w:t xml:space="preserve"> </w:t>
      </w:r>
      <w:r>
        <w:t>da invalidação</w:t>
      </w:r>
      <w:r>
        <w:rPr>
          <w:spacing w:val="25"/>
        </w:rPr>
        <w:t xml:space="preserve"> </w:t>
      </w:r>
      <w:r>
        <w:t>de seus</w:t>
      </w:r>
      <w:r>
        <w:rPr>
          <w:spacing w:val="28"/>
        </w:rPr>
        <w:t xml:space="preserve"> </w:t>
      </w:r>
      <w:r>
        <w:t>contratos,</w:t>
      </w:r>
      <w:r>
        <w:rPr>
          <w:spacing w:val="26"/>
        </w:rPr>
        <w:t xml:space="preserve"> </w:t>
      </w:r>
      <w:r>
        <w:t>bem</w:t>
      </w:r>
      <w:r>
        <w:rPr>
          <w:spacing w:val="26"/>
        </w:rPr>
        <w:t xml:space="preserve"> </w:t>
      </w:r>
      <w:r>
        <w:t>como</w:t>
      </w:r>
      <w:r>
        <w:rPr>
          <w:spacing w:val="26"/>
        </w:rPr>
        <w:t xml:space="preserve"> </w:t>
      </w:r>
      <w:r>
        <w:t>por meio</w:t>
      </w:r>
      <w:r>
        <w:rPr>
          <w:spacing w:val="25"/>
        </w:rPr>
        <w:t xml:space="preserve"> </w:t>
      </w:r>
      <w:r>
        <w:t>da aplicação</w:t>
      </w:r>
      <w:r>
        <w:rPr>
          <w:spacing w:val="10"/>
        </w:rPr>
        <w:t xml:space="preserve"> </w:t>
      </w:r>
      <w:r>
        <w:t>de</w:t>
      </w:r>
      <w:r>
        <w:rPr>
          <w:spacing w:val="12"/>
        </w:rPr>
        <w:t xml:space="preserve"> </w:t>
      </w:r>
      <w:r>
        <w:t>sanções</w:t>
      </w:r>
      <w:r>
        <w:rPr>
          <w:spacing w:val="15"/>
        </w:rPr>
        <w:t xml:space="preserve"> </w:t>
      </w:r>
      <w:r>
        <w:t>e</w:t>
      </w:r>
      <w:r>
        <w:rPr>
          <w:spacing w:val="12"/>
        </w:rPr>
        <w:t xml:space="preserve"> </w:t>
      </w:r>
      <w:r>
        <w:t>penalidades</w:t>
      </w:r>
      <w:r>
        <w:rPr>
          <w:spacing w:val="15"/>
        </w:rPr>
        <w:t xml:space="preserve"> </w:t>
      </w:r>
      <w:r>
        <w:t>em</w:t>
      </w:r>
      <w:r>
        <w:rPr>
          <w:spacing w:val="12"/>
        </w:rPr>
        <w:t xml:space="preserve"> </w:t>
      </w:r>
      <w:r>
        <w:t>face</w:t>
      </w:r>
      <w:r>
        <w:rPr>
          <w:spacing w:val="12"/>
        </w:rPr>
        <w:t xml:space="preserve"> </w:t>
      </w:r>
      <w:r>
        <w:t>dos</w:t>
      </w:r>
      <w:r>
        <w:rPr>
          <w:spacing w:val="13"/>
        </w:rPr>
        <w:t xml:space="preserve"> </w:t>
      </w:r>
      <w:r>
        <w:t>agentes</w:t>
      </w:r>
      <w:r>
        <w:rPr>
          <w:spacing w:val="13"/>
        </w:rPr>
        <w:t xml:space="preserve"> </w:t>
      </w:r>
      <w:r>
        <w:t>públicos</w:t>
      </w:r>
      <w:r>
        <w:rPr>
          <w:spacing w:val="13"/>
        </w:rPr>
        <w:t xml:space="preserve"> </w:t>
      </w:r>
      <w:r>
        <w:t>responsáveis</w:t>
      </w:r>
      <w:r>
        <w:rPr>
          <w:spacing w:val="13"/>
        </w:rPr>
        <w:t xml:space="preserve"> </w:t>
      </w:r>
      <w:r>
        <w:rPr>
          <w:spacing w:val="-2"/>
        </w:rPr>
        <w:t>pelas</w:t>
      </w:r>
    </w:p>
    <w:p w:rsidR="007259F2" w:rsidRDefault="00E655B4">
      <w:pPr>
        <w:pStyle w:val="Corpodetexto"/>
        <w:ind w:left="849" w:firstLine="0"/>
        <w:jc w:val="left"/>
      </w:pPr>
      <w:r>
        <w:rPr>
          <w:spacing w:val="-2"/>
        </w:rPr>
        <w:t>avenças.</w:t>
      </w:r>
    </w:p>
    <w:p w:rsidR="007259F2" w:rsidRDefault="00E655B4">
      <w:pPr>
        <w:pStyle w:val="Corpodetexto"/>
        <w:ind w:right="994"/>
      </w:pPr>
      <w:r>
        <w:t>Contudo, em contrapartida, existem medidas que podem ser aplicadas pela municipalidade, pelos agentes públicos e até pelas empresas contratadas, que possibilitam a mitigação ou até mesmo a eliminação das consequências negativas, das penalidades, das sanções e do prejuízo ao erário causado pelas irregularidades.</w:t>
      </w:r>
    </w:p>
    <w:p w:rsidR="007259F2" w:rsidRDefault="00E655B4">
      <w:pPr>
        <w:pStyle w:val="Corpodetexto"/>
        <w:ind w:right="993"/>
      </w:pPr>
      <w:r>
        <w:t>Portanto, o presente artigo tratará da emergência fabricada nas contratações de obras do Município de São e responderá a seguinte pergunta: Qual é o tratamento dado pelos</w:t>
      </w:r>
      <w:r>
        <w:rPr>
          <w:spacing w:val="50"/>
          <w:w w:val="150"/>
        </w:rPr>
        <w:t xml:space="preserve"> </w:t>
      </w:r>
      <w:r>
        <w:t>Órgãos</w:t>
      </w:r>
      <w:r>
        <w:rPr>
          <w:spacing w:val="52"/>
          <w:w w:val="150"/>
        </w:rPr>
        <w:t xml:space="preserve"> </w:t>
      </w:r>
      <w:r>
        <w:t>de</w:t>
      </w:r>
      <w:r>
        <w:rPr>
          <w:spacing w:val="50"/>
          <w:w w:val="150"/>
        </w:rPr>
        <w:t xml:space="preserve"> </w:t>
      </w:r>
      <w:r>
        <w:t>Controle</w:t>
      </w:r>
      <w:r>
        <w:rPr>
          <w:spacing w:val="51"/>
          <w:w w:val="150"/>
        </w:rPr>
        <w:t xml:space="preserve"> </w:t>
      </w:r>
      <w:r>
        <w:t>em</w:t>
      </w:r>
      <w:r>
        <w:rPr>
          <w:spacing w:val="52"/>
          <w:w w:val="150"/>
        </w:rPr>
        <w:t xml:space="preserve"> </w:t>
      </w:r>
      <w:r>
        <w:t>relação</w:t>
      </w:r>
      <w:r>
        <w:rPr>
          <w:spacing w:val="51"/>
          <w:w w:val="150"/>
        </w:rPr>
        <w:t xml:space="preserve"> </w:t>
      </w:r>
      <w:r>
        <w:t>à</w:t>
      </w:r>
      <w:r>
        <w:rPr>
          <w:spacing w:val="53"/>
          <w:w w:val="150"/>
        </w:rPr>
        <w:t xml:space="preserve"> </w:t>
      </w:r>
      <w:r>
        <w:t>emergência</w:t>
      </w:r>
      <w:r>
        <w:rPr>
          <w:spacing w:val="51"/>
          <w:w w:val="150"/>
        </w:rPr>
        <w:t xml:space="preserve"> </w:t>
      </w:r>
      <w:r>
        <w:t>fabricada,</w:t>
      </w:r>
      <w:r>
        <w:rPr>
          <w:spacing w:val="51"/>
          <w:w w:val="150"/>
        </w:rPr>
        <w:t xml:space="preserve"> </w:t>
      </w:r>
      <w:r>
        <w:t>bem</w:t>
      </w:r>
      <w:r>
        <w:rPr>
          <w:spacing w:val="54"/>
          <w:w w:val="150"/>
        </w:rPr>
        <w:t xml:space="preserve"> </w:t>
      </w:r>
      <w:r>
        <w:t>como,</w:t>
      </w:r>
      <w:r>
        <w:rPr>
          <w:spacing w:val="52"/>
          <w:w w:val="150"/>
        </w:rPr>
        <w:t xml:space="preserve"> </w:t>
      </w:r>
      <w:r>
        <w:rPr>
          <w:spacing w:val="-2"/>
        </w:rPr>
        <w:t>quais</w:t>
      </w:r>
    </w:p>
    <w:p w:rsidR="007259F2" w:rsidRDefault="007259F2">
      <w:pPr>
        <w:pStyle w:val="Corpodetexto"/>
        <w:ind w:left="0" w:firstLine="0"/>
        <w:jc w:val="left"/>
        <w:rPr>
          <w:sz w:val="20"/>
        </w:rPr>
      </w:pPr>
    </w:p>
    <w:p w:rsidR="007259F2" w:rsidRDefault="00DE6B1C">
      <w:pPr>
        <w:pStyle w:val="Corpodetexto"/>
        <w:spacing w:before="3"/>
        <w:ind w:left="0" w:firstLine="0"/>
        <w:jc w:val="left"/>
        <w:rPr>
          <w:sz w:val="20"/>
        </w:rPr>
      </w:pPr>
      <w:r w:rsidRPr="00DE6B1C">
        <w:rPr>
          <w:sz w:val="20"/>
        </w:rPr>
        <w:pict>
          <v:rect id="docshape40" o:spid="_x0000_s1186" style="position:absolute;margin-left:85.1pt;margin-top:12.85pt;width:2in;height:.7pt;z-index:-15716352;mso-wrap-distance-left:0;mso-wrap-distance-right:0;mso-position-horizontal-relative:page" fillcolor="black" stroked="f">
            <w10:wrap type="topAndBottom" anchorx="page"/>
          </v:rect>
        </w:pict>
      </w:r>
    </w:p>
    <w:p w:rsidR="007259F2" w:rsidRDefault="00E655B4">
      <w:pPr>
        <w:spacing w:before="94"/>
        <w:ind w:left="710" w:right="988"/>
        <w:jc w:val="both"/>
        <w:rPr>
          <w:sz w:val="20"/>
        </w:rPr>
      </w:pPr>
      <w:r>
        <w:rPr>
          <w:sz w:val="20"/>
          <w:vertAlign w:val="superscript"/>
        </w:rPr>
        <w:t>2</w:t>
      </w:r>
      <w:r>
        <w:rPr>
          <w:sz w:val="20"/>
        </w:rPr>
        <w:t xml:space="preserve"> SÃO PAULO (SP). Tribunal de Contas do Município. </w:t>
      </w:r>
      <w:r>
        <w:rPr>
          <w:b/>
          <w:sz w:val="20"/>
        </w:rPr>
        <w:t>Relatório de auditoria extraplano</w:t>
      </w:r>
      <w:r>
        <w:rPr>
          <w:sz w:val="20"/>
        </w:rPr>
        <w:t>, Ordem de Serviço 2022/01622, TC 005781/2022, Equipe Técnica: André Vasconcelos Vilanova RF 20.278, Ivan Juncioni de Arauz RF 20.270, Tarcísio Hugo Neris RF 20.277, Processo SEI 6022.2023/0002869-0, Ofício SSG 13742/2023.</w:t>
      </w:r>
    </w:p>
    <w:p w:rsidR="007259F2" w:rsidRDefault="00E655B4">
      <w:pPr>
        <w:spacing w:before="2"/>
        <w:ind w:left="710" w:right="991"/>
        <w:jc w:val="both"/>
        <w:rPr>
          <w:sz w:val="20"/>
        </w:rPr>
      </w:pPr>
      <w:r>
        <w:rPr>
          <w:sz w:val="20"/>
          <w:vertAlign w:val="superscript"/>
        </w:rPr>
        <w:t>3</w:t>
      </w:r>
      <w:r>
        <w:rPr>
          <w:sz w:val="20"/>
        </w:rPr>
        <w:t xml:space="preserve"> SÃO PAULO (SP). Tribunal de Contas do Município. 2023, </w:t>
      </w:r>
      <w:r>
        <w:rPr>
          <w:b/>
          <w:sz w:val="20"/>
        </w:rPr>
        <w:t>Relatório extraplano</w:t>
      </w:r>
      <w:r>
        <w:rPr>
          <w:sz w:val="20"/>
        </w:rPr>
        <w:t>, documento 083988279, Processo SEI 6022.2023/0002869-0, Ofício SSG 13742/2023, p. 9.</w:t>
      </w:r>
    </w:p>
    <w:p w:rsidR="007259F2" w:rsidRDefault="007259F2">
      <w:pPr>
        <w:jc w:val="both"/>
        <w:rPr>
          <w:sz w:val="20"/>
        </w:rPr>
        <w:sectPr w:rsidR="007259F2">
          <w:pgSz w:w="11910" w:h="16840"/>
          <w:pgMar w:top="1320" w:right="708" w:bottom="1160" w:left="992" w:header="0" w:footer="962" w:gutter="0"/>
          <w:cols w:space="720"/>
        </w:sectPr>
      </w:pPr>
    </w:p>
    <w:p w:rsidR="007259F2" w:rsidRDefault="00E655B4">
      <w:pPr>
        <w:pStyle w:val="Corpodetexto"/>
        <w:spacing w:before="69"/>
        <w:ind w:right="990" w:firstLine="0"/>
        <w:jc w:val="left"/>
      </w:pPr>
      <w:r>
        <w:lastRenderedPageBreak/>
        <w:t>repercussões</w:t>
      </w:r>
      <w:r>
        <w:rPr>
          <w:spacing w:val="29"/>
        </w:rPr>
        <w:t xml:space="preserve"> </w:t>
      </w:r>
      <w:r>
        <w:t>são</w:t>
      </w:r>
      <w:r>
        <w:rPr>
          <w:spacing w:val="31"/>
        </w:rPr>
        <w:t xml:space="preserve"> </w:t>
      </w:r>
      <w:r>
        <w:t>geradas</w:t>
      </w:r>
      <w:r>
        <w:rPr>
          <w:spacing w:val="29"/>
        </w:rPr>
        <w:t xml:space="preserve"> </w:t>
      </w:r>
      <w:r>
        <w:t>à</w:t>
      </w:r>
      <w:r>
        <w:rPr>
          <w:spacing w:val="28"/>
        </w:rPr>
        <w:t xml:space="preserve"> </w:t>
      </w:r>
      <w:r>
        <w:t>municipalidade</w:t>
      </w:r>
      <w:r>
        <w:rPr>
          <w:spacing w:val="27"/>
        </w:rPr>
        <w:t xml:space="preserve"> </w:t>
      </w:r>
      <w:r>
        <w:t>e</w:t>
      </w:r>
      <w:r>
        <w:rPr>
          <w:spacing w:val="28"/>
        </w:rPr>
        <w:t xml:space="preserve"> </w:t>
      </w:r>
      <w:r>
        <w:t>quais</w:t>
      </w:r>
      <w:r>
        <w:rPr>
          <w:spacing w:val="30"/>
        </w:rPr>
        <w:t xml:space="preserve"> </w:t>
      </w:r>
      <w:r>
        <w:t>formas</w:t>
      </w:r>
      <w:r>
        <w:rPr>
          <w:spacing w:val="29"/>
        </w:rPr>
        <w:t xml:space="preserve"> </w:t>
      </w:r>
      <w:r>
        <w:t>de</w:t>
      </w:r>
      <w:r>
        <w:rPr>
          <w:spacing w:val="28"/>
        </w:rPr>
        <w:t xml:space="preserve"> </w:t>
      </w:r>
      <w:r>
        <w:t>mitigação</w:t>
      </w:r>
      <w:r>
        <w:rPr>
          <w:spacing w:val="31"/>
        </w:rPr>
        <w:t xml:space="preserve"> </w:t>
      </w:r>
      <w:r>
        <w:t>de</w:t>
      </w:r>
      <w:r>
        <w:rPr>
          <w:spacing w:val="28"/>
        </w:rPr>
        <w:t xml:space="preserve"> </w:t>
      </w:r>
      <w:r>
        <w:t xml:space="preserve">quaisquer </w:t>
      </w:r>
      <w:r>
        <w:rPr>
          <w:spacing w:val="-2"/>
        </w:rPr>
        <w:t>danos?</w:t>
      </w:r>
    </w:p>
    <w:p w:rsidR="007259F2" w:rsidRDefault="00E655B4">
      <w:pPr>
        <w:pStyle w:val="Heading2"/>
        <w:numPr>
          <w:ilvl w:val="0"/>
          <w:numId w:val="41"/>
        </w:numPr>
        <w:tabs>
          <w:tab w:val="left" w:pos="1805"/>
        </w:tabs>
        <w:ind w:left="710" w:right="997" w:firstLine="707"/>
        <w:jc w:val="both"/>
      </w:pPr>
      <w:r>
        <w:t>Modalidade de Contratação Direta: Dispensa de Licitação por emergência ou calamidade pública</w:t>
      </w:r>
    </w:p>
    <w:p w:rsidR="007259F2" w:rsidRDefault="00E655B4">
      <w:pPr>
        <w:pStyle w:val="Corpodetexto"/>
        <w:spacing w:before="115"/>
        <w:ind w:right="993"/>
      </w:pPr>
      <w:r>
        <w:t>Primeiramente, para entendermos o problema da emergência fabricada nas contratações de obras da municipalidade, é importante que sejam elencadas as características da modalidade de contratação direta por dispensa.</w:t>
      </w:r>
    </w:p>
    <w:p w:rsidR="007259F2" w:rsidRDefault="00E655B4">
      <w:pPr>
        <w:pStyle w:val="Corpodetexto"/>
        <w:ind w:right="989"/>
      </w:pPr>
      <w:r>
        <w:t>Notoriamente, o procedimento licitatório não se apresenta como inovação no Brasil, considerando, principalmente, que tal procedimento passou a ser utilizado no século XIX e sofreu diversas transformações e modificações com o passar dos anos.</w:t>
      </w:r>
    </w:p>
    <w:p w:rsidR="007259F2" w:rsidRDefault="00E655B4">
      <w:pPr>
        <w:pStyle w:val="Corpodetexto"/>
        <w:ind w:right="994"/>
      </w:pPr>
      <w:r>
        <w:t>A licitação está consagrada na Constituição Federal vigente, especificamente no artigo 37, inciso XXI</w:t>
      </w:r>
      <w:hyperlink w:anchor="_bookmark4" w:history="1">
        <w:r>
          <w:rPr>
            <w:vertAlign w:val="superscript"/>
          </w:rPr>
          <w:t>4</w:t>
        </w:r>
        <w:r>
          <w:t>,</w:t>
        </w:r>
      </w:hyperlink>
      <w:r>
        <w:t xml:space="preserve"> que estabeleceu o dever da Administração Pública em contratar por meio da licitação para que, sobretudo, seja assegurada a aplicação do princípio da </w:t>
      </w:r>
      <w:r>
        <w:rPr>
          <w:spacing w:val="-2"/>
        </w:rPr>
        <w:t>isonomia.</w:t>
      </w:r>
    </w:p>
    <w:p w:rsidR="007259F2" w:rsidRDefault="00E655B4">
      <w:pPr>
        <w:pStyle w:val="Corpodetexto"/>
        <w:spacing w:before="1"/>
        <w:ind w:right="992"/>
      </w:pPr>
      <w:r>
        <w:t>Diante disso, foi editada Lei Federal para regulamentar o dispositivo</w:t>
      </w:r>
      <w:r>
        <w:rPr>
          <w:spacing w:val="40"/>
        </w:rPr>
        <w:t xml:space="preserve"> </w:t>
      </w:r>
      <w:r>
        <w:t>mencionado acima, bem como para instituir normas para licitações e contratos da Administração Pública.</w:t>
      </w:r>
    </w:p>
    <w:p w:rsidR="007259F2" w:rsidRDefault="00E655B4">
      <w:pPr>
        <w:pStyle w:val="Corpodetexto"/>
        <w:ind w:right="989"/>
      </w:pPr>
      <w:r>
        <w:t>A Lei 8.666/93, atualmente revogada pela Lei 14.133/21, estabelece, portanto, a obrigatoriedade da licitação em direta observância aos princípios da isonomia, impessoalidade e eficiência.</w:t>
      </w:r>
    </w:p>
    <w:p w:rsidR="007259F2" w:rsidRDefault="00E655B4">
      <w:pPr>
        <w:pStyle w:val="Corpodetexto"/>
        <w:ind w:left="1418" w:firstLine="0"/>
      </w:pPr>
      <w:r>
        <w:t>Nesse</w:t>
      </w:r>
      <w:r>
        <w:rPr>
          <w:spacing w:val="-1"/>
        </w:rPr>
        <w:t xml:space="preserve"> </w:t>
      </w:r>
      <w:r>
        <w:t>mesmo</w:t>
      </w:r>
      <w:r>
        <w:rPr>
          <w:spacing w:val="-1"/>
        </w:rPr>
        <w:t xml:space="preserve"> </w:t>
      </w:r>
      <w:r>
        <w:t>sentido,</w:t>
      </w:r>
      <w:r>
        <w:rPr>
          <w:spacing w:val="-1"/>
        </w:rPr>
        <w:t xml:space="preserve"> </w:t>
      </w:r>
      <w:r>
        <w:t>é</w:t>
      </w:r>
      <w:r>
        <w:rPr>
          <w:spacing w:val="1"/>
        </w:rPr>
        <w:t xml:space="preserve"> </w:t>
      </w:r>
      <w:r>
        <w:t>a</w:t>
      </w:r>
      <w:r>
        <w:rPr>
          <w:spacing w:val="-2"/>
        </w:rPr>
        <w:t xml:space="preserve"> </w:t>
      </w:r>
      <w:r>
        <w:t>jurisprudência</w:t>
      </w:r>
      <w:r>
        <w:rPr>
          <w:spacing w:val="-1"/>
        </w:rPr>
        <w:t xml:space="preserve"> </w:t>
      </w:r>
      <w:r>
        <w:t>do Tribunal de</w:t>
      </w:r>
      <w:r>
        <w:rPr>
          <w:spacing w:val="-1"/>
        </w:rPr>
        <w:t xml:space="preserve"> </w:t>
      </w:r>
      <w:r>
        <w:t>Contas</w:t>
      </w:r>
      <w:r>
        <w:rPr>
          <w:spacing w:val="-1"/>
        </w:rPr>
        <w:t xml:space="preserve"> </w:t>
      </w:r>
      <w:r>
        <w:t xml:space="preserve">da </w:t>
      </w:r>
      <w:r>
        <w:rPr>
          <w:spacing w:val="-2"/>
        </w:rPr>
        <w:t>União:</w:t>
      </w:r>
    </w:p>
    <w:p w:rsidR="007259F2" w:rsidRDefault="007259F2">
      <w:pPr>
        <w:pStyle w:val="Corpodetexto"/>
        <w:spacing w:before="2"/>
        <w:ind w:left="0" w:firstLine="0"/>
        <w:jc w:val="left"/>
      </w:pPr>
    </w:p>
    <w:p w:rsidR="007259F2" w:rsidRDefault="00E655B4">
      <w:pPr>
        <w:ind w:left="2978" w:right="990"/>
        <w:jc w:val="both"/>
        <w:rPr>
          <w:sz w:val="20"/>
        </w:rPr>
      </w:pPr>
      <w:r>
        <w:rPr>
          <w:sz w:val="20"/>
        </w:rPr>
        <w:t>“[...] 12. A obrigação de licitar não é mera formalidade burocrática, decorrente apenas de preceitos legais. Ela se funda em dois princípios maiores: os da isonomia e da impessoalidade, que asseguram a todos os que desejam contratar com a administração a possibilidade de competir com outros interessados em fazê-lo, e da eficiência, que exige a busca da proposta mais vantajosa</w:t>
      </w:r>
      <w:r>
        <w:rPr>
          <w:spacing w:val="-1"/>
          <w:sz w:val="20"/>
        </w:rPr>
        <w:t xml:space="preserve"> </w:t>
      </w:r>
      <w:r>
        <w:rPr>
          <w:sz w:val="20"/>
        </w:rPr>
        <w:t>para</w:t>
      </w:r>
      <w:r>
        <w:rPr>
          <w:spacing w:val="-1"/>
          <w:sz w:val="20"/>
        </w:rPr>
        <w:t xml:space="preserve"> </w:t>
      </w:r>
      <w:r>
        <w:rPr>
          <w:sz w:val="20"/>
        </w:rPr>
        <w:t>a</w:t>
      </w:r>
      <w:r>
        <w:rPr>
          <w:spacing w:val="-1"/>
          <w:sz w:val="20"/>
        </w:rPr>
        <w:t xml:space="preserve"> </w:t>
      </w:r>
      <w:r>
        <w:rPr>
          <w:sz w:val="20"/>
        </w:rPr>
        <w:t>administração.</w:t>
      </w:r>
      <w:r>
        <w:rPr>
          <w:spacing w:val="-1"/>
          <w:sz w:val="20"/>
        </w:rPr>
        <w:t xml:space="preserve"> </w:t>
      </w:r>
      <w:r>
        <w:rPr>
          <w:sz w:val="20"/>
        </w:rPr>
        <w:t>13.</w:t>
      </w:r>
      <w:r>
        <w:rPr>
          <w:spacing w:val="-1"/>
          <w:sz w:val="20"/>
        </w:rPr>
        <w:t xml:space="preserve"> </w:t>
      </w:r>
      <w:r>
        <w:rPr>
          <w:sz w:val="20"/>
        </w:rPr>
        <w:t>Assim,</w:t>
      </w:r>
      <w:r>
        <w:rPr>
          <w:spacing w:val="-1"/>
          <w:sz w:val="20"/>
        </w:rPr>
        <w:t xml:space="preserve"> </w:t>
      </w:r>
      <w:r>
        <w:rPr>
          <w:sz w:val="20"/>
        </w:rPr>
        <w:t>ao contrário do afirmado nas justificativas apresentadas, a licitação, além de ser exigência legal, quando bem conduzida, visa – e permite – a obtenção de ganhos para a</w:t>
      </w:r>
      <w:r>
        <w:rPr>
          <w:spacing w:val="40"/>
          <w:sz w:val="20"/>
        </w:rPr>
        <w:t xml:space="preserve"> </w:t>
      </w:r>
      <w:r>
        <w:rPr>
          <w:sz w:val="20"/>
        </w:rPr>
        <w:t>administração. E quando a possibilidade de prejuízos existe, a própria lei, novamente com base no princípio da eficiência, prevê os casos em que o certame licitatório pode ser dispensado [...]”.</w:t>
      </w:r>
      <w:r>
        <w:rPr>
          <w:sz w:val="20"/>
          <w:vertAlign w:val="superscript"/>
        </w:rPr>
        <w:t>5</w:t>
      </w:r>
    </w:p>
    <w:p w:rsidR="007259F2" w:rsidRDefault="007259F2">
      <w:pPr>
        <w:pStyle w:val="Corpodetexto"/>
        <w:spacing w:before="44"/>
        <w:ind w:left="0" w:firstLine="0"/>
        <w:jc w:val="left"/>
        <w:rPr>
          <w:sz w:val="20"/>
        </w:rPr>
      </w:pPr>
    </w:p>
    <w:p w:rsidR="007259F2" w:rsidRDefault="00E655B4">
      <w:pPr>
        <w:pStyle w:val="Corpodetexto"/>
        <w:spacing w:before="1"/>
        <w:ind w:right="992"/>
      </w:pPr>
      <w:r>
        <w:t>Ocorre que, a própria legislação trouxe limitação à obrigatoriedade da licitação, quando permitiu a contratação direta nas hipóteses previstas em lei.</w:t>
      </w:r>
    </w:p>
    <w:p w:rsidR="007259F2" w:rsidRDefault="00E655B4">
      <w:pPr>
        <w:pStyle w:val="Corpodetexto"/>
        <w:ind w:right="994"/>
      </w:pPr>
      <w:r>
        <w:t>Importante destacar que, na contratação direta, apesar do afastamento da licitação, a Administração Pública ainda deve seguir um procedimento estabelecido, com a garantia e observância plena dos princípios administrativos.</w:t>
      </w:r>
    </w:p>
    <w:p w:rsidR="007259F2" w:rsidRDefault="00E655B4">
      <w:pPr>
        <w:pStyle w:val="Corpodetexto"/>
        <w:spacing w:before="3" w:line="276" w:lineRule="auto"/>
        <w:ind w:left="849" w:right="1155"/>
      </w:pPr>
      <w:r>
        <w:t>Nota-se que o surgimento da emergência fabricada se dá, justamente, quando os requisitos legais e princípios jurídicos fundamentais não são observados e cumpridos adequadamente pela Administração Pública.</w:t>
      </w:r>
    </w:p>
    <w:p w:rsidR="007259F2" w:rsidRDefault="00DE6B1C">
      <w:pPr>
        <w:pStyle w:val="Corpodetexto"/>
        <w:spacing w:before="37"/>
        <w:ind w:left="0" w:firstLine="0"/>
        <w:jc w:val="left"/>
        <w:rPr>
          <w:sz w:val="20"/>
        </w:rPr>
      </w:pPr>
      <w:r w:rsidRPr="00DE6B1C">
        <w:rPr>
          <w:sz w:val="20"/>
        </w:rPr>
        <w:pict>
          <v:rect id="docshape41" o:spid="_x0000_s1185" style="position:absolute;margin-left:85.1pt;margin-top:14.6pt;width:2in;height:.7pt;z-index:-15715840;mso-wrap-distance-left:0;mso-wrap-distance-right:0;mso-position-horizontal-relative:page" fillcolor="black" stroked="f">
            <w10:wrap type="topAndBottom" anchorx="page"/>
          </v:rect>
        </w:pict>
      </w:r>
    </w:p>
    <w:p w:rsidR="007259F2" w:rsidRDefault="00E655B4">
      <w:pPr>
        <w:spacing w:before="96"/>
        <w:ind w:left="710" w:right="994"/>
        <w:jc w:val="both"/>
        <w:rPr>
          <w:sz w:val="20"/>
        </w:rPr>
      </w:pPr>
      <w:r>
        <w:rPr>
          <w:sz w:val="20"/>
          <w:vertAlign w:val="superscript"/>
        </w:rPr>
        <w:t>4</w:t>
      </w:r>
      <w:r>
        <w:rPr>
          <w:sz w:val="20"/>
        </w:rPr>
        <w:t xml:space="preserve"> Art. 37. A administração pública direta e indireta de qualquer dos Poderes da União, dos Estados, do Distrito Federal e dos Municípios obedecerá aos princípios de legalidade, impessoalidade, moralidade, publicidade e eficiência e, também, ao seguinte: XXI - ressalvados os casos especificados na legislação,</w:t>
      </w:r>
      <w:r>
        <w:rPr>
          <w:spacing w:val="40"/>
          <w:sz w:val="20"/>
        </w:rPr>
        <w:t xml:space="preserve"> </w:t>
      </w:r>
      <w:r>
        <w:rPr>
          <w:sz w:val="20"/>
        </w:rPr>
        <w:t>as obras, serviços, compras e alienações serão contratados mediante processo de licitação pública que assegure igualdade de condições a todos os concorrentes, com cláusulas que estabeleçam obrigações de pagamento, mantidas as condições efetivas da proposta, nos termos da lei, o qual somente permitirá as exigências</w:t>
      </w:r>
      <w:r>
        <w:rPr>
          <w:spacing w:val="-3"/>
          <w:sz w:val="20"/>
        </w:rPr>
        <w:t xml:space="preserve"> </w:t>
      </w:r>
      <w:r>
        <w:rPr>
          <w:sz w:val="20"/>
        </w:rPr>
        <w:t>de</w:t>
      </w:r>
      <w:r>
        <w:rPr>
          <w:spacing w:val="-2"/>
          <w:sz w:val="20"/>
        </w:rPr>
        <w:t xml:space="preserve"> </w:t>
      </w:r>
      <w:r>
        <w:rPr>
          <w:sz w:val="20"/>
        </w:rPr>
        <w:t>qualificação</w:t>
      </w:r>
      <w:r>
        <w:rPr>
          <w:spacing w:val="-1"/>
          <w:sz w:val="20"/>
        </w:rPr>
        <w:t xml:space="preserve"> </w:t>
      </w:r>
      <w:r>
        <w:rPr>
          <w:sz w:val="20"/>
        </w:rPr>
        <w:t>técnica</w:t>
      </w:r>
      <w:r>
        <w:rPr>
          <w:spacing w:val="-2"/>
          <w:sz w:val="20"/>
        </w:rPr>
        <w:t xml:space="preserve"> </w:t>
      </w:r>
      <w:r>
        <w:rPr>
          <w:sz w:val="20"/>
        </w:rPr>
        <w:t>e</w:t>
      </w:r>
      <w:r>
        <w:rPr>
          <w:spacing w:val="-2"/>
          <w:sz w:val="20"/>
        </w:rPr>
        <w:t xml:space="preserve"> </w:t>
      </w:r>
      <w:r>
        <w:rPr>
          <w:sz w:val="20"/>
        </w:rPr>
        <w:t>econômica</w:t>
      </w:r>
      <w:r>
        <w:rPr>
          <w:spacing w:val="-2"/>
          <w:sz w:val="20"/>
        </w:rPr>
        <w:t xml:space="preserve"> </w:t>
      </w:r>
      <w:r>
        <w:rPr>
          <w:sz w:val="20"/>
        </w:rPr>
        <w:t>indispensáveis</w:t>
      </w:r>
      <w:r>
        <w:rPr>
          <w:spacing w:val="-3"/>
          <w:sz w:val="20"/>
        </w:rPr>
        <w:t xml:space="preserve"> </w:t>
      </w:r>
      <w:r>
        <w:rPr>
          <w:sz w:val="20"/>
        </w:rPr>
        <w:t>à</w:t>
      </w:r>
      <w:r>
        <w:rPr>
          <w:spacing w:val="-2"/>
          <w:sz w:val="20"/>
        </w:rPr>
        <w:t xml:space="preserve"> </w:t>
      </w:r>
      <w:r>
        <w:rPr>
          <w:sz w:val="20"/>
        </w:rPr>
        <w:t>garantia</w:t>
      </w:r>
      <w:r>
        <w:rPr>
          <w:spacing w:val="-2"/>
          <w:sz w:val="20"/>
        </w:rPr>
        <w:t xml:space="preserve"> </w:t>
      </w:r>
      <w:r>
        <w:rPr>
          <w:sz w:val="20"/>
        </w:rPr>
        <w:t>do</w:t>
      </w:r>
      <w:r>
        <w:rPr>
          <w:spacing w:val="-1"/>
          <w:sz w:val="20"/>
        </w:rPr>
        <w:t xml:space="preserve"> </w:t>
      </w:r>
      <w:r>
        <w:rPr>
          <w:sz w:val="20"/>
        </w:rPr>
        <w:t>cumprimento das</w:t>
      </w:r>
      <w:r>
        <w:rPr>
          <w:spacing w:val="-3"/>
          <w:sz w:val="20"/>
        </w:rPr>
        <w:t xml:space="preserve"> </w:t>
      </w:r>
      <w:r>
        <w:rPr>
          <w:sz w:val="20"/>
        </w:rPr>
        <w:t>obrigações.</w:t>
      </w:r>
    </w:p>
    <w:p w:rsidR="007259F2" w:rsidRDefault="00E655B4">
      <w:pPr>
        <w:spacing w:before="1"/>
        <w:ind w:left="710" w:right="992"/>
        <w:jc w:val="both"/>
        <w:rPr>
          <w:sz w:val="20"/>
        </w:rPr>
      </w:pPr>
      <w:r>
        <w:rPr>
          <w:sz w:val="20"/>
          <w:vertAlign w:val="superscript"/>
        </w:rPr>
        <w:t>5</w:t>
      </w:r>
      <w:r>
        <w:rPr>
          <w:sz w:val="20"/>
        </w:rPr>
        <w:t xml:space="preserve"> BRASIL. Tribunal de Contas da União. </w:t>
      </w:r>
      <w:r>
        <w:rPr>
          <w:b/>
          <w:sz w:val="20"/>
        </w:rPr>
        <w:t>Processo nº 006.567/2005-5</w:t>
      </w:r>
      <w:r>
        <w:rPr>
          <w:sz w:val="20"/>
        </w:rPr>
        <w:t>, Data: 19.01.2011, Acórdão 34/2011, Plenário, rel. Min. Aroldo Cedraz</w:t>
      </w:r>
    </w:p>
    <w:p w:rsidR="007259F2" w:rsidRDefault="007259F2">
      <w:pPr>
        <w:jc w:val="both"/>
        <w:rPr>
          <w:sz w:val="20"/>
        </w:rPr>
        <w:sectPr w:rsidR="007259F2">
          <w:pgSz w:w="11910" w:h="16840"/>
          <w:pgMar w:top="1320" w:right="708" w:bottom="1160" w:left="992" w:header="0" w:footer="962" w:gutter="0"/>
          <w:cols w:space="720"/>
        </w:sectPr>
      </w:pPr>
    </w:p>
    <w:p w:rsidR="007259F2" w:rsidRDefault="00E655B4">
      <w:pPr>
        <w:pStyle w:val="Corpodetexto"/>
        <w:spacing w:before="69"/>
        <w:ind w:right="986"/>
      </w:pPr>
      <w:r>
        <w:lastRenderedPageBreak/>
        <w:t>Nesse sentido, a</w:t>
      </w:r>
      <w:r>
        <w:rPr>
          <w:spacing w:val="-1"/>
        </w:rPr>
        <w:t xml:space="preserve"> </w:t>
      </w:r>
      <w:r>
        <w:t>legislação previu duas modalidades de</w:t>
      </w:r>
      <w:r>
        <w:rPr>
          <w:spacing w:val="-1"/>
        </w:rPr>
        <w:t xml:space="preserve"> </w:t>
      </w:r>
      <w:r>
        <w:t>contratação direta, sendo a dispensa e a inexigibilidade de licitação. Enquanto a inexigibilidade de licitação se traduz</w:t>
      </w:r>
      <w:r>
        <w:rPr>
          <w:spacing w:val="-6"/>
        </w:rPr>
        <w:t xml:space="preserve"> </w:t>
      </w:r>
      <w:r>
        <w:t>como inviabilidade de competição, pela natureza do objeto ou pelo fornecedor, a dispensa,</w:t>
      </w:r>
      <w:r>
        <w:rPr>
          <w:spacing w:val="-1"/>
        </w:rPr>
        <w:t xml:space="preserve"> </w:t>
      </w:r>
      <w:r>
        <w:t>por</w:t>
      </w:r>
      <w:r>
        <w:rPr>
          <w:spacing w:val="-2"/>
        </w:rPr>
        <w:t xml:space="preserve"> </w:t>
      </w:r>
      <w:r>
        <w:t>sua</w:t>
      </w:r>
      <w:r>
        <w:rPr>
          <w:spacing w:val="-2"/>
        </w:rPr>
        <w:t xml:space="preserve"> </w:t>
      </w:r>
      <w:r>
        <w:t>vez,</w:t>
      </w:r>
      <w:r>
        <w:rPr>
          <w:spacing w:val="-13"/>
        </w:rPr>
        <w:t xml:space="preserve"> </w:t>
      </w:r>
      <w:r>
        <w:t>embora</w:t>
      </w:r>
      <w:r>
        <w:rPr>
          <w:spacing w:val="-15"/>
        </w:rPr>
        <w:t xml:space="preserve"> </w:t>
      </w:r>
      <w:r>
        <w:t>a</w:t>
      </w:r>
      <w:r>
        <w:rPr>
          <w:spacing w:val="-15"/>
        </w:rPr>
        <w:t xml:space="preserve"> </w:t>
      </w:r>
      <w:r>
        <w:t>licitação</w:t>
      </w:r>
      <w:r>
        <w:rPr>
          <w:spacing w:val="-13"/>
        </w:rPr>
        <w:t xml:space="preserve"> </w:t>
      </w:r>
      <w:r>
        <w:t>seja</w:t>
      </w:r>
      <w:r>
        <w:rPr>
          <w:spacing w:val="-15"/>
        </w:rPr>
        <w:t xml:space="preserve"> </w:t>
      </w:r>
      <w:r>
        <w:t>viável</w:t>
      </w:r>
      <w:r>
        <w:rPr>
          <w:spacing w:val="-13"/>
        </w:rPr>
        <w:t xml:space="preserve"> </w:t>
      </w:r>
      <w:r>
        <w:t>ou</w:t>
      </w:r>
      <w:r>
        <w:rPr>
          <w:spacing w:val="-10"/>
        </w:rPr>
        <w:t xml:space="preserve"> </w:t>
      </w:r>
      <w:r>
        <w:t>exigível,</w:t>
      </w:r>
      <w:r>
        <w:rPr>
          <w:spacing w:val="-14"/>
        </w:rPr>
        <w:t xml:space="preserve"> </w:t>
      </w:r>
      <w:r>
        <w:t>abarca</w:t>
      </w:r>
      <w:r>
        <w:rPr>
          <w:spacing w:val="-13"/>
        </w:rPr>
        <w:t xml:space="preserve"> </w:t>
      </w:r>
      <w:r>
        <w:t>hipóteses</w:t>
      </w:r>
      <w:r>
        <w:rPr>
          <w:spacing w:val="-11"/>
        </w:rPr>
        <w:t xml:space="preserve"> </w:t>
      </w:r>
      <w:r>
        <w:t>legais</w:t>
      </w:r>
      <w:r>
        <w:rPr>
          <w:spacing w:val="-11"/>
        </w:rPr>
        <w:t xml:space="preserve"> </w:t>
      </w:r>
      <w:r>
        <w:t>e taxativas que permitem afastar o procedimento padrão</w:t>
      </w:r>
    </w:p>
    <w:p w:rsidR="007259F2" w:rsidRDefault="00E655B4">
      <w:pPr>
        <w:pStyle w:val="Corpodetexto"/>
        <w:spacing w:before="1"/>
        <w:ind w:right="991"/>
      </w:pPr>
      <w:r>
        <w:t>Acerca do tema, Marçal Justen Filho (2019, p. RL-1.8) diz “a dispensa de licitação verifica-se em situações em que, embora viável competição entre particulares,</w:t>
      </w:r>
      <w:r>
        <w:rPr>
          <w:spacing w:val="40"/>
        </w:rPr>
        <w:t xml:space="preserve"> </w:t>
      </w:r>
      <w:r>
        <w:t>a lei reconhece a incompatibilidade entre a licitação e os valores norteadores da atividade administrativa, sob um prisma de proporcionalidade”.</w:t>
      </w:r>
    </w:p>
    <w:p w:rsidR="007259F2" w:rsidRDefault="00E655B4">
      <w:pPr>
        <w:pStyle w:val="Corpodetexto"/>
        <w:ind w:right="992"/>
      </w:pPr>
      <w:r>
        <w:t>Dessa</w:t>
      </w:r>
      <w:r>
        <w:rPr>
          <w:spacing w:val="-5"/>
        </w:rPr>
        <w:t xml:space="preserve"> </w:t>
      </w:r>
      <w:r>
        <w:t>forma,</w:t>
      </w:r>
      <w:r>
        <w:rPr>
          <w:spacing w:val="-2"/>
        </w:rPr>
        <w:t xml:space="preserve"> </w:t>
      </w:r>
      <w:r>
        <w:t>a</w:t>
      </w:r>
      <w:r>
        <w:rPr>
          <w:spacing w:val="-5"/>
        </w:rPr>
        <w:t xml:space="preserve"> </w:t>
      </w:r>
      <w:r>
        <w:t>dispensa</w:t>
      </w:r>
      <w:r>
        <w:rPr>
          <w:spacing w:val="-3"/>
        </w:rPr>
        <w:t xml:space="preserve"> </w:t>
      </w:r>
      <w:r>
        <w:t>é</w:t>
      </w:r>
      <w:r>
        <w:rPr>
          <w:spacing w:val="-5"/>
        </w:rPr>
        <w:t xml:space="preserve"> </w:t>
      </w:r>
      <w:r>
        <w:t>autorizada</w:t>
      </w:r>
      <w:r>
        <w:rPr>
          <w:spacing w:val="-5"/>
        </w:rPr>
        <w:t xml:space="preserve"> </w:t>
      </w:r>
      <w:r>
        <w:t>pelo</w:t>
      </w:r>
      <w:r>
        <w:rPr>
          <w:spacing w:val="-1"/>
        </w:rPr>
        <w:t xml:space="preserve"> </w:t>
      </w:r>
      <w:r>
        <w:t>legislador, especificamente</w:t>
      </w:r>
      <w:r>
        <w:rPr>
          <w:spacing w:val="-4"/>
        </w:rPr>
        <w:t xml:space="preserve"> </w:t>
      </w:r>
      <w:r>
        <w:t>pelo</w:t>
      </w:r>
      <w:r>
        <w:rPr>
          <w:spacing w:val="-1"/>
        </w:rPr>
        <w:t xml:space="preserve"> </w:t>
      </w:r>
      <w:r>
        <w:t xml:space="preserve">artigo 24 da Lei 8.666/93 (lei revogada) e artigo 75 da Lei 14.133/21 (lei vigente), para permitir que a Administração, de forma discricionária, escolha realizar ou não a </w:t>
      </w:r>
      <w:r>
        <w:rPr>
          <w:spacing w:val="-2"/>
        </w:rPr>
        <w:t>licitação.</w:t>
      </w:r>
    </w:p>
    <w:p w:rsidR="007259F2" w:rsidRDefault="00E655B4">
      <w:pPr>
        <w:pStyle w:val="Corpodetexto"/>
        <w:spacing w:before="1"/>
        <w:ind w:right="995"/>
      </w:pPr>
      <w:r>
        <w:t>Além disso, a dispensa de licitação ocorre quando a lei reconhece que os custos envolvidos em um processo licitatório são superiores aos benefícios que ele poderia proporcionar.</w:t>
      </w:r>
      <w:r>
        <w:rPr>
          <w:spacing w:val="-1"/>
        </w:rPr>
        <w:t xml:space="preserve"> </w:t>
      </w:r>
      <w:r>
        <w:t>Nesse</w:t>
      </w:r>
      <w:r>
        <w:rPr>
          <w:spacing w:val="-3"/>
        </w:rPr>
        <w:t xml:space="preserve"> </w:t>
      </w:r>
      <w:r>
        <w:t>sentido,</w:t>
      </w:r>
      <w:r>
        <w:rPr>
          <w:spacing w:val="-3"/>
        </w:rPr>
        <w:t xml:space="preserve"> </w:t>
      </w:r>
      <w:r>
        <w:t>a</w:t>
      </w:r>
      <w:r>
        <w:rPr>
          <w:spacing w:val="-4"/>
        </w:rPr>
        <w:t xml:space="preserve"> </w:t>
      </w:r>
      <w:r>
        <w:t>lei</w:t>
      </w:r>
      <w:r>
        <w:rPr>
          <w:spacing w:val="-3"/>
        </w:rPr>
        <w:t xml:space="preserve"> </w:t>
      </w:r>
      <w:r>
        <w:t>afasta</w:t>
      </w:r>
      <w:r>
        <w:rPr>
          <w:spacing w:val="-2"/>
        </w:rPr>
        <w:t xml:space="preserve"> </w:t>
      </w:r>
      <w:r>
        <w:t>a</w:t>
      </w:r>
      <w:r>
        <w:rPr>
          <w:spacing w:val="-4"/>
        </w:rPr>
        <w:t xml:space="preserve"> </w:t>
      </w:r>
      <w:r>
        <w:t>licitação</w:t>
      </w:r>
      <w:r>
        <w:rPr>
          <w:spacing w:val="-1"/>
        </w:rPr>
        <w:t xml:space="preserve"> </w:t>
      </w:r>
      <w:r>
        <w:t>para</w:t>
      </w:r>
      <w:r>
        <w:rPr>
          <w:spacing w:val="-4"/>
        </w:rPr>
        <w:t xml:space="preserve"> </w:t>
      </w:r>
      <w:r>
        <w:t>preservar</w:t>
      </w:r>
      <w:r>
        <w:rPr>
          <w:spacing w:val="-2"/>
        </w:rPr>
        <w:t xml:space="preserve"> </w:t>
      </w:r>
      <w:r>
        <w:t>os</w:t>
      </w:r>
      <w:r>
        <w:rPr>
          <w:spacing w:val="-3"/>
        </w:rPr>
        <w:t xml:space="preserve"> </w:t>
      </w:r>
      <w:r>
        <w:t>interesses</w:t>
      </w:r>
      <w:r>
        <w:rPr>
          <w:spacing w:val="-3"/>
        </w:rPr>
        <w:t xml:space="preserve"> </w:t>
      </w:r>
      <w:r>
        <w:t>coletivos e gerais, evitando quaisquer prejuízos.</w:t>
      </w:r>
    </w:p>
    <w:p w:rsidR="007259F2" w:rsidRDefault="00E655B4">
      <w:pPr>
        <w:pStyle w:val="Corpodetexto"/>
        <w:ind w:right="991"/>
      </w:pPr>
      <w:r>
        <w:t>Como dito, existem diversas hipóteses previstas em lei para utilização da dispensa do procedimento de licitação, inclusive, as contratações em casos de situações emergenciais ou de calamidade pública, objeto deste estudo.</w:t>
      </w:r>
    </w:p>
    <w:p w:rsidR="007259F2" w:rsidRDefault="00E655B4">
      <w:pPr>
        <w:pStyle w:val="Corpodetexto"/>
        <w:ind w:right="989"/>
      </w:pPr>
      <w:r>
        <w:t>A</w:t>
      </w:r>
      <w:r>
        <w:rPr>
          <w:spacing w:val="-4"/>
        </w:rPr>
        <w:t xml:space="preserve"> </w:t>
      </w:r>
      <w:r>
        <w:t>dispensa</w:t>
      </w:r>
      <w:r>
        <w:rPr>
          <w:spacing w:val="-7"/>
        </w:rPr>
        <w:t xml:space="preserve"> </w:t>
      </w:r>
      <w:r>
        <w:t>emergencial</w:t>
      </w:r>
      <w:r>
        <w:rPr>
          <w:spacing w:val="-4"/>
        </w:rPr>
        <w:t xml:space="preserve"> </w:t>
      </w:r>
      <w:r>
        <w:t>está</w:t>
      </w:r>
      <w:r>
        <w:rPr>
          <w:spacing w:val="-6"/>
        </w:rPr>
        <w:t xml:space="preserve"> </w:t>
      </w:r>
      <w:r>
        <w:t>prevista</w:t>
      </w:r>
      <w:r>
        <w:rPr>
          <w:spacing w:val="-6"/>
        </w:rPr>
        <w:t xml:space="preserve"> </w:t>
      </w:r>
      <w:r>
        <w:t>no</w:t>
      </w:r>
      <w:r>
        <w:rPr>
          <w:spacing w:val="-1"/>
        </w:rPr>
        <w:t xml:space="preserve"> </w:t>
      </w:r>
      <w:r>
        <w:t>artigo</w:t>
      </w:r>
      <w:r>
        <w:rPr>
          <w:spacing w:val="-5"/>
        </w:rPr>
        <w:t xml:space="preserve"> </w:t>
      </w:r>
      <w:r>
        <w:t>24,</w:t>
      </w:r>
      <w:r>
        <w:rPr>
          <w:spacing w:val="-1"/>
        </w:rPr>
        <w:t xml:space="preserve"> </w:t>
      </w:r>
      <w:r>
        <w:t>inciso</w:t>
      </w:r>
      <w:r>
        <w:rPr>
          <w:spacing w:val="-3"/>
        </w:rPr>
        <w:t xml:space="preserve"> </w:t>
      </w:r>
      <w:r>
        <w:t>IV</w:t>
      </w:r>
      <w:r>
        <w:rPr>
          <w:spacing w:val="-4"/>
        </w:rPr>
        <w:t xml:space="preserve"> </w:t>
      </w:r>
      <w:r>
        <w:t>da</w:t>
      </w:r>
      <w:r>
        <w:rPr>
          <w:spacing w:val="-4"/>
        </w:rPr>
        <w:t xml:space="preserve"> </w:t>
      </w:r>
      <w:r>
        <w:t>Lei 8.666/93</w:t>
      </w:r>
      <w:r>
        <w:rPr>
          <w:spacing w:val="-6"/>
        </w:rPr>
        <w:t xml:space="preserve"> </w:t>
      </w:r>
      <w:r>
        <w:t>e</w:t>
      </w:r>
      <w:r>
        <w:rPr>
          <w:spacing w:val="-7"/>
        </w:rPr>
        <w:t xml:space="preserve"> </w:t>
      </w:r>
      <w:r>
        <w:t xml:space="preserve">no artigo 75, inciso VIII da Lei 14.133/21, </w:t>
      </w:r>
      <w:r>
        <w:rPr>
          <w:i/>
        </w:rPr>
        <w:t>in verbis</w:t>
      </w:r>
      <w:r>
        <w:t>:</w:t>
      </w:r>
    </w:p>
    <w:p w:rsidR="007259F2" w:rsidRDefault="00E655B4">
      <w:pPr>
        <w:spacing w:before="231"/>
        <w:ind w:left="2978"/>
        <w:rPr>
          <w:sz w:val="20"/>
        </w:rPr>
      </w:pPr>
      <w:r>
        <w:rPr>
          <w:sz w:val="20"/>
        </w:rPr>
        <w:t>Art.</w:t>
      </w:r>
      <w:r>
        <w:rPr>
          <w:spacing w:val="-8"/>
          <w:sz w:val="20"/>
        </w:rPr>
        <w:t xml:space="preserve"> </w:t>
      </w:r>
      <w:r>
        <w:rPr>
          <w:sz w:val="20"/>
        </w:rPr>
        <w:t>24.</w:t>
      </w:r>
      <w:r>
        <w:rPr>
          <w:spacing w:val="39"/>
          <w:sz w:val="20"/>
        </w:rPr>
        <w:t xml:space="preserve"> </w:t>
      </w:r>
      <w:r>
        <w:rPr>
          <w:sz w:val="20"/>
        </w:rPr>
        <w:t>É</w:t>
      </w:r>
      <w:r>
        <w:rPr>
          <w:spacing w:val="-7"/>
          <w:sz w:val="20"/>
        </w:rPr>
        <w:t xml:space="preserve"> </w:t>
      </w:r>
      <w:r>
        <w:rPr>
          <w:sz w:val="20"/>
        </w:rPr>
        <w:t>dispensável</w:t>
      </w:r>
      <w:r>
        <w:rPr>
          <w:spacing w:val="-5"/>
          <w:sz w:val="20"/>
        </w:rPr>
        <w:t xml:space="preserve"> </w:t>
      </w:r>
      <w:r>
        <w:rPr>
          <w:sz w:val="20"/>
        </w:rPr>
        <w:t>a</w:t>
      </w:r>
      <w:r>
        <w:rPr>
          <w:spacing w:val="-6"/>
          <w:sz w:val="20"/>
        </w:rPr>
        <w:t xml:space="preserve"> </w:t>
      </w:r>
      <w:r>
        <w:rPr>
          <w:spacing w:val="-2"/>
          <w:sz w:val="20"/>
        </w:rPr>
        <w:t>licitação:</w:t>
      </w:r>
    </w:p>
    <w:p w:rsidR="007259F2" w:rsidRDefault="00E655B4">
      <w:pPr>
        <w:spacing w:before="1"/>
        <w:ind w:left="2978" w:right="990"/>
        <w:rPr>
          <w:sz w:val="20"/>
        </w:rPr>
      </w:pPr>
      <w:r>
        <w:rPr>
          <w:sz w:val="20"/>
        </w:rPr>
        <w:t>IV</w:t>
      </w:r>
      <w:r>
        <w:rPr>
          <w:spacing w:val="-3"/>
          <w:sz w:val="20"/>
        </w:rPr>
        <w:t xml:space="preserve"> </w:t>
      </w:r>
      <w:r>
        <w:rPr>
          <w:sz w:val="20"/>
        </w:rPr>
        <w:t>-</w:t>
      </w:r>
      <w:r>
        <w:rPr>
          <w:spacing w:val="-5"/>
          <w:sz w:val="20"/>
        </w:rPr>
        <w:t xml:space="preserve"> </w:t>
      </w:r>
      <w:r>
        <w:rPr>
          <w:sz w:val="20"/>
        </w:rPr>
        <w:t>nos</w:t>
      </w:r>
      <w:r>
        <w:rPr>
          <w:spacing w:val="-4"/>
          <w:sz w:val="20"/>
        </w:rPr>
        <w:t xml:space="preserve"> </w:t>
      </w:r>
      <w:r>
        <w:rPr>
          <w:sz w:val="20"/>
        </w:rPr>
        <w:t>casos</w:t>
      </w:r>
      <w:r>
        <w:rPr>
          <w:spacing w:val="-4"/>
          <w:sz w:val="20"/>
        </w:rPr>
        <w:t xml:space="preserve"> </w:t>
      </w:r>
      <w:r>
        <w:rPr>
          <w:sz w:val="20"/>
        </w:rPr>
        <w:t>de</w:t>
      </w:r>
      <w:r>
        <w:rPr>
          <w:spacing w:val="-3"/>
          <w:sz w:val="20"/>
        </w:rPr>
        <w:t xml:space="preserve"> </w:t>
      </w:r>
      <w:r>
        <w:rPr>
          <w:sz w:val="20"/>
        </w:rPr>
        <w:t>emergência ou</w:t>
      </w:r>
      <w:r>
        <w:rPr>
          <w:spacing w:val="-4"/>
          <w:sz w:val="20"/>
        </w:rPr>
        <w:t xml:space="preserve"> </w:t>
      </w:r>
      <w:r>
        <w:rPr>
          <w:sz w:val="20"/>
        </w:rPr>
        <w:t>de</w:t>
      </w:r>
      <w:r>
        <w:rPr>
          <w:spacing w:val="-3"/>
          <w:sz w:val="20"/>
        </w:rPr>
        <w:t xml:space="preserve"> </w:t>
      </w:r>
      <w:r>
        <w:rPr>
          <w:sz w:val="20"/>
        </w:rPr>
        <w:t>calamidade</w:t>
      </w:r>
      <w:r>
        <w:rPr>
          <w:spacing w:val="-3"/>
          <w:sz w:val="20"/>
        </w:rPr>
        <w:t xml:space="preserve"> </w:t>
      </w:r>
      <w:r>
        <w:rPr>
          <w:sz w:val="20"/>
        </w:rPr>
        <w:t>pública,</w:t>
      </w:r>
      <w:r>
        <w:rPr>
          <w:spacing w:val="-2"/>
          <w:sz w:val="20"/>
        </w:rPr>
        <w:t xml:space="preserve"> </w:t>
      </w:r>
      <w:r>
        <w:rPr>
          <w:sz w:val="20"/>
        </w:rPr>
        <w:t>quando</w:t>
      </w:r>
      <w:r>
        <w:rPr>
          <w:spacing w:val="-2"/>
          <w:sz w:val="20"/>
        </w:rPr>
        <w:t xml:space="preserve"> </w:t>
      </w:r>
      <w:r>
        <w:rPr>
          <w:sz w:val="20"/>
        </w:rPr>
        <w:t>caracterizada urgência</w:t>
      </w:r>
      <w:r>
        <w:rPr>
          <w:spacing w:val="77"/>
          <w:sz w:val="20"/>
        </w:rPr>
        <w:t xml:space="preserve"> </w:t>
      </w:r>
      <w:r>
        <w:rPr>
          <w:sz w:val="20"/>
        </w:rPr>
        <w:t>de</w:t>
      </w:r>
      <w:r>
        <w:rPr>
          <w:spacing w:val="73"/>
          <w:sz w:val="20"/>
        </w:rPr>
        <w:t xml:space="preserve"> </w:t>
      </w:r>
      <w:r>
        <w:rPr>
          <w:sz w:val="20"/>
        </w:rPr>
        <w:t>atendimento</w:t>
      </w:r>
      <w:r>
        <w:rPr>
          <w:spacing w:val="77"/>
          <w:sz w:val="20"/>
        </w:rPr>
        <w:t xml:space="preserve"> </w:t>
      </w:r>
      <w:r>
        <w:rPr>
          <w:sz w:val="20"/>
        </w:rPr>
        <w:t>de</w:t>
      </w:r>
      <w:r>
        <w:rPr>
          <w:spacing w:val="74"/>
          <w:sz w:val="20"/>
        </w:rPr>
        <w:t xml:space="preserve"> </w:t>
      </w:r>
      <w:r>
        <w:rPr>
          <w:sz w:val="20"/>
        </w:rPr>
        <w:t>situação</w:t>
      </w:r>
      <w:r>
        <w:rPr>
          <w:spacing w:val="78"/>
          <w:sz w:val="20"/>
        </w:rPr>
        <w:t xml:space="preserve"> </w:t>
      </w:r>
      <w:r>
        <w:rPr>
          <w:sz w:val="20"/>
        </w:rPr>
        <w:t>que</w:t>
      </w:r>
      <w:r>
        <w:rPr>
          <w:spacing w:val="73"/>
          <w:sz w:val="20"/>
        </w:rPr>
        <w:t xml:space="preserve"> </w:t>
      </w:r>
      <w:r>
        <w:rPr>
          <w:sz w:val="20"/>
        </w:rPr>
        <w:t>possa</w:t>
      </w:r>
      <w:r>
        <w:rPr>
          <w:spacing w:val="77"/>
          <w:sz w:val="20"/>
        </w:rPr>
        <w:t xml:space="preserve"> </w:t>
      </w:r>
      <w:r>
        <w:rPr>
          <w:sz w:val="20"/>
        </w:rPr>
        <w:t>ocasionar</w:t>
      </w:r>
      <w:r>
        <w:rPr>
          <w:spacing w:val="77"/>
          <w:sz w:val="20"/>
        </w:rPr>
        <w:t xml:space="preserve"> </w:t>
      </w:r>
      <w:r>
        <w:rPr>
          <w:sz w:val="20"/>
        </w:rPr>
        <w:t>prejuízo</w:t>
      </w:r>
      <w:r>
        <w:rPr>
          <w:spacing w:val="78"/>
          <w:sz w:val="20"/>
        </w:rPr>
        <w:t xml:space="preserve"> </w:t>
      </w:r>
      <w:r>
        <w:rPr>
          <w:sz w:val="20"/>
        </w:rPr>
        <w:t>ou comprometer a segurança de pessoas, obras, serviços, equipamentos e outros bens,</w:t>
      </w:r>
      <w:r>
        <w:rPr>
          <w:spacing w:val="69"/>
          <w:sz w:val="20"/>
        </w:rPr>
        <w:t xml:space="preserve"> </w:t>
      </w:r>
      <w:r>
        <w:rPr>
          <w:sz w:val="20"/>
        </w:rPr>
        <w:t>públicos</w:t>
      </w:r>
      <w:r>
        <w:rPr>
          <w:spacing w:val="40"/>
          <w:sz w:val="20"/>
        </w:rPr>
        <w:t xml:space="preserve"> </w:t>
      </w:r>
      <w:r>
        <w:rPr>
          <w:sz w:val="20"/>
        </w:rPr>
        <w:t>ou</w:t>
      </w:r>
      <w:r>
        <w:rPr>
          <w:spacing w:val="40"/>
          <w:sz w:val="20"/>
        </w:rPr>
        <w:t xml:space="preserve"> </w:t>
      </w:r>
      <w:r>
        <w:rPr>
          <w:sz w:val="20"/>
        </w:rPr>
        <w:t>particulares,</w:t>
      </w:r>
      <w:r>
        <w:rPr>
          <w:spacing w:val="69"/>
          <w:sz w:val="20"/>
        </w:rPr>
        <w:t xml:space="preserve"> </w:t>
      </w:r>
      <w:r>
        <w:rPr>
          <w:sz w:val="20"/>
        </w:rPr>
        <w:t>e</w:t>
      </w:r>
      <w:r>
        <w:rPr>
          <w:spacing w:val="69"/>
          <w:sz w:val="20"/>
        </w:rPr>
        <w:t xml:space="preserve"> </w:t>
      </w:r>
      <w:r>
        <w:rPr>
          <w:sz w:val="20"/>
        </w:rPr>
        <w:t>somente</w:t>
      </w:r>
      <w:r>
        <w:rPr>
          <w:spacing w:val="69"/>
          <w:sz w:val="20"/>
        </w:rPr>
        <w:t xml:space="preserve"> </w:t>
      </w:r>
      <w:r>
        <w:rPr>
          <w:sz w:val="20"/>
        </w:rPr>
        <w:t>para</w:t>
      </w:r>
      <w:r>
        <w:rPr>
          <w:spacing w:val="69"/>
          <w:sz w:val="20"/>
        </w:rPr>
        <w:t xml:space="preserve"> </w:t>
      </w:r>
      <w:r>
        <w:rPr>
          <w:sz w:val="20"/>
        </w:rPr>
        <w:t>os</w:t>
      </w:r>
      <w:r>
        <w:rPr>
          <w:spacing w:val="40"/>
          <w:sz w:val="20"/>
        </w:rPr>
        <w:t xml:space="preserve"> </w:t>
      </w:r>
      <w:r>
        <w:rPr>
          <w:sz w:val="20"/>
        </w:rPr>
        <w:t>bens</w:t>
      </w:r>
      <w:r>
        <w:rPr>
          <w:spacing w:val="40"/>
          <w:sz w:val="20"/>
        </w:rPr>
        <w:t xml:space="preserve"> </w:t>
      </w:r>
      <w:r>
        <w:rPr>
          <w:sz w:val="20"/>
        </w:rPr>
        <w:t>necessários</w:t>
      </w:r>
      <w:r>
        <w:rPr>
          <w:spacing w:val="40"/>
          <w:sz w:val="20"/>
        </w:rPr>
        <w:t xml:space="preserve"> </w:t>
      </w:r>
      <w:r>
        <w:rPr>
          <w:sz w:val="20"/>
        </w:rPr>
        <w:t>ao atendimento</w:t>
      </w:r>
      <w:r>
        <w:rPr>
          <w:spacing w:val="40"/>
          <w:sz w:val="20"/>
        </w:rPr>
        <w:t xml:space="preserve"> </w:t>
      </w:r>
      <w:r>
        <w:rPr>
          <w:sz w:val="20"/>
        </w:rPr>
        <w:t>da</w:t>
      </w:r>
      <w:r>
        <w:rPr>
          <w:spacing w:val="39"/>
          <w:sz w:val="20"/>
        </w:rPr>
        <w:t xml:space="preserve"> </w:t>
      </w:r>
      <w:r>
        <w:rPr>
          <w:sz w:val="20"/>
        </w:rPr>
        <w:t>situação</w:t>
      </w:r>
      <w:r>
        <w:rPr>
          <w:spacing w:val="40"/>
          <w:sz w:val="20"/>
        </w:rPr>
        <w:t xml:space="preserve"> </w:t>
      </w:r>
      <w:r>
        <w:rPr>
          <w:sz w:val="20"/>
        </w:rPr>
        <w:t>emergencial</w:t>
      </w:r>
      <w:r>
        <w:rPr>
          <w:spacing w:val="39"/>
          <w:sz w:val="20"/>
        </w:rPr>
        <w:t xml:space="preserve"> </w:t>
      </w:r>
      <w:r>
        <w:rPr>
          <w:sz w:val="20"/>
        </w:rPr>
        <w:t>ou</w:t>
      </w:r>
      <w:r>
        <w:rPr>
          <w:spacing w:val="38"/>
          <w:sz w:val="20"/>
        </w:rPr>
        <w:t xml:space="preserve"> </w:t>
      </w:r>
      <w:r>
        <w:rPr>
          <w:sz w:val="20"/>
        </w:rPr>
        <w:t>calamitosa</w:t>
      </w:r>
      <w:r>
        <w:rPr>
          <w:spacing w:val="39"/>
          <w:sz w:val="20"/>
        </w:rPr>
        <w:t xml:space="preserve"> </w:t>
      </w:r>
      <w:r>
        <w:rPr>
          <w:sz w:val="20"/>
        </w:rPr>
        <w:t>e</w:t>
      </w:r>
      <w:r>
        <w:rPr>
          <w:spacing w:val="39"/>
          <w:sz w:val="20"/>
        </w:rPr>
        <w:t xml:space="preserve"> </w:t>
      </w:r>
      <w:r>
        <w:rPr>
          <w:sz w:val="20"/>
        </w:rPr>
        <w:t>para</w:t>
      </w:r>
      <w:r>
        <w:rPr>
          <w:spacing w:val="39"/>
          <w:sz w:val="20"/>
        </w:rPr>
        <w:t xml:space="preserve"> </w:t>
      </w:r>
      <w:r>
        <w:rPr>
          <w:sz w:val="20"/>
        </w:rPr>
        <w:t>as</w:t>
      </w:r>
      <w:r>
        <w:rPr>
          <w:spacing w:val="39"/>
          <w:sz w:val="20"/>
        </w:rPr>
        <w:t xml:space="preserve"> </w:t>
      </w:r>
      <w:r>
        <w:rPr>
          <w:sz w:val="20"/>
        </w:rPr>
        <w:t>parcelas</w:t>
      </w:r>
      <w:r>
        <w:rPr>
          <w:spacing w:val="38"/>
          <w:sz w:val="20"/>
        </w:rPr>
        <w:t xml:space="preserve"> </w:t>
      </w:r>
      <w:r>
        <w:rPr>
          <w:sz w:val="20"/>
        </w:rPr>
        <w:t>de obras e serviços que possam</w:t>
      </w:r>
      <w:r>
        <w:rPr>
          <w:spacing w:val="-2"/>
          <w:sz w:val="20"/>
        </w:rPr>
        <w:t xml:space="preserve"> </w:t>
      </w:r>
      <w:r>
        <w:rPr>
          <w:sz w:val="20"/>
        </w:rPr>
        <w:t>ser concluídas no prazo máximo de 180 (cento e oitenta)</w:t>
      </w:r>
      <w:r>
        <w:rPr>
          <w:spacing w:val="80"/>
          <w:sz w:val="20"/>
        </w:rPr>
        <w:t xml:space="preserve"> </w:t>
      </w:r>
      <w:r>
        <w:rPr>
          <w:sz w:val="20"/>
        </w:rPr>
        <w:t>dias</w:t>
      </w:r>
      <w:r>
        <w:rPr>
          <w:spacing w:val="80"/>
          <w:sz w:val="20"/>
        </w:rPr>
        <w:t xml:space="preserve"> </w:t>
      </w:r>
      <w:r>
        <w:rPr>
          <w:sz w:val="20"/>
        </w:rPr>
        <w:t>consecutivos</w:t>
      </w:r>
      <w:r>
        <w:rPr>
          <w:spacing w:val="80"/>
          <w:sz w:val="20"/>
        </w:rPr>
        <w:t xml:space="preserve"> </w:t>
      </w:r>
      <w:r>
        <w:rPr>
          <w:sz w:val="20"/>
        </w:rPr>
        <w:t>e</w:t>
      </w:r>
      <w:r>
        <w:rPr>
          <w:spacing w:val="80"/>
          <w:sz w:val="20"/>
        </w:rPr>
        <w:t xml:space="preserve"> </w:t>
      </w:r>
      <w:r>
        <w:rPr>
          <w:sz w:val="20"/>
        </w:rPr>
        <w:t>ininterruptos,</w:t>
      </w:r>
      <w:r>
        <w:rPr>
          <w:spacing w:val="80"/>
          <w:sz w:val="20"/>
        </w:rPr>
        <w:t xml:space="preserve"> </w:t>
      </w:r>
      <w:r>
        <w:rPr>
          <w:sz w:val="20"/>
        </w:rPr>
        <w:t>contados</w:t>
      </w:r>
      <w:r>
        <w:rPr>
          <w:spacing w:val="80"/>
          <w:sz w:val="20"/>
        </w:rPr>
        <w:t xml:space="preserve"> </w:t>
      </w:r>
      <w:r>
        <w:rPr>
          <w:sz w:val="20"/>
        </w:rPr>
        <w:t>da</w:t>
      </w:r>
      <w:r>
        <w:rPr>
          <w:spacing w:val="80"/>
          <w:sz w:val="20"/>
        </w:rPr>
        <w:t xml:space="preserve"> </w:t>
      </w:r>
      <w:r>
        <w:rPr>
          <w:sz w:val="20"/>
        </w:rPr>
        <w:t>ocorrência</w:t>
      </w:r>
      <w:r>
        <w:rPr>
          <w:spacing w:val="80"/>
          <w:sz w:val="20"/>
        </w:rPr>
        <w:t xml:space="preserve"> </w:t>
      </w:r>
      <w:r>
        <w:rPr>
          <w:sz w:val="20"/>
        </w:rPr>
        <w:t>da emergência ou calamidade, vedada a prorrogação dos respectivos contratos; Parágrafo</w:t>
      </w:r>
      <w:r>
        <w:rPr>
          <w:spacing w:val="80"/>
          <w:sz w:val="20"/>
        </w:rPr>
        <w:t xml:space="preserve"> </w:t>
      </w:r>
      <w:r>
        <w:rPr>
          <w:sz w:val="20"/>
        </w:rPr>
        <w:t>único.</w:t>
      </w:r>
      <w:r>
        <w:rPr>
          <w:spacing w:val="80"/>
          <w:sz w:val="20"/>
        </w:rPr>
        <w:t xml:space="preserve"> </w:t>
      </w:r>
      <w:r>
        <w:rPr>
          <w:sz w:val="20"/>
        </w:rPr>
        <w:t>O</w:t>
      </w:r>
      <w:r>
        <w:rPr>
          <w:spacing w:val="80"/>
          <w:sz w:val="20"/>
        </w:rPr>
        <w:t xml:space="preserve"> </w:t>
      </w:r>
      <w:r>
        <w:rPr>
          <w:sz w:val="20"/>
        </w:rPr>
        <w:t>processo</w:t>
      </w:r>
      <w:r>
        <w:rPr>
          <w:spacing w:val="80"/>
          <w:sz w:val="20"/>
        </w:rPr>
        <w:t xml:space="preserve"> </w:t>
      </w:r>
      <w:r>
        <w:rPr>
          <w:sz w:val="20"/>
        </w:rPr>
        <w:t>de</w:t>
      </w:r>
      <w:r>
        <w:rPr>
          <w:spacing w:val="80"/>
          <w:sz w:val="20"/>
        </w:rPr>
        <w:t xml:space="preserve"> </w:t>
      </w:r>
      <w:r>
        <w:rPr>
          <w:sz w:val="20"/>
        </w:rPr>
        <w:t>dispensa,</w:t>
      </w:r>
      <w:r>
        <w:rPr>
          <w:spacing w:val="80"/>
          <w:sz w:val="20"/>
        </w:rPr>
        <w:t xml:space="preserve"> </w:t>
      </w:r>
      <w:r>
        <w:rPr>
          <w:sz w:val="20"/>
        </w:rPr>
        <w:t>de</w:t>
      </w:r>
      <w:r>
        <w:rPr>
          <w:spacing w:val="80"/>
          <w:sz w:val="20"/>
        </w:rPr>
        <w:t xml:space="preserve"> </w:t>
      </w:r>
      <w:r>
        <w:rPr>
          <w:sz w:val="20"/>
        </w:rPr>
        <w:t>inexigibilidade</w:t>
      </w:r>
      <w:r>
        <w:rPr>
          <w:spacing w:val="80"/>
          <w:sz w:val="20"/>
        </w:rPr>
        <w:t xml:space="preserve"> </w:t>
      </w:r>
      <w:r>
        <w:rPr>
          <w:sz w:val="20"/>
        </w:rPr>
        <w:t>ou</w:t>
      </w:r>
      <w:r>
        <w:rPr>
          <w:spacing w:val="80"/>
          <w:sz w:val="20"/>
        </w:rPr>
        <w:t xml:space="preserve"> </w:t>
      </w:r>
      <w:r>
        <w:rPr>
          <w:sz w:val="20"/>
        </w:rPr>
        <w:t>de</w:t>
      </w:r>
      <w:r>
        <w:rPr>
          <w:spacing w:val="40"/>
          <w:sz w:val="20"/>
        </w:rPr>
        <w:t xml:space="preserve"> </w:t>
      </w:r>
      <w:r>
        <w:rPr>
          <w:sz w:val="20"/>
        </w:rPr>
        <w:t>retardamento,</w:t>
      </w:r>
      <w:r>
        <w:rPr>
          <w:spacing w:val="33"/>
          <w:sz w:val="20"/>
        </w:rPr>
        <w:t xml:space="preserve"> </w:t>
      </w:r>
      <w:r>
        <w:rPr>
          <w:sz w:val="20"/>
        </w:rPr>
        <w:t>previsto</w:t>
      </w:r>
      <w:r>
        <w:rPr>
          <w:spacing w:val="34"/>
          <w:sz w:val="20"/>
        </w:rPr>
        <w:t xml:space="preserve"> </w:t>
      </w:r>
      <w:r>
        <w:rPr>
          <w:sz w:val="20"/>
        </w:rPr>
        <w:t>neste</w:t>
      </w:r>
      <w:r>
        <w:rPr>
          <w:spacing w:val="35"/>
          <w:sz w:val="20"/>
        </w:rPr>
        <w:t xml:space="preserve"> </w:t>
      </w:r>
      <w:r>
        <w:rPr>
          <w:sz w:val="20"/>
        </w:rPr>
        <w:t>artigo,</w:t>
      </w:r>
      <w:r>
        <w:rPr>
          <w:spacing w:val="33"/>
          <w:sz w:val="20"/>
        </w:rPr>
        <w:t xml:space="preserve"> </w:t>
      </w:r>
      <w:r>
        <w:rPr>
          <w:sz w:val="20"/>
        </w:rPr>
        <w:t>será</w:t>
      </w:r>
      <w:r>
        <w:rPr>
          <w:spacing w:val="33"/>
          <w:sz w:val="20"/>
        </w:rPr>
        <w:t xml:space="preserve"> </w:t>
      </w:r>
      <w:r>
        <w:rPr>
          <w:sz w:val="20"/>
        </w:rPr>
        <w:t>instruído,</w:t>
      </w:r>
      <w:r>
        <w:rPr>
          <w:spacing w:val="33"/>
          <w:sz w:val="20"/>
        </w:rPr>
        <w:t xml:space="preserve"> </w:t>
      </w:r>
      <w:r>
        <w:rPr>
          <w:sz w:val="20"/>
        </w:rPr>
        <w:t>no</w:t>
      </w:r>
      <w:r>
        <w:rPr>
          <w:spacing w:val="34"/>
          <w:sz w:val="20"/>
        </w:rPr>
        <w:t xml:space="preserve"> </w:t>
      </w:r>
      <w:r>
        <w:rPr>
          <w:sz w:val="20"/>
        </w:rPr>
        <w:t>que</w:t>
      </w:r>
      <w:r>
        <w:rPr>
          <w:spacing w:val="35"/>
          <w:sz w:val="20"/>
        </w:rPr>
        <w:t xml:space="preserve"> </w:t>
      </w:r>
      <w:r>
        <w:rPr>
          <w:sz w:val="20"/>
        </w:rPr>
        <w:t>couber,</w:t>
      </w:r>
      <w:r>
        <w:rPr>
          <w:spacing w:val="33"/>
          <w:sz w:val="20"/>
        </w:rPr>
        <w:t xml:space="preserve"> </w:t>
      </w:r>
      <w:r>
        <w:rPr>
          <w:sz w:val="20"/>
        </w:rPr>
        <w:t>com</w:t>
      </w:r>
      <w:r>
        <w:rPr>
          <w:spacing w:val="29"/>
          <w:sz w:val="20"/>
        </w:rPr>
        <w:t xml:space="preserve"> </w:t>
      </w:r>
      <w:r>
        <w:rPr>
          <w:sz w:val="20"/>
        </w:rPr>
        <w:t>os seguintes elementos:</w:t>
      </w:r>
    </w:p>
    <w:p w:rsidR="007259F2" w:rsidRDefault="00E655B4">
      <w:pPr>
        <w:ind w:left="2978" w:right="990"/>
        <w:rPr>
          <w:sz w:val="20"/>
        </w:rPr>
      </w:pPr>
      <w:r>
        <w:rPr>
          <w:sz w:val="20"/>
        </w:rPr>
        <w:t>I -</w:t>
      </w:r>
      <w:r>
        <w:rPr>
          <w:spacing w:val="-1"/>
          <w:sz w:val="20"/>
        </w:rPr>
        <w:t xml:space="preserve"> </w:t>
      </w:r>
      <w:r>
        <w:rPr>
          <w:sz w:val="20"/>
        </w:rPr>
        <w:t>caracterização da situação emergencial, calamitosa ou</w:t>
      </w:r>
      <w:r>
        <w:rPr>
          <w:spacing w:val="-1"/>
          <w:sz w:val="20"/>
        </w:rPr>
        <w:t xml:space="preserve"> </w:t>
      </w:r>
      <w:r>
        <w:rPr>
          <w:sz w:val="20"/>
        </w:rPr>
        <w:t>de grave e iminente risco à segurança pública que justifique a dispensa, quando for o caso;</w:t>
      </w:r>
    </w:p>
    <w:p w:rsidR="007259F2" w:rsidRDefault="00E655B4">
      <w:pPr>
        <w:spacing w:before="229"/>
        <w:ind w:left="2978"/>
        <w:jc w:val="both"/>
        <w:rPr>
          <w:sz w:val="20"/>
        </w:rPr>
      </w:pPr>
      <w:r>
        <w:rPr>
          <w:sz w:val="20"/>
        </w:rPr>
        <w:t>Art.</w:t>
      </w:r>
      <w:r>
        <w:rPr>
          <w:spacing w:val="-8"/>
          <w:sz w:val="20"/>
        </w:rPr>
        <w:t xml:space="preserve"> </w:t>
      </w:r>
      <w:r>
        <w:rPr>
          <w:sz w:val="20"/>
        </w:rPr>
        <w:t>75.</w:t>
      </w:r>
      <w:r>
        <w:rPr>
          <w:spacing w:val="-8"/>
          <w:sz w:val="20"/>
        </w:rPr>
        <w:t xml:space="preserve"> </w:t>
      </w:r>
      <w:r>
        <w:rPr>
          <w:sz w:val="20"/>
        </w:rPr>
        <w:t>É</w:t>
      </w:r>
      <w:r>
        <w:rPr>
          <w:spacing w:val="-8"/>
          <w:sz w:val="20"/>
        </w:rPr>
        <w:t xml:space="preserve"> </w:t>
      </w:r>
      <w:r>
        <w:rPr>
          <w:sz w:val="20"/>
        </w:rPr>
        <w:t>dispensável</w:t>
      </w:r>
      <w:r>
        <w:rPr>
          <w:spacing w:val="-8"/>
          <w:sz w:val="20"/>
        </w:rPr>
        <w:t xml:space="preserve"> </w:t>
      </w:r>
      <w:r>
        <w:rPr>
          <w:sz w:val="20"/>
        </w:rPr>
        <w:t>a</w:t>
      </w:r>
      <w:r>
        <w:rPr>
          <w:spacing w:val="-6"/>
          <w:sz w:val="20"/>
        </w:rPr>
        <w:t xml:space="preserve"> </w:t>
      </w:r>
      <w:r>
        <w:rPr>
          <w:spacing w:val="-2"/>
          <w:sz w:val="20"/>
        </w:rPr>
        <w:t>licitação:</w:t>
      </w:r>
    </w:p>
    <w:p w:rsidR="007259F2" w:rsidRDefault="00E655B4">
      <w:pPr>
        <w:spacing w:before="1"/>
        <w:ind w:left="2978" w:right="985"/>
        <w:jc w:val="both"/>
        <w:rPr>
          <w:sz w:val="20"/>
        </w:rPr>
      </w:pPr>
      <w:r>
        <w:rPr>
          <w:sz w:val="20"/>
        </w:rPr>
        <w:t>VIII - nos casos de emergência ou de calamidade pública, quando caracterizada urgência de atendimento de situação que possa ocasionar prejuízo ou comprometer a continuidade</w:t>
      </w:r>
      <w:r>
        <w:rPr>
          <w:spacing w:val="40"/>
          <w:sz w:val="20"/>
        </w:rPr>
        <w:t xml:space="preserve"> </w:t>
      </w:r>
      <w:r>
        <w:rPr>
          <w:sz w:val="20"/>
        </w:rPr>
        <w:t>dos</w:t>
      </w:r>
      <w:r>
        <w:rPr>
          <w:spacing w:val="40"/>
          <w:sz w:val="20"/>
        </w:rPr>
        <w:t xml:space="preserve"> </w:t>
      </w:r>
      <w:r>
        <w:rPr>
          <w:sz w:val="20"/>
        </w:rPr>
        <w:t>serviços</w:t>
      </w:r>
      <w:r>
        <w:rPr>
          <w:spacing w:val="40"/>
          <w:sz w:val="20"/>
        </w:rPr>
        <w:t xml:space="preserve"> </w:t>
      </w:r>
      <w:r>
        <w:rPr>
          <w:sz w:val="20"/>
        </w:rPr>
        <w:t>públicos</w:t>
      </w:r>
      <w:r>
        <w:rPr>
          <w:spacing w:val="40"/>
          <w:sz w:val="20"/>
        </w:rPr>
        <w:t xml:space="preserve"> </w:t>
      </w:r>
      <w:r>
        <w:rPr>
          <w:sz w:val="20"/>
        </w:rPr>
        <w:t>ou</w:t>
      </w:r>
      <w:r>
        <w:rPr>
          <w:spacing w:val="40"/>
          <w:sz w:val="20"/>
        </w:rPr>
        <w:t xml:space="preserve"> </w:t>
      </w:r>
      <w:r>
        <w:rPr>
          <w:sz w:val="20"/>
        </w:rPr>
        <w:t>a segurança</w:t>
      </w:r>
      <w:r>
        <w:rPr>
          <w:spacing w:val="40"/>
          <w:sz w:val="20"/>
        </w:rPr>
        <w:t xml:space="preserve"> </w:t>
      </w:r>
      <w:r>
        <w:rPr>
          <w:sz w:val="20"/>
        </w:rPr>
        <w:t>de</w:t>
      </w:r>
      <w:r>
        <w:rPr>
          <w:spacing w:val="40"/>
          <w:sz w:val="20"/>
        </w:rPr>
        <w:t xml:space="preserve"> </w:t>
      </w:r>
      <w:r>
        <w:rPr>
          <w:sz w:val="20"/>
        </w:rPr>
        <w:t>pessoas,</w:t>
      </w:r>
      <w:r>
        <w:rPr>
          <w:spacing w:val="40"/>
          <w:sz w:val="20"/>
        </w:rPr>
        <w:t xml:space="preserve"> </w:t>
      </w:r>
      <w:r>
        <w:rPr>
          <w:sz w:val="20"/>
        </w:rPr>
        <w:t>obras,</w:t>
      </w:r>
      <w:r>
        <w:rPr>
          <w:spacing w:val="40"/>
          <w:sz w:val="20"/>
        </w:rPr>
        <w:t xml:space="preserve"> </w:t>
      </w:r>
      <w:r>
        <w:rPr>
          <w:sz w:val="20"/>
        </w:rPr>
        <w:t>serviços,</w:t>
      </w:r>
      <w:r>
        <w:rPr>
          <w:spacing w:val="40"/>
          <w:sz w:val="20"/>
        </w:rPr>
        <w:t xml:space="preserve"> </w:t>
      </w:r>
      <w:r>
        <w:rPr>
          <w:sz w:val="20"/>
        </w:rPr>
        <w:t>equipamentos</w:t>
      </w:r>
      <w:r>
        <w:rPr>
          <w:spacing w:val="40"/>
          <w:sz w:val="20"/>
        </w:rPr>
        <w:t xml:space="preserve"> </w:t>
      </w:r>
      <w:r>
        <w:rPr>
          <w:sz w:val="20"/>
        </w:rPr>
        <w:t>e</w:t>
      </w:r>
      <w:r>
        <w:rPr>
          <w:spacing w:val="40"/>
          <w:sz w:val="20"/>
        </w:rPr>
        <w:t xml:space="preserve"> </w:t>
      </w:r>
      <w:r>
        <w:rPr>
          <w:sz w:val="20"/>
        </w:rPr>
        <w:t>outros</w:t>
      </w:r>
      <w:r>
        <w:rPr>
          <w:spacing w:val="40"/>
          <w:sz w:val="20"/>
        </w:rPr>
        <w:t xml:space="preserve"> </w:t>
      </w:r>
      <w:r>
        <w:rPr>
          <w:sz w:val="20"/>
        </w:rPr>
        <w:t>bens, públicos ou particulares, e somente para aquisição dos bens necessários ao atendimento da situação emergencial ou calamitosa e para as parcelas de obras e serviços que possam ser concluídas no prazo máximo de 1 (um) ano, contado da data de ocorrência da emergência ou da calamidade, vedadas a prorrogação dos respectivos contratos e a recontratação de empresa já contratada com base no disposto neste inciso;</w:t>
      </w:r>
      <w:r>
        <w:rPr>
          <w:spacing w:val="40"/>
          <w:sz w:val="20"/>
        </w:rPr>
        <w:t xml:space="preserve"> </w:t>
      </w:r>
      <w:r>
        <w:rPr>
          <w:sz w:val="20"/>
        </w:rPr>
        <w:t>(Vide ADI 6890)</w:t>
      </w:r>
    </w:p>
    <w:p w:rsidR="007259F2" w:rsidRDefault="00E655B4">
      <w:pPr>
        <w:ind w:left="2978" w:right="986"/>
        <w:jc w:val="both"/>
        <w:rPr>
          <w:sz w:val="20"/>
        </w:rPr>
      </w:pPr>
      <w:r>
        <w:rPr>
          <w:sz w:val="20"/>
        </w:rPr>
        <w:t>§ 6º Para os fins do inciso VIII do caput deste artigo, considera-se emergencial a contratação por dispensa com objetivo de manter a continuidade do serviço público, e deverão ser observados os valores praticados pelo mercado na forma do art. 23 desta Lei e adotadas as providências necessárias para a conclusão do processo licitatório, sem prejuízo de apuração de responsabilidade dos agentes públicos que deram causa à situação emergencial.</w:t>
      </w:r>
    </w:p>
    <w:p w:rsidR="007259F2" w:rsidRDefault="007259F2">
      <w:pPr>
        <w:jc w:val="both"/>
        <w:rPr>
          <w:sz w:val="20"/>
        </w:rPr>
        <w:sectPr w:rsidR="007259F2">
          <w:pgSz w:w="11910" w:h="16840"/>
          <w:pgMar w:top="1320" w:right="708" w:bottom="1160" w:left="992" w:header="0" w:footer="962" w:gutter="0"/>
          <w:cols w:space="720"/>
        </w:sectPr>
      </w:pPr>
    </w:p>
    <w:p w:rsidR="007259F2" w:rsidRDefault="00E655B4">
      <w:pPr>
        <w:pStyle w:val="Corpodetexto"/>
        <w:spacing w:before="69"/>
        <w:ind w:right="988"/>
      </w:pPr>
      <w:r>
        <w:lastRenderedPageBreak/>
        <w:t>Em análise e comparação aos dois dispositivos transcritos acima, vemos que existe uma diferença no prazo estabelecido entre as duas leis, de 180 (cento e oitenta) dias</w:t>
      </w:r>
      <w:r>
        <w:rPr>
          <w:spacing w:val="-3"/>
        </w:rPr>
        <w:t xml:space="preserve"> </w:t>
      </w:r>
      <w:r>
        <w:t>para</w:t>
      </w:r>
      <w:r>
        <w:rPr>
          <w:spacing w:val="-6"/>
        </w:rPr>
        <w:t xml:space="preserve"> </w:t>
      </w:r>
      <w:r>
        <w:t>a</w:t>
      </w:r>
      <w:r>
        <w:rPr>
          <w:spacing w:val="-1"/>
        </w:rPr>
        <w:t xml:space="preserve"> </w:t>
      </w:r>
      <w:r>
        <w:t>lei antiga e 1 (um) ano para a lei nova, bem como a vedação (trazida pela lei nova) de recontratação de empresa já contratada com base no inciso.</w:t>
      </w:r>
    </w:p>
    <w:p w:rsidR="007259F2" w:rsidRDefault="00E655B4">
      <w:pPr>
        <w:pStyle w:val="Corpodetexto"/>
        <w:spacing w:before="1"/>
        <w:ind w:right="994"/>
      </w:pPr>
      <w:r>
        <w:t>No mais, é possível perceber que a dispensa emergencial ocorre quando há situações emergenciais ou de calamidade pública que demandam uma resposta imediata para evitar prejuízos à Administração ou à coletividade.</w:t>
      </w:r>
    </w:p>
    <w:p w:rsidR="007259F2" w:rsidRDefault="00E655B4">
      <w:pPr>
        <w:pStyle w:val="Corpodetexto"/>
        <w:ind w:right="990"/>
      </w:pPr>
      <w:r>
        <w:t>À</w:t>
      </w:r>
      <w:r>
        <w:rPr>
          <w:spacing w:val="-2"/>
        </w:rPr>
        <w:t xml:space="preserve"> </w:t>
      </w:r>
      <w:r>
        <w:t>vista</w:t>
      </w:r>
      <w:r>
        <w:rPr>
          <w:spacing w:val="-2"/>
        </w:rPr>
        <w:t xml:space="preserve"> </w:t>
      </w:r>
      <w:r>
        <w:t>disso,</w:t>
      </w:r>
      <w:r>
        <w:rPr>
          <w:spacing w:val="-1"/>
        </w:rPr>
        <w:t xml:space="preserve"> </w:t>
      </w:r>
      <w:r>
        <w:t>notoriamente,</w:t>
      </w:r>
      <w:r>
        <w:rPr>
          <w:spacing w:val="-2"/>
        </w:rPr>
        <w:t xml:space="preserve"> </w:t>
      </w:r>
      <w:r>
        <w:t>por</w:t>
      </w:r>
      <w:r>
        <w:rPr>
          <w:spacing w:val="-2"/>
        </w:rPr>
        <w:t xml:space="preserve"> </w:t>
      </w:r>
      <w:r>
        <w:t>meio</w:t>
      </w:r>
      <w:r>
        <w:rPr>
          <w:spacing w:val="-1"/>
        </w:rPr>
        <w:t xml:space="preserve"> </w:t>
      </w:r>
      <w:r>
        <w:t>da</w:t>
      </w:r>
      <w:r>
        <w:rPr>
          <w:spacing w:val="-2"/>
        </w:rPr>
        <w:t xml:space="preserve"> </w:t>
      </w:r>
      <w:r>
        <w:t>autorização</w:t>
      </w:r>
      <w:r>
        <w:rPr>
          <w:spacing w:val="-1"/>
        </w:rPr>
        <w:t xml:space="preserve"> </w:t>
      </w:r>
      <w:r>
        <w:t>da</w:t>
      </w:r>
      <w:r>
        <w:rPr>
          <w:spacing w:val="-2"/>
        </w:rPr>
        <w:t xml:space="preserve"> </w:t>
      </w:r>
      <w:r>
        <w:t>contratação</w:t>
      </w:r>
      <w:r>
        <w:rPr>
          <w:spacing w:val="-1"/>
        </w:rPr>
        <w:t xml:space="preserve"> </w:t>
      </w:r>
      <w:r>
        <w:t>por</w:t>
      </w:r>
      <w:r>
        <w:rPr>
          <w:spacing w:val="-2"/>
        </w:rPr>
        <w:t xml:space="preserve"> </w:t>
      </w:r>
      <w:r>
        <w:t>dispensa emergencial, a Administração Pública busca prevenir um dano potencial a algum bem ou a algum interesse coletivo.</w:t>
      </w:r>
    </w:p>
    <w:p w:rsidR="007259F2" w:rsidRDefault="00E655B4">
      <w:pPr>
        <w:pStyle w:val="Corpodetexto"/>
        <w:ind w:right="991"/>
      </w:pPr>
      <w:r>
        <w:t>Verifica-se que, para a situação de emergência e calamidade pública, o procedimento licitatório se torna demasiadamente moroso, já que ao tempo de ser realizada a</w:t>
      </w:r>
      <w:r>
        <w:rPr>
          <w:spacing w:val="-2"/>
        </w:rPr>
        <w:t xml:space="preserve"> </w:t>
      </w:r>
      <w:r>
        <w:t>licitação, naturalmente,</w:t>
      </w:r>
      <w:r>
        <w:rPr>
          <w:spacing w:val="-2"/>
        </w:rPr>
        <w:t xml:space="preserve"> </w:t>
      </w:r>
      <w:r>
        <w:t>não seria</w:t>
      </w:r>
      <w:r>
        <w:rPr>
          <w:spacing w:val="-2"/>
        </w:rPr>
        <w:t xml:space="preserve"> </w:t>
      </w:r>
      <w:r>
        <w:t>possível</w:t>
      </w:r>
      <w:r>
        <w:rPr>
          <w:spacing w:val="-1"/>
        </w:rPr>
        <w:t xml:space="preserve"> </w:t>
      </w:r>
      <w:r>
        <w:t>adotar todas</w:t>
      </w:r>
      <w:r>
        <w:rPr>
          <w:spacing w:val="-2"/>
        </w:rPr>
        <w:t xml:space="preserve"> </w:t>
      </w:r>
      <w:r>
        <w:t>as medidas</w:t>
      </w:r>
      <w:r>
        <w:rPr>
          <w:spacing w:val="-1"/>
        </w:rPr>
        <w:t xml:space="preserve"> </w:t>
      </w:r>
      <w:r>
        <w:t>essenciais para evitar danos irreparáveis.</w:t>
      </w:r>
    </w:p>
    <w:p w:rsidR="007259F2" w:rsidRDefault="00E655B4">
      <w:pPr>
        <w:pStyle w:val="Corpodetexto"/>
        <w:spacing w:before="1"/>
        <w:ind w:right="989"/>
      </w:pPr>
      <w:r>
        <w:t>Ora, até a consumação do procedimento licitatório, sem qualquer irregularidade ou inobservância dos requisitos legais, o dano consequência da emergência ou calamidade já teria ocorrido.</w:t>
      </w:r>
    </w:p>
    <w:p w:rsidR="007259F2" w:rsidRDefault="00E655B4">
      <w:pPr>
        <w:pStyle w:val="Corpodetexto"/>
        <w:ind w:right="989"/>
      </w:pPr>
      <w:r>
        <w:t>Diante disso, a dispensa de licitação nos casos de emergência ou calamidade pública,</w:t>
      </w:r>
      <w:r>
        <w:rPr>
          <w:spacing w:val="-2"/>
        </w:rPr>
        <w:t xml:space="preserve"> </w:t>
      </w:r>
      <w:r>
        <w:t>configura</w:t>
      </w:r>
      <w:r>
        <w:rPr>
          <w:spacing w:val="-7"/>
        </w:rPr>
        <w:t xml:space="preserve"> </w:t>
      </w:r>
      <w:r>
        <w:t>uma</w:t>
      </w:r>
      <w:r>
        <w:rPr>
          <w:spacing w:val="-2"/>
        </w:rPr>
        <w:t xml:space="preserve"> </w:t>
      </w:r>
      <w:r>
        <w:t>modalidade</w:t>
      </w:r>
      <w:r>
        <w:rPr>
          <w:spacing w:val="-7"/>
        </w:rPr>
        <w:t xml:space="preserve"> </w:t>
      </w:r>
      <w:r>
        <w:t>de</w:t>
      </w:r>
      <w:r>
        <w:rPr>
          <w:spacing w:val="-8"/>
        </w:rPr>
        <w:t xml:space="preserve"> </w:t>
      </w:r>
      <w:r>
        <w:t>ação</w:t>
      </w:r>
      <w:r>
        <w:rPr>
          <w:spacing w:val="-7"/>
        </w:rPr>
        <w:t xml:space="preserve"> </w:t>
      </w:r>
      <w:r>
        <w:t>preventiva,</w:t>
      </w:r>
      <w:r>
        <w:rPr>
          <w:spacing w:val="-6"/>
        </w:rPr>
        <w:t xml:space="preserve"> </w:t>
      </w:r>
      <w:r>
        <w:t>voltada</w:t>
      </w:r>
      <w:r>
        <w:rPr>
          <w:spacing w:val="-7"/>
        </w:rPr>
        <w:t xml:space="preserve"> </w:t>
      </w:r>
      <w:r>
        <w:t>à</w:t>
      </w:r>
      <w:r>
        <w:rPr>
          <w:spacing w:val="-7"/>
        </w:rPr>
        <w:t xml:space="preserve"> </w:t>
      </w:r>
      <w:r>
        <w:t>proteção</w:t>
      </w:r>
      <w:r>
        <w:rPr>
          <w:spacing w:val="-2"/>
        </w:rPr>
        <w:t xml:space="preserve"> </w:t>
      </w:r>
      <w:r>
        <w:t>dos</w:t>
      </w:r>
      <w:r>
        <w:rPr>
          <w:spacing w:val="-5"/>
        </w:rPr>
        <w:t xml:space="preserve"> </w:t>
      </w:r>
      <w:r>
        <w:t>interesses que estão sob a responsabilidade do Município.</w:t>
      </w:r>
    </w:p>
    <w:p w:rsidR="007259F2" w:rsidRDefault="00E655B4">
      <w:pPr>
        <w:pStyle w:val="Corpodetexto"/>
        <w:ind w:right="988"/>
      </w:pPr>
      <w:r>
        <w:t>A emergência, portanto, deve</w:t>
      </w:r>
      <w:r>
        <w:rPr>
          <w:spacing w:val="-2"/>
        </w:rPr>
        <w:t xml:space="preserve"> </w:t>
      </w:r>
      <w:r>
        <w:t>ser fato anormal, excepcional,</w:t>
      </w:r>
      <w:r>
        <w:rPr>
          <w:spacing w:val="-1"/>
        </w:rPr>
        <w:t xml:space="preserve"> </w:t>
      </w:r>
      <w:r>
        <w:t>de grande</w:t>
      </w:r>
      <w:r>
        <w:rPr>
          <w:spacing w:val="-1"/>
        </w:rPr>
        <w:t xml:space="preserve"> </w:t>
      </w:r>
      <w:r>
        <w:t>risco</w:t>
      </w:r>
      <w:r>
        <w:rPr>
          <w:spacing w:val="-1"/>
        </w:rPr>
        <w:t xml:space="preserve"> </w:t>
      </w:r>
      <w:r>
        <w:t>e</w:t>
      </w:r>
      <w:r>
        <w:rPr>
          <w:spacing w:val="-2"/>
        </w:rPr>
        <w:t xml:space="preserve"> </w:t>
      </w:r>
      <w:r>
        <w:t>de danos, que</w:t>
      </w:r>
      <w:r>
        <w:rPr>
          <w:spacing w:val="-4"/>
        </w:rPr>
        <w:t xml:space="preserve"> </w:t>
      </w:r>
      <w:r>
        <w:t>muitas</w:t>
      </w:r>
      <w:r>
        <w:rPr>
          <w:spacing w:val="-3"/>
        </w:rPr>
        <w:t xml:space="preserve"> </w:t>
      </w:r>
      <w:r>
        <w:t>vezes não</w:t>
      </w:r>
      <w:r>
        <w:rPr>
          <w:spacing w:val="-3"/>
        </w:rPr>
        <w:t xml:space="preserve"> </w:t>
      </w:r>
      <w:r>
        <w:t>se</w:t>
      </w:r>
      <w:r>
        <w:rPr>
          <w:spacing w:val="-4"/>
        </w:rPr>
        <w:t xml:space="preserve"> </w:t>
      </w:r>
      <w:r>
        <w:t>pode</w:t>
      </w:r>
      <w:r>
        <w:rPr>
          <w:spacing w:val="-4"/>
        </w:rPr>
        <w:t xml:space="preserve"> </w:t>
      </w:r>
      <w:r>
        <w:t>prever.</w:t>
      </w:r>
      <w:r>
        <w:rPr>
          <w:spacing w:val="-4"/>
        </w:rPr>
        <w:t xml:space="preserve"> </w:t>
      </w:r>
      <w:r>
        <w:t>Marçal</w:t>
      </w:r>
      <w:r>
        <w:rPr>
          <w:spacing w:val="-2"/>
        </w:rPr>
        <w:t xml:space="preserve"> </w:t>
      </w:r>
      <w:r>
        <w:t>Justen</w:t>
      </w:r>
      <w:r>
        <w:rPr>
          <w:spacing w:val="-3"/>
        </w:rPr>
        <w:t xml:space="preserve"> </w:t>
      </w:r>
      <w:r>
        <w:t>Filho</w:t>
      </w:r>
      <w:r>
        <w:rPr>
          <w:spacing w:val="-3"/>
        </w:rPr>
        <w:t xml:space="preserve"> </w:t>
      </w:r>
      <w:r>
        <w:t>explica</w:t>
      </w:r>
      <w:r>
        <w:rPr>
          <w:spacing w:val="-4"/>
        </w:rPr>
        <w:t xml:space="preserve"> </w:t>
      </w:r>
      <w:r>
        <w:t>bem</w:t>
      </w:r>
      <w:r>
        <w:rPr>
          <w:spacing w:val="-2"/>
        </w:rPr>
        <w:t xml:space="preserve"> </w:t>
      </w:r>
      <w:r>
        <w:t>o</w:t>
      </w:r>
      <w:r>
        <w:rPr>
          <w:spacing w:val="-3"/>
        </w:rPr>
        <w:t xml:space="preserve"> </w:t>
      </w:r>
      <w:r>
        <w:t xml:space="preserve">conceito de emergência em sua doutrina, </w:t>
      </w:r>
      <w:r>
        <w:rPr>
          <w:i/>
        </w:rPr>
        <w:t>in verbis</w:t>
      </w:r>
      <w:r>
        <w:t>:</w:t>
      </w:r>
    </w:p>
    <w:p w:rsidR="007259F2" w:rsidRDefault="00E655B4">
      <w:pPr>
        <w:spacing w:before="251"/>
        <w:ind w:left="2978" w:right="987"/>
        <w:jc w:val="both"/>
        <w:rPr>
          <w:sz w:val="20"/>
        </w:rPr>
      </w:pPr>
      <w:r>
        <w:rPr>
          <w:sz w:val="20"/>
        </w:rPr>
        <w:t>[...] Todos os ramos do Direito contêm regras específicas a propósito de situações emergenciais. No direito público, é ainda maior a relevância do fenômeno. Trata-se de manifestação do instituto do “estado de necessidade”. Nele estão abrangidas todas essas situações de excepcionalidade, caracterizadas pelo risco de danos em virtude da demora na adoção de uma providência</w:t>
      </w:r>
      <w:r>
        <w:rPr>
          <w:spacing w:val="-1"/>
          <w:sz w:val="20"/>
        </w:rPr>
        <w:t xml:space="preserve"> </w:t>
      </w:r>
      <w:r>
        <w:rPr>
          <w:sz w:val="20"/>
        </w:rPr>
        <w:t>acauteladora</w:t>
      </w:r>
      <w:r>
        <w:rPr>
          <w:spacing w:val="-2"/>
          <w:sz w:val="20"/>
        </w:rPr>
        <w:t xml:space="preserve"> </w:t>
      </w:r>
      <w:r>
        <w:rPr>
          <w:sz w:val="20"/>
        </w:rPr>
        <w:t>destinada</w:t>
      </w:r>
      <w:r>
        <w:rPr>
          <w:spacing w:val="-2"/>
          <w:sz w:val="20"/>
        </w:rPr>
        <w:t xml:space="preserve"> </w:t>
      </w:r>
      <w:r>
        <w:rPr>
          <w:sz w:val="20"/>
        </w:rPr>
        <w:t>a</w:t>
      </w:r>
      <w:r>
        <w:rPr>
          <w:spacing w:val="-2"/>
          <w:sz w:val="20"/>
        </w:rPr>
        <w:t xml:space="preserve"> </w:t>
      </w:r>
      <w:r>
        <w:rPr>
          <w:sz w:val="20"/>
        </w:rPr>
        <w:t>impedir</w:t>
      </w:r>
      <w:r>
        <w:rPr>
          <w:spacing w:val="-2"/>
          <w:sz w:val="20"/>
        </w:rPr>
        <w:t xml:space="preserve"> </w:t>
      </w:r>
      <w:r>
        <w:rPr>
          <w:sz w:val="20"/>
        </w:rPr>
        <w:t>o</w:t>
      </w:r>
      <w:r>
        <w:rPr>
          <w:spacing w:val="-1"/>
          <w:sz w:val="20"/>
        </w:rPr>
        <w:t xml:space="preserve"> </w:t>
      </w:r>
      <w:r>
        <w:rPr>
          <w:sz w:val="20"/>
        </w:rPr>
        <w:t>sacrifício</w:t>
      </w:r>
      <w:r>
        <w:rPr>
          <w:spacing w:val="-1"/>
          <w:sz w:val="20"/>
        </w:rPr>
        <w:t xml:space="preserve"> </w:t>
      </w:r>
      <w:r>
        <w:rPr>
          <w:sz w:val="20"/>
        </w:rPr>
        <w:t>de</w:t>
      </w:r>
      <w:r>
        <w:rPr>
          <w:spacing w:val="40"/>
          <w:sz w:val="20"/>
        </w:rPr>
        <w:t xml:space="preserve"> </w:t>
      </w:r>
      <w:r>
        <w:rPr>
          <w:sz w:val="20"/>
        </w:rPr>
        <w:t>bens,</w:t>
      </w:r>
      <w:r>
        <w:rPr>
          <w:spacing w:val="40"/>
          <w:sz w:val="20"/>
        </w:rPr>
        <w:t xml:space="preserve"> </w:t>
      </w:r>
      <w:r>
        <w:rPr>
          <w:sz w:val="20"/>
        </w:rPr>
        <w:t>interesses e valores protegidos pelo Direito. No caso específico das contratações</w:t>
      </w:r>
      <w:r>
        <w:rPr>
          <w:spacing w:val="80"/>
          <w:sz w:val="20"/>
        </w:rPr>
        <w:t xml:space="preserve"> </w:t>
      </w:r>
      <w:r>
        <w:rPr>
          <w:sz w:val="20"/>
        </w:rPr>
        <w:t>diretas, emergência significa necessidade de atendimento imediato a certos interesses. Demora em realizar a prestação produziria risco de sacrifício de valores</w:t>
      </w:r>
      <w:r>
        <w:rPr>
          <w:spacing w:val="-7"/>
          <w:sz w:val="20"/>
        </w:rPr>
        <w:t xml:space="preserve"> </w:t>
      </w:r>
      <w:r>
        <w:rPr>
          <w:sz w:val="20"/>
        </w:rPr>
        <w:t>tutelados</w:t>
      </w:r>
      <w:r>
        <w:rPr>
          <w:spacing w:val="-7"/>
          <w:sz w:val="20"/>
        </w:rPr>
        <w:t xml:space="preserve"> </w:t>
      </w:r>
      <w:r>
        <w:rPr>
          <w:sz w:val="20"/>
        </w:rPr>
        <w:t>pelo</w:t>
      </w:r>
      <w:r>
        <w:rPr>
          <w:spacing w:val="-6"/>
          <w:sz w:val="20"/>
        </w:rPr>
        <w:t xml:space="preserve"> </w:t>
      </w:r>
      <w:r>
        <w:rPr>
          <w:sz w:val="20"/>
        </w:rPr>
        <w:t>ordenamento</w:t>
      </w:r>
      <w:r>
        <w:rPr>
          <w:spacing w:val="-5"/>
          <w:sz w:val="20"/>
        </w:rPr>
        <w:t xml:space="preserve"> </w:t>
      </w:r>
      <w:r>
        <w:rPr>
          <w:sz w:val="20"/>
        </w:rPr>
        <w:t>jurídico.</w:t>
      </w:r>
      <w:r>
        <w:rPr>
          <w:spacing w:val="-6"/>
          <w:sz w:val="20"/>
        </w:rPr>
        <w:t xml:space="preserve"> </w:t>
      </w:r>
      <w:r>
        <w:rPr>
          <w:sz w:val="20"/>
        </w:rPr>
        <w:t>Como</w:t>
      </w:r>
      <w:r>
        <w:rPr>
          <w:spacing w:val="-6"/>
          <w:sz w:val="20"/>
        </w:rPr>
        <w:t xml:space="preserve"> </w:t>
      </w:r>
      <w:r>
        <w:rPr>
          <w:sz w:val="20"/>
        </w:rPr>
        <w:t>a</w:t>
      </w:r>
      <w:r>
        <w:rPr>
          <w:spacing w:val="-7"/>
          <w:sz w:val="20"/>
        </w:rPr>
        <w:t xml:space="preserve"> </w:t>
      </w:r>
      <w:r>
        <w:rPr>
          <w:sz w:val="20"/>
        </w:rPr>
        <w:t>licitação</w:t>
      </w:r>
      <w:r>
        <w:rPr>
          <w:spacing w:val="-5"/>
          <w:sz w:val="20"/>
        </w:rPr>
        <w:t xml:space="preserve"> </w:t>
      </w:r>
      <w:r>
        <w:rPr>
          <w:sz w:val="20"/>
        </w:rPr>
        <w:t>pressupõe</w:t>
      </w:r>
      <w:r>
        <w:rPr>
          <w:spacing w:val="-6"/>
          <w:sz w:val="20"/>
        </w:rPr>
        <w:t xml:space="preserve"> </w:t>
      </w:r>
      <w:r>
        <w:rPr>
          <w:sz w:val="20"/>
        </w:rPr>
        <w:t>certa demora para seu trâmite, submeter a contratação ao processo licitatório propiciaria a concretização do sacrifício a esses valores. No caso específico das contratações diretas, emergência significa necessidade de atendimento imediato a certos interesses. Demora em realizar a prestação produziria risco de</w:t>
      </w:r>
      <w:r>
        <w:rPr>
          <w:spacing w:val="-10"/>
          <w:sz w:val="20"/>
        </w:rPr>
        <w:t xml:space="preserve"> </w:t>
      </w:r>
      <w:r>
        <w:rPr>
          <w:sz w:val="20"/>
        </w:rPr>
        <w:t>sacrifício</w:t>
      </w:r>
      <w:r>
        <w:rPr>
          <w:spacing w:val="-9"/>
          <w:sz w:val="20"/>
        </w:rPr>
        <w:t xml:space="preserve"> </w:t>
      </w:r>
      <w:r>
        <w:rPr>
          <w:sz w:val="20"/>
        </w:rPr>
        <w:t>de</w:t>
      </w:r>
      <w:r>
        <w:rPr>
          <w:spacing w:val="-8"/>
          <w:sz w:val="20"/>
        </w:rPr>
        <w:t xml:space="preserve"> </w:t>
      </w:r>
      <w:r>
        <w:rPr>
          <w:sz w:val="20"/>
        </w:rPr>
        <w:t>valores</w:t>
      </w:r>
      <w:r>
        <w:rPr>
          <w:spacing w:val="-10"/>
          <w:sz w:val="20"/>
        </w:rPr>
        <w:t xml:space="preserve"> </w:t>
      </w:r>
      <w:r>
        <w:rPr>
          <w:sz w:val="20"/>
        </w:rPr>
        <w:t>tutelados</w:t>
      </w:r>
      <w:r>
        <w:rPr>
          <w:spacing w:val="-10"/>
          <w:sz w:val="20"/>
        </w:rPr>
        <w:t xml:space="preserve"> </w:t>
      </w:r>
      <w:r>
        <w:rPr>
          <w:sz w:val="20"/>
        </w:rPr>
        <w:t>pelo ordenamento jurídico. Como a licitação pressupõe certa demora para seu trâmite, submeter a</w:t>
      </w:r>
      <w:r>
        <w:rPr>
          <w:spacing w:val="-1"/>
          <w:sz w:val="20"/>
        </w:rPr>
        <w:t xml:space="preserve"> </w:t>
      </w:r>
      <w:r>
        <w:rPr>
          <w:sz w:val="20"/>
        </w:rPr>
        <w:t>contratação</w:t>
      </w:r>
      <w:r>
        <w:rPr>
          <w:spacing w:val="-1"/>
          <w:sz w:val="20"/>
        </w:rPr>
        <w:t xml:space="preserve"> </w:t>
      </w:r>
      <w:r>
        <w:rPr>
          <w:sz w:val="20"/>
        </w:rPr>
        <w:t>ao processo licitatório propiciaria a concretização do sacrifício a esses valores.</w:t>
      </w:r>
      <w:r>
        <w:rPr>
          <w:sz w:val="20"/>
          <w:vertAlign w:val="superscript"/>
        </w:rPr>
        <w:t>6</w:t>
      </w:r>
    </w:p>
    <w:p w:rsidR="007259F2" w:rsidRDefault="007259F2">
      <w:pPr>
        <w:pStyle w:val="Corpodetexto"/>
        <w:spacing w:before="45"/>
        <w:ind w:left="0" w:firstLine="0"/>
        <w:jc w:val="left"/>
        <w:rPr>
          <w:sz w:val="20"/>
        </w:rPr>
      </w:pPr>
    </w:p>
    <w:p w:rsidR="007259F2" w:rsidRDefault="00E655B4">
      <w:pPr>
        <w:pStyle w:val="Corpodetexto"/>
        <w:ind w:right="996"/>
      </w:pPr>
      <w:r>
        <w:t xml:space="preserve">Assim, não restam dúvidas de que a contratação emergencial é instrumento fundamental que permite a Administração intervir rapidamente em situações urgentes, de modo a resguardar o interesse público e coletivo, com o objetivo de mitigar danos </w:t>
      </w:r>
      <w:r>
        <w:rPr>
          <w:spacing w:val="-2"/>
        </w:rPr>
        <w:t>graves.</w:t>
      </w:r>
    </w:p>
    <w:p w:rsidR="007259F2" w:rsidRDefault="00E655B4">
      <w:pPr>
        <w:pStyle w:val="Corpodetexto"/>
        <w:ind w:right="991"/>
      </w:pPr>
      <w:r>
        <w:t>Portanto, o uso deste instrumento está restrito às circunstâncias que realmente se caracterizam como emergência, com a devida justificativa, formalização e controle, de modo a evitar que as contratações municipais não sejam consideradas embasadas na chamada “emergência fabricada”.</w:t>
      </w:r>
    </w:p>
    <w:p w:rsidR="007259F2" w:rsidRDefault="00DE6B1C">
      <w:pPr>
        <w:pStyle w:val="Corpodetexto"/>
        <w:spacing w:before="192"/>
        <w:ind w:left="0" w:firstLine="0"/>
        <w:jc w:val="left"/>
        <w:rPr>
          <w:sz w:val="20"/>
        </w:rPr>
      </w:pPr>
      <w:r w:rsidRPr="00DE6B1C">
        <w:rPr>
          <w:sz w:val="20"/>
        </w:rPr>
        <w:pict>
          <v:rect id="docshape42" o:spid="_x0000_s1184" style="position:absolute;margin-left:85.1pt;margin-top:22.3pt;width:2in;height:.7pt;z-index:-15715328;mso-wrap-distance-left:0;mso-wrap-distance-right:0;mso-position-horizontal-relative:page" fillcolor="black" stroked="f">
            <w10:wrap type="topAndBottom" anchorx="page"/>
          </v:rect>
        </w:pict>
      </w:r>
    </w:p>
    <w:p w:rsidR="007259F2" w:rsidRDefault="00E655B4">
      <w:pPr>
        <w:spacing w:before="96"/>
        <w:ind w:left="710" w:right="990"/>
        <w:rPr>
          <w:sz w:val="20"/>
        </w:rPr>
      </w:pPr>
      <w:r>
        <w:rPr>
          <w:sz w:val="20"/>
          <w:vertAlign w:val="superscript"/>
        </w:rPr>
        <w:t>6</w:t>
      </w:r>
      <w:r>
        <w:rPr>
          <w:sz w:val="20"/>
        </w:rPr>
        <w:t xml:space="preserve"> JUSTEN FILHO, Marçal. </w:t>
      </w:r>
      <w:r>
        <w:rPr>
          <w:b/>
          <w:sz w:val="20"/>
        </w:rPr>
        <w:t>Comentários à Lei de Licitações e Contratos Administrativos</w:t>
      </w:r>
      <w:r>
        <w:rPr>
          <w:sz w:val="20"/>
        </w:rPr>
        <w:t>, 3. ed., São Paulo, Revista dos Tribunais, 2019, Page RL-1.8</w:t>
      </w:r>
    </w:p>
    <w:p w:rsidR="007259F2" w:rsidRDefault="007259F2">
      <w:pPr>
        <w:rPr>
          <w:sz w:val="20"/>
        </w:rPr>
        <w:sectPr w:rsidR="007259F2">
          <w:pgSz w:w="11910" w:h="16840"/>
          <w:pgMar w:top="1320" w:right="708" w:bottom="1160" w:left="992" w:header="0" w:footer="962" w:gutter="0"/>
          <w:cols w:space="720"/>
        </w:sectPr>
      </w:pPr>
    </w:p>
    <w:p w:rsidR="007259F2" w:rsidRDefault="00E655B4">
      <w:pPr>
        <w:pStyle w:val="Heading2"/>
        <w:numPr>
          <w:ilvl w:val="0"/>
          <w:numId w:val="41"/>
        </w:numPr>
        <w:tabs>
          <w:tab w:val="left" w:pos="950"/>
        </w:tabs>
        <w:spacing w:before="77"/>
        <w:ind w:left="950" w:hanging="240"/>
        <w:jc w:val="left"/>
      </w:pPr>
      <w:r>
        <w:lastRenderedPageBreak/>
        <w:t>Emergência</w:t>
      </w:r>
      <w:r>
        <w:rPr>
          <w:spacing w:val="-10"/>
        </w:rPr>
        <w:t xml:space="preserve"> </w:t>
      </w:r>
      <w:r>
        <w:t>Fabricada</w:t>
      </w:r>
      <w:r>
        <w:rPr>
          <w:spacing w:val="-13"/>
        </w:rPr>
        <w:t xml:space="preserve"> </w:t>
      </w:r>
      <w:r>
        <w:t>–</w:t>
      </w:r>
      <w:r>
        <w:rPr>
          <w:spacing w:val="-14"/>
        </w:rPr>
        <w:t xml:space="preserve"> </w:t>
      </w:r>
      <w:r>
        <w:rPr>
          <w:spacing w:val="-2"/>
        </w:rPr>
        <w:t>Conceito</w:t>
      </w:r>
    </w:p>
    <w:p w:rsidR="007259F2" w:rsidRDefault="00E655B4">
      <w:pPr>
        <w:pStyle w:val="Corpodetexto"/>
        <w:spacing w:before="156"/>
        <w:ind w:right="995"/>
      </w:pPr>
      <w:r>
        <w:t>Como dito, a contratação emergencial regular e válida deve preencher os requisitos e atender às exigências legais, quais sejam: a demonstração concreta da ocorrência de um dano efetivo e irreparável e a comprovação de que a contratação é capaz de evitá-lo.</w:t>
      </w:r>
    </w:p>
    <w:p w:rsidR="007259F2" w:rsidRDefault="00E655B4">
      <w:pPr>
        <w:pStyle w:val="Corpodetexto"/>
        <w:ind w:right="991"/>
      </w:pPr>
      <w:r>
        <w:t>Sendo assim, não se admite que a dispensa seja fundada em supostos prejuízos ou danos teóricos. Novamente, os danos devem ser comprovadamente irreparáveis, de modo que haja risco de comprometimento da segurança, com a implicação de risco de destruição ou danos à integridade física e mental das pessoas, bem como risco de perda ou deterioração de bens.</w:t>
      </w:r>
    </w:p>
    <w:p w:rsidR="007259F2" w:rsidRDefault="00E655B4">
      <w:pPr>
        <w:pStyle w:val="Corpodetexto"/>
        <w:ind w:right="989"/>
      </w:pPr>
      <w:r>
        <w:t>Além disso, a dispensa de licitação não pode ser utilizada como instrumento quando a Administração Pública, por desídia, não realiza em tempo, a licitação que já era prevista. A omissão da Administração, que consiste em cumprir os prazos ou procedimentos legais necessários para a realização do certame, não configura fundamento válido para a dispensa.</w:t>
      </w:r>
    </w:p>
    <w:p w:rsidR="007259F2" w:rsidRDefault="00E655B4">
      <w:pPr>
        <w:pStyle w:val="Corpodetexto"/>
        <w:spacing w:before="1"/>
        <w:ind w:right="990"/>
      </w:pPr>
      <w:r>
        <w:t>Daí que surge a chamada “emergência fabricada”. O conceito doutrinário revela que, nestes casos, a emergência decorre por falta de planejamento, por desídia ou</w:t>
      </w:r>
      <w:r>
        <w:rPr>
          <w:spacing w:val="40"/>
        </w:rPr>
        <w:t xml:space="preserve"> </w:t>
      </w:r>
      <w:r>
        <w:t>mesmo em razão de má gestão dos recursos disponíveis.</w:t>
      </w:r>
    </w:p>
    <w:p w:rsidR="007259F2" w:rsidRDefault="00E655B4">
      <w:pPr>
        <w:pStyle w:val="Corpodetexto"/>
        <w:spacing w:line="274" w:lineRule="exact"/>
        <w:ind w:left="1418" w:firstLine="0"/>
      </w:pPr>
      <w:r>
        <w:t>Nessa</w:t>
      </w:r>
      <w:r>
        <w:rPr>
          <w:spacing w:val="-1"/>
        </w:rPr>
        <w:t xml:space="preserve"> </w:t>
      </w:r>
      <w:r>
        <w:t>orientação</w:t>
      </w:r>
      <w:r>
        <w:rPr>
          <w:spacing w:val="-1"/>
        </w:rPr>
        <w:t xml:space="preserve"> </w:t>
      </w:r>
      <w:r>
        <w:t>diz Marçal</w:t>
      </w:r>
      <w:r>
        <w:rPr>
          <w:spacing w:val="-1"/>
        </w:rPr>
        <w:t xml:space="preserve"> </w:t>
      </w:r>
      <w:r>
        <w:t>Justen</w:t>
      </w:r>
      <w:r>
        <w:rPr>
          <w:spacing w:val="-1"/>
        </w:rPr>
        <w:t xml:space="preserve"> </w:t>
      </w:r>
      <w:r>
        <w:rPr>
          <w:spacing w:val="-2"/>
        </w:rPr>
        <w:t>Filho:</w:t>
      </w:r>
    </w:p>
    <w:p w:rsidR="007259F2" w:rsidRDefault="007259F2">
      <w:pPr>
        <w:pStyle w:val="Corpodetexto"/>
        <w:spacing w:before="1"/>
        <w:ind w:left="0" w:firstLine="0"/>
        <w:jc w:val="left"/>
      </w:pPr>
    </w:p>
    <w:p w:rsidR="007259F2" w:rsidRDefault="00E655B4">
      <w:pPr>
        <w:ind w:left="2978" w:right="994"/>
        <w:jc w:val="both"/>
        <w:rPr>
          <w:sz w:val="20"/>
        </w:rPr>
      </w:pPr>
      <w:r>
        <w:rPr>
          <w:sz w:val="20"/>
        </w:rPr>
        <w:t>[...] A questão apresenta relevância especialmente no tocante à comumente denominada</w:t>
      </w:r>
      <w:r>
        <w:rPr>
          <w:spacing w:val="-1"/>
          <w:sz w:val="20"/>
        </w:rPr>
        <w:t xml:space="preserve"> </w:t>
      </w:r>
      <w:r>
        <w:rPr>
          <w:sz w:val="20"/>
        </w:rPr>
        <w:t>“emergência fabricada”,</w:t>
      </w:r>
      <w:r>
        <w:rPr>
          <w:spacing w:val="-2"/>
          <w:sz w:val="20"/>
        </w:rPr>
        <w:t xml:space="preserve"> </w:t>
      </w:r>
      <w:r>
        <w:rPr>
          <w:sz w:val="20"/>
        </w:rPr>
        <w:t>em</w:t>
      </w:r>
      <w:r>
        <w:rPr>
          <w:spacing w:val="-6"/>
          <w:sz w:val="20"/>
        </w:rPr>
        <w:t xml:space="preserve"> </w:t>
      </w:r>
      <w:r>
        <w:rPr>
          <w:sz w:val="20"/>
        </w:rPr>
        <w:t>que</w:t>
      </w:r>
      <w:r>
        <w:rPr>
          <w:spacing w:val="-1"/>
          <w:sz w:val="20"/>
        </w:rPr>
        <w:t xml:space="preserve"> </w:t>
      </w:r>
      <w:r>
        <w:rPr>
          <w:sz w:val="20"/>
        </w:rPr>
        <w:t>a Administração</w:t>
      </w:r>
      <w:r>
        <w:rPr>
          <w:spacing w:val="-1"/>
          <w:sz w:val="20"/>
        </w:rPr>
        <w:t xml:space="preserve"> </w:t>
      </w:r>
      <w:r>
        <w:rPr>
          <w:sz w:val="20"/>
        </w:rPr>
        <w:t>deixa</w:t>
      </w:r>
      <w:r>
        <w:rPr>
          <w:spacing w:val="-1"/>
          <w:sz w:val="20"/>
        </w:rPr>
        <w:t xml:space="preserve"> </w:t>
      </w:r>
      <w:r>
        <w:rPr>
          <w:sz w:val="20"/>
        </w:rPr>
        <w:t>de</w:t>
      </w:r>
      <w:r>
        <w:rPr>
          <w:spacing w:val="-1"/>
          <w:sz w:val="20"/>
        </w:rPr>
        <w:t xml:space="preserve"> </w:t>
      </w:r>
      <w:r>
        <w:rPr>
          <w:sz w:val="20"/>
        </w:rPr>
        <w:t>tomar tempestivamente as providências necessárias à realização da licitação previsível. Assim, atinge-se o termo final de um contrato sem que a licitação necessária à nova contratação tenha sido realizada. Isso coloca a Administração diante do dilema de fazer licitação (e cessar o atendimento a necessidades impostergáveis) ou realizar a contratação direta (sob invocação da emergência).</w:t>
      </w:r>
      <w:r>
        <w:rPr>
          <w:sz w:val="20"/>
          <w:vertAlign w:val="superscript"/>
        </w:rPr>
        <w:t>7</w:t>
      </w:r>
    </w:p>
    <w:p w:rsidR="007259F2" w:rsidRDefault="007259F2">
      <w:pPr>
        <w:pStyle w:val="Corpodetexto"/>
        <w:ind w:left="0" w:firstLine="0"/>
        <w:jc w:val="left"/>
      </w:pPr>
    </w:p>
    <w:p w:rsidR="007259F2" w:rsidRDefault="00E655B4">
      <w:pPr>
        <w:pStyle w:val="Corpodetexto"/>
        <w:ind w:left="427" w:firstLine="0"/>
        <w:jc w:val="center"/>
      </w:pPr>
      <w:r>
        <w:t>Tal</w:t>
      </w:r>
      <w:r>
        <w:rPr>
          <w:spacing w:val="39"/>
        </w:rPr>
        <w:t xml:space="preserve"> </w:t>
      </w:r>
      <w:r>
        <w:t>entendimento</w:t>
      </w:r>
      <w:r>
        <w:rPr>
          <w:spacing w:val="47"/>
        </w:rPr>
        <w:t xml:space="preserve"> </w:t>
      </w:r>
      <w:r>
        <w:t>também</w:t>
      </w:r>
      <w:r>
        <w:rPr>
          <w:spacing w:val="43"/>
        </w:rPr>
        <w:t xml:space="preserve"> </w:t>
      </w:r>
      <w:r>
        <w:t>está</w:t>
      </w:r>
      <w:r>
        <w:rPr>
          <w:spacing w:val="42"/>
        </w:rPr>
        <w:t xml:space="preserve"> </w:t>
      </w:r>
      <w:r>
        <w:t>previsto</w:t>
      </w:r>
      <w:r>
        <w:rPr>
          <w:spacing w:val="42"/>
        </w:rPr>
        <w:t xml:space="preserve"> </w:t>
      </w:r>
      <w:r>
        <w:t>na</w:t>
      </w:r>
      <w:r>
        <w:rPr>
          <w:spacing w:val="41"/>
        </w:rPr>
        <w:t xml:space="preserve"> </w:t>
      </w:r>
      <w:r>
        <w:t>Orientação</w:t>
      </w:r>
      <w:r>
        <w:rPr>
          <w:spacing w:val="45"/>
        </w:rPr>
        <w:t xml:space="preserve"> </w:t>
      </w:r>
      <w:r>
        <w:t>Normativa</w:t>
      </w:r>
      <w:r>
        <w:rPr>
          <w:spacing w:val="42"/>
        </w:rPr>
        <w:t xml:space="preserve"> </w:t>
      </w:r>
      <w:r>
        <w:t>11/2009</w:t>
      </w:r>
      <w:r>
        <w:rPr>
          <w:spacing w:val="42"/>
        </w:rPr>
        <w:t xml:space="preserve"> </w:t>
      </w:r>
      <w:r>
        <w:rPr>
          <w:spacing w:val="-5"/>
        </w:rPr>
        <w:t>da</w:t>
      </w:r>
    </w:p>
    <w:p w:rsidR="007259F2" w:rsidRDefault="00E655B4">
      <w:pPr>
        <w:pStyle w:val="Corpodetexto"/>
        <w:ind w:firstLine="0"/>
        <w:jc w:val="left"/>
      </w:pPr>
      <w:r>
        <w:rPr>
          <w:spacing w:val="-4"/>
        </w:rPr>
        <w:t>AGU:</w:t>
      </w:r>
    </w:p>
    <w:p w:rsidR="007259F2" w:rsidRDefault="007259F2">
      <w:pPr>
        <w:pStyle w:val="Corpodetexto"/>
        <w:spacing w:before="47"/>
        <w:ind w:left="0" w:firstLine="0"/>
        <w:jc w:val="left"/>
        <w:rPr>
          <w:sz w:val="20"/>
        </w:rPr>
      </w:pPr>
    </w:p>
    <w:p w:rsidR="007259F2" w:rsidRDefault="00E655B4">
      <w:pPr>
        <w:spacing w:before="1"/>
        <w:ind w:left="2978" w:right="991"/>
        <w:jc w:val="both"/>
        <w:rPr>
          <w:sz w:val="20"/>
        </w:rPr>
      </w:pPr>
      <w:r>
        <w:rPr>
          <w:sz w:val="20"/>
        </w:rPr>
        <w:t>A contratação direta com fundamento no inc. IV do art. 24 da Lei 8.666, de 1993, exige que, concomitantemente, seja apurado se a situação emergencial foi gerada por falta de planejamento, desídia ou má gestão, hipótese que, quem lhe deu causa será responsabilizado na forma da lei.</w:t>
      </w:r>
      <w:r>
        <w:rPr>
          <w:sz w:val="20"/>
          <w:vertAlign w:val="superscript"/>
        </w:rPr>
        <w:t>8</w:t>
      </w:r>
    </w:p>
    <w:p w:rsidR="007259F2" w:rsidRDefault="007259F2">
      <w:pPr>
        <w:pStyle w:val="Corpodetexto"/>
        <w:ind w:left="0" w:firstLine="0"/>
        <w:jc w:val="left"/>
        <w:rPr>
          <w:sz w:val="20"/>
        </w:rPr>
      </w:pPr>
    </w:p>
    <w:p w:rsidR="007259F2" w:rsidRDefault="007259F2">
      <w:pPr>
        <w:pStyle w:val="Corpodetexto"/>
        <w:spacing w:before="47"/>
        <w:ind w:left="0" w:firstLine="0"/>
        <w:jc w:val="left"/>
        <w:rPr>
          <w:sz w:val="20"/>
        </w:rPr>
      </w:pPr>
    </w:p>
    <w:p w:rsidR="007259F2" w:rsidRDefault="00E655B4">
      <w:pPr>
        <w:pStyle w:val="Corpodetexto"/>
        <w:ind w:right="989"/>
      </w:pPr>
      <w:r>
        <w:t>Apesar da emergência fabricada ser considerada a partir da inépcia, negligência</w:t>
      </w:r>
      <w:r>
        <w:rPr>
          <w:spacing w:val="40"/>
        </w:rPr>
        <w:t xml:space="preserve"> </w:t>
      </w:r>
      <w:r>
        <w:t xml:space="preserve">e desídia administrativa, a jurisprudência tem entendido pela possibilidade do prosseguimento da dispensa, em razão da preservação do interesse público e coletivo, </w:t>
      </w:r>
      <w:r>
        <w:rPr>
          <w:spacing w:val="-2"/>
        </w:rPr>
        <w:t>vejamos:</w:t>
      </w:r>
    </w:p>
    <w:p w:rsidR="007259F2" w:rsidRDefault="00E655B4">
      <w:pPr>
        <w:spacing w:before="232"/>
        <w:ind w:left="2978" w:right="990"/>
        <w:jc w:val="both"/>
        <w:rPr>
          <w:sz w:val="20"/>
        </w:rPr>
      </w:pPr>
      <w:r>
        <w:rPr>
          <w:sz w:val="20"/>
        </w:rPr>
        <w:t>13. Nesse ponto, cabe lembrar o entendimento deste Tribunal, expresso no Acórdão 46/2002-Plenário, de que a contratação direta também se mostra possível quando a situação de emergência decorrer da falta de planejamento, da desídia administrativa ou da má gestão dos recursos públicos, pois, ‘a inércia</w:t>
      </w:r>
      <w:r>
        <w:rPr>
          <w:spacing w:val="2"/>
          <w:sz w:val="20"/>
        </w:rPr>
        <w:t xml:space="preserve"> </w:t>
      </w:r>
      <w:r>
        <w:rPr>
          <w:sz w:val="20"/>
        </w:rPr>
        <w:t>do</w:t>
      </w:r>
      <w:r>
        <w:rPr>
          <w:spacing w:val="-2"/>
          <w:sz w:val="20"/>
        </w:rPr>
        <w:t xml:space="preserve"> </w:t>
      </w:r>
      <w:r>
        <w:rPr>
          <w:sz w:val="20"/>
        </w:rPr>
        <w:t>servidor,</w:t>
      </w:r>
      <w:r>
        <w:rPr>
          <w:spacing w:val="2"/>
          <w:sz w:val="20"/>
        </w:rPr>
        <w:t xml:space="preserve"> </w:t>
      </w:r>
      <w:r>
        <w:rPr>
          <w:sz w:val="20"/>
        </w:rPr>
        <w:t>culposa</w:t>
      </w:r>
      <w:r>
        <w:rPr>
          <w:spacing w:val="2"/>
          <w:sz w:val="20"/>
        </w:rPr>
        <w:t xml:space="preserve"> </w:t>
      </w:r>
      <w:r>
        <w:rPr>
          <w:sz w:val="20"/>
        </w:rPr>
        <w:t>ou dolosa,</w:t>
      </w:r>
      <w:r>
        <w:rPr>
          <w:spacing w:val="8"/>
          <w:sz w:val="20"/>
        </w:rPr>
        <w:t xml:space="preserve"> </w:t>
      </w:r>
      <w:r>
        <w:rPr>
          <w:sz w:val="20"/>
        </w:rPr>
        <w:t>não</w:t>
      </w:r>
      <w:r>
        <w:rPr>
          <w:spacing w:val="9"/>
          <w:sz w:val="20"/>
        </w:rPr>
        <w:t xml:space="preserve"> </w:t>
      </w:r>
      <w:r>
        <w:rPr>
          <w:sz w:val="20"/>
        </w:rPr>
        <w:t>pode</w:t>
      </w:r>
      <w:r>
        <w:rPr>
          <w:spacing w:val="8"/>
          <w:sz w:val="20"/>
        </w:rPr>
        <w:t xml:space="preserve"> </w:t>
      </w:r>
      <w:r>
        <w:rPr>
          <w:sz w:val="20"/>
        </w:rPr>
        <w:t>vir</w:t>
      </w:r>
      <w:r>
        <w:rPr>
          <w:spacing w:val="11"/>
          <w:sz w:val="20"/>
        </w:rPr>
        <w:t xml:space="preserve"> </w:t>
      </w:r>
      <w:r>
        <w:rPr>
          <w:sz w:val="20"/>
        </w:rPr>
        <w:t>em</w:t>
      </w:r>
      <w:r>
        <w:rPr>
          <w:spacing w:val="6"/>
          <w:sz w:val="20"/>
        </w:rPr>
        <w:t xml:space="preserve"> </w:t>
      </w:r>
      <w:r>
        <w:rPr>
          <w:sz w:val="20"/>
        </w:rPr>
        <w:t>prejuízo</w:t>
      </w:r>
      <w:r>
        <w:rPr>
          <w:spacing w:val="9"/>
          <w:sz w:val="20"/>
        </w:rPr>
        <w:t xml:space="preserve"> </w:t>
      </w:r>
      <w:r>
        <w:rPr>
          <w:sz w:val="20"/>
        </w:rPr>
        <w:t>de</w:t>
      </w:r>
      <w:r>
        <w:rPr>
          <w:spacing w:val="8"/>
          <w:sz w:val="20"/>
        </w:rPr>
        <w:t xml:space="preserve"> </w:t>
      </w:r>
      <w:r>
        <w:rPr>
          <w:spacing w:val="-2"/>
          <w:sz w:val="20"/>
        </w:rPr>
        <w:t>interesse</w:t>
      </w:r>
    </w:p>
    <w:p w:rsidR="007259F2" w:rsidRDefault="007259F2">
      <w:pPr>
        <w:pStyle w:val="Corpodetexto"/>
        <w:ind w:left="0" w:firstLine="0"/>
        <w:jc w:val="left"/>
        <w:rPr>
          <w:sz w:val="20"/>
        </w:rPr>
      </w:pPr>
    </w:p>
    <w:p w:rsidR="007259F2" w:rsidRDefault="00DE6B1C">
      <w:pPr>
        <w:pStyle w:val="Corpodetexto"/>
        <w:spacing w:before="182"/>
        <w:ind w:left="0" w:firstLine="0"/>
        <w:jc w:val="left"/>
        <w:rPr>
          <w:sz w:val="20"/>
        </w:rPr>
      </w:pPr>
      <w:r w:rsidRPr="00DE6B1C">
        <w:rPr>
          <w:sz w:val="20"/>
        </w:rPr>
        <w:pict>
          <v:rect id="docshape43" o:spid="_x0000_s1183" style="position:absolute;margin-left:85.1pt;margin-top:21.85pt;width:2in;height:.7pt;z-index:-15714816;mso-wrap-distance-left:0;mso-wrap-distance-right:0;mso-position-horizontal-relative:page" fillcolor="black" stroked="f">
            <w10:wrap type="topAndBottom" anchorx="page"/>
          </v:rect>
        </w:pict>
      </w:r>
    </w:p>
    <w:p w:rsidR="007259F2" w:rsidRDefault="00E655B4">
      <w:pPr>
        <w:spacing w:before="97"/>
        <w:ind w:left="710"/>
        <w:rPr>
          <w:sz w:val="20"/>
        </w:rPr>
      </w:pPr>
      <w:r>
        <w:rPr>
          <w:sz w:val="20"/>
          <w:vertAlign w:val="superscript"/>
        </w:rPr>
        <w:t>7</w:t>
      </w:r>
      <w:r>
        <w:rPr>
          <w:spacing w:val="-5"/>
          <w:sz w:val="20"/>
        </w:rPr>
        <w:t xml:space="preserve"> </w:t>
      </w:r>
      <w:r>
        <w:rPr>
          <w:sz w:val="20"/>
        </w:rPr>
        <w:t>JUSTEN</w:t>
      </w:r>
      <w:r>
        <w:rPr>
          <w:spacing w:val="-5"/>
          <w:sz w:val="20"/>
        </w:rPr>
        <w:t xml:space="preserve"> </w:t>
      </w:r>
      <w:r>
        <w:rPr>
          <w:sz w:val="20"/>
        </w:rPr>
        <w:t>FILHO,</w:t>
      </w:r>
      <w:r>
        <w:rPr>
          <w:spacing w:val="-12"/>
          <w:sz w:val="20"/>
        </w:rPr>
        <w:t xml:space="preserve"> </w:t>
      </w:r>
      <w:r>
        <w:rPr>
          <w:sz w:val="20"/>
        </w:rPr>
        <w:t>Marçal,</w:t>
      </w:r>
      <w:r>
        <w:rPr>
          <w:spacing w:val="-12"/>
          <w:sz w:val="20"/>
        </w:rPr>
        <w:t xml:space="preserve"> </w:t>
      </w:r>
      <w:r>
        <w:rPr>
          <w:i/>
          <w:sz w:val="20"/>
        </w:rPr>
        <w:t>op.</w:t>
      </w:r>
      <w:r>
        <w:rPr>
          <w:i/>
          <w:spacing w:val="-7"/>
          <w:sz w:val="20"/>
        </w:rPr>
        <w:t xml:space="preserve"> </w:t>
      </w:r>
      <w:r>
        <w:rPr>
          <w:i/>
          <w:sz w:val="20"/>
        </w:rPr>
        <w:t>cit</w:t>
      </w:r>
      <w:r>
        <w:rPr>
          <w:sz w:val="20"/>
        </w:rPr>
        <w:t>.,</w:t>
      </w:r>
      <w:r>
        <w:rPr>
          <w:spacing w:val="-5"/>
          <w:sz w:val="20"/>
        </w:rPr>
        <w:t xml:space="preserve"> </w:t>
      </w:r>
      <w:r>
        <w:rPr>
          <w:sz w:val="20"/>
        </w:rPr>
        <w:t>Page</w:t>
      </w:r>
      <w:r>
        <w:rPr>
          <w:spacing w:val="-5"/>
          <w:sz w:val="20"/>
        </w:rPr>
        <w:t xml:space="preserve"> </w:t>
      </w:r>
      <w:r>
        <w:rPr>
          <w:sz w:val="20"/>
        </w:rPr>
        <w:t>RL-</w:t>
      </w:r>
      <w:r>
        <w:rPr>
          <w:spacing w:val="-5"/>
          <w:sz w:val="20"/>
        </w:rPr>
        <w:t>1.8</w:t>
      </w:r>
    </w:p>
    <w:p w:rsidR="007259F2" w:rsidRDefault="00E655B4">
      <w:pPr>
        <w:ind w:left="710" w:right="990"/>
        <w:rPr>
          <w:sz w:val="20"/>
        </w:rPr>
      </w:pPr>
      <w:r>
        <w:rPr>
          <w:sz w:val="20"/>
          <w:vertAlign w:val="superscript"/>
        </w:rPr>
        <w:t>8</w:t>
      </w:r>
      <w:r>
        <w:rPr>
          <w:sz w:val="20"/>
        </w:rPr>
        <w:t xml:space="preserve"> BRASIL. Advocacia-Geral</w:t>
      </w:r>
      <w:r>
        <w:rPr>
          <w:spacing w:val="29"/>
          <w:sz w:val="20"/>
        </w:rPr>
        <w:t xml:space="preserve"> </w:t>
      </w:r>
      <w:r>
        <w:rPr>
          <w:sz w:val="20"/>
        </w:rPr>
        <w:t>da</w:t>
      </w:r>
      <w:r>
        <w:rPr>
          <w:spacing w:val="31"/>
          <w:sz w:val="20"/>
        </w:rPr>
        <w:t xml:space="preserve"> </w:t>
      </w:r>
      <w:r>
        <w:rPr>
          <w:sz w:val="20"/>
        </w:rPr>
        <w:t>União.</w:t>
      </w:r>
      <w:r>
        <w:rPr>
          <w:spacing w:val="29"/>
          <w:sz w:val="20"/>
        </w:rPr>
        <w:t xml:space="preserve"> </w:t>
      </w:r>
      <w:r>
        <w:rPr>
          <w:b/>
          <w:sz w:val="20"/>
        </w:rPr>
        <w:t>Orientação</w:t>
      </w:r>
      <w:r>
        <w:rPr>
          <w:b/>
          <w:spacing w:val="25"/>
          <w:sz w:val="20"/>
        </w:rPr>
        <w:t xml:space="preserve"> </w:t>
      </w:r>
      <w:r>
        <w:rPr>
          <w:b/>
          <w:sz w:val="20"/>
        </w:rPr>
        <w:t>Normativa</w:t>
      </w:r>
      <w:r>
        <w:rPr>
          <w:b/>
          <w:spacing w:val="33"/>
          <w:sz w:val="20"/>
        </w:rPr>
        <w:t xml:space="preserve"> </w:t>
      </w:r>
      <w:r>
        <w:rPr>
          <w:b/>
          <w:sz w:val="20"/>
        </w:rPr>
        <w:t>AGU</w:t>
      </w:r>
      <w:r>
        <w:rPr>
          <w:b/>
          <w:spacing w:val="31"/>
          <w:sz w:val="20"/>
        </w:rPr>
        <w:t xml:space="preserve"> </w:t>
      </w:r>
      <w:r>
        <w:rPr>
          <w:b/>
          <w:sz w:val="20"/>
        </w:rPr>
        <w:t>nº</w:t>
      </w:r>
      <w:r>
        <w:rPr>
          <w:b/>
          <w:spacing w:val="25"/>
          <w:sz w:val="20"/>
        </w:rPr>
        <w:t xml:space="preserve"> </w:t>
      </w:r>
      <w:r>
        <w:rPr>
          <w:b/>
          <w:sz w:val="20"/>
        </w:rPr>
        <w:t>11,</w:t>
      </w:r>
      <w:r>
        <w:rPr>
          <w:b/>
          <w:spacing w:val="29"/>
          <w:sz w:val="20"/>
        </w:rPr>
        <w:t xml:space="preserve"> </w:t>
      </w:r>
      <w:r>
        <w:rPr>
          <w:b/>
          <w:sz w:val="20"/>
        </w:rPr>
        <w:t>de</w:t>
      </w:r>
      <w:r>
        <w:rPr>
          <w:b/>
          <w:spacing w:val="31"/>
          <w:sz w:val="20"/>
        </w:rPr>
        <w:t xml:space="preserve"> </w:t>
      </w:r>
      <w:r>
        <w:rPr>
          <w:b/>
          <w:sz w:val="20"/>
        </w:rPr>
        <w:t>01</w:t>
      </w:r>
      <w:r>
        <w:rPr>
          <w:b/>
          <w:spacing w:val="29"/>
          <w:sz w:val="20"/>
        </w:rPr>
        <w:t xml:space="preserve"> </w:t>
      </w:r>
      <w:r>
        <w:rPr>
          <w:b/>
          <w:sz w:val="20"/>
        </w:rPr>
        <w:t>de</w:t>
      </w:r>
      <w:r>
        <w:rPr>
          <w:b/>
          <w:spacing w:val="29"/>
          <w:sz w:val="20"/>
        </w:rPr>
        <w:t xml:space="preserve"> </w:t>
      </w:r>
      <w:r>
        <w:rPr>
          <w:b/>
          <w:sz w:val="20"/>
        </w:rPr>
        <w:t>abril</w:t>
      </w:r>
      <w:r>
        <w:rPr>
          <w:b/>
          <w:spacing w:val="28"/>
          <w:sz w:val="20"/>
        </w:rPr>
        <w:t xml:space="preserve"> </w:t>
      </w:r>
      <w:r>
        <w:rPr>
          <w:b/>
          <w:sz w:val="20"/>
        </w:rPr>
        <w:t>de</w:t>
      </w:r>
      <w:r>
        <w:rPr>
          <w:b/>
          <w:spacing w:val="31"/>
          <w:sz w:val="20"/>
        </w:rPr>
        <w:t xml:space="preserve"> </w:t>
      </w:r>
      <w:r>
        <w:rPr>
          <w:b/>
          <w:sz w:val="20"/>
        </w:rPr>
        <w:t>2009</w:t>
      </w:r>
      <w:r>
        <w:rPr>
          <w:sz w:val="20"/>
        </w:rPr>
        <w:t>, Brasília, 01 abr. 2009.</w:t>
      </w:r>
    </w:p>
    <w:p w:rsidR="007259F2" w:rsidRDefault="007259F2">
      <w:pPr>
        <w:rPr>
          <w:sz w:val="20"/>
        </w:rPr>
        <w:sectPr w:rsidR="007259F2">
          <w:pgSz w:w="11910" w:h="16840"/>
          <w:pgMar w:top="1320" w:right="708" w:bottom="1160" w:left="992" w:header="0" w:footer="962" w:gutter="0"/>
          <w:cols w:space="720"/>
        </w:sectPr>
      </w:pPr>
    </w:p>
    <w:p w:rsidR="007259F2" w:rsidRDefault="00E655B4">
      <w:pPr>
        <w:spacing w:before="91"/>
        <w:ind w:left="2978"/>
        <w:jc w:val="both"/>
        <w:rPr>
          <w:sz w:val="20"/>
        </w:rPr>
      </w:pPr>
      <w:r>
        <w:rPr>
          <w:sz w:val="20"/>
        </w:rPr>
        <w:lastRenderedPageBreak/>
        <w:t>público</w:t>
      </w:r>
      <w:r>
        <w:rPr>
          <w:spacing w:val="-2"/>
          <w:sz w:val="20"/>
        </w:rPr>
        <w:t xml:space="preserve"> </w:t>
      </w:r>
      <w:r>
        <w:rPr>
          <w:sz w:val="20"/>
        </w:rPr>
        <w:t>maior</w:t>
      </w:r>
      <w:r>
        <w:rPr>
          <w:spacing w:val="-5"/>
          <w:sz w:val="20"/>
        </w:rPr>
        <w:t xml:space="preserve"> </w:t>
      </w:r>
      <w:r>
        <w:rPr>
          <w:sz w:val="20"/>
        </w:rPr>
        <w:t>a</w:t>
      </w:r>
      <w:r>
        <w:rPr>
          <w:spacing w:val="-4"/>
          <w:sz w:val="20"/>
        </w:rPr>
        <w:t xml:space="preserve"> </w:t>
      </w:r>
      <w:r>
        <w:rPr>
          <w:sz w:val="20"/>
        </w:rPr>
        <w:t>ser</w:t>
      </w:r>
      <w:r>
        <w:rPr>
          <w:spacing w:val="-4"/>
          <w:sz w:val="20"/>
        </w:rPr>
        <w:t xml:space="preserve"> </w:t>
      </w:r>
      <w:r>
        <w:rPr>
          <w:sz w:val="20"/>
        </w:rPr>
        <w:t>tutelado</w:t>
      </w:r>
      <w:r>
        <w:rPr>
          <w:spacing w:val="-3"/>
          <w:sz w:val="20"/>
        </w:rPr>
        <w:t xml:space="preserve"> </w:t>
      </w:r>
      <w:r>
        <w:rPr>
          <w:sz w:val="20"/>
        </w:rPr>
        <w:t>pela</w:t>
      </w:r>
      <w:r>
        <w:rPr>
          <w:spacing w:val="-1"/>
          <w:sz w:val="20"/>
        </w:rPr>
        <w:t xml:space="preserve"> </w:t>
      </w:r>
      <w:r>
        <w:rPr>
          <w:spacing w:val="-2"/>
          <w:sz w:val="20"/>
        </w:rPr>
        <w:t>Administração.</w:t>
      </w:r>
      <w:r>
        <w:rPr>
          <w:spacing w:val="-2"/>
          <w:sz w:val="20"/>
          <w:vertAlign w:val="superscript"/>
        </w:rPr>
        <w:t>9</w:t>
      </w:r>
    </w:p>
    <w:p w:rsidR="007259F2" w:rsidRDefault="00E655B4">
      <w:pPr>
        <w:ind w:left="2978" w:right="990"/>
        <w:jc w:val="both"/>
        <w:rPr>
          <w:sz w:val="20"/>
        </w:rPr>
      </w:pPr>
      <w:r>
        <w:rPr>
          <w:sz w:val="20"/>
        </w:rPr>
        <w:t>9. De fato, tenho defendido a necessidade de se separar a ausência de planejamento da contratação emergencial propriamente dita, pois entendo</w:t>
      </w:r>
      <w:r>
        <w:rPr>
          <w:spacing w:val="80"/>
          <w:sz w:val="20"/>
        </w:rPr>
        <w:t xml:space="preserve"> </w:t>
      </w:r>
      <w:r>
        <w:rPr>
          <w:sz w:val="20"/>
        </w:rPr>
        <w:t>que a contratação emergencial se dá em função da essencialidade do serviço ou</w:t>
      </w:r>
      <w:r>
        <w:rPr>
          <w:spacing w:val="-9"/>
          <w:sz w:val="20"/>
        </w:rPr>
        <w:t xml:space="preserve"> </w:t>
      </w:r>
      <w:r>
        <w:rPr>
          <w:sz w:val="20"/>
        </w:rPr>
        <w:t>do</w:t>
      </w:r>
      <w:r>
        <w:rPr>
          <w:spacing w:val="-7"/>
          <w:sz w:val="20"/>
        </w:rPr>
        <w:t xml:space="preserve"> </w:t>
      </w:r>
      <w:r>
        <w:rPr>
          <w:sz w:val="20"/>
        </w:rPr>
        <w:t>bem</w:t>
      </w:r>
      <w:r>
        <w:rPr>
          <w:spacing w:val="-11"/>
          <w:sz w:val="20"/>
        </w:rPr>
        <w:t xml:space="preserve"> </w:t>
      </w:r>
      <w:r>
        <w:rPr>
          <w:sz w:val="20"/>
        </w:rPr>
        <w:t>que</w:t>
      </w:r>
      <w:r>
        <w:rPr>
          <w:spacing w:val="-7"/>
          <w:sz w:val="20"/>
        </w:rPr>
        <w:t xml:space="preserve"> </w:t>
      </w:r>
      <w:r>
        <w:rPr>
          <w:sz w:val="20"/>
        </w:rPr>
        <w:t>se</w:t>
      </w:r>
      <w:r>
        <w:rPr>
          <w:spacing w:val="-10"/>
          <w:sz w:val="20"/>
        </w:rPr>
        <w:t xml:space="preserve"> </w:t>
      </w:r>
      <w:r>
        <w:rPr>
          <w:sz w:val="20"/>
        </w:rPr>
        <w:t>pretende</w:t>
      </w:r>
      <w:r>
        <w:rPr>
          <w:spacing w:val="-3"/>
          <w:sz w:val="20"/>
        </w:rPr>
        <w:t xml:space="preserve"> </w:t>
      </w:r>
      <w:r>
        <w:rPr>
          <w:sz w:val="20"/>
        </w:rPr>
        <w:t>adquirir,</w:t>
      </w:r>
      <w:r>
        <w:rPr>
          <w:spacing w:val="-3"/>
          <w:sz w:val="20"/>
        </w:rPr>
        <w:t xml:space="preserve"> </w:t>
      </w:r>
      <w:r>
        <w:rPr>
          <w:sz w:val="20"/>
        </w:rPr>
        <w:t>pouco</w:t>
      </w:r>
      <w:r>
        <w:rPr>
          <w:spacing w:val="-2"/>
          <w:sz w:val="20"/>
        </w:rPr>
        <w:t xml:space="preserve"> </w:t>
      </w:r>
      <w:r>
        <w:rPr>
          <w:sz w:val="20"/>
        </w:rPr>
        <w:t>importando</w:t>
      </w:r>
      <w:r>
        <w:rPr>
          <w:spacing w:val="-2"/>
          <w:sz w:val="20"/>
        </w:rPr>
        <w:t xml:space="preserve"> </w:t>
      </w:r>
      <w:r>
        <w:rPr>
          <w:sz w:val="20"/>
        </w:rPr>
        <w:t>os</w:t>
      </w:r>
      <w:r>
        <w:rPr>
          <w:spacing w:val="-1"/>
          <w:sz w:val="20"/>
        </w:rPr>
        <w:t xml:space="preserve"> </w:t>
      </w:r>
      <w:r>
        <w:rPr>
          <w:sz w:val="20"/>
        </w:rPr>
        <w:t>motivos</w:t>
      </w:r>
      <w:r>
        <w:rPr>
          <w:spacing w:val="-4"/>
          <w:sz w:val="20"/>
        </w:rPr>
        <w:t xml:space="preserve"> </w:t>
      </w:r>
      <w:r>
        <w:rPr>
          <w:sz w:val="20"/>
        </w:rPr>
        <w:t>que</w:t>
      </w:r>
      <w:r>
        <w:rPr>
          <w:spacing w:val="-3"/>
          <w:sz w:val="20"/>
        </w:rPr>
        <w:t xml:space="preserve"> </w:t>
      </w:r>
      <w:r>
        <w:rPr>
          <w:sz w:val="20"/>
        </w:rPr>
        <w:t>tornam imperativa a imediata contratação.</w:t>
      </w:r>
      <w:r>
        <w:rPr>
          <w:sz w:val="20"/>
          <w:vertAlign w:val="superscript"/>
        </w:rPr>
        <w:t>10</w:t>
      </w:r>
    </w:p>
    <w:p w:rsidR="007259F2" w:rsidRDefault="00E655B4">
      <w:pPr>
        <w:pStyle w:val="Corpodetexto"/>
        <w:spacing w:before="200"/>
        <w:ind w:right="989"/>
      </w:pPr>
      <w:r>
        <w:t>Entretanto, ainda que haja o reconhecimento da possibilidade de se prosseguir com a dispensa</w:t>
      </w:r>
      <w:r>
        <w:rPr>
          <w:spacing w:val="-8"/>
        </w:rPr>
        <w:t xml:space="preserve"> </w:t>
      </w:r>
      <w:r>
        <w:t>emergencial</w:t>
      </w:r>
      <w:r>
        <w:rPr>
          <w:spacing w:val="-7"/>
        </w:rPr>
        <w:t xml:space="preserve"> </w:t>
      </w:r>
      <w:r>
        <w:t>baseada</w:t>
      </w:r>
      <w:r>
        <w:rPr>
          <w:spacing w:val="-9"/>
        </w:rPr>
        <w:t xml:space="preserve"> </w:t>
      </w:r>
      <w:r>
        <w:t>na</w:t>
      </w:r>
      <w:r>
        <w:rPr>
          <w:spacing w:val="-7"/>
        </w:rPr>
        <w:t xml:space="preserve"> </w:t>
      </w:r>
      <w:r>
        <w:t>emergência</w:t>
      </w:r>
      <w:r>
        <w:rPr>
          <w:spacing w:val="-8"/>
        </w:rPr>
        <w:t xml:space="preserve"> </w:t>
      </w:r>
      <w:r>
        <w:t>fabricada,</w:t>
      </w:r>
      <w:r>
        <w:rPr>
          <w:spacing w:val="-8"/>
        </w:rPr>
        <w:t xml:space="preserve"> </w:t>
      </w:r>
      <w:r>
        <w:t>veremos</w:t>
      </w:r>
      <w:r>
        <w:rPr>
          <w:spacing w:val="-5"/>
        </w:rPr>
        <w:t xml:space="preserve"> </w:t>
      </w:r>
      <w:r>
        <w:t>a</w:t>
      </w:r>
      <w:r>
        <w:rPr>
          <w:spacing w:val="-9"/>
        </w:rPr>
        <w:t xml:space="preserve"> </w:t>
      </w:r>
      <w:r>
        <w:t>seguir</w:t>
      </w:r>
      <w:r>
        <w:rPr>
          <w:spacing w:val="-5"/>
        </w:rPr>
        <w:t xml:space="preserve"> </w:t>
      </w:r>
      <w:r>
        <w:t>que,</w:t>
      </w:r>
      <w:r>
        <w:rPr>
          <w:spacing w:val="-8"/>
        </w:rPr>
        <w:t xml:space="preserve"> </w:t>
      </w:r>
      <w:r>
        <w:t>nos últimos</w:t>
      </w:r>
      <w:r>
        <w:rPr>
          <w:spacing w:val="-15"/>
        </w:rPr>
        <w:t xml:space="preserve"> </w:t>
      </w:r>
      <w:r>
        <w:t>anos, esta irregularidade ganhou grande</w:t>
      </w:r>
      <w:r>
        <w:rPr>
          <w:spacing w:val="-1"/>
        </w:rPr>
        <w:t xml:space="preserve"> </w:t>
      </w:r>
      <w:r>
        <w:t>destaque</w:t>
      </w:r>
      <w:r>
        <w:rPr>
          <w:spacing w:val="-1"/>
        </w:rPr>
        <w:t xml:space="preserve"> </w:t>
      </w:r>
      <w:r>
        <w:t>perante os Órgãos de</w:t>
      </w:r>
      <w:r>
        <w:rPr>
          <w:spacing w:val="-1"/>
        </w:rPr>
        <w:t xml:space="preserve"> </w:t>
      </w:r>
      <w:r>
        <w:t>Controle Municipais e tem gerado a aplicação de penalidades e sanções em face dos agentes públicos e da própria municipalidade.</w:t>
      </w:r>
    </w:p>
    <w:p w:rsidR="007259F2" w:rsidRDefault="00E655B4">
      <w:pPr>
        <w:pStyle w:val="Heading2"/>
        <w:numPr>
          <w:ilvl w:val="0"/>
          <w:numId w:val="41"/>
        </w:numPr>
        <w:tabs>
          <w:tab w:val="left" w:pos="890"/>
        </w:tabs>
        <w:ind w:left="890" w:hanging="180"/>
        <w:jc w:val="left"/>
      </w:pPr>
      <w:r>
        <w:t>Auditoria</w:t>
      </w:r>
      <w:r>
        <w:rPr>
          <w:spacing w:val="-11"/>
        </w:rPr>
        <w:t xml:space="preserve"> </w:t>
      </w:r>
      <w:r>
        <w:t>do</w:t>
      </w:r>
      <w:r>
        <w:rPr>
          <w:spacing w:val="-10"/>
        </w:rPr>
        <w:t xml:space="preserve"> </w:t>
      </w:r>
      <w:r>
        <w:t>Tribunal</w:t>
      </w:r>
      <w:r>
        <w:rPr>
          <w:spacing w:val="-8"/>
        </w:rPr>
        <w:t xml:space="preserve"> </w:t>
      </w:r>
      <w:r>
        <w:t>de</w:t>
      </w:r>
      <w:r>
        <w:rPr>
          <w:spacing w:val="-11"/>
        </w:rPr>
        <w:t xml:space="preserve"> </w:t>
      </w:r>
      <w:r>
        <w:t>Contas</w:t>
      </w:r>
      <w:r>
        <w:rPr>
          <w:spacing w:val="-9"/>
        </w:rPr>
        <w:t xml:space="preserve"> </w:t>
      </w:r>
      <w:r>
        <w:t>do</w:t>
      </w:r>
      <w:r>
        <w:rPr>
          <w:spacing w:val="-9"/>
        </w:rPr>
        <w:t xml:space="preserve"> </w:t>
      </w:r>
      <w:r>
        <w:t>Município</w:t>
      </w:r>
      <w:r>
        <w:rPr>
          <w:spacing w:val="-7"/>
        </w:rPr>
        <w:t xml:space="preserve"> </w:t>
      </w:r>
      <w:r>
        <w:t>de</w:t>
      </w:r>
      <w:r>
        <w:rPr>
          <w:spacing w:val="-10"/>
        </w:rPr>
        <w:t xml:space="preserve"> </w:t>
      </w:r>
      <w:r>
        <w:t>São</w:t>
      </w:r>
      <w:r>
        <w:rPr>
          <w:spacing w:val="-8"/>
        </w:rPr>
        <w:t xml:space="preserve"> </w:t>
      </w:r>
      <w:r>
        <w:rPr>
          <w:spacing w:val="-2"/>
        </w:rPr>
        <w:t>Paulo</w:t>
      </w:r>
    </w:p>
    <w:p w:rsidR="007259F2" w:rsidRDefault="00E655B4">
      <w:pPr>
        <w:pStyle w:val="Corpodetexto"/>
        <w:spacing w:before="154"/>
        <w:ind w:right="992"/>
      </w:pPr>
      <w:r>
        <w:t>Como dito, a jurisprudência tem reconhecido a possibilidade de se prosseguir com a dispensa emergencial, ainda que a Administração tenha promovido a contratação com base na emergência fabricada, proveniente da falta de planejamento, desídia ou mesmo da má gestão dos recursos.</w:t>
      </w:r>
    </w:p>
    <w:p w:rsidR="007259F2" w:rsidRDefault="00E655B4">
      <w:pPr>
        <w:pStyle w:val="Corpodetexto"/>
        <w:ind w:right="994"/>
      </w:pPr>
      <w:r>
        <w:t>Ocorre que, a contratação emergencial nessas circunstâncias pode ser considerada</w:t>
      </w:r>
      <w:r>
        <w:rPr>
          <w:spacing w:val="-4"/>
        </w:rPr>
        <w:t xml:space="preserve"> </w:t>
      </w:r>
      <w:r>
        <w:t>não</w:t>
      </w:r>
      <w:r>
        <w:rPr>
          <w:spacing w:val="-3"/>
        </w:rPr>
        <w:t xml:space="preserve"> </w:t>
      </w:r>
      <w:r>
        <w:t>compatível</w:t>
      </w:r>
      <w:r>
        <w:rPr>
          <w:spacing w:val="-3"/>
        </w:rPr>
        <w:t xml:space="preserve"> </w:t>
      </w:r>
      <w:r>
        <w:t>com</w:t>
      </w:r>
      <w:r>
        <w:rPr>
          <w:spacing w:val="-1"/>
        </w:rPr>
        <w:t xml:space="preserve"> </w:t>
      </w:r>
      <w:r>
        <w:t>a</w:t>
      </w:r>
      <w:r>
        <w:rPr>
          <w:spacing w:val="-4"/>
        </w:rPr>
        <w:t xml:space="preserve"> </w:t>
      </w:r>
      <w:r>
        <w:t>legislação,</w:t>
      </w:r>
      <w:r>
        <w:rPr>
          <w:spacing w:val="-3"/>
        </w:rPr>
        <w:t xml:space="preserve"> </w:t>
      </w:r>
      <w:r>
        <w:t>de</w:t>
      </w:r>
      <w:r>
        <w:rPr>
          <w:spacing w:val="-2"/>
        </w:rPr>
        <w:t xml:space="preserve"> </w:t>
      </w:r>
      <w:r>
        <w:t>modo</w:t>
      </w:r>
      <w:r>
        <w:rPr>
          <w:spacing w:val="-3"/>
        </w:rPr>
        <w:t xml:space="preserve"> </w:t>
      </w:r>
      <w:r>
        <w:t>a</w:t>
      </w:r>
      <w:r>
        <w:rPr>
          <w:spacing w:val="-3"/>
        </w:rPr>
        <w:t xml:space="preserve"> </w:t>
      </w:r>
      <w:r>
        <w:t>permitir</w:t>
      </w:r>
      <w:r>
        <w:rPr>
          <w:spacing w:val="-3"/>
        </w:rPr>
        <w:t xml:space="preserve"> </w:t>
      </w:r>
      <w:r>
        <w:t>que</w:t>
      </w:r>
      <w:r>
        <w:rPr>
          <w:spacing w:val="-5"/>
        </w:rPr>
        <w:t xml:space="preserve"> </w:t>
      </w:r>
      <w:r>
        <w:t>a</w:t>
      </w:r>
      <w:r>
        <w:rPr>
          <w:spacing w:val="-4"/>
        </w:rPr>
        <w:t xml:space="preserve"> </w:t>
      </w:r>
      <w:r>
        <w:t>Administração</w:t>
      </w:r>
      <w:r>
        <w:rPr>
          <w:spacing w:val="-3"/>
        </w:rPr>
        <w:t xml:space="preserve"> </w:t>
      </w:r>
      <w:r>
        <w:t>e os Agentes Públicos sejam penalizados.</w:t>
      </w:r>
    </w:p>
    <w:p w:rsidR="007259F2" w:rsidRDefault="00E655B4">
      <w:pPr>
        <w:pStyle w:val="Corpodetexto"/>
        <w:ind w:right="988"/>
      </w:pPr>
      <w:r>
        <w:t>Nos últimos anos, especialmente em 2023 e 2024, ganhou grande destaque, as obras emergenciais promovidas pelo Município de São Paulo, através da Secretaria de Infraestrutura Urbana e Obras, já que foram realizadas auditorias pelo Tribunal de Contas do Município de São Paulo, para análise minuciosa das contratações realizadas no período de 2021 até 2022.</w:t>
      </w:r>
    </w:p>
    <w:p w:rsidR="007259F2" w:rsidRDefault="00E655B4">
      <w:pPr>
        <w:pStyle w:val="Corpodetexto"/>
        <w:spacing w:before="1"/>
        <w:ind w:right="992"/>
      </w:pPr>
      <w:r>
        <w:t>A</w:t>
      </w:r>
      <w:r>
        <w:rPr>
          <w:spacing w:val="-3"/>
        </w:rPr>
        <w:t xml:space="preserve"> </w:t>
      </w:r>
      <w:r>
        <w:t>título</w:t>
      </w:r>
      <w:r>
        <w:rPr>
          <w:spacing w:val="-3"/>
        </w:rPr>
        <w:t xml:space="preserve"> </w:t>
      </w:r>
      <w:r>
        <w:t>de</w:t>
      </w:r>
      <w:r>
        <w:rPr>
          <w:spacing w:val="-3"/>
        </w:rPr>
        <w:t xml:space="preserve"> </w:t>
      </w:r>
      <w:r>
        <w:t>exemplo,</w:t>
      </w:r>
      <w:r>
        <w:rPr>
          <w:spacing w:val="-3"/>
        </w:rPr>
        <w:t xml:space="preserve"> </w:t>
      </w:r>
      <w:r>
        <w:t>o</w:t>
      </w:r>
      <w:r>
        <w:rPr>
          <w:spacing w:val="-3"/>
        </w:rPr>
        <w:t xml:space="preserve"> </w:t>
      </w:r>
      <w:r>
        <w:t>presente</w:t>
      </w:r>
      <w:r>
        <w:rPr>
          <w:spacing w:val="-3"/>
        </w:rPr>
        <w:t xml:space="preserve"> </w:t>
      </w:r>
      <w:r>
        <w:t>estudo</w:t>
      </w:r>
      <w:r>
        <w:rPr>
          <w:spacing w:val="-1"/>
        </w:rPr>
        <w:t xml:space="preserve"> </w:t>
      </w:r>
      <w:r>
        <w:t>elucida</w:t>
      </w:r>
      <w:r>
        <w:rPr>
          <w:spacing w:val="-2"/>
        </w:rPr>
        <w:t xml:space="preserve"> </w:t>
      </w:r>
      <w:r>
        <w:t>a</w:t>
      </w:r>
      <w:r>
        <w:rPr>
          <w:spacing w:val="-4"/>
        </w:rPr>
        <w:t xml:space="preserve"> </w:t>
      </w:r>
      <w:r>
        <w:t>auditoria</w:t>
      </w:r>
      <w:r>
        <w:rPr>
          <w:spacing w:val="-3"/>
        </w:rPr>
        <w:t xml:space="preserve"> </w:t>
      </w:r>
      <w:r>
        <w:t>extraplano</w:t>
      </w:r>
      <w:r>
        <w:rPr>
          <w:spacing w:val="-3"/>
        </w:rPr>
        <w:t xml:space="preserve"> </w:t>
      </w:r>
      <w:r>
        <w:t>do</w:t>
      </w:r>
      <w:r>
        <w:rPr>
          <w:spacing w:val="-3"/>
        </w:rPr>
        <w:t xml:space="preserve"> </w:t>
      </w:r>
      <w:r>
        <w:t>Tribunal de Contas do Município de São Paulo, TC 005781/2022, Processo SEI 6022.2023/0002869-0, realizada para análise dos contratos emergenciais de obras executadas pela PMSP, bem como para avaliação de sua economicidade e compatibilidade com a legislação.</w:t>
      </w:r>
    </w:p>
    <w:p w:rsidR="007259F2" w:rsidRDefault="00E655B4">
      <w:pPr>
        <w:pStyle w:val="Corpodetexto"/>
        <w:ind w:right="987"/>
      </w:pPr>
      <w:r>
        <w:t>A auditoria foi realizada para análise das contratações emergenciais durante o período compreendido entre agosto de 2021 até junho de 2022, bem como para apresentar avaliação do procedimento, de modo a resultar em uma possível diminuição do</w:t>
      </w:r>
      <w:r>
        <w:rPr>
          <w:spacing w:val="-6"/>
        </w:rPr>
        <w:t xml:space="preserve"> </w:t>
      </w:r>
      <w:r>
        <w:t>uso</w:t>
      </w:r>
      <w:r>
        <w:rPr>
          <w:spacing w:val="-6"/>
        </w:rPr>
        <w:t xml:space="preserve"> </w:t>
      </w:r>
      <w:r>
        <w:t>da</w:t>
      </w:r>
      <w:r>
        <w:rPr>
          <w:spacing w:val="-7"/>
        </w:rPr>
        <w:t xml:space="preserve"> </w:t>
      </w:r>
      <w:r>
        <w:t>dispensa emergencial, cujo custo aumentou em 2.475% de 2020 até 2022.</w:t>
      </w:r>
    </w:p>
    <w:p w:rsidR="007259F2" w:rsidRDefault="00E655B4">
      <w:pPr>
        <w:pStyle w:val="Corpodetexto"/>
        <w:ind w:right="991"/>
      </w:pPr>
      <w:r>
        <w:t>O estudo aponta os problemas encontrados na execução de obras emergências pela Prefeitura de São Paulo, especialmente pela contratação com base na emergência fabricada</w:t>
      </w:r>
      <w:r>
        <w:rPr>
          <w:spacing w:val="-4"/>
        </w:rPr>
        <w:t xml:space="preserve"> </w:t>
      </w:r>
      <w:r>
        <w:t>que, conforme o Tribunal de Contas do Município de São Paulo (TCM), está presente em 90% dos contratos analisados.</w:t>
      </w:r>
    </w:p>
    <w:p w:rsidR="007259F2" w:rsidRDefault="00E655B4">
      <w:pPr>
        <w:pStyle w:val="Corpodetexto"/>
        <w:spacing w:before="1"/>
        <w:ind w:right="990"/>
      </w:pPr>
      <w:r>
        <w:t>Logo</w:t>
      </w:r>
      <w:r>
        <w:rPr>
          <w:spacing w:val="-8"/>
        </w:rPr>
        <w:t xml:space="preserve"> </w:t>
      </w:r>
      <w:r>
        <w:t>no</w:t>
      </w:r>
      <w:r>
        <w:rPr>
          <w:spacing w:val="-3"/>
        </w:rPr>
        <w:t xml:space="preserve"> </w:t>
      </w:r>
      <w:r>
        <w:t>início</w:t>
      </w:r>
      <w:r>
        <w:rPr>
          <w:spacing w:val="-7"/>
        </w:rPr>
        <w:t xml:space="preserve"> </w:t>
      </w:r>
      <w:r>
        <w:t>da</w:t>
      </w:r>
      <w:r>
        <w:rPr>
          <w:spacing w:val="-7"/>
        </w:rPr>
        <w:t xml:space="preserve"> </w:t>
      </w:r>
      <w:r>
        <w:t>análise,</w:t>
      </w:r>
      <w:r>
        <w:rPr>
          <w:spacing w:val="-8"/>
        </w:rPr>
        <w:t xml:space="preserve"> </w:t>
      </w:r>
      <w:r>
        <w:t>o</w:t>
      </w:r>
      <w:r>
        <w:rPr>
          <w:spacing w:val="-3"/>
        </w:rPr>
        <w:t xml:space="preserve"> </w:t>
      </w:r>
      <w:r>
        <w:t>Tribunal</w:t>
      </w:r>
      <w:r>
        <w:rPr>
          <w:spacing w:val="-6"/>
        </w:rPr>
        <w:t xml:space="preserve"> </w:t>
      </w:r>
      <w:r>
        <w:t>de</w:t>
      </w:r>
      <w:r>
        <w:rPr>
          <w:spacing w:val="-12"/>
        </w:rPr>
        <w:t xml:space="preserve"> </w:t>
      </w:r>
      <w:r>
        <w:t>Contas</w:t>
      </w:r>
      <w:r>
        <w:rPr>
          <w:spacing w:val="-5"/>
        </w:rPr>
        <w:t xml:space="preserve"> </w:t>
      </w:r>
      <w:r>
        <w:t>aponta</w:t>
      </w:r>
      <w:r>
        <w:rPr>
          <w:spacing w:val="-11"/>
        </w:rPr>
        <w:t xml:space="preserve"> </w:t>
      </w:r>
      <w:r>
        <w:t>que</w:t>
      </w:r>
      <w:r>
        <w:rPr>
          <w:spacing w:val="-7"/>
        </w:rPr>
        <w:t xml:space="preserve"> </w:t>
      </w:r>
      <w:r>
        <w:t>as</w:t>
      </w:r>
      <w:r>
        <w:rPr>
          <w:spacing w:val="-6"/>
        </w:rPr>
        <w:t xml:space="preserve"> </w:t>
      </w:r>
      <w:r>
        <w:t>obras emergenciais foram realizadas, na realidade, para sanar “problemas históricos”, que são considerados previsíveis e que fogem da emergência real, pois se afirma que as obras poderiam ser contratadas por meio de licitação ao invés de ser promovida a dispensa.</w:t>
      </w:r>
    </w:p>
    <w:p w:rsidR="007259F2" w:rsidRDefault="00E655B4">
      <w:pPr>
        <w:pStyle w:val="Corpodetexto"/>
        <w:ind w:right="993"/>
      </w:pPr>
      <w:r>
        <w:t xml:space="preserve">Igualmente, há a informação de que, no local das obras analisadas, existe ocupação desordenada e que a situação é precária há muito tempo, o que descaracteriza a urgência concreta e efetiva da emergência real e configura, claramente, a emergência </w:t>
      </w:r>
      <w:r>
        <w:rPr>
          <w:spacing w:val="-2"/>
        </w:rPr>
        <w:t>fabricada.</w:t>
      </w:r>
    </w:p>
    <w:p w:rsidR="007259F2" w:rsidRDefault="00DE6B1C">
      <w:pPr>
        <w:pStyle w:val="Corpodetexto"/>
        <w:spacing w:before="15"/>
        <w:ind w:left="0" w:firstLine="0"/>
        <w:jc w:val="left"/>
        <w:rPr>
          <w:sz w:val="20"/>
        </w:rPr>
      </w:pPr>
      <w:r w:rsidRPr="00DE6B1C">
        <w:rPr>
          <w:sz w:val="20"/>
        </w:rPr>
        <w:pict>
          <v:rect id="docshape44" o:spid="_x0000_s1182" style="position:absolute;margin-left:85.1pt;margin-top:13.5pt;width:2in;height:.7pt;z-index:-15714304;mso-wrap-distance-left:0;mso-wrap-distance-right:0;mso-position-horizontal-relative:page" fillcolor="black" stroked="f">
            <w10:wrap type="topAndBottom" anchorx="page"/>
          </v:rect>
        </w:pict>
      </w:r>
    </w:p>
    <w:p w:rsidR="007259F2" w:rsidRDefault="00E655B4">
      <w:pPr>
        <w:spacing w:before="96"/>
        <w:ind w:left="710" w:right="990"/>
        <w:rPr>
          <w:sz w:val="20"/>
        </w:rPr>
      </w:pPr>
      <w:r>
        <w:rPr>
          <w:sz w:val="20"/>
          <w:vertAlign w:val="superscript"/>
        </w:rPr>
        <w:t>9</w:t>
      </w:r>
      <w:r>
        <w:rPr>
          <w:spacing w:val="40"/>
          <w:sz w:val="20"/>
        </w:rPr>
        <w:t xml:space="preserve"> </w:t>
      </w:r>
      <w:r>
        <w:rPr>
          <w:sz w:val="20"/>
        </w:rPr>
        <w:t>BRASIL.</w:t>
      </w:r>
      <w:r>
        <w:rPr>
          <w:spacing w:val="40"/>
          <w:sz w:val="20"/>
        </w:rPr>
        <w:t xml:space="preserve"> </w:t>
      </w:r>
      <w:r>
        <w:rPr>
          <w:sz w:val="20"/>
        </w:rPr>
        <w:t>Tribunal</w:t>
      </w:r>
      <w:r>
        <w:rPr>
          <w:spacing w:val="40"/>
          <w:sz w:val="20"/>
        </w:rPr>
        <w:t xml:space="preserve"> </w:t>
      </w:r>
      <w:r>
        <w:rPr>
          <w:sz w:val="20"/>
        </w:rPr>
        <w:t>de</w:t>
      </w:r>
      <w:r>
        <w:rPr>
          <w:spacing w:val="40"/>
          <w:sz w:val="20"/>
        </w:rPr>
        <w:t xml:space="preserve"> </w:t>
      </w:r>
      <w:r>
        <w:rPr>
          <w:sz w:val="20"/>
        </w:rPr>
        <w:t>Contas</w:t>
      </w:r>
      <w:r>
        <w:rPr>
          <w:spacing w:val="40"/>
          <w:sz w:val="20"/>
        </w:rPr>
        <w:t xml:space="preserve"> </w:t>
      </w:r>
      <w:r>
        <w:rPr>
          <w:sz w:val="20"/>
        </w:rPr>
        <w:t>da</w:t>
      </w:r>
      <w:r>
        <w:rPr>
          <w:spacing w:val="40"/>
          <w:sz w:val="20"/>
        </w:rPr>
        <w:t xml:space="preserve"> </w:t>
      </w:r>
      <w:r>
        <w:rPr>
          <w:sz w:val="20"/>
        </w:rPr>
        <w:t>União.</w:t>
      </w:r>
      <w:r>
        <w:rPr>
          <w:spacing w:val="40"/>
          <w:sz w:val="20"/>
        </w:rPr>
        <w:t xml:space="preserve"> </w:t>
      </w:r>
      <w:r>
        <w:rPr>
          <w:b/>
          <w:sz w:val="20"/>
        </w:rPr>
        <w:t>Processo</w:t>
      </w:r>
      <w:r>
        <w:rPr>
          <w:b/>
          <w:spacing w:val="40"/>
          <w:sz w:val="20"/>
        </w:rPr>
        <w:t xml:space="preserve"> </w:t>
      </w:r>
      <w:r>
        <w:rPr>
          <w:b/>
          <w:sz w:val="20"/>
        </w:rPr>
        <w:t>nº</w:t>
      </w:r>
      <w:r>
        <w:rPr>
          <w:b/>
          <w:spacing w:val="40"/>
          <w:sz w:val="20"/>
        </w:rPr>
        <w:t xml:space="preserve"> </w:t>
      </w:r>
      <w:r>
        <w:rPr>
          <w:b/>
          <w:sz w:val="20"/>
        </w:rPr>
        <w:t>019.511/2011-6</w:t>
      </w:r>
      <w:r>
        <w:rPr>
          <w:sz w:val="20"/>
        </w:rPr>
        <w:t>,</w:t>
      </w:r>
      <w:r>
        <w:rPr>
          <w:spacing w:val="40"/>
          <w:sz w:val="20"/>
        </w:rPr>
        <w:t xml:space="preserve"> </w:t>
      </w:r>
      <w:r>
        <w:rPr>
          <w:sz w:val="20"/>
        </w:rPr>
        <w:t>Data:</w:t>
      </w:r>
      <w:r>
        <w:rPr>
          <w:spacing w:val="40"/>
          <w:sz w:val="20"/>
        </w:rPr>
        <w:t xml:space="preserve"> </w:t>
      </w:r>
      <w:r>
        <w:rPr>
          <w:sz w:val="20"/>
        </w:rPr>
        <w:t>28.04/2015,</w:t>
      </w:r>
      <w:r>
        <w:rPr>
          <w:spacing w:val="40"/>
          <w:sz w:val="20"/>
        </w:rPr>
        <w:t xml:space="preserve"> </w:t>
      </w:r>
      <w:r>
        <w:rPr>
          <w:sz w:val="20"/>
        </w:rPr>
        <w:t>Acórdão 2.240/2015, 1.ª Câm., rel. Min. Benjamin Zymler.</w:t>
      </w:r>
    </w:p>
    <w:p w:rsidR="007259F2" w:rsidRDefault="00E655B4">
      <w:pPr>
        <w:spacing w:before="1"/>
        <w:ind w:left="710" w:right="990"/>
        <w:rPr>
          <w:sz w:val="20"/>
        </w:rPr>
      </w:pPr>
      <w:r>
        <w:rPr>
          <w:sz w:val="20"/>
          <w:vertAlign w:val="superscript"/>
        </w:rPr>
        <w:t>10</w:t>
      </w:r>
      <w:r>
        <w:rPr>
          <w:spacing w:val="40"/>
          <w:sz w:val="20"/>
        </w:rPr>
        <w:t xml:space="preserve"> </w:t>
      </w:r>
      <w:r>
        <w:rPr>
          <w:sz w:val="20"/>
        </w:rPr>
        <w:t>BRASIL.</w:t>
      </w:r>
      <w:r>
        <w:rPr>
          <w:spacing w:val="40"/>
          <w:sz w:val="20"/>
        </w:rPr>
        <w:t xml:space="preserve"> </w:t>
      </w:r>
      <w:r>
        <w:rPr>
          <w:sz w:val="20"/>
        </w:rPr>
        <w:t>Tribunal</w:t>
      </w:r>
      <w:r>
        <w:rPr>
          <w:spacing w:val="40"/>
          <w:sz w:val="20"/>
        </w:rPr>
        <w:t xml:space="preserve"> </w:t>
      </w:r>
      <w:r>
        <w:rPr>
          <w:sz w:val="20"/>
        </w:rPr>
        <w:t>de</w:t>
      </w:r>
      <w:r>
        <w:rPr>
          <w:spacing w:val="40"/>
          <w:sz w:val="20"/>
        </w:rPr>
        <w:t xml:space="preserve"> </w:t>
      </w:r>
      <w:r>
        <w:rPr>
          <w:sz w:val="20"/>
        </w:rPr>
        <w:t>Contas</w:t>
      </w:r>
      <w:r>
        <w:rPr>
          <w:spacing w:val="40"/>
          <w:sz w:val="20"/>
        </w:rPr>
        <w:t xml:space="preserve"> </w:t>
      </w:r>
      <w:r>
        <w:rPr>
          <w:sz w:val="20"/>
        </w:rPr>
        <w:t>da</w:t>
      </w:r>
      <w:r>
        <w:rPr>
          <w:spacing w:val="40"/>
          <w:sz w:val="20"/>
        </w:rPr>
        <w:t xml:space="preserve"> </w:t>
      </w:r>
      <w:r>
        <w:rPr>
          <w:sz w:val="20"/>
        </w:rPr>
        <w:t>União.</w:t>
      </w:r>
      <w:r>
        <w:rPr>
          <w:spacing w:val="40"/>
          <w:sz w:val="20"/>
        </w:rPr>
        <w:t xml:space="preserve"> </w:t>
      </w:r>
      <w:r>
        <w:rPr>
          <w:b/>
          <w:sz w:val="20"/>
        </w:rPr>
        <w:t>Processo</w:t>
      </w:r>
      <w:r>
        <w:rPr>
          <w:b/>
          <w:spacing w:val="40"/>
          <w:sz w:val="20"/>
        </w:rPr>
        <w:t xml:space="preserve"> </w:t>
      </w:r>
      <w:r>
        <w:rPr>
          <w:b/>
          <w:sz w:val="20"/>
        </w:rPr>
        <w:t>nº</w:t>
      </w:r>
      <w:r>
        <w:rPr>
          <w:b/>
          <w:spacing w:val="40"/>
          <w:sz w:val="20"/>
        </w:rPr>
        <w:t xml:space="preserve"> </w:t>
      </w:r>
      <w:r>
        <w:rPr>
          <w:b/>
          <w:sz w:val="20"/>
        </w:rPr>
        <w:t>013.519/2005-8</w:t>
      </w:r>
      <w:r>
        <w:rPr>
          <w:sz w:val="20"/>
        </w:rPr>
        <w:t>,</w:t>
      </w:r>
      <w:r>
        <w:rPr>
          <w:spacing w:val="40"/>
          <w:sz w:val="20"/>
        </w:rPr>
        <w:t xml:space="preserve"> </w:t>
      </w:r>
      <w:r>
        <w:rPr>
          <w:sz w:val="20"/>
        </w:rPr>
        <w:t>Data:</w:t>
      </w:r>
      <w:r>
        <w:rPr>
          <w:spacing w:val="40"/>
          <w:sz w:val="20"/>
        </w:rPr>
        <w:t xml:space="preserve"> </w:t>
      </w:r>
      <w:r>
        <w:rPr>
          <w:sz w:val="20"/>
        </w:rPr>
        <w:t>15.06.2011,</w:t>
      </w:r>
      <w:r>
        <w:rPr>
          <w:spacing w:val="31"/>
          <w:sz w:val="20"/>
        </w:rPr>
        <w:t xml:space="preserve"> </w:t>
      </w:r>
      <w:r>
        <w:rPr>
          <w:sz w:val="20"/>
        </w:rPr>
        <w:t>Acórdão 1.599/2011, Plenário, rel. Min. Ubiratan Aguiar.</w:t>
      </w:r>
    </w:p>
    <w:p w:rsidR="007259F2" w:rsidRDefault="007259F2">
      <w:pPr>
        <w:rPr>
          <w:sz w:val="20"/>
        </w:rPr>
        <w:sectPr w:rsidR="007259F2">
          <w:pgSz w:w="11910" w:h="16840"/>
          <w:pgMar w:top="1300" w:right="708" w:bottom="1160" w:left="992" w:header="0" w:footer="962" w:gutter="0"/>
          <w:cols w:space="720"/>
        </w:sectPr>
      </w:pPr>
    </w:p>
    <w:p w:rsidR="007259F2" w:rsidRDefault="00E655B4">
      <w:pPr>
        <w:pStyle w:val="Corpodetexto"/>
        <w:spacing w:before="69"/>
        <w:ind w:right="990"/>
      </w:pPr>
      <w:r>
        <w:lastRenderedPageBreak/>
        <w:t>A principal causa da emergência fabricada, conforme o Tribunal de Contas do Município</w:t>
      </w:r>
      <w:r>
        <w:rPr>
          <w:spacing w:val="40"/>
        </w:rPr>
        <w:t xml:space="preserve"> </w:t>
      </w:r>
      <w:r>
        <w:t>de</w:t>
      </w:r>
      <w:r>
        <w:rPr>
          <w:spacing w:val="40"/>
        </w:rPr>
        <w:t xml:space="preserve"> </w:t>
      </w:r>
      <w:r>
        <w:t>São</w:t>
      </w:r>
      <w:r>
        <w:rPr>
          <w:spacing w:val="40"/>
        </w:rPr>
        <w:t xml:space="preserve"> </w:t>
      </w:r>
      <w:r>
        <w:t>Paulo</w:t>
      </w:r>
      <w:r>
        <w:rPr>
          <w:spacing w:val="40"/>
        </w:rPr>
        <w:t xml:space="preserve"> </w:t>
      </w:r>
      <w:r>
        <w:t>(TCM),</w:t>
      </w:r>
      <w:r>
        <w:rPr>
          <w:spacing w:val="40"/>
        </w:rPr>
        <w:t xml:space="preserve"> </w:t>
      </w:r>
      <w:r>
        <w:t>é</w:t>
      </w:r>
      <w:r>
        <w:rPr>
          <w:spacing w:val="40"/>
        </w:rPr>
        <w:t xml:space="preserve"> </w:t>
      </w:r>
      <w:r>
        <w:t>a:</w:t>
      </w:r>
      <w:r>
        <w:rPr>
          <w:spacing w:val="40"/>
        </w:rPr>
        <w:t xml:space="preserve"> </w:t>
      </w:r>
      <w:r>
        <w:t>“fragilidade</w:t>
      </w:r>
      <w:r>
        <w:rPr>
          <w:spacing w:val="40"/>
        </w:rPr>
        <w:t xml:space="preserve"> </w:t>
      </w:r>
      <w:r>
        <w:t>do</w:t>
      </w:r>
      <w:r>
        <w:rPr>
          <w:spacing w:val="40"/>
        </w:rPr>
        <w:t xml:space="preserve"> </w:t>
      </w:r>
      <w:r>
        <w:t>planejamento</w:t>
      </w:r>
      <w:r>
        <w:rPr>
          <w:spacing w:val="40"/>
        </w:rPr>
        <w:t xml:space="preserve"> </w:t>
      </w:r>
      <w:r>
        <w:t>para</w:t>
      </w:r>
      <w:r>
        <w:rPr>
          <w:spacing w:val="40"/>
        </w:rPr>
        <w:t xml:space="preserve"> </w:t>
      </w:r>
      <w:r>
        <w:t>intervenções necessárias. Essa situação advém da ausência de políticas públicas para adoção de soluções efetivas”.</w:t>
      </w:r>
      <w:r>
        <w:rPr>
          <w:vertAlign w:val="superscript"/>
        </w:rPr>
        <w:t>11</w:t>
      </w:r>
    </w:p>
    <w:p w:rsidR="007259F2" w:rsidRDefault="00E655B4">
      <w:pPr>
        <w:pStyle w:val="Corpodetexto"/>
        <w:spacing w:before="1"/>
        <w:ind w:right="998"/>
      </w:pPr>
      <w:r>
        <w:t>O relatório também aponta que, quando da execução das obras contratadas, foram realizados serviços além do estritamente necessário para que a emergência fosse sanada e o risco mitigado.</w:t>
      </w:r>
    </w:p>
    <w:p w:rsidR="007259F2" w:rsidRDefault="00E655B4">
      <w:pPr>
        <w:pStyle w:val="Corpodetexto"/>
        <w:ind w:right="988"/>
      </w:pPr>
      <w:r>
        <w:t>Sendo assim, foram realizadas obras adicionais que não possuem relação com a emergência em si e que deveriam ter sido solucionadas por meio de procedimento licitatório formal. Igualmente, há a caracterização da emergência fabricada, já que para</w:t>
      </w:r>
      <w:r>
        <w:rPr>
          <w:spacing w:val="40"/>
        </w:rPr>
        <w:t xml:space="preserve"> </w:t>
      </w:r>
      <w:r>
        <w:t>a dispensa emergencial a providência deveria ser pontual e mínima para eliminar a situação de grave risco.</w:t>
      </w:r>
    </w:p>
    <w:p w:rsidR="007259F2" w:rsidRDefault="00E655B4">
      <w:pPr>
        <w:pStyle w:val="Corpodetexto"/>
        <w:spacing w:before="3" w:line="276" w:lineRule="auto"/>
        <w:ind w:right="1138"/>
      </w:pPr>
      <w:r>
        <w:t>Além do mais, o Tribunal analisou a ordem da realização dos serviços contratados e verificou que o início da execução das obras não se dá pela tomada das medidas necessárias para a contenção da situação de emergência. O estudo indica que não</w:t>
      </w:r>
      <w:r>
        <w:rPr>
          <w:spacing w:val="-1"/>
        </w:rPr>
        <w:t xml:space="preserve"> </w:t>
      </w:r>
      <w:r>
        <w:t>é</w:t>
      </w:r>
      <w:r>
        <w:rPr>
          <w:spacing w:val="-2"/>
        </w:rPr>
        <w:t xml:space="preserve"> </w:t>
      </w:r>
      <w:r>
        <w:t>feito,</w:t>
      </w:r>
      <w:r>
        <w:rPr>
          <w:spacing w:val="-1"/>
        </w:rPr>
        <w:t xml:space="preserve"> </w:t>
      </w:r>
      <w:r>
        <w:t>anteriormente</w:t>
      </w:r>
      <w:r>
        <w:rPr>
          <w:spacing w:val="-2"/>
        </w:rPr>
        <w:t xml:space="preserve"> </w:t>
      </w:r>
      <w:r>
        <w:t>à</w:t>
      </w:r>
      <w:r>
        <w:rPr>
          <w:spacing w:val="-2"/>
        </w:rPr>
        <w:t xml:space="preserve"> </w:t>
      </w:r>
      <w:r>
        <w:t>execução</w:t>
      </w:r>
      <w:r>
        <w:rPr>
          <w:spacing w:val="-6"/>
        </w:rPr>
        <w:t xml:space="preserve"> </w:t>
      </w:r>
      <w:r>
        <w:t>das</w:t>
      </w:r>
      <w:r>
        <w:rPr>
          <w:spacing w:val="-7"/>
        </w:rPr>
        <w:t xml:space="preserve"> </w:t>
      </w:r>
      <w:r>
        <w:t>obras,</w:t>
      </w:r>
      <w:r>
        <w:rPr>
          <w:spacing w:val="-9"/>
        </w:rPr>
        <w:t xml:space="preserve"> </w:t>
      </w:r>
      <w:r>
        <w:t>os</w:t>
      </w:r>
      <w:r>
        <w:rPr>
          <w:spacing w:val="-7"/>
        </w:rPr>
        <w:t xml:space="preserve"> </w:t>
      </w:r>
      <w:r>
        <w:t>projetos</w:t>
      </w:r>
      <w:r>
        <w:rPr>
          <w:spacing w:val="-7"/>
        </w:rPr>
        <w:t xml:space="preserve"> </w:t>
      </w:r>
      <w:r>
        <w:t>e</w:t>
      </w:r>
      <w:r>
        <w:rPr>
          <w:spacing w:val="-11"/>
        </w:rPr>
        <w:t xml:space="preserve"> </w:t>
      </w:r>
      <w:r>
        <w:t>planos</w:t>
      </w:r>
      <w:r>
        <w:rPr>
          <w:spacing w:val="-7"/>
        </w:rPr>
        <w:t xml:space="preserve"> </w:t>
      </w:r>
      <w:r>
        <w:t>de</w:t>
      </w:r>
      <w:r>
        <w:rPr>
          <w:spacing w:val="-11"/>
        </w:rPr>
        <w:t xml:space="preserve"> </w:t>
      </w:r>
      <w:r>
        <w:t>trabalho,</w:t>
      </w:r>
      <w:r>
        <w:rPr>
          <w:spacing w:val="-5"/>
        </w:rPr>
        <w:t xml:space="preserve"> </w:t>
      </w:r>
      <w:r>
        <w:t>o</w:t>
      </w:r>
      <w:r>
        <w:rPr>
          <w:spacing w:val="-10"/>
        </w:rPr>
        <w:t xml:space="preserve"> </w:t>
      </w:r>
      <w:r>
        <w:t>que, novamente, também descaracteriza a emergência real.</w:t>
      </w:r>
    </w:p>
    <w:p w:rsidR="007259F2" w:rsidRDefault="00E655B4">
      <w:pPr>
        <w:pStyle w:val="Corpodetexto"/>
        <w:spacing w:before="119" w:line="278" w:lineRule="auto"/>
        <w:ind w:right="1145"/>
      </w:pPr>
      <w:r>
        <w:t xml:space="preserve">É sustentado que a falta de projeto e plano de trabalho ofende diretamente o artigo 129 da Lei Orgânica do Município de São Paulo, </w:t>
      </w:r>
      <w:r>
        <w:rPr>
          <w:i/>
        </w:rPr>
        <w:t>in verbis</w:t>
      </w:r>
      <w:r>
        <w:t>:</w:t>
      </w:r>
    </w:p>
    <w:p w:rsidR="007259F2" w:rsidRDefault="00E655B4">
      <w:pPr>
        <w:spacing w:before="115"/>
        <w:ind w:left="2978" w:right="988"/>
        <w:jc w:val="both"/>
        <w:rPr>
          <w:sz w:val="20"/>
        </w:rPr>
      </w:pPr>
      <w:r>
        <w:rPr>
          <w:sz w:val="20"/>
        </w:rPr>
        <w:t xml:space="preserve">Art. 129 - As licitações e os contratos celebrados pelo Município para compras, obras e serviços serão disciplinados por lei, respeitadas as normas gerais editadas pela União, os princípios da igualdade dos participantes, da publicidade, da probidade administrativa, da vinculação ao instrumento convocatório, do julgamento objetivo do interesse público e dos que lhe são correlatos. § 2º - </w:t>
      </w:r>
      <w:r>
        <w:rPr>
          <w:b/>
          <w:sz w:val="20"/>
        </w:rPr>
        <w:t>As obras e serviços municipais deverão ser precedidos dos respectivos projetos ou estudos ainda quando se tratar de dispensa</w:t>
      </w:r>
      <w:r>
        <w:rPr>
          <w:b/>
          <w:spacing w:val="40"/>
          <w:sz w:val="20"/>
        </w:rPr>
        <w:t xml:space="preserve"> </w:t>
      </w:r>
      <w:r>
        <w:rPr>
          <w:b/>
          <w:sz w:val="20"/>
        </w:rPr>
        <w:t>ou</w:t>
      </w:r>
      <w:r>
        <w:rPr>
          <w:b/>
          <w:spacing w:val="-5"/>
          <w:sz w:val="20"/>
        </w:rPr>
        <w:t xml:space="preserve"> </w:t>
      </w:r>
      <w:r>
        <w:rPr>
          <w:b/>
          <w:sz w:val="20"/>
        </w:rPr>
        <w:t>inexigibilidade</w:t>
      </w:r>
      <w:r>
        <w:rPr>
          <w:b/>
          <w:spacing w:val="-2"/>
          <w:sz w:val="20"/>
        </w:rPr>
        <w:t xml:space="preserve"> </w:t>
      </w:r>
      <w:r>
        <w:rPr>
          <w:b/>
          <w:sz w:val="20"/>
        </w:rPr>
        <w:t>de</w:t>
      </w:r>
      <w:r>
        <w:rPr>
          <w:b/>
          <w:spacing w:val="-4"/>
          <w:sz w:val="20"/>
        </w:rPr>
        <w:t xml:space="preserve"> </w:t>
      </w:r>
      <w:r>
        <w:rPr>
          <w:b/>
          <w:sz w:val="20"/>
        </w:rPr>
        <w:t>licitação,</w:t>
      </w:r>
      <w:r>
        <w:rPr>
          <w:b/>
          <w:spacing w:val="-4"/>
          <w:sz w:val="20"/>
        </w:rPr>
        <w:t xml:space="preserve"> </w:t>
      </w:r>
      <w:r>
        <w:rPr>
          <w:b/>
          <w:sz w:val="20"/>
        </w:rPr>
        <w:t>sob</w:t>
      </w:r>
      <w:r>
        <w:rPr>
          <w:b/>
          <w:spacing w:val="-5"/>
          <w:sz w:val="20"/>
        </w:rPr>
        <w:t xml:space="preserve"> </w:t>
      </w:r>
      <w:r>
        <w:rPr>
          <w:b/>
          <w:sz w:val="20"/>
        </w:rPr>
        <w:t>pena</w:t>
      </w:r>
      <w:r>
        <w:rPr>
          <w:b/>
          <w:spacing w:val="-3"/>
          <w:sz w:val="20"/>
        </w:rPr>
        <w:t xml:space="preserve"> </w:t>
      </w:r>
      <w:r>
        <w:rPr>
          <w:b/>
          <w:sz w:val="20"/>
        </w:rPr>
        <w:t>de</w:t>
      </w:r>
      <w:r>
        <w:rPr>
          <w:b/>
          <w:spacing w:val="-4"/>
          <w:sz w:val="20"/>
        </w:rPr>
        <w:t xml:space="preserve"> </w:t>
      </w:r>
      <w:r>
        <w:rPr>
          <w:b/>
          <w:sz w:val="20"/>
        </w:rPr>
        <w:t>invalidação</w:t>
      </w:r>
      <w:r>
        <w:rPr>
          <w:b/>
          <w:spacing w:val="-3"/>
          <w:sz w:val="20"/>
        </w:rPr>
        <w:t xml:space="preserve"> </w:t>
      </w:r>
      <w:r>
        <w:rPr>
          <w:b/>
          <w:sz w:val="20"/>
        </w:rPr>
        <w:t>de</w:t>
      </w:r>
      <w:r>
        <w:rPr>
          <w:b/>
          <w:spacing w:val="-4"/>
          <w:sz w:val="20"/>
        </w:rPr>
        <w:t xml:space="preserve"> </w:t>
      </w:r>
      <w:r>
        <w:rPr>
          <w:b/>
          <w:sz w:val="20"/>
        </w:rPr>
        <w:t xml:space="preserve">contrato. </w:t>
      </w:r>
      <w:r>
        <w:rPr>
          <w:sz w:val="20"/>
        </w:rPr>
        <w:t xml:space="preserve">(grifo </w:t>
      </w:r>
      <w:r>
        <w:rPr>
          <w:spacing w:val="-2"/>
          <w:sz w:val="20"/>
        </w:rPr>
        <w:t>nosso)</w:t>
      </w:r>
    </w:p>
    <w:p w:rsidR="007259F2" w:rsidRDefault="00E655B4">
      <w:pPr>
        <w:pStyle w:val="Corpodetexto"/>
        <w:spacing w:before="229"/>
        <w:ind w:right="988"/>
      </w:pPr>
      <w:r>
        <w:t xml:space="preserve">Por outro giro, o relatório também aponta que não são realizadas as pesquisas de preço, o que não justifica os valores das contratações, o que ofende diretamente o artigo 26 da Lei 8.666 de 1993, bem como não traz qualquer economicidade para a dispensa </w:t>
      </w:r>
      <w:r>
        <w:rPr>
          <w:spacing w:val="-2"/>
        </w:rPr>
        <w:t>emergencial.</w:t>
      </w:r>
    </w:p>
    <w:p w:rsidR="007259F2" w:rsidRDefault="00E655B4">
      <w:pPr>
        <w:pStyle w:val="Corpodetexto"/>
        <w:ind w:right="989"/>
      </w:pPr>
      <w:r>
        <w:t>Outro problema apontado pelo Tribunal de Contas do Município de São Paulo é a não diversificação da escolha das empresas para execução das obras emergenciais. Conforme o relatório, 74% das contratações estão concentradas em apenas 18 empresas que são, muitas vezes, compostas pelo mesmo grupo societário, o que fere os princípios da impessoalidade e moralidade administrativa.</w:t>
      </w:r>
    </w:p>
    <w:p w:rsidR="007259F2" w:rsidRDefault="00E655B4">
      <w:pPr>
        <w:pStyle w:val="Corpodetexto"/>
        <w:ind w:right="987"/>
      </w:pPr>
      <w:r>
        <w:t>Ainda, é dito que as obras emergenciais são feitas de forma fracionada, ou seja, são realizadas várias obras em uma extensão só, de modo que não há um local exato</w:t>
      </w:r>
      <w:r>
        <w:rPr>
          <w:spacing w:val="40"/>
        </w:rPr>
        <w:t xml:space="preserve"> </w:t>
      </w:r>
      <w:r>
        <w:t>para</w:t>
      </w:r>
      <w:r>
        <w:rPr>
          <w:spacing w:val="-15"/>
        </w:rPr>
        <w:t xml:space="preserve"> </w:t>
      </w:r>
      <w:r>
        <w:t>a</w:t>
      </w:r>
      <w:r>
        <w:rPr>
          <w:spacing w:val="-15"/>
        </w:rPr>
        <w:t xml:space="preserve"> </w:t>
      </w:r>
      <w:r>
        <w:t>emergência.</w:t>
      </w:r>
      <w:r>
        <w:rPr>
          <w:spacing w:val="-15"/>
        </w:rPr>
        <w:t xml:space="preserve"> </w:t>
      </w:r>
      <w:r>
        <w:t>Assim,</w:t>
      </w:r>
      <w:r>
        <w:rPr>
          <w:spacing w:val="-15"/>
        </w:rPr>
        <w:t xml:space="preserve"> </w:t>
      </w:r>
      <w:r>
        <w:t>a</w:t>
      </w:r>
      <w:r>
        <w:rPr>
          <w:spacing w:val="-15"/>
        </w:rPr>
        <w:t xml:space="preserve"> </w:t>
      </w:r>
      <w:r>
        <w:t>prefeitura</w:t>
      </w:r>
      <w:r>
        <w:rPr>
          <w:spacing w:val="-15"/>
        </w:rPr>
        <w:t xml:space="preserve"> </w:t>
      </w:r>
      <w:r>
        <w:t>tem</w:t>
      </w:r>
      <w:r>
        <w:rPr>
          <w:spacing w:val="-15"/>
        </w:rPr>
        <w:t xml:space="preserve"> </w:t>
      </w:r>
      <w:r>
        <w:t>executado</w:t>
      </w:r>
      <w:r>
        <w:rPr>
          <w:spacing w:val="-15"/>
        </w:rPr>
        <w:t xml:space="preserve"> </w:t>
      </w:r>
      <w:r>
        <w:t>várias</w:t>
      </w:r>
      <w:r>
        <w:rPr>
          <w:spacing w:val="-15"/>
        </w:rPr>
        <w:t xml:space="preserve"> </w:t>
      </w:r>
      <w:r>
        <w:t>obras</w:t>
      </w:r>
      <w:r>
        <w:rPr>
          <w:spacing w:val="-15"/>
        </w:rPr>
        <w:t xml:space="preserve"> </w:t>
      </w:r>
      <w:r>
        <w:t>em</w:t>
      </w:r>
      <w:r>
        <w:rPr>
          <w:spacing w:val="-15"/>
        </w:rPr>
        <w:t xml:space="preserve"> </w:t>
      </w:r>
      <w:r>
        <w:t>um</w:t>
      </w:r>
      <w:r>
        <w:rPr>
          <w:spacing w:val="-15"/>
        </w:rPr>
        <w:t xml:space="preserve"> </w:t>
      </w:r>
      <w:r>
        <w:t>pequeno</w:t>
      </w:r>
      <w:r>
        <w:rPr>
          <w:spacing w:val="-15"/>
        </w:rPr>
        <w:t xml:space="preserve"> </w:t>
      </w:r>
      <w:r>
        <w:t>trecho, ao contrário de promover um único procedimento licitatório para sanar todos os problemas encontrados na região.</w:t>
      </w:r>
    </w:p>
    <w:p w:rsidR="007259F2" w:rsidRDefault="00E655B4">
      <w:pPr>
        <w:pStyle w:val="Corpodetexto"/>
        <w:ind w:right="990"/>
      </w:pPr>
      <w:r>
        <w:t>O estudo também aponta que há casos em que muitas obras emergenciais foram iniciadas no mesmo dia, bem como que boa parte dessas obras sofreram com grande demora para o início da execução dos serviços, o que também evidencia que a emergência real tem sido deturpada.</w:t>
      </w:r>
    </w:p>
    <w:p w:rsidR="007259F2" w:rsidRDefault="00DE6B1C">
      <w:pPr>
        <w:pStyle w:val="Corpodetexto"/>
        <w:spacing w:before="141"/>
        <w:ind w:left="0" w:firstLine="0"/>
        <w:jc w:val="left"/>
        <w:rPr>
          <w:sz w:val="20"/>
        </w:rPr>
      </w:pPr>
      <w:r w:rsidRPr="00DE6B1C">
        <w:rPr>
          <w:sz w:val="20"/>
        </w:rPr>
        <w:pict>
          <v:rect id="docshape45" o:spid="_x0000_s1181" style="position:absolute;margin-left:85.1pt;margin-top:19.8pt;width:2in;height:.7pt;z-index:-15713792;mso-wrap-distance-left:0;mso-wrap-distance-right:0;mso-position-horizontal-relative:page" fillcolor="black" stroked="f">
            <w10:wrap type="topAndBottom" anchorx="page"/>
          </v:rect>
        </w:pict>
      </w:r>
    </w:p>
    <w:p w:rsidR="007259F2" w:rsidRDefault="00E655B4">
      <w:pPr>
        <w:spacing w:before="96"/>
        <w:ind w:left="710" w:right="990"/>
        <w:rPr>
          <w:sz w:val="20"/>
        </w:rPr>
      </w:pPr>
      <w:r>
        <w:rPr>
          <w:sz w:val="20"/>
          <w:vertAlign w:val="superscript"/>
        </w:rPr>
        <w:t>11</w:t>
      </w:r>
      <w:r>
        <w:rPr>
          <w:spacing w:val="40"/>
          <w:sz w:val="20"/>
        </w:rPr>
        <w:t xml:space="preserve"> </w:t>
      </w:r>
      <w:r>
        <w:rPr>
          <w:sz w:val="20"/>
        </w:rPr>
        <w:t>SÃO</w:t>
      </w:r>
      <w:r>
        <w:rPr>
          <w:spacing w:val="40"/>
          <w:sz w:val="20"/>
        </w:rPr>
        <w:t xml:space="preserve"> </w:t>
      </w:r>
      <w:r>
        <w:rPr>
          <w:sz w:val="20"/>
        </w:rPr>
        <w:t>PAULO</w:t>
      </w:r>
      <w:r>
        <w:rPr>
          <w:spacing w:val="40"/>
          <w:sz w:val="20"/>
        </w:rPr>
        <w:t xml:space="preserve"> </w:t>
      </w:r>
      <w:r>
        <w:rPr>
          <w:sz w:val="20"/>
        </w:rPr>
        <w:t>(SP).</w:t>
      </w:r>
      <w:r>
        <w:rPr>
          <w:spacing w:val="40"/>
          <w:sz w:val="20"/>
        </w:rPr>
        <w:t xml:space="preserve"> </w:t>
      </w:r>
      <w:r>
        <w:rPr>
          <w:sz w:val="20"/>
        </w:rPr>
        <w:t>Tribunal</w:t>
      </w:r>
      <w:r>
        <w:rPr>
          <w:spacing w:val="40"/>
          <w:sz w:val="20"/>
        </w:rPr>
        <w:t xml:space="preserve"> </w:t>
      </w:r>
      <w:r>
        <w:rPr>
          <w:sz w:val="20"/>
        </w:rPr>
        <w:t>de</w:t>
      </w:r>
      <w:r>
        <w:rPr>
          <w:spacing w:val="40"/>
          <w:sz w:val="20"/>
        </w:rPr>
        <w:t xml:space="preserve"> </w:t>
      </w:r>
      <w:r>
        <w:rPr>
          <w:sz w:val="20"/>
        </w:rPr>
        <w:t>Contas</w:t>
      </w:r>
      <w:r>
        <w:rPr>
          <w:spacing w:val="40"/>
          <w:sz w:val="20"/>
        </w:rPr>
        <w:t xml:space="preserve"> </w:t>
      </w:r>
      <w:r>
        <w:rPr>
          <w:sz w:val="20"/>
        </w:rPr>
        <w:t>do</w:t>
      </w:r>
      <w:r>
        <w:rPr>
          <w:spacing w:val="40"/>
          <w:sz w:val="20"/>
        </w:rPr>
        <w:t xml:space="preserve"> </w:t>
      </w:r>
      <w:r>
        <w:rPr>
          <w:sz w:val="20"/>
        </w:rPr>
        <w:t>Município.</w:t>
      </w:r>
      <w:r>
        <w:rPr>
          <w:spacing w:val="40"/>
          <w:sz w:val="20"/>
        </w:rPr>
        <w:t xml:space="preserve"> </w:t>
      </w:r>
      <w:r>
        <w:rPr>
          <w:sz w:val="20"/>
        </w:rPr>
        <w:t>2023,</w:t>
      </w:r>
      <w:r>
        <w:rPr>
          <w:spacing w:val="40"/>
          <w:sz w:val="20"/>
        </w:rPr>
        <w:t xml:space="preserve"> </w:t>
      </w:r>
      <w:r>
        <w:rPr>
          <w:b/>
          <w:sz w:val="20"/>
        </w:rPr>
        <w:t>Relatório</w:t>
      </w:r>
      <w:r>
        <w:rPr>
          <w:b/>
          <w:spacing w:val="40"/>
          <w:sz w:val="20"/>
        </w:rPr>
        <w:t xml:space="preserve"> </w:t>
      </w:r>
      <w:r>
        <w:rPr>
          <w:b/>
          <w:sz w:val="20"/>
        </w:rPr>
        <w:t>extraplano</w:t>
      </w:r>
      <w:r>
        <w:rPr>
          <w:sz w:val="20"/>
        </w:rPr>
        <w:t>,</w:t>
      </w:r>
      <w:r>
        <w:rPr>
          <w:spacing w:val="40"/>
          <w:sz w:val="20"/>
        </w:rPr>
        <w:t xml:space="preserve"> </w:t>
      </w:r>
      <w:r>
        <w:rPr>
          <w:sz w:val="20"/>
        </w:rPr>
        <w:t>documento 083988279, Processo SEI 6022.2023/0002869-0, Ofício SSG 13742/2023, p. 31.</w:t>
      </w:r>
    </w:p>
    <w:p w:rsidR="007259F2" w:rsidRDefault="007259F2">
      <w:pPr>
        <w:rPr>
          <w:sz w:val="20"/>
        </w:rPr>
        <w:sectPr w:rsidR="007259F2">
          <w:pgSz w:w="11910" w:h="16840"/>
          <w:pgMar w:top="1320" w:right="708" w:bottom="1160" w:left="992" w:header="0" w:footer="962" w:gutter="0"/>
          <w:cols w:space="720"/>
        </w:sectPr>
      </w:pPr>
    </w:p>
    <w:p w:rsidR="007259F2" w:rsidRDefault="00E655B4">
      <w:pPr>
        <w:pStyle w:val="Corpodetexto"/>
        <w:spacing w:before="69"/>
        <w:ind w:right="986"/>
      </w:pPr>
      <w:r>
        <w:lastRenderedPageBreak/>
        <w:t>Por outro giro, o relatório também aponta problemas com pagamento de empresas em duplicidade; irregularidades na aplicação da taxa de BDI (Benefícios e Despesas Indiretas); qualificação técnica e econômica insuficiente das empresas contratadas; falta de cumprimento do prazo legal de 180 (cento e oitenta) dias; falta de formalização de alterações substanciais do contrato; falta de emissão de termo de recebimento provisório e definitivo; e a incorreta antecipação dos pagamentos direcionados às empresas.</w:t>
      </w:r>
    </w:p>
    <w:p w:rsidR="007259F2" w:rsidRDefault="00E655B4">
      <w:pPr>
        <w:pStyle w:val="Corpodetexto"/>
        <w:spacing w:before="1"/>
        <w:ind w:right="990"/>
      </w:pPr>
      <w:r>
        <w:t>Em síntese, o Tribunal de Contas, por meio de pesquisas e estudos, afirma que a Prefeitura de São Paulo tem realizado contratações e executado obras emergenciais que apresentam diversas irregularidades, principalmente, por não estar caracterizado, de</w:t>
      </w:r>
      <w:r>
        <w:rPr>
          <w:spacing w:val="40"/>
        </w:rPr>
        <w:t xml:space="preserve"> </w:t>
      </w:r>
      <w:r>
        <w:t>fato, o acontecimento imprevisto, a urgência e o risco iminente, o que demonstra o distanciamento da emergência real, que se traduz na “emergência fabricada”.</w:t>
      </w:r>
    </w:p>
    <w:p w:rsidR="007259F2" w:rsidRDefault="00E655B4">
      <w:pPr>
        <w:pStyle w:val="Corpodetexto"/>
        <w:spacing w:before="1"/>
        <w:ind w:right="992"/>
      </w:pPr>
      <w:r>
        <w:t>Ao final do relatório, o TCM apresenta resumidamente, todos as anomalias encontradas no estudo, com a indicação de que o valor total de prejuízo causado ao erário é</w:t>
      </w:r>
      <w:r>
        <w:rPr>
          <w:spacing w:val="-3"/>
        </w:rPr>
        <w:t xml:space="preserve"> </w:t>
      </w:r>
      <w:r>
        <w:t>de</w:t>
      </w:r>
      <w:r>
        <w:rPr>
          <w:spacing w:val="-3"/>
        </w:rPr>
        <w:t xml:space="preserve"> </w:t>
      </w:r>
      <w:r>
        <w:t>R$</w:t>
      </w:r>
      <w:r>
        <w:rPr>
          <w:spacing w:val="-2"/>
        </w:rPr>
        <w:t xml:space="preserve"> </w:t>
      </w:r>
      <w:r>
        <w:t>67.177.038,33</w:t>
      </w:r>
      <w:r>
        <w:rPr>
          <w:spacing w:val="-2"/>
        </w:rPr>
        <w:t xml:space="preserve"> </w:t>
      </w:r>
      <w:r>
        <w:t>(sessenta</w:t>
      </w:r>
      <w:r>
        <w:rPr>
          <w:spacing w:val="-1"/>
        </w:rPr>
        <w:t xml:space="preserve"> </w:t>
      </w:r>
      <w:r>
        <w:t>e</w:t>
      </w:r>
      <w:r>
        <w:rPr>
          <w:spacing w:val="-3"/>
        </w:rPr>
        <w:t xml:space="preserve"> </w:t>
      </w:r>
      <w:r>
        <w:t>sete</w:t>
      </w:r>
      <w:r>
        <w:rPr>
          <w:spacing w:val="-2"/>
        </w:rPr>
        <w:t xml:space="preserve"> </w:t>
      </w:r>
      <w:r>
        <w:t>milhões</w:t>
      </w:r>
      <w:r>
        <w:rPr>
          <w:spacing w:val="-2"/>
        </w:rPr>
        <w:t xml:space="preserve"> </w:t>
      </w:r>
      <w:r>
        <w:t>cento e</w:t>
      </w:r>
      <w:r>
        <w:rPr>
          <w:spacing w:val="-3"/>
        </w:rPr>
        <w:t xml:space="preserve"> </w:t>
      </w:r>
      <w:r>
        <w:t>setenta</w:t>
      </w:r>
      <w:r>
        <w:rPr>
          <w:spacing w:val="-1"/>
        </w:rPr>
        <w:t xml:space="preserve"> </w:t>
      </w:r>
      <w:r>
        <w:t>e</w:t>
      </w:r>
      <w:r>
        <w:rPr>
          <w:spacing w:val="-3"/>
        </w:rPr>
        <w:t xml:space="preserve"> </w:t>
      </w:r>
      <w:r>
        <w:t>sete</w:t>
      </w:r>
      <w:r>
        <w:rPr>
          <w:spacing w:val="-2"/>
        </w:rPr>
        <w:t xml:space="preserve"> </w:t>
      </w:r>
      <w:r>
        <w:t>mil</w:t>
      </w:r>
      <w:r>
        <w:rPr>
          <w:spacing w:val="-2"/>
        </w:rPr>
        <w:t xml:space="preserve"> </w:t>
      </w:r>
      <w:r>
        <w:t>e</w:t>
      </w:r>
      <w:r>
        <w:rPr>
          <w:spacing w:val="-2"/>
        </w:rPr>
        <w:t xml:space="preserve"> </w:t>
      </w:r>
      <w:r>
        <w:t>trinta</w:t>
      </w:r>
      <w:r>
        <w:rPr>
          <w:spacing w:val="-1"/>
        </w:rPr>
        <w:t xml:space="preserve"> </w:t>
      </w:r>
      <w:r>
        <w:t xml:space="preserve">e oito reais e trinta e três centavos), bem como disponibiliza quadro que indica a responsabilização por cada ato do gestor e dos agentes públicos que atuaram nas </w:t>
      </w:r>
      <w:r>
        <w:rPr>
          <w:spacing w:val="-2"/>
        </w:rPr>
        <w:t>contratações.</w:t>
      </w:r>
    </w:p>
    <w:p w:rsidR="007259F2" w:rsidRDefault="00E655B4">
      <w:pPr>
        <w:pStyle w:val="Corpodetexto"/>
        <w:ind w:right="987"/>
      </w:pPr>
      <w:r>
        <w:t>O processo foi encaminhado por meio do sistema SEI para que, em primeiro momento fossem atendidos os princípios do contraditório e da ampla defesa e fosse</w:t>
      </w:r>
      <w:r>
        <w:rPr>
          <w:spacing w:val="40"/>
        </w:rPr>
        <w:t xml:space="preserve"> </w:t>
      </w:r>
      <w:r>
        <w:t>dada oportunidade para que a entidade municipal tomasse as providências necessárias, indicasse os responsáveis, bem como apresentasse manifestação.</w:t>
      </w:r>
    </w:p>
    <w:p w:rsidR="007259F2" w:rsidRDefault="00E655B4">
      <w:pPr>
        <w:pStyle w:val="Corpodetexto"/>
        <w:ind w:right="988"/>
      </w:pPr>
      <w:r>
        <w:t xml:space="preserve">Posteriormente, após devida instrução, o processo será restituído ao Tribunal de Contas do Município, para que este adote as providências que achar necessárias, inclusive, para aplicação de penalidades em face da Prefeitura de São Paulo e de seus </w:t>
      </w:r>
      <w:r>
        <w:rPr>
          <w:spacing w:val="-2"/>
        </w:rPr>
        <w:t>agentes.</w:t>
      </w:r>
    </w:p>
    <w:p w:rsidR="007259F2" w:rsidRDefault="00E655B4">
      <w:pPr>
        <w:pStyle w:val="Heading2"/>
        <w:numPr>
          <w:ilvl w:val="0"/>
          <w:numId w:val="41"/>
        </w:numPr>
        <w:tabs>
          <w:tab w:val="left" w:pos="890"/>
        </w:tabs>
        <w:spacing w:line="278" w:lineRule="auto"/>
        <w:ind w:left="710" w:right="1253" w:firstLine="0"/>
        <w:jc w:val="left"/>
      </w:pPr>
      <w:r>
        <w:t>Processo</w:t>
      </w:r>
      <w:r>
        <w:rPr>
          <w:spacing w:val="-14"/>
        </w:rPr>
        <w:t xml:space="preserve"> </w:t>
      </w:r>
      <w:r>
        <w:t>de</w:t>
      </w:r>
      <w:r>
        <w:rPr>
          <w:spacing w:val="-15"/>
        </w:rPr>
        <w:t xml:space="preserve"> </w:t>
      </w:r>
      <w:r>
        <w:t>Sindicância</w:t>
      </w:r>
      <w:r>
        <w:rPr>
          <w:spacing w:val="-12"/>
        </w:rPr>
        <w:t xml:space="preserve"> </w:t>
      </w:r>
      <w:r>
        <w:t>autuado</w:t>
      </w:r>
      <w:r>
        <w:rPr>
          <w:spacing w:val="-15"/>
        </w:rPr>
        <w:t xml:space="preserve"> </w:t>
      </w:r>
      <w:r>
        <w:t>pela</w:t>
      </w:r>
      <w:r>
        <w:rPr>
          <w:spacing w:val="-13"/>
        </w:rPr>
        <w:t xml:space="preserve"> </w:t>
      </w:r>
      <w:r>
        <w:t>Controladoria</w:t>
      </w:r>
      <w:r>
        <w:rPr>
          <w:spacing w:val="-13"/>
        </w:rPr>
        <w:t xml:space="preserve"> </w:t>
      </w:r>
      <w:r>
        <w:t>Geral</w:t>
      </w:r>
      <w:r>
        <w:rPr>
          <w:spacing w:val="-15"/>
        </w:rPr>
        <w:t xml:space="preserve"> </w:t>
      </w:r>
      <w:r>
        <w:t>do</w:t>
      </w:r>
      <w:r>
        <w:rPr>
          <w:spacing w:val="-13"/>
        </w:rPr>
        <w:t xml:space="preserve"> </w:t>
      </w:r>
      <w:r>
        <w:t>Município</w:t>
      </w:r>
      <w:r>
        <w:rPr>
          <w:spacing w:val="-12"/>
        </w:rPr>
        <w:t xml:space="preserve"> </w:t>
      </w:r>
      <w:r>
        <w:t>de</w:t>
      </w:r>
      <w:r>
        <w:rPr>
          <w:spacing w:val="-15"/>
        </w:rPr>
        <w:t xml:space="preserve"> </w:t>
      </w:r>
      <w:r>
        <w:t xml:space="preserve">São </w:t>
      </w:r>
      <w:r>
        <w:rPr>
          <w:spacing w:val="-2"/>
        </w:rPr>
        <w:t>Paulo</w:t>
      </w:r>
    </w:p>
    <w:p w:rsidR="007259F2" w:rsidRDefault="00E655B4">
      <w:pPr>
        <w:pStyle w:val="Corpodetexto"/>
        <w:spacing w:before="108"/>
        <w:ind w:right="991"/>
      </w:pPr>
      <w:r>
        <w:t>O problema da emergência fabricada também tem sido alvo de atenção da Controladoria Geral do Município de São Paulo, especialmente, por terem sido veiculadas,</w:t>
      </w:r>
      <w:r>
        <w:rPr>
          <w:spacing w:val="-15"/>
        </w:rPr>
        <w:t xml:space="preserve"> </w:t>
      </w:r>
      <w:r>
        <w:t>entre</w:t>
      </w:r>
      <w:r>
        <w:rPr>
          <w:spacing w:val="-15"/>
        </w:rPr>
        <w:t xml:space="preserve"> </w:t>
      </w:r>
      <w:r>
        <w:t>2023</w:t>
      </w:r>
      <w:r>
        <w:rPr>
          <w:spacing w:val="-13"/>
        </w:rPr>
        <w:t xml:space="preserve"> </w:t>
      </w:r>
      <w:r>
        <w:t>e</w:t>
      </w:r>
      <w:r>
        <w:rPr>
          <w:spacing w:val="-15"/>
        </w:rPr>
        <w:t xml:space="preserve"> </w:t>
      </w:r>
      <w:r>
        <w:t>2024,</w:t>
      </w:r>
      <w:r>
        <w:rPr>
          <w:spacing w:val="-4"/>
        </w:rPr>
        <w:t xml:space="preserve"> </w:t>
      </w:r>
      <w:r>
        <w:t>diversas</w:t>
      </w:r>
      <w:r>
        <w:rPr>
          <w:spacing w:val="-6"/>
        </w:rPr>
        <w:t xml:space="preserve"> </w:t>
      </w:r>
      <w:r>
        <w:t>matérias</w:t>
      </w:r>
      <w:r>
        <w:rPr>
          <w:spacing w:val="-6"/>
        </w:rPr>
        <w:t xml:space="preserve"> </w:t>
      </w:r>
      <w:r>
        <w:t>sobre</w:t>
      </w:r>
      <w:r>
        <w:rPr>
          <w:spacing w:val="-10"/>
        </w:rPr>
        <w:t xml:space="preserve"> </w:t>
      </w:r>
      <w:r>
        <w:t>as</w:t>
      </w:r>
      <w:r>
        <w:rPr>
          <w:spacing w:val="-4"/>
        </w:rPr>
        <w:t xml:space="preserve"> </w:t>
      </w:r>
      <w:r>
        <w:t>irregularidades</w:t>
      </w:r>
      <w:r>
        <w:rPr>
          <w:spacing w:val="-4"/>
        </w:rPr>
        <w:t xml:space="preserve"> </w:t>
      </w:r>
      <w:r>
        <w:t>encontradas</w:t>
      </w:r>
      <w:r>
        <w:rPr>
          <w:spacing w:val="-6"/>
        </w:rPr>
        <w:t xml:space="preserve"> </w:t>
      </w:r>
      <w:r>
        <w:t xml:space="preserve">nas contratações de obras emergenciais e o prejuízo que isto tem causado ao erário da </w:t>
      </w:r>
      <w:r>
        <w:rPr>
          <w:spacing w:val="-2"/>
        </w:rPr>
        <w:t>municipalidade.</w:t>
      </w:r>
    </w:p>
    <w:p w:rsidR="007259F2" w:rsidRDefault="00E655B4">
      <w:pPr>
        <w:pStyle w:val="Corpodetexto"/>
        <w:ind w:right="986"/>
      </w:pPr>
      <w:r>
        <w:t>Por tal razão, foi iniciado o processo eletrônico SEI 6067.2024/0022265-6, considerando a publicação de matéria na revista eletrônica UOL, em que, semelhante à auditoria realizada pelo TCM, foram analisadas entre 2023 e 2024, diversas</w:t>
      </w:r>
      <w:r>
        <w:rPr>
          <w:spacing w:val="40"/>
        </w:rPr>
        <w:t xml:space="preserve"> </w:t>
      </w:r>
      <w:r>
        <w:t>contratações emergenciais irregulares, que causaram um prejuízo de R$ 7.330.937,98</w:t>
      </w:r>
      <w:hyperlink w:anchor="_bookmark5" w:history="1">
        <w:r>
          <w:t>.</w:t>
        </w:r>
      </w:hyperlink>
      <w:r>
        <w:rPr>
          <w:vertAlign w:val="superscript"/>
        </w:rPr>
        <w:t>12</w:t>
      </w:r>
    </w:p>
    <w:p w:rsidR="007259F2" w:rsidRDefault="00E655B4">
      <w:pPr>
        <w:pStyle w:val="Corpodetexto"/>
        <w:spacing w:before="1"/>
        <w:ind w:right="986"/>
      </w:pPr>
      <w:r>
        <w:t>Foram apontados os mesmos indícios de anomalias como, a possibilidade de conluio entre empresas, a utilização da dispensa emergencial para saneamento de problemas históricos e a utilização de BDI de forma incorreta.</w:t>
      </w:r>
    </w:p>
    <w:p w:rsidR="007259F2" w:rsidRDefault="00E655B4">
      <w:pPr>
        <w:pStyle w:val="Corpodetexto"/>
        <w:ind w:right="995"/>
      </w:pPr>
      <w:r>
        <w:t>O processo, igualmente, foi encaminhado à Secretaria Municipal de Infraestrutura Urbana e Obras, em respeito aos princípios da ampla defesa e do contraditório, para manifestação e apresentação de esclarecimentos.</w:t>
      </w:r>
    </w:p>
    <w:p w:rsidR="007259F2" w:rsidRDefault="00E655B4">
      <w:pPr>
        <w:pStyle w:val="Corpodetexto"/>
        <w:ind w:right="989"/>
      </w:pPr>
      <w:r>
        <w:t>Posteriormente, após terem sido apresentadas as defesas, a CGM, com base nos artigos</w:t>
      </w:r>
      <w:r>
        <w:rPr>
          <w:spacing w:val="39"/>
        </w:rPr>
        <w:t xml:space="preserve"> </w:t>
      </w:r>
      <w:r>
        <w:t>no</w:t>
      </w:r>
      <w:r>
        <w:rPr>
          <w:spacing w:val="39"/>
        </w:rPr>
        <w:t xml:space="preserve"> </w:t>
      </w:r>
      <w:r>
        <w:t>artigo</w:t>
      </w:r>
      <w:r>
        <w:rPr>
          <w:spacing w:val="39"/>
        </w:rPr>
        <w:t xml:space="preserve"> </w:t>
      </w:r>
      <w:r>
        <w:t>138,</w:t>
      </w:r>
      <w:r>
        <w:rPr>
          <w:spacing w:val="39"/>
        </w:rPr>
        <w:t xml:space="preserve"> </w:t>
      </w:r>
      <w:r>
        <w:t>§</w:t>
      </w:r>
      <w:r>
        <w:rPr>
          <w:spacing w:val="39"/>
        </w:rPr>
        <w:t xml:space="preserve"> </w:t>
      </w:r>
      <w:r>
        <w:t>2º,</w:t>
      </w:r>
      <w:r>
        <w:rPr>
          <w:spacing w:val="39"/>
        </w:rPr>
        <w:t xml:space="preserve"> </w:t>
      </w:r>
      <w:r>
        <w:t>da</w:t>
      </w:r>
      <w:r>
        <w:rPr>
          <w:spacing w:val="38"/>
        </w:rPr>
        <w:t xml:space="preserve"> </w:t>
      </w:r>
      <w:r>
        <w:t>Lei</w:t>
      </w:r>
      <w:r>
        <w:rPr>
          <w:spacing w:val="40"/>
        </w:rPr>
        <w:t xml:space="preserve"> </w:t>
      </w:r>
      <w:r>
        <w:t>Municipal</w:t>
      </w:r>
      <w:r>
        <w:rPr>
          <w:spacing w:val="39"/>
        </w:rPr>
        <w:t xml:space="preserve"> </w:t>
      </w:r>
      <w:r>
        <w:t>nº</w:t>
      </w:r>
      <w:r>
        <w:rPr>
          <w:spacing w:val="39"/>
        </w:rPr>
        <w:t xml:space="preserve"> </w:t>
      </w:r>
      <w:r>
        <w:t>15.764/2013,</w:t>
      </w:r>
      <w:r>
        <w:rPr>
          <w:spacing w:val="39"/>
        </w:rPr>
        <w:t xml:space="preserve"> </w:t>
      </w:r>
      <w:r>
        <w:t>no</w:t>
      </w:r>
      <w:r>
        <w:rPr>
          <w:spacing w:val="39"/>
        </w:rPr>
        <w:t xml:space="preserve"> </w:t>
      </w:r>
      <w:r>
        <w:t>artigo</w:t>
      </w:r>
      <w:r>
        <w:rPr>
          <w:spacing w:val="39"/>
        </w:rPr>
        <w:t xml:space="preserve"> </w:t>
      </w:r>
      <w:r>
        <w:t>203,</w:t>
      </w:r>
      <w:r>
        <w:rPr>
          <w:spacing w:val="39"/>
        </w:rPr>
        <w:t xml:space="preserve"> </w:t>
      </w:r>
      <w:r>
        <w:t>da</w:t>
      </w:r>
      <w:r>
        <w:rPr>
          <w:spacing w:val="39"/>
        </w:rPr>
        <w:t xml:space="preserve"> </w:t>
      </w:r>
      <w:r>
        <w:rPr>
          <w:spacing w:val="-5"/>
        </w:rPr>
        <w:t>Lei</w:t>
      </w:r>
    </w:p>
    <w:p w:rsidR="007259F2" w:rsidRDefault="00DE6B1C">
      <w:pPr>
        <w:pStyle w:val="Corpodetexto"/>
        <w:spacing w:before="128"/>
        <w:ind w:left="0" w:firstLine="0"/>
        <w:jc w:val="left"/>
        <w:rPr>
          <w:sz w:val="20"/>
        </w:rPr>
      </w:pPr>
      <w:r w:rsidRPr="00DE6B1C">
        <w:rPr>
          <w:sz w:val="20"/>
        </w:rPr>
        <w:pict>
          <v:rect id="docshape46" o:spid="_x0000_s1180" style="position:absolute;margin-left:85.1pt;margin-top:19.15pt;width:2in;height:.7pt;z-index:-15713280;mso-wrap-distance-left:0;mso-wrap-distance-right:0;mso-position-horizontal-relative:page" fillcolor="black" stroked="f">
            <w10:wrap type="topAndBottom" anchorx="page"/>
          </v:rect>
        </w:pict>
      </w:r>
    </w:p>
    <w:p w:rsidR="007259F2" w:rsidRDefault="00E655B4">
      <w:pPr>
        <w:spacing w:before="97"/>
        <w:ind w:left="710" w:right="988"/>
        <w:jc w:val="both"/>
        <w:rPr>
          <w:sz w:val="20"/>
        </w:rPr>
      </w:pPr>
      <w:r>
        <w:rPr>
          <w:sz w:val="20"/>
          <w:vertAlign w:val="superscript"/>
        </w:rPr>
        <w:t>12</w:t>
      </w:r>
      <w:r>
        <w:rPr>
          <w:sz w:val="20"/>
        </w:rPr>
        <w:t xml:space="preserve"> SÃO PAULO (SP). Controladoria Geral do Município.2024. </w:t>
      </w:r>
      <w:r>
        <w:rPr>
          <w:b/>
          <w:sz w:val="20"/>
        </w:rPr>
        <w:t>Matéria UOL</w:t>
      </w:r>
      <w:r>
        <w:rPr>
          <w:sz w:val="20"/>
        </w:rPr>
        <w:t xml:space="preserve">, Gestão Nunes ignorou desconto e pagou mais caro por obras emergenciais, Processo 6067.2024/0022265-6, Documento </w:t>
      </w:r>
      <w:r>
        <w:rPr>
          <w:spacing w:val="-2"/>
          <w:sz w:val="20"/>
        </w:rPr>
        <w:t>108425059</w:t>
      </w:r>
    </w:p>
    <w:p w:rsidR="007259F2" w:rsidRDefault="007259F2">
      <w:pPr>
        <w:jc w:val="both"/>
        <w:rPr>
          <w:sz w:val="20"/>
        </w:rPr>
        <w:sectPr w:rsidR="007259F2">
          <w:pgSz w:w="11910" w:h="16840"/>
          <w:pgMar w:top="1320" w:right="708" w:bottom="1160" w:left="992" w:header="0" w:footer="962" w:gutter="0"/>
          <w:cols w:space="720"/>
        </w:sectPr>
      </w:pPr>
    </w:p>
    <w:p w:rsidR="007259F2" w:rsidRDefault="00E655B4">
      <w:pPr>
        <w:pStyle w:val="Corpodetexto"/>
        <w:spacing w:before="109"/>
        <w:ind w:right="987" w:firstLine="0"/>
      </w:pPr>
      <w:r>
        <w:lastRenderedPageBreak/>
        <w:t>Municipal nº 8.989/79 e no artigo 3º, do Decreto Municipal nº 55.107/2014</w:t>
      </w:r>
      <w:r>
        <w:rPr>
          <w:vertAlign w:val="superscript"/>
        </w:rPr>
        <w:t>13</w:t>
      </w:r>
      <w:r>
        <w:t xml:space="preserve"> decidiu instaurar a Sindicância de número 6067.2024/0006386-8, que tramita em sigilo, para indicação das responsabilidades funcionais decorrentes das irregularidades apontadas nas contratações emergenciais.</w:t>
      </w:r>
    </w:p>
    <w:p w:rsidR="007259F2" w:rsidRDefault="00E655B4">
      <w:pPr>
        <w:pStyle w:val="Heading2"/>
        <w:numPr>
          <w:ilvl w:val="0"/>
          <w:numId w:val="41"/>
        </w:numPr>
        <w:tabs>
          <w:tab w:val="left" w:pos="890"/>
        </w:tabs>
        <w:ind w:left="890" w:hanging="180"/>
        <w:jc w:val="both"/>
      </w:pPr>
      <w:r>
        <w:t>Possíveis</w:t>
      </w:r>
      <w:r>
        <w:rPr>
          <w:spacing w:val="-14"/>
        </w:rPr>
        <w:t xml:space="preserve"> </w:t>
      </w:r>
      <w:r>
        <w:t>consequências</w:t>
      </w:r>
      <w:r>
        <w:rPr>
          <w:spacing w:val="-12"/>
        </w:rPr>
        <w:t xml:space="preserve"> </w:t>
      </w:r>
      <w:r>
        <w:t>jurídicas</w:t>
      </w:r>
      <w:r>
        <w:rPr>
          <w:spacing w:val="-14"/>
        </w:rPr>
        <w:t xml:space="preserve"> </w:t>
      </w:r>
      <w:r>
        <w:t>e</w:t>
      </w:r>
      <w:r>
        <w:rPr>
          <w:spacing w:val="-14"/>
        </w:rPr>
        <w:t xml:space="preserve"> </w:t>
      </w:r>
      <w:r>
        <w:t>negativas</w:t>
      </w:r>
      <w:r>
        <w:rPr>
          <w:spacing w:val="-12"/>
        </w:rPr>
        <w:t xml:space="preserve"> </w:t>
      </w:r>
      <w:r>
        <w:t>oriundas</w:t>
      </w:r>
      <w:r>
        <w:rPr>
          <w:spacing w:val="-13"/>
        </w:rPr>
        <w:t xml:space="preserve"> </w:t>
      </w:r>
      <w:r>
        <w:t>da</w:t>
      </w:r>
      <w:r>
        <w:rPr>
          <w:spacing w:val="-15"/>
        </w:rPr>
        <w:t xml:space="preserve"> </w:t>
      </w:r>
      <w:r>
        <w:t>emergência</w:t>
      </w:r>
      <w:r>
        <w:rPr>
          <w:spacing w:val="-10"/>
        </w:rPr>
        <w:t xml:space="preserve"> </w:t>
      </w:r>
      <w:r>
        <w:rPr>
          <w:spacing w:val="-2"/>
        </w:rPr>
        <w:t>fabricada</w:t>
      </w:r>
    </w:p>
    <w:p w:rsidR="007259F2" w:rsidRDefault="00E655B4">
      <w:pPr>
        <w:pStyle w:val="Corpodetexto"/>
        <w:spacing w:before="156"/>
        <w:ind w:right="987"/>
      </w:pPr>
      <w:r>
        <w:t>Como dito, os processos mencionados como exemplos estão entre muitos outros que ganharam destaque perante os Órgãos de Controle do Município de São Paulo. A partir destas investigações e da constatação de irregularidades nas emergências, principalmente em razão da emergência fabricada ou ficta, a municipalidade e os</w:t>
      </w:r>
      <w:r>
        <w:rPr>
          <w:spacing w:val="40"/>
        </w:rPr>
        <w:t xml:space="preserve"> </w:t>
      </w:r>
      <w:r>
        <w:t>agentes públicos poderão sofrer consequências negativas, inclusive, de cunho</w:t>
      </w:r>
      <w:r>
        <w:rPr>
          <w:spacing w:val="80"/>
        </w:rPr>
        <w:t xml:space="preserve"> </w:t>
      </w:r>
      <w:r>
        <w:rPr>
          <w:spacing w:val="-2"/>
        </w:rPr>
        <w:t>financeiro.</w:t>
      </w:r>
    </w:p>
    <w:p w:rsidR="007259F2" w:rsidRDefault="00E655B4">
      <w:pPr>
        <w:pStyle w:val="Corpodetexto"/>
        <w:spacing w:before="1"/>
        <w:ind w:right="992"/>
      </w:pPr>
      <w:r>
        <w:t>Ora, ainda que seja permitido o uso da dispensa emergencial cheia de irregularidades e amparada pela emergência fabricada, em prol dos direitos e interesses coletivos, a punição dos responsáveis é medida adotada, principalmente, pelos danos causados ao erário e pela ofensa aos princípios constitucionais e administrativos.</w:t>
      </w:r>
    </w:p>
    <w:p w:rsidR="007259F2" w:rsidRDefault="00E655B4">
      <w:pPr>
        <w:pStyle w:val="Corpodetexto"/>
        <w:ind w:right="994"/>
      </w:pPr>
      <w:r>
        <w:t>Nesse sentido, vale indicar a jurisprudência, por meio da qual, o plenário do Tribunal de Contas das União determinou a responsabilização do gestor que concorre em favor da emergência fabricada, de relatoria do. Min. Benjamin Zymler:</w:t>
      </w:r>
    </w:p>
    <w:p w:rsidR="007259F2" w:rsidRDefault="007259F2">
      <w:pPr>
        <w:pStyle w:val="Corpodetexto"/>
        <w:spacing w:before="1"/>
        <w:ind w:left="0" w:firstLine="0"/>
        <w:jc w:val="left"/>
      </w:pPr>
    </w:p>
    <w:p w:rsidR="007259F2" w:rsidRDefault="00E655B4">
      <w:pPr>
        <w:ind w:left="2978" w:right="988"/>
        <w:jc w:val="both"/>
        <w:rPr>
          <w:sz w:val="20"/>
        </w:rPr>
      </w:pPr>
      <w:r>
        <w:rPr>
          <w:sz w:val="20"/>
        </w:rPr>
        <w:t>A</w:t>
      </w:r>
      <w:r>
        <w:rPr>
          <w:spacing w:val="-2"/>
          <w:sz w:val="20"/>
        </w:rPr>
        <w:t xml:space="preserve"> </w:t>
      </w:r>
      <w:r>
        <w:rPr>
          <w:sz w:val="20"/>
        </w:rPr>
        <w:t>situação prevista</w:t>
      </w:r>
      <w:r>
        <w:rPr>
          <w:spacing w:val="-1"/>
          <w:sz w:val="20"/>
        </w:rPr>
        <w:t xml:space="preserve"> </w:t>
      </w:r>
      <w:r>
        <w:rPr>
          <w:sz w:val="20"/>
        </w:rPr>
        <w:t>no art.</w:t>
      </w:r>
      <w:r>
        <w:rPr>
          <w:spacing w:val="-1"/>
          <w:sz w:val="20"/>
        </w:rPr>
        <w:t xml:space="preserve"> </w:t>
      </w:r>
      <w:r>
        <w:rPr>
          <w:sz w:val="20"/>
        </w:rPr>
        <w:t>24,</w:t>
      </w:r>
      <w:r>
        <w:rPr>
          <w:spacing w:val="-2"/>
          <w:sz w:val="20"/>
        </w:rPr>
        <w:t xml:space="preserve"> </w:t>
      </w:r>
      <w:r>
        <w:rPr>
          <w:sz w:val="20"/>
        </w:rPr>
        <w:t>inciso</w:t>
      </w:r>
      <w:r>
        <w:rPr>
          <w:spacing w:val="-1"/>
          <w:sz w:val="20"/>
        </w:rPr>
        <w:t xml:space="preserve"> </w:t>
      </w:r>
      <w:r>
        <w:rPr>
          <w:sz w:val="20"/>
        </w:rPr>
        <w:t>IV, da</w:t>
      </w:r>
      <w:r>
        <w:rPr>
          <w:spacing w:val="-1"/>
          <w:sz w:val="20"/>
        </w:rPr>
        <w:t xml:space="preserve"> </w:t>
      </w:r>
      <w:r>
        <w:rPr>
          <w:sz w:val="20"/>
        </w:rPr>
        <w:t>Lei</w:t>
      </w:r>
      <w:r>
        <w:rPr>
          <w:spacing w:val="-1"/>
          <w:sz w:val="20"/>
        </w:rPr>
        <w:t xml:space="preserve"> </w:t>
      </w:r>
      <w:r>
        <w:rPr>
          <w:sz w:val="20"/>
        </w:rPr>
        <w:t>de</w:t>
      </w:r>
      <w:r>
        <w:rPr>
          <w:spacing w:val="-1"/>
          <w:sz w:val="20"/>
        </w:rPr>
        <w:t xml:space="preserve"> </w:t>
      </w:r>
      <w:r>
        <w:rPr>
          <w:sz w:val="20"/>
        </w:rPr>
        <w:t>Licitações</w:t>
      </w:r>
      <w:r>
        <w:rPr>
          <w:spacing w:val="-1"/>
          <w:sz w:val="20"/>
        </w:rPr>
        <w:t xml:space="preserve"> </w:t>
      </w:r>
      <w:r>
        <w:rPr>
          <w:sz w:val="20"/>
        </w:rPr>
        <w:t>e</w:t>
      </w:r>
      <w:r>
        <w:rPr>
          <w:spacing w:val="-1"/>
          <w:sz w:val="20"/>
        </w:rPr>
        <w:t xml:space="preserve"> </w:t>
      </w:r>
      <w:r>
        <w:rPr>
          <w:sz w:val="20"/>
        </w:rPr>
        <w:t xml:space="preserve">Contratos não distingue a emergência real, resultante do imprevisível, daquela resultante da incúria ou da inércia administrativa, sendo cabível, em ambas as hipóteses, a contratação direta, desde que devidamente caracterizada a urgência de atendimento a situação que possa ocasionar prejuízo ou comprometer a segurança de pessoas, obras, serviços, equipamentos e outros bens, públicos ou particulares. [...] 28. Em todo caso, </w:t>
      </w:r>
      <w:r>
        <w:rPr>
          <w:b/>
          <w:sz w:val="20"/>
        </w:rPr>
        <w:t>o gestor que dá causa a situação emergencial pode ser responsabilizado, em face de sua omissão quanto</w:t>
      </w:r>
      <w:r>
        <w:rPr>
          <w:b/>
          <w:spacing w:val="40"/>
          <w:sz w:val="20"/>
        </w:rPr>
        <w:t xml:space="preserve"> </w:t>
      </w:r>
      <w:r>
        <w:rPr>
          <w:b/>
          <w:sz w:val="20"/>
        </w:rPr>
        <w:t>ao dever de agir a tempo, adotando as medidas cabíveis para a</w:t>
      </w:r>
      <w:r>
        <w:rPr>
          <w:b/>
          <w:spacing w:val="80"/>
          <w:sz w:val="20"/>
        </w:rPr>
        <w:t xml:space="preserve"> </w:t>
      </w:r>
      <w:r>
        <w:rPr>
          <w:b/>
          <w:sz w:val="20"/>
        </w:rPr>
        <w:t xml:space="preserve">realização de um regular procedimento licitatório. </w:t>
      </w:r>
      <w:r>
        <w:rPr>
          <w:sz w:val="20"/>
        </w:rPr>
        <w:t>No caso concreto, o ponto fulcral</w:t>
      </w:r>
      <w:r>
        <w:rPr>
          <w:spacing w:val="-1"/>
          <w:sz w:val="20"/>
        </w:rPr>
        <w:t xml:space="preserve"> </w:t>
      </w:r>
      <w:r>
        <w:rPr>
          <w:sz w:val="20"/>
        </w:rPr>
        <w:t>da</w:t>
      </w:r>
      <w:r>
        <w:rPr>
          <w:spacing w:val="-1"/>
          <w:sz w:val="20"/>
        </w:rPr>
        <w:t xml:space="preserve"> </w:t>
      </w:r>
      <w:r>
        <w:rPr>
          <w:sz w:val="20"/>
        </w:rPr>
        <w:t>presente irregularidade</w:t>
      </w:r>
      <w:r>
        <w:rPr>
          <w:spacing w:val="-1"/>
          <w:sz w:val="20"/>
        </w:rPr>
        <w:t xml:space="preserve"> </w:t>
      </w:r>
      <w:r>
        <w:rPr>
          <w:sz w:val="20"/>
        </w:rPr>
        <w:t>não foi</w:t>
      </w:r>
      <w:r>
        <w:rPr>
          <w:spacing w:val="-1"/>
          <w:sz w:val="20"/>
        </w:rPr>
        <w:t xml:space="preserve"> </w:t>
      </w:r>
      <w:r>
        <w:rPr>
          <w:sz w:val="20"/>
        </w:rPr>
        <w:t>a contratação emergencial em si, mas</w:t>
      </w:r>
      <w:r>
        <w:rPr>
          <w:spacing w:val="-2"/>
          <w:sz w:val="20"/>
        </w:rPr>
        <w:t xml:space="preserve"> </w:t>
      </w:r>
      <w:r>
        <w:rPr>
          <w:sz w:val="20"/>
        </w:rPr>
        <w:t>a desídia</w:t>
      </w:r>
      <w:r>
        <w:rPr>
          <w:spacing w:val="-6"/>
          <w:sz w:val="20"/>
        </w:rPr>
        <w:t xml:space="preserve"> </w:t>
      </w:r>
      <w:r>
        <w:rPr>
          <w:sz w:val="20"/>
        </w:rPr>
        <w:t>da</w:t>
      </w:r>
      <w:r>
        <w:rPr>
          <w:spacing w:val="-6"/>
          <w:sz w:val="20"/>
        </w:rPr>
        <w:t xml:space="preserve"> </w:t>
      </w:r>
      <w:r>
        <w:rPr>
          <w:sz w:val="20"/>
        </w:rPr>
        <w:t>instância</w:t>
      </w:r>
      <w:r>
        <w:rPr>
          <w:spacing w:val="-7"/>
          <w:sz w:val="20"/>
        </w:rPr>
        <w:t xml:space="preserve"> </w:t>
      </w:r>
      <w:r>
        <w:rPr>
          <w:sz w:val="20"/>
        </w:rPr>
        <w:t>administrativa</w:t>
      </w:r>
      <w:r>
        <w:rPr>
          <w:spacing w:val="-5"/>
          <w:sz w:val="20"/>
        </w:rPr>
        <w:t xml:space="preserve"> </w:t>
      </w:r>
      <w:r>
        <w:rPr>
          <w:sz w:val="20"/>
        </w:rPr>
        <w:t>da</w:t>
      </w:r>
      <w:r>
        <w:rPr>
          <w:spacing w:val="-6"/>
          <w:sz w:val="20"/>
        </w:rPr>
        <w:t xml:space="preserve"> </w:t>
      </w:r>
      <w:r>
        <w:rPr>
          <w:sz w:val="20"/>
        </w:rPr>
        <w:t>Secretaria</w:t>
      </w:r>
      <w:r>
        <w:rPr>
          <w:spacing w:val="-6"/>
          <w:sz w:val="20"/>
        </w:rPr>
        <w:t xml:space="preserve"> </w:t>
      </w:r>
      <w:r>
        <w:rPr>
          <w:sz w:val="20"/>
        </w:rPr>
        <w:t>Municipal</w:t>
      </w:r>
      <w:r>
        <w:rPr>
          <w:spacing w:val="-5"/>
          <w:sz w:val="20"/>
        </w:rPr>
        <w:t xml:space="preserve"> </w:t>
      </w:r>
      <w:r>
        <w:rPr>
          <w:sz w:val="20"/>
        </w:rPr>
        <w:t>de</w:t>
      </w:r>
      <w:r>
        <w:rPr>
          <w:spacing w:val="-6"/>
          <w:sz w:val="20"/>
        </w:rPr>
        <w:t xml:space="preserve"> </w:t>
      </w:r>
      <w:r>
        <w:rPr>
          <w:sz w:val="20"/>
        </w:rPr>
        <w:t>Saúde de Porto Alegre na adoção de</w:t>
      </w:r>
      <w:r>
        <w:rPr>
          <w:spacing w:val="40"/>
          <w:sz w:val="20"/>
        </w:rPr>
        <w:t xml:space="preserve"> </w:t>
      </w:r>
      <w:r>
        <w:rPr>
          <w:sz w:val="20"/>
        </w:rPr>
        <w:t>providências visando a licitação dos serviços, de forma a evitar a situação de emergência.</w:t>
      </w:r>
      <w:r>
        <w:rPr>
          <w:sz w:val="20"/>
          <w:vertAlign w:val="superscript"/>
        </w:rPr>
        <w:t>14</w:t>
      </w:r>
    </w:p>
    <w:p w:rsidR="007259F2" w:rsidRDefault="00E655B4">
      <w:pPr>
        <w:pStyle w:val="Corpodetexto"/>
        <w:spacing w:before="229"/>
        <w:ind w:right="996"/>
      </w:pPr>
      <w:r>
        <w:t xml:space="preserve">Quanto à responsabilização dos agentes e a aplicação de penalidades, primeiramente, para os contratos que operam com base na Lei 8.666/93, deverão imperar as sanções administrativas do capítulo IV da referida lei, especialmente, pelo artigo 82, </w:t>
      </w:r>
      <w:r>
        <w:rPr>
          <w:i/>
        </w:rPr>
        <w:t>in verbis</w:t>
      </w:r>
      <w:r>
        <w:t>:</w:t>
      </w:r>
    </w:p>
    <w:p w:rsidR="007259F2" w:rsidRDefault="00DE6B1C">
      <w:pPr>
        <w:pStyle w:val="Corpodetexto"/>
        <w:spacing w:before="33"/>
        <w:ind w:left="0" w:firstLine="0"/>
        <w:jc w:val="left"/>
        <w:rPr>
          <w:sz w:val="20"/>
        </w:rPr>
      </w:pPr>
      <w:r w:rsidRPr="00DE6B1C">
        <w:rPr>
          <w:sz w:val="20"/>
        </w:rPr>
        <w:pict>
          <v:rect id="docshape47" o:spid="_x0000_s1179" style="position:absolute;margin-left:85.1pt;margin-top:14.35pt;width:2in;height:.7pt;z-index:-15712768;mso-wrap-distance-left:0;mso-wrap-distance-right:0;mso-position-horizontal-relative:page" fillcolor="black" stroked="f">
            <w10:wrap type="topAndBottom" anchorx="page"/>
          </v:rect>
        </w:pict>
      </w:r>
    </w:p>
    <w:p w:rsidR="007259F2" w:rsidRDefault="00E655B4">
      <w:pPr>
        <w:spacing w:before="96"/>
        <w:ind w:left="710" w:right="996"/>
        <w:jc w:val="both"/>
        <w:rPr>
          <w:sz w:val="20"/>
        </w:rPr>
      </w:pPr>
      <w:r>
        <w:rPr>
          <w:sz w:val="20"/>
          <w:vertAlign w:val="superscript"/>
        </w:rPr>
        <w:t>13</w:t>
      </w:r>
      <w:r>
        <w:rPr>
          <w:sz w:val="20"/>
        </w:rPr>
        <w:t xml:space="preserve"> Art. 138. § 2º Os procedimentos previstos no inciso II do “caput” deste artigo poderão, excepcionalmente, ser conduzidos</w:t>
      </w:r>
      <w:r>
        <w:rPr>
          <w:spacing w:val="-1"/>
          <w:sz w:val="20"/>
        </w:rPr>
        <w:t xml:space="preserve"> </w:t>
      </w:r>
      <w:r>
        <w:rPr>
          <w:sz w:val="20"/>
        </w:rPr>
        <w:t>no âmbito da Controladoria Geral do</w:t>
      </w:r>
      <w:r>
        <w:rPr>
          <w:spacing w:val="-1"/>
          <w:sz w:val="20"/>
        </w:rPr>
        <w:t xml:space="preserve"> </w:t>
      </w:r>
      <w:r>
        <w:rPr>
          <w:sz w:val="20"/>
        </w:rPr>
        <w:t>Município, quando a importância do objeto, seu impacto social ou relevância econômica assim indicar, hipóteses em que competirá ao Controlador</w:t>
      </w:r>
      <w:r>
        <w:rPr>
          <w:spacing w:val="-2"/>
          <w:sz w:val="20"/>
        </w:rPr>
        <w:t xml:space="preserve"> </w:t>
      </w:r>
      <w:r>
        <w:rPr>
          <w:sz w:val="20"/>
        </w:rPr>
        <w:t>Geral</w:t>
      </w:r>
      <w:r>
        <w:rPr>
          <w:spacing w:val="-2"/>
          <w:sz w:val="20"/>
        </w:rPr>
        <w:t xml:space="preserve"> </w:t>
      </w:r>
      <w:r>
        <w:rPr>
          <w:sz w:val="20"/>
        </w:rPr>
        <w:t>decidir,</w:t>
      </w:r>
      <w:r>
        <w:rPr>
          <w:spacing w:val="-2"/>
          <w:sz w:val="20"/>
        </w:rPr>
        <w:t xml:space="preserve"> </w:t>
      </w:r>
      <w:r>
        <w:rPr>
          <w:sz w:val="20"/>
        </w:rPr>
        <w:t>por</w:t>
      </w:r>
      <w:r>
        <w:rPr>
          <w:spacing w:val="-4"/>
          <w:sz w:val="20"/>
        </w:rPr>
        <w:t xml:space="preserve"> </w:t>
      </w:r>
      <w:r>
        <w:rPr>
          <w:sz w:val="20"/>
        </w:rPr>
        <w:t>despacho,</w:t>
      </w:r>
      <w:r>
        <w:rPr>
          <w:spacing w:val="-2"/>
          <w:sz w:val="20"/>
        </w:rPr>
        <w:t xml:space="preserve"> </w:t>
      </w:r>
      <w:r>
        <w:rPr>
          <w:sz w:val="20"/>
        </w:rPr>
        <w:t>nos</w:t>
      </w:r>
      <w:r>
        <w:rPr>
          <w:spacing w:val="-1"/>
          <w:sz w:val="20"/>
        </w:rPr>
        <w:t xml:space="preserve"> </w:t>
      </w:r>
      <w:r>
        <w:rPr>
          <w:sz w:val="20"/>
        </w:rPr>
        <w:t>casos</w:t>
      </w:r>
      <w:r>
        <w:rPr>
          <w:spacing w:val="-1"/>
          <w:sz w:val="20"/>
        </w:rPr>
        <w:t xml:space="preserve"> </w:t>
      </w:r>
      <w:r>
        <w:rPr>
          <w:sz w:val="20"/>
        </w:rPr>
        <w:t>previstos</w:t>
      </w:r>
      <w:r>
        <w:rPr>
          <w:spacing w:val="-1"/>
          <w:sz w:val="20"/>
        </w:rPr>
        <w:t xml:space="preserve"> </w:t>
      </w:r>
      <w:r>
        <w:rPr>
          <w:sz w:val="20"/>
        </w:rPr>
        <w:t>no</w:t>
      </w:r>
      <w:r>
        <w:rPr>
          <w:spacing w:val="-1"/>
          <w:sz w:val="20"/>
        </w:rPr>
        <w:t xml:space="preserve"> </w:t>
      </w:r>
      <w:r>
        <w:rPr>
          <w:sz w:val="20"/>
        </w:rPr>
        <w:t>art.</w:t>
      </w:r>
      <w:r>
        <w:rPr>
          <w:spacing w:val="-2"/>
          <w:sz w:val="20"/>
        </w:rPr>
        <w:t xml:space="preserve"> </w:t>
      </w:r>
      <w:r>
        <w:rPr>
          <w:sz w:val="20"/>
        </w:rPr>
        <w:t>3º,</w:t>
      </w:r>
      <w:r>
        <w:rPr>
          <w:spacing w:val="-2"/>
          <w:sz w:val="20"/>
        </w:rPr>
        <w:t xml:space="preserve"> </w:t>
      </w:r>
      <w:r>
        <w:rPr>
          <w:sz w:val="20"/>
        </w:rPr>
        <w:t>III</w:t>
      </w:r>
      <w:r>
        <w:rPr>
          <w:spacing w:val="-2"/>
          <w:sz w:val="20"/>
        </w:rPr>
        <w:t xml:space="preserve"> </w:t>
      </w:r>
      <w:r>
        <w:rPr>
          <w:sz w:val="20"/>
        </w:rPr>
        <w:t>e</w:t>
      </w:r>
      <w:r>
        <w:rPr>
          <w:spacing w:val="-2"/>
          <w:sz w:val="20"/>
        </w:rPr>
        <w:t xml:space="preserve"> </w:t>
      </w:r>
      <w:r>
        <w:rPr>
          <w:sz w:val="20"/>
        </w:rPr>
        <w:t>IV</w:t>
      </w:r>
      <w:r>
        <w:rPr>
          <w:spacing w:val="-2"/>
          <w:sz w:val="20"/>
        </w:rPr>
        <w:t xml:space="preserve"> </w:t>
      </w:r>
      <w:r>
        <w:rPr>
          <w:sz w:val="20"/>
        </w:rPr>
        <w:t>da</w:t>
      </w:r>
      <w:r>
        <w:rPr>
          <w:spacing w:val="-2"/>
          <w:sz w:val="20"/>
        </w:rPr>
        <w:t xml:space="preserve"> </w:t>
      </w:r>
      <w:r>
        <w:rPr>
          <w:sz w:val="20"/>
        </w:rPr>
        <w:t>Lei nº 10.182,</w:t>
      </w:r>
      <w:r>
        <w:rPr>
          <w:spacing w:val="-2"/>
          <w:sz w:val="20"/>
        </w:rPr>
        <w:t xml:space="preserve"> </w:t>
      </w:r>
      <w:r>
        <w:rPr>
          <w:sz w:val="20"/>
        </w:rPr>
        <w:t>de</w:t>
      </w:r>
      <w:r>
        <w:rPr>
          <w:spacing w:val="-2"/>
          <w:sz w:val="20"/>
        </w:rPr>
        <w:t xml:space="preserve"> </w:t>
      </w:r>
      <w:r>
        <w:rPr>
          <w:sz w:val="20"/>
        </w:rPr>
        <w:t>30</w:t>
      </w:r>
      <w:r>
        <w:rPr>
          <w:spacing w:val="-1"/>
          <w:sz w:val="20"/>
        </w:rPr>
        <w:t xml:space="preserve"> </w:t>
      </w:r>
      <w:r>
        <w:rPr>
          <w:sz w:val="20"/>
        </w:rPr>
        <w:t>de outubro de 1986, observado o disposto no parágrafo único do mesmo dispositivo legal e o art. 208, parágrafo único, da Lei nº 8.989, de 1979.</w:t>
      </w:r>
    </w:p>
    <w:p w:rsidR="007259F2" w:rsidRDefault="00E655B4">
      <w:pPr>
        <w:ind w:left="710" w:right="993"/>
        <w:jc w:val="both"/>
        <w:rPr>
          <w:sz w:val="20"/>
        </w:rPr>
      </w:pPr>
      <w:r>
        <w:rPr>
          <w:sz w:val="20"/>
        </w:rPr>
        <w:t>Art. 203 - A sindicância é peça preliminar e informativa do inquérito administrativo, devendo ser promovida quando os fatos não estiverem definidos ou faltarem elementos indicativos da autoria. (Regulamentado pelo Decreto nº 43.233/2003)</w:t>
      </w:r>
    </w:p>
    <w:p w:rsidR="007259F2" w:rsidRDefault="00E655B4">
      <w:pPr>
        <w:ind w:left="710" w:right="990"/>
        <w:jc w:val="both"/>
        <w:rPr>
          <w:sz w:val="20"/>
        </w:rPr>
      </w:pPr>
      <w:r>
        <w:rPr>
          <w:sz w:val="20"/>
        </w:rPr>
        <w:t>Art. 3º A Controladoria Geral do Município é o órgão responsável pela instauração da sindicância e do processo administrativo destinado a apurar a responsabilidade administrativa de pessoas jurídicas pela prática</w:t>
      </w:r>
      <w:r>
        <w:rPr>
          <w:spacing w:val="-1"/>
          <w:sz w:val="20"/>
        </w:rPr>
        <w:t xml:space="preserve"> </w:t>
      </w:r>
      <w:r>
        <w:rPr>
          <w:sz w:val="20"/>
        </w:rPr>
        <w:t>de</w:t>
      </w:r>
      <w:r>
        <w:rPr>
          <w:spacing w:val="-2"/>
          <w:sz w:val="20"/>
        </w:rPr>
        <w:t xml:space="preserve"> </w:t>
      </w:r>
      <w:r>
        <w:rPr>
          <w:sz w:val="20"/>
        </w:rPr>
        <w:t>atos</w:t>
      </w:r>
      <w:r>
        <w:rPr>
          <w:spacing w:val="-3"/>
          <w:sz w:val="20"/>
        </w:rPr>
        <w:t xml:space="preserve"> </w:t>
      </w:r>
      <w:r>
        <w:rPr>
          <w:sz w:val="20"/>
        </w:rPr>
        <w:t>contra a Administração Pública Municipal Direta e Indireta, nos termos da Lei Federal nº 12.846, de 2013.</w:t>
      </w:r>
    </w:p>
    <w:p w:rsidR="007259F2" w:rsidRDefault="00E655B4">
      <w:pPr>
        <w:spacing w:before="1"/>
        <w:ind w:left="710" w:right="992"/>
        <w:jc w:val="both"/>
        <w:rPr>
          <w:sz w:val="20"/>
        </w:rPr>
      </w:pPr>
      <w:r>
        <w:rPr>
          <w:sz w:val="20"/>
          <w:vertAlign w:val="superscript"/>
        </w:rPr>
        <w:t>14</w:t>
      </w:r>
      <w:r>
        <w:rPr>
          <w:sz w:val="20"/>
        </w:rPr>
        <w:t xml:space="preserve"> BRASIL. Tribunal de Contas da União, </w:t>
      </w:r>
      <w:r>
        <w:rPr>
          <w:b/>
          <w:sz w:val="20"/>
        </w:rPr>
        <w:t>Processo nº 020.514/2014-0</w:t>
      </w:r>
      <w:r>
        <w:rPr>
          <w:sz w:val="20"/>
        </w:rPr>
        <w:t>, Data: 31.05.2017, Acórdão 1.122/2017, Plenário, rel. Min. Benjamin Zymler, grifo nosso.</w:t>
      </w:r>
    </w:p>
    <w:p w:rsidR="007259F2" w:rsidRDefault="007259F2">
      <w:pPr>
        <w:jc w:val="both"/>
        <w:rPr>
          <w:sz w:val="20"/>
        </w:rPr>
        <w:sectPr w:rsidR="007259F2">
          <w:pgSz w:w="11910" w:h="16840"/>
          <w:pgMar w:top="1280" w:right="708" w:bottom="1160" w:left="992" w:header="0" w:footer="962" w:gutter="0"/>
          <w:cols w:space="720"/>
        </w:sectPr>
      </w:pPr>
    </w:p>
    <w:p w:rsidR="007259F2" w:rsidRDefault="00E655B4">
      <w:pPr>
        <w:spacing w:before="67"/>
        <w:ind w:left="2978" w:right="988"/>
        <w:jc w:val="both"/>
        <w:rPr>
          <w:sz w:val="20"/>
        </w:rPr>
      </w:pPr>
      <w:r>
        <w:rPr>
          <w:sz w:val="20"/>
        </w:rPr>
        <w:lastRenderedPageBreak/>
        <w:t>Art.</w:t>
      </w:r>
      <w:r>
        <w:rPr>
          <w:spacing w:val="-1"/>
          <w:sz w:val="20"/>
        </w:rPr>
        <w:t xml:space="preserve"> </w:t>
      </w:r>
      <w:r>
        <w:rPr>
          <w:sz w:val="20"/>
        </w:rPr>
        <w:t>82.</w:t>
      </w:r>
      <w:r>
        <w:rPr>
          <w:spacing w:val="-1"/>
          <w:sz w:val="20"/>
        </w:rPr>
        <w:t xml:space="preserve"> </w:t>
      </w:r>
      <w:r>
        <w:rPr>
          <w:sz w:val="20"/>
        </w:rPr>
        <w:t>Os</w:t>
      </w:r>
      <w:r>
        <w:rPr>
          <w:spacing w:val="-1"/>
          <w:sz w:val="20"/>
        </w:rPr>
        <w:t xml:space="preserve"> </w:t>
      </w:r>
      <w:r>
        <w:rPr>
          <w:sz w:val="20"/>
        </w:rPr>
        <w:t>agentes</w:t>
      </w:r>
      <w:r>
        <w:rPr>
          <w:spacing w:val="-1"/>
          <w:sz w:val="20"/>
        </w:rPr>
        <w:t xml:space="preserve"> </w:t>
      </w:r>
      <w:r>
        <w:rPr>
          <w:sz w:val="20"/>
        </w:rPr>
        <w:t>administrativos</w:t>
      </w:r>
      <w:r>
        <w:rPr>
          <w:spacing w:val="-1"/>
          <w:sz w:val="20"/>
        </w:rPr>
        <w:t xml:space="preserve"> </w:t>
      </w:r>
      <w:r>
        <w:rPr>
          <w:sz w:val="20"/>
        </w:rPr>
        <w:t>que</w:t>
      </w:r>
      <w:r>
        <w:rPr>
          <w:spacing w:val="-1"/>
          <w:sz w:val="20"/>
        </w:rPr>
        <w:t xml:space="preserve"> </w:t>
      </w:r>
      <w:r>
        <w:rPr>
          <w:sz w:val="20"/>
        </w:rPr>
        <w:t>praticarem</w:t>
      </w:r>
      <w:r>
        <w:rPr>
          <w:spacing w:val="-4"/>
          <w:sz w:val="20"/>
        </w:rPr>
        <w:t xml:space="preserve"> </w:t>
      </w:r>
      <w:r>
        <w:rPr>
          <w:sz w:val="20"/>
        </w:rPr>
        <w:t>atos</w:t>
      </w:r>
      <w:r>
        <w:rPr>
          <w:spacing w:val="-1"/>
          <w:sz w:val="20"/>
        </w:rPr>
        <w:t xml:space="preserve"> </w:t>
      </w:r>
      <w:r>
        <w:rPr>
          <w:sz w:val="20"/>
        </w:rPr>
        <w:t>em</w:t>
      </w:r>
      <w:r>
        <w:rPr>
          <w:spacing w:val="-2"/>
          <w:sz w:val="20"/>
        </w:rPr>
        <w:t xml:space="preserve"> </w:t>
      </w:r>
      <w:r>
        <w:rPr>
          <w:sz w:val="20"/>
        </w:rPr>
        <w:t>desacordo</w:t>
      </w:r>
      <w:r>
        <w:rPr>
          <w:spacing w:val="-2"/>
          <w:sz w:val="20"/>
        </w:rPr>
        <w:t xml:space="preserve"> </w:t>
      </w:r>
      <w:r>
        <w:rPr>
          <w:sz w:val="20"/>
        </w:rPr>
        <w:t>com</w:t>
      </w:r>
      <w:r>
        <w:rPr>
          <w:spacing w:val="-4"/>
          <w:sz w:val="20"/>
        </w:rPr>
        <w:t xml:space="preserve"> </w:t>
      </w:r>
      <w:r>
        <w:rPr>
          <w:sz w:val="20"/>
        </w:rPr>
        <w:t>os preceitos</w:t>
      </w:r>
      <w:r>
        <w:rPr>
          <w:spacing w:val="-4"/>
          <w:sz w:val="20"/>
        </w:rPr>
        <w:t xml:space="preserve"> </w:t>
      </w:r>
      <w:r>
        <w:rPr>
          <w:sz w:val="20"/>
        </w:rPr>
        <w:t>desta Lei</w:t>
      </w:r>
      <w:r>
        <w:rPr>
          <w:spacing w:val="-1"/>
          <w:sz w:val="20"/>
        </w:rPr>
        <w:t xml:space="preserve"> </w:t>
      </w:r>
      <w:r>
        <w:rPr>
          <w:sz w:val="20"/>
        </w:rPr>
        <w:t>ou</w:t>
      </w:r>
      <w:r>
        <w:rPr>
          <w:spacing w:val="-5"/>
          <w:sz w:val="20"/>
        </w:rPr>
        <w:t xml:space="preserve"> </w:t>
      </w:r>
      <w:r>
        <w:rPr>
          <w:sz w:val="20"/>
        </w:rPr>
        <w:t>visando</w:t>
      </w:r>
      <w:r>
        <w:rPr>
          <w:spacing w:val="-2"/>
          <w:sz w:val="20"/>
        </w:rPr>
        <w:t xml:space="preserve"> </w:t>
      </w:r>
      <w:r>
        <w:rPr>
          <w:sz w:val="20"/>
        </w:rPr>
        <w:t>frustrar</w:t>
      </w:r>
      <w:r>
        <w:rPr>
          <w:spacing w:val="-2"/>
          <w:sz w:val="20"/>
        </w:rPr>
        <w:t xml:space="preserve"> </w:t>
      </w:r>
      <w:r>
        <w:rPr>
          <w:sz w:val="20"/>
        </w:rPr>
        <w:t>os objetivos</w:t>
      </w:r>
      <w:r>
        <w:rPr>
          <w:spacing w:val="-4"/>
          <w:sz w:val="20"/>
        </w:rPr>
        <w:t xml:space="preserve"> </w:t>
      </w:r>
      <w:r>
        <w:rPr>
          <w:sz w:val="20"/>
        </w:rPr>
        <w:t>da</w:t>
      </w:r>
      <w:r>
        <w:rPr>
          <w:spacing w:val="-1"/>
          <w:sz w:val="20"/>
        </w:rPr>
        <w:t xml:space="preserve"> </w:t>
      </w:r>
      <w:r>
        <w:rPr>
          <w:sz w:val="20"/>
        </w:rPr>
        <w:t>licitação</w:t>
      </w:r>
      <w:r>
        <w:rPr>
          <w:spacing w:val="-2"/>
          <w:sz w:val="20"/>
        </w:rPr>
        <w:t xml:space="preserve"> </w:t>
      </w:r>
      <w:r>
        <w:rPr>
          <w:sz w:val="20"/>
        </w:rPr>
        <w:t>sujeitam-se às sanções previstas nesta Lei e nos regulamentos próprios, sem prejuízo das responsabilidades civil e criminal que seu ato ensejar.</w:t>
      </w:r>
    </w:p>
    <w:p w:rsidR="007259F2" w:rsidRDefault="007259F2">
      <w:pPr>
        <w:pStyle w:val="Corpodetexto"/>
        <w:spacing w:before="1"/>
        <w:ind w:left="0" w:firstLine="0"/>
        <w:jc w:val="left"/>
        <w:rPr>
          <w:sz w:val="20"/>
        </w:rPr>
      </w:pPr>
    </w:p>
    <w:p w:rsidR="007259F2" w:rsidRDefault="00E655B4">
      <w:pPr>
        <w:pStyle w:val="Corpodetexto"/>
        <w:ind w:right="988"/>
      </w:pPr>
      <w:r>
        <w:t>O dispositivo determina que o agente que praticar atos em direta afronta aos dispositivos e preceitos legais, sendo por ação ou por omissão, estará sujeito à responsabilização civil, penal e administrativa.</w:t>
      </w:r>
    </w:p>
    <w:p w:rsidR="007259F2" w:rsidRDefault="00E655B4">
      <w:pPr>
        <w:pStyle w:val="Corpodetexto"/>
        <w:spacing w:before="2" w:line="237" w:lineRule="auto"/>
        <w:ind w:right="988"/>
      </w:pPr>
      <w:r>
        <w:t>O doutrinador Marçal Justen Filho explica que para que o agente possa ser sancionado, é necessário, entretanto, que estejam presentes alguns requisitos:</w:t>
      </w:r>
    </w:p>
    <w:p w:rsidR="007259F2" w:rsidRDefault="007259F2">
      <w:pPr>
        <w:pStyle w:val="Corpodetexto"/>
        <w:spacing w:before="2"/>
        <w:ind w:left="0" w:firstLine="0"/>
        <w:jc w:val="left"/>
      </w:pPr>
    </w:p>
    <w:p w:rsidR="007259F2" w:rsidRDefault="00E655B4">
      <w:pPr>
        <w:ind w:left="2978" w:right="988"/>
        <w:jc w:val="both"/>
        <w:rPr>
          <w:sz w:val="20"/>
        </w:rPr>
      </w:pPr>
      <w:r>
        <w:rPr>
          <w:sz w:val="20"/>
        </w:rPr>
        <w:t>[...]</w:t>
      </w:r>
      <w:r>
        <w:rPr>
          <w:spacing w:val="-1"/>
          <w:sz w:val="20"/>
        </w:rPr>
        <w:t xml:space="preserve"> </w:t>
      </w:r>
      <w:r>
        <w:rPr>
          <w:sz w:val="20"/>
        </w:rPr>
        <w:t>O</w:t>
      </w:r>
      <w:r>
        <w:rPr>
          <w:spacing w:val="-2"/>
          <w:sz w:val="20"/>
        </w:rPr>
        <w:t xml:space="preserve"> </w:t>
      </w:r>
      <w:r>
        <w:rPr>
          <w:sz w:val="20"/>
        </w:rPr>
        <w:t>sancionamento</w:t>
      </w:r>
      <w:r>
        <w:rPr>
          <w:spacing w:val="-1"/>
          <w:sz w:val="20"/>
        </w:rPr>
        <w:t xml:space="preserve"> </w:t>
      </w:r>
      <w:r>
        <w:rPr>
          <w:sz w:val="20"/>
        </w:rPr>
        <w:t>ao</w:t>
      </w:r>
      <w:r>
        <w:rPr>
          <w:spacing w:val="-1"/>
          <w:sz w:val="20"/>
        </w:rPr>
        <w:t xml:space="preserve"> </w:t>
      </w:r>
      <w:r>
        <w:rPr>
          <w:sz w:val="20"/>
        </w:rPr>
        <w:t>agente</w:t>
      </w:r>
      <w:r>
        <w:rPr>
          <w:spacing w:val="-2"/>
          <w:sz w:val="20"/>
        </w:rPr>
        <w:t xml:space="preserve"> </w:t>
      </w:r>
      <w:r>
        <w:rPr>
          <w:sz w:val="20"/>
        </w:rPr>
        <w:t>administrativo</w:t>
      </w:r>
      <w:r>
        <w:rPr>
          <w:spacing w:val="-1"/>
          <w:sz w:val="20"/>
        </w:rPr>
        <w:t xml:space="preserve"> </w:t>
      </w:r>
      <w:r>
        <w:rPr>
          <w:sz w:val="20"/>
        </w:rPr>
        <w:t>depende</w:t>
      </w:r>
      <w:r>
        <w:rPr>
          <w:spacing w:val="-2"/>
          <w:sz w:val="20"/>
        </w:rPr>
        <w:t xml:space="preserve"> </w:t>
      </w:r>
      <w:r>
        <w:rPr>
          <w:sz w:val="20"/>
        </w:rPr>
        <w:t>da</w:t>
      </w:r>
      <w:r>
        <w:rPr>
          <w:spacing w:val="-4"/>
          <w:sz w:val="20"/>
        </w:rPr>
        <w:t xml:space="preserve"> </w:t>
      </w:r>
      <w:r>
        <w:rPr>
          <w:sz w:val="20"/>
        </w:rPr>
        <w:t>presença</w:t>
      </w:r>
      <w:r>
        <w:rPr>
          <w:spacing w:val="-1"/>
          <w:sz w:val="20"/>
        </w:rPr>
        <w:t xml:space="preserve"> </w:t>
      </w:r>
      <w:r>
        <w:rPr>
          <w:sz w:val="20"/>
        </w:rPr>
        <w:t>de</w:t>
      </w:r>
      <w:r>
        <w:rPr>
          <w:spacing w:val="-2"/>
          <w:sz w:val="20"/>
        </w:rPr>
        <w:t xml:space="preserve"> </w:t>
      </w:r>
      <w:r>
        <w:rPr>
          <w:sz w:val="20"/>
        </w:rPr>
        <w:t>certos requisitos. É indispensável a configuração de uma conduta (ação ou</w:t>
      </w:r>
      <w:r>
        <w:rPr>
          <w:spacing w:val="-1"/>
          <w:sz w:val="20"/>
        </w:rPr>
        <w:t xml:space="preserve"> </w:t>
      </w:r>
      <w:r>
        <w:rPr>
          <w:sz w:val="20"/>
        </w:rPr>
        <w:t>omissão) voluntária e reprovável, em violação a um dever jurídico previsto em lei, regulamento ou contrato. Nem sempre se fará necessária a exigência de um dano</w:t>
      </w:r>
      <w:r>
        <w:rPr>
          <w:spacing w:val="-13"/>
          <w:sz w:val="20"/>
        </w:rPr>
        <w:t xml:space="preserve"> </w:t>
      </w:r>
      <w:r>
        <w:rPr>
          <w:sz w:val="20"/>
        </w:rPr>
        <w:t>material,</w:t>
      </w:r>
      <w:r>
        <w:rPr>
          <w:spacing w:val="-12"/>
          <w:sz w:val="20"/>
        </w:rPr>
        <w:t xml:space="preserve"> </w:t>
      </w:r>
      <w:r>
        <w:rPr>
          <w:sz w:val="20"/>
        </w:rPr>
        <w:t>eis</w:t>
      </w:r>
      <w:r>
        <w:rPr>
          <w:spacing w:val="-13"/>
          <w:sz w:val="20"/>
        </w:rPr>
        <w:t xml:space="preserve"> </w:t>
      </w:r>
      <w:r>
        <w:rPr>
          <w:sz w:val="20"/>
        </w:rPr>
        <w:t>que</w:t>
      </w:r>
      <w:r>
        <w:rPr>
          <w:spacing w:val="-12"/>
          <w:sz w:val="20"/>
        </w:rPr>
        <w:t xml:space="preserve"> </w:t>
      </w:r>
      <w:r>
        <w:rPr>
          <w:sz w:val="20"/>
        </w:rPr>
        <w:t>muitas</w:t>
      </w:r>
      <w:r>
        <w:rPr>
          <w:spacing w:val="-13"/>
          <w:sz w:val="20"/>
        </w:rPr>
        <w:t xml:space="preserve"> </w:t>
      </w:r>
      <w:r>
        <w:rPr>
          <w:sz w:val="20"/>
        </w:rPr>
        <w:t>das</w:t>
      </w:r>
      <w:r>
        <w:rPr>
          <w:spacing w:val="-12"/>
          <w:sz w:val="20"/>
        </w:rPr>
        <w:t xml:space="preserve"> </w:t>
      </w:r>
      <w:r>
        <w:rPr>
          <w:sz w:val="20"/>
        </w:rPr>
        <w:t>infrações</w:t>
      </w:r>
      <w:r>
        <w:rPr>
          <w:spacing w:val="-13"/>
          <w:sz w:val="20"/>
        </w:rPr>
        <w:t xml:space="preserve"> </w:t>
      </w:r>
      <w:r>
        <w:rPr>
          <w:sz w:val="20"/>
        </w:rPr>
        <w:t>são</w:t>
      </w:r>
      <w:r>
        <w:rPr>
          <w:spacing w:val="-12"/>
          <w:sz w:val="20"/>
        </w:rPr>
        <w:t xml:space="preserve"> </w:t>
      </w:r>
      <w:r>
        <w:rPr>
          <w:sz w:val="20"/>
        </w:rPr>
        <w:t>de</w:t>
      </w:r>
      <w:r>
        <w:rPr>
          <w:spacing w:val="-13"/>
          <w:sz w:val="20"/>
        </w:rPr>
        <w:t xml:space="preserve"> </w:t>
      </w:r>
      <w:r>
        <w:rPr>
          <w:sz w:val="20"/>
        </w:rPr>
        <w:t>mera</w:t>
      </w:r>
      <w:r>
        <w:rPr>
          <w:spacing w:val="-12"/>
          <w:sz w:val="20"/>
        </w:rPr>
        <w:t xml:space="preserve"> </w:t>
      </w:r>
      <w:r>
        <w:rPr>
          <w:sz w:val="20"/>
        </w:rPr>
        <w:t>conduta.</w:t>
      </w:r>
      <w:r>
        <w:rPr>
          <w:spacing w:val="-13"/>
          <w:sz w:val="20"/>
        </w:rPr>
        <w:t xml:space="preserve"> </w:t>
      </w:r>
      <w:r>
        <w:rPr>
          <w:sz w:val="20"/>
        </w:rPr>
        <w:t>É</w:t>
      </w:r>
      <w:r>
        <w:rPr>
          <w:spacing w:val="-12"/>
          <w:sz w:val="20"/>
        </w:rPr>
        <w:t xml:space="preserve"> </w:t>
      </w:r>
      <w:r>
        <w:rPr>
          <w:sz w:val="20"/>
        </w:rPr>
        <w:t>necessário</w:t>
      </w:r>
      <w:r>
        <w:rPr>
          <w:spacing w:val="-13"/>
          <w:sz w:val="20"/>
        </w:rPr>
        <w:t xml:space="preserve"> </w:t>
      </w:r>
      <w:r>
        <w:rPr>
          <w:sz w:val="20"/>
        </w:rPr>
        <w:t>o elemento subjetivo reprovável. Isso não significa a necessidade em todos os casos de dolo. Se for evidenciado que o sujeito tinha consciência da ilicitude</w:t>
      </w:r>
      <w:r>
        <w:rPr>
          <w:spacing w:val="40"/>
          <w:sz w:val="20"/>
        </w:rPr>
        <w:t xml:space="preserve"> </w:t>
      </w:r>
      <w:r>
        <w:rPr>
          <w:sz w:val="20"/>
        </w:rPr>
        <w:t>e atuou de modo preordenado à consumação do ilícito, será cabível o agravamento de seu sancionamento. Usualmente, basta a culpa. Deve ter-se em mente o dever exacerbado de diligência. O sujeito investido na função pública tem o dever de adotar todas as cautelas para evitar a infração à lei. Portanto,</w:t>
      </w:r>
      <w:r>
        <w:rPr>
          <w:spacing w:val="-11"/>
          <w:sz w:val="20"/>
        </w:rPr>
        <w:t xml:space="preserve"> </w:t>
      </w:r>
      <w:r>
        <w:rPr>
          <w:sz w:val="20"/>
        </w:rPr>
        <w:t>a</w:t>
      </w:r>
      <w:r>
        <w:rPr>
          <w:spacing w:val="-11"/>
          <w:sz w:val="20"/>
        </w:rPr>
        <w:t xml:space="preserve"> </w:t>
      </w:r>
      <w:r>
        <w:rPr>
          <w:sz w:val="20"/>
        </w:rPr>
        <w:t>consumação</w:t>
      </w:r>
      <w:r>
        <w:rPr>
          <w:spacing w:val="-11"/>
          <w:sz w:val="20"/>
        </w:rPr>
        <w:t xml:space="preserve"> </w:t>
      </w:r>
      <w:r>
        <w:rPr>
          <w:sz w:val="20"/>
        </w:rPr>
        <w:t>de</w:t>
      </w:r>
      <w:r>
        <w:rPr>
          <w:spacing w:val="-11"/>
          <w:sz w:val="20"/>
        </w:rPr>
        <w:t xml:space="preserve"> </w:t>
      </w:r>
      <w:r>
        <w:rPr>
          <w:sz w:val="20"/>
        </w:rPr>
        <w:t>uma</w:t>
      </w:r>
      <w:r>
        <w:rPr>
          <w:spacing w:val="-4"/>
          <w:sz w:val="20"/>
        </w:rPr>
        <w:t xml:space="preserve"> </w:t>
      </w:r>
      <w:r>
        <w:rPr>
          <w:sz w:val="20"/>
        </w:rPr>
        <w:t>infração</w:t>
      </w:r>
      <w:r>
        <w:rPr>
          <w:spacing w:val="-3"/>
          <w:sz w:val="20"/>
        </w:rPr>
        <w:t xml:space="preserve"> </w:t>
      </w:r>
      <w:r>
        <w:rPr>
          <w:sz w:val="20"/>
        </w:rPr>
        <w:t>é</w:t>
      </w:r>
      <w:r>
        <w:rPr>
          <w:spacing w:val="-4"/>
          <w:sz w:val="20"/>
        </w:rPr>
        <w:t xml:space="preserve"> </w:t>
      </w:r>
      <w:r>
        <w:rPr>
          <w:sz w:val="20"/>
        </w:rPr>
        <w:t>acompanhada</w:t>
      </w:r>
      <w:r>
        <w:rPr>
          <w:spacing w:val="-1"/>
          <w:sz w:val="20"/>
        </w:rPr>
        <w:t xml:space="preserve"> </w:t>
      </w:r>
      <w:r>
        <w:rPr>
          <w:sz w:val="20"/>
        </w:rPr>
        <w:t>de</w:t>
      </w:r>
      <w:r>
        <w:rPr>
          <w:spacing w:val="-4"/>
          <w:sz w:val="20"/>
        </w:rPr>
        <w:t xml:space="preserve"> </w:t>
      </w:r>
      <w:r>
        <w:rPr>
          <w:sz w:val="20"/>
        </w:rPr>
        <w:t>uma</w:t>
      </w:r>
      <w:r>
        <w:rPr>
          <w:spacing w:val="-2"/>
          <w:sz w:val="20"/>
        </w:rPr>
        <w:t xml:space="preserve"> </w:t>
      </w:r>
      <w:r>
        <w:rPr>
          <w:sz w:val="20"/>
        </w:rPr>
        <w:t>presunção</w:t>
      </w:r>
      <w:r>
        <w:rPr>
          <w:spacing w:val="-3"/>
          <w:sz w:val="20"/>
        </w:rPr>
        <w:t xml:space="preserve"> </w:t>
      </w:r>
      <w:r>
        <w:rPr>
          <w:sz w:val="20"/>
        </w:rPr>
        <w:t>de imprudência, imperícia ou negligência. Se o agente administrativo tivesse atuado</w:t>
      </w:r>
      <w:r>
        <w:rPr>
          <w:spacing w:val="-1"/>
          <w:sz w:val="20"/>
        </w:rPr>
        <w:t xml:space="preserve"> </w:t>
      </w:r>
      <w:r>
        <w:rPr>
          <w:sz w:val="20"/>
        </w:rPr>
        <w:t>com</w:t>
      </w:r>
      <w:r>
        <w:rPr>
          <w:spacing w:val="-6"/>
          <w:sz w:val="20"/>
        </w:rPr>
        <w:t xml:space="preserve"> </w:t>
      </w:r>
      <w:r>
        <w:rPr>
          <w:sz w:val="20"/>
        </w:rPr>
        <w:t>observância das</w:t>
      </w:r>
      <w:r>
        <w:rPr>
          <w:spacing w:val="-2"/>
          <w:sz w:val="20"/>
        </w:rPr>
        <w:t xml:space="preserve"> </w:t>
      </w:r>
      <w:r>
        <w:rPr>
          <w:sz w:val="20"/>
        </w:rPr>
        <w:t>posturas inerentes</w:t>
      </w:r>
      <w:r>
        <w:rPr>
          <w:spacing w:val="-6"/>
          <w:sz w:val="20"/>
        </w:rPr>
        <w:t xml:space="preserve"> </w:t>
      </w:r>
      <w:r>
        <w:rPr>
          <w:sz w:val="20"/>
        </w:rPr>
        <w:t>ao</w:t>
      </w:r>
      <w:r>
        <w:rPr>
          <w:spacing w:val="-1"/>
          <w:sz w:val="20"/>
        </w:rPr>
        <w:t xml:space="preserve"> </w:t>
      </w:r>
      <w:r>
        <w:rPr>
          <w:sz w:val="20"/>
        </w:rPr>
        <w:t>desempenho</w:t>
      </w:r>
      <w:r>
        <w:rPr>
          <w:spacing w:val="-1"/>
          <w:sz w:val="20"/>
        </w:rPr>
        <w:t xml:space="preserve"> </w:t>
      </w:r>
      <w:r>
        <w:rPr>
          <w:sz w:val="20"/>
        </w:rPr>
        <w:t>da</w:t>
      </w:r>
      <w:r>
        <w:rPr>
          <w:spacing w:val="-9"/>
          <w:sz w:val="20"/>
        </w:rPr>
        <w:t xml:space="preserve"> </w:t>
      </w:r>
      <w:r>
        <w:rPr>
          <w:sz w:val="20"/>
        </w:rPr>
        <w:t>sua</w:t>
      </w:r>
      <w:r>
        <w:rPr>
          <w:spacing w:val="-1"/>
          <w:sz w:val="20"/>
        </w:rPr>
        <w:t xml:space="preserve"> </w:t>
      </w:r>
      <w:r>
        <w:rPr>
          <w:sz w:val="20"/>
        </w:rPr>
        <w:t>função, não teria ocorrido a infração:</w:t>
      </w:r>
      <w:r>
        <w:rPr>
          <w:spacing w:val="15"/>
          <w:sz w:val="20"/>
        </w:rPr>
        <w:t xml:space="preserve"> </w:t>
      </w:r>
      <w:r>
        <w:rPr>
          <w:sz w:val="20"/>
        </w:rPr>
        <w:t>é o</w:t>
      </w:r>
      <w:r>
        <w:rPr>
          <w:spacing w:val="17"/>
          <w:sz w:val="20"/>
        </w:rPr>
        <w:t xml:space="preserve"> </w:t>
      </w:r>
      <w:r>
        <w:rPr>
          <w:sz w:val="20"/>
        </w:rPr>
        <w:t>que</w:t>
      </w:r>
      <w:r>
        <w:rPr>
          <w:spacing w:val="40"/>
          <w:sz w:val="20"/>
        </w:rPr>
        <w:t xml:space="preserve"> </w:t>
      </w:r>
      <w:r>
        <w:rPr>
          <w:sz w:val="20"/>
        </w:rPr>
        <w:t>se</w:t>
      </w:r>
      <w:r>
        <w:rPr>
          <w:spacing w:val="40"/>
          <w:sz w:val="20"/>
        </w:rPr>
        <w:t xml:space="preserve"> </w:t>
      </w:r>
      <w:r>
        <w:rPr>
          <w:sz w:val="20"/>
        </w:rPr>
        <w:t>presume.</w:t>
      </w:r>
      <w:r>
        <w:rPr>
          <w:spacing w:val="40"/>
          <w:sz w:val="20"/>
        </w:rPr>
        <w:t xml:space="preserve"> </w:t>
      </w:r>
      <w:r>
        <w:rPr>
          <w:sz w:val="20"/>
        </w:rPr>
        <w:t>Logo,</w:t>
      </w:r>
      <w:r>
        <w:rPr>
          <w:spacing w:val="40"/>
          <w:sz w:val="20"/>
        </w:rPr>
        <w:t xml:space="preserve"> </w:t>
      </w:r>
      <w:r>
        <w:rPr>
          <w:sz w:val="20"/>
        </w:rPr>
        <w:t>a</w:t>
      </w:r>
      <w:r>
        <w:rPr>
          <w:spacing w:val="40"/>
          <w:sz w:val="20"/>
        </w:rPr>
        <w:t xml:space="preserve"> </w:t>
      </w:r>
      <w:r>
        <w:rPr>
          <w:sz w:val="20"/>
        </w:rPr>
        <w:t>demonstração</w:t>
      </w:r>
      <w:r>
        <w:rPr>
          <w:spacing w:val="80"/>
          <w:sz w:val="20"/>
        </w:rPr>
        <w:t xml:space="preserve"> </w:t>
      </w:r>
      <w:r>
        <w:rPr>
          <w:sz w:val="20"/>
        </w:rPr>
        <w:t>da</w:t>
      </w:r>
      <w:r>
        <w:rPr>
          <w:spacing w:val="40"/>
          <w:sz w:val="20"/>
        </w:rPr>
        <w:t xml:space="preserve"> </w:t>
      </w:r>
      <w:r>
        <w:rPr>
          <w:sz w:val="20"/>
        </w:rPr>
        <w:t>ausência</w:t>
      </w:r>
      <w:r>
        <w:rPr>
          <w:spacing w:val="40"/>
          <w:sz w:val="20"/>
        </w:rPr>
        <w:t xml:space="preserve"> </w:t>
      </w:r>
      <w:r>
        <w:rPr>
          <w:sz w:val="20"/>
        </w:rPr>
        <w:t>de</w:t>
      </w:r>
      <w:r>
        <w:rPr>
          <w:spacing w:val="40"/>
          <w:sz w:val="20"/>
        </w:rPr>
        <w:t xml:space="preserve"> </w:t>
      </w:r>
      <w:r>
        <w:rPr>
          <w:sz w:val="20"/>
        </w:rPr>
        <w:t>elemento</w:t>
      </w:r>
      <w:r>
        <w:rPr>
          <w:spacing w:val="40"/>
          <w:sz w:val="20"/>
        </w:rPr>
        <w:t xml:space="preserve"> </w:t>
      </w:r>
      <w:r>
        <w:rPr>
          <w:sz w:val="20"/>
        </w:rPr>
        <w:t xml:space="preserve">reprovável incumbe ao agente administrativo. </w:t>
      </w:r>
      <w:r>
        <w:rPr>
          <w:spacing w:val="-2"/>
          <w:sz w:val="20"/>
        </w:rPr>
        <w:t>Poderá</w:t>
      </w:r>
      <w:r>
        <w:rPr>
          <w:spacing w:val="-6"/>
          <w:sz w:val="20"/>
        </w:rPr>
        <w:t xml:space="preserve"> </w:t>
      </w:r>
      <w:r>
        <w:rPr>
          <w:spacing w:val="-2"/>
          <w:sz w:val="20"/>
        </w:rPr>
        <w:t>deixar</w:t>
      </w:r>
      <w:r>
        <w:rPr>
          <w:spacing w:val="-6"/>
          <w:sz w:val="20"/>
        </w:rPr>
        <w:t xml:space="preserve"> </w:t>
      </w:r>
      <w:r>
        <w:rPr>
          <w:spacing w:val="-2"/>
          <w:sz w:val="20"/>
        </w:rPr>
        <w:t>de</w:t>
      </w:r>
      <w:r>
        <w:rPr>
          <w:spacing w:val="-6"/>
          <w:sz w:val="20"/>
        </w:rPr>
        <w:t xml:space="preserve"> </w:t>
      </w:r>
      <w:r>
        <w:rPr>
          <w:spacing w:val="-2"/>
          <w:sz w:val="20"/>
        </w:rPr>
        <w:t>ser</w:t>
      </w:r>
      <w:r>
        <w:rPr>
          <w:spacing w:val="-6"/>
          <w:sz w:val="20"/>
        </w:rPr>
        <w:t xml:space="preserve"> </w:t>
      </w:r>
      <w:r>
        <w:rPr>
          <w:spacing w:val="-2"/>
          <w:sz w:val="20"/>
        </w:rPr>
        <w:t>responsabilizado</w:t>
      </w:r>
      <w:r>
        <w:rPr>
          <w:spacing w:val="-3"/>
          <w:sz w:val="20"/>
        </w:rPr>
        <w:t xml:space="preserve"> </w:t>
      </w:r>
      <w:r>
        <w:rPr>
          <w:spacing w:val="-2"/>
          <w:sz w:val="20"/>
        </w:rPr>
        <w:t>se</w:t>
      </w:r>
      <w:r>
        <w:rPr>
          <w:spacing w:val="-6"/>
          <w:sz w:val="20"/>
        </w:rPr>
        <w:t xml:space="preserve"> </w:t>
      </w:r>
      <w:r>
        <w:rPr>
          <w:spacing w:val="-2"/>
          <w:sz w:val="20"/>
        </w:rPr>
        <w:t>evidenciar</w:t>
      </w:r>
      <w:r>
        <w:rPr>
          <w:spacing w:val="-6"/>
          <w:sz w:val="20"/>
        </w:rPr>
        <w:t xml:space="preserve"> </w:t>
      </w:r>
      <w:r>
        <w:rPr>
          <w:spacing w:val="-2"/>
          <w:sz w:val="20"/>
        </w:rPr>
        <w:t>que</w:t>
      </w:r>
      <w:r>
        <w:rPr>
          <w:spacing w:val="-6"/>
          <w:sz w:val="20"/>
        </w:rPr>
        <w:t xml:space="preserve"> </w:t>
      </w:r>
      <w:r>
        <w:rPr>
          <w:spacing w:val="-2"/>
          <w:sz w:val="20"/>
        </w:rPr>
        <w:t>a</w:t>
      </w:r>
      <w:r>
        <w:rPr>
          <w:spacing w:val="-4"/>
          <w:sz w:val="20"/>
        </w:rPr>
        <w:t xml:space="preserve"> </w:t>
      </w:r>
      <w:r>
        <w:rPr>
          <w:spacing w:val="-2"/>
          <w:sz w:val="20"/>
        </w:rPr>
        <w:t>infração</w:t>
      </w:r>
      <w:r>
        <w:rPr>
          <w:spacing w:val="-6"/>
          <w:sz w:val="20"/>
        </w:rPr>
        <w:t xml:space="preserve"> </w:t>
      </w:r>
      <w:r>
        <w:rPr>
          <w:spacing w:val="-2"/>
          <w:sz w:val="20"/>
        </w:rPr>
        <w:t>se</w:t>
      </w:r>
      <w:r>
        <w:rPr>
          <w:spacing w:val="-6"/>
          <w:sz w:val="20"/>
        </w:rPr>
        <w:t xml:space="preserve"> </w:t>
      </w:r>
      <w:r>
        <w:rPr>
          <w:spacing w:val="-2"/>
          <w:sz w:val="20"/>
        </w:rPr>
        <w:t xml:space="preserve">consumou </w:t>
      </w:r>
      <w:r>
        <w:rPr>
          <w:sz w:val="20"/>
        </w:rPr>
        <w:t>independentemente das cautelas por ele adotadas ou por atuação imputável a outrem. [...]</w:t>
      </w:r>
      <w:r>
        <w:rPr>
          <w:sz w:val="20"/>
          <w:vertAlign w:val="superscript"/>
        </w:rPr>
        <w:t>15</w:t>
      </w:r>
    </w:p>
    <w:p w:rsidR="007259F2" w:rsidRDefault="007259F2">
      <w:pPr>
        <w:pStyle w:val="Corpodetexto"/>
        <w:spacing w:before="47"/>
        <w:ind w:left="0" w:firstLine="0"/>
        <w:jc w:val="left"/>
        <w:rPr>
          <w:sz w:val="20"/>
        </w:rPr>
      </w:pPr>
    </w:p>
    <w:p w:rsidR="007259F2" w:rsidRDefault="00E655B4">
      <w:pPr>
        <w:pStyle w:val="Corpodetexto"/>
        <w:ind w:right="989"/>
      </w:pPr>
      <w:r>
        <w:t>Dessa forma, o agente público incorrerá nas penas e sanções legais quando infringir a legislação, violar os princípios administrativos e constitucionais, até mesmo nas</w:t>
      </w:r>
      <w:r>
        <w:rPr>
          <w:spacing w:val="-1"/>
        </w:rPr>
        <w:t xml:space="preserve"> </w:t>
      </w:r>
      <w:r>
        <w:t>hipóteses</w:t>
      </w:r>
      <w:r>
        <w:rPr>
          <w:spacing w:val="-1"/>
        </w:rPr>
        <w:t xml:space="preserve"> </w:t>
      </w:r>
      <w:r>
        <w:t>em</w:t>
      </w:r>
      <w:r>
        <w:rPr>
          <w:spacing w:val="-1"/>
        </w:rPr>
        <w:t xml:space="preserve"> </w:t>
      </w:r>
      <w:r>
        <w:t>que</w:t>
      </w:r>
      <w:r>
        <w:rPr>
          <w:spacing w:val="-3"/>
        </w:rPr>
        <w:t xml:space="preserve"> </w:t>
      </w:r>
      <w:r>
        <w:t>há</w:t>
      </w:r>
      <w:r>
        <w:rPr>
          <w:spacing w:val="-1"/>
        </w:rPr>
        <w:t xml:space="preserve"> </w:t>
      </w:r>
      <w:r>
        <w:t>indícios</w:t>
      </w:r>
      <w:r>
        <w:rPr>
          <w:spacing w:val="-1"/>
        </w:rPr>
        <w:t xml:space="preserve"> </w:t>
      </w:r>
      <w:r>
        <w:t>de</w:t>
      </w:r>
      <w:r>
        <w:rPr>
          <w:spacing w:val="-3"/>
        </w:rPr>
        <w:t xml:space="preserve"> </w:t>
      </w:r>
      <w:r>
        <w:t>desvio de</w:t>
      </w:r>
      <w:r>
        <w:rPr>
          <w:spacing w:val="-2"/>
        </w:rPr>
        <w:t xml:space="preserve"> </w:t>
      </w:r>
      <w:r>
        <w:t>recursos</w:t>
      </w:r>
      <w:r>
        <w:rPr>
          <w:spacing w:val="-1"/>
        </w:rPr>
        <w:t xml:space="preserve"> </w:t>
      </w:r>
      <w:r>
        <w:t>ou superfaturamento, que</w:t>
      </w:r>
      <w:r>
        <w:rPr>
          <w:spacing w:val="-3"/>
        </w:rPr>
        <w:t xml:space="preserve"> </w:t>
      </w:r>
      <w:r>
        <w:t>podem causar grande prejuízo ao erário. Notadamente, a responsabilização não estaria presente se não houvesse comprovação do dolo, culpa e do dano.</w:t>
      </w:r>
    </w:p>
    <w:p w:rsidR="007259F2" w:rsidRDefault="00E655B4">
      <w:pPr>
        <w:pStyle w:val="Corpodetexto"/>
        <w:ind w:right="990"/>
      </w:pPr>
      <w:r>
        <w:t>Por outro giro, para os contratos que são regidos pela Lei 14.133/2021, o artigo 155 dispõe acerca das hipóteses e práticas que podem levar o licitante ou contratado serem responsabilizados.</w:t>
      </w:r>
      <w:r>
        <w:rPr>
          <w:vertAlign w:val="superscript"/>
        </w:rPr>
        <w:t>16</w:t>
      </w:r>
    </w:p>
    <w:p w:rsidR="007259F2" w:rsidRDefault="007259F2">
      <w:pPr>
        <w:pStyle w:val="Corpodetexto"/>
        <w:ind w:left="0" w:firstLine="0"/>
        <w:jc w:val="left"/>
        <w:rPr>
          <w:sz w:val="20"/>
        </w:rPr>
      </w:pPr>
    </w:p>
    <w:p w:rsidR="007259F2" w:rsidRDefault="007259F2">
      <w:pPr>
        <w:pStyle w:val="Corpodetexto"/>
        <w:ind w:left="0" w:firstLine="0"/>
        <w:jc w:val="left"/>
        <w:rPr>
          <w:sz w:val="20"/>
        </w:rPr>
      </w:pPr>
    </w:p>
    <w:p w:rsidR="007259F2" w:rsidRDefault="00DE6B1C">
      <w:pPr>
        <w:pStyle w:val="Corpodetexto"/>
        <w:spacing w:before="27"/>
        <w:ind w:left="0" w:firstLine="0"/>
        <w:jc w:val="left"/>
        <w:rPr>
          <w:sz w:val="20"/>
        </w:rPr>
      </w:pPr>
      <w:r w:rsidRPr="00DE6B1C">
        <w:rPr>
          <w:sz w:val="20"/>
        </w:rPr>
        <w:pict>
          <v:rect id="docshape48" o:spid="_x0000_s1178" style="position:absolute;margin-left:85.1pt;margin-top:14.05pt;width:2in;height:.7pt;z-index:-15712256;mso-wrap-distance-left:0;mso-wrap-distance-right:0;mso-position-horizontal-relative:page" fillcolor="black" stroked="f">
            <w10:wrap type="topAndBottom" anchorx="page"/>
          </v:rect>
        </w:pict>
      </w:r>
    </w:p>
    <w:p w:rsidR="007259F2" w:rsidRDefault="00E655B4">
      <w:pPr>
        <w:spacing w:before="96"/>
        <w:ind w:left="710"/>
        <w:jc w:val="both"/>
        <w:rPr>
          <w:sz w:val="20"/>
        </w:rPr>
      </w:pPr>
      <w:r>
        <w:rPr>
          <w:sz w:val="20"/>
          <w:vertAlign w:val="superscript"/>
        </w:rPr>
        <w:t>15</w:t>
      </w:r>
      <w:r>
        <w:rPr>
          <w:spacing w:val="61"/>
          <w:w w:val="150"/>
          <w:sz w:val="20"/>
        </w:rPr>
        <w:t xml:space="preserve"> </w:t>
      </w:r>
      <w:r>
        <w:rPr>
          <w:sz w:val="20"/>
        </w:rPr>
        <w:t>JUSTEN</w:t>
      </w:r>
      <w:r>
        <w:rPr>
          <w:spacing w:val="-5"/>
          <w:sz w:val="20"/>
        </w:rPr>
        <w:t xml:space="preserve"> </w:t>
      </w:r>
      <w:r>
        <w:rPr>
          <w:sz w:val="20"/>
        </w:rPr>
        <w:t>FILHO,</w:t>
      </w:r>
      <w:r>
        <w:rPr>
          <w:spacing w:val="-3"/>
          <w:sz w:val="20"/>
        </w:rPr>
        <w:t xml:space="preserve"> </w:t>
      </w:r>
      <w:r>
        <w:rPr>
          <w:sz w:val="20"/>
        </w:rPr>
        <w:t>Marçal,</w:t>
      </w:r>
      <w:r>
        <w:rPr>
          <w:spacing w:val="-2"/>
          <w:sz w:val="20"/>
        </w:rPr>
        <w:t xml:space="preserve"> </w:t>
      </w:r>
      <w:r>
        <w:rPr>
          <w:i/>
          <w:sz w:val="20"/>
        </w:rPr>
        <w:t>op.cit</w:t>
      </w:r>
      <w:r>
        <w:rPr>
          <w:sz w:val="20"/>
        </w:rPr>
        <w:t>.,</w:t>
      </w:r>
      <w:r>
        <w:rPr>
          <w:spacing w:val="-5"/>
          <w:sz w:val="20"/>
        </w:rPr>
        <w:t xml:space="preserve"> </w:t>
      </w:r>
      <w:r>
        <w:rPr>
          <w:sz w:val="20"/>
        </w:rPr>
        <w:t>Page</w:t>
      </w:r>
      <w:r>
        <w:rPr>
          <w:spacing w:val="-5"/>
          <w:sz w:val="20"/>
        </w:rPr>
        <w:t xml:space="preserve"> </w:t>
      </w:r>
      <w:r>
        <w:rPr>
          <w:sz w:val="20"/>
        </w:rPr>
        <w:t>RL-1-</w:t>
      </w:r>
      <w:r>
        <w:rPr>
          <w:spacing w:val="-5"/>
          <w:sz w:val="20"/>
        </w:rPr>
        <w:t>17</w:t>
      </w:r>
    </w:p>
    <w:p w:rsidR="007259F2" w:rsidRDefault="00E655B4">
      <w:pPr>
        <w:spacing w:before="1"/>
        <w:ind w:left="710" w:right="988"/>
        <w:jc w:val="both"/>
        <w:rPr>
          <w:sz w:val="20"/>
        </w:rPr>
      </w:pPr>
      <w:r>
        <w:rPr>
          <w:sz w:val="20"/>
          <w:vertAlign w:val="superscript"/>
        </w:rPr>
        <w:t>16</w:t>
      </w:r>
      <w:r>
        <w:rPr>
          <w:sz w:val="20"/>
        </w:rPr>
        <w:t xml:space="preserve"> Art. 155. O licitante ou o contratado será responsabilizado administrativamente pelas seguintes infrações: I - dar causa à inexecução parcial do contrato; II - dar causa à inexecução parcial do contrato que cause grave dano à Administração, ao funcionamento dos serviços públicos ou ao interesse coletivo; III - dar causa à inexecução total do contrato; IV - deixar de entregar a documentação exigida para o certame;</w:t>
      </w:r>
      <w:r>
        <w:rPr>
          <w:spacing w:val="1"/>
          <w:sz w:val="20"/>
        </w:rPr>
        <w:t xml:space="preserve"> </w:t>
      </w:r>
      <w:r>
        <w:rPr>
          <w:sz w:val="20"/>
        </w:rPr>
        <w:t>V</w:t>
      </w:r>
      <w:r>
        <w:rPr>
          <w:spacing w:val="5"/>
          <w:sz w:val="20"/>
        </w:rPr>
        <w:t xml:space="preserve"> </w:t>
      </w:r>
      <w:r>
        <w:rPr>
          <w:sz w:val="20"/>
        </w:rPr>
        <w:t>-</w:t>
      </w:r>
      <w:r>
        <w:rPr>
          <w:spacing w:val="1"/>
          <w:sz w:val="20"/>
        </w:rPr>
        <w:t xml:space="preserve"> </w:t>
      </w:r>
      <w:r>
        <w:rPr>
          <w:sz w:val="20"/>
        </w:rPr>
        <w:t>não</w:t>
      </w:r>
      <w:r>
        <w:rPr>
          <w:spacing w:val="4"/>
          <w:sz w:val="20"/>
        </w:rPr>
        <w:t xml:space="preserve"> </w:t>
      </w:r>
      <w:r>
        <w:rPr>
          <w:sz w:val="20"/>
        </w:rPr>
        <w:t>manter</w:t>
      </w:r>
      <w:r>
        <w:rPr>
          <w:spacing w:val="3"/>
          <w:sz w:val="20"/>
        </w:rPr>
        <w:t xml:space="preserve"> </w:t>
      </w:r>
      <w:r>
        <w:rPr>
          <w:sz w:val="20"/>
        </w:rPr>
        <w:t>a</w:t>
      </w:r>
      <w:r>
        <w:rPr>
          <w:spacing w:val="4"/>
          <w:sz w:val="20"/>
        </w:rPr>
        <w:t xml:space="preserve"> </w:t>
      </w:r>
      <w:r>
        <w:rPr>
          <w:sz w:val="20"/>
        </w:rPr>
        <w:t>proposta,</w:t>
      </w:r>
      <w:r>
        <w:rPr>
          <w:spacing w:val="2"/>
          <w:sz w:val="20"/>
        </w:rPr>
        <w:t xml:space="preserve"> </w:t>
      </w:r>
      <w:r>
        <w:rPr>
          <w:sz w:val="20"/>
        </w:rPr>
        <w:t>salvo</w:t>
      </w:r>
      <w:r>
        <w:rPr>
          <w:spacing w:val="1"/>
          <w:sz w:val="20"/>
        </w:rPr>
        <w:t xml:space="preserve"> </w:t>
      </w:r>
      <w:r>
        <w:rPr>
          <w:sz w:val="20"/>
        </w:rPr>
        <w:t>em decorrência</w:t>
      </w:r>
      <w:r>
        <w:rPr>
          <w:spacing w:val="2"/>
          <w:sz w:val="20"/>
        </w:rPr>
        <w:t xml:space="preserve"> </w:t>
      </w:r>
      <w:r>
        <w:rPr>
          <w:sz w:val="20"/>
        </w:rPr>
        <w:t>de</w:t>
      </w:r>
      <w:r>
        <w:rPr>
          <w:spacing w:val="2"/>
          <w:sz w:val="20"/>
        </w:rPr>
        <w:t xml:space="preserve"> </w:t>
      </w:r>
      <w:r>
        <w:rPr>
          <w:sz w:val="20"/>
        </w:rPr>
        <w:t>fato</w:t>
      </w:r>
      <w:r>
        <w:rPr>
          <w:spacing w:val="3"/>
          <w:sz w:val="20"/>
        </w:rPr>
        <w:t xml:space="preserve"> </w:t>
      </w:r>
      <w:r>
        <w:rPr>
          <w:sz w:val="20"/>
        </w:rPr>
        <w:t>superveniente</w:t>
      </w:r>
      <w:r>
        <w:rPr>
          <w:spacing w:val="2"/>
          <w:sz w:val="20"/>
        </w:rPr>
        <w:t xml:space="preserve"> </w:t>
      </w:r>
      <w:r>
        <w:rPr>
          <w:sz w:val="20"/>
        </w:rPr>
        <w:t>devidamente</w:t>
      </w:r>
      <w:r>
        <w:rPr>
          <w:spacing w:val="2"/>
          <w:sz w:val="20"/>
        </w:rPr>
        <w:t xml:space="preserve"> </w:t>
      </w:r>
      <w:r>
        <w:rPr>
          <w:spacing w:val="-2"/>
          <w:sz w:val="20"/>
        </w:rPr>
        <w:t>justificado;</w:t>
      </w:r>
    </w:p>
    <w:p w:rsidR="007259F2" w:rsidRDefault="00E655B4">
      <w:pPr>
        <w:ind w:left="710" w:right="988"/>
        <w:jc w:val="both"/>
        <w:rPr>
          <w:sz w:val="20"/>
        </w:rPr>
      </w:pPr>
      <w:r>
        <w:rPr>
          <w:sz w:val="20"/>
        </w:rPr>
        <w:t>VI - não celebrar o contrato ou não entregar a documentação exigida para a contratação, quando convocado dentro do prazo de validade de sua proposta; VII - ensejar o retardamento da execução ou da entrega do objeto</w:t>
      </w:r>
      <w:r>
        <w:rPr>
          <w:spacing w:val="-1"/>
          <w:sz w:val="20"/>
        </w:rPr>
        <w:t xml:space="preserve"> </w:t>
      </w:r>
      <w:r>
        <w:rPr>
          <w:sz w:val="20"/>
        </w:rPr>
        <w:t>da</w:t>
      </w:r>
      <w:r>
        <w:rPr>
          <w:spacing w:val="-5"/>
          <w:sz w:val="20"/>
        </w:rPr>
        <w:t xml:space="preserve"> </w:t>
      </w:r>
      <w:r>
        <w:rPr>
          <w:sz w:val="20"/>
        </w:rPr>
        <w:t>licitação</w:t>
      </w:r>
      <w:r>
        <w:rPr>
          <w:spacing w:val="-1"/>
          <w:sz w:val="20"/>
        </w:rPr>
        <w:t xml:space="preserve"> </w:t>
      </w:r>
      <w:r>
        <w:rPr>
          <w:sz w:val="20"/>
        </w:rPr>
        <w:t>sem</w:t>
      </w:r>
      <w:r>
        <w:rPr>
          <w:spacing w:val="-2"/>
          <w:sz w:val="20"/>
        </w:rPr>
        <w:t xml:space="preserve"> </w:t>
      </w:r>
      <w:r>
        <w:rPr>
          <w:sz w:val="20"/>
        </w:rPr>
        <w:t>motivo justificado; VIII -</w:t>
      </w:r>
      <w:r>
        <w:rPr>
          <w:spacing w:val="-2"/>
          <w:sz w:val="20"/>
        </w:rPr>
        <w:t xml:space="preserve"> </w:t>
      </w:r>
      <w:r>
        <w:rPr>
          <w:sz w:val="20"/>
        </w:rPr>
        <w:t xml:space="preserve">apresentar declaração ou documentação falsa exigida para o certame ou prestar declaração falsa durante a licitação ou a execução do contrato; IX - fraudar a licitação ou praticar ato fraudulento na execução do contrato; X - comportar- se de modo inidôneo ou cometer fraude de qualquer natureza; XI - praticar atos ilícitos com vistas a frustrar os objetivos da licitação; XII - praticar ato lesivo previsto no art. 5º da Lei nº 12.846, de 1º de agosto de </w:t>
      </w:r>
      <w:r>
        <w:rPr>
          <w:spacing w:val="-2"/>
          <w:sz w:val="20"/>
        </w:rPr>
        <w:t>2013.</w:t>
      </w:r>
    </w:p>
    <w:p w:rsidR="007259F2" w:rsidRDefault="007259F2">
      <w:pPr>
        <w:jc w:val="both"/>
        <w:rPr>
          <w:sz w:val="20"/>
        </w:rPr>
        <w:sectPr w:rsidR="007259F2">
          <w:pgSz w:w="11910" w:h="16840"/>
          <w:pgMar w:top="1600" w:right="708" w:bottom="1160" w:left="992" w:header="0" w:footer="962" w:gutter="0"/>
          <w:cols w:space="720"/>
        </w:sectPr>
      </w:pPr>
    </w:p>
    <w:p w:rsidR="007259F2" w:rsidRDefault="00E655B4">
      <w:pPr>
        <w:pStyle w:val="Corpodetexto"/>
        <w:spacing w:before="69"/>
        <w:ind w:right="993"/>
      </w:pPr>
      <w:r>
        <w:lastRenderedPageBreak/>
        <w:t>O artigo 156 da nova Lei de Licitações e Contratos elenca quais sanções são aplicadas</w:t>
      </w:r>
      <w:r>
        <w:rPr>
          <w:spacing w:val="-3"/>
        </w:rPr>
        <w:t xml:space="preserve"> </w:t>
      </w:r>
      <w:r>
        <w:t>pela</w:t>
      </w:r>
      <w:r>
        <w:rPr>
          <w:spacing w:val="-3"/>
        </w:rPr>
        <w:t xml:space="preserve"> </w:t>
      </w:r>
      <w:r>
        <w:t>prática</w:t>
      </w:r>
      <w:r>
        <w:rPr>
          <w:spacing w:val="-4"/>
        </w:rPr>
        <w:t xml:space="preserve"> </w:t>
      </w:r>
      <w:r>
        <w:t>das</w:t>
      </w:r>
      <w:r>
        <w:rPr>
          <w:spacing w:val="-1"/>
        </w:rPr>
        <w:t xml:space="preserve"> </w:t>
      </w:r>
      <w:r>
        <w:t>infrações</w:t>
      </w:r>
      <w:r>
        <w:rPr>
          <w:spacing w:val="-3"/>
        </w:rPr>
        <w:t xml:space="preserve"> </w:t>
      </w:r>
      <w:r>
        <w:t>administrativas</w:t>
      </w:r>
      <w:r>
        <w:rPr>
          <w:spacing w:val="-3"/>
        </w:rPr>
        <w:t xml:space="preserve"> </w:t>
      </w:r>
      <w:r>
        <w:t>previstas</w:t>
      </w:r>
      <w:r>
        <w:rPr>
          <w:spacing w:val="-3"/>
        </w:rPr>
        <w:t xml:space="preserve"> </w:t>
      </w:r>
      <w:r>
        <w:t>na</w:t>
      </w:r>
      <w:r>
        <w:rPr>
          <w:spacing w:val="-2"/>
        </w:rPr>
        <w:t xml:space="preserve"> </w:t>
      </w:r>
      <w:r>
        <w:t>lei,</w:t>
      </w:r>
      <w:r>
        <w:rPr>
          <w:spacing w:val="-3"/>
        </w:rPr>
        <w:t xml:space="preserve"> </w:t>
      </w:r>
      <w:r>
        <w:t>tanto</w:t>
      </w:r>
      <w:r>
        <w:rPr>
          <w:spacing w:val="-3"/>
        </w:rPr>
        <w:t xml:space="preserve"> </w:t>
      </w:r>
      <w:r>
        <w:t>para</w:t>
      </w:r>
      <w:r>
        <w:rPr>
          <w:spacing w:val="-5"/>
        </w:rPr>
        <w:t xml:space="preserve"> </w:t>
      </w:r>
      <w:r>
        <w:t>o</w:t>
      </w:r>
      <w:r>
        <w:rPr>
          <w:spacing w:val="-1"/>
        </w:rPr>
        <w:t xml:space="preserve"> </w:t>
      </w:r>
      <w:r>
        <w:t xml:space="preserve">licitante quanto para o contratado, </w:t>
      </w:r>
      <w:r>
        <w:rPr>
          <w:i/>
        </w:rPr>
        <w:t>in verbis</w:t>
      </w:r>
      <w:r>
        <w:t>:</w:t>
      </w:r>
    </w:p>
    <w:p w:rsidR="007259F2" w:rsidRDefault="00E655B4">
      <w:pPr>
        <w:spacing w:before="232"/>
        <w:ind w:left="2978" w:right="990"/>
        <w:rPr>
          <w:sz w:val="20"/>
        </w:rPr>
      </w:pPr>
      <w:r>
        <w:rPr>
          <w:sz w:val="20"/>
        </w:rPr>
        <w:t>Art.</w:t>
      </w:r>
      <w:r>
        <w:rPr>
          <w:spacing w:val="40"/>
          <w:sz w:val="20"/>
        </w:rPr>
        <w:t xml:space="preserve"> </w:t>
      </w:r>
      <w:r>
        <w:rPr>
          <w:sz w:val="20"/>
        </w:rPr>
        <w:t>156.</w:t>
      </w:r>
      <w:r>
        <w:rPr>
          <w:spacing w:val="40"/>
          <w:sz w:val="20"/>
        </w:rPr>
        <w:t xml:space="preserve"> </w:t>
      </w:r>
      <w:r>
        <w:rPr>
          <w:sz w:val="20"/>
        </w:rPr>
        <w:t>Serão</w:t>
      </w:r>
      <w:r>
        <w:rPr>
          <w:spacing w:val="40"/>
          <w:sz w:val="20"/>
        </w:rPr>
        <w:t xml:space="preserve"> </w:t>
      </w:r>
      <w:r>
        <w:rPr>
          <w:sz w:val="20"/>
        </w:rPr>
        <w:t>aplicadas</w:t>
      </w:r>
      <w:r>
        <w:rPr>
          <w:spacing w:val="40"/>
          <w:sz w:val="20"/>
        </w:rPr>
        <w:t xml:space="preserve"> </w:t>
      </w:r>
      <w:r>
        <w:rPr>
          <w:sz w:val="20"/>
        </w:rPr>
        <w:t>ao</w:t>
      </w:r>
      <w:r>
        <w:rPr>
          <w:spacing w:val="40"/>
          <w:sz w:val="20"/>
        </w:rPr>
        <w:t xml:space="preserve"> </w:t>
      </w:r>
      <w:r>
        <w:rPr>
          <w:sz w:val="20"/>
        </w:rPr>
        <w:t>responsável</w:t>
      </w:r>
      <w:r>
        <w:rPr>
          <w:spacing w:val="40"/>
          <w:sz w:val="20"/>
        </w:rPr>
        <w:t xml:space="preserve"> </w:t>
      </w:r>
      <w:r>
        <w:rPr>
          <w:sz w:val="20"/>
        </w:rPr>
        <w:t>pelas</w:t>
      </w:r>
      <w:r>
        <w:rPr>
          <w:spacing w:val="40"/>
          <w:sz w:val="20"/>
        </w:rPr>
        <w:t xml:space="preserve"> </w:t>
      </w:r>
      <w:r>
        <w:rPr>
          <w:sz w:val="20"/>
        </w:rPr>
        <w:t>infrações</w:t>
      </w:r>
      <w:r>
        <w:rPr>
          <w:spacing w:val="40"/>
          <w:sz w:val="20"/>
        </w:rPr>
        <w:t xml:space="preserve"> </w:t>
      </w:r>
      <w:r>
        <w:rPr>
          <w:sz w:val="20"/>
        </w:rPr>
        <w:t>administrativas previstas nesta Lei as seguintes sanções:</w:t>
      </w:r>
    </w:p>
    <w:p w:rsidR="007259F2" w:rsidRDefault="00E655B4">
      <w:pPr>
        <w:spacing w:before="1"/>
        <w:ind w:left="2978"/>
        <w:rPr>
          <w:sz w:val="20"/>
        </w:rPr>
      </w:pPr>
      <w:r>
        <w:rPr>
          <w:spacing w:val="-2"/>
          <w:sz w:val="20"/>
        </w:rPr>
        <w:t>advertência;</w:t>
      </w:r>
    </w:p>
    <w:p w:rsidR="007259F2" w:rsidRDefault="00E655B4">
      <w:pPr>
        <w:pStyle w:val="PargrafodaLista"/>
        <w:numPr>
          <w:ilvl w:val="1"/>
          <w:numId w:val="41"/>
        </w:numPr>
        <w:tabs>
          <w:tab w:val="left" w:pos="3095"/>
        </w:tabs>
        <w:spacing w:before="1"/>
        <w:ind w:left="3095" w:hanging="117"/>
        <w:rPr>
          <w:sz w:val="20"/>
        </w:rPr>
      </w:pPr>
      <w:r>
        <w:rPr>
          <w:sz w:val="20"/>
        </w:rPr>
        <w:t xml:space="preserve">- </w:t>
      </w:r>
      <w:r>
        <w:rPr>
          <w:spacing w:val="-2"/>
          <w:sz w:val="20"/>
        </w:rPr>
        <w:t>multa;</w:t>
      </w:r>
    </w:p>
    <w:p w:rsidR="007259F2" w:rsidRDefault="00E655B4">
      <w:pPr>
        <w:pStyle w:val="PargrafodaLista"/>
        <w:numPr>
          <w:ilvl w:val="1"/>
          <w:numId w:val="41"/>
        </w:numPr>
        <w:tabs>
          <w:tab w:val="left" w:pos="3161"/>
        </w:tabs>
        <w:spacing w:line="229" w:lineRule="exact"/>
        <w:ind w:left="3161" w:hanging="183"/>
        <w:rPr>
          <w:sz w:val="20"/>
        </w:rPr>
      </w:pPr>
      <w:r>
        <w:rPr>
          <w:sz w:val="20"/>
        </w:rPr>
        <w:t>-</w:t>
      </w:r>
      <w:r>
        <w:rPr>
          <w:spacing w:val="-6"/>
          <w:sz w:val="20"/>
        </w:rPr>
        <w:t xml:space="preserve"> </w:t>
      </w:r>
      <w:r>
        <w:rPr>
          <w:sz w:val="20"/>
        </w:rPr>
        <w:t>impedimento</w:t>
      </w:r>
      <w:r>
        <w:rPr>
          <w:spacing w:val="-3"/>
          <w:sz w:val="20"/>
        </w:rPr>
        <w:t xml:space="preserve"> </w:t>
      </w:r>
      <w:r>
        <w:rPr>
          <w:sz w:val="20"/>
        </w:rPr>
        <w:t>de</w:t>
      </w:r>
      <w:r>
        <w:rPr>
          <w:spacing w:val="-4"/>
          <w:sz w:val="20"/>
        </w:rPr>
        <w:t xml:space="preserve"> </w:t>
      </w:r>
      <w:r>
        <w:rPr>
          <w:sz w:val="20"/>
        </w:rPr>
        <w:t>licitar</w:t>
      </w:r>
      <w:r>
        <w:rPr>
          <w:spacing w:val="-4"/>
          <w:sz w:val="20"/>
        </w:rPr>
        <w:t xml:space="preserve"> </w:t>
      </w:r>
      <w:r>
        <w:rPr>
          <w:sz w:val="20"/>
        </w:rPr>
        <w:t>e</w:t>
      </w:r>
      <w:r>
        <w:rPr>
          <w:spacing w:val="-4"/>
          <w:sz w:val="20"/>
        </w:rPr>
        <w:t xml:space="preserve"> </w:t>
      </w:r>
      <w:r>
        <w:rPr>
          <w:spacing w:val="-2"/>
          <w:sz w:val="20"/>
        </w:rPr>
        <w:t>contratar;</w:t>
      </w:r>
    </w:p>
    <w:p w:rsidR="007259F2" w:rsidRDefault="00E655B4">
      <w:pPr>
        <w:pStyle w:val="PargrafodaLista"/>
        <w:numPr>
          <w:ilvl w:val="1"/>
          <w:numId w:val="41"/>
        </w:numPr>
        <w:tabs>
          <w:tab w:val="left" w:pos="3228"/>
        </w:tabs>
        <w:spacing w:line="229" w:lineRule="exact"/>
        <w:ind w:left="3228" w:hanging="250"/>
        <w:rPr>
          <w:sz w:val="20"/>
        </w:rPr>
      </w:pPr>
      <w:r>
        <w:rPr>
          <w:sz w:val="20"/>
        </w:rPr>
        <w:t>-</w:t>
      </w:r>
      <w:r>
        <w:rPr>
          <w:spacing w:val="-6"/>
          <w:sz w:val="20"/>
        </w:rPr>
        <w:t xml:space="preserve"> </w:t>
      </w:r>
      <w:r>
        <w:rPr>
          <w:sz w:val="20"/>
        </w:rPr>
        <w:t>declaração</w:t>
      </w:r>
      <w:r>
        <w:rPr>
          <w:spacing w:val="-5"/>
          <w:sz w:val="20"/>
        </w:rPr>
        <w:t xml:space="preserve"> </w:t>
      </w:r>
      <w:r>
        <w:rPr>
          <w:sz w:val="20"/>
        </w:rPr>
        <w:t>de</w:t>
      </w:r>
      <w:r>
        <w:rPr>
          <w:spacing w:val="-4"/>
          <w:sz w:val="20"/>
        </w:rPr>
        <w:t xml:space="preserve"> </w:t>
      </w:r>
      <w:r>
        <w:rPr>
          <w:sz w:val="20"/>
        </w:rPr>
        <w:t>inidoneidade</w:t>
      </w:r>
      <w:r>
        <w:rPr>
          <w:spacing w:val="-4"/>
          <w:sz w:val="20"/>
        </w:rPr>
        <w:t xml:space="preserve"> </w:t>
      </w:r>
      <w:r>
        <w:rPr>
          <w:sz w:val="20"/>
        </w:rPr>
        <w:t>para</w:t>
      </w:r>
      <w:r>
        <w:rPr>
          <w:spacing w:val="-4"/>
          <w:sz w:val="20"/>
        </w:rPr>
        <w:t xml:space="preserve"> </w:t>
      </w:r>
      <w:r>
        <w:rPr>
          <w:sz w:val="20"/>
        </w:rPr>
        <w:t>licitar</w:t>
      </w:r>
      <w:r>
        <w:rPr>
          <w:spacing w:val="-4"/>
          <w:sz w:val="20"/>
        </w:rPr>
        <w:t xml:space="preserve"> </w:t>
      </w:r>
      <w:r>
        <w:rPr>
          <w:sz w:val="20"/>
        </w:rPr>
        <w:t>ou</w:t>
      </w:r>
      <w:r>
        <w:rPr>
          <w:spacing w:val="-5"/>
          <w:sz w:val="20"/>
        </w:rPr>
        <w:t xml:space="preserve"> </w:t>
      </w:r>
      <w:r>
        <w:rPr>
          <w:spacing w:val="-2"/>
          <w:sz w:val="20"/>
        </w:rPr>
        <w:t>contratar.</w:t>
      </w:r>
    </w:p>
    <w:p w:rsidR="007259F2" w:rsidRDefault="00E655B4">
      <w:pPr>
        <w:spacing w:before="1"/>
        <w:ind w:left="2978"/>
        <w:rPr>
          <w:sz w:val="20"/>
        </w:rPr>
      </w:pPr>
      <w:r>
        <w:rPr>
          <w:sz w:val="20"/>
        </w:rPr>
        <w:t>§</w:t>
      </w:r>
      <w:r>
        <w:rPr>
          <w:spacing w:val="-4"/>
          <w:sz w:val="20"/>
        </w:rPr>
        <w:t xml:space="preserve"> </w:t>
      </w:r>
      <w:r>
        <w:rPr>
          <w:sz w:val="20"/>
        </w:rPr>
        <w:t>1º</w:t>
      </w:r>
      <w:r>
        <w:rPr>
          <w:spacing w:val="-2"/>
          <w:sz w:val="20"/>
        </w:rPr>
        <w:t xml:space="preserve"> </w:t>
      </w:r>
      <w:r>
        <w:rPr>
          <w:sz w:val="20"/>
        </w:rPr>
        <w:t>Na</w:t>
      </w:r>
      <w:r>
        <w:rPr>
          <w:spacing w:val="-4"/>
          <w:sz w:val="20"/>
        </w:rPr>
        <w:t xml:space="preserve"> </w:t>
      </w:r>
      <w:r>
        <w:rPr>
          <w:sz w:val="20"/>
        </w:rPr>
        <w:t>aplicação</w:t>
      </w:r>
      <w:r>
        <w:rPr>
          <w:spacing w:val="-3"/>
          <w:sz w:val="20"/>
        </w:rPr>
        <w:t xml:space="preserve"> </w:t>
      </w:r>
      <w:r>
        <w:rPr>
          <w:sz w:val="20"/>
        </w:rPr>
        <w:t>das</w:t>
      </w:r>
      <w:r>
        <w:rPr>
          <w:spacing w:val="-2"/>
          <w:sz w:val="20"/>
        </w:rPr>
        <w:t xml:space="preserve"> </w:t>
      </w:r>
      <w:r>
        <w:rPr>
          <w:sz w:val="20"/>
        </w:rPr>
        <w:t>sanções</w:t>
      </w:r>
      <w:r>
        <w:rPr>
          <w:spacing w:val="-5"/>
          <w:sz w:val="20"/>
        </w:rPr>
        <w:t xml:space="preserve"> </w:t>
      </w:r>
      <w:r>
        <w:rPr>
          <w:sz w:val="20"/>
        </w:rPr>
        <w:t>serão</w:t>
      </w:r>
      <w:r>
        <w:rPr>
          <w:spacing w:val="-3"/>
          <w:sz w:val="20"/>
        </w:rPr>
        <w:t xml:space="preserve"> </w:t>
      </w:r>
      <w:r>
        <w:rPr>
          <w:spacing w:val="-2"/>
          <w:sz w:val="20"/>
        </w:rPr>
        <w:t>considerados:</w:t>
      </w:r>
    </w:p>
    <w:p w:rsidR="007259F2" w:rsidRDefault="00E655B4">
      <w:pPr>
        <w:pStyle w:val="PargrafodaLista"/>
        <w:numPr>
          <w:ilvl w:val="0"/>
          <w:numId w:val="40"/>
        </w:numPr>
        <w:tabs>
          <w:tab w:val="left" w:pos="3095"/>
        </w:tabs>
        <w:ind w:left="3095" w:hanging="117"/>
        <w:rPr>
          <w:sz w:val="20"/>
        </w:rPr>
      </w:pPr>
      <w:r>
        <w:rPr>
          <w:sz w:val="20"/>
        </w:rPr>
        <w:t>-</w:t>
      </w:r>
      <w:r>
        <w:rPr>
          <w:spacing w:val="-6"/>
          <w:sz w:val="20"/>
        </w:rPr>
        <w:t xml:space="preserve"> </w:t>
      </w:r>
      <w:r>
        <w:rPr>
          <w:sz w:val="20"/>
        </w:rPr>
        <w:t>a</w:t>
      </w:r>
      <w:r>
        <w:rPr>
          <w:spacing w:val="-4"/>
          <w:sz w:val="20"/>
        </w:rPr>
        <w:t xml:space="preserve"> </w:t>
      </w:r>
      <w:r>
        <w:rPr>
          <w:sz w:val="20"/>
        </w:rPr>
        <w:t>natureza</w:t>
      </w:r>
      <w:r>
        <w:rPr>
          <w:spacing w:val="-4"/>
          <w:sz w:val="20"/>
        </w:rPr>
        <w:t xml:space="preserve"> </w:t>
      </w:r>
      <w:r>
        <w:rPr>
          <w:sz w:val="20"/>
        </w:rPr>
        <w:t>e</w:t>
      </w:r>
      <w:r>
        <w:rPr>
          <w:spacing w:val="-4"/>
          <w:sz w:val="20"/>
        </w:rPr>
        <w:t xml:space="preserve"> </w:t>
      </w:r>
      <w:r>
        <w:rPr>
          <w:sz w:val="20"/>
        </w:rPr>
        <w:t>a</w:t>
      </w:r>
      <w:r>
        <w:rPr>
          <w:spacing w:val="-4"/>
          <w:sz w:val="20"/>
        </w:rPr>
        <w:t xml:space="preserve"> </w:t>
      </w:r>
      <w:r>
        <w:rPr>
          <w:sz w:val="20"/>
        </w:rPr>
        <w:t>gravidade</w:t>
      </w:r>
      <w:r>
        <w:rPr>
          <w:spacing w:val="-4"/>
          <w:sz w:val="20"/>
        </w:rPr>
        <w:t xml:space="preserve"> </w:t>
      </w:r>
      <w:r>
        <w:rPr>
          <w:sz w:val="20"/>
        </w:rPr>
        <w:t>da</w:t>
      </w:r>
      <w:r>
        <w:rPr>
          <w:spacing w:val="-4"/>
          <w:sz w:val="20"/>
        </w:rPr>
        <w:t xml:space="preserve"> </w:t>
      </w:r>
      <w:r>
        <w:rPr>
          <w:sz w:val="20"/>
        </w:rPr>
        <w:t>infração</w:t>
      </w:r>
      <w:r>
        <w:rPr>
          <w:spacing w:val="-3"/>
          <w:sz w:val="20"/>
        </w:rPr>
        <w:t xml:space="preserve"> </w:t>
      </w:r>
      <w:r>
        <w:rPr>
          <w:spacing w:val="-2"/>
          <w:sz w:val="20"/>
        </w:rPr>
        <w:t>cometida;</w:t>
      </w:r>
    </w:p>
    <w:p w:rsidR="007259F2" w:rsidRDefault="00E655B4">
      <w:pPr>
        <w:pStyle w:val="PargrafodaLista"/>
        <w:numPr>
          <w:ilvl w:val="0"/>
          <w:numId w:val="40"/>
        </w:numPr>
        <w:tabs>
          <w:tab w:val="left" w:pos="3161"/>
        </w:tabs>
        <w:ind w:left="3161" w:hanging="183"/>
        <w:rPr>
          <w:sz w:val="20"/>
        </w:rPr>
      </w:pPr>
      <w:r>
        <w:rPr>
          <w:sz w:val="20"/>
        </w:rPr>
        <w:t>-</w:t>
      </w:r>
      <w:r>
        <w:rPr>
          <w:spacing w:val="-6"/>
          <w:sz w:val="20"/>
        </w:rPr>
        <w:t xml:space="preserve"> </w:t>
      </w:r>
      <w:r>
        <w:rPr>
          <w:sz w:val="20"/>
        </w:rPr>
        <w:t>as</w:t>
      </w:r>
      <w:r>
        <w:rPr>
          <w:spacing w:val="-5"/>
          <w:sz w:val="20"/>
        </w:rPr>
        <w:t xml:space="preserve"> </w:t>
      </w:r>
      <w:r>
        <w:rPr>
          <w:sz w:val="20"/>
        </w:rPr>
        <w:t>peculiaridades</w:t>
      </w:r>
      <w:r>
        <w:rPr>
          <w:spacing w:val="-5"/>
          <w:sz w:val="20"/>
        </w:rPr>
        <w:t xml:space="preserve"> </w:t>
      </w:r>
      <w:r>
        <w:rPr>
          <w:sz w:val="20"/>
        </w:rPr>
        <w:t>do</w:t>
      </w:r>
      <w:r>
        <w:rPr>
          <w:spacing w:val="-3"/>
          <w:sz w:val="20"/>
        </w:rPr>
        <w:t xml:space="preserve"> </w:t>
      </w:r>
      <w:r>
        <w:rPr>
          <w:sz w:val="20"/>
        </w:rPr>
        <w:t>caso</w:t>
      </w:r>
      <w:r>
        <w:rPr>
          <w:spacing w:val="-5"/>
          <w:sz w:val="20"/>
        </w:rPr>
        <w:t xml:space="preserve"> </w:t>
      </w:r>
      <w:r>
        <w:rPr>
          <w:spacing w:val="-2"/>
          <w:sz w:val="20"/>
        </w:rPr>
        <w:t>concreto;</w:t>
      </w:r>
    </w:p>
    <w:p w:rsidR="007259F2" w:rsidRDefault="00E655B4">
      <w:pPr>
        <w:pStyle w:val="PargrafodaLista"/>
        <w:numPr>
          <w:ilvl w:val="0"/>
          <w:numId w:val="40"/>
        </w:numPr>
        <w:tabs>
          <w:tab w:val="left" w:pos="3228"/>
        </w:tabs>
        <w:spacing w:before="1" w:line="229" w:lineRule="exact"/>
        <w:ind w:left="3228" w:hanging="250"/>
        <w:rPr>
          <w:sz w:val="20"/>
        </w:rPr>
      </w:pPr>
      <w:r>
        <w:rPr>
          <w:sz w:val="20"/>
        </w:rPr>
        <w:t>-</w:t>
      </w:r>
      <w:r>
        <w:rPr>
          <w:spacing w:val="-7"/>
          <w:sz w:val="20"/>
        </w:rPr>
        <w:t xml:space="preserve"> </w:t>
      </w:r>
      <w:r>
        <w:rPr>
          <w:sz w:val="20"/>
        </w:rPr>
        <w:t>as</w:t>
      </w:r>
      <w:r>
        <w:rPr>
          <w:spacing w:val="-5"/>
          <w:sz w:val="20"/>
        </w:rPr>
        <w:t xml:space="preserve"> </w:t>
      </w:r>
      <w:r>
        <w:rPr>
          <w:sz w:val="20"/>
        </w:rPr>
        <w:t>circunstâncias</w:t>
      </w:r>
      <w:r>
        <w:rPr>
          <w:spacing w:val="-6"/>
          <w:sz w:val="20"/>
        </w:rPr>
        <w:t xml:space="preserve"> </w:t>
      </w:r>
      <w:r>
        <w:rPr>
          <w:sz w:val="20"/>
        </w:rPr>
        <w:t>agravantes</w:t>
      </w:r>
      <w:r>
        <w:rPr>
          <w:spacing w:val="-5"/>
          <w:sz w:val="20"/>
        </w:rPr>
        <w:t xml:space="preserve"> </w:t>
      </w:r>
      <w:r>
        <w:rPr>
          <w:sz w:val="20"/>
        </w:rPr>
        <w:t>ou</w:t>
      </w:r>
      <w:r>
        <w:rPr>
          <w:spacing w:val="-6"/>
          <w:sz w:val="20"/>
        </w:rPr>
        <w:t xml:space="preserve"> </w:t>
      </w:r>
      <w:r>
        <w:rPr>
          <w:spacing w:val="-2"/>
          <w:sz w:val="20"/>
        </w:rPr>
        <w:t>atenuantes;</w:t>
      </w:r>
    </w:p>
    <w:p w:rsidR="007259F2" w:rsidRDefault="00E655B4">
      <w:pPr>
        <w:pStyle w:val="PargrafodaLista"/>
        <w:numPr>
          <w:ilvl w:val="0"/>
          <w:numId w:val="40"/>
        </w:numPr>
        <w:tabs>
          <w:tab w:val="left" w:pos="3238"/>
        </w:tabs>
        <w:spacing w:line="229" w:lineRule="exact"/>
        <w:ind w:left="3238" w:hanging="260"/>
        <w:rPr>
          <w:sz w:val="20"/>
        </w:rPr>
      </w:pPr>
      <w:r>
        <w:rPr>
          <w:sz w:val="20"/>
        </w:rPr>
        <w:t>-</w:t>
      </w:r>
      <w:r>
        <w:rPr>
          <w:spacing w:val="-6"/>
          <w:sz w:val="20"/>
        </w:rPr>
        <w:t xml:space="preserve"> </w:t>
      </w:r>
      <w:r>
        <w:rPr>
          <w:sz w:val="20"/>
        </w:rPr>
        <w:t>os</w:t>
      </w:r>
      <w:r>
        <w:rPr>
          <w:spacing w:val="-5"/>
          <w:sz w:val="20"/>
        </w:rPr>
        <w:t xml:space="preserve"> </w:t>
      </w:r>
      <w:r>
        <w:rPr>
          <w:sz w:val="20"/>
        </w:rPr>
        <w:t>danos</w:t>
      </w:r>
      <w:r>
        <w:rPr>
          <w:spacing w:val="-5"/>
          <w:sz w:val="20"/>
        </w:rPr>
        <w:t xml:space="preserve"> </w:t>
      </w:r>
      <w:r>
        <w:rPr>
          <w:sz w:val="20"/>
        </w:rPr>
        <w:t>que</w:t>
      </w:r>
      <w:r>
        <w:rPr>
          <w:spacing w:val="-4"/>
          <w:sz w:val="20"/>
        </w:rPr>
        <w:t xml:space="preserve"> </w:t>
      </w:r>
      <w:r>
        <w:rPr>
          <w:sz w:val="20"/>
        </w:rPr>
        <w:t>dela</w:t>
      </w:r>
      <w:r>
        <w:rPr>
          <w:spacing w:val="-4"/>
          <w:sz w:val="20"/>
        </w:rPr>
        <w:t xml:space="preserve"> </w:t>
      </w:r>
      <w:r>
        <w:rPr>
          <w:sz w:val="20"/>
        </w:rPr>
        <w:t>provierem</w:t>
      </w:r>
      <w:r>
        <w:rPr>
          <w:spacing w:val="-7"/>
          <w:sz w:val="20"/>
        </w:rPr>
        <w:t xml:space="preserve"> </w:t>
      </w:r>
      <w:r>
        <w:rPr>
          <w:sz w:val="20"/>
        </w:rPr>
        <w:t>para</w:t>
      </w:r>
      <w:r>
        <w:rPr>
          <w:spacing w:val="-4"/>
          <w:sz w:val="20"/>
        </w:rPr>
        <w:t xml:space="preserve"> </w:t>
      </w:r>
      <w:r>
        <w:rPr>
          <w:sz w:val="20"/>
        </w:rPr>
        <w:t>a</w:t>
      </w:r>
      <w:r>
        <w:rPr>
          <w:spacing w:val="-4"/>
          <w:sz w:val="20"/>
        </w:rPr>
        <w:t xml:space="preserve"> </w:t>
      </w:r>
      <w:r>
        <w:rPr>
          <w:sz w:val="20"/>
        </w:rPr>
        <w:t>Administração</w:t>
      </w:r>
      <w:r>
        <w:rPr>
          <w:spacing w:val="-3"/>
          <w:sz w:val="20"/>
        </w:rPr>
        <w:t xml:space="preserve"> </w:t>
      </w:r>
      <w:r>
        <w:rPr>
          <w:spacing w:val="-2"/>
          <w:sz w:val="20"/>
        </w:rPr>
        <w:t>Pública;</w:t>
      </w:r>
    </w:p>
    <w:p w:rsidR="007259F2" w:rsidRDefault="00E655B4">
      <w:pPr>
        <w:pStyle w:val="PargrafodaLista"/>
        <w:numPr>
          <w:ilvl w:val="0"/>
          <w:numId w:val="40"/>
        </w:numPr>
        <w:tabs>
          <w:tab w:val="left" w:pos="3243"/>
        </w:tabs>
        <w:ind w:left="2978" w:right="997" w:firstLine="0"/>
        <w:rPr>
          <w:sz w:val="20"/>
        </w:rPr>
      </w:pPr>
      <w:r>
        <w:rPr>
          <w:sz w:val="20"/>
        </w:rPr>
        <w:t>-</w:t>
      </w:r>
      <w:r>
        <w:rPr>
          <w:spacing w:val="40"/>
          <w:sz w:val="20"/>
        </w:rPr>
        <w:t xml:space="preserve"> </w:t>
      </w:r>
      <w:r>
        <w:rPr>
          <w:sz w:val="20"/>
        </w:rPr>
        <w:t>a</w:t>
      </w:r>
      <w:r>
        <w:rPr>
          <w:spacing w:val="40"/>
          <w:sz w:val="20"/>
        </w:rPr>
        <w:t xml:space="preserve"> </w:t>
      </w:r>
      <w:r>
        <w:rPr>
          <w:sz w:val="20"/>
        </w:rPr>
        <w:t>implantação</w:t>
      </w:r>
      <w:r>
        <w:rPr>
          <w:spacing w:val="40"/>
          <w:sz w:val="20"/>
        </w:rPr>
        <w:t xml:space="preserve"> </w:t>
      </w:r>
      <w:r>
        <w:rPr>
          <w:sz w:val="20"/>
        </w:rPr>
        <w:t>ou</w:t>
      </w:r>
      <w:r>
        <w:rPr>
          <w:spacing w:val="40"/>
          <w:sz w:val="20"/>
        </w:rPr>
        <w:t xml:space="preserve"> </w:t>
      </w:r>
      <w:r>
        <w:rPr>
          <w:sz w:val="20"/>
        </w:rPr>
        <w:t>o</w:t>
      </w:r>
      <w:r>
        <w:rPr>
          <w:spacing w:val="40"/>
          <w:sz w:val="20"/>
        </w:rPr>
        <w:t xml:space="preserve"> </w:t>
      </w:r>
      <w:r>
        <w:rPr>
          <w:sz w:val="20"/>
        </w:rPr>
        <w:t>aperfeiçoamento</w:t>
      </w:r>
      <w:r>
        <w:rPr>
          <w:spacing w:val="40"/>
          <w:sz w:val="20"/>
        </w:rPr>
        <w:t xml:space="preserve"> </w:t>
      </w:r>
      <w:r>
        <w:rPr>
          <w:sz w:val="20"/>
        </w:rPr>
        <w:t>de</w:t>
      </w:r>
      <w:r>
        <w:rPr>
          <w:spacing w:val="40"/>
          <w:sz w:val="20"/>
        </w:rPr>
        <w:t xml:space="preserve"> </w:t>
      </w:r>
      <w:r>
        <w:rPr>
          <w:sz w:val="20"/>
        </w:rPr>
        <w:t>programa</w:t>
      </w:r>
      <w:r>
        <w:rPr>
          <w:spacing w:val="40"/>
          <w:sz w:val="20"/>
        </w:rPr>
        <w:t xml:space="preserve"> </w:t>
      </w:r>
      <w:r>
        <w:rPr>
          <w:sz w:val="20"/>
        </w:rPr>
        <w:t>de</w:t>
      </w:r>
      <w:r>
        <w:rPr>
          <w:spacing w:val="40"/>
          <w:sz w:val="20"/>
        </w:rPr>
        <w:t xml:space="preserve"> </w:t>
      </w:r>
      <w:r>
        <w:rPr>
          <w:sz w:val="20"/>
        </w:rPr>
        <w:t>integridade,</w:t>
      </w:r>
      <w:r>
        <w:rPr>
          <w:spacing w:val="80"/>
          <w:sz w:val="20"/>
        </w:rPr>
        <w:t xml:space="preserve"> </w:t>
      </w:r>
      <w:r>
        <w:rPr>
          <w:sz w:val="20"/>
        </w:rPr>
        <w:t>conforme normas e orientações dos órgãos de controle.</w:t>
      </w:r>
    </w:p>
    <w:p w:rsidR="007259F2" w:rsidRDefault="007259F2">
      <w:pPr>
        <w:pStyle w:val="Corpodetexto"/>
        <w:spacing w:before="46"/>
        <w:ind w:left="0" w:firstLine="0"/>
        <w:jc w:val="left"/>
        <w:rPr>
          <w:sz w:val="20"/>
        </w:rPr>
      </w:pPr>
    </w:p>
    <w:p w:rsidR="007259F2" w:rsidRDefault="00E655B4">
      <w:pPr>
        <w:pStyle w:val="Corpodetexto"/>
        <w:ind w:right="996"/>
      </w:pPr>
      <w:r>
        <w:t>Sobre o tema, explicam bem os autores do livro “Lei de Licitações e Contratos Administrativos Comentada (Lei 14.133/21)”:</w:t>
      </w:r>
    </w:p>
    <w:p w:rsidR="007259F2" w:rsidRDefault="007259F2">
      <w:pPr>
        <w:pStyle w:val="Corpodetexto"/>
        <w:spacing w:before="23"/>
        <w:ind w:left="0" w:firstLine="0"/>
        <w:jc w:val="left"/>
      </w:pPr>
    </w:p>
    <w:p w:rsidR="007259F2" w:rsidRDefault="00E655B4">
      <w:pPr>
        <w:ind w:left="2978" w:right="987"/>
        <w:jc w:val="both"/>
        <w:rPr>
          <w:sz w:val="20"/>
        </w:rPr>
      </w:pPr>
      <w:r>
        <w:rPr>
          <w:sz w:val="20"/>
        </w:rPr>
        <w:t>Já, cuidando da responsabilidade administrativa que pode desembocar na responsabilidade civil e na responsabilidade penal, esta decorre da prática pelo servidor ou por outrem que eventualmente atue no processo licitatório e consectários, de condutas comissivas ou omissivas, vale dizer, por ação ou por omissão, consideradas irregulares no desempenho de sua atuação. A responsabilidade penal abrange os crimes e as contravenções imputados aos partícipes do processo quando agirem nesta qualidade. A responsabilidade civil, por outro lado, resulta de procedimento culposo ou doloso, que importe prejuízo à Fazenda Pública ou a terceiros, no caso de servidores, perquirida em ação regressiva. As cominações administrativas, penais e civis, ainda que independentes, são cumulativas.9 Por comprovada incursão nos motivos relacionados no art. 155, o infrator haverá de submeter-se às sanções</w:t>
      </w:r>
      <w:r>
        <w:rPr>
          <w:spacing w:val="40"/>
          <w:sz w:val="20"/>
        </w:rPr>
        <w:t xml:space="preserve"> </w:t>
      </w:r>
      <w:r>
        <w:rPr>
          <w:sz w:val="20"/>
        </w:rPr>
        <w:t>previstas no artigo 156, que, com pequenas distinções, repete as prescrições do artigo 87 da Lei anterior (nº 8.666/1993). Pelo texto substituído, estaria o contratado,</w:t>
      </w:r>
      <w:r>
        <w:rPr>
          <w:spacing w:val="-3"/>
          <w:sz w:val="20"/>
        </w:rPr>
        <w:t xml:space="preserve"> </w:t>
      </w:r>
      <w:r>
        <w:rPr>
          <w:sz w:val="20"/>
        </w:rPr>
        <w:t>em</w:t>
      </w:r>
      <w:r>
        <w:rPr>
          <w:spacing w:val="-7"/>
          <w:sz w:val="20"/>
        </w:rPr>
        <w:t xml:space="preserve"> </w:t>
      </w:r>
      <w:r>
        <w:rPr>
          <w:sz w:val="20"/>
        </w:rPr>
        <w:t>razão</w:t>
      </w:r>
      <w:r>
        <w:rPr>
          <w:spacing w:val="-2"/>
          <w:sz w:val="20"/>
        </w:rPr>
        <w:t xml:space="preserve"> </w:t>
      </w:r>
      <w:r>
        <w:rPr>
          <w:sz w:val="20"/>
        </w:rPr>
        <w:t>de</w:t>
      </w:r>
      <w:r>
        <w:rPr>
          <w:spacing w:val="-3"/>
          <w:sz w:val="20"/>
        </w:rPr>
        <w:t xml:space="preserve"> </w:t>
      </w:r>
      <w:r>
        <w:rPr>
          <w:sz w:val="20"/>
        </w:rPr>
        <w:t>inexecução</w:t>
      </w:r>
      <w:r>
        <w:rPr>
          <w:spacing w:val="-2"/>
          <w:sz w:val="20"/>
        </w:rPr>
        <w:t xml:space="preserve"> </w:t>
      </w:r>
      <w:r>
        <w:rPr>
          <w:sz w:val="20"/>
        </w:rPr>
        <w:t>contratual,</w:t>
      </w:r>
      <w:r>
        <w:rPr>
          <w:spacing w:val="-3"/>
          <w:sz w:val="20"/>
        </w:rPr>
        <w:t xml:space="preserve"> </w:t>
      </w:r>
      <w:r>
        <w:rPr>
          <w:sz w:val="20"/>
        </w:rPr>
        <w:t>sujeito</w:t>
      </w:r>
      <w:r>
        <w:rPr>
          <w:spacing w:val="-2"/>
          <w:sz w:val="20"/>
        </w:rPr>
        <w:t xml:space="preserve"> </w:t>
      </w:r>
      <w:r>
        <w:rPr>
          <w:sz w:val="20"/>
        </w:rPr>
        <w:t>às</w:t>
      </w:r>
      <w:r>
        <w:rPr>
          <w:spacing w:val="-4"/>
          <w:sz w:val="20"/>
        </w:rPr>
        <w:t xml:space="preserve"> </w:t>
      </w:r>
      <w:r>
        <w:rPr>
          <w:sz w:val="20"/>
        </w:rPr>
        <w:t>sanções</w:t>
      </w:r>
      <w:r>
        <w:rPr>
          <w:spacing w:val="-4"/>
          <w:sz w:val="20"/>
        </w:rPr>
        <w:t xml:space="preserve"> </w:t>
      </w:r>
      <w:r>
        <w:rPr>
          <w:sz w:val="20"/>
        </w:rPr>
        <w:t>descritas</w:t>
      </w:r>
      <w:r>
        <w:rPr>
          <w:spacing w:val="-1"/>
          <w:sz w:val="20"/>
        </w:rPr>
        <w:t xml:space="preserve"> </w:t>
      </w:r>
      <w:r>
        <w:rPr>
          <w:sz w:val="20"/>
        </w:rPr>
        <w:t xml:space="preserve">no dispositivo que as relaciona. Pela nova lei, as sanções serão aplicáveis ao </w:t>
      </w:r>
      <w:r>
        <w:rPr>
          <w:spacing w:val="-2"/>
          <w:sz w:val="20"/>
        </w:rPr>
        <w:t>responsável.</w:t>
      </w:r>
      <w:r>
        <w:rPr>
          <w:spacing w:val="-2"/>
          <w:sz w:val="20"/>
          <w:vertAlign w:val="superscript"/>
        </w:rPr>
        <w:t>17</w:t>
      </w:r>
    </w:p>
    <w:p w:rsidR="007259F2" w:rsidRDefault="007259F2">
      <w:pPr>
        <w:pStyle w:val="Corpodetexto"/>
        <w:spacing w:before="129"/>
        <w:ind w:left="0" w:firstLine="0"/>
        <w:jc w:val="left"/>
        <w:rPr>
          <w:sz w:val="20"/>
        </w:rPr>
      </w:pPr>
    </w:p>
    <w:p w:rsidR="007259F2" w:rsidRDefault="00E655B4">
      <w:pPr>
        <w:pStyle w:val="Corpodetexto"/>
        <w:ind w:right="986"/>
      </w:pPr>
      <w:r>
        <w:t>Além disso, o Tribunal de Contas do Município, no uso de suas atribuições, também poderá instaurar procedimento para apuração da responsabilidade de infrações praticadas tanto pelo</w:t>
      </w:r>
      <w:r>
        <w:rPr>
          <w:spacing w:val="-1"/>
        </w:rPr>
        <w:t xml:space="preserve"> </w:t>
      </w:r>
      <w:r>
        <w:t>licitante</w:t>
      </w:r>
      <w:r>
        <w:rPr>
          <w:spacing w:val="-1"/>
        </w:rPr>
        <w:t xml:space="preserve"> </w:t>
      </w:r>
      <w:r>
        <w:t>quanto</w:t>
      </w:r>
      <w:r>
        <w:rPr>
          <w:spacing w:val="-1"/>
        </w:rPr>
        <w:t xml:space="preserve"> </w:t>
      </w:r>
      <w:r>
        <w:t>pelos</w:t>
      </w:r>
      <w:r>
        <w:rPr>
          <w:spacing w:val="-1"/>
        </w:rPr>
        <w:t xml:space="preserve"> </w:t>
      </w:r>
      <w:r>
        <w:t>contratados,</w:t>
      </w:r>
      <w:r>
        <w:rPr>
          <w:spacing w:val="-1"/>
        </w:rPr>
        <w:t xml:space="preserve"> </w:t>
      </w:r>
      <w:r>
        <w:t>e</w:t>
      </w:r>
      <w:r>
        <w:rPr>
          <w:spacing w:val="-2"/>
        </w:rPr>
        <w:t xml:space="preserve"> </w:t>
      </w:r>
      <w:r>
        <w:t>aplicar</w:t>
      </w:r>
      <w:r>
        <w:rPr>
          <w:spacing w:val="-1"/>
        </w:rPr>
        <w:t xml:space="preserve"> </w:t>
      </w:r>
      <w:r>
        <w:t>as</w:t>
      </w:r>
      <w:r>
        <w:rPr>
          <w:spacing w:val="-1"/>
        </w:rPr>
        <w:t xml:space="preserve"> </w:t>
      </w:r>
      <w:r>
        <w:t>sanções previstas</w:t>
      </w:r>
      <w:r>
        <w:rPr>
          <w:spacing w:val="-1"/>
        </w:rPr>
        <w:t xml:space="preserve"> </w:t>
      </w:r>
      <w:r>
        <w:t xml:space="preserve">na legislação citada neste estudo, conforme o regimento interno do Órgão de Controle, </w:t>
      </w:r>
      <w:r>
        <w:rPr>
          <w:spacing w:val="-2"/>
        </w:rPr>
        <w:t>vejamos:</w:t>
      </w:r>
    </w:p>
    <w:p w:rsidR="007259F2" w:rsidRDefault="00E655B4">
      <w:pPr>
        <w:spacing w:before="254"/>
        <w:ind w:left="2978" w:right="994"/>
        <w:jc w:val="both"/>
        <w:rPr>
          <w:sz w:val="20"/>
        </w:rPr>
      </w:pPr>
      <w:r>
        <w:rPr>
          <w:sz w:val="20"/>
        </w:rPr>
        <w:t>Art. 85 - É pessoal e direta a responsabilidade de quem praticou o ato e subsidiária</w:t>
      </w:r>
      <w:r>
        <w:rPr>
          <w:spacing w:val="-1"/>
          <w:sz w:val="20"/>
        </w:rPr>
        <w:t xml:space="preserve"> </w:t>
      </w:r>
      <w:r>
        <w:rPr>
          <w:sz w:val="20"/>
        </w:rPr>
        <w:t>a</w:t>
      </w:r>
      <w:r>
        <w:rPr>
          <w:spacing w:val="-1"/>
          <w:sz w:val="20"/>
        </w:rPr>
        <w:t xml:space="preserve"> </w:t>
      </w:r>
      <w:r>
        <w:rPr>
          <w:sz w:val="20"/>
        </w:rPr>
        <w:t>do ordenador</w:t>
      </w:r>
      <w:r>
        <w:rPr>
          <w:spacing w:val="-2"/>
          <w:sz w:val="20"/>
        </w:rPr>
        <w:t xml:space="preserve"> </w:t>
      </w:r>
      <w:r>
        <w:rPr>
          <w:sz w:val="20"/>
        </w:rPr>
        <w:t>da</w:t>
      </w:r>
      <w:r>
        <w:rPr>
          <w:spacing w:val="-3"/>
          <w:sz w:val="20"/>
        </w:rPr>
        <w:t xml:space="preserve"> </w:t>
      </w:r>
      <w:r>
        <w:rPr>
          <w:sz w:val="20"/>
        </w:rPr>
        <w:t>despesa,</w:t>
      </w:r>
      <w:r>
        <w:rPr>
          <w:spacing w:val="-1"/>
          <w:sz w:val="20"/>
        </w:rPr>
        <w:t xml:space="preserve"> </w:t>
      </w:r>
      <w:r>
        <w:rPr>
          <w:sz w:val="20"/>
        </w:rPr>
        <w:t>quando não for autor do ato e</w:t>
      </w:r>
      <w:r>
        <w:rPr>
          <w:spacing w:val="-1"/>
          <w:sz w:val="20"/>
        </w:rPr>
        <w:t xml:space="preserve"> </w:t>
      </w:r>
      <w:r>
        <w:rPr>
          <w:sz w:val="20"/>
        </w:rPr>
        <w:t>esse</w:t>
      </w:r>
      <w:r>
        <w:rPr>
          <w:spacing w:val="-1"/>
          <w:sz w:val="20"/>
        </w:rPr>
        <w:t xml:space="preserve"> </w:t>
      </w:r>
      <w:r>
        <w:rPr>
          <w:sz w:val="20"/>
        </w:rPr>
        <w:t>não puder ser identificado, pelas ocorrências verificadas na sua gestão, sem prejuízo da configuração da responsabilidade solidária, nos casos previstos</w:t>
      </w:r>
      <w:r>
        <w:rPr>
          <w:spacing w:val="40"/>
          <w:sz w:val="20"/>
        </w:rPr>
        <w:t xml:space="preserve"> </w:t>
      </w:r>
      <w:r>
        <w:rPr>
          <w:sz w:val="20"/>
        </w:rPr>
        <w:t>no art. 942 do Código Civil.</w:t>
      </w:r>
    </w:p>
    <w:p w:rsidR="007259F2" w:rsidRDefault="00E655B4">
      <w:pPr>
        <w:spacing w:before="2"/>
        <w:ind w:left="2978" w:right="996"/>
        <w:jc w:val="both"/>
        <w:rPr>
          <w:sz w:val="20"/>
        </w:rPr>
      </w:pPr>
      <w:r>
        <w:rPr>
          <w:sz w:val="20"/>
        </w:rPr>
        <w:t>Art.</w:t>
      </w:r>
      <w:r>
        <w:rPr>
          <w:spacing w:val="-1"/>
          <w:sz w:val="20"/>
        </w:rPr>
        <w:t xml:space="preserve"> </w:t>
      </w:r>
      <w:r>
        <w:rPr>
          <w:sz w:val="20"/>
        </w:rPr>
        <w:t>86 -</w:t>
      </w:r>
      <w:r>
        <w:rPr>
          <w:spacing w:val="-2"/>
          <w:sz w:val="20"/>
        </w:rPr>
        <w:t xml:space="preserve"> </w:t>
      </w:r>
      <w:r>
        <w:rPr>
          <w:sz w:val="20"/>
        </w:rPr>
        <w:t>As</w:t>
      </w:r>
      <w:r>
        <w:rPr>
          <w:spacing w:val="-1"/>
          <w:sz w:val="20"/>
        </w:rPr>
        <w:t xml:space="preserve"> </w:t>
      </w:r>
      <w:r>
        <w:rPr>
          <w:sz w:val="20"/>
        </w:rPr>
        <w:t>infrações</w:t>
      </w:r>
      <w:r>
        <w:rPr>
          <w:spacing w:val="-1"/>
          <w:sz w:val="20"/>
        </w:rPr>
        <w:t xml:space="preserve"> </w:t>
      </w:r>
      <w:r>
        <w:rPr>
          <w:sz w:val="20"/>
        </w:rPr>
        <w:t>à</w:t>
      </w:r>
      <w:r>
        <w:rPr>
          <w:spacing w:val="-1"/>
          <w:sz w:val="20"/>
        </w:rPr>
        <w:t xml:space="preserve"> </w:t>
      </w:r>
      <w:r>
        <w:rPr>
          <w:sz w:val="20"/>
        </w:rPr>
        <w:t>Lei</w:t>
      </w:r>
      <w:r>
        <w:rPr>
          <w:spacing w:val="-1"/>
          <w:sz w:val="20"/>
        </w:rPr>
        <w:t xml:space="preserve"> </w:t>
      </w:r>
      <w:r>
        <w:rPr>
          <w:sz w:val="20"/>
        </w:rPr>
        <w:t>nº 9.167,</w:t>
      </w:r>
      <w:r>
        <w:rPr>
          <w:spacing w:val="-3"/>
          <w:sz w:val="20"/>
        </w:rPr>
        <w:t xml:space="preserve"> </w:t>
      </w:r>
      <w:r>
        <w:rPr>
          <w:sz w:val="20"/>
        </w:rPr>
        <w:t>de</w:t>
      </w:r>
      <w:r>
        <w:rPr>
          <w:spacing w:val="-1"/>
          <w:sz w:val="20"/>
        </w:rPr>
        <w:t xml:space="preserve"> </w:t>
      </w:r>
      <w:r>
        <w:rPr>
          <w:sz w:val="20"/>
        </w:rPr>
        <w:t>3</w:t>
      </w:r>
      <w:r>
        <w:rPr>
          <w:spacing w:val="-2"/>
          <w:sz w:val="20"/>
        </w:rPr>
        <w:t xml:space="preserve"> </w:t>
      </w:r>
      <w:r>
        <w:rPr>
          <w:sz w:val="20"/>
        </w:rPr>
        <w:t>de</w:t>
      </w:r>
      <w:r>
        <w:rPr>
          <w:spacing w:val="-3"/>
          <w:sz w:val="20"/>
        </w:rPr>
        <w:t xml:space="preserve"> </w:t>
      </w:r>
      <w:r>
        <w:rPr>
          <w:sz w:val="20"/>
        </w:rPr>
        <w:t>dezembro de</w:t>
      </w:r>
      <w:r>
        <w:rPr>
          <w:spacing w:val="-1"/>
          <w:sz w:val="20"/>
        </w:rPr>
        <w:t xml:space="preserve"> </w:t>
      </w:r>
      <w:r>
        <w:rPr>
          <w:sz w:val="20"/>
        </w:rPr>
        <w:t>1980 e</w:t>
      </w:r>
      <w:r>
        <w:rPr>
          <w:spacing w:val="-3"/>
          <w:sz w:val="20"/>
        </w:rPr>
        <w:t xml:space="preserve"> </w:t>
      </w:r>
      <w:r>
        <w:rPr>
          <w:sz w:val="20"/>
        </w:rPr>
        <w:t>ao</w:t>
      </w:r>
      <w:r>
        <w:rPr>
          <w:spacing w:val="-2"/>
          <w:sz w:val="20"/>
        </w:rPr>
        <w:t xml:space="preserve"> </w:t>
      </w:r>
      <w:r>
        <w:rPr>
          <w:sz w:val="20"/>
        </w:rPr>
        <w:t>presente Regimento, segundo a sua gravidade, ensejarão as seguintes sanções:</w:t>
      </w:r>
    </w:p>
    <w:p w:rsidR="007259F2" w:rsidRDefault="00E655B4">
      <w:pPr>
        <w:pStyle w:val="PargrafodaLista"/>
        <w:numPr>
          <w:ilvl w:val="0"/>
          <w:numId w:val="39"/>
        </w:numPr>
        <w:tabs>
          <w:tab w:val="left" w:pos="3095"/>
        </w:tabs>
        <w:spacing w:line="228" w:lineRule="exact"/>
        <w:ind w:left="3095" w:hanging="117"/>
        <w:jc w:val="both"/>
        <w:rPr>
          <w:sz w:val="20"/>
        </w:rPr>
      </w:pPr>
      <w:r>
        <w:rPr>
          <w:sz w:val="20"/>
        </w:rPr>
        <w:t>-</w:t>
      </w:r>
      <w:r>
        <w:rPr>
          <w:spacing w:val="-3"/>
          <w:sz w:val="20"/>
        </w:rPr>
        <w:t xml:space="preserve"> </w:t>
      </w:r>
      <w:r>
        <w:rPr>
          <w:spacing w:val="-2"/>
          <w:sz w:val="20"/>
        </w:rPr>
        <w:t>advertência;</w:t>
      </w:r>
    </w:p>
    <w:p w:rsidR="007259F2" w:rsidRDefault="00DE6B1C">
      <w:pPr>
        <w:pStyle w:val="Corpodetexto"/>
        <w:spacing w:before="34"/>
        <w:ind w:left="0" w:firstLine="0"/>
        <w:jc w:val="left"/>
        <w:rPr>
          <w:sz w:val="20"/>
        </w:rPr>
      </w:pPr>
      <w:r w:rsidRPr="00DE6B1C">
        <w:rPr>
          <w:sz w:val="20"/>
        </w:rPr>
        <w:pict>
          <v:rect id="docshape49" o:spid="_x0000_s1177" style="position:absolute;margin-left:85.1pt;margin-top:14.4pt;width:2in;height:.7pt;z-index:-15711744;mso-wrap-distance-left:0;mso-wrap-distance-right:0;mso-position-horizontal-relative:page" fillcolor="black" stroked="f">
            <w10:wrap type="topAndBottom" anchorx="page"/>
          </v:rect>
        </w:pict>
      </w:r>
    </w:p>
    <w:p w:rsidR="007259F2" w:rsidRDefault="00E655B4">
      <w:pPr>
        <w:spacing w:before="97"/>
        <w:ind w:left="710" w:right="990"/>
        <w:rPr>
          <w:sz w:val="20"/>
        </w:rPr>
      </w:pPr>
      <w:r>
        <w:rPr>
          <w:sz w:val="20"/>
          <w:vertAlign w:val="superscript"/>
        </w:rPr>
        <w:t>17</w:t>
      </w:r>
      <w:r>
        <w:rPr>
          <w:spacing w:val="33"/>
          <w:sz w:val="20"/>
        </w:rPr>
        <w:t xml:space="preserve"> </w:t>
      </w:r>
      <w:r>
        <w:rPr>
          <w:sz w:val="20"/>
        </w:rPr>
        <w:t>POZZO,</w:t>
      </w:r>
      <w:r>
        <w:rPr>
          <w:spacing w:val="80"/>
          <w:w w:val="150"/>
          <w:sz w:val="20"/>
        </w:rPr>
        <w:t xml:space="preserve"> </w:t>
      </w:r>
      <w:r>
        <w:rPr>
          <w:sz w:val="20"/>
        </w:rPr>
        <w:t>Augusto;</w:t>
      </w:r>
      <w:r>
        <w:rPr>
          <w:spacing w:val="80"/>
          <w:w w:val="150"/>
          <w:sz w:val="20"/>
        </w:rPr>
        <w:t xml:space="preserve"> </w:t>
      </w:r>
      <w:r>
        <w:rPr>
          <w:sz w:val="20"/>
        </w:rPr>
        <w:t>CAMMAROSANO,</w:t>
      </w:r>
      <w:r>
        <w:rPr>
          <w:spacing w:val="80"/>
          <w:w w:val="150"/>
          <w:sz w:val="20"/>
        </w:rPr>
        <w:t xml:space="preserve"> </w:t>
      </w:r>
      <w:r>
        <w:rPr>
          <w:sz w:val="20"/>
        </w:rPr>
        <w:t>Márcio;</w:t>
      </w:r>
      <w:r>
        <w:rPr>
          <w:spacing w:val="80"/>
          <w:w w:val="150"/>
          <w:sz w:val="20"/>
        </w:rPr>
        <w:t xml:space="preserve"> </w:t>
      </w:r>
      <w:r>
        <w:rPr>
          <w:sz w:val="20"/>
        </w:rPr>
        <w:t>ZOCKUN,</w:t>
      </w:r>
      <w:r>
        <w:rPr>
          <w:spacing w:val="80"/>
          <w:w w:val="150"/>
          <w:sz w:val="20"/>
        </w:rPr>
        <w:t xml:space="preserve"> </w:t>
      </w:r>
      <w:r>
        <w:rPr>
          <w:sz w:val="20"/>
        </w:rPr>
        <w:t>Maurício.</w:t>
      </w:r>
      <w:r>
        <w:rPr>
          <w:spacing w:val="80"/>
          <w:w w:val="150"/>
          <w:sz w:val="20"/>
        </w:rPr>
        <w:t xml:space="preserve"> </w:t>
      </w:r>
      <w:r>
        <w:rPr>
          <w:b/>
          <w:sz w:val="20"/>
        </w:rPr>
        <w:t>Lei</w:t>
      </w:r>
      <w:r>
        <w:rPr>
          <w:b/>
          <w:spacing w:val="80"/>
          <w:w w:val="150"/>
          <w:sz w:val="20"/>
        </w:rPr>
        <w:t xml:space="preserve"> </w:t>
      </w:r>
      <w:r>
        <w:rPr>
          <w:b/>
          <w:sz w:val="20"/>
        </w:rPr>
        <w:t>de</w:t>
      </w:r>
      <w:r>
        <w:rPr>
          <w:b/>
          <w:spacing w:val="80"/>
          <w:w w:val="150"/>
          <w:sz w:val="20"/>
        </w:rPr>
        <w:t xml:space="preserve"> </w:t>
      </w:r>
      <w:r>
        <w:rPr>
          <w:b/>
          <w:sz w:val="20"/>
        </w:rPr>
        <w:t>Licitações</w:t>
      </w:r>
      <w:r>
        <w:rPr>
          <w:b/>
          <w:spacing w:val="80"/>
          <w:w w:val="150"/>
          <w:sz w:val="20"/>
        </w:rPr>
        <w:t xml:space="preserve"> </w:t>
      </w:r>
      <w:r>
        <w:rPr>
          <w:b/>
          <w:sz w:val="20"/>
        </w:rPr>
        <w:t>e Contratos</w:t>
      </w:r>
      <w:r>
        <w:rPr>
          <w:b/>
          <w:spacing w:val="-4"/>
          <w:sz w:val="20"/>
        </w:rPr>
        <w:t xml:space="preserve"> </w:t>
      </w:r>
      <w:r>
        <w:rPr>
          <w:b/>
          <w:sz w:val="20"/>
        </w:rPr>
        <w:t>Administrativos</w:t>
      </w:r>
      <w:r>
        <w:rPr>
          <w:b/>
          <w:spacing w:val="-3"/>
          <w:sz w:val="20"/>
        </w:rPr>
        <w:t xml:space="preserve"> </w:t>
      </w:r>
      <w:r>
        <w:rPr>
          <w:b/>
          <w:sz w:val="20"/>
        </w:rPr>
        <w:t>Comentada</w:t>
      </w:r>
      <w:r>
        <w:rPr>
          <w:b/>
          <w:spacing w:val="-3"/>
          <w:sz w:val="20"/>
        </w:rPr>
        <w:t xml:space="preserve"> </w:t>
      </w:r>
      <w:r>
        <w:rPr>
          <w:sz w:val="20"/>
        </w:rPr>
        <w:t>(Lei</w:t>
      </w:r>
      <w:r>
        <w:rPr>
          <w:spacing w:val="-5"/>
          <w:sz w:val="20"/>
        </w:rPr>
        <w:t xml:space="preserve"> </w:t>
      </w:r>
      <w:r>
        <w:rPr>
          <w:sz w:val="20"/>
        </w:rPr>
        <w:t>14.133/21),</w:t>
      </w:r>
      <w:r>
        <w:rPr>
          <w:spacing w:val="-6"/>
          <w:sz w:val="20"/>
        </w:rPr>
        <w:t xml:space="preserve"> </w:t>
      </w:r>
      <w:r>
        <w:rPr>
          <w:sz w:val="20"/>
        </w:rPr>
        <w:t>1.</w:t>
      </w:r>
      <w:r>
        <w:rPr>
          <w:spacing w:val="-7"/>
          <w:sz w:val="20"/>
        </w:rPr>
        <w:t xml:space="preserve"> </w:t>
      </w:r>
      <w:r>
        <w:rPr>
          <w:sz w:val="20"/>
        </w:rPr>
        <w:t>ed.,</w:t>
      </w:r>
      <w:r>
        <w:rPr>
          <w:spacing w:val="-4"/>
          <w:sz w:val="20"/>
        </w:rPr>
        <w:t xml:space="preserve"> </w:t>
      </w:r>
      <w:r>
        <w:rPr>
          <w:sz w:val="20"/>
        </w:rPr>
        <w:t>São</w:t>
      </w:r>
      <w:r>
        <w:rPr>
          <w:spacing w:val="-5"/>
          <w:sz w:val="20"/>
        </w:rPr>
        <w:t xml:space="preserve"> </w:t>
      </w:r>
      <w:r>
        <w:rPr>
          <w:sz w:val="20"/>
        </w:rPr>
        <w:t>Paulo:</w:t>
      </w:r>
      <w:r>
        <w:rPr>
          <w:spacing w:val="-7"/>
          <w:sz w:val="20"/>
        </w:rPr>
        <w:t xml:space="preserve"> </w:t>
      </w:r>
      <w:r>
        <w:rPr>
          <w:sz w:val="20"/>
        </w:rPr>
        <w:t>Revista</w:t>
      </w:r>
      <w:r>
        <w:rPr>
          <w:spacing w:val="-5"/>
          <w:sz w:val="20"/>
        </w:rPr>
        <w:t xml:space="preserve"> </w:t>
      </w:r>
      <w:r>
        <w:rPr>
          <w:sz w:val="20"/>
        </w:rPr>
        <w:t>dos</w:t>
      </w:r>
      <w:r>
        <w:rPr>
          <w:spacing w:val="-7"/>
          <w:sz w:val="20"/>
        </w:rPr>
        <w:t xml:space="preserve"> </w:t>
      </w:r>
      <w:r>
        <w:rPr>
          <w:sz w:val="20"/>
        </w:rPr>
        <w:t>Tribunais,</w:t>
      </w:r>
      <w:r>
        <w:rPr>
          <w:spacing w:val="-2"/>
          <w:sz w:val="20"/>
        </w:rPr>
        <w:t xml:space="preserve"> 2022,</w:t>
      </w:r>
    </w:p>
    <w:p w:rsidR="007259F2" w:rsidRDefault="00E655B4">
      <w:pPr>
        <w:ind w:left="710"/>
        <w:rPr>
          <w:sz w:val="20"/>
        </w:rPr>
      </w:pPr>
      <w:r>
        <w:rPr>
          <w:spacing w:val="-4"/>
          <w:sz w:val="20"/>
        </w:rPr>
        <w:t>p.</w:t>
      </w:r>
      <w:r>
        <w:rPr>
          <w:spacing w:val="-1"/>
          <w:sz w:val="20"/>
        </w:rPr>
        <w:t xml:space="preserve"> </w:t>
      </w:r>
      <w:r>
        <w:rPr>
          <w:spacing w:val="-4"/>
          <w:sz w:val="20"/>
        </w:rPr>
        <w:t>RL-1.42.</w:t>
      </w:r>
    </w:p>
    <w:p w:rsidR="007259F2" w:rsidRDefault="007259F2">
      <w:pPr>
        <w:rPr>
          <w:sz w:val="20"/>
        </w:rPr>
        <w:sectPr w:rsidR="007259F2">
          <w:pgSz w:w="11910" w:h="16840"/>
          <w:pgMar w:top="1320" w:right="708" w:bottom="1160" w:left="992" w:header="0" w:footer="962" w:gutter="0"/>
          <w:cols w:space="720"/>
        </w:sectPr>
      </w:pPr>
    </w:p>
    <w:p w:rsidR="007259F2" w:rsidRDefault="00E655B4">
      <w:pPr>
        <w:pStyle w:val="PargrafodaLista"/>
        <w:numPr>
          <w:ilvl w:val="0"/>
          <w:numId w:val="39"/>
        </w:numPr>
        <w:tabs>
          <w:tab w:val="left" w:pos="3161"/>
        </w:tabs>
        <w:spacing w:before="71"/>
        <w:ind w:left="3161" w:hanging="183"/>
        <w:jc w:val="both"/>
        <w:rPr>
          <w:sz w:val="20"/>
        </w:rPr>
      </w:pPr>
      <w:r>
        <w:rPr>
          <w:sz w:val="20"/>
        </w:rPr>
        <w:lastRenderedPageBreak/>
        <w:t xml:space="preserve">- </w:t>
      </w:r>
      <w:r>
        <w:rPr>
          <w:spacing w:val="-2"/>
          <w:sz w:val="20"/>
        </w:rPr>
        <w:t>multa.</w:t>
      </w:r>
    </w:p>
    <w:p w:rsidR="007259F2" w:rsidRDefault="00E655B4">
      <w:pPr>
        <w:ind w:left="2978" w:right="993"/>
        <w:jc w:val="both"/>
        <w:rPr>
          <w:sz w:val="20"/>
        </w:rPr>
      </w:pPr>
      <w:r>
        <w:rPr>
          <w:sz w:val="20"/>
        </w:rPr>
        <w:t xml:space="preserve">§ 1º - Para a caracterização da gravidade da infração, deverão ser considerados o prejuízo ou a lesão ao erário, a improbidade, a violação do interesse público, a reincidência e eventuais circunstâncias agravantes ou </w:t>
      </w:r>
      <w:r>
        <w:rPr>
          <w:spacing w:val="-2"/>
          <w:sz w:val="20"/>
        </w:rPr>
        <w:t>atenuantes.</w:t>
      </w:r>
    </w:p>
    <w:p w:rsidR="007259F2" w:rsidRDefault="00E655B4">
      <w:pPr>
        <w:spacing w:before="2"/>
        <w:ind w:left="2978" w:right="993"/>
        <w:jc w:val="both"/>
        <w:rPr>
          <w:sz w:val="20"/>
        </w:rPr>
      </w:pPr>
      <w:r>
        <w:rPr>
          <w:sz w:val="20"/>
        </w:rPr>
        <w:t>§ 2º - A multa será aplicada por ilegalidades ou irregularidades na execução da despesa pública, pela desobediência aos prazos fixados em lei, neste Regimento ou em Instruções do Tribunal e pela prática das infrações estabelecidas nos incisos I a IV, do artigo</w:t>
      </w:r>
      <w:r>
        <w:rPr>
          <w:spacing w:val="64"/>
          <w:sz w:val="20"/>
        </w:rPr>
        <w:t xml:space="preserve"> </w:t>
      </w:r>
      <w:r>
        <w:rPr>
          <w:sz w:val="20"/>
        </w:rPr>
        <w:t>55, da Lei Municipal nº 9.167, de</w:t>
      </w:r>
      <w:r>
        <w:rPr>
          <w:spacing w:val="40"/>
          <w:sz w:val="20"/>
        </w:rPr>
        <w:t xml:space="preserve"> </w:t>
      </w:r>
      <w:r>
        <w:rPr>
          <w:sz w:val="20"/>
        </w:rPr>
        <w:t>3 de dezembro de 1980.</w:t>
      </w:r>
    </w:p>
    <w:p w:rsidR="007259F2" w:rsidRDefault="007259F2">
      <w:pPr>
        <w:pStyle w:val="Corpodetexto"/>
        <w:spacing w:before="44"/>
        <w:ind w:left="0" w:firstLine="0"/>
        <w:jc w:val="left"/>
        <w:rPr>
          <w:sz w:val="20"/>
        </w:rPr>
      </w:pPr>
    </w:p>
    <w:p w:rsidR="007259F2" w:rsidRDefault="00E655B4">
      <w:pPr>
        <w:pStyle w:val="Corpodetexto"/>
        <w:ind w:right="995"/>
      </w:pPr>
      <w:r>
        <w:t>Vale mencionar jurisprudência do Tribunal de Contas do Município de São Paulo, em que a contratação direta por dispensa emergencial foi declarada irregular em razão da emergência fabricada e, por consequência, aplicada multa aos agentes</w:t>
      </w:r>
      <w:r>
        <w:rPr>
          <w:spacing w:val="80"/>
        </w:rPr>
        <w:t xml:space="preserve"> </w:t>
      </w:r>
      <w:r>
        <w:rPr>
          <w:spacing w:val="-2"/>
        </w:rPr>
        <w:t>públicos:</w:t>
      </w:r>
    </w:p>
    <w:p w:rsidR="007259F2" w:rsidRDefault="007259F2">
      <w:pPr>
        <w:pStyle w:val="Corpodetexto"/>
        <w:spacing w:before="2"/>
        <w:ind w:left="0" w:firstLine="0"/>
        <w:jc w:val="left"/>
      </w:pPr>
    </w:p>
    <w:p w:rsidR="007259F2" w:rsidRDefault="00E655B4">
      <w:pPr>
        <w:spacing w:before="1" w:line="229" w:lineRule="exact"/>
        <w:ind w:left="2978"/>
        <w:jc w:val="both"/>
        <w:rPr>
          <w:sz w:val="20"/>
        </w:rPr>
      </w:pPr>
      <w:r>
        <w:rPr>
          <w:sz w:val="20"/>
        </w:rPr>
        <w:t>A</w:t>
      </w:r>
      <w:r>
        <w:rPr>
          <w:spacing w:val="-4"/>
          <w:sz w:val="20"/>
        </w:rPr>
        <w:t xml:space="preserve"> </w:t>
      </w:r>
      <w:r>
        <w:rPr>
          <w:sz w:val="20"/>
        </w:rPr>
        <w:t>C</w:t>
      </w:r>
      <w:r>
        <w:rPr>
          <w:spacing w:val="-2"/>
          <w:sz w:val="20"/>
        </w:rPr>
        <w:t xml:space="preserve"> </w:t>
      </w:r>
      <w:r>
        <w:rPr>
          <w:sz w:val="20"/>
        </w:rPr>
        <w:t>Ó</w:t>
      </w:r>
      <w:r>
        <w:rPr>
          <w:spacing w:val="-4"/>
          <w:sz w:val="20"/>
        </w:rPr>
        <w:t xml:space="preserve"> </w:t>
      </w:r>
      <w:r>
        <w:rPr>
          <w:sz w:val="20"/>
        </w:rPr>
        <w:t>R</w:t>
      </w:r>
      <w:r>
        <w:rPr>
          <w:spacing w:val="-2"/>
          <w:sz w:val="20"/>
        </w:rPr>
        <w:t xml:space="preserve"> </w:t>
      </w:r>
      <w:r>
        <w:rPr>
          <w:sz w:val="20"/>
        </w:rPr>
        <w:t>D</w:t>
      </w:r>
      <w:r>
        <w:rPr>
          <w:spacing w:val="1"/>
          <w:sz w:val="20"/>
        </w:rPr>
        <w:t xml:space="preserve"> </w:t>
      </w:r>
      <w:r>
        <w:rPr>
          <w:sz w:val="20"/>
        </w:rPr>
        <w:t>Ã</w:t>
      </w:r>
      <w:r>
        <w:rPr>
          <w:spacing w:val="-6"/>
          <w:sz w:val="20"/>
        </w:rPr>
        <w:t xml:space="preserve"> </w:t>
      </w:r>
      <w:r>
        <w:rPr>
          <w:spacing w:val="-10"/>
          <w:sz w:val="20"/>
        </w:rPr>
        <w:t>O</w:t>
      </w:r>
    </w:p>
    <w:p w:rsidR="007259F2" w:rsidRDefault="00E655B4">
      <w:pPr>
        <w:ind w:left="2978" w:right="989"/>
        <w:jc w:val="both"/>
        <w:rPr>
          <w:sz w:val="20"/>
        </w:rPr>
      </w:pPr>
      <w:r>
        <w:rPr>
          <w:sz w:val="20"/>
        </w:rPr>
        <w:t>Vistos, relatados englobadamente com os TCs 72.003.009-05-50, 72.001.733.06-67 e 72.004.443.06-93, e discutidos estes autos, dos quais é Relator o Conselheiro EDSON SIMÕES</w:t>
      </w:r>
    </w:p>
    <w:p w:rsidR="007259F2" w:rsidRDefault="00E655B4">
      <w:pPr>
        <w:ind w:left="2978" w:right="987"/>
        <w:jc w:val="both"/>
        <w:rPr>
          <w:sz w:val="20"/>
        </w:rPr>
      </w:pPr>
      <w:r>
        <w:rPr>
          <w:sz w:val="20"/>
        </w:rPr>
        <w:t>ACORDAM os Conselheiros do Tribunal de Contas do Município de São Paulo,</w:t>
      </w:r>
      <w:r>
        <w:rPr>
          <w:spacing w:val="-1"/>
          <w:sz w:val="20"/>
        </w:rPr>
        <w:t xml:space="preserve"> </w:t>
      </w:r>
      <w:r>
        <w:rPr>
          <w:sz w:val="20"/>
        </w:rPr>
        <w:t>à</w:t>
      </w:r>
      <w:r>
        <w:rPr>
          <w:spacing w:val="-1"/>
          <w:sz w:val="20"/>
        </w:rPr>
        <w:t xml:space="preserve"> </w:t>
      </w:r>
      <w:r>
        <w:rPr>
          <w:sz w:val="20"/>
        </w:rPr>
        <w:t>unanimidade, de</w:t>
      </w:r>
      <w:r>
        <w:rPr>
          <w:spacing w:val="-3"/>
          <w:sz w:val="20"/>
        </w:rPr>
        <w:t xml:space="preserve"> </w:t>
      </w:r>
      <w:r>
        <w:rPr>
          <w:sz w:val="20"/>
        </w:rPr>
        <w:t>conformidade</w:t>
      </w:r>
      <w:r>
        <w:rPr>
          <w:spacing w:val="-1"/>
          <w:sz w:val="20"/>
        </w:rPr>
        <w:t xml:space="preserve"> </w:t>
      </w:r>
      <w:r>
        <w:rPr>
          <w:sz w:val="20"/>
        </w:rPr>
        <w:t>com</w:t>
      </w:r>
      <w:r>
        <w:rPr>
          <w:spacing w:val="-7"/>
          <w:sz w:val="20"/>
        </w:rPr>
        <w:t xml:space="preserve"> </w:t>
      </w:r>
      <w:r>
        <w:rPr>
          <w:sz w:val="20"/>
        </w:rPr>
        <w:t>o</w:t>
      </w:r>
      <w:r>
        <w:rPr>
          <w:spacing w:val="-2"/>
          <w:sz w:val="20"/>
        </w:rPr>
        <w:t xml:space="preserve"> </w:t>
      </w:r>
      <w:r>
        <w:rPr>
          <w:sz w:val="20"/>
        </w:rPr>
        <w:t>relatório</w:t>
      </w:r>
      <w:r>
        <w:rPr>
          <w:spacing w:val="-1"/>
          <w:sz w:val="20"/>
        </w:rPr>
        <w:t xml:space="preserve"> </w:t>
      </w:r>
      <w:r>
        <w:rPr>
          <w:sz w:val="20"/>
        </w:rPr>
        <w:t>e</w:t>
      </w:r>
      <w:r>
        <w:rPr>
          <w:spacing w:val="-1"/>
          <w:sz w:val="20"/>
        </w:rPr>
        <w:t xml:space="preserve"> </w:t>
      </w:r>
      <w:r>
        <w:rPr>
          <w:sz w:val="20"/>
        </w:rPr>
        <w:t>voto</w:t>
      </w:r>
      <w:r>
        <w:rPr>
          <w:spacing w:val="-1"/>
          <w:sz w:val="20"/>
        </w:rPr>
        <w:t xml:space="preserve"> </w:t>
      </w:r>
      <w:r>
        <w:rPr>
          <w:sz w:val="20"/>
        </w:rPr>
        <w:t>do</w:t>
      </w:r>
      <w:r>
        <w:rPr>
          <w:spacing w:val="-2"/>
          <w:sz w:val="20"/>
        </w:rPr>
        <w:t xml:space="preserve"> </w:t>
      </w:r>
      <w:r>
        <w:rPr>
          <w:sz w:val="20"/>
        </w:rPr>
        <w:t>Relator,</w:t>
      </w:r>
      <w:r>
        <w:rPr>
          <w:spacing w:val="-4"/>
          <w:sz w:val="20"/>
        </w:rPr>
        <w:t xml:space="preserve"> </w:t>
      </w:r>
      <w:r>
        <w:rPr>
          <w:sz w:val="20"/>
        </w:rPr>
        <w:t xml:space="preserve">em julgar irregular o Contrato 005/05-SMT.GAB, tendo em vista as seguintes </w:t>
      </w:r>
      <w:r>
        <w:rPr>
          <w:spacing w:val="-2"/>
          <w:sz w:val="20"/>
        </w:rPr>
        <w:t>impropriedades:</w:t>
      </w:r>
    </w:p>
    <w:p w:rsidR="007259F2" w:rsidRDefault="00E655B4">
      <w:pPr>
        <w:pStyle w:val="PargrafodaLista"/>
        <w:numPr>
          <w:ilvl w:val="1"/>
          <w:numId w:val="39"/>
        </w:numPr>
        <w:tabs>
          <w:tab w:val="left" w:pos="3210"/>
        </w:tabs>
        <w:spacing w:line="229" w:lineRule="exact"/>
        <w:ind w:left="3210" w:hanging="232"/>
        <w:jc w:val="both"/>
        <w:rPr>
          <w:sz w:val="20"/>
        </w:rPr>
      </w:pPr>
      <w:r>
        <w:rPr>
          <w:sz w:val="20"/>
        </w:rPr>
        <w:t>não</w:t>
      </w:r>
      <w:r>
        <w:rPr>
          <w:spacing w:val="21"/>
          <w:sz w:val="20"/>
        </w:rPr>
        <w:t xml:space="preserve"> </w:t>
      </w:r>
      <w:r>
        <w:rPr>
          <w:sz w:val="20"/>
        </w:rPr>
        <w:t>caracterização</w:t>
      </w:r>
      <w:r>
        <w:rPr>
          <w:spacing w:val="21"/>
          <w:sz w:val="20"/>
        </w:rPr>
        <w:t xml:space="preserve"> </w:t>
      </w:r>
      <w:r>
        <w:rPr>
          <w:sz w:val="20"/>
        </w:rPr>
        <w:t>da</w:t>
      </w:r>
      <w:r>
        <w:rPr>
          <w:spacing w:val="19"/>
          <w:sz w:val="20"/>
        </w:rPr>
        <w:t xml:space="preserve"> </w:t>
      </w:r>
      <w:r>
        <w:rPr>
          <w:sz w:val="20"/>
        </w:rPr>
        <w:t>situação</w:t>
      </w:r>
      <w:r>
        <w:rPr>
          <w:spacing w:val="22"/>
          <w:sz w:val="20"/>
        </w:rPr>
        <w:t xml:space="preserve"> </w:t>
      </w:r>
      <w:r>
        <w:rPr>
          <w:sz w:val="20"/>
        </w:rPr>
        <w:t>emergencial,</w:t>
      </w:r>
      <w:r>
        <w:rPr>
          <w:spacing w:val="22"/>
          <w:sz w:val="20"/>
        </w:rPr>
        <w:t xml:space="preserve"> </w:t>
      </w:r>
      <w:r>
        <w:rPr>
          <w:sz w:val="20"/>
        </w:rPr>
        <w:t>conforme</w:t>
      </w:r>
      <w:r>
        <w:rPr>
          <w:spacing w:val="22"/>
          <w:sz w:val="20"/>
        </w:rPr>
        <w:t xml:space="preserve"> </w:t>
      </w:r>
      <w:r>
        <w:rPr>
          <w:sz w:val="20"/>
        </w:rPr>
        <w:t>preceitua</w:t>
      </w:r>
      <w:r>
        <w:rPr>
          <w:spacing w:val="19"/>
          <w:sz w:val="20"/>
        </w:rPr>
        <w:t xml:space="preserve"> </w:t>
      </w:r>
      <w:r>
        <w:rPr>
          <w:sz w:val="20"/>
        </w:rPr>
        <w:t>o</w:t>
      </w:r>
      <w:r>
        <w:rPr>
          <w:spacing w:val="20"/>
          <w:sz w:val="20"/>
        </w:rPr>
        <w:t xml:space="preserve"> </w:t>
      </w:r>
      <w:r>
        <w:rPr>
          <w:spacing w:val="-2"/>
          <w:sz w:val="20"/>
        </w:rPr>
        <w:t>inciso</w:t>
      </w:r>
    </w:p>
    <w:p w:rsidR="007259F2" w:rsidRDefault="00E655B4">
      <w:pPr>
        <w:ind w:left="2978" w:right="988"/>
        <w:jc w:val="both"/>
        <w:rPr>
          <w:sz w:val="20"/>
        </w:rPr>
      </w:pPr>
      <w:r>
        <w:rPr>
          <w:sz w:val="20"/>
        </w:rPr>
        <w:t>IV do artigo 24 da Lei Federal 8.666/93, não sendo possível alegar a emergência para situação previsível, como é o caso dos autos, que trata da continuidade da prestação de serviços de transportes coletivo público de passageiros na Cidade de São Paulo, os quais</w:t>
      </w:r>
      <w:r>
        <w:rPr>
          <w:spacing w:val="-5"/>
          <w:sz w:val="20"/>
        </w:rPr>
        <w:t xml:space="preserve"> </w:t>
      </w:r>
      <w:r>
        <w:rPr>
          <w:sz w:val="20"/>
        </w:rPr>
        <w:t>já</w:t>
      </w:r>
      <w:r>
        <w:rPr>
          <w:spacing w:val="-5"/>
          <w:sz w:val="20"/>
        </w:rPr>
        <w:t xml:space="preserve"> </w:t>
      </w:r>
      <w:r>
        <w:rPr>
          <w:sz w:val="20"/>
        </w:rPr>
        <w:t>se encontravam</w:t>
      </w:r>
      <w:r>
        <w:rPr>
          <w:spacing w:val="-3"/>
          <w:sz w:val="20"/>
        </w:rPr>
        <w:t xml:space="preserve"> </w:t>
      </w:r>
      <w:r>
        <w:rPr>
          <w:sz w:val="20"/>
        </w:rPr>
        <w:t>em</w:t>
      </w:r>
      <w:r>
        <w:rPr>
          <w:spacing w:val="-4"/>
          <w:sz w:val="20"/>
        </w:rPr>
        <w:t xml:space="preserve"> </w:t>
      </w:r>
      <w:r>
        <w:rPr>
          <w:sz w:val="20"/>
        </w:rPr>
        <w:t>execução por meio da contratação emergencial 240/2004;</w:t>
      </w:r>
    </w:p>
    <w:p w:rsidR="007259F2" w:rsidRDefault="00E655B4">
      <w:pPr>
        <w:pStyle w:val="PargrafodaLista"/>
        <w:numPr>
          <w:ilvl w:val="1"/>
          <w:numId w:val="39"/>
        </w:numPr>
        <w:tabs>
          <w:tab w:val="left" w:pos="3243"/>
        </w:tabs>
        <w:ind w:left="2978" w:right="988" w:firstLine="0"/>
        <w:jc w:val="both"/>
        <w:rPr>
          <w:sz w:val="20"/>
        </w:rPr>
      </w:pPr>
      <w:r>
        <w:rPr>
          <w:sz w:val="20"/>
        </w:rPr>
        <w:t>inexistência, no processo, de planilha contendo a composição do preço contratado, contrariando o preceituado no inciso III do artigo 55 da Lei Federal 8.666/93;</w:t>
      </w:r>
    </w:p>
    <w:p w:rsidR="007259F2" w:rsidRDefault="00E655B4">
      <w:pPr>
        <w:pStyle w:val="PargrafodaLista"/>
        <w:numPr>
          <w:ilvl w:val="1"/>
          <w:numId w:val="39"/>
        </w:numPr>
        <w:tabs>
          <w:tab w:val="left" w:pos="3222"/>
        </w:tabs>
        <w:spacing w:before="2"/>
        <w:ind w:left="2978" w:right="995" w:firstLine="0"/>
        <w:jc w:val="both"/>
        <w:rPr>
          <w:sz w:val="20"/>
        </w:rPr>
      </w:pPr>
      <w:r>
        <w:rPr>
          <w:sz w:val="20"/>
        </w:rPr>
        <w:t>ausência de justificativa do valor contratado, infringindo o disposto no artigo 26, inciso III, da Lei Federal 8.666/93 e no artigo 12 do Decreto Municipal 44.279/03;</w:t>
      </w:r>
    </w:p>
    <w:p w:rsidR="007259F2" w:rsidRDefault="00E655B4">
      <w:pPr>
        <w:pStyle w:val="PargrafodaLista"/>
        <w:numPr>
          <w:ilvl w:val="1"/>
          <w:numId w:val="39"/>
        </w:numPr>
        <w:tabs>
          <w:tab w:val="left" w:pos="3195"/>
        </w:tabs>
        <w:ind w:left="2978" w:right="986" w:firstLine="0"/>
        <w:jc w:val="both"/>
        <w:rPr>
          <w:sz w:val="20"/>
        </w:rPr>
      </w:pPr>
      <w:r>
        <w:rPr>
          <w:sz w:val="20"/>
        </w:rPr>
        <w:t>constatação</w:t>
      </w:r>
      <w:r>
        <w:rPr>
          <w:spacing w:val="-13"/>
          <w:sz w:val="20"/>
        </w:rPr>
        <w:t xml:space="preserve"> </w:t>
      </w:r>
      <w:r>
        <w:rPr>
          <w:sz w:val="20"/>
        </w:rPr>
        <w:t>de</w:t>
      </w:r>
      <w:r>
        <w:rPr>
          <w:spacing w:val="-12"/>
          <w:sz w:val="20"/>
        </w:rPr>
        <w:t xml:space="preserve"> </w:t>
      </w:r>
      <w:r>
        <w:rPr>
          <w:sz w:val="20"/>
        </w:rPr>
        <w:t>que</w:t>
      </w:r>
      <w:r>
        <w:rPr>
          <w:spacing w:val="-13"/>
          <w:sz w:val="20"/>
        </w:rPr>
        <w:t xml:space="preserve"> </w:t>
      </w:r>
      <w:r>
        <w:rPr>
          <w:sz w:val="20"/>
        </w:rPr>
        <w:t>a</w:t>
      </w:r>
      <w:r>
        <w:rPr>
          <w:spacing w:val="-12"/>
          <w:sz w:val="20"/>
        </w:rPr>
        <w:t xml:space="preserve"> </w:t>
      </w:r>
      <w:r>
        <w:rPr>
          <w:sz w:val="20"/>
        </w:rPr>
        <w:t>frota,</w:t>
      </w:r>
      <w:r>
        <w:rPr>
          <w:spacing w:val="-11"/>
          <w:sz w:val="20"/>
        </w:rPr>
        <w:t xml:space="preserve"> </w:t>
      </w:r>
      <w:r>
        <w:rPr>
          <w:sz w:val="20"/>
        </w:rPr>
        <w:t>formada</w:t>
      </w:r>
      <w:r>
        <w:rPr>
          <w:spacing w:val="-11"/>
          <w:sz w:val="20"/>
        </w:rPr>
        <w:t xml:space="preserve"> </w:t>
      </w:r>
      <w:r>
        <w:rPr>
          <w:sz w:val="20"/>
        </w:rPr>
        <w:t>por</w:t>
      </w:r>
      <w:r>
        <w:rPr>
          <w:spacing w:val="-13"/>
          <w:sz w:val="20"/>
        </w:rPr>
        <w:t xml:space="preserve"> </w:t>
      </w:r>
      <w:r>
        <w:rPr>
          <w:sz w:val="20"/>
        </w:rPr>
        <w:t>um</w:t>
      </w:r>
      <w:r>
        <w:rPr>
          <w:spacing w:val="-12"/>
          <w:sz w:val="20"/>
        </w:rPr>
        <w:t xml:space="preserve"> </w:t>
      </w:r>
      <w:r>
        <w:rPr>
          <w:sz w:val="20"/>
        </w:rPr>
        <w:t>total</w:t>
      </w:r>
      <w:r>
        <w:rPr>
          <w:spacing w:val="-13"/>
          <w:sz w:val="20"/>
        </w:rPr>
        <w:t xml:space="preserve"> </w:t>
      </w:r>
      <w:r>
        <w:rPr>
          <w:sz w:val="20"/>
        </w:rPr>
        <w:t>de</w:t>
      </w:r>
      <w:r>
        <w:rPr>
          <w:spacing w:val="-12"/>
          <w:sz w:val="20"/>
        </w:rPr>
        <w:t xml:space="preserve"> </w:t>
      </w:r>
      <w:r>
        <w:rPr>
          <w:sz w:val="20"/>
        </w:rPr>
        <w:t>368</w:t>
      </w:r>
      <w:r>
        <w:rPr>
          <w:spacing w:val="-9"/>
          <w:sz w:val="20"/>
        </w:rPr>
        <w:t xml:space="preserve"> </w:t>
      </w:r>
      <w:r>
        <w:rPr>
          <w:sz w:val="20"/>
        </w:rPr>
        <w:t>(trezentos</w:t>
      </w:r>
      <w:r>
        <w:rPr>
          <w:spacing w:val="-12"/>
          <w:sz w:val="20"/>
        </w:rPr>
        <w:t xml:space="preserve"> </w:t>
      </w:r>
      <w:r>
        <w:rPr>
          <w:sz w:val="20"/>
        </w:rPr>
        <w:t>e</w:t>
      </w:r>
      <w:r>
        <w:rPr>
          <w:spacing w:val="-12"/>
          <w:sz w:val="20"/>
        </w:rPr>
        <w:t xml:space="preserve"> </w:t>
      </w:r>
      <w:r>
        <w:rPr>
          <w:sz w:val="20"/>
        </w:rPr>
        <w:t>sessenta e</w:t>
      </w:r>
      <w:r>
        <w:rPr>
          <w:spacing w:val="-12"/>
          <w:sz w:val="20"/>
        </w:rPr>
        <w:t xml:space="preserve"> </w:t>
      </w:r>
      <w:r>
        <w:rPr>
          <w:sz w:val="20"/>
        </w:rPr>
        <w:t>oito) veículos,</w:t>
      </w:r>
      <w:r>
        <w:rPr>
          <w:spacing w:val="-1"/>
          <w:sz w:val="20"/>
        </w:rPr>
        <w:t xml:space="preserve"> </w:t>
      </w:r>
      <w:r>
        <w:rPr>
          <w:sz w:val="20"/>
        </w:rPr>
        <w:t>atingiu</w:t>
      </w:r>
      <w:r>
        <w:rPr>
          <w:spacing w:val="-2"/>
          <w:sz w:val="20"/>
        </w:rPr>
        <w:t xml:space="preserve"> </w:t>
      </w:r>
      <w:r>
        <w:rPr>
          <w:sz w:val="20"/>
        </w:rPr>
        <w:t>a</w:t>
      </w:r>
      <w:r>
        <w:rPr>
          <w:spacing w:val="-1"/>
          <w:sz w:val="20"/>
        </w:rPr>
        <w:t xml:space="preserve"> </w:t>
      </w:r>
      <w:r>
        <w:rPr>
          <w:sz w:val="20"/>
        </w:rPr>
        <w:t>idade</w:t>
      </w:r>
      <w:r>
        <w:rPr>
          <w:spacing w:val="-1"/>
          <w:sz w:val="20"/>
        </w:rPr>
        <w:t xml:space="preserve"> </w:t>
      </w:r>
      <w:r>
        <w:rPr>
          <w:sz w:val="20"/>
        </w:rPr>
        <w:t>média</w:t>
      </w:r>
      <w:r>
        <w:rPr>
          <w:spacing w:val="-1"/>
          <w:sz w:val="20"/>
        </w:rPr>
        <w:t xml:space="preserve"> </w:t>
      </w:r>
      <w:r>
        <w:rPr>
          <w:sz w:val="20"/>
        </w:rPr>
        <w:t>de</w:t>
      </w:r>
      <w:r>
        <w:rPr>
          <w:spacing w:val="-1"/>
          <w:sz w:val="20"/>
        </w:rPr>
        <w:t xml:space="preserve"> </w:t>
      </w:r>
      <w:r>
        <w:rPr>
          <w:sz w:val="20"/>
        </w:rPr>
        <w:t>6,44</w:t>
      </w:r>
      <w:r>
        <w:rPr>
          <w:spacing w:val="-2"/>
          <w:sz w:val="20"/>
        </w:rPr>
        <w:t xml:space="preserve"> </w:t>
      </w:r>
      <w:r>
        <w:rPr>
          <w:sz w:val="20"/>
        </w:rPr>
        <w:t>(seis</w:t>
      </w:r>
      <w:r>
        <w:rPr>
          <w:spacing w:val="-1"/>
          <w:sz w:val="20"/>
        </w:rPr>
        <w:t xml:space="preserve"> </w:t>
      </w:r>
      <w:r>
        <w:rPr>
          <w:sz w:val="20"/>
        </w:rPr>
        <w:t>vírgula</w:t>
      </w:r>
      <w:r>
        <w:rPr>
          <w:spacing w:val="-1"/>
          <w:sz w:val="20"/>
        </w:rPr>
        <w:t xml:space="preserve"> </w:t>
      </w:r>
      <w:r>
        <w:rPr>
          <w:sz w:val="20"/>
        </w:rPr>
        <w:t>quarenta</w:t>
      </w:r>
      <w:r>
        <w:rPr>
          <w:spacing w:val="-1"/>
          <w:sz w:val="20"/>
        </w:rPr>
        <w:t xml:space="preserve"> </w:t>
      </w:r>
      <w:r>
        <w:rPr>
          <w:sz w:val="20"/>
        </w:rPr>
        <w:t>e</w:t>
      </w:r>
      <w:r>
        <w:rPr>
          <w:spacing w:val="-1"/>
          <w:sz w:val="20"/>
        </w:rPr>
        <w:t xml:space="preserve"> </w:t>
      </w:r>
      <w:r>
        <w:rPr>
          <w:sz w:val="20"/>
        </w:rPr>
        <w:t>quatro) anos, em desacordo,</w:t>
      </w:r>
      <w:r>
        <w:rPr>
          <w:spacing w:val="-3"/>
          <w:sz w:val="20"/>
        </w:rPr>
        <w:t xml:space="preserve"> </w:t>
      </w:r>
      <w:r>
        <w:rPr>
          <w:sz w:val="20"/>
        </w:rPr>
        <w:t>portanto,</w:t>
      </w:r>
      <w:r>
        <w:rPr>
          <w:spacing w:val="-4"/>
          <w:sz w:val="20"/>
        </w:rPr>
        <w:t xml:space="preserve"> </w:t>
      </w:r>
      <w:r>
        <w:rPr>
          <w:sz w:val="20"/>
        </w:rPr>
        <w:t>com</w:t>
      </w:r>
      <w:r>
        <w:rPr>
          <w:spacing w:val="-7"/>
          <w:sz w:val="20"/>
        </w:rPr>
        <w:t xml:space="preserve"> </w:t>
      </w:r>
      <w:r>
        <w:rPr>
          <w:sz w:val="20"/>
        </w:rPr>
        <w:t>o</w:t>
      </w:r>
      <w:r>
        <w:rPr>
          <w:spacing w:val="-4"/>
          <w:sz w:val="20"/>
        </w:rPr>
        <w:t xml:space="preserve"> </w:t>
      </w:r>
      <w:r>
        <w:rPr>
          <w:sz w:val="20"/>
        </w:rPr>
        <w:t>estabelecido</w:t>
      </w:r>
      <w:r>
        <w:rPr>
          <w:spacing w:val="-3"/>
          <w:sz w:val="20"/>
        </w:rPr>
        <w:t xml:space="preserve"> </w:t>
      </w:r>
      <w:r>
        <w:rPr>
          <w:sz w:val="20"/>
        </w:rPr>
        <w:t>nos</w:t>
      </w:r>
      <w:r>
        <w:rPr>
          <w:spacing w:val="-4"/>
          <w:sz w:val="20"/>
        </w:rPr>
        <w:t xml:space="preserve"> </w:t>
      </w:r>
      <w:r>
        <w:rPr>
          <w:sz w:val="20"/>
        </w:rPr>
        <w:t>itens:</w:t>
      </w:r>
      <w:r>
        <w:rPr>
          <w:spacing w:val="-3"/>
          <w:sz w:val="20"/>
        </w:rPr>
        <w:t xml:space="preserve"> </w:t>
      </w:r>
      <w:r>
        <w:rPr>
          <w:sz w:val="20"/>
        </w:rPr>
        <w:t>4.3.9</w:t>
      </w:r>
      <w:r>
        <w:rPr>
          <w:spacing w:val="-5"/>
          <w:sz w:val="20"/>
        </w:rPr>
        <w:t xml:space="preserve"> </w:t>
      </w:r>
      <w:r>
        <w:rPr>
          <w:sz w:val="20"/>
        </w:rPr>
        <w:t>do</w:t>
      </w:r>
      <w:r>
        <w:rPr>
          <w:spacing w:val="-4"/>
          <w:sz w:val="20"/>
        </w:rPr>
        <w:t xml:space="preserve"> </w:t>
      </w:r>
      <w:r>
        <w:rPr>
          <w:sz w:val="20"/>
        </w:rPr>
        <w:t>termo</w:t>
      </w:r>
      <w:r>
        <w:rPr>
          <w:spacing w:val="-4"/>
          <w:sz w:val="20"/>
        </w:rPr>
        <w:t xml:space="preserve"> </w:t>
      </w:r>
      <w:r>
        <w:rPr>
          <w:sz w:val="20"/>
        </w:rPr>
        <w:t>de referência e 3.10 do contrato, que estabelecem idade média máxima não superior a 5 (cinco) anos. ACORDAM, ademais, à unanimidade, em não aceitar os efeitos financeiros do ajuste. ACORDAM, ainda, à unanimidade, em razão das irregularidades verificadas, em aplicar, individualmente, aos agentes</w:t>
      </w:r>
      <w:r>
        <w:rPr>
          <w:spacing w:val="-2"/>
          <w:sz w:val="20"/>
        </w:rPr>
        <w:t xml:space="preserve"> </w:t>
      </w:r>
      <w:r>
        <w:rPr>
          <w:sz w:val="20"/>
        </w:rPr>
        <w:t>públicos</w:t>
      </w:r>
      <w:r>
        <w:rPr>
          <w:spacing w:val="-2"/>
          <w:sz w:val="20"/>
        </w:rPr>
        <w:t xml:space="preserve"> </w:t>
      </w:r>
      <w:r>
        <w:rPr>
          <w:sz w:val="20"/>
        </w:rPr>
        <w:t>responsáveis,</w:t>
      </w:r>
      <w:r>
        <w:rPr>
          <w:spacing w:val="-2"/>
          <w:sz w:val="20"/>
        </w:rPr>
        <w:t xml:space="preserve"> </w:t>
      </w:r>
      <w:r>
        <w:rPr>
          <w:sz w:val="20"/>
        </w:rPr>
        <w:t>a multa no valor</w:t>
      </w:r>
      <w:r>
        <w:rPr>
          <w:spacing w:val="-1"/>
          <w:sz w:val="20"/>
        </w:rPr>
        <w:t xml:space="preserve"> </w:t>
      </w:r>
      <w:r>
        <w:rPr>
          <w:sz w:val="20"/>
        </w:rPr>
        <w:t>de</w:t>
      </w:r>
      <w:r>
        <w:rPr>
          <w:spacing w:val="-2"/>
          <w:sz w:val="20"/>
        </w:rPr>
        <w:t xml:space="preserve"> </w:t>
      </w:r>
      <w:r>
        <w:rPr>
          <w:sz w:val="20"/>
        </w:rPr>
        <w:t>R$</w:t>
      </w:r>
      <w:r>
        <w:rPr>
          <w:spacing w:val="-1"/>
          <w:sz w:val="20"/>
        </w:rPr>
        <w:t xml:space="preserve"> </w:t>
      </w:r>
      <w:r>
        <w:rPr>
          <w:sz w:val="20"/>
        </w:rPr>
        <w:t>481,02 (quatrocentos</w:t>
      </w:r>
      <w:r>
        <w:rPr>
          <w:spacing w:val="-3"/>
          <w:sz w:val="20"/>
        </w:rPr>
        <w:t xml:space="preserve"> </w:t>
      </w:r>
      <w:r>
        <w:rPr>
          <w:sz w:val="20"/>
        </w:rPr>
        <w:t>e oitenta</w:t>
      </w:r>
      <w:r>
        <w:rPr>
          <w:spacing w:val="-9"/>
          <w:sz w:val="20"/>
        </w:rPr>
        <w:t xml:space="preserve"> </w:t>
      </w:r>
      <w:r>
        <w:rPr>
          <w:sz w:val="20"/>
        </w:rPr>
        <w:t>e</w:t>
      </w:r>
      <w:r>
        <w:rPr>
          <w:spacing w:val="-2"/>
          <w:sz w:val="20"/>
        </w:rPr>
        <w:t xml:space="preserve"> </w:t>
      </w:r>
      <w:r>
        <w:rPr>
          <w:sz w:val="20"/>
        </w:rPr>
        <w:t>um</w:t>
      </w:r>
      <w:r>
        <w:rPr>
          <w:spacing w:val="-6"/>
          <w:sz w:val="20"/>
        </w:rPr>
        <w:t xml:space="preserve"> </w:t>
      </w:r>
      <w:r>
        <w:rPr>
          <w:sz w:val="20"/>
        </w:rPr>
        <w:t>reais</w:t>
      </w:r>
      <w:r>
        <w:rPr>
          <w:spacing w:val="-7"/>
          <w:sz w:val="20"/>
        </w:rPr>
        <w:t xml:space="preserve"> </w:t>
      </w:r>
      <w:r>
        <w:rPr>
          <w:sz w:val="20"/>
        </w:rPr>
        <w:t>e</w:t>
      </w:r>
      <w:r>
        <w:rPr>
          <w:spacing w:val="-4"/>
          <w:sz w:val="20"/>
        </w:rPr>
        <w:t xml:space="preserve"> </w:t>
      </w:r>
      <w:r>
        <w:rPr>
          <w:sz w:val="20"/>
        </w:rPr>
        <w:t>dois</w:t>
      </w:r>
      <w:r>
        <w:rPr>
          <w:spacing w:val="-7"/>
          <w:sz w:val="20"/>
        </w:rPr>
        <w:t xml:space="preserve"> </w:t>
      </w:r>
      <w:r>
        <w:rPr>
          <w:sz w:val="20"/>
        </w:rPr>
        <w:t>centavos),</w:t>
      </w:r>
      <w:r>
        <w:rPr>
          <w:spacing w:val="-3"/>
          <w:sz w:val="20"/>
        </w:rPr>
        <w:t xml:space="preserve"> </w:t>
      </w:r>
      <w:r>
        <w:rPr>
          <w:sz w:val="20"/>
        </w:rPr>
        <w:t>nos</w:t>
      </w:r>
      <w:r>
        <w:rPr>
          <w:spacing w:val="-3"/>
          <w:sz w:val="20"/>
        </w:rPr>
        <w:t xml:space="preserve"> </w:t>
      </w:r>
      <w:r>
        <w:rPr>
          <w:sz w:val="20"/>
        </w:rPr>
        <w:t>termos</w:t>
      </w:r>
      <w:r>
        <w:rPr>
          <w:spacing w:val="-2"/>
          <w:sz w:val="20"/>
        </w:rPr>
        <w:t xml:space="preserve"> </w:t>
      </w:r>
      <w:r>
        <w:rPr>
          <w:sz w:val="20"/>
        </w:rPr>
        <w:t>do</w:t>
      </w:r>
      <w:r>
        <w:rPr>
          <w:spacing w:val="-3"/>
          <w:sz w:val="20"/>
        </w:rPr>
        <w:t xml:space="preserve"> </w:t>
      </w:r>
      <w:r>
        <w:rPr>
          <w:sz w:val="20"/>
        </w:rPr>
        <w:t>inciso</w:t>
      </w:r>
      <w:r>
        <w:rPr>
          <w:spacing w:val="-4"/>
          <w:sz w:val="20"/>
        </w:rPr>
        <w:t xml:space="preserve"> </w:t>
      </w:r>
      <w:r>
        <w:rPr>
          <w:sz w:val="20"/>
        </w:rPr>
        <w:t>II</w:t>
      </w:r>
      <w:r>
        <w:rPr>
          <w:spacing w:val="-4"/>
          <w:sz w:val="20"/>
        </w:rPr>
        <w:t xml:space="preserve"> </w:t>
      </w:r>
      <w:r>
        <w:rPr>
          <w:sz w:val="20"/>
        </w:rPr>
        <w:t>do artigo 52</w:t>
      </w:r>
      <w:r>
        <w:rPr>
          <w:spacing w:val="-2"/>
          <w:sz w:val="20"/>
        </w:rPr>
        <w:t xml:space="preserve"> </w:t>
      </w:r>
      <w:r>
        <w:rPr>
          <w:sz w:val="20"/>
        </w:rPr>
        <w:t>da</w:t>
      </w:r>
      <w:r>
        <w:rPr>
          <w:spacing w:val="-2"/>
          <w:sz w:val="20"/>
        </w:rPr>
        <w:t xml:space="preserve"> </w:t>
      </w:r>
      <w:r>
        <w:rPr>
          <w:sz w:val="20"/>
        </w:rPr>
        <w:t>Lei Municipal 9.167/80. ACORDAM, também, à unanimidade, em determinar o envio de cópias do presente Acórdão à Câmara Municipal de São Paulo, em atendimento às solicitações feitas nos autos, bem</w:t>
      </w:r>
      <w:r>
        <w:rPr>
          <w:spacing w:val="-6"/>
          <w:sz w:val="20"/>
        </w:rPr>
        <w:t xml:space="preserve"> </w:t>
      </w:r>
      <w:r>
        <w:rPr>
          <w:sz w:val="20"/>
        </w:rPr>
        <w:t>como ao Ministério Público do Estado de São Paulo, para eventual responsabilidade civil dos agentes públicos e eventual necessidade de ressarcimento aos cofres públicos. ACORDAM, afinal, à unanimidade, após observadas as formalidades legais, em arquivar os autos.</w:t>
      </w:r>
      <w:r>
        <w:rPr>
          <w:sz w:val="20"/>
          <w:vertAlign w:val="superscript"/>
        </w:rPr>
        <w:t>18</w:t>
      </w:r>
    </w:p>
    <w:p w:rsidR="007259F2" w:rsidRDefault="00E655B4">
      <w:pPr>
        <w:pStyle w:val="Corpodetexto"/>
        <w:spacing w:before="228"/>
        <w:ind w:right="998"/>
      </w:pPr>
      <w:r>
        <w:t>Nesse sentido, é possível concluir que, em razão das infrações citadas no presente</w:t>
      </w:r>
      <w:r>
        <w:rPr>
          <w:spacing w:val="61"/>
        </w:rPr>
        <w:t xml:space="preserve">  </w:t>
      </w:r>
      <w:r>
        <w:t>estudo,</w:t>
      </w:r>
      <w:r>
        <w:rPr>
          <w:spacing w:val="61"/>
        </w:rPr>
        <w:t xml:space="preserve">  </w:t>
      </w:r>
      <w:r>
        <w:t>especialmente,</w:t>
      </w:r>
      <w:r>
        <w:rPr>
          <w:spacing w:val="61"/>
        </w:rPr>
        <w:t xml:space="preserve">  </w:t>
      </w:r>
      <w:r>
        <w:t>pela</w:t>
      </w:r>
      <w:r>
        <w:rPr>
          <w:spacing w:val="61"/>
        </w:rPr>
        <w:t xml:space="preserve">  </w:t>
      </w:r>
      <w:r>
        <w:t>emergência</w:t>
      </w:r>
      <w:r>
        <w:rPr>
          <w:spacing w:val="61"/>
        </w:rPr>
        <w:t xml:space="preserve">  </w:t>
      </w:r>
      <w:r>
        <w:t>fabricada</w:t>
      </w:r>
      <w:r>
        <w:rPr>
          <w:spacing w:val="60"/>
        </w:rPr>
        <w:t xml:space="preserve">  </w:t>
      </w:r>
      <w:r>
        <w:t>em</w:t>
      </w:r>
      <w:r>
        <w:rPr>
          <w:spacing w:val="62"/>
        </w:rPr>
        <w:t xml:space="preserve">  </w:t>
      </w:r>
      <w:r>
        <w:rPr>
          <w:spacing w:val="-2"/>
        </w:rPr>
        <w:t>contratações</w:t>
      </w:r>
    </w:p>
    <w:p w:rsidR="007259F2" w:rsidRDefault="00DE6B1C">
      <w:pPr>
        <w:pStyle w:val="Corpodetexto"/>
        <w:spacing w:before="3"/>
        <w:ind w:left="0" w:firstLine="0"/>
        <w:jc w:val="left"/>
        <w:rPr>
          <w:sz w:val="14"/>
        </w:rPr>
      </w:pPr>
      <w:r w:rsidRPr="00DE6B1C">
        <w:rPr>
          <w:sz w:val="14"/>
        </w:rPr>
        <w:pict>
          <v:rect id="docshape50" o:spid="_x0000_s1176" style="position:absolute;margin-left:85.1pt;margin-top:9.4pt;width:2in;height:.7pt;z-index:-15711232;mso-wrap-distance-left:0;mso-wrap-distance-right:0;mso-position-horizontal-relative:page" fillcolor="black" stroked="f">
            <w10:wrap type="topAndBottom" anchorx="page"/>
          </v:rect>
        </w:pict>
      </w:r>
    </w:p>
    <w:p w:rsidR="007259F2" w:rsidRDefault="00E655B4">
      <w:pPr>
        <w:spacing w:before="97"/>
        <w:ind w:left="710" w:right="987"/>
        <w:jc w:val="both"/>
        <w:rPr>
          <w:sz w:val="20"/>
        </w:rPr>
      </w:pPr>
      <w:r>
        <w:rPr>
          <w:sz w:val="20"/>
          <w:vertAlign w:val="superscript"/>
        </w:rPr>
        <w:t>18</w:t>
      </w:r>
      <w:r>
        <w:rPr>
          <w:sz w:val="20"/>
        </w:rPr>
        <w:t xml:space="preserve"> SÃO PAULO (SP) Tribunal de Contas do Município.</w:t>
      </w:r>
      <w:r>
        <w:rPr>
          <w:spacing w:val="-9"/>
          <w:sz w:val="20"/>
        </w:rPr>
        <w:t xml:space="preserve"> </w:t>
      </w:r>
      <w:r>
        <w:rPr>
          <w:b/>
          <w:sz w:val="20"/>
        </w:rPr>
        <w:t>Processo 72.003.009-05-50, 72.001.733.06-67 e 72.004.443.06- 93</w:t>
      </w:r>
      <w:r>
        <w:rPr>
          <w:sz w:val="20"/>
        </w:rPr>
        <w:t>, Plenário Conselheiro Paulo Planet Buarque, 10 de agosto de 2011. ANTONIO CARLOS CARUSO - Vice- Presidente no exercício da Presidência. EDSON SIMÕES – Relator</w:t>
      </w:r>
    </w:p>
    <w:p w:rsidR="007259F2" w:rsidRDefault="007259F2">
      <w:pPr>
        <w:jc w:val="both"/>
        <w:rPr>
          <w:sz w:val="20"/>
        </w:rPr>
        <w:sectPr w:rsidR="007259F2">
          <w:pgSz w:w="11910" w:h="16840"/>
          <w:pgMar w:top="1320" w:right="708" w:bottom="1160" w:left="992" w:header="0" w:footer="962" w:gutter="0"/>
          <w:cols w:space="720"/>
        </w:sectPr>
      </w:pPr>
    </w:p>
    <w:p w:rsidR="007259F2" w:rsidRDefault="00E655B4">
      <w:pPr>
        <w:pStyle w:val="Corpodetexto"/>
        <w:spacing w:before="69"/>
        <w:ind w:right="992" w:firstLine="0"/>
      </w:pPr>
      <w:r>
        <w:lastRenderedPageBreak/>
        <w:t>emergenciais,</w:t>
      </w:r>
      <w:r>
        <w:rPr>
          <w:spacing w:val="-2"/>
        </w:rPr>
        <w:t xml:space="preserve"> </w:t>
      </w:r>
      <w:r>
        <w:t>as</w:t>
      </w:r>
      <w:r>
        <w:rPr>
          <w:spacing w:val="-1"/>
        </w:rPr>
        <w:t xml:space="preserve"> </w:t>
      </w:r>
      <w:r>
        <w:t>avenças poderão</w:t>
      </w:r>
      <w:r>
        <w:rPr>
          <w:spacing w:val="-11"/>
        </w:rPr>
        <w:t xml:space="preserve"> </w:t>
      </w:r>
      <w:r>
        <w:t>ser</w:t>
      </w:r>
      <w:r>
        <w:rPr>
          <w:spacing w:val="-15"/>
        </w:rPr>
        <w:t xml:space="preserve"> </w:t>
      </w:r>
      <w:r>
        <w:t>julgadas</w:t>
      </w:r>
      <w:r>
        <w:rPr>
          <w:spacing w:val="-13"/>
        </w:rPr>
        <w:t xml:space="preserve"> </w:t>
      </w:r>
      <w:r>
        <w:t>irregulares,</w:t>
      </w:r>
      <w:r>
        <w:rPr>
          <w:spacing w:val="-13"/>
        </w:rPr>
        <w:t xml:space="preserve"> </w:t>
      </w:r>
      <w:r>
        <w:t>poderá</w:t>
      </w:r>
      <w:r>
        <w:rPr>
          <w:spacing w:val="-15"/>
        </w:rPr>
        <w:t xml:space="preserve"> </w:t>
      </w:r>
      <w:r>
        <w:t>ocorrer</w:t>
      </w:r>
      <w:r>
        <w:rPr>
          <w:spacing w:val="-14"/>
        </w:rPr>
        <w:t xml:space="preserve"> </w:t>
      </w:r>
      <w:r>
        <w:t>a</w:t>
      </w:r>
      <w:r>
        <w:rPr>
          <w:spacing w:val="-14"/>
        </w:rPr>
        <w:t xml:space="preserve"> </w:t>
      </w:r>
      <w:r>
        <w:t>não</w:t>
      </w:r>
      <w:r>
        <w:rPr>
          <w:spacing w:val="-14"/>
        </w:rPr>
        <w:t xml:space="preserve"> </w:t>
      </w:r>
      <w:r>
        <w:t>aceitação de</w:t>
      </w:r>
      <w:r>
        <w:rPr>
          <w:spacing w:val="-12"/>
        </w:rPr>
        <w:t xml:space="preserve"> </w:t>
      </w:r>
      <w:r>
        <w:t>seus</w:t>
      </w:r>
      <w:r>
        <w:rPr>
          <w:spacing w:val="-11"/>
        </w:rPr>
        <w:t xml:space="preserve"> </w:t>
      </w:r>
      <w:r>
        <w:t>efeitos</w:t>
      </w:r>
      <w:r>
        <w:rPr>
          <w:spacing w:val="-10"/>
        </w:rPr>
        <w:t xml:space="preserve"> </w:t>
      </w:r>
      <w:r>
        <w:t>financeiros,</w:t>
      </w:r>
      <w:r>
        <w:rPr>
          <w:spacing w:val="-9"/>
        </w:rPr>
        <w:t xml:space="preserve"> </w:t>
      </w:r>
      <w:r>
        <w:t>bem como os agentes poderão ser penalizados ao pagamento de multa e à responsabilização civil que, por consequência, poderá desencadear o ressarcimento dos valores aos cofres públicos.</w:t>
      </w:r>
    </w:p>
    <w:p w:rsidR="007259F2" w:rsidRDefault="00E655B4">
      <w:pPr>
        <w:pStyle w:val="Corpodetexto"/>
        <w:spacing w:before="1"/>
        <w:ind w:right="990"/>
      </w:pPr>
      <w:r>
        <w:t>Ainda, o agente público que atuou diretamente e concorreu para as irregularidades nas dispensas emergenciais, especialmente as amparadas pela emergência fabricada, poderá sofrer sanções estabelecidas pela Lei de Improbidade.</w:t>
      </w:r>
    </w:p>
    <w:p w:rsidR="007259F2" w:rsidRDefault="00E655B4">
      <w:pPr>
        <w:pStyle w:val="Corpodetexto"/>
        <w:ind w:right="988"/>
      </w:pPr>
      <w:r>
        <w:t>Importante destacar, que as irregularidades mencionadas nesse estudo podem configurar</w:t>
      </w:r>
      <w:r>
        <w:rPr>
          <w:spacing w:val="-10"/>
        </w:rPr>
        <w:t xml:space="preserve"> </w:t>
      </w:r>
      <w:r>
        <w:t>atos</w:t>
      </w:r>
      <w:r>
        <w:rPr>
          <w:spacing w:val="-13"/>
        </w:rPr>
        <w:t xml:space="preserve"> </w:t>
      </w:r>
      <w:r>
        <w:t>de</w:t>
      </w:r>
      <w:r>
        <w:rPr>
          <w:spacing w:val="-10"/>
        </w:rPr>
        <w:t xml:space="preserve"> </w:t>
      </w:r>
      <w:r>
        <w:t>improbidade</w:t>
      </w:r>
      <w:r>
        <w:rPr>
          <w:spacing w:val="-11"/>
        </w:rPr>
        <w:t xml:space="preserve"> </w:t>
      </w:r>
      <w:r>
        <w:t>importando</w:t>
      </w:r>
      <w:r>
        <w:rPr>
          <w:spacing w:val="-14"/>
        </w:rPr>
        <w:t xml:space="preserve"> </w:t>
      </w:r>
      <w:r>
        <w:t>em</w:t>
      </w:r>
      <w:r>
        <w:rPr>
          <w:spacing w:val="-13"/>
        </w:rPr>
        <w:t xml:space="preserve"> </w:t>
      </w:r>
      <w:r>
        <w:t>enriquecimento</w:t>
      </w:r>
      <w:r>
        <w:rPr>
          <w:spacing w:val="-9"/>
        </w:rPr>
        <w:t xml:space="preserve"> </w:t>
      </w:r>
      <w:r>
        <w:t>ilícito,</w:t>
      </w:r>
      <w:r>
        <w:rPr>
          <w:spacing w:val="-13"/>
        </w:rPr>
        <w:t xml:space="preserve"> </w:t>
      </w:r>
      <w:r>
        <w:t>lesão</w:t>
      </w:r>
      <w:r>
        <w:rPr>
          <w:spacing w:val="-14"/>
        </w:rPr>
        <w:t xml:space="preserve"> </w:t>
      </w:r>
      <w:r>
        <w:t>ao</w:t>
      </w:r>
      <w:r>
        <w:rPr>
          <w:spacing w:val="-10"/>
        </w:rPr>
        <w:t xml:space="preserve"> </w:t>
      </w:r>
      <w:r>
        <w:t>erário</w:t>
      </w:r>
      <w:r>
        <w:rPr>
          <w:spacing w:val="-14"/>
        </w:rPr>
        <w:t xml:space="preserve"> </w:t>
      </w:r>
      <w:r>
        <w:t>por ação</w:t>
      </w:r>
      <w:r>
        <w:rPr>
          <w:spacing w:val="-6"/>
        </w:rPr>
        <w:t xml:space="preserve"> </w:t>
      </w:r>
      <w:r>
        <w:t>ou</w:t>
      </w:r>
      <w:r>
        <w:rPr>
          <w:spacing w:val="-1"/>
        </w:rPr>
        <w:t xml:space="preserve"> </w:t>
      </w:r>
      <w:r>
        <w:t>omissão,</w:t>
      </w:r>
      <w:r>
        <w:rPr>
          <w:spacing w:val="-1"/>
        </w:rPr>
        <w:t xml:space="preserve"> </w:t>
      </w:r>
      <w:r>
        <w:t>bem como pela afronta direta aos princípios da administração pública.</w:t>
      </w:r>
    </w:p>
    <w:p w:rsidR="007259F2" w:rsidRDefault="00E655B4">
      <w:pPr>
        <w:pStyle w:val="Corpodetexto"/>
        <w:ind w:right="989"/>
      </w:pPr>
      <w:r>
        <w:t xml:space="preserve">A Lei 14.230/2021, estabelece em seu artigo 12, as hipóteses de penalidades e sanções para a prática dos atos de improbidade mencionados, </w:t>
      </w:r>
      <w:r>
        <w:rPr>
          <w:i/>
        </w:rPr>
        <w:t>in verbis</w:t>
      </w:r>
      <w:r>
        <w:t>:</w:t>
      </w:r>
    </w:p>
    <w:p w:rsidR="007259F2" w:rsidRDefault="007259F2">
      <w:pPr>
        <w:pStyle w:val="Corpodetexto"/>
        <w:spacing w:before="26"/>
        <w:ind w:left="0" w:firstLine="0"/>
        <w:jc w:val="left"/>
      </w:pPr>
    </w:p>
    <w:p w:rsidR="007259F2" w:rsidRDefault="00E655B4">
      <w:pPr>
        <w:ind w:left="2978" w:right="995"/>
        <w:jc w:val="both"/>
        <w:rPr>
          <w:sz w:val="20"/>
        </w:rPr>
      </w:pPr>
      <w:r>
        <w:rPr>
          <w:sz w:val="20"/>
        </w:rPr>
        <w:t>Art.</w:t>
      </w:r>
      <w:r>
        <w:rPr>
          <w:spacing w:val="-5"/>
          <w:sz w:val="20"/>
        </w:rPr>
        <w:t xml:space="preserve"> </w:t>
      </w:r>
      <w:r>
        <w:rPr>
          <w:sz w:val="20"/>
        </w:rPr>
        <w:t>12.</w:t>
      </w:r>
      <w:r>
        <w:rPr>
          <w:spacing w:val="-5"/>
          <w:sz w:val="20"/>
        </w:rPr>
        <w:t xml:space="preserve"> </w:t>
      </w:r>
      <w:r>
        <w:rPr>
          <w:sz w:val="20"/>
        </w:rPr>
        <w:t>Independentemente</w:t>
      </w:r>
      <w:r>
        <w:rPr>
          <w:spacing w:val="-5"/>
          <w:sz w:val="20"/>
        </w:rPr>
        <w:t xml:space="preserve"> </w:t>
      </w:r>
      <w:r>
        <w:rPr>
          <w:sz w:val="20"/>
        </w:rPr>
        <w:t>do</w:t>
      </w:r>
      <w:r>
        <w:rPr>
          <w:spacing w:val="-4"/>
          <w:sz w:val="20"/>
        </w:rPr>
        <w:t xml:space="preserve"> </w:t>
      </w:r>
      <w:r>
        <w:rPr>
          <w:sz w:val="20"/>
        </w:rPr>
        <w:t>ressarcimento</w:t>
      </w:r>
      <w:r>
        <w:rPr>
          <w:spacing w:val="-4"/>
          <w:sz w:val="20"/>
        </w:rPr>
        <w:t xml:space="preserve"> </w:t>
      </w:r>
      <w:r>
        <w:rPr>
          <w:sz w:val="20"/>
        </w:rPr>
        <w:t>integral</w:t>
      </w:r>
      <w:r>
        <w:rPr>
          <w:spacing w:val="-5"/>
          <w:sz w:val="20"/>
        </w:rPr>
        <w:t xml:space="preserve"> </w:t>
      </w:r>
      <w:r>
        <w:rPr>
          <w:sz w:val="20"/>
        </w:rPr>
        <w:t>do</w:t>
      </w:r>
      <w:r>
        <w:rPr>
          <w:spacing w:val="-4"/>
          <w:sz w:val="20"/>
        </w:rPr>
        <w:t xml:space="preserve"> </w:t>
      </w:r>
      <w:r>
        <w:rPr>
          <w:sz w:val="20"/>
        </w:rPr>
        <w:t>dano</w:t>
      </w:r>
      <w:r>
        <w:rPr>
          <w:spacing w:val="-4"/>
          <w:sz w:val="20"/>
        </w:rPr>
        <w:t xml:space="preserve"> </w:t>
      </w:r>
      <w:r>
        <w:rPr>
          <w:sz w:val="20"/>
        </w:rPr>
        <w:t>patrimonial,</w:t>
      </w:r>
      <w:r>
        <w:rPr>
          <w:spacing w:val="-5"/>
          <w:sz w:val="20"/>
        </w:rPr>
        <w:t xml:space="preserve"> </w:t>
      </w:r>
      <w:r>
        <w:rPr>
          <w:sz w:val="20"/>
        </w:rPr>
        <w:t>se efetivo, e das sanções penais comuns e de responsabilidade, civis e administrativas previstas na legislação específica, está o responsável pelo ato de improbidade sujeito às seguintes cominações, que podem ser aplicadas isolada ou cumulativamente, de acordo com a gravidade do fato:</w:t>
      </w:r>
    </w:p>
    <w:p w:rsidR="007259F2" w:rsidRDefault="00E655B4">
      <w:pPr>
        <w:pStyle w:val="PargrafodaLista"/>
        <w:numPr>
          <w:ilvl w:val="2"/>
          <w:numId w:val="39"/>
        </w:numPr>
        <w:tabs>
          <w:tab w:val="left" w:pos="3131"/>
        </w:tabs>
        <w:ind w:right="989" w:firstLine="0"/>
        <w:jc w:val="both"/>
        <w:rPr>
          <w:sz w:val="20"/>
        </w:rPr>
      </w:pPr>
      <w:r>
        <w:rPr>
          <w:sz w:val="20"/>
        </w:rPr>
        <w:t>- na hipótese do art. 9º desta Lei, perda dos bens ou valores acrescidos ilicitamente ao patrimônio, perda da função pública, suspensão dos direitos políticos</w:t>
      </w:r>
      <w:r>
        <w:rPr>
          <w:spacing w:val="-1"/>
          <w:sz w:val="20"/>
        </w:rPr>
        <w:t xml:space="preserve"> </w:t>
      </w:r>
      <w:r>
        <w:rPr>
          <w:sz w:val="20"/>
        </w:rPr>
        <w:t>até 14 (catorze) anos,</w:t>
      </w:r>
      <w:r>
        <w:rPr>
          <w:spacing w:val="-1"/>
          <w:sz w:val="20"/>
        </w:rPr>
        <w:t xml:space="preserve"> </w:t>
      </w:r>
      <w:r>
        <w:rPr>
          <w:sz w:val="20"/>
        </w:rPr>
        <w:t>pagamento de multa</w:t>
      </w:r>
      <w:r>
        <w:rPr>
          <w:spacing w:val="-1"/>
          <w:sz w:val="20"/>
        </w:rPr>
        <w:t xml:space="preserve"> </w:t>
      </w:r>
      <w:r>
        <w:rPr>
          <w:sz w:val="20"/>
        </w:rPr>
        <w:t>civil</w:t>
      </w:r>
      <w:r>
        <w:rPr>
          <w:spacing w:val="-1"/>
          <w:sz w:val="20"/>
        </w:rPr>
        <w:t xml:space="preserve"> </w:t>
      </w:r>
      <w:r>
        <w:rPr>
          <w:sz w:val="20"/>
        </w:rPr>
        <w:t>equivalente ao valor do acréscimo patrimonial e proibição de contratar com</w:t>
      </w:r>
      <w:r>
        <w:rPr>
          <w:spacing w:val="-1"/>
          <w:sz w:val="20"/>
        </w:rPr>
        <w:t xml:space="preserve"> </w:t>
      </w:r>
      <w:r>
        <w:rPr>
          <w:sz w:val="20"/>
        </w:rPr>
        <w:t>o poder público ou de receber benefícios ou incentivos fiscais ou creditícios, direta ou</w:t>
      </w:r>
      <w:r>
        <w:rPr>
          <w:spacing w:val="40"/>
          <w:sz w:val="20"/>
        </w:rPr>
        <w:t xml:space="preserve"> </w:t>
      </w:r>
      <w:r>
        <w:rPr>
          <w:sz w:val="20"/>
        </w:rPr>
        <w:t>indiretamente, ainda que por intermédio de pessoa jurídica da qual seja sócio majoritário, pelo prazo não superior a 14 (catorze) anos;</w:t>
      </w:r>
    </w:p>
    <w:p w:rsidR="007259F2" w:rsidRDefault="00E655B4">
      <w:pPr>
        <w:pStyle w:val="PargrafodaLista"/>
        <w:numPr>
          <w:ilvl w:val="2"/>
          <w:numId w:val="39"/>
        </w:numPr>
        <w:tabs>
          <w:tab w:val="left" w:pos="3190"/>
        </w:tabs>
        <w:ind w:right="994" w:firstLine="0"/>
        <w:jc w:val="both"/>
        <w:rPr>
          <w:sz w:val="20"/>
        </w:rPr>
      </w:pPr>
      <w:r>
        <w:rPr>
          <w:sz w:val="20"/>
        </w:rPr>
        <w:t>- na hipótese do art. 10 desta Lei, perda dos bens ou valores acrescidos ilicitamente ao patrimônio, se concorrer esta circunstância, perda da função pública, suspensão dos direitos políticos até 12 (doze) anos, pagamento de multa</w:t>
      </w:r>
      <w:r>
        <w:rPr>
          <w:spacing w:val="-2"/>
          <w:sz w:val="20"/>
        </w:rPr>
        <w:t xml:space="preserve"> </w:t>
      </w:r>
      <w:r>
        <w:rPr>
          <w:sz w:val="20"/>
        </w:rPr>
        <w:t>civil</w:t>
      </w:r>
      <w:r>
        <w:rPr>
          <w:spacing w:val="-2"/>
          <w:sz w:val="20"/>
        </w:rPr>
        <w:t xml:space="preserve"> </w:t>
      </w:r>
      <w:r>
        <w:rPr>
          <w:sz w:val="20"/>
        </w:rPr>
        <w:t>equivalente</w:t>
      </w:r>
      <w:r>
        <w:rPr>
          <w:spacing w:val="-2"/>
          <w:sz w:val="20"/>
        </w:rPr>
        <w:t xml:space="preserve"> </w:t>
      </w:r>
      <w:r>
        <w:rPr>
          <w:sz w:val="20"/>
        </w:rPr>
        <w:t>ao</w:t>
      </w:r>
      <w:r>
        <w:rPr>
          <w:spacing w:val="-1"/>
          <w:sz w:val="20"/>
        </w:rPr>
        <w:t xml:space="preserve"> </w:t>
      </w:r>
      <w:r>
        <w:rPr>
          <w:sz w:val="20"/>
        </w:rPr>
        <w:t>valor</w:t>
      </w:r>
      <w:r>
        <w:rPr>
          <w:spacing w:val="-1"/>
          <w:sz w:val="20"/>
        </w:rPr>
        <w:t xml:space="preserve"> </w:t>
      </w:r>
      <w:r>
        <w:rPr>
          <w:sz w:val="20"/>
        </w:rPr>
        <w:t>do</w:t>
      </w:r>
      <w:r>
        <w:rPr>
          <w:spacing w:val="-3"/>
          <w:sz w:val="20"/>
        </w:rPr>
        <w:t xml:space="preserve"> </w:t>
      </w:r>
      <w:r>
        <w:rPr>
          <w:sz w:val="20"/>
        </w:rPr>
        <w:t>dano</w:t>
      </w:r>
      <w:r>
        <w:rPr>
          <w:spacing w:val="-1"/>
          <w:sz w:val="20"/>
        </w:rPr>
        <w:t xml:space="preserve"> </w:t>
      </w:r>
      <w:r>
        <w:rPr>
          <w:sz w:val="20"/>
        </w:rPr>
        <w:t>e</w:t>
      </w:r>
      <w:r>
        <w:rPr>
          <w:spacing w:val="-2"/>
          <w:sz w:val="20"/>
        </w:rPr>
        <w:t xml:space="preserve"> </w:t>
      </w:r>
      <w:r>
        <w:rPr>
          <w:sz w:val="20"/>
        </w:rPr>
        <w:t>proibição</w:t>
      </w:r>
      <w:r>
        <w:rPr>
          <w:spacing w:val="-2"/>
          <w:sz w:val="20"/>
        </w:rPr>
        <w:t xml:space="preserve"> </w:t>
      </w:r>
      <w:r>
        <w:rPr>
          <w:sz w:val="20"/>
        </w:rPr>
        <w:t>de</w:t>
      </w:r>
      <w:r>
        <w:rPr>
          <w:spacing w:val="-3"/>
          <w:sz w:val="20"/>
        </w:rPr>
        <w:t xml:space="preserve"> </w:t>
      </w:r>
      <w:r>
        <w:rPr>
          <w:sz w:val="20"/>
        </w:rPr>
        <w:t>contratar</w:t>
      </w:r>
      <w:r>
        <w:rPr>
          <w:spacing w:val="-1"/>
          <w:sz w:val="20"/>
        </w:rPr>
        <w:t xml:space="preserve"> </w:t>
      </w:r>
      <w:r>
        <w:rPr>
          <w:sz w:val="20"/>
        </w:rPr>
        <w:t>com</w:t>
      </w:r>
      <w:r>
        <w:rPr>
          <w:spacing w:val="-5"/>
          <w:sz w:val="20"/>
        </w:rPr>
        <w:t xml:space="preserve"> </w:t>
      </w:r>
      <w:r>
        <w:rPr>
          <w:sz w:val="20"/>
        </w:rPr>
        <w:t>o</w:t>
      </w:r>
      <w:r>
        <w:rPr>
          <w:spacing w:val="-1"/>
          <w:sz w:val="20"/>
        </w:rPr>
        <w:t xml:space="preserve"> </w:t>
      </w:r>
      <w:r>
        <w:rPr>
          <w:sz w:val="20"/>
        </w:rPr>
        <w:t>poder público</w:t>
      </w:r>
      <w:r>
        <w:rPr>
          <w:spacing w:val="-2"/>
          <w:sz w:val="20"/>
        </w:rPr>
        <w:t xml:space="preserve"> </w:t>
      </w:r>
      <w:r>
        <w:rPr>
          <w:sz w:val="20"/>
        </w:rPr>
        <w:t>ou</w:t>
      </w:r>
      <w:r>
        <w:rPr>
          <w:spacing w:val="-4"/>
          <w:sz w:val="20"/>
        </w:rPr>
        <w:t xml:space="preserve"> </w:t>
      </w:r>
      <w:r>
        <w:rPr>
          <w:sz w:val="20"/>
        </w:rPr>
        <w:t>de</w:t>
      </w:r>
      <w:r>
        <w:rPr>
          <w:spacing w:val="-3"/>
          <w:sz w:val="20"/>
        </w:rPr>
        <w:t xml:space="preserve"> </w:t>
      </w:r>
      <w:r>
        <w:rPr>
          <w:sz w:val="20"/>
        </w:rPr>
        <w:t>receber</w:t>
      </w:r>
      <w:r>
        <w:rPr>
          <w:spacing w:val="-2"/>
          <w:sz w:val="20"/>
        </w:rPr>
        <w:t xml:space="preserve"> </w:t>
      </w:r>
      <w:r>
        <w:rPr>
          <w:sz w:val="20"/>
        </w:rPr>
        <w:t>benefícios</w:t>
      </w:r>
      <w:r>
        <w:rPr>
          <w:spacing w:val="-4"/>
          <w:sz w:val="20"/>
        </w:rPr>
        <w:t xml:space="preserve"> </w:t>
      </w:r>
      <w:r>
        <w:rPr>
          <w:sz w:val="20"/>
        </w:rPr>
        <w:t>ou incentivos</w:t>
      </w:r>
      <w:r>
        <w:rPr>
          <w:spacing w:val="-1"/>
          <w:sz w:val="20"/>
        </w:rPr>
        <w:t xml:space="preserve"> </w:t>
      </w:r>
      <w:r>
        <w:rPr>
          <w:sz w:val="20"/>
        </w:rPr>
        <w:t>fiscais</w:t>
      </w:r>
      <w:r>
        <w:rPr>
          <w:spacing w:val="-2"/>
          <w:sz w:val="20"/>
        </w:rPr>
        <w:t xml:space="preserve"> </w:t>
      </w:r>
      <w:r>
        <w:rPr>
          <w:sz w:val="20"/>
        </w:rPr>
        <w:t>ou</w:t>
      </w:r>
      <w:r>
        <w:rPr>
          <w:spacing w:val="-4"/>
          <w:sz w:val="20"/>
        </w:rPr>
        <w:t xml:space="preserve"> </w:t>
      </w:r>
      <w:r>
        <w:rPr>
          <w:sz w:val="20"/>
        </w:rPr>
        <w:t>creditícios,</w:t>
      </w:r>
      <w:r>
        <w:rPr>
          <w:spacing w:val="-3"/>
          <w:sz w:val="20"/>
        </w:rPr>
        <w:t xml:space="preserve"> </w:t>
      </w:r>
      <w:r>
        <w:rPr>
          <w:sz w:val="20"/>
        </w:rPr>
        <w:t>direta</w:t>
      </w:r>
      <w:r>
        <w:rPr>
          <w:spacing w:val="-3"/>
          <w:sz w:val="20"/>
        </w:rPr>
        <w:t xml:space="preserve"> </w:t>
      </w:r>
      <w:r>
        <w:rPr>
          <w:sz w:val="20"/>
        </w:rPr>
        <w:t>ou indiretamente, ainda que por intermédio de pessoa jurídica da qual seja sócio majoritário, pelo prazo não superior a 12 (doze) anos;</w:t>
      </w:r>
    </w:p>
    <w:p w:rsidR="007259F2" w:rsidRDefault="00E655B4">
      <w:pPr>
        <w:pStyle w:val="PargrafodaLista"/>
        <w:numPr>
          <w:ilvl w:val="2"/>
          <w:numId w:val="39"/>
        </w:numPr>
        <w:tabs>
          <w:tab w:val="left" w:pos="3259"/>
        </w:tabs>
        <w:spacing w:before="1"/>
        <w:ind w:right="993" w:firstLine="0"/>
        <w:jc w:val="both"/>
        <w:rPr>
          <w:sz w:val="20"/>
        </w:rPr>
      </w:pPr>
      <w:r>
        <w:rPr>
          <w:sz w:val="20"/>
        </w:rPr>
        <w:t>- na hipótese do art. 11 desta Lei, pagamento de multa civil de até 24 (vinte e quatro) vezes o valor da remuneração percebida pelo agente e proibição de contratar com o poder público ou de receber benefícios ou incentivos fiscais ou creditícios, direta ou indiretamente, ainda que por intermédio de pessoa jurídica da qual seja sócio majoritário, pelo prazo não superior a 4 (quatro) anos;</w:t>
      </w:r>
    </w:p>
    <w:p w:rsidR="007259F2" w:rsidRDefault="007259F2">
      <w:pPr>
        <w:pStyle w:val="Corpodetexto"/>
        <w:spacing w:before="45"/>
        <w:ind w:left="0" w:firstLine="0"/>
        <w:jc w:val="left"/>
        <w:rPr>
          <w:sz w:val="20"/>
        </w:rPr>
      </w:pPr>
    </w:p>
    <w:p w:rsidR="007259F2" w:rsidRDefault="00E655B4">
      <w:pPr>
        <w:pStyle w:val="Corpodetexto"/>
        <w:ind w:right="992"/>
      </w:pPr>
      <w:r>
        <w:t>No entanto, faz-se necessário ser observado o entendimento atual da jurisprudência acerca do tema. O Superior Tribunal de Justiça fixou entendimento</w:t>
      </w:r>
      <w:r>
        <w:rPr>
          <w:spacing w:val="40"/>
        </w:rPr>
        <w:t xml:space="preserve"> </w:t>
      </w:r>
      <w:r>
        <w:t>acerca dos efeitos da condenação com base no artigo 10 da Lei de Improbidade, explicando</w:t>
      </w:r>
      <w:r>
        <w:rPr>
          <w:spacing w:val="-10"/>
        </w:rPr>
        <w:t xml:space="preserve"> </w:t>
      </w:r>
      <w:r>
        <w:t>que,</w:t>
      </w:r>
      <w:r>
        <w:rPr>
          <w:spacing w:val="-4"/>
        </w:rPr>
        <w:t xml:space="preserve"> </w:t>
      </w:r>
      <w:r>
        <w:t>antes</w:t>
      </w:r>
      <w:r>
        <w:rPr>
          <w:spacing w:val="-9"/>
        </w:rPr>
        <w:t xml:space="preserve"> </w:t>
      </w:r>
      <w:r>
        <w:t>do</w:t>
      </w:r>
      <w:r>
        <w:rPr>
          <w:spacing w:val="-9"/>
        </w:rPr>
        <w:t xml:space="preserve"> </w:t>
      </w:r>
      <w:r>
        <w:t>advento</w:t>
      </w:r>
      <w:r>
        <w:rPr>
          <w:spacing w:val="-10"/>
        </w:rPr>
        <w:t xml:space="preserve"> </w:t>
      </w:r>
      <w:r>
        <w:t>da Lei 14.230/2021, a</w:t>
      </w:r>
      <w:r>
        <w:rPr>
          <w:spacing w:val="-1"/>
        </w:rPr>
        <w:t xml:space="preserve"> </w:t>
      </w:r>
      <w:r>
        <w:t>posição majoritária</w:t>
      </w:r>
      <w:r>
        <w:rPr>
          <w:spacing w:val="-1"/>
        </w:rPr>
        <w:t xml:space="preserve"> </w:t>
      </w:r>
      <w:r>
        <w:t>determinava que a dispensa indevida configurava improbidade, em razão da presunção de prejuízo aos cofres da Administração Pública.</w:t>
      </w:r>
    </w:p>
    <w:p w:rsidR="007259F2" w:rsidRDefault="00E655B4">
      <w:pPr>
        <w:pStyle w:val="Corpodetexto"/>
        <w:spacing w:before="1"/>
        <w:ind w:right="986"/>
      </w:pPr>
      <w:r>
        <w:t>Posteriormente, quando da oportunidade de ter sido sancionada a nova lei e ter sido dada nova redação ao referido artigo 10, tornou-se necessária a comprovação da perda patrimonial efetiva para que possa haver condenação por improbidade. Vale ressaltar</w:t>
      </w:r>
      <w:r>
        <w:rPr>
          <w:spacing w:val="-2"/>
        </w:rPr>
        <w:t xml:space="preserve"> </w:t>
      </w:r>
      <w:r>
        <w:t>que,</w:t>
      </w:r>
      <w:r>
        <w:rPr>
          <w:spacing w:val="-6"/>
        </w:rPr>
        <w:t xml:space="preserve"> </w:t>
      </w:r>
      <w:r>
        <w:t>o</w:t>
      </w:r>
      <w:r>
        <w:rPr>
          <w:spacing w:val="-2"/>
        </w:rPr>
        <w:t xml:space="preserve"> </w:t>
      </w:r>
      <w:r>
        <w:t>ministro</w:t>
      </w:r>
      <w:r>
        <w:rPr>
          <w:spacing w:val="-3"/>
        </w:rPr>
        <w:t xml:space="preserve"> </w:t>
      </w:r>
      <w:r>
        <w:t>relator determinou que a comprovação do dano efetivo também deve haver nos casos iniciados antes da sanção da nova lei.</w:t>
      </w:r>
      <w:r>
        <w:rPr>
          <w:vertAlign w:val="superscript"/>
        </w:rPr>
        <w:t>19</w:t>
      </w:r>
    </w:p>
    <w:p w:rsidR="007259F2" w:rsidRDefault="00E655B4">
      <w:pPr>
        <w:pStyle w:val="Corpodetexto"/>
        <w:ind w:right="990"/>
      </w:pPr>
      <w:r>
        <w:t>Por fim, também é importante destacar que as irregularidades nas contratações emergenciais,</w:t>
      </w:r>
      <w:r>
        <w:rPr>
          <w:spacing w:val="49"/>
        </w:rPr>
        <w:t xml:space="preserve"> </w:t>
      </w:r>
      <w:r>
        <w:t>especialmente</w:t>
      </w:r>
      <w:r>
        <w:rPr>
          <w:spacing w:val="52"/>
        </w:rPr>
        <w:t xml:space="preserve"> </w:t>
      </w:r>
      <w:r>
        <w:t>as</w:t>
      </w:r>
      <w:r>
        <w:rPr>
          <w:spacing w:val="51"/>
        </w:rPr>
        <w:t xml:space="preserve"> </w:t>
      </w:r>
      <w:r>
        <w:t>oriundas</w:t>
      </w:r>
      <w:r>
        <w:rPr>
          <w:spacing w:val="52"/>
        </w:rPr>
        <w:t xml:space="preserve"> </w:t>
      </w:r>
      <w:r>
        <w:t>da</w:t>
      </w:r>
      <w:r>
        <w:rPr>
          <w:spacing w:val="50"/>
        </w:rPr>
        <w:t xml:space="preserve"> </w:t>
      </w:r>
      <w:r>
        <w:t>emergência</w:t>
      </w:r>
      <w:r>
        <w:rPr>
          <w:spacing w:val="51"/>
        </w:rPr>
        <w:t xml:space="preserve"> </w:t>
      </w:r>
      <w:r>
        <w:t>fabricada,</w:t>
      </w:r>
      <w:r>
        <w:rPr>
          <w:spacing w:val="53"/>
        </w:rPr>
        <w:t xml:space="preserve"> </w:t>
      </w:r>
      <w:r>
        <w:t>ganharam</w:t>
      </w:r>
      <w:r>
        <w:rPr>
          <w:spacing w:val="55"/>
        </w:rPr>
        <w:t xml:space="preserve"> </w:t>
      </w:r>
      <w:r>
        <w:rPr>
          <w:spacing w:val="-2"/>
        </w:rPr>
        <w:t>grande</w:t>
      </w:r>
    </w:p>
    <w:p w:rsidR="007259F2" w:rsidRDefault="00DE6B1C">
      <w:pPr>
        <w:pStyle w:val="Corpodetexto"/>
        <w:spacing w:before="2"/>
        <w:ind w:left="0" w:firstLine="0"/>
        <w:jc w:val="left"/>
        <w:rPr>
          <w:sz w:val="16"/>
        </w:rPr>
      </w:pPr>
      <w:r w:rsidRPr="00DE6B1C">
        <w:rPr>
          <w:sz w:val="16"/>
        </w:rPr>
        <w:pict>
          <v:rect id="docshape51" o:spid="_x0000_s1175" style="position:absolute;margin-left:85.1pt;margin-top:10.5pt;width:2in;height:.7pt;z-index:-15710720;mso-wrap-distance-left:0;mso-wrap-distance-right:0;mso-position-horizontal-relative:page" fillcolor="black" stroked="f">
            <w10:wrap type="topAndBottom" anchorx="page"/>
          </v:rect>
        </w:pict>
      </w:r>
    </w:p>
    <w:p w:rsidR="007259F2" w:rsidRDefault="00E655B4">
      <w:pPr>
        <w:spacing w:before="96"/>
        <w:ind w:left="710" w:right="990"/>
        <w:rPr>
          <w:sz w:val="20"/>
        </w:rPr>
      </w:pPr>
      <w:r>
        <w:rPr>
          <w:sz w:val="20"/>
          <w:vertAlign w:val="superscript"/>
        </w:rPr>
        <w:t>19</w:t>
      </w:r>
      <w:r>
        <w:rPr>
          <w:spacing w:val="40"/>
          <w:sz w:val="20"/>
        </w:rPr>
        <w:t xml:space="preserve"> </w:t>
      </w:r>
      <w:r>
        <w:rPr>
          <w:sz w:val="20"/>
        </w:rPr>
        <w:t>BRASIL.</w:t>
      </w:r>
      <w:r>
        <w:rPr>
          <w:spacing w:val="40"/>
          <w:sz w:val="20"/>
        </w:rPr>
        <w:t xml:space="preserve"> </w:t>
      </w:r>
      <w:r>
        <w:rPr>
          <w:sz w:val="20"/>
        </w:rPr>
        <w:t>Superior</w:t>
      </w:r>
      <w:r>
        <w:rPr>
          <w:spacing w:val="40"/>
          <w:sz w:val="20"/>
        </w:rPr>
        <w:t xml:space="preserve"> </w:t>
      </w:r>
      <w:r>
        <w:rPr>
          <w:sz w:val="20"/>
        </w:rPr>
        <w:t>Tribunal</w:t>
      </w:r>
      <w:r>
        <w:rPr>
          <w:spacing w:val="40"/>
          <w:sz w:val="20"/>
        </w:rPr>
        <w:t xml:space="preserve"> </w:t>
      </w:r>
      <w:r>
        <w:rPr>
          <w:sz w:val="20"/>
        </w:rPr>
        <w:t>de</w:t>
      </w:r>
      <w:r>
        <w:rPr>
          <w:spacing w:val="40"/>
          <w:sz w:val="20"/>
        </w:rPr>
        <w:t xml:space="preserve"> </w:t>
      </w:r>
      <w:r>
        <w:rPr>
          <w:sz w:val="20"/>
        </w:rPr>
        <w:t>Justiça,</w:t>
      </w:r>
      <w:r>
        <w:rPr>
          <w:spacing w:val="40"/>
          <w:sz w:val="20"/>
        </w:rPr>
        <w:t xml:space="preserve"> </w:t>
      </w:r>
      <w:r>
        <w:rPr>
          <w:b/>
          <w:sz w:val="20"/>
        </w:rPr>
        <w:t>REsp</w:t>
      </w:r>
      <w:r>
        <w:rPr>
          <w:b/>
          <w:spacing w:val="40"/>
          <w:sz w:val="20"/>
        </w:rPr>
        <w:t xml:space="preserve"> </w:t>
      </w:r>
      <w:r>
        <w:rPr>
          <w:b/>
          <w:sz w:val="20"/>
        </w:rPr>
        <w:t>1.929.685</w:t>
      </w:r>
      <w:r>
        <w:rPr>
          <w:sz w:val="20"/>
        </w:rPr>
        <w:t>,</w:t>
      </w:r>
      <w:r>
        <w:rPr>
          <w:spacing w:val="38"/>
          <w:sz w:val="20"/>
        </w:rPr>
        <w:t xml:space="preserve"> </w:t>
      </w:r>
      <w:r>
        <w:rPr>
          <w:sz w:val="20"/>
        </w:rPr>
        <w:t>Tocantins,</w:t>
      </w:r>
      <w:r>
        <w:rPr>
          <w:spacing w:val="40"/>
          <w:sz w:val="20"/>
        </w:rPr>
        <w:t xml:space="preserve"> </w:t>
      </w:r>
      <w:r>
        <w:rPr>
          <w:sz w:val="20"/>
        </w:rPr>
        <w:t>2021/0086118-0,</w:t>
      </w:r>
      <w:r>
        <w:rPr>
          <w:spacing w:val="38"/>
          <w:sz w:val="20"/>
        </w:rPr>
        <w:t xml:space="preserve"> </w:t>
      </w:r>
      <w:r>
        <w:rPr>
          <w:sz w:val="20"/>
        </w:rPr>
        <w:t>27/08/2024, Primeira Seção, Relator Ministro Gurgel de Faria</w:t>
      </w:r>
    </w:p>
    <w:p w:rsidR="007259F2" w:rsidRDefault="007259F2">
      <w:pPr>
        <w:rPr>
          <w:sz w:val="20"/>
        </w:rPr>
        <w:sectPr w:rsidR="007259F2">
          <w:pgSz w:w="11910" w:h="16840"/>
          <w:pgMar w:top="1320" w:right="708" w:bottom="1160" w:left="992" w:header="0" w:footer="962" w:gutter="0"/>
          <w:cols w:space="720"/>
        </w:sectPr>
      </w:pPr>
    </w:p>
    <w:p w:rsidR="007259F2" w:rsidRDefault="00E655B4">
      <w:pPr>
        <w:pStyle w:val="Corpodetexto"/>
        <w:spacing w:before="69"/>
        <w:ind w:right="989" w:firstLine="0"/>
      </w:pPr>
      <w:r>
        <w:lastRenderedPageBreak/>
        <w:t xml:space="preserve">repercussão nos meios de comunicação brasileiros, gerando sérios problemas para a Administração Pública. Esse cenário resultou em uma visão extremamente negativa da população em relação à gestão da PMSP, que passou a ser vista com desconfiança e </w:t>
      </w:r>
      <w:r>
        <w:rPr>
          <w:spacing w:val="-2"/>
        </w:rPr>
        <w:t>desrespeito.</w:t>
      </w:r>
      <w:r>
        <w:rPr>
          <w:spacing w:val="-2"/>
          <w:vertAlign w:val="superscript"/>
        </w:rPr>
        <w:t>20</w:t>
      </w:r>
    </w:p>
    <w:p w:rsidR="007259F2" w:rsidRDefault="00E655B4">
      <w:pPr>
        <w:pStyle w:val="Corpodetexto"/>
        <w:spacing w:before="1"/>
        <w:ind w:right="996"/>
      </w:pPr>
      <w:r>
        <w:t>Além disso, a situação levou à instauração de procedimentos no Ministério Público, ampliando o impacto da crise de confiança e prejudicando ainda mais a relação entre a administração pública e os cidadãos.</w:t>
      </w:r>
      <w:r>
        <w:rPr>
          <w:vertAlign w:val="superscript"/>
        </w:rPr>
        <w:t>21</w:t>
      </w:r>
    </w:p>
    <w:p w:rsidR="007259F2" w:rsidRDefault="00E655B4">
      <w:pPr>
        <w:pStyle w:val="Corpodetexto"/>
        <w:ind w:right="989"/>
      </w:pPr>
      <w:r>
        <w:t>Diante disso, é possível concluir que, apesar da jurisprudência majoritária</w:t>
      </w:r>
      <w:r>
        <w:rPr>
          <w:spacing w:val="40"/>
        </w:rPr>
        <w:t xml:space="preserve"> </w:t>
      </w:r>
      <w:r>
        <w:t>admitir a contratação direta por dispensa emergencial ainda que a emergência não seja real e não estando caracterizada a imprevisibilidade, ou seja por ser a emergência fabricada, a legislação e o entendimento dos Tribunais preveem diversas consequências à Administração Pública e penalidades aos agentes públicos que participaram da contratação e execução dos serviços ou obras.</w:t>
      </w:r>
    </w:p>
    <w:p w:rsidR="007259F2" w:rsidRDefault="00E655B4">
      <w:pPr>
        <w:pStyle w:val="Heading2"/>
        <w:numPr>
          <w:ilvl w:val="0"/>
          <w:numId w:val="41"/>
        </w:numPr>
        <w:tabs>
          <w:tab w:val="left" w:pos="950"/>
        </w:tabs>
        <w:ind w:left="950" w:hanging="240"/>
        <w:jc w:val="left"/>
      </w:pPr>
      <w:r>
        <w:t>Atos</w:t>
      </w:r>
      <w:r>
        <w:rPr>
          <w:spacing w:val="-14"/>
        </w:rPr>
        <w:t xml:space="preserve"> </w:t>
      </w:r>
      <w:r>
        <w:t>que</w:t>
      </w:r>
      <w:r>
        <w:rPr>
          <w:spacing w:val="-14"/>
        </w:rPr>
        <w:t xml:space="preserve"> </w:t>
      </w:r>
      <w:r>
        <w:t>mitigam</w:t>
      </w:r>
      <w:r>
        <w:rPr>
          <w:spacing w:val="-14"/>
        </w:rPr>
        <w:t xml:space="preserve"> </w:t>
      </w:r>
      <w:r>
        <w:t>as</w:t>
      </w:r>
      <w:r>
        <w:rPr>
          <w:spacing w:val="-11"/>
        </w:rPr>
        <w:t xml:space="preserve"> </w:t>
      </w:r>
      <w:r>
        <w:t>consequências</w:t>
      </w:r>
      <w:r>
        <w:rPr>
          <w:spacing w:val="-9"/>
        </w:rPr>
        <w:t xml:space="preserve"> </w:t>
      </w:r>
      <w:r>
        <w:t>negativas</w:t>
      </w:r>
      <w:r>
        <w:rPr>
          <w:spacing w:val="-14"/>
        </w:rPr>
        <w:t xml:space="preserve"> </w:t>
      </w:r>
      <w:r>
        <w:t>oriundas</w:t>
      </w:r>
      <w:r>
        <w:rPr>
          <w:spacing w:val="-13"/>
        </w:rPr>
        <w:t xml:space="preserve"> </w:t>
      </w:r>
      <w:r>
        <w:t>da</w:t>
      </w:r>
      <w:r>
        <w:rPr>
          <w:spacing w:val="-14"/>
        </w:rPr>
        <w:t xml:space="preserve"> </w:t>
      </w:r>
      <w:r>
        <w:t>emergência</w:t>
      </w:r>
      <w:r>
        <w:rPr>
          <w:spacing w:val="-12"/>
        </w:rPr>
        <w:t xml:space="preserve"> </w:t>
      </w:r>
      <w:r>
        <w:rPr>
          <w:spacing w:val="-2"/>
        </w:rPr>
        <w:t>fabricada.</w:t>
      </w:r>
    </w:p>
    <w:p w:rsidR="007259F2" w:rsidRDefault="00E655B4">
      <w:pPr>
        <w:pStyle w:val="Corpodetexto"/>
        <w:spacing w:before="156"/>
        <w:ind w:right="988"/>
      </w:pPr>
      <w:r>
        <w:t>Como dito, a emergência fabricada produz irregularidades nas contratações por dispensa e, a partir disso, vemos que muitos efeitos negativos são gerados tanto para a Administração Pública e para os agentes que atuam diretamente nos procedimentos.</w:t>
      </w:r>
    </w:p>
    <w:p w:rsidR="007259F2" w:rsidRDefault="00E655B4">
      <w:pPr>
        <w:pStyle w:val="Corpodetexto"/>
        <w:ind w:right="996"/>
      </w:pPr>
      <w:r>
        <w:t>Ocorre que, existem meios e procedimentos que podem ser adotados pela Prefeitura do Município de São Paulo, a fim de mitigar ou evitar irregularidades nas contratações emergenciais.</w:t>
      </w:r>
    </w:p>
    <w:p w:rsidR="007259F2" w:rsidRDefault="00E655B4">
      <w:pPr>
        <w:pStyle w:val="Corpodetexto"/>
        <w:ind w:right="988"/>
      </w:pPr>
      <w:r>
        <w:t>Primeiramente, é importante que a Administração Pública promova um planejamento detalhado e completo, a fim de que se avalie quais são as demandas e intervenções necessárias que, historicamente, se revelam como risco para a cidade de São Paulo.</w:t>
      </w:r>
    </w:p>
    <w:p w:rsidR="007259F2" w:rsidRDefault="00E655B4">
      <w:pPr>
        <w:pStyle w:val="Corpodetexto"/>
        <w:spacing w:before="1"/>
        <w:ind w:right="991"/>
      </w:pPr>
      <w:r>
        <w:t>Nos casos em que os elementos de imprevisibilidade não estão presentes, deve a municipalidade promover o procedimento licitatório de modo tempestivo, para que a Prefeitura não recaia, novamente, nas contratações por emergência fabricada.</w:t>
      </w:r>
    </w:p>
    <w:p w:rsidR="007259F2" w:rsidRDefault="00E655B4">
      <w:pPr>
        <w:pStyle w:val="Corpodetexto"/>
        <w:ind w:right="996"/>
      </w:pPr>
      <w:r>
        <w:t>Igualmente, além da necessidade de se verificar a existência real ou não da situação emergencial e estando presentes os elementos da imprevisibilidade e urgência, deve a Administração Pública promover a contratação com o objetivo de alcançar o saneamento dos riscos no menor prazo e com o objeto mais limitado possível.</w:t>
      </w:r>
    </w:p>
    <w:p w:rsidR="007259F2" w:rsidRDefault="00E655B4">
      <w:pPr>
        <w:pStyle w:val="Corpodetexto"/>
        <w:ind w:right="991"/>
      </w:pPr>
      <w:r>
        <w:t>Outro procedimento a ser adotado é a elaboração de relatório de vistoria (da situação emergencial) de forma mais detalhada, sem que utilize fundamentações padronizadas ou generalizadas, de modo que, efetivamente, se delimite a extensão da emergência, da urgência e do risco.</w:t>
      </w:r>
    </w:p>
    <w:p w:rsidR="007259F2" w:rsidRDefault="00E655B4">
      <w:pPr>
        <w:pStyle w:val="Corpodetexto"/>
        <w:ind w:right="994"/>
      </w:pPr>
      <w:r>
        <w:t>Além disso, faz-se necessária a promoção da publicidade da emergência quando da declaração da situação emergencial, com a abertura de processo SEI e, posteriormente, a elaboração de relatório técnico, de modo que seja possível o lançamento da ocorrência antes que o fiscal promova a vistoria técnica, bem como seja dado aos Órgãos de Controle o conhecimento das demandas emergenciais.</w:t>
      </w:r>
    </w:p>
    <w:p w:rsidR="007259F2" w:rsidRDefault="00E655B4">
      <w:pPr>
        <w:pStyle w:val="Corpodetexto"/>
        <w:spacing w:before="1"/>
        <w:ind w:right="989"/>
      </w:pPr>
      <w:r>
        <w:t>Aliás, se demonstra demasiadamente importante a elaboração de Plano de Trabalho,</w:t>
      </w:r>
      <w:r>
        <w:rPr>
          <w:spacing w:val="11"/>
        </w:rPr>
        <w:t xml:space="preserve"> </w:t>
      </w:r>
      <w:r>
        <w:t>para</w:t>
      </w:r>
      <w:r>
        <w:rPr>
          <w:spacing w:val="-5"/>
        </w:rPr>
        <w:t xml:space="preserve"> </w:t>
      </w:r>
      <w:r>
        <w:t>que</w:t>
      </w:r>
      <w:r>
        <w:rPr>
          <w:spacing w:val="-1"/>
        </w:rPr>
        <w:t xml:space="preserve"> </w:t>
      </w:r>
      <w:r>
        <w:t>seja</w:t>
      </w:r>
      <w:r>
        <w:rPr>
          <w:spacing w:val="-1"/>
        </w:rPr>
        <w:t xml:space="preserve"> </w:t>
      </w:r>
      <w:r>
        <w:t>indicada</w:t>
      </w:r>
      <w:r>
        <w:rPr>
          <w:spacing w:val="-1"/>
        </w:rPr>
        <w:t xml:space="preserve"> </w:t>
      </w:r>
      <w:r>
        <w:t>a</w:t>
      </w:r>
      <w:r>
        <w:rPr>
          <w:spacing w:val="-5"/>
        </w:rPr>
        <w:t xml:space="preserve"> </w:t>
      </w:r>
      <w:r>
        <w:t>solução</w:t>
      </w:r>
      <w:r>
        <w:rPr>
          <w:spacing w:val="2"/>
        </w:rPr>
        <w:t xml:space="preserve"> </w:t>
      </w:r>
      <w:r>
        <w:t>mais</w:t>
      </w:r>
      <w:r>
        <w:rPr>
          <w:spacing w:val="4"/>
        </w:rPr>
        <w:t xml:space="preserve"> </w:t>
      </w:r>
      <w:r>
        <w:t>adequada</w:t>
      </w:r>
      <w:r>
        <w:rPr>
          <w:spacing w:val="-2"/>
        </w:rPr>
        <w:t xml:space="preserve"> </w:t>
      </w:r>
      <w:r>
        <w:t>e</w:t>
      </w:r>
      <w:r>
        <w:rPr>
          <w:spacing w:val="1"/>
        </w:rPr>
        <w:t xml:space="preserve"> </w:t>
      </w:r>
      <w:r>
        <w:t>eficiente</w:t>
      </w:r>
      <w:r>
        <w:rPr>
          <w:spacing w:val="-2"/>
        </w:rPr>
        <w:t xml:space="preserve"> </w:t>
      </w:r>
      <w:r>
        <w:t>para</w:t>
      </w:r>
      <w:r>
        <w:rPr>
          <w:spacing w:val="1"/>
        </w:rPr>
        <w:t xml:space="preserve"> </w:t>
      </w:r>
      <w:r>
        <w:t>a</w:t>
      </w:r>
      <w:r>
        <w:rPr>
          <w:spacing w:val="-2"/>
        </w:rPr>
        <w:t xml:space="preserve"> </w:t>
      </w:r>
      <w:r>
        <w:t>execução</w:t>
      </w:r>
      <w:r>
        <w:rPr>
          <w:spacing w:val="-2"/>
        </w:rPr>
        <w:t xml:space="preserve"> </w:t>
      </w:r>
      <w:r>
        <w:rPr>
          <w:spacing w:val="-5"/>
        </w:rPr>
        <w:t>do</w:t>
      </w:r>
    </w:p>
    <w:p w:rsidR="007259F2" w:rsidRDefault="00DE6B1C">
      <w:pPr>
        <w:pStyle w:val="Corpodetexto"/>
        <w:spacing w:before="78"/>
        <w:ind w:left="0" w:firstLine="0"/>
        <w:jc w:val="left"/>
        <w:rPr>
          <w:sz w:val="20"/>
        </w:rPr>
      </w:pPr>
      <w:r w:rsidRPr="00DE6B1C">
        <w:rPr>
          <w:sz w:val="20"/>
        </w:rPr>
        <w:pict>
          <v:rect id="docshape52" o:spid="_x0000_s1174" style="position:absolute;margin-left:85.1pt;margin-top:16.6pt;width:2in;height:.7pt;z-index:-15710208;mso-wrap-distance-left:0;mso-wrap-distance-right:0;mso-position-horizontal-relative:page" fillcolor="black" stroked="f">
            <w10:wrap type="topAndBottom" anchorx="page"/>
          </v:rect>
        </w:pict>
      </w:r>
    </w:p>
    <w:p w:rsidR="007259F2" w:rsidRDefault="00E655B4">
      <w:pPr>
        <w:spacing w:before="96"/>
        <w:ind w:left="710" w:right="997"/>
        <w:rPr>
          <w:sz w:val="20"/>
        </w:rPr>
      </w:pPr>
      <w:r>
        <w:rPr>
          <w:sz w:val="20"/>
          <w:vertAlign w:val="superscript"/>
        </w:rPr>
        <w:t>20</w:t>
      </w:r>
      <w:r>
        <w:rPr>
          <w:sz w:val="20"/>
        </w:rPr>
        <w:t xml:space="preserve"> Vide</w:t>
      </w:r>
      <w:r>
        <w:rPr>
          <w:spacing w:val="80"/>
          <w:w w:val="150"/>
          <w:sz w:val="20"/>
        </w:rPr>
        <w:t xml:space="preserve"> </w:t>
      </w:r>
      <w:r>
        <w:rPr>
          <w:sz w:val="20"/>
        </w:rPr>
        <w:t>notícias</w:t>
      </w:r>
      <w:r>
        <w:rPr>
          <w:spacing w:val="80"/>
          <w:w w:val="150"/>
          <w:sz w:val="20"/>
        </w:rPr>
        <w:t xml:space="preserve"> </w:t>
      </w:r>
      <w:r>
        <w:rPr>
          <w:sz w:val="20"/>
        </w:rPr>
        <w:t>divulgadas</w:t>
      </w:r>
      <w:r>
        <w:rPr>
          <w:spacing w:val="80"/>
          <w:w w:val="150"/>
          <w:sz w:val="20"/>
        </w:rPr>
        <w:t xml:space="preserve"> </w:t>
      </w:r>
      <w:r>
        <w:rPr>
          <w:sz w:val="20"/>
        </w:rPr>
        <w:t>nos</w:t>
      </w:r>
      <w:r>
        <w:rPr>
          <w:spacing w:val="80"/>
          <w:w w:val="150"/>
          <w:sz w:val="20"/>
        </w:rPr>
        <w:t xml:space="preserve"> </w:t>
      </w:r>
      <w:r>
        <w:rPr>
          <w:sz w:val="20"/>
        </w:rPr>
        <w:t>canais</w:t>
      </w:r>
      <w:r>
        <w:rPr>
          <w:spacing w:val="80"/>
          <w:w w:val="150"/>
          <w:sz w:val="20"/>
        </w:rPr>
        <w:t xml:space="preserve"> </w:t>
      </w:r>
      <w:r>
        <w:rPr>
          <w:sz w:val="20"/>
        </w:rPr>
        <w:t>de</w:t>
      </w:r>
      <w:r>
        <w:rPr>
          <w:spacing w:val="80"/>
          <w:w w:val="150"/>
          <w:sz w:val="20"/>
        </w:rPr>
        <w:t xml:space="preserve"> </w:t>
      </w:r>
      <w:r>
        <w:rPr>
          <w:sz w:val="20"/>
        </w:rPr>
        <w:t>comunicação:</w:t>
      </w:r>
      <w:r>
        <w:rPr>
          <w:spacing w:val="80"/>
          <w:sz w:val="20"/>
        </w:rPr>
        <w:t xml:space="preserve"> </w:t>
      </w:r>
      <w:r>
        <w:rPr>
          <w:spacing w:val="-2"/>
          <w:sz w:val="20"/>
        </w:rPr>
        <w:t>https://noticias.uol.com.br/politica/ultimas-</w:t>
      </w:r>
      <w:r>
        <w:rPr>
          <w:spacing w:val="40"/>
          <w:sz w:val="20"/>
        </w:rPr>
        <w:t xml:space="preserve"> </w:t>
      </w:r>
      <w:r>
        <w:rPr>
          <w:spacing w:val="-2"/>
          <w:sz w:val="20"/>
        </w:rPr>
        <w:t>noticias/2023/11/08/psol-investigacao-mp-obras-sem-licitacao- nunes-sp.htm; https://g1.globo.com/sp/sao- paulo/noticia/2024/03/05/psol-e-pt-protocolam-pedido-de-cpi- na-camara-de-sp-e-investigacao-no-mp-sobre- suspeita-de-conluio-em-contratos-de-obras-emergenciais-de- nunes.ghtml</w:t>
      </w:r>
    </w:p>
    <w:p w:rsidR="007259F2" w:rsidRDefault="00E655B4">
      <w:pPr>
        <w:tabs>
          <w:tab w:val="left" w:pos="1153"/>
        </w:tabs>
        <w:ind w:left="710" w:right="988"/>
        <w:rPr>
          <w:sz w:val="20"/>
        </w:rPr>
      </w:pPr>
      <w:r>
        <w:rPr>
          <w:spacing w:val="-6"/>
          <w:sz w:val="20"/>
          <w:vertAlign w:val="superscript"/>
        </w:rPr>
        <w:t>21</w:t>
      </w:r>
      <w:r>
        <w:rPr>
          <w:sz w:val="20"/>
        </w:rPr>
        <w:tab/>
      </w:r>
      <w:r>
        <w:rPr>
          <w:spacing w:val="-2"/>
          <w:sz w:val="20"/>
        </w:rPr>
        <w:t>https:</w:t>
      </w:r>
      <w:hyperlink r:id="rId61">
        <w:r>
          <w:rPr>
            <w:spacing w:val="-2"/>
            <w:sz w:val="20"/>
          </w:rPr>
          <w:t>//www.metropoles.com/sao-paulo/mpsp-apura-irregularidades-em-36-contratos-sem-licitacao-da-</w:t>
        </w:r>
      </w:hyperlink>
      <w:r>
        <w:rPr>
          <w:spacing w:val="-2"/>
          <w:sz w:val="20"/>
        </w:rPr>
        <w:t xml:space="preserve"> prefeitura</w:t>
      </w:r>
    </w:p>
    <w:p w:rsidR="007259F2" w:rsidRDefault="007259F2">
      <w:pPr>
        <w:rPr>
          <w:sz w:val="20"/>
        </w:rPr>
        <w:sectPr w:rsidR="007259F2">
          <w:pgSz w:w="11910" w:h="16840"/>
          <w:pgMar w:top="1320" w:right="708" w:bottom="1160" w:left="992" w:header="0" w:footer="962" w:gutter="0"/>
          <w:cols w:space="720"/>
        </w:sectPr>
      </w:pPr>
    </w:p>
    <w:p w:rsidR="007259F2" w:rsidRDefault="00E655B4">
      <w:pPr>
        <w:pStyle w:val="Corpodetexto"/>
        <w:spacing w:before="69"/>
        <w:ind w:right="996" w:firstLine="0"/>
      </w:pPr>
      <w:r>
        <w:lastRenderedPageBreak/>
        <w:t>serviço,</w:t>
      </w:r>
      <w:r>
        <w:rPr>
          <w:spacing w:val="-8"/>
        </w:rPr>
        <w:t xml:space="preserve"> </w:t>
      </w:r>
      <w:r>
        <w:t>para</w:t>
      </w:r>
      <w:r>
        <w:rPr>
          <w:spacing w:val="-13"/>
        </w:rPr>
        <w:t xml:space="preserve"> </w:t>
      </w:r>
      <w:r>
        <w:t>que a situação emergencial seja resolvida e não sejam realizados quaisquer serviços além dos que são necessários.</w:t>
      </w:r>
    </w:p>
    <w:p w:rsidR="007259F2" w:rsidRDefault="00E655B4">
      <w:pPr>
        <w:pStyle w:val="Corpodetexto"/>
        <w:spacing w:before="1"/>
        <w:ind w:right="992"/>
      </w:pPr>
      <w:r>
        <w:t>Nesse mesmo sentido, não se pode deixar de elaborar as estimativas de custos para a execução da obra que promete sanear a situação de urgência/emergência real. Acerca do tema é a jurisprudência do Tribunal de Contas do Município de São Paulo:</w:t>
      </w:r>
    </w:p>
    <w:p w:rsidR="007259F2" w:rsidRDefault="007259F2">
      <w:pPr>
        <w:pStyle w:val="Corpodetexto"/>
        <w:spacing w:before="25"/>
        <w:ind w:left="0" w:firstLine="0"/>
        <w:jc w:val="left"/>
      </w:pPr>
    </w:p>
    <w:p w:rsidR="007259F2" w:rsidRDefault="00E655B4">
      <w:pPr>
        <w:tabs>
          <w:tab w:val="left" w:pos="4478"/>
          <w:tab w:val="left" w:pos="6050"/>
          <w:tab w:val="left" w:pos="7853"/>
        </w:tabs>
        <w:ind w:left="2978" w:right="988"/>
        <w:jc w:val="both"/>
        <w:rPr>
          <w:b/>
          <w:sz w:val="20"/>
        </w:rPr>
      </w:pPr>
      <w:r>
        <w:rPr>
          <w:spacing w:val="-2"/>
          <w:sz w:val="20"/>
        </w:rPr>
        <w:t>EMENTA</w:t>
      </w:r>
      <w:r>
        <w:rPr>
          <w:sz w:val="20"/>
        </w:rPr>
        <w:tab/>
      </w:r>
      <w:r>
        <w:rPr>
          <w:spacing w:val="-2"/>
          <w:sz w:val="20"/>
        </w:rPr>
        <w:t>ANÁLISE.</w:t>
      </w:r>
      <w:r>
        <w:rPr>
          <w:sz w:val="20"/>
        </w:rPr>
        <w:tab/>
      </w:r>
      <w:r>
        <w:rPr>
          <w:spacing w:val="-2"/>
          <w:sz w:val="20"/>
        </w:rPr>
        <w:t>CONTRATO.</w:t>
      </w:r>
      <w:r>
        <w:rPr>
          <w:sz w:val="20"/>
        </w:rPr>
        <w:tab/>
      </w:r>
      <w:r>
        <w:rPr>
          <w:spacing w:val="-2"/>
          <w:sz w:val="20"/>
        </w:rPr>
        <w:t xml:space="preserve">EMERGÊNCIA. </w:t>
      </w:r>
      <w:r>
        <w:rPr>
          <w:sz w:val="20"/>
        </w:rPr>
        <w:t>ACOMPANHAMENTO.</w:t>
      </w:r>
      <w:r>
        <w:rPr>
          <w:spacing w:val="56"/>
          <w:w w:val="150"/>
          <w:sz w:val="20"/>
        </w:rPr>
        <w:t xml:space="preserve"> </w:t>
      </w:r>
      <w:r>
        <w:rPr>
          <w:sz w:val="20"/>
        </w:rPr>
        <w:t>EXECUÇÃO.</w:t>
      </w:r>
      <w:r>
        <w:rPr>
          <w:spacing w:val="56"/>
          <w:w w:val="150"/>
          <w:sz w:val="20"/>
        </w:rPr>
        <w:t xml:space="preserve"> </w:t>
      </w:r>
      <w:r>
        <w:rPr>
          <w:sz w:val="20"/>
        </w:rPr>
        <w:t>CONTRATO.</w:t>
      </w:r>
      <w:r>
        <w:rPr>
          <w:spacing w:val="79"/>
          <w:sz w:val="20"/>
        </w:rPr>
        <w:t xml:space="preserve"> </w:t>
      </w:r>
      <w:r>
        <w:rPr>
          <w:sz w:val="20"/>
        </w:rPr>
        <w:t>AMLURB.</w:t>
      </w:r>
      <w:r>
        <w:rPr>
          <w:spacing w:val="55"/>
          <w:w w:val="150"/>
          <w:sz w:val="20"/>
        </w:rPr>
        <w:t xml:space="preserve"> </w:t>
      </w:r>
      <w:r>
        <w:rPr>
          <w:sz w:val="20"/>
        </w:rPr>
        <w:t>1.</w:t>
      </w:r>
      <w:r>
        <w:rPr>
          <w:spacing w:val="57"/>
          <w:w w:val="150"/>
          <w:sz w:val="20"/>
        </w:rPr>
        <w:t xml:space="preserve"> </w:t>
      </w:r>
      <w:r>
        <w:rPr>
          <w:b/>
          <w:spacing w:val="-10"/>
          <w:sz w:val="20"/>
        </w:rPr>
        <w:t>O</w:t>
      </w:r>
    </w:p>
    <w:p w:rsidR="007259F2" w:rsidRDefault="00E655B4">
      <w:pPr>
        <w:spacing w:before="6"/>
        <w:ind w:left="2978" w:right="986"/>
        <w:jc w:val="both"/>
        <w:rPr>
          <w:sz w:val="20"/>
        </w:rPr>
      </w:pPr>
      <w:r>
        <w:rPr>
          <w:b/>
          <w:sz w:val="20"/>
        </w:rPr>
        <w:t xml:space="preserve">Processo de contratação deve conter orçamento detalhado do custo global, fundamentado em quantitativos de serviços e fornecimentos propriamente avaliados. </w:t>
      </w:r>
      <w:r>
        <w:rPr>
          <w:sz w:val="20"/>
        </w:rPr>
        <w:t xml:space="preserve">Art. 6º, IX, “f”, Lei 8.666/93. 2. A execução do contrato deve ser acompanhada e fiscalizada por um representante da Administração especialmente designado. Art. 67, Lei 8.666/93. 3. Os procedimentos para aplicação dos Autos de Constatação de Irregularidade Contratual devem ser realizados de forma célere e eficaz. REGULAR. DETERMINAÇÕES. 1. </w:t>
      </w:r>
      <w:r>
        <w:rPr>
          <w:b/>
          <w:sz w:val="20"/>
        </w:rPr>
        <w:t xml:space="preserve">Junte aos autos da contratação a planilha de quantitativos discriminados para cada item de serviço que compõe o serviço emergencial. 2. Justifique adequadamente a escolha do contratado. 3. Estabeleça com clareza e precisão as condições para a execução contratual. 4. Promova melhorias no processo de planejamento do roteiro de fiscalização da execução do contrato. </w:t>
      </w:r>
      <w:r>
        <w:rPr>
          <w:sz w:val="20"/>
        </w:rPr>
        <w:t>5. Promova a reestruturação de seu quadro de pessoal ou adote tecnologias úteis para auxiliar o processo de fiscalização da execução do contrato, bem como disponibilize junto aos Agentes Fiscalizadores os equipamentos necessários para o trabalho. 6. Reveja os procedimentos para acompanhamento e aplicação dos AClCs a fim de que haja maior celeridade e eficácia na execução</w:t>
      </w:r>
      <w:r>
        <w:rPr>
          <w:spacing w:val="24"/>
          <w:sz w:val="20"/>
        </w:rPr>
        <w:t xml:space="preserve"> </w:t>
      </w:r>
      <w:r>
        <w:rPr>
          <w:sz w:val="20"/>
        </w:rPr>
        <w:t>do</w:t>
      </w:r>
      <w:r>
        <w:rPr>
          <w:spacing w:val="24"/>
          <w:sz w:val="20"/>
        </w:rPr>
        <w:t xml:space="preserve"> </w:t>
      </w:r>
      <w:r>
        <w:rPr>
          <w:sz w:val="20"/>
        </w:rPr>
        <w:t>contrato.</w:t>
      </w:r>
      <w:r>
        <w:rPr>
          <w:spacing w:val="24"/>
          <w:sz w:val="20"/>
        </w:rPr>
        <w:t xml:space="preserve"> </w:t>
      </w:r>
      <w:r>
        <w:rPr>
          <w:sz w:val="20"/>
        </w:rPr>
        <w:t>7.</w:t>
      </w:r>
      <w:r>
        <w:rPr>
          <w:spacing w:val="25"/>
          <w:sz w:val="20"/>
        </w:rPr>
        <w:t xml:space="preserve"> </w:t>
      </w:r>
      <w:r>
        <w:rPr>
          <w:sz w:val="20"/>
        </w:rPr>
        <w:t>Apresente</w:t>
      </w:r>
      <w:r>
        <w:rPr>
          <w:spacing w:val="26"/>
          <w:sz w:val="20"/>
        </w:rPr>
        <w:t xml:space="preserve"> </w:t>
      </w:r>
      <w:r>
        <w:rPr>
          <w:sz w:val="20"/>
        </w:rPr>
        <w:t>a este</w:t>
      </w:r>
      <w:r>
        <w:rPr>
          <w:spacing w:val="25"/>
          <w:sz w:val="20"/>
        </w:rPr>
        <w:t xml:space="preserve"> </w:t>
      </w:r>
      <w:r>
        <w:rPr>
          <w:sz w:val="20"/>
        </w:rPr>
        <w:t>Tribunal o</w:t>
      </w:r>
      <w:r>
        <w:rPr>
          <w:spacing w:val="24"/>
          <w:sz w:val="20"/>
        </w:rPr>
        <w:t xml:space="preserve"> </w:t>
      </w:r>
      <w:r>
        <w:rPr>
          <w:sz w:val="20"/>
        </w:rPr>
        <w:t>desconto</w:t>
      </w:r>
      <w:r>
        <w:rPr>
          <w:spacing w:val="24"/>
          <w:sz w:val="20"/>
        </w:rPr>
        <w:t xml:space="preserve"> </w:t>
      </w:r>
      <w:r>
        <w:rPr>
          <w:sz w:val="20"/>
        </w:rPr>
        <w:t>do</w:t>
      </w:r>
      <w:r>
        <w:rPr>
          <w:spacing w:val="24"/>
          <w:sz w:val="20"/>
        </w:rPr>
        <w:t xml:space="preserve"> </w:t>
      </w:r>
      <w:r>
        <w:rPr>
          <w:sz w:val="20"/>
        </w:rPr>
        <w:t>valor de R$ 242.231,61</w:t>
      </w:r>
      <w:r>
        <w:rPr>
          <w:spacing w:val="40"/>
          <w:sz w:val="20"/>
        </w:rPr>
        <w:t xml:space="preserve"> </w:t>
      </w:r>
      <w:r>
        <w:rPr>
          <w:sz w:val="20"/>
        </w:rPr>
        <w:t>na</w:t>
      </w:r>
      <w:r>
        <w:rPr>
          <w:spacing w:val="40"/>
          <w:sz w:val="20"/>
        </w:rPr>
        <w:t xml:space="preserve"> </w:t>
      </w:r>
      <w:r>
        <w:rPr>
          <w:sz w:val="20"/>
        </w:rPr>
        <w:t>quarta</w:t>
      </w:r>
      <w:r>
        <w:rPr>
          <w:spacing w:val="40"/>
          <w:sz w:val="20"/>
        </w:rPr>
        <w:t xml:space="preserve"> </w:t>
      </w:r>
      <w:r>
        <w:rPr>
          <w:sz w:val="20"/>
        </w:rPr>
        <w:t>medição</w:t>
      </w:r>
      <w:r>
        <w:rPr>
          <w:spacing w:val="40"/>
          <w:sz w:val="20"/>
        </w:rPr>
        <w:t xml:space="preserve"> </w:t>
      </w:r>
      <w:r>
        <w:rPr>
          <w:sz w:val="20"/>
        </w:rPr>
        <w:t>dos</w:t>
      </w:r>
      <w:r>
        <w:rPr>
          <w:spacing w:val="40"/>
          <w:sz w:val="20"/>
        </w:rPr>
        <w:t xml:space="preserve"> </w:t>
      </w:r>
      <w:r>
        <w:rPr>
          <w:sz w:val="20"/>
        </w:rPr>
        <w:t>serviços,</w:t>
      </w:r>
      <w:r>
        <w:rPr>
          <w:spacing w:val="40"/>
          <w:sz w:val="20"/>
        </w:rPr>
        <w:t xml:space="preserve"> </w:t>
      </w:r>
      <w:r>
        <w:rPr>
          <w:sz w:val="20"/>
        </w:rPr>
        <w:t>referente</w:t>
      </w:r>
      <w:r>
        <w:rPr>
          <w:spacing w:val="40"/>
          <w:sz w:val="20"/>
        </w:rPr>
        <w:t xml:space="preserve"> </w:t>
      </w:r>
      <w:r>
        <w:rPr>
          <w:sz w:val="20"/>
        </w:rPr>
        <w:t>à</w:t>
      </w:r>
      <w:r>
        <w:rPr>
          <w:spacing w:val="40"/>
          <w:sz w:val="20"/>
        </w:rPr>
        <w:t xml:space="preserve"> </w:t>
      </w:r>
      <w:r>
        <w:rPr>
          <w:sz w:val="20"/>
        </w:rPr>
        <w:t>ADC</w:t>
      </w:r>
      <w:r>
        <w:rPr>
          <w:spacing w:val="40"/>
          <w:sz w:val="20"/>
        </w:rPr>
        <w:t xml:space="preserve"> </w:t>
      </w:r>
      <w:r>
        <w:rPr>
          <w:sz w:val="20"/>
        </w:rPr>
        <w:t>– Avaliação</w:t>
      </w:r>
      <w:r>
        <w:rPr>
          <w:spacing w:val="40"/>
          <w:sz w:val="20"/>
        </w:rPr>
        <w:t xml:space="preserve"> </w:t>
      </w:r>
      <w:r>
        <w:rPr>
          <w:sz w:val="20"/>
        </w:rPr>
        <w:t>de</w:t>
      </w:r>
      <w:r>
        <w:rPr>
          <w:spacing w:val="40"/>
          <w:sz w:val="20"/>
        </w:rPr>
        <w:t xml:space="preserve"> </w:t>
      </w:r>
      <w:r>
        <w:rPr>
          <w:sz w:val="20"/>
        </w:rPr>
        <w:t>Desempenho da Contratada.</w:t>
      </w:r>
      <w:r>
        <w:rPr>
          <w:sz w:val="20"/>
          <w:vertAlign w:val="superscript"/>
        </w:rPr>
        <w:t>22</w:t>
      </w:r>
    </w:p>
    <w:p w:rsidR="007259F2" w:rsidRDefault="007259F2">
      <w:pPr>
        <w:pStyle w:val="Corpodetexto"/>
        <w:spacing w:before="40"/>
        <w:ind w:left="0" w:firstLine="0"/>
        <w:jc w:val="left"/>
        <w:rPr>
          <w:sz w:val="20"/>
        </w:rPr>
      </w:pPr>
    </w:p>
    <w:p w:rsidR="007259F2" w:rsidRDefault="00E655B4">
      <w:pPr>
        <w:pStyle w:val="Corpodetexto"/>
        <w:ind w:right="990"/>
      </w:pPr>
      <w:r>
        <w:t>Tal</w:t>
      </w:r>
      <w:r>
        <w:rPr>
          <w:spacing w:val="-10"/>
        </w:rPr>
        <w:t xml:space="preserve"> </w:t>
      </w:r>
      <w:r>
        <w:t>orientação</w:t>
      </w:r>
      <w:r>
        <w:rPr>
          <w:spacing w:val="-10"/>
        </w:rPr>
        <w:t xml:space="preserve"> </w:t>
      </w:r>
      <w:r>
        <w:t>também</w:t>
      </w:r>
      <w:r>
        <w:rPr>
          <w:spacing w:val="-10"/>
        </w:rPr>
        <w:t xml:space="preserve"> </w:t>
      </w:r>
      <w:r>
        <w:t>vale</w:t>
      </w:r>
      <w:r>
        <w:rPr>
          <w:spacing w:val="-11"/>
        </w:rPr>
        <w:t xml:space="preserve"> </w:t>
      </w:r>
      <w:r>
        <w:t>para</w:t>
      </w:r>
      <w:r>
        <w:rPr>
          <w:spacing w:val="-12"/>
        </w:rPr>
        <w:t xml:space="preserve"> </w:t>
      </w:r>
      <w:r>
        <w:t>a</w:t>
      </w:r>
      <w:r>
        <w:rPr>
          <w:spacing w:val="-12"/>
        </w:rPr>
        <w:t xml:space="preserve"> </w:t>
      </w:r>
      <w:r>
        <w:t>necessidade</w:t>
      </w:r>
      <w:r>
        <w:rPr>
          <w:spacing w:val="-10"/>
        </w:rPr>
        <w:t xml:space="preserve"> </w:t>
      </w:r>
      <w:r>
        <w:t>de</w:t>
      </w:r>
      <w:r>
        <w:rPr>
          <w:spacing w:val="-12"/>
        </w:rPr>
        <w:t xml:space="preserve"> </w:t>
      </w:r>
      <w:r>
        <w:t>realização</w:t>
      </w:r>
      <w:r>
        <w:rPr>
          <w:spacing w:val="-10"/>
        </w:rPr>
        <w:t xml:space="preserve"> </w:t>
      </w:r>
      <w:r>
        <w:t>de</w:t>
      </w:r>
      <w:r>
        <w:rPr>
          <w:spacing w:val="-12"/>
        </w:rPr>
        <w:t xml:space="preserve"> </w:t>
      </w:r>
      <w:r>
        <w:t>pesquisa</w:t>
      </w:r>
      <w:r>
        <w:rPr>
          <w:spacing w:val="-11"/>
        </w:rPr>
        <w:t xml:space="preserve"> </w:t>
      </w:r>
      <w:r>
        <w:t>de</w:t>
      </w:r>
      <w:r>
        <w:rPr>
          <w:spacing w:val="-9"/>
        </w:rPr>
        <w:t xml:space="preserve"> </w:t>
      </w:r>
      <w:r>
        <w:t>preço antes da escolha da empresa que executará os serviços, de modo que a Administração Pública</w:t>
      </w:r>
      <w:r>
        <w:rPr>
          <w:spacing w:val="-1"/>
        </w:rPr>
        <w:t xml:space="preserve"> </w:t>
      </w:r>
      <w:r>
        <w:t>tenha mais certeza da compatibilidade dos valores das propostas com os valores praticados pelo mercado, conforme artigo 75, inciso VIII, § 6º da Lei 14.133/2021.</w:t>
      </w:r>
    </w:p>
    <w:p w:rsidR="007259F2" w:rsidRDefault="00E655B4">
      <w:pPr>
        <w:pStyle w:val="Corpodetexto"/>
        <w:ind w:right="988"/>
      </w:pPr>
      <w:r>
        <w:t>Outra irregularidade mencionada neste estudo e apontada pelo Tribunal de Contas do Município de São Paulo é a concentração de empresas contratadas, ou seja, a Administração (aqui</w:t>
      </w:r>
      <w:r>
        <w:rPr>
          <w:spacing w:val="-3"/>
        </w:rPr>
        <w:t xml:space="preserve"> </w:t>
      </w:r>
      <w:r>
        <w:t>representada</w:t>
      </w:r>
      <w:r>
        <w:rPr>
          <w:spacing w:val="-5"/>
        </w:rPr>
        <w:t xml:space="preserve"> </w:t>
      </w:r>
      <w:r>
        <w:t>por</w:t>
      </w:r>
      <w:r>
        <w:rPr>
          <w:spacing w:val="-3"/>
        </w:rPr>
        <w:t xml:space="preserve"> </w:t>
      </w:r>
      <w:r>
        <w:t>SIURB)</w:t>
      </w:r>
      <w:r>
        <w:rPr>
          <w:spacing w:val="-5"/>
        </w:rPr>
        <w:t xml:space="preserve"> </w:t>
      </w:r>
      <w:r>
        <w:t>tem</w:t>
      </w:r>
      <w:r>
        <w:rPr>
          <w:spacing w:val="-3"/>
        </w:rPr>
        <w:t xml:space="preserve"> </w:t>
      </w:r>
      <w:r>
        <w:t>contratado as</w:t>
      </w:r>
      <w:r>
        <w:rPr>
          <w:spacing w:val="-2"/>
        </w:rPr>
        <w:t xml:space="preserve"> </w:t>
      </w:r>
      <w:r>
        <w:t>mesmas empresas</w:t>
      </w:r>
      <w:r>
        <w:rPr>
          <w:spacing w:val="-1"/>
        </w:rPr>
        <w:t xml:space="preserve"> </w:t>
      </w:r>
      <w:r>
        <w:t>para a</w:t>
      </w:r>
      <w:r>
        <w:rPr>
          <w:spacing w:val="-1"/>
        </w:rPr>
        <w:t xml:space="preserve"> </w:t>
      </w:r>
      <w:r>
        <w:t>execução das obras, ou empresas com o mesmo grupo societário.</w:t>
      </w:r>
    </w:p>
    <w:p w:rsidR="007259F2" w:rsidRDefault="00E655B4">
      <w:pPr>
        <w:pStyle w:val="Corpodetexto"/>
        <w:ind w:right="998"/>
      </w:pPr>
      <w:r>
        <w:t xml:space="preserve">Tal problema é sanado pelo disposto no artigo 75, inciso VIII da Lei 14.133/2021, em que é vedada a recontratação de empresa já contratada com base no </w:t>
      </w:r>
      <w:r>
        <w:rPr>
          <w:spacing w:val="-2"/>
        </w:rPr>
        <w:t>dispositivo.</w:t>
      </w:r>
    </w:p>
    <w:p w:rsidR="007259F2" w:rsidRDefault="00E655B4">
      <w:pPr>
        <w:pStyle w:val="Corpodetexto"/>
        <w:spacing w:before="1"/>
        <w:ind w:right="988"/>
      </w:pPr>
      <w:r>
        <w:t>Sobre</w:t>
      </w:r>
      <w:r>
        <w:rPr>
          <w:spacing w:val="-15"/>
        </w:rPr>
        <w:t xml:space="preserve"> </w:t>
      </w:r>
      <w:r>
        <w:t>o</w:t>
      </w:r>
      <w:r>
        <w:rPr>
          <w:spacing w:val="-15"/>
        </w:rPr>
        <w:t xml:space="preserve"> </w:t>
      </w:r>
      <w:r>
        <w:t>tema,</w:t>
      </w:r>
      <w:r>
        <w:rPr>
          <w:spacing w:val="-15"/>
        </w:rPr>
        <w:t xml:space="preserve"> </w:t>
      </w:r>
      <w:r>
        <w:t>o</w:t>
      </w:r>
      <w:r>
        <w:rPr>
          <w:spacing w:val="-15"/>
        </w:rPr>
        <w:t xml:space="preserve"> </w:t>
      </w:r>
      <w:r>
        <w:t>Supremo</w:t>
      </w:r>
      <w:r>
        <w:rPr>
          <w:spacing w:val="-15"/>
        </w:rPr>
        <w:t xml:space="preserve"> </w:t>
      </w:r>
      <w:r>
        <w:t>Tribunal</w:t>
      </w:r>
      <w:r>
        <w:rPr>
          <w:spacing w:val="-15"/>
        </w:rPr>
        <w:t xml:space="preserve"> </w:t>
      </w:r>
      <w:r>
        <w:t>Federal</w:t>
      </w:r>
      <w:r>
        <w:rPr>
          <w:spacing w:val="-15"/>
        </w:rPr>
        <w:t xml:space="preserve"> </w:t>
      </w:r>
      <w:r>
        <w:t>estabeleceu,</w:t>
      </w:r>
      <w:r>
        <w:rPr>
          <w:spacing w:val="-15"/>
        </w:rPr>
        <w:t xml:space="preserve"> </w:t>
      </w:r>
      <w:r>
        <w:t>por</w:t>
      </w:r>
      <w:r>
        <w:rPr>
          <w:spacing w:val="-15"/>
        </w:rPr>
        <w:t xml:space="preserve"> </w:t>
      </w:r>
      <w:r>
        <w:t>meio</w:t>
      </w:r>
      <w:r>
        <w:rPr>
          <w:spacing w:val="-15"/>
        </w:rPr>
        <w:t xml:space="preserve"> </w:t>
      </w:r>
      <w:r>
        <w:t>do</w:t>
      </w:r>
      <w:r>
        <w:rPr>
          <w:spacing w:val="-15"/>
        </w:rPr>
        <w:t xml:space="preserve"> </w:t>
      </w:r>
      <w:r>
        <w:t>julgamento</w:t>
      </w:r>
      <w:r>
        <w:rPr>
          <w:spacing w:val="-15"/>
        </w:rPr>
        <w:t xml:space="preserve"> </w:t>
      </w:r>
      <w:r>
        <w:t>da Ação Direta de Inconstitucionalidade 6.890/DF, que a vedação prevista no artigo 75, inciso VIII da Lei 14.133/2021, é constitucional e incide nas recontratações fundamentadas nas mesmas situações de emergência ou calamidade pública e que ultrapassem o prazo de um ano.</w:t>
      </w:r>
    </w:p>
    <w:p w:rsidR="007259F2" w:rsidRDefault="00E655B4">
      <w:pPr>
        <w:pStyle w:val="Corpodetexto"/>
        <w:ind w:right="996"/>
      </w:pPr>
      <w:r>
        <w:t>Desse</w:t>
      </w:r>
      <w:r>
        <w:rPr>
          <w:spacing w:val="-4"/>
        </w:rPr>
        <w:t xml:space="preserve"> </w:t>
      </w:r>
      <w:r>
        <w:t>modo,</w:t>
      </w:r>
      <w:r>
        <w:rPr>
          <w:spacing w:val="-4"/>
        </w:rPr>
        <w:t xml:space="preserve"> </w:t>
      </w:r>
      <w:r>
        <w:t>o</w:t>
      </w:r>
      <w:r>
        <w:rPr>
          <w:spacing w:val="-2"/>
        </w:rPr>
        <w:t xml:space="preserve"> </w:t>
      </w:r>
      <w:r>
        <w:t>entendimento</w:t>
      </w:r>
      <w:r>
        <w:rPr>
          <w:spacing w:val="-4"/>
        </w:rPr>
        <w:t xml:space="preserve"> </w:t>
      </w:r>
      <w:r>
        <w:t>demonstra</w:t>
      </w:r>
      <w:r>
        <w:rPr>
          <w:spacing w:val="-6"/>
        </w:rPr>
        <w:t xml:space="preserve"> </w:t>
      </w:r>
      <w:r>
        <w:t>que</w:t>
      </w:r>
      <w:r>
        <w:rPr>
          <w:spacing w:val="-5"/>
        </w:rPr>
        <w:t xml:space="preserve"> </w:t>
      </w:r>
      <w:r>
        <w:t>não</w:t>
      </w:r>
      <w:r>
        <w:rPr>
          <w:spacing w:val="-2"/>
        </w:rPr>
        <w:t xml:space="preserve"> </w:t>
      </w:r>
      <w:r>
        <w:t>há</w:t>
      </w:r>
      <w:r>
        <w:rPr>
          <w:spacing w:val="-5"/>
        </w:rPr>
        <w:t xml:space="preserve"> </w:t>
      </w:r>
      <w:r>
        <w:t>impedimento</w:t>
      </w:r>
      <w:r>
        <w:rPr>
          <w:spacing w:val="-4"/>
        </w:rPr>
        <w:t xml:space="preserve"> </w:t>
      </w:r>
      <w:r>
        <w:t>da</w:t>
      </w:r>
      <w:r>
        <w:rPr>
          <w:spacing w:val="-4"/>
        </w:rPr>
        <w:t xml:space="preserve"> </w:t>
      </w:r>
      <w:r>
        <w:t>participação da empresa em procedimento licitatório que sirva como substituto da contratação direta por dispensa ou nas hipóteses em que a empresa seja contratada diretamente com base em</w:t>
      </w:r>
      <w:r>
        <w:rPr>
          <w:spacing w:val="16"/>
        </w:rPr>
        <w:t xml:space="preserve"> </w:t>
      </w:r>
      <w:r>
        <w:t>outro</w:t>
      </w:r>
      <w:r>
        <w:rPr>
          <w:spacing w:val="15"/>
        </w:rPr>
        <w:t xml:space="preserve"> </w:t>
      </w:r>
      <w:r>
        <w:t>fundamento</w:t>
      </w:r>
      <w:r>
        <w:rPr>
          <w:spacing w:val="16"/>
        </w:rPr>
        <w:t xml:space="preserve"> </w:t>
      </w:r>
      <w:r>
        <w:t>legal,</w:t>
      </w:r>
      <w:r>
        <w:rPr>
          <w:spacing w:val="16"/>
        </w:rPr>
        <w:t xml:space="preserve"> </w:t>
      </w:r>
      <w:r>
        <w:t>mesmo</w:t>
      </w:r>
      <w:r>
        <w:rPr>
          <w:spacing w:val="16"/>
        </w:rPr>
        <w:t xml:space="preserve"> </w:t>
      </w:r>
      <w:r>
        <w:t>se</w:t>
      </w:r>
      <w:r>
        <w:rPr>
          <w:spacing w:val="14"/>
        </w:rPr>
        <w:t xml:space="preserve"> </w:t>
      </w:r>
      <w:r>
        <w:t>se</w:t>
      </w:r>
      <w:r>
        <w:rPr>
          <w:spacing w:val="14"/>
        </w:rPr>
        <w:t xml:space="preserve"> </w:t>
      </w:r>
      <w:r>
        <w:t>tratar</w:t>
      </w:r>
      <w:r>
        <w:rPr>
          <w:spacing w:val="15"/>
        </w:rPr>
        <w:t xml:space="preserve"> </w:t>
      </w:r>
      <w:r>
        <w:t>de</w:t>
      </w:r>
      <w:r>
        <w:rPr>
          <w:spacing w:val="14"/>
        </w:rPr>
        <w:t xml:space="preserve"> </w:t>
      </w:r>
      <w:r>
        <w:t>situação</w:t>
      </w:r>
      <w:r>
        <w:rPr>
          <w:spacing w:val="16"/>
        </w:rPr>
        <w:t xml:space="preserve"> </w:t>
      </w:r>
      <w:r>
        <w:t>emergencial</w:t>
      </w:r>
      <w:r>
        <w:rPr>
          <w:spacing w:val="15"/>
        </w:rPr>
        <w:t xml:space="preserve"> </w:t>
      </w:r>
      <w:r>
        <w:t>ou</w:t>
      </w:r>
      <w:r>
        <w:rPr>
          <w:spacing w:val="16"/>
        </w:rPr>
        <w:t xml:space="preserve"> </w:t>
      </w:r>
      <w:r>
        <w:rPr>
          <w:spacing w:val="-2"/>
        </w:rPr>
        <w:t>calamitosa,</w:t>
      </w:r>
    </w:p>
    <w:p w:rsidR="007259F2" w:rsidRDefault="00DE6B1C">
      <w:pPr>
        <w:pStyle w:val="Corpodetexto"/>
        <w:spacing w:before="186"/>
        <w:ind w:left="0" w:firstLine="0"/>
        <w:jc w:val="left"/>
        <w:rPr>
          <w:sz w:val="20"/>
        </w:rPr>
      </w:pPr>
      <w:r w:rsidRPr="00DE6B1C">
        <w:rPr>
          <w:sz w:val="20"/>
        </w:rPr>
        <w:pict>
          <v:rect id="docshape53" o:spid="_x0000_s1173" style="position:absolute;margin-left:85.1pt;margin-top:22pt;width:2in;height:.7pt;z-index:-15709696;mso-wrap-distance-left:0;mso-wrap-distance-right:0;mso-position-horizontal-relative:page" fillcolor="black" stroked="f">
            <w10:wrap type="topAndBottom" anchorx="page"/>
          </v:rect>
        </w:pict>
      </w:r>
    </w:p>
    <w:p w:rsidR="007259F2" w:rsidRDefault="00E655B4">
      <w:pPr>
        <w:spacing w:before="97"/>
        <w:ind w:left="710" w:right="991"/>
        <w:jc w:val="both"/>
        <w:rPr>
          <w:sz w:val="20"/>
        </w:rPr>
      </w:pPr>
      <w:r>
        <w:rPr>
          <w:sz w:val="20"/>
          <w:vertAlign w:val="superscript"/>
        </w:rPr>
        <w:t>22</w:t>
      </w:r>
      <w:r>
        <w:rPr>
          <w:sz w:val="20"/>
        </w:rPr>
        <w:t xml:space="preserve"> SÃO PAULO (SP) Tribunal de Contas do Município. </w:t>
      </w:r>
      <w:r>
        <w:rPr>
          <w:b/>
          <w:sz w:val="20"/>
        </w:rPr>
        <w:t>TC/004681/2018, TC/004683/2018 e TC/010130/2018</w:t>
      </w:r>
      <w:r>
        <w:rPr>
          <w:sz w:val="20"/>
        </w:rPr>
        <w:t>, dos quais é Relator o Conselheiro JOÃO ANTONIO. ACO-UTR-348/2023 45ª Sessão Ordinária Não Presencial.</w:t>
      </w:r>
    </w:p>
    <w:p w:rsidR="007259F2" w:rsidRDefault="007259F2">
      <w:pPr>
        <w:jc w:val="both"/>
        <w:rPr>
          <w:sz w:val="20"/>
        </w:rPr>
        <w:sectPr w:rsidR="007259F2">
          <w:pgSz w:w="11910" w:h="16840"/>
          <w:pgMar w:top="1320" w:right="708" w:bottom="1160" w:left="992" w:header="0" w:footer="962" w:gutter="0"/>
          <w:cols w:space="720"/>
        </w:sectPr>
      </w:pPr>
    </w:p>
    <w:p w:rsidR="007259F2" w:rsidRDefault="00E655B4">
      <w:pPr>
        <w:pStyle w:val="Corpodetexto"/>
        <w:spacing w:before="69"/>
        <w:ind w:right="999" w:firstLine="0"/>
      </w:pPr>
      <w:r>
        <w:lastRenderedPageBreak/>
        <w:t>com a devida observância de que haverá controle de quaisquer abusos o ilegalidades oriundas da aplicação deste dispositivo.</w:t>
      </w:r>
      <w:r>
        <w:rPr>
          <w:vertAlign w:val="superscript"/>
        </w:rPr>
        <w:t>23</w:t>
      </w:r>
    </w:p>
    <w:p w:rsidR="007259F2" w:rsidRDefault="00E655B4">
      <w:pPr>
        <w:pStyle w:val="Corpodetexto"/>
        <w:spacing w:before="1"/>
        <w:ind w:right="993"/>
      </w:pPr>
      <w:r>
        <w:t>Outrossim, deve a Administração promover melhorias nos critérios de escolha das empresas, para que sejam selecionadas apenas aquelas que possuem conhecimento técnico especializado e competência para a execução do objeto do futuro contrato, bem como devida competência econômica para arcar com a demanda.</w:t>
      </w:r>
    </w:p>
    <w:p w:rsidR="007259F2" w:rsidRDefault="00E655B4">
      <w:pPr>
        <w:pStyle w:val="Corpodetexto"/>
        <w:ind w:right="987"/>
      </w:pPr>
      <w:r>
        <w:t>Vale mencionar, da mesma forma, a necessidade de ser realizada, previamente, pesquisa de todos os projetos e demandas arquivadas em cada setor dos Órgãos Municipais, para que se constate antes, a existência ou não de contrato vigente que</w:t>
      </w:r>
      <w:r>
        <w:rPr>
          <w:spacing w:val="40"/>
        </w:rPr>
        <w:t xml:space="preserve"> </w:t>
      </w:r>
      <w:r>
        <w:t>possa ser aproveitado para o saneamento da situação emergencial.</w:t>
      </w:r>
    </w:p>
    <w:p w:rsidR="007259F2" w:rsidRDefault="00E655B4">
      <w:pPr>
        <w:pStyle w:val="Corpodetexto"/>
        <w:ind w:right="988"/>
      </w:pPr>
      <w:r>
        <w:t>Os Órgãos também deverão se equipar de funcionários capazes de atender as demandas</w:t>
      </w:r>
      <w:r>
        <w:rPr>
          <w:spacing w:val="40"/>
        </w:rPr>
        <w:t xml:space="preserve"> </w:t>
      </w:r>
      <w:r>
        <w:t>emergenciais,</w:t>
      </w:r>
      <w:r>
        <w:rPr>
          <w:spacing w:val="80"/>
        </w:rPr>
        <w:t xml:space="preserve"> </w:t>
      </w:r>
      <w:r>
        <w:t>devendo,</w:t>
      </w:r>
      <w:r>
        <w:rPr>
          <w:spacing w:val="80"/>
        </w:rPr>
        <w:t xml:space="preserve"> </w:t>
      </w:r>
      <w:r>
        <w:t>portanto,</w:t>
      </w:r>
      <w:r>
        <w:rPr>
          <w:spacing w:val="80"/>
        </w:rPr>
        <w:t xml:space="preserve"> </w:t>
      </w:r>
      <w:r>
        <w:t>ter</w:t>
      </w:r>
      <w:r>
        <w:rPr>
          <w:spacing w:val="80"/>
        </w:rPr>
        <w:t xml:space="preserve"> </w:t>
      </w:r>
      <w:r>
        <w:t>quantidade</w:t>
      </w:r>
      <w:r>
        <w:rPr>
          <w:spacing w:val="80"/>
        </w:rPr>
        <w:t xml:space="preserve"> </w:t>
      </w:r>
      <w:r>
        <w:t>de</w:t>
      </w:r>
      <w:r>
        <w:rPr>
          <w:spacing w:val="80"/>
        </w:rPr>
        <w:t xml:space="preserve"> </w:t>
      </w:r>
      <w:r>
        <w:t>fiscais</w:t>
      </w:r>
      <w:r>
        <w:rPr>
          <w:spacing w:val="80"/>
        </w:rPr>
        <w:t xml:space="preserve"> </w:t>
      </w:r>
      <w:r>
        <w:t>suficiente para</w:t>
      </w:r>
      <w:r>
        <w:rPr>
          <w:spacing w:val="40"/>
        </w:rPr>
        <w:t xml:space="preserve"> </w:t>
      </w:r>
      <w:r>
        <w:t>o</w:t>
      </w:r>
      <w:r>
        <w:rPr>
          <w:spacing w:val="40"/>
        </w:rPr>
        <w:t xml:space="preserve"> </w:t>
      </w:r>
      <w:r>
        <w:t>número</w:t>
      </w:r>
      <w:r>
        <w:rPr>
          <w:spacing w:val="40"/>
        </w:rPr>
        <w:t xml:space="preserve"> </w:t>
      </w:r>
      <w:r>
        <w:t>de</w:t>
      </w:r>
      <w:r>
        <w:rPr>
          <w:spacing w:val="-12"/>
        </w:rPr>
        <w:t xml:space="preserve"> </w:t>
      </w:r>
      <w:r>
        <w:t>contratações</w:t>
      </w:r>
      <w:r>
        <w:rPr>
          <w:spacing w:val="-9"/>
        </w:rPr>
        <w:t xml:space="preserve"> </w:t>
      </w:r>
      <w:r>
        <w:t>realizadas,</w:t>
      </w:r>
      <w:r>
        <w:rPr>
          <w:spacing w:val="-12"/>
        </w:rPr>
        <w:t xml:space="preserve"> </w:t>
      </w:r>
      <w:r>
        <w:t>a</w:t>
      </w:r>
      <w:r>
        <w:rPr>
          <w:spacing w:val="-14"/>
        </w:rPr>
        <w:t xml:space="preserve"> </w:t>
      </w:r>
      <w:r>
        <w:t>fim</w:t>
      </w:r>
      <w:r>
        <w:rPr>
          <w:spacing w:val="-12"/>
        </w:rPr>
        <w:t xml:space="preserve"> </w:t>
      </w:r>
      <w:r>
        <w:t>de</w:t>
      </w:r>
      <w:r>
        <w:rPr>
          <w:spacing w:val="-14"/>
        </w:rPr>
        <w:t xml:space="preserve"> </w:t>
      </w:r>
      <w:r>
        <w:t>que</w:t>
      </w:r>
      <w:r>
        <w:rPr>
          <w:spacing w:val="-14"/>
        </w:rPr>
        <w:t xml:space="preserve"> </w:t>
      </w:r>
      <w:r>
        <w:t>nenhuma</w:t>
      </w:r>
      <w:r>
        <w:rPr>
          <w:spacing w:val="-13"/>
        </w:rPr>
        <w:t xml:space="preserve"> </w:t>
      </w:r>
      <w:r>
        <w:t>execução</w:t>
      </w:r>
      <w:r>
        <w:rPr>
          <w:spacing w:val="-12"/>
        </w:rPr>
        <w:t xml:space="preserve"> </w:t>
      </w:r>
      <w:r>
        <w:t>seja</w:t>
      </w:r>
      <w:r>
        <w:rPr>
          <w:spacing w:val="-13"/>
        </w:rPr>
        <w:t xml:space="preserve"> </w:t>
      </w:r>
      <w:r>
        <w:t>mantida e concluída sem a devida fiscalização da administração.</w:t>
      </w:r>
    </w:p>
    <w:p w:rsidR="007259F2" w:rsidRDefault="00E655B4">
      <w:pPr>
        <w:pStyle w:val="Corpodetexto"/>
        <w:spacing w:before="1"/>
        <w:ind w:right="990"/>
      </w:pPr>
      <w:r>
        <w:t>Por fim, é imperioso que a Administração Pública e as empresas contratadas apresentem planejamento e cronograma bem elaborados, com o objetivo de que os prazos legais sejam cumpridos (seja de 180 dias para os contratos da Lei 8.666/93 ou 1 ano para os contratos da Lei 14.133/2021) e sejam estes suficientes para enfrentar a situação emergencial.</w:t>
      </w:r>
    </w:p>
    <w:p w:rsidR="007259F2" w:rsidRDefault="00E655B4">
      <w:pPr>
        <w:pStyle w:val="Heading2"/>
        <w:numPr>
          <w:ilvl w:val="0"/>
          <w:numId w:val="41"/>
        </w:numPr>
        <w:tabs>
          <w:tab w:val="left" w:pos="884"/>
        </w:tabs>
        <w:spacing w:before="206"/>
        <w:ind w:left="884" w:hanging="174"/>
        <w:jc w:val="left"/>
      </w:pPr>
      <w:r>
        <w:rPr>
          <w:spacing w:val="-2"/>
        </w:rPr>
        <w:t>Conclusão</w:t>
      </w:r>
    </w:p>
    <w:p w:rsidR="007259F2" w:rsidRDefault="00E655B4">
      <w:pPr>
        <w:pStyle w:val="Corpodetexto"/>
        <w:spacing w:before="156"/>
        <w:ind w:right="986"/>
      </w:pPr>
      <w:r>
        <w:t>A partir da análise dos estudos e auditorias realizadas pelo Tribunal de Contas</w:t>
      </w:r>
      <w:r>
        <w:rPr>
          <w:spacing w:val="80"/>
        </w:rPr>
        <w:t xml:space="preserve"> </w:t>
      </w:r>
      <w:r>
        <w:t>do Município</w:t>
      </w:r>
      <w:r>
        <w:rPr>
          <w:spacing w:val="-3"/>
        </w:rPr>
        <w:t xml:space="preserve"> </w:t>
      </w:r>
      <w:r>
        <w:t>de</w:t>
      </w:r>
      <w:r>
        <w:rPr>
          <w:spacing w:val="-7"/>
        </w:rPr>
        <w:t xml:space="preserve"> </w:t>
      </w:r>
      <w:r>
        <w:t>São</w:t>
      </w:r>
      <w:r>
        <w:rPr>
          <w:spacing w:val="-3"/>
        </w:rPr>
        <w:t xml:space="preserve"> </w:t>
      </w:r>
      <w:r>
        <w:t>Paulo</w:t>
      </w:r>
      <w:r>
        <w:rPr>
          <w:spacing w:val="-2"/>
        </w:rPr>
        <w:t xml:space="preserve"> </w:t>
      </w:r>
      <w:r>
        <w:t>e</w:t>
      </w:r>
      <w:r>
        <w:rPr>
          <w:spacing w:val="-7"/>
        </w:rPr>
        <w:t xml:space="preserve"> </w:t>
      </w:r>
      <w:r>
        <w:t>pela</w:t>
      </w:r>
      <w:r>
        <w:rPr>
          <w:spacing w:val="-4"/>
        </w:rPr>
        <w:t xml:space="preserve"> </w:t>
      </w:r>
      <w:r>
        <w:t>Controladoria Geral</w:t>
      </w:r>
      <w:r>
        <w:rPr>
          <w:spacing w:val="-5"/>
        </w:rPr>
        <w:t xml:space="preserve"> </w:t>
      </w:r>
      <w:r>
        <w:t>do</w:t>
      </w:r>
      <w:r>
        <w:rPr>
          <w:spacing w:val="-3"/>
        </w:rPr>
        <w:t xml:space="preserve"> </w:t>
      </w:r>
      <w:r>
        <w:t>Município</w:t>
      </w:r>
      <w:r>
        <w:rPr>
          <w:spacing w:val="-3"/>
        </w:rPr>
        <w:t xml:space="preserve"> </w:t>
      </w:r>
      <w:r>
        <w:t>de</w:t>
      </w:r>
      <w:r>
        <w:rPr>
          <w:spacing w:val="-4"/>
        </w:rPr>
        <w:t xml:space="preserve"> </w:t>
      </w:r>
      <w:r>
        <w:t>São Paulo,</w:t>
      </w:r>
      <w:r>
        <w:rPr>
          <w:spacing w:val="-3"/>
        </w:rPr>
        <w:t xml:space="preserve"> </w:t>
      </w:r>
      <w:r>
        <w:t>entre o período de 2021 e 2024, observou-se um aumento expressivo nas contratações emergenciais, impulsionando, por consequência, as irregularidades nas execuções das obras, em especial pelo uso da “emergência fabricada”.</w:t>
      </w:r>
    </w:p>
    <w:p w:rsidR="007259F2" w:rsidRDefault="00E655B4">
      <w:pPr>
        <w:pStyle w:val="Corpodetexto"/>
        <w:spacing w:before="1"/>
        <w:ind w:right="991"/>
      </w:pPr>
      <w:r>
        <w:t>Tais</w:t>
      </w:r>
      <w:r>
        <w:rPr>
          <w:spacing w:val="-2"/>
        </w:rPr>
        <w:t xml:space="preserve"> </w:t>
      </w:r>
      <w:r>
        <w:t>contratações, que</w:t>
      </w:r>
      <w:r>
        <w:rPr>
          <w:spacing w:val="-1"/>
        </w:rPr>
        <w:t xml:space="preserve"> </w:t>
      </w:r>
      <w:r>
        <w:t>deveriam</w:t>
      </w:r>
      <w:r>
        <w:rPr>
          <w:spacing w:val="-11"/>
        </w:rPr>
        <w:t xml:space="preserve"> </w:t>
      </w:r>
      <w:r>
        <w:t>ser</w:t>
      </w:r>
      <w:r>
        <w:rPr>
          <w:spacing w:val="-12"/>
        </w:rPr>
        <w:t xml:space="preserve"> </w:t>
      </w:r>
      <w:r>
        <w:t>justificadas</w:t>
      </w:r>
      <w:r>
        <w:rPr>
          <w:spacing w:val="-11"/>
        </w:rPr>
        <w:t xml:space="preserve"> </w:t>
      </w:r>
      <w:r>
        <w:t>por</w:t>
      </w:r>
      <w:r>
        <w:rPr>
          <w:spacing w:val="-12"/>
        </w:rPr>
        <w:t xml:space="preserve"> </w:t>
      </w:r>
      <w:r>
        <w:t>situações</w:t>
      </w:r>
      <w:r>
        <w:rPr>
          <w:spacing w:val="-11"/>
        </w:rPr>
        <w:t xml:space="preserve"> </w:t>
      </w:r>
      <w:r>
        <w:t>urgentes,</w:t>
      </w:r>
      <w:r>
        <w:rPr>
          <w:spacing w:val="-11"/>
        </w:rPr>
        <w:t xml:space="preserve"> </w:t>
      </w:r>
      <w:r>
        <w:t>de</w:t>
      </w:r>
      <w:r>
        <w:rPr>
          <w:spacing w:val="-10"/>
        </w:rPr>
        <w:t xml:space="preserve"> </w:t>
      </w:r>
      <w:r>
        <w:t>grande risco, extraordinárias e imprevisíveis, revelaram-se, na realidade, uma via para práticas de infrações nos procedimentos de contratação direta.</w:t>
      </w:r>
    </w:p>
    <w:p w:rsidR="007259F2" w:rsidRDefault="00E655B4">
      <w:pPr>
        <w:pStyle w:val="Corpodetexto"/>
        <w:ind w:right="991"/>
      </w:pPr>
      <w:r>
        <w:t>Nesse contexto, vemos que o Tribunal de Contas tem atuado de maneira</w:t>
      </w:r>
      <w:r>
        <w:rPr>
          <w:spacing w:val="40"/>
        </w:rPr>
        <w:t xml:space="preserve"> </w:t>
      </w:r>
      <w:r>
        <w:t>rigorosa, na apuração das irregularidades, aplicando as devidas penalidades aos agentes públicos,</w:t>
      </w:r>
      <w:r>
        <w:rPr>
          <w:spacing w:val="-3"/>
        </w:rPr>
        <w:t xml:space="preserve"> </w:t>
      </w:r>
      <w:r>
        <w:t>como</w:t>
      </w:r>
      <w:r>
        <w:rPr>
          <w:spacing w:val="-3"/>
        </w:rPr>
        <w:t xml:space="preserve"> </w:t>
      </w:r>
      <w:r>
        <w:t>advertências</w:t>
      </w:r>
      <w:r>
        <w:rPr>
          <w:spacing w:val="-5"/>
        </w:rPr>
        <w:t xml:space="preserve"> </w:t>
      </w:r>
      <w:r>
        <w:t>e</w:t>
      </w:r>
      <w:r>
        <w:rPr>
          <w:spacing w:val="-14"/>
        </w:rPr>
        <w:t xml:space="preserve"> </w:t>
      </w:r>
      <w:r>
        <w:t>multas,</w:t>
      </w:r>
      <w:r>
        <w:rPr>
          <w:spacing w:val="-13"/>
        </w:rPr>
        <w:t xml:space="preserve"> </w:t>
      </w:r>
      <w:r>
        <w:t>na</w:t>
      </w:r>
      <w:r>
        <w:rPr>
          <w:spacing w:val="-14"/>
        </w:rPr>
        <w:t xml:space="preserve"> </w:t>
      </w:r>
      <w:r>
        <w:t>medida</w:t>
      </w:r>
      <w:r>
        <w:rPr>
          <w:spacing w:val="-6"/>
        </w:rPr>
        <w:t xml:space="preserve"> </w:t>
      </w:r>
      <w:r>
        <w:t>da</w:t>
      </w:r>
      <w:r>
        <w:rPr>
          <w:spacing w:val="-14"/>
        </w:rPr>
        <w:t xml:space="preserve"> </w:t>
      </w:r>
      <w:r>
        <w:t>gravidade</w:t>
      </w:r>
      <w:r>
        <w:rPr>
          <w:spacing w:val="-9"/>
        </w:rPr>
        <w:t xml:space="preserve"> </w:t>
      </w:r>
      <w:r>
        <w:t>dos</w:t>
      </w:r>
      <w:r>
        <w:rPr>
          <w:spacing w:val="-10"/>
        </w:rPr>
        <w:t xml:space="preserve"> </w:t>
      </w:r>
      <w:r>
        <w:t>atos,</w:t>
      </w:r>
      <w:r>
        <w:rPr>
          <w:spacing w:val="-12"/>
        </w:rPr>
        <w:t xml:space="preserve"> </w:t>
      </w:r>
      <w:r>
        <w:t>para</w:t>
      </w:r>
      <w:r>
        <w:rPr>
          <w:spacing w:val="-11"/>
        </w:rPr>
        <w:t xml:space="preserve"> </w:t>
      </w:r>
      <w:r>
        <w:t>garantir</w:t>
      </w:r>
      <w:r>
        <w:rPr>
          <w:spacing w:val="-8"/>
        </w:rPr>
        <w:t xml:space="preserve"> </w:t>
      </w:r>
      <w:r>
        <w:t>que haja observância dos preceitos legais e dos princípios que norteiam o direito, para que, ainda, os recursos públicos sejam aplicados de forma correta.</w:t>
      </w:r>
    </w:p>
    <w:p w:rsidR="007259F2" w:rsidRDefault="00E655B4">
      <w:pPr>
        <w:pStyle w:val="Corpodetexto"/>
        <w:ind w:right="994"/>
      </w:pPr>
      <w:r>
        <w:t xml:space="preserve">Paralelamente, a Controladoria tem desempenhado um papel fundamental no monitoramento destas mesmas irregularidades, por meio da realização de investigações e pela instauração de sindicâncias, com o objetivo de apurar as responsabilidades dos </w:t>
      </w:r>
      <w:r>
        <w:rPr>
          <w:spacing w:val="-2"/>
        </w:rPr>
        <w:t>envolvidos.</w:t>
      </w:r>
    </w:p>
    <w:p w:rsidR="007259F2" w:rsidRDefault="00E655B4">
      <w:pPr>
        <w:pStyle w:val="Corpodetexto"/>
        <w:spacing w:before="1"/>
        <w:ind w:right="988"/>
      </w:pPr>
      <w:r>
        <w:t>Além das penalidades já mencionadas, também podemos observar que os</w:t>
      </w:r>
      <w:r>
        <w:rPr>
          <w:spacing w:val="40"/>
        </w:rPr>
        <w:t xml:space="preserve"> </w:t>
      </w:r>
      <w:r>
        <w:t>agentes</w:t>
      </w:r>
      <w:r>
        <w:rPr>
          <w:spacing w:val="-1"/>
        </w:rPr>
        <w:t xml:space="preserve"> </w:t>
      </w:r>
      <w:r>
        <w:t>públicos envolvidos nas irregularidades poderão ser alvo de</w:t>
      </w:r>
      <w:r>
        <w:rPr>
          <w:spacing w:val="-1"/>
        </w:rPr>
        <w:t xml:space="preserve"> </w:t>
      </w:r>
      <w:r>
        <w:t>medidas ainda</w:t>
      </w:r>
      <w:r>
        <w:rPr>
          <w:spacing w:val="-1"/>
        </w:rPr>
        <w:t xml:space="preserve"> </w:t>
      </w:r>
      <w:r>
        <w:t>mais severas, conforme os ditames da Lei de Improbidade, que abrange penalidades como a perda dos bens, perda</w:t>
      </w:r>
      <w:r>
        <w:rPr>
          <w:spacing w:val="-4"/>
        </w:rPr>
        <w:t xml:space="preserve"> </w:t>
      </w:r>
      <w:r>
        <w:t>da</w:t>
      </w:r>
      <w:r>
        <w:rPr>
          <w:spacing w:val="-2"/>
        </w:rPr>
        <w:t xml:space="preserve"> </w:t>
      </w:r>
      <w:r>
        <w:t>função</w:t>
      </w:r>
      <w:r>
        <w:rPr>
          <w:spacing w:val="-3"/>
        </w:rPr>
        <w:t xml:space="preserve"> </w:t>
      </w:r>
      <w:r>
        <w:t>pública,</w:t>
      </w:r>
      <w:r>
        <w:rPr>
          <w:spacing w:val="-3"/>
        </w:rPr>
        <w:t xml:space="preserve"> </w:t>
      </w:r>
      <w:r>
        <w:t>suspensão</w:t>
      </w:r>
      <w:r>
        <w:rPr>
          <w:spacing w:val="-3"/>
        </w:rPr>
        <w:t xml:space="preserve"> </w:t>
      </w:r>
      <w:r>
        <w:t>dos</w:t>
      </w:r>
      <w:r>
        <w:rPr>
          <w:spacing w:val="-1"/>
        </w:rPr>
        <w:t xml:space="preserve"> </w:t>
      </w:r>
      <w:r>
        <w:t>direitos políticos,</w:t>
      </w:r>
      <w:r>
        <w:rPr>
          <w:spacing w:val="-3"/>
        </w:rPr>
        <w:t xml:space="preserve"> </w:t>
      </w:r>
      <w:r>
        <w:t>pagamento</w:t>
      </w:r>
      <w:r>
        <w:rPr>
          <w:spacing w:val="-3"/>
        </w:rPr>
        <w:t xml:space="preserve"> </w:t>
      </w:r>
      <w:r>
        <w:t>de multa</w:t>
      </w:r>
      <w:r>
        <w:rPr>
          <w:spacing w:val="-2"/>
        </w:rPr>
        <w:t xml:space="preserve"> </w:t>
      </w:r>
      <w:r>
        <w:t>civil,</w:t>
      </w:r>
      <w:r>
        <w:rPr>
          <w:spacing w:val="-4"/>
        </w:rPr>
        <w:t xml:space="preserve"> </w:t>
      </w:r>
      <w:r>
        <w:t>a</w:t>
      </w:r>
      <w:r>
        <w:rPr>
          <w:spacing w:val="-6"/>
        </w:rPr>
        <w:t xml:space="preserve"> </w:t>
      </w:r>
      <w:r>
        <w:t>proibição de contratar ou receber benefícios ou incentivos fiscais.</w:t>
      </w:r>
    </w:p>
    <w:p w:rsidR="007259F2" w:rsidRDefault="00E655B4">
      <w:pPr>
        <w:pStyle w:val="Corpodetexto"/>
        <w:ind w:right="989"/>
      </w:pPr>
      <w:r>
        <w:t>Restou claro que, as medidas mencionadas são aplicadas com o objetivo de não apenas</w:t>
      </w:r>
      <w:r>
        <w:rPr>
          <w:spacing w:val="42"/>
        </w:rPr>
        <w:t xml:space="preserve"> </w:t>
      </w:r>
      <w:r>
        <w:t>punir</w:t>
      </w:r>
      <w:r>
        <w:rPr>
          <w:spacing w:val="46"/>
        </w:rPr>
        <w:t xml:space="preserve"> </w:t>
      </w:r>
      <w:r>
        <w:t>as</w:t>
      </w:r>
      <w:r>
        <w:rPr>
          <w:spacing w:val="47"/>
        </w:rPr>
        <w:t xml:space="preserve"> </w:t>
      </w:r>
      <w:r>
        <w:t>condutas</w:t>
      </w:r>
      <w:r>
        <w:rPr>
          <w:spacing w:val="44"/>
        </w:rPr>
        <w:t xml:space="preserve"> </w:t>
      </w:r>
      <w:r>
        <w:t>inadequadas,</w:t>
      </w:r>
      <w:r>
        <w:rPr>
          <w:spacing w:val="46"/>
        </w:rPr>
        <w:t xml:space="preserve"> </w:t>
      </w:r>
      <w:r>
        <w:t>mas</w:t>
      </w:r>
      <w:r>
        <w:rPr>
          <w:spacing w:val="45"/>
        </w:rPr>
        <w:t xml:space="preserve"> </w:t>
      </w:r>
      <w:r>
        <w:t>também</w:t>
      </w:r>
      <w:r>
        <w:rPr>
          <w:spacing w:val="44"/>
        </w:rPr>
        <w:t xml:space="preserve"> </w:t>
      </w:r>
      <w:r>
        <w:t>para</w:t>
      </w:r>
      <w:r>
        <w:rPr>
          <w:spacing w:val="44"/>
        </w:rPr>
        <w:t xml:space="preserve"> </w:t>
      </w:r>
      <w:r>
        <w:t>estabelecer</w:t>
      </w:r>
      <w:r>
        <w:rPr>
          <w:spacing w:val="43"/>
        </w:rPr>
        <w:t xml:space="preserve"> </w:t>
      </w:r>
      <w:r>
        <w:t>um</w:t>
      </w:r>
      <w:r>
        <w:rPr>
          <w:spacing w:val="45"/>
        </w:rPr>
        <w:t xml:space="preserve"> </w:t>
      </w:r>
      <w:r>
        <w:rPr>
          <w:spacing w:val="-2"/>
        </w:rPr>
        <w:t>precedente</w:t>
      </w:r>
    </w:p>
    <w:p w:rsidR="007259F2" w:rsidRDefault="00DE6B1C">
      <w:pPr>
        <w:pStyle w:val="Corpodetexto"/>
        <w:spacing w:before="4"/>
        <w:ind w:left="0" w:firstLine="0"/>
        <w:jc w:val="left"/>
        <w:rPr>
          <w:sz w:val="17"/>
        </w:rPr>
      </w:pPr>
      <w:r w:rsidRPr="00DE6B1C">
        <w:rPr>
          <w:sz w:val="17"/>
        </w:rPr>
        <w:pict>
          <v:rect id="docshape54" o:spid="_x0000_s1172" style="position:absolute;margin-left:85.1pt;margin-top:11.2pt;width:2in;height:.7pt;z-index:-15709184;mso-wrap-distance-left:0;mso-wrap-distance-right:0;mso-position-horizontal-relative:page" fillcolor="black" stroked="f">
            <w10:wrap type="topAndBottom" anchorx="page"/>
          </v:rect>
        </w:pict>
      </w:r>
    </w:p>
    <w:p w:rsidR="007259F2" w:rsidRDefault="00E655B4">
      <w:pPr>
        <w:spacing w:before="96"/>
        <w:ind w:left="710" w:right="992"/>
        <w:jc w:val="both"/>
        <w:rPr>
          <w:sz w:val="20"/>
        </w:rPr>
      </w:pPr>
      <w:r>
        <w:rPr>
          <w:sz w:val="20"/>
          <w:vertAlign w:val="superscript"/>
        </w:rPr>
        <w:t>23</w:t>
      </w:r>
      <w:r>
        <w:rPr>
          <w:sz w:val="20"/>
        </w:rPr>
        <w:t xml:space="preserve"> BRASIL. Supremo Tribunal. </w:t>
      </w:r>
      <w:r>
        <w:rPr>
          <w:b/>
          <w:sz w:val="20"/>
        </w:rPr>
        <w:t>Ação Direta de Inconstitucionalidade nº 6.890</w:t>
      </w:r>
      <w:r>
        <w:rPr>
          <w:sz w:val="20"/>
        </w:rPr>
        <w:t>. Distrito Federal. Plenário. Lei 14.133-2021 artigo 75, inciso VIII, parte final. Relator Min. Cristiano Zanin. Data da</w:t>
      </w:r>
      <w:r>
        <w:rPr>
          <w:spacing w:val="40"/>
          <w:sz w:val="20"/>
        </w:rPr>
        <w:t xml:space="preserve"> </w:t>
      </w:r>
      <w:r>
        <w:rPr>
          <w:sz w:val="20"/>
        </w:rPr>
        <w:t>sessão: 09.09.2024. Disponível em: https://portal.stf.jus.br/processos/detalhe.asp?incidente=6201037. Acesso em 15 jan.2025.</w:t>
      </w:r>
    </w:p>
    <w:p w:rsidR="007259F2" w:rsidRDefault="007259F2">
      <w:pPr>
        <w:jc w:val="both"/>
        <w:rPr>
          <w:sz w:val="20"/>
        </w:rPr>
        <w:sectPr w:rsidR="007259F2">
          <w:pgSz w:w="11910" w:h="16840"/>
          <w:pgMar w:top="1320" w:right="708" w:bottom="1160" w:left="992" w:header="0" w:footer="962" w:gutter="0"/>
          <w:cols w:space="720"/>
        </w:sectPr>
      </w:pPr>
    </w:p>
    <w:p w:rsidR="007259F2" w:rsidRDefault="00E655B4">
      <w:pPr>
        <w:pStyle w:val="Corpodetexto"/>
        <w:spacing w:before="69"/>
        <w:ind w:right="993" w:firstLine="0"/>
      </w:pPr>
      <w:r>
        <w:lastRenderedPageBreak/>
        <w:t xml:space="preserve">importante para desestimular a ocorrência de novos casos de irregularidades no setor </w:t>
      </w:r>
      <w:r>
        <w:rPr>
          <w:spacing w:val="-2"/>
        </w:rPr>
        <w:t>público.</w:t>
      </w:r>
    </w:p>
    <w:p w:rsidR="007259F2" w:rsidRDefault="00E655B4">
      <w:pPr>
        <w:pStyle w:val="Corpodetexto"/>
        <w:spacing w:before="1"/>
        <w:ind w:right="988"/>
      </w:pPr>
      <w:r>
        <w:t>Ademais, podemos observar que a atuação dos Órgãos de Controle Municipais tem</w:t>
      </w:r>
      <w:r>
        <w:rPr>
          <w:spacing w:val="-2"/>
        </w:rPr>
        <w:t xml:space="preserve"> </w:t>
      </w:r>
      <w:r>
        <w:t>sido importante para que a integridade dos processos seja mantida, bem como para que a gestão pública possa ser dirigida com responsabilidade e transparência, de modo que, cada vez mais, as irregularidades encontradas nos procedimentos sejam</w:t>
      </w:r>
      <w:r>
        <w:rPr>
          <w:spacing w:val="80"/>
        </w:rPr>
        <w:t xml:space="preserve"> </w:t>
      </w:r>
      <w:r>
        <w:rPr>
          <w:spacing w:val="-2"/>
        </w:rPr>
        <w:t>diminuídas.</w:t>
      </w:r>
    </w:p>
    <w:p w:rsidR="007259F2" w:rsidRDefault="00E655B4">
      <w:pPr>
        <w:pStyle w:val="Corpodetexto"/>
        <w:ind w:right="990"/>
      </w:pPr>
      <w:r>
        <w:t>Assim, esta atuação rigorosa permite que a Administração Pública possa aprimorar</w:t>
      </w:r>
      <w:r>
        <w:rPr>
          <w:spacing w:val="-3"/>
        </w:rPr>
        <w:t xml:space="preserve"> </w:t>
      </w:r>
      <w:r>
        <w:t>seus procedimentos, para</w:t>
      </w:r>
      <w:r>
        <w:rPr>
          <w:spacing w:val="-4"/>
        </w:rPr>
        <w:t xml:space="preserve"> </w:t>
      </w:r>
      <w:r>
        <w:t>que</w:t>
      </w:r>
      <w:r>
        <w:rPr>
          <w:spacing w:val="-3"/>
        </w:rPr>
        <w:t xml:space="preserve"> </w:t>
      </w:r>
      <w:r>
        <w:t>não</w:t>
      </w:r>
      <w:r>
        <w:rPr>
          <w:spacing w:val="-2"/>
        </w:rPr>
        <w:t xml:space="preserve"> </w:t>
      </w:r>
      <w:r>
        <w:t>recaia</w:t>
      </w:r>
      <w:r>
        <w:rPr>
          <w:spacing w:val="-2"/>
        </w:rPr>
        <w:t xml:space="preserve"> </w:t>
      </w:r>
      <w:r>
        <w:t>em</w:t>
      </w:r>
      <w:r>
        <w:rPr>
          <w:spacing w:val="-2"/>
        </w:rPr>
        <w:t xml:space="preserve"> </w:t>
      </w:r>
      <w:r>
        <w:t>novas irregularidades,</w:t>
      </w:r>
      <w:r>
        <w:rPr>
          <w:spacing w:val="-1"/>
        </w:rPr>
        <w:t xml:space="preserve"> </w:t>
      </w:r>
      <w:r>
        <w:t>bem</w:t>
      </w:r>
      <w:r>
        <w:rPr>
          <w:spacing w:val="-2"/>
        </w:rPr>
        <w:t xml:space="preserve"> </w:t>
      </w:r>
      <w:r>
        <w:t>como para</w:t>
      </w:r>
      <w:r>
        <w:rPr>
          <w:spacing w:val="-15"/>
        </w:rPr>
        <w:t xml:space="preserve"> </w:t>
      </w:r>
      <w:r>
        <w:t>que</w:t>
      </w:r>
      <w:r>
        <w:rPr>
          <w:spacing w:val="-14"/>
        </w:rPr>
        <w:t xml:space="preserve"> </w:t>
      </w:r>
      <w:r>
        <w:t>os</w:t>
      </w:r>
      <w:r>
        <w:rPr>
          <w:spacing w:val="-10"/>
        </w:rPr>
        <w:t xml:space="preserve"> </w:t>
      </w:r>
      <w:r>
        <w:t xml:space="preserve">princípios da legalidade, moralidade, isonomia e eficiência sejam totalmente </w:t>
      </w:r>
      <w:r>
        <w:rPr>
          <w:spacing w:val="-2"/>
        </w:rPr>
        <w:t>observados.</w:t>
      </w:r>
    </w:p>
    <w:p w:rsidR="007259F2" w:rsidRDefault="00E655B4">
      <w:pPr>
        <w:pStyle w:val="Corpodetexto"/>
        <w:ind w:right="986"/>
      </w:pPr>
      <w:r>
        <w:t>Vale ressaltar, ainda, que existem diversas maneiras de mitigar as consequências negativas das contratações emergenciais baseadas na emergência fabricada e essas medidas devem ser adotadas pelo Município de São Paulo com o objetivo de reduzir os impactos prejudiciais tanto para a Administração, quanto para os agentes públicos e a própria</w:t>
      </w:r>
      <w:r>
        <w:rPr>
          <w:spacing w:val="-9"/>
        </w:rPr>
        <w:t xml:space="preserve"> </w:t>
      </w:r>
      <w:r>
        <w:t>sociedade.</w:t>
      </w:r>
    </w:p>
    <w:p w:rsidR="007259F2" w:rsidRDefault="00E655B4">
      <w:pPr>
        <w:pStyle w:val="Corpodetexto"/>
        <w:spacing w:before="1"/>
        <w:ind w:right="986"/>
      </w:pPr>
      <w:r>
        <w:t>Entre as ações implementadas, destaca-se a intensificação da fiscalização, planejamento completo e eficaz, avaliação das intervenções necessárias e históricas da cidade de São Paulo, bem como a promoção das emergências no menor prazo e com o objeto mais limitado possível.</w:t>
      </w:r>
    </w:p>
    <w:p w:rsidR="007259F2" w:rsidRDefault="00E655B4">
      <w:pPr>
        <w:pStyle w:val="Corpodetexto"/>
        <w:ind w:right="991"/>
      </w:pPr>
      <w:r>
        <w:t>Além disso, é importante que seja elaborado relatório de vistoria adequado e detalhado, com o objetivo de</w:t>
      </w:r>
      <w:r>
        <w:rPr>
          <w:spacing w:val="-1"/>
        </w:rPr>
        <w:t xml:space="preserve"> </w:t>
      </w:r>
      <w:r>
        <w:t>que</w:t>
      </w:r>
      <w:r>
        <w:rPr>
          <w:spacing w:val="-1"/>
        </w:rPr>
        <w:t xml:space="preserve"> </w:t>
      </w:r>
      <w:r>
        <w:t>seja</w:t>
      </w:r>
      <w:r>
        <w:rPr>
          <w:spacing w:val="-1"/>
        </w:rPr>
        <w:t xml:space="preserve"> </w:t>
      </w:r>
      <w:r>
        <w:t>feito plano de</w:t>
      </w:r>
      <w:r>
        <w:rPr>
          <w:spacing w:val="-1"/>
        </w:rPr>
        <w:t xml:space="preserve"> </w:t>
      </w:r>
      <w:r>
        <w:t>trabalho eficiente</w:t>
      </w:r>
      <w:r>
        <w:rPr>
          <w:spacing w:val="-1"/>
        </w:rPr>
        <w:t xml:space="preserve"> </w:t>
      </w:r>
      <w:r>
        <w:t>e capaz de</w:t>
      </w:r>
      <w:r>
        <w:rPr>
          <w:spacing w:val="-1"/>
        </w:rPr>
        <w:t xml:space="preserve"> </w:t>
      </w:r>
      <w:r>
        <w:t>sanear o problema da emergência, entre outras medidas que trarão mais consistência nos procedimentos realizados pela PMSP.</w:t>
      </w:r>
    </w:p>
    <w:p w:rsidR="007259F2" w:rsidRDefault="00E655B4">
      <w:pPr>
        <w:pStyle w:val="Corpodetexto"/>
        <w:ind w:right="996"/>
      </w:pPr>
      <w:r>
        <w:t>Além disso, o município deve investir na capacitação contínua dos agentes públicos, para que estejam mais preparados para identificar e prevenir irregularidades</w:t>
      </w:r>
      <w:r>
        <w:rPr>
          <w:spacing w:val="40"/>
        </w:rPr>
        <w:t xml:space="preserve"> </w:t>
      </w:r>
      <w:r>
        <w:t>no momento da contratação emergencial.</w:t>
      </w:r>
    </w:p>
    <w:p w:rsidR="007259F2" w:rsidRDefault="00E655B4">
      <w:pPr>
        <w:pStyle w:val="Corpodetexto"/>
        <w:ind w:right="990"/>
      </w:pPr>
      <w:r>
        <w:t>Outra</w:t>
      </w:r>
      <w:r>
        <w:rPr>
          <w:spacing w:val="-2"/>
        </w:rPr>
        <w:t xml:space="preserve"> </w:t>
      </w:r>
      <w:r>
        <w:t>medida importante é</w:t>
      </w:r>
      <w:r>
        <w:rPr>
          <w:spacing w:val="-1"/>
        </w:rPr>
        <w:t xml:space="preserve"> </w:t>
      </w:r>
      <w:r>
        <w:t>a revisão e aprimoramento dos processos de análise</w:t>
      </w:r>
      <w:r>
        <w:rPr>
          <w:spacing w:val="-1"/>
        </w:rPr>
        <w:t xml:space="preserve"> </w:t>
      </w:r>
      <w:r>
        <w:t>e aprovação de</w:t>
      </w:r>
      <w:r>
        <w:rPr>
          <w:spacing w:val="-1"/>
        </w:rPr>
        <w:t xml:space="preserve"> </w:t>
      </w:r>
      <w:r>
        <w:t>contratações emergenciais, com maior rigor na</w:t>
      </w:r>
      <w:r>
        <w:rPr>
          <w:spacing w:val="-1"/>
        </w:rPr>
        <w:t xml:space="preserve"> </w:t>
      </w:r>
      <w:r>
        <w:t>avaliação das justificativas para a emergência e no monitoramento da execução dos contratos.</w:t>
      </w:r>
    </w:p>
    <w:p w:rsidR="007259F2" w:rsidRDefault="00E655B4">
      <w:pPr>
        <w:pStyle w:val="Corpodetexto"/>
        <w:ind w:right="994"/>
      </w:pPr>
      <w:r>
        <w:t>O Município de São Paulo deve adotar tais medidas corretivas, como a revisão</w:t>
      </w:r>
      <w:r>
        <w:rPr>
          <w:spacing w:val="40"/>
        </w:rPr>
        <w:t xml:space="preserve"> </w:t>
      </w:r>
      <w:r>
        <w:t xml:space="preserve">de contratos considerados irregulares, a aplicação de penalidades aos responsáveis e a busca por soluções mais eficientes e transparentes para a gestão de contratações </w:t>
      </w:r>
      <w:r>
        <w:rPr>
          <w:spacing w:val="-2"/>
        </w:rPr>
        <w:t>urgentes.</w:t>
      </w:r>
    </w:p>
    <w:p w:rsidR="007259F2" w:rsidRDefault="00E655B4">
      <w:pPr>
        <w:pStyle w:val="Corpodetexto"/>
        <w:ind w:right="987"/>
      </w:pPr>
      <w:r>
        <w:t>Essas iniciativas possibilitarão que a Administração Pública demonstre o seu compromisso em aprimorar sua gestão e a prestação de seus serviços, de modo que os direitos, interesses e segurança da população sejam sempre garantidos e preservados.</w:t>
      </w:r>
    </w:p>
    <w:p w:rsidR="007259F2" w:rsidRDefault="00E655B4">
      <w:pPr>
        <w:pStyle w:val="Heading1"/>
        <w:spacing w:before="208"/>
      </w:pPr>
      <w:r>
        <w:rPr>
          <w:spacing w:val="-2"/>
        </w:rPr>
        <w:t>REFERÊNCIAS</w:t>
      </w:r>
    </w:p>
    <w:p w:rsidR="007259F2" w:rsidRDefault="00E655B4">
      <w:pPr>
        <w:pStyle w:val="Corpodetexto"/>
        <w:tabs>
          <w:tab w:val="left" w:pos="1683"/>
          <w:tab w:val="left" w:pos="2572"/>
          <w:tab w:val="left" w:pos="3548"/>
          <w:tab w:val="left" w:pos="4346"/>
          <w:tab w:val="left" w:pos="4921"/>
          <w:tab w:val="left" w:pos="5742"/>
          <w:tab w:val="left" w:pos="6197"/>
          <w:tab w:val="left" w:pos="6833"/>
          <w:tab w:val="left" w:pos="7589"/>
          <w:tab w:val="left" w:pos="8856"/>
        </w:tabs>
        <w:spacing w:before="194"/>
        <w:ind w:right="991" w:firstLine="0"/>
        <w:jc w:val="left"/>
      </w:pPr>
      <w:r>
        <w:rPr>
          <w:color w:val="1B1C1D"/>
        </w:rPr>
        <w:t>BIMBATI,</w:t>
      </w:r>
      <w:r>
        <w:rPr>
          <w:color w:val="1B1C1D"/>
          <w:spacing w:val="40"/>
        </w:rPr>
        <w:t xml:space="preserve"> </w:t>
      </w:r>
      <w:r>
        <w:rPr>
          <w:color w:val="1B1C1D"/>
        </w:rPr>
        <w:t>Ana</w:t>
      </w:r>
      <w:r>
        <w:rPr>
          <w:color w:val="1B1C1D"/>
          <w:spacing w:val="38"/>
        </w:rPr>
        <w:t xml:space="preserve"> </w:t>
      </w:r>
      <w:r>
        <w:rPr>
          <w:color w:val="1B1C1D"/>
        </w:rPr>
        <w:t>Paula.</w:t>
      </w:r>
      <w:r>
        <w:rPr>
          <w:color w:val="1B1C1D"/>
          <w:spacing w:val="40"/>
        </w:rPr>
        <w:t xml:space="preserve"> </w:t>
      </w:r>
      <w:r>
        <w:rPr>
          <w:color w:val="1B1C1D"/>
        </w:rPr>
        <w:t>Psol</w:t>
      </w:r>
      <w:r>
        <w:rPr>
          <w:color w:val="1B1C1D"/>
          <w:spacing w:val="40"/>
        </w:rPr>
        <w:t xml:space="preserve"> </w:t>
      </w:r>
      <w:r>
        <w:rPr>
          <w:color w:val="1B1C1D"/>
        </w:rPr>
        <w:t>cobra</w:t>
      </w:r>
      <w:r>
        <w:rPr>
          <w:color w:val="1B1C1D"/>
          <w:spacing w:val="38"/>
        </w:rPr>
        <w:t xml:space="preserve"> </w:t>
      </w:r>
      <w:r>
        <w:rPr>
          <w:color w:val="1B1C1D"/>
        </w:rPr>
        <w:t>investigação</w:t>
      </w:r>
      <w:r>
        <w:rPr>
          <w:color w:val="1B1C1D"/>
          <w:spacing w:val="40"/>
        </w:rPr>
        <w:t xml:space="preserve"> </w:t>
      </w:r>
      <w:r>
        <w:rPr>
          <w:color w:val="1B1C1D"/>
        </w:rPr>
        <w:t>do</w:t>
      </w:r>
      <w:r>
        <w:rPr>
          <w:color w:val="1B1C1D"/>
          <w:spacing w:val="39"/>
        </w:rPr>
        <w:t xml:space="preserve"> </w:t>
      </w:r>
      <w:r>
        <w:rPr>
          <w:color w:val="1B1C1D"/>
        </w:rPr>
        <w:t>MP</w:t>
      </w:r>
      <w:r>
        <w:rPr>
          <w:color w:val="1B1C1D"/>
          <w:spacing w:val="40"/>
        </w:rPr>
        <w:t xml:space="preserve"> </w:t>
      </w:r>
      <w:r>
        <w:rPr>
          <w:color w:val="1B1C1D"/>
        </w:rPr>
        <w:t>sobre</w:t>
      </w:r>
      <w:r>
        <w:rPr>
          <w:color w:val="1B1C1D"/>
          <w:spacing w:val="38"/>
        </w:rPr>
        <w:t xml:space="preserve"> </w:t>
      </w:r>
      <w:r>
        <w:rPr>
          <w:color w:val="1B1C1D"/>
        </w:rPr>
        <w:t>obras</w:t>
      </w:r>
      <w:r>
        <w:rPr>
          <w:color w:val="1B1C1D"/>
          <w:spacing w:val="40"/>
        </w:rPr>
        <w:t xml:space="preserve"> </w:t>
      </w:r>
      <w:r>
        <w:rPr>
          <w:color w:val="1B1C1D"/>
        </w:rPr>
        <w:t>sem</w:t>
      </w:r>
      <w:r>
        <w:rPr>
          <w:color w:val="1B1C1D"/>
          <w:spacing w:val="40"/>
        </w:rPr>
        <w:t xml:space="preserve"> </w:t>
      </w:r>
      <w:r>
        <w:rPr>
          <w:color w:val="1B1C1D"/>
        </w:rPr>
        <w:t>licitação</w:t>
      </w:r>
      <w:r>
        <w:rPr>
          <w:color w:val="1B1C1D"/>
          <w:spacing w:val="39"/>
        </w:rPr>
        <w:t xml:space="preserve"> </w:t>
      </w:r>
      <w:r>
        <w:rPr>
          <w:color w:val="1B1C1D"/>
        </w:rPr>
        <w:t xml:space="preserve">de </w:t>
      </w:r>
      <w:r>
        <w:rPr>
          <w:color w:val="1B1C1D"/>
          <w:spacing w:val="-2"/>
        </w:rPr>
        <w:t>Ricardo</w:t>
      </w:r>
      <w:r>
        <w:rPr>
          <w:color w:val="1B1C1D"/>
        </w:rPr>
        <w:tab/>
      </w:r>
      <w:r>
        <w:rPr>
          <w:color w:val="1B1C1D"/>
          <w:spacing w:val="-2"/>
        </w:rPr>
        <w:t>Nunes.</w:t>
      </w:r>
      <w:r>
        <w:rPr>
          <w:color w:val="1B1C1D"/>
        </w:rPr>
        <w:tab/>
      </w:r>
      <w:r>
        <w:rPr>
          <w:b/>
          <w:color w:val="1B1C1D"/>
          <w:spacing w:val="-2"/>
        </w:rPr>
        <w:t>Revista</w:t>
      </w:r>
      <w:r>
        <w:rPr>
          <w:b/>
          <w:color w:val="1B1C1D"/>
        </w:rPr>
        <w:tab/>
      </w:r>
      <w:r>
        <w:rPr>
          <w:b/>
          <w:color w:val="1B1C1D"/>
          <w:spacing w:val="-4"/>
        </w:rPr>
        <w:t>UOL</w:t>
      </w:r>
      <w:r>
        <w:rPr>
          <w:color w:val="1B1C1D"/>
          <w:spacing w:val="-4"/>
        </w:rPr>
        <w:t>,</w:t>
      </w:r>
      <w:r>
        <w:rPr>
          <w:color w:val="1B1C1D"/>
        </w:rPr>
        <w:tab/>
      </w:r>
      <w:r>
        <w:rPr>
          <w:color w:val="1B1C1D"/>
          <w:spacing w:val="-4"/>
        </w:rPr>
        <w:t>São</w:t>
      </w:r>
      <w:r>
        <w:rPr>
          <w:color w:val="1B1C1D"/>
        </w:rPr>
        <w:tab/>
      </w:r>
      <w:r>
        <w:rPr>
          <w:color w:val="1B1C1D"/>
          <w:spacing w:val="-2"/>
        </w:rPr>
        <w:t>Paulo,</w:t>
      </w:r>
      <w:r>
        <w:rPr>
          <w:color w:val="1B1C1D"/>
        </w:rPr>
        <w:tab/>
      </w:r>
      <w:r>
        <w:rPr>
          <w:color w:val="1B1C1D"/>
          <w:spacing w:val="-6"/>
        </w:rPr>
        <w:t>09</w:t>
      </w:r>
      <w:r>
        <w:rPr>
          <w:color w:val="1B1C1D"/>
        </w:rPr>
        <w:tab/>
      </w:r>
      <w:r>
        <w:rPr>
          <w:color w:val="1B1C1D"/>
          <w:spacing w:val="-4"/>
        </w:rPr>
        <w:t>nov.</w:t>
      </w:r>
      <w:r>
        <w:rPr>
          <w:color w:val="1B1C1D"/>
        </w:rPr>
        <w:tab/>
      </w:r>
      <w:r>
        <w:rPr>
          <w:color w:val="1B1C1D"/>
          <w:spacing w:val="-2"/>
        </w:rPr>
        <w:t>2023.</w:t>
      </w:r>
      <w:r>
        <w:rPr>
          <w:color w:val="1B1C1D"/>
        </w:rPr>
        <w:tab/>
      </w:r>
      <w:r>
        <w:rPr>
          <w:color w:val="1B1C1D"/>
          <w:spacing w:val="-2"/>
        </w:rPr>
        <w:t>Disponível</w:t>
      </w:r>
      <w:r>
        <w:rPr>
          <w:color w:val="1B1C1D"/>
        </w:rPr>
        <w:tab/>
      </w:r>
      <w:r>
        <w:rPr>
          <w:color w:val="1B1C1D"/>
          <w:spacing w:val="-4"/>
        </w:rPr>
        <w:t xml:space="preserve">em: </w:t>
      </w:r>
      <w:hyperlink r:id="rId62">
        <w:r>
          <w:rPr>
            <w:color w:val="0A56D0"/>
            <w:spacing w:val="-2"/>
            <w:u w:val="single" w:color="0A56D0"/>
          </w:rPr>
          <w:t>https://noticias.uol.com.br/politica/ultimas-noticias/2023/11/08/psol-investigacao-mp-</w:t>
        </w:r>
      </w:hyperlink>
      <w:r>
        <w:rPr>
          <w:color w:val="0A56D0"/>
          <w:spacing w:val="-2"/>
        </w:rPr>
        <w:t xml:space="preserve"> </w:t>
      </w:r>
      <w:hyperlink r:id="rId63">
        <w:r>
          <w:rPr>
            <w:color w:val="0A56D0"/>
            <w:u w:val="single" w:color="0A56D0"/>
          </w:rPr>
          <w:t>obras-sem-licitacao-nunes-sp.htm</w:t>
        </w:r>
      </w:hyperlink>
      <w:r>
        <w:rPr>
          <w:color w:val="1B1C1D"/>
        </w:rPr>
        <w:t>. Acesso em: 16 dez. 2024.</w:t>
      </w:r>
    </w:p>
    <w:p w:rsidR="007259F2" w:rsidRDefault="00E655B4">
      <w:pPr>
        <w:spacing w:before="120"/>
        <w:ind w:left="710" w:right="990"/>
        <w:rPr>
          <w:sz w:val="24"/>
        </w:rPr>
      </w:pPr>
      <w:r>
        <w:rPr>
          <w:color w:val="1B1C1D"/>
          <w:sz w:val="24"/>
        </w:rPr>
        <w:t>BRASIL.</w:t>
      </w:r>
      <w:r>
        <w:rPr>
          <w:color w:val="1B1C1D"/>
          <w:spacing w:val="32"/>
          <w:sz w:val="24"/>
        </w:rPr>
        <w:t xml:space="preserve"> </w:t>
      </w:r>
      <w:r>
        <w:rPr>
          <w:color w:val="1B1C1D"/>
          <w:sz w:val="24"/>
        </w:rPr>
        <w:t>Advocacia-Geral</w:t>
      </w:r>
      <w:r>
        <w:rPr>
          <w:color w:val="1B1C1D"/>
          <w:spacing w:val="33"/>
          <w:sz w:val="24"/>
        </w:rPr>
        <w:t xml:space="preserve"> </w:t>
      </w:r>
      <w:r>
        <w:rPr>
          <w:color w:val="1B1C1D"/>
          <w:sz w:val="24"/>
        </w:rPr>
        <w:t>da</w:t>
      </w:r>
      <w:r>
        <w:rPr>
          <w:color w:val="1B1C1D"/>
          <w:spacing w:val="31"/>
          <w:sz w:val="24"/>
        </w:rPr>
        <w:t xml:space="preserve"> </w:t>
      </w:r>
      <w:r>
        <w:rPr>
          <w:color w:val="1B1C1D"/>
          <w:sz w:val="24"/>
        </w:rPr>
        <w:t>União.</w:t>
      </w:r>
      <w:r>
        <w:rPr>
          <w:color w:val="1B1C1D"/>
          <w:spacing w:val="34"/>
          <w:sz w:val="24"/>
        </w:rPr>
        <w:t xml:space="preserve"> </w:t>
      </w:r>
      <w:r>
        <w:rPr>
          <w:b/>
          <w:color w:val="1B1C1D"/>
          <w:sz w:val="24"/>
        </w:rPr>
        <w:t>Orientação</w:t>
      </w:r>
      <w:r>
        <w:rPr>
          <w:b/>
          <w:color w:val="1B1C1D"/>
          <w:spacing w:val="32"/>
          <w:sz w:val="24"/>
        </w:rPr>
        <w:t xml:space="preserve"> </w:t>
      </w:r>
      <w:r>
        <w:rPr>
          <w:b/>
          <w:color w:val="1B1C1D"/>
          <w:sz w:val="24"/>
        </w:rPr>
        <w:t>Normativa</w:t>
      </w:r>
      <w:r>
        <w:rPr>
          <w:b/>
          <w:color w:val="1B1C1D"/>
          <w:spacing w:val="35"/>
          <w:sz w:val="24"/>
        </w:rPr>
        <w:t xml:space="preserve"> </w:t>
      </w:r>
      <w:r>
        <w:rPr>
          <w:b/>
          <w:color w:val="1B1C1D"/>
          <w:sz w:val="24"/>
        </w:rPr>
        <w:t>AGU</w:t>
      </w:r>
      <w:r>
        <w:rPr>
          <w:b/>
          <w:color w:val="1B1C1D"/>
          <w:spacing w:val="32"/>
          <w:sz w:val="24"/>
        </w:rPr>
        <w:t xml:space="preserve"> </w:t>
      </w:r>
      <w:r>
        <w:rPr>
          <w:b/>
          <w:color w:val="1B1C1D"/>
          <w:sz w:val="24"/>
        </w:rPr>
        <w:t>nº</w:t>
      </w:r>
      <w:r>
        <w:rPr>
          <w:b/>
          <w:color w:val="1B1C1D"/>
          <w:spacing w:val="32"/>
          <w:sz w:val="24"/>
        </w:rPr>
        <w:t xml:space="preserve"> </w:t>
      </w:r>
      <w:r>
        <w:rPr>
          <w:b/>
          <w:color w:val="1B1C1D"/>
          <w:sz w:val="24"/>
        </w:rPr>
        <w:t>11,</w:t>
      </w:r>
      <w:r>
        <w:rPr>
          <w:b/>
          <w:color w:val="1B1C1D"/>
          <w:spacing w:val="32"/>
          <w:sz w:val="24"/>
        </w:rPr>
        <w:t xml:space="preserve"> </w:t>
      </w:r>
      <w:r>
        <w:rPr>
          <w:b/>
          <w:color w:val="1B1C1D"/>
          <w:sz w:val="24"/>
        </w:rPr>
        <w:t>de</w:t>
      </w:r>
      <w:r>
        <w:rPr>
          <w:b/>
          <w:color w:val="1B1C1D"/>
          <w:spacing w:val="31"/>
          <w:sz w:val="24"/>
        </w:rPr>
        <w:t xml:space="preserve"> </w:t>
      </w:r>
      <w:r>
        <w:rPr>
          <w:b/>
          <w:color w:val="1B1C1D"/>
          <w:sz w:val="24"/>
        </w:rPr>
        <w:t>01</w:t>
      </w:r>
      <w:r>
        <w:rPr>
          <w:b/>
          <w:color w:val="1B1C1D"/>
          <w:spacing w:val="32"/>
          <w:sz w:val="24"/>
        </w:rPr>
        <w:t xml:space="preserve"> </w:t>
      </w:r>
      <w:r>
        <w:rPr>
          <w:b/>
          <w:color w:val="1B1C1D"/>
          <w:sz w:val="24"/>
        </w:rPr>
        <w:t>de abril de 2009</w:t>
      </w:r>
      <w:r>
        <w:rPr>
          <w:color w:val="1B1C1D"/>
          <w:sz w:val="24"/>
        </w:rPr>
        <w:t>. Brasília, DF, 01 abr. 2009.</w:t>
      </w:r>
    </w:p>
    <w:p w:rsidR="007259F2" w:rsidRDefault="00E655B4">
      <w:pPr>
        <w:pStyle w:val="Corpodetexto"/>
        <w:tabs>
          <w:tab w:val="left" w:pos="2660"/>
          <w:tab w:val="left" w:pos="4119"/>
          <w:tab w:val="left" w:pos="5664"/>
          <w:tab w:val="left" w:pos="6883"/>
          <w:tab w:val="left" w:pos="8852"/>
        </w:tabs>
        <w:spacing w:before="120"/>
        <w:ind w:right="989" w:firstLine="0"/>
      </w:pPr>
      <w:r>
        <w:rPr>
          <w:color w:val="1B1C1D"/>
        </w:rPr>
        <w:t xml:space="preserve">BRASIL. </w:t>
      </w:r>
      <w:r>
        <w:rPr>
          <w:b/>
          <w:color w:val="1B1C1D"/>
        </w:rPr>
        <w:t>Lei nº 8.666, de 21 de junho de 1993</w:t>
      </w:r>
      <w:r>
        <w:rPr>
          <w:color w:val="1B1C1D"/>
        </w:rPr>
        <w:t>. Brasília, DF: Presidência da</w:t>
      </w:r>
      <w:r>
        <w:rPr>
          <w:color w:val="1B1C1D"/>
          <w:spacing w:val="40"/>
        </w:rPr>
        <w:t xml:space="preserve"> </w:t>
      </w:r>
      <w:r>
        <w:rPr>
          <w:color w:val="1B1C1D"/>
          <w:spacing w:val="-2"/>
        </w:rPr>
        <w:t>República,</w:t>
      </w:r>
      <w:r>
        <w:rPr>
          <w:color w:val="1B1C1D"/>
        </w:rPr>
        <w:tab/>
      </w:r>
      <w:r>
        <w:rPr>
          <w:color w:val="1B1C1D"/>
          <w:spacing w:val="-2"/>
        </w:rPr>
        <w:t>1993.</w:t>
      </w:r>
      <w:r>
        <w:rPr>
          <w:color w:val="1B1C1D"/>
        </w:rPr>
        <w:tab/>
      </w:r>
      <w:r>
        <w:rPr>
          <w:color w:val="1B1C1D"/>
          <w:spacing w:val="-2"/>
        </w:rPr>
        <w:t>Artigo</w:t>
      </w:r>
      <w:r>
        <w:rPr>
          <w:color w:val="1B1C1D"/>
        </w:rPr>
        <w:tab/>
      </w:r>
      <w:r>
        <w:rPr>
          <w:color w:val="1B1C1D"/>
          <w:spacing w:val="-4"/>
        </w:rPr>
        <w:t>37.</w:t>
      </w:r>
      <w:r>
        <w:rPr>
          <w:color w:val="1B1C1D"/>
        </w:rPr>
        <w:tab/>
      </w:r>
      <w:r>
        <w:rPr>
          <w:color w:val="1B1C1D"/>
          <w:spacing w:val="-2"/>
        </w:rPr>
        <w:t>Disponível</w:t>
      </w:r>
      <w:r>
        <w:rPr>
          <w:color w:val="1B1C1D"/>
        </w:rPr>
        <w:tab/>
      </w:r>
      <w:r>
        <w:rPr>
          <w:color w:val="1B1C1D"/>
          <w:spacing w:val="-4"/>
        </w:rPr>
        <w:t xml:space="preserve">em: </w:t>
      </w:r>
      <w:hyperlink r:id="rId64">
        <w:r>
          <w:rPr>
            <w:color w:val="0A56D0"/>
            <w:u w:val="single" w:color="0A56D0"/>
          </w:rPr>
          <w:t>https://www.planalto.gov.br/ccivil_03/leis/L8666consimpressao.htm</w:t>
        </w:r>
      </w:hyperlink>
      <w:r>
        <w:rPr>
          <w:color w:val="1B1C1D"/>
        </w:rPr>
        <w:t>. Acesso em: 20 dez. 2024.</w:t>
      </w:r>
    </w:p>
    <w:p w:rsidR="007259F2" w:rsidRDefault="007259F2">
      <w:pPr>
        <w:pStyle w:val="Corpodetexto"/>
        <w:sectPr w:rsidR="007259F2">
          <w:pgSz w:w="11910" w:h="16840"/>
          <w:pgMar w:top="1320" w:right="708" w:bottom="1160" w:left="992" w:header="0" w:footer="962" w:gutter="0"/>
          <w:cols w:space="720"/>
        </w:sectPr>
      </w:pPr>
    </w:p>
    <w:p w:rsidR="007259F2" w:rsidRDefault="00E655B4">
      <w:pPr>
        <w:pStyle w:val="Corpodetexto"/>
        <w:tabs>
          <w:tab w:val="left" w:pos="2660"/>
          <w:tab w:val="left" w:pos="4119"/>
          <w:tab w:val="left" w:pos="5664"/>
          <w:tab w:val="left" w:pos="6883"/>
          <w:tab w:val="left" w:pos="8852"/>
        </w:tabs>
        <w:spacing w:before="69"/>
        <w:ind w:right="988" w:firstLine="0"/>
      </w:pPr>
      <w:r>
        <w:rPr>
          <w:color w:val="1B1C1D"/>
        </w:rPr>
        <w:lastRenderedPageBreak/>
        <w:t xml:space="preserve">BRASIL. </w:t>
      </w:r>
      <w:r>
        <w:rPr>
          <w:b/>
          <w:color w:val="1B1C1D"/>
        </w:rPr>
        <w:t>Lei nº 14.133, de 1º de abril de 2021</w:t>
      </w:r>
      <w:r>
        <w:rPr>
          <w:color w:val="1B1C1D"/>
        </w:rPr>
        <w:t>. Brasília, DF: Presidência da</w:t>
      </w:r>
      <w:r>
        <w:rPr>
          <w:color w:val="1B1C1D"/>
          <w:spacing w:val="80"/>
        </w:rPr>
        <w:t xml:space="preserve"> </w:t>
      </w:r>
      <w:r>
        <w:rPr>
          <w:color w:val="1B1C1D"/>
          <w:spacing w:val="-2"/>
        </w:rPr>
        <w:t>República,</w:t>
      </w:r>
      <w:r>
        <w:rPr>
          <w:color w:val="1B1C1D"/>
        </w:rPr>
        <w:tab/>
      </w:r>
      <w:r>
        <w:rPr>
          <w:color w:val="1B1C1D"/>
          <w:spacing w:val="-2"/>
        </w:rPr>
        <w:t>2021.</w:t>
      </w:r>
      <w:r>
        <w:rPr>
          <w:color w:val="1B1C1D"/>
        </w:rPr>
        <w:tab/>
      </w:r>
      <w:r>
        <w:rPr>
          <w:color w:val="1B1C1D"/>
          <w:spacing w:val="-2"/>
        </w:rPr>
        <w:t>Artigo</w:t>
      </w:r>
      <w:r>
        <w:rPr>
          <w:color w:val="1B1C1D"/>
        </w:rPr>
        <w:tab/>
      </w:r>
      <w:r>
        <w:rPr>
          <w:color w:val="1B1C1D"/>
          <w:spacing w:val="-4"/>
        </w:rPr>
        <w:t>37.</w:t>
      </w:r>
      <w:r>
        <w:rPr>
          <w:color w:val="1B1C1D"/>
        </w:rPr>
        <w:tab/>
      </w:r>
      <w:r>
        <w:rPr>
          <w:color w:val="1B1C1D"/>
          <w:spacing w:val="-2"/>
        </w:rPr>
        <w:t>Disponível</w:t>
      </w:r>
      <w:r>
        <w:rPr>
          <w:color w:val="1B1C1D"/>
        </w:rPr>
        <w:tab/>
      </w:r>
      <w:r>
        <w:rPr>
          <w:color w:val="1B1C1D"/>
          <w:spacing w:val="-4"/>
        </w:rPr>
        <w:t xml:space="preserve">em: </w:t>
      </w:r>
      <w:hyperlink r:id="rId65">
        <w:r>
          <w:rPr>
            <w:color w:val="0A56D0"/>
            <w:u w:val="single" w:color="0A56D0"/>
          </w:rPr>
          <w:t>https://www.planalto.gov.br/ccivil_03/_ato2019-2022/2021/lei/l14133.htm</w:t>
        </w:r>
      </w:hyperlink>
      <w:r>
        <w:rPr>
          <w:color w:val="1B1C1D"/>
        </w:rPr>
        <w:t>. Acesso em: 20 dez. 2024.</w:t>
      </w:r>
    </w:p>
    <w:p w:rsidR="007259F2" w:rsidRDefault="00E655B4">
      <w:pPr>
        <w:pStyle w:val="Corpodetexto"/>
        <w:tabs>
          <w:tab w:val="left" w:pos="2442"/>
          <w:tab w:val="left" w:pos="3735"/>
          <w:tab w:val="left" w:pos="5154"/>
          <w:tab w:val="left" w:pos="6747"/>
          <w:tab w:val="left" w:pos="8854"/>
        </w:tabs>
        <w:spacing w:before="121"/>
        <w:ind w:right="990" w:firstLine="0"/>
      </w:pPr>
      <w:r>
        <w:rPr>
          <w:color w:val="1B1C1D"/>
        </w:rPr>
        <w:t xml:space="preserve">BRASIL. Superior Tribunal de Justiça. </w:t>
      </w:r>
      <w:r>
        <w:rPr>
          <w:b/>
          <w:color w:val="1B1C1D"/>
        </w:rPr>
        <w:t>Recurso Especial nº 1.929.685</w:t>
      </w:r>
      <w:r>
        <w:rPr>
          <w:color w:val="1B1C1D"/>
        </w:rPr>
        <w:t xml:space="preserve">, Tocantins, Processo 2021/0086118-0, Primeira Seção, Relator: Min. Gurgel de Faria, Data da </w:t>
      </w:r>
      <w:r>
        <w:rPr>
          <w:color w:val="1B1C1D"/>
          <w:spacing w:val="-2"/>
        </w:rPr>
        <w:t>sessão:</w:t>
      </w:r>
      <w:r>
        <w:rPr>
          <w:color w:val="1B1C1D"/>
        </w:rPr>
        <w:tab/>
      </w:r>
      <w:r>
        <w:rPr>
          <w:color w:val="1B1C1D"/>
          <w:spacing w:val="-6"/>
        </w:rPr>
        <w:t>22</w:t>
      </w:r>
      <w:r>
        <w:rPr>
          <w:color w:val="1B1C1D"/>
        </w:rPr>
        <w:tab/>
      </w:r>
      <w:r>
        <w:rPr>
          <w:color w:val="1B1C1D"/>
          <w:spacing w:val="-4"/>
        </w:rPr>
        <w:t>fev.</w:t>
      </w:r>
      <w:r>
        <w:rPr>
          <w:color w:val="1B1C1D"/>
        </w:rPr>
        <w:tab/>
      </w:r>
      <w:r>
        <w:rPr>
          <w:color w:val="1B1C1D"/>
          <w:spacing w:val="-2"/>
        </w:rPr>
        <w:t>2024.</w:t>
      </w:r>
      <w:r>
        <w:rPr>
          <w:color w:val="1B1C1D"/>
        </w:rPr>
        <w:tab/>
      </w:r>
      <w:r>
        <w:rPr>
          <w:color w:val="1B1C1D"/>
          <w:spacing w:val="-2"/>
        </w:rPr>
        <w:t>Disponível</w:t>
      </w:r>
      <w:r>
        <w:rPr>
          <w:color w:val="1B1C1D"/>
        </w:rPr>
        <w:tab/>
      </w:r>
      <w:r>
        <w:rPr>
          <w:color w:val="1B1C1D"/>
          <w:spacing w:val="-4"/>
        </w:rPr>
        <w:t xml:space="preserve">em: </w:t>
      </w:r>
      <w:hyperlink r:id="rId66">
        <w:r>
          <w:rPr>
            <w:color w:val="0A56D0"/>
            <w:spacing w:val="-2"/>
            <w:u w:val="single" w:color="0A56D0"/>
          </w:rPr>
          <w:t>https://www.google.com/search?q=https://processo.stj.jus.br/processo/julgamento/eletro</w:t>
        </w:r>
      </w:hyperlink>
      <w:r>
        <w:rPr>
          <w:color w:val="0A56D0"/>
          <w:spacing w:val="-2"/>
        </w:rPr>
        <w:t xml:space="preserve"> </w:t>
      </w:r>
      <w:hyperlink r:id="rId67">
        <w:r>
          <w:rPr>
            <w:color w:val="0A56D0"/>
            <w:spacing w:val="-2"/>
            <w:u w:val="single" w:color="0A56D0"/>
          </w:rPr>
          <w:t>nico/documento/mediado/%3Fdocumento_tipo%3Dintegra%26documento_sequencial</w:t>
        </w:r>
      </w:hyperlink>
    </w:p>
    <w:p w:rsidR="007259F2" w:rsidRDefault="00DE6B1C">
      <w:pPr>
        <w:pStyle w:val="Corpodetexto"/>
        <w:ind w:right="1045" w:firstLine="0"/>
      </w:pPr>
      <w:hyperlink r:id="rId68">
        <w:r w:rsidR="00E655B4">
          <w:rPr>
            <w:color w:val="0A56D0"/>
            <w:spacing w:val="-2"/>
            <w:u w:val="single" w:color="0A56D0"/>
          </w:rPr>
          <w:t>%3D268145217%26registro_numero%3D202100861180%26peticao_numero%3D%26</w:t>
        </w:r>
      </w:hyperlink>
      <w:r w:rsidR="00E655B4">
        <w:rPr>
          <w:color w:val="0A56D0"/>
          <w:spacing w:val="-2"/>
        </w:rPr>
        <w:t xml:space="preserve"> </w:t>
      </w:r>
      <w:hyperlink r:id="rId69">
        <w:r w:rsidR="00E655B4">
          <w:rPr>
            <w:color w:val="0A56D0"/>
            <w:u w:val="single" w:color="0A56D0"/>
          </w:rPr>
          <w:t>publicacao_data%3D20240902%26formato%3DPDF</w:t>
        </w:r>
        <w:r w:rsidR="00E655B4">
          <w:rPr>
            <w:color w:val="1B1C1D"/>
          </w:rPr>
          <w:t>.</w:t>
        </w:r>
      </w:hyperlink>
      <w:r w:rsidR="00E655B4">
        <w:rPr>
          <w:color w:val="1B1C1D"/>
        </w:rPr>
        <w:t xml:space="preserve"> Acesso em: 06 jan. 2025.</w:t>
      </w:r>
    </w:p>
    <w:p w:rsidR="007259F2" w:rsidRDefault="00E655B4">
      <w:pPr>
        <w:pStyle w:val="Corpodetexto"/>
        <w:spacing w:before="120"/>
        <w:ind w:right="987" w:firstLine="0"/>
      </w:pPr>
      <w:r>
        <w:rPr>
          <w:color w:val="1B1C1D"/>
        </w:rPr>
        <w:t xml:space="preserve">BRASIL. Supremo Tribunal Federal. </w:t>
      </w:r>
      <w:r>
        <w:rPr>
          <w:b/>
          <w:color w:val="1B1C1D"/>
        </w:rPr>
        <w:t>Ação Direta de Inconstitucionalidade nº 6.890</w:t>
      </w:r>
      <w:r>
        <w:rPr>
          <w:color w:val="1B1C1D"/>
        </w:rPr>
        <w:t xml:space="preserve">, Distrito Federal, Plenário, Relator: Min. Cristiano Zanin, Data da sessão: 09 set. 2024. Disponível em: </w:t>
      </w:r>
      <w:hyperlink r:id="rId70">
        <w:r>
          <w:rPr>
            <w:color w:val="0A56D0"/>
            <w:u w:val="single" w:color="0A56D0"/>
          </w:rPr>
          <w:t>https://portal.stf.jus.br/processos/detalhe.asp?incidente=6201037</w:t>
        </w:r>
      </w:hyperlink>
      <w:r>
        <w:rPr>
          <w:color w:val="1B1C1D"/>
        </w:rPr>
        <w:t>. Acesso em: 15 jan. 2025.</w:t>
      </w:r>
    </w:p>
    <w:p w:rsidR="007259F2" w:rsidRDefault="00E655B4">
      <w:pPr>
        <w:pStyle w:val="Corpodetexto"/>
        <w:spacing w:before="121"/>
        <w:ind w:right="988" w:firstLine="0"/>
        <w:jc w:val="left"/>
      </w:pPr>
      <w:r>
        <w:rPr>
          <w:color w:val="1B1C1D"/>
        </w:rPr>
        <w:t>BRASIL.</w:t>
      </w:r>
      <w:r>
        <w:rPr>
          <w:color w:val="1B1C1D"/>
          <w:spacing w:val="77"/>
          <w:w w:val="150"/>
        </w:rPr>
        <w:t xml:space="preserve"> </w:t>
      </w:r>
      <w:r>
        <w:rPr>
          <w:color w:val="1B1C1D"/>
        </w:rPr>
        <w:t>Tribunal</w:t>
      </w:r>
      <w:r>
        <w:rPr>
          <w:color w:val="1B1C1D"/>
          <w:spacing w:val="77"/>
          <w:w w:val="150"/>
        </w:rPr>
        <w:t xml:space="preserve"> </w:t>
      </w:r>
      <w:r>
        <w:rPr>
          <w:color w:val="1B1C1D"/>
        </w:rPr>
        <w:t>de</w:t>
      </w:r>
      <w:r>
        <w:rPr>
          <w:color w:val="1B1C1D"/>
          <w:spacing w:val="78"/>
          <w:w w:val="150"/>
        </w:rPr>
        <w:t xml:space="preserve"> </w:t>
      </w:r>
      <w:r>
        <w:rPr>
          <w:color w:val="1B1C1D"/>
        </w:rPr>
        <w:t>Contas</w:t>
      </w:r>
      <w:r>
        <w:rPr>
          <w:color w:val="1B1C1D"/>
          <w:spacing w:val="80"/>
        </w:rPr>
        <w:t xml:space="preserve"> </w:t>
      </w:r>
      <w:r>
        <w:rPr>
          <w:color w:val="1B1C1D"/>
        </w:rPr>
        <w:t>da</w:t>
      </w:r>
      <w:r>
        <w:rPr>
          <w:color w:val="1B1C1D"/>
          <w:spacing w:val="80"/>
        </w:rPr>
        <w:t xml:space="preserve"> </w:t>
      </w:r>
      <w:r>
        <w:rPr>
          <w:color w:val="1B1C1D"/>
        </w:rPr>
        <w:t>União.</w:t>
      </w:r>
      <w:r>
        <w:rPr>
          <w:color w:val="1B1C1D"/>
          <w:spacing w:val="80"/>
          <w:w w:val="150"/>
        </w:rPr>
        <w:t xml:space="preserve"> </w:t>
      </w:r>
      <w:r>
        <w:rPr>
          <w:b/>
          <w:color w:val="1B1C1D"/>
        </w:rPr>
        <w:t>Acórdão</w:t>
      </w:r>
      <w:r>
        <w:rPr>
          <w:b/>
          <w:color w:val="1B1C1D"/>
          <w:spacing w:val="77"/>
          <w:w w:val="150"/>
        </w:rPr>
        <w:t xml:space="preserve"> </w:t>
      </w:r>
      <w:r>
        <w:rPr>
          <w:b/>
          <w:color w:val="1B1C1D"/>
        </w:rPr>
        <w:t>nº</w:t>
      </w:r>
      <w:r>
        <w:rPr>
          <w:b/>
          <w:color w:val="1B1C1D"/>
          <w:spacing w:val="77"/>
          <w:w w:val="150"/>
        </w:rPr>
        <w:t xml:space="preserve"> </w:t>
      </w:r>
      <w:r>
        <w:rPr>
          <w:b/>
          <w:color w:val="1B1C1D"/>
        </w:rPr>
        <w:t>34/2011</w:t>
      </w:r>
      <w:r>
        <w:rPr>
          <w:b/>
          <w:color w:val="1B1C1D"/>
          <w:spacing w:val="79"/>
          <w:w w:val="150"/>
        </w:rPr>
        <w:t xml:space="preserve"> </w:t>
      </w:r>
      <w:r>
        <w:rPr>
          <w:color w:val="1B1C1D"/>
        </w:rPr>
        <w:t>-</w:t>
      </w:r>
      <w:r>
        <w:rPr>
          <w:color w:val="1B1C1D"/>
          <w:spacing w:val="80"/>
        </w:rPr>
        <w:t xml:space="preserve"> </w:t>
      </w:r>
      <w:r>
        <w:rPr>
          <w:color w:val="1B1C1D"/>
        </w:rPr>
        <w:t>Plenário,</w:t>
      </w:r>
      <w:r>
        <w:rPr>
          <w:color w:val="1B1C1D"/>
          <w:spacing w:val="80"/>
        </w:rPr>
        <w:t xml:space="preserve"> </w:t>
      </w:r>
      <w:r>
        <w:rPr>
          <w:color w:val="1B1C1D"/>
        </w:rPr>
        <w:t xml:space="preserve">TC 006.567/2005-5, Relator: Aroldo Cedraz, Data da sessão: 19 jan. 2011. Disponível em: </w:t>
      </w:r>
      <w:hyperlink r:id="rId71">
        <w:r>
          <w:rPr>
            <w:color w:val="0A56D0"/>
            <w:spacing w:val="-2"/>
            <w:u w:val="single" w:color="0A56D0"/>
          </w:rPr>
          <w:t>https://www.google.com/search?q=https://pesquisa.apps.tcu.gov.br/documento/acordao-</w:t>
        </w:r>
      </w:hyperlink>
      <w:r>
        <w:rPr>
          <w:color w:val="0A56D0"/>
          <w:spacing w:val="-2"/>
        </w:rPr>
        <w:t xml:space="preserve"> </w:t>
      </w:r>
      <w:hyperlink r:id="rId72">
        <w:r>
          <w:rPr>
            <w:color w:val="0A56D0"/>
            <w:spacing w:val="-2"/>
            <w:u w:val="single" w:color="0A56D0"/>
          </w:rPr>
          <w:t>completo/*/NUMACORDAO%25253A34%252520ANOACORDAO%25253A2011%</w:t>
        </w:r>
      </w:hyperlink>
      <w:r>
        <w:rPr>
          <w:color w:val="0A56D0"/>
          <w:spacing w:val="-2"/>
        </w:rPr>
        <w:t xml:space="preserve"> </w:t>
      </w:r>
      <w:hyperlink r:id="rId73">
        <w:r>
          <w:rPr>
            <w:color w:val="0A56D0"/>
            <w:spacing w:val="-2"/>
            <w:u w:val="single" w:color="0A56D0"/>
          </w:rPr>
          <w:t>252520/DTRELEVANCIA%252520desc%25252C%252520NUMACORDAOINT%25</w:t>
        </w:r>
      </w:hyperlink>
    </w:p>
    <w:p w:rsidR="007259F2" w:rsidRDefault="00DE6B1C">
      <w:pPr>
        <w:pStyle w:val="Corpodetexto"/>
        <w:ind w:firstLine="0"/>
      </w:pPr>
      <w:hyperlink r:id="rId74">
        <w:r w:rsidR="00E655B4">
          <w:rPr>
            <w:color w:val="0A56D0"/>
            <w:u w:val="single" w:color="0A56D0"/>
          </w:rPr>
          <w:t>2520desc/2</w:t>
        </w:r>
        <w:r w:rsidR="00E655B4">
          <w:rPr>
            <w:color w:val="1B1C1D"/>
          </w:rPr>
          <w:t>.</w:t>
        </w:r>
      </w:hyperlink>
      <w:r w:rsidR="00E655B4">
        <w:rPr>
          <w:color w:val="1B1C1D"/>
          <w:spacing w:val="-1"/>
        </w:rPr>
        <w:t xml:space="preserve"> </w:t>
      </w:r>
      <w:r w:rsidR="00E655B4">
        <w:rPr>
          <w:color w:val="1B1C1D"/>
        </w:rPr>
        <w:t>Acesso</w:t>
      </w:r>
      <w:r w:rsidR="00E655B4">
        <w:rPr>
          <w:color w:val="1B1C1D"/>
          <w:spacing w:val="-1"/>
        </w:rPr>
        <w:t xml:space="preserve"> </w:t>
      </w:r>
      <w:r w:rsidR="00E655B4">
        <w:rPr>
          <w:color w:val="1B1C1D"/>
        </w:rPr>
        <w:t>em:</w:t>
      </w:r>
      <w:r w:rsidR="00E655B4">
        <w:rPr>
          <w:color w:val="1B1C1D"/>
          <w:spacing w:val="-1"/>
        </w:rPr>
        <w:t xml:space="preserve"> </w:t>
      </w:r>
      <w:r w:rsidR="00E655B4">
        <w:rPr>
          <w:color w:val="1B1C1D"/>
        </w:rPr>
        <w:t>14</w:t>
      </w:r>
      <w:r w:rsidR="00E655B4">
        <w:rPr>
          <w:color w:val="1B1C1D"/>
          <w:spacing w:val="-1"/>
        </w:rPr>
        <w:t xml:space="preserve"> </w:t>
      </w:r>
      <w:r w:rsidR="00E655B4">
        <w:rPr>
          <w:color w:val="1B1C1D"/>
        </w:rPr>
        <w:t xml:space="preserve">jan. </w:t>
      </w:r>
      <w:r w:rsidR="00E655B4">
        <w:rPr>
          <w:color w:val="1B1C1D"/>
          <w:spacing w:val="-2"/>
        </w:rPr>
        <w:t>2025.</w:t>
      </w:r>
    </w:p>
    <w:p w:rsidR="007259F2" w:rsidRDefault="00E655B4">
      <w:pPr>
        <w:pStyle w:val="Corpodetexto"/>
        <w:tabs>
          <w:tab w:val="left" w:pos="4149"/>
        </w:tabs>
        <w:spacing w:before="120"/>
        <w:ind w:right="988" w:firstLine="0"/>
      </w:pPr>
      <w:r>
        <w:rPr>
          <w:color w:val="1B1C1D"/>
        </w:rPr>
        <w:t xml:space="preserve">BRASIL. Tribunal de Contas da União. </w:t>
      </w:r>
      <w:r>
        <w:rPr>
          <w:b/>
          <w:color w:val="1B1C1D"/>
        </w:rPr>
        <w:t xml:space="preserve">Acórdão nº 1599/2011 </w:t>
      </w:r>
      <w:r>
        <w:rPr>
          <w:color w:val="1B1C1D"/>
        </w:rPr>
        <w:t>- Plenário, TC 013.519/2005-8, Relator: Ubiratan Aguiar, Data da sessão: 15 jun. 2011. Disponível</w:t>
      </w:r>
      <w:r>
        <w:rPr>
          <w:color w:val="1B1C1D"/>
          <w:spacing w:val="80"/>
        </w:rPr>
        <w:t xml:space="preserve"> </w:t>
      </w:r>
      <w:r>
        <w:rPr>
          <w:color w:val="1B1C1D"/>
          <w:spacing w:val="-4"/>
        </w:rPr>
        <w:t>em:</w:t>
      </w:r>
      <w:r>
        <w:rPr>
          <w:color w:val="1B1C1D"/>
        </w:rPr>
        <w:tab/>
      </w:r>
      <w:r>
        <w:rPr>
          <w:color w:val="0A56D0"/>
          <w:spacing w:val="-2"/>
          <w:u w:val="single" w:color="0A56D0"/>
        </w:rPr>
        <w:t>https://pesquisa.apps.tcu.gov.br/documento/acordao-</w:t>
      </w:r>
      <w:r>
        <w:rPr>
          <w:color w:val="0A56D0"/>
          <w:spacing w:val="-2"/>
        </w:rPr>
        <w:t xml:space="preserve"> </w:t>
      </w:r>
      <w:r>
        <w:rPr>
          <w:color w:val="0A56D0"/>
          <w:spacing w:val="-2"/>
          <w:u w:val="single" w:color="0A56D0"/>
        </w:rPr>
        <w:t>completo/*/NUMACORDAO%253A1599%2520ANOACORDAO%253A2011%2520/</w:t>
      </w:r>
      <w:r>
        <w:rPr>
          <w:color w:val="0A56D0"/>
          <w:spacing w:val="-2"/>
        </w:rPr>
        <w:t xml:space="preserve"> </w:t>
      </w:r>
      <w:r>
        <w:rPr>
          <w:color w:val="0A56D0"/>
          <w:spacing w:val="-2"/>
          <w:u w:val="single" w:color="0A56D0"/>
        </w:rPr>
        <w:t>DTRELEVANCIA%2520desc%252C%2520NUMACORDAOINT%2520desc/0</w:t>
      </w:r>
      <w:r>
        <w:rPr>
          <w:color w:val="1B1C1D"/>
          <w:spacing w:val="-2"/>
        </w:rPr>
        <w:t>.</w:t>
      </w:r>
    </w:p>
    <w:p w:rsidR="007259F2" w:rsidRDefault="00E655B4">
      <w:pPr>
        <w:pStyle w:val="Corpodetexto"/>
        <w:ind w:firstLine="0"/>
      </w:pPr>
      <w:r>
        <w:rPr>
          <w:color w:val="1B1C1D"/>
        </w:rPr>
        <w:t>Acesso</w:t>
      </w:r>
      <w:r>
        <w:rPr>
          <w:color w:val="1B1C1D"/>
          <w:spacing w:val="-3"/>
        </w:rPr>
        <w:t xml:space="preserve"> </w:t>
      </w:r>
      <w:r>
        <w:rPr>
          <w:color w:val="1B1C1D"/>
        </w:rPr>
        <w:t>em:</w:t>
      </w:r>
      <w:r>
        <w:rPr>
          <w:color w:val="1B1C1D"/>
          <w:spacing w:val="-1"/>
        </w:rPr>
        <w:t xml:space="preserve"> </w:t>
      </w:r>
      <w:r>
        <w:rPr>
          <w:color w:val="1B1C1D"/>
        </w:rPr>
        <w:t>14</w:t>
      </w:r>
      <w:r>
        <w:rPr>
          <w:color w:val="1B1C1D"/>
          <w:spacing w:val="-1"/>
        </w:rPr>
        <w:t xml:space="preserve"> </w:t>
      </w:r>
      <w:r>
        <w:rPr>
          <w:color w:val="1B1C1D"/>
        </w:rPr>
        <w:t>jan.</w:t>
      </w:r>
      <w:r>
        <w:rPr>
          <w:color w:val="1B1C1D"/>
          <w:spacing w:val="-1"/>
        </w:rPr>
        <w:t xml:space="preserve"> </w:t>
      </w:r>
      <w:r>
        <w:rPr>
          <w:color w:val="1B1C1D"/>
          <w:spacing w:val="-2"/>
        </w:rPr>
        <w:t>2025.</w:t>
      </w:r>
    </w:p>
    <w:p w:rsidR="007259F2" w:rsidRDefault="00E655B4">
      <w:pPr>
        <w:pStyle w:val="Corpodetexto"/>
        <w:tabs>
          <w:tab w:val="left" w:pos="4149"/>
        </w:tabs>
        <w:spacing w:before="120"/>
        <w:ind w:right="988" w:firstLine="0"/>
      </w:pPr>
      <w:r>
        <w:rPr>
          <w:color w:val="1B1C1D"/>
        </w:rPr>
        <w:t xml:space="preserve">BRASIL. Tribunal de Contas da União. </w:t>
      </w:r>
      <w:r>
        <w:rPr>
          <w:b/>
          <w:color w:val="1B1C1D"/>
        </w:rPr>
        <w:t xml:space="preserve">Acórdão nº 2240/2015 </w:t>
      </w:r>
      <w:r>
        <w:rPr>
          <w:color w:val="1B1C1D"/>
        </w:rPr>
        <w:t xml:space="preserve">- Primeira Câmara, TC 019.511.2011-6, Relator: Benjamin Zymler, Data da sessão: 28 abr. 2015. Disponível </w:t>
      </w:r>
      <w:r>
        <w:rPr>
          <w:color w:val="1B1C1D"/>
          <w:spacing w:val="-4"/>
        </w:rPr>
        <w:t>em:</w:t>
      </w:r>
      <w:r>
        <w:rPr>
          <w:color w:val="1B1C1D"/>
        </w:rPr>
        <w:tab/>
      </w:r>
      <w:r>
        <w:rPr>
          <w:color w:val="0A56D0"/>
          <w:spacing w:val="-2"/>
          <w:u w:val="single" w:color="0A56D0"/>
        </w:rPr>
        <w:t>https://pesquisa.apps.tcu.gov.br/documento/acordao-</w:t>
      </w:r>
      <w:r>
        <w:rPr>
          <w:color w:val="0A56D0"/>
          <w:spacing w:val="-2"/>
        </w:rPr>
        <w:t xml:space="preserve"> </w:t>
      </w:r>
      <w:r>
        <w:rPr>
          <w:color w:val="0A56D0"/>
          <w:spacing w:val="-2"/>
          <w:u w:val="single" w:color="0A56D0"/>
        </w:rPr>
        <w:t>completo/*/NUMACORDAO%253A2240%2520ANOACORDAO%253A2015%2520/</w:t>
      </w:r>
      <w:r>
        <w:rPr>
          <w:color w:val="0A56D0"/>
          <w:spacing w:val="-2"/>
        </w:rPr>
        <w:t xml:space="preserve"> </w:t>
      </w:r>
      <w:r>
        <w:rPr>
          <w:color w:val="0A56D0"/>
          <w:spacing w:val="-2"/>
          <w:u w:val="single" w:color="0A56D0"/>
        </w:rPr>
        <w:t>DTRELEVANCIA%2520desc%252C%2520NUMACORDAOINT%2520desc/2</w:t>
      </w:r>
      <w:r>
        <w:rPr>
          <w:color w:val="1B1C1D"/>
          <w:spacing w:val="-2"/>
        </w:rPr>
        <w:t>.</w:t>
      </w:r>
    </w:p>
    <w:p w:rsidR="007259F2" w:rsidRDefault="00E655B4">
      <w:pPr>
        <w:pStyle w:val="Corpodetexto"/>
        <w:ind w:firstLine="0"/>
      </w:pPr>
      <w:r>
        <w:rPr>
          <w:color w:val="1B1C1D"/>
        </w:rPr>
        <w:t>Acesso</w:t>
      </w:r>
      <w:r>
        <w:rPr>
          <w:color w:val="1B1C1D"/>
          <w:spacing w:val="-3"/>
        </w:rPr>
        <w:t xml:space="preserve"> </w:t>
      </w:r>
      <w:r>
        <w:rPr>
          <w:color w:val="1B1C1D"/>
        </w:rPr>
        <w:t>em:</w:t>
      </w:r>
      <w:r>
        <w:rPr>
          <w:color w:val="1B1C1D"/>
          <w:spacing w:val="-1"/>
        </w:rPr>
        <w:t xml:space="preserve"> </w:t>
      </w:r>
      <w:r>
        <w:rPr>
          <w:color w:val="1B1C1D"/>
        </w:rPr>
        <w:t>14</w:t>
      </w:r>
      <w:r>
        <w:rPr>
          <w:color w:val="1B1C1D"/>
          <w:spacing w:val="-1"/>
        </w:rPr>
        <w:t xml:space="preserve"> </w:t>
      </w:r>
      <w:r>
        <w:rPr>
          <w:color w:val="1B1C1D"/>
        </w:rPr>
        <w:t>jan.</w:t>
      </w:r>
      <w:r>
        <w:rPr>
          <w:color w:val="1B1C1D"/>
          <w:spacing w:val="-1"/>
        </w:rPr>
        <w:t xml:space="preserve"> </w:t>
      </w:r>
      <w:r>
        <w:rPr>
          <w:color w:val="1B1C1D"/>
          <w:spacing w:val="-2"/>
        </w:rPr>
        <w:t>2025.</w:t>
      </w:r>
    </w:p>
    <w:p w:rsidR="007259F2" w:rsidRDefault="00E655B4">
      <w:pPr>
        <w:pStyle w:val="Corpodetexto"/>
        <w:tabs>
          <w:tab w:val="left" w:pos="4149"/>
        </w:tabs>
        <w:spacing w:before="121"/>
        <w:ind w:right="988" w:firstLine="0"/>
      </w:pPr>
      <w:r>
        <w:rPr>
          <w:color w:val="1B1C1D"/>
        </w:rPr>
        <w:t xml:space="preserve">BRASIL. Tribunal de Contas da União. </w:t>
      </w:r>
      <w:r>
        <w:rPr>
          <w:b/>
          <w:color w:val="1B1C1D"/>
        </w:rPr>
        <w:t xml:space="preserve">Acórdão nº 1122/2017 </w:t>
      </w:r>
      <w:r>
        <w:rPr>
          <w:color w:val="1B1C1D"/>
        </w:rPr>
        <w:t xml:space="preserve">- Plenário, TC 020.514/2014-0, Relator: Benjamin Zymler, Data da sessão: 31 maio 2017. Disponível </w:t>
      </w:r>
      <w:r>
        <w:rPr>
          <w:color w:val="1B1C1D"/>
          <w:spacing w:val="-4"/>
        </w:rPr>
        <w:t>em:</w:t>
      </w:r>
      <w:r>
        <w:rPr>
          <w:color w:val="1B1C1D"/>
        </w:rPr>
        <w:tab/>
      </w:r>
      <w:r>
        <w:rPr>
          <w:color w:val="0A56D0"/>
          <w:spacing w:val="-2"/>
          <w:u w:val="single" w:color="0A56D0"/>
        </w:rPr>
        <w:t>https://pesquisa.apps.tcu.gov.br/documento/acordao-</w:t>
      </w:r>
      <w:r>
        <w:rPr>
          <w:color w:val="0A56D0"/>
          <w:spacing w:val="-2"/>
        </w:rPr>
        <w:t xml:space="preserve"> </w:t>
      </w:r>
      <w:r>
        <w:rPr>
          <w:color w:val="0A56D0"/>
          <w:spacing w:val="-2"/>
          <w:u w:val="single" w:color="0A56D0"/>
        </w:rPr>
        <w:t>completo/*/NUMACORDAO%253A1122%2520ANOACORDAO%253A2017%2520/</w:t>
      </w:r>
      <w:r>
        <w:rPr>
          <w:color w:val="0A56D0"/>
          <w:spacing w:val="-2"/>
        </w:rPr>
        <w:t xml:space="preserve"> </w:t>
      </w:r>
      <w:r>
        <w:rPr>
          <w:color w:val="0A56D0"/>
          <w:spacing w:val="-2"/>
          <w:u w:val="single" w:color="0A56D0"/>
        </w:rPr>
        <w:t>DTRELEVANCIA%2520desc%252C%2520NUMACORDAOINT%2520desc/0</w:t>
      </w:r>
      <w:r>
        <w:rPr>
          <w:color w:val="1B1C1D"/>
          <w:spacing w:val="-2"/>
        </w:rPr>
        <w:t>.</w:t>
      </w:r>
    </w:p>
    <w:p w:rsidR="007259F2" w:rsidRDefault="00E655B4">
      <w:pPr>
        <w:pStyle w:val="Corpodetexto"/>
        <w:ind w:firstLine="0"/>
      </w:pPr>
      <w:r>
        <w:rPr>
          <w:color w:val="1B1C1D"/>
        </w:rPr>
        <w:t>Acesso</w:t>
      </w:r>
      <w:r>
        <w:rPr>
          <w:color w:val="1B1C1D"/>
          <w:spacing w:val="-3"/>
        </w:rPr>
        <w:t xml:space="preserve"> </w:t>
      </w:r>
      <w:r>
        <w:rPr>
          <w:color w:val="1B1C1D"/>
        </w:rPr>
        <w:t>em:</w:t>
      </w:r>
      <w:r>
        <w:rPr>
          <w:color w:val="1B1C1D"/>
          <w:spacing w:val="-1"/>
        </w:rPr>
        <w:t xml:space="preserve"> </w:t>
      </w:r>
      <w:r>
        <w:rPr>
          <w:color w:val="1B1C1D"/>
        </w:rPr>
        <w:t>14</w:t>
      </w:r>
      <w:r>
        <w:rPr>
          <w:color w:val="1B1C1D"/>
          <w:spacing w:val="-1"/>
        </w:rPr>
        <w:t xml:space="preserve"> </w:t>
      </w:r>
      <w:r>
        <w:rPr>
          <w:color w:val="1B1C1D"/>
        </w:rPr>
        <w:t>jan.</w:t>
      </w:r>
      <w:r>
        <w:rPr>
          <w:color w:val="1B1C1D"/>
          <w:spacing w:val="-1"/>
        </w:rPr>
        <w:t xml:space="preserve"> </w:t>
      </w:r>
      <w:r>
        <w:rPr>
          <w:color w:val="1B1C1D"/>
          <w:spacing w:val="-2"/>
        </w:rPr>
        <w:t>2025.</w:t>
      </w:r>
    </w:p>
    <w:p w:rsidR="007259F2" w:rsidRDefault="00E655B4">
      <w:pPr>
        <w:spacing w:before="120"/>
        <w:ind w:left="710" w:right="993"/>
        <w:jc w:val="both"/>
        <w:rPr>
          <w:sz w:val="24"/>
        </w:rPr>
      </w:pPr>
      <w:r>
        <w:rPr>
          <w:color w:val="1B1C1D"/>
          <w:sz w:val="24"/>
        </w:rPr>
        <w:t xml:space="preserve">JUSTEN FILHO, Marçal. </w:t>
      </w:r>
      <w:r>
        <w:rPr>
          <w:b/>
          <w:color w:val="1B1C1D"/>
          <w:sz w:val="24"/>
        </w:rPr>
        <w:t xml:space="preserve">Comentários à Lei de Licitações e Contratos Administrativos </w:t>
      </w:r>
      <w:r>
        <w:rPr>
          <w:color w:val="1B1C1D"/>
          <w:sz w:val="24"/>
        </w:rPr>
        <w:t>[livro eletrônico]: Lei 8.666/1993. 3. ed. São Paulo: Thomson Reuters Brasil, 2019. E-book. ISBN 978-85-5321-414-3.</w:t>
      </w:r>
    </w:p>
    <w:p w:rsidR="007259F2" w:rsidRDefault="00E655B4">
      <w:pPr>
        <w:spacing w:before="120"/>
        <w:ind w:left="710" w:right="987"/>
        <w:jc w:val="both"/>
        <w:rPr>
          <w:sz w:val="24"/>
        </w:rPr>
      </w:pPr>
      <w:r>
        <w:rPr>
          <w:color w:val="1B1C1D"/>
          <w:sz w:val="24"/>
        </w:rPr>
        <w:t xml:space="preserve">POZZO, Augusto; CAMMAROSANO, Márcio; ZOCKUN, Mauricio. </w:t>
      </w:r>
      <w:r>
        <w:rPr>
          <w:b/>
          <w:color w:val="1B1C1D"/>
          <w:sz w:val="24"/>
        </w:rPr>
        <w:t>Lei de</w:t>
      </w:r>
      <w:r>
        <w:rPr>
          <w:b/>
          <w:color w:val="1B1C1D"/>
          <w:spacing w:val="40"/>
          <w:sz w:val="24"/>
        </w:rPr>
        <w:t xml:space="preserve"> </w:t>
      </w:r>
      <w:r>
        <w:rPr>
          <w:b/>
          <w:color w:val="1B1C1D"/>
          <w:sz w:val="24"/>
        </w:rPr>
        <w:t xml:space="preserve">Licitações e Contratos Administrativos Comentada </w:t>
      </w:r>
      <w:r>
        <w:rPr>
          <w:color w:val="1B1C1D"/>
          <w:sz w:val="24"/>
        </w:rPr>
        <w:t>(Lei 14.133/21). 1. ed. São</w:t>
      </w:r>
      <w:r>
        <w:rPr>
          <w:color w:val="1B1C1D"/>
          <w:spacing w:val="40"/>
          <w:sz w:val="24"/>
        </w:rPr>
        <w:t xml:space="preserve"> </w:t>
      </w:r>
      <w:r>
        <w:rPr>
          <w:color w:val="1B1C1D"/>
          <w:sz w:val="24"/>
        </w:rPr>
        <w:t>Paulo: Thomson Reuters Brasil, 2022. (Revista dos Tribunais. P. RL-1.42). E-book.</w:t>
      </w:r>
    </w:p>
    <w:p w:rsidR="007259F2" w:rsidRDefault="007259F2">
      <w:pPr>
        <w:jc w:val="both"/>
        <w:rPr>
          <w:sz w:val="24"/>
        </w:rPr>
        <w:sectPr w:rsidR="007259F2">
          <w:pgSz w:w="11910" w:h="16840"/>
          <w:pgMar w:top="1320" w:right="708" w:bottom="1160" w:left="992" w:header="0" w:footer="962" w:gutter="0"/>
          <w:cols w:space="720"/>
        </w:sectPr>
      </w:pPr>
    </w:p>
    <w:p w:rsidR="007259F2" w:rsidRDefault="00E655B4">
      <w:pPr>
        <w:pStyle w:val="Corpodetexto"/>
        <w:tabs>
          <w:tab w:val="left" w:pos="2235"/>
          <w:tab w:val="left" w:pos="3069"/>
        </w:tabs>
        <w:spacing w:before="69"/>
        <w:ind w:right="988" w:firstLine="0"/>
        <w:jc w:val="left"/>
      </w:pPr>
      <w:r>
        <w:rPr>
          <w:color w:val="1B1C1D"/>
        </w:rPr>
        <w:lastRenderedPageBreak/>
        <w:t>PSOL</w:t>
      </w:r>
      <w:r>
        <w:rPr>
          <w:color w:val="1B1C1D"/>
          <w:spacing w:val="40"/>
        </w:rPr>
        <w:t xml:space="preserve"> </w:t>
      </w:r>
      <w:r>
        <w:rPr>
          <w:color w:val="1B1C1D"/>
        </w:rPr>
        <w:t>e</w:t>
      </w:r>
      <w:r>
        <w:rPr>
          <w:color w:val="1B1C1D"/>
          <w:spacing w:val="40"/>
        </w:rPr>
        <w:t xml:space="preserve"> </w:t>
      </w:r>
      <w:r>
        <w:rPr>
          <w:color w:val="1B1C1D"/>
        </w:rPr>
        <w:t>PT</w:t>
      </w:r>
      <w:r>
        <w:rPr>
          <w:color w:val="1B1C1D"/>
          <w:spacing w:val="40"/>
        </w:rPr>
        <w:t xml:space="preserve"> </w:t>
      </w:r>
      <w:r>
        <w:rPr>
          <w:color w:val="1B1C1D"/>
        </w:rPr>
        <w:t>pedem</w:t>
      </w:r>
      <w:r>
        <w:rPr>
          <w:color w:val="1B1C1D"/>
          <w:spacing w:val="40"/>
        </w:rPr>
        <w:t xml:space="preserve"> </w:t>
      </w:r>
      <w:r>
        <w:rPr>
          <w:color w:val="1B1C1D"/>
        </w:rPr>
        <w:t>CPI</w:t>
      </w:r>
      <w:r>
        <w:rPr>
          <w:color w:val="1B1C1D"/>
          <w:spacing w:val="40"/>
        </w:rPr>
        <w:t xml:space="preserve"> </w:t>
      </w:r>
      <w:r>
        <w:rPr>
          <w:color w:val="1B1C1D"/>
        </w:rPr>
        <w:t>na</w:t>
      </w:r>
      <w:r>
        <w:rPr>
          <w:color w:val="1B1C1D"/>
          <w:spacing w:val="40"/>
        </w:rPr>
        <w:t xml:space="preserve"> </w:t>
      </w:r>
      <w:r>
        <w:rPr>
          <w:color w:val="1B1C1D"/>
        </w:rPr>
        <w:t>Câmara</w:t>
      </w:r>
      <w:r>
        <w:rPr>
          <w:color w:val="1B1C1D"/>
          <w:spacing w:val="40"/>
        </w:rPr>
        <w:t xml:space="preserve"> </w:t>
      </w:r>
      <w:r>
        <w:rPr>
          <w:color w:val="1B1C1D"/>
        </w:rPr>
        <w:t>de</w:t>
      </w:r>
      <w:r>
        <w:rPr>
          <w:color w:val="1B1C1D"/>
          <w:spacing w:val="40"/>
        </w:rPr>
        <w:t xml:space="preserve"> </w:t>
      </w:r>
      <w:r>
        <w:rPr>
          <w:color w:val="1B1C1D"/>
        </w:rPr>
        <w:t>SP</w:t>
      </w:r>
      <w:r>
        <w:rPr>
          <w:color w:val="1B1C1D"/>
          <w:spacing w:val="40"/>
        </w:rPr>
        <w:t xml:space="preserve"> </w:t>
      </w:r>
      <w:r>
        <w:rPr>
          <w:color w:val="1B1C1D"/>
        </w:rPr>
        <w:t>e</w:t>
      </w:r>
      <w:r>
        <w:rPr>
          <w:color w:val="1B1C1D"/>
          <w:spacing w:val="40"/>
        </w:rPr>
        <w:t xml:space="preserve"> </w:t>
      </w:r>
      <w:r>
        <w:rPr>
          <w:color w:val="1B1C1D"/>
        </w:rPr>
        <w:t>investigação</w:t>
      </w:r>
      <w:r>
        <w:rPr>
          <w:color w:val="1B1C1D"/>
          <w:spacing w:val="40"/>
        </w:rPr>
        <w:t xml:space="preserve"> </w:t>
      </w:r>
      <w:r>
        <w:rPr>
          <w:color w:val="1B1C1D"/>
        </w:rPr>
        <w:t>no</w:t>
      </w:r>
      <w:r>
        <w:rPr>
          <w:color w:val="1B1C1D"/>
          <w:spacing w:val="40"/>
        </w:rPr>
        <w:t xml:space="preserve"> </w:t>
      </w:r>
      <w:r>
        <w:rPr>
          <w:color w:val="1B1C1D"/>
        </w:rPr>
        <w:t>MP</w:t>
      </w:r>
      <w:r>
        <w:rPr>
          <w:color w:val="1B1C1D"/>
          <w:spacing w:val="40"/>
        </w:rPr>
        <w:t xml:space="preserve"> </w:t>
      </w:r>
      <w:r>
        <w:rPr>
          <w:color w:val="1B1C1D"/>
        </w:rPr>
        <w:t>sobre</w:t>
      </w:r>
      <w:r>
        <w:rPr>
          <w:color w:val="1B1C1D"/>
          <w:spacing w:val="40"/>
        </w:rPr>
        <w:t xml:space="preserve"> </w:t>
      </w:r>
      <w:r>
        <w:rPr>
          <w:color w:val="1B1C1D"/>
        </w:rPr>
        <w:t>suspeita</w:t>
      </w:r>
      <w:r>
        <w:rPr>
          <w:color w:val="1B1C1D"/>
          <w:spacing w:val="40"/>
        </w:rPr>
        <w:t xml:space="preserve"> </w:t>
      </w:r>
      <w:r>
        <w:rPr>
          <w:color w:val="1B1C1D"/>
        </w:rPr>
        <w:t>de conluio em</w:t>
      </w:r>
      <w:r>
        <w:rPr>
          <w:color w:val="1B1C1D"/>
          <w:spacing w:val="-1"/>
        </w:rPr>
        <w:t xml:space="preserve"> </w:t>
      </w:r>
      <w:r>
        <w:rPr>
          <w:color w:val="1B1C1D"/>
        </w:rPr>
        <w:t>contratos de obras emergenciais</w:t>
      </w:r>
      <w:r>
        <w:rPr>
          <w:color w:val="1B1C1D"/>
          <w:spacing w:val="-1"/>
        </w:rPr>
        <w:t xml:space="preserve"> </w:t>
      </w:r>
      <w:r>
        <w:rPr>
          <w:color w:val="1B1C1D"/>
        </w:rPr>
        <w:t xml:space="preserve">de Nunes. </w:t>
      </w:r>
      <w:r>
        <w:rPr>
          <w:b/>
          <w:color w:val="1B1C1D"/>
        </w:rPr>
        <w:t xml:space="preserve">G1 </w:t>
      </w:r>
      <w:r>
        <w:rPr>
          <w:color w:val="1B1C1D"/>
        </w:rPr>
        <w:t>SP, São</w:t>
      </w:r>
      <w:r>
        <w:rPr>
          <w:color w:val="1B1C1D"/>
          <w:spacing w:val="-1"/>
        </w:rPr>
        <w:t xml:space="preserve"> </w:t>
      </w:r>
      <w:r>
        <w:rPr>
          <w:color w:val="1B1C1D"/>
        </w:rPr>
        <w:t>Paulo, 05 mar.</w:t>
      </w:r>
      <w:r>
        <w:rPr>
          <w:color w:val="1B1C1D"/>
          <w:spacing w:val="-1"/>
        </w:rPr>
        <w:t xml:space="preserve"> </w:t>
      </w:r>
      <w:r>
        <w:rPr>
          <w:color w:val="1B1C1D"/>
        </w:rPr>
        <w:t xml:space="preserve">2024. </w:t>
      </w:r>
      <w:r>
        <w:rPr>
          <w:color w:val="1B1C1D"/>
          <w:spacing w:val="-2"/>
        </w:rPr>
        <w:t>Disponível</w:t>
      </w:r>
      <w:r>
        <w:rPr>
          <w:color w:val="1B1C1D"/>
        </w:rPr>
        <w:tab/>
      </w:r>
      <w:r>
        <w:rPr>
          <w:color w:val="1B1C1D"/>
          <w:spacing w:val="-4"/>
        </w:rPr>
        <w:t>em:</w:t>
      </w:r>
      <w:r>
        <w:rPr>
          <w:color w:val="1B1C1D"/>
        </w:rPr>
        <w:tab/>
      </w:r>
      <w:hyperlink r:id="rId75">
        <w:r>
          <w:rPr>
            <w:color w:val="0A56D0"/>
            <w:spacing w:val="-2"/>
            <w:u w:val="single" w:color="0A56D0"/>
          </w:rPr>
          <w:t>https://g1.globo.com/sp/sao-paulo/noticia/2024/03/05/psol-e-pt-</w:t>
        </w:r>
      </w:hyperlink>
      <w:r>
        <w:rPr>
          <w:color w:val="0A56D0"/>
          <w:spacing w:val="-2"/>
        </w:rPr>
        <w:t xml:space="preserve"> </w:t>
      </w:r>
      <w:hyperlink r:id="rId76">
        <w:r>
          <w:rPr>
            <w:color w:val="0A56D0"/>
            <w:spacing w:val="-2"/>
            <w:u w:val="single" w:color="0A56D0"/>
          </w:rPr>
          <w:t>protocolam-pedido-de-cpi-na-camara-de-sp-e-investigacao-no-mp-sobre-suspeita-de-</w:t>
        </w:r>
      </w:hyperlink>
      <w:r>
        <w:rPr>
          <w:color w:val="0A56D0"/>
          <w:spacing w:val="-2"/>
        </w:rPr>
        <w:t xml:space="preserve"> </w:t>
      </w:r>
      <w:hyperlink r:id="rId77">
        <w:r>
          <w:rPr>
            <w:color w:val="0A56D0"/>
            <w:u w:val="single" w:color="0A56D0"/>
          </w:rPr>
          <w:t>conluio-em-contratos-de-obras-emergenciais-de-nunes.ghtml</w:t>
        </w:r>
        <w:r>
          <w:rPr>
            <w:color w:val="1B1C1D"/>
          </w:rPr>
          <w:t>.</w:t>
        </w:r>
      </w:hyperlink>
      <w:r>
        <w:rPr>
          <w:color w:val="1B1C1D"/>
        </w:rPr>
        <w:t xml:space="preserve"> Acesso em: 16 dez. 2024.</w:t>
      </w:r>
    </w:p>
    <w:p w:rsidR="007259F2" w:rsidRDefault="00E655B4">
      <w:pPr>
        <w:pStyle w:val="Corpodetexto"/>
        <w:tabs>
          <w:tab w:val="left" w:pos="1929"/>
          <w:tab w:val="left" w:pos="2903"/>
          <w:tab w:val="left" w:pos="4336"/>
          <w:tab w:val="left" w:pos="4909"/>
          <w:tab w:val="left" w:pos="5732"/>
          <w:tab w:val="left" w:pos="6185"/>
          <w:tab w:val="left" w:pos="6830"/>
          <w:tab w:val="left" w:pos="7584"/>
          <w:tab w:val="left" w:pos="8853"/>
        </w:tabs>
        <w:spacing w:before="121"/>
        <w:ind w:right="992" w:firstLine="0"/>
        <w:jc w:val="left"/>
      </w:pPr>
      <w:r>
        <w:rPr>
          <w:color w:val="1B1C1D"/>
        </w:rPr>
        <w:t>RIBEIRO,</w:t>
      </w:r>
      <w:r>
        <w:rPr>
          <w:color w:val="1B1C1D"/>
          <w:spacing w:val="77"/>
        </w:rPr>
        <w:t xml:space="preserve"> </w:t>
      </w:r>
      <w:r>
        <w:rPr>
          <w:color w:val="1B1C1D"/>
        </w:rPr>
        <w:t>Bruno.</w:t>
      </w:r>
      <w:r>
        <w:rPr>
          <w:color w:val="1B1C1D"/>
          <w:spacing w:val="77"/>
        </w:rPr>
        <w:t xml:space="preserve"> </w:t>
      </w:r>
      <w:r>
        <w:rPr>
          <w:color w:val="1B1C1D"/>
        </w:rPr>
        <w:t>MPSP</w:t>
      </w:r>
      <w:r>
        <w:rPr>
          <w:color w:val="1B1C1D"/>
          <w:spacing w:val="76"/>
        </w:rPr>
        <w:t xml:space="preserve"> </w:t>
      </w:r>
      <w:r>
        <w:rPr>
          <w:color w:val="1B1C1D"/>
        </w:rPr>
        <w:t>apura</w:t>
      </w:r>
      <w:r>
        <w:rPr>
          <w:color w:val="1B1C1D"/>
          <w:spacing w:val="74"/>
        </w:rPr>
        <w:t xml:space="preserve"> </w:t>
      </w:r>
      <w:r>
        <w:rPr>
          <w:color w:val="1B1C1D"/>
        </w:rPr>
        <w:t>irregularidades</w:t>
      </w:r>
      <w:r>
        <w:rPr>
          <w:color w:val="1B1C1D"/>
          <w:spacing w:val="78"/>
        </w:rPr>
        <w:t xml:space="preserve"> </w:t>
      </w:r>
      <w:r>
        <w:rPr>
          <w:color w:val="1B1C1D"/>
        </w:rPr>
        <w:t>em</w:t>
      </w:r>
      <w:r>
        <w:rPr>
          <w:color w:val="1B1C1D"/>
          <w:spacing w:val="76"/>
        </w:rPr>
        <w:t xml:space="preserve"> </w:t>
      </w:r>
      <w:r>
        <w:rPr>
          <w:color w:val="1B1C1D"/>
        </w:rPr>
        <w:t>36</w:t>
      </w:r>
      <w:r>
        <w:rPr>
          <w:color w:val="1B1C1D"/>
          <w:spacing w:val="75"/>
        </w:rPr>
        <w:t xml:space="preserve"> </w:t>
      </w:r>
      <w:r>
        <w:rPr>
          <w:color w:val="1B1C1D"/>
        </w:rPr>
        <w:t>contratos</w:t>
      </w:r>
      <w:r>
        <w:rPr>
          <w:color w:val="1B1C1D"/>
          <w:spacing w:val="76"/>
        </w:rPr>
        <w:t xml:space="preserve"> </w:t>
      </w:r>
      <w:r>
        <w:rPr>
          <w:color w:val="1B1C1D"/>
        </w:rPr>
        <w:t>sem</w:t>
      </w:r>
      <w:r>
        <w:rPr>
          <w:color w:val="1B1C1D"/>
          <w:spacing w:val="78"/>
        </w:rPr>
        <w:t xml:space="preserve"> </w:t>
      </w:r>
      <w:r>
        <w:rPr>
          <w:color w:val="1B1C1D"/>
        </w:rPr>
        <w:t>licitação</w:t>
      </w:r>
      <w:r>
        <w:rPr>
          <w:color w:val="1B1C1D"/>
          <w:spacing w:val="75"/>
        </w:rPr>
        <w:t xml:space="preserve"> </w:t>
      </w:r>
      <w:r>
        <w:rPr>
          <w:color w:val="1B1C1D"/>
        </w:rPr>
        <w:t xml:space="preserve">da </w:t>
      </w:r>
      <w:r>
        <w:rPr>
          <w:color w:val="1B1C1D"/>
          <w:spacing w:val="-2"/>
        </w:rPr>
        <w:t>Prefeitura.</w:t>
      </w:r>
      <w:r>
        <w:rPr>
          <w:color w:val="1B1C1D"/>
        </w:rPr>
        <w:tab/>
      </w:r>
      <w:r>
        <w:rPr>
          <w:b/>
          <w:color w:val="1B1C1D"/>
          <w:spacing w:val="-2"/>
        </w:rPr>
        <w:t>Revista</w:t>
      </w:r>
      <w:r>
        <w:rPr>
          <w:b/>
          <w:color w:val="1B1C1D"/>
        </w:rPr>
        <w:tab/>
      </w:r>
      <w:r>
        <w:rPr>
          <w:b/>
          <w:color w:val="1B1C1D"/>
          <w:spacing w:val="-2"/>
        </w:rPr>
        <w:t>Metrópoles</w:t>
      </w:r>
      <w:r>
        <w:rPr>
          <w:color w:val="1B1C1D"/>
          <w:spacing w:val="-2"/>
        </w:rPr>
        <w:t>,</w:t>
      </w:r>
      <w:r>
        <w:rPr>
          <w:color w:val="1B1C1D"/>
        </w:rPr>
        <w:tab/>
      </w:r>
      <w:r>
        <w:rPr>
          <w:color w:val="1B1C1D"/>
          <w:spacing w:val="-4"/>
        </w:rPr>
        <w:t>São</w:t>
      </w:r>
      <w:r>
        <w:rPr>
          <w:color w:val="1B1C1D"/>
        </w:rPr>
        <w:tab/>
      </w:r>
      <w:r>
        <w:rPr>
          <w:color w:val="1B1C1D"/>
          <w:spacing w:val="-2"/>
        </w:rPr>
        <w:t>Paulo,</w:t>
      </w:r>
      <w:r>
        <w:rPr>
          <w:color w:val="1B1C1D"/>
        </w:rPr>
        <w:tab/>
      </w:r>
      <w:r>
        <w:rPr>
          <w:color w:val="1B1C1D"/>
          <w:spacing w:val="-6"/>
        </w:rPr>
        <w:t>08</w:t>
      </w:r>
      <w:r>
        <w:rPr>
          <w:color w:val="1B1C1D"/>
        </w:rPr>
        <w:tab/>
      </w:r>
      <w:r>
        <w:rPr>
          <w:color w:val="1B1C1D"/>
          <w:spacing w:val="-4"/>
        </w:rPr>
        <w:t>mar.</w:t>
      </w:r>
      <w:r>
        <w:rPr>
          <w:color w:val="1B1C1D"/>
        </w:rPr>
        <w:tab/>
      </w:r>
      <w:r>
        <w:rPr>
          <w:color w:val="1B1C1D"/>
          <w:spacing w:val="-2"/>
        </w:rPr>
        <w:t>2024.</w:t>
      </w:r>
      <w:r>
        <w:rPr>
          <w:color w:val="1B1C1D"/>
        </w:rPr>
        <w:tab/>
      </w:r>
      <w:r>
        <w:rPr>
          <w:color w:val="1B1C1D"/>
          <w:spacing w:val="-2"/>
        </w:rPr>
        <w:t>Disponível</w:t>
      </w:r>
      <w:r>
        <w:rPr>
          <w:color w:val="1B1C1D"/>
        </w:rPr>
        <w:tab/>
      </w:r>
      <w:r>
        <w:rPr>
          <w:color w:val="1B1C1D"/>
          <w:spacing w:val="-4"/>
        </w:rPr>
        <w:t xml:space="preserve">em: </w:t>
      </w:r>
      <w:hyperlink r:id="rId78">
        <w:r>
          <w:rPr>
            <w:color w:val="0A56D0"/>
            <w:spacing w:val="-2"/>
            <w:u w:val="single" w:color="0A56D0"/>
          </w:rPr>
          <w:t>https://www.metropoles.com/sao-paulo/mpsp-apura-irregularidades-em-36-contratos-</w:t>
        </w:r>
      </w:hyperlink>
      <w:r>
        <w:rPr>
          <w:color w:val="0A56D0"/>
          <w:spacing w:val="-2"/>
        </w:rPr>
        <w:t xml:space="preserve"> </w:t>
      </w:r>
      <w:hyperlink r:id="rId79">
        <w:r>
          <w:rPr>
            <w:color w:val="0A56D0"/>
            <w:u w:val="single" w:color="0A56D0"/>
          </w:rPr>
          <w:t>sem-licitacao-da-prefeitura</w:t>
        </w:r>
        <w:r>
          <w:rPr>
            <w:color w:val="1B1C1D"/>
          </w:rPr>
          <w:t>.</w:t>
        </w:r>
      </w:hyperlink>
      <w:r>
        <w:rPr>
          <w:color w:val="1B1C1D"/>
        </w:rPr>
        <w:t xml:space="preserve"> Acesso em: 16 dez. 2024.</w:t>
      </w:r>
    </w:p>
    <w:p w:rsidR="007259F2" w:rsidRDefault="00E655B4">
      <w:pPr>
        <w:pStyle w:val="Corpodetexto"/>
        <w:tabs>
          <w:tab w:val="left" w:pos="1420"/>
          <w:tab w:val="left" w:pos="2449"/>
          <w:tab w:val="left" w:pos="3170"/>
          <w:tab w:val="left" w:pos="4731"/>
          <w:tab w:val="left" w:pos="5496"/>
          <w:tab w:val="left" w:pos="5966"/>
          <w:tab w:val="left" w:pos="7260"/>
          <w:tab w:val="left" w:pos="8383"/>
          <w:tab w:val="left" w:pos="9001"/>
        </w:tabs>
        <w:spacing w:before="120"/>
        <w:ind w:right="989" w:firstLine="0"/>
        <w:jc w:val="left"/>
      </w:pPr>
      <w:r>
        <w:rPr>
          <w:color w:val="1B1C1D"/>
          <w:spacing w:val="-4"/>
        </w:rPr>
        <w:t>SÃO</w:t>
      </w:r>
      <w:r>
        <w:rPr>
          <w:color w:val="1B1C1D"/>
        </w:rPr>
        <w:tab/>
      </w:r>
      <w:r>
        <w:rPr>
          <w:color w:val="1B1C1D"/>
          <w:spacing w:val="-2"/>
        </w:rPr>
        <w:t>PAULO</w:t>
      </w:r>
      <w:r>
        <w:rPr>
          <w:color w:val="1B1C1D"/>
        </w:rPr>
        <w:tab/>
      </w:r>
      <w:r>
        <w:rPr>
          <w:color w:val="1B1C1D"/>
          <w:spacing w:val="-2"/>
        </w:rPr>
        <w:t>(SP).</w:t>
      </w:r>
      <w:r>
        <w:rPr>
          <w:color w:val="1B1C1D"/>
        </w:rPr>
        <w:tab/>
      </w:r>
      <w:r>
        <w:rPr>
          <w:color w:val="1B1C1D"/>
          <w:spacing w:val="-2"/>
        </w:rPr>
        <w:t>Controladoria</w:t>
      </w:r>
      <w:r>
        <w:rPr>
          <w:color w:val="1B1C1D"/>
        </w:rPr>
        <w:tab/>
      </w:r>
      <w:r>
        <w:rPr>
          <w:color w:val="1B1C1D"/>
          <w:spacing w:val="-4"/>
        </w:rPr>
        <w:t>Geral</w:t>
      </w:r>
      <w:r>
        <w:rPr>
          <w:color w:val="1B1C1D"/>
        </w:rPr>
        <w:tab/>
      </w:r>
      <w:r>
        <w:rPr>
          <w:color w:val="1B1C1D"/>
          <w:spacing w:val="-6"/>
        </w:rPr>
        <w:t>do</w:t>
      </w:r>
      <w:r>
        <w:rPr>
          <w:color w:val="1B1C1D"/>
        </w:rPr>
        <w:tab/>
      </w:r>
      <w:r>
        <w:rPr>
          <w:color w:val="1B1C1D"/>
          <w:spacing w:val="-2"/>
        </w:rPr>
        <w:t>Município.</w:t>
      </w:r>
      <w:r>
        <w:rPr>
          <w:color w:val="1B1C1D"/>
        </w:rPr>
        <w:tab/>
      </w:r>
      <w:r>
        <w:rPr>
          <w:b/>
          <w:color w:val="1B1C1D"/>
          <w:spacing w:val="-2"/>
        </w:rPr>
        <w:t>Processo</w:t>
      </w:r>
      <w:r>
        <w:rPr>
          <w:b/>
          <w:color w:val="1B1C1D"/>
        </w:rPr>
        <w:tab/>
      </w:r>
      <w:r>
        <w:rPr>
          <w:b/>
          <w:color w:val="1B1C1D"/>
          <w:spacing w:val="-4"/>
        </w:rPr>
        <w:t>SEI</w:t>
      </w:r>
      <w:r>
        <w:rPr>
          <w:b/>
          <w:color w:val="1B1C1D"/>
        </w:rPr>
        <w:tab/>
      </w:r>
      <w:r>
        <w:rPr>
          <w:b/>
          <w:color w:val="1B1C1D"/>
          <w:spacing w:val="-6"/>
        </w:rPr>
        <w:t xml:space="preserve">nº </w:t>
      </w:r>
      <w:r>
        <w:rPr>
          <w:b/>
          <w:color w:val="1B1C1D"/>
        </w:rPr>
        <w:t>6067.2024/0022265-6</w:t>
      </w:r>
      <w:r>
        <w:rPr>
          <w:color w:val="1B1C1D"/>
        </w:rPr>
        <w:t>.</w:t>
      </w:r>
      <w:r>
        <w:rPr>
          <w:color w:val="1B1C1D"/>
          <w:spacing w:val="40"/>
        </w:rPr>
        <w:t xml:space="preserve"> </w:t>
      </w:r>
      <w:r>
        <w:rPr>
          <w:color w:val="1B1C1D"/>
        </w:rPr>
        <w:t>Matéria</w:t>
      </w:r>
      <w:r>
        <w:rPr>
          <w:color w:val="1B1C1D"/>
          <w:spacing w:val="40"/>
        </w:rPr>
        <w:t xml:space="preserve"> </w:t>
      </w:r>
      <w:r>
        <w:rPr>
          <w:color w:val="1B1C1D"/>
        </w:rPr>
        <w:t>UOL</w:t>
      </w:r>
      <w:r>
        <w:rPr>
          <w:color w:val="1B1C1D"/>
          <w:spacing w:val="40"/>
        </w:rPr>
        <w:t xml:space="preserve"> </w:t>
      </w:r>
      <w:r>
        <w:rPr>
          <w:color w:val="1B1C1D"/>
        </w:rPr>
        <w:t>Gestão</w:t>
      </w:r>
      <w:r>
        <w:rPr>
          <w:color w:val="1B1C1D"/>
          <w:spacing w:val="40"/>
        </w:rPr>
        <w:t xml:space="preserve"> </w:t>
      </w:r>
      <w:r>
        <w:rPr>
          <w:color w:val="1B1C1D"/>
        </w:rPr>
        <w:t>Nunes</w:t>
      </w:r>
      <w:r>
        <w:rPr>
          <w:color w:val="1B1C1D"/>
          <w:spacing w:val="40"/>
        </w:rPr>
        <w:t xml:space="preserve"> </w:t>
      </w:r>
      <w:r>
        <w:rPr>
          <w:color w:val="1B1C1D"/>
        </w:rPr>
        <w:t>ignorou</w:t>
      </w:r>
      <w:r>
        <w:rPr>
          <w:color w:val="1B1C1D"/>
          <w:spacing w:val="40"/>
        </w:rPr>
        <w:t xml:space="preserve"> </w:t>
      </w:r>
      <w:r>
        <w:rPr>
          <w:color w:val="1B1C1D"/>
        </w:rPr>
        <w:t>descontos</w:t>
      </w:r>
      <w:r>
        <w:rPr>
          <w:color w:val="1B1C1D"/>
          <w:spacing w:val="40"/>
        </w:rPr>
        <w:t xml:space="preserve"> </w:t>
      </w:r>
      <w:r>
        <w:rPr>
          <w:color w:val="1B1C1D"/>
        </w:rPr>
        <w:t>e</w:t>
      </w:r>
      <w:r>
        <w:rPr>
          <w:color w:val="1B1C1D"/>
          <w:spacing w:val="40"/>
        </w:rPr>
        <w:t xml:space="preserve"> </w:t>
      </w:r>
      <w:r>
        <w:rPr>
          <w:color w:val="1B1C1D"/>
        </w:rPr>
        <w:t>pagou</w:t>
      </w:r>
      <w:r>
        <w:rPr>
          <w:color w:val="1B1C1D"/>
          <w:spacing w:val="40"/>
        </w:rPr>
        <w:t xml:space="preserve"> </w:t>
      </w:r>
      <w:r>
        <w:rPr>
          <w:color w:val="1B1C1D"/>
        </w:rPr>
        <w:t>mais caro</w:t>
      </w:r>
      <w:r>
        <w:rPr>
          <w:color w:val="1B1C1D"/>
          <w:spacing w:val="80"/>
          <w:w w:val="150"/>
        </w:rPr>
        <w:t xml:space="preserve"> </w:t>
      </w:r>
      <w:r>
        <w:rPr>
          <w:color w:val="1B1C1D"/>
        </w:rPr>
        <w:t>por</w:t>
      </w:r>
      <w:r>
        <w:rPr>
          <w:color w:val="1B1C1D"/>
          <w:spacing w:val="80"/>
          <w:w w:val="150"/>
        </w:rPr>
        <w:t xml:space="preserve"> </w:t>
      </w:r>
      <w:r>
        <w:rPr>
          <w:color w:val="1B1C1D"/>
        </w:rPr>
        <w:t>obras</w:t>
      </w:r>
      <w:r>
        <w:rPr>
          <w:color w:val="1B1C1D"/>
          <w:spacing w:val="80"/>
          <w:w w:val="150"/>
        </w:rPr>
        <w:t xml:space="preserve"> </w:t>
      </w:r>
      <w:r>
        <w:rPr>
          <w:color w:val="1B1C1D"/>
        </w:rPr>
        <w:t>emergenciais.</w:t>
      </w:r>
      <w:r>
        <w:rPr>
          <w:color w:val="1B1C1D"/>
          <w:spacing w:val="80"/>
          <w:w w:val="150"/>
        </w:rPr>
        <w:t xml:space="preserve"> </w:t>
      </w:r>
      <w:r>
        <w:rPr>
          <w:color w:val="1B1C1D"/>
        </w:rPr>
        <w:t>12.08.2024.</w:t>
      </w:r>
      <w:r>
        <w:rPr>
          <w:color w:val="1B1C1D"/>
          <w:spacing w:val="80"/>
          <w:w w:val="150"/>
        </w:rPr>
        <w:t xml:space="preserve"> </w:t>
      </w:r>
      <w:r>
        <w:rPr>
          <w:color w:val="1B1C1D"/>
        </w:rPr>
        <w:t>Sistema</w:t>
      </w:r>
      <w:r>
        <w:rPr>
          <w:color w:val="1B1C1D"/>
          <w:spacing w:val="80"/>
          <w:w w:val="150"/>
        </w:rPr>
        <w:t xml:space="preserve"> </w:t>
      </w:r>
      <w:r>
        <w:rPr>
          <w:color w:val="1B1C1D"/>
        </w:rPr>
        <w:t>Eletrônico</w:t>
      </w:r>
      <w:r>
        <w:rPr>
          <w:color w:val="1B1C1D"/>
          <w:spacing w:val="80"/>
          <w:w w:val="150"/>
        </w:rPr>
        <w:t xml:space="preserve"> </w:t>
      </w:r>
      <w:r>
        <w:rPr>
          <w:color w:val="1B1C1D"/>
        </w:rPr>
        <w:t>de</w:t>
      </w:r>
      <w:r>
        <w:rPr>
          <w:color w:val="1B1C1D"/>
          <w:spacing w:val="80"/>
          <w:w w:val="150"/>
        </w:rPr>
        <w:t xml:space="preserve"> </w:t>
      </w:r>
      <w:r>
        <w:rPr>
          <w:color w:val="1B1C1D"/>
        </w:rPr>
        <w:t xml:space="preserve">Informações. Disponível em: </w:t>
      </w:r>
      <w:r>
        <w:rPr>
          <w:color w:val="1B1C1D"/>
          <w:spacing w:val="-2"/>
        </w:rPr>
        <w:t>https://sei.prefeitura.sp.gov.br/sei/controlador.php?acao=procedimento_trabalhar&amp;acao</w:t>
      </w:r>
    </w:p>
    <w:p w:rsidR="007259F2" w:rsidRDefault="00E655B4">
      <w:pPr>
        <w:pStyle w:val="Corpodetexto"/>
        <w:spacing w:before="1"/>
        <w:ind w:right="1002" w:firstLine="0"/>
      </w:pPr>
      <w:r>
        <w:rPr>
          <w:color w:val="1B1C1D"/>
          <w:spacing w:val="-2"/>
        </w:rPr>
        <w:t xml:space="preserve">_origem=protocolo_pesquisa_rapida&amp;id_protocolo=115892494&amp;infra_sistema=100000 100&amp;infra_unidade_atual=110002104&amp;infra_hash=3605540eed8590da8f008ea179182c </w:t>
      </w:r>
      <w:r>
        <w:rPr>
          <w:color w:val="1B1C1D"/>
        </w:rPr>
        <w:t>6a9e73ff3db04ea08e7824b713d253006a. Acesso em: 15/12/2024.</w:t>
      </w:r>
    </w:p>
    <w:p w:rsidR="007259F2" w:rsidRDefault="00E655B4">
      <w:pPr>
        <w:pStyle w:val="Corpodetexto"/>
        <w:spacing w:before="120"/>
        <w:ind w:right="988" w:firstLine="0"/>
      </w:pPr>
      <w:r>
        <w:rPr>
          <w:color w:val="1B1C1D"/>
        </w:rPr>
        <w:t xml:space="preserve">SÃO PAULO (SP). </w:t>
      </w:r>
      <w:r>
        <w:rPr>
          <w:b/>
          <w:color w:val="1B1C1D"/>
        </w:rPr>
        <w:t>Lei Orgânica do Município de São Paulo</w:t>
      </w:r>
      <w:r>
        <w:rPr>
          <w:color w:val="1B1C1D"/>
        </w:rPr>
        <w:t xml:space="preserve">. São Paulo, SP, [1990]. Artigo 129. Disponível em: </w:t>
      </w:r>
      <w:hyperlink r:id="rId80">
        <w:r>
          <w:rPr>
            <w:color w:val="0A56D0"/>
            <w:u w:val="single" w:color="0A56D0"/>
          </w:rPr>
          <w:t>https://legislacao.prefeitura.sp.gov.br/leis/lei-0-de-04-de-</w:t>
        </w:r>
      </w:hyperlink>
      <w:r>
        <w:rPr>
          <w:color w:val="0A56D0"/>
        </w:rPr>
        <w:t xml:space="preserve"> </w:t>
      </w:r>
      <w:hyperlink r:id="rId81">
        <w:r>
          <w:rPr>
            <w:color w:val="0A56D0"/>
            <w:u w:val="single" w:color="0A56D0"/>
          </w:rPr>
          <w:t>abril-de-1990</w:t>
        </w:r>
        <w:r>
          <w:rPr>
            <w:color w:val="1B1C1D"/>
          </w:rPr>
          <w:t>.</w:t>
        </w:r>
      </w:hyperlink>
      <w:r>
        <w:rPr>
          <w:color w:val="1B1C1D"/>
        </w:rPr>
        <w:t xml:space="preserve"> Acesso em: 22 dez. 2024.</w:t>
      </w:r>
    </w:p>
    <w:p w:rsidR="007259F2" w:rsidRDefault="00E655B4">
      <w:pPr>
        <w:spacing w:before="120"/>
        <w:ind w:left="710" w:right="990"/>
        <w:jc w:val="both"/>
        <w:rPr>
          <w:sz w:val="24"/>
        </w:rPr>
      </w:pPr>
      <w:r>
        <w:rPr>
          <w:color w:val="1B1C1D"/>
          <w:sz w:val="24"/>
        </w:rPr>
        <w:t xml:space="preserve">SÃO PAULO (SP). Tribunal de Contas do Município de São Paulo. </w:t>
      </w:r>
      <w:r>
        <w:rPr>
          <w:b/>
          <w:color w:val="1B1C1D"/>
          <w:sz w:val="24"/>
        </w:rPr>
        <w:t>Processo nº 72.003.009-05-50, 72.001.733.06-67 e 72.004.443.06-93</w:t>
      </w:r>
      <w:r>
        <w:rPr>
          <w:color w:val="1B1C1D"/>
          <w:sz w:val="24"/>
        </w:rPr>
        <w:t>. Plenário. Responsabilidade dos agentes públicos por irregularidades em contratação emergencial. Relator: Conselheiro Edson Simões, Data da sessão: 10 ago. 2011.</w:t>
      </w:r>
    </w:p>
    <w:p w:rsidR="007259F2" w:rsidRDefault="00E655B4">
      <w:pPr>
        <w:pStyle w:val="Corpodetexto"/>
        <w:tabs>
          <w:tab w:val="left" w:pos="2859"/>
          <w:tab w:val="left" w:pos="4241"/>
          <w:tab w:val="left" w:pos="6650"/>
          <w:tab w:val="left" w:pos="8855"/>
        </w:tabs>
        <w:spacing w:before="120"/>
        <w:ind w:right="988" w:firstLine="0"/>
        <w:jc w:val="left"/>
      </w:pPr>
      <w:r>
        <w:rPr>
          <w:color w:val="1B1C1D"/>
        </w:rPr>
        <w:t>SÃO PAULO (SP). Tribunal de Contas do Município de São Paulo.</w:t>
      </w:r>
      <w:r>
        <w:rPr>
          <w:color w:val="1B1C1D"/>
          <w:spacing w:val="27"/>
        </w:rPr>
        <w:t xml:space="preserve"> </w:t>
      </w:r>
      <w:r>
        <w:rPr>
          <w:b/>
          <w:color w:val="1B1C1D"/>
        </w:rPr>
        <w:t>Processo SEI nº</w:t>
      </w:r>
      <w:r>
        <w:rPr>
          <w:b/>
          <w:color w:val="1B1C1D"/>
          <w:spacing w:val="80"/>
        </w:rPr>
        <w:t xml:space="preserve"> </w:t>
      </w:r>
      <w:r>
        <w:rPr>
          <w:b/>
          <w:color w:val="1B1C1D"/>
        </w:rPr>
        <w:t>6022.2023/0002869-0</w:t>
      </w:r>
      <w:r>
        <w:rPr>
          <w:color w:val="1B1C1D"/>
        </w:rPr>
        <w:t>.</w:t>
      </w:r>
      <w:r>
        <w:rPr>
          <w:color w:val="1B1C1D"/>
          <w:spacing w:val="38"/>
        </w:rPr>
        <w:t xml:space="preserve"> </w:t>
      </w:r>
      <w:r>
        <w:rPr>
          <w:color w:val="1B1C1D"/>
        </w:rPr>
        <w:t>Ofício</w:t>
      </w:r>
      <w:r>
        <w:rPr>
          <w:color w:val="1B1C1D"/>
          <w:spacing w:val="38"/>
        </w:rPr>
        <w:t xml:space="preserve"> </w:t>
      </w:r>
      <w:r>
        <w:rPr>
          <w:color w:val="1B1C1D"/>
        </w:rPr>
        <w:t>SSG</w:t>
      </w:r>
      <w:r>
        <w:rPr>
          <w:color w:val="1B1C1D"/>
          <w:spacing w:val="38"/>
        </w:rPr>
        <w:t xml:space="preserve"> </w:t>
      </w:r>
      <w:r>
        <w:rPr>
          <w:color w:val="1B1C1D"/>
        </w:rPr>
        <w:t>nº</w:t>
      </w:r>
      <w:r>
        <w:rPr>
          <w:color w:val="1B1C1D"/>
          <w:spacing w:val="38"/>
        </w:rPr>
        <w:t xml:space="preserve"> </w:t>
      </w:r>
      <w:r>
        <w:rPr>
          <w:color w:val="1B1C1D"/>
        </w:rPr>
        <w:t>13742/2023.</w:t>
      </w:r>
      <w:r>
        <w:rPr>
          <w:color w:val="1B1C1D"/>
          <w:spacing w:val="38"/>
        </w:rPr>
        <w:t xml:space="preserve"> </w:t>
      </w:r>
      <w:r>
        <w:rPr>
          <w:color w:val="1B1C1D"/>
        </w:rPr>
        <w:t>Relatório</w:t>
      </w:r>
      <w:r>
        <w:rPr>
          <w:color w:val="1B1C1D"/>
          <w:spacing w:val="39"/>
        </w:rPr>
        <w:t xml:space="preserve"> </w:t>
      </w:r>
      <w:r>
        <w:rPr>
          <w:color w:val="1B1C1D"/>
        </w:rPr>
        <w:t>de</w:t>
      </w:r>
      <w:r>
        <w:rPr>
          <w:color w:val="1B1C1D"/>
          <w:spacing w:val="38"/>
        </w:rPr>
        <w:t xml:space="preserve"> </w:t>
      </w:r>
      <w:r>
        <w:rPr>
          <w:color w:val="1B1C1D"/>
        </w:rPr>
        <w:t>auditoria</w:t>
      </w:r>
      <w:r>
        <w:rPr>
          <w:color w:val="1B1C1D"/>
          <w:spacing w:val="37"/>
        </w:rPr>
        <w:t xml:space="preserve"> </w:t>
      </w:r>
      <w:r>
        <w:rPr>
          <w:color w:val="1B1C1D"/>
        </w:rPr>
        <w:t>extraplano. Ordem</w:t>
      </w:r>
      <w:r>
        <w:rPr>
          <w:color w:val="1B1C1D"/>
          <w:spacing w:val="39"/>
        </w:rPr>
        <w:t xml:space="preserve"> </w:t>
      </w:r>
      <w:r>
        <w:rPr>
          <w:color w:val="1B1C1D"/>
        </w:rPr>
        <w:t>de</w:t>
      </w:r>
      <w:r>
        <w:rPr>
          <w:color w:val="1B1C1D"/>
          <w:spacing w:val="37"/>
        </w:rPr>
        <w:t xml:space="preserve"> </w:t>
      </w:r>
      <w:r>
        <w:rPr>
          <w:color w:val="1B1C1D"/>
        </w:rPr>
        <w:t>Serviço</w:t>
      </w:r>
      <w:r>
        <w:rPr>
          <w:color w:val="1B1C1D"/>
          <w:spacing w:val="38"/>
        </w:rPr>
        <w:t xml:space="preserve"> </w:t>
      </w:r>
      <w:r>
        <w:rPr>
          <w:color w:val="1B1C1D"/>
        </w:rPr>
        <w:t>nº</w:t>
      </w:r>
      <w:r>
        <w:rPr>
          <w:color w:val="1B1C1D"/>
          <w:spacing w:val="38"/>
        </w:rPr>
        <w:t xml:space="preserve"> </w:t>
      </w:r>
      <w:r>
        <w:rPr>
          <w:color w:val="1B1C1D"/>
        </w:rPr>
        <w:t>2022/01622.</w:t>
      </w:r>
      <w:r>
        <w:rPr>
          <w:color w:val="1B1C1D"/>
          <w:spacing w:val="39"/>
        </w:rPr>
        <w:t xml:space="preserve"> </w:t>
      </w:r>
      <w:r>
        <w:rPr>
          <w:color w:val="1B1C1D"/>
        </w:rPr>
        <w:t>TC</w:t>
      </w:r>
      <w:r>
        <w:rPr>
          <w:color w:val="1B1C1D"/>
          <w:spacing w:val="39"/>
        </w:rPr>
        <w:t xml:space="preserve"> </w:t>
      </w:r>
      <w:r>
        <w:rPr>
          <w:color w:val="1B1C1D"/>
        </w:rPr>
        <w:t>nº</w:t>
      </w:r>
      <w:r>
        <w:rPr>
          <w:color w:val="1B1C1D"/>
          <w:spacing w:val="38"/>
        </w:rPr>
        <w:t xml:space="preserve"> </w:t>
      </w:r>
      <w:r>
        <w:rPr>
          <w:color w:val="1B1C1D"/>
        </w:rPr>
        <w:t>005781/2022.</w:t>
      </w:r>
      <w:r>
        <w:rPr>
          <w:color w:val="1B1C1D"/>
          <w:spacing w:val="39"/>
        </w:rPr>
        <w:t xml:space="preserve"> </w:t>
      </w:r>
      <w:r>
        <w:rPr>
          <w:color w:val="1B1C1D"/>
        </w:rPr>
        <w:t>12</w:t>
      </w:r>
      <w:r>
        <w:rPr>
          <w:color w:val="1B1C1D"/>
          <w:spacing w:val="38"/>
        </w:rPr>
        <w:t xml:space="preserve"> </w:t>
      </w:r>
      <w:r>
        <w:rPr>
          <w:color w:val="1B1C1D"/>
        </w:rPr>
        <w:t>maio</w:t>
      </w:r>
      <w:r>
        <w:rPr>
          <w:color w:val="1B1C1D"/>
          <w:spacing w:val="38"/>
        </w:rPr>
        <w:t xml:space="preserve"> </w:t>
      </w:r>
      <w:r>
        <w:rPr>
          <w:color w:val="1B1C1D"/>
        </w:rPr>
        <w:t>2023</w:t>
      </w:r>
      <w:r>
        <w:rPr>
          <w:color w:val="1B1C1D"/>
          <w:spacing w:val="40"/>
        </w:rPr>
        <w:t xml:space="preserve"> </w:t>
      </w:r>
      <w:r>
        <w:rPr>
          <w:color w:val="1B1C1D"/>
        </w:rPr>
        <w:t>[dispõe</w:t>
      </w:r>
      <w:r>
        <w:rPr>
          <w:color w:val="1B1C1D"/>
          <w:spacing w:val="37"/>
        </w:rPr>
        <w:t xml:space="preserve"> </w:t>
      </w:r>
      <w:r>
        <w:rPr>
          <w:color w:val="1B1C1D"/>
        </w:rPr>
        <w:t>sobre obras emergenciais – contratos emergenciais de obras executadas pela PMSP, por meio da</w:t>
      </w:r>
      <w:r>
        <w:rPr>
          <w:color w:val="1B1C1D"/>
          <w:spacing w:val="35"/>
        </w:rPr>
        <w:t xml:space="preserve"> </w:t>
      </w:r>
      <w:r>
        <w:rPr>
          <w:color w:val="1B1C1D"/>
        </w:rPr>
        <w:t>SIURB,</w:t>
      </w:r>
      <w:r>
        <w:rPr>
          <w:color w:val="1B1C1D"/>
          <w:spacing w:val="38"/>
        </w:rPr>
        <w:t xml:space="preserve"> </w:t>
      </w:r>
      <w:r>
        <w:rPr>
          <w:color w:val="1B1C1D"/>
        </w:rPr>
        <w:t>formalizados</w:t>
      </w:r>
      <w:r>
        <w:rPr>
          <w:color w:val="1B1C1D"/>
          <w:spacing w:val="36"/>
        </w:rPr>
        <w:t xml:space="preserve"> </w:t>
      </w:r>
      <w:r>
        <w:rPr>
          <w:color w:val="1B1C1D"/>
        </w:rPr>
        <w:t>no</w:t>
      </w:r>
      <w:r>
        <w:rPr>
          <w:color w:val="1B1C1D"/>
          <w:spacing w:val="36"/>
        </w:rPr>
        <w:t xml:space="preserve"> </w:t>
      </w:r>
      <w:r>
        <w:rPr>
          <w:color w:val="1B1C1D"/>
        </w:rPr>
        <w:t>período</w:t>
      </w:r>
      <w:r>
        <w:rPr>
          <w:color w:val="1B1C1D"/>
          <w:spacing w:val="35"/>
        </w:rPr>
        <w:t xml:space="preserve"> </w:t>
      </w:r>
      <w:r>
        <w:rPr>
          <w:color w:val="1B1C1D"/>
        </w:rPr>
        <w:t>de</w:t>
      </w:r>
      <w:r>
        <w:rPr>
          <w:color w:val="1B1C1D"/>
          <w:spacing w:val="37"/>
        </w:rPr>
        <w:t xml:space="preserve"> </w:t>
      </w:r>
      <w:r>
        <w:rPr>
          <w:color w:val="1B1C1D"/>
        </w:rPr>
        <w:t>agosto</w:t>
      </w:r>
      <w:r>
        <w:rPr>
          <w:color w:val="1B1C1D"/>
          <w:spacing w:val="36"/>
        </w:rPr>
        <w:t xml:space="preserve"> </w:t>
      </w:r>
      <w:r>
        <w:rPr>
          <w:color w:val="1B1C1D"/>
        </w:rPr>
        <w:t>de</w:t>
      </w:r>
      <w:r>
        <w:rPr>
          <w:color w:val="1B1C1D"/>
          <w:spacing w:val="35"/>
        </w:rPr>
        <w:t xml:space="preserve"> </w:t>
      </w:r>
      <w:r>
        <w:rPr>
          <w:color w:val="1B1C1D"/>
        </w:rPr>
        <w:t>2021</w:t>
      </w:r>
      <w:r>
        <w:rPr>
          <w:color w:val="1B1C1D"/>
          <w:spacing w:val="38"/>
        </w:rPr>
        <w:t xml:space="preserve"> </w:t>
      </w:r>
      <w:r>
        <w:rPr>
          <w:color w:val="1B1C1D"/>
        </w:rPr>
        <w:t>até</w:t>
      </w:r>
      <w:r>
        <w:rPr>
          <w:color w:val="1B1C1D"/>
          <w:spacing w:val="35"/>
        </w:rPr>
        <w:t xml:space="preserve"> </w:t>
      </w:r>
      <w:r>
        <w:rPr>
          <w:color w:val="1B1C1D"/>
        </w:rPr>
        <w:t>junho</w:t>
      </w:r>
      <w:r>
        <w:rPr>
          <w:color w:val="1B1C1D"/>
          <w:spacing w:val="36"/>
        </w:rPr>
        <w:t xml:space="preserve"> </w:t>
      </w:r>
      <w:r>
        <w:rPr>
          <w:color w:val="1B1C1D"/>
        </w:rPr>
        <w:t>de</w:t>
      </w:r>
      <w:r>
        <w:rPr>
          <w:color w:val="1B1C1D"/>
          <w:spacing w:val="35"/>
        </w:rPr>
        <w:t xml:space="preserve"> </w:t>
      </w:r>
      <w:r>
        <w:rPr>
          <w:color w:val="1B1C1D"/>
        </w:rPr>
        <w:t>2022].</w:t>
      </w:r>
      <w:r>
        <w:rPr>
          <w:color w:val="1B1C1D"/>
          <w:spacing w:val="36"/>
        </w:rPr>
        <w:t xml:space="preserve"> </w:t>
      </w:r>
      <w:r>
        <w:rPr>
          <w:color w:val="1B1C1D"/>
        </w:rPr>
        <w:t xml:space="preserve">Sistema </w:t>
      </w:r>
      <w:r>
        <w:rPr>
          <w:color w:val="1B1C1D"/>
          <w:spacing w:val="-2"/>
        </w:rPr>
        <w:t>Eletrônico</w:t>
      </w:r>
      <w:r>
        <w:rPr>
          <w:color w:val="1B1C1D"/>
        </w:rPr>
        <w:tab/>
      </w:r>
      <w:r>
        <w:rPr>
          <w:color w:val="1B1C1D"/>
          <w:spacing w:val="-6"/>
        </w:rPr>
        <w:t>de</w:t>
      </w:r>
      <w:r>
        <w:rPr>
          <w:color w:val="1B1C1D"/>
        </w:rPr>
        <w:tab/>
      </w:r>
      <w:r>
        <w:rPr>
          <w:color w:val="1B1C1D"/>
          <w:spacing w:val="-2"/>
        </w:rPr>
        <w:t>Informações.</w:t>
      </w:r>
      <w:r>
        <w:rPr>
          <w:color w:val="1B1C1D"/>
        </w:rPr>
        <w:tab/>
      </w:r>
      <w:r>
        <w:rPr>
          <w:color w:val="1B1C1D"/>
          <w:spacing w:val="-2"/>
        </w:rPr>
        <w:t>Disponível</w:t>
      </w:r>
      <w:r>
        <w:rPr>
          <w:color w:val="1B1C1D"/>
        </w:rPr>
        <w:tab/>
      </w:r>
      <w:r>
        <w:rPr>
          <w:color w:val="1B1C1D"/>
          <w:spacing w:val="-4"/>
        </w:rPr>
        <w:t xml:space="preserve">em: </w:t>
      </w:r>
      <w:hyperlink r:id="rId82">
        <w:r>
          <w:rPr>
            <w:color w:val="0A56D0"/>
            <w:spacing w:val="-2"/>
            <w:u w:val="single" w:color="0A56D0"/>
          </w:rPr>
          <w:t>https://www.google.com/search?q=https://sei.prefeitura.sp.gov.br/sei/controlador.php%</w:t>
        </w:r>
      </w:hyperlink>
      <w:r>
        <w:rPr>
          <w:color w:val="0A56D0"/>
          <w:spacing w:val="-2"/>
        </w:rPr>
        <w:t xml:space="preserve"> </w:t>
      </w:r>
      <w:hyperlink r:id="rId83">
        <w:r>
          <w:rPr>
            <w:color w:val="0A56D0"/>
            <w:spacing w:val="-2"/>
            <w:u w:val="single" w:color="0A56D0"/>
          </w:rPr>
          <w:t>3Facao%3Dprocedimento_trabalhar%26acao_origem%3Dprotocolo_pesquisa_rapida%</w:t>
        </w:r>
      </w:hyperlink>
      <w:r>
        <w:rPr>
          <w:color w:val="0A56D0"/>
          <w:spacing w:val="-2"/>
        </w:rPr>
        <w:t xml:space="preserve"> </w:t>
      </w:r>
      <w:hyperlink r:id="rId84">
        <w:r>
          <w:rPr>
            <w:color w:val="0A56D0"/>
            <w:spacing w:val="-2"/>
            <w:u w:val="single" w:color="0A56D0"/>
          </w:rPr>
          <w:t>26id_protocolo%3D89732464%26infra_sistema%3D100000100%26infra_unidade_atu</w:t>
        </w:r>
      </w:hyperlink>
      <w:r>
        <w:rPr>
          <w:color w:val="0A56D0"/>
          <w:spacing w:val="-2"/>
        </w:rPr>
        <w:t xml:space="preserve"> </w:t>
      </w:r>
      <w:hyperlink r:id="rId85">
        <w:r>
          <w:rPr>
            <w:color w:val="0A56D0"/>
            <w:spacing w:val="-2"/>
            <w:u w:val="single" w:color="0A56D0"/>
          </w:rPr>
          <w:t>al%3D110002104%26infra_hash%3Dcfc2f3d07f679c4846c64e2f55c732dd06d0317783</w:t>
        </w:r>
      </w:hyperlink>
      <w:r>
        <w:rPr>
          <w:color w:val="0A56D0"/>
          <w:spacing w:val="-2"/>
        </w:rPr>
        <w:t xml:space="preserve"> </w:t>
      </w:r>
      <w:hyperlink r:id="rId86">
        <w:r>
          <w:rPr>
            <w:color w:val="0A56D0"/>
            <w:u w:val="single" w:color="0A56D0"/>
          </w:rPr>
          <w:t>433d409888c86ed4783919%23</w:t>
        </w:r>
      </w:hyperlink>
      <w:r>
        <w:rPr>
          <w:color w:val="1B1C1D"/>
        </w:rPr>
        <w:t>. Acesso em: 15 dez. 2024.</w:t>
      </w:r>
    </w:p>
    <w:p w:rsidR="007259F2" w:rsidRDefault="00E655B4">
      <w:pPr>
        <w:pStyle w:val="Corpodetexto"/>
        <w:tabs>
          <w:tab w:val="left" w:pos="1832"/>
          <w:tab w:val="left" w:pos="3358"/>
          <w:tab w:val="left" w:pos="4491"/>
          <w:tab w:val="left" w:pos="5398"/>
          <w:tab w:val="left" w:pos="6758"/>
          <w:tab w:val="left" w:pos="7680"/>
        </w:tabs>
        <w:spacing w:before="121"/>
        <w:ind w:right="988" w:firstLine="0"/>
      </w:pPr>
      <w:r>
        <w:rPr>
          <w:color w:val="1B1C1D"/>
        </w:rPr>
        <w:t xml:space="preserve">SÃO PAULO (SP). Tribunal de Contas do Município de São Paulo. </w:t>
      </w:r>
      <w:r>
        <w:rPr>
          <w:b/>
          <w:color w:val="1B1C1D"/>
        </w:rPr>
        <w:t xml:space="preserve">TC/004681/2018, TC/004683/2018 e TC/010130/2018. </w:t>
      </w:r>
      <w:r>
        <w:rPr>
          <w:color w:val="1B1C1D"/>
        </w:rPr>
        <w:t xml:space="preserve">45ª Sessão Ordinária Não Presencial. O Processo de contratação deve conter orçamento detalhado do custo global, fundamentado em quantitativos de serviços e fornecimentos propriamente avaliados. Relator: Conselheiro </w:t>
      </w:r>
      <w:r>
        <w:rPr>
          <w:color w:val="1B1C1D"/>
          <w:spacing w:val="-4"/>
        </w:rPr>
        <w:t>João</w:t>
      </w:r>
      <w:r>
        <w:rPr>
          <w:color w:val="1B1C1D"/>
        </w:rPr>
        <w:tab/>
      </w:r>
      <w:r>
        <w:rPr>
          <w:color w:val="1B1C1D"/>
          <w:spacing w:val="-2"/>
        </w:rPr>
        <w:t>Antonio,</w:t>
      </w:r>
      <w:r>
        <w:rPr>
          <w:color w:val="1B1C1D"/>
        </w:rPr>
        <w:tab/>
      </w:r>
      <w:r>
        <w:rPr>
          <w:color w:val="1B1C1D"/>
          <w:spacing w:val="-4"/>
        </w:rPr>
        <w:t>Data</w:t>
      </w:r>
      <w:r>
        <w:rPr>
          <w:color w:val="1B1C1D"/>
        </w:rPr>
        <w:tab/>
      </w:r>
      <w:r>
        <w:rPr>
          <w:color w:val="1B1C1D"/>
          <w:spacing w:val="-5"/>
        </w:rPr>
        <w:t>da</w:t>
      </w:r>
      <w:r>
        <w:rPr>
          <w:color w:val="1B1C1D"/>
        </w:rPr>
        <w:tab/>
      </w:r>
      <w:r>
        <w:rPr>
          <w:color w:val="1B1C1D"/>
          <w:spacing w:val="-2"/>
        </w:rPr>
        <w:t>sessão:</w:t>
      </w:r>
      <w:r>
        <w:rPr>
          <w:color w:val="1B1C1D"/>
        </w:rPr>
        <w:tab/>
      </w:r>
      <w:r>
        <w:rPr>
          <w:color w:val="1B1C1D"/>
          <w:spacing w:val="-5"/>
        </w:rPr>
        <w:t>26</w:t>
      </w:r>
      <w:r>
        <w:rPr>
          <w:color w:val="1B1C1D"/>
        </w:rPr>
        <w:tab/>
        <w:t>jul.</w:t>
      </w:r>
      <w:r>
        <w:rPr>
          <w:color w:val="1B1C1D"/>
          <w:spacing w:val="76"/>
        </w:rPr>
        <w:t xml:space="preserve">     </w:t>
      </w:r>
      <w:r>
        <w:rPr>
          <w:color w:val="1B1C1D"/>
          <w:spacing w:val="-2"/>
        </w:rPr>
        <w:t>2023.</w:t>
      </w:r>
    </w:p>
    <w:p w:rsidR="007259F2" w:rsidRDefault="007259F2">
      <w:pPr>
        <w:pStyle w:val="Corpodetexto"/>
        <w:sectPr w:rsidR="007259F2">
          <w:pgSz w:w="11910" w:h="16840"/>
          <w:pgMar w:top="1320" w:right="708" w:bottom="1160" w:left="992" w:header="0" w:footer="962" w:gutter="0"/>
          <w:cols w:space="720"/>
        </w:sectPr>
      </w:pPr>
    </w:p>
    <w:p w:rsidR="007259F2" w:rsidRDefault="00E655B4">
      <w:pPr>
        <w:pStyle w:val="Heading2"/>
        <w:spacing w:before="74"/>
        <w:ind w:right="987"/>
      </w:pPr>
      <w:bookmarkStart w:id="7" w:name="_bookmark7"/>
      <w:bookmarkEnd w:id="7"/>
      <w:r>
        <w:lastRenderedPageBreak/>
        <w:t xml:space="preserve">A concessão de uso especial para fins de moradia como instrumento da política </w:t>
      </w:r>
      <w:r>
        <w:rPr>
          <w:spacing w:val="-2"/>
        </w:rPr>
        <w:t>urbana</w:t>
      </w:r>
    </w:p>
    <w:p w:rsidR="007259F2" w:rsidRDefault="007259F2">
      <w:pPr>
        <w:pStyle w:val="Corpodetexto"/>
        <w:spacing w:before="63"/>
        <w:ind w:left="0" w:firstLine="0"/>
        <w:jc w:val="left"/>
        <w:rPr>
          <w:b/>
        </w:rPr>
      </w:pPr>
    </w:p>
    <w:p w:rsidR="007259F2" w:rsidRDefault="00E655B4">
      <w:pPr>
        <w:spacing w:line="482" w:lineRule="auto"/>
        <w:ind w:left="710" w:right="1919" w:firstLine="2"/>
        <w:jc w:val="both"/>
        <w:rPr>
          <w:b/>
          <w:sz w:val="24"/>
        </w:rPr>
      </w:pPr>
      <w:r>
        <w:rPr>
          <w:b/>
          <w:sz w:val="24"/>
        </w:rPr>
        <w:t>The</w:t>
      </w:r>
      <w:r>
        <w:rPr>
          <w:b/>
          <w:spacing w:val="-4"/>
          <w:sz w:val="24"/>
        </w:rPr>
        <w:t xml:space="preserve"> </w:t>
      </w:r>
      <w:r>
        <w:rPr>
          <w:b/>
          <w:sz w:val="24"/>
        </w:rPr>
        <w:t>special</w:t>
      </w:r>
      <w:r>
        <w:rPr>
          <w:b/>
          <w:spacing w:val="-3"/>
          <w:sz w:val="24"/>
        </w:rPr>
        <w:t xml:space="preserve"> </w:t>
      </w:r>
      <w:r>
        <w:rPr>
          <w:b/>
          <w:sz w:val="24"/>
        </w:rPr>
        <w:t>concession</w:t>
      </w:r>
      <w:r>
        <w:rPr>
          <w:b/>
          <w:spacing w:val="-3"/>
          <w:sz w:val="24"/>
        </w:rPr>
        <w:t xml:space="preserve"> </w:t>
      </w:r>
      <w:r>
        <w:rPr>
          <w:b/>
          <w:sz w:val="24"/>
        </w:rPr>
        <w:t>of</w:t>
      </w:r>
      <w:r>
        <w:rPr>
          <w:b/>
          <w:spacing w:val="-2"/>
          <w:sz w:val="24"/>
        </w:rPr>
        <w:t xml:space="preserve"> </w:t>
      </w:r>
      <w:r>
        <w:rPr>
          <w:b/>
          <w:sz w:val="24"/>
        </w:rPr>
        <w:t>use</w:t>
      </w:r>
      <w:r>
        <w:rPr>
          <w:b/>
          <w:spacing w:val="-1"/>
          <w:sz w:val="24"/>
        </w:rPr>
        <w:t xml:space="preserve"> </w:t>
      </w:r>
      <w:r>
        <w:rPr>
          <w:b/>
          <w:sz w:val="24"/>
        </w:rPr>
        <w:t>for</w:t>
      </w:r>
      <w:r>
        <w:rPr>
          <w:b/>
          <w:spacing w:val="-4"/>
          <w:sz w:val="24"/>
        </w:rPr>
        <w:t xml:space="preserve"> </w:t>
      </w:r>
      <w:r>
        <w:rPr>
          <w:b/>
          <w:sz w:val="24"/>
        </w:rPr>
        <w:t>housing</w:t>
      </w:r>
      <w:r>
        <w:rPr>
          <w:b/>
          <w:spacing w:val="-3"/>
          <w:sz w:val="24"/>
        </w:rPr>
        <w:t xml:space="preserve"> </w:t>
      </w:r>
      <w:r>
        <w:rPr>
          <w:b/>
          <w:sz w:val="24"/>
        </w:rPr>
        <w:t>as</w:t>
      </w:r>
      <w:r>
        <w:rPr>
          <w:b/>
          <w:spacing w:val="-3"/>
          <w:sz w:val="24"/>
        </w:rPr>
        <w:t xml:space="preserve"> </w:t>
      </w:r>
      <w:r>
        <w:rPr>
          <w:b/>
          <w:sz w:val="24"/>
        </w:rPr>
        <w:t>an</w:t>
      </w:r>
      <w:r>
        <w:rPr>
          <w:b/>
          <w:spacing w:val="-5"/>
          <w:sz w:val="24"/>
        </w:rPr>
        <w:t xml:space="preserve"> </w:t>
      </w:r>
      <w:r>
        <w:rPr>
          <w:b/>
          <w:sz w:val="24"/>
        </w:rPr>
        <w:t>instrument</w:t>
      </w:r>
      <w:r>
        <w:rPr>
          <w:b/>
          <w:spacing w:val="-3"/>
          <w:sz w:val="24"/>
        </w:rPr>
        <w:t xml:space="preserve"> </w:t>
      </w:r>
      <w:r>
        <w:rPr>
          <w:b/>
          <w:sz w:val="24"/>
        </w:rPr>
        <w:t>of</w:t>
      </w:r>
      <w:r>
        <w:rPr>
          <w:b/>
          <w:spacing w:val="-3"/>
          <w:sz w:val="24"/>
        </w:rPr>
        <w:t xml:space="preserve"> </w:t>
      </w:r>
      <w:r>
        <w:rPr>
          <w:b/>
          <w:sz w:val="24"/>
        </w:rPr>
        <w:t>urban</w:t>
      </w:r>
      <w:r>
        <w:rPr>
          <w:b/>
          <w:spacing w:val="-3"/>
          <w:sz w:val="24"/>
        </w:rPr>
        <w:t xml:space="preserve"> </w:t>
      </w:r>
      <w:r>
        <w:rPr>
          <w:b/>
          <w:sz w:val="24"/>
        </w:rPr>
        <w:t>policy Daniel Araújo de Assis</w:t>
      </w:r>
      <w:r>
        <w:rPr>
          <w:b/>
          <w:sz w:val="24"/>
          <w:vertAlign w:val="superscript"/>
        </w:rPr>
        <w:t>1</w:t>
      </w:r>
    </w:p>
    <w:p w:rsidR="007259F2" w:rsidRDefault="00E655B4">
      <w:pPr>
        <w:pStyle w:val="Heading1"/>
        <w:spacing w:before="196"/>
      </w:pPr>
      <w:r>
        <w:rPr>
          <w:spacing w:val="-2"/>
        </w:rPr>
        <w:t>RESUMO</w:t>
      </w:r>
    </w:p>
    <w:p w:rsidR="007259F2" w:rsidRDefault="00E655B4">
      <w:pPr>
        <w:pStyle w:val="Corpodetexto"/>
        <w:spacing w:before="115"/>
        <w:ind w:right="986" w:firstLine="0"/>
      </w:pPr>
      <w:r>
        <w:t>Este artigo explora a concessão de uso especial para fins de moradia como instrumento vital</w:t>
      </w:r>
      <w:r>
        <w:rPr>
          <w:spacing w:val="-3"/>
        </w:rPr>
        <w:t xml:space="preserve"> </w:t>
      </w:r>
      <w:r>
        <w:t>na política</w:t>
      </w:r>
      <w:r>
        <w:rPr>
          <w:spacing w:val="-8"/>
        </w:rPr>
        <w:t xml:space="preserve"> </w:t>
      </w:r>
      <w:r>
        <w:t>urbana</w:t>
      </w:r>
      <w:r>
        <w:rPr>
          <w:spacing w:val="-6"/>
        </w:rPr>
        <w:t xml:space="preserve"> </w:t>
      </w:r>
      <w:r>
        <w:t>do</w:t>
      </w:r>
      <w:r>
        <w:rPr>
          <w:spacing w:val="-6"/>
        </w:rPr>
        <w:t xml:space="preserve"> </w:t>
      </w:r>
      <w:r>
        <w:t>Brasil,</w:t>
      </w:r>
      <w:r>
        <w:rPr>
          <w:spacing w:val="-3"/>
        </w:rPr>
        <w:t xml:space="preserve"> </w:t>
      </w:r>
      <w:r>
        <w:t>visando</w:t>
      </w:r>
      <w:r>
        <w:rPr>
          <w:spacing w:val="-8"/>
        </w:rPr>
        <w:t xml:space="preserve"> </w:t>
      </w:r>
      <w:r>
        <w:t>abordar</w:t>
      </w:r>
      <w:r>
        <w:rPr>
          <w:spacing w:val="-4"/>
        </w:rPr>
        <w:t xml:space="preserve"> </w:t>
      </w:r>
      <w:r>
        <w:t>a</w:t>
      </w:r>
      <w:r>
        <w:rPr>
          <w:spacing w:val="-9"/>
        </w:rPr>
        <w:t xml:space="preserve"> </w:t>
      </w:r>
      <w:r>
        <w:t>problemática</w:t>
      </w:r>
      <w:r>
        <w:rPr>
          <w:spacing w:val="-8"/>
        </w:rPr>
        <w:t xml:space="preserve"> </w:t>
      </w:r>
      <w:r>
        <w:t>habitacional.</w:t>
      </w:r>
      <w:r>
        <w:rPr>
          <w:spacing w:val="-5"/>
        </w:rPr>
        <w:t xml:space="preserve"> </w:t>
      </w:r>
      <w:r>
        <w:t>A</w:t>
      </w:r>
      <w:r>
        <w:rPr>
          <w:spacing w:val="-4"/>
        </w:rPr>
        <w:t xml:space="preserve"> </w:t>
      </w:r>
      <w:r>
        <w:t>análise inclui a</w:t>
      </w:r>
      <w:r>
        <w:rPr>
          <w:spacing w:val="-2"/>
        </w:rPr>
        <w:t xml:space="preserve"> </w:t>
      </w:r>
      <w:r>
        <w:t>legislação, doutrina, dados e estatísticas públicas, jurisprudência pertinentes e a dinâmica factual dos assentamentos informais, com ênfase na implementação de políticas públicas eficientes para a regularização fundiária. Distingue a usucapião da CUEM, destacando a relevância desta última em contextos urbanos, particularmente na Cidade</w:t>
      </w:r>
      <w:r>
        <w:rPr>
          <w:spacing w:val="-5"/>
        </w:rPr>
        <w:t xml:space="preserve"> </w:t>
      </w:r>
      <w:r>
        <w:t>de</w:t>
      </w:r>
      <w:r>
        <w:rPr>
          <w:spacing w:val="-4"/>
        </w:rPr>
        <w:t xml:space="preserve"> </w:t>
      </w:r>
      <w:r>
        <w:t>São</w:t>
      </w:r>
      <w:r>
        <w:rPr>
          <w:spacing w:val="-1"/>
        </w:rPr>
        <w:t xml:space="preserve"> </w:t>
      </w:r>
      <w:r>
        <w:t>Paulo.</w:t>
      </w:r>
      <w:r>
        <w:rPr>
          <w:spacing w:val="-3"/>
        </w:rPr>
        <w:t xml:space="preserve"> </w:t>
      </w:r>
      <w:r>
        <w:t>Propõe</w:t>
      </w:r>
      <w:r>
        <w:rPr>
          <w:spacing w:val="-4"/>
        </w:rPr>
        <w:t xml:space="preserve"> </w:t>
      </w:r>
      <w:r>
        <w:t>ainda</w:t>
      </w:r>
      <w:r>
        <w:rPr>
          <w:spacing w:val="-2"/>
        </w:rPr>
        <w:t xml:space="preserve"> </w:t>
      </w:r>
      <w:r>
        <w:t>a</w:t>
      </w:r>
      <w:r>
        <w:rPr>
          <w:spacing w:val="-2"/>
        </w:rPr>
        <w:t xml:space="preserve"> </w:t>
      </w:r>
      <w:r>
        <w:t>exploração</w:t>
      </w:r>
      <w:r>
        <w:rPr>
          <w:spacing w:val="-7"/>
        </w:rPr>
        <w:t xml:space="preserve"> </w:t>
      </w:r>
      <w:r>
        <w:t>de</w:t>
      </w:r>
      <w:r>
        <w:rPr>
          <w:spacing w:val="-14"/>
        </w:rPr>
        <w:t xml:space="preserve"> </w:t>
      </w:r>
      <w:r>
        <w:t>outras</w:t>
      </w:r>
      <w:r>
        <w:rPr>
          <w:spacing w:val="-10"/>
        </w:rPr>
        <w:t xml:space="preserve"> </w:t>
      </w:r>
      <w:r>
        <w:t>aplicações</w:t>
      </w:r>
      <w:r>
        <w:rPr>
          <w:spacing w:val="-10"/>
        </w:rPr>
        <w:t xml:space="preserve"> </w:t>
      </w:r>
      <w:r>
        <w:t>práticas</w:t>
      </w:r>
      <w:r>
        <w:rPr>
          <w:spacing w:val="-9"/>
        </w:rPr>
        <w:t xml:space="preserve"> </w:t>
      </w:r>
      <w:r>
        <w:t>da</w:t>
      </w:r>
      <w:r>
        <w:rPr>
          <w:spacing w:val="-14"/>
        </w:rPr>
        <w:t xml:space="preserve"> </w:t>
      </w:r>
      <w:r>
        <w:t>CUEM, além de uma reflexão sobre como tais iniciativas podem efetivar a política urbana em andamento no Brasil, assegurando o direito à moradia digna e integrando habitantes de áreas informais ao tecido urbano de maneira legal e socialmente responsável.</w:t>
      </w:r>
    </w:p>
    <w:p w:rsidR="007259F2" w:rsidRDefault="00E655B4">
      <w:pPr>
        <w:pStyle w:val="Corpodetexto"/>
        <w:spacing w:before="203"/>
        <w:ind w:right="992" w:firstLine="0"/>
      </w:pPr>
      <w:r>
        <w:rPr>
          <w:b/>
        </w:rPr>
        <w:t>Palavras-chave</w:t>
      </w:r>
      <w:r>
        <w:t>: cidade; moradia; política pública; regularização fundiária; concessão de uso.</w:t>
      </w:r>
    </w:p>
    <w:p w:rsidR="007259F2" w:rsidRDefault="00E655B4">
      <w:pPr>
        <w:pStyle w:val="Heading1"/>
        <w:spacing w:before="201"/>
      </w:pPr>
      <w:r>
        <w:rPr>
          <w:spacing w:val="-2"/>
        </w:rPr>
        <w:t>ABSTRACT</w:t>
      </w:r>
    </w:p>
    <w:p w:rsidR="007259F2" w:rsidRDefault="00E655B4">
      <w:pPr>
        <w:pStyle w:val="Corpodetexto"/>
        <w:spacing w:before="198"/>
        <w:ind w:right="982" w:firstLine="0"/>
      </w:pPr>
      <w:r>
        <w:t>This article investigates the special concession of use for housing purposes as a crucial tool in Brazil's urban policy, addressing housing issues. The analysis encompasses legislation, doctrine, public data and statistics, relevant precedents, and the factual dynamics of informal settlements, with a focus on implementing efficient public</w:t>
      </w:r>
      <w:r>
        <w:rPr>
          <w:spacing w:val="80"/>
        </w:rPr>
        <w:t xml:space="preserve"> </w:t>
      </w:r>
      <w:r>
        <w:t>policies for land regularization. It differentiates between acquisitive prescription and concession of use, underscoring the latter's importance in urban contexts, especially in São</w:t>
      </w:r>
      <w:r>
        <w:rPr>
          <w:spacing w:val="-10"/>
        </w:rPr>
        <w:t xml:space="preserve"> </w:t>
      </w:r>
      <w:r>
        <w:t>Paulo</w:t>
      </w:r>
      <w:r>
        <w:rPr>
          <w:spacing w:val="-9"/>
        </w:rPr>
        <w:t xml:space="preserve"> </w:t>
      </w:r>
      <w:r>
        <w:t>City.</w:t>
      </w:r>
      <w:r>
        <w:rPr>
          <w:spacing w:val="-8"/>
        </w:rPr>
        <w:t xml:space="preserve"> </w:t>
      </w:r>
      <w:r>
        <w:t>The</w:t>
      </w:r>
      <w:r>
        <w:rPr>
          <w:spacing w:val="-11"/>
        </w:rPr>
        <w:t xml:space="preserve"> </w:t>
      </w:r>
      <w:r>
        <w:t>paper</w:t>
      </w:r>
      <w:r>
        <w:rPr>
          <w:spacing w:val="-9"/>
        </w:rPr>
        <w:t xml:space="preserve"> </w:t>
      </w:r>
      <w:r>
        <w:t>further</w:t>
      </w:r>
      <w:r>
        <w:rPr>
          <w:spacing w:val="-8"/>
        </w:rPr>
        <w:t xml:space="preserve"> </w:t>
      </w:r>
      <w:r>
        <w:t>explores</w:t>
      </w:r>
      <w:r>
        <w:rPr>
          <w:spacing w:val="-9"/>
        </w:rPr>
        <w:t xml:space="preserve"> </w:t>
      </w:r>
      <w:r>
        <w:t>other</w:t>
      </w:r>
      <w:r>
        <w:rPr>
          <w:spacing w:val="-10"/>
        </w:rPr>
        <w:t xml:space="preserve"> </w:t>
      </w:r>
      <w:r>
        <w:t>practical</w:t>
      </w:r>
      <w:r>
        <w:rPr>
          <w:spacing w:val="-1"/>
        </w:rPr>
        <w:t xml:space="preserve"> </w:t>
      </w:r>
      <w:r>
        <w:t>applications</w:t>
      </w:r>
      <w:r>
        <w:rPr>
          <w:spacing w:val="-3"/>
        </w:rPr>
        <w:t xml:space="preserve"> </w:t>
      </w:r>
      <w:r>
        <w:t>of</w:t>
      </w:r>
      <w:r>
        <w:rPr>
          <w:spacing w:val="-2"/>
        </w:rPr>
        <w:t xml:space="preserve"> </w:t>
      </w:r>
      <w:r>
        <w:t>the</w:t>
      </w:r>
      <w:r>
        <w:rPr>
          <w:spacing w:val="-4"/>
        </w:rPr>
        <w:t xml:space="preserve"> </w:t>
      </w:r>
      <w:r>
        <w:t>concession, reflecting on how such initiatives can actualize ongoing urban</w:t>
      </w:r>
      <w:r>
        <w:rPr>
          <w:spacing w:val="40"/>
        </w:rPr>
        <w:t xml:space="preserve"> </w:t>
      </w:r>
      <w:r>
        <w:t>policy</w:t>
      </w:r>
      <w:r>
        <w:rPr>
          <w:spacing w:val="40"/>
        </w:rPr>
        <w:t xml:space="preserve"> </w:t>
      </w:r>
      <w:r>
        <w:t>in</w:t>
      </w:r>
      <w:r>
        <w:rPr>
          <w:spacing w:val="40"/>
        </w:rPr>
        <w:t xml:space="preserve"> </w:t>
      </w:r>
      <w:r>
        <w:t>Brazil, ensuring the right to dignified housing and integrating residents of</w:t>
      </w:r>
      <w:r>
        <w:rPr>
          <w:spacing w:val="-15"/>
        </w:rPr>
        <w:t xml:space="preserve"> </w:t>
      </w:r>
      <w:r>
        <w:t>informal</w:t>
      </w:r>
      <w:r>
        <w:rPr>
          <w:spacing w:val="-11"/>
        </w:rPr>
        <w:t xml:space="preserve"> </w:t>
      </w:r>
      <w:r>
        <w:t>areas</w:t>
      </w:r>
      <w:r>
        <w:rPr>
          <w:spacing w:val="-12"/>
        </w:rPr>
        <w:t xml:space="preserve"> </w:t>
      </w:r>
      <w:r>
        <w:t>into</w:t>
      </w:r>
      <w:r>
        <w:rPr>
          <w:spacing w:val="40"/>
        </w:rPr>
        <w:t xml:space="preserve"> </w:t>
      </w:r>
      <w:r>
        <w:rPr>
          <w:spacing w:val="-2"/>
        </w:rPr>
        <w:t>the</w:t>
      </w:r>
      <w:r>
        <w:rPr>
          <w:spacing w:val="-13"/>
        </w:rPr>
        <w:t xml:space="preserve"> </w:t>
      </w:r>
      <w:r>
        <w:rPr>
          <w:spacing w:val="-2"/>
        </w:rPr>
        <w:t>urban</w:t>
      </w:r>
      <w:r>
        <w:rPr>
          <w:spacing w:val="-13"/>
        </w:rPr>
        <w:t xml:space="preserve"> </w:t>
      </w:r>
      <w:r>
        <w:rPr>
          <w:spacing w:val="-2"/>
        </w:rPr>
        <w:t>fabric</w:t>
      </w:r>
      <w:r>
        <w:rPr>
          <w:spacing w:val="-13"/>
        </w:rPr>
        <w:t xml:space="preserve"> </w:t>
      </w:r>
      <w:r>
        <w:rPr>
          <w:spacing w:val="-2"/>
        </w:rPr>
        <w:t>in</w:t>
      </w:r>
      <w:r>
        <w:rPr>
          <w:spacing w:val="-13"/>
        </w:rPr>
        <w:t xml:space="preserve"> </w:t>
      </w:r>
      <w:r>
        <w:rPr>
          <w:spacing w:val="-2"/>
        </w:rPr>
        <w:t>a</w:t>
      </w:r>
      <w:r>
        <w:rPr>
          <w:spacing w:val="-13"/>
        </w:rPr>
        <w:t xml:space="preserve"> </w:t>
      </w:r>
      <w:r>
        <w:rPr>
          <w:spacing w:val="-2"/>
        </w:rPr>
        <w:t>legal</w:t>
      </w:r>
      <w:r>
        <w:rPr>
          <w:spacing w:val="-13"/>
        </w:rPr>
        <w:t xml:space="preserve"> </w:t>
      </w:r>
      <w:r>
        <w:rPr>
          <w:spacing w:val="-2"/>
        </w:rPr>
        <w:t>and</w:t>
      </w:r>
      <w:r>
        <w:rPr>
          <w:spacing w:val="-13"/>
        </w:rPr>
        <w:t xml:space="preserve"> </w:t>
      </w:r>
      <w:r>
        <w:rPr>
          <w:spacing w:val="-2"/>
        </w:rPr>
        <w:t>socially</w:t>
      </w:r>
      <w:r>
        <w:rPr>
          <w:spacing w:val="-15"/>
        </w:rPr>
        <w:t xml:space="preserve"> </w:t>
      </w:r>
      <w:r>
        <w:rPr>
          <w:spacing w:val="-2"/>
        </w:rPr>
        <w:t>responsible</w:t>
      </w:r>
      <w:r>
        <w:rPr>
          <w:spacing w:val="-13"/>
        </w:rPr>
        <w:t xml:space="preserve"> </w:t>
      </w:r>
      <w:r>
        <w:rPr>
          <w:spacing w:val="-2"/>
        </w:rPr>
        <w:t>manner.</w:t>
      </w:r>
    </w:p>
    <w:p w:rsidR="007259F2" w:rsidRDefault="00E655B4">
      <w:pPr>
        <w:pStyle w:val="Corpodetexto"/>
        <w:spacing w:before="120"/>
        <w:ind w:firstLine="0"/>
      </w:pPr>
      <w:r>
        <w:rPr>
          <w:b/>
          <w:spacing w:val="-8"/>
        </w:rPr>
        <w:t>Keywords:</w:t>
      </w:r>
      <w:r>
        <w:rPr>
          <w:b/>
          <w:spacing w:val="-2"/>
        </w:rPr>
        <w:t xml:space="preserve"> </w:t>
      </w:r>
      <w:r>
        <w:rPr>
          <w:spacing w:val="-8"/>
        </w:rPr>
        <w:t>city;</w:t>
      </w:r>
      <w:r>
        <w:rPr>
          <w:spacing w:val="-3"/>
        </w:rPr>
        <w:t xml:space="preserve"> </w:t>
      </w:r>
      <w:r>
        <w:rPr>
          <w:spacing w:val="-8"/>
        </w:rPr>
        <w:t>public</w:t>
      </w:r>
      <w:r>
        <w:rPr>
          <w:spacing w:val="-6"/>
        </w:rPr>
        <w:t xml:space="preserve"> </w:t>
      </w:r>
      <w:r>
        <w:rPr>
          <w:spacing w:val="-8"/>
        </w:rPr>
        <w:t>policy;</w:t>
      </w:r>
      <w:r>
        <w:rPr>
          <w:spacing w:val="-3"/>
        </w:rPr>
        <w:t xml:space="preserve"> </w:t>
      </w:r>
      <w:r>
        <w:rPr>
          <w:spacing w:val="-8"/>
        </w:rPr>
        <w:t>land</w:t>
      </w:r>
      <w:r>
        <w:rPr>
          <w:spacing w:val="-4"/>
        </w:rPr>
        <w:t xml:space="preserve"> </w:t>
      </w:r>
      <w:r>
        <w:rPr>
          <w:spacing w:val="-8"/>
        </w:rPr>
        <w:t>regularization;</w:t>
      </w:r>
      <w:r>
        <w:rPr>
          <w:spacing w:val="-3"/>
        </w:rPr>
        <w:t xml:space="preserve"> </w:t>
      </w:r>
      <w:r>
        <w:rPr>
          <w:spacing w:val="-8"/>
        </w:rPr>
        <w:t>concession</w:t>
      </w:r>
      <w:r>
        <w:rPr>
          <w:spacing w:val="-4"/>
        </w:rPr>
        <w:t xml:space="preserve"> </w:t>
      </w:r>
      <w:r>
        <w:rPr>
          <w:spacing w:val="-8"/>
        </w:rPr>
        <w:t>of</w:t>
      </w:r>
      <w:r>
        <w:rPr>
          <w:spacing w:val="-5"/>
        </w:rPr>
        <w:t xml:space="preserve"> </w:t>
      </w:r>
      <w:r>
        <w:rPr>
          <w:spacing w:val="-8"/>
        </w:rPr>
        <w:t>use.</w:t>
      </w:r>
    </w:p>
    <w:p w:rsidR="007259F2" w:rsidRDefault="007259F2">
      <w:pPr>
        <w:pStyle w:val="Corpodetexto"/>
        <w:ind w:left="0" w:firstLine="0"/>
        <w:jc w:val="left"/>
      </w:pPr>
    </w:p>
    <w:p w:rsidR="007259F2" w:rsidRDefault="007259F2">
      <w:pPr>
        <w:pStyle w:val="Corpodetexto"/>
        <w:spacing w:before="82"/>
        <w:ind w:left="0" w:firstLine="0"/>
        <w:jc w:val="left"/>
      </w:pPr>
    </w:p>
    <w:p w:rsidR="007259F2" w:rsidRDefault="00E655B4">
      <w:pPr>
        <w:pStyle w:val="Heading2"/>
        <w:numPr>
          <w:ilvl w:val="0"/>
          <w:numId w:val="38"/>
        </w:numPr>
        <w:tabs>
          <w:tab w:val="left" w:pos="899"/>
        </w:tabs>
        <w:spacing w:before="0" w:line="275" w:lineRule="exact"/>
        <w:ind w:hanging="187"/>
        <w:jc w:val="both"/>
      </w:pPr>
      <w:r>
        <w:rPr>
          <w:spacing w:val="-2"/>
        </w:rPr>
        <w:t>Introdução</w:t>
      </w:r>
    </w:p>
    <w:p w:rsidR="007259F2" w:rsidRDefault="00E655B4">
      <w:pPr>
        <w:spacing w:line="276" w:lineRule="auto"/>
        <w:ind w:left="4406" w:right="1122"/>
        <w:jc w:val="both"/>
        <w:rPr>
          <w:i/>
          <w:sz w:val="20"/>
        </w:rPr>
      </w:pPr>
      <w:r>
        <w:rPr>
          <w:i/>
          <w:sz w:val="20"/>
        </w:rPr>
        <w:t>Pode haver uma janela alta de onde eu veja o céu e o</w:t>
      </w:r>
      <w:r>
        <w:rPr>
          <w:i/>
          <w:spacing w:val="40"/>
          <w:sz w:val="20"/>
        </w:rPr>
        <w:t xml:space="preserve"> </w:t>
      </w:r>
      <w:r>
        <w:rPr>
          <w:i/>
          <w:sz w:val="20"/>
        </w:rPr>
        <w:t>mar, mas deve haver um canto bem sossegado em que eu possa ficar sozinho, quieto, pensando minhas coisas, um canto sossegado onde um dia eu possa morrer.</w:t>
      </w:r>
      <w:r>
        <w:rPr>
          <w:i/>
          <w:sz w:val="20"/>
          <w:vertAlign w:val="superscript"/>
        </w:rPr>
        <w:t>2</w:t>
      </w:r>
    </w:p>
    <w:p w:rsidR="007259F2" w:rsidRDefault="00DE6B1C">
      <w:pPr>
        <w:pStyle w:val="Corpodetexto"/>
        <w:spacing w:before="129"/>
        <w:ind w:left="0" w:firstLine="0"/>
        <w:jc w:val="left"/>
        <w:rPr>
          <w:i/>
          <w:sz w:val="20"/>
        </w:rPr>
      </w:pPr>
      <w:r w:rsidRPr="00DE6B1C">
        <w:rPr>
          <w:i/>
          <w:sz w:val="20"/>
        </w:rPr>
        <w:pict>
          <v:rect id="docshape55" o:spid="_x0000_s1171" style="position:absolute;margin-left:85.1pt;margin-top:19.2pt;width:2in;height:.7pt;z-index:-15708672;mso-wrap-distance-left:0;mso-wrap-distance-right:0;mso-position-horizontal-relative:page" fillcolor="black" stroked="f">
            <w10:wrap type="topAndBottom" anchorx="page"/>
          </v:rect>
        </w:pict>
      </w:r>
    </w:p>
    <w:p w:rsidR="007259F2" w:rsidRDefault="00E655B4">
      <w:pPr>
        <w:spacing w:before="96"/>
        <w:ind w:left="710" w:right="988"/>
        <w:jc w:val="both"/>
        <w:rPr>
          <w:sz w:val="20"/>
        </w:rPr>
      </w:pPr>
      <w:r>
        <w:rPr>
          <w:sz w:val="20"/>
          <w:vertAlign w:val="superscript"/>
        </w:rPr>
        <w:t>1</w:t>
      </w:r>
      <w:r>
        <w:rPr>
          <w:sz w:val="20"/>
        </w:rPr>
        <w:t xml:space="preserve"> Residente Jurídico do Programa de Residência Jurídica da Procuradoria Geral do Município de São Paulo, alocado no Departamento de Defesa do Meio Ambiente e do Patrimônio – DEMAP (2022-2025). Especialista em Direito Público pela Pontifícia Universidade Católica do Rio Grande do Sul. Especialista (MBA) em Gestão e Inovação pela Escola Superior de Advocacia da Ordem dos Advogados do Brasil. Bacharel em Direito pela Pontifícia Universidade Católica de Minas Gerais. E-mail: </w:t>
      </w:r>
      <w:hyperlink r:id="rId87">
        <w:r>
          <w:rPr>
            <w:spacing w:val="-2"/>
            <w:sz w:val="20"/>
          </w:rPr>
          <w:t>daniel.araujo.assis@gmail.com</w:t>
        </w:r>
      </w:hyperlink>
    </w:p>
    <w:p w:rsidR="007259F2" w:rsidRDefault="00E655B4">
      <w:pPr>
        <w:spacing w:before="1"/>
        <w:ind w:left="710"/>
        <w:jc w:val="both"/>
        <w:rPr>
          <w:sz w:val="20"/>
        </w:rPr>
      </w:pPr>
      <w:r>
        <w:rPr>
          <w:sz w:val="20"/>
          <w:vertAlign w:val="superscript"/>
        </w:rPr>
        <w:t>2</w:t>
      </w:r>
      <w:r>
        <w:rPr>
          <w:spacing w:val="2"/>
          <w:sz w:val="20"/>
        </w:rPr>
        <w:t xml:space="preserve"> </w:t>
      </w:r>
      <w:r>
        <w:rPr>
          <w:sz w:val="20"/>
        </w:rPr>
        <w:t>Durante</w:t>
      </w:r>
      <w:r>
        <w:rPr>
          <w:spacing w:val="4"/>
          <w:sz w:val="20"/>
        </w:rPr>
        <w:t xml:space="preserve"> </w:t>
      </w:r>
      <w:r>
        <w:rPr>
          <w:sz w:val="20"/>
        </w:rPr>
        <w:t>sua</w:t>
      </w:r>
      <w:r>
        <w:rPr>
          <w:spacing w:val="4"/>
          <w:sz w:val="20"/>
        </w:rPr>
        <w:t xml:space="preserve"> </w:t>
      </w:r>
      <w:r>
        <w:rPr>
          <w:sz w:val="20"/>
        </w:rPr>
        <w:t>aula</w:t>
      </w:r>
      <w:r>
        <w:rPr>
          <w:spacing w:val="7"/>
          <w:sz w:val="20"/>
        </w:rPr>
        <w:t xml:space="preserve"> </w:t>
      </w:r>
      <w:r>
        <w:rPr>
          <w:sz w:val="20"/>
        </w:rPr>
        <w:t>magna</w:t>
      </w:r>
      <w:r>
        <w:rPr>
          <w:spacing w:val="4"/>
          <w:sz w:val="20"/>
        </w:rPr>
        <w:t xml:space="preserve"> </w:t>
      </w:r>
      <w:r>
        <w:rPr>
          <w:sz w:val="20"/>
        </w:rPr>
        <w:t>sobre</w:t>
      </w:r>
      <w:r>
        <w:rPr>
          <w:spacing w:val="5"/>
          <w:sz w:val="20"/>
        </w:rPr>
        <w:t xml:space="preserve"> </w:t>
      </w:r>
      <w:r>
        <w:rPr>
          <w:sz w:val="20"/>
        </w:rPr>
        <w:t>“o</w:t>
      </w:r>
      <w:r>
        <w:rPr>
          <w:spacing w:val="5"/>
          <w:sz w:val="20"/>
        </w:rPr>
        <w:t xml:space="preserve"> </w:t>
      </w:r>
      <w:r>
        <w:rPr>
          <w:sz w:val="20"/>
        </w:rPr>
        <w:t>direito</w:t>
      </w:r>
      <w:r>
        <w:rPr>
          <w:spacing w:val="4"/>
          <w:sz w:val="20"/>
        </w:rPr>
        <w:t xml:space="preserve"> </w:t>
      </w:r>
      <w:r>
        <w:rPr>
          <w:sz w:val="20"/>
        </w:rPr>
        <w:t>à</w:t>
      </w:r>
      <w:r>
        <w:rPr>
          <w:spacing w:val="5"/>
          <w:sz w:val="20"/>
        </w:rPr>
        <w:t xml:space="preserve"> </w:t>
      </w:r>
      <w:r>
        <w:rPr>
          <w:sz w:val="20"/>
        </w:rPr>
        <w:t>moradia”,</w:t>
      </w:r>
      <w:r>
        <w:rPr>
          <w:spacing w:val="4"/>
          <w:sz w:val="20"/>
        </w:rPr>
        <w:t xml:space="preserve"> </w:t>
      </w:r>
      <w:r>
        <w:rPr>
          <w:sz w:val="20"/>
        </w:rPr>
        <w:t>ministrada</w:t>
      </w:r>
      <w:r>
        <w:rPr>
          <w:spacing w:val="5"/>
          <w:sz w:val="20"/>
        </w:rPr>
        <w:t xml:space="preserve"> </w:t>
      </w:r>
      <w:r>
        <w:rPr>
          <w:sz w:val="20"/>
        </w:rPr>
        <w:t>na</w:t>
      </w:r>
      <w:r>
        <w:rPr>
          <w:spacing w:val="5"/>
          <w:sz w:val="20"/>
        </w:rPr>
        <w:t xml:space="preserve"> </w:t>
      </w:r>
      <w:r>
        <w:rPr>
          <w:sz w:val="20"/>
        </w:rPr>
        <w:t>abertura</w:t>
      </w:r>
      <w:r>
        <w:rPr>
          <w:spacing w:val="4"/>
          <w:sz w:val="20"/>
        </w:rPr>
        <w:t xml:space="preserve"> </w:t>
      </w:r>
      <w:r>
        <w:rPr>
          <w:sz w:val="20"/>
        </w:rPr>
        <w:t>do</w:t>
      </w:r>
      <w:r>
        <w:rPr>
          <w:spacing w:val="5"/>
          <w:sz w:val="20"/>
        </w:rPr>
        <w:t xml:space="preserve"> </w:t>
      </w:r>
      <w:r>
        <w:rPr>
          <w:sz w:val="20"/>
        </w:rPr>
        <w:t>semestre</w:t>
      </w:r>
      <w:r>
        <w:rPr>
          <w:spacing w:val="4"/>
          <w:sz w:val="20"/>
        </w:rPr>
        <w:t xml:space="preserve"> </w:t>
      </w:r>
      <w:r>
        <w:rPr>
          <w:sz w:val="20"/>
        </w:rPr>
        <w:t>letivo</w:t>
      </w:r>
      <w:r>
        <w:rPr>
          <w:spacing w:val="5"/>
          <w:sz w:val="20"/>
        </w:rPr>
        <w:t xml:space="preserve"> </w:t>
      </w:r>
      <w:r>
        <w:rPr>
          <w:sz w:val="20"/>
        </w:rPr>
        <w:t>de</w:t>
      </w:r>
      <w:r>
        <w:rPr>
          <w:spacing w:val="5"/>
          <w:sz w:val="20"/>
        </w:rPr>
        <w:t xml:space="preserve"> </w:t>
      </w:r>
      <w:r>
        <w:rPr>
          <w:spacing w:val="-4"/>
          <w:sz w:val="20"/>
        </w:rPr>
        <w:t>2000</w:t>
      </w:r>
    </w:p>
    <w:p w:rsidR="007259F2" w:rsidRDefault="007259F2">
      <w:pPr>
        <w:jc w:val="both"/>
        <w:rPr>
          <w:sz w:val="20"/>
        </w:rPr>
        <w:sectPr w:rsidR="007259F2">
          <w:pgSz w:w="11910" w:h="16840"/>
          <w:pgMar w:top="1320" w:right="708" w:bottom="1160" w:left="992" w:header="0" w:footer="962" w:gutter="0"/>
          <w:cols w:space="720"/>
        </w:sectPr>
      </w:pPr>
    </w:p>
    <w:p w:rsidR="007259F2" w:rsidRDefault="00E655B4">
      <w:pPr>
        <w:pStyle w:val="Corpodetexto"/>
        <w:spacing w:before="69"/>
        <w:ind w:right="987"/>
      </w:pPr>
      <w:r>
        <w:lastRenderedPageBreak/>
        <w:t>A problemática habitacional no Brasil, em sua essência, constitui uma questão estrutural de significativa gravidade: cerca de 45 milhões de indivíduos residem em condições habitacionais precárias</w:t>
      </w:r>
      <w:r>
        <w:rPr>
          <w:vertAlign w:val="superscript"/>
        </w:rPr>
        <w:t>3</w:t>
      </w:r>
      <w:r>
        <w:t>-</w:t>
      </w:r>
      <w:r>
        <w:rPr>
          <w:vertAlign w:val="superscript"/>
        </w:rPr>
        <w:t>4</w:t>
      </w:r>
      <w:r>
        <w:t xml:space="preserve"> (IBGE, 2020, p. 76), enquanto outros 280 mil não têm sequer um teto para se abrigar (IPEA, 2022). Um caminho natural para indivíduos nessa situação de vulnerabilidade socioeconômica é a ocupação de terrenos nas periferias das grandes cidades, onde o custo de vida é notadamente mais baixo (CHAGAS, 2007, p. 43). Nesses terrenos periféricos, ao largo do olhar da sociedade e do vigiar da segurança pública, famílias se assentam em terrenos desocupados ou negligenciados, onde, marginalizadas, fincam ânimo de moradia, impulsionadas pela necessidade de tudo e pela falta de alternativas.</w:t>
      </w:r>
    </w:p>
    <w:p w:rsidR="007259F2" w:rsidRDefault="00E655B4">
      <w:pPr>
        <w:pStyle w:val="Corpodetexto"/>
        <w:spacing w:before="1"/>
        <w:ind w:right="989"/>
      </w:pPr>
      <w:r>
        <w:t>Esses</w:t>
      </w:r>
      <w:r>
        <w:rPr>
          <w:spacing w:val="40"/>
        </w:rPr>
        <w:t xml:space="preserve"> </w:t>
      </w:r>
      <w:r>
        <w:t>assentamentos</w:t>
      </w:r>
      <w:r>
        <w:rPr>
          <w:vertAlign w:val="superscript"/>
        </w:rPr>
        <w:t>5</w:t>
      </w:r>
      <w:r>
        <w:t>,</w:t>
      </w:r>
      <w:r>
        <w:rPr>
          <w:spacing w:val="40"/>
        </w:rPr>
        <w:t xml:space="preserve"> </w:t>
      </w:r>
      <w:r>
        <w:t>marcados</w:t>
      </w:r>
      <w:r>
        <w:rPr>
          <w:spacing w:val="40"/>
        </w:rPr>
        <w:t xml:space="preserve"> </w:t>
      </w:r>
      <w:r>
        <w:t>pela</w:t>
      </w:r>
      <w:r>
        <w:rPr>
          <w:spacing w:val="40"/>
        </w:rPr>
        <w:t xml:space="preserve"> </w:t>
      </w:r>
      <w:r>
        <w:t>irregularidade</w:t>
      </w:r>
      <w:r>
        <w:rPr>
          <w:spacing w:val="40"/>
        </w:rPr>
        <w:t xml:space="preserve"> </w:t>
      </w:r>
      <w:r>
        <w:t>fundiária,</w:t>
      </w:r>
      <w:r>
        <w:rPr>
          <w:spacing w:val="40"/>
        </w:rPr>
        <w:t xml:space="preserve"> </w:t>
      </w:r>
      <w:r>
        <w:t>atingem</w:t>
      </w:r>
      <w:r>
        <w:rPr>
          <w:spacing w:val="80"/>
        </w:rPr>
        <w:t xml:space="preserve"> </w:t>
      </w:r>
      <w:r>
        <w:t>mesmo</w:t>
      </w:r>
      <w:r>
        <w:rPr>
          <w:spacing w:val="40"/>
        </w:rPr>
        <w:t xml:space="preserve"> </w:t>
      </w:r>
      <w:r>
        <w:t>os imóveis propriedade do Estado. Por vezes avassaladora, essa ocupação desenfreada do território urbano reflete a urgência e complexidade dos problemas habitacionais</w:t>
      </w:r>
      <w:r>
        <w:rPr>
          <w:spacing w:val="-6"/>
        </w:rPr>
        <w:t xml:space="preserve"> </w:t>
      </w:r>
      <w:r>
        <w:t>nas</w:t>
      </w:r>
      <w:r>
        <w:rPr>
          <w:spacing w:val="-4"/>
        </w:rPr>
        <w:t xml:space="preserve"> </w:t>
      </w:r>
      <w:r>
        <w:t>metrópoles</w:t>
      </w:r>
      <w:r>
        <w:rPr>
          <w:spacing w:val="-6"/>
        </w:rPr>
        <w:t xml:space="preserve"> </w:t>
      </w:r>
      <w:r>
        <w:t>brasileiras</w:t>
      </w:r>
      <w:r>
        <w:rPr>
          <w:spacing w:val="-1"/>
        </w:rPr>
        <w:t xml:space="preserve"> </w:t>
      </w:r>
      <w:r>
        <w:t>desde</w:t>
      </w:r>
      <w:r>
        <w:rPr>
          <w:spacing w:val="-3"/>
        </w:rPr>
        <w:t xml:space="preserve"> </w:t>
      </w:r>
      <w:r>
        <w:t>o marcante</w:t>
      </w:r>
      <w:r>
        <w:rPr>
          <w:spacing w:val="-1"/>
        </w:rPr>
        <w:t xml:space="preserve"> </w:t>
      </w:r>
      <w:r>
        <w:t>êxodo</w:t>
      </w:r>
      <w:r>
        <w:rPr>
          <w:spacing w:val="-2"/>
        </w:rPr>
        <w:t xml:space="preserve"> </w:t>
      </w:r>
      <w:r>
        <w:t>rural</w:t>
      </w:r>
      <w:r>
        <w:rPr>
          <w:spacing w:val="-2"/>
        </w:rPr>
        <w:t xml:space="preserve"> </w:t>
      </w:r>
      <w:r>
        <w:t>(CHAGAS,</w:t>
      </w:r>
      <w:r>
        <w:rPr>
          <w:spacing w:val="-2"/>
        </w:rPr>
        <w:t xml:space="preserve"> </w:t>
      </w:r>
      <w:r>
        <w:t>2007, p. 18). De acordo com dados do Instituto Brasileiro de Geografia e Estatística (2020), em Belém (PA) e Manaus (AM), mais da metade dos domicílios estão em aglomerados subnormais, com 55,5% e 53,3% respectivamente. Salvador (BA) tem 41,8% de suas habitações</w:t>
      </w:r>
      <w:r>
        <w:rPr>
          <w:spacing w:val="-2"/>
        </w:rPr>
        <w:t xml:space="preserve"> </w:t>
      </w:r>
      <w:r>
        <w:t>nessas</w:t>
      </w:r>
      <w:r>
        <w:rPr>
          <w:spacing w:val="-3"/>
        </w:rPr>
        <w:t xml:space="preserve"> </w:t>
      </w:r>
      <w:r>
        <w:t>condições.</w:t>
      </w:r>
      <w:r>
        <w:rPr>
          <w:spacing w:val="-3"/>
        </w:rPr>
        <w:t xml:space="preserve"> </w:t>
      </w:r>
      <w:r>
        <w:t>Embora</w:t>
      </w:r>
      <w:r>
        <w:rPr>
          <w:spacing w:val="-6"/>
        </w:rPr>
        <w:t xml:space="preserve"> </w:t>
      </w:r>
      <w:r>
        <w:t>São Paulo</w:t>
      </w:r>
      <w:r>
        <w:rPr>
          <w:spacing w:val="-4"/>
        </w:rPr>
        <w:t xml:space="preserve"> </w:t>
      </w:r>
      <w:r>
        <w:t>e</w:t>
      </w:r>
      <w:r>
        <w:rPr>
          <w:spacing w:val="-3"/>
        </w:rPr>
        <w:t xml:space="preserve"> </w:t>
      </w:r>
      <w:r>
        <w:t>Rio</w:t>
      </w:r>
      <w:r>
        <w:rPr>
          <w:spacing w:val="-4"/>
        </w:rPr>
        <w:t xml:space="preserve"> </w:t>
      </w:r>
      <w:r>
        <w:t>de</w:t>
      </w:r>
      <w:r>
        <w:rPr>
          <w:spacing w:val="-6"/>
        </w:rPr>
        <w:t xml:space="preserve"> </w:t>
      </w:r>
      <w:r>
        <w:t>Janeiro tenham menos de 20% de</w:t>
      </w:r>
      <w:r>
        <w:rPr>
          <w:spacing w:val="33"/>
        </w:rPr>
        <w:t xml:space="preserve"> </w:t>
      </w:r>
      <w:r>
        <w:t>domicílios</w:t>
      </w:r>
      <w:r>
        <w:rPr>
          <w:spacing w:val="37"/>
        </w:rPr>
        <w:t xml:space="preserve"> </w:t>
      </w:r>
      <w:r>
        <w:t>em</w:t>
      </w:r>
      <w:r>
        <w:rPr>
          <w:spacing w:val="37"/>
        </w:rPr>
        <w:t xml:space="preserve"> </w:t>
      </w:r>
      <w:r>
        <w:t>aglomerados</w:t>
      </w:r>
      <w:r>
        <w:rPr>
          <w:spacing w:val="37"/>
        </w:rPr>
        <w:t xml:space="preserve"> </w:t>
      </w:r>
      <w:r>
        <w:t>subnormais,</w:t>
      </w:r>
      <w:r>
        <w:rPr>
          <w:spacing w:val="39"/>
        </w:rPr>
        <w:t xml:space="preserve"> </w:t>
      </w:r>
      <w:r>
        <w:t>em</w:t>
      </w:r>
      <w:r>
        <w:rPr>
          <w:spacing w:val="37"/>
        </w:rPr>
        <w:t xml:space="preserve"> </w:t>
      </w:r>
      <w:r>
        <w:t>números</w:t>
      </w:r>
      <w:r>
        <w:rPr>
          <w:spacing w:val="37"/>
        </w:rPr>
        <w:t xml:space="preserve"> </w:t>
      </w:r>
      <w:r>
        <w:t>absolutos,</w:t>
      </w:r>
      <w:r>
        <w:rPr>
          <w:spacing w:val="37"/>
        </w:rPr>
        <w:t xml:space="preserve"> </w:t>
      </w:r>
      <w:r>
        <w:t>lideram:</w:t>
      </w:r>
      <w:r>
        <w:rPr>
          <w:spacing w:val="37"/>
        </w:rPr>
        <w:t xml:space="preserve"> </w:t>
      </w:r>
      <w:r>
        <w:t>Rio</w:t>
      </w:r>
      <w:r>
        <w:rPr>
          <w:spacing w:val="37"/>
        </w:rPr>
        <w:t xml:space="preserve"> </w:t>
      </w:r>
      <w:r>
        <w:rPr>
          <w:spacing w:val="-5"/>
        </w:rPr>
        <w:t>tem</w:t>
      </w:r>
    </w:p>
    <w:p w:rsidR="007259F2" w:rsidRDefault="00E655B4">
      <w:pPr>
        <w:pStyle w:val="Corpodetexto"/>
        <w:spacing w:before="1"/>
        <w:ind w:firstLine="0"/>
      </w:pPr>
      <w:r>
        <w:t>453.571</w:t>
      </w:r>
      <w:r>
        <w:rPr>
          <w:spacing w:val="-1"/>
        </w:rPr>
        <w:t xml:space="preserve"> </w:t>
      </w:r>
      <w:r>
        <w:t>e</w:t>
      </w:r>
      <w:r>
        <w:rPr>
          <w:spacing w:val="-1"/>
        </w:rPr>
        <w:t xml:space="preserve"> </w:t>
      </w:r>
      <w:r>
        <w:t>São</w:t>
      </w:r>
      <w:r>
        <w:rPr>
          <w:spacing w:val="-1"/>
        </w:rPr>
        <w:t xml:space="preserve"> </w:t>
      </w:r>
      <w:r>
        <w:t>Paulo 529.921</w:t>
      </w:r>
      <w:r>
        <w:rPr>
          <w:spacing w:val="-1"/>
        </w:rPr>
        <w:t xml:space="preserve"> </w:t>
      </w:r>
      <w:r>
        <w:t xml:space="preserve">domicílios nessas </w:t>
      </w:r>
      <w:r>
        <w:rPr>
          <w:spacing w:val="-2"/>
        </w:rPr>
        <w:t>áreas.</w:t>
      </w:r>
    </w:p>
    <w:p w:rsidR="007259F2" w:rsidRDefault="00E655B4">
      <w:pPr>
        <w:pStyle w:val="Corpodetexto"/>
        <w:ind w:left="712" w:right="987" w:firstLine="705"/>
      </w:pPr>
      <w:r>
        <w:t>A propensão para a ocupação dessas áreas periféricas é fomentada pela pobreza</w:t>
      </w:r>
      <w:r>
        <w:rPr>
          <w:vertAlign w:val="superscript"/>
        </w:rPr>
        <w:t>6</w:t>
      </w:r>
      <w:r>
        <w:t xml:space="preserve"> das famílias, incapazes de suportar os custos dos alugueres em bairros mais bem estruturados ou mesmo de ali adquirir uma moradia. Em grandes centros urbanos, os preços no setor imobiliário atingem patamares proibitivos para a maior parte da população</w:t>
      </w:r>
      <w:r>
        <w:rPr>
          <w:spacing w:val="60"/>
        </w:rPr>
        <w:t xml:space="preserve">  </w:t>
      </w:r>
      <w:r>
        <w:t>(VIANA,</w:t>
      </w:r>
      <w:r>
        <w:rPr>
          <w:spacing w:val="61"/>
        </w:rPr>
        <w:t xml:space="preserve">  </w:t>
      </w:r>
      <w:r>
        <w:t>2000,</w:t>
      </w:r>
      <w:r>
        <w:rPr>
          <w:spacing w:val="60"/>
        </w:rPr>
        <w:t xml:space="preserve">  </w:t>
      </w:r>
      <w:r>
        <w:t>p.</w:t>
      </w:r>
      <w:r>
        <w:rPr>
          <w:spacing w:val="60"/>
        </w:rPr>
        <w:t xml:space="preserve">  </w:t>
      </w:r>
      <w:r>
        <w:t>549;</w:t>
      </w:r>
      <w:r>
        <w:rPr>
          <w:spacing w:val="60"/>
        </w:rPr>
        <w:t xml:space="preserve">  </w:t>
      </w:r>
      <w:r>
        <w:t>CHAGAS,</w:t>
      </w:r>
      <w:r>
        <w:rPr>
          <w:spacing w:val="60"/>
        </w:rPr>
        <w:t xml:space="preserve">  </w:t>
      </w:r>
      <w:r>
        <w:t>2007;</w:t>
      </w:r>
      <w:r>
        <w:rPr>
          <w:spacing w:val="60"/>
        </w:rPr>
        <w:t xml:space="preserve">  </w:t>
      </w:r>
      <w:r>
        <w:t>SCHREIBER,</w:t>
      </w:r>
      <w:r>
        <w:rPr>
          <w:spacing w:val="60"/>
        </w:rPr>
        <w:t xml:space="preserve">  </w:t>
      </w:r>
      <w:r>
        <w:rPr>
          <w:spacing w:val="-2"/>
        </w:rPr>
        <w:t>2014;</w:t>
      </w:r>
    </w:p>
    <w:p w:rsidR="007259F2" w:rsidRDefault="00E655B4">
      <w:pPr>
        <w:pStyle w:val="Corpodetexto"/>
        <w:tabs>
          <w:tab w:val="left" w:pos="8669"/>
        </w:tabs>
        <w:ind w:left="712" w:right="987" w:firstLine="0"/>
        <w:jc w:val="left"/>
      </w:pPr>
      <w:r>
        <w:t>CASTELANI;</w:t>
      </w:r>
      <w:r>
        <w:rPr>
          <w:spacing w:val="40"/>
        </w:rPr>
        <w:t xml:space="preserve"> </w:t>
      </w:r>
      <w:r>
        <w:t>KRUSE,</w:t>
      </w:r>
      <w:r>
        <w:rPr>
          <w:spacing w:val="40"/>
        </w:rPr>
        <w:t xml:space="preserve"> </w:t>
      </w:r>
      <w:r>
        <w:t>2023).</w:t>
      </w:r>
      <w:r>
        <w:rPr>
          <w:spacing w:val="40"/>
        </w:rPr>
        <w:t xml:space="preserve"> </w:t>
      </w:r>
      <w:r>
        <w:t>A</w:t>
      </w:r>
      <w:r>
        <w:rPr>
          <w:spacing w:val="40"/>
        </w:rPr>
        <w:t xml:space="preserve"> </w:t>
      </w:r>
      <w:r>
        <w:t>informação</w:t>
      </w:r>
      <w:r>
        <w:rPr>
          <w:spacing w:val="40"/>
        </w:rPr>
        <w:t xml:space="preserve"> </w:t>
      </w:r>
      <w:r>
        <w:t>sobre</w:t>
      </w:r>
      <w:r>
        <w:rPr>
          <w:spacing w:val="40"/>
        </w:rPr>
        <w:t xml:space="preserve"> </w:t>
      </w:r>
      <w:r>
        <w:t>novas</w:t>
      </w:r>
      <w:r>
        <w:rPr>
          <w:spacing w:val="40"/>
        </w:rPr>
        <w:t xml:space="preserve"> </w:t>
      </w:r>
      <w:r>
        <w:t>ocupações</w:t>
      </w:r>
      <w:r>
        <w:rPr>
          <w:spacing w:val="40"/>
        </w:rPr>
        <w:t xml:space="preserve"> </w:t>
      </w:r>
      <w:r>
        <w:t>em</w:t>
      </w:r>
      <w:r>
        <w:tab/>
      </w:r>
      <w:r>
        <w:rPr>
          <w:spacing w:val="-2"/>
        </w:rPr>
        <w:t xml:space="preserve">zonas </w:t>
      </w:r>
      <w:r>
        <w:t>periféricas se dissemina, percebida por muitos como uma janela para uma vida melhor.</w:t>
      </w:r>
      <w:r>
        <w:rPr>
          <w:vertAlign w:val="superscript"/>
        </w:rPr>
        <w:t>7</w:t>
      </w:r>
    </w:p>
    <w:p w:rsidR="007259F2" w:rsidRDefault="00DE6B1C">
      <w:pPr>
        <w:pStyle w:val="Corpodetexto"/>
        <w:spacing w:before="3"/>
        <w:ind w:left="0" w:firstLine="0"/>
        <w:jc w:val="left"/>
        <w:rPr>
          <w:sz w:val="18"/>
        </w:rPr>
      </w:pPr>
      <w:r w:rsidRPr="00DE6B1C">
        <w:rPr>
          <w:sz w:val="18"/>
        </w:rPr>
        <w:pict>
          <v:rect id="docshape56" o:spid="_x0000_s1170" style="position:absolute;margin-left:85.1pt;margin-top:11.7pt;width:425.25pt;height:.7pt;z-index:-15708160;mso-wrap-distance-left:0;mso-wrap-distance-right:0;mso-position-horizontal-relative:page" fillcolor="black" stroked="f">
            <w10:wrap type="topAndBottom" anchorx="page"/>
          </v:rect>
        </w:pict>
      </w:r>
    </w:p>
    <w:p w:rsidR="007259F2" w:rsidRDefault="00E655B4">
      <w:pPr>
        <w:spacing w:before="96"/>
        <w:ind w:left="710" w:right="986"/>
        <w:jc w:val="both"/>
        <w:rPr>
          <w:sz w:val="20"/>
        </w:rPr>
      </w:pPr>
      <w:r>
        <w:rPr>
          <w:sz w:val="20"/>
        </w:rPr>
        <w:t>na Faculdade de Direito da Universidade de São Paulo, o Prof. Rui Geraldo resgatou esse exato trecho da crônica “A Casa”,</w:t>
      </w:r>
      <w:r>
        <w:rPr>
          <w:spacing w:val="-1"/>
          <w:sz w:val="20"/>
        </w:rPr>
        <w:t xml:space="preserve"> </w:t>
      </w:r>
      <w:r>
        <w:rPr>
          <w:sz w:val="20"/>
        </w:rPr>
        <w:t>de Rubem Braga. Destaca um</w:t>
      </w:r>
      <w:r>
        <w:rPr>
          <w:spacing w:val="-2"/>
          <w:sz w:val="20"/>
        </w:rPr>
        <w:t xml:space="preserve"> </w:t>
      </w:r>
      <w:r>
        <w:rPr>
          <w:sz w:val="20"/>
        </w:rPr>
        <w:t>profundo sentimento de solidariedade, tornando a</w:t>
      </w:r>
      <w:r>
        <w:rPr>
          <w:spacing w:val="-1"/>
          <w:sz w:val="20"/>
        </w:rPr>
        <w:t xml:space="preserve"> </w:t>
      </w:r>
      <w:r>
        <w:rPr>
          <w:sz w:val="20"/>
        </w:rPr>
        <w:t>leitura de ambos – a crônica e a aula – altamente recomendada.</w:t>
      </w:r>
    </w:p>
    <w:p w:rsidR="007259F2" w:rsidRDefault="00E655B4">
      <w:pPr>
        <w:spacing w:before="1"/>
        <w:ind w:left="710" w:right="987"/>
        <w:jc w:val="both"/>
        <w:rPr>
          <w:sz w:val="20"/>
        </w:rPr>
      </w:pPr>
      <w:r>
        <w:rPr>
          <w:sz w:val="20"/>
          <w:vertAlign w:val="superscript"/>
        </w:rPr>
        <w:t>3</w:t>
      </w:r>
      <w:r>
        <w:rPr>
          <w:sz w:val="20"/>
        </w:rPr>
        <w:t xml:space="preserve"> De acordo com a Síntese dos Indicadores Sociais (IBGE, 2020), são consideradas habitações precárias aquelas que apresentam características como: construção com restos de madeira, ausência de banheiro, situações em</w:t>
      </w:r>
      <w:r>
        <w:rPr>
          <w:spacing w:val="-1"/>
          <w:sz w:val="20"/>
        </w:rPr>
        <w:t xml:space="preserve"> </w:t>
      </w:r>
      <w:r>
        <w:rPr>
          <w:sz w:val="20"/>
        </w:rPr>
        <w:t>que as famílias despendem mais de 30% da renda com</w:t>
      </w:r>
      <w:r>
        <w:rPr>
          <w:spacing w:val="-3"/>
          <w:sz w:val="20"/>
        </w:rPr>
        <w:t xml:space="preserve"> </w:t>
      </w:r>
      <w:r>
        <w:rPr>
          <w:sz w:val="20"/>
        </w:rPr>
        <w:t>aluguel, falta de documento de posse ou propriedade, e locais onde mais de três pessoas compartilham o mesmo quarto.</w:t>
      </w:r>
    </w:p>
    <w:p w:rsidR="007259F2" w:rsidRDefault="00E655B4">
      <w:pPr>
        <w:ind w:left="710" w:right="1000"/>
        <w:jc w:val="both"/>
        <w:rPr>
          <w:sz w:val="20"/>
        </w:rPr>
      </w:pPr>
      <w:r>
        <w:rPr>
          <w:sz w:val="20"/>
          <w:vertAlign w:val="superscript"/>
        </w:rPr>
        <w:t>4</w:t>
      </w:r>
      <w:r>
        <w:rPr>
          <w:sz w:val="20"/>
        </w:rPr>
        <w:t xml:space="preserve"> Em 2019, 21,6% da população brasileira, ou seja, cerca de 45,2 milhões de pessoas em 14,2 milhões de domicílios, viviam em condições de inadequação domiciliar. Esse índice sobe para 43,2% entre aqueles com renda domiciliar per capita inferior a US$ 5,50 PPC por dia, e é ainda mais acentuado para quem</w:t>
      </w:r>
      <w:r>
        <w:rPr>
          <w:spacing w:val="40"/>
          <w:sz w:val="20"/>
        </w:rPr>
        <w:t xml:space="preserve"> </w:t>
      </w:r>
      <w:r>
        <w:rPr>
          <w:sz w:val="20"/>
        </w:rPr>
        <w:t>vive com menos de US$ 1,90 PPC por dia (IBGE, 2020).</w:t>
      </w:r>
    </w:p>
    <w:p w:rsidR="007259F2" w:rsidRDefault="00E655B4">
      <w:pPr>
        <w:ind w:left="710" w:right="993"/>
        <w:jc w:val="both"/>
        <w:rPr>
          <w:sz w:val="20"/>
        </w:rPr>
      </w:pPr>
      <w:r>
        <w:rPr>
          <w:sz w:val="20"/>
          <w:vertAlign w:val="superscript"/>
        </w:rPr>
        <w:t>5</w:t>
      </w:r>
      <w:r>
        <w:rPr>
          <w:sz w:val="20"/>
        </w:rPr>
        <w:t xml:space="preserve"> A definição dessas</w:t>
      </w:r>
      <w:r>
        <w:rPr>
          <w:spacing w:val="-1"/>
          <w:sz w:val="20"/>
        </w:rPr>
        <w:t xml:space="preserve"> </w:t>
      </w:r>
      <w:r>
        <w:rPr>
          <w:sz w:val="20"/>
        </w:rPr>
        <w:t>áreas, para o IBGE, é dita como “aglomerados</w:t>
      </w:r>
      <w:r>
        <w:rPr>
          <w:spacing w:val="-1"/>
          <w:sz w:val="20"/>
        </w:rPr>
        <w:t xml:space="preserve"> </w:t>
      </w:r>
      <w:r>
        <w:rPr>
          <w:sz w:val="20"/>
        </w:rPr>
        <w:t>subnormais” desde meados</w:t>
      </w:r>
      <w:r>
        <w:rPr>
          <w:spacing w:val="-1"/>
          <w:sz w:val="20"/>
        </w:rPr>
        <w:t xml:space="preserve"> </w:t>
      </w:r>
      <w:r>
        <w:rPr>
          <w:sz w:val="20"/>
        </w:rPr>
        <w:t>da década de 1980: “ocupações irregulares de terrenos para fins de habitação em áreas urbanas e que, em geral, são caracterizados</w:t>
      </w:r>
      <w:r>
        <w:rPr>
          <w:spacing w:val="-4"/>
          <w:sz w:val="20"/>
        </w:rPr>
        <w:t xml:space="preserve"> </w:t>
      </w:r>
      <w:r>
        <w:rPr>
          <w:sz w:val="20"/>
        </w:rPr>
        <w:t>por</w:t>
      </w:r>
      <w:r>
        <w:rPr>
          <w:spacing w:val="-3"/>
          <w:sz w:val="20"/>
        </w:rPr>
        <w:t xml:space="preserve"> </w:t>
      </w:r>
      <w:r>
        <w:rPr>
          <w:sz w:val="20"/>
        </w:rPr>
        <w:t>um</w:t>
      </w:r>
      <w:r>
        <w:rPr>
          <w:spacing w:val="-7"/>
          <w:sz w:val="20"/>
        </w:rPr>
        <w:t xml:space="preserve"> </w:t>
      </w:r>
      <w:r>
        <w:rPr>
          <w:sz w:val="20"/>
        </w:rPr>
        <w:t>padrão</w:t>
      </w:r>
      <w:r>
        <w:rPr>
          <w:spacing w:val="-2"/>
          <w:sz w:val="20"/>
        </w:rPr>
        <w:t xml:space="preserve"> </w:t>
      </w:r>
      <w:r>
        <w:rPr>
          <w:sz w:val="20"/>
        </w:rPr>
        <w:t>urbanístico</w:t>
      </w:r>
      <w:r>
        <w:rPr>
          <w:spacing w:val="-2"/>
          <w:sz w:val="20"/>
        </w:rPr>
        <w:t xml:space="preserve"> </w:t>
      </w:r>
      <w:r>
        <w:rPr>
          <w:sz w:val="20"/>
        </w:rPr>
        <w:t>irregular,</w:t>
      </w:r>
      <w:r>
        <w:rPr>
          <w:spacing w:val="-3"/>
          <w:sz w:val="20"/>
        </w:rPr>
        <w:t xml:space="preserve"> </w:t>
      </w:r>
      <w:r>
        <w:rPr>
          <w:sz w:val="20"/>
        </w:rPr>
        <w:t>carência de</w:t>
      </w:r>
      <w:r>
        <w:rPr>
          <w:spacing w:val="-3"/>
          <w:sz w:val="20"/>
        </w:rPr>
        <w:t xml:space="preserve"> </w:t>
      </w:r>
      <w:r>
        <w:rPr>
          <w:sz w:val="20"/>
        </w:rPr>
        <w:t>serviços</w:t>
      </w:r>
      <w:r>
        <w:rPr>
          <w:spacing w:val="-4"/>
          <w:sz w:val="20"/>
        </w:rPr>
        <w:t xml:space="preserve"> </w:t>
      </w:r>
      <w:r>
        <w:rPr>
          <w:sz w:val="20"/>
        </w:rPr>
        <w:t>públicos</w:t>
      </w:r>
      <w:r>
        <w:rPr>
          <w:spacing w:val="-4"/>
          <w:sz w:val="20"/>
        </w:rPr>
        <w:t xml:space="preserve"> </w:t>
      </w:r>
      <w:r>
        <w:rPr>
          <w:sz w:val="20"/>
        </w:rPr>
        <w:t>básicos</w:t>
      </w:r>
      <w:r>
        <w:rPr>
          <w:spacing w:val="-4"/>
          <w:sz w:val="20"/>
        </w:rPr>
        <w:t xml:space="preserve"> </w:t>
      </w:r>
      <w:r>
        <w:rPr>
          <w:sz w:val="20"/>
        </w:rPr>
        <w:t>e</w:t>
      </w:r>
      <w:r>
        <w:rPr>
          <w:spacing w:val="-1"/>
          <w:sz w:val="20"/>
        </w:rPr>
        <w:t xml:space="preserve"> </w:t>
      </w:r>
      <w:r>
        <w:rPr>
          <w:sz w:val="20"/>
        </w:rPr>
        <w:t>localização</w:t>
      </w:r>
      <w:r>
        <w:rPr>
          <w:spacing w:val="-2"/>
          <w:sz w:val="20"/>
        </w:rPr>
        <w:t xml:space="preserve"> </w:t>
      </w:r>
      <w:r>
        <w:rPr>
          <w:sz w:val="20"/>
        </w:rPr>
        <w:t>em áreas restritas à ocupação”. Em evento recente, a fundação promoveu uma audiência pública para substituição do termo para adequação fática e metodológica, propondo o termo “favelas e assentamentos populares”, a significar “territórios urbanos originados das diversas estratégias utilizadas pelas camadas populares</w:t>
      </w:r>
      <w:r>
        <w:rPr>
          <w:spacing w:val="-4"/>
          <w:sz w:val="20"/>
        </w:rPr>
        <w:t xml:space="preserve"> </w:t>
      </w:r>
      <w:r>
        <w:rPr>
          <w:sz w:val="20"/>
        </w:rPr>
        <w:t>para</w:t>
      </w:r>
      <w:r>
        <w:rPr>
          <w:spacing w:val="-3"/>
          <w:sz w:val="20"/>
        </w:rPr>
        <w:t xml:space="preserve"> </w:t>
      </w:r>
      <w:r>
        <w:rPr>
          <w:sz w:val="20"/>
        </w:rPr>
        <w:t>viabilizar,</w:t>
      </w:r>
      <w:r>
        <w:rPr>
          <w:spacing w:val="-3"/>
          <w:sz w:val="20"/>
        </w:rPr>
        <w:t xml:space="preserve"> </w:t>
      </w:r>
      <w:r>
        <w:rPr>
          <w:sz w:val="20"/>
        </w:rPr>
        <w:t>geralmente</w:t>
      </w:r>
      <w:r>
        <w:rPr>
          <w:spacing w:val="-3"/>
          <w:sz w:val="20"/>
        </w:rPr>
        <w:t xml:space="preserve"> </w:t>
      </w:r>
      <w:r>
        <w:rPr>
          <w:sz w:val="20"/>
        </w:rPr>
        <w:t>de</w:t>
      </w:r>
      <w:r>
        <w:rPr>
          <w:spacing w:val="-1"/>
          <w:sz w:val="20"/>
        </w:rPr>
        <w:t xml:space="preserve"> </w:t>
      </w:r>
      <w:r>
        <w:rPr>
          <w:sz w:val="20"/>
        </w:rPr>
        <w:t>forma</w:t>
      </w:r>
      <w:r>
        <w:rPr>
          <w:spacing w:val="-3"/>
          <w:sz w:val="20"/>
        </w:rPr>
        <w:t xml:space="preserve"> </w:t>
      </w:r>
      <w:r>
        <w:rPr>
          <w:sz w:val="20"/>
        </w:rPr>
        <w:t>autônoma,</w:t>
      </w:r>
      <w:r>
        <w:rPr>
          <w:spacing w:val="-2"/>
          <w:sz w:val="20"/>
        </w:rPr>
        <w:t xml:space="preserve"> </w:t>
      </w:r>
      <w:r>
        <w:rPr>
          <w:sz w:val="20"/>
        </w:rPr>
        <w:t>suas</w:t>
      </w:r>
      <w:r>
        <w:rPr>
          <w:spacing w:val="-4"/>
          <w:sz w:val="20"/>
        </w:rPr>
        <w:t xml:space="preserve"> </w:t>
      </w:r>
      <w:r>
        <w:rPr>
          <w:sz w:val="20"/>
        </w:rPr>
        <w:t>necessidades</w:t>
      </w:r>
      <w:r>
        <w:rPr>
          <w:spacing w:val="-4"/>
          <w:sz w:val="20"/>
        </w:rPr>
        <w:t xml:space="preserve"> </w:t>
      </w:r>
      <w:r>
        <w:rPr>
          <w:sz w:val="20"/>
        </w:rPr>
        <w:t>de</w:t>
      </w:r>
      <w:r>
        <w:rPr>
          <w:spacing w:val="-1"/>
          <w:sz w:val="20"/>
        </w:rPr>
        <w:t xml:space="preserve"> </w:t>
      </w:r>
      <w:r>
        <w:rPr>
          <w:sz w:val="20"/>
        </w:rPr>
        <w:t>moradia</w:t>
      </w:r>
      <w:r>
        <w:rPr>
          <w:spacing w:val="-3"/>
          <w:sz w:val="20"/>
        </w:rPr>
        <w:t xml:space="preserve"> </w:t>
      </w:r>
      <w:r>
        <w:rPr>
          <w:sz w:val="20"/>
        </w:rPr>
        <w:t>e</w:t>
      </w:r>
      <w:r>
        <w:rPr>
          <w:spacing w:val="-1"/>
          <w:sz w:val="20"/>
        </w:rPr>
        <w:t xml:space="preserve"> </w:t>
      </w:r>
      <w:r>
        <w:rPr>
          <w:sz w:val="20"/>
        </w:rPr>
        <w:t>usos</w:t>
      </w:r>
      <w:r>
        <w:rPr>
          <w:spacing w:val="-4"/>
          <w:sz w:val="20"/>
        </w:rPr>
        <w:t xml:space="preserve"> </w:t>
      </w:r>
      <w:r>
        <w:rPr>
          <w:sz w:val="20"/>
        </w:rPr>
        <w:t>associados (comércio, serviços, lazer, cultura, entre outros), diante da insuficiência e inadequação das políticas públicas e investimentos privados dirigidas à garantia do direito à cidade” (IBGE, 2023). A alteração segue em revisão.</w:t>
      </w:r>
    </w:p>
    <w:p w:rsidR="007259F2" w:rsidRDefault="00E655B4">
      <w:pPr>
        <w:ind w:left="710" w:right="989"/>
        <w:jc w:val="both"/>
        <w:rPr>
          <w:sz w:val="20"/>
        </w:rPr>
      </w:pPr>
      <w:r>
        <w:rPr>
          <w:sz w:val="20"/>
          <w:vertAlign w:val="superscript"/>
        </w:rPr>
        <w:t>6</w:t>
      </w:r>
      <w:r>
        <w:rPr>
          <w:sz w:val="20"/>
        </w:rPr>
        <w:t xml:space="preserve"> Segundo a acepção adotada para este trabalho, pobreza “não pode ser definida apenas em termos de níveis materiais de sobrevivência, mas tem de considerar aqueles indivíduos que, apesar de conseguirem sobreviver acima do mínimo, não tem acesso aos mais importantes benefícios das sociedades urbanas modernas, como educação, saneamento básico, saúde, cultura e integração social” (MARQUES; TORRES, 2005, p. 40).</w:t>
      </w:r>
    </w:p>
    <w:p w:rsidR="007259F2" w:rsidRDefault="00E655B4">
      <w:pPr>
        <w:spacing w:before="1"/>
        <w:ind w:left="710"/>
        <w:jc w:val="both"/>
        <w:rPr>
          <w:sz w:val="20"/>
        </w:rPr>
      </w:pPr>
      <w:r>
        <w:rPr>
          <w:sz w:val="20"/>
          <w:vertAlign w:val="superscript"/>
        </w:rPr>
        <w:t>7</w:t>
      </w:r>
      <w:r>
        <w:rPr>
          <w:spacing w:val="36"/>
          <w:sz w:val="20"/>
        </w:rPr>
        <w:t xml:space="preserve"> </w:t>
      </w:r>
      <w:r>
        <w:rPr>
          <w:sz w:val="20"/>
        </w:rPr>
        <w:t>A</w:t>
      </w:r>
      <w:r>
        <w:rPr>
          <w:spacing w:val="33"/>
          <w:sz w:val="20"/>
        </w:rPr>
        <w:t xml:space="preserve"> </w:t>
      </w:r>
      <w:r>
        <w:rPr>
          <w:sz w:val="20"/>
        </w:rPr>
        <w:t>fonte</w:t>
      </w:r>
      <w:r>
        <w:rPr>
          <w:spacing w:val="38"/>
          <w:sz w:val="20"/>
        </w:rPr>
        <w:t xml:space="preserve"> </w:t>
      </w:r>
      <w:r>
        <w:rPr>
          <w:sz w:val="20"/>
        </w:rPr>
        <w:t>mais</w:t>
      </w:r>
      <w:r>
        <w:rPr>
          <w:spacing w:val="35"/>
          <w:sz w:val="20"/>
        </w:rPr>
        <w:t xml:space="preserve"> </w:t>
      </w:r>
      <w:r>
        <w:rPr>
          <w:sz w:val="20"/>
        </w:rPr>
        <w:t>confiável</w:t>
      </w:r>
      <w:r>
        <w:rPr>
          <w:spacing w:val="36"/>
          <w:sz w:val="20"/>
        </w:rPr>
        <w:t xml:space="preserve"> </w:t>
      </w:r>
      <w:r>
        <w:rPr>
          <w:sz w:val="20"/>
        </w:rPr>
        <w:t>e</w:t>
      </w:r>
      <w:r>
        <w:rPr>
          <w:spacing w:val="36"/>
          <w:sz w:val="20"/>
        </w:rPr>
        <w:t xml:space="preserve"> </w:t>
      </w:r>
      <w:r>
        <w:rPr>
          <w:sz w:val="20"/>
        </w:rPr>
        <w:t>científica</w:t>
      </w:r>
      <w:r>
        <w:rPr>
          <w:spacing w:val="36"/>
          <w:sz w:val="20"/>
        </w:rPr>
        <w:t xml:space="preserve"> </w:t>
      </w:r>
      <w:r>
        <w:rPr>
          <w:sz w:val="20"/>
        </w:rPr>
        <w:t>para</w:t>
      </w:r>
      <w:r>
        <w:rPr>
          <w:spacing w:val="36"/>
          <w:sz w:val="20"/>
        </w:rPr>
        <w:t xml:space="preserve"> </w:t>
      </w:r>
      <w:r>
        <w:rPr>
          <w:sz w:val="20"/>
        </w:rPr>
        <w:t>essas</w:t>
      </w:r>
      <w:r>
        <w:rPr>
          <w:spacing w:val="35"/>
          <w:sz w:val="20"/>
        </w:rPr>
        <w:t xml:space="preserve"> </w:t>
      </w:r>
      <w:r>
        <w:rPr>
          <w:sz w:val="20"/>
        </w:rPr>
        <w:t>informações</w:t>
      </w:r>
      <w:r>
        <w:rPr>
          <w:spacing w:val="35"/>
          <w:sz w:val="20"/>
        </w:rPr>
        <w:t xml:space="preserve"> </w:t>
      </w:r>
      <w:r>
        <w:rPr>
          <w:sz w:val="20"/>
        </w:rPr>
        <w:t>reside</w:t>
      </w:r>
      <w:r>
        <w:rPr>
          <w:spacing w:val="36"/>
          <w:sz w:val="20"/>
        </w:rPr>
        <w:t xml:space="preserve"> </w:t>
      </w:r>
      <w:r>
        <w:rPr>
          <w:sz w:val="20"/>
        </w:rPr>
        <w:t>na</w:t>
      </w:r>
      <w:r>
        <w:rPr>
          <w:spacing w:val="36"/>
          <w:sz w:val="20"/>
        </w:rPr>
        <w:t xml:space="preserve"> </w:t>
      </w:r>
      <w:r>
        <w:rPr>
          <w:sz w:val="20"/>
        </w:rPr>
        <w:t>prática</w:t>
      </w:r>
      <w:r>
        <w:rPr>
          <w:spacing w:val="34"/>
          <w:sz w:val="20"/>
        </w:rPr>
        <w:t xml:space="preserve"> </w:t>
      </w:r>
      <w:r>
        <w:rPr>
          <w:sz w:val="20"/>
        </w:rPr>
        <w:t>jurídica</w:t>
      </w:r>
      <w:r>
        <w:rPr>
          <w:spacing w:val="34"/>
          <w:sz w:val="20"/>
        </w:rPr>
        <w:t xml:space="preserve"> </w:t>
      </w:r>
      <w:r>
        <w:rPr>
          <w:sz w:val="20"/>
        </w:rPr>
        <w:t>relacionada</w:t>
      </w:r>
      <w:r>
        <w:rPr>
          <w:spacing w:val="36"/>
          <w:sz w:val="20"/>
        </w:rPr>
        <w:t xml:space="preserve"> </w:t>
      </w:r>
      <w:r>
        <w:rPr>
          <w:spacing w:val="-10"/>
          <w:sz w:val="20"/>
        </w:rPr>
        <w:t>a</w:t>
      </w:r>
    </w:p>
    <w:p w:rsidR="007259F2" w:rsidRDefault="007259F2">
      <w:pPr>
        <w:jc w:val="both"/>
        <w:rPr>
          <w:sz w:val="20"/>
        </w:rPr>
        <w:sectPr w:rsidR="007259F2">
          <w:pgSz w:w="11910" w:h="16840"/>
          <w:pgMar w:top="1320" w:right="708" w:bottom="1160" w:left="992" w:header="0" w:footer="962" w:gutter="0"/>
          <w:cols w:space="720"/>
        </w:sectPr>
      </w:pPr>
    </w:p>
    <w:p w:rsidR="007259F2" w:rsidRDefault="00E655B4">
      <w:pPr>
        <w:pStyle w:val="Corpodetexto"/>
        <w:spacing w:before="69"/>
        <w:ind w:left="712" w:right="987" w:firstLine="705"/>
      </w:pPr>
      <w:r>
        <w:lastRenderedPageBreak/>
        <w:t>Nesses locais, aliás, ainda que existam áreas públicas, é comum a ausência de atuação efetiva do Poder Público. Os municípios, diante de suas intrincadas políticas públicas, frequentemente carecem de recursos para atender aos moradores de regiões distantes, periféricas, ou simplesmente negligenciadas devido ao seu risco, inacessibilidade ou limitado potencial de aproveitamento. A infraestrutura presente nos centros urbanos, já muitas vezes deficiente, tende a ser inexistente em suas zonas periféricas (VIANA, 2000, p. 550).</w:t>
      </w:r>
    </w:p>
    <w:p w:rsidR="007259F2" w:rsidRDefault="00E655B4">
      <w:pPr>
        <w:pStyle w:val="Corpodetexto"/>
        <w:spacing w:before="1"/>
        <w:ind w:right="987"/>
      </w:pPr>
      <w:r>
        <w:t>O direito à moradia é reconhecidamente de natureza humana e fundamental, afinal</w:t>
      </w:r>
      <w:r>
        <w:rPr>
          <w:spacing w:val="-8"/>
        </w:rPr>
        <w:t xml:space="preserve"> </w:t>
      </w:r>
      <w:r>
        <w:t>integra</w:t>
      </w:r>
      <w:r>
        <w:rPr>
          <w:spacing w:val="-11"/>
        </w:rPr>
        <w:t xml:space="preserve"> </w:t>
      </w:r>
      <w:r>
        <w:t>o</w:t>
      </w:r>
      <w:r>
        <w:rPr>
          <w:spacing w:val="-8"/>
        </w:rPr>
        <w:t xml:space="preserve"> </w:t>
      </w:r>
      <w:r>
        <w:t>espectro</w:t>
      </w:r>
      <w:r>
        <w:rPr>
          <w:spacing w:val="-5"/>
        </w:rPr>
        <w:t xml:space="preserve"> </w:t>
      </w:r>
      <w:r>
        <w:t>dos</w:t>
      </w:r>
      <w:r>
        <w:rPr>
          <w:spacing w:val="-8"/>
        </w:rPr>
        <w:t xml:space="preserve"> </w:t>
      </w:r>
      <w:r>
        <w:t>direitos</w:t>
      </w:r>
      <w:r>
        <w:rPr>
          <w:spacing w:val="-8"/>
        </w:rPr>
        <w:t xml:space="preserve"> </w:t>
      </w:r>
      <w:r>
        <w:t>sociais</w:t>
      </w:r>
      <w:r>
        <w:rPr>
          <w:spacing w:val="-7"/>
        </w:rPr>
        <w:t xml:space="preserve"> </w:t>
      </w:r>
      <w:r>
        <w:t>articulados</w:t>
      </w:r>
      <w:r>
        <w:rPr>
          <w:spacing w:val="-10"/>
        </w:rPr>
        <w:t xml:space="preserve"> </w:t>
      </w:r>
      <w:r>
        <w:t>no</w:t>
      </w:r>
      <w:r>
        <w:rPr>
          <w:spacing w:val="-11"/>
        </w:rPr>
        <w:t xml:space="preserve"> </w:t>
      </w:r>
      <w:r>
        <w:t>art.</w:t>
      </w:r>
      <w:r>
        <w:rPr>
          <w:spacing w:val="-11"/>
        </w:rPr>
        <w:t xml:space="preserve"> </w:t>
      </w:r>
      <w:r>
        <w:t>6º</w:t>
      </w:r>
      <w:r>
        <w:rPr>
          <w:spacing w:val="-8"/>
        </w:rPr>
        <w:t xml:space="preserve"> </w:t>
      </w:r>
      <w:r>
        <w:t>da</w:t>
      </w:r>
      <w:r>
        <w:rPr>
          <w:spacing w:val="-12"/>
        </w:rPr>
        <w:t xml:space="preserve"> </w:t>
      </w:r>
      <w:r>
        <w:t>Constituição</w:t>
      </w:r>
      <w:r>
        <w:rPr>
          <w:spacing w:val="-7"/>
        </w:rPr>
        <w:t xml:space="preserve"> </w:t>
      </w:r>
      <w:r>
        <w:t>Federal (CF) e no Pacto Internacional sobre Direitos Econômicos, Sociais e Culturais, como consta de seu art. 11, §1º.</w:t>
      </w:r>
      <w:r>
        <w:rPr>
          <w:vertAlign w:val="superscript"/>
        </w:rPr>
        <w:t>8</w:t>
      </w:r>
      <w:r>
        <w:t xml:space="preserve"> Daí, portanto, decorre sua imediata cogência e</w:t>
      </w:r>
      <w:r>
        <w:rPr>
          <w:spacing w:val="80"/>
        </w:rPr>
        <w:t xml:space="preserve"> </w:t>
      </w:r>
      <w:r>
        <w:t>aplicabilidade, tal qual dispõe o art. 5º, §1º, da Constituição</w:t>
      </w:r>
      <w:r>
        <w:rPr>
          <w:vertAlign w:val="superscript"/>
        </w:rPr>
        <w:t>9</w:t>
      </w:r>
      <w:r>
        <w:t xml:space="preserve"> (PIOVESAN, 2013, p. 143). A despeito das décadas transcorridas desde essas declarações, a realidade social mostra-se persistentemente desafiadora, agravada pelo significativo crescimento populacional do último século.</w:t>
      </w:r>
    </w:p>
    <w:p w:rsidR="007259F2" w:rsidRDefault="00E655B4">
      <w:pPr>
        <w:pStyle w:val="Corpodetexto"/>
        <w:spacing w:before="1"/>
        <w:ind w:right="988"/>
      </w:pPr>
      <w:r>
        <w:t>A exigência para que o Estado intensifique seus esforços na concretização de direitos dessa envergadura é incontestável, e consta do art. 26 da Convenção Americana sobre Direitos Humanos de 1969 – ratificada pelo Brasil em 1992 –,</w:t>
      </w:r>
      <w:r>
        <w:rPr>
          <w:vertAlign w:val="superscript"/>
        </w:rPr>
        <w:t>10</w:t>
      </w:r>
      <w:r>
        <w:t>que impõe ao signatário o dever de promover o desenvolvimento progressivo de sua sociedade, incluindo a efetivação dos direitos sociais, dentre os quais se destaca o direito à</w:t>
      </w:r>
      <w:r>
        <w:rPr>
          <w:spacing w:val="40"/>
        </w:rPr>
        <w:t xml:space="preserve"> </w:t>
      </w:r>
      <w:r>
        <w:rPr>
          <w:spacing w:val="-2"/>
        </w:rPr>
        <w:t>moradia.</w:t>
      </w:r>
    </w:p>
    <w:p w:rsidR="007259F2" w:rsidRDefault="00E655B4">
      <w:pPr>
        <w:pStyle w:val="Corpodetexto"/>
        <w:ind w:right="987"/>
      </w:pPr>
      <w:r>
        <w:t>Nesse contexto, surge a regularização fundiária urbana, delineada pelo art. 10 da Lei nº 13.465/2017, que visa a organização de núcleos urbanos informais, melhorando condições urbanísticas e ambientais, e a criação de unidades imobiliárias com direitos reais</w:t>
      </w:r>
      <w:r>
        <w:rPr>
          <w:spacing w:val="-4"/>
        </w:rPr>
        <w:t xml:space="preserve"> </w:t>
      </w:r>
      <w:r>
        <w:t>para</w:t>
      </w:r>
      <w:r>
        <w:rPr>
          <w:spacing w:val="-7"/>
        </w:rPr>
        <w:t xml:space="preserve"> </w:t>
      </w:r>
      <w:r>
        <w:t>os</w:t>
      </w:r>
      <w:r>
        <w:rPr>
          <w:spacing w:val="-6"/>
        </w:rPr>
        <w:t xml:space="preserve"> </w:t>
      </w:r>
      <w:r>
        <w:t>ocupantes.</w:t>
      </w:r>
      <w:r>
        <w:rPr>
          <w:spacing w:val="-14"/>
        </w:rPr>
        <w:t xml:space="preserve"> </w:t>
      </w:r>
      <w:r>
        <w:t>Seus</w:t>
      </w:r>
      <w:r>
        <w:rPr>
          <w:spacing w:val="-14"/>
        </w:rPr>
        <w:t xml:space="preserve"> </w:t>
      </w:r>
      <w:r>
        <w:t>objetivos</w:t>
      </w:r>
      <w:r>
        <w:rPr>
          <w:spacing w:val="-14"/>
        </w:rPr>
        <w:t xml:space="preserve"> </w:t>
      </w:r>
      <w:r>
        <w:t>incluem</w:t>
      </w:r>
      <w:r>
        <w:rPr>
          <w:spacing w:val="-14"/>
        </w:rPr>
        <w:t xml:space="preserve"> </w:t>
      </w:r>
      <w:r>
        <w:t>ampliar</w:t>
      </w:r>
      <w:r>
        <w:rPr>
          <w:spacing w:val="-15"/>
        </w:rPr>
        <w:t xml:space="preserve"> </w:t>
      </w:r>
      <w:r>
        <w:t>o</w:t>
      </w:r>
      <w:r>
        <w:rPr>
          <w:spacing w:val="-14"/>
        </w:rPr>
        <w:t xml:space="preserve"> </w:t>
      </w:r>
      <w:r>
        <w:t>acesso</w:t>
      </w:r>
      <w:r>
        <w:rPr>
          <w:spacing w:val="-13"/>
        </w:rPr>
        <w:t xml:space="preserve"> </w:t>
      </w:r>
      <w:r>
        <w:t>à</w:t>
      </w:r>
      <w:r>
        <w:rPr>
          <w:spacing w:val="-15"/>
        </w:rPr>
        <w:t xml:space="preserve"> </w:t>
      </w:r>
      <w:r>
        <w:t>terra</w:t>
      </w:r>
      <w:r>
        <w:rPr>
          <w:spacing w:val="-15"/>
        </w:rPr>
        <w:t xml:space="preserve"> </w:t>
      </w:r>
      <w:r>
        <w:t>urbanizada</w:t>
      </w:r>
      <w:r>
        <w:rPr>
          <w:spacing w:val="-14"/>
        </w:rPr>
        <w:t xml:space="preserve"> </w:t>
      </w:r>
      <w:r>
        <w:t>para</w:t>
      </w:r>
      <w:r>
        <w:rPr>
          <w:spacing w:val="-15"/>
        </w:rPr>
        <w:t xml:space="preserve"> </w:t>
      </w:r>
      <w:r>
        <w:t>a população de baixa renda, promover a integração social e econômica, incentivar soluções</w:t>
      </w:r>
      <w:r>
        <w:rPr>
          <w:spacing w:val="-1"/>
        </w:rPr>
        <w:t xml:space="preserve"> </w:t>
      </w:r>
      <w:r>
        <w:t>extrajudiciais</w:t>
      </w:r>
      <w:r>
        <w:rPr>
          <w:spacing w:val="-1"/>
        </w:rPr>
        <w:t xml:space="preserve"> </w:t>
      </w:r>
      <w:r>
        <w:t>de</w:t>
      </w:r>
      <w:r>
        <w:rPr>
          <w:spacing w:val="-2"/>
        </w:rPr>
        <w:t xml:space="preserve"> </w:t>
      </w:r>
      <w:r>
        <w:t>conflitos,</w:t>
      </w:r>
      <w:r>
        <w:rPr>
          <w:spacing w:val="-1"/>
        </w:rPr>
        <w:t xml:space="preserve"> </w:t>
      </w:r>
      <w:r>
        <w:t>garantir</w:t>
      </w:r>
      <w:r>
        <w:rPr>
          <w:spacing w:val="-2"/>
        </w:rPr>
        <w:t xml:space="preserve"> </w:t>
      </w:r>
      <w:r>
        <w:t>moradia</w:t>
      </w:r>
      <w:r>
        <w:rPr>
          <w:spacing w:val="-2"/>
        </w:rPr>
        <w:t xml:space="preserve"> </w:t>
      </w:r>
      <w:r>
        <w:t>digna,</w:t>
      </w:r>
      <w:r>
        <w:rPr>
          <w:spacing w:val="-1"/>
        </w:rPr>
        <w:t xml:space="preserve"> </w:t>
      </w:r>
      <w:r>
        <w:t>assegurar</w:t>
      </w:r>
      <w:r>
        <w:rPr>
          <w:spacing w:val="-2"/>
        </w:rPr>
        <w:t xml:space="preserve"> </w:t>
      </w:r>
      <w:r>
        <w:t>a</w:t>
      </w:r>
      <w:r>
        <w:rPr>
          <w:spacing w:val="-2"/>
        </w:rPr>
        <w:t xml:space="preserve"> </w:t>
      </w:r>
      <w:r>
        <w:t>função</w:t>
      </w:r>
      <w:r>
        <w:rPr>
          <w:spacing w:val="-1"/>
        </w:rPr>
        <w:t xml:space="preserve"> </w:t>
      </w:r>
      <w:r>
        <w:t>social</w:t>
      </w:r>
      <w:r>
        <w:rPr>
          <w:spacing w:val="-1"/>
        </w:rPr>
        <w:t xml:space="preserve"> </w:t>
      </w:r>
      <w:r>
        <w:t>da propriedade, eficiência no uso do solo, e prevenir novos assentamentos informais. Esta iniciativa representa um exemplo paradigmático de como o direito se adapta à realidade fática que se propõe a regular: é sobre um Estado que abandonou um discurso abstencionista, programático e impeditivo para adotar um compromisso com a solução do seu problema habitacional (VIANA, 2000, p. 544-545).</w:t>
      </w:r>
    </w:p>
    <w:p w:rsidR="007259F2" w:rsidRDefault="00DE6B1C">
      <w:pPr>
        <w:pStyle w:val="Corpodetexto"/>
        <w:spacing w:before="210"/>
        <w:ind w:left="0" w:firstLine="0"/>
        <w:jc w:val="left"/>
        <w:rPr>
          <w:sz w:val="20"/>
        </w:rPr>
      </w:pPr>
      <w:r w:rsidRPr="00DE6B1C">
        <w:rPr>
          <w:sz w:val="20"/>
        </w:rPr>
        <w:pict>
          <v:rect id="docshape57" o:spid="_x0000_s1169" style="position:absolute;margin-left:85.1pt;margin-top:23.25pt;width:425.25pt;height:.7pt;z-index:-15707648;mso-wrap-distance-left:0;mso-wrap-distance-right:0;mso-position-horizontal-relative:page" fillcolor="black" stroked="f">
            <w10:wrap type="topAndBottom" anchorx="page"/>
          </v:rect>
        </w:pict>
      </w:r>
    </w:p>
    <w:p w:rsidR="007259F2" w:rsidRDefault="00E655B4">
      <w:pPr>
        <w:spacing w:before="96"/>
        <w:ind w:left="710" w:right="986"/>
        <w:jc w:val="both"/>
        <w:rPr>
          <w:sz w:val="20"/>
        </w:rPr>
      </w:pPr>
      <w:r>
        <w:rPr>
          <w:sz w:val="20"/>
        </w:rPr>
        <w:t>interditos possessórios e ações civis públicas. As narrativas apresentadas nesses contextos são consistentemente alinhadas ao relatar a propagação de informações sobre novos assentamentos em processo de</w:t>
      </w:r>
      <w:r>
        <w:rPr>
          <w:spacing w:val="-3"/>
          <w:sz w:val="20"/>
        </w:rPr>
        <w:t xml:space="preserve"> </w:t>
      </w:r>
      <w:r>
        <w:rPr>
          <w:sz w:val="20"/>
        </w:rPr>
        <w:t>ocupação em</w:t>
      </w:r>
      <w:r>
        <w:rPr>
          <w:spacing w:val="-4"/>
          <w:sz w:val="20"/>
        </w:rPr>
        <w:t xml:space="preserve"> </w:t>
      </w:r>
      <w:r>
        <w:rPr>
          <w:sz w:val="20"/>
        </w:rPr>
        <w:t>áreas</w:t>
      </w:r>
      <w:r>
        <w:rPr>
          <w:spacing w:val="-1"/>
          <w:sz w:val="20"/>
        </w:rPr>
        <w:t xml:space="preserve"> </w:t>
      </w:r>
      <w:r>
        <w:rPr>
          <w:sz w:val="20"/>
        </w:rPr>
        <w:t>específicas</w:t>
      </w:r>
      <w:r>
        <w:rPr>
          <w:spacing w:val="-1"/>
          <w:sz w:val="20"/>
        </w:rPr>
        <w:t xml:space="preserve"> </w:t>
      </w:r>
      <w:r>
        <w:rPr>
          <w:sz w:val="20"/>
        </w:rPr>
        <w:t>da</w:t>
      </w:r>
      <w:r>
        <w:rPr>
          <w:spacing w:val="-1"/>
          <w:sz w:val="20"/>
        </w:rPr>
        <w:t xml:space="preserve"> </w:t>
      </w:r>
      <w:r>
        <w:rPr>
          <w:sz w:val="20"/>
        </w:rPr>
        <w:t>cidade, atraindo potenciais</w:t>
      </w:r>
      <w:r>
        <w:rPr>
          <w:spacing w:val="-1"/>
          <w:sz w:val="20"/>
        </w:rPr>
        <w:t xml:space="preserve"> </w:t>
      </w:r>
      <w:r>
        <w:rPr>
          <w:sz w:val="20"/>
        </w:rPr>
        <w:t>interessados. Ademais,</w:t>
      </w:r>
      <w:r>
        <w:rPr>
          <w:spacing w:val="-1"/>
          <w:sz w:val="20"/>
        </w:rPr>
        <w:t xml:space="preserve"> </w:t>
      </w:r>
      <w:r>
        <w:rPr>
          <w:sz w:val="20"/>
        </w:rPr>
        <w:t>observa- se em certos casos a emergência de líderes, frequentemente entre os primeiros ocupantes, que instituem a cobrança de aluguéis daqueles que decidem residir no local. O Prof. Rui Geraldo (2000, p. 548) compartilha desses fatos.</w:t>
      </w:r>
    </w:p>
    <w:p w:rsidR="007259F2" w:rsidRDefault="00E655B4">
      <w:pPr>
        <w:spacing w:before="1"/>
        <w:ind w:left="710" w:right="988"/>
        <w:jc w:val="both"/>
        <w:rPr>
          <w:sz w:val="20"/>
        </w:rPr>
      </w:pPr>
      <w:r>
        <w:rPr>
          <w:sz w:val="20"/>
          <w:vertAlign w:val="superscript"/>
        </w:rPr>
        <w:t>8</w:t>
      </w:r>
      <w:r>
        <w:rPr>
          <w:sz w:val="20"/>
        </w:rPr>
        <w:t xml:space="preserve"> Os Estados Partes do presente Pacto reconhecem o direito de toda pessoa a um nível de vida adequado para</w:t>
      </w:r>
      <w:r>
        <w:rPr>
          <w:spacing w:val="-4"/>
          <w:sz w:val="20"/>
        </w:rPr>
        <w:t xml:space="preserve"> </w:t>
      </w:r>
      <w:r>
        <w:rPr>
          <w:sz w:val="20"/>
        </w:rPr>
        <w:t>si</w:t>
      </w:r>
      <w:r>
        <w:rPr>
          <w:spacing w:val="-3"/>
          <w:sz w:val="20"/>
        </w:rPr>
        <w:t xml:space="preserve"> </w:t>
      </w:r>
      <w:r>
        <w:rPr>
          <w:sz w:val="20"/>
        </w:rPr>
        <w:t>próprio</w:t>
      </w:r>
      <w:r>
        <w:rPr>
          <w:spacing w:val="-1"/>
          <w:sz w:val="20"/>
        </w:rPr>
        <w:t xml:space="preserve"> </w:t>
      </w:r>
      <w:r>
        <w:rPr>
          <w:sz w:val="20"/>
        </w:rPr>
        <w:t>e</w:t>
      </w:r>
      <w:r>
        <w:rPr>
          <w:spacing w:val="-2"/>
          <w:sz w:val="20"/>
        </w:rPr>
        <w:t xml:space="preserve"> </w:t>
      </w:r>
      <w:r>
        <w:rPr>
          <w:sz w:val="20"/>
        </w:rPr>
        <w:t>sua</w:t>
      </w:r>
      <w:r>
        <w:rPr>
          <w:spacing w:val="-1"/>
          <w:sz w:val="20"/>
        </w:rPr>
        <w:t xml:space="preserve"> </w:t>
      </w:r>
      <w:r>
        <w:rPr>
          <w:sz w:val="20"/>
        </w:rPr>
        <w:t>família,</w:t>
      </w:r>
      <w:r>
        <w:rPr>
          <w:spacing w:val="-2"/>
          <w:sz w:val="20"/>
        </w:rPr>
        <w:t xml:space="preserve"> </w:t>
      </w:r>
      <w:r>
        <w:rPr>
          <w:sz w:val="20"/>
        </w:rPr>
        <w:t>inclusive</w:t>
      </w:r>
      <w:r>
        <w:rPr>
          <w:spacing w:val="-2"/>
          <w:sz w:val="20"/>
        </w:rPr>
        <w:t xml:space="preserve"> </w:t>
      </w:r>
      <w:r>
        <w:rPr>
          <w:sz w:val="20"/>
        </w:rPr>
        <w:t>à</w:t>
      </w:r>
      <w:r>
        <w:rPr>
          <w:spacing w:val="-2"/>
          <w:sz w:val="20"/>
        </w:rPr>
        <w:t xml:space="preserve"> </w:t>
      </w:r>
      <w:r>
        <w:rPr>
          <w:sz w:val="20"/>
        </w:rPr>
        <w:t>alimentação,</w:t>
      </w:r>
      <w:r>
        <w:rPr>
          <w:spacing w:val="-1"/>
          <w:sz w:val="20"/>
        </w:rPr>
        <w:t xml:space="preserve"> </w:t>
      </w:r>
      <w:r>
        <w:rPr>
          <w:sz w:val="20"/>
        </w:rPr>
        <w:t>vestimenta</w:t>
      </w:r>
      <w:r>
        <w:rPr>
          <w:spacing w:val="-2"/>
          <w:sz w:val="20"/>
        </w:rPr>
        <w:t xml:space="preserve"> </w:t>
      </w:r>
      <w:r>
        <w:rPr>
          <w:sz w:val="20"/>
        </w:rPr>
        <w:t>e moradia</w:t>
      </w:r>
      <w:r>
        <w:rPr>
          <w:spacing w:val="-2"/>
          <w:sz w:val="20"/>
        </w:rPr>
        <w:t xml:space="preserve"> </w:t>
      </w:r>
      <w:r>
        <w:rPr>
          <w:sz w:val="20"/>
        </w:rPr>
        <w:t>adequadas,</w:t>
      </w:r>
      <w:r>
        <w:rPr>
          <w:spacing w:val="-2"/>
          <w:sz w:val="20"/>
        </w:rPr>
        <w:t xml:space="preserve"> </w:t>
      </w:r>
      <w:r>
        <w:rPr>
          <w:sz w:val="20"/>
        </w:rPr>
        <w:t>assim</w:t>
      </w:r>
      <w:r>
        <w:rPr>
          <w:spacing w:val="-4"/>
          <w:sz w:val="20"/>
        </w:rPr>
        <w:t xml:space="preserve"> </w:t>
      </w:r>
      <w:r>
        <w:rPr>
          <w:sz w:val="20"/>
        </w:rPr>
        <w:t>como a</w:t>
      </w:r>
      <w:r>
        <w:rPr>
          <w:spacing w:val="-2"/>
          <w:sz w:val="20"/>
        </w:rPr>
        <w:t xml:space="preserve"> </w:t>
      </w:r>
      <w:r>
        <w:rPr>
          <w:sz w:val="20"/>
        </w:rPr>
        <w:t>uma melhoria contínua de suas condições de vida. Os Estados Partes tomarão medidas apropriadas para assegurar a consecução desse direito, reconhecendo, nesse</w:t>
      </w:r>
      <w:r>
        <w:rPr>
          <w:spacing w:val="-1"/>
          <w:sz w:val="20"/>
        </w:rPr>
        <w:t xml:space="preserve"> </w:t>
      </w:r>
      <w:r>
        <w:rPr>
          <w:sz w:val="20"/>
        </w:rPr>
        <w:t>sentido,</w:t>
      </w:r>
      <w:r>
        <w:rPr>
          <w:spacing w:val="-1"/>
          <w:sz w:val="20"/>
        </w:rPr>
        <w:t xml:space="preserve"> </w:t>
      </w:r>
      <w:r>
        <w:rPr>
          <w:sz w:val="20"/>
        </w:rPr>
        <w:t>a</w:t>
      </w:r>
      <w:r>
        <w:rPr>
          <w:spacing w:val="-1"/>
          <w:sz w:val="20"/>
        </w:rPr>
        <w:t xml:space="preserve"> </w:t>
      </w:r>
      <w:r>
        <w:rPr>
          <w:sz w:val="20"/>
        </w:rPr>
        <w:t>importância</w:t>
      </w:r>
      <w:r>
        <w:rPr>
          <w:spacing w:val="-3"/>
          <w:sz w:val="20"/>
        </w:rPr>
        <w:t xml:space="preserve"> </w:t>
      </w:r>
      <w:r>
        <w:rPr>
          <w:sz w:val="20"/>
        </w:rPr>
        <w:t>essencial</w:t>
      </w:r>
      <w:r>
        <w:rPr>
          <w:spacing w:val="-1"/>
          <w:sz w:val="20"/>
        </w:rPr>
        <w:t xml:space="preserve"> </w:t>
      </w:r>
      <w:r>
        <w:rPr>
          <w:sz w:val="20"/>
        </w:rPr>
        <w:t>da</w:t>
      </w:r>
      <w:r>
        <w:rPr>
          <w:spacing w:val="-1"/>
          <w:sz w:val="20"/>
        </w:rPr>
        <w:t xml:space="preserve"> </w:t>
      </w:r>
      <w:r>
        <w:rPr>
          <w:sz w:val="20"/>
        </w:rPr>
        <w:t>cooperação internacional fundada no livre consentimento. (BRASIL, 1992a).</w:t>
      </w:r>
    </w:p>
    <w:p w:rsidR="007259F2" w:rsidRDefault="00E655B4">
      <w:pPr>
        <w:ind w:left="710" w:right="991"/>
        <w:jc w:val="both"/>
        <w:rPr>
          <w:sz w:val="20"/>
        </w:rPr>
      </w:pPr>
      <w:r>
        <w:rPr>
          <w:sz w:val="20"/>
          <w:vertAlign w:val="superscript"/>
        </w:rPr>
        <w:t>9</w:t>
      </w:r>
      <w:r>
        <w:rPr>
          <w:sz w:val="20"/>
        </w:rPr>
        <w:t xml:space="preserve"> Diz o art. 5º, §1º, CF, que “as normas definidoras dos direitos e garantias fundamentais têm aplicação </w:t>
      </w:r>
      <w:r>
        <w:rPr>
          <w:spacing w:val="-2"/>
          <w:sz w:val="20"/>
        </w:rPr>
        <w:t>imediata.</w:t>
      </w:r>
    </w:p>
    <w:p w:rsidR="007259F2" w:rsidRDefault="00E655B4">
      <w:pPr>
        <w:ind w:left="710" w:right="988"/>
        <w:jc w:val="both"/>
        <w:rPr>
          <w:sz w:val="20"/>
        </w:rPr>
      </w:pPr>
      <w:r>
        <w:rPr>
          <w:sz w:val="20"/>
          <w:vertAlign w:val="superscript"/>
        </w:rPr>
        <w:t>10</w:t>
      </w:r>
      <w:r>
        <w:rPr>
          <w:sz w:val="20"/>
        </w:rPr>
        <w:t xml:space="preserve"> O citado dispositivo encontra-se no “Capítulo III”, que trata dos “Direitos Econômicos, Sociais e Culturais”,</w:t>
      </w:r>
      <w:r>
        <w:rPr>
          <w:spacing w:val="-3"/>
          <w:sz w:val="20"/>
        </w:rPr>
        <w:t xml:space="preserve"> </w:t>
      </w:r>
      <w:r>
        <w:rPr>
          <w:i/>
          <w:sz w:val="20"/>
        </w:rPr>
        <w:t>in verbis</w:t>
      </w:r>
      <w:r>
        <w:rPr>
          <w:sz w:val="20"/>
        </w:rPr>
        <w:t>: “Os Estados-Partes comprometem-se a adotar providências, tanto no âmbito interno como mediante cooperação internacional, especialmente econômica e técnica, a fim de conseguir progressivamente a plena efetividade dos direitos que decorrem das normas econômicas, sociais e sobre educação, ciência e cultura, constantes da Carta da Organização dos Estados Americanos, reformada pelo Protocolo de Buenos Aires, na medida dos recursos disponíveis, por via legislativa ou por outros meios apropriados (BRASIL, 1992b).</w:t>
      </w:r>
    </w:p>
    <w:p w:rsidR="007259F2" w:rsidRDefault="007259F2">
      <w:pPr>
        <w:jc w:val="both"/>
        <w:rPr>
          <w:sz w:val="20"/>
        </w:rPr>
        <w:sectPr w:rsidR="007259F2">
          <w:pgSz w:w="11910" w:h="16840"/>
          <w:pgMar w:top="1320" w:right="708" w:bottom="1160" w:left="992" w:header="0" w:footer="962" w:gutter="0"/>
          <w:cols w:space="720"/>
        </w:sectPr>
      </w:pPr>
    </w:p>
    <w:p w:rsidR="007259F2" w:rsidRDefault="00E655B4">
      <w:pPr>
        <w:pStyle w:val="Corpodetexto"/>
        <w:spacing w:before="69"/>
        <w:ind w:right="987"/>
      </w:pPr>
      <w:r>
        <w:lastRenderedPageBreak/>
        <w:t>Isso implica, necessariamente, a implementação de uma política eficaz de desenvolvimento urbano e habitação. O direito à moradia, entrelaçado ao direito à cidade e ao desenvolvimento sustentável,</w:t>
      </w:r>
      <w:r>
        <w:rPr>
          <w:vertAlign w:val="superscript"/>
        </w:rPr>
        <w:t>11</w:t>
      </w:r>
      <w:r>
        <w:t xml:space="preserve"> é parte integrante da política urbana oficial do</w:t>
      </w:r>
      <w:r>
        <w:rPr>
          <w:spacing w:val="-3"/>
        </w:rPr>
        <w:t xml:space="preserve"> </w:t>
      </w:r>
      <w:r>
        <w:t>Estado</w:t>
      </w:r>
      <w:r>
        <w:rPr>
          <w:spacing w:val="-3"/>
        </w:rPr>
        <w:t xml:space="preserve"> </w:t>
      </w:r>
      <w:r>
        <w:t>brasileiro.</w:t>
      </w:r>
      <w:r>
        <w:rPr>
          <w:spacing w:val="-2"/>
        </w:rPr>
        <w:t xml:space="preserve"> </w:t>
      </w:r>
      <w:r>
        <w:t>Este</w:t>
      </w:r>
      <w:r>
        <w:rPr>
          <w:spacing w:val="-2"/>
        </w:rPr>
        <w:t xml:space="preserve"> </w:t>
      </w:r>
      <w:r>
        <w:t>enfoque</w:t>
      </w:r>
      <w:r>
        <w:rPr>
          <w:spacing w:val="-12"/>
        </w:rPr>
        <w:t xml:space="preserve"> </w:t>
      </w:r>
      <w:r>
        <w:t>é</w:t>
      </w:r>
      <w:r>
        <w:rPr>
          <w:spacing w:val="-14"/>
        </w:rPr>
        <w:t xml:space="preserve"> </w:t>
      </w:r>
      <w:r>
        <w:t>respaldado</w:t>
      </w:r>
      <w:r>
        <w:rPr>
          <w:spacing w:val="-13"/>
        </w:rPr>
        <w:t xml:space="preserve"> </w:t>
      </w:r>
      <w:r>
        <w:t>pelos</w:t>
      </w:r>
      <w:r>
        <w:rPr>
          <w:spacing w:val="-15"/>
        </w:rPr>
        <w:t xml:space="preserve"> </w:t>
      </w:r>
      <w:r>
        <w:t>arts.</w:t>
      </w:r>
      <w:r>
        <w:rPr>
          <w:spacing w:val="-15"/>
        </w:rPr>
        <w:t xml:space="preserve"> </w:t>
      </w:r>
      <w:r>
        <w:t>182</w:t>
      </w:r>
      <w:r>
        <w:rPr>
          <w:spacing w:val="-15"/>
        </w:rPr>
        <w:t xml:space="preserve"> </w:t>
      </w:r>
      <w:r>
        <w:t>e</w:t>
      </w:r>
      <w:r>
        <w:rPr>
          <w:spacing w:val="-15"/>
        </w:rPr>
        <w:t xml:space="preserve"> </w:t>
      </w:r>
      <w:r>
        <w:t>183</w:t>
      </w:r>
      <w:r>
        <w:rPr>
          <w:spacing w:val="-13"/>
        </w:rPr>
        <w:t xml:space="preserve"> </w:t>
      </w:r>
      <w:r>
        <w:t>da</w:t>
      </w:r>
      <w:r>
        <w:rPr>
          <w:spacing w:val="-15"/>
        </w:rPr>
        <w:t xml:space="preserve"> </w:t>
      </w:r>
      <w:r>
        <w:t>Constituição,</w:t>
      </w:r>
      <w:r>
        <w:rPr>
          <w:spacing w:val="-15"/>
        </w:rPr>
        <w:t xml:space="preserve"> </w:t>
      </w:r>
      <w:r>
        <w:t>que abordam o direito à legitimação da posse urbana, como parte da solução habitacional, tanto em propriedades privadas quanto em áreas públicas – sendo este último o foco principal desta análise. Este é o tema central a ser explorado aqui. E como a concessão de uso especial pode ajudar?</w:t>
      </w:r>
    </w:p>
    <w:p w:rsidR="007259F2" w:rsidRDefault="00E655B4">
      <w:pPr>
        <w:pStyle w:val="Corpodetexto"/>
        <w:spacing w:before="1"/>
        <w:ind w:right="988"/>
      </w:pPr>
      <w:r>
        <w:t>A ideia de se debruçar sobre esse trabalho emergiu de uma análise criteriosa sobre as ferramentas jurídicas e políticas disponíveis ao Estado, já contempladas na legislação, para enfrentar o desafio estrutural do acesso à moradia – que, pela sua magnitude, exige um esforço político considerável. Dentro deste contexto, destaca-se a concessão de uso especial para fins de moradia como um mecanismo vital para a regularização fundiária urbana: de que maneira esse instrumento pode ser eficaz? E como seu emprego pode ser otimizado? O propósito deste ensaio é duplo: refletir e constranger (STRECK, 2020) - incitando, disseminando conhecimento e sensibilizando os envolvidos na política urbana, seja em execução, seja em direção.</w:t>
      </w:r>
    </w:p>
    <w:p w:rsidR="007259F2" w:rsidRDefault="00E655B4">
      <w:pPr>
        <w:pStyle w:val="Corpodetexto"/>
        <w:spacing w:before="1"/>
        <w:ind w:right="989"/>
      </w:pPr>
      <w:r>
        <w:t>Portanto, não há aqui uma pretensão de esgotamento do tema – que em poucas páginas não caberiam, diante da multiplicidade de questões práticas e subjetivas que o direito à moradia e a política afeta podem levantar. Houve, sim, um estudo dedicado e dirigido à utilização da concessão de uso especial para fins de moradia de forma otimizada</w:t>
      </w:r>
      <w:r>
        <w:rPr>
          <w:spacing w:val="-4"/>
        </w:rPr>
        <w:t xml:space="preserve"> </w:t>
      </w:r>
      <w:r>
        <w:t>e</w:t>
      </w:r>
      <w:r>
        <w:rPr>
          <w:spacing w:val="-4"/>
        </w:rPr>
        <w:t xml:space="preserve"> </w:t>
      </w:r>
      <w:r>
        <w:t>com</w:t>
      </w:r>
      <w:r>
        <w:rPr>
          <w:spacing w:val="-2"/>
        </w:rPr>
        <w:t xml:space="preserve"> </w:t>
      </w:r>
      <w:r>
        <w:t>vistas</w:t>
      </w:r>
      <w:r>
        <w:rPr>
          <w:spacing w:val="-3"/>
        </w:rPr>
        <w:t xml:space="preserve"> </w:t>
      </w:r>
      <w:r>
        <w:t>à</w:t>
      </w:r>
      <w:r>
        <w:rPr>
          <w:spacing w:val="-4"/>
        </w:rPr>
        <w:t xml:space="preserve"> </w:t>
      </w:r>
      <w:r>
        <w:t>concretização dos preceitos constitucionais e convencionais. E para isso, recorreu-se à legislação correlata, à doutrina sapiente, aos dados e estatísticas públicas e ao letrado entendimento jurisprudencial para uma pesquisa documental indireta, bibliográfica e documental, descritiva quanto ao objetivo, de finalidade básica aplicada, qualitativa quanto à abordagem e de método dialético.</w:t>
      </w:r>
    </w:p>
    <w:p w:rsidR="007259F2" w:rsidRDefault="00E655B4">
      <w:pPr>
        <w:pStyle w:val="Heading2"/>
        <w:numPr>
          <w:ilvl w:val="0"/>
          <w:numId w:val="38"/>
        </w:numPr>
        <w:tabs>
          <w:tab w:val="left" w:pos="899"/>
        </w:tabs>
        <w:spacing w:before="209" w:line="237" w:lineRule="auto"/>
        <w:ind w:right="987"/>
        <w:jc w:val="both"/>
      </w:pPr>
      <w:r>
        <w:t xml:space="preserve">Sobre a MP n. 2.220/2001: o que é </w:t>
      </w:r>
      <w:r>
        <w:rPr>
          <w:i/>
        </w:rPr>
        <w:t xml:space="preserve">essa </w:t>
      </w:r>
      <w:r>
        <w:t xml:space="preserve">concessão de uso especial para fins de </w:t>
      </w:r>
      <w:r>
        <w:rPr>
          <w:spacing w:val="-2"/>
        </w:rPr>
        <w:t>moradia</w:t>
      </w:r>
    </w:p>
    <w:p w:rsidR="007259F2" w:rsidRDefault="00E655B4">
      <w:pPr>
        <w:pStyle w:val="Corpodetexto"/>
        <w:spacing w:before="116"/>
        <w:ind w:right="992"/>
      </w:pPr>
      <w:r>
        <w:t>Como resposta aos mandamentos constitucionais e convencionais para mitigar esse problema estrutural, a União Federal, por intermédio do Presidente da República e com a ratificação do Congresso Nacional, promulgou a Medida Provisória (MP) nº 2.220/2001. Esta “dispõe sobre a concessão de uso especial para fins de moradia [CUEM] conforme o §1º do art. 183 da Constituição [...] e dá outras medidas”.</w:t>
      </w:r>
    </w:p>
    <w:p w:rsidR="007259F2" w:rsidRDefault="00E655B4">
      <w:pPr>
        <w:pStyle w:val="Corpodetexto"/>
        <w:ind w:right="987"/>
      </w:pPr>
      <w:r>
        <w:t>Se o título de domínio previsto no art. 183, §1º, da Constituição Federal</w:t>
      </w:r>
      <w:r>
        <w:rPr>
          <w:vertAlign w:val="superscript"/>
        </w:rPr>
        <w:t>12</w:t>
      </w:r>
      <w:r>
        <w:t xml:space="preserve"> está regulado pela Lei nº 10.257/2001 (Estatuto da Cidade [EC], arts. 9º e 10), a concessão</w:t>
      </w:r>
      <w:r>
        <w:rPr>
          <w:spacing w:val="40"/>
        </w:rPr>
        <w:t xml:space="preserve"> </w:t>
      </w:r>
      <w:r>
        <w:t>de uso, prevista na mesma regra constitucional, foi perfectibilizada pelo advento da MP nº 2.220/2001. Se a ocupação ocorrer em área privada, estar-se-á pleiteando uma usucapião</w:t>
      </w:r>
      <w:r>
        <w:rPr>
          <w:vertAlign w:val="superscript"/>
        </w:rPr>
        <w:t>13</w:t>
      </w:r>
      <w:r>
        <w:t xml:space="preserve"> especial urbana; se em área pública, uma concessão de uso. Logo, foram reguladas</w:t>
      </w:r>
      <w:r>
        <w:rPr>
          <w:spacing w:val="13"/>
        </w:rPr>
        <w:t xml:space="preserve"> </w:t>
      </w:r>
      <w:r>
        <w:t>de</w:t>
      </w:r>
      <w:r>
        <w:rPr>
          <w:spacing w:val="14"/>
        </w:rPr>
        <w:t xml:space="preserve"> </w:t>
      </w:r>
      <w:r>
        <w:t>maneira</w:t>
      </w:r>
      <w:r>
        <w:rPr>
          <w:spacing w:val="14"/>
        </w:rPr>
        <w:t xml:space="preserve"> </w:t>
      </w:r>
      <w:r>
        <w:t>integrada</w:t>
      </w:r>
      <w:r>
        <w:rPr>
          <w:spacing w:val="16"/>
        </w:rPr>
        <w:t xml:space="preserve"> </w:t>
      </w:r>
      <w:r>
        <w:t>pelo</w:t>
      </w:r>
      <w:r>
        <w:rPr>
          <w:spacing w:val="16"/>
        </w:rPr>
        <w:t xml:space="preserve"> </w:t>
      </w:r>
      <w:r>
        <w:t>Estatuto</w:t>
      </w:r>
      <w:r>
        <w:rPr>
          <w:spacing w:val="29"/>
        </w:rPr>
        <w:t xml:space="preserve"> </w:t>
      </w:r>
      <w:r>
        <w:t>da</w:t>
      </w:r>
      <w:r>
        <w:rPr>
          <w:spacing w:val="24"/>
        </w:rPr>
        <w:t xml:space="preserve"> </w:t>
      </w:r>
      <w:r>
        <w:t>Cidade,</w:t>
      </w:r>
      <w:r>
        <w:rPr>
          <w:spacing w:val="28"/>
        </w:rPr>
        <w:t xml:space="preserve"> </w:t>
      </w:r>
      <w:r>
        <w:t>apesar</w:t>
      </w:r>
      <w:r>
        <w:rPr>
          <w:spacing w:val="27"/>
        </w:rPr>
        <w:t xml:space="preserve"> </w:t>
      </w:r>
      <w:r>
        <w:t>do</w:t>
      </w:r>
      <w:r>
        <w:rPr>
          <w:spacing w:val="25"/>
        </w:rPr>
        <w:t xml:space="preserve"> </w:t>
      </w:r>
      <w:r>
        <w:t>veto</w:t>
      </w:r>
      <w:r>
        <w:rPr>
          <w:spacing w:val="26"/>
        </w:rPr>
        <w:t xml:space="preserve"> </w:t>
      </w:r>
      <w:r>
        <w:t>presidencial</w:t>
      </w:r>
      <w:r>
        <w:rPr>
          <w:spacing w:val="28"/>
        </w:rPr>
        <w:t xml:space="preserve"> </w:t>
      </w:r>
      <w:r>
        <w:rPr>
          <w:spacing w:val="-10"/>
        </w:rPr>
        <w:t>à</w:t>
      </w:r>
    </w:p>
    <w:p w:rsidR="007259F2" w:rsidRDefault="007259F2">
      <w:pPr>
        <w:pStyle w:val="Corpodetexto"/>
        <w:ind w:left="0" w:firstLine="0"/>
        <w:jc w:val="left"/>
        <w:rPr>
          <w:sz w:val="20"/>
        </w:rPr>
      </w:pPr>
    </w:p>
    <w:p w:rsidR="007259F2" w:rsidRDefault="00DE6B1C">
      <w:pPr>
        <w:pStyle w:val="Corpodetexto"/>
        <w:spacing w:before="29"/>
        <w:ind w:left="0" w:firstLine="0"/>
        <w:jc w:val="left"/>
        <w:rPr>
          <w:sz w:val="20"/>
        </w:rPr>
      </w:pPr>
      <w:r w:rsidRPr="00DE6B1C">
        <w:rPr>
          <w:sz w:val="20"/>
        </w:rPr>
        <w:pict>
          <v:rect id="docshape58" o:spid="_x0000_s1168" style="position:absolute;margin-left:85.1pt;margin-top:14.15pt;width:2in;height:.7pt;z-index:-15707136;mso-wrap-distance-left:0;mso-wrap-distance-right:0;mso-position-horizontal-relative:page" fillcolor="black" stroked="f">
            <w10:wrap type="topAndBottom" anchorx="page"/>
          </v:rect>
        </w:pict>
      </w:r>
    </w:p>
    <w:p w:rsidR="007259F2" w:rsidRDefault="00E655B4">
      <w:pPr>
        <w:spacing w:before="96"/>
        <w:ind w:left="710" w:right="988"/>
        <w:jc w:val="both"/>
        <w:rPr>
          <w:sz w:val="20"/>
        </w:rPr>
      </w:pPr>
      <w:r>
        <w:rPr>
          <w:sz w:val="20"/>
          <w:vertAlign w:val="superscript"/>
        </w:rPr>
        <w:t>11</w:t>
      </w:r>
      <w:r>
        <w:rPr>
          <w:sz w:val="20"/>
        </w:rPr>
        <w:t xml:space="preserve"> Segundo o art. 2º, I, do Estatuto da Cidade: “A política urbana tem por objetivo ordenar o pleno desenvolvimento das funções sociais da cidade e da propriedade urbana, mediante as seguintes diretrizes gerais:</w:t>
      </w:r>
      <w:r>
        <w:rPr>
          <w:spacing w:val="-11"/>
          <w:sz w:val="20"/>
        </w:rPr>
        <w:t xml:space="preserve"> </w:t>
      </w:r>
      <w:r>
        <w:rPr>
          <w:sz w:val="20"/>
        </w:rPr>
        <w:t>(</w:t>
      </w:r>
      <w:r>
        <w:rPr>
          <w:i/>
          <w:sz w:val="20"/>
        </w:rPr>
        <w:t>i</w:t>
      </w:r>
      <w:r>
        <w:rPr>
          <w:sz w:val="20"/>
        </w:rPr>
        <w:t>)</w:t>
      </w:r>
      <w:r>
        <w:rPr>
          <w:spacing w:val="-9"/>
          <w:sz w:val="20"/>
        </w:rPr>
        <w:t xml:space="preserve"> </w:t>
      </w:r>
      <w:r>
        <w:rPr>
          <w:sz w:val="20"/>
        </w:rPr>
        <w:t>garantia do</w:t>
      </w:r>
      <w:r>
        <w:rPr>
          <w:spacing w:val="-4"/>
          <w:sz w:val="20"/>
        </w:rPr>
        <w:t xml:space="preserve"> </w:t>
      </w:r>
      <w:r>
        <w:rPr>
          <w:sz w:val="20"/>
        </w:rPr>
        <w:t>direito</w:t>
      </w:r>
      <w:r>
        <w:rPr>
          <w:spacing w:val="-1"/>
          <w:sz w:val="20"/>
        </w:rPr>
        <w:t xml:space="preserve"> </w:t>
      </w:r>
      <w:r>
        <w:rPr>
          <w:sz w:val="20"/>
        </w:rPr>
        <w:t>a</w:t>
      </w:r>
      <w:r>
        <w:rPr>
          <w:spacing w:val="-5"/>
          <w:sz w:val="20"/>
        </w:rPr>
        <w:t xml:space="preserve"> </w:t>
      </w:r>
      <w:r>
        <w:rPr>
          <w:sz w:val="20"/>
        </w:rPr>
        <w:t>cidades</w:t>
      </w:r>
      <w:r>
        <w:rPr>
          <w:spacing w:val="-5"/>
          <w:sz w:val="20"/>
        </w:rPr>
        <w:t xml:space="preserve"> </w:t>
      </w:r>
      <w:r>
        <w:rPr>
          <w:sz w:val="20"/>
        </w:rPr>
        <w:t>sustentáveis,</w:t>
      </w:r>
      <w:r>
        <w:rPr>
          <w:spacing w:val="-3"/>
          <w:sz w:val="20"/>
        </w:rPr>
        <w:t xml:space="preserve"> </w:t>
      </w:r>
      <w:r>
        <w:rPr>
          <w:sz w:val="20"/>
        </w:rPr>
        <w:t>entendido</w:t>
      </w:r>
      <w:r>
        <w:rPr>
          <w:spacing w:val="-3"/>
          <w:sz w:val="20"/>
        </w:rPr>
        <w:t xml:space="preserve"> </w:t>
      </w:r>
      <w:r>
        <w:rPr>
          <w:sz w:val="20"/>
        </w:rPr>
        <w:t>como</w:t>
      </w:r>
      <w:r>
        <w:rPr>
          <w:spacing w:val="-4"/>
          <w:sz w:val="20"/>
        </w:rPr>
        <w:t xml:space="preserve"> </w:t>
      </w:r>
      <w:r>
        <w:rPr>
          <w:sz w:val="20"/>
        </w:rPr>
        <w:t>o</w:t>
      </w:r>
      <w:r>
        <w:rPr>
          <w:spacing w:val="-4"/>
          <w:sz w:val="20"/>
        </w:rPr>
        <w:t xml:space="preserve"> </w:t>
      </w:r>
      <w:r>
        <w:rPr>
          <w:sz w:val="20"/>
        </w:rPr>
        <w:t>direito</w:t>
      </w:r>
      <w:r>
        <w:rPr>
          <w:spacing w:val="-1"/>
          <w:sz w:val="20"/>
        </w:rPr>
        <w:t xml:space="preserve"> </w:t>
      </w:r>
      <w:r>
        <w:rPr>
          <w:sz w:val="20"/>
        </w:rPr>
        <w:t>à</w:t>
      </w:r>
      <w:r>
        <w:rPr>
          <w:spacing w:val="-8"/>
          <w:sz w:val="20"/>
        </w:rPr>
        <w:t xml:space="preserve"> </w:t>
      </w:r>
      <w:r>
        <w:rPr>
          <w:sz w:val="20"/>
        </w:rPr>
        <w:t>terra</w:t>
      </w:r>
      <w:r>
        <w:rPr>
          <w:spacing w:val="-2"/>
          <w:sz w:val="20"/>
        </w:rPr>
        <w:t xml:space="preserve"> </w:t>
      </w:r>
      <w:r>
        <w:rPr>
          <w:sz w:val="20"/>
        </w:rPr>
        <w:t>urbana,</w:t>
      </w:r>
      <w:r>
        <w:rPr>
          <w:spacing w:val="-3"/>
          <w:sz w:val="20"/>
        </w:rPr>
        <w:t xml:space="preserve"> </w:t>
      </w:r>
      <w:r>
        <w:rPr>
          <w:sz w:val="20"/>
        </w:rPr>
        <w:t>à</w:t>
      </w:r>
      <w:r>
        <w:rPr>
          <w:spacing w:val="-3"/>
          <w:sz w:val="20"/>
        </w:rPr>
        <w:t xml:space="preserve"> </w:t>
      </w:r>
      <w:r>
        <w:rPr>
          <w:sz w:val="20"/>
        </w:rPr>
        <w:t>moradia,</w:t>
      </w:r>
      <w:r>
        <w:rPr>
          <w:spacing w:val="-2"/>
          <w:sz w:val="20"/>
        </w:rPr>
        <w:t xml:space="preserve"> </w:t>
      </w:r>
      <w:r>
        <w:rPr>
          <w:sz w:val="20"/>
        </w:rPr>
        <w:t>ao saneamento ambiental, à infra-estrutura urbana, ao transporte e aos serviços públicos, ao trabalho e ao lazer, para as presentes e futuras gerações” (BRASIL, 2001a).</w:t>
      </w:r>
    </w:p>
    <w:p w:rsidR="007259F2" w:rsidRDefault="00E655B4">
      <w:pPr>
        <w:ind w:left="710" w:right="989"/>
        <w:jc w:val="both"/>
        <w:rPr>
          <w:sz w:val="20"/>
        </w:rPr>
      </w:pPr>
      <w:r>
        <w:rPr>
          <w:sz w:val="20"/>
          <w:vertAlign w:val="superscript"/>
        </w:rPr>
        <w:t>12</w:t>
      </w:r>
      <w:r>
        <w:rPr>
          <w:sz w:val="20"/>
        </w:rPr>
        <w:t xml:space="preserve"> Art.</w:t>
      </w:r>
      <w:r>
        <w:rPr>
          <w:spacing w:val="-5"/>
          <w:sz w:val="20"/>
        </w:rPr>
        <w:t xml:space="preserve"> </w:t>
      </w:r>
      <w:r>
        <w:rPr>
          <w:sz w:val="20"/>
        </w:rPr>
        <w:t>183.</w:t>
      </w:r>
      <w:r>
        <w:rPr>
          <w:spacing w:val="-6"/>
          <w:sz w:val="20"/>
        </w:rPr>
        <w:t xml:space="preserve"> </w:t>
      </w:r>
      <w:r>
        <w:rPr>
          <w:sz w:val="20"/>
        </w:rPr>
        <w:t>[...]</w:t>
      </w:r>
      <w:r>
        <w:rPr>
          <w:spacing w:val="-6"/>
          <w:sz w:val="20"/>
        </w:rPr>
        <w:t xml:space="preserve"> </w:t>
      </w:r>
      <w:r>
        <w:rPr>
          <w:sz w:val="20"/>
        </w:rPr>
        <w:t>§1º</w:t>
      </w:r>
      <w:r>
        <w:rPr>
          <w:spacing w:val="-2"/>
          <w:sz w:val="20"/>
        </w:rPr>
        <w:t xml:space="preserve"> </w:t>
      </w:r>
      <w:r>
        <w:rPr>
          <w:sz w:val="20"/>
        </w:rPr>
        <w:t>O</w:t>
      </w:r>
      <w:r>
        <w:rPr>
          <w:spacing w:val="-7"/>
          <w:sz w:val="20"/>
        </w:rPr>
        <w:t xml:space="preserve"> </w:t>
      </w:r>
      <w:r>
        <w:rPr>
          <w:sz w:val="20"/>
        </w:rPr>
        <w:t>título</w:t>
      </w:r>
      <w:r>
        <w:rPr>
          <w:spacing w:val="-6"/>
          <w:sz w:val="20"/>
        </w:rPr>
        <w:t xml:space="preserve"> </w:t>
      </w:r>
      <w:r>
        <w:rPr>
          <w:sz w:val="20"/>
        </w:rPr>
        <w:t>de</w:t>
      </w:r>
      <w:r>
        <w:rPr>
          <w:spacing w:val="-7"/>
          <w:sz w:val="20"/>
        </w:rPr>
        <w:t xml:space="preserve"> </w:t>
      </w:r>
      <w:r>
        <w:rPr>
          <w:sz w:val="20"/>
        </w:rPr>
        <w:t>domínio</w:t>
      </w:r>
      <w:r>
        <w:rPr>
          <w:spacing w:val="-4"/>
          <w:sz w:val="20"/>
        </w:rPr>
        <w:t xml:space="preserve"> </w:t>
      </w:r>
      <w:r>
        <w:rPr>
          <w:sz w:val="20"/>
        </w:rPr>
        <w:t>e</w:t>
      </w:r>
      <w:r>
        <w:rPr>
          <w:spacing w:val="-5"/>
          <w:sz w:val="20"/>
        </w:rPr>
        <w:t xml:space="preserve"> </w:t>
      </w:r>
      <w:r>
        <w:rPr>
          <w:sz w:val="20"/>
        </w:rPr>
        <w:t>a</w:t>
      </w:r>
      <w:r>
        <w:rPr>
          <w:spacing w:val="-7"/>
          <w:sz w:val="20"/>
        </w:rPr>
        <w:t xml:space="preserve"> </w:t>
      </w:r>
      <w:r>
        <w:rPr>
          <w:sz w:val="20"/>
        </w:rPr>
        <w:t>concessão</w:t>
      </w:r>
      <w:r>
        <w:rPr>
          <w:spacing w:val="-6"/>
          <w:sz w:val="20"/>
        </w:rPr>
        <w:t xml:space="preserve"> </w:t>
      </w:r>
      <w:r>
        <w:rPr>
          <w:sz w:val="20"/>
        </w:rPr>
        <w:t>de</w:t>
      </w:r>
      <w:r>
        <w:rPr>
          <w:spacing w:val="-5"/>
          <w:sz w:val="20"/>
        </w:rPr>
        <w:t xml:space="preserve"> </w:t>
      </w:r>
      <w:r>
        <w:rPr>
          <w:sz w:val="20"/>
        </w:rPr>
        <w:t>uso</w:t>
      </w:r>
      <w:r>
        <w:rPr>
          <w:spacing w:val="-4"/>
          <w:sz w:val="20"/>
        </w:rPr>
        <w:t xml:space="preserve"> </w:t>
      </w:r>
      <w:r>
        <w:rPr>
          <w:sz w:val="20"/>
        </w:rPr>
        <w:t>serão</w:t>
      </w:r>
      <w:r>
        <w:rPr>
          <w:spacing w:val="-4"/>
          <w:sz w:val="20"/>
        </w:rPr>
        <w:t xml:space="preserve"> </w:t>
      </w:r>
      <w:r>
        <w:rPr>
          <w:sz w:val="20"/>
        </w:rPr>
        <w:t>conferidos</w:t>
      </w:r>
      <w:r>
        <w:rPr>
          <w:spacing w:val="-7"/>
          <w:sz w:val="20"/>
        </w:rPr>
        <w:t xml:space="preserve"> </w:t>
      </w:r>
      <w:r>
        <w:rPr>
          <w:sz w:val="20"/>
        </w:rPr>
        <w:t>ao</w:t>
      </w:r>
      <w:r>
        <w:rPr>
          <w:spacing w:val="-4"/>
          <w:sz w:val="20"/>
        </w:rPr>
        <w:t xml:space="preserve"> </w:t>
      </w:r>
      <w:r>
        <w:rPr>
          <w:sz w:val="20"/>
        </w:rPr>
        <w:t>homem</w:t>
      </w:r>
      <w:r>
        <w:rPr>
          <w:spacing w:val="-8"/>
          <w:sz w:val="20"/>
        </w:rPr>
        <w:t xml:space="preserve"> </w:t>
      </w:r>
      <w:r>
        <w:rPr>
          <w:sz w:val="20"/>
        </w:rPr>
        <w:t>ou</w:t>
      </w:r>
      <w:r>
        <w:rPr>
          <w:spacing w:val="-1"/>
          <w:sz w:val="20"/>
        </w:rPr>
        <w:t xml:space="preserve"> </w:t>
      </w:r>
      <w:r>
        <w:rPr>
          <w:sz w:val="20"/>
        </w:rPr>
        <w:t>à</w:t>
      </w:r>
      <w:r>
        <w:rPr>
          <w:spacing w:val="-7"/>
          <w:sz w:val="20"/>
        </w:rPr>
        <w:t xml:space="preserve"> </w:t>
      </w:r>
      <w:r>
        <w:rPr>
          <w:sz w:val="20"/>
        </w:rPr>
        <w:t>mulher,</w:t>
      </w:r>
      <w:r>
        <w:rPr>
          <w:spacing w:val="-6"/>
          <w:sz w:val="20"/>
        </w:rPr>
        <w:t xml:space="preserve"> </w:t>
      </w:r>
      <w:r>
        <w:rPr>
          <w:sz w:val="20"/>
        </w:rPr>
        <w:t>ou</w:t>
      </w:r>
      <w:r>
        <w:rPr>
          <w:spacing w:val="-6"/>
          <w:sz w:val="20"/>
        </w:rPr>
        <w:t xml:space="preserve"> </w:t>
      </w:r>
      <w:r>
        <w:rPr>
          <w:sz w:val="20"/>
        </w:rPr>
        <w:t>a ambos, independentemente do estado civil. §2º Esse direito não será reconhecido ao mesmo possuidor mais de uma vez. §3º Os imóveis públicos não serão adquiridos por usucapião.</w:t>
      </w:r>
    </w:p>
    <w:p w:rsidR="007259F2" w:rsidRDefault="00E655B4">
      <w:pPr>
        <w:spacing w:before="2"/>
        <w:ind w:left="710" w:right="988"/>
        <w:jc w:val="both"/>
        <w:rPr>
          <w:sz w:val="20"/>
        </w:rPr>
      </w:pPr>
      <w:r>
        <w:rPr>
          <w:sz w:val="20"/>
          <w:vertAlign w:val="superscript"/>
        </w:rPr>
        <w:t>13</w:t>
      </w:r>
      <w:r>
        <w:rPr>
          <w:sz w:val="20"/>
        </w:rPr>
        <w:t xml:space="preserve"> A usucapião, instituto de origem romana, provém do latim </w:t>
      </w:r>
      <w:r>
        <w:rPr>
          <w:i/>
          <w:sz w:val="20"/>
        </w:rPr>
        <w:t>usucapio</w:t>
      </w:r>
      <w:r>
        <w:rPr>
          <w:sz w:val="20"/>
        </w:rPr>
        <w:t xml:space="preserve">, que se traduz como </w:t>
      </w:r>
      <w:r>
        <w:rPr>
          <w:i/>
          <w:sz w:val="20"/>
        </w:rPr>
        <w:t xml:space="preserve">adquirir pelo </w:t>
      </w:r>
      <w:r>
        <w:rPr>
          <w:i/>
          <w:spacing w:val="-4"/>
          <w:sz w:val="20"/>
        </w:rPr>
        <w:t>uso</w:t>
      </w:r>
      <w:r>
        <w:rPr>
          <w:spacing w:val="-4"/>
          <w:sz w:val="20"/>
        </w:rPr>
        <w:t>.</w:t>
      </w:r>
    </w:p>
    <w:p w:rsidR="007259F2" w:rsidRDefault="007259F2">
      <w:pPr>
        <w:jc w:val="both"/>
        <w:rPr>
          <w:sz w:val="20"/>
        </w:rPr>
        <w:sectPr w:rsidR="007259F2">
          <w:pgSz w:w="11910" w:h="16840"/>
          <w:pgMar w:top="1320" w:right="708" w:bottom="1160" w:left="992" w:header="0" w:footer="962" w:gutter="0"/>
          <w:cols w:space="720"/>
        </w:sectPr>
      </w:pPr>
    </w:p>
    <w:p w:rsidR="007259F2" w:rsidRDefault="00E655B4">
      <w:pPr>
        <w:pStyle w:val="Corpodetexto"/>
        <w:spacing w:before="109"/>
        <w:ind w:right="990" w:firstLine="0"/>
      </w:pPr>
      <w:r>
        <w:lastRenderedPageBreak/>
        <w:t>Seção VI</w:t>
      </w:r>
      <w:r>
        <w:rPr>
          <w:vertAlign w:val="superscript"/>
        </w:rPr>
        <w:t>14</w:t>
      </w:r>
      <w:r>
        <w:t>, destinada a tratar especificamente</w:t>
      </w:r>
      <w:r>
        <w:rPr>
          <w:spacing w:val="-9"/>
        </w:rPr>
        <w:t xml:space="preserve"> </w:t>
      </w:r>
      <w:r>
        <w:t>da</w:t>
      </w:r>
      <w:r>
        <w:rPr>
          <w:spacing w:val="-5"/>
        </w:rPr>
        <w:t xml:space="preserve"> </w:t>
      </w:r>
      <w:r>
        <w:t>segunda</w:t>
      </w:r>
      <w:r>
        <w:rPr>
          <w:spacing w:val="-5"/>
        </w:rPr>
        <w:t xml:space="preserve"> </w:t>
      </w:r>
      <w:r>
        <w:t>(BRASIL,</w:t>
      </w:r>
      <w:r>
        <w:rPr>
          <w:spacing w:val="-4"/>
        </w:rPr>
        <w:t xml:space="preserve"> </w:t>
      </w:r>
      <w:r>
        <w:t>2001c).</w:t>
      </w:r>
      <w:r>
        <w:rPr>
          <w:spacing w:val="-3"/>
        </w:rPr>
        <w:t xml:space="preserve"> </w:t>
      </w:r>
      <w:r>
        <w:t>Concessão de uso, portanto, não se confunde com a usucapião – uma diferenciação conceitual,</w:t>
      </w:r>
      <w:r>
        <w:rPr>
          <w:spacing w:val="40"/>
        </w:rPr>
        <w:t xml:space="preserve"> </w:t>
      </w:r>
      <w:r>
        <w:t>aliás, que reverbera pelo próprio direito a ser adquirido.</w:t>
      </w:r>
    </w:p>
    <w:p w:rsidR="007259F2" w:rsidRDefault="00E655B4">
      <w:pPr>
        <w:pStyle w:val="Corpodetexto"/>
        <w:spacing w:before="1"/>
        <w:ind w:right="988"/>
      </w:pPr>
      <w:r>
        <w:t>Segundo a preleção de Rubens Limongi França (1971, p. 114-115), a aquisição originária de propriedade e de direitos reais pode ser efetivada através da usucapião, um mecanismo jurídico que transcende a mera posse, concedendo ao possuidor uma gama de poderes sobre o bem, que incluem o uso, a fruição, a disposição e a reivindicação. Esses poderes são manifestações do direito real, variando em amplitude, desde a integralidade</w:t>
      </w:r>
      <w:r>
        <w:rPr>
          <w:spacing w:val="-4"/>
        </w:rPr>
        <w:t xml:space="preserve"> </w:t>
      </w:r>
      <w:r>
        <w:t>na propriedade</w:t>
      </w:r>
      <w:r>
        <w:rPr>
          <w:spacing w:val="-3"/>
        </w:rPr>
        <w:t xml:space="preserve"> </w:t>
      </w:r>
      <w:r>
        <w:t>e na</w:t>
      </w:r>
      <w:r>
        <w:rPr>
          <w:spacing w:val="-2"/>
        </w:rPr>
        <w:t xml:space="preserve"> </w:t>
      </w:r>
      <w:r>
        <w:t>laje até restrições em situações como habitação, uso e usufruto (Silvestre, 2020).</w:t>
      </w:r>
    </w:p>
    <w:p w:rsidR="007259F2" w:rsidRDefault="00E655B4">
      <w:pPr>
        <w:pStyle w:val="Corpodetexto"/>
        <w:ind w:right="987"/>
      </w:pPr>
      <w:r>
        <w:t>No âmbito da usucapião, Lafayette (1956, p. 169) destaca que o indivíduo que a reivindica (usucapiente) adquire a propriedade, ao passo que o proprietário registrado anterior (usucapido) perde de forma irrevogável seus direitos sobre o bem, incluindo o domínio. Essa transferência de propriedade acontece após o transcurso de um período específico, o que leva a usucapião a ser frequentemente descrita como prescrição aquisitiva (MONTEIRO, 2014, p. 125).</w:t>
      </w:r>
    </w:p>
    <w:p w:rsidR="007259F2" w:rsidRDefault="00E655B4">
      <w:pPr>
        <w:pStyle w:val="Corpodetexto"/>
        <w:spacing w:before="1"/>
        <w:ind w:right="986"/>
      </w:pPr>
      <w:r>
        <w:t>A</w:t>
      </w:r>
      <w:r>
        <w:rPr>
          <w:spacing w:val="-11"/>
        </w:rPr>
        <w:t xml:space="preserve"> </w:t>
      </w:r>
      <w:r>
        <w:t>concessão</w:t>
      </w:r>
      <w:r>
        <w:rPr>
          <w:spacing w:val="-11"/>
        </w:rPr>
        <w:t xml:space="preserve"> </w:t>
      </w:r>
      <w:r>
        <w:t>de</w:t>
      </w:r>
      <w:r>
        <w:rPr>
          <w:spacing w:val="-11"/>
        </w:rPr>
        <w:t xml:space="preserve"> </w:t>
      </w:r>
      <w:r>
        <w:t>uso,</w:t>
      </w:r>
      <w:r>
        <w:rPr>
          <w:spacing w:val="-10"/>
        </w:rPr>
        <w:t xml:space="preserve"> </w:t>
      </w:r>
      <w:r>
        <w:t>a</w:t>
      </w:r>
      <w:r>
        <w:rPr>
          <w:spacing w:val="-12"/>
        </w:rPr>
        <w:t xml:space="preserve"> </w:t>
      </w:r>
      <w:r>
        <w:t>seu</w:t>
      </w:r>
      <w:r>
        <w:rPr>
          <w:spacing w:val="-8"/>
        </w:rPr>
        <w:t xml:space="preserve"> </w:t>
      </w:r>
      <w:r>
        <w:t>turno,</w:t>
      </w:r>
      <w:r>
        <w:rPr>
          <w:spacing w:val="-11"/>
        </w:rPr>
        <w:t xml:space="preserve"> </w:t>
      </w:r>
      <w:r>
        <w:t>não</w:t>
      </w:r>
      <w:r>
        <w:rPr>
          <w:spacing w:val="-11"/>
        </w:rPr>
        <w:t xml:space="preserve"> </w:t>
      </w:r>
      <w:r>
        <w:t>trata</w:t>
      </w:r>
      <w:r>
        <w:rPr>
          <w:spacing w:val="-11"/>
        </w:rPr>
        <w:t xml:space="preserve"> </w:t>
      </w:r>
      <w:r>
        <w:t>da</w:t>
      </w:r>
      <w:r>
        <w:rPr>
          <w:spacing w:val="-12"/>
        </w:rPr>
        <w:t xml:space="preserve"> </w:t>
      </w:r>
      <w:r>
        <w:t>aquisição</w:t>
      </w:r>
      <w:r>
        <w:rPr>
          <w:spacing w:val="-10"/>
        </w:rPr>
        <w:t xml:space="preserve"> </w:t>
      </w:r>
      <w:r>
        <w:t>de</w:t>
      </w:r>
      <w:r>
        <w:rPr>
          <w:spacing w:val="-12"/>
        </w:rPr>
        <w:t xml:space="preserve"> </w:t>
      </w:r>
      <w:r>
        <w:t>propriedade</w:t>
      </w:r>
      <w:r>
        <w:rPr>
          <w:spacing w:val="-8"/>
        </w:rPr>
        <w:t xml:space="preserve"> </w:t>
      </w:r>
      <w:r>
        <w:t xml:space="preserve">(AGUIAR; BORBA, 2006, p. 159). Aliás, o mesmo art. 183, §1º, da Constituição Federal, ao estipular o direito ao título de domínio e à concessão de uso àqueles que cumprirem os requisitos estabelecidos no </w:t>
      </w:r>
      <w:r>
        <w:rPr>
          <w:i/>
        </w:rPr>
        <w:t>caput</w:t>
      </w:r>
      <w:r>
        <w:t>, prescreve em seu §3º que “os imóveis públicos não serão adquiridos por usucapião”.</w:t>
      </w:r>
      <w:r>
        <w:rPr>
          <w:vertAlign w:val="superscript"/>
        </w:rPr>
        <w:t>15</w:t>
      </w:r>
      <w:r>
        <w:t xml:space="preserve"> A normativa constitucional exclui a possibilidade de aquisição de propriedades públicas pelo decurso do tempo. Diante dessa realidade, a única alternativa para conciliar a permanência de ocupantes em terras públicas com a manutenção do domínio estatal é a outorga de uso.</w:t>
      </w:r>
    </w:p>
    <w:p w:rsidR="007259F2" w:rsidRDefault="00E655B4">
      <w:pPr>
        <w:pStyle w:val="Corpodetexto"/>
        <w:ind w:right="988"/>
      </w:pPr>
      <w:r>
        <w:t>A adoção de formas precárias de outorga, como a autorização ou permissão de uso, não seria adequada para oferecer estabilidade aos ocupantes, razão pela qual o legislador optou pela concessão de uso como</w:t>
      </w:r>
      <w:r>
        <w:rPr>
          <w:spacing w:val="40"/>
        </w:rPr>
        <w:t xml:space="preserve"> </w:t>
      </w:r>
      <w:r>
        <w:t>mecanismo mais apropriado</w:t>
      </w:r>
      <w:r>
        <w:rPr>
          <w:spacing w:val="40"/>
        </w:rPr>
        <w:t xml:space="preserve"> </w:t>
      </w:r>
      <w:r>
        <w:t>–</w:t>
      </w:r>
      <w:r>
        <w:rPr>
          <w:spacing w:val="40"/>
        </w:rPr>
        <w:t xml:space="preserve"> </w:t>
      </w:r>
      <w:r>
        <w:t>escolha que visa proporcionar maior previsibilidade e segurança jurídica aos ocupantes, alinhando-se também ao direito à moradia e à</w:t>
      </w:r>
      <w:r>
        <w:rPr>
          <w:spacing w:val="-1"/>
        </w:rPr>
        <w:t xml:space="preserve"> </w:t>
      </w:r>
      <w:r>
        <w:t>dignidade</w:t>
      </w:r>
      <w:r>
        <w:rPr>
          <w:spacing w:val="-1"/>
        </w:rPr>
        <w:t xml:space="preserve"> </w:t>
      </w:r>
      <w:r>
        <w:t>humana. A concessão de</w:t>
      </w:r>
      <w:r>
        <w:rPr>
          <w:spacing w:val="-1"/>
        </w:rPr>
        <w:t xml:space="preserve"> </w:t>
      </w:r>
      <w:r>
        <w:t>uso é, ao</w:t>
      </w:r>
      <w:r>
        <w:rPr>
          <w:spacing w:val="-3"/>
        </w:rPr>
        <w:t xml:space="preserve"> </w:t>
      </w:r>
      <w:r>
        <w:t>lado</w:t>
      </w:r>
      <w:r>
        <w:rPr>
          <w:spacing w:val="-4"/>
        </w:rPr>
        <w:t xml:space="preserve"> </w:t>
      </w:r>
      <w:r>
        <w:t>da</w:t>
      </w:r>
      <w:r>
        <w:rPr>
          <w:spacing w:val="-6"/>
        </w:rPr>
        <w:t xml:space="preserve"> </w:t>
      </w:r>
      <w:r>
        <w:t>usucapião</w:t>
      </w:r>
      <w:r>
        <w:rPr>
          <w:spacing w:val="-4"/>
        </w:rPr>
        <w:t xml:space="preserve"> </w:t>
      </w:r>
      <w:r>
        <w:t>e</w:t>
      </w:r>
      <w:r>
        <w:rPr>
          <w:spacing w:val="-4"/>
        </w:rPr>
        <w:t xml:space="preserve"> </w:t>
      </w:r>
      <w:r>
        <w:t>demais</w:t>
      </w:r>
      <w:r>
        <w:rPr>
          <w:spacing w:val="-1"/>
        </w:rPr>
        <w:t xml:space="preserve"> </w:t>
      </w:r>
      <w:r>
        <w:t>formas</w:t>
      </w:r>
      <w:r>
        <w:rPr>
          <w:spacing w:val="-3"/>
        </w:rPr>
        <w:t xml:space="preserve"> </w:t>
      </w:r>
      <w:r>
        <w:t>de</w:t>
      </w:r>
      <w:r>
        <w:rPr>
          <w:spacing w:val="-4"/>
        </w:rPr>
        <w:t xml:space="preserve"> </w:t>
      </w:r>
      <w:r>
        <w:t>direito, meio</w:t>
      </w:r>
      <w:r>
        <w:rPr>
          <w:spacing w:val="-1"/>
        </w:rPr>
        <w:t xml:space="preserve"> </w:t>
      </w:r>
      <w:r>
        <w:t>de</w:t>
      </w:r>
      <w:r>
        <w:rPr>
          <w:spacing w:val="-4"/>
        </w:rPr>
        <w:t xml:space="preserve"> </w:t>
      </w:r>
      <w:r>
        <w:t>concretização</w:t>
      </w:r>
      <w:r>
        <w:rPr>
          <w:spacing w:val="-1"/>
        </w:rPr>
        <w:t xml:space="preserve"> </w:t>
      </w:r>
      <w:r>
        <w:t>da função</w:t>
      </w:r>
      <w:r>
        <w:rPr>
          <w:spacing w:val="-1"/>
        </w:rPr>
        <w:t xml:space="preserve"> </w:t>
      </w:r>
      <w:r>
        <w:t>social da propriedade (TEPEDINO; SCHREIBER, 2000, p. 43).</w:t>
      </w:r>
      <w:r>
        <w:rPr>
          <w:vertAlign w:val="superscript"/>
        </w:rPr>
        <w:t>16</w:t>
      </w:r>
    </w:p>
    <w:p w:rsidR="007259F2" w:rsidRDefault="00E655B4">
      <w:pPr>
        <w:pStyle w:val="Corpodetexto"/>
        <w:ind w:right="991"/>
      </w:pPr>
      <w:r>
        <w:t>Logo, a CUEM pode ser conceituada como um ato administrativo negocial vinculado, através</w:t>
      </w:r>
      <w:r>
        <w:rPr>
          <w:spacing w:val="-8"/>
        </w:rPr>
        <w:t xml:space="preserve"> </w:t>
      </w:r>
      <w:r>
        <w:t>do</w:t>
      </w:r>
      <w:r>
        <w:rPr>
          <w:spacing w:val="-10"/>
        </w:rPr>
        <w:t xml:space="preserve"> </w:t>
      </w:r>
      <w:r>
        <w:t>qual</w:t>
      </w:r>
      <w:r>
        <w:rPr>
          <w:spacing w:val="-9"/>
        </w:rPr>
        <w:t xml:space="preserve"> </w:t>
      </w:r>
      <w:r>
        <w:t>o</w:t>
      </w:r>
      <w:r>
        <w:rPr>
          <w:spacing w:val="-10"/>
        </w:rPr>
        <w:t xml:space="preserve"> </w:t>
      </w:r>
      <w:r>
        <w:t>Estado</w:t>
      </w:r>
      <w:r>
        <w:rPr>
          <w:spacing w:val="-10"/>
        </w:rPr>
        <w:t xml:space="preserve"> </w:t>
      </w:r>
      <w:r>
        <w:t>outorga</w:t>
      </w:r>
      <w:r>
        <w:rPr>
          <w:spacing w:val="-10"/>
        </w:rPr>
        <w:t xml:space="preserve"> </w:t>
      </w:r>
      <w:r>
        <w:t>ao</w:t>
      </w:r>
      <w:r>
        <w:rPr>
          <w:spacing w:val="-8"/>
        </w:rPr>
        <w:t xml:space="preserve"> </w:t>
      </w:r>
      <w:r>
        <w:t>cidadão</w:t>
      </w:r>
      <w:r>
        <w:rPr>
          <w:spacing w:val="-10"/>
        </w:rPr>
        <w:t xml:space="preserve"> </w:t>
      </w:r>
      <w:r>
        <w:t>o</w:t>
      </w:r>
      <w:r>
        <w:rPr>
          <w:spacing w:val="-8"/>
        </w:rPr>
        <w:t xml:space="preserve"> </w:t>
      </w:r>
      <w:r>
        <w:t>direito</w:t>
      </w:r>
      <w:r>
        <w:rPr>
          <w:spacing w:val="-10"/>
        </w:rPr>
        <w:t xml:space="preserve"> </w:t>
      </w:r>
      <w:r>
        <w:t>de</w:t>
      </w:r>
      <w:r>
        <w:rPr>
          <w:spacing w:val="-9"/>
        </w:rPr>
        <w:t xml:space="preserve"> </w:t>
      </w:r>
      <w:r>
        <w:t>residir</w:t>
      </w:r>
      <w:r>
        <w:rPr>
          <w:spacing w:val="-9"/>
        </w:rPr>
        <w:t xml:space="preserve"> </w:t>
      </w:r>
      <w:r>
        <w:t>em</w:t>
      </w:r>
      <w:r>
        <w:rPr>
          <w:spacing w:val="-10"/>
        </w:rPr>
        <w:t xml:space="preserve"> </w:t>
      </w:r>
      <w:r>
        <w:t>um</w:t>
      </w:r>
      <w:r>
        <w:rPr>
          <w:spacing w:val="-10"/>
        </w:rPr>
        <w:t xml:space="preserve"> </w:t>
      </w:r>
      <w:r>
        <w:t>terreno público</w:t>
      </w:r>
      <w:r>
        <w:rPr>
          <w:spacing w:val="50"/>
        </w:rPr>
        <w:t xml:space="preserve"> </w:t>
      </w:r>
      <w:r>
        <w:t>conforme</w:t>
      </w:r>
      <w:r>
        <w:rPr>
          <w:spacing w:val="61"/>
        </w:rPr>
        <w:t xml:space="preserve"> </w:t>
      </w:r>
      <w:r>
        <w:t>condições</w:t>
      </w:r>
      <w:r>
        <w:rPr>
          <w:spacing w:val="62"/>
        </w:rPr>
        <w:t xml:space="preserve"> </w:t>
      </w:r>
      <w:r>
        <w:t>previamente</w:t>
      </w:r>
      <w:r>
        <w:rPr>
          <w:spacing w:val="63"/>
        </w:rPr>
        <w:t xml:space="preserve"> </w:t>
      </w:r>
      <w:r>
        <w:t>impostas.</w:t>
      </w:r>
      <w:r>
        <w:rPr>
          <w:vertAlign w:val="superscript"/>
        </w:rPr>
        <w:t>17</w:t>
      </w:r>
      <w:r>
        <w:rPr>
          <w:spacing w:val="63"/>
        </w:rPr>
        <w:t xml:space="preserve"> </w:t>
      </w:r>
      <w:r>
        <w:t>Formalizado</w:t>
      </w:r>
      <w:r>
        <w:rPr>
          <w:spacing w:val="63"/>
        </w:rPr>
        <w:t xml:space="preserve"> </w:t>
      </w:r>
      <w:r>
        <w:t>por</w:t>
      </w:r>
      <w:r>
        <w:rPr>
          <w:spacing w:val="61"/>
        </w:rPr>
        <w:t xml:space="preserve"> </w:t>
      </w:r>
      <w:r>
        <w:t>meio</w:t>
      </w:r>
      <w:r>
        <w:rPr>
          <w:spacing w:val="62"/>
        </w:rPr>
        <w:t xml:space="preserve"> </w:t>
      </w:r>
      <w:r>
        <w:t>de</w:t>
      </w:r>
      <w:r>
        <w:rPr>
          <w:spacing w:val="61"/>
        </w:rPr>
        <w:t xml:space="preserve"> </w:t>
      </w:r>
      <w:r>
        <w:rPr>
          <w:spacing w:val="-5"/>
        </w:rPr>
        <w:t>um</w:t>
      </w:r>
    </w:p>
    <w:p w:rsidR="007259F2" w:rsidRDefault="00DE6B1C">
      <w:pPr>
        <w:pStyle w:val="Corpodetexto"/>
        <w:spacing w:before="119"/>
        <w:ind w:left="0" w:firstLine="0"/>
        <w:jc w:val="left"/>
        <w:rPr>
          <w:sz w:val="20"/>
        </w:rPr>
      </w:pPr>
      <w:r w:rsidRPr="00DE6B1C">
        <w:rPr>
          <w:sz w:val="20"/>
        </w:rPr>
        <w:pict>
          <v:rect id="docshape59" o:spid="_x0000_s1167" style="position:absolute;margin-left:85.1pt;margin-top:18.7pt;width:2in;height:.7pt;z-index:-15706624;mso-wrap-distance-left:0;mso-wrap-distance-right:0;mso-position-horizontal-relative:page" fillcolor="black" stroked="f">
            <w10:wrap type="topAndBottom" anchorx="page"/>
          </v:rect>
        </w:pict>
      </w:r>
    </w:p>
    <w:p w:rsidR="007259F2" w:rsidRDefault="00E655B4">
      <w:pPr>
        <w:spacing w:before="97"/>
        <w:ind w:left="710" w:right="991"/>
        <w:jc w:val="both"/>
        <w:rPr>
          <w:sz w:val="20"/>
        </w:rPr>
      </w:pPr>
      <w:r>
        <w:rPr>
          <w:sz w:val="20"/>
          <w:vertAlign w:val="superscript"/>
        </w:rPr>
        <w:t>14</w:t>
      </w:r>
      <w:r>
        <w:rPr>
          <w:sz w:val="20"/>
        </w:rPr>
        <w:t xml:space="preserve"> De acordo com o veto presidencial à Seção VI, compreendendo os arts. 15 a 20 do Estatuto da Cidade: “O</w:t>
      </w:r>
      <w:r>
        <w:rPr>
          <w:spacing w:val="-2"/>
          <w:sz w:val="20"/>
        </w:rPr>
        <w:t xml:space="preserve"> </w:t>
      </w:r>
      <w:r>
        <w:rPr>
          <w:sz w:val="20"/>
        </w:rPr>
        <w:t>instituto</w:t>
      </w:r>
      <w:r>
        <w:rPr>
          <w:spacing w:val="-1"/>
          <w:sz w:val="20"/>
        </w:rPr>
        <w:t xml:space="preserve"> </w:t>
      </w:r>
      <w:r>
        <w:rPr>
          <w:sz w:val="20"/>
        </w:rPr>
        <w:t>jurídico</w:t>
      </w:r>
      <w:r>
        <w:rPr>
          <w:spacing w:val="-1"/>
          <w:sz w:val="20"/>
        </w:rPr>
        <w:t xml:space="preserve"> </w:t>
      </w:r>
      <w:r>
        <w:rPr>
          <w:sz w:val="20"/>
        </w:rPr>
        <w:t>da</w:t>
      </w:r>
      <w:r>
        <w:rPr>
          <w:spacing w:val="-2"/>
          <w:sz w:val="20"/>
        </w:rPr>
        <w:t xml:space="preserve"> </w:t>
      </w:r>
      <w:r>
        <w:rPr>
          <w:sz w:val="20"/>
        </w:rPr>
        <w:t>concessão</w:t>
      </w:r>
      <w:r>
        <w:rPr>
          <w:spacing w:val="-1"/>
          <w:sz w:val="20"/>
        </w:rPr>
        <w:t xml:space="preserve"> </w:t>
      </w:r>
      <w:r>
        <w:rPr>
          <w:sz w:val="20"/>
        </w:rPr>
        <w:t>de</w:t>
      </w:r>
      <w:r>
        <w:rPr>
          <w:spacing w:val="-2"/>
          <w:sz w:val="20"/>
        </w:rPr>
        <w:t xml:space="preserve"> </w:t>
      </w:r>
      <w:r>
        <w:rPr>
          <w:sz w:val="20"/>
        </w:rPr>
        <w:t>uso</w:t>
      </w:r>
      <w:r>
        <w:rPr>
          <w:spacing w:val="-1"/>
          <w:sz w:val="20"/>
        </w:rPr>
        <w:t xml:space="preserve"> </w:t>
      </w:r>
      <w:r>
        <w:rPr>
          <w:sz w:val="20"/>
        </w:rPr>
        <w:t>especial</w:t>
      </w:r>
      <w:r>
        <w:rPr>
          <w:spacing w:val="-2"/>
          <w:sz w:val="20"/>
        </w:rPr>
        <w:t xml:space="preserve"> </w:t>
      </w:r>
      <w:r>
        <w:rPr>
          <w:sz w:val="20"/>
        </w:rPr>
        <w:t>para fins</w:t>
      </w:r>
      <w:r>
        <w:rPr>
          <w:spacing w:val="-3"/>
          <w:sz w:val="20"/>
        </w:rPr>
        <w:t xml:space="preserve"> </w:t>
      </w:r>
      <w:r>
        <w:rPr>
          <w:sz w:val="20"/>
        </w:rPr>
        <w:t>de moradia</w:t>
      </w:r>
      <w:r>
        <w:rPr>
          <w:spacing w:val="-2"/>
          <w:sz w:val="20"/>
        </w:rPr>
        <w:t xml:space="preserve"> </w:t>
      </w:r>
      <w:r>
        <w:rPr>
          <w:sz w:val="20"/>
        </w:rPr>
        <w:t>em</w:t>
      </w:r>
      <w:r>
        <w:rPr>
          <w:spacing w:val="-6"/>
          <w:sz w:val="20"/>
        </w:rPr>
        <w:t xml:space="preserve"> </w:t>
      </w:r>
      <w:r>
        <w:rPr>
          <w:sz w:val="20"/>
        </w:rPr>
        <w:t>áreas</w:t>
      </w:r>
      <w:r>
        <w:rPr>
          <w:spacing w:val="-1"/>
          <w:sz w:val="20"/>
        </w:rPr>
        <w:t xml:space="preserve"> </w:t>
      </w:r>
      <w:r>
        <w:rPr>
          <w:sz w:val="20"/>
        </w:rPr>
        <w:t>públicas</w:t>
      </w:r>
      <w:r>
        <w:rPr>
          <w:spacing w:val="-3"/>
          <w:sz w:val="20"/>
        </w:rPr>
        <w:t xml:space="preserve"> </w:t>
      </w:r>
      <w:r>
        <w:rPr>
          <w:sz w:val="20"/>
        </w:rPr>
        <w:t>é um</w:t>
      </w:r>
      <w:r>
        <w:rPr>
          <w:spacing w:val="-4"/>
          <w:sz w:val="20"/>
        </w:rPr>
        <w:t xml:space="preserve"> </w:t>
      </w:r>
      <w:r>
        <w:rPr>
          <w:sz w:val="20"/>
        </w:rPr>
        <w:t>importante instru-mento para propiciar segurança da posse – fundamento do direito à moradia – a milhões de moradores de favelas e loteamentos irregulares. Algumas imprecisões do projeto de lei trazem, no</w:t>
      </w:r>
      <w:r>
        <w:rPr>
          <w:spacing w:val="40"/>
          <w:sz w:val="20"/>
        </w:rPr>
        <w:t xml:space="preserve"> </w:t>
      </w:r>
      <w:r>
        <w:rPr>
          <w:sz w:val="20"/>
        </w:rPr>
        <w:t xml:space="preserve">entanto, riscos à aplicação desse instrumento inovador, contrariando o interesse público” (BRASIL, </w:t>
      </w:r>
      <w:r>
        <w:rPr>
          <w:spacing w:val="-2"/>
          <w:sz w:val="20"/>
        </w:rPr>
        <w:t>2001c).</w:t>
      </w:r>
    </w:p>
    <w:p w:rsidR="007259F2" w:rsidRDefault="00E655B4">
      <w:pPr>
        <w:ind w:left="710" w:right="988"/>
        <w:jc w:val="both"/>
        <w:rPr>
          <w:sz w:val="20"/>
        </w:rPr>
      </w:pPr>
      <w:r>
        <w:rPr>
          <w:sz w:val="20"/>
          <w:vertAlign w:val="superscript"/>
        </w:rPr>
        <w:t>15</w:t>
      </w:r>
      <w:r>
        <w:rPr>
          <w:sz w:val="20"/>
        </w:rPr>
        <w:t xml:space="preserve"> Expandindo o escopo da Constituição Federal, o Código Civil, em seu art. 102, proíbe expressamente a usucapião de todos os bens públicos, sejam móveis ou imóveis. Este entendimento é reforçado jurisprudencialmente: a Súmula 340 do Supremo Tribunal Federal confirma que, desde a vigência do Código Civil, bens dominicais e outros bens públicos não podem ser adquiridos por usucapião. Além disso, conforme a Súmula 619 do Superior Tribunal de Justiça, a ocupação indevida de bem público é considerada</w:t>
      </w:r>
      <w:r>
        <w:rPr>
          <w:spacing w:val="-9"/>
          <w:sz w:val="20"/>
        </w:rPr>
        <w:t xml:space="preserve"> </w:t>
      </w:r>
      <w:r>
        <w:rPr>
          <w:sz w:val="20"/>
        </w:rPr>
        <w:t>mera</w:t>
      </w:r>
      <w:r>
        <w:rPr>
          <w:spacing w:val="-13"/>
          <w:sz w:val="20"/>
        </w:rPr>
        <w:t xml:space="preserve"> </w:t>
      </w:r>
      <w:r>
        <w:rPr>
          <w:sz w:val="20"/>
        </w:rPr>
        <w:t>detenção,</w:t>
      </w:r>
      <w:r>
        <w:rPr>
          <w:spacing w:val="-10"/>
          <w:sz w:val="20"/>
        </w:rPr>
        <w:t xml:space="preserve"> </w:t>
      </w:r>
      <w:r>
        <w:rPr>
          <w:sz w:val="20"/>
        </w:rPr>
        <w:t>de</w:t>
      </w:r>
      <w:r>
        <w:rPr>
          <w:spacing w:val="-11"/>
          <w:sz w:val="20"/>
        </w:rPr>
        <w:t xml:space="preserve"> </w:t>
      </w:r>
      <w:r>
        <w:rPr>
          <w:sz w:val="20"/>
        </w:rPr>
        <w:t>natureza</w:t>
      </w:r>
      <w:r>
        <w:rPr>
          <w:spacing w:val="-11"/>
          <w:sz w:val="20"/>
        </w:rPr>
        <w:t xml:space="preserve"> </w:t>
      </w:r>
      <w:r>
        <w:rPr>
          <w:sz w:val="20"/>
        </w:rPr>
        <w:t>precária, e</w:t>
      </w:r>
      <w:r>
        <w:rPr>
          <w:spacing w:val="-1"/>
          <w:sz w:val="20"/>
        </w:rPr>
        <w:t xml:space="preserve"> </w:t>
      </w:r>
      <w:r>
        <w:rPr>
          <w:sz w:val="20"/>
        </w:rPr>
        <w:t>não dá</w:t>
      </w:r>
      <w:r>
        <w:rPr>
          <w:spacing w:val="-3"/>
          <w:sz w:val="20"/>
        </w:rPr>
        <w:t xml:space="preserve"> </w:t>
      </w:r>
      <w:r>
        <w:rPr>
          <w:sz w:val="20"/>
        </w:rPr>
        <w:t>direito a</w:t>
      </w:r>
      <w:r>
        <w:rPr>
          <w:spacing w:val="-1"/>
          <w:sz w:val="20"/>
        </w:rPr>
        <w:t xml:space="preserve"> </w:t>
      </w:r>
      <w:r>
        <w:rPr>
          <w:sz w:val="20"/>
        </w:rPr>
        <w:t>retenção ou</w:t>
      </w:r>
      <w:r>
        <w:rPr>
          <w:spacing w:val="-2"/>
          <w:sz w:val="20"/>
        </w:rPr>
        <w:t xml:space="preserve"> </w:t>
      </w:r>
      <w:r>
        <w:rPr>
          <w:sz w:val="20"/>
        </w:rPr>
        <w:t>indenização por</w:t>
      </w:r>
      <w:r>
        <w:rPr>
          <w:spacing w:val="-3"/>
          <w:sz w:val="20"/>
        </w:rPr>
        <w:t xml:space="preserve"> </w:t>
      </w:r>
      <w:r>
        <w:rPr>
          <w:sz w:val="20"/>
        </w:rPr>
        <w:t>acessões</w:t>
      </w:r>
      <w:r>
        <w:rPr>
          <w:spacing w:val="-1"/>
          <w:sz w:val="20"/>
        </w:rPr>
        <w:t xml:space="preserve"> </w:t>
      </w:r>
      <w:r>
        <w:rPr>
          <w:sz w:val="20"/>
        </w:rPr>
        <w:t xml:space="preserve">e </w:t>
      </w:r>
      <w:r>
        <w:rPr>
          <w:spacing w:val="-2"/>
          <w:sz w:val="20"/>
        </w:rPr>
        <w:t>benfeitorias.</w:t>
      </w:r>
    </w:p>
    <w:p w:rsidR="007259F2" w:rsidRDefault="00E655B4">
      <w:pPr>
        <w:ind w:left="710" w:right="988"/>
        <w:jc w:val="both"/>
        <w:rPr>
          <w:sz w:val="20"/>
        </w:rPr>
      </w:pPr>
      <w:r>
        <w:rPr>
          <w:sz w:val="20"/>
          <w:vertAlign w:val="superscript"/>
        </w:rPr>
        <w:t>16</w:t>
      </w:r>
      <w:r>
        <w:rPr>
          <w:sz w:val="20"/>
        </w:rPr>
        <w:t xml:space="preserve"> Segundo os</w:t>
      </w:r>
      <w:r>
        <w:rPr>
          <w:spacing w:val="-1"/>
          <w:sz w:val="20"/>
        </w:rPr>
        <w:t xml:space="preserve"> </w:t>
      </w:r>
      <w:r>
        <w:rPr>
          <w:sz w:val="20"/>
        </w:rPr>
        <w:t>autores, “Delineia-se, na verdade, uma nova ordem</w:t>
      </w:r>
      <w:r>
        <w:rPr>
          <w:spacing w:val="-1"/>
          <w:sz w:val="20"/>
        </w:rPr>
        <w:t xml:space="preserve"> </w:t>
      </w:r>
      <w:r>
        <w:rPr>
          <w:sz w:val="20"/>
        </w:rPr>
        <w:t>pública, em</w:t>
      </w:r>
      <w:r>
        <w:rPr>
          <w:spacing w:val="-4"/>
          <w:sz w:val="20"/>
        </w:rPr>
        <w:t xml:space="preserve"> </w:t>
      </w:r>
      <w:r>
        <w:rPr>
          <w:sz w:val="20"/>
        </w:rPr>
        <w:t>que a tutela da</w:t>
      </w:r>
      <w:r>
        <w:rPr>
          <w:spacing w:val="-3"/>
          <w:sz w:val="20"/>
        </w:rPr>
        <w:t xml:space="preserve"> </w:t>
      </w:r>
      <w:r>
        <w:rPr>
          <w:sz w:val="20"/>
        </w:rPr>
        <w:t xml:space="preserve">propriedade privada não pode estar desvinculada da proteção de situações jurídicas não patrimoniais, com prioridade axiológica na legalidade constitucional, de modo a servir [...] de ‘garantia de agasalho, casa de refúgio do </w:t>
      </w:r>
      <w:r>
        <w:rPr>
          <w:spacing w:val="-2"/>
          <w:sz w:val="20"/>
        </w:rPr>
        <w:t>cidadão’”.</w:t>
      </w:r>
    </w:p>
    <w:p w:rsidR="007259F2" w:rsidRDefault="00E655B4">
      <w:pPr>
        <w:ind w:left="710"/>
        <w:jc w:val="both"/>
        <w:rPr>
          <w:sz w:val="20"/>
        </w:rPr>
      </w:pPr>
      <w:r>
        <w:rPr>
          <w:sz w:val="20"/>
          <w:vertAlign w:val="superscript"/>
        </w:rPr>
        <w:t>17</w:t>
      </w:r>
      <w:r>
        <w:rPr>
          <w:spacing w:val="22"/>
          <w:sz w:val="20"/>
        </w:rPr>
        <w:t xml:space="preserve"> </w:t>
      </w:r>
      <w:r>
        <w:rPr>
          <w:sz w:val="20"/>
        </w:rPr>
        <w:t>A</w:t>
      </w:r>
      <w:r>
        <w:rPr>
          <w:spacing w:val="14"/>
          <w:sz w:val="20"/>
        </w:rPr>
        <w:t xml:space="preserve"> </w:t>
      </w:r>
      <w:r>
        <w:rPr>
          <w:sz w:val="20"/>
        </w:rPr>
        <w:t>finalidade</w:t>
      </w:r>
      <w:r>
        <w:rPr>
          <w:spacing w:val="14"/>
          <w:sz w:val="20"/>
        </w:rPr>
        <w:t xml:space="preserve"> </w:t>
      </w:r>
      <w:r>
        <w:rPr>
          <w:sz w:val="20"/>
        </w:rPr>
        <w:t>de</w:t>
      </w:r>
      <w:r>
        <w:rPr>
          <w:spacing w:val="14"/>
          <w:sz w:val="20"/>
        </w:rPr>
        <w:t xml:space="preserve"> </w:t>
      </w:r>
      <w:r>
        <w:rPr>
          <w:sz w:val="20"/>
        </w:rPr>
        <w:t>uso</w:t>
      </w:r>
      <w:r>
        <w:rPr>
          <w:spacing w:val="17"/>
          <w:sz w:val="20"/>
        </w:rPr>
        <w:t xml:space="preserve"> </w:t>
      </w:r>
      <w:r>
        <w:rPr>
          <w:sz w:val="20"/>
        </w:rPr>
        <w:t>na</w:t>
      </w:r>
      <w:r>
        <w:rPr>
          <w:spacing w:val="16"/>
          <w:sz w:val="20"/>
        </w:rPr>
        <w:t xml:space="preserve"> </w:t>
      </w:r>
      <w:r>
        <w:rPr>
          <w:sz w:val="20"/>
        </w:rPr>
        <w:t>CUEM</w:t>
      </w:r>
      <w:r>
        <w:rPr>
          <w:spacing w:val="17"/>
          <w:sz w:val="20"/>
        </w:rPr>
        <w:t xml:space="preserve"> </w:t>
      </w:r>
      <w:r>
        <w:rPr>
          <w:sz w:val="20"/>
        </w:rPr>
        <w:t>também</w:t>
      </w:r>
      <w:r>
        <w:rPr>
          <w:spacing w:val="13"/>
          <w:sz w:val="20"/>
        </w:rPr>
        <w:t xml:space="preserve"> </w:t>
      </w:r>
      <w:r>
        <w:rPr>
          <w:sz w:val="20"/>
        </w:rPr>
        <w:t>pode</w:t>
      </w:r>
      <w:r>
        <w:rPr>
          <w:spacing w:val="13"/>
          <w:sz w:val="20"/>
        </w:rPr>
        <w:t xml:space="preserve"> </w:t>
      </w:r>
      <w:r>
        <w:rPr>
          <w:sz w:val="20"/>
        </w:rPr>
        <w:t>ser</w:t>
      </w:r>
      <w:r>
        <w:rPr>
          <w:spacing w:val="15"/>
          <w:sz w:val="20"/>
        </w:rPr>
        <w:t xml:space="preserve"> </w:t>
      </w:r>
      <w:r>
        <w:rPr>
          <w:sz w:val="20"/>
        </w:rPr>
        <w:t>comercial,</w:t>
      </w:r>
      <w:r>
        <w:rPr>
          <w:spacing w:val="15"/>
          <w:sz w:val="20"/>
        </w:rPr>
        <w:t xml:space="preserve"> </w:t>
      </w:r>
      <w:r>
        <w:rPr>
          <w:sz w:val="20"/>
        </w:rPr>
        <w:t>a</w:t>
      </w:r>
      <w:r>
        <w:rPr>
          <w:spacing w:val="13"/>
          <w:sz w:val="20"/>
        </w:rPr>
        <w:t xml:space="preserve"> </w:t>
      </w:r>
      <w:r>
        <w:rPr>
          <w:sz w:val="20"/>
        </w:rPr>
        <w:t>rigor</w:t>
      </w:r>
      <w:r>
        <w:rPr>
          <w:spacing w:val="15"/>
          <w:sz w:val="20"/>
        </w:rPr>
        <w:t xml:space="preserve"> </w:t>
      </w:r>
      <w:r>
        <w:rPr>
          <w:sz w:val="20"/>
        </w:rPr>
        <w:t>do</w:t>
      </w:r>
      <w:r>
        <w:rPr>
          <w:spacing w:val="15"/>
          <w:sz w:val="20"/>
        </w:rPr>
        <w:t xml:space="preserve"> </w:t>
      </w:r>
      <w:r>
        <w:rPr>
          <w:sz w:val="20"/>
        </w:rPr>
        <w:t>previsto</w:t>
      </w:r>
      <w:r>
        <w:rPr>
          <w:spacing w:val="14"/>
          <w:sz w:val="20"/>
        </w:rPr>
        <w:t xml:space="preserve"> </w:t>
      </w:r>
      <w:r>
        <w:rPr>
          <w:sz w:val="20"/>
        </w:rPr>
        <w:t>pelo</w:t>
      </w:r>
      <w:r>
        <w:rPr>
          <w:spacing w:val="16"/>
          <w:sz w:val="20"/>
        </w:rPr>
        <w:t xml:space="preserve"> </w:t>
      </w:r>
      <w:r>
        <w:rPr>
          <w:sz w:val="20"/>
        </w:rPr>
        <w:t>art.</w:t>
      </w:r>
      <w:r>
        <w:rPr>
          <w:spacing w:val="17"/>
          <w:sz w:val="20"/>
        </w:rPr>
        <w:t xml:space="preserve"> </w:t>
      </w:r>
      <w:r>
        <w:rPr>
          <w:sz w:val="20"/>
        </w:rPr>
        <w:t>9º</w:t>
      </w:r>
      <w:r>
        <w:rPr>
          <w:spacing w:val="13"/>
          <w:sz w:val="20"/>
        </w:rPr>
        <w:t xml:space="preserve"> </w:t>
      </w:r>
      <w:r>
        <w:rPr>
          <w:sz w:val="20"/>
        </w:rPr>
        <w:t>da</w:t>
      </w:r>
      <w:r>
        <w:rPr>
          <w:spacing w:val="14"/>
          <w:sz w:val="20"/>
        </w:rPr>
        <w:t xml:space="preserve"> </w:t>
      </w:r>
      <w:r>
        <w:rPr>
          <w:sz w:val="20"/>
        </w:rPr>
        <w:t>MP</w:t>
      </w:r>
      <w:r>
        <w:rPr>
          <w:spacing w:val="16"/>
          <w:sz w:val="20"/>
        </w:rPr>
        <w:t xml:space="preserve"> </w:t>
      </w:r>
      <w:r>
        <w:rPr>
          <w:spacing w:val="-5"/>
          <w:sz w:val="20"/>
        </w:rPr>
        <w:t>nº</w:t>
      </w:r>
    </w:p>
    <w:p w:rsidR="007259F2" w:rsidRDefault="007259F2">
      <w:pPr>
        <w:jc w:val="both"/>
        <w:rPr>
          <w:sz w:val="20"/>
        </w:rPr>
        <w:sectPr w:rsidR="007259F2">
          <w:pgSz w:w="11910" w:h="16840"/>
          <w:pgMar w:top="1280" w:right="708" w:bottom="1160" w:left="992" w:header="0" w:footer="962" w:gutter="0"/>
          <w:cols w:space="720"/>
        </w:sectPr>
      </w:pPr>
    </w:p>
    <w:p w:rsidR="007259F2" w:rsidRDefault="00E655B4">
      <w:pPr>
        <w:pStyle w:val="Corpodetexto"/>
        <w:spacing w:before="109"/>
        <w:ind w:right="986" w:firstLine="0"/>
      </w:pPr>
      <w:r>
        <w:lastRenderedPageBreak/>
        <w:t>título,</w:t>
      </w:r>
      <w:r>
        <w:rPr>
          <w:vertAlign w:val="superscript"/>
        </w:rPr>
        <w:t>18</w:t>
      </w:r>
      <w:r>
        <w:t xml:space="preserve"> pode ser expedido tanto pelo Poder Executivo quanto pelo Poder Judiciário – e aqui há</w:t>
      </w:r>
      <w:r>
        <w:rPr>
          <w:spacing w:val="-1"/>
        </w:rPr>
        <w:t xml:space="preserve"> </w:t>
      </w:r>
      <w:r>
        <w:t>uma ordem de preferência legal, já que o art. 6º da MP nº 2.220/2001 é taxativo ao consignar que “o título de concessão de uso especial para fins de moradia será obtido pela via administrativa perante o órgão competente da Administração Pública ou, em caso</w:t>
      </w:r>
      <w:r>
        <w:rPr>
          <w:spacing w:val="-2"/>
        </w:rPr>
        <w:t xml:space="preserve"> </w:t>
      </w:r>
      <w:r>
        <w:t>de</w:t>
      </w:r>
      <w:r>
        <w:rPr>
          <w:spacing w:val="-1"/>
        </w:rPr>
        <w:t xml:space="preserve"> </w:t>
      </w:r>
      <w:r>
        <w:t>recusa</w:t>
      </w:r>
      <w:r>
        <w:rPr>
          <w:spacing w:val="-3"/>
        </w:rPr>
        <w:t xml:space="preserve"> </w:t>
      </w:r>
      <w:r>
        <w:t>ou</w:t>
      </w:r>
      <w:r>
        <w:rPr>
          <w:spacing w:val="-2"/>
        </w:rPr>
        <w:t xml:space="preserve"> </w:t>
      </w:r>
      <w:r>
        <w:t>omissão</w:t>
      </w:r>
      <w:r>
        <w:rPr>
          <w:spacing w:val="-1"/>
        </w:rPr>
        <w:t xml:space="preserve"> </w:t>
      </w:r>
      <w:r>
        <w:t>deste,</w:t>
      </w:r>
      <w:r>
        <w:rPr>
          <w:spacing w:val="-3"/>
        </w:rPr>
        <w:t xml:space="preserve"> </w:t>
      </w:r>
      <w:r>
        <w:t>pela</w:t>
      </w:r>
      <w:r>
        <w:rPr>
          <w:spacing w:val="-3"/>
        </w:rPr>
        <w:t xml:space="preserve"> </w:t>
      </w:r>
      <w:r>
        <w:t>via</w:t>
      </w:r>
      <w:r>
        <w:rPr>
          <w:spacing w:val="-3"/>
        </w:rPr>
        <w:t xml:space="preserve"> </w:t>
      </w:r>
      <w:r>
        <w:t>judicial”.</w:t>
      </w:r>
      <w:r>
        <w:rPr>
          <w:spacing w:val="-1"/>
        </w:rPr>
        <w:t xml:space="preserve"> </w:t>
      </w:r>
      <w:r>
        <w:t>E mais: seu §1º não deixou qualquer brecha ao prescrever que a “Administração Pública terá o prazo máximo de doze meses para decidir o pedido, contado da data de seu protocolo” (BRASIL, 2001b).</w:t>
      </w:r>
    </w:p>
    <w:p w:rsidR="007259F2" w:rsidRDefault="00E655B4">
      <w:pPr>
        <w:pStyle w:val="Corpodetexto"/>
        <w:spacing w:before="1"/>
        <w:ind w:right="986"/>
      </w:pPr>
      <w:r>
        <w:t>A norma, contudo, apresenta uma lacuna significativa no que concerne às benfeitorias realizadas nesses imóveis. Conforme o art. 8º, a extinção do direito ocorre quando o concessionário: (</w:t>
      </w:r>
      <w:r>
        <w:rPr>
          <w:i/>
        </w:rPr>
        <w:t>i</w:t>
      </w:r>
      <w:r>
        <w:t>) utiliza o imóvel para fins diversos da moradia própria ou</w:t>
      </w:r>
      <w:r>
        <w:rPr>
          <w:spacing w:val="40"/>
        </w:rPr>
        <w:t xml:space="preserve"> </w:t>
      </w:r>
      <w:r>
        <w:t>de sua família; ou (</w:t>
      </w:r>
      <w:r>
        <w:rPr>
          <w:i/>
        </w:rPr>
        <w:t>ii</w:t>
      </w:r>
      <w:r>
        <w:t>) adquire</w:t>
      </w:r>
      <w:r>
        <w:rPr>
          <w:spacing w:val="-5"/>
        </w:rPr>
        <w:t xml:space="preserve"> </w:t>
      </w:r>
      <w:r>
        <w:t>a</w:t>
      </w:r>
      <w:r>
        <w:rPr>
          <w:spacing w:val="-6"/>
        </w:rPr>
        <w:t xml:space="preserve"> </w:t>
      </w:r>
      <w:r>
        <w:t>propriedade</w:t>
      </w:r>
      <w:r>
        <w:rPr>
          <w:spacing w:val="-5"/>
        </w:rPr>
        <w:t xml:space="preserve"> </w:t>
      </w:r>
      <w:r>
        <w:t>ou</w:t>
      </w:r>
      <w:r>
        <w:rPr>
          <w:spacing w:val="-5"/>
        </w:rPr>
        <w:t xml:space="preserve"> </w:t>
      </w:r>
      <w:r>
        <w:t>a</w:t>
      </w:r>
      <w:r>
        <w:rPr>
          <w:spacing w:val="-3"/>
        </w:rPr>
        <w:t xml:space="preserve"> </w:t>
      </w:r>
      <w:r>
        <w:t>concessão</w:t>
      </w:r>
      <w:r>
        <w:rPr>
          <w:spacing w:val="-5"/>
        </w:rPr>
        <w:t xml:space="preserve"> </w:t>
      </w:r>
      <w:r>
        <w:t>de</w:t>
      </w:r>
      <w:r>
        <w:rPr>
          <w:spacing w:val="-6"/>
        </w:rPr>
        <w:t xml:space="preserve"> </w:t>
      </w:r>
      <w:r>
        <w:t>uso</w:t>
      </w:r>
      <w:r>
        <w:rPr>
          <w:spacing w:val="-5"/>
        </w:rPr>
        <w:t xml:space="preserve"> </w:t>
      </w:r>
      <w:r>
        <w:t>de</w:t>
      </w:r>
      <w:r>
        <w:rPr>
          <w:spacing w:val="-6"/>
        </w:rPr>
        <w:t xml:space="preserve"> </w:t>
      </w:r>
      <w:r>
        <w:t>outro</w:t>
      </w:r>
      <w:r>
        <w:rPr>
          <w:spacing w:val="-2"/>
        </w:rPr>
        <w:t xml:space="preserve"> </w:t>
      </w:r>
      <w:r>
        <w:t>imóvel,</w:t>
      </w:r>
      <w:r>
        <w:rPr>
          <w:spacing w:val="-4"/>
        </w:rPr>
        <w:t xml:space="preserve"> </w:t>
      </w:r>
      <w:r>
        <w:t>seja urbano ou rural. Neste contexto, a doutrina sugere que benfeitorias necessárias (</w:t>
      </w:r>
      <w:r>
        <w:rPr>
          <w:i/>
        </w:rPr>
        <w:t>v.g.</w:t>
      </w:r>
      <w:r>
        <w:t>, aterros) devam receber indenização pelo Poder Público (AGUIAR; BORBA, 2006, p. 168-169). Mesmo benfeitorias úteis devem ser indenizadas, a fim de evitar o enriquecimento sem causa do ente, já que a propriedade permanece com o Estado e sua valorização ocorre às expensas do concessionário.</w:t>
      </w:r>
      <w:r>
        <w:rPr>
          <w:vertAlign w:val="superscript"/>
        </w:rPr>
        <w:t>19</w:t>
      </w:r>
    </w:p>
    <w:p w:rsidR="007259F2" w:rsidRDefault="00E655B4">
      <w:pPr>
        <w:pStyle w:val="Corpodetexto"/>
        <w:spacing w:before="1"/>
        <w:ind w:right="986"/>
      </w:pPr>
      <w:r>
        <w:t>Dessa maneira, o imóvel sempre será público, afetado, neste caso, a uma finalidade essencial do Estado, que é a prestação positiva do direito à moradia.</w:t>
      </w:r>
      <w:r>
        <w:rPr>
          <w:vertAlign w:val="superscript"/>
        </w:rPr>
        <w:t>20</w:t>
      </w:r>
      <w:r>
        <w:t xml:space="preserve"> Seja a concessão dada de forma individual (art. 1º) ou coletivamente (art. 2º), ela será exercida em uma área urbana não excedente a 250m², já possuída ao menos há cinco anos ininterruptos e sem qualquer oposição, desde que o(s) concessionário(s) não seja(m) proprietário(s) ou concessionário(s), a qualquer título, de outro imóvel urbano ou rural (BRASIL, 2001b).</w:t>
      </w:r>
    </w:p>
    <w:p w:rsidR="007259F2" w:rsidRDefault="00E655B4">
      <w:pPr>
        <w:pStyle w:val="Corpodetexto"/>
        <w:ind w:right="988"/>
      </w:pPr>
      <w:r>
        <w:t>Como uma exceção à regra de imprescritibilidade dos bens públicos</w:t>
      </w:r>
      <w:r>
        <w:rPr>
          <w:spacing w:val="80"/>
        </w:rPr>
        <w:t xml:space="preserve"> </w:t>
      </w:r>
      <w:r>
        <w:t>estabelecida pelo art. 102 do Código Civil, a CUEM foi classificada como um direito real pelo art. 1.225 do Código Civil. Surge como resposta à incapacidade do Estado de utilizar ou distribuir eficientemente terras públicas, muitas vezes abandonadas ou esquecidas (TCU, 2022). Diante da necessidade crescente de alojar famílias de maneira adequada, a CUEM é uma solução prática e conjuga</w:t>
      </w:r>
      <w:r>
        <w:rPr>
          <w:spacing w:val="-2"/>
        </w:rPr>
        <w:t xml:space="preserve"> </w:t>
      </w:r>
      <w:r>
        <w:t>princípios</w:t>
      </w:r>
      <w:r>
        <w:rPr>
          <w:spacing w:val="-5"/>
        </w:rPr>
        <w:t xml:space="preserve"> </w:t>
      </w:r>
      <w:r>
        <w:t>constitucionais</w:t>
      </w:r>
      <w:r>
        <w:rPr>
          <w:spacing w:val="-4"/>
        </w:rPr>
        <w:t xml:space="preserve"> </w:t>
      </w:r>
      <w:r>
        <w:t>em</w:t>
      </w:r>
      <w:r>
        <w:rPr>
          <w:spacing w:val="-5"/>
        </w:rPr>
        <w:t xml:space="preserve"> </w:t>
      </w:r>
      <w:r>
        <w:t>favor do interesse público, equilibrando a inutilização de terras públicas com a urgente necessidade de moradia (SALLES, 2006, p. 103).</w:t>
      </w:r>
      <w:r>
        <w:rPr>
          <w:vertAlign w:val="superscript"/>
        </w:rPr>
        <w:t>21</w:t>
      </w:r>
    </w:p>
    <w:p w:rsidR="007259F2" w:rsidRDefault="00DE6B1C">
      <w:pPr>
        <w:pStyle w:val="Corpodetexto"/>
        <w:spacing w:before="25"/>
        <w:ind w:left="0" w:firstLine="0"/>
        <w:jc w:val="left"/>
        <w:rPr>
          <w:sz w:val="20"/>
        </w:rPr>
      </w:pPr>
      <w:r w:rsidRPr="00DE6B1C">
        <w:rPr>
          <w:sz w:val="20"/>
        </w:rPr>
        <w:pict>
          <v:rect id="docshape60" o:spid="_x0000_s1166" style="position:absolute;margin-left:85.1pt;margin-top:14pt;width:425.25pt;height:.7pt;z-index:-15706112;mso-wrap-distance-left:0;mso-wrap-distance-right:0;mso-position-horizontal-relative:page" fillcolor="black" stroked="f">
            <w10:wrap type="topAndBottom" anchorx="page"/>
          </v:rect>
        </w:pict>
      </w:r>
    </w:p>
    <w:p w:rsidR="007259F2" w:rsidRDefault="00E655B4">
      <w:pPr>
        <w:spacing w:before="96"/>
        <w:ind w:left="710" w:right="993"/>
        <w:jc w:val="both"/>
        <w:rPr>
          <w:sz w:val="20"/>
        </w:rPr>
      </w:pPr>
      <w:r>
        <w:rPr>
          <w:sz w:val="20"/>
        </w:rPr>
        <w:t>2.220/2001. Tal possibilidade permite o atendimento do direito social ao trabalho (art. 6º, CF) e ao pleno desenvolvimento da pessoa humana (art. 29, DUDH) ao possibilitar que o concessionário empreenda, se autossustente e interaja com sua comunidade local, fomentando a livre iniciativa (art. 170, CF).</w:t>
      </w:r>
    </w:p>
    <w:p w:rsidR="007259F2" w:rsidRDefault="00E655B4">
      <w:pPr>
        <w:spacing w:before="1"/>
        <w:ind w:left="710"/>
        <w:jc w:val="both"/>
        <w:rPr>
          <w:sz w:val="20"/>
        </w:rPr>
      </w:pPr>
      <w:r>
        <w:rPr>
          <w:sz w:val="20"/>
          <w:vertAlign w:val="superscript"/>
        </w:rPr>
        <w:t>18</w:t>
      </w:r>
      <w:r>
        <w:rPr>
          <w:spacing w:val="10"/>
          <w:sz w:val="20"/>
        </w:rPr>
        <w:t xml:space="preserve"> </w:t>
      </w:r>
      <w:r>
        <w:rPr>
          <w:sz w:val="20"/>
        </w:rPr>
        <w:t>Como</w:t>
      </w:r>
      <w:r>
        <w:rPr>
          <w:spacing w:val="13"/>
          <w:sz w:val="20"/>
        </w:rPr>
        <w:t xml:space="preserve"> </w:t>
      </w:r>
      <w:r>
        <w:rPr>
          <w:sz w:val="20"/>
        </w:rPr>
        <w:t>direito</w:t>
      </w:r>
      <w:r>
        <w:rPr>
          <w:spacing w:val="11"/>
          <w:sz w:val="20"/>
        </w:rPr>
        <w:t xml:space="preserve"> </w:t>
      </w:r>
      <w:r>
        <w:rPr>
          <w:sz w:val="20"/>
        </w:rPr>
        <w:t>real,</w:t>
      </w:r>
      <w:r>
        <w:rPr>
          <w:spacing w:val="10"/>
          <w:sz w:val="20"/>
        </w:rPr>
        <w:t xml:space="preserve"> </w:t>
      </w:r>
      <w:r>
        <w:rPr>
          <w:sz w:val="20"/>
        </w:rPr>
        <w:t>a</w:t>
      </w:r>
      <w:r>
        <w:rPr>
          <w:spacing w:val="10"/>
          <w:sz w:val="20"/>
        </w:rPr>
        <w:t xml:space="preserve"> </w:t>
      </w:r>
      <w:r>
        <w:rPr>
          <w:sz w:val="20"/>
        </w:rPr>
        <w:t>efetivação</w:t>
      </w:r>
      <w:r>
        <w:rPr>
          <w:spacing w:val="11"/>
          <w:sz w:val="20"/>
        </w:rPr>
        <w:t xml:space="preserve"> </w:t>
      </w:r>
      <w:r>
        <w:rPr>
          <w:sz w:val="20"/>
        </w:rPr>
        <w:t>do</w:t>
      </w:r>
      <w:r>
        <w:rPr>
          <w:spacing w:val="11"/>
          <w:sz w:val="20"/>
        </w:rPr>
        <w:t xml:space="preserve"> </w:t>
      </w:r>
      <w:r>
        <w:rPr>
          <w:sz w:val="20"/>
        </w:rPr>
        <w:t>título</w:t>
      </w:r>
      <w:r>
        <w:rPr>
          <w:spacing w:val="11"/>
          <w:sz w:val="20"/>
        </w:rPr>
        <w:t xml:space="preserve"> </w:t>
      </w:r>
      <w:r>
        <w:rPr>
          <w:sz w:val="20"/>
        </w:rPr>
        <w:t>exige</w:t>
      </w:r>
      <w:r>
        <w:rPr>
          <w:spacing w:val="13"/>
          <w:sz w:val="20"/>
        </w:rPr>
        <w:t xml:space="preserve"> </w:t>
      </w:r>
      <w:r>
        <w:rPr>
          <w:sz w:val="20"/>
        </w:rPr>
        <w:t>seu</w:t>
      </w:r>
      <w:r>
        <w:rPr>
          <w:spacing w:val="11"/>
          <w:sz w:val="20"/>
        </w:rPr>
        <w:t xml:space="preserve"> </w:t>
      </w:r>
      <w:r>
        <w:rPr>
          <w:sz w:val="20"/>
        </w:rPr>
        <w:t>registro</w:t>
      </w:r>
      <w:r>
        <w:rPr>
          <w:spacing w:val="12"/>
          <w:sz w:val="20"/>
        </w:rPr>
        <w:t xml:space="preserve"> </w:t>
      </w:r>
      <w:r>
        <w:rPr>
          <w:sz w:val="20"/>
        </w:rPr>
        <w:t>no</w:t>
      </w:r>
      <w:r>
        <w:rPr>
          <w:spacing w:val="11"/>
          <w:sz w:val="20"/>
        </w:rPr>
        <w:t xml:space="preserve"> </w:t>
      </w:r>
      <w:r>
        <w:rPr>
          <w:sz w:val="20"/>
        </w:rPr>
        <w:t>cartório</w:t>
      </w:r>
      <w:r>
        <w:rPr>
          <w:spacing w:val="11"/>
          <w:sz w:val="20"/>
        </w:rPr>
        <w:t xml:space="preserve"> </w:t>
      </w:r>
      <w:r>
        <w:rPr>
          <w:sz w:val="20"/>
        </w:rPr>
        <w:t>de</w:t>
      </w:r>
      <w:r>
        <w:rPr>
          <w:spacing w:val="10"/>
          <w:sz w:val="20"/>
        </w:rPr>
        <w:t xml:space="preserve"> </w:t>
      </w:r>
      <w:r>
        <w:rPr>
          <w:sz w:val="20"/>
        </w:rPr>
        <w:t>registro</w:t>
      </w:r>
      <w:r>
        <w:rPr>
          <w:spacing w:val="11"/>
          <w:sz w:val="20"/>
        </w:rPr>
        <w:t xml:space="preserve"> </w:t>
      </w:r>
      <w:r>
        <w:rPr>
          <w:sz w:val="20"/>
        </w:rPr>
        <w:t>de</w:t>
      </w:r>
      <w:r>
        <w:rPr>
          <w:spacing w:val="10"/>
          <w:sz w:val="20"/>
        </w:rPr>
        <w:t xml:space="preserve"> </w:t>
      </w:r>
      <w:r>
        <w:rPr>
          <w:sz w:val="20"/>
        </w:rPr>
        <w:t>imóveis</w:t>
      </w:r>
      <w:r>
        <w:rPr>
          <w:spacing w:val="10"/>
          <w:sz w:val="20"/>
        </w:rPr>
        <w:t xml:space="preserve"> </w:t>
      </w:r>
      <w:r>
        <w:rPr>
          <w:sz w:val="20"/>
        </w:rPr>
        <w:t>(art.</w:t>
      </w:r>
      <w:r>
        <w:rPr>
          <w:spacing w:val="10"/>
          <w:sz w:val="20"/>
        </w:rPr>
        <w:t xml:space="preserve"> </w:t>
      </w:r>
      <w:r>
        <w:rPr>
          <w:spacing w:val="-5"/>
          <w:sz w:val="20"/>
        </w:rPr>
        <w:t>6º,</w:t>
      </w:r>
    </w:p>
    <w:p w:rsidR="007259F2" w:rsidRDefault="00E655B4">
      <w:pPr>
        <w:spacing w:before="1"/>
        <w:ind w:left="710" w:right="988"/>
        <w:jc w:val="both"/>
        <w:rPr>
          <w:sz w:val="20"/>
        </w:rPr>
      </w:pPr>
      <w:r>
        <w:rPr>
          <w:sz w:val="20"/>
        </w:rPr>
        <w:t xml:space="preserve">§4º), via fundamental para assegurar a legalidade e a efetividade do título, o que formaliza o direito de moradia em terras públicas e viabiliza a transferência desse direito, seja por ato </w:t>
      </w:r>
      <w:r>
        <w:rPr>
          <w:i/>
          <w:sz w:val="20"/>
        </w:rPr>
        <w:t xml:space="preserve">inter vivos </w:t>
      </w:r>
      <w:r>
        <w:rPr>
          <w:sz w:val="20"/>
        </w:rPr>
        <w:t xml:space="preserve">ou </w:t>
      </w:r>
      <w:r>
        <w:rPr>
          <w:i/>
          <w:sz w:val="20"/>
        </w:rPr>
        <w:t>causa mortis</w:t>
      </w:r>
      <w:r>
        <w:rPr>
          <w:sz w:val="20"/>
        </w:rPr>
        <w:t>, conforme art. 7º.</w:t>
      </w:r>
    </w:p>
    <w:p w:rsidR="007259F2" w:rsidRDefault="00E655B4">
      <w:pPr>
        <w:ind w:left="710" w:right="990"/>
        <w:jc w:val="both"/>
        <w:rPr>
          <w:sz w:val="20"/>
        </w:rPr>
      </w:pPr>
      <w:r>
        <w:rPr>
          <w:sz w:val="20"/>
          <w:vertAlign w:val="superscript"/>
        </w:rPr>
        <w:t>19</w:t>
      </w:r>
      <w:r>
        <w:rPr>
          <w:sz w:val="20"/>
        </w:rPr>
        <w:t xml:space="preserve"> Por analogia, em função do disposto no art.</w:t>
      </w:r>
      <w:r>
        <w:rPr>
          <w:spacing w:val="-1"/>
          <w:sz w:val="20"/>
        </w:rPr>
        <w:t xml:space="preserve"> </w:t>
      </w:r>
      <w:r>
        <w:rPr>
          <w:sz w:val="20"/>
        </w:rPr>
        <w:t>4º da LINDB, aplicável o previsto no art.</w:t>
      </w:r>
      <w:r>
        <w:rPr>
          <w:spacing w:val="-1"/>
          <w:sz w:val="20"/>
        </w:rPr>
        <w:t xml:space="preserve"> </w:t>
      </w:r>
      <w:r>
        <w:rPr>
          <w:sz w:val="20"/>
        </w:rPr>
        <w:t>18,</w:t>
      </w:r>
      <w:r>
        <w:rPr>
          <w:spacing w:val="-3"/>
          <w:sz w:val="20"/>
        </w:rPr>
        <w:t xml:space="preserve"> </w:t>
      </w:r>
      <w:r>
        <w:rPr>
          <w:sz w:val="20"/>
        </w:rPr>
        <w:t>§8º,</w:t>
      </w:r>
      <w:r>
        <w:rPr>
          <w:spacing w:val="-1"/>
          <w:sz w:val="20"/>
        </w:rPr>
        <w:t xml:space="preserve"> </w:t>
      </w:r>
      <w:r>
        <w:rPr>
          <w:sz w:val="20"/>
        </w:rPr>
        <w:t>da Lei nº 13.465/2017:</w:t>
      </w:r>
      <w:r>
        <w:rPr>
          <w:spacing w:val="-2"/>
          <w:sz w:val="20"/>
        </w:rPr>
        <w:t xml:space="preserve"> </w:t>
      </w:r>
      <w:r>
        <w:rPr>
          <w:sz w:val="20"/>
        </w:rPr>
        <w:t>“A</w:t>
      </w:r>
      <w:r>
        <w:rPr>
          <w:spacing w:val="-3"/>
          <w:sz w:val="20"/>
        </w:rPr>
        <w:t xml:space="preserve"> </w:t>
      </w:r>
      <w:r>
        <w:rPr>
          <w:sz w:val="20"/>
        </w:rPr>
        <w:t>critério</w:t>
      </w:r>
      <w:r>
        <w:rPr>
          <w:spacing w:val="-4"/>
          <w:sz w:val="20"/>
        </w:rPr>
        <w:t xml:space="preserve"> </w:t>
      </w:r>
      <w:r>
        <w:rPr>
          <w:sz w:val="20"/>
        </w:rPr>
        <w:t>da</w:t>
      </w:r>
      <w:r>
        <w:rPr>
          <w:spacing w:val="-2"/>
          <w:sz w:val="20"/>
        </w:rPr>
        <w:t xml:space="preserve"> </w:t>
      </w:r>
      <w:r>
        <w:rPr>
          <w:sz w:val="20"/>
        </w:rPr>
        <w:t>administração pública</w:t>
      </w:r>
      <w:r>
        <w:rPr>
          <w:spacing w:val="-1"/>
          <w:sz w:val="20"/>
        </w:rPr>
        <w:t xml:space="preserve"> </w:t>
      </w:r>
      <w:r>
        <w:rPr>
          <w:sz w:val="20"/>
        </w:rPr>
        <w:t>federal,</w:t>
      </w:r>
      <w:r>
        <w:rPr>
          <w:spacing w:val="-1"/>
          <w:sz w:val="20"/>
        </w:rPr>
        <w:t xml:space="preserve"> </w:t>
      </w:r>
      <w:r>
        <w:rPr>
          <w:sz w:val="20"/>
        </w:rPr>
        <w:t>exclusivamente</w:t>
      </w:r>
      <w:r>
        <w:rPr>
          <w:spacing w:val="-1"/>
          <w:sz w:val="20"/>
        </w:rPr>
        <w:t xml:space="preserve"> </w:t>
      </w:r>
      <w:r>
        <w:rPr>
          <w:sz w:val="20"/>
        </w:rPr>
        <w:t>em</w:t>
      </w:r>
      <w:r>
        <w:rPr>
          <w:spacing w:val="-4"/>
          <w:sz w:val="20"/>
        </w:rPr>
        <w:t xml:space="preserve"> </w:t>
      </w:r>
      <w:r>
        <w:rPr>
          <w:sz w:val="20"/>
        </w:rPr>
        <w:t>casos</w:t>
      </w:r>
      <w:r>
        <w:rPr>
          <w:spacing w:val="-4"/>
          <w:sz w:val="20"/>
        </w:rPr>
        <w:t xml:space="preserve"> </w:t>
      </w:r>
      <w:r>
        <w:rPr>
          <w:sz w:val="20"/>
        </w:rPr>
        <w:t>de</w:t>
      </w:r>
      <w:r>
        <w:rPr>
          <w:spacing w:val="-3"/>
          <w:sz w:val="20"/>
        </w:rPr>
        <w:t xml:space="preserve"> </w:t>
      </w:r>
      <w:r>
        <w:rPr>
          <w:sz w:val="20"/>
        </w:rPr>
        <w:t>interesse</w:t>
      </w:r>
      <w:r>
        <w:rPr>
          <w:spacing w:val="-1"/>
          <w:sz w:val="20"/>
        </w:rPr>
        <w:t xml:space="preserve"> </w:t>
      </w:r>
      <w:r>
        <w:rPr>
          <w:sz w:val="20"/>
        </w:rPr>
        <w:t>social</w:t>
      </w:r>
      <w:r>
        <w:rPr>
          <w:spacing w:val="-1"/>
          <w:sz w:val="20"/>
        </w:rPr>
        <w:t xml:space="preserve"> </w:t>
      </w:r>
      <w:r>
        <w:rPr>
          <w:sz w:val="20"/>
        </w:rPr>
        <w:t>na destinação da área, havendo desocupação voluntária, o ocupante poderá receber compensação financeira pelas benfeitorias úteis ou necessárias edificadas até a data de notificação da decisão que declarou a resolução do título de domínio ou da concessão”.</w:t>
      </w:r>
    </w:p>
    <w:p w:rsidR="007259F2" w:rsidRDefault="00E655B4">
      <w:pPr>
        <w:ind w:left="710" w:right="990"/>
        <w:jc w:val="both"/>
        <w:rPr>
          <w:sz w:val="20"/>
        </w:rPr>
      </w:pPr>
      <w:r>
        <w:rPr>
          <w:sz w:val="20"/>
          <w:vertAlign w:val="superscript"/>
        </w:rPr>
        <w:t>20</w:t>
      </w:r>
      <w:r>
        <w:rPr>
          <w:sz w:val="20"/>
        </w:rPr>
        <w:t xml:space="preserve"> A rigor, importa esclarecer que a CUEM não exige prévia desafetação do bem público para titulação – no que diverge, a propósito, da concessão de direito real de uso (AGUIAR; BORBA, 2006, p. 150). Aqui se entende que, uma vez cumpridos os pressupostos e não sendo caso de aplicação das exceções contidas nos arts. 4º e 5º da MP nº 2.220/2001, o bem não poderá ser afetado a uma finalidade diversa até e se extinta a concessão.</w:t>
      </w:r>
    </w:p>
    <w:p w:rsidR="007259F2" w:rsidRDefault="00E655B4">
      <w:pPr>
        <w:ind w:left="710" w:right="985"/>
        <w:jc w:val="both"/>
        <w:rPr>
          <w:sz w:val="20"/>
        </w:rPr>
      </w:pPr>
      <w:r>
        <w:rPr>
          <w:sz w:val="20"/>
          <w:vertAlign w:val="superscript"/>
        </w:rPr>
        <w:t>21</w:t>
      </w:r>
      <w:r>
        <w:rPr>
          <w:sz w:val="20"/>
        </w:rPr>
        <w:t xml:space="preserve"> Tal</w:t>
      </w:r>
      <w:r>
        <w:rPr>
          <w:spacing w:val="-1"/>
          <w:sz w:val="20"/>
        </w:rPr>
        <w:t xml:space="preserve"> </w:t>
      </w:r>
      <w:r>
        <w:rPr>
          <w:sz w:val="20"/>
        </w:rPr>
        <w:t>qual preleciona o Des. Venício Antônio de Paula (2006, p.</w:t>
      </w:r>
      <w:r>
        <w:rPr>
          <w:spacing w:val="-1"/>
          <w:sz w:val="20"/>
        </w:rPr>
        <w:t xml:space="preserve"> </w:t>
      </w:r>
      <w:r>
        <w:rPr>
          <w:sz w:val="20"/>
        </w:rPr>
        <w:t>103): “a Carta Maior, como não poderia deixar de ser, indicou os pontos de prioridade primária, como a saúde, educação e moradia, atrelando-os àquilo que se pode denominar de focos de prioridade secundária, ligados à melhoria coletiva da vida, que tem como uma das formas mais efetivas a obtenção de cidades e metrópoles melhor organizadas em termos de assentamento e de ocupação dos espaços urbanos”.</w:t>
      </w:r>
    </w:p>
    <w:p w:rsidR="007259F2" w:rsidRDefault="007259F2">
      <w:pPr>
        <w:jc w:val="both"/>
        <w:rPr>
          <w:sz w:val="20"/>
        </w:rPr>
        <w:sectPr w:rsidR="007259F2">
          <w:pgSz w:w="11910" w:h="16840"/>
          <w:pgMar w:top="1280" w:right="708" w:bottom="1160" w:left="992" w:header="0" w:footer="962" w:gutter="0"/>
          <w:cols w:space="720"/>
        </w:sectPr>
      </w:pPr>
    </w:p>
    <w:p w:rsidR="007259F2" w:rsidRDefault="00E655B4">
      <w:pPr>
        <w:pStyle w:val="Heading2"/>
        <w:numPr>
          <w:ilvl w:val="1"/>
          <w:numId w:val="37"/>
        </w:numPr>
        <w:tabs>
          <w:tab w:val="left" w:pos="1079"/>
        </w:tabs>
        <w:spacing w:before="77"/>
        <w:ind w:hanging="367"/>
        <w:jc w:val="both"/>
      </w:pPr>
      <w:r>
        <w:lastRenderedPageBreak/>
        <w:t>Considerações</w:t>
      </w:r>
      <w:r>
        <w:rPr>
          <w:spacing w:val="-9"/>
        </w:rPr>
        <w:t xml:space="preserve"> </w:t>
      </w:r>
      <w:r>
        <w:t>sobre</w:t>
      </w:r>
      <w:r>
        <w:rPr>
          <w:spacing w:val="-4"/>
        </w:rPr>
        <w:t xml:space="preserve"> </w:t>
      </w:r>
      <w:r>
        <w:t>as</w:t>
      </w:r>
      <w:r>
        <w:rPr>
          <w:spacing w:val="3"/>
        </w:rPr>
        <w:t xml:space="preserve"> </w:t>
      </w:r>
      <w:r>
        <w:t>hipóteses</w:t>
      </w:r>
      <w:r>
        <w:rPr>
          <w:spacing w:val="-3"/>
        </w:rPr>
        <w:t xml:space="preserve"> </w:t>
      </w:r>
      <w:r>
        <w:t>de</w:t>
      </w:r>
      <w:r>
        <w:rPr>
          <w:spacing w:val="-6"/>
        </w:rPr>
        <w:t xml:space="preserve"> </w:t>
      </w:r>
      <w:r>
        <w:t>realocação</w:t>
      </w:r>
      <w:r>
        <w:rPr>
          <w:spacing w:val="2"/>
        </w:rPr>
        <w:t xml:space="preserve"> </w:t>
      </w:r>
      <w:r>
        <w:t>legalmente</w:t>
      </w:r>
      <w:r>
        <w:rPr>
          <w:spacing w:val="-5"/>
        </w:rPr>
        <w:t xml:space="preserve"> </w:t>
      </w:r>
      <w:r>
        <w:rPr>
          <w:spacing w:val="-2"/>
        </w:rPr>
        <w:t>autorizadas</w:t>
      </w:r>
    </w:p>
    <w:p w:rsidR="007259F2" w:rsidRDefault="00E655B4">
      <w:pPr>
        <w:pStyle w:val="Corpodetexto"/>
        <w:spacing w:before="113"/>
        <w:ind w:right="990"/>
      </w:pPr>
      <w:r>
        <w:t>Compreender</w:t>
      </w:r>
      <w:r>
        <w:rPr>
          <w:spacing w:val="-2"/>
        </w:rPr>
        <w:t xml:space="preserve"> </w:t>
      </w:r>
      <w:r>
        <w:t>o</w:t>
      </w:r>
      <w:r>
        <w:rPr>
          <w:spacing w:val="-1"/>
        </w:rPr>
        <w:t xml:space="preserve"> </w:t>
      </w:r>
      <w:r>
        <w:t>papel</w:t>
      </w:r>
      <w:r>
        <w:rPr>
          <w:spacing w:val="-1"/>
        </w:rPr>
        <w:t xml:space="preserve"> </w:t>
      </w:r>
      <w:r>
        <w:t>do Estado</w:t>
      </w:r>
      <w:r>
        <w:rPr>
          <w:spacing w:val="-2"/>
        </w:rPr>
        <w:t xml:space="preserve"> </w:t>
      </w:r>
      <w:r>
        <w:t>como</w:t>
      </w:r>
      <w:r>
        <w:rPr>
          <w:spacing w:val="-1"/>
        </w:rPr>
        <w:t xml:space="preserve"> </w:t>
      </w:r>
      <w:r>
        <w:t>agente</w:t>
      </w:r>
      <w:r>
        <w:rPr>
          <w:spacing w:val="-2"/>
        </w:rPr>
        <w:t xml:space="preserve"> </w:t>
      </w:r>
      <w:r>
        <w:t>primordial</w:t>
      </w:r>
      <w:r>
        <w:rPr>
          <w:spacing w:val="-1"/>
        </w:rPr>
        <w:t xml:space="preserve"> </w:t>
      </w:r>
      <w:r>
        <w:t>na</w:t>
      </w:r>
      <w:r>
        <w:rPr>
          <w:spacing w:val="-2"/>
        </w:rPr>
        <w:t xml:space="preserve"> </w:t>
      </w:r>
      <w:r>
        <w:t>transformação</w:t>
      </w:r>
      <w:r>
        <w:rPr>
          <w:spacing w:val="-1"/>
        </w:rPr>
        <w:t xml:space="preserve"> </w:t>
      </w:r>
      <w:r>
        <w:t>social no âmbito habitacional implica reconhecer seu dever de diligência: não é suficiente apenas</w:t>
      </w:r>
      <w:r>
        <w:rPr>
          <w:spacing w:val="-8"/>
        </w:rPr>
        <w:t xml:space="preserve"> </w:t>
      </w:r>
      <w:r>
        <w:t>conceder</w:t>
      </w:r>
      <w:r>
        <w:rPr>
          <w:spacing w:val="-3"/>
        </w:rPr>
        <w:t xml:space="preserve"> </w:t>
      </w:r>
      <w:r>
        <w:t>o</w:t>
      </w:r>
      <w:r>
        <w:rPr>
          <w:spacing w:val="-3"/>
        </w:rPr>
        <w:t xml:space="preserve"> </w:t>
      </w:r>
      <w:r>
        <w:t>uso</w:t>
      </w:r>
      <w:r>
        <w:rPr>
          <w:spacing w:val="-3"/>
        </w:rPr>
        <w:t xml:space="preserve"> </w:t>
      </w:r>
      <w:r>
        <w:t>de</w:t>
      </w:r>
      <w:r>
        <w:rPr>
          <w:spacing w:val="-2"/>
        </w:rPr>
        <w:t xml:space="preserve"> </w:t>
      </w:r>
      <w:r>
        <w:t>terras</w:t>
      </w:r>
      <w:r>
        <w:rPr>
          <w:spacing w:val="-1"/>
        </w:rPr>
        <w:t xml:space="preserve"> </w:t>
      </w:r>
      <w:r>
        <w:t>estatais</w:t>
      </w:r>
      <w:r>
        <w:rPr>
          <w:spacing w:val="-3"/>
        </w:rPr>
        <w:t xml:space="preserve"> </w:t>
      </w:r>
      <w:r>
        <w:t>para</w:t>
      </w:r>
      <w:r>
        <w:rPr>
          <w:spacing w:val="-5"/>
        </w:rPr>
        <w:t xml:space="preserve"> </w:t>
      </w:r>
      <w:r>
        <w:t>moradia.</w:t>
      </w:r>
      <w:r>
        <w:rPr>
          <w:spacing w:val="-3"/>
        </w:rPr>
        <w:t xml:space="preserve"> </w:t>
      </w:r>
      <w:r>
        <w:t>É</w:t>
      </w:r>
      <w:r>
        <w:rPr>
          <w:spacing w:val="-4"/>
        </w:rPr>
        <w:t xml:space="preserve"> </w:t>
      </w:r>
      <w:r>
        <w:t>imperativo</w:t>
      </w:r>
      <w:r>
        <w:rPr>
          <w:spacing w:val="-3"/>
        </w:rPr>
        <w:t xml:space="preserve"> </w:t>
      </w:r>
      <w:r>
        <w:t>um</w:t>
      </w:r>
      <w:r>
        <w:rPr>
          <w:spacing w:val="-1"/>
        </w:rPr>
        <w:t xml:space="preserve"> </w:t>
      </w:r>
      <w:r>
        <w:t>exame</w:t>
      </w:r>
      <w:r>
        <w:rPr>
          <w:spacing w:val="-3"/>
        </w:rPr>
        <w:t xml:space="preserve"> </w:t>
      </w:r>
      <w:r>
        <w:t>criterioso da adequação do local do imóvel, visando prevenir riscos relacionados à defesa civil e, de interesse público particular, evitar a ocupação de áreas destinadas ao uso comum ou</w:t>
      </w:r>
      <w:r>
        <w:rPr>
          <w:spacing w:val="80"/>
        </w:rPr>
        <w:t xml:space="preserve"> </w:t>
      </w:r>
      <w:r>
        <w:t xml:space="preserve">a outros propósitos prioritários justificáveis pelo Estado (AGUIAR; BORBA, 2006, p. </w:t>
      </w:r>
      <w:r>
        <w:rPr>
          <w:spacing w:val="-2"/>
        </w:rPr>
        <w:t>165).</w:t>
      </w:r>
    </w:p>
    <w:p w:rsidR="007259F2" w:rsidRDefault="00E655B4">
      <w:pPr>
        <w:pStyle w:val="Corpodetexto"/>
        <w:ind w:right="995"/>
      </w:pPr>
      <w:r>
        <w:t>No processo de elaboração do Estatuto da Cidade, a concessão de uso foi concebida sem muito esmero pelo legislador ordinário, sendo toda a seção legal destinada ao assunto vetada por contrariar o interesse público. Segundo os fundamentos do veto presidencial:</w:t>
      </w:r>
    </w:p>
    <w:p w:rsidR="007259F2" w:rsidRDefault="007259F2">
      <w:pPr>
        <w:pStyle w:val="Corpodetexto"/>
        <w:spacing w:before="2"/>
        <w:ind w:left="0" w:firstLine="0"/>
        <w:jc w:val="left"/>
      </w:pPr>
    </w:p>
    <w:p w:rsidR="007259F2" w:rsidRDefault="00E655B4">
      <w:pPr>
        <w:ind w:left="2978" w:right="988"/>
        <w:jc w:val="both"/>
        <w:rPr>
          <w:sz w:val="20"/>
        </w:rPr>
      </w:pPr>
      <w:r>
        <w:rPr>
          <w:sz w:val="20"/>
        </w:rPr>
        <w:t>O caput do art. 15 do projeto de lei assegura o direito à concessão de uso especial</w:t>
      </w:r>
      <w:r>
        <w:rPr>
          <w:spacing w:val="-6"/>
          <w:sz w:val="20"/>
        </w:rPr>
        <w:t xml:space="preserve"> </w:t>
      </w:r>
      <w:r>
        <w:rPr>
          <w:sz w:val="20"/>
        </w:rPr>
        <w:t>para fins</w:t>
      </w:r>
      <w:r>
        <w:rPr>
          <w:spacing w:val="-1"/>
          <w:sz w:val="20"/>
        </w:rPr>
        <w:t xml:space="preserve"> </w:t>
      </w:r>
      <w:r>
        <w:rPr>
          <w:sz w:val="20"/>
        </w:rPr>
        <w:t>de moradia àquele que possuir como sua área ou edificação urbana de até duzentos e cinqüenta metros quadrados situada em imóvel público. A expressão “edificação urbana” no dispositivo visaria a permitir a regularização de cortiços em imóveis públicos, que no entanto é viabilizada pela concessão a título coletivo, prevista no art. 16. Ela se presta, por outro lado, a outra leitura, que poderia gerar demandas injustificadas do direito em questão por parte de ocupantes de habitações individuais de até duzentos e cinqüenta metros quadrados de área edificada em imóvel público.</w:t>
      </w:r>
    </w:p>
    <w:p w:rsidR="007259F2" w:rsidRDefault="00E655B4">
      <w:pPr>
        <w:spacing w:before="1"/>
        <w:ind w:left="2978" w:right="988"/>
        <w:jc w:val="both"/>
        <w:rPr>
          <w:sz w:val="20"/>
        </w:rPr>
      </w:pPr>
      <w:r>
        <w:rPr>
          <w:sz w:val="20"/>
        </w:rPr>
        <w:t>Os</w:t>
      </w:r>
      <w:r>
        <w:rPr>
          <w:spacing w:val="-3"/>
          <w:sz w:val="20"/>
        </w:rPr>
        <w:t xml:space="preserve"> </w:t>
      </w:r>
      <w:r>
        <w:rPr>
          <w:sz w:val="20"/>
        </w:rPr>
        <w:t>arts.</w:t>
      </w:r>
      <w:r>
        <w:rPr>
          <w:spacing w:val="-2"/>
          <w:sz w:val="20"/>
        </w:rPr>
        <w:t xml:space="preserve"> </w:t>
      </w:r>
      <w:r>
        <w:rPr>
          <w:sz w:val="20"/>
        </w:rPr>
        <w:t>15</w:t>
      </w:r>
      <w:r>
        <w:rPr>
          <w:spacing w:val="-1"/>
          <w:sz w:val="20"/>
        </w:rPr>
        <w:t xml:space="preserve"> </w:t>
      </w:r>
      <w:r>
        <w:rPr>
          <w:sz w:val="20"/>
        </w:rPr>
        <w:t>a</w:t>
      </w:r>
      <w:r>
        <w:rPr>
          <w:spacing w:val="-2"/>
          <w:sz w:val="20"/>
        </w:rPr>
        <w:t xml:space="preserve"> </w:t>
      </w:r>
      <w:r>
        <w:rPr>
          <w:sz w:val="20"/>
        </w:rPr>
        <w:t>20</w:t>
      </w:r>
      <w:r>
        <w:rPr>
          <w:spacing w:val="-1"/>
          <w:sz w:val="20"/>
        </w:rPr>
        <w:t xml:space="preserve"> </w:t>
      </w:r>
      <w:r>
        <w:rPr>
          <w:sz w:val="20"/>
        </w:rPr>
        <w:t>do</w:t>
      </w:r>
      <w:r>
        <w:rPr>
          <w:spacing w:val="-1"/>
          <w:sz w:val="20"/>
        </w:rPr>
        <w:t xml:space="preserve"> </w:t>
      </w:r>
      <w:r>
        <w:rPr>
          <w:sz w:val="20"/>
        </w:rPr>
        <w:t>projeto</w:t>
      </w:r>
      <w:r>
        <w:rPr>
          <w:spacing w:val="-3"/>
          <w:sz w:val="20"/>
        </w:rPr>
        <w:t xml:space="preserve"> </w:t>
      </w:r>
      <w:r>
        <w:rPr>
          <w:sz w:val="20"/>
        </w:rPr>
        <w:t>de</w:t>
      </w:r>
      <w:r>
        <w:rPr>
          <w:spacing w:val="-2"/>
          <w:sz w:val="20"/>
        </w:rPr>
        <w:t xml:space="preserve"> </w:t>
      </w:r>
      <w:r>
        <w:rPr>
          <w:sz w:val="20"/>
        </w:rPr>
        <w:t>lei</w:t>
      </w:r>
      <w:r>
        <w:rPr>
          <w:spacing w:val="-2"/>
          <w:sz w:val="20"/>
        </w:rPr>
        <w:t xml:space="preserve"> </w:t>
      </w:r>
      <w:r>
        <w:rPr>
          <w:sz w:val="20"/>
        </w:rPr>
        <w:t>contrariam</w:t>
      </w:r>
      <w:r>
        <w:rPr>
          <w:spacing w:val="-4"/>
          <w:sz w:val="20"/>
        </w:rPr>
        <w:t xml:space="preserve"> </w:t>
      </w:r>
      <w:r>
        <w:rPr>
          <w:sz w:val="20"/>
        </w:rPr>
        <w:t>o</w:t>
      </w:r>
      <w:r>
        <w:rPr>
          <w:spacing w:val="-1"/>
          <w:sz w:val="20"/>
        </w:rPr>
        <w:t xml:space="preserve"> </w:t>
      </w:r>
      <w:r>
        <w:rPr>
          <w:sz w:val="20"/>
        </w:rPr>
        <w:t>interesse</w:t>
      </w:r>
      <w:r>
        <w:rPr>
          <w:spacing w:val="-2"/>
          <w:sz w:val="20"/>
        </w:rPr>
        <w:t xml:space="preserve"> </w:t>
      </w:r>
      <w:r>
        <w:rPr>
          <w:sz w:val="20"/>
        </w:rPr>
        <w:t>público</w:t>
      </w:r>
      <w:r>
        <w:rPr>
          <w:spacing w:val="-1"/>
          <w:sz w:val="20"/>
        </w:rPr>
        <w:t xml:space="preserve"> </w:t>
      </w:r>
      <w:r>
        <w:rPr>
          <w:sz w:val="20"/>
        </w:rPr>
        <w:t>sobretudo</w:t>
      </w:r>
      <w:r>
        <w:rPr>
          <w:spacing w:val="-1"/>
          <w:sz w:val="20"/>
        </w:rPr>
        <w:t xml:space="preserve"> </w:t>
      </w:r>
      <w:r>
        <w:rPr>
          <w:sz w:val="20"/>
        </w:rPr>
        <w:t>por não ressalvarem do direito à concessão de uso especial os imóveis públicos afetados ao uso comum do povo, como praças e ruas, assim como áreas urbanas de interesse da defesa nacional, da preservação ambiental ou destinadas a obras públicas. Seria mais do</w:t>
      </w:r>
      <w:r>
        <w:rPr>
          <w:spacing w:val="-4"/>
          <w:sz w:val="20"/>
        </w:rPr>
        <w:t xml:space="preserve"> </w:t>
      </w:r>
      <w:r>
        <w:rPr>
          <w:sz w:val="20"/>
        </w:rPr>
        <w:t>que</w:t>
      </w:r>
      <w:r>
        <w:rPr>
          <w:spacing w:val="-5"/>
          <w:sz w:val="20"/>
        </w:rPr>
        <w:t xml:space="preserve"> </w:t>
      </w:r>
      <w:r>
        <w:rPr>
          <w:sz w:val="20"/>
        </w:rPr>
        <w:t>razoável,</w:t>
      </w:r>
      <w:r>
        <w:rPr>
          <w:spacing w:val="-6"/>
          <w:sz w:val="20"/>
        </w:rPr>
        <w:t xml:space="preserve"> </w:t>
      </w:r>
      <w:r>
        <w:rPr>
          <w:sz w:val="20"/>
        </w:rPr>
        <w:t>em</w:t>
      </w:r>
      <w:r>
        <w:rPr>
          <w:spacing w:val="-7"/>
          <w:sz w:val="20"/>
        </w:rPr>
        <w:t xml:space="preserve"> </w:t>
      </w:r>
      <w:r>
        <w:rPr>
          <w:sz w:val="20"/>
        </w:rPr>
        <w:t>caso</w:t>
      </w:r>
      <w:r>
        <w:rPr>
          <w:spacing w:val="-5"/>
          <w:sz w:val="20"/>
        </w:rPr>
        <w:t xml:space="preserve"> </w:t>
      </w:r>
      <w:r>
        <w:rPr>
          <w:sz w:val="20"/>
        </w:rPr>
        <w:t>de</w:t>
      </w:r>
      <w:r>
        <w:rPr>
          <w:spacing w:val="-8"/>
          <w:sz w:val="20"/>
        </w:rPr>
        <w:t xml:space="preserve"> </w:t>
      </w:r>
      <w:r>
        <w:rPr>
          <w:sz w:val="20"/>
        </w:rPr>
        <w:t xml:space="preserve">ocupação dessas áreas, possibilitar a satisfação do direito à moradia em outro local, como prevê o art. 17 em relação à ocupação de áreas de risco (BRASIL, </w:t>
      </w:r>
      <w:r>
        <w:rPr>
          <w:spacing w:val="-2"/>
          <w:sz w:val="20"/>
        </w:rPr>
        <w:t>2021c).</w:t>
      </w:r>
    </w:p>
    <w:p w:rsidR="007259F2" w:rsidRDefault="00E655B4">
      <w:pPr>
        <w:pStyle w:val="Corpodetexto"/>
        <w:spacing w:before="228"/>
        <w:ind w:right="987"/>
      </w:pPr>
      <w:r>
        <w:t>Fundamentadamente, o veto presidencial se ateve a detalhes que não poderiam mesmo passar desapercebidos. É frequente que assentamentos informais se aloquem em áreas remotas da cidade que detêm risco elevado de desabamento ou inadequação para moradia</w:t>
      </w:r>
      <w:r>
        <w:rPr>
          <w:spacing w:val="-4"/>
        </w:rPr>
        <w:t xml:space="preserve"> </w:t>
      </w:r>
      <w:r>
        <w:t>humana.</w:t>
      </w:r>
      <w:r>
        <w:rPr>
          <w:vertAlign w:val="superscript"/>
        </w:rPr>
        <w:t>22</w:t>
      </w:r>
      <w:r>
        <w:rPr>
          <w:spacing w:val="-2"/>
        </w:rPr>
        <w:t xml:space="preserve"> </w:t>
      </w:r>
      <w:r>
        <w:t>O</w:t>
      </w:r>
      <w:r>
        <w:rPr>
          <w:spacing w:val="-3"/>
        </w:rPr>
        <w:t xml:space="preserve"> </w:t>
      </w:r>
      <w:r>
        <w:t>risco</w:t>
      </w:r>
      <w:r>
        <w:rPr>
          <w:spacing w:val="-2"/>
        </w:rPr>
        <w:t xml:space="preserve"> </w:t>
      </w:r>
      <w:r>
        <w:t>de</w:t>
      </w:r>
      <w:r>
        <w:rPr>
          <w:spacing w:val="-4"/>
        </w:rPr>
        <w:t xml:space="preserve"> </w:t>
      </w:r>
      <w:r>
        <w:t>desabamento</w:t>
      </w:r>
      <w:r>
        <w:rPr>
          <w:spacing w:val="-3"/>
        </w:rPr>
        <w:t xml:space="preserve"> </w:t>
      </w:r>
      <w:r>
        <w:t>de</w:t>
      </w:r>
      <w:r>
        <w:rPr>
          <w:spacing w:val="-4"/>
        </w:rPr>
        <w:t xml:space="preserve"> </w:t>
      </w:r>
      <w:r>
        <w:t>terras</w:t>
      </w:r>
      <w:r>
        <w:rPr>
          <w:spacing w:val="-3"/>
        </w:rPr>
        <w:t xml:space="preserve"> </w:t>
      </w:r>
      <w:r>
        <w:t>nos</w:t>
      </w:r>
      <w:r>
        <w:rPr>
          <w:spacing w:val="-3"/>
        </w:rPr>
        <w:t xml:space="preserve"> </w:t>
      </w:r>
      <w:r>
        <w:t>remonta,</w:t>
      </w:r>
      <w:r>
        <w:rPr>
          <w:spacing w:val="-1"/>
        </w:rPr>
        <w:t xml:space="preserve"> </w:t>
      </w:r>
      <w:r>
        <w:t>ainda,</w:t>
      </w:r>
      <w:r>
        <w:rPr>
          <w:spacing w:val="-2"/>
        </w:rPr>
        <w:t xml:space="preserve"> </w:t>
      </w:r>
      <w:r>
        <w:t>à</w:t>
      </w:r>
      <w:r>
        <w:rPr>
          <w:spacing w:val="-1"/>
        </w:rPr>
        <w:t xml:space="preserve"> </w:t>
      </w:r>
      <w:r>
        <w:t>possibilidade de desabamento de prédios urbanos que, sob o abandono do Poder Público e daí, sob a ocupação</w:t>
      </w:r>
      <w:r>
        <w:rPr>
          <w:spacing w:val="-1"/>
        </w:rPr>
        <w:t xml:space="preserve"> </w:t>
      </w:r>
      <w:r>
        <w:t>humana, não</w:t>
      </w:r>
      <w:r>
        <w:rPr>
          <w:spacing w:val="-1"/>
        </w:rPr>
        <w:t xml:space="preserve"> </w:t>
      </w:r>
      <w:r>
        <w:t>poderiam</w:t>
      </w:r>
      <w:r>
        <w:rPr>
          <w:spacing w:val="-1"/>
        </w:rPr>
        <w:t xml:space="preserve"> </w:t>
      </w:r>
      <w:r>
        <w:t>mesmo</w:t>
      </w:r>
      <w:r>
        <w:rPr>
          <w:spacing w:val="-1"/>
        </w:rPr>
        <w:t xml:space="preserve"> </w:t>
      </w:r>
      <w:r>
        <w:t>servir</w:t>
      </w:r>
      <w:r>
        <w:rPr>
          <w:spacing w:val="-2"/>
        </w:rPr>
        <w:t xml:space="preserve"> </w:t>
      </w:r>
      <w:r>
        <w:t>ao propósito</w:t>
      </w:r>
      <w:r>
        <w:rPr>
          <w:spacing w:val="-1"/>
        </w:rPr>
        <w:t xml:space="preserve"> </w:t>
      </w:r>
      <w:r>
        <w:t>habitacional,</w:t>
      </w:r>
      <w:r>
        <w:rPr>
          <w:vertAlign w:val="superscript"/>
        </w:rPr>
        <w:t>23</w:t>
      </w:r>
      <w:r>
        <w:t xml:space="preserve"> em</w:t>
      </w:r>
      <w:r>
        <w:rPr>
          <w:spacing w:val="-1"/>
        </w:rPr>
        <w:t xml:space="preserve"> </w:t>
      </w:r>
      <w:r>
        <w:t>que</w:t>
      </w:r>
      <w:r>
        <w:rPr>
          <w:spacing w:val="-2"/>
        </w:rPr>
        <w:t xml:space="preserve"> </w:t>
      </w:r>
      <w:r>
        <w:t>pese a boa intenção do legislador.</w:t>
      </w:r>
      <w:r>
        <w:rPr>
          <w:vertAlign w:val="superscript"/>
        </w:rPr>
        <w:t>24</w:t>
      </w:r>
    </w:p>
    <w:p w:rsidR="007259F2" w:rsidRDefault="00E655B4">
      <w:pPr>
        <w:pStyle w:val="Corpodetexto"/>
        <w:ind w:right="988"/>
      </w:pPr>
      <w:r>
        <w:t>A MP nº 2.220/2001 partiu, portanto, do intuito presidencial de regular a concessão de uso para fins de moradia de forma adequada e orgânica – fez constar mensagem ao Congresso Nacional ao dizer que, em razão do veto aos arts. 15 a 20 do projeto</w:t>
      </w:r>
      <w:r>
        <w:rPr>
          <w:spacing w:val="-6"/>
        </w:rPr>
        <w:t xml:space="preserve"> </w:t>
      </w:r>
      <w:r>
        <w:t>de</w:t>
      </w:r>
      <w:r>
        <w:rPr>
          <w:spacing w:val="-9"/>
        </w:rPr>
        <w:t xml:space="preserve"> </w:t>
      </w:r>
      <w:r>
        <w:t>lei,</w:t>
      </w:r>
      <w:r>
        <w:rPr>
          <w:spacing w:val="-8"/>
        </w:rPr>
        <w:t xml:space="preserve"> </w:t>
      </w:r>
      <w:r>
        <w:t>“em</w:t>
      </w:r>
      <w:r>
        <w:rPr>
          <w:spacing w:val="-3"/>
        </w:rPr>
        <w:t xml:space="preserve"> </w:t>
      </w:r>
      <w:r>
        <w:t>reconhecimento à</w:t>
      </w:r>
      <w:r>
        <w:rPr>
          <w:spacing w:val="-8"/>
        </w:rPr>
        <w:t xml:space="preserve"> </w:t>
      </w:r>
      <w:r>
        <w:t>importância</w:t>
      </w:r>
      <w:r>
        <w:rPr>
          <w:spacing w:val="-3"/>
        </w:rPr>
        <w:t xml:space="preserve"> </w:t>
      </w:r>
      <w:r>
        <w:t>e</w:t>
      </w:r>
      <w:r>
        <w:rPr>
          <w:spacing w:val="-9"/>
        </w:rPr>
        <w:t xml:space="preserve"> </w:t>
      </w:r>
      <w:r>
        <w:t>validade</w:t>
      </w:r>
      <w:r>
        <w:rPr>
          <w:spacing w:val="-6"/>
        </w:rPr>
        <w:t xml:space="preserve"> </w:t>
      </w:r>
      <w:r>
        <w:t>do</w:t>
      </w:r>
      <w:r>
        <w:rPr>
          <w:spacing w:val="-8"/>
        </w:rPr>
        <w:t xml:space="preserve"> </w:t>
      </w:r>
      <w:r>
        <w:t>instituto</w:t>
      </w:r>
      <w:r>
        <w:rPr>
          <w:spacing w:val="-7"/>
        </w:rPr>
        <w:t xml:space="preserve"> </w:t>
      </w:r>
      <w:r>
        <w:t>da</w:t>
      </w:r>
      <w:r>
        <w:rPr>
          <w:spacing w:val="-11"/>
        </w:rPr>
        <w:t xml:space="preserve"> </w:t>
      </w:r>
      <w:r>
        <w:t>concessão</w:t>
      </w:r>
      <w:r>
        <w:rPr>
          <w:spacing w:val="-6"/>
        </w:rPr>
        <w:t xml:space="preserve"> </w:t>
      </w:r>
      <w:r>
        <w:t>de uso especial para fins de moradia, o Poder Executivo submeter[ia] sem demora ao Congresso Nacional um texto normativo que preench[eria] essa lacuna, buscando sanar as imprecisões apontadas” (BRASIL, 2001c).</w:t>
      </w:r>
    </w:p>
    <w:p w:rsidR="007259F2" w:rsidRDefault="007259F2">
      <w:pPr>
        <w:pStyle w:val="Corpodetexto"/>
        <w:ind w:left="0" w:firstLine="0"/>
        <w:jc w:val="left"/>
        <w:rPr>
          <w:sz w:val="20"/>
        </w:rPr>
      </w:pPr>
    </w:p>
    <w:p w:rsidR="007259F2" w:rsidRDefault="00DE6B1C">
      <w:pPr>
        <w:pStyle w:val="Corpodetexto"/>
        <w:spacing w:before="92"/>
        <w:ind w:left="0" w:firstLine="0"/>
        <w:jc w:val="left"/>
        <w:rPr>
          <w:sz w:val="20"/>
        </w:rPr>
      </w:pPr>
      <w:r w:rsidRPr="00DE6B1C">
        <w:rPr>
          <w:sz w:val="20"/>
        </w:rPr>
        <w:pict>
          <v:rect id="docshape61" o:spid="_x0000_s1165" style="position:absolute;margin-left:85.1pt;margin-top:17.3pt;width:2in;height:.7pt;z-index:-15705600;mso-wrap-distance-left:0;mso-wrap-distance-right:0;mso-position-horizontal-relative:page" fillcolor="black" stroked="f">
            <w10:wrap type="topAndBottom" anchorx="page"/>
          </v:rect>
        </w:pict>
      </w:r>
    </w:p>
    <w:p w:rsidR="007259F2" w:rsidRDefault="00E655B4">
      <w:pPr>
        <w:spacing w:before="96"/>
        <w:ind w:left="710" w:right="987"/>
        <w:jc w:val="both"/>
        <w:rPr>
          <w:sz w:val="20"/>
        </w:rPr>
      </w:pPr>
      <w:r>
        <w:rPr>
          <w:sz w:val="20"/>
          <w:vertAlign w:val="superscript"/>
        </w:rPr>
        <w:t>22</w:t>
      </w:r>
      <w:r>
        <w:rPr>
          <w:spacing w:val="-13"/>
          <w:sz w:val="20"/>
        </w:rPr>
        <w:t xml:space="preserve"> </w:t>
      </w:r>
      <w:r>
        <w:rPr>
          <w:sz w:val="20"/>
        </w:rPr>
        <w:t>São</w:t>
      </w:r>
      <w:r>
        <w:rPr>
          <w:spacing w:val="-7"/>
          <w:sz w:val="20"/>
        </w:rPr>
        <w:t xml:space="preserve"> </w:t>
      </w:r>
      <w:r>
        <w:rPr>
          <w:sz w:val="20"/>
        </w:rPr>
        <w:t>muitos</w:t>
      </w:r>
      <w:r>
        <w:rPr>
          <w:spacing w:val="-13"/>
          <w:sz w:val="20"/>
        </w:rPr>
        <w:t xml:space="preserve"> </w:t>
      </w:r>
      <w:r>
        <w:rPr>
          <w:sz w:val="20"/>
        </w:rPr>
        <w:t>os</w:t>
      </w:r>
      <w:r>
        <w:rPr>
          <w:spacing w:val="-12"/>
          <w:sz w:val="20"/>
        </w:rPr>
        <w:t xml:space="preserve"> </w:t>
      </w:r>
      <w:r>
        <w:rPr>
          <w:sz w:val="20"/>
        </w:rPr>
        <w:t>fatos</w:t>
      </w:r>
      <w:r>
        <w:rPr>
          <w:spacing w:val="-13"/>
          <w:sz w:val="20"/>
        </w:rPr>
        <w:t xml:space="preserve"> </w:t>
      </w:r>
      <w:r>
        <w:rPr>
          <w:sz w:val="20"/>
        </w:rPr>
        <w:t>e</w:t>
      </w:r>
      <w:r>
        <w:rPr>
          <w:spacing w:val="-11"/>
          <w:sz w:val="20"/>
        </w:rPr>
        <w:t xml:space="preserve"> </w:t>
      </w:r>
      <w:r>
        <w:rPr>
          <w:sz w:val="20"/>
        </w:rPr>
        <w:t>muitas</w:t>
      </w:r>
      <w:r>
        <w:rPr>
          <w:spacing w:val="-12"/>
          <w:sz w:val="20"/>
        </w:rPr>
        <w:t xml:space="preserve"> </w:t>
      </w:r>
      <w:r>
        <w:rPr>
          <w:sz w:val="20"/>
        </w:rPr>
        <w:t>as</w:t>
      </w:r>
      <w:r>
        <w:rPr>
          <w:spacing w:val="-13"/>
          <w:sz w:val="20"/>
        </w:rPr>
        <w:t xml:space="preserve"> </w:t>
      </w:r>
      <w:r>
        <w:rPr>
          <w:sz w:val="20"/>
        </w:rPr>
        <w:t>notícias.</w:t>
      </w:r>
      <w:r>
        <w:rPr>
          <w:spacing w:val="-11"/>
          <w:sz w:val="20"/>
        </w:rPr>
        <w:t xml:space="preserve"> </w:t>
      </w:r>
      <w:r>
        <w:rPr>
          <w:sz w:val="20"/>
        </w:rPr>
        <w:t>Ilustrativamente,</w:t>
      </w:r>
      <w:r>
        <w:rPr>
          <w:spacing w:val="-13"/>
          <w:sz w:val="20"/>
        </w:rPr>
        <w:t xml:space="preserve"> </w:t>
      </w:r>
      <w:r>
        <w:rPr>
          <w:sz w:val="20"/>
        </w:rPr>
        <w:t>ver:</w:t>
      </w:r>
      <w:r>
        <w:rPr>
          <w:spacing w:val="-7"/>
          <w:sz w:val="20"/>
        </w:rPr>
        <w:t xml:space="preserve"> </w:t>
      </w:r>
      <w:r>
        <w:rPr>
          <w:sz w:val="20"/>
        </w:rPr>
        <w:t>Viana,</w:t>
      </w:r>
      <w:r>
        <w:rPr>
          <w:spacing w:val="-9"/>
          <w:sz w:val="20"/>
        </w:rPr>
        <w:t xml:space="preserve"> </w:t>
      </w:r>
      <w:r>
        <w:rPr>
          <w:sz w:val="20"/>
        </w:rPr>
        <w:t>2000,</w:t>
      </w:r>
      <w:r>
        <w:rPr>
          <w:spacing w:val="-13"/>
          <w:sz w:val="20"/>
        </w:rPr>
        <w:t xml:space="preserve"> </w:t>
      </w:r>
      <w:r>
        <w:rPr>
          <w:sz w:val="20"/>
        </w:rPr>
        <w:t>p.</w:t>
      </w:r>
      <w:r>
        <w:rPr>
          <w:spacing w:val="-12"/>
          <w:sz w:val="20"/>
        </w:rPr>
        <w:t xml:space="preserve"> </w:t>
      </w:r>
      <w:r>
        <w:rPr>
          <w:sz w:val="20"/>
        </w:rPr>
        <w:t>550;</w:t>
      </w:r>
      <w:r>
        <w:rPr>
          <w:spacing w:val="-13"/>
          <w:sz w:val="20"/>
        </w:rPr>
        <w:t xml:space="preserve"> </w:t>
      </w:r>
      <w:r>
        <w:rPr>
          <w:sz w:val="20"/>
        </w:rPr>
        <w:t>CAU/SP,</w:t>
      </w:r>
      <w:r>
        <w:rPr>
          <w:spacing w:val="-10"/>
          <w:sz w:val="20"/>
        </w:rPr>
        <w:t xml:space="preserve"> </w:t>
      </w:r>
      <w:r>
        <w:rPr>
          <w:sz w:val="20"/>
        </w:rPr>
        <w:t>2019;</w:t>
      </w:r>
      <w:r>
        <w:rPr>
          <w:spacing w:val="-12"/>
          <w:sz w:val="20"/>
        </w:rPr>
        <w:t xml:space="preserve"> </w:t>
      </w:r>
      <w:r>
        <w:rPr>
          <w:sz w:val="20"/>
        </w:rPr>
        <w:t xml:space="preserve">MST, </w:t>
      </w:r>
      <w:r>
        <w:rPr>
          <w:spacing w:val="-2"/>
          <w:sz w:val="20"/>
        </w:rPr>
        <w:t>2022.</w:t>
      </w:r>
    </w:p>
    <w:p w:rsidR="007259F2" w:rsidRDefault="00E655B4">
      <w:pPr>
        <w:ind w:left="710" w:right="1003"/>
        <w:jc w:val="both"/>
        <w:rPr>
          <w:sz w:val="20"/>
        </w:rPr>
      </w:pPr>
      <w:r>
        <w:rPr>
          <w:sz w:val="20"/>
          <w:vertAlign w:val="superscript"/>
        </w:rPr>
        <w:t>23</w:t>
      </w:r>
      <w:r>
        <w:rPr>
          <w:sz w:val="20"/>
        </w:rPr>
        <w:t xml:space="preserve"> Há outras maneiras de aproveitar esses edifícios para igual propósito, o que será mais</w:t>
      </w:r>
      <w:r>
        <w:rPr>
          <w:spacing w:val="-1"/>
          <w:sz w:val="20"/>
        </w:rPr>
        <w:t xml:space="preserve"> </w:t>
      </w:r>
      <w:r>
        <w:rPr>
          <w:sz w:val="20"/>
        </w:rPr>
        <w:t>bem</w:t>
      </w:r>
      <w:r>
        <w:rPr>
          <w:spacing w:val="-1"/>
          <w:sz w:val="20"/>
        </w:rPr>
        <w:t xml:space="preserve"> </w:t>
      </w:r>
      <w:r>
        <w:rPr>
          <w:sz w:val="20"/>
        </w:rPr>
        <w:t xml:space="preserve">trabalhado a </w:t>
      </w:r>
      <w:r>
        <w:rPr>
          <w:spacing w:val="-2"/>
          <w:sz w:val="20"/>
        </w:rPr>
        <w:t>seguir</w:t>
      </w:r>
    </w:p>
    <w:p w:rsidR="007259F2" w:rsidRDefault="00E655B4">
      <w:pPr>
        <w:ind w:left="710" w:right="999"/>
        <w:jc w:val="both"/>
        <w:rPr>
          <w:sz w:val="20"/>
        </w:rPr>
      </w:pPr>
      <w:r>
        <w:rPr>
          <w:sz w:val="20"/>
          <w:vertAlign w:val="superscript"/>
        </w:rPr>
        <w:t>24</w:t>
      </w:r>
      <w:r>
        <w:rPr>
          <w:sz w:val="20"/>
        </w:rPr>
        <w:t xml:space="preserve"> Como o famigerado desmoronamento do edifício Wilton Paes de Almeida, de 24 andares, situado no Largo do Paiçandu, São Paulo, Capital. Ocupado por 146 famílias do Movimento Luta por Moradia</w:t>
      </w:r>
      <w:r>
        <w:rPr>
          <w:spacing w:val="40"/>
          <w:sz w:val="20"/>
        </w:rPr>
        <w:t xml:space="preserve"> </w:t>
      </w:r>
      <w:r>
        <w:rPr>
          <w:sz w:val="20"/>
        </w:rPr>
        <w:t>Digna (LMD), o prédio foi consumido pelo fogo e desabou no pleno centro da cidade (TCU, 2022).</w:t>
      </w:r>
    </w:p>
    <w:p w:rsidR="007259F2" w:rsidRDefault="007259F2">
      <w:pPr>
        <w:jc w:val="both"/>
        <w:rPr>
          <w:sz w:val="20"/>
        </w:rPr>
        <w:sectPr w:rsidR="007259F2">
          <w:pgSz w:w="11910" w:h="16840"/>
          <w:pgMar w:top="1320" w:right="708" w:bottom="1160" w:left="992" w:header="0" w:footer="962" w:gutter="0"/>
          <w:cols w:space="720"/>
        </w:sectPr>
      </w:pPr>
    </w:p>
    <w:p w:rsidR="007259F2" w:rsidRDefault="00E655B4">
      <w:pPr>
        <w:pStyle w:val="Corpodetexto"/>
        <w:spacing w:before="69"/>
        <w:ind w:right="986"/>
      </w:pPr>
      <w:r>
        <w:lastRenderedPageBreak/>
        <w:t>Sobrevindo a</w:t>
      </w:r>
      <w:r>
        <w:rPr>
          <w:spacing w:val="-1"/>
        </w:rPr>
        <w:t xml:space="preserve"> </w:t>
      </w:r>
      <w:r>
        <w:t>iniciativa</w:t>
      </w:r>
      <w:r>
        <w:rPr>
          <w:spacing w:val="-1"/>
        </w:rPr>
        <w:t xml:space="preserve"> </w:t>
      </w:r>
      <w:r>
        <w:t>do Poder</w:t>
      </w:r>
      <w:r>
        <w:rPr>
          <w:spacing w:val="-1"/>
        </w:rPr>
        <w:t xml:space="preserve"> </w:t>
      </w:r>
      <w:r>
        <w:t>Executivo, o art. 4º da</w:t>
      </w:r>
      <w:r>
        <w:rPr>
          <w:spacing w:val="-1"/>
        </w:rPr>
        <w:t xml:space="preserve"> </w:t>
      </w:r>
      <w:r>
        <w:t>MP nº 2.220/2001 tratou de consignar que “no caso de a ocupação acarretar risco à vida ou à saúde dos</w:t>
      </w:r>
      <w:r>
        <w:rPr>
          <w:spacing w:val="40"/>
        </w:rPr>
        <w:t xml:space="preserve"> </w:t>
      </w:r>
      <w:r>
        <w:t>ocupantes, o Poder Público garantirá ao possuidor o exercício do direito [...] em outro local”.</w:t>
      </w:r>
      <w:r>
        <w:rPr>
          <w:spacing w:val="-1"/>
        </w:rPr>
        <w:t xml:space="preserve"> </w:t>
      </w:r>
      <w:r>
        <w:t>O</w:t>
      </w:r>
      <w:r>
        <w:rPr>
          <w:spacing w:val="-1"/>
        </w:rPr>
        <w:t xml:space="preserve"> </w:t>
      </w:r>
      <w:r>
        <w:t>art.</w:t>
      </w:r>
      <w:r>
        <w:rPr>
          <w:spacing w:val="-1"/>
        </w:rPr>
        <w:t xml:space="preserve"> </w:t>
      </w:r>
      <w:r>
        <w:t>5º seguinte</w:t>
      </w:r>
      <w:r>
        <w:rPr>
          <w:spacing w:val="-1"/>
        </w:rPr>
        <w:t xml:space="preserve"> </w:t>
      </w:r>
      <w:r>
        <w:t>buscou trazer</w:t>
      </w:r>
      <w:r>
        <w:rPr>
          <w:spacing w:val="-1"/>
        </w:rPr>
        <w:t xml:space="preserve"> </w:t>
      </w:r>
      <w:r>
        <w:t>ainda</w:t>
      </w:r>
      <w:r>
        <w:rPr>
          <w:spacing w:val="-1"/>
        </w:rPr>
        <w:t xml:space="preserve"> </w:t>
      </w:r>
      <w:r>
        <w:t>um rol</w:t>
      </w:r>
      <w:r>
        <w:rPr>
          <w:spacing w:val="-1"/>
        </w:rPr>
        <w:t xml:space="preserve"> </w:t>
      </w:r>
      <w:r>
        <w:t>de</w:t>
      </w:r>
      <w:r>
        <w:rPr>
          <w:spacing w:val="-1"/>
        </w:rPr>
        <w:t xml:space="preserve"> </w:t>
      </w:r>
      <w:r>
        <w:t>situações para</w:t>
      </w:r>
      <w:r>
        <w:rPr>
          <w:spacing w:val="-2"/>
        </w:rPr>
        <w:t xml:space="preserve"> </w:t>
      </w:r>
      <w:r>
        <w:t>facultar</w:t>
      </w:r>
      <w:r>
        <w:rPr>
          <w:spacing w:val="-2"/>
        </w:rPr>
        <w:t xml:space="preserve"> </w:t>
      </w:r>
      <w:r>
        <w:t>“ao Poder Público assegurar o exercício do direito [...] em outro local na hipótese de ocupação de imóvel”: (</w:t>
      </w:r>
      <w:r>
        <w:rPr>
          <w:i/>
        </w:rPr>
        <w:t>i</w:t>
      </w:r>
      <w:r>
        <w:t>) de uso comum do povo; (</w:t>
      </w:r>
      <w:r>
        <w:rPr>
          <w:i/>
        </w:rPr>
        <w:t>ii</w:t>
      </w:r>
      <w:r>
        <w:t>) destinado a projeto de urbanização; (</w:t>
      </w:r>
      <w:r>
        <w:rPr>
          <w:i/>
        </w:rPr>
        <w:t>iii</w:t>
      </w:r>
      <w:r>
        <w:t>) de interesse da defesa nacional, da preservação ambiental e da proteção dos ecossistemas naturais; (</w:t>
      </w:r>
      <w:r>
        <w:rPr>
          <w:i/>
        </w:rPr>
        <w:t>iv</w:t>
      </w:r>
      <w:r>
        <w:t>) reservado à construção de represas e obras congêneres; ou (</w:t>
      </w:r>
      <w:r>
        <w:rPr>
          <w:i/>
        </w:rPr>
        <w:t>v</w:t>
      </w:r>
      <w:r>
        <w:t>) situado em via de comunicação (BRASIL, 2001b).</w:t>
      </w:r>
    </w:p>
    <w:p w:rsidR="007259F2" w:rsidRDefault="00E655B4">
      <w:pPr>
        <w:pStyle w:val="Corpodetexto"/>
        <w:spacing w:before="1"/>
        <w:ind w:right="986"/>
      </w:pPr>
      <w:r>
        <w:t xml:space="preserve">Tal negativa, contudo, não deve passar ao largo de uma fundamentação adequada. É uma faculdade do Poder Público para </w:t>
      </w:r>
      <w:r>
        <w:rPr>
          <w:i/>
        </w:rPr>
        <w:t xml:space="preserve">realocar </w:t>
      </w:r>
      <w:r>
        <w:t>o concessionário,</w:t>
      </w:r>
      <w:r>
        <w:rPr>
          <w:vertAlign w:val="superscript"/>
        </w:rPr>
        <w:t>25</w:t>
      </w:r>
      <w:r>
        <w:t xml:space="preserve"> jamais como</w:t>
      </w:r>
      <w:r>
        <w:rPr>
          <w:spacing w:val="-1"/>
        </w:rPr>
        <w:t xml:space="preserve"> </w:t>
      </w:r>
      <w:r>
        <w:rPr>
          <w:i/>
        </w:rPr>
        <w:t>negativa</w:t>
      </w:r>
      <w:r>
        <w:rPr>
          <w:i/>
          <w:spacing w:val="-1"/>
        </w:rPr>
        <w:t xml:space="preserve"> </w:t>
      </w:r>
      <w:r>
        <w:t>de</w:t>
      </w:r>
      <w:r>
        <w:rPr>
          <w:spacing w:val="-2"/>
        </w:rPr>
        <w:t xml:space="preserve"> </w:t>
      </w:r>
      <w:r>
        <w:t>titulação (SÃO</w:t>
      </w:r>
      <w:r>
        <w:rPr>
          <w:spacing w:val="-2"/>
        </w:rPr>
        <w:t xml:space="preserve"> </w:t>
      </w:r>
      <w:r>
        <w:t>PAULO,</w:t>
      </w:r>
      <w:r>
        <w:rPr>
          <w:spacing w:val="-1"/>
        </w:rPr>
        <w:t xml:space="preserve"> </w:t>
      </w:r>
      <w:r>
        <w:t>2021).</w:t>
      </w:r>
      <w:r>
        <w:rPr>
          <w:vertAlign w:val="superscript"/>
        </w:rPr>
        <w:t>26</w:t>
      </w:r>
      <w:r>
        <w:rPr>
          <w:spacing w:val="-1"/>
        </w:rPr>
        <w:t xml:space="preserve"> </w:t>
      </w:r>
      <w:r>
        <w:t>Assentamentos</w:t>
      </w:r>
      <w:r>
        <w:rPr>
          <w:spacing w:val="-1"/>
        </w:rPr>
        <w:t xml:space="preserve"> </w:t>
      </w:r>
      <w:r>
        <w:t>já</w:t>
      </w:r>
      <w:r>
        <w:rPr>
          <w:spacing w:val="-4"/>
        </w:rPr>
        <w:t xml:space="preserve"> </w:t>
      </w:r>
      <w:r>
        <w:t>ocorrem em</w:t>
      </w:r>
      <w:r>
        <w:rPr>
          <w:spacing w:val="-1"/>
        </w:rPr>
        <w:t xml:space="preserve"> </w:t>
      </w:r>
      <w:r>
        <w:t>Zona Especial de Interesse Social (ZEIS), que nos termos da Lei nº 13.465/2017 é “a parcela de</w:t>
      </w:r>
      <w:r>
        <w:rPr>
          <w:spacing w:val="-3"/>
        </w:rPr>
        <w:t xml:space="preserve"> </w:t>
      </w:r>
      <w:r>
        <w:t>área</w:t>
      </w:r>
      <w:r>
        <w:rPr>
          <w:spacing w:val="-1"/>
        </w:rPr>
        <w:t xml:space="preserve"> </w:t>
      </w:r>
      <w:r>
        <w:t>urbana</w:t>
      </w:r>
      <w:r>
        <w:rPr>
          <w:spacing w:val="-3"/>
        </w:rPr>
        <w:t xml:space="preserve"> </w:t>
      </w:r>
      <w:r>
        <w:t>instituída</w:t>
      </w:r>
      <w:r>
        <w:rPr>
          <w:spacing w:val="-4"/>
        </w:rPr>
        <w:t xml:space="preserve"> </w:t>
      </w:r>
      <w:r>
        <w:t>pelo</w:t>
      </w:r>
      <w:r>
        <w:rPr>
          <w:spacing w:val="-2"/>
        </w:rPr>
        <w:t xml:space="preserve"> </w:t>
      </w:r>
      <w:r>
        <w:t>plano diretor</w:t>
      </w:r>
      <w:r>
        <w:rPr>
          <w:spacing w:val="-7"/>
        </w:rPr>
        <w:t xml:space="preserve"> </w:t>
      </w:r>
      <w:r>
        <w:t>ou</w:t>
      </w:r>
      <w:r>
        <w:rPr>
          <w:spacing w:val="-10"/>
        </w:rPr>
        <w:t xml:space="preserve"> </w:t>
      </w:r>
      <w:r>
        <w:t>definida</w:t>
      </w:r>
      <w:r>
        <w:rPr>
          <w:spacing w:val="-9"/>
        </w:rPr>
        <w:t xml:space="preserve"> </w:t>
      </w:r>
      <w:r>
        <w:t>por</w:t>
      </w:r>
      <w:r>
        <w:rPr>
          <w:spacing w:val="-10"/>
        </w:rPr>
        <w:t xml:space="preserve"> </w:t>
      </w:r>
      <w:r>
        <w:t>outra</w:t>
      </w:r>
      <w:r>
        <w:rPr>
          <w:spacing w:val="-11"/>
        </w:rPr>
        <w:t xml:space="preserve"> </w:t>
      </w:r>
      <w:r>
        <w:t>lei</w:t>
      </w:r>
      <w:r>
        <w:rPr>
          <w:spacing w:val="-10"/>
        </w:rPr>
        <w:t xml:space="preserve"> </w:t>
      </w:r>
      <w:r>
        <w:t>municipal,</w:t>
      </w:r>
      <w:r>
        <w:rPr>
          <w:spacing w:val="-8"/>
        </w:rPr>
        <w:t xml:space="preserve"> </w:t>
      </w:r>
      <w:r>
        <w:t>destinada preponderantemente à população de baixa renda e sujeita a regras específicas de parcelamento, uso e ocupação do solo” (BRASIL, 2017).</w:t>
      </w:r>
    </w:p>
    <w:p w:rsidR="007259F2" w:rsidRDefault="00E655B4">
      <w:pPr>
        <w:pStyle w:val="Corpodetexto"/>
        <w:spacing w:before="1"/>
        <w:ind w:right="987"/>
      </w:pPr>
      <w:r>
        <w:t>Em tais casos, não havendo medidas em curso pelo Poder Público competente a fim de efetivar a</w:t>
      </w:r>
      <w:r>
        <w:rPr>
          <w:spacing w:val="-1"/>
        </w:rPr>
        <w:t xml:space="preserve"> </w:t>
      </w:r>
      <w:r>
        <w:t>referida ZEIS que</w:t>
      </w:r>
      <w:r>
        <w:rPr>
          <w:spacing w:val="-1"/>
        </w:rPr>
        <w:t xml:space="preserve"> </w:t>
      </w:r>
      <w:r>
        <w:t>porventura contenha um assentamento irregular,</w:t>
      </w:r>
      <w:r>
        <w:rPr>
          <w:spacing w:val="-1"/>
        </w:rPr>
        <w:t xml:space="preserve"> </w:t>
      </w:r>
      <w:r>
        <w:t>não parece caber uma realocação sob a faculdade do art. 5º, II, da MP nº 2.220/2001 (SÃO PAULO, 2015).</w:t>
      </w:r>
      <w:r>
        <w:rPr>
          <w:vertAlign w:val="superscript"/>
        </w:rPr>
        <w:t>27</w:t>
      </w:r>
      <w:r>
        <w:t xml:space="preserve"> Aliás, não raro,</w:t>
      </w:r>
      <w:r>
        <w:rPr>
          <w:spacing w:val="-2"/>
        </w:rPr>
        <w:t xml:space="preserve"> </w:t>
      </w:r>
      <w:r>
        <w:t>os</w:t>
      </w:r>
      <w:r>
        <w:rPr>
          <w:spacing w:val="-1"/>
        </w:rPr>
        <w:t xml:space="preserve"> </w:t>
      </w:r>
      <w:r>
        <w:t>planos</w:t>
      </w:r>
      <w:r>
        <w:rPr>
          <w:spacing w:val="-1"/>
        </w:rPr>
        <w:t xml:space="preserve"> </w:t>
      </w:r>
      <w:r>
        <w:t>diretores municipais acabam por</w:t>
      </w:r>
      <w:r>
        <w:rPr>
          <w:spacing w:val="-1"/>
        </w:rPr>
        <w:t xml:space="preserve"> </w:t>
      </w:r>
      <w:r>
        <w:t>destinar</w:t>
      </w:r>
      <w:r>
        <w:rPr>
          <w:spacing w:val="-1"/>
        </w:rPr>
        <w:t xml:space="preserve"> </w:t>
      </w:r>
      <w:r>
        <w:t>as áreas mais remotas da cidade a projetos de moradia social. Logo, admitir que o simples fato de um assentamento irregular se encontrar em uma ZEIS possa implicar a realocação do titular é afrontar a essência do direito à moradia. Mais: seria possibilitar ao Estado beneficiar-se de sua própria torpeza.</w:t>
      </w:r>
    </w:p>
    <w:p w:rsidR="007259F2" w:rsidRDefault="00E655B4">
      <w:pPr>
        <w:pStyle w:val="Corpodetexto"/>
        <w:ind w:right="988"/>
      </w:pPr>
      <w:r>
        <w:t>O direito à moradia integra o direito a um padrão de vida adequado. Não se resume</w:t>
      </w:r>
      <w:r>
        <w:rPr>
          <w:spacing w:val="-1"/>
        </w:rPr>
        <w:t xml:space="preserve"> </w:t>
      </w:r>
      <w:r>
        <w:t>a apenas um teto e</w:t>
      </w:r>
      <w:r>
        <w:rPr>
          <w:spacing w:val="-1"/>
        </w:rPr>
        <w:t xml:space="preserve"> </w:t>
      </w:r>
      <w:r>
        <w:t>quatro</w:t>
      </w:r>
      <w:r>
        <w:rPr>
          <w:spacing w:val="-1"/>
        </w:rPr>
        <w:t xml:space="preserve"> </w:t>
      </w:r>
      <w:r>
        <w:t>paredes, mas ao direito de</w:t>
      </w:r>
      <w:r>
        <w:rPr>
          <w:spacing w:val="-1"/>
        </w:rPr>
        <w:t xml:space="preserve"> </w:t>
      </w:r>
      <w:r>
        <w:t>toda</w:t>
      </w:r>
      <w:r>
        <w:rPr>
          <w:spacing w:val="-1"/>
        </w:rPr>
        <w:t xml:space="preserve"> </w:t>
      </w:r>
      <w:r>
        <w:t>pessoa</w:t>
      </w:r>
      <w:r>
        <w:rPr>
          <w:spacing w:val="-1"/>
        </w:rPr>
        <w:t xml:space="preserve"> </w:t>
      </w:r>
      <w:r>
        <w:t>ter acesso a</w:t>
      </w:r>
      <w:r>
        <w:rPr>
          <w:spacing w:val="-1"/>
        </w:rPr>
        <w:t xml:space="preserve"> </w:t>
      </w:r>
      <w:r>
        <w:t>um lar e a uma comunidade seguros para viver em paz, dignidade e saúde física e mental. Assentamentos irregulares dignos de tutela pela concessão de uso ali estão ao menos há cinco</w:t>
      </w:r>
      <w:r>
        <w:rPr>
          <w:spacing w:val="-4"/>
        </w:rPr>
        <w:t xml:space="preserve"> </w:t>
      </w:r>
      <w:r>
        <w:t>anos</w:t>
      </w:r>
      <w:r>
        <w:rPr>
          <w:spacing w:val="-3"/>
        </w:rPr>
        <w:t xml:space="preserve"> </w:t>
      </w:r>
      <w:r>
        <w:t>e,</w:t>
      </w:r>
      <w:r>
        <w:rPr>
          <w:spacing w:val="-3"/>
        </w:rPr>
        <w:t xml:space="preserve"> </w:t>
      </w:r>
      <w:r>
        <w:t>nesse</w:t>
      </w:r>
      <w:r>
        <w:rPr>
          <w:spacing w:val="-6"/>
        </w:rPr>
        <w:t xml:space="preserve"> </w:t>
      </w:r>
      <w:r>
        <w:t>ínterim, seus</w:t>
      </w:r>
      <w:r>
        <w:rPr>
          <w:spacing w:val="-4"/>
        </w:rPr>
        <w:t xml:space="preserve"> </w:t>
      </w:r>
      <w:r>
        <w:t>titulares</w:t>
      </w:r>
      <w:r>
        <w:rPr>
          <w:spacing w:val="-5"/>
        </w:rPr>
        <w:t xml:space="preserve"> </w:t>
      </w:r>
      <w:r>
        <w:t>e</w:t>
      </w:r>
      <w:r>
        <w:rPr>
          <w:spacing w:val="-4"/>
        </w:rPr>
        <w:t xml:space="preserve"> </w:t>
      </w:r>
      <w:r>
        <w:t>familiares</w:t>
      </w:r>
      <w:r>
        <w:rPr>
          <w:spacing w:val="-2"/>
        </w:rPr>
        <w:t xml:space="preserve"> </w:t>
      </w:r>
      <w:r>
        <w:t>angariam</w:t>
      </w:r>
      <w:r>
        <w:rPr>
          <w:spacing w:val="-5"/>
        </w:rPr>
        <w:t xml:space="preserve"> </w:t>
      </w:r>
      <w:r>
        <w:t>laços</w:t>
      </w:r>
      <w:r>
        <w:rPr>
          <w:spacing w:val="-5"/>
        </w:rPr>
        <w:t xml:space="preserve"> </w:t>
      </w:r>
      <w:r>
        <w:t>com</w:t>
      </w:r>
      <w:r>
        <w:rPr>
          <w:spacing w:val="-5"/>
        </w:rPr>
        <w:t xml:space="preserve"> </w:t>
      </w:r>
      <w:r>
        <w:t>a</w:t>
      </w:r>
      <w:r>
        <w:rPr>
          <w:spacing w:val="-6"/>
        </w:rPr>
        <w:t xml:space="preserve"> </w:t>
      </w:r>
      <w:r>
        <w:t>comunidade local</w:t>
      </w:r>
      <w:r>
        <w:rPr>
          <w:spacing w:val="-13"/>
        </w:rPr>
        <w:t xml:space="preserve"> </w:t>
      </w:r>
      <w:r>
        <w:t>que</w:t>
      </w:r>
      <w:r>
        <w:rPr>
          <w:spacing w:val="-11"/>
        </w:rPr>
        <w:t xml:space="preserve"> </w:t>
      </w:r>
      <w:r>
        <w:t>não</w:t>
      </w:r>
      <w:r>
        <w:rPr>
          <w:spacing w:val="-11"/>
        </w:rPr>
        <w:t xml:space="preserve"> </w:t>
      </w:r>
      <w:r>
        <w:t>podem</w:t>
      </w:r>
      <w:r>
        <w:rPr>
          <w:spacing w:val="-10"/>
        </w:rPr>
        <w:t xml:space="preserve"> </w:t>
      </w:r>
      <w:r>
        <w:t>ser</w:t>
      </w:r>
      <w:r>
        <w:rPr>
          <w:spacing w:val="-8"/>
        </w:rPr>
        <w:t xml:space="preserve"> </w:t>
      </w:r>
      <w:r>
        <w:t>quebrados</w:t>
      </w:r>
      <w:r>
        <w:rPr>
          <w:spacing w:val="6"/>
        </w:rPr>
        <w:t xml:space="preserve"> </w:t>
      </w:r>
      <w:r>
        <w:t>ao</w:t>
      </w:r>
      <w:r>
        <w:rPr>
          <w:spacing w:val="4"/>
        </w:rPr>
        <w:t xml:space="preserve"> </w:t>
      </w:r>
      <w:r>
        <w:t>bel</w:t>
      </w:r>
      <w:r>
        <w:rPr>
          <w:spacing w:val="4"/>
        </w:rPr>
        <w:t xml:space="preserve"> </w:t>
      </w:r>
      <w:r>
        <w:t>prazer</w:t>
      </w:r>
      <w:r>
        <w:rPr>
          <w:spacing w:val="6"/>
        </w:rPr>
        <w:t xml:space="preserve"> </w:t>
      </w:r>
      <w:r>
        <w:t>do</w:t>
      </w:r>
      <w:r>
        <w:rPr>
          <w:spacing w:val="3"/>
        </w:rPr>
        <w:t xml:space="preserve"> </w:t>
      </w:r>
      <w:r>
        <w:t>ente</w:t>
      </w:r>
      <w:r>
        <w:rPr>
          <w:spacing w:val="4"/>
        </w:rPr>
        <w:t xml:space="preserve"> </w:t>
      </w:r>
      <w:r>
        <w:t>público</w:t>
      </w:r>
      <w:r>
        <w:rPr>
          <w:spacing w:val="5"/>
        </w:rPr>
        <w:t xml:space="preserve"> </w:t>
      </w:r>
      <w:r>
        <w:t>proprietário</w:t>
      </w:r>
      <w:r>
        <w:rPr>
          <w:spacing w:val="4"/>
        </w:rPr>
        <w:t xml:space="preserve"> </w:t>
      </w:r>
      <w:r>
        <w:t>do</w:t>
      </w:r>
      <w:r>
        <w:rPr>
          <w:spacing w:val="4"/>
        </w:rPr>
        <w:t xml:space="preserve"> </w:t>
      </w:r>
      <w:r>
        <w:rPr>
          <w:spacing w:val="-2"/>
        </w:rPr>
        <w:t>imóvel.</w:t>
      </w:r>
    </w:p>
    <w:p w:rsidR="007259F2" w:rsidRDefault="00DE6B1C">
      <w:pPr>
        <w:pStyle w:val="Corpodetexto"/>
        <w:spacing w:before="73"/>
        <w:ind w:left="0" w:firstLine="0"/>
        <w:jc w:val="left"/>
        <w:rPr>
          <w:sz w:val="20"/>
        </w:rPr>
      </w:pPr>
      <w:r w:rsidRPr="00DE6B1C">
        <w:rPr>
          <w:sz w:val="20"/>
        </w:rPr>
        <w:pict>
          <v:rect id="docshape62" o:spid="_x0000_s1164" style="position:absolute;margin-left:85.1pt;margin-top:16.4pt;width:2in;height:.7pt;z-index:-15705088;mso-wrap-distance-left:0;mso-wrap-distance-right:0;mso-position-horizontal-relative:page" fillcolor="black" stroked="f">
            <w10:wrap type="topAndBottom" anchorx="page"/>
          </v:rect>
        </w:pict>
      </w:r>
    </w:p>
    <w:p w:rsidR="007259F2" w:rsidRDefault="00E655B4">
      <w:pPr>
        <w:spacing w:before="94"/>
        <w:ind w:left="710" w:right="986"/>
        <w:jc w:val="both"/>
        <w:rPr>
          <w:sz w:val="20"/>
        </w:rPr>
      </w:pPr>
      <w:r>
        <w:rPr>
          <w:sz w:val="20"/>
          <w:vertAlign w:val="superscript"/>
        </w:rPr>
        <w:t>25</w:t>
      </w:r>
      <w:r>
        <w:rPr>
          <w:sz w:val="20"/>
        </w:rPr>
        <w:t xml:space="preserve"> A realocação, dada como faculdade pela lei, mostra-se na verdade como dever, haja vista que as hipóteses previstas nos arts. 4º e 5º da norma possuem como objetivo salvaguardar a incolumidade física do concessionário e o interesse público contido na preservação do patrimônio público e da afetação conferida ao bem pela Administração Pública. Nesse sentido, a jurisprudência do Tribunal de Justiça de São Paulo (TJSP, 2023): “Ocorre que o terreno já foi alvo Termo de Compromisso celebrado entre dois empreendedores e a Administração Municipal em</w:t>
      </w:r>
      <w:r>
        <w:rPr>
          <w:spacing w:val="-2"/>
          <w:sz w:val="20"/>
        </w:rPr>
        <w:t xml:space="preserve"> </w:t>
      </w:r>
      <w:r>
        <w:rPr>
          <w:sz w:val="20"/>
        </w:rPr>
        <w:t>1996, com promessa de regularização ambiental. [...] a área seria utilizada para criação de um conjunto habitacional, de uma creche, de uma escola de primeiro grau e de uma unidade de saúde. Nessa ordem</w:t>
      </w:r>
      <w:r>
        <w:rPr>
          <w:spacing w:val="-7"/>
          <w:sz w:val="20"/>
        </w:rPr>
        <w:t xml:space="preserve"> </w:t>
      </w:r>
      <w:r>
        <w:rPr>
          <w:sz w:val="20"/>
        </w:rPr>
        <w:t>de</w:t>
      </w:r>
      <w:r>
        <w:rPr>
          <w:spacing w:val="-3"/>
          <w:sz w:val="20"/>
        </w:rPr>
        <w:t xml:space="preserve"> </w:t>
      </w:r>
      <w:r>
        <w:rPr>
          <w:sz w:val="20"/>
        </w:rPr>
        <w:t>ideias,</w:t>
      </w:r>
      <w:r>
        <w:rPr>
          <w:spacing w:val="-2"/>
          <w:sz w:val="20"/>
        </w:rPr>
        <w:t xml:space="preserve"> </w:t>
      </w:r>
      <w:r>
        <w:rPr>
          <w:sz w:val="20"/>
        </w:rPr>
        <w:t>a</w:t>
      </w:r>
      <w:r>
        <w:rPr>
          <w:spacing w:val="-2"/>
          <w:sz w:val="20"/>
        </w:rPr>
        <w:t xml:space="preserve"> </w:t>
      </w:r>
      <w:r>
        <w:rPr>
          <w:sz w:val="20"/>
        </w:rPr>
        <w:t>área</w:t>
      </w:r>
      <w:r>
        <w:rPr>
          <w:spacing w:val="-4"/>
          <w:sz w:val="20"/>
        </w:rPr>
        <w:t xml:space="preserve"> </w:t>
      </w:r>
      <w:r>
        <w:rPr>
          <w:sz w:val="20"/>
        </w:rPr>
        <w:t>em</w:t>
      </w:r>
      <w:r>
        <w:rPr>
          <w:spacing w:val="-6"/>
          <w:sz w:val="20"/>
        </w:rPr>
        <w:t xml:space="preserve"> </w:t>
      </w:r>
      <w:r>
        <w:rPr>
          <w:sz w:val="20"/>
        </w:rPr>
        <w:t>questão</w:t>
      </w:r>
      <w:r>
        <w:rPr>
          <w:spacing w:val="-1"/>
          <w:sz w:val="20"/>
        </w:rPr>
        <w:t xml:space="preserve"> </w:t>
      </w:r>
      <w:r>
        <w:rPr>
          <w:sz w:val="20"/>
        </w:rPr>
        <w:t>seria</w:t>
      </w:r>
      <w:r>
        <w:rPr>
          <w:spacing w:val="-3"/>
          <w:sz w:val="20"/>
        </w:rPr>
        <w:t xml:space="preserve"> </w:t>
      </w:r>
      <w:r>
        <w:rPr>
          <w:sz w:val="20"/>
        </w:rPr>
        <w:t>utilizada</w:t>
      </w:r>
      <w:r>
        <w:rPr>
          <w:spacing w:val="-2"/>
          <w:sz w:val="20"/>
        </w:rPr>
        <w:t xml:space="preserve"> </w:t>
      </w:r>
      <w:r>
        <w:rPr>
          <w:sz w:val="20"/>
        </w:rPr>
        <w:t>para</w:t>
      </w:r>
      <w:r>
        <w:rPr>
          <w:spacing w:val="-2"/>
          <w:sz w:val="20"/>
        </w:rPr>
        <w:t xml:space="preserve"> </w:t>
      </w:r>
      <w:r>
        <w:rPr>
          <w:sz w:val="20"/>
        </w:rPr>
        <w:t>concretizar o direito à saúde e o direito à educação, pelo que aplicável, ainda que de forma analógica, o artigo 5º da MP 2220/01 [...]. Assim, não se pode ignorar que a ocupação em parte do terreno pode impactar na construção do superior interesse público, razão pela qual deve ser exercida em local diverso do ocupado.</w:t>
      </w:r>
    </w:p>
    <w:p w:rsidR="007259F2" w:rsidRDefault="00E655B4">
      <w:pPr>
        <w:spacing w:before="3"/>
        <w:ind w:left="710" w:right="992"/>
        <w:jc w:val="both"/>
        <w:rPr>
          <w:sz w:val="20"/>
        </w:rPr>
      </w:pPr>
      <w:r>
        <w:rPr>
          <w:sz w:val="20"/>
          <w:vertAlign w:val="superscript"/>
        </w:rPr>
        <w:t>26</w:t>
      </w:r>
      <w:r>
        <w:rPr>
          <w:sz w:val="20"/>
        </w:rPr>
        <w:t xml:space="preserve"> Segundo o TJSP (2021): “De mesmo modo, forçoso considerar que a circunstância de o lote estar inserido em potencial área de preservação permanente, por si só, não obsta de plano a pretensão</w:t>
      </w:r>
      <w:r>
        <w:rPr>
          <w:spacing w:val="40"/>
          <w:sz w:val="20"/>
        </w:rPr>
        <w:t xml:space="preserve"> </w:t>
      </w:r>
      <w:r>
        <w:rPr>
          <w:sz w:val="20"/>
        </w:rPr>
        <w:t>porquanto a</w:t>
      </w:r>
      <w:r>
        <w:rPr>
          <w:spacing w:val="-1"/>
          <w:sz w:val="20"/>
        </w:rPr>
        <w:t xml:space="preserve"> </w:t>
      </w:r>
      <w:r>
        <w:rPr>
          <w:sz w:val="20"/>
        </w:rPr>
        <w:t>MP nº</w:t>
      </w:r>
      <w:r>
        <w:rPr>
          <w:spacing w:val="-1"/>
          <w:sz w:val="20"/>
        </w:rPr>
        <w:t xml:space="preserve"> </w:t>
      </w:r>
      <w:r>
        <w:rPr>
          <w:sz w:val="20"/>
        </w:rPr>
        <w:t>2.220/2001 em</w:t>
      </w:r>
      <w:r>
        <w:rPr>
          <w:spacing w:val="-4"/>
          <w:sz w:val="20"/>
        </w:rPr>
        <w:t xml:space="preserve"> </w:t>
      </w:r>
      <w:r>
        <w:rPr>
          <w:sz w:val="20"/>
        </w:rPr>
        <w:t>que</w:t>
      </w:r>
      <w:r>
        <w:rPr>
          <w:spacing w:val="-1"/>
          <w:sz w:val="20"/>
        </w:rPr>
        <w:t xml:space="preserve"> </w:t>
      </w:r>
      <w:r>
        <w:rPr>
          <w:sz w:val="20"/>
        </w:rPr>
        <w:t>se</w:t>
      </w:r>
      <w:r>
        <w:rPr>
          <w:spacing w:val="-1"/>
          <w:sz w:val="20"/>
        </w:rPr>
        <w:t xml:space="preserve"> </w:t>
      </w:r>
      <w:r>
        <w:rPr>
          <w:sz w:val="20"/>
        </w:rPr>
        <w:t>assenta</w:t>
      </w:r>
      <w:r>
        <w:rPr>
          <w:spacing w:val="-1"/>
          <w:sz w:val="20"/>
        </w:rPr>
        <w:t xml:space="preserve"> </w:t>
      </w:r>
      <w:r>
        <w:rPr>
          <w:sz w:val="20"/>
        </w:rPr>
        <w:t>os</w:t>
      </w:r>
      <w:r>
        <w:rPr>
          <w:spacing w:val="-1"/>
          <w:sz w:val="20"/>
        </w:rPr>
        <w:t xml:space="preserve"> </w:t>
      </w:r>
      <w:r>
        <w:rPr>
          <w:sz w:val="20"/>
        </w:rPr>
        <w:t>autores não exclui</w:t>
      </w:r>
      <w:r>
        <w:rPr>
          <w:spacing w:val="-1"/>
          <w:sz w:val="20"/>
        </w:rPr>
        <w:t xml:space="preserve"> </w:t>
      </w:r>
      <w:r>
        <w:rPr>
          <w:sz w:val="20"/>
        </w:rPr>
        <w:t>a</w:t>
      </w:r>
      <w:r>
        <w:rPr>
          <w:spacing w:val="-1"/>
          <w:sz w:val="20"/>
        </w:rPr>
        <w:t xml:space="preserve"> </w:t>
      </w:r>
      <w:r>
        <w:rPr>
          <w:sz w:val="20"/>
        </w:rPr>
        <w:t>possibilidade</w:t>
      </w:r>
      <w:r>
        <w:rPr>
          <w:spacing w:val="-1"/>
          <w:sz w:val="20"/>
        </w:rPr>
        <w:t xml:space="preserve"> </w:t>
      </w:r>
      <w:r>
        <w:rPr>
          <w:sz w:val="20"/>
        </w:rPr>
        <w:t>de</w:t>
      </w:r>
      <w:r>
        <w:rPr>
          <w:spacing w:val="-3"/>
          <w:sz w:val="20"/>
        </w:rPr>
        <w:t xml:space="preserve"> </w:t>
      </w:r>
      <w:r>
        <w:rPr>
          <w:sz w:val="20"/>
        </w:rPr>
        <w:t xml:space="preserve">reconhecimento da concessão de uso especial para fins de moradia mesmo em se tratando de área pública ou eventual </w:t>
      </w:r>
      <w:r>
        <w:rPr>
          <w:spacing w:val="-2"/>
          <w:sz w:val="20"/>
        </w:rPr>
        <w:t>preservação permanente dada a</w:t>
      </w:r>
      <w:r>
        <w:rPr>
          <w:spacing w:val="-4"/>
          <w:sz w:val="20"/>
        </w:rPr>
        <w:t xml:space="preserve"> </w:t>
      </w:r>
      <w:r>
        <w:rPr>
          <w:spacing w:val="-2"/>
          <w:sz w:val="20"/>
        </w:rPr>
        <w:t>possibilidade</w:t>
      </w:r>
      <w:r>
        <w:rPr>
          <w:spacing w:val="-6"/>
          <w:sz w:val="20"/>
        </w:rPr>
        <w:t xml:space="preserve"> </w:t>
      </w:r>
      <w:r>
        <w:rPr>
          <w:spacing w:val="-2"/>
          <w:sz w:val="20"/>
        </w:rPr>
        <w:t>de realocação</w:t>
      </w:r>
      <w:r>
        <w:rPr>
          <w:spacing w:val="-4"/>
          <w:sz w:val="20"/>
        </w:rPr>
        <w:t xml:space="preserve"> </w:t>
      </w:r>
      <w:r>
        <w:rPr>
          <w:spacing w:val="-2"/>
          <w:sz w:val="20"/>
        </w:rPr>
        <w:t>expressamente</w:t>
      </w:r>
      <w:r>
        <w:rPr>
          <w:spacing w:val="-6"/>
          <w:sz w:val="20"/>
        </w:rPr>
        <w:t xml:space="preserve"> </w:t>
      </w:r>
      <w:r>
        <w:rPr>
          <w:spacing w:val="-2"/>
          <w:sz w:val="20"/>
        </w:rPr>
        <w:t>prevista em</w:t>
      </w:r>
      <w:r>
        <w:rPr>
          <w:spacing w:val="-4"/>
          <w:sz w:val="20"/>
        </w:rPr>
        <w:t xml:space="preserve"> </w:t>
      </w:r>
      <w:r>
        <w:rPr>
          <w:spacing w:val="-2"/>
          <w:sz w:val="20"/>
        </w:rPr>
        <w:t>seu art. 5º”.</w:t>
      </w:r>
    </w:p>
    <w:p w:rsidR="007259F2" w:rsidRDefault="00E655B4">
      <w:pPr>
        <w:ind w:left="710" w:right="988"/>
        <w:jc w:val="both"/>
        <w:rPr>
          <w:sz w:val="20"/>
        </w:rPr>
      </w:pPr>
      <w:r>
        <w:rPr>
          <w:sz w:val="20"/>
          <w:vertAlign w:val="superscript"/>
        </w:rPr>
        <w:t>27</w:t>
      </w:r>
      <w:r>
        <w:rPr>
          <w:spacing w:val="80"/>
          <w:sz w:val="20"/>
        </w:rPr>
        <w:t xml:space="preserve"> </w:t>
      </w:r>
      <w:r>
        <w:rPr>
          <w:sz w:val="20"/>
        </w:rPr>
        <w:t>Havendo prova em</w:t>
      </w:r>
      <w:r>
        <w:rPr>
          <w:spacing w:val="-1"/>
          <w:sz w:val="20"/>
        </w:rPr>
        <w:t xml:space="preserve"> </w:t>
      </w:r>
      <w:r>
        <w:rPr>
          <w:sz w:val="20"/>
        </w:rPr>
        <w:t>contrário, direito assiste ao Estado. Conforme já assentado pelo TJSP (2015): “No caso dos autos, o conjunto probatório indica que o Município de São Paulo vem adotando medidas para regularização fundiária desde 2003, e, portanto, inexistente a hipótese de omissão ou grave violação ao direito de moradia para justificar a atuação do Poder Judiciário a suprir a ausência do Poder Público. 2. Desocupação de famílias em áreas de risco no local determinada pelo Município que se revela como medida adequada e necessária ao prosseguimento das políticas públicas de regularização fundiária no</w:t>
      </w:r>
      <w:r>
        <w:rPr>
          <w:spacing w:val="40"/>
          <w:sz w:val="20"/>
        </w:rPr>
        <w:t xml:space="preserve"> </w:t>
      </w:r>
      <w:r>
        <w:rPr>
          <w:sz w:val="20"/>
        </w:rPr>
        <w:t>local [...]”.</w:t>
      </w:r>
    </w:p>
    <w:p w:rsidR="007259F2" w:rsidRDefault="007259F2">
      <w:pPr>
        <w:jc w:val="both"/>
        <w:rPr>
          <w:sz w:val="20"/>
        </w:rPr>
        <w:sectPr w:rsidR="007259F2">
          <w:pgSz w:w="11910" w:h="16840"/>
          <w:pgMar w:top="1320" w:right="708" w:bottom="1160" w:left="992" w:header="0" w:footer="962" w:gutter="0"/>
          <w:cols w:space="720"/>
        </w:sectPr>
      </w:pPr>
    </w:p>
    <w:p w:rsidR="007259F2" w:rsidRDefault="00E655B4">
      <w:pPr>
        <w:pStyle w:val="Corpodetexto"/>
        <w:spacing w:before="69"/>
        <w:ind w:right="990" w:firstLine="0"/>
        <w:jc w:val="left"/>
      </w:pPr>
      <w:r>
        <w:lastRenderedPageBreak/>
        <w:t>O</w:t>
      </w:r>
      <w:r>
        <w:rPr>
          <w:spacing w:val="-2"/>
        </w:rPr>
        <w:t xml:space="preserve"> </w:t>
      </w:r>
      <w:r>
        <w:t>Estado,</w:t>
      </w:r>
      <w:r>
        <w:rPr>
          <w:spacing w:val="-2"/>
        </w:rPr>
        <w:t xml:space="preserve"> </w:t>
      </w:r>
      <w:r>
        <w:t>em</w:t>
      </w:r>
      <w:r>
        <w:rPr>
          <w:spacing w:val="-1"/>
        </w:rPr>
        <w:t xml:space="preserve"> </w:t>
      </w:r>
      <w:r>
        <w:t>seu dever de</w:t>
      </w:r>
      <w:r>
        <w:rPr>
          <w:spacing w:val="-2"/>
        </w:rPr>
        <w:t xml:space="preserve"> </w:t>
      </w:r>
      <w:r>
        <w:t>diligência,</w:t>
      </w:r>
      <w:r>
        <w:rPr>
          <w:spacing w:val="-1"/>
        </w:rPr>
        <w:t xml:space="preserve"> </w:t>
      </w:r>
      <w:r>
        <w:t>é</w:t>
      </w:r>
      <w:r>
        <w:rPr>
          <w:spacing w:val="-2"/>
        </w:rPr>
        <w:t xml:space="preserve"> </w:t>
      </w:r>
      <w:r>
        <w:t>responsável</w:t>
      </w:r>
      <w:r>
        <w:rPr>
          <w:spacing w:val="-1"/>
        </w:rPr>
        <w:t xml:space="preserve"> </w:t>
      </w:r>
      <w:r>
        <w:t>pela garantia</w:t>
      </w:r>
      <w:r>
        <w:rPr>
          <w:spacing w:val="-2"/>
        </w:rPr>
        <w:t xml:space="preserve"> </w:t>
      </w:r>
      <w:r>
        <w:t>do</w:t>
      </w:r>
      <w:r>
        <w:rPr>
          <w:spacing w:val="-1"/>
        </w:rPr>
        <w:t xml:space="preserve"> </w:t>
      </w:r>
      <w:r>
        <w:t>direito</w:t>
      </w:r>
      <w:r>
        <w:rPr>
          <w:spacing w:val="-1"/>
        </w:rPr>
        <w:t xml:space="preserve"> </w:t>
      </w:r>
      <w:r>
        <w:t>em</w:t>
      </w:r>
      <w:r>
        <w:rPr>
          <w:spacing w:val="-1"/>
        </w:rPr>
        <w:t xml:space="preserve"> </w:t>
      </w:r>
      <w:r>
        <w:t>toda</w:t>
      </w:r>
      <w:r>
        <w:rPr>
          <w:spacing w:val="-2"/>
        </w:rPr>
        <w:t xml:space="preserve"> </w:t>
      </w:r>
      <w:r>
        <w:t>sua extensão (SÃO PAULO, 2023).</w:t>
      </w:r>
      <w:r>
        <w:rPr>
          <w:vertAlign w:val="superscript"/>
        </w:rPr>
        <w:t>28</w:t>
      </w:r>
    </w:p>
    <w:p w:rsidR="007259F2" w:rsidRDefault="00E655B4">
      <w:pPr>
        <w:pStyle w:val="Corpodetexto"/>
        <w:spacing w:before="1"/>
        <w:ind w:right="986"/>
      </w:pPr>
      <w:r>
        <w:t>Uma comunidade se constrói através de pessoas e cidadãos são construídos no seio de uma comunidade. Crianças e adolescentes vão à escola, ali constroem amizades</w:t>
      </w:r>
      <w:r>
        <w:rPr>
          <w:spacing w:val="40"/>
        </w:rPr>
        <w:t xml:space="preserve"> </w:t>
      </w:r>
      <w:r>
        <w:t>e seus pais e professores, um relacionamento de confiança – o que, inclusive, possibilita um melhor</w:t>
      </w:r>
      <w:r>
        <w:rPr>
          <w:spacing w:val="-1"/>
        </w:rPr>
        <w:t xml:space="preserve"> </w:t>
      </w:r>
      <w:r>
        <w:t>acompanhamento do</w:t>
      </w:r>
      <w:r>
        <w:rPr>
          <w:spacing w:val="-2"/>
        </w:rPr>
        <w:t xml:space="preserve"> </w:t>
      </w:r>
      <w:r>
        <w:t>Estado</w:t>
      </w:r>
      <w:r>
        <w:rPr>
          <w:spacing w:val="-3"/>
        </w:rPr>
        <w:t xml:space="preserve"> </w:t>
      </w:r>
      <w:r>
        <w:t>(art.</w:t>
      </w:r>
      <w:r>
        <w:rPr>
          <w:spacing w:val="-2"/>
        </w:rPr>
        <w:t xml:space="preserve"> </w:t>
      </w:r>
      <w:r>
        <w:t>54,</w:t>
      </w:r>
      <w:r>
        <w:rPr>
          <w:spacing w:val="-2"/>
        </w:rPr>
        <w:t xml:space="preserve"> </w:t>
      </w:r>
      <w:r>
        <w:t>§3º,</w:t>
      </w:r>
      <w:r>
        <w:rPr>
          <w:spacing w:val="-2"/>
        </w:rPr>
        <w:t xml:space="preserve"> </w:t>
      </w:r>
      <w:r>
        <w:t>ECA)</w:t>
      </w:r>
      <w:r>
        <w:rPr>
          <w:spacing w:val="-3"/>
        </w:rPr>
        <w:t xml:space="preserve"> </w:t>
      </w:r>
      <w:r>
        <w:t>e</w:t>
      </w:r>
      <w:r>
        <w:rPr>
          <w:spacing w:val="-6"/>
        </w:rPr>
        <w:t xml:space="preserve"> </w:t>
      </w:r>
      <w:r>
        <w:t>uma</w:t>
      </w:r>
      <w:r>
        <w:rPr>
          <w:spacing w:val="-6"/>
        </w:rPr>
        <w:t xml:space="preserve"> </w:t>
      </w:r>
      <w:r>
        <w:t>melhor</w:t>
      </w:r>
      <w:r>
        <w:rPr>
          <w:spacing w:val="-3"/>
        </w:rPr>
        <w:t xml:space="preserve"> </w:t>
      </w:r>
      <w:r>
        <w:t>formação</w:t>
      </w:r>
      <w:r>
        <w:rPr>
          <w:spacing w:val="-2"/>
        </w:rPr>
        <w:t xml:space="preserve"> </w:t>
      </w:r>
      <w:r>
        <w:t>para a pessoa em desenvolvimento. A família frequenta o mesmo posto de saúde e assim possibilita</w:t>
      </w:r>
      <w:r>
        <w:rPr>
          <w:spacing w:val="-4"/>
        </w:rPr>
        <w:t xml:space="preserve"> </w:t>
      </w:r>
      <w:r>
        <w:t>o</w:t>
      </w:r>
      <w:r>
        <w:rPr>
          <w:spacing w:val="-3"/>
        </w:rPr>
        <w:t xml:space="preserve"> </w:t>
      </w:r>
      <w:r>
        <w:t>acompanhamento</w:t>
      </w:r>
      <w:r>
        <w:rPr>
          <w:spacing w:val="-3"/>
        </w:rPr>
        <w:t xml:space="preserve"> </w:t>
      </w:r>
      <w:r>
        <w:t>adequado</w:t>
      </w:r>
      <w:r>
        <w:rPr>
          <w:spacing w:val="-11"/>
        </w:rPr>
        <w:t xml:space="preserve"> </w:t>
      </w:r>
      <w:r>
        <w:t>do</w:t>
      </w:r>
      <w:r>
        <w:rPr>
          <w:spacing w:val="-13"/>
        </w:rPr>
        <w:t xml:space="preserve"> </w:t>
      </w:r>
      <w:r>
        <w:t>Estado,</w:t>
      </w:r>
      <w:r>
        <w:rPr>
          <w:spacing w:val="-15"/>
        </w:rPr>
        <w:t xml:space="preserve"> </w:t>
      </w:r>
      <w:r>
        <w:t>na</w:t>
      </w:r>
      <w:r>
        <w:rPr>
          <w:spacing w:val="-12"/>
        </w:rPr>
        <w:t xml:space="preserve"> </w:t>
      </w:r>
      <w:r>
        <w:t>melhor</w:t>
      </w:r>
      <w:r>
        <w:rPr>
          <w:spacing w:val="-14"/>
        </w:rPr>
        <w:t xml:space="preserve"> </w:t>
      </w:r>
      <w:r>
        <w:t>consecução</w:t>
      </w:r>
      <w:r>
        <w:rPr>
          <w:spacing w:val="-10"/>
        </w:rPr>
        <w:t xml:space="preserve"> </w:t>
      </w:r>
      <w:r>
        <w:t>do</w:t>
      </w:r>
      <w:r>
        <w:rPr>
          <w:spacing w:val="-15"/>
        </w:rPr>
        <w:t xml:space="preserve"> </w:t>
      </w:r>
      <w:r>
        <w:t>previsto</w:t>
      </w:r>
      <w:r>
        <w:rPr>
          <w:spacing w:val="-15"/>
        </w:rPr>
        <w:t xml:space="preserve"> </w:t>
      </w:r>
      <w:r>
        <w:t>na Política Nacional de</w:t>
      </w:r>
      <w:r>
        <w:rPr>
          <w:spacing w:val="-14"/>
        </w:rPr>
        <w:t xml:space="preserve"> </w:t>
      </w:r>
      <w:r>
        <w:t>Atenção Básica (Portaria MS nº 2.488/2011).</w:t>
      </w:r>
    </w:p>
    <w:p w:rsidR="007259F2" w:rsidRDefault="00E655B4">
      <w:pPr>
        <w:pStyle w:val="Corpodetexto"/>
        <w:ind w:right="989"/>
      </w:pPr>
      <w:r>
        <w:t>Aqui</w:t>
      </w:r>
      <w:r>
        <w:rPr>
          <w:spacing w:val="-6"/>
        </w:rPr>
        <w:t xml:space="preserve"> </w:t>
      </w:r>
      <w:r>
        <w:t>o</w:t>
      </w:r>
      <w:r>
        <w:rPr>
          <w:spacing w:val="-6"/>
        </w:rPr>
        <w:t xml:space="preserve"> </w:t>
      </w:r>
      <w:r>
        <w:t>interesse</w:t>
      </w:r>
      <w:r>
        <w:rPr>
          <w:spacing w:val="-3"/>
        </w:rPr>
        <w:t xml:space="preserve"> </w:t>
      </w:r>
      <w:r>
        <w:t>público</w:t>
      </w:r>
      <w:r>
        <w:rPr>
          <w:spacing w:val="-6"/>
        </w:rPr>
        <w:t xml:space="preserve"> </w:t>
      </w:r>
      <w:r>
        <w:t>se</w:t>
      </w:r>
      <w:r>
        <w:rPr>
          <w:spacing w:val="-7"/>
        </w:rPr>
        <w:t xml:space="preserve"> </w:t>
      </w:r>
      <w:r>
        <w:t>apresenta,</w:t>
      </w:r>
      <w:r>
        <w:rPr>
          <w:spacing w:val="-6"/>
        </w:rPr>
        <w:t xml:space="preserve"> </w:t>
      </w:r>
      <w:r>
        <w:t>portanto,</w:t>
      </w:r>
      <w:r>
        <w:rPr>
          <w:spacing w:val="-2"/>
        </w:rPr>
        <w:t xml:space="preserve"> </w:t>
      </w:r>
      <w:r>
        <w:t>como</w:t>
      </w:r>
      <w:r>
        <w:rPr>
          <w:spacing w:val="-5"/>
        </w:rPr>
        <w:t xml:space="preserve"> </w:t>
      </w:r>
      <w:r>
        <w:t>uma</w:t>
      </w:r>
      <w:r>
        <w:rPr>
          <w:spacing w:val="-6"/>
        </w:rPr>
        <w:t xml:space="preserve"> </w:t>
      </w:r>
      <w:r>
        <w:t>espada</w:t>
      </w:r>
      <w:r>
        <w:rPr>
          <w:spacing w:val="-7"/>
        </w:rPr>
        <w:t xml:space="preserve"> </w:t>
      </w:r>
      <w:r>
        <w:t>de</w:t>
      </w:r>
      <w:r>
        <w:rPr>
          <w:spacing w:val="-6"/>
        </w:rPr>
        <w:t xml:space="preserve"> </w:t>
      </w:r>
      <w:r>
        <w:t>dois</w:t>
      </w:r>
      <w:r>
        <w:rPr>
          <w:spacing w:val="-5"/>
        </w:rPr>
        <w:t xml:space="preserve"> </w:t>
      </w:r>
      <w:r>
        <w:t>gumes: aquele que representa a vontade do Estado enquanto medida pública, de governo, no estrito interesse da Administração Pública;</w:t>
      </w:r>
      <w:r>
        <w:rPr>
          <w:spacing w:val="36"/>
        </w:rPr>
        <w:t xml:space="preserve"> </w:t>
      </w:r>
      <w:r>
        <w:t>e aquele</w:t>
      </w:r>
      <w:r>
        <w:rPr>
          <w:spacing w:val="33"/>
        </w:rPr>
        <w:t xml:space="preserve"> </w:t>
      </w:r>
      <w:r>
        <w:t>que</w:t>
      </w:r>
      <w:r>
        <w:rPr>
          <w:spacing w:val="34"/>
        </w:rPr>
        <w:t xml:space="preserve"> </w:t>
      </w:r>
      <w:r>
        <w:t>concentra a</w:t>
      </w:r>
      <w:r>
        <w:rPr>
          <w:spacing w:val="32"/>
        </w:rPr>
        <w:t xml:space="preserve"> </w:t>
      </w:r>
      <w:r>
        <w:t>própria razão</w:t>
      </w:r>
      <w:r>
        <w:rPr>
          <w:spacing w:val="33"/>
        </w:rPr>
        <w:t xml:space="preserve"> </w:t>
      </w:r>
      <w:r>
        <w:t>de ser do Estado, em um paradigma de Estado de Direito, que deve prestar contas da soberania concedida pelo povo em troca da garantia de direitos básicos, entre eles a moradia e a dignidade da pessoa humana. O regulamento dos arts. 4º e 5º da MP nº 2.220/2001 vem para conferir garantia a ambas.</w:t>
      </w:r>
    </w:p>
    <w:p w:rsidR="007259F2" w:rsidRDefault="00E655B4">
      <w:pPr>
        <w:pStyle w:val="Heading2"/>
        <w:numPr>
          <w:ilvl w:val="1"/>
          <w:numId w:val="37"/>
        </w:numPr>
        <w:tabs>
          <w:tab w:val="left" w:pos="1079"/>
        </w:tabs>
        <w:ind w:hanging="367"/>
        <w:jc w:val="both"/>
      </w:pPr>
      <w:r>
        <w:t>A</w:t>
      </w:r>
      <w:r>
        <w:rPr>
          <w:spacing w:val="-5"/>
        </w:rPr>
        <w:t xml:space="preserve"> </w:t>
      </w:r>
      <w:r>
        <w:t>via</w:t>
      </w:r>
      <w:r>
        <w:rPr>
          <w:spacing w:val="-1"/>
        </w:rPr>
        <w:t xml:space="preserve"> </w:t>
      </w:r>
      <w:r>
        <w:t>administrativa</w:t>
      </w:r>
      <w:r>
        <w:rPr>
          <w:spacing w:val="-1"/>
        </w:rPr>
        <w:t xml:space="preserve"> </w:t>
      </w:r>
      <w:r>
        <w:t>como</w:t>
      </w:r>
      <w:r>
        <w:rPr>
          <w:spacing w:val="1"/>
        </w:rPr>
        <w:t xml:space="preserve"> </w:t>
      </w:r>
      <w:r>
        <w:t>medida</w:t>
      </w:r>
      <w:r>
        <w:rPr>
          <w:spacing w:val="-1"/>
        </w:rPr>
        <w:t xml:space="preserve"> </w:t>
      </w:r>
      <w:r>
        <w:t>de</w:t>
      </w:r>
      <w:r>
        <w:rPr>
          <w:spacing w:val="-5"/>
        </w:rPr>
        <w:t xml:space="preserve"> </w:t>
      </w:r>
      <w:r>
        <w:t>solução</w:t>
      </w:r>
      <w:r>
        <w:rPr>
          <w:spacing w:val="-1"/>
        </w:rPr>
        <w:t xml:space="preserve"> </w:t>
      </w:r>
      <w:r>
        <w:rPr>
          <w:spacing w:val="-2"/>
        </w:rPr>
        <w:t>prioritária</w:t>
      </w:r>
    </w:p>
    <w:p w:rsidR="007259F2" w:rsidRDefault="00E655B4">
      <w:pPr>
        <w:pStyle w:val="Corpodetexto"/>
        <w:spacing w:before="115"/>
        <w:ind w:right="986"/>
      </w:pPr>
      <w:r>
        <w:t>Um cuidado essencial que vem sendo objeto de alterações sucessivas no tempo pela MP nº 2.220/2001 é a limitação temporal do prazo para obtenção do direito à concessão de uso: seu art. 1º cuida de estabelecer, hoje, o marco de 22 de dezembro de 2016 para que o titular tenha completado o prazo de cinco anos de sua posse.</w:t>
      </w:r>
      <w:r>
        <w:rPr>
          <w:spacing w:val="-2"/>
        </w:rPr>
        <w:t xml:space="preserve"> </w:t>
      </w:r>
      <w:r>
        <w:t xml:space="preserve">Antes da modificação introduzida pela Lei nº 13.465/17, este marco era o dia 30 de junho de </w:t>
      </w:r>
      <w:r>
        <w:rPr>
          <w:spacing w:val="-2"/>
        </w:rPr>
        <w:t>2001.</w:t>
      </w:r>
    </w:p>
    <w:p w:rsidR="007259F2" w:rsidRDefault="00E655B4">
      <w:pPr>
        <w:pStyle w:val="Corpodetexto"/>
        <w:spacing w:before="1"/>
        <w:ind w:right="986"/>
      </w:pPr>
      <w:r>
        <w:t>As razões da opção legislativa são claras: são décadas de ocupação urbana desordenada, desde o fim da escravidão, passando por decisões políticas de pouca reflexão,</w:t>
      </w:r>
      <w:r>
        <w:rPr>
          <w:vertAlign w:val="superscript"/>
        </w:rPr>
        <w:t>29</w:t>
      </w:r>
      <w:r>
        <w:t xml:space="preserve"> até o êxodo rural, que acabou por multiplicar os aglomerados em área</w:t>
      </w:r>
      <w:r>
        <w:rPr>
          <w:spacing w:val="40"/>
        </w:rPr>
        <w:t xml:space="preserve"> </w:t>
      </w:r>
      <w:r>
        <w:t>urbana. Segundo o veto presidencial às disposições abertas do EC sobre a CUEM, o diploma</w:t>
      </w:r>
      <w:r>
        <w:rPr>
          <w:spacing w:val="-3"/>
        </w:rPr>
        <w:t xml:space="preserve"> </w:t>
      </w:r>
      <w:r>
        <w:t>enviado à</w:t>
      </w:r>
      <w:r>
        <w:rPr>
          <w:spacing w:val="-1"/>
        </w:rPr>
        <w:t xml:space="preserve"> </w:t>
      </w:r>
      <w:r>
        <w:t>sanção não estabelecia “uma data-limite para a aquisição do direito à concessão de uso especial, o que torna permanente um instrumento só justificável pela necessidade imperiosa de solucionar o imenso passivo de ocupações irregulares gerado em décadas de urbanização desordenada” (BRASIL, 2001c).</w:t>
      </w:r>
    </w:p>
    <w:p w:rsidR="007259F2" w:rsidRDefault="00E655B4">
      <w:pPr>
        <w:pStyle w:val="Corpodetexto"/>
        <w:ind w:right="990"/>
      </w:pPr>
      <w:r>
        <w:t>Enquanto política pública, a concessão de uso pretendeu se esgotar na via administrativa, em prazo razoável, como forma de, concomitantemente, garantir ao Estado</w:t>
      </w:r>
      <w:r>
        <w:rPr>
          <w:spacing w:val="-3"/>
        </w:rPr>
        <w:t xml:space="preserve"> </w:t>
      </w:r>
      <w:r>
        <w:t>tempo</w:t>
      </w:r>
      <w:r>
        <w:rPr>
          <w:spacing w:val="-2"/>
        </w:rPr>
        <w:t xml:space="preserve"> </w:t>
      </w:r>
      <w:r>
        <w:t>suficiente</w:t>
      </w:r>
      <w:r>
        <w:rPr>
          <w:spacing w:val="-2"/>
        </w:rPr>
        <w:t xml:space="preserve"> </w:t>
      </w:r>
      <w:r>
        <w:t>para</w:t>
      </w:r>
      <w:r>
        <w:rPr>
          <w:spacing w:val="-6"/>
        </w:rPr>
        <w:t xml:space="preserve"> </w:t>
      </w:r>
      <w:r>
        <w:t>processamento</w:t>
      </w:r>
      <w:r>
        <w:rPr>
          <w:spacing w:val="-2"/>
        </w:rPr>
        <w:t xml:space="preserve"> </w:t>
      </w:r>
      <w:r>
        <w:t>adequado</w:t>
      </w:r>
      <w:r>
        <w:rPr>
          <w:spacing w:val="-2"/>
        </w:rPr>
        <w:t xml:space="preserve"> </w:t>
      </w:r>
      <w:r>
        <w:t>dos requerimentos</w:t>
      </w:r>
      <w:r>
        <w:rPr>
          <w:spacing w:val="-1"/>
        </w:rPr>
        <w:t xml:space="preserve"> </w:t>
      </w:r>
      <w:r>
        <w:t>e</w:t>
      </w:r>
      <w:r>
        <w:rPr>
          <w:spacing w:val="-5"/>
        </w:rPr>
        <w:t xml:space="preserve"> </w:t>
      </w:r>
      <w:r>
        <w:t>aliviá-lo</w:t>
      </w:r>
      <w:r>
        <w:rPr>
          <w:spacing w:val="-2"/>
        </w:rPr>
        <w:t xml:space="preserve"> </w:t>
      </w:r>
      <w:r>
        <w:t>dos encargos administrativos e jurídicos que representam assentamentos informais. Daí a preocupação presidencial à época, manifestada no veto às disposições contidas no Estatuto da Cidade:</w:t>
      </w:r>
    </w:p>
    <w:p w:rsidR="007259F2" w:rsidRDefault="00E655B4">
      <w:pPr>
        <w:ind w:left="2978" w:right="1131"/>
        <w:jc w:val="both"/>
        <w:rPr>
          <w:sz w:val="20"/>
        </w:rPr>
      </w:pPr>
      <w:r>
        <w:rPr>
          <w:sz w:val="20"/>
        </w:rPr>
        <w:t>[...] não há no art. 18 a definição expressa de um prazo para que a Administração Pública processe os pedidos de concessão de direito de uso que,</w:t>
      </w:r>
      <w:r>
        <w:rPr>
          <w:spacing w:val="19"/>
          <w:sz w:val="20"/>
        </w:rPr>
        <w:t xml:space="preserve"> </w:t>
      </w:r>
      <w:r>
        <w:rPr>
          <w:sz w:val="20"/>
        </w:rPr>
        <w:t>previsivelmente,</w:t>
      </w:r>
      <w:r>
        <w:rPr>
          <w:spacing w:val="23"/>
          <w:sz w:val="20"/>
        </w:rPr>
        <w:t xml:space="preserve"> </w:t>
      </w:r>
      <w:r>
        <w:rPr>
          <w:sz w:val="20"/>
        </w:rPr>
        <w:t>virão</w:t>
      </w:r>
      <w:r>
        <w:rPr>
          <w:spacing w:val="31"/>
          <w:sz w:val="20"/>
        </w:rPr>
        <w:t xml:space="preserve"> </w:t>
      </w:r>
      <w:r>
        <w:rPr>
          <w:sz w:val="20"/>
        </w:rPr>
        <w:t>em</w:t>
      </w:r>
      <w:r>
        <w:rPr>
          <w:spacing w:val="30"/>
          <w:sz w:val="20"/>
        </w:rPr>
        <w:t xml:space="preserve"> </w:t>
      </w:r>
      <w:r>
        <w:rPr>
          <w:sz w:val="20"/>
        </w:rPr>
        <w:t>grande</w:t>
      </w:r>
      <w:r>
        <w:rPr>
          <w:spacing w:val="31"/>
          <w:sz w:val="20"/>
        </w:rPr>
        <w:t xml:space="preserve"> </w:t>
      </w:r>
      <w:r>
        <w:rPr>
          <w:sz w:val="20"/>
        </w:rPr>
        <w:t>número</w:t>
      </w:r>
      <w:r>
        <w:rPr>
          <w:spacing w:val="29"/>
          <w:sz w:val="20"/>
        </w:rPr>
        <w:t xml:space="preserve"> </w:t>
      </w:r>
      <w:r>
        <w:rPr>
          <w:sz w:val="20"/>
        </w:rPr>
        <w:t>a</w:t>
      </w:r>
      <w:r>
        <w:rPr>
          <w:spacing w:val="26"/>
          <w:sz w:val="20"/>
        </w:rPr>
        <w:t xml:space="preserve"> </w:t>
      </w:r>
      <w:r>
        <w:rPr>
          <w:sz w:val="20"/>
        </w:rPr>
        <w:t>partir</w:t>
      </w:r>
      <w:r>
        <w:rPr>
          <w:spacing w:val="26"/>
          <w:sz w:val="20"/>
        </w:rPr>
        <w:t xml:space="preserve"> </w:t>
      </w:r>
      <w:r>
        <w:rPr>
          <w:sz w:val="20"/>
        </w:rPr>
        <w:t>da</w:t>
      </w:r>
      <w:r>
        <w:rPr>
          <w:spacing w:val="27"/>
          <w:sz w:val="20"/>
        </w:rPr>
        <w:t xml:space="preserve"> </w:t>
      </w:r>
      <w:r>
        <w:rPr>
          <w:sz w:val="20"/>
        </w:rPr>
        <w:t>vigência</w:t>
      </w:r>
      <w:r>
        <w:rPr>
          <w:spacing w:val="28"/>
          <w:sz w:val="20"/>
        </w:rPr>
        <w:t xml:space="preserve"> </w:t>
      </w:r>
      <w:r>
        <w:rPr>
          <w:spacing w:val="-2"/>
          <w:sz w:val="20"/>
        </w:rPr>
        <w:t>deste</w:t>
      </w:r>
    </w:p>
    <w:p w:rsidR="007259F2" w:rsidRDefault="00DE6B1C">
      <w:pPr>
        <w:pStyle w:val="Corpodetexto"/>
        <w:spacing w:before="118"/>
        <w:ind w:left="0" w:firstLine="0"/>
        <w:jc w:val="left"/>
        <w:rPr>
          <w:sz w:val="20"/>
        </w:rPr>
      </w:pPr>
      <w:r w:rsidRPr="00DE6B1C">
        <w:rPr>
          <w:sz w:val="20"/>
        </w:rPr>
        <w:pict>
          <v:rect id="docshape63" o:spid="_x0000_s1163" style="position:absolute;margin-left:85.1pt;margin-top:18.65pt;width:2in;height:.7pt;z-index:-15704576;mso-wrap-distance-left:0;mso-wrap-distance-right:0;mso-position-horizontal-relative:page" fillcolor="black" stroked="f">
            <w10:wrap type="topAndBottom" anchorx="page"/>
          </v:rect>
        </w:pict>
      </w:r>
    </w:p>
    <w:p w:rsidR="007259F2" w:rsidRDefault="00E655B4">
      <w:pPr>
        <w:spacing w:before="96"/>
        <w:ind w:left="710" w:right="992"/>
        <w:jc w:val="both"/>
        <w:rPr>
          <w:sz w:val="20"/>
        </w:rPr>
      </w:pPr>
      <w:r>
        <w:rPr>
          <w:sz w:val="20"/>
          <w:vertAlign w:val="superscript"/>
        </w:rPr>
        <w:t>28</w:t>
      </w:r>
      <w:r>
        <w:rPr>
          <w:sz w:val="20"/>
        </w:rPr>
        <w:t xml:space="preserve"> Nesse sentido, a jurisprudência do TJSP (2023): “[...] a transferência a outro local para exercício do direito à CUEM deve se dar respeitando a proporção econômica entre o imóvel a ser desocupado, com todas</w:t>
      </w:r>
      <w:r>
        <w:rPr>
          <w:spacing w:val="-1"/>
          <w:sz w:val="20"/>
        </w:rPr>
        <w:t xml:space="preserve"> </w:t>
      </w:r>
      <w:r>
        <w:rPr>
          <w:sz w:val="20"/>
        </w:rPr>
        <w:t>suas</w:t>
      </w:r>
      <w:r>
        <w:rPr>
          <w:spacing w:val="-1"/>
          <w:sz w:val="20"/>
        </w:rPr>
        <w:t xml:space="preserve"> </w:t>
      </w:r>
      <w:r>
        <w:rPr>
          <w:sz w:val="20"/>
        </w:rPr>
        <w:t>acessões,</w:t>
      </w:r>
      <w:r>
        <w:rPr>
          <w:spacing w:val="-1"/>
          <w:sz w:val="20"/>
        </w:rPr>
        <w:t xml:space="preserve"> </w:t>
      </w:r>
      <w:r>
        <w:rPr>
          <w:sz w:val="20"/>
        </w:rPr>
        <w:t>e</w:t>
      </w:r>
      <w:r>
        <w:rPr>
          <w:spacing w:val="-1"/>
          <w:sz w:val="20"/>
        </w:rPr>
        <w:t xml:space="preserve"> </w:t>
      </w:r>
      <w:r>
        <w:rPr>
          <w:sz w:val="20"/>
        </w:rPr>
        <w:t>o novo local</w:t>
      </w:r>
      <w:r>
        <w:rPr>
          <w:spacing w:val="-1"/>
          <w:sz w:val="20"/>
        </w:rPr>
        <w:t xml:space="preserve"> </w:t>
      </w:r>
      <w:r>
        <w:rPr>
          <w:sz w:val="20"/>
        </w:rPr>
        <w:t>onde</w:t>
      </w:r>
      <w:r>
        <w:rPr>
          <w:spacing w:val="-1"/>
          <w:sz w:val="20"/>
        </w:rPr>
        <w:t xml:space="preserve"> </w:t>
      </w:r>
      <w:r>
        <w:rPr>
          <w:sz w:val="20"/>
        </w:rPr>
        <w:t>o direito será</w:t>
      </w:r>
      <w:r>
        <w:rPr>
          <w:spacing w:val="-1"/>
          <w:sz w:val="20"/>
        </w:rPr>
        <w:t xml:space="preserve"> </w:t>
      </w:r>
      <w:r>
        <w:rPr>
          <w:sz w:val="20"/>
        </w:rPr>
        <w:t>exercido.</w:t>
      </w:r>
      <w:r>
        <w:rPr>
          <w:spacing w:val="-1"/>
          <w:sz w:val="20"/>
        </w:rPr>
        <w:t xml:space="preserve"> </w:t>
      </w:r>
      <w:r>
        <w:rPr>
          <w:sz w:val="20"/>
        </w:rPr>
        <w:t>Ademais,</w:t>
      </w:r>
      <w:r>
        <w:rPr>
          <w:spacing w:val="-1"/>
          <w:sz w:val="20"/>
        </w:rPr>
        <w:t xml:space="preserve"> </w:t>
      </w:r>
      <w:r>
        <w:rPr>
          <w:sz w:val="20"/>
        </w:rPr>
        <w:t>o novo local deverá, na medida do possível, situarse próximo aos locais de suas atividades habituais (estudos, trabalho)”.</w:t>
      </w:r>
    </w:p>
    <w:p w:rsidR="007259F2" w:rsidRDefault="00E655B4">
      <w:pPr>
        <w:ind w:left="710" w:right="987"/>
        <w:jc w:val="both"/>
        <w:rPr>
          <w:sz w:val="20"/>
        </w:rPr>
      </w:pPr>
      <w:r>
        <w:rPr>
          <w:sz w:val="20"/>
          <w:vertAlign w:val="superscript"/>
        </w:rPr>
        <w:t>29</w:t>
      </w:r>
      <w:r>
        <w:rPr>
          <w:sz w:val="20"/>
        </w:rPr>
        <w:t xml:space="preserve"> A</w:t>
      </w:r>
      <w:r>
        <w:rPr>
          <w:spacing w:val="-13"/>
          <w:sz w:val="20"/>
        </w:rPr>
        <w:t xml:space="preserve"> </w:t>
      </w:r>
      <w:r>
        <w:rPr>
          <w:sz w:val="20"/>
        </w:rPr>
        <w:t>1ª</w:t>
      </w:r>
      <w:r>
        <w:rPr>
          <w:spacing w:val="-9"/>
          <w:sz w:val="20"/>
        </w:rPr>
        <w:t xml:space="preserve"> </w:t>
      </w:r>
      <w:r>
        <w:rPr>
          <w:sz w:val="20"/>
        </w:rPr>
        <w:t>favela</w:t>
      </w:r>
      <w:r>
        <w:rPr>
          <w:spacing w:val="-9"/>
          <w:sz w:val="20"/>
        </w:rPr>
        <w:t xml:space="preserve"> </w:t>
      </w:r>
      <w:r>
        <w:rPr>
          <w:sz w:val="20"/>
        </w:rPr>
        <w:t>do</w:t>
      </w:r>
      <w:r>
        <w:rPr>
          <w:spacing w:val="-9"/>
          <w:sz w:val="20"/>
        </w:rPr>
        <w:t xml:space="preserve"> </w:t>
      </w:r>
      <w:r>
        <w:rPr>
          <w:sz w:val="20"/>
        </w:rPr>
        <w:t>Brasil,</w:t>
      </w:r>
      <w:r>
        <w:rPr>
          <w:spacing w:val="-9"/>
          <w:sz w:val="20"/>
        </w:rPr>
        <w:t xml:space="preserve"> </w:t>
      </w:r>
      <w:r>
        <w:rPr>
          <w:sz w:val="20"/>
        </w:rPr>
        <w:t>o</w:t>
      </w:r>
      <w:r>
        <w:rPr>
          <w:spacing w:val="-9"/>
          <w:sz w:val="20"/>
        </w:rPr>
        <w:t xml:space="preserve"> </w:t>
      </w:r>
      <w:r>
        <w:rPr>
          <w:sz w:val="20"/>
        </w:rPr>
        <w:t>Morro</w:t>
      </w:r>
      <w:r>
        <w:rPr>
          <w:spacing w:val="-12"/>
          <w:sz w:val="20"/>
        </w:rPr>
        <w:t xml:space="preserve"> </w:t>
      </w:r>
      <w:r>
        <w:rPr>
          <w:sz w:val="20"/>
        </w:rPr>
        <w:t>da</w:t>
      </w:r>
      <w:r>
        <w:rPr>
          <w:spacing w:val="-10"/>
          <w:sz w:val="20"/>
        </w:rPr>
        <w:t xml:space="preserve"> </w:t>
      </w:r>
      <w:r>
        <w:rPr>
          <w:sz w:val="20"/>
        </w:rPr>
        <w:t>Providência,</w:t>
      </w:r>
      <w:r>
        <w:rPr>
          <w:spacing w:val="-8"/>
          <w:sz w:val="20"/>
        </w:rPr>
        <w:t xml:space="preserve"> </w:t>
      </w:r>
      <w:r>
        <w:rPr>
          <w:sz w:val="20"/>
        </w:rPr>
        <w:t>originou-se</w:t>
      </w:r>
      <w:r>
        <w:rPr>
          <w:spacing w:val="-10"/>
          <w:sz w:val="20"/>
        </w:rPr>
        <w:t xml:space="preserve"> </w:t>
      </w:r>
      <w:r>
        <w:rPr>
          <w:sz w:val="20"/>
        </w:rPr>
        <w:t>de</w:t>
      </w:r>
      <w:r>
        <w:rPr>
          <w:spacing w:val="-11"/>
          <w:sz w:val="20"/>
        </w:rPr>
        <w:t xml:space="preserve"> </w:t>
      </w:r>
      <w:r>
        <w:rPr>
          <w:sz w:val="20"/>
        </w:rPr>
        <w:t>uma</w:t>
      </w:r>
      <w:r>
        <w:rPr>
          <w:spacing w:val="-10"/>
          <w:sz w:val="20"/>
        </w:rPr>
        <w:t xml:space="preserve"> </w:t>
      </w:r>
      <w:r>
        <w:rPr>
          <w:sz w:val="20"/>
        </w:rPr>
        <w:t>decisão</w:t>
      </w:r>
      <w:r>
        <w:rPr>
          <w:spacing w:val="-8"/>
          <w:sz w:val="20"/>
        </w:rPr>
        <w:t xml:space="preserve"> </w:t>
      </w:r>
      <w:r>
        <w:rPr>
          <w:sz w:val="20"/>
        </w:rPr>
        <w:t>de</w:t>
      </w:r>
      <w:r>
        <w:rPr>
          <w:spacing w:val="-11"/>
          <w:sz w:val="20"/>
        </w:rPr>
        <w:t xml:space="preserve"> </w:t>
      </w:r>
      <w:r>
        <w:rPr>
          <w:sz w:val="20"/>
        </w:rPr>
        <w:t>governo</w:t>
      </w:r>
      <w:r>
        <w:rPr>
          <w:spacing w:val="-4"/>
          <w:sz w:val="20"/>
        </w:rPr>
        <w:t xml:space="preserve"> </w:t>
      </w:r>
      <w:r>
        <w:rPr>
          <w:sz w:val="20"/>
        </w:rPr>
        <w:t>mal</w:t>
      </w:r>
      <w:r>
        <w:rPr>
          <w:spacing w:val="-9"/>
          <w:sz w:val="20"/>
        </w:rPr>
        <w:t xml:space="preserve"> </w:t>
      </w:r>
      <w:r>
        <w:rPr>
          <w:sz w:val="20"/>
        </w:rPr>
        <w:t>orientada,</w:t>
      </w:r>
      <w:r>
        <w:rPr>
          <w:spacing w:val="-9"/>
          <w:sz w:val="20"/>
        </w:rPr>
        <w:t xml:space="preserve"> </w:t>
      </w:r>
      <w:r>
        <w:rPr>
          <w:sz w:val="20"/>
        </w:rPr>
        <w:t xml:space="preserve">que seguiu o retorno de cerca de 10.000 soldados da Guerra de Canudos. Sem recursos para cumprir a promessa de moradias aos veteranos, o governo permitiu a construção de barracos no Morro da Providência, localizado atrás de um quartel na antiga capital do país. A denominação </w:t>
      </w:r>
      <w:r>
        <w:rPr>
          <w:i/>
          <w:sz w:val="20"/>
        </w:rPr>
        <w:t xml:space="preserve">favela </w:t>
      </w:r>
      <w:r>
        <w:rPr>
          <w:sz w:val="20"/>
        </w:rPr>
        <w:t xml:space="preserve">advém dos primeiros ocupantes, que nomearam o local em referência a um morro homônimo em Canudos, coberto pelo arbusto </w:t>
      </w:r>
      <w:r>
        <w:rPr>
          <w:i/>
          <w:sz w:val="20"/>
        </w:rPr>
        <w:t xml:space="preserve">favela </w:t>
      </w:r>
      <w:r>
        <w:rPr>
          <w:sz w:val="20"/>
        </w:rPr>
        <w:t>(NAVARRO, 2018).</w:t>
      </w:r>
    </w:p>
    <w:p w:rsidR="007259F2" w:rsidRDefault="007259F2">
      <w:pPr>
        <w:jc w:val="both"/>
        <w:rPr>
          <w:sz w:val="20"/>
        </w:rPr>
        <w:sectPr w:rsidR="007259F2">
          <w:pgSz w:w="11910" w:h="16840"/>
          <w:pgMar w:top="1320" w:right="708" w:bottom="1160" w:left="992" w:header="0" w:footer="962" w:gutter="0"/>
          <w:cols w:space="720"/>
        </w:sectPr>
      </w:pPr>
    </w:p>
    <w:p w:rsidR="007259F2" w:rsidRDefault="00E655B4">
      <w:pPr>
        <w:spacing w:before="71" w:line="242" w:lineRule="auto"/>
        <w:ind w:left="2978" w:right="1134"/>
        <w:jc w:val="both"/>
        <w:rPr>
          <w:sz w:val="20"/>
        </w:rPr>
      </w:pPr>
      <w:r>
        <w:rPr>
          <w:sz w:val="20"/>
        </w:rPr>
        <w:lastRenderedPageBreak/>
        <w:t>instrumento. Isto traz o risco de congestionar o Poder Judiciário com demandas que, num prazo razoável, poderiam e deveriam ser satisfeitas na instância administrativa (BRASIL, 2001c).</w:t>
      </w:r>
    </w:p>
    <w:p w:rsidR="007259F2" w:rsidRDefault="00E655B4">
      <w:pPr>
        <w:pStyle w:val="Corpodetexto"/>
        <w:spacing w:before="192"/>
        <w:ind w:right="988"/>
      </w:pPr>
      <w:r>
        <w:t>O</w:t>
      </w:r>
      <w:r>
        <w:rPr>
          <w:spacing w:val="-9"/>
        </w:rPr>
        <w:t xml:space="preserve"> </w:t>
      </w:r>
      <w:r>
        <w:t>Estado</w:t>
      </w:r>
      <w:r>
        <w:rPr>
          <w:spacing w:val="-9"/>
        </w:rPr>
        <w:t xml:space="preserve"> </w:t>
      </w:r>
      <w:r>
        <w:t>está</w:t>
      </w:r>
      <w:r>
        <w:rPr>
          <w:spacing w:val="-8"/>
        </w:rPr>
        <w:t xml:space="preserve"> </w:t>
      </w:r>
      <w:r>
        <w:t>obrigado</w:t>
      </w:r>
      <w:r>
        <w:rPr>
          <w:spacing w:val="-8"/>
        </w:rPr>
        <w:t xml:space="preserve"> </w:t>
      </w:r>
      <w:r>
        <w:t>à</w:t>
      </w:r>
      <w:r>
        <w:rPr>
          <w:spacing w:val="-7"/>
        </w:rPr>
        <w:t xml:space="preserve"> </w:t>
      </w:r>
      <w:r>
        <w:t>concessão</w:t>
      </w:r>
      <w:r>
        <w:rPr>
          <w:spacing w:val="-9"/>
        </w:rPr>
        <w:t xml:space="preserve"> </w:t>
      </w:r>
      <w:r>
        <w:t>do</w:t>
      </w:r>
      <w:r>
        <w:rPr>
          <w:spacing w:val="-8"/>
        </w:rPr>
        <w:t xml:space="preserve"> </w:t>
      </w:r>
      <w:r>
        <w:t>direito,</w:t>
      </w:r>
      <w:r>
        <w:rPr>
          <w:spacing w:val="-7"/>
        </w:rPr>
        <w:t xml:space="preserve"> </w:t>
      </w:r>
      <w:r>
        <w:t>mas</w:t>
      </w:r>
      <w:r>
        <w:rPr>
          <w:spacing w:val="-6"/>
        </w:rPr>
        <w:t xml:space="preserve"> </w:t>
      </w:r>
      <w:r>
        <w:t>pode</w:t>
      </w:r>
      <w:r>
        <w:rPr>
          <w:spacing w:val="-9"/>
        </w:rPr>
        <w:t xml:space="preserve"> </w:t>
      </w:r>
      <w:r>
        <w:t>fazê-lo</w:t>
      </w:r>
      <w:r>
        <w:rPr>
          <w:spacing w:val="-8"/>
        </w:rPr>
        <w:t xml:space="preserve"> </w:t>
      </w:r>
      <w:r>
        <w:t>como</w:t>
      </w:r>
      <w:r>
        <w:rPr>
          <w:spacing w:val="-7"/>
        </w:rPr>
        <w:t xml:space="preserve"> </w:t>
      </w:r>
      <w:r>
        <w:t>melhor</w:t>
      </w:r>
      <w:r>
        <w:rPr>
          <w:spacing w:val="-9"/>
        </w:rPr>
        <w:t xml:space="preserve"> </w:t>
      </w:r>
      <w:r>
        <w:t xml:space="preserve">lhe aprouver, escolha esta ligada aos ditames do ato administrativo que, na espécie, é discricionário, afinal a regulação do direito encontra-se no espectro político- administrativo (SÃO PAULO, 2015). E nessa senda, o interesse reside mesmo na regularização de assentamentos informais pela via administrativa. Vislumbra-se que a questão não se restringe à preocupação do que e do quanto a CUEM poderia vir a assoberbar o Poder Judiciário – o que é legítimo, </w:t>
      </w:r>
      <w:r>
        <w:rPr>
          <w:i/>
        </w:rPr>
        <w:t>per se</w:t>
      </w:r>
      <w:r>
        <w:t xml:space="preserve">. Sobretudo, é lançar as bases da concessão de uso sob a competência de deliberação do Poder Executivo respeita a competência constitucional que este detém sobre a administração de bens do Estado e a capacidade mais bem detida de gerir seus próprios bens (MONTESQUIEU, 2000, p. </w:t>
      </w:r>
      <w:r>
        <w:rPr>
          <w:spacing w:val="-2"/>
        </w:rPr>
        <w:t>172).</w:t>
      </w:r>
      <w:r>
        <w:rPr>
          <w:spacing w:val="-2"/>
          <w:vertAlign w:val="superscript"/>
        </w:rPr>
        <w:t>30</w:t>
      </w:r>
    </w:p>
    <w:p w:rsidR="007259F2" w:rsidRDefault="00E655B4">
      <w:pPr>
        <w:pStyle w:val="Corpodetexto"/>
        <w:spacing w:before="1"/>
        <w:ind w:right="987"/>
      </w:pPr>
      <w:r>
        <w:t>Daí decorre a defesa da tese que se trata a concessão de uso de mais uma das exceções admitidas à inafastabilidade</w:t>
      </w:r>
      <w:r>
        <w:rPr>
          <w:spacing w:val="-2"/>
        </w:rPr>
        <w:t xml:space="preserve"> </w:t>
      </w:r>
      <w:r>
        <w:t>do Poder</w:t>
      </w:r>
      <w:r>
        <w:rPr>
          <w:spacing w:val="-1"/>
        </w:rPr>
        <w:t xml:space="preserve"> </w:t>
      </w:r>
      <w:r>
        <w:t>Judiciário.</w:t>
      </w:r>
      <w:r>
        <w:rPr>
          <w:spacing w:val="-1"/>
        </w:rPr>
        <w:t xml:space="preserve"> </w:t>
      </w:r>
      <w:r>
        <w:t>Em que</w:t>
      </w:r>
      <w:r>
        <w:rPr>
          <w:spacing w:val="-1"/>
        </w:rPr>
        <w:t xml:space="preserve"> </w:t>
      </w:r>
      <w:r>
        <w:t>pese a</w:t>
      </w:r>
      <w:r>
        <w:rPr>
          <w:spacing w:val="-1"/>
        </w:rPr>
        <w:t xml:space="preserve"> </w:t>
      </w:r>
      <w:r>
        <w:t>literalidade</w:t>
      </w:r>
      <w:r>
        <w:rPr>
          <w:spacing w:val="-1"/>
        </w:rPr>
        <w:t xml:space="preserve"> </w:t>
      </w:r>
      <w:r>
        <w:t xml:space="preserve">da restrição constitucionalmente prevista – igualmente contida no direito internacional </w:t>
      </w:r>
      <w:r>
        <w:rPr>
          <w:vertAlign w:val="superscript"/>
        </w:rPr>
        <w:t>31</w:t>
      </w:r>
      <w:r>
        <w:t>–</w:t>
      </w:r>
      <w:r>
        <w:rPr>
          <w:spacing w:val="40"/>
        </w:rPr>
        <w:t xml:space="preserve"> </w:t>
      </w:r>
      <w:r>
        <w:t>o Supremo Tribunal Federal admite o estabelecimento de balizas excepcionais à regra quando há risco de comprometimento do próprio direito, das estruturas e das entidades competentes no Estado para garanti-lo. Aqui se trata da acomodação com outros valores constitucionalmente relevantes.</w:t>
      </w:r>
      <w:r>
        <w:rPr>
          <w:vertAlign w:val="superscript"/>
        </w:rPr>
        <w:t>32</w:t>
      </w:r>
      <w:r>
        <w:t xml:space="preserve"> O acesso à justiça não está sendo negado, mas o interesse de agir ganha posição de relevo.</w:t>
      </w:r>
    </w:p>
    <w:p w:rsidR="007259F2" w:rsidRDefault="00E655B4">
      <w:pPr>
        <w:pStyle w:val="Corpodetexto"/>
        <w:ind w:right="986"/>
      </w:pPr>
      <w:r>
        <w:t>A questão maior é que cabe ao Poder Judiciário a reparação à lesão de direito ou mesmo à sua simples ameaça. Entretanto, relegar aos magistrados a tarefa de determinarem</w:t>
      </w:r>
      <w:r>
        <w:rPr>
          <w:spacing w:val="-15"/>
        </w:rPr>
        <w:t xml:space="preserve"> </w:t>
      </w:r>
      <w:r>
        <w:t>a</w:t>
      </w:r>
      <w:r>
        <w:rPr>
          <w:spacing w:val="-15"/>
        </w:rPr>
        <w:t xml:space="preserve"> </w:t>
      </w:r>
      <w:r>
        <w:t>concessão</w:t>
      </w:r>
      <w:r>
        <w:rPr>
          <w:spacing w:val="-3"/>
        </w:rPr>
        <w:t xml:space="preserve"> </w:t>
      </w:r>
      <w:r>
        <w:t>dessa</w:t>
      </w:r>
      <w:r>
        <w:rPr>
          <w:spacing w:val="-2"/>
        </w:rPr>
        <w:t xml:space="preserve"> </w:t>
      </w:r>
      <w:r>
        <w:t>espécie</w:t>
      </w:r>
      <w:r>
        <w:rPr>
          <w:spacing w:val="-2"/>
        </w:rPr>
        <w:t xml:space="preserve"> </w:t>
      </w:r>
      <w:r>
        <w:t>de</w:t>
      </w:r>
      <w:r>
        <w:rPr>
          <w:spacing w:val="-4"/>
        </w:rPr>
        <w:t xml:space="preserve"> </w:t>
      </w:r>
      <w:r>
        <w:t>direito</w:t>
      </w:r>
      <w:r>
        <w:rPr>
          <w:spacing w:val="-3"/>
        </w:rPr>
        <w:t xml:space="preserve"> </w:t>
      </w:r>
      <w:r>
        <w:t>é,</w:t>
      </w:r>
      <w:r>
        <w:rPr>
          <w:spacing w:val="-3"/>
        </w:rPr>
        <w:t xml:space="preserve"> </w:t>
      </w:r>
      <w:r>
        <w:t>no</w:t>
      </w:r>
      <w:r>
        <w:rPr>
          <w:spacing w:val="-3"/>
        </w:rPr>
        <w:t xml:space="preserve"> </w:t>
      </w:r>
      <w:r>
        <w:t>mínimo,</w:t>
      </w:r>
      <w:r>
        <w:rPr>
          <w:spacing w:val="-3"/>
        </w:rPr>
        <w:t xml:space="preserve"> </w:t>
      </w:r>
      <w:r>
        <w:t>imprudente.</w:t>
      </w:r>
      <w:r>
        <w:rPr>
          <w:vertAlign w:val="superscript"/>
        </w:rPr>
        <w:t>33</w:t>
      </w:r>
      <w:r>
        <w:rPr>
          <w:spacing w:val="-2"/>
        </w:rPr>
        <w:t xml:space="preserve"> </w:t>
      </w:r>
      <w:r>
        <w:t>Não</w:t>
      </w:r>
      <w:r>
        <w:rPr>
          <w:spacing w:val="-1"/>
        </w:rPr>
        <w:t xml:space="preserve"> </w:t>
      </w:r>
      <w:r>
        <w:t>lhes falta capacidade, é claro, mas sim um entendimento profundo e detalhado do acervo de bens e políticas públicas conduzidas pelos entes federativos nas variadas esferas de poder.</w:t>
      </w:r>
      <w:r>
        <w:rPr>
          <w:spacing w:val="-15"/>
        </w:rPr>
        <w:t xml:space="preserve"> </w:t>
      </w:r>
      <w:r>
        <w:t>Essa</w:t>
      </w:r>
      <w:r>
        <w:rPr>
          <w:spacing w:val="-15"/>
        </w:rPr>
        <w:t xml:space="preserve"> </w:t>
      </w:r>
      <w:r>
        <w:t>condição</w:t>
      </w:r>
      <w:r>
        <w:rPr>
          <w:spacing w:val="-14"/>
        </w:rPr>
        <w:t xml:space="preserve"> </w:t>
      </w:r>
      <w:r>
        <w:t>mais</w:t>
      </w:r>
      <w:r>
        <w:rPr>
          <w:spacing w:val="-13"/>
        </w:rPr>
        <w:t xml:space="preserve"> </w:t>
      </w:r>
      <w:r>
        <w:t>bem</w:t>
      </w:r>
      <w:r>
        <w:rPr>
          <w:spacing w:val="-14"/>
        </w:rPr>
        <w:t xml:space="preserve"> </w:t>
      </w:r>
      <w:r>
        <w:t>detida</w:t>
      </w:r>
      <w:r>
        <w:rPr>
          <w:spacing w:val="-13"/>
        </w:rPr>
        <w:t xml:space="preserve"> </w:t>
      </w:r>
      <w:r>
        <w:t>pelo</w:t>
      </w:r>
      <w:r>
        <w:rPr>
          <w:spacing w:val="-12"/>
        </w:rPr>
        <w:t xml:space="preserve"> </w:t>
      </w:r>
      <w:r>
        <w:t>Poder Executivo, em seu poder de governo, é crucial para que a Administração Pública não seja colocada em uma posição de constante realocação de recursos (SEIXAS, 2013, p. 17).</w:t>
      </w:r>
      <w:r>
        <w:rPr>
          <w:vertAlign w:val="superscript"/>
        </w:rPr>
        <w:t>34</w:t>
      </w:r>
    </w:p>
    <w:p w:rsidR="007259F2" w:rsidRDefault="00E655B4">
      <w:pPr>
        <w:pStyle w:val="Corpodetexto"/>
        <w:spacing w:before="1"/>
        <w:ind w:right="988"/>
      </w:pPr>
      <w:r>
        <w:t>No contexto dos direitos à prestação, a responsabilidade primordial recai sobre o Estado, sob diversas formas: cabe ao legislador estabelecer as metas prioritárias e formular</w:t>
      </w:r>
      <w:r>
        <w:rPr>
          <w:spacing w:val="49"/>
        </w:rPr>
        <w:t xml:space="preserve">  </w:t>
      </w:r>
      <w:r>
        <w:t>políticas</w:t>
      </w:r>
      <w:r>
        <w:rPr>
          <w:spacing w:val="37"/>
        </w:rPr>
        <w:t xml:space="preserve">  </w:t>
      </w:r>
      <w:r>
        <w:t>públicas;</w:t>
      </w:r>
      <w:r>
        <w:rPr>
          <w:spacing w:val="40"/>
        </w:rPr>
        <w:t xml:space="preserve">  </w:t>
      </w:r>
      <w:r>
        <w:t>ao</w:t>
      </w:r>
      <w:r>
        <w:rPr>
          <w:spacing w:val="40"/>
        </w:rPr>
        <w:t xml:space="preserve">  </w:t>
      </w:r>
      <w:r>
        <w:t>governante,</w:t>
      </w:r>
      <w:r>
        <w:rPr>
          <w:spacing w:val="41"/>
        </w:rPr>
        <w:t xml:space="preserve">  </w:t>
      </w:r>
      <w:r>
        <w:t>a</w:t>
      </w:r>
      <w:r>
        <w:rPr>
          <w:spacing w:val="39"/>
        </w:rPr>
        <w:t xml:space="preserve">  </w:t>
      </w:r>
      <w:r>
        <w:t>responsabilidade</w:t>
      </w:r>
      <w:r>
        <w:rPr>
          <w:spacing w:val="39"/>
        </w:rPr>
        <w:t xml:space="preserve">  </w:t>
      </w:r>
      <w:r>
        <w:t>pela</w:t>
      </w:r>
      <w:r>
        <w:rPr>
          <w:spacing w:val="40"/>
        </w:rPr>
        <w:t xml:space="preserve">  </w:t>
      </w:r>
      <w:r>
        <w:rPr>
          <w:spacing w:val="-2"/>
        </w:rPr>
        <w:t>proposta,</w:t>
      </w:r>
    </w:p>
    <w:p w:rsidR="007259F2" w:rsidRDefault="00DE6B1C">
      <w:pPr>
        <w:pStyle w:val="Corpodetexto"/>
        <w:spacing w:before="102"/>
        <w:ind w:left="0" w:firstLine="0"/>
        <w:jc w:val="left"/>
        <w:rPr>
          <w:sz w:val="20"/>
        </w:rPr>
      </w:pPr>
      <w:r w:rsidRPr="00DE6B1C">
        <w:rPr>
          <w:sz w:val="20"/>
        </w:rPr>
        <w:pict>
          <v:rect id="docshape64" o:spid="_x0000_s1162" style="position:absolute;margin-left:85.1pt;margin-top:17.8pt;width:2in;height:.7pt;z-index:-15704064;mso-wrap-distance-left:0;mso-wrap-distance-right:0;mso-position-horizontal-relative:page" fillcolor="black" stroked="f">
            <w10:wrap type="topAndBottom" anchorx="page"/>
          </v:rect>
        </w:pict>
      </w:r>
    </w:p>
    <w:p w:rsidR="007259F2" w:rsidRDefault="00E655B4">
      <w:pPr>
        <w:spacing w:before="96"/>
        <w:ind w:left="710" w:right="992"/>
        <w:jc w:val="both"/>
        <w:rPr>
          <w:sz w:val="20"/>
        </w:rPr>
      </w:pPr>
      <w:r>
        <w:rPr>
          <w:sz w:val="20"/>
          <w:vertAlign w:val="superscript"/>
        </w:rPr>
        <w:t>30</w:t>
      </w:r>
      <w:r>
        <w:rPr>
          <w:sz w:val="20"/>
        </w:rPr>
        <w:t xml:space="preserve"> Segundo o Barão de La Brède e de Montesquieu, Charles-Louis de Secondat, magistrado de 1714 a 1726, o Poder Executivo “deve estar nas mãos de um monarca [prefeito], porque esta parte do governo, que precisa quase sempre de uma ação mais instantânea, é mais bem administrada por um do que por </w:t>
      </w:r>
      <w:r>
        <w:rPr>
          <w:spacing w:val="-2"/>
          <w:sz w:val="20"/>
        </w:rPr>
        <w:t>vários”.</w:t>
      </w:r>
    </w:p>
    <w:p w:rsidR="007259F2" w:rsidRDefault="00E655B4">
      <w:pPr>
        <w:ind w:left="710" w:right="986"/>
        <w:jc w:val="both"/>
        <w:rPr>
          <w:sz w:val="20"/>
        </w:rPr>
      </w:pPr>
      <w:r>
        <w:rPr>
          <w:sz w:val="20"/>
          <w:vertAlign w:val="superscript"/>
        </w:rPr>
        <w:t>31</w:t>
      </w:r>
      <w:r>
        <w:rPr>
          <w:sz w:val="20"/>
        </w:rPr>
        <w:t xml:space="preserve"> Por sua vez, o art. 8º da DUDH, dispõe que “todo ser humano tem direito a receber dos tribunais nacionais competentes remédio efetivo para os atos que violem os direitos fundamentais que lhe sejam reconhecidos pela constituição ou pela lei”.</w:t>
      </w:r>
    </w:p>
    <w:p w:rsidR="007259F2" w:rsidRDefault="00E655B4">
      <w:pPr>
        <w:spacing w:before="1"/>
        <w:ind w:left="710" w:right="998"/>
        <w:jc w:val="both"/>
        <w:rPr>
          <w:i/>
          <w:sz w:val="20"/>
        </w:rPr>
      </w:pPr>
      <w:r>
        <w:rPr>
          <w:sz w:val="20"/>
          <w:vertAlign w:val="superscript"/>
        </w:rPr>
        <w:t>32</w:t>
      </w:r>
      <w:r>
        <w:rPr>
          <w:sz w:val="20"/>
        </w:rPr>
        <w:t xml:space="preserve"> Como ocorre em outras matérias, </w:t>
      </w:r>
      <w:r>
        <w:rPr>
          <w:i/>
          <w:sz w:val="20"/>
        </w:rPr>
        <w:t>v.g.</w:t>
      </w:r>
      <w:r>
        <w:rPr>
          <w:sz w:val="20"/>
        </w:rPr>
        <w:t xml:space="preserve">, direito desportivo, requerimento previdenciário, indenização de seguro DPVAT, ato administrativo que contrarie súmula vinculante e </w:t>
      </w:r>
      <w:r>
        <w:rPr>
          <w:i/>
          <w:sz w:val="20"/>
        </w:rPr>
        <w:t>habeas data.</w:t>
      </w:r>
    </w:p>
    <w:p w:rsidR="007259F2" w:rsidRDefault="00E655B4">
      <w:pPr>
        <w:ind w:left="710" w:right="987"/>
        <w:jc w:val="both"/>
        <w:rPr>
          <w:sz w:val="20"/>
        </w:rPr>
      </w:pPr>
      <w:r>
        <w:rPr>
          <w:sz w:val="20"/>
          <w:vertAlign w:val="superscript"/>
        </w:rPr>
        <w:t>33</w:t>
      </w:r>
      <w:r>
        <w:rPr>
          <w:sz w:val="20"/>
        </w:rPr>
        <w:t xml:space="preserve"> Imprudente porque a oportunidade de deliberação e tomada acertada de decisão, conforme o ordenamento jurídico, é dada primeiramente ao Poder Executivo que, no poder de governo e administração dos bens públicos, tem a competência e capacidade necessárias à melhor consecução do interesse público. Deixar a decisão a outro agente político, distante do centro de planejamento, administração e tomada de decisões incumbidas ao governo acaba por ser, definitivamente, uma patente manifestação de imprudência e incompetência política.</w:t>
      </w:r>
    </w:p>
    <w:p w:rsidR="007259F2" w:rsidRDefault="00E655B4">
      <w:pPr>
        <w:ind w:left="710" w:right="987"/>
        <w:jc w:val="both"/>
        <w:rPr>
          <w:sz w:val="20"/>
        </w:rPr>
      </w:pPr>
      <w:r>
        <w:rPr>
          <w:sz w:val="20"/>
          <w:vertAlign w:val="superscript"/>
        </w:rPr>
        <w:t>34</w:t>
      </w:r>
      <w:r>
        <w:rPr>
          <w:sz w:val="20"/>
        </w:rPr>
        <w:t xml:space="preserve"> Como aponta a autora, “para atender aos ideais do Estado Social, a atuação governamental precisa ser racional e planejada, algo alcançado através da formulação e execução de políticas públicas”. A</w:t>
      </w:r>
      <w:r>
        <w:rPr>
          <w:spacing w:val="40"/>
          <w:sz w:val="20"/>
        </w:rPr>
        <w:t xml:space="preserve"> </w:t>
      </w:r>
      <w:r>
        <w:rPr>
          <w:sz w:val="20"/>
        </w:rPr>
        <w:t>efetivação dessas políticas públicas está atrelada a uma gama de processos administrativos, legislativos e orçamentários, intercalados com a discricionariedade do governante e do legislador.</w:t>
      </w:r>
    </w:p>
    <w:p w:rsidR="007259F2" w:rsidRDefault="007259F2">
      <w:pPr>
        <w:jc w:val="both"/>
        <w:rPr>
          <w:sz w:val="20"/>
        </w:rPr>
        <w:sectPr w:rsidR="007259F2">
          <w:pgSz w:w="11910" w:h="16840"/>
          <w:pgMar w:top="1320" w:right="708" w:bottom="1160" w:left="992" w:header="0" w:footer="962" w:gutter="0"/>
          <w:cols w:space="720"/>
        </w:sectPr>
      </w:pPr>
    </w:p>
    <w:p w:rsidR="007259F2" w:rsidRDefault="00E655B4">
      <w:pPr>
        <w:pStyle w:val="Corpodetexto"/>
        <w:spacing w:before="69"/>
        <w:ind w:right="991" w:firstLine="0"/>
      </w:pPr>
      <w:r>
        <w:lastRenderedPageBreak/>
        <w:t>implementação e execução dessas políticas; e aos juízes, a tarefa de supervisionar a legalidade dessas ações. Isso implica que o Estado, como entidade social e democrática de direito, deve envidar esforços para fornecer serviços públicos necessários e apropriados a atingir os objetivos fundamentais estabelecidos pela Constituição e, por extensão, promover o desenvolvimento da dignidade humana.</w:t>
      </w:r>
    </w:p>
    <w:p w:rsidR="007259F2" w:rsidRDefault="00E655B4">
      <w:pPr>
        <w:pStyle w:val="Corpodetexto"/>
        <w:spacing w:before="1"/>
        <w:ind w:right="987"/>
      </w:pPr>
      <w:r>
        <w:t>Quando</w:t>
      </w:r>
      <w:r>
        <w:rPr>
          <w:spacing w:val="-8"/>
        </w:rPr>
        <w:t xml:space="preserve"> </w:t>
      </w:r>
      <w:r>
        <w:t>o</w:t>
      </w:r>
      <w:r>
        <w:rPr>
          <w:spacing w:val="-8"/>
        </w:rPr>
        <w:t xml:space="preserve"> </w:t>
      </w:r>
      <w:r>
        <w:t>direito</w:t>
      </w:r>
      <w:r>
        <w:rPr>
          <w:spacing w:val="-7"/>
        </w:rPr>
        <w:t xml:space="preserve"> </w:t>
      </w:r>
      <w:r>
        <w:t>à</w:t>
      </w:r>
      <w:r>
        <w:rPr>
          <w:spacing w:val="-9"/>
        </w:rPr>
        <w:t xml:space="preserve"> </w:t>
      </w:r>
      <w:r>
        <w:t>moradia</w:t>
      </w:r>
      <w:r>
        <w:rPr>
          <w:spacing w:val="-8"/>
        </w:rPr>
        <w:t xml:space="preserve"> </w:t>
      </w:r>
      <w:r>
        <w:t>é</w:t>
      </w:r>
      <w:r>
        <w:rPr>
          <w:spacing w:val="-9"/>
        </w:rPr>
        <w:t xml:space="preserve"> </w:t>
      </w:r>
      <w:r>
        <w:t>entendido</w:t>
      </w:r>
      <w:r>
        <w:rPr>
          <w:spacing w:val="-8"/>
        </w:rPr>
        <w:t xml:space="preserve"> </w:t>
      </w:r>
      <w:r>
        <w:t>como</w:t>
      </w:r>
      <w:r>
        <w:rPr>
          <w:spacing w:val="-7"/>
        </w:rPr>
        <w:t xml:space="preserve"> </w:t>
      </w:r>
      <w:r>
        <w:t>inclusivo</w:t>
      </w:r>
      <w:r>
        <w:rPr>
          <w:spacing w:val="-7"/>
        </w:rPr>
        <w:t xml:space="preserve"> </w:t>
      </w:r>
      <w:r>
        <w:t>do</w:t>
      </w:r>
      <w:r>
        <w:rPr>
          <w:spacing w:val="-8"/>
        </w:rPr>
        <w:t xml:space="preserve"> </w:t>
      </w:r>
      <w:r>
        <w:t>direito</w:t>
      </w:r>
      <w:r>
        <w:rPr>
          <w:spacing w:val="-8"/>
        </w:rPr>
        <w:t xml:space="preserve"> </w:t>
      </w:r>
      <w:r>
        <w:t>à</w:t>
      </w:r>
      <w:r>
        <w:rPr>
          <w:spacing w:val="-9"/>
        </w:rPr>
        <w:t xml:space="preserve"> </w:t>
      </w:r>
      <w:r>
        <w:t>infraestrutura básica e digna, cada decisão judicial que reconhece o direito à CUEM implica que o</w:t>
      </w:r>
      <w:r>
        <w:rPr>
          <w:spacing w:val="40"/>
        </w:rPr>
        <w:t xml:space="preserve"> </w:t>
      </w:r>
      <w:r>
        <w:t>ente federativo proprietário do imóvel assegure</w:t>
      </w:r>
      <w:r>
        <w:rPr>
          <w:spacing w:val="-1"/>
        </w:rPr>
        <w:t xml:space="preserve"> </w:t>
      </w:r>
      <w:r>
        <w:t>a presença</w:t>
      </w:r>
      <w:r>
        <w:rPr>
          <w:spacing w:val="-1"/>
        </w:rPr>
        <w:t xml:space="preserve"> </w:t>
      </w:r>
      <w:r>
        <w:t>dessa infraestrutura</w:t>
      </w:r>
      <w:r>
        <w:rPr>
          <w:spacing w:val="-1"/>
        </w:rPr>
        <w:t xml:space="preserve"> </w:t>
      </w:r>
      <w:r>
        <w:t>essencial no local. Frequentemente, essa condição não é atendida ou não se realiza em um prazo aceitável. A falha ou omissão do Poder Público nesse aspecto acarreta diversas consequências, todas passíveis de reclamação pela via da ação civil pública, a qual o Ministério Público, por sua função institucional, sempre lança mão, sem prejuízo das ações de outros atores políticos e da sociedade civil (DUARTE, 2013, p. 33).</w:t>
      </w:r>
      <w:r>
        <w:rPr>
          <w:vertAlign w:val="superscript"/>
        </w:rPr>
        <w:t>35</w:t>
      </w:r>
      <w:r>
        <w:t xml:space="preserve"> Assim, problemas não resolvidos ou mal administrados se acumulam, comprometendo uma concretização efetiva da política urbana.</w:t>
      </w:r>
    </w:p>
    <w:p w:rsidR="007259F2" w:rsidRDefault="00E655B4">
      <w:pPr>
        <w:pStyle w:val="Corpodetexto"/>
        <w:spacing w:before="1"/>
        <w:ind w:right="987"/>
      </w:pPr>
      <w:r>
        <w:t>O governante se vê apenas resolvendo problemas e</w:t>
      </w:r>
      <w:r>
        <w:rPr>
          <w:spacing w:val="-1"/>
        </w:rPr>
        <w:t xml:space="preserve"> </w:t>
      </w:r>
      <w:r>
        <w:t>prioridades estabelecidas por outros poderes que, originalmente destituídos da condução dessas políticas, acabam obrigados a tanto por imposição legal. Políticas públicas inexistem nesse contexto, seja em razão do orçamento limitado para tantas necessidades e determinações judiciais concomitantes, seja pela destinação de uma quantia voluptuosa do orçamento para regularizações não previstas originalmente nas leis orçamentárias e no plano diretor. Essa é a realidade de muitos entes brasileiros.</w:t>
      </w:r>
    </w:p>
    <w:p w:rsidR="007259F2" w:rsidRDefault="00E655B4">
      <w:pPr>
        <w:pStyle w:val="Corpodetexto"/>
        <w:ind w:right="986"/>
      </w:pPr>
      <w:r>
        <w:t>Da</w:t>
      </w:r>
      <w:r>
        <w:rPr>
          <w:spacing w:val="-2"/>
        </w:rPr>
        <w:t xml:space="preserve"> </w:t>
      </w:r>
      <w:r>
        <w:t>interpretação literal do art. 6º da</w:t>
      </w:r>
      <w:r>
        <w:rPr>
          <w:spacing w:val="-1"/>
        </w:rPr>
        <w:t xml:space="preserve"> </w:t>
      </w:r>
      <w:r>
        <w:t>MP</w:t>
      </w:r>
      <w:r>
        <w:rPr>
          <w:spacing w:val="-9"/>
        </w:rPr>
        <w:t xml:space="preserve"> </w:t>
      </w:r>
      <w:r>
        <w:t>nº</w:t>
      </w:r>
      <w:r>
        <w:rPr>
          <w:spacing w:val="-2"/>
        </w:rPr>
        <w:t xml:space="preserve"> </w:t>
      </w:r>
      <w:r>
        <w:t>2.220/2001 se</w:t>
      </w:r>
      <w:r>
        <w:rPr>
          <w:spacing w:val="-3"/>
        </w:rPr>
        <w:t xml:space="preserve"> </w:t>
      </w:r>
      <w:r>
        <w:t>extrai, portanto, que</w:t>
      </w:r>
      <w:r>
        <w:rPr>
          <w:spacing w:val="-3"/>
        </w:rPr>
        <w:t xml:space="preserve"> </w:t>
      </w:r>
      <w:r>
        <w:t>“o título de concessão de uso especial para fins de moradia será obtido pela via administrativa perante o órgão competente da Administração Pública ou, em caso de recusa ou omissão deste, pela via judicial” (BRASIL, 2001b). Somada à interpretação histórica, expressa pelo veto presidencial ao Estatuto da Cidade, não há dúvidas de que, se ajuizada a respectiva ação sem requerimento prévio do ente competente, faltará interesse de agir e seu desfecho será a extinção.</w:t>
      </w:r>
      <w:r>
        <w:rPr>
          <w:vertAlign w:val="superscript"/>
        </w:rPr>
        <w:t>36</w:t>
      </w:r>
      <w:r>
        <w:rPr>
          <w:spacing w:val="-6"/>
        </w:rPr>
        <w:t xml:space="preserve"> </w:t>
      </w:r>
      <w:r>
        <w:rPr>
          <w:vertAlign w:val="superscript"/>
        </w:rPr>
        <w:t>-</w:t>
      </w:r>
      <w:r>
        <w:rPr>
          <w:spacing w:val="-9"/>
        </w:rPr>
        <w:t xml:space="preserve"> </w:t>
      </w:r>
      <w:r>
        <w:rPr>
          <w:vertAlign w:val="superscript"/>
        </w:rPr>
        <w:t>37</w:t>
      </w:r>
    </w:p>
    <w:p w:rsidR="007259F2" w:rsidRDefault="00E655B4">
      <w:pPr>
        <w:pStyle w:val="Heading2"/>
        <w:numPr>
          <w:ilvl w:val="0"/>
          <w:numId w:val="38"/>
        </w:numPr>
        <w:tabs>
          <w:tab w:val="left" w:pos="899"/>
        </w:tabs>
        <w:ind w:hanging="187"/>
        <w:jc w:val="both"/>
      </w:pPr>
      <w:r>
        <w:t>O</w:t>
      </w:r>
      <w:r>
        <w:rPr>
          <w:spacing w:val="-2"/>
        </w:rPr>
        <w:t xml:space="preserve"> </w:t>
      </w:r>
      <w:r>
        <w:t>que</w:t>
      </w:r>
      <w:r>
        <w:rPr>
          <w:spacing w:val="-2"/>
        </w:rPr>
        <w:t xml:space="preserve"> </w:t>
      </w:r>
      <w:r>
        <w:t>é</w:t>
      </w:r>
      <w:r>
        <w:rPr>
          <w:spacing w:val="-1"/>
        </w:rPr>
        <w:t xml:space="preserve"> </w:t>
      </w:r>
      <w:r>
        <w:t>uma</w:t>
      </w:r>
      <w:r>
        <w:rPr>
          <w:spacing w:val="-4"/>
        </w:rPr>
        <w:t xml:space="preserve"> </w:t>
      </w:r>
      <w:r>
        <w:t xml:space="preserve">política </w:t>
      </w:r>
      <w:r>
        <w:rPr>
          <w:spacing w:val="-2"/>
        </w:rPr>
        <w:t>pública?</w:t>
      </w:r>
    </w:p>
    <w:p w:rsidR="007259F2" w:rsidRDefault="00E655B4">
      <w:pPr>
        <w:pStyle w:val="Corpodetexto"/>
        <w:spacing w:before="113"/>
        <w:ind w:right="990"/>
      </w:pPr>
      <w:r>
        <w:t>Para</w:t>
      </w:r>
      <w:r>
        <w:rPr>
          <w:spacing w:val="-10"/>
        </w:rPr>
        <w:t xml:space="preserve"> </w:t>
      </w:r>
      <w:r>
        <w:t>abordar</w:t>
      </w:r>
      <w:r>
        <w:rPr>
          <w:spacing w:val="-4"/>
        </w:rPr>
        <w:t xml:space="preserve"> </w:t>
      </w:r>
      <w:r>
        <w:t>a</w:t>
      </w:r>
      <w:r>
        <w:rPr>
          <w:spacing w:val="-6"/>
        </w:rPr>
        <w:t xml:space="preserve"> </w:t>
      </w:r>
      <w:r>
        <w:t>ideia</w:t>
      </w:r>
      <w:r>
        <w:rPr>
          <w:spacing w:val="-7"/>
        </w:rPr>
        <w:t xml:space="preserve"> </w:t>
      </w:r>
      <w:r>
        <w:t>do</w:t>
      </w:r>
      <w:r>
        <w:rPr>
          <w:spacing w:val="-6"/>
        </w:rPr>
        <w:t xml:space="preserve"> </w:t>
      </w:r>
      <w:r>
        <w:t>direito</w:t>
      </w:r>
      <w:r>
        <w:rPr>
          <w:spacing w:val="-3"/>
        </w:rPr>
        <w:t xml:space="preserve"> </w:t>
      </w:r>
      <w:r>
        <w:t>à</w:t>
      </w:r>
      <w:r>
        <w:rPr>
          <w:spacing w:val="-7"/>
        </w:rPr>
        <w:t xml:space="preserve"> </w:t>
      </w:r>
      <w:r>
        <w:t>concessão</w:t>
      </w:r>
      <w:r>
        <w:rPr>
          <w:spacing w:val="-6"/>
        </w:rPr>
        <w:t xml:space="preserve"> </w:t>
      </w:r>
      <w:r>
        <w:t>de</w:t>
      </w:r>
      <w:r>
        <w:rPr>
          <w:spacing w:val="-7"/>
        </w:rPr>
        <w:t xml:space="preserve"> </w:t>
      </w:r>
      <w:r>
        <w:t>uso</w:t>
      </w:r>
      <w:r>
        <w:rPr>
          <w:spacing w:val="-1"/>
        </w:rPr>
        <w:t xml:space="preserve"> </w:t>
      </w:r>
      <w:r>
        <w:t>enquanto</w:t>
      </w:r>
      <w:r>
        <w:rPr>
          <w:spacing w:val="-5"/>
        </w:rPr>
        <w:t xml:space="preserve"> </w:t>
      </w:r>
      <w:r>
        <w:t>política</w:t>
      </w:r>
      <w:r>
        <w:rPr>
          <w:spacing w:val="-6"/>
        </w:rPr>
        <w:t xml:space="preserve"> </w:t>
      </w:r>
      <w:r>
        <w:t>pública,</w:t>
      </w:r>
      <w:r>
        <w:rPr>
          <w:spacing w:val="-3"/>
        </w:rPr>
        <w:t xml:space="preserve"> </w:t>
      </w:r>
      <w:r>
        <w:t xml:space="preserve">cabe trazer alguns conceitos da doutrina. Para Ronald Dworkin (2002, p. 36) política pública são padrões que estipulam metas a serem atingidas visando aprimoramentos em esferas econômicas, políticas ou sociais da comunidade. Segundo ele, se “princípios são proposições que descrevem direitos, políticas (policies) são proposições que descrevem </w:t>
      </w:r>
      <w:r>
        <w:rPr>
          <w:spacing w:val="-2"/>
        </w:rPr>
        <w:t>objetivos”.</w:t>
      </w:r>
    </w:p>
    <w:p w:rsidR="007259F2" w:rsidRDefault="00E655B4">
      <w:pPr>
        <w:pStyle w:val="Corpodetexto"/>
        <w:ind w:right="989"/>
      </w:pPr>
      <w:r>
        <w:t>Fábio Comparato (1998, p. 4), por sua vez, encara a política pública como uma atividade</w:t>
      </w:r>
      <w:r>
        <w:rPr>
          <w:spacing w:val="9"/>
        </w:rPr>
        <w:t xml:space="preserve"> </w:t>
      </w:r>
      <w:r>
        <w:t>que,</w:t>
      </w:r>
      <w:r>
        <w:rPr>
          <w:spacing w:val="10"/>
        </w:rPr>
        <w:t xml:space="preserve"> </w:t>
      </w:r>
      <w:r>
        <w:t>originalmente</w:t>
      </w:r>
      <w:r>
        <w:rPr>
          <w:spacing w:val="9"/>
        </w:rPr>
        <w:t xml:space="preserve"> </w:t>
      </w:r>
      <w:r>
        <w:t>derivada</w:t>
      </w:r>
      <w:r>
        <w:rPr>
          <w:spacing w:val="9"/>
        </w:rPr>
        <w:t xml:space="preserve"> </w:t>
      </w:r>
      <w:r>
        <w:t>da</w:t>
      </w:r>
      <w:r>
        <w:rPr>
          <w:spacing w:val="9"/>
        </w:rPr>
        <w:t xml:space="preserve"> </w:t>
      </w:r>
      <w:r>
        <w:t>teoria</w:t>
      </w:r>
      <w:r>
        <w:rPr>
          <w:spacing w:val="12"/>
        </w:rPr>
        <w:t xml:space="preserve"> </w:t>
      </w:r>
      <w:r>
        <w:t>empresarial,</w:t>
      </w:r>
      <w:r>
        <w:rPr>
          <w:spacing w:val="11"/>
        </w:rPr>
        <w:t xml:space="preserve"> </w:t>
      </w:r>
      <w:r>
        <w:t>agora</w:t>
      </w:r>
      <w:r>
        <w:rPr>
          <w:spacing w:val="9"/>
        </w:rPr>
        <w:t xml:space="preserve"> </w:t>
      </w:r>
      <w:r>
        <w:t>se</w:t>
      </w:r>
      <w:r>
        <w:rPr>
          <w:spacing w:val="10"/>
        </w:rPr>
        <w:t xml:space="preserve"> </w:t>
      </w:r>
      <w:r>
        <w:t>aplica</w:t>
      </w:r>
      <w:r>
        <w:rPr>
          <w:spacing w:val="9"/>
        </w:rPr>
        <w:t xml:space="preserve"> </w:t>
      </w:r>
      <w:r>
        <w:t>também</w:t>
      </w:r>
      <w:r>
        <w:rPr>
          <w:spacing w:val="11"/>
        </w:rPr>
        <w:t xml:space="preserve"> </w:t>
      </w:r>
      <w:r>
        <w:rPr>
          <w:spacing w:val="-5"/>
        </w:rPr>
        <w:t>no</w:t>
      </w:r>
    </w:p>
    <w:p w:rsidR="007259F2" w:rsidRDefault="00DE6B1C">
      <w:pPr>
        <w:pStyle w:val="Corpodetexto"/>
        <w:spacing w:before="76"/>
        <w:ind w:left="0" w:firstLine="0"/>
        <w:jc w:val="left"/>
        <w:rPr>
          <w:sz w:val="20"/>
        </w:rPr>
      </w:pPr>
      <w:r w:rsidRPr="00DE6B1C">
        <w:rPr>
          <w:sz w:val="20"/>
        </w:rPr>
        <w:pict>
          <v:rect id="docshape65" o:spid="_x0000_s1161" style="position:absolute;margin-left:85.1pt;margin-top:16.5pt;width:2in;height:.7pt;z-index:-15703552;mso-wrap-distance-left:0;mso-wrap-distance-right:0;mso-position-horizontal-relative:page" fillcolor="black" stroked="f">
            <w10:wrap type="topAndBottom" anchorx="page"/>
          </v:rect>
        </w:pict>
      </w:r>
    </w:p>
    <w:p w:rsidR="007259F2" w:rsidRDefault="00E655B4">
      <w:pPr>
        <w:spacing w:before="96" w:line="229" w:lineRule="exact"/>
        <w:ind w:left="710"/>
        <w:jc w:val="both"/>
        <w:rPr>
          <w:sz w:val="20"/>
        </w:rPr>
      </w:pPr>
      <w:r>
        <w:rPr>
          <w:sz w:val="20"/>
          <w:vertAlign w:val="superscript"/>
        </w:rPr>
        <w:t>35</w:t>
      </w:r>
      <w:r>
        <w:rPr>
          <w:spacing w:val="-5"/>
          <w:sz w:val="20"/>
        </w:rPr>
        <w:t xml:space="preserve"> </w:t>
      </w:r>
      <w:r>
        <w:rPr>
          <w:sz w:val="20"/>
        </w:rPr>
        <w:t>Cuida-se</w:t>
      </w:r>
      <w:r>
        <w:rPr>
          <w:spacing w:val="-6"/>
          <w:sz w:val="20"/>
        </w:rPr>
        <w:t xml:space="preserve"> </w:t>
      </w:r>
      <w:r>
        <w:rPr>
          <w:sz w:val="20"/>
        </w:rPr>
        <w:t>da</w:t>
      </w:r>
      <w:r>
        <w:rPr>
          <w:spacing w:val="-9"/>
          <w:sz w:val="20"/>
        </w:rPr>
        <w:t xml:space="preserve"> </w:t>
      </w:r>
      <w:r>
        <w:rPr>
          <w:sz w:val="20"/>
        </w:rPr>
        <w:t>etapa</w:t>
      </w:r>
      <w:r>
        <w:rPr>
          <w:spacing w:val="-6"/>
          <w:sz w:val="20"/>
        </w:rPr>
        <w:t xml:space="preserve"> </w:t>
      </w:r>
      <w:r>
        <w:rPr>
          <w:sz w:val="20"/>
        </w:rPr>
        <w:t>de</w:t>
      </w:r>
      <w:r>
        <w:rPr>
          <w:spacing w:val="-9"/>
          <w:sz w:val="20"/>
        </w:rPr>
        <w:t xml:space="preserve"> </w:t>
      </w:r>
      <w:r>
        <w:rPr>
          <w:sz w:val="20"/>
        </w:rPr>
        <w:t>fiscalização</w:t>
      </w:r>
      <w:r>
        <w:rPr>
          <w:spacing w:val="-5"/>
          <w:sz w:val="20"/>
        </w:rPr>
        <w:t xml:space="preserve"> </w:t>
      </w:r>
      <w:r>
        <w:rPr>
          <w:sz w:val="20"/>
        </w:rPr>
        <w:t>e</w:t>
      </w:r>
      <w:r>
        <w:rPr>
          <w:spacing w:val="-9"/>
          <w:sz w:val="20"/>
        </w:rPr>
        <w:t xml:space="preserve"> </w:t>
      </w:r>
      <w:r>
        <w:rPr>
          <w:sz w:val="20"/>
        </w:rPr>
        <w:t>controle</w:t>
      </w:r>
      <w:r>
        <w:rPr>
          <w:spacing w:val="-6"/>
          <w:sz w:val="20"/>
        </w:rPr>
        <w:t xml:space="preserve"> </w:t>
      </w:r>
      <w:r>
        <w:rPr>
          <w:sz w:val="20"/>
        </w:rPr>
        <w:t>do</w:t>
      </w:r>
      <w:r>
        <w:rPr>
          <w:spacing w:val="-8"/>
          <w:sz w:val="20"/>
        </w:rPr>
        <w:t xml:space="preserve"> </w:t>
      </w:r>
      <w:r>
        <w:rPr>
          <w:sz w:val="20"/>
        </w:rPr>
        <w:t>ciclo</w:t>
      </w:r>
      <w:r>
        <w:rPr>
          <w:spacing w:val="-7"/>
          <w:sz w:val="20"/>
        </w:rPr>
        <w:t xml:space="preserve"> </w:t>
      </w:r>
      <w:r>
        <w:rPr>
          <w:sz w:val="20"/>
        </w:rPr>
        <w:t>das</w:t>
      </w:r>
      <w:r>
        <w:rPr>
          <w:spacing w:val="-6"/>
          <w:sz w:val="20"/>
        </w:rPr>
        <w:t xml:space="preserve"> </w:t>
      </w:r>
      <w:r>
        <w:rPr>
          <w:sz w:val="20"/>
        </w:rPr>
        <w:t>políticas</w:t>
      </w:r>
      <w:r>
        <w:rPr>
          <w:spacing w:val="-9"/>
          <w:sz w:val="20"/>
        </w:rPr>
        <w:t xml:space="preserve"> </w:t>
      </w:r>
      <w:r>
        <w:rPr>
          <w:spacing w:val="-2"/>
          <w:sz w:val="20"/>
        </w:rPr>
        <w:t>públicas.</w:t>
      </w:r>
    </w:p>
    <w:p w:rsidR="007259F2" w:rsidRDefault="00E655B4">
      <w:pPr>
        <w:ind w:left="710" w:right="985"/>
        <w:jc w:val="both"/>
        <w:rPr>
          <w:sz w:val="20"/>
        </w:rPr>
      </w:pPr>
      <w:r>
        <w:rPr>
          <w:sz w:val="20"/>
          <w:vertAlign w:val="superscript"/>
        </w:rPr>
        <w:t>36</w:t>
      </w:r>
      <w:r>
        <w:rPr>
          <w:sz w:val="20"/>
        </w:rPr>
        <w:t xml:space="preserve"> Nessa senda, o seguinte julgado do TJSP (2018): “Indeferimento da inicial. Extinção da ação com fundamento no artigo 485, I e VI, do CPC. Recurso dos autores buscando a anulação da sentença e o prosseguimento do feito. Inviabilidade. Hipótese em que os autores não comprovaram o prévio requerimento administrativo. Exigência prevista no artigo 6º, da Medida Provisória 2.220/01. Pedido subsidiário, ademais, que improcede, na medida em que é ao Poder Público que cabe verificar se os autores preenchem os requisitos necessários à inserção em programa social de habitação. Recurso </w:t>
      </w:r>
      <w:r>
        <w:rPr>
          <w:spacing w:val="-2"/>
          <w:sz w:val="20"/>
        </w:rPr>
        <w:t>improvido”.</w:t>
      </w:r>
    </w:p>
    <w:p w:rsidR="007259F2" w:rsidRDefault="00E655B4">
      <w:pPr>
        <w:ind w:left="710" w:right="996"/>
        <w:jc w:val="both"/>
        <w:rPr>
          <w:sz w:val="20"/>
        </w:rPr>
      </w:pPr>
      <w:r>
        <w:rPr>
          <w:sz w:val="20"/>
          <w:vertAlign w:val="superscript"/>
        </w:rPr>
        <w:t>37</w:t>
      </w:r>
      <w:r>
        <w:rPr>
          <w:spacing w:val="-1"/>
          <w:sz w:val="20"/>
        </w:rPr>
        <w:t xml:space="preserve"> </w:t>
      </w:r>
      <w:r>
        <w:rPr>
          <w:sz w:val="20"/>
        </w:rPr>
        <w:t>Ponto de</w:t>
      </w:r>
      <w:r>
        <w:rPr>
          <w:spacing w:val="-3"/>
          <w:sz w:val="20"/>
        </w:rPr>
        <w:t xml:space="preserve"> </w:t>
      </w:r>
      <w:r>
        <w:rPr>
          <w:sz w:val="20"/>
        </w:rPr>
        <w:t>atenção:</w:t>
      </w:r>
      <w:r>
        <w:rPr>
          <w:spacing w:val="-1"/>
          <w:sz w:val="20"/>
        </w:rPr>
        <w:t xml:space="preserve"> </w:t>
      </w:r>
      <w:r>
        <w:rPr>
          <w:sz w:val="20"/>
        </w:rPr>
        <w:t>não se</w:t>
      </w:r>
      <w:r>
        <w:rPr>
          <w:spacing w:val="-1"/>
          <w:sz w:val="20"/>
        </w:rPr>
        <w:t xml:space="preserve"> </w:t>
      </w:r>
      <w:r>
        <w:rPr>
          <w:sz w:val="20"/>
        </w:rPr>
        <w:t>deve</w:t>
      </w:r>
      <w:r>
        <w:rPr>
          <w:spacing w:val="-1"/>
          <w:sz w:val="20"/>
        </w:rPr>
        <w:t xml:space="preserve"> </w:t>
      </w:r>
      <w:r>
        <w:rPr>
          <w:sz w:val="20"/>
        </w:rPr>
        <w:t>encerrar processos</w:t>
      </w:r>
      <w:r>
        <w:rPr>
          <w:spacing w:val="-1"/>
          <w:sz w:val="20"/>
        </w:rPr>
        <w:t xml:space="preserve"> </w:t>
      </w:r>
      <w:r>
        <w:rPr>
          <w:sz w:val="20"/>
        </w:rPr>
        <w:t>arbitrariamente</w:t>
      </w:r>
      <w:r>
        <w:rPr>
          <w:spacing w:val="-1"/>
          <w:sz w:val="20"/>
        </w:rPr>
        <w:t xml:space="preserve"> </w:t>
      </w:r>
      <w:r>
        <w:rPr>
          <w:sz w:val="20"/>
        </w:rPr>
        <w:t>com</w:t>
      </w:r>
      <w:r>
        <w:rPr>
          <w:spacing w:val="-5"/>
          <w:sz w:val="20"/>
        </w:rPr>
        <w:t xml:space="preserve"> </w:t>
      </w:r>
      <w:r>
        <w:rPr>
          <w:sz w:val="20"/>
        </w:rPr>
        <w:t>base</w:t>
      </w:r>
      <w:r>
        <w:rPr>
          <w:spacing w:val="-1"/>
          <w:sz w:val="20"/>
        </w:rPr>
        <w:t xml:space="preserve"> </w:t>
      </w:r>
      <w:r>
        <w:rPr>
          <w:sz w:val="20"/>
        </w:rPr>
        <w:t>nessa</w:t>
      </w:r>
      <w:r>
        <w:rPr>
          <w:spacing w:val="-1"/>
          <w:sz w:val="20"/>
        </w:rPr>
        <w:t xml:space="preserve"> </w:t>
      </w:r>
      <w:r>
        <w:rPr>
          <w:sz w:val="20"/>
        </w:rPr>
        <w:t>exceção.</w:t>
      </w:r>
      <w:r>
        <w:rPr>
          <w:spacing w:val="-1"/>
          <w:sz w:val="20"/>
        </w:rPr>
        <w:t xml:space="preserve"> </w:t>
      </w:r>
      <w:r>
        <w:rPr>
          <w:sz w:val="20"/>
        </w:rPr>
        <w:t>Conforme</w:t>
      </w:r>
      <w:r>
        <w:rPr>
          <w:spacing w:val="-1"/>
          <w:sz w:val="20"/>
        </w:rPr>
        <w:t xml:space="preserve"> </w:t>
      </w:r>
      <w:r>
        <w:rPr>
          <w:sz w:val="20"/>
        </w:rPr>
        <w:t>já deci-dido</w:t>
      </w:r>
      <w:r>
        <w:rPr>
          <w:spacing w:val="-3"/>
          <w:sz w:val="20"/>
        </w:rPr>
        <w:t xml:space="preserve"> </w:t>
      </w:r>
      <w:r>
        <w:rPr>
          <w:sz w:val="20"/>
        </w:rPr>
        <w:t>pelo</w:t>
      </w:r>
      <w:r>
        <w:rPr>
          <w:spacing w:val="-3"/>
          <w:sz w:val="20"/>
        </w:rPr>
        <w:t xml:space="preserve"> </w:t>
      </w:r>
      <w:r>
        <w:rPr>
          <w:sz w:val="20"/>
        </w:rPr>
        <w:t>STF</w:t>
      </w:r>
      <w:r>
        <w:rPr>
          <w:spacing w:val="-5"/>
          <w:sz w:val="20"/>
        </w:rPr>
        <w:t xml:space="preserve"> </w:t>
      </w:r>
      <w:r>
        <w:rPr>
          <w:sz w:val="20"/>
        </w:rPr>
        <w:t>no</w:t>
      </w:r>
      <w:r>
        <w:rPr>
          <w:spacing w:val="-3"/>
          <w:sz w:val="20"/>
        </w:rPr>
        <w:t xml:space="preserve"> </w:t>
      </w:r>
      <w:r>
        <w:rPr>
          <w:sz w:val="20"/>
        </w:rPr>
        <w:t>julgamento</w:t>
      </w:r>
      <w:r>
        <w:rPr>
          <w:spacing w:val="-3"/>
          <w:sz w:val="20"/>
        </w:rPr>
        <w:t xml:space="preserve"> </w:t>
      </w:r>
      <w:r>
        <w:rPr>
          <w:sz w:val="20"/>
        </w:rPr>
        <w:t>do</w:t>
      </w:r>
      <w:r>
        <w:rPr>
          <w:spacing w:val="-3"/>
          <w:sz w:val="20"/>
        </w:rPr>
        <w:t xml:space="preserve"> </w:t>
      </w:r>
      <w:r>
        <w:rPr>
          <w:sz w:val="20"/>
        </w:rPr>
        <w:t>Recurso</w:t>
      </w:r>
      <w:r>
        <w:rPr>
          <w:spacing w:val="-3"/>
          <w:sz w:val="20"/>
        </w:rPr>
        <w:t xml:space="preserve"> </w:t>
      </w:r>
      <w:r>
        <w:rPr>
          <w:sz w:val="20"/>
        </w:rPr>
        <w:t>Extraordinário</w:t>
      </w:r>
      <w:r>
        <w:rPr>
          <w:spacing w:val="-3"/>
          <w:sz w:val="20"/>
        </w:rPr>
        <w:t xml:space="preserve"> </w:t>
      </w:r>
      <w:r>
        <w:rPr>
          <w:sz w:val="20"/>
        </w:rPr>
        <w:t>nº</w:t>
      </w:r>
      <w:r>
        <w:rPr>
          <w:spacing w:val="-2"/>
          <w:sz w:val="20"/>
        </w:rPr>
        <w:t xml:space="preserve"> </w:t>
      </w:r>
      <w:r>
        <w:rPr>
          <w:sz w:val="20"/>
        </w:rPr>
        <w:t>631.240/MG,</w:t>
      </w:r>
      <w:r>
        <w:rPr>
          <w:spacing w:val="-3"/>
          <w:sz w:val="20"/>
        </w:rPr>
        <w:t xml:space="preserve"> </w:t>
      </w:r>
      <w:r>
        <w:rPr>
          <w:sz w:val="20"/>
        </w:rPr>
        <w:t>não</w:t>
      </w:r>
      <w:r>
        <w:rPr>
          <w:spacing w:val="-3"/>
          <w:sz w:val="20"/>
        </w:rPr>
        <w:t xml:space="preserve"> </w:t>
      </w:r>
      <w:r>
        <w:rPr>
          <w:sz w:val="20"/>
        </w:rPr>
        <w:t>é</w:t>
      </w:r>
      <w:r>
        <w:rPr>
          <w:spacing w:val="-4"/>
          <w:sz w:val="20"/>
        </w:rPr>
        <w:t xml:space="preserve"> </w:t>
      </w:r>
      <w:r>
        <w:rPr>
          <w:sz w:val="20"/>
        </w:rPr>
        <w:t>exigido</w:t>
      </w:r>
      <w:r>
        <w:rPr>
          <w:spacing w:val="-3"/>
          <w:sz w:val="20"/>
        </w:rPr>
        <w:t xml:space="preserve"> </w:t>
      </w:r>
      <w:r>
        <w:rPr>
          <w:sz w:val="20"/>
        </w:rPr>
        <w:t>requerimento adminis-trativo prévio se a administração for consistentemente contrária às reivindicações do titular (BRASIL, 2014).</w:t>
      </w:r>
    </w:p>
    <w:p w:rsidR="007259F2" w:rsidRDefault="007259F2">
      <w:pPr>
        <w:jc w:val="both"/>
        <w:rPr>
          <w:sz w:val="20"/>
        </w:rPr>
        <w:sectPr w:rsidR="007259F2">
          <w:pgSz w:w="11910" w:h="16840"/>
          <w:pgMar w:top="1320" w:right="708" w:bottom="1160" w:left="992" w:header="0" w:footer="962" w:gutter="0"/>
          <w:cols w:space="720"/>
        </w:sectPr>
      </w:pPr>
    </w:p>
    <w:p w:rsidR="007259F2" w:rsidRDefault="00E655B4">
      <w:pPr>
        <w:pStyle w:val="Corpodetexto"/>
        <w:spacing w:before="69"/>
        <w:ind w:right="987" w:firstLine="0"/>
      </w:pPr>
      <w:r>
        <w:lastRenderedPageBreak/>
        <w:t>setor governamental. A concebe como “um conjunto organizado de normas e atos tendentes à realização de um objetivo determinado” e enfatiza que, enquanto este conjunto, a política pública é unificada pela finalidade que busca alcançar.</w:t>
      </w:r>
    </w:p>
    <w:p w:rsidR="007259F2" w:rsidRDefault="00E655B4">
      <w:pPr>
        <w:pStyle w:val="Corpodetexto"/>
        <w:spacing w:before="1"/>
        <w:ind w:right="987"/>
      </w:pPr>
      <w:r>
        <w:t>Já para Maria Paula Dallari (2002, p. 39), política pública é um programa de</w:t>
      </w:r>
      <w:r>
        <w:rPr>
          <w:spacing w:val="40"/>
        </w:rPr>
        <w:t xml:space="preserve"> </w:t>
      </w:r>
      <w:r>
        <w:t>ação governamental que emerge de uma série de processos juridicamente regulados – processo eleitoral, processo de planejamento, processo de governo, processo orçamentário, processo legislativo, processo administrativo, processo judicial – objetivando a coordenação dos meios à disposição do Estado e as atividades privadas, para a concretização de metas socialmente relevantes e politicamente definidas.</w:t>
      </w:r>
    </w:p>
    <w:p w:rsidR="007259F2" w:rsidRDefault="00E655B4">
      <w:pPr>
        <w:pStyle w:val="Corpodetexto"/>
        <w:ind w:right="988"/>
      </w:pPr>
      <w:r>
        <w:t>Uma política adquire sua real natureza pública quando se harmoniza com os interesses coletivos, evitando favorecer interesses particulares ou negligenciar os que necessitam de proteção, mas sim materializando as expectativas sociais. A essência pública de uma política transcende seu conteúdo, manifestando-se também em seu processo de formulação, que deve ser inclusivo e transparente, engajando todos os interessados, afetados direta ou indiretamente. Tal abertura assegura a clareza e a transparência das posições em jogo (BUCCI, 2002, p. 269).</w:t>
      </w:r>
    </w:p>
    <w:p w:rsidR="007259F2" w:rsidRDefault="00E655B4">
      <w:pPr>
        <w:pStyle w:val="Corpodetexto"/>
        <w:spacing w:before="1"/>
        <w:ind w:right="988"/>
      </w:pPr>
      <w:r>
        <w:t>No âmbito da ciência política, Celina Souza (2006, p. 25-26) aborda a complexa tarefa de definir política pública, enfatizando a ausência de uma explicação única ou absoluta para este conceito. Várias definições têm sido propostas por estudiosos: Mead (1995)</w:t>
      </w:r>
      <w:r>
        <w:rPr>
          <w:spacing w:val="-2"/>
        </w:rPr>
        <w:t xml:space="preserve"> </w:t>
      </w:r>
      <w:r>
        <w:t>vê a</w:t>
      </w:r>
      <w:r>
        <w:rPr>
          <w:spacing w:val="-2"/>
        </w:rPr>
        <w:t xml:space="preserve"> </w:t>
      </w:r>
      <w:r>
        <w:t>política</w:t>
      </w:r>
      <w:r>
        <w:rPr>
          <w:spacing w:val="-2"/>
        </w:rPr>
        <w:t xml:space="preserve"> </w:t>
      </w:r>
      <w:r>
        <w:t>pública</w:t>
      </w:r>
      <w:r>
        <w:rPr>
          <w:spacing w:val="-12"/>
        </w:rPr>
        <w:t xml:space="preserve"> </w:t>
      </w:r>
      <w:r>
        <w:t>como</w:t>
      </w:r>
      <w:r>
        <w:rPr>
          <w:spacing w:val="-10"/>
        </w:rPr>
        <w:t xml:space="preserve"> </w:t>
      </w:r>
      <w:r>
        <w:t>um</w:t>
      </w:r>
      <w:r>
        <w:rPr>
          <w:spacing w:val="-10"/>
        </w:rPr>
        <w:t xml:space="preserve"> </w:t>
      </w:r>
      <w:r>
        <w:t>campo</w:t>
      </w:r>
      <w:r>
        <w:rPr>
          <w:spacing w:val="-7"/>
        </w:rPr>
        <w:t xml:space="preserve"> </w:t>
      </w:r>
      <w:r>
        <w:t>dentro</w:t>
      </w:r>
      <w:r>
        <w:rPr>
          <w:spacing w:val="-10"/>
        </w:rPr>
        <w:t xml:space="preserve"> </w:t>
      </w:r>
      <w:r>
        <w:t>dos</w:t>
      </w:r>
      <w:r>
        <w:rPr>
          <w:spacing w:val="-10"/>
        </w:rPr>
        <w:t xml:space="preserve"> </w:t>
      </w:r>
      <w:r>
        <w:t>estudos</w:t>
      </w:r>
      <w:r>
        <w:rPr>
          <w:spacing w:val="-10"/>
        </w:rPr>
        <w:t xml:space="preserve"> </w:t>
      </w:r>
      <w:r>
        <w:t>políticos</w:t>
      </w:r>
      <w:r>
        <w:rPr>
          <w:spacing w:val="-10"/>
        </w:rPr>
        <w:t xml:space="preserve"> </w:t>
      </w:r>
      <w:r>
        <w:t>que</w:t>
      </w:r>
      <w:r>
        <w:rPr>
          <w:spacing w:val="-12"/>
        </w:rPr>
        <w:t xml:space="preserve"> </w:t>
      </w:r>
      <w:r>
        <w:t>examina</w:t>
      </w:r>
      <w:r>
        <w:rPr>
          <w:spacing w:val="-12"/>
        </w:rPr>
        <w:t xml:space="preserve"> </w:t>
      </w:r>
      <w:r>
        <w:t xml:space="preserve">as ações governamentais em relação a grandes questões públicas. Lynn (1980) a conceitua como um conjunto específico de ações governamentais projetadas para gerar efeitos </w:t>
      </w:r>
      <w:r>
        <w:rPr>
          <w:spacing w:val="-2"/>
        </w:rPr>
        <w:t>particulares.</w:t>
      </w:r>
    </w:p>
    <w:p w:rsidR="007259F2" w:rsidRDefault="00E655B4">
      <w:pPr>
        <w:pStyle w:val="Corpodetexto"/>
        <w:ind w:right="986"/>
      </w:pPr>
      <w:r>
        <w:t>Por outra via, Peters (1986) descreve a política pública como o agregado das atividades governamentais, realizadas diretamente ou por delegação, que afetam a vida dos cidadãos. Dye (1984) oferece uma definição mais concisa, descrevendo política pública</w:t>
      </w:r>
      <w:r>
        <w:rPr>
          <w:spacing w:val="-9"/>
        </w:rPr>
        <w:t xml:space="preserve"> </w:t>
      </w:r>
      <w:r>
        <w:t>como</w:t>
      </w:r>
      <w:r>
        <w:rPr>
          <w:spacing w:val="-8"/>
        </w:rPr>
        <w:t xml:space="preserve"> </w:t>
      </w:r>
      <w:r>
        <w:t>“as</w:t>
      </w:r>
      <w:r>
        <w:rPr>
          <w:spacing w:val="-8"/>
        </w:rPr>
        <w:t xml:space="preserve"> </w:t>
      </w:r>
      <w:r>
        <w:t>decisões</w:t>
      </w:r>
      <w:r>
        <w:rPr>
          <w:spacing w:val="-4"/>
        </w:rPr>
        <w:t xml:space="preserve"> </w:t>
      </w:r>
      <w:r>
        <w:t>do governo</w:t>
      </w:r>
      <w:r>
        <w:rPr>
          <w:spacing w:val="-15"/>
        </w:rPr>
        <w:t xml:space="preserve"> </w:t>
      </w:r>
      <w:r>
        <w:t>sobre</w:t>
      </w:r>
      <w:r>
        <w:rPr>
          <w:spacing w:val="-14"/>
        </w:rPr>
        <w:t xml:space="preserve"> </w:t>
      </w:r>
      <w:r>
        <w:t>o</w:t>
      </w:r>
      <w:r>
        <w:rPr>
          <w:spacing w:val="-12"/>
        </w:rPr>
        <w:t xml:space="preserve"> </w:t>
      </w:r>
      <w:r>
        <w:t>que</w:t>
      </w:r>
      <w:r>
        <w:rPr>
          <w:spacing w:val="-12"/>
        </w:rPr>
        <w:t xml:space="preserve"> </w:t>
      </w:r>
      <w:r>
        <w:t>fazer</w:t>
      </w:r>
      <w:r>
        <w:rPr>
          <w:spacing w:val="-12"/>
        </w:rPr>
        <w:t xml:space="preserve"> </w:t>
      </w:r>
      <w:r>
        <w:t>ou</w:t>
      </w:r>
      <w:r>
        <w:rPr>
          <w:spacing w:val="-12"/>
        </w:rPr>
        <w:t xml:space="preserve"> </w:t>
      </w:r>
      <w:r>
        <w:t>não</w:t>
      </w:r>
      <w:r>
        <w:rPr>
          <w:spacing w:val="-12"/>
        </w:rPr>
        <w:t xml:space="preserve"> </w:t>
      </w:r>
      <w:r>
        <w:t>fazer”.</w:t>
      </w:r>
      <w:r>
        <w:rPr>
          <w:spacing w:val="-12"/>
        </w:rPr>
        <w:t xml:space="preserve"> </w:t>
      </w:r>
      <w:r>
        <w:t>Segundo</w:t>
      </w:r>
      <w:r>
        <w:rPr>
          <w:spacing w:val="-9"/>
        </w:rPr>
        <w:t xml:space="preserve"> </w:t>
      </w:r>
      <w:r>
        <w:t>Celina,</w:t>
      </w:r>
      <w:r>
        <w:rPr>
          <w:spacing w:val="-11"/>
        </w:rPr>
        <w:t xml:space="preserve"> </w:t>
      </w:r>
      <w:r>
        <w:t>a perspectiva</w:t>
      </w:r>
      <w:r>
        <w:rPr>
          <w:spacing w:val="-9"/>
        </w:rPr>
        <w:t xml:space="preserve"> </w:t>
      </w:r>
      <w:r>
        <w:t>mais</w:t>
      </w:r>
      <w:r>
        <w:rPr>
          <w:spacing w:val="-10"/>
        </w:rPr>
        <w:t xml:space="preserve"> </w:t>
      </w:r>
      <w:r>
        <w:t>amplamente</w:t>
      </w:r>
      <w:r>
        <w:rPr>
          <w:spacing w:val="-10"/>
        </w:rPr>
        <w:t xml:space="preserve"> </w:t>
      </w:r>
      <w:r>
        <w:t>aceita</w:t>
      </w:r>
      <w:r>
        <w:rPr>
          <w:spacing w:val="-2"/>
        </w:rPr>
        <w:t xml:space="preserve"> </w:t>
      </w:r>
      <w:r>
        <w:t>é a de Laswell, que entende a política pública como decisões e análises que buscam responder às questões de quem ganha o quê, por que e qual a diferença que isso faz.</w:t>
      </w:r>
    </w:p>
    <w:p w:rsidR="007259F2" w:rsidRDefault="00E655B4">
      <w:pPr>
        <w:pStyle w:val="Corpodetexto"/>
        <w:ind w:right="983"/>
      </w:pPr>
      <w:r>
        <w:t>Para a ciência política, portanto, a política pública pode ser resumida como uma área do conhecimento que se dedica a ativar o governo e/ou analisar essa ativação (variável independente), propondo, quando necessário, alterações na direção ou na abordagem dessas ações (variável dependente).</w:t>
      </w:r>
      <w:r>
        <w:rPr>
          <w:vertAlign w:val="superscript"/>
        </w:rPr>
        <w:t>38</w:t>
      </w:r>
      <w:r>
        <w:t xml:space="preserve"> Em essência, o processo de</w:t>
      </w:r>
      <w:r>
        <w:rPr>
          <w:spacing w:val="40"/>
        </w:rPr>
        <w:t xml:space="preserve"> </w:t>
      </w:r>
      <w:r>
        <w:t>formulação de</w:t>
      </w:r>
      <w:r>
        <w:rPr>
          <w:spacing w:val="-1"/>
        </w:rPr>
        <w:t xml:space="preserve"> </w:t>
      </w:r>
      <w:r>
        <w:t>política pública é o meio pelo qual</w:t>
      </w:r>
      <w:r>
        <w:rPr>
          <w:spacing w:val="-1"/>
        </w:rPr>
        <w:t xml:space="preserve"> </w:t>
      </w:r>
      <w:r>
        <w:t>os governos convertem seus objetivos em</w:t>
      </w:r>
      <w:r>
        <w:rPr>
          <w:spacing w:val="-3"/>
        </w:rPr>
        <w:t xml:space="preserve"> </w:t>
      </w:r>
      <w:r>
        <w:t>programas</w:t>
      </w:r>
      <w:r>
        <w:rPr>
          <w:spacing w:val="-3"/>
        </w:rPr>
        <w:t xml:space="preserve"> </w:t>
      </w:r>
      <w:r>
        <w:t>e</w:t>
      </w:r>
      <w:r>
        <w:rPr>
          <w:spacing w:val="-2"/>
        </w:rPr>
        <w:t xml:space="preserve"> </w:t>
      </w:r>
      <w:r>
        <w:t>ações</w:t>
      </w:r>
      <w:r>
        <w:rPr>
          <w:spacing w:val="-1"/>
        </w:rPr>
        <w:t xml:space="preserve"> </w:t>
      </w:r>
      <w:r>
        <w:t>concretas,</w:t>
      </w:r>
      <w:r>
        <w:rPr>
          <w:spacing w:val="-3"/>
        </w:rPr>
        <w:t xml:space="preserve"> </w:t>
      </w:r>
      <w:r>
        <w:t>que,</w:t>
      </w:r>
      <w:r>
        <w:rPr>
          <w:spacing w:val="-3"/>
        </w:rPr>
        <w:t xml:space="preserve"> </w:t>
      </w:r>
      <w:r>
        <w:t>por</w:t>
      </w:r>
      <w:r>
        <w:rPr>
          <w:spacing w:val="-2"/>
        </w:rPr>
        <w:t xml:space="preserve"> </w:t>
      </w:r>
      <w:r>
        <w:t>sua</w:t>
      </w:r>
      <w:r>
        <w:rPr>
          <w:spacing w:val="-3"/>
        </w:rPr>
        <w:t xml:space="preserve"> </w:t>
      </w:r>
      <w:r>
        <w:t>vez,</w:t>
      </w:r>
      <w:r>
        <w:rPr>
          <w:spacing w:val="-1"/>
        </w:rPr>
        <w:t xml:space="preserve"> </w:t>
      </w:r>
      <w:r>
        <w:t>gerarão</w:t>
      </w:r>
      <w:r>
        <w:rPr>
          <w:spacing w:val="-3"/>
        </w:rPr>
        <w:t xml:space="preserve"> </w:t>
      </w:r>
      <w:r>
        <w:t>os resultados</w:t>
      </w:r>
      <w:r>
        <w:rPr>
          <w:spacing w:val="-3"/>
        </w:rPr>
        <w:t xml:space="preserve"> </w:t>
      </w:r>
      <w:r>
        <w:t>ou</w:t>
      </w:r>
      <w:r>
        <w:rPr>
          <w:spacing w:val="-1"/>
        </w:rPr>
        <w:t xml:space="preserve"> </w:t>
      </w:r>
      <w:r>
        <w:t>as</w:t>
      </w:r>
      <w:r>
        <w:rPr>
          <w:spacing w:val="-3"/>
        </w:rPr>
        <w:t xml:space="preserve"> </w:t>
      </w:r>
      <w:r>
        <w:t>mudanças desejadas no mundo real (SOUZA, 2006, p. 26).</w:t>
      </w:r>
    </w:p>
    <w:p w:rsidR="007259F2" w:rsidRDefault="00E655B4">
      <w:pPr>
        <w:pStyle w:val="Corpodetexto"/>
        <w:spacing w:before="1"/>
        <w:ind w:right="988"/>
      </w:pPr>
      <w:r>
        <w:t>Gianpaolo Poggio (2013, p. 12) enfatiza o papel crucial da política pública na criação de condições para que os cidadãos experimentem liberdade real, igualdade substancial e, consequentemente, dignidade humana, ao afirmar que elas são instrumentos importantes para a concretização dos direitos fundamentais. Exigem proatividade da Administração Pública, dos órgãos e poderes do Estado na sua consecução. E arremata: “as políticas públicas têm sua legitimidade e eficiência ao garantir a efetivação da cidadania no Estado Constitucional”.</w:t>
      </w:r>
    </w:p>
    <w:p w:rsidR="007259F2" w:rsidRDefault="00E655B4">
      <w:pPr>
        <w:pStyle w:val="Corpodetexto"/>
        <w:ind w:right="989"/>
      </w:pPr>
      <w:r>
        <w:t>Para cumprir com os mandatos constitucionais e garantir a concretização dos direitos</w:t>
      </w:r>
      <w:r>
        <w:rPr>
          <w:spacing w:val="71"/>
          <w:w w:val="150"/>
        </w:rPr>
        <w:t xml:space="preserve"> </w:t>
      </w:r>
      <w:r>
        <w:t>fundamentais,</w:t>
      </w:r>
      <w:r>
        <w:rPr>
          <w:spacing w:val="69"/>
          <w:w w:val="150"/>
        </w:rPr>
        <w:t xml:space="preserve"> </w:t>
      </w:r>
      <w:r>
        <w:t>o</w:t>
      </w:r>
      <w:r>
        <w:rPr>
          <w:spacing w:val="65"/>
          <w:w w:val="150"/>
        </w:rPr>
        <w:t xml:space="preserve"> </w:t>
      </w:r>
      <w:r>
        <w:t>Estado</w:t>
      </w:r>
      <w:r>
        <w:rPr>
          <w:spacing w:val="64"/>
          <w:w w:val="150"/>
        </w:rPr>
        <w:t xml:space="preserve"> </w:t>
      </w:r>
      <w:r>
        <w:t>deve</w:t>
      </w:r>
      <w:r>
        <w:rPr>
          <w:spacing w:val="61"/>
          <w:w w:val="150"/>
        </w:rPr>
        <w:t xml:space="preserve"> </w:t>
      </w:r>
      <w:r>
        <w:t>orientar</w:t>
      </w:r>
      <w:r>
        <w:rPr>
          <w:spacing w:val="64"/>
          <w:w w:val="150"/>
        </w:rPr>
        <w:t xml:space="preserve"> </w:t>
      </w:r>
      <w:r>
        <w:t>sua</w:t>
      </w:r>
      <w:r>
        <w:rPr>
          <w:spacing w:val="66"/>
          <w:w w:val="150"/>
        </w:rPr>
        <w:t xml:space="preserve"> </w:t>
      </w:r>
      <w:r>
        <w:t>gestão</w:t>
      </w:r>
      <w:r>
        <w:rPr>
          <w:spacing w:val="67"/>
          <w:w w:val="150"/>
        </w:rPr>
        <w:t xml:space="preserve"> </w:t>
      </w:r>
      <w:r>
        <w:t>governamental</w:t>
      </w:r>
      <w:r>
        <w:rPr>
          <w:spacing w:val="66"/>
          <w:w w:val="150"/>
        </w:rPr>
        <w:t xml:space="preserve"> </w:t>
      </w:r>
      <w:r>
        <w:t>para</w:t>
      </w:r>
      <w:r>
        <w:rPr>
          <w:spacing w:val="65"/>
          <w:w w:val="150"/>
        </w:rPr>
        <w:t xml:space="preserve"> </w:t>
      </w:r>
      <w:r>
        <w:rPr>
          <w:spacing w:val="-10"/>
        </w:rPr>
        <w:t>o</w:t>
      </w:r>
    </w:p>
    <w:p w:rsidR="007259F2" w:rsidRDefault="00DE6B1C">
      <w:pPr>
        <w:pStyle w:val="Corpodetexto"/>
        <w:spacing w:before="25"/>
        <w:ind w:left="0" w:firstLine="0"/>
        <w:jc w:val="left"/>
        <w:rPr>
          <w:sz w:val="20"/>
        </w:rPr>
      </w:pPr>
      <w:r w:rsidRPr="00DE6B1C">
        <w:rPr>
          <w:sz w:val="20"/>
        </w:rPr>
        <w:pict>
          <v:rect id="docshape66" o:spid="_x0000_s1160" style="position:absolute;margin-left:85.1pt;margin-top:14pt;width:2in;height:.7pt;z-index:-15703040;mso-wrap-distance-left:0;mso-wrap-distance-right:0;mso-position-horizontal-relative:page" fillcolor="black" stroked="f">
            <w10:wrap type="topAndBottom" anchorx="page"/>
          </v:rect>
        </w:pict>
      </w:r>
    </w:p>
    <w:p w:rsidR="007259F2" w:rsidRDefault="00E655B4">
      <w:pPr>
        <w:spacing w:before="96"/>
        <w:ind w:left="710" w:right="990"/>
        <w:jc w:val="both"/>
        <w:rPr>
          <w:sz w:val="20"/>
        </w:rPr>
      </w:pPr>
      <w:r>
        <w:rPr>
          <w:sz w:val="20"/>
          <w:vertAlign w:val="superscript"/>
        </w:rPr>
        <w:t>38</w:t>
      </w:r>
      <w:r>
        <w:rPr>
          <w:sz w:val="20"/>
        </w:rPr>
        <w:t xml:space="preserve"> O ciclo das políticas públicas envolve cinco estágios: (</w:t>
      </w:r>
      <w:r>
        <w:rPr>
          <w:i/>
          <w:sz w:val="20"/>
        </w:rPr>
        <w:t>i</w:t>
      </w:r>
      <w:r>
        <w:rPr>
          <w:sz w:val="20"/>
        </w:rPr>
        <w:t>) construção de agenda; (</w:t>
      </w:r>
      <w:r>
        <w:rPr>
          <w:i/>
          <w:sz w:val="20"/>
        </w:rPr>
        <w:t>ii</w:t>
      </w:r>
      <w:r>
        <w:rPr>
          <w:sz w:val="20"/>
        </w:rPr>
        <w:t>) formulação da política; (</w:t>
      </w:r>
      <w:r>
        <w:rPr>
          <w:i/>
          <w:sz w:val="20"/>
        </w:rPr>
        <w:t>iii</w:t>
      </w:r>
      <w:r>
        <w:rPr>
          <w:sz w:val="20"/>
        </w:rPr>
        <w:t>) processo decisório; (</w:t>
      </w:r>
      <w:r>
        <w:rPr>
          <w:i/>
          <w:sz w:val="20"/>
        </w:rPr>
        <w:t>iv</w:t>
      </w:r>
      <w:r>
        <w:rPr>
          <w:sz w:val="20"/>
        </w:rPr>
        <w:t>) implementação; e (</w:t>
      </w:r>
      <w:r>
        <w:rPr>
          <w:i/>
          <w:sz w:val="20"/>
        </w:rPr>
        <w:t>v</w:t>
      </w:r>
      <w:r>
        <w:rPr>
          <w:sz w:val="20"/>
        </w:rPr>
        <w:t>) avaliação. Segundo Roberto Wöhlke (2016, p. 72), “uma vez delimitada a política pública, com a decisão tomada, com os recursos disponíveis e com o desenho institucional elaborado, de modo lógico, os insumos se transformam em ações”.</w:t>
      </w:r>
    </w:p>
    <w:p w:rsidR="007259F2" w:rsidRDefault="007259F2">
      <w:pPr>
        <w:jc w:val="both"/>
        <w:rPr>
          <w:sz w:val="20"/>
        </w:rPr>
        <w:sectPr w:rsidR="007259F2">
          <w:pgSz w:w="11910" w:h="16840"/>
          <w:pgMar w:top="1320" w:right="708" w:bottom="1160" w:left="992" w:header="0" w:footer="962" w:gutter="0"/>
          <w:cols w:space="720"/>
        </w:sectPr>
      </w:pPr>
    </w:p>
    <w:p w:rsidR="007259F2" w:rsidRDefault="00E655B4">
      <w:pPr>
        <w:pStyle w:val="Corpodetexto"/>
        <w:spacing w:before="69"/>
        <w:ind w:right="988" w:firstLine="0"/>
      </w:pPr>
      <w:r>
        <w:lastRenderedPageBreak/>
        <w:t>desenvolvimento</w:t>
      </w:r>
      <w:r>
        <w:rPr>
          <w:spacing w:val="-3"/>
        </w:rPr>
        <w:t xml:space="preserve"> </w:t>
      </w:r>
      <w:r>
        <w:t>de</w:t>
      </w:r>
      <w:r>
        <w:rPr>
          <w:spacing w:val="-4"/>
        </w:rPr>
        <w:t xml:space="preserve"> </w:t>
      </w:r>
      <w:r>
        <w:t>políticas públicas com foco no coletivo. Maria Paula Dallari (2002, p. 97) ressalta a importância de entender a política pública como uma força primordial que se manifesta através do governo e adquire forma institucional no direito estatal, o que enfatiza a relevância de uma abordagem jurídica nas políticas públicas apta a estabelecer o arcabouço institucional para a sua implementação. É um processo que requer sinergia entre o legislador, o governo (em sua função política) e a</w:t>
      </w:r>
      <w:r>
        <w:rPr>
          <w:spacing w:val="-3"/>
        </w:rPr>
        <w:t xml:space="preserve"> </w:t>
      </w:r>
      <w:r>
        <w:t>Administração Pública (no aspecto burocrático).</w:t>
      </w:r>
    </w:p>
    <w:p w:rsidR="007259F2" w:rsidRDefault="00E655B4">
      <w:pPr>
        <w:pStyle w:val="Corpodetexto"/>
        <w:spacing w:before="1"/>
        <w:ind w:right="989"/>
      </w:pPr>
      <w:r>
        <w:t xml:space="preserve">Dessa forma, se uma política pública não estiver atingindo seu objetivo de efetivar direitos, ela pode ser sujeita ao controle judicial por meio de ações coletivas. Inspiradas nas </w:t>
      </w:r>
      <w:r>
        <w:rPr>
          <w:i/>
        </w:rPr>
        <w:t xml:space="preserve">class actions </w:t>
      </w:r>
      <w:r>
        <w:t>do sistema jurídico norte-americano, essas ações possuem um amplo alcance mandamental e executivo e são utilizadas para resolver conflitos relacionados a direitos estruturados em políticas públicas (BUCCI, 2002, p. 31).</w:t>
      </w:r>
    </w:p>
    <w:p w:rsidR="007259F2" w:rsidRDefault="00E655B4">
      <w:pPr>
        <w:pStyle w:val="Heading2"/>
        <w:numPr>
          <w:ilvl w:val="0"/>
          <w:numId w:val="38"/>
        </w:numPr>
        <w:tabs>
          <w:tab w:val="left" w:pos="899"/>
        </w:tabs>
        <w:ind w:right="990"/>
        <w:jc w:val="both"/>
      </w:pPr>
      <w:r>
        <w:t xml:space="preserve">Como a concessão de uso especial para fins de moradia pode servir à política </w:t>
      </w:r>
      <w:r>
        <w:rPr>
          <w:spacing w:val="-2"/>
        </w:rPr>
        <w:t>urbana</w:t>
      </w:r>
    </w:p>
    <w:p w:rsidR="007259F2" w:rsidRDefault="00E655B4">
      <w:pPr>
        <w:pStyle w:val="Corpodetexto"/>
        <w:spacing w:before="115"/>
        <w:ind w:right="988"/>
      </w:pPr>
      <w:r>
        <w:t>A concessão de uso deve ser entendida não somente como um direito, mas também como um dever do Estado. Concebida como uma estratégia para regularização fundiária urbana, foi alçada ao patamar de direito subjetivo. Esta dualidade implica – e de</w:t>
      </w:r>
      <w:r>
        <w:rPr>
          <w:spacing w:val="-2"/>
        </w:rPr>
        <w:t xml:space="preserve"> </w:t>
      </w:r>
      <w:r>
        <w:t>fato,</w:t>
      </w:r>
      <w:r>
        <w:rPr>
          <w:spacing w:val="-1"/>
        </w:rPr>
        <w:t xml:space="preserve"> </w:t>
      </w:r>
      <w:r>
        <w:t>exige</w:t>
      </w:r>
      <w:r>
        <w:rPr>
          <w:spacing w:val="-1"/>
        </w:rPr>
        <w:t xml:space="preserve"> </w:t>
      </w:r>
      <w:r>
        <w:t>–</w:t>
      </w:r>
      <w:r>
        <w:rPr>
          <w:spacing w:val="-1"/>
        </w:rPr>
        <w:t xml:space="preserve"> </w:t>
      </w:r>
      <w:r>
        <w:t>que</w:t>
      </w:r>
      <w:r>
        <w:rPr>
          <w:spacing w:val="-2"/>
        </w:rPr>
        <w:t xml:space="preserve"> </w:t>
      </w:r>
      <w:r>
        <w:t>o</w:t>
      </w:r>
      <w:r>
        <w:rPr>
          <w:spacing w:val="-1"/>
        </w:rPr>
        <w:t xml:space="preserve"> </w:t>
      </w:r>
      <w:r>
        <w:t>Poder</w:t>
      </w:r>
      <w:r>
        <w:rPr>
          <w:spacing w:val="-2"/>
        </w:rPr>
        <w:t xml:space="preserve"> </w:t>
      </w:r>
      <w:r>
        <w:t>Público</w:t>
      </w:r>
      <w:r>
        <w:rPr>
          <w:spacing w:val="-1"/>
        </w:rPr>
        <w:t xml:space="preserve"> </w:t>
      </w:r>
      <w:r>
        <w:t>assuma</w:t>
      </w:r>
      <w:r>
        <w:rPr>
          <w:spacing w:val="-2"/>
        </w:rPr>
        <w:t xml:space="preserve"> </w:t>
      </w:r>
      <w:r>
        <w:t>um</w:t>
      </w:r>
      <w:r>
        <w:rPr>
          <w:spacing w:val="-1"/>
        </w:rPr>
        <w:t xml:space="preserve"> </w:t>
      </w:r>
      <w:r>
        <w:t>papel</w:t>
      </w:r>
      <w:r>
        <w:rPr>
          <w:spacing w:val="-1"/>
        </w:rPr>
        <w:t xml:space="preserve"> </w:t>
      </w:r>
      <w:r>
        <w:t>proativo,</w:t>
      </w:r>
      <w:r>
        <w:rPr>
          <w:spacing w:val="-1"/>
        </w:rPr>
        <w:t xml:space="preserve"> </w:t>
      </w:r>
      <w:r>
        <w:t>munido</w:t>
      </w:r>
      <w:r>
        <w:rPr>
          <w:spacing w:val="-1"/>
        </w:rPr>
        <w:t xml:space="preserve"> </w:t>
      </w:r>
      <w:r>
        <w:t>da</w:t>
      </w:r>
      <w:r>
        <w:rPr>
          <w:spacing w:val="-5"/>
        </w:rPr>
        <w:t xml:space="preserve"> </w:t>
      </w:r>
      <w:r>
        <w:t>obrigação</w:t>
      </w:r>
      <w:r>
        <w:rPr>
          <w:spacing w:val="-1"/>
        </w:rPr>
        <w:t xml:space="preserve"> </w:t>
      </w:r>
      <w:r>
        <w:t xml:space="preserve">de assegurar condições mínimas de dignidade e moradia, tornando-se o agente principal da </w:t>
      </w:r>
      <w:r>
        <w:rPr>
          <w:spacing w:val="-2"/>
        </w:rPr>
        <w:t>transformação.</w:t>
      </w:r>
    </w:p>
    <w:p w:rsidR="007259F2" w:rsidRDefault="00E655B4">
      <w:pPr>
        <w:pStyle w:val="Corpodetexto"/>
        <w:ind w:right="986"/>
      </w:pPr>
      <w:r>
        <w:t>O direito à moradia no Brasil é visto com reticência, dado por alguns como norma programática, que traz em seu conteúdo um direito social cujas condições de garantia do Estado são mínimas e inexistentes (VIANA, 2000, p. 545). É medida de eficiência gerencial pois trata da utilização proveitosa</w:t>
      </w:r>
      <w:r>
        <w:rPr>
          <w:spacing w:val="-3"/>
        </w:rPr>
        <w:t xml:space="preserve"> </w:t>
      </w:r>
      <w:r>
        <w:t>de</w:t>
      </w:r>
      <w:r>
        <w:rPr>
          <w:spacing w:val="-2"/>
        </w:rPr>
        <w:t xml:space="preserve"> </w:t>
      </w:r>
      <w:r>
        <w:t>bens</w:t>
      </w:r>
      <w:r>
        <w:rPr>
          <w:spacing w:val="-1"/>
        </w:rPr>
        <w:t xml:space="preserve"> </w:t>
      </w:r>
      <w:r>
        <w:t>públicos,</w:t>
      </w:r>
      <w:r>
        <w:rPr>
          <w:spacing w:val="-1"/>
        </w:rPr>
        <w:t xml:space="preserve"> </w:t>
      </w:r>
      <w:r>
        <w:t>afinal a</w:t>
      </w:r>
      <w:r>
        <w:rPr>
          <w:spacing w:val="-2"/>
        </w:rPr>
        <w:t xml:space="preserve"> </w:t>
      </w:r>
      <w:r>
        <w:t>CUEM, em sentido estrito, é dada gratuitamente uma vez preenchidos os seus pressupostos – e neles está uma posse não contestada há, no mínimo, cinco anos. Para ajudar, a lei veiculou limites temporais para sua concretização: hoje, só é titular do direito aquele</w:t>
      </w:r>
      <w:r>
        <w:rPr>
          <w:spacing w:val="40"/>
        </w:rPr>
        <w:t xml:space="preserve"> </w:t>
      </w:r>
      <w:r>
        <w:t>que se assentou em área pública ao menos até 22 de dezembro de</w:t>
      </w:r>
      <w:r>
        <w:rPr>
          <w:spacing w:val="40"/>
        </w:rPr>
        <w:t xml:space="preserve"> </w:t>
      </w:r>
      <w:r>
        <w:t>2011. Hoje é 2024 e muitas áreas públicas permanecem irregularmente ocupadas, cuja posse não demorará a originar novos direitos advindos de uma superveniente atualização legislativa.</w:t>
      </w:r>
    </w:p>
    <w:p w:rsidR="007259F2" w:rsidRDefault="00E655B4">
      <w:pPr>
        <w:pStyle w:val="Corpodetexto"/>
        <w:ind w:right="988"/>
      </w:pPr>
      <w:r>
        <w:t>O Estado precisa tomar controle de seu papel de administração e governo: áreas ocupadas após o período legal podem, desde já, serem objeto de avaliação e retomadas judicialmente, designadas para seus objetivos previamente delineados no plano diretor vigente. Para</w:t>
      </w:r>
      <w:r>
        <w:rPr>
          <w:spacing w:val="-4"/>
        </w:rPr>
        <w:t xml:space="preserve"> </w:t>
      </w:r>
      <w:r>
        <w:t>isso, contudo, é preciso vontade – alguns dirão política, com o que não se pode concordar, ao menos completamente. É preciso vontade política para veicular regras que obriguem a Administração Pública a montar equipes efetivas de avaliação de áreas públicas ocupadas, é fato, atribuindo igual dever à regularização destas, seja para reconhecer o direito à CUEM aos cidadãos ali assentados, seja</w:t>
      </w:r>
      <w:r>
        <w:rPr>
          <w:spacing w:val="-5"/>
        </w:rPr>
        <w:t xml:space="preserve"> </w:t>
      </w:r>
      <w:r>
        <w:t>para</w:t>
      </w:r>
      <w:r>
        <w:rPr>
          <w:spacing w:val="-4"/>
        </w:rPr>
        <w:t xml:space="preserve"> </w:t>
      </w:r>
      <w:r>
        <w:t>recuperar</w:t>
      </w:r>
      <w:r>
        <w:rPr>
          <w:spacing w:val="-2"/>
        </w:rPr>
        <w:t xml:space="preserve"> </w:t>
      </w:r>
      <w:r>
        <w:t>o</w:t>
      </w:r>
      <w:r>
        <w:rPr>
          <w:spacing w:val="-2"/>
        </w:rPr>
        <w:t xml:space="preserve"> </w:t>
      </w:r>
      <w:r>
        <w:t>direito</w:t>
      </w:r>
      <w:r>
        <w:rPr>
          <w:spacing w:val="-4"/>
        </w:rPr>
        <w:t xml:space="preserve"> </w:t>
      </w:r>
      <w:r>
        <w:t>à posse e executar a política urbana de maneira decididamente mais controlada (VIANA, 2000, p. 551).</w:t>
      </w:r>
    </w:p>
    <w:p w:rsidR="007259F2" w:rsidRDefault="00E655B4">
      <w:pPr>
        <w:pStyle w:val="Corpodetexto"/>
        <w:ind w:right="989"/>
      </w:pPr>
      <w:r>
        <w:t>Não há defesa, aliás, para o ente que, a partir da veiculação de tais regras, permaneça inerte em concretizá-las: a omissão no exercício da função pública é punida administrativamente e o Judiciário concretizará a satisfação do direito. A vontade necessária,</w:t>
      </w:r>
      <w:r>
        <w:rPr>
          <w:spacing w:val="-14"/>
        </w:rPr>
        <w:t xml:space="preserve"> </w:t>
      </w:r>
      <w:r>
        <w:t>a</w:t>
      </w:r>
      <w:r>
        <w:rPr>
          <w:spacing w:val="-15"/>
        </w:rPr>
        <w:t xml:space="preserve"> </w:t>
      </w:r>
      <w:r>
        <w:t>partir</w:t>
      </w:r>
      <w:r>
        <w:rPr>
          <w:spacing w:val="-15"/>
        </w:rPr>
        <w:t xml:space="preserve"> </w:t>
      </w:r>
      <w:r>
        <w:t>de</w:t>
      </w:r>
      <w:r>
        <w:rPr>
          <w:spacing w:val="-15"/>
        </w:rPr>
        <w:t xml:space="preserve"> </w:t>
      </w:r>
      <w:r>
        <w:t>então,</w:t>
      </w:r>
      <w:r>
        <w:rPr>
          <w:spacing w:val="-2"/>
        </w:rPr>
        <w:t xml:space="preserve"> </w:t>
      </w:r>
      <w:r>
        <w:t>não é</w:t>
      </w:r>
      <w:r>
        <w:rPr>
          <w:spacing w:val="-3"/>
        </w:rPr>
        <w:t xml:space="preserve"> </w:t>
      </w:r>
      <w:r>
        <w:t>mais</w:t>
      </w:r>
      <w:r>
        <w:rPr>
          <w:spacing w:val="-2"/>
        </w:rPr>
        <w:t xml:space="preserve"> </w:t>
      </w:r>
      <w:r>
        <w:t>política. Uma</w:t>
      </w:r>
      <w:r>
        <w:rPr>
          <w:spacing w:val="-2"/>
        </w:rPr>
        <w:t xml:space="preserve"> </w:t>
      </w:r>
      <w:r>
        <w:t>vez</w:t>
      </w:r>
      <w:r>
        <w:rPr>
          <w:spacing w:val="-1"/>
        </w:rPr>
        <w:t xml:space="preserve"> </w:t>
      </w:r>
      <w:r>
        <w:t>definido</w:t>
      </w:r>
      <w:r>
        <w:rPr>
          <w:spacing w:val="-2"/>
        </w:rPr>
        <w:t xml:space="preserve"> </w:t>
      </w:r>
      <w:r>
        <w:t>um grupo</w:t>
      </w:r>
      <w:r>
        <w:rPr>
          <w:spacing w:val="-2"/>
        </w:rPr>
        <w:t xml:space="preserve"> </w:t>
      </w:r>
      <w:r>
        <w:t>de</w:t>
      </w:r>
      <w:r>
        <w:rPr>
          <w:spacing w:val="-3"/>
        </w:rPr>
        <w:t xml:space="preserve"> </w:t>
      </w:r>
      <w:r>
        <w:t>trabalho e regras responsáveis, a política pública poderá ser dita integralizada, passível de controle irrestrito pelos órgãos competentes e pela sociedade civil, cuja vigilância incessante</w:t>
      </w:r>
      <w:r>
        <w:rPr>
          <w:spacing w:val="2"/>
        </w:rPr>
        <w:t xml:space="preserve"> </w:t>
      </w:r>
      <w:r>
        <w:t>encontrará</w:t>
      </w:r>
      <w:r>
        <w:rPr>
          <w:spacing w:val="2"/>
        </w:rPr>
        <w:t xml:space="preserve"> </w:t>
      </w:r>
      <w:r>
        <w:t>ainda</w:t>
      </w:r>
      <w:r>
        <w:rPr>
          <w:spacing w:val="1"/>
        </w:rPr>
        <w:t xml:space="preserve"> </w:t>
      </w:r>
      <w:r>
        <w:t>falhas</w:t>
      </w:r>
      <w:r>
        <w:rPr>
          <w:spacing w:val="2"/>
        </w:rPr>
        <w:t xml:space="preserve"> </w:t>
      </w:r>
      <w:r>
        <w:t>sobre as</w:t>
      </w:r>
      <w:r>
        <w:rPr>
          <w:spacing w:val="2"/>
        </w:rPr>
        <w:t xml:space="preserve"> </w:t>
      </w:r>
      <w:r>
        <w:t>quais</w:t>
      </w:r>
      <w:r>
        <w:rPr>
          <w:spacing w:val="3"/>
        </w:rPr>
        <w:t xml:space="preserve"> </w:t>
      </w:r>
      <w:r>
        <w:t>se</w:t>
      </w:r>
      <w:r>
        <w:rPr>
          <w:spacing w:val="-1"/>
        </w:rPr>
        <w:t xml:space="preserve"> </w:t>
      </w:r>
      <w:r>
        <w:t>debruçar,</w:t>
      </w:r>
      <w:r>
        <w:rPr>
          <w:vertAlign w:val="superscript"/>
        </w:rPr>
        <w:t>39</w:t>
      </w:r>
      <w:r>
        <w:rPr>
          <w:spacing w:val="3"/>
        </w:rPr>
        <w:t xml:space="preserve"> </w:t>
      </w:r>
      <w:r>
        <w:t>mas</w:t>
      </w:r>
      <w:r>
        <w:rPr>
          <w:spacing w:val="1"/>
        </w:rPr>
        <w:t xml:space="preserve"> </w:t>
      </w:r>
      <w:r>
        <w:t>diminutas</w:t>
      </w:r>
      <w:r>
        <w:rPr>
          <w:spacing w:val="5"/>
        </w:rPr>
        <w:t xml:space="preserve"> </w:t>
      </w:r>
      <w:r>
        <w:t>e</w:t>
      </w:r>
      <w:r>
        <w:rPr>
          <w:spacing w:val="-1"/>
        </w:rPr>
        <w:t xml:space="preserve"> </w:t>
      </w:r>
      <w:r>
        <w:t>de</w:t>
      </w:r>
      <w:r>
        <w:rPr>
          <w:spacing w:val="-1"/>
        </w:rPr>
        <w:t xml:space="preserve"> </w:t>
      </w:r>
      <w:r>
        <w:rPr>
          <w:spacing w:val="-4"/>
        </w:rPr>
        <w:t>ônus</w:t>
      </w:r>
    </w:p>
    <w:p w:rsidR="007259F2" w:rsidRDefault="00DE6B1C">
      <w:pPr>
        <w:pStyle w:val="Corpodetexto"/>
        <w:spacing w:before="121"/>
        <w:ind w:left="0" w:firstLine="0"/>
        <w:jc w:val="left"/>
        <w:rPr>
          <w:sz w:val="20"/>
        </w:rPr>
      </w:pPr>
      <w:r w:rsidRPr="00DE6B1C">
        <w:rPr>
          <w:sz w:val="20"/>
        </w:rPr>
        <w:pict>
          <v:rect id="docshape67" o:spid="_x0000_s1159" style="position:absolute;margin-left:85.1pt;margin-top:18.8pt;width:2in;height:.7pt;z-index:-15702528;mso-wrap-distance-left:0;mso-wrap-distance-right:0;mso-position-horizontal-relative:page" fillcolor="black" stroked="f">
            <w10:wrap type="topAndBottom" anchorx="page"/>
          </v:rect>
        </w:pict>
      </w:r>
    </w:p>
    <w:p w:rsidR="007259F2" w:rsidRDefault="00E655B4">
      <w:pPr>
        <w:spacing w:before="96"/>
        <w:ind w:left="710"/>
        <w:rPr>
          <w:sz w:val="20"/>
        </w:rPr>
      </w:pPr>
      <w:r>
        <w:rPr>
          <w:sz w:val="20"/>
          <w:vertAlign w:val="superscript"/>
        </w:rPr>
        <w:t>39</w:t>
      </w:r>
      <w:r>
        <w:rPr>
          <w:spacing w:val="5"/>
          <w:sz w:val="20"/>
        </w:rPr>
        <w:t xml:space="preserve"> </w:t>
      </w:r>
      <w:r>
        <w:rPr>
          <w:sz w:val="20"/>
        </w:rPr>
        <w:t>Como</w:t>
      </w:r>
      <w:r>
        <w:rPr>
          <w:spacing w:val="6"/>
          <w:sz w:val="20"/>
        </w:rPr>
        <w:t xml:space="preserve"> </w:t>
      </w:r>
      <w:r>
        <w:rPr>
          <w:sz w:val="20"/>
        </w:rPr>
        <w:t>a</w:t>
      </w:r>
      <w:r>
        <w:rPr>
          <w:spacing w:val="6"/>
          <w:sz w:val="20"/>
        </w:rPr>
        <w:t xml:space="preserve"> </w:t>
      </w:r>
      <w:r>
        <w:rPr>
          <w:sz w:val="20"/>
        </w:rPr>
        <w:t>avaliação</w:t>
      </w:r>
      <w:r>
        <w:rPr>
          <w:spacing w:val="7"/>
          <w:sz w:val="20"/>
        </w:rPr>
        <w:t xml:space="preserve"> </w:t>
      </w:r>
      <w:r>
        <w:rPr>
          <w:sz w:val="20"/>
        </w:rPr>
        <w:t>em</w:t>
      </w:r>
      <w:r>
        <w:rPr>
          <w:spacing w:val="1"/>
          <w:sz w:val="20"/>
        </w:rPr>
        <w:t xml:space="preserve"> </w:t>
      </w:r>
      <w:r>
        <w:rPr>
          <w:sz w:val="20"/>
        </w:rPr>
        <w:t>todo</w:t>
      </w:r>
      <w:r>
        <w:rPr>
          <w:spacing w:val="5"/>
          <w:sz w:val="20"/>
        </w:rPr>
        <w:t xml:space="preserve"> </w:t>
      </w:r>
      <w:r>
        <w:rPr>
          <w:sz w:val="20"/>
        </w:rPr>
        <w:t>o</w:t>
      </w:r>
      <w:r>
        <w:rPr>
          <w:spacing w:val="4"/>
          <w:sz w:val="20"/>
        </w:rPr>
        <w:t xml:space="preserve"> </w:t>
      </w:r>
      <w:r>
        <w:rPr>
          <w:sz w:val="20"/>
        </w:rPr>
        <w:t>processo</w:t>
      </w:r>
      <w:r>
        <w:rPr>
          <w:spacing w:val="6"/>
          <w:sz w:val="20"/>
        </w:rPr>
        <w:t xml:space="preserve"> </w:t>
      </w:r>
      <w:r>
        <w:rPr>
          <w:sz w:val="20"/>
        </w:rPr>
        <w:t>é</w:t>
      </w:r>
      <w:r>
        <w:rPr>
          <w:spacing w:val="6"/>
          <w:sz w:val="20"/>
        </w:rPr>
        <w:t xml:space="preserve"> </w:t>
      </w:r>
      <w:r>
        <w:rPr>
          <w:sz w:val="20"/>
        </w:rPr>
        <w:t>executada</w:t>
      </w:r>
      <w:r>
        <w:rPr>
          <w:spacing w:val="6"/>
          <w:sz w:val="20"/>
        </w:rPr>
        <w:t xml:space="preserve"> </w:t>
      </w:r>
      <w:r>
        <w:rPr>
          <w:sz w:val="20"/>
        </w:rPr>
        <w:t>por</w:t>
      </w:r>
      <w:r>
        <w:rPr>
          <w:spacing w:val="5"/>
          <w:sz w:val="20"/>
        </w:rPr>
        <w:t xml:space="preserve"> </w:t>
      </w:r>
      <w:r>
        <w:rPr>
          <w:sz w:val="20"/>
        </w:rPr>
        <w:t>humanos,</w:t>
      </w:r>
      <w:r>
        <w:rPr>
          <w:spacing w:val="6"/>
          <w:sz w:val="20"/>
        </w:rPr>
        <w:t xml:space="preserve"> </w:t>
      </w:r>
      <w:r>
        <w:rPr>
          <w:sz w:val="20"/>
        </w:rPr>
        <w:t>naturalmente</w:t>
      </w:r>
      <w:r>
        <w:rPr>
          <w:spacing w:val="5"/>
          <w:sz w:val="20"/>
        </w:rPr>
        <w:t xml:space="preserve"> </w:t>
      </w:r>
      <w:r>
        <w:rPr>
          <w:sz w:val="20"/>
        </w:rPr>
        <w:t>está</w:t>
      </w:r>
      <w:r>
        <w:rPr>
          <w:spacing w:val="5"/>
          <w:sz w:val="20"/>
        </w:rPr>
        <w:t xml:space="preserve"> </w:t>
      </w:r>
      <w:r>
        <w:rPr>
          <w:sz w:val="20"/>
        </w:rPr>
        <w:t>sujeita</w:t>
      </w:r>
      <w:r>
        <w:rPr>
          <w:spacing w:val="6"/>
          <w:sz w:val="20"/>
        </w:rPr>
        <w:t xml:space="preserve"> </w:t>
      </w:r>
      <w:r>
        <w:rPr>
          <w:sz w:val="20"/>
        </w:rPr>
        <w:t>a</w:t>
      </w:r>
      <w:r>
        <w:rPr>
          <w:spacing w:val="5"/>
          <w:sz w:val="20"/>
        </w:rPr>
        <w:t xml:space="preserve"> </w:t>
      </w:r>
      <w:r>
        <w:rPr>
          <w:sz w:val="20"/>
        </w:rPr>
        <w:t>erros,</w:t>
      </w:r>
      <w:r>
        <w:rPr>
          <w:spacing w:val="3"/>
          <w:sz w:val="20"/>
        </w:rPr>
        <w:t xml:space="preserve"> </w:t>
      </w:r>
      <w:r>
        <w:rPr>
          <w:spacing w:val="-5"/>
          <w:sz w:val="20"/>
        </w:rPr>
        <w:t>que</w:t>
      </w:r>
    </w:p>
    <w:p w:rsidR="007259F2" w:rsidRDefault="007259F2">
      <w:pPr>
        <w:rPr>
          <w:sz w:val="20"/>
        </w:rPr>
        <w:sectPr w:rsidR="007259F2">
          <w:pgSz w:w="11910" w:h="16840"/>
          <w:pgMar w:top="1320" w:right="708" w:bottom="1160" w:left="992" w:header="0" w:footer="962" w:gutter="0"/>
          <w:cols w:space="720"/>
        </w:sectPr>
      </w:pPr>
    </w:p>
    <w:p w:rsidR="007259F2" w:rsidRDefault="00E655B4">
      <w:pPr>
        <w:pStyle w:val="Corpodetexto"/>
        <w:spacing w:before="69"/>
        <w:ind w:right="991" w:firstLine="0"/>
      </w:pPr>
      <w:r>
        <w:lastRenderedPageBreak/>
        <w:t>consideravelmente menores, cujas consequências terão impacto mínimo na política urbana já em execução.</w:t>
      </w:r>
    </w:p>
    <w:p w:rsidR="007259F2" w:rsidRDefault="00E655B4">
      <w:pPr>
        <w:pStyle w:val="Corpodetexto"/>
        <w:spacing w:before="1"/>
        <w:ind w:right="988"/>
      </w:pPr>
      <w:r>
        <w:t>No Município de São Paulo, a título ilustrativo, a CUEM foi regulada pelo Decreto nº 49.498/2008 que, por sua vez, responde à desafetação de áreas públicas de uso comum do povo que, uma vez ocupadas por assentamentos informais, foram destinadas a programas habitacionais à população vulnerável pela Lei nº 14.665/2008. Espelhando a legislação nacional, expedida pela</w:t>
      </w:r>
      <w:r>
        <w:rPr>
          <w:spacing w:val="-2"/>
        </w:rPr>
        <w:t xml:space="preserve"> </w:t>
      </w:r>
      <w:r>
        <w:t>União</w:t>
      </w:r>
      <w:r>
        <w:rPr>
          <w:spacing w:val="-2"/>
        </w:rPr>
        <w:t xml:space="preserve"> </w:t>
      </w:r>
      <w:r>
        <w:t>no</w:t>
      </w:r>
      <w:r>
        <w:rPr>
          <w:spacing w:val="-2"/>
        </w:rPr>
        <w:t xml:space="preserve"> </w:t>
      </w:r>
      <w:r>
        <w:t>exercício</w:t>
      </w:r>
      <w:r>
        <w:rPr>
          <w:spacing w:val="-2"/>
        </w:rPr>
        <w:t xml:space="preserve"> </w:t>
      </w:r>
      <w:r>
        <w:t>de</w:t>
      </w:r>
      <w:r>
        <w:rPr>
          <w:spacing w:val="-5"/>
        </w:rPr>
        <w:t xml:space="preserve"> </w:t>
      </w:r>
      <w:r>
        <w:t>sua</w:t>
      </w:r>
      <w:r>
        <w:rPr>
          <w:spacing w:val="-2"/>
        </w:rPr>
        <w:t xml:space="preserve"> </w:t>
      </w:r>
      <w:r>
        <w:t>competência prevista no art. 21, XX, da CF, a lei municipal autoriza o Executivo a “outorgar concessão de uso especial para fins de moradia, prevista na Medida Provisória nº 2.220, de 4 de setembro de 2001, ou concessão de direito real de uso [CDRU] aos ocupantes dos imóveis públicos de que trata esta lei” (SÃO PAULO, 2008).</w:t>
      </w:r>
    </w:p>
    <w:p w:rsidR="007259F2" w:rsidRDefault="00E655B4">
      <w:pPr>
        <w:pStyle w:val="Corpodetexto"/>
        <w:ind w:right="988"/>
      </w:pPr>
      <w:r>
        <w:t>Percebe-se, portanto, que a execução da política pública habitacional no Município de</w:t>
      </w:r>
      <w:r>
        <w:rPr>
          <w:spacing w:val="-1"/>
        </w:rPr>
        <w:t xml:space="preserve"> </w:t>
      </w:r>
      <w:r>
        <w:t>São</w:t>
      </w:r>
      <w:r>
        <w:rPr>
          <w:spacing w:val="-12"/>
        </w:rPr>
        <w:t xml:space="preserve"> </w:t>
      </w:r>
      <w:r>
        <w:t>Paulo</w:t>
      </w:r>
      <w:r>
        <w:rPr>
          <w:spacing w:val="-12"/>
        </w:rPr>
        <w:t xml:space="preserve"> </w:t>
      </w:r>
      <w:r>
        <w:t>recebe</w:t>
      </w:r>
      <w:r>
        <w:rPr>
          <w:spacing w:val="-14"/>
        </w:rPr>
        <w:t xml:space="preserve"> </w:t>
      </w:r>
      <w:r>
        <w:t>atenção</w:t>
      </w:r>
      <w:r>
        <w:rPr>
          <w:spacing w:val="-10"/>
        </w:rPr>
        <w:t xml:space="preserve"> </w:t>
      </w:r>
      <w:r>
        <w:t>legislativa</w:t>
      </w:r>
      <w:r>
        <w:rPr>
          <w:spacing w:val="-10"/>
        </w:rPr>
        <w:t xml:space="preserve"> </w:t>
      </w:r>
      <w:r>
        <w:t>adequada,</w:t>
      </w:r>
      <w:r>
        <w:rPr>
          <w:spacing w:val="-10"/>
        </w:rPr>
        <w:t xml:space="preserve"> </w:t>
      </w:r>
      <w:r>
        <w:t>tratando</w:t>
      </w:r>
      <w:r>
        <w:rPr>
          <w:spacing w:val="-11"/>
        </w:rPr>
        <w:t xml:space="preserve"> </w:t>
      </w:r>
      <w:r>
        <w:t>de</w:t>
      </w:r>
      <w:r>
        <w:rPr>
          <w:spacing w:val="-12"/>
        </w:rPr>
        <w:t xml:space="preserve"> </w:t>
      </w:r>
      <w:r>
        <w:t>conferir</w:t>
      </w:r>
      <w:r>
        <w:rPr>
          <w:spacing w:val="-11"/>
        </w:rPr>
        <w:t xml:space="preserve"> </w:t>
      </w:r>
      <w:r>
        <w:t xml:space="preserve">mesmo a CDRU para aqueles que ocuparem as áreas para esse fim destinadas, independentemente de qualquer requisito. O decreto municipal trata ainda de estruturar uma equipe de trabalho para analisar ocupações vigentes e dar-lhes a solução jurídica </w:t>
      </w:r>
      <w:r>
        <w:rPr>
          <w:spacing w:val="-2"/>
        </w:rPr>
        <w:t>competente:</w:t>
      </w:r>
    </w:p>
    <w:p w:rsidR="007259F2" w:rsidRDefault="007259F2">
      <w:pPr>
        <w:pStyle w:val="Corpodetexto"/>
        <w:spacing w:before="2"/>
        <w:ind w:left="0" w:firstLine="0"/>
        <w:jc w:val="left"/>
      </w:pPr>
    </w:p>
    <w:p w:rsidR="007259F2" w:rsidRDefault="00E655B4">
      <w:pPr>
        <w:ind w:left="2978" w:right="988"/>
        <w:jc w:val="both"/>
        <w:rPr>
          <w:sz w:val="20"/>
        </w:rPr>
      </w:pPr>
      <w:r>
        <w:rPr>
          <w:sz w:val="20"/>
        </w:rPr>
        <w:t>Art. 27 Compete à Superintendência de Habitação Popular conduzir os estudos de viabilidade referentes à regularização urbanística e fundiária de áreas públicas municipais ocupadas por habitações de população de baixa renda, visando a outorga de concessão de uso especial para fins de moradia, de concessão de direito real de uso e de autorização de uso para fins comerciais, institucionais e de serviços.</w:t>
      </w:r>
    </w:p>
    <w:p w:rsidR="007259F2" w:rsidRDefault="00E655B4">
      <w:pPr>
        <w:ind w:left="2978" w:right="991"/>
        <w:jc w:val="both"/>
        <w:rPr>
          <w:sz w:val="20"/>
        </w:rPr>
      </w:pPr>
      <w:r>
        <w:rPr>
          <w:sz w:val="20"/>
        </w:rPr>
        <w:t>§</w:t>
      </w:r>
      <w:r>
        <w:rPr>
          <w:spacing w:val="-10"/>
          <w:sz w:val="20"/>
        </w:rPr>
        <w:t xml:space="preserve"> </w:t>
      </w:r>
      <w:r>
        <w:rPr>
          <w:sz w:val="20"/>
        </w:rPr>
        <w:t>1º</w:t>
      </w:r>
      <w:r>
        <w:rPr>
          <w:spacing w:val="-8"/>
          <w:sz w:val="20"/>
        </w:rPr>
        <w:t xml:space="preserve"> </w:t>
      </w:r>
      <w:r>
        <w:rPr>
          <w:sz w:val="20"/>
        </w:rPr>
        <w:t>Os</w:t>
      </w:r>
      <w:r>
        <w:rPr>
          <w:spacing w:val="-12"/>
          <w:sz w:val="20"/>
        </w:rPr>
        <w:t xml:space="preserve"> </w:t>
      </w:r>
      <w:r>
        <w:rPr>
          <w:sz w:val="20"/>
        </w:rPr>
        <w:t>estudos</w:t>
      </w:r>
      <w:r>
        <w:rPr>
          <w:spacing w:val="-9"/>
          <w:sz w:val="20"/>
        </w:rPr>
        <w:t xml:space="preserve"> </w:t>
      </w:r>
      <w:r>
        <w:rPr>
          <w:sz w:val="20"/>
        </w:rPr>
        <w:t>de</w:t>
      </w:r>
      <w:r>
        <w:rPr>
          <w:spacing w:val="-11"/>
          <w:sz w:val="20"/>
        </w:rPr>
        <w:t xml:space="preserve"> </w:t>
      </w:r>
      <w:r>
        <w:rPr>
          <w:sz w:val="20"/>
        </w:rPr>
        <w:t>viabilidade</w:t>
      </w:r>
      <w:r>
        <w:rPr>
          <w:spacing w:val="-9"/>
          <w:sz w:val="20"/>
        </w:rPr>
        <w:t xml:space="preserve"> </w:t>
      </w:r>
      <w:r>
        <w:rPr>
          <w:sz w:val="20"/>
        </w:rPr>
        <w:t>de</w:t>
      </w:r>
      <w:r>
        <w:rPr>
          <w:spacing w:val="-11"/>
          <w:sz w:val="20"/>
        </w:rPr>
        <w:t xml:space="preserve"> </w:t>
      </w:r>
      <w:r>
        <w:rPr>
          <w:sz w:val="20"/>
        </w:rPr>
        <w:t>regularização</w:t>
      </w:r>
      <w:r>
        <w:rPr>
          <w:spacing w:val="-6"/>
          <w:sz w:val="20"/>
        </w:rPr>
        <w:t xml:space="preserve"> </w:t>
      </w:r>
      <w:r>
        <w:rPr>
          <w:sz w:val="20"/>
        </w:rPr>
        <w:t>urbanística</w:t>
      </w:r>
      <w:r>
        <w:rPr>
          <w:spacing w:val="-8"/>
          <w:sz w:val="20"/>
        </w:rPr>
        <w:t xml:space="preserve"> </w:t>
      </w:r>
      <w:r>
        <w:rPr>
          <w:sz w:val="20"/>
        </w:rPr>
        <w:t>e</w:t>
      </w:r>
      <w:r>
        <w:rPr>
          <w:spacing w:val="-9"/>
          <w:sz w:val="20"/>
        </w:rPr>
        <w:t xml:space="preserve"> </w:t>
      </w:r>
      <w:r>
        <w:rPr>
          <w:sz w:val="20"/>
        </w:rPr>
        <w:t>fundiária</w:t>
      </w:r>
      <w:r>
        <w:rPr>
          <w:spacing w:val="-10"/>
          <w:sz w:val="20"/>
        </w:rPr>
        <w:t xml:space="preserve"> </w:t>
      </w:r>
      <w:r>
        <w:rPr>
          <w:sz w:val="20"/>
        </w:rPr>
        <w:t>deverão observar o preenchimento dos requisitos legais, bem como os critérios técnicos adotados pela Superintendência de Habitação Popular.</w:t>
      </w:r>
    </w:p>
    <w:p w:rsidR="007259F2" w:rsidRDefault="00E655B4">
      <w:pPr>
        <w:spacing w:before="2"/>
        <w:ind w:left="2978" w:right="989"/>
        <w:jc w:val="both"/>
        <w:rPr>
          <w:sz w:val="20"/>
        </w:rPr>
      </w:pPr>
      <w:r>
        <w:rPr>
          <w:sz w:val="20"/>
        </w:rPr>
        <w:t>§ 2º Após a conclusão dos estudos, havendo viabilidade e interesse público, a Superintendência de Habitação Popular emitirá parecer favorável à regularização</w:t>
      </w:r>
      <w:r>
        <w:rPr>
          <w:spacing w:val="-6"/>
          <w:sz w:val="20"/>
        </w:rPr>
        <w:t xml:space="preserve"> </w:t>
      </w:r>
      <w:r>
        <w:rPr>
          <w:sz w:val="20"/>
        </w:rPr>
        <w:t>fundiária da ocupação,</w:t>
      </w:r>
      <w:r>
        <w:rPr>
          <w:spacing w:val="-3"/>
          <w:sz w:val="20"/>
        </w:rPr>
        <w:t xml:space="preserve"> </w:t>
      </w:r>
      <w:r>
        <w:rPr>
          <w:sz w:val="20"/>
        </w:rPr>
        <w:t>devendo providenciar a</w:t>
      </w:r>
      <w:r>
        <w:rPr>
          <w:spacing w:val="-3"/>
          <w:sz w:val="20"/>
        </w:rPr>
        <w:t xml:space="preserve"> </w:t>
      </w:r>
      <w:r>
        <w:rPr>
          <w:sz w:val="20"/>
        </w:rPr>
        <w:t>inclusão da área em seus registros para futuramente integrar o Programa de Regularização Urbanística e Fundiária, conforme os critérios de conveniência e</w:t>
      </w:r>
      <w:r>
        <w:rPr>
          <w:spacing w:val="40"/>
          <w:sz w:val="20"/>
        </w:rPr>
        <w:t xml:space="preserve"> </w:t>
      </w:r>
      <w:r>
        <w:rPr>
          <w:sz w:val="20"/>
        </w:rPr>
        <w:t>oportunidade da Administração Municipal.</w:t>
      </w:r>
    </w:p>
    <w:p w:rsidR="007259F2" w:rsidRDefault="00E655B4">
      <w:pPr>
        <w:ind w:left="2978" w:right="990"/>
        <w:jc w:val="both"/>
        <w:rPr>
          <w:sz w:val="20"/>
        </w:rPr>
      </w:pPr>
      <w:r>
        <w:rPr>
          <w:sz w:val="20"/>
        </w:rPr>
        <w:t>§ 3º Parecer favorável da Superintendência de Habitação Popular poderá ensejar a suspensão de eventuais ações possessórias em</w:t>
      </w:r>
      <w:r>
        <w:rPr>
          <w:spacing w:val="-1"/>
          <w:sz w:val="20"/>
        </w:rPr>
        <w:t xml:space="preserve"> </w:t>
      </w:r>
      <w:r>
        <w:rPr>
          <w:sz w:val="20"/>
        </w:rPr>
        <w:t>andamento ou, ainda, o não-ajuizamento de novas ações, mediante requerimento dirigido à Secretaria Municipal dos Negócios Jurídicos.</w:t>
      </w:r>
    </w:p>
    <w:p w:rsidR="007259F2" w:rsidRDefault="00E655B4">
      <w:pPr>
        <w:ind w:left="2978" w:right="989"/>
        <w:jc w:val="both"/>
        <w:rPr>
          <w:sz w:val="20"/>
        </w:rPr>
      </w:pPr>
      <w:r>
        <w:rPr>
          <w:sz w:val="20"/>
        </w:rPr>
        <w:t>Art. 28 A Secretaria Municipal dos Negócios Jurídicos deverá rever as ações judiciais em curso, que tenham por objeto as áreas relacionadas na Lei nº 13.514,</w:t>
      </w:r>
      <w:r>
        <w:rPr>
          <w:spacing w:val="-9"/>
          <w:sz w:val="20"/>
        </w:rPr>
        <w:t xml:space="preserve"> </w:t>
      </w:r>
      <w:r>
        <w:rPr>
          <w:sz w:val="20"/>
        </w:rPr>
        <w:t>de</w:t>
      </w:r>
      <w:r>
        <w:rPr>
          <w:spacing w:val="-12"/>
          <w:sz w:val="20"/>
        </w:rPr>
        <w:t xml:space="preserve"> </w:t>
      </w:r>
      <w:r>
        <w:rPr>
          <w:sz w:val="20"/>
        </w:rPr>
        <w:t>2003,</w:t>
      </w:r>
      <w:r>
        <w:rPr>
          <w:spacing w:val="-8"/>
          <w:sz w:val="20"/>
        </w:rPr>
        <w:t xml:space="preserve"> </w:t>
      </w:r>
      <w:r>
        <w:rPr>
          <w:sz w:val="20"/>
        </w:rPr>
        <w:t>e</w:t>
      </w:r>
      <w:r>
        <w:rPr>
          <w:spacing w:val="-12"/>
          <w:sz w:val="20"/>
        </w:rPr>
        <w:t xml:space="preserve"> </w:t>
      </w:r>
      <w:r>
        <w:rPr>
          <w:sz w:val="20"/>
        </w:rPr>
        <w:t>na</w:t>
      </w:r>
      <w:r>
        <w:rPr>
          <w:spacing w:val="-4"/>
          <w:sz w:val="20"/>
        </w:rPr>
        <w:t xml:space="preserve"> </w:t>
      </w:r>
      <w:r>
        <w:rPr>
          <w:sz w:val="20"/>
        </w:rPr>
        <w:t>Lei</w:t>
      </w:r>
      <w:r>
        <w:rPr>
          <w:spacing w:val="-6"/>
          <w:sz w:val="20"/>
        </w:rPr>
        <w:t xml:space="preserve"> </w:t>
      </w:r>
      <w:r>
        <w:rPr>
          <w:sz w:val="20"/>
        </w:rPr>
        <w:t>nº</w:t>
      </w:r>
      <w:r>
        <w:rPr>
          <w:spacing w:val="-6"/>
          <w:sz w:val="20"/>
        </w:rPr>
        <w:t xml:space="preserve"> </w:t>
      </w:r>
      <w:r>
        <w:rPr>
          <w:sz w:val="20"/>
        </w:rPr>
        <w:t>14.665,</w:t>
      </w:r>
      <w:r>
        <w:rPr>
          <w:spacing w:val="-9"/>
          <w:sz w:val="20"/>
        </w:rPr>
        <w:t xml:space="preserve"> </w:t>
      </w:r>
      <w:r>
        <w:rPr>
          <w:sz w:val="20"/>
        </w:rPr>
        <w:t>de</w:t>
      </w:r>
      <w:r>
        <w:rPr>
          <w:spacing w:val="-9"/>
          <w:sz w:val="20"/>
        </w:rPr>
        <w:t xml:space="preserve"> </w:t>
      </w:r>
      <w:r>
        <w:rPr>
          <w:sz w:val="20"/>
        </w:rPr>
        <w:t>2008,</w:t>
      </w:r>
      <w:r>
        <w:rPr>
          <w:spacing w:val="-8"/>
          <w:sz w:val="20"/>
        </w:rPr>
        <w:t xml:space="preserve"> </w:t>
      </w:r>
      <w:r>
        <w:rPr>
          <w:sz w:val="20"/>
        </w:rPr>
        <w:t>adotando</w:t>
      </w:r>
      <w:r>
        <w:rPr>
          <w:spacing w:val="-7"/>
          <w:sz w:val="20"/>
        </w:rPr>
        <w:t xml:space="preserve"> </w:t>
      </w:r>
      <w:r>
        <w:rPr>
          <w:sz w:val="20"/>
        </w:rPr>
        <w:t>as</w:t>
      </w:r>
      <w:r>
        <w:rPr>
          <w:spacing w:val="-7"/>
          <w:sz w:val="20"/>
        </w:rPr>
        <w:t xml:space="preserve"> </w:t>
      </w:r>
      <w:r>
        <w:rPr>
          <w:sz w:val="20"/>
        </w:rPr>
        <w:t>medidas</w:t>
      </w:r>
      <w:r>
        <w:rPr>
          <w:spacing w:val="-8"/>
          <w:sz w:val="20"/>
        </w:rPr>
        <w:t xml:space="preserve"> </w:t>
      </w:r>
      <w:r>
        <w:rPr>
          <w:sz w:val="20"/>
        </w:rPr>
        <w:t>necessárias à</w:t>
      </w:r>
      <w:r>
        <w:rPr>
          <w:spacing w:val="-3"/>
          <w:sz w:val="20"/>
        </w:rPr>
        <w:t xml:space="preserve"> </w:t>
      </w:r>
      <w:r>
        <w:rPr>
          <w:sz w:val="20"/>
        </w:rPr>
        <w:t>sua</w:t>
      </w:r>
      <w:r>
        <w:rPr>
          <w:spacing w:val="-3"/>
          <w:sz w:val="20"/>
        </w:rPr>
        <w:t xml:space="preserve"> </w:t>
      </w:r>
      <w:r>
        <w:rPr>
          <w:sz w:val="20"/>
        </w:rPr>
        <w:t>suspensão,</w:t>
      </w:r>
      <w:r>
        <w:rPr>
          <w:spacing w:val="-2"/>
          <w:sz w:val="20"/>
        </w:rPr>
        <w:t xml:space="preserve"> </w:t>
      </w:r>
      <w:r>
        <w:rPr>
          <w:sz w:val="20"/>
        </w:rPr>
        <w:t>desistência ou arquivamento, nos termos do disposto no § 3º do artigo 3º da Lei nº 13.514, de 2003.</w:t>
      </w:r>
    </w:p>
    <w:p w:rsidR="007259F2" w:rsidRDefault="00E655B4">
      <w:pPr>
        <w:ind w:left="2978" w:right="990"/>
        <w:jc w:val="both"/>
        <w:rPr>
          <w:sz w:val="20"/>
        </w:rPr>
      </w:pPr>
      <w:r>
        <w:rPr>
          <w:sz w:val="20"/>
        </w:rPr>
        <w:t xml:space="preserve">Art. 29 Os casos omissos serão dirimidos pela Procuradoria Geral do Município, da Secretaria Municipal dos Negócios Jurídicos (SÃO PAULO, </w:t>
      </w:r>
      <w:r>
        <w:rPr>
          <w:spacing w:val="-2"/>
          <w:sz w:val="20"/>
        </w:rPr>
        <w:t>2008).</w:t>
      </w:r>
    </w:p>
    <w:p w:rsidR="007259F2" w:rsidRDefault="00E655B4">
      <w:pPr>
        <w:pStyle w:val="Corpodetexto"/>
        <w:spacing w:before="227"/>
        <w:ind w:right="988"/>
      </w:pPr>
      <w:r>
        <w:t>Seja pela legislação respectiva, seja pelo volume de sua população vulnerável, o Município de São Paulo certamente pode ser considerado referência na consecução da política pública habitacional e de regularização fundiária urbana. Traz, a propósito, solução que merece destaque: o reconhecimento do pedido, ainda que expresso em outras</w:t>
      </w:r>
      <w:r>
        <w:rPr>
          <w:spacing w:val="1"/>
        </w:rPr>
        <w:t xml:space="preserve"> </w:t>
      </w:r>
      <w:r>
        <w:t>ideias</w:t>
      </w:r>
      <w:r>
        <w:rPr>
          <w:spacing w:val="3"/>
        </w:rPr>
        <w:t xml:space="preserve"> </w:t>
      </w:r>
      <w:r>
        <w:t>pelo</w:t>
      </w:r>
      <w:r>
        <w:rPr>
          <w:spacing w:val="4"/>
        </w:rPr>
        <w:t xml:space="preserve"> </w:t>
      </w:r>
      <w:r>
        <w:t>texto</w:t>
      </w:r>
      <w:r>
        <w:rPr>
          <w:spacing w:val="5"/>
        </w:rPr>
        <w:t xml:space="preserve"> </w:t>
      </w:r>
      <w:r>
        <w:t>legal,</w:t>
      </w:r>
      <w:r>
        <w:rPr>
          <w:spacing w:val="4"/>
        </w:rPr>
        <w:t xml:space="preserve"> </w:t>
      </w:r>
      <w:r>
        <w:t>deve</w:t>
      </w:r>
      <w:r>
        <w:rPr>
          <w:spacing w:val="-2"/>
        </w:rPr>
        <w:t xml:space="preserve"> </w:t>
      </w:r>
      <w:r>
        <w:t>ser</w:t>
      </w:r>
      <w:r>
        <w:rPr>
          <w:spacing w:val="-3"/>
        </w:rPr>
        <w:t xml:space="preserve"> </w:t>
      </w:r>
      <w:r>
        <w:t>parte</w:t>
      </w:r>
      <w:r>
        <w:rPr>
          <w:spacing w:val="-5"/>
        </w:rPr>
        <w:t xml:space="preserve"> </w:t>
      </w:r>
      <w:r>
        <w:t>essencial</w:t>
      </w:r>
      <w:r>
        <w:rPr>
          <w:spacing w:val="-2"/>
        </w:rPr>
        <w:t xml:space="preserve"> </w:t>
      </w:r>
      <w:r>
        <w:t>da</w:t>
      </w:r>
      <w:r>
        <w:rPr>
          <w:spacing w:val="-2"/>
        </w:rPr>
        <w:t xml:space="preserve"> </w:t>
      </w:r>
      <w:r>
        <w:t>execução</w:t>
      </w:r>
      <w:r>
        <w:rPr>
          <w:spacing w:val="-1"/>
        </w:rPr>
        <w:t xml:space="preserve"> </w:t>
      </w:r>
      <w:r>
        <w:t>da</w:t>
      </w:r>
      <w:r>
        <w:rPr>
          <w:spacing w:val="-4"/>
        </w:rPr>
        <w:t xml:space="preserve"> </w:t>
      </w:r>
      <w:r>
        <w:t>política</w:t>
      </w:r>
      <w:r>
        <w:rPr>
          <w:spacing w:val="-1"/>
        </w:rPr>
        <w:t xml:space="preserve"> </w:t>
      </w:r>
      <w:r>
        <w:t>urbana</w:t>
      </w:r>
      <w:r>
        <w:rPr>
          <w:spacing w:val="-1"/>
        </w:rPr>
        <w:t xml:space="preserve"> </w:t>
      </w:r>
      <w:r>
        <w:rPr>
          <w:spacing w:val="-5"/>
        </w:rPr>
        <w:t>em</w:t>
      </w:r>
    </w:p>
    <w:p w:rsidR="007259F2" w:rsidRDefault="00DE6B1C">
      <w:pPr>
        <w:pStyle w:val="Corpodetexto"/>
        <w:spacing w:before="165"/>
        <w:ind w:left="0" w:firstLine="0"/>
        <w:jc w:val="left"/>
        <w:rPr>
          <w:sz w:val="20"/>
        </w:rPr>
      </w:pPr>
      <w:r w:rsidRPr="00DE6B1C">
        <w:rPr>
          <w:sz w:val="20"/>
        </w:rPr>
        <w:pict>
          <v:rect id="docshape68" o:spid="_x0000_s1158" style="position:absolute;margin-left:85.1pt;margin-top:20.95pt;width:425.25pt;height:.7pt;z-index:-15702016;mso-wrap-distance-left:0;mso-wrap-distance-right:0;mso-position-horizontal-relative:page" fillcolor="black" stroked="f">
            <w10:wrap type="topAndBottom" anchorx="page"/>
          </v:rect>
        </w:pict>
      </w:r>
    </w:p>
    <w:p w:rsidR="007259F2" w:rsidRDefault="00E655B4">
      <w:pPr>
        <w:spacing w:before="97"/>
        <w:ind w:left="710" w:right="987"/>
        <w:jc w:val="both"/>
        <w:rPr>
          <w:sz w:val="20"/>
        </w:rPr>
      </w:pPr>
      <w:r>
        <w:rPr>
          <w:sz w:val="20"/>
        </w:rPr>
        <w:t>serão apurados em procedimento próprio. Uma evitabilidade maior de erros poderia vir a ocorrer com o uso de tecnologia auditável, com a eliminação do trabalho de análise repetitiva. A implantação de portais eletrônicos de regularização fundiária pode ser parte da solução. Havendo vontade, muito é possível.</w:t>
      </w:r>
    </w:p>
    <w:p w:rsidR="007259F2" w:rsidRDefault="007259F2">
      <w:pPr>
        <w:jc w:val="both"/>
        <w:rPr>
          <w:sz w:val="20"/>
        </w:rPr>
        <w:sectPr w:rsidR="007259F2">
          <w:pgSz w:w="11910" w:h="16840"/>
          <w:pgMar w:top="1320" w:right="708" w:bottom="1160" w:left="992" w:header="0" w:footer="962" w:gutter="0"/>
          <w:cols w:space="720"/>
        </w:sectPr>
      </w:pPr>
    </w:p>
    <w:p w:rsidR="007259F2" w:rsidRDefault="00E655B4">
      <w:pPr>
        <w:pStyle w:val="Corpodetexto"/>
        <w:spacing w:before="69"/>
        <w:ind w:right="990" w:firstLine="0"/>
      </w:pPr>
      <w:r>
        <w:lastRenderedPageBreak/>
        <w:t>juízo. É fato que o texto traz apenas hipóteses de interditos possessórios movidos pelo Município, mas inclui, também nesta via, o exame detido pela Administração</w:t>
      </w:r>
      <w:r>
        <w:rPr>
          <w:spacing w:val="40"/>
        </w:rPr>
        <w:t xml:space="preserve"> </w:t>
      </w:r>
      <w:r>
        <w:t>Municipal, no caso concreto, da titularidade de direito habitacional quando alegado em contestação,</w:t>
      </w:r>
      <w:r>
        <w:rPr>
          <w:vertAlign w:val="superscript"/>
        </w:rPr>
        <w:t>40</w:t>
      </w:r>
      <w:r>
        <w:t xml:space="preserve"> evitando a litigiosidade e pavimentando o caminho para que a execução da política urbana seja satisfatória.</w:t>
      </w:r>
    </w:p>
    <w:p w:rsidR="007259F2" w:rsidRDefault="00E655B4">
      <w:pPr>
        <w:pStyle w:val="Corpodetexto"/>
        <w:spacing w:before="1"/>
        <w:ind w:right="989"/>
      </w:pPr>
      <w:r>
        <w:t>Esse reconhecimento, aliás, autoriza a suspensão do processo se o pleito não</w:t>
      </w:r>
      <w:r>
        <w:rPr>
          <w:spacing w:val="40"/>
        </w:rPr>
        <w:t xml:space="preserve"> </w:t>
      </w:r>
      <w:r>
        <w:t>tiver sido previamente encaminhado à Administração Pública, que usufrui do prazo previsto pelo art. 6º, §1º, da MP nº 2.220/2001 para exame aprofundado e decisão adequada. O ideal, na verdade, caminha pela teleologia do que veicula o Decreto nº 49.498/2008, ao consignar que o órgão responsável pela regularização fundiária é o responsável por evitar o ajuizamento de novos interditos possessórios, o que evita a própria alegação do direito à CUEM em contestação. Reforça-se, assim, o papel preventivo e de constante apuração do Estado na ordenação de seu território e na prevenção de litígios.</w:t>
      </w:r>
    </w:p>
    <w:p w:rsidR="007259F2" w:rsidRDefault="00E655B4">
      <w:pPr>
        <w:pStyle w:val="Corpodetexto"/>
        <w:spacing w:before="1"/>
        <w:ind w:right="990"/>
      </w:pPr>
      <w:r>
        <w:t>A atuação coordenada entre órgãos, espelhada pela lei do Município de São Paulo, é outra das medidas dirigida à melhor consecução do interesse público nessa pauta, afinal esse exercício preventivo e proativo do Executivo possibilita à própria Procuradoria Municipal uma atuação mais eficiente, focada assessorar e executar no âmbito extrajudicial. Livra os advogados públicos da carga associada aos prazos e complexidades dos processos judiciais, os quais exigem um investimento significativo de tempo e recursos. Em matéria de gestão pública, significa dirigir com eficiência (PEÑA, 2008).</w:t>
      </w:r>
      <w:r>
        <w:rPr>
          <w:vertAlign w:val="superscript"/>
        </w:rPr>
        <w:t>41</w:t>
      </w:r>
    </w:p>
    <w:p w:rsidR="007259F2" w:rsidRDefault="00E655B4">
      <w:pPr>
        <w:pStyle w:val="Corpodetexto"/>
        <w:ind w:right="989"/>
      </w:pPr>
      <w:r>
        <w:t xml:space="preserve">Carlos Aguiar e Tereza Borba (2006, p. 176) ressaltam a eficácia otimizada da CUEM nas ZEIS para o aproveitamento urbano. Segundo eles, “as ZEIS, se não de imediato, mas </w:t>
      </w:r>
      <w:r>
        <w:rPr>
          <w:i/>
        </w:rPr>
        <w:t>a</w:t>
      </w:r>
      <w:r>
        <w:rPr>
          <w:i/>
          <w:spacing w:val="40"/>
        </w:rPr>
        <w:t xml:space="preserve"> </w:t>
      </w:r>
      <w:r>
        <w:rPr>
          <w:i/>
        </w:rPr>
        <w:t>posteriori</w:t>
      </w:r>
      <w:r>
        <w:t>, exigem que sejam incorporadas ao patrimônio público”, o que pode ser concretizado pela desapropriação direta ou indireta. Executada a medida, “a CUEM, expedida em favor dos residentes</w:t>
      </w:r>
      <w:r>
        <w:rPr>
          <w:spacing w:val="-1"/>
        </w:rPr>
        <w:t xml:space="preserve"> </w:t>
      </w:r>
      <w:r>
        <w:t>nas ZEIS,</w:t>
      </w:r>
      <w:r>
        <w:rPr>
          <w:spacing w:val="-1"/>
        </w:rPr>
        <w:t xml:space="preserve"> </w:t>
      </w:r>
      <w:r>
        <w:t>deve</w:t>
      </w:r>
      <w:r>
        <w:rPr>
          <w:spacing w:val="-4"/>
        </w:rPr>
        <w:t xml:space="preserve"> </w:t>
      </w:r>
      <w:r>
        <w:t>constituir</w:t>
      </w:r>
      <w:r>
        <w:rPr>
          <w:spacing w:val="-3"/>
        </w:rPr>
        <w:t xml:space="preserve"> </w:t>
      </w:r>
      <w:r>
        <w:t>a</w:t>
      </w:r>
      <w:r>
        <w:rPr>
          <w:spacing w:val="-4"/>
        </w:rPr>
        <w:t xml:space="preserve"> </w:t>
      </w:r>
      <w:r>
        <w:t>finalização das atividades legalizatórias e urbanísticas da área”. E arrematam: a CUEM é solução que “adquire realce ímpar, quando aplicada nas ZEIS”.</w:t>
      </w:r>
    </w:p>
    <w:p w:rsidR="007259F2" w:rsidRDefault="00E655B4">
      <w:pPr>
        <w:pStyle w:val="Corpodetexto"/>
        <w:ind w:right="988"/>
      </w:pPr>
      <w:r>
        <w:t>A</w:t>
      </w:r>
      <w:r>
        <w:rPr>
          <w:spacing w:val="-2"/>
        </w:rPr>
        <w:t xml:space="preserve"> </w:t>
      </w:r>
      <w:r>
        <w:t>ampliação</w:t>
      </w:r>
      <w:r>
        <w:rPr>
          <w:spacing w:val="-1"/>
        </w:rPr>
        <w:t xml:space="preserve"> </w:t>
      </w:r>
      <w:r>
        <w:t>ou</w:t>
      </w:r>
      <w:r>
        <w:rPr>
          <w:spacing w:val="-1"/>
        </w:rPr>
        <w:t xml:space="preserve"> </w:t>
      </w:r>
      <w:r>
        <w:t>mesmo</w:t>
      </w:r>
      <w:r>
        <w:rPr>
          <w:spacing w:val="-1"/>
        </w:rPr>
        <w:t xml:space="preserve"> </w:t>
      </w:r>
      <w:r>
        <w:t>a</w:t>
      </w:r>
      <w:r>
        <w:rPr>
          <w:spacing w:val="-2"/>
        </w:rPr>
        <w:t xml:space="preserve"> </w:t>
      </w:r>
      <w:r>
        <w:t>adoção de</w:t>
      </w:r>
      <w:r>
        <w:rPr>
          <w:spacing w:val="-2"/>
        </w:rPr>
        <w:t xml:space="preserve"> </w:t>
      </w:r>
      <w:r>
        <w:t>medidas</w:t>
      </w:r>
      <w:r>
        <w:rPr>
          <w:spacing w:val="-1"/>
        </w:rPr>
        <w:t xml:space="preserve"> </w:t>
      </w:r>
      <w:r>
        <w:t>ativas</w:t>
      </w:r>
      <w:r>
        <w:rPr>
          <w:spacing w:val="-1"/>
        </w:rPr>
        <w:t xml:space="preserve"> </w:t>
      </w:r>
      <w:r>
        <w:t>pelo</w:t>
      </w:r>
      <w:r>
        <w:rPr>
          <w:spacing w:val="-1"/>
        </w:rPr>
        <w:t xml:space="preserve"> </w:t>
      </w:r>
      <w:r>
        <w:t>Estado</w:t>
      </w:r>
      <w:r>
        <w:rPr>
          <w:spacing w:val="-2"/>
        </w:rPr>
        <w:t xml:space="preserve"> </w:t>
      </w:r>
      <w:r>
        <w:t>pode</w:t>
      </w:r>
      <w:r>
        <w:rPr>
          <w:spacing w:val="-2"/>
        </w:rPr>
        <w:t xml:space="preserve"> </w:t>
      </w:r>
      <w:r>
        <w:t>se</w:t>
      </w:r>
      <w:r>
        <w:rPr>
          <w:spacing w:val="-2"/>
        </w:rPr>
        <w:t xml:space="preserve"> </w:t>
      </w:r>
      <w:r>
        <w:t>estender pela</w:t>
      </w:r>
      <w:r>
        <w:rPr>
          <w:spacing w:val="-3"/>
        </w:rPr>
        <w:t xml:space="preserve"> </w:t>
      </w:r>
      <w:r>
        <w:t>informação</w:t>
      </w:r>
      <w:r>
        <w:rPr>
          <w:spacing w:val="-2"/>
        </w:rPr>
        <w:t xml:space="preserve"> </w:t>
      </w:r>
      <w:r>
        <w:t>da</w:t>
      </w:r>
      <w:r>
        <w:rPr>
          <w:spacing w:val="-3"/>
        </w:rPr>
        <w:t xml:space="preserve"> </w:t>
      </w:r>
      <w:r>
        <w:t>população</w:t>
      </w:r>
      <w:r>
        <w:rPr>
          <w:spacing w:val="-2"/>
        </w:rPr>
        <w:t xml:space="preserve"> </w:t>
      </w:r>
      <w:r>
        <w:t>afetada, conscientizando-os</w:t>
      </w:r>
      <w:r>
        <w:rPr>
          <w:spacing w:val="-2"/>
        </w:rPr>
        <w:t xml:space="preserve"> </w:t>
      </w:r>
      <w:r>
        <w:t>dos</w:t>
      </w:r>
      <w:r>
        <w:rPr>
          <w:spacing w:val="-2"/>
        </w:rPr>
        <w:t xml:space="preserve"> </w:t>
      </w:r>
      <w:r>
        <w:t>requisitos</w:t>
      </w:r>
      <w:r>
        <w:rPr>
          <w:spacing w:val="-2"/>
        </w:rPr>
        <w:t xml:space="preserve"> </w:t>
      </w:r>
      <w:r>
        <w:t>para</w:t>
      </w:r>
      <w:r>
        <w:rPr>
          <w:spacing w:val="-4"/>
        </w:rPr>
        <w:t xml:space="preserve"> </w:t>
      </w:r>
      <w:r>
        <w:t>concessão do direito à sua</w:t>
      </w:r>
      <w:r>
        <w:rPr>
          <w:spacing w:val="-2"/>
        </w:rPr>
        <w:t xml:space="preserve"> </w:t>
      </w:r>
      <w:r>
        <w:t>propriedade. Essa espécie</w:t>
      </w:r>
      <w:r>
        <w:rPr>
          <w:spacing w:val="-1"/>
        </w:rPr>
        <w:t xml:space="preserve"> </w:t>
      </w:r>
      <w:r>
        <w:t>de diligência é</w:t>
      </w:r>
      <w:r>
        <w:rPr>
          <w:spacing w:val="-2"/>
        </w:rPr>
        <w:t xml:space="preserve"> </w:t>
      </w:r>
      <w:r>
        <w:t>conveniente</w:t>
      </w:r>
      <w:r>
        <w:rPr>
          <w:spacing w:val="-2"/>
        </w:rPr>
        <w:t xml:space="preserve"> </w:t>
      </w:r>
      <w:r>
        <w:t>e possível através do exame apurado das áreas públicas ocupadas, mapeando-as para um controle real e efetivo do problema habitacional – e de regularização.</w:t>
      </w:r>
      <w:r>
        <w:rPr>
          <w:vertAlign w:val="superscript"/>
        </w:rPr>
        <w:t>42</w:t>
      </w:r>
      <w:r>
        <w:t xml:space="preserve"> Aqui pode surgir uma preocupação de</w:t>
      </w:r>
      <w:r>
        <w:rPr>
          <w:spacing w:val="-1"/>
        </w:rPr>
        <w:t xml:space="preserve"> </w:t>
      </w:r>
      <w:r>
        <w:t>que, informada, essa população carente, carente ainda mesmo do direito à concessão e de um teto para morar, corra atrás de novas áreas públicas para nelas se assentar na esperança de se aproveitar de uma alteração legislativa superveniente, que abarque períodos de posse ulteriores.</w:t>
      </w:r>
    </w:p>
    <w:p w:rsidR="007259F2" w:rsidRDefault="007259F2">
      <w:pPr>
        <w:pStyle w:val="Corpodetexto"/>
        <w:ind w:left="0" w:firstLine="0"/>
        <w:jc w:val="left"/>
        <w:rPr>
          <w:sz w:val="20"/>
        </w:rPr>
      </w:pPr>
    </w:p>
    <w:p w:rsidR="007259F2" w:rsidRDefault="00DE6B1C">
      <w:pPr>
        <w:pStyle w:val="Corpodetexto"/>
        <w:spacing w:before="166"/>
        <w:ind w:left="0" w:firstLine="0"/>
        <w:jc w:val="left"/>
        <w:rPr>
          <w:sz w:val="20"/>
        </w:rPr>
      </w:pPr>
      <w:r w:rsidRPr="00DE6B1C">
        <w:rPr>
          <w:sz w:val="20"/>
        </w:rPr>
        <w:pict>
          <v:rect id="docshape69" o:spid="_x0000_s1157" style="position:absolute;margin-left:85.1pt;margin-top:21pt;width:2in;height:.7pt;z-index:-15701504;mso-wrap-distance-left:0;mso-wrap-distance-right:0;mso-position-horizontal-relative:page" fillcolor="black" stroked="f">
            <w10:wrap type="topAndBottom" anchorx="page"/>
          </v:rect>
        </w:pict>
      </w:r>
    </w:p>
    <w:p w:rsidR="007259F2" w:rsidRDefault="00E655B4">
      <w:pPr>
        <w:spacing w:before="96"/>
        <w:ind w:left="710" w:right="997"/>
        <w:jc w:val="both"/>
        <w:rPr>
          <w:sz w:val="20"/>
        </w:rPr>
      </w:pPr>
      <w:r>
        <w:rPr>
          <w:sz w:val="20"/>
          <w:vertAlign w:val="superscript"/>
        </w:rPr>
        <w:t>40</w:t>
      </w:r>
      <w:r>
        <w:rPr>
          <w:sz w:val="20"/>
        </w:rPr>
        <w:t xml:space="preserve"> Assim como a usucapião pode ser alegada na contestação de interditos possessórios (Súmula 237 do STF), a</w:t>
      </w:r>
      <w:r>
        <w:rPr>
          <w:spacing w:val="80"/>
          <w:sz w:val="20"/>
        </w:rPr>
        <w:t xml:space="preserve"> </w:t>
      </w:r>
      <w:r>
        <w:rPr>
          <w:sz w:val="20"/>
        </w:rPr>
        <w:t>concessão de uso especial para fins de moradia igualmente usufrui de tal faculdade processual, com vistas a garantir o direito subjetivo do réu que cumprir seus requisitos (art. 373, II, Código de Processo Civil).</w:t>
      </w:r>
    </w:p>
    <w:p w:rsidR="007259F2" w:rsidRDefault="00E655B4">
      <w:pPr>
        <w:ind w:left="710" w:right="987"/>
        <w:jc w:val="both"/>
        <w:rPr>
          <w:sz w:val="20"/>
        </w:rPr>
      </w:pPr>
      <w:r>
        <w:rPr>
          <w:sz w:val="20"/>
          <w:vertAlign w:val="superscript"/>
        </w:rPr>
        <w:t>41</w:t>
      </w:r>
      <w:r>
        <w:rPr>
          <w:sz w:val="20"/>
        </w:rPr>
        <w:t xml:space="preserve"> O conceito de eficiência, na visão de Peña (2008), está intrinsecamente ligado à otimização da relação entre insumos e produtos, visando maximizar a produção com o mínimo de recursos. Neste âmbito, a eficiência foca nos meios empregados para atingir determinado objetivo, e não apenas no objetivo em si. No contexto da administração pública, a eficiência é reconhecida como um dos princípios constitucionais (art. 37, CF). Ela está associada à capacidade do Estado de fornecer bens e serviços de maneira a incrementar o bem-estar social, enfatizando a importância de utilizar recursos de forma criteriosa para otimizar os benefícios à sociedade.</w:t>
      </w:r>
    </w:p>
    <w:p w:rsidR="007259F2" w:rsidRDefault="00E655B4">
      <w:pPr>
        <w:ind w:left="710"/>
        <w:jc w:val="both"/>
        <w:rPr>
          <w:sz w:val="20"/>
        </w:rPr>
      </w:pPr>
      <w:r>
        <w:rPr>
          <w:sz w:val="20"/>
          <w:vertAlign w:val="superscript"/>
        </w:rPr>
        <w:t>42</w:t>
      </w:r>
      <w:r>
        <w:rPr>
          <w:spacing w:val="-5"/>
          <w:sz w:val="20"/>
        </w:rPr>
        <w:t xml:space="preserve"> </w:t>
      </w:r>
      <w:r>
        <w:rPr>
          <w:sz w:val="20"/>
        </w:rPr>
        <w:t>Diretriz</w:t>
      </w:r>
      <w:r>
        <w:rPr>
          <w:spacing w:val="-6"/>
          <w:sz w:val="20"/>
        </w:rPr>
        <w:t xml:space="preserve"> </w:t>
      </w:r>
      <w:r>
        <w:rPr>
          <w:sz w:val="20"/>
        </w:rPr>
        <w:t>fundamental</w:t>
      </w:r>
      <w:r>
        <w:rPr>
          <w:spacing w:val="-6"/>
          <w:sz w:val="20"/>
        </w:rPr>
        <w:t xml:space="preserve"> </w:t>
      </w:r>
      <w:r>
        <w:rPr>
          <w:sz w:val="20"/>
        </w:rPr>
        <w:t>da</w:t>
      </w:r>
      <w:r>
        <w:rPr>
          <w:spacing w:val="-3"/>
          <w:sz w:val="20"/>
        </w:rPr>
        <w:t xml:space="preserve"> </w:t>
      </w:r>
      <w:r>
        <w:rPr>
          <w:i/>
          <w:sz w:val="20"/>
        </w:rPr>
        <w:t>Carta</w:t>
      </w:r>
      <w:r>
        <w:rPr>
          <w:i/>
          <w:spacing w:val="-7"/>
          <w:sz w:val="20"/>
        </w:rPr>
        <w:t xml:space="preserve"> </w:t>
      </w:r>
      <w:r>
        <w:rPr>
          <w:i/>
          <w:sz w:val="20"/>
        </w:rPr>
        <w:t>Mundial</w:t>
      </w:r>
      <w:r>
        <w:rPr>
          <w:i/>
          <w:spacing w:val="-8"/>
          <w:sz w:val="20"/>
        </w:rPr>
        <w:t xml:space="preserve"> </w:t>
      </w:r>
      <w:r>
        <w:rPr>
          <w:i/>
          <w:sz w:val="20"/>
        </w:rPr>
        <w:t>do</w:t>
      </w:r>
      <w:r>
        <w:rPr>
          <w:i/>
          <w:spacing w:val="-5"/>
          <w:sz w:val="20"/>
        </w:rPr>
        <w:t xml:space="preserve"> </w:t>
      </w:r>
      <w:r>
        <w:rPr>
          <w:i/>
          <w:sz w:val="20"/>
        </w:rPr>
        <w:t>Direito</w:t>
      </w:r>
      <w:r>
        <w:rPr>
          <w:i/>
          <w:spacing w:val="-5"/>
          <w:sz w:val="20"/>
        </w:rPr>
        <w:t xml:space="preserve"> </w:t>
      </w:r>
      <w:r>
        <w:rPr>
          <w:i/>
          <w:sz w:val="20"/>
        </w:rPr>
        <w:t>à</w:t>
      </w:r>
      <w:r>
        <w:rPr>
          <w:i/>
          <w:spacing w:val="-5"/>
          <w:sz w:val="20"/>
        </w:rPr>
        <w:t xml:space="preserve"> </w:t>
      </w:r>
      <w:r>
        <w:rPr>
          <w:i/>
          <w:sz w:val="20"/>
        </w:rPr>
        <w:t>Cidade</w:t>
      </w:r>
      <w:r>
        <w:rPr>
          <w:sz w:val="20"/>
        </w:rPr>
        <w:t>,</w:t>
      </w:r>
      <w:r>
        <w:rPr>
          <w:spacing w:val="-8"/>
          <w:sz w:val="20"/>
        </w:rPr>
        <w:t xml:space="preserve"> </w:t>
      </w:r>
      <w:r>
        <w:rPr>
          <w:sz w:val="20"/>
        </w:rPr>
        <w:t>tal</w:t>
      </w:r>
      <w:r>
        <w:rPr>
          <w:spacing w:val="-6"/>
          <w:sz w:val="20"/>
        </w:rPr>
        <w:t xml:space="preserve"> </w:t>
      </w:r>
      <w:r>
        <w:rPr>
          <w:sz w:val="20"/>
        </w:rPr>
        <w:t>qual</w:t>
      </w:r>
      <w:r>
        <w:rPr>
          <w:spacing w:val="-8"/>
          <w:sz w:val="20"/>
        </w:rPr>
        <w:t xml:space="preserve"> </w:t>
      </w:r>
      <w:r>
        <w:rPr>
          <w:sz w:val="20"/>
        </w:rPr>
        <w:t>dispõe</w:t>
      </w:r>
      <w:r>
        <w:rPr>
          <w:spacing w:val="-6"/>
          <w:sz w:val="20"/>
        </w:rPr>
        <w:t xml:space="preserve"> </w:t>
      </w:r>
      <w:r>
        <w:rPr>
          <w:sz w:val="20"/>
        </w:rPr>
        <w:t>seus</w:t>
      </w:r>
      <w:r>
        <w:rPr>
          <w:spacing w:val="-10"/>
          <w:sz w:val="20"/>
        </w:rPr>
        <w:t xml:space="preserve"> </w:t>
      </w:r>
      <w:r>
        <w:rPr>
          <w:sz w:val="20"/>
        </w:rPr>
        <w:t>arts.</w:t>
      </w:r>
      <w:r>
        <w:rPr>
          <w:spacing w:val="-6"/>
          <w:sz w:val="20"/>
        </w:rPr>
        <w:t xml:space="preserve"> </w:t>
      </w:r>
      <w:r>
        <w:rPr>
          <w:sz w:val="20"/>
        </w:rPr>
        <w:t>VI</w:t>
      </w:r>
      <w:r>
        <w:rPr>
          <w:spacing w:val="-3"/>
          <w:sz w:val="20"/>
        </w:rPr>
        <w:t xml:space="preserve"> </w:t>
      </w:r>
      <w:r>
        <w:rPr>
          <w:sz w:val="20"/>
        </w:rPr>
        <w:t>e</w:t>
      </w:r>
      <w:r>
        <w:rPr>
          <w:spacing w:val="-9"/>
          <w:sz w:val="20"/>
        </w:rPr>
        <w:t xml:space="preserve"> </w:t>
      </w:r>
      <w:r>
        <w:rPr>
          <w:spacing w:val="-2"/>
          <w:sz w:val="20"/>
        </w:rPr>
        <w:t>XVIII.</w:t>
      </w:r>
    </w:p>
    <w:p w:rsidR="007259F2" w:rsidRDefault="007259F2">
      <w:pPr>
        <w:jc w:val="both"/>
        <w:rPr>
          <w:sz w:val="20"/>
        </w:rPr>
        <w:sectPr w:rsidR="007259F2">
          <w:pgSz w:w="11910" w:h="16840"/>
          <w:pgMar w:top="1320" w:right="708" w:bottom="1160" w:left="992" w:header="0" w:footer="962" w:gutter="0"/>
          <w:cols w:space="720"/>
        </w:sectPr>
      </w:pPr>
    </w:p>
    <w:p w:rsidR="007259F2" w:rsidRDefault="00E655B4">
      <w:pPr>
        <w:pStyle w:val="Corpodetexto"/>
        <w:spacing w:before="69"/>
        <w:ind w:right="988"/>
      </w:pPr>
      <w:r>
        <w:lastRenderedPageBreak/>
        <w:t>Tal preocupação, contudo, não parece legítima tendo em vista que esse controle das áreas públicas ocupadas impedirá, de forma efetiva, novos assentamentos informais dos quais se originem direitos, em razão do dever de diligência e vigilância do Poder Público competente. Quem preenche os pressupostos legais detém direito subjetivo, o qual não poderá – nem deve – ser negado. Portanto, não há empecilhos para que uma campanha de conscientização ocorra: desconhecem-se quaisquer ônus para o Estado nesse contexto. Aquele que não é titular do direito não será porque quaisquer áreas adiante ocupadas deverão – e serão – prontamente reintegradas ao patrimônio público.</w:t>
      </w:r>
    </w:p>
    <w:p w:rsidR="007259F2" w:rsidRDefault="00E655B4">
      <w:pPr>
        <w:pStyle w:val="Corpodetexto"/>
        <w:spacing w:before="1"/>
        <w:ind w:right="988"/>
      </w:pPr>
      <w:r>
        <w:t>De</w:t>
      </w:r>
      <w:r>
        <w:rPr>
          <w:spacing w:val="-2"/>
        </w:rPr>
        <w:t xml:space="preserve"> </w:t>
      </w:r>
      <w:r>
        <w:t>mais a</w:t>
      </w:r>
      <w:r>
        <w:rPr>
          <w:spacing w:val="-2"/>
        </w:rPr>
        <w:t xml:space="preserve"> </w:t>
      </w:r>
      <w:r>
        <w:t>mais, a</w:t>
      </w:r>
      <w:r>
        <w:rPr>
          <w:spacing w:val="-2"/>
        </w:rPr>
        <w:t xml:space="preserve"> </w:t>
      </w:r>
      <w:r>
        <w:t>CDRU pode</w:t>
      </w:r>
      <w:r>
        <w:rPr>
          <w:spacing w:val="-2"/>
        </w:rPr>
        <w:t xml:space="preserve"> </w:t>
      </w:r>
      <w:r>
        <w:t>funcionar</w:t>
      </w:r>
      <w:r>
        <w:rPr>
          <w:spacing w:val="-1"/>
        </w:rPr>
        <w:t xml:space="preserve"> </w:t>
      </w:r>
      <w:r>
        <w:t>como alternativa</w:t>
      </w:r>
      <w:r>
        <w:rPr>
          <w:spacing w:val="-1"/>
        </w:rPr>
        <w:t xml:space="preserve"> </w:t>
      </w:r>
      <w:r>
        <w:t>para famílias carentes de um lar e dos requisitos da CUEM. Uma abordagem preventiva e proativa, quando adotada pelo Executivo, deve levar em conta que a regularização de assentamentos informais legaliza situações preexistentes e cria oportunidades para a acomodação de famílias</w:t>
      </w:r>
      <w:r>
        <w:rPr>
          <w:spacing w:val="-1"/>
        </w:rPr>
        <w:t xml:space="preserve"> </w:t>
      </w:r>
      <w:r>
        <w:t>vulneráveis</w:t>
      </w:r>
      <w:r>
        <w:rPr>
          <w:spacing w:val="-1"/>
        </w:rPr>
        <w:t xml:space="preserve"> </w:t>
      </w:r>
      <w:r>
        <w:t>em novos</w:t>
      </w:r>
      <w:r>
        <w:rPr>
          <w:spacing w:val="-1"/>
        </w:rPr>
        <w:t xml:space="preserve"> </w:t>
      </w:r>
      <w:r>
        <w:t>espaços. O</w:t>
      </w:r>
      <w:r>
        <w:rPr>
          <w:spacing w:val="-1"/>
        </w:rPr>
        <w:t xml:space="preserve"> </w:t>
      </w:r>
      <w:r>
        <w:t>mesmo pode</w:t>
      </w:r>
      <w:r>
        <w:rPr>
          <w:spacing w:val="-1"/>
        </w:rPr>
        <w:t xml:space="preserve"> </w:t>
      </w:r>
      <w:r>
        <w:t>ser</w:t>
      </w:r>
      <w:r>
        <w:rPr>
          <w:spacing w:val="-1"/>
        </w:rPr>
        <w:t xml:space="preserve"> </w:t>
      </w:r>
      <w:r>
        <w:t>dito</w:t>
      </w:r>
      <w:r>
        <w:rPr>
          <w:spacing w:val="-1"/>
        </w:rPr>
        <w:t xml:space="preserve"> </w:t>
      </w:r>
      <w:r>
        <w:t>quanto à</w:t>
      </w:r>
      <w:r>
        <w:rPr>
          <w:spacing w:val="-1"/>
        </w:rPr>
        <w:t xml:space="preserve"> </w:t>
      </w:r>
      <w:r>
        <w:t>manutenção da CUEM: a</w:t>
      </w:r>
      <w:r>
        <w:rPr>
          <w:spacing w:val="-1"/>
        </w:rPr>
        <w:t xml:space="preserve"> </w:t>
      </w:r>
      <w:r>
        <w:t>eventual extinção da</w:t>
      </w:r>
      <w:r>
        <w:rPr>
          <w:spacing w:val="-1"/>
        </w:rPr>
        <w:t xml:space="preserve"> </w:t>
      </w:r>
      <w:r>
        <w:t>concessão</w:t>
      </w:r>
      <w:r>
        <w:rPr>
          <w:spacing w:val="-1"/>
        </w:rPr>
        <w:t xml:space="preserve"> </w:t>
      </w:r>
      <w:r>
        <w:t>(art.</w:t>
      </w:r>
      <w:r>
        <w:rPr>
          <w:spacing w:val="-1"/>
        </w:rPr>
        <w:t xml:space="preserve"> </w:t>
      </w:r>
      <w:r>
        <w:t>8º)</w:t>
      </w:r>
      <w:r>
        <w:rPr>
          <w:spacing w:val="-1"/>
        </w:rPr>
        <w:t xml:space="preserve"> </w:t>
      </w:r>
      <w:r>
        <w:t>dará</w:t>
      </w:r>
      <w:r>
        <w:rPr>
          <w:spacing w:val="-2"/>
        </w:rPr>
        <w:t xml:space="preserve"> </w:t>
      </w:r>
      <w:r>
        <w:t>lugar a</w:t>
      </w:r>
      <w:r>
        <w:rPr>
          <w:spacing w:val="-1"/>
        </w:rPr>
        <w:t xml:space="preserve"> </w:t>
      </w:r>
      <w:r>
        <w:t>outros tantos espaços que também poderão ser objeto de novas acomodações, ainda que sob titulação diversa.</w:t>
      </w:r>
    </w:p>
    <w:p w:rsidR="007259F2" w:rsidRDefault="00E655B4">
      <w:pPr>
        <w:pStyle w:val="Corpodetexto"/>
        <w:spacing w:before="1"/>
        <w:ind w:right="987"/>
      </w:pPr>
      <w:r>
        <w:t>É crucial esclarecer que a CUEM não envolve a construção de moradias, mas a concessão de lotes já ocupados e construídos, simplificando a implementação da</w:t>
      </w:r>
      <w:r>
        <w:rPr>
          <w:spacing w:val="80"/>
        </w:rPr>
        <w:t xml:space="preserve"> </w:t>
      </w:r>
      <w:r>
        <w:t>política urbana ao reduzir custos estatais; no espectro instrumental da política urbana, o aluguel social é uma alternativa para o aproveitamento de edifícios abandonados ou desapropriados</w:t>
      </w:r>
      <w:r>
        <w:rPr>
          <w:vertAlign w:val="superscript"/>
        </w:rPr>
        <w:t>43</w:t>
      </w:r>
      <w:r>
        <w:t xml:space="preserve"> por descumprimento da função social da propriedade</w:t>
      </w:r>
      <w:r>
        <w:rPr>
          <w:vertAlign w:val="superscript"/>
        </w:rPr>
        <w:t>44</w:t>
      </w:r>
      <w:r>
        <w:t xml:space="preserve"> (art. 8º,</w:t>
      </w:r>
      <w:r>
        <w:rPr>
          <w:spacing w:val="40"/>
        </w:rPr>
        <w:t xml:space="preserve"> </w:t>
      </w:r>
      <w:r>
        <w:t xml:space="preserve">Estatuto da Cidade) – vide a idealização do </w:t>
      </w:r>
      <w:r>
        <w:rPr>
          <w:i/>
        </w:rPr>
        <w:t xml:space="preserve">retrofit </w:t>
      </w:r>
      <w:r>
        <w:t>em São Paulo (CASEFF, 2023); não suficiente, CUEM e CDRU podem ser hipotecados (art.</w:t>
      </w:r>
      <w:r>
        <w:rPr>
          <w:spacing w:val="-5"/>
        </w:rPr>
        <w:t xml:space="preserve"> </w:t>
      </w:r>
      <w:r>
        <w:t>1.473,</w:t>
      </w:r>
      <w:r>
        <w:rPr>
          <w:spacing w:val="-5"/>
        </w:rPr>
        <w:t xml:space="preserve"> </w:t>
      </w:r>
      <w:r>
        <w:t>VIII</w:t>
      </w:r>
      <w:r>
        <w:rPr>
          <w:spacing w:val="-10"/>
        </w:rPr>
        <w:t xml:space="preserve"> </w:t>
      </w:r>
      <w:r>
        <w:t>e</w:t>
      </w:r>
      <w:r>
        <w:rPr>
          <w:spacing w:val="-2"/>
        </w:rPr>
        <w:t xml:space="preserve"> </w:t>
      </w:r>
      <w:r>
        <w:t>IX,</w:t>
      </w:r>
      <w:r>
        <w:rPr>
          <w:spacing w:val="-3"/>
        </w:rPr>
        <w:t xml:space="preserve"> </w:t>
      </w:r>
      <w:r>
        <w:t>Código</w:t>
      </w:r>
      <w:r>
        <w:rPr>
          <w:spacing w:val="-4"/>
        </w:rPr>
        <w:t xml:space="preserve"> </w:t>
      </w:r>
      <w:r>
        <w:t>Civil), o que evidencia o caráter assistencial do Estado na política e o desenvolvimento sustentável da pessoa, enquanto cidadã, e da família, enquanto núcleo de</w:t>
      </w:r>
      <w:r>
        <w:rPr>
          <w:spacing w:val="-1"/>
        </w:rPr>
        <w:t xml:space="preserve"> </w:t>
      </w:r>
      <w:r>
        <w:t>interesse para</w:t>
      </w:r>
      <w:r>
        <w:rPr>
          <w:spacing w:val="40"/>
        </w:rPr>
        <w:t xml:space="preserve"> </w:t>
      </w:r>
      <w:r>
        <w:t>o Estado (art. 226, CF), facilitando o acesso a financiamentos para construção, reforma ou</w:t>
      </w:r>
      <w:r>
        <w:rPr>
          <w:spacing w:val="-2"/>
        </w:rPr>
        <w:t xml:space="preserve"> </w:t>
      </w:r>
      <w:r>
        <w:t>requalificação</w:t>
      </w:r>
      <w:r>
        <w:rPr>
          <w:spacing w:val="-2"/>
        </w:rPr>
        <w:t xml:space="preserve"> </w:t>
      </w:r>
      <w:r>
        <w:t>de</w:t>
      </w:r>
      <w:r>
        <w:rPr>
          <w:spacing w:val="-3"/>
        </w:rPr>
        <w:t xml:space="preserve"> </w:t>
      </w:r>
      <w:r>
        <w:t>imóveis</w:t>
      </w:r>
      <w:r>
        <w:rPr>
          <w:spacing w:val="-2"/>
        </w:rPr>
        <w:t xml:space="preserve"> </w:t>
      </w:r>
      <w:r>
        <w:t>pelo</w:t>
      </w:r>
      <w:r>
        <w:rPr>
          <w:spacing w:val="-2"/>
        </w:rPr>
        <w:t xml:space="preserve"> </w:t>
      </w:r>
      <w:r>
        <w:t>Programa</w:t>
      </w:r>
      <w:r>
        <w:rPr>
          <w:spacing w:val="-2"/>
        </w:rPr>
        <w:t xml:space="preserve"> </w:t>
      </w:r>
      <w:r>
        <w:t>Minha</w:t>
      </w:r>
      <w:r>
        <w:rPr>
          <w:spacing w:val="-3"/>
        </w:rPr>
        <w:t xml:space="preserve"> </w:t>
      </w:r>
      <w:r>
        <w:t>Casa</w:t>
      </w:r>
      <w:r>
        <w:rPr>
          <w:spacing w:val="-1"/>
        </w:rPr>
        <w:t xml:space="preserve"> </w:t>
      </w:r>
      <w:r>
        <w:t>Minha</w:t>
      </w:r>
      <w:r>
        <w:rPr>
          <w:spacing w:val="-3"/>
        </w:rPr>
        <w:t xml:space="preserve"> </w:t>
      </w:r>
      <w:r>
        <w:t>Vida,</w:t>
      </w:r>
      <w:r>
        <w:rPr>
          <w:spacing w:val="-2"/>
        </w:rPr>
        <w:t xml:space="preserve"> </w:t>
      </w:r>
      <w:r>
        <w:t>com a</w:t>
      </w:r>
      <w:r>
        <w:rPr>
          <w:spacing w:val="-1"/>
        </w:rPr>
        <w:t xml:space="preserve"> </w:t>
      </w:r>
      <w:r>
        <w:t>garantia</w:t>
      </w:r>
      <w:r>
        <w:rPr>
          <w:spacing w:val="-3"/>
        </w:rPr>
        <w:t xml:space="preserve"> </w:t>
      </w:r>
      <w:r>
        <w:t>do próprio objeto da concessão (art. 79-A , Lei nº 11.977/2009).</w:t>
      </w:r>
    </w:p>
    <w:p w:rsidR="007259F2" w:rsidRDefault="00E655B4">
      <w:pPr>
        <w:pStyle w:val="Corpodetexto"/>
        <w:ind w:right="988"/>
      </w:pPr>
      <w:r>
        <w:t>Adotar uma avaliação contínua das políticas públicas, mesmo durante a fase de implementação, é outra medida essencial para monitorar e realizar ajustes imediatos conforme necessário. Essa abordagem permite responder a circunstâncias específicas que emergem na prática. Uma política pública de caráter abrangente não deve negligenciar condições particulares.</w:t>
      </w:r>
      <w:r>
        <w:rPr>
          <w:spacing w:val="-2"/>
        </w:rPr>
        <w:t xml:space="preserve"> </w:t>
      </w:r>
      <w:r>
        <w:t>A</w:t>
      </w:r>
      <w:r>
        <w:rPr>
          <w:spacing w:val="-13"/>
        </w:rPr>
        <w:t xml:space="preserve"> </w:t>
      </w:r>
      <w:r>
        <w:t>avaliação constante de uma política pública pode levar a três desfechos: (</w:t>
      </w:r>
      <w:r>
        <w:rPr>
          <w:i/>
        </w:rPr>
        <w:t>i</w:t>
      </w:r>
      <w:r>
        <w:t>) a continuidade da política pública em sua forma atual; (</w:t>
      </w:r>
      <w:r>
        <w:rPr>
          <w:i/>
        </w:rPr>
        <w:t>ii</w:t>
      </w:r>
      <w:r>
        <w:t>) a modificação de aspectos práticos da política, se necessário e factível; ou (</w:t>
      </w:r>
      <w:r>
        <w:rPr>
          <w:i/>
        </w:rPr>
        <w:t>iii</w:t>
      </w:r>
      <w:r>
        <w:t>) a extinção da</w:t>
      </w:r>
      <w:r>
        <w:rPr>
          <w:spacing w:val="-3"/>
        </w:rPr>
        <w:t xml:space="preserve"> </w:t>
      </w:r>
      <w:r>
        <w:t>política</w:t>
      </w:r>
      <w:r>
        <w:rPr>
          <w:spacing w:val="-3"/>
        </w:rPr>
        <w:t xml:space="preserve"> </w:t>
      </w:r>
      <w:r>
        <w:t>pública,</w:t>
      </w:r>
      <w:r>
        <w:rPr>
          <w:spacing w:val="-2"/>
        </w:rPr>
        <w:t xml:space="preserve"> </w:t>
      </w:r>
      <w:r>
        <w:t>caso o</w:t>
      </w:r>
      <w:r>
        <w:rPr>
          <w:spacing w:val="-2"/>
        </w:rPr>
        <w:t xml:space="preserve"> </w:t>
      </w:r>
      <w:r>
        <w:t>problema</w:t>
      </w:r>
      <w:r>
        <w:rPr>
          <w:spacing w:val="-1"/>
        </w:rPr>
        <w:t xml:space="preserve"> </w:t>
      </w:r>
      <w:r>
        <w:t>público</w:t>
      </w:r>
      <w:r>
        <w:rPr>
          <w:spacing w:val="-2"/>
        </w:rPr>
        <w:t xml:space="preserve"> </w:t>
      </w:r>
      <w:r>
        <w:t>tenha</w:t>
      </w:r>
      <w:r>
        <w:rPr>
          <w:spacing w:val="-2"/>
        </w:rPr>
        <w:t xml:space="preserve"> </w:t>
      </w:r>
      <w:r>
        <w:t>sido</w:t>
      </w:r>
      <w:r>
        <w:rPr>
          <w:spacing w:val="-2"/>
        </w:rPr>
        <w:t xml:space="preserve"> </w:t>
      </w:r>
      <w:r>
        <w:t>resolvido</w:t>
      </w:r>
      <w:r>
        <w:rPr>
          <w:spacing w:val="-2"/>
        </w:rPr>
        <w:t xml:space="preserve"> </w:t>
      </w:r>
      <w:r>
        <w:t>ou a</w:t>
      </w:r>
      <w:r>
        <w:rPr>
          <w:spacing w:val="-3"/>
        </w:rPr>
        <w:t xml:space="preserve"> </w:t>
      </w:r>
      <w:r>
        <w:t>implementação</w:t>
      </w:r>
      <w:r>
        <w:rPr>
          <w:spacing w:val="-2"/>
        </w:rPr>
        <w:t xml:space="preserve"> </w:t>
      </w:r>
      <w:r>
        <w:t>se revele ineficaz ou redundante (SECCHI, 2012).</w:t>
      </w:r>
    </w:p>
    <w:p w:rsidR="007259F2" w:rsidRDefault="00E655B4">
      <w:pPr>
        <w:pStyle w:val="Corpodetexto"/>
        <w:spacing w:before="1"/>
        <w:ind w:right="987"/>
      </w:pPr>
      <w:r>
        <w:t>A</w:t>
      </w:r>
      <w:r>
        <w:rPr>
          <w:spacing w:val="-9"/>
        </w:rPr>
        <w:t xml:space="preserve"> </w:t>
      </w:r>
      <w:r>
        <w:t>administração eficiente desse processo é crucial para garantir o uso ótimo dos espaços urbanos, contribuindo significativamente para a mitigação dos desafios no âmbito</w:t>
      </w:r>
      <w:r>
        <w:rPr>
          <w:spacing w:val="-9"/>
        </w:rPr>
        <w:t xml:space="preserve"> </w:t>
      </w:r>
      <w:r>
        <w:t>habitacional. No contexto das políticas públicas, a</w:t>
      </w:r>
      <w:r>
        <w:rPr>
          <w:spacing w:val="-1"/>
        </w:rPr>
        <w:t xml:space="preserve"> </w:t>
      </w:r>
      <w:r>
        <w:t>questão</w:t>
      </w:r>
      <w:r>
        <w:rPr>
          <w:spacing w:val="-1"/>
        </w:rPr>
        <w:t xml:space="preserve"> </w:t>
      </w:r>
      <w:r>
        <w:t>da habitação tem sido abordada de maneira progressiva pelo ordenamento jurídico e sua execução</w:t>
      </w:r>
      <w:r>
        <w:rPr>
          <w:spacing w:val="40"/>
        </w:rPr>
        <w:t xml:space="preserve"> </w:t>
      </w:r>
      <w:r>
        <w:t>possibilitada dentro de um prazo razoável. Com a política habitacional avançando além de seus estágios iniciais para a fase de implementação, uma avaliação positiva do processo requer a adoção de medidas corretivas imediatas. Utilizar a CUEM como parte integrante</w:t>
      </w:r>
      <w:r>
        <w:rPr>
          <w:spacing w:val="51"/>
        </w:rPr>
        <w:t xml:space="preserve"> </w:t>
      </w:r>
      <w:r>
        <w:t>da</w:t>
      </w:r>
      <w:r>
        <w:rPr>
          <w:spacing w:val="51"/>
        </w:rPr>
        <w:t xml:space="preserve"> </w:t>
      </w:r>
      <w:r>
        <w:t>política</w:t>
      </w:r>
      <w:r>
        <w:rPr>
          <w:spacing w:val="51"/>
        </w:rPr>
        <w:t xml:space="preserve"> </w:t>
      </w:r>
      <w:r>
        <w:t>pública</w:t>
      </w:r>
      <w:r>
        <w:rPr>
          <w:spacing w:val="51"/>
        </w:rPr>
        <w:t xml:space="preserve"> </w:t>
      </w:r>
      <w:r>
        <w:t>municipal</w:t>
      </w:r>
      <w:r>
        <w:rPr>
          <w:spacing w:val="52"/>
        </w:rPr>
        <w:t xml:space="preserve"> </w:t>
      </w:r>
      <w:r>
        <w:t>representa</w:t>
      </w:r>
      <w:r>
        <w:rPr>
          <w:spacing w:val="52"/>
        </w:rPr>
        <w:t xml:space="preserve"> </w:t>
      </w:r>
      <w:r>
        <w:t>uma</w:t>
      </w:r>
      <w:r>
        <w:rPr>
          <w:spacing w:val="54"/>
        </w:rPr>
        <w:t xml:space="preserve"> </w:t>
      </w:r>
      <w:r>
        <w:t>abordagem</w:t>
      </w:r>
      <w:r>
        <w:rPr>
          <w:spacing w:val="53"/>
        </w:rPr>
        <w:t xml:space="preserve"> </w:t>
      </w:r>
      <w:r>
        <w:t>alinhada</w:t>
      </w:r>
      <w:r>
        <w:rPr>
          <w:spacing w:val="52"/>
        </w:rPr>
        <w:t xml:space="preserve"> </w:t>
      </w:r>
      <w:r>
        <w:t>com</w:t>
      </w:r>
      <w:r>
        <w:rPr>
          <w:spacing w:val="53"/>
        </w:rPr>
        <w:t xml:space="preserve"> </w:t>
      </w:r>
      <w:r>
        <w:rPr>
          <w:spacing w:val="-10"/>
        </w:rPr>
        <w:t>a</w:t>
      </w:r>
    </w:p>
    <w:p w:rsidR="007259F2" w:rsidRDefault="00DE6B1C">
      <w:pPr>
        <w:pStyle w:val="Corpodetexto"/>
        <w:spacing w:before="119"/>
        <w:ind w:left="0" w:firstLine="0"/>
        <w:jc w:val="left"/>
        <w:rPr>
          <w:sz w:val="20"/>
        </w:rPr>
      </w:pPr>
      <w:r w:rsidRPr="00DE6B1C">
        <w:rPr>
          <w:sz w:val="20"/>
        </w:rPr>
        <w:pict>
          <v:rect id="docshape70" o:spid="_x0000_s1156" style="position:absolute;margin-left:85.1pt;margin-top:18.65pt;width:2in;height:.7pt;z-index:-15700992;mso-wrap-distance-left:0;mso-wrap-distance-right:0;mso-position-horizontal-relative:page" fillcolor="black" stroked="f">
            <w10:wrap type="topAndBottom" anchorx="page"/>
          </v:rect>
        </w:pict>
      </w:r>
    </w:p>
    <w:p w:rsidR="007259F2" w:rsidRDefault="00E655B4">
      <w:pPr>
        <w:spacing w:before="94"/>
        <w:ind w:left="710" w:right="993"/>
        <w:jc w:val="both"/>
        <w:rPr>
          <w:sz w:val="20"/>
        </w:rPr>
      </w:pPr>
      <w:r>
        <w:rPr>
          <w:sz w:val="20"/>
          <w:vertAlign w:val="superscript"/>
        </w:rPr>
        <w:t>43</w:t>
      </w:r>
      <w:r>
        <w:rPr>
          <w:sz w:val="20"/>
        </w:rPr>
        <w:t xml:space="preserve"> Segundo o Censo Demográfico de 2022 produzido pelo IBGE, “imóveis particulares desocupados na cidade de São Paulo representam 12 vezes o total de pessoas em situação de rua na capital” (STABILE, </w:t>
      </w:r>
      <w:r>
        <w:rPr>
          <w:spacing w:val="-2"/>
          <w:sz w:val="20"/>
        </w:rPr>
        <w:t>2023).</w:t>
      </w:r>
    </w:p>
    <w:p w:rsidR="007259F2" w:rsidRDefault="00E655B4">
      <w:pPr>
        <w:spacing w:before="1"/>
        <w:ind w:left="710" w:right="997"/>
        <w:jc w:val="both"/>
        <w:rPr>
          <w:sz w:val="20"/>
        </w:rPr>
      </w:pPr>
      <w:r>
        <w:rPr>
          <w:sz w:val="20"/>
          <w:vertAlign w:val="superscript"/>
        </w:rPr>
        <w:t>44</w:t>
      </w:r>
      <w:r>
        <w:rPr>
          <w:sz w:val="20"/>
        </w:rPr>
        <w:t xml:space="preserve"> Ao não conferir função social ao imóvel desapropriado em cinco anos, o prefeito incorre em improbidade administrativa (art. 52, II, Estatuto da Cidade), sem prejuízo da sanção aos demais agentes </w:t>
      </w:r>
      <w:r>
        <w:rPr>
          <w:spacing w:val="-2"/>
          <w:sz w:val="20"/>
        </w:rPr>
        <w:t>responsáveis.</w:t>
      </w:r>
    </w:p>
    <w:p w:rsidR="007259F2" w:rsidRDefault="007259F2">
      <w:pPr>
        <w:jc w:val="both"/>
        <w:rPr>
          <w:sz w:val="20"/>
        </w:rPr>
        <w:sectPr w:rsidR="007259F2">
          <w:pgSz w:w="11910" w:h="16840"/>
          <w:pgMar w:top="1320" w:right="708" w:bottom="1160" w:left="992" w:header="0" w:footer="962" w:gutter="0"/>
          <w:cols w:space="720"/>
        </w:sectPr>
      </w:pPr>
    </w:p>
    <w:p w:rsidR="007259F2" w:rsidRDefault="00E655B4">
      <w:pPr>
        <w:pStyle w:val="Corpodetexto"/>
        <w:spacing w:before="69"/>
        <w:ind w:right="991" w:firstLine="0"/>
      </w:pPr>
      <w:r>
        <w:lastRenderedPageBreak/>
        <w:t>legalidade e as melhores práticas de gestão pública, caracterizando-se por ser eficaz, efetiva e, consequentemente, eficiente.</w:t>
      </w:r>
    </w:p>
    <w:p w:rsidR="007259F2" w:rsidRDefault="00E655B4">
      <w:pPr>
        <w:pStyle w:val="Heading2"/>
        <w:numPr>
          <w:ilvl w:val="0"/>
          <w:numId w:val="38"/>
        </w:numPr>
        <w:tabs>
          <w:tab w:val="left" w:pos="899"/>
        </w:tabs>
        <w:ind w:hanging="187"/>
        <w:jc w:val="both"/>
      </w:pPr>
      <w:r>
        <w:t>Considerações</w:t>
      </w:r>
      <w:r>
        <w:rPr>
          <w:spacing w:val="-3"/>
        </w:rPr>
        <w:t xml:space="preserve"> </w:t>
      </w:r>
      <w:r>
        <w:rPr>
          <w:spacing w:val="-2"/>
        </w:rPr>
        <w:t>Finais</w:t>
      </w:r>
    </w:p>
    <w:p w:rsidR="007259F2" w:rsidRDefault="00E655B4">
      <w:pPr>
        <w:pStyle w:val="Corpodetexto"/>
        <w:spacing w:before="115"/>
        <w:ind w:right="987"/>
      </w:pPr>
      <w:r>
        <w:t>Em linhas gerais, a concessão de</w:t>
      </w:r>
      <w:r>
        <w:rPr>
          <w:spacing w:val="-1"/>
        </w:rPr>
        <w:t xml:space="preserve"> </w:t>
      </w:r>
      <w:r>
        <w:t>uso especial para fins de</w:t>
      </w:r>
      <w:r>
        <w:rPr>
          <w:spacing w:val="-1"/>
        </w:rPr>
        <w:t xml:space="preserve"> </w:t>
      </w:r>
      <w:r>
        <w:t>moradia não é</w:t>
      </w:r>
      <w:r>
        <w:rPr>
          <w:spacing w:val="-1"/>
        </w:rPr>
        <w:t xml:space="preserve"> </w:t>
      </w:r>
      <w:r>
        <w:t xml:space="preserve">política pública </w:t>
      </w:r>
      <w:r>
        <w:rPr>
          <w:i/>
        </w:rPr>
        <w:t>per se</w:t>
      </w:r>
      <w:r>
        <w:t>, mas instrumento da política urbana (art. 4º, V, ‘h’, Estatuto da Cidade) que, por sua vez, tem como diretriz a garantia do direito à moradia e a regularização fundiária</w:t>
      </w:r>
      <w:r>
        <w:rPr>
          <w:spacing w:val="-6"/>
        </w:rPr>
        <w:t xml:space="preserve"> </w:t>
      </w:r>
      <w:r>
        <w:t>urbana</w:t>
      </w:r>
      <w:r>
        <w:rPr>
          <w:spacing w:val="-2"/>
        </w:rPr>
        <w:t xml:space="preserve"> </w:t>
      </w:r>
      <w:r>
        <w:t>(art.</w:t>
      </w:r>
      <w:r>
        <w:rPr>
          <w:spacing w:val="-3"/>
        </w:rPr>
        <w:t xml:space="preserve"> </w:t>
      </w:r>
      <w:r>
        <w:t>2º, I</w:t>
      </w:r>
      <w:r>
        <w:rPr>
          <w:spacing w:val="-6"/>
        </w:rPr>
        <w:t xml:space="preserve"> </w:t>
      </w:r>
      <w:r>
        <w:t>e XIV). É alternativa</w:t>
      </w:r>
      <w:r>
        <w:rPr>
          <w:spacing w:val="-1"/>
        </w:rPr>
        <w:t xml:space="preserve"> </w:t>
      </w:r>
      <w:r>
        <w:t>do</w:t>
      </w:r>
      <w:r>
        <w:rPr>
          <w:spacing w:val="-1"/>
        </w:rPr>
        <w:t xml:space="preserve"> </w:t>
      </w:r>
      <w:r>
        <w:t>constituinte</w:t>
      </w:r>
      <w:r>
        <w:rPr>
          <w:spacing w:val="-1"/>
        </w:rPr>
        <w:t xml:space="preserve"> </w:t>
      </w:r>
      <w:r>
        <w:t>à</w:t>
      </w:r>
      <w:r>
        <w:rPr>
          <w:spacing w:val="-3"/>
        </w:rPr>
        <w:t xml:space="preserve"> </w:t>
      </w:r>
      <w:r>
        <w:t>intransponível vedação da usucapião de imóveis públicos e está à incumbência principal dos municípios brasileiros,</w:t>
      </w:r>
      <w:r>
        <w:rPr>
          <w:spacing w:val="-8"/>
        </w:rPr>
        <w:t xml:space="preserve"> </w:t>
      </w:r>
      <w:r>
        <w:t>que</w:t>
      </w:r>
      <w:r>
        <w:rPr>
          <w:spacing w:val="-12"/>
        </w:rPr>
        <w:t xml:space="preserve"> </w:t>
      </w:r>
      <w:r>
        <w:t>devem</w:t>
      </w:r>
      <w:r>
        <w:rPr>
          <w:spacing w:val="-7"/>
        </w:rPr>
        <w:t xml:space="preserve"> </w:t>
      </w:r>
      <w:r>
        <w:t>empreender</w:t>
      </w:r>
      <w:r>
        <w:rPr>
          <w:spacing w:val="-6"/>
        </w:rPr>
        <w:t xml:space="preserve"> </w:t>
      </w:r>
      <w:r>
        <w:t>esforços</w:t>
      </w:r>
      <w:r>
        <w:rPr>
          <w:spacing w:val="-8"/>
        </w:rPr>
        <w:t xml:space="preserve"> </w:t>
      </w:r>
      <w:r>
        <w:t xml:space="preserve">para concretizar os fundamentos e objetivos </w:t>
      </w:r>
      <w:r>
        <w:rPr>
          <w:spacing w:val="-2"/>
        </w:rPr>
        <w:t>constitucionais.</w:t>
      </w:r>
    </w:p>
    <w:p w:rsidR="007259F2" w:rsidRDefault="00E655B4">
      <w:pPr>
        <w:pStyle w:val="Corpodetexto"/>
        <w:ind w:right="986"/>
      </w:pPr>
      <w:r>
        <w:t>E em termos cíclicos, essa política encontra-se já em fase de implementação: qualquer debate a respeito da (in)constitucionalidade da MP nº 2.220/2001,</w:t>
      </w:r>
      <w:r>
        <w:rPr>
          <w:vertAlign w:val="superscript"/>
        </w:rPr>
        <w:t>45</w:t>
      </w:r>
      <w:r>
        <w:t xml:space="preserve"> sobre a obrigação</w:t>
      </w:r>
      <w:r>
        <w:rPr>
          <w:spacing w:val="-6"/>
        </w:rPr>
        <w:t xml:space="preserve"> </w:t>
      </w:r>
      <w:r>
        <w:t>do</w:t>
      </w:r>
      <w:r>
        <w:rPr>
          <w:spacing w:val="-3"/>
        </w:rPr>
        <w:t xml:space="preserve"> </w:t>
      </w:r>
      <w:r>
        <w:t>Estado em conferir moradia</w:t>
      </w:r>
      <w:r>
        <w:rPr>
          <w:vertAlign w:val="superscript"/>
        </w:rPr>
        <w:t>46</w:t>
      </w:r>
      <w:r>
        <w:t xml:space="preserve"> e até mesmo sobre a incidência da teoria da reserva</w:t>
      </w:r>
      <w:r>
        <w:rPr>
          <w:spacing w:val="-4"/>
        </w:rPr>
        <w:t xml:space="preserve"> </w:t>
      </w:r>
      <w:r>
        <w:t>do</w:t>
      </w:r>
      <w:r>
        <w:rPr>
          <w:spacing w:val="-3"/>
        </w:rPr>
        <w:t xml:space="preserve"> </w:t>
      </w:r>
      <w:r>
        <w:t>possível</w:t>
      </w:r>
      <w:r>
        <w:rPr>
          <w:vertAlign w:val="superscript"/>
        </w:rPr>
        <w:t>47</w:t>
      </w:r>
      <w:r>
        <w:rPr>
          <w:spacing w:val="-2"/>
        </w:rPr>
        <w:t xml:space="preserve"> </w:t>
      </w:r>
      <w:r>
        <w:t>deve ser</w:t>
      </w:r>
      <w:r>
        <w:rPr>
          <w:spacing w:val="-10"/>
        </w:rPr>
        <w:t xml:space="preserve"> </w:t>
      </w:r>
      <w:r>
        <w:t>abandonado.</w:t>
      </w:r>
      <w:r>
        <w:rPr>
          <w:spacing w:val="-8"/>
        </w:rPr>
        <w:t xml:space="preserve"> </w:t>
      </w:r>
      <w:r>
        <w:t>As</w:t>
      </w:r>
      <w:r>
        <w:rPr>
          <w:spacing w:val="-8"/>
        </w:rPr>
        <w:t xml:space="preserve"> </w:t>
      </w:r>
      <w:r>
        <w:t>regras</w:t>
      </w:r>
      <w:r>
        <w:rPr>
          <w:spacing w:val="-7"/>
        </w:rPr>
        <w:t xml:space="preserve"> </w:t>
      </w:r>
      <w:r>
        <w:t>internas</w:t>
      </w:r>
      <w:r>
        <w:rPr>
          <w:spacing w:val="-8"/>
        </w:rPr>
        <w:t xml:space="preserve"> </w:t>
      </w:r>
      <w:r>
        <w:t>e</w:t>
      </w:r>
      <w:r>
        <w:rPr>
          <w:spacing w:val="-12"/>
        </w:rPr>
        <w:t xml:space="preserve"> </w:t>
      </w:r>
      <w:r>
        <w:t>externas</w:t>
      </w:r>
      <w:r>
        <w:rPr>
          <w:spacing w:val="-8"/>
        </w:rPr>
        <w:t xml:space="preserve"> </w:t>
      </w:r>
      <w:r>
        <w:t>são</w:t>
      </w:r>
      <w:r>
        <w:rPr>
          <w:spacing w:val="-5"/>
        </w:rPr>
        <w:t xml:space="preserve"> </w:t>
      </w:r>
      <w:r>
        <w:t>vinculantes. É</w:t>
      </w:r>
      <w:r>
        <w:rPr>
          <w:spacing w:val="-14"/>
        </w:rPr>
        <w:t xml:space="preserve"> </w:t>
      </w:r>
      <w:r>
        <w:t>fato</w:t>
      </w:r>
      <w:r>
        <w:rPr>
          <w:spacing w:val="-7"/>
        </w:rPr>
        <w:t xml:space="preserve"> </w:t>
      </w:r>
      <w:r>
        <w:t>que</w:t>
      </w:r>
      <w:r>
        <w:rPr>
          <w:spacing w:val="-8"/>
        </w:rPr>
        <w:t xml:space="preserve"> </w:t>
      </w:r>
      <w:r>
        <w:t>a</w:t>
      </w:r>
      <w:r>
        <w:rPr>
          <w:spacing w:val="-11"/>
        </w:rPr>
        <w:t xml:space="preserve"> </w:t>
      </w:r>
      <w:r>
        <w:t>realização</w:t>
      </w:r>
      <w:r>
        <w:rPr>
          <w:spacing w:val="-6"/>
        </w:rPr>
        <w:t xml:space="preserve"> </w:t>
      </w:r>
      <w:r>
        <w:t>ótima</w:t>
      </w:r>
      <w:r>
        <w:rPr>
          <w:spacing w:val="-8"/>
        </w:rPr>
        <w:t xml:space="preserve"> </w:t>
      </w:r>
      <w:r>
        <w:t>do</w:t>
      </w:r>
      <w:r>
        <w:rPr>
          <w:spacing w:val="-2"/>
        </w:rPr>
        <w:t xml:space="preserve"> </w:t>
      </w:r>
      <w:r>
        <w:t>direito</w:t>
      </w:r>
      <w:r>
        <w:rPr>
          <w:spacing w:val="-15"/>
        </w:rPr>
        <w:t xml:space="preserve"> </w:t>
      </w:r>
      <w:r>
        <w:t>à</w:t>
      </w:r>
      <w:r>
        <w:rPr>
          <w:spacing w:val="-15"/>
        </w:rPr>
        <w:t xml:space="preserve"> </w:t>
      </w:r>
      <w:r>
        <w:t>moradia</w:t>
      </w:r>
      <w:r>
        <w:rPr>
          <w:spacing w:val="-15"/>
        </w:rPr>
        <w:t xml:space="preserve"> </w:t>
      </w:r>
      <w:r>
        <w:t>no</w:t>
      </w:r>
      <w:r>
        <w:rPr>
          <w:spacing w:val="-15"/>
        </w:rPr>
        <w:t xml:space="preserve"> </w:t>
      </w:r>
      <w:r>
        <w:t>estágio</w:t>
      </w:r>
      <w:r>
        <w:rPr>
          <w:spacing w:val="-15"/>
        </w:rPr>
        <w:t xml:space="preserve"> </w:t>
      </w:r>
      <w:r>
        <w:t>de</w:t>
      </w:r>
      <w:r>
        <w:rPr>
          <w:spacing w:val="-15"/>
        </w:rPr>
        <w:t xml:space="preserve"> </w:t>
      </w:r>
      <w:r>
        <w:t>desenvolvimento</w:t>
      </w:r>
      <w:r>
        <w:rPr>
          <w:spacing w:val="-13"/>
        </w:rPr>
        <w:t xml:space="preserve"> </w:t>
      </w:r>
      <w:r>
        <w:t>atual</w:t>
      </w:r>
      <w:r>
        <w:rPr>
          <w:spacing w:val="-15"/>
        </w:rPr>
        <w:t xml:space="preserve"> </w:t>
      </w:r>
      <w:r>
        <w:t>do Estado brasileiro ainda não é possível, mas cabe aos entes federados assegurarem essa prestação positiva da melhor forma possível – cuja omissão é, de fato, inaceitável e será propriamente sanada pelos atores competentes.</w:t>
      </w:r>
    </w:p>
    <w:p w:rsidR="007259F2" w:rsidRDefault="00E655B4">
      <w:pPr>
        <w:pStyle w:val="Corpodetexto"/>
        <w:spacing w:before="1"/>
        <w:ind w:right="988"/>
      </w:pPr>
      <w:r>
        <w:t>Sozinha,</w:t>
      </w:r>
      <w:r>
        <w:rPr>
          <w:spacing w:val="-3"/>
        </w:rPr>
        <w:t xml:space="preserve"> </w:t>
      </w:r>
      <w:r>
        <w:t>a</w:t>
      </w:r>
      <w:r>
        <w:rPr>
          <w:spacing w:val="-4"/>
        </w:rPr>
        <w:t xml:space="preserve"> </w:t>
      </w:r>
      <w:r>
        <w:t>CUEM</w:t>
      </w:r>
      <w:r>
        <w:rPr>
          <w:spacing w:val="-1"/>
        </w:rPr>
        <w:t xml:space="preserve"> </w:t>
      </w:r>
      <w:r>
        <w:t>não</w:t>
      </w:r>
      <w:r>
        <w:rPr>
          <w:spacing w:val="-1"/>
        </w:rPr>
        <w:t xml:space="preserve"> </w:t>
      </w:r>
      <w:r>
        <w:t>é</w:t>
      </w:r>
      <w:r>
        <w:rPr>
          <w:spacing w:val="-4"/>
        </w:rPr>
        <w:t xml:space="preserve"> </w:t>
      </w:r>
      <w:r>
        <w:t>solução</w:t>
      </w:r>
      <w:r>
        <w:rPr>
          <w:spacing w:val="-1"/>
        </w:rPr>
        <w:t xml:space="preserve"> </w:t>
      </w:r>
      <w:r>
        <w:t>para</w:t>
      </w:r>
      <w:r>
        <w:rPr>
          <w:spacing w:val="-5"/>
        </w:rPr>
        <w:t xml:space="preserve"> </w:t>
      </w:r>
      <w:r>
        <w:t>o</w:t>
      </w:r>
      <w:r>
        <w:rPr>
          <w:spacing w:val="-1"/>
        </w:rPr>
        <w:t xml:space="preserve"> </w:t>
      </w:r>
      <w:r>
        <w:t>problema. Como alternativa</w:t>
      </w:r>
      <w:r>
        <w:rPr>
          <w:spacing w:val="-3"/>
        </w:rPr>
        <w:t xml:space="preserve"> </w:t>
      </w:r>
      <w:r>
        <w:t>para</w:t>
      </w:r>
      <w:r>
        <w:rPr>
          <w:spacing w:val="-5"/>
        </w:rPr>
        <w:t xml:space="preserve"> </w:t>
      </w:r>
      <w:r>
        <w:t>solução de um problema estrutural do Estado, funciona muito bem: a soberania é do povo, os bens do Estado àquele pertence e, na utilização inadequada ou pouco otimizada desses recursos, devem eles</w:t>
      </w:r>
      <w:r>
        <w:rPr>
          <w:spacing w:val="40"/>
        </w:rPr>
        <w:t xml:space="preserve"> </w:t>
      </w:r>
      <w:r>
        <w:t>servir à consecução das garantias dadas pelo próprio Estado – e a moradia é apenas uma delas.</w:t>
      </w:r>
    </w:p>
    <w:p w:rsidR="007259F2" w:rsidRDefault="00E655B4">
      <w:pPr>
        <w:pStyle w:val="Corpodetexto"/>
        <w:spacing w:before="1"/>
        <w:ind w:right="987"/>
      </w:pPr>
      <w:r>
        <w:t>Os poderes estão concordes quanto à execução dessa política: a atuação do</w:t>
      </w:r>
      <w:r>
        <w:rPr>
          <w:spacing w:val="80"/>
        </w:rPr>
        <w:t xml:space="preserve"> </w:t>
      </w:r>
      <w:r>
        <w:t>Poder Judiciário não é uma intervenção indevida ou ativismo judicial, mas sim um reflexo da ineficiência do governo frente à clareza legislativa do parlamento. A política pública foi formalizada após múltiplas demonstrações de vontade política, e qualquer resistência a</w:t>
      </w:r>
      <w:r>
        <w:rPr>
          <w:spacing w:val="-2"/>
        </w:rPr>
        <w:t xml:space="preserve"> </w:t>
      </w:r>
      <w:r>
        <w:t>ela tem</w:t>
      </w:r>
      <w:r>
        <w:rPr>
          <w:spacing w:val="-1"/>
        </w:rPr>
        <w:t xml:space="preserve"> </w:t>
      </w:r>
      <w:r>
        <w:t>resultado no</w:t>
      </w:r>
      <w:r>
        <w:rPr>
          <w:spacing w:val="-1"/>
        </w:rPr>
        <w:t xml:space="preserve"> </w:t>
      </w:r>
      <w:r>
        <w:t>mau aproveitamento</w:t>
      </w:r>
      <w:r>
        <w:rPr>
          <w:spacing w:val="-4"/>
        </w:rPr>
        <w:t xml:space="preserve"> </w:t>
      </w:r>
      <w:r>
        <w:t>de</w:t>
      </w:r>
      <w:r>
        <w:rPr>
          <w:spacing w:val="-9"/>
        </w:rPr>
        <w:t xml:space="preserve"> </w:t>
      </w:r>
      <w:r>
        <w:t>recursos.</w:t>
      </w:r>
      <w:r>
        <w:rPr>
          <w:spacing w:val="-5"/>
        </w:rPr>
        <w:t xml:space="preserve"> </w:t>
      </w:r>
      <w:r>
        <w:t>Recursos</w:t>
      </w:r>
      <w:r>
        <w:rPr>
          <w:spacing w:val="-7"/>
        </w:rPr>
        <w:t xml:space="preserve"> </w:t>
      </w:r>
      <w:r>
        <w:t>estes,</w:t>
      </w:r>
      <w:r>
        <w:rPr>
          <w:spacing w:val="-6"/>
        </w:rPr>
        <w:t xml:space="preserve"> </w:t>
      </w:r>
      <w:r>
        <w:t xml:space="preserve">aliás, que poderiam ser alocados para a garantia de moradias e cujo esperdício deve ser </w:t>
      </w:r>
      <w:r>
        <w:rPr>
          <w:spacing w:val="-2"/>
        </w:rPr>
        <w:t>fiscalizado.</w:t>
      </w:r>
    </w:p>
    <w:p w:rsidR="007259F2" w:rsidRDefault="00E655B4">
      <w:pPr>
        <w:pStyle w:val="Corpodetexto"/>
        <w:ind w:right="988"/>
      </w:pPr>
      <w:r>
        <w:t>Implementada, a política pública entra na fase derradeira, onde várias questões emergem como objeto de avaliação: quantos municípios poderão celebrar resultados positivos? Quantos alcançaram eficácia na execução? Os espaços urbanos tornaram-se mais bem organizados e mais habitáveis? Até que ponto os objetivos foram concretizados? Será necessário realocar mais recursos? Estas e outras indagações serão respondidas</w:t>
      </w:r>
      <w:r>
        <w:rPr>
          <w:spacing w:val="-1"/>
        </w:rPr>
        <w:t xml:space="preserve"> </w:t>
      </w:r>
      <w:r>
        <w:t>ao</w:t>
      </w:r>
      <w:r>
        <w:rPr>
          <w:spacing w:val="-1"/>
        </w:rPr>
        <w:t xml:space="preserve"> </w:t>
      </w:r>
      <w:r>
        <w:t>longo</w:t>
      </w:r>
      <w:r>
        <w:rPr>
          <w:spacing w:val="-1"/>
        </w:rPr>
        <w:t xml:space="preserve"> </w:t>
      </w:r>
      <w:r>
        <w:t>dos anos.</w:t>
      </w:r>
      <w:r>
        <w:rPr>
          <w:spacing w:val="-1"/>
        </w:rPr>
        <w:t xml:space="preserve"> </w:t>
      </w:r>
      <w:r>
        <w:t>Contudo,</w:t>
      </w:r>
      <w:r>
        <w:rPr>
          <w:spacing w:val="-1"/>
        </w:rPr>
        <w:t xml:space="preserve"> </w:t>
      </w:r>
      <w:r>
        <w:t>não</w:t>
      </w:r>
      <w:r>
        <w:rPr>
          <w:spacing w:val="-1"/>
        </w:rPr>
        <w:t xml:space="preserve"> </w:t>
      </w:r>
      <w:r>
        <w:t>é</w:t>
      </w:r>
      <w:r>
        <w:rPr>
          <w:spacing w:val="-2"/>
        </w:rPr>
        <w:t xml:space="preserve"> </w:t>
      </w:r>
      <w:r>
        <w:t>preciso</w:t>
      </w:r>
      <w:r>
        <w:rPr>
          <w:spacing w:val="-4"/>
        </w:rPr>
        <w:t xml:space="preserve"> </w:t>
      </w:r>
      <w:r>
        <w:t>aguardar</w:t>
      </w:r>
      <w:r>
        <w:rPr>
          <w:spacing w:val="-11"/>
        </w:rPr>
        <w:t xml:space="preserve"> </w:t>
      </w:r>
      <w:r>
        <w:t>o</w:t>
      </w:r>
      <w:r>
        <w:rPr>
          <w:spacing w:val="-6"/>
        </w:rPr>
        <w:t xml:space="preserve"> </w:t>
      </w:r>
      <w:r>
        <w:t>final</w:t>
      </w:r>
      <w:r>
        <w:rPr>
          <w:spacing w:val="-8"/>
        </w:rPr>
        <w:t xml:space="preserve"> </w:t>
      </w:r>
      <w:r>
        <w:t>do</w:t>
      </w:r>
      <w:r>
        <w:rPr>
          <w:spacing w:val="-5"/>
        </w:rPr>
        <w:t xml:space="preserve"> </w:t>
      </w:r>
      <w:r>
        <w:t>processo</w:t>
      </w:r>
      <w:r>
        <w:rPr>
          <w:spacing w:val="-8"/>
        </w:rPr>
        <w:t xml:space="preserve"> </w:t>
      </w:r>
      <w:r>
        <w:t>para avaliar e, se necessário, corrigir o rumo da política. Uma avaliação contínua permite ajustes imediatos para garantir que o resultado seja positivo.</w:t>
      </w:r>
    </w:p>
    <w:p w:rsidR="007259F2" w:rsidRDefault="00E655B4">
      <w:pPr>
        <w:pStyle w:val="Corpodetexto"/>
        <w:ind w:right="987"/>
      </w:pPr>
      <w:r>
        <w:t>Uma política pública, especialmente aquela de base assistencial, sempre tem um fim (Secchi, 2012, p. 53). Basicamente pode-se falar de três causas para tanto: (</w:t>
      </w:r>
      <w:r>
        <w:rPr>
          <w:i/>
        </w:rPr>
        <w:t>i</w:t>
      </w:r>
      <w:r>
        <w:t>) quando o problema</w:t>
      </w:r>
      <w:r>
        <w:rPr>
          <w:spacing w:val="-1"/>
        </w:rPr>
        <w:t xml:space="preserve"> </w:t>
      </w:r>
      <w:r>
        <w:t>é</w:t>
      </w:r>
      <w:r>
        <w:rPr>
          <w:spacing w:val="-2"/>
        </w:rPr>
        <w:t xml:space="preserve"> </w:t>
      </w:r>
      <w:r>
        <w:t>percebido como resolvido; (</w:t>
      </w:r>
      <w:r>
        <w:rPr>
          <w:i/>
        </w:rPr>
        <w:t>ii</w:t>
      </w:r>
      <w:r>
        <w:t>)</w:t>
      </w:r>
      <w:r>
        <w:rPr>
          <w:spacing w:val="-3"/>
        </w:rPr>
        <w:t xml:space="preserve"> </w:t>
      </w:r>
      <w:r>
        <w:t>quando a</w:t>
      </w:r>
      <w:r>
        <w:rPr>
          <w:spacing w:val="-2"/>
        </w:rPr>
        <w:t xml:space="preserve"> </w:t>
      </w:r>
      <w:r>
        <w:t>política</w:t>
      </w:r>
      <w:r>
        <w:rPr>
          <w:spacing w:val="-1"/>
        </w:rPr>
        <w:t xml:space="preserve"> </w:t>
      </w:r>
      <w:r>
        <w:t>é</w:t>
      </w:r>
      <w:r>
        <w:rPr>
          <w:spacing w:val="-3"/>
        </w:rPr>
        <w:t xml:space="preserve"> </w:t>
      </w:r>
      <w:r>
        <w:t>percebida como ineficaz para resolver o problema; e (</w:t>
      </w:r>
      <w:r>
        <w:rPr>
          <w:i/>
        </w:rPr>
        <w:t>iii</w:t>
      </w:r>
      <w:r>
        <w:t>) o problema, mesmo não tendo sido resolvido, perde sua importância e sai da agenda política e do programa de governo. A</w:t>
      </w:r>
      <w:r>
        <w:rPr>
          <w:spacing w:val="-1"/>
        </w:rPr>
        <w:t xml:space="preserve"> </w:t>
      </w:r>
      <w:r>
        <w:t>maior das expectativas</w:t>
      </w:r>
      <w:r>
        <w:rPr>
          <w:spacing w:val="30"/>
        </w:rPr>
        <w:t xml:space="preserve"> </w:t>
      </w:r>
      <w:r>
        <w:t>é</w:t>
      </w:r>
      <w:r>
        <w:rPr>
          <w:spacing w:val="31"/>
        </w:rPr>
        <w:t xml:space="preserve"> </w:t>
      </w:r>
      <w:r>
        <w:t>a</w:t>
      </w:r>
      <w:r>
        <w:rPr>
          <w:spacing w:val="32"/>
        </w:rPr>
        <w:t xml:space="preserve"> </w:t>
      </w:r>
      <w:r>
        <w:t>solução</w:t>
      </w:r>
      <w:r>
        <w:rPr>
          <w:spacing w:val="34"/>
        </w:rPr>
        <w:t xml:space="preserve"> </w:t>
      </w:r>
      <w:r>
        <w:t>do</w:t>
      </w:r>
      <w:r>
        <w:rPr>
          <w:spacing w:val="33"/>
        </w:rPr>
        <w:t xml:space="preserve"> </w:t>
      </w:r>
      <w:r>
        <w:t>problema</w:t>
      </w:r>
      <w:r>
        <w:rPr>
          <w:spacing w:val="19"/>
        </w:rPr>
        <w:t xml:space="preserve"> </w:t>
      </w:r>
      <w:r>
        <w:t>habitacional</w:t>
      </w:r>
      <w:r>
        <w:rPr>
          <w:spacing w:val="19"/>
        </w:rPr>
        <w:t xml:space="preserve"> </w:t>
      </w:r>
      <w:r>
        <w:t>brasileiro.</w:t>
      </w:r>
      <w:r>
        <w:rPr>
          <w:spacing w:val="19"/>
        </w:rPr>
        <w:t xml:space="preserve"> </w:t>
      </w:r>
      <w:r>
        <w:t>É</w:t>
      </w:r>
      <w:r>
        <w:rPr>
          <w:spacing w:val="18"/>
        </w:rPr>
        <w:t xml:space="preserve"> </w:t>
      </w:r>
      <w:r>
        <w:t>algo</w:t>
      </w:r>
      <w:r>
        <w:rPr>
          <w:spacing w:val="18"/>
        </w:rPr>
        <w:t xml:space="preserve"> </w:t>
      </w:r>
      <w:r>
        <w:t>que</w:t>
      </w:r>
      <w:r>
        <w:rPr>
          <w:spacing w:val="19"/>
        </w:rPr>
        <w:t xml:space="preserve"> </w:t>
      </w:r>
      <w:r>
        <w:rPr>
          <w:spacing w:val="-2"/>
        </w:rPr>
        <w:t>efetivamente</w:t>
      </w:r>
    </w:p>
    <w:p w:rsidR="007259F2" w:rsidRDefault="00DE6B1C">
      <w:pPr>
        <w:pStyle w:val="Corpodetexto"/>
        <w:spacing w:before="26"/>
        <w:ind w:left="0" w:firstLine="0"/>
        <w:jc w:val="left"/>
        <w:rPr>
          <w:sz w:val="20"/>
        </w:rPr>
      </w:pPr>
      <w:r w:rsidRPr="00DE6B1C">
        <w:rPr>
          <w:sz w:val="20"/>
        </w:rPr>
        <w:pict>
          <v:rect id="docshape71" o:spid="_x0000_s1155" style="position:absolute;margin-left:85.1pt;margin-top:14pt;width:2in;height:.7pt;z-index:-15700480;mso-wrap-distance-left:0;mso-wrap-distance-right:0;mso-position-horizontal-relative:page" fillcolor="black" stroked="f">
            <w10:wrap type="topAndBottom" anchorx="page"/>
          </v:rect>
        </w:pict>
      </w:r>
    </w:p>
    <w:p w:rsidR="007259F2" w:rsidRDefault="00E655B4">
      <w:pPr>
        <w:spacing w:before="96"/>
        <w:ind w:left="710" w:right="990"/>
        <w:rPr>
          <w:sz w:val="20"/>
        </w:rPr>
      </w:pPr>
      <w:r>
        <w:rPr>
          <w:sz w:val="20"/>
          <w:vertAlign w:val="superscript"/>
        </w:rPr>
        <w:t>45</w:t>
      </w:r>
      <w:r>
        <w:rPr>
          <w:spacing w:val="30"/>
          <w:sz w:val="20"/>
        </w:rPr>
        <w:t xml:space="preserve"> </w:t>
      </w:r>
      <w:r>
        <w:rPr>
          <w:sz w:val="20"/>
        </w:rPr>
        <w:t>No</w:t>
      </w:r>
      <w:r>
        <w:rPr>
          <w:spacing w:val="23"/>
          <w:sz w:val="20"/>
        </w:rPr>
        <w:t xml:space="preserve"> </w:t>
      </w:r>
      <w:r>
        <w:rPr>
          <w:sz w:val="20"/>
        </w:rPr>
        <w:t>TJSP</w:t>
      </w:r>
      <w:r>
        <w:rPr>
          <w:spacing w:val="24"/>
          <w:sz w:val="20"/>
        </w:rPr>
        <w:t xml:space="preserve"> </w:t>
      </w:r>
      <w:r>
        <w:rPr>
          <w:sz w:val="20"/>
        </w:rPr>
        <w:t>(2013),</w:t>
      </w:r>
      <w:r>
        <w:rPr>
          <w:spacing w:val="24"/>
          <w:sz w:val="20"/>
        </w:rPr>
        <w:t xml:space="preserve"> </w:t>
      </w:r>
      <w:r>
        <w:rPr>
          <w:sz w:val="20"/>
        </w:rPr>
        <w:t>referida</w:t>
      </w:r>
      <w:r>
        <w:rPr>
          <w:spacing w:val="27"/>
          <w:sz w:val="20"/>
        </w:rPr>
        <w:t xml:space="preserve"> </w:t>
      </w:r>
      <w:r>
        <w:rPr>
          <w:sz w:val="20"/>
        </w:rPr>
        <w:t>inconstitucionalidade</w:t>
      </w:r>
      <w:r>
        <w:rPr>
          <w:spacing w:val="24"/>
          <w:sz w:val="20"/>
        </w:rPr>
        <w:t xml:space="preserve"> </w:t>
      </w:r>
      <w:r>
        <w:rPr>
          <w:sz w:val="20"/>
        </w:rPr>
        <w:t>já</w:t>
      </w:r>
      <w:r>
        <w:rPr>
          <w:spacing w:val="23"/>
          <w:sz w:val="20"/>
        </w:rPr>
        <w:t xml:space="preserve"> </w:t>
      </w:r>
      <w:r>
        <w:rPr>
          <w:sz w:val="20"/>
        </w:rPr>
        <w:t>foi</w:t>
      </w:r>
      <w:r>
        <w:rPr>
          <w:spacing w:val="23"/>
          <w:sz w:val="20"/>
        </w:rPr>
        <w:t xml:space="preserve"> </w:t>
      </w:r>
      <w:r>
        <w:rPr>
          <w:sz w:val="20"/>
        </w:rPr>
        <w:t>analisada</w:t>
      </w:r>
      <w:r>
        <w:rPr>
          <w:spacing w:val="23"/>
          <w:sz w:val="20"/>
        </w:rPr>
        <w:t xml:space="preserve"> </w:t>
      </w:r>
      <w:r>
        <w:rPr>
          <w:sz w:val="20"/>
        </w:rPr>
        <w:t>e</w:t>
      </w:r>
      <w:r>
        <w:rPr>
          <w:spacing w:val="25"/>
          <w:sz w:val="20"/>
        </w:rPr>
        <w:t xml:space="preserve"> </w:t>
      </w:r>
      <w:r>
        <w:rPr>
          <w:sz w:val="20"/>
        </w:rPr>
        <w:t>reprimida</w:t>
      </w:r>
      <w:r>
        <w:rPr>
          <w:spacing w:val="26"/>
          <w:sz w:val="20"/>
        </w:rPr>
        <w:t xml:space="preserve"> </w:t>
      </w:r>
      <w:r>
        <w:rPr>
          <w:sz w:val="20"/>
        </w:rPr>
        <w:t>pelo</w:t>
      </w:r>
      <w:r>
        <w:rPr>
          <w:spacing w:val="26"/>
          <w:sz w:val="20"/>
        </w:rPr>
        <w:t xml:space="preserve"> </w:t>
      </w:r>
      <w:r>
        <w:rPr>
          <w:sz w:val="20"/>
        </w:rPr>
        <w:t>Órgão</w:t>
      </w:r>
      <w:r>
        <w:rPr>
          <w:spacing w:val="27"/>
          <w:sz w:val="20"/>
        </w:rPr>
        <w:t xml:space="preserve"> </w:t>
      </w:r>
      <w:r>
        <w:rPr>
          <w:sz w:val="20"/>
        </w:rPr>
        <w:t>Especial</w:t>
      </w:r>
      <w:r>
        <w:rPr>
          <w:spacing w:val="23"/>
          <w:sz w:val="20"/>
        </w:rPr>
        <w:t xml:space="preserve"> </w:t>
      </w:r>
      <w:r>
        <w:rPr>
          <w:sz w:val="20"/>
        </w:rPr>
        <w:t>no julgamento da Arguição de Inconstitucionalidade nº 0041454-43.2012.8.26.0000.</w:t>
      </w:r>
    </w:p>
    <w:p w:rsidR="007259F2" w:rsidRDefault="00E655B4">
      <w:pPr>
        <w:spacing w:before="1"/>
        <w:ind w:left="710" w:right="990"/>
        <w:rPr>
          <w:sz w:val="20"/>
        </w:rPr>
      </w:pPr>
      <w:r>
        <w:rPr>
          <w:sz w:val="20"/>
          <w:vertAlign w:val="superscript"/>
        </w:rPr>
        <w:t>46</w:t>
      </w:r>
      <w:r>
        <w:rPr>
          <w:sz w:val="20"/>
        </w:rPr>
        <w:t xml:space="preserve"> A superação da tese em contrário, além do já exposto ao longo do texto, pode ser conferida em Melo, </w:t>
      </w:r>
      <w:r>
        <w:rPr>
          <w:spacing w:val="-2"/>
          <w:sz w:val="20"/>
        </w:rPr>
        <w:t>2010.</w:t>
      </w:r>
    </w:p>
    <w:p w:rsidR="007259F2" w:rsidRDefault="00E655B4">
      <w:pPr>
        <w:spacing w:before="1"/>
        <w:ind w:left="710"/>
        <w:rPr>
          <w:sz w:val="20"/>
        </w:rPr>
      </w:pPr>
      <w:r>
        <w:rPr>
          <w:sz w:val="20"/>
          <w:vertAlign w:val="superscript"/>
        </w:rPr>
        <w:t>47</w:t>
      </w:r>
      <w:r>
        <w:rPr>
          <w:spacing w:val="-5"/>
          <w:sz w:val="20"/>
        </w:rPr>
        <w:t xml:space="preserve"> </w:t>
      </w:r>
      <w:r>
        <w:rPr>
          <w:sz w:val="20"/>
        </w:rPr>
        <w:t>Para</w:t>
      </w:r>
      <w:r>
        <w:rPr>
          <w:spacing w:val="-9"/>
          <w:sz w:val="20"/>
        </w:rPr>
        <w:t xml:space="preserve"> </w:t>
      </w:r>
      <w:r>
        <w:rPr>
          <w:sz w:val="20"/>
        </w:rPr>
        <w:t>tanto,</w:t>
      </w:r>
      <w:r>
        <w:rPr>
          <w:spacing w:val="-7"/>
          <w:sz w:val="20"/>
        </w:rPr>
        <w:t xml:space="preserve"> </w:t>
      </w:r>
      <w:r>
        <w:rPr>
          <w:sz w:val="20"/>
        </w:rPr>
        <w:t>recomenda-se</w:t>
      </w:r>
      <w:r>
        <w:rPr>
          <w:spacing w:val="-6"/>
          <w:sz w:val="20"/>
        </w:rPr>
        <w:t xml:space="preserve"> </w:t>
      </w:r>
      <w:r>
        <w:rPr>
          <w:sz w:val="20"/>
        </w:rPr>
        <w:t>a</w:t>
      </w:r>
      <w:r>
        <w:rPr>
          <w:spacing w:val="-10"/>
          <w:sz w:val="20"/>
        </w:rPr>
        <w:t xml:space="preserve"> </w:t>
      </w:r>
      <w:r>
        <w:rPr>
          <w:sz w:val="20"/>
        </w:rPr>
        <w:t>leitura</w:t>
      </w:r>
      <w:r>
        <w:rPr>
          <w:spacing w:val="-6"/>
          <w:sz w:val="20"/>
        </w:rPr>
        <w:t xml:space="preserve"> </w:t>
      </w:r>
      <w:r>
        <w:rPr>
          <w:sz w:val="20"/>
        </w:rPr>
        <w:t>do</w:t>
      </w:r>
      <w:r>
        <w:rPr>
          <w:spacing w:val="-6"/>
          <w:sz w:val="20"/>
        </w:rPr>
        <w:t xml:space="preserve"> </w:t>
      </w:r>
      <w:r>
        <w:rPr>
          <w:sz w:val="20"/>
        </w:rPr>
        <w:t>trabalho</w:t>
      </w:r>
      <w:r>
        <w:rPr>
          <w:spacing w:val="-7"/>
          <w:sz w:val="20"/>
        </w:rPr>
        <w:t xml:space="preserve"> </w:t>
      </w:r>
      <w:r>
        <w:rPr>
          <w:sz w:val="20"/>
        </w:rPr>
        <w:t>de</w:t>
      </w:r>
      <w:r>
        <w:rPr>
          <w:spacing w:val="-7"/>
          <w:sz w:val="20"/>
        </w:rPr>
        <w:t xml:space="preserve"> </w:t>
      </w:r>
      <w:r>
        <w:rPr>
          <w:sz w:val="20"/>
        </w:rPr>
        <w:t>Ana</w:t>
      </w:r>
      <w:r>
        <w:rPr>
          <w:spacing w:val="-7"/>
          <w:sz w:val="20"/>
        </w:rPr>
        <w:t xml:space="preserve"> </w:t>
      </w:r>
      <w:r>
        <w:rPr>
          <w:sz w:val="20"/>
        </w:rPr>
        <w:t>Paula</w:t>
      </w:r>
      <w:r>
        <w:rPr>
          <w:spacing w:val="-6"/>
          <w:sz w:val="20"/>
        </w:rPr>
        <w:t xml:space="preserve"> </w:t>
      </w:r>
      <w:r>
        <w:rPr>
          <w:sz w:val="20"/>
        </w:rPr>
        <w:t>Goyos,</w:t>
      </w:r>
      <w:r>
        <w:rPr>
          <w:spacing w:val="-9"/>
          <w:sz w:val="20"/>
        </w:rPr>
        <w:t xml:space="preserve"> </w:t>
      </w:r>
      <w:r>
        <w:rPr>
          <w:spacing w:val="-2"/>
          <w:sz w:val="20"/>
        </w:rPr>
        <w:t>2016.</w:t>
      </w:r>
    </w:p>
    <w:p w:rsidR="007259F2" w:rsidRDefault="007259F2">
      <w:pPr>
        <w:rPr>
          <w:sz w:val="20"/>
        </w:rPr>
        <w:sectPr w:rsidR="007259F2">
          <w:pgSz w:w="11910" w:h="16840"/>
          <w:pgMar w:top="1320" w:right="708" w:bottom="1160" w:left="992" w:header="0" w:footer="962" w:gutter="0"/>
          <w:cols w:space="720"/>
        </w:sectPr>
      </w:pPr>
    </w:p>
    <w:p w:rsidR="007259F2" w:rsidRDefault="00E655B4">
      <w:pPr>
        <w:pStyle w:val="Corpodetexto"/>
        <w:spacing w:before="69"/>
        <w:ind w:right="989" w:firstLine="0"/>
      </w:pPr>
      <w:r>
        <w:lastRenderedPageBreak/>
        <w:t>não parece estar perto do fim, passará ainda por tantas avaliações para necessárias adequações, mas os caminhos propostos se evidenciam muito adequados ao pretendido, especialmente na conjuntura atual.</w:t>
      </w:r>
    </w:p>
    <w:p w:rsidR="007259F2" w:rsidRDefault="00E655B4">
      <w:pPr>
        <w:pStyle w:val="Corpodetexto"/>
        <w:spacing w:before="1"/>
        <w:ind w:right="987"/>
      </w:pPr>
      <w:r>
        <w:t>Ter a concessão de uso especial para fins de moradia como parte da política e medida de</w:t>
      </w:r>
      <w:r>
        <w:rPr>
          <w:spacing w:val="40"/>
        </w:rPr>
        <w:t xml:space="preserve"> </w:t>
      </w:r>
      <w:r>
        <w:t>solução</w:t>
      </w:r>
      <w:r>
        <w:rPr>
          <w:spacing w:val="40"/>
        </w:rPr>
        <w:t xml:space="preserve"> </w:t>
      </w:r>
      <w:r>
        <w:t>pública</w:t>
      </w:r>
      <w:r>
        <w:rPr>
          <w:spacing w:val="40"/>
        </w:rPr>
        <w:t xml:space="preserve"> </w:t>
      </w:r>
      <w:r>
        <w:t>é</w:t>
      </w:r>
      <w:r>
        <w:rPr>
          <w:spacing w:val="40"/>
        </w:rPr>
        <w:t xml:space="preserve"> </w:t>
      </w:r>
      <w:r>
        <w:t>acreditar</w:t>
      </w:r>
      <w:r>
        <w:rPr>
          <w:spacing w:val="40"/>
        </w:rPr>
        <w:t xml:space="preserve"> </w:t>
      </w:r>
      <w:r>
        <w:t>no</w:t>
      </w:r>
      <w:r>
        <w:rPr>
          <w:spacing w:val="40"/>
        </w:rPr>
        <w:t xml:space="preserve"> </w:t>
      </w:r>
      <w:r>
        <w:t>seu</w:t>
      </w:r>
      <w:r>
        <w:rPr>
          <w:spacing w:val="40"/>
        </w:rPr>
        <w:t xml:space="preserve"> </w:t>
      </w:r>
      <w:r>
        <w:t>potencial</w:t>
      </w:r>
      <w:r>
        <w:rPr>
          <w:spacing w:val="40"/>
        </w:rPr>
        <w:t xml:space="preserve"> </w:t>
      </w:r>
      <w:r>
        <w:t>para</w:t>
      </w:r>
      <w:r>
        <w:rPr>
          <w:spacing w:val="40"/>
        </w:rPr>
        <w:t xml:space="preserve"> </w:t>
      </w:r>
      <w:r>
        <w:t>acelerar</w:t>
      </w:r>
      <w:r>
        <w:rPr>
          <w:spacing w:val="40"/>
        </w:rPr>
        <w:t xml:space="preserve"> </w:t>
      </w:r>
      <w:r>
        <w:t>o</w:t>
      </w:r>
      <w:r>
        <w:rPr>
          <w:spacing w:val="40"/>
        </w:rPr>
        <w:t xml:space="preserve"> </w:t>
      </w:r>
      <w:r>
        <w:t>futuro</w:t>
      </w:r>
      <w:r>
        <w:rPr>
          <w:spacing w:val="40"/>
        </w:rPr>
        <w:t xml:space="preserve"> </w:t>
      </w:r>
      <w:r>
        <w:t>do Estado a partir da consecução de seus princípios e objetivos fundamentais. Através de medidas básicas e postas à disposição é possível conferir ao cidadão dignidade mínima para que viva de acordo com as expectativas constitucionais e convencionais.</w:t>
      </w:r>
    </w:p>
    <w:p w:rsidR="007259F2" w:rsidRDefault="00E655B4">
      <w:pPr>
        <w:pStyle w:val="Heading1"/>
        <w:spacing w:before="206"/>
        <w:ind w:left="712"/>
      </w:pPr>
      <w:r>
        <w:rPr>
          <w:spacing w:val="-2"/>
        </w:rPr>
        <w:t>REFERÊNCIAS</w:t>
      </w:r>
    </w:p>
    <w:p w:rsidR="007259F2" w:rsidRDefault="00E655B4">
      <w:pPr>
        <w:spacing w:before="197"/>
        <w:ind w:left="710" w:right="988"/>
        <w:jc w:val="both"/>
        <w:rPr>
          <w:sz w:val="24"/>
        </w:rPr>
      </w:pPr>
      <w:r>
        <w:rPr>
          <w:sz w:val="24"/>
        </w:rPr>
        <w:t xml:space="preserve">AGUIAR, Carlos; BORBA, Tereza. Regularização fundiária e procedimentos administrativos. </w:t>
      </w:r>
      <w:r>
        <w:rPr>
          <w:i/>
          <w:sz w:val="24"/>
        </w:rPr>
        <w:t xml:space="preserve">In: </w:t>
      </w:r>
      <w:r>
        <w:rPr>
          <w:sz w:val="24"/>
        </w:rPr>
        <w:t xml:space="preserve">ROLNIK, Raquel </w:t>
      </w:r>
      <w:r>
        <w:rPr>
          <w:i/>
          <w:sz w:val="24"/>
        </w:rPr>
        <w:t>et al</w:t>
      </w:r>
      <w:r>
        <w:rPr>
          <w:sz w:val="24"/>
        </w:rPr>
        <w:t xml:space="preserve">. </w:t>
      </w:r>
      <w:r>
        <w:rPr>
          <w:b/>
          <w:sz w:val="24"/>
        </w:rPr>
        <w:t>Regularização fundiária de assentamentos informais urbanos</w:t>
      </w:r>
      <w:r>
        <w:rPr>
          <w:sz w:val="24"/>
        </w:rPr>
        <w:t>. Belo Horizonte: PUC Minas Virtual, 2006.</w:t>
      </w:r>
    </w:p>
    <w:p w:rsidR="007259F2" w:rsidRDefault="00E655B4">
      <w:pPr>
        <w:spacing w:before="121"/>
        <w:ind w:left="712"/>
        <w:jc w:val="both"/>
        <w:rPr>
          <w:sz w:val="24"/>
        </w:rPr>
      </w:pPr>
      <w:r>
        <w:rPr>
          <w:sz w:val="24"/>
        </w:rPr>
        <w:t>BRAGA,</w:t>
      </w:r>
      <w:r>
        <w:rPr>
          <w:spacing w:val="-2"/>
          <w:sz w:val="24"/>
        </w:rPr>
        <w:t xml:space="preserve"> </w:t>
      </w:r>
      <w:r>
        <w:rPr>
          <w:sz w:val="24"/>
        </w:rPr>
        <w:t>Rubem.</w:t>
      </w:r>
      <w:r>
        <w:rPr>
          <w:spacing w:val="-1"/>
          <w:sz w:val="24"/>
        </w:rPr>
        <w:t xml:space="preserve"> </w:t>
      </w:r>
      <w:r>
        <w:rPr>
          <w:b/>
          <w:sz w:val="24"/>
        </w:rPr>
        <w:t>200 Crônicas</w:t>
      </w:r>
      <w:r>
        <w:rPr>
          <w:b/>
          <w:spacing w:val="-1"/>
          <w:sz w:val="24"/>
        </w:rPr>
        <w:t xml:space="preserve"> </w:t>
      </w:r>
      <w:r>
        <w:rPr>
          <w:b/>
          <w:sz w:val="24"/>
        </w:rPr>
        <w:t>Escolhidas</w:t>
      </w:r>
      <w:r>
        <w:rPr>
          <w:sz w:val="24"/>
        </w:rPr>
        <w:t>.</w:t>
      </w:r>
      <w:r>
        <w:rPr>
          <w:spacing w:val="-3"/>
          <w:sz w:val="24"/>
        </w:rPr>
        <w:t xml:space="preserve"> </w:t>
      </w:r>
      <w:r>
        <w:rPr>
          <w:sz w:val="24"/>
        </w:rPr>
        <w:t>17.</w:t>
      </w:r>
      <w:r>
        <w:rPr>
          <w:spacing w:val="-6"/>
          <w:sz w:val="24"/>
        </w:rPr>
        <w:t xml:space="preserve"> </w:t>
      </w:r>
      <w:r>
        <w:rPr>
          <w:sz w:val="24"/>
        </w:rPr>
        <w:t>ed. Rio</w:t>
      </w:r>
      <w:r>
        <w:rPr>
          <w:spacing w:val="-1"/>
          <w:sz w:val="24"/>
        </w:rPr>
        <w:t xml:space="preserve"> </w:t>
      </w:r>
      <w:r>
        <w:rPr>
          <w:sz w:val="24"/>
        </w:rPr>
        <w:t>de</w:t>
      </w:r>
      <w:r>
        <w:rPr>
          <w:spacing w:val="-3"/>
          <w:sz w:val="24"/>
        </w:rPr>
        <w:t xml:space="preserve"> </w:t>
      </w:r>
      <w:r>
        <w:rPr>
          <w:sz w:val="24"/>
        </w:rPr>
        <w:t>Janeiro:</w:t>
      </w:r>
      <w:r>
        <w:rPr>
          <w:spacing w:val="-1"/>
          <w:sz w:val="24"/>
        </w:rPr>
        <w:t xml:space="preserve"> </w:t>
      </w:r>
      <w:r>
        <w:rPr>
          <w:sz w:val="24"/>
        </w:rPr>
        <w:t>Record,</w:t>
      </w:r>
      <w:r>
        <w:rPr>
          <w:spacing w:val="1"/>
          <w:sz w:val="24"/>
        </w:rPr>
        <w:t xml:space="preserve"> </w:t>
      </w:r>
      <w:r>
        <w:rPr>
          <w:spacing w:val="-2"/>
          <w:sz w:val="24"/>
        </w:rPr>
        <w:t>2001.</w:t>
      </w:r>
    </w:p>
    <w:p w:rsidR="007259F2" w:rsidRDefault="00E655B4">
      <w:pPr>
        <w:spacing w:before="161" w:line="276" w:lineRule="auto"/>
        <w:ind w:left="712" w:right="1107"/>
        <w:jc w:val="both"/>
        <w:rPr>
          <w:sz w:val="24"/>
        </w:rPr>
      </w:pPr>
      <w:r>
        <w:rPr>
          <w:sz w:val="24"/>
        </w:rPr>
        <w:t xml:space="preserve">BRASIL. </w:t>
      </w:r>
      <w:r>
        <w:rPr>
          <w:b/>
          <w:sz w:val="24"/>
        </w:rPr>
        <w:t>Constituição da República Federativa do Brasil de 1988</w:t>
      </w:r>
      <w:r>
        <w:rPr>
          <w:sz w:val="24"/>
        </w:rPr>
        <w:t>. Brasília, DF: Presidência da República, [2023]. Disponível em:</w:t>
      </w:r>
      <w:r>
        <w:rPr>
          <w:spacing w:val="-1"/>
          <w:sz w:val="24"/>
        </w:rPr>
        <w:t xml:space="preserve"> </w:t>
      </w:r>
      <w:r>
        <w:rPr>
          <w:sz w:val="24"/>
        </w:rPr>
        <w:t>https://bit.ly/3HaMkxl. Acesso em 1 jan. 2024.</w:t>
      </w:r>
    </w:p>
    <w:p w:rsidR="007259F2" w:rsidRDefault="00E655B4">
      <w:pPr>
        <w:spacing w:before="199" w:line="276" w:lineRule="auto"/>
        <w:ind w:left="712" w:right="991"/>
        <w:jc w:val="both"/>
        <w:rPr>
          <w:sz w:val="24"/>
        </w:rPr>
      </w:pPr>
      <w:r>
        <w:rPr>
          <w:sz w:val="24"/>
        </w:rPr>
        <w:t xml:space="preserve">BRASIL. </w:t>
      </w:r>
      <w:r>
        <w:rPr>
          <w:b/>
          <w:sz w:val="24"/>
        </w:rPr>
        <w:t>Decreto nº 591, de 6 de julho de 1992</w:t>
      </w:r>
      <w:r>
        <w:rPr>
          <w:sz w:val="24"/>
        </w:rPr>
        <w:t xml:space="preserve">. Brasília, DF: Presidência da República, 1992a. Disponível em: </w:t>
      </w:r>
      <w:hyperlink r:id="rId88">
        <w:r>
          <w:rPr>
            <w:sz w:val="24"/>
          </w:rPr>
          <w:t>http://bit.ly/37iGx5Z.</w:t>
        </w:r>
      </w:hyperlink>
      <w:r>
        <w:rPr>
          <w:sz w:val="24"/>
        </w:rPr>
        <w:t xml:space="preserve"> Acesso em: 12 jan. 2024.</w:t>
      </w:r>
    </w:p>
    <w:p w:rsidR="007259F2" w:rsidRDefault="00E655B4">
      <w:pPr>
        <w:spacing w:before="201" w:line="276" w:lineRule="auto"/>
        <w:ind w:left="712" w:right="1115"/>
        <w:jc w:val="both"/>
        <w:rPr>
          <w:sz w:val="24"/>
        </w:rPr>
      </w:pPr>
      <w:r>
        <w:rPr>
          <w:sz w:val="24"/>
        </w:rPr>
        <w:t xml:space="preserve">BRASIL. </w:t>
      </w:r>
      <w:r>
        <w:rPr>
          <w:b/>
          <w:sz w:val="24"/>
        </w:rPr>
        <w:t>Decreto nº 678, de 6 de novembro de 1992</w:t>
      </w:r>
      <w:r>
        <w:rPr>
          <w:sz w:val="24"/>
        </w:rPr>
        <w:t>. Brasília, DF: Presidência da República, 1992b. Disponível em: https://bit.ly/4aOBLxq. Acesso em: 3 dez. 2023.</w:t>
      </w:r>
    </w:p>
    <w:p w:rsidR="007259F2" w:rsidRDefault="00E655B4">
      <w:pPr>
        <w:spacing w:before="201" w:line="276" w:lineRule="auto"/>
        <w:ind w:left="712" w:right="988"/>
        <w:jc w:val="both"/>
        <w:rPr>
          <w:sz w:val="24"/>
        </w:rPr>
      </w:pPr>
      <w:r>
        <w:rPr>
          <w:sz w:val="24"/>
        </w:rPr>
        <w:t xml:space="preserve">BRASIL. Instituto Brasileiro de Geografia e Estatística. </w:t>
      </w:r>
      <w:r>
        <w:rPr>
          <w:b/>
          <w:sz w:val="24"/>
        </w:rPr>
        <w:t>Encontro Nacional de Produção, Análise e Disseminação de Informações sobre as favelas e comunidades urbanas</w:t>
      </w:r>
      <w:r>
        <w:rPr>
          <w:b/>
          <w:spacing w:val="-1"/>
          <w:sz w:val="24"/>
        </w:rPr>
        <w:t xml:space="preserve"> </w:t>
      </w:r>
      <w:r>
        <w:rPr>
          <w:b/>
          <w:sz w:val="24"/>
        </w:rPr>
        <w:t>do</w:t>
      </w:r>
      <w:r>
        <w:rPr>
          <w:b/>
          <w:spacing w:val="-1"/>
          <w:sz w:val="24"/>
        </w:rPr>
        <w:t xml:space="preserve"> </w:t>
      </w:r>
      <w:r>
        <w:rPr>
          <w:b/>
          <w:sz w:val="24"/>
        </w:rPr>
        <w:t>Brasil</w:t>
      </w:r>
      <w:r>
        <w:rPr>
          <w:sz w:val="24"/>
        </w:rPr>
        <w:t>. Brasília, 2023. Disponível em: https://bit.ly/3vqZgfL. Acesso em: 9 dez. 2023.</w:t>
      </w:r>
    </w:p>
    <w:p w:rsidR="007259F2" w:rsidRDefault="00E655B4">
      <w:pPr>
        <w:spacing w:before="199" w:line="276" w:lineRule="auto"/>
        <w:ind w:left="712" w:right="1183"/>
        <w:jc w:val="both"/>
        <w:rPr>
          <w:sz w:val="24"/>
        </w:rPr>
      </w:pPr>
      <w:r>
        <w:rPr>
          <w:sz w:val="24"/>
        </w:rPr>
        <w:t xml:space="preserve">BRASIL. Instituto Brasileiro de Geografia e Estatística. </w:t>
      </w:r>
      <w:r>
        <w:rPr>
          <w:b/>
          <w:sz w:val="24"/>
        </w:rPr>
        <w:t>Quase dois terços das favelas estão a menos de dois quilômetros de hospitais</w:t>
      </w:r>
      <w:r>
        <w:rPr>
          <w:sz w:val="24"/>
        </w:rPr>
        <w:t>. Rio de Janeiro, 2020. Disponível em: https://bit.ly/3S0yrH4. Acesso em: 22 nov. 2023.</w:t>
      </w:r>
    </w:p>
    <w:p w:rsidR="007259F2" w:rsidRDefault="00E655B4">
      <w:pPr>
        <w:pStyle w:val="Corpodetexto"/>
        <w:spacing w:before="274" w:line="276" w:lineRule="auto"/>
        <w:ind w:left="712" w:right="1180" w:firstLine="0"/>
      </w:pPr>
      <w:r>
        <w:t xml:space="preserve">BRASIL. Instituto Brasileiro de Geografia e Estatística. </w:t>
      </w:r>
      <w:r>
        <w:rPr>
          <w:b/>
        </w:rPr>
        <w:t xml:space="preserve">Síntese de indicadores sociais: </w:t>
      </w:r>
      <w:r>
        <w:t>uma análise das condições de vida da população brasileira. Rio de Janeiro, 2020. Disponível em: https://bit.ly/47xm76y. Acesso em: 9 nov. 2023.</w:t>
      </w:r>
    </w:p>
    <w:p w:rsidR="007259F2" w:rsidRDefault="00E655B4">
      <w:pPr>
        <w:spacing w:before="203" w:line="276" w:lineRule="auto"/>
        <w:ind w:left="712" w:right="1210"/>
        <w:jc w:val="both"/>
        <w:rPr>
          <w:sz w:val="24"/>
        </w:rPr>
      </w:pPr>
      <w:r>
        <w:rPr>
          <w:sz w:val="24"/>
        </w:rPr>
        <w:t xml:space="preserve">BRASIL. Instituto de Pesquisa Econômica Aplicada. </w:t>
      </w:r>
      <w:r>
        <w:rPr>
          <w:b/>
          <w:sz w:val="24"/>
        </w:rPr>
        <w:t>Estimativa da população em situação de rua no Brasil (2012-2022)</w:t>
      </w:r>
      <w:r>
        <w:rPr>
          <w:sz w:val="24"/>
        </w:rPr>
        <w:t>. Brasília, 2023. Disponível em: https://bit.ly/4aIEUyG. Acesso em: 10 jan. 2024.</w:t>
      </w:r>
    </w:p>
    <w:p w:rsidR="007259F2" w:rsidRDefault="00E655B4">
      <w:pPr>
        <w:spacing w:before="200" w:line="276" w:lineRule="auto"/>
        <w:ind w:left="712" w:right="1106"/>
        <w:jc w:val="both"/>
        <w:rPr>
          <w:sz w:val="24"/>
        </w:rPr>
      </w:pPr>
      <w:r>
        <w:rPr>
          <w:sz w:val="24"/>
        </w:rPr>
        <w:t xml:space="preserve">BRASIL. </w:t>
      </w:r>
      <w:r>
        <w:rPr>
          <w:b/>
          <w:sz w:val="24"/>
        </w:rPr>
        <w:t>Lei nº 10.257, de 10 de julho de 2001</w:t>
      </w:r>
      <w:r>
        <w:rPr>
          <w:sz w:val="24"/>
        </w:rPr>
        <w:t xml:space="preserve">. Brasília, DF: Presidência da República, 2001a [2022]. Disponível em: https://bit.ly/41ZnCtd. Acesso em: 3 dez. </w:t>
      </w:r>
      <w:r>
        <w:rPr>
          <w:spacing w:val="-2"/>
          <w:sz w:val="24"/>
        </w:rPr>
        <w:t>2023.</w:t>
      </w:r>
    </w:p>
    <w:p w:rsidR="007259F2" w:rsidRDefault="00E655B4">
      <w:pPr>
        <w:spacing w:before="200" w:line="276" w:lineRule="auto"/>
        <w:ind w:left="712" w:right="991"/>
        <w:jc w:val="both"/>
        <w:rPr>
          <w:sz w:val="24"/>
        </w:rPr>
      </w:pPr>
      <w:r>
        <w:rPr>
          <w:sz w:val="24"/>
        </w:rPr>
        <w:t xml:space="preserve">BRASIL. </w:t>
      </w:r>
      <w:r>
        <w:rPr>
          <w:b/>
          <w:sz w:val="24"/>
        </w:rPr>
        <w:t>Lei nº 10.406, de 10 de janeiro de 2002</w:t>
      </w:r>
      <w:r>
        <w:rPr>
          <w:sz w:val="24"/>
        </w:rPr>
        <w:t>. Brasília, DF: Presidência da República, [2023]. Disponível em: https://bit.ly/2ZARXQr. Acesso em: 6 out. 2023.</w:t>
      </w:r>
    </w:p>
    <w:p w:rsidR="007259F2" w:rsidRDefault="007259F2">
      <w:pPr>
        <w:spacing w:line="276" w:lineRule="auto"/>
        <w:jc w:val="both"/>
        <w:rPr>
          <w:sz w:val="24"/>
        </w:rPr>
        <w:sectPr w:rsidR="007259F2">
          <w:pgSz w:w="11910" w:h="16840"/>
          <w:pgMar w:top="1320" w:right="708" w:bottom="1160" w:left="992" w:header="0" w:footer="962" w:gutter="0"/>
          <w:cols w:space="720"/>
        </w:sectPr>
      </w:pPr>
    </w:p>
    <w:p w:rsidR="007259F2" w:rsidRDefault="00E655B4">
      <w:pPr>
        <w:spacing w:before="72" w:line="278" w:lineRule="auto"/>
        <w:ind w:left="712" w:right="1106"/>
        <w:jc w:val="both"/>
        <w:rPr>
          <w:sz w:val="24"/>
        </w:rPr>
      </w:pPr>
      <w:r>
        <w:rPr>
          <w:sz w:val="24"/>
        </w:rPr>
        <w:lastRenderedPageBreak/>
        <w:t xml:space="preserve">BRASIL. </w:t>
      </w:r>
      <w:r>
        <w:rPr>
          <w:b/>
          <w:sz w:val="24"/>
        </w:rPr>
        <w:t>Lei nº 13.465, de 11 de julho de 2017</w:t>
      </w:r>
      <w:r>
        <w:rPr>
          <w:sz w:val="24"/>
        </w:rPr>
        <w:t>. Brasília, DF: Presidência da República, [2023]. Disponível em: https://bit.ly/48NDTUs. Acesso em: 3 dez. 2023.</w:t>
      </w:r>
    </w:p>
    <w:p w:rsidR="007259F2" w:rsidRDefault="00E655B4">
      <w:pPr>
        <w:spacing w:before="269" w:line="278" w:lineRule="auto"/>
        <w:ind w:left="712" w:right="1238"/>
        <w:jc w:val="both"/>
        <w:rPr>
          <w:sz w:val="24"/>
        </w:rPr>
      </w:pPr>
      <w:r>
        <w:rPr>
          <w:sz w:val="24"/>
        </w:rPr>
        <w:t xml:space="preserve">BRASIL. </w:t>
      </w:r>
      <w:r>
        <w:rPr>
          <w:b/>
          <w:sz w:val="24"/>
        </w:rPr>
        <w:t>Lei nº 6.766, de 19 de dezembro de 1979</w:t>
      </w:r>
      <w:r>
        <w:rPr>
          <w:sz w:val="24"/>
        </w:rPr>
        <w:t>. Brasília, DF: Presidência da República, [2023]. Disponível em: https://bit.ly/3NXw71Y. Acesso em: 3 dez. 2023.</w:t>
      </w:r>
    </w:p>
    <w:p w:rsidR="007259F2" w:rsidRDefault="00E655B4">
      <w:pPr>
        <w:spacing w:before="198" w:line="276" w:lineRule="auto"/>
        <w:ind w:left="712" w:right="1121"/>
        <w:jc w:val="both"/>
        <w:rPr>
          <w:sz w:val="24"/>
        </w:rPr>
      </w:pPr>
      <w:r>
        <w:rPr>
          <w:sz w:val="24"/>
        </w:rPr>
        <w:t xml:space="preserve">BRASIL. </w:t>
      </w:r>
      <w:r>
        <w:rPr>
          <w:b/>
          <w:sz w:val="24"/>
        </w:rPr>
        <w:t>Medida Provisória nº 2.220, de 4 de setembro de 2001</w:t>
      </w:r>
      <w:r>
        <w:rPr>
          <w:sz w:val="24"/>
        </w:rPr>
        <w:t>. Brasília, DF: Presidência da República, 2001b [2017]. Disponível em: https://bit.ly/3tOkN1w. Acesso em: 7 nov. 2023.</w:t>
      </w:r>
    </w:p>
    <w:p w:rsidR="007259F2" w:rsidRDefault="00E655B4">
      <w:pPr>
        <w:spacing w:before="200" w:line="276" w:lineRule="auto"/>
        <w:ind w:left="712" w:right="1118"/>
        <w:jc w:val="both"/>
        <w:rPr>
          <w:sz w:val="24"/>
        </w:rPr>
      </w:pPr>
      <w:r>
        <w:rPr>
          <w:sz w:val="24"/>
        </w:rPr>
        <w:t xml:space="preserve">BRASIL. </w:t>
      </w:r>
      <w:r>
        <w:rPr>
          <w:b/>
          <w:sz w:val="24"/>
        </w:rPr>
        <w:t>Mensagem nº 730, de 10 de julho de 2001</w:t>
      </w:r>
      <w:r>
        <w:rPr>
          <w:sz w:val="24"/>
        </w:rPr>
        <w:t>. Brasília, DF: Presidência da República, 2001c. Disponível em: https://bit.ly/3NYDq9U. Acesso em: 28 dez. 2023.</w:t>
      </w:r>
    </w:p>
    <w:p w:rsidR="007259F2" w:rsidRDefault="00E655B4">
      <w:pPr>
        <w:spacing w:before="201" w:line="276" w:lineRule="auto"/>
        <w:ind w:left="712" w:right="987"/>
        <w:jc w:val="both"/>
        <w:rPr>
          <w:sz w:val="24"/>
        </w:rPr>
      </w:pPr>
      <w:r>
        <w:rPr>
          <w:sz w:val="24"/>
        </w:rPr>
        <w:t xml:space="preserve">BRASIL. Ministério da Saúde. </w:t>
      </w:r>
      <w:r>
        <w:rPr>
          <w:b/>
          <w:sz w:val="24"/>
        </w:rPr>
        <w:t>Política Nacional de Atenção Básica</w:t>
      </w:r>
      <w:r>
        <w:rPr>
          <w:sz w:val="24"/>
        </w:rPr>
        <w:t xml:space="preserve">. Portaria MS nº 2.488/2011. Brasília, 2012. Disponível em: https://bit.ly/3vv8mYU. Acesso em: 29 dez. </w:t>
      </w:r>
      <w:r>
        <w:rPr>
          <w:spacing w:val="-2"/>
          <w:sz w:val="24"/>
        </w:rPr>
        <w:t>2023.</w:t>
      </w:r>
    </w:p>
    <w:p w:rsidR="007259F2" w:rsidRDefault="00E655B4">
      <w:pPr>
        <w:pStyle w:val="Corpodetexto"/>
        <w:spacing w:before="197"/>
        <w:ind w:right="989" w:firstLine="0"/>
      </w:pPr>
      <w:r>
        <w:t xml:space="preserve">BRASIL. Supremo Tribunal Federal (Tribunal Pleno). </w:t>
      </w:r>
      <w:r>
        <w:rPr>
          <w:b/>
        </w:rPr>
        <w:t>RE nº 631.240</w:t>
      </w:r>
      <w:r>
        <w:t>. Relator: Min. Roberto Barroso, 10 nov. 2014. Disponível em: https://bit.ly/3RPA5ep. Acesso em: 22 dez. 2023.</w:t>
      </w:r>
    </w:p>
    <w:p w:rsidR="007259F2" w:rsidRDefault="00E655B4">
      <w:pPr>
        <w:spacing w:before="123" w:line="276" w:lineRule="auto"/>
        <w:ind w:left="710" w:right="988"/>
        <w:jc w:val="both"/>
        <w:rPr>
          <w:sz w:val="24"/>
        </w:rPr>
      </w:pPr>
      <w:r>
        <w:rPr>
          <w:sz w:val="24"/>
        </w:rPr>
        <w:t xml:space="preserve">BRASIL. Tribunal de Contas da União. </w:t>
      </w:r>
      <w:r>
        <w:rPr>
          <w:b/>
          <w:sz w:val="24"/>
        </w:rPr>
        <w:t>Lista de alto risco da Administração Pública federal</w:t>
      </w:r>
      <w:r>
        <w:rPr>
          <w:sz w:val="24"/>
        </w:rPr>
        <w:t>. Brasília, 2022. Disponível em: https://bit.ly/3NZu4e6. Acesso em: 9 jan. 2024.</w:t>
      </w:r>
    </w:p>
    <w:p w:rsidR="007259F2" w:rsidRDefault="00E655B4">
      <w:pPr>
        <w:spacing w:before="119" w:line="276" w:lineRule="auto"/>
        <w:ind w:left="712" w:right="1103"/>
        <w:jc w:val="both"/>
        <w:rPr>
          <w:sz w:val="24"/>
        </w:rPr>
      </w:pPr>
      <w:r>
        <w:rPr>
          <w:sz w:val="24"/>
        </w:rPr>
        <w:t xml:space="preserve">BROWNE, Ana Paula Goyos. </w:t>
      </w:r>
      <w:r>
        <w:rPr>
          <w:b/>
          <w:sz w:val="24"/>
        </w:rPr>
        <w:t>Direito à moradia e o princípio da reserva do possível</w:t>
      </w:r>
      <w:r>
        <w:rPr>
          <w:sz w:val="24"/>
        </w:rPr>
        <w:t>. Conteúdo Jurídico. Brasília, 11 mai. 2021. Disponível em: https://bit.ly/3TPfxFv. Acesso em: 9 jan. 2024.</w:t>
      </w:r>
    </w:p>
    <w:p w:rsidR="007259F2" w:rsidRDefault="00E655B4">
      <w:pPr>
        <w:spacing w:before="200" w:line="276" w:lineRule="auto"/>
        <w:ind w:left="712" w:right="1120"/>
        <w:jc w:val="both"/>
        <w:rPr>
          <w:sz w:val="24"/>
        </w:rPr>
      </w:pPr>
      <w:r>
        <w:rPr>
          <w:sz w:val="24"/>
        </w:rPr>
        <w:t xml:space="preserve">BUCCI, Maria Paula Dallari. </w:t>
      </w:r>
      <w:r>
        <w:rPr>
          <w:b/>
          <w:sz w:val="24"/>
        </w:rPr>
        <w:t>Direito administrativo e políticas públicas</w:t>
      </w:r>
      <w:r>
        <w:rPr>
          <w:sz w:val="24"/>
        </w:rPr>
        <w:t>. São Paulo: Saraiva, 2002.</w:t>
      </w:r>
    </w:p>
    <w:p w:rsidR="007259F2" w:rsidRDefault="00E655B4">
      <w:pPr>
        <w:pStyle w:val="Corpodetexto"/>
        <w:spacing w:before="200" w:line="276" w:lineRule="auto"/>
        <w:ind w:right="990" w:firstLine="0"/>
      </w:pPr>
      <w:r>
        <w:t xml:space="preserve">CASEF, Gabriela. Soluções para moradia digna passam por retrofit e aluguel acessível. </w:t>
      </w:r>
      <w:r>
        <w:rPr>
          <w:b/>
        </w:rPr>
        <w:t>Folha de São Paulo</w:t>
      </w:r>
      <w:r>
        <w:t>, 4 out. 2023. Disponível em: https://bit.ly/3vwVu4E. Acesso em: 10 jan. 2024.</w:t>
      </w:r>
    </w:p>
    <w:p w:rsidR="007259F2" w:rsidRDefault="00E655B4">
      <w:pPr>
        <w:pStyle w:val="Corpodetexto"/>
        <w:spacing w:before="275" w:line="276" w:lineRule="auto"/>
        <w:ind w:right="987" w:firstLine="0"/>
      </w:pPr>
      <w:r>
        <w:t xml:space="preserve">CASTELANI, Clayton; KRUSE, Tulio. Aluguel de moradia social em São Paulo enfrenta barreira de mercado. </w:t>
      </w:r>
      <w:r>
        <w:rPr>
          <w:b/>
        </w:rPr>
        <w:t>Folha de São Paulo</w:t>
      </w:r>
      <w:r>
        <w:t>, 11 jul. 2023. Disponível em: https://bit.ly/4aNWLEu. Acesso em: 10 dez. 2023.</w:t>
      </w:r>
    </w:p>
    <w:p w:rsidR="007259F2" w:rsidRDefault="00E655B4">
      <w:pPr>
        <w:spacing w:before="121" w:line="276" w:lineRule="auto"/>
        <w:ind w:left="712" w:right="1104"/>
        <w:jc w:val="both"/>
        <w:rPr>
          <w:sz w:val="24"/>
        </w:rPr>
      </w:pPr>
      <w:r>
        <w:rPr>
          <w:sz w:val="24"/>
        </w:rPr>
        <w:t xml:space="preserve">CAU/SP. </w:t>
      </w:r>
      <w:r>
        <w:rPr>
          <w:b/>
          <w:sz w:val="24"/>
        </w:rPr>
        <w:t>Manifestação sobre o desabamento na comunidade de Muzema no Rio de Janeiro</w:t>
      </w:r>
      <w:r>
        <w:rPr>
          <w:sz w:val="24"/>
        </w:rPr>
        <w:t>. São Paulo, 2019. Disponível em: https://bit.ly/3Sd9QzS. Acesso em: 19 dez. 2023.</w:t>
      </w:r>
    </w:p>
    <w:p w:rsidR="007259F2" w:rsidRDefault="00E655B4">
      <w:pPr>
        <w:spacing w:before="200" w:line="276" w:lineRule="auto"/>
        <w:ind w:left="712" w:right="988"/>
        <w:jc w:val="both"/>
        <w:rPr>
          <w:sz w:val="24"/>
        </w:rPr>
      </w:pPr>
      <w:r>
        <w:rPr>
          <w:sz w:val="24"/>
        </w:rPr>
        <w:t xml:space="preserve">CHAGAS, Cassiele Arantes de Moraes. </w:t>
      </w:r>
      <w:r>
        <w:rPr>
          <w:b/>
          <w:sz w:val="24"/>
        </w:rPr>
        <w:t>A periferização da pobreza e da degradação sócioambiental na Região Metropolitana de São Paulo</w:t>
      </w:r>
      <w:r>
        <w:rPr>
          <w:sz w:val="24"/>
        </w:rPr>
        <w:t>, o caso de Francisco Morato. 2007. Dissertação (Mestrado em Planejamento Urbano e Regional) - Faculdade de Arquitetura e Urbanismo, Universidade de São Paulo, São Paulo, 2007. Disponível em: https://doi.org/10.11606/D.16.2007.tde-19032009-152622. Acesso em: 8 jan. 2024.</w:t>
      </w:r>
    </w:p>
    <w:p w:rsidR="007259F2" w:rsidRDefault="007259F2">
      <w:pPr>
        <w:spacing w:line="276" w:lineRule="auto"/>
        <w:jc w:val="both"/>
        <w:rPr>
          <w:sz w:val="24"/>
        </w:rPr>
        <w:sectPr w:rsidR="007259F2">
          <w:pgSz w:w="11910" w:h="16840"/>
          <w:pgMar w:top="1320" w:right="708" w:bottom="1160" w:left="992" w:header="0" w:footer="962" w:gutter="0"/>
          <w:cols w:space="720"/>
        </w:sectPr>
      </w:pPr>
    </w:p>
    <w:p w:rsidR="007259F2" w:rsidRDefault="00E655B4">
      <w:pPr>
        <w:pStyle w:val="Corpodetexto"/>
        <w:spacing w:before="69"/>
        <w:ind w:right="988" w:firstLine="0"/>
      </w:pPr>
      <w:r>
        <w:lastRenderedPageBreak/>
        <w:t xml:space="preserve">COMPARATO, Fabio Konder. Ensaio sobre o juízo de constitucionalidade de políticas públicas. </w:t>
      </w:r>
      <w:r>
        <w:rPr>
          <w:b/>
        </w:rPr>
        <w:t>Revista de Informação Legislativa</w:t>
      </w:r>
      <w:r>
        <w:t>, Brasília, a. 35, n. 138, abr/jun, 1998.</w:t>
      </w:r>
    </w:p>
    <w:p w:rsidR="007259F2" w:rsidRDefault="00E655B4">
      <w:pPr>
        <w:spacing w:before="123" w:line="276" w:lineRule="auto"/>
        <w:ind w:left="710" w:right="1102"/>
        <w:jc w:val="both"/>
        <w:rPr>
          <w:sz w:val="24"/>
        </w:rPr>
      </w:pPr>
      <w:r>
        <w:rPr>
          <w:sz w:val="24"/>
        </w:rPr>
        <w:t>DUARTE, Clarice Seixas. O ciclo das políticas públicas. In: SMANIO, Gianpaolo Poggio; BERTOLINI, Patrícia</w:t>
      </w:r>
      <w:r>
        <w:rPr>
          <w:spacing w:val="-2"/>
          <w:sz w:val="24"/>
        </w:rPr>
        <w:t xml:space="preserve"> </w:t>
      </w:r>
      <w:r>
        <w:rPr>
          <w:sz w:val="24"/>
        </w:rPr>
        <w:t>Tuma</w:t>
      </w:r>
      <w:r>
        <w:rPr>
          <w:spacing w:val="-2"/>
          <w:sz w:val="24"/>
        </w:rPr>
        <w:t xml:space="preserve"> </w:t>
      </w:r>
      <w:r>
        <w:rPr>
          <w:sz w:val="24"/>
        </w:rPr>
        <w:t>Martins (orgs.).</w:t>
      </w:r>
      <w:r>
        <w:rPr>
          <w:spacing w:val="-1"/>
          <w:sz w:val="24"/>
        </w:rPr>
        <w:t xml:space="preserve"> </w:t>
      </w:r>
      <w:r>
        <w:rPr>
          <w:b/>
          <w:sz w:val="24"/>
        </w:rPr>
        <w:t>O</w:t>
      </w:r>
      <w:r>
        <w:rPr>
          <w:b/>
          <w:spacing w:val="-1"/>
          <w:sz w:val="24"/>
        </w:rPr>
        <w:t xml:space="preserve"> </w:t>
      </w:r>
      <w:r>
        <w:rPr>
          <w:b/>
          <w:sz w:val="24"/>
        </w:rPr>
        <w:t>direito</w:t>
      </w:r>
      <w:r>
        <w:rPr>
          <w:b/>
          <w:spacing w:val="-1"/>
          <w:sz w:val="24"/>
        </w:rPr>
        <w:t xml:space="preserve"> </w:t>
      </w:r>
      <w:r>
        <w:rPr>
          <w:b/>
          <w:sz w:val="24"/>
        </w:rPr>
        <w:t>e</w:t>
      </w:r>
      <w:r>
        <w:rPr>
          <w:b/>
          <w:spacing w:val="-4"/>
          <w:sz w:val="24"/>
        </w:rPr>
        <w:t xml:space="preserve"> </w:t>
      </w:r>
      <w:r>
        <w:rPr>
          <w:b/>
          <w:sz w:val="24"/>
        </w:rPr>
        <w:t>as</w:t>
      </w:r>
      <w:r>
        <w:rPr>
          <w:b/>
          <w:spacing w:val="-1"/>
          <w:sz w:val="24"/>
        </w:rPr>
        <w:t xml:space="preserve"> </w:t>
      </w:r>
      <w:r>
        <w:rPr>
          <w:b/>
          <w:sz w:val="24"/>
        </w:rPr>
        <w:t>políticas públicas no Brasil</w:t>
      </w:r>
      <w:r>
        <w:rPr>
          <w:sz w:val="24"/>
        </w:rPr>
        <w:t>. São Paulo: Atlas, 2013.</w:t>
      </w:r>
    </w:p>
    <w:p w:rsidR="007259F2" w:rsidRDefault="00E655B4">
      <w:pPr>
        <w:spacing w:before="118"/>
        <w:ind w:left="710"/>
        <w:jc w:val="both"/>
        <w:rPr>
          <w:sz w:val="24"/>
        </w:rPr>
      </w:pPr>
      <w:r>
        <w:rPr>
          <w:sz w:val="24"/>
        </w:rPr>
        <w:t>DWORKIN,</w:t>
      </w:r>
      <w:r>
        <w:rPr>
          <w:spacing w:val="-2"/>
          <w:sz w:val="24"/>
        </w:rPr>
        <w:t xml:space="preserve"> </w:t>
      </w:r>
      <w:r>
        <w:rPr>
          <w:sz w:val="24"/>
        </w:rPr>
        <w:t>Ronald.</w:t>
      </w:r>
      <w:r>
        <w:rPr>
          <w:spacing w:val="-1"/>
          <w:sz w:val="24"/>
        </w:rPr>
        <w:t xml:space="preserve"> </w:t>
      </w:r>
      <w:r>
        <w:rPr>
          <w:b/>
          <w:sz w:val="24"/>
        </w:rPr>
        <w:t>Levando</w:t>
      </w:r>
      <w:r>
        <w:rPr>
          <w:b/>
          <w:spacing w:val="-2"/>
          <w:sz w:val="24"/>
        </w:rPr>
        <w:t xml:space="preserve"> </w:t>
      </w:r>
      <w:r>
        <w:rPr>
          <w:b/>
          <w:sz w:val="24"/>
        </w:rPr>
        <w:t>os</w:t>
      </w:r>
      <w:r>
        <w:rPr>
          <w:b/>
          <w:spacing w:val="-1"/>
          <w:sz w:val="24"/>
        </w:rPr>
        <w:t xml:space="preserve"> </w:t>
      </w:r>
      <w:r>
        <w:rPr>
          <w:b/>
          <w:sz w:val="24"/>
        </w:rPr>
        <w:t>direitos</w:t>
      </w:r>
      <w:r>
        <w:rPr>
          <w:b/>
          <w:spacing w:val="-1"/>
          <w:sz w:val="24"/>
        </w:rPr>
        <w:t xml:space="preserve"> </w:t>
      </w:r>
      <w:r>
        <w:rPr>
          <w:b/>
          <w:sz w:val="24"/>
        </w:rPr>
        <w:t>a</w:t>
      </w:r>
      <w:r>
        <w:rPr>
          <w:b/>
          <w:spacing w:val="-1"/>
          <w:sz w:val="24"/>
        </w:rPr>
        <w:t xml:space="preserve"> </w:t>
      </w:r>
      <w:r>
        <w:rPr>
          <w:b/>
          <w:sz w:val="24"/>
        </w:rPr>
        <w:t>sério</w:t>
      </w:r>
      <w:r>
        <w:rPr>
          <w:sz w:val="24"/>
        </w:rPr>
        <w:t>.</w:t>
      </w:r>
      <w:r>
        <w:rPr>
          <w:spacing w:val="-1"/>
          <w:sz w:val="24"/>
        </w:rPr>
        <w:t xml:space="preserve"> </w:t>
      </w:r>
      <w:r>
        <w:rPr>
          <w:sz w:val="24"/>
        </w:rPr>
        <w:t>São</w:t>
      </w:r>
      <w:r>
        <w:rPr>
          <w:spacing w:val="-1"/>
          <w:sz w:val="24"/>
        </w:rPr>
        <w:t xml:space="preserve"> </w:t>
      </w:r>
      <w:r>
        <w:rPr>
          <w:sz w:val="24"/>
        </w:rPr>
        <w:t>Paulo:</w:t>
      </w:r>
      <w:r>
        <w:rPr>
          <w:spacing w:val="-2"/>
          <w:sz w:val="24"/>
        </w:rPr>
        <w:t xml:space="preserve"> </w:t>
      </w:r>
      <w:r>
        <w:rPr>
          <w:sz w:val="24"/>
        </w:rPr>
        <w:t>Martins</w:t>
      </w:r>
      <w:r>
        <w:rPr>
          <w:spacing w:val="-1"/>
          <w:sz w:val="24"/>
        </w:rPr>
        <w:t xml:space="preserve"> </w:t>
      </w:r>
      <w:r>
        <w:rPr>
          <w:sz w:val="24"/>
        </w:rPr>
        <w:t>Fontes,</w:t>
      </w:r>
      <w:r>
        <w:rPr>
          <w:spacing w:val="-1"/>
          <w:sz w:val="24"/>
        </w:rPr>
        <w:t xml:space="preserve"> </w:t>
      </w:r>
      <w:r>
        <w:rPr>
          <w:spacing w:val="-2"/>
          <w:sz w:val="24"/>
        </w:rPr>
        <w:t>2002.</w:t>
      </w:r>
    </w:p>
    <w:p w:rsidR="007259F2" w:rsidRDefault="00E655B4">
      <w:pPr>
        <w:spacing w:before="120"/>
        <w:ind w:left="710" w:right="995"/>
        <w:jc w:val="both"/>
        <w:rPr>
          <w:sz w:val="24"/>
        </w:rPr>
      </w:pPr>
      <w:r>
        <w:rPr>
          <w:sz w:val="24"/>
        </w:rPr>
        <w:t xml:space="preserve">FRANÇA, R. L. </w:t>
      </w:r>
      <w:r>
        <w:rPr>
          <w:b/>
          <w:sz w:val="24"/>
        </w:rPr>
        <w:t>Manual de Direito Civil</w:t>
      </w:r>
      <w:r>
        <w:rPr>
          <w:sz w:val="24"/>
        </w:rPr>
        <w:t>. v. 3. São Paulo: Revista dos Tribunais,</w:t>
      </w:r>
      <w:r>
        <w:rPr>
          <w:spacing w:val="40"/>
          <w:sz w:val="24"/>
        </w:rPr>
        <w:t xml:space="preserve"> </w:t>
      </w:r>
      <w:r>
        <w:rPr>
          <w:spacing w:val="-2"/>
          <w:sz w:val="24"/>
        </w:rPr>
        <w:t>1971.</w:t>
      </w:r>
    </w:p>
    <w:p w:rsidR="007259F2" w:rsidRDefault="00E655B4">
      <w:pPr>
        <w:spacing w:before="123" w:line="276" w:lineRule="auto"/>
        <w:ind w:left="712" w:right="989"/>
        <w:jc w:val="both"/>
        <w:rPr>
          <w:sz w:val="24"/>
        </w:rPr>
      </w:pPr>
      <w:r>
        <w:rPr>
          <w:sz w:val="24"/>
        </w:rPr>
        <w:t>GLOBAL</w:t>
      </w:r>
      <w:r>
        <w:rPr>
          <w:spacing w:val="-1"/>
          <w:sz w:val="24"/>
        </w:rPr>
        <w:t xml:space="preserve"> </w:t>
      </w:r>
      <w:r>
        <w:rPr>
          <w:sz w:val="24"/>
        </w:rPr>
        <w:t xml:space="preserve">PLATFORM FOR THE RIGHT TO THE CITY. </w:t>
      </w:r>
      <w:r>
        <w:rPr>
          <w:b/>
          <w:sz w:val="24"/>
        </w:rPr>
        <w:t>Carta Mundial do Direito à</w:t>
      </w:r>
      <w:r>
        <w:rPr>
          <w:b/>
          <w:spacing w:val="-2"/>
          <w:sz w:val="24"/>
        </w:rPr>
        <w:t xml:space="preserve"> </w:t>
      </w:r>
      <w:r>
        <w:rPr>
          <w:b/>
          <w:sz w:val="24"/>
        </w:rPr>
        <w:t>Cidade</w:t>
      </w:r>
      <w:r>
        <w:rPr>
          <w:sz w:val="24"/>
        </w:rPr>
        <w:t xml:space="preserve">. Porto Alegre, 2005. Disponível em: https://bit.ly/48uEn1S. Acesso em: 9 jan. </w:t>
      </w:r>
      <w:r>
        <w:rPr>
          <w:spacing w:val="-2"/>
          <w:sz w:val="24"/>
        </w:rPr>
        <w:t>2024.</w:t>
      </w:r>
    </w:p>
    <w:p w:rsidR="007259F2" w:rsidRDefault="00E655B4">
      <w:pPr>
        <w:pStyle w:val="Corpodetexto"/>
        <w:spacing w:before="119"/>
        <w:ind w:firstLine="0"/>
        <w:jc w:val="left"/>
      </w:pPr>
      <w:r>
        <w:t>MARQUES,</w:t>
      </w:r>
      <w:r>
        <w:rPr>
          <w:spacing w:val="40"/>
        </w:rPr>
        <w:t xml:space="preserve"> </w:t>
      </w:r>
      <w:r>
        <w:t>Eduardo</w:t>
      </w:r>
      <w:r>
        <w:rPr>
          <w:spacing w:val="40"/>
        </w:rPr>
        <w:t xml:space="preserve"> </w:t>
      </w:r>
      <w:r>
        <w:t>César;</w:t>
      </w:r>
      <w:r>
        <w:rPr>
          <w:spacing w:val="40"/>
        </w:rPr>
        <w:t xml:space="preserve"> </w:t>
      </w:r>
      <w:hyperlink r:id="rId89">
        <w:r>
          <w:t>TORRES,</w:t>
        </w:r>
        <w:r>
          <w:rPr>
            <w:spacing w:val="40"/>
          </w:rPr>
          <w:t xml:space="preserve"> </w:t>
        </w:r>
        <w:r>
          <w:t>Haroldo.</w:t>
        </w:r>
      </w:hyperlink>
      <w:r>
        <w:rPr>
          <w:spacing w:val="40"/>
        </w:rPr>
        <w:t xml:space="preserve"> </w:t>
      </w:r>
      <w:r>
        <w:rPr>
          <w:b/>
        </w:rPr>
        <w:t>São</w:t>
      </w:r>
      <w:r>
        <w:rPr>
          <w:b/>
          <w:spacing w:val="40"/>
        </w:rPr>
        <w:t xml:space="preserve"> </w:t>
      </w:r>
      <w:r>
        <w:rPr>
          <w:b/>
        </w:rPr>
        <w:t>Paulo</w:t>
      </w:r>
      <w:r>
        <w:t>:</w:t>
      </w:r>
      <w:r>
        <w:rPr>
          <w:spacing w:val="40"/>
        </w:rPr>
        <w:t xml:space="preserve"> </w:t>
      </w:r>
      <w:r>
        <w:t>segregação,</w:t>
      </w:r>
      <w:r>
        <w:rPr>
          <w:spacing w:val="40"/>
        </w:rPr>
        <w:t xml:space="preserve"> </w:t>
      </w:r>
      <w:r>
        <w:t>pobreza</w:t>
      </w:r>
      <w:r>
        <w:rPr>
          <w:spacing w:val="40"/>
        </w:rPr>
        <w:t xml:space="preserve"> </w:t>
      </w:r>
      <w:r>
        <w:t>e desigualdades sociais. São Paulo: Editora Senac, 2004.</w:t>
      </w:r>
    </w:p>
    <w:p w:rsidR="007259F2" w:rsidRDefault="00E655B4">
      <w:pPr>
        <w:pStyle w:val="Corpodetexto"/>
        <w:spacing w:before="120"/>
        <w:ind w:right="990" w:firstLine="0"/>
        <w:jc w:val="left"/>
      </w:pPr>
      <w:r>
        <w:t xml:space="preserve">MELO, Marcelo Augusto Santana. O direito à moradia e o papel do registro de imóveis na regularização fundiária. </w:t>
      </w:r>
      <w:r>
        <w:rPr>
          <w:b/>
        </w:rPr>
        <w:t>Revista de Direito Imobiliário</w:t>
      </w:r>
      <w:r>
        <w:t>, [</w:t>
      </w:r>
      <w:r>
        <w:rPr>
          <w:i/>
        </w:rPr>
        <w:t>S.l</w:t>
      </w:r>
      <w:r>
        <w:t>], v. 69, p. 9, jul. 2010.</w:t>
      </w:r>
    </w:p>
    <w:p w:rsidR="007259F2" w:rsidRDefault="00E655B4">
      <w:pPr>
        <w:spacing w:before="120"/>
        <w:ind w:left="710"/>
        <w:rPr>
          <w:sz w:val="24"/>
        </w:rPr>
      </w:pPr>
      <w:r>
        <w:rPr>
          <w:sz w:val="24"/>
        </w:rPr>
        <w:t>MONTEIRO,</w:t>
      </w:r>
      <w:r>
        <w:rPr>
          <w:spacing w:val="19"/>
          <w:sz w:val="24"/>
        </w:rPr>
        <w:t xml:space="preserve"> </w:t>
      </w:r>
      <w:r>
        <w:rPr>
          <w:sz w:val="24"/>
        </w:rPr>
        <w:t>Washington</w:t>
      </w:r>
      <w:r>
        <w:rPr>
          <w:spacing w:val="20"/>
          <w:sz w:val="24"/>
        </w:rPr>
        <w:t xml:space="preserve"> </w:t>
      </w:r>
      <w:r>
        <w:rPr>
          <w:sz w:val="24"/>
        </w:rPr>
        <w:t>de</w:t>
      </w:r>
      <w:r>
        <w:rPr>
          <w:spacing w:val="19"/>
          <w:sz w:val="24"/>
        </w:rPr>
        <w:t xml:space="preserve"> </w:t>
      </w:r>
      <w:r>
        <w:rPr>
          <w:sz w:val="24"/>
        </w:rPr>
        <w:t>Barros.</w:t>
      </w:r>
      <w:r>
        <w:rPr>
          <w:spacing w:val="19"/>
          <w:sz w:val="24"/>
        </w:rPr>
        <w:t xml:space="preserve"> </w:t>
      </w:r>
      <w:r>
        <w:rPr>
          <w:b/>
          <w:sz w:val="24"/>
        </w:rPr>
        <w:t>Curso</w:t>
      </w:r>
      <w:r>
        <w:rPr>
          <w:b/>
          <w:spacing w:val="20"/>
          <w:sz w:val="24"/>
        </w:rPr>
        <w:t xml:space="preserve"> </w:t>
      </w:r>
      <w:r>
        <w:rPr>
          <w:b/>
          <w:sz w:val="24"/>
        </w:rPr>
        <w:t>de</w:t>
      </w:r>
      <w:r>
        <w:rPr>
          <w:b/>
          <w:spacing w:val="19"/>
          <w:sz w:val="24"/>
        </w:rPr>
        <w:t xml:space="preserve"> </w:t>
      </w:r>
      <w:r>
        <w:rPr>
          <w:b/>
          <w:sz w:val="24"/>
        </w:rPr>
        <w:t>direito</w:t>
      </w:r>
      <w:r>
        <w:rPr>
          <w:b/>
          <w:spacing w:val="19"/>
          <w:sz w:val="24"/>
        </w:rPr>
        <w:t xml:space="preserve"> </w:t>
      </w:r>
      <w:r>
        <w:rPr>
          <w:b/>
          <w:sz w:val="24"/>
        </w:rPr>
        <w:t>civil</w:t>
      </w:r>
      <w:r>
        <w:rPr>
          <w:sz w:val="24"/>
        </w:rPr>
        <w:t>:</w:t>
      </w:r>
      <w:r>
        <w:rPr>
          <w:spacing w:val="21"/>
          <w:sz w:val="24"/>
        </w:rPr>
        <w:t xml:space="preserve"> </w:t>
      </w:r>
      <w:r>
        <w:rPr>
          <w:sz w:val="24"/>
        </w:rPr>
        <w:t>direito</w:t>
      </w:r>
      <w:r>
        <w:rPr>
          <w:spacing w:val="20"/>
          <w:sz w:val="24"/>
        </w:rPr>
        <w:t xml:space="preserve"> </w:t>
      </w:r>
      <w:r>
        <w:rPr>
          <w:sz w:val="24"/>
        </w:rPr>
        <w:t>das</w:t>
      </w:r>
      <w:r>
        <w:rPr>
          <w:spacing w:val="21"/>
          <w:sz w:val="24"/>
        </w:rPr>
        <w:t xml:space="preserve"> </w:t>
      </w:r>
      <w:r>
        <w:rPr>
          <w:sz w:val="24"/>
        </w:rPr>
        <w:t>coisas.</w:t>
      </w:r>
      <w:r>
        <w:rPr>
          <w:spacing w:val="19"/>
          <w:sz w:val="24"/>
        </w:rPr>
        <w:t xml:space="preserve"> </w:t>
      </w:r>
      <w:r>
        <w:rPr>
          <w:sz w:val="24"/>
        </w:rPr>
        <w:t>v.</w:t>
      </w:r>
      <w:r>
        <w:rPr>
          <w:spacing w:val="20"/>
          <w:sz w:val="24"/>
        </w:rPr>
        <w:t xml:space="preserve"> </w:t>
      </w:r>
      <w:r>
        <w:rPr>
          <w:spacing w:val="-5"/>
          <w:sz w:val="24"/>
        </w:rPr>
        <w:t>3.</w:t>
      </w:r>
    </w:p>
    <w:p w:rsidR="007259F2" w:rsidRDefault="00E655B4">
      <w:pPr>
        <w:pStyle w:val="Corpodetexto"/>
        <w:ind w:firstLine="0"/>
        <w:jc w:val="left"/>
      </w:pPr>
      <w:r>
        <w:t>43.</w:t>
      </w:r>
      <w:r>
        <w:rPr>
          <w:spacing w:val="-5"/>
        </w:rPr>
        <w:t xml:space="preserve"> </w:t>
      </w:r>
      <w:r>
        <w:t>ed.</w:t>
      </w:r>
      <w:r>
        <w:rPr>
          <w:spacing w:val="-1"/>
        </w:rPr>
        <w:t xml:space="preserve"> </w:t>
      </w:r>
      <w:r>
        <w:t>São</w:t>
      </w:r>
      <w:r>
        <w:rPr>
          <w:spacing w:val="-1"/>
        </w:rPr>
        <w:t xml:space="preserve"> </w:t>
      </w:r>
      <w:r>
        <w:t>Paulo:</w:t>
      </w:r>
      <w:r>
        <w:rPr>
          <w:spacing w:val="-1"/>
        </w:rPr>
        <w:t xml:space="preserve"> </w:t>
      </w:r>
      <w:r>
        <w:t>Saraiva,</w:t>
      </w:r>
      <w:r>
        <w:rPr>
          <w:spacing w:val="-1"/>
        </w:rPr>
        <w:t xml:space="preserve"> </w:t>
      </w:r>
      <w:r>
        <w:rPr>
          <w:spacing w:val="-2"/>
        </w:rPr>
        <w:t>2014.</w:t>
      </w:r>
    </w:p>
    <w:p w:rsidR="007259F2" w:rsidRDefault="00E655B4">
      <w:pPr>
        <w:spacing w:before="122"/>
        <w:ind w:left="710"/>
        <w:rPr>
          <w:sz w:val="24"/>
        </w:rPr>
      </w:pPr>
      <w:r>
        <w:rPr>
          <w:sz w:val="24"/>
        </w:rPr>
        <w:t>MONTESQUIEU.</w:t>
      </w:r>
      <w:r>
        <w:rPr>
          <w:spacing w:val="-6"/>
          <w:sz w:val="24"/>
        </w:rPr>
        <w:t xml:space="preserve"> </w:t>
      </w:r>
      <w:r>
        <w:rPr>
          <w:b/>
          <w:sz w:val="24"/>
        </w:rPr>
        <w:t>O</w:t>
      </w:r>
      <w:r>
        <w:rPr>
          <w:b/>
          <w:spacing w:val="-1"/>
          <w:sz w:val="24"/>
        </w:rPr>
        <w:t xml:space="preserve"> </w:t>
      </w:r>
      <w:r>
        <w:rPr>
          <w:b/>
          <w:sz w:val="24"/>
        </w:rPr>
        <w:t>espírito</w:t>
      </w:r>
      <w:r>
        <w:rPr>
          <w:b/>
          <w:spacing w:val="-4"/>
          <w:sz w:val="24"/>
        </w:rPr>
        <w:t xml:space="preserve"> </w:t>
      </w:r>
      <w:r>
        <w:rPr>
          <w:b/>
          <w:sz w:val="24"/>
        </w:rPr>
        <w:t>das</w:t>
      </w:r>
      <w:r>
        <w:rPr>
          <w:b/>
          <w:spacing w:val="-1"/>
          <w:sz w:val="24"/>
        </w:rPr>
        <w:t xml:space="preserve"> </w:t>
      </w:r>
      <w:r>
        <w:rPr>
          <w:b/>
          <w:sz w:val="24"/>
        </w:rPr>
        <w:t>leis</w:t>
      </w:r>
      <w:r>
        <w:rPr>
          <w:sz w:val="24"/>
        </w:rPr>
        <w:t>.</w:t>
      </w:r>
      <w:r>
        <w:rPr>
          <w:spacing w:val="-1"/>
          <w:sz w:val="24"/>
        </w:rPr>
        <w:t xml:space="preserve"> </w:t>
      </w:r>
      <w:r>
        <w:rPr>
          <w:sz w:val="24"/>
        </w:rPr>
        <w:t>2.</w:t>
      </w:r>
      <w:r>
        <w:rPr>
          <w:spacing w:val="-1"/>
          <w:sz w:val="24"/>
        </w:rPr>
        <w:t xml:space="preserve"> </w:t>
      </w:r>
      <w:r>
        <w:rPr>
          <w:sz w:val="24"/>
        </w:rPr>
        <w:t>ed.</w:t>
      </w:r>
      <w:r>
        <w:rPr>
          <w:spacing w:val="-1"/>
          <w:sz w:val="24"/>
        </w:rPr>
        <w:t xml:space="preserve"> </w:t>
      </w:r>
      <w:r>
        <w:rPr>
          <w:sz w:val="24"/>
        </w:rPr>
        <w:t>São</w:t>
      </w:r>
      <w:r>
        <w:rPr>
          <w:spacing w:val="-4"/>
          <w:sz w:val="24"/>
        </w:rPr>
        <w:t xml:space="preserve"> </w:t>
      </w:r>
      <w:r>
        <w:rPr>
          <w:sz w:val="24"/>
        </w:rPr>
        <w:t>Paulo: Martins</w:t>
      </w:r>
      <w:r>
        <w:rPr>
          <w:spacing w:val="-1"/>
          <w:sz w:val="24"/>
        </w:rPr>
        <w:t xml:space="preserve"> </w:t>
      </w:r>
      <w:r>
        <w:rPr>
          <w:sz w:val="24"/>
        </w:rPr>
        <w:t>Fontes,</w:t>
      </w:r>
      <w:r>
        <w:rPr>
          <w:spacing w:val="-1"/>
          <w:sz w:val="24"/>
        </w:rPr>
        <w:t xml:space="preserve"> </w:t>
      </w:r>
      <w:r>
        <w:rPr>
          <w:spacing w:val="-2"/>
          <w:sz w:val="24"/>
        </w:rPr>
        <w:t>2000.</w:t>
      </w:r>
    </w:p>
    <w:p w:rsidR="007259F2" w:rsidRDefault="00E655B4">
      <w:pPr>
        <w:spacing w:before="161" w:line="276" w:lineRule="auto"/>
        <w:ind w:left="712" w:right="1202"/>
        <w:jc w:val="both"/>
        <w:rPr>
          <w:sz w:val="24"/>
        </w:rPr>
      </w:pPr>
      <w:r>
        <w:rPr>
          <w:sz w:val="24"/>
        </w:rPr>
        <w:t xml:space="preserve">MST. </w:t>
      </w:r>
      <w:r>
        <w:rPr>
          <w:b/>
          <w:sz w:val="24"/>
        </w:rPr>
        <w:t>Desabamento de ponte impede trânsito de famílias sem terra e comunidades no RS</w:t>
      </w:r>
      <w:r>
        <w:rPr>
          <w:sz w:val="24"/>
        </w:rPr>
        <w:t>. [</w:t>
      </w:r>
      <w:r>
        <w:rPr>
          <w:i/>
          <w:sz w:val="24"/>
        </w:rPr>
        <w:t>S.l</w:t>
      </w:r>
      <w:r>
        <w:rPr>
          <w:sz w:val="24"/>
        </w:rPr>
        <w:t>], 2022. Disponível em: https://bit.ly/3tE1PL3. Acesso em: 19 dez. 2023.</w:t>
      </w:r>
    </w:p>
    <w:p w:rsidR="007259F2" w:rsidRDefault="00E655B4">
      <w:pPr>
        <w:pStyle w:val="Corpodetexto"/>
        <w:spacing w:before="198"/>
        <w:ind w:right="1243" w:firstLine="0"/>
      </w:pPr>
      <w:r>
        <w:t xml:space="preserve">NAVARRO, Roberto. Qual foi a primeira favela do Brasil? </w:t>
      </w:r>
      <w:r>
        <w:rPr>
          <w:b/>
        </w:rPr>
        <w:t>Revista Super Interessante</w:t>
      </w:r>
      <w:r>
        <w:t>, [</w:t>
      </w:r>
      <w:r>
        <w:rPr>
          <w:i/>
        </w:rPr>
        <w:t>S.l</w:t>
      </w:r>
      <w:r>
        <w:t>], 4 jul. 2018. Disponível em: https://bit.ly/48tFSxf. Acesso em: 9 jan. 2024.</w:t>
      </w:r>
    </w:p>
    <w:p w:rsidR="007259F2" w:rsidRDefault="00E655B4">
      <w:pPr>
        <w:spacing w:before="122" w:line="276" w:lineRule="auto"/>
        <w:ind w:left="710" w:right="1679"/>
        <w:jc w:val="both"/>
        <w:rPr>
          <w:sz w:val="24"/>
        </w:rPr>
      </w:pPr>
      <w:r>
        <w:rPr>
          <w:sz w:val="24"/>
        </w:rPr>
        <w:t xml:space="preserve">ONU. </w:t>
      </w:r>
      <w:r>
        <w:rPr>
          <w:b/>
          <w:sz w:val="24"/>
        </w:rPr>
        <w:t>Universal Declaration of Human Rights</w:t>
      </w:r>
      <w:r>
        <w:rPr>
          <w:sz w:val="24"/>
        </w:rPr>
        <w:t>. Paris, 1948. Disponível em: https://bit.ly/48u6zBU. Acesso em: 10 jan. 2024.</w:t>
      </w:r>
    </w:p>
    <w:p w:rsidR="007259F2" w:rsidRDefault="00E655B4">
      <w:pPr>
        <w:pStyle w:val="Corpodetexto"/>
        <w:spacing w:before="117"/>
        <w:ind w:left="712" w:right="1119" w:firstLine="0"/>
      </w:pPr>
      <w:r>
        <w:t xml:space="preserve">PEÑA, C. R. Um modelo de avaliação da eficiência da administração pública através do método análise envoltória de dados. </w:t>
      </w:r>
      <w:r>
        <w:rPr>
          <w:b/>
        </w:rPr>
        <w:t>Revista de Administração Contemporânea</w:t>
      </w:r>
      <w:r>
        <w:t>, [</w:t>
      </w:r>
      <w:r>
        <w:rPr>
          <w:i/>
        </w:rPr>
        <w:t>S.l</w:t>
      </w:r>
      <w:r>
        <w:t>],</w:t>
      </w:r>
      <w:r>
        <w:rPr>
          <w:spacing w:val="13"/>
        </w:rPr>
        <w:t xml:space="preserve"> </w:t>
      </w:r>
      <w:r>
        <w:t>v.</w:t>
      </w:r>
      <w:r>
        <w:rPr>
          <w:spacing w:val="14"/>
        </w:rPr>
        <w:t xml:space="preserve"> </w:t>
      </w:r>
      <w:r>
        <w:t>12,</w:t>
      </w:r>
      <w:r>
        <w:rPr>
          <w:spacing w:val="13"/>
        </w:rPr>
        <w:t xml:space="preserve"> </w:t>
      </w:r>
      <w:r>
        <w:t>n.</w:t>
      </w:r>
      <w:r>
        <w:rPr>
          <w:spacing w:val="16"/>
        </w:rPr>
        <w:t xml:space="preserve"> </w:t>
      </w:r>
      <w:r>
        <w:t>1,</w:t>
      </w:r>
      <w:r>
        <w:rPr>
          <w:spacing w:val="15"/>
        </w:rPr>
        <w:t xml:space="preserve"> </w:t>
      </w:r>
      <w:r>
        <w:t>p.</w:t>
      </w:r>
      <w:r>
        <w:rPr>
          <w:spacing w:val="16"/>
        </w:rPr>
        <w:t xml:space="preserve"> </w:t>
      </w:r>
      <w:r>
        <w:t>83–106,</w:t>
      </w:r>
      <w:r>
        <w:rPr>
          <w:spacing w:val="15"/>
        </w:rPr>
        <w:t xml:space="preserve"> </w:t>
      </w:r>
      <w:r>
        <w:t>jan.</w:t>
      </w:r>
      <w:r>
        <w:rPr>
          <w:spacing w:val="16"/>
        </w:rPr>
        <w:t xml:space="preserve"> </w:t>
      </w:r>
      <w:r>
        <w:t>2008.</w:t>
      </w:r>
      <w:r>
        <w:rPr>
          <w:spacing w:val="15"/>
        </w:rPr>
        <w:t xml:space="preserve"> </w:t>
      </w:r>
      <w:r>
        <w:t>Disponível</w:t>
      </w:r>
      <w:r>
        <w:rPr>
          <w:spacing w:val="17"/>
        </w:rPr>
        <w:t xml:space="preserve"> </w:t>
      </w:r>
      <w:r>
        <w:t>em:</w:t>
      </w:r>
      <w:r>
        <w:rPr>
          <w:spacing w:val="16"/>
        </w:rPr>
        <w:t xml:space="preserve"> </w:t>
      </w:r>
      <w:r>
        <w:t>https://bit.ly/3Sc9Hwt.</w:t>
      </w:r>
      <w:r>
        <w:rPr>
          <w:spacing w:val="17"/>
        </w:rPr>
        <w:t xml:space="preserve"> </w:t>
      </w:r>
      <w:r>
        <w:rPr>
          <w:spacing w:val="-2"/>
        </w:rPr>
        <w:t>Acesso</w:t>
      </w:r>
    </w:p>
    <w:p w:rsidR="007259F2" w:rsidRDefault="00E655B4">
      <w:pPr>
        <w:pStyle w:val="Corpodetexto"/>
        <w:spacing w:before="1"/>
        <w:ind w:left="712" w:firstLine="0"/>
      </w:pPr>
      <w:r>
        <w:t>em:</w:t>
      </w:r>
      <w:r>
        <w:rPr>
          <w:spacing w:val="-1"/>
        </w:rPr>
        <w:t xml:space="preserve"> </w:t>
      </w:r>
      <w:r>
        <w:t xml:space="preserve">9 jan. </w:t>
      </w:r>
      <w:r>
        <w:rPr>
          <w:spacing w:val="-2"/>
        </w:rPr>
        <w:t>2024.</w:t>
      </w:r>
    </w:p>
    <w:p w:rsidR="007259F2" w:rsidRDefault="00E655B4">
      <w:pPr>
        <w:pStyle w:val="Corpodetexto"/>
        <w:spacing w:before="276"/>
        <w:ind w:right="1247" w:firstLine="0"/>
      </w:pPr>
      <w:r>
        <w:t>PEREIRA,</w:t>
      </w:r>
      <w:r>
        <w:rPr>
          <w:spacing w:val="-2"/>
        </w:rPr>
        <w:t xml:space="preserve"> </w:t>
      </w:r>
      <w:r>
        <w:t>Lafayette</w:t>
      </w:r>
      <w:r>
        <w:rPr>
          <w:spacing w:val="-2"/>
        </w:rPr>
        <w:t xml:space="preserve"> </w:t>
      </w:r>
      <w:r>
        <w:t>Rodrigues.</w:t>
      </w:r>
      <w:r>
        <w:rPr>
          <w:spacing w:val="-1"/>
        </w:rPr>
        <w:t xml:space="preserve"> </w:t>
      </w:r>
      <w:r>
        <w:rPr>
          <w:b/>
        </w:rPr>
        <w:t>Direito</w:t>
      </w:r>
      <w:r>
        <w:rPr>
          <w:b/>
          <w:spacing w:val="-4"/>
        </w:rPr>
        <w:t xml:space="preserve"> </w:t>
      </w:r>
      <w:r>
        <w:rPr>
          <w:b/>
        </w:rPr>
        <w:t>das</w:t>
      </w:r>
      <w:r>
        <w:rPr>
          <w:b/>
          <w:spacing w:val="-2"/>
        </w:rPr>
        <w:t xml:space="preserve"> </w:t>
      </w:r>
      <w:r>
        <w:rPr>
          <w:b/>
        </w:rPr>
        <w:t>coisas</w:t>
      </w:r>
      <w:r>
        <w:t>.</w:t>
      </w:r>
      <w:r>
        <w:rPr>
          <w:spacing w:val="-4"/>
        </w:rPr>
        <w:t xml:space="preserve"> </w:t>
      </w:r>
      <w:r>
        <w:t>6.</w:t>
      </w:r>
      <w:r>
        <w:rPr>
          <w:spacing w:val="-4"/>
        </w:rPr>
        <w:t xml:space="preserve"> </w:t>
      </w:r>
      <w:r>
        <w:t>ed.</w:t>
      </w:r>
      <w:r>
        <w:rPr>
          <w:spacing w:val="-2"/>
        </w:rPr>
        <w:t xml:space="preserve"> </w:t>
      </w:r>
      <w:r>
        <w:t>adaptação</w:t>
      </w:r>
      <w:r>
        <w:rPr>
          <w:spacing w:val="-2"/>
        </w:rPr>
        <w:t xml:space="preserve"> </w:t>
      </w:r>
      <w:r>
        <w:t>ao</w:t>
      </w:r>
      <w:r>
        <w:rPr>
          <w:spacing w:val="-2"/>
        </w:rPr>
        <w:t xml:space="preserve"> </w:t>
      </w:r>
      <w:r>
        <w:t>Código</w:t>
      </w:r>
      <w:r>
        <w:rPr>
          <w:spacing w:val="-4"/>
        </w:rPr>
        <w:t xml:space="preserve"> </w:t>
      </w:r>
      <w:r>
        <w:t>Civil por José Bonifácio de Andrada e Silva. Rio de Janeiro: Freitas Bastos, 1956.</w:t>
      </w:r>
    </w:p>
    <w:p w:rsidR="007259F2" w:rsidRDefault="00E655B4">
      <w:pPr>
        <w:spacing w:before="120"/>
        <w:ind w:left="710" w:right="1241"/>
        <w:jc w:val="both"/>
        <w:rPr>
          <w:sz w:val="24"/>
        </w:rPr>
      </w:pPr>
      <w:r>
        <w:rPr>
          <w:sz w:val="24"/>
        </w:rPr>
        <w:t>PIOVESAN,</w:t>
      </w:r>
      <w:r>
        <w:rPr>
          <w:spacing w:val="-5"/>
          <w:sz w:val="24"/>
        </w:rPr>
        <w:t xml:space="preserve"> </w:t>
      </w:r>
      <w:r>
        <w:rPr>
          <w:sz w:val="24"/>
        </w:rPr>
        <w:t>Flávia.</w:t>
      </w:r>
      <w:r>
        <w:rPr>
          <w:spacing w:val="-2"/>
          <w:sz w:val="24"/>
        </w:rPr>
        <w:t xml:space="preserve"> </w:t>
      </w:r>
      <w:r>
        <w:rPr>
          <w:b/>
          <w:sz w:val="24"/>
        </w:rPr>
        <w:t>Direitos</w:t>
      </w:r>
      <w:r>
        <w:rPr>
          <w:b/>
          <w:spacing w:val="-4"/>
          <w:sz w:val="24"/>
        </w:rPr>
        <w:t xml:space="preserve"> </w:t>
      </w:r>
      <w:r>
        <w:rPr>
          <w:b/>
          <w:sz w:val="24"/>
        </w:rPr>
        <w:t>humanos</w:t>
      </w:r>
      <w:r>
        <w:rPr>
          <w:b/>
          <w:spacing w:val="-4"/>
          <w:sz w:val="24"/>
        </w:rPr>
        <w:t xml:space="preserve"> </w:t>
      </w:r>
      <w:r>
        <w:rPr>
          <w:b/>
          <w:sz w:val="24"/>
        </w:rPr>
        <w:t>e</w:t>
      </w:r>
      <w:r>
        <w:rPr>
          <w:b/>
          <w:spacing w:val="-5"/>
          <w:sz w:val="24"/>
        </w:rPr>
        <w:t xml:space="preserve"> </w:t>
      </w:r>
      <w:r>
        <w:rPr>
          <w:b/>
          <w:sz w:val="24"/>
        </w:rPr>
        <w:t>o</w:t>
      </w:r>
      <w:r>
        <w:rPr>
          <w:b/>
          <w:spacing w:val="-4"/>
          <w:sz w:val="24"/>
        </w:rPr>
        <w:t xml:space="preserve"> </w:t>
      </w:r>
      <w:r>
        <w:rPr>
          <w:b/>
          <w:sz w:val="24"/>
        </w:rPr>
        <w:t>direito</w:t>
      </w:r>
      <w:r>
        <w:rPr>
          <w:b/>
          <w:spacing w:val="-3"/>
          <w:sz w:val="24"/>
        </w:rPr>
        <w:t xml:space="preserve"> </w:t>
      </w:r>
      <w:r>
        <w:rPr>
          <w:b/>
          <w:sz w:val="24"/>
        </w:rPr>
        <w:t>constitucional</w:t>
      </w:r>
      <w:r>
        <w:rPr>
          <w:b/>
          <w:spacing w:val="-3"/>
          <w:sz w:val="24"/>
        </w:rPr>
        <w:t xml:space="preserve"> </w:t>
      </w:r>
      <w:r>
        <w:rPr>
          <w:b/>
          <w:sz w:val="24"/>
        </w:rPr>
        <w:t>internacional</w:t>
      </w:r>
      <w:r>
        <w:rPr>
          <w:sz w:val="24"/>
        </w:rPr>
        <w:t>.</w:t>
      </w:r>
      <w:r>
        <w:rPr>
          <w:spacing w:val="-4"/>
          <w:sz w:val="24"/>
        </w:rPr>
        <w:t xml:space="preserve"> </w:t>
      </w:r>
      <w:r>
        <w:rPr>
          <w:sz w:val="24"/>
        </w:rPr>
        <w:t>14. ed., rev. e atual. São Paulo: Saraiva, 2013.</w:t>
      </w:r>
    </w:p>
    <w:p w:rsidR="007259F2" w:rsidRDefault="00E655B4">
      <w:pPr>
        <w:spacing w:before="122" w:line="276" w:lineRule="auto"/>
        <w:ind w:left="712" w:right="988"/>
        <w:jc w:val="both"/>
        <w:rPr>
          <w:sz w:val="24"/>
        </w:rPr>
      </w:pPr>
      <w:r>
        <w:rPr>
          <w:sz w:val="24"/>
        </w:rPr>
        <w:t xml:space="preserve">SALLES, V. A. de P. Regularização fundiária. In: ROLNIK, Raquel </w:t>
      </w:r>
      <w:r>
        <w:rPr>
          <w:i/>
          <w:sz w:val="24"/>
        </w:rPr>
        <w:t>et. al</w:t>
      </w:r>
      <w:r>
        <w:rPr>
          <w:sz w:val="24"/>
        </w:rPr>
        <w:t xml:space="preserve">. </w:t>
      </w:r>
      <w:r>
        <w:rPr>
          <w:b/>
          <w:sz w:val="24"/>
        </w:rPr>
        <w:t>Regularização fundiária de</w:t>
      </w:r>
      <w:r>
        <w:rPr>
          <w:b/>
          <w:spacing w:val="-1"/>
          <w:sz w:val="24"/>
        </w:rPr>
        <w:t xml:space="preserve"> </w:t>
      </w:r>
      <w:r>
        <w:rPr>
          <w:b/>
          <w:sz w:val="24"/>
        </w:rPr>
        <w:t>assentamentos informais urbanos</w:t>
      </w:r>
      <w:r>
        <w:rPr>
          <w:sz w:val="24"/>
        </w:rPr>
        <w:t>.</w:t>
      </w:r>
      <w:r>
        <w:rPr>
          <w:spacing w:val="-2"/>
          <w:sz w:val="24"/>
        </w:rPr>
        <w:t xml:space="preserve"> </w:t>
      </w:r>
      <w:r>
        <w:rPr>
          <w:sz w:val="24"/>
        </w:rPr>
        <w:t>Belo Horizonte: PUC Minas Virtual, 2006.</w:t>
      </w:r>
    </w:p>
    <w:p w:rsidR="007259F2" w:rsidRDefault="00E655B4">
      <w:pPr>
        <w:spacing w:before="118" w:line="276" w:lineRule="auto"/>
        <w:ind w:left="712" w:right="989"/>
        <w:jc w:val="both"/>
        <w:rPr>
          <w:sz w:val="24"/>
        </w:rPr>
      </w:pPr>
      <w:r>
        <w:rPr>
          <w:sz w:val="24"/>
        </w:rPr>
        <w:t xml:space="preserve">SÃO PAULO (SP). </w:t>
      </w:r>
      <w:r>
        <w:rPr>
          <w:b/>
          <w:sz w:val="24"/>
        </w:rPr>
        <w:t>Decreto nº 49.498 de 16 de maio de 2008</w:t>
      </w:r>
      <w:r>
        <w:rPr>
          <w:sz w:val="24"/>
        </w:rPr>
        <w:t xml:space="preserve">. São Paulo, SP: Prefeitura Municipal, 2008. Disponível em: https://bit.ly/3ScjrXJ. Acesso em: 5 dez. </w:t>
      </w:r>
      <w:r>
        <w:rPr>
          <w:spacing w:val="-2"/>
          <w:sz w:val="24"/>
        </w:rPr>
        <w:t>2023.</w:t>
      </w:r>
    </w:p>
    <w:p w:rsidR="007259F2" w:rsidRDefault="007259F2">
      <w:pPr>
        <w:spacing w:line="276" w:lineRule="auto"/>
        <w:jc w:val="both"/>
        <w:rPr>
          <w:sz w:val="24"/>
        </w:rPr>
        <w:sectPr w:rsidR="007259F2">
          <w:pgSz w:w="11910" w:h="16840"/>
          <w:pgMar w:top="1320" w:right="708" w:bottom="1160" w:left="992" w:header="0" w:footer="962" w:gutter="0"/>
          <w:cols w:space="720"/>
        </w:sectPr>
      </w:pPr>
    </w:p>
    <w:p w:rsidR="007259F2" w:rsidRDefault="00E655B4">
      <w:pPr>
        <w:spacing w:before="72" w:line="278" w:lineRule="auto"/>
        <w:ind w:left="712" w:right="986"/>
        <w:jc w:val="both"/>
        <w:rPr>
          <w:sz w:val="24"/>
        </w:rPr>
      </w:pPr>
      <w:r>
        <w:rPr>
          <w:sz w:val="24"/>
        </w:rPr>
        <w:lastRenderedPageBreak/>
        <w:t xml:space="preserve">SÃO PAULO (SP). </w:t>
      </w:r>
      <w:r>
        <w:rPr>
          <w:b/>
          <w:sz w:val="24"/>
        </w:rPr>
        <w:t>Lei nº 14.665 de 8 de janeiro de 2008</w:t>
      </w:r>
      <w:r>
        <w:rPr>
          <w:sz w:val="24"/>
        </w:rPr>
        <w:t>. São Paulo, SP: Prefeitura Municipal, 2008. Disponível em: https://bit.ly/48E5pDI. Acesso em: 5 dez. 2023.</w:t>
      </w:r>
    </w:p>
    <w:p w:rsidR="007259F2" w:rsidRDefault="00E655B4">
      <w:pPr>
        <w:spacing w:before="195" w:line="276" w:lineRule="auto"/>
        <w:ind w:left="712" w:right="1553"/>
        <w:jc w:val="both"/>
        <w:rPr>
          <w:sz w:val="24"/>
        </w:rPr>
      </w:pPr>
      <w:r>
        <w:rPr>
          <w:sz w:val="24"/>
        </w:rPr>
        <w:t xml:space="preserve">SÃO PAULO. Tribunal de Justiça. </w:t>
      </w:r>
      <w:r>
        <w:rPr>
          <w:b/>
          <w:sz w:val="24"/>
        </w:rPr>
        <w:t>Apelação Cível 0008794-36.2009.8.26.0053</w:t>
      </w:r>
      <w:r>
        <w:rPr>
          <w:sz w:val="24"/>
        </w:rPr>
        <w:t>. Relator: Des. Ruy Alberto Leme Cavalheiro, 14 mai. 2015. Disponível em: https://bit.ly/3vsKm8J. Acesso em: 19 dez. 2023.</w:t>
      </w:r>
    </w:p>
    <w:p w:rsidR="007259F2" w:rsidRDefault="00E655B4">
      <w:pPr>
        <w:spacing w:before="200" w:line="276" w:lineRule="auto"/>
        <w:ind w:left="712" w:right="1167"/>
        <w:jc w:val="both"/>
        <w:rPr>
          <w:sz w:val="24"/>
        </w:rPr>
      </w:pPr>
      <w:r>
        <w:rPr>
          <w:sz w:val="24"/>
        </w:rPr>
        <w:t xml:space="preserve">SÃO PAULO. Tribunal de Justiça. </w:t>
      </w:r>
      <w:r>
        <w:rPr>
          <w:b/>
          <w:sz w:val="24"/>
        </w:rPr>
        <w:t>Apelação Cível 0043776-07.2011.8.26.0506</w:t>
      </w:r>
      <w:r>
        <w:rPr>
          <w:sz w:val="24"/>
        </w:rPr>
        <w:t xml:space="preserve">. </w:t>
      </w:r>
      <w:r>
        <w:rPr>
          <w:spacing w:val="-6"/>
          <w:sz w:val="24"/>
        </w:rPr>
        <w:t>Relator: Des.</w:t>
      </w:r>
      <w:r>
        <w:rPr>
          <w:sz w:val="24"/>
        </w:rPr>
        <w:t xml:space="preserve"> </w:t>
      </w:r>
      <w:r>
        <w:rPr>
          <w:spacing w:val="-6"/>
          <w:sz w:val="24"/>
        </w:rPr>
        <w:t>Francisco</w:t>
      </w:r>
      <w:r>
        <w:rPr>
          <w:sz w:val="24"/>
        </w:rPr>
        <w:t xml:space="preserve"> </w:t>
      </w:r>
      <w:r>
        <w:rPr>
          <w:spacing w:val="-6"/>
          <w:sz w:val="24"/>
        </w:rPr>
        <w:t>Bianco,</w:t>
      </w:r>
      <w:r>
        <w:rPr>
          <w:sz w:val="24"/>
        </w:rPr>
        <w:t xml:space="preserve"> </w:t>
      </w:r>
      <w:r>
        <w:rPr>
          <w:spacing w:val="-6"/>
          <w:sz w:val="24"/>
        </w:rPr>
        <w:t>2 jun.</w:t>
      </w:r>
      <w:r>
        <w:rPr>
          <w:sz w:val="24"/>
        </w:rPr>
        <w:t xml:space="preserve"> </w:t>
      </w:r>
      <w:r>
        <w:rPr>
          <w:spacing w:val="-6"/>
          <w:sz w:val="24"/>
        </w:rPr>
        <w:t>2023.</w:t>
      </w:r>
      <w:r>
        <w:rPr>
          <w:sz w:val="24"/>
        </w:rPr>
        <w:t xml:space="preserve"> </w:t>
      </w:r>
      <w:r>
        <w:rPr>
          <w:spacing w:val="-6"/>
          <w:sz w:val="24"/>
        </w:rPr>
        <w:t>Disponível</w:t>
      </w:r>
      <w:r>
        <w:rPr>
          <w:spacing w:val="-9"/>
          <w:sz w:val="24"/>
        </w:rPr>
        <w:t xml:space="preserve"> </w:t>
      </w:r>
      <w:r>
        <w:rPr>
          <w:spacing w:val="-6"/>
          <w:sz w:val="24"/>
        </w:rPr>
        <w:t>em:</w:t>
      </w:r>
      <w:r>
        <w:rPr>
          <w:spacing w:val="-9"/>
          <w:sz w:val="24"/>
        </w:rPr>
        <w:t xml:space="preserve"> </w:t>
      </w:r>
      <w:r>
        <w:rPr>
          <w:spacing w:val="-6"/>
          <w:sz w:val="24"/>
        </w:rPr>
        <w:t>https://bit.ly/3TPea9P.</w:t>
      </w:r>
      <w:r>
        <w:rPr>
          <w:sz w:val="24"/>
        </w:rPr>
        <w:t xml:space="preserve"> </w:t>
      </w:r>
      <w:r>
        <w:rPr>
          <w:spacing w:val="-6"/>
          <w:sz w:val="24"/>
        </w:rPr>
        <w:t xml:space="preserve">Acesso </w:t>
      </w:r>
      <w:r>
        <w:rPr>
          <w:sz w:val="24"/>
        </w:rPr>
        <w:t>em: 19 dez. 2023.</w:t>
      </w:r>
    </w:p>
    <w:p w:rsidR="007259F2" w:rsidRDefault="00E655B4">
      <w:pPr>
        <w:spacing w:before="197"/>
        <w:ind w:left="710" w:right="989"/>
        <w:jc w:val="both"/>
        <w:rPr>
          <w:sz w:val="24"/>
        </w:rPr>
      </w:pPr>
      <w:r>
        <w:rPr>
          <w:sz w:val="24"/>
        </w:rPr>
        <w:t xml:space="preserve">SÃO PAULO. Tribunal de Justiça. </w:t>
      </w:r>
      <w:r>
        <w:rPr>
          <w:b/>
          <w:sz w:val="24"/>
        </w:rPr>
        <w:t>Apelação Cível 0112487-70.2008.8.26.0053</w:t>
      </w:r>
      <w:r>
        <w:rPr>
          <w:sz w:val="24"/>
        </w:rPr>
        <w:t>. Relator: Des. Marcelo Berthe, 20 out. 2015. Disponível em: https://bit.ly/4aTKFKe. Acesso em: 19 dez. 2023.</w:t>
      </w:r>
    </w:p>
    <w:p w:rsidR="007259F2" w:rsidRDefault="00E655B4">
      <w:pPr>
        <w:spacing w:before="123" w:line="276" w:lineRule="auto"/>
        <w:ind w:left="712" w:right="1181"/>
        <w:jc w:val="both"/>
        <w:rPr>
          <w:sz w:val="24"/>
        </w:rPr>
      </w:pPr>
      <w:r>
        <w:rPr>
          <w:sz w:val="24"/>
        </w:rPr>
        <w:t xml:space="preserve">SÃO PAULO. Tribunal de Justiça. </w:t>
      </w:r>
      <w:r>
        <w:rPr>
          <w:b/>
          <w:sz w:val="24"/>
        </w:rPr>
        <w:t>Apelação Cível 1003292-25.2018.8.26.0299</w:t>
      </w:r>
      <w:r>
        <w:rPr>
          <w:sz w:val="24"/>
        </w:rPr>
        <w:t>. Relator: Des. Sidney Romano dos Reis, 19 mai. 2021. Disponível em: https://bit.ly/4aS4cdW. Acesso em: 19 dez. 2023.</w:t>
      </w:r>
    </w:p>
    <w:p w:rsidR="007259F2" w:rsidRDefault="00E655B4">
      <w:pPr>
        <w:spacing w:before="121" w:line="276" w:lineRule="auto"/>
        <w:ind w:left="712" w:right="1229"/>
        <w:jc w:val="both"/>
        <w:rPr>
          <w:sz w:val="24"/>
        </w:rPr>
      </w:pPr>
      <w:r>
        <w:rPr>
          <w:sz w:val="24"/>
        </w:rPr>
        <w:t xml:space="preserve">SÃO PAULO. Tribunal de Justiça. </w:t>
      </w:r>
      <w:r>
        <w:rPr>
          <w:b/>
          <w:sz w:val="24"/>
        </w:rPr>
        <w:t>Apelação Cível 1005097-47.2018.8.26.0223</w:t>
      </w:r>
      <w:r>
        <w:rPr>
          <w:sz w:val="24"/>
        </w:rPr>
        <w:t xml:space="preserve">. </w:t>
      </w:r>
      <w:r>
        <w:rPr>
          <w:spacing w:val="-4"/>
          <w:sz w:val="24"/>
        </w:rPr>
        <w:t>Relator:</w:t>
      </w:r>
      <w:r>
        <w:rPr>
          <w:spacing w:val="-11"/>
          <w:sz w:val="24"/>
        </w:rPr>
        <w:t xml:space="preserve"> </w:t>
      </w:r>
      <w:r>
        <w:rPr>
          <w:spacing w:val="-4"/>
          <w:sz w:val="24"/>
        </w:rPr>
        <w:t>Des.</w:t>
      </w:r>
      <w:r>
        <w:rPr>
          <w:spacing w:val="-11"/>
          <w:sz w:val="24"/>
        </w:rPr>
        <w:t xml:space="preserve"> </w:t>
      </w:r>
      <w:r>
        <w:rPr>
          <w:spacing w:val="-4"/>
          <w:sz w:val="24"/>
        </w:rPr>
        <w:t>Aroldo</w:t>
      </w:r>
      <w:r>
        <w:rPr>
          <w:spacing w:val="-11"/>
          <w:sz w:val="24"/>
        </w:rPr>
        <w:t xml:space="preserve"> </w:t>
      </w:r>
      <w:r>
        <w:rPr>
          <w:spacing w:val="-4"/>
          <w:sz w:val="24"/>
        </w:rPr>
        <w:t>Viotti,</w:t>
      </w:r>
      <w:r>
        <w:rPr>
          <w:spacing w:val="-11"/>
          <w:sz w:val="24"/>
        </w:rPr>
        <w:t xml:space="preserve"> </w:t>
      </w:r>
      <w:r>
        <w:rPr>
          <w:spacing w:val="-4"/>
          <w:sz w:val="24"/>
        </w:rPr>
        <w:t>24 out. 2018. Disponível</w:t>
      </w:r>
      <w:r>
        <w:rPr>
          <w:spacing w:val="-11"/>
          <w:sz w:val="24"/>
        </w:rPr>
        <w:t xml:space="preserve"> </w:t>
      </w:r>
      <w:r>
        <w:rPr>
          <w:spacing w:val="-4"/>
          <w:sz w:val="24"/>
        </w:rPr>
        <w:t>em:</w:t>
      </w:r>
      <w:r>
        <w:rPr>
          <w:spacing w:val="-11"/>
          <w:sz w:val="24"/>
        </w:rPr>
        <w:t xml:space="preserve"> </w:t>
      </w:r>
      <w:r>
        <w:rPr>
          <w:spacing w:val="-4"/>
          <w:sz w:val="24"/>
        </w:rPr>
        <w:t>https://bit.ly/3TVo1uK.</w:t>
      </w:r>
      <w:r>
        <w:rPr>
          <w:spacing w:val="-11"/>
          <w:sz w:val="24"/>
        </w:rPr>
        <w:t xml:space="preserve"> </w:t>
      </w:r>
      <w:r>
        <w:rPr>
          <w:spacing w:val="-4"/>
          <w:sz w:val="24"/>
        </w:rPr>
        <w:t xml:space="preserve">Acesso </w:t>
      </w:r>
      <w:r>
        <w:rPr>
          <w:sz w:val="24"/>
        </w:rPr>
        <w:t>em:</w:t>
      </w:r>
      <w:r>
        <w:rPr>
          <w:spacing w:val="-23"/>
          <w:sz w:val="24"/>
        </w:rPr>
        <w:t xml:space="preserve"> </w:t>
      </w:r>
      <w:r>
        <w:rPr>
          <w:sz w:val="24"/>
        </w:rPr>
        <w:t>19</w:t>
      </w:r>
      <w:r>
        <w:rPr>
          <w:spacing w:val="-23"/>
          <w:sz w:val="24"/>
        </w:rPr>
        <w:t xml:space="preserve"> </w:t>
      </w:r>
      <w:r>
        <w:rPr>
          <w:sz w:val="24"/>
        </w:rPr>
        <w:t>dez.</w:t>
      </w:r>
      <w:r>
        <w:rPr>
          <w:spacing w:val="-30"/>
          <w:sz w:val="24"/>
        </w:rPr>
        <w:t xml:space="preserve"> </w:t>
      </w:r>
      <w:r>
        <w:rPr>
          <w:sz w:val="24"/>
        </w:rPr>
        <w:t>2023.</w:t>
      </w:r>
    </w:p>
    <w:p w:rsidR="007259F2" w:rsidRDefault="00E655B4">
      <w:pPr>
        <w:spacing w:before="200" w:line="276" w:lineRule="auto"/>
        <w:ind w:left="712" w:right="1678"/>
        <w:jc w:val="both"/>
        <w:rPr>
          <w:sz w:val="24"/>
        </w:rPr>
      </w:pPr>
      <w:r>
        <w:rPr>
          <w:sz w:val="24"/>
        </w:rPr>
        <w:t xml:space="preserve">SÃO PAULO. Tribunal de Justiça. </w:t>
      </w:r>
      <w:r>
        <w:rPr>
          <w:b/>
          <w:sz w:val="24"/>
        </w:rPr>
        <w:t>Arguição de Inconstitucionalidade 0041454- 43.2012.8.26.0000</w:t>
      </w:r>
      <w:r>
        <w:rPr>
          <w:sz w:val="24"/>
        </w:rPr>
        <w:t>. Relator: Des. José Renato Nalini, 22 mar. 2013. Disponível em: https://bit.ly/4aMP2GF. Acesso em: 19 dez. 2023.</w:t>
      </w:r>
    </w:p>
    <w:p w:rsidR="007259F2" w:rsidRDefault="00E655B4">
      <w:pPr>
        <w:spacing w:before="200" w:line="276" w:lineRule="auto"/>
        <w:ind w:left="712" w:right="987"/>
        <w:jc w:val="both"/>
        <w:rPr>
          <w:sz w:val="24"/>
        </w:rPr>
      </w:pPr>
      <w:r>
        <w:rPr>
          <w:sz w:val="24"/>
        </w:rPr>
        <w:t xml:space="preserve">SARLET, I. W. </w:t>
      </w:r>
      <w:r>
        <w:rPr>
          <w:b/>
          <w:sz w:val="24"/>
        </w:rPr>
        <w:t>A eficácia dos direitos fundamentais</w:t>
      </w:r>
      <w:r>
        <w:rPr>
          <w:sz w:val="24"/>
        </w:rPr>
        <w:t>: uma teoria geral dos direitos fundamentais na perspectiva constitucional. 10. ed. Porto Alegre: Livraria do</w:t>
      </w:r>
      <w:r>
        <w:rPr>
          <w:spacing w:val="40"/>
          <w:sz w:val="24"/>
        </w:rPr>
        <w:t xml:space="preserve"> </w:t>
      </w:r>
      <w:r>
        <w:rPr>
          <w:sz w:val="24"/>
        </w:rPr>
        <w:t>Advogado, 2009.</w:t>
      </w:r>
    </w:p>
    <w:p w:rsidR="007259F2" w:rsidRDefault="00E655B4">
      <w:pPr>
        <w:pStyle w:val="Corpodetexto"/>
        <w:spacing w:before="200" w:line="276" w:lineRule="auto"/>
        <w:ind w:left="712" w:right="1104" w:firstLine="0"/>
      </w:pPr>
      <w:r>
        <w:t xml:space="preserve">SCHREIBER, Mariana. Aluguel caro pressiona deficit habitacional nas metrópoles. </w:t>
      </w:r>
      <w:r>
        <w:rPr>
          <w:b/>
        </w:rPr>
        <w:t>BBC News Brasil</w:t>
      </w:r>
      <w:r>
        <w:t>, 29 mai. 2014. Disponível em: https://bit.ly/48qw33i. Acesso em: 5 dez. 2023.</w:t>
      </w:r>
    </w:p>
    <w:p w:rsidR="007259F2" w:rsidRDefault="00E655B4">
      <w:pPr>
        <w:pStyle w:val="Corpodetexto"/>
        <w:spacing w:before="198"/>
        <w:ind w:right="990" w:firstLine="0"/>
      </w:pPr>
      <w:r>
        <w:t>SECCHI,</w:t>
      </w:r>
      <w:r>
        <w:rPr>
          <w:spacing w:val="-5"/>
        </w:rPr>
        <w:t xml:space="preserve"> </w:t>
      </w:r>
      <w:r>
        <w:t>Leonardo.</w:t>
      </w:r>
      <w:r>
        <w:rPr>
          <w:spacing w:val="-3"/>
        </w:rPr>
        <w:t xml:space="preserve"> </w:t>
      </w:r>
      <w:r>
        <w:rPr>
          <w:b/>
        </w:rPr>
        <w:t>Políticas</w:t>
      </w:r>
      <w:r>
        <w:rPr>
          <w:b/>
          <w:spacing w:val="-4"/>
        </w:rPr>
        <w:t xml:space="preserve"> </w:t>
      </w:r>
      <w:r>
        <w:rPr>
          <w:b/>
        </w:rPr>
        <w:t>Públicas</w:t>
      </w:r>
      <w:r>
        <w:t>:</w:t>
      </w:r>
      <w:r>
        <w:rPr>
          <w:spacing w:val="-7"/>
        </w:rPr>
        <w:t xml:space="preserve"> </w:t>
      </w:r>
      <w:r>
        <w:t>conceitos,</w:t>
      </w:r>
      <w:r>
        <w:rPr>
          <w:spacing w:val="-7"/>
        </w:rPr>
        <w:t xml:space="preserve"> </w:t>
      </w:r>
      <w:r>
        <w:t>esquemas</w:t>
      </w:r>
      <w:r>
        <w:rPr>
          <w:spacing w:val="-8"/>
        </w:rPr>
        <w:t xml:space="preserve"> </w:t>
      </w:r>
      <w:r>
        <w:t>de</w:t>
      </w:r>
      <w:r>
        <w:rPr>
          <w:spacing w:val="-6"/>
        </w:rPr>
        <w:t xml:space="preserve"> </w:t>
      </w:r>
      <w:r>
        <w:t>análises,</w:t>
      </w:r>
      <w:r>
        <w:rPr>
          <w:spacing w:val="-5"/>
        </w:rPr>
        <w:t xml:space="preserve"> </w:t>
      </w:r>
      <w:r>
        <w:t>casos</w:t>
      </w:r>
      <w:r>
        <w:rPr>
          <w:spacing w:val="-7"/>
        </w:rPr>
        <w:t xml:space="preserve"> </w:t>
      </w:r>
      <w:r>
        <w:t>práticos. São Paulo: Cengage Learning, 2012.</w:t>
      </w:r>
    </w:p>
    <w:p w:rsidR="007259F2" w:rsidRDefault="00E655B4">
      <w:pPr>
        <w:pStyle w:val="Corpodetexto"/>
        <w:spacing w:before="120"/>
        <w:ind w:right="986" w:firstLine="0"/>
      </w:pPr>
      <w:r>
        <w:t xml:space="preserve">SILVESTRE, Gilberto Fachetti. Usucapião coletiva. </w:t>
      </w:r>
      <w:r>
        <w:rPr>
          <w:b/>
        </w:rPr>
        <w:t>Enciclopédia Jurídica da</w:t>
      </w:r>
      <w:r>
        <w:rPr>
          <w:b/>
          <w:spacing w:val="40"/>
        </w:rPr>
        <w:t xml:space="preserve"> </w:t>
      </w:r>
      <w:r>
        <w:rPr>
          <w:b/>
        </w:rPr>
        <w:t>PUCSP</w:t>
      </w:r>
      <w:r>
        <w:t xml:space="preserve">: São Paulo, 2020. Disponível em: https://bit.ly/3NWCu5R. Acesso em: 1 dez. </w:t>
      </w:r>
      <w:r>
        <w:rPr>
          <w:spacing w:val="-2"/>
        </w:rPr>
        <w:t>2023.</w:t>
      </w:r>
    </w:p>
    <w:p w:rsidR="007259F2" w:rsidRDefault="007259F2">
      <w:pPr>
        <w:pStyle w:val="Corpodetexto"/>
        <w:ind w:left="0" w:firstLine="0"/>
        <w:jc w:val="left"/>
      </w:pPr>
    </w:p>
    <w:p w:rsidR="007259F2" w:rsidRDefault="00E655B4">
      <w:pPr>
        <w:pStyle w:val="Corpodetexto"/>
        <w:ind w:right="1209" w:firstLine="0"/>
      </w:pPr>
      <w:r>
        <w:t xml:space="preserve">SMANIO, Gianpaolo Poggio. Legitimidade jurídica das políticas públicas: a efetivação da cidadania. In: SMANIO, Gianpaolo Poggio; BERTOLINI, Patrícia Tuma Martins (orgs). </w:t>
      </w:r>
      <w:r>
        <w:rPr>
          <w:b/>
        </w:rPr>
        <w:t>O direito e as políticas públicas no Brasil</w:t>
      </w:r>
      <w:r>
        <w:t xml:space="preserve">. São Paulo: Atlas, </w:t>
      </w:r>
      <w:r>
        <w:rPr>
          <w:spacing w:val="-2"/>
        </w:rPr>
        <w:t>2013.</w:t>
      </w:r>
    </w:p>
    <w:p w:rsidR="007259F2" w:rsidRDefault="00E655B4">
      <w:pPr>
        <w:pStyle w:val="Corpodetexto"/>
        <w:spacing w:before="118"/>
        <w:ind w:right="990" w:firstLine="0"/>
        <w:jc w:val="left"/>
      </w:pPr>
      <w:r>
        <w:t>SOUZA,</w:t>
      </w:r>
      <w:r>
        <w:rPr>
          <w:spacing w:val="77"/>
        </w:rPr>
        <w:t xml:space="preserve"> </w:t>
      </w:r>
      <w:r>
        <w:t>Celina.</w:t>
      </w:r>
      <w:r>
        <w:rPr>
          <w:spacing w:val="80"/>
        </w:rPr>
        <w:t xml:space="preserve"> </w:t>
      </w:r>
      <w:r>
        <w:t>Políticas</w:t>
      </w:r>
      <w:r>
        <w:rPr>
          <w:spacing w:val="79"/>
        </w:rPr>
        <w:t xml:space="preserve"> </w:t>
      </w:r>
      <w:r>
        <w:t>Públicas:</w:t>
      </w:r>
      <w:r>
        <w:rPr>
          <w:spacing w:val="78"/>
        </w:rPr>
        <w:t xml:space="preserve"> </w:t>
      </w:r>
      <w:r>
        <w:t>uma</w:t>
      </w:r>
      <w:r>
        <w:rPr>
          <w:spacing w:val="77"/>
        </w:rPr>
        <w:t xml:space="preserve"> </w:t>
      </w:r>
      <w:r>
        <w:t>revisão</w:t>
      </w:r>
      <w:r>
        <w:rPr>
          <w:spacing w:val="78"/>
        </w:rPr>
        <w:t xml:space="preserve"> </w:t>
      </w:r>
      <w:r>
        <w:t>da</w:t>
      </w:r>
      <w:r>
        <w:rPr>
          <w:spacing w:val="76"/>
        </w:rPr>
        <w:t xml:space="preserve"> </w:t>
      </w:r>
      <w:r>
        <w:t>literatura.</w:t>
      </w:r>
      <w:r>
        <w:rPr>
          <w:spacing w:val="78"/>
        </w:rPr>
        <w:t xml:space="preserve"> </w:t>
      </w:r>
      <w:r>
        <w:rPr>
          <w:b/>
        </w:rPr>
        <w:t>Sociologias</w:t>
      </w:r>
      <w:r>
        <w:t>,</w:t>
      </w:r>
      <w:r>
        <w:rPr>
          <w:spacing w:val="80"/>
        </w:rPr>
        <w:t xml:space="preserve"> </w:t>
      </w:r>
      <w:r>
        <w:t>Porto Alegre,</w:t>
      </w:r>
      <w:r>
        <w:rPr>
          <w:spacing w:val="-2"/>
        </w:rPr>
        <w:t xml:space="preserve"> </w:t>
      </w:r>
      <w:r>
        <w:t>a. 8,</w:t>
      </w:r>
      <w:r>
        <w:rPr>
          <w:spacing w:val="-4"/>
        </w:rPr>
        <w:t xml:space="preserve"> </w:t>
      </w:r>
      <w:r>
        <w:t>n. 16,</w:t>
      </w:r>
      <w:r>
        <w:rPr>
          <w:spacing w:val="-1"/>
        </w:rPr>
        <w:t xml:space="preserve"> </w:t>
      </w:r>
      <w:r>
        <w:t>p. 20-45,</w:t>
      </w:r>
      <w:r>
        <w:rPr>
          <w:spacing w:val="1"/>
        </w:rPr>
        <w:t xml:space="preserve"> </w:t>
      </w:r>
      <w:r>
        <w:t>jul/dez</w:t>
      </w:r>
      <w:r>
        <w:rPr>
          <w:spacing w:val="-1"/>
        </w:rPr>
        <w:t xml:space="preserve"> </w:t>
      </w:r>
      <w:r>
        <w:t>2006. Disponível</w:t>
      </w:r>
      <w:r>
        <w:rPr>
          <w:spacing w:val="2"/>
        </w:rPr>
        <w:t xml:space="preserve"> </w:t>
      </w:r>
      <w:r>
        <w:t>em:</w:t>
      </w:r>
      <w:r>
        <w:rPr>
          <w:spacing w:val="1"/>
        </w:rPr>
        <w:t xml:space="preserve"> </w:t>
      </w:r>
      <w:r>
        <w:t>https://bit.ly/41S2d5a.</w:t>
      </w:r>
      <w:r>
        <w:rPr>
          <w:spacing w:val="1"/>
        </w:rPr>
        <w:t xml:space="preserve"> </w:t>
      </w:r>
      <w:r>
        <w:rPr>
          <w:spacing w:val="-2"/>
        </w:rPr>
        <w:t>Acesso</w:t>
      </w:r>
    </w:p>
    <w:p w:rsidR="007259F2" w:rsidRDefault="00E655B4">
      <w:pPr>
        <w:pStyle w:val="Corpodetexto"/>
        <w:ind w:firstLine="0"/>
        <w:jc w:val="left"/>
      </w:pPr>
      <w:r>
        <w:t>em: 4 jan.</w:t>
      </w:r>
      <w:r>
        <w:rPr>
          <w:spacing w:val="-1"/>
        </w:rPr>
        <w:t xml:space="preserve"> </w:t>
      </w:r>
      <w:r>
        <w:rPr>
          <w:spacing w:val="-2"/>
        </w:rPr>
        <w:t>2024.</w:t>
      </w:r>
    </w:p>
    <w:p w:rsidR="007259F2" w:rsidRDefault="00E655B4">
      <w:pPr>
        <w:pStyle w:val="Corpodetexto"/>
        <w:spacing w:before="121"/>
        <w:ind w:firstLine="0"/>
        <w:jc w:val="left"/>
      </w:pPr>
      <w:r>
        <w:t>STABILE,</w:t>
      </w:r>
      <w:r>
        <w:rPr>
          <w:spacing w:val="68"/>
          <w:w w:val="150"/>
        </w:rPr>
        <w:t xml:space="preserve"> </w:t>
      </w:r>
      <w:r>
        <w:t>Arthur.</w:t>
      </w:r>
      <w:r>
        <w:rPr>
          <w:spacing w:val="69"/>
          <w:w w:val="150"/>
        </w:rPr>
        <w:t xml:space="preserve"> </w:t>
      </w:r>
      <w:r>
        <w:t>Censo</w:t>
      </w:r>
      <w:r>
        <w:rPr>
          <w:spacing w:val="69"/>
          <w:w w:val="150"/>
        </w:rPr>
        <w:t xml:space="preserve"> </w:t>
      </w:r>
      <w:r>
        <w:t>2022:</w:t>
      </w:r>
      <w:r>
        <w:rPr>
          <w:spacing w:val="70"/>
          <w:w w:val="150"/>
        </w:rPr>
        <w:t xml:space="preserve"> </w:t>
      </w:r>
      <w:r>
        <w:t>imóveis</w:t>
      </w:r>
      <w:r>
        <w:rPr>
          <w:spacing w:val="70"/>
          <w:w w:val="150"/>
        </w:rPr>
        <w:t xml:space="preserve"> </w:t>
      </w:r>
      <w:r>
        <w:t>desocupados</w:t>
      </w:r>
      <w:r>
        <w:rPr>
          <w:spacing w:val="69"/>
          <w:w w:val="150"/>
        </w:rPr>
        <w:t xml:space="preserve"> </w:t>
      </w:r>
      <w:r>
        <w:t>representam</w:t>
      </w:r>
      <w:r>
        <w:rPr>
          <w:spacing w:val="70"/>
          <w:w w:val="150"/>
        </w:rPr>
        <w:t xml:space="preserve"> </w:t>
      </w:r>
      <w:r>
        <w:t>12</w:t>
      </w:r>
      <w:r>
        <w:rPr>
          <w:spacing w:val="69"/>
          <w:w w:val="150"/>
        </w:rPr>
        <w:t xml:space="preserve"> </w:t>
      </w:r>
      <w:r>
        <w:t>vezes</w:t>
      </w:r>
      <w:r>
        <w:rPr>
          <w:spacing w:val="69"/>
          <w:w w:val="150"/>
        </w:rPr>
        <w:t xml:space="preserve"> </w:t>
      </w:r>
      <w:r>
        <w:rPr>
          <w:spacing w:val="-10"/>
        </w:rPr>
        <w:t>a</w:t>
      </w:r>
    </w:p>
    <w:p w:rsidR="007259F2" w:rsidRDefault="007259F2">
      <w:pPr>
        <w:pStyle w:val="Corpodetexto"/>
        <w:jc w:val="left"/>
        <w:sectPr w:rsidR="007259F2">
          <w:pgSz w:w="11910" w:h="16840"/>
          <w:pgMar w:top="1320" w:right="708" w:bottom="1160" w:left="992" w:header="0" w:footer="962" w:gutter="0"/>
          <w:cols w:space="720"/>
        </w:sectPr>
      </w:pPr>
    </w:p>
    <w:p w:rsidR="007259F2" w:rsidRDefault="00E655B4">
      <w:pPr>
        <w:pStyle w:val="Corpodetexto"/>
        <w:spacing w:before="69"/>
        <w:ind w:right="1108" w:firstLine="0"/>
      </w:pPr>
      <w:r>
        <w:rPr>
          <w:spacing w:val="-6"/>
        </w:rPr>
        <w:lastRenderedPageBreak/>
        <w:t>população</w:t>
      </w:r>
      <w:r>
        <w:rPr>
          <w:spacing w:val="-9"/>
        </w:rPr>
        <w:t xml:space="preserve"> </w:t>
      </w:r>
      <w:r>
        <w:rPr>
          <w:spacing w:val="-6"/>
        </w:rPr>
        <w:t>de</w:t>
      </w:r>
      <w:r>
        <w:rPr>
          <w:spacing w:val="-9"/>
        </w:rPr>
        <w:t xml:space="preserve"> </w:t>
      </w:r>
      <w:r>
        <w:rPr>
          <w:spacing w:val="-6"/>
        </w:rPr>
        <w:t>rua</w:t>
      </w:r>
      <w:r>
        <w:rPr>
          <w:spacing w:val="-8"/>
        </w:rPr>
        <w:t xml:space="preserve"> </w:t>
      </w:r>
      <w:r>
        <w:rPr>
          <w:spacing w:val="-6"/>
        </w:rPr>
        <w:t xml:space="preserve">da cidade de SP. </w:t>
      </w:r>
      <w:r>
        <w:rPr>
          <w:b/>
          <w:spacing w:val="-6"/>
        </w:rPr>
        <w:t>G1</w:t>
      </w:r>
      <w:r>
        <w:rPr>
          <w:spacing w:val="-6"/>
        </w:rPr>
        <w:t>,</w:t>
      </w:r>
      <w:r>
        <w:t xml:space="preserve"> </w:t>
      </w:r>
      <w:r>
        <w:rPr>
          <w:spacing w:val="-6"/>
        </w:rPr>
        <w:t>1 set.</w:t>
      </w:r>
      <w:r>
        <w:t xml:space="preserve"> </w:t>
      </w:r>
      <w:r>
        <w:rPr>
          <w:spacing w:val="-6"/>
        </w:rPr>
        <w:t>2023.</w:t>
      </w:r>
      <w:r>
        <w:t xml:space="preserve"> </w:t>
      </w:r>
      <w:r>
        <w:rPr>
          <w:spacing w:val="-6"/>
        </w:rPr>
        <w:t>Disponível</w:t>
      </w:r>
      <w:r>
        <w:rPr>
          <w:spacing w:val="-9"/>
        </w:rPr>
        <w:t xml:space="preserve"> </w:t>
      </w:r>
      <w:r>
        <w:rPr>
          <w:spacing w:val="-6"/>
        </w:rPr>
        <w:t>em:</w:t>
      </w:r>
      <w:r>
        <w:rPr>
          <w:spacing w:val="-9"/>
        </w:rPr>
        <w:t xml:space="preserve"> </w:t>
      </w:r>
      <w:r>
        <w:rPr>
          <w:spacing w:val="-6"/>
        </w:rPr>
        <w:t xml:space="preserve">https://bit.ly/3TWVYLo. </w:t>
      </w:r>
      <w:r>
        <w:t>Acessoem:</w:t>
      </w:r>
      <w:r>
        <w:rPr>
          <w:spacing w:val="-30"/>
        </w:rPr>
        <w:t xml:space="preserve"> </w:t>
      </w:r>
      <w:r>
        <w:t>10</w:t>
      </w:r>
      <w:r>
        <w:rPr>
          <w:spacing w:val="-31"/>
        </w:rPr>
        <w:t xml:space="preserve"> </w:t>
      </w:r>
      <w:r>
        <w:t>jan.</w:t>
      </w:r>
      <w:r>
        <w:rPr>
          <w:spacing w:val="-27"/>
        </w:rPr>
        <w:t xml:space="preserve"> </w:t>
      </w:r>
      <w:r>
        <w:t>2024.</w:t>
      </w:r>
    </w:p>
    <w:p w:rsidR="007259F2" w:rsidRDefault="00E655B4">
      <w:pPr>
        <w:pStyle w:val="Corpodetexto"/>
        <w:spacing w:before="121"/>
        <w:ind w:right="1201" w:firstLine="0"/>
      </w:pPr>
      <w:r>
        <w:t xml:space="preserve">STRECK, Luis Lenio. O direito e o constrangimento epistemológico. Estado da Arte, 21 jul. 2020. São Paulo, </w:t>
      </w:r>
      <w:r>
        <w:rPr>
          <w:b/>
        </w:rPr>
        <w:t xml:space="preserve">Estadão. </w:t>
      </w:r>
      <w:r>
        <w:t>Disponível em: https://bit.ly/48vjOCC. Acesso em: 8 jan 2024.</w:t>
      </w:r>
    </w:p>
    <w:p w:rsidR="007259F2" w:rsidRDefault="00E655B4">
      <w:pPr>
        <w:pStyle w:val="Corpodetexto"/>
        <w:spacing w:before="120"/>
        <w:ind w:right="1221" w:firstLine="0"/>
      </w:pPr>
      <w:r>
        <w:t>TEPEDINO, Gustavo; SCHREIBER, Anderson. Função social da propriedade e legalidade</w:t>
      </w:r>
      <w:r>
        <w:rPr>
          <w:spacing w:val="-14"/>
        </w:rPr>
        <w:t xml:space="preserve"> </w:t>
      </w:r>
      <w:r>
        <w:t>constitucional.</w:t>
      </w:r>
      <w:r>
        <w:rPr>
          <w:spacing w:val="-15"/>
        </w:rPr>
        <w:t xml:space="preserve"> </w:t>
      </w:r>
      <w:r>
        <w:rPr>
          <w:b/>
        </w:rPr>
        <w:t>Direito,</w:t>
      </w:r>
      <w:r>
        <w:rPr>
          <w:b/>
          <w:spacing w:val="-15"/>
        </w:rPr>
        <w:t xml:space="preserve"> </w:t>
      </w:r>
      <w:r>
        <w:rPr>
          <w:b/>
        </w:rPr>
        <w:t>Estado</w:t>
      </w:r>
      <w:r>
        <w:rPr>
          <w:b/>
          <w:spacing w:val="-15"/>
        </w:rPr>
        <w:t xml:space="preserve"> </w:t>
      </w:r>
      <w:r>
        <w:rPr>
          <w:b/>
        </w:rPr>
        <w:t>e</w:t>
      </w:r>
      <w:r>
        <w:rPr>
          <w:b/>
          <w:spacing w:val="-15"/>
        </w:rPr>
        <w:t xml:space="preserve"> </w:t>
      </w:r>
      <w:r>
        <w:rPr>
          <w:b/>
        </w:rPr>
        <w:t>Sociedade</w:t>
      </w:r>
      <w:r>
        <w:t>,</w:t>
      </w:r>
      <w:r>
        <w:rPr>
          <w:spacing w:val="-15"/>
        </w:rPr>
        <w:t xml:space="preserve"> </w:t>
      </w:r>
      <w:r>
        <w:t>RiodeJaneiro,v.</w:t>
      </w:r>
      <w:r>
        <w:rPr>
          <w:spacing w:val="-12"/>
        </w:rPr>
        <w:t xml:space="preserve"> </w:t>
      </w:r>
      <w:r>
        <w:t>9,</w:t>
      </w:r>
      <w:r>
        <w:rPr>
          <w:spacing w:val="-15"/>
        </w:rPr>
        <w:t xml:space="preserve"> </w:t>
      </w:r>
      <w:r>
        <w:t>n.</w:t>
      </w:r>
      <w:r>
        <w:rPr>
          <w:spacing w:val="-15"/>
        </w:rPr>
        <w:t xml:space="preserve"> </w:t>
      </w:r>
      <w:r>
        <w:t>17,</w:t>
      </w:r>
      <w:r>
        <w:rPr>
          <w:spacing w:val="-15"/>
        </w:rPr>
        <w:t xml:space="preserve"> </w:t>
      </w:r>
      <w:r>
        <w:t>p.</w:t>
      </w:r>
      <w:r>
        <w:rPr>
          <w:spacing w:val="-15"/>
        </w:rPr>
        <w:t xml:space="preserve"> </w:t>
      </w:r>
      <w:r>
        <w:t>41- 57, ago/dez, 2000.</w:t>
      </w:r>
    </w:p>
    <w:p w:rsidR="007259F2" w:rsidRDefault="00E655B4">
      <w:pPr>
        <w:pStyle w:val="Corpodetexto"/>
        <w:spacing w:before="120"/>
        <w:ind w:right="1098" w:firstLine="0"/>
      </w:pPr>
      <w:r>
        <w:t xml:space="preserve">VIANA, Rui Geraldo Camargo. O direito à moradia. </w:t>
      </w:r>
      <w:r>
        <w:rPr>
          <w:b/>
        </w:rPr>
        <w:t>Revista da Faculdade de Direito</w:t>
      </w:r>
      <w:r>
        <w:t>, Universidade de São Paulo, [</w:t>
      </w:r>
      <w:r>
        <w:rPr>
          <w:i/>
        </w:rPr>
        <w:t>S. l.</w:t>
      </w:r>
      <w:r>
        <w:t>], v. 95, p. 543-552, 2000. Disponível em: https:/</w:t>
      </w:r>
      <w:hyperlink r:id="rId90">
        <w:r>
          <w:t>/www.revistas.usp.br/rfdusp/article/view/67487.</w:t>
        </w:r>
      </w:hyperlink>
      <w:r>
        <w:t xml:space="preserve"> Acesso em: 8 jan. 2024.</w:t>
      </w:r>
    </w:p>
    <w:p w:rsidR="007259F2" w:rsidRDefault="00E655B4">
      <w:pPr>
        <w:pStyle w:val="Corpodetexto"/>
        <w:spacing w:before="120"/>
        <w:ind w:left="712" w:right="986" w:firstLine="0"/>
      </w:pPr>
      <w:r>
        <w:t xml:space="preserve">WÖHLKE, Roberto. </w:t>
      </w:r>
      <w:r>
        <w:rPr>
          <w:b/>
        </w:rPr>
        <w:t>Análise de políticas públicas</w:t>
      </w:r>
      <w:r>
        <w:t>: o papel das instituições participativas na efetividade da Política Municipal de Assistência Social de Florianópolis no período de 2011 a 2015. Dissertação (Mestrado em Sociologia Política), Programa de Pós-graduação em Sociologia Política, Universidade Federal de Santa Catarina, Florianópolis-SC, 2016.</w:t>
      </w:r>
    </w:p>
    <w:p w:rsidR="007259F2" w:rsidRDefault="007259F2">
      <w:pPr>
        <w:pStyle w:val="Corpodetexto"/>
        <w:sectPr w:rsidR="007259F2">
          <w:pgSz w:w="11910" w:h="16840"/>
          <w:pgMar w:top="1320" w:right="708" w:bottom="1160" w:left="992" w:header="0" w:footer="962" w:gutter="0"/>
          <w:cols w:space="720"/>
        </w:sectPr>
      </w:pPr>
    </w:p>
    <w:p w:rsidR="007259F2" w:rsidRDefault="00E655B4">
      <w:pPr>
        <w:pStyle w:val="Heading2"/>
        <w:spacing w:before="74"/>
        <w:ind w:right="992"/>
      </w:pPr>
      <w:bookmarkStart w:id="8" w:name="_bookmark8"/>
      <w:bookmarkEnd w:id="8"/>
      <w:r>
        <w:lastRenderedPageBreak/>
        <w:t>Arrematação Judicial e a Responsabilidade Tributária pelos Débitos de IPTU: Análise da Lei e da Jurisprudência</w:t>
      </w:r>
    </w:p>
    <w:p w:rsidR="007259F2" w:rsidRDefault="007259F2">
      <w:pPr>
        <w:pStyle w:val="Corpodetexto"/>
        <w:spacing w:before="3"/>
        <w:ind w:left="0" w:firstLine="0"/>
        <w:jc w:val="left"/>
        <w:rPr>
          <w:b/>
        </w:rPr>
      </w:pPr>
    </w:p>
    <w:p w:rsidR="007259F2" w:rsidRDefault="00E655B4">
      <w:pPr>
        <w:ind w:left="729"/>
        <w:jc w:val="both"/>
        <w:rPr>
          <w:b/>
          <w:sz w:val="24"/>
        </w:rPr>
      </w:pPr>
      <w:r>
        <w:rPr>
          <w:b/>
          <w:sz w:val="24"/>
        </w:rPr>
        <w:t>Fábio</w:t>
      </w:r>
      <w:r>
        <w:rPr>
          <w:b/>
          <w:spacing w:val="-12"/>
          <w:sz w:val="24"/>
        </w:rPr>
        <w:t xml:space="preserve"> </w:t>
      </w:r>
      <w:r>
        <w:rPr>
          <w:b/>
          <w:sz w:val="24"/>
        </w:rPr>
        <w:t>Wyner</w:t>
      </w:r>
      <w:r>
        <w:rPr>
          <w:b/>
          <w:spacing w:val="1"/>
          <w:sz w:val="24"/>
        </w:rPr>
        <w:t xml:space="preserve"> </w:t>
      </w:r>
      <w:r>
        <w:rPr>
          <w:b/>
          <w:sz w:val="24"/>
        </w:rPr>
        <w:t>Portela</w:t>
      </w:r>
      <w:r>
        <w:rPr>
          <w:b/>
          <w:spacing w:val="1"/>
          <w:sz w:val="24"/>
        </w:rPr>
        <w:t xml:space="preserve"> </w:t>
      </w:r>
      <w:r>
        <w:rPr>
          <w:b/>
          <w:spacing w:val="-2"/>
          <w:sz w:val="24"/>
        </w:rPr>
        <w:t>Petri</w:t>
      </w:r>
      <w:r>
        <w:rPr>
          <w:b/>
          <w:spacing w:val="-2"/>
          <w:sz w:val="24"/>
          <w:vertAlign w:val="superscript"/>
        </w:rPr>
        <w:t>1</w:t>
      </w:r>
    </w:p>
    <w:p w:rsidR="007259F2" w:rsidRDefault="007259F2">
      <w:pPr>
        <w:pStyle w:val="Corpodetexto"/>
        <w:ind w:left="0" w:firstLine="0"/>
        <w:jc w:val="left"/>
        <w:rPr>
          <w:b/>
        </w:rPr>
      </w:pPr>
    </w:p>
    <w:p w:rsidR="007259F2" w:rsidRDefault="007259F2">
      <w:pPr>
        <w:pStyle w:val="Corpodetexto"/>
        <w:spacing w:before="60"/>
        <w:ind w:left="0" w:firstLine="0"/>
        <w:jc w:val="left"/>
        <w:rPr>
          <w:b/>
        </w:rPr>
      </w:pPr>
    </w:p>
    <w:p w:rsidR="007259F2" w:rsidRDefault="00E655B4">
      <w:pPr>
        <w:pStyle w:val="Heading1"/>
      </w:pPr>
      <w:r>
        <w:rPr>
          <w:spacing w:val="-2"/>
        </w:rPr>
        <w:t>RESUMO</w:t>
      </w:r>
    </w:p>
    <w:p w:rsidR="007259F2" w:rsidRDefault="00E655B4">
      <w:pPr>
        <w:pStyle w:val="Corpodetexto"/>
        <w:spacing w:before="235"/>
        <w:ind w:right="986" w:firstLine="0"/>
      </w:pPr>
      <w:r>
        <w:t>O objetivo deste artigo científico é analisar a eventual responsabilidade tributária pelos débitos de IPTU incidentes sobre o imóvel anteriores a arrematação em alienações judiciais. Para isso analisou-se a legislação e a jurisprudência dos tribunais superiores objetivando-se uma solução para a controvérsia acerca da responsabilidade pelos</w:t>
      </w:r>
      <w:r>
        <w:rPr>
          <w:spacing w:val="40"/>
        </w:rPr>
        <w:t xml:space="preserve"> </w:t>
      </w:r>
      <w:r>
        <w:t>débitos tributários de IPTU e eventuais requerimentos de certidões negativas de débitos. A controvérsia, em resumo, reside na eficácia e validade do edital de leilão e suas disposições em detrimento do disposto no Código Tributário Nacional. Em síntese pacificou-se na jurisprudência das Cortes Superiores que o disposto no edital de leilão deve</w:t>
      </w:r>
      <w:r>
        <w:rPr>
          <w:spacing w:val="-1"/>
        </w:rPr>
        <w:t xml:space="preserve"> </w:t>
      </w:r>
      <w:r>
        <w:t>ser observado para apurar se há responsabilidade ou não do arrematante.</w:t>
      </w:r>
    </w:p>
    <w:p w:rsidR="007259F2" w:rsidRDefault="00E655B4">
      <w:pPr>
        <w:spacing w:before="121"/>
        <w:ind w:left="710"/>
        <w:jc w:val="both"/>
        <w:rPr>
          <w:sz w:val="24"/>
        </w:rPr>
      </w:pPr>
      <w:r>
        <w:rPr>
          <w:b/>
          <w:spacing w:val="-6"/>
          <w:sz w:val="24"/>
        </w:rPr>
        <w:t>Palavras-chave</w:t>
      </w:r>
      <w:r>
        <w:rPr>
          <w:spacing w:val="-6"/>
          <w:sz w:val="24"/>
        </w:rPr>
        <w:t>:</w:t>
      </w:r>
      <w:r>
        <w:rPr>
          <w:sz w:val="24"/>
        </w:rPr>
        <w:t xml:space="preserve"> </w:t>
      </w:r>
      <w:r>
        <w:rPr>
          <w:spacing w:val="-6"/>
          <w:sz w:val="24"/>
        </w:rPr>
        <w:t>arrematação;</w:t>
      </w:r>
      <w:r>
        <w:rPr>
          <w:spacing w:val="-10"/>
          <w:sz w:val="24"/>
        </w:rPr>
        <w:t xml:space="preserve"> </w:t>
      </w:r>
      <w:r>
        <w:rPr>
          <w:spacing w:val="-6"/>
          <w:sz w:val="24"/>
        </w:rPr>
        <w:t>IPTU;</w:t>
      </w:r>
      <w:r>
        <w:rPr>
          <w:spacing w:val="-7"/>
          <w:sz w:val="24"/>
        </w:rPr>
        <w:t xml:space="preserve"> </w:t>
      </w:r>
      <w:r>
        <w:rPr>
          <w:spacing w:val="-6"/>
          <w:sz w:val="24"/>
        </w:rPr>
        <w:t>responsabilidade</w:t>
      </w:r>
      <w:r>
        <w:rPr>
          <w:spacing w:val="-9"/>
          <w:sz w:val="24"/>
        </w:rPr>
        <w:t xml:space="preserve"> </w:t>
      </w:r>
      <w:r>
        <w:rPr>
          <w:spacing w:val="-6"/>
          <w:sz w:val="24"/>
        </w:rPr>
        <w:t>tributária.</w:t>
      </w:r>
    </w:p>
    <w:p w:rsidR="007259F2" w:rsidRDefault="007259F2">
      <w:pPr>
        <w:pStyle w:val="Corpodetexto"/>
        <w:ind w:left="0" w:firstLine="0"/>
        <w:jc w:val="left"/>
      </w:pPr>
    </w:p>
    <w:p w:rsidR="007259F2" w:rsidRDefault="007259F2">
      <w:pPr>
        <w:pStyle w:val="Corpodetexto"/>
        <w:spacing w:before="26"/>
        <w:ind w:left="0" w:firstLine="0"/>
        <w:jc w:val="left"/>
      </w:pPr>
    </w:p>
    <w:p w:rsidR="007259F2" w:rsidRDefault="00E655B4">
      <w:pPr>
        <w:pStyle w:val="Heading1"/>
      </w:pPr>
      <w:r>
        <w:rPr>
          <w:spacing w:val="-2"/>
        </w:rPr>
        <w:t>ABSTRACT</w:t>
      </w:r>
    </w:p>
    <w:p w:rsidR="007259F2" w:rsidRDefault="00E655B4">
      <w:pPr>
        <w:pStyle w:val="Corpodetexto"/>
        <w:spacing w:before="233"/>
        <w:ind w:right="988" w:firstLine="0"/>
      </w:pPr>
      <w:r>
        <w:t>The objective of this scientific article is to analyze the possible tax liability for property tax debts levied on the property prior to the auction in judicial alienations. To this end, the legislation and jurisprudence of the higher courts were analyzed, aiming at a</w:t>
      </w:r>
      <w:r>
        <w:rPr>
          <w:spacing w:val="40"/>
        </w:rPr>
        <w:t xml:space="preserve"> </w:t>
      </w:r>
      <w:r>
        <w:t>solution to the controversy about the liability for IPTU tax debts and possible requests for debt clearance certificates. The controversy, in short, lies in the effectiveness and validity of the auction notice and its provisions to the detriment of the provisions of the National Tax Code. In summary, it has been settled in the jurisprudence of the Superior Courts</w:t>
      </w:r>
      <w:r>
        <w:rPr>
          <w:spacing w:val="-2"/>
        </w:rPr>
        <w:t xml:space="preserve"> </w:t>
      </w:r>
      <w:r>
        <w:t>that the</w:t>
      </w:r>
      <w:r>
        <w:rPr>
          <w:spacing w:val="-12"/>
        </w:rPr>
        <w:t xml:space="preserve"> </w:t>
      </w:r>
      <w:r>
        <w:t>provisions</w:t>
      </w:r>
      <w:r>
        <w:rPr>
          <w:spacing w:val="-11"/>
        </w:rPr>
        <w:t xml:space="preserve"> </w:t>
      </w:r>
      <w:r>
        <w:t>of</w:t>
      </w:r>
      <w:r>
        <w:rPr>
          <w:spacing w:val="-10"/>
        </w:rPr>
        <w:t xml:space="preserve"> </w:t>
      </w:r>
      <w:r>
        <w:t>the</w:t>
      </w:r>
      <w:r>
        <w:rPr>
          <w:spacing w:val="-12"/>
        </w:rPr>
        <w:t xml:space="preserve"> </w:t>
      </w:r>
      <w:r>
        <w:t>auction</w:t>
      </w:r>
      <w:r>
        <w:rPr>
          <w:spacing w:val="-11"/>
        </w:rPr>
        <w:t xml:space="preserve"> </w:t>
      </w:r>
      <w:r>
        <w:t>notice</w:t>
      </w:r>
      <w:r>
        <w:rPr>
          <w:spacing w:val="-13"/>
        </w:rPr>
        <w:t xml:space="preserve"> </w:t>
      </w:r>
      <w:r>
        <w:t>must</w:t>
      </w:r>
      <w:r>
        <w:rPr>
          <w:spacing w:val="-8"/>
        </w:rPr>
        <w:t xml:space="preserve"> </w:t>
      </w:r>
      <w:r>
        <w:t>be</w:t>
      </w:r>
      <w:r>
        <w:rPr>
          <w:spacing w:val="-13"/>
        </w:rPr>
        <w:t xml:space="preserve"> </w:t>
      </w:r>
      <w:r>
        <w:t>observed</w:t>
      </w:r>
      <w:r>
        <w:rPr>
          <w:spacing w:val="-12"/>
        </w:rPr>
        <w:t xml:space="preserve"> </w:t>
      </w:r>
      <w:r>
        <w:t>to</w:t>
      </w:r>
      <w:r>
        <w:rPr>
          <w:spacing w:val="-10"/>
        </w:rPr>
        <w:t xml:space="preserve"> </w:t>
      </w:r>
      <w:r>
        <w:t>determine</w:t>
      </w:r>
      <w:r>
        <w:rPr>
          <w:spacing w:val="-12"/>
        </w:rPr>
        <w:t xml:space="preserve"> </w:t>
      </w:r>
      <w:r>
        <w:t>whether</w:t>
      </w:r>
      <w:r>
        <w:rPr>
          <w:spacing w:val="-12"/>
        </w:rPr>
        <w:t xml:space="preserve"> </w:t>
      </w:r>
      <w:r>
        <w:t>or not there is liability of the bidder.</w:t>
      </w:r>
    </w:p>
    <w:p w:rsidR="007259F2" w:rsidRDefault="00E655B4">
      <w:pPr>
        <w:spacing w:before="123"/>
        <w:ind w:left="710"/>
        <w:jc w:val="both"/>
        <w:rPr>
          <w:sz w:val="24"/>
        </w:rPr>
      </w:pPr>
      <w:r>
        <w:rPr>
          <w:b/>
          <w:sz w:val="24"/>
        </w:rPr>
        <w:t>Keywords:</w:t>
      </w:r>
      <w:r>
        <w:rPr>
          <w:b/>
          <w:spacing w:val="39"/>
          <w:sz w:val="24"/>
        </w:rPr>
        <w:t xml:space="preserve"> </w:t>
      </w:r>
      <w:r>
        <w:rPr>
          <w:sz w:val="24"/>
        </w:rPr>
        <w:t>auction;</w:t>
      </w:r>
      <w:r>
        <w:rPr>
          <w:spacing w:val="-6"/>
          <w:sz w:val="24"/>
        </w:rPr>
        <w:t xml:space="preserve"> </w:t>
      </w:r>
      <w:r>
        <w:rPr>
          <w:sz w:val="24"/>
        </w:rPr>
        <w:t>IPTU;</w:t>
      </w:r>
      <w:r>
        <w:rPr>
          <w:spacing w:val="-4"/>
          <w:sz w:val="24"/>
        </w:rPr>
        <w:t xml:space="preserve"> </w:t>
      </w:r>
      <w:r>
        <w:rPr>
          <w:sz w:val="24"/>
        </w:rPr>
        <w:t>tax</w:t>
      </w:r>
      <w:r>
        <w:rPr>
          <w:spacing w:val="-8"/>
          <w:sz w:val="24"/>
        </w:rPr>
        <w:t xml:space="preserve"> </w:t>
      </w:r>
      <w:r>
        <w:rPr>
          <w:spacing w:val="-2"/>
          <w:sz w:val="24"/>
        </w:rPr>
        <w:t>liability.</w:t>
      </w:r>
    </w:p>
    <w:p w:rsidR="007259F2" w:rsidRDefault="007259F2">
      <w:pPr>
        <w:pStyle w:val="Corpodetexto"/>
        <w:ind w:left="0" w:firstLine="0"/>
        <w:jc w:val="left"/>
      </w:pPr>
    </w:p>
    <w:p w:rsidR="007259F2" w:rsidRDefault="007259F2">
      <w:pPr>
        <w:pStyle w:val="Corpodetexto"/>
        <w:spacing w:before="53"/>
        <w:ind w:left="0" w:firstLine="0"/>
        <w:jc w:val="left"/>
      </w:pPr>
    </w:p>
    <w:p w:rsidR="007259F2" w:rsidRDefault="00E655B4">
      <w:pPr>
        <w:pStyle w:val="Heading2"/>
        <w:numPr>
          <w:ilvl w:val="0"/>
          <w:numId w:val="36"/>
        </w:numPr>
        <w:tabs>
          <w:tab w:val="left" w:pos="884"/>
        </w:tabs>
        <w:spacing w:before="0"/>
        <w:ind w:left="884" w:hanging="174"/>
        <w:jc w:val="left"/>
      </w:pPr>
      <w:r>
        <w:rPr>
          <w:spacing w:val="-2"/>
        </w:rPr>
        <w:t>Introdução</w:t>
      </w:r>
    </w:p>
    <w:p w:rsidR="007259F2" w:rsidRDefault="00E655B4">
      <w:pPr>
        <w:pStyle w:val="Corpodetexto"/>
        <w:spacing w:before="234"/>
        <w:ind w:right="989"/>
      </w:pPr>
      <w:r>
        <w:t>A busca pela modalidade do leilão para a aquisição de imóveis intensificou-se. Com isso, análises diferentes acerca dos prós e contras desta prática foram aumentando no mesmo tempo em que crescia a divulgação do negócio no Brasil.</w:t>
      </w:r>
    </w:p>
    <w:p w:rsidR="007259F2" w:rsidRDefault="00E655B4">
      <w:pPr>
        <w:pStyle w:val="Corpodetexto"/>
        <w:ind w:right="990"/>
      </w:pPr>
      <w:r>
        <w:t>Daí a importância de se realizar um exame aprofundado acerca das nuances do leilão, como funciona, em relação aos impostos envolvidos, as regras e legislações relacionadas, bem</w:t>
      </w:r>
      <w:r>
        <w:rPr>
          <w:spacing w:val="-2"/>
        </w:rPr>
        <w:t xml:space="preserve"> </w:t>
      </w:r>
      <w:r>
        <w:t>como as vantagens e riscos inerentes à modalidade.</w:t>
      </w:r>
    </w:p>
    <w:p w:rsidR="007259F2" w:rsidRDefault="00E655B4">
      <w:pPr>
        <w:pStyle w:val="Corpodetexto"/>
        <w:ind w:right="991"/>
      </w:pPr>
      <w:r>
        <w:t>Nesse</w:t>
      </w:r>
      <w:r>
        <w:rPr>
          <w:spacing w:val="-3"/>
        </w:rPr>
        <w:t xml:space="preserve"> </w:t>
      </w:r>
      <w:r>
        <w:t>sentido,</w:t>
      </w:r>
      <w:r>
        <w:rPr>
          <w:spacing w:val="-5"/>
        </w:rPr>
        <w:t xml:space="preserve"> </w:t>
      </w:r>
      <w:r>
        <w:t>ao</w:t>
      </w:r>
      <w:r>
        <w:rPr>
          <w:spacing w:val="-1"/>
        </w:rPr>
        <w:t xml:space="preserve"> </w:t>
      </w:r>
      <w:r>
        <w:t>se</w:t>
      </w:r>
      <w:r>
        <w:rPr>
          <w:spacing w:val="-3"/>
        </w:rPr>
        <w:t xml:space="preserve"> </w:t>
      </w:r>
      <w:r>
        <w:t>optar</w:t>
      </w:r>
      <w:r>
        <w:rPr>
          <w:spacing w:val="-6"/>
        </w:rPr>
        <w:t xml:space="preserve"> </w:t>
      </w:r>
      <w:r>
        <w:t>por</w:t>
      </w:r>
      <w:r>
        <w:rPr>
          <w:spacing w:val="-2"/>
        </w:rPr>
        <w:t xml:space="preserve"> </w:t>
      </w:r>
      <w:r>
        <w:t>essa</w:t>
      </w:r>
      <w:r>
        <w:rPr>
          <w:spacing w:val="-3"/>
        </w:rPr>
        <w:t xml:space="preserve"> </w:t>
      </w:r>
      <w:r>
        <w:t>modalidade</w:t>
      </w:r>
      <w:r>
        <w:rPr>
          <w:spacing w:val="-4"/>
        </w:rPr>
        <w:t xml:space="preserve"> </w:t>
      </w:r>
      <w:r>
        <w:t>de</w:t>
      </w:r>
      <w:r>
        <w:rPr>
          <w:spacing w:val="-1"/>
        </w:rPr>
        <w:t xml:space="preserve"> </w:t>
      </w:r>
      <w:r>
        <w:t>compra</w:t>
      </w:r>
      <w:r>
        <w:rPr>
          <w:spacing w:val="-3"/>
        </w:rPr>
        <w:t xml:space="preserve"> </w:t>
      </w:r>
      <w:r>
        <w:t>é</w:t>
      </w:r>
      <w:r>
        <w:rPr>
          <w:spacing w:val="-6"/>
        </w:rPr>
        <w:t xml:space="preserve"> </w:t>
      </w:r>
      <w:r>
        <w:t>de</w:t>
      </w:r>
      <w:r>
        <w:rPr>
          <w:spacing w:val="-4"/>
        </w:rPr>
        <w:t xml:space="preserve"> </w:t>
      </w:r>
      <w:r>
        <w:t>suma</w:t>
      </w:r>
      <w:r>
        <w:rPr>
          <w:spacing w:val="-3"/>
        </w:rPr>
        <w:t xml:space="preserve"> </w:t>
      </w:r>
      <w:r>
        <w:t>importância verificar atentamente as regras específicas do leilão e as previsões contidas em seu respectivo edital de leilão.</w:t>
      </w:r>
    </w:p>
    <w:p w:rsidR="007259F2" w:rsidRDefault="00E655B4">
      <w:pPr>
        <w:pStyle w:val="Corpodetexto"/>
        <w:ind w:right="998"/>
      </w:pPr>
      <w:r>
        <w:t>É necessário realizar o levantamento de todos os problemas processuais para a avaliação do risco que envolve a compra do bem.</w:t>
      </w:r>
    </w:p>
    <w:p w:rsidR="007259F2" w:rsidRDefault="00DE6B1C">
      <w:pPr>
        <w:pStyle w:val="Corpodetexto"/>
        <w:spacing w:before="6"/>
        <w:ind w:left="0" w:firstLine="0"/>
        <w:jc w:val="left"/>
        <w:rPr>
          <w:sz w:val="15"/>
        </w:rPr>
      </w:pPr>
      <w:r w:rsidRPr="00DE6B1C">
        <w:rPr>
          <w:sz w:val="15"/>
        </w:rPr>
        <w:pict>
          <v:rect id="docshape72" o:spid="_x0000_s1154" style="position:absolute;margin-left:85.1pt;margin-top:10.15pt;width:2in;height:.7pt;z-index:-15699968;mso-wrap-distance-left:0;mso-wrap-distance-right:0;mso-position-horizontal-relative:page" fillcolor="black" stroked="f">
            <w10:wrap type="topAndBottom" anchorx="page"/>
          </v:rect>
        </w:pict>
      </w:r>
    </w:p>
    <w:p w:rsidR="007259F2" w:rsidRDefault="00E655B4">
      <w:pPr>
        <w:spacing w:before="96"/>
        <w:ind w:left="710" w:right="990"/>
        <w:rPr>
          <w:sz w:val="20"/>
        </w:rPr>
      </w:pPr>
      <w:r>
        <w:rPr>
          <w:sz w:val="20"/>
          <w:vertAlign w:val="superscript"/>
        </w:rPr>
        <w:t>1</w:t>
      </w:r>
      <w:r>
        <w:rPr>
          <w:spacing w:val="23"/>
          <w:sz w:val="20"/>
        </w:rPr>
        <w:t xml:space="preserve"> </w:t>
      </w:r>
      <w:r>
        <w:rPr>
          <w:sz w:val="20"/>
        </w:rPr>
        <w:t>Residente</w:t>
      </w:r>
      <w:r>
        <w:rPr>
          <w:spacing w:val="28"/>
          <w:sz w:val="20"/>
        </w:rPr>
        <w:t xml:space="preserve"> </w:t>
      </w:r>
      <w:r>
        <w:rPr>
          <w:sz w:val="20"/>
        </w:rPr>
        <w:t>Jurídico</w:t>
      </w:r>
      <w:r>
        <w:rPr>
          <w:spacing w:val="29"/>
          <w:sz w:val="20"/>
        </w:rPr>
        <w:t xml:space="preserve"> </w:t>
      </w:r>
      <w:r>
        <w:rPr>
          <w:sz w:val="20"/>
        </w:rPr>
        <w:t>do</w:t>
      </w:r>
      <w:r>
        <w:rPr>
          <w:spacing w:val="29"/>
          <w:sz w:val="20"/>
        </w:rPr>
        <w:t xml:space="preserve"> </w:t>
      </w:r>
      <w:r>
        <w:rPr>
          <w:sz w:val="20"/>
        </w:rPr>
        <w:t>Programa</w:t>
      </w:r>
      <w:r>
        <w:rPr>
          <w:spacing w:val="28"/>
          <w:sz w:val="20"/>
        </w:rPr>
        <w:t xml:space="preserve"> </w:t>
      </w:r>
      <w:r>
        <w:rPr>
          <w:sz w:val="20"/>
        </w:rPr>
        <w:t>de</w:t>
      </w:r>
      <w:r>
        <w:rPr>
          <w:spacing w:val="28"/>
          <w:sz w:val="20"/>
        </w:rPr>
        <w:t xml:space="preserve"> </w:t>
      </w:r>
      <w:r>
        <w:rPr>
          <w:sz w:val="20"/>
        </w:rPr>
        <w:t>Residência</w:t>
      </w:r>
      <w:r>
        <w:rPr>
          <w:spacing w:val="28"/>
          <w:sz w:val="20"/>
        </w:rPr>
        <w:t xml:space="preserve"> </w:t>
      </w:r>
      <w:r>
        <w:rPr>
          <w:sz w:val="20"/>
        </w:rPr>
        <w:t>Jurídica</w:t>
      </w:r>
      <w:r>
        <w:rPr>
          <w:spacing w:val="28"/>
          <w:sz w:val="20"/>
        </w:rPr>
        <w:t xml:space="preserve"> </w:t>
      </w:r>
      <w:r>
        <w:rPr>
          <w:sz w:val="20"/>
        </w:rPr>
        <w:t>da</w:t>
      </w:r>
      <w:r>
        <w:rPr>
          <w:spacing w:val="28"/>
          <w:sz w:val="20"/>
        </w:rPr>
        <w:t xml:space="preserve"> </w:t>
      </w:r>
      <w:r>
        <w:rPr>
          <w:sz w:val="20"/>
        </w:rPr>
        <w:t>Procuradoria</w:t>
      </w:r>
      <w:r>
        <w:rPr>
          <w:spacing w:val="32"/>
          <w:sz w:val="20"/>
        </w:rPr>
        <w:t xml:space="preserve"> </w:t>
      </w:r>
      <w:r>
        <w:rPr>
          <w:sz w:val="20"/>
        </w:rPr>
        <w:t>Geral</w:t>
      </w:r>
      <w:r>
        <w:rPr>
          <w:spacing w:val="28"/>
          <w:sz w:val="20"/>
        </w:rPr>
        <w:t xml:space="preserve"> </w:t>
      </w:r>
      <w:r>
        <w:rPr>
          <w:sz w:val="20"/>
        </w:rPr>
        <w:t>do</w:t>
      </w:r>
      <w:r>
        <w:rPr>
          <w:spacing w:val="30"/>
          <w:sz w:val="20"/>
        </w:rPr>
        <w:t xml:space="preserve"> </w:t>
      </w:r>
      <w:r>
        <w:rPr>
          <w:sz w:val="20"/>
        </w:rPr>
        <w:t>Município</w:t>
      </w:r>
      <w:r>
        <w:rPr>
          <w:spacing w:val="29"/>
          <w:sz w:val="20"/>
        </w:rPr>
        <w:t xml:space="preserve"> </w:t>
      </w:r>
      <w:r>
        <w:rPr>
          <w:sz w:val="20"/>
        </w:rPr>
        <w:t>de</w:t>
      </w:r>
      <w:r>
        <w:rPr>
          <w:spacing w:val="28"/>
          <w:sz w:val="20"/>
        </w:rPr>
        <w:t xml:space="preserve"> </w:t>
      </w:r>
      <w:r>
        <w:rPr>
          <w:sz w:val="20"/>
        </w:rPr>
        <w:t xml:space="preserve">São Paulo, alocado no Departamento Fiscal - FISC (2022-2025). E-mail: </w:t>
      </w:r>
      <w:hyperlink r:id="rId91">
        <w:r>
          <w:rPr>
            <w:sz w:val="20"/>
          </w:rPr>
          <w:t>fabiowyner@hotmail.com</w:t>
        </w:r>
      </w:hyperlink>
    </w:p>
    <w:p w:rsidR="007259F2" w:rsidRDefault="007259F2">
      <w:pPr>
        <w:rPr>
          <w:sz w:val="20"/>
        </w:rPr>
        <w:sectPr w:rsidR="007259F2">
          <w:pgSz w:w="11910" w:h="16840"/>
          <w:pgMar w:top="1320" w:right="708" w:bottom="1160" w:left="992" w:header="0" w:footer="962" w:gutter="0"/>
          <w:cols w:space="720"/>
        </w:sectPr>
      </w:pPr>
    </w:p>
    <w:p w:rsidR="007259F2" w:rsidRDefault="00E655B4">
      <w:pPr>
        <w:pStyle w:val="Corpodetexto"/>
        <w:spacing w:before="69"/>
        <w:ind w:right="989"/>
      </w:pPr>
      <w:r>
        <w:lastRenderedPageBreak/>
        <w:t>Dentre os riscos que se pode enfrentar nesta modalidade de aquisição de</w:t>
      </w:r>
      <w:r>
        <w:rPr>
          <w:spacing w:val="40"/>
        </w:rPr>
        <w:t xml:space="preserve"> </w:t>
      </w:r>
      <w:r>
        <w:t>imóveis, destacaremos no presente artigo científico, a existência de débitos de IPTU com valores superiores aos lançados pelo arrematante.</w:t>
      </w:r>
    </w:p>
    <w:p w:rsidR="007259F2" w:rsidRDefault="00E655B4">
      <w:pPr>
        <w:pStyle w:val="Corpodetexto"/>
        <w:spacing w:before="1"/>
        <w:ind w:right="989"/>
      </w:pPr>
      <w:r>
        <w:t>A grande controvérsia, neste caso, reside na responsabilidade tributária pelos débitos de IPTU pendente sobre os imóveis e as previsões contidas na legislação, no edital de leilão e solução trazida pela jurisprudência, a qual ainda, apesar de “pacífica”, ainda profere decisões dissonantes em alguns casos, já que toda a controvérsia reside numa interpretação das disposições do edital de leilão e as regras previstas no ordenamento jurídico brasileiro.</w:t>
      </w:r>
    </w:p>
    <w:p w:rsidR="007259F2" w:rsidRDefault="00E655B4">
      <w:pPr>
        <w:pStyle w:val="Corpodetexto"/>
        <w:ind w:right="989"/>
      </w:pPr>
      <w:r>
        <w:t>O presente tema envolve a analise do processo de arrematação de imóveis em leiloes judiciais, com foco na responsabilidade tributária, especificamente no que diz respeito aos débitos de Imposto Predial e territorial urbano (IPTU).</w:t>
      </w:r>
    </w:p>
    <w:p w:rsidR="007259F2" w:rsidRDefault="00E655B4">
      <w:pPr>
        <w:pStyle w:val="Corpodetexto"/>
        <w:spacing w:before="1"/>
        <w:ind w:right="989"/>
      </w:pPr>
      <w:r>
        <w:t>A</w:t>
      </w:r>
      <w:r>
        <w:rPr>
          <w:spacing w:val="-11"/>
        </w:rPr>
        <w:t xml:space="preserve"> </w:t>
      </w:r>
      <w:r>
        <w:t>abordagem incluirá aspectos legais, como o código de Processo Civil, Código Tributário Nacional e</w:t>
      </w:r>
      <w:r>
        <w:rPr>
          <w:spacing w:val="-1"/>
        </w:rPr>
        <w:t xml:space="preserve"> </w:t>
      </w:r>
      <w:r>
        <w:t>jurisprudenciais, destacando o</w:t>
      </w:r>
      <w:r>
        <w:rPr>
          <w:spacing w:val="-1"/>
        </w:rPr>
        <w:t xml:space="preserve"> </w:t>
      </w:r>
      <w:r>
        <w:t>posicionamento de tribunais, como o Superior Tribunal de Justiça (STJ) e Tribunal de Justiça do Estado de São Paulo (TJSP), sobre essa matéria.</w:t>
      </w:r>
    </w:p>
    <w:p w:rsidR="007259F2" w:rsidRDefault="00E655B4">
      <w:pPr>
        <w:pStyle w:val="Corpodetexto"/>
        <w:ind w:right="991"/>
      </w:pPr>
      <w:r>
        <w:t xml:space="preserve">Portanto, esta pesquisa tem por objetivo trazer a solução no momento de interpretação e manutenção ou não na cobrança do débito de IPTU ao contribuinte que adquiriu/arrematou o imóvel em leilão ou sobre o antigo proprietário, já que a arrematação, independente da situação jamais terá o condão de extinguir o débito </w:t>
      </w:r>
      <w:r>
        <w:rPr>
          <w:spacing w:val="-2"/>
        </w:rPr>
        <w:t>tributário.</w:t>
      </w:r>
    </w:p>
    <w:p w:rsidR="007259F2" w:rsidRDefault="00E655B4">
      <w:pPr>
        <w:pStyle w:val="Heading2"/>
        <w:numPr>
          <w:ilvl w:val="0"/>
          <w:numId w:val="36"/>
        </w:numPr>
        <w:tabs>
          <w:tab w:val="left" w:pos="890"/>
        </w:tabs>
        <w:spacing w:before="206" w:line="278" w:lineRule="auto"/>
        <w:ind w:left="710" w:right="992" w:firstLine="0"/>
        <w:jc w:val="both"/>
      </w:pPr>
      <w:r>
        <w:t>Contextualização do Tema – Análise da Responsabilidade Tributária pelos Débitos de IPTU de Acordo com a Lei e aJurisprudência</w:t>
      </w:r>
    </w:p>
    <w:p w:rsidR="007259F2" w:rsidRDefault="00E655B4">
      <w:pPr>
        <w:pStyle w:val="Corpodetexto"/>
        <w:spacing w:before="109"/>
        <w:ind w:right="991"/>
      </w:pPr>
      <w:r>
        <w:t>Conforme disposto no art. 130, parágrafo único, Código Tributário Nacional (CTN), em regra, quando há a arrematação em leilão judicial de imóveis, ocorre</w:t>
      </w:r>
      <w:r>
        <w:rPr>
          <w:spacing w:val="-3"/>
        </w:rPr>
        <w:t xml:space="preserve"> </w:t>
      </w:r>
      <w:r>
        <w:t>a</w:t>
      </w:r>
      <w:r>
        <w:rPr>
          <w:spacing w:val="-2"/>
        </w:rPr>
        <w:t xml:space="preserve"> </w:t>
      </w:r>
      <w:r>
        <w:t>sub- rogação</w:t>
      </w:r>
      <w:r>
        <w:rPr>
          <w:spacing w:val="-4"/>
        </w:rPr>
        <w:t xml:space="preserve"> </w:t>
      </w:r>
      <w:r>
        <w:t>real dos</w:t>
      </w:r>
      <w:r>
        <w:rPr>
          <w:spacing w:val="-6"/>
        </w:rPr>
        <w:t xml:space="preserve"> </w:t>
      </w:r>
      <w:r>
        <w:t>créditos tributários</w:t>
      </w:r>
      <w:r>
        <w:rPr>
          <w:spacing w:val="-6"/>
        </w:rPr>
        <w:t xml:space="preserve"> </w:t>
      </w:r>
      <w:r>
        <w:t>no</w:t>
      </w:r>
      <w:r>
        <w:rPr>
          <w:spacing w:val="-4"/>
        </w:rPr>
        <w:t xml:space="preserve"> </w:t>
      </w:r>
      <w:r>
        <w:t>montante apurado pela alienação do bem:</w:t>
      </w:r>
    </w:p>
    <w:p w:rsidR="007259F2" w:rsidRDefault="00E655B4">
      <w:pPr>
        <w:spacing w:before="253"/>
        <w:ind w:left="2978" w:right="989"/>
        <w:jc w:val="both"/>
        <w:rPr>
          <w:sz w:val="20"/>
        </w:rPr>
      </w:pPr>
      <w:r>
        <w:rPr>
          <w:sz w:val="20"/>
        </w:rPr>
        <w:t>Art. 130. Os créditos tributários relativos a impostos cujo fato gerador seja a propriedade, o domínio útil ou a posse de bens imóveis, e bem assim os relativos a taxas pela prestação de serviços referentes a tais bens, ou a contribuições de melhoria, subrogam-se na pessoa dos respectivos adquirentes, salvo quando conste do título a prova de sua quitação.</w:t>
      </w:r>
    </w:p>
    <w:p w:rsidR="007259F2" w:rsidRDefault="00E655B4">
      <w:pPr>
        <w:spacing w:before="3"/>
        <w:ind w:left="2978" w:right="991"/>
        <w:jc w:val="both"/>
        <w:rPr>
          <w:sz w:val="20"/>
        </w:rPr>
      </w:pPr>
      <w:r>
        <w:rPr>
          <w:sz w:val="20"/>
        </w:rPr>
        <w:t>Parágrafo único. No caso de arrematação em hasta pública, a sub- rogação ocorre sobre o respectivo preço. (BRASIL, 1966)</w:t>
      </w:r>
    </w:p>
    <w:p w:rsidR="007259F2" w:rsidRDefault="00E655B4">
      <w:pPr>
        <w:pStyle w:val="Corpodetexto"/>
        <w:spacing w:before="227"/>
        <w:ind w:right="987"/>
      </w:pPr>
      <w:r>
        <w:t>A controvérsia em relação a arrematação está em definir se há responsabilidade do arrematante pelos débitos tributários anteriores à arrematação, incidentes sobre o imóvel, em</w:t>
      </w:r>
      <w:r>
        <w:rPr>
          <w:spacing w:val="-1"/>
        </w:rPr>
        <w:t xml:space="preserve"> </w:t>
      </w:r>
      <w:r>
        <w:t>consequência de</w:t>
      </w:r>
      <w:r>
        <w:rPr>
          <w:spacing w:val="-2"/>
        </w:rPr>
        <w:t xml:space="preserve"> </w:t>
      </w:r>
      <w:r>
        <w:t>previsão</w:t>
      </w:r>
      <w:r>
        <w:rPr>
          <w:spacing w:val="-1"/>
        </w:rPr>
        <w:t xml:space="preserve"> </w:t>
      </w:r>
      <w:r>
        <w:t>em edital de leilão.</w:t>
      </w:r>
    </w:p>
    <w:p w:rsidR="007259F2" w:rsidRDefault="00E655B4">
      <w:pPr>
        <w:pStyle w:val="Corpodetexto"/>
        <w:spacing w:before="1"/>
        <w:ind w:right="987"/>
      </w:pPr>
      <w:r>
        <w:t>É certo que em caso de arrematação de imóvel em hasta pública, a regra é</w:t>
      </w:r>
      <w:r>
        <w:rPr>
          <w:spacing w:val="-8"/>
        </w:rPr>
        <w:t xml:space="preserve"> </w:t>
      </w:r>
      <w:r>
        <w:t>que</w:t>
      </w:r>
      <w:r>
        <w:rPr>
          <w:spacing w:val="-3"/>
        </w:rPr>
        <w:t xml:space="preserve"> </w:t>
      </w:r>
      <w:r>
        <w:t>o arrematante</w:t>
      </w:r>
      <w:r>
        <w:rPr>
          <w:spacing w:val="-11"/>
        </w:rPr>
        <w:t xml:space="preserve"> </w:t>
      </w:r>
      <w:r>
        <w:t>receba</w:t>
      </w:r>
      <w:r>
        <w:rPr>
          <w:spacing w:val="-12"/>
        </w:rPr>
        <w:t xml:space="preserve"> </w:t>
      </w:r>
      <w:r>
        <w:t>o</w:t>
      </w:r>
      <w:r>
        <w:rPr>
          <w:spacing w:val="-12"/>
        </w:rPr>
        <w:t xml:space="preserve"> </w:t>
      </w:r>
      <w:r>
        <w:t>bem</w:t>
      </w:r>
      <w:r>
        <w:rPr>
          <w:spacing w:val="-13"/>
        </w:rPr>
        <w:t xml:space="preserve"> </w:t>
      </w:r>
      <w:r>
        <w:t>livre</w:t>
      </w:r>
      <w:r>
        <w:rPr>
          <w:spacing w:val="-15"/>
        </w:rPr>
        <w:t xml:space="preserve"> </w:t>
      </w:r>
      <w:r>
        <w:t>de</w:t>
      </w:r>
      <w:r>
        <w:rPr>
          <w:spacing w:val="-13"/>
        </w:rPr>
        <w:t xml:space="preserve"> </w:t>
      </w:r>
      <w:r>
        <w:t>quaisquer</w:t>
      </w:r>
      <w:r>
        <w:rPr>
          <w:spacing w:val="-11"/>
        </w:rPr>
        <w:t xml:space="preserve"> </w:t>
      </w:r>
      <w:r>
        <w:t>encargos</w:t>
      </w:r>
      <w:r>
        <w:rPr>
          <w:spacing w:val="-11"/>
        </w:rPr>
        <w:t xml:space="preserve"> </w:t>
      </w:r>
      <w:r>
        <w:t>tributários,</w:t>
      </w:r>
      <w:r>
        <w:rPr>
          <w:spacing w:val="-1"/>
        </w:rPr>
        <w:t xml:space="preserve"> </w:t>
      </w:r>
      <w:r>
        <w:t>cujo</w:t>
      </w:r>
      <w:r>
        <w:rPr>
          <w:spacing w:val="-1"/>
        </w:rPr>
        <w:t xml:space="preserve"> </w:t>
      </w:r>
      <w:r>
        <w:t>fato gerador</w:t>
      </w:r>
      <w:r>
        <w:rPr>
          <w:spacing w:val="-2"/>
        </w:rPr>
        <w:t xml:space="preserve"> </w:t>
      </w:r>
      <w:r>
        <w:t>seja</w:t>
      </w:r>
      <w:r>
        <w:rPr>
          <w:spacing w:val="-2"/>
        </w:rPr>
        <w:t xml:space="preserve"> </w:t>
      </w:r>
      <w:r>
        <w:t>a propriedade, domínio útil ou posse.</w:t>
      </w:r>
    </w:p>
    <w:p w:rsidR="007259F2" w:rsidRDefault="00E655B4">
      <w:pPr>
        <w:pStyle w:val="Corpodetexto"/>
        <w:ind w:right="989"/>
      </w:pPr>
      <w:r>
        <w:t>Consequentemente, as dívidas eventualmente existentes devem ser abatidas do preço da aquisição, a teor do que estabelece o parágrafo único do artigo 130 do Código Tributário Nacional.</w:t>
      </w:r>
    </w:p>
    <w:p w:rsidR="007259F2" w:rsidRDefault="00E655B4">
      <w:pPr>
        <w:pStyle w:val="Corpodetexto"/>
        <w:ind w:right="989"/>
      </w:pPr>
      <w:r>
        <w:t>Assim, se o débito pendente não for quitado com o preço do imóvel, deverá o antigo proprietário ser o responsável pelo pagamento, não podendo, em regra, o atual adquirente do bem ser responsabilizado pelo débito pretérito.</w:t>
      </w:r>
    </w:p>
    <w:p w:rsidR="007259F2" w:rsidRDefault="00E655B4">
      <w:pPr>
        <w:pStyle w:val="Corpodetexto"/>
        <w:ind w:right="990"/>
      </w:pPr>
      <w:r>
        <w:t>Todavia, esta regra pode ser afastada se houver previsão expressa no edital de que</w:t>
      </w:r>
      <w:r>
        <w:rPr>
          <w:spacing w:val="-4"/>
        </w:rPr>
        <w:t xml:space="preserve"> </w:t>
      </w:r>
      <w:r>
        <w:t>os</w:t>
      </w:r>
      <w:r>
        <w:rPr>
          <w:spacing w:val="-3"/>
        </w:rPr>
        <w:t xml:space="preserve"> </w:t>
      </w:r>
      <w:r>
        <w:t>débitos</w:t>
      </w:r>
      <w:r>
        <w:rPr>
          <w:spacing w:val="-3"/>
        </w:rPr>
        <w:t xml:space="preserve"> </w:t>
      </w:r>
      <w:r>
        <w:t>pendentes</w:t>
      </w:r>
      <w:r>
        <w:rPr>
          <w:spacing w:val="-2"/>
        </w:rPr>
        <w:t xml:space="preserve"> </w:t>
      </w:r>
      <w:r>
        <w:t>serão</w:t>
      </w:r>
      <w:r>
        <w:rPr>
          <w:spacing w:val="-3"/>
        </w:rPr>
        <w:t xml:space="preserve"> </w:t>
      </w:r>
      <w:r>
        <w:t>suportados</w:t>
      </w:r>
      <w:r>
        <w:rPr>
          <w:spacing w:val="-3"/>
        </w:rPr>
        <w:t xml:space="preserve"> </w:t>
      </w:r>
      <w:r>
        <w:t>pelo</w:t>
      </w:r>
      <w:r>
        <w:rPr>
          <w:spacing w:val="-3"/>
        </w:rPr>
        <w:t xml:space="preserve"> </w:t>
      </w:r>
      <w:r>
        <w:t>arrematante,</w:t>
      </w:r>
      <w:r>
        <w:rPr>
          <w:spacing w:val="-3"/>
        </w:rPr>
        <w:t xml:space="preserve"> </w:t>
      </w:r>
      <w:r>
        <w:t>nos</w:t>
      </w:r>
      <w:r>
        <w:rPr>
          <w:spacing w:val="-3"/>
        </w:rPr>
        <w:t xml:space="preserve"> </w:t>
      </w:r>
      <w:r>
        <w:t>termos</w:t>
      </w:r>
      <w:r>
        <w:rPr>
          <w:spacing w:val="-3"/>
        </w:rPr>
        <w:t xml:space="preserve"> </w:t>
      </w:r>
      <w:r>
        <w:t>do</w:t>
      </w:r>
      <w:r>
        <w:rPr>
          <w:spacing w:val="-1"/>
        </w:rPr>
        <w:t xml:space="preserve"> </w:t>
      </w:r>
      <w:r>
        <w:t>inciso</w:t>
      </w:r>
      <w:r>
        <w:rPr>
          <w:spacing w:val="-3"/>
        </w:rPr>
        <w:t xml:space="preserve"> </w:t>
      </w:r>
      <w:r>
        <w:t>VI,</w:t>
      </w:r>
      <w:r>
        <w:rPr>
          <w:spacing w:val="-3"/>
        </w:rPr>
        <w:t xml:space="preserve"> </w:t>
      </w:r>
      <w:r>
        <w:t>do art. 886, do CPC/2015:</w:t>
      </w:r>
    </w:p>
    <w:p w:rsidR="007259F2" w:rsidRDefault="007259F2">
      <w:pPr>
        <w:pStyle w:val="Corpodetexto"/>
        <w:sectPr w:rsidR="007259F2">
          <w:pgSz w:w="11910" w:h="16840"/>
          <w:pgMar w:top="1320" w:right="708" w:bottom="1160" w:left="992" w:header="0" w:footer="962" w:gutter="0"/>
          <w:cols w:space="720"/>
        </w:sectPr>
      </w:pPr>
    </w:p>
    <w:p w:rsidR="007259F2" w:rsidRDefault="00E655B4">
      <w:pPr>
        <w:spacing w:before="71"/>
        <w:ind w:left="2978"/>
        <w:rPr>
          <w:sz w:val="20"/>
        </w:rPr>
      </w:pPr>
      <w:r>
        <w:rPr>
          <w:sz w:val="20"/>
        </w:rPr>
        <w:lastRenderedPageBreak/>
        <w:t>Art.</w:t>
      </w:r>
      <w:r>
        <w:rPr>
          <w:spacing w:val="-10"/>
          <w:sz w:val="20"/>
        </w:rPr>
        <w:t xml:space="preserve"> </w:t>
      </w:r>
      <w:r>
        <w:rPr>
          <w:sz w:val="20"/>
        </w:rPr>
        <w:t>886.</w:t>
      </w:r>
      <w:r>
        <w:rPr>
          <w:spacing w:val="-11"/>
          <w:sz w:val="20"/>
        </w:rPr>
        <w:t xml:space="preserve"> </w:t>
      </w:r>
      <w:r>
        <w:rPr>
          <w:sz w:val="20"/>
        </w:rPr>
        <w:t>O</w:t>
      </w:r>
      <w:r>
        <w:rPr>
          <w:spacing w:val="-13"/>
          <w:sz w:val="20"/>
        </w:rPr>
        <w:t xml:space="preserve"> </w:t>
      </w:r>
      <w:r>
        <w:rPr>
          <w:sz w:val="20"/>
        </w:rPr>
        <w:t>leilão</w:t>
      </w:r>
      <w:r>
        <w:rPr>
          <w:spacing w:val="-10"/>
          <w:sz w:val="20"/>
        </w:rPr>
        <w:t xml:space="preserve"> </w:t>
      </w:r>
      <w:r>
        <w:rPr>
          <w:sz w:val="20"/>
        </w:rPr>
        <w:t>será</w:t>
      </w:r>
      <w:r>
        <w:rPr>
          <w:spacing w:val="-11"/>
          <w:sz w:val="20"/>
        </w:rPr>
        <w:t xml:space="preserve"> </w:t>
      </w:r>
      <w:r>
        <w:rPr>
          <w:sz w:val="20"/>
        </w:rPr>
        <w:t>precedido</w:t>
      </w:r>
      <w:r>
        <w:rPr>
          <w:spacing w:val="-9"/>
          <w:sz w:val="20"/>
        </w:rPr>
        <w:t xml:space="preserve"> </w:t>
      </w:r>
      <w:r>
        <w:rPr>
          <w:sz w:val="20"/>
        </w:rPr>
        <w:t>de</w:t>
      </w:r>
      <w:r>
        <w:rPr>
          <w:spacing w:val="-11"/>
          <w:sz w:val="20"/>
        </w:rPr>
        <w:t xml:space="preserve"> </w:t>
      </w:r>
      <w:r>
        <w:rPr>
          <w:sz w:val="20"/>
        </w:rPr>
        <w:t>publicação</w:t>
      </w:r>
      <w:r>
        <w:rPr>
          <w:spacing w:val="-11"/>
          <w:sz w:val="20"/>
        </w:rPr>
        <w:t xml:space="preserve"> </w:t>
      </w:r>
      <w:r>
        <w:rPr>
          <w:sz w:val="20"/>
        </w:rPr>
        <w:t>de</w:t>
      </w:r>
      <w:r>
        <w:rPr>
          <w:spacing w:val="-11"/>
          <w:sz w:val="20"/>
        </w:rPr>
        <w:t xml:space="preserve"> </w:t>
      </w:r>
      <w:r>
        <w:rPr>
          <w:sz w:val="20"/>
        </w:rPr>
        <w:t>edital,</w:t>
      </w:r>
      <w:r>
        <w:rPr>
          <w:spacing w:val="-8"/>
          <w:sz w:val="20"/>
        </w:rPr>
        <w:t xml:space="preserve"> </w:t>
      </w:r>
      <w:r>
        <w:rPr>
          <w:sz w:val="20"/>
        </w:rPr>
        <w:t>que</w:t>
      </w:r>
      <w:r>
        <w:rPr>
          <w:spacing w:val="-11"/>
          <w:sz w:val="20"/>
        </w:rPr>
        <w:t xml:space="preserve"> </w:t>
      </w:r>
      <w:r>
        <w:rPr>
          <w:sz w:val="20"/>
        </w:rPr>
        <w:t>conterá:</w:t>
      </w:r>
      <w:r>
        <w:rPr>
          <w:spacing w:val="-4"/>
          <w:sz w:val="20"/>
        </w:rPr>
        <w:t xml:space="preserve"> </w:t>
      </w:r>
      <w:r>
        <w:rPr>
          <w:spacing w:val="-5"/>
          <w:sz w:val="20"/>
        </w:rPr>
        <w:t>(…)</w:t>
      </w:r>
    </w:p>
    <w:p w:rsidR="007259F2" w:rsidRDefault="00E655B4">
      <w:pPr>
        <w:pStyle w:val="PargrafodaLista"/>
        <w:numPr>
          <w:ilvl w:val="0"/>
          <w:numId w:val="40"/>
        </w:numPr>
        <w:tabs>
          <w:tab w:val="left" w:pos="3261"/>
        </w:tabs>
        <w:ind w:left="2978" w:right="995" w:firstLine="0"/>
        <w:rPr>
          <w:sz w:val="20"/>
        </w:rPr>
      </w:pPr>
      <w:r>
        <w:rPr>
          <w:sz w:val="20"/>
        </w:rPr>
        <w:t>– menção da existência de ônus, recurso ou processo pendente sobre os</w:t>
      </w:r>
      <w:r>
        <w:rPr>
          <w:spacing w:val="40"/>
          <w:sz w:val="20"/>
        </w:rPr>
        <w:t xml:space="preserve"> </w:t>
      </w:r>
      <w:r>
        <w:rPr>
          <w:sz w:val="20"/>
        </w:rPr>
        <w:t>bens a serem leiloados.(BRASIL, 2015)</w:t>
      </w:r>
    </w:p>
    <w:p w:rsidR="007259F2" w:rsidRDefault="007259F2">
      <w:pPr>
        <w:pStyle w:val="Corpodetexto"/>
        <w:ind w:left="0" w:firstLine="0"/>
        <w:jc w:val="left"/>
        <w:rPr>
          <w:sz w:val="20"/>
        </w:rPr>
      </w:pPr>
    </w:p>
    <w:p w:rsidR="007259F2" w:rsidRDefault="00E655B4">
      <w:pPr>
        <w:pStyle w:val="Corpodetexto"/>
        <w:ind w:right="989"/>
      </w:pPr>
      <w:r>
        <w:t>Em suma, se o arrematante participou do leilão e, consequentemente, teve</w:t>
      </w:r>
      <w:r>
        <w:rPr>
          <w:spacing w:val="40"/>
        </w:rPr>
        <w:t xml:space="preserve"> </w:t>
      </w:r>
      <w:r>
        <w:t>ciência inequívoca de que, a partir da aquisição em hasta pública, seria responsável pela dívida pendente, conhecendo, inclusive, o valor do débito àquela ocasião, procedendo à arrematação do imóvel, evidentemente, aceitou as condições ali contidas, logo, inviável o afastamento da responsabilidade expressamente assumida.</w:t>
      </w:r>
    </w:p>
    <w:p w:rsidR="007259F2" w:rsidRDefault="00E655B4">
      <w:pPr>
        <w:pStyle w:val="Corpodetexto"/>
        <w:ind w:right="988"/>
      </w:pPr>
      <w:r>
        <w:t>Cumpre registrar que a jurisprudência do Tribunal tem prestigiado, em casos semelhantes, as normas do edital do leilão, inclusive no sentido de que a responsabilidade pelo pagamento de débitos tributários existentes sobre imóvel arrematado, mas que não foram mencionados no edital de praça, não pode ser atribuída ao</w:t>
      </w:r>
      <w:r>
        <w:rPr>
          <w:spacing w:val="-3"/>
        </w:rPr>
        <w:t xml:space="preserve"> </w:t>
      </w:r>
      <w:r>
        <w:t>arrematante</w:t>
      </w:r>
      <w:r>
        <w:rPr>
          <w:spacing w:val="-4"/>
        </w:rPr>
        <w:t xml:space="preserve"> </w:t>
      </w:r>
      <w:r>
        <w:t>(REsp</w:t>
      </w:r>
      <w:r>
        <w:rPr>
          <w:spacing w:val="-3"/>
        </w:rPr>
        <w:t xml:space="preserve"> </w:t>
      </w:r>
      <w:r>
        <w:t>540.025/RJ,</w:t>
      </w:r>
      <w:r>
        <w:rPr>
          <w:spacing w:val="-3"/>
        </w:rPr>
        <w:t xml:space="preserve"> </w:t>
      </w:r>
      <w:r>
        <w:t>Relatora</w:t>
      </w:r>
      <w:r>
        <w:rPr>
          <w:spacing w:val="-5"/>
        </w:rPr>
        <w:t xml:space="preserve"> </w:t>
      </w:r>
      <w:r>
        <w:t>Ministra</w:t>
      </w:r>
      <w:r>
        <w:rPr>
          <w:spacing w:val="-5"/>
        </w:rPr>
        <w:t xml:space="preserve"> </w:t>
      </w:r>
      <w:r>
        <w:t>NANCY</w:t>
      </w:r>
      <w:r>
        <w:rPr>
          <w:spacing w:val="-2"/>
        </w:rPr>
        <w:t xml:space="preserve"> </w:t>
      </w:r>
      <w:r>
        <w:t>ANDRIGHI,</w:t>
      </w:r>
      <w:r>
        <w:rPr>
          <w:spacing w:val="-3"/>
        </w:rPr>
        <w:t xml:space="preserve"> </w:t>
      </w:r>
      <w:r>
        <w:t>TERCEIRA TURMA, DJ 30/06/2006, p. 214).</w:t>
      </w:r>
    </w:p>
    <w:p w:rsidR="007259F2" w:rsidRDefault="00E655B4">
      <w:pPr>
        <w:pStyle w:val="Corpodetexto"/>
        <w:spacing w:before="1"/>
        <w:ind w:right="986"/>
      </w:pPr>
      <w:r>
        <w:t>O REsp 540.025/RJ de Relatoria da Ministra NANCY ANDRIGHI, DJ de 30/06/2006, citando o REsp 166.975/SP de Relatoria do Ministro SÁLVIO DE FIGUEIREDO TEIXEIRA, DJ 04/10/1999, assim consignou: No que concerne aos débitos tributários existentes sobre imóvel arrematado, já decidiu a matéria, o REsp n.° 166.975/SP, Rel. Min. Sálvio de Figueiredo Teixeira (DJ 04.10.1999), assim ementado, no que interessa:</w:t>
      </w:r>
    </w:p>
    <w:p w:rsidR="007259F2" w:rsidRDefault="00E655B4">
      <w:pPr>
        <w:spacing w:before="2"/>
        <w:ind w:left="2978" w:right="990"/>
        <w:jc w:val="both"/>
        <w:rPr>
          <w:sz w:val="20"/>
        </w:rPr>
      </w:pPr>
      <w:r>
        <w:rPr>
          <w:sz w:val="20"/>
        </w:rPr>
        <w:t>A arrematação tem o efeito de extinguir os ônus que incidem sobre o bem imóvel arrematado, passando este ao arrematante livre e desembaraçado dos encargos tributários.” Por conseguinte, tanto a responsabilidade pelo pagamento dos débitos tributários como as despesas condominiais referentes ao imóvel arrematado não é do arrematante, pois os mesmos são pagos por sub-rogação com o produto da arrematação. Tanto deve ser assim, que eventual omissão do edital a respeito de existência de ônus sobre o bem</w:t>
      </w:r>
      <w:r>
        <w:rPr>
          <w:spacing w:val="-1"/>
          <w:sz w:val="20"/>
        </w:rPr>
        <w:t xml:space="preserve"> </w:t>
      </w:r>
      <w:r>
        <w:rPr>
          <w:sz w:val="20"/>
        </w:rPr>
        <w:t>a ser arrematado pode acarretar a nulidade da arrematação, a ser arguida pelo arrematante, nos termos do inciso I, do parágrafo único, do art. 694, do CPC.</w:t>
      </w:r>
    </w:p>
    <w:p w:rsidR="007259F2" w:rsidRDefault="007259F2">
      <w:pPr>
        <w:pStyle w:val="Corpodetexto"/>
        <w:spacing w:before="44"/>
        <w:ind w:left="0" w:firstLine="0"/>
        <w:jc w:val="left"/>
        <w:rPr>
          <w:sz w:val="20"/>
        </w:rPr>
      </w:pPr>
    </w:p>
    <w:p w:rsidR="007259F2" w:rsidRDefault="00E655B4">
      <w:pPr>
        <w:pStyle w:val="Corpodetexto"/>
        <w:ind w:left="1418" w:firstLine="0"/>
        <w:jc w:val="left"/>
      </w:pPr>
      <w:r>
        <w:t>Neste</w:t>
      </w:r>
      <w:r>
        <w:rPr>
          <w:spacing w:val="-9"/>
        </w:rPr>
        <w:t xml:space="preserve"> </w:t>
      </w:r>
      <w:r>
        <w:t>sentido,</w:t>
      </w:r>
      <w:r>
        <w:rPr>
          <w:spacing w:val="-10"/>
        </w:rPr>
        <w:t xml:space="preserve"> </w:t>
      </w:r>
      <w:r>
        <w:t>os</w:t>
      </w:r>
      <w:r>
        <w:rPr>
          <w:spacing w:val="-6"/>
        </w:rPr>
        <w:t xml:space="preserve"> </w:t>
      </w:r>
      <w:r>
        <w:t>seguintes</w:t>
      </w:r>
      <w:r>
        <w:rPr>
          <w:spacing w:val="-5"/>
        </w:rPr>
        <w:t xml:space="preserve"> </w:t>
      </w:r>
      <w:r>
        <w:rPr>
          <w:spacing w:val="-2"/>
        </w:rPr>
        <w:t>julgados:</w:t>
      </w:r>
    </w:p>
    <w:p w:rsidR="007259F2" w:rsidRDefault="007259F2">
      <w:pPr>
        <w:pStyle w:val="Corpodetexto"/>
        <w:spacing w:before="121"/>
        <w:ind w:left="0" w:firstLine="0"/>
        <w:jc w:val="left"/>
      </w:pPr>
    </w:p>
    <w:p w:rsidR="007259F2" w:rsidRDefault="00E655B4">
      <w:pPr>
        <w:ind w:left="2978" w:right="991"/>
        <w:jc w:val="both"/>
        <w:rPr>
          <w:sz w:val="20"/>
        </w:rPr>
      </w:pPr>
      <w:r>
        <w:rPr>
          <w:sz w:val="20"/>
        </w:rPr>
        <w:t>RECURSO ESPECIAL. TRIBUTÁRIO. EXECUÇÃO FISCAL. IPTU. ARREMATAÇÃO. EDITAL DO LEILÃO QUE PREVÊ A RESPONSABILIDADE DO ARREMATANTE POR DÍVIDAS TRIBUTÁRIAS. OBSERVÂNCIA. INEXISTÊNCIA DE VIOLAÇÃO AO ART. 130 DO CTN. RECURSO ESPECIAL IMPROVIDO. (REsp 716.438/PR,</w:t>
      </w:r>
      <w:r>
        <w:rPr>
          <w:spacing w:val="40"/>
          <w:sz w:val="20"/>
        </w:rPr>
        <w:t xml:space="preserve"> </w:t>
      </w:r>
      <w:r>
        <w:rPr>
          <w:sz w:val="20"/>
        </w:rPr>
        <w:t>Rel.</w:t>
      </w:r>
      <w:r>
        <w:rPr>
          <w:spacing w:val="40"/>
          <w:sz w:val="20"/>
        </w:rPr>
        <w:t xml:space="preserve"> </w:t>
      </w:r>
      <w:r>
        <w:rPr>
          <w:sz w:val="20"/>
        </w:rPr>
        <w:t>Ministro</w:t>
      </w:r>
      <w:r>
        <w:rPr>
          <w:spacing w:val="40"/>
          <w:sz w:val="20"/>
        </w:rPr>
        <w:t xml:space="preserve"> </w:t>
      </w:r>
      <w:r>
        <w:rPr>
          <w:sz w:val="20"/>
        </w:rPr>
        <w:t>TEORI</w:t>
      </w:r>
      <w:r>
        <w:rPr>
          <w:spacing w:val="40"/>
          <w:sz w:val="20"/>
        </w:rPr>
        <w:t xml:space="preserve"> </w:t>
      </w:r>
      <w:r>
        <w:rPr>
          <w:sz w:val="20"/>
        </w:rPr>
        <w:t>ALBINO</w:t>
      </w:r>
      <w:r>
        <w:rPr>
          <w:spacing w:val="40"/>
          <w:sz w:val="20"/>
        </w:rPr>
        <w:t xml:space="preserve"> </w:t>
      </w:r>
      <w:r>
        <w:rPr>
          <w:sz w:val="20"/>
        </w:rPr>
        <w:t>ZAVASCKI,</w:t>
      </w:r>
      <w:r>
        <w:rPr>
          <w:spacing w:val="40"/>
          <w:sz w:val="20"/>
        </w:rPr>
        <w:t xml:space="preserve"> </w:t>
      </w:r>
      <w:r>
        <w:rPr>
          <w:sz w:val="20"/>
        </w:rPr>
        <w:t>PRIMEIRA</w:t>
      </w:r>
    </w:p>
    <w:p w:rsidR="007259F2" w:rsidRDefault="00E655B4">
      <w:pPr>
        <w:spacing w:before="1"/>
        <w:ind w:left="2978"/>
        <w:jc w:val="both"/>
        <w:rPr>
          <w:sz w:val="20"/>
        </w:rPr>
      </w:pPr>
      <w:r>
        <w:rPr>
          <w:sz w:val="20"/>
        </w:rPr>
        <w:t>TURMA,</w:t>
      </w:r>
      <w:r>
        <w:rPr>
          <w:spacing w:val="-13"/>
          <w:sz w:val="20"/>
        </w:rPr>
        <w:t xml:space="preserve"> </w:t>
      </w:r>
      <w:r>
        <w:rPr>
          <w:sz w:val="20"/>
        </w:rPr>
        <w:t>julgado</w:t>
      </w:r>
      <w:r>
        <w:rPr>
          <w:spacing w:val="-12"/>
          <w:sz w:val="20"/>
        </w:rPr>
        <w:t xml:space="preserve"> </w:t>
      </w:r>
      <w:r>
        <w:rPr>
          <w:sz w:val="20"/>
        </w:rPr>
        <w:t>em</w:t>
      </w:r>
      <w:r>
        <w:rPr>
          <w:spacing w:val="-12"/>
          <w:sz w:val="20"/>
        </w:rPr>
        <w:t xml:space="preserve"> </w:t>
      </w:r>
      <w:r>
        <w:rPr>
          <w:sz w:val="20"/>
        </w:rPr>
        <w:t>09/12/2008,</w:t>
      </w:r>
      <w:r>
        <w:rPr>
          <w:spacing w:val="-8"/>
          <w:sz w:val="20"/>
        </w:rPr>
        <w:t xml:space="preserve"> </w:t>
      </w:r>
      <w:r>
        <w:rPr>
          <w:sz w:val="20"/>
        </w:rPr>
        <w:t>DJe</w:t>
      </w:r>
      <w:r>
        <w:rPr>
          <w:spacing w:val="-12"/>
          <w:sz w:val="20"/>
        </w:rPr>
        <w:t xml:space="preserve"> </w:t>
      </w:r>
      <w:r>
        <w:rPr>
          <w:spacing w:val="-2"/>
          <w:sz w:val="20"/>
        </w:rPr>
        <w:t>17/12/2008).</w:t>
      </w:r>
    </w:p>
    <w:p w:rsidR="007259F2" w:rsidRDefault="007259F2">
      <w:pPr>
        <w:pStyle w:val="Corpodetexto"/>
        <w:ind w:left="0" w:firstLine="0"/>
        <w:jc w:val="left"/>
        <w:rPr>
          <w:sz w:val="20"/>
        </w:rPr>
      </w:pPr>
    </w:p>
    <w:p w:rsidR="007259F2" w:rsidRDefault="00E655B4">
      <w:pPr>
        <w:spacing w:before="1"/>
        <w:ind w:left="2978" w:right="981"/>
        <w:jc w:val="both"/>
        <w:rPr>
          <w:sz w:val="20"/>
        </w:rPr>
      </w:pPr>
      <w:r>
        <w:rPr>
          <w:sz w:val="20"/>
        </w:rPr>
        <w:t>RECURSO ESPECIAL - EXECUÇÃO - PRAÇA - ARREMATAÇÃO - DÉBITOS FISCAIS E CONDOMINIAIS - RESPONSABILIDADE DO ARREMATANTE, DESDE QUE HAJA PREVISÃO EXPRESSA NO EDITAL - PRECEDENTES DO STJ - HIPÓTESE OCORRENTE, NA ESPÉCIE</w:t>
      </w:r>
      <w:r>
        <w:rPr>
          <w:spacing w:val="53"/>
          <w:sz w:val="20"/>
        </w:rPr>
        <w:t xml:space="preserve"> </w:t>
      </w:r>
      <w:r>
        <w:rPr>
          <w:sz w:val="20"/>
        </w:rPr>
        <w:t>-</w:t>
      </w:r>
      <w:r>
        <w:rPr>
          <w:spacing w:val="49"/>
          <w:sz w:val="20"/>
        </w:rPr>
        <w:t xml:space="preserve"> </w:t>
      </w:r>
      <w:r>
        <w:rPr>
          <w:sz w:val="20"/>
        </w:rPr>
        <w:t>DISSÍDIO</w:t>
      </w:r>
      <w:r>
        <w:rPr>
          <w:spacing w:val="54"/>
          <w:sz w:val="20"/>
        </w:rPr>
        <w:t xml:space="preserve"> </w:t>
      </w:r>
      <w:r>
        <w:rPr>
          <w:sz w:val="20"/>
        </w:rPr>
        <w:t>JURISPRUDENCIAL</w:t>
      </w:r>
      <w:r>
        <w:rPr>
          <w:spacing w:val="48"/>
          <w:sz w:val="20"/>
        </w:rPr>
        <w:t xml:space="preserve"> </w:t>
      </w:r>
      <w:r>
        <w:rPr>
          <w:sz w:val="20"/>
        </w:rPr>
        <w:t>NÃO</w:t>
      </w:r>
      <w:r>
        <w:rPr>
          <w:spacing w:val="54"/>
          <w:sz w:val="20"/>
        </w:rPr>
        <w:t xml:space="preserve"> </w:t>
      </w:r>
      <w:r>
        <w:rPr>
          <w:sz w:val="20"/>
        </w:rPr>
        <w:t>DEMONSTRADO</w:t>
      </w:r>
      <w:r>
        <w:rPr>
          <w:spacing w:val="60"/>
          <w:sz w:val="20"/>
        </w:rPr>
        <w:t xml:space="preserve"> </w:t>
      </w:r>
      <w:r>
        <w:rPr>
          <w:spacing w:val="-10"/>
          <w:sz w:val="20"/>
        </w:rPr>
        <w:t>–</w:t>
      </w:r>
    </w:p>
    <w:p w:rsidR="007259F2" w:rsidRDefault="00E655B4">
      <w:pPr>
        <w:ind w:left="2978" w:right="990"/>
        <w:jc w:val="both"/>
        <w:rPr>
          <w:sz w:val="20"/>
        </w:rPr>
      </w:pPr>
      <w:r>
        <w:rPr>
          <w:sz w:val="20"/>
        </w:rPr>
        <w:t>RECURSO IMPROVIDO. I - Em regra, o preço apurado na arrematação serve ao pagamento do IPTU e de taxas pela prestação de</w:t>
      </w:r>
      <w:r>
        <w:rPr>
          <w:spacing w:val="-4"/>
          <w:sz w:val="20"/>
        </w:rPr>
        <w:t xml:space="preserve"> </w:t>
      </w:r>
      <w:r>
        <w:rPr>
          <w:sz w:val="20"/>
        </w:rPr>
        <w:t>serviços</w:t>
      </w:r>
      <w:r>
        <w:rPr>
          <w:spacing w:val="-6"/>
          <w:sz w:val="20"/>
        </w:rPr>
        <w:t xml:space="preserve"> </w:t>
      </w:r>
      <w:r>
        <w:rPr>
          <w:sz w:val="20"/>
        </w:rPr>
        <w:t>incidentes sobre o imóvel (art. 130 e 130, parágrafo único, do CTN); II - Contudo, havendo expressa menção no edital acerca da existência de débitos condominiais e tributários incidentes sobre o imóvel arrematado, a responsabilidade pelo seu adimplemento transfere-se para o</w:t>
      </w:r>
      <w:r>
        <w:rPr>
          <w:spacing w:val="-1"/>
          <w:sz w:val="20"/>
        </w:rPr>
        <w:t xml:space="preserve"> </w:t>
      </w:r>
      <w:r>
        <w:rPr>
          <w:sz w:val="20"/>
        </w:rPr>
        <w:t>arrematante; III - No tocante ao alegado dissídio jurisprudencial, é certo que não houve cotejo analítico,</w:t>
      </w:r>
      <w:r>
        <w:rPr>
          <w:spacing w:val="-7"/>
          <w:sz w:val="20"/>
        </w:rPr>
        <w:t xml:space="preserve"> </w:t>
      </w:r>
      <w:r>
        <w:rPr>
          <w:sz w:val="20"/>
        </w:rPr>
        <w:t>bem</w:t>
      </w:r>
      <w:r>
        <w:rPr>
          <w:spacing w:val="-2"/>
          <w:sz w:val="20"/>
        </w:rPr>
        <w:t xml:space="preserve"> </w:t>
      </w:r>
      <w:r>
        <w:rPr>
          <w:sz w:val="20"/>
        </w:rPr>
        <w:t>como</w:t>
      </w:r>
      <w:r>
        <w:rPr>
          <w:spacing w:val="-4"/>
          <w:sz w:val="20"/>
        </w:rPr>
        <w:t xml:space="preserve"> </w:t>
      </w:r>
      <w:r>
        <w:rPr>
          <w:sz w:val="20"/>
        </w:rPr>
        <w:t>não restou demonstrada a perfeita similitude fática entre o</w:t>
      </w:r>
      <w:r>
        <w:rPr>
          <w:spacing w:val="19"/>
          <w:sz w:val="20"/>
        </w:rPr>
        <w:t xml:space="preserve"> </w:t>
      </w:r>
      <w:r>
        <w:rPr>
          <w:sz w:val="20"/>
        </w:rPr>
        <w:t>acórdão</w:t>
      </w:r>
      <w:r>
        <w:rPr>
          <w:spacing w:val="21"/>
          <w:sz w:val="20"/>
        </w:rPr>
        <w:t xml:space="preserve"> </w:t>
      </w:r>
      <w:r>
        <w:rPr>
          <w:sz w:val="20"/>
        </w:rPr>
        <w:t>impugnado</w:t>
      </w:r>
      <w:r>
        <w:rPr>
          <w:spacing w:val="20"/>
          <w:sz w:val="20"/>
        </w:rPr>
        <w:t xml:space="preserve"> </w:t>
      </w:r>
      <w:r>
        <w:rPr>
          <w:sz w:val="20"/>
        </w:rPr>
        <w:t>e</w:t>
      </w:r>
      <w:r>
        <w:rPr>
          <w:spacing w:val="19"/>
          <w:sz w:val="20"/>
        </w:rPr>
        <w:t xml:space="preserve"> </w:t>
      </w:r>
      <w:r>
        <w:rPr>
          <w:sz w:val="20"/>
        </w:rPr>
        <w:t>os</w:t>
      </w:r>
      <w:r>
        <w:rPr>
          <w:spacing w:val="17"/>
          <w:sz w:val="20"/>
        </w:rPr>
        <w:t xml:space="preserve"> </w:t>
      </w:r>
      <w:r>
        <w:rPr>
          <w:sz w:val="20"/>
        </w:rPr>
        <w:t>paradigmas</w:t>
      </w:r>
      <w:r>
        <w:rPr>
          <w:spacing w:val="18"/>
          <w:sz w:val="20"/>
        </w:rPr>
        <w:t xml:space="preserve"> </w:t>
      </w:r>
      <w:r>
        <w:rPr>
          <w:sz w:val="20"/>
        </w:rPr>
        <w:t>colacionados;</w:t>
      </w:r>
      <w:r>
        <w:rPr>
          <w:spacing w:val="19"/>
          <w:sz w:val="20"/>
        </w:rPr>
        <w:t xml:space="preserve"> </w:t>
      </w:r>
      <w:r>
        <w:rPr>
          <w:sz w:val="20"/>
        </w:rPr>
        <w:t>IV</w:t>
      </w:r>
      <w:r>
        <w:rPr>
          <w:spacing w:val="23"/>
          <w:sz w:val="20"/>
        </w:rPr>
        <w:t xml:space="preserve"> </w:t>
      </w:r>
      <w:r>
        <w:rPr>
          <w:sz w:val="20"/>
        </w:rPr>
        <w:t>-</w:t>
      </w:r>
      <w:r>
        <w:rPr>
          <w:spacing w:val="19"/>
          <w:sz w:val="20"/>
        </w:rPr>
        <w:t xml:space="preserve"> </w:t>
      </w:r>
      <w:r>
        <w:rPr>
          <w:sz w:val="20"/>
        </w:rPr>
        <w:t>Recurso</w:t>
      </w:r>
      <w:r>
        <w:rPr>
          <w:spacing w:val="20"/>
          <w:sz w:val="20"/>
        </w:rPr>
        <w:t xml:space="preserve"> </w:t>
      </w:r>
      <w:r>
        <w:rPr>
          <w:spacing w:val="-2"/>
          <w:sz w:val="20"/>
        </w:rPr>
        <w:t>especial</w:t>
      </w:r>
    </w:p>
    <w:p w:rsidR="007259F2" w:rsidRDefault="007259F2">
      <w:pPr>
        <w:jc w:val="both"/>
        <w:rPr>
          <w:sz w:val="20"/>
        </w:rPr>
        <w:sectPr w:rsidR="007259F2">
          <w:pgSz w:w="11910" w:h="16840"/>
          <w:pgMar w:top="1320" w:right="708" w:bottom="1160" w:left="992" w:header="0" w:footer="962" w:gutter="0"/>
          <w:cols w:space="720"/>
        </w:sectPr>
      </w:pPr>
    </w:p>
    <w:p w:rsidR="007259F2" w:rsidRDefault="00E655B4">
      <w:pPr>
        <w:spacing w:before="71"/>
        <w:ind w:left="2978" w:right="997"/>
        <w:jc w:val="both"/>
        <w:rPr>
          <w:sz w:val="20"/>
        </w:rPr>
      </w:pPr>
      <w:r>
        <w:rPr>
          <w:sz w:val="20"/>
        </w:rPr>
        <w:lastRenderedPageBreak/>
        <w:t>improvido. (REsp 1114111/RJ, Rel. Ministro MASSAMI UYEDA, TERCEIRA TURMA, julgado em 20/10/2009, DJe 04/12/2009).</w:t>
      </w:r>
    </w:p>
    <w:p w:rsidR="007259F2" w:rsidRDefault="007259F2">
      <w:pPr>
        <w:pStyle w:val="Corpodetexto"/>
        <w:ind w:left="0" w:firstLine="0"/>
        <w:jc w:val="left"/>
        <w:rPr>
          <w:sz w:val="20"/>
        </w:rPr>
      </w:pPr>
    </w:p>
    <w:p w:rsidR="007259F2" w:rsidRDefault="00E655B4">
      <w:pPr>
        <w:pStyle w:val="Corpodetexto"/>
        <w:ind w:right="989"/>
      </w:pPr>
      <w:r>
        <w:t>Decidiu o Superior Tribunal de Justiça que a previsão em edital de hasta pública com previsão da responsabilidade do arrematante por débitos tributários de IPTU, não viola as disposições do já mencionado Art. 130 do código tributário nacional, conforme decisão abaixo:</w:t>
      </w:r>
    </w:p>
    <w:p w:rsidR="007259F2" w:rsidRDefault="00E655B4">
      <w:pPr>
        <w:spacing w:before="253"/>
        <w:ind w:left="2978" w:right="981"/>
        <w:jc w:val="both"/>
        <w:rPr>
          <w:sz w:val="20"/>
        </w:rPr>
      </w:pPr>
      <w:r>
        <w:rPr>
          <w:sz w:val="20"/>
        </w:rPr>
        <w:t>PROCESSO CIVIL. EXECUÇÃO. HASTA PÚBLICA. EDITAL. OMISSÃO. ANULAÇÃO. DEMONSTRAÇÃO DO PREJUÍZO. NECESSIDADE. RESPONSABILIZAÇÃO DO ARREMATANTE POR DÉBITOS DE IPTU. POSSIBILIDADE. POSTERIOR FALÊNCIA DA EMPRESA</w:t>
      </w:r>
      <w:r>
        <w:rPr>
          <w:spacing w:val="70"/>
          <w:w w:val="150"/>
          <w:sz w:val="20"/>
        </w:rPr>
        <w:t xml:space="preserve"> </w:t>
      </w:r>
      <w:r>
        <w:rPr>
          <w:sz w:val="20"/>
        </w:rPr>
        <w:t>DEVEDORA.</w:t>
      </w:r>
      <w:r>
        <w:rPr>
          <w:spacing w:val="77"/>
          <w:w w:val="150"/>
          <w:sz w:val="20"/>
        </w:rPr>
        <w:t xml:space="preserve"> </w:t>
      </w:r>
      <w:r>
        <w:rPr>
          <w:sz w:val="20"/>
        </w:rPr>
        <w:t>IRRELEVÂNCIA.</w:t>
      </w:r>
      <w:r>
        <w:rPr>
          <w:spacing w:val="76"/>
          <w:w w:val="150"/>
          <w:sz w:val="20"/>
        </w:rPr>
        <w:t xml:space="preserve"> </w:t>
      </w:r>
      <w:r>
        <w:rPr>
          <w:sz w:val="20"/>
        </w:rPr>
        <w:t>1.</w:t>
      </w:r>
      <w:r>
        <w:rPr>
          <w:spacing w:val="69"/>
          <w:w w:val="150"/>
          <w:sz w:val="20"/>
        </w:rPr>
        <w:t xml:space="preserve"> </w:t>
      </w:r>
      <w:r>
        <w:rPr>
          <w:sz w:val="20"/>
        </w:rPr>
        <w:t>O</w:t>
      </w:r>
      <w:r>
        <w:rPr>
          <w:spacing w:val="72"/>
          <w:w w:val="150"/>
          <w:sz w:val="20"/>
        </w:rPr>
        <w:t xml:space="preserve"> </w:t>
      </w:r>
      <w:r>
        <w:rPr>
          <w:sz w:val="20"/>
        </w:rPr>
        <w:t>art.</w:t>
      </w:r>
      <w:r>
        <w:rPr>
          <w:spacing w:val="70"/>
          <w:w w:val="150"/>
          <w:sz w:val="20"/>
        </w:rPr>
        <w:t xml:space="preserve"> </w:t>
      </w:r>
      <w:r>
        <w:rPr>
          <w:sz w:val="20"/>
        </w:rPr>
        <w:t>686</w:t>
      </w:r>
      <w:r>
        <w:rPr>
          <w:spacing w:val="71"/>
          <w:w w:val="150"/>
          <w:sz w:val="20"/>
        </w:rPr>
        <w:t xml:space="preserve"> </w:t>
      </w:r>
      <w:r>
        <w:rPr>
          <w:sz w:val="20"/>
        </w:rPr>
        <w:t>do</w:t>
      </w:r>
      <w:r>
        <w:rPr>
          <w:spacing w:val="72"/>
          <w:w w:val="150"/>
          <w:sz w:val="20"/>
        </w:rPr>
        <w:t xml:space="preserve"> </w:t>
      </w:r>
      <w:r>
        <w:rPr>
          <w:spacing w:val="-5"/>
          <w:sz w:val="20"/>
        </w:rPr>
        <w:t>CPC</w:t>
      </w:r>
    </w:p>
    <w:p w:rsidR="007259F2" w:rsidRDefault="00E655B4">
      <w:pPr>
        <w:ind w:left="2978" w:right="986"/>
        <w:jc w:val="both"/>
        <w:rPr>
          <w:sz w:val="20"/>
        </w:rPr>
      </w:pPr>
      <w:r>
        <w:rPr>
          <w:sz w:val="20"/>
        </w:rPr>
        <w:t>estabelece o conteúdo mínimo do edital de hasta pública, visando preponderantemente aos interesses dos potenciais arrematantes, de modo a conferir-lhes informações indispensáveis à definição do efetivo interesse no bem levado a leilão, bem como do valor máximo que estarão dispostos a oferecer a título de lanço. De regra, pois, eventual nulidade relacionada à omissão do edital aproveita apenas ao arrematante e depende da</w:t>
      </w:r>
      <w:r>
        <w:rPr>
          <w:spacing w:val="40"/>
          <w:sz w:val="20"/>
        </w:rPr>
        <w:t xml:space="preserve"> </w:t>
      </w:r>
      <w:r>
        <w:rPr>
          <w:sz w:val="20"/>
        </w:rPr>
        <w:t>demonstração da existência de prejuízo, sendo incabível tal alegação pelo devedor que</w:t>
      </w:r>
      <w:r>
        <w:rPr>
          <w:spacing w:val="-1"/>
          <w:sz w:val="20"/>
        </w:rPr>
        <w:t xml:space="preserve"> </w:t>
      </w:r>
      <w:r>
        <w:rPr>
          <w:sz w:val="20"/>
        </w:rPr>
        <w:t>não foi</w:t>
      </w:r>
      <w:r>
        <w:rPr>
          <w:spacing w:val="-1"/>
          <w:sz w:val="20"/>
        </w:rPr>
        <w:t xml:space="preserve"> </w:t>
      </w:r>
      <w:r>
        <w:rPr>
          <w:sz w:val="20"/>
        </w:rPr>
        <w:t>prejudicado.</w:t>
      </w:r>
      <w:r>
        <w:rPr>
          <w:spacing w:val="-3"/>
          <w:sz w:val="20"/>
        </w:rPr>
        <w:t xml:space="preserve"> </w:t>
      </w:r>
      <w:r>
        <w:rPr>
          <w:sz w:val="20"/>
        </w:rPr>
        <w:t xml:space="preserve">2. </w:t>
      </w:r>
      <w:r>
        <w:rPr>
          <w:b/>
          <w:sz w:val="20"/>
        </w:rPr>
        <w:t>Não viola</w:t>
      </w:r>
      <w:r>
        <w:rPr>
          <w:b/>
          <w:spacing w:val="-2"/>
          <w:sz w:val="20"/>
        </w:rPr>
        <w:t xml:space="preserve"> </w:t>
      </w:r>
      <w:r>
        <w:rPr>
          <w:b/>
          <w:sz w:val="20"/>
        </w:rPr>
        <w:t>o art.</w:t>
      </w:r>
      <w:r>
        <w:rPr>
          <w:b/>
          <w:spacing w:val="-3"/>
          <w:sz w:val="20"/>
        </w:rPr>
        <w:t xml:space="preserve"> </w:t>
      </w:r>
      <w:r>
        <w:rPr>
          <w:b/>
          <w:sz w:val="20"/>
        </w:rPr>
        <w:t>130</w:t>
      </w:r>
      <w:r>
        <w:rPr>
          <w:b/>
          <w:spacing w:val="-2"/>
          <w:sz w:val="20"/>
        </w:rPr>
        <w:t xml:space="preserve"> </w:t>
      </w:r>
      <w:r>
        <w:rPr>
          <w:b/>
          <w:sz w:val="20"/>
        </w:rPr>
        <w:t>do</w:t>
      </w:r>
      <w:r>
        <w:rPr>
          <w:b/>
          <w:spacing w:val="-2"/>
          <w:sz w:val="20"/>
        </w:rPr>
        <w:t xml:space="preserve"> </w:t>
      </w:r>
      <w:r>
        <w:rPr>
          <w:b/>
          <w:sz w:val="20"/>
        </w:rPr>
        <w:t>CTN</w:t>
      </w:r>
      <w:r>
        <w:rPr>
          <w:b/>
          <w:spacing w:val="-1"/>
          <w:sz w:val="20"/>
        </w:rPr>
        <w:t xml:space="preserve"> </w:t>
      </w:r>
      <w:r>
        <w:rPr>
          <w:b/>
          <w:sz w:val="20"/>
        </w:rPr>
        <w:t>o edital</w:t>
      </w:r>
      <w:r>
        <w:rPr>
          <w:b/>
          <w:spacing w:val="-1"/>
          <w:sz w:val="20"/>
        </w:rPr>
        <w:t xml:space="preserve"> </w:t>
      </w:r>
      <w:r>
        <w:rPr>
          <w:b/>
          <w:sz w:val="20"/>
        </w:rPr>
        <w:t>de hasta pública que prevê a responsabilidade do arrematante por débitos fiscais de IPTU</w:t>
      </w:r>
      <w:r>
        <w:rPr>
          <w:sz w:val="20"/>
        </w:rPr>
        <w:t>. Assumindo o arrematante do imóvel a responsabilidade</w:t>
      </w:r>
      <w:r>
        <w:rPr>
          <w:spacing w:val="80"/>
          <w:sz w:val="20"/>
        </w:rPr>
        <w:t xml:space="preserve"> </w:t>
      </w:r>
      <w:r>
        <w:rPr>
          <w:sz w:val="20"/>
        </w:rPr>
        <w:t>pelo pagamento do IPTU, o Município passa a ter dupla garantia de quitação da dívida tributária, quais sejam: (i) a garantia pessoal do arrematante, aceita judicialmente por ocasião da arrematação; e (ii) a garantia real representada pelo imóvel arrematado, que dá origem ao próprio débito de IPTU. 3. Tendo</w:t>
      </w:r>
      <w:r>
        <w:rPr>
          <w:spacing w:val="40"/>
          <w:sz w:val="20"/>
        </w:rPr>
        <w:t xml:space="preserve"> </w:t>
      </w:r>
      <w:r>
        <w:rPr>
          <w:sz w:val="20"/>
        </w:rPr>
        <w:t>a arrematação ocorrida mais de 06 meses antes da falência da empresa devedora, o imóvel arrematado não integrará a massa falida, eis que terá deixado</w:t>
      </w:r>
      <w:r>
        <w:rPr>
          <w:spacing w:val="-13"/>
          <w:sz w:val="20"/>
        </w:rPr>
        <w:t xml:space="preserve"> </w:t>
      </w:r>
      <w:r>
        <w:rPr>
          <w:sz w:val="20"/>
        </w:rPr>
        <w:t>o</w:t>
      </w:r>
      <w:r>
        <w:rPr>
          <w:spacing w:val="-12"/>
          <w:sz w:val="20"/>
        </w:rPr>
        <w:t xml:space="preserve"> </w:t>
      </w:r>
      <w:r>
        <w:rPr>
          <w:sz w:val="20"/>
        </w:rPr>
        <w:t>patrimônio</w:t>
      </w:r>
      <w:r>
        <w:rPr>
          <w:spacing w:val="-13"/>
          <w:sz w:val="20"/>
        </w:rPr>
        <w:t xml:space="preserve"> </w:t>
      </w:r>
      <w:r>
        <w:rPr>
          <w:sz w:val="20"/>
        </w:rPr>
        <w:t>da</w:t>
      </w:r>
      <w:r>
        <w:rPr>
          <w:spacing w:val="-12"/>
          <w:sz w:val="20"/>
        </w:rPr>
        <w:t xml:space="preserve"> </w:t>
      </w:r>
      <w:r>
        <w:rPr>
          <w:sz w:val="20"/>
        </w:rPr>
        <w:t>empresa</w:t>
      </w:r>
      <w:r>
        <w:rPr>
          <w:spacing w:val="-13"/>
          <w:sz w:val="20"/>
        </w:rPr>
        <w:t xml:space="preserve"> </w:t>
      </w:r>
      <w:r>
        <w:rPr>
          <w:sz w:val="20"/>
        </w:rPr>
        <w:t>antes</w:t>
      </w:r>
      <w:r>
        <w:rPr>
          <w:spacing w:val="-12"/>
          <w:sz w:val="20"/>
        </w:rPr>
        <w:t xml:space="preserve"> </w:t>
      </w:r>
      <w:r>
        <w:rPr>
          <w:sz w:val="20"/>
        </w:rPr>
        <w:t>da</w:t>
      </w:r>
      <w:r>
        <w:rPr>
          <w:spacing w:val="-13"/>
          <w:sz w:val="20"/>
        </w:rPr>
        <w:t xml:space="preserve"> </w:t>
      </w:r>
      <w:r>
        <w:rPr>
          <w:sz w:val="20"/>
        </w:rPr>
        <w:t>decretação</w:t>
      </w:r>
      <w:r>
        <w:rPr>
          <w:spacing w:val="-11"/>
          <w:sz w:val="20"/>
        </w:rPr>
        <w:t xml:space="preserve"> </w:t>
      </w:r>
      <w:r>
        <w:rPr>
          <w:sz w:val="20"/>
        </w:rPr>
        <w:t>da</w:t>
      </w:r>
      <w:r>
        <w:rPr>
          <w:spacing w:val="-13"/>
          <w:sz w:val="20"/>
        </w:rPr>
        <w:t xml:space="preserve"> </w:t>
      </w:r>
      <w:r>
        <w:rPr>
          <w:sz w:val="20"/>
        </w:rPr>
        <w:t>quebra.</w:t>
      </w:r>
      <w:r>
        <w:rPr>
          <w:spacing w:val="-1"/>
          <w:sz w:val="20"/>
        </w:rPr>
        <w:t xml:space="preserve"> </w:t>
      </w:r>
      <w:r>
        <w:rPr>
          <w:sz w:val="20"/>
        </w:rPr>
        <w:t>Assim,</w:t>
      </w:r>
      <w:r>
        <w:rPr>
          <w:spacing w:val="-2"/>
          <w:sz w:val="20"/>
        </w:rPr>
        <w:t xml:space="preserve"> </w:t>
      </w:r>
      <w:r>
        <w:rPr>
          <w:sz w:val="20"/>
        </w:rPr>
        <w:t>não</w:t>
      </w:r>
      <w:r>
        <w:rPr>
          <w:spacing w:val="-1"/>
          <w:sz w:val="20"/>
        </w:rPr>
        <w:t xml:space="preserve"> </w:t>
      </w:r>
      <w:r>
        <w:rPr>
          <w:sz w:val="20"/>
        </w:rPr>
        <w:t>se poderá</w:t>
      </w:r>
      <w:r>
        <w:rPr>
          <w:spacing w:val="-3"/>
          <w:sz w:val="20"/>
        </w:rPr>
        <w:t xml:space="preserve"> </w:t>
      </w:r>
      <w:r>
        <w:rPr>
          <w:sz w:val="20"/>
        </w:rPr>
        <w:t>falar</w:t>
      </w:r>
      <w:r>
        <w:rPr>
          <w:spacing w:val="-2"/>
          <w:sz w:val="20"/>
        </w:rPr>
        <w:t xml:space="preserve"> </w:t>
      </w:r>
      <w:r>
        <w:rPr>
          <w:sz w:val="20"/>
        </w:rPr>
        <w:t>em</w:t>
      </w:r>
      <w:r>
        <w:rPr>
          <w:spacing w:val="-4"/>
          <w:sz w:val="20"/>
        </w:rPr>
        <w:t xml:space="preserve"> </w:t>
      </w:r>
      <w:r>
        <w:rPr>
          <w:sz w:val="20"/>
        </w:rPr>
        <w:t>prejuízo</w:t>
      </w:r>
      <w:r>
        <w:rPr>
          <w:spacing w:val="-2"/>
          <w:sz w:val="20"/>
        </w:rPr>
        <w:t xml:space="preserve"> </w:t>
      </w:r>
      <w:r>
        <w:rPr>
          <w:sz w:val="20"/>
        </w:rPr>
        <w:t>aos</w:t>
      </w:r>
      <w:r>
        <w:rPr>
          <w:spacing w:val="-4"/>
          <w:sz w:val="20"/>
        </w:rPr>
        <w:t xml:space="preserve"> </w:t>
      </w:r>
      <w:r>
        <w:rPr>
          <w:sz w:val="20"/>
        </w:rPr>
        <w:t>credores, muito menos</w:t>
      </w:r>
      <w:r>
        <w:rPr>
          <w:spacing w:val="-4"/>
          <w:sz w:val="20"/>
        </w:rPr>
        <w:t xml:space="preserve"> </w:t>
      </w:r>
      <w:r>
        <w:rPr>
          <w:sz w:val="20"/>
        </w:rPr>
        <w:t>em</w:t>
      </w:r>
      <w:r>
        <w:rPr>
          <w:spacing w:val="-2"/>
          <w:sz w:val="20"/>
        </w:rPr>
        <w:t xml:space="preserve"> </w:t>
      </w:r>
      <w:r>
        <w:rPr>
          <w:sz w:val="20"/>
        </w:rPr>
        <w:t>habilitação</w:t>
      </w:r>
      <w:r>
        <w:rPr>
          <w:spacing w:val="-2"/>
          <w:sz w:val="20"/>
        </w:rPr>
        <w:t xml:space="preserve"> </w:t>
      </w:r>
      <w:r>
        <w:rPr>
          <w:sz w:val="20"/>
        </w:rPr>
        <w:t>do</w:t>
      </w:r>
      <w:r>
        <w:rPr>
          <w:spacing w:val="-2"/>
          <w:sz w:val="20"/>
        </w:rPr>
        <w:t xml:space="preserve"> </w:t>
      </w:r>
      <w:r>
        <w:rPr>
          <w:sz w:val="20"/>
        </w:rPr>
        <w:t>crédito relativo ao débito de IPTU, pois a dívida do Município terá como sujeito passivo</w:t>
      </w:r>
      <w:r>
        <w:rPr>
          <w:spacing w:val="-2"/>
          <w:sz w:val="20"/>
        </w:rPr>
        <w:t xml:space="preserve"> </w:t>
      </w:r>
      <w:r>
        <w:rPr>
          <w:sz w:val="20"/>
        </w:rPr>
        <w:t>o arrematante, novo</w:t>
      </w:r>
      <w:r>
        <w:rPr>
          <w:spacing w:val="-2"/>
          <w:sz w:val="20"/>
        </w:rPr>
        <w:t xml:space="preserve"> </w:t>
      </w:r>
      <w:r>
        <w:rPr>
          <w:sz w:val="20"/>
        </w:rPr>
        <w:t>proprietário</w:t>
      </w:r>
      <w:r>
        <w:rPr>
          <w:spacing w:val="-2"/>
          <w:sz w:val="20"/>
        </w:rPr>
        <w:t xml:space="preserve"> </w:t>
      </w:r>
      <w:r>
        <w:rPr>
          <w:sz w:val="20"/>
        </w:rPr>
        <w:t>do</w:t>
      </w:r>
      <w:r>
        <w:rPr>
          <w:spacing w:val="-2"/>
          <w:sz w:val="20"/>
        </w:rPr>
        <w:t xml:space="preserve"> </w:t>
      </w:r>
      <w:r>
        <w:rPr>
          <w:sz w:val="20"/>
        </w:rPr>
        <w:t>imóvel. 4.</w:t>
      </w:r>
      <w:r>
        <w:rPr>
          <w:spacing w:val="-3"/>
          <w:sz w:val="20"/>
        </w:rPr>
        <w:t xml:space="preserve"> </w:t>
      </w:r>
      <w:r>
        <w:rPr>
          <w:sz w:val="20"/>
        </w:rPr>
        <w:t>Recurso</w:t>
      </w:r>
      <w:r>
        <w:rPr>
          <w:spacing w:val="-2"/>
          <w:sz w:val="20"/>
        </w:rPr>
        <w:t xml:space="preserve"> </w:t>
      </w:r>
      <w:r>
        <w:rPr>
          <w:sz w:val="20"/>
        </w:rPr>
        <w:t>especial</w:t>
      </w:r>
      <w:r>
        <w:rPr>
          <w:spacing w:val="-3"/>
          <w:sz w:val="20"/>
        </w:rPr>
        <w:t xml:space="preserve"> </w:t>
      </w:r>
      <w:r>
        <w:rPr>
          <w:sz w:val="20"/>
        </w:rPr>
        <w:t>a</w:t>
      </w:r>
      <w:r>
        <w:rPr>
          <w:spacing w:val="-1"/>
          <w:sz w:val="20"/>
        </w:rPr>
        <w:t xml:space="preserve"> </w:t>
      </w:r>
      <w:r>
        <w:rPr>
          <w:sz w:val="20"/>
        </w:rPr>
        <w:t>que se</w:t>
      </w:r>
      <w:r>
        <w:rPr>
          <w:spacing w:val="-5"/>
          <w:sz w:val="20"/>
        </w:rPr>
        <w:t xml:space="preserve"> </w:t>
      </w:r>
      <w:r>
        <w:rPr>
          <w:sz w:val="20"/>
        </w:rPr>
        <w:t>nega</w:t>
      </w:r>
      <w:r>
        <w:rPr>
          <w:spacing w:val="-5"/>
          <w:sz w:val="20"/>
        </w:rPr>
        <w:t xml:space="preserve"> </w:t>
      </w:r>
      <w:r>
        <w:rPr>
          <w:sz w:val="20"/>
        </w:rPr>
        <w:t>provimento.</w:t>
      </w:r>
      <w:r>
        <w:rPr>
          <w:spacing w:val="-5"/>
          <w:sz w:val="20"/>
        </w:rPr>
        <w:t xml:space="preserve"> </w:t>
      </w:r>
      <w:r>
        <w:rPr>
          <w:sz w:val="20"/>
        </w:rPr>
        <w:t>(REsp</w:t>
      </w:r>
      <w:r>
        <w:rPr>
          <w:spacing w:val="-4"/>
          <w:sz w:val="20"/>
        </w:rPr>
        <w:t xml:space="preserve"> </w:t>
      </w:r>
      <w:r>
        <w:rPr>
          <w:sz w:val="20"/>
        </w:rPr>
        <w:t>1316970/RJ, Rel. Ministra NANCY ANDRIGHI, TERCEIRA TURMA, julgado em 28/05/2013, DJe 07/06/2013).</w:t>
      </w:r>
    </w:p>
    <w:p w:rsidR="007259F2" w:rsidRDefault="007259F2">
      <w:pPr>
        <w:pStyle w:val="Corpodetexto"/>
        <w:spacing w:before="169"/>
        <w:ind w:left="0" w:firstLine="0"/>
        <w:jc w:val="left"/>
        <w:rPr>
          <w:sz w:val="20"/>
        </w:rPr>
      </w:pPr>
    </w:p>
    <w:p w:rsidR="007259F2" w:rsidRDefault="00E655B4">
      <w:pPr>
        <w:ind w:left="2978" w:right="982"/>
        <w:jc w:val="both"/>
        <w:rPr>
          <w:sz w:val="20"/>
        </w:rPr>
      </w:pPr>
      <w:r>
        <w:rPr>
          <w:sz w:val="20"/>
        </w:rPr>
        <w:t>PROCESSUAL CIVIL. AGRAVO INTERNO NO RECURSO ESPECIAL. RESPONSABILIDADE PELO PAGAMENTO DO IPTU DE BEM</w:t>
      </w:r>
      <w:r>
        <w:rPr>
          <w:spacing w:val="40"/>
          <w:sz w:val="20"/>
        </w:rPr>
        <w:t xml:space="preserve"> </w:t>
      </w:r>
      <w:r>
        <w:rPr>
          <w:sz w:val="20"/>
        </w:rPr>
        <w:t>IMÓVEL ARREMATADO EM HASTA PÚBLICA. EXPRESSA PREVISÃO DE RESPONSABILIDADE DO ARREMATANTE NO EDITAL.</w:t>
      </w:r>
      <w:r>
        <w:rPr>
          <w:spacing w:val="39"/>
          <w:sz w:val="20"/>
        </w:rPr>
        <w:t xml:space="preserve"> </w:t>
      </w:r>
      <w:r>
        <w:rPr>
          <w:sz w:val="20"/>
        </w:rPr>
        <w:t>FALTA</w:t>
      </w:r>
      <w:r>
        <w:rPr>
          <w:spacing w:val="39"/>
          <w:sz w:val="20"/>
        </w:rPr>
        <w:t xml:space="preserve"> </w:t>
      </w:r>
      <w:r>
        <w:rPr>
          <w:sz w:val="20"/>
        </w:rPr>
        <w:t>DE</w:t>
      </w:r>
      <w:r>
        <w:rPr>
          <w:spacing w:val="38"/>
          <w:sz w:val="20"/>
        </w:rPr>
        <w:t xml:space="preserve"> </w:t>
      </w:r>
      <w:r>
        <w:rPr>
          <w:sz w:val="20"/>
        </w:rPr>
        <w:t>PREQUESTIONAMENTO.</w:t>
      </w:r>
      <w:r>
        <w:rPr>
          <w:spacing w:val="41"/>
          <w:sz w:val="20"/>
        </w:rPr>
        <w:t xml:space="preserve"> </w:t>
      </w:r>
      <w:r>
        <w:rPr>
          <w:sz w:val="20"/>
        </w:rPr>
        <w:t>SÚMULA</w:t>
      </w:r>
      <w:r>
        <w:rPr>
          <w:spacing w:val="40"/>
          <w:sz w:val="20"/>
        </w:rPr>
        <w:t xml:space="preserve"> </w:t>
      </w:r>
      <w:r>
        <w:rPr>
          <w:sz w:val="20"/>
        </w:rPr>
        <w:t>211/STJ.</w:t>
      </w:r>
      <w:r>
        <w:rPr>
          <w:spacing w:val="37"/>
          <w:sz w:val="20"/>
        </w:rPr>
        <w:t xml:space="preserve"> </w:t>
      </w:r>
      <w:r>
        <w:rPr>
          <w:spacing w:val="-5"/>
          <w:sz w:val="20"/>
        </w:rPr>
        <w:t>1.</w:t>
      </w:r>
    </w:p>
    <w:p w:rsidR="007259F2" w:rsidRDefault="00E655B4">
      <w:pPr>
        <w:ind w:left="2978" w:right="987"/>
        <w:jc w:val="both"/>
        <w:rPr>
          <w:sz w:val="20"/>
        </w:rPr>
      </w:pPr>
      <w:r>
        <w:rPr>
          <w:sz w:val="20"/>
        </w:rPr>
        <w:t>Firme o entendimento do Superior Tribunal de Justiça de que, "havendo expressa menção no edital de hasta pública nesse sentido, a responsabilidade pelo adimplemento dos débitos tributários que recaiam sobre o bem imóvel é do arrematante" (AgRg no AREsp 248.454/SP, Rel. Min. Arnaldo Esteves Lima, Primeira Turma, DJe 12/9/2013). No mesmo sentido: AgInt nos EDcl no AREsp 1.006.727/SP, Rel. Min. Assusete Magalhães, Segunda Turma,</w:t>
      </w:r>
      <w:r>
        <w:rPr>
          <w:spacing w:val="40"/>
          <w:sz w:val="20"/>
        </w:rPr>
        <w:t xml:space="preserve"> </w:t>
      </w:r>
      <w:r>
        <w:rPr>
          <w:sz w:val="20"/>
        </w:rPr>
        <w:t>DJe 13/2/2019.</w:t>
      </w:r>
      <w:r>
        <w:rPr>
          <w:spacing w:val="-1"/>
          <w:sz w:val="20"/>
        </w:rPr>
        <w:t xml:space="preserve"> </w:t>
      </w:r>
      <w:r>
        <w:rPr>
          <w:sz w:val="20"/>
        </w:rPr>
        <w:t>2.</w:t>
      </w:r>
      <w:r>
        <w:rPr>
          <w:spacing w:val="-5"/>
          <w:sz w:val="20"/>
        </w:rPr>
        <w:t xml:space="preserve"> </w:t>
      </w:r>
      <w:r>
        <w:rPr>
          <w:sz w:val="20"/>
        </w:rPr>
        <w:t>No</w:t>
      </w:r>
      <w:r>
        <w:rPr>
          <w:spacing w:val="-9"/>
          <w:sz w:val="20"/>
        </w:rPr>
        <w:t xml:space="preserve"> </w:t>
      </w:r>
      <w:r>
        <w:rPr>
          <w:sz w:val="20"/>
        </w:rPr>
        <w:t>caso</w:t>
      </w:r>
      <w:r>
        <w:rPr>
          <w:spacing w:val="-4"/>
          <w:sz w:val="20"/>
        </w:rPr>
        <w:t xml:space="preserve"> </w:t>
      </w:r>
      <w:r>
        <w:rPr>
          <w:sz w:val="20"/>
        </w:rPr>
        <w:t>dos</w:t>
      </w:r>
      <w:r>
        <w:rPr>
          <w:spacing w:val="-11"/>
          <w:sz w:val="20"/>
        </w:rPr>
        <w:t xml:space="preserve"> </w:t>
      </w:r>
      <w:r>
        <w:rPr>
          <w:sz w:val="20"/>
        </w:rPr>
        <w:t>autos, tendo</w:t>
      </w:r>
      <w:r>
        <w:rPr>
          <w:spacing w:val="-4"/>
          <w:sz w:val="20"/>
        </w:rPr>
        <w:t xml:space="preserve"> </w:t>
      </w:r>
      <w:r>
        <w:rPr>
          <w:sz w:val="20"/>
        </w:rPr>
        <w:t>a</w:t>
      </w:r>
      <w:r>
        <w:rPr>
          <w:spacing w:val="-10"/>
          <w:sz w:val="20"/>
        </w:rPr>
        <w:t xml:space="preserve"> </w:t>
      </w:r>
      <w:r>
        <w:rPr>
          <w:sz w:val="20"/>
        </w:rPr>
        <w:t>Corte</w:t>
      </w:r>
      <w:r>
        <w:rPr>
          <w:spacing w:val="-10"/>
          <w:sz w:val="20"/>
        </w:rPr>
        <w:t xml:space="preserve"> </w:t>
      </w:r>
      <w:r>
        <w:rPr>
          <w:sz w:val="20"/>
        </w:rPr>
        <w:t>de</w:t>
      </w:r>
      <w:r>
        <w:rPr>
          <w:spacing w:val="-5"/>
          <w:sz w:val="20"/>
        </w:rPr>
        <w:t xml:space="preserve"> </w:t>
      </w:r>
      <w:r>
        <w:rPr>
          <w:sz w:val="20"/>
        </w:rPr>
        <w:t>origem</w:t>
      </w:r>
      <w:r>
        <w:rPr>
          <w:spacing w:val="-3"/>
          <w:sz w:val="20"/>
        </w:rPr>
        <w:t xml:space="preserve"> </w:t>
      </w:r>
      <w:r>
        <w:rPr>
          <w:sz w:val="20"/>
        </w:rPr>
        <w:t>consignado que o edital de hasta pública previa, expressamente, que os créditos tributários relativos ao IPTU seriam transferidos ao arrematante do bem imóvel, não há como afastar a responsabilidade deste pelo adimplemento do referido débito tributário. 3. A matéria referente ao art. 686, V, do CPC não foi objeto de análise pelo Tribunal de origem, ainda que implicitamente. Desse modo, carece o tema do indispensável prequestionamento viabilizador do apelo extremo,</w:t>
      </w:r>
      <w:r>
        <w:rPr>
          <w:spacing w:val="-1"/>
          <w:sz w:val="20"/>
        </w:rPr>
        <w:t xml:space="preserve"> </w:t>
      </w:r>
      <w:r>
        <w:rPr>
          <w:sz w:val="20"/>
        </w:rPr>
        <w:t>motivo pelo qual não merece ser apreciado, consoante o que preceitua a Súmula 211 do STJ. 4. Agravo interno a que se nega provimento. (AgInt no REsp 1845861/SP, Rel. Ministro OG FERNANDES, SEGUNDA TURMA, julgado em 18/05/2020, DJe 20/05/2020).</w:t>
      </w:r>
    </w:p>
    <w:p w:rsidR="007259F2" w:rsidRDefault="007259F2">
      <w:pPr>
        <w:jc w:val="both"/>
        <w:rPr>
          <w:sz w:val="20"/>
        </w:rPr>
        <w:sectPr w:rsidR="007259F2">
          <w:pgSz w:w="11910" w:h="16840"/>
          <w:pgMar w:top="1320" w:right="708" w:bottom="1160" w:left="992" w:header="0" w:footer="962" w:gutter="0"/>
          <w:cols w:space="720"/>
        </w:sectPr>
      </w:pPr>
    </w:p>
    <w:p w:rsidR="007259F2" w:rsidRDefault="00E655B4">
      <w:pPr>
        <w:pStyle w:val="Corpodetexto"/>
        <w:spacing w:before="69"/>
        <w:ind w:right="989"/>
      </w:pPr>
      <w:r>
        <w:lastRenderedPageBreak/>
        <w:t>Desta forma, admite-se</w:t>
      </w:r>
      <w:r>
        <w:rPr>
          <w:spacing w:val="-4"/>
        </w:rPr>
        <w:t xml:space="preserve"> </w:t>
      </w:r>
      <w:r>
        <w:t>o afastamento do parágrafo</w:t>
      </w:r>
      <w:r>
        <w:rPr>
          <w:spacing w:val="-2"/>
        </w:rPr>
        <w:t xml:space="preserve"> </w:t>
      </w:r>
      <w:r>
        <w:t>único</w:t>
      </w:r>
      <w:r>
        <w:rPr>
          <w:spacing w:val="-4"/>
        </w:rPr>
        <w:t xml:space="preserve"> </w:t>
      </w:r>
      <w:r>
        <w:t>do artigo</w:t>
      </w:r>
      <w:r>
        <w:rPr>
          <w:spacing w:val="-3"/>
        </w:rPr>
        <w:t xml:space="preserve"> </w:t>
      </w:r>
      <w:r>
        <w:t xml:space="preserve">130 do CTN, se o respectivo edital de leilão expressamente indicar a existência de ônus sobre o bem levado à venda pública e, assim, caberá ao arrematante a responsabilidade pela quitação dos impostos devidos, em observância ao disposto no inciso VI do artigo 886 do </w:t>
      </w:r>
      <w:r>
        <w:rPr>
          <w:spacing w:val="-2"/>
        </w:rPr>
        <w:t>CPC/2015.</w:t>
      </w:r>
    </w:p>
    <w:p w:rsidR="007259F2" w:rsidRDefault="00E655B4">
      <w:pPr>
        <w:spacing w:before="256"/>
        <w:ind w:left="2978" w:right="990"/>
        <w:jc w:val="both"/>
        <w:rPr>
          <w:sz w:val="20"/>
        </w:rPr>
      </w:pPr>
      <w:r>
        <w:rPr>
          <w:sz w:val="20"/>
        </w:rPr>
        <w:t>PROCESSUAL CIVIL E TRIBUTÁRIO. IPTU. ARREMATAÇÃO DEIMÓVEL. AFASTAMENTO DA</w:t>
      </w:r>
      <w:r>
        <w:rPr>
          <w:spacing w:val="-3"/>
          <w:sz w:val="20"/>
        </w:rPr>
        <w:t xml:space="preserve"> </w:t>
      </w:r>
      <w:r>
        <w:rPr>
          <w:sz w:val="20"/>
        </w:rPr>
        <w:t>REGRA</w:t>
      </w:r>
      <w:r>
        <w:rPr>
          <w:spacing w:val="-3"/>
          <w:sz w:val="20"/>
        </w:rPr>
        <w:t xml:space="preserve"> </w:t>
      </w:r>
      <w:r>
        <w:rPr>
          <w:sz w:val="20"/>
        </w:rPr>
        <w:t>DO ART. 130, PARÁGRAFO ÚNICO, DO CTN SE HOUVER EXPRESSA ATRIBUIÇÃO DE RESPONSABILIDADE</w:t>
      </w:r>
      <w:r>
        <w:rPr>
          <w:spacing w:val="40"/>
          <w:sz w:val="20"/>
        </w:rPr>
        <w:t xml:space="preserve"> </w:t>
      </w:r>
      <w:r>
        <w:rPr>
          <w:sz w:val="20"/>
        </w:rPr>
        <w:t>DO</w:t>
      </w:r>
      <w:r>
        <w:rPr>
          <w:spacing w:val="40"/>
          <w:sz w:val="20"/>
        </w:rPr>
        <w:t xml:space="preserve"> </w:t>
      </w:r>
      <w:r>
        <w:rPr>
          <w:sz w:val="20"/>
        </w:rPr>
        <w:t>ARREMATANTE,</w:t>
      </w:r>
      <w:r>
        <w:rPr>
          <w:spacing w:val="40"/>
          <w:sz w:val="20"/>
        </w:rPr>
        <w:t xml:space="preserve"> </w:t>
      </w:r>
      <w:r>
        <w:rPr>
          <w:sz w:val="20"/>
        </w:rPr>
        <w:t>NO</w:t>
      </w:r>
      <w:r>
        <w:rPr>
          <w:spacing w:val="40"/>
          <w:sz w:val="20"/>
        </w:rPr>
        <w:t xml:space="preserve"> </w:t>
      </w:r>
      <w:r>
        <w:rPr>
          <w:sz w:val="20"/>
        </w:rPr>
        <w:t>EDITAL</w:t>
      </w:r>
      <w:r>
        <w:rPr>
          <w:spacing w:val="40"/>
          <w:sz w:val="20"/>
        </w:rPr>
        <w:t xml:space="preserve"> </w:t>
      </w:r>
      <w:r>
        <w:rPr>
          <w:sz w:val="20"/>
        </w:rPr>
        <w:t>DE LEILÃO.</w:t>
      </w:r>
      <w:r>
        <w:rPr>
          <w:spacing w:val="34"/>
          <w:sz w:val="20"/>
        </w:rPr>
        <w:t xml:space="preserve">  </w:t>
      </w:r>
      <w:r>
        <w:rPr>
          <w:sz w:val="20"/>
        </w:rPr>
        <w:t>REVISÃO</w:t>
      </w:r>
      <w:r>
        <w:rPr>
          <w:spacing w:val="33"/>
          <w:sz w:val="20"/>
        </w:rPr>
        <w:t xml:space="preserve">  </w:t>
      </w:r>
      <w:r>
        <w:rPr>
          <w:sz w:val="20"/>
        </w:rPr>
        <w:t>DAS</w:t>
      </w:r>
      <w:r>
        <w:rPr>
          <w:spacing w:val="31"/>
          <w:sz w:val="20"/>
        </w:rPr>
        <w:t xml:space="preserve">  </w:t>
      </w:r>
      <w:r>
        <w:rPr>
          <w:sz w:val="20"/>
        </w:rPr>
        <w:t>PREMISSAS</w:t>
      </w:r>
      <w:r>
        <w:rPr>
          <w:spacing w:val="29"/>
          <w:sz w:val="20"/>
        </w:rPr>
        <w:t xml:space="preserve">  </w:t>
      </w:r>
      <w:r>
        <w:rPr>
          <w:sz w:val="20"/>
        </w:rPr>
        <w:t>FIXADAS</w:t>
      </w:r>
      <w:r>
        <w:rPr>
          <w:spacing w:val="33"/>
          <w:sz w:val="20"/>
        </w:rPr>
        <w:t xml:space="preserve">  </w:t>
      </w:r>
      <w:r>
        <w:rPr>
          <w:sz w:val="20"/>
        </w:rPr>
        <w:t>NO</w:t>
      </w:r>
      <w:r>
        <w:rPr>
          <w:spacing w:val="59"/>
          <w:sz w:val="20"/>
        </w:rPr>
        <w:t xml:space="preserve"> </w:t>
      </w:r>
      <w:r>
        <w:rPr>
          <w:spacing w:val="-2"/>
          <w:sz w:val="20"/>
        </w:rPr>
        <w:t>ACÓRDÃO</w:t>
      </w:r>
    </w:p>
    <w:p w:rsidR="007259F2" w:rsidRDefault="00E655B4">
      <w:pPr>
        <w:ind w:left="2978" w:right="987"/>
        <w:jc w:val="both"/>
        <w:rPr>
          <w:sz w:val="20"/>
        </w:rPr>
      </w:pPr>
      <w:r>
        <w:rPr>
          <w:sz w:val="20"/>
        </w:rPr>
        <w:t>HOSTILIZADO.</w:t>
      </w:r>
      <w:r>
        <w:rPr>
          <w:spacing w:val="-13"/>
          <w:sz w:val="20"/>
        </w:rPr>
        <w:t xml:space="preserve"> </w:t>
      </w:r>
      <w:r>
        <w:rPr>
          <w:sz w:val="20"/>
        </w:rPr>
        <w:t>SÚMULA</w:t>
      </w:r>
      <w:r>
        <w:rPr>
          <w:spacing w:val="-12"/>
          <w:sz w:val="20"/>
        </w:rPr>
        <w:t xml:space="preserve"> </w:t>
      </w:r>
      <w:r>
        <w:rPr>
          <w:sz w:val="20"/>
        </w:rPr>
        <w:t>7/STJ.</w:t>
      </w:r>
      <w:r>
        <w:rPr>
          <w:spacing w:val="-13"/>
          <w:sz w:val="20"/>
        </w:rPr>
        <w:t xml:space="preserve"> </w:t>
      </w:r>
      <w:r>
        <w:rPr>
          <w:sz w:val="20"/>
        </w:rPr>
        <w:t>1.</w:t>
      </w:r>
      <w:r>
        <w:rPr>
          <w:spacing w:val="-12"/>
          <w:sz w:val="20"/>
        </w:rPr>
        <w:t xml:space="preserve"> </w:t>
      </w:r>
      <w:r>
        <w:rPr>
          <w:sz w:val="20"/>
        </w:rPr>
        <w:t>Em</w:t>
      </w:r>
      <w:r>
        <w:rPr>
          <w:spacing w:val="-13"/>
          <w:sz w:val="20"/>
        </w:rPr>
        <w:t xml:space="preserve"> </w:t>
      </w:r>
      <w:r>
        <w:rPr>
          <w:sz w:val="20"/>
        </w:rPr>
        <w:t>regra,</w:t>
      </w:r>
      <w:r>
        <w:rPr>
          <w:spacing w:val="-12"/>
          <w:sz w:val="20"/>
        </w:rPr>
        <w:t xml:space="preserve"> </w:t>
      </w:r>
      <w:r>
        <w:rPr>
          <w:sz w:val="20"/>
        </w:rPr>
        <w:t>na</w:t>
      </w:r>
      <w:r>
        <w:rPr>
          <w:spacing w:val="-13"/>
          <w:sz w:val="20"/>
        </w:rPr>
        <w:t xml:space="preserve"> </w:t>
      </w:r>
      <w:r>
        <w:rPr>
          <w:sz w:val="20"/>
        </w:rPr>
        <w:t>hipótese</w:t>
      </w:r>
      <w:r>
        <w:rPr>
          <w:spacing w:val="-12"/>
          <w:sz w:val="20"/>
        </w:rPr>
        <w:t xml:space="preserve"> </w:t>
      </w:r>
      <w:r>
        <w:rPr>
          <w:sz w:val="20"/>
        </w:rPr>
        <w:t>de</w:t>
      </w:r>
      <w:r>
        <w:rPr>
          <w:spacing w:val="-13"/>
          <w:sz w:val="20"/>
        </w:rPr>
        <w:t xml:space="preserve"> </w:t>
      </w:r>
      <w:r>
        <w:rPr>
          <w:sz w:val="20"/>
        </w:rPr>
        <w:t>arrematação</w:t>
      </w:r>
      <w:r>
        <w:rPr>
          <w:spacing w:val="-12"/>
          <w:sz w:val="20"/>
        </w:rPr>
        <w:t xml:space="preserve"> </w:t>
      </w:r>
      <w:r>
        <w:rPr>
          <w:sz w:val="20"/>
        </w:rPr>
        <w:t>de imóvel em hasta pública, os débitos de IPTU ficam sub-rogados no preço, liberando-se o arrematante. 2. A</w:t>
      </w:r>
      <w:r>
        <w:rPr>
          <w:spacing w:val="-3"/>
          <w:sz w:val="20"/>
        </w:rPr>
        <w:t xml:space="preserve"> </w:t>
      </w:r>
      <w:r>
        <w:rPr>
          <w:sz w:val="20"/>
        </w:rPr>
        <w:t>jurisprudência do STJ admite o afastamento do art. 130, parágrafo único, do CTN, se o respectivo edital de leilão expressamente indicar a existência de débitos de IPTU e atribuir ao arrematante a responsabilidade pelo seu pagamento. Nesse sentido: REsp 1.316.970/RJ, Rel. Ministra Nancy Andrighi, DJe 7/6/2013 e REsp 799.666/RJ, Rel. Ministro Jorge Mussi, DJe 14/9/2009.3. Na hipótese dos autos, afirma o recorrente que a previsão quanto à responsabilidade do arrematante "constou expressamente do edital de praça publicado em 03 de março de 2010, no Diário Oficial Eletrônico do Tribunal de Justiça do Trabalho da 2ª Região", mas isso contrasta frontalmente com a premissa fixada no acórdão hostilizado, segundo o qual não há "nenhuma disposição</w:t>
      </w:r>
      <w:r>
        <w:rPr>
          <w:spacing w:val="40"/>
          <w:sz w:val="20"/>
        </w:rPr>
        <w:t xml:space="preserve"> </w:t>
      </w:r>
      <w:r>
        <w:rPr>
          <w:sz w:val="20"/>
        </w:rPr>
        <w:t>no tocante à responsabilização tributária do arrematante pelos débitos até então devidos" (fl. 227, e-STJ).4. Dessa forma, para afastar o entendimento adotado no acórdão hostilizado, seria necessário incursão no acervo fático- probatório dos autos, o que atrai, no caso, a incidência da Súmula 7/STJ. 5. Recurso Especial não conhecido. (REsp 1685627/SP, Rel. Ministro HERMAN</w:t>
      </w:r>
      <w:r>
        <w:rPr>
          <w:spacing w:val="40"/>
          <w:sz w:val="20"/>
        </w:rPr>
        <w:t xml:space="preserve"> </w:t>
      </w:r>
      <w:r>
        <w:rPr>
          <w:sz w:val="20"/>
        </w:rPr>
        <w:t xml:space="preserve">BENJAMIN,SEGUNDA TURMA, julgado em 19/09/2017, DJe </w:t>
      </w:r>
      <w:r>
        <w:rPr>
          <w:spacing w:val="-2"/>
          <w:sz w:val="20"/>
        </w:rPr>
        <w:t>10/10/2017)</w:t>
      </w:r>
    </w:p>
    <w:p w:rsidR="007259F2" w:rsidRDefault="007259F2">
      <w:pPr>
        <w:pStyle w:val="Corpodetexto"/>
        <w:spacing w:before="166"/>
        <w:ind w:left="0" w:firstLine="0"/>
        <w:jc w:val="left"/>
        <w:rPr>
          <w:sz w:val="20"/>
        </w:rPr>
      </w:pPr>
    </w:p>
    <w:p w:rsidR="007259F2" w:rsidRDefault="00E655B4">
      <w:pPr>
        <w:ind w:left="2978" w:right="989"/>
        <w:jc w:val="both"/>
        <w:rPr>
          <w:sz w:val="20"/>
        </w:rPr>
      </w:pPr>
      <w:r>
        <w:rPr>
          <w:sz w:val="20"/>
        </w:rPr>
        <w:t>TRIBUTÁRIO E PROCESSUAL CIVIL. AGRAVO REGIMENTALNO AGRAVO EM RECURSO ESPECIAL. IPTU. RESPONSABILIDADE TRIBUTÁRIA. ARREMATAÇÃO DE IMÓVEL EM HASTA PÚBLICA. SUB-ROGAÇÃO</w:t>
      </w:r>
      <w:r>
        <w:rPr>
          <w:spacing w:val="64"/>
          <w:sz w:val="20"/>
        </w:rPr>
        <w:t xml:space="preserve"> </w:t>
      </w:r>
      <w:r>
        <w:rPr>
          <w:sz w:val="20"/>
        </w:rPr>
        <w:t>NO</w:t>
      </w:r>
      <w:r>
        <w:rPr>
          <w:spacing w:val="64"/>
          <w:sz w:val="20"/>
        </w:rPr>
        <w:t xml:space="preserve"> </w:t>
      </w:r>
      <w:r>
        <w:rPr>
          <w:sz w:val="20"/>
        </w:rPr>
        <w:t>PREÇO.</w:t>
      </w:r>
      <w:r>
        <w:rPr>
          <w:spacing w:val="66"/>
          <w:sz w:val="20"/>
        </w:rPr>
        <w:t xml:space="preserve"> </w:t>
      </w:r>
      <w:r>
        <w:rPr>
          <w:sz w:val="20"/>
        </w:rPr>
        <w:t>ART.</w:t>
      </w:r>
      <w:r>
        <w:rPr>
          <w:spacing w:val="61"/>
          <w:sz w:val="20"/>
        </w:rPr>
        <w:t xml:space="preserve"> </w:t>
      </w:r>
      <w:r>
        <w:rPr>
          <w:sz w:val="20"/>
        </w:rPr>
        <w:t>130,</w:t>
      </w:r>
      <w:r>
        <w:rPr>
          <w:spacing w:val="59"/>
          <w:sz w:val="20"/>
        </w:rPr>
        <w:t xml:space="preserve"> </w:t>
      </w:r>
      <w:r>
        <w:rPr>
          <w:sz w:val="20"/>
        </w:rPr>
        <w:t>PARÁGRAFO</w:t>
      </w:r>
      <w:r>
        <w:rPr>
          <w:spacing w:val="64"/>
          <w:sz w:val="20"/>
        </w:rPr>
        <w:t xml:space="preserve"> </w:t>
      </w:r>
      <w:r>
        <w:rPr>
          <w:sz w:val="20"/>
        </w:rPr>
        <w:t>ÚNICO,</w:t>
      </w:r>
      <w:r>
        <w:rPr>
          <w:spacing w:val="61"/>
          <w:sz w:val="20"/>
        </w:rPr>
        <w:t xml:space="preserve"> </w:t>
      </w:r>
      <w:r>
        <w:rPr>
          <w:spacing w:val="-5"/>
          <w:sz w:val="20"/>
        </w:rPr>
        <w:t>DO</w:t>
      </w:r>
    </w:p>
    <w:p w:rsidR="007259F2" w:rsidRDefault="00E655B4">
      <w:pPr>
        <w:spacing w:before="2"/>
        <w:ind w:left="2978" w:right="992"/>
        <w:jc w:val="both"/>
        <w:rPr>
          <w:sz w:val="20"/>
        </w:rPr>
      </w:pPr>
      <w:r>
        <w:rPr>
          <w:sz w:val="20"/>
        </w:rPr>
        <w:t>CTN.1. Por força do parágrafo único do art. 130 do CTN, "no caso de arrematação em hasta pública, a sub-rogação ocorre sobre o respectivo</w:t>
      </w:r>
      <w:r>
        <w:rPr>
          <w:spacing w:val="40"/>
          <w:sz w:val="20"/>
        </w:rPr>
        <w:t xml:space="preserve"> </w:t>
      </w:r>
      <w:r>
        <w:rPr>
          <w:sz w:val="20"/>
        </w:rPr>
        <w:t>preço". A respeito: AgRg no AREsp 605.272/MG, Rel. Ministro Mauro Campbell Marques, Segunda Turma, DJe 15/12/2014;AgRg no AREsp 510.139/PR, Rel. Ministro Humberto Martins, Segunda Turma, DJe 12/06/2014;</w:t>
      </w:r>
      <w:r>
        <w:rPr>
          <w:spacing w:val="-6"/>
          <w:sz w:val="20"/>
        </w:rPr>
        <w:t xml:space="preserve"> </w:t>
      </w:r>
      <w:r>
        <w:rPr>
          <w:sz w:val="20"/>
        </w:rPr>
        <w:t>AgRg</w:t>
      </w:r>
      <w:r>
        <w:rPr>
          <w:spacing w:val="-4"/>
          <w:sz w:val="20"/>
        </w:rPr>
        <w:t xml:space="preserve"> </w:t>
      </w:r>
      <w:r>
        <w:rPr>
          <w:sz w:val="20"/>
        </w:rPr>
        <w:t>no</w:t>
      </w:r>
      <w:r>
        <w:rPr>
          <w:spacing w:val="-4"/>
          <w:sz w:val="20"/>
        </w:rPr>
        <w:t xml:space="preserve"> </w:t>
      </w:r>
      <w:r>
        <w:rPr>
          <w:sz w:val="20"/>
        </w:rPr>
        <w:t>AREsp</w:t>
      </w:r>
      <w:r>
        <w:rPr>
          <w:spacing w:val="-3"/>
          <w:sz w:val="20"/>
        </w:rPr>
        <w:t xml:space="preserve"> </w:t>
      </w:r>
      <w:r>
        <w:rPr>
          <w:sz w:val="20"/>
        </w:rPr>
        <w:t>132.083/SP,</w:t>
      </w:r>
      <w:r>
        <w:rPr>
          <w:spacing w:val="-5"/>
          <w:sz w:val="20"/>
        </w:rPr>
        <w:t xml:space="preserve"> </w:t>
      </w:r>
      <w:r>
        <w:rPr>
          <w:sz w:val="20"/>
        </w:rPr>
        <w:t>Rel.</w:t>
      </w:r>
      <w:r>
        <w:rPr>
          <w:spacing w:val="-5"/>
          <w:sz w:val="20"/>
        </w:rPr>
        <w:t xml:space="preserve"> </w:t>
      </w:r>
      <w:r>
        <w:rPr>
          <w:sz w:val="20"/>
        </w:rPr>
        <w:t>Ministro</w:t>
      </w:r>
      <w:r>
        <w:rPr>
          <w:spacing w:val="-4"/>
          <w:sz w:val="20"/>
        </w:rPr>
        <w:t xml:space="preserve"> </w:t>
      </w:r>
      <w:r>
        <w:rPr>
          <w:sz w:val="20"/>
        </w:rPr>
        <w:t>Benedito</w:t>
      </w:r>
      <w:r>
        <w:rPr>
          <w:spacing w:val="-5"/>
          <w:sz w:val="20"/>
        </w:rPr>
        <w:t xml:space="preserve"> </w:t>
      </w:r>
      <w:r>
        <w:rPr>
          <w:sz w:val="20"/>
        </w:rPr>
        <w:t>Gonçalves, Primeira Turma, DJe 05/09/2012.2. São diversas as hipóteses estabelecidas</w:t>
      </w:r>
      <w:r>
        <w:rPr>
          <w:spacing w:val="40"/>
          <w:sz w:val="20"/>
        </w:rPr>
        <w:t xml:space="preserve"> </w:t>
      </w:r>
      <w:r>
        <w:rPr>
          <w:sz w:val="20"/>
        </w:rPr>
        <w:t>no caput e no parágrafo único do art. 130 do CTN; consignado que a aquisição se deu</w:t>
      </w:r>
      <w:r>
        <w:rPr>
          <w:spacing w:val="-9"/>
          <w:sz w:val="20"/>
        </w:rPr>
        <w:t xml:space="preserve"> </w:t>
      </w:r>
      <w:r>
        <w:rPr>
          <w:sz w:val="20"/>
        </w:rPr>
        <w:t>força</w:t>
      </w:r>
      <w:r>
        <w:rPr>
          <w:spacing w:val="-10"/>
          <w:sz w:val="20"/>
        </w:rPr>
        <w:t xml:space="preserve"> </w:t>
      </w:r>
      <w:r>
        <w:rPr>
          <w:sz w:val="20"/>
        </w:rPr>
        <w:t>de</w:t>
      </w:r>
      <w:r>
        <w:rPr>
          <w:spacing w:val="-11"/>
          <w:sz w:val="20"/>
        </w:rPr>
        <w:t xml:space="preserve"> </w:t>
      </w:r>
      <w:r>
        <w:rPr>
          <w:sz w:val="20"/>
        </w:rPr>
        <w:t>arrematação,</w:t>
      </w:r>
      <w:r>
        <w:rPr>
          <w:spacing w:val="-7"/>
          <w:sz w:val="20"/>
        </w:rPr>
        <w:t xml:space="preserve"> </w:t>
      </w:r>
      <w:r>
        <w:rPr>
          <w:sz w:val="20"/>
        </w:rPr>
        <w:t>não</w:t>
      </w:r>
      <w:r>
        <w:rPr>
          <w:spacing w:val="-10"/>
          <w:sz w:val="20"/>
        </w:rPr>
        <w:t xml:space="preserve"> </w:t>
      </w:r>
      <w:r>
        <w:rPr>
          <w:sz w:val="20"/>
        </w:rPr>
        <w:t>se</w:t>
      </w:r>
      <w:r>
        <w:rPr>
          <w:spacing w:val="-11"/>
          <w:sz w:val="20"/>
        </w:rPr>
        <w:t xml:space="preserve"> </w:t>
      </w:r>
      <w:r>
        <w:rPr>
          <w:sz w:val="20"/>
        </w:rPr>
        <w:t>pode</w:t>
      </w:r>
      <w:r>
        <w:rPr>
          <w:spacing w:val="-11"/>
          <w:sz w:val="20"/>
        </w:rPr>
        <w:t xml:space="preserve"> </w:t>
      </w:r>
      <w:r>
        <w:rPr>
          <w:sz w:val="20"/>
        </w:rPr>
        <w:t>entender</w:t>
      </w:r>
      <w:r>
        <w:rPr>
          <w:spacing w:val="-10"/>
          <w:sz w:val="20"/>
        </w:rPr>
        <w:t xml:space="preserve"> </w:t>
      </w:r>
      <w:r>
        <w:rPr>
          <w:sz w:val="20"/>
        </w:rPr>
        <w:t>aplicável</w:t>
      </w:r>
      <w:r>
        <w:rPr>
          <w:spacing w:val="-6"/>
          <w:sz w:val="20"/>
        </w:rPr>
        <w:t xml:space="preserve"> </w:t>
      </w:r>
      <w:r>
        <w:rPr>
          <w:sz w:val="20"/>
        </w:rPr>
        <w:t>a</w:t>
      </w:r>
      <w:r>
        <w:rPr>
          <w:spacing w:val="-11"/>
          <w:sz w:val="20"/>
        </w:rPr>
        <w:t xml:space="preserve"> </w:t>
      </w:r>
      <w:r>
        <w:rPr>
          <w:sz w:val="20"/>
        </w:rPr>
        <w:t>norma do caput do mencionado dispositivo. Aplicação da orientação contida na Súmula n.284 do STF. 3. Agravo regimental não provido. (AgRg no AREsp 718.813/SP,</w:t>
      </w:r>
      <w:r>
        <w:rPr>
          <w:spacing w:val="-10"/>
          <w:sz w:val="20"/>
        </w:rPr>
        <w:t xml:space="preserve"> </w:t>
      </w:r>
      <w:r>
        <w:rPr>
          <w:sz w:val="20"/>
        </w:rPr>
        <w:t>Rel.</w:t>
      </w:r>
      <w:r>
        <w:rPr>
          <w:spacing w:val="-9"/>
          <w:sz w:val="20"/>
        </w:rPr>
        <w:t xml:space="preserve"> </w:t>
      </w:r>
      <w:r>
        <w:rPr>
          <w:sz w:val="20"/>
        </w:rPr>
        <w:t>Ministro</w:t>
      </w:r>
      <w:r>
        <w:rPr>
          <w:spacing w:val="-9"/>
          <w:sz w:val="20"/>
        </w:rPr>
        <w:t xml:space="preserve"> </w:t>
      </w:r>
      <w:r>
        <w:rPr>
          <w:sz w:val="20"/>
        </w:rPr>
        <w:t>BENEDITOGONÇALVES,</w:t>
      </w:r>
      <w:r>
        <w:rPr>
          <w:spacing w:val="-10"/>
          <w:sz w:val="20"/>
        </w:rPr>
        <w:t xml:space="preserve"> </w:t>
      </w:r>
      <w:r>
        <w:rPr>
          <w:sz w:val="20"/>
        </w:rPr>
        <w:t>PRIMEIRA</w:t>
      </w:r>
      <w:r>
        <w:rPr>
          <w:spacing w:val="-11"/>
          <w:sz w:val="20"/>
        </w:rPr>
        <w:t xml:space="preserve"> </w:t>
      </w:r>
      <w:r>
        <w:rPr>
          <w:spacing w:val="-2"/>
          <w:sz w:val="20"/>
        </w:rPr>
        <w:t>TURMA,</w:t>
      </w:r>
    </w:p>
    <w:p w:rsidR="007259F2" w:rsidRDefault="00E655B4">
      <w:pPr>
        <w:spacing w:before="1"/>
        <w:ind w:left="2978"/>
        <w:jc w:val="both"/>
        <w:rPr>
          <w:sz w:val="20"/>
        </w:rPr>
      </w:pPr>
      <w:r>
        <w:rPr>
          <w:sz w:val="20"/>
        </w:rPr>
        <w:t>julgado</w:t>
      </w:r>
      <w:r>
        <w:rPr>
          <w:spacing w:val="-4"/>
          <w:sz w:val="20"/>
        </w:rPr>
        <w:t xml:space="preserve"> </w:t>
      </w:r>
      <w:r>
        <w:rPr>
          <w:sz w:val="20"/>
        </w:rPr>
        <w:t>em</w:t>
      </w:r>
      <w:r>
        <w:rPr>
          <w:spacing w:val="-9"/>
          <w:sz w:val="20"/>
        </w:rPr>
        <w:t xml:space="preserve"> </w:t>
      </w:r>
      <w:r>
        <w:rPr>
          <w:sz w:val="20"/>
        </w:rPr>
        <w:t>25/08/2015,</w:t>
      </w:r>
      <w:r>
        <w:rPr>
          <w:spacing w:val="-5"/>
          <w:sz w:val="20"/>
        </w:rPr>
        <w:t xml:space="preserve"> </w:t>
      </w:r>
      <w:r>
        <w:rPr>
          <w:spacing w:val="-2"/>
          <w:sz w:val="20"/>
        </w:rPr>
        <w:t>DJe04/09/2015)</w:t>
      </w:r>
    </w:p>
    <w:p w:rsidR="007259F2" w:rsidRDefault="00E655B4">
      <w:pPr>
        <w:pStyle w:val="Corpodetexto"/>
        <w:spacing w:before="227"/>
        <w:ind w:right="990"/>
      </w:pPr>
      <w:r>
        <w:t>O</w:t>
      </w:r>
      <w:r>
        <w:rPr>
          <w:spacing w:val="-15"/>
        </w:rPr>
        <w:t xml:space="preserve"> </w:t>
      </w:r>
      <w:r>
        <w:t>entendimento</w:t>
      </w:r>
      <w:r>
        <w:rPr>
          <w:spacing w:val="-15"/>
        </w:rPr>
        <w:t xml:space="preserve"> </w:t>
      </w:r>
      <w:r>
        <w:t>do</w:t>
      </w:r>
      <w:r>
        <w:rPr>
          <w:spacing w:val="-15"/>
        </w:rPr>
        <w:t xml:space="preserve"> </w:t>
      </w:r>
      <w:r>
        <w:t>Superior</w:t>
      </w:r>
      <w:r>
        <w:rPr>
          <w:spacing w:val="-15"/>
        </w:rPr>
        <w:t xml:space="preserve"> </w:t>
      </w:r>
      <w:r>
        <w:t>Tribunal</w:t>
      </w:r>
      <w:r>
        <w:rPr>
          <w:spacing w:val="-15"/>
        </w:rPr>
        <w:t xml:space="preserve"> </w:t>
      </w:r>
      <w:r>
        <w:t>de</w:t>
      </w:r>
      <w:r>
        <w:rPr>
          <w:spacing w:val="-15"/>
        </w:rPr>
        <w:t xml:space="preserve"> </w:t>
      </w:r>
      <w:r>
        <w:t>Justiça</w:t>
      </w:r>
      <w:r>
        <w:rPr>
          <w:spacing w:val="-15"/>
        </w:rPr>
        <w:t xml:space="preserve"> </w:t>
      </w:r>
      <w:r>
        <w:t>é</w:t>
      </w:r>
      <w:r>
        <w:rPr>
          <w:spacing w:val="-15"/>
        </w:rPr>
        <w:t xml:space="preserve"> </w:t>
      </w:r>
      <w:r>
        <w:t>de</w:t>
      </w:r>
      <w:r>
        <w:rPr>
          <w:spacing w:val="-15"/>
        </w:rPr>
        <w:t xml:space="preserve"> </w:t>
      </w:r>
      <w:r>
        <w:t>que</w:t>
      </w:r>
      <w:r>
        <w:rPr>
          <w:spacing w:val="-15"/>
        </w:rPr>
        <w:t xml:space="preserve"> </w:t>
      </w:r>
      <w:r>
        <w:t>a</w:t>
      </w:r>
      <w:r>
        <w:rPr>
          <w:spacing w:val="-15"/>
        </w:rPr>
        <w:t xml:space="preserve"> </w:t>
      </w:r>
      <w:r>
        <w:t>arrematação</w:t>
      </w:r>
      <w:r>
        <w:rPr>
          <w:spacing w:val="-15"/>
        </w:rPr>
        <w:t xml:space="preserve"> </w:t>
      </w:r>
      <w:r>
        <w:t>é</w:t>
      </w:r>
      <w:r>
        <w:rPr>
          <w:spacing w:val="-13"/>
        </w:rPr>
        <w:t xml:space="preserve"> </w:t>
      </w:r>
      <w:r>
        <w:t>forma</w:t>
      </w:r>
      <w:r>
        <w:rPr>
          <w:spacing w:val="-1"/>
        </w:rPr>
        <w:t xml:space="preserve"> </w:t>
      </w:r>
      <w:r>
        <w:t>de aquisição originaria, na qual não há relação do arrematante com o proprietário anterior do imóvel, mas sim do Estado-Juiz com o arrematante, aplicando-se, desta forma, as regras contidas no Art. 130, parágrafo único do Código Tributário Nacional. Conforme decidido e ementado abaixo:</w:t>
      </w:r>
    </w:p>
    <w:p w:rsidR="007259F2" w:rsidRDefault="007259F2">
      <w:pPr>
        <w:pStyle w:val="Corpodetexto"/>
        <w:sectPr w:rsidR="007259F2">
          <w:pgSz w:w="11910" w:h="16840"/>
          <w:pgMar w:top="1320" w:right="708" w:bottom="1160" w:left="992" w:header="0" w:footer="962" w:gutter="0"/>
          <w:cols w:space="720"/>
        </w:sectPr>
      </w:pPr>
    </w:p>
    <w:p w:rsidR="007259F2" w:rsidRDefault="00E655B4">
      <w:pPr>
        <w:spacing w:before="71"/>
        <w:ind w:left="2978" w:right="990"/>
        <w:jc w:val="both"/>
        <w:rPr>
          <w:sz w:val="20"/>
        </w:rPr>
      </w:pPr>
      <w:r>
        <w:rPr>
          <w:sz w:val="20"/>
        </w:rPr>
        <w:lastRenderedPageBreak/>
        <w:t>PROCESSUAL CIVIL. AGRAVO REGIMENTAL NO AGRAVO EMRECURSO ESPECIAL. EXECUÇÃO FISCAL. IPTU. ARREMATAÇÃO DE IMÓVEL EM HASTA PÚBLICA. AQUISIÇÃO ORIGINÁRIA. RESPONSABILIDADE</w:t>
      </w:r>
      <w:r>
        <w:rPr>
          <w:spacing w:val="-2"/>
          <w:sz w:val="20"/>
        </w:rPr>
        <w:t xml:space="preserve"> </w:t>
      </w:r>
      <w:r>
        <w:rPr>
          <w:sz w:val="20"/>
        </w:rPr>
        <w:t>TRIBUTÁRIA. ART.</w:t>
      </w:r>
      <w:r>
        <w:rPr>
          <w:spacing w:val="-2"/>
          <w:sz w:val="20"/>
        </w:rPr>
        <w:t xml:space="preserve"> </w:t>
      </w:r>
      <w:r>
        <w:rPr>
          <w:sz w:val="20"/>
        </w:rPr>
        <w:t>130</w:t>
      </w:r>
      <w:r>
        <w:rPr>
          <w:spacing w:val="-2"/>
          <w:sz w:val="20"/>
        </w:rPr>
        <w:t xml:space="preserve"> </w:t>
      </w:r>
      <w:r>
        <w:rPr>
          <w:sz w:val="20"/>
        </w:rPr>
        <w:t>DOCTN. SUB-ROGAÇÃO DOS DÉBITOS SOBRE O RESPECTIVO PREÇO. PRECEDENTES.</w:t>
      </w:r>
      <w:r>
        <w:rPr>
          <w:spacing w:val="57"/>
          <w:w w:val="150"/>
          <w:sz w:val="20"/>
        </w:rPr>
        <w:t xml:space="preserve">   </w:t>
      </w:r>
      <w:r>
        <w:rPr>
          <w:sz w:val="20"/>
        </w:rPr>
        <w:t>AGRAVO</w:t>
      </w:r>
      <w:r>
        <w:rPr>
          <w:spacing w:val="56"/>
          <w:w w:val="150"/>
          <w:sz w:val="20"/>
        </w:rPr>
        <w:t xml:space="preserve">   </w:t>
      </w:r>
      <w:r>
        <w:rPr>
          <w:sz w:val="20"/>
        </w:rPr>
        <w:t>REGIMENTAL</w:t>
      </w:r>
      <w:r>
        <w:rPr>
          <w:spacing w:val="47"/>
          <w:sz w:val="20"/>
        </w:rPr>
        <w:t xml:space="preserve">  </w:t>
      </w:r>
      <w:r>
        <w:rPr>
          <w:sz w:val="20"/>
        </w:rPr>
        <w:t>NÃO</w:t>
      </w:r>
      <w:r>
        <w:rPr>
          <w:spacing w:val="51"/>
          <w:sz w:val="20"/>
        </w:rPr>
        <w:t xml:space="preserve"> </w:t>
      </w:r>
      <w:r>
        <w:rPr>
          <w:spacing w:val="-2"/>
          <w:sz w:val="20"/>
        </w:rPr>
        <w:t>PROVIDO.1.</w:t>
      </w:r>
    </w:p>
    <w:p w:rsidR="007259F2" w:rsidRDefault="00E655B4">
      <w:pPr>
        <w:ind w:left="2978" w:right="989"/>
        <w:jc w:val="both"/>
        <w:rPr>
          <w:sz w:val="20"/>
        </w:rPr>
      </w:pPr>
      <w:r>
        <w:rPr>
          <w:sz w:val="20"/>
        </w:rPr>
        <w:t>"Assinado o auto de arrematação de bem imóvel, não pode ele ser objeto de posterior penhora em execução fiscal movida contra o proprietário anterior, mesmo que ainda não efetivado o registro na respectiva carta no registro imobiliário" (REsp 866.191/SC, Rel. Min. TEORI ALBINO ZAVASCKI, Primeira Turma, DJe 28/02/2011).2. Os créditos relativos a impostos decorrentes</w:t>
      </w:r>
      <w:r>
        <w:rPr>
          <w:spacing w:val="40"/>
          <w:sz w:val="20"/>
        </w:rPr>
        <w:t xml:space="preserve"> </w:t>
      </w:r>
      <w:r>
        <w:rPr>
          <w:sz w:val="20"/>
        </w:rPr>
        <w:t>da propriedade sub-rogam-se sobre o respectivo preço quando arrematados em hasta pública, não sendo o adquirente responsável pelos tributos inadimplidos até a arrematação do bem, a teor do que disposto no parágrafo único do art. 130 do CTN. 3. Agravo regimental não provido. (AgRg no AREsp 605.272/MG, Rel. Ministro MAUROCAMPBELL MARQUES, SEGUNDA</w:t>
      </w:r>
      <w:r>
        <w:rPr>
          <w:spacing w:val="-1"/>
          <w:sz w:val="20"/>
        </w:rPr>
        <w:t xml:space="preserve"> </w:t>
      </w:r>
      <w:r>
        <w:rPr>
          <w:sz w:val="20"/>
        </w:rPr>
        <w:t>TURMA, julgado em</w:t>
      </w:r>
      <w:r>
        <w:rPr>
          <w:spacing w:val="-3"/>
          <w:sz w:val="20"/>
        </w:rPr>
        <w:t xml:space="preserve"> </w:t>
      </w:r>
      <w:r>
        <w:rPr>
          <w:sz w:val="20"/>
        </w:rPr>
        <w:t>09/12/2014, DJe 15/12/2014)</w:t>
      </w:r>
    </w:p>
    <w:p w:rsidR="007259F2" w:rsidRDefault="00E655B4">
      <w:pPr>
        <w:pStyle w:val="Corpodetexto"/>
        <w:spacing w:before="230"/>
        <w:ind w:right="987"/>
      </w:pPr>
      <w:r>
        <w:t>Ademais, não impede, segundo jurisprudência do Tribunal de Justiça do Estado de</w:t>
      </w:r>
      <w:r>
        <w:rPr>
          <w:spacing w:val="-2"/>
        </w:rPr>
        <w:t xml:space="preserve"> </w:t>
      </w:r>
      <w:r>
        <w:t>São</w:t>
      </w:r>
      <w:r>
        <w:rPr>
          <w:spacing w:val="-1"/>
        </w:rPr>
        <w:t xml:space="preserve"> </w:t>
      </w:r>
      <w:r>
        <w:t>Paulo,</w:t>
      </w:r>
      <w:r>
        <w:rPr>
          <w:spacing w:val="-1"/>
        </w:rPr>
        <w:t xml:space="preserve"> </w:t>
      </w:r>
      <w:r>
        <w:t>a</w:t>
      </w:r>
      <w:r>
        <w:rPr>
          <w:spacing w:val="-2"/>
        </w:rPr>
        <w:t xml:space="preserve"> </w:t>
      </w:r>
      <w:r>
        <w:t>expedição</w:t>
      </w:r>
      <w:r>
        <w:rPr>
          <w:spacing w:val="-1"/>
        </w:rPr>
        <w:t xml:space="preserve"> </w:t>
      </w:r>
      <w:r>
        <w:t>de</w:t>
      </w:r>
      <w:r>
        <w:rPr>
          <w:spacing w:val="-2"/>
        </w:rPr>
        <w:t xml:space="preserve"> </w:t>
      </w:r>
      <w:r>
        <w:t>Certidão</w:t>
      </w:r>
      <w:r>
        <w:rPr>
          <w:spacing w:val="-2"/>
        </w:rPr>
        <w:t xml:space="preserve"> </w:t>
      </w:r>
      <w:r>
        <w:t>Negativa</w:t>
      </w:r>
      <w:r>
        <w:rPr>
          <w:spacing w:val="-2"/>
        </w:rPr>
        <w:t xml:space="preserve"> </w:t>
      </w:r>
      <w:r>
        <w:t>de</w:t>
      </w:r>
      <w:r>
        <w:rPr>
          <w:spacing w:val="-2"/>
        </w:rPr>
        <w:t xml:space="preserve"> </w:t>
      </w:r>
      <w:r>
        <w:t>Débitos</w:t>
      </w:r>
      <w:r>
        <w:rPr>
          <w:spacing w:val="-1"/>
        </w:rPr>
        <w:t xml:space="preserve"> </w:t>
      </w:r>
      <w:r>
        <w:t>ou</w:t>
      </w:r>
      <w:r>
        <w:rPr>
          <w:spacing w:val="-1"/>
        </w:rPr>
        <w:t xml:space="preserve"> </w:t>
      </w:r>
      <w:r>
        <w:t>de</w:t>
      </w:r>
      <w:r>
        <w:rPr>
          <w:spacing w:val="-2"/>
        </w:rPr>
        <w:t xml:space="preserve"> </w:t>
      </w:r>
      <w:r>
        <w:t>Certidão Positiva</w:t>
      </w:r>
      <w:r>
        <w:rPr>
          <w:spacing w:val="-3"/>
        </w:rPr>
        <w:t xml:space="preserve"> </w:t>
      </w:r>
      <w:r>
        <w:t>com Efeitos de Negativa, em favor do arrematante, conforme decisão abaixo:</w:t>
      </w:r>
    </w:p>
    <w:p w:rsidR="007259F2" w:rsidRDefault="00E655B4">
      <w:pPr>
        <w:spacing w:before="255" w:line="229" w:lineRule="exact"/>
        <w:ind w:left="2978"/>
        <w:jc w:val="both"/>
        <w:rPr>
          <w:sz w:val="20"/>
        </w:rPr>
      </w:pPr>
      <w:r>
        <w:rPr>
          <w:sz w:val="20"/>
        </w:rPr>
        <w:t>RESPONSABILIDADE</w:t>
      </w:r>
      <w:r>
        <w:rPr>
          <w:spacing w:val="75"/>
          <w:w w:val="150"/>
          <w:sz w:val="20"/>
        </w:rPr>
        <w:t xml:space="preserve"> </w:t>
      </w:r>
      <w:r>
        <w:rPr>
          <w:sz w:val="20"/>
        </w:rPr>
        <w:t>TRIBUTÁRIA</w:t>
      </w:r>
      <w:r>
        <w:rPr>
          <w:spacing w:val="77"/>
          <w:w w:val="150"/>
          <w:sz w:val="20"/>
        </w:rPr>
        <w:t xml:space="preserve"> </w:t>
      </w:r>
      <w:r>
        <w:rPr>
          <w:sz w:val="20"/>
        </w:rPr>
        <w:t>–</w:t>
      </w:r>
      <w:r>
        <w:rPr>
          <w:spacing w:val="27"/>
          <w:sz w:val="20"/>
        </w:rPr>
        <w:t xml:space="preserve">  </w:t>
      </w:r>
      <w:r>
        <w:rPr>
          <w:sz w:val="20"/>
        </w:rPr>
        <w:t>IPTU</w:t>
      </w:r>
      <w:r>
        <w:rPr>
          <w:spacing w:val="27"/>
          <w:sz w:val="20"/>
        </w:rPr>
        <w:t xml:space="preserve">  </w:t>
      </w:r>
      <w:r>
        <w:rPr>
          <w:sz w:val="20"/>
        </w:rPr>
        <w:t>–</w:t>
      </w:r>
      <w:r>
        <w:rPr>
          <w:spacing w:val="73"/>
          <w:w w:val="150"/>
          <w:sz w:val="20"/>
        </w:rPr>
        <w:t xml:space="preserve"> </w:t>
      </w:r>
      <w:r>
        <w:rPr>
          <w:sz w:val="20"/>
        </w:rPr>
        <w:t>Município</w:t>
      </w:r>
      <w:r>
        <w:rPr>
          <w:spacing w:val="78"/>
          <w:w w:val="150"/>
          <w:sz w:val="20"/>
        </w:rPr>
        <w:t xml:space="preserve"> </w:t>
      </w:r>
      <w:r>
        <w:rPr>
          <w:sz w:val="20"/>
        </w:rPr>
        <w:t>de</w:t>
      </w:r>
      <w:r>
        <w:rPr>
          <w:spacing w:val="76"/>
          <w:w w:val="150"/>
          <w:sz w:val="20"/>
        </w:rPr>
        <w:t xml:space="preserve"> </w:t>
      </w:r>
      <w:r>
        <w:rPr>
          <w:spacing w:val="-5"/>
          <w:sz w:val="20"/>
        </w:rPr>
        <w:t>São</w:t>
      </w:r>
    </w:p>
    <w:p w:rsidR="007259F2" w:rsidRDefault="00E655B4">
      <w:pPr>
        <w:ind w:left="2978" w:right="987"/>
        <w:jc w:val="both"/>
        <w:rPr>
          <w:sz w:val="20"/>
        </w:rPr>
      </w:pPr>
      <w:r>
        <w:rPr>
          <w:sz w:val="20"/>
        </w:rPr>
        <w:t>Paulo – Débitos anteriores à arrematação – Dívidas tributárias que se sub- rogam no preço do imóvel arrematado – Disposição do art. 130, parágrafo único do CTN – Hipótese em</w:t>
      </w:r>
      <w:r>
        <w:rPr>
          <w:spacing w:val="-2"/>
          <w:sz w:val="20"/>
        </w:rPr>
        <w:t xml:space="preserve"> </w:t>
      </w:r>
      <w:r>
        <w:rPr>
          <w:sz w:val="20"/>
        </w:rPr>
        <w:t>que o arrematante não responde por obrigações geradas anteriormente à arrematação – Termo inicial da responsabilidade que recai na data de expedição da carta de arrematação – Possibilidade de expedição de certidão negativa em favor do impetrante/recorrente ou de certidão positiva, com efeitos de negativa, que aponte a existência de débitos anteriores à expedição da carta de arrematação que não estão sendo cobrados dele</w:t>
      </w:r>
      <w:r>
        <w:rPr>
          <w:spacing w:val="-1"/>
          <w:sz w:val="20"/>
        </w:rPr>
        <w:t xml:space="preserve"> </w:t>
      </w:r>
      <w:r>
        <w:rPr>
          <w:sz w:val="20"/>
        </w:rPr>
        <w:t>– Recurso</w:t>
      </w:r>
      <w:r>
        <w:rPr>
          <w:spacing w:val="-1"/>
          <w:sz w:val="20"/>
        </w:rPr>
        <w:t xml:space="preserve"> </w:t>
      </w:r>
      <w:r>
        <w:rPr>
          <w:sz w:val="20"/>
        </w:rPr>
        <w:t>provido.</w:t>
      </w:r>
      <w:r>
        <w:rPr>
          <w:spacing w:val="-2"/>
          <w:sz w:val="20"/>
        </w:rPr>
        <w:t xml:space="preserve"> </w:t>
      </w:r>
      <w:r>
        <w:rPr>
          <w:sz w:val="20"/>
        </w:rPr>
        <w:t>(TJSP;</w:t>
      </w:r>
      <w:r>
        <w:rPr>
          <w:spacing w:val="-2"/>
          <w:sz w:val="20"/>
        </w:rPr>
        <w:t xml:space="preserve"> </w:t>
      </w:r>
      <w:r>
        <w:rPr>
          <w:sz w:val="20"/>
        </w:rPr>
        <w:t>Apelação</w:t>
      </w:r>
      <w:r>
        <w:rPr>
          <w:spacing w:val="-1"/>
          <w:sz w:val="20"/>
        </w:rPr>
        <w:t xml:space="preserve"> </w:t>
      </w:r>
      <w:r>
        <w:rPr>
          <w:sz w:val="20"/>
        </w:rPr>
        <w:t>Cível</w:t>
      </w:r>
      <w:r>
        <w:rPr>
          <w:spacing w:val="-2"/>
          <w:sz w:val="20"/>
        </w:rPr>
        <w:t xml:space="preserve"> </w:t>
      </w:r>
      <w:r>
        <w:rPr>
          <w:sz w:val="20"/>
        </w:rPr>
        <w:t>1054093-</w:t>
      </w:r>
      <w:r>
        <w:rPr>
          <w:spacing w:val="-3"/>
          <w:sz w:val="20"/>
        </w:rPr>
        <w:t xml:space="preserve"> </w:t>
      </w:r>
      <w:r>
        <w:rPr>
          <w:sz w:val="20"/>
        </w:rPr>
        <w:t>43.2014.8.26.0053; Relator (a): Erbetta Filho; Órgão Julgador: 15ªCâmara de Direito Público; Foro Central - Fazenda Pública/Acidentes - 10ª Vara de Fazenda Pública; Data do Julgamento: 25/01/2021; Data de Registro: 25/01/2021)</w:t>
      </w:r>
    </w:p>
    <w:p w:rsidR="007259F2" w:rsidRDefault="007259F2">
      <w:pPr>
        <w:pStyle w:val="Corpodetexto"/>
        <w:ind w:left="0" w:firstLine="0"/>
        <w:jc w:val="left"/>
        <w:rPr>
          <w:sz w:val="20"/>
        </w:rPr>
      </w:pPr>
    </w:p>
    <w:p w:rsidR="007259F2" w:rsidRDefault="00E655B4">
      <w:pPr>
        <w:ind w:left="2978" w:right="981"/>
        <w:jc w:val="both"/>
        <w:rPr>
          <w:sz w:val="20"/>
        </w:rPr>
      </w:pPr>
      <w:r>
        <w:rPr>
          <w:sz w:val="20"/>
        </w:rPr>
        <w:t>PROCESSO CIVIL. EXECUÇÃO. HASTA PÚBLICA. EDITAL. OMISSÃO. ANULAÇÃO. DEMONSTRAÇÃO DO PREJUÍZO. NECESSIDADE. RESPONSABILIZAÇÃO DO ARREMATANTE POR DÉBITOS DE IPTU. POSSIBILIDADE. POSTERIOR FALÊNCIA DA EMPRESA</w:t>
      </w:r>
      <w:r>
        <w:rPr>
          <w:spacing w:val="70"/>
          <w:w w:val="150"/>
          <w:sz w:val="20"/>
        </w:rPr>
        <w:t xml:space="preserve"> </w:t>
      </w:r>
      <w:r>
        <w:rPr>
          <w:sz w:val="20"/>
        </w:rPr>
        <w:t>DEVEDORA.</w:t>
      </w:r>
      <w:r>
        <w:rPr>
          <w:spacing w:val="77"/>
          <w:w w:val="150"/>
          <w:sz w:val="20"/>
        </w:rPr>
        <w:t xml:space="preserve"> </w:t>
      </w:r>
      <w:r>
        <w:rPr>
          <w:sz w:val="20"/>
        </w:rPr>
        <w:t>IRRELEVÂNCIA.</w:t>
      </w:r>
      <w:r>
        <w:rPr>
          <w:spacing w:val="76"/>
          <w:w w:val="150"/>
          <w:sz w:val="20"/>
        </w:rPr>
        <w:t xml:space="preserve"> </w:t>
      </w:r>
      <w:r>
        <w:rPr>
          <w:sz w:val="20"/>
        </w:rPr>
        <w:t>1.</w:t>
      </w:r>
      <w:r>
        <w:rPr>
          <w:spacing w:val="69"/>
          <w:w w:val="150"/>
          <w:sz w:val="20"/>
        </w:rPr>
        <w:t xml:space="preserve"> </w:t>
      </w:r>
      <w:r>
        <w:rPr>
          <w:sz w:val="20"/>
        </w:rPr>
        <w:t>O</w:t>
      </w:r>
      <w:r>
        <w:rPr>
          <w:spacing w:val="72"/>
          <w:w w:val="150"/>
          <w:sz w:val="20"/>
        </w:rPr>
        <w:t xml:space="preserve"> </w:t>
      </w:r>
      <w:r>
        <w:rPr>
          <w:sz w:val="20"/>
        </w:rPr>
        <w:t>art.</w:t>
      </w:r>
      <w:r>
        <w:rPr>
          <w:spacing w:val="70"/>
          <w:w w:val="150"/>
          <w:sz w:val="20"/>
        </w:rPr>
        <w:t xml:space="preserve"> </w:t>
      </w:r>
      <w:r>
        <w:rPr>
          <w:sz w:val="20"/>
        </w:rPr>
        <w:t>686</w:t>
      </w:r>
      <w:r>
        <w:rPr>
          <w:spacing w:val="71"/>
          <w:w w:val="150"/>
          <w:sz w:val="20"/>
        </w:rPr>
        <w:t xml:space="preserve"> </w:t>
      </w:r>
      <w:r>
        <w:rPr>
          <w:sz w:val="20"/>
        </w:rPr>
        <w:t>do</w:t>
      </w:r>
      <w:r>
        <w:rPr>
          <w:spacing w:val="72"/>
          <w:w w:val="150"/>
          <w:sz w:val="20"/>
        </w:rPr>
        <w:t xml:space="preserve"> </w:t>
      </w:r>
      <w:r>
        <w:rPr>
          <w:spacing w:val="-5"/>
          <w:sz w:val="20"/>
        </w:rPr>
        <w:t>CPC</w:t>
      </w:r>
    </w:p>
    <w:p w:rsidR="007259F2" w:rsidRDefault="00E655B4">
      <w:pPr>
        <w:ind w:left="2978" w:right="989"/>
        <w:jc w:val="both"/>
        <w:rPr>
          <w:sz w:val="20"/>
        </w:rPr>
      </w:pPr>
      <w:r>
        <w:rPr>
          <w:sz w:val="20"/>
        </w:rPr>
        <w:t>estabelece o conteúdo mínimo do edital de hasta pública, visando preponderantemente aos interesses dos potenciais arrematantes, de modo a conferir-lhes informações indispensáveis à definição do efetivo interesse no bem levado a leilão, bem como do valor máximo que estarão dispostos a oferecer a título de lanço. De regra, pois, eventual nulidade relacionada à omissão do edital aproveita apenas ao arrematante e depende da</w:t>
      </w:r>
      <w:r>
        <w:rPr>
          <w:spacing w:val="40"/>
          <w:sz w:val="20"/>
        </w:rPr>
        <w:t xml:space="preserve"> </w:t>
      </w:r>
      <w:r>
        <w:rPr>
          <w:sz w:val="20"/>
        </w:rPr>
        <w:t>demonstração da existência de prejuízo, sendo incabível tal alegação pelo devedor que não foi prejudicado. 2. Não viola o art. 130 do CTN o edital de hasta pública que prevê a responsabilidade do arrematante por débitos fiscais de IPTU. Assumindo o arrematante do imóvel a responsabilidade pelo pagamento do IPTU, o Município passa a ter dupla garantia de quitação da dívida tributária, quais sejam: (i) a garantia pessoal do arrematante, aceita judicialmente por ocasião da arrematação; e (ii) a garantia real representada pelo</w:t>
      </w:r>
      <w:r>
        <w:rPr>
          <w:spacing w:val="-10"/>
          <w:sz w:val="20"/>
        </w:rPr>
        <w:t xml:space="preserve"> </w:t>
      </w:r>
      <w:r>
        <w:rPr>
          <w:sz w:val="20"/>
        </w:rPr>
        <w:t>imóvel</w:t>
      </w:r>
      <w:r>
        <w:rPr>
          <w:spacing w:val="-2"/>
          <w:sz w:val="20"/>
        </w:rPr>
        <w:t xml:space="preserve"> </w:t>
      </w:r>
      <w:r>
        <w:rPr>
          <w:sz w:val="20"/>
        </w:rPr>
        <w:t>arrematado,</w:t>
      </w:r>
      <w:r>
        <w:rPr>
          <w:spacing w:val="-2"/>
          <w:sz w:val="20"/>
        </w:rPr>
        <w:t xml:space="preserve"> </w:t>
      </w:r>
      <w:r>
        <w:rPr>
          <w:sz w:val="20"/>
        </w:rPr>
        <w:t>que</w:t>
      </w:r>
      <w:r>
        <w:rPr>
          <w:spacing w:val="-5"/>
          <w:sz w:val="20"/>
        </w:rPr>
        <w:t xml:space="preserve"> </w:t>
      </w:r>
      <w:r>
        <w:rPr>
          <w:sz w:val="20"/>
        </w:rPr>
        <w:t>dá</w:t>
      </w:r>
      <w:r>
        <w:rPr>
          <w:spacing w:val="-6"/>
          <w:sz w:val="20"/>
        </w:rPr>
        <w:t xml:space="preserve"> </w:t>
      </w:r>
      <w:r>
        <w:rPr>
          <w:sz w:val="20"/>
        </w:rPr>
        <w:t>origem</w:t>
      </w:r>
      <w:r>
        <w:rPr>
          <w:spacing w:val="-10"/>
          <w:sz w:val="20"/>
        </w:rPr>
        <w:t xml:space="preserve"> </w:t>
      </w:r>
      <w:r>
        <w:rPr>
          <w:sz w:val="20"/>
        </w:rPr>
        <w:t>ao</w:t>
      </w:r>
      <w:r>
        <w:rPr>
          <w:spacing w:val="-2"/>
          <w:sz w:val="20"/>
        </w:rPr>
        <w:t xml:space="preserve"> </w:t>
      </w:r>
      <w:r>
        <w:rPr>
          <w:sz w:val="20"/>
        </w:rPr>
        <w:t>próprio</w:t>
      </w:r>
      <w:r>
        <w:rPr>
          <w:spacing w:val="-2"/>
          <w:sz w:val="20"/>
        </w:rPr>
        <w:t xml:space="preserve"> </w:t>
      </w:r>
      <w:r>
        <w:rPr>
          <w:sz w:val="20"/>
        </w:rPr>
        <w:t>débito</w:t>
      </w:r>
      <w:r>
        <w:rPr>
          <w:spacing w:val="-2"/>
          <w:sz w:val="20"/>
        </w:rPr>
        <w:t xml:space="preserve"> </w:t>
      </w:r>
      <w:r>
        <w:rPr>
          <w:sz w:val="20"/>
        </w:rPr>
        <w:t>de</w:t>
      </w:r>
      <w:r>
        <w:rPr>
          <w:spacing w:val="-4"/>
          <w:sz w:val="20"/>
        </w:rPr>
        <w:t xml:space="preserve"> </w:t>
      </w:r>
      <w:r>
        <w:rPr>
          <w:sz w:val="20"/>
        </w:rPr>
        <w:t>IPTU.</w:t>
      </w:r>
      <w:r>
        <w:rPr>
          <w:spacing w:val="-2"/>
          <w:sz w:val="20"/>
        </w:rPr>
        <w:t xml:space="preserve"> </w:t>
      </w:r>
      <w:r>
        <w:rPr>
          <w:sz w:val="20"/>
        </w:rPr>
        <w:t>3.</w:t>
      </w:r>
      <w:r>
        <w:rPr>
          <w:spacing w:val="-4"/>
          <w:sz w:val="20"/>
        </w:rPr>
        <w:t xml:space="preserve"> </w:t>
      </w:r>
      <w:r>
        <w:rPr>
          <w:sz w:val="20"/>
        </w:rPr>
        <w:t>Tendo</w:t>
      </w:r>
      <w:r>
        <w:rPr>
          <w:spacing w:val="-3"/>
          <w:sz w:val="20"/>
        </w:rPr>
        <w:t xml:space="preserve"> </w:t>
      </w:r>
      <w:r>
        <w:rPr>
          <w:sz w:val="20"/>
        </w:rPr>
        <w:t>a arrematação ocorrido mais de 06 meses antes da falência da empresa devedora, o imóvel arrematado não integrará a massa falida, eis que terá deixado o patrimônio da empresa antes da decretação da quebra. Assim, não se poderá falar em prejuízo aos credores, muito menos em habilitação do crédito</w:t>
      </w:r>
      <w:r>
        <w:rPr>
          <w:spacing w:val="42"/>
          <w:sz w:val="20"/>
        </w:rPr>
        <w:t xml:space="preserve"> </w:t>
      </w:r>
      <w:r>
        <w:rPr>
          <w:sz w:val="20"/>
        </w:rPr>
        <w:t>relativo</w:t>
      </w:r>
      <w:r>
        <w:rPr>
          <w:spacing w:val="30"/>
          <w:sz w:val="20"/>
        </w:rPr>
        <w:t xml:space="preserve"> </w:t>
      </w:r>
      <w:r>
        <w:rPr>
          <w:sz w:val="20"/>
        </w:rPr>
        <w:t>ao</w:t>
      </w:r>
      <w:r>
        <w:rPr>
          <w:spacing w:val="29"/>
          <w:sz w:val="20"/>
        </w:rPr>
        <w:t xml:space="preserve"> </w:t>
      </w:r>
      <w:r>
        <w:rPr>
          <w:sz w:val="20"/>
        </w:rPr>
        <w:t>débito</w:t>
      </w:r>
      <w:r>
        <w:rPr>
          <w:spacing w:val="28"/>
          <w:sz w:val="20"/>
        </w:rPr>
        <w:t xml:space="preserve"> </w:t>
      </w:r>
      <w:r>
        <w:rPr>
          <w:sz w:val="20"/>
        </w:rPr>
        <w:t>de</w:t>
      </w:r>
      <w:r>
        <w:rPr>
          <w:spacing w:val="26"/>
          <w:sz w:val="20"/>
        </w:rPr>
        <w:t xml:space="preserve"> </w:t>
      </w:r>
      <w:r>
        <w:rPr>
          <w:sz w:val="20"/>
        </w:rPr>
        <w:t>IPTU,</w:t>
      </w:r>
      <w:r>
        <w:rPr>
          <w:spacing w:val="28"/>
          <w:sz w:val="20"/>
        </w:rPr>
        <w:t xml:space="preserve"> </w:t>
      </w:r>
      <w:r>
        <w:rPr>
          <w:sz w:val="20"/>
        </w:rPr>
        <w:t>pois</w:t>
      </w:r>
      <w:r>
        <w:rPr>
          <w:spacing w:val="28"/>
          <w:sz w:val="20"/>
        </w:rPr>
        <w:t xml:space="preserve"> </w:t>
      </w:r>
      <w:r>
        <w:rPr>
          <w:sz w:val="20"/>
        </w:rPr>
        <w:t>a</w:t>
      </w:r>
      <w:r>
        <w:rPr>
          <w:spacing w:val="27"/>
          <w:sz w:val="20"/>
        </w:rPr>
        <w:t xml:space="preserve"> </w:t>
      </w:r>
      <w:r>
        <w:rPr>
          <w:sz w:val="20"/>
        </w:rPr>
        <w:t>dívida</w:t>
      </w:r>
      <w:r>
        <w:rPr>
          <w:spacing w:val="29"/>
          <w:sz w:val="20"/>
        </w:rPr>
        <w:t xml:space="preserve"> </w:t>
      </w:r>
      <w:r>
        <w:rPr>
          <w:sz w:val="20"/>
        </w:rPr>
        <w:t>do</w:t>
      </w:r>
      <w:r>
        <w:rPr>
          <w:spacing w:val="29"/>
          <w:sz w:val="20"/>
        </w:rPr>
        <w:t xml:space="preserve"> </w:t>
      </w:r>
      <w:r>
        <w:rPr>
          <w:sz w:val="20"/>
        </w:rPr>
        <w:t>Município</w:t>
      </w:r>
      <w:r>
        <w:rPr>
          <w:spacing w:val="31"/>
          <w:sz w:val="20"/>
        </w:rPr>
        <w:t xml:space="preserve"> </w:t>
      </w:r>
      <w:r>
        <w:rPr>
          <w:sz w:val="20"/>
        </w:rPr>
        <w:t>terá</w:t>
      </w:r>
      <w:r>
        <w:rPr>
          <w:spacing w:val="29"/>
          <w:sz w:val="20"/>
        </w:rPr>
        <w:t xml:space="preserve"> </w:t>
      </w:r>
      <w:r>
        <w:rPr>
          <w:spacing w:val="-4"/>
          <w:sz w:val="20"/>
        </w:rPr>
        <w:t>como</w:t>
      </w:r>
    </w:p>
    <w:p w:rsidR="007259F2" w:rsidRDefault="007259F2">
      <w:pPr>
        <w:jc w:val="both"/>
        <w:rPr>
          <w:sz w:val="20"/>
        </w:rPr>
        <w:sectPr w:rsidR="007259F2">
          <w:pgSz w:w="11910" w:h="16840"/>
          <w:pgMar w:top="1320" w:right="708" w:bottom="1160" w:left="992" w:header="0" w:footer="962" w:gutter="0"/>
          <w:cols w:space="720"/>
        </w:sectPr>
      </w:pPr>
    </w:p>
    <w:p w:rsidR="007259F2" w:rsidRDefault="00E655B4">
      <w:pPr>
        <w:spacing w:before="71"/>
        <w:ind w:left="2978" w:right="998"/>
        <w:jc w:val="both"/>
        <w:rPr>
          <w:sz w:val="20"/>
        </w:rPr>
      </w:pPr>
      <w:r>
        <w:rPr>
          <w:sz w:val="20"/>
        </w:rPr>
        <w:lastRenderedPageBreak/>
        <w:t>sujeito passivo o arrematante, novo proprietário do imóvel. 4. Recurso especial a que se nega provimento. (REsp 1316970/RJ, Rel. Ministra</w:t>
      </w:r>
      <w:r>
        <w:rPr>
          <w:spacing w:val="40"/>
          <w:sz w:val="20"/>
        </w:rPr>
        <w:t xml:space="preserve"> </w:t>
      </w:r>
      <w:r>
        <w:rPr>
          <w:sz w:val="20"/>
        </w:rPr>
        <w:t>NANCY ANDRIGHI, TERCEIRA TURMA, DJe 07/06/2013)</w:t>
      </w:r>
    </w:p>
    <w:p w:rsidR="007259F2" w:rsidRDefault="007259F2">
      <w:pPr>
        <w:pStyle w:val="Corpodetexto"/>
        <w:spacing w:before="167"/>
        <w:ind w:left="0" w:firstLine="0"/>
        <w:jc w:val="left"/>
        <w:rPr>
          <w:sz w:val="20"/>
        </w:rPr>
      </w:pPr>
    </w:p>
    <w:p w:rsidR="007259F2" w:rsidRDefault="00E655B4">
      <w:pPr>
        <w:ind w:left="2978" w:right="996"/>
        <w:jc w:val="both"/>
        <w:rPr>
          <w:sz w:val="20"/>
        </w:rPr>
      </w:pPr>
      <w:r>
        <w:rPr>
          <w:sz w:val="20"/>
        </w:rPr>
        <w:t>LOCAÇÃO. EXECUÇÃO. HASTA PÚBLICA. ARREMATAÇÃO. IMÓVEL</w:t>
      </w:r>
      <w:r>
        <w:rPr>
          <w:spacing w:val="-1"/>
          <w:sz w:val="20"/>
        </w:rPr>
        <w:t xml:space="preserve"> </w:t>
      </w:r>
      <w:r>
        <w:rPr>
          <w:sz w:val="20"/>
        </w:rPr>
        <w:t>COM DÉBITOS RELATIVOS AO IPTU. MENÇÃO EXPRESSA NO</w:t>
      </w:r>
      <w:r>
        <w:rPr>
          <w:spacing w:val="39"/>
          <w:sz w:val="20"/>
        </w:rPr>
        <w:t xml:space="preserve">  </w:t>
      </w:r>
      <w:r>
        <w:rPr>
          <w:sz w:val="20"/>
        </w:rPr>
        <w:t>EDITAL</w:t>
      </w:r>
      <w:r>
        <w:rPr>
          <w:spacing w:val="39"/>
          <w:sz w:val="20"/>
        </w:rPr>
        <w:t xml:space="preserve">  </w:t>
      </w:r>
      <w:r>
        <w:rPr>
          <w:sz w:val="20"/>
        </w:rPr>
        <w:t>DE</w:t>
      </w:r>
      <w:r>
        <w:rPr>
          <w:spacing w:val="40"/>
          <w:sz w:val="20"/>
        </w:rPr>
        <w:t xml:space="preserve">  </w:t>
      </w:r>
      <w:r>
        <w:rPr>
          <w:sz w:val="20"/>
        </w:rPr>
        <w:t>PRAÇA</w:t>
      </w:r>
      <w:r>
        <w:rPr>
          <w:spacing w:val="38"/>
          <w:sz w:val="20"/>
        </w:rPr>
        <w:t xml:space="preserve">  </w:t>
      </w:r>
      <w:r>
        <w:rPr>
          <w:sz w:val="20"/>
        </w:rPr>
        <w:t>E</w:t>
      </w:r>
      <w:r>
        <w:rPr>
          <w:spacing w:val="41"/>
          <w:sz w:val="20"/>
        </w:rPr>
        <w:t xml:space="preserve">  </w:t>
      </w:r>
      <w:r>
        <w:rPr>
          <w:sz w:val="20"/>
        </w:rPr>
        <w:t>NO</w:t>
      </w:r>
      <w:r>
        <w:rPr>
          <w:spacing w:val="40"/>
          <w:sz w:val="20"/>
        </w:rPr>
        <w:t xml:space="preserve">  </w:t>
      </w:r>
      <w:r>
        <w:rPr>
          <w:sz w:val="20"/>
        </w:rPr>
        <w:t>AUTO</w:t>
      </w:r>
      <w:r>
        <w:rPr>
          <w:spacing w:val="39"/>
          <w:sz w:val="20"/>
        </w:rPr>
        <w:t xml:space="preserve">  </w:t>
      </w:r>
      <w:r>
        <w:rPr>
          <w:sz w:val="20"/>
        </w:rPr>
        <w:t>DE</w:t>
      </w:r>
      <w:r>
        <w:rPr>
          <w:spacing w:val="40"/>
          <w:sz w:val="20"/>
        </w:rPr>
        <w:t xml:space="preserve">  </w:t>
      </w:r>
      <w:r>
        <w:rPr>
          <w:spacing w:val="-2"/>
          <w:sz w:val="20"/>
        </w:rPr>
        <w:t>ARREMATAÇÃO.</w:t>
      </w:r>
    </w:p>
    <w:p w:rsidR="007259F2" w:rsidRDefault="00E655B4">
      <w:pPr>
        <w:ind w:left="2978" w:right="986"/>
        <w:jc w:val="both"/>
        <w:rPr>
          <w:sz w:val="20"/>
        </w:rPr>
      </w:pPr>
      <w:r>
        <w:rPr>
          <w:sz w:val="20"/>
        </w:rPr>
        <w:t>RESPONSABILIDADE DO ARREMATANTE. 1. O Superior Tribunal de Justiça</w:t>
      </w:r>
      <w:r>
        <w:rPr>
          <w:spacing w:val="-1"/>
          <w:sz w:val="20"/>
        </w:rPr>
        <w:t xml:space="preserve"> </w:t>
      </w:r>
      <w:r>
        <w:rPr>
          <w:sz w:val="20"/>
        </w:rPr>
        <w:t>possui entendimento no</w:t>
      </w:r>
      <w:r>
        <w:rPr>
          <w:spacing w:val="-4"/>
          <w:sz w:val="20"/>
        </w:rPr>
        <w:t xml:space="preserve"> </w:t>
      </w:r>
      <w:r>
        <w:rPr>
          <w:sz w:val="20"/>
        </w:rPr>
        <w:t>sentido de</w:t>
      </w:r>
      <w:r>
        <w:rPr>
          <w:spacing w:val="-1"/>
          <w:sz w:val="20"/>
        </w:rPr>
        <w:t xml:space="preserve"> </w:t>
      </w:r>
      <w:r>
        <w:rPr>
          <w:sz w:val="20"/>
        </w:rPr>
        <w:t>que</w:t>
      </w:r>
      <w:r>
        <w:rPr>
          <w:spacing w:val="-1"/>
          <w:sz w:val="20"/>
        </w:rPr>
        <w:t xml:space="preserve"> </w:t>
      </w:r>
      <w:r>
        <w:rPr>
          <w:sz w:val="20"/>
        </w:rPr>
        <w:t>o arrematante recebe o imóvel livre de quaisquer ônus, porquanto, havendo alienação em hasta pública, transfere-se ao credor o saldo após dedução dos impostos, no limite da arrematação. 2. No caso de expressa menção da existência de ônus sobre o bem</w:t>
      </w:r>
      <w:r>
        <w:rPr>
          <w:spacing w:val="-1"/>
          <w:sz w:val="20"/>
        </w:rPr>
        <w:t xml:space="preserve"> </w:t>
      </w:r>
      <w:r>
        <w:rPr>
          <w:sz w:val="20"/>
        </w:rPr>
        <w:t>levado à</w:t>
      </w:r>
      <w:r>
        <w:rPr>
          <w:spacing w:val="-5"/>
          <w:sz w:val="20"/>
        </w:rPr>
        <w:t xml:space="preserve"> </w:t>
      </w:r>
      <w:r>
        <w:rPr>
          <w:sz w:val="20"/>
        </w:rPr>
        <w:t>venda pública,</w:t>
      </w:r>
      <w:r>
        <w:rPr>
          <w:spacing w:val="-7"/>
          <w:sz w:val="20"/>
        </w:rPr>
        <w:t xml:space="preserve"> </w:t>
      </w:r>
      <w:r>
        <w:rPr>
          <w:sz w:val="20"/>
        </w:rPr>
        <w:t>em</w:t>
      </w:r>
      <w:r>
        <w:rPr>
          <w:spacing w:val="-3"/>
          <w:sz w:val="20"/>
        </w:rPr>
        <w:t xml:space="preserve"> </w:t>
      </w:r>
      <w:r>
        <w:rPr>
          <w:sz w:val="20"/>
        </w:rPr>
        <w:t>estrita</w:t>
      </w:r>
      <w:r>
        <w:rPr>
          <w:spacing w:val="-6"/>
          <w:sz w:val="20"/>
        </w:rPr>
        <w:t xml:space="preserve"> </w:t>
      </w:r>
      <w:r>
        <w:rPr>
          <w:sz w:val="20"/>
        </w:rPr>
        <w:t>observância</w:t>
      </w:r>
      <w:r>
        <w:rPr>
          <w:spacing w:val="-5"/>
          <w:sz w:val="20"/>
        </w:rPr>
        <w:t xml:space="preserve"> </w:t>
      </w:r>
      <w:r>
        <w:rPr>
          <w:sz w:val="20"/>
        </w:rPr>
        <w:t>ao</w:t>
      </w:r>
      <w:r>
        <w:rPr>
          <w:spacing w:val="-5"/>
          <w:sz w:val="20"/>
        </w:rPr>
        <w:t xml:space="preserve"> </w:t>
      </w:r>
      <w:r>
        <w:rPr>
          <w:sz w:val="20"/>
        </w:rPr>
        <w:t>disposto</w:t>
      </w:r>
      <w:r>
        <w:rPr>
          <w:spacing w:val="-5"/>
          <w:sz w:val="20"/>
        </w:rPr>
        <w:t xml:space="preserve"> </w:t>
      </w:r>
      <w:r>
        <w:rPr>
          <w:sz w:val="20"/>
        </w:rPr>
        <w:t>no</w:t>
      </w:r>
      <w:r>
        <w:rPr>
          <w:spacing w:val="-5"/>
          <w:sz w:val="20"/>
        </w:rPr>
        <w:t xml:space="preserve"> </w:t>
      </w:r>
      <w:r>
        <w:rPr>
          <w:sz w:val="20"/>
        </w:rPr>
        <w:t>artigo</w:t>
      </w:r>
      <w:r>
        <w:rPr>
          <w:spacing w:val="-5"/>
          <w:sz w:val="20"/>
        </w:rPr>
        <w:t xml:space="preserve"> </w:t>
      </w:r>
      <w:r>
        <w:rPr>
          <w:sz w:val="20"/>
        </w:rPr>
        <w:t>686, inciso</w:t>
      </w:r>
      <w:r>
        <w:rPr>
          <w:spacing w:val="-10"/>
          <w:sz w:val="20"/>
        </w:rPr>
        <w:t xml:space="preserve"> </w:t>
      </w:r>
      <w:r>
        <w:rPr>
          <w:sz w:val="20"/>
        </w:rPr>
        <w:t>V,</w:t>
      </w:r>
      <w:r>
        <w:rPr>
          <w:spacing w:val="-10"/>
          <w:sz w:val="20"/>
        </w:rPr>
        <w:t xml:space="preserve"> </w:t>
      </w:r>
      <w:r>
        <w:rPr>
          <w:sz w:val="20"/>
        </w:rPr>
        <w:t>da</w:t>
      </w:r>
      <w:r>
        <w:rPr>
          <w:spacing w:val="-1"/>
          <w:sz w:val="20"/>
        </w:rPr>
        <w:t xml:space="preserve"> </w:t>
      </w:r>
      <w:r>
        <w:rPr>
          <w:sz w:val="20"/>
        </w:rPr>
        <w:t>Lei Adjetiva</w:t>
      </w:r>
      <w:r>
        <w:rPr>
          <w:spacing w:val="-1"/>
          <w:sz w:val="20"/>
        </w:rPr>
        <w:t xml:space="preserve"> </w:t>
      </w:r>
      <w:r>
        <w:rPr>
          <w:sz w:val="20"/>
        </w:rPr>
        <w:t>Civil,</w:t>
      </w:r>
      <w:r>
        <w:rPr>
          <w:spacing w:val="-3"/>
          <w:sz w:val="20"/>
        </w:rPr>
        <w:t xml:space="preserve"> </w:t>
      </w:r>
      <w:r>
        <w:rPr>
          <w:sz w:val="20"/>
        </w:rPr>
        <w:t>caberá</w:t>
      </w:r>
      <w:r>
        <w:rPr>
          <w:spacing w:val="-3"/>
          <w:sz w:val="20"/>
        </w:rPr>
        <w:t xml:space="preserve"> </w:t>
      </w:r>
      <w:r>
        <w:rPr>
          <w:sz w:val="20"/>
        </w:rPr>
        <w:t>ao</w:t>
      </w:r>
      <w:r>
        <w:rPr>
          <w:spacing w:val="-2"/>
          <w:sz w:val="20"/>
        </w:rPr>
        <w:t xml:space="preserve"> </w:t>
      </w:r>
      <w:r>
        <w:rPr>
          <w:sz w:val="20"/>
        </w:rPr>
        <w:t>arrematante</w:t>
      </w:r>
      <w:r>
        <w:rPr>
          <w:spacing w:val="-3"/>
          <w:sz w:val="20"/>
        </w:rPr>
        <w:t xml:space="preserve"> </w:t>
      </w:r>
      <w:r>
        <w:rPr>
          <w:sz w:val="20"/>
        </w:rPr>
        <w:t>a</w:t>
      </w:r>
      <w:r>
        <w:rPr>
          <w:spacing w:val="-1"/>
          <w:sz w:val="20"/>
        </w:rPr>
        <w:t xml:space="preserve"> </w:t>
      </w:r>
      <w:r>
        <w:rPr>
          <w:sz w:val="20"/>
        </w:rPr>
        <w:t>responsabilidade</w:t>
      </w:r>
      <w:r>
        <w:rPr>
          <w:spacing w:val="-3"/>
          <w:sz w:val="20"/>
        </w:rPr>
        <w:t xml:space="preserve"> </w:t>
      </w:r>
      <w:r>
        <w:rPr>
          <w:sz w:val="20"/>
        </w:rPr>
        <w:t xml:space="preserve">pela quitação dos impostos devidos. Precedentes. 3. Recurso especial improvido. (REsp 799666/RJ, Rel. Ministro JORGE MUSSI, QUINTA TURMA, DJe </w:t>
      </w:r>
      <w:r>
        <w:rPr>
          <w:spacing w:val="-2"/>
          <w:sz w:val="20"/>
        </w:rPr>
        <w:t>14/09/2009)</w:t>
      </w:r>
    </w:p>
    <w:p w:rsidR="007259F2" w:rsidRDefault="00E655B4">
      <w:pPr>
        <w:spacing w:before="230"/>
        <w:ind w:left="2978" w:right="978"/>
        <w:jc w:val="both"/>
        <w:rPr>
          <w:sz w:val="20"/>
        </w:rPr>
      </w:pPr>
      <w:r>
        <w:rPr>
          <w:sz w:val="20"/>
        </w:rPr>
        <w:t>RECURSO ESPECIAL - EXECUÇÃO - PRAÇA - ARREMATAÇÃO - DÉBITOS FISCAIS E CONDOMINIAIS - RESPONSABILIDADE DO ARREMATANTE, DESDE QUE HAJA PREVISÃO EXPRESSA NO EDITAL - PRECEDENTES DO STJ - HIPÓTESE OCORRENTE, NA ESPÉCIE</w:t>
      </w:r>
      <w:r>
        <w:rPr>
          <w:spacing w:val="58"/>
          <w:sz w:val="20"/>
        </w:rPr>
        <w:t xml:space="preserve"> </w:t>
      </w:r>
      <w:r>
        <w:rPr>
          <w:sz w:val="20"/>
        </w:rPr>
        <w:t>-</w:t>
      </w:r>
      <w:r>
        <w:rPr>
          <w:spacing w:val="58"/>
          <w:sz w:val="20"/>
        </w:rPr>
        <w:t xml:space="preserve"> </w:t>
      </w:r>
      <w:r>
        <w:rPr>
          <w:sz w:val="20"/>
        </w:rPr>
        <w:t>DISSÍDIO</w:t>
      </w:r>
      <w:r>
        <w:rPr>
          <w:spacing w:val="56"/>
          <w:sz w:val="20"/>
        </w:rPr>
        <w:t xml:space="preserve"> </w:t>
      </w:r>
      <w:r>
        <w:rPr>
          <w:sz w:val="20"/>
        </w:rPr>
        <w:t>JURISPRUDENCIAL</w:t>
      </w:r>
      <w:r>
        <w:rPr>
          <w:spacing w:val="55"/>
          <w:sz w:val="20"/>
        </w:rPr>
        <w:t xml:space="preserve"> </w:t>
      </w:r>
      <w:r>
        <w:rPr>
          <w:sz w:val="20"/>
        </w:rPr>
        <w:t>NÃO</w:t>
      </w:r>
      <w:r>
        <w:rPr>
          <w:spacing w:val="64"/>
          <w:sz w:val="20"/>
        </w:rPr>
        <w:t xml:space="preserve"> </w:t>
      </w:r>
      <w:r>
        <w:rPr>
          <w:sz w:val="20"/>
        </w:rPr>
        <w:t>DEMONSTRADO</w:t>
      </w:r>
      <w:r>
        <w:rPr>
          <w:spacing w:val="64"/>
          <w:sz w:val="20"/>
        </w:rPr>
        <w:t xml:space="preserve"> </w:t>
      </w:r>
      <w:r>
        <w:rPr>
          <w:spacing w:val="-10"/>
          <w:sz w:val="20"/>
        </w:rPr>
        <w:t>-</w:t>
      </w:r>
    </w:p>
    <w:p w:rsidR="007259F2" w:rsidRDefault="00E655B4">
      <w:pPr>
        <w:spacing w:before="2"/>
        <w:ind w:left="2978" w:right="988"/>
        <w:jc w:val="both"/>
        <w:rPr>
          <w:sz w:val="20"/>
        </w:rPr>
      </w:pPr>
      <w:r>
        <w:rPr>
          <w:sz w:val="20"/>
        </w:rPr>
        <w:t>RECURSO IMPROVIDO. I - Em regra, o preço apurado na arrematação serve ao pagamento do IPTU e de taxas pela prestação de</w:t>
      </w:r>
      <w:r>
        <w:rPr>
          <w:spacing w:val="-3"/>
          <w:sz w:val="20"/>
        </w:rPr>
        <w:t xml:space="preserve"> </w:t>
      </w:r>
      <w:r>
        <w:rPr>
          <w:sz w:val="20"/>
        </w:rPr>
        <w:t>serviços</w:t>
      </w:r>
      <w:r>
        <w:rPr>
          <w:spacing w:val="-6"/>
          <w:sz w:val="20"/>
        </w:rPr>
        <w:t xml:space="preserve"> </w:t>
      </w:r>
      <w:r>
        <w:rPr>
          <w:sz w:val="20"/>
        </w:rPr>
        <w:t>incidentes sobre o imóvel (art. 130 e 130, parágrafo único, do CTN); II - Contudo, havendo expressa menção no edital acerca da existência de débitos condominiais e tributários incidentes sobre o imóvel arrematado, a responsabilidade pelo seu adimplemento transfere-se para o</w:t>
      </w:r>
      <w:r>
        <w:rPr>
          <w:spacing w:val="-1"/>
          <w:sz w:val="20"/>
        </w:rPr>
        <w:t xml:space="preserve"> </w:t>
      </w:r>
      <w:r>
        <w:rPr>
          <w:sz w:val="20"/>
        </w:rPr>
        <w:t>arrematante; III - No tocante ao alegado dissídio jurisprudencial, é certo que não houve cotejo analítico,</w:t>
      </w:r>
      <w:r>
        <w:rPr>
          <w:spacing w:val="-7"/>
          <w:sz w:val="20"/>
        </w:rPr>
        <w:t xml:space="preserve"> </w:t>
      </w:r>
      <w:r>
        <w:rPr>
          <w:sz w:val="20"/>
        </w:rPr>
        <w:t>bem</w:t>
      </w:r>
      <w:r>
        <w:rPr>
          <w:spacing w:val="-2"/>
          <w:sz w:val="20"/>
        </w:rPr>
        <w:t xml:space="preserve"> </w:t>
      </w:r>
      <w:r>
        <w:rPr>
          <w:sz w:val="20"/>
        </w:rPr>
        <w:t>como</w:t>
      </w:r>
      <w:r>
        <w:rPr>
          <w:spacing w:val="-4"/>
          <w:sz w:val="20"/>
        </w:rPr>
        <w:t xml:space="preserve"> </w:t>
      </w:r>
      <w:r>
        <w:rPr>
          <w:sz w:val="20"/>
        </w:rPr>
        <w:t>não restou demonstrada a perfeita similitude fática entre o acórdão impugnado e os paradigmas colacionados; IV - Recurso especial improvido. (REsp 1114111/RJ, Rel. Ministro MASSAMI UYEDA, TERCEIRA TURMA, DJe 04/12/2009)</w:t>
      </w:r>
    </w:p>
    <w:p w:rsidR="007259F2" w:rsidRDefault="00E655B4">
      <w:pPr>
        <w:spacing w:before="228"/>
        <w:ind w:left="2978" w:right="987"/>
        <w:jc w:val="both"/>
        <w:rPr>
          <w:sz w:val="20"/>
        </w:rPr>
      </w:pPr>
      <w:r>
        <w:rPr>
          <w:sz w:val="20"/>
        </w:rPr>
        <w:t>AGRAVO REGIMENTAL NO RECURSO ESPECIAL - AGRAVO DE INSTRUMENTO - EXECUÇÃO - HASTA PÚBLICA - ARREMATAÇÃO DE IMÓVEL - TRIBUTOS - RESPONSABILIDADE DO ARREMATANTE, QUANDO HÁ EXPRESSÃO PREVISÃO NO EDITAL DO LEILÃO - DECISÃO QUE NEGOU SEGUIMENTO AO RECURSO ESPECIAL</w:t>
      </w:r>
      <w:r>
        <w:rPr>
          <w:spacing w:val="-8"/>
          <w:sz w:val="20"/>
        </w:rPr>
        <w:t xml:space="preserve"> </w:t>
      </w:r>
      <w:r>
        <w:rPr>
          <w:sz w:val="20"/>
        </w:rPr>
        <w:t>POR</w:t>
      </w:r>
      <w:r>
        <w:rPr>
          <w:spacing w:val="-8"/>
          <w:sz w:val="20"/>
        </w:rPr>
        <w:t xml:space="preserve"> </w:t>
      </w:r>
      <w:r>
        <w:rPr>
          <w:sz w:val="20"/>
        </w:rPr>
        <w:t>INCIDÊNCIA</w:t>
      </w:r>
      <w:r>
        <w:rPr>
          <w:spacing w:val="-9"/>
          <w:sz w:val="20"/>
        </w:rPr>
        <w:t xml:space="preserve"> </w:t>
      </w:r>
      <w:r>
        <w:rPr>
          <w:sz w:val="20"/>
        </w:rPr>
        <w:t>DO</w:t>
      </w:r>
      <w:r>
        <w:rPr>
          <w:spacing w:val="-8"/>
          <w:sz w:val="20"/>
        </w:rPr>
        <w:t xml:space="preserve"> </w:t>
      </w:r>
      <w:r>
        <w:rPr>
          <w:sz w:val="20"/>
        </w:rPr>
        <w:t>ENUNCIADO</w:t>
      </w:r>
      <w:r>
        <w:rPr>
          <w:spacing w:val="-3"/>
          <w:sz w:val="20"/>
        </w:rPr>
        <w:t xml:space="preserve"> </w:t>
      </w:r>
      <w:r>
        <w:rPr>
          <w:sz w:val="20"/>
        </w:rPr>
        <w:t>Nº</w:t>
      </w:r>
      <w:r>
        <w:rPr>
          <w:spacing w:val="-6"/>
          <w:sz w:val="20"/>
        </w:rPr>
        <w:t xml:space="preserve"> </w:t>
      </w:r>
      <w:r>
        <w:rPr>
          <w:sz w:val="20"/>
        </w:rPr>
        <w:t>83</w:t>
      </w:r>
      <w:r>
        <w:rPr>
          <w:spacing w:val="-7"/>
          <w:sz w:val="20"/>
        </w:rPr>
        <w:t xml:space="preserve"> </w:t>
      </w:r>
      <w:r>
        <w:rPr>
          <w:sz w:val="20"/>
        </w:rPr>
        <w:t xml:space="preserve">DA SÚMULA DO </w:t>
      </w:r>
      <w:r>
        <w:rPr>
          <w:spacing w:val="-4"/>
          <w:sz w:val="20"/>
        </w:rPr>
        <w:t>STJ.</w:t>
      </w:r>
    </w:p>
    <w:p w:rsidR="007259F2" w:rsidRDefault="00E655B4">
      <w:pPr>
        <w:ind w:left="2978"/>
        <w:jc w:val="both"/>
        <w:rPr>
          <w:sz w:val="20"/>
        </w:rPr>
      </w:pPr>
      <w:r>
        <w:rPr>
          <w:spacing w:val="-2"/>
          <w:sz w:val="20"/>
        </w:rPr>
        <w:t>INSURGÊNCIA</w:t>
      </w:r>
      <w:r>
        <w:rPr>
          <w:spacing w:val="-8"/>
          <w:sz w:val="20"/>
        </w:rPr>
        <w:t xml:space="preserve"> </w:t>
      </w:r>
      <w:r>
        <w:rPr>
          <w:spacing w:val="-2"/>
          <w:sz w:val="20"/>
        </w:rPr>
        <w:t>DO</w:t>
      </w:r>
      <w:r>
        <w:rPr>
          <w:spacing w:val="1"/>
          <w:sz w:val="20"/>
        </w:rPr>
        <w:t xml:space="preserve"> </w:t>
      </w:r>
      <w:r>
        <w:rPr>
          <w:spacing w:val="-2"/>
          <w:sz w:val="20"/>
        </w:rPr>
        <w:t>DISTRITO</w:t>
      </w:r>
      <w:r>
        <w:rPr>
          <w:spacing w:val="-4"/>
          <w:sz w:val="20"/>
        </w:rPr>
        <w:t xml:space="preserve"> </w:t>
      </w:r>
      <w:r>
        <w:rPr>
          <w:spacing w:val="-2"/>
          <w:sz w:val="20"/>
        </w:rPr>
        <w:t>FEDERAL.</w:t>
      </w:r>
    </w:p>
    <w:p w:rsidR="007259F2" w:rsidRDefault="00E655B4">
      <w:pPr>
        <w:pStyle w:val="PargrafodaLista"/>
        <w:numPr>
          <w:ilvl w:val="0"/>
          <w:numId w:val="5"/>
        </w:numPr>
        <w:tabs>
          <w:tab w:val="left" w:pos="3344"/>
        </w:tabs>
        <w:spacing w:before="3"/>
        <w:ind w:right="1075" w:firstLine="0"/>
        <w:jc w:val="both"/>
        <w:rPr>
          <w:sz w:val="20"/>
        </w:rPr>
      </w:pPr>
      <w:r>
        <w:rPr>
          <w:sz w:val="20"/>
        </w:rPr>
        <w:t>O Tribunal de origem consignou que o edital do leilão foi expresso quanto à responsabilidade do arrematante sobre os débitos que recaíssem sobre o imóvel, incluindo os relativos a impostos, bem como a inexistência de reserva sobre parte do preço ofertado para a quitação dos débitos.</w:t>
      </w:r>
    </w:p>
    <w:p w:rsidR="007259F2" w:rsidRDefault="00E655B4">
      <w:pPr>
        <w:pStyle w:val="PargrafodaLista"/>
        <w:numPr>
          <w:ilvl w:val="0"/>
          <w:numId w:val="5"/>
        </w:numPr>
        <w:tabs>
          <w:tab w:val="left" w:pos="3334"/>
        </w:tabs>
        <w:spacing w:before="1"/>
        <w:ind w:right="1064" w:firstLine="0"/>
        <w:jc w:val="both"/>
        <w:rPr>
          <w:b/>
          <w:sz w:val="20"/>
        </w:rPr>
      </w:pPr>
      <w:r>
        <w:rPr>
          <w:sz w:val="20"/>
        </w:rPr>
        <w:t>Fixadas tais premissas, as quais não podem ser alteradas em sede de recurso</w:t>
      </w:r>
      <w:r>
        <w:rPr>
          <w:spacing w:val="-1"/>
          <w:sz w:val="20"/>
        </w:rPr>
        <w:t xml:space="preserve"> </w:t>
      </w:r>
      <w:r>
        <w:rPr>
          <w:sz w:val="20"/>
        </w:rPr>
        <w:t>especial,</w:t>
      </w:r>
      <w:r>
        <w:rPr>
          <w:spacing w:val="-2"/>
          <w:sz w:val="20"/>
        </w:rPr>
        <w:t xml:space="preserve"> </w:t>
      </w:r>
      <w:r>
        <w:rPr>
          <w:sz w:val="20"/>
        </w:rPr>
        <w:t>ante</w:t>
      </w:r>
      <w:r>
        <w:rPr>
          <w:spacing w:val="-2"/>
          <w:sz w:val="20"/>
        </w:rPr>
        <w:t xml:space="preserve"> </w:t>
      </w:r>
      <w:r>
        <w:rPr>
          <w:sz w:val="20"/>
        </w:rPr>
        <w:t>o</w:t>
      </w:r>
      <w:r>
        <w:rPr>
          <w:spacing w:val="-1"/>
          <w:sz w:val="20"/>
        </w:rPr>
        <w:t xml:space="preserve"> </w:t>
      </w:r>
      <w:r>
        <w:rPr>
          <w:sz w:val="20"/>
        </w:rPr>
        <w:t>óbice</w:t>
      </w:r>
      <w:r>
        <w:rPr>
          <w:spacing w:val="-3"/>
          <w:sz w:val="20"/>
        </w:rPr>
        <w:t xml:space="preserve"> </w:t>
      </w:r>
      <w:r>
        <w:rPr>
          <w:sz w:val="20"/>
        </w:rPr>
        <w:t>do</w:t>
      </w:r>
      <w:r>
        <w:rPr>
          <w:spacing w:val="-1"/>
          <w:sz w:val="20"/>
        </w:rPr>
        <w:t xml:space="preserve"> </w:t>
      </w:r>
      <w:r>
        <w:rPr>
          <w:sz w:val="20"/>
        </w:rPr>
        <w:t>enunciado</w:t>
      </w:r>
      <w:r>
        <w:rPr>
          <w:spacing w:val="-1"/>
          <w:sz w:val="20"/>
        </w:rPr>
        <w:t xml:space="preserve"> </w:t>
      </w:r>
      <w:r>
        <w:rPr>
          <w:sz w:val="20"/>
        </w:rPr>
        <w:t>nº 7</w:t>
      </w:r>
      <w:r>
        <w:rPr>
          <w:spacing w:val="-3"/>
          <w:sz w:val="20"/>
        </w:rPr>
        <w:t xml:space="preserve"> </w:t>
      </w:r>
      <w:r>
        <w:rPr>
          <w:sz w:val="20"/>
        </w:rPr>
        <w:t>da</w:t>
      </w:r>
      <w:r>
        <w:rPr>
          <w:spacing w:val="-2"/>
          <w:sz w:val="20"/>
        </w:rPr>
        <w:t xml:space="preserve"> </w:t>
      </w:r>
      <w:r>
        <w:rPr>
          <w:sz w:val="20"/>
        </w:rPr>
        <w:t>Súmula do</w:t>
      </w:r>
      <w:r>
        <w:rPr>
          <w:spacing w:val="-1"/>
          <w:sz w:val="20"/>
        </w:rPr>
        <w:t xml:space="preserve"> </w:t>
      </w:r>
      <w:r>
        <w:rPr>
          <w:sz w:val="20"/>
        </w:rPr>
        <w:t>STJ,</w:t>
      </w:r>
      <w:r>
        <w:rPr>
          <w:spacing w:val="-3"/>
          <w:sz w:val="20"/>
        </w:rPr>
        <w:t xml:space="preserve"> </w:t>
      </w:r>
      <w:r>
        <w:rPr>
          <w:sz w:val="20"/>
        </w:rPr>
        <w:t xml:space="preserve">observa- se que </w:t>
      </w:r>
      <w:r>
        <w:rPr>
          <w:b/>
          <w:sz w:val="20"/>
        </w:rPr>
        <w:t xml:space="preserve">o acórdão recorrido está em conformidade com a jurisprudência desta Corte Superior, no sentido de que, havendo previsão expressa no edital do leilão, a responsabilidade pela quitação dos débitos existentes sobre o imóvel, inclusive quanto aos tributos, é do arrematante. </w:t>
      </w:r>
      <w:r>
        <w:rPr>
          <w:b/>
          <w:spacing w:val="-2"/>
          <w:sz w:val="20"/>
        </w:rPr>
        <w:t>Precedentes.</w:t>
      </w:r>
    </w:p>
    <w:p w:rsidR="007259F2" w:rsidRDefault="00E655B4">
      <w:pPr>
        <w:pStyle w:val="PargrafodaLista"/>
        <w:numPr>
          <w:ilvl w:val="0"/>
          <w:numId w:val="5"/>
        </w:numPr>
        <w:tabs>
          <w:tab w:val="left" w:pos="3334"/>
        </w:tabs>
        <w:spacing w:line="230" w:lineRule="exact"/>
        <w:ind w:left="3334" w:hanging="356"/>
        <w:jc w:val="both"/>
        <w:rPr>
          <w:sz w:val="20"/>
        </w:rPr>
      </w:pPr>
      <w:r>
        <w:rPr>
          <w:spacing w:val="-2"/>
          <w:sz w:val="20"/>
        </w:rPr>
        <w:t>Agravo</w:t>
      </w:r>
      <w:r>
        <w:rPr>
          <w:spacing w:val="-4"/>
          <w:sz w:val="20"/>
        </w:rPr>
        <w:t xml:space="preserve"> </w:t>
      </w:r>
      <w:r>
        <w:rPr>
          <w:spacing w:val="-2"/>
          <w:sz w:val="20"/>
        </w:rPr>
        <w:t>regimental</w:t>
      </w:r>
      <w:r>
        <w:rPr>
          <w:spacing w:val="2"/>
          <w:sz w:val="20"/>
        </w:rPr>
        <w:t xml:space="preserve"> </w:t>
      </w:r>
      <w:r>
        <w:rPr>
          <w:spacing w:val="-2"/>
          <w:sz w:val="20"/>
        </w:rPr>
        <w:t>desprovido.</w:t>
      </w:r>
    </w:p>
    <w:p w:rsidR="007259F2" w:rsidRDefault="00E655B4">
      <w:pPr>
        <w:ind w:left="2978" w:right="989"/>
        <w:jc w:val="both"/>
        <w:rPr>
          <w:sz w:val="20"/>
        </w:rPr>
      </w:pPr>
      <w:r>
        <w:rPr>
          <w:sz w:val="20"/>
        </w:rPr>
        <w:t>(AgRg no REsp 1168950/DF, Rel. Ministro MARCO BUZZI, QUARTA TURMA, julgado em 23/09/2014, DJe 30/09/2014)</w:t>
      </w:r>
    </w:p>
    <w:p w:rsidR="007259F2" w:rsidRDefault="00E655B4">
      <w:pPr>
        <w:ind w:left="2978" w:right="991"/>
        <w:jc w:val="both"/>
        <w:rPr>
          <w:sz w:val="20"/>
        </w:rPr>
      </w:pPr>
      <w:r>
        <w:rPr>
          <w:sz w:val="20"/>
        </w:rPr>
        <w:t>Portanto, nessas hipóteses, verifica-se uma dupla garantia à Fazenda Pública para a satisfação dos débitos tributários. No caso de ausência da dupla garantia,</w:t>
      </w:r>
      <w:r>
        <w:rPr>
          <w:spacing w:val="7"/>
          <w:sz w:val="20"/>
        </w:rPr>
        <w:t xml:space="preserve"> </w:t>
      </w:r>
      <w:r>
        <w:rPr>
          <w:sz w:val="20"/>
        </w:rPr>
        <w:t>se</w:t>
      </w:r>
      <w:r>
        <w:rPr>
          <w:spacing w:val="6"/>
          <w:sz w:val="20"/>
        </w:rPr>
        <w:t xml:space="preserve"> </w:t>
      </w:r>
      <w:r>
        <w:rPr>
          <w:sz w:val="20"/>
        </w:rPr>
        <w:t>o</w:t>
      </w:r>
      <w:r>
        <w:rPr>
          <w:spacing w:val="6"/>
          <w:sz w:val="20"/>
        </w:rPr>
        <w:t xml:space="preserve"> </w:t>
      </w:r>
      <w:r>
        <w:rPr>
          <w:sz w:val="20"/>
        </w:rPr>
        <w:t>edital</w:t>
      </w:r>
      <w:r>
        <w:rPr>
          <w:spacing w:val="5"/>
          <w:sz w:val="20"/>
        </w:rPr>
        <w:t xml:space="preserve"> </w:t>
      </w:r>
      <w:r>
        <w:rPr>
          <w:sz w:val="20"/>
        </w:rPr>
        <w:t>do</w:t>
      </w:r>
      <w:r>
        <w:rPr>
          <w:spacing w:val="5"/>
          <w:sz w:val="20"/>
        </w:rPr>
        <w:t xml:space="preserve"> </w:t>
      </w:r>
      <w:r>
        <w:rPr>
          <w:sz w:val="20"/>
        </w:rPr>
        <w:t>leilão</w:t>
      </w:r>
      <w:r>
        <w:rPr>
          <w:spacing w:val="6"/>
          <w:sz w:val="20"/>
        </w:rPr>
        <w:t xml:space="preserve"> </w:t>
      </w:r>
      <w:r>
        <w:rPr>
          <w:sz w:val="20"/>
        </w:rPr>
        <w:t>não</w:t>
      </w:r>
      <w:r>
        <w:rPr>
          <w:spacing w:val="7"/>
          <w:sz w:val="20"/>
        </w:rPr>
        <w:t xml:space="preserve"> </w:t>
      </w:r>
      <w:r>
        <w:rPr>
          <w:sz w:val="20"/>
        </w:rPr>
        <w:t>informar</w:t>
      </w:r>
      <w:r>
        <w:rPr>
          <w:spacing w:val="6"/>
          <w:sz w:val="20"/>
        </w:rPr>
        <w:t xml:space="preserve"> </w:t>
      </w:r>
      <w:r>
        <w:rPr>
          <w:sz w:val="20"/>
        </w:rPr>
        <w:t>a</w:t>
      </w:r>
      <w:r>
        <w:rPr>
          <w:spacing w:val="5"/>
          <w:sz w:val="20"/>
        </w:rPr>
        <w:t xml:space="preserve"> </w:t>
      </w:r>
      <w:r>
        <w:rPr>
          <w:sz w:val="20"/>
        </w:rPr>
        <w:t>existência</w:t>
      </w:r>
      <w:r>
        <w:rPr>
          <w:spacing w:val="6"/>
          <w:sz w:val="20"/>
        </w:rPr>
        <w:t xml:space="preserve"> </w:t>
      </w:r>
      <w:r>
        <w:rPr>
          <w:sz w:val="20"/>
        </w:rPr>
        <w:t>de</w:t>
      </w:r>
      <w:r>
        <w:rPr>
          <w:spacing w:val="8"/>
          <w:sz w:val="20"/>
        </w:rPr>
        <w:t xml:space="preserve"> </w:t>
      </w:r>
      <w:r>
        <w:rPr>
          <w:sz w:val="20"/>
        </w:rPr>
        <w:t>débitos</w:t>
      </w:r>
      <w:r>
        <w:rPr>
          <w:spacing w:val="5"/>
          <w:sz w:val="20"/>
        </w:rPr>
        <w:t xml:space="preserve"> </w:t>
      </w:r>
      <w:r>
        <w:rPr>
          <w:spacing w:val="-2"/>
          <w:sz w:val="20"/>
        </w:rPr>
        <w:t>tributários</w:t>
      </w:r>
    </w:p>
    <w:p w:rsidR="007259F2" w:rsidRDefault="007259F2">
      <w:pPr>
        <w:jc w:val="both"/>
        <w:rPr>
          <w:sz w:val="20"/>
        </w:rPr>
        <w:sectPr w:rsidR="007259F2">
          <w:pgSz w:w="11910" w:h="16840"/>
          <w:pgMar w:top="1320" w:right="708" w:bottom="1160" w:left="992" w:header="0" w:footer="962" w:gutter="0"/>
          <w:cols w:space="720"/>
        </w:sectPr>
      </w:pPr>
    </w:p>
    <w:p w:rsidR="007259F2" w:rsidRDefault="00E655B4">
      <w:pPr>
        <w:spacing w:before="71"/>
        <w:ind w:left="2978" w:right="988"/>
        <w:jc w:val="both"/>
        <w:rPr>
          <w:sz w:val="20"/>
        </w:rPr>
      </w:pPr>
      <w:r>
        <w:rPr>
          <w:sz w:val="20"/>
        </w:rPr>
        <w:lastRenderedPageBreak/>
        <w:t>em relação ao imóvel, as determinações judiciais, após a arrematação, de liberação dos ônus incidentes sobre o bem, não significam que os</w:t>
      </w:r>
      <w:r>
        <w:rPr>
          <w:spacing w:val="80"/>
          <w:sz w:val="20"/>
        </w:rPr>
        <w:t xml:space="preserve"> </w:t>
      </w:r>
      <w:r>
        <w:rPr>
          <w:sz w:val="20"/>
        </w:rPr>
        <w:t xml:space="preserve">magistrados estão reconhecendo a quitação dos débitos respectivos; trata-se apenas do reconhecimento de inexistência de responsabilidade tributária por transferência na modalidade de sucessão imobiliária, prevista no art. 130, </w:t>
      </w:r>
      <w:r>
        <w:rPr>
          <w:i/>
          <w:sz w:val="20"/>
        </w:rPr>
        <w:t>caput</w:t>
      </w:r>
      <w:r>
        <w:rPr>
          <w:sz w:val="20"/>
        </w:rPr>
        <w:t>, CTN, para os arrematantes.</w:t>
      </w:r>
    </w:p>
    <w:p w:rsidR="007259F2" w:rsidRDefault="007259F2">
      <w:pPr>
        <w:pStyle w:val="Corpodetexto"/>
        <w:spacing w:before="45"/>
        <w:ind w:left="0" w:firstLine="0"/>
        <w:jc w:val="left"/>
        <w:rPr>
          <w:sz w:val="20"/>
        </w:rPr>
      </w:pPr>
    </w:p>
    <w:p w:rsidR="007259F2" w:rsidRDefault="00E655B4">
      <w:pPr>
        <w:pStyle w:val="Corpodetexto"/>
        <w:ind w:right="986"/>
      </w:pPr>
      <w:r>
        <w:t>Importante destacar que ainda há algumas decisões recentes do Tribunal de Justiça do Estado de São Paulo que aplicam o parágrafo único do Art. 130</w:t>
      </w:r>
      <w:r>
        <w:rPr>
          <w:spacing w:val="-2"/>
        </w:rPr>
        <w:t xml:space="preserve"> </w:t>
      </w:r>
      <w:r>
        <w:t>do</w:t>
      </w:r>
      <w:r>
        <w:rPr>
          <w:spacing w:val="-2"/>
        </w:rPr>
        <w:t xml:space="preserve"> </w:t>
      </w:r>
      <w:r>
        <w:t>CTN,</w:t>
      </w:r>
      <w:r>
        <w:rPr>
          <w:spacing w:val="-3"/>
        </w:rPr>
        <w:t xml:space="preserve"> </w:t>
      </w:r>
      <w:r>
        <w:t>de forma</w:t>
      </w:r>
      <w:r>
        <w:rPr>
          <w:spacing w:val="-3"/>
        </w:rPr>
        <w:t xml:space="preserve"> </w:t>
      </w:r>
      <w:r>
        <w:t>absoluta, sem</w:t>
      </w:r>
      <w:r>
        <w:rPr>
          <w:spacing w:val="-2"/>
        </w:rPr>
        <w:t xml:space="preserve"> </w:t>
      </w:r>
      <w:r>
        <w:t>levar</w:t>
      </w:r>
      <w:r>
        <w:rPr>
          <w:spacing w:val="-2"/>
        </w:rPr>
        <w:t xml:space="preserve"> </w:t>
      </w:r>
      <w:r>
        <w:t>em conta</w:t>
      </w:r>
      <w:r>
        <w:rPr>
          <w:spacing w:val="-3"/>
        </w:rPr>
        <w:t xml:space="preserve"> </w:t>
      </w:r>
      <w:r>
        <w:t>as</w:t>
      </w:r>
      <w:r>
        <w:rPr>
          <w:spacing w:val="-2"/>
        </w:rPr>
        <w:t xml:space="preserve"> </w:t>
      </w:r>
      <w:r>
        <w:t>disposições do</w:t>
      </w:r>
      <w:r>
        <w:rPr>
          <w:spacing w:val="-2"/>
        </w:rPr>
        <w:t xml:space="preserve"> </w:t>
      </w:r>
      <w:r>
        <w:t>edital da hasta pública. A matéria abaixo extraída do site conjur expõe decisões extraídas de processos julgados por esta Corte de justiça.</w:t>
      </w:r>
    </w:p>
    <w:p w:rsidR="007259F2" w:rsidRDefault="00E655B4">
      <w:pPr>
        <w:pStyle w:val="Corpodetexto"/>
        <w:ind w:right="990"/>
      </w:pPr>
      <w:r>
        <w:t xml:space="preserve">A corte leva em conta o artigo 130 do </w:t>
      </w:r>
      <w:hyperlink r:id="rId92">
        <w:r>
          <w:t>Código Tributário Nacional</w:t>
        </w:r>
      </w:hyperlink>
      <w:r>
        <w:t>, segundo o qual créditos tributários do fisco municipal são transferidos para o próprio preço do imóvel em caso de hasta pública. Assim, os editais de leilões não poderiam exigir que o arrematante ficasse responsável pelos encargos fiscais.</w:t>
      </w:r>
    </w:p>
    <w:p w:rsidR="007259F2" w:rsidRDefault="00E655B4">
      <w:pPr>
        <w:pStyle w:val="Corpodetexto"/>
        <w:spacing w:before="1"/>
        <w:ind w:right="988"/>
      </w:pPr>
      <w:r>
        <w:t>A Prefeitura de São Paulo tentou reverter uma decisão que afastou tais encargos de uma construtora que arrematou um imóvel. Mas, no último mês de abril,</w:t>
      </w:r>
      <w:r>
        <w:rPr>
          <w:spacing w:val="40"/>
        </w:rPr>
        <w:t xml:space="preserve"> </w:t>
      </w:r>
      <w:r>
        <w:t>a</w:t>
      </w:r>
      <w:r>
        <w:rPr>
          <w:spacing w:val="40"/>
        </w:rPr>
        <w:t xml:space="preserve"> </w:t>
      </w:r>
      <w:r>
        <w:t>18ª Câmara de Direito Público do TJ-SP manteve os fundamentos. O relator,</w:t>
      </w:r>
      <w:r>
        <w:rPr>
          <w:spacing w:val="40"/>
        </w:rPr>
        <w:t xml:space="preserve"> </w:t>
      </w:r>
      <w:r>
        <w:t>desembargador Henrique Harris Júnior, ressaltou que "o arrematante recebe o imóvel livre de quaisquer ônus tributários pretéritos à arrematação".</w:t>
      </w:r>
    </w:p>
    <w:p w:rsidR="007259F2" w:rsidRDefault="00E655B4">
      <w:pPr>
        <w:pStyle w:val="Corpodetexto"/>
        <w:ind w:right="992"/>
      </w:pPr>
      <w:r>
        <w:t>O magistrado explicou que o edital tem natureza jurídica de oferta pública,</w:t>
      </w:r>
      <w:r>
        <w:rPr>
          <w:spacing w:val="-3"/>
        </w:rPr>
        <w:t xml:space="preserve"> </w:t>
      </w:r>
      <w:r>
        <w:t>e</w:t>
      </w:r>
      <w:r>
        <w:rPr>
          <w:spacing w:val="-15"/>
        </w:rPr>
        <w:t xml:space="preserve"> </w:t>
      </w:r>
      <w:r>
        <w:t>não de</w:t>
      </w:r>
      <w:r>
        <w:rPr>
          <w:spacing w:val="-15"/>
        </w:rPr>
        <w:t xml:space="preserve"> </w:t>
      </w:r>
      <w:r>
        <w:t>lei.</w:t>
      </w:r>
      <w:r>
        <w:rPr>
          <w:spacing w:val="-15"/>
        </w:rPr>
        <w:t xml:space="preserve"> </w:t>
      </w:r>
      <w:r>
        <w:t>Assim,</w:t>
      </w:r>
      <w:r>
        <w:rPr>
          <w:spacing w:val="-15"/>
        </w:rPr>
        <w:t xml:space="preserve"> </w:t>
      </w:r>
      <w:r>
        <w:t>deve</w:t>
      </w:r>
      <w:r>
        <w:rPr>
          <w:spacing w:val="-15"/>
        </w:rPr>
        <w:t xml:space="preserve"> </w:t>
      </w:r>
      <w:r>
        <w:t>seguir</w:t>
      </w:r>
      <w:r>
        <w:rPr>
          <w:spacing w:val="-15"/>
        </w:rPr>
        <w:t xml:space="preserve"> </w:t>
      </w:r>
      <w:r>
        <w:t>as</w:t>
      </w:r>
      <w:r>
        <w:rPr>
          <w:spacing w:val="-15"/>
        </w:rPr>
        <w:t xml:space="preserve"> </w:t>
      </w:r>
      <w:r>
        <w:t>determinações</w:t>
      </w:r>
      <w:r>
        <w:rPr>
          <w:spacing w:val="-15"/>
        </w:rPr>
        <w:t xml:space="preserve"> </w:t>
      </w:r>
      <w:r>
        <w:t>legais,</w:t>
      </w:r>
      <w:r>
        <w:rPr>
          <w:spacing w:val="-15"/>
        </w:rPr>
        <w:t xml:space="preserve"> </w:t>
      </w:r>
      <w:r>
        <w:t>sem</w:t>
      </w:r>
      <w:r>
        <w:rPr>
          <w:spacing w:val="-15"/>
        </w:rPr>
        <w:t xml:space="preserve"> </w:t>
      </w:r>
      <w:r>
        <w:t>modificar</w:t>
      </w:r>
      <w:r>
        <w:rPr>
          <w:spacing w:val="-9"/>
        </w:rPr>
        <w:t xml:space="preserve"> </w:t>
      </w:r>
      <w:r>
        <w:t>a</w:t>
      </w:r>
      <w:r>
        <w:rPr>
          <w:spacing w:val="-3"/>
        </w:rPr>
        <w:t xml:space="preserve"> </w:t>
      </w:r>
      <w:r>
        <w:t>responsabilidade</w:t>
      </w:r>
      <w:r>
        <w:rPr>
          <w:spacing w:val="-4"/>
        </w:rPr>
        <w:t xml:space="preserve"> </w:t>
      </w:r>
      <w:r>
        <w:t>pelo pagamento. "A previsão que estabelece ao arrematante a responsabilidade por eventuais débitos tributários é inválida e, portanto, nula de pleno direito", destacou.</w:t>
      </w:r>
    </w:p>
    <w:p w:rsidR="007259F2" w:rsidRDefault="00E655B4">
      <w:pPr>
        <w:pStyle w:val="Corpodetexto"/>
        <w:ind w:right="991"/>
      </w:pPr>
      <w:r>
        <w:t>A prefeitura alegava que a construtora teria consentido com as disposições do edital ao aceitar a participação no certame. Mas o desembargador afirmou que "é irrelevante a concordância do arrematante tocante às regras contidas no edital, pois as normas de Direito Tributário são imperativas".</w:t>
      </w:r>
    </w:p>
    <w:p w:rsidR="007259F2" w:rsidRDefault="00E655B4">
      <w:pPr>
        <w:pStyle w:val="Corpodetexto"/>
        <w:ind w:right="996"/>
      </w:pPr>
      <w:r>
        <w:t xml:space="preserve">Em fevereiro, a 14ª Câmara de Direito Público tomou decisão semelhante, referente a um leilão promovido pela Prefeitura de Praia Grande (SP). A desembargadora-relatora Silvana Malandrino Mollo manteve decisão favorável ao </w:t>
      </w:r>
      <w:r>
        <w:rPr>
          <w:spacing w:val="-2"/>
        </w:rPr>
        <w:t>comprador:</w:t>
      </w:r>
    </w:p>
    <w:p w:rsidR="007259F2" w:rsidRDefault="00E655B4">
      <w:pPr>
        <w:spacing w:before="2"/>
        <w:ind w:left="2978"/>
        <w:jc w:val="both"/>
        <w:rPr>
          <w:sz w:val="20"/>
        </w:rPr>
      </w:pPr>
      <w:r>
        <w:rPr>
          <w:spacing w:val="-2"/>
          <w:sz w:val="20"/>
        </w:rPr>
        <w:t>Não</w:t>
      </w:r>
      <w:r>
        <w:rPr>
          <w:spacing w:val="-3"/>
          <w:sz w:val="20"/>
        </w:rPr>
        <w:t xml:space="preserve"> </w:t>
      </w:r>
      <w:r>
        <w:rPr>
          <w:spacing w:val="-2"/>
          <w:sz w:val="20"/>
        </w:rPr>
        <w:t>poderia</w:t>
      </w:r>
      <w:r>
        <w:rPr>
          <w:spacing w:val="-3"/>
          <w:sz w:val="20"/>
        </w:rPr>
        <w:t xml:space="preserve"> </w:t>
      </w:r>
      <w:r>
        <w:rPr>
          <w:spacing w:val="-2"/>
          <w:sz w:val="20"/>
        </w:rPr>
        <w:t>o</w:t>
      </w:r>
      <w:r>
        <w:rPr>
          <w:spacing w:val="-6"/>
          <w:sz w:val="20"/>
        </w:rPr>
        <w:t xml:space="preserve"> </w:t>
      </w:r>
      <w:r>
        <w:rPr>
          <w:spacing w:val="-2"/>
          <w:sz w:val="20"/>
        </w:rPr>
        <w:t>edital</w:t>
      </w:r>
      <w:r>
        <w:rPr>
          <w:spacing w:val="5"/>
          <w:sz w:val="20"/>
        </w:rPr>
        <w:t xml:space="preserve"> </w:t>
      </w:r>
      <w:r>
        <w:rPr>
          <w:spacing w:val="-2"/>
          <w:sz w:val="20"/>
        </w:rPr>
        <w:t>condicionar</w:t>
      </w:r>
      <w:r>
        <w:rPr>
          <w:spacing w:val="4"/>
          <w:sz w:val="20"/>
        </w:rPr>
        <w:t xml:space="preserve"> </w:t>
      </w:r>
      <w:r>
        <w:rPr>
          <w:spacing w:val="-2"/>
          <w:sz w:val="20"/>
        </w:rPr>
        <w:t>previsão</w:t>
      </w:r>
      <w:r>
        <w:rPr>
          <w:spacing w:val="-6"/>
          <w:sz w:val="20"/>
        </w:rPr>
        <w:t xml:space="preserve"> </w:t>
      </w:r>
      <w:r>
        <w:rPr>
          <w:spacing w:val="-2"/>
          <w:sz w:val="20"/>
        </w:rPr>
        <w:t>legal</w:t>
      </w:r>
      <w:r>
        <w:rPr>
          <w:spacing w:val="2"/>
          <w:sz w:val="20"/>
        </w:rPr>
        <w:t xml:space="preserve"> </w:t>
      </w:r>
      <w:r>
        <w:rPr>
          <w:spacing w:val="-2"/>
          <w:sz w:val="20"/>
        </w:rPr>
        <w:t>de</w:t>
      </w:r>
      <w:r>
        <w:rPr>
          <w:spacing w:val="-4"/>
          <w:sz w:val="20"/>
        </w:rPr>
        <w:t xml:space="preserve"> </w:t>
      </w:r>
      <w:r>
        <w:rPr>
          <w:spacing w:val="-2"/>
          <w:sz w:val="20"/>
        </w:rPr>
        <w:t>irresponsabilidade</w:t>
      </w:r>
      <w:r>
        <w:rPr>
          <w:spacing w:val="2"/>
          <w:sz w:val="20"/>
        </w:rPr>
        <w:t xml:space="preserve"> </w:t>
      </w:r>
      <w:r>
        <w:rPr>
          <w:spacing w:val="-2"/>
          <w:sz w:val="20"/>
        </w:rPr>
        <w:t>tributária</w:t>
      </w:r>
    </w:p>
    <w:p w:rsidR="007259F2" w:rsidRDefault="00E655B4">
      <w:pPr>
        <w:ind w:left="2978" w:right="987"/>
        <w:jc w:val="both"/>
        <w:rPr>
          <w:sz w:val="20"/>
        </w:rPr>
      </w:pPr>
      <w:r>
        <w:rPr>
          <w:sz w:val="20"/>
        </w:rPr>
        <w:t>— ao fazer expressa menção acerca da existência de débitos tributários incidentes</w:t>
      </w:r>
      <w:r>
        <w:rPr>
          <w:spacing w:val="-1"/>
          <w:sz w:val="20"/>
        </w:rPr>
        <w:t xml:space="preserve"> </w:t>
      </w:r>
      <w:r>
        <w:rPr>
          <w:sz w:val="20"/>
        </w:rPr>
        <w:t>sobre</w:t>
      </w:r>
      <w:r>
        <w:rPr>
          <w:spacing w:val="-1"/>
          <w:sz w:val="20"/>
        </w:rPr>
        <w:t xml:space="preserve"> </w:t>
      </w:r>
      <w:r>
        <w:rPr>
          <w:sz w:val="20"/>
        </w:rPr>
        <w:t>o imóvel —</w:t>
      </w:r>
      <w:r>
        <w:rPr>
          <w:spacing w:val="-1"/>
          <w:sz w:val="20"/>
        </w:rPr>
        <w:t xml:space="preserve"> </w:t>
      </w:r>
      <w:r>
        <w:rPr>
          <w:sz w:val="20"/>
        </w:rPr>
        <w:t>se</w:t>
      </w:r>
      <w:r>
        <w:rPr>
          <w:spacing w:val="-1"/>
          <w:sz w:val="20"/>
        </w:rPr>
        <w:t xml:space="preserve"> </w:t>
      </w:r>
      <w:r>
        <w:rPr>
          <w:sz w:val="20"/>
        </w:rPr>
        <w:t>o próprio</w:t>
      </w:r>
      <w:r>
        <w:rPr>
          <w:spacing w:val="-2"/>
          <w:sz w:val="20"/>
        </w:rPr>
        <w:t xml:space="preserve"> </w:t>
      </w:r>
      <w:r>
        <w:rPr>
          <w:sz w:val="20"/>
        </w:rPr>
        <w:t>Código</w:t>
      </w:r>
      <w:r>
        <w:rPr>
          <w:spacing w:val="-2"/>
          <w:sz w:val="20"/>
        </w:rPr>
        <w:t xml:space="preserve"> </w:t>
      </w:r>
      <w:r>
        <w:rPr>
          <w:sz w:val="20"/>
        </w:rPr>
        <w:t>Tributário</w:t>
      </w:r>
      <w:r>
        <w:rPr>
          <w:spacing w:val="-2"/>
          <w:sz w:val="20"/>
        </w:rPr>
        <w:t xml:space="preserve"> </w:t>
      </w:r>
      <w:r>
        <w:rPr>
          <w:sz w:val="20"/>
        </w:rPr>
        <w:t>Nacional</w:t>
      </w:r>
      <w:r>
        <w:rPr>
          <w:spacing w:val="-1"/>
          <w:sz w:val="20"/>
        </w:rPr>
        <w:t xml:space="preserve"> </w:t>
      </w:r>
      <w:r>
        <w:rPr>
          <w:sz w:val="20"/>
        </w:rPr>
        <w:t>não faz qualquer</w:t>
      </w:r>
      <w:r>
        <w:rPr>
          <w:spacing w:val="-13"/>
          <w:sz w:val="20"/>
        </w:rPr>
        <w:t xml:space="preserve"> </w:t>
      </w:r>
      <w:r>
        <w:rPr>
          <w:sz w:val="20"/>
        </w:rPr>
        <w:t>ressalva</w:t>
      </w:r>
      <w:r>
        <w:rPr>
          <w:spacing w:val="-12"/>
          <w:sz w:val="20"/>
        </w:rPr>
        <w:t xml:space="preserve"> </w:t>
      </w:r>
      <w:r>
        <w:rPr>
          <w:sz w:val="20"/>
        </w:rPr>
        <w:t>à</w:t>
      </w:r>
      <w:r>
        <w:rPr>
          <w:spacing w:val="-13"/>
          <w:sz w:val="20"/>
        </w:rPr>
        <w:t xml:space="preserve"> </w:t>
      </w:r>
      <w:r>
        <w:rPr>
          <w:sz w:val="20"/>
        </w:rPr>
        <w:t>aplicação</w:t>
      </w:r>
      <w:r>
        <w:rPr>
          <w:spacing w:val="-12"/>
          <w:sz w:val="20"/>
        </w:rPr>
        <w:t xml:space="preserve"> </w:t>
      </w:r>
      <w:r>
        <w:rPr>
          <w:sz w:val="20"/>
        </w:rPr>
        <w:t>da</w:t>
      </w:r>
      <w:r>
        <w:rPr>
          <w:spacing w:val="-13"/>
          <w:sz w:val="20"/>
        </w:rPr>
        <w:t xml:space="preserve"> </w:t>
      </w:r>
      <w:r>
        <w:rPr>
          <w:sz w:val="20"/>
        </w:rPr>
        <w:t>exceção</w:t>
      </w:r>
      <w:r>
        <w:rPr>
          <w:spacing w:val="-12"/>
          <w:sz w:val="20"/>
        </w:rPr>
        <w:t xml:space="preserve"> </w:t>
      </w:r>
      <w:r>
        <w:rPr>
          <w:sz w:val="20"/>
        </w:rPr>
        <w:t>do</w:t>
      </w:r>
      <w:r>
        <w:rPr>
          <w:spacing w:val="-13"/>
          <w:sz w:val="20"/>
        </w:rPr>
        <w:t xml:space="preserve"> </w:t>
      </w:r>
      <w:r>
        <w:rPr>
          <w:sz w:val="20"/>
        </w:rPr>
        <w:t>parágrafo</w:t>
      </w:r>
      <w:r>
        <w:rPr>
          <w:spacing w:val="-12"/>
          <w:sz w:val="20"/>
        </w:rPr>
        <w:t xml:space="preserve"> </w:t>
      </w:r>
      <w:r>
        <w:rPr>
          <w:sz w:val="20"/>
        </w:rPr>
        <w:t>único</w:t>
      </w:r>
      <w:r>
        <w:rPr>
          <w:spacing w:val="-13"/>
          <w:sz w:val="20"/>
        </w:rPr>
        <w:t xml:space="preserve"> </w:t>
      </w:r>
      <w:r>
        <w:rPr>
          <w:sz w:val="20"/>
        </w:rPr>
        <w:t>do</w:t>
      </w:r>
      <w:r>
        <w:rPr>
          <w:spacing w:val="-12"/>
          <w:sz w:val="20"/>
        </w:rPr>
        <w:t xml:space="preserve"> </w:t>
      </w:r>
      <w:r>
        <w:rPr>
          <w:sz w:val="20"/>
        </w:rPr>
        <w:t>artigo</w:t>
      </w:r>
      <w:r>
        <w:rPr>
          <w:spacing w:val="1"/>
          <w:sz w:val="20"/>
        </w:rPr>
        <w:t xml:space="preserve"> </w:t>
      </w:r>
      <w:r>
        <w:rPr>
          <w:sz w:val="20"/>
        </w:rPr>
        <w:t>130</w:t>
      </w:r>
      <w:r>
        <w:rPr>
          <w:spacing w:val="-13"/>
          <w:sz w:val="20"/>
        </w:rPr>
        <w:t xml:space="preserve"> </w:t>
      </w:r>
      <w:r>
        <w:rPr>
          <w:sz w:val="20"/>
        </w:rPr>
        <w:t>para casos como o presente;</w:t>
      </w:r>
    </w:p>
    <w:p w:rsidR="007259F2" w:rsidRDefault="00E655B4">
      <w:pPr>
        <w:pStyle w:val="Corpodetexto"/>
        <w:spacing w:before="229"/>
        <w:ind w:right="990"/>
      </w:pPr>
      <w:r>
        <w:t>A relatora ainda lembrou que o comprador não fica responsável pelo pagamento nem mesmo se o preço de arrematação for insuficiente para cobrir o débito tributário. Nesses casos, segundo ela, é possível ajuizar execução fiscal para cobrar o saldo remanescente do antigo proprietário do bem, "tendo em vista a ausência de vínculo jurídico entre o executado e o arrematante, tampouco deste com o fato gerador que ensejou o lançamento do crédito tributário anteriormente".</w:t>
      </w:r>
    </w:p>
    <w:p w:rsidR="007259F2" w:rsidRDefault="00E655B4">
      <w:pPr>
        <w:pStyle w:val="Corpodetexto"/>
        <w:ind w:right="986"/>
      </w:pPr>
      <w:r>
        <w:t>A mesma câmara do tribunal já havia firmado esse entendimento em novembro do último ano, em outro caso envolvendo a prefeitura da capital paulista. Na ocasião, o desembargador Octavio Machado de Barros, que proferiu</w:t>
      </w:r>
      <w:r>
        <w:rPr>
          <w:spacing w:val="40"/>
        </w:rPr>
        <w:t xml:space="preserve"> </w:t>
      </w:r>
      <w:r>
        <w:t>o</w:t>
      </w:r>
      <w:r>
        <w:rPr>
          <w:spacing w:val="40"/>
        </w:rPr>
        <w:t xml:space="preserve"> </w:t>
      </w:r>
      <w:r>
        <w:t>voto</w:t>
      </w:r>
      <w:r>
        <w:rPr>
          <w:spacing w:val="40"/>
        </w:rPr>
        <w:t xml:space="preserve"> </w:t>
      </w:r>
      <w:r>
        <w:t>vencedor,</w:t>
      </w:r>
      <w:r>
        <w:rPr>
          <w:spacing w:val="40"/>
        </w:rPr>
        <w:t xml:space="preserve"> </w:t>
      </w:r>
      <w:r>
        <w:t>explicou que "a arrematação não tem o condão de</w:t>
      </w:r>
      <w:r>
        <w:rPr>
          <w:spacing w:val="-5"/>
        </w:rPr>
        <w:t xml:space="preserve"> </w:t>
      </w:r>
      <w:r>
        <w:t>modificara</w:t>
      </w:r>
      <w:r>
        <w:rPr>
          <w:spacing w:val="80"/>
          <w:w w:val="150"/>
        </w:rPr>
        <w:t xml:space="preserve"> </w:t>
      </w:r>
      <w:r>
        <w:t>relação</w:t>
      </w:r>
      <w:r>
        <w:rPr>
          <w:spacing w:val="80"/>
          <w:w w:val="150"/>
        </w:rPr>
        <w:t xml:space="preserve"> </w:t>
      </w:r>
      <w:r>
        <w:t>jurídico-tributária primitiva, devendo subsistir a</w:t>
      </w:r>
      <w:r>
        <w:rPr>
          <w:spacing w:val="-12"/>
        </w:rPr>
        <w:t xml:space="preserve"> </w:t>
      </w:r>
      <w:r>
        <w:t>responsabilidade do antigo proprietário".</w:t>
      </w:r>
    </w:p>
    <w:p w:rsidR="007259F2" w:rsidRDefault="007259F2">
      <w:pPr>
        <w:pStyle w:val="Corpodetexto"/>
        <w:spacing w:before="164"/>
        <w:ind w:left="0" w:firstLine="0"/>
        <w:jc w:val="left"/>
      </w:pPr>
    </w:p>
    <w:p w:rsidR="007259F2" w:rsidRDefault="00E655B4">
      <w:pPr>
        <w:pStyle w:val="Corpodetexto"/>
        <w:ind w:firstLine="0"/>
        <w:jc w:val="left"/>
      </w:pPr>
      <w:r>
        <w:rPr>
          <w:color w:val="1F1F23"/>
        </w:rPr>
        <w:t>Acórdão</w:t>
      </w:r>
      <w:r>
        <w:rPr>
          <w:color w:val="1F1F23"/>
          <w:spacing w:val="-2"/>
        </w:rPr>
        <w:t xml:space="preserve"> </w:t>
      </w:r>
      <w:r>
        <w:rPr>
          <w:color w:val="1F1F23"/>
        </w:rPr>
        <w:t>na</w:t>
      </w:r>
      <w:r>
        <w:rPr>
          <w:color w:val="1F1F23"/>
          <w:spacing w:val="-2"/>
        </w:rPr>
        <w:t xml:space="preserve"> </w:t>
      </w:r>
      <w:r>
        <w:rPr>
          <w:color w:val="1F1F23"/>
        </w:rPr>
        <w:t xml:space="preserve">íntegra </w:t>
      </w:r>
      <w:r>
        <w:rPr>
          <w:color w:val="1F1F23"/>
          <w:spacing w:val="-2"/>
        </w:rPr>
        <w:t>100078230.2020.8.26.0053</w:t>
      </w:r>
    </w:p>
    <w:p w:rsidR="007259F2" w:rsidRDefault="007259F2">
      <w:pPr>
        <w:pStyle w:val="Corpodetexto"/>
        <w:jc w:val="left"/>
        <w:sectPr w:rsidR="007259F2">
          <w:pgSz w:w="11910" w:h="16840"/>
          <w:pgMar w:top="1320" w:right="708" w:bottom="1160" w:left="992" w:header="0" w:footer="962" w:gutter="0"/>
          <w:cols w:space="720"/>
        </w:sectPr>
      </w:pPr>
    </w:p>
    <w:p w:rsidR="007259F2" w:rsidRDefault="00E655B4">
      <w:pPr>
        <w:pStyle w:val="Corpodetexto"/>
        <w:spacing w:before="72" w:line="451" w:lineRule="auto"/>
        <w:ind w:right="4241" w:firstLine="0"/>
        <w:jc w:val="left"/>
      </w:pPr>
      <w:r>
        <w:rPr>
          <w:color w:val="1F1F23"/>
          <w:spacing w:val="-2"/>
        </w:rPr>
        <w:lastRenderedPageBreak/>
        <w:t>Acórdão na</w:t>
      </w:r>
      <w:r>
        <w:rPr>
          <w:color w:val="1F1F23"/>
          <w:spacing w:val="-3"/>
        </w:rPr>
        <w:t xml:space="preserve"> </w:t>
      </w:r>
      <w:r>
        <w:rPr>
          <w:color w:val="1F1F23"/>
          <w:spacing w:val="-2"/>
        </w:rPr>
        <w:t xml:space="preserve">íntegra 100048342.2020.8.26.0477 </w:t>
      </w:r>
      <w:r>
        <w:rPr>
          <w:color w:val="1F1F23"/>
        </w:rPr>
        <w:t>Acórdão</w:t>
      </w:r>
      <w:r>
        <w:rPr>
          <w:color w:val="1F1F23"/>
          <w:spacing w:val="-2"/>
        </w:rPr>
        <w:t xml:space="preserve"> </w:t>
      </w:r>
      <w:r>
        <w:rPr>
          <w:color w:val="1F1F23"/>
        </w:rPr>
        <w:t>na</w:t>
      </w:r>
      <w:r>
        <w:rPr>
          <w:color w:val="1F1F23"/>
          <w:spacing w:val="-2"/>
        </w:rPr>
        <w:t xml:space="preserve"> </w:t>
      </w:r>
      <w:r>
        <w:rPr>
          <w:color w:val="1F1F23"/>
        </w:rPr>
        <w:t xml:space="preserve">íntegra </w:t>
      </w:r>
      <w:r>
        <w:rPr>
          <w:color w:val="1F1F23"/>
          <w:spacing w:val="-4"/>
        </w:rPr>
        <w:t>101430983.2019.8.26.0053</w:t>
      </w:r>
    </w:p>
    <w:p w:rsidR="007259F2" w:rsidRDefault="00E655B4">
      <w:pPr>
        <w:pStyle w:val="Heading2"/>
        <w:numPr>
          <w:ilvl w:val="0"/>
          <w:numId w:val="36"/>
        </w:numPr>
        <w:tabs>
          <w:tab w:val="left" w:pos="1090"/>
        </w:tabs>
        <w:spacing w:before="0" w:line="237" w:lineRule="exact"/>
        <w:ind w:left="1090" w:hanging="232"/>
        <w:jc w:val="both"/>
      </w:pPr>
      <w:r>
        <w:t>Momento</w:t>
      </w:r>
      <w:r>
        <w:rPr>
          <w:spacing w:val="-2"/>
        </w:rPr>
        <w:t xml:space="preserve"> </w:t>
      </w:r>
      <w:r>
        <w:t>da</w:t>
      </w:r>
      <w:r>
        <w:rPr>
          <w:spacing w:val="-2"/>
        </w:rPr>
        <w:t xml:space="preserve"> </w:t>
      </w:r>
      <w:r>
        <w:t>Responsabilidade</w:t>
      </w:r>
      <w:r>
        <w:rPr>
          <w:spacing w:val="-3"/>
        </w:rPr>
        <w:t xml:space="preserve"> </w:t>
      </w:r>
      <w:r>
        <w:t>Tributária</w:t>
      </w:r>
      <w:r>
        <w:rPr>
          <w:spacing w:val="-2"/>
        </w:rPr>
        <w:t xml:space="preserve"> </w:t>
      </w:r>
      <w:r>
        <w:t>do</w:t>
      </w:r>
      <w:r>
        <w:rPr>
          <w:spacing w:val="-4"/>
        </w:rPr>
        <w:t xml:space="preserve"> </w:t>
      </w:r>
      <w:r>
        <w:rPr>
          <w:spacing w:val="-2"/>
        </w:rPr>
        <w:t>Arrematante</w:t>
      </w:r>
    </w:p>
    <w:p w:rsidR="007259F2" w:rsidRDefault="00E655B4">
      <w:pPr>
        <w:pStyle w:val="Corpodetexto"/>
        <w:spacing w:before="113"/>
        <w:ind w:right="987"/>
      </w:pPr>
      <w:r>
        <w:t>O arrematante do imóvel passa a ser sujeito passivo das obrigações tributárias surgidas após o dia em que obteve o imóvel em hasta pública, não sendo exigido</w:t>
      </w:r>
      <w:r>
        <w:rPr>
          <w:spacing w:val="-1"/>
        </w:rPr>
        <w:t xml:space="preserve"> </w:t>
      </w:r>
      <w:r>
        <w:t>que</w:t>
      </w:r>
      <w:r>
        <w:rPr>
          <w:spacing w:val="-3"/>
        </w:rPr>
        <w:t xml:space="preserve"> </w:t>
      </w:r>
      <w:r>
        <w:t>se aguarde o registro da carta de arrematação, uma vez que nos termos do artigo 903 do CPC/15, considera-se perfeita, acabada e irretratável a arrematação quando assinado o auto de arrematação:</w:t>
      </w:r>
    </w:p>
    <w:p w:rsidR="007259F2" w:rsidRDefault="007259F2">
      <w:pPr>
        <w:pStyle w:val="Corpodetexto"/>
        <w:spacing w:before="1"/>
        <w:ind w:left="0" w:firstLine="0"/>
        <w:jc w:val="left"/>
      </w:pPr>
    </w:p>
    <w:p w:rsidR="007259F2" w:rsidRDefault="00E655B4">
      <w:pPr>
        <w:ind w:left="2978" w:right="987"/>
        <w:jc w:val="both"/>
        <w:rPr>
          <w:sz w:val="20"/>
        </w:rPr>
      </w:pPr>
      <w:r>
        <w:rPr>
          <w:sz w:val="20"/>
        </w:rPr>
        <w:t xml:space="preserve">Art. 903. Qualquer que seja a modalidade de leilão, assinado o auto pelo juiz, pelo arrematante e pelo leiloeiro, a arrematação será considerada perfeita, acabada e irretratável, ainda que venham a ser julgados procedentes os embargos do executado ou a ação autônoma de que trata o § 4º deste artigo, assegurada a possibilidade de reparação pelos prejuízos sofridos.(BRASIL, </w:t>
      </w:r>
      <w:r>
        <w:rPr>
          <w:spacing w:val="-2"/>
          <w:sz w:val="20"/>
        </w:rPr>
        <w:t>2015)</w:t>
      </w:r>
    </w:p>
    <w:p w:rsidR="007259F2" w:rsidRDefault="00E655B4">
      <w:pPr>
        <w:pStyle w:val="Corpodetexto"/>
        <w:tabs>
          <w:tab w:val="left" w:pos="4603"/>
          <w:tab w:val="left" w:pos="4891"/>
          <w:tab w:val="left" w:pos="6434"/>
          <w:tab w:val="left" w:pos="6814"/>
          <w:tab w:val="left" w:pos="8336"/>
          <w:tab w:val="left" w:pos="8626"/>
        </w:tabs>
        <w:spacing w:before="13" w:line="552" w:lineRule="exact"/>
        <w:ind w:left="3117" w:right="989" w:hanging="1700"/>
        <w:jc w:val="left"/>
      </w:pPr>
      <w:r>
        <w:t>Neste sentido, o precedente do Tribunal de Justiça do Estado de São</w:t>
      </w:r>
      <w:r>
        <w:rPr>
          <w:spacing w:val="-3"/>
        </w:rPr>
        <w:t xml:space="preserve"> </w:t>
      </w:r>
      <w:r>
        <w:t xml:space="preserve">Paulo </w:t>
      </w:r>
      <w:r>
        <w:rPr>
          <w:spacing w:val="-2"/>
        </w:rPr>
        <w:t>APELAÇÃO</w:t>
      </w:r>
      <w:r>
        <w:tab/>
      </w:r>
      <w:r>
        <w:rPr>
          <w:spacing w:val="-10"/>
        </w:rPr>
        <w:t>-</w:t>
      </w:r>
      <w:r>
        <w:tab/>
      </w:r>
      <w:r>
        <w:rPr>
          <w:spacing w:val="-2"/>
        </w:rPr>
        <w:t>EMBARGOS</w:t>
      </w:r>
      <w:r>
        <w:tab/>
      </w:r>
      <w:r>
        <w:rPr>
          <w:spacing w:val="-10"/>
        </w:rPr>
        <w:t>À</w:t>
      </w:r>
      <w:r>
        <w:tab/>
      </w:r>
      <w:r>
        <w:rPr>
          <w:spacing w:val="-2"/>
        </w:rPr>
        <w:t>EXECUÇÃO</w:t>
      </w:r>
      <w:r>
        <w:tab/>
      </w:r>
      <w:r>
        <w:rPr>
          <w:spacing w:val="-10"/>
        </w:rPr>
        <w:t>-</w:t>
      </w:r>
      <w:r>
        <w:tab/>
      </w:r>
      <w:r>
        <w:rPr>
          <w:spacing w:val="-2"/>
        </w:rPr>
        <w:t>IPTU,</w:t>
      </w:r>
    </w:p>
    <w:p w:rsidR="007259F2" w:rsidRDefault="00E655B4">
      <w:pPr>
        <w:pStyle w:val="Corpodetexto"/>
        <w:spacing w:line="218" w:lineRule="exact"/>
        <w:ind w:left="3117" w:firstLine="0"/>
      </w:pPr>
      <w:r>
        <w:t>exercícios</w:t>
      </w:r>
      <w:r>
        <w:rPr>
          <w:spacing w:val="24"/>
        </w:rPr>
        <w:t xml:space="preserve"> </w:t>
      </w:r>
      <w:r>
        <w:t>de</w:t>
      </w:r>
      <w:r>
        <w:rPr>
          <w:spacing w:val="28"/>
        </w:rPr>
        <w:t xml:space="preserve"> </w:t>
      </w:r>
      <w:r>
        <w:t>2000</w:t>
      </w:r>
      <w:r>
        <w:rPr>
          <w:spacing w:val="29"/>
        </w:rPr>
        <w:t xml:space="preserve"> </w:t>
      </w:r>
      <w:r>
        <w:t>a</w:t>
      </w:r>
      <w:r>
        <w:rPr>
          <w:spacing w:val="23"/>
        </w:rPr>
        <w:t xml:space="preserve"> </w:t>
      </w:r>
      <w:r>
        <w:t>2004</w:t>
      </w:r>
      <w:r>
        <w:rPr>
          <w:spacing w:val="24"/>
        </w:rPr>
        <w:t xml:space="preserve"> </w:t>
      </w:r>
      <w:r>
        <w:t>-</w:t>
      </w:r>
      <w:r>
        <w:rPr>
          <w:spacing w:val="23"/>
        </w:rPr>
        <w:t xml:space="preserve"> </w:t>
      </w:r>
      <w:r>
        <w:t>Município</w:t>
      </w:r>
      <w:r>
        <w:rPr>
          <w:spacing w:val="25"/>
        </w:rPr>
        <w:t xml:space="preserve"> </w:t>
      </w:r>
      <w:r>
        <w:t>de</w:t>
      </w:r>
      <w:r>
        <w:rPr>
          <w:spacing w:val="21"/>
        </w:rPr>
        <w:t xml:space="preserve"> </w:t>
      </w:r>
      <w:r>
        <w:t>Ribeirão</w:t>
      </w:r>
      <w:r>
        <w:rPr>
          <w:spacing w:val="25"/>
        </w:rPr>
        <w:t xml:space="preserve"> </w:t>
      </w:r>
      <w:r>
        <w:t>Preto</w:t>
      </w:r>
      <w:r>
        <w:rPr>
          <w:spacing w:val="25"/>
        </w:rPr>
        <w:t xml:space="preserve"> </w:t>
      </w:r>
      <w:r>
        <w:t>-</w:t>
      </w:r>
      <w:r>
        <w:rPr>
          <w:spacing w:val="23"/>
        </w:rPr>
        <w:t xml:space="preserve"> </w:t>
      </w:r>
      <w:r>
        <w:rPr>
          <w:spacing w:val="-10"/>
        </w:rPr>
        <w:t>O</w:t>
      </w:r>
    </w:p>
    <w:p w:rsidR="007259F2" w:rsidRDefault="00E655B4">
      <w:pPr>
        <w:pStyle w:val="Corpodetexto"/>
        <w:tabs>
          <w:tab w:val="left" w:pos="5205"/>
          <w:tab w:val="left" w:pos="6526"/>
          <w:tab w:val="left" w:pos="8101"/>
        </w:tabs>
        <w:ind w:left="3117" w:right="987" w:firstLine="0"/>
      </w:pPr>
      <w:r>
        <w:t>anterior</w:t>
      </w:r>
      <w:r>
        <w:rPr>
          <w:spacing w:val="-7"/>
        </w:rPr>
        <w:t xml:space="preserve"> </w:t>
      </w:r>
      <w:r>
        <w:t>proprietário</w:t>
      </w:r>
      <w:r>
        <w:rPr>
          <w:spacing w:val="-6"/>
        </w:rPr>
        <w:t xml:space="preserve"> </w:t>
      </w:r>
      <w:r>
        <w:t>do</w:t>
      </w:r>
      <w:r>
        <w:rPr>
          <w:spacing w:val="-6"/>
        </w:rPr>
        <w:t xml:space="preserve"> </w:t>
      </w:r>
      <w:r>
        <w:t>imóvel não é responsável pelos débitos posteriores à data em que o imóvel foi arrematado - Incumbe</w:t>
      </w:r>
      <w:r>
        <w:rPr>
          <w:spacing w:val="40"/>
        </w:rPr>
        <w:t xml:space="preserve"> </w:t>
      </w:r>
      <w:r>
        <w:t xml:space="preserve">ao arrematante as dívidas geradas após a lavratura do auto de arrematação, nos termos do art. 694 do CPC/73 - Precedentes desta Corte e do C. STJ - Sentença mantida RECURSO </w:t>
      </w:r>
      <w:r>
        <w:rPr>
          <w:spacing w:val="-2"/>
        </w:rPr>
        <w:t>IMPROVIDO.</w:t>
      </w:r>
      <w:r>
        <w:tab/>
      </w:r>
      <w:r>
        <w:rPr>
          <w:spacing w:val="-2"/>
        </w:rPr>
        <w:t>(TJSP,</w:t>
      </w:r>
      <w:r>
        <w:tab/>
      </w:r>
      <w:r>
        <w:rPr>
          <w:spacing w:val="-2"/>
        </w:rPr>
        <w:t>Apelação</w:t>
      </w:r>
      <w:r>
        <w:tab/>
      </w:r>
      <w:r>
        <w:rPr>
          <w:spacing w:val="-2"/>
        </w:rPr>
        <w:t>nº1000010-</w:t>
      </w:r>
    </w:p>
    <w:p w:rsidR="007259F2" w:rsidRDefault="00E655B4">
      <w:pPr>
        <w:pStyle w:val="Corpodetexto"/>
        <w:ind w:left="3117" w:right="989" w:firstLine="0"/>
      </w:pPr>
      <w:r>
        <w:t>18.2010.8.26.0506, 15ª Câmara de Direito Público, Rel. Rodrigues de Aguiar, j. 09/02/2017, V. U.)</w:t>
      </w:r>
    </w:p>
    <w:p w:rsidR="007259F2" w:rsidRDefault="00E655B4">
      <w:pPr>
        <w:pStyle w:val="Corpodetexto"/>
        <w:spacing w:before="120"/>
        <w:ind w:left="1418" w:firstLine="0"/>
        <w:jc w:val="left"/>
      </w:pPr>
      <w:r>
        <w:t>Do</w:t>
      </w:r>
      <w:r>
        <w:rPr>
          <w:spacing w:val="-5"/>
        </w:rPr>
        <w:t xml:space="preserve"> </w:t>
      </w:r>
      <w:r>
        <w:t>corpo</w:t>
      </w:r>
      <w:r>
        <w:rPr>
          <w:spacing w:val="-4"/>
        </w:rPr>
        <w:t xml:space="preserve"> </w:t>
      </w:r>
      <w:r>
        <w:t>do</w:t>
      </w:r>
      <w:r>
        <w:rPr>
          <w:spacing w:val="-5"/>
        </w:rPr>
        <w:t xml:space="preserve"> </w:t>
      </w:r>
      <w:r>
        <w:t>acórdão</w:t>
      </w:r>
      <w:r>
        <w:rPr>
          <w:spacing w:val="-3"/>
        </w:rPr>
        <w:t xml:space="preserve"> </w:t>
      </w:r>
      <w:r>
        <w:t>pode-se</w:t>
      </w:r>
      <w:r>
        <w:rPr>
          <w:spacing w:val="-5"/>
        </w:rPr>
        <w:t xml:space="preserve"> </w:t>
      </w:r>
      <w:r>
        <w:rPr>
          <w:spacing w:val="-2"/>
        </w:rPr>
        <w:t>extrair:</w:t>
      </w:r>
    </w:p>
    <w:p w:rsidR="007259F2" w:rsidRDefault="007259F2">
      <w:pPr>
        <w:pStyle w:val="Corpodetexto"/>
        <w:spacing w:before="3"/>
        <w:ind w:left="0" w:firstLine="0"/>
        <w:jc w:val="left"/>
        <w:rPr>
          <w:sz w:val="16"/>
        </w:rPr>
      </w:pPr>
    </w:p>
    <w:p w:rsidR="007259F2" w:rsidRDefault="007259F2">
      <w:pPr>
        <w:pStyle w:val="Corpodetexto"/>
        <w:jc w:val="left"/>
        <w:rPr>
          <w:sz w:val="16"/>
        </w:rPr>
        <w:sectPr w:rsidR="007259F2">
          <w:pgSz w:w="11910" w:h="16840"/>
          <w:pgMar w:top="1320" w:right="708" w:bottom="1160" w:left="992" w:header="0" w:footer="962" w:gutter="0"/>
          <w:cols w:space="720"/>
        </w:sectPr>
      </w:pPr>
    </w:p>
    <w:p w:rsidR="007259F2" w:rsidRDefault="007259F2">
      <w:pPr>
        <w:pStyle w:val="Corpodetexto"/>
        <w:ind w:left="0" w:firstLine="0"/>
        <w:jc w:val="left"/>
      </w:pPr>
    </w:p>
    <w:p w:rsidR="007259F2" w:rsidRDefault="007259F2">
      <w:pPr>
        <w:pStyle w:val="Corpodetexto"/>
        <w:ind w:left="0" w:firstLine="0"/>
        <w:jc w:val="left"/>
      </w:pPr>
    </w:p>
    <w:p w:rsidR="007259F2" w:rsidRDefault="007259F2">
      <w:pPr>
        <w:pStyle w:val="Corpodetexto"/>
        <w:ind w:left="0" w:firstLine="0"/>
        <w:jc w:val="left"/>
      </w:pPr>
    </w:p>
    <w:p w:rsidR="007259F2" w:rsidRDefault="007259F2">
      <w:pPr>
        <w:pStyle w:val="Corpodetexto"/>
        <w:ind w:left="0" w:firstLine="0"/>
        <w:jc w:val="left"/>
      </w:pPr>
    </w:p>
    <w:p w:rsidR="007259F2" w:rsidRDefault="007259F2">
      <w:pPr>
        <w:pStyle w:val="Corpodetexto"/>
        <w:ind w:left="0" w:firstLine="0"/>
        <w:jc w:val="left"/>
      </w:pPr>
    </w:p>
    <w:p w:rsidR="007259F2" w:rsidRDefault="007259F2">
      <w:pPr>
        <w:pStyle w:val="Corpodetexto"/>
        <w:ind w:left="0" w:firstLine="0"/>
        <w:jc w:val="left"/>
      </w:pPr>
    </w:p>
    <w:p w:rsidR="007259F2" w:rsidRDefault="007259F2">
      <w:pPr>
        <w:pStyle w:val="Corpodetexto"/>
        <w:ind w:left="0" w:firstLine="0"/>
        <w:jc w:val="left"/>
      </w:pPr>
    </w:p>
    <w:p w:rsidR="007259F2" w:rsidRDefault="007259F2">
      <w:pPr>
        <w:pStyle w:val="Corpodetexto"/>
        <w:ind w:left="0" w:firstLine="0"/>
        <w:jc w:val="left"/>
      </w:pPr>
    </w:p>
    <w:p w:rsidR="007259F2" w:rsidRDefault="007259F2">
      <w:pPr>
        <w:pStyle w:val="Corpodetexto"/>
        <w:ind w:left="0" w:firstLine="0"/>
        <w:jc w:val="left"/>
      </w:pPr>
    </w:p>
    <w:p w:rsidR="007259F2" w:rsidRDefault="007259F2">
      <w:pPr>
        <w:pStyle w:val="Corpodetexto"/>
        <w:ind w:left="0" w:firstLine="0"/>
        <w:jc w:val="left"/>
      </w:pPr>
    </w:p>
    <w:p w:rsidR="007259F2" w:rsidRDefault="007259F2">
      <w:pPr>
        <w:pStyle w:val="Corpodetexto"/>
        <w:ind w:left="0" w:firstLine="0"/>
        <w:jc w:val="left"/>
      </w:pPr>
    </w:p>
    <w:p w:rsidR="007259F2" w:rsidRDefault="007259F2">
      <w:pPr>
        <w:pStyle w:val="Corpodetexto"/>
        <w:ind w:left="0" w:firstLine="0"/>
        <w:jc w:val="left"/>
      </w:pPr>
    </w:p>
    <w:p w:rsidR="007259F2" w:rsidRDefault="007259F2">
      <w:pPr>
        <w:pStyle w:val="Corpodetexto"/>
        <w:ind w:left="0" w:firstLine="0"/>
        <w:jc w:val="left"/>
      </w:pPr>
    </w:p>
    <w:p w:rsidR="007259F2" w:rsidRDefault="007259F2">
      <w:pPr>
        <w:pStyle w:val="Corpodetexto"/>
        <w:ind w:left="0" w:firstLine="0"/>
        <w:jc w:val="left"/>
      </w:pPr>
    </w:p>
    <w:p w:rsidR="007259F2" w:rsidRDefault="007259F2">
      <w:pPr>
        <w:pStyle w:val="Corpodetexto"/>
        <w:spacing w:before="136"/>
        <w:ind w:left="0" w:firstLine="0"/>
        <w:jc w:val="left"/>
      </w:pPr>
    </w:p>
    <w:p w:rsidR="007259F2" w:rsidRDefault="00E655B4">
      <w:pPr>
        <w:pStyle w:val="Corpodetexto"/>
        <w:ind w:firstLine="0"/>
        <w:jc w:val="left"/>
      </w:pPr>
      <w:r>
        <w:rPr>
          <w:spacing w:val="-2"/>
        </w:rPr>
        <w:t>Paulo:</w:t>
      </w:r>
    </w:p>
    <w:p w:rsidR="007259F2" w:rsidRDefault="00E655B4">
      <w:pPr>
        <w:spacing w:before="91"/>
        <w:ind w:left="1615" w:right="989"/>
        <w:jc w:val="both"/>
        <w:rPr>
          <w:sz w:val="20"/>
        </w:rPr>
      </w:pPr>
      <w:r>
        <w:br w:type="column"/>
      </w:r>
      <w:r>
        <w:rPr>
          <w:sz w:val="20"/>
        </w:rPr>
        <w:lastRenderedPageBreak/>
        <w:t>Com efeito, se por um lado a lavratura do auto garante ao arrematante o exercício</w:t>
      </w:r>
      <w:r>
        <w:rPr>
          <w:spacing w:val="80"/>
          <w:sz w:val="20"/>
        </w:rPr>
        <w:t xml:space="preserve"> </w:t>
      </w:r>
      <w:r>
        <w:rPr>
          <w:sz w:val="20"/>
        </w:rPr>
        <w:t>dos</w:t>
      </w:r>
      <w:r>
        <w:rPr>
          <w:spacing w:val="80"/>
          <w:sz w:val="20"/>
        </w:rPr>
        <w:t xml:space="preserve"> </w:t>
      </w:r>
      <w:r>
        <w:rPr>
          <w:sz w:val="20"/>
        </w:rPr>
        <w:t>direitos</w:t>
      </w:r>
      <w:r>
        <w:rPr>
          <w:spacing w:val="80"/>
          <w:sz w:val="20"/>
        </w:rPr>
        <w:t xml:space="preserve"> </w:t>
      </w:r>
      <w:r>
        <w:rPr>
          <w:sz w:val="20"/>
        </w:rPr>
        <w:t>inerentes</w:t>
      </w:r>
      <w:r>
        <w:rPr>
          <w:spacing w:val="80"/>
          <w:sz w:val="20"/>
        </w:rPr>
        <w:t xml:space="preserve"> </w:t>
      </w:r>
      <w:r>
        <w:rPr>
          <w:sz w:val="20"/>
        </w:rPr>
        <w:t>à</w:t>
      </w:r>
      <w:r>
        <w:rPr>
          <w:spacing w:val="80"/>
          <w:sz w:val="20"/>
        </w:rPr>
        <w:t xml:space="preserve"> </w:t>
      </w:r>
      <w:r>
        <w:rPr>
          <w:sz w:val="20"/>
        </w:rPr>
        <w:t>propriedade,</w:t>
      </w:r>
      <w:r>
        <w:rPr>
          <w:spacing w:val="80"/>
          <w:sz w:val="20"/>
        </w:rPr>
        <w:t xml:space="preserve"> </w:t>
      </w:r>
      <w:r>
        <w:rPr>
          <w:sz w:val="20"/>
        </w:rPr>
        <w:t>bem</w:t>
      </w:r>
      <w:r>
        <w:rPr>
          <w:spacing w:val="80"/>
          <w:sz w:val="20"/>
        </w:rPr>
        <w:t xml:space="preserve"> </w:t>
      </w:r>
      <w:r>
        <w:rPr>
          <w:sz w:val="20"/>
        </w:rPr>
        <w:t>assim</w:t>
      </w:r>
      <w:r>
        <w:rPr>
          <w:spacing w:val="80"/>
          <w:sz w:val="20"/>
        </w:rPr>
        <w:t xml:space="preserve"> </w:t>
      </w:r>
      <w:r>
        <w:rPr>
          <w:sz w:val="20"/>
        </w:rPr>
        <w:t>a assunção de obrigações de natureza tributária, sobre o bem arrematado; por outro lado libera o devedor expropriado das dívidas geradas após a arrematação do imóvel, não podendo mais ser demandado por tributos e despesas geradas após</w:t>
      </w:r>
      <w:r>
        <w:rPr>
          <w:spacing w:val="-2"/>
          <w:sz w:val="20"/>
        </w:rPr>
        <w:t xml:space="preserve"> </w:t>
      </w:r>
      <w:r>
        <w:rPr>
          <w:sz w:val="20"/>
        </w:rPr>
        <w:t>a</w:t>
      </w:r>
      <w:r>
        <w:rPr>
          <w:spacing w:val="-2"/>
          <w:sz w:val="20"/>
        </w:rPr>
        <w:t xml:space="preserve"> </w:t>
      </w:r>
      <w:r>
        <w:rPr>
          <w:sz w:val="20"/>
        </w:rPr>
        <w:t>arrematação.</w:t>
      </w:r>
      <w:r>
        <w:rPr>
          <w:spacing w:val="-2"/>
          <w:sz w:val="20"/>
        </w:rPr>
        <w:t xml:space="preserve"> </w:t>
      </w:r>
      <w:r>
        <w:rPr>
          <w:sz w:val="20"/>
        </w:rPr>
        <w:t>Ademais,</w:t>
      </w:r>
      <w:r>
        <w:rPr>
          <w:spacing w:val="-2"/>
          <w:sz w:val="20"/>
        </w:rPr>
        <w:t xml:space="preserve"> </w:t>
      </w:r>
      <w:r>
        <w:rPr>
          <w:sz w:val="20"/>
        </w:rPr>
        <w:t>é</w:t>
      </w:r>
      <w:r>
        <w:rPr>
          <w:spacing w:val="-2"/>
          <w:sz w:val="20"/>
        </w:rPr>
        <w:t xml:space="preserve"> </w:t>
      </w:r>
      <w:r>
        <w:rPr>
          <w:sz w:val="20"/>
        </w:rPr>
        <w:t>irrelevante</w:t>
      </w:r>
      <w:r>
        <w:rPr>
          <w:spacing w:val="-2"/>
          <w:sz w:val="20"/>
        </w:rPr>
        <w:t xml:space="preserve"> </w:t>
      </w:r>
      <w:r>
        <w:rPr>
          <w:sz w:val="20"/>
        </w:rPr>
        <w:t>a</w:t>
      </w:r>
      <w:r>
        <w:rPr>
          <w:spacing w:val="-2"/>
          <w:sz w:val="20"/>
        </w:rPr>
        <w:t xml:space="preserve"> </w:t>
      </w:r>
      <w:r>
        <w:rPr>
          <w:sz w:val="20"/>
        </w:rPr>
        <w:t>inexistência</w:t>
      </w:r>
      <w:r>
        <w:rPr>
          <w:spacing w:val="-1"/>
          <w:sz w:val="20"/>
        </w:rPr>
        <w:t xml:space="preserve"> </w:t>
      </w:r>
      <w:r>
        <w:rPr>
          <w:sz w:val="20"/>
        </w:rPr>
        <w:t>do</w:t>
      </w:r>
      <w:r>
        <w:rPr>
          <w:spacing w:val="-1"/>
          <w:sz w:val="20"/>
        </w:rPr>
        <w:t xml:space="preserve"> </w:t>
      </w:r>
      <w:r>
        <w:rPr>
          <w:sz w:val="20"/>
        </w:rPr>
        <w:t>registro</w:t>
      </w:r>
      <w:r>
        <w:rPr>
          <w:spacing w:val="-1"/>
          <w:sz w:val="20"/>
        </w:rPr>
        <w:t xml:space="preserve"> </w:t>
      </w:r>
      <w:r>
        <w:rPr>
          <w:sz w:val="20"/>
        </w:rPr>
        <w:t>do</w:t>
      </w:r>
      <w:r>
        <w:rPr>
          <w:spacing w:val="-1"/>
          <w:sz w:val="20"/>
        </w:rPr>
        <w:t xml:space="preserve"> </w:t>
      </w:r>
      <w:r>
        <w:rPr>
          <w:sz w:val="20"/>
        </w:rPr>
        <w:t>título translativo no respectivo CRI, pois, muito embora a tradição dependa do registro, isso não retira a eficácia do auto de arrematação expedido em favor do arrematante, pois mencionado documento é título de propriedade, de acordo com o art. 130 do CTN c.c art. 694 do CPC/73. Vale lembrar, ainda, que a aquisição de imóvel por meio de hasta pública enseja a aquisição originária da propriedade pelo arrematante, de modo que inexiste relação jurídica entre o anterior proprietário e o arrematante, razão porque não se sustenta a tese do Município de que poderia demandar o crédito de ambos. (TJSP, Apelação nº 1000010-18.2010.8.26.0506, 15ª Câmara de Direito Público, Rel. Rodrigues de Aguiar, j. 09/02/2017, V. U.)</w:t>
      </w:r>
    </w:p>
    <w:p w:rsidR="007259F2" w:rsidRDefault="00E655B4">
      <w:pPr>
        <w:pStyle w:val="Corpodetexto"/>
        <w:spacing w:before="229"/>
        <w:ind w:left="1615" w:hanging="1561"/>
        <w:jc w:val="left"/>
      </w:pPr>
      <w:r>
        <w:t>No</w:t>
      </w:r>
      <w:r>
        <w:rPr>
          <w:spacing w:val="53"/>
        </w:rPr>
        <w:t xml:space="preserve"> </w:t>
      </w:r>
      <w:r>
        <w:t>mesmo</w:t>
      </w:r>
      <w:r>
        <w:rPr>
          <w:spacing w:val="55"/>
        </w:rPr>
        <w:t xml:space="preserve"> </w:t>
      </w:r>
      <w:r>
        <w:t>sentido,</w:t>
      </w:r>
      <w:r>
        <w:rPr>
          <w:spacing w:val="54"/>
        </w:rPr>
        <w:t xml:space="preserve"> </w:t>
      </w:r>
      <w:r>
        <w:t>precedente</w:t>
      </w:r>
      <w:r>
        <w:rPr>
          <w:spacing w:val="55"/>
        </w:rPr>
        <w:t xml:space="preserve"> </w:t>
      </w:r>
      <w:r>
        <w:t>do</w:t>
      </w:r>
      <w:r>
        <w:rPr>
          <w:spacing w:val="55"/>
        </w:rPr>
        <w:t xml:space="preserve"> </w:t>
      </w:r>
      <w:r>
        <w:t>E.</w:t>
      </w:r>
      <w:r>
        <w:rPr>
          <w:spacing w:val="54"/>
        </w:rPr>
        <w:t xml:space="preserve"> </w:t>
      </w:r>
      <w:r>
        <w:t>Tribunal</w:t>
      </w:r>
      <w:r>
        <w:rPr>
          <w:spacing w:val="56"/>
        </w:rPr>
        <w:t xml:space="preserve"> </w:t>
      </w:r>
      <w:r>
        <w:t>de</w:t>
      </w:r>
      <w:r>
        <w:rPr>
          <w:spacing w:val="54"/>
        </w:rPr>
        <w:t xml:space="preserve"> </w:t>
      </w:r>
      <w:r>
        <w:t>Justiça</w:t>
      </w:r>
      <w:r>
        <w:rPr>
          <w:spacing w:val="56"/>
        </w:rPr>
        <w:t xml:space="preserve"> </w:t>
      </w:r>
      <w:r>
        <w:t>do</w:t>
      </w:r>
      <w:r>
        <w:rPr>
          <w:spacing w:val="53"/>
        </w:rPr>
        <w:t xml:space="preserve"> </w:t>
      </w:r>
      <w:r>
        <w:t>Estado</w:t>
      </w:r>
      <w:r>
        <w:rPr>
          <w:spacing w:val="54"/>
        </w:rPr>
        <w:t xml:space="preserve"> </w:t>
      </w:r>
      <w:r>
        <w:t>de</w:t>
      </w:r>
      <w:r>
        <w:rPr>
          <w:spacing w:val="54"/>
        </w:rPr>
        <w:t xml:space="preserve"> </w:t>
      </w:r>
      <w:r>
        <w:rPr>
          <w:spacing w:val="-5"/>
        </w:rPr>
        <w:t>São</w:t>
      </w:r>
    </w:p>
    <w:p w:rsidR="007259F2" w:rsidRDefault="007259F2">
      <w:pPr>
        <w:pStyle w:val="Corpodetexto"/>
        <w:spacing w:before="1"/>
        <w:ind w:left="0" w:firstLine="0"/>
        <w:jc w:val="left"/>
      </w:pPr>
    </w:p>
    <w:p w:rsidR="007259F2" w:rsidRDefault="00E655B4">
      <w:pPr>
        <w:ind w:left="1615" w:right="989"/>
        <w:jc w:val="both"/>
        <w:rPr>
          <w:sz w:val="20"/>
        </w:rPr>
      </w:pPr>
      <w:r>
        <w:rPr>
          <w:sz w:val="20"/>
        </w:rPr>
        <w:t>Apelação Mandado de Segurança Arrematação – Imóvel adquirido em hasta pública Direito assegurado ao arrematante de receber o imóvel isento de tributos</w:t>
      </w:r>
      <w:r>
        <w:rPr>
          <w:spacing w:val="36"/>
          <w:sz w:val="20"/>
        </w:rPr>
        <w:t xml:space="preserve"> </w:t>
      </w:r>
      <w:r>
        <w:rPr>
          <w:sz w:val="20"/>
        </w:rPr>
        <w:t>lançados</w:t>
      </w:r>
      <w:r>
        <w:rPr>
          <w:spacing w:val="36"/>
          <w:sz w:val="20"/>
        </w:rPr>
        <w:t xml:space="preserve"> </w:t>
      </w:r>
      <w:r>
        <w:rPr>
          <w:sz w:val="20"/>
        </w:rPr>
        <w:t>anteriormente</w:t>
      </w:r>
      <w:r>
        <w:rPr>
          <w:spacing w:val="37"/>
          <w:sz w:val="20"/>
        </w:rPr>
        <w:t xml:space="preserve"> </w:t>
      </w:r>
      <w:r>
        <w:rPr>
          <w:sz w:val="20"/>
        </w:rPr>
        <w:t>à</w:t>
      </w:r>
      <w:r>
        <w:rPr>
          <w:spacing w:val="37"/>
          <w:sz w:val="20"/>
        </w:rPr>
        <w:t xml:space="preserve"> </w:t>
      </w:r>
      <w:r>
        <w:rPr>
          <w:sz w:val="20"/>
        </w:rPr>
        <w:t>arrematação</w:t>
      </w:r>
      <w:r>
        <w:rPr>
          <w:spacing w:val="38"/>
          <w:sz w:val="20"/>
        </w:rPr>
        <w:t xml:space="preserve"> </w:t>
      </w:r>
      <w:r>
        <w:rPr>
          <w:sz w:val="20"/>
        </w:rPr>
        <w:t>Exceção</w:t>
      </w:r>
      <w:r>
        <w:rPr>
          <w:spacing w:val="38"/>
          <w:sz w:val="20"/>
        </w:rPr>
        <w:t xml:space="preserve"> </w:t>
      </w:r>
      <w:r>
        <w:rPr>
          <w:sz w:val="20"/>
        </w:rPr>
        <w:t>à</w:t>
      </w:r>
      <w:r>
        <w:rPr>
          <w:spacing w:val="37"/>
          <w:sz w:val="20"/>
        </w:rPr>
        <w:t xml:space="preserve"> </w:t>
      </w:r>
      <w:r>
        <w:rPr>
          <w:sz w:val="20"/>
        </w:rPr>
        <w:t>regra</w:t>
      </w:r>
      <w:r>
        <w:rPr>
          <w:spacing w:val="37"/>
          <w:sz w:val="20"/>
        </w:rPr>
        <w:t xml:space="preserve"> </w:t>
      </w:r>
      <w:r>
        <w:rPr>
          <w:sz w:val="20"/>
        </w:rPr>
        <w:t>que</w:t>
      </w:r>
      <w:r>
        <w:rPr>
          <w:spacing w:val="37"/>
          <w:sz w:val="20"/>
        </w:rPr>
        <w:t xml:space="preserve"> </w:t>
      </w:r>
      <w:r>
        <w:rPr>
          <w:sz w:val="20"/>
        </w:rPr>
        <w:t>se</w:t>
      </w:r>
      <w:r>
        <w:rPr>
          <w:spacing w:val="37"/>
          <w:sz w:val="20"/>
        </w:rPr>
        <w:t xml:space="preserve"> </w:t>
      </w:r>
      <w:r>
        <w:rPr>
          <w:spacing w:val="-5"/>
          <w:sz w:val="20"/>
        </w:rPr>
        <w:t>dá</w:t>
      </w:r>
    </w:p>
    <w:p w:rsidR="007259F2" w:rsidRDefault="007259F2">
      <w:pPr>
        <w:jc w:val="both"/>
        <w:rPr>
          <w:sz w:val="20"/>
        </w:rPr>
        <w:sectPr w:rsidR="007259F2">
          <w:type w:val="continuous"/>
          <w:pgSz w:w="11910" w:h="16840"/>
          <w:pgMar w:top="1180" w:right="708" w:bottom="280" w:left="992" w:header="0" w:footer="962" w:gutter="0"/>
          <w:cols w:num="2" w:space="720" w:equalWidth="0">
            <w:col w:w="1324" w:space="40"/>
            <w:col w:w="8846"/>
          </w:cols>
        </w:sectPr>
      </w:pPr>
    </w:p>
    <w:p w:rsidR="007259F2" w:rsidRDefault="00E655B4">
      <w:pPr>
        <w:spacing w:before="71"/>
        <w:ind w:left="2978" w:right="983"/>
        <w:jc w:val="both"/>
        <w:rPr>
          <w:sz w:val="20"/>
        </w:rPr>
      </w:pPr>
      <w:r>
        <w:rPr>
          <w:sz w:val="20"/>
        </w:rPr>
        <w:lastRenderedPageBreak/>
        <w:t>somente no caso de expressa menção no edital quanto à responsabilidade do arrematante pelos débitos tributários não é suficiente a expressão genérica de que há débitos de IPTU. O termo a quo da responsabilidade é a datada arrematação -</w:t>
      </w:r>
      <w:r>
        <w:rPr>
          <w:spacing w:val="-3"/>
          <w:sz w:val="20"/>
        </w:rPr>
        <w:t xml:space="preserve"> </w:t>
      </w:r>
      <w:r>
        <w:rPr>
          <w:sz w:val="20"/>
        </w:rPr>
        <w:t>Sentença</w:t>
      </w:r>
      <w:r>
        <w:rPr>
          <w:spacing w:val="-4"/>
          <w:sz w:val="20"/>
        </w:rPr>
        <w:t xml:space="preserve"> </w:t>
      </w:r>
      <w:r>
        <w:rPr>
          <w:sz w:val="20"/>
        </w:rPr>
        <w:t>que</w:t>
      </w:r>
      <w:r>
        <w:rPr>
          <w:spacing w:val="-9"/>
          <w:sz w:val="20"/>
        </w:rPr>
        <w:t xml:space="preserve"> </w:t>
      </w:r>
      <w:r>
        <w:rPr>
          <w:sz w:val="20"/>
        </w:rPr>
        <w:t>responsabilizou</w:t>
      </w:r>
      <w:r>
        <w:rPr>
          <w:spacing w:val="-8"/>
          <w:sz w:val="20"/>
        </w:rPr>
        <w:t xml:space="preserve"> </w:t>
      </w:r>
      <w:r>
        <w:rPr>
          <w:sz w:val="20"/>
        </w:rPr>
        <w:t>os</w:t>
      </w:r>
      <w:r>
        <w:rPr>
          <w:spacing w:val="-13"/>
          <w:sz w:val="20"/>
        </w:rPr>
        <w:t xml:space="preserve"> </w:t>
      </w:r>
      <w:r>
        <w:rPr>
          <w:sz w:val="20"/>
        </w:rPr>
        <w:t>arrematantes</w:t>
      </w:r>
      <w:r>
        <w:rPr>
          <w:spacing w:val="-10"/>
          <w:sz w:val="20"/>
        </w:rPr>
        <w:t xml:space="preserve"> </w:t>
      </w:r>
      <w:r>
        <w:rPr>
          <w:sz w:val="20"/>
        </w:rPr>
        <w:t>a</w:t>
      </w:r>
      <w:r>
        <w:rPr>
          <w:spacing w:val="-9"/>
          <w:sz w:val="20"/>
        </w:rPr>
        <w:t xml:space="preserve"> </w:t>
      </w:r>
      <w:r>
        <w:rPr>
          <w:sz w:val="20"/>
        </w:rPr>
        <w:t>partir</w:t>
      </w:r>
      <w:r>
        <w:rPr>
          <w:spacing w:val="-12"/>
          <w:sz w:val="20"/>
        </w:rPr>
        <w:t xml:space="preserve"> </w:t>
      </w:r>
      <w:r>
        <w:rPr>
          <w:sz w:val="20"/>
        </w:rPr>
        <w:t>da</w:t>
      </w:r>
      <w:r>
        <w:rPr>
          <w:spacing w:val="-10"/>
          <w:sz w:val="20"/>
        </w:rPr>
        <w:t xml:space="preserve"> </w:t>
      </w:r>
      <w:r>
        <w:rPr>
          <w:sz w:val="20"/>
        </w:rPr>
        <w:t>data</w:t>
      </w:r>
      <w:r>
        <w:rPr>
          <w:spacing w:val="-9"/>
          <w:sz w:val="20"/>
        </w:rPr>
        <w:t xml:space="preserve"> </w:t>
      </w:r>
      <w:r>
        <w:rPr>
          <w:sz w:val="20"/>
        </w:rPr>
        <w:t>da expedição</w:t>
      </w:r>
      <w:r>
        <w:rPr>
          <w:spacing w:val="-2"/>
          <w:sz w:val="20"/>
        </w:rPr>
        <w:t xml:space="preserve"> </w:t>
      </w:r>
      <w:r>
        <w:rPr>
          <w:sz w:val="20"/>
        </w:rPr>
        <w:t>da carta</w:t>
      </w:r>
      <w:r>
        <w:rPr>
          <w:spacing w:val="-7"/>
          <w:sz w:val="20"/>
        </w:rPr>
        <w:t xml:space="preserve"> </w:t>
      </w:r>
      <w:r>
        <w:rPr>
          <w:sz w:val="20"/>
        </w:rPr>
        <w:t>de</w:t>
      </w:r>
      <w:r>
        <w:rPr>
          <w:spacing w:val="-8"/>
          <w:sz w:val="20"/>
        </w:rPr>
        <w:t xml:space="preserve"> </w:t>
      </w:r>
      <w:r>
        <w:rPr>
          <w:sz w:val="20"/>
        </w:rPr>
        <w:t>arrematação</w:t>
      </w:r>
      <w:r>
        <w:rPr>
          <w:spacing w:val="-5"/>
          <w:sz w:val="20"/>
        </w:rPr>
        <w:t xml:space="preserve"> </w:t>
      </w:r>
      <w:r>
        <w:rPr>
          <w:sz w:val="20"/>
        </w:rPr>
        <w:t>Impossibilidade</w:t>
      </w:r>
      <w:r>
        <w:rPr>
          <w:spacing w:val="-4"/>
          <w:sz w:val="20"/>
        </w:rPr>
        <w:t xml:space="preserve"> </w:t>
      </w:r>
      <w:r>
        <w:rPr>
          <w:sz w:val="20"/>
        </w:rPr>
        <w:t>-</w:t>
      </w:r>
      <w:r>
        <w:rPr>
          <w:spacing w:val="-5"/>
          <w:sz w:val="20"/>
        </w:rPr>
        <w:t xml:space="preserve"> </w:t>
      </w:r>
      <w:r>
        <w:rPr>
          <w:sz w:val="20"/>
        </w:rPr>
        <w:t>Auto</w:t>
      </w:r>
      <w:r>
        <w:rPr>
          <w:spacing w:val="-7"/>
          <w:sz w:val="20"/>
        </w:rPr>
        <w:t xml:space="preserve"> </w:t>
      </w:r>
      <w:r>
        <w:rPr>
          <w:sz w:val="20"/>
        </w:rPr>
        <w:t>de</w:t>
      </w:r>
      <w:r>
        <w:rPr>
          <w:spacing w:val="-7"/>
          <w:sz w:val="20"/>
        </w:rPr>
        <w:t xml:space="preserve"> </w:t>
      </w:r>
      <w:r>
        <w:rPr>
          <w:sz w:val="20"/>
        </w:rPr>
        <w:t>arrematação</w:t>
      </w:r>
      <w:r>
        <w:rPr>
          <w:spacing w:val="-5"/>
          <w:sz w:val="20"/>
        </w:rPr>
        <w:t xml:space="preserve"> </w:t>
      </w:r>
      <w:r>
        <w:rPr>
          <w:sz w:val="20"/>
        </w:rPr>
        <w:t>que gera efeitos possessórios, independentemente de registro no Cartório Imobiliário – Inteligência do art. 694, do CPC -</w:t>
      </w:r>
      <w:r>
        <w:rPr>
          <w:spacing w:val="-1"/>
          <w:sz w:val="20"/>
        </w:rPr>
        <w:t xml:space="preserve"> </w:t>
      </w:r>
      <w:r>
        <w:rPr>
          <w:sz w:val="20"/>
        </w:rPr>
        <w:t>Tributos devidos antes de tal marco são de responsabilidade do antigo proprietário Inteligência do parágrafo único do art. 130, do CTN Sentença reformada em reexame necessário - Recurso parcialmente provido”.(TJSP; Apelação 1032619- 45.2016.8.26.0053; Relator (a): Roberto Martins de Souza; Órgão Julgador: 18ª Câmara de Direito Público; Foro Central - Fazenda Pública/Acidentes - 14ª Vara de Fazenda Pública; Data do Julgamento: 14/09/2017; Data de Registro: 14/09/2017)</w:t>
      </w:r>
    </w:p>
    <w:p w:rsidR="007259F2" w:rsidRDefault="007259F2">
      <w:pPr>
        <w:pStyle w:val="Corpodetexto"/>
        <w:spacing w:before="166"/>
        <w:ind w:left="0" w:firstLine="0"/>
        <w:jc w:val="left"/>
        <w:rPr>
          <w:sz w:val="20"/>
        </w:rPr>
      </w:pPr>
    </w:p>
    <w:p w:rsidR="007259F2" w:rsidRDefault="00E655B4">
      <w:pPr>
        <w:pStyle w:val="Corpodetexto"/>
        <w:ind w:left="1418" w:firstLine="0"/>
        <w:jc w:val="left"/>
      </w:pPr>
      <w:r>
        <w:t>No</w:t>
      </w:r>
      <w:r>
        <w:rPr>
          <w:spacing w:val="-1"/>
        </w:rPr>
        <w:t xml:space="preserve"> </w:t>
      </w:r>
      <w:r>
        <w:t>mesmo</w:t>
      </w:r>
      <w:r>
        <w:rPr>
          <w:spacing w:val="-1"/>
        </w:rPr>
        <w:t xml:space="preserve"> </w:t>
      </w:r>
      <w:r>
        <w:t>sentido, ainda,</w:t>
      </w:r>
      <w:r>
        <w:rPr>
          <w:spacing w:val="-1"/>
        </w:rPr>
        <w:t xml:space="preserve"> </w:t>
      </w:r>
      <w:r>
        <w:t>precedente</w:t>
      </w:r>
      <w:r>
        <w:rPr>
          <w:spacing w:val="-1"/>
        </w:rPr>
        <w:t xml:space="preserve"> </w:t>
      </w:r>
      <w:r>
        <w:t>deste</w:t>
      </w:r>
      <w:r>
        <w:rPr>
          <w:spacing w:val="-1"/>
        </w:rPr>
        <w:t xml:space="preserve"> </w:t>
      </w:r>
      <w:r>
        <w:t>E.</w:t>
      </w:r>
      <w:r>
        <w:rPr>
          <w:spacing w:val="-1"/>
        </w:rPr>
        <w:t xml:space="preserve"> </w:t>
      </w:r>
      <w:r>
        <w:t>Tribunal</w:t>
      </w:r>
      <w:r>
        <w:rPr>
          <w:spacing w:val="-1"/>
        </w:rPr>
        <w:t xml:space="preserve"> </w:t>
      </w:r>
      <w:r>
        <w:t xml:space="preserve">de </w:t>
      </w:r>
      <w:r>
        <w:rPr>
          <w:spacing w:val="-2"/>
        </w:rPr>
        <w:t>Justiça:</w:t>
      </w:r>
    </w:p>
    <w:p w:rsidR="007259F2" w:rsidRDefault="007259F2">
      <w:pPr>
        <w:pStyle w:val="Corpodetexto"/>
        <w:spacing w:before="2"/>
        <w:ind w:left="0" w:firstLine="0"/>
        <w:jc w:val="left"/>
      </w:pPr>
    </w:p>
    <w:p w:rsidR="007259F2" w:rsidRDefault="00E655B4">
      <w:pPr>
        <w:ind w:left="2978" w:right="986"/>
        <w:jc w:val="both"/>
        <w:rPr>
          <w:sz w:val="20"/>
        </w:rPr>
      </w:pPr>
      <w:r>
        <w:rPr>
          <w:sz w:val="20"/>
        </w:rPr>
        <w:t>Embargos de declaração - Ocorrência de omissão Acórdão que não apreciou pedido de inaplicabilidade do artigo 130, do CTN no período posterior à arrematação e anterior ao registro da carta de arrematação no Cartório Imobiliário - Responsabilidade tributária do arrematante contada a partir da assinatura</w:t>
      </w:r>
      <w:r>
        <w:rPr>
          <w:spacing w:val="-9"/>
          <w:sz w:val="20"/>
        </w:rPr>
        <w:t xml:space="preserve"> </w:t>
      </w:r>
      <w:r>
        <w:rPr>
          <w:sz w:val="20"/>
        </w:rPr>
        <w:t>do</w:t>
      </w:r>
      <w:r>
        <w:rPr>
          <w:spacing w:val="-11"/>
          <w:sz w:val="20"/>
        </w:rPr>
        <w:t xml:space="preserve"> </w:t>
      </w:r>
      <w:r>
        <w:rPr>
          <w:sz w:val="20"/>
        </w:rPr>
        <w:t>auto</w:t>
      </w:r>
      <w:r>
        <w:rPr>
          <w:spacing w:val="-12"/>
          <w:sz w:val="20"/>
        </w:rPr>
        <w:t xml:space="preserve"> </w:t>
      </w:r>
      <w:r>
        <w:rPr>
          <w:sz w:val="20"/>
        </w:rPr>
        <w:t>de</w:t>
      </w:r>
      <w:r>
        <w:rPr>
          <w:spacing w:val="-12"/>
          <w:sz w:val="20"/>
        </w:rPr>
        <w:t xml:space="preserve"> </w:t>
      </w:r>
      <w:r>
        <w:rPr>
          <w:sz w:val="20"/>
        </w:rPr>
        <w:t>arrematação,</w:t>
      </w:r>
      <w:r>
        <w:rPr>
          <w:spacing w:val="-10"/>
          <w:sz w:val="20"/>
        </w:rPr>
        <w:t xml:space="preserve"> </w:t>
      </w:r>
      <w:r>
        <w:rPr>
          <w:sz w:val="20"/>
        </w:rPr>
        <w:t>que</w:t>
      </w:r>
      <w:r>
        <w:rPr>
          <w:spacing w:val="-10"/>
          <w:sz w:val="20"/>
        </w:rPr>
        <w:t xml:space="preserve"> </w:t>
      </w:r>
      <w:r>
        <w:rPr>
          <w:sz w:val="20"/>
        </w:rPr>
        <w:t>representa o termo 'a quo'</w:t>
      </w:r>
      <w:r>
        <w:rPr>
          <w:spacing w:val="-1"/>
          <w:sz w:val="20"/>
        </w:rPr>
        <w:t xml:space="preserve"> </w:t>
      </w:r>
      <w:r>
        <w:rPr>
          <w:sz w:val="20"/>
        </w:rPr>
        <w:t>de sua posse sobre o bem arrematado, independentemente de registro no Cartório Imobiliário - Auto de arrematação que gera efeitos possessórios, independentemente de registro no Cartório Imobiliário - Inteligência do art. 694, do CPC e art. 34 do CTN. Prequestionamento - Desnecessidade de menção expressa aos dispositivos legais - Embargos acolhidos parcialmente, com efeito modificativo do julgado. (TJSP, Embargos de Declaração nº0021910-70.2013.8.26.0053/50000, 18ª Câmara de Direito Público, Rel. Roberto Martins de Souza, j. 26/03/2015, V. U.)</w:t>
      </w:r>
    </w:p>
    <w:p w:rsidR="007259F2" w:rsidRDefault="00E655B4">
      <w:pPr>
        <w:pStyle w:val="Corpodetexto"/>
        <w:spacing w:before="227"/>
        <w:ind w:right="997"/>
      </w:pPr>
      <w:r>
        <w:t>O Superior Tribunal de Justiça, inclusive, também já se manifestou sobre a desnecessidade de haver a transcrição no registro imobiliário da carta de arrematação:</w:t>
      </w:r>
    </w:p>
    <w:p w:rsidR="007259F2" w:rsidRDefault="007259F2">
      <w:pPr>
        <w:pStyle w:val="Corpodetexto"/>
        <w:spacing w:before="2"/>
        <w:ind w:left="0" w:firstLine="0"/>
        <w:jc w:val="left"/>
      </w:pPr>
    </w:p>
    <w:p w:rsidR="007259F2" w:rsidRDefault="00E655B4">
      <w:pPr>
        <w:ind w:left="2978" w:right="982"/>
        <w:jc w:val="both"/>
        <w:rPr>
          <w:sz w:val="20"/>
        </w:rPr>
      </w:pPr>
      <w:r>
        <w:rPr>
          <w:sz w:val="20"/>
        </w:rPr>
        <w:t>AGRAVO REGIMENTAL EM AGRAVO DE INSTRUMENTO - REEXAME</w:t>
      </w:r>
      <w:r>
        <w:rPr>
          <w:spacing w:val="78"/>
          <w:w w:val="150"/>
          <w:sz w:val="20"/>
        </w:rPr>
        <w:t xml:space="preserve">  </w:t>
      </w:r>
      <w:r>
        <w:rPr>
          <w:sz w:val="20"/>
        </w:rPr>
        <w:t>DE</w:t>
      </w:r>
      <w:r>
        <w:rPr>
          <w:spacing w:val="75"/>
          <w:w w:val="150"/>
          <w:sz w:val="20"/>
        </w:rPr>
        <w:t xml:space="preserve">  </w:t>
      </w:r>
      <w:r>
        <w:rPr>
          <w:sz w:val="20"/>
        </w:rPr>
        <w:t>MATÉRIA</w:t>
      </w:r>
      <w:r>
        <w:rPr>
          <w:spacing w:val="75"/>
          <w:w w:val="150"/>
          <w:sz w:val="20"/>
        </w:rPr>
        <w:t xml:space="preserve">  </w:t>
      </w:r>
      <w:r>
        <w:rPr>
          <w:sz w:val="20"/>
        </w:rPr>
        <w:t>FÁTICA</w:t>
      </w:r>
      <w:r>
        <w:rPr>
          <w:spacing w:val="76"/>
          <w:w w:val="150"/>
          <w:sz w:val="20"/>
        </w:rPr>
        <w:t xml:space="preserve">  </w:t>
      </w:r>
      <w:r>
        <w:rPr>
          <w:sz w:val="20"/>
        </w:rPr>
        <w:t>-</w:t>
      </w:r>
      <w:r>
        <w:rPr>
          <w:spacing w:val="77"/>
          <w:w w:val="150"/>
          <w:sz w:val="20"/>
        </w:rPr>
        <w:t xml:space="preserve">  </w:t>
      </w:r>
      <w:r>
        <w:rPr>
          <w:sz w:val="20"/>
        </w:rPr>
        <w:t>INCIDÊNCIA</w:t>
      </w:r>
      <w:r>
        <w:rPr>
          <w:spacing w:val="77"/>
          <w:w w:val="150"/>
          <w:sz w:val="20"/>
        </w:rPr>
        <w:t xml:space="preserve">  </w:t>
      </w:r>
      <w:r>
        <w:rPr>
          <w:spacing w:val="-5"/>
          <w:sz w:val="20"/>
        </w:rPr>
        <w:t>DA</w:t>
      </w:r>
    </w:p>
    <w:p w:rsidR="007259F2" w:rsidRDefault="00E655B4">
      <w:pPr>
        <w:spacing w:before="1"/>
        <w:ind w:left="2978" w:right="990"/>
        <w:jc w:val="both"/>
        <w:rPr>
          <w:sz w:val="20"/>
        </w:rPr>
      </w:pPr>
      <w:r>
        <w:rPr>
          <w:sz w:val="20"/>
        </w:rPr>
        <w:t>SÚMULA07/STJ. O Tribunal a quo, ao estabelecer solução para a controvérsia, reportou-se a suporte fático-probatório contido no feito. Ocorre que não cabe a esta Corte Superior de Justiça reexaminar matéria de prova que serviu de base para esse entendimento. Concluir de modo diferente é ignorar o óbice disposto na Súmula 7 deste Sodalício. Mais a mais, é irrelevante o fato de haver ou não transcrição no registro imobiliário da carta de arrematação, uma vez que já decidiu este Tribunal que assinado o auto</w:t>
      </w:r>
      <w:r>
        <w:rPr>
          <w:spacing w:val="40"/>
          <w:sz w:val="20"/>
        </w:rPr>
        <w:t xml:space="preserve"> </w:t>
      </w:r>
      <w:r>
        <w:rPr>
          <w:sz w:val="20"/>
        </w:rPr>
        <w:t>pelo juiz, considera- se perfeita, acabada e irretratável a arrematação que só pode ser anulada por meio de ação própria (REsp 426.106/MG, Rel. Min. Eliana</w:t>
      </w:r>
      <w:r>
        <w:rPr>
          <w:spacing w:val="-3"/>
          <w:sz w:val="20"/>
        </w:rPr>
        <w:t xml:space="preserve"> </w:t>
      </w:r>
      <w:r>
        <w:rPr>
          <w:sz w:val="20"/>
        </w:rPr>
        <w:t>Calmon,</w:t>
      </w:r>
      <w:r>
        <w:rPr>
          <w:spacing w:val="-9"/>
          <w:sz w:val="20"/>
        </w:rPr>
        <w:t xml:space="preserve"> </w:t>
      </w:r>
      <w:r>
        <w:rPr>
          <w:sz w:val="20"/>
        </w:rPr>
        <w:t>DJ</w:t>
      </w:r>
      <w:r>
        <w:rPr>
          <w:spacing w:val="-7"/>
          <w:sz w:val="20"/>
        </w:rPr>
        <w:t xml:space="preserve"> </w:t>
      </w:r>
      <w:r>
        <w:rPr>
          <w:sz w:val="20"/>
        </w:rPr>
        <w:t>11.10.2004).Agravo</w:t>
      </w:r>
      <w:r>
        <w:rPr>
          <w:spacing w:val="-12"/>
          <w:sz w:val="20"/>
        </w:rPr>
        <w:t xml:space="preserve"> </w:t>
      </w:r>
      <w:r>
        <w:rPr>
          <w:sz w:val="20"/>
        </w:rPr>
        <w:t>regimental</w:t>
      </w:r>
      <w:r>
        <w:rPr>
          <w:spacing w:val="-13"/>
          <w:sz w:val="20"/>
        </w:rPr>
        <w:t xml:space="preserve"> </w:t>
      </w:r>
      <w:r>
        <w:rPr>
          <w:sz w:val="20"/>
        </w:rPr>
        <w:t>improvido.</w:t>
      </w:r>
      <w:r>
        <w:rPr>
          <w:spacing w:val="-12"/>
          <w:sz w:val="20"/>
        </w:rPr>
        <w:t xml:space="preserve"> </w:t>
      </w:r>
      <w:r>
        <w:rPr>
          <w:sz w:val="20"/>
        </w:rPr>
        <w:t>(STJ,</w:t>
      </w:r>
      <w:r>
        <w:rPr>
          <w:spacing w:val="-10"/>
          <w:sz w:val="20"/>
        </w:rPr>
        <w:t xml:space="preserve"> </w:t>
      </w:r>
      <w:r>
        <w:rPr>
          <w:sz w:val="20"/>
        </w:rPr>
        <w:t>AgRg</w:t>
      </w:r>
      <w:r>
        <w:rPr>
          <w:spacing w:val="-13"/>
          <w:sz w:val="20"/>
        </w:rPr>
        <w:t xml:space="preserve"> </w:t>
      </w:r>
      <w:r>
        <w:rPr>
          <w:sz w:val="20"/>
        </w:rPr>
        <w:t>no Agravo de Instrumento nº607.531/MG, Segunda Turma, Rel. Ministro Humberto Martins, j.03/08/2006, DJ: 17/08/2006)</w:t>
      </w:r>
    </w:p>
    <w:p w:rsidR="007259F2" w:rsidRDefault="00E655B4">
      <w:pPr>
        <w:pStyle w:val="Corpodetexto"/>
        <w:spacing w:before="201"/>
        <w:ind w:right="990"/>
      </w:pPr>
      <w:r>
        <w:t>Dessa forma, o arrematante, na condição de possuidor do bem, passa a ser</w:t>
      </w:r>
      <w:r>
        <w:rPr>
          <w:spacing w:val="40"/>
        </w:rPr>
        <w:t xml:space="preserve"> </w:t>
      </w:r>
      <w:r>
        <w:t>sujeito passivo da obrigação tributária a contar do dia em que obteve o bem em hasta pública, não se exigindo que se aguarde o registro da carta de arrematação para que se efetue o lançamento.</w:t>
      </w:r>
    </w:p>
    <w:p w:rsidR="007259F2" w:rsidRDefault="00E655B4">
      <w:pPr>
        <w:pStyle w:val="Heading2"/>
        <w:numPr>
          <w:ilvl w:val="0"/>
          <w:numId w:val="36"/>
        </w:numPr>
        <w:tabs>
          <w:tab w:val="left" w:pos="884"/>
        </w:tabs>
        <w:spacing w:before="204"/>
        <w:ind w:left="884" w:hanging="174"/>
        <w:jc w:val="left"/>
      </w:pPr>
      <w:r>
        <w:rPr>
          <w:spacing w:val="-2"/>
        </w:rPr>
        <w:t>Conclusão</w:t>
      </w:r>
    </w:p>
    <w:p w:rsidR="007259F2" w:rsidRDefault="00E655B4">
      <w:pPr>
        <w:pStyle w:val="Corpodetexto"/>
        <w:spacing w:before="156"/>
        <w:ind w:right="988"/>
      </w:pPr>
      <w:r>
        <w:t>Ante todo o exposto no presente artigo científico, conclui-se que em regra, na hipótese</w:t>
      </w:r>
      <w:r>
        <w:rPr>
          <w:spacing w:val="8"/>
        </w:rPr>
        <w:t xml:space="preserve"> </w:t>
      </w:r>
      <w:r>
        <w:t>de</w:t>
      </w:r>
      <w:r>
        <w:rPr>
          <w:spacing w:val="11"/>
        </w:rPr>
        <w:t xml:space="preserve"> </w:t>
      </w:r>
      <w:r>
        <w:t>arrematação</w:t>
      </w:r>
      <w:r>
        <w:rPr>
          <w:spacing w:val="13"/>
        </w:rPr>
        <w:t xml:space="preserve"> </w:t>
      </w:r>
      <w:r>
        <w:t>judicial</w:t>
      </w:r>
      <w:r>
        <w:rPr>
          <w:spacing w:val="10"/>
        </w:rPr>
        <w:t xml:space="preserve"> </w:t>
      </w:r>
      <w:r>
        <w:t>de</w:t>
      </w:r>
      <w:r>
        <w:rPr>
          <w:spacing w:val="9"/>
        </w:rPr>
        <w:t xml:space="preserve"> </w:t>
      </w:r>
      <w:r>
        <w:t>bem</w:t>
      </w:r>
      <w:r>
        <w:rPr>
          <w:spacing w:val="15"/>
        </w:rPr>
        <w:t xml:space="preserve"> </w:t>
      </w:r>
      <w:r>
        <w:t>imóvel</w:t>
      </w:r>
      <w:r>
        <w:rPr>
          <w:spacing w:val="11"/>
        </w:rPr>
        <w:t xml:space="preserve"> </w:t>
      </w:r>
      <w:r>
        <w:t>sub-rogam-se</w:t>
      </w:r>
      <w:r>
        <w:rPr>
          <w:spacing w:val="12"/>
        </w:rPr>
        <w:t xml:space="preserve"> </w:t>
      </w:r>
      <w:r>
        <w:t>os</w:t>
      </w:r>
      <w:r>
        <w:rPr>
          <w:spacing w:val="13"/>
        </w:rPr>
        <w:t xml:space="preserve"> </w:t>
      </w:r>
      <w:r>
        <w:t>créditos</w:t>
      </w:r>
      <w:r>
        <w:rPr>
          <w:spacing w:val="8"/>
        </w:rPr>
        <w:t xml:space="preserve"> </w:t>
      </w:r>
      <w:r>
        <w:t>tributários</w:t>
      </w:r>
      <w:r>
        <w:rPr>
          <w:spacing w:val="5"/>
        </w:rPr>
        <w:t xml:space="preserve"> </w:t>
      </w:r>
      <w:r>
        <w:rPr>
          <w:spacing w:val="-5"/>
        </w:rPr>
        <w:t>de</w:t>
      </w:r>
    </w:p>
    <w:p w:rsidR="007259F2" w:rsidRDefault="007259F2">
      <w:pPr>
        <w:pStyle w:val="Corpodetexto"/>
        <w:sectPr w:rsidR="007259F2">
          <w:pgSz w:w="11910" w:h="16840"/>
          <w:pgMar w:top="1320" w:right="708" w:bottom="1160" w:left="992" w:header="0" w:footer="962" w:gutter="0"/>
          <w:cols w:space="720"/>
        </w:sectPr>
      </w:pPr>
    </w:p>
    <w:p w:rsidR="007259F2" w:rsidRDefault="00E655B4">
      <w:pPr>
        <w:pStyle w:val="Corpodetexto"/>
        <w:spacing w:before="69"/>
        <w:ind w:right="990" w:firstLine="0"/>
      </w:pPr>
      <w:r>
        <w:lastRenderedPageBreak/>
        <w:t>IPTU</w:t>
      </w:r>
      <w:r>
        <w:rPr>
          <w:spacing w:val="-4"/>
        </w:rPr>
        <w:t xml:space="preserve"> </w:t>
      </w:r>
      <w:r>
        <w:t>no</w:t>
      </w:r>
      <w:r>
        <w:rPr>
          <w:spacing w:val="-1"/>
        </w:rPr>
        <w:t xml:space="preserve"> </w:t>
      </w:r>
      <w:r>
        <w:t>respectivo</w:t>
      </w:r>
      <w:r>
        <w:rPr>
          <w:spacing w:val="-5"/>
        </w:rPr>
        <w:t xml:space="preserve"> </w:t>
      </w:r>
      <w:r>
        <w:t>valor</w:t>
      </w:r>
      <w:r>
        <w:rPr>
          <w:spacing w:val="-1"/>
        </w:rPr>
        <w:t xml:space="preserve"> </w:t>
      </w:r>
      <w:r>
        <w:t>da</w:t>
      </w:r>
      <w:r>
        <w:rPr>
          <w:spacing w:val="-7"/>
        </w:rPr>
        <w:t xml:space="preserve"> </w:t>
      </w:r>
      <w:r>
        <w:t>aquisição,</w:t>
      </w:r>
      <w:r>
        <w:rPr>
          <w:spacing w:val="-5"/>
        </w:rPr>
        <w:t xml:space="preserve"> </w:t>
      </w:r>
      <w:r>
        <w:t>conforme art.</w:t>
      </w:r>
      <w:r>
        <w:rPr>
          <w:spacing w:val="-1"/>
        </w:rPr>
        <w:t xml:space="preserve"> </w:t>
      </w:r>
      <w:r>
        <w:t xml:space="preserve">130, parágrafo único do CTN, não se aplicando, desta forma, a responsabilidade tributária do adquirente prevista no </w:t>
      </w:r>
      <w:r>
        <w:rPr>
          <w:i/>
        </w:rPr>
        <w:t xml:space="preserve">caput </w:t>
      </w:r>
      <w:r>
        <w:t>do mencionado dispositivo legal.</w:t>
      </w:r>
    </w:p>
    <w:p w:rsidR="007259F2" w:rsidRDefault="00E655B4">
      <w:pPr>
        <w:pStyle w:val="Corpodetexto"/>
        <w:spacing w:before="1"/>
        <w:ind w:right="986"/>
      </w:pPr>
      <w:r>
        <w:t>De forma excepcional, na hipótese em que há expressa previsão editalícia informando a existência de</w:t>
      </w:r>
      <w:r>
        <w:rPr>
          <w:spacing w:val="-1"/>
        </w:rPr>
        <w:t xml:space="preserve"> </w:t>
      </w:r>
      <w:r>
        <w:t>débitos de IPTU pendentes sobre o</w:t>
      </w:r>
      <w:r>
        <w:rPr>
          <w:spacing w:val="-2"/>
        </w:rPr>
        <w:t xml:space="preserve"> </w:t>
      </w:r>
      <w:r>
        <w:t>imóvel e eventualmente, atribuindo</w:t>
      </w:r>
      <w:r>
        <w:rPr>
          <w:spacing w:val="-2"/>
        </w:rPr>
        <w:t xml:space="preserve"> </w:t>
      </w:r>
      <w:r>
        <w:t>a</w:t>
      </w:r>
      <w:r>
        <w:rPr>
          <w:spacing w:val="-3"/>
        </w:rPr>
        <w:t xml:space="preserve"> </w:t>
      </w:r>
      <w:r>
        <w:t>responsabilidade</w:t>
      </w:r>
      <w:r>
        <w:rPr>
          <w:spacing w:val="-3"/>
        </w:rPr>
        <w:t xml:space="preserve"> </w:t>
      </w:r>
      <w:r>
        <w:t>ao</w:t>
      </w:r>
      <w:r>
        <w:rPr>
          <w:spacing w:val="-2"/>
        </w:rPr>
        <w:t xml:space="preserve"> </w:t>
      </w:r>
      <w:r>
        <w:t>adquirente/arrematante</w:t>
      </w:r>
      <w:r>
        <w:rPr>
          <w:spacing w:val="-3"/>
        </w:rPr>
        <w:t xml:space="preserve"> </w:t>
      </w:r>
      <w:r>
        <w:t>sobre</w:t>
      </w:r>
      <w:r>
        <w:rPr>
          <w:spacing w:val="-4"/>
        </w:rPr>
        <w:t xml:space="preserve"> </w:t>
      </w:r>
      <w:r>
        <w:t>tais</w:t>
      </w:r>
      <w:r>
        <w:rPr>
          <w:spacing w:val="-2"/>
        </w:rPr>
        <w:t xml:space="preserve"> </w:t>
      </w:r>
      <w:r>
        <w:t>débitos,</w:t>
      </w:r>
      <w:r>
        <w:rPr>
          <w:spacing w:val="-5"/>
        </w:rPr>
        <w:t xml:space="preserve"> </w:t>
      </w:r>
      <w:r>
        <w:t>há,</w:t>
      </w:r>
      <w:r>
        <w:rPr>
          <w:spacing w:val="-6"/>
        </w:rPr>
        <w:t xml:space="preserve"> </w:t>
      </w:r>
      <w:r>
        <w:t>conforme entendimento do Superior Tribunal de Justiça, dupla possibilidade para a satisfação dos créditos da Fazenda Pública Municipal, já que, a princípio será requerida a reserva do produto da arrematação</w:t>
      </w:r>
      <w:r>
        <w:rPr>
          <w:spacing w:val="40"/>
        </w:rPr>
        <w:t xml:space="preserve"> </w:t>
      </w:r>
      <w:r>
        <w:t>para</w:t>
      </w:r>
      <w:r>
        <w:rPr>
          <w:spacing w:val="40"/>
        </w:rPr>
        <w:t xml:space="preserve"> </w:t>
      </w:r>
      <w:r>
        <w:t>a</w:t>
      </w:r>
      <w:r>
        <w:rPr>
          <w:spacing w:val="40"/>
        </w:rPr>
        <w:t xml:space="preserve"> </w:t>
      </w:r>
      <w:r>
        <w:t>satisfação</w:t>
      </w:r>
      <w:r>
        <w:rPr>
          <w:spacing w:val="40"/>
        </w:rPr>
        <w:t xml:space="preserve"> </w:t>
      </w:r>
      <w:r>
        <w:t>e</w:t>
      </w:r>
      <w:r>
        <w:rPr>
          <w:spacing w:val="40"/>
        </w:rPr>
        <w:t xml:space="preserve"> </w:t>
      </w:r>
      <w:r>
        <w:t>quitação</w:t>
      </w:r>
      <w:r>
        <w:rPr>
          <w:spacing w:val="40"/>
        </w:rPr>
        <w:t xml:space="preserve"> </w:t>
      </w:r>
      <w:r>
        <w:t>do</w:t>
      </w:r>
      <w:r>
        <w:rPr>
          <w:spacing w:val="40"/>
        </w:rPr>
        <w:t xml:space="preserve"> </w:t>
      </w:r>
      <w:r>
        <w:t>débito</w:t>
      </w:r>
      <w:r>
        <w:rPr>
          <w:spacing w:val="40"/>
        </w:rPr>
        <w:t xml:space="preserve"> </w:t>
      </w:r>
      <w:r>
        <w:t>de</w:t>
      </w:r>
      <w:r>
        <w:rPr>
          <w:spacing w:val="40"/>
        </w:rPr>
        <w:t xml:space="preserve"> </w:t>
      </w:r>
      <w:r>
        <w:t>IPTU</w:t>
      </w:r>
      <w:r>
        <w:rPr>
          <w:spacing w:val="40"/>
        </w:rPr>
        <w:t xml:space="preserve"> </w:t>
      </w:r>
      <w:r>
        <w:t>ou</w:t>
      </w:r>
      <w:r>
        <w:rPr>
          <w:spacing w:val="40"/>
        </w:rPr>
        <w:t xml:space="preserve"> </w:t>
      </w:r>
      <w:r>
        <w:t>na</w:t>
      </w:r>
      <w:r>
        <w:rPr>
          <w:spacing w:val="40"/>
        </w:rPr>
        <w:t xml:space="preserve"> </w:t>
      </w:r>
      <w:r>
        <w:t>falta de valores que cubra o montante do débito apurado, ocorrerá a atribuição de responsabilidade tributária ao arrematante/adquirente.</w:t>
      </w:r>
    </w:p>
    <w:p w:rsidR="007259F2" w:rsidRDefault="00E655B4">
      <w:pPr>
        <w:pStyle w:val="Corpodetexto"/>
        <w:ind w:right="993"/>
      </w:pPr>
      <w:r>
        <w:t>Ademais, de acordo com a jurisprudência do Superior Tribunal de Justiça, em relação aos débitos de IPTU pendentes sobre os imóveis</w:t>
      </w:r>
      <w:r>
        <w:rPr>
          <w:spacing w:val="-1"/>
        </w:rPr>
        <w:t xml:space="preserve"> </w:t>
      </w:r>
      <w:r>
        <w:t>lançados antes da arrematação, no caso de não existir expressa menção dos débitos tributários no edital da hasta</w:t>
      </w:r>
      <w:r>
        <w:rPr>
          <w:spacing w:val="40"/>
        </w:rPr>
        <w:t xml:space="preserve"> </w:t>
      </w:r>
      <w:r>
        <w:t>pública,</w:t>
      </w:r>
      <w:r>
        <w:rPr>
          <w:spacing w:val="40"/>
        </w:rPr>
        <w:t xml:space="preserve"> </w:t>
      </w:r>
      <w:r>
        <w:t>o Município deve fornecer a respectiva Certidão Negativa de Débitos (CND)</w:t>
      </w:r>
      <w:r>
        <w:rPr>
          <w:spacing w:val="40"/>
        </w:rPr>
        <w:t xml:space="preserve"> </w:t>
      </w:r>
      <w:r>
        <w:t>ao arrematante.</w:t>
      </w:r>
    </w:p>
    <w:p w:rsidR="007259F2" w:rsidRDefault="00E655B4">
      <w:pPr>
        <w:pStyle w:val="Corpodetexto"/>
        <w:spacing w:before="1"/>
        <w:ind w:right="989"/>
      </w:pPr>
      <w:r>
        <w:t>Por fim, ressalta-se a relevância em se assegurar a segurança jurídica no momento da arrematação judicial, dada a importância de se estabelecer parâmetros e regras especificas, como fez o Superior Tribunal de Justiça, pacificando a matéria, proporcionando um estímulo e um crescimento no mercado de leilões, o qual desempenha um papel importante dentro do poder judiciário.</w:t>
      </w:r>
    </w:p>
    <w:p w:rsidR="007259F2" w:rsidRDefault="00E655B4">
      <w:pPr>
        <w:pStyle w:val="Heading1"/>
        <w:spacing w:before="206"/>
      </w:pPr>
      <w:r>
        <w:rPr>
          <w:spacing w:val="-2"/>
        </w:rPr>
        <w:t>REFERÊNCIAS</w:t>
      </w:r>
    </w:p>
    <w:p w:rsidR="007259F2" w:rsidRDefault="00E655B4">
      <w:pPr>
        <w:spacing w:before="238"/>
        <w:ind w:left="710" w:right="990"/>
        <w:rPr>
          <w:sz w:val="24"/>
        </w:rPr>
      </w:pPr>
      <w:r>
        <w:rPr>
          <w:sz w:val="24"/>
        </w:rPr>
        <w:t>BRASIL.</w:t>
      </w:r>
      <w:r>
        <w:rPr>
          <w:spacing w:val="40"/>
          <w:sz w:val="24"/>
        </w:rPr>
        <w:t xml:space="preserve"> </w:t>
      </w:r>
      <w:r>
        <w:rPr>
          <w:sz w:val="24"/>
        </w:rPr>
        <w:t>Constituição</w:t>
      </w:r>
      <w:r>
        <w:rPr>
          <w:spacing w:val="40"/>
          <w:sz w:val="24"/>
        </w:rPr>
        <w:t xml:space="preserve"> </w:t>
      </w:r>
      <w:r>
        <w:rPr>
          <w:sz w:val="24"/>
        </w:rPr>
        <w:t>(1988).</w:t>
      </w:r>
      <w:r>
        <w:rPr>
          <w:spacing w:val="40"/>
          <w:sz w:val="24"/>
        </w:rPr>
        <w:t xml:space="preserve"> </w:t>
      </w:r>
      <w:r>
        <w:rPr>
          <w:b/>
          <w:sz w:val="24"/>
        </w:rPr>
        <w:t>Constituição</w:t>
      </w:r>
      <w:r>
        <w:rPr>
          <w:b/>
          <w:spacing w:val="40"/>
          <w:sz w:val="24"/>
        </w:rPr>
        <w:t xml:space="preserve"> </w:t>
      </w:r>
      <w:r>
        <w:rPr>
          <w:b/>
          <w:sz w:val="24"/>
        </w:rPr>
        <w:t>da</w:t>
      </w:r>
      <w:r>
        <w:rPr>
          <w:b/>
          <w:spacing w:val="40"/>
          <w:sz w:val="24"/>
        </w:rPr>
        <w:t xml:space="preserve"> </w:t>
      </w:r>
      <w:r>
        <w:rPr>
          <w:b/>
          <w:sz w:val="24"/>
        </w:rPr>
        <w:t>República</w:t>
      </w:r>
      <w:r>
        <w:rPr>
          <w:b/>
          <w:spacing w:val="40"/>
          <w:sz w:val="24"/>
        </w:rPr>
        <w:t xml:space="preserve"> </w:t>
      </w:r>
      <w:r>
        <w:rPr>
          <w:b/>
          <w:sz w:val="24"/>
        </w:rPr>
        <w:t>Federativa</w:t>
      </w:r>
      <w:r>
        <w:rPr>
          <w:b/>
          <w:spacing w:val="40"/>
          <w:sz w:val="24"/>
        </w:rPr>
        <w:t xml:space="preserve"> </w:t>
      </w:r>
      <w:r>
        <w:rPr>
          <w:b/>
          <w:sz w:val="24"/>
        </w:rPr>
        <w:t>do</w:t>
      </w:r>
      <w:r>
        <w:rPr>
          <w:b/>
          <w:spacing w:val="40"/>
          <w:sz w:val="24"/>
        </w:rPr>
        <w:t xml:space="preserve"> </w:t>
      </w:r>
      <w:r>
        <w:rPr>
          <w:b/>
          <w:sz w:val="24"/>
        </w:rPr>
        <w:t>Brasil</w:t>
      </w:r>
      <w:r>
        <w:rPr>
          <w:sz w:val="24"/>
        </w:rPr>
        <w:t>.</w:t>
      </w:r>
      <w:r>
        <w:rPr>
          <w:spacing w:val="40"/>
          <w:sz w:val="24"/>
        </w:rPr>
        <w:t xml:space="preserve"> </w:t>
      </w:r>
      <w:r>
        <w:rPr>
          <w:sz w:val="24"/>
        </w:rPr>
        <w:t>Brasília: Senado, 1988.</w:t>
      </w:r>
    </w:p>
    <w:p w:rsidR="007259F2" w:rsidRDefault="00E655B4">
      <w:pPr>
        <w:spacing w:before="118"/>
        <w:ind w:left="710" w:right="990"/>
        <w:rPr>
          <w:sz w:val="24"/>
        </w:rPr>
      </w:pPr>
      <w:r>
        <w:rPr>
          <w:sz w:val="24"/>
        </w:rPr>
        <w:t>BRASIL.</w:t>
      </w:r>
      <w:r>
        <w:rPr>
          <w:spacing w:val="40"/>
          <w:sz w:val="24"/>
        </w:rPr>
        <w:t xml:space="preserve"> </w:t>
      </w:r>
      <w:r>
        <w:rPr>
          <w:sz w:val="24"/>
        </w:rPr>
        <w:t>Lei</w:t>
      </w:r>
      <w:r>
        <w:rPr>
          <w:spacing w:val="40"/>
          <w:sz w:val="24"/>
        </w:rPr>
        <w:t xml:space="preserve"> </w:t>
      </w:r>
      <w:r>
        <w:rPr>
          <w:sz w:val="24"/>
        </w:rPr>
        <w:t>n.</w:t>
      </w:r>
      <w:r>
        <w:rPr>
          <w:spacing w:val="40"/>
          <w:sz w:val="24"/>
        </w:rPr>
        <w:t xml:space="preserve"> </w:t>
      </w:r>
      <w:r>
        <w:rPr>
          <w:sz w:val="24"/>
        </w:rPr>
        <w:t>5.172,</w:t>
      </w:r>
      <w:r>
        <w:rPr>
          <w:spacing w:val="40"/>
          <w:sz w:val="24"/>
        </w:rPr>
        <w:t xml:space="preserve"> </w:t>
      </w:r>
      <w:r>
        <w:rPr>
          <w:sz w:val="24"/>
        </w:rPr>
        <w:t>de</w:t>
      </w:r>
      <w:r>
        <w:rPr>
          <w:spacing w:val="40"/>
          <w:sz w:val="24"/>
        </w:rPr>
        <w:t xml:space="preserve"> </w:t>
      </w:r>
      <w:r>
        <w:rPr>
          <w:sz w:val="24"/>
        </w:rPr>
        <w:t>25</w:t>
      </w:r>
      <w:r>
        <w:rPr>
          <w:spacing w:val="40"/>
          <w:sz w:val="24"/>
        </w:rPr>
        <w:t xml:space="preserve"> </w:t>
      </w:r>
      <w:r>
        <w:rPr>
          <w:sz w:val="24"/>
        </w:rPr>
        <w:t>de</w:t>
      </w:r>
      <w:r>
        <w:rPr>
          <w:spacing w:val="40"/>
          <w:sz w:val="24"/>
        </w:rPr>
        <w:t xml:space="preserve"> </w:t>
      </w:r>
      <w:r>
        <w:rPr>
          <w:sz w:val="24"/>
        </w:rPr>
        <w:t>Outubro</w:t>
      </w:r>
      <w:r>
        <w:rPr>
          <w:spacing w:val="40"/>
          <w:sz w:val="24"/>
        </w:rPr>
        <w:t xml:space="preserve"> </w:t>
      </w:r>
      <w:r>
        <w:rPr>
          <w:sz w:val="24"/>
        </w:rPr>
        <w:t>de</w:t>
      </w:r>
      <w:r>
        <w:rPr>
          <w:spacing w:val="40"/>
          <w:sz w:val="24"/>
        </w:rPr>
        <w:t xml:space="preserve"> </w:t>
      </w:r>
      <w:r>
        <w:rPr>
          <w:sz w:val="24"/>
        </w:rPr>
        <w:t>1966.</w:t>
      </w:r>
      <w:r>
        <w:rPr>
          <w:spacing w:val="23"/>
          <w:sz w:val="24"/>
        </w:rPr>
        <w:t xml:space="preserve"> </w:t>
      </w:r>
      <w:r>
        <w:rPr>
          <w:b/>
          <w:sz w:val="24"/>
        </w:rPr>
        <w:t>Código</w:t>
      </w:r>
      <w:r>
        <w:rPr>
          <w:b/>
          <w:spacing w:val="40"/>
          <w:sz w:val="24"/>
        </w:rPr>
        <w:t xml:space="preserve"> </w:t>
      </w:r>
      <w:r>
        <w:rPr>
          <w:b/>
          <w:sz w:val="24"/>
        </w:rPr>
        <w:t>Tributário</w:t>
      </w:r>
      <w:r>
        <w:rPr>
          <w:b/>
          <w:spacing w:val="25"/>
          <w:sz w:val="24"/>
        </w:rPr>
        <w:t xml:space="preserve"> </w:t>
      </w:r>
      <w:r>
        <w:rPr>
          <w:b/>
          <w:sz w:val="24"/>
        </w:rPr>
        <w:t>Nacional</w:t>
      </w:r>
      <w:r>
        <w:rPr>
          <w:sz w:val="24"/>
        </w:rPr>
        <w:t>.</w:t>
      </w:r>
      <w:r>
        <w:rPr>
          <w:spacing w:val="80"/>
          <w:sz w:val="24"/>
        </w:rPr>
        <w:t xml:space="preserve"> </w:t>
      </w:r>
      <w:r>
        <w:rPr>
          <w:sz w:val="24"/>
        </w:rPr>
        <w:t>Brasília: Senado, 1988.</w:t>
      </w:r>
    </w:p>
    <w:p w:rsidR="007259F2" w:rsidRDefault="00E655B4">
      <w:pPr>
        <w:spacing w:before="120"/>
        <w:ind w:left="710" w:right="990"/>
        <w:rPr>
          <w:sz w:val="24"/>
        </w:rPr>
      </w:pPr>
      <w:r>
        <w:rPr>
          <w:sz w:val="24"/>
        </w:rPr>
        <w:t>BRASIL.</w:t>
      </w:r>
      <w:r>
        <w:rPr>
          <w:spacing w:val="80"/>
          <w:sz w:val="24"/>
        </w:rPr>
        <w:t xml:space="preserve"> </w:t>
      </w:r>
      <w:r>
        <w:rPr>
          <w:sz w:val="24"/>
        </w:rPr>
        <w:t xml:space="preserve">Lei n. 13.105, de 16 de Março de 2015. </w:t>
      </w:r>
      <w:r>
        <w:rPr>
          <w:b/>
          <w:sz w:val="24"/>
        </w:rPr>
        <w:t>Código de Processo</w:t>
      </w:r>
      <w:r>
        <w:rPr>
          <w:b/>
          <w:spacing w:val="40"/>
          <w:sz w:val="24"/>
        </w:rPr>
        <w:t xml:space="preserve"> </w:t>
      </w:r>
      <w:r>
        <w:rPr>
          <w:b/>
          <w:sz w:val="24"/>
        </w:rPr>
        <w:t>Civil</w:t>
      </w:r>
      <w:r>
        <w:rPr>
          <w:sz w:val="24"/>
        </w:rPr>
        <w:t>. Brasília: Senado, 1988.</w:t>
      </w:r>
    </w:p>
    <w:p w:rsidR="007259F2" w:rsidRDefault="00E655B4">
      <w:pPr>
        <w:pStyle w:val="Corpodetexto"/>
        <w:tabs>
          <w:tab w:val="left" w:pos="1417"/>
          <w:tab w:val="left" w:pos="2476"/>
          <w:tab w:val="left" w:pos="3693"/>
          <w:tab w:val="left" w:pos="4381"/>
          <w:tab w:val="left" w:pos="5060"/>
          <w:tab w:val="left" w:pos="5710"/>
          <w:tab w:val="left" w:pos="6437"/>
          <w:tab w:val="left" w:pos="7392"/>
          <w:tab w:val="left" w:pos="8856"/>
        </w:tabs>
        <w:spacing w:before="120"/>
        <w:ind w:right="989" w:firstLine="0"/>
        <w:jc w:val="left"/>
      </w:pPr>
      <w:r>
        <w:t>HIGÍDIO, José. Arrematante de imóvel em leilão não precisa pagar dívidas de</w:t>
      </w:r>
      <w:r>
        <w:rPr>
          <w:spacing w:val="28"/>
        </w:rPr>
        <w:t xml:space="preserve"> </w:t>
      </w:r>
      <w:r>
        <w:t>IPTU,</w:t>
      </w:r>
      <w:r>
        <w:rPr>
          <w:spacing w:val="80"/>
        </w:rPr>
        <w:t xml:space="preserve"> </w:t>
      </w:r>
      <w:r>
        <w:rPr>
          <w:spacing w:val="-4"/>
        </w:rPr>
        <w:t>diz</w:t>
      </w:r>
      <w:r>
        <w:tab/>
      </w:r>
      <w:r>
        <w:rPr>
          <w:spacing w:val="-2"/>
        </w:rPr>
        <w:t>TJ-SP.</w:t>
      </w:r>
      <w:r>
        <w:tab/>
      </w:r>
      <w:r>
        <w:rPr>
          <w:b/>
          <w:spacing w:val="-2"/>
        </w:rPr>
        <w:t>Conjur</w:t>
      </w:r>
      <w:r>
        <w:rPr>
          <w:spacing w:val="-2"/>
        </w:rPr>
        <w:t>,</w:t>
      </w:r>
      <w:r>
        <w:tab/>
      </w:r>
      <w:r>
        <w:rPr>
          <w:spacing w:val="-4"/>
        </w:rPr>
        <w:t>[S.</w:t>
      </w:r>
      <w:r>
        <w:tab/>
      </w:r>
      <w:r>
        <w:rPr>
          <w:spacing w:val="-4"/>
        </w:rPr>
        <w:t>l.],</w:t>
      </w:r>
      <w:r>
        <w:tab/>
      </w:r>
      <w:r>
        <w:rPr>
          <w:spacing w:val="-6"/>
        </w:rPr>
        <w:t>22</w:t>
      </w:r>
      <w:r>
        <w:tab/>
      </w:r>
      <w:r>
        <w:rPr>
          <w:spacing w:val="-4"/>
        </w:rPr>
        <w:t>jul.</w:t>
      </w:r>
      <w:r>
        <w:tab/>
      </w:r>
      <w:r>
        <w:rPr>
          <w:spacing w:val="-2"/>
        </w:rPr>
        <w:t>2021.</w:t>
      </w:r>
      <w:r>
        <w:tab/>
      </w:r>
      <w:r>
        <w:rPr>
          <w:spacing w:val="-2"/>
        </w:rPr>
        <w:t>Disponível</w:t>
      </w:r>
      <w:r>
        <w:tab/>
      </w:r>
      <w:r>
        <w:rPr>
          <w:spacing w:val="-4"/>
        </w:rPr>
        <w:t xml:space="preserve">em: </w:t>
      </w:r>
      <w:hyperlink r:id="rId93">
        <w:r>
          <w:rPr>
            <w:color w:val="0000FF"/>
            <w:spacing w:val="-2"/>
            <w:u w:val="single" w:color="0000FF"/>
          </w:rPr>
          <w:t>https://www.conjur.com.br/2021-</w:t>
        </w:r>
      </w:hyperlink>
      <w:hyperlink r:id="rId94">
        <w:r>
          <w:rPr>
            <w:color w:val="0000FF"/>
            <w:spacing w:val="-2"/>
            <w:u w:val="single" w:color="0000FF"/>
          </w:rPr>
          <w:t>jul-22/arrematante-imovel-leilao-nao-pagar-dividas-</w:t>
        </w:r>
      </w:hyperlink>
      <w:r>
        <w:rPr>
          <w:color w:val="0000FF"/>
          <w:spacing w:val="-2"/>
        </w:rPr>
        <w:t xml:space="preserve"> </w:t>
      </w:r>
      <w:hyperlink r:id="rId95">
        <w:r>
          <w:rPr>
            <w:color w:val="0000FF"/>
            <w:spacing w:val="-2"/>
            <w:u w:val="single" w:color="0000FF"/>
          </w:rPr>
          <w:t>iptu/</w:t>
        </w:r>
      </w:hyperlink>
    </w:p>
    <w:p w:rsidR="007259F2" w:rsidRDefault="007259F2">
      <w:pPr>
        <w:pStyle w:val="Corpodetexto"/>
        <w:jc w:val="left"/>
        <w:sectPr w:rsidR="007259F2">
          <w:pgSz w:w="11910" w:h="16840"/>
          <w:pgMar w:top="1320" w:right="708" w:bottom="1160" w:left="992" w:header="0" w:footer="962" w:gutter="0"/>
          <w:cols w:space="720"/>
        </w:sectPr>
      </w:pPr>
    </w:p>
    <w:p w:rsidR="007259F2" w:rsidRDefault="00E655B4">
      <w:pPr>
        <w:pStyle w:val="Heading2"/>
        <w:spacing w:before="74"/>
        <w:ind w:right="989"/>
      </w:pPr>
      <w:bookmarkStart w:id="9" w:name="_bookmark9"/>
      <w:bookmarkEnd w:id="9"/>
      <w:r>
        <w:lastRenderedPageBreak/>
        <w:t xml:space="preserve">A Tributação da distribuição de lucros e dividendos no Ordenamento Jurídico </w:t>
      </w:r>
      <w:r>
        <w:rPr>
          <w:spacing w:val="-2"/>
        </w:rPr>
        <w:t>Brasileiro</w:t>
      </w:r>
    </w:p>
    <w:p w:rsidR="007259F2" w:rsidRDefault="007259F2">
      <w:pPr>
        <w:pStyle w:val="Corpodetexto"/>
        <w:spacing w:before="3"/>
        <w:ind w:left="0" w:firstLine="0"/>
        <w:jc w:val="left"/>
        <w:rPr>
          <w:b/>
        </w:rPr>
      </w:pPr>
    </w:p>
    <w:p w:rsidR="007259F2" w:rsidRDefault="00E655B4">
      <w:pPr>
        <w:ind w:left="710"/>
        <w:jc w:val="both"/>
        <w:rPr>
          <w:b/>
          <w:sz w:val="24"/>
        </w:rPr>
      </w:pPr>
      <w:r>
        <w:rPr>
          <w:b/>
          <w:sz w:val="24"/>
        </w:rPr>
        <w:t>Felipe</w:t>
      </w:r>
      <w:r>
        <w:rPr>
          <w:b/>
          <w:spacing w:val="-9"/>
          <w:sz w:val="24"/>
        </w:rPr>
        <w:t xml:space="preserve"> </w:t>
      </w:r>
      <w:r>
        <w:rPr>
          <w:b/>
          <w:sz w:val="24"/>
        </w:rPr>
        <w:t>Monteiro</w:t>
      </w:r>
      <w:r>
        <w:rPr>
          <w:b/>
          <w:spacing w:val="-7"/>
          <w:sz w:val="24"/>
        </w:rPr>
        <w:t xml:space="preserve"> </w:t>
      </w:r>
      <w:r>
        <w:rPr>
          <w:b/>
          <w:sz w:val="24"/>
        </w:rPr>
        <w:t>dos</w:t>
      </w:r>
      <w:r>
        <w:rPr>
          <w:b/>
          <w:spacing w:val="-9"/>
          <w:sz w:val="24"/>
        </w:rPr>
        <w:t xml:space="preserve"> </w:t>
      </w:r>
      <w:r>
        <w:rPr>
          <w:b/>
          <w:spacing w:val="-2"/>
          <w:sz w:val="24"/>
        </w:rPr>
        <w:t>Santos</w:t>
      </w:r>
      <w:r>
        <w:rPr>
          <w:b/>
          <w:spacing w:val="-2"/>
          <w:sz w:val="24"/>
          <w:vertAlign w:val="superscript"/>
        </w:rPr>
        <w:t>1</w:t>
      </w:r>
    </w:p>
    <w:p w:rsidR="007259F2" w:rsidRDefault="007259F2">
      <w:pPr>
        <w:pStyle w:val="Corpodetexto"/>
        <w:ind w:left="0" w:firstLine="0"/>
        <w:jc w:val="left"/>
        <w:rPr>
          <w:b/>
        </w:rPr>
      </w:pPr>
    </w:p>
    <w:p w:rsidR="007259F2" w:rsidRDefault="007259F2">
      <w:pPr>
        <w:pStyle w:val="Corpodetexto"/>
        <w:spacing w:before="228"/>
        <w:ind w:left="0" w:firstLine="0"/>
        <w:jc w:val="left"/>
        <w:rPr>
          <w:b/>
        </w:rPr>
      </w:pPr>
    </w:p>
    <w:p w:rsidR="007259F2" w:rsidRDefault="00E655B4">
      <w:pPr>
        <w:ind w:left="710"/>
        <w:rPr>
          <w:b/>
          <w:sz w:val="24"/>
        </w:rPr>
      </w:pPr>
      <w:r>
        <w:rPr>
          <w:b/>
          <w:color w:val="090909"/>
          <w:spacing w:val="-2"/>
          <w:w w:val="105"/>
          <w:sz w:val="24"/>
        </w:rPr>
        <w:t>RESUMO</w:t>
      </w:r>
    </w:p>
    <w:p w:rsidR="007259F2" w:rsidRDefault="00E655B4">
      <w:pPr>
        <w:pStyle w:val="Corpodetexto"/>
        <w:spacing w:before="154"/>
        <w:ind w:right="986" w:firstLine="0"/>
      </w:pPr>
      <w:r>
        <w:t>O</w:t>
      </w:r>
      <w:r>
        <w:rPr>
          <w:spacing w:val="40"/>
        </w:rPr>
        <w:t xml:space="preserve"> </w:t>
      </w:r>
      <w:r>
        <w:t>artigo 10 da Lei n° 9.249/1995 concede isenção do imposto de renda incidente sobre</w:t>
      </w:r>
      <w:r>
        <w:rPr>
          <w:spacing w:val="40"/>
        </w:rPr>
        <w:t xml:space="preserve"> </w:t>
      </w:r>
      <w:r>
        <w:t>a distribuição de lucros e dividendos aos sócios e acionistas das pessoas jurídicas. A discussão sabre a tributação (ou não) desse tipo de rendimento é um assunto de muita importância na atualidade, tendo em vista a carga tributaria suportada pelos contribuintes, de um lado, a regressividade da matriz brasileira na atualidade, que contribui para o aumento da desigualdade social, do outro. No presente trabalho, pretendemos questionar a</w:t>
      </w:r>
      <w:r>
        <w:rPr>
          <w:spacing w:val="-1"/>
        </w:rPr>
        <w:t xml:space="preserve"> </w:t>
      </w:r>
      <w:r>
        <w:t>justiça fiscal da</w:t>
      </w:r>
      <w:r>
        <w:rPr>
          <w:spacing w:val="-1"/>
        </w:rPr>
        <w:t xml:space="preserve"> </w:t>
      </w:r>
      <w:r>
        <w:t xml:space="preserve">concessão desse beneficio tributário. Faremos isso a partir da análise da compatibilidade da isenção a distribuição de lucros e dividendos com os princípios tributários que orientam a instituição do imposto sobre a renda, levando também em consideração as funções que a tributação desempenha na sociedade, principalmente do ponto de vista extrafiscal, Veremos, ainda, o impacto de uma eventual tributação dos lucros e dividendos distribuídos no contexto da matriz tributária brasileira. Dessa forma, o presente texto terá como escopo uma análise detalhada do emprego dessa tributação no Brasil (um dos únicos países do mundo que isentam lucros e dividendos do imposto de renda), desde as definições de lucro e dividendo, transitando pelo instituto do Imposto de Renda e analisando os benefícios e malefícios que tal cobrança geraria, levando em consideração as funções determinadas da tributação, os princípios que regem a mesma, e os impactos sociais derivados de sua </w:t>
      </w:r>
      <w:r>
        <w:rPr>
          <w:spacing w:val="-2"/>
        </w:rPr>
        <w:t>utilização.</w:t>
      </w:r>
    </w:p>
    <w:p w:rsidR="007259F2" w:rsidRDefault="00E655B4">
      <w:pPr>
        <w:pStyle w:val="Corpodetexto"/>
        <w:spacing w:before="121"/>
        <w:ind w:right="994" w:firstLine="0"/>
      </w:pPr>
      <w:r>
        <w:rPr>
          <w:b/>
        </w:rPr>
        <w:t xml:space="preserve">Palavras-chave: </w:t>
      </w:r>
      <w:r>
        <w:t>tributação; matriz tributária; justiça fiscal; função extrafiscal; imposto de renda; isonomia tributária; capacidade contributiva; isenção; lucros e dividendos.</w:t>
      </w:r>
    </w:p>
    <w:p w:rsidR="007259F2" w:rsidRDefault="007259F2">
      <w:pPr>
        <w:pStyle w:val="Corpodetexto"/>
        <w:ind w:left="0" w:firstLine="0"/>
        <w:jc w:val="left"/>
      </w:pPr>
    </w:p>
    <w:p w:rsidR="007259F2" w:rsidRDefault="007259F2">
      <w:pPr>
        <w:pStyle w:val="Corpodetexto"/>
        <w:spacing w:before="2"/>
        <w:ind w:left="0" w:firstLine="0"/>
        <w:jc w:val="left"/>
      </w:pPr>
    </w:p>
    <w:p w:rsidR="007259F2" w:rsidRDefault="00E655B4">
      <w:pPr>
        <w:pStyle w:val="Heading2"/>
        <w:numPr>
          <w:ilvl w:val="0"/>
          <w:numId w:val="35"/>
        </w:numPr>
        <w:tabs>
          <w:tab w:val="left" w:pos="884"/>
        </w:tabs>
        <w:spacing w:before="1"/>
        <w:ind w:left="884" w:hanging="174"/>
      </w:pPr>
      <w:r>
        <w:rPr>
          <w:spacing w:val="-2"/>
        </w:rPr>
        <w:t>Introdução</w:t>
      </w:r>
    </w:p>
    <w:p w:rsidR="007259F2" w:rsidRDefault="00E655B4">
      <w:pPr>
        <w:pStyle w:val="Corpodetexto"/>
        <w:spacing w:before="235"/>
        <w:ind w:right="991"/>
      </w:pPr>
      <w:r>
        <w:t>Não há dúvidas de que o Estado precisa cobrar tributos de seus cidadãos com vistas ao financiamento de suas atividades. Observa-se, porém, que a tributação no Brasil contribui</w:t>
      </w:r>
      <w:r>
        <w:rPr>
          <w:spacing w:val="40"/>
        </w:rPr>
        <w:t xml:space="preserve"> </w:t>
      </w:r>
      <w:r>
        <w:t>para o aumento da desigualdade, uma vez que a carga tributaria</w:t>
      </w:r>
      <w:r>
        <w:rPr>
          <w:spacing w:val="40"/>
        </w:rPr>
        <w:t xml:space="preserve"> </w:t>
      </w:r>
      <w:r>
        <w:t>imposta aos mais pobres é proporcionalmente maior do que a imposta aos mais ricos, resultado de uma matriz tributaria regressiva.</w:t>
      </w:r>
    </w:p>
    <w:p w:rsidR="007259F2" w:rsidRDefault="00E655B4">
      <w:pPr>
        <w:pStyle w:val="Corpodetexto"/>
        <w:ind w:right="992"/>
      </w:pPr>
      <w:r>
        <w:t>Passados vinte e sete anos após a concessão do benefício, um dos assuntos que mais movimenta o Setor Tributário desde o ano passado é a possível aprovação da Reforma Tributária do Imposto de Renda, através dos diversos projetos de lei em tramitação sobre o tema.</w:t>
      </w:r>
    </w:p>
    <w:p w:rsidR="007259F2" w:rsidRDefault="00E655B4">
      <w:pPr>
        <w:pStyle w:val="Corpodetexto"/>
        <w:spacing w:before="1"/>
        <w:ind w:right="987"/>
      </w:pPr>
      <w:r>
        <w:t>Por exemplo, havia expectativa de que o Projeto de Lei nº 2.337/2021 fosse aprovado no ano passado, de forma que as modificações vigorassem já no início do ano de 2022. Porém, até o presente momento, o PL</w:t>
      </w:r>
      <w:r>
        <w:rPr>
          <w:spacing w:val="-2"/>
        </w:rPr>
        <w:t xml:space="preserve"> </w:t>
      </w:r>
      <w:r>
        <w:t>ainda não passou pelo crivo do Senado Federal. Caso aprovado, será remetido à Presidência da República para sanção ou veto.</w:t>
      </w:r>
    </w:p>
    <w:p w:rsidR="007259F2" w:rsidRDefault="007259F2">
      <w:pPr>
        <w:pStyle w:val="Corpodetexto"/>
        <w:ind w:left="0" w:firstLine="0"/>
        <w:jc w:val="left"/>
        <w:rPr>
          <w:sz w:val="20"/>
        </w:rPr>
      </w:pPr>
    </w:p>
    <w:p w:rsidR="007259F2" w:rsidRDefault="00DE6B1C">
      <w:pPr>
        <w:pStyle w:val="Corpodetexto"/>
        <w:spacing w:before="62"/>
        <w:ind w:left="0" w:firstLine="0"/>
        <w:jc w:val="left"/>
        <w:rPr>
          <w:sz w:val="20"/>
        </w:rPr>
      </w:pPr>
      <w:r w:rsidRPr="00DE6B1C">
        <w:rPr>
          <w:sz w:val="20"/>
        </w:rPr>
        <w:pict>
          <v:rect id="docshape73" o:spid="_x0000_s1153" style="position:absolute;margin-left:85.1pt;margin-top:15.8pt;width:2in;height:.7pt;z-index:-15699456;mso-wrap-distance-left:0;mso-wrap-distance-right:0;mso-position-horizontal-relative:page" fillcolor="black" stroked="f">
            <w10:wrap type="topAndBottom" anchorx="page"/>
          </v:rect>
        </w:pict>
      </w:r>
    </w:p>
    <w:p w:rsidR="007259F2" w:rsidRDefault="00E655B4">
      <w:pPr>
        <w:spacing w:before="96"/>
        <w:ind w:left="710" w:right="990"/>
        <w:rPr>
          <w:sz w:val="20"/>
        </w:rPr>
      </w:pPr>
      <w:r>
        <w:rPr>
          <w:sz w:val="20"/>
          <w:vertAlign w:val="superscript"/>
        </w:rPr>
        <w:t>1</w:t>
      </w:r>
      <w:r>
        <w:rPr>
          <w:spacing w:val="-2"/>
          <w:sz w:val="20"/>
        </w:rPr>
        <w:t xml:space="preserve"> </w:t>
      </w:r>
      <w:r>
        <w:rPr>
          <w:sz w:val="20"/>
        </w:rPr>
        <w:t>Residente</w:t>
      </w:r>
      <w:r>
        <w:rPr>
          <w:spacing w:val="-2"/>
          <w:sz w:val="20"/>
        </w:rPr>
        <w:t xml:space="preserve"> </w:t>
      </w:r>
      <w:r>
        <w:rPr>
          <w:sz w:val="20"/>
        </w:rPr>
        <w:t>Jurídico</w:t>
      </w:r>
      <w:r>
        <w:rPr>
          <w:spacing w:val="-1"/>
          <w:sz w:val="20"/>
        </w:rPr>
        <w:t xml:space="preserve"> </w:t>
      </w:r>
      <w:r>
        <w:rPr>
          <w:sz w:val="20"/>
        </w:rPr>
        <w:t>do</w:t>
      </w:r>
      <w:r>
        <w:rPr>
          <w:spacing w:val="-1"/>
          <w:sz w:val="20"/>
        </w:rPr>
        <w:t xml:space="preserve"> </w:t>
      </w:r>
      <w:r>
        <w:rPr>
          <w:sz w:val="20"/>
        </w:rPr>
        <w:t>Programa</w:t>
      </w:r>
      <w:r>
        <w:rPr>
          <w:spacing w:val="-2"/>
          <w:sz w:val="20"/>
        </w:rPr>
        <w:t xml:space="preserve"> </w:t>
      </w:r>
      <w:r>
        <w:rPr>
          <w:sz w:val="20"/>
        </w:rPr>
        <w:t>de</w:t>
      </w:r>
      <w:r>
        <w:rPr>
          <w:spacing w:val="-2"/>
          <w:sz w:val="20"/>
        </w:rPr>
        <w:t xml:space="preserve"> </w:t>
      </w:r>
      <w:r>
        <w:rPr>
          <w:sz w:val="20"/>
        </w:rPr>
        <w:t>Residência</w:t>
      </w:r>
      <w:r>
        <w:rPr>
          <w:spacing w:val="-2"/>
          <w:sz w:val="20"/>
        </w:rPr>
        <w:t xml:space="preserve"> </w:t>
      </w:r>
      <w:r>
        <w:rPr>
          <w:sz w:val="20"/>
        </w:rPr>
        <w:t>Jurídica</w:t>
      </w:r>
      <w:r>
        <w:rPr>
          <w:spacing w:val="-2"/>
          <w:sz w:val="20"/>
        </w:rPr>
        <w:t xml:space="preserve"> </w:t>
      </w:r>
      <w:r>
        <w:rPr>
          <w:sz w:val="20"/>
        </w:rPr>
        <w:t>da</w:t>
      </w:r>
      <w:r>
        <w:rPr>
          <w:spacing w:val="-2"/>
          <w:sz w:val="20"/>
        </w:rPr>
        <w:t xml:space="preserve"> </w:t>
      </w:r>
      <w:r>
        <w:rPr>
          <w:sz w:val="20"/>
        </w:rPr>
        <w:t>Procuradoria Geral</w:t>
      </w:r>
      <w:r>
        <w:rPr>
          <w:spacing w:val="-2"/>
          <w:sz w:val="20"/>
        </w:rPr>
        <w:t xml:space="preserve"> </w:t>
      </w:r>
      <w:r>
        <w:rPr>
          <w:sz w:val="20"/>
        </w:rPr>
        <w:t>do Município</w:t>
      </w:r>
      <w:r>
        <w:rPr>
          <w:spacing w:val="-1"/>
          <w:sz w:val="20"/>
        </w:rPr>
        <w:t xml:space="preserve"> </w:t>
      </w:r>
      <w:r>
        <w:rPr>
          <w:sz w:val="20"/>
        </w:rPr>
        <w:t>de</w:t>
      </w:r>
      <w:r>
        <w:rPr>
          <w:spacing w:val="-2"/>
          <w:sz w:val="20"/>
        </w:rPr>
        <w:t xml:space="preserve"> </w:t>
      </w:r>
      <w:r>
        <w:rPr>
          <w:sz w:val="20"/>
        </w:rPr>
        <w:t>São Paulo,</w:t>
      </w:r>
      <w:r>
        <w:rPr>
          <w:spacing w:val="-6"/>
          <w:sz w:val="20"/>
        </w:rPr>
        <w:t xml:space="preserve"> </w:t>
      </w:r>
      <w:r>
        <w:rPr>
          <w:sz w:val="20"/>
        </w:rPr>
        <w:t>alocado</w:t>
      </w:r>
      <w:r>
        <w:rPr>
          <w:spacing w:val="-5"/>
          <w:sz w:val="20"/>
        </w:rPr>
        <w:t xml:space="preserve"> </w:t>
      </w:r>
      <w:r>
        <w:rPr>
          <w:sz w:val="20"/>
        </w:rPr>
        <w:t>no</w:t>
      </w:r>
      <w:r>
        <w:rPr>
          <w:spacing w:val="-4"/>
          <w:sz w:val="20"/>
        </w:rPr>
        <w:t xml:space="preserve"> </w:t>
      </w:r>
      <w:r>
        <w:rPr>
          <w:sz w:val="20"/>
        </w:rPr>
        <w:t>Departamento</w:t>
      </w:r>
      <w:r>
        <w:rPr>
          <w:spacing w:val="-5"/>
          <w:sz w:val="20"/>
        </w:rPr>
        <w:t xml:space="preserve"> </w:t>
      </w:r>
      <w:r>
        <w:rPr>
          <w:sz w:val="20"/>
        </w:rPr>
        <w:t>Fiscal</w:t>
      </w:r>
      <w:r>
        <w:rPr>
          <w:spacing w:val="-3"/>
          <w:sz w:val="20"/>
        </w:rPr>
        <w:t xml:space="preserve"> </w:t>
      </w:r>
      <w:r>
        <w:rPr>
          <w:sz w:val="20"/>
        </w:rPr>
        <w:t>-</w:t>
      </w:r>
      <w:r>
        <w:rPr>
          <w:spacing w:val="-5"/>
          <w:sz w:val="20"/>
        </w:rPr>
        <w:t xml:space="preserve"> </w:t>
      </w:r>
      <w:r>
        <w:rPr>
          <w:sz w:val="20"/>
        </w:rPr>
        <w:t>FISC</w:t>
      </w:r>
      <w:r>
        <w:rPr>
          <w:spacing w:val="-6"/>
          <w:sz w:val="20"/>
        </w:rPr>
        <w:t xml:space="preserve"> </w:t>
      </w:r>
      <w:r>
        <w:rPr>
          <w:sz w:val="20"/>
        </w:rPr>
        <w:t>(2022-2025).</w:t>
      </w:r>
      <w:r>
        <w:rPr>
          <w:spacing w:val="-6"/>
          <w:sz w:val="20"/>
        </w:rPr>
        <w:t xml:space="preserve"> </w:t>
      </w:r>
      <w:r>
        <w:rPr>
          <w:sz w:val="20"/>
        </w:rPr>
        <w:t>Email:</w:t>
      </w:r>
      <w:r>
        <w:rPr>
          <w:spacing w:val="-4"/>
          <w:sz w:val="20"/>
        </w:rPr>
        <w:t xml:space="preserve"> </w:t>
      </w:r>
      <w:hyperlink r:id="rId96">
        <w:r>
          <w:rPr>
            <w:color w:val="0000FF"/>
            <w:spacing w:val="-2"/>
            <w:sz w:val="20"/>
            <w:u w:val="single" w:color="0000FF"/>
          </w:rPr>
          <w:t>felipe.monteiro13@hormail.com</w:t>
        </w:r>
      </w:hyperlink>
    </w:p>
    <w:p w:rsidR="007259F2" w:rsidRDefault="007259F2">
      <w:pPr>
        <w:rPr>
          <w:sz w:val="20"/>
        </w:rPr>
        <w:sectPr w:rsidR="007259F2">
          <w:pgSz w:w="11910" w:h="16840"/>
          <w:pgMar w:top="1320" w:right="708" w:bottom="1160" w:left="992" w:header="0" w:footer="962" w:gutter="0"/>
          <w:cols w:space="720"/>
        </w:sectPr>
      </w:pPr>
    </w:p>
    <w:p w:rsidR="007259F2" w:rsidRDefault="00E655B4">
      <w:pPr>
        <w:pStyle w:val="Corpodetexto"/>
        <w:spacing w:before="69"/>
        <w:ind w:right="994"/>
      </w:pPr>
      <w:r>
        <w:lastRenderedPageBreak/>
        <w:t>Analisando as propostas, há diversos pontos positivos e negativos, e trazem grande preocupação para a sociedade, principalmente ao empresariado, tendo em vista que, caso aprovado nos moldes atuais, haverá uma elevação significativa da carga tributária, sobretudo para setores essenciais da economia, o que ensejará na redução de possibilidades de investimento e aumento da ineficiência do uso do dinheiro.</w:t>
      </w:r>
    </w:p>
    <w:p w:rsidR="007259F2" w:rsidRDefault="00E655B4">
      <w:pPr>
        <w:pStyle w:val="Corpodetexto"/>
        <w:spacing w:before="1"/>
        <w:ind w:right="988"/>
      </w:pPr>
      <w:r>
        <w:t>Por outro lado, é inegável que uma reforma tributária é reivindicada por toda a sociedade, visando dirimir entraves burocráticos do atual sistema tributário e, consequentemente,</w:t>
      </w:r>
      <w:r>
        <w:rPr>
          <w:spacing w:val="-4"/>
        </w:rPr>
        <w:t xml:space="preserve"> </w:t>
      </w:r>
      <w:r>
        <w:t>otimizar</w:t>
      </w:r>
      <w:r>
        <w:rPr>
          <w:spacing w:val="-4"/>
        </w:rPr>
        <w:t xml:space="preserve"> </w:t>
      </w:r>
      <w:r>
        <w:t>a</w:t>
      </w:r>
      <w:r>
        <w:rPr>
          <w:spacing w:val="-6"/>
        </w:rPr>
        <w:t xml:space="preserve"> </w:t>
      </w:r>
      <w:r>
        <w:t>arrecadação</w:t>
      </w:r>
      <w:r>
        <w:rPr>
          <w:spacing w:val="-4"/>
        </w:rPr>
        <w:t xml:space="preserve"> </w:t>
      </w:r>
      <w:r>
        <w:t>dos</w:t>
      </w:r>
      <w:r>
        <w:rPr>
          <w:spacing w:val="-4"/>
        </w:rPr>
        <w:t xml:space="preserve"> </w:t>
      </w:r>
      <w:r>
        <w:t>tributos,</w:t>
      </w:r>
      <w:r>
        <w:rPr>
          <w:spacing w:val="-4"/>
        </w:rPr>
        <w:t xml:space="preserve"> </w:t>
      </w:r>
      <w:r>
        <w:t>aprimorando</w:t>
      </w:r>
      <w:r>
        <w:rPr>
          <w:spacing w:val="-4"/>
        </w:rPr>
        <w:t xml:space="preserve"> </w:t>
      </w:r>
      <w:r>
        <w:t>competitividade</w:t>
      </w:r>
      <w:r>
        <w:rPr>
          <w:spacing w:val="-6"/>
        </w:rPr>
        <w:t xml:space="preserve"> </w:t>
      </w:r>
      <w:r>
        <w:t>no mercado global e atraindo mais investidores para o Brasil. Outrossim, tal otimização é de interesse dos entes federativos (União, estados e municípios), a fim de que efetivem seus papéis na efetiva destinação dos recursos arrecadados para os cidadãos.</w:t>
      </w:r>
    </w:p>
    <w:p w:rsidR="007259F2" w:rsidRDefault="00E655B4">
      <w:pPr>
        <w:pStyle w:val="Corpodetexto"/>
        <w:ind w:right="987"/>
      </w:pPr>
      <w:r>
        <w:t>A temática merece maior debate em âmbito Econômico e Legislativo, com o intuito de tenda os anseios de toda a sociedade, até mesmo porque apressar o trâmite para aprovação de uma reforma, sem uma análise minuciosa de seus efeitos, certamente elevará o número de litígios sobre o tema.</w:t>
      </w:r>
    </w:p>
    <w:p w:rsidR="007259F2" w:rsidRDefault="00E655B4">
      <w:pPr>
        <w:pStyle w:val="Corpodetexto"/>
        <w:spacing w:before="1"/>
        <w:ind w:right="987"/>
      </w:pPr>
      <w:r>
        <w:t>Além disso, devido a</w:t>
      </w:r>
      <w:r>
        <w:rPr>
          <w:spacing w:val="-1"/>
        </w:rPr>
        <w:t xml:space="preserve"> </w:t>
      </w:r>
      <w:r>
        <w:t>tramitação de</w:t>
      </w:r>
      <w:r>
        <w:rPr>
          <w:spacing w:val="-1"/>
        </w:rPr>
        <w:t xml:space="preserve"> </w:t>
      </w:r>
      <w:r>
        <w:t>mais de</w:t>
      </w:r>
      <w:r>
        <w:rPr>
          <w:spacing w:val="-1"/>
        </w:rPr>
        <w:t xml:space="preserve"> </w:t>
      </w:r>
      <w:r>
        <w:t>um projeto sobre</w:t>
      </w:r>
      <w:r>
        <w:rPr>
          <w:spacing w:val="-2"/>
        </w:rPr>
        <w:t xml:space="preserve"> </w:t>
      </w:r>
      <w:r>
        <w:t>o tema, que muitas vezes não se conversam sobre suas proposições, há necessidade de esclarecer diversos pontos antes de prosseguir com a efetivação da proposta em Lei.</w:t>
      </w:r>
    </w:p>
    <w:p w:rsidR="007259F2" w:rsidRDefault="00E655B4">
      <w:pPr>
        <w:pStyle w:val="Corpodetexto"/>
        <w:ind w:right="989"/>
      </w:pPr>
      <w:r>
        <w:t>O artigo a seguir abordará uma das disposições que abarcam o projeto: a tributação de lucros e dividendos e seus potenciais efeitos frente ao mercado de capitais e</w:t>
      </w:r>
      <w:r>
        <w:rPr>
          <w:spacing w:val="-3"/>
        </w:rPr>
        <w:t xml:space="preserve"> </w:t>
      </w:r>
      <w:r>
        <w:t>a</w:t>
      </w:r>
      <w:r>
        <w:rPr>
          <w:spacing w:val="-3"/>
        </w:rPr>
        <w:t xml:space="preserve"> </w:t>
      </w:r>
      <w:r>
        <w:t>arrecadação</w:t>
      </w:r>
      <w:r>
        <w:rPr>
          <w:spacing w:val="-2"/>
        </w:rPr>
        <w:t xml:space="preserve"> </w:t>
      </w:r>
      <w:r>
        <w:t>de</w:t>
      </w:r>
      <w:r>
        <w:rPr>
          <w:spacing w:val="-5"/>
        </w:rPr>
        <w:t xml:space="preserve"> </w:t>
      </w:r>
      <w:r>
        <w:t>tributos</w:t>
      </w:r>
      <w:r>
        <w:rPr>
          <w:spacing w:val="-4"/>
        </w:rPr>
        <w:t xml:space="preserve"> </w:t>
      </w:r>
      <w:r>
        <w:t>no</w:t>
      </w:r>
      <w:r>
        <w:rPr>
          <w:spacing w:val="-5"/>
        </w:rPr>
        <w:t xml:space="preserve"> </w:t>
      </w:r>
      <w:r>
        <w:t>país.</w:t>
      </w:r>
      <w:r>
        <w:rPr>
          <w:spacing w:val="-2"/>
        </w:rPr>
        <w:t xml:space="preserve"> </w:t>
      </w:r>
      <w:r>
        <w:t>O</w:t>
      </w:r>
      <w:r>
        <w:rPr>
          <w:spacing w:val="-5"/>
        </w:rPr>
        <w:t xml:space="preserve"> </w:t>
      </w:r>
      <w:r>
        <w:t>atual</w:t>
      </w:r>
      <w:r>
        <w:rPr>
          <w:spacing w:val="-5"/>
        </w:rPr>
        <w:t xml:space="preserve"> </w:t>
      </w:r>
      <w:r>
        <w:t>cenário</w:t>
      </w:r>
      <w:r>
        <w:rPr>
          <w:spacing w:val="-4"/>
        </w:rPr>
        <w:t xml:space="preserve"> </w:t>
      </w:r>
      <w:r>
        <w:t>do</w:t>
      </w:r>
      <w:r>
        <w:rPr>
          <w:spacing w:val="-5"/>
        </w:rPr>
        <w:t xml:space="preserve"> </w:t>
      </w:r>
      <w:r>
        <w:t>país</w:t>
      </w:r>
      <w:r>
        <w:rPr>
          <w:spacing w:val="-2"/>
        </w:rPr>
        <w:t xml:space="preserve"> </w:t>
      </w:r>
      <w:r>
        <w:t>é</w:t>
      </w:r>
      <w:r>
        <w:rPr>
          <w:spacing w:val="-6"/>
        </w:rPr>
        <w:t xml:space="preserve"> </w:t>
      </w:r>
      <w:r>
        <w:t>o</w:t>
      </w:r>
      <w:r>
        <w:rPr>
          <w:spacing w:val="-5"/>
        </w:rPr>
        <w:t xml:space="preserve"> </w:t>
      </w:r>
      <w:r>
        <w:t>de</w:t>
      </w:r>
      <w:r>
        <w:rPr>
          <w:spacing w:val="-3"/>
        </w:rPr>
        <w:t xml:space="preserve"> </w:t>
      </w:r>
      <w:r>
        <w:t>expectativa</w:t>
      </w:r>
      <w:r>
        <w:rPr>
          <w:spacing w:val="-4"/>
        </w:rPr>
        <w:t xml:space="preserve"> </w:t>
      </w:r>
      <w:r>
        <w:t>em</w:t>
      </w:r>
      <w:r>
        <w:rPr>
          <w:spacing w:val="-2"/>
        </w:rPr>
        <w:t xml:space="preserve"> </w:t>
      </w:r>
      <w:r>
        <w:t>relação ao Imposto de Renda e a normatização da tributação de lucros e dividendos. Dessa forma, analisaremos os impactos dessa tributação no Brasil, que ainda isenta lucros e dividendos</w:t>
      </w:r>
      <w:r>
        <w:rPr>
          <w:spacing w:val="12"/>
        </w:rPr>
        <w:t xml:space="preserve"> </w:t>
      </w:r>
      <w:r>
        <w:t>do</w:t>
      </w:r>
      <w:r>
        <w:rPr>
          <w:spacing w:val="17"/>
        </w:rPr>
        <w:t xml:space="preserve"> </w:t>
      </w:r>
      <w:r>
        <w:t>Imposto</w:t>
      </w:r>
      <w:r>
        <w:rPr>
          <w:spacing w:val="15"/>
        </w:rPr>
        <w:t xml:space="preserve"> </w:t>
      </w:r>
      <w:r>
        <w:t>de</w:t>
      </w:r>
      <w:r>
        <w:rPr>
          <w:spacing w:val="14"/>
        </w:rPr>
        <w:t xml:space="preserve"> </w:t>
      </w:r>
      <w:r>
        <w:t>Renda</w:t>
      </w:r>
      <w:r>
        <w:rPr>
          <w:spacing w:val="14"/>
        </w:rPr>
        <w:t xml:space="preserve"> </w:t>
      </w:r>
      <w:r>
        <w:t>desde</w:t>
      </w:r>
      <w:r>
        <w:rPr>
          <w:spacing w:val="13"/>
        </w:rPr>
        <w:t xml:space="preserve"> </w:t>
      </w:r>
      <w:r>
        <w:t>o</w:t>
      </w:r>
      <w:r>
        <w:rPr>
          <w:spacing w:val="15"/>
        </w:rPr>
        <w:t xml:space="preserve"> </w:t>
      </w:r>
      <w:r>
        <w:t>ano</w:t>
      </w:r>
      <w:r>
        <w:rPr>
          <w:spacing w:val="14"/>
        </w:rPr>
        <w:t xml:space="preserve"> </w:t>
      </w:r>
      <w:r>
        <w:t>de</w:t>
      </w:r>
      <w:r>
        <w:rPr>
          <w:spacing w:val="14"/>
        </w:rPr>
        <w:t xml:space="preserve"> </w:t>
      </w:r>
      <w:r>
        <w:t>1996,</w:t>
      </w:r>
      <w:r>
        <w:rPr>
          <w:spacing w:val="13"/>
        </w:rPr>
        <w:t xml:space="preserve"> </w:t>
      </w:r>
      <w:r>
        <w:t>seguinte</w:t>
      </w:r>
      <w:r>
        <w:rPr>
          <w:spacing w:val="15"/>
        </w:rPr>
        <w:t xml:space="preserve"> </w:t>
      </w:r>
      <w:r>
        <w:t>a</w:t>
      </w:r>
      <w:r>
        <w:rPr>
          <w:spacing w:val="7"/>
        </w:rPr>
        <w:t xml:space="preserve"> </w:t>
      </w:r>
      <w:r>
        <w:t>publicação</w:t>
      </w:r>
      <w:r>
        <w:rPr>
          <w:spacing w:val="11"/>
        </w:rPr>
        <w:t xml:space="preserve"> </w:t>
      </w:r>
      <w:r>
        <w:t>da</w:t>
      </w:r>
      <w:r>
        <w:rPr>
          <w:spacing w:val="14"/>
        </w:rPr>
        <w:t xml:space="preserve"> </w:t>
      </w:r>
      <w:r>
        <w:t>Lei</w:t>
      </w:r>
      <w:r>
        <w:rPr>
          <w:spacing w:val="16"/>
        </w:rPr>
        <w:t xml:space="preserve"> </w:t>
      </w:r>
      <w:r>
        <w:rPr>
          <w:spacing w:val="-5"/>
        </w:rPr>
        <w:t>nº</w:t>
      </w:r>
    </w:p>
    <w:p w:rsidR="007259F2" w:rsidRDefault="00E655B4">
      <w:pPr>
        <w:pStyle w:val="Corpodetexto"/>
        <w:ind w:firstLine="0"/>
      </w:pPr>
      <w:r>
        <w:t>9.249</w:t>
      </w:r>
      <w:r>
        <w:rPr>
          <w:spacing w:val="-4"/>
        </w:rPr>
        <w:t xml:space="preserve"> </w:t>
      </w:r>
      <w:r>
        <w:t>de</w:t>
      </w:r>
      <w:r>
        <w:rPr>
          <w:spacing w:val="-5"/>
        </w:rPr>
        <w:t xml:space="preserve"> </w:t>
      </w:r>
      <w:r>
        <w:t>1995,</w:t>
      </w:r>
      <w:r>
        <w:rPr>
          <w:spacing w:val="-5"/>
        </w:rPr>
        <w:t xml:space="preserve"> </w:t>
      </w:r>
      <w:r>
        <w:t>que</w:t>
      </w:r>
      <w:r>
        <w:rPr>
          <w:spacing w:val="-5"/>
        </w:rPr>
        <w:t xml:space="preserve"> </w:t>
      </w:r>
      <w:r>
        <w:t>gerou</w:t>
      </w:r>
      <w:r>
        <w:rPr>
          <w:spacing w:val="-2"/>
        </w:rPr>
        <w:t xml:space="preserve"> </w:t>
      </w:r>
      <w:r>
        <w:t>tal</w:t>
      </w:r>
      <w:r>
        <w:rPr>
          <w:spacing w:val="-5"/>
        </w:rPr>
        <w:t xml:space="preserve"> </w:t>
      </w:r>
      <w:r>
        <w:t>benefício</w:t>
      </w:r>
      <w:r>
        <w:rPr>
          <w:spacing w:val="-3"/>
        </w:rPr>
        <w:t xml:space="preserve"> </w:t>
      </w:r>
      <w:r>
        <w:t>de</w:t>
      </w:r>
      <w:r>
        <w:rPr>
          <w:spacing w:val="-7"/>
        </w:rPr>
        <w:t xml:space="preserve"> </w:t>
      </w:r>
      <w:r>
        <w:t>isenção</w:t>
      </w:r>
      <w:r>
        <w:rPr>
          <w:spacing w:val="2"/>
        </w:rPr>
        <w:t xml:space="preserve"> </w:t>
      </w:r>
      <w:r>
        <w:t>aos</w:t>
      </w:r>
      <w:r>
        <w:rPr>
          <w:spacing w:val="-1"/>
        </w:rPr>
        <w:t xml:space="preserve"> </w:t>
      </w:r>
      <w:r>
        <w:t>lucros</w:t>
      </w:r>
      <w:r>
        <w:rPr>
          <w:spacing w:val="-1"/>
        </w:rPr>
        <w:t xml:space="preserve"> </w:t>
      </w:r>
      <w:r>
        <w:t>e</w:t>
      </w:r>
      <w:r>
        <w:rPr>
          <w:spacing w:val="-2"/>
        </w:rPr>
        <w:t xml:space="preserve"> dividendos.</w:t>
      </w:r>
    </w:p>
    <w:p w:rsidR="007259F2" w:rsidRDefault="00E655B4">
      <w:pPr>
        <w:pStyle w:val="Heading2"/>
        <w:numPr>
          <w:ilvl w:val="0"/>
          <w:numId w:val="35"/>
        </w:numPr>
        <w:tabs>
          <w:tab w:val="left" w:pos="890"/>
        </w:tabs>
        <w:ind w:left="890" w:hanging="180"/>
        <w:jc w:val="both"/>
      </w:pPr>
      <w:r>
        <w:t>Direito</w:t>
      </w:r>
      <w:r>
        <w:rPr>
          <w:spacing w:val="-2"/>
        </w:rPr>
        <w:t xml:space="preserve"> Tributário</w:t>
      </w:r>
    </w:p>
    <w:p w:rsidR="007259F2" w:rsidRDefault="00E655B4">
      <w:pPr>
        <w:pStyle w:val="PargrafodaLista"/>
        <w:numPr>
          <w:ilvl w:val="1"/>
          <w:numId w:val="35"/>
        </w:numPr>
        <w:tabs>
          <w:tab w:val="left" w:pos="1069"/>
        </w:tabs>
        <w:spacing w:before="199"/>
        <w:ind w:left="1069" w:hanging="359"/>
        <w:jc w:val="both"/>
        <w:rPr>
          <w:b/>
          <w:sz w:val="24"/>
        </w:rPr>
      </w:pPr>
      <w:r>
        <w:rPr>
          <w:b/>
          <w:sz w:val="24"/>
        </w:rPr>
        <w:t>Definição</w:t>
      </w:r>
      <w:r>
        <w:rPr>
          <w:b/>
          <w:spacing w:val="-6"/>
          <w:sz w:val="24"/>
        </w:rPr>
        <w:t xml:space="preserve"> </w:t>
      </w:r>
      <w:r>
        <w:rPr>
          <w:b/>
          <w:sz w:val="24"/>
        </w:rPr>
        <w:t>de</w:t>
      </w:r>
      <w:r>
        <w:rPr>
          <w:b/>
          <w:spacing w:val="-7"/>
          <w:sz w:val="24"/>
        </w:rPr>
        <w:t xml:space="preserve"> </w:t>
      </w:r>
      <w:r>
        <w:rPr>
          <w:b/>
          <w:sz w:val="24"/>
        </w:rPr>
        <w:t>Direito</w:t>
      </w:r>
      <w:r>
        <w:rPr>
          <w:b/>
          <w:spacing w:val="-2"/>
          <w:sz w:val="24"/>
        </w:rPr>
        <w:t xml:space="preserve"> Tributário</w:t>
      </w:r>
    </w:p>
    <w:p w:rsidR="007259F2" w:rsidRDefault="00E655B4">
      <w:pPr>
        <w:pStyle w:val="Corpodetexto"/>
        <w:spacing w:before="115"/>
        <w:ind w:right="987"/>
      </w:pPr>
      <w:r>
        <w:t>Ainda que se saiba que a existência do tributo remonta a antiguidade</w:t>
      </w:r>
      <w:r>
        <w:rPr>
          <w:vertAlign w:val="superscript"/>
        </w:rPr>
        <w:t>2</w:t>
      </w:r>
      <w:r>
        <w:rPr>
          <w:spacing w:val="40"/>
        </w:rPr>
        <w:t xml:space="preserve"> </w:t>
      </w:r>
      <w:r>
        <w:t>importa, para este trabalho, compreender a origem da tributação no Estado de Direito. Sob esse ponto de vista, verifica-se que a tributação, como entendida atualmente, tem a sua origem diretamente relacionada ao próprio surgimento do Estado de Direito.</w:t>
      </w:r>
    </w:p>
    <w:p w:rsidR="007259F2" w:rsidRDefault="00E655B4">
      <w:pPr>
        <w:pStyle w:val="Corpodetexto"/>
        <w:ind w:right="989"/>
      </w:pPr>
      <w:r>
        <w:t>No plano normativo do país, a expressão “direito tributário” foi efetivamente firmada com a Emenda nº 18, de 1965, que estruturou o “Sistema Tributário Nacional”, seguida da Lei nº 5172, de 1966, posteriormente intitulado de Código Tributário Nacional pelo Ato Complementar nº 36 de 1967</w:t>
      </w:r>
      <w:r>
        <w:rPr>
          <w:vertAlign w:val="superscript"/>
        </w:rPr>
        <w:t>3</w:t>
      </w:r>
      <w:r>
        <w:t>. A partir de então, o termo Direito Tributário foi sendo consolidado no plano doutrinário e jurisprudencial.</w:t>
      </w:r>
    </w:p>
    <w:p w:rsidR="007259F2" w:rsidRDefault="00E655B4">
      <w:pPr>
        <w:pStyle w:val="Corpodetexto"/>
        <w:spacing w:before="1"/>
        <w:ind w:left="1418" w:firstLine="0"/>
      </w:pPr>
      <w:r>
        <w:t>Eduardo</w:t>
      </w:r>
      <w:r>
        <w:rPr>
          <w:spacing w:val="-5"/>
        </w:rPr>
        <w:t xml:space="preserve"> </w:t>
      </w:r>
      <w:r>
        <w:t>Sabbag</w:t>
      </w:r>
      <w:r>
        <w:rPr>
          <w:vertAlign w:val="superscript"/>
        </w:rPr>
        <w:t>4</w:t>
      </w:r>
      <w:r>
        <w:rPr>
          <w:spacing w:val="1"/>
        </w:rPr>
        <w:t xml:space="preserve"> </w:t>
      </w:r>
      <w:r>
        <w:rPr>
          <w:spacing w:val="-2"/>
        </w:rPr>
        <w:t>define:</w:t>
      </w:r>
    </w:p>
    <w:p w:rsidR="007259F2" w:rsidRDefault="00E655B4">
      <w:pPr>
        <w:spacing w:before="203"/>
        <w:ind w:left="2978" w:right="987"/>
        <w:jc w:val="both"/>
        <w:rPr>
          <w:sz w:val="20"/>
        </w:rPr>
      </w:pPr>
      <w:r>
        <w:rPr>
          <w:sz w:val="20"/>
        </w:rPr>
        <w:t>(...) Direito Tributário é a representação positivada da ciência jurídica que abarca o conjunto de normas e princípios jurídicos, reguladores das relações intersubjetivas na obrigação tributária, cujos elementos são as partes, a prestação e o vínculo jurídico.</w:t>
      </w:r>
    </w:p>
    <w:p w:rsidR="007259F2" w:rsidRDefault="00E655B4">
      <w:pPr>
        <w:pStyle w:val="Heading2"/>
        <w:numPr>
          <w:ilvl w:val="1"/>
          <w:numId w:val="35"/>
        </w:numPr>
        <w:tabs>
          <w:tab w:val="left" w:pos="1069"/>
        </w:tabs>
        <w:spacing w:before="202"/>
        <w:ind w:left="1069" w:hanging="359"/>
        <w:jc w:val="both"/>
      </w:pPr>
      <w:r>
        <w:t>Conceito</w:t>
      </w:r>
      <w:r>
        <w:rPr>
          <w:spacing w:val="-6"/>
        </w:rPr>
        <w:t xml:space="preserve"> </w:t>
      </w:r>
      <w:r>
        <w:t>de</w:t>
      </w:r>
      <w:r>
        <w:rPr>
          <w:spacing w:val="-7"/>
        </w:rPr>
        <w:t xml:space="preserve"> </w:t>
      </w:r>
      <w:r>
        <w:rPr>
          <w:spacing w:val="-2"/>
        </w:rPr>
        <w:t>Tributo</w:t>
      </w:r>
    </w:p>
    <w:p w:rsidR="007259F2" w:rsidRDefault="00E655B4">
      <w:pPr>
        <w:pStyle w:val="Corpodetexto"/>
        <w:spacing w:before="156"/>
        <w:ind w:left="1418" w:firstLine="0"/>
      </w:pPr>
      <w:r>
        <w:t>Como</w:t>
      </w:r>
      <w:r>
        <w:rPr>
          <w:spacing w:val="-8"/>
        </w:rPr>
        <w:t xml:space="preserve"> </w:t>
      </w:r>
      <w:r>
        <w:t>visto</w:t>
      </w:r>
      <w:r>
        <w:rPr>
          <w:spacing w:val="-8"/>
        </w:rPr>
        <w:t xml:space="preserve"> </w:t>
      </w:r>
      <w:r>
        <w:t>anteriormente,</w:t>
      </w:r>
      <w:r>
        <w:rPr>
          <w:spacing w:val="-4"/>
        </w:rPr>
        <w:t xml:space="preserve"> </w:t>
      </w:r>
      <w:r>
        <w:t>o</w:t>
      </w:r>
      <w:r>
        <w:rPr>
          <w:spacing w:val="-6"/>
        </w:rPr>
        <w:t xml:space="preserve"> </w:t>
      </w:r>
      <w:r>
        <w:t>direito</w:t>
      </w:r>
      <w:r>
        <w:rPr>
          <w:spacing w:val="-6"/>
        </w:rPr>
        <w:t xml:space="preserve"> </w:t>
      </w:r>
      <w:r>
        <w:t>tributário</w:t>
      </w:r>
      <w:r>
        <w:rPr>
          <w:spacing w:val="-2"/>
        </w:rPr>
        <w:t xml:space="preserve"> </w:t>
      </w:r>
      <w:r>
        <w:t>é</w:t>
      </w:r>
      <w:r>
        <w:rPr>
          <w:spacing w:val="-7"/>
        </w:rPr>
        <w:t xml:space="preserve"> </w:t>
      </w:r>
      <w:r>
        <w:t>a</w:t>
      </w:r>
      <w:r>
        <w:rPr>
          <w:spacing w:val="-2"/>
        </w:rPr>
        <w:t xml:space="preserve"> </w:t>
      </w:r>
      <w:r>
        <w:t>disciplina</w:t>
      </w:r>
      <w:r>
        <w:rPr>
          <w:spacing w:val="-8"/>
        </w:rPr>
        <w:t xml:space="preserve"> </w:t>
      </w:r>
      <w:r>
        <w:t>jurídica</w:t>
      </w:r>
      <w:r>
        <w:rPr>
          <w:spacing w:val="-6"/>
        </w:rPr>
        <w:t xml:space="preserve"> </w:t>
      </w:r>
      <w:r>
        <w:t>dos</w:t>
      </w:r>
      <w:r>
        <w:rPr>
          <w:spacing w:val="-3"/>
        </w:rPr>
        <w:t xml:space="preserve"> </w:t>
      </w:r>
      <w:r>
        <w:rPr>
          <w:spacing w:val="-2"/>
        </w:rPr>
        <w:t>tributos.</w:t>
      </w:r>
    </w:p>
    <w:p w:rsidR="007259F2" w:rsidRDefault="00DE6B1C">
      <w:pPr>
        <w:pStyle w:val="Corpodetexto"/>
        <w:spacing w:before="186"/>
        <w:ind w:left="0" w:firstLine="0"/>
        <w:jc w:val="left"/>
        <w:rPr>
          <w:sz w:val="20"/>
        </w:rPr>
      </w:pPr>
      <w:r w:rsidRPr="00DE6B1C">
        <w:rPr>
          <w:sz w:val="20"/>
        </w:rPr>
        <w:pict>
          <v:rect id="docshape74" o:spid="_x0000_s1152" style="position:absolute;margin-left:85.1pt;margin-top:22pt;width:2in;height:.7pt;z-index:-15698944;mso-wrap-distance-left:0;mso-wrap-distance-right:0;mso-position-horizontal-relative:page" fillcolor="black" stroked="f">
            <w10:wrap type="topAndBottom" anchorx="page"/>
          </v:rect>
        </w:pict>
      </w:r>
    </w:p>
    <w:p w:rsidR="007259F2" w:rsidRDefault="00E655B4">
      <w:pPr>
        <w:spacing w:before="97"/>
        <w:ind w:left="710"/>
        <w:rPr>
          <w:sz w:val="20"/>
        </w:rPr>
      </w:pPr>
      <w:r>
        <w:rPr>
          <w:spacing w:val="-2"/>
          <w:sz w:val="20"/>
          <w:vertAlign w:val="superscript"/>
        </w:rPr>
        <w:t>2</w:t>
      </w:r>
      <w:r>
        <w:rPr>
          <w:spacing w:val="-9"/>
          <w:sz w:val="20"/>
        </w:rPr>
        <w:t xml:space="preserve"> </w:t>
      </w:r>
      <w:r>
        <w:rPr>
          <w:spacing w:val="-2"/>
          <w:sz w:val="20"/>
        </w:rPr>
        <w:t xml:space="preserve">AMARO, Luciano. </w:t>
      </w:r>
      <w:r>
        <w:rPr>
          <w:b/>
          <w:spacing w:val="-2"/>
          <w:sz w:val="20"/>
        </w:rPr>
        <w:t>Direito</w:t>
      </w:r>
      <w:r>
        <w:rPr>
          <w:b/>
          <w:spacing w:val="-6"/>
          <w:sz w:val="20"/>
        </w:rPr>
        <w:t xml:space="preserve"> </w:t>
      </w:r>
      <w:r>
        <w:rPr>
          <w:b/>
          <w:spacing w:val="-2"/>
          <w:sz w:val="20"/>
        </w:rPr>
        <w:t>Tributário Brasileiro</w:t>
      </w:r>
      <w:r>
        <w:rPr>
          <w:spacing w:val="-2"/>
          <w:sz w:val="20"/>
        </w:rPr>
        <w:t>.</w:t>
      </w:r>
      <w:r>
        <w:rPr>
          <w:spacing w:val="-3"/>
          <w:sz w:val="20"/>
        </w:rPr>
        <w:t xml:space="preserve"> </w:t>
      </w:r>
      <w:r>
        <w:rPr>
          <w:spacing w:val="-2"/>
          <w:sz w:val="20"/>
        </w:rPr>
        <w:t>20</w:t>
      </w:r>
      <w:r>
        <w:rPr>
          <w:spacing w:val="-1"/>
          <w:sz w:val="20"/>
        </w:rPr>
        <w:t xml:space="preserve"> </w:t>
      </w:r>
      <w:r>
        <w:rPr>
          <w:spacing w:val="-2"/>
          <w:sz w:val="20"/>
        </w:rPr>
        <w:t>ed. São Paulo:</w:t>
      </w:r>
      <w:r>
        <w:rPr>
          <w:spacing w:val="-5"/>
          <w:sz w:val="20"/>
        </w:rPr>
        <w:t xml:space="preserve"> </w:t>
      </w:r>
      <w:r>
        <w:rPr>
          <w:spacing w:val="-2"/>
          <w:sz w:val="20"/>
        </w:rPr>
        <w:t>Saraiva,</w:t>
      </w:r>
      <w:r>
        <w:rPr>
          <w:spacing w:val="-1"/>
          <w:sz w:val="20"/>
        </w:rPr>
        <w:t xml:space="preserve"> </w:t>
      </w:r>
      <w:r>
        <w:rPr>
          <w:spacing w:val="-2"/>
          <w:sz w:val="20"/>
        </w:rPr>
        <w:t>2015.</w:t>
      </w:r>
    </w:p>
    <w:p w:rsidR="007259F2" w:rsidRDefault="00E655B4">
      <w:pPr>
        <w:ind w:left="710"/>
        <w:rPr>
          <w:sz w:val="20"/>
        </w:rPr>
      </w:pPr>
      <w:r>
        <w:rPr>
          <w:sz w:val="20"/>
          <w:vertAlign w:val="superscript"/>
        </w:rPr>
        <w:t>3</w:t>
      </w:r>
      <w:r>
        <w:rPr>
          <w:spacing w:val="-1"/>
          <w:sz w:val="20"/>
        </w:rPr>
        <w:t xml:space="preserve"> </w:t>
      </w:r>
      <w:r>
        <w:rPr>
          <w:i/>
          <w:spacing w:val="-2"/>
          <w:sz w:val="20"/>
        </w:rPr>
        <w:t>Ibid</w:t>
      </w:r>
      <w:r>
        <w:rPr>
          <w:spacing w:val="-2"/>
          <w:sz w:val="20"/>
        </w:rPr>
        <w:t>.</w:t>
      </w:r>
    </w:p>
    <w:p w:rsidR="007259F2" w:rsidRDefault="00E655B4">
      <w:pPr>
        <w:ind w:left="710"/>
        <w:rPr>
          <w:sz w:val="20"/>
        </w:rPr>
      </w:pPr>
      <w:r>
        <w:rPr>
          <w:sz w:val="20"/>
          <w:vertAlign w:val="superscript"/>
        </w:rPr>
        <w:t>4</w:t>
      </w:r>
      <w:r>
        <w:rPr>
          <w:spacing w:val="-6"/>
          <w:sz w:val="20"/>
        </w:rPr>
        <w:t xml:space="preserve"> </w:t>
      </w:r>
      <w:r>
        <w:rPr>
          <w:sz w:val="20"/>
        </w:rPr>
        <w:t>SABBAG,</w:t>
      </w:r>
      <w:r>
        <w:rPr>
          <w:spacing w:val="-11"/>
          <w:sz w:val="20"/>
        </w:rPr>
        <w:t xml:space="preserve"> </w:t>
      </w:r>
      <w:r>
        <w:rPr>
          <w:sz w:val="20"/>
        </w:rPr>
        <w:t>Eduardo.</w:t>
      </w:r>
      <w:r>
        <w:rPr>
          <w:spacing w:val="-7"/>
          <w:sz w:val="20"/>
        </w:rPr>
        <w:t xml:space="preserve"> </w:t>
      </w:r>
      <w:r>
        <w:rPr>
          <w:b/>
          <w:sz w:val="20"/>
        </w:rPr>
        <w:t>Manual</w:t>
      </w:r>
      <w:r>
        <w:rPr>
          <w:b/>
          <w:spacing w:val="-13"/>
          <w:sz w:val="20"/>
        </w:rPr>
        <w:t xml:space="preserve"> </w:t>
      </w:r>
      <w:r>
        <w:rPr>
          <w:b/>
          <w:sz w:val="20"/>
        </w:rPr>
        <w:t>de</w:t>
      </w:r>
      <w:r>
        <w:rPr>
          <w:b/>
          <w:spacing w:val="-11"/>
          <w:sz w:val="20"/>
        </w:rPr>
        <w:t xml:space="preserve"> </w:t>
      </w:r>
      <w:r>
        <w:rPr>
          <w:b/>
          <w:sz w:val="20"/>
        </w:rPr>
        <w:t>direito</w:t>
      </w:r>
      <w:r>
        <w:rPr>
          <w:b/>
          <w:spacing w:val="-8"/>
          <w:sz w:val="20"/>
        </w:rPr>
        <w:t xml:space="preserve"> </w:t>
      </w:r>
      <w:r>
        <w:rPr>
          <w:b/>
          <w:sz w:val="20"/>
        </w:rPr>
        <w:t>tributário</w:t>
      </w:r>
      <w:r>
        <w:rPr>
          <w:sz w:val="20"/>
        </w:rPr>
        <w:t>.</w:t>
      </w:r>
      <w:r>
        <w:rPr>
          <w:spacing w:val="-11"/>
          <w:sz w:val="20"/>
        </w:rPr>
        <w:t xml:space="preserve"> </w:t>
      </w:r>
      <w:r>
        <w:rPr>
          <w:sz w:val="20"/>
        </w:rPr>
        <w:t>6</w:t>
      </w:r>
      <w:r>
        <w:rPr>
          <w:spacing w:val="-9"/>
          <w:sz w:val="20"/>
        </w:rPr>
        <w:t xml:space="preserve"> </w:t>
      </w:r>
      <w:r>
        <w:rPr>
          <w:sz w:val="20"/>
        </w:rPr>
        <w:t>ed.</w:t>
      </w:r>
      <w:r>
        <w:rPr>
          <w:spacing w:val="-10"/>
          <w:sz w:val="20"/>
        </w:rPr>
        <w:t xml:space="preserve"> </w:t>
      </w:r>
      <w:r>
        <w:rPr>
          <w:sz w:val="20"/>
        </w:rPr>
        <w:t>São</w:t>
      </w:r>
      <w:r>
        <w:rPr>
          <w:spacing w:val="-11"/>
          <w:sz w:val="20"/>
        </w:rPr>
        <w:t xml:space="preserve"> </w:t>
      </w:r>
      <w:r>
        <w:rPr>
          <w:sz w:val="20"/>
        </w:rPr>
        <w:t>Paulo:</w:t>
      </w:r>
      <w:r>
        <w:rPr>
          <w:spacing w:val="-11"/>
          <w:sz w:val="20"/>
        </w:rPr>
        <w:t xml:space="preserve"> </w:t>
      </w:r>
      <w:r>
        <w:rPr>
          <w:sz w:val="20"/>
        </w:rPr>
        <w:t>Saraiva,</w:t>
      </w:r>
      <w:r>
        <w:rPr>
          <w:spacing w:val="-11"/>
          <w:sz w:val="20"/>
        </w:rPr>
        <w:t xml:space="preserve"> </w:t>
      </w:r>
      <w:r>
        <w:rPr>
          <w:sz w:val="20"/>
        </w:rPr>
        <w:t>2014,</w:t>
      </w:r>
      <w:r>
        <w:rPr>
          <w:spacing w:val="-11"/>
          <w:sz w:val="20"/>
        </w:rPr>
        <w:t xml:space="preserve"> </w:t>
      </w:r>
      <w:r>
        <w:rPr>
          <w:sz w:val="20"/>
        </w:rPr>
        <w:t>p.</w:t>
      </w:r>
      <w:r>
        <w:rPr>
          <w:spacing w:val="-11"/>
          <w:sz w:val="20"/>
        </w:rPr>
        <w:t xml:space="preserve"> </w:t>
      </w:r>
      <w:r>
        <w:rPr>
          <w:spacing w:val="-5"/>
          <w:sz w:val="20"/>
        </w:rPr>
        <w:t>35.</w:t>
      </w:r>
    </w:p>
    <w:p w:rsidR="007259F2" w:rsidRDefault="007259F2">
      <w:pPr>
        <w:rPr>
          <w:sz w:val="20"/>
        </w:rPr>
        <w:sectPr w:rsidR="007259F2">
          <w:pgSz w:w="11910" w:h="16840"/>
          <w:pgMar w:top="1320" w:right="708" w:bottom="1160" w:left="992" w:header="0" w:footer="962" w:gutter="0"/>
          <w:cols w:space="720"/>
        </w:sectPr>
      </w:pPr>
    </w:p>
    <w:p w:rsidR="007259F2" w:rsidRDefault="00E655B4">
      <w:pPr>
        <w:pStyle w:val="Corpodetexto"/>
        <w:spacing w:before="109"/>
        <w:ind w:firstLine="0"/>
      </w:pPr>
      <w:r>
        <w:lastRenderedPageBreak/>
        <w:t>Dessa</w:t>
      </w:r>
      <w:r>
        <w:rPr>
          <w:spacing w:val="-2"/>
        </w:rPr>
        <w:t xml:space="preserve"> </w:t>
      </w:r>
      <w:r>
        <w:t>forma,</w:t>
      </w:r>
      <w:r>
        <w:rPr>
          <w:spacing w:val="-1"/>
        </w:rPr>
        <w:t xml:space="preserve"> </w:t>
      </w:r>
      <w:r>
        <w:t>faz-se</w:t>
      </w:r>
      <w:r>
        <w:rPr>
          <w:spacing w:val="-1"/>
        </w:rPr>
        <w:t xml:space="preserve"> </w:t>
      </w:r>
      <w:r>
        <w:t>extremamente</w:t>
      </w:r>
      <w:r>
        <w:rPr>
          <w:spacing w:val="-1"/>
        </w:rPr>
        <w:t xml:space="preserve"> </w:t>
      </w:r>
      <w:r>
        <w:t>importante</w:t>
      </w:r>
      <w:r>
        <w:rPr>
          <w:spacing w:val="-2"/>
        </w:rPr>
        <w:t xml:space="preserve"> </w:t>
      </w:r>
      <w:r>
        <w:t>aprofundarmos</w:t>
      </w:r>
      <w:r>
        <w:rPr>
          <w:spacing w:val="1"/>
        </w:rPr>
        <w:t xml:space="preserve"> </w:t>
      </w:r>
      <w:r>
        <w:t>o</w:t>
      </w:r>
      <w:r>
        <w:rPr>
          <w:spacing w:val="-2"/>
        </w:rPr>
        <w:t xml:space="preserve"> </w:t>
      </w:r>
      <w:r>
        <w:t>conceito</w:t>
      </w:r>
      <w:r>
        <w:rPr>
          <w:spacing w:val="-1"/>
        </w:rPr>
        <w:t xml:space="preserve"> </w:t>
      </w:r>
      <w:r>
        <w:t>de</w:t>
      </w:r>
      <w:r>
        <w:rPr>
          <w:spacing w:val="-1"/>
        </w:rPr>
        <w:t xml:space="preserve"> </w:t>
      </w:r>
      <w:r>
        <w:rPr>
          <w:i/>
          <w:spacing w:val="-2"/>
        </w:rPr>
        <w:t>tributo</w:t>
      </w:r>
      <w:r>
        <w:rPr>
          <w:spacing w:val="-2"/>
        </w:rPr>
        <w:t>.</w:t>
      </w:r>
      <w:r>
        <w:rPr>
          <w:spacing w:val="-2"/>
          <w:vertAlign w:val="superscript"/>
        </w:rPr>
        <w:t>5</w:t>
      </w:r>
    </w:p>
    <w:p w:rsidR="007259F2" w:rsidRDefault="00E655B4">
      <w:pPr>
        <w:pStyle w:val="Corpodetexto"/>
        <w:spacing w:before="1"/>
        <w:ind w:right="986"/>
      </w:pPr>
      <w:r>
        <w:t>Se em muitos momentos da evolução da sociedade, o conceito de tributo foi</w:t>
      </w:r>
      <w:r>
        <w:rPr>
          <w:spacing w:val="40"/>
        </w:rPr>
        <w:t xml:space="preserve"> </w:t>
      </w:r>
      <w:r>
        <w:t>dado com imprecisão,</w:t>
      </w:r>
      <w:r>
        <w:rPr>
          <w:spacing w:val="-8"/>
        </w:rPr>
        <w:t xml:space="preserve"> </w:t>
      </w:r>
      <w:r>
        <w:t>desde</w:t>
      </w:r>
      <w:r>
        <w:rPr>
          <w:spacing w:val="-10"/>
        </w:rPr>
        <w:t xml:space="preserve"> </w:t>
      </w:r>
      <w:r>
        <w:t>prestações</w:t>
      </w:r>
      <w:r>
        <w:rPr>
          <w:spacing w:val="-9"/>
        </w:rPr>
        <w:t xml:space="preserve"> </w:t>
      </w:r>
      <w:r>
        <w:t>pecuniárias</w:t>
      </w:r>
      <w:r>
        <w:rPr>
          <w:spacing w:val="-8"/>
        </w:rPr>
        <w:t xml:space="preserve"> </w:t>
      </w:r>
      <w:r>
        <w:t>ou</w:t>
      </w:r>
      <w:r>
        <w:rPr>
          <w:spacing w:val="-9"/>
        </w:rPr>
        <w:t xml:space="preserve"> </w:t>
      </w:r>
      <w:r>
        <w:t>em</w:t>
      </w:r>
      <w:r>
        <w:rPr>
          <w:spacing w:val="-9"/>
        </w:rPr>
        <w:t xml:space="preserve"> </w:t>
      </w:r>
      <w:r>
        <w:t>bens,</w:t>
      </w:r>
      <w:r>
        <w:rPr>
          <w:spacing w:val="-9"/>
        </w:rPr>
        <w:t xml:space="preserve"> </w:t>
      </w:r>
      <w:r>
        <w:t>arrecadados</w:t>
      </w:r>
      <w:r>
        <w:rPr>
          <w:spacing w:val="-8"/>
        </w:rPr>
        <w:t xml:space="preserve"> </w:t>
      </w:r>
      <w:r>
        <w:t>pelo</w:t>
      </w:r>
      <w:r>
        <w:rPr>
          <w:spacing w:val="-9"/>
        </w:rPr>
        <w:t xml:space="preserve"> </w:t>
      </w:r>
      <w:r>
        <w:t>Estado ou Monarca para atender gastos públicos e/ou as despesas da coroa, até a cobrança do proletariado, ora como “auxílios” aos reis para suprir seus gastos e caprichos, ora como obrigações a serem quitadas perante os soberanos, no Estado de Direito o dever de pagamento</w:t>
      </w:r>
      <w:r>
        <w:rPr>
          <w:spacing w:val="-13"/>
        </w:rPr>
        <w:t xml:space="preserve"> </w:t>
      </w:r>
      <w:r>
        <w:t>do</w:t>
      </w:r>
      <w:r>
        <w:rPr>
          <w:spacing w:val="-15"/>
        </w:rPr>
        <w:t xml:space="preserve"> </w:t>
      </w:r>
      <w:r>
        <w:t>tributo</w:t>
      </w:r>
      <w:r>
        <w:rPr>
          <w:spacing w:val="-15"/>
        </w:rPr>
        <w:t xml:space="preserve"> </w:t>
      </w:r>
      <w:r>
        <w:t>ganhou</w:t>
      </w:r>
      <w:r>
        <w:rPr>
          <w:spacing w:val="-15"/>
        </w:rPr>
        <w:t xml:space="preserve"> </w:t>
      </w:r>
      <w:r>
        <w:t>forma</w:t>
      </w:r>
      <w:r>
        <w:rPr>
          <w:spacing w:val="-13"/>
        </w:rPr>
        <w:t xml:space="preserve"> </w:t>
      </w:r>
      <w:r>
        <w:t>como</w:t>
      </w:r>
      <w:r>
        <w:rPr>
          <w:spacing w:val="-1"/>
        </w:rPr>
        <w:t xml:space="preserve"> </w:t>
      </w:r>
      <w:r>
        <w:t>uma</w:t>
      </w:r>
      <w:r>
        <w:rPr>
          <w:spacing w:val="-4"/>
        </w:rPr>
        <w:t xml:space="preserve"> </w:t>
      </w:r>
      <w:r>
        <w:t>relação</w:t>
      </w:r>
      <w:r>
        <w:rPr>
          <w:spacing w:val="-5"/>
        </w:rPr>
        <w:t xml:space="preserve"> </w:t>
      </w:r>
      <w:r>
        <w:t>jurídica:</w:t>
      </w:r>
      <w:r>
        <w:rPr>
          <w:spacing w:val="-1"/>
        </w:rPr>
        <w:t xml:space="preserve"> </w:t>
      </w:r>
      <w:r>
        <w:t>a</w:t>
      </w:r>
      <w:r>
        <w:rPr>
          <w:spacing w:val="-4"/>
        </w:rPr>
        <w:t xml:space="preserve"> </w:t>
      </w:r>
      <w:r>
        <w:t>imposição</w:t>
      </w:r>
      <w:r>
        <w:rPr>
          <w:spacing w:val="-2"/>
        </w:rPr>
        <w:t xml:space="preserve"> </w:t>
      </w:r>
      <w:r>
        <w:t>passou</w:t>
      </w:r>
      <w:r>
        <w:rPr>
          <w:spacing w:val="-3"/>
        </w:rPr>
        <w:t xml:space="preserve"> </w:t>
      </w:r>
      <w:r>
        <w:t>a</w:t>
      </w:r>
      <w:r>
        <w:rPr>
          <w:spacing w:val="-4"/>
        </w:rPr>
        <w:t xml:space="preserve"> </w:t>
      </w:r>
      <w:r>
        <w:t>ser estritamente e previamente definida em lei e ter a finalidade dos contribuintes participarem das despesas da coletividade.</w:t>
      </w:r>
    </w:p>
    <w:p w:rsidR="007259F2" w:rsidRDefault="00E655B4">
      <w:pPr>
        <w:ind w:left="710" w:right="989" w:firstLine="707"/>
        <w:jc w:val="both"/>
        <w:rPr>
          <w:sz w:val="24"/>
        </w:rPr>
      </w:pPr>
      <w:r>
        <w:rPr>
          <w:sz w:val="24"/>
        </w:rPr>
        <w:t>Luciano</w:t>
      </w:r>
      <w:r>
        <w:rPr>
          <w:spacing w:val="-7"/>
          <w:sz w:val="24"/>
        </w:rPr>
        <w:t xml:space="preserve"> </w:t>
      </w:r>
      <w:r>
        <w:rPr>
          <w:sz w:val="24"/>
        </w:rPr>
        <w:t>Amaro, em seu manual do Direito Tributário Brasileiro</w:t>
      </w:r>
      <w:r>
        <w:rPr>
          <w:sz w:val="24"/>
          <w:vertAlign w:val="superscript"/>
        </w:rPr>
        <w:t>6</w:t>
      </w:r>
      <w:r>
        <w:rPr>
          <w:sz w:val="24"/>
        </w:rPr>
        <w:t>, concorda com tal raciocínio, quando afirma que “</w:t>
      </w:r>
      <w:r>
        <w:rPr>
          <w:i/>
          <w:sz w:val="24"/>
        </w:rPr>
        <w:t>o tributo, portanto, resulta de uma exigência do Estado, que nos primórdios da história fiscal decorria da vontade do soberano, então identificada com a lei, e hoje se funda na lei, como expressão da vontade coletiva</w:t>
      </w:r>
      <w:r>
        <w:rPr>
          <w:sz w:val="24"/>
        </w:rPr>
        <w:t>.”</w:t>
      </w:r>
    </w:p>
    <w:p w:rsidR="007259F2" w:rsidRDefault="00E655B4">
      <w:pPr>
        <w:spacing w:before="1"/>
        <w:ind w:left="710" w:right="987" w:firstLine="707"/>
        <w:jc w:val="both"/>
        <w:rPr>
          <w:sz w:val="24"/>
        </w:rPr>
      </w:pPr>
      <w:r>
        <w:rPr>
          <w:sz w:val="24"/>
        </w:rPr>
        <w:t>O Código Tributário Nacional, Lei nº 5.172 de 1966, define tributo, em seu art. 3º, nos seguintes termos: “</w:t>
      </w:r>
      <w:r>
        <w:rPr>
          <w:i/>
          <w:sz w:val="24"/>
        </w:rPr>
        <w:t>Tributo é toda prestação pecuniária compulsória, em moeda ou cujo valor nela se possa exprimir, que não constitua sanção a ato ilícito, instituída em lei e cobrada mediante atividade administrativa plenamente vinculada.</w:t>
      </w:r>
      <w:r>
        <w:rPr>
          <w:sz w:val="24"/>
        </w:rPr>
        <w:t>”</w:t>
      </w:r>
      <w:r>
        <w:rPr>
          <w:sz w:val="24"/>
          <w:vertAlign w:val="superscript"/>
        </w:rPr>
        <w:t>7</w:t>
      </w:r>
    </w:p>
    <w:p w:rsidR="007259F2" w:rsidRDefault="00E655B4">
      <w:pPr>
        <w:pStyle w:val="Corpodetexto"/>
        <w:ind w:left="1418" w:firstLine="0"/>
      </w:pPr>
      <w:r>
        <w:t>Extraído</w:t>
      </w:r>
      <w:r>
        <w:rPr>
          <w:spacing w:val="-14"/>
        </w:rPr>
        <w:t xml:space="preserve"> </w:t>
      </w:r>
      <w:r>
        <w:t>de</w:t>
      </w:r>
      <w:r>
        <w:rPr>
          <w:spacing w:val="-9"/>
        </w:rPr>
        <w:t xml:space="preserve"> </w:t>
      </w:r>
      <w:r>
        <w:t>tal</w:t>
      </w:r>
      <w:r>
        <w:rPr>
          <w:spacing w:val="-5"/>
        </w:rPr>
        <w:t xml:space="preserve"> </w:t>
      </w:r>
      <w:r>
        <w:t>conceito,</w:t>
      </w:r>
      <w:r>
        <w:rPr>
          <w:spacing w:val="-3"/>
        </w:rPr>
        <w:t xml:space="preserve"> </w:t>
      </w:r>
      <w:r>
        <w:t>podemos</w:t>
      </w:r>
      <w:r>
        <w:rPr>
          <w:spacing w:val="-3"/>
        </w:rPr>
        <w:t xml:space="preserve"> </w:t>
      </w:r>
      <w:r>
        <w:t>verificar,</w:t>
      </w:r>
      <w:r>
        <w:rPr>
          <w:spacing w:val="-5"/>
        </w:rPr>
        <w:t xml:space="preserve"> </w:t>
      </w:r>
      <w:r>
        <w:t>segundo</w:t>
      </w:r>
      <w:r>
        <w:rPr>
          <w:spacing w:val="-1"/>
        </w:rPr>
        <w:t xml:space="preserve"> </w:t>
      </w:r>
      <w:r>
        <w:t>Luciano</w:t>
      </w:r>
      <w:r>
        <w:rPr>
          <w:spacing w:val="-18"/>
        </w:rPr>
        <w:t xml:space="preserve"> </w:t>
      </w:r>
      <w:r>
        <w:rPr>
          <w:spacing w:val="-2"/>
        </w:rPr>
        <w:t>Amaro:</w:t>
      </w:r>
    </w:p>
    <w:p w:rsidR="007259F2" w:rsidRDefault="00E655B4">
      <w:pPr>
        <w:spacing w:before="231"/>
        <w:ind w:left="2978"/>
        <w:jc w:val="both"/>
        <w:rPr>
          <w:sz w:val="20"/>
        </w:rPr>
      </w:pPr>
      <w:r>
        <w:rPr>
          <w:sz w:val="20"/>
        </w:rPr>
        <w:t>(I)</w:t>
      </w:r>
      <w:r>
        <w:rPr>
          <w:spacing w:val="13"/>
          <w:sz w:val="20"/>
        </w:rPr>
        <w:t xml:space="preserve"> </w:t>
      </w:r>
      <w:r>
        <w:rPr>
          <w:sz w:val="20"/>
        </w:rPr>
        <w:t>o</w:t>
      </w:r>
      <w:r>
        <w:rPr>
          <w:spacing w:val="17"/>
          <w:sz w:val="20"/>
        </w:rPr>
        <w:t xml:space="preserve"> </w:t>
      </w:r>
      <w:r>
        <w:rPr>
          <w:sz w:val="20"/>
        </w:rPr>
        <w:t>caráter</w:t>
      </w:r>
      <w:r>
        <w:rPr>
          <w:spacing w:val="14"/>
          <w:sz w:val="20"/>
        </w:rPr>
        <w:t xml:space="preserve"> </w:t>
      </w:r>
      <w:r>
        <w:rPr>
          <w:sz w:val="20"/>
        </w:rPr>
        <w:t>pecuniário</w:t>
      </w:r>
      <w:r>
        <w:rPr>
          <w:spacing w:val="15"/>
          <w:sz w:val="20"/>
        </w:rPr>
        <w:t xml:space="preserve"> </w:t>
      </w:r>
      <w:r>
        <w:rPr>
          <w:sz w:val="20"/>
        </w:rPr>
        <w:t>da</w:t>
      </w:r>
      <w:r>
        <w:rPr>
          <w:spacing w:val="15"/>
          <w:sz w:val="20"/>
        </w:rPr>
        <w:t xml:space="preserve"> </w:t>
      </w:r>
      <w:r>
        <w:rPr>
          <w:sz w:val="20"/>
        </w:rPr>
        <w:t>prestação</w:t>
      </w:r>
      <w:r>
        <w:rPr>
          <w:spacing w:val="17"/>
          <w:sz w:val="20"/>
        </w:rPr>
        <w:t xml:space="preserve"> </w:t>
      </w:r>
      <w:r>
        <w:rPr>
          <w:sz w:val="20"/>
        </w:rPr>
        <w:t>tributária</w:t>
      </w:r>
      <w:r>
        <w:rPr>
          <w:spacing w:val="19"/>
          <w:sz w:val="20"/>
        </w:rPr>
        <w:t xml:space="preserve"> </w:t>
      </w:r>
      <w:r>
        <w:rPr>
          <w:sz w:val="20"/>
        </w:rPr>
        <w:t>(como</w:t>
      </w:r>
      <w:r>
        <w:rPr>
          <w:spacing w:val="16"/>
          <w:sz w:val="20"/>
        </w:rPr>
        <w:t xml:space="preserve"> </w:t>
      </w:r>
      <w:r>
        <w:rPr>
          <w:sz w:val="20"/>
        </w:rPr>
        <w:t>prestação</w:t>
      </w:r>
      <w:r>
        <w:rPr>
          <w:spacing w:val="18"/>
          <w:sz w:val="20"/>
        </w:rPr>
        <w:t xml:space="preserve"> </w:t>
      </w:r>
      <w:r>
        <w:rPr>
          <w:sz w:val="20"/>
        </w:rPr>
        <w:t>em</w:t>
      </w:r>
      <w:r>
        <w:rPr>
          <w:spacing w:val="15"/>
          <w:sz w:val="20"/>
        </w:rPr>
        <w:t xml:space="preserve"> </w:t>
      </w:r>
      <w:r>
        <w:rPr>
          <w:spacing w:val="-2"/>
          <w:sz w:val="20"/>
        </w:rPr>
        <w:t>moeda);</w:t>
      </w:r>
    </w:p>
    <w:p w:rsidR="007259F2" w:rsidRDefault="00E655B4">
      <w:pPr>
        <w:spacing w:before="1"/>
        <w:ind w:left="2978" w:right="986"/>
        <w:jc w:val="both"/>
        <w:rPr>
          <w:sz w:val="20"/>
        </w:rPr>
      </w:pPr>
      <w:r>
        <w:rPr>
          <w:sz w:val="20"/>
        </w:rPr>
        <w:t>(II) a compulsoriedade dessa prestação, ideia com a qual Código Tributário Nacional buscou evidenciar que o dever jurídico de prestar o tributo é</w:t>
      </w:r>
      <w:r>
        <w:rPr>
          <w:spacing w:val="40"/>
          <w:sz w:val="20"/>
        </w:rPr>
        <w:t xml:space="preserve"> </w:t>
      </w:r>
      <w:r>
        <w:rPr>
          <w:sz w:val="20"/>
        </w:rPr>
        <w:t>imposto pela lei, abstraída a vontade das</w:t>
      </w:r>
      <w:r>
        <w:rPr>
          <w:spacing w:val="-3"/>
          <w:sz w:val="20"/>
        </w:rPr>
        <w:t xml:space="preserve"> </w:t>
      </w:r>
      <w:r>
        <w:rPr>
          <w:sz w:val="20"/>
        </w:rPr>
        <w:t>partes</w:t>
      </w:r>
      <w:r>
        <w:rPr>
          <w:spacing w:val="-3"/>
          <w:sz w:val="20"/>
        </w:rPr>
        <w:t xml:space="preserve"> </w:t>
      </w:r>
      <w:r>
        <w:rPr>
          <w:sz w:val="20"/>
        </w:rPr>
        <w:t>que vão ocupar</w:t>
      </w:r>
      <w:r>
        <w:rPr>
          <w:spacing w:val="-1"/>
          <w:sz w:val="20"/>
        </w:rPr>
        <w:t xml:space="preserve"> </w:t>
      </w:r>
      <w:r>
        <w:rPr>
          <w:sz w:val="20"/>
        </w:rPr>
        <w:t>os</w:t>
      </w:r>
      <w:r>
        <w:rPr>
          <w:spacing w:val="-4"/>
          <w:sz w:val="20"/>
        </w:rPr>
        <w:t xml:space="preserve"> </w:t>
      </w:r>
      <w:r>
        <w:rPr>
          <w:sz w:val="20"/>
        </w:rPr>
        <w:t>polos</w:t>
      </w:r>
      <w:r>
        <w:rPr>
          <w:spacing w:val="-3"/>
          <w:sz w:val="20"/>
        </w:rPr>
        <w:t xml:space="preserve"> </w:t>
      </w:r>
      <w:r>
        <w:rPr>
          <w:sz w:val="20"/>
        </w:rPr>
        <w:t>ativo e</w:t>
      </w:r>
      <w:r>
        <w:rPr>
          <w:spacing w:val="-6"/>
          <w:sz w:val="20"/>
        </w:rPr>
        <w:t xml:space="preserve"> </w:t>
      </w:r>
      <w:r>
        <w:rPr>
          <w:sz w:val="20"/>
        </w:rPr>
        <w:t>passivo da obrigação tributária, opondo-se, dessa forma, a compulsoriedade do tributo à voluntariedade de outras prestações pecuniárias; (III) a natureza não sancionatória de ilicitude, o que afasta da noção de tributo certas prestações também criadas por lei, como as multas por infração de disposições</w:t>
      </w:r>
      <w:r>
        <w:rPr>
          <w:spacing w:val="-1"/>
          <w:sz w:val="20"/>
        </w:rPr>
        <w:t xml:space="preserve"> </w:t>
      </w:r>
      <w:r>
        <w:rPr>
          <w:sz w:val="20"/>
        </w:rPr>
        <w:t>legais,</w:t>
      </w:r>
      <w:r>
        <w:rPr>
          <w:spacing w:val="1"/>
          <w:sz w:val="20"/>
        </w:rPr>
        <w:t xml:space="preserve"> </w:t>
      </w:r>
      <w:r>
        <w:rPr>
          <w:sz w:val="20"/>
        </w:rPr>
        <w:t>que</w:t>
      </w:r>
      <w:r>
        <w:rPr>
          <w:spacing w:val="-1"/>
          <w:sz w:val="20"/>
        </w:rPr>
        <w:t xml:space="preserve"> </w:t>
      </w:r>
      <w:r>
        <w:rPr>
          <w:sz w:val="20"/>
        </w:rPr>
        <w:t>têm</w:t>
      </w:r>
      <w:r>
        <w:rPr>
          <w:spacing w:val="-5"/>
          <w:sz w:val="20"/>
        </w:rPr>
        <w:t xml:space="preserve"> </w:t>
      </w:r>
      <w:r>
        <w:rPr>
          <w:sz w:val="20"/>
        </w:rPr>
        <w:t>a</w:t>
      </w:r>
      <w:r>
        <w:rPr>
          <w:spacing w:val="2"/>
          <w:sz w:val="20"/>
        </w:rPr>
        <w:t xml:space="preserve"> </w:t>
      </w:r>
      <w:r>
        <w:rPr>
          <w:sz w:val="20"/>
        </w:rPr>
        <w:t>natureza</w:t>
      </w:r>
      <w:r>
        <w:rPr>
          <w:spacing w:val="2"/>
          <w:sz w:val="20"/>
        </w:rPr>
        <w:t xml:space="preserve"> </w:t>
      </w:r>
      <w:r>
        <w:rPr>
          <w:sz w:val="20"/>
        </w:rPr>
        <w:t>de</w:t>
      </w:r>
      <w:r>
        <w:rPr>
          <w:spacing w:val="-6"/>
          <w:sz w:val="20"/>
        </w:rPr>
        <w:t xml:space="preserve"> </w:t>
      </w:r>
      <w:r>
        <w:rPr>
          <w:sz w:val="20"/>
        </w:rPr>
        <w:t>sanção</w:t>
      </w:r>
      <w:r>
        <w:rPr>
          <w:spacing w:val="-3"/>
          <w:sz w:val="20"/>
        </w:rPr>
        <w:t xml:space="preserve"> </w:t>
      </w:r>
      <w:r>
        <w:rPr>
          <w:sz w:val="20"/>
        </w:rPr>
        <w:t>de ilícitos,</w:t>
      </w:r>
      <w:r>
        <w:rPr>
          <w:spacing w:val="3"/>
          <w:sz w:val="20"/>
        </w:rPr>
        <w:t xml:space="preserve"> </w:t>
      </w:r>
      <w:r>
        <w:rPr>
          <w:sz w:val="20"/>
        </w:rPr>
        <w:t>e</w:t>
      </w:r>
      <w:r>
        <w:rPr>
          <w:spacing w:val="1"/>
          <w:sz w:val="20"/>
        </w:rPr>
        <w:t xml:space="preserve"> </w:t>
      </w:r>
      <w:r>
        <w:rPr>
          <w:sz w:val="20"/>
        </w:rPr>
        <w:t>não</w:t>
      </w:r>
      <w:r>
        <w:rPr>
          <w:spacing w:val="2"/>
          <w:sz w:val="20"/>
        </w:rPr>
        <w:t xml:space="preserve"> </w:t>
      </w:r>
      <w:r>
        <w:rPr>
          <w:sz w:val="20"/>
        </w:rPr>
        <w:t>de</w:t>
      </w:r>
      <w:r>
        <w:rPr>
          <w:spacing w:val="1"/>
          <w:sz w:val="20"/>
        </w:rPr>
        <w:t xml:space="preserve"> </w:t>
      </w:r>
      <w:r>
        <w:rPr>
          <w:spacing w:val="-2"/>
          <w:sz w:val="20"/>
        </w:rPr>
        <w:t>tributos;</w:t>
      </w:r>
    </w:p>
    <w:p w:rsidR="007259F2" w:rsidRDefault="00E655B4">
      <w:pPr>
        <w:ind w:left="2978" w:right="988"/>
        <w:jc w:val="both"/>
        <w:rPr>
          <w:sz w:val="20"/>
        </w:rPr>
      </w:pPr>
      <w:r>
        <w:rPr>
          <w:sz w:val="20"/>
        </w:rPr>
        <w:t>(IV) a origem</w:t>
      </w:r>
      <w:r>
        <w:rPr>
          <w:spacing w:val="-2"/>
          <w:sz w:val="20"/>
        </w:rPr>
        <w:t xml:space="preserve"> </w:t>
      </w:r>
      <w:r>
        <w:rPr>
          <w:sz w:val="20"/>
        </w:rPr>
        <w:t>legal do tributo (como prestação “instituída em lei”), repetindo o</w:t>
      </w:r>
      <w:r>
        <w:rPr>
          <w:spacing w:val="-7"/>
          <w:sz w:val="20"/>
        </w:rPr>
        <w:t xml:space="preserve"> </w:t>
      </w:r>
      <w:r>
        <w:rPr>
          <w:sz w:val="20"/>
        </w:rPr>
        <w:t>Código</w:t>
      </w:r>
      <w:r>
        <w:rPr>
          <w:spacing w:val="-6"/>
          <w:sz w:val="20"/>
        </w:rPr>
        <w:t xml:space="preserve"> </w:t>
      </w:r>
      <w:r>
        <w:rPr>
          <w:sz w:val="20"/>
        </w:rPr>
        <w:t>a</w:t>
      </w:r>
      <w:r>
        <w:rPr>
          <w:spacing w:val="-8"/>
          <w:sz w:val="20"/>
        </w:rPr>
        <w:t xml:space="preserve"> </w:t>
      </w:r>
      <w:r>
        <w:rPr>
          <w:sz w:val="20"/>
        </w:rPr>
        <w:t>ideia</w:t>
      </w:r>
      <w:r>
        <w:rPr>
          <w:spacing w:val="-9"/>
          <w:sz w:val="20"/>
        </w:rPr>
        <w:t xml:space="preserve"> </w:t>
      </w:r>
      <w:r>
        <w:rPr>
          <w:sz w:val="20"/>
        </w:rPr>
        <w:t>de</w:t>
      </w:r>
      <w:r>
        <w:rPr>
          <w:spacing w:val="-10"/>
          <w:sz w:val="20"/>
        </w:rPr>
        <w:t xml:space="preserve"> </w:t>
      </w:r>
      <w:r>
        <w:rPr>
          <w:sz w:val="20"/>
        </w:rPr>
        <w:t>que</w:t>
      </w:r>
      <w:r>
        <w:rPr>
          <w:spacing w:val="-7"/>
          <w:sz w:val="20"/>
        </w:rPr>
        <w:t xml:space="preserve"> </w:t>
      </w:r>
      <w:r>
        <w:rPr>
          <w:sz w:val="20"/>
        </w:rPr>
        <w:t>o</w:t>
      </w:r>
      <w:r>
        <w:rPr>
          <w:spacing w:val="-7"/>
          <w:sz w:val="20"/>
        </w:rPr>
        <w:t xml:space="preserve"> </w:t>
      </w:r>
      <w:r>
        <w:rPr>
          <w:sz w:val="20"/>
        </w:rPr>
        <w:t>tributo</w:t>
      </w:r>
      <w:r>
        <w:rPr>
          <w:spacing w:val="-6"/>
          <w:sz w:val="20"/>
        </w:rPr>
        <w:t xml:space="preserve"> </w:t>
      </w:r>
      <w:r>
        <w:rPr>
          <w:sz w:val="20"/>
        </w:rPr>
        <w:t>é</w:t>
      </w:r>
      <w:r>
        <w:rPr>
          <w:spacing w:val="-10"/>
          <w:sz w:val="20"/>
        </w:rPr>
        <w:t xml:space="preserve"> </w:t>
      </w:r>
      <w:r>
        <w:rPr>
          <w:sz w:val="20"/>
        </w:rPr>
        <w:t>determinado</w:t>
      </w:r>
      <w:r>
        <w:rPr>
          <w:spacing w:val="-3"/>
          <w:sz w:val="20"/>
        </w:rPr>
        <w:t xml:space="preserve"> </w:t>
      </w:r>
      <w:r>
        <w:rPr>
          <w:sz w:val="20"/>
        </w:rPr>
        <w:t>pela</w:t>
      </w:r>
      <w:r>
        <w:rPr>
          <w:spacing w:val="-7"/>
          <w:sz w:val="20"/>
        </w:rPr>
        <w:t xml:space="preserve"> </w:t>
      </w:r>
      <w:r>
        <w:rPr>
          <w:sz w:val="20"/>
        </w:rPr>
        <w:t>lei</w:t>
      </w:r>
      <w:r>
        <w:rPr>
          <w:spacing w:val="-8"/>
          <w:sz w:val="20"/>
        </w:rPr>
        <w:t xml:space="preserve"> </w:t>
      </w:r>
      <w:r>
        <w:rPr>
          <w:sz w:val="20"/>
        </w:rPr>
        <w:t>e</w:t>
      </w:r>
      <w:r>
        <w:rPr>
          <w:spacing w:val="-8"/>
          <w:sz w:val="20"/>
        </w:rPr>
        <w:t xml:space="preserve"> </w:t>
      </w:r>
      <w:r>
        <w:rPr>
          <w:sz w:val="20"/>
        </w:rPr>
        <w:t>não</w:t>
      </w:r>
      <w:r>
        <w:rPr>
          <w:spacing w:val="-8"/>
          <w:sz w:val="20"/>
        </w:rPr>
        <w:t xml:space="preserve"> </w:t>
      </w:r>
      <w:r>
        <w:rPr>
          <w:sz w:val="20"/>
        </w:rPr>
        <w:t>pela</w:t>
      </w:r>
      <w:r>
        <w:rPr>
          <w:spacing w:val="-7"/>
          <w:sz w:val="20"/>
        </w:rPr>
        <w:t xml:space="preserve"> </w:t>
      </w:r>
      <w:r>
        <w:rPr>
          <w:sz w:val="20"/>
        </w:rPr>
        <w:t>vontade</w:t>
      </w:r>
      <w:r>
        <w:rPr>
          <w:spacing w:val="-1"/>
          <w:sz w:val="20"/>
        </w:rPr>
        <w:t xml:space="preserve"> </w:t>
      </w:r>
      <w:r>
        <w:rPr>
          <w:sz w:val="20"/>
        </w:rPr>
        <w:t>das partes</w:t>
      </w:r>
      <w:r>
        <w:rPr>
          <w:spacing w:val="27"/>
          <w:sz w:val="20"/>
        </w:rPr>
        <w:t xml:space="preserve"> </w:t>
      </w:r>
      <w:r>
        <w:rPr>
          <w:sz w:val="20"/>
        </w:rPr>
        <w:t>que</w:t>
      </w:r>
      <w:r>
        <w:rPr>
          <w:spacing w:val="28"/>
          <w:sz w:val="20"/>
        </w:rPr>
        <w:t xml:space="preserve"> </w:t>
      </w:r>
      <w:r>
        <w:rPr>
          <w:sz w:val="20"/>
        </w:rPr>
        <w:t>irão</w:t>
      </w:r>
      <w:r>
        <w:rPr>
          <w:spacing w:val="31"/>
          <w:sz w:val="20"/>
        </w:rPr>
        <w:t xml:space="preserve"> </w:t>
      </w:r>
      <w:r>
        <w:rPr>
          <w:sz w:val="20"/>
        </w:rPr>
        <w:t>figurar</w:t>
      </w:r>
      <w:r>
        <w:rPr>
          <w:spacing w:val="31"/>
          <w:sz w:val="20"/>
        </w:rPr>
        <w:t xml:space="preserve"> </w:t>
      </w:r>
      <w:r>
        <w:rPr>
          <w:sz w:val="20"/>
        </w:rPr>
        <w:t>como</w:t>
      </w:r>
      <w:r>
        <w:rPr>
          <w:spacing w:val="36"/>
          <w:sz w:val="20"/>
        </w:rPr>
        <w:t xml:space="preserve"> </w:t>
      </w:r>
      <w:r>
        <w:rPr>
          <w:sz w:val="20"/>
        </w:rPr>
        <w:t>credor e</w:t>
      </w:r>
      <w:r>
        <w:rPr>
          <w:spacing w:val="28"/>
          <w:sz w:val="20"/>
        </w:rPr>
        <w:t xml:space="preserve"> </w:t>
      </w:r>
      <w:r>
        <w:rPr>
          <w:sz w:val="20"/>
        </w:rPr>
        <w:t>devedor</w:t>
      </w:r>
      <w:r>
        <w:rPr>
          <w:spacing w:val="29"/>
          <w:sz w:val="20"/>
        </w:rPr>
        <w:t xml:space="preserve"> </w:t>
      </w:r>
      <w:r>
        <w:rPr>
          <w:sz w:val="20"/>
        </w:rPr>
        <w:t>da obrigação</w:t>
      </w:r>
      <w:r>
        <w:rPr>
          <w:spacing w:val="35"/>
          <w:sz w:val="20"/>
        </w:rPr>
        <w:t xml:space="preserve"> </w:t>
      </w:r>
      <w:r>
        <w:rPr>
          <w:sz w:val="20"/>
        </w:rPr>
        <w:t>tributária;</w:t>
      </w:r>
      <w:r>
        <w:rPr>
          <w:spacing w:val="33"/>
          <w:sz w:val="20"/>
        </w:rPr>
        <w:t xml:space="preserve"> </w:t>
      </w:r>
      <w:r>
        <w:rPr>
          <w:sz w:val="20"/>
        </w:rPr>
        <w:t>(V) a natureza vinculada (ou não discricionária) da atividade administrativa mediante a qual se cobra o tributo.</w:t>
      </w:r>
      <w:r>
        <w:rPr>
          <w:sz w:val="20"/>
          <w:vertAlign w:val="superscript"/>
        </w:rPr>
        <w:t>8</w:t>
      </w:r>
    </w:p>
    <w:p w:rsidR="007259F2" w:rsidRDefault="00E655B4">
      <w:pPr>
        <w:spacing w:before="228"/>
        <w:ind w:left="710" w:right="990" w:firstLine="707"/>
        <w:jc w:val="both"/>
        <w:rPr>
          <w:sz w:val="24"/>
        </w:rPr>
      </w:pPr>
      <w:r>
        <w:rPr>
          <w:sz w:val="24"/>
        </w:rPr>
        <w:t>Porém, em seu manual de Direito Tributário Brasileiro, Amaro traz críticas ao conceito de tributo definido na Lei nº 5.172 de 1966, ponderando que a forma mais correta de defini-lo seria: “</w:t>
      </w:r>
      <w:r>
        <w:rPr>
          <w:i/>
          <w:sz w:val="24"/>
        </w:rPr>
        <w:t>Tributo é a prestação pecuniária não sancionatória de ato ilícito, instituída em lei e a devida ao Estado ou a entidades não estatais de fins de interesse público.</w:t>
      </w:r>
      <w:r>
        <w:rPr>
          <w:sz w:val="24"/>
        </w:rPr>
        <w:t>”</w:t>
      </w:r>
    </w:p>
    <w:p w:rsidR="007259F2" w:rsidRDefault="00E655B4">
      <w:pPr>
        <w:pStyle w:val="Corpodetexto"/>
        <w:ind w:right="988"/>
      </w:pPr>
      <w:r>
        <w:t>Tal conceituação, como defendida pelo jurista, afirma o caráter pecuniário da prestação, que qualifica o tributo; registra o seu caráter não sancionatório, dele diferenciando</w:t>
      </w:r>
      <w:r>
        <w:rPr>
          <w:spacing w:val="-11"/>
        </w:rPr>
        <w:t xml:space="preserve"> </w:t>
      </w:r>
      <w:r>
        <w:t>as</w:t>
      </w:r>
      <w:r>
        <w:rPr>
          <w:spacing w:val="-13"/>
        </w:rPr>
        <w:t xml:space="preserve"> </w:t>
      </w:r>
      <w:r>
        <w:t>prestações pecuniários que configurem punições de infrações; assiná-la a necessidade de ser uma obrigação instituída em lei, em atenção ao princípio da legalidade tributária; especifica o credor da obrigação, que são o Estado e outras instituições não estatais, que persigam fins de interesse público.</w:t>
      </w:r>
      <w:r>
        <w:rPr>
          <w:vertAlign w:val="superscript"/>
        </w:rPr>
        <w:t>9</w:t>
      </w:r>
    </w:p>
    <w:p w:rsidR="007259F2" w:rsidRDefault="00DE6B1C">
      <w:pPr>
        <w:pStyle w:val="Corpodetexto"/>
        <w:spacing w:before="119"/>
        <w:ind w:left="0" w:firstLine="0"/>
        <w:jc w:val="left"/>
        <w:rPr>
          <w:sz w:val="20"/>
        </w:rPr>
      </w:pPr>
      <w:r w:rsidRPr="00DE6B1C">
        <w:rPr>
          <w:sz w:val="20"/>
        </w:rPr>
        <w:pict>
          <v:rect id="docshape75" o:spid="_x0000_s1151" style="position:absolute;margin-left:85.1pt;margin-top:18.7pt;width:2in;height:.7pt;z-index:-15698432;mso-wrap-distance-left:0;mso-wrap-distance-right:0;mso-position-horizontal-relative:page" fillcolor="black" stroked="f">
            <w10:wrap type="topAndBottom" anchorx="page"/>
          </v:rect>
        </w:pict>
      </w:r>
    </w:p>
    <w:p w:rsidR="007259F2" w:rsidRDefault="00E655B4">
      <w:pPr>
        <w:spacing w:before="96"/>
        <w:ind w:left="710" w:right="1123"/>
        <w:rPr>
          <w:sz w:val="20"/>
        </w:rPr>
      </w:pPr>
      <w:r>
        <w:rPr>
          <w:sz w:val="20"/>
          <w:vertAlign w:val="superscript"/>
        </w:rPr>
        <w:t>5</w:t>
      </w:r>
      <w:r>
        <w:rPr>
          <w:spacing w:val="-13"/>
          <w:sz w:val="20"/>
        </w:rPr>
        <w:t xml:space="preserve"> </w:t>
      </w:r>
      <w:r>
        <w:rPr>
          <w:sz w:val="20"/>
        </w:rPr>
        <w:t>AMARO,</w:t>
      </w:r>
      <w:r>
        <w:rPr>
          <w:spacing w:val="-9"/>
          <w:sz w:val="20"/>
        </w:rPr>
        <w:t xml:space="preserve"> </w:t>
      </w:r>
      <w:r>
        <w:rPr>
          <w:sz w:val="20"/>
        </w:rPr>
        <w:t>Luciano.</w:t>
      </w:r>
      <w:r>
        <w:rPr>
          <w:spacing w:val="-7"/>
          <w:sz w:val="20"/>
        </w:rPr>
        <w:t xml:space="preserve"> </w:t>
      </w:r>
      <w:r>
        <w:rPr>
          <w:b/>
          <w:sz w:val="20"/>
        </w:rPr>
        <w:t>Direito</w:t>
      </w:r>
      <w:r>
        <w:rPr>
          <w:b/>
          <w:spacing w:val="-10"/>
          <w:sz w:val="20"/>
        </w:rPr>
        <w:t xml:space="preserve"> </w:t>
      </w:r>
      <w:r>
        <w:rPr>
          <w:b/>
          <w:sz w:val="20"/>
        </w:rPr>
        <w:t>Tributário</w:t>
      </w:r>
      <w:r>
        <w:rPr>
          <w:b/>
          <w:spacing w:val="-7"/>
          <w:sz w:val="20"/>
        </w:rPr>
        <w:t xml:space="preserve"> </w:t>
      </w:r>
      <w:r>
        <w:rPr>
          <w:b/>
          <w:sz w:val="20"/>
        </w:rPr>
        <w:t>Brasileiro</w:t>
      </w:r>
      <w:r>
        <w:rPr>
          <w:b/>
          <w:spacing w:val="-5"/>
          <w:sz w:val="20"/>
        </w:rPr>
        <w:t xml:space="preserve"> </w:t>
      </w:r>
      <w:r>
        <w:rPr>
          <w:sz w:val="20"/>
        </w:rPr>
        <w:t>–</w:t>
      </w:r>
      <w:r>
        <w:rPr>
          <w:spacing w:val="-7"/>
          <w:sz w:val="20"/>
        </w:rPr>
        <w:t xml:space="preserve"> </w:t>
      </w:r>
      <w:r>
        <w:rPr>
          <w:sz w:val="20"/>
        </w:rPr>
        <w:t>24.</w:t>
      </w:r>
      <w:r>
        <w:rPr>
          <w:spacing w:val="-6"/>
          <w:sz w:val="20"/>
        </w:rPr>
        <w:t xml:space="preserve"> </w:t>
      </w:r>
      <w:r>
        <w:rPr>
          <w:sz w:val="20"/>
        </w:rPr>
        <w:t>ed.</w:t>
      </w:r>
      <w:r>
        <w:rPr>
          <w:spacing w:val="-9"/>
          <w:sz w:val="20"/>
        </w:rPr>
        <w:t xml:space="preserve"> </w:t>
      </w:r>
      <w:r>
        <w:rPr>
          <w:sz w:val="20"/>
        </w:rPr>
        <w:t>2021.</w:t>
      </w:r>
      <w:r>
        <w:rPr>
          <w:spacing w:val="-10"/>
          <w:sz w:val="20"/>
        </w:rPr>
        <w:t xml:space="preserve"> </w:t>
      </w:r>
      <w:r>
        <w:rPr>
          <w:sz w:val="20"/>
        </w:rPr>
        <w:t>São</w:t>
      </w:r>
      <w:r>
        <w:rPr>
          <w:spacing w:val="-7"/>
          <w:sz w:val="20"/>
        </w:rPr>
        <w:t xml:space="preserve"> </w:t>
      </w:r>
      <w:r>
        <w:rPr>
          <w:sz w:val="20"/>
        </w:rPr>
        <w:t>Paulo.</w:t>
      </w:r>
      <w:r>
        <w:rPr>
          <w:spacing w:val="-7"/>
          <w:sz w:val="20"/>
        </w:rPr>
        <w:t xml:space="preserve"> </w:t>
      </w:r>
      <w:r>
        <w:rPr>
          <w:sz w:val="20"/>
        </w:rPr>
        <w:t>Saraiva</w:t>
      </w:r>
      <w:r>
        <w:rPr>
          <w:spacing w:val="-8"/>
          <w:sz w:val="20"/>
        </w:rPr>
        <w:t xml:space="preserve"> </w:t>
      </w:r>
      <w:r>
        <w:rPr>
          <w:sz w:val="20"/>
        </w:rPr>
        <w:t>Educação</w:t>
      </w:r>
      <w:r>
        <w:rPr>
          <w:spacing w:val="-5"/>
          <w:sz w:val="20"/>
        </w:rPr>
        <w:t xml:space="preserve"> </w:t>
      </w:r>
      <w:r>
        <w:rPr>
          <w:sz w:val="20"/>
        </w:rPr>
        <w:t>S.A.,</w:t>
      </w:r>
      <w:r>
        <w:rPr>
          <w:spacing w:val="-6"/>
          <w:sz w:val="20"/>
        </w:rPr>
        <w:t xml:space="preserve"> </w:t>
      </w:r>
      <w:r>
        <w:rPr>
          <w:sz w:val="20"/>
        </w:rPr>
        <w:t>v. 3, 2021.</w:t>
      </w:r>
    </w:p>
    <w:p w:rsidR="007259F2" w:rsidRDefault="00E655B4">
      <w:pPr>
        <w:spacing w:line="228" w:lineRule="exact"/>
        <w:ind w:left="710"/>
        <w:rPr>
          <w:sz w:val="20"/>
        </w:rPr>
      </w:pPr>
      <w:r>
        <w:rPr>
          <w:sz w:val="20"/>
          <w:vertAlign w:val="superscript"/>
        </w:rPr>
        <w:t>6</w:t>
      </w:r>
      <w:r>
        <w:rPr>
          <w:spacing w:val="-13"/>
          <w:sz w:val="20"/>
        </w:rPr>
        <w:t xml:space="preserve"> </w:t>
      </w:r>
      <w:r>
        <w:rPr>
          <w:sz w:val="20"/>
        </w:rPr>
        <w:t>AMARO,</w:t>
      </w:r>
      <w:r>
        <w:rPr>
          <w:spacing w:val="-12"/>
          <w:sz w:val="20"/>
        </w:rPr>
        <w:t xml:space="preserve"> </w:t>
      </w:r>
      <w:r>
        <w:rPr>
          <w:i/>
          <w:sz w:val="20"/>
        </w:rPr>
        <w:t>op.</w:t>
      </w:r>
      <w:r>
        <w:rPr>
          <w:i/>
          <w:spacing w:val="-7"/>
          <w:sz w:val="20"/>
        </w:rPr>
        <w:t xml:space="preserve"> </w:t>
      </w:r>
      <w:r>
        <w:rPr>
          <w:i/>
          <w:sz w:val="20"/>
        </w:rPr>
        <w:t>cit</w:t>
      </w:r>
      <w:r>
        <w:rPr>
          <w:sz w:val="20"/>
        </w:rPr>
        <w:t>.,</w:t>
      </w:r>
      <w:r>
        <w:rPr>
          <w:spacing w:val="-11"/>
          <w:sz w:val="20"/>
        </w:rPr>
        <w:t xml:space="preserve"> </w:t>
      </w:r>
      <w:r>
        <w:rPr>
          <w:spacing w:val="-2"/>
          <w:sz w:val="20"/>
        </w:rPr>
        <w:t>2015.</w:t>
      </w:r>
    </w:p>
    <w:p w:rsidR="007259F2" w:rsidRDefault="00E655B4">
      <w:pPr>
        <w:spacing w:before="1"/>
        <w:ind w:left="710" w:right="990"/>
        <w:rPr>
          <w:sz w:val="20"/>
        </w:rPr>
      </w:pPr>
      <w:r>
        <w:rPr>
          <w:spacing w:val="-4"/>
          <w:sz w:val="20"/>
          <w:vertAlign w:val="superscript"/>
        </w:rPr>
        <w:t>7</w:t>
      </w:r>
      <w:r>
        <w:rPr>
          <w:sz w:val="20"/>
        </w:rPr>
        <w:t xml:space="preserve"> </w:t>
      </w:r>
      <w:r>
        <w:rPr>
          <w:spacing w:val="-4"/>
          <w:sz w:val="20"/>
        </w:rPr>
        <w:t>BRASIL.</w:t>
      </w:r>
      <w:r>
        <w:rPr>
          <w:spacing w:val="-6"/>
          <w:sz w:val="20"/>
        </w:rPr>
        <w:t xml:space="preserve"> </w:t>
      </w:r>
      <w:r>
        <w:rPr>
          <w:spacing w:val="-4"/>
          <w:sz w:val="20"/>
        </w:rPr>
        <w:t>Congresso</w:t>
      </w:r>
      <w:r>
        <w:rPr>
          <w:spacing w:val="-5"/>
          <w:sz w:val="20"/>
        </w:rPr>
        <w:t xml:space="preserve"> </w:t>
      </w:r>
      <w:r>
        <w:rPr>
          <w:spacing w:val="-4"/>
          <w:sz w:val="20"/>
        </w:rPr>
        <w:t>Nacional.</w:t>
      </w:r>
      <w:r>
        <w:rPr>
          <w:spacing w:val="-5"/>
          <w:sz w:val="20"/>
        </w:rPr>
        <w:t xml:space="preserve"> </w:t>
      </w:r>
      <w:r>
        <w:rPr>
          <w:b/>
          <w:spacing w:val="-4"/>
          <w:sz w:val="20"/>
        </w:rPr>
        <w:t>Lei</w:t>
      </w:r>
      <w:r>
        <w:rPr>
          <w:b/>
          <w:spacing w:val="-6"/>
          <w:sz w:val="20"/>
        </w:rPr>
        <w:t xml:space="preserve"> </w:t>
      </w:r>
      <w:r>
        <w:rPr>
          <w:b/>
          <w:spacing w:val="-4"/>
          <w:sz w:val="20"/>
        </w:rPr>
        <w:t>n.</w:t>
      </w:r>
      <w:r>
        <w:rPr>
          <w:b/>
          <w:spacing w:val="-8"/>
          <w:sz w:val="20"/>
        </w:rPr>
        <w:t xml:space="preserve"> </w:t>
      </w:r>
      <w:r>
        <w:rPr>
          <w:b/>
          <w:spacing w:val="-4"/>
          <w:sz w:val="20"/>
        </w:rPr>
        <w:t>5172,</w:t>
      </w:r>
      <w:r>
        <w:rPr>
          <w:b/>
          <w:spacing w:val="-6"/>
          <w:sz w:val="20"/>
        </w:rPr>
        <w:t xml:space="preserve"> </w:t>
      </w:r>
      <w:r>
        <w:rPr>
          <w:b/>
          <w:spacing w:val="-4"/>
          <w:sz w:val="20"/>
        </w:rPr>
        <w:t>de</w:t>
      </w:r>
      <w:r>
        <w:rPr>
          <w:b/>
          <w:spacing w:val="-6"/>
          <w:sz w:val="20"/>
        </w:rPr>
        <w:t xml:space="preserve"> </w:t>
      </w:r>
      <w:r>
        <w:rPr>
          <w:b/>
          <w:spacing w:val="-4"/>
          <w:sz w:val="20"/>
        </w:rPr>
        <w:t>24</w:t>
      </w:r>
      <w:r>
        <w:rPr>
          <w:b/>
          <w:spacing w:val="-7"/>
          <w:sz w:val="20"/>
        </w:rPr>
        <w:t xml:space="preserve"> </w:t>
      </w:r>
      <w:r>
        <w:rPr>
          <w:b/>
          <w:spacing w:val="-4"/>
          <w:sz w:val="20"/>
        </w:rPr>
        <w:t>de</w:t>
      </w:r>
      <w:r>
        <w:rPr>
          <w:b/>
          <w:spacing w:val="-8"/>
          <w:sz w:val="20"/>
        </w:rPr>
        <w:t xml:space="preserve"> </w:t>
      </w:r>
      <w:r>
        <w:rPr>
          <w:b/>
          <w:spacing w:val="-4"/>
          <w:sz w:val="20"/>
        </w:rPr>
        <w:t>outubro</w:t>
      </w:r>
      <w:r>
        <w:rPr>
          <w:b/>
          <w:spacing w:val="-5"/>
          <w:sz w:val="20"/>
        </w:rPr>
        <w:t xml:space="preserve"> </w:t>
      </w:r>
      <w:r>
        <w:rPr>
          <w:b/>
          <w:spacing w:val="-4"/>
          <w:sz w:val="20"/>
        </w:rPr>
        <w:t>de</w:t>
      </w:r>
      <w:r>
        <w:rPr>
          <w:b/>
          <w:spacing w:val="-8"/>
          <w:sz w:val="20"/>
        </w:rPr>
        <w:t xml:space="preserve"> </w:t>
      </w:r>
      <w:r>
        <w:rPr>
          <w:b/>
          <w:spacing w:val="-4"/>
          <w:sz w:val="20"/>
        </w:rPr>
        <w:t>1966</w:t>
      </w:r>
      <w:r>
        <w:rPr>
          <w:spacing w:val="-4"/>
          <w:sz w:val="20"/>
        </w:rPr>
        <w:t>.</w:t>
      </w:r>
      <w:r>
        <w:rPr>
          <w:spacing w:val="-6"/>
          <w:sz w:val="20"/>
        </w:rPr>
        <w:t xml:space="preserve"> </w:t>
      </w:r>
      <w:r>
        <w:rPr>
          <w:spacing w:val="-4"/>
          <w:sz w:val="20"/>
        </w:rPr>
        <w:t>Diário</w:t>
      </w:r>
      <w:r>
        <w:rPr>
          <w:spacing w:val="-5"/>
          <w:sz w:val="20"/>
        </w:rPr>
        <w:t xml:space="preserve"> </w:t>
      </w:r>
      <w:r>
        <w:rPr>
          <w:spacing w:val="-4"/>
          <w:sz w:val="20"/>
        </w:rPr>
        <w:t>Oficial</w:t>
      </w:r>
      <w:r>
        <w:rPr>
          <w:spacing w:val="-9"/>
          <w:sz w:val="20"/>
        </w:rPr>
        <w:t xml:space="preserve"> </w:t>
      </w:r>
      <w:r>
        <w:rPr>
          <w:spacing w:val="-4"/>
          <w:sz w:val="20"/>
        </w:rPr>
        <w:t>da</w:t>
      </w:r>
      <w:r>
        <w:rPr>
          <w:spacing w:val="-6"/>
          <w:sz w:val="20"/>
        </w:rPr>
        <w:t xml:space="preserve"> </w:t>
      </w:r>
      <w:r>
        <w:rPr>
          <w:spacing w:val="-4"/>
          <w:sz w:val="20"/>
        </w:rPr>
        <w:t>União,</w:t>
      </w:r>
      <w:r>
        <w:rPr>
          <w:spacing w:val="-8"/>
          <w:sz w:val="20"/>
        </w:rPr>
        <w:t xml:space="preserve"> </w:t>
      </w:r>
      <w:r>
        <w:rPr>
          <w:spacing w:val="-4"/>
          <w:sz w:val="20"/>
        </w:rPr>
        <w:t>Brasília,</w:t>
      </w:r>
      <w:r>
        <w:rPr>
          <w:spacing w:val="-6"/>
          <w:sz w:val="20"/>
        </w:rPr>
        <w:t xml:space="preserve"> </w:t>
      </w:r>
      <w:r>
        <w:rPr>
          <w:spacing w:val="-4"/>
          <w:sz w:val="20"/>
        </w:rPr>
        <w:t xml:space="preserve">25 </w:t>
      </w:r>
      <w:r>
        <w:rPr>
          <w:sz w:val="20"/>
        </w:rPr>
        <w:t xml:space="preserve">de outubro de 1966. Disponível em: </w:t>
      </w:r>
      <w:hyperlink r:id="rId97">
        <w:r>
          <w:rPr>
            <w:sz w:val="20"/>
          </w:rPr>
          <w:t>http://www.planalto.gov.br/ccivil_03/leis/l5172compilado.htm.</w:t>
        </w:r>
      </w:hyperlink>
    </w:p>
    <w:p w:rsidR="007259F2" w:rsidRDefault="00E655B4">
      <w:pPr>
        <w:spacing w:before="1"/>
        <w:ind w:left="710"/>
        <w:rPr>
          <w:sz w:val="20"/>
        </w:rPr>
      </w:pPr>
      <w:r>
        <w:rPr>
          <w:sz w:val="20"/>
        </w:rPr>
        <w:t>Acesso</w:t>
      </w:r>
      <w:r>
        <w:rPr>
          <w:spacing w:val="-7"/>
          <w:sz w:val="20"/>
        </w:rPr>
        <w:t xml:space="preserve"> </w:t>
      </w:r>
      <w:r>
        <w:rPr>
          <w:sz w:val="20"/>
        </w:rPr>
        <w:t>em:</w:t>
      </w:r>
      <w:r>
        <w:rPr>
          <w:spacing w:val="-9"/>
          <w:sz w:val="20"/>
        </w:rPr>
        <w:t xml:space="preserve"> </w:t>
      </w:r>
      <w:r>
        <w:rPr>
          <w:sz w:val="20"/>
        </w:rPr>
        <w:t>20</w:t>
      </w:r>
      <w:r>
        <w:rPr>
          <w:spacing w:val="-7"/>
          <w:sz w:val="20"/>
        </w:rPr>
        <w:t xml:space="preserve"> </w:t>
      </w:r>
      <w:r>
        <w:rPr>
          <w:sz w:val="20"/>
        </w:rPr>
        <w:t>mar.</w:t>
      </w:r>
      <w:r>
        <w:rPr>
          <w:spacing w:val="-8"/>
          <w:sz w:val="20"/>
        </w:rPr>
        <w:t xml:space="preserve"> </w:t>
      </w:r>
      <w:r>
        <w:rPr>
          <w:spacing w:val="-2"/>
          <w:sz w:val="20"/>
        </w:rPr>
        <w:t>2022.</w:t>
      </w:r>
    </w:p>
    <w:p w:rsidR="007259F2" w:rsidRDefault="00E655B4">
      <w:pPr>
        <w:ind w:left="710"/>
        <w:rPr>
          <w:sz w:val="20"/>
        </w:rPr>
      </w:pPr>
      <w:r>
        <w:rPr>
          <w:sz w:val="20"/>
          <w:vertAlign w:val="superscript"/>
        </w:rPr>
        <w:t>8</w:t>
      </w:r>
      <w:r>
        <w:rPr>
          <w:spacing w:val="-13"/>
          <w:sz w:val="20"/>
        </w:rPr>
        <w:t xml:space="preserve"> </w:t>
      </w:r>
      <w:r>
        <w:rPr>
          <w:sz w:val="20"/>
        </w:rPr>
        <w:t>AMARO,</w:t>
      </w:r>
      <w:r>
        <w:rPr>
          <w:spacing w:val="-12"/>
          <w:sz w:val="20"/>
        </w:rPr>
        <w:t xml:space="preserve"> </w:t>
      </w:r>
      <w:r>
        <w:rPr>
          <w:i/>
          <w:sz w:val="20"/>
        </w:rPr>
        <w:t>op.</w:t>
      </w:r>
      <w:r>
        <w:rPr>
          <w:i/>
          <w:spacing w:val="-7"/>
          <w:sz w:val="20"/>
        </w:rPr>
        <w:t xml:space="preserve"> </w:t>
      </w:r>
      <w:r>
        <w:rPr>
          <w:i/>
          <w:sz w:val="20"/>
        </w:rPr>
        <w:t>cit</w:t>
      </w:r>
      <w:r>
        <w:rPr>
          <w:sz w:val="20"/>
        </w:rPr>
        <w:t>.,</w:t>
      </w:r>
      <w:r>
        <w:rPr>
          <w:spacing w:val="-11"/>
          <w:sz w:val="20"/>
        </w:rPr>
        <w:t xml:space="preserve"> </w:t>
      </w:r>
      <w:r>
        <w:rPr>
          <w:spacing w:val="-2"/>
          <w:sz w:val="20"/>
        </w:rPr>
        <w:t>2015.</w:t>
      </w:r>
    </w:p>
    <w:p w:rsidR="007259F2" w:rsidRDefault="00E655B4">
      <w:pPr>
        <w:spacing w:before="1"/>
        <w:ind w:left="710"/>
        <w:rPr>
          <w:sz w:val="20"/>
        </w:rPr>
      </w:pPr>
      <w:r>
        <w:rPr>
          <w:sz w:val="20"/>
          <w:vertAlign w:val="superscript"/>
        </w:rPr>
        <w:t>9</w:t>
      </w:r>
      <w:r>
        <w:rPr>
          <w:spacing w:val="-13"/>
          <w:sz w:val="20"/>
        </w:rPr>
        <w:t xml:space="preserve"> </w:t>
      </w:r>
      <w:r>
        <w:rPr>
          <w:sz w:val="20"/>
        </w:rPr>
        <w:t>AMARO,</w:t>
      </w:r>
      <w:r>
        <w:rPr>
          <w:spacing w:val="-12"/>
          <w:sz w:val="20"/>
        </w:rPr>
        <w:t xml:space="preserve"> </w:t>
      </w:r>
      <w:r>
        <w:rPr>
          <w:i/>
          <w:sz w:val="20"/>
        </w:rPr>
        <w:t>op.</w:t>
      </w:r>
      <w:r>
        <w:rPr>
          <w:i/>
          <w:spacing w:val="-7"/>
          <w:sz w:val="20"/>
        </w:rPr>
        <w:t xml:space="preserve"> </w:t>
      </w:r>
      <w:r>
        <w:rPr>
          <w:i/>
          <w:sz w:val="20"/>
        </w:rPr>
        <w:t>cit</w:t>
      </w:r>
      <w:r>
        <w:rPr>
          <w:sz w:val="20"/>
        </w:rPr>
        <w:t>.,</w:t>
      </w:r>
      <w:r>
        <w:rPr>
          <w:spacing w:val="-11"/>
          <w:sz w:val="20"/>
        </w:rPr>
        <w:t xml:space="preserve"> </w:t>
      </w:r>
      <w:r>
        <w:rPr>
          <w:spacing w:val="-2"/>
          <w:sz w:val="20"/>
        </w:rPr>
        <w:t>2015.</w:t>
      </w:r>
    </w:p>
    <w:p w:rsidR="007259F2" w:rsidRDefault="007259F2">
      <w:pPr>
        <w:rPr>
          <w:sz w:val="20"/>
        </w:rPr>
        <w:sectPr w:rsidR="007259F2">
          <w:pgSz w:w="11910" w:h="16840"/>
          <w:pgMar w:top="1280" w:right="708" w:bottom="1160" w:left="992" w:header="0" w:footer="962" w:gutter="0"/>
          <w:cols w:space="720"/>
        </w:sectPr>
      </w:pPr>
    </w:p>
    <w:p w:rsidR="007259F2" w:rsidRDefault="00E655B4">
      <w:pPr>
        <w:pStyle w:val="Corpodetexto"/>
        <w:spacing w:before="69"/>
        <w:ind w:right="989"/>
      </w:pPr>
      <w:r>
        <w:lastRenderedPageBreak/>
        <w:t>O conceito tratado acima exclui as disposições que tornam redundante a acepção de tributo empregada pelo Código Tributário Nacional, muitas vezes gerando obscuridade em sua interpretação.</w:t>
      </w:r>
    </w:p>
    <w:p w:rsidR="007259F2" w:rsidRDefault="00E655B4">
      <w:pPr>
        <w:pStyle w:val="Corpodetexto"/>
        <w:spacing w:before="1"/>
        <w:ind w:left="1571" w:firstLine="0"/>
      </w:pPr>
      <w:r>
        <w:t>Geraldo</w:t>
      </w:r>
      <w:r>
        <w:rPr>
          <w:spacing w:val="-1"/>
        </w:rPr>
        <w:t xml:space="preserve"> </w:t>
      </w:r>
      <w:r>
        <w:t>Ataliba,</w:t>
      </w:r>
      <w:r>
        <w:rPr>
          <w:vertAlign w:val="superscript"/>
        </w:rPr>
        <w:t>10</w:t>
      </w:r>
      <w:r>
        <w:t xml:space="preserve"> define</w:t>
      </w:r>
      <w:r>
        <w:rPr>
          <w:spacing w:val="-3"/>
        </w:rPr>
        <w:t xml:space="preserve"> </w:t>
      </w:r>
      <w:r>
        <w:t>tributo</w:t>
      </w:r>
      <w:r>
        <w:rPr>
          <w:spacing w:val="-1"/>
        </w:rPr>
        <w:t xml:space="preserve"> </w:t>
      </w:r>
      <w:r>
        <w:t>da</w:t>
      </w:r>
      <w:r>
        <w:rPr>
          <w:spacing w:val="-5"/>
        </w:rPr>
        <w:t xml:space="preserve"> </w:t>
      </w:r>
      <w:r>
        <w:t>seguinte</w:t>
      </w:r>
      <w:r>
        <w:rPr>
          <w:spacing w:val="-2"/>
        </w:rPr>
        <w:t xml:space="preserve"> forma:</w:t>
      </w:r>
    </w:p>
    <w:p w:rsidR="007259F2" w:rsidRDefault="00E655B4">
      <w:pPr>
        <w:spacing w:before="121"/>
        <w:ind w:left="2978" w:right="990"/>
        <w:jc w:val="both"/>
        <w:rPr>
          <w:sz w:val="20"/>
        </w:rPr>
      </w:pPr>
      <w:r>
        <w:rPr>
          <w:sz w:val="20"/>
        </w:rPr>
        <w:t xml:space="preserve">(...) obrigação jurídica pecuniária, ex-lege, que se não constitui em sanção de ato ilícito, cujo sujeito ativo é uma pessoa pública, e cujo sujeito passivo é alguém nessa situação posto pela vontade da lei, obedecidos os desígnios </w:t>
      </w:r>
      <w:r>
        <w:rPr>
          <w:spacing w:val="-2"/>
          <w:sz w:val="20"/>
        </w:rPr>
        <w:t>constitucionais.</w:t>
      </w:r>
    </w:p>
    <w:p w:rsidR="007259F2" w:rsidRDefault="00E655B4">
      <w:pPr>
        <w:pStyle w:val="Corpodetexto"/>
        <w:spacing w:before="202"/>
        <w:ind w:right="989"/>
      </w:pPr>
      <w:r>
        <w:t>Nesse diapasão, abordado o conceito de tributo para fins de Direito Tributário, passamos a definir o Imposto de Renda para, mais adiante, aprofundarmos a análise proposta na pesquisa. Vejamos:</w:t>
      </w:r>
    </w:p>
    <w:p w:rsidR="007259F2" w:rsidRDefault="00E655B4">
      <w:pPr>
        <w:pStyle w:val="Heading2"/>
        <w:numPr>
          <w:ilvl w:val="0"/>
          <w:numId w:val="35"/>
        </w:numPr>
        <w:tabs>
          <w:tab w:val="left" w:pos="950"/>
        </w:tabs>
        <w:spacing w:before="205"/>
        <w:ind w:left="950" w:hanging="240"/>
      </w:pPr>
      <w:r>
        <w:t>Imposto</w:t>
      </w:r>
      <w:r>
        <w:rPr>
          <w:spacing w:val="-4"/>
        </w:rPr>
        <w:t xml:space="preserve"> </w:t>
      </w:r>
      <w:r>
        <w:t>de</w:t>
      </w:r>
      <w:r>
        <w:rPr>
          <w:spacing w:val="-1"/>
        </w:rPr>
        <w:t xml:space="preserve"> </w:t>
      </w:r>
      <w:r>
        <w:rPr>
          <w:spacing w:val="-2"/>
        </w:rPr>
        <w:t>renda</w:t>
      </w:r>
    </w:p>
    <w:p w:rsidR="007259F2" w:rsidRDefault="00E655B4">
      <w:pPr>
        <w:pStyle w:val="PargrafodaLista"/>
        <w:numPr>
          <w:ilvl w:val="1"/>
          <w:numId w:val="35"/>
        </w:numPr>
        <w:tabs>
          <w:tab w:val="left" w:pos="1069"/>
        </w:tabs>
        <w:spacing w:before="242"/>
        <w:ind w:left="1069" w:hanging="359"/>
        <w:rPr>
          <w:b/>
          <w:sz w:val="24"/>
        </w:rPr>
      </w:pPr>
      <w:r>
        <w:rPr>
          <w:b/>
          <w:sz w:val="24"/>
        </w:rPr>
        <w:t>Histórico</w:t>
      </w:r>
      <w:r>
        <w:rPr>
          <w:b/>
          <w:spacing w:val="-5"/>
          <w:sz w:val="24"/>
        </w:rPr>
        <w:t xml:space="preserve"> </w:t>
      </w:r>
      <w:r>
        <w:rPr>
          <w:b/>
          <w:sz w:val="24"/>
        </w:rPr>
        <w:t>do</w:t>
      </w:r>
      <w:r>
        <w:rPr>
          <w:b/>
          <w:spacing w:val="-4"/>
          <w:sz w:val="24"/>
        </w:rPr>
        <w:t xml:space="preserve"> </w:t>
      </w:r>
      <w:r>
        <w:rPr>
          <w:b/>
          <w:sz w:val="24"/>
        </w:rPr>
        <w:t>Imposto</w:t>
      </w:r>
      <w:r>
        <w:rPr>
          <w:b/>
          <w:spacing w:val="-3"/>
          <w:sz w:val="24"/>
        </w:rPr>
        <w:t xml:space="preserve"> </w:t>
      </w:r>
      <w:r>
        <w:rPr>
          <w:b/>
          <w:sz w:val="24"/>
        </w:rPr>
        <w:t>de</w:t>
      </w:r>
      <w:r>
        <w:rPr>
          <w:b/>
          <w:spacing w:val="-9"/>
          <w:sz w:val="24"/>
        </w:rPr>
        <w:t xml:space="preserve"> </w:t>
      </w:r>
      <w:r>
        <w:rPr>
          <w:b/>
          <w:spacing w:val="-4"/>
          <w:sz w:val="24"/>
        </w:rPr>
        <w:t>Renda</w:t>
      </w:r>
    </w:p>
    <w:p w:rsidR="007259F2" w:rsidRDefault="00E655B4">
      <w:pPr>
        <w:pStyle w:val="Corpodetexto"/>
        <w:spacing w:before="154"/>
        <w:ind w:right="996"/>
      </w:pPr>
      <w:r>
        <w:t>Há mais de um século se fala sobre a tributação de renda no Brasil. Em meados do século XIX, quando a composição econômica do país era majoritariamente agrária e extrativista, já existia a ideia de adotar o imposto de renda.</w:t>
      </w:r>
    </w:p>
    <w:p w:rsidR="007259F2" w:rsidRDefault="00E655B4">
      <w:pPr>
        <w:pStyle w:val="Corpodetexto"/>
        <w:ind w:right="988"/>
      </w:pPr>
      <w:r>
        <w:t>No art. 3º da Lei nº 4.625 de 1922 podemos verificar o imposto de renda em simples dispositivo. Sua arrecadação foi iniciada de forma apática, mas tomou forma quando preenchidas</w:t>
      </w:r>
      <w:r>
        <w:rPr>
          <w:spacing w:val="-3"/>
        </w:rPr>
        <w:t xml:space="preserve"> </w:t>
      </w:r>
      <w:r>
        <w:t>as</w:t>
      </w:r>
      <w:r>
        <w:rPr>
          <w:spacing w:val="-3"/>
        </w:rPr>
        <w:t xml:space="preserve"> </w:t>
      </w:r>
      <w:r>
        <w:t>lacunas do</w:t>
      </w:r>
      <w:r>
        <w:rPr>
          <w:spacing w:val="-3"/>
        </w:rPr>
        <w:t xml:space="preserve"> </w:t>
      </w:r>
      <w:r>
        <w:t>dispositivo</w:t>
      </w:r>
      <w:r>
        <w:rPr>
          <w:spacing w:val="-5"/>
        </w:rPr>
        <w:t xml:space="preserve"> </w:t>
      </w:r>
      <w:r>
        <w:t>por</w:t>
      </w:r>
      <w:r>
        <w:rPr>
          <w:spacing w:val="-1"/>
        </w:rPr>
        <w:t xml:space="preserve"> </w:t>
      </w:r>
      <w:r>
        <w:t>leis</w:t>
      </w:r>
      <w:r>
        <w:rPr>
          <w:spacing w:val="-3"/>
        </w:rPr>
        <w:t xml:space="preserve"> </w:t>
      </w:r>
      <w:r>
        <w:t>como</w:t>
      </w:r>
      <w:r>
        <w:rPr>
          <w:spacing w:val="-1"/>
        </w:rPr>
        <w:t xml:space="preserve"> </w:t>
      </w:r>
      <w:r>
        <w:t>Lei nº</w:t>
      </w:r>
      <w:r>
        <w:rPr>
          <w:spacing w:val="-4"/>
        </w:rPr>
        <w:t xml:space="preserve"> </w:t>
      </w:r>
      <w:r>
        <w:t>4.738</w:t>
      </w:r>
      <w:r>
        <w:rPr>
          <w:spacing w:val="-3"/>
        </w:rPr>
        <w:t xml:space="preserve"> </w:t>
      </w:r>
      <w:r>
        <w:t>de</w:t>
      </w:r>
      <w:r>
        <w:rPr>
          <w:spacing w:val="-4"/>
        </w:rPr>
        <w:t xml:space="preserve"> </w:t>
      </w:r>
      <w:r>
        <w:t>1923,</w:t>
      </w:r>
      <w:r>
        <w:rPr>
          <w:spacing w:val="-1"/>
        </w:rPr>
        <w:t xml:space="preserve"> </w:t>
      </w:r>
      <w:r>
        <w:t>Lei nº 4.984 de 1925, tendo sido decretado, no ano seguinte, o Regulamento Sousa Reis, inspirado no modelo francês de tipo compósito.</w:t>
      </w:r>
    </w:p>
    <w:p w:rsidR="007259F2" w:rsidRDefault="00E655B4">
      <w:pPr>
        <w:pStyle w:val="Corpodetexto"/>
        <w:ind w:right="996"/>
      </w:pPr>
      <w:r>
        <w:t>Os rendimentos foram categorizados e tributos de forma proporcional. A soma dos rendimentos era denominada renda bruta, que passava por deduções até sofrer a incidência do imposto.</w:t>
      </w:r>
      <w:r>
        <w:rPr>
          <w:vertAlign w:val="superscript"/>
        </w:rPr>
        <w:t>11</w:t>
      </w:r>
    </w:p>
    <w:p w:rsidR="007259F2" w:rsidRDefault="00E655B4">
      <w:pPr>
        <w:pStyle w:val="Corpodetexto"/>
        <w:ind w:right="992"/>
      </w:pPr>
      <w:r>
        <w:t>Dentre desse prisma de evolução, ocorreu a separação entre a tributação das sociedades e das pessoas físicas.</w:t>
      </w:r>
    </w:p>
    <w:p w:rsidR="007259F2" w:rsidRDefault="00E655B4">
      <w:pPr>
        <w:pStyle w:val="Corpodetexto"/>
        <w:ind w:right="991"/>
      </w:pPr>
      <w:r>
        <w:t>O imposto de renda, como verificado ao longo dos anos em países avançados economicamente, nos quais já equivale a 70% da arrecadação das receitas tributárias, tende a ocupar, no Brasil a primeira posição no orçamento, apenas superado no momento pelo IPI.</w:t>
      </w:r>
      <w:r>
        <w:rPr>
          <w:vertAlign w:val="superscript"/>
        </w:rPr>
        <w:t>12</w:t>
      </w:r>
    </w:p>
    <w:p w:rsidR="007259F2" w:rsidRDefault="00E655B4">
      <w:pPr>
        <w:pStyle w:val="Heading2"/>
        <w:jc w:val="left"/>
      </w:pPr>
      <w:r>
        <w:t>3.1.2</w:t>
      </w:r>
      <w:r>
        <w:rPr>
          <w:spacing w:val="-3"/>
        </w:rPr>
        <w:t xml:space="preserve"> </w:t>
      </w:r>
      <w:r>
        <w:t>Definição</w:t>
      </w:r>
      <w:r>
        <w:rPr>
          <w:spacing w:val="-3"/>
        </w:rPr>
        <w:t xml:space="preserve"> </w:t>
      </w:r>
      <w:r>
        <w:rPr>
          <w:spacing w:val="-4"/>
        </w:rPr>
        <w:t>Legal</w:t>
      </w:r>
    </w:p>
    <w:p w:rsidR="007259F2" w:rsidRDefault="00E655B4">
      <w:pPr>
        <w:pStyle w:val="Corpodetexto"/>
        <w:spacing w:before="194"/>
        <w:ind w:right="990" w:firstLine="765"/>
      </w:pPr>
      <w:r>
        <w:t>O imposto de renda é imposto direto e pessoal e encontra seu fundamento no</w:t>
      </w:r>
      <w:r>
        <w:rPr>
          <w:spacing w:val="40"/>
        </w:rPr>
        <w:t xml:space="preserve"> </w:t>
      </w:r>
      <w:r>
        <w:t xml:space="preserve">art. 153, inciso III da Constituição Federal de 1988, da seguinte forma: “Art. 153. Compete à União instituir impostos sobre: (...) III – renda e proventos de qualquer </w:t>
      </w:r>
      <w:r>
        <w:rPr>
          <w:spacing w:val="-2"/>
        </w:rPr>
        <w:t>natureza;”</w:t>
      </w:r>
      <w:r>
        <w:rPr>
          <w:spacing w:val="-2"/>
          <w:vertAlign w:val="superscript"/>
        </w:rPr>
        <w:t>13</w:t>
      </w:r>
    </w:p>
    <w:p w:rsidR="007259F2" w:rsidRDefault="007259F2">
      <w:pPr>
        <w:pStyle w:val="Corpodetexto"/>
        <w:ind w:left="0" w:firstLine="0"/>
        <w:jc w:val="left"/>
        <w:rPr>
          <w:sz w:val="20"/>
        </w:rPr>
      </w:pPr>
    </w:p>
    <w:p w:rsidR="007259F2" w:rsidRDefault="007259F2">
      <w:pPr>
        <w:pStyle w:val="Corpodetexto"/>
        <w:ind w:left="0" w:firstLine="0"/>
        <w:jc w:val="left"/>
        <w:rPr>
          <w:sz w:val="20"/>
        </w:rPr>
      </w:pPr>
    </w:p>
    <w:p w:rsidR="007259F2" w:rsidRDefault="00DE6B1C">
      <w:pPr>
        <w:pStyle w:val="Corpodetexto"/>
        <w:spacing w:before="82"/>
        <w:ind w:left="0" w:firstLine="0"/>
        <w:jc w:val="left"/>
        <w:rPr>
          <w:sz w:val="20"/>
        </w:rPr>
      </w:pPr>
      <w:r w:rsidRPr="00DE6B1C">
        <w:rPr>
          <w:sz w:val="20"/>
        </w:rPr>
        <w:pict>
          <v:rect id="docshape76" o:spid="_x0000_s1150" style="position:absolute;margin-left:85.1pt;margin-top:16.85pt;width:2in;height:.7pt;z-index:-15697920;mso-wrap-distance-left:0;mso-wrap-distance-right:0;mso-position-horizontal-relative:page" fillcolor="black" stroked="f">
            <w10:wrap type="topAndBottom" anchorx="page"/>
          </v:rect>
        </w:pict>
      </w:r>
    </w:p>
    <w:p w:rsidR="007259F2" w:rsidRDefault="00E655B4">
      <w:pPr>
        <w:spacing w:before="96"/>
        <w:ind w:left="710" w:right="1279"/>
        <w:rPr>
          <w:sz w:val="20"/>
        </w:rPr>
      </w:pPr>
      <w:r>
        <w:rPr>
          <w:sz w:val="20"/>
          <w:vertAlign w:val="superscript"/>
        </w:rPr>
        <w:t>10</w:t>
      </w:r>
      <w:r>
        <w:rPr>
          <w:spacing w:val="-13"/>
          <w:sz w:val="20"/>
        </w:rPr>
        <w:t xml:space="preserve"> </w:t>
      </w:r>
      <w:r>
        <w:rPr>
          <w:sz w:val="20"/>
        </w:rPr>
        <w:t>ATALIBA,</w:t>
      </w:r>
      <w:r>
        <w:rPr>
          <w:spacing w:val="-12"/>
          <w:sz w:val="20"/>
        </w:rPr>
        <w:t xml:space="preserve"> </w:t>
      </w:r>
      <w:r>
        <w:rPr>
          <w:sz w:val="20"/>
        </w:rPr>
        <w:t>Geraldo.</w:t>
      </w:r>
      <w:r>
        <w:rPr>
          <w:spacing w:val="-8"/>
          <w:sz w:val="20"/>
        </w:rPr>
        <w:t xml:space="preserve"> </w:t>
      </w:r>
      <w:r>
        <w:rPr>
          <w:b/>
          <w:sz w:val="20"/>
        </w:rPr>
        <w:t>Hipótese</w:t>
      </w:r>
      <w:r>
        <w:rPr>
          <w:b/>
          <w:spacing w:val="-8"/>
          <w:sz w:val="20"/>
        </w:rPr>
        <w:t xml:space="preserve"> </w:t>
      </w:r>
      <w:r>
        <w:rPr>
          <w:b/>
          <w:sz w:val="20"/>
        </w:rPr>
        <w:t>de</w:t>
      </w:r>
      <w:r>
        <w:rPr>
          <w:b/>
          <w:spacing w:val="-8"/>
          <w:sz w:val="20"/>
        </w:rPr>
        <w:t xml:space="preserve"> </w:t>
      </w:r>
      <w:r>
        <w:rPr>
          <w:b/>
          <w:sz w:val="20"/>
        </w:rPr>
        <w:t>Incidência</w:t>
      </w:r>
      <w:r>
        <w:rPr>
          <w:b/>
          <w:spacing w:val="-12"/>
          <w:sz w:val="20"/>
        </w:rPr>
        <w:t xml:space="preserve"> </w:t>
      </w:r>
      <w:r>
        <w:rPr>
          <w:b/>
          <w:sz w:val="20"/>
        </w:rPr>
        <w:t>Tributária</w:t>
      </w:r>
      <w:r>
        <w:rPr>
          <w:sz w:val="20"/>
        </w:rPr>
        <w:t>.</w:t>
      </w:r>
      <w:r>
        <w:rPr>
          <w:spacing w:val="-8"/>
          <w:sz w:val="20"/>
        </w:rPr>
        <w:t xml:space="preserve"> </w:t>
      </w:r>
      <w:r>
        <w:rPr>
          <w:sz w:val="20"/>
        </w:rPr>
        <w:t>6.</w:t>
      </w:r>
      <w:r>
        <w:rPr>
          <w:spacing w:val="-8"/>
          <w:sz w:val="20"/>
        </w:rPr>
        <w:t xml:space="preserve"> </w:t>
      </w:r>
      <w:r>
        <w:rPr>
          <w:sz w:val="20"/>
        </w:rPr>
        <w:t>ed.,</w:t>
      </w:r>
      <w:r>
        <w:rPr>
          <w:spacing w:val="-8"/>
          <w:sz w:val="20"/>
        </w:rPr>
        <w:t xml:space="preserve"> </w:t>
      </w:r>
      <w:r>
        <w:rPr>
          <w:sz w:val="20"/>
        </w:rPr>
        <w:t>7.</w:t>
      </w:r>
      <w:r>
        <w:rPr>
          <w:spacing w:val="-10"/>
          <w:sz w:val="20"/>
        </w:rPr>
        <w:t xml:space="preserve"> </w:t>
      </w:r>
      <w:r>
        <w:rPr>
          <w:sz w:val="20"/>
        </w:rPr>
        <w:t>Tiragem.</w:t>
      </w:r>
      <w:r>
        <w:rPr>
          <w:spacing w:val="-8"/>
          <w:sz w:val="20"/>
        </w:rPr>
        <w:t xml:space="preserve"> </w:t>
      </w:r>
      <w:r>
        <w:rPr>
          <w:sz w:val="20"/>
        </w:rPr>
        <w:t>São</w:t>
      </w:r>
      <w:r>
        <w:rPr>
          <w:spacing w:val="-8"/>
          <w:sz w:val="20"/>
        </w:rPr>
        <w:t xml:space="preserve"> </w:t>
      </w:r>
      <w:r>
        <w:rPr>
          <w:sz w:val="20"/>
        </w:rPr>
        <w:t>Paulo:</w:t>
      </w:r>
      <w:r>
        <w:rPr>
          <w:spacing w:val="-9"/>
          <w:sz w:val="20"/>
        </w:rPr>
        <w:t xml:space="preserve"> </w:t>
      </w:r>
      <w:r>
        <w:rPr>
          <w:sz w:val="20"/>
        </w:rPr>
        <w:t>Malheiros, 2005. p. 34.</w:t>
      </w:r>
    </w:p>
    <w:p w:rsidR="007259F2" w:rsidRDefault="00E655B4">
      <w:pPr>
        <w:spacing w:before="1"/>
        <w:ind w:left="710" w:right="1279"/>
        <w:rPr>
          <w:sz w:val="20"/>
        </w:rPr>
      </w:pPr>
      <w:r>
        <w:rPr>
          <w:sz w:val="20"/>
          <w:vertAlign w:val="superscript"/>
        </w:rPr>
        <w:t>11</w:t>
      </w:r>
      <w:r>
        <w:rPr>
          <w:spacing w:val="-7"/>
          <w:sz w:val="20"/>
        </w:rPr>
        <w:t xml:space="preserve"> </w:t>
      </w:r>
      <w:r>
        <w:rPr>
          <w:sz w:val="20"/>
        </w:rPr>
        <w:t>BALEEIRO,</w:t>
      </w:r>
      <w:r>
        <w:rPr>
          <w:spacing w:val="-13"/>
          <w:sz w:val="20"/>
        </w:rPr>
        <w:t xml:space="preserve"> </w:t>
      </w:r>
      <w:r>
        <w:rPr>
          <w:sz w:val="20"/>
        </w:rPr>
        <w:t>Aliomar;</w:t>
      </w:r>
      <w:r>
        <w:rPr>
          <w:spacing w:val="-9"/>
          <w:sz w:val="20"/>
        </w:rPr>
        <w:t xml:space="preserve"> </w:t>
      </w:r>
      <w:r>
        <w:rPr>
          <w:sz w:val="20"/>
        </w:rPr>
        <w:t>DERZI,</w:t>
      </w:r>
      <w:r>
        <w:rPr>
          <w:spacing w:val="-6"/>
          <w:sz w:val="20"/>
        </w:rPr>
        <w:t xml:space="preserve"> </w:t>
      </w:r>
      <w:r>
        <w:rPr>
          <w:sz w:val="20"/>
        </w:rPr>
        <w:t>Misabel.</w:t>
      </w:r>
      <w:r>
        <w:rPr>
          <w:spacing w:val="-5"/>
          <w:sz w:val="20"/>
        </w:rPr>
        <w:t xml:space="preserve"> </w:t>
      </w:r>
      <w:r>
        <w:rPr>
          <w:b/>
          <w:sz w:val="20"/>
        </w:rPr>
        <w:t>Direito</w:t>
      </w:r>
      <w:r>
        <w:rPr>
          <w:b/>
          <w:spacing w:val="-11"/>
          <w:sz w:val="20"/>
        </w:rPr>
        <w:t xml:space="preserve"> </w:t>
      </w:r>
      <w:r>
        <w:rPr>
          <w:b/>
          <w:sz w:val="20"/>
        </w:rPr>
        <w:t>Tributário</w:t>
      </w:r>
      <w:r>
        <w:rPr>
          <w:b/>
          <w:spacing w:val="-4"/>
          <w:sz w:val="20"/>
        </w:rPr>
        <w:t xml:space="preserve"> </w:t>
      </w:r>
      <w:r>
        <w:rPr>
          <w:b/>
          <w:sz w:val="20"/>
        </w:rPr>
        <w:t>Brasileiro</w:t>
      </w:r>
      <w:r>
        <w:rPr>
          <w:sz w:val="20"/>
        </w:rPr>
        <w:t>.</w:t>
      </w:r>
      <w:r>
        <w:rPr>
          <w:spacing w:val="-8"/>
          <w:sz w:val="20"/>
        </w:rPr>
        <w:t xml:space="preserve"> </w:t>
      </w:r>
      <w:r>
        <w:rPr>
          <w:sz w:val="20"/>
        </w:rPr>
        <w:t>14.</w:t>
      </w:r>
      <w:r>
        <w:rPr>
          <w:spacing w:val="-9"/>
          <w:sz w:val="20"/>
        </w:rPr>
        <w:t xml:space="preserve"> </w:t>
      </w:r>
      <w:r>
        <w:rPr>
          <w:sz w:val="20"/>
        </w:rPr>
        <w:t>ed.</w:t>
      </w:r>
      <w:r>
        <w:rPr>
          <w:spacing w:val="-8"/>
          <w:sz w:val="20"/>
        </w:rPr>
        <w:t xml:space="preserve"> </w:t>
      </w:r>
      <w:r>
        <w:rPr>
          <w:sz w:val="20"/>
        </w:rPr>
        <w:t>São</w:t>
      </w:r>
      <w:r>
        <w:rPr>
          <w:spacing w:val="-11"/>
          <w:sz w:val="20"/>
        </w:rPr>
        <w:t xml:space="preserve"> </w:t>
      </w:r>
      <w:r>
        <w:rPr>
          <w:sz w:val="20"/>
        </w:rPr>
        <w:t>Paulo</w:t>
      </w:r>
      <w:r>
        <w:rPr>
          <w:spacing w:val="-7"/>
          <w:sz w:val="20"/>
        </w:rPr>
        <w:t xml:space="preserve"> </w:t>
      </w:r>
      <w:r>
        <w:rPr>
          <w:sz w:val="20"/>
        </w:rPr>
        <w:t>-</w:t>
      </w:r>
      <w:r>
        <w:rPr>
          <w:spacing w:val="-9"/>
          <w:sz w:val="20"/>
        </w:rPr>
        <w:t xml:space="preserve"> </w:t>
      </w:r>
      <w:r>
        <w:rPr>
          <w:sz w:val="20"/>
        </w:rPr>
        <w:t>SP: Forense, 2018.</w:t>
      </w:r>
    </w:p>
    <w:p w:rsidR="007259F2" w:rsidRDefault="00E655B4">
      <w:pPr>
        <w:ind w:left="710"/>
        <w:rPr>
          <w:sz w:val="20"/>
        </w:rPr>
      </w:pPr>
      <w:r>
        <w:rPr>
          <w:sz w:val="20"/>
          <w:vertAlign w:val="superscript"/>
        </w:rPr>
        <w:t>12</w:t>
      </w:r>
      <w:r>
        <w:rPr>
          <w:spacing w:val="-4"/>
          <w:sz w:val="20"/>
        </w:rPr>
        <w:t xml:space="preserve"> </w:t>
      </w:r>
      <w:r>
        <w:rPr>
          <w:sz w:val="20"/>
        </w:rPr>
        <w:t>ASSOCIAÇÃO</w:t>
      </w:r>
      <w:r>
        <w:rPr>
          <w:spacing w:val="-1"/>
          <w:sz w:val="20"/>
        </w:rPr>
        <w:t xml:space="preserve"> </w:t>
      </w:r>
      <w:r>
        <w:rPr>
          <w:sz w:val="20"/>
        </w:rPr>
        <w:t>COMERCIAL</w:t>
      </w:r>
      <w:r>
        <w:rPr>
          <w:spacing w:val="-11"/>
          <w:sz w:val="20"/>
        </w:rPr>
        <w:t xml:space="preserve"> </w:t>
      </w:r>
      <w:r>
        <w:rPr>
          <w:sz w:val="20"/>
        </w:rPr>
        <w:t>DE</w:t>
      </w:r>
      <w:r>
        <w:rPr>
          <w:spacing w:val="-1"/>
          <w:sz w:val="20"/>
        </w:rPr>
        <w:t xml:space="preserve"> </w:t>
      </w:r>
      <w:r>
        <w:rPr>
          <w:sz w:val="20"/>
        </w:rPr>
        <w:t>SÃO</w:t>
      </w:r>
      <w:r>
        <w:rPr>
          <w:spacing w:val="-1"/>
          <w:sz w:val="20"/>
        </w:rPr>
        <w:t xml:space="preserve"> </w:t>
      </w:r>
      <w:r>
        <w:rPr>
          <w:sz w:val="20"/>
        </w:rPr>
        <w:t xml:space="preserve">PAULO. </w:t>
      </w:r>
      <w:r>
        <w:rPr>
          <w:b/>
          <w:sz w:val="20"/>
        </w:rPr>
        <w:t>Impostômetro</w:t>
      </w:r>
      <w:r>
        <w:rPr>
          <w:sz w:val="20"/>
        </w:rPr>
        <w:t>.</w:t>
      </w:r>
      <w:r>
        <w:rPr>
          <w:spacing w:val="-3"/>
          <w:sz w:val="20"/>
        </w:rPr>
        <w:t xml:space="preserve"> </w:t>
      </w:r>
      <w:r>
        <w:rPr>
          <w:sz w:val="20"/>
        </w:rPr>
        <w:t>São</w:t>
      </w:r>
      <w:r>
        <w:rPr>
          <w:spacing w:val="-3"/>
          <w:sz w:val="20"/>
        </w:rPr>
        <w:t xml:space="preserve"> </w:t>
      </w:r>
      <w:r>
        <w:rPr>
          <w:sz w:val="20"/>
        </w:rPr>
        <w:t>Paulo.</w:t>
      </w:r>
      <w:r>
        <w:rPr>
          <w:spacing w:val="-1"/>
          <w:sz w:val="20"/>
        </w:rPr>
        <w:t xml:space="preserve"> </w:t>
      </w:r>
      <w:r>
        <w:rPr>
          <w:sz w:val="20"/>
        </w:rPr>
        <w:t>Disponível em: https://impostometro.com.br.</w:t>
      </w:r>
      <w:r>
        <w:rPr>
          <w:spacing w:val="-12"/>
          <w:sz w:val="20"/>
        </w:rPr>
        <w:t xml:space="preserve"> </w:t>
      </w:r>
      <w:r>
        <w:rPr>
          <w:sz w:val="20"/>
        </w:rPr>
        <w:t>Acesso</w:t>
      </w:r>
      <w:r>
        <w:rPr>
          <w:spacing w:val="-6"/>
          <w:sz w:val="20"/>
        </w:rPr>
        <w:t xml:space="preserve"> </w:t>
      </w:r>
      <w:r>
        <w:rPr>
          <w:sz w:val="20"/>
        </w:rPr>
        <w:t>em:</w:t>
      </w:r>
      <w:r>
        <w:rPr>
          <w:spacing w:val="-7"/>
          <w:sz w:val="20"/>
        </w:rPr>
        <w:t xml:space="preserve"> </w:t>
      </w:r>
      <w:r>
        <w:rPr>
          <w:sz w:val="20"/>
        </w:rPr>
        <w:t>27</w:t>
      </w:r>
      <w:r>
        <w:rPr>
          <w:spacing w:val="-6"/>
          <w:sz w:val="20"/>
        </w:rPr>
        <w:t xml:space="preserve"> </w:t>
      </w:r>
      <w:r>
        <w:rPr>
          <w:sz w:val="20"/>
        </w:rPr>
        <w:t>abr.</w:t>
      </w:r>
      <w:r>
        <w:rPr>
          <w:spacing w:val="-9"/>
          <w:sz w:val="20"/>
        </w:rPr>
        <w:t xml:space="preserve"> </w:t>
      </w:r>
      <w:r>
        <w:rPr>
          <w:sz w:val="20"/>
        </w:rPr>
        <w:t>2022.</w:t>
      </w:r>
      <w:r>
        <w:rPr>
          <w:spacing w:val="-9"/>
          <w:sz w:val="20"/>
        </w:rPr>
        <w:t xml:space="preserve"> </w:t>
      </w:r>
      <w:r>
        <w:rPr>
          <w:sz w:val="20"/>
        </w:rPr>
        <w:t>Dados</w:t>
      </w:r>
      <w:r>
        <w:rPr>
          <w:spacing w:val="-8"/>
          <w:sz w:val="20"/>
        </w:rPr>
        <w:t xml:space="preserve"> </w:t>
      </w:r>
      <w:r>
        <w:rPr>
          <w:sz w:val="20"/>
        </w:rPr>
        <w:t>referente</w:t>
      </w:r>
      <w:r>
        <w:rPr>
          <w:spacing w:val="-7"/>
          <w:sz w:val="20"/>
        </w:rPr>
        <w:t xml:space="preserve"> </w:t>
      </w:r>
      <w:r>
        <w:rPr>
          <w:sz w:val="20"/>
        </w:rPr>
        <w:t>ao</w:t>
      </w:r>
      <w:r>
        <w:rPr>
          <w:spacing w:val="-6"/>
          <w:sz w:val="20"/>
        </w:rPr>
        <w:t xml:space="preserve"> </w:t>
      </w:r>
      <w:r>
        <w:rPr>
          <w:sz w:val="20"/>
        </w:rPr>
        <w:t>período</w:t>
      </w:r>
      <w:r>
        <w:rPr>
          <w:spacing w:val="-5"/>
          <w:sz w:val="20"/>
        </w:rPr>
        <w:t xml:space="preserve"> </w:t>
      </w:r>
      <w:r>
        <w:rPr>
          <w:sz w:val="20"/>
        </w:rPr>
        <w:t>entre</w:t>
      </w:r>
      <w:r>
        <w:rPr>
          <w:spacing w:val="-7"/>
          <w:sz w:val="20"/>
        </w:rPr>
        <w:t xml:space="preserve"> </w:t>
      </w:r>
      <w:r>
        <w:rPr>
          <w:sz w:val="20"/>
        </w:rPr>
        <w:t>01</w:t>
      </w:r>
      <w:r>
        <w:rPr>
          <w:spacing w:val="-6"/>
          <w:sz w:val="20"/>
        </w:rPr>
        <w:t xml:space="preserve"> </w:t>
      </w:r>
      <w:r>
        <w:rPr>
          <w:sz w:val="20"/>
        </w:rPr>
        <w:t>jan.</w:t>
      </w:r>
      <w:r>
        <w:rPr>
          <w:spacing w:val="-9"/>
          <w:sz w:val="20"/>
        </w:rPr>
        <w:t xml:space="preserve"> </w:t>
      </w:r>
      <w:r>
        <w:rPr>
          <w:sz w:val="20"/>
        </w:rPr>
        <w:t>2022</w:t>
      </w:r>
      <w:r>
        <w:rPr>
          <w:spacing w:val="-6"/>
          <w:sz w:val="20"/>
        </w:rPr>
        <w:t xml:space="preserve"> </w:t>
      </w:r>
      <w:r>
        <w:rPr>
          <w:sz w:val="20"/>
        </w:rPr>
        <w:t>e</w:t>
      </w:r>
      <w:r>
        <w:rPr>
          <w:spacing w:val="-9"/>
          <w:sz w:val="20"/>
        </w:rPr>
        <w:t xml:space="preserve"> </w:t>
      </w:r>
      <w:r>
        <w:rPr>
          <w:sz w:val="20"/>
        </w:rPr>
        <w:t>27</w:t>
      </w:r>
    </w:p>
    <w:p w:rsidR="007259F2" w:rsidRDefault="00E655B4">
      <w:pPr>
        <w:ind w:left="710"/>
        <w:rPr>
          <w:sz w:val="20"/>
        </w:rPr>
      </w:pPr>
      <w:r>
        <w:rPr>
          <w:spacing w:val="-2"/>
          <w:sz w:val="20"/>
        </w:rPr>
        <w:t>abr.</w:t>
      </w:r>
      <w:r>
        <w:rPr>
          <w:spacing w:val="-7"/>
          <w:sz w:val="20"/>
        </w:rPr>
        <w:t xml:space="preserve"> </w:t>
      </w:r>
      <w:r>
        <w:rPr>
          <w:spacing w:val="-4"/>
          <w:sz w:val="20"/>
        </w:rPr>
        <w:t>2022</w:t>
      </w:r>
    </w:p>
    <w:p w:rsidR="007259F2" w:rsidRDefault="00E655B4">
      <w:pPr>
        <w:ind w:left="710" w:right="990"/>
        <w:rPr>
          <w:sz w:val="20"/>
        </w:rPr>
      </w:pPr>
      <w:r>
        <w:rPr>
          <w:sz w:val="20"/>
          <w:vertAlign w:val="superscript"/>
        </w:rPr>
        <w:t>13</w:t>
      </w:r>
      <w:r>
        <w:rPr>
          <w:spacing w:val="-8"/>
          <w:sz w:val="20"/>
        </w:rPr>
        <w:t xml:space="preserve"> </w:t>
      </w:r>
      <w:r>
        <w:rPr>
          <w:sz w:val="20"/>
        </w:rPr>
        <w:t>BRASIL.</w:t>
      </w:r>
      <w:r>
        <w:rPr>
          <w:spacing w:val="-2"/>
          <w:sz w:val="20"/>
        </w:rPr>
        <w:t xml:space="preserve"> </w:t>
      </w:r>
      <w:r>
        <w:rPr>
          <w:b/>
          <w:sz w:val="20"/>
        </w:rPr>
        <w:t>Constituição</w:t>
      </w:r>
      <w:r>
        <w:rPr>
          <w:b/>
          <w:spacing w:val="-2"/>
          <w:sz w:val="20"/>
        </w:rPr>
        <w:t xml:space="preserve"> </w:t>
      </w:r>
      <w:r>
        <w:rPr>
          <w:b/>
          <w:sz w:val="20"/>
        </w:rPr>
        <w:t>da</w:t>
      </w:r>
      <w:r>
        <w:rPr>
          <w:b/>
          <w:spacing w:val="-3"/>
          <w:sz w:val="20"/>
        </w:rPr>
        <w:t xml:space="preserve"> </w:t>
      </w:r>
      <w:r>
        <w:rPr>
          <w:b/>
          <w:sz w:val="20"/>
        </w:rPr>
        <w:t>República</w:t>
      </w:r>
      <w:r>
        <w:rPr>
          <w:b/>
          <w:spacing w:val="-2"/>
          <w:sz w:val="20"/>
        </w:rPr>
        <w:t xml:space="preserve"> </w:t>
      </w:r>
      <w:r>
        <w:rPr>
          <w:b/>
          <w:sz w:val="20"/>
        </w:rPr>
        <w:t>Federativa</w:t>
      </w:r>
      <w:r>
        <w:rPr>
          <w:b/>
          <w:spacing w:val="-2"/>
          <w:sz w:val="20"/>
        </w:rPr>
        <w:t xml:space="preserve"> </w:t>
      </w:r>
      <w:r>
        <w:rPr>
          <w:b/>
          <w:sz w:val="20"/>
        </w:rPr>
        <w:t>do</w:t>
      </w:r>
      <w:r>
        <w:rPr>
          <w:b/>
          <w:spacing w:val="-3"/>
          <w:sz w:val="20"/>
        </w:rPr>
        <w:t xml:space="preserve"> </w:t>
      </w:r>
      <w:r>
        <w:rPr>
          <w:b/>
          <w:sz w:val="20"/>
        </w:rPr>
        <w:t>Brasil</w:t>
      </w:r>
      <w:r>
        <w:rPr>
          <w:sz w:val="20"/>
        </w:rPr>
        <w:t>,</w:t>
      </w:r>
      <w:r>
        <w:rPr>
          <w:spacing w:val="-3"/>
          <w:sz w:val="20"/>
        </w:rPr>
        <w:t xml:space="preserve"> </w:t>
      </w:r>
      <w:r>
        <w:rPr>
          <w:sz w:val="20"/>
        </w:rPr>
        <w:t>de</w:t>
      </w:r>
      <w:r>
        <w:rPr>
          <w:spacing w:val="-3"/>
          <w:sz w:val="20"/>
        </w:rPr>
        <w:t xml:space="preserve"> </w:t>
      </w:r>
      <w:r>
        <w:rPr>
          <w:sz w:val="20"/>
        </w:rPr>
        <w:t>04</w:t>
      </w:r>
      <w:r>
        <w:rPr>
          <w:spacing w:val="-4"/>
          <w:sz w:val="20"/>
        </w:rPr>
        <w:t xml:space="preserve"> </w:t>
      </w:r>
      <w:r>
        <w:rPr>
          <w:sz w:val="20"/>
        </w:rPr>
        <w:t>de</w:t>
      </w:r>
      <w:r>
        <w:rPr>
          <w:spacing w:val="-3"/>
          <w:sz w:val="20"/>
        </w:rPr>
        <w:t xml:space="preserve"> </w:t>
      </w:r>
      <w:r>
        <w:rPr>
          <w:sz w:val="20"/>
        </w:rPr>
        <w:t>outubro</w:t>
      </w:r>
      <w:r>
        <w:rPr>
          <w:spacing w:val="-2"/>
          <w:sz w:val="20"/>
        </w:rPr>
        <w:t xml:space="preserve"> </w:t>
      </w:r>
      <w:r>
        <w:rPr>
          <w:sz w:val="20"/>
        </w:rPr>
        <w:t>de</w:t>
      </w:r>
      <w:r>
        <w:rPr>
          <w:spacing w:val="-5"/>
          <w:sz w:val="20"/>
        </w:rPr>
        <w:t xml:space="preserve"> </w:t>
      </w:r>
      <w:r>
        <w:rPr>
          <w:sz w:val="20"/>
        </w:rPr>
        <w:t>1988.</w:t>
      </w:r>
      <w:r>
        <w:rPr>
          <w:spacing w:val="-5"/>
          <w:sz w:val="20"/>
        </w:rPr>
        <w:t xml:space="preserve"> </w:t>
      </w:r>
      <w:r>
        <w:rPr>
          <w:sz w:val="20"/>
        </w:rPr>
        <w:t>Diário</w:t>
      </w:r>
      <w:r>
        <w:rPr>
          <w:spacing w:val="-2"/>
          <w:sz w:val="20"/>
        </w:rPr>
        <w:t xml:space="preserve"> </w:t>
      </w:r>
      <w:r>
        <w:rPr>
          <w:sz w:val="20"/>
        </w:rPr>
        <w:t xml:space="preserve">Oficial da União, Brasília, 05 de outubro de 1988. Disponível em: </w:t>
      </w:r>
      <w:hyperlink r:id="rId98">
        <w:r>
          <w:rPr>
            <w:sz w:val="20"/>
          </w:rPr>
          <w:t>http://www.planalto.gov.br/ccivil_03/constituicao/constituicao.htm.</w:t>
        </w:r>
      </w:hyperlink>
      <w:r>
        <w:rPr>
          <w:sz w:val="20"/>
        </w:rPr>
        <w:t xml:space="preserve"> Acesso em: 2 mar. 2022.</w:t>
      </w:r>
    </w:p>
    <w:p w:rsidR="007259F2" w:rsidRDefault="007259F2">
      <w:pPr>
        <w:rPr>
          <w:sz w:val="20"/>
        </w:rPr>
        <w:sectPr w:rsidR="007259F2">
          <w:pgSz w:w="11910" w:h="16840"/>
          <w:pgMar w:top="1320" w:right="708" w:bottom="1160" w:left="992" w:header="0" w:footer="962" w:gutter="0"/>
          <w:cols w:space="720"/>
        </w:sectPr>
      </w:pPr>
    </w:p>
    <w:p w:rsidR="007259F2" w:rsidRDefault="00E655B4">
      <w:pPr>
        <w:pStyle w:val="Corpodetexto"/>
        <w:spacing w:before="109"/>
        <w:ind w:right="988"/>
      </w:pPr>
      <w:r>
        <w:lastRenderedPageBreak/>
        <w:t>Além disso, nos ensinamentos de Marcos Abraham</w:t>
      </w:r>
      <w:r>
        <w:rPr>
          <w:vertAlign w:val="superscript"/>
        </w:rPr>
        <w:t>14</w:t>
      </w:r>
      <w:r>
        <w:t>, o Imposto de Renda é de competência</w:t>
      </w:r>
      <w:r>
        <w:rPr>
          <w:spacing w:val="40"/>
        </w:rPr>
        <w:t xml:space="preserve"> </w:t>
      </w:r>
      <w:r>
        <w:t>privativa</w:t>
      </w:r>
      <w:r>
        <w:rPr>
          <w:spacing w:val="40"/>
        </w:rPr>
        <w:t xml:space="preserve"> </w:t>
      </w:r>
      <w:r>
        <w:t>da</w:t>
      </w:r>
      <w:r>
        <w:rPr>
          <w:spacing w:val="40"/>
        </w:rPr>
        <w:t xml:space="preserve"> </w:t>
      </w:r>
      <w:r>
        <w:t>União,</w:t>
      </w:r>
      <w:r>
        <w:rPr>
          <w:spacing w:val="40"/>
        </w:rPr>
        <w:t xml:space="preserve"> </w:t>
      </w:r>
      <w:r>
        <w:t>conforme</w:t>
      </w:r>
      <w:r>
        <w:rPr>
          <w:spacing w:val="40"/>
        </w:rPr>
        <w:t xml:space="preserve"> </w:t>
      </w:r>
      <w:r>
        <w:t>art.</w:t>
      </w:r>
      <w:r>
        <w:rPr>
          <w:spacing w:val="40"/>
        </w:rPr>
        <w:t xml:space="preserve"> </w:t>
      </w:r>
      <w:r>
        <w:t>153,</w:t>
      </w:r>
      <w:r>
        <w:rPr>
          <w:spacing w:val="40"/>
        </w:rPr>
        <w:t xml:space="preserve"> </w:t>
      </w:r>
      <w:r>
        <w:t>III</w:t>
      </w:r>
      <w:r>
        <w:rPr>
          <w:spacing w:val="40"/>
        </w:rPr>
        <w:t xml:space="preserve"> </w:t>
      </w:r>
      <w:r>
        <w:t>da</w:t>
      </w:r>
      <w:r>
        <w:rPr>
          <w:spacing w:val="40"/>
        </w:rPr>
        <w:t xml:space="preserve"> </w:t>
      </w:r>
      <w:r>
        <w:t>CF/88,</w:t>
      </w:r>
      <w:r>
        <w:rPr>
          <w:spacing w:val="40"/>
        </w:rPr>
        <w:t xml:space="preserve"> </w:t>
      </w:r>
      <w:r>
        <w:t>e</w:t>
      </w:r>
      <w:r>
        <w:rPr>
          <w:spacing w:val="40"/>
        </w:rPr>
        <w:t xml:space="preserve"> </w:t>
      </w:r>
      <w:r>
        <w:t>seu</w:t>
      </w:r>
      <w:r>
        <w:rPr>
          <w:spacing w:val="40"/>
        </w:rPr>
        <w:t xml:space="preserve"> </w:t>
      </w:r>
      <w:r>
        <w:t>fato</w:t>
      </w:r>
      <w:r>
        <w:rPr>
          <w:spacing w:val="80"/>
        </w:rPr>
        <w:t xml:space="preserve"> </w:t>
      </w:r>
      <w:r>
        <w:t>gerador</w:t>
      </w:r>
      <w:r>
        <w:rPr>
          <w:spacing w:val="39"/>
        </w:rPr>
        <w:t xml:space="preserve"> </w:t>
      </w:r>
      <w:r>
        <w:t>é</w:t>
      </w:r>
      <w:r>
        <w:rPr>
          <w:spacing w:val="39"/>
        </w:rPr>
        <w:t xml:space="preserve"> </w:t>
      </w:r>
      <w:r>
        <w:t>a aquisição</w:t>
      </w:r>
      <w:r>
        <w:rPr>
          <w:spacing w:val="-9"/>
        </w:rPr>
        <w:t xml:space="preserve"> </w:t>
      </w:r>
      <w:r>
        <w:t>de</w:t>
      </w:r>
      <w:r>
        <w:rPr>
          <w:spacing w:val="-9"/>
        </w:rPr>
        <w:t xml:space="preserve"> </w:t>
      </w:r>
      <w:r>
        <w:t>disponibilidade</w:t>
      </w:r>
      <w:r>
        <w:rPr>
          <w:spacing w:val="-11"/>
        </w:rPr>
        <w:t xml:space="preserve"> </w:t>
      </w:r>
      <w:r>
        <w:t>econômica</w:t>
      </w:r>
      <w:r>
        <w:rPr>
          <w:spacing w:val="-11"/>
        </w:rPr>
        <w:t xml:space="preserve"> </w:t>
      </w:r>
      <w:r>
        <w:t>ou</w:t>
      </w:r>
      <w:r>
        <w:rPr>
          <w:spacing w:val="-8"/>
        </w:rPr>
        <w:t xml:space="preserve"> </w:t>
      </w:r>
      <w:r>
        <w:t>jurídica</w:t>
      </w:r>
      <w:r>
        <w:rPr>
          <w:spacing w:val="-11"/>
        </w:rPr>
        <w:t xml:space="preserve"> </w:t>
      </w:r>
      <w:r>
        <w:t>de</w:t>
      </w:r>
      <w:r>
        <w:rPr>
          <w:spacing w:val="-12"/>
        </w:rPr>
        <w:t xml:space="preserve"> </w:t>
      </w:r>
      <w:r>
        <w:t>rendas</w:t>
      </w:r>
      <w:r>
        <w:rPr>
          <w:spacing w:val="-8"/>
        </w:rPr>
        <w:t xml:space="preserve"> </w:t>
      </w:r>
      <w:r>
        <w:t>e</w:t>
      </w:r>
      <w:r>
        <w:rPr>
          <w:spacing w:val="-9"/>
        </w:rPr>
        <w:t xml:space="preserve"> </w:t>
      </w:r>
      <w:r>
        <w:t>proventos</w:t>
      </w:r>
      <w:r>
        <w:rPr>
          <w:spacing w:val="-10"/>
        </w:rPr>
        <w:t xml:space="preserve"> </w:t>
      </w:r>
      <w:r>
        <w:t>de qualquer natureza. Tem índole arrecadatória, ainda que, de forma suplementar, possua função de redistribuição de rendas.</w:t>
      </w:r>
    </w:p>
    <w:p w:rsidR="007259F2" w:rsidRDefault="00E655B4">
      <w:pPr>
        <w:pStyle w:val="Corpodetexto"/>
        <w:spacing w:before="1"/>
        <w:ind w:right="988"/>
      </w:pPr>
      <w:r>
        <w:t>Segundo o art. 121 do Código Tributário Nacional,</w:t>
      </w:r>
      <w:r>
        <w:rPr>
          <w:vertAlign w:val="superscript"/>
        </w:rPr>
        <w:t>15</w:t>
      </w:r>
      <w:r>
        <w:t xml:space="preserve"> o sujeito passivo, ou contribuinte do imposto de renda poderá ser a pessoa física ou pessoa jurídica:</w:t>
      </w:r>
    </w:p>
    <w:p w:rsidR="007259F2" w:rsidRDefault="007259F2">
      <w:pPr>
        <w:pStyle w:val="Corpodetexto"/>
        <w:spacing w:before="1"/>
        <w:ind w:left="0" w:firstLine="0"/>
        <w:jc w:val="left"/>
      </w:pPr>
    </w:p>
    <w:p w:rsidR="007259F2" w:rsidRDefault="00E655B4">
      <w:pPr>
        <w:ind w:left="2978" w:right="990"/>
        <w:rPr>
          <w:sz w:val="20"/>
        </w:rPr>
      </w:pPr>
      <w:r>
        <w:rPr>
          <w:sz w:val="20"/>
        </w:rPr>
        <w:t>Art.</w:t>
      </w:r>
      <w:r>
        <w:rPr>
          <w:spacing w:val="40"/>
          <w:sz w:val="20"/>
        </w:rPr>
        <w:t xml:space="preserve"> </w:t>
      </w:r>
      <w:r>
        <w:rPr>
          <w:sz w:val="20"/>
        </w:rPr>
        <w:t>121.</w:t>
      </w:r>
      <w:r>
        <w:rPr>
          <w:spacing w:val="40"/>
          <w:sz w:val="20"/>
        </w:rPr>
        <w:t xml:space="preserve"> </w:t>
      </w:r>
      <w:r>
        <w:rPr>
          <w:sz w:val="20"/>
        </w:rPr>
        <w:t>Sujeito</w:t>
      </w:r>
      <w:r>
        <w:rPr>
          <w:spacing w:val="40"/>
          <w:sz w:val="20"/>
        </w:rPr>
        <w:t xml:space="preserve"> </w:t>
      </w:r>
      <w:r>
        <w:rPr>
          <w:sz w:val="20"/>
        </w:rPr>
        <w:t>passivo</w:t>
      </w:r>
      <w:r>
        <w:rPr>
          <w:spacing w:val="40"/>
          <w:sz w:val="20"/>
        </w:rPr>
        <w:t xml:space="preserve"> </w:t>
      </w:r>
      <w:r>
        <w:rPr>
          <w:sz w:val="20"/>
        </w:rPr>
        <w:t>da</w:t>
      </w:r>
      <w:r>
        <w:rPr>
          <w:spacing w:val="40"/>
          <w:sz w:val="20"/>
        </w:rPr>
        <w:t xml:space="preserve"> </w:t>
      </w:r>
      <w:r>
        <w:rPr>
          <w:sz w:val="20"/>
        </w:rPr>
        <w:t>obrigação</w:t>
      </w:r>
      <w:r>
        <w:rPr>
          <w:spacing w:val="40"/>
          <w:sz w:val="20"/>
        </w:rPr>
        <w:t xml:space="preserve"> </w:t>
      </w:r>
      <w:r>
        <w:rPr>
          <w:sz w:val="20"/>
        </w:rPr>
        <w:t>principal</w:t>
      </w:r>
      <w:r>
        <w:rPr>
          <w:spacing w:val="40"/>
          <w:sz w:val="20"/>
        </w:rPr>
        <w:t xml:space="preserve"> </w:t>
      </w:r>
      <w:r>
        <w:rPr>
          <w:sz w:val="20"/>
        </w:rPr>
        <w:t>é</w:t>
      </w:r>
      <w:r>
        <w:rPr>
          <w:spacing w:val="40"/>
          <w:sz w:val="20"/>
        </w:rPr>
        <w:t xml:space="preserve"> </w:t>
      </w:r>
      <w:r>
        <w:rPr>
          <w:sz w:val="20"/>
        </w:rPr>
        <w:t>a</w:t>
      </w:r>
      <w:r>
        <w:rPr>
          <w:spacing w:val="40"/>
          <w:sz w:val="20"/>
        </w:rPr>
        <w:t xml:space="preserve"> </w:t>
      </w:r>
      <w:r>
        <w:rPr>
          <w:sz w:val="20"/>
        </w:rPr>
        <w:t>pessoa</w:t>
      </w:r>
      <w:r>
        <w:rPr>
          <w:spacing w:val="40"/>
          <w:sz w:val="20"/>
        </w:rPr>
        <w:t xml:space="preserve"> </w:t>
      </w:r>
      <w:r>
        <w:rPr>
          <w:sz w:val="20"/>
        </w:rPr>
        <w:t>obrigada</w:t>
      </w:r>
      <w:r>
        <w:rPr>
          <w:spacing w:val="40"/>
          <w:sz w:val="20"/>
        </w:rPr>
        <w:t xml:space="preserve"> </w:t>
      </w:r>
      <w:r>
        <w:rPr>
          <w:sz w:val="20"/>
        </w:rPr>
        <w:t>ao pagamento de tributo ou penalidade pecuniária.</w:t>
      </w:r>
    </w:p>
    <w:p w:rsidR="007259F2" w:rsidRDefault="00E655B4">
      <w:pPr>
        <w:spacing w:before="1"/>
        <w:ind w:left="2978"/>
        <w:rPr>
          <w:sz w:val="20"/>
        </w:rPr>
      </w:pPr>
      <w:r>
        <w:rPr>
          <w:spacing w:val="-2"/>
          <w:sz w:val="20"/>
        </w:rPr>
        <w:t>Parágrafo</w:t>
      </w:r>
      <w:r>
        <w:rPr>
          <w:spacing w:val="-1"/>
          <w:sz w:val="20"/>
        </w:rPr>
        <w:t xml:space="preserve"> </w:t>
      </w:r>
      <w:r>
        <w:rPr>
          <w:spacing w:val="-2"/>
          <w:sz w:val="20"/>
        </w:rPr>
        <w:t>único.</w:t>
      </w:r>
      <w:r>
        <w:rPr>
          <w:spacing w:val="-3"/>
          <w:sz w:val="20"/>
        </w:rPr>
        <w:t xml:space="preserve"> </w:t>
      </w:r>
      <w:r>
        <w:rPr>
          <w:spacing w:val="-2"/>
          <w:sz w:val="20"/>
        </w:rPr>
        <w:t>O</w:t>
      </w:r>
      <w:r>
        <w:rPr>
          <w:spacing w:val="1"/>
          <w:sz w:val="20"/>
        </w:rPr>
        <w:t xml:space="preserve"> </w:t>
      </w:r>
      <w:r>
        <w:rPr>
          <w:spacing w:val="-2"/>
          <w:sz w:val="20"/>
        </w:rPr>
        <w:t>sujeito</w:t>
      </w:r>
      <w:r>
        <w:rPr>
          <w:spacing w:val="-1"/>
          <w:sz w:val="20"/>
        </w:rPr>
        <w:t xml:space="preserve"> </w:t>
      </w:r>
      <w:r>
        <w:rPr>
          <w:spacing w:val="-2"/>
          <w:sz w:val="20"/>
        </w:rPr>
        <w:t>passivo</w:t>
      </w:r>
      <w:r>
        <w:rPr>
          <w:spacing w:val="-1"/>
          <w:sz w:val="20"/>
        </w:rPr>
        <w:t xml:space="preserve"> </w:t>
      </w:r>
      <w:r>
        <w:rPr>
          <w:spacing w:val="-2"/>
          <w:sz w:val="20"/>
        </w:rPr>
        <w:t>da</w:t>
      </w:r>
      <w:r>
        <w:rPr>
          <w:sz w:val="20"/>
        </w:rPr>
        <w:t xml:space="preserve"> </w:t>
      </w:r>
      <w:r>
        <w:rPr>
          <w:spacing w:val="-2"/>
          <w:sz w:val="20"/>
        </w:rPr>
        <w:t>obrigação</w:t>
      </w:r>
      <w:r>
        <w:rPr>
          <w:spacing w:val="2"/>
          <w:sz w:val="20"/>
        </w:rPr>
        <w:t xml:space="preserve"> </w:t>
      </w:r>
      <w:r>
        <w:rPr>
          <w:spacing w:val="-2"/>
          <w:sz w:val="20"/>
        </w:rPr>
        <w:t>principal diz-</w:t>
      </w:r>
      <w:r>
        <w:rPr>
          <w:spacing w:val="-5"/>
          <w:sz w:val="20"/>
        </w:rPr>
        <w:t>se:</w:t>
      </w:r>
    </w:p>
    <w:p w:rsidR="007259F2" w:rsidRDefault="00E655B4">
      <w:pPr>
        <w:ind w:left="2978" w:right="990"/>
        <w:rPr>
          <w:sz w:val="20"/>
        </w:rPr>
      </w:pPr>
      <w:r>
        <w:rPr>
          <w:sz w:val="20"/>
        </w:rPr>
        <w:t>I</w:t>
      </w:r>
      <w:r>
        <w:rPr>
          <w:spacing w:val="28"/>
          <w:sz w:val="20"/>
        </w:rPr>
        <w:t xml:space="preserve"> </w:t>
      </w:r>
      <w:r>
        <w:rPr>
          <w:sz w:val="20"/>
        </w:rPr>
        <w:t>-</w:t>
      </w:r>
      <w:r>
        <w:rPr>
          <w:spacing w:val="26"/>
          <w:sz w:val="20"/>
        </w:rPr>
        <w:t xml:space="preserve"> </w:t>
      </w:r>
      <w:r>
        <w:rPr>
          <w:sz w:val="20"/>
        </w:rPr>
        <w:t>contribuinte,</w:t>
      </w:r>
      <w:r>
        <w:rPr>
          <w:spacing w:val="28"/>
          <w:sz w:val="20"/>
        </w:rPr>
        <w:t xml:space="preserve"> </w:t>
      </w:r>
      <w:r>
        <w:rPr>
          <w:sz w:val="20"/>
        </w:rPr>
        <w:t>quando</w:t>
      </w:r>
      <w:r>
        <w:rPr>
          <w:spacing w:val="28"/>
          <w:sz w:val="20"/>
        </w:rPr>
        <w:t xml:space="preserve"> </w:t>
      </w:r>
      <w:r>
        <w:rPr>
          <w:sz w:val="20"/>
        </w:rPr>
        <w:t>tenha</w:t>
      </w:r>
      <w:r>
        <w:rPr>
          <w:spacing w:val="31"/>
          <w:sz w:val="20"/>
        </w:rPr>
        <w:t xml:space="preserve"> </w:t>
      </w:r>
      <w:r>
        <w:rPr>
          <w:sz w:val="20"/>
        </w:rPr>
        <w:t>relação</w:t>
      </w:r>
      <w:r>
        <w:rPr>
          <w:spacing w:val="28"/>
          <w:sz w:val="20"/>
        </w:rPr>
        <w:t xml:space="preserve"> </w:t>
      </w:r>
      <w:r>
        <w:rPr>
          <w:sz w:val="20"/>
        </w:rPr>
        <w:t>pessoal</w:t>
      </w:r>
      <w:r>
        <w:rPr>
          <w:spacing w:val="27"/>
          <w:sz w:val="20"/>
        </w:rPr>
        <w:t xml:space="preserve"> </w:t>
      </w:r>
      <w:r>
        <w:rPr>
          <w:sz w:val="20"/>
        </w:rPr>
        <w:t>e</w:t>
      </w:r>
      <w:r>
        <w:rPr>
          <w:spacing w:val="27"/>
          <w:sz w:val="20"/>
        </w:rPr>
        <w:t xml:space="preserve"> </w:t>
      </w:r>
      <w:r>
        <w:rPr>
          <w:sz w:val="20"/>
        </w:rPr>
        <w:t>direta</w:t>
      </w:r>
      <w:r>
        <w:rPr>
          <w:spacing w:val="27"/>
          <w:sz w:val="20"/>
        </w:rPr>
        <w:t xml:space="preserve"> </w:t>
      </w:r>
      <w:r>
        <w:rPr>
          <w:sz w:val="20"/>
        </w:rPr>
        <w:t>com</w:t>
      </w:r>
      <w:r>
        <w:rPr>
          <w:spacing w:val="26"/>
          <w:sz w:val="20"/>
        </w:rPr>
        <w:t xml:space="preserve"> </w:t>
      </w:r>
      <w:r>
        <w:rPr>
          <w:sz w:val="20"/>
        </w:rPr>
        <w:t>a</w:t>
      </w:r>
      <w:r>
        <w:rPr>
          <w:spacing w:val="27"/>
          <w:sz w:val="20"/>
        </w:rPr>
        <w:t xml:space="preserve"> </w:t>
      </w:r>
      <w:r>
        <w:rPr>
          <w:sz w:val="20"/>
        </w:rPr>
        <w:t>situação</w:t>
      </w:r>
      <w:r>
        <w:rPr>
          <w:spacing w:val="28"/>
          <w:sz w:val="20"/>
        </w:rPr>
        <w:t xml:space="preserve"> </w:t>
      </w:r>
      <w:r>
        <w:rPr>
          <w:sz w:val="20"/>
        </w:rPr>
        <w:t>que constitua o respectivo fato gerador;</w:t>
      </w:r>
    </w:p>
    <w:p w:rsidR="007259F2" w:rsidRDefault="00E655B4">
      <w:pPr>
        <w:pStyle w:val="Corpodetexto"/>
        <w:spacing w:before="229"/>
        <w:ind w:right="992"/>
      </w:pPr>
      <w:r>
        <w:t>Ainda segundo o Código Tributário Nacional, faz-se importante mencionar seus artigos 43 a 45. Em especial, vejamos o art. 43:</w:t>
      </w:r>
    </w:p>
    <w:p w:rsidR="007259F2" w:rsidRDefault="007259F2">
      <w:pPr>
        <w:pStyle w:val="Corpodetexto"/>
        <w:spacing w:before="1"/>
        <w:ind w:left="0" w:firstLine="0"/>
        <w:jc w:val="left"/>
      </w:pPr>
    </w:p>
    <w:p w:rsidR="007259F2" w:rsidRDefault="00E655B4">
      <w:pPr>
        <w:ind w:left="2978" w:right="988"/>
        <w:jc w:val="both"/>
        <w:rPr>
          <w:sz w:val="20"/>
        </w:rPr>
      </w:pPr>
      <w:r>
        <w:rPr>
          <w:sz w:val="20"/>
        </w:rPr>
        <w:t>Art. 43. O imposto, de competência da União, sobre a renda e proventos de qualquer natureza tem como fato gerador a aquisição da disponibilidade econômica ou jurídica:</w:t>
      </w:r>
    </w:p>
    <w:p w:rsidR="007259F2" w:rsidRDefault="00E655B4">
      <w:pPr>
        <w:spacing w:before="1"/>
        <w:ind w:left="2978" w:right="986"/>
        <w:jc w:val="both"/>
        <w:rPr>
          <w:sz w:val="20"/>
        </w:rPr>
      </w:pPr>
      <w:r>
        <w:rPr>
          <w:sz w:val="20"/>
        </w:rPr>
        <w:t>I - de renda, assim entendido o produto do capital, do trabalho ou da combinação de ambos;</w:t>
      </w:r>
    </w:p>
    <w:p w:rsidR="007259F2" w:rsidRDefault="00E655B4">
      <w:pPr>
        <w:ind w:left="2978" w:right="989"/>
        <w:jc w:val="both"/>
        <w:rPr>
          <w:sz w:val="20"/>
        </w:rPr>
      </w:pPr>
      <w:r>
        <w:rPr>
          <w:sz w:val="20"/>
        </w:rPr>
        <w:t>II - de proventos de qualquer natureza, assim entendidos os acréscimos patrimoniais não compreendidos no inciso anterior.</w:t>
      </w:r>
    </w:p>
    <w:p w:rsidR="007259F2" w:rsidRDefault="00E655B4">
      <w:pPr>
        <w:ind w:left="2978" w:right="987"/>
        <w:jc w:val="both"/>
        <w:rPr>
          <w:sz w:val="20"/>
        </w:rPr>
      </w:pPr>
      <w:r>
        <w:rPr>
          <w:sz w:val="20"/>
        </w:rPr>
        <w:t>§ 1o A incidência do imposto independe da denominação da receita ou do rendimento, da localização, condição jurídica ou nacionalidade da fonte, da origem e da forma de percepção.</w:t>
      </w:r>
    </w:p>
    <w:p w:rsidR="007259F2" w:rsidRDefault="00E655B4">
      <w:pPr>
        <w:pStyle w:val="Corpodetexto"/>
        <w:spacing w:before="228"/>
        <w:ind w:right="989"/>
      </w:pPr>
      <w:r>
        <w:t>Da leitura do supramencionado artigo, é possível inferir que o fato gerador do imposto</w:t>
      </w:r>
      <w:r>
        <w:rPr>
          <w:spacing w:val="-4"/>
        </w:rPr>
        <w:t xml:space="preserve"> </w:t>
      </w:r>
      <w:r>
        <w:t>de renda ocorre quando há disponibilidade econômica da riqueza nova, ou seja, o acréscimo patrimonial já estudado neste trabalho. Nas palavras de</w:t>
      </w:r>
      <w:r>
        <w:rPr>
          <w:spacing w:val="-1"/>
        </w:rPr>
        <w:t xml:space="preserve"> </w:t>
      </w:r>
      <w:r>
        <w:t>Abraham:</w:t>
      </w:r>
      <w:r>
        <w:rPr>
          <w:vertAlign w:val="superscript"/>
        </w:rPr>
        <w:t>16</w:t>
      </w:r>
    </w:p>
    <w:p w:rsidR="007259F2" w:rsidRDefault="007259F2">
      <w:pPr>
        <w:pStyle w:val="Corpodetexto"/>
        <w:spacing w:before="1"/>
        <w:ind w:left="0" w:firstLine="0"/>
        <w:jc w:val="left"/>
      </w:pPr>
    </w:p>
    <w:p w:rsidR="007259F2" w:rsidRDefault="00E655B4">
      <w:pPr>
        <w:ind w:left="2978" w:right="987"/>
        <w:jc w:val="both"/>
        <w:rPr>
          <w:sz w:val="20"/>
        </w:rPr>
      </w:pPr>
      <w:r>
        <w:rPr>
          <w:sz w:val="20"/>
        </w:rPr>
        <w:t>O fato gerador do Imposto de Renda é o acréscimo patrimonial (riqueza</w:t>
      </w:r>
      <w:r>
        <w:rPr>
          <w:spacing w:val="40"/>
          <w:sz w:val="20"/>
        </w:rPr>
        <w:t xml:space="preserve"> </w:t>
      </w:r>
      <w:r>
        <w:rPr>
          <w:sz w:val="20"/>
        </w:rPr>
        <w:t>nova) disponível (faculdade de usar), independente da sua origem ou titularidade, desdobrando-se nos seguintes elementos: a) renda: acréscimo patrimonial, de caráter pessoal, graduada segundo a capacidade contributiva. Trata-se dos ganhos derivados do capital, do trabalho ou de ambos combinados. Importâncias recebidas por pessoa física ou jurídica, durante certo período, como remuneração de trabalho, lucro ou de investimento de capital; b) proventos: são os rendimentos derivados de aposentadoria,</w:t>
      </w:r>
      <w:r>
        <w:rPr>
          <w:spacing w:val="-2"/>
          <w:sz w:val="20"/>
        </w:rPr>
        <w:t xml:space="preserve"> </w:t>
      </w:r>
      <w:r>
        <w:rPr>
          <w:sz w:val="20"/>
        </w:rPr>
        <w:t>pensão e benefícios de natureza previdenciária, ou prêmios de loteria, recompensas, doações, e até ganhos ilícitos, entre outros.</w:t>
      </w:r>
    </w:p>
    <w:p w:rsidR="007259F2" w:rsidRDefault="00E655B4">
      <w:pPr>
        <w:pStyle w:val="Corpodetexto"/>
        <w:spacing w:before="229"/>
        <w:ind w:right="991"/>
      </w:pPr>
      <w:r>
        <w:t>No tocante ao fato gerador, deve ser destacado que a existência de dois tipos: (I) Imposto</w:t>
      </w:r>
      <w:r>
        <w:rPr>
          <w:spacing w:val="-3"/>
        </w:rPr>
        <w:t xml:space="preserve"> </w:t>
      </w:r>
      <w:r>
        <w:t>de</w:t>
      </w:r>
      <w:r>
        <w:rPr>
          <w:spacing w:val="-2"/>
        </w:rPr>
        <w:t xml:space="preserve"> </w:t>
      </w:r>
      <w:r>
        <w:t>renda</w:t>
      </w:r>
      <w:r>
        <w:rPr>
          <w:spacing w:val="-4"/>
        </w:rPr>
        <w:t xml:space="preserve"> </w:t>
      </w:r>
      <w:r>
        <w:t>pessoa</w:t>
      </w:r>
      <w:r>
        <w:rPr>
          <w:spacing w:val="-2"/>
        </w:rPr>
        <w:t xml:space="preserve"> </w:t>
      </w:r>
      <w:r>
        <w:t>física,</w:t>
      </w:r>
      <w:r>
        <w:rPr>
          <w:spacing w:val="-3"/>
        </w:rPr>
        <w:t xml:space="preserve"> </w:t>
      </w:r>
      <w:r>
        <w:t>no</w:t>
      </w:r>
      <w:r>
        <w:rPr>
          <w:spacing w:val="-3"/>
        </w:rPr>
        <w:t xml:space="preserve"> </w:t>
      </w:r>
      <w:r>
        <w:t>qual</w:t>
      </w:r>
      <w:r>
        <w:rPr>
          <w:spacing w:val="-3"/>
        </w:rPr>
        <w:t xml:space="preserve"> </w:t>
      </w:r>
      <w:r>
        <w:t>toda</w:t>
      </w:r>
      <w:r>
        <w:rPr>
          <w:spacing w:val="-4"/>
        </w:rPr>
        <w:t xml:space="preserve"> </w:t>
      </w:r>
      <w:r>
        <w:t>receita</w:t>
      </w:r>
      <w:r>
        <w:rPr>
          <w:spacing w:val="-4"/>
        </w:rPr>
        <w:t xml:space="preserve"> </w:t>
      </w:r>
      <w:r>
        <w:t>líquida</w:t>
      </w:r>
      <w:r>
        <w:rPr>
          <w:spacing w:val="-3"/>
        </w:rPr>
        <w:t xml:space="preserve"> </w:t>
      </w:r>
      <w:r>
        <w:t>auferida,</w:t>
      </w:r>
      <w:r>
        <w:rPr>
          <w:spacing w:val="-3"/>
        </w:rPr>
        <w:t xml:space="preserve"> </w:t>
      </w:r>
      <w:r>
        <w:t>ou</w:t>
      </w:r>
      <w:r>
        <w:rPr>
          <w:spacing w:val="-1"/>
        </w:rPr>
        <w:t xml:space="preserve"> </w:t>
      </w:r>
      <w:r>
        <w:t>seja,</w:t>
      </w:r>
      <w:r>
        <w:rPr>
          <w:spacing w:val="-3"/>
        </w:rPr>
        <w:t xml:space="preserve"> </w:t>
      </w:r>
      <w:r>
        <w:t>o</w:t>
      </w:r>
      <w:r>
        <w:rPr>
          <w:spacing w:val="-3"/>
        </w:rPr>
        <w:t xml:space="preserve"> </w:t>
      </w:r>
      <w:r>
        <w:t>resultado de</w:t>
      </w:r>
      <w:r>
        <w:rPr>
          <w:spacing w:val="-2"/>
        </w:rPr>
        <w:t xml:space="preserve"> </w:t>
      </w:r>
      <w:r>
        <w:t>tudo</w:t>
      </w:r>
      <w:r>
        <w:rPr>
          <w:spacing w:val="2"/>
        </w:rPr>
        <w:t xml:space="preserve"> </w:t>
      </w:r>
      <w:r>
        <w:t>o</w:t>
      </w:r>
      <w:r>
        <w:rPr>
          <w:spacing w:val="4"/>
        </w:rPr>
        <w:t xml:space="preserve"> </w:t>
      </w:r>
      <w:r>
        <w:t>que</w:t>
      </w:r>
      <w:r>
        <w:rPr>
          <w:spacing w:val="2"/>
        </w:rPr>
        <w:t xml:space="preserve"> </w:t>
      </w:r>
      <w:r>
        <w:t>se</w:t>
      </w:r>
      <w:r>
        <w:rPr>
          <w:spacing w:val="3"/>
        </w:rPr>
        <w:t xml:space="preserve"> </w:t>
      </w:r>
      <w:r>
        <w:t>ganhou</w:t>
      </w:r>
      <w:r>
        <w:rPr>
          <w:spacing w:val="4"/>
        </w:rPr>
        <w:t xml:space="preserve"> </w:t>
      </w:r>
      <w:r>
        <w:t>em</w:t>
      </w:r>
      <w:r>
        <w:rPr>
          <w:spacing w:val="1"/>
        </w:rPr>
        <w:t xml:space="preserve"> </w:t>
      </w:r>
      <w:r>
        <w:t>determinado</w:t>
      </w:r>
      <w:r>
        <w:rPr>
          <w:spacing w:val="2"/>
        </w:rPr>
        <w:t xml:space="preserve"> </w:t>
      </w:r>
      <w:r>
        <w:t>período</w:t>
      </w:r>
      <w:r>
        <w:rPr>
          <w:spacing w:val="4"/>
        </w:rPr>
        <w:t xml:space="preserve"> </w:t>
      </w:r>
      <w:r>
        <w:t>deduzidos</w:t>
      </w:r>
      <w:r>
        <w:rPr>
          <w:spacing w:val="1"/>
        </w:rPr>
        <w:t xml:space="preserve"> </w:t>
      </w:r>
      <w:r>
        <w:t>as</w:t>
      </w:r>
      <w:r>
        <w:rPr>
          <w:spacing w:val="2"/>
        </w:rPr>
        <w:t xml:space="preserve"> </w:t>
      </w:r>
      <w:r>
        <w:t>despesas</w:t>
      </w:r>
      <w:r>
        <w:rPr>
          <w:spacing w:val="4"/>
        </w:rPr>
        <w:t xml:space="preserve"> </w:t>
      </w:r>
      <w:r>
        <w:t>autorizadas</w:t>
      </w:r>
      <w:r>
        <w:rPr>
          <w:spacing w:val="2"/>
        </w:rPr>
        <w:t xml:space="preserve"> </w:t>
      </w:r>
      <w:r>
        <w:rPr>
          <w:spacing w:val="-5"/>
        </w:rPr>
        <w:t>por</w:t>
      </w:r>
    </w:p>
    <w:p w:rsidR="007259F2" w:rsidRDefault="007259F2">
      <w:pPr>
        <w:pStyle w:val="Corpodetexto"/>
        <w:ind w:left="0" w:firstLine="0"/>
        <w:jc w:val="left"/>
        <w:rPr>
          <w:sz w:val="20"/>
        </w:rPr>
      </w:pPr>
    </w:p>
    <w:p w:rsidR="007259F2" w:rsidRDefault="007259F2">
      <w:pPr>
        <w:pStyle w:val="Corpodetexto"/>
        <w:ind w:left="0" w:firstLine="0"/>
        <w:jc w:val="left"/>
        <w:rPr>
          <w:sz w:val="20"/>
        </w:rPr>
      </w:pPr>
    </w:p>
    <w:p w:rsidR="007259F2" w:rsidRDefault="007259F2">
      <w:pPr>
        <w:pStyle w:val="Corpodetexto"/>
        <w:ind w:left="0" w:firstLine="0"/>
        <w:jc w:val="left"/>
        <w:rPr>
          <w:sz w:val="20"/>
        </w:rPr>
      </w:pPr>
    </w:p>
    <w:p w:rsidR="007259F2" w:rsidRDefault="00DE6B1C">
      <w:pPr>
        <w:pStyle w:val="Corpodetexto"/>
        <w:spacing w:before="166"/>
        <w:ind w:left="0" w:firstLine="0"/>
        <w:jc w:val="left"/>
        <w:rPr>
          <w:sz w:val="20"/>
        </w:rPr>
      </w:pPr>
      <w:r w:rsidRPr="00DE6B1C">
        <w:rPr>
          <w:sz w:val="20"/>
        </w:rPr>
        <w:pict>
          <v:rect id="docshape77" o:spid="_x0000_s1149" style="position:absolute;margin-left:85.1pt;margin-top:21pt;width:2in;height:.7pt;z-index:-15697408;mso-wrap-distance-left:0;mso-wrap-distance-right:0;mso-position-horizontal-relative:page" fillcolor="black" stroked="f">
            <w10:wrap type="topAndBottom" anchorx="page"/>
          </v:rect>
        </w:pict>
      </w:r>
    </w:p>
    <w:p w:rsidR="007259F2" w:rsidRDefault="00E655B4">
      <w:pPr>
        <w:spacing w:before="94"/>
        <w:ind w:left="710" w:right="990"/>
        <w:rPr>
          <w:sz w:val="20"/>
        </w:rPr>
      </w:pPr>
      <w:r>
        <w:rPr>
          <w:sz w:val="20"/>
          <w:vertAlign w:val="superscript"/>
        </w:rPr>
        <w:t>14</w:t>
      </w:r>
      <w:r>
        <w:rPr>
          <w:spacing w:val="30"/>
          <w:sz w:val="20"/>
        </w:rPr>
        <w:t xml:space="preserve"> </w:t>
      </w:r>
      <w:r>
        <w:rPr>
          <w:sz w:val="20"/>
        </w:rPr>
        <w:t>ABRAHAM,</w:t>
      </w:r>
      <w:r>
        <w:rPr>
          <w:spacing w:val="30"/>
          <w:sz w:val="20"/>
        </w:rPr>
        <w:t xml:space="preserve"> </w:t>
      </w:r>
      <w:r>
        <w:rPr>
          <w:sz w:val="20"/>
        </w:rPr>
        <w:t>Marcus;</w:t>
      </w:r>
      <w:r>
        <w:rPr>
          <w:spacing w:val="29"/>
          <w:sz w:val="20"/>
        </w:rPr>
        <w:t xml:space="preserve"> </w:t>
      </w:r>
      <w:r>
        <w:rPr>
          <w:sz w:val="20"/>
        </w:rPr>
        <w:t>BARROSO,</w:t>
      </w:r>
      <w:r>
        <w:rPr>
          <w:spacing w:val="31"/>
          <w:sz w:val="20"/>
        </w:rPr>
        <w:t xml:space="preserve"> </w:t>
      </w:r>
      <w:r>
        <w:rPr>
          <w:sz w:val="20"/>
        </w:rPr>
        <w:t>Luis</w:t>
      </w:r>
      <w:r>
        <w:rPr>
          <w:spacing w:val="29"/>
          <w:sz w:val="20"/>
        </w:rPr>
        <w:t xml:space="preserve"> </w:t>
      </w:r>
      <w:r>
        <w:rPr>
          <w:sz w:val="20"/>
        </w:rPr>
        <w:t>Roberto.</w:t>
      </w:r>
      <w:r>
        <w:rPr>
          <w:spacing w:val="33"/>
          <w:sz w:val="20"/>
        </w:rPr>
        <w:t xml:space="preserve"> </w:t>
      </w:r>
      <w:r>
        <w:rPr>
          <w:b/>
          <w:sz w:val="20"/>
        </w:rPr>
        <w:t>Curso</w:t>
      </w:r>
      <w:r>
        <w:rPr>
          <w:b/>
          <w:spacing w:val="30"/>
          <w:sz w:val="20"/>
        </w:rPr>
        <w:t xml:space="preserve"> </w:t>
      </w:r>
      <w:r>
        <w:rPr>
          <w:b/>
          <w:sz w:val="20"/>
        </w:rPr>
        <w:t>de</w:t>
      </w:r>
      <w:r>
        <w:rPr>
          <w:b/>
          <w:spacing w:val="29"/>
          <w:sz w:val="20"/>
        </w:rPr>
        <w:t xml:space="preserve"> </w:t>
      </w:r>
      <w:r>
        <w:rPr>
          <w:b/>
          <w:sz w:val="20"/>
        </w:rPr>
        <w:t>Direito</w:t>
      </w:r>
      <w:r>
        <w:rPr>
          <w:b/>
          <w:spacing w:val="30"/>
          <w:sz w:val="20"/>
        </w:rPr>
        <w:t xml:space="preserve"> </w:t>
      </w:r>
      <w:r>
        <w:rPr>
          <w:b/>
          <w:sz w:val="20"/>
        </w:rPr>
        <w:t>Tributário</w:t>
      </w:r>
      <w:r>
        <w:rPr>
          <w:b/>
          <w:spacing w:val="31"/>
          <w:sz w:val="20"/>
        </w:rPr>
        <w:t xml:space="preserve"> </w:t>
      </w:r>
      <w:r>
        <w:rPr>
          <w:b/>
          <w:sz w:val="20"/>
        </w:rPr>
        <w:t>Brasileiro</w:t>
      </w:r>
      <w:r>
        <w:rPr>
          <w:sz w:val="20"/>
        </w:rPr>
        <w:t>.</w:t>
      </w:r>
      <w:r>
        <w:rPr>
          <w:spacing w:val="30"/>
          <w:sz w:val="20"/>
        </w:rPr>
        <w:t xml:space="preserve"> </w:t>
      </w:r>
      <w:r>
        <w:rPr>
          <w:sz w:val="20"/>
        </w:rPr>
        <w:t>Rio</w:t>
      </w:r>
      <w:r>
        <w:rPr>
          <w:spacing w:val="30"/>
          <w:sz w:val="20"/>
        </w:rPr>
        <w:t xml:space="preserve"> </w:t>
      </w:r>
      <w:r>
        <w:rPr>
          <w:sz w:val="20"/>
        </w:rPr>
        <w:t>de Janeiro: Gen|Forense, 2018, 476 p.</w:t>
      </w:r>
    </w:p>
    <w:p w:rsidR="007259F2" w:rsidRDefault="00E655B4">
      <w:pPr>
        <w:spacing w:before="1"/>
        <w:ind w:left="710" w:right="990"/>
        <w:rPr>
          <w:sz w:val="20"/>
        </w:rPr>
      </w:pPr>
      <w:r>
        <w:rPr>
          <w:sz w:val="20"/>
          <w:vertAlign w:val="superscript"/>
        </w:rPr>
        <w:t>15</w:t>
      </w:r>
      <w:r>
        <w:rPr>
          <w:spacing w:val="-3"/>
          <w:sz w:val="20"/>
        </w:rPr>
        <w:t xml:space="preserve"> </w:t>
      </w:r>
      <w:r>
        <w:rPr>
          <w:sz w:val="20"/>
        </w:rPr>
        <w:t>BRASIL.</w:t>
      </w:r>
      <w:r>
        <w:rPr>
          <w:spacing w:val="-3"/>
          <w:sz w:val="20"/>
        </w:rPr>
        <w:t xml:space="preserve"> </w:t>
      </w:r>
      <w:r>
        <w:rPr>
          <w:sz w:val="20"/>
        </w:rPr>
        <w:t>Congresso</w:t>
      </w:r>
      <w:r>
        <w:rPr>
          <w:spacing w:val="-2"/>
          <w:sz w:val="20"/>
        </w:rPr>
        <w:t xml:space="preserve"> </w:t>
      </w:r>
      <w:r>
        <w:rPr>
          <w:sz w:val="20"/>
        </w:rPr>
        <w:t xml:space="preserve">Nacional. </w:t>
      </w:r>
      <w:r>
        <w:rPr>
          <w:b/>
          <w:sz w:val="20"/>
        </w:rPr>
        <w:t>Lei</w:t>
      </w:r>
      <w:r>
        <w:rPr>
          <w:b/>
          <w:spacing w:val="-3"/>
          <w:sz w:val="20"/>
        </w:rPr>
        <w:t xml:space="preserve"> </w:t>
      </w:r>
      <w:r>
        <w:rPr>
          <w:b/>
          <w:sz w:val="20"/>
        </w:rPr>
        <w:t>n.</w:t>
      </w:r>
      <w:r>
        <w:rPr>
          <w:b/>
          <w:spacing w:val="-3"/>
          <w:sz w:val="20"/>
        </w:rPr>
        <w:t xml:space="preserve"> </w:t>
      </w:r>
      <w:r>
        <w:rPr>
          <w:b/>
          <w:sz w:val="20"/>
        </w:rPr>
        <w:t>5172,</w:t>
      </w:r>
      <w:r>
        <w:rPr>
          <w:b/>
          <w:spacing w:val="-3"/>
          <w:sz w:val="20"/>
        </w:rPr>
        <w:t xml:space="preserve"> </w:t>
      </w:r>
      <w:r>
        <w:rPr>
          <w:b/>
          <w:sz w:val="20"/>
        </w:rPr>
        <w:t>de</w:t>
      </w:r>
      <w:r>
        <w:rPr>
          <w:b/>
          <w:spacing w:val="-3"/>
          <w:sz w:val="20"/>
        </w:rPr>
        <w:t xml:space="preserve"> </w:t>
      </w:r>
      <w:r>
        <w:rPr>
          <w:b/>
          <w:sz w:val="20"/>
        </w:rPr>
        <w:t>24</w:t>
      </w:r>
      <w:r>
        <w:rPr>
          <w:b/>
          <w:spacing w:val="-2"/>
          <w:sz w:val="20"/>
        </w:rPr>
        <w:t xml:space="preserve"> </w:t>
      </w:r>
      <w:r>
        <w:rPr>
          <w:b/>
          <w:sz w:val="20"/>
        </w:rPr>
        <w:t>de</w:t>
      </w:r>
      <w:r>
        <w:rPr>
          <w:b/>
          <w:spacing w:val="-3"/>
          <w:sz w:val="20"/>
        </w:rPr>
        <w:t xml:space="preserve"> </w:t>
      </w:r>
      <w:r>
        <w:rPr>
          <w:b/>
          <w:sz w:val="20"/>
        </w:rPr>
        <w:t>outubro</w:t>
      </w:r>
      <w:r>
        <w:rPr>
          <w:b/>
          <w:spacing w:val="-2"/>
          <w:sz w:val="20"/>
        </w:rPr>
        <w:t xml:space="preserve"> </w:t>
      </w:r>
      <w:r>
        <w:rPr>
          <w:b/>
          <w:sz w:val="20"/>
        </w:rPr>
        <w:t>de</w:t>
      </w:r>
      <w:r>
        <w:rPr>
          <w:b/>
          <w:spacing w:val="-3"/>
          <w:sz w:val="20"/>
        </w:rPr>
        <w:t xml:space="preserve"> </w:t>
      </w:r>
      <w:r>
        <w:rPr>
          <w:b/>
          <w:sz w:val="20"/>
        </w:rPr>
        <w:t>1966</w:t>
      </w:r>
      <w:r>
        <w:rPr>
          <w:sz w:val="20"/>
        </w:rPr>
        <w:t>.</w:t>
      </w:r>
      <w:r>
        <w:rPr>
          <w:spacing w:val="-3"/>
          <w:sz w:val="20"/>
        </w:rPr>
        <w:t xml:space="preserve"> </w:t>
      </w:r>
      <w:r>
        <w:rPr>
          <w:sz w:val="20"/>
        </w:rPr>
        <w:t>Diário</w:t>
      </w:r>
      <w:r>
        <w:rPr>
          <w:spacing w:val="-2"/>
          <w:sz w:val="20"/>
        </w:rPr>
        <w:t xml:space="preserve"> </w:t>
      </w:r>
      <w:r>
        <w:rPr>
          <w:sz w:val="20"/>
        </w:rPr>
        <w:t>Oficial</w:t>
      </w:r>
      <w:r>
        <w:rPr>
          <w:spacing w:val="-3"/>
          <w:sz w:val="20"/>
        </w:rPr>
        <w:t xml:space="preserve"> </w:t>
      </w:r>
      <w:r>
        <w:rPr>
          <w:sz w:val="20"/>
        </w:rPr>
        <w:t>da</w:t>
      </w:r>
      <w:r>
        <w:rPr>
          <w:spacing w:val="-5"/>
          <w:sz w:val="20"/>
        </w:rPr>
        <w:t xml:space="preserve"> </w:t>
      </w:r>
      <w:r>
        <w:rPr>
          <w:sz w:val="20"/>
        </w:rPr>
        <w:t xml:space="preserve">União, Brasília, 25 de outubro de 1966. Disponível em: </w:t>
      </w:r>
      <w:hyperlink r:id="rId99">
        <w:r>
          <w:rPr>
            <w:sz w:val="20"/>
          </w:rPr>
          <w:t>http://www.planalto.gov.br/ccivil_03/leis/l5172compilado.htm.</w:t>
        </w:r>
      </w:hyperlink>
      <w:r>
        <w:rPr>
          <w:sz w:val="20"/>
        </w:rPr>
        <w:t xml:space="preserve"> Acesso em: 20 mar. 2022.</w:t>
      </w:r>
    </w:p>
    <w:p w:rsidR="007259F2" w:rsidRDefault="00E655B4">
      <w:pPr>
        <w:spacing w:before="1"/>
        <w:ind w:left="710"/>
        <w:rPr>
          <w:i/>
          <w:sz w:val="20"/>
        </w:rPr>
      </w:pPr>
      <w:r>
        <w:rPr>
          <w:sz w:val="20"/>
          <w:vertAlign w:val="superscript"/>
        </w:rPr>
        <w:t>16</w:t>
      </w:r>
      <w:r>
        <w:rPr>
          <w:spacing w:val="-6"/>
          <w:sz w:val="20"/>
        </w:rPr>
        <w:t xml:space="preserve"> </w:t>
      </w:r>
      <w:r>
        <w:rPr>
          <w:sz w:val="20"/>
        </w:rPr>
        <w:t>ABRAHAM;</w:t>
      </w:r>
      <w:r>
        <w:rPr>
          <w:spacing w:val="-6"/>
          <w:sz w:val="20"/>
        </w:rPr>
        <w:t xml:space="preserve"> </w:t>
      </w:r>
      <w:r>
        <w:rPr>
          <w:sz w:val="20"/>
        </w:rPr>
        <w:t>BARROSO,</w:t>
      </w:r>
      <w:r>
        <w:rPr>
          <w:spacing w:val="-3"/>
          <w:sz w:val="20"/>
        </w:rPr>
        <w:t xml:space="preserve"> </w:t>
      </w:r>
      <w:r>
        <w:rPr>
          <w:i/>
          <w:sz w:val="20"/>
        </w:rPr>
        <w:t>op.</w:t>
      </w:r>
      <w:r>
        <w:rPr>
          <w:i/>
          <w:spacing w:val="-6"/>
          <w:sz w:val="20"/>
        </w:rPr>
        <w:t xml:space="preserve"> </w:t>
      </w:r>
      <w:r>
        <w:rPr>
          <w:i/>
          <w:spacing w:val="-4"/>
          <w:sz w:val="20"/>
        </w:rPr>
        <w:t>cit.</w:t>
      </w:r>
    </w:p>
    <w:p w:rsidR="007259F2" w:rsidRDefault="007259F2">
      <w:pPr>
        <w:rPr>
          <w:i/>
          <w:sz w:val="20"/>
        </w:rPr>
        <w:sectPr w:rsidR="007259F2">
          <w:pgSz w:w="11910" w:h="16840"/>
          <w:pgMar w:top="1280" w:right="708" w:bottom="1160" w:left="992" w:header="0" w:footer="962" w:gutter="0"/>
          <w:cols w:space="720"/>
        </w:sectPr>
      </w:pPr>
    </w:p>
    <w:p w:rsidR="007259F2" w:rsidRDefault="00E655B4">
      <w:pPr>
        <w:pStyle w:val="Corpodetexto"/>
        <w:spacing w:before="109"/>
        <w:ind w:right="988" w:firstLine="0"/>
      </w:pPr>
      <w:r>
        <w:lastRenderedPageBreak/>
        <w:t>Lei</w:t>
      </w:r>
      <w:r>
        <w:rPr>
          <w:vertAlign w:val="superscript"/>
        </w:rPr>
        <w:t>17</w:t>
      </w:r>
      <w:r>
        <w:t xml:space="preserve">; (II) Imposto de renda pessoa jurídica, onde o fato gerador será aplicado sobre a obtenção do lucro em três possíveis critérios de apuração: o lucro real, presumido ou o </w:t>
      </w:r>
      <w:r>
        <w:rPr>
          <w:spacing w:val="-2"/>
        </w:rPr>
        <w:t>arbitrado.</w:t>
      </w:r>
    </w:p>
    <w:p w:rsidR="007259F2" w:rsidRDefault="00E655B4">
      <w:pPr>
        <w:pStyle w:val="Corpodetexto"/>
        <w:spacing w:before="1"/>
        <w:ind w:right="988"/>
      </w:pPr>
      <w:r>
        <w:t>Não é essencial aprofundarmos a análise do IRPJ nessa pesquisa, tendo em vista que o enfoque se dá sobre o Imposto de Renda da Pessoa Física quando falamos da tributação de dividendos. Dessa forma, compreendido o conceito de imposto de renda e seus fatos geradores, seguiremos com o entendimento da definição de renda, no plano</w:t>
      </w:r>
      <w:r>
        <w:rPr>
          <w:spacing w:val="40"/>
        </w:rPr>
        <w:t xml:space="preserve"> </w:t>
      </w:r>
      <w:r>
        <w:t>do direito.</w:t>
      </w:r>
    </w:p>
    <w:p w:rsidR="007259F2" w:rsidRDefault="00E655B4">
      <w:pPr>
        <w:pStyle w:val="Heading2"/>
        <w:numPr>
          <w:ilvl w:val="1"/>
          <w:numId w:val="35"/>
        </w:numPr>
        <w:tabs>
          <w:tab w:val="left" w:pos="1069"/>
        </w:tabs>
        <w:spacing w:before="206"/>
        <w:ind w:left="1069" w:hanging="359"/>
      </w:pPr>
      <w:r>
        <w:t>Definição</w:t>
      </w:r>
      <w:r>
        <w:rPr>
          <w:spacing w:val="-7"/>
        </w:rPr>
        <w:t xml:space="preserve"> </w:t>
      </w:r>
      <w:r>
        <w:t>de</w:t>
      </w:r>
      <w:r>
        <w:rPr>
          <w:spacing w:val="-6"/>
        </w:rPr>
        <w:t xml:space="preserve"> </w:t>
      </w:r>
      <w:r>
        <w:rPr>
          <w:spacing w:val="-4"/>
        </w:rPr>
        <w:t>Renda</w:t>
      </w:r>
    </w:p>
    <w:p w:rsidR="007259F2" w:rsidRDefault="00E655B4">
      <w:pPr>
        <w:pStyle w:val="Corpodetexto"/>
        <w:spacing w:before="156"/>
        <w:ind w:right="987"/>
      </w:pPr>
      <w:r>
        <w:t>Em um primeiro momento, tendo em vista as mais diversas acepções que a palavra “renda” pode ser empregada, é extremamente importante definir o objeto do estudo a ser realizado: Aqui, será examinado o conceito de renda necessário para materializar o imposto a que se refere as principais fontes do direito Tributário, que são a Constituição Federal de 1988 (art. 153, III) e o Código Tributário Nacional (art. 43 e s.).</w:t>
      </w:r>
      <w:r>
        <w:rPr>
          <w:spacing w:val="-9"/>
        </w:rPr>
        <w:t xml:space="preserve"> </w:t>
      </w:r>
      <w:r>
        <w:t>Dessa</w:t>
      </w:r>
      <w:r>
        <w:rPr>
          <w:spacing w:val="-11"/>
        </w:rPr>
        <w:t xml:space="preserve"> </w:t>
      </w:r>
      <w:r>
        <w:t>forma,</w:t>
      </w:r>
      <w:r>
        <w:rPr>
          <w:spacing w:val="-11"/>
        </w:rPr>
        <w:t xml:space="preserve"> </w:t>
      </w:r>
      <w:r>
        <w:t>por</w:t>
      </w:r>
      <w:r>
        <w:rPr>
          <w:spacing w:val="-9"/>
        </w:rPr>
        <w:t xml:space="preserve"> </w:t>
      </w:r>
      <w:r>
        <w:t>meio</w:t>
      </w:r>
      <w:r>
        <w:rPr>
          <w:spacing w:val="-10"/>
        </w:rPr>
        <w:t xml:space="preserve"> </w:t>
      </w:r>
      <w:r>
        <w:t>das</w:t>
      </w:r>
      <w:r>
        <w:rPr>
          <w:spacing w:val="-10"/>
        </w:rPr>
        <w:t xml:space="preserve"> </w:t>
      </w:r>
      <w:r>
        <w:t>premissas fixadas, que</w:t>
      </w:r>
      <w:r>
        <w:rPr>
          <w:spacing w:val="-1"/>
        </w:rPr>
        <w:t xml:space="preserve"> </w:t>
      </w:r>
      <w:r>
        <w:t>irão balizar</w:t>
      </w:r>
      <w:r>
        <w:rPr>
          <w:spacing w:val="-1"/>
        </w:rPr>
        <w:t xml:space="preserve"> </w:t>
      </w:r>
      <w:r>
        <w:t>o projeto, caracterizar- se-á a área de incidência do imposto sobre a renda e proventos de qualquer natureza.</w:t>
      </w:r>
    </w:p>
    <w:p w:rsidR="007259F2" w:rsidRDefault="00E655B4">
      <w:pPr>
        <w:pStyle w:val="Corpodetexto"/>
        <w:spacing w:before="1"/>
        <w:ind w:right="990"/>
      </w:pPr>
      <w:r>
        <w:t>Mesmo</w:t>
      </w:r>
      <w:r>
        <w:rPr>
          <w:spacing w:val="-1"/>
        </w:rPr>
        <w:t xml:space="preserve"> </w:t>
      </w:r>
      <w:r>
        <w:t>buscando</w:t>
      </w:r>
      <w:r>
        <w:rPr>
          <w:spacing w:val="-1"/>
        </w:rPr>
        <w:t xml:space="preserve"> </w:t>
      </w:r>
      <w:r>
        <w:t>o</w:t>
      </w:r>
      <w:r>
        <w:rPr>
          <w:spacing w:val="-1"/>
        </w:rPr>
        <w:t xml:space="preserve"> </w:t>
      </w:r>
      <w:r>
        <w:t>conceito</w:t>
      </w:r>
      <w:r>
        <w:rPr>
          <w:spacing w:val="-1"/>
        </w:rPr>
        <w:t xml:space="preserve"> </w:t>
      </w:r>
      <w:r>
        <w:t>de</w:t>
      </w:r>
      <w:r>
        <w:rPr>
          <w:spacing w:val="-2"/>
        </w:rPr>
        <w:t xml:space="preserve"> </w:t>
      </w:r>
      <w:r>
        <w:t>renda</w:t>
      </w:r>
      <w:r>
        <w:rPr>
          <w:spacing w:val="-2"/>
        </w:rPr>
        <w:t xml:space="preserve"> </w:t>
      </w:r>
      <w:r>
        <w:t>que</w:t>
      </w:r>
      <w:r>
        <w:rPr>
          <w:spacing w:val="-2"/>
        </w:rPr>
        <w:t xml:space="preserve"> </w:t>
      </w:r>
      <w:r>
        <w:t>importa</w:t>
      </w:r>
      <w:r>
        <w:rPr>
          <w:spacing w:val="-3"/>
        </w:rPr>
        <w:t xml:space="preserve"> </w:t>
      </w:r>
      <w:r>
        <w:t>para</w:t>
      </w:r>
      <w:r>
        <w:rPr>
          <w:spacing w:val="-3"/>
        </w:rPr>
        <w:t xml:space="preserve"> </w:t>
      </w:r>
      <w:r>
        <w:t>a</w:t>
      </w:r>
      <w:r>
        <w:rPr>
          <w:spacing w:val="-2"/>
        </w:rPr>
        <w:t xml:space="preserve"> </w:t>
      </w:r>
      <w:r>
        <w:t>definição</w:t>
      </w:r>
      <w:r>
        <w:rPr>
          <w:spacing w:val="-1"/>
        </w:rPr>
        <w:t xml:space="preserve"> </w:t>
      </w:r>
      <w:r>
        <w:t>do</w:t>
      </w:r>
      <w:r>
        <w:rPr>
          <w:spacing w:val="-1"/>
        </w:rPr>
        <w:t xml:space="preserve"> </w:t>
      </w:r>
      <w:r>
        <w:t>tributo</w:t>
      </w:r>
      <w:r>
        <w:rPr>
          <w:spacing w:val="-1"/>
        </w:rPr>
        <w:t xml:space="preserve"> </w:t>
      </w:r>
      <w:r>
        <w:t>em si, oportuno destacar a existência de divergência doutrinária sobre o tema. Paulo de Barros Carvalho</w:t>
      </w:r>
      <w:r>
        <w:rPr>
          <w:vertAlign w:val="superscript"/>
        </w:rPr>
        <w:t>18</w:t>
      </w:r>
      <w:r>
        <w:t xml:space="preserve"> identifica três correntes predominantes que versam sobre o conceito de renda: a teoria da fonte, a teoria legalista e a teoria do acréscimo patrimonial. </w:t>
      </w:r>
      <w:r>
        <w:rPr>
          <w:spacing w:val="-2"/>
        </w:rPr>
        <w:t>Vejamos:</w:t>
      </w:r>
    </w:p>
    <w:p w:rsidR="007259F2" w:rsidRDefault="007259F2">
      <w:pPr>
        <w:pStyle w:val="Corpodetexto"/>
        <w:spacing w:before="1"/>
        <w:ind w:left="0" w:firstLine="0"/>
        <w:jc w:val="left"/>
      </w:pPr>
    </w:p>
    <w:p w:rsidR="007259F2" w:rsidRDefault="00E655B4">
      <w:pPr>
        <w:pStyle w:val="PargrafodaLista"/>
        <w:numPr>
          <w:ilvl w:val="0"/>
          <w:numId w:val="34"/>
        </w:numPr>
        <w:tabs>
          <w:tab w:val="left" w:pos="3132"/>
        </w:tabs>
        <w:ind w:right="994" w:firstLine="0"/>
        <w:jc w:val="both"/>
        <w:rPr>
          <w:sz w:val="20"/>
        </w:rPr>
      </w:pPr>
      <w:r>
        <w:rPr>
          <w:sz w:val="20"/>
        </w:rPr>
        <w:t>“teoria da fonte”, para a qual “renda” é o produto de uma fonte estável, susceptível de preservar sua reprodução periódica, exigindo que haja riqueza nova (produto) derivada de fonte produtiva durável, devendo esta</w:t>
      </w:r>
      <w:r>
        <w:rPr>
          <w:spacing w:val="-1"/>
          <w:sz w:val="20"/>
        </w:rPr>
        <w:t xml:space="preserve"> </w:t>
      </w:r>
      <w:r>
        <w:rPr>
          <w:sz w:val="20"/>
        </w:rPr>
        <w:t>subsistir ao ato de produção;</w:t>
      </w:r>
    </w:p>
    <w:p w:rsidR="007259F2" w:rsidRDefault="00E655B4">
      <w:pPr>
        <w:pStyle w:val="PargrafodaLista"/>
        <w:numPr>
          <w:ilvl w:val="0"/>
          <w:numId w:val="34"/>
        </w:numPr>
        <w:tabs>
          <w:tab w:val="left" w:pos="3144"/>
        </w:tabs>
        <w:ind w:right="995" w:firstLine="0"/>
        <w:jc w:val="both"/>
        <w:rPr>
          <w:sz w:val="20"/>
        </w:rPr>
      </w:pPr>
      <w:r>
        <w:rPr>
          <w:sz w:val="20"/>
        </w:rPr>
        <w:t>“teoria legalista”, que considera “renda” um conceito normativo, a ser estipulado pela lei: renda é aquilo que a lei estabelecer que é; e</w:t>
      </w:r>
    </w:p>
    <w:p w:rsidR="007259F2" w:rsidRDefault="00E655B4">
      <w:pPr>
        <w:pStyle w:val="PargrafodaLista"/>
        <w:numPr>
          <w:ilvl w:val="0"/>
          <w:numId w:val="34"/>
        </w:numPr>
        <w:tabs>
          <w:tab w:val="left" w:pos="3132"/>
        </w:tabs>
        <w:spacing w:before="1"/>
        <w:ind w:right="993" w:firstLine="0"/>
        <w:jc w:val="both"/>
        <w:rPr>
          <w:sz w:val="20"/>
        </w:rPr>
      </w:pPr>
      <w:r>
        <w:rPr>
          <w:sz w:val="20"/>
        </w:rPr>
        <w:t>“teoria do acréscimo patrimonial”, onde “renda” é todo ingresso líquido,</w:t>
      </w:r>
      <w:r>
        <w:rPr>
          <w:spacing w:val="40"/>
          <w:sz w:val="20"/>
        </w:rPr>
        <w:t xml:space="preserve"> </w:t>
      </w:r>
      <w:r>
        <w:rPr>
          <w:sz w:val="20"/>
        </w:rPr>
        <w:t xml:space="preserve">em bens materiais, imateriais ou serviços avaliáveis em dinheiro, periódico, transitório ou acidental, de caráter oneroso ou gratuito, que importe um incremento líquido do patrimônio de determinado indivíduo, em certo </w:t>
      </w:r>
      <w:r>
        <w:rPr>
          <w:spacing w:val="-2"/>
          <w:sz w:val="20"/>
        </w:rPr>
        <w:t>período.</w:t>
      </w:r>
    </w:p>
    <w:p w:rsidR="007259F2" w:rsidRDefault="00E655B4">
      <w:pPr>
        <w:pStyle w:val="Corpodetexto"/>
        <w:spacing w:before="229"/>
        <w:ind w:right="989"/>
      </w:pPr>
      <w:r>
        <w:t>Apesar de não termos um entendimento pacífico no direito nacional, podemos observar a persistência da “</w:t>
      </w:r>
      <w:r>
        <w:rPr>
          <w:i/>
        </w:rPr>
        <w:t>teoria do acréscimo patrimonial”</w:t>
      </w:r>
      <w:r>
        <w:t>, onde o que se faz importante para o conceito de renda é o aumento do patrimônio líquido, sendo considerado como lucro tributável exatamente o acréscimo líquido verificado no patrimônio</w:t>
      </w:r>
      <w:r>
        <w:rPr>
          <w:spacing w:val="-1"/>
        </w:rPr>
        <w:t xml:space="preserve"> </w:t>
      </w:r>
      <w:r>
        <w:t>da</w:t>
      </w:r>
      <w:r>
        <w:rPr>
          <w:spacing w:val="-2"/>
        </w:rPr>
        <w:t xml:space="preserve"> </w:t>
      </w:r>
      <w:r>
        <w:t>empresa,</w:t>
      </w:r>
      <w:r>
        <w:rPr>
          <w:spacing w:val="-1"/>
        </w:rPr>
        <w:t xml:space="preserve"> </w:t>
      </w:r>
      <w:r>
        <w:t>durante</w:t>
      </w:r>
      <w:r>
        <w:rPr>
          <w:spacing w:val="-2"/>
        </w:rPr>
        <w:t xml:space="preserve"> </w:t>
      </w:r>
      <w:r>
        <w:t>período</w:t>
      </w:r>
      <w:r>
        <w:rPr>
          <w:spacing w:val="-2"/>
        </w:rPr>
        <w:t xml:space="preserve"> </w:t>
      </w:r>
      <w:r>
        <w:t>determinado,</w:t>
      </w:r>
      <w:r>
        <w:rPr>
          <w:spacing w:val="-1"/>
        </w:rPr>
        <w:t xml:space="preserve"> </w:t>
      </w:r>
      <w:r>
        <w:t>independentemente</w:t>
      </w:r>
      <w:r>
        <w:rPr>
          <w:spacing w:val="-2"/>
        </w:rPr>
        <w:t xml:space="preserve"> </w:t>
      </w:r>
      <w:r>
        <w:t>da</w:t>
      </w:r>
      <w:r>
        <w:rPr>
          <w:spacing w:val="-2"/>
        </w:rPr>
        <w:t xml:space="preserve"> </w:t>
      </w:r>
      <w:r>
        <w:t>origem</w:t>
      </w:r>
      <w:r>
        <w:rPr>
          <w:spacing w:val="-1"/>
        </w:rPr>
        <w:t xml:space="preserve"> </w:t>
      </w:r>
      <w:r>
        <w:t>das diferentes parcelas. É o que se depreende do art. 43 do Código Tributário Nacional.</w:t>
      </w:r>
      <w:r>
        <w:rPr>
          <w:vertAlign w:val="superscript"/>
        </w:rPr>
        <w:t>19</w:t>
      </w:r>
    </w:p>
    <w:p w:rsidR="007259F2" w:rsidRDefault="00E655B4">
      <w:pPr>
        <w:pStyle w:val="Corpodetexto"/>
        <w:spacing w:before="1"/>
        <w:ind w:right="987"/>
        <w:rPr>
          <w:i/>
        </w:rPr>
      </w:pPr>
      <w:r>
        <w:t>Haigh-Simons apresentou nova acepção a teoria do acréscimo patrimonial, que define</w:t>
      </w:r>
      <w:r>
        <w:rPr>
          <w:spacing w:val="40"/>
        </w:rPr>
        <w:t xml:space="preserve"> </w:t>
      </w:r>
      <w:r>
        <w:t>a</w:t>
      </w:r>
      <w:r>
        <w:rPr>
          <w:spacing w:val="-4"/>
        </w:rPr>
        <w:t xml:space="preserve"> </w:t>
      </w:r>
      <w:r>
        <w:t>renda</w:t>
      </w:r>
      <w:r>
        <w:rPr>
          <w:spacing w:val="-4"/>
        </w:rPr>
        <w:t xml:space="preserve"> </w:t>
      </w:r>
      <w:r>
        <w:t>como</w:t>
      </w:r>
      <w:r>
        <w:rPr>
          <w:spacing w:val="-3"/>
        </w:rPr>
        <w:t xml:space="preserve"> </w:t>
      </w:r>
      <w:r>
        <w:t>a</w:t>
      </w:r>
      <w:r>
        <w:rPr>
          <w:spacing w:val="-4"/>
        </w:rPr>
        <w:t xml:space="preserve"> </w:t>
      </w:r>
      <w:r>
        <w:t>soma</w:t>
      </w:r>
      <w:r>
        <w:rPr>
          <w:spacing w:val="-4"/>
        </w:rPr>
        <w:t xml:space="preserve"> </w:t>
      </w:r>
      <w:r>
        <w:t>algébrica</w:t>
      </w:r>
      <w:r>
        <w:rPr>
          <w:spacing w:val="-4"/>
        </w:rPr>
        <w:t xml:space="preserve"> </w:t>
      </w:r>
      <w:r>
        <w:t>de</w:t>
      </w:r>
      <w:r>
        <w:rPr>
          <w:spacing w:val="-4"/>
        </w:rPr>
        <w:t xml:space="preserve"> </w:t>
      </w:r>
      <w:r>
        <w:t>todos</w:t>
      </w:r>
      <w:r>
        <w:rPr>
          <w:spacing w:val="-3"/>
        </w:rPr>
        <w:t xml:space="preserve"> </w:t>
      </w:r>
      <w:r>
        <w:t>os</w:t>
      </w:r>
      <w:r>
        <w:rPr>
          <w:spacing w:val="-8"/>
        </w:rPr>
        <w:t xml:space="preserve"> </w:t>
      </w:r>
      <w:r>
        <w:t>consumos</w:t>
      </w:r>
      <w:r>
        <w:rPr>
          <w:spacing w:val="-1"/>
        </w:rPr>
        <w:t xml:space="preserve"> </w:t>
      </w:r>
      <w:r>
        <w:t>mais</w:t>
      </w:r>
      <w:r>
        <w:rPr>
          <w:spacing w:val="-6"/>
        </w:rPr>
        <w:t xml:space="preserve"> </w:t>
      </w:r>
      <w:r>
        <w:t>o</w:t>
      </w:r>
      <w:r>
        <w:rPr>
          <w:spacing w:val="-6"/>
        </w:rPr>
        <w:t xml:space="preserve"> </w:t>
      </w:r>
      <w:r>
        <w:t>incremento do</w:t>
      </w:r>
      <w:r>
        <w:rPr>
          <w:spacing w:val="-3"/>
        </w:rPr>
        <w:t xml:space="preserve"> </w:t>
      </w:r>
      <w:r>
        <w:t>valor do</w:t>
      </w:r>
      <w:r>
        <w:rPr>
          <w:spacing w:val="-14"/>
        </w:rPr>
        <w:t xml:space="preserve"> </w:t>
      </w:r>
      <w:r>
        <w:t>patrimônio,</w:t>
      </w:r>
      <w:r>
        <w:rPr>
          <w:spacing w:val="-1"/>
        </w:rPr>
        <w:t xml:space="preserve"> </w:t>
      </w:r>
      <w:r>
        <w:t>uns</w:t>
      </w:r>
      <w:r>
        <w:rPr>
          <w:spacing w:val="-4"/>
        </w:rPr>
        <w:t xml:space="preserve"> </w:t>
      </w:r>
      <w:r>
        <w:t>e</w:t>
      </w:r>
      <w:r>
        <w:rPr>
          <w:spacing w:val="-6"/>
        </w:rPr>
        <w:t xml:space="preserve"> </w:t>
      </w:r>
      <w:r>
        <w:t>outros</w:t>
      </w:r>
      <w:r>
        <w:rPr>
          <w:spacing w:val="-4"/>
        </w:rPr>
        <w:t xml:space="preserve"> </w:t>
      </w:r>
      <w:r>
        <w:t>medidos</w:t>
      </w:r>
      <w:r>
        <w:rPr>
          <w:spacing w:val="-5"/>
        </w:rPr>
        <w:t xml:space="preserve"> </w:t>
      </w:r>
      <w:r>
        <w:t>em</w:t>
      </w:r>
      <w:r>
        <w:rPr>
          <w:spacing w:val="-2"/>
        </w:rPr>
        <w:t xml:space="preserve"> </w:t>
      </w:r>
      <w:r>
        <w:t>dinheiro,</w:t>
      </w:r>
      <w:r>
        <w:rPr>
          <w:spacing w:val="-4"/>
        </w:rPr>
        <w:t xml:space="preserve"> </w:t>
      </w:r>
      <w:r>
        <w:t>no</w:t>
      </w:r>
      <w:r>
        <w:rPr>
          <w:spacing w:val="-5"/>
        </w:rPr>
        <w:t xml:space="preserve"> </w:t>
      </w:r>
      <w:r>
        <w:t>princípio</w:t>
      </w:r>
      <w:r>
        <w:rPr>
          <w:spacing w:val="-4"/>
        </w:rPr>
        <w:t xml:space="preserve"> </w:t>
      </w:r>
      <w:r>
        <w:t>e</w:t>
      </w:r>
      <w:r>
        <w:rPr>
          <w:spacing w:val="-6"/>
        </w:rPr>
        <w:t xml:space="preserve"> </w:t>
      </w:r>
      <w:r>
        <w:t>no</w:t>
      </w:r>
      <w:r>
        <w:rPr>
          <w:spacing w:val="-5"/>
        </w:rPr>
        <w:t xml:space="preserve"> </w:t>
      </w:r>
      <w:r>
        <w:t>fim</w:t>
      </w:r>
      <w:r>
        <w:rPr>
          <w:spacing w:val="-5"/>
        </w:rPr>
        <w:t xml:space="preserve"> </w:t>
      </w:r>
      <w:r>
        <w:t>de</w:t>
      </w:r>
      <w:r>
        <w:rPr>
          <w:spacing w:val="-5"/>
        </w:rPr>
        <w:t xml:space="preserve"> </w:t>
      </w:r>
      <w:r>
        <w:t>certo</w:t>
      </w:r>
      <w:r>
        <w:rPr>
          <w:spacing w:val="-5"/>
        </w:rPr>
        <w:t xml:space="preserve"> </w:t>
      </w:r>
      <w:r>
        <w:t>período, ou,</w:t>
      </w:r>
      <w:r>
        <w:rPr>
          <w:spacing w:val="37"/>
        </w:rPr>
        <w:t xml:space="preserve"> </w:t>
      </w:r>
      <w:r>
        <w:t>em</w:t>
      </w:r>
      <w:r>
        <w:rPr>
          <w:spacing w:val="39"/>
        </w:rPr>
        <w:t xml:space="preserve"> </w:t>
      </w:r>
      <w:r>
        <w:t>suas</w:t>
      </w:r>
      <w:r>
        <w:rPr>
          <w:spacing w:val="42"/>
        </w:rPr>
        <w:t xml:space="preserve"> </w:t>
      </w:r>
      <w:r>
        <w:t>palavras</w:t>
      </w:r>
      <w:r>
        <w:rPr>
          <w:spacing w:val="43"/>
        </w:rPr>
        <w:t xml:space="preserve"> </w:t>
      </w:r>
      <w:r>
        <w:t>“</w:t>
      </w:r>
      <w:r>
        <w:rPr>
          <w:i/>
        </w:rPr>
        <w:t>a</w:t>
      </w:r>
      <w:r>
        <w:rPr>
          <w:i/>
          <w:spacing w:val="39"/>
        </w:rPr>
        <w:t xml:space="preserve"> </w:t>
      </w:r>
      <w:r>
        <w:rPr>
          <w:i/>
        </w:rPr>
        <w:t>soma</w:t>
      </w:r>
      <w:r>
        <w:rPr>
          <w:i/>
          <w:spacing w:val="37"/>
        </w:rPr>
        <w:t xml:space="preserve"> </w:t>
      </w:r>
      <w:r>
        <w:rPr>
          <w:i/>
        </w:rPr>
        <w:t>algébrica</w:t>
      </w:r>
      <w:r>
        <w:rPr>
          <w:i/>
          <w:spacing w:val="36"/>
        </w:rPr>
        <w:t xml:space="preserve"> </w:t>
      </w:r>
      <w:r>
        <w:rPr>
          <w:i/>
        </w:rPr>
        <w:t>do</w:t>
      </w:r>
      <w:r>
        <w:rPr>
          <w:i/>
          <w:spacing w:val="37"/>
        </w:rPr>
        <w:t xml:space="preserve"> </w:t>
      </w:r>
      <w:r>
        <w:rPr>
          <w:i/>
        </w:rPr>
        <w:t>valor,</w:t>
      </w:r>
      <w:r>
        <w:rPr>
          <w:i/>
          <w:spacing w:val="37"/>
        </w:rPr>
        <w:t xml:space="preserve"> </w:t>
      </w:r>
      <w:r>
        <w:rPr>
          <w:i/>
        </w:rPr>
        <w:t>a</w:t>
      </w:r>
      <w:r>
        <w:rPr>
          <w:i/>
          <w:spacing w:val="37"/>
        </w:rPr>
        <w:t xml:space="preserve"> </w:t>
      </w:r>
      <w:r>
        <w:rPr>
          <w:i/>
        </w:rPr>
        <w:t>preço</w:t>
      </w:r>
      <w:r>
        <w:rPr>
          <w:i/>
          <w:spacing w:val="36"/>
        </w:rPr>
        <w:t xml:space="preserve"> </w:t>
      </w:r>
      <w:r>
        <w:rPr>
          <w:i/>
        </w:rPr>
        <w:t>de</w:t>
      </w:r>
      <w:r>
        <w:rPr>
          <w:i/>
          <w:spacing w:val="36"/>
        </w:rPr>
        <w:t xml:space="preserve"> </w:t>
      </w:r>
      <w:r>
        <w:rPr>
          <w:i/>
        </w:rPr>
        <w:t>mercado,</w:t>
      </w:r>
      <w:r>
        <w:rPr>
          <w:i/>
          <w:spacing w:val="42"/>
        </w:rPr>
        <w:t xml:space="preserve"> </w:t>
      </w:r>
      <w:r>
        <w:rPr>
          <w:i/>
        </w:rPr>
        <w:t>dos</w:t>
      </w:r>
      <w:r>
        <w:rPr>
          <w:i/>
          <w:spacing w:val="38"/>
        </w:rPr>
        <w:t xml:space="preserve"> </w:t>
      </w:r>
      <w:r>
        <w:rPr>
          <w:i/>
          <w:spacing w:val="-2"/>
        </w:rPr>
        <w:t>direitos</w:t>
      </w:r>
    </w:p>
    <w:p w:rsidR="007259F2" w:rsidRDefault="007259F2">
      <w:pPr>
        <w:pStyle w:val="Corpodetexto"/>
        <w:ind w:left="0" w:firstLine="0"/>
        <w:jc w:val="left"/>
        <w:rPr>
          <w:i/>
          <w:sz w:val="20"/>
        </w:rPr>
      </w:pPr>
    </w:p>
    <w:p w:rsidR="007259F2" w:rsidRDefault="00DE6B1C">
      <w:pPr>
        <w:pStyle w:val="Corpodetexto"/>
        <w:spacing w:before="78"/>
        <w:ind w:left="0" w:firstLine="0"/>
        <w:jc w:val="left"/>
        <w:rPr>
          <w:i/>
          <w:sz w:val="20"/>
        </w:rPr>
      </w:pPr>
      <w:r w:rsidRPr="00DE6B1C">
        <w:rPr>
          <w:i/>
          <w:sz w:val="20"/>
        </w:rPr>
        <w:pict>
          <v:rect id="docshape78" o:spid="_x0000_s1148" style="position:absolute;margin-left:85.1pt;margin-top:16.6pt;width:2in;height:.7pt;z-index:-15696896;mso-wrap-distance-left:0;mso-wrap-distance-right:0;mso-position-horizontal-relative:page" fillcolor="black" stroked="f">
            <w10:wrap type="topAndBottom" anchorx="page"/>
          </v:rect>
        </w:pict>
      </w:r>
    </w:p>
    <w:p w:rsidR="007259F2" w:rsidRDefault="00E655B4">
      <w:pPr>
        <w:spacing w:before="94"/>
        <w:ind w:left="710" w:right="975"/>
        <w:jc w:val="both"/>
        <w:rPr>
          <w:sz w:val="20"/>
        </w:rPr>
      </w:pPr>
      <w:r>
        <w:rPr>
          <w:sz w:val="20"/>
          <w:vertAlign w:val="superscript"/>
        </w:rPr>
        <w:t>17</w:t>
      </w:r>
      <w:r>
        <w:rPr>
          <w:sz w:val="20"/>
        </w:rPr>
        <w:t xml:space="preserve"> Não obstante a isso, o artigo 3º da Lei 7.713 dispõe que o imposto de renda na pessoa física incidirá sobre</w:t>
      </w:r>
      <w:r>
        <w:rPr>
          <w:spacing w:val="-1"/>
          <w:sz w:val="20"/>
        </w:rPr>
        <w:t xml:space="preserve"> </w:t>
      </w:r>
      <w:r>
        <w:rPr>
          <w:sz w:val="20"/>
        </w:rPr>
        <w:t>o</w:t>
      </w:r>
      <w:r>
        <w:rPr>
          <w:spacing w:val="-2"/>
          <w:sz w:val="20"/>
        </w:rPr>
        <w:t xml:space="preserve"> </w:t>
      </w:r>
      <w:r>
        <w:rPr>
          <w:sz w:val="20"/>
        </w:rPr>
        <w:t>rendimento</w:t>
      </w:r>
      <w:r>
        <w:rPr>
          <w:spacing w:val="-3"/>
          <w:sz w:val="20"/>
        </w:rPr>
        <w:t xml:space="preserve"> </w:t>
      </w:r>
      <w:r>
        <w:rPr>
          <w:sz w:val="20"/>
        </w:rPr>
        <w:t>bruto e</w:t>
      </w:r>
      <w:r>
        <w:rPr>
          <w:spacing w:val="-2"/>
          <w:sz w:val="20"/>
        </w:rPr>
        <w:t xml:space="preserve"> </w:t>
      </w:r>
      <w:r>
        <w:rPr>
          <w:sz w:val="20"/>
        </w:rPr>
        <w:t>sem</w:t>
      </w:r>
      <w:r>
        <w:rPr>
          <w:spacing w:val="-2"/>
          <w:sz w:val="20"/>
        </w:rPr>
        <w:t xml:space="preserve"> </w:t>
      </w:r>
      <w:r>
        <w:rPr>
          <w:sz w:val="20"/>
        </w:rPr>
        <w:t>nenhum</w:t>
      </w:r>
      <w:r>
        <w:rPr>
          <w:spacing w:val="-4"/>
          <w:sz w:val="20"/>
        </w:rPr>
        <w:t xml:space="preserve"> </w:t>
      </w:r>
      <w:r>
        <w:rPr>
          <w:sz w:val="20"/>
        </w:rPr>
        <w:t>tipo de</w:t>
      </w:r>
      <w:r>
        <w:rPr>
          <w:spacing w:val="-5"/>
          <w:sz w:val="20"/>
        </w:rPr>
        <w:t xml:space="preserve"> </w:t>
      </w:r>
      <w:r>
        <w:rPr>
          <w:sz w:val="20"/>
        </w:rPr>
        <w:t>dedução,</w:t>
      </w:r>
      <w:r>
        <w:rPr>
          <w:spacing w:val="-1"/>
          <w:sz w:val="20"/>
        </w:rPr>
        <w:t xml:space="preserve"> </w:t>
      </w:r>
      <w:r>
        <w:rPr>
          <w:sz w:val="20"/>
        </w:rPr>
        <w:t>exceto pelo</w:t>
      </w:r>
      <w:r>
        <w:rPr>
          <w:spacing w:val="-2"/>
          <w:sz w:val="20"/>
        </w:rPr>
        <w:t xml:space="preserve"> </w:t>
      </w:r>
      <w:r>
        <w:rPr>
          <w:sz w:val="20"/>
        </w:rPr>
        <w:t>que</w:t>
      </w:r>
      <w:r>
        <w:rPr>
          <w:spacing w:val="-5"/>
          <w:sz w:val="20"/>
        </w:rPr>
        <w:t xml:space="preserve"> </w:t>
      </w:r>
      <w:r>
        <w:rPr>
          <w:sz w:val="20"/>
        </w:rPr>
        <w:t>preconiza</w:t>
      </w:r>
      <w:r>
        <w:rPr>
          <w:spacing w:val="-2"/>
          <w:sz w:val="20"/>
        </w:rPr>
        <w:t xml:space="preserve"> </w:t>
      </w:r>
      <w:r>
        <w:rPr>
          <w:sz w:val="20"/>
        </w:rPr>
        <w:t>os</w:t>
      </w:r>
      <w:r>
        <w:rPr>
          <w:spacing w:val="-4"/>
          <w:sz w:val="20"/>
        </w:rPr>
        <w:t xml:space="preserve"> </w:t>
      </w:r>
      <w:r>
        <w:rPr>
          <w:sz w:val="20"/>
        </w:rPr>
        <w:t>artigos</w:t>
      </w:r>
      <w:r>
        <w:rPr>
          <w:spacing w:val="-3"/>
          <w:sz w:val="20"/>
        </w:rPr>
        <w:t xml:space="preserve"> </w:t>
      </w:r>
      <w:r>
        <w:rPr>
          <w:sz w:val="20"/>
        </w:rPr>
        <w:t>9º</w:t>
      </w:r>
      <w:r>
        <w:rPr>
          <w:spacing w:val="-2"/>
          <w:sz w:val="20"/>
        </w:rPr>
        <w:t xml:space="preserve"> </w:t>
      </w:r>
      <w:r>
        <w:rPr>
          <w:sz w:val="20"/>
        </w:rPr>
        <w:t>ao</w:t>
      </w:r>
      <w:r>
        <w:rPr>
          <w:spacing w:val="-2"/>
          <w:sz w:val="20"/>
        </w:rPr>
        <w:t xml:space="preserve"> </w:t>
      </w:r>
      <w:r>
        <w:rPr>
          <w:sz w:val="20"/>
        </w:rPr>
        <w:t>12º-A da mesma lei.</w:t>
      </w:r>
    </w:p>
    <w:p w:rsidR="007259F2" w:rsidRDefault="00E655B4">
      <w:pPr>
        <w:spacing w:before="1"/>
        <w:ind w:left="710" w:right="996"/>
        <w:jc w:val="both"/>
        <w:rPr>
          <w:sz w:val="20"/>
        </w:rPr>
      </w:pPr>
      <w:r>
        <w:rPr>
          <w:sz w:val="20"/>
          <w:vertAlign w:val="superscript"/>
        </w:rPr>
        <w:t>18</w:t>
      </w:r>
      <w:r>
        <w:rPr>
          <w:sz w:val="20"/>
        </w:rPr>
        <w:t xml:space="preserve"> CARVALHO, Paulo de Barros. </w:t>
      </w:r>
      <w:r>
        <w:rPr>
          <w:b/>
          <w:sz w:val="20"/>
        </w:rPr>
        <w:t>Curso de direito tributário</w:t>
      </w:r>
      <w:r>
        <w:rPr>
          <w:sz w:val="20"/>
        </w:rPr>
        <w:t xml:space="preserve">. 14. ed. rev. e atual. São Paulo: Saraiva, </w:t>
      </w:r>
      <w:r>
        <w:rPr>
          <w:spacing w:val="-2"/>
          <w:sz w:val="20"/>
        </w:rPr>
        <w:t>2002.</w:t>
      </w:r>
    </w:p>
    <w:p w:rsidR="007259F2" w:rsidRDefault="00E655B4">
      <w:pPr>
        <w:spacing w:before="1"/>
        <w:ind w:left="710"/>
        <w:jc w:val="both"/>
        <w:rPr>
          <w:i/>
          <w:sz w:val="20"/>
        </w:rPr>
      </w:pPr>
      <w:r>
        <w:rPr>
          <w:sz w:val="20"/>
          <w:vertAlign w:val="superscript"/>
        </w:rPr>
        <w:t>19</w:t>
      </w:r>
      <w:r>
        <w:rPr>
          <w:spacing w:val="-2"/>
          <w:sz w:val="20"/>
        </w:rPr>
        <w:t xml:space="preserve"> </w:t>
      </w:r>
      <w:r>
        <w:rPr>
          <w:i/>
          <w:spacing w:val="-2"/>
          <w:sz w:val="20"/>
        </w:rPr>
        <w:t>Ibid.</w:t>
      </w:r>
    </w:p>
    <w:p w:rsidR="007259F2" w:rsidRDefault="007259F2">
      <w:pPr>
        <w:jc w:val="both"/>
        <w:rPr>
          <w:i/>
          <w:sz w:val="20"/>
        </w:rPr>
        <w:sectPr w:rsidR="007259F2">
          <w:pgSz w:w="11910" w:h="16840"/>
          <w:pgMar w:top="1280" w:right="708" w:bottom="1160" w:left="992" w:header="0" w:footer="962" w:gutter="0"/>
          <w:cols w:space="720"/>
        </w:sectPr>
      </w:pPr>
    </w:p>
    <w:p w:rsidR="007259F2" w:rsidRDefault="00E655B4">
      <w:pPr>
        <w:spacing w:before="69"/>
        <w:ind w:left="710" w:right="993"/>
        <w:jc w:val="both"/>
        <w:rPr>
          <w:sz w:val="24"/>
        </w:rPr>
      </w:pPr>
      <w:r>
        <w:rPr>
          <w:i/>
          <w:sz w:val="24"/>
        </w:rPr>
        <w:lastRenderedPageBreak/>
        <w:t>exercidos</w:t>
      </w:r>
      <w:r>
        <w:rPr>
          <w:i/>
          <w:spacing w:val="-6"/>
          <w:sz w:val="24"/>
        </w:rPr>
        <w:t xml:space="preserve"> </w:t>
      </w:r>
      <w:r>
        <w:rPr>
          <w:i/>
          <w:sz w:val="24"/>
        </w:rPr>
        <w:t>sob</w:t>
      </w:r>
      <w:r>
        <w:rPr>
          <w:i/>
          <w:spacing w:val="-7"/>
          <w:sz w:val="24"/>
        </w:rPr>
        <w:t xml:space="preserve"> </w:t>
      </w:r>
      <w:r>
        <w:rPr>
          <w:i/>
          <w:sz w:val="24"/>
        </w:rPr>
        <w:t>forma</w:t>
      </w:r>
      <w:r>
        <w:rPr>
          <w:i/>
          <w:spacing w:val="-7"/>
          <w:sz w:val="24"/>
        </w:rPr>
        <w:t xml:space="preserve"> </w:t>
      </w:r>
      <w:r>
        <w:rPr>
          <w:i/>
          <w:sz w:val="24"/>
        </w:rPr>
        <w:t>de</w:t>
      </w:r>
      <w:r>
        <w:rPr>
          <w:i/>
          <w:spacing w:val="-7"/>
          <w:sz w:val="24"/>
        </w:rPr>
        <w:t xml:space="preserve"> </w:t>
      </w:r>
      <w:r>
        <w:rPr>
          <w:i/>
          <w:sz w:val="24"/>
        </w:rPr>
        <w:t>consumo e</w:t>
      </w:r>
      <w:r>
        <w:rPr>
          <w:i/>
          <w:spacing w:val="-1"/>
          <w:sz w:val="24"/>
        </w:rPr>
        <w:t xml:space="preserve"> </w:t>
      </w:r>
      <w:r>
        <w:rPr>
          <w:i/>
          <w:sz w:val="24"/>
        </w:rPr>
        <w:t>da modificação do valor do acervo patrimonial entre o começo e o fim de determinado período</w:t>
      </w:r>
      <w:r>
        <w:rPr>
          <w:sz w:val="24"/>
        </w:rPr>
        <w:t>”.</w:t>
      </w:r>
      <w:r>
        <w:rPr>
          <w:sz w:val="24"/>
          <w:vertAlign w:val="superscript"/>
        </w:rPr>
        <w:t>20</w:t>
      </w:r>
    </w:p>
    <w:p w:rsidR="007259F2" w:rsidRDefault="00E655B4">
      <w:pPr>
        <w:pStyle w:val="Corpodetexto"/>
        <w:spacing w:before="1"/>
        <w:ind w:right="988"/>
      </w:pPr>
      <w:r>
        <w:t>Para os doutrinadores que sustentam tal teoria, o conceito de renda é pré- definido pelos preceitos constitucionais, identificando-o como um acréscimo</w:t>
      </w:r>
      <w:r>
        <w:rPr>
          <w:spacing w:val="40"/>
        </w:rPr>
        <w:t xml:space="preserve"> </w:t>
      </w:r>
      <w:r>
        <w:t>patrimonial que se incorpora ao patrimônio pré-existente do contribuinte em um delimitado espaço de tempo. A renda sempre constituirá um adicional, e não algo percebido para fins de substituir uma perda patrimonial, razão pela qual, ao auferir</w:t>
      </w:r>
      <w:r>
        <w:rPr>
          <w:spacing w:val="40"/>
        </w:rPr>
        <w:t xml:space="preserve"> </w:t>
      </w:r>
      <w:r>
        <w:t xml:space="preserve">renda ou proventos, o contribuinte necessariamente manifestará capacidade </w:t>
      </w:r>
      <w:r>
        <w:rPr>
          <w:spacing w:val="-2"/>
        </w:rPr>
        <w:t>contributiva.</w:t>
      </w:r>
      <w:r>
        <w:rPr>
          <w:spacing w:val="-2"/>
          <w:vertAlign w:val="superscript"/>
        </w:rPr>
        <w:t>21</w:t>
      </w:r>
    </w:p>
    <w:p w:rsidR="007259F2" w:rsidRDefault="00E655B4">
      <w:pPr>
        <w:pStyle w:val="Heading2"/>
        <w:numPr>
          <w:ilvl w:val="1"/>
          <w:numId w:val="35"/>
        </w:numPr>
        <w:tabs>
          <w:tab w:val="left" w:pos="1069"/>
        </w:tabs>
        <w:spacing w:before="206"/>
        <w:ind w:left="1069" w:hanging="359"/>
      </w:pPr>
      <w:r>
        <w:t>Conceito</w:t>
      </w:r>
      <w:r>
        <w:rPr>
          <w:spacing w:val="-5"/>
        </w:rPr>
        <w:t xml:space="preserve"> </w:t>
      </w:r>
      <w:r>
        <w:t>de</w:t>
      </w:r>
      <w:r>
        <w:rPr>
          <w:spacing w:val="-7"/>
        </w:rPr>
        <w:t xml:space="preserve"> </w:t>
      </w:r>
      <w:r>
        <w:t>Renda</w:t>
      </w:r>
      <w:r>
        <w:rPr>
          <w:spacing w:val="-1"/>
        </w:rPr>
        <w:t xml:space="preserve"> </w:t>
      </w:r>
      <w:r>
        <w:t>nos</w:t>
      </w:r>
      <w:r>
        <w:rPr>
          <w:spacing w:val="-3"/>
        </w:rPr>
        <w:t xml:space="preserve"> </w:t>
      </w:r>
      <w:r>
        <w:t>textos</w:t>
      </w:r>
      <w:r>
        <w:rPr>
          <w:spacing w:val="-4"/>
        </w:rPr>
        <w:t xml:space="preserve"> </w:t>
      </w:r>
      <w:r>
        <w:rPr>
          <w:spacing w:val="-2"/>
        </w:rPr>
        <w:t>legais</w:t>
      </w:r>
    </w:p>
    <w:p w:rsidR="007259F2" w:rsidRDefault="00E655B4">
      <w:pPr>
        <w:pStyle w:val="PargrafodaLista"/>
        <w:numPr>
          <w:ilvl w:val="2"/>
          <w:numId w:val="35"/>
        </w:numPr>
        <w:tabs>
          <w:tab w:val="left" w:pos="1249"/>
        </w:tabs>
        <w:spacing w:before="243"/>
        <w:ind w:left="1249" w:hanging="539"/>
        <w:rPr>
          <w:b/>
          <w:sz w:val="24"/>
        </w:rPr>
      </w:pPr>
      <w:r>
        <w:rPr>
          <w:b/>
          <w:sz w:val="24"/>
        </w:rPr>
        <w:t>Constituição</w:t>
      </w:r>
      <w:r>
        <w:rPr>
          <w:b/>
          <w:spacing w:val="-6"/>
          <w:sz w:val="24"/>
        </w:rPr>
        <w:t xml:space="preserve"> </w:t>
      </w:r>
      <w:r>
        <w:rPr>
          <w:b/>
          <w:sz w:val="24"/>
        </w:rPr>
        <w:t>Federal</w:t>
      </w:r>
      <w:r>
        <w:rPr>
          <w:b/>
          <w:spacing w:val="-5"/>
          <w:sz w:val="24"/>
        </w:rPr>
        <w:t xml:space="preserve"> </w:t>
      </w:r>
      <w:r>
        <w:rPr>
          <w:b/>
          <w:sz w:val="24"/>
        </w:rPr>
        <w:t>de</w:t>
      </w:r>
      <w:r>
        <w:rPr>
          <w:b/>
          <w:spacing w:val="-5"/>
          <w:sz w:val="24"/>
        </w:rPr>
        <w:t xml:space="preserve"> </w:t>
      </w:r>
      <w:r>
        <w:rPr>
          <w:b/>
          <w:spacing w:val="-4"/>
          <w:sz w:val="24"/>
        </w:rPr>
        <w:t>1988</w:t>
      </w:r>
    </w:p>
    <w:p w:rsidR="007259F2" w:rsidRDefault="00E655B4">
      <w:pPr>
        <w:pStyle w:val="Corpodetexto"/>
        <w:spacing w:before="154"/>
        <w:ind w:right="989"/>
      </w:pPr>
      <w:r>
        <w:t>Tarefa</w:t>
      </w:r>
      <w:r>
        <w:rPr>
          <w:spacing w:val="-8"/>
        </w:rPr>
        <w:t xml:space="preserve"> </w:t>
      </w:r>
      <w:r>
        <w:t>complexa</w:t>
      </w:r>
      <w:r>
        <w:rPr>
          <w:spacing w:val="-7"/>
        </w:rPr>
        <w:t xml:space="preserve"> </w:t>
      </w:r>
      <w:r>
        <w:t>extrair</w:t>
      </w:r>
      <w:r>
        <w:rPr>
          <w:spacing w:val="-6"/>
        </w:rPr>
        <w:t xml:space="preserve"> </w:t>
      </w:r>
      <w:r>
        <w:t>o</w:t>
      </w:r>
      <w:r>
        <w:rPr>
          <w:spacing w:val="-7"/>
        </w:rPr>
        <w:t xml:space="preserve"> </w:t>
      </w:r>
      <w:r>
        <w:t>conceito</w:t>
      </w:r>
      <w:r>
        <w:rPr>
          <w:spacing w:val="-7"/>
        </w:rPr>
        <w:t xml:space="preserve"> </w:t>
      </w:r>
      <w:r>
        <w:t>de</w:t>
      </w:r>
      <w:r>
        <w:rPr>
          <w:spacing w:val="-10"/>
        </w:rPr>
        <w:t xml:space="preserve"> </w:t>
      </w:r>
      <w:r>
        <w:t>“renda”</w:t>
      </w:r>
      <w:r>
        <w:rPr>
          <w:spacing w:val="-10"/>
        </w:rPr>
        <w:t xml:space="preserve"> </w:t>
      </w:r>
      <w:r>
        <w:t>do</w:t>
      </w:r>
      <w:r>
        <w:rPr>
          <w:spacing w:val="-7"/>
        </w:rPr>
        <w:t xml:space="preserve"> </w:t>
      </w:r>
      <w:r>
        <w:t>Texto</w:t>
      </w:r>
      <w:r>
        <w:rPr>
          <w:spacing w:val="-5"/>
        </w:rPr>
        <w:t xml:space="preserve"> </w:t>
      </w:r>
      <w:r>
        <w:t>Constitucional,</w:t>
      </w:r>
      <w:r>
        <w:rPr>
          <w:spacing w:val="-5"/>
        </w:rPr>
        <w:t xml:space="preserve"> </w:t>
      </w:r>
      <w:r>
        <w:t>tendo</w:t>
      </w:r>
      <w:r>
        <w:rPr>
          <w:spacing w:val="-7"/>
        </w:rPr>
        <w:t xml:space="preserve"> </w:t>
      </w:r>
      <w:r>
        <w:t xml:space="preserve">em vista que a CF/88 não traz expressamente tal definição. Dessa forma, o conteúdo do art. 153, III, da </w:t>
      </w:r>
      <w:r>
        <w:rPr>
          <w:i/>
        </w:rPr>
        <w:t xml:space="preserve">Carta Magna </w:t>
      </w:r>
      <w:r>
        <w:t>deve ser complementado pelas leis complementares e ordinárias. Fato é que, conforme será desenvolvido adiante, a jurisprudência e a</w:t>
      </w:r>
      <w:r>
        <w:rPr>
          <w:spacing w:val="80"/>
        </w:rPr>
        <w:t xml:space="preserve"> </w:t>
      </w:r>
      <w:r>
        <w:t>doutrina têm reconhecido que o conceito de renda está justamente atrelado ao “</w:t>
      </w:r>
      <w:r>
        <w:rPr>
          <w:i/>
        </w:rPr>
        <w:t>acréscimo de patrimônio</w:t>
      </w:r>
      <w:r>
        <w:t>”.</w:t>
      </w:r>
    </w:p>
    <w:p w:rsidR="007259F2" w:rsidRDefault="00E655B4">
      <w:pPr>
        <w:pStyle w:val="Corpodetexto"/>
        <w:ind w:right="991"/>
      </w:pPr>
      <w:r>
        <w:t xml:space="preserve">Nesse ponto, é de extrema importância elucidar que o conceito de renda para o direito tributário é distinto daquele aplicado no âmbito econômico: o Conceito Jurídico de renda, se comparado as demais áreas da ciência, tem alcance muito mais restrito, isto é, o acréscimo patrimonial, recebido durante período determinado, que somente poderá experimentar tributação quando respeitados os princípios fundamentais (isonomia, vedação ao confisco, capacidade contributiva etc.) e os limites constitucionais e </w:t>
      </w:r>
      <w:r>
        <w:rPr>
          <w:spacing w:val="-2"/>
        </w:rPr>
        <w:t>infraconstitucionais.</w:t>
      </w:r>
    </w:p>
    <w:p w:rsidR="007259F2" w:rsidRDefault="00E655B4">
      <w:pPr>
        <w:pStyle w:val="Corpodetexto"/>
        <w:spacing w:before="1"/>
        <w:ind w:right="988"/>
      </w:pPr>
      <w:r>
        <w:t>Assim, podemos observar que apesar da Constituição não apresentar explicitamente um conceito de renda, faz delimitação de tal forma a que é possível concluir que a definição de renda</w:t>
      </w:r>
      <w:r>
        <w:rPr>
          <w:spacing w:val="-7"/>
        </w:rPr>
        <w:t xml:space="preserve"> </w:t>
      </w:r>
      <w:r>
        <w:t>e</w:t>
      </w:r>
      <w:r>
        <w:rPr>
          <w:spacing w:val="-13"/>
        </w:rPr>
        <w:t xml:space="preserve"> </w:t>
      </w:r>
      <w:r>
        <w:t>proventos</w:t>
      </w:r>
      <w:r>
        <w:rPr>
          <w:spacing w:val="-10"/>
        </w:rPr>
        <w:t xml:space="preserve"> </w:t>
      </w:r>
      <w:r>
        <w:t>de</w:t>
      </w:r>
      <w:r>
        <w:rPr>
          <w:spacing w:val="-13"/>
        </w:rPr>
        <w:t xml:space="preserve"> </w:t>
      </w:r>
      <w:r>
        <w:t>qualquer</w:t>
      </w:r>
      <w:r>
        <w:rPr>
          <w:spacing w:val="-12"/>
        </w:rPr>
        <w:t xml:space="preserve"> </w:t>
      </w:r>
      <w:r>
        <w:t>natureza</w:t>
      </w:r>
      <w:r>
        <w:rPr>
          <w:spacing w:val="-9"/>
        </w:rPr>
        <w:t xml:space="preserve"> </w:t>
      </w:r>
      <w:r>
        <w:t>representa</w:t>
      </w:r>
      <w:r>
        <w:rPr>
          <w:spacing w:val="-8"/>
        </w:rPr>
        <w:t xml:space="preserve"> </w:t>
      </w:r>
      <w:r>
        <w:t>os</w:t>
      </w:r>
      <w:r>
        <w:rPr>
          <w:spacing w:val="-10"/>
        </w:rPr>
        <w:t xml:space="preserve"> </w:t>
      </w:r>
      <w:r>
        <w:t>ganhos, riquezas atendendo aos princípios fundamentais do Direito Tributário, fundamentalmente a capacidade contributiva do sujeito.</w:t>
      </w:r>
    </w:p>
    <w:p w:rsidR="007259F2" w:rsidRDefault="00E655B4">
      <w:pPr>
        <w:pStyle w:val="Corpodetexto"/>
        <w:ind w:right="989"/>
      </w:pPr>
      <w:r>
        <w:t>Antonio Agulló Agüero partilha do mesmo pensamento, dispondo, em outras palavras,</w:t>
      </w:r>
      <w:r>
        <w:rPr>
          <w:spacing w:val="-3"/>
        </w:rPr>
        <w:t xml:space="preserve"> </w:t>
      </w:r>
      <w:r>
        <w:t>que</w:t>
      </w:r>
      <w:r>
        <w:rPr>
          <w:spacing w:val="-11"/>
        </w:rPr>
        <w:t xml:space="preserve"> </w:t>
      </w:r>
      <w:r>
        <w:t>uma</w:t>
      </w:r>
      <w:r>
        <w:rPr>
          <w:spacing w:val="-11"/>
        </w:rPr>
        <w:t xml:space="preserve"> </w:t>
      </w:r>
      <w:r>
        <w:t>definição</w:t>
      </w:r>
      <w:r>
        <w:rPr>
          <w:spacing w:val="-10"/>
        </w:rPr>
        <w:t xml:space="preserve"> </w:t>
      </w:r>
      <w:r>
        <w:t>fiscal</w:t>
      </w:r>
      <w:r>
        <w:rPr>
          <w:spacing w:val="-10"/>
        </w:rPr>
        <w:t xml:space="preserve"> </w:t>
      </w:r>
      <w:r>
        <w:t>de</w:t>
      </w:r>
      <w:r>
        <w:rPr>
          <w:spacing w:val="-12"/>
        </w:rPr>
        <w:t xml:space="preserve"> </w:t>
      </w:r>
      <w:r>
        <w:t>renda</w:t>
      </w:r>
      <w:r>
        <w:rPr>
          <w:spacing w:val="-12"/>
        </w:rPr>
        <w:t xml:space="preserve"> </w:t>
      </w:r>
      <w:r>
        <w:t>deve</w:t>
      </w:r>
      <w:r>
        <w:rPr>
          <w:spacing w:val="-11"/>
        </w:rPr>
        <w:t xml:space="preserve"> </w:t>
      </w:r>
      <w:r>
        <w:t>ser</w:t>
      </w:r>
      <w:r>
        <w:rPr>
          <w:spacing w:val="-11"/>
        </w:rPr>
        <w:t xml:space="preserve"> </w:t>
      </w:r>
      <w:r>
        <w:t>apta</w:t>
      </w:r>
      <w:r>
        <w:rPr>
          <w:spacing w:val="-13"/>
        </w:rPr>
        <w:t xml:space="preserve"> </w:t>
      </w:r>
      <w:r>
        <w:t>medir</w:t>
      </w:r>
      <w:r>
        <w:rPr>
          <w:spacing w:val="-9"/>
        </w:rPr>
        <w:t xml:space="preserve"> </w:t>
      </w:r>
      <w:r>
        <w:t>a</w:t>
      </w:r>
      <w:r>
        <w:rPr>
          <w:spacing w:val="-12"/>
        </w:rPr>
        <w:t xml:space="preserve"> </w:t>
      </w:r>
      <w:r>
        <w:t>capacidade</w:t>
      </w:r>
      <w:r>
        <w:rPr>
          <w:spacing w:val="-9"/>
        </w:rPr>
        <w:t xml:space="preserve"> </w:t>
      </w:r>
      <w:r>
        <w:t>contributiva e é exatamente tal característica o que a diferencia de outras definições que, como a contábil ou a econômica, perseguem outros fins que não apurar a capacidade contributiva, assim como a comparação entre os resultados de vários exercícios econômicos ou o cômputo de valor agregado num processo de produção.</w:t>
      </w:r>
      <w:r>
        <w:rPr>
          <w:vertAlign w:val="superscript"/>
        </w:rPr>
        <w:t>22</w:t>
      </w:r>
    </w:p>
    <w:p w:rsidR="007259F2" w:rsidRDefault="00E655B4">
      <w:pPr>
        <w:pStyle w:val="Corpodetexto"/>
        <w:ind w:right="987"/>
      </w:pPr>
      <w:r>
        <w:t>Conforme destacado anteriormente, o imposto de renda está previsto no art. 153, III e § 2º da Constituição Federal.</w:t>
      </w:r>
      <w:r>
        <w:rPr>
          <w:vertAlign w:val="superscript"/>
        </w:rPr>
        <w:t>23</w:t>
      </w:r>
      <w:r>
        <w:t xml:space="preserve"> Vejamos:</w:t>
      </w:r>
    </w:p>
    <w:p w:rsidR="007259F2" w:rsidRDefault="00E655B4">
      <w:pPr>
        <w:spacing w:before="232"/>
        <w:ind w:left="2978"/>
        <w:rPr>
          <w:sz w:val="20"/>
        </w:rPr>
      </w:pPr>
      <w:r>
        <w:rPr>
          <w:sz w:val="20"/>
        </w:rPr>
        <w:t>Art.</w:t>
      </w:r>
      <w:r>
        <w:rPr>
          <w:spacing w:val="-10"/>
          <w:sz w:val="20"/>
        </w:rPr>
        <w:t xml:space="preserve"> </w:t>
      </w:r>
      <w:r>
        <w:rPr>
          <w:sz w:val="20"/>
        </w:rPr>
        <w:t>153.</w:t>
      </w:r>
      <w:r>
        <w:rPr>
          <w:spacing w:val="-9"/>
          <w:sz w:val="20"/>
        </w:rPr>
        <w:t xml:space="preserve"> </w:t>
      </w:r>
      <w:r>
        <w:rPr>
          <w:sz w:val="20"/>
        </w:rPr>
        <w:t>Compete</w:t>
      </w:r>
      <w:r>
        <w:rPr>
          <w:spacing w:val="-9"/>
          <w:sz w:val="20"/>
        </w:rPr>
        <w:t xml:space="preserve"> </w:t>
      </w:r>
      <w:r>
        <w:rPr>
          <w:sz w:val="20"/>
        </w:rPr>
        <w:t>à</w:t>
      </w:r>
      <w:r>
        <w:rPr>
          <w:spacing w:val="-10"/>
          <w:sz w:val="20"/>
        </w:rPr>
        <w:t xml:space="preserve"> </w:t>
      </w:r>
      <w:r>
        <w:rPr>
          <w:sz w:val="20"/>
        </w:rPr>
        <w:t>União</w:t>
      </w:r>
      <w:r>
        <w:rPr>
          <w:spacing w:val="-9"/>
          <w:sz w:val="20"/>
        </w:rPr>
        <w:t xml:space="preserve"> </w:t>
      </w:r>
      <w:r>
        <w:rPr>
          <w:sz w:val="20"/>
        </w:rPr>
        <w:t>instituir</w:t>
      </w:r>
      <w:r>
        <w:rPr>
          <w:spacing w:val="-8"/>
          <w:sz w:val="20"/>
        </w:rPr>
        <w:t xml:space="preserve"> </w:t>
      </w:r>
      <w:r>
        <w:rPr>
          <w:sz w:val="20"/>
        </w:rPr>
        <w:t>impostos</w:t>
      </w:r>
      <w:r>
        <w:rPr>
          <w:spacing w:val="-10"/>
          <w:sz w:val="20"/>
        </w:rPr>
        <w:t xml:space="preserve"> </w:t>
      </w:r>
      <w:r>
        <w:rPr>
          <w:spacing w:val="-2"/>
          <w:sz w:val="20"/>
        </w:rPr>
        <w:t>sobre:</w:t>
      </w:r>
    </w:p>
    <w:p w:rsidR="007259F2" w:rsidRDefault="00E655B4">
      <w:pPr>
        <w:pStyle w:val="PargrafodaLista"/>
        <w:numPr>
          <w:ilvl w:val="0"/>
          <w:numId w:val="33"/>
        </w:numPr>
        <w:tabs>
          <w:tab w:val="left" w:pos="3085"/>
        </w:tabs>
        <w:spacing w:before="1"/>
        <w:ind w:left="3085" w:hanging="107"/>
        <w:jc w:val="left"/>
        <w:rPr>
          <w:sz w:val="20"/>
        </w:rPr>
      </w:pPr>
      <w:r>
        <w:rPr>
          <w:sz w:val="20"/>
        </w:rPr>
        <w:t>importação</w:t>
      </w:r>
      <w:r>
        <w:rPr>
          <w:spacing w:val="-10"/>
          <w:sz w:val="20"/>
        </w:rPr>
        <w:t xml:space="preserve"> </w:t>
      </w:r>
      <w:r>
        <w:rPr>
          <w:sz w:val="20"/>
        </w:rPr>
        <w:t>de</w:t>
      </w:r>
      <w:r>
        <w:rPr>
          <w:spacing w:val="-12"/>
          <w:sz w:val="20"/>
        </w:rPr>
        <w:t xml:space="preserve"> </w:t>
      </w:r>
      <w:r>
        <w:rPr>
          <w:sz w:val="20"/>
        </w:rPr>
        <w:t>produtos</w:t>
      </w:r>
      <w:r>
        <w:rPr>
          <w:spacing w:val="-11"/>
          <w:sz w:val="20"/>
        </w:rPr>
        <w:t xml:space="preserve"> </w:t>
      </w:r>
      <w:r>
        <w:rPr>
          <w:spacing w:val="-2"/>
          <w:sz w:val="20"/>
        </w:rPr>
        <w:t>estrangeiros;</w:t>
      </w:r>
    </w:p>
    <w:p w:rsidR="007259F2" w:rsidRDefault="00E655B4">
      <w:pPr>
        <w:pStyle w:val="PargrafodaLista"/>
        <w:numPr>
          <w:ilvl w:val="0"/>
          <w:numId w:val="33"/>
        </w:numPr>
        <w:tabs>
          <w:tab w:val="left" w:pos="3083"/>
        </w:tabs>
        <w:ind w:left="3083" w:hanging="105"/>
        <w:jc w:val="left"/>
        <w:rPr>
          <w:sz w:val="20"/>
        </w:rPr>
      </w:pPr>
      <w:r>
        <w:rPr>
          <w:spacing w:val="-2"/>
          <w:sz w:val="20"/>
        </w:rPr>
        <w:t>exportação,</w:t>
      </w:r>
      <w:r>
        <w:rPr>
          <w:spacing w:val="-1"/>
          <w:sz w:val="20"/>
        </w:rPr>
        <w:t xml:space="preserve"> </w:t>
      </w:r>
      <w:r>
        <w:rPr>
          <w:spacing w:val="-2"/>
          <w:sz w:val="20"/>
        </w:rPr>
        <w:t>para o</w:t>
      </w:r>
      <w:r>
        <w:rPr>
          <w:spacing w:val="-5"/>
          <w:sz w:val="20"/>
        </w:rPr>
        <w:t xml:space="preserve"> </w:t>
      </w:r>
      <w:r>
        <w:rPr>
          <w:spacing w:val="-2"/>
          <w:sz w:val="20"/>
        </w:rPr>
        <w:t>exterior,</w:t>
      </w:r>
      <w:r>
        <w:rPr>
          <w:spacing w:val="-1"/>
          <w:sz w:val="20"/>
        </w:rPr>
        <w:t xml:space="preserve"> </w:t>
      </w:r>
      <w:r>
        <w:rPr>
          <w:spacing w:val="-2"/>
          <w:sz w:val="20"/>
        </w:rPr>
        <w:t>de</w:t>
      </w:r>
      <w:r>
        <w:rPr>
          <w:spacing w:val="-4"/>
          <w:sz w:val="20"/>
        </w:rPr>
        <w:t xml:space="preserve"> </w:t>
      </w:r>
      <w:r>
        <w:rPr>
          <w:spacing w:val="-2"/>
          <w:sz w:val="20"/>
        </w:rPr>
        <w:t>produtos</w:t>
      </w:r>
      <w:r>
        <w:rPr>
          <w:spacing w:val="-6"/>
          <w:sz w:val="20"/>
        </w:rPr>
        <w:t xml:space="preserve"> </w:t>
      </w:r>
      <w:r>
        <w:rPr>
          <w:spacing w:val="-2"/>
          <w:sz w:val="20"/>
        </w:rPr>
        <w:t>nacionais</w:t>
      </w:r>
      <w:r>
        <w:rPr>
          <w:spacing w:val="-3"/>
          <w:sz w:val="20"/>
        </w:rPr>
        <w:t xml:space="preserve"> </w:t>
      </w:r>
      <w:r>
        <w:rPr>
          <w:spacing w:val="-2"/>
          <w:sz w:val="20"/>
        </w:rPr>
        <w:t>ou</w:t>
      </w:r>
      <w:r>
        <w:rPr>
          <w:spacing w:val="-4"/>
          <w:sz w:val="20"/>
        </w:rPr>
        <w:t xml:space="preserve"> </w:t>
      </w:r>
      <w:r>
        <w:rPr>
          <w:spacing w:val="-2"/>
          <w:sz w:val="20"/>
        </w:rPr>
        <w:t>nacionalizados;</w:t>
      </w:r>
    </w:p>
    <w:p w:rsidR="007259F2" w:rsidRDefault="00E655B4">
      <w:pPr>
        <w:pStyle w:val="PargrafodaLista"/>
        <w:numPr>
          <w:ilvl w:val="0"/>
          <w:numId w:val="33"/>
        </w:numPr>
        <w:tabs>
          <w:tab w:val="left" w:pos="3088"/>
        </w:tabs>
        <w:spacing w:before="5" w:line="227" w:lineRule="exact"/>
        <w:ind w:left="3088" w:hanging="110"/>
        <w:jc w:val="left"/>
        <w:rPr>
          <w:b/>
          <w:sz w:val="20"/>
        </w:rPr>
      </w:pPr>
      <w:r>
        <w:rPr>
          <w:b/>
          <w:sz w:val="20"/>
        </w:rPr>
        <w:t>renda</w:t>
      </w:r>
      <w:r>
        <w:rPr>
          <w:b/>
          <w:spacing w:val="-11"/>
          <w:sz w:val="20"/>
        </w:rPr>
        <w:t xml:space="preserve"> </w:t>
      </w:r>
      <w:r>
        <w:rPr>
          <w:b/>
          <w:sz w:val="20"/>
        </w:rPr>
        <w:t>e</w:t>
      </w:r>
      <w:r>
        <w:rPr>
          <w:b/>
          <w:spacing w:val="-11"/>
          <w:sz w:val="20"/>
        </w:rPr>
        <w:t xml:space="preserve"> </w:t>
      </w:r>
      <w:r>
        <w:rPr>
          <w:b/>
          <w:sz w:val="20"/>
        </w:rPr>
        <w:t>proventos</w:t>
      </w:r>
      <w:r>
        <w:rPr>
          <w:b/>
          <w:spacing w:val="-11"/>
          <w:sz w:val="20"/>
        </w:rPr>
        <w:t xml:space="preserve"> </w:t>
      </w:r>
      <w:r>
        <w:rPr>
          <w:b/>
          <w:sz w:val="20"/>
        </w:rPr>
        <w:t>de</w:t>
      </w:r>
      <w:r>
        <w:rPr>
          <w:b/>
          <w:spacing w:val="-11"/>
          <w:sz w:val="20"/>
        </w:rPr>
        <w:t xml:space="preserve"> </w:t>
      </w:r>
      <w:r>
        <w:rPr>
          <w:b/>
          <w:sz w:val="20"/>
        </w:rPr>
        <w:t>qualquer</w:t>
      </w:r>
      <w:r>
        <w:rPr>
          <w:b/>
          <w:spacing w:val="-11"/>
          <w:sz w:val="20"/>
        </w:rPr>
        <w:t xml:space="preserve"> </w:t>
      </w:r>
      <w:r>
        <w:rPr>
          <w:b/>
          <w:spacing w:val="-2"/>
          <w:sz w:val="20"/>
        </w:rPr>
        <w:t>natureza;</w:t>
      </w:r>
    </w:p>
    <w:p w:rsidR="007259F2" w:rsidRDefault="00E655B4">
      <w:pPr>
        <w:pStyle w:val="PargrafodaLista"/>
        <w:numPr>
          <w:ilvl w:val="0"/>
          <w:numId w:val="33"/>
        </w:numPr>
        <w:tabs>
          <w:tab w:val="left" w:pos="3085"/>
        </w:tabs>
        <w:spacing w:line="227" w:lineRule="exact"/>
        <w:ind w:left="3085" w:hanging="107"/>
        <w:jc w:val="left"/>
        <w:rPr>
          <w:sz w:val="20"/>
        </w:rPr>
      </w:pPr>
      <w:r>
        <w:rPr>
          <w:spacing w:val="-2"/>
          <w:sz w:val="20"/>
        </w:rPr>
        <w:t>produtos</w:t>
      </w:r>
      <w:r>
        <w:rPr>
          <w:spacing w:val="3"/>
          <w:sz w:val="20"/>
        </w:rPr>
        <w:t xml:space="preserve"> </w:t>
      </w:r>
      <w:r>
        <w:rPr>
          <w:spacing w:val="-2"/>
          <w:sz w:val="20"/>
        </w:rPr>
        <w:t>industrializados;</w:t>
      </w:r>
    </w:p>
    <w:p w:rsidR="007259F2" w:rsidRDefault="00E655B4">
      <w:pPr>
        <w:pStyle w:val="PargrafodaLista"/>
        <w:numPr>
          <w:ilvl w:val="0"/>
          <w:numId w:val="33"/>
        </w:numPr>
        <w:tabs>
          <w:tab w:val="left" w:pos="3131"/>
        </w:tabs>
        <w:spacing w:before="1"/>
        <w:ind w:left="3131" w:hanging="153"/>
        <w:jc w:val="left"/>
        <w:rPr>
          <w:sz w:val="20"/>
        </w:rPr>
      </w:pPr>
      <w:r>
        <w:rPr>
          <w:sz w:val="20"/>
        </w:rPr>
        <w:t>operações</w:t>
      </w:r>
      <w:r>
        <w:rPr>
          <w:spacing w:val="35"/>
          <w:sz w:val="20"/>
        </w:rPr>
        <w:t xml:space="preserve"> </w:t>
      </w:r>
      <w:r>
        <w:rPr>
          <w:sz w:val="20"/>
        </w:rPr>
        <w:t>de</w:t>
      </w:r>
      <w:r>
        <w:rPr>
          <w:spacing w:val="35"/>
          <w:sz w:val="20"/>
        </w:rPr>
        <w:t xml:space="preserve"> </w:t>
      </w:r>
      <w:r>
        <w:rPr>
          <w:sz w:val="20"/>
        </w:rPr>
        <w:t>crédito,</w:t>
      </w:r>
      <w:r>
        <w:rPr>
          <w:spacing w:val="38"/>
          <w:sz w:val="20"/>
        </w:rPr>
        <w:t xml:space="preserve"> </w:t>
      </w:r>
      <w:r>
        <w:rPr>
          <w:sz w:val="20"/>
        </w:rPr>
        <w:t>câmbio</w:t>
      </w:r>
      <w:r>
        <w:rPr>
          <w:spacing w:val="36"/>
          <w:sz w:val="20"/>
        </w:rPr>
        <w:t xml:space="preserve"> </w:t>
      </w:r>
      <w:r>
        <w:rPr>
          <w:sz w:val="20"/>
        </w:rPr>
        <w:t>e</w:t>
      </w:r>
      <w:r>
        <w:rPr>
          <w:spacing w:val="35"/>
          <w:sz w:val="20"/>
        </w:rPr>
        <w:t xml:space="preserve"> </w:t>
      </w:r>
      <w:r>
        <w:rPr>
          <w:sz w:val="20"/>
        </w:rPr>
        <w:t>seguro,</w:t>
      </w:r>
      <w:r>
        <w:rPr>
          <w:spacing w:val="35"/>
          <w:sz w:val="20"/>
        </w:rPr>
        <w:t xml:space="preserve"> </w:t>
      </w:r>
      <w:r>
        <w:rPr>
          <w:sz w:val="20"/>
        </w:rPr>
        <w:t>ou</w:t>
      </w:r>
      <w:r>
        <w:rPr>
          <w:spacing w:val="36"/>
          <w:sz w:val="20"/>
        </w:rPr>
        <w:t xml:space="preserve"> </w:t>
      </w:r>
      <w:r>
        <w:rPr>
          <w:sz w:val="20"/>
        </w:rPr>
        <w:t>relativas</w:t>
      </w:r>
      <w:r>
        <w:rPr>
          <w:spacing w:val="37"/>
          <w:sz w:val="20"/>
        </w:rPr>
        <w:t xml:space="preserve"> </w:t>
      </w:r>
      <w:r>
        <w:rPr>
          <w:sz w:val="20"/>
        </w:rPr>
        <w:t>a</w:t>
      </w:r>
      <w:r>
        <w:rPr>
          <w:spacing w:val="35"/>
          <w:sz w:val="20"/>
        </w:rPr>
        <w:t xml:space="preserve"> </w:t>
      </w:r>
      <w:r>
        <w:rPr>
          <w:sz w:val="20"/>
        </w:rPr>
        <w:t>títulos</w:t>
      </w:r>
      <w:r>
        <w:rPr>
          <w:spacing w:val="35"/>
          <w:sz w:val="20"/>
        </w:rPr>
        <w:t xml:space="preserve"> </w:t>
      </w:r>
      <w:r>
        <w:rPr>
          <w:sz w:val="20"/>
        </w:rPr>
        <w:t>ou</w:t>
      </w:r>
      <w:r>
        <w:rPr>
          <w:spacing w:val="38"/>
          <w:sz w:val="20"/>
        </w:rPr>
        <w:t xml:space="preserve"> </w:t>
      </w:r>
      <w:r>
        <w:rPr>
          <w:spacing w:val="-2"/>
          <w:sz w:val="20"/>
        </w:rPr>
        <w:t>valores</w:t>
      </w:r>
    </w:p>
    <w:p w:rsidR="007259F2" w:rsidRDefault="00DE6B1C">
      <w:pPr>
        <w:pStyle w:val="Corpodetexto"/>
        <w:spacing w:before="65"/>
        <w:ind w:left="0" w:firstLine="0"/>
        <w:jc w:val="left"/>
        <w:rPr>
          <w:sz w:val="20"/>
        </w:rPr>
      </w:pPr>
      <w:r w:rsidRPr="00DE6B1C">
        <w:rPr>
          <w:sz w:val="20"/>
        </w:rPr>
        <w:pict>
          <v:rect id="docshape79" o:spid="_x0000_s1147" style="position:absolute;margin-left:85.1pt;margin-top:15.95pt;width:2in;height:.7pt;z-index:-15696384;mso-wrap-distance-left:0;mso-wrap-distance-right:0;mso-position-horizontal-relative:page" fillcolor="black" stroked="f">
            <w10:wrap type="topAndBottom" anchorx="page"/>
          </v:rect>
        </w:pict>
      </w:r>
    </w:p>
    <w:p w:rsidR="007259F2" w:rsidRDefault="00E655B4">
      <w:pPr>
        <w:spacing w:before="96"/>
        <w:ind w:left="710"/>
        <w:rPr>
          <w:i/>
          <w:sz w:val="20"/>
        </w:rPr>
      </w:pPr>
      <w:r>
        <w:rPr>
          <w:sz w:val="20"/>
          <w:vertAlign w:val="superscript"/>
        </w:rPr>
        <w:t>20</w:t>
      </w:r>
      <w:r>
        <w:rPr>
          <w:spacing w:val="-10"/>
          <w:sz w:val="20"/>
        </w:rPr>
        <w:t xml:space="preserve"> </w:t>
      </w:r>
      <w:r>
        <w:rPr>
          <w:sz w:val="20"/>
        </w:rPr>
        <w:t>BALEEIRO;</w:t>
      </w:r>
      <w:r>
        <w:rPr>
          <w:spacing w:val="-6"/>
          <w:sz w:val="20"/>
        </w:rPr>
        <w:t xml:space="preserve"> </w:t>
      </w:r>
      <w:r>
        <w:rPr>
          <w:sz w:val="20"/>
        </w:rPr>
        <w:t>DERZI,</w:t>
      </w:r>
      <w:r>
        <w:rPr>
          <w:spacing w:val="-4"/>
          <w:sz w:val="20"/>
        </w:rPr>
        <w:t xml:space="preserve"> </w:t>
      </w:r>
      <w:r>
        <w:rPr>
          <w:i/>
          <w:sz w:val="20"/>
        </w:rPr>
        <w:t>op.</w:t>
      </w:r>
      <w:r>
        <w:rPr>
          <w:i/>
          <w:spacing w:val="-5"/>
          <w:sz w:val="20"/>
        </w:rPr>
        <w:t xml:space="preserve"> </w:t>
      </w:r>
      <w:r>
        <w:rPr>
          <w:i/>
          <w:spacing w:val="-4"/>
          <w:sz w:val="20"/>
        </w:rPr>
        <w:t>cit.</w:t>
      </w:r>
    </w:p>
    <w:p w:rsidR="007259F2" w:rsidRDefault="00E655B4">
      <w:pPr>
        <w:spacing w:before="1"/>
        <w:ind w:left="710"/>
        <w:rPr>
          <w:sz w:val="20"/>
        </w:rPr>
      </w:pPr>
      <w:r>
        <w:rPr>
          <w:sz w:val="20"/>
          <w:vertAlign w:val="superscript"/>
        </w:rPr>
        <w:t>21</w:t>
      </w:r>
      <w:r>
        <w:rPr>
          <w:spacing w:val="-8"/>
          <w:sz w:val="20"/>
        </w:rPr>
        <w:t xml:space="preserve"> </w:t>
      </w:r>
      <w:r>
        <w:rPr>
          <w:sz w:val="20"/>
        </w:rPr>
        <w:t>COSTA,</w:t>
      </w:r>
      <w:r>
        <w:rPr>
          <w:spacing w:val="-5"/>
          <w:sz w:val="20"/>
        </w:rPr>
        <w:t xml:space="preserve"> </w:t>
      </w:r>
      <w:r>
        <w:rPr>
          <w:sz w:val="20"/>
        </w:rPr>
        <w:t>Regina</w:t>
      </w:r>
      <w:r>
        <w:rPr>
          <w:spacing w:val="-7"/>
          <w:sz w:val="20"/>
        </w:rPr>
        <w:t xml:space="preserve"> </w:t>
      </w:r>
      <w:r>
        <w:rPr>
          <w:sz w:val="20"/>
        </w:rPr>
        <w:t>Helena.</w:t>
      </w:r>
      <w:r>
        <w:rPr>
          <w:spacing w:val="-5"/>
          <w:sz w:val="20"/>
        </w:rPr>
        <w:t xml:space="preserve"> </w:t>
      </w:r>
      <w:r>
        <w:rPr>
          <w:b/>
          <w:sz w:val="20"/>
        </w:rPr>
        <w:t>Curso</w:t>
      </w:r>
      <w:r>
        <w:rPr>
          <w:b/>
          <w:spacing w:val="-7"/>
          <w:sz w:val="20"/>
        </w:rPr>
        <w:t xml:space="preserve"> </w:t>
      </w:r>
      <w:r>
        <w:rPr>
          <w:b/>
          <w:sz w:val="20"/>
        </w:rPr>
        <w:t>de</w:t>
      </w:r>
      <w:r>
        <w:rPr>
          <w:b/>
          <w:spacing w:val="-7"/>
          <w:sz w:val="20"/>
        </w:rPr>
        <w:t xml:space="preserve"> </w:t>
      </w:r>
      <w:r>
        <w:rPr>
          <w:b/>
          <w:sz w:val="20"/>
        </w:rPr>
        <w:t>direito</w:t>
      </w:r>
      <w:r>
        <w:rPr>
          <w:b/>
          <w:spacing w:val="-6"/>
          <w:sz w:val="20"/>
        </w:rPr>
        <w:t xml:space="preserve"> </w:t>
      </w:r>
      <w:r>
        <w:rPr>
          <w:b/>
          <w:sz w:val="20"/>
        </w:rPr>
        <w:t>tributário.</w:t>
      </w:r>
      <w:r>
        <w:rPr>
          <w:b/>
          <w:spacing w:val="-5"/>
          <w:sz w:val="20"/>
        </w:rPr>
        <w:t xml:space="preserve"> </w:t>
      </w:r>
      <w:r>
        <w:rPr>
          <w:sz w:val="20"/>
        </w:rPr>
        <w:t>São</w:t>
      </w:r>
      <w:r>
        <w:rPr>
          <w:spacing w:val="-6"/>
          <w:sz w:val="20"/>
        </w:rPr>
        <w:t xml:space="preserve"> </w:t>
      </w:r>
      <w:r>
        <w:rPr>
          <w:sz w:val="20"/>
        </w:rPr>
        <w:t>Paulo:</w:t>
      </w:r>
      <w:r>
        <w:rPr>
          <w:spacing w:val="-8"/>
          <w:sz w:val="20"/>
        </w:rPr>
        <w:t xml:space="preserve"> </w:t>
      </w:r>
      <w:r>
        <w:rPr>
          <w:sz w:val="20"/>
        </w:rPr>
        <w:t>Saraiva</w:t>
      </w:r>
      <w:r>
        <w:rPr>
          <w:spacing w:val="-7"/>
          <w:sz w:val="20"/>
        </w:rPr>
        <w:t xml:space="preserve"> </w:t>
      </w:r>
      <w:r>
        <w:rPr>
          <w:sz w:val="20"/>
        </w:rPr>
        <w:t>Educação</w:t>
      </w:r>
      <w:r>
        <w:rPr>
          <w:spacing w:val="-6"/>
          <w:sz w:val="20"/>
        </w:rPr>
        <w:t xml:space="preserve"> </w:t>
      </w:r>
      <w:r>
        <w:rPr>
          <w:sz w:val="20"/>
        </w:rPr>
        <w:t>S.A.,</w:t>
      </w:r>
      <w:r>
        <w:rPr>
          <w:spacing w:val="-7"/>
          <w:sz w:val="20"/>
        </w:rPr>
        <w:t xml:space="preserve"> </w:t>
      </w:r>
      <w:r>
        <w:rPr>
          <w:sz w:val="20"/>
        </w:rPr>
        <w:t>v.</w:t>
      </w:r>
      <w:r>
        <w:rPr>
          <w:spacing w:val="-7"/>
          <w:sz w:val="20"/>
        </w:rPr>
        <w:t xml:space="preserve"> </w:t>
      </w:r>
      <w:r>
        <w:rPr>
          <w:sz w:val="20"/>
        </w:rPr>
        <w:t>3,</w:t>
      </w:r>
      <w:r>
        <w:rPr>
          <w:spacing w:val="-7"/>
          <w:sz w:val="20"/>
        </w:rPr>
        <w:t xml:space="preserve"> </w:t>
      </w:r>
      <w:r>
        <w:rPr>
          <w:spacing w:val="-2"/>
          <w:sz w:val="20"/>
        </w:rPr>
        <w:t>2018.</w:t>
      </w:r>
    </w:p>
    <w:p w:rsidR="007259F2" w:rsidRDefault="00E655B4">
      <w:pPr>
        <w:ind w:left="710"/>
        <w:rPr>
          <w:sz w:val="20"/>
        </w:rPr>
      </w:pPr>
      <w:r>
        <w:rPr>
          <w:sz w:val="20"/>
          <w:vertAlign w:val="superscript"/>
        </w:rPr>
        <w:t>22</w:t>
      </w:r>
      <w:r>
        <w:rPr>
          <w:spacing w:val="19"/>
          <w:sz w:val="20"/>
        </w:rPr>
        <w:t xml:space="preserve"> </w:t>
      </w:r>
      <w:r>
        <w:rPr>
          <w:sz w:val="20"/>
        </w:rPr>
        <w:t>AGÜERO,</w:t>
      </w:r>
      <w:r>
        <w:rPr>
          <w:spacing w:val="22"/>
          <w:sz w:val="20"/>
        </w:rPr>
        <w:t xml:space="preserve"> </w:t>
      </w:r>
      <w:r>
        <w:rPr>
          <w:sz w:val="20"/>
        </w:rPr>
        <w:t>Antonio</w:t>
      </w:r>
      <w:r>
        <w:rPr>
          <w:spacing w:val="22"/>
          <w:sz w:val="20"/>
        </w:rPr>
        <w:t xml:space="preserve"> </w:t>
      </w:r>
      <w:r>
        <w:rPr>
          <w:sz w:val="20"/>
        </w:rPr>
        <w:t>Aguiló.</w:t>
      </w:r>
      <w:r>
        <w:rPr>
          <w:spacing w:val="33"/>
          <w:sz w:val="20"/>
        </w:rPr>
        <w:t xml:space="preserve"> </w:t>
      </w:r>
      <w:r>
        <w:rPr>
          <w:sz w:val="20"/>
        </w:rPr>
        <w:t>La</w:t>
      </w:r>
      <w:r>
        <w:rPr>
          <w:spacing w:val="31"/>
          <w:sz w:val="20"/>
        </w:rPr>
        <w:t xml:space="preserve"> </w:t>
      </w:r>
      <w:r>
        <w:rPr>
          <w:sz w:val="20"/>
        </w:rPr>
        <w:t>Prohibición</w:t>
      </w:r>
      <w:r>
        <w:rPr>
          <w:spacing w:val="30"/>
          <w:sz w:val="20"/>
        </w:rPr>
        <w:t xml:space="preserve"> </w:t>
      </w:r>
      <w:r>
        <w:rPr>
          <w:sz w:val="20"/>
        </w:rPr>
        <w:t>de</w:t>
      </w:r>
      <w:r>
        <w:rPr>
          <w:spacing w:val="31"/>
          <w:sz w:val="20"/>
        </w:rPr>
        <w:t xml:space="preserve"> </w:t>
      </w:r>
      <w:r>
        <w:rPr>
          <w:sz w:val="20"/>
        </w:rPr>
        <w:t>Confiscatoriedad</w:t>
      </w:r>
      <w:r>
        <w:rPr>
          <w:spacing w:val="30"/>
          <w:sz w:val="20"/>
        </w:rPr>
        <w:t xml:space="preserve"> </w:t>
      </w:r>
      <w:r>
        <w:rPr>
          <w:sz w:val="20"/>
        </w:rPr>
        <w:t>em</w:t>
      </w:r>
      <w:r>
        <w:rPr>
          <w:spacing w:val="27"/>
          <w:sz w:val="20"/>
        </w:rPr>
        <w:t xml:space="preserve"> </w:t>
      </w:r>
      <w:r>
        <w:rPr>
          <w:sz w:val="20"/>
        </w:rPr>
        <w:t>el</w:t>
      </w:r>
      <w:r>
        <w:rPr>
          <w:spacing w:val="31"/>
          <w:sz w:val="20"/>
        </w:rPr>
        <w:t xml:space="preserve"> </w:t>
      </w:r>
      <w:r>
        <w:rPr>
          <w:sz w:val="20"/>
        </w:rPr>
        <w:t>Sistema</w:t>
      </w:r>
      <w:r>
        <w:rPr>
          <w:spacing w:val="26"/>
          <w:sz w:val="20"/>
        </w:rPr>
        <w:t xml:space="preserve"> </w:t>
      </w:r>
      <w:r>
        <w:rPr>
          <w:sz w:val="20"/>
        </w:rPr>
        <w:t>Tributario</w:t>
      </w:r>
      <w:r>
        <w:rPr>
          <w:spacing w:val="31"/>
          <w:sz w:val="20"/>
        </w:rPr>
        <w:t xml:space="preserve"> </w:t>
      </w:r>
      <w:r>
        <w:rPr>
          <w:spacing w:val="-2"/>
          <w:sz w:val="20"/>
        </w:rPr>
        <w:t>Español.</w:t>
      </w:r>
    </w:p>
    <w:p w:rsidR="007259F2" w:rsidRDefault="00E655B4">
      <w:pPr>
        <w:spacing w:before="1"/>
        <w:ind w:left="710"/>
        <w:rPr>
          <w:sz w:val="20"/>
        </w:rPr>
      </w:pPr>
      <w:r>
        <w:rPr>
          <w:b/>
          <w:sz w:val="20"/>
        </w:rPr>
        <w:t>RDT</w:t>
      </w:r>
      <w:r>
        <w:rPr>
          <w:sz w:val="20"/>
        </w:rPr>
        <w:t>,</w:t>
      </w:r>
      <w:r>
        <w:rPr>
          <w:spacing w:val="-4"/>
          <w:sz w:val="20"/>
        </w:rPr>
        <w:t xml:space="preserve"> </w:t>
      </w:r>
      <w:r>
        <w:rPr>
          <w:sz w:val="20"/>
        </w:rPr>
        <w:t>nº</w:t>
      </w:r>
      <w:r>
        <w:rPr>
          <w:spacing w:val="-2"/>
          <w:sz w:val="20"/>
        </w:rPr>
        <w:t xml:space="preserve"> </w:t>
      </w:r>
      <w:r>
        <w:rPr>
          <w:sz w:val="20"/>
        </w:rPr>
        <w:t>42.</w:t>
      </w:r>
      <w:r>
        <w:rPr>
          <w:spacing w:val="-3"/>
          <w:sz w:val="20"/>
        </w:rPr>
        <w:t xml:space="preserve"> </w:t>
      </w:r>
      <w:r>
        <w:rPr>
          <w:spacing w:val="-5"/>
          <w:sz w:val="20"/>
        </w:rPr>
        <w:t>BR</w:t>
      </w:r>
    </w:p>
    <w:p w:rsidR="007259F2" w:rsidRDefault="00E655B4">
      <w:pPr>
        <w:ind w:left="710"/>
        <w:rPr>
          <w:sz w:val="20"/>
        </w:rPr>
      </w:pPr>
      <w:r>
        <w:rPr>
          <w:sz w:val="20"/>
          <w:vertAlign w:val="superscript"/>
        </w:rPr>
        <w:t>23</w:t>
      </w:r>
      <w:r>
        <w:rPr>
          <w:spacing w:val="-6"/>
          <w:sz w:val="20"/>
        </w:rPr>
        <w:t xml:space="preserve"> </w:t>
      </w:r>
      <w:r>
        <w:rPr>
          <w:sz w:val="20"/>
        </w:rPr>
        <w:t>BRASIL,</w:t>
      </w:r>
      <w:r>
        <w:rPr>
          <w:spacing w:val="-5"/>
          <w:sz w:val="20"/>
        </w:rPr>
        <w:t xml:space="preserve"> </w:t>
      </w:r>
      <w:r>
        <w:rPr>
          <w:spacing w:val="-2"/>
          <w:sz w:val="20"/>
        </w:rPr>
        <w:t>1988.</w:t>
      </w:r>
    </w:p>
    <w:p w:rsidR="007259F2" w:rsidRDefault="007259F2">
      <w:pPr>
        <w:rPr>
          <w:sz w:val="20"/>
        </w:rPr>
        <w:sectPr w:rsidR="007259F2">
          <w:pgSz w:w="11910" w:h="16840"/>
          <w:pgMar w:top="1320" w:right="708" w:bottom="1160" w:left="992" w:header="0" w:footer="962" w:gutter="0"/>
          <w:cols w:space="720"/>
        </w:sectPr>
      </w:pPr>
    </w:p>
    <w:p w:rsidR="007259F2" w:rsidRDefault="00E655B4">
      <w:pPr>
        <w:spacing w:before="71"/>
        <w:ind w:left="2978"/>
        <w:rPr>
          <w:sz w:val="20"/>
        </w:rPr>
      </w:pPr>
      <w:r>
        <w:rPr>
          <w:spacing w:val="-2"/>
          <w:sz w:val="20"/>
        </w:rPr>
        <w:lastRenderedPageBreak/>
        <w:t>mobiliários;</w:t>
      </w:r>
    </w:p>
    <w:p w:rsidR="007259F2" w:rsidRDefault="00E655B4">
      <w:pPr>
        <w:pStyle w:val="PargrafodaLista"/>
        <w:numPr>
          <w:ilvl w:val="0"/>
          <w:numId w:val="33"/>
        </w:numPr>
        <w:tabs>
          <w:tab w:val="left" w:pos="3083"/>
        </w:tabs>
        <w:ind w:left="3083" w:hanging="105"/>
        <w:jc w:val="left"/>
        <w:rPr>
          <w:sz w:val="20"/>
        </w:rPr>
      </w:pPr>
      <w:r>
        <w:rPr>
          <w:spacing w:val="-2"/>
          <w:sz w:val="20"/>
        </w:rPr>
        <w:t>propriedade</w:t>
      </w:r>
      <w:r>
        <w:rPr>
          <w:spacing w:val="11"/>
          <w:sz w:val="20"/>
        </w:rPr>
        <w:t xml:space="preserve"> </w:t>
      </w:r>
      <w:r>
        <w:rPr>
          <w:spacing w:val="-2"/>
          <w:sz w:val="20"/>
        </w:rPr>
        <w:t>territorial</w:t>
      </w:r>
      <w:r>
        <w:rPr>
          <w:spacing w:val="2"/>
          <w:sz w:val="20"/>
        </w:rPr>
        <w:t xml:space="preserve"> </w:t>
      </w:r>
      <w:r>
        <w:rPr>
          <w:spacing w:val="-2"/>
          <w:sz w:val="20"/>
        </w:rPr>
        <w:t>rural;</w:t>
      </w:r>
    </w:p>
    <w:p w:rsidR="007259F2" w:rsidRDefault="00E655B4">
      <w:pPr>
        <w:pStyle w:val="PargrafodaLista"/>
        <w:numPr>
          <w:ilvl w:val="0"/>
          <w:numId w:val="33"/>
        </w:numPr>
        <w:tabs>
          <w:tab w:val="left" w:pos="3088"/>
        </w:tabs>
        <w:spacing w:before="1"/>
        <w:ind w:left="3088" w:hanging="110"/>
        <w:jc w:val="left"/>
        <w:rPr>
          <w:sz w:val="20"/>
        </w:rPr>
      </w:pPr>
      <w:r>
        <w:rPr>
          <w:sz w:val="20"/>
        </w:rPr>
        <w:t>grandes</w:t>
      </w:r>
      <w:r>
        <w:rPr>
          <w:spacing w:val="-8"/>
          <w:sz w:val="20"/>
        </w:rPr>
        <w:t xml:space="preserve"> </w:t>
      </w:r>
      <w:r>
        <w:rPr>
          <w:sz w:val="20"/>
        </w:rPr>
        <w:t>fortunas,</w:t>
      </w:r>
      <w:r>
        <w:rPr>
          <w:spacing w:val="-8"/>
          <w:sz w:val="20"/>
        </w:rPr>
        <w:t xml:space="preserve"> </w:t>
      </w:r>
      <w:r>
        <w:rPr>
          <w:sz w:val="20"/>
        </w:rPr>
        <w:t>nos</w:t>
      </w:r>
      <w:r>
        <w:rPr>
          <w:spacing w:val="-13"/>
          <w:sz w:val="20"/>
        </w:rPr>
        <w:t xml:space="preserve"> </w:t>
      </w:r>
      <w:r>
        <w:rPr>
          <w:sz w:val="20"/>
        </w:rPr>
        <w:t>termos</w:t>
      </w:r>
      <w:r>
        <w:rPr>
          <w:spacing w:val="-10"/>
          <w:sz w:val="20"/>
        </w:rPr>
        <w:t xml:space="preserve"> </w:t>
      </w:r>
      <w:r>
        <w:rPr>
          <w:sz w:val="20"/>
        </w:rPr>
        <w:t>de</w:t>
      </w:r>
      <w:r>
        <w:rPr>
          <w:spacing w:val="-11"/>
          <w:sz w:val="20"/>
        </w:rPr>
        <w:t xml:space="preserve"> </w:t>
      </w:r>
      <w:r>
        <w:rPr>
          <w:sz w:val="20"/>
        </w:rPr>
        <w:t>lei</w:t>
      </w:r>
      <w:r>
        <w:rPr>
          <w:spacing w:val="-10"/>
          <w:sz w:val="20"/>
        </w:rPr>
        <w:t xml:space="preserve"> </w:t>
      </w:r>
      <w:r>
        <w:rPr>
          <w:spacing w:val="-2"/>
          <w:sz w:val="20"/>
        </w:rPr>
        <w:t>complementar.</w:t>
      </w:r>
    </w:p>
    <w:p w:rsidR="007259F2" w:rsidRDefault="00E655B4">
      <w:pPr>
        <w:ind w:left="2978" w:right="999"/>
        <w:jc w:val="both"/>
        <w:rPr>
          <w:sz w:val="20"/>
        </w:rPr>
      </w:pPr>
      <w:r>
        <w:rPr>
          <w:sz w:val="20"/>
        </w:rPr>
        <w:t>§ 1º É facultado ao Poder Executivo, atendidas as condições e os limites estabelecidos em lei, alterar as alíquotas dos impostos enumerados nos</w:t>
      </w:r>
      <w:r>
        <w:rPr>
          <w:spacing w:val="40"/>
          <w:sz w:val="20"/>
        </w:rPr>
        <w:t xml:space="preserve"> </w:t>
      </w:r>
      <w:r>
        <w:rPr>
          <w:sz w:val="20"/>
        </w:rPr>
        <w:t>incisos I, II, IV e V.</w:t>
      </w:r>
    </w:p>
    <w:p w:rsidR="007259F2" w:rsidRDefault="00E655B4">
      <w:pPr>
        <w:spacing w:before="4"/>
        <w:ind w:left="2978"/>
        <w:rPr>
          <w:b/>
          <w:sz w:val="20"/>
        </w:rPr>
      </w:pPr>
      <w:r>
        <w:rPr>
          <w:b/>
          <w:sz w:val="20"/>
        </w:rPr>
        <w:t>§</w:t>
      </w:r>
      <w:r>
        <w:rPr>
          <w:b/>
          <w:spacing w:val="-10"/>
          <w:sz w:val="20"/>
        </w:rPr>
        <w:t xml:space="preserve"> </w:t>
      </w:r>
      <w:r>
        <w:rPr>
          <w:b/>
          <w:sz w:val="20"/>
        </w:rPr>
        <w:t>2º</w:t>
      </w:r>
      <w:r>
        <w:rPr>
          <w:b/>
          <w:spacing w:val="-11"/>
          <w:sz w:val="20"/>
        </w:rPr>
        <w:t xml:space="preserve"> </w:t>
      </w:r>
      <w:r>
        <w:rPr>
          <w:b/>
          <w:sz w:val="20"/>
        </w:rPr>
        <w:t>O</w:t>
      </w:r>
      <w:r>
        <w:rPr>
          <w:b/>
          <w:spacing w:val="-10"/>
          <w:sz w:val="20"/>
        </w:rPr>
        <w:t xml:space="preserve"> </w:t>
      </w:r>
      <w:r>
        <w:rPr>
          <w:b/>
          <w:sz w:val="20"/>
        </w:rPr>
        <w:t>imposto</w:t>
      </w:r>
      <w:r>
        <w:rPr>
          <w:b/>
          <w:spacing w:val="-9"/>
          <w:sz w:val="20"/>
        </w:rPr>
        <w:t xml:space="preserve"> </w:t>
      </w:r>
      <w:r>
        <w:rPr>
          <w:b/>
          <w:sz w:val="20"/>
        </w:rPr>
        <w:t>previsto</w:t>
      </w:r>
      <w:r>
        <w:rPr>
          <w:b/>
          <w:spacing w:val="-10"/>
          <w:sz w:val="20"/>
        </w:rPr>
        <w:t xml:space="preserve"> </w:t>
      </w:r>
      <w:r>
        <w:rPr>
          <w:b/>
          <w:sz w:val="20"/>
        </w:rPr>
        <w:t>no</w:t>
      </w:r>
      <w:r>
        <w:rPr>
          <w:b/>
          <w:spacing w:val="-5"/>
          <w:sz w:val="20"/>
        </w:rPr>
        <w:t xml:space="preserve"> </w:t>
      </w:r>
      <w:r>
        <w:rPr>
          <w:b/>
          <w:sz w:val="20"/>
        </w:rPr>
        <w:t>inciso</w:t>
      </w:r>
      <w:r>
        <w:rPr>
          <w:b/>
          <w:spacing w:val="-7"/>
          <w:sz w:val="20"/>
        </w:rPr>
        <w:t xml:space="preserve"> </w:t>
      </w:r>
      <w:r>
        <w:rPr>
          <w:b/>
          <w:spacing w:val="-4"/>
          <w:sz w:val="20"/>
        </w:rPr>
        <w:t>III:</w:t>
      </w:r>
    </w:p>
    <w:p w:rsidR="007259F2" w:rsidRDefault="00E655B4">
      <w:pPr>
        <w:pStyle w:val="PargrafodaLista"/>
        <w:numPr>
          <w:ilvl w:val="0"/>
          <w:numId w:val="33"/>
        </w:numPr>
        <w:tabs>
          <w:tab w:val="left" w:pos="3109"/>
        </w:tabs>
        <w:ind w:right="990" w:firstLine="0"/>
        <w:jc w:val="left"/>
        <w:rPr>
          <w:b/>
          <w:sz w:val="20"/>
        </w:rPr>
      </w:pPr>
      <w:r>
        <w:rPr>
          <w:b/>
          <w:sz w:val="20"/>
        </w:rPr>
        <w:t>será informado pelos critérios da generalidade, da universalidade e da progressividade, na forma da lei; [...]</w:t>
      </w:r>
    </w:p>
    <w:p w:rsidR="007259F2" w:rsidRDefault="00E655B4">
      <w:pPr>
        <w:spacing w:line="226" w:lineRule="exact"/>
        <w:ind w:left="2978"/>
        <w:rPr>
          <w:sz w:val="20"/>
        </w:rPr>
      </w:pPr>
      <w:r>
        <w:rPr>
          <w:sz w:val="20"/>
        </w:rPr>
        <w:t>(Destaques</w:t>
      </w:r>
      <w:r>
        <w:rPr>
          <w:spacing w:val="-9"/>
          <w:sz w:val="20"/>
        </w:rPr>
        <w:t xml:space="preserve"> </w:t>
      </w:r>
      <w:r>
        <w:rPr>
          <w:spacing w:val="-2"/>
          <w:sz w:val="20"/>
        </w:rPr>
        <w:t>meus)</w:t>
      </w:r>
    </w:p>
    <w:p w:rsidR="007259F2" w:rsidRDefault="007259F2">
      <w:pPr>
        <w:pStyle w:val="Corpodetexto"/>
        <w:spacing w:before="45"/>
        <w:ind w:left="0" w:firstLine="0"/>
        <w:jc w:val="left"/>
        <w:rPr>
          <w:sz w:val="20"/>
        </w:rPr>
      </w:pPr>
    </w:p>
    <w:p w:rsidR="007259F2" w:rsidRDefault="00E655B4">
      <w:pPr>
        <w:pStyle w:val="Corpodetexto"/>
        <w:ind w:right="988"/>
      </w:pPr>
      <w:r>
        <w:t>Sobre o sentido da expressão “</w:t>
      </w:r>
      <w:r>
        <w:rPr>
          <w:i/>
        </w:rPr>
        <w:t>renda e proventos de qualquer natureza</w:t>
      </w:r>
      <w:r>
        <w:t>”, conforme ensina</w:t>
      </w:r>
      <w:r>
        <w:rPr>
          <w:spacing w:val="-15"/>
        </w:rPr>
        <w:t xml:space="preserve"> </w:t>
      </w:r>
      <w:r>
        <w:t>Aliomar Baleeiro,</w:t>
      </w:r>
      <w:r>
        <w:rPr>
          <w:spacing w:val="-1"/>
        </w:rPr>
        <w:t xml:space="preserve"> </w:t>
      </w:r>
      <w:r>
        <w:t>a</w:t>
      </w:r>
      <w:r>
        <w:rPr>
          <w:spacing w:val="-1"/>
        </w:rPr>
        <w:t xml:space="preserve"> </w:t>
      </w:r>
      <w:r>
        <w:t>ideia de</w:t>
      </w:r>
      <w:r>
        <w:rPr>
          <w:spacing w:val="-1"/>
        </w:rPr>
        <w:t xml:space="preserve"> </w:t>
      </w:r>
      <w:r>
        <w:t>rendimento é</w:t>
      </w:r>
      <w:r>
        <w:rPr>
          <w:spacing w:val="-1"/>
        </w:rPr>
        <w:t xml:space="preserve"> </w:t>
      </w:r>
      <w:r>
        <w:t>só a</w:t>
      </w:r>
      <w:r>
        <w:rPr>
          <w:spacing w:val="-1"/>
        </w:rPr>
        <w:t xml:space="preserve"> </w:t>
      </w:r>
      <w:r>
        <w:t>de</w:t>
      </w:r>
      <w:r>
        <w:rPr>
          <w:spacing w:val="-1"/>
        </w:rPr>
        <w:t xml:space="preserve"> </w:t>
      </w:r>
      <w:r>
        <w:t>determinado ganho e sua noção independe do tempo. Já a renda está atrelada, necessariamente, à ideia de período.</w:t>
      </w:r>
      <w:r>
        <w:rPr>
          <w:spacing w:val="-3"/>
        </w:rPr>
        <w:t xml:space="preserve"> </w:t>
      </w:r>
      <w:r>
        <w:t>A</w:t>
      </w:r>
      <w:r>
        <w:rPr>
          <w:spacing w:val="-5"/>
        </w:rPr>
        <w:t xml:space="preserve"> </w:t>
      </w:r>
      <w:r>
        <w:t xml:space="preserve">soma dos rendimentos pessoais, por certo lapso de tempo, é que configura a </w:t>
      </w:r>
      <w:r>
        <w:rPr>
          <w:spacing w:val="-2"/>
        </w:rPr>
        <w:t>renda.</w:t>
      </w:r>
      <w:r>
        <w:rPr>
          <w:spacing w:val="-2"/>
          <w:vertAlign w:val="superscript"/>
        </w:rPr>
        <w:t>24</w:t>
      </w:r>
    </w:p>
    <w:p w:rsidR="007259F2" w:rsidRDefault="00E655B4">
      <w:pPr>
        <w:pStyle w:val="Corpodetexto"/>
        <w:spacing w:before="1"/>
        <w:ind w:right="986"/>
      </w:pPr>
      <w:r>
        <w:t>Ainda, o Supremo Tribunal Federal, como guardião da Constituição Federal de 1988</w:t>
      </w:r>
      <w:r>
        <w:rPr>
          <w:vertAlign w:val="superscript"/>
        </w:rPr>
        <w:t>25</w:t>
      </w:r>
      <w:r>
        <w:t>, teve entendimento na mesma linha de raciocínio quando do julgamento do RE n.º 117.887 SP, o qual foi assim ementado:</w:t>
      </w:r>
    </w:p>
    <w:p w:rsidR="007259F2" w:rsidRDefault="007259F2">
      <w:pPr>
        <w:pStyle w:val="Corpodetexto"/>
        <w:spacing w:before="1"/>
        <w:ind w:left="0" w:firstLine="0"/>
        <w:jc w:val="left"/>
      </w:pPr>
    </w:p>
    <w:p w:rsidR="007259F2" w:rsidRDefault="00E655B4">
      <w:pPr>
        <w:spacing w:before="1"/>
        <w:ind w:left="2978" w:right="992"/>
        <w:jc w:val="both"/>
        <w:rPr>
          <w:sz w:val="20"/>
        </w:rPr>
      </w:pPr>
      <w:r>
        <w:rPr>
          <w:sz w:val="20"/>
        </w:rPr>
        <w:t>CONSTITUCIONAL. TRIBUTÁRIO. IMPOSTO DE% RENDA – CONCEITO.</w:t>
      </w:r>
      <w:r>
        <w:rPr>
          <w:spacing w:val="20"/>
          <w:sz w:val="20"/>
        </w:rPr>
        <w:t xml:space="preserve"> </w:t>
      </w:r>
      <w:r>
        <w:rPr>
          <w:sz w:val="20"/>
        </w:rPr>
        <w:t>Lei</w:t>
      </w:r>
      <w:r>
        <w:rPr>
          <w:spacing w:val="20"/>
          <w:sz w:val="20"/>
        </w:rPr>
        <w:t xml:space="preserve"> </w:t>
      </w:r>
      <w:r>
        <w:rPr>
          <w:sz w:val="20"/>
        </w:rPr>
        <w:t>n.</w:t>
      </w:r>
      <w:r>
        <w:rPr>
          <w:spacing w:val="20"/>
          <w:sz w:val="20"/>
        </w:rPr>
        <w:t xml:space="preserve"> </w:t>
      </w:r>
      <w:r>
        <w:rPr>
          <w:sz w:val="20"/>
        </w:rPr>
        <w:t>4.506,</w:t>
      </w:r>
      <w:r>
        <w:rPr>
          <w:spacing w:val="21"/>
          <w:sz w:val="20"/>
        </w:rPr>
        <w:t xml:space="preserve"> </w:t>
      </w:r>
      <w:r>
        <w:rPr>
          <w:sz w:val="20"/>
        </w:rPr>
        <w:t>de</w:t>
      </w:r>
      <w:r>
        <w:rPr>
          <w:spacing w:val="20"/>
          <w:sz w:val="20"/>
        </w:rPr>
        <w:t xml:space="preserve"> </w:t>
      </w:r>
      <w:r>
        <w:rPr>
          <w:sz w:val="20"/>
        </w:rPr>
        <w:t>30.XI.64,</w:t>
      </w:r>
      <w:r>
        <w:rPr>
          <w:spacing w:val="20"/>
          <w:sz w:val="20"/>
        </w:rPr>
        <w:t xml:space="preserve"> </w:t>
      </w:r>
      <w:r>
        <w:rPr>
          <w:sz w:val="20"/>
        </w:rPr>
        <w:t>art.38,</w:t>
      </w:r>
      <w:r>
        <w:rPr>
          <w:spacing w:val="21"/>
          <w:sz w:val="20"/>
        </w:rPr>
        <w:t xml:space="preserve"> </w:t>
      </w:r>
      <w:r>
        <w:rPr>
          <w:sz w:val="20"/>
        </w:rPr>
        <w:t>C.F./46,</w:t>
      </w:r>
      <w:r>
        <w:rPr>
          <w:spacing w:val="20"/>
          <w:sz w:val="20"/>
        </w:rPr>
        <w:t xml:space="preserve"> </w:t>
      </w:r>
      <w:r>
        <w:rPr>
          <w:sz w:val="20"/>
        </w:rPr>
        <w:t>art.</w:t>
      </w:r>
      <w:r>
        <w:rPr>
          <w:spacing w:val="20"/>
          <w:sz w:val="20"/>
        </w:rPr>
        <w:t xml:space="preserve"> </w:t>
      </w:r>
      <w:r>
        <w:rPr>
          <w:sz w:val="20"/>
        </w:rPr>
        <w:t>15,</w:t>
      </w:r>
      <w:r>
        <w:rPr>
          <w:spacing w:val="21"/>
          <w:sz w:val="20"/>
        </w:rPr>
        <w:t xml:space="preserve"> </w:t>
      </w:r>
      <w:r>
        <w:rPr>
          <w:sz w:val="20"/>
        </w:rPr>
        <w:t>IV;</w:t>
      </w:r>
      <w:r>
        <w:rPr>
          <w:spacing w:val="20"/>
          <w:sz w:val="20"/>
        </w:rPr>
        <w:t xml:space="preserve"> </w:t>
      </w:r>
      <w:r>
        <w:rPr>
          <w:spacing w:val="-2"/>
          <w:sz w:val="20"/>
        </w:rPr>
        <w:t>CF/67,</w:t>
      </w:r>
    </w:p>
    <w:p w:rsidR="007259F2" w:rsidRDefault="00E655B4">
      <w:pPr>
        <w:ind w:left="2978" w:right="987"/>
        <w:jc w:val="both"/>
        <w:rPr>
          <w:sz w:val="20"/>
        </w:rPr>
      </w:pPr>
      <w:r>
        <w:rPr>
          <w:sz w:val="20"/>
        </w:rPr>
        <w:t xml:space="preserve">art. 22, IV; EC 1/69, art. 21, IV. CTN, art. 43. I. – </w:t>
      </w:r>
      <w:r>
        <w:rPr>
          <w:b/>
          <w:sz w:val="20"/>
        </w:rPr>
        <w:t>Renda e proventos de qualquer natureza: o conceito implica reconhecer a existência de receita, lucro,</w:t>
      </w:r>
      <w:r>
        <w:rPr>
          <w:b/>
          <w:spacing w:val="-1"/>
          <w:sz w:val="20"/>
        </w:rPr>
        <w:t xml:space="preserve"> </w:t>
      </w:r>
      <w:r>
        <w:rPr>
          <w:b/>
          <w:sz w:val="20"/>
        </w:rPr>
        <w:t>proveito,</w:t>
      </w:r>
      <w:r>
        <w:rPr>
          <w:b/>
          <w:spacing w:val="-2"/>
          <w:sz w:val="20"/>
        </w:rPr>
        <w:t xml:space="preserve"> </w:t>
      </w:r>
      <w:r>
        <w:rPr>
          <w:b/>
          <w:sz w:val="20"/>
        </w:rPr>
        <w:t>ganho,</w:t>
      </w:r>
      <w:r>
        <w:rPr>
          <w:b/>
          <w:spacing w:val="-1"/>
          <w:sz w:val="20"/>
        </w:rPr>
        <w:t xml:space="preserve"> </w:t>
      </w:r>
      <w:r>
        <w:rPr>
          <w:b/>
          <w:sz w:val="20"/>
        </w:rPr>
        <w:t>acréscimo patrimonial que ocorreram</w:t>
      </w:r>
      <w:r>
        <w:rPr>
          <w:b/>
          <w:spacing w:val="-1"/>
          <w:sz w:val="20"/>
        </w:rPr>
        <w:t xml:space="preserve"> </w:t>
      </w:r>
      <w:r>
        <w:rPr>
          <w:b/>
          <w:sz w:val="20"/>
        </w:rPr>
        <w:t>mediante</w:t>
      </w:r>
      <w:r>
        <w:rPr>
          <w:b/>
          <w:spacing w:val="-1"/>
          <w:sz w:val="20"/>
        </w:rPr>
        <w:t xml:space="preserve"> </w:t>
      </w:r>
      <w:r>
        <w:rPr>
          <w:b/>
          <w:sz w:val="20"/>
        </w:rPr>
        <w:t>o ingresso ou auferimento de algo</w:t>
      </w:r>
      <w:r>
        <w:rPr>
          <w:sz w:val="20"/>
        </w:rPr>
        <w:t>, a título oneroso. C.F., 1946,</w:t>
      </w:r>
      <w:r>
        <w:rPr>
          <w:spacing w:val="40"/>
          <w:sz w:val="20"/>
        </w:rPr>
        <w:t xml:space="preserve"> </w:t>
      </w:r>
      <w:r>
        <w:rPr>
          <w:sz w:val="20"/>
        </w:rPr>
        <w:t>art.15,</w:t>
      </w:r>
      <w:r>
        <w:rPr>
          <w:spacing w:val="40"/>
          <w:sz w:val="20"/>
        </w:rPr>
        <w:t xml:space="preserve"> </w:t>
      </w:r>
      <w:r>
        <w:rPr>
          <w:sz w:val="20"/>
        </w:rPr>
        <w:t>IV; CF/67,</w:t>
      </w:r>
      <w:r>
        <w:rPr>
          <w:spacing w:val="35"/>
          <w:sz w:val="20"/>
        </w:rPr>
        <w:t xml:space="preserve">  </w:t>
      </w:r>
      <w:r>
        <w:rPr>
          <w:sz w:val="20"/>
        </w:rPr>
        <w:t>art.</w:t>
      </w:r>
      <w:r>
        <w:rPr>
          <w:spacing w:val="35"/>
          <w:sz w:val="20"/>
        </w:rPr>
        <w:t xml:space="preserve">  </w:t>
      </w:r>
      <w:r>
        <w:rPr>
          <w:sz w:val="20"/>
        </w:rPr>
        <w:t>22,</w:t>
      </w:r>
      <w:r>
        <w:rPr>
          <w:spacing w:val="34"/>
          <w:sz w:val="20"/>
        </w:rPr>
        <w:t xml:space="preserve">  </w:t>
      </w:r>
      <w:r>
        <w:rPr>
          <w:sz w:val="20"/>
        </w:rPr>
        <w:t>IV;</w:t>
      </w:r>
      <w:r>
        <w:rPr>
          <w:spacing w:val="35"/>
          <w:sz w:val="20"/>
        </w:rPr>
        <w:t xml:space="preserve">  </w:t>
      </w:r>
      <w:r>
        <w:rPr>
          <w:sz w:val="20"/>
        </w:rPr>
        <w:t>EC</w:t>
      </w:r>
      <w:r>
        <w:rPr>
          <w:spacing w:val="33"/>
          <w:sz w:val="20"/>
        </w:rPr>
        <w:t xml:space="preserve">  </w:t>
      </w:r>
      <w:r>
        <w:rPr>
          <w:sz w:val="20"/>
        </w:rPr>
        <w:t>1/69,</w:t>
      </w:r>
      <w:r>
        <w:rPr>
          <w:spacing w:val="36"/>
          <w:sz w:val="20"/>
        </w:rPr>
        <w:t xml:space="preserve">  </w:t>
      </w:r>
      <w:r>
        <w:rPr>
          <w:sz w:val="20"/>
        </w:rPr>
        <w:t>art.</w:t>
      </w:r>
      <w:r>
        <w:rPr>
          <w:spacing w:val="34"/>
          <w:sz w:val="20"/>
        </w:rPr>
        <w:t xml:space="preserve">  </w:t>
      </w:r>
      <w:r>
        <w:rPr>
          <w:sz w:val="20"/>
        </w:rPr>
        <w:t>21,</w:t>
      </w:r>
      <w:r>
        <w:rPr>
          <w:spacing w:val="34"/>
          <w:sz w:val="20"/>
        </w:rPr>
        <w:t xml:space="preserve">  </w:t>
      </w:r>
      <w:r>
        <w:rPr>
          <w:sz w:val="20"/>
        </w:rPr>
        <w:t>IV.</w:t>
      </w:r>
      <w:r>
        <w:rPr>
          <w:spacing w:val="35"/>
          <w:sz w:val="20"/>
        </w:rPr>
        <w:t xml:space="preserve">  </w:t>
      </w:r>
      <w:r>
        <w:rPr>
          <w:sz w:val="20"/>
        </w:rPr>
        <w:t>CTN,</w:t>
      </w:r>
      <w:r>
        <w:rPr>
          <w:spacing w:val="34"/>
          <w:sz w:val="20"/>
        </w:rPr>
        <w:t xml:space="preserve">  </w:t>
      </w:r>
      <w:r>
        <w:rPr>
          <w:sz w:val="20"/>
        </w:rPr>
        <w:t>art.</w:t>
      </w:r>
      <w:r>
        <w:rPr>
          <w:spacing w:val="34"/>
          <w:sz w:val="20"/>
        </w:rPr>
        <w:t xml:space="preserve">  </w:t>
      </w:r>
      <w:r>
        <w:rPr>
          <w:sz w:val="20"/>
        </w:rPr>
        <w:t>43.</w:t>
      </w:r>
      <w:r>
        <w:rPr>
          <w:spacing w:val="34"/>
          <w:sz w:val="20"/>
        </w:rPr>
        <w:t xml:space="preserve">  </w:t>
      </w:r>
      <w:r>
        <w:rPr>
          <w:sz w:val="20"/>
        </w:rPr>
        <w:t>II.</w:t>
      </w:r>
      <w:r>
        <w:rPr>
          <w:spacing w:val="34"/>
          <w:sz w:val="20"/>
        </w:rPr>
        <w:t xml:space="preserve">  </w:t>
      </w:r>
      <w:r>
        <w:rPr>
          <w:spacing w:val="-10"/>
          <w:sz w:val="20"/>
        </w:rPr>
        <w:t>–</w:t>
      </w:r>
    </w:p>
    <w:p w:rsidR="007259F2" w:rsidRDefault="00E655B4">
      <w:pPr>
        <w:ind w:left="2978" w:right="992"/>
        <w:jc w:val="both"/>
        <w:rPr>
          <w:sz w:val="20"/>
        </w:rPr>
      </w:pPr>
      <w:r>
        <w:rPr>
          <w:sz w:val="20"/>
        </w:rPr>
        <w:t>Inconstitucionalidade do art. 38 da Lei 4.506/64,</w:t>
      </w:r>
      <w:r>
        <w:rPr>
          <w:spacing w:val="-1"/>
          <w:sz w:val="20"/>
        </w:rPr>
        <w:t xml:space="preserve"> </w:t>
      </w:r>
      <w:r>
        <w:rPr>
          <w:sz w:val="20"/>
        </w:rPr>
        <w:t>que institui adicional de 7% de</w:t>
      </w:r>
      <w:r>
        <w:rPr>
          <w:spacing w:val="40"/>
          <w:sz w:val="20"/>
        </w:rPr>
        <w:t xml:space="preserve"> </w:t>
      </w:r>
      <w:r>
        <w:rPr>
          <w:sz w:val="20"/>
        </w:rPr>
        <w:t xml:space="preserve">imposto de renda sobre lucros e dividendos. III.- RE conhecido e </w:t>
      </w:r>
      <w:r>
        <w:rPr>
          <w:spacing w:val="-2"/>
          <w:sz w:val="20"/>
        </w:rPr>
        <w:t>provido.</w:t>
      </w:r>
      <w:r>
        <w:rPr>
          <w:spacing w:val="-2"/>
          <w:sz w:val="20"/>
          <w:vertAlign w:val="superscript"/>
        </w:rPr>
        <w:t>26</w:t>
      </w:r>
    </w:p>
    <w:p w:rsidR="007259F2" w:rsidRDefault="00E655B4">
      <w:pPr>
        <w:pStyle w:val="Corpodetexto"/>
        <w:spacing w:before="228"/>
        <w:ind w:right="992"/>
      </w:pPr>
      <w:r>
        <w:t>Assim, em consonância com o texto Constitucional, a materialidade do Imposto de renda está atrelada a aquisição de disponibilidade econômica ou jurídica de renda, seja ela proveniente do capital e/ou remuneração do trabalho. Necessário portanto enfatizarmos que a expressão “renda e provento de qualquer natureza” significa sempre “acréscimo patrimonial”.</w:t>
      </w:r>
    </w:p>
    <w:p w:rsidR="007259F2" w:rsidRDefault="00E655B4">
      <w:pPr>
        <w:pStyle w:val="Corpodetexto"/>
        <w:spacing w:before="1"/>
        <w:ind w:right="994"/>
      </w:pPr>
      <w:r>
        <w:t>Não obstante, quando tratamos de renda, sempre observamos determinado período em que os resultados foram apurados, para delimitarmos o fato gerador da obrigação tributária e sua base de cálculo.</w:t>
      </w:r>
    </w:p>
    <w:p w:rsidR="007259F2" w:rsidRDefault="00E655B4">
      <w:pPr>
        <w:pStyle w:val="Corpodetexto"/>
        <w:ind w:right="988"/>
      </w:pPr>
      <w:r>
        <w:t xml:space="preserve">Se observarmos o parágrafo segundo do artigo 153 da CF/88, iremos verificar que o imposto de renda está condicionado aos critérios da </w:t>
      </w:r>
      <w:r>
        <w:rPr>
          <w:i/>
        </w:rPr>
        <w:t xml:space="preserve">generalidade, da universalidade e da progressividade. </w:t>
      </w:r>
      <w:r>
        <w:t>Tais critérios, são simples especializações dos princípios mais amplos da capacidade econômica, pessoalidade, unicidade (art. 145, §</w:t>
      </w:r>
      <w:r>
        <w:rPr>
          <w:spacing w:val="80"/>
        </w:rPr>
        <w:t xml:space="preserve"> </w:t>
      </w:r>
      <w:r>
        <w:t>1º da CF/88) e da proibição ao confisco (art. 150, IV da CF/88).</w:t>
      </w:r>
      <w:r>
        <w:rPr>
          <w:vertAlign w:val="superscript"/>
        </w:rPr>
        <w:t>27</w:t>
      </w:r>
    </w:p>
    <w:p w:rsidR="007259F2" w:rsidRDefault="00E655B4">
      <w:pPr>
        <w:pStyle w:val="Corpodetexto"/>
        <w:ind w:right="987"/>
      </w:pPr>
      <w:r>
        <w:t>É de pleno conhecimento que a universalidade é um imperativo de justiça, princípio</w:t>
      </w:r>
      <w:r>
        <w:rPr>
          <w:spacing w:val="-5"/>
        </w:rPr>
        <w:t xml:space="preserve"> </w:t>
      </w:r>
      <w:r>
        <w:t>por</w:t>
      </w:r>
      <w:r>
        <w:rPr>
          <w:spacing w:val="6"/>
        </w:rPr>
        <w:t xml:space="preserve"> </w:t>
      </w:r>
      <w:r>
        <w:t>força</w:t>
      </w:r>
      <w:r>
        <w:rPr>
          <w:spacing w:val="5"/>
        </w:rPr>
        <w:t xml:space="preserve"> </w:t>
      </w:r>
      <w:r>
        <w:t>do</w:t>
      </w:r>
      <w:r>
        <w:rPr>
          <w:spacing w:val="6"/>
        </w:rPr>
        <w:t xml:space="preserve"> </w:t>
      </w:r>
      <w:r>
        <w:t>qual</w:t>
      </w:r>
      <w:r>
        <w:rPr>
          <w:spacing w:val="6"/>
        </w:rPr>
        <w:t xml:space="preserve"> </w:t>
      </w:r>
      <w:r>
        <w:t>nenhuma</w:t>
      </w:r>
      <w:r>
        <w:rPr>
          <w:spacing w:val="6"/>
        </w:rPr>
        <w:t xml:space="preserve"> </w:t>
      </w:r>
      <w:r>
        <w:t>forma</w:t>
      </w:r>
      <w:r>
        <w:rPr>
          <w:spacing w:val="6"/>
        </w:rPr>
        <w:t xml:space="preserve"> </w:t>
      </w:r>
      <w:r>
        <w:t>de</w:t>
      </w:r>
      <w:r>
        <w:rPr>
          <w:spacing w:val="5"/>
        </w:rPr>
        <w:t xml:space="preserve"> </w:t>
      </w:r>
      <w:r>
        <w:t>renda,</w:t>
      </w:r>
      <w:r>
        <w:rPr>
          <w:spacing w:val="6"/>
        </w:rPr>
        <w:t xml:space="preserve"> </w:t>
      </w:r>
      <w:r>
        <w:t>advinda</w:t>
      </w:r>
      <w:r>
        <w:rPr>
          <w:spacing w:val="5"/>
        </w:rPr>
        <w:t xml:space="preserve"> </w:t>
      </w:r>
      <w:r>
        <w:t>do</w:t>
      </w:r>
      <w:r>
        <w:rPr>
          <w:spacing w:val="6"/>
        </w:rPr>
        <w:t xml:space="preserve"> </w:t>
      </w:r>
      <w:r>
        <w:t>trabalho,</w:t>
      </w:r>
      <w:r>
        <w:rPr>
          <w:spacing w:val="8"/>
        </w:rPr>
        <w:t xml:space="preserve"> </w:t>
      </w:r>
      <w:r>
        <w:t>do</w:t>
      </w:r>
      <w:r>
        <w:rPr>
          <w:spacing w:val="6"/>
        </w:rPr>
        <w:t xml:space="preserve"> </w:t>
      </w:r>
      <w:r>
        <w:t>capital</w:t>
      </w:r>
      <w:r>
        <w:rPr>
          <w:spacing w:val="7"/>
        </w:rPr>
        <w:t xml:space="preserve"> </w:t>
      </w:r>
      <w:r>
        <w:rPr>
          <w:spacing w:val="-5"/>
        </w:rPr>
        <w:t>ou</w:t>
      </w:r>
    </w:p>
    <w:p w:rsidR="007259F2" w:rsidRDefault="00DE6B1C">
      <w:pPr>
        <w:pStyle w:val="Corpodetexto"/>
        <w:spacing w:before="71"/>
        <w:ind w:left="0" w:firstLine="0"/>
        <w:jc w:val="left"/>
        <w:rPr>
          <w:sz w:val="20"/>
        </w:rPr>
      </w:pPr>
      <w:r w:rsidRPr="00DE6B1C">
        <w:rPr>
          <w:sz w:val="20"/>
        </w:rPr>
        <w:pict>
          <v:rect id="docshape80" o:spid="_x0000_s1146" style="position:absolute;margin-left:85.1pt;margin-top:16.3pt;width:2in;height:.7pt;z-index:-15695872;mso-wrap-distance-left:0;mso-wrap-distance-right:0;mso-position-horizontal-relative:page" fillcolor="black" stroked="f">
            <w10:wrap type="topAndBottom" anchorx="page"/>
          </v:rect>
        </w:pict>
      </w:r>
    </w:p>
    <w:p w:rsidR="007259F2" w:rsidRDefault="00E655B4">
      <w:pPr>
        <w:spacing w:before="96"/>
        <w:ind w:left="710"/>
        <w:jc w:val="both"/>
        <w:rPr>
          <w:i/>
          <w:sz w:val="20"/>
        </w:rPr>
      </w:pPr>
      <w:r>
        <w:rPr>
          <w:sz w:val="20"/>
          <w:vertAlign w:val="superscript"/>
        </w:rPr>
        <w:t>24</w:t>
      </w:r>
      <w:r>
        <w:rPr>
          <w:spacing w:val="-7"/>
          <w:sz w:val="20"/>
        </w:rPr>
        <w:t xml:space="preserve"> </w:t>
      </w:r>
      <w:r>
        <w:rPr>
          <w:sz w:val="20"/>
        </w:rPr>
        <w:t>BALEEIRO;</w:t>
      </w:r>
      <w:r>
        <w:rPr>
          <w:spacing w:val="-7"/>
          <w:sz w:val="20"/>
        </w:rPr>
        <w:t xml:space="preserve"> </w:t>
      </w:r>
      <w:r>
        <w:rPr>
          <w:sz w:val="20"/>
        </w:rPr>
        <w:t>DERZI,</w:t>
      </w:r>
      <w:r>
        <w:rPr>
          <w:spacing w:val="-6"/>
          <w:sz w:val="20"/>
        </w:rPr>
        <w:t xml:space="preserve"> </w:t>
      </w:r>
      <w:r>
        <w:rPr>
          <w:i/>
          <w:spacing w:val="-2"/>
          <w:sz w:val="20"/>
        </w:rPr>
        <w:t>op.cit.</w:t>
      </w:r>
    </w:p>
    <w:p w:rsidR="007259F2" w:rsidRDefault="00E655B4">
      <w:pPr>
        <w:spacing w:before="1"/>
        <w:ind w:left="710" w:right="994"/>
        <w:jc w:val="both"/>
        <w:rPr>
          <w:sz w:val="20"/>
        </w:rPr>
      </w:pPr>
      <w:r>
        <w:rPr>
          <w:sz w:val="20"/>
          <w:vertAlign w:val="superscript"/>
        </w:rPr>
        <w:t>25</w:t>
      </w:r>
      <w:r>
        <w:rPr>
          <w:sz w:val="20"/>
        </w:rPr>
        <w:t xml:space="preserve"> Conforme define o art. 102 da CF/88, “</w:t>
      </w:r>
      <w:r>
        <w:rPr>
          <w:i/>
          <w:sz w:val="20"/>
        </w:rPr>
        <w:t>Compete ao Supremo Tribunal Federal, precipuamente, a guarda da Constituição</w:t>
      </w:r>
      <w:r>
        <w:rPr>
          <w:sz w:val="20"/>
        </w:rPr>
        <w:t>(...)”. Em outras palavras, o STF deve manter todos os órgãos e atos estatais em conformidade com os ditames da Constituição.</w:t>
      </w:r>
    </w:p>
    <w:p w:rsidR="007259F2" w:rsidRDefault="00E655B4">
      <w:pPr>
        <w:ind w:left="710" w:right="988"/>
        <w:jc w:val="both"/>
        <w:rPr>
          <w:sz w:val="20"/>
        </w:rPr>
      </w:pPr>
      <w:r>
        <w:rPr>
          <w:sz w:val="20"/>
          <w:vertAlign w:val="superscript"/>
        </w:rPr>
        <w:t>26</w:t>
      </w:r>
      <w:r>
        <w:rPr>
          <w:spacing w:val="-3"/>
          <w:sz w:val="20"/>
        </w:rPr>
        <w:t xml:space="preserve"> </w:t>
      </w:r>
      <w:r>
        <w:rPr>
          <w:sz w:val="20"/>
        </w:rPr>
        <w:t>BRASIL.</w:t>
      </w:r>
      <w:r>
        <w:rPr>
          <w:spacing w:val="-3"/>
          <w:sz w:val="20"/>
        </w:rPr>
        <w:t xml:space="preserve"> </w:t>
      </w:r>
      <w:r>
        <w:rPr>
          <w:sz w:val="20"/>
        </w:rPr>
        <w:t>Supremo</w:t>
      </w:r>
      <w:r>
        <w:rPr>
          <w:spacing w:val="-2"/>
          <w:sz w:val="20"/>
        </w:rPr>
        <w:t xml:space="preserve"> </w:t>
      </w:r>
      <w:r>
        <w:rPr>
          <w:sz w:val="20"/>
        </w:rPr>
        <w:t>Tribunal Federal.</w:t>
      </w:r>
      <w:r>
        <w:rPr>
          <w:spacing w:val="-3"/>
          <w:sz w:val="20"/>
        </w:rPr>
        <w:t xml:space="preserve"> </w:t>
      </w:r>
      <w:r>
        <w:rPr>
          <w:sz w:val="20"/>
        </w:rPr>
        <w:t>Tribunal Pleno.</w:t>
      </w:r>
      <w:r>
        <w:rPr>
          <w:spacing w:val="-2"/>
          <w:sz w:val="20"/>
        </w:rPr>
        <w:t xml:space="preserve"> </w:t>
      </w:r>
      <w:r>
        <w:rPr>
          <w:b/>
          <w:sz w:val="20"/>
        </w:rPr>
        <w:t>Recurso</w:t>
      </w:r>
      <w:r>
        <w:rPr>
          <w:b/>
          <w:spacing w:val="-3"/>
          <w:sz w:val="20"/>
        </w:rPr>
        <w:t xml:space="preserve"> </w:t>
      </w:r>
      <w:r>
        <w:rPr>
          <w:b/>
          <w:sz w:val="20"/>
        </w:rPr>
        <w:t>Extraordinário</w:t>
      </w:r>
      <w:r>
        <w:rPr>
          <w:b/>
          <w:spacing w:val="-2"/>
          <w:sz w:val="20"/>
        </w:rPr>
        <w:t xml:space="preserve"> </w:t>
      </w:r>
      <w:r>
        <w:rPr>
          <w:b/>
          <w:sz w:val="20"/>
        </w:rPr>
        <w:t>n.</w:t>
      </w:r>
      <w:r>
        <w:rPr>
          <w:b/>
          <w:spacing w:val="-3"/>
          <w:sz w:val="20"/>
        </w:rPr>
        <w:t xml:space="preserve"> </w:t>
      </w:r>
      <w:r>
        <w:rPr>
          <w:b/>
          <w:sz w:val="20"/>
        </w:rPr>
        <w:t>117.887/SP</w:t>
      </w:r>
      <w:r>
        <w:rPr>
          <w:sz w:val="20"/>
        </w:rPr>
        <w:t>.</w:t>
      </w:r>
      <w:r>
        <w:rPr>
          <w:spacing w:val="-3"/>
          <w:sz w:val="20"/>
        </w:rPr>
        <w:t xml:space="preserve"> </w:t>
      </w:r>
      <w:r>
        <w:rPr>
          <w:sz w:val="20"/>
        </w:rPr>
        <w:t>Relator: Ministro Carlos Velloso. Julgamento em 23 de abril de 1993. Diário Oficial da União. São Paulo – Destaques meus.</w:t>
      </w:r>
    </w:p>
    <w:p w:rsidR="007259F2" w:rsidRDefault="00E655B4">
      <w:pPr>
        <w:ind w:left="710"/>
        <w:jc w:val="both"/>
        <w:rPr>
          <w:i/>
          <w:sz w:val="20"/>
        </w:rPr>
      </w:pPr>
      <w:r>
        <w:rPr>
          <w:sz w:val="20"/>
          <w:vertAlign w:val="superscript"/>
        </w:rPr>
        <w:t>27</w:t>
      </w:r>
      <w:r>
        <w:rPr>
          <w:spacing w:val="-7"/>
          <w:sz w:val="20"/>
        </w:rPr>
        <w:t xml:space="preserve"> </w:t>
      </w:r>
      <w:r>
        <w:rPr>
          <w:sz w:val="20"/>
        </w:rPr>
        <w:t>BALEEIRO;</w:t>
      </w:r>
      <w:r>
        <w:rPr>
          <w:spacing w:val="-7"/>
          <w:sz w:val="20"/>
        </w:rPr>
        <w:t xml:space="preserve"> </w:t>
      </w:r>
      <w:r>
        <w:rPr>
          <w:sz w:val="20"/>
        </w:rPr>
        <w:t>DERZI,</w:t>
      </w:r>
      <w:r>
        <w:rPr>
          <w:spacing w:val="-6"/>
          <w:sz w:val="20"/>
        </w:rPr>
        <w:t xml:space="preserve"> </w:t>
      </w:r>
      <w:r>
        <w:rPr>
          <w:i/>
          <w:spacing w:val="-2"/>
          <w:sz w:val="20"/>
        </w:rPr>
        <w:t>op.cit.</w:t>
      </w:r>
    </w:p>
    <w:p w:rsidR="007259F2" w:rsidRDefault="007259F2">
      <w:pPr>
        <w:jc w:val="both"/>
        <w:rPr>
          <w:i/>
          <w:sz w:val="20"/>
        </w:rPr>
        <w:sectPr w:rsidR="007259F2">
          <w:pgSz w:w="11910" w:h="16840"/>
          <w:pgMar w:top="1320" w:right="708" w:bottom="1160" w:left="992" w:header="0" w:footer="962" w:gutter="0"/>
          <w:cols w:space="720"/>
        </w:sectPr>
      </w:pPr>
    </w:p>
    <w:p w:rsidR="007259F2" w:rsidRDefault="00E655B4">
      <w:pPr>
        <w:pStyle w:val="Corpodetexto"/>
        <w:spacing w:before="69"/>
        <w:ind w:right="999" w:firstLine="0"/>
      </w:pPr>
      <w:r>
        <w:lastRenderedPageBreak/>
        <w:t>da combinação de ambos, pode estar fora da incidência desse tributo. Em geral, toda e qualquer forma de renda deverá ser tributada.</w:t>
      </w:r>
      <w:r>
        <w:rPr>
          <w:vertAlign w:val="superscript"/>
        </w:rPr>
        <w:t>28</w:t>
      </w:r>
    </w:p>
    <w:p w:rsidR="007259F2" w:rsidRDefault="00E655B4">
      <w:pPr>
        <w:pStyle w:val="Corpodetexto"/>
        <w:spacing w:before="1"/>
        <w:ind w:right="993"/>
      </w:pPr>
      <w:r>
        <w:t>A generalidade é pressuposto de igualdade, tendo em vista que proíbe o legislador manter fora do âmbito de incidência pessoas que demonstram ter a mesma capacidade econômica dos contribuintes sujeitos ao Imposto de Renda.</w:t>
      </w:r>
    </w:p>
    <w:p w:rsidR="007259F2" w:rsidRDefault="00E655B4">
      <w:pPr>
        <w:pStyle w:val="Corpodetexto"/>
        <w:ind w:right="989"/>
      </w:pPr>
      <w:r>
        <w:t>A</w:t>
      </w:r>
      <w:r>
        <w:rPr>
          <w:spacing w:val="-3"/>
        </w:rPr>
        <w:t xml:space="preserve"> </w:t>
      </w:r>
      <w:r>
        <w:t xml:space="preserve">progressividade é a maneira e modo como define a Constituição Federal para estabelecer tratamento igual aos iguais e desigual aqueles que estão em condições </w:t>
      </w:r>
      <w:r>
        <w:rPr>
          <w:spacing w:val="-2"/>
        </w:rPr>
        <w:t>distintas.</w:t>
      </w:r>
    </w:p>
    <w:p w:rsidR="007259F2" w:rsidRDefault="00E655B4">
      <w:pPr>
        <w:pStyle w:val="Corpodetexto"/>
        <w:ind w:right="990"/>
      </w:pPr>
      <w:r>
        <w:t>Significa</w:t>
      </w:r>
      <w:r>
        <w:rPr>
          <w:spacing w:val="-7"/>
        </w:rPr>
        <w:t xml:space="preserve"> </w:t>
      </w:r>
      <w:r>
        <w:t>dizer</w:t>
      </w:r>
      <w:r>
        <w:rPr>
          <w:spacing w:val="-4"/>
        </w:rPr>
        <w:t xml:space="preserve"> </w:t>
      </w:r>
      <w:r>
        <w:t>que</w:t>
      </w:r>
      <w:r>
        <w:rPr>
          <w:spacing w:val="-5"/>
        </w:rPr>
        <w:t xml:space="preserve"> </w:t>
      </w:r>
      <w:r>
        <w:t>aquele</w:t>
      </w:r>
      <w:r>
        <w:rPr>
          <w:spacing w:val="-7"/>
        </w:rPr>
        <w:t xml:space="preserve"> </w:t>
      </w:r>
      <w:r>
        <w:t>que</w:t>
      </w:r>
      <w:r>
        <w:rPr>
          <w:spacing w:val="-5"/>
        </w:rPr>
        <w:t xml:space="preserve"> </w:t>
      </w:r>
      <w:r>
        <w:t>aufere</w:t>
      </w:r>
      <w:r>
        <w:rPr>
          <w:spacing w:val="-8"/>
        </w:rPr>
        <w:t xml:space="preserve"> </w:t>
      </w:r>
      <w:r>
        <w:t>maior</w:t>
      </w:r>
      <w:r>
        <w:rPr>
          <w:spacing w:val="-5"/>
        </w:rPr>
        <w:t xml:space="preserve"> </w:t>
      </w:r>
      <w:r>
        <w:t>renda,</w:t>
      </w:r>
      <w:r>
        <w:rPr>
          <w:spacing w:val="-2"/>
        </w:rPr>
        <w:t xml:space="preserve"> </w:t>
      </w:r>
      <w:r>
        <w:t>contribuirá</w:t>
      </w:r>
      <w:r>
        <w:rPr>
          <w:spacing w:val="-8"/>
        </w:rPr>
        <w:t xml:space="preserve"> </w:t>
      </w:r>
      <w:r>
        <w:t>com</w:t>
      </w:r>
      <w:r>
        <w:rPr>
          <w:spacing w:val="-6"/>
        </w:rPr>
        <w:t xml:space="preserve"> </w:t>
      </w:r>
      <w:r>
        <w:t>maior</w:t>
      </w:r>
      <w:r>
        <w:rPr>
          <w:spacing w:val="-4"/>
        </w:rPr>
        <w:t xml:space="preserve"> </w:t>
      </w:r>
      <w:r>
        <w:t>valor</w:t>
      </w:r>
      <w:r>
        <w:rPr>
          <w:spacing w:val="-7"/>
        </w:rPr>
        <w:t xml:space="preserve"> </w:t>
      </w:r>
      <w:r>
        <w:t>e, logicamente, quem ganha menos irá pagar menos.</w:t>
      </w:r>
      <w:r>
        <w:rPr>
          <w:vertAlign w:val="superscript"/>
        </w:rPr>
        <w:t>29</w:t>
      </w:r>
    </w:p>
    <w:p w:rsidR="007259F2" w:rsidRDefault="00E655B4">
      <w:pPr>
        <w:pStyle w:val="Corpodetexto"/>
        <w:ind w:left="1418" w:firstLine="0"/>
      </w:pPr>
      <w:r>
        <w:t>Nas</w:t>
      </w:r>
      <w:r>
        <w:rPr>
          <w:spacing w:val="-2"/>
        </w:rPr>
        <w:t xml:space="preserve"> </w:t>
      </w:r>
      <w:r>
        <w:t>palavras</w:t>
      </w:r>
      <w:r>
        <w:rPr>
          <w:spacing w:val="-1"/>
        </w:rPr>
        <w:t xml:space="preserve"> </w:t>
      </w:r>
      <w:r>
        <w:t>do</w:t>
      </w:r>
      <w:r>
        <w:rPr>
          <w:spacing w:val="-1"/>
        </w:rPr>
        <w:t xml:space="preserve"> </w:t>
      </w:r>
      <w:r>
        <w:t>ilustre</w:t>
      </w:r>
      <w:r>
        <w:rPr>
          <w:spacing w:val="-7"/>
        </w:rPr>
        <w:t xml:space="preserve"> </w:t>
      </w:r>
      <w:r>
        <w:t>jurista</w:t>
      </w:r>
      <w:r>
        <w:rPr>
          <w:spacing w:val="-15"/>
        </w:rPr>
        <w:t xml:space="preserve"> </w:t>
      </w:r>
      <w:r>
        <w:t>Aliomar</w:t>
      </w:r>
      <w:r>
        <w:rPr>
          <w:spacing w:val="-1"/>
        </w:rPr>
        <w:t xml:space="preserve"> </w:t>
      </w:r>
      <w:r>
        <w:rPr>
          <w:spacing w:val="-2"/>
        </w:rPr>
        <w:t>Baleeiro:</w:t>
      </w:r>
      <w:r>
        <w:rPr>
          <w:spacing w:val="-2"/>
          <w:vertAlign w:val="superscript"/>
        </w:rPr>
        <w:t>30</w:t>
      </w:r>
    </w:p>
    <w:p w:rsidR="007259F2" w:rsidRDefault="007259F2">
      <w:pPr>
        <w:pStyle w:val="Corpodetexto"/>
        <w:spacing w:before="2"/>
        <w:ind w:left="0" w:firstLine="0"/>
        <w:jc w:val="left"/>
      </w:pPr>
    </w:p>
    <w:p w:rsidR="007259F2" w:rsidRDefault="00E655B4">
      <w:pPr>
        <w:ind w:left="2978" w:right="986"/>
        <w:jc w:val="both"/>
        <w:rPr>
          <w:sz w:val="20"/>
        </w:rPr>
      </w:pPr>
      <w:r>
        <w:rPr>
          <w:sz w:val="20"/>
        </w:rPr>
        <w:t>A progressividade nos tributos é a melhor técnica que permite a personalização dos impostos, como determina expressamente o art. 145, § 1º da Constituição de 1988. É que na medida que o legislador considera as necessidades</w:t>
      </w:r>
      <w:r>
        <w:rPr>
          <w:spacing w:val="-8"/>
          <w:sz w:val="20"/>
        </w:rPr>
        <w:t xml:space="preserve"> </w:t>
      </w:r>
      <w:r>
        <w:rPr>
          <w:sz w:val="20"/>
        </w:rPr>
        <w:t>pessoais</w:t>
      </w:r>
      <w:r>
        <w:rPr>
          <w:spacing w:val="-7"/>
          <w:sz w:val="20"/>
        </w:rPr>
        <w:t xml:space="preserve"> </w:t>
      </w:r>
      <w:r>
        <w:rPr>
          <w:sz w:val="20"/>
        </w:rPr>
        <w:t>dos</w:t>
      </w:r>
      <w:r>
        <w:rPr>
          <w:spacing w:val="-9"/>
          <w:sz w:val="20"/>
        </w:rPr>
        <w:t xml:space="preserve"> </w:t>
      </w:r>
      <w:r>
        <w:rPr>
          <w:sz w:val="20"/>
        </w:rPr>
        <w:t>contribuintes, passa também a conceder reduções e isenções. Tais renúncias de receita, ocorrentes em favor do princípio da igualdade, têm</w:t>
      </w:r>
      <w:r>
        <w:rPr>
          <w:spacing w:val="-2"/>
          <w:sz w:val="20"/>
        </w:rPr>
        <w:t xml:space="preserve"> </w:t>
      </w:r>
      <w:r>
        <w:rPr>
          <w:sz w:val="20"/>
        </w:rPr>
        <w:t>de ser compensadas por meio da progressividade a fim</w:t>
      </w:r>
      <w:r>
        <w:rPr>
          <w:spacing w:val="-2"/>
          <w:sz w:val="20"/>
        </w:rPr>
        <w:t xml:space="preserve"> </w:t>
      </w:r>
      <w:r>
        <w:rPr>
          <w:sz w:val="20"/>
        </w:rPr>
        <w:t>de que o montante da arrecadação se mantenha no mesmo total.</w:t>
      </w:r>
    </w:p>
    <w:p w:rsidR="007259F2" w:rsidRDefault="00E655B4">
      <w:pPr>
        <w:spacing w:before="229"/>
        <w:ind w:left="710" w:right="988" w:firstLine="707"/>
        <w:jc w:val="both"/>
        <w:rPr>
          <w:position w:val="9"/>
          <w:sz w:val="13"/>
        </w:rPr>
      </w:pPr>
      <w:r>
        <w:rPr>
          <w:sz w:val="24"/>
        </w:rPr>
        <w:t>Para Humberto Àvila, o conceito de renda que pode ser obtido da Constituição Federal é o “</w:t>
      </w:r>
      <w:r>
        <w:rPr>
          <w:i/>
          <w:sz w:val="24"/>
        </w:rPr>
        <w:t>produto líquido (receitas menos as despesas necessárias à manutenção da fonte</w:t>
      </w:r>
      <w:r>
        <w:rPr>
          <w:i/>
          <w:spacing w:val="-7"/>
          <w:sz w:val="24"/>
        </w:rPr>
        <w:t xml:space="preserve"> </w:t>
      </w:r>
      <w:r>
        <w:rPr>
          <w:i/>
          <w:sz w:val="24"/>
        </w:rPr>
        <w:t>produtora ou da existência digna do contribuinte) calculado durante o período de um ano</w:t>
      </w:r>
      <w:r>
        <w:rPr>
          <w:sz w:val="24"/>
        </w:rPr>
        <w:t>”.</w:t>
      </w:r>
      <w:r>
        <w:rPr>
          <w:position w:val="9"/>
          <w:sz w:val="13"/>
        </w:rPr>
        <w:t>31</w:t>
      </w:r>
    </w:p>
    <w:p w:rsidR="007259F2" w:rsidRDefault="00E655B4">
      <w:pPr>
        <w:pStyle w:val="Corpodetexto"/>
        <w:spacing w:before="1"/>
        <w:ind w:left="1418" w:firstLine="0"/>
      </w:pPr>
      <w:r>
        <w:t>Paulo</w:t>
      </w:r>
      <w:r>
        <w:rPr>
          <w:spacing w:val="-21"/>
        </w:rPr>
        <w:t xml:space="preserve"> </w:t>
      </w:r>
      <w:r>
        <w:t>Ayres</w:t>
      </w:r>
      <w:r>
        <w:rPr>
          <w:spacing w:val="-13"/>
        </w:rPr>
        <w:t xml:space="preserve"> </w:t>
      </w:r>
      <w:r>
        <w:t>Barreto</w:t>
      </w:r>
      <w:r>
        <w:rPr>
          <w:spacing w:val="-8"/>
        </w:rPr>
        <w:t xml:space="preserve"> </w:t>
      </w:r>
      <w:r>
        <w:t>precisamente</w:t>
      </w:r>
      <w:r>
        <w:rPr>
          <w:spacing w:val="-9"/>
        </w:rPr>
        <w:t xml:space="preserve"> </w:t>
      </w:r>
      <w:r>
        <w:t>afirma</w:t>
      </w:r>
      <w:r>
        <w:rPr>
          <w:spacing w:val="-9"/>
        </w:rPr>
        <w:t xml:space="preserve"> </w:t>
      </w:r>
      <w:r>
        <w:rPr>
          <w:spacing w:val="-4"/>
        </w:rPr>
        <w:t>que:</w:t>
      </w:r>
    </w:p>
    <w:p w:rsidR="007259F2" w:rsidRDefault="007259F2">
      <w:pPr>
        <w:pStyle w:val="Corpodetexto"/>
        <w:spacing w:before="1"/>
        <w:ind w:left="0" w:firstLine="0"/>
        <w:jc w:val="left"/>
      </w:pPr>
    </w:p>
    <w:p w:rsidR="007259F2" w:rsidRDefault="00E655B4">
      <w:pPr>
        <w:ind w:left="2978" w:right="988"/>
        <w:jc w:val="both"/>
        <w:rPr>
          <w:sz w:val="20"/>
        </w:rPr>
      </w:pPr>
      <w:r>
        <w:rPr>
          <w:sz w:val="20"/>
        </w:rPr>
        <w:t>(...) a expressão renda e proventos de qualquer natureza é de ser interpretada, nos estritos termos em que constitucionalmente plasmada, como acréscimo a um dado conjunto de bens e direitos (patrimônio), pertencente a uma pessoa (física ou jurídica), observado um lapso temporal necessário para que se realize o cotejo entre determinados ingressos, de um lado, e certos desembolsos, de outro. Tomaremos a expressão proventos de qualquer natureza como espécie do gênero renda,</w:t>
      </w:r>
      <w:r>
        <w:rPr>
          <w:spacing w:val="-1"/>
          <w:sz w:val="20"/>
        </w:rPr>
        <w:t xml:space="preserve"> </w:t>
      </w:r>
      <w:r>
        <w:rPr>
          <w:sz w:val="20"/>
        </w:rPr>
        <w:t>pressupondo-se sempre a verificação de efetivo acréscimo patrimonial.</w:t>
      </w:r>
      <w:r>
        <w:rPr>
          <w:sz w:val="20"/>
          <w:vertAlign w:val="superscript"/>
        </w:rPr>
        <w:t>32</w:t>
      </w:r>
    </w:p>
    <w:p w:rsidR="007259F2" w:rsidRDefault="00E655B4">
      <w:pPr>
        <w:pStyle w:val="Corpodetexto"/>
        <w:spacing w:before="228"/>
        <w:ind w:right="990"/>
      </w:pPr>
      <w:r>
        <w:t>Dessa</w:t>
      </w:r>
      <w:r>
        <w:rPr>
          <w:spacing w:val="-3"/>
        </w:rPr>
        <w:t xml:space="preserve"> </w:t>
      </w:r>
      <w:r>
        <w:t>forma,</w:t>
      </w:r>
      <w:r>
        <w:rPr>
          <w:spacing w:val="-3"/>
        </w:rPr>
        <w:t xml:space="preserve"> </w:t>
      </w:r>
      <w:r>
        <w:t>podemos</w:t>
      </w:r>
      <w:r>
        <w:rPr>
          <w:spacing w:val="-1"/>
        </w:rPr>
        <w:t xml:space="preserve"> </w:t>
      </w:r>
      <w:r>
        <w:t>extrair</w:t>
      </w:r>
      <w:r>
        <w:rPr>
          <w:spacing w:val="-3"/>
        </w:rPr>
        <w:t xml:space="preserve"> </w:t>
      </w:r>
      <w:r>
        <w:t>da</w:t>
      </w:r>
      <w:r>
        <w:rPr>
          <w:spacing w:val="-5"/>
        </w:rPr>
        <w:t xml:space="preserve"> </w:t>
      </w:r>
      <w:r>
        <w:t>definição</w:t>
      </w:r>
      <w:r>
        <w:rPr>
          <w:spacing w:val="-3"/>
        </w:rPr>
        <w:t xml:space="preserve"> </w:t>
      </w:r>
      <w:r>
        <w:t>de</w:t>
      </w:r>
      <w:r>
        <w:rPr>
          <w:spacing w:val="-4"/>
        </w:rPr>
        <w:t xml:space="preserve"> </w:t>
      </w:r>
      <w:r>
        <w:t>renda</w:t>
      </w:r>
      <w:r>
        <w:rPr>
          <w:spacing w:val="-4"/>
        </w:rPr>
        <w:t xml:space="preserve"> </w:t>
      </w:r>
      <w:r>
        <w:t>os</w:t>
      </w:r>
      <w:r>
        <w:rPr>
          <w:spacing w:val="-3"/>
        </w:rPr>
        <w:t xml:space="preserve"> </w:t>
      </w:r>
      <w:r>
        <w:t>seguintes</w:t>
      </w:r>
      <w:r>
        <w:rPr>
          <w:spacing w:val="-3"/>
        </w:rPr>
        <w:t xml:space="preserve"> </w:t>
      </w:r>
      <w:r>
        <w:t>elementos:</w:t>
      </w:r>
      <w:r>
        <w:rPr>
          <w:spacing w:val="-3"/>
        </w:rPr>
        <w:t xml:space="preserve"> </w:t>
      </w:r>
      <w:r>
        <w:t>(i)</w:t>
      </w:r>
      <w:r>
        <w:rPr>
          <w:spacing w:val="-3"/>
        </w:rPr>
        <w:t xml:space="preserve"> </w:t>
      </w:r>
      <w:r>
        <w:t>o acréscimo de patrimônio a certa (ii) pessoa (física ou jurídica), em um (iii) determinado período, resultante do (iv) cotejo entre os ingressos e desembolsos.</w:t>
      </w:r>
      <w:r>
        <w:rPr>
          <w:vertAlign w:val="superscript"/>
        </w:rPr>
        <w:t>33</w:t>
      </w:r>
    </w:p>
    <w:p w:rsidR="007259F2" w:rsidRDefault="00E655B4">
      <w:pPr>
        <w:pStyle w:val="Corpodetexto"/>
        <w:ind w:right="994"/>
      </w:pPr>
      <w:r>
        <w:t>Podemos inferir que a tributação sobre a renda, no prisma da Carta Magna, está condicionada a obtenção de acréscimo patrimonial, que podemos afirmar ser a natureza do critério material do Imposto de Renda.</w:t>
      </w:r>
    </w:p>
    <w:p w:rsidR="007259F2" w:rsidRDefault="00DE6B1C">
      <w:pPr>
        <w:pStyle w:val="Corpodetexto"/>
        <w:spacing w:before="119"/>
        <w:ind w:left="0" w:firstLine="0"/>
        <w:jc w:val="left"/>
        <w:rPr>
          <w:sz w:val="20"/>
        </w:rPr>
      </w:pPr>
      <w:r w:rsidRPr="00DE6B1C">
        <w:rPr>
          <w:sz w:val="20"/>
        </w:rPr>
        <w:pict>
          <v:rect id="docshape81" o:spid="_x0000_s1145" style="position:absolute;margin-left:85.1pt;margin-top:18.7pt;width:2in;height:.7pt;z-index:-15695360;mso-wrap-distance-left:0;mso-wrap-distance-right:0;mso-position-horizontal-relative:page" fillcolor="black" stroked="f">
            <w10:wrap type="topAndBottom" anchorx="page"/>
          </v:rect>
        </w:pict>
      </w:r>
    </w:p>
    <w:p w:rsidR="007259F2" w:rsidRDefault="00E655B4">
      <w:pPr>
        <w:spacing w:before="96"/>
        <w:ind w:left="710" w:right="992"/>
        <w:jc w:val="both"/>
        <w:rPr>
          <w:sz w:val="20"/>
        </w:rPr>
      </w:pPr>
      <w:r>
        <w:rPr>
          <w:sz w:val="20"/>
          <w:vertAlign w:val="superscript"/>
        </w:rPr>
        <w:t>28</w:t>
      </w:r>
      <w:r>
        <w:rPr>
          <w:sz w:val="20"/>
        </w:rPr>
        <w:t xml:space="preserve"> Não é correto afirmar que a União irá exigir imposto de renda de todas as pessoas que irão auferir</w:t>
      </w:r>
      <w:r>
        <w:rPr>
          <w:spacing w:val="40"/>
          <w:sz w:val="20"/>
        </w:rPr>
        <w:t xml:space="preserve"> </w:t>
      </w:r>
      <w:r>
        <w:rPr>
          <w:sz w:val="20"/>
        </w:rPr>
        <w:t>renda, visto que existe a possibilidade deste ente, respeitados os limites constitucionais, estabelecer isenções tributárias para que não ocorra a cobrança de IR. Um exemplo é o objeto deste trabalho, que é a isenção na tributação de lucros e dividendos, prevista na Lei nº 9.249/95.</w:t>
      </w:r>
    </w:p>
    <w:p w:rsidR="007259F2" w:rsidRDefault="00E655B4">
      <w:pPr>
        <w:spacing w:line="229" w:lineRule="exact"/>
        <w:ind w:left="710"/>
        <w:jc w:val="both"/>
        <w:rPr>
          <w:sz w:val="20"/>
        </w:rPr>
      </w:pPr>
      <w:r>
        <w:rPr>
          <w:sz w:val="20"/>
          <w:vertAlign w:val="superscript"/>
        </w:rPr>
        <w:t>29</w:t>
      </w:r>
      <w:r>
        <w:rPr>
          <w:spacing w:val="-9"/>
          <w:sz w:val="20"/>
        </w:rPr>
        <w:t xml:space="preserve"> </w:t>
      </w:r>
      <w:r>
        <w:rPr>
          <w:sz w:val="20"/>
        </w:rPr>
        <w:t>SILVA,</w:t>
      </w:r>
      <w:r>
        <w:rPr>
          <w:spacing w:val="-9"/>
          <w:sz w:val="20"/>
        </w:rPr>
        <w:t xml:space="preserve"> </w:t>
      </w:r>
      <w:r>
        <w:rPr>
          <w:sz w:val="20"/>
        </w:rPr>
        <w:t>Guilherme</w:t>
      </w:r>
      <w:r>
        <w:rPr>
          <w:spacing w:val="-9"/>
          <w:sz w:val="20"/>
        </w:rPr>
        <w:t xml:space="preserve"> </w:t>
      </w:r>
      <w:r>
        <w:rPr>
          <w:sz w:val="20"/>
        </w:rPr>
        <w:t>Pedrozo</w:t>
      </w:r>
      <w:r>
        <w:rPr>
          <w:spacing w:val="-10"/>
          <w:sz w:val="20"/>
        </w:rPr>
        <w:t xml:space="preserve"> </w:t>
      </w:r>
      <w:r>
        <w:rPr>
          <w:sz w:val="20"/>
        </w:rPr>
        <w:t>da.</w:t>
      </w:r>
      <w:r>
        <w:rPr>
          <w:spacing w:val="-5"/>
          <w:sz w:val="20"/>
        </w:rPr>
        <w:t xml:space="preserve"> </w:t>
      </w:r>
      <w:r>
        <w:rPr>
          <w:b/>
          <w:sz w:val="20"/>
        </w:rPr>
        <w:t>Direito</w:t>
      </w:r>
      <w:r>
        <w:rPr>
          <w:b/>
          <w:spacing w:val="-12"/>
          <w:sz w:val="20"/>
        </w:rPr>
        <w:t xml:space="preserve"> </w:t>
      </w:r>
      <w:r>
        <w:rPr>
          <w:b/>
          <w:sz w:val="20"/>
        </w:rPr>
        <w:t>Tributário</w:t>
      </w:r>
      <w:r>
        <w:rPr>
          <w:sz w:val="20"/>
        </w:rPr>
        <w:t>.</w:t>
      </w:r>
      <w:r>
        <w:rPr>
          <w:spacing w:val="-9"/>
          <w:sz w:val="20"/>
        </w:rPr>
        <w:t xml:space="preserve"> </w:t>
      </w:r>
      <w:r>
        <w:rPr>
          <w:sz w:val="20"/>
        </w:rPr>
        <w:t>1a</w:t>
      </w:r>
      <w:r>
        <w:rPr>
          <w:spacing w:val="-9"/>
          <w:sz w:val="20"/>
        </w:rPr>
        <w:t xml:space="preserve"> </w:t>
      </w:r>
      <w:r>
        <w:rPr>
          <w:sz w:val="20"/>
        </w:rPr>
        <w:t>ed.</w:t>
      </w:r>
      <w:r>
        <w:rPr>
          <w:spacing w:val="-12"/>
          <w:sz w:val="20"/>
        </w:rPr>
        <w:t xml:space="preserve"> </w:t>
      </w:r>
      <w:r>
        <w:rPr>
          <w:sz w:val="20"/>
        </w:rPr>
        <w:t>São</w:t>
      </w:r>
      <w:r>
        <w:rPr>
          <w:spacing w:val="-8"/>
          <w:sz w:val="20"/>
        </w:rPr>
        <w:t xml:space="preserve"> </w:t>
      </w:r>
      <w:r>
        <w:rPr>
          <w:sz w:val="20"/>
        </w:rPr>
        <w:t>Paulo</w:t>
      </w:r>
      <w:r>
        <w:rPr>
          <w:spacing w:val="-6"/>
          <w:sz w:val="20"/>
        </w:rPr>
        <w:t xml:space="preserve"> </w:t>
      </w:r>
      <w:r>
        <w:rPr>
          <w:sz w:val="20"/>
        </w:rPr>
        <w:t>-</w:t>
      </w:r>
      <w:r>
        <w:rPr>
          <w:spacing w:val="-11"/>
          <w:sz w:val="20"/>
        </w:rPr>
        <w:t xml:space="preserve"> </w:t>
      </w:r>
      <w:r>
        <w:rPr>
          <w:sz w:val="20"/>
        </w:rPr>
        <w:t>SP:</w:t>
      </w:r>
      <w:r>
        <w:rPr>
          <w:spacing w:val="-9"/>
          <w:sz w:val="20"/>
        </w:rPr>
        <w:t xml:space="preserve"> </w:t>
      </w:r>
      <w:r>
        <w:rPr>
          <w:sz w:val="20"/>
        </w:rPr>
        <w:t>RIDEEL,</w:t>
      </w:r>
      <w:r>
        <w:rPr>
          <w:spacing w:val="-9"/>
          <w:sz w:val="20"/>
        </w:rPr>
        <w:t xml:space="preserve"> </w:t>
      </w:r>
      <w:r>
        <w:rPr>
          <w:spacing w:val="-2"/>
          <w:sz w:val="20"/>
        </w:rPr>
        <w:t>2021.</w:t>
      </w:r>
    </w:p>
    <w:p w:rsidR="007259F2" w:rsidRDefault="00E655B4">
      <w:pPr>
        <w:spacing w:before="1"/>
        <w:ind w:left="710"/>
        <w:jc w:val="both"/>
        <w:rPr>
          <w:i/>
          <w:sz w:val="20"/>
        </w:rPr>
      </w:pPr>
      <w:r>
        <w:rPr>
          <w:sz w:val="20"/>
          <w:vertAlign w:val="superscript"/>
        </w:rPr>
        <w:t>30</w:t>
      </w:r>
      <w:r>
        <w:rPr>
          <w:spacing w:val="-6"/>
          <w:sz w:val="20"/>
        </w:rPr>
        <w:t xml:space="preserve"> </w:t>
      </w:r>
      <w:r>
        <w:rPr>
          <w:sz w:val="20"/>
        </w:rPr>
        <w:t>BALEEIRO;</w:t>
      </w:r>
      <w:r>
        <w:rPr>
          <w:spacing w:val="-5"/>
          <w:sz w:val="20"/>
        </w:rPr>
        <w:t xml:space="preserve"> </w:t>
      </w:r>
      <w:r>
        <w:rPr>
          <w:sz w:val="20"/>
        </w:rPr>
        <w:t>DERZI,</w:t>
      </w:r>
      <w:r>
        <w:rPr>
          <w:spacing w:val="-4"/>
          <w:sz w:val="20"/>
        </w:rPr>
        <w:t xml:space="preserve"> </w:t>
      </w:r>
      <w:r>
        <w:rPr>
          <w:i/>
          <w:sz w:val="20"/>
        </w:rPr>
        <w:t>op.</w:t>
      </w:r>
      <w:r>
        <w:rPr>
          <w:i/>
          <w:spacing w:val="-5"/>
          <w:sz w:val="20"/>
        </w:rPr>
        <w:t xml:space="preserve"> </w:t>
      </w:r>
      <w:r>
        <w:rPr>
          <w:i/>
          <w:spacing w:val="-4"/>
          <w:sz w:val="20"/>
        </w:rPr>
        <w:t>cit.</w:t>
      </w:r>
    </w:p>
    <w:p w:rsidR="007259F2" w:rsidRDefault="00E655B4">
      <w:pPr>
        <w:ind w:left="710" w:right="990"/>
        <w:rPr>
          <w:sz w:val="20"/>
        </w:rPr>
      </w:pPr>
      <w:r>
        <w:rPr>
          <w:sz w:val="20"/>
          <w:vertAlign w:val="superscript"/>
        </w:rPr>
        <w:t>31</w:t>
      </w:r>
      <w:r>
        <w:rPr>
          <w:sz w:val="20"/>
        </w:rPr>
        <w:t xml:space="preserve"> ÁVILA, Humberto Bergmann.</w:t>
      </w:r>
      <w:r>
        <w:rPr>
          <w:spacing w:val="24"/>
          <w:sz w:val="20"/>
        </w:rPr>
        <w:t xml:space="preserve"> </w:t>
      </w:r>
      <w:r>
        <w:rPr>
          <w:b/>
          <w:sz w:val="20"/>
        </w:rPr>
        <w:t>Conceito de renda e compensação de prejuízos fiscais</w:t>
      </w:r>
      <w:r>
        <w:rPr>
          <w:sz w:val="20"/>
        </w:rPr>
        <w:t>. São Paulo:</w:t>
      </w:r>
      <w:r>
        <w:rPr>
          <w:spacing w:val="80"/>
          <w:sz w:val="20"/>
        </w:rPr>
        <w:t xml:space="preserve"> </w:t>
      </w:r>
      <w:r>
        <w:rPr>
          <w:sz w:val="20"/>
        </w:rPr>
        <w:t>Malheiros, f. 44, 2011, p. 87.</w:t>
      </w:r>
    </w:p>
    <w:p w:rsidR="007259F2" w:rsidRDefault="00E655B4">
      <w:pPr>
        <w:spacing w:line="228" w:lineRule="exact"/>
        <w:ind w:left="710"/>
        <w:rPr>
          <w:sz w:val="20"/>
        </w:rPr>
      </w:pPr>
      <w:r>
        <w:rPr>
          <w:sz w:val="20"/>
          <w:vertAlign w:val="superscript"/>
        </w:rPr>
        <w:t>32</w:t>
      </w:r>
      <w:r>
        <w:rPr>
          <w:spacing w:val="-10"/>
          <w:sz w:val="20"/>
        </w:rPr>
        <w:t xml:space="preserve"> </w:t>
      </w:r>
      <w:r>
        <w:rPr>
          <w:sz w:val="20"/>
        </w:rPr>
        <w:t>BARRETO,</w:t>
      </w:r>
      <w:r>
        <w:rPr>
          <w:spacing w:val="-7"/>
          <w:sz w:val="20"/>
        </w:rPr>
        <w:t xml:space="preserve"> </w:t>
      </w:r>
      <w:r>
        <w:rPr>
          <w:sz w:val="20"/>
        </w:rPr>
        <w:t>Paulo</w:t>
      </w:r>
      <w:r>
        <w:rPr>
          <w:spacing w:val="-13"/>
          <w:sz w:val="20"/>
        </w:rPr>
        <w:t xml:space="preserve"> </w:t>
      </w:r>
      <w:r>
        <w:rPr>
          <w:sz w:val="20"/>
        </w:rPr>
        <w:t>Ayres.</w:t>
      </w:r>
      <w:r>
        <w:rPr>
          <w:spacing w:val="-5"/>
          <w:sz w:val="20"/>
        </w:rPr>
        <w:t xml:space="preserve"> </w:t>
      </w:r>
      <w:r>
        <w:rPr>
          <w:b/>
          <w:sz w:val="20"/>
        </w:rPr>
        <w:t>Imposto</w:t>
      </w:r>
      <w:r>
        <w:rPr>
          <w:b/>
          <w:spacing w:val="-7"/>
          <w:sz w:val="20"/>
        </w:rPr>
        <w:t xml:space="preserve"> </w:t>
      </w:r>
      <w:r>
        <w:rPr>
          <w:b/>
          <w:sz w:val="20"/>
        </w:rPr>
        <w:t>sobre</w:t>
      </w:r>
      <w:r>
        <w:rPr>
          <w:b/>
          <w:spacing w:val="-7"/>
          <w:sz w:val="20"/>
        </w:rPr>
        <w:t xml:space="preserve"> </w:t>
      </w:r>
      <w:r>
        <w:rPr>
          <w:b/>
          <w:sz w:val="20"/>
        </w:rPr>
        <w:t>a</w:t>
      </w:r>
      <w:r>
        <w:rPr>
          <w:b/>
          <w:spacing w:val="-6"/>
          <w:sz w:val="20"/>
        </w:rPr>
        <w:t xml:space="preserve"> </w:t>
      </w:r>
      <w:r>
        <w:rPr>
          <w:b/>
          <w:sz w:val="20"/>
        </w:rPr>
        <w:t>renda</w:t>
      </w:r>
      <w:r>
        <w:rPr>
          <w:b/>
          <w:spacing w:val="-8"/>
          <w:sz w:val="20"/>
        </w:rPr>
        <w:t xml:space="preserve"> </w:t>
      </w:r>
      <w:r>
        <w:rPr>
          <w:b/>
          <w:sz w:val="20"/>
        </w:rPr>
        <w:t>e</w:t>
      </w:r>
      <w:r>
        <w:rPr>
          <w:b/>
          <w:spacing w:val="-7"/>
          <w:sz w:val="20"/>
        </w:rPr>
        <w:t xml:space="preserve"> </w:t>
      </w:r>
      <w:r>
        <w:rPr>
          <w:b/>
          <w:sz w:val="20"/>
        </w:rPr>
        <w:t>preços</w:t>
      </w:r>
      <w:r>
        <w:rPr>
          <w:b/>
          <w:spacing w:val="-6"/>
          <w:sz w:val="20"/>
        </w:rPr>
        <w:t xml:space="preserve"> </w:t>
      </w:r>
      <w:r>
        <w:rPr>
          <w:b/>
          <w:sz w:val="20"/>
        </w:rPr>
        <w:t>de</w:t>
      </w:r>
      <w:r>
        <w:rPr>
          <w:b/>
          <w:spacing w:val="-7"/>
          <w:sz w:val="20"/>
        </w:rPr>
        <w:t xml:space="preserve"> </w:t>
      </w:r>
      <w:r>
        <w:rPr>
          <w:b/>
          <w:sz w:val="20"/>
        </w:rPr>
        <w:t>transferência</w:t>
      </w:r>
      <w:r>
        <w:rPr>
          <w:sz w:val="20"/>
        </w:rPr>
        <w:t>.</w:t>
      </w:r>
      <w:r>
        <w:rPr>
          <w:spacing w:val="-7"/>
          <w:sz w:val="20"/>
        </w:rPr>
        <w:t xml:space="preserve"> </w:t>
      </w:r>
      <w:r>
        <w:rPr>
          <w:sz w:val="20"/>
        </w:rPr>
        <w:t>São</w:t>
      </w:r>
      <w:r>
        <w:rPr>
          <w:spacing w:val="-6"/>
          <w:sz w:val="20"/>
        </w:rPr>
        <w:t xml:space="preserve"> </w:t>
      </w:r>
      <w:r>
        <w:rPr>
          <w:sz w:val="20"/>
        </w:rPr>
        <w:t>Paulo:</w:t>
      </w:r>
      <w:r>
        <w:rPr>
          <w:spacing w:val="-9"/>
          <w:sz w:val="20"/>
        </w:rPr>
        <w:t xml:space="preserve"> </w:t>
      </w:r>
      <w:r>
        <w:rPr>
          <w:spacing w:val="-2"/>
          <w:sz w:val="20"/>
        </w:rPr>
        <w:t>Dialética,</w:t>
      </w:r>
    </w:p>
    <w:p w:rsidR="007259F2" w:rsidRDefault="00E655B4">
      <w:pPr>
        <w:ind w:left="710"/>
        <w:rPr>
          <w:sz w:val="20"/>
        </w:rPr>
      </w:pPr>
      <w:r>
        <w:rPr>
          <w:sz w:val="20"/>
        </w:rPr>
        <w:t>f.</w:t>
      </w:r>
      <w:r>
        <w:rPr>
          <w:spacing w:val="-3"/>
          <w:sz w:val="20"/>
        </w:rPr>
        <w:t xml:space="preserve"> </w:t>
      </w:r>
      <w:r>
        <w:rPr>
          <w:sz w:val="20"/>
        </w:rPr>
        <w:t>96,</w:t>
      </w:r>
      <w:r>
        <w:rPr>
          <w:spacing w:val="-2"/>
          <w:sz w:val="20"/>
        </w:rPr>
        <w:t xml:space="preserve"> </w:t>
      </w:r>
      <w:r>
        <w:rPr>
          <w:sz w:val="20"/>
        </w:rPr>
        <w:t>2001.</w:t>
      </w:r>
      <w:r>
        <w:rPr>
          <w:spacing w:val="-4"/>
          <w:sz w:val="20"/>
        </w:rPr>
        <w:t xml:space="preserve"> </w:t>
      </w:r>
      <w:r>
        <w:rPr>
          <w:sz w:val="20"/>
        </w:rPr>
        <w:t>191</w:t>
      </w:r>
      <w:r>
        <w:rPr>
          <w:spacing w:val="-3"/>
          <w:sz w:val="20"/>
        </w:rPr>
        <w:t xml:space="preserve"> </w:t>
      </w:r>
      <w:r>
        <w:rPr>
          <w:spacing w:val="-5"/>
          <w:sz w:val="20"/>
        </w:rPr>
        <w:t>p.</w:t>
      </w:r>
    </w:p>
    <w:p w:rsidR="007259F2" w:rsidRDefault="00E655B4">
      <w:pPr>
        <w:spacing w:before="1"/>
        <w:ind w:left="710" w:right="990"/>
        <w:rPr>
          <w:sz w:val="20"/>
        </w:rPr>
      </w:pPr>
      <w:r>
        <w:rPr>
          <w:sz w:val="20"/>
          <w:vertAlign w:val="superscript"/>
        </w:rPr>
        <w:t>33</w:t>
      </w:r>
      <w:r>
        <w:rPr>
          <w:sz w:val="20"/>
        </w:rPr>
        <w:t xml:space="preserve"> BARRETO, Simone Rodrigues. Tomo Direito Tributário. </w:t>
      </w:r>
      <w:r>
        <w:rPr>
          <w:b/>
          <w:sz w:val="20"/>
        </w:rPr>
        <w:t>Enciclopédia jurídica da PUC-SP</w:t>
      </w:r>
      <w:r>
        <w:rPr>
          <w:sz w:val="20"/>
        </w:rPr>
        <w:t>. São Paulo,</w:t>
      </w:r>
      <w:r>
        <w:rPr>
          <w:spacing w:val="-10"/>
          <w:sz w:val="20"/>
        </w:rPr>
        <w:t xml:space="preserve"> </w:t>
      </w:r>
      <w:r>
        <w:rPr>
          <w:sz w:val="20"/>
        </w:rPr>
        <w:t>2019.</w:t>
      </w:r>
      <w:r>
        <w:rPr>
          <w:spacing w:val="-6"/>
          <w:sz w:val="20"/>
        </w:rPr>
        <w:t xml:space="preserve"> </w:t>
      </w:r>
      <w:r>
        <w:rPr>
          <w:sz w:val="20"/>
        </w:rPr>
        <w:t>Disponível</w:t>
      </w:r>
      <w:r>
        <w:rPr>
          <w:spacing w:val="-6"/>
          <w:sz w:val="20"/>
        </w:rPr>
        <w:t xml:space="preserve"> </w:t>
      </w:r>
      <w:r>
        <w:rPr>
          <w:sz w:val="20"/>
        </w:rPr>
        <w:t>em:</w:t>
      </w:r>
      <w:r>
        <w:rPr>
          <w:spacing w:val="-7"/>
          <w:sz w:val="20"/>
        </w:rPr>
        <w:t xml:space="preserve"> </w:t>
      </w:r>
      <w:r>
        <w:rPr>
          <w:sz w:val="20"/>
        </w:rPr>
        <w:t>https://enciclopediajuridica.pucsp.br/verbete/295/edicao-1/renda.</w:t>
      </w:r>
      <w:r>
        <w:rPr>
          <w:spacing w:val="-13"/>
          <w:sz w:val="20"/>
        </w:rPr>
        <w:t xml:space="preserve"> </w:t>
      </w:r>
      <w:r>
        <w:rPr>
          <w:sz w:val="20"/>
        </w:rPr>
        <w:t>Acesso</w:t>
      </w:r>
      <w:r>
        <w:rPr>
          <w:spacing w:val="-5"/>
          <w:sz w:val="20"/>
        </w:rPr>
        <w:t xml:space="preserve"> </w:t>
      </w:r>
      <w:r>
        <w:rPr>
          <w:sz w:val="20"/>
        </w:rPr>
        <w:t>em: 6 abr. 2022.</w:t>
      </w:r>
    </w:p>
    <w:p w:rsidR="007259F2" w:rsidRDefault="007259F2">
      <w:pPr>
        <w:rPr>
          <w:sz w:val="20"/>
        </w:rPr>
        <w:sectPr w:rsidR="007259F2">
          <w:pgSz w:w="11910" w:h="16840"/>
          <w:pgMar w:top="1320" w:right="708" w:bottom="1160" w:left="992" w:header="0" w:footer="962" w:gutter="0"/>
          <w:cols w:space="720"/>
        </w:sectPr>
      </w:pPr>
    </w:p>
    <w:p w:rsidR="007259F2" w:rsidRDefault="00E655B4">
      <w:pPr>
        <w:pStyle w:val="Corpodetexto"/>
        <w:spacing w:before="69"/>
        <w:ind w:right="990"/>
      </w:pPr>
      <w:r>
        <w:lastRenderedPageBreak/>
        <w:t>Ademais, além da Carta Magna e outros materiais, o Imposto de Renda é ordenado pelo Código Tributário Nacional</w:t>
      </w:r>
      <w:r>
        <w:rPr>
          <w:vertAlign w:val="superscript"/>
        </w:rPr>
        <w:t>34</w:t>
      </w:r>
      <w:r>
        <w:t>, em seus artigos. 43 a 45, bem como por uma</w:t>
      </w:r>
      <w:r>
        <w:rPr>
          <w:spacing w:val="-4"/>
        </w:rPr>
        <w:t xml:space="preserve"> </w:t>
      </w:r>
      <w:r>
        <w:t>vasta</w:t>
      </w:r>
      <w:r>
        <w:rPr>
          <w:spacing w:val="-3"/>
        </w:rPr>
        <w:t xml:space="preserve"> </w:t>
      </w:r>
      <w:r>
        <w:t>quantidade</w:t>
      </w:r>
      <w:r>
        <w:rPr>
          <w:spacing w:val="-3"/>
        </w:rPr>
        <w:t xml:space="preserve"> </w:t>
      </w:r>
      <w:r>
        <w:t>de</w:t>
      </w:r>
      <w:r>
        <w:rPr>
          <w:spacing w:val="-3"/>
        </w:rPr>
        <w:t xml:space="preserve"> </w:t>
      </w:r>
      <w:r>
        <w:t>leis,</w:t>
      </w:r>
      <w:r>
        <w:rPr>
          <w:spacing w:val="-4"/>
        </w:rPr>
        <w:t xml:space="preserve"> </w:t>
      </w:r>
      <w:r>
        <w:t>por</w:t>
      </w:r>
      <w:r>
        <w:rPr>
          <w:spacing w:val="-4"/>
        </w:rPr>
        <w:t xml:space="preserve"> </w:t>
      </w:r>
      <w:r>
        <w:t>exemplo,</w:t>
      </w:r>
      <w:r>
        <w:rPr>
          <w:spacing w:val="-2"/>
        </w:rPr>
        <w:t xml:space="preserve"> </w:t>
      </w:r>
      <w:r>
        <w:t>Leis nº</w:t>
      </w:r>
      <w:r>
        <w:rPr>
          <w:spacing w:val="-2"/>
        </w:rPr>
        <w:t xml:space="preserve"> </w:t>
      </w:r>
      <w:r>
        <w:t>9.430/1996,</w:t>
      </w:r>
      <w:r>
        <w:rPr>
          <w:spacing w:val="-4"/>
        </w:rPr>
        <w:t xml:space="preserve"> </w:t>
      </w:r>
      <w:r>
        <w:t>7.713/1998,</w:t>
      </w:r>
      <w:r>
        <w:rPr>
          <w:spacing w:val="-4"/>
        </w:rPr>
        <w:t xml:space="preserve"> </w:t>
      </w:r>
      <w:r>
        <w:t>8.981/1995, 9.249/1995 e 11.482/3007, dentre diversos outros textos legais.</w:t>
      </w:r>
    </w:p>
    <w:p w:rsidR="007259F2" w:rsidRDefault="00E655B4">
      <w:pPr>
        <w:pStyle w:val="Corpodetexto"/>
        <w:spacing w:before="1"/>
        <w:ind w:left="1418" w:firstLine="0"/>
      </w:pPr>
      <w:r>
        <w:t>Vejamos</w:t>
      </w:r>
      <w:r>
        <w:rPr>
          <w:spacing w:val="-8"/>
        </w:rPr>
        <w:t xml:space="preserve"> </w:t>
      </w:r>
      <w:r>
        <w:t>definição</w:t>
      </w:r>
      <w:r>
        <w:rPr>
          <w:spacing w:val="-5"/>
        </w:rPr>
        <w:t xml:space="preserve"> </w:t>
      </w:r>
      <w:r>
        <w:t>de</w:t>
      </w:r>
      <w:r>
        <w:rPr>
          <w:spacing w:val="-9"/>
        </w:rPr>
        <w:t xml:space="preserve"> </w:t>
      </w:r>
      <w:r>
        <w:t>renda</w:t>
      </w:r>
      <w:r>
        <w:rPr>
          <w:spacing w:val="-8"/>
        </w:rPr>
        <w:t xml:space="preserve"> </w:t>
      </w:r>
      <w:r>
        <w:t>para</w:t>
      </w:r>
      <w:r>
        <w:rPr>
          <w:spacing w:val="-11"/>
        </w:rPr>
        <w:t xml:space="preserve"> </w:t>
      </w:r>
      <w:r>
        <w:t>o</w:t>
      </w:r>
      <w:r>
        <w:rPr>
          <w:spacing w:val="-7"/>
        </w:rPr>
        <w:t xml:space="preserve"> </w:t>
      </w:r>
      <w:r>
        <w:t>Código</w:t>
      </w:r>
      <w:r>
        <w:rPr>
          <w:spacing w:val="-8"/>
        </w:rPr>
        <w:t xml:space="preserve"> </w:t>
      </w:r>
      <w:r>
        <w:t>Tributário</w:t>
      </w:r>
      <w:r>
        <w:rPr>
          <w:spacing w:val="-7"/>
        </w:rPr>
        <w:t xml:space="preserve"> </w:t>
      </w:r>
      <w:r>
        <w:rPr>
          <w:spacing w:val="-2"/>
        </w:rPr>
        <w:t>Nacional.</w:t>
      </w:r>
    </w:p>
    <w:p w:rsidR="007259F2" w:rsidRDefault="00E655B4">
      <w:pPr>
        <w:pStyle w:val="Heading2"/>
        <w:numPr>
          <w:ilvl w:val="2"/>
          <w:numId w:val="35"/>
        </w:numPr>
        <w:tabs>
          <w:tab w:val="left" w:pos="1249"/>
        </w:tabs>
        <w:spacing w:before="206"/>
        <w:ind w:left="1249" w:hanging="539"/>
      </w:pPr>
      <w:r>
        <w:t>Código</w:t>
      </w:r>
      <w:r>
        <w:rPr>
          <w:spacing w:val="-6"/>
        </w:rPr>
        <w:t xml:space="preserve"> </w:t>
      </w:r>
      <w:r>
        <w:t>Tributário</w:t>
      </w:r>
      <w:r>
        <w:rPr>
          <w:spacing w:val="-2"/>
        </w:rPr>
        <w:t xml:space="preserve"> Nacional</w:t>
      </w:r>
    </w:p>
    <w:p w:rsidR="007259F2" w:rsidRDefault="00E655B4">
      <w:pPr>
        <w:pStyle w:val="Corpodetexto"/>
        <w:spacing w:before="156"/>
        <w:ind w:right="989"/>
      </w:pPr>
      <w:r>
        <w:t>Acerca do imposto sobre a renda e proventos de qualquer natureza, o Código Tributário Nacional, em seu art. 43, assim dispõe:</w:t>
      </w:r>
    </w:p>
    <w:p w:rsidR="007259F2" w:rsidRDefault="007259F2">
      <w:pPr>
        <w:pStyle w:val="Corpodetexto"/>
        <w:spacing w:before="1"/>
        <w:ind w:left="0" w:firstLine="0"/>
        <w:jc w:val="left"/>
      </w:pPr>
    </w:p>
    <w:p w:rsidR="007259F2" w:rsidRDefault="00E655B4">
      <w:pPr>
        <w:spacing w:before="1"/>
        <w:ind w:left="2978" w:right="988"/>
        <w:jc w:val="both"/>
        <w:rPr>
          <w:sz w:val="20"/>
        </w:rPr>
      </w:pPr>
      <w:r>
        <w:rPr>
          <w:sz w:val="20"/>
        </w:rPr>
        <w:t>Art. 43. O imposto, de competência da União, sobre a renda e proventos de qualquer natureza tem como fato gerador a aquisição da disponibilidade econômica ou jurídica:</w:t>
      </w:r>
    </w:p>
    <w:p w:rsidR="007259F2" w:rsidRDefault="00E655B4">
      <w:pPr>
        <w:pStyle w:val="PargrafodaLista"/>
        <w:numPr>
          <w:ilvl w:val="3"/>
          <w:numId w:val="35"/>
        </w:numPr>
        <w:tabs>
          <w:tab w:val="left" w:pos="3200"/>
        </w:tabs>
        <w:ind w:right="996" w:firstLine="0"/>
        <w:rPr>
          <w:sz w:val="20"/>
        </w:rPr>
      </w:pPr>
      <w:r>
        <w:rPr>
          <w:sz w:val="20"/>
        </w:rPr>
        <w:t>de renda, assim entendido o produto do capital, do trabalho ou da combinação de ambos;</w:t>
      </w:r>
    </w:p>
    <w:p w:rsidR="007259F2" w:rsidRDefault="00E655B4">
      <w:pPr>
        <w:pStyle w:val="PargrafodaLista"/>
        <w:numPr>
          <w:ilvl w:val="3"/>
          <w:numId w:val="35"/>
        </w:numPr>
        <w:tabs>
          <w:tab w:val="left" w:pos="3207"/>
        </w:tabs>
        <w:ind w:right="992" w:firstLine="0"/>
        <w:rPr>
          <w:sz w:val="20"/>
        </w:rPr>
      </w:pPr>
      <w:r>
        <w:rPr>
          <w:sz w:val="20"/>
        </w:rPr>
        <w:t>de proventos de qualquer natureza, assim entendidos os acréscimos patrimoniais não compreendidos no inciso anterior.</w:t>
      </w:r>
    </w:p>
    <w:p w:rsidR="007259F2" w:rsidRDefault="00E655B4">
      <w:pPr>
        <w:spacing w:before="1"/>
        <w:ind w:left="2978" w:right="989"/>
        <w:jc w:val="both"/>
        <w:rPr>
          <w:sz w:val="20"/>
        </w:rPr>
      </w:pPr>
      <w:r>
        <w:rPr>
          <w:sz w:val="20"/>
        </w:rPr>
        <w:t>§ 1º A incidência do imposto independe da denominação da receita ou do rendimento, da localização, condição jurídica ou nacionalidade da fonte, da origem e da forma de percepção.</w:t>
      </w:r>
    </w:p>
    <w:p w:rsidR="007259F2" w:rsidRDefault="00E655B4">
      <w:pPr>
        <w:ind w:left="2978" w:right="989"/>
        <w:jc w:val="both"/>
        <w:rPr>
          <w:sz w:val="20"/>
        </w:rPr>
      </w:pPr>
      <w:r>
        <w:rPr>
          <w:sz w:val="20"/>
        </w:rPr>
        <w:t>§ 2º Na hipótese de receita ou de rendimento oriundos do exterior, a lei estabelecerá as condições e o momento em que se dará sua disponibilidade, para fins de incidência do imposto referido neste artigo. (BRASIL, 1966)</w:t>
      </w:r>
    </w:p>
    <w:p w:rsidR="007259F2" w:rsidRDefault="00E655B4">
      <w:pPr>
        <w:pStyle w:val="Corpodetexto"/>
        <w:spacing w:before="227"/>
        <w:ind w:right="991"/>
      </w:pPr>
      <w:r>
        <w:t>O Código Tributário Nacional, por sua vez, adota conceito amplo de renda: “o produto do capital, do trabalho ou da combinação de ambos”; além dos “os acréscimos patrimoniais” não compreendidos no inciso I do supramencionado artigo. Tais definições devem ser conciliadas com as limitações trazidas pela Constituição Federal de 1988, que consagra importantes princípios como a capacidade contributiva, a pessoalidade e a universalidade.</w:t>
      </w:r>
    </w:p>
    <w:p w:rsidR="007259F2" w:rsidRDefault="00E655B4">
      <w:pPr>
        <w:pStyle w:val="Corpodetexto"/>
        <w:ind w:right="992"/>
      </w:pPr>
      <w:r>
        <w:t>O legislador ordinário bem esclareceu que a renda seria o produto do capital, trabalho ou, ainda, da combinação de ambos; já os proventos de qualquer natureza são os acréscimos patrimoniais que não se incluiriam na definição de renda adotada.</w:t>
      </w:r>
      <w:r>
        <w:rPr>
          <w:vertAlign w:val="superscript"/>
        </w:rPr>
        <w:t>35</w:t>
      </w:r>
    </w:p>
    <w:p w:rsidR="007259F2" w:rsidRDefault="00E655B4">
      <w:pPr>
        <w:pStyle w:val="Corpodetexto"/>
        <w:ind w:right="989"/>
      </w:pPr>
      <w:r>
        <w:t>Nessa perspectiva, em conformidade com o conceito constitucional de renda, o Código</w:t>
      </w:r>
      <w:r>
        <w:rPr>
          <w:spacing w:val="-3"/>
        </w:rPr>
        <w:t xml:space="preserve"> </w:t>
      </w:r>
      <w:r>
        <w:t>Tributário</w:t>
      </w:r>
      <w:r>
        <w:rPr>
          <w:spacing w:val="-2"/>
        </w:rPr>
        <w:t xml:space="preserve"> </w:t>
      </w:r>
      <w:r>
        <w:t>Nacional</w:t>
      </w:r>
      <w:r>
        <w:rPr>
          <w:spacing w:val="-1"/>
        </w:rPr>
        <w:t xml:space="preserve"> </w:t>
      </w:r>
      <w:r>
        <w:t>considerou</w:t>
      </w:r>
      <w:r>
        <w:rPr>
          <w:spacing w:val="-1"/>
        </w:rPr>
        <w:t xml:space="preserve"> </w:t>
      </w:r>
      <w:r>
        <w:t>como</w:t>
      </w:r>
      <w:r>
        <w:rPr>
          <w:spacing w:val="-1"/>
        </w:rPr>
        <w:t xml:space="preserve"> </w:t>
      </w:r>
      <w:r>
        <w:t>materialidade</w:t>
      </w:r>
      <w:r>
        <w:rPr>
          <w:spacing w:val="-2"/>
        </w:rPr>
        <w:t xml:space="preserve"> </w:t>
      </w:r>
      <w:r>
        <w:t>do imposto</w:t>
      </w:r>
      <w:r>
        <w:rPr>
          <w:spacing w:val="-1"/>
        </w:rPr>
        <w:t xml:space="preserve"> </w:t>
      </w:r>
      <w:r>
        <w:t>sobre</w:t>
      </w:r>
      <w:r>
        <w:rPr>
          <w:spacing w:val="-3"/>
        </w:rPr>
        <w:t xml:space="preserve"> </w:t>
      </w:r>
      <w:r>
        <w:t>a</w:t>
      </w:r>
      <w:r>
        <w:rPr>
          <w:spacing w:val="-1"/>
        </w:rPr>
        <w:t xml:space="preserve"> </w:t>
      </w:r>
      <w:r>
        <w:t>renda</w:t>
      </w:r>
      <w:r>
        <w:rPr>
          <w:spacing w:val="-2"/>
        </w:rPr>
        <w:t xml:space="preserve"> </w:t>
      </w:r>
      <w:r>
        <w:t>os acréscimos patrimoniais, seja considerando-os como renda ou como proventos de qualquer natureza.</w:t>
      </w:r>
    </w:p>
    <w:p w:rsidR="007259F2" w:rsidRDefault="00E655B4">
      <w:pPr>
        <w:pStyle w:val="Corpodetexto"/>
        <w:ind w:right="994"/>
      </w:pPr>
      <w:r>
        <w:t>Logo, podemos afirmar que o conceito legal de “renda” trazido pelo Código guarda e reitera o conteúdo disposto no texto constitucional, no sentido de que o</w:t>
      </w:r>
      <w:r>
        <w:rPr>
          <w:spacing w:val="40"/>
        </w:rPr>
        <w:t xml:space="preserve"> </w:t>
      </w:r>
      <w:r>
        <w:t>imposto sobre a renda tem como materialidade os acréscimos patrimoniais.</w:t>
      </w:r>
    </w:p>
    <w:p w:rsidR="007259F2" w:rsidRDefault="00E655B4">
      <w:pPr>
        <w:pStyle w:val="Corpodetexto"/>
        <w:spacing w:before="1"/>
        <w:ind w:right="989"/>
      </w:pPr>
      <w:r>
        <w:t>O texto legal, ao pormenorizar a materialidade do imposto sobre a renda, acrescentou</w:t>
      </w:r>
      <w:r>
        <w:rPr>
          <w:spacing w:val="-3"/>
        </w:rPr>
        <w:t xml:space="preserve"> </w:t>
      </w:r>
      <w:r>
        <w:t>a</w:t>
      </w:r>
      <w:r>
        <w:rPr>
          <w:spacing w:val="-2"/>
        </w:rPr>
        <w:t xml:space="preserve"> </w:t>
      </w:r>
      <w:r>
        <w:t>expressão</w:t>
      </w:r>
      <w:r>
        <w:rPr>
          <w:spacing w:val="-2"/>
        </w:rPr>
        <w:t xml:space="preserve"> </w:t>
      </w:r>
      <w:r>
        <w:t>disponibilidade</w:t>
      </w:r>
      <w:r>
        <w:rPr>
          <w:spacing w:val="-4"/>
        </w:rPr>
        <w:t xml:space="preserve"> </w:t>
      </w:r>
      <w:r>
        <w:t>jurídica</w:t>
      </w:r>
      <w:r>
        <w:rPr>
          <w:spacing w:val="-4"/>
        </w:rPr>
        <w:t xml:space="preserve"> </w:t>
      </w:r>
      <w:r>
        <w:t>e</w:t>
      </w:r>
      <w:r>
        <w:rPr>
          <w:spacing w:val="-2"/>
        </w:rPr>
        <w:t xml:space="preserve"> </w:t>
      </w:r>
      <w:r>
        <w:t>disponibilidade</w:t>
      </w:r>
      <w:r>
        <w:rPr>
          <w:spacing w:val="-4"/>
        </w:rPr>
        <w:t xml:space="preserve"> </w:t>
      </w:r>
      <w:r>
        <w:t>econômica.</w:t>
      </w:r>
      <w:r>
        <w:rPr>
          <w:spacing w:val="-3"/>
        </w:rPr>
        <w:t xml:space="preserve"> </w:t>
      </w:r>
      <w:r>
        <w:t>De</w:t>
      </w:r>
      <w:r>
        <w:rPr>
          <w:spacing w:val="-4"/>
        </w:rPr>
        <w:t xml:space="preserve"> </w:t>
      </w:r>
      <w:r>
        <w:t>plano, destaca-se, nas palavras de Luciano Amaro, que “o CTN qualifica como “econômica”</w:t>
      </w:r>
      <w:r>
        <w:rPr>
          <w:spacing w:val="40"/>
        </w:rPr>
        <w:t xml:space="preserve"> </w:t>
      </w:r>
      <w:r>
        <w:t>ou “jurídica” é a disponibilidade da renda e não a origem desta”.</w:t>
      </w:r>
      <w:r>
        <w:rPr>
          <w:vertAlign w:val="superscript"/>
        </w:rPr>
        <w:t>36</w:t>
      </w:r>
      <w:r>
        <w:t xml:space="preserve"> A disponibilidade jurídica se verifica no instante em que a renda for auferida, independentemente do momento em que for percebida; já a disponibilidade econômica somente ocorrerá quando do recebimento da renda já auferida.</w:t>
      </w:r>
      <w:r>
        <w:rPr>
          <w:vertAlign w:val="superscript"/>
        </w:rPr>
        <w:t>37</w:t>
      </w:r>
    </w:p>
    <w:p w:rsidR="007259F2" w:rsidRDefault="007259F2">
      <w:pPr>
        <w:pStyle w:val="Corpodetexto"/>
        <w:ind w:left="0" w:firstLine="0"/>
        <w:jc w:val="left"/>
        <w:rPr>
          <w:sz w:val="20"/>
        </w:rPr>
      </w:pPr>
    </w:p>
    <w:p w:rsidR="007259F2" w:rsidRDefault="00DE6B1C">
      <w:pPr>
        <w:pStyle w:val="Corpodetexto"/>
        <w:spacing w:before="78"/>
        <w:ind w:left="0" w:firstLine="0"/>
        <w:jc w:val="left"/>
        <w:rPr>
          <w:sz w:val="20"/>
        </w:rPr>
      </w:pPr>
      <w:r w:rsidRPr="00DE6B1C">
        <w:rPr>
          <w:sz w:val="20"/>
        </w:rPr>
        <w:pict>
          <v:rect id="docshape82" o:spid="_x0000_s1144" style="position:absolute;margin-left:85.1pt;margin-top:16.65pt;width:2in;height:.7pt;z-index:-15694848;mso-wrap-distance-left:0;mso-wrap-distance-right:0;mso-position-horizontal-relative:page" fillcolor="black" stroked="f">
            <w10:wrap type="topAndBottom" anchorx="page"/>
          </v:rect>
        </w:pict>
      </w:r>
    </w:p>
    <w:p w:rsidR="007259F2" w:rsidRDefault="00E655B4">
      <w:pPr>
        <w:spacing w:before="96"/>
        <w:ind w:left="710"/>
        <w:rPr>
          <w:sz w:val="20"/>
        </w:rPr>
      </w:pPr>
      <w:r>
        <w:rPr>
          <w:sz w:val="20"/>
          <w:vertAlign w:val="superscript"/>
        </w:rPr>
        <w:t>34</w:t>
      </w:r>
      <w:r>
        <w:rPr>
          <w:spacing w:val="-6"/>
          <w:sz w:val="20"/>
        </w:rPr>
        <w:t xml:space="preserve"> </w:t>
      </w:r>
      <w:r>
        <w:rPr>
          <w:sz w:val="20"/>
        </w:rPr>
        <w:t>BRASIL,</w:t>
      </w:r>
      <w:r>
        <w:rPr>
          <w:spacing w:val="-5"/>
          <w:sz w:val="20"/>
        </w:rPr>
        <w:t xml:space="preserve"> </w:t>
      </w:r>
      <w:r>
        <w:rPr>
          <w:spacing w:val="-2"/>
          <w:sz w:val="20"/>
        </w:rPr>
        <w:t>1966.</w:t>
      </w:r>
    </w:p>
    <w:p w:rsidR="007259F2" w:rsidRDefault="00E655B4">
      <w:pPr>
        <w:spacing w:before="1"/>
        <w:ind w:left="710"/>
        <w:rPr>
          <w:sz w:val="20"/>
        </w:rPr>
      </w:pPr>
      <w:r>
        <w:rPr>
          <w:sz w:val="20"/>
          <w:vertAlign w:val="superscript"/>
        </w:rPr>
        <w:t>35</w:t>
      </w:r>
      <w:r>
        <w:rPr>
          <w:spacing w:val="-5"/>
          <w:sz w:val="20"/>
        </w:rPr>
        <w:t xml:space="preserve"> </w:t>
      </w:r>
      <w:r>
        <w:rPr>
          <w:sz w:val="20"/>
        </w:rPr>
        <w:t>BARRETO,</w:t>
      </w:r>
      <w:r>
        <w:rPr>
          <w:spacing w:val="-4"/>
          <w:sz w:val="20"/>
        </w:rPr>
        <w:t xml:space="preserve"> </w:t>
      </w:r>
      <w:r>
        <w:rPr>
          <w:i/>
          <w:sz w:val="20"/>
        </w:rPr>
        <w:t>op.</w:t>
      </w:r>
      <w:r>
        <w:rPr>
          <w:i/>
          <w:spacing w:val="-5"/>
          <w:sz w:val="20"/>
        </w:rPr>
        <w:t xml:space="preserve"> </w:t>
      </w:r>
      <w:r>
        <w:rPr>
          <w:i/>
          <w:sz w:val="20"/>
        </w:rPr>
        <w:t>cit</w:t>
      </w:r>
      <w:r>
        <w:rPr>
          <w:sz w:val="20"/>
        </w:rPr>
        <w:t>.,</w:t>
      </w:r>
      <w:r>
        <w:rPr>
          <w:spacing w:val="-6"/>
          <w:sz w:val="20"/>
        </w:rPr>
        <w:t xml:space="preserve"> </w:t>
      </w:r>
      <w:r>
        <w:rPr>
          <w:spacing w:val="-4"/>
          <w:sz w:val="20"/>
        </w:rPr>
        <w:t>2019.</w:t>
      </w:r>
    </w:p>
    <w:p w:rsidR="007259F2" w:rsidRDefault="00E655B4">
      <w:pPr>
        <w:ind w:left="710"/>
        <w:rPr>
          <w:sz w:val="20"/>
        </w:rPr>
      </w:pPr>
      <w:r>
        <w:rPr>
          <w:sz w:val="20"/>
          <w:vertAlign w:val="superscript"/>
        </w:rPr>
        <w:t>36</w:t>
      </w:r>
      <w:r>
        <w:rPr>
          <w:spacing w:val="-13"/>
          <w:sz w:val="20"/>
        </w:rPr>
        <w:t xml:space="preserve"> </w:t>
      </w:r>
      <w:r>
        <w:rPr>
          <w:sz w:val="20"/>
        </w:rPr>
        <w:t>AMARO,</w:t>
      </w:r>
      <w:r>
        <w:rPr>
          <w:spacing w:val="-4"/>
          <w:sz w:val="20"/>
        </w:rPr>
        <w:t xml:space="preserve"> </w:t>
      </w:r>
      <w:r>
        <w:rPr>
          <w:i/>
          <w:sz w:val="20"/>
        </w:rPr>
        <w:t>op.</w:t>
      </w:r>
      <w:r>
        <w:rPr>
          <w:i/>
          <w:spacing w:val="-4"/>
          <w:sz w:val="20"/>
        </w:rPr>
        <w:t xml:space="preserve"> </w:t>
      </w:r>
      <w:r>
        <w:rPr>
          <w:i/>
          <w:sz w:val="20"/>
        </w:rPr>
        <w:t>cit.,</w:t>
      </w:r>
      <w:r>
        <w:rPr>
          <w:i/>
          <w:spacing w:val="-1"/>
          <w:sz w:val="20"/>
        </w:rPr>
        <w:t xml:space="preserve"> </w:t>
      </w:r>
      <w:r>
        <w:rPr>
          <w:sz w:val="20"/>
        </w:rPr>
        <w:t>2015,</w:t>
      </w:r>
      <w:r>
        <w:rPr>
          <w:spacing w:val="-3"/>
          <w:sz w:val="20"/>
        </w:rPr>
        <w:t xml:space="preserve"> </w:t>
      </w:r>
      <w:r>
        <w:rPr>
          <w:sz w:val="20"/>
        </w:rPr>
        <w:t>p.</w:t>
      </w:r>
      <w:r>
        <w:rPr>
          <w:spacing w:val="-5"/>
          <w:sz w:val="20"/>
        </w:rPr>
        <w:t xml:space="preserve"> 319</w:t>
      </w:r>
    </w:p>
    <w:p w:rsidR="007259F2" w:rsidRDefault="00E655B4">
      <w:pPr>
        <w:spacing w:before="1"/>
        <w:ind w:left="710"/>
        <w:rPr>
          <w:sz w:val="20"/>
        </w:rPr>
      </w:pPr>
      <w:r>
        <w:rPr>
          <w:sz w:val="20"/>
          <w:vertAlign w:val="superscript"/>
        </w:rPr>
        <w:t>37</w:t>
      </w:r>
      <w:r>
        <w:rPr>
          <w:spacing w:val="-4"/>
          <w:sz w:val="20"/>
        </w:rPr>
        <w:t xml:space="preserve"> </w:t>
      </w:r>
      <w:r>
        <w:rPr>
          <w:sz w:val="20"/>
        </w:rPr>
        <w:t>BARRETO,</w:t>
      </w:r>
      <w:r>
        <w:rPr>
          <w:spacing w:val="-3"/>
          <w:sz w:val="20"/>
        </w:rPr>
        <w:t xml:space="preserve"> </w:t>
      </w:r>
      <w:r>
        <w:rPr>
          <w:i/>
          <w:sz w:val="20"/>
        </w:rPr>
        <w:t>op.</w:t>
      </w:r>
      <w:r>
        <w:rPr>
          <w:i/>
          <w:spacing w:val="-5"/>
          <w:sz w:val="20"/>
        </w:rPr>
        <w:t xml:space="preserve"> </w:t>
      </w:r>
      <w:r>
        <w:rPr>
          <w:i/>
          <w:sz w:val="20"/>
        </w:rPr>
        <w:t>cit.,</w:t>
      </w:r>
      <w:r>
        <w:rPr>
          <w:i/>
          <w:spacing w:val="-3"/>
          <w:sz w:val="20"/>
        </w:rPr>
        <w:t xml:space="preserve"> </w:t>
      </w:r>
      <w:r>
        <w:rPr>
          <w:spacing w:val="-4"/>
          <w:sz w:val="20"/>
        </w:rPr>
        <w:t>2019.</w:t>
      </w:r>
    </w:p>
    <w:p w:rsidR="007259F2" w:rsidRDefault="007259F2">
      <w:pPr>
        <w:rPr>
          <w:sz w:val="20"/>
        </w:rPr>
        <w:sectPr w:rsidR="007259F2">
          <w:pgSz w:w="11910" w:h="16840"/>
          <w:pgMar w:top="1320" w:right="708" w:bottom="1160" w:left="992" w:header="0" w:footer="962" w:gutter="0"/>
          <w:cols w:space="720"/>
        </w:sectPr>
      </w:pPr>
    </w:p>
    <w:p w:rsidR="007259F2" w:rsidRDefault="00E655B4">
      <w:pPr>
        <w:pStyle w:val="Corpodetexto"/>
        <w:spacing w:before="69"/>
        <w:ind w:right="989"/>
      </w:pPr>
      <w:r>
        <w:lastRenderedPageBreak/>
        <w:t>O jurista Paulo Ayres Barreto salienta a desnecessidade da inclusão, na redação legal, dos termos disponibilidade econômica ou jurídica, uma vez que esta disposição não altera o conteúdo do enunciado prescritivo. Não obstante a menção a estes termos, poderia o legislador ordinário instituir o imposto sobre a renda e determinar como se daria sua incidência: sobre a renda auferida e não percebida, ou tão somente sobre a renda auferida e recebida.</w:t>
      </w:r>
      <w:r>
        <w:rPr>
          <w:vertAlign w:val="superscript"/>
        </w:rPr>
        <w:t>38</w:t>
      </w:r>
    </w:p>
    <w:p w:rsidR="007259F2" w:rsidRDefault="00E655B4">
      <w:pPr>
        <w:pStyle w:val="Heading2"/>
        <w:numPr>
          <w:ilvl w:val="1"/>
          <w:numId w:val="35"/>
        </w:numPr>
        <w:tabs>
          <w:tab w:val="left" w:pos="1069"/>
        </w:tabs>
        <w:ind w:left="1069" w:hanging="359"/>
      </w:pPr>
      <w:r>
        <w:t>Princípios</w:t>
      </w:r>
      <w:r>
        <w:rPr>
          <w:spacing w:val="-11"/>
        </w:rPr>
        <w:t xml:space="preserve"> </w:t>
      </w:r>
      <w:r>
        <w:t>fundamentais</w:t>
      </w:r>
      <w:r>
        <w:rPr>
          <w:spacing w:val="-6"/>
        </w:rPr>
        <w:t xml:space="preserve"> </w:t>
      </w:r>
      <w:r>
        <w:t>inerentes</w:t>
      </w:r>
      <w:r>
        <w:rPr>
          <w:spacing w:val="-9"/>
        </w:rPr>
        <w:t xml:space="preserve"> </w:t>
      </w:r>
      <w:r>
        <w:t>ao</w:t>
      </w:r>
      <w:r>
        <w:rPr>
          <w:spacing w:val="-5"/>
        </w:rPr>
        <w:t xml:space="preserve"> </w:t>
      </w:r>
      <w:r>
        <w:t>Imposto</w:t>
      </w:r>
      <w:r>
        <w:rPr>
          <w:spacing w:val="-9"/>
        </w:rPr>
        <w:t xml:space="preserve"> </w:t>
      </w:r>
      <w:r>
        <w:t>de</w:t>
      </w:r>
      <w:r>
        <w:rPr>
          <w:spacing w:val="-8"/>
        </w:rPr>
        <w:t xml:space="preserve"> </w:t>
      </w:r>
      <w:r>
        <w:rPr>
          <w:spacing w:val="-2"/>
        </w:rPr>
        <w:t>Renda</w:t>
      </w:r>
    </w:p>
    <w:p w:rsidR="007259F2" w:rsidRDefault="00E655B4">
      <w:pPr>
        <w:pStyle w:val="Corpodetexto"/>
        <w:spacing w:before="156"/>
        <w:ind w:right="995"/>
      </w:pPr>
      <w:r>
        <w:t>Superada a conceituação de renda, fundamental discorrer acerca dos princípios que regem a aplicação do Imposto de Renda. Em relação aos princípios gerais, destacam-se a legalidade, a irretroatividade e a anterioridade. No tocante aos princípios específicos deste tributo, devem ser realçados a periodização anual, a universalidade (unidade) e a progressividade (como efetivação da capacidade econômica).</w:t>
      </w:r>
    </w:p>
    <w:p w:rsidR="007259F2" w:rsidRDefault="00E655B4">
      <w:pPr>
        <w:pStyle w:val="Corpodetexto"/>
        <w:spacing w:before="1"/>
        <w:ind w:right="989"/>
      </w:pPr>
      <w:r>
        <w:t>O</w:t>
      </w:r>
      <w:r>
        <w:rPr>
          <w:spacing w:val="-3"/>
        </w:rPr>
        <w:t xml:space="preserve"> </w:t>
      </w:r>
      <w:r>
        <w:t>princípio</w:t>
      </w:r>
      <w:r>
        <w:rPr>
          <w:spacing w:val="-2"/>
        </w:rPr>
        <w:t xml:space="preserve"> </w:t>
      </w:r>
      <w:r>
        <w:t>da Legalidade</w:t>
      </w:r>
      <w:r>
        <w:rPr>
          <w:spacing w:val="-2"/>
        </w:rPr>
        <w:t xml:space="preserve"> </w:t>
      </w:r>
      <w:r>
        <w:t>está definido</w:t>
      </w:r>
      <w:r>
        <w:rPr>
          <w:spacing w:val="-2"/>
        </w:rPr>
        <w:t xml:space="preserve"> </w:t>
      </w:r>
      <w:r>
        <w:t>na</w:t>
      </w:r>
      <w:r>
        <w:rPr>
          <w:spacing w:val="-1"/>
        </w:rPr>
        <w:t xml:space="preserve"> </w:t>
      </w:r>
      <w:r>
        <w:t>Constituição</w:t>
      </w:r>
      <w:r>
        <w:rPr>
          <w:spacing w:val="-2"/>
        </w:rPr>
        <w:t xml:space="preserve"> </w:t>
      </w:r>
      <w:r>
        <w:t>de</w:t>
      </w:r>
      <w:r>
        <w:rPr>
          <w:spacing w:val="-3"/>
        </w:rPr>
        <w:t xml:space="preserve"> </w:t>
      </w:r>
      <w:r>
        <w:t>1988 em</w:t>
      </w:r>
      <w:r>
        <w:rPr>
          <w:spacing w:val="-1"/>
        </w:rPr>
        <w:t xml:space="preserve"> </w:t>
      </w:r>
      <w:r>
        <w:t>seu</w:t>
      </w:r>
      <w:r>
        <w:rPr>
          <w:spacing w:val="-2"/>
        </w:rPr>
        <w:t xml:space="preserve"> </w:t>
      </w:r>
      <w:r>
        <w:t xml:space="preserve">art. 150, inciso I </w:t>
      </w:r>
      <w:r>
        <w:rPr>
          <w:vertAlign w:val="superscript"/>
        </w:rPr>
        <w:t>39</w:t>
      </w:r>
      <w:r>
        <w:t>, e impõe a necessidade de lei prévia para instituir e majorar tributo proporcionando ao contribuinte uma segurança, bem como impondo ao Estado uma limitação ao seu poder de tributar.</w:t>
      </w:r>
    </w:p>
    <w:p w:rsidR="007259F2" w:rsidRDefault="00E655B4">
      <w:pPr>
        <w:ind w:left="710" w:right="989" w:firstLine="707"/>
        <w:jc w:val="both"/>
        <w:rPr>
          <w:i/>
          <w:sz w:val="24"/>
        </w:rPr>
      </w:pPr>
      <w:r>
        <w:rPr>
          <w:sz w:val="24"/>
        </w:rPr>
        <w:t xml:space="preserve">O princípio da legalidade tributária decorre do princípio da legalidade, contido genericamente no inciso II do art. 5º da Constituição, que estabelece: </w:t>
      </w:r>
      <w:r>
        <w:rPr>
          <w:i/>
          <w:sz w:val="24"/>
        </w:rPr>
        <w:t>“ninguém será obrigado a fazer ou deixar de fazer alguma coisa senão em virtude de lei”.</w:t>
      </w:r>
      <w:r>
        <w:rPr>
          <w:i/>
          <w:sz w:val="24"/>
          <w:vertAlign w:val="superscript"/>
        </w:rPr>
        <w:t>40</w:t>
      </w:r>
      <w:r>
        <w:rPr>
          <w:i/>
          <w:sz w:val="24"/>
        </w:rPr>
        <w:t>.</w:t>
      </w:r>
    </w:p>
    <w:p w:rsidR="007259F2" w:rsidRDefault="00E655B4">
      <w:pPr>
        <w:pStyle w:val="Corpodetexto"/>
        <w:ind w:right="990"/>
      </w:pPr>
      <w:r>
        <w:t>Portanto, para instituir, majorar ou extinguir um tributo se faz imprescindível à criação de uma norma, de outra forma, os entes federados não possuem a discricionariedade de criar tributos sob o que lhes convém. Denota-se a importância e abrangência do princípio da legalidade tributária, que visa proteger o contribuinte da imperatividade estatal, garantindo proteção tanto na instituição como na majoração de um tributo de forma não prejudicial.</w:t>
      </w:r>
    </w:p>
    <w:p w:rsidR="007259F2" w:rsidRDefault="00E655B4">
      <w:pPr>
        <w:pStyle w:val="Corpodetexto"/>
        <w:spacing w:before="1"/>
        <w:ind w:left="1418" w:firstLine="0"/>
      </w:pPr>
      <w:r>
        <w:t>Nas</w:t>
      </w:r>
      <w:r>
        <w:rPr>
          <w:spacing w:val="-2"/>
        </w:rPr>
        <w:t xml:space="preserve"> </w:t>
      </w:r>
      <w:r>
        <w:t>palavras</w:t>
      </w:r>
      <w:r>
        <w:rPr>
          <w:spacing w:val="-2"/>
        </w:rPr>
        <w:t xml:space="preserve"> </w:t>
      </w:r>
      <w:r>
        <w:t>de</w:t>
      </w:r>
      <w:r>
        <w:rPr>
          <w:spacing w:val="-2"/>
        </w:rPr>
        <w:t xml:space="preserve"> </w:t>
      </w:r>
      <w:r>
        <w:t>Luciano</w:t>
      </w:r>
      <w:r>
        <w:rPr>
          <w:spacing w:val="-13"/>
        </w:rPr>
        <w:t xml:space="preserve"> </w:t>
      </w:r>
      <w:r>
        <w:rPr>
          <w:spacing w:val="-2"/>
        </w:rPr>
        <w:t>Amaro:</w:t>
      </w:r>
      <w:r>
        <w:rPr>
          <w:spacing w:val="-2"/>
          <w:vertAlign w:val="superscript"/>
        </w:rPr>
        <w:t>41</w:t>
      </w:r>
    </w:p>
    <w:p w:rsidR="007259F2" w:rsidRDefault="007259F2">
      <w:pPr>
        <w:pStyle w:val="Corpodetexto"/>
        <w:spacing w:before="1"/>
        <w:ind w:left="0" w:firstLine="0"/>
        <w:jc w:val="left"/>
      </w:pPr>
    </w:p>
    <w:p w:rsidR="007259F2" w:rsidRDefault="00E655B4">
      <w:pPr>
        <w:ind w:left="2978" w:right="986"/>
        <w:jc w:val="both"/>
        <w:rPr>
          <w:sz w:val="20"/>
        </w:rPr>
      </w:pPr>
      <w:r>
        <w:rPr>
          <w:sz w:val="20"/>
        </w:rPr>
        <w:t>O conteúdo do princípio da legalidade tributária vai além da simples autorização do legislativo para que o estado cobre tal ou qual o tributo. É mister que a lei defina in abstracto todos os aspectos relevantes para que, in concreto, se possa determinar quem terá de pagar, quanto, a quem, à vista de que</w:t>
      </w:r>
      <w:r>
        <w:rPr>
          <w:spacing w:val="-10"/>
          <w:sz w:val="20"/>
        </w:rPr>
        <w:t xml:space="preserve"> </w:t>
      </w:r>
      <w:r>
        <w:rPr>
          <w:sz w:val="20"/>
        </w:rPr>
        <w:t>fatos</w:t>
      </w:r>
      <w:r>
        <w:rPr>
          <w:spacing w:val="-10"/>
          <w:sz w:val="20"/>
        </w:rPr>
        <w:t xml:space="preserve"> </w:t>
      </w:r>
      <w:r>
        <w:rPr>
          <w:sz w:val="20"/>
        </w:rPr>
        <w:t>ou</w:t>
      </w:r>
      <w:r>
        <w:rPr>
          <w:spacing w:val="-11"/>
          <w:sz w:val="20"/>
        </w:rPr>
        <w:t xml:space="preserve"> </w:t>
      </w:r>
      <w:r>
        <w:rPr>
          <w:sz w:val="20"/>
        </w:rPr>
        <w:t>circunstâncias.</w:t>
      </w:r>
      <w:r>
        <w:rPr>
          <w:spacing w:val="-7"/>
          <w:sz w:val="20"/>
        </w:rPr>
        <w:t xml:space="preserve"> </w:t>
      </w:r>
      <w:r>
        <w:rPr>
          <w:sz w:val="20"/>
        </w:rPr>
        <w:t>A</w:t>
      </w:r>
      <w:r>
        <w:rPr>
          <w:spacing w:val="-5"/>
          <w:sz w:val="20"/>
        </w:rPr>
        <w:t xml:space="preserve"> </w:t>
      </w:r>
      <w:r>
        <w:rPr>
          <w:sz w:val="20"/>
        </w:rPr>
        <w:t>lei</w:t>
      </w:r>
      <w:r>
        <w:rPr>
          <w:spacing w:val="-10"/>
          <w:sz w:val="20"/>
        </w:rPr>
        <w:t xml:space="preserve"> </w:t>
      </w:r>
      <w:r>
        <w:rPr>
          <w:sz w:val="20"/>
        </w:rPr>
        <w:t>deve</w:t>
      </w:r>
      <w:r>
        <w:rPr>
          <w:spacing w:val="-2"/>
          <w:sz w:val="20"/>
        </w:rPr>
        <w:t xml:space="preserve"> </w:t>
      </w:r>
      <w:r>
        <w:rPr>
          <w:sz w:val="20"/>
        </w:rPr>
        <w:t>esgotar,</w:t>
      </w:r>
      <w:r>
        <w:rPr>
          <w:spacing w:val="-2"/>
          <w:sz w:val="20"/>
        </w:rPr>
        <w:t xml:space="preserve"> </w:t>
      </w:r>
      <w:r>
        <w:rPr>
          <w:sz w:val="20"/>
        </w:rPr>
        <w:t>como</w:t>
      </w:r>
      <w:r>
        <w:rPr>
          <w:spacing w:val="-1"/>
          <w:sz w:val="20"/>
        </w:rPr>
        <w:t xml:space="preserve"> </w:t>
      </w:r>
      <w:r>
        <w:rPr>
          <w:sz w:val="20"/>
        </w:rPr>
        <w:t>preceito</w:t>
      </w:r>
      <w:r>
        <w:rPr>
          <w:spacing w:val="-2"/>
          <w:sz w:val="20"/>
        </w:rPr>
        <w:t xml:space="preserve"> </w:t>
      </w:r>
      <w:r>
        <w:rPr>
          <w:sz w:val="20"/>
        </w:rPr>
        <w:t>geral</w:t>
      </w:r>
      <w:r>
        <w:rPr>
          <w:spacing w:val="-5"/>
          <w:sz w:val="20"/>
        </w:rPr>
        <w:t xml:space="preserve"> </w:t>
      </w:r>
      <w:r>
        <w:rPr>
          <w:sz w:val="20"/>
        </w:rPr>
        <w:t>e</w:t>
      </w:r>
      <w:r>
        <w:rPr>
          <w:spacing w:val="-5"/>
          <w:sz w:val="20"/>
        </w:rPr>
        <w:t xml:space="preserve"> </w:t>
      </w:r>
      <w:r>
        <w:rPr>
          <w:sz w:val="20"/>
        </w:rPr>
        <w:t>abstrato, os dados necessários à identificação do fato gerador da obrigação tributária e</w:t>
      </w:r>
      <w:r>
        <w:rPr>
          <w:spacing w:val="40"/>
          <w:sz w:val="20"/>
        </w:rPr>
        <w:t xml:space="preserve"> </w:t>
      </w:r>
      <w:r>
        <w:rPr>
          <w:sz w:val="20"/>
        </w:rPr>
        <w:t>a quantificação do tributo, sem que restem à autoridade poderes para, discricionariamente, determinar se “A” irá ou não pagar tributo, em face de determinada situação. Os critérios que definiram se “A” deve ou não contribuir, ou que montante está para obrigado a recolher, devem figurar na lei e não no juízo de conveniência ou oportunidade do administrador público.</w:t>
      </w:r>
    </w:p>
    <w:p w:rsidR="007259F2" w:rsidRDefault="00E655B4">
      <w:pPr>
        <w:pStyle w:val="Corpodetexto"/>
        <w:spacing w:before="229"/>
        <w:ind w:right="990"/>
      </w:pPr>
      <w:r>
        <w:t>A</w:t>
      </w:r>
      <w:r>
        <w:rPr>
          <w:spacing w:val="-6"/>
        </w:rPr>
        <w:t xml:space="preserve"> </w:t>
      </w:r>
      <w:r>
        <w:t>constituição de 1988 consagra o princípio da irretroatividade de forma ampla, como direito fundamental do cidadão (art. 5º, XXXVI) e de maneira específica, como direito fundamental do contribuinte em seu art. 150, inciso III, alínea “a”. Consagra, ainda, o princípio da anterioridade em seu art. 150, III, alínea “b” e “c”.</w:t>
      </w:r>
    </w:p>
    <w:p w:rsidR="007259F2" w:rsidRDefault="00E655B4">
      <w:pPr>
        <w:pStyle w:val="Corpodetexto"/>
        <w:spacing w:before="1"/>
        <w:ind w:right="1000"/>
      </w:pPr>
      <w:r>
        <w:t>Segundo o princípio da irretroatividade, a lei deve compreender fatos geradores posteriores</w:t>
      </w:r>
      <w:r>
        <w:rPr>
          <w:spacing w:val="69"/>
        </w:rPr>
        <w:t xml:space="preserve"> </w:t>
      </w:r>
      <w:r>
        <w:t>à</w:t>
      </w:r>
      <w:r>
        <w:rPr>
          <w:spacing w:val="70"/>
        </w:rPr>
        <w:t xml:space="preserve"> </w:t>
      </w:r>
      <w:r>
        <w:t>sua</w:t>
      </w:r>
      <w:r>
        <w:rPr>
          <w:spacing w:val="69"/>
        </w:rPr>
        <w:t xml:space="preserve"> </w:t>
      </w:r>
      <w:r>
        <w:t>edição</w:t>
      </w:r>
      <w:r>
        <w:rPr>
          <w:spacing w:val="71"/>
        </w:rPr>
        <w:t xml:space="preserve"> </w:t>
      </w:r>
      <w:r>
        <w:t>e,</w:t>
      </w:r>
      <w:r>
        <w:rPr>
          <w:spacing w:val="71"/>
        </w:rPr>
        <w:t xml:space="preserve"> </w:t>
      </w:r>
      <w:r>
        <w:t>portanto,</w:t>
      </w:r>
      <w:r>
        <w:rPr>
          <w:spacing w:val="71"/>
        </w:rPr>
        <w:t xml:space="preserve"> </w:t>
      </w:r>
      <w:r>
        <w:t>não</w:t>
      </w:r>
      <w:r>
        <w:rPr>
          <w:spacing w:val="71"/>
        </w:rPr>
        <w:t xml:space="preserve"> </w:t>
      </w:r>
      <w:r>
        <w:t>pode</w:t>
      </w:r>
      <w:r>
        <w:rPr>
          <w:spacing w:val="70"/>
        </w:rPr>
        <w:t xml:space="preserve"> </w:t>
      </w:r>
      <w:r>
        <w:t>retroceder</w:t>
      </w:r>
      <w:r>
        <w:rPr>
          <w:spacing w:val="70"/>
        </w:rPr>
        <w:t xml:space="preserve"> </w:t>
      </w:r>
      <w:r>
        <w:t>para</w:t>
      </w:r>
      <w:r>
        <w:rPr>
          <w:spacing w:val="70"/>
        </w:rPr>
        <w:t xml:space="preserve"> </w:t>
      </w:r>
      <w:r>
        <w:t>abranger</w:t>
      </w:r>
      <w:r>
        <w:rPr>
          <w:spacing w:val="71"/>
        </w:rPr>
        <w:t xml:space="preserve"> </w:t>
      </w:r>
      <w:r>
        <w:rPr>
          <w:spacing w:val="-2"/>
        </w:rPr>
        <w:t>situações</w:t>
      </w:r>
    </w:p>
    <w:p w:rsidR="007259F2" w:rsidRDefault="007259F2">
      <w:pPr>
        <w:pStyle w:val="Corpodetexto"/>
        <w:ind w:left="0" w:firstLine="0"/>
        <w:jc w:val="left"/>
        <w:rPr>
          <w:sz w:val="20"/>
        </w:rPr>
      </w:pPr>
    </w:p>
    <w:p w:rsidR="007259F2" w:rsidRDefault="00DE6B1C">
      <w:pPr>
        <w:pStyle w:val="Corpodetexto"/>
        <w:spacing w:before="30"/>
        <w:ind w:left="0" w:firstLine="0"/>
        <w:jc w:val="left"/>
        <w:rPr>
          <w:sz w:val="20"/>
        </w:rPr>
      </w:pPr>
      <w:r w:rsidRPr="00DE6B1C">
        <w:rPr>
          <w:sz w:val="20"/>
        </w:rPr>
        <w:pict>
          <v:rect id="docshape83" o:spid="_x0000_s1143" style="position:absolute;margin-left:85.1pt;margin-top:14.2pt;width:2in;height:.7pt;z-index:-15694336;mso-wrap-distance-left:0;mso-wrap-distance-right:0;mso-position-horizontal-relative:page" fillcolor="black" stroked="f">
            <w10:wrap type="topAndBottom" anchorx="page"/>
          </v:rect>
        </w:pict>
      </w:r>
    </w:p>
    <w:p w:rsidR="007259F2" w:rsidRDefault="00E655B4">
      <w:pPr>
        <w:spacing w:before="96"/>
        <w:ind w:left="710"/>
        <w:rPr>
          <w:sz w:val="20"/>
        </w:rPr>
      </w:pPr>
      <w:r>
        <w:rPr>
          <w:sz w:val="20"/>
          <w:vertAlign w:val="superscript"/>
        </w:rPr>
        <w:t>38</w:t>
      </w:r>
      <w:r>
        <w:rPr>
          <w:spacing w:val="-4"/>
          <w:sz w:val="20"/>
        </w:rPr>
        <w:t xml:space="preserve"> </w:t>
      </w:r>
      <w:r>
        <w:rPr>
          <w:sz w:val="20"/>
        </w:rPr>
        <w:t>BARRETO,</w:t>
      </w:r>
      <w:r>
        <w:rPr>
          <w:spacing w:val="-2"/>
          <w:sz w:val="20"/>
        </w:rPr>
        <w:t xml:space="preserve"> </w:t>
      </w:r>
      <w:r>
        <w:rPr>
          <w:i/>
          <w:sz w:val="20"/>
        </w:rPr>
        <w:t>op.</w:t>
      </w:r>
      <w:r>
        <w:rPr>
          <w:i/>
          <w:spacing w:val="-5"/>
          <w:sz w:val="20"/>
        </w:rPr>
        <w:t xml:space="preserve"> </w:t>
      </w:r>
      <w:r>
        <w:rPr>
          <w:i/>
          <w:sz w:val="20"/>
        </w:rPr>
        <w:t>cit.,</w:t>
      </w:r>
      <w:r>
        <w:rPr>
          <w:i/>
          <w:spacing w:val="-2"/>
          <w:sz w:val="20"/>
        </w:rPr>
        <w:t xml:space="preserve"> </w:t>
      </w:r>
      <w:r>
        <w:rPr>
          <w:sz w:val="20"/>
        </w:rPr>
        <w:t>2001,</w:t>
      </w:r>
      <w:r>
        <w:rPr>
          <w:spacing w:val="-5"/>
          <w:sz w:val="20"/>
        </w:rPr>
        <w:t xml:space="preserve"> </w:t>
      </w:r>
      <w:r>
        <w:rPr>
          <w:sz w:val="20"/>
        </w:rPr>
        <w:t>p.</w:t>
      </w:r>
      <w:r>
        <w:rPr>
          <w:spacing w:val="-5"/>
          <w:sz w:val="20"/>
        </w:rPr>
        <w:t xml:space="preserve"> 74.</w:t>
      </w:r>
    </w:p>
    <w:p w:rsidR="007259F2" w:rsidRDefault="00E655B4">
      <w:pPr>
        <w:spacing w:before="1"/>
        <w:ind w:left="710" w:right="990"/>
        <w:rPr>
          <w:sz w:val="20"/>
        </w:rPr>
      </w:pPr>
      <w:r>
        <w:rPr>
          <w:sz w:val="20"/>
          <w:vertAlign w:val="superscript"/>
        </w:rPr>
        <w:t>39</w:t>
      </w:r>
      <w:r>
        <w:rPr>
          <w:sz w:val="20"/>
        </w:rPr>
        <w:t xml:space="preserve"> Art. 150. Sem prejuízo de outras garantias asseguradas ao contribuinte, é vedado à União, aos Estados, ao Distrito Federal e aos Municípios: I - exigir ou aumentar tributo sem lei que o estabeleça”</w:t>
      </w:r>
    </w:p>
    <w:p w:rsidR="007259F2" w:rsidRDefault="00E655B4">
      <w:pPr>
        <w:spacing w:before="1"/>
        <w:ind w:left="710"/>
        <w:rPr>
          <w:sz w:val="20"/>
        </w:rPr>
      </w:pPr>
      <w:r>
        <w:rPr>
          <w:sz w:val="20"/>
          <w:vertAlign w:val="superscript"/>
        </w:rPr>
        <w:t>40</w:t>
      </w:r>
      <w:r>
        <w:rPr>
          <w:spacing w:val="-6"/>
          <w:sz w:val="20"/>
        </w:rPr>
        <w:t xml:space="preserve"> </w:t>
      </w:r>
      <w:r>
        <w:rPr>
          <w:sz w:val="20"/>
        </w:rPr>
        <w:t>BRASIL,</w:t>
      </w:r>
      <w:r>
        <w:rPr>
          <w:spacing w:val="-5"/>
          <w:sz w:val="20"/>
        </w:rPr>
        <w:t xml:space="preserve"> </w:t>
      </w:r>
      <w:r>
        <w:rPr>
          <w:spacing w:val="-2"/>
          <w:sz w:val="20"/>
        </w:rPr>
        <w:t>1988.</w:t>
      </w:r>
    </w:p>
    <w:p w:rsidR="007259F2" w:rsidRDefault="00E655B4">
      <w:pPr>
        <w:ind w:left="710"/>
        <w:rPr>
          <w:sz w:val="20"/>
        </w:rPr>
      </w:pPr>
      <w:r>
        <w:rPr>
          <w:sz w:val="20"/>
          <w:vertAlign w:val="superscript"/>
        </w:rPr>
        <w:t>41</w:t>
      </w:r>
      <w:r>
        <w:rPr>
          <w:spacing w:val="-4"/>
          <w:sz w:val="20"/>
        </w:rPr>
        <w:t xml:space="preserve"> </w:t>
      </w:r>
      <w:r>
        <w:rPr>
          <w:sz w:val="20"/>
        </w:rPr>
        <w:t>AMARO,</w:t>
      </w:r>
      <w:r>
        <w:rPr>
          <w:spacing w:val="-4"/>
          <w:sz w:val="20"/>
        </w:rPr>
        <w:t xml:space="preserve"> </w:t>
      </w:r>
      <w:r>
        <w:rPr>
          <w:i/>
          <w:sz w:val="20"/>
        </w:rPr>
        <w:t>op.</w:t>
      </w:r>
      <w:r>
        <w:rPr>
          <w:i/>
          <w:spacing w:val="-3"/>
          <w:sz w:val="20"/>
        </w:rPr>
        <w:t xml:space="preserve"> </w:t>
      </w:r>
      <w:r>
        <w:rPr>
          <w:i/>
          <w:sz w:val="20"/>
        </w:rPr>
        <w:t>cit</w:t>
      </w:r>
      <w:r>
        <w:rPr>
          <w:sz w:val="20"/>
        </w:rPr>
        <w:t>.,</w:t>
      </w:r>
      <w:r>
        <w:rPr>
          <w:spacing w:val="-4"/>
          <w:sz w:val="20"/>
        </w:rPr>
        <w:t xml:space="preserve"> </w:t>
      </w:r>
      <w:r>
        <w:rPr>
          <w:sz w:val="20"/>
        </w:rPr>
        <w:t>2015,</w:t>
      </w:r>
      <w:r>
        <w:rPr>
          <w:spacing w:val="-4"/>
          <w:sz w:val="20"/>
        </w:rPr>
        <w:t xml:space="preserve"> </w:t>
      </w:r>
      <w:r>
        <w:rPr>
          <w:spacing w:val="-2"/>
          <w:sz w:val="20"/>
        </w:rPr>
        <w:t>p.134.</w:t>
      </w:r>
    </w:p>
    <w:p w:rsidR="007259F2" w:rsidRDefault="007259F2">
      <w:pPr>
        <w:rPr>
          <w:sz w:val="20"/>
        </w:rPr>
        <w:sectPr w:rsidR="007259F2">
          <w:pgSz w:w="11910" w:h="16840"/>
          <w:pgMar w:top="1320" w:right="708" w:bottom="1160" w:left="992" w:header="0" w:footer="962" w:gutter="0"/>
          <w:cols w:space="720"/>
        </w:sectPr>
      </w:pPr>
    </w:p>
    <w:p w:rsidR="007259F2" w:rsidRDefault="00E655B4">
      <w:pPr>
        <w:pStyle w:val="Corpodetexto"/>
        <w:spacing w:before="69"/>
        <w:ind w:right="999" w:firstLine="0"/>
      </w:pPr>
      <w:r>
        <w:lastRenderedPageBreak/>
        <w:t>passadas. Dessa forma, deverá</w:t>
      </w:r>
      <w:r>
        <w:rPr>
          <w:spacing w:val="-1"/>
        </w:rPr>
        <w:t xml:space="preserve"> </w:t>
      </w:r>
      <w:r>
        <w:t>ser aplicada a lei vigente no momento do fato gerador do Imposto de Renda.</w:t>
      </w:r>
    </w:p>
    <w:p w:rsidR="007259F2" w:rsidRDefault="00E655B4">
      <w:pPr>
        <w:spacing w:before="1"/>
        <w:ind w:left="710" w:right="988" w:firstLine="707"/>
        <w:jc w:val="both"/>
        <w:rPr>
          <w:i/>
          <w:sz w:val="24"/>
        </w:rPr>
      </w:pPr>
      <w:r>
        <w:rPr>
          <w:sz w:val="24"/>
        </w:rPr>
        <w:t>Enfatiza Láudio Camargo Fabretti</w:t>
      </w:r>
      <w:r>
        <w:rPr>
          <w:sz w:val="24"/>
          <w:vertAlign w:val="superscript"/>
        </w:rPr>
        <w:t>42</w:t>
      </w:r>
      <w:r>
        <w:rPr>
          <w:sz w:val="24"/>
        </w:rPr>
        <w:t xml:space="preserve"> que </w:t>
      </w:r>
      <w:r>
        <w:rPr>
          <w:i/>
          <w:sz w:val="24"/>
        </w:rPr>
        <w:t>“a lei aplica-se somente aos fatos que ocorreram após a sua entrada em vigor. Não pode retroagir para alcançar fatos já ocorridos na vigência da lei anterior, pela qual se regem”.</w:t>
      </w:r>
    </w:p>
    <w:p w:rsidR="007259F2" w:rsidRDefault="00E655B4">
      <w:pPr>
        <w:pStyle w:val="Corpodetexto"/>
        <w:ind w:right="992"/>
      </w:pPr>
      <w:r>
        <w:t>O Código Tributário Nacional, em seu art. 105, afirma que os conteúdos de novas legislações serão aplicados somente aos fatos geradores</w:t>
      </w:r>
      <w:r>
        <w:rPr>
          <w:vertAlign w:val="superscript"/>
        </w:rPr>
        <w:t>43</w:t>
      </w:r>
      <w:r>
        <w:t xml:space="preserve"> posteriores.</w:t>
      </w:r>
    </w:p>
    <w:p w:rsidR="007259F2" w:rsidRDefault="00E655B4">
      <w:pPr>
        <w:pStyle w:val="Corpodetexto"/>
        <w:ind w:right="992"/>
      </w:pPr>
      <w:r>
        <w:t>Entretanto, quando tratamos do imposto de renda, à luz dos princípios da anualidade e irretroatividade da lei tributária, ocorreria à retroatividade da lei tributária uma vez que o referido imposto utiliza como fato gerador fatos pretéritos (auferir renda no ano anterior, ou ano-base).</w:t>
      </w:r>
    </w:p>
    <w:p w:rsidR="007259F2" w:rsidRDefault="00E655B4">
      <w:pPr>
        <w:pStyle w:val="Corpodetexto"/>
        <w:ind w:right="988"/>
      </w:pPr>
      <w:r>
        <w:t>No caso do Imposto de Renda, o “</w:t>
      </w:r>
      <w:r>
        <w:rPr>
          <w:i/>
        </w:rPr>
        <w:t>ano-base</w:t>
      </w:r>
      <w:r>
        <w:t>” é aquele em que o contribuinte aufere a renda, e “</w:t>
      </w:r>
      <w:r>
        <w:rPr>
          <w:i/>
        </w:rPr>
        <w:t>ano de exercício</w:t>
      </w:r>
      <w:r>
        <w:t>” equivale ao ano seguinte, quando o mesmo deverá declarar os rendimentos percebidos no lapso temporal de 01 de janeiro a 31 de</w:t>
      </w:r>
      <w:r>
        <w:rPr>
          <w:spacing w:val="40"/>
        </w:rPr>
        <w:t xml:space="preserve"> </w:t>
      </w:r>
      <w:r>
        <w:t>dezembro do ano anterior (“</w:t>
      </w:r>
      <w:r>
        <w:rPr>
          <w:i/>
        </w:rPr>
        <w:t>ano-base</w:t>
      </w:r>
      <w:r>
        <w:t>”).</w:t>
      </w:r>
    </w:p>
    <w:p w:rsidR="007259F2" w:rsidRDefault="00E655B4">
      <w:pPr>
        <w:pStyle w:val="Corpodetexto"/>
        <w:spacing w:before="1"/>
        <w:ind w:left="1418" w:firstLine="0"/>
      </w:pPr>
      <w:r>
        <w:t>Todavia,</w:t>
      </w:r>
      <w:r>
        <w:rPr>
          <w:spacing w:val="-13"/>
        </w:rPr>
        <w:t xml:space="preserve"> </w:t>
      </w:r>
      <w:r>
        <w:t>para</w:t>
      </w:r>
      <w:r>
        <w:rPr>
          <w:spacing w:val="-16"/>
        </w:rPr>
        <w:t xml:space="preserve"> </w:t>
      </w:r>
      <w:r>
        <w:t>Aliomar</w:t>
      </w:r>
      <w:r>
        <w:rPr>
          <w:spacing w:val="-6"/>
        </w:rPr>
        <w:t xml:space="preserve"> </w:t>
      </w:r>
      <w:r>
        <w:rPr>
          <w:spacing w:val="-2"/>
        </w:rPr>
        <w:t>Baleeiro:</w:t>
      </w:r>
    </w:p>
    <w:p w:rsidR="007259F2" w:rsidRDefault="007259F2">
      <w:pPr>
        <w:pStyle w:val="Corpodetexto"/>
        <w:spacing w:before="1"/>
        <w:ind w:left="0" w:firstLine="0"/>
        <w:jc w:val="left"/>
      </w:pPr>
    </w:p>
    <w:p w:rsidR="007259F2" w:rsidRDefault="00E655B4">
      <w:pPr>
        <w:ind w:left="2978" w:right="989"/>
        <w:jc w:val="both"/>
        <w:rPr>
          <w:sz w:val="20"/>
        </w:rPr>
      </w:pPr>
      <w:r>
        <w:rPr>
          <w:sz w:val="20"/>
        </w:rPr>
        <w:t>(...) o princípio da irretroatividade está conjugado ao da anterioridade. E a anterioridade, segundo o Supremo Tribunal Federal, adia a eficácia (ou a vigência) da lei para exercício financeiro subsequente àquele em que foi publicada. Portanto, lei nova, majoradora do imposto de renda da pessoa física</w:t>
      </w:r>
      <w:r>
        <w:rPr>
          <w:spacing w:val="-2"/>
          <w:sz w:val="20"/>
        </w:rPr>
        <w:t xml:space="preserve"> </w:t>
      </w:r>
      <w:r>
        <w:rPr>
          <w:sz w:val="20"/>
        </w:rPr>
        <w:t>ou</w:t>
      </w:r>
      <w:r>
        <w:rPr>
          <w:spacing w:val="-3"/>
          <w:sz w:val="20"/>
        </w:rPr>
        <w:t xml:space="preserve"> </w:t>
      </w:r>
      <w:r>
        <w:rPr>
          <w:sz w:val="20"/>
        </w:rPr>
        <w:t>jurídica,</w:t>
      </w:r>
      <w:r>
        <w:rPr>
          <w:spacing w:val="-2"/>
          <w:sz w:val="20"/>
        </w:rPr>
        <w:t xml:space="preserve"> </w:t>
      </w:r>
      <w:r>
        <w:rPr>
          <w:sz w:val="20"/>
        </w:rPr>
        <w:t>publicada</w:t>
      </w:r>
      <w:r>
        <w:rPr>
          <w:spacing w:val="-3"/>
          <w:sz w:val="20"/>
        </w:rPr>
        <w:t xml:space="preserve"> </w:t>
      </w:r>
      <w:r>
        <w:rPr>
          <w:sz w:val="20"/>
        </w:rPr>
        <w:t>antes</w:t>
      </w:r>
      <w:r>
        <w:rPr>
          <w:spacing w:val="-3"/>
          <w:sz w:val="20"/>
        </w:rPr>
        <w:t xml:space="preserve"> </w:t>
      </w:r>
      <w:r>
        <w:rPr>
          <w:sz w:val="20"/>
        </w:rPr>
        <w:t>do</w:t>
      </w:r>
      <w:r>
        <w:rPr>
          <w:spacing w:val="-2"/>
          <w:sz w:val="20"/>
        </w:rPr>
        <w:t xml:space="preserve"> </w:t>
      </w:r>
      <w:r>
        <w:rPr>
          <w:sz w:val="20"/>
        </w:rPr>
        <w:t>encerramento</w:t>
      </w:r>
      <w:r>
        <w:rPr>
          <w:spacing w:val="-2"/>
          <w:sz w:val="20"/>
        </w:rPr>
        <w:t xml:space="preserve"> </w:t>
      </w:r>
      <w:r>
        <w:rPr>
          <w:sz w:val="20"/>
        </w:rPr>
        <w:t>do</w:t>
      </w:r>
      <w:r>
        <w:rPr>
          <w:spacing w:val="-2"/>
          <w:sz w:val="20"/>
        </w:rPr>
        <w:t xml:space="preserve"> </w:t>
      </w:r>
      <w:r>
        <w:rPr>
          <w:sz w:val="20"/>
        </w:rPr>
        <w:t>ano-base,</w:t>
      </w:r>
      <w:r>
        <w:rPr>
          <w:spacing w:val="-3"/>
          <w:sz w:val="20"/>
        </w:rPr>
        <w:t xml:space="preserve"> </w:t>
      </w:r>
      <w:r>
        <w:rPr>
          <w:sz w:val="20"/>
        </w:rPr>
        <w:t>somente</w:t>
      </w:r>
      <w:r>
        <w:rPr>
          <w:spacing w:val="-3"/>
          <w:sz w:val="20"/>
        </w:rPr>
        <w:t xml:space="preserve"> </w:t>
      </w:r>
      <w:r>
        <w:rPr>
          <w:sz w:val="20"/>
        </w:rPr>
        <w:t>será vigente e eficaz no exercício financeiro seguinte, quando encontrará o fato gerador do ano anterior inteiramente consumado.</w:t>
      </w:r>
      <w:r>
        <w:rPr>
          <w:sz w:val="20"/>
          <w:vertAlign w:val="superscript"/>
        </w:rPr>
        <w:t>44</w:t>
      </w:r>
    </w:p>
    <w:p w:rsidR="007259F2" w:rsidRDefault="007259F2">
      <w:pPr>
        <w:pStyle w:val="Corpodetexto"/>
        <w:spacing w:before="21"/>
        <w:ind w:left="0" w:firstLine="0"/>
        <w:jc w:val="left"/>
        <w:rPr>
          <w:sz w:val="20"/>
        </w:rPr>
      </w:pPr>
    </w:p>
    <w:p w:rsidR="007259F2" w:rsidRDefault="00E655B4">
      <w:pPr>
        <w:pStyle w:val="Corpodetexto"/>
        <w:spacing w:before="1"/>
        <w:ind w:right="991"/>
      </w:pPr>
      <w:r>
        <w:t>Dessa forma, quando fazemos referência ao imposto de renda, será aplicada a lei vigente, não obstante que haja sido publicada antes do encerramento do ano-base, que servirá de fato gerador para o exercício seguinte.</w:t>
      </w:r>
    </w:p>
    <w:p w:rsidR="007259F2" w:rsidRDefault="00E655B4">
      <w:pPr>
        <w:pStyle w:val="Corpodetexto"/>
        <w:ind w:right="987"/>
      </w:pPr>
      <w:r>
        <w:t>O</w:t>
      </w:r>
      <w:r>
        <w:rPr>
          <w:spacing w:val="-3"/>
        </w:rPr>
        <w:t xml:space="preserve"> </w:t>
      </w:r>
      <w:r>
        <w:t>princípio</w:t>
      </w:r>
      <w:r>
        <w:rPr>
          <w:spacing w:val="-2"/>
        </w:rPr>
        <w:t xml:space="preserve"> </w:t>
      </w:r>
      <w:r>
        <w:t>da anterioridade, tem</w:t>
      </w:r>
      <w:r>
        <w:rPr>
          <w:spacing w:val="-2"/>
        </w:rPr>
        <w:t xml:space="preserve"> </w:t>
      </w:r>
      <w:r>
        <w:t>o condão de adiar</w:t>
      </w:r>
      <w:r>
        <w:rPr>
          <w:spacing w:val="-1"/>
        </w:rPr>
        <w:t xml:space="preserve"> </w:t>
      </w:r>
      <w:r>
        <w:t>a</w:t>
      </w:r>
      <w:r>
        <w:rPr>
          <w:spacing w:val="-3"/>
        </w:rPr>
        <w:t xml:space="preserve"> </w:t>
      </w:r>
      <w:r>
        <w:t>vigência de</w:t>
      </w:r>
      <w:r>
        <w:rPr>
          <w:spacing w:val="-1"/>
        </w:rPr>
        <w:t xml:space="preserve"> </w:t>
      </w:r>
      <w:r>
        <w:t>lei, que cria</w:t>
      </w:r>
      <w:r>
        <w:rPr>
          <w:spacing w:val="-4"/>
        </w:rPr>
        <w:t xml:space="preserve"> </w:t>
      </w:r>
      <w:r>
        <w:t>ou majora um tributo, sendo inoperantes no mesmo exercício financeiro em que haja sido publicada a lei ou antes de decorridos noventa dias da data da publicação.</w:t>
      </w:r>
      <w:r>
        <w:rPr>
          <w:vertAlign w:val="superscript"/>
        </w:rPr>
        <w:t>45</w:t>
      </w:r>
      <w:r>
        <w:t xml:space="preserve"> Não resta dúvida, inclusive a luz da jurisprudência dos Tribunais Superiores, de que o citado princípio impede, desde logo, a vigência ou eficácia da lei tributária.</w:t>
      </w:r>
      <w:r>
        <w:rPr>
          <w:vertAlign w:val="superscript"/>
        </w:rPr>
        <w:t>46</w:t>
      </w:r>
    </w:p>
    <w:p w:rsidR="007259F2" w:rsidRDefault="00E655B4">
      <w:pPr>
        <w:pStyle w:val="Corpodetexto"/>
        <w:ind w:right="989"/>
      </w:pPr>
      <w:r>
        <w:t>Quando, nos impostos periódicos, grupo que se enquadra o Imposto de Renda, advém lei nova, que majora o imposto, mesmo antes do encerramento do ano-base para cobrança do tributo, a conciliação dos princípios da anterioridade e da irretroatividade torna-se obstáculo para a aplicação da lei no mesmo ano de sua publicação.</w:t>
      </w:r>
    </w:p>
    <w:p w:rsidR="007259F2" w:rsidRDefault="00E655B4">
      <w:pPr>
        <w:pStyle w:val="Corpodetexto"/>
        <w:ind w:left="1418" w:firstLine="0"/>
      </w:pPr>
      <w:r>
        <w:t>Portanto,</w:t>
      </w:r>
      <w:r>
        <w:rPr>
          <w:spacing w:val="-11"/>
        </w:rPr>
        <w:t xml:space="preserve"> </w:t>
      </w:r>
      <w:r>
        <w:t>conforme</w:t>
      </w:r>
      <w:r>
        <w:rPr>
          <w:spacing w:val="-5"/>
        </w:rPr>
        <w:t xml:space="preserve"> </w:t>
      </w:r>
      <w:r>
        <w:t>conclui</w:t>
      </w:r>
      <w:r>
        <w:rPr>
          <w:spacing w:val="-2"/>
        </w:rPr>
        <w:t xml:space="preserve"> </w:t>
      </w:r>
      <w:r>
        <w:t>Luciano</w:t>
      </w:r>
      <w:r>
        <w:rPr>
          <w:spacing w:val="-19"/>
        </w:rPr>
        <w:t xml:space="preserve"> </w:t>
      </w:r>
      <w:r>
        <w:rPr>
          <w:spacing w:val="-2"/>
        </w:rPr>
        <w:t>Amaro:</w:t>
      </w:r>
    </w:p>
    <w:p w:rsidR="007259F2" w:rsidRDefault="00E655B4">
      <w:pPr>
        <w:spacing w:before="203"/>
        <w:ind w:left="2978" w:right="988"/>
        <w:jc w:val="both"/>
        <w:rPr>
          <w:sz w:val="20"/>
        </w:rPr>
      </w:pPr>
      <w:r>
        <w:rPr>
          <w:sz w:val="20"/>
        </w:rPr>
        <w:t>A conjugação dos princípios da irretroatividade e da anterioridade leva, em relação ao imposto de renda como fato gerador periódico, à inaplicabilidade da</w:t>
      </w:r>
      <w:r>
        <w:rPr>
          <w:spacing w:val="8"/>
          <w:sz w:val="20"/>
        </w:rPr>
        <w:t xml:space="preserve"> </w:t>
      </w:r>
      <w:r>
        <w:rPr>
          <w:sz w:val="20"/>
        </w:rPr>
        <w:t>lei</w:t>
      </w:r>
      <w:r>
        <w:rPr>
          <w:spacing w:val="9"/>
          <w:sz w:val="20"/>
        </w:rPr>
        <w:t xml:space="preserve"> </w:t>
      </w:r>
      <w:r>
        <w:rPr>
          <w:sz w:val="20"/>
        </w:rPr>
        <w:t>editada</w:t>
      </w:r>
      <w:r>
        <w:rPr>
          <w:spacing w:val="9"/>
          <w:sz w:val="20"/>
        </w:rPr>
        <w:t xml:space="preserve"> </w:t>
      </w:r>
      <w:r>
        <w:rPr>
          <w:sz w:val="20"/>
        </w:rPr>
        <w:t>no</w:t>
      </w:r>
      <w:r>
        <w:rPr>
          <w:spacing w:val="10"/>
          <w:sz w:val="20"/>
        </w:rPr>
        <w:t xml:space="preserve"> </w:t>
      </w:r>
      <w:r>
        <w:rPr>
          <w:sz w:val="20"/>
        </w:rPr>
        <w:t>curso</w:t>
      </w:r>
      <w:r>
        <w:rPr>
          <w:spacing w:val="10"/>
          <w:sz w:val="20"/>
        </w:rPr>
        <w:t xml:space="preserve"> </w:t>
      </w:r>
      <w:r>
        <w:rPr>
          <w:sz w:val="20"/>
        </w:rPr>
        <w:t>de</w:t>
      </w:r>
      <w:r>
        <w:rPr>
          <w:spacing w:val="7"/>
          <w:sz w:val="20"/>
        </w:rPr>
        <w:t xml:space="preserve"> </w:t>
      </w:r>
      <w:r>
        <w:rPr>
          <w:sz w:val="20"/>
        </w:rPr>
        <w:t>certo</w:t>
      </w:r>
      <w:r>
        <w:rPr>
          <w:spacing w:val="10"/>
          <w:sz w:val="20"/>
        </w:rPr>
        <w:t xml:space="preserve"> </w:t>
      </w:r>
      <w:r>
        <w:rPr>
          <w:sz w:val="20"/>
        </w:rPr>
        <w:t>exercício</w:t>
      </w:r>
      <w:r>
        <w:rPr>
          <w:spacing w:val="9"/>
          <w:sz w:val="20"/>
        </w:rPr>
        <w:t xml:space="preserve"> </w:t>
      </w:r>
      <w:r>
        <w:rPr>
          <w:sz w:val="20"/>
        </w:rPr>
        <w:t>financeiro</w:t>
      </w:r>
      <w:r>
        <w:rPr>
          <w:spacing w:val="10"/>
          <w:sz w:val="20"/>
        </w:rPr>
        <w:t xml:space="preserve"> </w:t>
      </w:r>
      <w:r>
        <w:rPr>
          <w:sz w:val="20"/>
        </w:rPr>
        <w:t>nas</w:t>
      </w:r>
      <w:r>
        <w:rPr>
          <w:spacing w:val="9"/>
          <w:sz w:val="20"/>
        </w:rPr>
        <w:t xml:space="preserve"> </w:t>
      </w:r>
      <w:r>
        <w:rPr>
          <w:sz w:val="20"/>
        </w:rPr>
        <w:t>seguintes</w:t>
      </w:r>
      <w:r>
        <w:rPr>
          <w:spacing w:val="8"/>
          <w:sz w:val="20"/>
        </w:rPr>
        <w:t xml:space="preserve"> </w:t>
      </w:r>
      <w:r>
        <w:rPr>
          <w:spacing w:val="-2"/>
          <w:sz w:val="20"/>
        </w:rPr>
        <w:t>situações:</w:t>
      </w:r>
    </w:p>
    <w:p w:rsidR="007259F2" w:rsidRDefault="00E655B4">
      <w:pPr>
        <w:ind w:left="2978" w:right="989"/>
        <w:jc w:val="both"/>
        <w:rPr>
          <w:sz w:val="20"/>
        </w:rPr>
      </w:pPr>
      <w:r>
        <w:rPr>
          <w:sz w:val="20"/>
        </w:rPr>
        <w:t>a) fato aperfeiçoado antes da lei; b) fato em curso no momento da edição da lei; c) fato cujo período seja posterior à lei, mas que se inicie no mesmo exercício</w:t>
      </w:r>
      <w:r>
        <w:rPr>
          <w:spacing w:val="52"/>
          <w:sz w:val="20"/>
        </w:rPr>
        <w:t xml:space="preserve"> </w:t>
      </w:r>
      <w:r>
        <w:rPr>
          <w:sz w:val="20"/>
        </w:rPr>
        <w:t>de</w:t>
      </w:r>
      <w:r>
        <w:rPr>
          <w:spacing w:val="26"/>
          <w:sz w:val="20"/>
        </w:rPr>
        <w:t xml:space="preserve"> </w:t>
      </w:r>
      <w:r>
        <w:rPr>
          <w:sz w:val="20"/>
        </w:rPr>
        <w:t>edição</w:t>
      </w:r>
      <w:r>
        <w:rPr>
          <w:spacing w:val="26"/>
          <w:sz w:val="20"/>
        </w:rPr>
        <w:t xml:space="preserve"> </w:t>
      </w:r>
      <w:r>
        <w:rPr>
          <w:sz w:val="20"/>
        </w:rPr>
        <w:t>da</w:t>
      </w:r>
      <w:r>
        <w:rPr>
          <w:spacing w:val="26"/>
          <w:sz w:val="20"/>
        </w:rPr>
        <w:t xml:space="preserve"> </w:t>
      </w:r>
      <w:r>
        <w:rPr>
          <w:sz w:val="20"/>
        </w:rPr>
        <w:t>lei</w:t>
      </w:r>
      <w:r>
        <w:rPr>
          <w:spacing w:val="26"/>
          <w:sz w:val="20"/>
        </w:rPr>
        <w:t xml:space="preserve"> </w:t>
      </w:r>
      <w:r>
        <w:rPr>
          <w:sz w:val="20"/>
        </w:rPr>
        <w:t>(hipótese</w:t>
      </w:r>
      <w:r>
        <w:rPr>
          <w:spacing w:val="25"/>
          <w:sz w:val="20"/>
        </w:rPr>
        <w:t xml:space="preserve"> </w:t>
      </w:r>
      <w:r>
        <w:rPr>
          <w:sz w:val="20"/>
        </w:rPr>
        <w:t>em</w:t>
      </w:r>
      <w:r>
        <w:rPr>
          <w:spacing w:val="21"/>
          <w:sz w:val="20"/>
        </w:rPr>
        <w:t xml:space="preserve"> </w:t>
      </w:r>
      <w:r>
        <w:rPr>
          <w:sz w:val="20"/>
        </w:rPr>
        <w:t>que</w:t>
      </w:r>
      <w:r>
        <w:rPr>
          <w:spacing w:val="25"/>
          <w:sz w:val="20"/>
        </w:rPr>
        <w:t xml:space="preserve"> </w:t>
      </w:r>
      <w:r>
        <w:rPr>
          <w:sz w:val="20"/>
        </w:rPr>
        <w:t>a</w:t>
      </w:r>
      <w:r>
        <w:rPr>
          <w:spacing w:val="24"/>
          <w:sz w:val="20"/>
        </w:rPr>
        <w:t xml:space="preserve"> </w:t>
      </w:r>
      <w:r>
        <w:rPr>
          <w:sz w:val="20"/>
        </w:rPr>
        <w:t>lei</w:t>
      </w:r>
      <w:r>
        <w:rPr>
          <w:spacing w:val="23"/>
          <w:sz w:val="20"/>
        </w:rPr>
        <w:t xml:space="preserve"> </w:t>
      </w:r>
      <w:r>
        <w:rPr>
          <w:sz w:val="20"/>
        </w:rPr>
        <w:t>não</w:t>
      </w:r>
      <w:r>
        <w:rPr>
          <w:spacing w:val="27"/>
          <w:sz w:val="20"/>
        </w:rPr>
        <w:t xml:space="preserve"> </w:t>
      </w:r>
      <w:r>
        <w:rPr>
          <w:sz w:val="20"/>
        </w:rPr>
        <w:t>seria</w:t>
      </w:r>
      <w:r>
        <w:rPr>
          <w:spacing w:val="25"/>
          <w:sz w:val="20"/>
        </w:rPr>
        <w:t xml:space="preserve"> </w:t>
      </w:r>
      <w:r>
        <w:rPr>
          <w:sz w:val="20"/>
        </w:rPr>
        <w:t>retroativa,</w:t>
      </w:r>
      <w:r>
        <w:rPr>
          <w:spacing w:val="29"/>
          <w:sz w:val="20"/>
        </w:rPr>
        <w:t xml:space="preserve"> </w:t>
      </w:r>
      <w:r>
        <w:rPr>
          <w:spacing w:val="-5"/>
          <w:sz w:val="20"/>
        </w:rPr>
        <w:t>mas</w:t>
      </w:r>
    </w:p>
    <w:p w:rsidR="007259F2" w:rsidRDefault="00DE6B1C">
      <w:pPr>
        <w:pStyle w:val="Corpodetexto"/>
        <w:spacing w:before="77"/>
        <w:ind w:left="0" w:firstLine="0"/>
        <w:jc w:val="left"/>
        <w:rPr>
          <w:sz w:val="20"/>
        </w:rPr>
      </w:pPr>
      <w:r w:rsidRPr="00DE6B1C">
        <w:rPr>
          <w:sz w:val="20"/>
        </w:rPr>
        <w:pict>
          <v:rect id="docshape84" o:spid="_x0000_s1142" style="position:absolute;margin-left:85.1pt;margin-top:16.6pt;width:2in;height:.7pt;z-index:-15693824;mso-wrap-distance-left:0;mso-wrap-distance-right:0;mso-position-horizontal-relative:page" fillcolor="black" stroked="f">
            <w10:wrap type="topAndBottom" anchorx="page"/>
          </v:rect>
        </w:pict>
      </w:r>
    </w:p>
    <w:p w:rsidR="007259F2" w:rsidRDefault="00E655B4">
      <w:pPr>
        <w:spacing w:before="96"/>
        <w:ind w:left="710" w:right="990"/>
        <w:rPr>
          <w:sz w:val="20"/>
        </w:rPr>
      </w:pPr>
      <w:r>
        <w:rPr>
          <w:sz w:val="20"/>
          <w:vertAlign w:val="superscript"/>
        </w:rPr>
        <w:t>42</w:t>
      </w:r>
      <w:r>
        <w:rPr>
          <w:spacing w:val="78"/>
          <w:sz w:val="20"/>
        </w:rPr>
        <w:t xml:space="preserve"> </w:t>
      </w:r>
      <w:r>
        <w:rPr>
          <w:sz w:val="20"/>
        </w:rPr>
        <w:t>FABRETTI,</w:t>
      </w:r>
      <w:r>
        <w:rPr>
          <w:spacing w:val="79"/>
          <w:sz w:val="20"/>
        </w:rPr>
        <w:t xml:space="preserve"> </w:t>
      </w:r>
      <w:r>
        <w:rPr>
          <w:sz w:val="20"/>
        </w:rPr>
        <w:t>Láudio</w:t>
      </w:r>
      <w:r>
        <w:rPr>
          <w:spacing w:val="79"/>
          <w:sz w:val="20"/>
        </w:rPr>
        <w:t xml:space="preserve"> </w:t>
      </w:r>
      <w:r>
        <w:rPr>
          <w:sz w:val="20"/>
        </w:rPr>
        <w:t>Camargo.</w:t>
      </w:r>
      <w:r>
        <w:rPr>
          <w:spacing w:val="80"/>
          <w:sz w:val="20"/>
        </w:rPr>
        <w:t xml:space="preserve"> </w:t>
      </w:r>
      <w:r>
        <w:rPr>
          <w:b/>
          <w:sz w:val="20"/>
        </w:rPr>
        <w:t>Direito</w:t>
      </w:r>
      <w:r>
        <w:rPr>
          <w:b/>
          <w:spacing w:val="77"/>
          <w:sz w:val="20"/>
        </w:rPr>
        <w:t xml:space="preserve"> </w:t>
      </w:r>
      <w:r>
        <w:rPr>
          <w:b/>
          <w:sz w:val="20"/>
        </w:rPr>
        <w:t>Tributário</w:t>
      </w:r>
      <w:r>
        <w:rPr>
          <w:b/>
          <w:spacing w:val="70"/>
          <w:sz w:val="20"/>
        </w:rPr>
        <w:t xml:space="preserve"> </w:t>
      </w:r>
      <w:r>
        <w:rPr>
          <w:b/>
          <w:sz w:val="20"/>
        </w:rPr>
        <w:t>Aplicado:</w:t>
      </w:r>
      <w:r>
        <w:rPr>
          <w:b/>
          <w:spacing w:val="79"/>
          <w:sz w:val="20"/>
        </w:rPr>
        <w:t xml:space="preserve"> </w:t>
      </w:r>
      <w:r>
        <w:rPr>
          <w:b/>
          <w:sz w:val="20"/>
        </w:rPr>
        <w:t>Impostos</w:t>
      </w:r>
      <w:r>
        <w:rPr>
          <w:b/>
          <w:spacing w:val="78"/>
          <w:sz w:val="20"/>
        </w:rPr>
        <w:t xml:space="preserve"> </w:t>
      </w:r>
      <w:r>
        <w:rPr>
          <w:b/>
          <w:sz w:val="20"/>
        </w:rPr>
        <w:t>e</w:t>
      </w:r>
      <w:r>
        <w:rPr>
          <w:b/>
          <w:spacing w:val="79"/>
          <w:sz w:val="20"/>
        </w:rPr>
        <w:t xml:space="preserve"> </w:t>
      </w:r>
      <w:r>
        <w:rPr>
          <w:b/>
          <w:sz w:val="20"/>
        </w:rPr>
        <w:t>Contribuições</w:t>
      </w:r>
      <w:r>
        <w:rPr>
          <w:b/>
          <w:spacing w:val="80"/>
          <w:sz w:val="20"/>
        </w:rPr>
        <w:t xml:space="preserve"> </w:t>
      </w:r>
      <w:r>
        <w:rPr>
          <w:b/>
          <w:sz w:val="20"/>
        </w:rPr>
        <w:t xml:space="preserve">das Empresas. </w:t>
      </w:r>
      <w:r>
        <w:rPr>
          <w:sz w:val="20"/>
        </w:rPr>
        <w:t>2. ed. São Paulo: Atlas, 2009. p. 56.</w:t>
      </w:r>
    </w:p>
    <w:p w:rsidR="007259F2" w:rsidRDefault="00E655B4">
      <w:pPr>
        <w:ind w:left="710" w:right="990"/>
        <w:rPr>
          <w:sz w:val="20"/>
        </w:rPr>
      </w:pPr>
      <w:r>
        <w:rPr>
          <w:sz w:val="20"/>
          <w:vertAlign w:val="superscript"/>
        </w:rPr>
        <w:t>43</w:t>
      </w:r>
      <w:r>
        <w:rPr>
          <w:spacing w:val="40"/>
          <w:sz w:val="20"/>
        </w:rPr>
        <w:t xml:space="preserve"> </w:t>
      </w:r>
      <w:r>
        <w:rPr>
          <w:sz w:val="20"/>
        </w:rPr>
        <w:t>Fato</w:t>
      </w:r>
      <w:r>
        <w:rPr>
          <w:spacing w:val="40"/>
          <w:sz w:val="20"/>
        </w:rPr>
        <w:t xml:space="preserve"> </w:t>
      </w:r>
      <w:r>
        <w:rPr>
          <w:sz w:val="20"/>
        </w:rPr>
        <w:t>gerador</w:t>
      </w:r>
      <w:r>
        <w:rPr>
          <w:spacing w:val="40"/>
          <w:sz w:val="20"/>
        </w:rPr>
        <w:t xml:space="preserve"> </w:t>
      </w:r>
      <w:r>
        <w:rPr>
          <w:sz w:val="20"/>
        </w:rPr>
        <w:t>é</w:t>
      </w:r>
      <w:r>
        <w:rPr>
          <w:spacing w:val="40"/>
          <w:sz w:val="20"/>
        </w:rPr>
        <w:t xml:space="preserve"> </w:t>
      </w:r>
      <w:r>
        <w:rPr>
          <w:sz w:val="20"/>
        </w:rPr>
        <w:t>a</w:t>
      </w:r>
      <w:r>
        <w:rPr>
          <w:spacing w:val="40"/>
          <w:sz w:val="20"/>
        </w:rPr>
        <w:t xml:space="preserve"> </w:t>
      </w:r>
      <w:r>
        <w:rPr>
          <w:sz w:val="20"/>
        </w:rPr>
        <w:t>ação</w:t>
      </w:r>
      <w:r>
        <w:rPr>
          <w:spacing w:val="40"/>
          <w:sz w:val="20"/>
        </w:rPr>
        <w:t xml:space="preserve"> </w:t>
      </w:r>
      <w:r>
        <w:rPr>
          <w:sz w:val="20"/>
        </w:rPr>
        <w:t>humana,</w:t>
      </w:r>
      <w:r>
        <w:rPr>
          <w:spacing w:val="40"/>
          <w:sz w:val="20"/>
        </w:rPr>
        <w:t xml:space="preserve"> </w:t>
      </w:r>
      <w:r>
        <w:rPr>
          <w:sz w:val="20"/>
        </w:rPr>
        <w:t>uma</w:t>
      </w:r>
      <w:r>
        <w:rPr>
          <w:spacing w:val="40"/>
          <w:sz w:val="20"/>
        </w:rPr>
        <w:t xml:space="preserve"> </w:t>
      </w:r>
      <w:r>
        <w:rPr>
          <w:sz w:val="20"/>
        </w:rPr>
        <w:t>situação</w:t>
      </w:r>
      <w:r>
        <w:rPr>
          <w:spacing w:val="40"/>
          <w:sz w:val="20"/>
        </w:rPr>
        <w:t xml:space="preserve"> </w:t>
      </w:r>
      <w:r>
        <w:rPr>
          <w:sz w:val="20"/>
        </w:rPr>
        <w:t>definida</w:t>
      </w:r>
      <w:r>
        <w:rPr>
          <w:spacing w:val="40"/>
          <w:sz w:val="20"/>
        </w:rPr>
        <w:t xml:space="preserve"> </w:t>
      </w:r>
      <w:r>
        <w:rPr>
          <w:sz w:val="20"/>
        </w:rPr>
        <w:t>em</w:t>
      </w:r>
      <w:r>
        <w:rPr>
          <w:spacing w:val="40"/>
          <w:sz w:val="20"/>
        </w:rPr>
        <w:t xml:space="preserve"> </w:t>
      </w:r>
      <w:r>
        <w:rPr>
          <w:sz w:val="20"/>
        </w:rPr>
        <w:t>lei</w:t>
      </w:r>
      <w:r>
        <w:rPr>
          <w:spacing w:val="40"/>
          <w:sz w:val="20"/>
        </w:rPr>
        <w:t xml:space="preserve"> </w:t>
      </w:r>
      <w:r>
        <w:rPr>
          <w:sz w:val="20"/>
        </w:rPr>
        <w:t>como</w:t>
      </w:r>
      <w:r>
        <w:rPr>
          <w:spacing w:val="40"/>
          <w:sz w:val="20"/>
        </w:rPr>
        <w:t xml:space="preserve"> </w:t>
      </w:r>
      <w:r>
        <w:rPr>
          <w:sz w:val="20"/>
        </w:rPr>
        <w:t>necessária</w:t>
      </w:r>
      <w:r>
        <w:rPr>
          <w:spacing w:val="40"/>
          <w:sz w:val="20"/>
        </w:rPr>
        <w:t xml:space="preserve"> </w:t>
      </w:r>
      <w:r>
        <w:rPr>
          <w:sz w:val="20"/>
        </w:rPr>
        <w:t>e</w:t>
      </w:r>
      <w:r>
        <w:rPr>
          <w:spacing w:val="40"/>
          <w:sz w:val="20"/>
        </w:rPr>
        <w:t xml:space="preserve"> </w:t>
      </w:r>
      <w:r>
        <w:rPr>
          <w:sz w:val="20"/>
        </w:rPr>
        <w:t>suficiente</w:t>
      </w:r>
      <w:r>
        <w:rPr>
          <w:spacing w:val="40"/>
          <w:sz w:val="20"/>
        </w:rPr>
        <w:t xml:space="preserve"> </w:t>
      </w:r>
      <w:r>
        <w:rPr>
          <w:sz w:val="20"/>
        </w:rPr>
        <w:t>para configurar na cobrança do tributo (art. 114 do CTN).</w:t>
      </w:r>
    </w:p>
    <w:p w:rsidR="007259F2" w:rsidRDefault="00E655B4">
      <w:pPr>
        <w:ind w:left="710" w:right="990"/>
        <w:rPr>
          <w:sz w:val="20"/>
        </w:rPr>
      </w:pPr>
      <w:r>
        <w:rPr>
          <w:sz w:val="20"/>
          <w:vertAlign w:val="superscript"/>
        </w:rPr>
        <w:t>44</w:t>
      </w:r>
      <w:r>
        <w:rPr>
          <w:sz w:val="20"/>
        </w:rPr>
        <w:t xml:space="preserve"> BALEEIRO, Aliomar. </w:t>
      </w:r>
      <w:r>
        <w:rPr>
          <w:b/>
          <w:sz w:val="20"/>
        </w:rPr>
        <w:t>Limitações Constitucionais ao Poder de Tributar</w:t>
      </w:r>
      <w:r>
        <w:rPr>
          <w:sz w:val="20"/>
        </w:rPr>
        <w:t>. 7. ed. rev. e ampl. Rio de Janeiro: Forense, 2006. p. 202.</w:t>
      </w:r>
    </w:p>
    <w:p w:rsidR="007259F2" w:rsidRDefault="00E655B4">
      <w:pPr>
        <w:spacing w:before="1"/>
        <w:ind w:left="710"/>
        <w:rPr>
          <w:sz w:val="20"/>
        </w:rPr>
      </w:pPr>
      <w:r>
        <w:rPr>
          <w:sz w:val="20"/>
          <w:vertAlign w:val="superscript"/>
        </w:rPr>
        <w:t>45</w:t>
      </w:r>
      <w:r>
        <w:rPr>
          <w:spacing w:val="-6"/>
          <w:sz w:val="20"/>
        </w:rPr>
        <w:t xml:space="preserve"> </w:t>
      </w:r>
      <w:r>
        <w:rPr>
          <w:sz w:val="20"/>
        </w:rPr>
        <w:t>BRASIL,</w:t>
      </w:r>
      <w:r>
        <w:rPr>
          <w:spacing w:val="-5"/>
          <w:sz w:val="20"/>
        </w:rPr>
        <w:t xml:space="preserve"> </w:t>
      </w:r>
      <w:r>
        <w:rPr>
          <w:spacing w:val="-2"/>
          <w:sz w:val="20"/>
        </w:rPr>
        <w:t>1988.</w:t>
      </w:r>
    </w:p>
    <w:p w:rsidR="007259F2" w:rsidRDefault="00E655B4">
      <w:pPr>
        <w:ind w:left="710"/>
        <w:rPr>
          <w:sz w:val="20"/>
        </w:rPr>
      </w:pPr>
      <w:r>
        <w:rPr>
          <w:sz w:val="20"/>
          <w:vertAlign w:val="superscript"/>
        </w:rPr>
        <w:t>46</w:t>
      </w:r>
      <w:r>
        <w:rPr>
          <w:spacing w:val="-6"/>
          <w:sz w:val="20"/>
        </w:rPr>
        <w:t xml:space="preserve"> </w:t>
      </w:r>
      <w:r>
        <w:rPr>
          <w:sz w:val="20"/>
        </w:rPr>
        <w:t>BALEEIRO;</w:t>
      </w:r>
      <w:r>
        <w:rPr>
          <w:spacing w:val="-5"/>
          <w:sz w:val="20"/>
        </w:rPr>
        <w:t xml:space="preserve"> </w:t>
      </w:r>
      <w:r>
        <w:rPr>
          <w:sz w:val="20"/>
        </w:rPr>
        <w:t>DERZI,</w:t>
      </w:r>
      <w:r>
        <w:rPr>
          <w:spacing w:val="-4"/>
          <w:sz w:val="20"/>
        </w:rPr>
        <w:t xml:space="preserve"> </w:t>
      </w:r>
      <w:r>
        <w:rPr>
          <w:i/>
          <w:sz w:val="20"/>
        </w:rPr>
        <w:t>op.</w:t>
      </w:r>
      <w:r>
        <w:rPr>
          <w:i/>
          <w:spacing w:val="-5"/>
          <w:sz w:val="20"/>
        </w:rPr>
        <w:t xml:space="preserve"> </w:t>
      </w:r>
      <w:r>
        <w:rPr>
          <w:i/>
          <w:spacing w:val="-4"/>
          <w:sz w:val="20"/>
        </w:rPr>
        <w:t>cit</w:t>
      </w:r>
      <w:r>
        <w:rPr>
          <w:spacing w:val="-4"/>
          <w:sz w:val="20"/>
        </w:rPr>
        <w:t>.</w:t>
      </w:r>
    </w:p>
    <w:p w:rsidR="007259F2" w:rsidRDefault="007259F2">
      <w:pPr>
        <w:rPr>
          <w:sz w:val="20"/>
        </w:rPr>
        <w:sectPr w:rsidR="007259F2">
          <w:pgSz w:w="11910" w:h="16840"/>
          <w:pgMar w:top="1320" w:right="708" w:bottom="1160" w:left="992" w:header="0" w:footer="962" w:gutter="0"/>
          <w:cols w:space="720"/>
        </w:sectPr>
      </w:pPr>
    </w:p>
    <w:p w:rsidR="007259F2" w:rsidRDefault="00E655B4">
      <w:pPr>
        <w:spacing w:before="91"/>
        <w:ind w:left="2978"/>
        <w:jc w:val="both"/>
        <w:rPr>
          <w:sz w:val="20"/>
        </w:rPr>
      </w:pPr>
      <w:r>
        <w:rPr>
          <w:sz w:val="20"/>
        </w:rPr>
        <w:lastRenderedPageBreak/>
        <w:t>atentaria</w:t>
      </w:r>
      <w:r>
        <w:rPr>
          <w:spacing w:val="-5"/>
          <w:sz w:val="20"/>
        </w:rPr>
        <w:t xml:space="preserve"> </w:t>
      </w:r>
      <w:r>
        <w:rPr>
          <w:sz w:val="20"/>
        </w:rPr>
        <w:t>contra</w:t>
      </w:r>
      <w:r>
        <w:rPr>
          <w:spacing w:val="-5"/>
          <w:sz w:val="20"/>
        </w:rPr>
        <w:t xml:space="preserve"> </w:t>
      </w:r>
      <w:r>
        <w:rPr>
          <w:sz w:val="20"/>
        </w:rPr>
        <w:t>o</w:t>
      </w:r>
      <w:r>
        <w:rPr>
          <w:spacing w:val="-4"/>
          <w:sz w:val="20"/>
        </w:rPr>
        <w:t xml:space="preserve"> </w:t>
      </w:r>
      <w:r>
        <w:rPr>
          <w:sz w:val="20"/>
        </w:rPr>
        <w:t>princípio</w:t>
      </w:r>
      <w:r>
        <w:rPr>
          <w:spacing w:val="-4"/>
          <w:sz w:val="20"/>
        </w:rPr>
        <w:t xml:space="preserve"> </w:t>
      </w:r>
      <w:r>
        <w:rPr>
          <w:sz w:val="20"/>
        </w:rPr>
        <w:t>da</w:t>
      </w:r>
      <w:r>
        <w:rPr>
          <w:spacing w:val="-7"/>
          <w:sz w:val="20"/>
        </w:rPr>
        <w:t xml:space="preserve"> </w:t>
      </w:r>
      <w:r>
        <w:rPr>
          <w:spacing w:val="-2"/>
          <w:sz w:val="20"/>
        </w:rPr>
        <w:t>anterioridade).</w:t>
      </w:r>
      <w:r>
        <w:rPr>
          <w:spacing w:val="-2"/>
          <w:sz w:val="20"/>
          <w:vertAlign w:val="superscript"/>
        </w:rPr>
        <w:t>47</w:t>
      </w:r>
    </w:p>
    <w:p w:rsidR="007259F2" w:rsidRDefault="00E655B4">
      <w:pPr>
        <w:pStyle w:val="Heading2"/>
        <w:numPr>
          <w:ilvl w:val="1"/>
          <w:numId w:val="35"/>
        </w:numPr>
        <w:tabs>
          <w:tab w:val="left" w:pos="1069"/>
        </w:tabs>
        <w:spacing w:before="205"/>
        <w:ind w:left="1069" w:hanging="359"/>
      </w:pPr>
      <w:r>
        <w:t>A</w:t>
      </w:r>
      <w:r>
        <w:rPr>
          <w:spacing w:val="-9"/>
        </w:rPr>
        <w:t xml:space="preserve"> </w:t>
      </w:r>
      <w:r>
        <w:t>periodização</w:t>
      </w:r>
      <w:r>
        <w:rPr>
          <w:spacing w:val="-3"/>
        </w:rPr>
        <w:t xml:space="preserve"> </w:t>
      </w:r>
      <w:r>
        <w:t>anual</w:t>
      </w:r>
      <w:r>
        <w:rPr>
          <w:spacing w:val="-2"/>
        </w:rPr>
        <w:t xml:space="preserve"> </w:t>
      </w:r>
      <w:r>
        <w:t>da</w:t>
      </w:r>
      <w:r>
        <w:rPr>
          <w:spacing w:val="-3"/>
        </w:rPr>
        <w:t xml:space="preserve"> </w:t>
      </w:r>
      <w:r>
        <w:rPr>
          <w:spacing w:val="-4"/>
        </w:rPr>
        <w:t>renda</w:t>
      </w:r>
    </w:p>
    <w:p w:rsidR="007259F2" w:rsidRDefault="00E655B4">
      <w:pPr>
        <w:pStyle w:val="Corpodetexto"/>
        <w:spacing w:before="156"/>
        <w:ind w:right="990"/>
      </w:pPr>
      <w:r>
        <w:t>Como observado, o Imposto de Renda se encontra no grupo dos impostos periódicos.</w:t>
      </w:r>
      <w:r>
        <w:rPr>
          <w:spacing w:val="-14"/>
        </w:rPr>
        <w:t xml:space="preserve"> </w:t>
      </w:r>
      <w:r>
        <w:t>As</w:t>
      </w:r>
      <w:r>
        <w:rPr>
          <w:spacing w:val="-4"/>
        </w:rPr>
        <w:t xml:space="preserve"> </w:t>
      </w:r>
      <w:r>
        <w:t>expressões</w:t>
      </w:r>
      <w:r>
        <w:rPr>
          <w:spacing w:val="-3"/>
        </w:rPr>
        <w:t xml:space="preserve"> </w:t>
      </w:r>
      <w:r>
        <w:t>“</w:t>
      </w:r>
      <w:r>
        <w:rPr>
          <w:i/>
        </w:rPr>
        <w:t>exercício</w:t>
      </w:r>
      <w:r>
        <w:rPr>
          <w:i/>
          <w:spacing w:val="-3"/>
        </w:rPr>
        <w:t xml:space="preserve"> </w:t>
      </w:r>
      <w:r>
        <w:rPr>
          <w:i/>
        </w:rPr>
        <w:t>financeiro</w:t>
      </w:r>
      <w:r>
        <w:rPr>
          <w:i/>
          <w:spacing w:val="-3"/>
        </w:rPr>
        <w:t xml:space="preserve"> </w:t>
      </w:r>
      <w:r>
        <w:rPr>
          <w:i/>
        </w:rPr>
        <w:t>da</w:t>
      </w:r>
      <w:r>
        <w:rPr>
          <w:i/>
          <w:spacing w:val="-3"/>
        </w:rPr>
        <w:t xml:space="preserve"> </w:t>
      </w:r>
      <w:r>
        <w:rPr>
          <w:i/>
        </w:rPr>
        <w:t xml:space="preserve">declaração” </w:t>
      </w:r>
      <w:r>
        <w:t>e</w:t>
      </w:r>
      <w:r>
        <w:rPr>
          <w:spacing w:val="-2"/>
        </w:rPr>
        <w:t xml:space="preserve"> </w:t>
      </w:r>
      <w:r>
        <w:rPr>
          <w:i/>
        </w:rPr>
        <w:t>“ano-base”</w:t>
      </w:r>
      <w:r>
        <w:t>,</w:t>
      </w:r>
      <w:r>
        <w:rPr>
          <w:spacing w:val="-3"/>
        </w:rPr>
        <w:t xml:space="preserve"> </w:t>
      </w:r>
      <w:r>
        <w:t>tanto</w:t>
      </w:r>
      <w:r>
        <w:rPr>
          <w:spacing w:val="-3"/>
        </w:rPr>
        <w:t xml:space="preserve"> </w:t>
      </w:r>
      <w:r>
        <w:t>nas pessoas físicas quanto nas jurídicas, presumem a periodização da renda anual. Nas palavras de Aliomar Baleeiro: “Se renda não é rendimento ou mera remuneração bruta do fator de produção, mas acréscimo patrimonial, riqueza nova ou excedente, a periodização, dentro da qual se apurem os ganhos, deduzidos das despesas essenciais a obtenção e manutenção da renda, é essencial.”</w:t>
      </w:r>
      <w:r>
        <w:rPr>
          <w:vertAlign w:val="superscript"/>
        </w:rPr>
        <w:t>48</w:t>
      </w:r>
    </w:p>
    <w:p w:rsidR="007259F2" w:rsidRDefault="00E655B4">
      <w:pPr>
        <w:pStyle w:val="Corpodetexto"/>
        <w:spacing w:before="1"/>
        <w:ind w:right="992"/>
      </w:pPr>
      <w:r>
        <w:t>Em períodos anteriores do desenvolvimento tributário, os resultados das atividades empresariais eram apurados ao final de uma série de operações idênticas, aguardando o término dessas situações. Isso tornava o procedimento de tributação extremamente complexo de tal forma que, como desenvolvimento comercial da sociedade, iniciou-se a periodização para apurar o tributo devido.</w:t>
      </w:r>
    </w:p>
    <w:p w:rsidR="007259F2" w:rsidRDefault="00E655B4">
      <w:pPr>
        <w:pStyle w:val="Corpodetexto"/>
        <w:ind w:right="989"/>
      </w:pPr>
      <w:r>
        <w:t>No entendimento de Freitas Pereira, a regra da periodização anual foi adotada pelas</w:t>
      </w:r>
      <w:r>
        <w:rPr>
          <w:spacing w:val="-1"/>
        </w:rPr>
        <w:t xml:space="preserve"> </w:t>
      </w:r>
      <w:r>
        <w:t>seguintes razões: (I)</w:t>
      </w:r>
      <w:r>
        <w:rPr>
          <w:spacing w:val="-2"/>
        </w:rPr>
        <w:t xml:space="preserve"> </w:t>
      </w:r>
      <w:r>
        <w:t>o período</w:t>
      </w:r>
      <w:r>
        <w:rPr>
          <w:spacing w:val="-1"/>
        </w:rPr>
        <w:t xml:space="preserve"> </w:t>
      </w:r>
      <w:r>
        <w:t>não pode</w:t>
      </w:r>
      <w:r>
        <w:rPr>
          <w:spacing w:val="-1"/>
        </w:rPr>
        <w:t xml:space="preserve"> </w:t>
      </w:r>
      <w:r>
        <w:t>ser curto a ponto de</w:t>
      </w:r>
      <w:r>
        <w:rPr>
          <w:spacing w:val="-1"/>
        </w:rPr>
        <w:t xml:space="preserve"> </w:t>
      </w:r>
      <w:r>
        <w:t>que</w:t>
      </w:r>
      <w:r>
        <w:rPr>
          <w:spacing w:val="-1"/>
        </w:rPr>
        <w:t xml:space="preserve"> </w:t>
      </w:r>
      <w:r>
        <w:t>os resultados não sejam significativos,</w:t>
      </w:r>
      <w:r>
        <w:rPr>
          <w:spacing w:val="-2"/>
        </w:rPr>
        <w:t xml:space="preserve"> </w:t>
      </w:r>
      <w:r>
        <w:t>nem extenso</w:t>
      </w:r>
      <w:r>
        <w:rPr>
          <w:spacing w:val="-3"/>
        </w:rPr>
        <w:t xml:space="preserve"> </w:t>
      </w:r>
      <w:r>
        <w:t>de</w:t>
      </w:r>
      <w:r>
        <w:rPr>
          <w:spacing w:val="-2"/>
        </w:rPr>
        <w:t xml:space="preserve"> </w:t>
      </w:r>
      <w:r>
        <w:t>forma</w:t>
      </w:r>
      <w:r>
        <w:rPr>
          <w:spacing w:val="-1"/>
        </w:rPr>
        <w:t xml:space="preserve"> </w:t>
      </w:r>
      <w:r>
        <w:t>que</w:t>
      </w:r>
      <w:r>
        <w:rPr>
          <w:spacing w:val="-2"/>
        </w:rPr>
        <w:t xml:space="preserve"> </w:t>
      </w:r>
      <w:r>
        <w:t>impeça</w:t>
      </w:r>
      <w:r>
        <w:rPr>
          <w:spacing w:val="-2"/>
        </w:rPr>
        <w:t xml:space="preserve"> </w:t>
      </w:r>
      <w:r>
        <w:t>sua</w:t>
      </w:r>
      <w:r>
        <w:rPr>
          <w:spacing w:val="-2"/>
        </w:rPr>
        <w:t xml:space="preserve"> </w:t>
      </w:r>
      <w:r>
        <w:t>renovação; (II)</w:t>
      </w:r>
      <w:r>
        <w:rPr>
          <w:spacing w:val="-1"/>
        </w:rPr>
        <w:t xml:space="preserve"> </w:t>
      </w:r>
      <w:r>
        <w:t>a</w:t>
      </w:r>
      <w:r>
        <w:rPr>
          <w:spacing w:val="-2"/>
        </w:rPr>
        <w:t xml:space="preserve"> </w:t>
      </w:r>
      <w:r>
        <w:t>duração</w:t>
      </w:r>
      <w:r>
        <w:rPr>
          <w:spacing w:val="-3"/>
        </w:rPr>
        <w:t xml:space="preserve"> </w:t>
      </w:r>
      <w:r>
        <w:t>do período deve permitir que seja possível realizar comparações com períodos que se sucedem; (III) o período deve integrar todas as estações existentes, de forma que certos tipos de negócios não sofram influências sazonais.</w:t>
      </w:r>
    </w:p>
    <w:p w:rsidR="007259F2" w:rsidRDefault="00E655B4">
      <w:pPr>
        <w:pStyle w:val="Corpodetexto"/>
        <w:spacing w:before="1"/>
        <w:ind w:left="1418" w:firstLine="0"/>
      </w:pPr>
      <w:r>
        <w:t>Em</w:t>
      </w:r>
      <w:r>
        <w:rPr>
          <w:spacing w:val="-3"/>
        </w:rPr>
        <w:t xml:space="preserve"> </w:t>
      </w:r>
      <w:r>
        <w:t>suas</w:t>
      </w:r>
      <w:r>
        <w:rPr>
          <w:spacing w:val="-1"/>
        </w:rPr>
        <w:t xml:space="preserve"> </w:t>
      </w:r>
      <w:r>
        <w:rPr>
          <w:spacing w:val="-2"/>
        </w:rPr>
        <w:t>palavras:</w:t>
      </w:r>
    </w:p>
    <w:p w:rsidR="007259F2" w:rsidRDefault="007259F2">
      <w:pPr>
        <w:pStyle w:val="Corpodetexto"/>
        <w:spacing w:before="1"/>
        <w:ind w:left="0" w:firstLine="0"/>
        <w:jc w:val="left"/>
      </w:pPr>
    </w:p>
    <w:p w:rsidR="007259F2" w:rsidRDefault="00E655B4">
      <w:pPr>
        <w:ind w:left="2978" w:right="989"/>
        <w:jc w:val="both"/>
        <w:rPr>
          <w:sz w:val="20"/>
        </w:rPr>
      </w:pPr>
      <w:r>
        <w:rPr>
          <w:sz w:val="20"/>
        </w:rPr>
        <w:t>A adoção de uma base anual para a elaboração de contas preenche estes requisitos e reflete o juízo de uma longa experiência segundo a qual o ano nem é demasiado longo nem demasiado curto e, além disso, projeta o ritmo normal em que se desenvolve a vida econômica e social, toda ela marcada pelo ciclo das estações.</w:t>
      </w:r>
      <w:r>
        <w:rPr>
          <w:sz w:val="20"/>
          <w:vertAlign w:val="superscript"/>
        </w:rPr>
        <w:t>49</w:t>
      </w:r>
    </w:p>
    <w:p w:rsidR="007259F2" w:rsidRDefault="00E655B4">
      <w:pPr>
        <w:pStyle w:val="Corpodetexto"/>
        <w:spacing w:before="200"/>
        <w:ind w:right="991"/>
      </w:pPr>
      <w:r>
        <w:t>A periodização nada mais é que um corte feito em uma atividade que é ininterrupta, sendo a regra da continuidade da exploração um princípio contábil e de Direito</w:t>
      </w:r>
      <w:r>
        <w:rPr>
          <w:spacing w:val="-3"/>
        </w:rPr>
        <w:t xml:space="preserve"> </w:t>
      </w:r>
      <w:r>
        <w:t>Comercial</w:t>
      </w:r>
      <w:r>
        <w:rPr>
          <w:spacing w:val="-3"/>
        </w:rPr>
        <w:t xml:space="preserve"> </w:t>
      </w:r>
      <w:r>
        <w:t>universal.</w:t>
      </w:r>
      <w:r>
        <w:rPr>
          <w:position w:val="9"/>
          <w:sz w:val="13"/>
        </w:rPr>
        <w:t>50</w:t>
      </w:r>
      <w:r>
        <w:rPr>
          <w:spacing w:val="24"/>
          <w:position w:val="9"/>
          <w:sz w:val="13"/>
        </w:rPr>
        <w:t xml:space="preserve"> </w:t>
      </w:r>
      <w:r>
        <w:t>Dela</w:t>
      </w:r>
      <w:r>
        <w:rPr>
          <w:spacing w:val="-2"/>
        </w:rPr>
        <w:t xml:space="preserve"> </w:t>
      </w:r>
      <w:r>
        <w:t>acarretam</w:t>
      </w:r>
      <w:r>
        <w:rPr>
          <w:spacing w:val="-3"/>
        </w:rPr>
        <w:t xml:space="preserve"> </w:t>
      </w:r>
      <w:r>
        <w:t>outras</w:t>
      </w:r>
      <w:r>
        <w:rPr>
          <w:spacing w:val="-3"/>
        </w:rPr>
        <w:t xml:space="preserve"> </w:t>
      </w:r>
      <w:r>
        <w:t>regras,</w:t>
      </w:r>
      <w:r>
        <w:rPr>
          <w:spacing w:val="-1"/>
        </w:rPr>
        <w:t xml:space="preserve"> </w:t>
      </w:r>
      <w:r>
        <w:t>que</w:t>
      </w:r>
      <w:r>
        <w:rPr>
          <w:spacing w:val="-4"/>
        </w:rPr>
        <w:t xml:space="preserve"> </w:t>
      </w:r>
      <w:r>
        <w:t>tem</w:t>
      </w:r>
      <w:r>
        <w:rPr>
          <w:spacing w:val="-1"/>
        </w:rPr>
        <w:t xml:space="preserve"> </w:t>
      </w:r>
      <w:r>
        <w:t>a</w:t>
      </w:r>
      <w:r>
        <w:rPr>
          <w:spacing w:val="-4"/>
        </w:rPr>
        <w:t xml:space="preserve"> </w:t>
      </w:r>
      <w:r>
        <w:t>função</w:t>
      </w:r>
      <w:r>
        <w:rPr>
          <w:spacing w:val="-3"/>
        </w:rPr>
        <w:t xml:space="preserve"> </w:t>
      </w:r>
      <w:r>
        <w:t>de</w:t>
      </w:r>
      <w:r>
        <w:rPr>
          <w:spacing w:val="-4"/>
        </w:rPr>
        <w:t xml:space="preserve"> </w:t>
      </w:r>
      <w:r>
        <w:t>atenuar os efeitos nocivos da periodização.</w:t>
      </w:r>
    </w:p>
    <w:p w:rsidR="007259F2" w:rsidRDefault="00E655B4">
      <w:pPr>
        <w:pStyle w:val="Heading2"/>
        <w:numPr>
          <w:ilvl w:val="0"/>
          <w:numId w:val="35"/>
        </w:numPr>
        <w:tabs>
          <w:tab w:val="left" w:pos="890"/>
        </w:tabs>
        <w:spacing w:before="204"/>
        <w:ind w:left="890" w:hanging="180"/>
      </w:pPr>
      <w:r>
        <w:t>Lucros</w:t>
      </w:r>
      <w:r>
        <w:rPr>
          <w:spacing w:val="-1"/>
        </w:rPr>
        <w:t xml:space="preserve"> </w:t>
      </w:r>
      <w:r>
        <w:t>e</w:t>
      </w:r>
      <w:r>
        <w:rPr>
          <w:spacing w:val="-1"/>
        </w:rPr>
        <w:t xml:space="preserve"> </w:t>
      </w:r>
      <w:r>
        <w:rPr>
          <w:spacing w:val="-2"/>
        </w:rPr>
        <w:t>dividendos</w:t>
      </w:r>
    </w:p>
    <w:p w:rsidR="007259F2" w:rsidRDefault="00E655B4">
      <w:pPr>
        <w:pStyle w:val="PargrafodaLista"/>
        <w:numPr>
          <w:ilvl w:val="1"/>
          <w:numId w:val="35"/>
        </w:numPr>
        <w:tabs>
          <w:tab w:val="left" w:pos="1069"/>
        </w:tabs>
        <w:spacing w:before="243"/>
        <w:ind w:left="1069" w:hanging="359"/>
        <w:rPr>
          <w:b/>
          <w:sz w:val="24"/>
        </w:rPr>
      </w:pPr>
      <w:r>
        <w:rPr>
          <w:b/>
          <w:sz w:val="24"/>
        </w:rPr>
        <w:t>Conceitos</w:t>
      </w:r>
      <w:r>
        <w:rPr>
          <w:b/>
          <w:spacing w:val="-7"/>
          <w:sz w:val="24"/>
        </w:rPr>
        <w:t xml:space="preserve"> </w:t>
      </w:r>
      <w:r>
        <w:rPr>
          <w:b/>
          <w:sz w:val="24"/>
        </w:rPr>
        <w:t>e</w:t>
      </w:r>
      <w:r>
        <w:rPr>
          <w:b/>
          <w:spacing w:val="-6"/>
          <w:sz w:val="24"/>
        </w:rPr>
        <w:t xml:space="preserve"> </w:t>
      </w:r>
      <w:r>
        <w:rPr>
          <w:b/>
          <w:sz w:val="24"/>
        </w:rPr>
        <w:t>Elementos</w:t>
      </w:r>
      <w:r>
        <w:rPr>
          <w:b/>
          <w:spacing w:val="-4"/>
          <w:sz w:val="24"/>
        </w:rPr>
        <w:t xml:space="preserve"> </w:t>
      </w:r>
      <w:r>
        <w:rPr>
          <w:b/>
          <w:spacing w:val="-2"/>
          <w:sz w:val="24"/>
        </w:rPr>
        <w:t>Característicos</w:t>
      </w:r>
    </w:p>
    <w:p w:rsidR="007259F2" w:rsidRDefault="00E655B4">
      <w:pPr>
        <w:pStyle w:val="Corpodetexto"/>
        <w:spacing w:before="154"/>
        <w:ind w:right="993"/>
      </w:pPr>
      <w:r>
        <w:t>Estudar e entender os conceitos de “lucro” e “dividendo” em âmbito legal é primordial para o desenvolvimento e entendimento mais a fundo do proposto para a pesquisa</w:t>
      </w:r>
      <w:r>
        <w:rPr>
          <w:spacing w:val="-2"/>
        </w:rPr>
        <w:t xml:space="preserve"> </w:t>
      </w:r>
      <w:r>
        <w:t>em</w:t>
      </w:r>
      <w:r>
        <w:rPr>
          <w:spacing w:val="-1"/>
        </w:rPr>
        <w:t xml:space="preserve"> </w:t>
      </w:r>
      <w:r>
        <w:t>tela. Nesse contexto,</w:t>
      </w:r>
      <w:r>
        <w:rPr>
          <w:spacing w:val="-1"/>
        </w:rPr>
        <w:t xml:space="preserve"> </w:t>
      </w:r>
      <w:r>
        <w:t>conforme</w:t>
      </w:r>
      <w:r>
        <w:rPr>
          <w:spacing w:val="-2"/>
        </w:rPr>
        <w:t xml:space="preserve"> </w:t>
      </w:r>
      <w:r>
        <w:t>o art. 10</w:t>
      </w:r>
      <w:r>
        <w:rPr>
          <w:spacing w:val="-1"/>
        </w:rPr>
        <w:t xml:space="preserve"> </w:t>
      </w:r>
      <w:r>
        <w:t>da Lei</w:t>
      </w:r>
      <w:r>
        <w:rPr>
          <w:spacing w:val="-1"/>
        </w:rPr>
        <w:t xml:space="preserve"> </w:t>
      </w:r>
      <w:r>
        <w:t>nº 9.249</w:t>
      </w:r>
      <w:r>
        <w:rPr>
          <w:spacing w:val="-1"/>
        </w:rPr>
        <w:t xml:space="preserve"> </w:t>
      </w:r>
      <w:r>
        <w:t>de</w:t>
      </w:r>
      <w:r>
        <w:rPr>
          <w:spacing w:val="-2"/>
        </w:rPr>
        <w:t xml:space="preserve"> </w:t>
      </w:r>
      <w:r>
        <w:t>26 de</w:t>
      </w:r>
      <w:r>
        <w:rPr>
          <w:spacing w:val="-2"/>
        </w:rPr>
        <w:t xml:space="preserve"> </w:t>
      </w:r>
      <w:r>
        <w:t>dezembro de 1995:</w:t>
      </w:r>
    </w:p>
    <w:p w:rsidR="007259F2" w:rsidRDefault="00E655B4">
      <w:pPr>
        <w:spacing w:before="1"/>
        <w:ind w:left="2978" w:right="989"/>
        <w:jc w:val="both"/>
        <w:rPr>
          <w:sz w:val="20"/>
        </w:rPr>
      </w:pPr>
      <w:r>
        <w:rPr>
          <w:sz w:val="20"/>
        </w:rPr>
        <w:t>Art. 10º - Os lucros ou dividendos calculados com base nos resultados apurados a partir do mês de janeiro de 1996, pagos ou creditados pelas pessoas jurídicas tributadas com base no lucro real, presumido ou arbitrado, não ficarão sujeitos a incidência</w:t>
      </w:r>
      <w:r>
        <w:rPr>
          <w:spacing w:val="-5"/>
          <w:sz w:val="20"/>
        </w:rPr>
        <w:t xml:space="preserve"> </w:t>
      </w:r>
      <w:r>
        <w:rPr>
          <w:sz w:val="20"/>
        </w:rPr>
        <w:t>do</w:t>
      </w:r>
      <w:r>
        <w:rPr>
          <w:spacing w:val="-7"/>
          <w:sz w:val="20"/>
        </w:rPr>
        <w:t xml:space="preserve"> </w:t>
      </w:r>
      <w:r>
        <w:rPr>
          <w:sz w:val="20"/>
        </w:rPr>
        <w:t>imposto</w:t>
      </w:r>
      <w:r>
        <w:rPr>
          <w:spacing w:val="-7"/>
          <w:sz w:val="20"/>
        </w:rPr>
        <w:t xml:space="preserve"> </w:t>
      </w:r>
      <w:r>
        <w:rPr>
          <w:sz w:val="20"/>
        </w:rPr>
        <w:t>de</w:t>
      </w:r>
      <w:r>
        <w:rPr>
          <w:spacing w:val="-10"/>
          <w:sz w:val="20"/>
        </w:rPr>
        <w:t xml:space="preserve"> </w:t>
      </w:r>
      <w:r>
        <w:rPr>
          <w:sz w:val="20"/>
        </w:rPr>
        <w:t>renda</w:t>
      </w:r>
      <w:r>
        <w:rPr>
          <w:spacing w:val="-5"/>
          <w:sz w:val="20"/>
        </w:rPr>
        <w:t xml:space="preserve"> </w:t>
      </w:r>
      <w:r>
        <w:rPr>
          <w:sz w:val="20"/>
        </w:rPr>
        <w:t>na</w:t>
      </w:r>
      <w:r>
        <w:rPr>
          <w:spacing w:val="-5"/>
          <w:sz w:val="20"/>
        </w:rPr>
        <w:t xml:space="preserve"> </w:t>
      </w:r>
      <w:r>
        <w:rPr>
          <w:sz w:val="20"/>
        </w:rPr>
        <w:t>fonte,</w:t>
      </w:r>
      <w:r>
        <w:rPr>
          <w:spacing w:val="-6"/>
          <w:sz w:val="20"/>
        </w:rPr>
        <w:t xml:space="preserve"> </w:t>
      </w:r>
      <w:r>
        <w:rPr>
          <w:sz w:val="20"/>
        </w:rPr>
        <w:t>nem</w:t>
      </w:r>
      <w:r>
        <w:rPr>
          <w:spacing w:val="-11"/>
          <w:sz w:val="20"/>
        </w:rPr>
        <w:t xml:space="preserve"> </w:t>
      </w:r>
      <w:r>
        <w:rPr>
          <w:sz w:val="20"/>
        </w:rPr>
        <w:t>integrarão a</w:t>
      </w:r>
      <w:r>
        <w:rPr>
          <w:spacing w:val="37"/>
          <w:sz w:val="20"/>
        </w:rPr>
        <w:t xml:space="preserve"> </w:t>
      </w:r>
      <w:r>
        <w:rPr>
          <w:sz w:val="20"/>
        </w:rPr>
        <w:t>base</w:t>
      </w:r>
      <w:r>
        <w:rPr>
          <w:spacing w:val="37"/>
          <w:sz w:val="20"/>
        </w:rPr>
        <w:t xml:space="preserve"> </w:t>
      </w:r>
      <w:r>
        <w:rPr>
          <w:sz w:val="20"/>
        </w:rPr>
        <w:t>de</w:t>
      </w:r>
      <w:r>
        <w:rPr>
          <w:spacing w:val="37"/>
          <w:sz w:val="20"/>
        </w:rPr>
        <w:t xml:space="preserve"> </w:t>
      </w:r>
      <w:r>
        <w:rPr>
          <w:sz w:val="20"/>
        </w:rPr>
        <w:t>cálculo</w:t>
      </w:r>
      <w:r>
        <w:rPr>
          <w:spacing w:val="39"/>
          <w:sz w:val="20"/>
        </w:rPr>
        <w:t xml:space="preserve"> </w:t>
      </w:r>
      <w:r>
        <w:rPr>
          <w:sz w:val="20"/>
        </w:rPr>
        <w:t>do</w:t>
      </w:r>
      <w:r>
        <w:rPr>
          <w:spacing w:val="38"/>
          <w:sz w:val="20"/>
        </w:rPr>
        <w:t xml:space="preserve"> </w:t>
      </w:r>
      <w:r>
        <w:rPr>
          <w:sz w:val="20"/>
        </w:rPr>
        <w:t>imposto</w:t>
      </w:r>
      <w:r>
        <w:rPr>
          <w:spacing w:val="49"/>
          <w:sz w:val="20"/>
        </w:rPr>
        <w:t xml:space="preserve"> </w:t>
      </w:r>
      <w:r>
        <w:rPr>
          <w:sz w:val="20"/>
        </w:rPr>
        <w:t>de</w:t>
      </w:r>
      <w:r>
        <w:rPr>
          <w:spacing w:val="49"/>
          <w:sz w:val="20"/>
        </w:rPr>
        <w:t xml:space="preserve"> </w:t>
      </w:r>
      <w:r>
        <w:rPr>
          <w:sz w:val="20"/>
        </w:rPr>
        <w:t>renda</w:t>
      </w:r>
      <w:r>
        <w:rPr>
          <w:spacing w:val="49"/>
          <w:sz w:val="20"/>
        </w:rPr>
        <w:t xml:space="preserve"> </w:t>
      </w:r>
      <w:r>
        <w:rPr>
          <w:sz w:val="20"/>
        </w:rPr>
        <w:t>do</w:t>
      </w:r>
      <w:r>
        <w:rPr>
          <w:spacing w:val="48"/>
          <w:sz w:val="20"/>
        </w:rPr>
        <w:t xml:space="preserve"> </w:t>
      </w:r>
      <w:r>
        <w:rPr>
          <w:sz w:val="20"/>
        </w:rPr>
        <w:t>beneficiário,</w:t>
      </w:r>
      <w:r>
        <w:rPr>
          <w:spacing w:val="49"/>
          <w:sz w:val="20"/>
        </w:rPr>
        <w:t xml:space="preserve"> </w:t>
      </w:r>
      <w:r>
        <w:rPr>
          <w:sz w:val="20"/>
        </w:rPr>
        <w:t>pessoa</w:t>
      </w:r>
      <w:r>
        <w:rPr>
          <w:spacing w:val="49"/>
          <w:sz w:val="20"/>
        </w:rPr>
        <w:t xml:space="preserve"> </w:t>
      </w:r>
      <w:r>
        <w:rPr>
          <w:sz w:val="20"/>
        </w:rPr>
        <w:t>física</w:t>
      </w:r>
      <w:r>
        <w:rPr>
          <w:spacing w:val="49"/>
          <w:sz w:val="20"/>
        </w:rPr>
        <w:t xml:space="preserve"> </w:t>
      </w:r>
      <w:r>
        <w:rPr>
          <w:spacing w:val="-5"/>
          <w:sz w:val="20"/>
        </w:rPr>
        <w:t>ou</w:t>
      </w:r>
    </w:p>
    <w:p w:rsidR="007259F2" w:rsidRDefault="00DE6B1C">
      <w:pPr>
        <w:pStyle w:val="Corpodetexto"/>
        <w:spacing w:before="12"/>
        <w:ind w:left="0" w:firstLine="0"/>
        <w:jc w:val="left"/>
        <w:rPr>
          <w:sz w:val="20"/>
        </w:rPr>
      </w:pPr>
      <w:r w:rsidRPr="00DE6B1C">
        <w:rPr>
          <w:sz w:val="20"/>
        </w:rPr>
        <w:pict>
          <v:rect id="docshape85" o:spid="_x0000_s1141" style="position:absolute;margin-left:85.1pt;margin-top:13.3pt;width:2in;height:.7pt;z-index:-15693312;mso-wrap-distance-left:0;mso-wrap-distance-right:0;mso-position-horizontal-relative:page" fillcolor="black" stroked="f">
            <w10:wrap type="topAndBottom" anchorx="page"/>
          </v:rect>
        </w:pict>
      </w:r>
    </w:p>
    <w:p w:rsidR="007259F2" w:rsidRDefault="00E655B4">
      <w:pPr>
        <w:spacing w:before="94"/>
        <w:ind w:left="710"/>
        <w:rPr>
          <w:sz w:val="20"/>
        </w:rPr>
      </w:pPr>
      <w:r>
        <w:rPr>
          <w:sz w:val="20"/>
          <w:vertAlign w:val="superscript"/>
        </w:rPr>
        <w:t>47</w:t>
      </w:r>
      <w:r>
        <w:rPr>
          <w:spacing w:val="-13"/>
          <w:sz w:val="20"/>
        </w:rPr>
        <w:t xml:space="preserve"> </w:t>
      </w:r>
      <w:r>
        <w:rPr>
          <w:sz w:val="20"/>
        </w:rPr>
        <w:t>AMARO,</w:t>
      </w:r>
      <w:r>
        <w:rPr>
          <w:spacing w:val="-5"/>
          <w:sz w:val="20"/>
        </w:rPr>
        <w:t xml:space="preserve"> </w:t>
      </w:r>
      <w:r>
        <w:rPr>
          <w:i/>
          <w:sz w:val="20"/>
        </w:rPr>
        <w:t>op.</w:t>
      </w:r>
      <w:r>
        <w:rPr>
          <w:i/>
          <w:spacing w:val="-3"/>
          <w:sz w:val="20"/>
        </w:rPr>
        <w:t xml:space="preserve"> </w:t>
      </w:r>
      <w:r>
        <w:rPr>
          <w:i/>
          <w:sz w:val="20"/>
        </w:rPr>
        <w:t>cit.,</w:t>
      </w:r>
      <w:r>
        <w:rPr>
          <w:i/>
          <w:spacing w:val="-2"/>
          <w:sz w:val="20"/>
        </w:rPr>
        <w:t xml:space="preserve"> </w:t>
      </w:r>
      <w:r>
        <w:rPr>
          <w:sz w:val="20"/>
        </w:rPr>
        <w:t>2015,</w:t>
      </w:r>
      <w:r>
        <w:rPr>
          <w:spacing w:val="-3"/>
          <w:sz w:val="20"/>
        </w:rPr>
        <w:t xml:space="preserve"> </w:t>
      </w:r>
      <w:r>
        <w:rPr>
          <w:sz w:val="20"/>
        </w:rPr>
        <w:t>p.</w:t>
      </w:r>
      <w:r>
        <w:rPr>
          <w:spacing w:val="-5"/>
          <w:sz w:val="20"/>
        </w:rPr>
        <w:t xml:space="preserve"> 157</w:t>
      </w:r>
    </w:p>
    <w:p w:rsidR="007259F2" w:rsidRDefault="00E655B4">
      <w:pPr>
        <w:ind w:left="710"/>
        <w:rPr>
          <w:sz w:val="20"/>
        </w:rPr>
      </w:pPr>
      <w:r>
        <w:rPr>
          <w:sz w:val="20"/>
          <w:vertAlign w:val="superscript"/>
        </w:rPr>
        <w:t>48</w:t>
      </w:r>
      <w:r>
        <w:rPr>
          <w:spacing w:val="-6"/>
          <w:sz w:val="20"/>
        </w:rPr>
        <w:t xml:space="preserve"> </w:t>
      </w:r>
      <w:r>
        <w:rPr>
          <w:sz w:val="20"/>
        </w:rPr>
        <w:t>BALEEIRO;</w:t>
      </w:r>
      <w:r>
        <w:rPr>
          <w:spacing w:val="-5"/>
          <w:sz w:val="20"/>
        </w:rPr>
        <w:t xml:space="preserve"> </w:t>
      </w:r>
      <w:r>
        <w:rPr>
          <w:sz w:val="20"/>
        </w:rPr>
        <w:t>DERZI,</w:t>
      </w:r>
      <w:r>
        <w:rPr>
          <w:spacing w:val="-4"/>
          <w:sz w:val="20"/>
        </w:rPr>
        <w:t xml:space="preserve"> </w:t>
      </w:r>
      <w:r>
        <w:rPr>
          <w:i/>
          <w:sz w:val="20"/>
        </w:rPr>
        <w:t>op.</w:t>
      </w:r>
      <w:r>
        <w:rPr>
          <w:i/>
          <w:spacing w:val="-5"/>
          <w:sz w:val="20"/>
        </w:rPr>
        <w:t xml:space="preserve"> </w:t>
      </w:r>
      <w:r>
        <w:rPr>
          <w:i/>
          <w:spacing w:val="-4"/>
          <w:sz w:val="20"/>
        </w:rPr>
        <w:t>cit</w:t>
      </w:r>
      <w:r>
        <w:rPr>
          <w:spacing w:val="-4"/>
          <w:sz w:val="20"/>
        </w:rPr>
        <w:t>.</w:t>
      </w:r>
    </w:p>
    <w:p w:rsidR="007259F2" w:rsidRDefault="00E655B4">
      <w:pPr>
        <w:spacing w:before="1"/>
        <w:ind w:left="710" w:right="988"/>
        <w:jc w:val="both"/>
        <w:rPr>
          <w:sz w:val="20"/>
        </w:rPr>
      </w:pPr>
      <w:r>
        <w:rPr>
          <w:sz w:val="20"/>
          <w:vertAlign w:val="superscript"/>
        </w:rPr>
        <w:t>49</w:t>
      </w:r>
      <w:r>
        <w:rPr>
          <w:sz w:val="20"/>
        </w:rPr>
        <w:t xml:space="preserve"> PEREIRA, Manuel Henrique de Freitas (1986). </w:t>
      </w:r>
      <w:r>
        <w:rPr>
          <w:b/>
          <w:sz w:val="20"/>
        </w:rPr>
        <w:t xml:space="preserve">A periodização do lucro tributável. </w:t>
      </w:r>
      <w:r>
        <w:rPr>
          <w:sz w:val="20"/>
        </w:rPr>
        <w:t>Dissertação de Mestrado, Universidade Técnica de Lisboa. Lisboa: Instituto Superior de Economia, 1986. Disponível</w:t>
      </w:r>
      <w:r>
        <w:rPr>
          <w:spacing w:val="40"/>
          <w:sz w:val="20"/>
        </w:rPr>
        <w:t xml:space="preserve"> </w:t>
      </w:r>
      <w:r>
        <w:rPr>
          <w:sz w:val="20"/>
        </w:rPr>
        <w:t xml:space="preserve">em: </w:t>
      </w:r>
      <w:hyperlink r:id="rId100">
        <w:r>
          <w:rPr>
            <w:sz w:val="20"/>
          </w:rPr>
          <w:t>http://hdl.handle.net/10400.5/12349.</w:t>
        </w:r>
      </w:hyperlink>
      <w:r>
        <w:rPr>
          <w:sz w:val="20"/>
        </w:rPr>
        <w:t xml:space="preserve"> Acesso em: 04. fev. 2022.</w:t>
      </w:r>
    </w:p>
    <w:p w:rsidR="007259F2" w:rsidRDefault="00E655B4">
      <w:pPr>
        <w:spacing w:before="1"/>
        <w:ind w:left="710"/>
        <w:rPr>
          <w:sz w:val="20"/>
        </w:rPr>
      </w:pPr>
      <w:r>
        <w:rPr>
          <w:sz w:val="20"/>
          <w:vertAlign w:val="superscript"/>
        </w:rPr>
        <w:t>50</w:t>
      </w:r>
      <w:r>
        <w:rPr>
          <w:spacing w:val="-6"/>
          <w:sz w:val="20"/>
        </w:rPr>
        <w:t xml:space="preserve"> </w:t>
      </w:r>
      <w:r>
        <w:rPr>
          <w:sz w:val="20"/>
        </w:rPr>
        <w:t>BALEEIRO;</w:t>
      </w:r>
      <w:r>
        <w:rPr>
          <w:spacing w:val="-5"/>
          <w:sz w:val="20"/>
        </w:rPr>
        <w:t xml:space="preserve"> </w:t>
      </w:r>
      <w:r>
        <w:rPr>
          <w:sz w:val="20"/>
        </w:rPr>
        <w:t>DERZI,</w:t>
      </w:r>
      <w:r>
        <w:rPr>
          <w:spacing w:val="-4"/>
          <w:sz w:val="20"/>
        </w:rPr>
        <w:t xml:space="preserve"> </w:t>
      </w:r>
      <w:r>
        <w:rPr>
          <w:i/>
          <w:sz w:val="20"/>
        </w:rPr>
        <w:t>op.</w:t>
      </w:r>
      <w:r>
        <w:rPr>
          <w:i/>
          <w:spacing w:val="-5"/>
          <w:sz w:val="20"/>
        </w:rPr>
        <w:t xml:space="preserve"> </w:t>
      </w:r>
      <w:r>
        <w:rPr>
          <w:i/>
          <w:spacing w:val="-4"/>
          <w:sz w:val="20"/>
        </w:rPr>
        <w:t>cit</w:t>
      </w:r>
      <w:r>
        <w:rPr>
          <w:spacing w:val="-4"/>
          <w:sz w:val="20"/>
        </w:rPr>
        <w:t>.</w:t>
      </w:r>
    </w:p>
    <w:p w:rsidR="007259F2" w:rsidRDefault="007259F2">
      <w:pPr>
        <w:rPr>
          <w:sz w:val="20"/>
        </w:rPr>
        <w:sectPr w:rsidR="007259F2">
          <w:pgSz w:w="11910" w:h="16840"/>
          <w:pgMar w:top="1300" w:right="708" w:bottom="1160" w:left="992" w:header="0" w:footer="962" w:gutter="0"/>
          <w:cols w:space="720"/>
        </w:sectPr>
      </w:pPr>
    </w:p>
    <w:p w:rsidR="007259F2" w:rsidRDefault="00E655B4">
      <w:pPr>
        <w:spacing w:before="71"/>
        <w:ind w:left="2978"/>
        <w:jc w:val="both"/>
        <w:rPr>
          <w:sz w:val="20"/>
        </w:rPr>
      </w:pPr>
      <w:r>
        <w:rPr>
          <w:sz w:val="20"/>
        </w:rPr>
        <w:lastRenderedPageBreak/>
        <w:t>jurídica,</w:t>
      </w:r>
      <w:r>
        <w:rPr>
          <w:spacing w:val="-6"/>
          <w:sz w:val="20"/>
        </w:rPr>
        <w:t xml:space="preserve"> </w:t>
      </w:r>
      <w:r>
        <w:rPr>
          <w:sz w:val="20"/>
        </w:rPr>
        <w:t>domiciliada</w:t>
      </w:r>
      <w:r>
        <w:rPr>
          <w:spacing w:val="-7"/>
          <w:sz w:val="20"/>
        </w:rPr>
        <w:t xml:space="preserve"> </w:t>
      </w:r>
      <w:r>
        <w:rPr>
          <w:sz w:val="20"/>
        </w:rPr>
        <w:t>no</w:t>
      </w:r>
      <w:r>
        <w:rPr>
          <w:spacing w:val="-6"/>
          <w:sz w:val="20"/>
        </w:rPr>
        <w:t xml:space="preserve"> </w:t>
      </w:r>
      <w:r>
        <w:rPr>
          <w:sz w:val="20"/>
        </w:rPr>
        <w:t>país</w:t>
      </w:r>
      <w:r>
        <w:rPr>
          <w:spacing w:val="-8"/>
          <w:sz w:val="20"/>
        </w:rPr>
        <w:t xml:space="preserve"> </w:t>
      </w:r>
      <w:r>
        <w:rPr>
          <w:sz w:val="20"/>
        </w:rPr>
        <w:t>ou</w:t>
      </w:r>
      <w:r>
        <w:rPr>
          <w:spacing w:val="-8"/>
          <w:sz w:val="20"/>
        </w:rPr>
        <w:t xml:space="preserve"> </w:t>
      </w:r>
      <w:r>
        <w:rPr>
          <w:sz w:val="20"/>
        </w:rPr>
        <w:t>exterior(...).</w:t>
      </w:r>
      <w:r>
        <w:rPr>
          <w:spacing w:val="-7"/>
          <w:sz w:val="20"/>
        </w:rPr>
        <w:t xml:space="preserve"> </w:t>
      </w:r>
      <w:r>
        <w:rPr>
          <w:sz w:val="20"/>
        </w:rPr>
        <w:t>(BRASIL,</w:t>
      </w:r>
      <w:r>
        <w:rPr>
          <w:spacing w:val="-7"/>
          <w:sz w:val="20"/>
        </w:rPr>
        <w:t xml:space="preserve"> </w:t>
      </w:r>
      <w:r>
        <w:rPr>
          <w:spacing w:val="-2"/>
          <w:sz w:val="20"/>
        </w:rPr>
        <w:t>1995)</w:t>
      </w:r>
    </w:p>
    <w:p w:rsidR="007259F2" w:rsidRDefault="007259F2">
      <w:pPr>
        <w:pStyle w:val="Corpodetexto"/>
        <w:spacing w:before="23"/>
        <w:ind w:left="0" w:firstLine="0"/>
        <w:jc w:val="left"/>
        <w:rPr>
          <w:sz w:val="20"/>
        </w:rPr>
      </w:pPr>
    </w:p>
    <w:p w:rsidR="007259F2" w:rsidRDefault="00E655B4">
      <w:pPr>
        <w:pStyle w:val="Corpodetexto"/>
        <w:ind w:right="989"/>
        <w:rPr>
          <w:i/>
        </w:rPr>
      </w:pPr>
      <w:r>
        <w:t xml:space="preserve">Segundo tal norma, o dividendo distribuído por pessoa jurídica tributada com base no lucro real, presumido ou arbitrado, e com base nos resultados apurados a partir de janeiro de 1996, é isento de Imposto de Renda. Portanto, pode-se inferir que se o lucro está enquadrado nas condições acima, a isenção do imposto é integral e incondicional sobre qualquer valor que a regra define como </w:t>
      </w:r>
      <w:r>
        <w:rPr>
          <w:i/>
        </w:rPr>
        <w:t>“dividendo”.</w:t>
      </w:r>
    </w:p>
    <w:p w:rsidR="007259F2" w:rsidRDefault="00E655B4">
      <w:pPr>
        <w:spacing w:before="1"/>
        <w:ind w:left="710" w:right="989" w:firstLine="707"/>
        <w:jc w:val="both"/>
        <w:rPr>
          <w:i/>
          <w:sz w:val="24"/>
        </w:rPr>
      </w:pPr>
      <w:r>
        <w:rPr>
          <w:sz w:val="24"/>
        </w:rPr>
        <w:t>Como ensina Andrea Bazzo Lauletta</w:t>
      </w:r>
      <w:r>
        <w:rPr>
          <w:sz w:val="24"/>
          <w:vertAlign w:val="superscript"/>
        </w:rPr>
        <w:t>51</w:t>
      </w:r>
      <w:r>
        <w:rPr>
          <w:sz w:val="24"/>
        </w:rPr>
        <w:t>: “</w:t>
      </w:r>
      <w:r>
        <w:rPr>
          <w:i/>
          <w:sz w:val="24"/>
        </w:rPr>
        <w:t xml:space="preserve">Os dividendos são valores pagos aos </w:t>
      </w:r>
      <w:r>
        <w:rPr>
          <w:i/>
          <w:spacing w:val="-2"/>
          <w:sz w:val="24"/>
        </w:rPr>
        <w:t>acionistas,</w:t>
      </w:r>
      <w:r>
        <w:rPr>
          <w:i/>
          <w:spacing w:val="-4"/>
          <w:sz w:val="24"/>
        </w:rPr>
        <w:t xml:space="preserve"> </w:t>
      </w:r>
      <w:r>
        <w:rPr>
          <w:i/>
          <w:spacing w:val="-2"/>
          <w:sz w:val="24"/>
        </w:rPr>
        <w:t>titulares</w:t>
      </w:r>
      <w:r>
        <w:rPr>
          <w:i/>
          <w:spacing w:val="-4"/>
          <w:sz w:val="24"/>
        </w:rPr>
        <w:t xml:space="preserve"> </w:t>
      </w:r>
      <w:r>
        <w:rPr>
          <w:i/>
          <w:spacing w:val="-2"/>
          <w:sz w:val="24"/>
        </w:rPr>
        <w:t>ou</w:t>
      </w:r>
      <w:r>
        <w:rPr>
          <w:i/>
          <w:spacing w:val="-4"/>
          <w:sz w:val="24"/>
        </w:rPr>
        <w:t xml:space="preserve"> </w:t>
      </w:r>
      <w:r>
        <w:rPr>
          <w:i/>
          <w:spacing w:val="-2"/>
          <w:sz w:val="24"/>
        </w:rPr>
        <w:t>sócios,</w:t>
      </w:r>
      <w:r>
        <w:rPr>
          <w:i/>
          <w:spacing w:val="-4"/>
          <w:sz w:val="24"/>
        </w:rPr>
        <w:t xml:space="preserve"> </w:t>
      </w:r>
      <w:r>
        <w:rPr>
          <w:i/>
          <w:spacing w:val="-2"/>
          <w:sz w:val="24"/>
        </w:rPr>
        <w:t>decorrentes da</w:t>
      </w:r>
      <w:r>
        <w:rPr>
          <w:i/>
          <w:spacing w:val="-4"/>
          <w:sz w:val="24"/>
        </w:rPr>
        <w:t xml:space="preserve"> </w:t>
      </w:r>
      <w:r>
        <w:rPr>
          <w:i/>
          <w:spacing w:val="-2"/>
          <w:sz w:val="24"/>
        </w:rPr>
        <w:t>distribuição</w:t>
      </w:r>
      <w:r>
        <w:rPr>
          <w:i/>
          <w:spacing w:val="-3"/>
          <w:sz w:val="24"/>
        </w:rPr>
        <w:t xml:space="preserve"> </w:t>
      </w:r>
      <w:r>
        <w:rPr>
          <w:i/>
          <w:spacing w:val="-2"/>
          <w:sz w:val="24"/>
        </w:rPr>
        <w:t>do</w:t>
      </w:r>
      <w:r>
        <w:rPr>
          <w:i/>
          <w:spacing w:val="-4"/>
          <w:sz w:val="24"/>
        </w:rPr>
        <w:t xml:space="preserve"> </w:t>
      </w:r>
      <w:r>
        <w:rPr>
          <w:i/>
          <w:spacing w:val="-2"/>
          <w:sz w:val="24"/>
        </w:rPr>
        <w:t>resultado</w:t>
      </w:r>
      <w:r>
        <w:rPr>
          <w:i/>
          <w:spacing w:val="-4"/>
          <w:sz w:val="24"/>
        </w:rPr>
        <w:t xml:space="preserve"> </w:t>
      </w:r>
      <w:r>
        <w:rPr>
          <w:i/>
          <w:spacing w:val="-2"/>
          <w:sz w:val="24"/>
        </w:rPr>
        <w:t>da</w:t>
      </w:r>
      <w:r>
        <w:rPr>
          <w:i/>
          <w:spacing w:val="-4"/>
          <w:sz w:val="24"/>
        </w:rPr>
        <w:t xml:space="preserve"> </w:t>
      </w:r>
      <w:r>
        <w:rPr>
          <w:i/>
          <w:spacing w:val="-2"/>
          <w:sz w:val="24"/>
        </w:rPr>
        <w:t>sociedade,</w:t>
      </w:r>
      <w:r>
        <w:rPr>
          <w:i/>
          <w:spacing w:val="-4"/>
          <w:sz w:val="24"/>
        </w:rPr>
        <w:t xml:space="preserve"> </w:t>
      </w:r>
      <w:r>
        <w:rPr>
          <w:i/>
          <w:spacing w:val="-2"/>
          <w:sz w:val="24"/>
        </w:rPr>
        <w:t xml:space="preserve">por </w:t>
      </w:r>
      <w:r>
        <w:rPr>
          <w:i/>
          <w:sz w:val="24"/>
        </w:rPr>
        <w:t>meio da apuração do seu lucro líquido do exercício, de lucros acumulados e de reserva de lucros”.</w:t>
      </w:r>
    </w:p>
    <w:p w:rsidR="007259F2" w:rsidRDefault="00E655B4">
      <w:pPr>
        <w:pStyle w:val="Corpodetexto"/>
        <w:ind w:left="1418" w:firstLine="0"/>
      </w:pPr>
      <w:r>
        <w:t>Sobre</w:t>
      </w:r>
      <w:r>
        <w:rPr>
          <w:spacing w:val="-3"/>
        </w:rPr>
        <w:t xml:space="preserve"> </w:t>
      </w:r>
      <w:r>
        <w:t>o assunto,</w:t>
      </w:r>
      <w:r>
        <w:rPr>
          <w:spacing w:val="-1"/>
        </w:rPr>
        <w:t xml:space="preserve"> </w:t>
      </w:r>
      <w:r>
        <w:t>determina</w:t>
      </w:r>
      <w:r>
        <w:rPr>
          <w:spacing w:val="-1"/>
        </w:rPr>
        <w:t xml:space="preserve"> </w:t>
      </w:r>
      <w:r>
        <w:t>o</w:t>
      </w:r>
      <w:r>
        <w:rPr>
          <w:spacing w:val="-1"/>
        </w:rPr>
        <w:t xml:space="preserve"> </w:t>
      </w:r>
      <w:r>
        <w:t>art. 201</w:t>
      </w:r>
      <w:r>
        <w:rPr>
          <w:spacing w:val="-1"/>
        </w:rPr>
        <w:t xml:space="preserve"> </w:t>
      </w:r>
      <w:r>
        <w:t>da Lei</w:t>
      </w:r>
      <w:r>
        <w:rPr>
          <w:spacing w:val="-1"/>
        </w:rPr>
        <w:t xml:space="preserve"> </w:t>
      </w:r>
      <w:r>
        <w:t>de Sociedade</w:t>
      </w:r>
      <w:r>
        <w:rPr>
          <w:spacing w:val="-14"/>
        </w:rPr>
        <w:t xml:space="preserve"> </w:t>
      </w:r>
      <w:r>
        <w:rPr>
          <w:spacing w:val="-2"/>
        </w:rPr>
        <w:t>Anônima:</w:t>
      </w:r>
    </w:p>
    <w:p w:rsidR="007259F2" w:rsidRDefault="007259F2">
      <w:pPr>
        <w:pStyle w:val="Corpodetexto"/>
        <w:spacing w:before="1"/>
        <w:ind w:left="0" w:firstLine="0"/>
        <w:jc w:val="left"/>
      </w:pPr>
    </w:p>
    <w:p w:rsidR="007259F2" w:rsidRDefault="00E655B4">
      <w:pPr>
        <w:spacing w:before="1"/>
        <w:ind w:left="2978" w:right="995"/>
        <w:jc w:val="both"/>
        <w:rPr>
          <w:sz w:val="20"/>
        </w:rPr>
      </w:pPr>
      <w:r>
        <w:rPr>
          <w:sz w:val="20"/>
        </w:rPr>
        <w:t>Art. 201. A companhia somente pode pagar dividendos à conta de lucro líquido do exercício, de lucros acumulados e de reserva de lucros; e à conta</w:t>
      </w:r>
      <w:r>
        <w:rPr>
          <w:spacing w:val="40"/>
          <w:sz w:val="20"/>
        </w:rPr>
        <w:t xml:space="preserve"> </w:t>
      </w:r>
      <w:r>
        <w:rPr>
          <w:sz w:val="20"/>
        </w:rPr>
        <w:t>de reserva de capital, no caso das ações preferenciais de que trata o § 5º do artigo 17.</w:t>
      </w:r>
    </w:p>
    <w:p w:rsidR="007259F2" w:rsidRDefault="00E655B4">
      <w:pPr>
        <w:ind w:left="2978" w:right="990"/>
        <w:jc w:val="both"/>
        <w:rPr>
          <w:sz w:val="20"/>
        </w:rPr>
      </w:pPr>
      <w:r>
        <w:rPr>
          <w:sz w:val="20"/>
        </w:rPr>
        <w:t>§ 1º A</w:t>
      </w:r>
      <w:r>
        <w:rPr>
          <w:spacing w:val="-1"/>
          <w:sz w:val="20"/>
        </w:rPr>
        <w:t xml:space="preserve"> </w:t>
      </w:r>
      <w:r>
        <w:rPr>
          <w:sz w:val="20"/>
        </w:rPr>
        <w:t>distribuição de dividendos com</w:t>
      </w:r>
      <w:r>
        <w:rPr>
          <w:spacing w:val="-2"/>
          <w:sz w:val="20"/>
        </w:rPr>
        <w:t xml:space="preserve"> </w:t>
      </w:r>
      <w:r>
        <w:rPr>
          <w:sz w:val="20"/>
        </w:rPr>
        <w:t>inobservância do disposto neste artigo implica responsabilidade solidária dos administradores e fiscais, que deverão repor à</w:t>
      </w:r>
      <w:r>
        <w:rPr>
          <w:spacing w:val="-1"/>
          <w:sz w:val="20"/>
        </w:rPr>
        <w:t xml:space="preserve"> </w:t>
      </w:r>
      <w:r>
        <w:rPr>
          <w:sz w:val="20"/>
        </w:rPr>
        <w:t>caixa</w:t>
      </w:r>
      <w:r>
        <w:rPr>
          <w:spacing w:val="-1"/>
          <w:sz w:val="20"/>
        </w:rPr>
        <w:t xml:space="preserve"> </w:t>
      </w:r>
      <w:r>
        <w:rPr>
          <w:sz w:val="20"/>
        </w:rPr>
        <w:t>social</w:t>
      </w:r>
      <w:r>
        <w:rPr>
          <w:spacing w:val="-1"/>
          <w:sz w:val="20"/>
        </w:rPr>
        <w:t xml:space="preserve"> </w:t>
      </w:r>
      <w:r>
        <w:rPr>
          <w:sz w:val="20"/>
        </w:rPr>
        <w:t>a</w:t>
      </w:r>
      <w:r>
        <w:rPr>
          <w:spacing w:val="-1"/>
          <w:sz w:val="20"/>
        </w:rPr>
        <w:t xml:space="preserve"> </w:t>
      </w:r>
      <w:r>
        <w:rPr>
          <w:sz w:val="20"/>
        </w:rPr>
        <w:t>importância distribuída, sem</w:t>
      </w:r>
      <w:r>
        <w:rPr>
          <w:spacing w:val="-4"/>
          <w:sz w:val="20"/>
        </w:rPr>
        <w:t xml:space="preserve"> </w:t>
      </w:r>
      <w:r>
        <w:rPr>
          <w:sz w:val="20"/>
        </w:rPr>
        <w:t>prejuízo da</w:t>
      </w:r>
      <w:r>
        <w:rPr>
          <w:spacing w:val="-1"/>
          <w:sz w:val="20"/>
        </w:rPr>
        <w:t xml:space="preserve"> </w:t>
      </w:r>
      <w:r>
        <w:rPr>
          <w:sz w:val="20"/>
        </w:rPr>
        <w:t>ação penal</w:t>
      </w:r>
      <w:r>
        <w:rPr>
          <w:spacing w:val="-1"/>
          <w:sz w:val="20"/>
        </w:rPr>
        <w:t xml:space="preserve"> </w:t>
      </w:r>
      <w:r>
        <w:rPr>
          <w:sz w:val="20"/>
        </w:rPr>
        <w:t>que no caso couber.</w:t>
      </w:r>
    </w:p>
    <w:p w:rsidR="007259F2" w:rsidRDefault="00E655B4">
      <w:pPr>
        <w:ind w:left="2978" w:right="992"/>
        <w:jc w:val="both"/>
        <w:rPr>
          <w:sz w:val="20"/>
        </w:rPr>
      </w:pPr>
      <w:r>
        <w:rPr>
          <w:sz w:val="20"/>
        </w:rPr>
        <w:t>§ 2º Os acionistas não são obrigados a restituir os dividendos que em boa-fé tenham recebido. Presume-se a má-fé quando os dividendos forem distribuídos sem o levantamento do balanço ou em desacordo com os resultados deste.</w:t>
      </w:r>
    </w:p>
    <w:p w:rsidR="007259F2" w:rsidRDefault="00E655B4">
      <w:pPr>
        <w:pStyle w:val="Corpodetexto"/>
        <w:spacing w:before="227"/>
        <w:ind w:right="986"/>
      </w:pPr>
      <w:r>
        <w:t>Destarte, os dividendos partem de valores de lucros da sociedade, a partir de deliberação de sua administração.</w:t>
      </w:r>
      <w:r>
        <w:rPr>
          <w:vertAlign w:val="superscript"/>
        </w:rPr>
        <w:t>52</w:t>
      </w:r>
      <w:r>
        <w:t xml:space="preserve"> É hialino que a natureza jurídica do dividendo está totalmente atrelada ao lucro auferido por uma sociedade, sendo correto afirmar que, a existência de lucro possibilita a distribuição de dividendos aqueles que são qualificados a recebê-los.</w:t>
      </w:r>
    </w:p>
    <w:p w:rsidR="007259F2" w:rsidRDefault="00E655B4">
      <w:pPr>
        <w:pStyle w:val="Corpodetexto"/>
        <w:ind w:left="1418" w:firstLine="0"/>
      </w:pPr>
      <w:r>
        <w:t>Conforme</w:t>
      </w:r>
      <w:r>
        <w:rPr>
          <w:spacing w:val="-2"/>
        </w:rPr>
        <w:t xml:space="preserve"> </w:t>
      </w:r>
      <w:r>
        <w:t>define</w:t>
      </w:r>
      <w:r>
        <w:rPr>
          <w:spacing w:val="-4"/>
        </w:rPr>
        <w:t xml:space="preserve"> </w:t>
      </w:r>
      <w:r>
        <w:t>De</w:t>
      </w:r>
      <w:r>
        <w:rPr>
          <w:spacing w:val="-4"/>
        </w:rPr>
        <w:t xml:space="preserve"> </w:t>
      </w:r>
      <w:r>
        <w:t>Plácido e</w:t>
      </w:r>
      <w:r>
        <w:rPr>
          <w:spacing w:val="-2"/>
        </w:rPr>
        <w:t xml:space="preserve"> </w:t>
      </w:r>
      <w:r>
        <w:t>Silva</w:t>
      </w:r>
      <w:r>
        <w:rPr>
          <w:vertAlign w:val="superscript"/>
        </w:rPr>
        <w:t>53</w:t>
      </w:r>
      <w:r>
        <w:t>,</w:t>
      </w:r>
      <w:r>
        <w:rPr>
          <w:spacing w:val="-1"/>
        </w:rPr>
        <w:t xml:space="preserve"> </w:t>
      </w:r>
      <w:r>
        <w:t>os dividendos</w:t>
      </w:r>
      <w:r>
        <w:rPr>
          <w:spacing w:val="-1"/>
        </w:rPr>
        <w:t xml:space="preserve"> </w:t>
      </w:r>
      <w:r>
        <w:t>são</w:t>
      </w:r>
      <w:r>
        <w:rPr>
          <w:spacing w:val="-1"/>
        </w:rPr>
        <w:t xml:space="preserve"> </w:t>
      </w:r>
      <w:r>
        <w:t>nada</w:t>
      </w:r>
      <w:r>
        <w:rPr>
          <w:spacing w:val="-4"/>
        </w:rPr>
        <w:t xml:space="preserve"> </w:t>
      </w:r>
      <w:r>
        <w:t>mais</w:t>
      </w:r>
      <w:r>
        <w:rPr>
          <w:spacing w:val="-1"/>
        </w:rPr>
        <w:t xml:space="preserve"> </w:t>
      </w:r>
      <w:r>
        <w:rPr>
          <w:spacing w:val="-4"/>
        </w:rPr>
        <w:t>que:</w:t>
      </w:r>
    </w:p>
    <w:p w:rsidR="007259F2" w:rsidRDefault="007259F2">
      <w:pPr>
        <w:pStyle w:val="Corpodetexto"/>
        <w:spacing w:before="1"/>
        <w:ind w:left="0" w:firstLine="0"/>
        <w:jc w:val="left"/>
      </w:pPr>
    </w:p>
    <w:p w:rsidR="007259F2" w:rsidRDefault="00E655B4">
      <w:pPr>
        <w:ind w:left="2978" w:right="988"/>
        <w:jc w:val="both"/>
        <w:rPr>
          <w:sz w:val="20"/>
        </w:rPr>
      </w:pPr>
      <w:r>
        <w:rPr>
          <w:sz w:val="20"/>
        </w:rPr>
        <w:t>(...) a percentagem ou rendimento que cabe aos sócios ou acionistas de uma sociedade. Representa, nesse sentido, a parte do lucro que compete ao sócio, segundo o valor de sua cota ou cotas no capital da sociedade, o qual, denominado de lucro líquido, desde que está apurado de todos os rebates e abatimentos contratuais, estatutários ou legais, é distribuído na conformidade do que nos contratos ou estatutos, está prescrito.</w:t>
      </w:r>
      <w:r>
        <w:rPr>
          <w:sz w:val="20"/>
          <w:vertAlign w:val="superscript"/>
        </w:rPr>
        <w:t>54</w:t>
      </w:r>
    </w:p>
    <w:p w:rsidR="007259F2" w:rsidRDefault="007259F2">
      <w:pPr>
        <w:pStyle w:val="Corpodetexto"/>
        <w:spacing w:before="24"/>
        <w:ind w:left="0" w:firstLine="0"/>
        <w:jc w:val="left"/>
        <w:rPr>
          <w:sz w:val="20"/>
        </w:rPr>
      </w:pPr>
    </w:p>
    <w:p w:rsidR="007259F2" w:rsidRDefault="00E655B4">
      <w:pPr>
        <w:pStyle w:val="Corpodetexto"/>
        <w:ind w:right="987"/>
      </w:pPr>
      <w:r>
        <w:t>Nos ensinamentos de José Edwaldo Tavares Borba</w:t>
      </w:r>
      <w:r>
        <w:rPr>
          <w:vertAlign w:val="superscript"/>
        </w:rPr>
        <w:t>55</w:t>
      </w:r>
      <w:r>
        <w:t>, os dividendos podem ser definidos da seguinte forma:</w:t>
      </w:r>
    </w:p>
    <w:p w:rsidR="007259F2" w:rsidRDefault="007259F2">
      <w:pPr>
        <w:pStyle w:val="Corpodetexto"/>
        <w:spacing w:before="1"/>
        <w:ind w:left="0" w:firstLine="0"/>
        <w:jc w:val="left"/>
      </w:pPr>
    </w:p>
    <w:p w:rsidR="007259F2" w:rsidRDefault="00E655B4">
      <w:pPr>
        <w:spacing w:before="1"/>
        <w:ind w:left="2978" w:right="990"/>
        <w:jc w:val="both"/>
        <w:rPr>
          <w:sz w:val="20"/>
        </w:rPr>
      </w:pPr>
      <w:r>
        <w:rPr>
          <w:sz w:val="20"/>
        </w:rPr>
        <w:t>Os</w:t>
      </w:r>
      <w:r>
        <w:rPr>
          <w:spacing w:val="-1"/>
          <w:sz w:val="20"/>
        </w:rPr>
        <w:t xml:space="preserve"> </w:t>
      </w:r>
      <w:r>
        <w:rPr>
          <w:sz w:val="20"/>
        </w:rPr>
        <w:t>lucros</w:t>
      </w:r>
      <w:r>
        <w:rPr>
          <w:spacing w:val="-1"/>
          <w:sz w:val="20"/>
        </w:rPr>
        <w:t xml:space="preserve"> </w:t>
      </w:r>
      <w:r>
        <w:rPr>
          <w:sz w:val="20"/>
        </w:rPr>
        <w:t>distribuídos</w:t>
      </w:r>
      <w:r>
        <w:rPr>
          <w:spacing w:val="-1"/>
          <w:sz w:val="20"/>
        </w:rPr>
        <w:t xml:space="preserve"> </w:t>
      </w:r>
      <w:r>
        <w:rPr>
          <w:sz w:val="20"/>
        </w:rPr>
        <w:t>pelas sociedades anônimas</w:t>
      </w:r>
      <w:r>
        <w:rPr>
          <w:spacing w:val="-1"/>
          <w:sz w:val="20"/>
        </w:rPr>
        <w:t xml:space="preserve"> </w:t>
      </w:r>
      <w:r>
        <w:rPr>
          <w:sz w:val="20"/>
        </w:rPr>
        <w:t>a seus acionistas</w:t>
      </w:r>
      <w:r>
        <w:rPr>
          <w:spacing w:val="-1"/>
          <w:sz w:val="20"/>
        </w:rPr>
        <w:t xml:space="preserve"> </w:t>
      </w:r>
      <w:r>
        <w:rPr>
          <w:sz w:val="20"/>
        </w:rPr>
        <w:t>recebem</w:t>
      </w:r>
      <w:r>
        <w:rPr>
          <w:spacing w:val="-2"/>
          <w:sz w:val="20"/>
        </w:rPr>
        <w:t xml:space="preserve"> </w:t>
      </w:r>
      <w:r>
        <w:rPr>
          <w:sz w:val="20"/>
        </w:rPr>
        <w:t>o nome de dividendos (...) A distribuição de qualquer importância aos acionistas, a título de dividendo, encontra-se condicionada à existência de lucros na sociedade, apenas podendo ter essa destinação o lucro líquido do exercício, os lucros acumulados e as reservas de lucro. (...) O primeiro resquício para o pagamento de dividendos é a ocorrência de lucros (...).</w:t>
      </w:r>
    </w:p>
    <w:p w:rsidR="007259F2" w:rsidRDefault="00DE6B1C">
      <w:pPr>
        <w:pStyle w:val="Corpodetexto"/>
        <w:spacing w:before="1"/>
        <w:ind w:left="0" w:firstLine="0"/>
        <w:jc w:val="left"/>
        <w:rPr>
          <w:sz w:val="18"/>
        </w:rPr>
      </w:pPr>
      <w:r w:rsidRPr="00DE6B1C">
        <w:rPr>
          <w:sz w:val="18"/>
        </w:rPr>
        <w:pict>
          <v:rect id="docshape86" o:spid="_x0000_s1140" style="position:absolute;margin-left:85.1pt;margin-top:11.6pt;width:2in;height:.7pt;z-index:-15692800;mso-wrap-distance-left:0;mso-wrap-distance-right:0;mso-position-horizontal-relative:page" fillcolor="black" stroked="f">
            <w10:wrap type="topAndBottom" anchorx="page"/>
          </v:rect>
        </w:pict>
      </w:r>
    </w:p>
    <w:p w:rsidR="007259F2" w:rsidRDefault="00E655B4">
      <w:pPr>
        <w:spacing w:before="94"/>
        <w:ind w:left="710"/>
        <w:rPr>
          <w:sz w:val="20"/>
        </w:rPr>
      </w:pPr>
      <w:r>
        <w:rPr>
          <w:sz w:val="20"/>
          <w:vertAlign w:val="superscript"/>
        </w:rPr>
        <w:t>51</w:t>
      </w:r>
      <w:r>
        <w:rPr>
          <w:spacing w:val="38"/>
          <w:sz w:val="20"/>
        </w:rPr>
        <w:t xml:space="preserve"> </w:t>
      </w:r>
      <w:r>
        <w:rPr>
          <w:i/>
          <w:sz w:val="20"/>
        </w:rPr>
        <w:t>Apud</w:t>
      </w:r>
      <w:r>
        <w:rPr>
          <w:i/>
          <w:spacing w:val="38"/>
          <w:sz w:val="20"/>
        </w:rPr>
        <w:t xml:space="preserve"> </w:t>
      </w:r>
      <w:r>
        <w:rPr>
          <w:sz w:val="20"/>
        </w:rPr>
        <w:t>MOSQUERA,</w:t>
      </w:r>
      <w:r>
        <w:rPr>
          <w:spacing w:val="38"/>
          <w:sz w:val="20"/>
        </w:rPr>
        <w:t xml:space="preserve"> </w:t>
      </w:r>
      <w:r>
        <w:rPr>
          <w:sz w:val="20"/>
        </w:rPr>
        <w:t>Roberto</w:t>
      </w:r>
      <w:r>
        <w:rPr>
          <w:spacing w:val="39"/>
          <w:sz w:val="20"/>
        </w:rPr>
        <w:t xml:space="preserve"> </w:t>
      </w:r>
      <w:r>
        <w:rPr>
          <w:sz w:val="20"/>
        </w:rPr>
        <w:t>Quiroga.</w:t>
      </w:r>
      <w:r>
        <w:rPr>
          <w:spacing w:val="40"/>
          <w:sz w:val="20"/>
        </w:rPr>
        <w:t xml:space="preserve"> </w:t>
      </w:r>
      <w:r>
        <w:rPr>
          <w:i/>
          <w:sz w:val="20"/>
        </w:rPr>
        <w:t>et</w:t>
      </w:r>
      <w:r>
        <w:rPr>
          <w:i/>
          <w:spacing w:val="38"/>
          <w:sz w:val="20"/>
        </w:rPr>
        <w:t xml:space="preserve"> </w:t>
      </w:r>
      <w:r>
        <w:rPr>
          <w:i/>
          <w:sz w:val="20"/>
        </w:rPr>
        <w:t>al.</w:t>
      </w:r>
      <w:r>
        <w:rPr>
          <w:i/>
          <w:spacing w:val="39"/>
          <w:sz w:val="20"/>
        </w:rPr>
        <w:t xml:space="preserve"> </w:t>
      </w:r>
      <w:r>
        <w:rPr>
          <w:b/>
          <w:sz w:val="20"/>
        </w:rPr>
        <w:t>Controvérsias</w:t>
      </w:r>
      <w:r>
        <w:rPr>
          <w:b/>
          <w:spacing w:val="37"/>
          <w:sz w:val="20"/>
        </w:rPr>
        <w:t xml:space="preserve"> </w:t>
      </w:r>
      <w:r>
        <w:rPr>
          <w:b/>
          <w:sz w:val="20"/>
        </w:rPr>
        <w:t>Jurídico-Contábeis</w:t>
      </w:r>
      <w:r>
        <w:rPr>
          <w:b/>
          <w:spacing w:val="37"/>
          <w:sz w:val="20"/>
        </w:rPr>
        <w:t xml:space="preserve"> </w:t>
      </w:r>
      <w:r>
        <w:rPr>
          <w:sz w:val="20"/>
        </w:rPr>
        <w:t>(Aproximações</w:t>
      </w:r>
      <w:r>
        <w:rPr>
          <w:spacing w:val="38"/>
          <w:sz w:val="20"/>
        </w:rPr>
        <w:t xml:space="preserve"> </w:t>
      </w:r>
      <w:r>
        <w:rPr>
          <w:sz w:val="20"/>
        </w:rPr>
        <w:t>e Distanciamentos). São Paulo - SP: Dialética, 2014. v. 5</w:t>
      </w:r>
    </w:p>
    <w:p w:rsidR="007259F2" w:rsidRDefault="00E655B4">
      <w:pPr>
        <w:spacing w:before="1"/>
        <w:ind w:left="710"/>
        <w:rPr>
          <w:sz w:val="20"/>
        </w:rPr>
      </w:pPr>
      <w:r>
        <w:rPr>
          <w:sz w:val="20"/>
          <w:vertAlign w:val="superscript"/>
        </w:rPr>
        <w:t>52</w:t>
      </w:r>
      <w:r>
        <w:rPr>
          <w:spacing w:val="-6"/>
          <w:sz w:val="20"/>
        </w:rPr>
        <w:t xml:space="preserve"> </w:t>
      </w:r>
      <w:r>
        <w:rPr>
          <w:sz w:val="20"/>
        </w:rPr>
        <w:t>Conforme</w:t>
      </w:r>
      <w:r>
        <w:rPr>
          <w:spacing w:val="-4"/>
          <w:sz w:val="20"/>
        </w:rPr>
        <w:t xml:space="preserve"> </w:t>
      </w:r>
      <w:r>
        <w:rPr>
          <w:sz w:val="20"/>
        </w:rPr>
        <w:t>ensina</w:t>
      </w:r>
      <w:r>
        <w:rPr>
          <w:spacing w:val="-4"/>
          <w:sz w:val="20"/>
        </w:rPr>
        <w:t xml:space="preserve"> </w:t>
      </w:r>
      <w:r>
        <w:rPr>
          <w:sz w:val="20"/>
        </w:rPr>
        <w:t>o</w:t>
      </w:r>
      <w:r>
        <w:rPr>
          <w:spacing w:val="-3"/>
          <w:sz w:val="20"/>
        </w:rPr>
        <w:t xml:space="preserve"> </w:t>
      </w:r>
      <w:r>
        <w:rPr>
          <w:sz w:val="20"/>
        </w:rPr>
        <w:t>art.</w:t>
      </w:r>
      <w:r>
        <w:rPr>
          <w:spacing w:val="-5"/>
          <w:sz w:val="20"/>
        </w:rPr>
        <w:t xml:space="preserve"> </w:t>
      </w:r>
      <w:r>
        <w:rPr>
          <w:sz w:val="20"/>
        </w:rPr>
        <w:t>132,</w:t>
      </w:r>
      <w:r>
        <w:rPr>
          <w:spacing w:val="-4"/>
          <w:sz w:val="20"/>
        </w:rPr>
        <w:t xml:space="preserve"> </w:t>
      </w:r>
      <w:r>
        <w:rPr>
          <w:sz w:val="20"/>
        </w:rPr>
        <w:t>inciso</w:t>
      </w:r>
      <w:r>
        <w:rPr>
          <w:spacing w:val="-4"/>
          <w:sz w:val="20"/>
        </w:rPr>
        <w:t xml:space="preserve"> </w:t>
      </w:r>
      <w:r>
        <w:rPr>
          <w:sz w:val="20"/>
        </w:rPr>
        <w:t>II,</w:t>
      </w:r>
      <w:r>
        <w:rPr>
          <w:spacing w:val="-4"/>
          <w:sz w:val="20"/>
        </w:rPr>
        <w:t xml:space="preserve"> </w:t>
      </w:r>
      <w:r>
        <w:rPr>
          <w:sz w:val="20"/>
        </w:rPr>
        <w:t>da</w:t>
      </w:r>
      <w:r>
        <w:rPr>
          <w:spacing w:val="-5"/>
          <w:sz w:val="20"/>
        </w:rPr>
        <w:t xml:space="preserve"> </w:t>
      </w:r>
      <w:r>
        <w:rPr>
          <w:sz w:val="20"/>
        </w:rPr>
        <w:t>Lei</w:t>
      </w:r>
      <w:r>
        <w:rPr>
          <w:spacing w:val="-4"/>
          <w:sz w:val="20"/>
        </w:rPr>
        <w:t xml:space="preserve"> </w:t>
      </w:r>
      <w:r>
        <w:rPr>
          <w:sz w:val="20"/>
        </w:rPr>
        <w:t>das</w:t>
      </w:r>
      <w:r>
        <w:rPr>
          <w:spacing w:val="-5"/>
          <w:sz w:val="20"/>
        </w:rPr>
        <w:t xml:space="preserve"> </w:t>
      </w:r>
      <w:r>
        <w:rPr>
          <w:sz w:val="20"/>
        </w:rPr>
        <w:t>Sociedades</w:t>
      </w:r>
      <w:r>
        <w:rPr>
          <w:spacing w:val="-13"/>
          <w:sz w:val="20"/>
        </w:rPr>
        <w:t xml:space="preserve"> </w:t>
      </w:r>
      <w:r>
        <w:rPr>
          <w:sz w:val="20"/>
        </w:rPr>
        <w:t>Anônimas</w:t>
      </w:r>
      <w:r>
        <w:rPr>
          <w:spacing w:val="-5"/>
          <w:sz w:val="20"/>
        </w:rPr>
        <w:t xml:space="preserve"> </w:t>
      </w:r>
      <w:r>
        <w:rPr>
          <w:sz w:val="20"/>
        </w:rPr>
        <w:t>(Lei</w:t>
      </w:r>
      <w:r>
        <w:rPr>
          <w:spacing w:val="-4"/>
          <w:sz w:val="20"/>
        </w:rPr>
        <w:t xml:space="preserve"> </w:t>
      </w:r>
      <w:r>
        <w:rPr>
          <w:sz w:val="20"/>
        </w:rPr>
        <w:t>nº</w:t>
      </w:r>
      <w:r>
        <w:rPr>
          <w:spacing w:val="6"/>
          <w:sz w:val="20"/>
        </w:rPr>
        <w:t xml:space="preserve"> </w:t>
      </w:r>
      <w:r>
        <w:rPr>
          <w:spacing w:val="-2"/>
          <w:sz w:val="20"/>
        </w:rPr>
        <w:t>6.404/76)</w:t>
      </w:r>
    </w:p>
    <w:p w:rsidR="007259F2" w:rsidRDefault="00E655B4">
      <w:pPr>
        <w:ind w:left="710"/>
        <w:rPr>
          <w:sz w:val="20"/>
        </w:rPr>
      </w:pPr>
      <w:r>
        <w:rPr>
          <w:sz w:val="20"/>
          <w:vertAlign w:val="superscript"/>
        </w:rPr>
        <w:t>53</w:t>
      </w:r>
      <w:r>
        <w:rPr>
          <w:spacing w:val="-8"/>
          <w:sz w:val="20"/>
        </w:rPr>
        <w:t xml:space="preserve"> </w:t>
      </w:r>
      <w:r>
        <w:rPr>
          <w:sz w:val="20"/>
        </w:rPr>
        <w:t>SILVA,</w:t>
      </w:r>
      <w:r>
        <w:rPr>
          <w:spacing w:val="-8"/>
          <w:sz w:val="20"/>
        </w:rPr>
        <w:t xml:space="preserve"> </w:t>
      </w:r>
      <w:r>
        <w:rPr>
          <w:sz w:val="20"/>
        </w:rPr>
        <w:t>De</w:t>
      </w:r>
      <w:r>
        <w:rPr>
          <w:spacing w:val="-8"/>
          <w:sz w:val="20"/>
        </w:rPr>
        <w:t xml:space="preserve"> </w:t>
      </w:r>
      <w:r>
        <w:rPr>
          <w:sz w:val="20"/>
        </w:rPr>
        <w:t>Plácido</w:t>
      </w:r>
      <w:r>
        <w:rPr>
          <w:spacing w:val="-7"/>
          <w:sz w:val="20"/>
        </w:rPr>
        <w:t xml:space="preserve"> </w:t>
      </w:r>
      <w:r>
        <w:rPr>
          <w:sz w:val="20"/>
        </w:rPr>
        <w:t>e.</w:t>
      </w:r>
      <w:r>
        <w:rPr>
          <w:spacing w:val="-6"/>
          <w:sz w:val="20"/>
        </w:rPr>
        <w:t xml:space="preserve"> </w:t>
      </w:r>
      <w:r>
        <w:rPr>
          <w:b/>
          <w:sz w:val="20"/>
        </w:rPr>
        <w:t>Vocabulário</w:t>
      </w:r>
      <w:r>
        <w:rPr>
          <w:b/>
          <w:spacing w:val="-7"/>
          <w:sz w:val="20"/>
        </w:rPr>
        <w:t xml:space="preserve"> </w:t>
      </w:r>
      <w:r>
        <w:rPr>
          <w:b/>
          <w:sz w:val="20"/>
        </w:rPr>
        <w:t>jurídico</w:t>
      </w:r>
      <w:r>
        <w:rPr>
          <w:sz w:val="20"/>
        </w:rPr>
        <w:t>.</w:t>
      </w:r>
      <w:r>
        <w:rPr>
          <w:spacing w:val="-8"/>
          <w:sz w:val="20"/>
        </w:rPr>
        <w:t xml:space="preserve"> </w:t>
      </w:r>
      <w:r>
        <w:rPr>
          <w:sz w:val="20"/>
        </w:rPr>
        <w:t>17.</w:t>
      </w:r>
      <w:r>
        <w:rPr>
          <w:spacing w:val="-8"/>
          <w:sz w:val="20"/>
        </w:rPr>
        <w:t xml:space="preserve"> </w:t>
      </w:r>
      <w:r>
        <w:rPr>
          <w:sz w:val="20"/>
        </w:rPr>
        <w:t>ed.</w:t>
      </w:r>
      <w:r>
        <w:rPr>
          <w:spacing w:val="-8"/>
          <w:sz w:val="20"/>
        </w:rPr>
        <w:t xml:space="preserve"> </w:t>
      </w:r>
      <w:r>
        <w:rPr>
          <w:sz w:val="20"/>
        </w:rPr>
        <w:t>Rio</w:t>
      </w:r>
      <w:r>
        <w:rPr>
          <w:spacing w:val="-7"/>
          <w:sz w:val="20"/>
        </w:rPr>
        <w:t xml:space="preserve"> </w:t>
      </w:r>
      <w:r>
        <w:rPr>
          <w:sz w:val="20"/>
        </w:rPr>
        <w:t>de</w:t>
      </w:r>
      <w:r>
        <w:rPr>
          <w:spacing w:val="-9"/>
          <w:sz w:val="20"/>
        </w:rPr>
        <w:t xml:space="preserve"> </w:t>
      </w:r>
      <w:r>
        <w:rPr>
          <w:sz w:val="20"/>
        </w:rPr>
        <w:t>Janeiro:</w:t>
      </w:r>
      <w:r>
        <w:rPr>
          <w:spacing w:val="-9"/>
          <w:sz w:val="20"/>
        </w:rPr>
        <w:t xml:space="preserve"> </w:t>
      </w:r>
      <w:r>
        <w:rPr>
          <w:sz w:val="20"/>
        </w:rPr>
        <w:t>Forense,</w:t>
      </w:r>
      <w:r>
        <w:rPr>
          <w:spacing w:val="-7"/>
          <w:sz w:val="20"/>
        </w:rPr>
        <w:t xml:space="preserve"> </w:t>
      </w:r>
      <w:r>
        <w:rPr>
          <w:sz w:val="20"/>
        </w:rPr>
        <w:t>2000,</w:t>
      </w:r>
      <w:r>
        <w:rPr>
          <w:spacing w:val="-9"/>
          <w:sz w:val="20"/>
        </w:rPr>
        <w:t xml:space="preserve"> </w:t>
      </w:r>
      <w:r>
        <w:rPr>
          <w:sz w:val="20"/>
        </w:rPr>
        <w:t>873</w:t>
      </w:r>
      <w:r>
        <w:rPr>
          <w:spacing w:val="-9"/>
          <w:sz w:val="20"/>
        </w:rPr>
        <w:t xml:space="preserve"> </w:t>
      </w:r>
      <w:r>
        <w:rPr>
          <w:spacing w:val="-5"/>
          <w:sz w:val="20"/>
        </w:rPr>
        <w:t>p.</w:t>
      </w:r>
    </w:p>
    <w:p w:rsidR="007259F2" w:rsidRDefault="00E655B4">
      <w:pPr>
        <w:spacing w:before="1"/>
        <w:ind w:left="710"/>
        <w:rPr>
          <w:sz w:val="20"/>
        </w:rPr>
      </w:pPr>
      <w:r>
        <w:rPr>
          <w:sz w:val="20"/>
          <w:vertAlign w:val="superscript"/>
        </w:rPr>
        <w:t>54</w:t>
      </w:r>
      <w:r>
        <w:rPr>
          <w:spacing w:val="-5"/>
          <w:sz w:val="20"/>
        </w:rPr>
        <w:t xml:space="preserve"> </w:t>
      </w:r>
      <w:r>
        <w:rPr>
          <w:sz w:val="20"/>
        </w:rPr>
        <w:t>MOSQUERA,</w:t>
      </w:r>
      <w:r>
        <w:rPr>
          <w:spacing w:val="-4"/>
          <w:sz w:val="20"/>
        </w:rPr>
        <w:t xml:space="preserve"> </w:t>
      </w:r>
      <w:r>
        <w:rPr>
          <w:i/>
          <w:sz w:val="20"/>
        </w:rPr>
        <w:t>op.</w:t>
      </w:r>
      <w:r>
        <w:rPr>
          <w:i/>
          <w:spacing w:val="-4"/>
          <w:sz w:val="20"/>
        </w:rPr>
        <w:t xml:space="preserve"> </w:t>
      </w:r>
      <w:r>
        <w:rPr>
          <w:i/>
          <w:sz w:val="20"/>
        </w:rPr>
        <w:t>cit.,</w:t>
      </w:r>
      <w:r>
        <w:rPr>
          <w:i/>
          <w:spacing w:val="-3"/>
          <w:sz w:val="20"/>
        </w:rPr>
        <w:t xml:space="preserve"> </w:t>
      </w:r>
      <w:r>
        <w:rPr>
          <w:spacing w:val="-4"/>
          <w:sz w:val="20"/>
        </w:rPr>
        <w:t>p.15</w:t>
      </w:r>
    </w:p>
    <w:p w:rsidR="007259F2" w:rsidRDefault="00E655B4">
      <w:pPr>
        <w:ind w:left="710"/>
        <w:rPr>
          <w:sz w:val="20"/>
        </w:rPr>
      </w:pPr>
      <w:r>
        <w:rPr>
          <w:sz w:val="20"/>
          <w:vertAlign w:val="superscript"/>
        </w:rPr>
        <w:t>55</w:t>
      </w:r>
      <w:r>
        <w:rPr>
          <w:spacing w:val="-7"/>
          <w:sz w:val="20"/>
        </w:rPr>
        <w:t xml:space="preserve"> </w:t>
      </w:r>
      <w:r>
        <w:rPr>
          <w:sz w:val="20"/>
        </w:rPr>
        <w:t>BORBA,</w:t>
      </w:r>
      <w:r>
        <w:rPr>
          <w:spacing w:val="-7"/>
          <w:sz w:val="20"/>
        </w:rPr>
        <w:t xml:space="preserve"> </w:t>
      </w:r>
      <w:r>
        <w:rPr>
          <w:sz w:val="20"/>
        </w:rPr>
        <w:t>José</w:t>
      </w:r>
      <w:r>
        <w:rPr>
          <w:spacing w:val="-6"/>
          <w:sz w:val="20"/>
        </w:rPr>
        <w:t xml:space="preserve"> </w:t>
      </w:r>
      <w:r>
        <w:rPr>
          <w:sz w:val="20"/>
        </w:rPr>
        <w:t>Edwaldo</w:t>
      </w:r>
      <w:r>
        <w:rPr>
          <w:spacing w:val="-10"/>
          <w:sz w:val="20"/>
        </w:rPr>
        <w:t xml:space="preserve"> </w:t>
      </w:r>
      <w:r>
        <w:rPr>
          <w:sz w:val="20"/>
        </w:rPr>
        <w:t>Tavares.</w:t>
      </w:r>
      <w:r>
        <w:rPr>
          <w:spacing w:val="-4"/>
          <w:sz w:val="20"/>
        </w:rPr>
        <w:t xml:space="preserve"> </w:t>
      </w:r>
      <w:r>
        <w:rPr>
          <w:b/>
          <w:sz w:val="20"/>
        </w:rPr>
        <w:t>Direito</w:t>
      </w:r>
      <w:r>
        <w:rPr>
          <w:b/>
          <w:spacing w:val="-6"/>
          <w:sz w:val="20"/>
        </w:rPr>
        <w:t xml:space="preserve"> </w:t>
      </w:r>
      <w:r>
        <w:rPr>
          <w:b/>
          <w:sz w:val="20"/>
        </w:rPr>
        <w:t>Societário.</w:t>
      </w:r>
      <w:r>
        <w:rPr>
          <w:b/>
          <w:spacing w:val="-4"/>
          <w:sz w:val="20"/>
        </w:rPr>
        <w:t xml:space="preserve"> </w:t>
      </w:r>
      <w:r>
        <w:rPr>
          <w:sz w:val="20"/>
        </w:rPr>
        <w:t>Rio</w:t>
      </w:r>
      <w:r>
        <w:rPr>
          <w:spacing w:val="-6"/>
          <w:sz w:val="20"/>
        </w:rPr>
        <w:t xml:space="preserve"> </w:t>
      </w:r>
      <w:r>
        <w:rPr>
          <w:sz w:val="20"/>
        </w:rPr>
        <w:t>de</w:t>
      </w:r>
      <w:r>
        <w:rPr>
          <w:spacing w:val="-8"/>
          <w:sz w:val="20"/>
        </w:rPr>
        <w:t xml:space="preserve"> </w:t>
      </w:r>
      <w:r>
        <w:rPr>
          <w:sz w:val="20"/>
        </w:rPr>
        <w:t>Janeiro,</w:t>
      </w:r>
      <w:r>
        <w:rPr>
          <w:spacing w:val="-7"/>
          <w:sz w:val="20"/>
        </w:rPr>
        <w:t xml:space="preserve"> </w:t>
      </w:r>
      <w:r>
        <w:rPr>
          <w:sz w:val="20"/>
        </w:rPr>
        <w:t>Renovar,</w:t>
      </w:r>
      <w:r>
        <w:rPr>
          <w:spacing w:val="-6"/>
          <w:sz w:val="20"/>
        </w:rPr>
        <w:t xml:space="preserve"> </w:t>
      </w:r>
      <w:r>
        <w:rPr>
          <w:sz w:val="20"/>
        </w:rPr>
        <w:t>2001,</w:t>
      </w:r>
      <w:r>
        <w:rPr>
          <w:spacing w:val="-9"/>
          <w:sz w:val="20"/>
        </w:rPr>
        <w:t xml:space="preserve"> </w:t>
      </w:r>
      <w:r>
        <w:rPr>
          <w:sz w:val="20"/>
        </w:rPr>
        <w:t>p.</w:t>
      </w:r>
      <w:r>
        <w:rPr>
          <w:spacing w:val="-8"/>
          <w:sz w:val="20"/>
        </w:rPr>
        <w:t xml:space="preserve"> </w:t>
      </w:r>
      <w:r>
        <w:rPr>
          <w:spacing w:val="-4"/>
          <w:sz w:val="20"/>
        </w:rPr>
        <w:t>555.</w:t>
      </w:r>
    </w:p>
    <w:p w:rsidR="007259F2" w:rsidRDefault="007259F2">
      <w:pPr>
        <w:rPr>
          <w:sz w:val="20"/>
        </w:rPr>
        <w:sectPr w:rsidR="007259F2">
          <w:pgSz w:w="11910" w:h="16840"/>
          <w:pgMar w:top="1320" w:right="708" w:bottom="1160" w:left="992" w:header="0" w:footer="962" w:gutter="0"/>
          <w:cols w:space="720"/>
        </w:sectPr>
      </w:pPr>
    </w:p>
    <w:p w:rsidR="007259F2" w:rsidRDefault="00E655B4">
      <w:pPr>
        <w:pStyle w:val="Corpodetexto"/>
        <w:spacing w:before="64"/>
        <w:ind w:right="987"/>
      </w:pPr>
      <w:r>
        <w:lastRenderedPageBreak/>
        <w:t>O conceito de dividendo que está sendo debatido é proveniente do Direito Societário.</w:t>
      </w:r>
      <w:r>
        <w:rPr>
          <w:vertAlign w:val="superscript"/>
        </w:rPr>
        <w:t>56</w:t>
      </w:r>
      <w:r>
        <w:rPr>
          <w:spacing w:val="-1"/>
        </w:rPr>
        <w:t xml:space="preserve"> </w:t>
      </w:r>
      <w:r>
        <w:t>Dessa</w:t>
      </w:r>
      <w:r>
        <w:rPr>
          <w:spacing w:val="-9"/>
        </w:rPr>
        <w:t xml:space="preserve"> </w:t>
      </w:r>
      <w:r>
        <w:t>forma,</w:t>
      </w:r>
      <w:r>
        <w:rPr>
          <w:spacing w:val="-7"/>
        </w:rPr>
        <w:t xml:space="preserve"> </w:t>
      </w:r>
      <w:r>
        <w:t>podemos</w:t>
      </w:r>
      <w:r>
        <w:rPr>
          <w:spacing w:val="-8"/>
        </w:rPr>
        <w:t xml:space="preserve"> </w:t>
      </w:r>
      <w:r>
        <w:t>inferir</w:t>
      </w:r>
      <w:r>
        <w:rPr>
          <w:spacing w:val="-9"/>
        </w:rPr>
        <w:t xml:space="preserve"> </w:t>
      </w:r>
      <w:r>
        <w:t>que</w:t>
      </w:r>
      <w:r>
        <w:rPr>
          <w:spacing w:val="-9"/>
        </w:rPr>
        <w:t xml:space="preserve"> </w:t>
      </w:r>
      <w:r>
        <w:t>não</w:t>
      </w:r>
      <w:r>
        <w:rPr>
          <w:spacing w:val="-5"/>
        </w:rPr>
        <w:t xml:space="preserve"> </w:t>
      </w:r>
      <w:r>
        <w:t>há</w:t>
      </w:r>
      <w:r>
        <w:rPr>
          <w:spacing w:val="-9"/>
        </w:rPr>
        <w:t xml:space="preserve"> </w:t>
      </w:r>
      <w:r>
        <w:t>na</w:t>
      </w:r>
      <w:r>
        <w:rPr>
          <w:spacing w:val="-14"/>
        </w:rPr>
        <w:t xml:space="preserve"> </w:t>
      </w:r>
      <w:r>
        <w:t>legislação</w:t>
      </w:r>
      <w:r>
        <w:rPr>
          <w:spacing w:val="-10"/>
        </w:rPr>
        <w:t xml:space="preserve"> </w:t>
      </w:r>
      <w:r>
        <w:t>tributária</w:t>
      </w:r>
      <w:r>
        <w:rPr>
          <w:spacing w:val="-6"/>
        </w:rPr>
        <w:t xml:space="preserve"> </w:t>
      </w:r>
      <w:r>
        <w:t>a</w:t>
      </w:r>
      <w:r>
        <w:rPr>
          <w:spacing w:val="-14"/>
        </w:rPr>
        <w:t xml:space="preserve"> </w:t>
      </w:r>
      <w:r>
        <w:t>definição de dividendo, com a finalidade de aplicação da isenção prevista na Lei nº 9.249/1985. Em regra, a legislação tributária dispõe sobre o tratamento tributário a ser dado aos negócios jurídicos, não intervindo na definição do que será transacionado, dever esse que pertence às legislações atinentes a cada tema.</w:t>
      </w:r>
    </w:p>
    <w:p w:rsidR="007259F2" w:rsidRDefault="00E655B4">
      <w:pPr>
        <w:pStyle w:val="Corpodetexto"/>
        <w:ind w:right="991"/>
      </w:pPr>
      <w:r>
        <w:t>Nesse diapasão, o Código Tributário Nacional define, em seus artigos 109 e 110</w:t>
      </w:r>
      <w:r>
        <w:rPr>
          <w:vertAlign w:val="superscript"/>
        </w:rPr>
        <w:t>57</w:t>
      </w:r>
      <w:r>
        <w:t>, que:</w:t>
      </w:r>
    </w:p>
    <w:p w:rsidR="007259F2" w:rsidRDefault="007259F2">
      <w:pPr>
        <w:pStyle w:val="Corpodetexto"/>
        <w:spacing w:before="1"/>
        <w:ind w:left="0" w:firstLine="0"/>
        <w:jc w:val="left"/>
      </w:pPr>
    </w:p>
    <w:p w:rsidR="007259F2" w:rsidRDefault="00E655B4">
      <w:pPr>
        <w:spacing w:before="1"/>
        <w:ind w:left="2978" w:right="992"/>
        <w:jc w:val="both"/>
        <w:rPr>
          <w:sz w:val="20"/>
        </w:rPr>
      </w:pPr>
      <w:r>
        <w:rPr>
          <w:sz w:val="20"/>
        </w:rPr>
        <w:t>Art. 109. Os princípios gerais de direito privado utilizam-se para pesquisa da definição, do conteúdo e do alcance de seus institutos, conceitos e formas, mas não para definição dos respectivos efeitos tributários.</w:t>
      </w:r>
    </w:p>
    <w:p w:rsidR="007259F2" w:rsidRDefault="00E655B4">
      <w:pPr>
        <w:ind w:left="2978" w:right="988"/>
        <w:jc w:val="both"/>
        <w:rPr>
          <w:sz w:val="20"/>
        </w:rPr>
      </w:pPr>
      <w:r>
        <w:rPr>
          <w:sz w:val="20"/>
        </w:rPr>
        <w:t>Art. 110. A lei tributária não pode alterar a definição, o conteúdo e o alcance de institutos, conceitos e formas de direito privado, utilizados, expressa ou implicitamente, pela Constituição Federal, pelas Constituições dos Estados, ou pelas Leis Orgânicas do Distrito Federal ou dos Municípios, para definir ou limitar competências tributárias.</w:t>
      </w:r>
    </w:p>
    <w:p w:rsidR="007259F2" w:rsidRDefault="007259F2">
      <w:pPr>
        <w:pStyle w:val="Corpodetexto"/>
        <w:spacing w:before="22"/>
        <w:ind w:left="0" w:firstLine="0"/>
        <w:jc w:val="left"/>
        <w:rPr>
          <w:sz w:val="20"/>
        </w:rPr>
      </w:pPr>
    </w:p>
    <w:p w:rsidR="007259F2" w:rsidRDefault="00E655B4">
      <w:pPr>
        <w:pStyle w:val="Corpodetexto"/>
        <w:ind w:right="993"/>
      </w:pPr>
      <w:r>
        <w:t>Logo, se há conceitos de outros ramos do Direito que aproveitam as imposições tributárias, estes devem ser utilizados por aquele que aplica o Direito Tributário, respeitado</w:t>
      </w:r>
      <w:r>
        <w:rPr>
          <w:spacing w:val="-3"/>
        </w:rPr>
        <w:t xml:space="preserve"> </w:t>
      </w:r>
      <w:r>
        <w:t>pelas</w:t>
      </w:r>
      <w:r>
        <w:rPr>
          <w:spacing w:val="-1"/>
        </w:rPr>
        <w:t xml:space="preserve"> </w:t>
      </w:r>
      <w:r>
        <w:t>autoridades</w:t>
      </w:r>
      <w:r>
        <w:rPr>
          <w:spacing w:val="-3"/>
        </w:rPr>
        <w:t xml:space="preserve"> </w:t>
      </w:r>
      <w:r>
        <w:t>fiscais,</w:t>
      </w:r>
      <w:r>
        <w:rPr>
          <w:spacing w:val="-3"/>
        </w:rPr>
        <w:t xml:space="preserve"> </w:t>
      </w:r>
      <w:r>
        <w:t>sob</w:t>
      </w:r>
      <w:r>
        <w:rPr>
          <w:spacing w:val="-3"/>
        </w:rPr>
        <w:t xml:space="preserve"> </w:t>
      </w:r>
      <w:r>
        <w:t>pena</w:t>
      </w:r>
      <w:r>
        <w:rPr>
          <w:spacing w:val="-4"/>
        </w:rPr>
        <w:t xml:space="preserve"> </w:t>
      </w:r>
      <w:r>
        <w:t>de</w:t>
      </w:r>
      <w:r>
        <w:rPr>
          <w:spacing w:val="-2"/>
        </w:rPr>
        <w:t xml:space="preserve"> </w:t>
      </w:r>
      <w:r>
        <w:t>contrariar</w:t>
      </w:r>
      <w:r>
        <w:rPr>
          <w:spacing w:val="-2"/>
        </w:rPr>
        <w:t xml:space="preserve"> </w:t>
      </w:r>
      <w:r>
        <w:t>o</w:t>
      </w:r>
      <w:r>
        <w:rPr>
          <w:spacing w:val="-3"/>
        </w:rPr>
        <w:t xml:space="preserve"> </w:t>
      </w:r>
      <w:r>
        <w:t>CTN,</w:t>
      </w:r>
      <w:r>
        <w:rPr>
          <w:spacing w:val="-1"/>
        </w:rPr>
        <w:t xml:space="preserve"> </w:t>
      </w:r>
      <w:r>
        <w:t>devendo,</w:t>
      </w:r>
      <w:r>
        <w:rPr>
          <w:spacing w:val="-3"/>
        </w:rPr>
        <w:t xml:space="preserve"> </w:t>
      </w:r>
      <w:r>
        <w:t>ainda,</w:t>
      </w:r>
      <w:r>
        <w:rPr>
          <w:spacing w:val="-2"/>
        </w:rPr>
        <w:t xml:space="preserve"> </w:t>
      </w:r>
      <w:r>
        <w:t>estar em linha com o Direito Privado.</w:t>
      </w:r>
    </w:p>
    <w:p w:rsidR="007259F2" w:rsidRDefault="00E655B4">
      <w:pPr>
        <w:pStyle w:val="Corpodetexto"/>
        <w:ind w:right="992"/>
      </w:pPr>
      <w:r>
        <w:t>Essa</w:t>
      </w:r>
      <w:r>
        <w:rPr>
          <w:spacing w:val="-2"/>
        </w:rPr>
        <w:t xml:space="preserve"> </w:t>
      </w:r>
      <w:r>
        <w:t>é</w:t>
      </w:r>
      <w:r>
        <w:rPr>
          <w:spacing w:val="-2"/>
        </w:rPr>
        <w:t xml:space="preserve"> </w:t>
      </w:r>
      <w:r>
        <w:t>a</w:t>
      </w:r>
      <w:r>
        <w:rPr>
          <w:spacing w:val="-2"/>
        </w:rPr>
        <w:t xml:space="preserve"> </w:t>
      </w:r>
      <w:r>
        <w:t>explicação</w:t>
      </w:r>
      <w:r>
        <w:rPr>
          <w:spacing w:val="-1"/>
        </w:rPr>
        <w:t xml:space="preserve"> </w:t>
      </w:r>
      <w:r>
        <w:t>para</w:t>
      </w:r>
      <w:r>
        <w:rPr>
          <w:spacing w:val="-1"/>
        </w:rPr>
        <w:t xml:space="preserve"> </w:t>
      </w:r>
      <w:r>
        <w:t>o</w:t>
      </w:r>
      <w:r>
        <w:rPr>
          <w:spacing w:val="-1"/>
        </w:rPr>
        <w:t xml:space="preserve"> </w:t>
      </w:r>
      <w:r>
        <w:t>fato</w:t>
      </w:r>
      <w:r>
        <w:rPr>
          <w:spacing w:val="-1"/>
        </w:rPr>
        <w:t xml:space="preserve"> </w:t>
      </w:r>
      <w:r>
        <w:t>de</w:t>
      </w:r>
      <w:r>
        <w:rPr>
          <w:spacing w:val="-2"/>
        </w:rPr>
        <w:t xml:space="preserve"> </w:t>
      </w:r>
      <w:r>
        <w:t>conceitos</w:t>
      </w:r>
      <w:r>
        <w:rPr>
          <w:spacing w:val="-1"/>
        </w:rPr>
        <w:t xml:space="preserve"> </w:t>
      </w:r>
      <w:r>
        <w:t>e</w:t>
      </w:r>
      <w:r>
        <w:rPr>
          <w:spacing w:val="-2"/>
        </w:rPr>
        <w:t xml:space="preserve"> </w:t>
      </w:r>
      <w:r>
        <w:t>princípios</w:t>
      </w:r>
      <w:r>
        <w:rPr>
          <w:spacing w:val="-1"/>
        </w:rPr>
        <w:t xml:space="preserve"> </w:t>
      </w:r>
      <w:r>
        <w:t>fundamentais</w:t>
      </w:r>
      <w:r>
        <w:rPr>
          <w:spacing w:val="-1"/>
        </w:rPr>
        <w:t xml:space="preserve"> </w:t>
      </w:r>
      <w:r>
        <w:t>do</w:t>
      </w:r>
      <w:r>
        <w:rPr>
          <w:spacing w:val="-3"/>
        </w:rPr>
        <w:t xml:space="preserve"> </w:t>
      </w:r>
      <w:r>
        <w:t>Direito Privado poderem balizar e delimitar as definições necessárias à formação de um fato gerador de uma obrigação tributária.</w:t>
      </w:r>
      <w:r>
        <w:rPr>
          <w:vertAlign w:val="superscript"/>
        </w:rPr>
        <w:t>58</w:t>
      </w:r>
    </w:p>
    <w:p w:rsidR="007259F2" w:rsidRDefault="00E655B4">
      <w:pPr>
        <w:pStyle w:val="Corpodetexto"/>
        <w:ind w:left="1418" w:firstLine="0"/>
      </w:pPr>
      <w:r>
        <w:t>Na</w:t>
      </w:r>
      <w:r>
        <w:rPr>
          <w:spacing w:val="-5"/>
        </w:rPr>
        <w:t xml:space="preserve"> </w:t>
      </w:r>
      <w:r>
        <w:t>opinião</w:t>
      </w:r>
      <w:r>
        <w:rPr>
          <w:spacing w:val="-3"/>
        </w:rPr>
        <w:t xml:space="preserve"> </w:t>
      </w:r>
      <w:r>
        <w:t>de</w:t>
      </w:r>
      <w:r>
        <w:rPr>
          <w:spacing w:val="-3"/>
        </w:rPr>
        <w:t xml:space="preserve"> </w:t>
      </w:r>
      <w:r>
        <w:t>Ricardo</w:t>
      </w:r>
      <w:r>
        <w:rPr>
          <w:spacing w:val="-5"/>
        </w:rPr>
        <w:t xml:space="preserve"> </w:t>
      </w:r>
      <w:r>
        <w:t>Mariz</w:t>
      </w:r>
      <w:r>
        <w:rPr>
          <w:spacing w:val="-1"/>
        </w:rPr>
        <w:t xml:space="preserve"> </w:t>
      </w:r>
      <w:r>
        <w:t>de</w:t>
      </w:r>
      <w:r>
        <w:rPr>
          <w:spacing w:val="-1"/>
        </w:rPr>
        <w:t xml:space="preserve"> </w:t>
      </w:r>
      <w:r>
        <w:rPr>
          <w:spacing w:val="-2"/>
        </w:rPr>
        <w:t>Oliveira:</w:t>
      </w:r>
    </w:p>
    <w:p w:rsidR="007259F2" w:rsidRDefault="007259F2">
      <w:pPr>
        <w:pStyle w:val="Corpodetexto"/>
        <w:ind w:left="0" w:firstLine="0"/>
        <w:jc w:val="left"/>
      </w:pPr>
    </w:p>
    <w:p w:rsidR="007259F2" w:rsidRDefault="00E655B4">
      <w:pPr>
        <w:ind w:left="2978" w:right="988"/>
        <w:jc w:val="both"/>
        <w:rPr>
          <w:sz w:val="20"/>
        </w:rPr>
      </w:pPr>
      <w:r>
        <w:rPr>
          <w:sz w:val="24"/>
        </w:rPr>
        <w:t xml:space="preserve">(...) </w:t>
      </w:r>
      <w:r>
        <w:rPr>
          <w:sz w:val="20"/>
        </w:rPr>
        <w:t>os dispositivos do CTN estão acordes quanto à prevalência do direito privado na definição dos seus conceitos, institutos e formas, até porque</w:t>
      </w:r>
      <w:r>
        <w:rPr>
          <w:spacing w:val="40"/>
          <w:sz w:val="20"/>
        </w:rPr>
        <w:t xml:space="preserve"> </w:t>
      </w:r>
      <w:r>
        <w:rPr>
          <w:sz w:val="20"/>
        </w:rPr>
        <w:t>ambos perseguem</w:t>
      </w:r>
      <w:r>
        <w:rPr>
          <w:spacing w:val="-1"/>
          <w:sz w:val="20"/>
        </w:rPr>
        <w:t xml:space="preserve"> </w:t>
      </w:r>
      <w:r>
        <w:rPr>
          <w:sz w:val="20"/>
        </w:rPr>
        <w:t>a totalidade e unicidade orgânica do ordenamento jurídico, observadas as finalidades próprias de cada ramo.</w:t>
      </w:r>
      <w:r>
        <w:rPr>
          <w:sz w:val="20"/>
          <w:vertAlign w:val="superscript"/>
        </w:rPr>
        <w:t>59</w:t>
      </w:r>
    </w:p>
    <w:p w:rsidR="007259F2" w:rsidRDefault="007259F2">
      <w:pPr>
        <w:pStyle w:val="Corpodetexto"/>
        <w:ind w:left="0" w:firstLine="0"/>
        <w:jc w:val="left"/>
        <w:rPr>
          <w:sz w:val="20"/>
        </w:rPr>
      </w:pPr>
    </w:p>
    <w:p w:rsidR="007259F2" w:rsidRDefault="00E655B4">
      <w:pPr>
        <w:pStyle w:val="Corpodetexto"/>
        <w:ind w:right="988"/>
      </w:pPr>
      <w:r>
        <w:t>Importante, para fins de entendimento, compreender qual a definição de lucro, que irá possibilitar a existência de repartição de dividendos: lucro nada mais é do que a quantia</w:t>
      </w:r>
      <w:r>
        <w:rPr>
          <w:spacing w:val="-15"/>
        </w:rPr>
        <w:t xml:space="preserve"> </w:t>
      </w:r>
      <w:r>
        <w:t>recebida</w:t>
      </w:r>
      <w:r>
        <w:rPr>
          <w:spacing w:val="-4"/>
        </w:rPr>
        <w:t xml:space="preserve"> </w:t>
      </w:r>
      <w:r>
        <w:t>pela</w:t>
      </w:r>
      <w:r>
        <w:rPr>
          <w:spacing w:val="-3"/>
        </w:rPr>
        <w:t xml:space="preserve"> </w:t>
      </w:r>
      <w:r>
        <w:t>produção,</w:t>
      </w:r>
      <w:r>
        <w:rPr>
          <w:spacing w:val="-2"/>
        </w:rPr>
        <w:t xml:space="preserve"> </w:t>
      </w:r>
      <w:r>
        <w:t>levando</w:t>
      </w:r>
      <w:r>
        <w:rPr>
          <w:spacing w:val="-2"/>
        </w:rPr>
        <w:t xml:space="preserve"> </w:t>
      </w:r>
      <w:r>
        <w:t>em</w:t>
      </w:r>
      <w:r>
        <w:rPr>
          <w:spacing w:val="-2"/>
        </w:rPr>
        <w:t xml:space="preserve"> </w:t>
      </w:r>
      <w:r>
        <w:t>conta as</w:t>
      </w:r>
      <w:r>
        <w:rPr>
          <w:spacing w:val="-2"/>
        </w:rPr>
        <w:t xml:space="preserve"> </w:t>
      </w:r>
      <w:r>
        <w:t>condições</w:t>
      </w:r>
      <w:r>
        <w:rPr>
          <w:spacing w:val="-2"/>
        </w:rPr>
        <w:t xml:space="preserve"> </w:t>
      </w:r>
      <w:r>
        <w:t>desse</w:t>
      </w:r>
      <w:r>
        <w:rPr>
          <w:spacing w:val="-3"/>
        </w:rPr>
        <w:t xml:space="preserve"> </w:t>
      </w:r>
      <w:r>
        <w:t>empreendimento</w:t>
      </w:r>
      <w:r>
        <w:rPr>
          <w:spacing w:val="-2"/>
        </w:rPr>
        <w:t xml:space="preserve"> </w:t>
      </w:r>
      <w:r>
        <w:t>e o seu patrimônio. É forma de recompensar o investimento feito pelos sócios de ume empresa. Conforme define Fábio Ulhoa Coelho:</w:t>
      </w:r>
    </w:p>
    <w:p w:rsidR="007259F2" w:rsidRDefault="007259F2">
      <w:pPr>
        <w:pStyle w:val="Corpodetexto"/>
        <w:spacing w:before="2"/>
        <w:ind w:left="0" w:firstLine="0"/>
        <w:jc w:val="left"/>
      </w:pPr>
    </w:p>
    <w:p w:rsidR="007259F2" w:rsidRDefault="00E655B4">
      <w:pPr>
        <w:ind w:left="2978" w:right="988"/>
        <w:jc w:val="both"/>
        <w:rPr>
          <w:sz w:val="20"/>
        </w:rPr>
      </w:pPr>
      <w:r>
        <w:rPr>
          <w:sz w:val="20"/>
        </w:rPr>
        <w:t>No plano conceitual, os lucros remuneram o capital investido na sociedade. Todos os sócios, empreendedores ou investidores, têm direito ao seu recebimento, nos limites da política de distribuição contratada entre eles.</w:t>
      </w:r>
      <w:r>
        <w:rPr>
          <w:sz w:val="20"/>
          <w:vertAlign w:val="superscript"/>
        </w:rPr>
        <w:t>60</w:t>
      </w:r>
    </w:p>
    <w:p w:rsidR="007259F2" w:rsidRDefault="00E655B4">
      <w:pPr>
        <w:pStyle w:val="Corpodetexto"/>
        <w:spacing w:before="199"/>
        <w:ind w:right="991"/>
      </w:pPr>
      <w:r>
        <w:t>Dessa forma, quando uma sociedade empresária aufere lucro, o mesmo deve ser aproveitado</w:t>
      </w:r>
      <w:r>
        <w:rPr>
          <w:spacing w:val="53"/>
        </w:rPr>
        <w:t xml:space="preserve"> </w:t>
      </w:r>
      <w:r>
        <w:t>pelos</w:t>
      </w:r>
      <w:r>
        <w:rPr>
          <w:spacing w:val="60"/>
        </w:rPr>
        <w:t xml:space="preserve"> </w:t>
      </w:r>
      <w:r>
        <w:t>seus</w:t>
      </w:r>
      <w:r>
        <w:rPr>
          <w:spacing w:val="62"/>
        </w:rPr>
        <w:t xml:space="preserve"> </w:t>
      </w:r>
      <w:r>
        <w:t>acionistas,</w:t>
      </w:r>
      <w:r>
        <w:rPr>
          <w:spacing w:val="56"/>
        </w:rPr>
        <w:t xml:space="preserve"> </w:t>
      </w:r>
      <w:r>
        <w:t>que</w:t>
      </w:r>
      <w:r>
        <w:rPr>
          <w:spacing w:val="55"/>
        </w:rPr>
        <w:t xml:space="preserve"> </w:t>
      </w:r>
      <w:r>
        <w:t>aplicaram</w:t>
      </w:r>
      <w:r>
        <w:rPr>
          <w:spacing w:val="60"/>
        </w:rPr>
        <w:t xml:space="preserve"> </w:t>
      </w:r>
      <w:r>
        <w:t>valores</w:t>
      </w:r>
      <w:r>
        <w:rPr>
          <w:spacing w:val="56"/>
        </w:rPr>
        <w:t xml:space="preserve"> </w:t>
      </w:r>
      <w:r>
        <w:t>na</w:t>
      </w:r>
      <w:r>
        <w:rPr>
          <w:spacing w:val="59"/>
        </w:rPr>
        <w:t xml:space="preserve"> </w:t>
      </w:r>
      <w:r>
        <w:t>empresa</w:t>
      </w:r>
      <w:r>
        <w:rPr>
          <w:spacing w:val="58"/>
        </w:rPr>
        <w:t xml:space="preserve"> </w:t>
      </w:r>
      <w:r>
        <w:t>para</w:t>
      </w:r>
      <w:r>
        <w:rPr>
          <w:spacing w:val="55"/>
        </w:rPr>
        <w:t xml:space="preserve"> </w:t>
      </w:r>
      <w:r>
        <w:t>que</w:t>
      </w:r>
      <w:r>
        <w:rPr>
          <w:spacing w:val="55"/>
        </w:rPr>
        <w:t xml:space="preserve"> </w:t>
      </w:r>
      <w:r>
        <w:rPr>
          <w:spacing w:val="-4"/>
        </w:rPr>
        <w:t>esta</w:t>
      </w:r>
    </w:p>
    <w:p w:rsidR="007259F2" w:rsidRDefault="00DE6B1C">
      <w:pPr>
        <w:pStyle w:val="Corpodetexto"/>
        <w:spacing w:before="193"/>
        <w:ind w:left="0" w:firstLine="0"/>
        <w:jc w:val="left"/>
        <w:rPr>
          <w:sz w:val="20"/>
        </w:rPr>
      </w:pPr>
      <w:r w:rsidRPr="00DE6B1C">
        <w:rPr>
          <w:sz w:val="20"/>
        </w:rPr>
        <w:pict>
          <v:rect id="docshape87" o:spid="_x0000_s1139" style="position:absolute;margin-left:85.1pt;margin-top:22.4pt;width:2in;height:.7pt;z-index:-15692288;mso-wrap-distance-left:0;mso-wrap-distance-right:0;mso-position-horizontal-relative:page" fillcolor="black" stroked="f">
            <w10:wrap type="topAndBottom" anchorx="page"/>
          </v:rect>
        </w:pict>
      </w:r>
    </w:p>
    <w:p w:rsidR="007259F2" w:rsidRDefault="00E655B4">
      <w:pPr>
        <w:spacing w:before="96"/>
        <w:ind w:left="710"/>
        <w:rPr>
          <w:sz w:val="20"/>
        </w:rPr>
      </w:pPr>
      <w:r>
        <w:rPr>
          <w:sz w:val="20"/>
          <w:vertAlign w:val="superscript"/>
        </w:rPr>
        <w:t>56</w:t>
      </w:r>
      <w:r>
        <w:rPr>
          <w:sz w:val="20"/>
        </w:rPr>
        <w:t xml:space="preserve"> BRASIL. </w:t>
      </w:r>
      <w:r>
        <w:rPr>
          <w:b/>
          <w:sz w:val="20"/>
        </w:rPr>
        <w:t>Lei n. 6.404, de 14 de dezembro de 1976</w:t>
      </w:r>
      <w:r>
        <w:rPr>
          <w:sz w:val="20"/>
        </w:rPr>
        <w:t xml:space="preserve">. Diário Oficial da União, Brasília. Disponível em: </w:t>
      </w:r>
      <w:hyperlink r:id="rId101">
        <w:r>
          <w:rPr>
            <w:sz w:val="20"/>
          </w:rPr>
          <w:t>http://www.planalto.gov.br/ccivil_03/leis/l6404consol.htm.</w:t>
        </w:r>
      </w:hyperlink>
      <w:r>
        <w:rPr>
          <w:sz w:val="20"/>
        </w:rPr>
        <w:t xml:space="preserve"> Acesso em: 17 abr. 2022.</w:t>
      </w:r>
    </w:p>
    <w:p w:rsidR="007259F2" w:rsidRDefault="00E655B4">
      <w:pPr>
        <w:spacing w:line="228" w:lineRule="exact"/>
        <w:ind w:left="710"/>
        <w:rPr>
          <w:sz w:val="20"/>
        </w:rPr>
      </w:pPr>
      <w:r>
        <w:rPr>
          <w:sz w:val="20"/>
          <w:vertAlign w:val="superscript"/>
        </w:rPr>
        <w:t>57</w:t>
      </w:r>
      <w:r>
        <w:rPr>
          <w:spacing w:val="-6"/>
          <w:sz w:val="20"/>
        </w:rPr>
        <w:t xml:space="preserve"> </w:t>
      </w:r>
      <w:r>
        <w:rPr>
          <w:sz w:val="20"/>
        </w:rPr>
        <w:t>BRASIL,</w:t>
      </w:r>
      <w:r>
        <w:rPr>
          <w:spacing w:val="-5"/>
          <w:sz w:val="20"/>
        </w:rPr>
        <w:t xml:space="preserve"> </w:t>
      </w:r>
      <w:r>
        <w:rPr>
          <w:spacing w:val="-2"/>
          <w:sz w:val="20"/>
        </w:rPr>
        <w:t>1966.</w:t>
      </w:r>
    </w:p>
    <w:p w:rsidR="007259F2" w:rsidRDefault="00E655B4">
      <w:pPr>
        <w:spacing w:before="1"/>
        <w:ind w:left="710"/>
        <w:rPr>
          <w:sz w:val="20"/>
        </w:rPr>
      </w:pPr>
      <w:r>
        <w:rPr>
          <w:sz w:val="20"/>
          <w:vertAlign w:val="superscript"/>
        </w:rPr>
        <w:t>58</w:t>
      </w:r>
      <w:r>
        <w:rPr>
          <w:spacing w:val="-5"/>
          <w:sz w:val="20"/>
        </w:rPr>
        <w:t xml:space="preserve"> </w:t>
      </w:r>
      <w:r>
        <w:rPr>
          <w:sz w:val="20"/>
        </w:rPr>
        <w:t>MOSQUERA,</w:t>
      </w:r>
      <w:r>
        <w:rPr>
          <w:spacing w:val="-4"/>
          <w:sz w:val="20"/>
        </w:rPr>
        <w:t xml:space="preserve"> </w:t>
      </w:r>
      <w:r>
        <w:rPr>
          <w:i/>
          <w:sz w:val="20"/>
        </w:rPr>
        <w:t>op.</w:t>
      </w:r>
      <w:r>
        <w:rPr>
          <w:i/>
          <w:spacing w:val="-4"/>
          <w:sz w:val="20"/>
        </w:rPr>
        <w:t xml:space="preserve"> </w:t>
      </w:r>
      <w:r>
        <w:rPr>
          <w:i/>
          <w:sz w:val="20"/>
        </w:rPr>
        <w:t>cit.,</w:t>
      </w:r>
      <w:r>
        <w:rPr>
          <w:i/>
          <w:spacing w:val="-3"/>
          <w:sz w:val="20"/>
        </w:rPr>
        <w:t xml:space="preserve"> </w:t>
      </w:r>
      <w:r>
        <w:rPr>
          <w:spacing w:val="-2"/>
          <w:sz w:val="20"/>
        </w:rPr>
        <w:t>p.17.</w:t>
      </w:r>
    </w:p>
    <w:p w:rsidR="007259F2" w:rsidRDefault="00E655B4">
      <w:pPr>
        <w:ind w:left="710"/>
        <w:rPr>
          <w:sz w:val="20"/>
        </w:rPr>
      </w:pPr>
      <w:r>
        <w:rPr>
          <w:sz w:val="20"/>
          <w:vertAlign w:val="superscript"/>
        </w:rPr>
        <w:t>59</w:t>
      </w:r>
      <w:r>
        <w:rPr>
          <w:spacing w:val="-1"/>
          <w:sz w:val="20"/>
        </w:rPr>
        <w:t xml:space="preserve"> </w:t>
      </w:r>
      <w:r>
        <w:rPr>
          <w:sz w:val="20"/>
        </w:rPr>
        <w:t>OLIVEIRA,</w:t>
      </w:r>
      <w:r>
        <w:rPr>
          <w:spacing w:val="2"/>
          <w:sz w:val="20"/>
        </w:rPr>
        <w:t xml:space="preserve"> </w:t>
      </w:r>
      <w:r>
        <w:rPr>
          <w:sz w:val="20"/>
        </w:rPr>
        <w:t>Ricardo</w:t>
      </w:r>
      <w:r>
        <w:rPr>
          <w:spacing w:val="-1"/>
          <w:sz w:val="20"/>
        </w:rPr>
        <w:t xml:space="preserve"> </w:t>
      </w:r>
      <w:r>
        <w:rPr>
          <w:sz w:val="20"/>
        </w:rPr>
        <w:t>Mariz de.</w:t>
      </w:r>
      <w:r>
        <w:rPr>
          <w:spacing w:val="3"/>
          <w:sz w:val="20"/>
        </w:rPr>
        <w:t xml:space="preserve"> </w:t>
      </w:r>
      <w:r>
        <w:rPr>
          <w:b/>
          <w:sz w:val="20"/>
        </w:rPr>
        <w:t>Fundamentos</w:t>
      </w:r>
      <w:r>
        <w:rPr>
          <w:b/>
          <w:spacing w:val="1"/>
          <w:sz w:val="20"/>
        </w:rPr>
        <w:t xml:space="preserve"> </w:t>
      </w:r>
      <w:r>
        <w:rPr>
          <w:b/>
          <w:sz w:val="20"/>
        </w:rPr>
        <w:t>do</w:t>
      </w:r>
      <w:r>
        <w:rPr>
          <w:b/>
          <w:spacing w:val="-1"/>
          <w:sz w:val="20"/>
        </w:rPr>
        <w:t xml:space="preserve"> </w:t>
      </w:r>
      <w:r>
        <w:rPr>
          <w:b/>
          <w:sz w:val="20"/>
        </w:rPr>
        <w:t>imposto de</w:t>
      </w:r>
      <w:r>
        <w:rPr>
          <w:b/>
          <w:spacing w:val="2"/>
          <w:sz w:val="20"/>
        </w:rPr>
        <w:t xml:space="preserve"> </w:t>
      </w:r>
      <w:r>
        <w:rPr>
          <w:b/>
          <w:sz w:val="20"/>
        </w:rPr>
        <w:t>renda</w:t>
      </w:r>
      <w:r>
        <w:rPr>
          <w:sz w:val="20"/>
        </w:rPr>
        <w:t>. Editora Quartier</w:t>
      </w:r>
      <w:r>
        <w:rPr>
          <w:spacing w:val="1"/>
          <w:sz w:val="20"/>
        </w:rPr>
        <w:t xml:space="preserve"> </w:t>
      </w:r>
      <w:r>
        <w:rPr>
          <w:sz w:val="20"/>
        </w:rPr>
        <w:t>Latin</w:t>
      </w:r>
      <w:r>
        <w:rPr>
          <w:spacing w:val="-2"/>
          <w:sz w:val="20"/>
        </w:rPr>
        <w:t xml:space="preserve"> </w:t>
      </w:r>
      <w:r>
        <w:rPr>
          <w:sz w:val="20"/>
        </w:rPr>
        <w:t xml:space="preserve">Do </w:t>
      </w:r>
      <w:r>
        <w:rPr>
          <w:spacing w:val="-2"/>
          <w:sz w:val="20"/>
        </w:rPr>
        <w:t>Brasil,</w:t>
      </w:r>
    </w:p>
    <w:p w:rsidR="007259F2" w:rsidRDefault="00E655B4">
      <w:pPr>
        <w:spacing w:before="1"/>
        <w:ind w:left="710"/>
        <w:rPr>
          <w:sz w:val="20"/>
        </w:rPr>
      </w:pPr>
      <w:r>
        <w:rPr>
          <w:sz w:val="20"/>
        </w:rPr>
        <w:t>f.</w:t>
      </w:r>
      <w:r>
        <w:rPr>
          <w:spacing w:val="-2"/>
          <w:sz w:val="20"/>
        </w:rPr>
        <w:t xml:space="preserve"> </w:t>
      </w:r>
      <w:r>
        <w:rPr>
          <w:sz w:val="20"/>
        </w:rPr>
        <w:t>580,</w:t>
      </w:r>
      <w:r>
        <w:rPr>
          <w:spacing w:val="-2"/>
          <w:sz w:val="20"/>
        </w:rPr>
        <w:t xml:space="preserve"> </w:t>
      </w:r>
      <w:r>
        <w:rPr>
          <w:sz w:val="20"/>
        </w:rPr>
        <w:t>2007,</w:t>
      </w:r>
      <w:r>
        <w:rPr>
          <w:spacing w:val="-4"/>
          <w:sz w:val="20"/>
        </w:rPr>
        <w:t xml:space="preserve"> </w:t>
      </w:r>
      <w:r>
        <w:rPr>
          <w:sz w:val="20"/>
        </w:rPr>
        <w:t>p.</w:t>
      </w:r>
      <w:r>
        <w:rPr>
          <w:spacing w:val="-4"/>
          <w:sz w:val="20"/>
        </w:rPr>
        <w:t xml:space="preserve"> 1159.</w:t>
      </w:r>
    </w:p>
    <w:p w:rsidR="007259F2" w:rsidRDefault="00E655B4">
      <w:pPr>
        <w:ind w:left="710" w:right="990"/>
        <w:rPr>
          <w:sz w:val="20"/>
        </w:rPr>
      </w:pPr>
      <w:r>
        <w:rPr>
          <w:sz w:val="20"/>
          <w:vertAlign w:val="superscript"/>
        </w:rPr>
        <w:t>60</w:t>
      </w:r>
      <w:r>
        <w:rPr>
          <w:spacing w:val="19"/>
          <w:sz w:val="20"/>
        </w:rPr>
        <w:t xml:space="preserve"> </w:t>
      </w:r>
      <w:r>
        <w:rPr>
          <w:sz w:val="20"/>
        </w:rPr>
        <w:t>COELHO,</w:t>
      </w:r>
      <w:r>
        <w:rPr>
          <w:spacing w:val="21"/>
          <w:sz w:val="20"/>
        </w:rPr>
        <w:t xml:space="preserve"> </w:t>
      </w:r>
      <w:r>
        <w:rPr>
          <w:sz w:val="20"/>
        </w:rPr>
        <w:t>Fábio</w:t>
      </w:r>
      <w:r>
        <w:rPr>
          <w:spacing w:val="19"/>
          <w:sz w:val="20"/>
        </w:rPr>
        <w:t xml:space="preserve"> </w:t>
      </w:r>
      <w:r>
        <w:rPr>
          <w:sz w:val="20"/>
        </w:rPr>
        <w:t>Ulhoa.</w:t>
      </w:r>
      <w:r>
        <w:rPr>
          <w:spacing w:val="22"/>
          <w:sz w:val="20"/>
        </w:rPr>
        <w:t xml:space="preserve"> </w:t>
      </w:r>
      <w:r>
        <w:rPr>
          <w:b/>
          <w:sz w:val="20"/>
        </w:rPr>
        <w:t>Curso</w:t>
      </w:r>
      <w:r>
        <w:rPr>
          <w:b/>
          <w:spacing w:val="19"/>
          <w:sz w:val="20"/>
        </w:rPr>
        <w:t xml:space="preserve"> </w:t>
      </w:r>
      <w:r>
        <w:rPr>
          <w:b/>
          <w:sz w:val="20"/>
        </w:rPr>
        <w:t>de</w:t>
      </w:r>
      <w:r>
        <w:rPr>
          <w:b/>
          <w:spacing w:val="18"/>
          <w:sz w:val="20"/>
        </w:rPr>
        <w:t xml:space="preserve"> </w:t>
      </w:r>
      <w:r>
        <w:rPr>
          <w:b/>
          <w:sz w:val="20"/>
        </w:rPr>
        <w:t>Direito</w:t>
      </w:r>
      <w:r>
        <w:rPr>
          <w:b/>
          <w:spacing w:val="19"/>
          <w:sz w:val="20"/>
        </w:rPr>
        <w:t xml:space="preserve"> </w:t>
      </w:r>
      <w:r>
        <w:rPr>
          <w:b/>
          <w:sz w:val="20"/>
        </w:rPr>
        <w:t>Comercial</w:t>
      </w:r>
      <w:r>
        <w:rPr>
          <w:b/>
          <w:spacing w:val="24"/>
          <w:sz w:val="20"/>
        </w:rPr>
        <w:t xml:space="preserve"> </w:t>
      </w:r>
      <w:r>
        <w:rPr>
          <w:sz w:val="20"/>
        </w:rPr>
        <w:t>-</w:t>
      </w:r>
      <w:r>
        <w:rPr>
          <w:spacing w:val="19"/>
          <w:sz w:val="20"/>
        </w:rPr>
        <w:t xml:space="preserve"> </w:t>
      </w:r>
      <w:r>
        <w:rPr>
          <w:sz w:val="20"/>
        </w:rPr>
        <w:t>direito</w:t>
      </w:r>
      <w:r>
        <w:rPr>
          <w:spacing w:val="19"/>
          <w:sz w:val="20"/>
        </w:rPr>
        <w:t xml:space="preserve"> </w:t>
      </w:r>
      <w:r>
        <w:rPr>
          <w:sz w:val="20"/>
        </w:rPr>
        <w:t>de</w:t>
      </w:r>
      <w:r>
        <w:rPr>
          <w:spacing w:val="19"/>
          <w:sz w:val="20"/>
        </w:rPr>
        <w:t xml:space="preserve"> </w:t>
      </w:r>
      <w:r>
        <w:rPr>
          <w:sz w:val="20"/>
        </w:rPr>
        <w:t>empresa.</w:t>
      </w:r>
      <w:r>
        <w:rPr>
          <w:spacing w:val="19"/>
          <w:sz w:val="20"/>
        </w:rPr>
        <w:t xml:space="preserve"> </w:t>
      </w:r>
      <w:r>
        <w:rPr>
          <w:sz w:val="20"/>
        </w:rPr>
        <w:t>19.</w:t>
      </w:r>
      <w:r>
        <w:rPr>
          <w:spacing w:val="19"/>
          <w:sz w:val="20"/>
        </w:rPr>
        <w:t xml:space="preserve"> </w:t>
      </w:r>
      <w:r>
        <w:rPr>
          <w:sz w:val="20"/>
        </w:rPr>
        <w:t>ed.</w:t>
      </w:r>
      <w:r>
        <w:rPr>
          <w:spacing w:val="19"/>
          <w:sz w:val="20"/>
        </w:rPr>
        <w:t xml:space="preserve"> </w:t>
      </w:r>
      <w:r>
        <w:rPr>
          <w:sz w:val="20"/>
        </w:rPr>
        <w:t>São</w:t>
      </w:r>
      <w:r>
        <w:rPr>
          <w:spacing w:val="20"/>
          <w:sz w:val="20"/>
        </w:rPr>
        <w:t xml:space="preserve"> </w:t>
      </w:r>
      <w:r>
        <w:rPr>
          <w:sz w:val="20"/>
        </w:rPr>
        <w:t>Paulo</w:t>
      </w:r>
      <w:r>
        <w:rPr>
          <w:spacing w:val="23"/>
          <w:sz w:val="20"/>
        </w:rPr>
        <w:t xml:space="preserve"> </w:t>
      </w:r>
      <w:r>
        <w:rPr>
          <w:sz w:val="20"/>
        </w:rPr>
        <w:t>-</w:t>
      </w:r>
      <w:r>
        <w:rPr>
          <w:spacing w:val="17"/>
          <w:sz w:val="20"/>
        </w:rPr>
        <w:t xml:space="preserve"> </w:t>
      </w:r>
      <w:r>
        <w:rPr>
          <w:sz w:val="20"/>
        </w:rPr>
        <w:t>SP: Saraiva, 2015, p. 455.</w:t>
      </w:r>
    </w:p>
    <w:p w:rsidR="007259F2" w:rsidRDefault="007259F2">
      <w:pPr>
        <w:rPr>
          <w:sz w:val="20"/>
        </w:rPr>
        <w:sectPr w:rsidR="007259F2">
          <w:pgSz w:w="11910" w:h="16840"/>
          <w:pgMar w:top="1580" w:right="708" w:bottom="1160" w:left="992" w:header="0" w:footer="962" w:gutter="0"/>
          <w:cols w:space="720"/>
        </w:sectPr>
      </w:pPr>
    </w:p>
    <w:p w:rsidR="007259F2" w:rsidRDefault="00E655B4">
      <w:pPr>
        <w:pStyle w:val="Corpodetexto"/>
        <w:spacing w:before="69"/>
        <w:ind w:right="990" w:firstLine="0"/>
        <w:jc w:val="left"/>
      </w:pPr>
      <w:r>
        <w:lastRenderedPageBreak/>
        <w:t>prosperasse, gerando resultados. Os dividendos são uma forma de distribuição do lucro de uma companhia.</w:t>
      </w:r>
    </w:p>
    <w:p w:rsidR="007259F2" w:rsidRDefault="00E655B4">
      <w:pPr>
        <w:pStyle w:val="Heading2"/>
        <w:numPr>
          <w:ilvl w:val="1"/>
          <w:numId w:val="35"/>
        </w:numPr>
        <w:tabs>
          <w:tab w:val="left" w:pos="1069"/>
        </w:tabs>
        <w:ind w:left="1069" w:hanging="359"/>
      </w:pPr>
      <w:r>
        <w:t>Comparação</w:t>
      </w:r>
      <w:r>
        <w:rPr>
          <w:spacing w:val="-4"/>
        </w:rPr>
        <w:t xml:space="preserve"> </w:t>
      </w:r>
      <w:r>
        <w:t>com</w:t>
      </w:r>
      <w:r>
        <w:rPr>
          <w:spacing w:val="-4"/>
        </w:rPr>
        <w:t xml:space="preserve"> </w:t>
      </w:r>
      <w:r>
        <w:t>os</w:t>
      </w:r>
      <w:r>
        <w:rPr>
          <w:spacing w:val="-4"/>
        </w:rPr>
        <w:t xml:space="preserve"> </w:t>
      </w:r>
      <w:r>
        <w:t>juros</w:t>
      </w:r>
      <w:r>
        <w:rPr>
          <w:spacing w:val="-4"/>
        </w:rPr>
        <w:t xml:space="preserve"> </w:t>
      </w:r>
      <w:r>
        <w:t>sobre</w:t>
      </w:r>
      <w:r>
        <w:rPr>
          <w:spacing w:val="-7"/>
        </w:rPr>
        <w:t xml:space="preserve"> </w:t>
      </w:r>
      <w:r>
        <w:t xml:space="preserve">capital </w:t>
      </w:r>
      <w:r>
        <w:rPr>
          <w:spacing w:val="-2"/>
        </w:rPr>
        <w:t>próprio</w:t>
      </w:r>
    </w:p>
    <w:p w:rsidR="007259F2" w:rsidRDefault="00E655B4">
      <w:pPr>
        <w:pStyle w:val="Corpodetexto"/>
        <w:spacing w:before="156"/>
        <w:ind w:right="993"/>
      </w:pPr>
      <w:r>
        <w:t>Nesse momento, é importante salientar a diferença entre os juros sobre capital próprio e os dividendos. Os juros sobre capital próprio, também são uma forma de remuneração dos acionistas de uma empresa, feita em razão do investimento que é realizado na atividade desenvolvida pela companhia pagadora. Porém, tal remuneração tem natureza diferente dos dividendos.</w:t>
      </w:r>
    </w:p>
    <w:p w:rsidR="007259F2" w:rsidRDefault="00E655B4">
      <w:pPr>
        <w:pStyle w:val="Corpodetexto"/>
        <w:ind w:right="986"/>
      </w:pPr>
      <w:r>
        <w:t>Há na doutrina quem defenda que os juros sobre capital próprio são uma espécie de dividendo, como o jurista Modesto Carvalhosa (CARVALHOSA, 1977, 1:139). Porém, existem motivos para entender que estes não têm a mesma natureza. Vejamos:</w:t>
      </w:r>
    </w:p>
    <w:p w:rsidR="007259F2" w:rsidRDefault="00E655B4">
      <w:pPr>
        <w:pStyle w:val="Corpodetexto"/>
        <w:spacing w:before="1"/>
        <w:ind w:right="986"/>
      </w:pPr>
      <w:r>
        <w:t>Em primeiro lugar, podemos mencionar o art. 9º, parágrafo 7º, da Lei nº 9.249/95, que autoriza o computo dos juros sobre capital próprio no montante referente aos dividendos obrigatórios de uma empresa</w:t>
      </w:r>
      <w:r>
        <w:rPr>
          <w:vertAlign w:val="superscript"/>
        </w:rPr>
        <w:t>61</w:t>
      </w:r>
      <w:r>
        <w:t>, indicando que o legislador atribuiu natureza diversa da dos dividendos. É hialino, visto que, se os juros fossem espécies de dividendos, desnecessário seria o dispositivo supramencionado, pois os juros já</w:t>
      </w:r>
      <w:r>
        <w:rPr>
          <w:spacing w:val="40"/>
        </w:rPr>
        <w:t xml:space="preserve"> </w:t>
      </w:r>
      <w:r>
        <w:t>estariam, por definição, incluídos nos dividendos obrigatórios. Nas sábias palavras de Fabio Ulhoa Coelho:</w:t>
      </w:r>
    </w:p>
    <w:p w:rsidR="007259F2" w:rsidRDefault="007259F2">
      <w:pPr>
        <w:pStyle w:val="Corpodetexto"/>
        <w:spacing w:before="1"/>
        <w:ind w:left="0" w:firstLine="0"/>
        <w:jc w:val="left"/>
      </w:pPr>
    </w:p>
    <w:p w:rsidR="007259F2" w:rsidRDefault="00E655B4">
      <w:pPr>
        <w:ind w:left="2978" w:right="987"/>
        <w:jc w:val="both"/>
        <w:rPr>
          <w:sz w:val="20"/>
        </w:rPr>
      </w:pPr>
      <w:r>
        <w:rPr>
          <w:sz w:val="20"/>
        </w:rPr>
        <w:t>(...) como a lei não possui termos inúteis, deve-se concluir que os juros sobre capital próprio</w:t>
      </w:r>
      <w:r>
        <w:rPr>
          <w:spacing w:val="40"/>
          <w:sz w:val="20"/>
        </w:rPr>
        <w:t xml:space="preserve"> </w:t>
      </w:r>
      <w:r>
        <w:rPr>
          <w:sz w:val="20"/>
        </w:rPr>
        <w:t>correspondem</w:t>
      </w:r>
      <w:r>
        <w:rPr>
          <w:spacing w:val="40"/>
          <w:sz w:val="20"/>
        </w:rPr>
        <w:t xml:space="preserve"> </w:t>
      </w:r>
      <w:r>
        <w:rPr>
          <w:sz w:val="20"/>
        </w:rPr>
        <w:t>a</w:t>
      </w:r>
      <w:r>
        <w:rPr>
          <w:spacing w:val="40"/>
          <w:sz w:val="20"/>
        </w:rPr>
        <w:t xml:space="preserve"> </w:t>
      </w:r>
      <w:r>
        <w:rPr>
          <w:sz w:val="20"/>
        </w:rPr>
        <w:t>uma</w:t>
      </w:r>
      <w:r>
        <w:rPr>
          <w:spacing w:val="40"/>
          <w:sz w:val="20"/>
        </w:rPr>
        <w:t xml:space="preserve"> </w:t>
      </w:r>
      <w:r>
        <w:rPr>
          <w:sz w:val="20"/>
        </w:rPr>
        <w:t>categoria</w:t>
      </w:r>
      <w:r>
        <w:rPr>
          <w:spacing w:val="40"/>
          <w:sz w:val="20"/>
        </w:rPr>
        <w:t xml:space="preserve"> </w:t>
      </w:r>
      <w:r>
        <w:rPr>
          <w:sz w:val="20"/>
        </w:rPr>
        <w:t>de</w:t>
      </w:r>
      <w:r>
        <w:rPr>
          <w:spacing w:val="40"/>
          <w:sz w:val="20"/>
        </w:rPr>
        <w:t xml:space="preserve"> </w:t>
      </w:r>
      <w:r>
        <w:rPr>
          <w:sz w:val="20"/>
        </w:rPr>
        <w:t>pagamentos</w:t>
      </w:r>
      <w:r>
        <w:rPr>
          <w:spacing w:val="40"/>
          <w:sz w:val="20"/>
        </w:rPr>
        <w:t xml:space="preserve"> </w:t>
      </w:r>
      <w:r>
        <w:rPr>
          <w:sz w:val="20"/>
        </w:rPr>
        <w:t>em</w:t>
      </w:r>
      <w:r>
        <w:rPr>
          <w:spacing w:val="40"/>
          <w:sz w:val="20"/>
        </w:rPr>
        <w:t xml:space="preserve"> </w:t>
      </w:r>
      <w:r>
        <w:rPr>
          <w:sz w:val="20"/>
        </w:rPr>
        <w:t xml:space="preserve">favor dos acionistas, distinta dos dividendos, a uma forma </w:t>
      </w:r>
      <w:r>
        <w:rPr>
          <w:i/>
          <w:sz w:val="20"/>
        </w:rPr>
        <w:t xml:space="preserve">sui generis </w:t>
      </w:r>
      <w:r>
        <w:rPr>
          <w:sz w:val="20"/>
        </w:rPr>
        <w:t>de remuneração do investimento na empresa.</w:t>
      </w:r>
      <w:r>
        <w:rPr>
          <w:sz w:val="20"/>
          <w:vertAlign w:val="superscript"/>
        </w:rPr>
        <w:t>62</w:t>
      </w:r>
    </w:p>
    <w:p w:rsidR="007259F2" w:rsidRDefault="007259F2">
      <w:pPr>
        <w:pStyle w:val="Corpodetexto"/>
        <w:spacing w:before="23"/>
        <w:ind w:left="0" w:firstLine="0"/>
        <w:jc w:val="left"/>
        <w:rPr>
          <w:sz w:val="20"/>
        </w:rPr>
      </w:pPr>
    </w:p>
    <w:p w:rsidR="007259F2" w:rsidRDefault="00E655B4">
      <w:pPr>
        <w:pStyle w:val="Corpodetexto"/>
        <w:ind w:right="986"/>
      </w:pPr>
      <w:r>
        <w:t>Em um segundo momento, devemos considerar o regime tributário diferente das espécies, além do princípio constitucional da isonomia. Vejamos a Lei nº 9.249/95, que isentou, em seu art. 10º, os dividendos de Imposto de Renda, mas não proporcionou o mesmo tratamento aos juros sobre capital próprio, que estão sujeitos à incidência do imposto de renda na fonte à alíquota de quinze por cento (art. 9º, § 2º).</w:t>
      </w:r>
    </w:p>
    <w:p w:rsidR="007259F2" w:rsidRDefault="00E655B4">
      <w:pPr>
        <w:pStyle w:val="Corpodetexto"/>
        <w:ind w:right="988"/>
      </w:pPr>
      <w:r>
        <w:t>Pode-se concluir que as espécies mencionadas possuem necessariamente natureza distinta: não é possível atribuir tratamento diferente, no prisma da tributação, a duas situações idênticas, pois isso contraria o princípio constitucional da Igualdade, previsto no art. 150, II da Constituição Federal. Estando claro que os tratamentos tributários são distintos, fica impossível sustentar que tais institutos são juridicamente iguais. Como afirma Ulhoa, “tomar a remuneração dos acionistas representada pelos juros como parte dos dividendos é pôr em questão a constitucionalidade da</w:t>
      </w:r>
      <w:r>
        <w:rPr>
          <w:spacing w:val="40"/>
        </w:rPr>
        <w:t xml:space="preserve"> </w:t>
      </w:r>
      <w:r>
        <w:t>diferenciação no tratamento tributário”.</w:t>
      </w:r>
      <w:r>
        <w:rPr>
          <w:vertAlign w:val="superscript"/>
        </w:rPr>
        <w:t>63</w:t>
      </w:r>
    </w:p>
    <w:p w:rsidR="007259F2" w:rsidRDefault="00E655B4">
      <w:pPr>
        <w:pStyle w:val="Corpodetexto"/>
        <w:ind w:right="989"/>
      </w:pPr>
      <w:r>
        <w:t>Por fim, deixo conclusão do mesmo jurista, que fixa a ideia de divergência jurídica das espécies:</w:t>
      </w:r>
    </w:p>
    <w:p w:rsidR="007259F2" w:rsidRDefault="00E655B4">
      <w:pPr>
        <w:spacing w:before="202"/>
        <w:ind w:left="2978" w:right="986"/>
        <w:jc w:val="both"/>
        <w:rPr>
          <w:sz w:val="20"/>
        </w:rPr>
      </w:pPr>
      <w:r>
        <w:rPr>
          <w:sz w:val="20"/>
        </w:rPr>
        <w:t>Os juros sobre capital próprio não podem ser considerados espécie de dividendos. Se os primeiros podem ser imputados aos últimos, como prevê a lei, então isso já demonstra tratar-se de institutos diversos. Além do mais, as diferenças</w:t>
      </w:r>
      <w:r>
        <w:rPr>
          <w:spacing w:val="31"/>
          <w:sz w:val="20"/>
        </w:rPr>
        <w:t xml:space="preserve"> </w:t>
      </w:r>
      <w:r>
        <w:rPr>
          <w:sz w:val="20"/>
        </w:rPr>
        <w:t>tributárias</w:t>
      </w:r>
      <w:r>
        <w:rPr>
          <w:spacing w:val="32"/>
          <w:sz w:val="20"/>
        </w:rPr>
        <w:t xml:space="preserve"> </w:t>
      </w:r>
      <w:r>
        <w:rPr>
          <w:sz w:val="20"/>
        </w:rPr>
        <w:t>impedem</w:t>
      </w:r>
      <w:r>
        <w:rPr>
          <w:spacing w:val="31"/>
          <w:sz w:val="20"/>
        </w:rPr>
        <w:t xml:space="preserve"> </w:t>
      </w:r>
      <w:r>
        <w:rPr>
          <w:sz w:val="20"/>
        </w:rPr>
        <w:t>sejam</w:t>
      </w:r>
      <w:r>
        <w:rPr>
          <w:spacing w:val="28"/>
          <w:sz w:val="20"/>
        </w:rPr>
        <w:t xml:space="preserve"> </w:t>
      </w:r>
      <w:r>
        <w:rPr>
          <w:sz w:val="20"/>
        </w:rPr>
        <w:t>considerados</w:t>
      </w:r>
      <w:r>
        <w:rPr>
          <w:spacing w:val="32"/>
          <w:sz w:val="20"/>
        </w:rPr>
        <w:t xml:space="preserve"> </w:t>
      </w:r>
      <w:r>
        <w:rPr>
          <w:sz w:val="20"/>
        </w:rPr>
        <w:t>pagamentos</w:t>
      </w:r>
      <w:r>
        <w:rPr>
          <w:spacing w:val="32"/>
          <w:sz w:val="20"/>
        </w:rPr>
        <w:t xml:space="preserve"> </w:t>
      </w:r>
      <w:r>
        <w:rPr>
          <w:sz w:val="20"/>
        </w:rPr>
        <w:t>do</w:t>
      </w:r>
      <w:r>
        <w:rPr>
          <w:spacing w:val="33"/>
          <w:sz w:val="20"/>
        </w:rPr>
        <w:t xml:space="preserve"> </w:t>
      </w:r>
      <w:r>
        <w:rPr>
          <w:spacing w:val="-2"/>
          <w:sz w:val="20"/>
        </w:rPr>
        <w:t>mesmo</w:t>
      </w:r>
    </w:p>
    <w:p w:rsidR="007259F2" w:rsidRDefault="00DE6B1C">
      <w:pPr>
        <w:pStyle w:val="Corpodetexto"/>
        <w:spacing w:before="3"/>
        <w:ind w:left="0" w:firstLine="0"/>
        <w:jc w:val="left"/>
        <w:rPr>
          <w:sz w:val="19"/>
        </w:rPr>
      </w:pPr>
      <w:r w:rsidRPr="00DE6B1C">
        <w:rPr>
          <w:sz w:val="19"/>
        </w:rPr>
        <w:pict>
          <v:rect id="docshape88" o:spid="_x0000_s1138" style="position:absolute;margin-left:85.1pt;margin-top:12.3pt;width:2in;height:.7pt;z-index:-15691776;mso-wrap-distance-left:0;mso-wrap-distance-right:0;mso-position-horizontal-relative:page" fillcolor="black" stroked="f">
            <w10:wrap type="topAndBottom" anchorx="page"/>
          </v:rect>
        </w:pict>
      </w:r>
    </w:p>
    <w:p w:rsidR="007259F2" w:rsidRDefault="00E655B4">
      <w:pPr>
        <w:spacing w:before="96"/>
        <w:ind w:left="710" w:right="992"/>
        <w:jc w:val="both"/>
        <w:rPr>
          <w:sz w:val="20"/>
        </w:rPr>
      </w:pPr>
      <w:r>
        <w:rPr>
          <w:sz w:val="20"/>
          <w:vertAlign w:val="superscript"/>
        </w:rPr>
        <w:t>61</w:t>
      </w:r>
      <w:r>
        <w:rPr>
          <w:sz w:val="20"/>
        </w:rPr>
        <w:t xml:space="preserve"> De acordo com o art. 202 da LSA, deve ser destinado ao pagamento de dividendos o percentual dos lucros estabelecido em cláusula estatutária. No caso de omissão no estatuto, o dividendo devido será de metade</w:t>
      </w:r>
      <w:r>
        <w:rPr>
          <w:spacing w:val="-3"/>
          <w:sz w:val="20"/>
        </w:rPr>
        <w:t xml:space="preserve"> </w:t>
      </w:r>
      <w:r>
        <w:rPr>
          <w:sz w:val="20"/>
        </w:rPr>
        <w:t>do</w:t>
      </w:r>
      <w:r>
        <w:rPr>
          <w:spacing w:val="-2"/>
          <w:sz w:val="20"/>
        </w:rPr>
        <w:t xml:space="preserve"> </w:t>
      </w:r>
      <w:r>
        <w:rPr>
          <w:sz w:val="20"/>
        </w:rPr>
        <w:t>“lucro</w:t>
      </w:r>
      <w:r>
        <w:rPr>
          <w:spacing w:val="-2"/>
          <w:sz w:val="20"/>
        </w:rPr>
        <w:t xml:space="preserve"> </w:t>
      </w:r>
      <w:r>
        <w:rPr>
          <w:sz w:val="20"/>
        </w:rPr>
        <w:t>líquido</w:t>
      </w:r>
      <w:r>
        <w:rPr>
          <w:spacing w:val="-2"/>
          <w:sz w:val="20"/>
        </w:rPr>
        <w:t xml:space="preserve"> </w:t>
      </w:r>
      <w:r>
        <w:rPr>
          <w:sz w:val="20"/>
        </w:rPr>
        <w:t>ajustado”,</w:t>
      </w:r>
      <w:r>
        <w:rPr>
          <w:spacing w:val="-2"/>
          <w:sz w:val="20"/>
        </w:rPr>
        <w:t xml:space="preserve"> </w:t>
      </w:r>
      <w:r>
        <w:rPr>
          <w:sz w:val="20"/>
        </w:rPr>
        <w:t>que</w:t>
      </w:r>
      <w:r>
        <w:rPr>
          <w:spacing w:val="-3"/>
          <w:sz w:val="20"/>
        </w:rPr>
        <w:t xml:space="preserve"> </w:t>
      </w:r>
      <w:r>
        <w:rPr>
          <w:sz w:val="20"/>
        </w:rPr>
        <w:t>é</w:t>
      </w:r>
      <w:r>
        <w:rPr>
          <w:spacing w:val="-3"/>
          <w:sz w:val="20"/>
        </w:rPr>
        <w:t xml:space="preserve"> </w:t>
      </w:r>
      <w:r>
        <w:rPr>
          <w:sz w:val="20"/>
        </w:rPr>
        <w:t>uma</w:t>
      </w:r>
      <w:r>
        <w:rPr>
          <w:spacing w:val="-3"/>
          <w:sz w:val="20"/>
        </w:rPr>
        <w:t xml:space="preserve"> </w:t>
      </w:r>
      <w:r>
        <w:rPr>
          <w:sz w:val="20"/>
        </w:rPr>
        <w:t>categoria</w:t>
      </w:r>
      <w:r>
        <w:rPr>
          <w:spacing w:val="-3"/>
          <w:sz w:val="20"/>
        </w:rPr>
        <w:t xml:space="preserve"> </w:t>
      </w:r>
      <w:r>
        <w:rPr>
          <w:sz w:val="20"/>
        </w:rPr>
        <w:t>contábil</w:t>
      </w:r>
      <w:r>
        <w:rPr>
          <w:spacing w:val="-4"/>
          <w:sz w:val="20"/>
        </w:rPr>
        <w:t xml:space="preserve"> </w:t>
      </w:r>
      <w:r>
        <w:rPr>
          <w:sz w:val="20"/>
        </w:rPr>
        <w:t>específica</w:t>
      </w:r>
      <w:r>
        <w:rPr>
          <w:spacing w:val="-3"/>
          <w:sz w:val="20"/>
        </w:rPr>
        <w:t xml:space="preserve"> </w:t>
      </w:r>
      <w:r>
        <w:rPr>
          <w:sz w:val="20"/>
        </w:rPr>
        <w:t>da</w:t>
      </w:r>
      <w:r>
        <w:rPr>
          <w:spacing w:val="-3"/>
          <w:sz w:val="20"/>
        </w:rPr>
        <w:t xml:space="preserve"> </w:t>
      </w:r>
      <w:r>
        <w:rPr>
          <w:sz w:val="20"/>
        </w:rPr>
        <w:t>disciplina</w:t>
      </w:r>
      <w:r>
        <w:rPr>
          <w:spacing w:val="-3"/>
          <w:sz w:val="20"/>
        </w:rPr>
        <w:t xml:space="preserve"> </w:t>
      </w:r>
      <w:r>
        <w:rPr>
          <w:sz w:val="20"/>
        </w:rPr>
        <w:t>desse</w:t>
      </w:r>
      <w:r>
        <w:rPr>
          <w:spacing w:val="-3"/>
          <w:sz w:val="20"/>
        </w:rPr>
        <w:t xml:space="preserve"> </w:t>
      </w:r>
      <w:r>
        <w:rPr>
          <w:sz w:val="20"/>
        </w:rPr>
        <w:t>direito</w:t>
      </w:r>
      <w:r>
        <w:rPr>
          <w:spacing w:val="-2"/>
          <w:sz w:val="20"/>
        </w:rPr>
        <w:t xml:space="preserve"> </w:t>
      </w:r>
      <w:r>
        <w:rPr>
          <w:sz w:val="20"/>
        </w:rPr>
        <w:t xml:space="preserve">dos acionistas. Dessa forma, os dividendos obrigatórios são nada mais que o percentual de lucro de uma empresa que deve ser obrigatoriamente distribuído aos acionistas. (COELHO, </w:t>
      </w:r>
      <w:r>
        <w:rPr>
          <w:i/>
          <w:sz w:val="20"/>
        </w:rPr>
        <w:t>op. cit</w:t>
      </w:r>
      <w:r>
        <w:rPr>
          <w:sz w:val="20"/>
        </w:rPr>
        <w:t>., p.361).</w:t>
      </w:r>
    </w:p>
    <w:p w:rsidR="007259F2" w:rsidRDefault="00E655B4">
      <w:pPr>
        <w:ind w:left="710"/>
        <w:jc w:val="both"/>
        <w:rPr>
          <w:sz w:val="20"/>
        </w:rPr>
      </w:pPr>
      <w:r>
        <w:rPr>
          <w:sz w:val="20"/>
          <w:vertAlign w:val="superscript"/>
        </w:rPr>
        <w:t>62</w:t>
      </w:r>
      <w:r>
        <w:rPr>
          <w:spacing w:val="-4"/>
          <w:sz w:val="20"/>
        </w:rPr>
        <w:t xml:space="preserve"> </w:t>
      </w:r>
      <w:r>
        <w:rPr>
          <w:sz w:val="20"/>
        </w:rPr>
        <w:t>COELHO,</w:t>
      </w:r>
      <w:r>
        <w:rPr>
          <w:spacing w:val="-3"/>
          <w:sz w:val="20"/>
        </w:rPr>
        <w:t xml:space="preserve"> </w:t>
      </w:r>
      <w:r>
        <w:rPr>
          <w:i/>
          <w:sz w:val="20"/>
        </w:rPr>
        <w:t>op.</w:t>
      </w:r>
      <w:r>
        <w:rPr>
          <w:i/>
          <w:spacing w:val="-3"/>
          <w:sz w:val="20"/>
        </w:rPr>
        <w:t xml:space="preserve"> </w:t>
      </w:r>
      <w:r>
        <w:rPr>
          <w:i/>
          <w:sz w:val="20"/>
        </w:rPr>
        <w:t>cit.,</w:t>
      </w:r>
      <w:r>
        <w:rPr>
          <w:i/>
          <w:spacing w:val="-2"/>
          <w:sz w:val="20"/>
        </w:rPr>
        <w:t xml:space="preserve"> </w:t>
      </w:r>
      <w:r>
        <w:rPr>
          <w:spacing w:val="-2"/>
          <w:sz w:val="20"/>
        </w:rPr>
        <w:t>p.374.</w:t>
      </w:r>
    </w:p>
    <w:p w:rsidR="007259F2" w:rsidRDefault="00E655B4">
      <w:pPr>
        <w:spacing w:before="1"/>
        <w:ind w:left="710"/>
        <w:jc w:val="both"/>
        <w:rPr>
          <w:sz w:val="20"/>
        </w:rPr>
      </w:pPr>
      <w:r>
        <w:rPr>
          <w:sz w:val="20"/>
          <w:vertAlign w:val="superscript"/>
        </w:rPr>
        <w:t>63</w:t>
      </w:r>
      <w:r>
        <w:rPr>
          <w:spacing w:val="-4"/>
          <w:sz w:val="20"/>
        </w:rPr>
        <w:t xml:space="preserve"> </w:t>
      </w:r>
      <w:r>
        <w:rPr>
          <w:sz w:val="20"/>
        </w:rPr>
        <w:t>COELHO,</w:t>
      </w:r>
      <w:r>
        <w:rPr>
          <w:spacing w:val="-3"/>
          <w:sz w:val="20"/>
        </w:rPr>
        <w:t xml:space="preserve"> </w:t>
      </w:r>
      <w:r>
        <w:rPr>
          <w:i/>
          <w:sz w:val="20"/>
        </w:rPr>
        <w:t>op.</w:t>
      </w:r>
      <w:r>
        <w:rPr>
          <w:i/>
          <w:spacing w:val="-3"/>
          <w:sz w:val="20"/>
        </w:rPr>
        <w:t xml:space="preserve"> </w:t>
      </w:r>
      <w:r>
        <w:rPr>
          <w:i/>
          <w:sz w:val="20"/>
        </w:rPr>
        <w:t>cit.,</w:t>
      </w:r>
      <w:r>
        <w:rPr>
          <w:i/>
          <w:spacing w:val="-2"/>
          <w:sz w:val="20"/>
        </w:rPr>
        <w:t xml:space="preserve"> </w:t>
      </w:r>
      <w:r>
        <w:rPr>
          <w:spacing w:val="-2"/>
          <w:sz w:val="20"/>
        </w:rPr>
        <w:t>p.375.</w:t>
      </w:r>
    </w:p>
    <w:p w:rsidR="007259F2" w:rsidRDefault="007259F2">
      <w:pPr>
        <w:jc w:val="both"/>
        <w:rPr>
          <w:sz w:val="20"/>
        </w:rPr>
        <w:sectPr w:rsidR="007259F2">
          <w:pgSz w:w="11910" w:h="16840"/>
          <w:pgMar w:top="1320" w:right="708" w:bottom="1160" w:left="992" w:header="0" w:footer="962" w:gutter="0"/>
          <w:cols w:space="720"/>
        </w:sectPr>
      </w:pPr>
    </w:p>
    <w:p w:rsidR="007259F2" w:rsidRDefault="00E655B4">
      <w:pPr>
        <w:spacing w:before="91"/>
        <w:ind w:left="598" w:right="326"/>
        <w:jc w:val="center"/>
        <w:rPr>
          <w:sz w:val="20"/>
        </w:rPr>
      </w:pPr>
      <w:r>
        <w:rPr>
          <w:sz w:val="20"/>
        </w:rPr>
        <w:lastRenderedPageBreak/>
        <w:t>tipo,</w:t>
      </w:r>
      <w:r>
        <w:rPr>
          <w:spacing w:val="-5"/>
          <w:sz w:val="20"/>
        </w:rPr>
        <w:t xml:space="preserve"> </w:t>
      </w:r>
      <w:r>
        <w:rPr>
          <w:sz w:val="20"/>
        </w:rPr>
        <w:t>em</w:t>
      </w:r>
      <w:r>
        <w:rPr>
          <w:spacing w:val="-6"/>
          <w:sz w:val="20"/>
        </w:rPr>
        <w:t xml:space="preserve"> </w:t>
      </w:r>
      <w:r>
        <w:rPr>
          <w:sz w:val="20"/>
        </w:rPr>
        <w:t>vista</w:t>
      </w:r>
      <w:r>
        <w:rPr>
          <w:spacing w:val="-5"/>
          <w:sz w:val="20"/>
        </w:rPr>
        <w:t xml:space="preserve"> </w:t>
      </w:r>
      <w:r>
        <w:rPr>
          <w:sz w:val="20"/>
        </w:rPr>
        <w:t>do</w:t>
      </w:r>
      <w:r>
        <w:rPr>
          <w:spacing w:val="-4"/>
          <w:sz w:val="20"/>
        </w:rPr>
        <w:t xml:space="preserve"> </w:t>
      </w:r>
      <w:r>
        <w:rPr>
          <w:sz w:val="20"/>
        </w:rPr>
        <w:t>princípio</w:t>
      </w:r>
      <w:r>
        <w:rPr>
          <w:spacing w:val="-4"/>
          <w:sz w:val="20"/>
        </w:rPr>
        <w:t xml:space="preserve"> </w:t>
      </w:r>
      <w:r>
        <w:rPr>
          <w:sz w:val="20"/>
        </w:rPr>
        <w:t>constitucional</w:t>
      </w:r>
      <w:r>
        <w:rPr>
          <w:spacing w:val="-5"/>
          <w:sz w:val="20"/>
        </w:rPr>
        <w:t xml:space="preserve"> </w:t>
      </w:r>
      <w:r>
        <w:rPr>
          <w:sz w:val="20"/>
        </w:rPr>
        <w:t>da</w:t>
      </w:r>
      <w:r>
        <w:rPr>
          <w:spacing w:val="-5"/>
          <w:sz w:val="20"/>
        </w:rPr>
        <w:t xml:space="preserve"> </w:t>
      </w:r>
      <w:r>
        <w:rPr>
          <w:spacing w:val="-2"/>
          <w:sz w:val="20"/>
        </w:rPr>
        <w:t>igualdade.</w:t>
      </w:r>
      <w:r>
        <w:rPr>
          <w:spacing w:val="-2"/>
          <w:sz w:val="20"/>
          <w:vertAlign w:val="superscript"/>
        </w:rPr>
        <w:t>64</w:t>
      </w:r>
    </w:p>
    <w:p w:rsidR="007259F2" w:rsidRDefault="00E655B4">
      <w:pPr>
        <w:pStyle w:val="Heading2"/>
        <w:numPr>
          <w:ilvl w:val="1"/>
          <w:numId w:val="35"/>
        </w:numPr>
        <w:tabs>
          <w:tab w:val="left" w:pos="1069"/>
        </w:tabs>
        <w:spacing w:before="205"/>
        <w:ind w:left="1069" w:hanging="359"/>
      </w:pPr>
      <w:r>
        <w:t>Isenção</w:t>
      </w:r>
      <w:r>
        <w:rPr>
          <w:spacing w:val="-9"/>
        </w:rPr>
        <w:t xml:space="preserve"> </w:t>
      </w:r>
      <w:r>
        <w:t>de</w:t>
      </w:r>
      <w:r>
        <w:rPr>
          <w:spacing w:val="-7"/>
        </w:rPr>
        <w:t xml:space="preserve"> </w:t>
      </w:r>
      <w:r>
        <w:t>Imposto</w:t>
      </w:r>
      <w:r>
        <w:rPr>
          <w:spacing w:val="-1"/>
        </w:rPr>
        <w:t xml:space="preserve"> </w:t>
      </w:r>
      <w:r>
        <w:t>de</w:t>
      </w:r>
      <w:r>
        <w:rPr>
          <w:spacing w:val="-10"/>
        </w:rPr>
        <w:t xml:space="preserve"> </w:t>
      </w:r>
      <w:r>
        <w:t>Renda</w:t>
      </w:r>
      <w:r>
        <w:rPr>
          <w:spacing w:val="-1"/>
        </w:rPr>
        <w:t xml:space="preserve"> </w:t>
      </w:r>
      <w:r>
        <w:t>para</w:t>
      </w:r>
      <w:r>
        <w:rPr>
          <w:spacing w:val="-1"/>
        </w:rPr>
        <w:t xml:space="preserve"> </w:t>
      </w:r>
      <w:r>
        <w:t>lucros</w:t>
      </w:r>
      <w:r>
        <w:rPr>
          <w:spacing w:val="-3"/>
        </w:rPr>
        <w:t xml:space="preserve"> </w:t>
      </w:r>
      <w:r>
        <w:t>e</w:t>
      </w:r>
      <w:r>
        <w:rPr>
          <w:spacing w:val="-4"/>
        </w:rPr>
        <w:t xml:space="preserve"> </w:t>
      </w:r>
      <w:r>
        <w:t>dividendos</w:t>
      </w:r>
      <w:r>
        <w:rPr>
          <w:spacing w:val="-3"/>
        </w:rPr>
        <w:t xml:space="preserve"> </w:t>
      </w:r>
      <w:r>
        <w:t>no</w:t>
      </w:r>
      <w:r>
        <w:rPr>
          <w:spacing w:val="-3"/>
        </w:rPr>
        <w:t xml:space="preserve"> </w:t>
      </w:r>
      <w:r>
        <w:rPr>
          <w:spacing w:val="-2"/>
        </w:rPr>
        <w:t>Brasil</w:t>
      </w:r>
    </w:p>
    <w:p w:rsidR="007259F2" w:rsidRDefault="00E655B4">
      <w:pPr>
        <w:pStyle w:val="PargrafodaLista"/>
        <w:numPr>
          <w:ilvl w:val="2"/>
          <w:numId w:val="35"/>
        </w:numPr>
        <w:tabs>
          <w:tab w:val="left" w:pos="1249"/>
        </w:tabs>
        <w:spacing w:before="164"/>
        <w:ind w:left="1249" w:hanging="539"/>
        <w:rPr>
          <w:b/>
          <w:sz w:val="24"/>
        </w:rPr>
      </w:pPr>
      <w:r>
        <w:rPr>
          <w:b/>
          <w:sz w:val="24"/>
        </w:rPr>
        <w:t>Definição</w:t>
      </w:r>
      <w:r>
        <w:rPr>
          <w:b/>
          <w:spacing w:val="-3"/>
          <w:sz w:val="24"/>
        </w:rPr>
        <w:t xml:space="preserve"> </w:t>
      </w:r>
      <w:r>
        <w:rPr>
          <w:b/>
          <w:sz w:val="24"/>
        </w:rPr>
        <w:t>de</w:t>
      </w:r>
      <w:r>
        <w:rPr>
          <w:b/>
          <w:spacing w:val="-6"/>
          <w:sz w:val="24"/>
        </w:rPr>
        <w:t xml:space="preserve"> </w:t>
      </w:r>
      <w:r>
        <w:rPr>
          <w:b/>
          <w:sz w:val="24"/>
        </w:rPr>
        <w:t>isenção do</w:t>
      </w:r>
      <w:r>
        <w:rPr>
          <w:b/>
          <w:spacing w:val="-8"/>
          <w:sz w:val="24"/>
        </w:rPr>
        <w:t xml:space="preserve"> </w:t>
      </w:r>
      <w:r>
        <w:rPr>
          <w:b/>
          <w:sz w:val="24"/>
        </w:rPr>
        <w:t>ponto</w:t>
      </w:r>
      <w:r>
        <w:rPr>
          <w:b/>
          <w:spacing w:val="-3"/>
          <w:sz w:val="24"/>
        </w:rPr>
        <w:t xml:space="preserve"> </w:t>
      </w:r>
      <w:r>
        <w:rPr>
          <w:b/>
          <w:sz w:val="24"/>
        </w:rPr>
        <w:t>de</w:t>
      </w:r>
      <w:r>
        <w:rPr>
          <w:b/>
          <w:spacing w:val="-4"/>
          <w:sz w:val="24"/>
        </w:rPr>
        <w:t xml:space="preserve"> </w:t>
      </w:r>
      <w:r>
        <w:rPr>
          <w:b/>
          <w:sz w:val="24"/>
        </w:rPr>
        <w:t xml:space="preserve">vista </w:t>
      </w:r>
      <w:r>
        <w:rPr>
          <w:b/>
          <w:spacing w:val="-2"/>
          <w:sz w:val="24"/>
        </w:rPr>
        <w:t>jurídico</w:t>
      </w:r>
    </w:p>
    <w:p w:rsidR="007259F2" w:rsidRDefault="00E655B4">
      <w:pPr>
        <w:pStyle w:val="Corpodetexto"/>
        <w:spacing w:before="233"/>
        <w:ind w:right="991"/>
      </w:pPr>
      <w:r>
        <w:t>Para</w:t>
      </w:r>
      <w:r>
        <w:rPr>
          <w:spacing w:val="-3"/>
        </w:rPr>
        <w:t xml:space="preserve"> </w:t>
      </w:r>
      <w:r>
        <w:t>tratarmos</w:t>
      </w:r>
      <w:r>
        <w:rPr>
          <w:spacing w:val="-2"/>
        </w:rPr>
        <w:t xml:space="preserve"> </w:t>
      </w:r>
      <w:r>
        <w:t>da</w:t>
      </w:r>
      <w:r>
        <w:rPr>
          <w:spacing w:val="-3"/>
        </w:rPr>
        <w:t xml:space="preserve"> </w:t>
      </w:r>
      <w:r>
        <w:t>isenção</w:t>
      </w:r>
      <w:r>
        <w:rPr>
          <w:spacing w:val="-2"/>
        </w:rPr>
        <w:t xml:space="preserve"> </w:t>
      </w:r>
      <w:r>
        <w:t>do Imposto</w:t>
      </w:r>
      <w:r>
        <w:rPr>
          <w:spacing w:val="-2"/>
        </w:rPr>
        <w:t xml:space="preserve"> </w:t>
      </w:r>
      <w:r>
        <w:t>de</w:t>
      </w:r>
      <w:r>
        <w:rPr>
          <w:spacing w:val="-3"/>
        </w:rPr>
        <w:t xml:space="preserve"> </w:t>
      </w:r>
      <w:r>
        <w:t>Renda</w:t>
      </w:r>
      <w:r>
        <w:rPr>
          <w:spacing w:val="-1"/>
        </w:rPr>
        <w:t xml:space="preserve"> </w:t>
      </w:r>
      <w:r>
        <w:t>em</w:t>
      </w:r>
      <w:r>
        <w:rPr>
          <w:spacing w:val="-2"/>
        </w:rPr>
        <w:t xml:space="preserve"> </w:t>
      </w:r>
      <w:r>
        <w:t>específico, mister</w:t>
      </w:r>
      <w:r>
        <w:rPr>
          <w:spacing w:val="-3"/>
        </w:rPr>
        <w:t xml:space="preserve"> </w:t>
      </w:r>
      <w:r>
        <w:t>definirmos o conceito de isenção, como espécie do gênero benefício fiscal.</w:t>
      </w:r>
    </w:p>
    <w:p w:rsidR="007259F2" w:rsidRDefault="00E655B4">
      <w:pPr>
        <w:pStyle w:val="Corpodetexto"/>
        <w:ind w:right="988"/>
      </w:pPr>
      <w:r>
        <w:t xml:space="preserve">Alfredo Augusto Becker, em seu clássico </w:t>
      </w:r>
      <w:r>
        <w:rPr>
          <w:i/>
        </w:rPr>
        <w:t xml:space="preserve">Teoria Geral do Direito Tributário, </w:t>
      </w:r>
      <w:r>
        <w:t>constatou que o Direito tributário seria forma instrumental do Estado realizar intervenções na Economia.</w:t>
      </w:r>
      <w:r>
        <w:rPr>
          <w:vertAlign w:val="superscript"/>
        </w:rPr>
        <w:t>65</w:t>
      </w:r>
      <w:r>
        <w:t xml:space="preserve"> Tal visão mostrou-se acertada na medida em que, no decurso do tempo, as</w:t>
      </w:r>
      <w:r>
        <w:rPr>
          <w:spacing w:val="-7"/>
        </w:rPr>
        <w:t xml:space="preserve"> </w:t>
      </w:r>
      <w:r>
        <w:t xml:space="preserve">Administrações utilizaram dos tributos como dispositivo de ajuste na Economia, incentivando e desincentivando comportamentos dos particulares, demonstrando o valor dos tributos como instrumentos de intervenção do Estado na </w:t>
      </w:r>
      <w:r>
        <w:rPr>
          <w:spacing w:val="-2"/>
        </w:rPr>
        <w:t>Economia.</w:t>
      </w:r>
    </w:p>
    <w:p w:rsidR="007259F2" w:rsidRDefault="00E655B4">
      <w:pPr>
        <w:pStyle w:val="Corpodetexto"/>
        <w:ind w:right="993"/>
      </w:pPr>
      <w:r>
        <w:t>Assim, podemos falar nos incentivos fiscais, que possuem o condão de influenciar comportamentos a serem adotados pelos contribuintes, sendo o Estado o grande responsável por indicar o rumo desses comportamentos, por meio da tributação.</w:t>
      </w:r>
    </w:p>
    <w:p w:rsidR="007259F2" w:rsidRDefault="00E655B4">
      <w:pPr>
        <w:pStyle w:val="Corpodetexto"/>
        <w:ind w:right="990"/>
      </w:pPr>
      <w:r>
        <w:t>Entretanto, os benefícios fiscais são mais amplos que os incentivos. Como dito anteriormente, o benefício fiscal é um gênero do qual o incentivo fiscal é uma das espécies, e pode ser definido como uma situação que gera “desoneração da carga tributária”.</w:t>
      </w:r>
      <w:r>
        <w:rPr>
          <w:vertAlign w:val="superscript"/>
        </w:rPr>
        <w:t>66</w:t>
      </w:r>
      <w:r>
        <w:t xml:space="preserve"> Indica um estado de sujeição do particular a uma determinada desoneração tributária, resultado da</w:t>
      </w:r>
      <w:r>
        <w:rPr>
          <w:spacing w:val="-1"/>
        </w:rPr>
        <w:t xml:space="preserve"> </w:t>
      </w:r>
      <w:r>
        <w:t>incidência</w:t>
      </w:r>
      <w:r>
        <w:rPr>
          <w:spacing w:val="-7"/>
        </w:rPr>
        <w:t xml:space="preserve"> </w:t>
      </w:r>
      <w:r>
        <w:t>de</w:t>
      </w:r>
      <w:r>
        <w:rPr>
          <w:spacing w:val="-8"/>
        </w:rPr>
        <w:t xml:space="preserve"> </w:t>
      </w:r>
      <w:r>
        <w:t>uma</w:t>
      </w:r>
      <w:r>
        <w:rPr>
          <w:spacing w:val="-7"/>
        </w:rPr>
        <w:t xml:space="preserve"> </w:t>
      </w:r>
      <w:r>
        <w:t>norma</w:t>
      </w:r>
      <w:r>
        <w:rPr>
          <w:spacing w:val="-7"/>
        </w:rPr>
        <w:t xml:space="preserve"> </w:t>
      </w:r>
      <w:r>
        <w:t>jurídica.</w:t>
      </w:r>
      <w:r>
        <w:rPr>
          <w:spacing w:val="-11"/>
        </w:rPr>
        <w:t xml:space="preserve"> </w:t>
      </w:r>
      <w:r>
        <w:t>Tal</w:t>
      </w:r>
      <w:r>
        <w:rPr>
          <w:spacing w:val="-6"/>
        </w:rPr>
        <w:t xml:space="preserve"> </w:t>
      </w:r>
      <w:r>
        <w:t>desoneração</w:t>
      </w:r>
      <w:r>
        <w:rPr>
          <w:spacing w:val="-4"/>
        </w:rPr>
        <w:t xml:space="preserve"> </w:t>
      </w:r>
      <w:r>
        <w:t>pode</w:t>
      </w:r>
      <w:r>
        <w:rPr>
          <w:spacing w:val="-7"/>
        </w:rPr>
        <w:t xml:space="preserve"> </w:t>
      </w:r>
      <w:r>
        <w:t>ser</w:t>
      </w:r>
      <w:r>
        <w:rPr>
          <w:spacing w:val="-8"/>
        </w:rPr>
        <w:t xml:space="preserve"> </w:t>
      </w:r>
      <w:r>
        <w:t>tanto relativa ao tributo (obrigação principal), quanto aos custos de conformidade a ele relacionados (obrigação acessória).</w:t>
      </w:r>
      <w:r>
        <w:rPr>
          <w:vertAlign w:val="superscript"/>
        </w:rPr>
        <w:t>67</w:t>
      </w:r>
    </w:p>
    <w:p w:rsidR="007259F2" w:rsidRDefault="00E655B4">
      <w:pPr>
        <w:pStyle w:val="Corpodetexto"/>
        <w:spacing w:before="1"/>
        <w:ind w:right="998"/>
      </w:pPr>
      <w:r>
        <w:t>Dentre as espécies que compõe o gênero benefício fiscal, destaco a isenção fiscal, que será objeto de estudo nesta pesquisa.</w:t>
      </w:r>
    </w:p>
    <w:p w:rsidR="007259F2" w:rsidRDefault="00E655B4">
      <w:pPr>
        <w:pStyle w:val="Corpodetexto"/>
        <w:ind w:right="988"/>
      </w:pPr>
      <w:r>
        <w:t>A</w:t>
      </w:r>
      <w:r>
        <w:rPr>
          <w:spacing w:val="-5"/>
        </w:rPr>
        <w:t xml:space="preserve"> </w:t>
      </w:r>
      <w:r>
        <w:t>isenção foi definida pela doutrina clássica do direito tributário como dispensa legal do pagamento de tributo devido. Muito embora essa definição encontrasse fortes críticas desde há muito tempo, representava o pensamento dominante e que acabou se positivando no código tributário nacional, em seu artigo 175, I, Hipótese de “exclusão do crédito tributário”.</w:t>
      </w:r>
    </w:p>
    <w:p w:rsidR="007259F2" w:rsidRDefault="00E655B4">
      <w:pPr>
        <w:pStyle w:val="Corpodetexto"/>
        <w:ind w:right="988"/>
      </w:pPr>
      <w:r>
        <w:t>Como sustentavam os entusiastas dessa corrente de pensamento, tal situação ocorria da seguinte forma: primeiramente, tinha-se a incidência da norma tributária fundada na ocorrência do fato gerador e, por fim, tinha-se a incidência da norma que estabelecia a isenção tributária, desonerando o contribuinte daquele pagamento.</w:t>
      </w:r>
    </w:p>
    <w:p w:rsidR="007259F2" w:rsidRDefault="00E655B4">
      <w:pPr>
        <w:pStyle w:val="Corpodetexto"/>
        <w:ind w:right="988"/>
      </w:pPr>
      <w:r>
        <w:t>Alfredo Augusto Becker bem notou que essa concepção é insustentável, porque</w:t>
      </w:r>
      <w:r>
        <w:rPr>
          <w:spacing w:val="40"/>
        </w:rPr>
        <w:t xml:space="preserve"> </w:t>
      </w:r>
      <w:r>
        <w:t>o que se</w:t>
      </w:r>
      <w:r>
        <w:rPr>
          <w:spacing w:val="-5"/>
        </w:rPr>
        <w:t xml:space="preserve"> </w:t>
      </w:r>
      <w:r>
        <w:t>verifica</w:t>
      </w:r>
      <w:r>
        <w:rPr>
          <w:spacing w:val="-1"/>
        </w:rPr>
        <w:t xml:space="preserve"> </w:t>
      </w:r>
      <w:r>
        <w:t>é</w:t>
      </w:r>
      <w:r>
        <w:rPr>
          <w:spacing w:val="-6"/>
        </w:rPr>
        <w:t xml:space="preserve"> </w:t>
      </w:r>
      <w:r>
        <w:t>que a</w:t>
      </w:r>
      <w:r>
        <w:rPr>
          <w:spacing w:val="-1"/>
        </w:rPr>
        <w:t xml:space="preserve"> </w:t>
      </w:r>
      <w:r>
        <w:t>situação</w:t>
      </w:r>
      <w:r>
        <w:rPr>
          <w:spacing w:val="-2"/>
        </w:rPr>
        <w:t xml:space="preserve"> </w:t>
      </w:r>
      <w:r>
        <w:t>descrita</w:t>
      </w:r>
      <w:r>
        <w:rPr>
          <w:spacing w:val="-3"/>
        </w:rPr>
        <w:t xml:space="preserve"> </w:t>
      </w:r>
      <w:r>
        <w:t>no</w:t>
      </w:r>
      <w:r>
        <w:rPr>
          <w:spacing w:val="-2"/>
        </w:rPr>
        <w:t xml:space="preserve"> </w:t>
      </w:r>
      <w:r>
        <w:t>primeiro</w:t>
      </w:r>
      <w:r>
        <w:rPr>
          <w:spacing w:val="-2"/>
        </w:rPr>
        <w:t xml:space="preserve"> </w:t>
      </w:r>
      <w:r>
        <w:t>momento</w:t>
      </w:r>
      <w:r>
        <w:rPr>
          <w:spacing w:val="-2"/>
        </w:rPr>
        <w:t xml:space="preserve"> </w:t>
      </w:r>
      <w:r>
        <w:t>(incidência</w:t>
      </w:r>
      <w:r>
        <w:rPr>
          <w:spacing w:val="-2"/>
        </w:rPr>
        <w:t xml:space="preserve"> </w:t>
      </w:r>
      <w:r>
        <w:t>da</w:t>
      </w:r>
      <w:r>
        <w:rPr>
          <w:spacing w:val="-3"/>
        </w:rPr>
        <w:t xml:space="preserve"> </w:t>
      </w:r>
      <w:r>
        <w:t>regra</w:t>
      </w:r>
      <w:r>
        <w:rPr>
          <w:spacing w:val="-8"/>
        </w:rPr>
        <w:t xml:space="preserve"> </w:t>
      </w:r>
      <w:r>
        <w:t>que estabelece a obrigação tributária), na verdade, nunca aconteceu na medida em que “faltou ou excedeu um dos elementos da composição de sua hipótese de incidência sem o qual ou com o qual ela não se realiza”</w:t>
      </w:r>
      <w:r>
        <w:rPr>
          <w:vertAlign w:val="superscript"/>
        </w:rPr>
        <w:t>68</w:t>
      </w:r>
      <w:r>
        <w:t>-</w:t>
      </w:r>
      <w:r>
        <w:rPr>
          <w:vertAlign w:val="superscript"/>
        </w:rPr>
        <w:t>69</w:t>
      </w:r>
    </w:p>
    <w:p w:rsidR="007259F2" w:rsidRDefault="00E655B4">
      <w:pPr>
        <w:pStyle w:val="Corpodetexto"/>
        <w:spacing w:before="1"/>
        <w:ind w:right="995"/>
        <w:rPr>
          <w:position w:val="9"/>
          <w:sz w:val="13"/>
        </w:rPr>
      </w:pPr>
      <w:r>
        <w:t>Paulo de Barros Carvalho concluiu da mesma forma, onde a norma isentiva conforma</w:t>
      </w:r>
      <w:r>
        <w:rPr>
          <w:spacing w:val="40"/>
        </w:rPr>
        <w:t xml:space="preserve"> </w:t>
      </w:r>
      <w:r>
        <w:t>o âmbito de aplicação da norma tributante, fazendo com que essa última incida unicamente sobre os fatos anteriormente previsto, excluídos os fatos isentos.</w:t>
      </w:r>
      <w:r>
        <w:rPr>
          <w:position w:val="9"/>
          <w:sz w:val="13"/>
        </w:rPr>
        <w:t>70</w:t>
      </w:r>
    </w:p>
    <w:p w:rsidR="007259F2" w:rsidRDefault="00DE6B1C">
      <w:pPr>
        <w:pStyle w:val="Corpodetexto"/>
        <w:spacing w:before="10"/>
        <w:ind w:left="0" w:firstLine="0"/>
        <w:jc w:val="left"/>
        <w:rPr>
          <w:sz w:val="13"/>
        </w:rPr>
      </w:pPr>
      <w:r w:rsidRPr="00DE6B1C">
        <w:rPr>
          <w:sz w:val="13"/>
        </w:rPr>
        <w:pict>
          <v:rect id="docshape89" o:spid="_x0000_s1137" style="position:absolute;margin-left:85.1pt;margin-top:9.2pt;width:2in;height:.7pt;z-index:-15691264;mso-wrap-distance-left:0;mso-wrap-distance-right:0;mso-position-horizontal-relative:page" fillcolor="black" stroked="f">
            <w10:wrap type="topAndBottom" anchorx="page"/>
          </v:rect>
        </w:pict>
      </w:r>
    </w:p>
    <w:p w:rsidR="007259F2" w:rsidRDefault="00E655B4">
      <w:pPr>
        <w:spacing w:before="96"/>
        <w:ind w:left="710"/>
        <w:rPr>
          <w:sz w:val="20"/>
        </w:rPr>
      </w:pPr>
      <w:r>
        <w:rPr>
          <w:sz w:val="20"/>
          <w:vertAlign w:val="superscript"/>
        </w:rPr>
        <w:t>64</w:t>
      </w:r>
      <w:r>
        <w:rPr>
          <w:spacing w:val="-4"/>
          <w:sz w:val="20"/>
        </w:rPr>
        <w:t xml:space="preserve"> </w:t>
      </w:r>
      <w:r>
        <w:rPr>
          <w:sz w:val="20"/>
        </w:rPr>
        <w:t>COELHO,</w:t>
      </w:r>
      <w:r>
        <w:rPr>
          <w:spacing w:val="-3"/>
          <w:sz w:val="20"/>
        </w:rPr>
        <w:t xml:space="preserve"> </w:t>
      </w:r>
      <w:r>
        <w:rPr>
          <w:i/>
          <w:sz w:val="20"/>
        </w:rPr>
        <w:t>op.</w:t>
      </w:r>
      <w:r>
        <w:rPr>
          <w:i/>
          <w:spacing w:val="-3"/>
          <w:sz w:val="20"/>
        </w:rPr>
        <w:t xml:space="preserve"> </w:t>
      </w:r>
      <w:r>
        <w:rPr>
          <w:i/>
          <w:sz w:val="20"/>
        </w:rPr>
        <w:t>cit.,</w:t>
      </w:r>
      <w:r>
        <w:rPr>
          <w:i/>
          <w:spacing w:val="-2"/>
          <w:sz w:val="20"/>
        </w:rPr>
        <w:t xml:space="preserve"> </w:t>
      </w:r>
      <w:r>
        <w:rPr>
          <w:spacing w:val="-2"/>
          <w:sz w:val="20"/>
        </w:rPr>
        <w:t>p.375.</w:t>
      </w:r>
    </w:p>
    <w:p w:rsidR="007259F2" w:rsidRDefault="00E655B4">
      <w:pPr>
        <w:spacing w:before="1" w:line="229" w:lineRule="exact"/>
        <w:ind w:left="710"/>
        <w:rPr>
          <w:sz w:val="20"/>
        </w:rPr>
      </w:pPr>
      <w:r>
        <w:rPr>
          <w:sz w:val="20"/>
          <w:vertAlign w:val="superscript"/>
        </w:rPr>
        <w:t>65</w:t>
      </w:r>
      <w:r>
        <w:rPr>
          <w:spacing w:val="-13"/>
          <w:sz w:val="20"/>
        </w:rPr>
        <w:t xml:space="preserve"> </w:t>
      </w:r>
      <w:r>
        <w:rPr>
          <w:sz w:val="20"/>
        </w:rPr>
        <w:t>BECKER,</w:t>
      </w:r>
      <w:r>
        <w:rPr>
          <w:spacing w:val="-12"/>
          <w:sz w:val="20"/>
        </w:rPr>
        <w:t xml:space="preserve"> </w:t>
      </w:r>
      <w:r>
        <w:rPr>
          <w:sz w:val="20"/>
        </w:rPr>
        <w:t>Alfredo</w:t>
      </w:r>
      <w:r>
        <w:rPr>
          <w:spacing w:val="-13"/>
          <w:sz w:val="20"/>
        </w:rPr>
        <w:t xml:space="preserve"> </w:t>
      </w:r>
      <w:r>
        <w:rPr>
          <w:sz w:val="20"/>
        </w:rPr>
        <w:t>Augusto.</w:t>
      </w:r>
      <w:r>
        <w:rPr>
          <w:spacing w:val="-10"/>
          <w:sz w:val="20"/>
        </w:rPr>
        <w:t xml:space="preserve"> </w:t>
      </w:r>
      <w:r>
        <w:rPr>
          <w:b/>
          <w:sz w:val="20"/>
        </w:rPr>
        <w:t>Teoria</w:t>
      </w:r>
      <w:r>
        <w:rPr>
          <w:b/>
          <w:spacing w:val="-7"/>
          <w:sz w:val="20"/>
        </w:rPr>
        <w:t xml:space="preserve"> </w:t>
      </w:r>
      <w:r>
        <w:rPr>
          <w:b/>
          <w:sz w:val="20"/>
        </w:rPr>
        <w:t>Geral</w:t>
      </w:r>
      <w:r>
        <w:rPr>
          <w:b/>
          <w:spacing w:val="-9"/>
          <w:sz w:val="20"/>
        </w:rPr>
        <w:t xml:space="preserve"> </w:t>
      </w:r>
      <w:r>
        <w:rPr>
          <w:b/>
          <w:sz w:val="20"/>
        </w:rPr>
        <w:t>do</w:t>
      </w:r>
      <w:r>
        <w:rPr>
          <w:b/>
          <w:spacing w:val="-7"/>
          <w:sz w:val="20"/>
        </w:rPr>
        <w:t xml:space="preserve"> </w:t>
      </w:r>
      <w:r>
        <w:rPr>
          <w:b/>
          <w:sz w:val="20"/>
        </w:rPr>
        <w:t>Direito</w:t>
      </w:r>
      <w:r>
        <w:rPr>
          <w:b/>
          <w:spacing w:val="-12"/>
          <w:sz w:val="20"/>
        </w:rPr>
        <w:t xml:space="preserve"> </w:t>
      </w:r>
      <w:r>
        <w:rPr>
          <w:b/>
          <w:sz w:val="20"/>
        </w:rPr>
        <w:t>Tributário</w:t>
      </w:r>
      <w:r>
        <w:rPr>
          <w:sz w:val="20"/>
        </w:rPr>
        <w:t>.</w:t>
      </w:r>
      <w:r>
        <w:rPr>
          <w:spacing w:val="-8"/>
          <w:sz w:val="20"/>
        </w:rPr>
        <w:t xml:space="preserve"> </w:t>
      </w:r>
      <w:r>
        <w:rPr>
          <w:sz w:val="20"/>
        </w:rPr>
        <w:t>São</w:t>
      </w:r>
      <w:r>
        <w:rPr>
          <w:spacing w:val="-9"/>
          <w:sz w:val="20"/>
        </w:rPr>
        <w:t xml:space="preserve"> </w:t>
      </w:r>
      <w:r>
        <w:rPr>
          <w:sz w:val="20"/>
        </w:rPr>
        <w:t>Paulo:</w:t>
      </w:r>
      <w:r>
        <w:rPr>
          <w:spacing w:val="-9"/>
          <w:sz w:val="20"/>
        </w:rPr>
        <w:t xml:space="preserve"> </w:t>
      </w:r>
      <w:r>
        <w:rPr>
          <w:sz w:val="20"/>
        </w:rPr>
        <w:t>Saraiva,</w:t>
      </w:r>
      <w:r>
        <w:rPr>
          <w:spacing w:val="-8"/>
          <w:sz w:val="20"/>
        </w:rPr>
        <w:t xml:space="preserve"> </w:t>
      </w:r>
      <w:r>
        <w:rPr>
          <w:sz w:val="20"/>
        </w:rPr>
        <w:t>1963,</w:t>
      </w:r>
      <w:r>
        <w:rPr>
          <w:spacing w:val="-8"/>
          <w:sz w:val="20"/>
        </w:rPr>
        <w:t xml:space="preserve"> </w:t>
      </w:r>
      <w:r>
        <w:rPr>
          <w:spacing w:val="-2"/>
          <w:sz w:val="20"/>
        </w:rPr>
        <w:t>p.541.</w:t>
      </w:r>
    </w:p>
    <w:p w:rsidR="007259F2" w:rsidRDefault="00E655B4">
      <w:pPr>
        <w:ind w:left="710" w:right="990"/>
        <w:rPr>
          <w:sz w:val="20"/>
        </w:rPr>
      </w:pPr>
      <w:r>
        <w:rPr>
          <w:sz w:val="20"/>
          <w:vertAlign w:val="superscript"/>
        </w:rPr>
        <w:t>66</w:t>
      </w:r>
      <w:r>
        <w:rPr>
          <w:spacing w:val="21"/>
          <w:sz w:val="20"/>
        </w:rPr>
        <w:t xml:space="preserve"> </w:t>
      </w:r>
      <w:r>
        <w:rPr>
          <w:sz w:val="20"/>
        </w:rPr>
        <w:t>ALHO</w:t>
      </w:r>
      <w:r>
        <w:rPr>
          <w:spacing w:val="31"/>
          <w:sz w:val="20"/>
        </w:rPr>
        <w:t xml:space="preserve"> </w:t>
      </w:r>
      <w:r>
        <w:rPr>
          <w:sz w:val="20"/>
        </w:rPr>
        <w:t>NETO,</w:t>
      </w:r>
      <w:r>
        <w:rPr>
          <w:spacing w:val="31"/>
          <w:sz w:val="20"/>
        </w:rPr>
        <w:t xml:space="preserve"> </w:t>
      </w:r>
      <w:r>
        <w:rPr>
          <w:sz w:val="20"/>
        </w:rPr>
        <w:t>João</w:t>
      </w:r>
      <w:r>
        <w:rPr>
          <w:spacing w:val="32"/>
          <w:sz w:val="20"/>
        </w:rPr>
        <w:t xml:space="preserve"> </w:t>
      </w:r>
      <w:r>
        <w:rPr>
          <w:sz w:val="20"/>
        </w:rPr>
        <w:t>de</w:t>
      </w:r>
      <w:r>
        <w:rPr>
          <w:spacing w:val="31"/>
          <w:sz w:val="20"/>
        </w:rPr>
        <w:t xml:space="preserve"> </w:t>
      </w:r>
      <w:r>
        <w:rPr>
          <w:sz w:val="20"/>
        </w:rPr>
        <w:t>Souza.</w:t>
      </w:r>
      <w:r>
        <w:rPr>
          <w:spacing w:val="34"/>
          <w:sz w:val="20"/>
        </w:rPr>
        <w:t xml:space="preserve"> </w:t>
      </w:r>
      <w:r>
        <w:rPr>
          <w:b/>
          <w:sz w:val="20"/>
        </w:rPr>
        <w:t>Interpretação</w:t>
      </w:r>
      <w:r>
        <w:rPr>
          <w:b/>
          <w:spacing w:val="31"/>
          <w:sz w:val="20"/>
        </w:rPr>
        <w:t xml:space="preserve"> </w:t>
      </w:r>
      <w:r>
        <w:rPr>
          <w:b/>
          <w:sz w:val="20"/>
        </w:rPr>
        <w:t>e</w:t>
      </w:r>
      <w:r>
        <w:rPr>
          <w:b/>
          <w:spacing w:val="21"/>
          <w:sz w:val="20"/>
        </w:rPr>
        <w:t xml:space="preserve"> </w:t>
      </w:r>
      <w:r>
        <w:rPr>
          <w:b/>
          <w:sz w:val="20"/>
        </w:rPr>
        <w:t>Aplicação</w:t>
      </w:r>
      <w:r>
        <w:rPr>
          <w:b/>
          <w:spacing w:val="31"/>
          <w:sz w:val="20"/>
        </w:rPr>
        <w:t xml:space="preserve"> </w:t>
      </w:r>
      <w:r>
        <w:rPr>
          <w:b/>
          <w:sz w:val="20"/>
        </w:rPr>
        <w:t>de</w:t>
      </w:r>
      <w:r>
        <w:rPr>
          <w:b/>
          <w:spacing w:val="30"/>
          <w:sz w:val="20"/>
        </w:rPr>
        <w:t xml:space="preserve"> </w:t>
      </w:r>
      <w:r>
        <w:rPr>
          <w:b/>
          <w:sz w:val="20"/>
        </w:rPr>
        <w:t>Benefícios</w:t>
      </w:r>
      <w:r>
        <w:rPr>
          <w:b/>
          <w:spacing w:val="30"/>
          <w:sz w:val="20"/>
        </w:rPr>
        <w:t xml:space="preserve"> </w:t>
      </w:r>
      <w:r>
        <w:rPr>
          <w:b/>
          <w:sz w:val="20"/>
        </w:rPr>
        <w:t>Fiscais</w:t>
      </w:r>
      <w:r>
        <w:rPr>
          <w:sz w:val="20"/>
        </w:rPr>
        <w:t>.</w:t>
      </w:r>
      <w:r>
        <w:rPr>
          <w:spacing w:val="31"/>
          <w:sz w:val="20"/>
        </w:rPr>
        <w:t xml:space="preserve"> </w:t>
      </w:r>
      <w:r>
        <w:rPr>
          <w:sz w:val="20"/>
        </w:rPr>
        <w:t>São</w:t>
      </w:r>
      <w:r>
        <w:rPr>
          <w:spacing w:val="31"/>
          <w:sz w:val="20"/>
        </w:rPr>
        <w:t xml:space="preserve"> </w:t>
      </w:r>
      <w:r>
        <w:rPr>
          <w:sz w:val="20"/>
        </w:rPr>
        <w:t>Paulo</w:t>
      </w:r>
      <w:r>
        <w:rPr>
          <w:spacing w:val="33"/>
          <w:sz w:val="20"/>
        </w:rPr>
        <w:t xml:space="preserve"> </w:t>
      </w:r>
      <w:r>
        <w:rPr>
          <w:sz w:val="20"/>
        </w:rPr>
        <w:t>-</w:t>
      </w:r>
      <w:r>
        <w:rPr>
          <w:spacing w:val="29"/>
          <w:sz w:val="20"/>
        </w:rPr>
        <w:t xml:space="preserve"> </w:t>
      </w:r>
      <w:r>
        <w:rPr>
          <w:sz w:val="20"/>
        </w:rPr>
        <w:t>SP: Instituto Brasileiro de Direito Tributário, 2021. v. XLIII, p.70</w:t>
      </w:r>
    </w:p>
    <w:p w:rsidR="007259F2" w:rsidRDefault="00E655B4">
      <w:pPr>
        <w:ind w:left="710"/>
        <w:rPr>
          <w:sz w:val="20"/>
        </w:rPr>
      </w:pPr>
      <w:r>
        <w:rPr>
          <w:sz w:val="20"/>
          <w:vertAlign w:val="superscript"/>
        </w:rPr>
        <w:t>67</w:t>
      </w:r>
      <w:r>
        <w:rPr>
          <w:spacing w:val="-13"/>
          <w:sz w:val="20"/>
        </w:rPr>
        <w:t xml:space="preserve"> </w:t>
      </w:r>
      <w:r>
        <w:rPr>
          <w:sz w:val="20"/>
        </w:rPr>
        <w:t>ALHO</w:t>
      </w:r>
      <w:r>
        <w:rPr>
          <w:spacing w:val="-6"/>
          <w:sz w:val="20"/>
        </w:rPr>
        <w:t xml:space="preserve"> </w:t>
      </w:r>
      <w:r>
        <w:rPr>
          <w:sz w:val="20"/>
        </w:rPr>
        <w:t>NETO,</w:t>
      </w:r>
      <w:r>
        <w:rPr>
          <w:spacing w:val="-3"/>
          <w:sz w:val="20"/>
        </w:rPr>
        <w:t xml:space="preserve"> </w:t>
      </w:r>
      <w:r>
        <w:rPr>
          <w:i/>
          <w:sz w:val="20"/>
        </w:rPr>
        <w:t>op.</w:t>
      </w:r>
      <w:r>
        <w:rPr>
          <w:i/>
          <w:spacing w:val="-4"/>
          <w:sz w:val="20"/>
        </w:rPr>
        <w:t xml:space="preserve"> </w:t>
      </w:r>
      <w:r>
        <w:rPr>
          <w:i/>
          <w:sz w:val="20"/>
        </w:rPr>
        <w:t>cit.,</w:t>
      </w:r>
      <w:r>
        <w:rPr>
          <w:i/>
          <w:spacing w:val="-5"/>
          <w:sz w:val="20"/>
        </w:rPr>
        <w:t xml:space="preserve"> </w:t>
      </w:r>
      <w:r>
        <w:rPr>
          <w:spacing w:val="-4"/>
          <w:sz w:val="20"/>
        </w:rPr>
        <w:t>p.71</w:t>
      </w:r>
    </w:p>
    <w:p w:rsidR="007259F2" w:rsidRDefault="00E655B4">
      <w:pPr>
        <w:ind w:left="710"/>
        <w:rPr>
          <w:sz w:val="20"/>
        </w:rPr>
      </w:pPr>
      <w:r>
        <w:rPr>
          <w:sz w:val="20"/>
          <w:vertAlign w:val="superscript"/>
        </w:rPr>
        <w:t>68</w:t>
      </w:r>
      <w:r>
        <w:rPr>
          <w:spacing w:val="-4"/>
          <w:sz w:val="20"/>
        </w:rPr>
        <w:t xml:space="preserve"> </w:t>
      </w:r>
      <w:r>
        <w:rPr>
          <w:sz w:val="20"/>
        </w:rPr>
        <w:t>BECKER,</w:t>
      </w:r>
      <w:r>
        <w:rPr>
          <w:spacing w:val="-3"/>
          <w:sz w:val="20"/>
        </w:rPr>
        <w:t xml:space="preserve"> </w:t>
      </w:r>
      <w:r>
        <w:rPr>
          <w:i/>
          <w:sz w:val="20"/>
        </w:rPr>
        <w:t>op.</w:t>
      </w:r>
      <w:r>
        <w:rPr>
          <w:i/>
          <w:spacing w:val="-3"/>
          <w:sz w:val="20"/>
        </w:rPr>
        <w:t xml:space="preserve"> </w:t>
      </w:r>
      <w:r>
        <w:rPr>
          <w:i/>
          <w:sz w:val="20"/>
        </w:rPr>
        <w:t>cit</w:t>
      </w:r>
      <w:r>
        <w:rPr>
          <w:sz w:val="20"/>
        </w:rPr>
        <w:t>.,</w:t>
      </w:r>
      <w:r>
        <w:rPr>
          <w:spacing w:val="-4"/>
          <w:sz w:val="20"/>
        </w:rPr>
        <w:t xml:space="preserve"> p.277</w:t>
      </w:r>
    </w:p>
    <w:p w:rsidR="007259F2" w:rsidRDefault="00E655B4">
      <w:pPr>
        <w:spacing w:before="1"/>
        <w:ind w:left="710"/>
        <w:rPr>
          <w:sz w:val="20"/>
        </w:rPr>
      </w:pPr>
      <w:r>
        <w:rPr>
          <w:sz w:val="20"/>
          <w:vertAlign w:val="superscript"/>
        </w:rPr>
        <w:t>69</w:t>
      </w:r>
      <w:r>
        <w:rPr>
          <w:spacing w:val="-13"/>
          <w:sz w:val="20"/>
        </w:rPr>
        <w:t xml:space="preserve"> </w:t>
      </w:r>
      <w:r>
        <w:rPr>
          <w:sz w:val="20"/>
        </w:rPr>
        <w:t>ALHO</w:t>
      </w:r>
      <w:r>
        <w:rPr>
          <w:spacing w:val="-6"/>
          <w:sz w:val="20"/>
        </w:rPr>
        <w:t xml:space="preserve"> </w:t>
      </w:r>
      <w:r>
        <w:rPr>
          <w:sz w:val="20"/>
        </w:rPr>
        <w:t>NETO,</w:t>
      </w:r>
      <w:r>
        <w:rPr>
          <w:spacing w:val="-3"/>
          <w:sz w:val="20"/>
        </w:rPr>
        <w:t xml:space="preserve"> </w:t>
      </w:r>
      <w:r>
        <w:rPr>
          <w:i/>
          <w:sz w:val="20"/>
        </w:rPr>
        <w:t>op.</w:t>
      </w:r>
      <w:r>
        <w:rPr>
          <w:i/>
          <w:spacing w:val="-4"/>
          <w:sz w:val="20"/>
        </w:rPr>
        <w:t xml:space="preserve"> </w:t>
      </w:r>
      <w:r>
        <w:rPr>
          <w:i/>
          <w:sz w:val="20"/>
        </w:rPr>
        <w:t>cit</w:t>
      </w:r>
      <w:r>
        <w:rPr>
          <w:sz w:val="20"/>
        </w:rPr>
        <w:t>.,</w:t>
      </w:r>
      <w:r>
        <w:rPr>
          <w:spacing w:val="-6"/>
          <w:sz w:val="20"/>
        </w:rPr>
        <w:t xml:space="preserve"> </w:t>
      </w:r>
      <w:r>
        <w:rPr>
          <w:spacing w:val="-4"/>
          <w:sz w:val="20"/>
        </w:rPr>
        <w:t>p.78</w:t>
      </w:r>
    </w:p>
    <w:p w:rsidR="007259F2" w:rsidRDefault="00E655B4">
      <w:pPr>
        <w:ind w:left="710"/>
        <w:rPr>
          <w:sz w:val="20"/>
        </w:rPr>
      </w:pPr>
      <w:r>
        <w:rPr>
          <w:sz w:val="20"/>
          <w:vertAlign w:val="superscript"/>
        </w:rPr>
        <w:t>70</w:t>
      </w:r>
      <w:r>
        <w:rPr>
          <w:spacing w:val="-9"/>
          <w:sz w:val="20"/>
        </w:rPr>
        <w:t xml:space="preserve"> </w:t>
      </w:r>
      <w:r>
        <w:rPr>
          <w:sz w:val="20"/>
        </w:rPr>
        <w:t>CARVALHO,</w:t>
      </w:r>
      <w:r>
        <w:rPr>
          <w:spacing w:val="-7"/>
          <w:sz w:val="20"/>
        </w:rPr>
        <w:t xml:space="preserve"> </w:t>
      </w:r>
      <w:r>
        <w:rPr>
          <w:sz w:val="20"/>
        </w:rPr>
        <w:t>Paulo</w:t>
      </w:r>
      <w:r>
        <w:rPr>
          <w:spacing w:val="-8"/>
          <w:sz w:val="20"/>
        </w:rPr>
        <w:t xml:space="preserve"> </w:t>
      </w:r>
      <w:r>
        <w:rPr>
          <w:sz w:val="20"/>
        </w:rPr>
        <w:t>de</w:t>
      </w:r>
      <w:r>
        <w:rPr>
          <w:spacing w:val="-8"/>
          <w:sz w:val="20"/>
        </w:rPr>
        <w:t xml:space="preserve"> </w:t>
      </w:r>
      <w:r>
        <w:rPr>
          <w:sz w:val="20"/>
        </w:rPr>
        <w:t>Barros.</w:t>
      </w:r>
      <w:r>
        <w:rPr>
          <w:spacing w:val="-6"/>
          <w:sz w:val="20"/>
        </w:rPr>
        <w:t xml:space="preserve"> </w:t>
      </w:r>
      <w:r>
        <w:rPr>
          <w:b/>
          <w:sz w:val="20"/>
        </w:rPr>
        <w:t>Curso</w:t>
      </w:r>
      <w:r>
        <w:rPr>
          <w:b/>
          <w:spacing w:val="-8"/>
          <w:sz w:val="20"/>
        </w:rPr>
        <w:t xml:space="preserve"> </w:t>
      </w:r>
      <w:r>
        <w:rPr>
          <w:b/>
          <w:sz w:val="20"/>
        </w:rPr>
        <w:t>de</w:t>
      </w:r>
      <w:r>
        <w:rPr>
          <w:b/>
          <w:spacing w:val="-8"/>
          <w:sz w:val="20"/>
        </w:rPr>
        <w:t xml:space="preserve"> </w:t>
      </w:r>
      <w:r>
        <w:rPr>
          <w:b/>
          <w:sz w:val="20"/>
        </w:rPr>
        <w:t>Direito</w:t>
      </w:r>
      <w:r>
        <w:rPr>
          <w:b/>
          <w:spacing w:val="-12"/>
          <w:sz w:val="20"/>
        </w:rPr>
        <w:t xml:space="preserve"> </w:t>
      </w:r>
      <w:r>
        <w:rPr>
          <w:b/>
          <w:sz w:val="20"/>
        </w:rPr>
        <w:t>Tributário</w:t>
      </w:r>
      <w:r>
        <w:rPr>
          <w:sz w:val="20"/>
        </w:rPr>
        <w:t>.</w:t>
      </w:r>
      <w:r>
        <w:rPr>
          <w:spacing w:val="-8"/>
          <w:sz w:val="20"/>
        </w:rPr>
        <w:t xml:space="preserve"> </w:t>
      </w:r>
      <w:r>
        <w:rPr>
          <w:sz w:val="20"/>
        </w:rPr>
        <w:t>27</w:t>
      </w:r>
      <w:r>
        <w:rPr>
          <w:spacing w:val="-7"/>
          <w:sz w:val="20"/>
        </w:rPr>
        <w:t xml:space="preserve"> </w:t>
      </w:r>
      <w:r>
        <w:rPr>
          <w:sz w:val="20"/>
        </w:rPr>
        <w:t>ed.</w:t>
      </w:r>
      <w:r>
        <w:rPr>
          <w:spacing w:val="-9"/>
          <w:sz w:val="20"/>
        </w:rPr>
        <w:t xml:space="preserve"> </w:t>
      </w:r>
      <w:r>
        <w:rPr>
          <w:sz w:val="20"/>
        </w:rPr>
        <w:t>São</w:t>
      </w:r>
      <w:r>
        <w:rPr>
          <w:spacing w:val="-9"/>
          <w:sz w:val="20"/>
        </w:rPr>
        <w:t xml:space="preserve"> </w:t>
      </w:r>
      <w:r>
        <w:rPr>
          <w:sz w:val="20"/>
        </w:rPr>
        <w:t>Paulo:</w:t>
      </w:r>
      <w:r>
        <w:rPr>
          <w:spacing w:val="-9"/>
          <w:sz w:val="20"/>
        </w:rPr>
        <w:t xml:space="preserve"> </w:t>
      </w:r>
      <w:r>
        <w:rPr>
          <w:sz w:val="20"/>
        </w:rPr>
        <w:t>Saraiva,</w:t>
      </w:r>
      <w:r>
        <w:rPr>
          <w:spacing w:val="-7"/>
          <w:sz w:val="20"/>
        </w:rPr>
        <w:t xml:space="preserve"> </w:t>
      </w:r>
      <w:r>
        <w:rPr>
          <w:sz w:val="20"/>
        </w:rPr>
        <w:t>2016,</w:t>
      </w:r>
      <w:r>
        <w:rPr>
          <w:spacing w:val="-10"/>
          <w:sz w:val="20"/>
        </w:rPr>
        <w:t xml:space="preserve"> </w:t>
      </w:r>
      <w:r>
        <w:rPr>
          <w:spacing w:val="-2"/>
          <w:sz w:val="20"/>
        </w:rPr>
        <w:t>p.456</w:t>
      </w:r>
    </w:p>
    <w:p w:rsidR="007259F2" w:rsidRDefault="007259F2">
      <w:pPr>
        <w:rPr>
          <w:sz w:val="20"/>
        </w:rPr>
        <w:sectPr w:rsidR="007259F2">
          <w:pgSz w:w="11910" w:h="16840"/>
          <w:pgMar w:top="1300" w:right="708" w:bottom="1160" w:left="992" w:header="0" w:footer="962" w:gutter="0"/>
          <w:cols w:space="720"/>
        </w:sectPr>
      </w:pPr>
    </w:p>
    <w:p w:rsidR="007259F2" w:rsidRDefault="00E655B4">
      <w:pPr>
        <w:pStyle w:val="Corpodetexto"/>
        <w:spacing w:before="109"/>
        <w:ind w:left="1418" w:firstLine="0"/>
        <w:jc w:val="left"/>
      </w:pPr>
      <w:r>
        <w:lastRenderedPageBreak/>
        <w:t>Assim,</w:t>
      </w:r>
      <w:r>
        <w:rPr>
          <w:spacing w:val="-2"/>
        </w:rPr>
        <w:t xml:space="preserve"> </w:t>
      </w:r>
      <w:r>
        <w:t>conforme</w:t>
      </w:r>
      <w:r>
        <w:rPr>
          <w:spacing w:val="-1"/>
        </w:rPr>
        <w:t xml:space="preserve"> </w:t>
      </w:r>
      <w:r>
        <w:t>conclui</w:t>
      </w:r>
      <w:r>
        <w:rPr>
          <w:spacing w:val="1"/>
        </w:rPr>
        <w:t xml:space="preserve"> </w:t>
      </w:r>
      <w:r>
        <w:t>João</w:t>
      </w:r>
      <w:r>
        <w:rPr>
          <w:spacing w:val="-1"/>
        </w:rPr>
        <w:t xml:space="preserve"> </w:t>
      </w:r>
      <w:r>
        <w:t>de</w:t>
      </w:r>
      <w:r>
        <w:rPr>
          <w:spacing w:val="-5"/>
        </w:rPr>
        <w:t xml:space="preserve"> </w:t>
      </w:r>
      <w:r>
        <w:t>Sousa</w:t>
      </w:r>
      <w:r>
        <w:rPr>
          <w:spacing w:val="-15"/>
        </w:rPr>
        <w:t xml:space="preserve"> </w:t>
      </w:r>
      <w:r>
        <w:t xml:space="preserve">Alho </w:t>
      </w:r>
      <w:r>
        <w:rPr>
          <w:spacing w:val="-2"/>
        </w:rPr>
        <w:t>Neto:</w:t>
      </w:r>
      <w:r>
        <w:rPr>
          <w:spacing w:val="-2"/>
          <w:vertAlign w:val="superscript"/>
        </w:rPr>
        <w:t>71</w:t>
      </w:r>
    </w:p>
    <w:p w:rsidR="007259F2" w:rsidRDefault="007259F2">
      <w:pPr>
        <w:pStyle w:val="Corpodetexto"/>
        <w:spacing w:before="2"/>
        <w:ind w:left="0" w:firstLine="0"/>
        <w:jc w:val="left"/>
      </w:pPr>
    </w:p>
    <w:p w:rsidR="007259F2" w:rsidRDefault="00E655B4">
      <w:pPr>
        <w:ind w:left="2978" w:right="989"/>
        <w:jc w:val="both"/>
        <w:rPr>
          <w:sz w:val="20"/>
        </w:rPr>
      </w:pPr>
      <w:r>
        <w:rPr>
          <w:sz w:val="20"/>
        </w:rPr>
        <w:t>(...) a isenção está no plano normativo (dever ser) e não no plano dos fatos (ser). Assim, quando o art. 114 do CTN estabelece que o “fato gerador da obrigação principal</w:t>
      </w:r>
      <w:r>
        <w:rPr>
          <w:spacing w:val="-4"/>
          <w:sz w:val="20"/>
        </w:rPr>
        <w:t xml:space="preserve"> </w:t>
      </w:r>
      <w:r>
        <w:rPr>
          <w:sz w:val="20"/>
        </w:rPr>
        <w:t>é</w:t>
      </w:r>
      <w:r>
        <w:rPr>
          <w:spacing w:val="-6"/>
          <w:sz w:val="20"/>
        </w:rPr>
        <w:t xml:space="preserve"> </w:t>
      </w:r>
      <w:r>
        <w:rPr>
          <w:sz w:val="20"/>
        </w:rPr>
        <w:t>a</w:t>
      </w:r>
      <w:r>
        <w:rPr>
          <w:spacing w:val="-6"/>
          <w:sz w:val="20"/>
        </w:rPr>
        <w:t xml:space="preserve"> </w:t>
      </w:r>
      <w:r>
        <w:rPr>
          <w:sz w:val="20"/>
        </w:rPr>
        <w:t>situação</w:t>
      </w:r>
      <w:r>
        <w:rPr>
          <w:spacing w:val="-4"/>
          <w:sz w:val="20"/>
        </w:rPr>
        <w:t xml:space="preserve"> </w:t>
      </w:r>
      <w:r>
        <w:rPr>
          <w:sz w:val="20"/>
        </w:rPr>
        <w:t>definida</w:t>
      </w:r>
      <w:r>
        <w:rPr>
          <w:spacing w:val="-6"/>
          <w:sz w:val="20"/>
        </w:rPr>
        <w:t xml:space="preserve"> </w:t>
      </w:r>
      <w:r>
        <w:rPr>
          <w:sz w:val="20"/>
        </w:rPr>
        <w:t>em</w:t>
      </w:r>
      <w:r>
        <w:rPr>
          <w:spacing w:val="-5"/>
          <w:sz w:val="20"/>
        </w:rPr>
        <w:t xml:space="preserve"> </w:t>
      </w:r>
      <w:r>
        <w:rPr>
          <w:sz w:val="20"/>
        </w:rPr>
        <w:t>lei</w:t>
      </w:r>
      <w:r>
        <w:rPr>
          <w:spacing w:val="-6"/>
          <w:sz w:val="20"/>
        </w:rPr>
        <w:t xml:space="preserve"> </w:t>
      </w:r>
      <w:r>
        <w:rPr>
          <w:sz w:val="20"/>
        </w:rPr>
        <w:t>como</w:t>
      </w:r>
      <w:r>
        <w:rPr>
          <w:spacing w:val="-7"/>
          <w:sz w:val="20"/>
        </w:rPr>
        <w:t xml:space="preserve"> </w:t>
      </w:r>
      <w:r>
        <w:rPr>
          <w:sz w:val="20"/>
        </w:rPr>
        <w:t>necessária</w:t>
      </w:r>
      <w:r>
        <w:rPr>
          <w:spacing w:val="-3"/>
          <w:sz w:val="20"/>
        </w:rPr>
        <w:t xml:space="preserve"> </w:t>
      </w:r>
      <w:r>
        <w:rPr>
          <w:sz w:val="20"/>
        </w:rPr>
        <w:t>e</w:t>
      </w:r>
      <w:r>
        <w:rPr>
          <w:spacing w:val="-6"/>
          <w:sz w:val="20"/>
        </w:rPr>
        <w:t xml:space="preserve"> </w:t>
      </w:r>
      <w:r>
        <w:rPr>
          <w:sz w:val="20"/>
        </w:rPr>
        <w:t>suficiente</w:t>
      </w:r>
      <w:r>
        <w:rPr>
          <w:spacing w:val="-6"/>
          <w:sz w:val="20"/>
        </w:rPr>
        <w:t xml:space="preserve"> </w:t>
      </w:r>
      <w:r>
        <w:rPr>
          <w:sz w:val="20"/>
        </w:rPr>
        <w:t>à sua ocorrência”, tem-se que norma isentiva opera no sentido de impedir a existência do próprio fato jurídico tributário que dará ensejo a tributação. Logo, se não há fato, inexiste obrigação, sendo decorrência lógica à inocorrência de crédito tributário cujo pagamento será desonerado.</w:t>
      </w:r>
    </w:p>
    <w:p w:rsidR="007259F2" w:rsidRDefault="00E655B4">
      <w:pPr>
        <w:pStyle w:val="Corpodetexto"/>
        <w:spacing w:before="201"/>
        <w:ind w:right="987"/>
      </w:pPr>
      <w:r>
        <w:t>Nas lições de José</w:t>
      </w:r>
      <w:r>
        <w:rPr>
          <w:spacing w:val="-1"/>
        </w:rPr>
        <w:t xml:space="preserve"> </w:t>
      </w:r>
      <w:r>
        <w:t>Souto</w:t>
      </w:r>
      <w:r>
        <w:rPr>
          <w:spacing w:val="-2"/>
        </w:rPr>
        <w:t xml:space="preserve"> </w:t>
      </w:r>
      <w:r>
        <w:t>Maior</w:t>
      </w:r>
      <w:r>
        <w:rPr>
          <w:spacing w:val="-1"/>
        </w:rPr>
        <w:t xml:space="preserve"> </w:t>
      </w:r>
      <w:r>
        <w:t>Borges a</w:t>
      </w:r>
      <w:r>
        <w:rPr>
          <w:spacing w:val="-1"/>
        </w:rPr>
        <w:t xml:space="preserve"> </w:t>
      </w:r>
      <w:r>
        <w:t>isenção é a</w:t>
      </w:r>
      <w:r>
        <w:rPr>
          <w:spacing w:val="-1"/>
        </w:rPr>
        <w:t xml:space="preserve"> </w:t>
      </w:r>
      <w:r>
        <w:t>“hipótese</w:t>
      </w:r>
      <w:r>
        <w:rPr>
          <w:spacing w:val="-1"/>
        </w:rPr>
        <w:t xml:space="preserve"> </w:t>
      </w:r>
      <w:r>
        <w:t>de</w:t>
      </w:r>
      <w:r>
        <w:rPr>
          <w:spacing w:val="-1"/>
        </w:rPr>
        <w:t xml:space="preserve"> </w:t>
      </w:r>
      <w:r>
        <w:t>não-incidência legalmente qualificada”</w:t>
      </w:r>
      <w:r>
        <w:rPr>
          <w:vertAlign w:val="superscript"/>
        </w:rPr>
        <w:t>72</w:t>
      </w:r>
      <w:r>
        <w:t>, onde a norma isentiva exclui previamente as situações (pessoas, bens, atos ou fatos) isentas no âmbito das normas obrigacionais tributárias, deixando esta última de incidir porque a lei qualificou aquelas situações como isentas, cuja consequência jurídica é a não obrigação.</w:t>
      </w:r>
    </w:p>
    <w:p w:rsidR="007259F2" w:rsidRDefault="00E655B4">
      <w:pPr>
        <w:pStyle w:val="Heading2"/>
        <w:numPr>
          <w:ilvl w:val="2"/>
          <w:numId w:val="35"/>
        </w:numPr>
        <w:tabs>
          <w:tab w:val="left" w:pos="1283"/>
        </w:tabs>
        <w:spacing w:before="205"/>
        <w:ind w:left="710" w:right="990" w:firstLine="0"/>
        <w:jc w:val="both"/>
      </w:pPr>
      <w:r>
        <w:t>Lei 9.249/95 – Isenção ou simples reconhecimento de que tais rendas já</w:t>
      </w:r>
      <w:r>
        <w:rPr>
          <w:spacing w:val="80"/>
        </w:rPr>
        <w:t xml:space="preserve"> </w:t>
      </w:r>
      <w:r>
        <w:t>foram tributadas na pessoa jurídica?</w:t>
      </w:r>
    </w:p>
    <w:p w:rsidR="007259F2" w:rsidRDefault="00E655B4">
      <w:pPr>
        <w:pStyle w:val="Corpodetexto"/>
        <w:spacing w:before="115"/>
        <w:ind w:right="993"/>
      </w:pPr>
      <w:r>
        <w:t>Superada a definição de isenção, nesse momento, é importante salientar que, antes</w:t>
      </w:r>
      <w:r>
        <w:rPr>
          <w:spacing w:val="-3"/>
        </w:rPr>
        <w:t xml:space="preserve"> </w:t>
      </w:r>
      <w:r>
        <w:t>da Lei</w:t>
      </w:r>
      <w:r>
        <w:rPr>
          <w:spacing w:val="-3"/>
        </w:rPr>
        <w:t xml:space="preserve"> </w:t>
      </w:r>
      <w:r>
        <w:t>nº</w:t>
      </w:r>
      <w:r>
        <w:rPr>
          <w:spacing w:val="-3"/>
        </w:rPr>
        <w:t xml:space="preserve"> </w:t>
      </w:r>
      <w:r>
        <w:t>9.249/95, os</w:t>
      </w:r>
      <w:r>
        <w:rPr>
          <w:spacing w:val="-3"/>
        </w:rPr>
        <w:t xml:space="preserve"> </w:t>
      </w:r>
      <w:r>
        <w:t>lucros</w:t>
      </w:r>
      <w:r>
        <w:rPr>
          <w:spacing w:val="-3"/>
        </w:rPr>
        <w:t xml:space="preserve"> </w:t>
      </w:r>
      <w:r>
        <w:t>e</w:t>
      </w:r>
      <w:r>
        <w:rPr>
          <w:spacing w:val="-3"/>
        </w:rPr>
        <w:t xml:space="preserve"> </w:t>
      </w:r>
      <w:r>
        <w:t>os</w:t>
      </w:r>
      <w:r>
        <w:rPr>
          <w:spacing w:val="-3"/>
        </w:rPr>
        <w:t xml:space="preserve"> </w:t>
      </w:r>
      <w:r>
        <w:t>dividendos</w:t>
      </w:r>
      <w:r>
        <w:rPr>
          <w:spacing w:val="-2"/>
        </w:rPr>
        <w:t xml:space="preserve"> </w:t>
      </w:r>
      <w:r>
        <w:t>da</w:t>
      </w:r>
      <w:r>
        <w:rPr>
          <w:spacing w:val="-4"/>
        </w:rPr>
        <w:t xml:space="preserve"> </w:t>
      </w:r>
      <w:r>
        <w:t>pessoa</w:t>
      </w:r>
      <w:r>
        <w:rPr>
          <w:spacing w:val="-4"/>
        </w:rPr>
        <w:t xml:space="preserve"> </w:t>
      </w:r>
      <w:r>
        <w:t>jurídica</w:t>
      </w:r>
      <w:r>
        <w:rPr>
          <w:spacing w:val="-2"/>
        </w:rPr>
        <w:t xml:space="preserve"> </w:t>
      </w:r>
      <w:r>
        <w:t>eram</w:t>
      </w:r>
      <w:r>
        <w:rPr>
          <w:spacing w:val="-3"/>
        </w:rPr>
        <w:t xml:space="preserve"> </w:t>
      </w:r>
      <w:r>
        <w:t>tributados</w:t>
      </w:r>
      <w:r>
        <w:rPr>
          <w:spacing w:val="-3"/>
        </w:rPr>
        <w:t xml:space="preserve"> </w:t>
      </w:r>
      <w:r>
        <w:t xml:space="preserve">no </w:t>
      </w:r>
      <w:r>
        <w:rPr>
          <w:spacing w:val="-2"/>
        </w:rPr>
        <w:t>Brasil.</w:t>
      </w:r>
    </w:p>
    <w:p w:rsidR="007259F2" w:rsidRDefault="00E655B4">
      <w:pPr>
        <w:pStyle w:val="Corpodetexto"/>
        <w:ind w:right="987"/>
        <w:jc w:val="right"/>
      </w:pPr>
      <w:r>
        <w:t>Preliminarmente,</w:t>
      </w:r>
      <w:r>
        <w:rPr>
          <w:spacing w:val="-1"/>
        </w:rPr>
        <w:t xml:space="preserve"> </w:t>
      </w:r>
      <w:r>
        <w:t>os lucros e</w:t>
      </w:r>
      <w:r>
        <w:rPr>
          <w:spacing w:val="-1"/>
        </w:rPr>
        <w:t xml:space="preserve"> </w:t>
      </w:r>
      <w:r>
        <w:t>os dividendos da pessoa</w:t>
      </w:r>
      <w:r>
        <w:rPr>
          <w:spacing w:val="-1"/>
        </w:rPr>
        <w:t xml:space="preserve"> </w:t>
      </w:r>
      <w:r>
        <w:t>jurídica eram tributados na sua</w:t>
      </w:r>
      <w:r>
        <w:rPr>
          <w:spacing w:val="40"/>
        </w:rPr>
        <w:t xml:space="preserve"> </w:t>
      </w:r>
      <w:r>
        <w:t>integralidade</w:t>
      </w:r>
      <w:r>
        <w:rPr>
          <w:spacing w:val="40"/>
        </w:rPr>
        <w:t xml:space="preserve"> </w:t>
      </w:r>
      <w:r>
        <w:t>a</w:t>
      </w:r>
      <w:r>
        <w:rPr>
          <w:spacing w:val="40"/>
        </w:rPr>
        <w:t xml:space="preserve"> </w:t>
      </w:r>
      <w:r>
        <w:t>uma</w:t>
      </w:r>
      <w:r>
        <w:rPr>
          <w:spacing w:val="40"/>
        </w:rPr>
        <w:t xml:space="preserve"> </w:t>
      </w:r>
      <w:r>
        <w:t>alíquota</w:t>
      </w:r>
      <w:r>
        <w:rPr>
          <w:spacing w:val="40"/>
        </w:rPr>
        <w:t xml:space="preserve"> </w:t>
      </w:r>
      <w:r>
        <w:t>progressiva</w:t>
      </w:r>
      <w:r>
        <w:rPr>
          <w:spacing w:val="40"/>
        </w:rPr>
        <w:t xml:space="preserve"> </w:t>
      </w:r>
      <w:r>
        <w:t>no</w:t>
      </w:r>
      <w:r>
        <w:rPr>
          <w:spacing w:val="40"/>
        </w:rPr>
        <w:t xml:space="preserve"> </w:t>
      </w:r>
      <w:r>
        <w:t>momento</w:t>
      </w:r>
      <w:r>
        <w:rPr>
          <w:spacing w:val="40"/>
        </w:rPr>
        <w:t xml:space="preserve"> </w:t>
      </w:r>
      <w:r>
        <w:t>que</w:t>
      </w:r>
      <w:r>
        <w:rPr>
          <w:spacing w:val="40"/>
        </w:rPr>
        <w:t xml:space="preserve"> </w:t>
      </w:r>
      <w:r>
        <w:t>eram</w:t>
      </w:r>
      <w:r>
        <w:rPr>
          <w:spacing w:val="40"/>
        </w:rPr>
        <w:t xml:space="preserve"> </w:t>
      </w:r>
      <w:r>
        <w:t>distribuídos</w:t>
      </w:r>
      <w:r>
        <w:rPr>
          <w:spacing w:val="40"/>
        </w:rPr>
        <w:t xml:space="preserve"> </w:t>
      </w:r>
      <w:r>
        <w:t>a pessoa</w:t>
      </w:r>
      <w:r>
        <w:rPr>
          <w:spacing w:val="-2"/>
        </w:rPr>
        <w:t xml:space="preserve"> </w:t>
      </w:r>
      <w:r>
        <w:t>física</w:t>
      </w:r>
      <w:r>
        <w:rPr>
          <w:spacing w:val="-1"/>
        </w:rPr>
        <w:t xml:space="preserve"> </w:t>
      </w:r>
      <w:r>
        <w:t>dos</w:t>
      </w:r>
      <w:r>
        <w:rPr>
          <w:spacing w:val="-2"/>
        </w:rPr>
        <w:t xml:space="preserve"> </w:t>
      </w:r>
      <w:r>
        <w:t>sócios</w:t>
      </w:r>
      <w:r>
        <w:rPr>
          <w:spacing w:val="-2"/>
        </w:rPr>
        <w:t xml:space="preserve"> </w:t>
      </w:r>
      <w:r>
        <w:t>e</w:t>
      </w:r>
      <w:r>
        <w:rPr>
          <w:spacing w:val="-1"/>
        </w:rPr>
        <w:t xml:space="preserve"> </w:t>
      </w:r>
      <w:r>
        <w:t>acionistas,</w:t>
      </w:r>
      <w:r>
        <w:rPr>
          <w:spacing w:val="-2"/>
        </w:rPr>
        <w:t xml:space="preserve"> </w:t>
      </w:r>
      <w:r>
        <w:t>isso</w:t>
      </w:r>
      <w:r>
        <w:rPr>
          <w:spacing w:val="-2"/>
        </w:rPr>
        <w:t xml:space="preserve"> </w:t>
      </w:r>
      <w:r>
        <w:t>significava</w:t>
      </w:r>
      <w:r>
        <w:rPr>
          <w:spacing w:val="-3"/>
        </w:rPr>
        <w:t xml:space="preserve"> </w:t>
      </w:r>
      <w:r>
        <w:t>que</w:t>
      </w:r>
      <w:r>
        <w:rPr>
          <w:spacing w:val="-3"/>
        </w:rPr>
        <w:t xml:space="preserve"> </w:t>
      </w:r>
      <w:r>
        <w:t>não</w:t>
      </w:r>
      <w:r>
        <w:rPr>
          <w:spacing w:val="-2"/>
        </w:rPr>
        <w:t xml:space="preserve"> </w:t>
      </w:r>
      <w:r>
        <w:t>era</w:t>
      </w:r>
      <w:r>
        <w:rPr>
          <w:spacing w:val="-4"/>
        </w:rPr>
        <w:t xml:space="preserve"> </w:t>
      </w:r>
      <w:r>
        <w:t>realizado a</w:t>
      </w:r>
      <w:r>
        <w:rPr>
          <w:spacing w:val="-3"/>
        </w:rPr>
        <w:t xml:space="preserve"> </w:t>
      </w:r>
      <w:r>
        <w:t>retenção</w:t>
      </w:r>
      <w:r>
        <w:rPr>
          <w:spacing w:val="-2"/>
        </w:rPr>
        <w:t xml:space="preserve"> </w:t>
      </w:r>
      <w:r>
        <w:t>do imposto</w:t>
      </w:r>
      <w:r>
        <w:rPr>
          <w:spacing w:val="28"/>
        </w:rPr>
        <w:t xml:space="preserve"> </w:t>
      </w:r>
      <w:r>
        <w:t>na</w:t>
      </w:r>
      <w:r>
        <w:rPr>
          <w:spacing w:val="28"/>
        </w:rPr>
        <w:t xml:space="preserve"> </w:t>
      </w:r>
      <w:r>
        <w:t>fonte.</w:t>
      </w:r>
      <w:r>
        <w:rPr>
          <w:spacing w:val="28"/>
        </w:rPr>
        <w:t xml:space="preserve"> </w:t>
      </w:r>
      <w:r>
        <w:t>No</w:t>
      </w:r>
      <w:r>
        <w:rPr>
          <w:spacing w:val="28"/>
        </w:rPr>
        <w:t xml:space="preserve"> </w:t>
      </w:r>
      <w:r>
        <w:t>período</w:t>
      </w:r>
      <w:r>
        <w:rPr>
          <w:spacing w:val="31"/>
        </w:rPr>
        <w:t xml:space="preserve"> </w:t>
      </w:r>
      <w:r>
        <w:t>de</w:t>
      </w:r>
      <w:r>
        <w:rPr>
          <w:spacing w:val="28"/>
        </w:rPr>
        <w:t xml:space="preserve"> </w:t>
      </w:r>
      <w:r>
        <w:t>1995</w:t>
      </w:r>
      <w:r>
        <w:rPr>
          <w:spacing w:val="31"/>
        </w:rPr>
        <w:t xml:space="preserve"> </w:t>
      </w:r>
      <w:r>
        <w:t>até</w:t>
      </w:r>
      <w:r>
        <w:rPr>
          <w:spacing w:val="28"/>
        </w:rPr>
        <w:t xml:space="preserve"> </w:t>
      </w:r>
      <w:r>
        <w:t>a</w:t>
      </w:r>
      <w:r>
        <w:rPr>
          <w:spacing w:val="30"/>
        </w:rPr>
        <w:t xml:space="preserve"> </w:t>
      </w:r>
      <w:r>
        <w:t>promulgação</w:t>
      </w:r>
      <w:r>
        <w:rPr>
          <w:spacing w:val="28"/>
        </w:rPr>
        <w:t xml:space="preserve"> </w:t>
      </w:r>
      <w:r>
        <w:t>da</w:t>
      </w:r>
      <w:r>
        <w:rPr>
          <w:spacing w:val="33"/>
        </w:rPr>
        <w:t xml:space="preserve"> </w:t>
      </w:r>
      <w:hyperlink r:id="rId102">
        <w:r>
          <w:t>Constituição</w:t>
        </w:r>
        <w:r>
          <w:rPr>
            <w:spacing w:val="28"/>
          </w:rPr>
          <w:t xml:space="preserve"> </w:t>
        </w:r>
        <w:r>
          <w:t>Federal</w:t>
        </w:r>
      </w:hyperlink>
      <w:r>
        <w:rPr>
          <w:spacing w:val="31"/>
        </w:rPr>
        <w:t xml:space="preserve"> </w:t>
      </w:r>
      <w:r>
        <w:t>de 1988, a distribuição de lucros e dividendos passou a sofrer retenção na fonte. Tal regra foi modificada a partir da origem do Imposto sobre o Lucro Líquido.</w:t>
      </w:r>
      <w:r>
        <w:rPr>
          <w:vertAlign w:val="superscript"/>
        </w:rPr>
        <w:t>73</w:t>
      </w:r>
      <w:r>
        <w:t xml:space="preserve"> Foi em 1993 que distribuição de lucros esteve isenta, exclusivamente aos sócios domiciliados no Brasil. Em</w:t>
      </w:r>
      <w:r>
        <w:rPr>
          <w:spacing w:val="40"/>
        </w:rPr>
        <w:t xml:space="preserve"> </w:t>
      </w:r>
      <w:r>
        <w:t>1994,</w:t>
      </w:r>
      <w:r>
        <w:rPr>
          <w:spacing w:val="40"/>
        </w:rPr>
        <w:t xml:space="preserve"> </w:t>
      </w:r>
      <w:r>
        <w:t>a</w:t>
      </w:r>
      <w:r>
        <w:rPr>
          <w:spacing w:val="40"/>
        </w:rPr>
        <w:t xml:space="preserve"> </w:t>
      </w:r>
      <w:r>
        <w:t>Lei</w:t>
      </w:r>
      <w:r>
        <w:rPr>
          <w:spacing w:val="40"/>
        </w:rPr>
        <w:t xml:space="preserve"> </w:t>
      </w:r>
      <w:hyperlink r:id="rId103">
        <w:r>
          <w:t>8.849</w:t>
        </w:r>
      </w:hyperlink>
      <w:r>
        <w:t>/94</w:t>
      </w:r>
      <w:r>
        <w:rPr>
          <w:spacing w:val="40"/>
        </w:rPr>
        <w:t xml:space="preserve"> </w:t>
      </w:r>
      <w:r>
        <w:t>alterou</w:t>
      </w:r>
      <w:r>
        <w:rPr>
          <w:spacing w:val="40"/>
        </w:rPr>
        <w:t xml:space="preserve"> </w:t>
      </w:r>
      <w:r>
        <w:t>tal</w:t>
      </w:r>
      <w:r>
        <w:rPr>
          <w:spacing w:val="40"/>
        </w:rPr>
        <w:t xml:space="preserve"> </w:t>
      </w:r>
      <w:r>
        <w:t>entendimento</w:t>
      </w:r>
      <w:r>
        <w:rPr>
          <w:spacing w:val="40"/>
        </w:rPr>
        <w:t xml:space="preserve"> </w:t>
      </w:r>
      <w:r>
        <w:t>e</w:t>
      </w:r>
      <w:r>
        <w:rPr>
          <w:spacing w:val="40"/>
        </w:rPr>
        <w:t xml:space="preserve"> </w:t>
      </w:r>
      <w:r>
        <w:t>o</w:t>
      </w:r>
      <w:r>
        <w:rPr>
          <w:spacing w:val="40"/>
        </w:rPr>
        <w:t xml:space="preserve"> </w:t>
      </w:r>
      <w:r>
        <w:t>lucro</w:t>
      </w:r>
      <w:r>
        <w:rPr>
          <w:spacing w:val="70"/>
        </w:rPr>
        <w:t xml:space="preserve"> </w:t>
      </w:r>
      <w:r>
        <w:t>distribuído</w:t>
      </w:r>
      <w:r>
        <w:rPr>
          <w:spacing w:val="40"/>
        </w:rPr>
        <w:t xml:space="preserve"> </w:t>
      </w:r>
      <w:r>
        <w:t>volta</w:t>
      </w:r>
      <w:r>
        <w:rPr>
          <w:spacing w:val="40"/>
        </w:rPr>
        <w:t xml:space="preserve"> </w:t>
      </w:r>
      <w:r>
        <w:t>a</w:t>
      </w:r>
      <w:r>
        <w:rPr>
          <w:spacing w:val="40"/>
        </w:rPr>
        <w:t xml:space="preserve"> </w:t>
      </w:r>
      <w:r>
        <w:t>ser tributado para os sócios das pessoas jurídicas</w:t>
      </w:r>
      <w:r>
        <w:rPr>
          <w:spacing w:val="80"/>
        </w:rPr>
        <w:t xml:space="preserve"> </w:t>
      </w:r>
      <w:r>
        <w:t>do lucro real, até a promulgação da Lei</w:t>
      </w:r>
      <w:r>
        <w:rPr>
          <w:spacing w:val="40"/>
        </w:rPr>
        <w:t xml:space="preserve"> </w:t>
      </w:r>
      <w:hyperlink r:id="rId104">
        <w:r>
          <w:t>9.249</w:t>
        </w:r>
      </w:hyperlink>
      <w:r>
        <w:t>/95,</w:t>
      </w:r>
      <w:r>
        <w:rPr>
          <w:spacing w:val="-1"/>
        </w:rPr>
        <w:t xml:space="preserve"> </w:t>
      </w:r>
      <w:r>
        <w:t>que</w:t>
      </w:r>
      <w:r>
        <w:rPr>
          <w:spacing w:val="-1"/>
        </w:rPr>
        <w:t xml:space="preserve"> </w:t>
      </w:r>
      <w:r>
        <w:t>instituiu</w:t>
      </w:r>
      <w:r>
        <w:rPr>
          <w:spacing w:val="-1"/>
        </w:rPr>
        <w:t xml:space="preserve"> </w:t>
      </w:r>
      <w:r>
        <w:t>a</w:t>
      </w:r>
      <w:r>
        <w:rPr>
          <w:spacing w:val="-1"/>
        </w:rPr>
        <w:t xml:space="preserve"> </w:t>
      </w:r>
      <w:r>
        <w:t>isenção</w:t>
      </w:r>
      <w:r>
        <w:rPr>
          <w:spacing w:val="-1"/>
        </w:rPr>
        <w:t xml:space="preserve"> </w:t>
      </w:r>
      <w:r>
        <w:t>do</w:t>
      </w:r>
      <w:r>
        <w:rPr>
          <w:spacing w:val="-1"/>
        </w:rPr>
        <w:t xml:space="preserve"> </w:t>
      </w:r>
      <w:r>
        <w:t>imposto</w:t>
      </w:r>
      <w:r>
        <w:rPr>
          <w:spacing w:val="-1"/>
        </w:rPr>
        <w:t xml:space="preserve"> </w:t>
      </w:r>
      <w:r>
        <w:t>de</w:t>
      </w:r>
      <w:r>
        <w:rPr>
          <w:spacing w:val="-2"/>
        </w:rPr>
        <w:t xml:space="preserve"> </w:t>
      </w:r>
      <w:r>
        <w:t>renda</w:t>
      </w:r>
      <w:r>
        <w:rPr>
          <w:spacing w:val="-2"/>
        </w:rPr>
        <w:t xml:space="preserve"> </w:t>
      </w:r>
      <w:r>
        <w:t>para</w:t>
      </w:r>
      <w:r>
        <w:rPr>
          <w:spacing w:val="-3"/>
        </w:rPr>
        <w:t xml:space="preserve"> </w:t>
      </w:r>
      <w:r>
        <w:t>lucros</w:t>
      </w:r>
      <w:r>
        <w:rPr>
          <w:spacing w:val="-1"/>
        </w:rPr>
        <w:t xml:space="preserve"> </w:t>
      </w:r>
      <w:r>
        <w:t>e</w:t>
      </w:r>
      <w:r>
        <w:rPr>
          <w:spacing w:val="-3"/>
        </w:rPr>
        <w:t xml:space="preserve"> </w:t>
      </w:r>
      <w:r>
        <w:t>dividendos</w:t>
      </w:r>
      <w:r>
        <w:rPr>
          <w:spacing w:val="-1"/>
        </w:rPr>
        <w:t xml:space="preserve"> </w:t>
      </w:r>
      <w:r>
        <w:t>no</w:t>
      </w:r>
      <w:r>
        <w:rPr>
          <w:spacing w:val="-1"/>
        </w:rPr>
        <w:t xml:space="preserve"> </w:t>
      </w:r>
      <w:r>
        <w:t>país.</w:t>
      </w:r>
      <w:r>
        <w:rPr>
          <w:vertAlign w:val="superscript"/>
        </w:rPr>
        <w:t>74</w:t>
      </w:r>
      <w:r>
        <w:t xml:space="preserve"> Dessa</w:t>
      </w:r>
      <w:r>
        <w:rPr>
          <w:spacing w:val="40"/>
        </w:rPr>
        <w:t xml:space="preserve"> </w:t>
      </w:r>
      <w:r>
        <w:t>forma,</w:t>
      </w:r>
      <w:r>
        <w:rPr>
          <w:spacing w:val="40"/>
        </w:rPr>
        <w:t xml:space="preserve"> </w:t>
      </w:r>
      <w:r>
        <w:t>podemos</w:t>
      </w:r>
      <w:r>
        <w:rPr>
          <w:spacing w:val="40"/>
        </w:rPr>
        <w:t xml:space="preserve"> </w:t>
      </w:r>
      <w:r>
        <w:t>inferir</w:t>
      </w:r>
      <w:r>
        <w:rPr>
          <w:spacing w:val="40"/>
        </w:rPr>
        <w:t xml:space="preserve"> </w:t>
      </w:r>
      <w:r>
        <w:t>de</w:t>
      </w:r>
      <w:r>
        <w:rPr>
          <w:spacing w:val="40"/>
        </w:rPr>
        <w:t xml:space="preserve"> </w:t>
      </w:r>
      <w:r>
        <w:t>forma</w:t>
      </w:r>
      <w:r>
        <w:rPr>
          <w:spacing w:val="40"/>
        </w:rPr>
        <w:t xml:space="preserve"> </w:t>
      </w:r>
      <w:r>
        <w:t>clara</w:t>
      </w:r>
      <w:r>
        <w:rPr>
          <w:spacing w:val="40"/>
        </w:rPr>
        <w:t xml:space="preserve"> </w:t>
      </w:r>
      <w:r>
        <w:t>que,</w:t>
      </w:r>
      <w:r>
        <w:rPr>
          <w:spacing w:val="40"/>
        </w:rPr>
        <w:t xml:space="preserve"> </w:t>
      </w:r>
      <w:r>
        <w:t>para</w:t>
      </w:r>
      <w:r>
        <w:rPr>
          <w:spacing w:val="40"/>
        </w:rPr>
        <w:t xml:space="preserve"> </w:t>
      </w:r>
      <w:r>
        <w:t>o</w:t>
      </w:r>
      <w:r>
        <w:rPr>
          <w:spacing w:val="40"/>
        </w:rPr>
        <w:t xml:space="preserve"> </w:t>
      </w:r>
      <w:r>
        <w:t>legislador,</w:t>
      </w:r>
      <w:r>
        <w:rPr>
          <w:spacing w:val="40"/>
        </w:rPr>
        <w:t xml:space="preserve"> </w:t>
      </w:r>
      <w:r>
        <w:t>até</w:t>
      </w:r>
      <w:r>
        <w:rPr>
          <w:spacing w:val="40"/>
        </w:rPr>
        <w:t xml:space="preserve"> </w:t>
      </w:r>
      <w:r>
        <w:t>a</w:t>
      </w:r>
      <w:r>
        <w:rPr>
          <w:spacing w:val="40"/>
        </w:rPr>
        <w:t xml:space="preserve"> </w:t>
      </w:r>
      <w:r>
        <w:t>a promulgação da Lei 9.249/95, a distribuição de lucros e dividendos era fato gerador do imposto</w:t>
      </w:r>
      <w:r>
        <w:rPr>
          <w:spacing w:val="19"/>
        </w:rPr>
        <w:t xml:space="preserve"> </w:t>
      </w:r>
      <w:r>
        <w:t>de</w:t>
      </w:r>
      <w:r>
        <w:rPr>
          <w:spacing w:val="20"/>
        </w:rPr>
        <w:t xml:space="preserve"> </w:t>
      </w:r>
      <w:r>
        <w:t>renda</w:t>
      </w:r>
      <w:r>
        <w:rPr>
          <w:spacing w:val="22"/>
        </w:rPr>
        <w:t xml:space="preserve"> </w:t>
      </w:r>
      <w:r>
        <w:t>da</w:t>
      </w:r>
      <w:r>
        <w:rPr>
          <w:spacing w:val="20"/>
        </w:rPr>
        <w:t xml:space="preserve"> </w:t>
      </w:r>
      <w:r>
        <w:t>pessoa</w:t>
      </w:r>
      <w:r>
        <w:rPr>
          <w:spacing w:val="20"/>
        </w:rPr>
        <w:t xml:space="preserve"> </w:t>
      </w:r>
      <w:r>
        <w:t>física.</w:t>
      </w:r>
      <w:r>
        <w:rPr>
          <w:spacing w:val="11"/>
        </w:rPr>
        <w:t xml:space="preserve"> </w:t>
      </w:r>
      <w:r>
        <w:t>A</w:t>
      </w:r>
      <w:r>
        <w:rPr>
          <w:spacing w:val="6"/>
        </w:rPr>
        <w:t xml:space="preserve"> </w:t>
      </w:r>
      <w:r>
        <w:t>partir</w:t>
      </w:r>
      <w:r>
        <w:rPr>
          <w:spacing w:val="20"/>
        </w:rPr>
        <w:t xml:space="preserve"> </w:t>
      </w:r>
      <w:r>
        <w:t>de</w:t>
      </w:r>
      <w:r>
        <w:rPr>
          <w:spacing w:val="22"/>
        </w:rPr>
        <w:t xml:space="preserve"> </w:t>
      </w:r>
      <w:r>
        <w:t>então,</w:t>
      </w:r>
      <w:r>
        <w:rPr>
          <w:spacing w:val="20"/>
        </w:rPr>
        <w:t xml:space="preserve"> </w:t>
      </w:r>
      <w:r>
        <w:t>o</w:t>
      </w:r>
      <w:r>
        <w:rPr>
          <w:spacing w:val="21"/>
        </w:rPr>
        <w:t xml:space="preserve"> </w:t>
      </w:r>
      <w:r>
        <w:t>art.</w:t>
      </w:r>
      <w:r>
        <w:rPr>
          <w:spacing w:val="21"/>
        </w:rPr>
        <w:t xml:space="preserve"> </w:t>
      </w:r>
      <w:r>
        <w:t>10</w:t>
      </w:r>
      <w:r>
        <w:rPr>
          <w:spacing w:val="23"/>
        </w:rPr>
        <w:t xml:space="preserve"> </w:t>
      </w:r>
      <w:r>
        <w:t>da</w:t>
      </w:r>
      <w:r>
        <w:rPr>
          <w:spacing w:val="20"/>
        </w:rPr>
        <w:t xml:space="preserve"> </w:t>
      </w:r>
      <w:r>
        <w:t>supramencionada</w:t>
      </w:r>
      <w:r>
        <w:rPr>
          <w:spacing w:val="22"/>
        </w:rPr>
        <w:t xml:space="preserve"> </w:t>
      </w:r>
      <w:r>
        <w:rPr>
          <w:spacing w:val="-5"/>
        </w:rPr>
        <w:t>lei</w:t>
      </w:r>
    </w:p>
    <w:p w:rsidR="007259F2" w:rsidRDefault="00E655B4">
      <w:pPr>
        <w:pStyle w:val="Corpodetexto"/>
        <w:spacing w:before="1"/>
        <w:ind w:firstLine="0"/>
        <w:jc w:val="left"/>
      </w:pPr>
      <w:r>
        <w:t>regeu</w:t>
      </w:r>
      <w:r>
        <w:rPr>
          <w:spacing w:val="-1"/>
        </w:rPr>
        <w:t xml:space="preserve"> </w:t>
      </w:r>
      <w:r>
        <w:t>de</w:t>
      </w:r>
      <w:r>
        <w:rPr>
          <w:spacing w:val="-2"/>
        </w:rPr>
        <w:t xml:space="preserve"> </w:t>
      </w:r>
      <w:r>
        <w:t>tal</w:t>
      </w:r>
      <w:r>
        <w:rPr>
          <w:spacing w:val="-1"/>
        </w:rPr>
        <w:t xml:space="preserve"> </w:t>
      </w:r>
      <w:r>
        <w:rPr>
          <w:spacing w:val="-2"/>
        </w:rPr>
        <w:t>forma:</w:t>
      </w:r>
    </w:p>
    <w:p w:rsidR="007259F2" w:rsidRDefault="00E655B4">
      <w:pPr>
        <w:spacing w:before="1"/>
        <w:ind w:left="2978" w:right="989"/>
        <w:jc w:val="both"/>
        <w:rPr>
          <w:sz w:val="20"/>
        </w:rPr>
      </w:pPr>
      <w:r>
        <w:rPr>
          <w:sz w:val="20"/>
        </w:rPr>
        <w:t>Art. 10. Os lucros ou dividendos calculados com base nos resultados</w:t>
      </w:r>
      <w:r>
        <w:rPr>
          <w:spacing w:val="40"/>
          <w:sz w:val="20"/>
        </w:rPr>
        <w:t xml:space="preserve"> </w:t>
      </w:r>
      <w:r>
        <w:rPr>
          <w:sz w:val="20"/>
        </w:rPr>
        <w:t>apurados a partir do mês de janeiro de 1996, pagos ou creditados pelas pessoas jurídicas tributadas com base no lucro real, presumido ou arbitrado, não ficarão sujeitos à incidência</w:t>
      </w:r>
      <w:r>
        <w:rPr>
          <w:spacing w:val="-5"/>
          <w:sz w:val="20"/>
        </w:rPr>
        <w:t xml:space="preserve"> </w:t>
      </w:r>
      <w:r>
        <w:rPr>
          <w:sz w:val="20"/>
        </w:rPr>
        <w:t>do</w:t>
      </w:r>
      <w:r>
        <w:rPr>
          <w:spacing w:val="-7"/>
          <w:sz w:val="20"/>
        </w:rPr>
        <w:t xml:space="preserve"> </w:t>
      </w:r>
      <w:r>
        <w:rPr>
          <w:sz w:val="20"/>
        </w:rPr>
        <w:t>imposto</w:t>
      </w:r>
      <w:r>
        <w:rPr>
          <w:spacing w:val="-6"/>
          <w:sz w:val="20"/>
        </w:rPr>
        <w:t xml:space="preserve"> </w:t>
      </w:r>
      <w:r>
        <w:rPr>
          <w:sz w:val="20"/>
        </w:rPr>
        <w:t>de</w:t>
      </w:r>
      <w:r>
        <w:rPr>
          <w:spacing w:val="-10"/>
          <w:sz w:val="20"/>
        </w:rPr>
        <w:t xml:space="preserve"> </w:t>
      </w:r>
      <w:r>
        <w:rPr>
          <w:sz w:val="20"/>
        </w:rPr>
        <w:t>renda</w:t>
      </w:r>
      <w:r>
        <w:rPr>
          <w:spacing w:val="-6"/>
          <w:sz w:val="20"/>
        </w:rPr>
        <w:t xml:space="preserve"> </w:t>
      </w:r>
      <w:r>
        <w:rPr>
          <w:sz w:val="20"/>
        </w:rPr>
        <w:t>na</w:t>
      </w:r>
      <w:r>
        <w:rPr>
          <w:spacing w:val="-6"/>
          <w:sz w:val="20"/>
        </w:rPr>
        <w:t xml:space="preserve"> </w:t>
      </w:r>
      <w:r>
        <w:rPr>
          <w:sz w:val="20"/>
        </w:rPr>
        <w:t>fonte,</w:t>
      </w:r>
      <w:r>
        <w:rPr>
          <w:spacing w:val="-6"/>
          <w:sz w:val="20"/>
        </w:rPr>
        <w:t xml:space="preserve"> </w:t>
      </w:r>
      <w:r>
        <w:rPr>
          <w:sz w:val="20"/>
        </w:rPr>
        <w:t>nem</w:t>
      </w:r>
      <w:r>
        <w:rPr>
          <w:spacing w:val="-11"/>
          <w:sz w:val="20"/>
        </w:rPr>
        <w:t xml:space="preserve"> </w:t>
      </w:r>
      <w:r>
        <w:rPr>
          <w:sz w:val="20"/>
        </w:rPr>
        <w:t>integrarão a base de cálculo do imposto de renda do beneficiário, pessoa física ou jurídica, domiciliado no País ou no exterior. (BRASIL, 1995)</w:t>
      </w:r>
    </w:p>
    <w:p w:rsidR="007259F2" w:rsidRDefault="007259F2">
      <w:pPr>
        <w:pStyle w:val="Corpodetexto"/>
        <w:spacing w:before="21"/>
        <w:ind w:left="0" w:firstLine="0"/>
        <w:jc w:val="left"/>
        <w:rPr>
          <w:sz w:val="20"/>
        </w:rPr>
      </w:pPr>
    </w:p>
    <w:p w:rsidR="007259F2" w:rsidRDefault="00E655B4">
      <w:pPr>
        <w:pStyle w:val="Corpodetexto"/>
        <w:ind w:right="987"/>
        <w:jc w:val="left"/>
      </w:pPr>
      <w:r>
        <w:t>Pela</w:t>
      </w:r>
      <w:r>
        <w:rPr>
          <w:spacing w:val="-2"/>
        </w:rPr>
        <w:t xml:space="preserve"> </w:t>
      </w:r>
      <w:r>
        <w:t>leitura</w:t>
      </w:r>
      <w:r>
        <w:rPr>
          <w:spacing w:val="-3"/>
        </w:rPr>
        <w:t xml:space="preserve"> </w:t>
      </w:r>
      <w:r>
        <w:t>do artigo,</w:t>
      </w:r>
      <w:r>
        <w:rPr>
          <w:spacing w:val="-2"/>
        </w:rPr>
        <w:t xml:space="preserve"> </w:t>
      </w:r>
      <w:r>
        <w:t>depreende-se</w:t>
      </w:r>
      <w:r>
        <w:rPr>
          <w:spacing w:val="-3"/>
        </w:rPr>
        <w:t xml:space="preserve"> </w:t>
      </w:r>
      <w:r>
        <w:t>de</w:t>
      </w:r>
      <w:r>
        <w:rPr>
          <w:spacing w:val="-1"/>
        </w:rPr>
        <w:t xml:space="preserve"> </w:t>
      </w:r>
      <w:r>
        <w:t>forma</w:t>
      </w:r>
      <w:r>
        <w:rPr>
          <w:spacing w:val="-1"/>
        </w:rPr>
        <w:t xml:space="preserve"> </w:t>
      </w:r>
      <w:r>
        <w:t>clara</w:t>
      </w:r>
      <w:r>
        <w:rPr>
          <w:spacing w:val="-3"/>
        </w:rPr>
        <w:t xml:space="preserve"> </w:t>
      </w:r>
      <w:r>
        <w:t>que</w:t>
      </w:r>
      <w:r>
        <w:rPr>
          <w:spacing w:val="-1"/>
        </w:rPr>
        <w:t xml:space="preserve"> </w:t>
      </w:r>
      <w:r>
        <w:t>o</w:t>
      </w:r>
      <w:r>
        <w:rPr>
          <w:spacing w:val="-2"/>
        </w:rPr>
        <w:t xml:space="preserve"> </w:t>
      </w:r>
      <w:r>
        <w:t>fato gerador</w:t>
      </w:r>
      <w:r>
        <w:rPr>
          <w:spacing w:val="-1"/>
        </w:rPr>
        <w:t xml:space="preserve"> </w:t>
      </w:r>
      <w:r>
        <w:t>do</w:t>
      </w:r>
      <w:r>
        <w:rPr>
          <w:spacing w:val="-2"/>
        </w:rPr>
        <w:t xml:space="preserve"> </w:t>
      </w:r>
      <w:r>
        <w:t>imposto de</w:t>
      </w:r>
      <w:r>
        <w:rPr>
          <w:spacing w:val="55"/>
          <w:w w:val="150"/>
        </w:rPr>
        <w:t xml:space="preserve"> </w:t>
      </w:r>
      <w:r>
        <w:t>renda</w:t>
      </w:r>
      <w:r>
        <w:rPr>
          <w:spacing w:val="60"/>
          <w:w w:val="150"/>
        </w:rPr>
        <w:t xml:space="preserve"> </w:t>
      </w:r>
      <w:r>
        <w:t>em</w:t>
      </w:r>
      <w:r>
        <w:rPr>
          <w:spacing w:val="64"/>
          <w:w w:val="150"/>
        </w:rPr>
        <w:t xml:space="preserve"> </w:t>
      </w:r>
      <w:r>
        <w:t>relação</w:t>
      </w:r>
      <w:r>
        <w:rPr>
          <w:spacing w:val="68"/>
          <w:w w:val="150"/>
        </w:rPr>
        <w:t xml:space="preserve"> </w:t>
      </w:r>
      <w:r>
        <w:t>aos</w:t>
      </w:r>
      <w:r>
        <w:rPr>
          <w:spacing w:val="66"/>
          <w:w w:val="150"/>
        </w:rPr>
        <w:t xml:space="preserve"> </w:t>
      </w:r>
      <w:r>
        <w:t>lucros</w:t>
      </w:r>
      <w:r>
        <w:rPr>
          <w:spacing w:val="66"/>
          <w:w w:val="150"/>
        </w:rPr>
        <w:t xml:space="preserve"> </w:t>
      </w:r>
      <w:r>
        <w:t>e</w:t>
      </w:r>
      <w:r>
        <w:rPr>
          <w:spacing w:val="62"/>
          <w:w w:val="150"/>
        </w:rPr>
        <w:t xml:space="preserve"> </w:t>
      </w:r>
      <w:r>
        <w:t>dividendos</w:t>
      </w:r>
      <w:r>
        <w:rPr>
          <w:spacing w:val="66"/>
          <w:w w:val="150"/>
        </w:rPr>
        <w:t xml:space="preserve"> </w:t>
      </w:r>
      <w:r>
        <w:t>não</w:t>
      </w:r>
      <w:r>
        <w:rPr>
          <w:spacing w:val="66"/>
          <w:w w:val="150"/>
        </w:rPr>
        <w:t xml:space="preserve"> </w:t>
      </w:r>
      <w:r>
        <w:t>deixou</w:t>
      </w:r>
      <w:r>
        <w:rPr>
          <w:spacing w:val="63"/>
          <w:w w:val="150"/>
        </w:rPr>
        <w:t xml:space="preserve"> </w:t>
      </w:r>
      <w:r>
        <w:t>de</w:t>
      </w:r>
      <w:r>
        <w:rPr>
          <w:spacing w:val="63"/>
          <w:w w:val="150"/>
        </w:rPr>
        <w:t xml:space="preserve"> </w:t>
      </w:r>
      <w:r>
        <w:t>ocorrer,</w:t>
      </w:r>
      <w:r>
        <w:rPr>
          <w:spacing w:val="67"/>
          <w:w w:val="150"/>
        </w:rPr>
        <w:t xml:space="preserve"> </w:t>
      </w:r>
      <w:r>
        <w:t>houve</w:t>
      </w:r>
      <w:r>
        <w:rPr>
          <w:spacing w:val="63"/>
          <w:w w:val="150"/>
        </w:rPr>
        <w:t xml:space="preserve"> </w:t>
      </w:r>
      <w:r>
        <w:rPr>
          <w:spacing w:val="-10"/>
        </w:rPr>
        <w:t>o</w:t>
      </w:r>
    </w:p>
    <w:p w:rsidR="007259F2" w:rsidRDefault="007259F2">
      <w:pPr>
        <w:pStyle w:val="Corpodetexto"/>
        <w:ind w:left="0" w:firstLine="0"/>
        <w:jc w:val="left"/>
        <w:rPr>
          <w:sz w:val="20"/>
        </w:rPr>
      </w:pPr>
    </w:p>
    <w:p w:rsidR="007259F2" w:rsidRDefault="00DE6B1C">
      <w:pPr>
        <w:pStyle w:val="Corpodetexto"/>
        <w:spacing w:before="81"/>
        <w:ind w:left="0" w:firstLine="0"/>
        <w:jc w:val="left"/>
        <w:rPr>
          <w:sz w:val="20"/>
        </w:rPr>
      </w:pPr>
      <w:r w:rsidRPr="00DE6B1C">
        <w:rPr>
          <w:sz w:val="20"/>
        </w:rPr>
        <w:pict>
          <v:rect id="docshape90" o:spid="_x0000_s1136" style="position:absolute;margin-left:85.1pt;margin-top:16.8pt;width:2in;height:.7pt;z-index:-15690752;mso-wrap-distance-left:0;mso-wrap-distance-right:0;mso-position-horizontal-relative:page" fillcolor="black" stroked="f">
            <w10:wrap type="topAndBottom" anchorx="page"/>
          </v:rect>
        </w:pict>
      </w:r>
    </w:p>
    <w:p w:rsidR="007259F2" w:rsidRDefault="00E655B4">
      <w:pPr>
        <w:spacing w:before="96"/>
        <w:ind w:left="710"/>
        <w:jc w:val="both"/>
        <w:rPr>
          <w:sz w:val="20"/>
        </w:rPr>
      </w:pPr>
      <w:r>
        <w:rPr>
          <w:sz w:val="20"/>
          <w:vertAlign w:val="superscript"/>
        </w:rPr>
        <w:t>71</w:t>
      </w:r>
      <w:r>
        <w:rPr>
          <w:spacing w:val="-13"/>
          <w:sz w:val="20"/>
        </w:rPr>
        <w:t xml:space="preserve"> </w:t>
      </w:r>
      <w:r>
        <w:rPr>
          <w:sz w:val="20"/>
        </w:rPr>
        <w:t>ALHO</w:t>
      </w:r>
      <w:r>
        <w:rPr>
          <w:spacing w:val="-7"/>
          <w:sz w:val="20"/>
        </w:rPr>
        <w:t xml:space="preserve"> </w:t>
      </w:r>
      <w:r>
        <w:rPr>
          <w:sz w:val="20"/>
        </w:rPr>
        <w:t>NETO,</w:t>
      </w:r>
      <w:r>
        <w:rPr>
          <w:spacing w:val="-3"/>
          <w:sz w:val="20"/>
        </w:rPr>
        <w:t xml:space="preserve"> </w:t>
      </w:r>
      <w:r>
        <w:rPr>
          <w:i/>
          <w:sz w:val="20"/>
        </w:rPr>
        <w:t>op.</w:t>
      </w:r>
      <w:r>
        <w:rPr>
          <w:i/>
          <w:spacing w:val="-4"/>
          <w:sz w:val="20"/>
        </w:rPr>
        <w:t xml:space="preserve"> cit</w:t>
      </w:r>
      <w:r>
        <w:rPr>
          <w:spacing w:val="-4"/>
          <w:sz w:val="20"/>
        </w:rPr>
        <w:t>.</w:t>
      </w:r>
    </w:p>
    <w:p w:rsidR="007259F2" w:rsidRDefault="00E655B4">
      <w:pPr>
        <w:spacing w:before="1"/>
        <w:ind w:left="710" w:right="993"/>
        <w:jc w:val="both"/>
        <w:rPr>
          <w:sz w:val="20"/>
        </w:rPr>
      </w:pPr>
      <w:r>
        <w:rPr>
          <w:sz w:val="20"/>
          <w:vertAlign w:val="superscript"/>
        </w:rPr>
        <w:t>72</w:t>
      </w:r>
      <w:r>
        <w:rPr>
          <w:spacing w:val="-3"/>
          <w:sz w:val="20"/>
        </w:rPr>
        <w:t xml:space="preserve"> </w:t>
      </w:r>
      <w:r>
        <w:rPr>
          <w:sz w:val="20"/>
        </w:rPr>
        <w:t>BORGES,</w:t>
      </w:r>
      <w:r>
        <w:rPr>
          <w:spacing w:val="-3"/>
          <w:sz w:val="20"/>
        </w:rPr>
        <w:t xml:space="preserve"> </w:t>
      </w:r>
      <w:r>
        <w:rPr>
          <w:sz w:val="20"/>
        </w:rPr>
        <w:t>José</w:t>
      </w:r>
      <w:r>
        <w:rPr>
          <w:spacing w:val="-3"/>
          <w:sz w:val="20"/>
        </w:rPr>
        <w:t xml:space="preserve"> </w:t>
      </w:r>
      <w:r>
        <w:rPr>
          <w:sz w:val="20"/>
        </w:rPr>
        <w:t>Souto</w:t>
      </w:r>
      <w:r>
        <w:rPr>
          <w:spacing w:val="-2"/>
          <w:sz w:val="20"/>
        </w:rPr>
        <w:t xml:space="preserve"> </w:t>
      </w:r>
      <w:r>
        <w:rPr>
          <w:sz w:val="20"/>
        </w:rPr>
        <w:t>Maior.</w:t>
      </w:r>
      <w:r>
        <w:rPr>
          <w:spacing w:val="-4"/>
          <w:sz w:val="20"/>
        </w:rPr>
        <w:t xml:space="preserve"> </w:t>
      </w:r>
      <w:r>
        <w:rPr>
          <w:b/>
          <w:sz w:val="20"/>
        </w:rPr>
        <w:t>Teoria</w:t>
      </w:r>
      <w:r>
        <w:rPr>
          <w:b/>
          <w:spacing w:val="-2"/>
          <w:sz w:val="20"/>
        </w:rPr>
        <w:t xml:space="preserve"> </w:t>
      </w:r>
      <w:r>
        <w:rPr>
          <w:b/>
          <w:sz w:val="20"/>
        </w:rPr>
        <w:t>geral</w:t>
      </w:r>
      <w:r>
        <w:rPr>
          <w:b/>
          <w:spacing w:val="-3"/>
          <w:sz w:val="20"/>
        </w:rPr>
        <w:t xml:space="preserve"> </w:t>
      </w:r>
      <w:r>
        <w:rPr>
          <w:b/>
          <w:sz w:val="20"/>
        </w:rPr>
        <w:t>da</w:t>
      </w:r>
      <w:r>
        <w:rPr>
          <w:b/>
          <w:spacing w:val="-4"/>
          <w:sz w:val="20"/>
        </w:rPr>
        <w:t xml:space="preserve"> </w:t>
      </w:r>
      <w:r>
        <w:rPr>
          <w:b/>
          <w:sz w:val="20"/>
        </w:rPr>
        <w:t>isenção tributária</w:t>
      </w:r>
      <w:r>
        <w:rPr>
          <w:sz w:val="20"/>
        </w:rPr>
        <w:t>.</w:t>
      </w:r>
      <w:r>
        <w:rPr>
          <w:spacing w:val="-5"/>
          <w:sz w:val="20"/>
        </w:rPr>
        <w:t xml:space="preserve"> </w:t>
      </w:r>
      <w:r>
        <w:rPr>
          <w:sz w:val="20"/>
        </w:rPr>
        <w:t>3.</w:t>
      </w:r>
      <w:r>
        <w:rPr>
          <w:spacing w:val="-3"/>
          <w:sz w:val="20"/>
        </w:rPr>
        <w:t xml:space="preserve"> </w:t>
      </w:r>
      <w:r>
        <w:rPr>
          <w:sz w:val="20"/>
        </w:rPr>
        <w:t>ed.</w:t>
      </w:r>
      <w:r>
        <w:rPr>
          <w:spacing w:val="-3"/>
          <w:sz w:val="20"/>
        </w:rPr>
        <w:t xml:space="preserve"> </w:t>
      </w:r>
      <w:r>
        <w:rPr>
          <w:sz w:val="20"/>
        </w:rPr>
        <w:t>São</w:t>
      </w:r>
      <w:r>
        <w:rPr>
          <w:spacing w:val="-6"/>
          <w:sz w:val="20"/>
        </w:rPr>
        <w:t xml:space="preserve"> </w:t>
      </w:r>
      <w:r>
        <w:rPr>
          <w:sz w:val="20"/>
        </w:rPr>
        <w:t>Paulo:</w:t>
      </w:r>
      <w:r>
        <w:rPr>
          <w:spacing w:val="-3"/>
          <w:sz w:val="20"/>
        </w:rPr>
        <w:t xml:space="preserve"> </w:t>
      </w:r>
      <w:r>
        <w:rPr>
          <w:sz w:val="20"/>
        </w:rPr>
        <w:t>Malheiros,</w:t>
      </w:r>
      <w:r>
        <w:rPr>
          <w:spacing w:val="-3"/>
          <w:sz w:val="20"/>
        </w:rPr>
        <w:t xml:space="preserve"> </w:t>
      </w:r>
      <w:r>
        <w:rPr>
          <w:sz w:val="20"/>
        </w:rPr>
        <w:t>2001,</w:t>
      </w:r>
      <w:r>
        <w:rPr>
          <w:spacing w:val="-5"/>
          <w:sz w:val="20"/>
        </w:rPr>
        <w:t xml:space="preserve"> </w:t>
      </w:r>
      <w:r>
        <w:rPr>
          <w:sz w:val="20"/>
        </w:rPr>
        <w:t>p. 199 e seg.</w:t>
      </w:r>
    </w:p>
    <w:p w:rsidR="007259F2" w:rsidRDefault="00E655B4">
      <w:pPr>
        <w:ind w:left="710" w:right="990"/>
        <w:jc w:val="both"/>
        <w:rPr>
          <w:sz w:val="20"/>
        </w:rPr>
      </w:pPr>
      <w:r>
        <w:rPr>
          <w:sz w:val="20"/>
          <w:vertAlign w:val="superscript"/>
        </w:rPr>
        <w:t>73</w:t>
      </w:r>
      <w:r>
        <w:rPr>
          <w:sz w:val="20"/>
        </w:rPr>
        <w:t xml:space="preserve"> BRASIL. Congresso Nacional. </w:t>
      </w:r>
      <w:r>
        <w:rPr>
          <w:b/>
          <w:sz w:val="20"/>
        </w:rPr>
        <w:t>Lei n. 7.713, de 21 de dezembro de 1988</w:t>
      </w:r>
      <w:r>
        <w:rPr>
          <w:sz w:val="20"/>
        </w:rPr>
        <w:t xml:space="preserve">. Diário Oficial da União, Brasília, 22 de dezembro de 1988. Disponível em: </w:t>
      </w:r>
      <w:hyperlink r:id="rId105">
        <w:r>
          <w:rPr>
            <w:sz w:val="20"/>
          </w:rPr>
          <w:t>http://www.planalto.gov.br/ccivil_03/leis/l7713.htm.</w:t>
        </w:r>
      </w:hyperlink>
      <w:r>
        <w:rPr>
          <w:sz w:val="20"/>
        </w:rPr>
        <w:t xml:space="preserve"> Acesso em: 22 abr. 2022</w:t>
      </w:r>
    </w:p>
    <w:p w:rsidR="007259F2" w:rsidRDefault="00E655B4">
      <w:pPr>
        <w:ind w:left="710" w:right="997"/>
        <w:jc w:val="both"/>
        <w:rPr>
          <w:sz w:val="20"/>
        </w:rPr>
      </w:pPr>
      <w:r>
        <w:rPr>
          <w:sz w:val="20"/>
          <w:vertAlign w:val="superscript"/>
        </w:rPr>
        <w:t>74</w:t>
      </w:r>
      <w:r>
        <w:rPr>
          <w:sz w:val="20"/>
        </w:rPr>
        <w:t xml:space="preserve"> NÓBREGA, Cristóvão Barcelos da. </w:t>
      </w:r>
      <w:r>
        <w:rPr>
          <w:b/>
          <w:sz w:val="20"/>
        </w:rPr>
        <w:t>História do imposto de renda no Brasil, um enfoque da pessoa física (1922-2013)</w:t>
      </w:r>
      <w:r>
        <w:rPr>
          <w:sz w:val="20"/>
        </w:rPr>
        <w:t>. Brasília: Receita Federal do Brasil. 2015, p. 209 e 231.</w:t>
      </w:r>
    </w:p>
    <w:p w:rsidR="007259F2" w:rsidRDefault="007259F2">
      <w:pPr>
        <w:jc w:val="both"/>
        <w:rPr>
          <w:sz w:val="20"/>
        </w:rPr>
        <w:sectPr w:rsidR="007259F2">
          <w:pgSz w:w="11910" w:h="16840"/>
          <w:pgMar w:top="1280" w:right="708" w:bottom="1160" w:left="992" w:header="0" w:footer="962" w:gutter="0"/>
          <w:cols w:space="720"/>
        </w:sectPr>
      </w:pPr>
    </w:p>
    <w:p w:rsidR="007259F2" w:rsidRDefault="00E655B4">
      <w:pPr>
        <w:pStyle w:val="Corpodetexto"/>
        <w:spacing w:before="69"/>
        <w:ind w:right="992" w:firstLine="0"/>
      </w:pPr>
      <w:r>
        <w:lastRenderedPageBreak/>
        <w:t>reconhecimento por</w:t>
      </w:r>
      <w:r>
        <w:rPr>
          <w:spacing w:val="-13"/>
        </w:rPr>
        <w:t xml:space="preserve"> </w:t>
      </w:r>
      <w:r>
        <w:t>parte</w:t>
      </w:r>
      <w:r>
        <w:rPr>
          <w:spacing w:val="-4"/>
        </w:rPr>
        <w:t xml:space="preserve"> </w:t>
      </w:r>
      <w:r>
        <w:t>do</w:t>
      </w:r>
      <w:r>
        <w:rPr>
          <w:spacing w:val="-1"/>
        </w:rPr>
        <w:t xml:space="preserve"> </w:t>
      </w:r>
      <w:r>
        <w:t>legislador</w:t>
      </w:r>
      <w:r>
        <w:rPr>
          <w:spacing w:val="-1"/>
        </w:rPr>
        <w:t xml:space="preserve"> </w:t>
      </w:r>
      <w:r>
        <w:t>de</w:t>
      </w:r>
      <w:r>
        <w:rPr>
          <w:spacing w:val="-2"/>
        </w:rPr>
        <w:t xml:space="preserve"> </w:t>
      </w:r>
      <w:r>
        <w:t>que</w:t>
      </w:r>
      <w:r>
        <w:rPr>
          <w:spacing w:val="-4"/>
        </w:rPr>
        <w:t xml:space="preserve"> </w:t>
      </w:r>
      <w:r>
        <w:t>o</w:t>
      </w:r>
      <w:r>
        <w:rPr>
          <w:spacing w:val="-1"/>
        </w:rPr>
        <w:t xml:space="preserve"> </w:t>
      </w:r>
      <w:r>
        <w:t>imposto já</w:t>
      </w:r>
      <w:r>
        <w:rPr>
          <w:spacing w:val="-2"/>
        </w:rPr>
        <w:t xml:space="preserve"> </w:t>
      </w:r>
      <w:r>
        <w:t>havia</w:t>
      </w:r>
      <w:r>
        <w:rPr>
          <w:spacing w:val="-4"/>
        </w:rPr>
        <w:t xml:space="preserve"> </w:t>
      </w:r>
      <w:r>
        <w:t>sido pago na</w:t>
      </w:r>
      <w:r>
        <w:rPr>
          <w:spacing w:val="-2"/>
        </w:rPr>
        <w:t xml:space="preserve"> </w:t>
      </w:r>
      <w:r>
        <w:t>apuração do lucro da pessoa jurídica que originou a sua distribuição.</w:t>
      </w:r>
    </w:p>
    <w:p w:rsidR="007259F2" w:rsidRDefault="00E655B4">
      <w:pPr>
        <w:pStyle w:val="Corpodetexto"/>
        <w:spacing w:before="1"/>
        <w:ind w:right="992"/>
      </w:pPr>
      <w:r>
        <w:t>Ainda, importante destacar que os lucros e dividendos distribuídos, conforme o artigo 43 do CTN, quanto a sua definição é uma hipótese de incidência do Imposto de Renda.</w:t>
      </w:r>
      <w:r>
        <w:rPr>
          <w:spacing w:val="-2"/>
        </w:rPr>
        <w:t xml:space="preserve"> </w:t>
      </w:r>
      <w:r>
        <w:t>A</w:t>
      </w:r>
      <w:r>
        <w:rPr>
          <w:spacing w:val="-5"/>
        </w:rPr>
        <w:t xml:space="preserve"> </w:t>
      </w:r>
      <w:r>
        <w:t xml:space="preserve">isenção presente no caso em dela, não é hipótese de extinção a ocorrência do fato gerador do imposto de renda, sendo mais bem definida como uma exceção ao seu </w:t>
      </w:r>
      <w:r>
        <w:rPr>
          <w:spacing w:val="-2"/>
        </w:rPr>
        <w:t>pagamento.</w:t>
      </w:r>
    </w:p>
    <w:p w:rsidR="007259F2" w:rsidRDefault="00E655B4">
      <w:pPr>
        <w:pStyle w:val="Corpodetexto"/>
        <w:ind w:left="1418" w:firstLine="0"/>
      </w:pPr>
      <w:r>
        <w:t>Nas</w:t>
      </w:r>
      <w:r>
        <w:rPr>
          <w:spacing w:val="-2"/>
        </w:rPr>
        <w:t xml:space="preserve"> </w:t>
      </w:r>
      <w:r>
        <w:t>palavras</w:t>
      </w:r>
      <w:r>
        <w:rPr>
          <w:spacing w:val="-2"/>
        </w:rPr>
        <w:t xml:space="preserve"> </w:t>
      </w:r>
      <w:r>
        <w:t>de</w:t>
      </w:r>
      <w:r>
        <w:rPr>
          <w:spacing w:val="-3"/>
        </w:rPr>
        <w:t xml:space="preserve"> </w:t>
      </w:r>
      <w:r>
        <w:t>Hugo</w:t>
      </w:r>
      <w:r>
        <w:rPr>
          <w:spacing w:val="-4"/>
        </w:rPr>
        <w:t xml:space="preserve"> </w:t>
      </w:r>
      <w:r>
        <w:t>de</w:t>
      </w:r>
      <w:r>
        <w:rPr>
          <w:spacing w:val="-1"/>
        </w:rPr>
        <w:t xml:space="preserve"> </w:t>
      </w:r>
      <w:r>
        <w:t>Brito</w:t>
      </w:r>
      <w:r>
        <w:rPr>
          <w:spacing w:val="-1"/>
        </w:rPr>
        <w:t xml:space="preserve"> </w:t>
      </w:r>
      <w:r>
        <w:rPr>
          <w:spacing w:val="-2"/>
        </w:rPr>
        <w:t>Machado:</w:t>
      </w:r>
    </w:p>
    <w:p w:rsidR="007259F2" w:rsidRDefault="007259F2">
      <w:pPr>
        <w:pStyle w:val="Corpodetexto"/>
        <w:spacing w:before="1"/>
        <w:ind w:left="0" w:firstLine="0"/>
        <w:jc w:val="left"/>
      </w:pPr>
    </w:p>
    <w:p w:rsidR="007259F2" w:rsidRDefault="00E655B4">
      <w:pPr>
        <w:ind w:left="2978" w:right="990"/>
        <w:jc w:val="both"/>
        <w:rPr>
          <w:sz w:val="20"/>
        </w:rPr>
      </w:pPr>
      <w:r>
        <w:rPr>
          <w:sz w:val="20"/>
        </w:rPr>
        <w:t>Distingue-se a isenção da não incidência. Isenção é a exclusão, por lei, de parcela da hipótese de incidência, ou suporte fático da norma de tributação, sendo objeto da isenção a parcela que a lei retira dos fatos que realizam a hipótese de incidência da regra</w:t>
      </w:r>
      <w:r>
        <w:rPr>
          <w:spacing w:val="-5"/>
          <w:sz w:val="20"/>
        </w:rPr>
        <w:t xml:space="preserve"> </w:t>
      </w:r>
      <w:r>
        <w:rPr>
          <w:sz w:val="20"/>
        </w:rPr>
        <w:t>de</w:t>
      </w:r>
      <w:r>
        <w:rPr>
          <w:spacing w:val="-6"/>
          <w:sz w:val="20"/>
        </w:rPr>
        <w:t xml:space="preserve"> </w:t>
      </w:r>
      <w:r>
        <w:rPr>
          <w:sz w:val="20"/>
        </w:rPr>
        <w:t>tributação.</w:t>
      </w:r>
      <w:r>
        <w:rPr>
          <w:spacing w:val="-5"/>
          <w:sz w:val="20"/>
        </w:rPr>
        <w:t xml:space="preserve"> </w:t>
      </w:r>
      <w:r>
        <w:rPr>
          <w:sz w:val="20"/>
        </w:rPr>
        <w:t>A</w:t>
      </w:r>
      <w:r>
        <w:rPr>
          <w:spacing w:val="-11"/>
          <w:sz w:val="20"/>
        </w:rPr>
        <w:t xml:space="preserve"> </w:t>
      </w:r>
      <w:r>
        <w:rPr>
          <w:sz w:val="20"/>
        </w:rPr>
        <w:t>não</w:t>
      </w:r>
      <w:r>
        <w:rPr>
          <w:spacing w:val="-7"/>
          <w:sz w:val="20"/>
        </w:rPr>
        <w:t xml:space="preserve"> </w:t>
      </w:r>
      <w:r>
        <w:rPr>
          <w:sz w:val="20"/>
        </w:rPr>
        <w:t>incidência,</w:t>
      </w:r>
      <w:r>
        <w:rPr>
          <w:spacing w:val="-6"/>
          <w:sz w:val="20"/>
        </w:rPr>
        <w:t xml:space="preserve"> </w:t>
      </w:r>
      <w:r>
        <w:rPr>
          <w:sz w:val="20"/>
        </w:rPr>
        <w:t>diversamente, configura-se em face da própria norma de tributação, sendo objeto da não incidência todos os fatos que não estão abrangidos pela própria definição</w:t>
      </w:r>
      <w:r>
        <w:rPr>
          <w:spacing w:val="40"/>
          <w:sz w:val="20"/>
        </w:rPr>
        <w:t xml:space="preserve"> </w:t>
      </w:r>
      <w:r>
        <w:rPr>
          <w:sz w:val="20"/>
        </w:rPr>
        <w:t xml:space="preserve">legal da hipótese de incidência (MACHADO, 2015, p. 232 </w:t>
      </w:r>
      <w:r>
        <w:rPr>
          <w:i/>
          <w:sz w:val="20"/>
        </w:rPr>
        <w:t xml:space="preserve">apud </w:t>
      </w:r>
      <w:r>
        <w:rPr>
          <w:sz w:val="20"/>
        </w:rPr>
        <w:t>TELLES, 2016, p. 51)</w:t>
      </w:r>
    </w:p>
    <w:p w:rsidR="007259F2" w:rsidRDefault="007259F2">
      <w:pPr>
        <w:pStyle w:val="Corpodetexto"/>
        <w:spacing w:before="1"/>
        <w:ind w:left="0" w:firstLine="0"/>
        <w:jc w:val="left"/>
        <w:rPr>
          <w:sz w:val="20"/>
        </w:rPr>
      </w:pPr>
    </w:p>
    <w:p w:rsidR="007259F2" w:rsidRDefault="00E655B4">
      <w:pPr>
        <w:pStyle w:val="Corpodetexto"/>
        <w:ind w:right="993"/>
      </w:pPr>
      <w:r>
        <w:t>Assim, para responder à questão que é colocada no presente tópico, devemos observar que qualquer isenção tributária concedida, deve ter como pretexto alcançar objetivos sociais, sempre estabelecidos na Constituição Federal. Entretanto, dar tratamento desigual, acionistas, quotistas entre outras definições de uma empresa, dos demais contribuintes do Imposto de Renda, certamente afronta o princípio da isonomia tributária, suprimindo o critério de generalidade que é preceito fundamental do imposto em análise.</w:t>
      </w:r>
    </w:p>
    <w:p w:rsidR="007259F2" w:rsidRDefault="00E655B4">
      <w:pPr>
        <w:pStyle w:val="Corpodetexto"/>
        <w:ind w:right="988"/>
      </w:pPr>
      <w:r>
        <w:t>Nesse diapasão, a isenção dos lucros e dividendos, atualmente, não atinge o objeto a que se prestou quando da sua promulgação, que é de estimular o crescimento econômico do país. Podemos verificar que tal benefício é utilizado muitas vezes pelo contribuinte como forma de se beneficiar de tal instituto: a pessoa física transfigura-se em pessoa jurídica com o intuito de usufruir da isenção dos lucros e dividendos, tendo em vista que a alíquota do imposto de renda da pessoa jurídica é muito mais atrativa do que a alíquota da pessoa física.</w:t>
      </w:r>
      <w:r>
        <w:rPr>
          <w:vertAlign w:val="superscript"/>
        </w:rPr>
        <w:t>75</w:t>
      </w:r>
    </w:p>
    <w:p w:rsidR="007259F2" w:rsidRDefault="00E655B4">
      <w:pPr>
        <w:pStyle w:val="Corpodetexto"/>
        <w:spacing w:before="1"/>
        <w:ind w:right="996"/>
      </w:pPr>
      <w:r>
        <w:t>Por fim, verificamos que o benefício, assim como estabelecido na Lei, dá margem para entendimentos diversos sobre a temática.</w:t>
      </w:r>
    </w:p>
    <w:p w:rsidR="007259F2" w:rsidRDefault="00E655B4">
      <w:pPr>
        <w:pStyle w:val="Heading2"/>
        <w:numPr>
          <w:ilvl w:val="0"/>
          <w:numId w:val="35"/>
        </w:numPr>
        <w:tabs>
          <w:tab w:val="left" w:pos="890"/>
        </w:tabs>
        <w:spacing w:before="206" w:line="276" w:lineRule="auto"/>
        <w:ind w:left="710" w:right="1215" w:firstLine="0"/>
        <w:jc w:val="both"/>
      </w:pPr>
      <w:r>
        <w:t>Dos</w:t>
      </w:r>
      <w:r>
        <w:rPr>
          <w:spacing w:val="-3"/>
        </w:rPr>
        <w:t xml:space="preserve"> </w:t>
      </w:r>
      <w:r>
        <w:t>diversos</w:t>
      </w:r>
      <w:r>
        <w:rPr>
          <w:spacing w:val="-3"/>
        </w:rPr>
        <w:t xml:space="preserve"> </w:t>
      </w:r>
      <w:r>
        <w:t>projetos</w:t>
      </w:r>
      <w:r>
        <w:rPr>
          <w:spacing w:val="-3"/>
        </w:rPr>
        <w:t xml:space="preserve"> </w:t>
      </w:r>
      <w:r>
        <w:t>de</w:t>
      </w:r>
      <w:r>
        <w:rPr>
          <w:spacing w:val="-4"/>
        </w:rPr>
        <w:t xml:space="preserve"> </w:t>
      </w:r>
      <w:r>
        <w:t>lei</w:t>
      </w:r>
      <w:r>
        <w:rPr>
          <w:spacing w:val="-3"/>
        </w:rPr>
        <w:t xml:space="preserve"> </w:t>
      </w:r>
      <w:r>
        <w:t>em</w:t>
      </w:r>
      <w:r>
        <w:rPr>
          <w:spacing w:val="-7"/>
        </w:rPr>
        <w:t xml:space="preserve"> </w:t>
      </w:r>
      <w:r>
        <w:t>trâmite</w:t>
      </w:r>
      <w:r>
        <w:rPr>
          <w:spacing w:val="-5"/>
        </w:rPr>
        <w:t xml:space="preserve"> </w:t>
      </w:r>
      <w:r>
        <w:t>sobre</w:t>
      </w:r>
      <w:r>
        <w:rPr>
          <w:spacing w:val="-3"/>
        </w:rPr>
        <w:t xml:space="preserve"> </w:t>
      </w:r>
      <w:r>
        <w:t>a</w:t>
      </w:r>
      <w:r>
        <w:rPr>
          <w:spacing w:val="-3"/>
        </w:rPr>
        <w:t xml:space="preserve"> </w:t>
      </w:r>
      <w:r>
        <w:t>Reforma</w:t>
      </w:r>
      <w:r>
        <w:rPr>
          <w:spacing w:val="-3"/>
        </w:rPr>
        <w:t xml:space="preserve"> </w:t>
      </w:r>
      <w:r>
        <w:t>Tributária</w:t>
      </w:r>
      <w:r>
        <w:rPr>
          <w:spacing w:val="-3"/>
        </w:rPr>
        <w:t xml:space="preserve"> </w:t>
      </w:r>
      <w:r>
        <w:t>do</w:t>
      </w:r>
      <w:r>
        <w:rPr>
          <w:spacing w:val="-3"/>
        </w:rPr>
        <w:t xml:space="preserve"> </w:t>
      </w:r>
      <w:r>
        <w:t>Imposto de Renda</w:t>
      </w:r>
    </w:p>
    <w:p w:rsidR="007259F2" w:rsidRDefault="00E655B4">
      <w:pPr>
        <w:pStyle w:val="Corpodetexto"/>
        <w:spacing w:before="112"/>
        <w:ind w:right="989"/>
      </w:pPr>
      <w:r>
        <w:t>Tendo</w:t>
      </w:r>
      <w:r>
        <w:rPr>
          <w:spacing w:val="-12"/>
        </w:rPr>
        <w:t xml:space="preserve"> </w:t>
      </w:r>
      <w:r>
        <w:t>em</w:t>
      </w:r>
      <w:r>
        <w:rPr>
          <w:spacing w:val="-9"/>
        </w:rPr>
        <w:t xml:space="preserve"> </w:t>
      </w:r>
      <w:r>
        <w:t>vista</w:t>
      </w:r>
      <w:r>
        <w:rPr>
          <w:spacing w:val="-12"/>
        </w:rPr>
        <w:t xml:space="preserve"> </w:t>
      </w:r>
      <w:r>
        <w:t>a</w:t>
      </w:r>
      <w:r>
        <w:rPr>
          <w:spacing w:val="-10"/>
        </w:rPr>
        <w:t xml:space="preserve"> </w:t>
      </w:r>
      <w:r>
        <w:t>complexidade</w:t>
      </w:r>
      <w:r>
        <w:rPr>
          <w:spacing w:val="-12"/>
        </w:rPr>
        <w:t xml:space="preserve"> </w:t>
      </w:r>
      <w:r>
        <w:t>do</w:t>
      </w:r>
      <w:r>
        <w:rPr>
          <w:spacing w:val="-12"/>
        </w:rPr>
        <w:t xml:space="preserve"> </w:t>
      </w:r>
      <w:r>
        <w:t>tema,</w:t>
      </w:r>
      <w:r>
        <w:rPr>
          <w:spacing w:val="-11"/>
        </w:rPr>
        <w:t xml:space="preserve"> </w:t>
      </w:r>
      <w:r>
        <w:t>conforme</w:t>
      </w:r>
      <w:r>
        <w:rPr>
          <w:spacing w:val="-12"/>
        </w:rPr>
        <w:t xml:space="preserve"> </w:t>
      </w:r>
      <w:r>
        <w:t>foi</w:t>
      </w:r>
      <w:r>
        <w:rPr>
          <w:spacing w:val="-9"/>
        </w:rPr>
        <w:t xml:space="preserve"> </w:t>
      </w:r>
      <w:r>
        <w:t>abordado</w:t>
      </w:r>
      <w:r>
        <w:rPr>
          <w:spacing w:val="-11"/>
        </w:rPr>
        <w:t xml:space="preserve"> </w:t>
      </w:r>
      <w:r>
        <w:t>no</w:t>
      </w:r>
      <w:r>
        <w:rPr>
          <w:spacing w:val="-9"/>
        </w:rPr>
        <w:t xml:space="preserve"> </w:t>
      </w:r>
      <w:r>
        <w:t>preâmbulo</w:t>
      </w:r>
      <w:r>
        <w:rPr>
          <w:spacing w:val="-11"/>
        </w:rPr>
        <w:t xml:space="preserve"> </w:t>
      </w:r>
      <w:r>
        <w:t>do texto, importante salientar a existência de diversos Projetos de Lei sobre a temática da tributação de dividendos. Tais projetos, em muitas ocasiões, divergem sobre determinados assuntos, o que por si só demonstra que a taxação de lucros dividendos é um</w:t>
      </w:r>
      <w:r>
        <w:rPr>
          <w:spacing w:val="-2"/>
        </w:rPr>
        <w:t xml:space="preserve"> </w:t>
      </w:r>
      <w:r>
        <w:t>assunto</w:t>
      </w:r>
      <w:r>
        <w:rPr>
          <w:spacing w:val="-2"/>
        </w:rPr>
        <w:t xml:space="preserve"> </w:t>
      </w:r>
      <w:r>
        <w:t>que</w:t>
      </w:r>
      <w:r>
        <w:rPr>
          <w:spacing w:val="-1"/>
        </w:rPr>
        <w:t xml:space="preserve"> </w:t>
      </w:r>
      <w:r>
        <w:t>ainda</w:t>
      </w:r>
      <w:r>
        <w:rPr>
          <w:spacing w:val="-2"/>
        </w:rPr>
        <w:t xml:space="preserve"> </w:t>
      </w:r>
      <w:r>
        <w:t>pende</w:t>
      </w:r>
      <w:r>
        <w:rPr>
          <w:spacing w:val="-3"/>
        </w:rPr>
        <w:t xml:space="preserve"> </w:t>
      </w:r>
      <w:r>
        <w:t>de</w:t>
      </w:r>
      <w:r>
        <w:rPr>
          <w:spacing w:val="-1"/>
        </w:rPr>
        <w:t xml:space="preserve"> </w:t>
      </w:r>
      <w:r>
        <w:t>amadurecimento no</w:t>
      </w:r>
      <w:r>
        <w:rPr>
          <w:spacing w:val="-2"/>
        </w:rPr>
        <w:t xml:space="preserve"> </w:t>
      </w:r>
      <w:r>
        <w:t>Brasil.</w:t>
      </w:r>
      <w:r>
        <w:rPr>
          <w:spacing w:val="-2"/>
        </w:rPr>
        <w:t xml:space="preserve"> </w:t>
      </w:r>
      <w:r>
        <w:t>De</w:t>
      </w:r>
      <w:r>
        <w:rPr>
          <w:spacing w:val="-2"/>
        </w:rPr>
        <w:t xml:space="preserve"> </w:t>
      </w:r>
      <w:r>
        <w:t>fato, não</w:t>
      </w:r>
      <w:r>
        <w:rPr>
          <w:spacing w:val="-2"/>
        </w:rPr>
        <w:t xml:space="preserve"> </w:t>
      </w:r>
      <w:r>
        <w:t>se</w:t>
      </w:r>
      <w:r>
        <w:rPr>
          <w:spacing w:val="-1"/>
        </w:rPr>
        <w:t xml:space="preserve"> </w:t>
      </w:r>
      <w:r>
        <w:t>trata</w:t>
      </w:r>
      <w:r>
        <w:rPr>
          <w:spacing w:val="-2"/>
        </w:rPr>
        <w:t xml:space="preserve"> </w:t>
      </w:r>
      <w:r>
        <w:t>somente de</w:t>
      </w:r>
      <w:r>
        <w:rPr>
          <w:spacing w:val="-1"/>
        </w:rPr>
        <w:t xml:space="preserve"> </w:t>
      </w:r>
      <w:r>
        <w:t>fim da</w:t>
      </w:r>
      <w:r>
        <w:rPr>
          <w:spacing w:val="-1"/>
        </w:rPr>
        <w:t xml:space="preserve"> </w:t>
      </w:r>
      <w:r>
        <w:t>isenção de Imposto de</w:t>
      </w:r>
      <w:r>
        <w:rPr>
          <w:spacing w:val="-1"/>
        </w:rPr>
        <w:t xml:space="preserve"> </w:t>
      </w:r>
      <w:r>
        <w:t>Renda, mas</w:t>
      </w:r>
      <w:r>
        <w:rPr>
          <w:spacing w:val="-1"/>
        </w:rPr>
        <w:t xml:space="preserve"> </w:t>
      </w:r>
      <w:r>
        <w:t>de</w:t>
      </w:r>
      <w:r>
        <w:rPr>
          <w:spacing w:val="-1"/>
        </w:rPr>
        <w:t xml:space="preserve"> </w:t>
      </w:r>
      <w:r>
        <w:t>uma</w:t>
      </w:r>
      <w:r>
        <w:rPr>
          <w:spacing w:val="-1"/>
        </w:rPr>
        <w:t xml:space="preserve"> </w:t>
      </w:r>
      <w:r>
        <w:t>sistemática</w:t>
      </w:r>
      <w:r>
        <w:rPr>
          <w:spacing w:val="-1"/>
        </w:rPr>
        <w:t xml:space="preserve"> </w:t>
      </w:r>
      <w:r>
        <w:t>existente</w:t>
      </w:r>
      <w:r>
        <w:rPr>
          <w:spacing w:val="-1"/>
        </w:rPr>
        <w:t xml:space="preserve"> </w:t>
      </w:r>
      <w:r>
        <w:t>há</w:t>
      </w:r>
      <w:r>
        <w:rPr>
          <w:spacing w:val="-1"/>
        </w:rPr>
        <w:t xml:space="preserve"> </w:t>
      </w:r>
      <w:r>
        <w:t>mais de</w:t>
      </w:r>
      <w:r>
        <w:rPr>
          <w:spacing w:val="-1"/>
        </w:rPr>
        <w:t xml:space="preserve"> </w:t>
      </w:r>
      <w:r>
        <w:t xml:space="preserve">26 </w:t>
      </w:r>
      <w:r>
        <w:rPr>
          <w:spacing w:val="-2"/>
        </w:rPr>
        <w:t>anos.</w:t>
      </w:r>
    </w:p>
    <w:p w:rsidR="007259F2" w:rsidRDefault="00E655B4">
      <w:pPr>
        <w:pStyle w:val="Corpodetexto"/>
        <w:ind w:right="986"/>
      </w:pPr>
      <w:r>
        <w:t>Dentre os projetos que estão atualmente em trâmite perante o Congresso Nacional com o intuito de fazer modificações no atual sistema tributário, podemos destacar os Projetos de Lei 1.952/2019, de autoria do Senador Eduardo Braga e o 2.015/2019,</w:t>
      </w:r>
      <w:r>
        <w:rPr>
          <w:spacing w:val="57"/>
        </w:rPr>
        <w:t xml:space="preserve"> </w:t>
      </w:r>
      <w:r>
        <w:t>do</w:t>
      </w:r>
      <w:r>
        <w:rPr>
          <w:spacing w:val="57"/>
        </w:rPr>
        <w:t xml:space="preserve"> </w:t>
      </w:r>
      <w:r>
        <w:t>Senador</w:t>
      </w:r>
      <w:r>
        <w:rPr>
          <w:spacing w:val="58"/>
        </w:rPr>
        <w:t xml:space="preserve"> </w:t>
      </w:r>
      <w:r>
        <w:t>Otto</w:t>
      </w:r>
      <w:r>
        <w:rPr>
          <w:spacing w:val="44"/>
        </w:rPr>
        <w:t xml:space="preserve"> </w:t>
      </w:r>
      <w:r>
        <w:t>Alencar.</w:t>
      </w:r>
      <w:r>
        <w:rPr>
          <w:vertAlign w:val="superscript"/>
        </w:rPr>
        <w:t>76</w:t>
      </w:r>
      <w:r>
        <w:rPr>
          <w:spacing w:val="44"/>
        </w:rPr>
        <w:t xml:space="preserve"> </w:t>
      </w:r>
      <w:r>
        <w:t>A</w:t>
      </w:r>
      <w:r>
        <w:rPr>
          <w:spacing w:val="28"/>
        </w:rPr>
        <w:t xml:space="preserve"> </w:t>
      </w:r>
      <w:r>
        <w:t>título</w:t>
      </w:r>
      <w:r>
        <w:rPr>
          <w:spacing w:val="42"/>
        </w:rPr>
        <w:t xml:space="preserve"> </w:t>
      </w:r>
      <w:r>
        <w:t>exemplificativo,</w:t>
      </w:r>
      <w:r>
        <w:rPr>
          <w:spacing w:val="45"/>
        </w:rPr>
        <w:t xml:space="preserve"> </w:t>
      </w:r>
      <w:r>
        <w:t>o</w:t>
      </w:r>
      <w:r>
        <w:rPr>
          <w:spacing w:val="43"/>
        </w:rPr>
        <w:t xml:space="preserve"> </w:t>
      </w:r>
      <w:r>
        <w:t>primeiro</w:t>
      </w:r>
      <w:r>
        <w:rPr>
          <w:spacing w:val="43"/>
        </w:rPr>
        <w:t xml:space="preserve"> </w:t>
      </w:r>
      <w:r>
        <w:rPr>
          <w:spacing w:val="-2"/>
        </w:rPr>
        <w:t>propõe</w:t>
      </w:r>
    </w:p>
    <w:p w:rsidR="007259F2" w:rsidRDefault="00DE6B1C">
      <w:pPr>
        <w:pStyle w:val="Corpodetexto"/>
        <w:spacing w:before="223"/>
        <w:ind w:left="0" w:firstLine="0"/>
        <w:jc w:val="left"/>
        <w:rPr>
          <w:sz w:val="20"/>
        </w:rPr>
      </w:pPr>
      <w:r w:rsidRPr="00DE6B1C">
        <w:rPr>
          <w:sz w:val="20"/>
        </w:rPr>
        <w:pict>
          <v:rect id="docshape91" o:spid="_x0000_s1135" style="position:absolute;margin-left:85.1pt;margin-top:23.85pt;width:2in;height:.7pt;z-index:-15690240;mso-wrap-distance-left:0;mso-wrap-distance-right:0;mso-position-horizontal-relative:page" fillcolor="black" stroked="f">
            <w10:wrap type="topAndBottom" anchorx="page"/>
          </v:rect>
        </w:pict>
      </w:r>
    </w:p>
    <w:p w:rsidR="007259F2" w:rsidRDefault="00E655B4">
      <w:pPr>
        <w:spacing w:before="96"/>
        <w:ind w:left="710"/>
        <w:rPr>
          <w:sz w:val="20"/>
        </w:rPr>
      </w:pPr>
      <w:r>
        <w:rPr>
          <w:sz w:val="20"/>
          <w:vertAlign w:val="superscript"/>
        </w:rPr>
        <w:t>75</w:t>
      </w:r>
      <w:r>
        <w:rPr>
          <w:spacing w:val="-5"/>
          <w:sz w:val="20"/>
        </w:rPr>
        <w:t xml:space="preserve"> </w:t>
      </w:r>
      <w:r>
        <w:rPr>
          <w:sz w:val="20"/>
        </w:rPr>
        <w:t>Tal</w:t>
      </w:r>
      <w:r>
        <w:rPr>
          <w:spacing w:val="-5"/>
          <w:sz w:val="20"/>
        </w:rPr>
        <w:t xml:space="preserve"> </w:t>
      </w:r>
      <w:r>
        <w:rPr>
          <w:sz w:val="20"/>
        </w:rPr>
        <w:t>fenômeno</w:t>
      </w:r>
      <w:r>
        <w:rPr>
          <w:spacing w:val="-5"/>
          <w:sz w:val="20"/>
        </w:rPr>
        <w:t xml:space="preserve"> </w:t>
      </w:r>
      <w:r>
        <w:rPr>
          <w:sz w:val="20"/>
        </w:rPr>
        <w:t>é</w:t>
      </w:r>
      <w:r>
        <w:rPr>
          <w:spacing w:val="-5"/>
          <w:sz w:val="20"/>
        </w:rPr>
        <w:t xml:space="preserve"> </w:t>
      </w:r>
      <w:r>
        <w:rPr>
          <w:sz w:val="20"/>
        </w:rPr>
        <w:t>denominado</w:t>
      </w:r>
      <w:r>
        <w:rPr>
          <w:spacing w:val="-4"/>
          <w:sz w:val="20"/>
        </w:rPr>
        <w:t xml:space="preserve"> </w:t>
      </w:r>
      <w:r>
        <w:rPr>
          <w:sz w:val="20"/>
        </w:rPr>
        <w:t>“pejotização”</w:t>
      </w:r>
      <w:r>
        <w:rPr>
          <w:spacing w:val="-5"/>
          <w:sz w:val="20"/>
        </w:rPr>
        <w:t xml:space="preserve"> </w:t>
      </w:r>
      <w:r>
        <w:rPr>
          <w:sz w:val="20"/>
        </w:rPr>
        <w:t>e</w:t>
      </w:r>
      <w:r>
        <w:rPr>
          <w:spacing w:val="-5"/>
          <w:sz w:val="20"/>
        </w:rPr>
        <w:t xml:space="preserve"> </w:t>
      </w:r>
      <w:r>
        <w:rPr>
          <w:sz w:val="20"/>
        </w:rPr>
        <w:t>será</w:t>
      </w:r>
      <w:r>
        <w:rPr>
          <w:spacing w:val="-5"/>
          <w:sz w:val="20"/>
        </w:rPr>
        <w:t xml:space="preserve"> </w:t>
      </w:r>
      <w:r>
        <w:rPr>
          <w:sz w:val="20"/>
        </w:rPr>
        <w:t>analisado</w:t>
      </w:r>
      <w:r>
        <w:rPr>
          <w:spacing w:val="-4"/>
          <w:sz w:val="20"/>
        </w:rPr>
        <w:t xml:space="preserve"> </w:t>
      </w:r>
      <w:r>
        <w:rPr>
          <w:sz w:val="20"/>
        </w:rPr>
        <w:t>adiante</w:t>
      </w:r>
      <w:r>
        <w:rPr>
          <w:spacing w:val="-4"/>
          <w:sz w:val="20"/>
        </w:rPr>
        <w:t xml:space="preserve"> </w:t>
      </w:r>
      <w:r>
        <w:rPr>
          <w:sz w:val="20"/>
        </w:rPr>
        <w:t>nesse</w:t>
      </w:r>
      <w:r>
        <w:rPr>
          <w:spacing w:val="-5"/>
          <w:sz w:val="20"/>
        </w:rPr>
        <w:t xml:space="preserve"> </w:t>
      </w:r>
      <w:r>
        <w:rPr>
          <w:spacing w:val="-2"/>
          <w:sz w:val="20"/>
        </w:rPr>
        <w:t>artigo.</w:t>
      </w:r>
    </w:p>
    <w:p w:rsidR="007259F2" w:rsidRDefault="00E655B4">
      <w:pPr>
        <w:spacing w:before="1"/>
        <w:ind w:left="710"/>
        <w:rPr>
          <w:sz w:val="20"/>
        </w:rPr>
      </w:pPr>
      <w:r>
        <w:rPr>
          <w:sz w:val="20"/>
          <w:vertAlign w:val="superscript"/>
        </w:rPr>
        <w:t>76</w:t>
      </w:r>
      <w:r>
        <w:rPr>
          <w:spacing w:val="-7"/>
          <w:sz w:val="20"/>
        </w:rPr>
        <w:t xml:space="preserve"> </w:t>
      </w:r>
      <w:r>
        <w:rPr>
          <w:sz w:val="20"/>
        </w:rPr>
        <w:t>BRASIL.</w:t>
      </w:r>
      <w:r>
        <w:rPr>
          <w:spacing w:val="-6"/>
          <w:sz w:val="20"/>
        </w:rPr>
        <w:t xml:space="preserve"> </w:t>
      </w:r>
      <w:r>
        <w:rPr>
          <w:sz w:val="20"/>
        </w:rPr>
        <w:t>Senado</w:t>
      </w:r>
      <w:r>
        <w:rPr>
          <w:spacing w:val="-5"/>
          <w:sz w:val="20"/>
        </w:rPr>
        <w:t xml:space="preserve"> </w:t>
      </w:r>
      <w:r>
        <w:rPr>
          <w:sz w:val="20"/>
        </w:rPr>
        <w:t>Federal.</w:t>
      </w:r>
      <w:r>
        <w:rPr>
          <w:spacing w:val="-3"/>
          <w:sz w:val="20"/>
        </w:rPr>
        <w:t xml:space="preserve"> </w:t>
      </w:r>
      <w:r>
        <w:rPr>
          <w:b/>
          <w:sz w:val="20"/>
        </w:rPr>
        <w:t>Pesquisa</w:t>
      </w:r>
      <w:r>
        <w:rPr>
          <w:b/>
          <w:spacing w:val="-6"/>
          <w:sz w:val="20"/>
        </w:rPr>
        <w:t xml:space="preserve"> </w:t>
      </w:r>
      <w:r>
        <w:rPr>
          <w:b/>
          <w:sz w:val="20"/>
        </w:rPr>
        <w:t>de</w:t>
      </w:r>
      <w:r>
        <w:rPr>
          <w:b/>
          <w:spacing w:val="-6"/>
          <w:sz w:val="20"/>
        </w:rPr>
        <w:t xml:space="preserve"> </w:t>
      </w:r>
      <w:r>
        <w:rPr>
          <w:b/>
          <w:sz w:val="20"/>
        </w:rPr>
        <w:t>Matérias.</w:t>
      </w:r>
      <w:r>
        <w:rPr>
          <w:b/>
          <w:spacing w:val="-4"/>
          <w:sz w:val="20"/>
        </w:rPr>
        <w:t xml:space="preserve"> </w:t>
      </w:r>
      <w:r>
        <w:rPr>
          <w:sz w:val="20"/>
        </w:rPr>
        <w:t>Brasília.</w:t>
      </w:r>
      <w:r>
        <w:rPr>
          <w:spacing w:val="-8"/>
          <w:sz w:val="20"/>
        </w:rPr>
        <w:t xml:space="preserve"> </w:t>
      </w:r>
      <w:r>
        <w:rPr>
          <w:sz w:val="20"/>
        </w:rPr>
        <w:t>Disponível</w:t>
      </w:r>
      <w:r>
        <w:rPr>
          <w:spacing w:val="-6"/>
          <w:sz w:val="20"/>
        </w:rPr>
        <w:t xml:space="preserve"> </w:t>
      </w:r>
      <w:r>
        <w:rPr>
          <w:spacing w:val="-5"/>
          <w:sz w:val="20"/>
        </w:rPr>
        <w:t>em:</w:t>
      </w:r>
    </w:p>
    <w:p w:rsidR="007259F2" w:rsidRDefault="007259F2">
      <w:pPr>
        <w:rPr>
          <w:sz w:val="20"/>
        </w:rPr>
        <w:sectPr w:rsidR="007259F2">
          <w:pgSz w:w="11910" w:h="16840"/>
          <w:pgMar w:top="1320" w:right="708" w:bottom="1160" w:left="992" w:header="0" w:footer="962" w:gutter="0"/>
          <w:cols w:space="720"/>
        </w:sectPr>
      </w:pPr>
    </w:p>
    <w:p w:rsidR="007259F2" w:rsidRDefault="00E655B4">
      <w:pPr>
        <w:pStyle w:val="Corpodetexto"/>
        <w:spacing w:before="69"/>
        <w:ind w:right="989" w:firstLine="0"/>
      </w:pPr>
      <w:r>
        <w:lastRenderedPageBreak/>
        <w:t>instituir imposto sobre lucros e dividendos inclusive dos adeptos ao Simples Nacional, bem</w:t>
      </w:r>
      <w:r>
        <w:rPr>
          <w:spacing w:val="-7"/>
        </w:rPr>
        <w:t xml:space="preserve"> </w:t>
      </w:r>
      <w:r>
        <w:t>como</w:t>
      </w:r>
      <w:r>
        <w:rPr>
          <w:spacing w:val="-7"/>
        </w:rPr>
        <w:t xml:space="preserve"> </w:t>
      </w:r>
      <w:r>
        <w:t>reduzir</w:t>
      </w:r>
      <w:r>
        <w:rPr>
          <w:spacing w:val="-10"/>
        </w:rPr>
        <w:t xml:space="preserve"> </w:t>
      </w:r>
      <w:r>
        <w:t>a</w:t>
      </w:r>
      <w:r>
        <w:rPr>
          <w:spacing w:val="-8"/>
        </w:rPr>
        <w:t xml:space="preserve"> </w:t>
      </w:r>
      <w:r>
        <w:t>atual</w:t>
      </w:r>
      <w:r>
        <w:rPr>
          <w:spacing w:val="-4"/>
        </w:rPr>
        <w:t xml:space="preserve"> </w:t>
      </w:r>
      <w:r>
        <w:t>alíquota</w:t>
      </w:r>
      <w:r>
        <w:rPr>
          <w:spacing w:val="-7"/>
        </w:rPr>
        <w:t xml:space="preserve"> </w:t>
      </w:r>
      <w:r>
        <w:t>do</w:t>
      </w:r>
      <w:r>
        <w:rPr>
          <w:spacing w:val="-5"/>
        </w:rPr>
        <w:t xml:space="preserve"> </w:t>
      </w:r>
      <w:r>
        <w:t>IR,</w:t>
      </w:r>
      <w:r>
        <w:rPr>
          <w:spacing w:val="-5"/>
        </w:rPr>
        <w:t xml:space="preserve"> </w:t>
      </w:r>
      <w:r>
        <w:t>enquanto</w:t>
      </w:r>
      <w:r>
        <w:rPr>
          <w:spacing w:val="-6"/>
        </w:rPr>
        <w:t xml:space="preserve"> </w:t>
      </w:r>
      <w:r>
        <w:t>o</w:t>
      </w:r>
      <w:r>
        <w:rPr>
          <w:spacing w:val="-10"/>
        </w:rPr>
        <w:t xml:space="preserve"> </w:t>
      </w:r>
      <w:r>
        <w:t>segundo cria alíquota de 15% sobre lucros e dividendos.</w:t>
      </w:r>
    </w:p>
    <w:p w:rsidR="007259F2" w:rsidRDefault="00E655B4">
      <w:pPr>
        <w:pStyle w:val="Corpodetexto"/>
        <w:spacing w:before="1"/>
        <w:ind w:right="991"/>
      </w:pPr>
      <w:r>
        <w:t>Por essa análise, podemos reforçar o entendimento de que o tema da taxação de lucros e dividendos</w:t>
      </w:r>
      <w:r>
        <w:rPr>
          <w:spacing w:val="-6"/>
        </w:rPr>
        <w:t xml:space="preserve"> </w:t>
      </w:r>
      <w:r>
        <w:t>não</w:t>
      </w:r>
      <w:r>
        <w:rPr>
          <w:spacing w:val="-6"/>
        </w:rPr>
        <w:t xml:space="preserve"> </w:t>
      </w:r>
      <w:r>
        <w:t>é</w:t>
      </w:r>
      <w:r>
        <w:rPr>
          <w:spacing w:val="-6"/>
        </w:rPr>
        <w:t xml:space="preserve"> </w:t>
      </w:r>
      <w:r>
        <w:t>pacífico</w:t>
      </w:r>
      <w:r>
        <w:rPr>
          <w:spacing w:val="-5"/>
        </w:rPr>
        <w:t xml:space="preserve"> </w:t>
      </w:r>
      <w:r>
        <w:t>e</w:t>
      </w:r>
      <w:r>
        <w:rPr>
          <w:spacing w:val="-8"/>
        </w:rPr>
        <w:t xml:space="preserve"> </w:t>
      </w:r>
      <w:r>
        <w:t>prescinde</w:t>
      </w:r>
      <w:r>
        <w:rPr>
          <w:spacing w:val="-5"/>
        </w:rPr>
        <w:t xml:space="preserve"> </w:t>
      </w:r>
      <w:r>
        <w:t>de</w:t>
      </w:r>
      <w:r>
        <w:rPr>
          <w:spacing w:val="-8"/>
        </w:rPr>
        <w:t xml:space="preserve"> </w:t>
      </w:r>
      <w:r>
        <w:t>uma</w:t>
      </w:r>
      <w:r>
        <w:rPr>
          <w:spacing w:val="-7"/>
        </w:rPr>
        <w:t xml:space="preserve"> </w:t>
      </w:r>
      <w:r>
        <w:t>minuciosa</w:t>
      </w:r>
      <w:r>
        <w:rPr>
          <w:spacing w:val="-7"/>
        </w:rPr>
        <w:t xml:space="preserve"> </w:t>
      </w:r>
      <w:r>
        <w:t>análise</w:t>
      </w:r>
      <w:r>
        <w:rPr>
          <w:spacing w:val="-7"/>
        </w:rPr>
        <w:t xml:space="preserve"> </w:t>
      </w:r>
      <w:r>
        <w:t>para</w:t>
      </w:r>
      <w:r>
        <w:rPr>
          <w:spacing w:val="-7"/>
        </w:rPr>
        <w:t xml:space="preserve"> </w:t>
      </w:r>
      <w:r>
        <w:t>se</w:t>
      </w:r>
      <w:r>
        <w:rPr>
          <w:spacing w:val="-8"/>
        </w:rPr>
        <w:t xml:space="preserve"> </w:t>
      </w:r>
      <w:r>
        <w:t>chegar</w:t>
      </w:r>
      <w:r>
        <w:rPr>
          <w:spacing w:val="-5"/>
        </w:rPr>
        <w:t xml:space="preserve"> </w:t>
      </w:r>
      <w:r>
        <w:t>a uma solução que seja favorável para a sociedade e não acabe por gerar grandes</w:t>
      </w:r>
      <w:r>
        <w:rPr>
          <w:spacing w:val="40"/>
        </w:rPr>
        <w:t xml:space="preserve"> </w:t>
      </w:r>
      <w:r>
        <w:t>prejuízos para nenhuma classe.</w:t>
      </w:r>
    </w:p>
    <w:p w:rsidR="007259F2" w:rsidRDefault="00E655B4">
      <w:pPr>
        <w:pStyle w:val="Heading2"/>
        <w:numPr>
          <w:ilvl w:val="0"/>
          <w:numId w:val="35"/>
        </w:numPr>
        <w:tabs>
          <w:tab w:val="left" w:pos="890"/>
        </w:tabs>
        <w:spacing w:before="206" w:line="278" w:lineRule="auto"/>
        <w:ind w:left="710" w:right="1125" w:firstLine="0"/>
      </w:pPr>
      <w:r>
        <w:t>Análise</w:t>
      </w:r>
      <w:r>
        <w:rPr>
          <w:spacing w:val="-4"/>
        </w:rPr>
        <w:t xml:space="preserve"> </w:t>
      </w:r>
      <w:r>
        <w:t>dos</w:t>
      </w:r>
      <w:r>
        <w:rPr>
          <w:spacing w:val="-4"/>
        </w:rPr>
        <w:t xml:space="preserve"> </w:t>
      </w:r>
      <w:r>
        <w:t>desdobramentos</w:t>
      </w:r>
      <w:r>
        <w:rPr>
          <w:spacing w:val="-4"/>
        </w:rPr>
        <w:t xml:space="preserve"> </w:t>
      </w:r>
      <w:r>
        <w:t>relacionados</w:t>
      </w:r>
      <w:r>
        <w:rPr>
          <w:spacing w:val="-15"/>
        </w:rPr>
        <w:t xml:space="preserve"> </w:t>
      </w:r>
      <w:r>
        <w:t>à</w:t>
      </w:r>
      <w:r>
        <w:rPr>
          <w:spacing w:val="-4"/>
        </w:rPr>
        <w:t xml:space="preserve"> </w:t>
      </w:r>
      <w:r>
        <w:t>tributação</w:t>
      </w:r>
      <w:r>
        <w:rPr>
          <w:spacing w:val="-4"/>
        </w:rPr>
        <w:t xml:space="preserve"> </w:t>
      </w:r>
      <w:r>
        <w:t>de</w:t>
      </w:r>
      <w:r>
        <w:rPr>
          <w:spacing w:val="-5"/>
        </w:rPr>
        <w:t xml:space="preserve"> </w:t>
      </w:r>
      <w:r>
        <w:t>lucros</w:t>
      </w:r>
      <w:r>
        <w:rPr>
          <w:spacing w:val="-4"/>
        </w:rPr>
        <w:t xml:space="preserve"> </w:t>
      </w:r>
      <w:r>
        <w:t>e</w:t>
      </w:r>
      <w:r>
        <w:rPr>
          <w:spacing w:val="-4"/>
        </w:rPr>
        <w:t xml:space="preserve"> </w:t>
      </w:r>
      <w:r>
        <w:t>dividendos</w:t>
      </w:r>
      <w:r>
        <w:rPr>
          <w:spacing w:val="-4"/>
        </w:rPr>
        <w:t xml:space="preserve"> </w:t>
      </w:r>
      <w:r>
        <w:t xml:space="preserve">no </w:t>
      </w:r>
      <w:r>
        <w:rPr>
          <w:spacing w:val="-2"/>
        </w:rPr>
        <w:t>Brasil</w:t>
      </w:r>
    </w:p>
    <w:p w:rsidR="007259F2" w:rsidRDefault="00E655B4">
      <w:pPr>
        <w:pStyle w:val="Corpodetexto"/>
        <w:spacing w:before="190"/>
        <w:ind w:right="990"/>
      </w:pPr>
      <w:r>
        <w:t>Tendo em vista que o debate a que se</w:t>
      </w:r>
      <w:r>
        <w:rPr>
          <w:spacing w:val="-1"/>
        </w:rPr>
        <w:t xml:space="preserve"> </w:t>
      </w:r>
      <w:r>
        <w:t>propôs esse trabalho não é simples,</w:t>
      </w:r>
      <w:r>
        <w:rPr>
          <w:spacing w:val="-1"/>
        </w:rPr>
        <w:t xml:space="preserve"> </w:t>
      </w:r>
      <w:r>
        <w:t>mister elencar alguns de seus possíveis desdobramentos caso a taxação de lucros e dividendos venha a ser estabelecida no Brasil. Vejamos:</w:t>
      </w:r>
    </w:p>
    <w:p w:rsidR="007259F2" w:rsidRDefault="00E655B4">
      <w:pPr>
        <w:pStyle w:val="Heading2"/>
        <w:numPr>
          <w:ilvl w:val="1"/>
          <w:numId w:val="35"/>
        </w:numPr>
        <w:tabs>
          <w:tab w:val="left" w:pos="1069"/>
        </w:tabs>
        <w:spacing w:before="205"/>
        <w:ind w:left="1069" w:hanging="359"/>
      </w:pPr>
      <w:r>
        <w:t>O</w:t>
      </w:r>
      <w:r>
        <w:rPr>
          <w:spacing w:val="-8"/>
        </w:rPr>
        <w:t xml:space="preserve"> </w:t>
      </w:r>
      <w:r>
        <w:t>tratamento</w:t>
      </w:r>
      <w:r>
        <w:rPr>
          <w:spacing w:val="-7"/>
        </w:rPr>
        <w:t xml:space="preserve"> </w:t>
      </w:r>
      <w:r>
        <w:t>distinto</w:t>
      </w:r>
      <w:r>
        <w:rPr>
          <w:spacing w:val="-6"/>
        </w:rPr>
        <w:t xml:space="preserve"> </w:t>
      </w:r>
      <w:r>
        <w:t>concedido pela</w:t>
      </w:r>
      <w:r>
        <w:rPr>
          <w:spacing w:val="-7"/>
        </w:rPr>
        <w:t xml:space="preserve"> </w:t>
      </w:r>
      <w:r>
        <w:t>isenção</w:t>
      </w:r>
      <w:r>
        <w:rPr>
          <w:spacing w:val="-6"/>
        </w:rPr>
        <w:t xml:space="preserve"> </w:t>
      </w:r>
      <w:r>
        <w:t>prevista</w:t>
      </w:r>
      <w:r>
        <w:rPr>
          <w:spacing w:val="-3"/>
        </w:rPr>
        <w:t xml:space="preserve"> </w:t>
      </w:r>
      <w:r>
        <w:t>na</w:t>
      </w:r>
      <w:r>
        <w:rPr>
          <w:spacing w:val="-4"/>
        </w:rPr>
        <w:t xml:space="preserve"> </w:t>
      </w:r>
      <w:r>
        <w:t>Lei</w:t>
      </w:r>
      <w:r>
        <w:rPr>
          <w:spacing w:val="-3"/>
        </w:rPr>
        <w:t xml:space="preserve"> </w:t>
      </w:r>
      <w:r>
        <w:t>nº</w:t>
      </w:r>
      <w:r>
        <w:rPr>
          <w:spacing w:val="-8"/>
        </w:rPr>
        <w:t xml:space="preserve"> </w:t>
      </w:r>
      <w:r>
        <w:rPr>
          <w:spacing w:val="-2"/>
        </w:rPr>
        <w:t>9.249/1995</w:t>
      </w:r>
    </w:p>
    <w:p w:rsidR="007259F2" w:rsidRDefault="00E655B4">
      <w:pPr>
        <w:pStyle w:val="Corpodetexto"/>
        <w:spacing w:before="156"/>
        <w:ind w:right="990"/>
      </w:pPr>
      <w:r>
        <w:t>Como</w:t>
      </w:r>
      <w:r>
        <w:rPr>
          <w:spacing w:val="-1"/>
        </w:rPr>
        <w:t xml:space="preserve"> </w:t>
      </w:r>
      <w:r>
        <w:t>verificado</w:t>
      </w:r>
      <w:r>
        <w:rPr>
          <w:spacing w:val="-1"/>
        </w:rPr>
        <w:t xml:space="preserve"> </w:t>
      </w:r>
      <w:r>
        <w:t>anteriormente</w:t>
      </w:r>
      <w:r>
        <w:rPr>
          <w:spacing w:val="-2"/>
        </w:rPr>
        <w:t xml:space="preserve"> </w:t>
      </w:r>
      <w:r>
        <w:t>no</w:t>
      </w:r>
      <w:r>
        <w:rPr>
          <w:spacing w:val="-1"/>
        </w:rPr>
        <w:t xml:space="preserve"> </w:t>
      </w:r>
      <w:r>
        <w:t>trabalho,</w:t>
      </w:r>
      <w:r>
        <w:rPr>
          <w:spacing w:val="-1"/>
        </w:rPr>
        <w:t xml:space="preserve"> </w:t>
      </w:r>
      <w:r>
        <w:t>ao</w:t>
      </w:r>
      <w:r>
        <w:rPr>
          <w:spacing w:val="-1"/>
        </w:rPr>
        <w:t xml:space="preserve"> </w:t>
      </w:r>
      <w:r>
        <w:t>isentar</w:t>
      </w:r>
      <w:r>
        <w:rPr>
          <w:spacing w:val="-3"/>
        </w:rPr>
        <w:t xml:space="preserve"> </w:t>
      </w:r>
      <w:r>
        <w:t>a</w:t>
      </w:r>
      <w:r>
        <w:rPr>
          <w:spacing w:val="-2"/>
        </w:rPr>
        <w:t xml:space="preserve"> </w:t>
      </w:r>
      <w:r>
        <w:t>distribuição</w:t>
      </w:r>
      <w:r>
        <w:rPr>
          <w:spacing w:val="-1"/>
        </w:rPr>
        <w:t xml:space="preserve"> </w:t>
      </w:r>
      <w:r>
        <w:t>dos</w:t>
      </w:r>
      <w:r>
        <w:rPr>
          <w:spacing w:val="-1"/>
        </w:rPr>
        <w:t xml:space="preserve"> </w:t>
      </w:r>
      <w:r>
        <w:t>lucros</w:t>
      </w:r>
      <w:r>
        <w:rPr>
          <w:spacing w:val="-1"/>
        </w:rPr>
        <w:t xml:space="preserve"> </w:t>
      </w:r>
      <w:r>
        <w:t>e dividendos, sob o ponto de vista jurídico, o legislador ordinário diferenciou de forma defesa e desproporcional os contribuintes do Imposto de Renda, ferindo princípio constitucional basilar do Direito Tributário, que é o Princípio da Isonomia.</w:t>
      </w:r>
    </w:p>
    <w:p w:rsidR="007259F2" w:rsidRDefault="00E655B4">
      <w:pPr>
        <w:pStyle w:val="Corpodetexto"/>
        <w:ind w:right="991"/>
      </w:pPr>
      <w:r>
        <w:t>O Princípio da Isonomia é apresentado na Constituição Federal, em seu art. 150 da CF/88:</w:t>
      </w:r>
    </w:p>
    <w:p w:rsidR="007259F2" w:rsidRDefault="00E655B4">
      <w:pPr>
        <w:spacing w:before="2"/>
        <w:ind w:left="2978" w:right="998"/>
        <w:jc w:val="both"/>
        <w:rPr>
          <w:sz w:val="20"/>
        </w:rPr>
      </w:pPr>
      <w:r>
        <w:rPr>
          <w:sz w:val="20"/>
        </w:rPr>
        <w:t>Art. 150. Sem prejuízo de outras garantias asseguradas ao contribuinte, é vedado à União, aos Estados, ao Distrito Federal e aos Municípios:</w:t>
      </w:r>
    </w:p>
    <w:p w:rsidR="007259F2" w:rsidRDefault="00E655B4">
      <w:pPr>
        <w:pStyle w:val="PargrafodaLista"/>
        <w:numPr>
          <w:ilvl w:val="0"/>
          <w:numId w:val="32"/>
        </w:numPr>
        <w:tabs>
          <w:tab w:val="left" w:pos="3697"/>
        </w:tabs>
        <w:spacing w:line="229" w:lineRule="exact"/>
        <w:ind w:left="3697" w:hanging="476"/>
        <w:jc w:val="both"/>
        <w:rPr>
          <w:sz w:val="20"/>
        </w:rPr>
      </w:pPr>
      <w:r>
        <w:rPr>
          <w:sz w:val="20"/>
        </w:rPr>
        <w:t>-</w:t>
      </w:r>
      <w:r>
        <w:rPr>
          <w:spacing w:val="-10"/>
          <w:sz w:val="20"/>
        </w:rPr>
        <w:t xml:space="preserve"> </w:t>
      </w:r>
      <w:r>
        <w:rPr>
          <w:sz w:val="20"/>
        </w:rPr>
        <w:t>exigir</w:t>
      </w:r>
      <w:r>
        <w:rPr>
          <w:spacing w:val="-9"/>
          <w:sz w:val="20"/>
        </w:rPr>
        <w:t xml:space="preserve"> </w:t>
      </w:r>
      <w:r>
        <w:rPr>
          <w:sz w:val="20"/>
        </w:rPr>
        <w:t>ou</w:t>
      </w:r>
      <w:r>
        <w:rPr>
          <w:spacing w:val="-11"/>
          <w:sz w:val="20"/>
        </w:rPr>
        <w:t xml:space="preserve"> </w:t>
      </w:r>
      <w:r>
        <w:rPr>
          <w:sz w:val="20"/>
        </w:rPr>
        <w:t>aumentar</w:t>
      </w:r>
      <w:r>
        <w:rPr>
          <w:spacing w:val="-7"/>
          <w:sz w:val="20"/>
        </w:rPr>
        <w:t xml:space="preserve"> </w:t>
      </w:r>
      <w:r>
        <w:rPr>
          <w:sz w:val="20"/>
        </w:rPr>
        <w:t>tributo</w:t>
      </w:r>
      <w:r>
        <w:rPr>
          <w:spacing w:val="-6"/>
          <w:sz w:val="20"/>
        </w:rPr>
        <w:t xml:space="preserve"> </w:t>
      </w:r>
      <w:r>
        <w:rPr>
          <w:sz w:val="20"/>
        </w:rPr>
        <w:t>sem</w:t>
      </w:r>
      <w:r>
        <w:rPr>
          <w:spacing w:val="-10"/>
          <w:sz w:val="20"/>
        </w:rPr>
        <w:t xml:space="preserve"> </w:t>
      </w:r>
      <w:r>
        <w:rPr>
          <w:sz w:val="20"/>
        </w:rPr>
        <w:t>lei</w:t>
      </w:r>
      <w:r>
        <w:rPr>
          <w:spacing w:val="-8"/>
          <w:sz w:val="20"/>
        </w:rPr>
        <w:t xml:space="preserve"> </w:t>
      </w:r>
      <w:r>
        <w:rPr>
          <w:sz w:val="20"/>
        </w:rPr>
        <w:t>que</w:t>
      </w:r>
      <w:r>
        <w:rPr>
          <w:spacing w:val="-7"/>
          <w:sz w:val="20"/>
        </w:rPr>
        <w:t xml:space="preserve"> </w:t>
      </w:r>
      <w:r>
        <w:rPr>
          <w:sz w:val="20"/>
        </w:rPr>
        <w:t>o</w:t>
      </w:r>
      <w:r>
        <w:rPr>
          <w:spacing w:val="-10"/>
          <w:sz w:val="20"/>
        </w:rPr>
        <w:t xml:space="preserve"> </w:t>
      </w:r>
      <w:r>
        <w:rPr>
          <w:spacing w:val="-2"/>
          <w:sz w:val="20"/>
        </w:rPr>
        <w:t>estabeleça;</w:t>
      </w:r>
    </w:p>
    <w:p w:rsidR="007259F2" w:rsidRDefault="00E655B4">
      <w:pPr>
        <w:pStyle w:val="PargrafodaLista"/>
        <w:numPr>
          <w:ilvl w:val="0"/>
          <w:numId w:val="32"/>
        </w:numPr>
        <w:tabs>
          <w:tab w:val="left" w:pos="3696"/>
          <w:tab w:val="left" w:pos="3698"/>
        </w:tabs>
        <w:ind w:right="988" w:hanging="562"/>
        <w:jc w:val="both"/>
      </w:pPr>
      <w:r>
        <w:rPr>
          <w:sz w:val="20"/>
        </w:rPr>
        <w:t>- instituir tratamento desigual entre contribuintes que se encontrem em situação equivalente, proibida qualquer distinção em razão de ocupação profissional ou função por eles exercida, independentemente da denominação jurídica dos rendimentos,</w:t>
      </w:r>
      <w:r>
        <w:rPr>
          <w:spacing w:val="40"/>
          <w:sz w:val="20"/>
        </w:rPr>
        <w:t xml:space="preserve"> </w:t>
      </w:r>
      <w:r>
        <w:rPr>
          <w:sz w:val="20"/>
        </w:rPr>
        <w:t>títulos ou direitos;</w:t>
      </w:r>
    </w:p>
    <w:p w:rsidR="007259F2" w:rsidRDefault="007259F2">
      <w:pPr>
        <w:pStyle w:val="Corpodetexto"/>
        <w:spacing w:before="18"/>
        <w:ind w:left="0" w:firstLine="0"/>
        <w:jc w:val="left"/>
        <w:rPr>
          <w:sz w:val="20"/>
        </w:rPr>
      </w:pPr>
    </w:p>
    <w:p w:rsidR="007259F2" w:rsidRDefault="00E655B4">
      <w:pPr>
        <w:pStyle w:val="Corpodetexto"/>
        <w:ind w:right="991"/>
      </w:pPr>
      <w:r>
        <w:t>Analisando o benefício inserido</w:t>
      </w:r>
      <w:r>
        <w:rPr>
          <w:spacing w:val="-1"/>
        </w:rPr>
        <w:t xml:space="preserve"> </w:t>
      </w:r>
      <w:r>
        <w:t>pela Lei 9.249/95, podemos facilmente</w:t>
      </w:r>
      <w:r>
        <w:rPr>
          <w:spacing w:val="-2"/>
        </w:rPr>
        <w:t xml:space="preserve"> </w:t>
      </w:r>
      <w:r>
        <w:t>perceber que o legislador deixou de observar aspecto fundamental para a conceituação de contribuinte: a de que um, é a pessoa física, e o outro, é a pessoa jurídica, ou seja, as duas pessoas não se confundem, embora estejam ligadas por força de contrato firmado entre elas.</w:t>
      </w:r>
    </w:p>
    <w:p w:rsidR="007259F2" w:rsidRDefault="00E655B4">
      <w:pPr>
        <w:pStyle w:val="Corpodetexto"/>
        <w:ind w:right="991"/>
      </w:pPr>
      <w:r>
        <w:t>Quando ocorreu a isenção do lucro, o contribuinte pessoa física, sócio ou acionista, foi colocado em patamar diferente pela sua ocupação exercida, seja de empresário, capitalista investidor etc., privilegiando-o com menor carga tributária. Essa situação</w:t>
      </w:r>
      <w:r>
        <w:rPr>
          <w:spacing w:val="-3"/>
        </w:rPr>
        <w:t xml:space="preserve"> </w:t>
      </w:r>
      <w:r>
        <w:t>desencadeou</w:t>
      </w:r>
      <w:r>
        <w:rPr>
          <w:spacing w:val="-3"/>
        </w:rPr>
        <w:t xml:space="preserve"> </w:t>
      </w:r>
      <w:r>
        <w:t>uma</w:t>
      </w:r>
      <w:r>
        <w:rPr>
          <w:spacing w:val="-3"/>
        </w:rPr>
        <w:t xml:space="preserve"> </w:t>
      </w:r>
      <w:r>
        <w:t>enorme</w:t>
      </w:r>
      <w:r>
        <w:rPr>
          <w:spacing w:val="-13"/>
        </w:rPr>
        <w:t xml:space="preserve"> </w:t>
      </w:r>
      <w:r>
        <w:t>divergência</w:t>
      </w:r>
      <w:r>
        <w:rPr>
          <w:spacing w:val="-7"/>
        </w:rPr>
        <w:t xml:space="preserve"> </w:t>
      </w:r>
      <w:r>
        <w:t>entre</w:t>
      </w:r>
      <w:r>
        <w:rPr>
          <w:spacing w:val="-10"/>
        </w:rPr>
        <w:t xml:space="preserve"> </w:t>
      </w:r>
      <w:r>
        <w:t>o</w:t>
      </w:r>
      <w:r>
        <w:rPr>
          <w:spacing w:val="-9"/>
        </w:rPr>
        <w:t xml:space="preserve"> </w:t>
      </w:r>
      <w:r>
        <w:t>que</w:t>
      </w:r>
      <w:r>
        <w:rPr>
          <w:spacing w:val="-10"/>
        </w:rPr>
        <w:t xml:space="preserve"> </w:t>
      </w:r>
      <w:r>
        <w:t>preconiza</w:t>
      </w:r>
      <w:r>
        <w:rPr>
          <w:spacing w:val="-10"/>
        </w:rPr>
        <w:t xml:space="preserve"> </w:t>
      </w:r>
      <w:r>
        <w:t>a</w:t>
      </w:r>
      <w:r>
        <w:rPr>
          <w:spacing w:val="-10"/>
        </w:rPr>
        <w:t xml:space="preserve"> </w:t>
      </w:r>
      <w:r>
        <w:t>CF/88</w:t>
      </w:r>
      <w:r>
        <w:rPr>
          <w:spacing w:val="-6"/>
        </w:rPr>
        <w:t xml:space="preserve"> </w:t>
      </w:r>
      <w:r>
        <w:t>em</w:t>
      </w:r>
      <w:r>
        <w:rPr>
          <w:spacing w:val="-9"/>
        </w:rPr>
        <w:t xml:space="preserve"> </w:t>
      </w:r>
      <w:r>
        <w:t>relação ao Princípio da Isonomia e o que ficou definido pela norma.</w:t>
      </w:r>
    </w:p>
    <w:p w:rsidR="007259F2" w:rsidRDefault="00E655B4">
      <w:pPr>
        <w:pStyle w:val="Corpodetexto"/>
        <w:spacing w:before="1"/>
        <w:ind w:right="987"/>
      </w:pPr>
      <w:r>
        <w:t>É hialino, nessa situação, o tratamento desproporcional do contribuinte sócio ou acionista, em relação ao contribuinte assalariado, ou seja, com a isenção, o aumento patrimonial provocado pela distribuição dos lucros não será tributado no caso do primeiro, enquanto o segundo deverá</w:t>
      </w:r>
      <w:r>
        <w:rPr>
          <w:spacing w:val="-1"/>
        </w:rPr>
        <w:t xml:space="preserve"> </w:t>
      </w:r>
      <w:r>
        <w:t xml:space="preserve">recolher imposto sobre o aumento patrimonial que </w:t>
      </w:r>
      <w:r>
        <w:rPr>
          <w:spacing w:val="-2"/>
        </w:rPr>
        <w:t>observar.</w:t>
      </w:r>
    </w:p>
    <w:p w:rsidR="007259F2" w:rsidRDefault="00E655B4">
      <w:pPr>
        <w:pStyle w:val="Corpodetexto"/>
        <w:ind w:right="989"/>
      </w:pPr>
      <w:r>
        <w:t>Seguindo com a análise do dispositivo constitucional, imperioso destacar outro princípio</w:t>
      </w:r>
      <w:r>
        <w:rPr>
          <w:spacing w:val="26"/>
        </w:rPr>
        <w:t xml:space="preserve"> </w:t>
      </w:r>
      <w:r>
        <w:t>decorrente</w:t>
      </w:r>
      <w:r>
        <w:rPr>
          <w:spacing w:val="28"/>
        </w:rPr>
        <w:t xml:space="preserve"> </w:t>
      </w:r>
      <w:r>
        <w:t>da</w:t>
      </w:r>
      <w:r>
        <w:rPr>
          <w:spacing w:val="30"/>
        </w:rPr>
        <w:t xml:space="preserve"> </w:t>
      </w:r>
      <w:r>
        <w:t>isonomia:</w:t>
      </w:r>
      <w:r>
        <w:rPr>
          <w:spacing w:val="33"/>
        </w:rPr>
        <w:t xml:space="preserve"> </w:t>
      </w:r>
      <w:r>
        <w:t>o</w:t>
      </w:r>
      <w:r>
        <w:rPr>
          <w:spacing w:val="28"/>
        </w:rPr>
        <w:t xml:space="preserve"> </w:t>
      </w:r>
      <w:r>
        <w:t>princípio</w:t>
      </w:r>
      <w:r>
        <w:rPr>
          <w:spacing w:val="29"/>
        </w:rPr>
        <w:t xml:space="preserve"> </w:t>
      </w:r>
      <w:r>
        <w:t>da</w:t>
      </w:r>
      <w:r>
        <w:rPr>
          <w:spacing w:val="27"/>
        </w:rPr>
        <w:t xml:space="preserve"> </w:t>
      </w:r>
      <w:r>
        <w:rPr>
          <w:i/>
        </w:rPr>
        <w:t>pecunia</w:t>
      </w:r>
      <w:r>
        <w:rPr>
          <w:i/>
          <w:spacing w:val="29"/>
        </w:rPr>
        <w:t xml:space="preserve"> </w:t>
      </w:r>
      <w:r>
        <w:rPr>
          <w:i/>
        </w:rPr>
        <w:t>non</w:t>
      </w:r>
      <w:r>
        <w:rPr>
          <w:i/>
          <w:spacing w:val="31"/>
        </w:rPr>
        <w:t xml:space="preserve"> </w:t>
      </w:r>
      <w:r>
        <w:rPr>
          <w:i/>
        </w:rPr>
        <w:t>olet</w:t>
      </w:r>
      <w:r>
        <w:t>,</w:t>
      </w:r>
      <w:r>
        <w:rPr>
          <w:spacing w:val="27"/>
        </w:rPr>
        <w:t xml:space="preserve"> </w:t>
      </w:r>
      <w:r>
        <w:t>do</w:t>
      </w:r>
      <w:r>
        <w:rPr>
          <w:spacing w:val="31"/>
        </w:rPr>
        <w:t xml:space="preserve"> </w:t>
      </w:r>
      <w:r>
        <w:t>latim,</w:t>
      </w:r>
      <w:r>
        <w:rPr>
          <w:spacing w:val="30"/>
        </w:rPr>
        <w:t xml:space="preserve"> </w:t>
      </w:r>
      <w:r>
        <w:rPr>
          <w:spacing w:val="-2"/>
        </w:rPr>
        <w:t>significa</w:t>
      </w:r>
    </w:p>
    <w:p w:rsidR="007259F2" w:rsidRDefault="00DE6B1C">
      <w:pPr>
        <w:pStyle w:val="Corpodetexto"/>
        <w:spacing w:before="45"/>
        <w:ind w:left="0" w:firstLine="0"/>
        <w:jc w:val="left"/>
        <w:rPr>
          <w:sz w:val="20"/>
        </w:rPr>
      </w:pPr>
      <w:r w:rsidRPr="00DE6B1C">
        <w:rPr>
          <w:sz w:val="20"/>
        </w:rPr>
        <w:pict>
          <v:rect id="docshape92" o:spid="_x0000_s1134" style="position:absolute;margin-left:85.1pt;margin-top:14.95pt;width:425.25pt;height:.7pt;z-index:-15689728;mso-wrap-distance-left:0;mso-wrap-distance-right:0;mso-position-horizontal-relative:page" fillcolor="black" stroked="f">
            <w10:wrap type="topAndBottom" anchorx="page"/>
          </v:rect>
        </w:pict>
      </w:r>
    </w:p>
    <w:p w:rsidR="007259F2" w:rsidRDefault="00E655B4">
      <w:pPr>
        <w:spacing w:before="97"/>
        <w:ind w:left="710" w:right="1080"/>
        <w:rPr>
          <w:sz w:val="20"/>
        </w:rPr>
      </w:pPr>
      <w:r>
        <w:rPr>
          <w:spacing w:val="-2"/>
          <w:sz w:val="20"/>
        </w:rPr>
        <w:t xml:space="preserve">https://www25.senado.leg.br/web/atividade/materias//materia/136117%3E%20%3Chttps://www25.senad </w:t>
      </w:r>
      <w:r>
        <w:rPr>
          <w:sz w:val="20"/>
        </w:rPr>
        <w:t>o.leg.br/web/atividade/materias/-/materia/136156. Acesso em: 2 mai. 2022.</w:t>
      </w:r>
    </w:p>
    <w:p w:rsidR="007259F2" w:rsidRDefault="007259F2">
      <w:pPr>
        <w:rPr>
          <w:sz w:val="20"/>
        </w:rPr>
        <w:sectPr w:rsidR="007259F2">
          <w:pgSz w:w="11910" w:h="16840"/>
          <w:pgMar w:top="1320" w:right="708" w:bottom="1160" w:left="992" w:header="0" w:footer="962" w:gutter="0"/>
          <w:cols w:space="720"/>
        </w:sectPr>
      </w:pPr>
    </w:p>
    <w:p w:rsidR="007259F2" w:rsidRDefault="00E655B4">
      <w:pPr>
        <w:pStyle w:val="Corpodetexto"/>
        <w:spacing w:before="69"/>
        <w:ind w:right="988" w:firstLine="0"/>
      </w:pPr>
      <w:r>
        <w:lastRenderedPageBreak/>
        <w:t>dizer, em outras palavras que o tributo não tem cheiro. A partir dessa ideia, pode-se concluir que não importa a origem ou nomenclatura, o tributo deverá ser aplicado de maneira uniforme a todos os contribuintes que se encontrem em uma mesma situação. Significa</w:t>
      </w:r>
      <w:r>
        <w:rPr>
          <w:spacing w:val="-1"/>
        </w:rPr>
        <w:t xml:space="preserve"> </w:t>
      </w:r>
      <w:r>
        <w:t>dizer</w:t>
      </w:r>
      <w:r>
        <w:rPr>
          <w:spacing w:val="-1"/>
        </w:rPr>
        <w:t xml:space="preserve"> </w:t>
      </w:r>
      <w:r>
        <w:t>que</w:t>
      </w:r>
      <w:r>
        <w:rPr>
          <w:spacing w:val="-1"/>
        </w:rPr>
        <w:t xml:space="preserve"> </w:t>
      </w:r>
      <w:r>
        <w:t>os lucros e</w:t>
      </w:r>
      <w:r>
        <w:rPr>
          <w:spacing w:val="-1"/>
        </w:rPr>
        <w:t xml:space="preserve"> </w:t>
      </w:r>
      <w:r>
        <w:t>dividendos</w:t>
      </w:r>
      <w:r>
        <w:rPr>
          <w:spacing w:val="-8"/>
        </w:rPr>
        <w:t xml:space="preserve"> </w:t>
      </w:r>
      <w:r>
        <w:t>são</w:t>
      </w:r>
      <w:r>
        <w:rPr>
          <w:spacing w:val="-9"/>
        </w:rPr>
        <w:t xml:space="preserve"> </w:t>
      </w:r>
      <w:r>
        <w:t>apenas</w:t>
      </w:r>
      <w:r>
        <w:rPr>
          <w:spacing w:val="-6"/>
        </w:rPr>
        <w:t xml:space="preserve"> </w:t>
      </w:r>
      <w:r>
        <w:t>nomenclaturas</w:t>
      </w:r>
      <w:r>
        <w:rPr>
          <w:spacing w:val="-9"/>
        </w:rPr>
        <w:t xml:space="preserve"> </w:t>
      </w:r>
      <w:r>
        <w:t>contábeis</w:t>
      </w:r>
      <w:r>
        <w:rPr>
          <w:spacing w:val="-8"/>
        </w:rPr>
        <w:t xml:space="preserve"> </w:t>
      </w:r>
      <w:r>
        <w:t>utilizadas para diferenciar a origem do recurso, não os desqualificando de ser um fato gerador do Imposto de Renda.</w:t>
      </w:r>
    </w:p>
    <w:p w:rsidR="007259F2" w:rsidRDefault="00E655B4">
      <w:pPr>
        <w:pStyle w:val="Corpodetexto"/>
        <w:spacing w:before="1"/>
        <w:ind w:right="987"/>
      </w:pPr>
      <w:r>
        <w:t>O Superior Tribunal de Justiça, no julgamento do REsp nº 1208583 do Espírito Santo, defende o mesmo posicionamento:</w:t>
      </w:r>
    </w:p>
    <w:p w:rsidR="007259F2" w:rsidRDefault="007259F2">
      <w:pPr>
        <w:pStyle w:val="Corpodetexto"/>
        <w:spacing w:before="1"/>
        <w:ind w:left="0" w:firstLine="0"/>
        <w:jc w:val="left"/>
      </w:pPr>
    </w:p>
    <w:p w:rsidR="007259F2" w:rsidRDefault="00E655B4">
      <w:pPr>
        <w:ind w:left="2978" w:right="988"/>
        <w:jc w:val="both"/>
        <w:rPr>
          <w:sz w:val="20"/>
        </w:rPr>
      </w:pPr>
      <w:r>
        <w:rPr>
          <w:sz w:val="20"/>
        </w:rPr>
        <w:t>RECURSO ESPECIAL. CRIME CONTRA A ORDEM TRIBUTÁRIA. SONEGAÇÃO FISCAL.VIOLAÇÃO AO PRINCÍPIO DA NÃO AUTO- INCRIMINAÇÃO. NÃO OCORRÊNCIA.RECURSO ESPECIAL DESPROVIDO. (...)</w:t>
      </w:r>
    </w:p>
    <w:p w:rsidR="007259F2" w:rsidRDefault="00E655B4">
      <w:pPr>
        <w:spacing w:before="2"/>
        <w:ind w:left="2978" w:right="990"/>
        <w:jc w:val="both"/>
        <w:rPr>
          <w:sz w:val="20"/>
        </w:rPr>
      </w:pPr>
      <w:r>
        <w:rPr>
          <w:sz w:val="20"/>
        </w:rPr>
        <w:t>Já o princípio pecunia non olet carrega consigo a idéia de igualdade de tratamento entre as pessoas que tenham capacidade contributiva semelhante, independentemente da maneira utilizada para alcançar essa disponibilidade econômica, isto é, não importa se os rendimentos tributáveis tenham ou não fonte lícita. Cuida-se de princípio de direito tributário.(…)</w:t>
      </w:r>
    </w:p>
    <w:p w:rsidR="007259F2" w:rsidRDefault="00E655B4">
      <w:pPr>
        <w:spacing w:line="230" w:lineRule="exact"/>
        <w:ind w:left="2978"/>
        <w:jc w:val="both"/>
        <w:rPr>
          <w:sz w:val="20"/>
        </w:rPr>
      </w:pPr>
      <w:r>
        <w:rPr>
          <w:sz w:val="20"/>
        </w:rPr>
        <w:t>(STJ</w:t>
      </w:r>
      <w:r>
        <w:rPr>
          <w:spacing w:val="45"/>
          <w:sz w:val="20"/>
        </w:rPr>
        <w:t xml:space="preserve"> </w:t>
      </w:r>
      <w:r>
        <w:rPr>
          <w:sz w:val="20"/>
        </w:rPr>
        <w:t>-</w:t>
      </w:r>
      <w:r>
        <w:rPr>
          <w:spacing w:val="44"/>
          <w:sz w:val="20"/>
        </w:rPr>
        <w:t xml:space="preserve"> </w:t>
      </w:r>
      <w:r>
        <w:rPr>
          <w:sz w:val="20"/>
        </w:rPr>
        <w:t>REsp:</w:t>
      </w:r>
      <w:r>
        <w:rPr>
          <w:spacing w:val="47"/>
          <w:sz w:val="20"/>
        </w:rPr>
        <w:t xml:space="preserve"> </w:t>
      </w:r>
      <w:r>
        <w:rPr>
          <w:sz w:val="20"/>
        </w:rPr>
        <w:t>1208583</w:t>
      </w:r>
      <w:r>
        <w:rPr>
          <w:spacing w:val="44"/>
          <w:sz w:val="20"/>
        </w:rPr>
        <w:t xml:space="preserve"> </w:t>
      </w:r>
      <w:r>
        <w:rPr>
          <w:sz w:val="20"/>
        </w:rPr>
        <w:t>ES</w:t>
      </w:r>
      <w:r>
        <w:rPr>
          <w:spacing w:val="41"/>
          <w:sz w:val="20"/>
        </w:rPr>
        <w:t xml:space="preserve"> </w:t>
      </w:r>
      <w:r>
        <w:rPr>
          <w:sz w:val="20"/>
        </w:rPr>
        <w:t>2010/0162642-0,</w:t>
      </w:r>
      <w:r>
        <w:rPr>
          <w:spacing w:val="44"/>
          <w:sz w:val="20"/>
        </w:rPr>
        <w:t xml:space="preserve"> </w:t>
      </w:r>
      <w:r>
        <w:rPr>
          <w:sz w:val="20"/>
        </w:rPr>
        <w:t>Relator:</w:t>
      </w:r>
      <w:r>
        <w:rPr>
          <w:spacing w:val="47"/>
          <w:sz w:val="20"/>
        </w:rPr>
        <w:t xml:space="preserve"> </w:t>
      </w:r>
      <w:r>
        <w:rPr>
          <w:sz w:val="20"/>
        </w:rPr>
        <w:t>Ministra</w:t>
      </w:r>
      <w:r>
        <w:rPr>
          <w:spacing w:val="49"/>
          <w:sz w:val="20"/>
        </w:rPr>
        <w:t xml:space="preserve"> </w:t>
      </w:r>
      <w:r>
        <w:rPr>
          <w:spacing w:val="-2"/>
          <w:sz w:val="20"/>
        </w:rPr>
        <w:t>LAURITA</w:t>
      </w:r>
    </w:p>
    <w:p w:rsidR="007259F2" w:rsidRDefault="00E655B4">
      <w:pPr>
        <w:spacing w:before="1"/>
        <w:ind w:left="2978" w:right="988"/>
        <w:jc w:val="both"/>
        <w:rPr>
          <w:sz w:val="20"/>
        </w:rPr>
      </w:pPr>
      <w:r>
        <w:rPr>
          <w:sz w:val="20"/>
        </w:rPr>
        <w:t>VAZ, Data de Julgamento: 04/12/2012, T5 - QUINTA TURMA, Data de Publicação: DJe 11/12/2012)</w:t>
      </w:r>
    </w:p>
    <w:p w:rsidR="007259F2" w:rsidRDefault="00E655B4">
      <w:pPr>
        <w:pStyle w:val="Corpodetexto"/>
        <w:spacing w:before="199"/>
        <w:ind w:right="992"/>
      </w:pPr>
      <w:r>
        <w:t>Dessa forma, podemos inferir que a tributação de lucros e dividendos pode ser uma forma de conferir, novamente, tratamento proporcional entre os contribuinte sócios ou acionistas, em relação aos contribuintes assalariados, recuperando, dessa forma, a Isonomia entre esses contribuintes.</w:t>
      </w:r>
    </w:p>
    <w:p w:rsidR="007259F2" w:rsidRDefault="00E655B4">
      <w:pPr>
        <w:pStyle w:val="Heading2"/>
        <w:numPr>
          <w:ilvl w:val="1"/>
          <w:numId w:val="35"/>
        </w:numPr>
        <w:tabs>
          <w:tab w:val="left" w:pos="1069"/>
        </w:tabs>
        <w:spacing w:before="206"/>
        <w:ind w:left="1069" w:hanging="359"/>
      </w:pPr>
      <w:r>
        <w:t>A</w:t>
      </w:r>
      <w:r>
        <w:rPr>
          <w:spacing w:val="-8"/>
        </w:rPr>
        <w:t xml:space="preserve"> </w:t>
      </w:r>
      <w:r>
        <w:t>possibilidade</w:t>
      </w:r>
      <w:r>
        <w:rPr>
          <w:spacing w:val="-2"/>
        </w:rPr>
        <w:t xml:space="preserve"> </w:t>
      </w:r>
      <w:r>
        <w:t>de</w:t>
      </w:r>
      <w:r>
        <w:rPr>
          <w:spacing w:val="-8"/>
        </w:rPr>
        <w:t xml:space="preserve"> </w:t>
      </w:r>
      <w:r>
        <w:t>uma</w:t>
      </w:r>
      <w:r>
        <w:rPr>
          <w:spacing w:val="-4"/>
        </w:rPr>
        <w:t xml:space="preserve"> </w:t>
      </w:r>
      <w:r>
        <w:t>tributação</w:t>
      </w:r>
      <w:r>
        <w:rPr>
          <w:spacing w:val="-2"/>
        </w:rPr>
        <w:t xml:space="preserve"> </w:t>
      </w:r>
      <w:r>
        <w:t>mais</w:t>
      </w:r>
      <w:r>
        <w:rPr>
          <w:spacing w:val="-4"/>
        </w:rPr>
        <w:t xml:space="preserve"> </w:t>
      </w:r>
      <w:r>
        <w:t>justa</w:t>
      </w:r>
      <w:r>
        <w:rPr>
          <w:spacing w:val="-9"/>
        </w:rPr>
        <w:t xml:space="preserve"> </w:t>
      </w:r>
      <w:r>
        <w:t>da</w:t>
      </w:r>
      <w:r>
        <w:rPr>
          <w:spacing w:val="-4"/>
        </w:rPr>
        <w:t xml:space="preserve"> </w:t>
      </w:r>
      <w:r>
        <w:rPr>
          <w:spacing w:val="-2"/>
        </w:rPr>
        <w:t>renda</w:t>
      </w:r>
    </w:p>
    <w:p w:rsidR="007259F2" w:rsidRDefault="00E655B4">
      <w:pPr>
        <w:pStyle w:val="Corpodetexto"/>
        <w:spacing w:before="154"/>
        <w:ind w:right="989"/>
      </w:pPr>
      <w:r>
        <w:t>Uma</w:t>
      </w:r>
      <w:r>
        <w:rPr>
          <w:spacing w:val="-15"/>
        </w:rPr>
        <w:t xml:space="preserve"> </w:t>
      </w:r>
      <w:r>
        <w:t>das</w:t>
      </w:r>
      <w:r>
        <w:rPr>
          <w:spacing w:val="-15"/>
        </w:rPr>
        <w:t xml:space="preserve"> </w:t>
      </w:r>
      <w:r>
        <w:t>vantagens</w:t>
      </w:r>
      <w:r>
        <w:rPr>
          <w:spacing w:val="-15"/>
        </w:rPr>
        <w:t xml:space="preserve"> </w:t>
      </w:r>
      <w:r>
        <w:t>da</w:t>
      </w:r>
      <w:r>
        <w:rPr>
          <w:spacing w:val="-15"/>
        </w:rPr>
        <w:t xml:space="preserve"> </w:t>
      </w:r>
      <w:r>
        <w:t>tributação</w:t>
      </w:r>
      <w:r>
        <w:rPr>
          <w:spacing w:val="-15"/>
        </w:rPr>
        <w:t xml:space="preserve"> </w:t>
      </w:r>
      <w:r>
        <w:t>de</w:t>
      </w:r>
      <w:r>
        <w:rPr>
          <w:spacing w:val="-15"/>
        </w:rPr>
        <w:t xml:space="preserve"> </w:t>
      </w:r>
      <w:r>
        <w:t>lucros</w:t>
      </w:r>
      <w:r>
        <w:rPr>
          <w:spacing w:val="-15"/>
        </w:rPr>
        <w:t xml:space="preserve"> </w:t>
      </w:r>
      <w:r>
        <w:t>e</w:t>
      </w:r>
      <w:r>
        <w:rPr>
          <w:spacing w:val="-15"/>
        </w:rPr>
        <w:t xml:space="preserve"> </w:t>
      </w:r>
      <w:r>
        <w:t>dividendos</w:t>
      </w:r>
      <w:r>
        <w:rPr>
          <w:spacing w:val="-15"/>
        </w:rPr>
        <w:t xml:space="preserve"> </w:t>
      </w:r>
      <w:r>
        <w:t>em</w:t>
      </w:r>
      <w:r>
        <w:rPr>
          <w:spacing w:val="-15"/>
        </w:rPr>
        <w:t xml:space="preserve"> </w:t>
      </w:r>
      <w:r>
        <w:t>relação</w:t>
      </w:r>
      <w:r>
        <w:rPr>
          <w:spacing w:val="-15"/>
        </w:rPr>
        <w:t xml:space="preserve"> </w:t>
      </w:r>
      <w:r>
        <w:t>a</w:t>
      </w:r>
      <w:r>
        <w:rPr>
          <w:spacing w:val="-15"/>
        </w:rPr>
        <w:t xml:space="preserve"> </w:t>
      </w:r>
      <w:r>
        <w:t>tributação</w:t>
      </w:r>
      <w:r>
        <w:rPr>
          <w:spacing w:val="-15"/>
        </w:rPr>
        <w:t xml:space="preserve"> </w:t>
      </w:r>
      <w:r>
        <w:t>do lucro de uma empresa, é que a primeira pode seguir o princípio da progressividade, sendo mais justa. Nas palavras de Regina Helena Costa:</w:t>
      </w:r>
      <w:r>
        <w:rPr>
          <w:vertAlign w:val="superscript"/>
        </w:rPr>
        <w:t>77</w:t>
      </w:r>
    </w:p>
    <w:p w:rsidR="007259F2" w:rsidRDefault="007259F2">
      <w:pPr>
        <w:pStyle w:val="Corpodetexto"/>
        <w:spacing w:before="1"/>
        <w:ind w:left="0" w:firstLine="0"/>
        <w:jc w:val="left"/>
      </w:pPr>
    </w:p>
    <w:p w:rsidR="007259F2" w:rsidRDefault="00E655B4">
      <w:pPr>
        <w:spacing w:before="1"/>
        <w:ind w:left="2978" w:right="989"/>
        <w:jc w:val="both"/>
        <w:rPr>
          <w:sz w:val="20"/>
        </w:rPr>
      </w:pPr>
      <w:r>
        <w:rPr>
          <w:sz w:val="20"/>
        </w:rPr>
        <w:t xml:space="preserve">A progressividade, por seu turno, implica seja a tributação mais do que proporcional à riqueza de cada um. Um imposto é progressivo quando a alíquota se eleva à medida que aumenta a base de cálculo. Se a igualdade na sua acepção material, concreta, é o ideal para o qual se volta todo o ordenamento jurídico-positivo, a progressividade dos impostos é a técnica mais adequada ao seu alcance. Isso porque a graduação dos impostos meramente proporcional à capacidade contributiva dos sujeitos não colabora para aquele fim. Diversamente, na tributação progressiva, aqueles que detêm maior riqueza arcarão, efetivamente mais, pelos serviços públicos em geral, em favor daqueles que pouco ou nada possuem e, portanto, não podem </w:t>
      </w:r>
      <w:r>
        <w:rPr>
          <w:spacing w:val="-2"/>
          <w:sz w:val="20"/>
        </w:rPr>
        <w:t>pagar(…)</w:t>
      </w:r>
    </w:p>
    <w:p w:rsidR="007259F2" w:rsidRDefault="007259F2">
      <w:pPr>
        <w:pStyle w:val="Corpodetexto"/>
        <w:spacing w:before="23"/>
        <w:ind w:left="0" w:firstLine="0"/>
        <w:jc w:val="left"/>
        <w:rPr>
          <w:sz w:val="20"/>
        </w:rPr>
      </w:pPr>
    </w:p>
    <w:p w:rsidR="007259F2" w:rsidRDefault="00E655B4">
      <w:pPr>
        <w:pStyle w:val="Corpodetexto"/>
        <w:ind w:right="989"/>
      </w:pPr>
      <w:r>
        <w:t>A</w:t>
      </w:r>
      <w:r>
        <w:rPr>
          <w:spacing w:val="-6"/>
        </w:rPr>
        <w:t xml:space="preserve"> </w:t>
      </w:r>
      <w:r>
        <w:t>adoção do princípio da progressividade é originária do texto do art. 145, § 1º, da</w:t>
      </w:r>
      <w:r>
        <w:rPr>
          <w:spacing w:val="-2"/>
        </w:rPr>
        <w:t xml:space="preserve"> </w:t>
      </w:r>
      <w:r>
        <w:t>Constituição</w:t>
      </w:r>
      <w:r>
        <w:rPr>
          <w:spacing w:val="-1"/>
        </w:rPr>
        <w:t xml:space="preserve"> </w:t>
      </w:r>
      <w:r>
        <w:t>Federal, segundo</w:t>
      </w:r>
      <w:r>
        <w:rPr>
          <w:spacing w:val="-1"/>
        </w:rPr>
        <w:t xml:space="preserve"> </w:t>
      </w:r>
      <w:r>
        <w:t>o</w:t>
      </w:r>
      <w:r>
        <w:rPr>
          <w:spacing w:val="-1"/>
        </w:rPr>
        <w:t xml:space="preserve"> </w:t>
      </w:r>
      <w:r>
        <w:t>qual</w:t>
      </w:r>
      <w:r>
        <w:rPr>
          <w:spacing w:val="-1"/>
        </w:rPr>
        <w:t xml:space="preserve"> </w:t>
      </w:r>
      <w:r>
        <w:t>“sempre que</w:t>
      </w:r>
      <w:r>
        <w:rPr>
          <w:spacing w:val="-2"/>
        </w:rPr>
        <w:t xml:space="preserve"> </w:t>
      </w:r>
      <w:r>
        <w:t>possível,</w:t>
      </w:r>
      <w:r>
        <w:rPr>
          <w:spacing w:val="-1"/>
        </w:rPr>
        <w:t xml:space="preserve"> </w:t>
      </w:r>
      <w:r>
        <w:t>os</w:t>
      </w:r>
      <w:r>
        <w:rPr>
          <w:spacing w:val="-1"/>
        </w:rPr>
        <w:t xml:space="preserve"> </w:t>
      </w:r>
      <w:r>
        <w:t>impostos</w:t>
      </w:r>
      <w:r>
        <w:rPr>
          <w:spacing w:val="-1"/>
        </w:rPr>
        <w:t xml:space="preserve"> </w:t>
      </w:r>
      <w:r>
        <w:t>terão</w:t>
      </w:r>
      <w:r>
        <w:rPr>
          <w:spacing w:val="-1"/>
        </w:rPr>
        <w:t xml:space="preserve"> </w:t>
      </w:r>
      <w:r>
        <w:t>caráter pessoal</w:t>
      </w:r>
      <w:r>
        <w:rPr>
          <w:spacing w:val="40"/>
        </w:rPr>
        <w:t xml:space="preserve"> </w:t>
      </w:r>
      <w:r>
        <w:t>e serão graduados segundo a capacidade econômica do contribuinte (…)”.78</w:t>
      </w:r>
    </w:p>
    <w:p w:rsidR="007259F2" w:rsidRDefault="00E655B4">
      <w:pPr>
        <w:pStyle w:val="Corpodetexto"/>
        <w:ind w:right="994"/>
      </w:pPr>
      <w:r>
        <w:t>Portanto, se a tributação na distribuição de lucros e dividendos for feita em conluio com o que rege o princípio da progressividade tributário, poderá ser observada uma taxação do contribuinte de forma mais justa, baseada em suas respectivas riquezas.</w:t>
      </w:r>
    </w:p>
    <w:p w:rsidR="007259F2" w:rsidRDefault="00DE6B1C">
      <w:pPr>
        <w:pStyle w:val="Corpodetexto"/>
        <w:spacing w:before="222"/>
        <w:ind w:left="0" w:firstLine="0"/>
        <w:jc w:val="left"/>
        <w:rPr>
          <w:sz w:val="20"/>
        </w:rPr>
      </w:pPr>
      <w:r w:rsidRPr="00DE6B1C">
        <w:rPr>
          <w:sz w:val="20"/>
        </w:rPr>
        <w:pict>
          <v:rect id="docshape93" o:spid="_x0000_s1133" style="position:absolute;margin-left:85.1pt;margin-top:23.85pt;width:2in;height:.7pt;z-index:-15689216;mso-wrap-distance-left:0;mso-wrap-distance-right:0;mso-position-horizontal-relative:page" fillcolor="black" stroked="f">
            <w10:wrap type="topAndBottom" anchorx="page"/>
          </v:rect>
        </w:pict>
      </w:r>
    </w:p>
    <w:p w:rsidR="007259F2" w:rsidRDefault="00E655B4">
      <w:pPr>
        <w:spacing w:before="97"/>
        <w:ind w:left="710" w:right="990"/>
        <w:rPr>
          <w:sz w:val="20"/>
        </w:rPr>
      </w:pPr>
      <w:r>
        <w:rPr>
          <w:sz w:val="20"/>
          <w:vertAlign w:val="superscript"/>
        </w:rPr>
        <w:t>77</w:t>
      </w:r>
      <w:r>
        <w:rPr>
          <w:spacing w:val="-5"/>
          <w:sz w:val="20"/>
        </w:rPr>
        <w:t xml:space="preserve"> </w:t>
      </w:r>
      <w:r>
        <w:rPr>
          <w:sz w:val="20"/>
        </w:rPr>
        <w:t>COSTA,</w:t>
      </w:r>
      <w:r>
        <w:rPr>
          <w:spacing w:val="-3"/>
          <w:sz w:val="20"/>
        </w:rPr>
        <w:t xml:space="preserve"> </w:t>
      </w:r>
      <w:r>
        <w:rPr>
          <w:sz w:val="20"/>
        </w:rPr>
        <w:t>Regina</w:t>
      </w:r>
      <w:r>
        <w:rPr>
          <w:spacing w:val="-5"/>
          <w:sz w:val="20"/>
        </w:rPr>
        <w:t xml:space="preserve"> </w:t>
      </w:r>
      <w:r>
        <w:rPr>
          <w:sz w:val="20"/>
        </w:rPr>
        <w:t>Helena.</w:t>
      </w:r>
      <w:r>
        <w:rPr>
          <w:spacing w:val="-3"/>
          <w:sz w:val="20"/>
        </w:rPr>
        <w:t xml:space="preserve"> </w:t>
      </w:r>
      <w:r>
        <w:rPr>
          <w:b/>
          <w:sz w:val="20"/>
        </w:rPr>
        <w:t>Curso</w:t>
      </w:r>
      <w:r>
        <w:rPr>
          <w:b/>
          <w:spacing w:val="-4"/>
          <w:sz w:val="20"/>
        </w:rPr>
        <w:t xml:space="preserve"> </w:t>
      </w:r>
      <w:r>
        <w:rPr>
          <w:b/>
          <w:sz w:val="20"/>
        </w:rPr>
        <w:t>de</w:t>
      </w:r>
      <w:r>
        <w:rPr>
          <w:b/>
          <w:spacing w:val="-5"/>
          <w:sz w:val="20"/>
        </w:rPr>
        <w:t xml:space="preserve"> </w:t>
      </w:r>
      <w:r>
        <w:rPr>
          <w:b/>
          <w:sz w:val="20"/>
        </w:rPr>
        <w:t>direito</w:t>
      </w:r>
      <w:r>
        <w:rPr>
          <w:b/>
          <w:spacing w:val="-4"/>
          <w:sz w:val="20"/>
        </w:rPr>
        <w:t xml:space="preserve"> </w:t>
      </w:r>
      <w:r>
        <w:rPr>
          <w:b/>
          <w:sz w:val="20"/>
        </w:rPr>
        <w:t>tributário</w:t>
      </w:r>
      <w:r>
        <w:rPr>
          <w:b/>
          <w:spacing w:val="-3"/>
          <w:sz w:val="20"/>
        </w:rPr>
        <w:t xml:space="preserve"> </w:t>
      </w:r>
      <w:r>
        <w:rPr>
          <w:sz w:val="20"/>
        </w:rPr>
        <w:t>-</w:t>
      </w:r>
      <w:r>
        <w:rPr>
          <w:spacing w:val="-6"/>
          <w:sz w:val="20"/>
        </w:rPr>
        <w:t xml:space="preserve"> </w:t>
      </w:r>
      <w:r>
        <w:rPr>
          <w:sz w:val="20"/>
        </w:rPr>
        <w:t>Constituição</w:t>
      </w:r>
      <w:r>
        <w:rPr>
          <w:spacing w:val="-4"/>
          <w:sz w:val="20"/>
        </w:rPr>
        <w:t xml:space="preserve"> </w:t>
      </w:r>
      <w:r>
        <w:rPr>
          <w:sz w:val="20"/>
        </w:rPr>
        <w:t>e</w:t>
      </w:r>
      <w:r>
        <w:rPr>
          <w:spacing w:val="-5"/>
          <w:sz w:val="20"/>
        </w:rPr>
        <w:t xml:space="preserve"> </w:t>
      </w:r>
      <w:r>
        <w:rPr>
          <w:sz w:val="20"/>
        </w:rPr>
        <w:t>Código</w:t>
      </w:r>
      <w:r>
        <w:rPr>
          <w:spacing w:val="-9"/>
          <w:sz w:val="20"/>
        </w:rPr>
        <w:t xml:space="preserve"> </w:t>
      </w:r>
      <w:r>
        <w:rPr>
          <w:sz w:val="20"/>
        </w:rPr>
        <w:t>Tributário</w:t>
      </w:r>
      <w:r>
        <w:rPr>
          <w:spacing w:val="-4"/>
          <w:sz w:val="20"/>
        </w:rPr>
        <w:t xml:space="preserve"> </w:t>
      </w:r>
      <w:r>
        <w:rPr>
          <w:sz w:val="20"/>
        </w:rPr>
        <w:t>Nacional</w:t>
      </w:r>
      <w:r>
        <w:rPr>
          <w:spacing w:val="-1"/>
          <w:sz w:val="20"/>
        </w:rPr>
        <w:t xml:space="preserve"> </w:t>
      </w:r>
      <w:r>
        <w:rPr>
          <w:sz w:val="20"/>
        </w:rPr>
        <w:t>–</w:t>
      </w:r>
      <w:r>
        <w:rPr>
          <w:spacing w:val="-4"/>
          <w:sz w:val="20"/>
        </w:rPr>
        <w:t xml:space="preserve"> </w:t>
      </w:r>
      <w:r>
        <w:rPr>
          <w:sz w:val="20"/>
        </w:rPr>
        <w:t>9. ed. São Paulo: Saraiva Educação, 2019.</w:t>
      </w:r>
    </w:p>
    <w:p w:rsidR="007259F2" w:rsidRDefault="00E655B4">
      <w:pPr>
        <w:ind w:left="710"/>
        <w:rPr>
          <w:i/>
          <w:sz w:val="20"/>
        </w:rPr>
      </w:pPr>
      <w:r>
        <w:rPr>
          <w:sz w:val="20"/>
          <w:vertAlign w:val="superscript"/>
        </w:rPr>
        <w:t>78</w:t>
      </w:r>
      <w:r>
        <w:rPr>
          <w:spacing w:val="-2"/>
          <w:sz w:val="20"/>
        </w:rPr>
        <w:t xml:space="preserve"> </w:t>
      </w:r>
      <w:r>
        <w:rPr>
          <w:i/>
          <w:spacing w:val="-2"/>
          <w:sz w:val="20"/>
        </w:rPr>
        <w:t>Ibid.</w:t>
      </w:r>
    </w:p>
    <w:p w:rsidR="007259F2" w:rsidRDefault="007259F2">
      <w:pPr>
        <w:rPr>
          <w:i/>
          <w:sz w:val="20"/>
        </w:rPr>
        <w:sectPr w:rsidR="007259F2">
          <w:pgSz w:w="11910" w:h="16840"/>
          <w:pgMar w:top="1320" w:right="708" w:bottom="1160" w:left="992" w:header="0" w:footer="962" w:gutter="0"/>
          <w:cols w:space="720"/>
        </w:sectPr>
      </w:pPr>
    </w:p>
    <w:p w:rsidR="007259F2" w:rsidRDefault="00E655B4">
      <w:pPr>
        <w:pStyle w:val="Heading2"/>
        <w:numPr>
          <w:ilvl w:val="1"/>
          <w:numId w:val="35"/>
        </w:numPr>
        <w:tabs>
          <w:tab w:val="left" w:pos="1069"/>
        </w:tabs>
        <w:spacing w:before="77"/>
        <w:ind w:left="1069" w:hanging="359"/>
      </w:pPr>
      <w:r>
        <w:lastRenderedPageBreak/>
        <w:t>O</w:t>
      </w:r>
      <w:r>
        <w:rPr>
          <w:spacing w:val="-5"/>
        </w:rPr>
        <w:t xml:space="preserve"> </w:t>
      </w:r>
      <w:r>
        <w:t>desestímulo</w:t>
      </w:r>
      <w:r>
        <w:rPr>
          <w:spacing w:val="-4"/>
        </w:rPr>
        <w:t xml:space="preserve"> </w:t>
      </w:r>
      <w:r>
        <w:t>ao</w:t>
      </w:r>
      <w:r>
        <w:rPr>
          <w:spacing w:val="-4"/>
        </w:rPr>
        <w:t xml:space="preserve"> </w:t>
      </w:r>
      <w:r>
        <w:t>fenômeno</w:t>
      </w:r>
      <w:r>
        <w:rPr>
          <w:spacing w:val="-4"/>
        </w:rPr>
        <w:t xml:space="preserve"> </w:t>
      </w:r>
      <w:r>
        <w:t>da</w:t>
      </w:r>
      <w:r>
        <w:rPr>
          <w:spacing w:val="-5"/>
        </w:rPr>
        <w:t xml:space="preserve"> </w:t>
      </w:r>
      <w:r>
        <w:rPr>
          <w:spacing w:val="-2"/>
        </w:rPr>
        <w:t>“pejotização”</w:t>
      </w:r>
    </w:p>
    <w:p w:rsidR="007259F2" w:rsidRDefault="00E655B4">
      <w:pPr>
        <w:spacing w:before="156"/>
        <w:ind w:left="710" w:right="989" w:firstLine="707"/>
        <w:jc w:val="both"/>
        <w:rPr>
          <w:sz w:val="24"/>
        </w:rPr>
      </w:pPr>
      <w:r>
        <w:rPr>
          <w:sz w:val="24"/>
        </w:rPr>
        <w:t>A</w:t>
      </w:r>
      <w:r>
        <w:rPr>
          <w:spacing w:val="-15"/>
          <w:sz w:val="24"/>
        </w:rPr>
        <w:t xml:space="preserve"> </w:t>
      </w:r>
      <w:r>
        <w:rPr>
          <w:sz w:val="24"/>
        </w:rPr>
        <w:t>isenção</w:t>
      </w:r>
      <w:r>
        <w:rPr>
          <w:spacing w:val="-6"/>
          <w:sz w:val="24"/>
        </w:rPr>
        <w:t xml:space="preserve"> </w:t>
      </w:r>
      <w:r>
        <w:rPr>
          <w:sz w:val="24"/>
        </w:rPr>
        <w:t>proporcionada</w:t>
      </w:r>
      <w:r>
        <w:rPr>
          <w:spacing w:val="-4"/>
          <w:sz w:val="24"/>
        </w:rPr>
        <w:t xml:space="preserve"> </w:t>
      </w:r>
      <w:r>
        <w:rPr>
          <w:sz w:val="24"/>
        </w:rPr>
        <w:t>pela</w:t>
      </w:r>
      <w:r>
        <w:rPr>
          <w:spacing w:val="-3"/>
          <w:sz w:val="24"/>
        </w:rPr>
        <w:t xml:space="preserve"> </w:t>
      </w:r>
      <w:r>
        <w:rPr>
          <w:sz w:val="24"/>
        </w:rPr>
        <w:t>Lei</w:t>
      </w:r>
      <w:r>
        <w:rPr>
          <w:spacing w:val="-4"/>
          <w:sz w:val="24"/>
        </w:rPr>
        <w:t xml:space="preserve"> </w:t>
      </w:r>
      <w:r>
        <w:rPr>
          <w:sz w:val="24"/>
        </w:rPr>
        <w:t>nº</w:t>
      </w:r>
      <w:r>
        <w:rPr>
          <w:spacing w:val="-2"/>
          <w:sz w:val="24"/>
        </w:rPr>
        <w:t xml:space="preserve"> </w:t>
      </w:r>
      <w:r>
        <w:rPr>
          <w:sz w:val="26"/>
        </w:rPr>
        <w:t>9.249/95</w:t>
      </w:r>
      <w:r>
        <w:rPr>
          <w:spacing w:val="-2"/>
          <w:sz w:val="26"/>
        </w:rPr>
        <w:t xml:space="preserve"> </w:t>
      </w:r>
      <w:r>
        <w:rPr>
          <w:sz w:val="24"/>
        </w:rPr>
        <w:t>gerou</w:t>
      </w:r>
      <w:r>
        <w:rPr>
          <w:spacing w:val="-4"/>
          <w:sz w:val="24"/>
        </w:rPr>
        <w:t xml:space="preserve"> </w:t>
      </w:r>
      <w:r>
        <w:rPr>
          <w:sz w:val="24"/>
        </w:rPr>
        <w:t>uma</w:t>
      </w:r>
      <w:r>
        <w:rPr>
          <w:spacing w:val="-4"/>
          <w:sz w:val="24"/>
        </w:rPr>
        <w:t xml:space="preserve"> </w:t>
      </w:r>
      <w:r>
        <w:rPr>
          <w:sz w:val="24"/>
        </w:rPr>
        <w:t>enorme</w:t>
      </w:r>
      <w:r>
        <w:rPr>
          <w:spacing w:val="-6"/>
          <w:sz w:val="24"/>
        </w:rPr>
        <w:t xml:space="preserve"> </w:t>
      </w:r>
      <w:r>
        <w:rPr>
          <w:sz w:val="24"/>
        </w:rPr>
        <w:t>movimentação na abertura de novas pessoas jurídicas. Esse fenômeno, denominado “pejotização”, vem transformando-se, segundo definição da</w:t>
      </w:r>
      <w:r>
        <w:rPr>
          <w:spacing w:val="-1"/>
          <w:sz w:val="24"/>
        </w:rPr>
        <w:t xml:space="preserve"> </w:t>
      </w:r>
      <w:r>
        <w:rPr>
          <w:sz w:val="24"/>
        </w:rPr>
        <w:t>Receita Federal, “</w:t>
      </w:r>
      <w:r>
        <w:rPr>
          <w:i/>
          <w:sz w:val="24"/>
        </w:rPr>
        <w:t>em mecanismo cada vez mais comum para potencializar a realização de lucros e resultados financeiros, mediante a redução</w:t>
      </w:r>
      <w:r>
        <w:rPr>
          <w:i/>
          <w:spacing w:val="-6"/>
          <w:sz w:val="24"/>
        </w:rPr>
        <w:t xml:space="preserve"> </w:t>
      </w:r>
      <w:r>
        <w:rPr>
          <w:i/>
          <w:sz w:val="24"/>
        </w:rPr>
        <w:t>dos</w:t>
      </w:r>
      <w:r>
        <w:rPr>
          <w:i/>
          <w:spacing w:val="-6"/>
          <w:sz w:val="24"/>
        </w:rPr>
        <w:t xml:space="preserve"> </w:t>
      </w:r>
      <w:r>
        <w:rPr>
          <w:i/>
          <w:sz w:val="24"/>
        </w:rPr>
        <w:t>encargos</w:t>
      </w:r>
      <w:r>
        <w:rPr>
          <w:i/>
          <w:spacing w:val="-5"/>
          <w:sz w:val="24"/>
        </w:rPr>
        <w:t xml:space="preserve"> </w:t>
      </w:r>
      <w:r>
        <w:rPr>
          <w:i/>
          <w:sz w:val="24"/>
        </w:rPr>
        <w:t>trabalhistas</w:t>
      </w:r>
      <w:r>
        <w:rPr>
          <w:i/>
          <w:spacing w:val="-6"/>
          <w:sz w:val="24"/>
        </w:rPr>
        <w:t xml:space="preserve"> </w:t>
      </w:r>
      <w:r>
        <w:rPr>
          <w:i/>
          <w:sz w:val="24"/>
        </w:rPr>
        <w:t>para</w:t>
      </w:r>
      <w:r>
        <w:rPr>
          <w:i/>
          <w:spacing w:val="-6"/>
          <w:sz w:val="24"/>
        </w:rPr>
        <w:t xml:space="preserve"> </w:t>
      </w:r>
      <w:r>
        <w:rPr>
          <w:i/>
          <w:sz w:val="24"/>
        </w:rPr>
        <w:t>as</w:t>
      </w:r>
      <w:r>
        <w:rPr>
          <w:i/>
          <w:spacing w:val="-6"/>
          <w:sz w:val="24"/>
        </w:rPr>
        <w:t xml:space="preserve"> </w:t>
      </w:r>
      <w:r>
        <w:rPr>
          <w:i/>
          <w:sz w:val="24"/>
        </w:rPr>
        <w:t>empresas</w:t>
      </w:r>
      <w:r>
        <w:rPr>
          <w:i/>
          <w:spacing w:val="-6"/>
          <w:sz w:val="24"/>
        </w:rPr>
        <w:t xml:space="preserve"> </w:t>
      </w:r>
      <w:r>
        <w:rPr>
          <w:i/>
          <w:sz w:val="24"/>
        </w:rPr>
        <w:t>e</w:t>
      </w:r>
      <w:r>
        <w:rPr>
          <w:i/>
          <w:spacing w:val="-6"/>
          <w:sz w:val="24"/>
        </w:rPr>
        <w:t xml:space="preserve"> </w:t>
      </w:r>
      <w:r>
        <w:rPr>
          <w:i/>
          <w:sz w:val="24"/>
        </w:rPr>
        <w:t>do</w:t>
      </w:r>
      <w:r>
        <w:rPr>
          <w:i/>
          <w:spacing w:val="-6"/>
          <w:sz w:val="24"/>
        </w:rPr>
        <w:t xml:space="preserve"> </w:t>
      </w:r>
      <w:r>
        <w:rPr>
          <w:i/>
          <w:sz w:val="24"/>
        </w:rPr>
        <w:t>imposto</w:t>
      </w:r>
      <w:r>
        <w:rPr>
          <w:i/>
          <w:spacing w:val="-6"/>
          <w:sz w:val="24"/>
        </w:rPr>
        <w:t xml:space="preserve"> </w:t>
      </w:r>
      <w:r>
        <w:rPr>
          <w:i/>
          <w:sz w:val="24"/>
        </w:rPr>
        <w:t>sobre</w:t>
      </w:r>
      <w:r>
        <w:rPr>
          <w:i/>
          <w:spacing w:val="-7"/>
          <w:sz w:val="24"/>
        </w:rPr>
        <w:t xml:space="preserve"> </w:t>
      </w:r>
      <w:r>
        <w:rPr>
          <w:i/>
          <w:sz w:val="24"/>
        </w:rPr>
        <w:t>a</w:t>
      </w:r>
      <w:r>
        <w:rPr>
          <w:i/>
          <w:spacing w:val="-6"/>
          <w:sz w:val="24"/>
        </w:rPr>
        <w:t xml:space="preserve"> </w:t>
      </w:r>
      <w:r>
        <w:rPr>
          <w:i/>
          <w:sz w:val="24"/>
        </w:rPr>
        <w:t>renda</w:t>
      </w:r>
      <w:r>
        <w:rPr>
          <w:i/>
          <w:spacing w:val="-6"/>
          <w:sz w:val="24"/>
        </w:rPr>
        <w:t xml:space="preserve"> </w:t>
      </w:r>
      <w:r>
        <w:rPr>
          <w:i/>
          <w:sz w:val="24"/>
        </w:rPr>
        <w:t>para</w:t>
      </w:r>
      <w:r>
        <w:rPr>
          <w:i/>
          <w:spacing w:val="-6"/>
          <w:sz w:val="24"/>
        </w:rPr>
        <w:t xml:space="preserve"> </w:t>
      </w:r>
      <w:r>
        <w:rPr>
          <w:i/>
          <w:sz w:val="24"/>
        </w:rPr>
        <w:t>os profissionais prestadores de serviços</w:t>
      </w:r>
      <w:r>
        <w:rPr>
          <w:sz w:val="24"/>
        </w:rPr>
        <w:t>”.</w:t>
      </w:r>
      <w:r>
        <w:rPr>
          <w:sz w:val="24"/>
          <w:vertAlign w:val="superscript"/>
        </w:rPr>
        <w:t>79</w:t>
      </w:r>
    </w:p>
    <w:p w:rsidR="007259F2" w:rsidRDefault="00E655B4">
      <w:pPr>
        <w:pStyle w:val="Corpodetexto"/>
        <w:ind w:right="991"/>
      </w:pPr>
      <w:r>
        <w:t>Do ponto de vista do Direito Tributário, o principal aspecto a ser analisado é a redução do ônus tributário na contratação de serviços de profissões regulamentadas, tanto para as empresas contratantes, quanto para o profissional contratado. A redução dos custos fiscais e previdenciários é o principal motor da adoção dessa sistemática.</w:t>
      </w:r>
      <w:r>
        <w:rPr>
          <w:vertAlign w:val="superscript"/>
        </w:rPr>
        <w:t>80</w:t>
      </w:r>
    </w:p>
    <w:p w:rsidR="007259F2" w:rsidRDefault="00E655B4">
      <w:pPr>
        <w:pStyle w:val="Corpodetexto"/>
        <w:ind w:right="990"/>
      </w:pPr>
      <w:r>
        <w:t>Se, no momento da concessão da isenção proporcionada pela Lei nº 9.249/95, a ideia do legislador era de fomentar a economia, atualmente e na grande maioria dos casos, os profissionais “pejotizados” se utilizam desse benefício para unicamente</w:t>
      </w:r>
      <w:r>
        <w:rPr>
          <w:spacing w:val="40"/>
        </w:rPr>
        <w:t xml:space="preserve"> </w:t>
      </w:r>
      <w:r>
        <w:t>reduzir o pagamento de tributos. Tais pessoas jurídicas passam a receber seus pagamentos</w:t>
      </w:r>
      <w:r>
        <w:rPr>
          <w:spacing w:val="-1"/>
        </w:rPr>
        <w:t xml:space="preserve"> </w:t>
      </w:r>
      <w:r>
        <w:t>através</w:t>
      </w:r>
      <w:r>
        <w:rPr>
          <w:spacing w:val="-1"/>
        </w:rPr>
        <w:t xml:space="preserve"> </w:t>
      </w:r>
      <w:r>
        <w:t>do</w:t>
      </w:r>
      <w:r>
        <w:rPr>
          <w:spacing w:val="-1"/>
        </w:rPr>
        <w:t xml:space="preserve"> </w:t>
      </w:r>
      <w:r>
        <w:t>lucro,</w:t>
      </w:r>
      <w:r>
        <w:rPr>
          <w:spacing w:val="-1"/>
        </w:rPr>
        <w:t xml:space="preserve"> </w:t>
      </w:r>
      <w:r>
        <w:t>que</w:t>
      </w:r>
      <w:r>
        <w:rPr>
          <w:spacing w:val="-2"/>
        </w:rPr>
        <w:t xml:space="preserve"> </w:t>
      </w:r>
      <w:r>
        <w:t>corresponde</w:t>
      </w:r>
      <w:r>
        <w:rPr>
          <w:spacing w:val="-2"/>
        </w:rPr>
        <w:t xml:space="preserve"> </w:t>
      </w:r>
      <w:r>
        <w:t>ao</w:t>
      </w:r>
      <w:r>
        <w:rPr>
          <w:spacing w:val="-1"/>
        </w:rPr>
        <w:t xml:space="preserve"> </w:t>
      </w:r>
      <w:r>
        <w:t>seu</w:t>
      </w:r>
      <w:r>
        <w:rPr>
          <w:spacing w:val="-1"/>
        </w:rPr>
        <w:t xml:space="preserve"> </w:t>
      </w:r>
      <w:r>
        <w:t>salário,</w:t>
      </w:r>
      <w:r>
        <w:rPr>
          <w:spacing w:val="-1"/>
        </w:rPr>
        <w:t xml:space="preserve"> </w:t>
      </w:r>
      <w:r>
        <w:t>só</w:t>
      </w:r>
      <w:r>
        <w:rPr>
          <w:spacing w:val="-1"/>
        </w:rPr>
        <w:t xml:space="preserve"> </w:t>
      </w:r>
      <w:r>
        <w:t>que</w:t>
      </w:r>
      <w:r>
        <w:rPr>
          <w:spacing w:val="-2"/>
        </w:rPr>
        <w:t xml:space="preserve"> </w:t>
      </w:r>
      <w:r>
        <w:t>isento</w:t>
      </w:r>
      <w:r>
        <w:rPr>
          <w:spacing w:val="-3"/>
        </w:rPr>
        <w:t xml:space="preserve"> </w:t>
      </w:r>
      <w:r>
        <w:t>de</w:t>
      </w:r>
      <w:r>
        <w:rPr>
          <w:spacing w:val="-2"/>
        </w:rPr>
        <w:t xml:space="preserve"> </w:t>
      </w:r>
      <w:r>
        <w:t>tributação do Imposto de Renda.</w:t>
      </w:r>
    </w:p>
    <w:p w:rsidR="007259F2" w:rsidRDefault="00E655B4">
      <w:pPr>
        <w:pStyle w:val="Corpodetexto"/>
        <w:ind w:right="974"/>
      </w:pPr>
      <w:r>
        <w:t>Como</w:t>
      </w:r>
      <w:r>
        <w:rPr>
          <w:spacing w:val="-2"/>
        </w:rPr>
        <w:t xml:space="preserve"> </w:t>
      </w:r>
      <w:r>
        <w:t>pode</w:t>
      </w:r>
      <w:r>
        <w:rPr>
          <w:spacing w:val="-2"/>
        </w:rPr>
        <w:t xml:space="preserve"> </w:t>
      </w:r>
      <w:r>
        <w:t>ser</w:t>
      </w:r>
      <w:r>
        <w:rPr>
          <w:spacing w:val="-2"/>
        </w:rPr>
        <w:t xml:space="preserve"> </w:t>
      </w:r>
      <w:r>
        <w:t>observado,</w:t>
      </w:r>
      <w:r>
        <w:rPr>
          <w:spacing w:val="-2"/>
        </w:rPr>
        <w:t xml:space="preserve"> </w:t>
      </w:r>
      <w:r>
        <w:t>a</w:t>
      </w:r>
      <w:r>
        <w:rPr>
          <w:spacing w:val="-1"/>
        </w:rPr>
        <w:t xml:space="preserve"> </w:t>
      </w:r>
      <w:r>
        <w:t>"pejotização"</w:t>
      </w:r>
      <w:r>
        <w:rPr>
          <w:spacing w:val="-2"/>
        </w:rPr>
        <w:t xml:space="preserve"> </w:t>
      </w:r>
      <w:r>
        <w:t>é</w:t>
      </w:r>
      <w:r>
        <w:rPr>
          <w:spacing w:val="-3"/>
        </w:rPr>
        <w:t xml:space="preserve"> </w:t>
      </w:r>
      <w:r>
        <w:t>um</w:t>
      </w:r>
      <w:r>
        <w:rPr>
          <w:spacing w:val="-2"/>
        </w:rPr>
        <w:t xml:space="preserve"> </w:t>
      </w:r>
      <w:r>
        <w:t>dos</w:t>
      </w:r>
      <w:r>
        <w:rPr>
          <w:spacing w:val="-2"/>
        </w:rPr>
        <w:t xml:space="preserve"> </w:t>
      </w:r>
      <w:r>
        <w:t>maiores</w:t>
      </w:r>
      <w:r>
        <w:rPr>
          <w:spacing w:val="-2"/>
        </w:rPr>
        <w:t xml:space="preserve"> </w:t>
      </w:r>
      <w:r>
        <w:t>entraves da</w:t>
      </w:r>
      <w:r>
        <w:rPr>
          <w:spacing w:val="-1"/>
        </w:rPr>
        <w:t xml:space="preserve"> </w:t>
      </w:r>
      <w:r>
        <w:t>reforma tributária, devido aos diversos benefícios que os adotantes dessa sistemática podem conferir. A possível tributação na distribuição de lucro desencorajaria tal prática: A tributação dos lucros e dividendos, potencialmente elevaria a carga tributária do profissional "pejotizado", antes sujeito a regimes fiscais incentivados, quando comparado ao empregado celetista (sujeito às regras da CLT</w:t>
      </w:r>
      <w:r>
        <w:rPr>
          <w:vertAlign w:val="superscript"/>
        </w:rPr>
        <w:t>81</w:t>
      </w:r>
      <w:r>
        <w:t>), inclusive estimulando um retorno da prestação de serviços mediante carteira assinada.</w:t>
      </w:r>
      <w:r>
        <w:rPr>
          <w:vertAlign w:val="superscript"/>
        </w:rPr>
        <w:t>82</w:t>
      </w:r>
    </w:p>
    <w:p w:rsidR="007259F2" w:rsidRDefault="00E655B4">
      <w:pPr>
        <w:pStyle w:val="Corpodetexto"/>
        <w:ind w:left="1418" w:firstLine="0"/>
      </w:pPr>
      <w:r>
        <w:t>Nas</w:t>
      </w:r>
      <w:r>
        <w:rPr>
          <w:spacing w:val="-5"/>
        </w:rPr>
        <w:t xml:space="preserve"> </w:t>
      </w:r>
      <w:r>
        <w:t>palavras</w:t>
      </w:r>
      <w:r>
        <w:rPr>
          <w:spacing w:val="-1"/>
        </w:rPr>
        <w:t xml:space="preserve"> </w:t>
      </w:r>
      <w:r>
        <w:t>da</w:t>
      </w:r>
      <w:r>
        <w:rPr>
          <w:spacing w:val="-4"/>
        </w:rPr>
        <w:t xml:space="preserve"> </w:t>
      </w:r>
      <w:r>
        <w:t>Receita</w:t>
      </w:r>
      <w:r>
        <w:rPr>
          <w:spacing w:val="1"/>
        </w:rPr>
        <w:t xml:space="preserve"> </w:t>
      </w:r>
      <w:r>
        <w:rPr>
          <w:spacing w:val="-2"/>
        </w:rPr>
        <w:t>Federal:</w:t>
      </w:r>
      <w:r>
        <w:rPr>
          <w:spacing w:val="-2"/>
          <w:vertAlign w:val="superscript"/>
        </w:rPr>
        <w:t>83</w:t>
      </w:r>
    </w:p>
    <w:p w:rsidR="007259F2" w:rsidRDefault="007259F2">
      <w:pPr>
        <w:pStyle w:val="Corpodetexto"/>
        <w:ind w:left="0" w:firstLine="0"/>
        <w:jc w:val="left"/>
      </w:pPr>
    </w:p>
    <w:p w:rsidR="007259F2" w:rsidRDefault="00E655B4">
      <w:pPr>
        <w:pStyle w:val="Corpodetexto"/>
        <w:ind w:left="2978" w:right="990" w:firstLine="0"/>
      </w:pPr>
      <w:r>
        <w:t>O fenômeno, que vem ocorrendo como mecanismo alternativo para submissão de rendas do trabalho de profissionais liberais à sistemática de tributação das pessoas jurídicas, é motivado pela significativa vantagem tributária e pela redução do custo administrativo com a desobrigação das exigências trabalhistas.</w:t>
      </w:r>
    </w:p>
    <w:p w:rsidR="007259F2" w:rsidRDefault="00E655B4">
      <w:pPr>
        <w:pStyle w:val="Corpodetexto"/>
        <w:spacing w:before="202"/>
        <w:ind w:right="991"/>
      </w:pPr>
      <w:r>
        <w:t>Dessa forma, pode-se inferir que a reforma tributária seria uma forma de desestimular tal sistemática, que demonstra total desvirtuamento dos usos atribuídos a uma pessoa jurídica.</w:t>
      </w:r>
    </w:p>
    <w:p w:rsidR="007259F2" w:rsidRDefault="00E655B4">
      <w:pPr>
        <w:pStyle w:val="Heading2"/>
        <w:numPr>
          <w:ilvl w:val="1"/>
          <w:numId w:val="35"/>
        </w:numPr>
        <w:tabs>
          <w:tab w:val="left" w:pos="1069"/>
        </w:tabs>
        <w:spacing w:before="204"/>
        <w:ind w:left="1069" w:hanging="359"/>
      </w:pPr>
      <w:r>
        <w:t>Panorama</w:t>
      </w:r>
      <w:r>
        <w:rPr>
          <w:spacing w:val="-2"/>
        </w:rPr>
        <w:t xml:space="preserve"> </w:t>
      </w:r>
      <w:r>
        <w:t>Mundial</w:t>
      </w:r>
      <w:r>
        <w:rPr>
          <w:spacing w:val="-4"/>
        </w:rPr>
        <w:t xml:space="preserve"> </w:t>
      </w:r>
      <w:r>
        <w:t>frente</w:t>
      </w:r>
      <w:r>
        <w:rPr>
          <w:spacing w:val="-8"/>
        </w:rPr>
        <w:t xml:space="preserve"> </w:t>
      </w:r>
      <w:r>
        <w:t>a</w:t>
      </w:r>
      <w:r>
        <w:rPr>
          <w:spacing w:val="-6"/>
        </w:rPr>
        <w:t xml:space="preserve"> </w:t>
      </w:r>
      <w:r>
        <w:t>tributação</w:t>
      </w:r>
      <w:r>
        <w:rPr>
          <w:spacing w:val="-3"/>
        </w:rPr>
        <w:t xml:space="preserve"> </w:t>
      </w:r>
      <w:r>
        <w:t>de</w:t>
      </w:r>
      <w:r>
        <w:rPr>
          <w:spacing w:val="-8"/>
        </w:rPr>
        <w:t xml:space="preserve"> </w:t>
      </w:r>
      <w:r>
        <w:t>lucros</w:t>
      </w:r>
      <w:r>
        <w:rPr>
          <w:spacing w:val="-3"/>
        </w:rPr>
        <w:t xml:space="preserve"> </w:t>
      </w:r>
      <w:r>
        <w:t>e</w:t>
      </w:r>
      <w:r>
        <w:rPr>
          <w:spacing w:val="-7"/>
        </w:rPr>
        <w:t xml:space="preserve"> </w:t>
      </w:r>
      <w:r>
        <w:rPr>
          <w:spacing w:val="-2"/>
        </w:rPr>
        <w:t>dividendos</w:t>
      </w:r>
    </w:p>
    <w:p w:rsidR="007259F2" w:rsidRDefault="00E655B4">
      <w:pPr>
        <w:pStyle w:val="Corpodetexto"/>
        <w:spacing w:before="156"/>
        <w:ind w:right="990"/>
      </w:pPr>
      <w:r>
        <w:t>Segundo estudo realizado pela</w:t>
      </w:r>
      <w:r>
        <w:rPr>
          <w:spacing w:val="-3"/>
        </w:rPr>
        <w:t xml:space="preserve"> </w:t>
      </w:r>
      <w:r>
        <w:t>Tax Foudation</w:t>
      </w:r>
      <w:r>
        <w:rPr>
          <w:vertAlign w:val="superscript"/>
        </w:rPr>
        <w:t>84</w:t>
      </w:r>
      <w:r>
        <w:t>, o Brasil possui um dos sistemas tributários mais complexos do mundo. Em suas palavras:</w:t>
      </w:r>
    </w:p>
    <w:p w:rsidR="007259F2" w:rsidRDefault="00DE6B1C">
      <w:pPr>
        <w:pStyle w:val="Corpodetexto"/>
        <w:spacing w:before="5"/>
        <w:ind w:left="0" w:firstLine="0"/>
        <w:jc w:val="left"/>
        <w:rPr>
          <w:sz w:val="13"/>
        </w:rPr>
      </w:pPr>
      <w:r w:rsidRPr="00DE6B1C">
        <w:rPr>
          <w:sz w:val="13"/>
        </w:rPr>
        <w:pict>
          <v:rect id="docshape94" o:spid="_x0000_s1132" style="position:absolute;margin-left:85.1pt;margin-top:8.95pt;width:2in;height:.7pt;z-index:-15688704;mso-wrap-distance-left:0;mso-wrap-distance-right:0;mso-position-horizontal-relative:page" fillcolor="black" stroked="f">
            <w10:wrap type="topAndBottom" anchorx="page"/>
          </v:rect>
        </w:pict>
      </w:r>
    </w:p>
    <w:p w:rsidR="007259F2" w:rsidRDefault="00E655B4">
      <w:pPr>
        <w:spacing w:before="96"/>
        <w:ind w:left="710" w:right="990"/>
        <w:rPr>
          <w:sz w:val="20"/>
        </w:rPr>
      </w:pPr>
      <w:r>
        <w:rPr>
          <w:sz w:val="20"/>
          <w:vertAlign w:val="superscript"/>
        </w:rPr>
        <w:t>79</w:t>
      </w:r>
      <w:r>
        <w:rPr>
          <w:spacing w:val="-3"/>
          <w:sz w:val="20"/>
        </w:rPr>
        <w:t xml:space="preserve"> </w:t>
      </w:r>
      <w:r>
        <w:rPr>
          <w:sz w:val="20"/>
        </w:rPr>
        <w:t>BRASIL.</w:t>
      </w:r>
      <w:r>
        <w:rPr>
          <w:spacing w:val="-3"/>
          <w:sz w:val="20"/>
        </w:rPr>
        <w:t xml:space="preserve"> </w:t>
      </w:r>
      <w:r>
        <w:rPr>
          <w:sz w:val="20"/>
        </w:rPr>
        <w:t>Receita</w:t>
      </w:r>
      <w:r>
        <w:rPr>
          <w:spacing w:val="-3"/>
          <w:sz w:val="20"/>
        </w:rPr>
        <w:t xml:space="preserve"> </w:t>
      </w:r>
      <w:r>
        <w:rPr>
          <w:sz w:val="20"/>
        </w:rPr>
        <w:t xml:space="preserve">Federal. </w:t>
      </w:r>
      <w:r>
        <w:rPr>
          <w:b/>
          <w:sz w:val="20"/>
        </w:rPr>
        <w:t>O</w:t>
      </w:r>
      <w:r>
        <w:rPr>
          <w:b/>
          <w:spacing w:val="-2"/>
          <w:sz w:val="20"/>
        </w:rPr>
        <w:t xml:space="preserve"> </w:t>
      </w:r>
      <w:r>
        <w:rPr>
          <w:b/>
          <w:sz w:val="20"/>
        </w:rPr>
        <w:t>Fenômeno</w:t>
      </w:r>
      <w:r>
        <w:rPr>
          <w:b/>
          <w:spacing w:val="-3"/>
          <w:sz w:val="20"/>
        </w:rPr>
        <w:t xml:space="preserve"> </w:t>
      </w:r>
      <w:r>
        <w:rPr>
          <w:b/>
          <w:sz w:val="20"/>
        </w:rPr>
        <w:t>da</w:t>
      </w:r>
      <w:r>
        <w:rPr>
          <w:b/>
          <w:spacing w:val="-3"/>
          <w:sz w:val="20"/>
        </w:rPr>
        <w:t xml:space="preserve"> </w:t>
      </w:r>
      <w:r>
        <w:rPr>
          <w:b/>
          <w:sz w:val="20"/>
        </w:rPr>
        <w:t>“pejotização”</w:t>
      </w:r>
      <w:r>
        <w:rPr>
          <w:b/>
          <w:spacing w:val="-4"/>
          <w:sz w:val="20"/>
        </w:rPr>
        <w:t xml:space="preserve"> </w:t>
      </w:r>
      <w:r>
        <w:rPr>
          <w:b/>
          <w:sz w:val="20"/>
        </w:rPr>
        <w:t>e</w:t>
      </w:r>
      <w:r>
        <w:rPr>
          <w:b/>
          <w:spacing w:val="-3"/>
          <w:sz w:val="20"/>
        </w:rPr>
        <w:t xml:space="preserve"> </w:t>
      </w:r>
      <w:r>
        <w:rPr>
          <w:b/>
          <w:sz w:val="20"/>
        </w:rPr>
        <w:t>a motivação</w:t>
      </w:r>
      <w:r>
        <w:rPr>
          <w:b/>
          <w:spacing w:val="-2"/>
          <w:sz w:val="20"/>
        </w:rPr>
        <w:t xml:space="preserve"> </w:t>
      </w:r>
      <w:r>
        <w:rPr>
          <w:b/>
          <w:sz w:val="20"/>
        </w:rPr>
        <w:t>tributária</w:t>
      </w:r>
      <w:r>
        <w:rPr>
          <w:sz w:val="20"/>
        </w:rPr>
        <w:t>.</w:t>
      </w:r>
      <w:r>
        <w:rPr>
          <w:spacing w:val="-5"/>
          <w:sz w:val="20"/>
        </w:rPr>
        <w:t xml:space="preserve"> </w:t>
      </w:r>
      <w:r>
        <w:rPr>
          <w:sz w:val="20"/>
        </w:rPr>
        <w:t>Brasília,</w:t>
      </w:r>
      <w:r>
        <w:rPr>
          <w:spacing w:val="-3"/>
          <w:sz w:val="20"/>
        </w:rPr>
        <w:t xml:space="preserve"> </w:t>
      </w:r>
      <w:r>
        <w:rPr>
          <w:sz w:val="20"/>
        </w:rPr>
        <w:t>2016. Disponível em &lt;</w:t>
      </w:r>
      <w:hyperlink r:id="rId106">
        <w:r>
          <w:rPr>
            <w:sz w:val="20"/>
            <w:u w:val="single"/>
          </w:rPr>
          <w:t>https://www.gov.br/receitafederal%22/pt-br/centrais-de-</w:t>
        </w:r>
      </w:hyperlink>
      <w:r>
        <w:rPr>
          <w:sz w:val="20"/>
        </w:rPr>
        <w:t xml:space="preserve"> </w:t>
      </w:r>
      <w:hyperlink r:id="rId107">
        <w:r>
          <w:rPr>
            <w:sz w:val="20"/>
            <w:u w:val="single"/>
          </w:rPr>
          <w:t>conteudo/publicacoes/estudos/outrosestudos/pejotizacao.pdf/view</w:t>
        </w:r>
      </w:hyperlink>
      <w:r>
        <w:rPr>
          <w:sz w:val="20"/>
        </w:rPr>
        <w:t>&gt;. Acesso em 02/05/2022.</w:t>
      </w:r>
    </w:p>
    <w:p w:rsidR="007259F2" w:rsidRDefault="00E655B4">
      <w:pPr>
        <w:spacing w:line="229" w:lineRule="exact"/>
        <w:ind w:left="710"/>
        <w:rPr>
          <w:i/>
          <w:sz w:val="20"/>
        </w:rPr>
      </w:pPr>
      <w:r>
        <w:rPr>
          <w:sz w:val="20"/>
          <w:vertAlign w:val="superscript"/>
        </w:rPr>
        <w:t>80</w:t>
      </w:r>
      <w:r>
        <w:rPr>
          <w:spacing w:val="-2"/>
          <w:sz w:val="20"/>
        </w:rPr>
        <w:t xml:space="preserve"> </w:t>
      </w:r>
      <w:r>
        <w:rPr>
          <w:i/>
          <w:spacing w:val="-2"/>
          <w:sz w:val="20"/>
        </w:rPr>
        <w:t>Ibid.</w:t>
      </w:r>
    </w:p>
    <w:p w:rsidR="007259F2" w:rsidRDefault="00E655B4">
      <w:pPr>
        <w:spacing w:before="1"/>
        <w:ind w:left="710" w:right="990"/>
        <w:jc w:val="both"/>
        <w:rPr>
          <w:sz w:val="20"/>
        </w:rPr>
      </w:pPr>
      <w:r>
        <w:rPr>
          <w:sz w:val="20"/>
          <w:vertAlign w:val="superscript"/>
        </w:rPr>
        <w:t>81</w:t>
      </w:r>
      <w:r>
        <w:rPr>
          <w:sz w:val="20"/>
        </w:rPr>
        <w:t xml:space="preserve"> BRASIL. Presidência da República. </w:t>
      </w:r>
      <w:r>
        <w:rPr>
          <w:b/>
          <w:sz w:val="20"/>
        </w:rPr>
        <w:t>Decreto-Lei n. 5.453, de 30 de abril de 1943</w:t>
      </w:r>
      <w:r>
        <w:rPr>
          <w:sz w:val="20"/>
        </w:rPr>
        <w:t xml:space="preserve">. Diário Oficial da União. Disponível em: </w:t>
      </w:r>
      <w:hyperlink r:id="rId108">
        <w:r>
          <w:rPr>
            <w:sz w:val="20"/>
          </w:rPr>
          <w:t>http://www.planalto.gov.br/ccivil_03/decreto-lei/del5452.html.</w:t>
        </w:r>
      </w:hyperlink>
      <w:r>
        <w:rPr>
          <w:sz w:val="20"/>
        </w:rPr>
        <w:t xml:space="preserve"> Acesso em: </w:t>
      </w:r>
      <w:r>
        <w:rPr>
          <w:spacing w:val="-2"/>
          <w:sz w:val="20"/>
        </w:rPr>
        <w:t>08/04/2022</w:t>
      </w:r>
    </w:p>
    <w:p w:rsidR="007259F2" w:rsidRDefault="00E655B4">
      <w:pPr>
        <w:ind w:left="710" w:right="1205"/>
        <w:rPr>
          <w:sz w:val="20"/>
        </w:rPr>
      </w:pPr>
      <w:r>
        <w:rPr>
          <w:sz w:val="20"/>
          <w:vertAlign w:val="superscript"/>
        </w:rPr>
        <w:t>82</w:t>
      </w:r>
      <w:r>
        <w:rPr>
          <w:spacing w:val="-6"/>
          <w:sz w:val="20"/>
        </w:rPr>
        <w:t xml:space="preserve"> </w:t>
      </w:r>
      <w:r>
        <w:rPr>
          <w:sz w:val="20"/>
        </w:rPr>
        <w:t>PERREGIL,</w:t>
      </w:r>
      <w:r>
        <w:rPr>
          <w:spacing w:val="-4"/>
          <w:sz w:val="20"/>
        </w:rPr>
        <w:t xml:space="preserve"> </w:t>
      </w:r>
      <w:r>
        <w:rPr>
          <w:sz w:val="20"/>
        </w:rPr>
        <w:t>Fernanda;</w:t>
      </w:r>
      <w:r>
        <w:rPr>
          <w:spacing w:val="-4"/>
          <w:sz w:val="20"/>
        </w:rPr>
        <w:t xml:space="preserve"> </w:t>
      </w:r>
      <w:r>
        <w:rPr>
          <w:sz w:val="20"/>
        </w:rPr>
        <w:t>MANSUR,</w:t>
      </w:r>
      <w:r>
        <w:rPr>
          <w:spacing w:val="-2"/>
          <w:sz w:val="20"/>
        </w:rPr>
        <w:t xml:space="preserve"> </w:t>
      </w:r>
      <w:r>
        <w:rPr>
          <w:sz w:val="20"/>
        </w:rPr>
        <w:t>Luiz</w:t>
      </w:r>
      <w:r>
        <w:rPr>
          <w:spacing w:val="-4"/>
          <w:sz w:val="20"/>
        </w:rPr>
        <w:t xml:space="preserve"> </w:t>
      </w:r>
      <w:r>
        <w:rPr>
          <w:sz w:val="20"/>
        </w:rPr>
        <w:t>Rafael.</w:t>
      </w:r>
      <w:r>
        <w:rPr>
          <w:spacing w:val="-8"/>
          <w:sz w:val="20"/>
        </w:rPr>
        <w:t xml:space="preserve"> </w:t>
      </w:r>
      <w:r>
        <w:rPr>
          <w:sz w:val="20"/>
        </w:rPr>
        <w:t>A</w:t>
      </w:r>
      <w:r>
        <w:rPr>
          <w:spacing w:val="-14"/>
          <w:sz w:val="20"/>
        </w:rPr>
        <w:t xml:space="preserve"> </w:t>
      </w:r>
      <w:r>
        <w:rPr>
          <w:sz w:val="20"/>
        </w:rPr>
        <w:t>tributação</w:t>
      </w:r>
      <w:r>
        <w:rPr>
          <w:spacing w:val="-3"/>
          <w:sz w:val="20"/>
        </w:rPr>
        <w:t xml:space="preserve"> </w:t>
      </w:r>
      <w:r>
        <w:rPr>
          <w:sz w:val="20"/>
        </w:rPr>
        <w:t>de</w:t>
      </w:r>
      <w:r>
        <w:rPr>
          <w:spacing w:val="-4"/>
          <w:sz w:val="20"/>
        </w:rPr>
        <w:t xml:space="preserve"> </w:t>
      </w:r>
      <w:r>
        <w:rPr>
          <w:sz w:val="20"/>
        </w:rPr>
        <w:t>lucros</w:t>
      </w:r>
      <w:r>
        <w:rPr>
          <w:spacing w:val="-5"/>
          <w:sz w:val="20"/>
        </w:rPr>
        <w:t xml:space="preserve"> </w:t>
      </w:r>
      <w:r>
        <w:rPr>
          <w:sz w:val="20"/>
        </w:rPr>
        <w:t>e</w:t>
      </w:r>
      <w:r>
        <w:rPr>
          <w:spacing w:val="-4"/>
          <w:sz w:val="20"/>
        </w:rPr>
        <w:t xml:space="preserve"> </w:t>
      </w:r>
      <w:r>
        <w:rPr>
          <w:sz w:val="20"/>
        </w:rPr>
        <w:t>dividendos</w:t>
      </w:r>
      <w:r>
        <w:rPr>
          <w:spacing w:val="-5"/>
          <w:sz w:val="20"/>
        </w:rPr>
        <w:t xml:space="preserve"> </w:t>
      </w:r>
      <w:r>
        <w:rPr>
          <w:sz w:val="20"/>
        </w:rPr>
        <w:t>e</w:t>
      </w:r>
      <w:r>
        <w:rPr>
          <w:spacing w:val="-4"/>
          <w:sz w:val="20"/>
        </w:rPr>
        <w:t xml:space="preserve"> </w:t>
      </w:r>
      <w:r>
        <w:rPr>
          <w:sz w:val="20"/>
        </w:rPr>
        <w:t xml:space="preserve">seus potenciais efeitos tributários e trabalhistas para o mercado. </w:t>
      </w:r>
      <w:r>
        <w:rPr>
          <w:b/>
          <w:sz w:val="20"/>
        </w:rPr>
        <w:t>Migalhas</w:t>
      </w:r>
      <w:r>
        <w:rPr>
          <w:sz w:val="20"/>
        </w:rPr>
        <w:t xml:space="preserve">. 2019. Disponível em: </w:t>
      </w:r>
      <w:hyperlink r:id="rId109">
        <w:r>
          <w:rPr>
            <w:spacing w:val="-2"/>
            <w:sz w:val="20"/>
            <w:u w:val="single"/>
          </w:rPr>
          <w:t>https://www.migalhas.com.br/depeso/297334/a-tributacao-de-lucros-e-dividendos-e-seus-potenciais</w:t>
        </w:r>
      </w:hyperlink>
      <w:r>
        <w:rPr>
          <w:spacing w:val="-2"/>
          <w:sz w:val="20"/>
        </w:rPr>
        <w:t xml:space="preserve"> </w:t>
      </w:r>
      <w:hyperlink r:id="rId110">
        <w:r>
          <w:rPr>
            <w:sz w:val="20"/>
            <w:u w:val="single"/>
          </w:rPr>
          <w:t>efeitostributarios-e-trabalhistas-para-o-mercado</w:t>
        </w:r>
        <w:r>
          <w:rPr>
            <w:sz w:val="20"/>
          </w:rPr>
          <w:t>.</w:t>
        </w:r>
      </w:hyperlink>
      <w:r>
        <w:rPr>
          <w:sz w:val="20"/>
        </w:rPr>
        <w:t xml:space="preserve"> Acesso em: 09/05/2022.</w:t>
      </w:r>
    </w:p>
    <w:p w:rsidR="007259F2" w:rsidRDefault="00E655B4">
      <w:pPr>
        <w:spacing w:before="1"/>
        <w:ind w:left="710"/>
        <w:rPr>
          <w:sz w:val="20"/>
        </w:rPr>
      </w:pPr>
      <w:r>
        <w:rPr>
          <w:sz w:val="20"/>
          <w:vertAlign w:val="superscript"/>
        </w:rPr>
        <w:t>83</w:t>
      </w:r>
      <w:r>
        <w:rPr>
          <w:spacing w:val="-6"/>
          <w:sz w:val="20"/>
        </w:rPr>
        <w:t xml:space="preserve"> </w:t>
      </w:r>
      <w:r>
        <w:rPr>
          <w:sz w:val="20"/>
        </w:rPr>
        <w:t>BRASIL,</w:t>
      </w:r>
      <w:r>
        <w:rPr>
          <w:spacing w:val="-5"/>
          <w:sz w:val="20"/>
        </w:rPr>
        <w:t xml:space="preserve"> </w:t>
      </w:r>
      <w:r>
        <w:rPr>
          <w:spacing w:val="-2"/>
          <w:sz w:val="20"/>
        </w:rPr>
        <w:t>2016.</w:t>
      </w:r>
    </w:p>
    <w:p w:rsidR="007259F2" w:rsidRDefault="007259F2">
      <w:pPr>
        <w:rPr>
          <w:sz w:val="20"/>
        </w:rPr>
        <w:sectPr w:rsidR="007259F2">
          <w:pgSz w:w="11910" w:h="16840"/>
          <w:pgMar w:top="1320" w:right="708" w:bottom="1160" w:left="992" w:header="0" w:footer="962" w:gutter="0"/>
          <w:cols w:space="720"/>
        </w:sectPr>
      </w:pPr>
    </w:p>
    <w:p w:rsidR="007259F2" w:rsidRDefault="00E655B4">
      <w:pPr>
        <w:spacing w:before="71"/>
        <w:ind w:left="2978" w:right="987"/>
        <w:jc w:val="both"/>
        <w:rPr>
          <w:sz w:val="20"/>
        </w:rPr>
      </w:pPr>
      <w:r>
        <w:rPr>
          <w:sz w:val="20"/>
        </w:rPr>
        <w:lastRenderedPageBreak/>
        <w:t>(...)Segundo o Banco Mundial, enquanto uma empresa típica gasta 234 horas para cumprir suas obrigações fiscais, uma empresa brasileira enfrenta 1.500 horas. O sistema fiscal do Brasil é caracterizado por regulamentações opacas e regras em constante mudança nos níveis federal, estadual e municipal. A revisão do sistema tributário criaria eficiência para as empresas e ajudaria a promover o investimento privado.</w:t>
      </w:r>
    </w:p>
    <w:p w:rsidR="007259F2" w:rsidRDefault="00E655B4">
      <w:pPr>
        <w:pStyle w:val="Corpodetexto"/>
        <w:spacing w:before="229"/>
        <w:ind w:right="988"/>
      </w:pPr>
      <w:r>
        <w:t>Ainda, de acordo com estudo realizado pela Confederação Nacional de Municípios</w:t>
      </w:r>
      <w:r>
        <w:rPr>
          <w:position w:val="9"/>
          <w:sz w:val="13"/>
        </w:rPr>
        <w:t>85</w:t>
      </w:r>
      <w:r>
        <w:t>, o Brasil é um dos poucos países ao redor do mundo que não tributa o pagamento de dividendos aos acionistas. Entre o os outros Estados, a Estônia e a</w:t>
      </w:r>
      <w:r>
        <w:rPr>
          <w:spacing w:val="40"/>
        </w:rPr>
        <w:t xml:space="preserve"> </w:t>
      </w:r>
      <w:r>
        <w:t>Letônia são territórios que não cobram impostos na distribuição de resultados.</w:t>
      </w:r>
    </w:p>
    <w:p w:rsidR="007259F2" w:rsidRDefault="00E655B4">
      <w:pPr>
        <w:pStyle w:val="Corpodetexto"/>
        <w:ind w:right="992"/>
      </w:pPr>
      <w:r>
        <w:t>Entre os Estados que adotam a isenção de impostos para dividendos, o modelo</w:t>
      </w:r>
      <w:r>
        <w:rPr>
          <w:spacing w:val="40"/>
        </w:rPr>
        <w:t xml:space="preserve"> </w:t>
      </w:r>
      <w:r>
        <w:t>de aplicação é</w:t>
      </w:r>
      <w:r>
        <w:rPr>
          <w:spacing w:val="-2"/>
        </w:rPr>
        <w:t xml:space="preserve"> </w:t>
      </w:r>
      <w:r>
        <w:t>o mesmo:</w:t>
      </w:r>
      <w:r>
        <w:rPr>
          <w:spacing w:val="-2"/>
        </w:rPr>
        <w:t xml:space="preserve"> </w:t>
      </w:r>
      <w:r>
        <w:t>os</w:t>
      </w:r>
      <w:r>
        <w:rPr>
          <w:spacing w:val="-1"/>
        </w:rPr>
        <w:t xml:space="preserve"> </w:t>
      </w:r>
      <w:r>
        <w:t>tributos</w:t>
      </w:r>
      <w:r>
        <w:rPr>
          <w:spacing w:val="-1"/>
        </w:rPr>
        <w:t xml:space="preserve"> </w:t>
      </w:r>
      <w:r>
        <w:t>incidem sobre</w:t>
      </w:r>
      <w:r>
        <w:rPr>
          <w:spacing w:val="-5"/>
        </w:rPr>
        <w:t xml:space="preserve"> </w:t>
      </w:r>
      <w:r>
        <w:t>os</w:t>
      </w:r>
      <w:r>
        <w:rPr>
          <w:spacing w:val="-1"/>
        </w:rPr>
        <w:t xml:space="preserve"> </w:t>
      </w:r>
      <w:r>
        <w:t>lucros auferidos pelas</w:t>
      </w:r>
      <w:r>
        <w:rPr>
          <w:spacing w:val="-3"/>
        </w:rPr>
        <w:t xml:space="preserve"> </w:t>
      </w:r>
      <w:r>
        <w:t>companhias (pessoas jurídicas), e não pelas pessoas físicas. Por outro lado, na parte majoritária dos países, em que há tributação de dividendos, a carga tributária incide sobre os lucros da Pessoa Jurídica e, também, no momento da distribuição dos valores aos acionistas.</w:t>
      </w:r>
    </w:p>
    <w:p w:rsidR="007259F2" w:rsidRDefault="00E655B4">
      <w:pPr>
        <w:pStyle w:val="Corpodetexto"/>
        <w:spacing w:before="1"/>
        <w:ind w:right="997"/>
      </w:pPr>
      <w:r>
        <w:t>Dessa forma, caso os projetos existentes sobre a temática da tributação de lucros e dividendos cheguem à aprovação e conversão em lei, o Brasil se adequaria ao modelo de taxação adotado pela grande maioria dos países em nível mundial.</w:t>
      </w:r>
      <w:r>
        <w:rPr>
          <w:vertAlign w:val="superscript"/>
        </w:rPr>
        <w:t>86</w:t>
      </w:r>
    </w:p>
    <w:p w:rsidR="007259F2" w:rsidRDefault="00E655B4">
      <w:pPr>
        <w:pStyle w:val="Corpodetexto"/>
        <w:ind w:right="991"/>
      </w:pPr>
      <w:r>
        <w:t>Seguir tal exemplo de modelo adotado pelas maiores economias (como, por exemplo, os Estados Unidos, Japão,</w:t>
      </w:r>
      <w:r>
        <w:rPr>
          <w:spacing w:val="-10"/>
        </w:rPr>
        <w:t xml:space="preserve"> </w:t>
      </w:r>
      <w:r>
        <w:t>Alemanha</w:t>
      </w:r>
      <w:r>
        <w:rPr>
          <w:vertAlign w:val="superscript"/>
        </w:rPr>
        <w:t>87</w:t>
      </w:r>
      <w:r>
        <w:t>) em nível global pode ajudar o país em seu desenvolvimento em âmbito arrecadatório e econômico.</w:t>
      </w:r>
    </w:p>
    <w:p w:rsidR="007259F2" w:rsidRDefault="00E655B4">
      <w:pPr>
        <w:pStyle w:val="PargrafodaLista"/>
        <w:numPr>
          <w:ilvl w:val="1"/>
          <w:numId w:val="35"/>
        </w:numPr>
        <w:tabs>
          <w:tab w:val="left" w:pos="1072"/>
        </w:tabs>
        <w:spacing w:before="207" w:line="278" w:lineRule="auto"/>
        <w:ind w:left="710" w:right="991" w:firstLine="0"/>
        <w:jc w:val="both"/>
        <w:rPr>
          <w:b/>
          <w:sz w:val="24"/>
        </w:rPr>
      </w:pPr>
      <w:r>
        <w:rPr>
          <w:b/>
          <w:sz w:val="24"/>
        </w:rPr>
        <w:t>Uma</w:t>
      </w:r>
      <w:r>
        <w:rPr>
          <w:b/>
          <w:spacing w:val="-4"/>
          <w:sz w:val="24"/>
        </w:rPr>
        <w:t xml:space="preserve"> </w:t>
      </w:r>
      <w:r>
        <w:rPr>
          <w:b/>
          <w:sz w:val="24"/>
        </w:rPr>
        <w:t>questão</w:t>
      </w:r>
      <w:r>
        <w:rPr>
          <w:b/>
          <w:spacing w:val="-4"/>
          <w:sz w:val="24"/>
        </w:rPr>
        <w:t xml:space="preserve"> </w:t>
      </w:r>
      <w:r>
        <w:rPr>
          <w:b/>
          <w:sz w:val="24"/>
        </w:rPr>
        <w:t>que</w:t>
      </w:r>
      <w:r>
        <w:rPr>
          <w:b/>
          <w:spacing w:val="-4"/>
          <w:sz w:val="24"/>
        </w:rPr>
        <w:t xml:space="preserve"> </w:t>
      </w:r>
      <w:r>
        <w:rPr>
          <w:b/>
          <w:sz w:val="24"/>
        </w:rPr>
        <w:t>poderá levar</w:t>
      </w:r>
      <w:r>
        <w:rPr>
          <w:b/>
          <w:spacing w:val="-5"/>
          <w:sz w:val="24"/>
        </w:rPr>
        <w:t xml:space="preserve"> </w:t>
      </w:r>
      <w:r>
        <w:rPr>
          <w:b/>
          <w:sz w:val="24"/>
        </w:rPr>
        <w:t>ao</w:t>
      </w:r>
      <w:r>
        <w:rPr>
          <w:b/>
          <w:spacing w:val="-1"/>
          <w:sz w:val="24"/>
        </w:rPr>
        <w:t xml:space="preserve"> </w:t>
      </w:r>
      <w:r>
        <w:rPr>
          <w:b/>
          <w:sz w:val="24"/>
        </w:rPr>
        <w:t>crescimento</w:t>
      </w:r>
      <w:r>
        <w:rPr>
          <w:b/>
          <w:spacing w:val="-2"/>
          <w:sz w:val="24"/>
        </w:rPr>
        <w:t xml:space="preserve"> </w:t>
      </w:r>
      <w:r>
        <w:rPr>
          <w:b/>
          <w:sz w:val="24"/>
        </w:rPr>
        <w:t>das judicializações</w:t>
      </w:r>
      <w:r>
        <w:rPr>
          <w:b/>
          <w:spacing w:val="-3"/>
          <w:sz w:val="24"/>
        </w:rPr>
        <w:t xml:space="preserve"> </w:t>
      </w:r>
      <w:r>
        <w:rPr>
          <w:b/>
          <w:sz w:val="24"/>
        </w:rPr>
        <w:t>sobre</w:t>
      </w:r>
      <w:r>
        <w:rPr>
          <w:b/>
          <w:spacing w:val="-4"/>
          <w:sz w:val="24"/>
        </w:rPr>
        <w:t xml:space="preserve"> </w:t>
      </w:r>
      <w:r>
        <w:rPr>
          <w:b/>
          <w:sz w:val="24"/>
        </w:rPr>
        <w:t>o</w:t>
      </w:r>
      <w:r>
        <w:rPr>
          <w:b/>
          <w:spacing w:val="-1"/>
          <w:sz w:val="24"/>
        </w:rPr>
        <w:t xml:space="preserve"> </w:t>
      </w:r>
      <w:r>
        <w:rPr>
          <w:b/>
          <w:sz w:val="24"/>
        </w:rPr>
        <w:t>tema: a</w:t>
      </w:r>
      <w:r>
        <w:rPr>
          <w:b/>
          <w:spacing w:val="-4"/>
          <w:sz w:val="24"/>
        </w:rPr>
        <w:t xml:space="preserve"> </w:t>
      </w:r>
      <w:r>
        <w:rPr>
          <w:b/>
          <w:i/>
          <w:sz w:val="24"/>
        </w:rPr>
        <w:t xml:space="preserve">bitributação </w:t>
      </w:r>
      <w:r>
        <w:rPr>
          <w:b/>
          <w:sz w:val="24"/>
        </w:rPr>
        <w:t xml:space="preserve">e o </w:t>
      </w:r>
      <w:r>
        <w:rPr>
          <w:b/>
          <w:i/>
          <w:sz w:val="24"/>
        </w:rPr>
        <w:t>bis in idem</w:t>
      </w:r>
      <w:r>
        <w:rPr>
          <w:b/>
          <w:sz w:val="24"/>
        </w:rPr>
        <w:t>.</w:t>
      </w:r>
    </w:p>
    <w:p w:rsidR="007259F2" w:rsidRDefault="00E655B4">
      <w:pPr>
        <w:pStyle w:val="Corpodetexto"/>
        <w:spacing w:before="108"/>
        <w:ind w:right="990"/>
      </w:pPr>
      <w:r>
        <w:t>Uma questão que deve ser analisada nesse contexto é que, há a possível interpretação</w:t>
      </w:r>
      <w:r>
        <w:rPr>
          <w:spacing w:val="-3"/>
        </w:rPr>
        <w:t xml:space="preserve"> </w:t>
      </w:r>
      <w:r>
        <w:t>de</w:t>
      </w:r>
      <w:r>
        <w:rPr>
          <w:spacing w:val="-4"/>
        </w:rPr>
        <w:t xml:space="preserve"> </w:t>
      </w:r>
      <w:r>
        <w:t>que</w:t>
      </w:r>
      <w:r>
        <w:rPr>
          <w:spacing w:val="-4"/>
        </w:rPr>
        <w:t xml:space="preserve"> </w:t>
      </w:r>
      <w:r>
        <w:t>a</w:t>
      </w:r>
      <w:r>
        <w:rPr>
          <w:spacing w:val="-4"/>
        </w:rPr>
        <w:t xml:space="preserve"> </w:t>
      </w:r>
      <w:r>
        <w:t>medida</w:t>
      </w:r>
      <w:r>
        <w:rPr>
          <w:spacing w:val="-3"/>
        </w:rPr>
        <w:t xml:space="preserve"> </w:t>
      </w:r>
      <w:r>
        <w:t>proposta</w:t>
      </w:r>
      <w:r>
        <w:rPr>
          <w:spacing w:val="-4"/>
        </w:rPr>
        <w:t xml:space="preserve"> </w:t>
      </w:r>
      <w:r>
        <w:t>configura</w:t>
      </w:r>
      <w:r>
        <w:rPr>
          <w:spacing w:val="-2"/>
        </w:rPr>
        <w:t xml:space="preserve"> </w:t>
      </w:r>
      <w:r>
        <w:t>hipótese</w:t>
      </w:r>
      <w:r>
        <w:rPr>
          <w:spacing w:val="-4"/>
        </w:rPr>
        <w:t xml:space="preserve"> </w:t>
      </w:r>
      <w:r>
        <w:t>de</w:t>
      </w:r>
      <w:r>
        <w:rPr>
          <w:spacing w:val="-4"/>
        </w:rPr>
        <w:t xml:space="preserve"> </w:t>
      </w:r>
      <w:r>
        <w:t>tributação</w:t>
      </w:r>
      <w:r>
        <w:rPr>
          <w:spacing w:val="-3"/>
        </w:rPr>
        <w:t xml:space="preserve"> </w:t>
      </w:r>
      <w:r>
        <w:t>em</w:t>
      </w:r>
      <w:r>
        <w:rPr>
          <w:spacing w:val="-3"/>
        </w:rPr>
        <w:t xml:space="preserve"> </w:t>
      </w:r>
      <w:r>
        <w:t xml:space="preserve">duplicidade, a chamada </w:t>
      </w:r>
      <w:r>
        <w:rPr>
          <w:i/>
        </w:rPr>
        <w:t>bitributação</w:t>
      </w:r>
      <w:r>
        <w:t>, tendo em vista que os lucros auferidos em determinado exercício financeiro já são tributados por meio do Imposto de Renda das Pessoas Jurídicas.</w:t>
      </w:r>
      <w:r>
        <w:rPr>
          <w:spacing w:val="40"/>
        </w:rPr>
        <w:t xml:space="preserve"> </w:t>
      </w:r>
      <w:r>
        <w:t>Portanto,</w:t>
      </w:r>
      <w:r>
        <w:rPr>
          <w:spacing w:val="-3"/>
        </w:rPr>
        <w:t xml:space="preserve"> </w:t>
      </w:r>
      <w:r>
        <w:t>a</w:t>
      </w:r>
      <w:r>
        <w:rPr>
          <w:spacing w:val="-4"/>
        </w:rPr>
        <w:t xml:space="preserve"> </w:t>
      </w:r>
      <w:r>
        <w:t>aplicação</w:t>
      </w:r>
      <w:r>
        <w:rPr>
          <w:spacing w:val="-3"/>
        </w:rPr>
        <w:t xml:space="preserve"> </w:t>
      </w:r>
      <w:r>
        <w:t>do</w:t>
      </w:r>
      <w:r>
        <w:rPr>
          <w:spacing w:val="-3"/>
        </w:rPr>
        <w:t xml:space="preserve"> </w:t>
      </w:r>
      <w:r>
        <w:t xml:space="preserve">tributo sobre a distribuição desses lucros, quando do recebimento pelos acionistas, implicaria em </w:t>
      </w:r>
      <w:r>
        <w:rPr>
          <w:i/>
        </w:rPr>
        <w:t>bis in idem</w:t>
      </w:r>
      <w:r>
        <w:t>, o que não encontra amparo no sistema tributário brasileiro.</w:t>
      </w:r>
    </w:p>
    <w:p w:rsidR="007259F2" w:rsidRDefault="00E655B4">
      <w:pPr>
        <w:pStyle w:val="Corpodetexto"/>
        <w:spacing w:before="1"/>
        <w:ind w:right="994"/>
      </w:pPr>
      <w:r>
        <w:t>Porém, tal entendimento é dificilmente levado a diante tendo em vista que, conforme verifica-se no Direito Civil, que traz a definição de pessoa física e pessoa jurídica, estabelece que elas não se confundem, nem se assemelham.</w:t>
      </w:r>
    </w:p>
    <w:p w:rsidR="007259F2" w:rsidRDefault="00E655B4">
      <w:pPr>
        <w:pStyle w:val="Corpodetexto"/>
        <w:ind w:right="989"/>
      </w:pPr>
      <w:r>
        <w:t>A</w:t>
      </w:r>
      <w:r>
        <w:rPr>
          <w:spacing w:val="-15"/>
        </w:rPr>
        <w:t xml:space="preserve"> </w:t>
      </w:r>
      <w:r>
        <w:t>Lei</w:t>
      </w:r>
      <w:r>
        <w:rPr>
          <w:spacing w:val="-15"/>
        </w:rPr>
        <w:t xml:space="preserve"> </w:t>
      </w:r>
      <w:r>
        <w:t>nº</w:t>
      </w:r>
      <w:r>
        <w:rPr>
          <w:spacing w:val="-11"/>
        </w:rPr>
        <w:t xml:space="preserve"> </w:t>
      </w:r>
      <w:r>
        <w:t>13.874/2019,</w:t>
      </w:r>
      <w:r>
        <w:rPr>
          <w:spacing w:val="-7"/>
        </w:rPr>
        <w:t xml:space="preserve"> </w:t>
      </w:r>
      <w:r>
        <w:t>conhecida</w:t>
      </w:r>
      <w:r>
        <w:rPr>
          <w:spacing w:val="-8"/>
        </w:rPr>
        <w:t xml:space="preserve"> </w:t>
      </w:r>
      <w:r>
        <w:t>como</w:t>
      </w:r>
      <w:r>
        <w:rPr>
          <w:spacing w:val="-7"/>
        </w:rPr>
        <w:t xml:space="preserve"> </w:t>
      </w:r>
      <w:r>
        <w:t>Lei</w:t>
      </w:r>
      <w:r>
        <w:rPr>
          <w:spacing w:val="-7"/>
        </w:rPr>
        <w:t xml:space="preserve"> </w:t>
      </w:r>
      <w:r>
        <w:t>da</w:t>
      </w:r>
      <w:r>
        <w:rPr>
          <w:spacing w:val="-9"/>
        </w:rPr>
        <w:t xml:space="preserve"> </w:t>
      </w:r>
      <w:r>
        <w:t>Liberdade</w:t>
      </w:r>
      <w:r>
        <w:rPr>
          <w:spacing w:val="-8"/>
        </w:rPr>
        <w:t xml:space="preserve"> </w:t>
      </w:r>
      <w:r>
        <w:t>Econômica,</w:t>
      </w:r>
      <w:r>
        <w:rPr>
          <w:spacing w:val="-7"/>
        </w:rPr>
        <w:t xml:space="preserve"> </w:t>
      </w:r>
      <w:r>
        <w:t>acrescentou o art. 49-A e alterou o art. 50, ambos da Lei nº 10.406/2002 (Código Civil). Ficou definido no caput do art. 49-A que a “pessoa jurídica não se confunde com os seus sócios, associados, instituidores ou administradores”.</w:t>
      </w:r>
    </w:p>
    <w:p w:rsidR="007259F2" w:rsidRDefault="00E655B4">
      <w:pPr>
        <w:pStyle w:val="Corpodetexto"/>
        <w:ind w:left="1418" w:firstLine="0"/>
      </w:pPr>
      <w:r>
        <w:t>Segundo</w:t>
      </w:r>
      <w:r>
        <w:rPr>
          <w:spacing w:val="-3"/>
        </w:rPr>
        <w:t xml:space="preserve"> </w:t>
      </w:r>
      <w:r>
        <w:t>Regina</w:t>
      </w:r>
      <w:r>
        <w:rPr>
          <w:spacing w:val="-2"/>
        </w:rPr>
        <w:t xml:space="preserve"> </w:t>
      </w:r>
      <w:r>
        <w:t>Helena</w:t>
      </w:r>
      <w:r>
        <w:rPr>
          <w:spacing w:val="-1"/>
        </w:rPr>
        <w:t xml:space="preserve"> </w:t>
      </w:r>
      <w:r>
        <w:rPr>
          <w:spacing w:val="-2"/>
        </w:rPr>
        <w:t>Costa:</w:t>
      </w:r>
      <w:r>
        <w:rPr>
          <w:spacing w:val="-2"/>
          <w:vertAlign w:val="superscript"/>
        </w:rPr>
        <w:t>88</w:t>
      </w:r>
    </w:p>
    <w:p w:rsidR="007259F2" w:rsidRDefault="00DE6B1C">
      <w:pPr>
        <w:pStyle w:val="Corpodetexto"/>
        <w:spacing w:before="37"/>
        <w:ind w:left="0" w:firstLine="0"/>
        <w:jc w:val="left"/>
        <w:rPr>
          <w:sz w:val="20"/>
        </w:rPr>
      </w:pPr>
      <w:r w:rsidRPr="00DE6B1C">
        <w:rPr>
          <w:sz w:val="20"/>
        </w:rPr>
        <w:pict>
          <v:rect id="docshape95" o:spid="_x0000_s1131" style="position:absolute;margin-left:85.1pt;margin-top:14.6pt;width:425.25pt;height:.7pt;z-index:-15688192;mso-wrap-distance-left:0;mso-wrap-distance-right:0;mso-position-horizontal-relative:page" fillcolor="black" stroked="f">
            <w10:wrap type="topAndBottom" anchorx="page"/>
          </v:rect>
        </w:pict>
      </w:r>
    </w:p>
    <w:p w:rsidR="007259F2" w:rsidRDefault="00E655B4">
      <w:pPr>
        <w:spacing w:before="96"/>
        <w:ind w:left="710" w:right="1307"/>
        <w:rPr>
          <w:sz w:val="20"/>
        </w:rPr>
      </w:pPr>
      <w:r>
        <w:rPr>
          <w:sz w:val="20"/>
          <w:vertAlign w:val="superscript"/>
        </w:rPr>
        <w:t>84</w:t>
      </w:r>
      <w:r>
        <w:rPr>
          <w:spacing w:val="-4"/>
          <w:sz w:val="20"/>
        </w:rPr>
        <w:t xml:space="preserve"> </w:t>
      </w:r>
      <w:r>
        <w:rPr>
          <w:sz w:val="20"/>
        </w:rPr>
        <w:t>ENACHE,</w:t>
      </w:r>
      <w:r>
        <w:rPr>
          <w:spacing w:val="-3"/>
          <w:sz w:val="20"/>
        </w:rPr>
        <w:t xml:space="preserve"> </w:t>
      </w:r>
      <w:r>
        <w:rPr>
          <w:sz w:val="20"/>
        </w:rPr>
        <w:t>Cristina.</w:t>
      </w:r>
      <w:r>
        <w:rPr>
          <w:spacing w:val="-4"/>
          <w:sz w:val="20"/>
        </w:rPr>
        <w:t xml:space="preserve"> </w:t>
      </w:r>
      <w:r>
        <w:rPr>
          <w:sz w:val="20"/>
        </w:rPr>
        <w:t>Brazil</w:t>
      </w:r>
      <w:r>
        <w:rPr>
          <w:spacing w:val="-5"/>
          <w:sz w:val="20"/>
        </w:rPr>
        <w:t xml:space="preserve"> </w:t>
      </w:r>
      <w:r>
        <w:rPr>
          <w:sz w:val="20"/>
        </w:rPr>
        <w:t>has</w:t>
      </w:r>
      <w:r>
        <w:rPr>
          <w:spacing w:val="-5"/>
          <w:sz w:val="20"/>
        </w:rPr>
        <w:t xml:space="preserve"> </w:t>
      </w:r>
      <w:r>
        <w:rPr>
          <w:sz w:val="20"/>
        </w:rPr>
        <w:t>the</w:t>
      </w:r>
      <w:r>
        <w:rPr>
          <w:spacing w:val="-4"/>
          <w:sz w:val="20"/>
        </w:rPr>
        <w:t xml:space="preserve"> </w:t>
      </w:r>
      <w:r>
        <w:rPr>
          <w:sz w:val="20"/>
        </w:rPr>
        <w:t>Opportunity</w:t>
      </w:r>
      <w:r>
        <w:rPr>
          <w:spacing w:val="-8"/>
          <w:sz w:val="20"/>
        </w:rPr>
        <w:t xml:space="preserve"> </w:t>
      </w:r>
      <w:r>
        <w:rPr>
          <w:sz w:val="20"/>
        </w:rPr>
        <w:t>to</w:t>
      </w:r>
      <w:r>
        <w:rPr>
          <w:spacing w:val="-3"/>
          <w:sz w:val="20"/>
        </w:rPr>
        <w:t xml:space="preserve"> </w:t>
      </w:r>
      <w:r>
        <w:rPr>
          <w:sz w:val="20"/>
        </w:rPr>
        <w:t>Implement</w:t>
      </w:r>
      <w:r>
        <w:rPr>
          <w:spacing w:val="-5"/>
          <w:sz w:val="20"/>
        </w:rPr>
        <w:t xml:space="preserve"> </w:t>
      </w:r>
      <w:r>
        <w:rPr>
          <w:sz w:val="20"/>
        </w:rPr>
        <w:t>a</w:t>
      </w:r>
      <w:r>
        <w:rPr>
          <w:spacing w:val="-4"/>
          <w:sz w:val="20"/>
        </w:rPr>
        <w:t xml:space="preserve"> </w:t>
      </w:r>
      <w:r>
        <w:rPr>
          <w:sz w:val="20"/>
        </w:rPr>
        <w:t>Simple Consumption</w:t>
      </w:r>
      <w:r>
        <w:rPr>
          <w:spacing w:val="-10"/>
          <w:sz w:val="20"/>
        </w:rPr>
        <w:t xml:space="preserve"> </w:t>
      </w:r>
      <w:r>
        <w:rPr>
          <w:sz w:val="20"/>
        </w:rPr>
        <w:t>Tax</w:t>
      </w:r>
      <w:r>
        <w:rPr>
          <w:spacing w:val="-3"/>
          <w:sz w:val="20"/>
        </w:rPr>
        <w:t xml:space="preserve"> </w:t>
      </w:r>
      <w:r>
        <w:rPr>
          <w:sz w:val="20"/>
        </w:rPr>
        <w:t>and</w:t>
      </w:r>
      <w:r>
        <w:rPr>
          <w:spacing w:val="-3"/>
          <w:sz w:val="20"/>
        </w:rPr>
        <w:t xml:space="preserve"> </w:t>
      </w:r>
      <w:r>
        <w:rPr>
          <w:sz w:val="20"/>
        </w:rPr>
        <w:t xml:space="preserve">Foster Tax Progressivity at the Same Time. </w:t>
      </w:r>
      <w:r>
        <w:rPr>
          <w:b/>
          <w:sz w:val="20"/>
        </w:rPr>
        <w:t>Tax Foundation</w:t>
      </w:r>
      <w:r>
        <w:rPr>
          <w:sz w:val="20"/>
        </w:rPr>
        <w:t>. Washington, DC, 2020. Disponível em: https://taxfoundation.org/brazil-consumption-tax-brazil-progressivity/. Acesso em: 25 abr. 2022.</w:t>
      </w:r>
    </w:p>
    <w:p w:rsidR="007259F2" w:rsidRDefault="00E655B4">
      <w:pPr>
        <w:ind w:left="710" w:right="990"/>
        <w:rPr>
          <w:sz w:val="20"/>
        </w:rPr>
      </w:pPr>
      <w:r>
        <w:rPr>
          <w:sz w:val="20"/>
          <w:vertAlign w:val="superscript"/>
        </w:rPr>
        <w:t>85</w:t>
      </w:r>
      <w:r>
        <w:rPr>
          <w:spacing w:val="-3"/>
          <w:sz w:val="20"/>
        </w:rPr>
        <w:t xml:space="preserve"> </w:t>
      </w:r>
      <w:r>
        <w:rPr>
          <w:sz w:val="20"/>
        </w:rPr>
        <w:t>CONFEDERAÇÃO</w:t>
      </w:r>
      <w:r>
        <w:rPr>
          <w:spacing w:val="-3"/>
          <w:sz w:val="20"/>
        </w:rPr>
        <w:t xml:space="preserve"> </w:t>
      </w:r>
      <w:r>
        <w:rPr>
          <w:sz w:val="20"/>
        </w:rPr>
        <w:t>NACIONAL</w:t>
      </w:r>
      <w:r>
        <w:rPr>
          <w:spacing w:val="-12"/>
          <w:sz w:val="20"/>
        </w:rPr>
        <w:t xml:space="preserve"> </w:t>
      </w:r>
      <w:r>
        <w:rPr>
          <w:sz w:val="20"/>
        </w:rPr>
        <w:t>DE</w:t>
      </w:r>
      <w:r>
        <w:rPr>
          <w:spacing w:val="-3"/>
          <w:sz w:val="20"/>
        </w:rPr>
        <w:t xml:space="preserve"> </w:t>
      </w:r>
      <w:r>
        <w:rPr>
          <w:sz w:val="20"/>
        </w:rPr>
        <w:t xml:space="preserve">MUNICÍPIOS. </w:t>
      </w:r>
      <w:r>
        <w:rPr>
          <w:b/>
          <w:sz w:val="20"/>
        </w:rPr>
        <w:t>Estudos</w:t>
      </w:r>
      <w:r>
        <w:rPr>
          <w:b/>
          <w:spacing w:val="-4"/>
          <w:sz w:val="20"/>
        </w:rPr>
        <w:t xml:space="preserve"> </w:t>
      </w:r>
      <w:r>
        <w:rPr>
          <w:b/>
          <w:sz w:val="20"/>
        </w:rPr>
        <w:t>técnicos</w:t>
      </w:r>
      <w:r>
        <w:rPr>
          <w:b/>
          <w:spacing w:val="-4"/>
          <w:sz w:val="20"/>
        </w:rPr>
        <w:t xml:space="preserve"> </w:t>
      </w:r>
      <w:r>
        <w:rPr>
          <w:b/>
          <w:sz w:val="20"/>
        </w:rPr>
        <w:t>CNM</w:t>
      </w:r>
      <w:r>
        <w:rPr>
          <w:sz w:val="20"/>
        </w:rPr>
        <w:t>:</w:t>
      </w:r>
      <w:r>
        <w:rPr>
          <w:spacing w:val="-4"/>
          <w:sz w:val="20"/>
        </w:rPr>
        <w:t xml:space="preserve"> </w:t>
      </w:r>
      <w:r>
        <w:rPr>
          <w:sz w:val="20"/>
        </w:rPr>
        <w:t>Estudos</w:t>
      </w:r>
      <w:r>
        <w:rPr>
          <w:spacing w:val="-4"/>
          <w:sz w:val="20"/>
        </w:rPr>
        <w:t xml:space="preserve"> </w:t>
      </w:r>
      <w:r>
        <w:rPr>
          <w:sz w:val="20"/>
        </w:rPr>
        <w:t>sobre</w:t>
      </w:r>
      <w:r>
        <w:rPr>
          <w:spacing w:val="-3"/>
          <w:sz w:val="20"/>
        </w:rPr>
        <w:t xml:space="preserve"> </w:t>
      </w:r>
      <w:r>
        <w:rPr>
          <w:sz w:val="20"/>
        </w:rPr>
        <w:t>a</w:t>
      </w:r>
      <w:r>
        <w:rPr>
          <w:spacing w:val="-3"/>
          <w:sz w:val="20"/>
        </w:rPr>
        <w:t xml:space="preserve"> </w:t>
      </w:r>
      <w:r>
        <w:rPr>
          <w:sz w:val="20"/>
        </w:rPr>
        <w:t xml:space="preserve">não tributação de lucros e dividendos no Brasil. V.8. Disponível em: </w:t>
      </w:r>
      <w:hyperlink r:id="rId111">
        <w:r>
          <w:rPr>
            <w:sz w:val="20"/>
            <w:u w:val="single"/>
          </w:rPr>
          <w:t>https://www.cnm.org.br/biblioteca/exibe/2851</w:t>
        </w:r>
        <w:r>
          <w:rPr>
            <w:sz w:val="20"/>
          </w:rPr>
          <w:t>.</w:t>
        </w:r>
      </w:hyperlink>
      <w:r>
        <w:rPr>
          <w:sz w:val="20"/>
        </w:rPr>
        <w:t>Acesso em 02/05/2022</w:t>
      </w:r>
    </w:p>
    <w:p w:rsidR="007259F2" w:rsidRDefault="00E655B4">
      <w:pPr>
        <w:ind w:left="710" w:right="1093"/>
        <w:jc w:val="both"/>
        <w:rPr>
          <w:sz w:val="20"/>
        </w:rPr>
      </w:pPr>
      <w:r>
        <w:rPr>
          <w:sz w:val="20"/>
          <w:vertAlign w:val="superscript"/>
        </w:rPr>
        <w:t>86</w:t>
      </w:r>
      <w:r>
        <w:rPr>
          <w:spacing w:val="-1"/>
          <w:sz w:val="20"/>
        </w:rPr>
        <w:t xml:space="preserve"> </w:t>
      </w:r>
      <w:r>
        <w:rPr>
          <w:sz w:val="20"/>
        </w:rPr>
        <w:t>LOTT, Diana. Por</w:t>
      </w:r>
      <w:r>
        <w:rPr>
          <w:spacing w:val="-3"/>
          <w:sz w:val="20"/>
        </w:rPr>
        <w:t xml:space="preserve"> </w:t>
      </w:r>
      <w:r>
        <w:rPr>
          <w:sz w:val="20"/>
        </w:rPr>
        <w:t>que</w:t>
      </w:r>
      <w:r>
        <w:rPr>
          <w:spacing w:val="-1"/>
          <w:sz w:val="20"/>
        </w:rPr>
        <w:t xml:space="preserve"> </w:t>
      </w:r>
      <w:r>
        <w:rPr>
          <w:sz w:val="20"/>
        </w:rPr>
        <w:t>o Brasil</w:t>
      </w:r>
      <w:r>
        <w:rPr>
          <w:spacing w:val="-2"/>
          <w:sz w:val="20"/>
        </w:rPr>
        <w:t xml:space="preserve"> </w:t>
      </w:r>
      <w:r>
        <w:rPr>
          <w:sz w:val="20"/>
        </w:rPr>
        <w:t>é</w:t>
      </w:r>
      <w:r>
        <w:rPr>
          <w:spacing w:val="-1"/>
          <w:sz w:val="20"/>
        </w:rPr>
        <w:t xml:space="preserve"> </w:t>
      </w:r>
      <w:r>
        <w:rPr>
          <w:sz w:val="20"/>
        </w:rPr>
        <w:t>um</w:t>
      </w:r>
      <w:r>
        <w:rPr>
          <w:spacing w:val="-5"/>
          <w:sz w:val="20"/>
        </w:rPr>
        <w:t xml:space="preserve"> </w:t>
      </w:r>
      <w:r>
        <w:rPr>
          <w:sz w:val="20"/>
        </w:rPr>
        <w:t>dos</w:t>
      </w:r>
      <w:r>
        <w:rPr>
          <w:spacing w:val="-2"/>
          <w:sz w:val="20"/>
        </w:rPr>
        <w:t xml:space="preserve"> </w:t>
      </w:r>
      <w:r>
        <w:rPr>
          <w:sz w:val="20"/>
        </w:rPr>
        <w:t>poucos</w:t>
      </w:r>
      <w:r>
        <w:rPr>
          <w:spacing w:val="-2"/>
          <w:sz w:val="20"/>
        </w:rPr>
        <w:t xml:space="preserve"> </w:t>
      </w:r>
      <w:r>
        <w:rPr>
          <w:sz w:val="20"/>
        </w:rPr>
        <w:t>países</w:t>
      </w:r>
      <w:r>
        <w:rPr>
          <w:spacing w:val="-2"/>
          <w:sz w:val="20"/>
        </w:rPr>
        <w:t xml:space="preserve"> </w:t>
      </w:r>
      <w:r>
        <w:rPr>
          <w:sz w:val="20"/>
        </w:rPr>
        <w:t>do mundo que</w:t>
      </w:r>
      <w:r>
        <w:rPr>
          <w:spacing w:val="-1"/>
          <w:sz w:val="20"/>
        </w:rPr>
        <w:t xml:space="preserve"> </w:t>
      </w:r>
      <w:r>
        <w:rPr>
          <w:sz w:val="20"/>
        </w:rPr>
        <w:t>não tributa</w:t>
      </w:r>
      <w:r>
        <w:rPr>
          <w:spacing w:val="-1"/>
          <w:sz w:val="20"/>
        </w:rPr>
        <w:t xml:space="preserve"> </w:t>
      </w:r>
      <w:r>
        <w:rPr>
          <w:sz w:val="20"/>
        </w:rPr>
        <w:t xml:space="preserve">dividendos. </w:t>
      </w:r>
      <w:r>
        <w:rPr>
          <w:b/>
          <w:sz w:val="20"/>
        </w:rPr>
        <w:t>Forbes</w:t>
      </w:r>
      <w:r>
        <w:rPr>
          <w:sz w:val="20"/>
        </w:rPr>
        <w:t>. São</w:t>
      </w:r>
      <w:r>
        <w:rPr>
          <w:spacing w:val="-8"/>
          <w:sz w:val="20"/>
        </w:rPr>
        <w:t xml:space="preserve"> </w:t>
      </w:r>
      <w:r>
        <w:rPr>
          <w:sz w:val="20"/>
        </w:rPr>
        <w:t>Paulo.</w:t>
      </w:r>
      <w:r>
        <w:rPr>
          <w:spacing w:val="-9"/>
          <w:sz w:val="20"/>
        </w:rPr>
        <w:t xml:space="preserve"> </w:t>
      </w:r>
      <w:r>
        <w:rPr>
          <w:sz w:val="20"/>
        </w:rPr>
        <w:t>2021.</w:t>
      </w:r>
      <w:r>
        <w:rPr>
          <w:spacing w:val="-9"/>
          <w:sz w:val="20"/>
        </w:rPr>
        <w:t xml:space="preserve"> </w:t>
      </w:r>
      <w:r>
        <w:rPr>
          <w:sz w:val="20"/>
        </w:rPr>
        <w:t>Disponível</w:t>
      </w:r>
      <w:r>
        <w:rPr>
          <w:spacing w:val="-9"/>
          <w:sz w:val="20"/>
        </w:rPr>
        <w:t xml:space="preserve"> </w:t>
      </w:r>
      <w:r>
        <w:rPr>
          <w:sz w:val="20"/>
        </w:rPr>
        <w:t>em:</w:t>
      </w:r>
      <w:r>
        <w:rPr>
          <w:spacing w:val="-6"/>
          <w:sz w:val="20"/>
        </w:rPr>
        <w:t xml:space="preserve"> </w:t>
      </w:r>
      <w:hyperlink r:id="rId112">
        <w:r>
          <w:rPr>
            <w:sz w:val="20"/>
            <w:u w:val="single"/>
          </w:rPr>
          <w:t>https://forbes.com.br/forbes-money/2021/07/por-que-o-brasil-e-um-dos</w:t>
        </w:r>
      </w:hyperlink>
      <w:r>
        <w:rPr>
          <w:sz w:val="20"/>
        </w:rPr>
        <w:t xml:space="preserve"> </w:t>
      </w:r>
      <w:hyperlink r:id="rId113">
        <w:r>
          <w:rPr>
            <w:sz w:val="20"/>
            <w:u w:val="single"/>
          </w:rPr>
          <w:t>poucospaises-do-mundo-que-nao-tributa-dividendos/</w:t>
        </w:r>
        <w:r>
          <w:rPr>
            <w:sz w:val="20"/>
          </w:rPr>
          <w:t>.</w:t>
        </w:r>
      </w:hyperlink>
      <w:r>
        <w:rPr>
          <w:sz w:val="20"/>
        </w:rPr>
        <w:t>Acesso em: 02/05/2022</w:t>
      </w:r>
    </w:p>
    <w:p w:rsidR="007259F2" w:rsidRDefault="00E655B4">
      <w:pPr>
        <w:ind w:left="710" w:right="996"/>
        <w:jc w:val="both"/>
        <w:rPr>
          <w:sz w:val="20"/>
        </w:rPr>
      </w:pPr>
      <w:r>
        <w:rPr>
          <w:sz w:val="20"/>
          <w:vertAlign w:val="superscript"/>
        </w:rPr>
        <w:t>87</w:t>
      </w:r>
      <w:r>
        <w:rPr>
          <w:sz w:val="20"/>
        </w:rPr>
        <w:t xml:space="preserve"> CHAVES, Gardel I. G. </w:t>
      </w:r>
      <w:r>
        <w:rPr>
          <w:b/>
          <w:sz w:val="20"/>
        </w:rPr>
        <w:t>Tributação dos lucros e dividendos no Brasil sob a perspectiva da justiça federal</w:t>
      </w:r>
      <w:r>
        <w:rPr>
          <w:sz w:val="20"/>
        </w:rPr>
        <w:t>: uma análise comparada. 2021. 33 fls. Bacharel em direito. UFERSA, Mossoró/RN, 2021.</w:t>
      </w:r>
    </w:p>
    <w:p w:rsidR="007259F2" w:rsidRDefault="00E655B4">
      <w:pPr>
        <w:ind w:left="710"/>
        <w:jc w:val="both"/>
        <w:rPr>
          <w:sz w:val="20"/>
        </w:rPr>
      </w:pPr>
      <w:r>
        <w:rPr>
          <w:sz w:val="20"/>
          <w:vertAlign w:val="superscript"/>
        </w:rPr>
        <w:t>88</w:t>
      </w:r>
      <w:r>
        <w:rPr>
          <w:spacing w:val="-8"/>
          <w:sz w:val="20"/>
        </w:rPr>
        <w:t xml:space="preserve"> </w:t>
      </w:r>
      <w:r>
        <w:rPr>
          <w:sz w:val="20"/>
        </w:rPr>
        <w:t>COSTA,</w:t>
      </w:r>
      <w:r>
        <w:rPr>
          <w:spacing w:val="-7"/>
          <w:sz w:val="20"/>
        </w:rPr>
        <w:t xml:space="preserve"> </w:t>
      </w:r>
      <w:r>
        <w:rPr>
          <w:i/>
          <w:sz w:val="20"/>
        </w:rPr>
        <w:t>op.</w:t>
      </w:r>
      <w:r>
        <w:rPr>
          <w:i/>
          <w:spacing w:val="-8"/>
          <w:sz w:val="20"/>
        </w:rPr>
        <w:t xml:space="preserve"> </w:t>
      </w:r>
      <w:r>
        <w:rPr>
          <w:i/>
          <w:sz w:val="20"/>
        </w:rPr>
        <w:t>cit</w:t>
      </w:r>
      <w:r>
        <w:rPr>
          <w:sz w:val="20"/>
        </w:rPr>
        <w:t>.,</w:t>
      </w:r>
      <w:r>
        <w:rPr>
          <w:spacing w:val="-7"/>
          <w:sz w:val="20"/>
        </w:rPr>
        <w:t xml:space="preserve"> </w:t>
      </w:r>
      <w:r>
        <w:rPr>
          <w:spacing w:val="-4"/>
          <w:sz w:val="20"/>
        </w:rPr>
        <w:t>2019.</w:t>
      </w:r>
    </w:p>
    <w:p w:rsidR="007259F2" w:rsidRDefault="007259F2">
      <w:pPr>
        <w:jc w:val="both"/>
        <w:rPr>
          <w:sz w:val="20"/>
        </w:rPr>
        <w:sectPr w:rsidR="007259F2">
          <w:pgSz w:w="11910" w:h="16840"/>
          <w:pgMar w:top="1320" w:right="708" w:bottom="1160" w:left="992" w:header="0" w:footer="962" w:gutter="0"/>
          <w:cols w:space="720"/>
        </w:sectPr>
      </w:pPr>
    </w:p>
    <w:p w:rsidR="007259F2" w:rsidRDefault="00E655B4">
      <w:pPr>
        <w:spacing w:before="71"/>
        <w:ind w:left="2978" w:right="991"/>
        <w:jc w:val="both"/>
        <w:rPr>
          <w:sz w:val="20"/>
        </w:rPr>
      </w:pPr>
      <w:r>
        <w:rPr>
          <w:sz w:val="20"/>
        </w:rPr>
        <w:lastRenderedPageBreak/>
        <w:t>A bitributação significa a possibilidade de um mesmo fato jurídico ser tributado por mais de uma pessoa. Diante de nosso sistema tributário, tal prática é vedada, pois cada situação fática somente pode ser tributada por</w:t>
      </w:r>
      <w:r>
        <w:rPr>
          <w:spacing w:val="40"/>
          <w:sz w:val="20"/>
        </w:rPr>
        <w:t xml:space="preserve"> </w:t>
      </w:r>
      <w:r>
        <w:rPr>
          <w:sz w:val="20"/>
        </w:rPr>
        <w:t>uma única pessoa política, aquela apontada constitucionalmente, pois, como visto, a competência tributária é exclusiva ou privativa. Inviável, portanto, que haja mais de uma pessoa política autorizada a exigir tributo sobre o mesmo fato jurídico.</w:t>
      </w:r>
      <w:r>
        <w:rPr>
          <w:spacing w:val="-1"/>
          <w:sz w:val="20"/>
        </w:rPr>
        <w:t xml:space="preserve"> </w:t>
      </w:r>
      <w:r>
        <w:rPr>
          <w:sz w:val="20"/>
        </w:rPr>
        <w:t>Já</w:t>
      </w:r>
      <w:r>
        <w:rPr>
          <w:spacing w:val="-3"/>
          <w:sz w:val="20"/>
        </w:rPr>
        <w:t xml:space="preserve"> </w:t>
      </w:r>
      <w:r>
        <w:rPr>
          <w:sz w:val="20"/>
        </w:rPr>
        <w:t>o</w:t>
      </w:r>
      <w:r>
        <w:rPr>
          <w:spacing w:val="-2"/>
          <w:sz w:val="20"/>
        </w:rPr>
        <w:t xml:space="preserve"> </w:t>
      </w:r>
      <w:r>
        <w:rPr>
          <w:sz w:val="20"/>
        </w:rPr>
        <w:t>bis</w:t>
      </w:r>
      <w:r>
        <w:rPr>
          <w:spacing w:val="-2"/>
          <w:sz w:val="20"/>
        </w:rPr>
        <w:t xml:space="preserve"> </w:t>
      </w:r>
      <w:r>
        <w:rPr>
          <w:sz w:val="20"/>
        </w:rPr>
        <w:t>in</w:t>
      </w:r>
      <w:r>
        <w:rPr>
          <w:spacing w:val="-2"/>
          <w:sz w:val="20"/>
        </w:rPr>
        <w:t xml:space="preserve"> </w:t>
      </w:r>
      <w:r>
        <w:rPr>
          <w:sz w:val="20"/>
        </w:rPr>
        <w:t>idem</w:t>
      </w:r>
      <w:r>
        <w:rPr>
          <w:spacing w:val="-5"/>
          <w:sz w:val="20"/>
        </w:rPr>
        <w:t xml:space="preserve"> </w:t>
      </w:r>
      <w:r>
        <w:rPr>
          <w:sz w:val="20"/>
        </w:rPr>
        <w:t>é</w:t>
      </w:r>
      <w:r>
        <w:rPr>
          <w:spacing w:val="-1"/>
          <w:sz w:val="20"/>
        </w:rPr>
        <w:t xml:space="preserve"> </w:t>
      </w:r>
      <w:r>
        <w:rPr>
          <w:sz w:val="20"/>
        </w:rPr>
        <w:t>ideia distinta, traduzida</w:t>
      </w:r>
      <w:r>
        <w:rPr>
          <w:spacing w:val="-1"/>
          <w:sz w:val="20"/>
        </w:rPr>
        <w:t xml:space="preserve"> </w:t>
      </w:r>
      <w:r>
        <w:rPr>
          <w:sz w:val="20"/>
        </w:rPr>
        <w:t>na</w:t>
      </w:r>
      <w:r>
        <w:rPr>
          <w:spacing w:val="-1"/>
          <w:sz w:val="20"/>
        </w:rPr>
        <w:t xml:space="preserve"> </w:t>
      </w:r>
      <w:r>
        <w:rPr>
          <w:sz w:val="20"/>
        </w:rPr>
        <w:t>situação de o mesmo fato jurídico ser tributado mais de uma vez pela mesma pessoa política, sendo permitido pelo sistema pátrio desde que expressamente autorizado pela Constituição.</w:t>
      </w:r>
    </w:p>
    <w:p w:rsidR="007259F2" w:rsidRDefault="007259F2">
      <w:pPr>
        <w:pStyle w:val="Corpodetexto"/>
        <w:spacing w:before="22"/>
        <w:ind w:left="0" w:firstLine="0"/>
        <w:jc w:val="left"/>
        <w:rPr>
          <w:sz w:val="20"/>
        </w:rPr>
      </w:pPr>
    </w:p>
    <w:p w:rsidR="007259F2" w:rsidRDefault="00E655B4">
      <w:pPr>
        <w:pStyle w:val="Corpodetexto"/>
        <w:ind w:right="986"/>
      </w:pPr>
      <w:r>
        <w:t xml:space="preserve">Ora, constatado que há distinção patrimonial entre a pessoa do sócio, cotista, acionista etc. e a pessoa jurídica, e pelo fato desta ser um organismo independente, com capacidade de gerir seus próprios bens, não há de se falar em </w:t>
      </w:r>
      <w:r>
        <w:rPr>
          <w:i/>
        </w:rPr>
        <w:t xml:space="preserve">bis in idem </w:t>
      </w:r>
      <w:r>
        <w:t xml:space="preserve">e nem em </w:t>
      </w:r>
      <w:r>
        <w:rPr>
          <w:i/>
        </w:rPr>
        <w:t xml:space="preserve">bitributação, </w:t>
      </w:r>
      <w:r>
        <w:t>tendo em vista que não está sendo tributada mais de uma vez a mesma situação fática, pois as partes que compõe a relação tributária são distintas.</w:t>
      </w:r>
    </w:p>
    <w:p w:rsidR="007259F2" w:rsidRDefault="00E655B4">
      <w:pPr>
        <w:pStyle w:val="Corpodetexto"/>
        <w:spacing w:before="1"/>
        <w:ind w:right="991"/>
      </w:pPr>
      <w:r>
        <w:t xml:space="preserve">Entretanto, ainda que na situação fática analisada seja inviável a constatação do </w:t>
      </w:r>
      <w:r>
        <w:rPr>
          <w:i/>
        </w:rPr>
        <w:t xml:space="preserve">bis in idem </w:t>
      </w:r>
      <w:r>
        <w:t xml:space="preserve">e </w:t>
      </w:r>
      <w:r>
        <w:rPr>
          <w:i/>
        </w:rPr>
        <w:t xml:space="preserve">bitributação, </w:t>
      </w:r>
      <w:r>
        <w:t>fato é que, caso a taxação na distribuição de lucros e dividendos no país passe a vigorar, é muito provável que o debate será levado ao judiciário fervorosamente, como forma daqueles que aproveitam a isenção do imposto manterem seu benefício, não sendo compelidos ao seu recolhimento.</w:t>
      </w:r>
    </w:p>
    <w:p w:rsidR="007259F2" w:rsidRDefault="00E655B4">
      <w:pPr>
        <w:pStyle w:val="Heading2"/>
        <w:numPr>
          <w:ilvl w:val="1"/>
          <w:numId w:val="35"/>
        </w:numPr>
        <w:tabs>
          <w:tab w:val="left" w:pos="1069"/>
        </w:tabs>
        <w:ind w:left="1069" w:hanging="359"/>
      </w:pPr>
      <w:r>
        <w:t>A</w:t>
      </w:r>
      <w:r>
        <w:rPr>
          <w:spacing w:val="-11"/>
        </w:rPr>
        <w:t xml:space="preserve"> </w:t>
      </w:r>
      <w:r>
        <w:t>possibilidade</w:t>
      </w:r>
      <w:r>
        <w:rPr>
          <w:spacing w:val="-3"/>
        </w:rPr>
        <w:t xml:space="preserve"> </w:t>
      </w:r>
      <w:r>
        <w:t>de</w:t>
      </w:r>
      <w:r>
        <w:rPr>
          <w:spacing w:val="-9"/>
        </w:rPr>
        <w:t xml:space="preserve"> </w:t>
      </w:r>
      <w:r>
        <w:t>elevação</w:t>
      </w:r>
      <w:r>
        <w:rPr>
          <w:spacing w:val="-1"/>
        </w:rPr>
        <w:t xml:space="preserve"> </w:t>
      </w:r>
      <w:r>
        <w:t>na</w:t>
      </w:r>
      <w:r>
        <w:rPr>
          <w:spacing w:val="-6"/>
        </w:rPr>
        <w:t xml:space="preserve"> </w:t>
      </w:r>
      <w:r>
        <w:t>carga</w:t>
      </w:r>
      <w:r>
        <w:rPr>
          <w:spacing w:val="-6"/>
        </w:rPr>
        <w:t xml:space="preserve"> </w:t>
      </w:r>
      <w:r>
        <w:t>tributária</w:t>
      </w:r>
      <w:r>
        <w:rPr>
          <w:spacing w:val="3"/>
        </w:rPr>
        <w:t xml:space="preserve"> </w:t>
      </w:r>
      <w:r>
        <w:t>das</w:t>
      </w:r>
      <w:r>
        <w:rPr>
          <w:spacing w:val="-3"/>
        </w:rPr>
        <w:t xml:space="preserve"> </w:t>
      </w:r>
      <w:r>
        <w:rPr>
          <w:spacing w:val="-2"/>
        </w:rPr>
        <w:t>empresas</w:t>
      </w:r>
    </w:p>
    <w:p w:rsidR="007259F2" w:rsidRDefault="00E655B4">
      <w:pPr>
        <w:pStyle w:val="Corpodetexto"/>
        <w:spacing w:before="156"/>
        <w:ind w:right="988"/>
      </w:pPr>
      <w:r>
        <w:t>Com a Reforma Tributária, as empresas teriam uma possível elevação na carga tributária sobre o lucro da empresa, quando vários setores ainda estão em recuperação dos danos provocados pela pandemia do coronavírus, implicando ainda em aumento da complexidade no custo de conformidade fiscal para cumprir todas as obrigações governamentais impostas para a adequação, quase que imediata.</w:t>
      </w:r>
    </w:p>
    <w:p w:rsidR="007259F2" w:rsidRDefault="00E655B4">
      <w:pPr>
        <w:pStyle w:val="Corpodetexto"/>
        <w:ind w:right="988"/>
      </w:pPr>
      <w:r>
        <w:t>O país passa por um momento de recuperação econômica, em que é necessário a retomada do crescimento econômico, atração de novos investimentos, caminhando em conjunto com a simplificação do sistema tributário. Uma reforma tributária deve ser extremamente planejada para que não gere mais prejuízos do que benefícios à</w:t>
      </w:r>
      <w:r>
        <w:rPr>
          <w:spacing w:val="40"/>
        </w:rPr>
        <w:t xml:space="preserve"> </w:t>
      </w:r>
      <w:r>
        <w:rPr>
          <w:spacing w:val="-2"/>
        </w:rPr>
        <w:t>sociedade.</w:t>
      </w:r>
    </w:p>
    <w:p w:rsidR="007259F2" w:rsidRDefault="00E655B4">
      <w:pPr>
        <w:pStyle w:val="Heading2"/>
        <w:numPr>
          <w:ilvl w:val="0"/>
          <w:numId w:val="35"/>
        </w:numPr>
        <w:tabs>
          <w:tab w:val="left" w:pos="884"/>
        </w:tabs>
        <w:spacing w:before="204"/>
        <w:ind w:left="884" w:hanging="174"/>
      </w:pPr>
      <w:r>
        <w:rPr>
          <w:spacing w:val="-2"/>
        </w:rPr>
        <w:t>Conclusão</w:t>
      </w:r>
    </w:p>
    <w:p w:rsidR="007259F2" w:rsidRDefault="00E655B4">
      <w:pPr>
        <w:pStyle w:val="Corpodetexto"/>
        <w:spacing w:before="156"/>
        <w:ind w:right="988"/>
      </w:pPr>
      <w:r>
        <w:t>Pelo exposto, pode-se concluir que o projeto de tributação tem diversos pontos positivos e negativos em sua implementação, muitas questões a serem amadurecidas, e por isso deve ser tratado com cautela. Será crucial debater a Reforma Tributária em nossa sociedade para alcançar uma solução que funcione para a sua maioria e gere bem- estar social aos seus contribuintes.</w:t>
      </w:r>
    </w:p>
    <w:p w:rsidR="007259F2" w:rsidRDefault="00E655B4">
      <w:pPr>
        <w:pStyle w:val="Corpodetexto"/>
        <w:spacing w:before="1"/>
        <w:ind w:right="994"/>
      </w:pPr>
      <w:r>
        <w:t>No momento, ao invés do debate em relação à Reforma Tributária, seria apresentando soluções para a redução dos gastos públicos e para o estímulo ao investimento nas atividades produtivas que o Congresso Nacional atuaria para pôr o</w:t>
      </w:r>
      <w:r>
        <w:rPr>
          <w:spacing w:val="80"/>
        </w:rPr>
        <w:t xml:space="preserve"> </w:t>
      </w:r>
      <w:r>
        <w:t>país em pé de igualdade competitiva com o restante do mundo.</w:t>
      </w:r>
    </w:p>
    <w:p w:rsidR="007259F2" w:rsidRDefault="00E655B4">
      <w:pPr>
        <w:pStyle w:val="Corpodetexto"/>
        <w:ind w:right="990"/>
      </w:pPr>
      <w:r>
        <w:t>Conforme estudo realizado pela Confederação Nacional da Indústria (CNI) em 2020, apesar do Brasil não ter um número muito elevado de servidores públicos em proporção da população ou do total de trabalhadores, as despesas totais com esses trabalhadores (ativos e inativos) são elevadas e representam percentual do PIB</w:t>
      </w:r>
      <w:r>
        <w:rPr>
          <w:spacing w:val="-1"/>
        </w:rPr>
        <w:t xml:space="preserve"> </w:t>
      </w:r>
      <w:r>
        <w:t>próximo, ou até superior, ao de países ricos e reconhecidos pelo tamanho grande do Estado.</w:t>
      </w:r>
      <w:r>
        <w:rPr>
          <w:vertAlign w:val="superscript"/>
        </w:rPr>
        <w:t>89</w:t>
      </w:r>
    </w:p>
    <w:p w:rsidR="007259F2" w:rsidRDefault="00DE6B1C">
      <w:pPr>
        <w:pStyle w:val="Corpodetexto"/>
        <w:spacing w:before="5"/>
        <w:ind w:left="0" w:firstLine="0"/>
        <w:jc w:val="left"/>
        <w:rPr>
          <w:sz w:val="17"/>
        </w:rPr>
      </w:pPr>
      <w:r w:rsidRPr="00DE6B1C">
        <w:rPr>
          <w:sz w:val="17"/>
        </w:rPr>
        <w:pict>
          <v:rect id="docshape96" o:spid="_x0000_s1130" style="position:absolute;margin-left:85.1pt;margin-top:11.25pt;width:2in;height:.7pt;z-index:-15687680;mso-wrap-distance-left:0;mso-wrap-distance-right:0;mso-position-horizontal-relative:page" fillcolor="black" stroked="f">
            <w10:wrap type="topAndBottom" anchorx="page"/>
          </v:rect>
        </w:pict>
      </w:r>
    </w:p>
    <w:p w:rsidR="007259F2" w:rsidRDefault="00E655B4">
      <w:pPr>
        <w:spacing w:before="96"/>
        <w:ind w:left="710"/>
        <w:rPr>
          <w:sz w:val="20"/>
        </w:rPr>
      </w:pPr>
      <w:r>
        <w:rPr>
          <w:sz w:val="20"/>
          <w:vertAlign w:val="superscript"/>
        </w:rPr>
        <w:t>89</w:t>
      </w:r>
      <w:r>
        <w:rPr>
          <w:spacing w:val="-13"/>
          <w:sz w:val="20"/>
        </w:rPr>
        <w:t xml:space="preserve"> </w:t>
      </w:r>
      <w:r>
        <w:rPr>
          <w:sz w:val="20"/>
        </w:rPr>
        <w:t>CONFEDERAÇÃO</w:t>
      </w:r>
      <w:r>
        <w:rPr>
          <w:spacing w:val="-12"/>
          <w:sz w:val="20"/>
        </w:rPr>
        <w:t xml:space="preserve"> </w:t>
      </w:r>
      <w:r>
        <w:rPr>
          <w:sz w:val="20"/>
        </w:rPr>
        <w:t>NACIONAL</w:t>
      </w:r>
      <w:r>
        <w:rPr>
          <w:spacing w:val="-13"/>
          <w:sz w:val="20"/>
        </w:rPr>
        <w:t xml:space="preserve"> </w:t>
      </w:r>
      <w:r>
        <w:rPr>
          <w:sz w:val="20"/>
        </w:rPr>
        <w:t>DA</w:t>
      </w:r>
      <w:r>
        <w:rPr>
          <w:spacing w:val="-12"/>
          <w:sz w:val="20"/>
        </w:rPr>
        <w:t xml:space="preserve"> </w:t>
      </w:r>
      <w:r>
        <w:rPr>
          <w:sz w:val="20"/>
        </w:rPr>
        <w:t>INDÚSTRIA.</w:t>
      </w:r>
      <w:r>
        <w:rPr>
          <w:spacing w:val="-13"/>
          <w:sz w:val="20"/>
        </w:rPr>
        <w:t xml:space="preserve"> </w:t>
      </w:r>
      <w:r>
        <w:rPr>
          <w:b/>
          <w:sz w:val="20"/>
        </w:rPr>
        <w:t>NOTA</w:t>
      </w:r>
      <w:r>
        <w:rPr>
          <w:b/>
          <w:spacing w:val="-12"/>
          <w:sz w:val="20"/>
        </w:rPr>
        <w:t xml:space="preserve"> </w:t>
      </w:r>
      <w:r>
        <w:rPr>
          <w:b/>
          <w:sz w:val="20"/>
        </w:rPr>
        <w:t>ECONÔMICA</w:t>
      </w:r>
      <w:r>
        <w:rPr>
          <w:b/>
          <w:spacing w:val="-13"/>
          <w:sz w:val="20"/>
        </w:rPr>
        <w:t xml:space="preserve"> </w:t>
      </w:r>
      <w:r>
        <w:rPr>
          <w:b/>
          <w:sz w:val="20"/>
        </w:rPr>
        <w:t>Nº15</w:t>
      </w:r>
      <w:r>
        <w:rPr>
          <w:sz w:val="20"/>
        </w:rPr>
        <w:t>:</w:t>
      </w:r>
      <w:r>
        <w:rPr>
          <w:spacing w:val="-11"/>
          <w:sz w:val="20"/>
        </w:rPr>
        <w:t xml:space="preserve"> </w:t>
      </w:r>
      <w:r>
        <w:rPr>
          <w:sz w:val="20"/>
        </w:rPr>
        <w:t>O</w:t>
      </w:r>
      <w:r>
        <w:rPr>
          <w:spacing w:val="-8"/>
          <w:sz w:val="20"/>
        </w:rPr>
        <w:t xml:space="preserve"> </w:t>
      </w:r>
      <w:r>
        <w:rPr>
          <w:sz w:val="20"/>
        </w:rPr>
        <w:t>peso</w:t>
      </w:r>
      <w:r>
        <w:rPr>
          <w:spacing w:val="-8"/>
          <w:sz w:val="20"/>
        </w:rPr>
        <w:t xml:space="preserve"> </w:t>
      </w:r>
      <w:r>
        <w:rPr>
          <w:spacing w:val="-5"/>
          <w:sz w:val="20"/>
        </w:rPr>
        <w:t>do</w:t>
      </w:r>
    </w:p>
    <w:p w:rsidR="007259F2" w:rsidRDefault="00E655B4">
      <w:pPr>
        <w:spacing w:before="1"/>
        <w:ind w:left="710"/>
        <w:rPr>
          <w:sz w:val="20"/>
        </w:rPr>
      </w:pPr>
      <w:r>
        <w:rPr>
          <w:sz w:val="20"/>
        </w:rPr>
        <w:t>funcionalismo</w:t>
      </w:r>
      <w:r>
        <w:rPr>
          <w:spacing w:val="-5"/>
          <w:sz w:val="20"/>
        </w:rPr>
        <w:t xml:space="preserve"> </w:t>
      </w:r>
      <w:r>
        <w:rPr>
          <w:sz w:val="20"/>
        </w:rPr>
        <w:t>público</w:t>
      </w:r>
      <w:r>
        <w:rPr>
          <w:spacing w:val="-4"/>
          <w:sz w:val="20"/>
        </w:rPr>
        <w:t xml:space="preserve"> </w:t>
      </w:r>
      <w:r>
        <w:rPr>
          <w:sz w:val="20"/>
        </w:rPr>
        <w:t>no</w:t>
      </w:r>
      <w:r>
        <w:rPr>
          <w:spacing w:val="-4"/>
          <w:sz w:val="20"/>
        </w:rPr>
        <w:t xml:space="preserve"> </w:t>
      </w:r>
      <w:r>
        <w:rPr>
          <w:sz w:val="20"/>
        </w:rPr>
        <w:t>Brasil</w:t>
      </w:r>
      <w:r>
        <w:rPr>
          <w:spacing w:val="-6"/>
          <w:sz w:val="20"/>
        </w:rPr>
        <w:t xml:space="preserve"> </w:t>
      </w:r>
      <w:r>
        <w:rPr>
          <w:sz w:val="20"/>
        </w:rPr>
        <w:t>em</w:t>
      </w:r>
      <w:r>
        <w:rPr>
          <w:spacing w:val="-8"/>
          <w:sz w:val="20"/>
        </w:rPr>
        <w:t xml:space="preserve"> </w:t>
      </w:r>
      <w:r>
        <w:rPr>
          <w:sz w:val="20"/>
        </w:rPr>
        <w:t>comparação</w:t>
      </w:r>
      <w:r>
        <w:rPr>
          <w:spacing w:val="-4"/>
          <w:sz w:val="20"/>
        </w:rPr>
        <w:t xml:space="preserve"> </w:t>
      </w:r>
      <w:r>
        <w:rPr>
          <w:sz w:val="20"/>
        </w:rPr>
        <w:t>com</w:t>
      </w:r>
      <w:r>
        <w:rPr>
          <w:spacing w:val="-9"/>
          <w:sz w:val="20"/>
        </w:rPr>
        <w:t xml:space="preserve"> </w:t>
      </w:r>
      <w:r>
        <w:rPr>
          <w:sz w:val="20"/>
        </w:rPr>
        <w:t>outros</w:t>
      </w:r>
      <w:r>
        <w:rPr>
          <w:spacing w:val="-4"/>
          <w:sz w:val="20"/>
        </w:rPr>
        <w:t xml:space="preserve"> </w:t>
      </w:r>
      <w:r>
        <w:rPr>
          <w:sz w:val="20"/>
        </w:rPr>
        <w:t>países.</w:t>
      </w:r>
      <w:r>
        <w:rPr>
          <w:spacing w:val="-5"/>
          <w:sz w:val="20"/>
        </w:rPr>
        <w:t xml:space="preserve"> </w:t>
      </w:r>
      <w:r>
        <w:rPr>
          <w:sz w:val="20"/>
        </w:rPr>
        <w:t>Portal</w:t>
      </w:r>
      <w:r>
        <w:rPr>
          <w:spacing w:val="-5"/>
          <w:sz w:val="20"/>
        </w:rPr>
        <w:t xml:space="preserve"> </w:t>
      </w:r>
      <w:r>
        <w:rPr>
          <w:sz w:val="20"/>
        </w:rPr>
        <w:t>da</w:t>
      </w:r>
      <w:r>
        <w:rPr>
          <w:spacing w:val="-6"/>
          <w:sz w:val="20"/>
        </w:rPr>
        <w:t xml:space="preserve"> </w:t>
      </w:r>
      <w:r>
        <w:rPr>
          <w:sz w:val="20"/>
        </w:rPr>
        <w:t>Industria.</w:t>
      </w:r>
      <w:r>
        <w:rPr>
          <w:spacing w:val="-5"/>
          <w:sz w:val="20"/>
        </w:rPr>
        <w:t xml:space="preserve"> </w:t>
      </w:r>
      <w:r>
        <w:rPr>
          <w:sz w:val="20"/>
        </w:rPr>
        <w:t>2020.</w:t>
      </w:r>
      <w:r>
        <w:rPr>
          <w:spacing w:val="-5"/>
          <w:sz w:val="20"/>
        </w:rPr>
        <w:t xml:space="preserve"> </w:t>
      </w:r>
      <w:r>
        <w:rPr>
          <w:spacing w:val="-2"/>
          <w:sz w:val="20"/>
        </w:rPr>
        <w:t>Disponível</w:t>
      </w:r>
    </w:p>
    <w:p w:rsidR="007259F2" w:rsidRDefault="007259F2">
      <w:pPr>
        <w:rPr>
          <w:sz w:val="20"/>
        </w:rPr>
        <w:sectPr w:rsidR="007259F2">
          <w:pgSz w:w="11910" w:h="16840"/>
          <w:pgMar w:top="1320" w:right="708" w:bottom="1160" w:left="992" w:header="0" w:footer="962" w:gutter="0"/>
          <w:cols w:space="720"/>
        </w:sectPr>
      </w:pPr>
    </w:p>
    <w:p w:rsidR="007259F2" w:rsidRDefault="00E655B4">
      <w:pPr>
        <w:pStyle w:val="Corpodetexto"/>
        <w:spacing w:before="69"/>
        <w:ind w:right="989"/>
      </w:pPr>
      <w:r>
        <w:lastRenderedPageBreak/>
        <w:t>Segundo dados do Fundo Monetário Internacional (FMI), as despesas com servidores</w:t>
      </w:r>
      <w:r>
        <w:rPr>
          <w:spacing w:val="-3"/>
        </w:rPr>
        <w:t xml:space="preserve"> </w:t>
      </w:r>
      <w:r>
        <w:t>públicos,</w:t>
      </w:r>
      <w:r>
        <w:rPr>
          <w:spacing w:val="-2"/>
        </w:rPr>
        <w:t xml:space="preserve"> </w:t>
      </w:r>
      <w:r>
        <w:t>ativos</w:t>
      </w:r>
      <w:r>
        <w:rPr>
          <w:spacing w:val="-3"/>
        </w:rPr>
        <w:t xml:space="preserve"> </w:t>
      </w:r>
      <w:r>
        <w:t>e</w:t>
      </w:r>
      <w:r>
        <w:rPr>
          <w:spacing w:val="-3"/>
        </w:rPr>
        <w:t xml:space="preserve"> </w:t>
      </w:r>
      <w:r>
        <w:t>inativos,</w:t>
      </w:r>
      <w:r>
        <w:rPr>
          <w:spacing w:val="-3"/>
        </w:rPr>
        <w:t xml:space="preserve"> </w:t>
      </w:r>
      <w:r>
        <w:t>no</w:t>
      </w:r>
      <w:r>
        <w:rPr>
          <w:spacing w:val="-1"/>
        </w:rPr>
        <w:t xml:space="preserve"> </w:t>
      </w:r>
      <w:r>
        <w:t>Brasil</w:t>
      </w:r>
      <w:r>
        <w:rPr>
          <w:spacing w:val="-3"/>
        </w:rPr>
        <w:t xml:space="preserve"> </w:t>
      </w:r>
      <w:r>
        <w:t>equivaleram</w:t>
      </w:r>
      <w:r>
        <w:rPr>
          <w:spacing w:val="-1"/>
        </w:rPr>
        <w:t xml:space="preserve"> </w:t>
      </w:r>
      <w:r>
        <w:t>a</w:t>
      </w:r>
      <w:r>
        <w:rPr>
          <w:spacing w:val="-4"/>
        </w:rPr>
        <w:t xml:space="preserve"> </w:t>
      </w:r>
      <w:r>
        <w:t>13,4%</w:t>
      </w:r>
      <w:r>
        <w:rPr>
          <w:spacing w:val="-2"/>
        </w:rPr>
        <w:t xml:space="preserve"> </w:t>
      </w:r>
      <w:r>
        <w:t>do</w:t>
      </w:r>
      <w:r>
        <w:rPr>
          <w:spacing w:val="-3"/>
        </w:rPr>
        <w:t xml:space="preserve"> </w:t>
      </w:r>
      <w:r>
        <w:t>PIB,</w:t>
      </w:r>
      <w:r>
        <w:rPr>
          <w:spacing w:val="-1"/>
        </w:rPr>
        <w:t xml:space="preserve"> </w:t>
      </w:r>
      <w:r>
        <w:t>em</w:t>
      </w:r>
      <w:r>
        <w:rPr>
          <w:spacing w:val="-3"/>
        </w:rPr>
        <w:t xml:space="preserve"> </w:t>
      </w:r>
      <w:r>
        <w:t>2018</w:t>
      </w:r>
      <w:r>
        <w:rPr>
          <w:spacing w:val="-1"/>
        </w:rPr>
        <w:t xml:space="preserve"> </w:t>
      </w:r>
      <w:r>
        <w:t>– considerando o governo geral (União, estados e municípios). Esse percentual coloca o Brasil na 7ª colocação entre mais de 70 países para os quais o FMI disponibiliza dados para 2018.</w:t>
      </w:r>
      <w:r>
        <w:rPr>
          <w:vertAlign w:val="superscript"/>
        </w:rPr>
        <w:t>90</w:t>
      </w:r>
    </w:p>
    <w:p w:rsidR="007259F2" w:rsidRDefault="00E655B4">
      <w:pPr>
        <w:pStyle w:val="Corpodetexto"/>
        <w:spacing w:before="1"/>
        <w:ind w:right="991"/>
      </w:pPr>
      <w:r>
        <w:t>Além</w:t>
      </w:r>
      <w:r>
        <w:rPr>
          <w:spacing w:val="-3"/>
        </w:rPr>
        <w:t xml:space="preserve"> </w:t>
      </w:r>
      <w:r>
        <w:t>da</w:t>
      </w:r>
      <w:r>
        <w:rPr>
          <w:spacing w:val="-2"/>
        </w:rPr>
        <w:t xml:space="preserve"> </w:t>
      </w:r>
      <w:r>
        <w:t>redução</w:t>
      </w:r>
      <w:r>
        <w:rPr>
          <w:spacing w:val="-1"/>
        </w:rPr>
        <w:t xml:space="preserve"> </w:t>
      </w:r>
      <w:r>
        <w:t>com</w:t>
      </w:r>
      <w:r>
        <w:rPr>
          <w:spacing w:val="-3"/>
        </w:rPr>
        <w:t xml:space="preserve"> </w:t>
      </w:r>
      <w:r>
        <w:t>os</w:t>
      </w:r>
      <w:r>
        <w:rPr>
          <w:spacing w:val="-1"/>
        </w:rPr>
        <w:t xml:space="preserve"> </w:t>
      </w:r>
      <w:r>
        <w:t>gastos</w:t>
      </w:r>
      <w:r>
        <w:rPr>
          <w:spacing w:val="-3"/>
        </w:rPr>
        <w:t xml:space="preserve"> </w:t>
      </w:r>
      <w:r>
        <w:t>do</w:t>
      </w:r>
      <w:r>
        <w:rPr>
          <w:spacing w:val="-1"/>
        </w:rPr>
        <w:t xml:space="preserve"> </w:t>
      </w:r>
      <w:r>
        <w:t>Funcionalismo</w:t>
      </w:r>
      <w:r>
        <w:rPr>
          <w:spacing w:val="-2"/>
        </w:rPr>
        <w:t xml:space="preserve"> </w:t>
      </w:r>
      <w:r>
        <w:t>Público,</w:t>
      </w:r>
      <w:r>
        <w:rPr>
          <w:spacing w:val="-3"/>
        </w:rPr>
        <w:t xml:space="preserve"> </w:t>
      </w:r>
      <w:r>
        <w:t>outras</w:t>
      </w:r>
      <w:r>
        <w:rPr>
          <w:spacing w:val="-3"/>
        </w:rPr>
        <w:t xml:space="preserve"> </w:t>
      </w:r>
      <w:r>
        <w:t>iniciativas</w:t>
      </w:r>
      <w:r>
        <w:rPr>
          <w:spacing w:val="-3"/>
        </w:rPr>
        <w:t xml:space="preserve"> </w:t>
      </w:r>
      <w:r>
        <w:t>que poderiam melhorar tal cenário e que, inclusive, o próprio Governo Federal vem aplicando são: a busca por formas desburocratizar a máquina pública e de simplificar as normas internas; modernizar e virtualizar os procedimentos internos do Governo; revogar decretos e portarias que acarretavam custos ao empregador e travam o desenvolvimento</w:t>
      </w:r>
      <w:r>
        <w:rPr>
          <w:spacing w:val="-1"/>
        </w:rPr>
        <w:t xml:space="preserve"> </w:t>
      </w:r>
      <w:r>
        <w:t>econômico,</w:t>
      </w:r>
      <w:r>
        <w:rPr>
          <w:spacing w:val="-1"/>
        </w:rPr>
        <w:t xml:space="preserve"> </w:t>
      </w:r>
      <w:r>
        <w:t>dentre</w:t>
      </w:r>
      <w:r>
        <w:rPr>
          <w:spacing w:val="-3"/>
        </w:rPr>
        <w:t xml:space="preserve"> </w:t>
      </w:r>
      <w:r>
        <w:t>outras. No</w:t>
      </w:r>
      <w:r>
        <w:rPr>
          <w:spacing w:val="-2"/>
        </w:rPr>
        <w:t xml:space="preserve"> </w:t>
      </w:r>
      <w:r>
        <w:t>entanto,</w:t>
      </w:r>
      <w:r>
        <w:rPr>
          <w:spacing w:val="-1"/>
        </w:rPr>
        <w:t xml:space="preserve"> </w:t>
      </w:r>
      <w:r>
        <w:t>enxugar</w:t>
      </w:r>
      <w:r>
        <w:rPr>
          <w:spacing w:val="-2"/>
        </w:rPr>
        <w:t xml:space="preserve"> </w:t>
      </w:r>
      <w:r>
        <w:t>a folha</w:t>
      </w:r>
      <w:r>
        <w:rPr>
          <w:spacing w:val="-3"/>
        </w:rPr>
        <w:t xml:space="preserve"> </w:t>
      </w:r>
      <w:r>
        <w:t>de</w:t>
      </w:r>
      <w:r>
        <w:rPr>
          <w:spacing w:val="-2"/>
        </w:rPr>
        <w:t xml:space="preserve"> </w:t>
      </w:r>
      <w:r>
        <w:t>pagamento e reduzir a carga tributária ainda são um desafio a ser enfrentado para criar um cenário favorável ao desenvolvimento econômico.</w:t>
      </w:r>
    </w:p>
    <w:p w:rsidR="007259F2" w:rsidRDefault="00E655B4">
      <w:pPr>
        <w:pStyle w:val="Corpodetexto"/>
        <w:spacing w:before="1"/>
        <w:ind w:right="990"/>
      </w:pPr>
      <w:r>
        <w:t>O Brasil deve se concentrar em simplificar seu Sistema Tributário e tornar os impostos mais eficientes, ampliando suas bases tributárias, reduzindo alíquotas e eliminando isenções fiscais desnecessárias, por exemplo. Isso melhoraria a máquina arrecadatória</w:t>
      </w:r>
      <w:r>
        <w:rPr>
          <w:spacing w:val="-7"/>
        </w:rPr>
        <w:t xml:space="preserve"> </w:t>
      </w:r>
      <w:r>
        <w:t>tributária</w:t>
      </w:r>
      <w:r>
        <w:rPr>
          <w:spacing w:val="-9"/>
        </w:rPr>
        <w:t xml:space="preserve"> </w:t>
      </w:r>
      <w:r>
        <w:t>e</w:t>
      </w:r>
      <w:r>
        <w:rPr>
          <w:spacing w:val="-5"/>
        </w:rPr>
        <w:t xml:space="preserve"> </w:t>
      </w:r>
      <w:r>
        <w:t>abriria o</w:t>
      </w:r>
      <w:r>
        <w:rPr>
          <w:spacing w:val="-11"/>
        </w:rPr>
        <w:t xml:space="preserve"> </w:t>
      </w:r>
      <w:r>
        <w:t>caminho</w:t>
      </w:r>
      <w:r>
        <w:rPr>
          <w:spacing w:val="-11"/>
        </w:rPr>
        <w:t xml:space="preserve"> </w:t>
      </w:r>
      <w:r>
        <w:t>para</w:t>
      </w:r>
      <w:r>
        <w:rPr>
          <w:spacing w:val="-11"/>
        </w:rPr>
        <w:t xml:space="preserve"> </w:t>
      </w:r>
      <w:r>
        <w:t>a</w:t>
      </w:r>
      <w:r>
        <w:rPr>
          <w:spacing w:val="-12"/>
        </w:rPr>
        <w:t xml:space="preserve"> </w:t>
      </w:r>
      <w:r>
        <w:t>recuperação</w:t>
      </w:r>
      <w:r>
        <w:rPr>
          <w:spacing w:val="-11"/>
        </w:rPr>
        <w:t xml:space="preserve"> </w:t>
      </w:r>
      <w:r>
        <w:t>econômica,</w:t>
      </w:r>
      <w:r>
        <w:rPr>
          <w:spacing w:val="-9"/>
        </w:rPr>
        <w:t xml:space="preserve"> </w:t>
      </w:r>
      <w:r>
        <w:t>extremamente importante no atual cenário que resiste no país.</w:t>
      </w:r>
    </w:p>
    <w:p w:rsidR="007259F2" w:rsidRDefault="00E655B4">
      <w:pPr>
        <w:pStyle w:val="Heading1"/>
        <w:spacing w:before="206"/>
      </w:pPr>
      <w:r>
        <w:rPr>
          <w:spacing w:val="-2"/>
        </w:rPr>
        <w:t>REFERÊNCIAS</w:t>
      </w:r>
    </w:p>
    <w:p w:rsidR="007259F2" w:rsidRDefault="00E655B4">
      <w:pPr>
        <w:spacing w:before="199" w:line="237" w:lineRule="auto"/>
        <w:ind w:left="710" w:right="990"/>
        <w:rPr>
          <w:sz w:val="24"/>
        </w:rPr>
      </w:pPr>
      <w:r>
        <w:rPr>
          <w:sz w:val="24"/>
        </w:rPr>
        <w:t>ABRAHAM,</w:t>
      </w:r>
      <w:r>
        <w:rPr>
          <w:spacing w:val="80"/>
          <w:sz w:val="24"/>
        </w:rPr>
        <w:t xml:space="preserve"> </w:t>
      </w:r>
      <w:r>
        <w:rPr>
          <w:sz w:val="24"/>
        </w:rPr>
        <w:t>Marcus;</w:t>
      </w:r>
      <w:r>
        <w:rPr>
          <w:spacing w:val="80"/>
          <w:sz w:val="24"/>
        </w:rPr>
        <w:t xml:space="preserve"> </w:t>
      </w:r>
      <w:r>
        <w:rPr>
          <w:sz w:val="24"/>
        </w:rPr>
        <w:t>BARROSO,</w:t>
      </w:r>
      <w:r>
        <w:rPr>
          <w:spacing w:val="80"/>
          <w:sz w:val="24"/>
        </w:rPr>
        <w:t xml:space="preserve"> </w:t>
      </w:r>
      <w:r>
        <w:rPr>
          <w:sz w:val="24"/>
        </w:rPr>
        <w:t>Luis</w:t>
      </w:r>
      <w:r>
        <w:rPr>
          <w:spacing w:val="80"/>
          <w:sz w:val="24"/>
        </w:rPr>
        <w:t xml:space="preserve"> </w:t>
      </w:r>
      <w:r>
        <w:rPr>
          <w:sz w:val="24"/>
        </w:rPr>
        <w:t>Roberto.</w:t>
      </w:r>
      <w:r>
        <w:rPr>
          <w:spacing w:val="80"/>
          <w:sz w:val="24"/>
        </w:rPr>
        <w:t xml:space="preserve"> </w:t>
      </w:r>
      <w:r>
        <w:rPr>
          <w:b/>
          <w:sz w:val="24"/>
        </w:rPr>
        <w:t>Curso</w:t>
      </w:r>
      <w:r>
        <w:rPr>
          <w:b/>
          <w:spacing w:val="80"/>
          <w:sz w:val="24"/>
        </w:rPr>
        <w:t xml:space="preserve"> </w:t>
      </w:r>
      <w:r>
        <w:rPr>
          <w:b/>
          <w:sz w:val="24"/>
        </w:rPr>
        <w:t>de</w:t>
      </w:r>
      <w:r>
        <w:rPr>
          <w:b/>
          <w:spacing w:val="80"/>
          <w:sz w:val="24"/>
        </w:rPr>
        <w:t xml:space="preserve"> </w:t>
      </w:r>
      <w:r>
        <w:rPr>
          <w:b/>
          <w:sz w:val="24"/>
        </w:rPr>
        <w:t>Direito</w:t>
      </w:r>
      <w:r>
        <w:rPr>
          <w:b/>
          <w:spacing w:val="80"/>
          <w:sz w:val="24"/>
        </w:rPr>
        <w:t xml:space="preserve"> </w:t>
      </w:r>
      <w:r>
        <w:rPr>
          <w:b/>
          <w:sz w:val="24"/>
        </w:rPr>
        <w:t>Tributário Brasileiro</w:t>
      </w:r>
      <w:r>
        <w:rPr>
          <w:sz w:val="24"/>
        </w:rPr>
        <w:t>. Rio de Janeiro. Gen|Forense, 2018. 476 p.</w:t>
      </w:r>
    </w:p>
    <w:p w:rsidR="007259F2" w:rsidRDefault="00E655B4">
      <w:pPr>
        <w:spacing w:before="121"/>
        <w:ind w:left="710" w:right="990"/>
        <w:rPr>
          <w:sz w:val="24"/>
        </w:rPr>
      </w:pPr>
      <w:r>
        <w:rPr>
          <w:sz w:val="24"/>
        </w:rPr>
        <w:t xml:space="preserve">ALHO NETO, João de Souza. </w:t>
      </w:r>
      <w:r>
        <w:rPr>
          <w:b/>
          <w:sz w:val="24"/>
        </w:rPr>
        <w:t>Interpretação e Aplicação de Benefícios Fiscais</w:t>
      </w:r>
      <w:r>
        <w:rPr>
          <w:sz w:val="24"/>
        </w:rPr>
        <w:t>. São</w:t>
      </w:r>
      <w:r>
        <w:rPr>
          <w:spacing w:val="40"/>
          <w:sz w:val="24"/>
        </w:rPr>
        <w:t xml:space="preserve"> </w:t>
      </w:r>
      <w:r>
        <w:rPr>
          <w:sz w:val="24"/>
        </w:rPr>
        <w:t>Paulo – SP: Instituto Brasileiro de Direito Tributário, 2021. v. XLIII.</w:t>
      </w:r>
    </w:p>
    <w:p w:rsidR="007259F2" w:rsidRDefault="00E655B4">
      <w:pPr>
        <w:spacing w:before="120"/>
        <w:ind w:left="710"/>
        <w:rPr>
          <w:sz w:val="24"/>
        </w:rPr>
      </w:pPr>
      <w:r>
        <w:rPr>
          <w:sz w:val="24"/>
        </w:rPr>
        <w:t>AMARO,</w:t>
      </w:r>
      <w:r>
        <w:rPr>
          <w:spacing w:val="-10"/>
          <w:sz w:val="24"/>
        </w:rPr>
        <w:t xml:space="preserve"> </w:t>
      </w:r>
      <w:r>
        <w:rPr>
          <w:sz w:val="24"/>
        </w:rPr>
        <w:t>Luciano.</w:t>
      </w:r>
      <w:r>
        <w:rPr>
          <w:spacing w:val="-5"/>
          <w:sz w:val="24"/>
        </w:rPr>
        <w:t xml:space="preserve"> </w:t>
      </w:r>
      <w:r>
        <w:rPr>
          <w:b/>
          <w:sz w:val="24"/>
        </w:rPr>
        <w:t>Direito</w:t>
      </w:r>
      <w:r>
        <w:rPr>
          <w:b/>
          <w:spacing w:val="-14"/>
          <w:sz w:val="24"/>
        </w:rPr>
        <w:t xml:space="preserve"> </w:t>
      </w:r>
      <w:r>
        <w:rPr>
          <w:b/>
          <w:sz w:val="24"/>
        </w:rPr>
        <w:t>Tributário</w:t>
      </w:r>
      <w:r>
        <w:rPr>
          <w:b/>
          <w:spacing w:val="-3"/>
          <w:sz w:val="24"/>
        </w:rPr>
        <w:t xml:space="preserve"> </w:t>
      </w:r>
      <w:r>
        <w:rPr>
          <w:b/>
          <w:sz w:val="24"/>
        </w:rPr>
        <w:t>Brasileiro</w:t>
      </w:r>
      <w:r>
        <w:rPr>
          <w:sz w:val="24"/>
        </w:rPr>
        <w:t>.</w:t>
      </w:r>
      <w:r>
        <w:rPr>
          <w:spacing w:val="-9"/>
          <w:sz w:val="24"/>
        </w:rPr>
        <w:t xml:space="preserve"> </w:t>
      </w:r>
      <w:r>
        <w:rPr>
          <w:sz w:val="24"/>
        </w:rPr>
        <w:t>20</w:t>
      </w:r>
      <w:r>
        <w:rPr>
          <w:spacing w:val="-5"/>
          <w:sz w:val="24"/>
        </w:rPr>
        <w:t xml:space="preserve"> </w:t>
      </w:r>
      <w:r>
        <w:rPr>
          <w:sz w:val="24"/>
        </w:rPr>
        <w:t>ed.</w:t>
      </w:r>
      <w:r>
        <w:rPr>
          <w:spacing w:val="-7"/>
          <w:sz w:val="24"/>
        </w:rPr>
        <w:t xml:space="preserve"> </w:t>
      </w:r>
      <w:r>
        <w:rPr>
          <w:sz w:val="24"/>
        </w:rPr>
        <w:t>São</w:t>
      </w:r>
      <w:r>
        <w:rPr>
          <w:spacing w:val="-9"/>
          <w:sz w:val="24"/>
        </w:rPr>
        <w:t xml:space="preserve"> </w:t>
      </w:r>
      <w:r>
        <w:rPr>
          <w:sz w:val="24"/>
        </w:rPr>
        <w:t>Paulo:</w:t>
      </w:r>
      <w:r>
        <w:rPr>
          <w:spacing w:val="-4"/>
          <w:sz w:val="24"/>
        </w:rPr>
        <w:t xml:space="preserve"> </w:t>
      </w:r>
      <w:r>
        <w:rPr>
          <w:sz w:val="24"/>
        </w:rPr>
        <w:t>Saraiva,</w:t>
      </w:r>
      <w:r>
        <w:rPr>
          <w:spacing w:val="-8"/>
          <w:sz w:val="24"/>
        </w:rPr>
        <w:t xml:space="preserve"> </w:t>
      </w:r>
      <w:r>
        <w:rPr>
          <w:spacing w:val="-2"/>
          <w:sz w:val="24"/>
        </w:rPr>
        <w:t>2015.</w:t>
      </w:r>
    </w:p>
    <w:p w:rsidR="007259F2" w:rsidRDefault="00E655B4">
      <w:pPr>
        <w:spacing w:before="121"/>
        <w:ind w:left="710" w:right="990"/>
        <w:rPr>
          <w:sz w:val="24"/>
        </w:rPr>
      </w:pPr>
      <w:r>
        <w:rPr>
          <w:sz w:val="24"/>
        </w:rPr>
        <w:t>AMARO,</w:t>
      </w:r>
      <w:r>
        <w:rPr>
          <w:spacing w:val="35"/>
          <w:sz w:val="24"/>
        </w:rPr>
        <w:t xml:space="preserve"> </w:t>
      </w:r>
      <w:r>
        <w:rPr>
          <w:sz w:val="24"/>
        </w:rPr>
        <w:t>Luciano</w:t>
      </w:r>
      <w:r>
        <w:rPr>
          <w:spacing w:val="33"/>
          <w:sz w:val="24"/>
        </w:rPr>
        <w:t xml:space="preserve"> </w:t>
      </w:r>
      <w:r>
        <w:rPr>
          <w:sz w:val="24"/>
        </w:rPr>
        <w:t>da</w:t>
      </w:r>
      <w:r>
        <w:rPr>
          <w:spacing w:val="32"/>
          <w:sz w:val="24"/>
        </w:rPr>
        <w:t xml:space="preserve"> </w:t>
      </w:r>
      <w:r>
        <w:rPr>
          <w:sz w:val="24"/>
        </w:rPr>
        <w:t>Silva.</w:t>
      </w:r>
      <w:r>
        <w:rPr>
          <w:spacing w:val="34"/>
          <w:sz w:val="24"/>
        </w:rPr>
        <w:t xml:space="preserve"> </w:t>
      </w:r>
      <w:r>
        <w:rPr>
          <w:b/>
          <w:sz w:val="24"/>
        </w:rPr>
        <w:t>Direito</w:t>
      </w:r>
      <w:r>
        <w:rPr>
          <w:b/>
          <w:spacing w:val="29"/>
          <w:sz w:val="24"/>
        </w:rPr>
        <w:t xml:space="preserve"> </w:t>
      </w:r>
      <w:r>
        <w:rPr>
          <w:b/>
          <w:sz w:val="24"/>
        </w:rPr>
        <w:t>Tributário</w:t>
      </w:r>
      <w:r>
        <w:rPr>
          <w:b/>
          <w:spacing w:val="32"/>
          <w:sz w:val="24"/>
        </w:rPr>
        <w:t xml:space="preserve"> </w:t>
      </w:r>
      <w:r>
        <w:rPr>
          <w:b/>
          <w:sz w:val="24"/>
        </w:rPr>
        <w:t>Brasileiro.</w:t>
      </w:r>
      <w:r>
        <w:rPr>
          <w:b/>
          <w:spacing w:val="34"/>
          <w:sz w:val="24"/>
        </w:rPr>
        <w:t xml:space="preserve"> </w:t>
      </w:r>
      <w:r>
        <w:rPr>
          <w:sz w:val="24"/>
        </w:rPr>
        <w:t>24</w:t>
      </w:r>
      <w:r>
        <w:rPr>
          <w:spacing w:val="33"/>
          <w:sz w:val="24"/>
        </w:rPr>
        <w:t xml:space="preserve"> </w:t>
      </w:r>
      <w:r>
        <w:rPr>
          <w:sz w:val="24"/>
        </w:rPr>
        <w:t>ed.</w:t>
      </w:r>
      <w:r>
        <w:rPr>
          <w:spacing w:val="32"/>
          <w:sz w:val="24"/>
        </w:rPr>
        <w:t xml:space="preserve"> </w:t>
      </w:r>
      <w:r>
        <w:rPr>
          <w:sz w:val="24"/>
        </w:rPr>
        <w:t>2021.</w:t>
      </w:r>
      <w:r>
        <w:rPr>
          <w:spacing w:val="34"/>
          <w:sz w:val="24"/>
        </w:rPr>
        <w:t xml:space="preserve"> </w:t>
      </w:r>
      <w:r>
        <w:rPr>
          <w:sz w:val="24"/>
        </w:rPr>
        <w:t>São</w:t>
      </w:r>
      <w:r>
        <w:rPr>
          <w:spacing w:val="32"/>
          <w:sz w:val="24"/>
        </w:rPr>
        <w:t xml:space="preserve"> </w:t>
      </w:r>
      <w:r>
        <w:rPr>
          <w:sz w:val="24"/>
        </w:rPr>
        <w:t>Paulo: Saraiva Educação S.A., v. 3, 2021.</w:t>
      </w:r>
    </w:p>
    <w:p w:rsidR="007259F2" w:rsidRDefault="00E655B4">
      <w:pPr>
        <w:spacing w:before="120"/>
        <w:ind w:left="710" w:right="990"/>
        <w:rPr>
          <w:sz w:val="24"/>
        </w:rPr>
      </w:pPr>
      <w:r>
        <w:rPr>
          <w:sz w:val="24"/>
        </w:rPr>
        <w:t>ANDRADE FILHO,</w:t>
      </w:r>
      <w:r>
        <w:rPr>
          <w:spacing w:val="-2"/>
          <w:sz w:val="24"/>
        </w:rPr>
        <w:t xml:space="preserve"> </w:t>
      </w:r>
      <w:r>
        <w:rPr>
          <w:sz w:val="24"/>
        </w:rPr>
        <w:t>Edmar</w:t>
      </w:r>
      <w:r>
        <w:rPr>
          <w:spacing w:val="-5"/>
          <w:sz w:val="24"/>
        </w:rPr>
        <w:t xml:space="preserve"> </w:t>
      </w:r>
      <w:r>
        <w:rPr>
          <w:sz w:val="24"/>
        </w:rPr>
        <w:t>Oliveira</w:t>
      </w:r>
      <w:r>
        <w:rPr>
          <w:b/>
          <w:sz w:val="24"/>
        </w:rPr>
        <w:t>. Imposto</w:t>
      </w:r>
      <w:r>
        <w:rPr>
          <w:b/>
          <w:spacing w:val="-2"/>
          <w:sz w:val="24"/>
        </w:rPr>
        <w:t xml:space="preserve"> </w:t>
      </w:r>
      <w:r>
        <w:rPr>
          <w:b/>
          <w:sz w:val="24"/>
        </w:rPr>
        <w:t>de</w:t>
      </w:r>
      <w:r>
        <w:rPr>
          <w:b/>
          <w:spacing w:val="-3"/>
          <w:sz w:val="24"/>
        </w:rPr>
        <w:t xml:space="preserve"> </w:t>
      </w:r>
      <w:r>
        <w:rPr>
          <w:b/>
          <w:sz w:val="24"/>
        </w:rPr>
        <w:t>Renda</w:t>
      </w:r>
      <w:r>
        <w:rPr>
          <w:b/>
          <w:spacing w:val="-2"/>
          <w:sz w:val="24"/>
        </w:rPr>
        <w:t xml:space="preserve"> </w:t>
      </w:r>
      <w:r>
        <w:rPr>
          <w:b/>
          <w:sz w:val="24"/>
        </w:rPr>
        <w:t>das</w:t>
      </w:r>
      <w:r>
        <w:rPr>
          <w:b/>
          <w:spacing w:val="-2"/>
          <w:sz w:val="24"/>
        </w:rPr>
        <w:t xml:space="preserve"> </w:t>
      </w:r>
      <w:r>
        <w:rPr>
          <w:b/>
          <w:sz w:val="24"/>
        </w:rPr>
        <w:t>Empresas</w:t>
      </w:r>
      <w:r>
        <w:rPr>
          <w:sz w:val="24"/>
        </w:rPr>
        <w:t>. 3.</w:t>
      </w:r>
      <w:r>
        <w:rPr>
          <w:spacing w:val="-1"/>
          <w:sz w:val="24"/>
        </w:rPr>
        <w:t xml:space="preserve"> </w:t>
      </w:r>
      <w:r>
        <w:rPr>
          <w:sz w:val="24"/>
        </w:rPr>
        <w:t>edição.</w:t>
      </w:r>
      <w:r>
        <w:rPr>
          <w:spacing w:val="-2"/>
          <w:sz w:val="24"/>
        </w:rPr>
        <w:t xml:space="preserve"> </w:t>
      </w:r>
      <w:r>
        <w:rPr>
          <w:sz w:val="24"/>
        </w:rPr>
        <w:t>São Paulo: Atlas, 2006.</w:t>
      </w:r>
    </w:p>
    <w:p w:rsidR="007259F2" w:rsidRDefault="00E655B4">
      <w:pPr>
        <w:spacing w:before="120"/>
        <w:ind w:left="710" w:right="990"/>
        <w:rPr>
          <w:sz w:val="24"/>
        </w:rPr>
      </w:pPr>
      <w:r>
        <w:rPr>
          <w:sz w:val="24"/>
        </w:rPr>
        <w:t>ATALIBA,</w:t>
      </w:r>
      <w:r>
        <w:rPr>
          <w:spacing w:val="-4"/>
          <w:sz w:val="24"/>
        </w:rPr>
        <w:t xml:space="preserve"> </w:t>
      </w:r>
      <w:r>
        <w:rPr>
          <w:sz w:val="24"/>
        </w:rPr>
        <w:t>Geraldo.</w:t>
      </w:r>
      <w:r>
        <w:rPr>
          <w:spacing w:val="-3"/>
          <w:sz w:val="24"/>
        </w:rPr>
        <w:t xml:space="preserve"> </w:t>
      </w:r>
      <w:r>
        <w:rPr>
          <w:b/>
          <w:sz w:val="24"/>
        </w:rPr>
        <w:t>Hipótese</w:t>
      </w:r>
      <w:r>
        <w:rPr>
          <w:b/>
          <w:spacing w:val="-5"/>
          <w:sz w:val="24"/>
        </w:rPr>
        <w:t xml:space="preserve"> </w:t>
      </w:r>
      <w:r>
        <w:rPr>
          <w:b/>
          <w:sz w:val="24"/>
        </w:rPr>
        <w:t>de</w:t>
      </w:r>
      <w:r>
        <w:rPr>
          <w:b/>
          <w:spacing w:val="-7"/>
          <w:sz w:val="24"/>
        </w:rPr>
        <w:t xml:space="preserve"> </w:t>
      </w:r>
      <w:r>
        <w:rPr>
          <w:b/>
          <w:sz w:val="24"/>
        </w:rPr>
        <w:t>Incidência</w:t>
      </w:r>
      <w:r>
        <w:rPr>
          <w:b/>
          <w:spacing w:val="-7"/>
          <w:sz w:val="24"/>
        </w:rPr>
        <w:t xml:space="preserve"> </w:t>
      </w:r>
      <w:r>
        <w:rPr>
          <w:b/>
          <w:sz w:val="24"/>
        </w:rPr>
        <w:t>Tributária</w:t>
      </w:r>
      <w:r>
        <w:rPr>
          <w:sz w:val="24"/>
        </w:rPr>
        <w:t>,</w:t>
      </w:r>
      <w:r>
        <w:rPr>
          <w:spacing w:val="-4"/>
          <w:sz w:val="24"/>
        </w:rPr>
        <w:t xml:space="preserve"> </w:t>
      </w:r>
      <w:r>
        <w:rPr>
          <w:sz w:val="24"/>
        </w:rPr>
        <w:t>6.</w:t>
      </w:r>
      <w:r>
        <w:rPr>
          <w:spacing w:val="-4"/>
          <w:sz w:val="24"/>
        </w:rPr>
        <w:t xml:space="preserve"> </w:t>
      </w:r>
      <w:r>
        <w:rPr>
          <w:sz w:val="24"/>
        </w:rPr>
        <w:t>ed.,</w:t>
      </w:r>
      <w:r>
        <w:rPr>
          <w:spacing w:val="-4"/>
          <w:sz w:val="24"/>
        </w:rPr>
        <w:t xml:space="preserve"> </w:t>
      </w:r>
      <w:r>
        <w:rPr>
          <w:sz w:val="24"/>
        </w:rPr>
        <w:t>7ª</w:t>
      </w:r>
      <w:r>
        <w:rPr>
          <w:spacing w:val="-10"/>
          <w:sz w:val="24"/>
        </w:rPr>
        <w:t xml:space="preserve"> </w:t>
      </w:r>
      <w:r>
        <w:rPr>
          <w:sz w:val="24"/>
        </w:rPr>
        <w:t>Tiragem.</w:t>
      </w:r>
      <w:r>
        <w:rPr>
          <w:spacing w:val="-3"/>
          <w:sz w:val="24"/>
        </w:rPr>
        <w:t xml:space="preserve"> </w:t>
      </w:r>
      <w:r>
        <w:rPr>
          <w:sz w:val="24"/>
        </w:rPr>
        <w:t>São</w:t>
      </w:r>
      <w:r>
        <w:rPr>
          <w:spacing w:val="-4"/>
          <w:sz w:val="24"/>
        </w:rPr>
        <w:t xml:space="preserve"> </w:t>
      </w:r>
      <w:r>
        <w:rPr>
          <w:sz w:val="24"/>
        </w:rPr>
        <w:t>Paulo: Malheiros, 2005.</w:t>
      </w:r>
    </w:p>
    <w:p w:rsidR="007259F2" w:rsidRDefault="00E655B4">
      <w:pPr>
        <w:pStyle w:val="Corpodetexto"/>
        <w:spacing w:before="120"/>
        <w:ind w:right="990" w:firstLine="0"/>
        <w:jc w:val="left"/>
      </w:pPr>
      <w:r>
        <w:t xml:space="preserve">ÁVILA, Humberto. </w:t>
      </w:r>
      <w:r>
        <w:rPr>
          <w:b/>
        </w:rPr>
        <w:t>Competências tributárias</w:t>
      </w:r>
      <w:r>
        <w:t>: um ensaio sobre a sua compatibilidade com as noções de tipo e conceito. São Paulo: Malheiros. 2018.</w:t>
      </w:r>
    </w:p>
    <w:p w:rsidR="007259F2" w:rsidRDefault="00E655B4">
      <w:pPr>
        <w:spacing w:before="120"/>
        <w:ind w:left="710" w:right="990"/>
        <w:rPr>
          <w:sz w:val="24"/>
        </w:rPr>
      </w:pPr>
      <w:r>
        <w:rPr>
          <w:sz w:val="24"/>
        </w:rPr>
        <w:t>BALEEIRO,</w:t>
      </w:r>
      <w:r>
        <w:rPr>
          <w:spacing w:val="34"/>
          <w:sz w:val="24"/>
        </w:rPr>
        <w:t xml:space="preserve"> </w:t>
      </w:r>
      <w:r>
        <w:rPr>
          <w:sz w:val="24"/>
        </w:rPr>
        <w:t>Aliomar;</w:t>
      </w:r>
      <w:r>
        <w:rPr>
          <w:spacing w:val="40"/>
          <w:sz w:val="24"/>
        </w:rPr>
        <w:t xml:space="preserve"> </w:t>
      </w:r>
      <w:r>
        <w:rPr>
          <w:sz w:val="24"/>
        </w:rPr>
        <w:t>DERZI,</w:t>
      </w:r>
      <w:r>
        <w:rPr>
          <w:spacing w:val="40"/>
          <w:sz w:val="24"/>
        </w:rPr>
        <w:t xml:space="preserve"> </w:t>
      </w:r>
      <w:r>
        <w:rPr>
          <w:sz w:val="24"/>
        </w:rPr>
        <w:t>Misabel.</w:t>
      </w:r>
      <w:r>
        <w:rPr>
          <w:spacing w:val="40"/>
          <w:sz w:val="24"/>
        </w:rPr>
        <w:t xml:space="preserve"> </w:t>
      </w:r>
      <w:r>
        <w:rPr>
          <w:b/>
          <w:sz w:val="24"/>
        </w:rPr>
        <w:t>Direito</w:t>
      </w:r>
      <w:r>
        <w:rPr>
          <w:b/>
          <w:spacing w:val="40"/>
          <w:sz w:val="24"/>
        </w:rPr>
        <w:t xml:space="preserve"> </w:t>
      </w:r>
      <w:r>
        <w:rPr>
          <w:b/>
          <w:sz w:val="24"/>
        </w:rPr>
        <w:t>Tributário</w:t>
      </w:r>
      <w:r>
        <w:rPr>
          <w:b/>
          <w:spacing w:val="40"/>
          <w:sz w:val="24"/>
        </w:rPr>
        <w:t xml:space="preserve"> </w:t>
      </w:r>
      <w:r>
        <w:rPr>
          <w:b/>
          <w:sz w:val="24"/>
        </w:rPr>
        <w:t>Brasileiro</w:t>
      </w:r>
      <w:r>
        <w:rPr>
          <w:sz w:val="24"/>
        </w:rPr>
        <w:t>.</w:t>
      </w:r>
      <w:r>
        <w:rPr>
          <w:spacing w:val="40"/>
          <w:sz w:val="24"/>
        </w:rPr>
        <w:t xml:space="preserve"> </w:t>
      </w:r>
      <w:r>
        <w:rPr>
          <w:sz w:val="24"/>
        </w:rPr>
        <w:t>14.</w:t>
      </w:r>
      <w:r>
        <w:rPr>
          <w:spacing w:val="40"/>
          <w:sz w:val="24"/>
        </w:rPr>
        <w:t xml:space="preserve"> </w:t>
      </w:r>
      <w:r>
        <w:rPr>
          <w:sz w:val="24"/>
        </w:rPr>
        <w:t>ed.</w:t>
      </w:r>
      <w:r>
        <w:rPr>
          <w:spacing w:val="40"/>
          <w:sz w:val="24"/>
        </w:rPr>
        <w:t xml:space="preserve"> </w:t>
      </w:r>
      <w:r>
        <w:rPr>
          <w:sz w:val="24"/>
        </w:rPr>
        <w:t>São Paulo - SP: Forense, 2018.</w:t>
      </w:r>
    </w:p>
    <w:p w:rsidR="007259F2" w:rsidRDefault="00E655B4">
      <w:pPr>
        <w:spacing w:before="120"/>
        <w:ind w:left="710" w:right="990"/>
        <w:rPr>
          <w:sz w:val="24"/>
        </w:rPr>
      </w:pPr>
      <w:r>
        <w:rPr>
          <w:sz w:val="24"/>
        </w:rPr>
        <w:t>BALEEIRO,</w:t>
      </w:r>
      <w:r>
        <w:rPr>
          <w:spacing w:val="-10"/>
          <w:sz w:val="24"/>
        </w:rPr>
        <w:t xml:space="preserve"> </w:t>
      </w:r>
      <w:r>
        <w:rPr>
          <w:sz w:val="24"/>
        </w:rPr>
        <w:t xml:space="preserve">Aliomar. </w:t>
      </w:r>
      <w:r>
        <w:rPr>
          <w:b/>
          <w:sz w:val="24"/>
        </w:rPr>
        <w:t>Limitações Constitucionais ao Poder</w:t>
      </w:r>
      <w:r>
        <w:rPr>
          <w:b/>
          <w:spacing w:val="-4"/>
          <w:sz w:val="24"/>
        </w:rPr>
        <w:t xml:space="preserve"> </w:t>
      </w:r>
      <w:r>
        <w:rPr>
          <w:b/>
          <w:sz w:val="24"/>
        </w:rPr>
        <w:t>de</w:t>
      </w:r>
      <w:r>
        <w:rPr>
          <w:b/>
          <w:spacing w:val="-6"/>
          <w:sz w:val="24"/>
        </w:rPr>
        <w:t xml:space="preserve"> </w:t>
      </w:r>
      <w:r>
        <w:rPr>
          <w:b/>
          <w:sz w:val="24"/>
        </w:rPr>
        <w:t>Tributar</w:t>
      </w:r>
      <w:r>
        <w:rPr>
          <w:sz w:val="24"/>
        </w:rPr>
        <w:t>. 7. ed. rev. e ampl. Rio de Janeiro: Forense, 2006.</w:t>
      </w:r>
    </w:p>
    <w:p w:rsidR="007259F2" w:rsidRDefault="00E655B4">
      <w:pPr>
        <w:spacing w:before="120"/>
        <w:ind w:left="710" w:right="990"/>
        <w:rPr>
          <w:sz w:val="24"/>
        </w:rPr>
      </w:pPr>
      <w:r>
        <w:rPr>
          <w:sz w:val="24"/>
        </w:rPr>
        <w:t>BARRETO,</w:t>
      </w:r>
      <w:r>
        <w:rPr>
          <w:spacing w:val="40"/>
          <w:sz w:val="24"/>
        </w:rPr>
        <w:t xml:space="preserve"> </w:t>
      </w:r>
      <w:r>
        <w:rPr>
          <w:sz w:val="24"/>
        </w:rPr>
        <w:t>Paulo</w:t>
      </w:r>
      <w:r>
        <w:rPr>
          <w:spacing w:val="40"/>
          <w:sz w:val="24"/>
        </w:rPr>
        <w:t xml:space="preserve"> </w:t>
      </w:r>
      <w:r>
        <w:rPr>
          <w:sz w:val="24"/>
        </w:rPr>
        <w:t>Ayres.</w:t>
      </w:r>
      <w:r>
        <w:rPr>
          <w:spacing w:val="40"/>
          <w:sz w:val="24"/>
        </w:rPr>
        <w:t xml:space="preserve"> </w:t>
      </w:r>
      <w:r>
        <w:rPr>
          <w:b/>
          <w:sz w:val="24"/>
        </w:rPr>
        <w:t>Imposto</w:t>
      </w:r>
      <w:r>
        <w:rPr>
          <w:b/>
          <w:spacing w:val="40"/>
          <w:sz w:val="24"/>
        </w:rPr>
        <w:t xml:space="preserve"> </w:t>
      </w:r>
      <w:r>
        <w:rPr>
          <w:b/>
          <w:sz w:val="24"/>
        </w:rPr>
        <w:t>sobre</w:t>
      </w:r>
      <w:r>
        <w:rPr>
          <w:b/>
          <w:spacing w:val="40"/>
          <w:sz w:val="24"/>
        </w:rPr>
        <w:t xml:space="preserve"> </w:t>
      </w:r>
      <w:r>
        <w:rPr>
          <w:b/>
          <w:sz w:val="24"/>
        </w:rPr>
        <w:t>a</w:t>
      </w:r>
      <w:r>
        <w:rPr>
          <w:b/>
          <w:spacing w:val="40"/>
          <w:sz w:val="24"/>
        </w:rPr>
        <w:t xml:space="preserve"> </w:t>
      </w:r>
      <w:r>
        <w:rPr>
          <w:b/>
          <w:sz w:val="24"/>
        </w:rPr>
        <w:t>renda</w:t>
      </w:r>
      <w:r>
        <w:rPr>
          <w:b/>
          <w:spacing w:val="40"/>
          <w:sz w:val="24"/>
        </w:rPr>
        <w:t xml:space="preserve"> </w:t>
      </w:r>
      <w:r>
        <w:rPr>
          <w:b/>
          <w:sz w:val="24"/>
        </w:rPr>
        <w:t>e</w:t>
      </w:r>
      <w:r>
        <w:rPr>
          <w:b/>
          <w:spacing w:val="40"/>
          <w:sz w:val="24"/>
        </w:rPr>
        <w:t xml:space="preserve"> </w:t>
      </w:r>
      <w:r>
        <w:rPr>
          <w:b/>
          <w:sz w:val="24"/>
        </w:rPr>
        <w:t>preços</w:t>
      </w:r>
      <w:r>
        <w:rPr>
          <w:b/>
          <w:spacing w:val="40"/>
          <w:sz w:val="24"/>
        </w:rPr>
        <w:t xml:space="preserve"> </w:t>
      </w:r>
      <w:r>
        <w:rPr>
          <w:b/>
          <w:sz w:val="24"/>
        </w:rPr>
        <w:t>de</w:t>
      </w:r>
      <w:r>
        <w:rPr>
          <w:b/>
          <w:spacing w:val="40"/>
          <w:sz w:val="24"/>
        </w:rPr>
        <w:t xml:space="preserve"> </w:t>
      </w:r>
      <w:r>
        <w:rPr>
          <w:b/>
          <w:sz w:val="24"/>
        </w:rPr>
        <w:t>transferência</w:t>
      </w:r>
      <w:r>
        <w:rPr>
          <w:sz w:val="24"/>
        </w:rPr>
        <w:t>.</w:t>
      </w:r>
      <w:r>
        <w:rPr>
          <w:spacing w:val="40"/>
          <w:sz w:val="24"/>
        </w:rPr>
        <w:t xml:space="preserve"> </w:t>
      </w:r>
      <w:r>
        <w:rPr>
          <w:sz w:val="24"/>
        </w:rPr>
        <w:t>São Paulo: Dialética, f. 96, 2001. 191 p.</w:t>
      </w:r>
    </w:p>
    <w:p w:rsidR="007259F2" w:rsidRDefault="007259F2">
      <w:pPr>
        <w:pStyle w:val="Corpodetexto"/>
        <w:ind w:left="0" w:firstLine="0"/>
        <w:jc w:val="left"/>
        <w:rPr>
          <w:sz w:val="20"/>
        </w:rPr>
      </w:pPr>
    </w:p>
    <w:p w:rsidR="007259F2" w:rsidRDefault="00DE6B1C">
      <w:pPr>
        <w:pStyle w:val="Corpodetexto"/>
        <w:spacing w:before="50"/>
        <w:ind w:left="0" w:firstLine="0"/>
        <w:jc w:val="left"/>
        <w:rPr>
          <w:sz w:val="20"/>
        </w:rPr>
      </w:pPr>
      <w:r w:rsidRPr="00DE6B1C">
        <w:rPr>
          <w:sz w:val="20"/>
        </w:rPr>
        <w:pict>
          <v:rect id="docshape97" o:spid="_x0000_s1129" style="position:absolute;margin-left:85.1pt;margin-top:15.2pt;width:425.25pt;height:.7pt;z-index:-15687168;mso-wrap-distance-left:0;mso-wrap-distance-right:0;mso-position-horizontal-relative:page" fillcolor="black" stroked="f">
            <w10:wrap type="topAndBottom" anchorx="page"/>
          </v:rect>
        </w:pict>
      </w:r>
    </w:p>
    <w:p w:rsidR="007259F2" w:rsidRDefault="00E655B4">
      <w:pPr>
        <w:spacing w:before="96"/>
        <w:ind w:left="710" w:right="1907"/>
        <w:rPr>
          <w:sz w:val="20"/>
        </w:rPr>
      </w:pPr>
      <w:r>
        <w:rPr>
          <w:spacing w:val="-2"/>
          <w:sz w:val="20"/>
        </w:rPr>
        <w:t xml:space="preserve">em: </w:t>
      </w:r>
      <w:hyperlink r:id="rId114">
        <w:r>
          <w:rPr>
            <w:color w:val="0000FF"/>
            <w:spacing w:val="-2"/>
            <w:sz w:val="20"/>
            <w:u w:val="single" w:color="0000FF"/>
          </w:rPr>
          <w:t>https://www.portaldaindustria.com.br/publicacoes/2020/10/nota-economica-15-o-peso-do-</w:t>
        </w:r>
      </w:hyperlink>
      <w:r>
        <w:rPr>
          <w:color w:val="0000FF"/>
          <w:spacing w:val="-2"/>
          <w:sz w:val="20"/>
        </w:rPr>
        <w:t xml:space="preserve"> </w:t>
      </w:r>
      <w:hyperlink r:id="rId115">
        <w:r>
          <w:rPr>
            <w:color w:val="0000FF"/>
            <w:sz w:val="20"/>
            <w:u w:val="single" w:color="0000FF"/>
          </w:rPr>
          <w:t>funcionalismopublicono-brasil-em-comparacao-com-outros-paises/</w:t>
        </w:r>
        <w:r>
          <w:rPr>
            <w:sz w:val="20"/>
          </w:rPr>
          <w:t>.</w:t>
        </w:r>
      </w:hyperlink>
      <w:r>
        <w:rPr>
          <w:sz w:val="20"/>
        </w:rPr>
        <w:t xml:space="preserve"> Acesso em: 6 mai. 2022.</w:t>
      </w:r>
    </w:p>
    <w:p w:rsidR="007259F2" w:rsidRDefault="00E655B4">
      <w:pPr>
        <w:ind w:left="710" w:right="990"/>
        <w:rPr>
          <w:sz w:val="20"/>
        </w:rPr>
      </w:pPr>
      <w:r>
        <w:rPr>
          <w:spacing w:val="-2"/>
          <w:sz w:val="20"/>
          <w:vertAlign w:val="superscript"/>
        </w:rPr>
        <w:t>90</w:t>
      </w:r>
      <w:r>
        <w:rPr>
          <w:spacing w:val="-2"/>
          <w:sz w:val="20"/>
        </w:rPr>
        <w:t xml:space="preserve"> INTERNATIONAL</w:t>
      </w:r>
      <w:r>
        <w:rPr>
          <w:spacing w:val="-9"/>
          <w:sz w:val="20"/>
        </w:rPr>
        <w:t xml:space="preserve"> </w:t>
      </w:r>
      <w:r>
        <w:rPr>
          <w:spacing w:val="-2"/>
          <w:sz w:val="20"/>
        </w:rPr>
        <w:t>MONETARY</w:t>
      </w:r>
      <w:r>
        <w:rPr>
          <w:spacing w:val="-7"/>
          <w:sz w:val="20"/>
        </w:rPr>
        <w:t xml:space="preserve"> </w:t>
      </w:r>
      <w:r>
        <w:rPr>
          <w:spacing w:val="-2"/>
          <w:sz w:val="20"/>
        </w:rPr>
        <w:t xml:space="preserve">FUND. </w:t>
      </w:r>
      <w:r>
        <w:rPr>
          <w:b/>
          <w:spacing w:val="-2"/>
          <w:sz w:val="20"/>
        </w:rPr>
        <w:t>Government Finance Statistics</w:t>
      </w:r>
      <w:r>
        <w:rPr>
          <w:spacing w:val="-2"/>
          <w:sz w:val="20"/>
        </w:rPr>
        <w:t>. IMF DATA</w:t>
      </w:r>
      <w:r>
        <w:rPr>
          <w:spacing w:val="-14"/>
          <w:sz w:val="20"/>
        </w:rPr>
        <w:t xml:space="preserve"> </w:t>
      </w:r>
      <w:r>
        <w:rPr>
          <w:spacing w:val="-2"/>
          <w:sz w:val="20"/>
        </w:rPr>
        <w:t xml:space="preserve">Washington, </w:t>
      </w:r>
      <w:r>
        <w:rPr>
          <w:sz w:val="20"/>
        </w:rPr>
        <w:t xml:space="preserve">DC. Disponível em: </w:t>
      </w:r>
      <w:hyperlink r:id="rId116">
        <w:r>
          <w:rPr>
            <w:sz w:val="20"/>
            <w:u w:val="single"/>
          </w:rPr>
          <w:t>https://data.imf.org/?sk=a0867067-d23c-4ebc-ad23-</w:t>
        </w:r>
      </w:hyperlink>
      <w:r>
        <w:rPr>
          <w:sz w:val="20"/>
        </w:rPr>
        <w:t xml:space="preserve"> </w:t>
      </w:r>
      <w:hyperlink r:id="rId117">
        <w:r>
          <w:rPr>
            <w:sz w:val="20"/>
            <w:u w:val="single"/>
          </w:rPr>
          <w:t>d3b015045405&amp;sid=154444838607</w:t>
        </w:r>
        <w:r>
          <w:rPr>
            <w:sz w:val="20"/>
          </w:rPr>
          <w:t>.</w:t>
        </w:r>
      </w:hyperlink>
      <w:r>
        <w:rPr>
          <w:sz w:val="20"/>
        </w:rPr>
        <w:t xml:space="preserve"> Acesso em: 3 mai. 2022.</w:t>
      </w:r>
    </w:p>
    <w:p w:rsidR="007259F2" w:rsidRDefault="007259F2">
      <w:pPr>
        <w:rPr>
          <w:sz w:val="20"/>
        </w:rPr>
        <w:sectPr w:rsidR="007259F2">
          <w:pgSz w:w="11910" w:h="16840"/>
          <w:pgMar w:top="1320" w:right="708" w:bottom="1160" w:left="992" w:header="0" w:footer="962" w:gutter="0"/>
          <w:cols w:space="720"/>
        </w:sectPr>
      </w:pPr>
    </w:p>
    <w:p w:rsidR="007259F2" w:rsidRDefault="00E655B4">
      <w:pPr>
        <w:pStyle w:val="Corpodetexto"/>
        <w:tabs>
          <w:tab w:val="left" w:pos="2046"/>
          <w:tab w:val="left" w:pos="3172"/>
          <w:tab w:val="left" w:pos="4319"/>
          <w:tab w:val="left" w:pos="5714"/>
          <w:tab w:val="left" w:pos="7037"/>
          <w:tab w:val="left" w:pos="8854"/>
        </w:tabs>
        <w:spacing w:before="69"/>
        <w:ind w:right="988" w:firstLine="0"/>
      </w:pPr>
      <w:r>
        <w:lastRenderedPageBreak/>
        <w:t xml:space="preserve">BARRETO, Simone Rodrigues. Tomo Direito Tributário. </w:t>
      </w:r>
      <w:r>
        <w:rPr>
          <w:b/>
        </w:rPr>
        <w:t xml:space="preserve">Enciclopédia jurídica da </w:t>
      </w:r>
      <w:r>
        <w:rPr>
          <w:b/>
          <w:spacing w:val="-4"/>
        </w:rPr>
        <w:t>PUC-</w:t>
      </w:r>
      <w:r>
        <w:rPr>
          <w:b/>
        </w:rPr>
        <w:tab/>
      </w:r>
      <w:r>
        <w:rPr>
          <w:b/>
          <w:spacing w:val="-4"/>
        </w:rPr>
        <w:t>SP</w:t>
      </w:r>
      <w:r>
        <w:rPr>
          <w:spacing w:val="-4"/>
        </w:rPr>
        <w:t>.</w:t>
      </w:r>
      <w:r>
        <w:tab/>
      </w:r>
      <w:r>
        <w:rPr>
          <w:spacing w:val="-4"/>
        </w:rPr>
        <w:t>São</w:t>
      </w:r>
      <w:r>
        <w:tab/>
      </w:r>
      <w:r>
        <w:rPr>
          <w:spacing w:val="-2"/>
        </w:rPr>
        <w:t>Paulo,</w:t>
      </w:r>
      <w:r>
        <w:tab/>
      </w:r>
      <w:r>
        <w:rPr>
          <w:spacing w:val="-2"/>
        </w:rPr>
        <w:t>2019.</w:t>
      </w:r>
      <w:r>
        <w:tab/>
      </w:r>
      <w:r>
        <w:rPr>
          <w:spacing w:val="-2"/>
        </w:rPr>
        <w:t>Disponível</w:t>
      </w:r>
      <w:r>
        <w:tab/>
      </w:r>
      <w:r>
        <w:rPr>
          <w:spacing w:val="-4"/>
        </w:rPr>
        <w:t xml:space="preserve">em: </w:t>
      </w:r>
      <w:r>
        <w:rPr>
          <w:spacing w:val="-2"/>
        </w:rPr>
        <w:t>https://enciclopediajuridica.pucsp.br/verbete/295/edicao-1/renda.</w:t>
      </w:r>
    </w:p>
    <w:p w:rsidR="007259F2" w:rsidRDefault="00E655B4">
      <w:pPr>
        <w:spacing w:before="121"/>
        <w:ind w:left="710" w:right="989"/>
        <w:jc w:val="both"/>
        <w:rPr>
          <w:sz w:val="24"/>
        </w:rPr>
      </w:pPr>
      <w:r>
        <w:rPr>
          <w:sz w:val="24"/>
        </w:rPr>
        <w:t>BECKER,</w:t>
      </w:r>
      <w:r>
        <w:rPr>
          <w:spacing w:val="-1"/>
          <w:sz w:val="24"/>
        </w:rPr>
        <w:t xml:space="preserve"> </w:t>
      </w:r>
      <w:r>
        <w:rPr>
          <w:sz w:val="24"/>
        </w:rPr>
        <w:t>Alfredo</w:t>
      </w:r>
      <w:r>
        <w:rPr>
          <w:spacing w:val="-1"/>
          <w:sz w:val="24"/>
        </w:rPr>
        <w:t xml:space="preserve"> </w:t>
      </w:r>
      <w:r>
        <w:rPr>
          <w:sz w:val="24"/>
        </w:rPr>
        <w:t xml:space="preserve">Augusto. </w:t>
      </w:r>
      <w:r>
        <w:rPr>
          <w:b/>
          <w:sz w:val="24"/>
        </w:rPr>
        <w:t>Teoria Geral do Direito Tributário</w:t>
      </w:r>
      <w:r>
        <w:rPr>
          <w:sz w:val="24"/>
        </w:rPr>
        <w:t xml:space="preserve">. São Paulo: Saraiva, </w:t>
      </w:r>
      <w:r>
        <w:rPr>
          <w:spacing w:val="-2"/>
          <w:sz w:val="24"/>
        </w:rPr>
        <w:t>1963.</w:t>
      </w:r>
    </w:p>
    <w:p w:rsidR="007259F2" w:rsidRDefault="00E655B4">
      <w:pPr>
        <w:spacing w:before="120"/>
        <w:ind w:left="710" w:right="992"/>
        <w:jc w:val="both"/>
        <w:rPr>
          <w:sz w:val="24"/>
        </w:rPr>
      </w:pPr>
      <w:r>
        <w:rPr>
          <w:sz w:val="24"/>
        </w:rPr>
        <w:t xml:space="preserve">BORBA, José Edwaldo Tavares. </w:t>
      </w:r>
      <w:r>
        <w:rPr>
          <w:b/>
          <w:sz w:val="24"/>
        </w:rPr>
        <w:t xml:space="preserve">Direito Societário. </w:t>
      </w:r>
      <w:r>
        <w:rPr>
          <w:sz w:val="24"/>
        </w:rPr>
        <w:t>Rio de Janeiro: Renovar, 2001.</w:t>
      </w:r>
      <w:r>
        <w:rPr>
          <w:spacing w:val="40"/>
          <w:sz w:val="24"/>
        </w:rPr>
        <w:t xml:space="preserve"> </w:t>
      </w:r>
      <w:r>
        <w:rPr>
          <w:sz w:val="24"/>
        </w:rPr>
        <w:t>555 p.</w:t>
      </w:r>
    </w:p>
    <w:p w:rsidR="007259F2" w:rsidRDefault="00E655B4">
      <w:pPr>
        <w:spacing w:before="120"/>
        <w:ind w:left="710" w:right="988"/>
        <w:jc w:val="both"/>
        <w:rPr>
          <w:sz w:val="24"/>
        </w:rPr>
      </w:pPr>
      <w:r>
        <w:rPr>
          <w:sz w:val="24"/>
        </w:rPr>
        <w:t xml:space="preserve">BORGES, José Souto Maior. </w:t>
      </w:r>
      <w:r>
        <w:rPr>
          <w:b/>
          <w:sz w:val="24"/>
        </w:rPr>
        <w:t>Teoria geral da isenção tributária</w:t>
      </w:r>
      <w:r>
        <w:rPr>
          <w:sz w:val="24"/>
        </w:rPr>
        <w:t>. 3. Ed. São Paulo: Malheiros, 2001.</w:t>
      </w:r>
    </w:p>
    <w:p w:rsidR="007259F2" w:rsidRDefault="00E655B4">
      <w:pPr>
        <w:pStyle w:val="Corpodetexto"/>
        <w:spacing w:before="120"/>
        <w:ind w:right="992" w:firstLine="0"/>
      </w:pPr>
      <w:r>
        <w:t xml:space="preserve">BRASIL. Congresso Nacional. </w:t>
      </w:r>
      <w:r>
        <w:rPr>
          <w:b/>
        </w:rPr>
        <w:t>Lei n. 5172, de 24 de outubro de 1966</w:t>
      </w:r>
      <w:r>
        <w:t xml:space="preserve">. Diário Oficial da União, Brasília, 25 de outubro de 1966. Disponível em: </w:t>
      </w:r>
      <w:hyperlink r:id="rId118">
        <w:r>
          <w:rPr>
            <w:spacing w:val="-2"/>
          </w:rPr>
          <w:t>http://www.planalto.gov.br/ccivil_03/leis/l5172compilado.htm.</w:t>
        </w:r>
      </w:hyperlink>
    </w:p>
    <w:p w:rsidR="007259F2" w:rsidRDefault="00E655B4">
      <w:pPr>
        <w:spacing w:before="121"/>
        <w:ind w:left="710" w:right="987"/>
        <w:jc w:val="both"/>
        <w:rPr>
          <w:sz w:val="24"/>
        </w:rPr>
      </w:pPr>
      <w:r>
        <w:rPr>
          <w:sz w:val="24"/>
        </w:rPr>
        <w:t>BRASIL.</w:t>
      </w:r>
      <w:r>
        <w:rPr>
          <w:spacing w:val="-1"/>
          <w:sz w:val="24"/>
        </w:rPr>
        <w:t xml:space="preserve"> </w:t>
      </w:r>
      <w:r>
        <w:rPr>
          <w:b/>
          <w:sz w:val="24"/>
        </w:rPr>
        <w:t>Constituição da República Federativa do Brasil</w:t>
      </w:r>
      <w:r>
        <w:rPr>
          <w:sz w:val="24"/>
        </w:rPr>
        <w:t>,</w:t>
      </w:r>
      <w:r>
        <w:rPr>
          <w:spacing w:val="-1"/>
          <w:sz w:val="24"/>
        </w:rPr>
        <w:t xml:space="preserve"> </w:t>
      </w:r>
      <w:r>
        <w:rPr>
          <w:sz w:val="24"/>
        </w:rPr>
        <w:t>de</w:t>
      </w:r>
      <w:r>
        <w:rPr>
          <w:spacing w:val="-3"/>
          <w:sz w:val="24"/>
        </w:rPr>
        <w:t xml:space="preserve"> </w:t>
      </w:r>
      <w:r>
        <w:rPr>
          <w:sz w:val="24"/>
        </w:rPr>
        <w:t>04</w:t>
      </w:r>
      <w:r>
        <w:rPr>
          <w:spacing w:val="-1"/>
          <w:sz w:val="24"/>
        </w:rPr>
        <w:t xml:space="preserve"> </w:t>
      </w:r>
      <w:r>
        <w:rPr>
          <w:sz w:val="24"/>
        </w:rPr>
        <w:t>de</w:t>
      </w:r>
      <w:r>
        <w:rPr>
          <w:spacing w:val="-6"/>
          <w:sz w:val="24"/>
        </w:rPr>
        <w:t xml:space="preserve"> </w:t>
      </w:r>
      <w:r>
        <w:rPr>
          <w:sz w:val="24"/>
        </w:rPr>
        <w:t>outubro de</w:t>
      </w:r>
      <w:r>
        <w:rPr>
          <w:spacing w:val="-1"/>
          <w:sz w:val="24"/>
        </w:rPr>
        <w:t xml:space="preserve"> </w:t>
      </w:r>
      <w:r>
        <w:rPr>
          <w:sz w:val="24"/>
        </w:rPr>
        <w:t xml:space="preserve">1988. Diário Oficial da União, Brasília, 05 de outubro de 1988. Disponível em: </w:t>
      </w:r>
      <w:hyperlink r:id="rId119">
        <w:r>
          <w:rPr>
            <w:spacing w:val="-2"/>
            <w:sz w:val="24"/>
          </w:rPr>
          <w:t>http://www.planalto.gov.br/ccivil_03/constituicao/constituicao.htm.</w:t>
        </w:r>
      </w:hyperlink>
    </w:p>
    <w:p w:rsidR="007259F2" w:rsidRDefault="00E655B4">
      <w:pPr>
        <w:spacing w:before="120"/>
        <w:ind w:left="710" w:right="989"/>
        <w:jc w:val="both"/>
        <w:rPr>
          <w:sz w:val="24"/>
        </w:rPr>
      </w:pPr>
      <w:r>
        <w:rPr>
          <w:sz w:val="24"/>
        </w:rPr>
        <w:t xml:space="preserve">BRASIL. </w:t>
      </w:r>
      <w:r>
        <w:rPr>
          <w:b/>
          <w:sz w:val="24"/>
        </w:rPr>
        <w:t>Lei n. 6.404, de 14 de dezembro de 1976</w:t>
      </w:r>
      <w:r>
        <w:rPr>
          <w:sz w:val="24"/>
        </w:rPr>
        <w:t xml:space="preserve">. Diário Oficial da União, Brasília. Disponível em: </w:t>
      </w:r>
      <w:hyperlink r:id="rId120">
        <w:r>
          <w:rPr>
            <w:sz w:val="24"/>
          </w:rPr>
          <w:t>http://www.planalto.gov.br/ccivil_03/leis/l6404consol.htm</w:t>
        </w:r>
      </w:hyperlink>
      <w:r>
        <w:rPr>
          <w:sz w:val="24"/>
        </w:rPr>
        <w:t>.</w:t>
      </w:r>
    </w:p>
    <w:p w:rsidR="007259F2" w:rsidRDefault="00E655B4">
      <w:pPr>
        <w:spacing w:before="120"/>
        <w:ind w:left="710" w:right="987"/>
        <w:jc w:val="both"/>
        <w:rPr>
          <w:sz w:val="24"/>
        </w:rPr>
      </w:pPr>
      <w:r>
        <w:rPr>
          <w:sz w:val="24"/>
        </w:rPr>
        <w:t xml:space="preserve">BRASIL. Receita Federal. </w:t>
      </w:r>
      <w:r>
        <w:rPr>
          <w:b/>
          <w:sz w:val="24"/>
        </w:rPr>
        <w:t>O Fenômeno da “pejotização” e a motivação tributária</w:t>
      </w:r>
      <w:r>
        <w:rPr>
          <w:sz w:val="24"/>
        </w:rPr>
        <w:t xml:space="preserve">. Brasília, 2016. Disponível em: </w:t>
      </w:r>
      <w:hyperlink r:id="rId121">
        <w:r>
          <w:rPr>
            <w:sz w:val="24"/>
          </w:rPr>
          <w:t>https://www.gov.br/receitafederal%22/pt-br/centrais-de-</w:t>
        </w:r>
      </w:hyperlink>
      <w:r>
        <w:rPr>
          <w:sz w:val="24"/>
        </w:rPr>
        <w:t xml:space="preserve"> </w:t>
      </w:r>
      <w:hyperlink r:id="rId122">
        <w:r>
          <w:rPr>
            <w:spacing w:val="-2"/>
            <w:sz w:val="24"/>
          </w:rPr>
          <w:t>conteudo/publicacoes/estudos/outros-estudos/pejotizacao.pdf/view</w:t>
        </w:r>
      </w:hyperlink>
      <w:r>
        <w:rPr>
          <w:spacing w:val="-2"/>
          <w:sz w:val="24"/>
        </w:rPr>
        <w:t>.</w:t>
      </w:r>
    </w:p>
    <w:p w:rsidR="007259F2" w:rsidRDefault="00E655B4">
      <w:pPr>
        <w:pStyle w:val="Corpodetexto"/>
        <w:spacing w:before="120"/>
        <w:ind w:right="992" w:firstLine="0"/>
      </w:pPr>
      <w:r>
        <w:t xml:space="preserve">CARVALHO, Cristiano Viveiros de, et. all; SILVA, Jules Michelet Pereira Queiroz e (Coord.) </w:t>
      </w:r>
      <w:r>
        <w:rPr>
          <w:b/>
        </w:rPr>
        <w:t>Tributação de lucros e dividendos no Brasil</w:t>
      </w:r>
      <w:r>
        <w:t xml:space="preserve">: uma perspectiva comparada. Câmara dos Deputados, Consultoria Legislativa. 2015 Disponível em: </w:t>
      </w:r>
      <w:hyperlink r:id="rId123">
        <w:r>
          <w:rPr>
            <w:spacing w:val="-2"/>
          </w:rPr>
          <w:t>https://bd.camara.leg.br/bd/handle/bdcamara/26840.</w:t>
        </w:r>
      </w:hyperlink>
    </w:p>
    <w:p w:rsidR="007259F2" w:rsidRDefault="00E655B4">
      <w:pPr>
        <w:spacing w:before="120"/>
        <w:ind w:left="710" w:right="987"/>
        <w:jc w:val="both"/>
        <w:rPr>
          <w:sz w:val="24"/>
        </w:rPr>
      </w:pPr>
      <w:r>
        <w:rPr>
          <w:sz w:val="24"/>
        </w:rPr>
        <w:t xml:space="preserve">CARVALHO, Paulo de Barros. </w:t>
      </w:r>
      <w:r>
        <w:rPr>
          <w:b/>
          <w:sz w:val="24"/>
        </w:rPr>
        <w:t>Curso de direito tributário</w:t>
      </w:r>
      <w:r>
        <w:rPr>
          <w:sz w:val="24"/>
        </w:rPr>
        <w:t>. 14. ed. rev. e atual. São Paulo: Saraiva, 2002.</w:t>
      </w:r>
    </w:p>
    <w:p w:rsidR="007259F2" w:rsidRDefault="00E655B4">
      <w:pPr>
        <w:tabs>
          <w:tab w:val="left" w:pos="2288"/>
          <w:tab w:val="left" w:pos="3231"/>
          <w:tab w:val="left" w:pos="4567"/>
          <w:tab w:val="left" w:pos="5860"/>
          <w:tab w:val="left" w:pos="7100"/>
          <w:tab w:val="left" w:pos="8854"/>
        </w:tabs>
        <w:spacing w:before="120"/>
        <w:ind w:left="710" w:right="990"/>
        <w:rPr>
          <w:sz w:val="24"/>
        </w:rPr>
      </w:pPr>
      <w:r>
        <w:rPr>
          <w:sz w:val="24"/>
        </w:rPr>
        <w:t>CARVALHO</w:t>
      </w:r>
      <w:r>
        <w:rPr>
          <w:spacing w:val="-5"/>
          <w:sz w:val="24"/>
        </w:rPr>
        <w:t xml:space="preserve"> </w:t>
      </w:r>
      <w:r>
        <w:rPr>
          <w:sz w:val="24"/>
        </w:rPr>
        <w:t>JUNIOR,</w:t>
      </w:r>
      <w:r>
        <w:rPr>
          <w:spacing w:val="-4"/>
          <w:sz w:val="24"/>
        </w:rPr>
        <w:t xml:space="preserve"> </w:t>
      </w:r>
      <w:r>
        <w:rPr>
          <w:sz w:val="24"/>
        </w:rPr>
        <w:t>Pedro</w:t>
      </w:r>
      <w:r>
        <w:rPr>
          <w:spacing w:val="-4"/>
          <w:sz w:val="24"/>
        </w:rPr>
        <w:t xml:space="preserve"> </w:t>
      </w:r>
      <w:r>
        <w:rPr>
          <w:sz w:val="24"/>
        </w:rPr>
        <w:t>H.</w:t>
      </w:r>
      <w:r>
        <w:rPr>
          <w:spacing w:val="-2"/>
          <w:sz w:val="24"/>
        </w:rPr>
        <w:t xml:space="preserve"> </w:t>
      </w:r>
      <w:r>
        <w:rPr>
          <w:sz w:val="24"/>
        </w:rPr>
        <w:t>B.</w:t>
      </w:r>
      <w:r>
        <w:rPr>
          <w:spacing w:val="-4"/>
          <w:sz w:val="24"/>
        </w:rPr>
        <w:t xml:space="preserve"> </w:t>
      </w:r>
      <w:r>
        <w:rPr>
          <w:sz w:val="24"/>
        </w:rPr>
        <w:t>D.</w:t>
      </w:r>
      <w:r>
        <w:rPr>
          <w:spacing w:val="-2"/>
          <w:sz w:val="24"/>
        </w:rPr>
        <w:t xml:space="preserve"> </w:t>
      </w:r>
      <w:r>
        <w:rPr>
          <w:b/>
          <w:sz w:val="24"/>
        </w:rPr>
        <w:t>O</w:t>
      </w:r>
      <w:r>
        <w:rPr>
          <w:b/>
          <w:spacing w:val="-4"/>
          <w:sz w:val="24"/>
        </w:rPr>
        <w:t xml:space="preserve"> </w:t>
      </w:r>
      <w:r>
        <w:rPr>
          <w:b/>
          <w:sz w:val="24"/>
        </w:rPr>
        <w:t>sistema</w:t>
      </w:r>
      <w:r>
        <w:rPr>
          <w:b/>
          <w:spacing w:val="-2"/>
          <w:sz w:val="24"/>
        </w:rPr>
        <w:t xml:space="preserve"> </w:t>
      </w:r>
      <w:r>
        <w:rPr>
          <w:b/>
          <w:sz w:val="24"/>
        </w:rPr>
        <w:t>tributário</w:t>
      </w:r>
      <w:r>
        <w:rPr>
          <w:b/>
          <w:spacing w:val="-4"/>
          <w:sz w:val="24"/>
        </w:rPr>
        <w:t xml:space="preserve"> </w:t>
      </w:r>
      <w:r>
        <w:rPr>
          <w:b/>
          <w:sz w:val="24"/>
        </w:rPr>
        <w:t>dos</w:t>
      </w:r>
      <w:r>
        <w:rPr>
          <w:b/>
          <w:spacing w:val="-4"/>
          <w:sz w:val="24"/>
        </w:rPr>
        <w:t xml:space="preserve"> </w:t>
      </w:r>
      <w:r>
        <w:rPr>
          <w:b/>
          <w:sz w:val="24"/>
        </w:rPr>
        <w:t>países</w:t>
      </w:r>
      <w:r>
        <w:rPr>
          <w:b/>
          <w:spacing w:val="-4"/>
          <w:sz w:val="24"/>
        </w:rPr>
        <w:t xml:space="preserve"> </w:t>
      </w:r>
      <w:r>
        <w:rPr>
          <w:b/>
          <w:sz w:val="24"/>
        </w:rPr>
        <w:t>da</w:t>
      </w:r>
      <w:r>
        <w:rPr>
          <w:b/>
          <w:spacing w:val="-7"/>
          <w:sz w:val="24"/>
        </w:rPr>
        <w:t xml:space="preserve"> </w:t>
      </w:r>
      <w:r>
        <w:rPr>
          <w:b/>
          <w:sz w:val="24"/>
        </w:rPr>
        <w:t>OCDE</w:t>
      </w:r>
      <w:r>
        <w:rPr>
          <w:b/>
          <w:spacing w:val="-4"/>
          <w:sz w:val="24"/>
        </w:rPr>
        <w:t xml:space="preserve"> </w:t>
      </w:r>
      <w:r>
        <w:rPr>
          <w:b/>
          <w:sz w:val="24"/>
        </w:rPr>
        <w:t>e</w:t>
      </w:r>
      <w:r>
        <w:rPr>
          <w:b/>
          <w:spacing w:val="-5"/>
          <w:sz w:val="24"/>
        </w:rPr>
        <w:t xml:space="preserve"> </w:t>
      </w:r>
      <w:r>
        <w:rPr>
          <w:b/>
          <w:sz w:val="24"/>
        </w:rPr>
        <w:t>as principais</w:t>
      </w:r>
      <w:r>
        <w:rPr>
          <w:b/>
          <w:spacing w:val="80"/>
          <w:sz w:val="24"/>
        </w:rPr>
        <w:t xml:space="preserve"> </w:t>
      </w:r>
      <w:r>
        <w:rPr>
          <w:b/>
          <w:sz w:val="24"/>
        </w:rPr>
        <w:t>recomendações</w:t>
      </w:r>
      <w:r>
        <w:rPr>
          <w:b/>
          <w:spacing w:val="80"/>
          <w:sz w:val="24"/>
        </w:rPr>
        <w:t xml:space="preserve"> </w:t>
      </w:r>
      <w:r>
        <w:rPr>
          <w:b/>
          <w:sz w:val="24"/>
        </w:rPr>
        <w:t>da</w:t>
      </w:r>
      <w:r>
        <w:rPr>
          <w:b/>
          <w:spacing w:val="80"/>
          <w:sz w:val="24"/>
        </w:rPr>
        <w:t xml:space="preserve"> </w:t>
      </w:r>
      <w:r>
        <w:rPr>
          <w:b/>
          <w:sz w:val="24"/>
        </w:rPr>
        <w:t>entidade:</w:t>
      </w:r>
      <w:r>
        <w:rPr>
          <w:b/>
          <w:spacing w:val="80"/>
          <w:sz w:val="24"/>
        </w:rPr>
        <w:t xml:space="preserve"> </w:t>
      </w:r>
      <w:r>
        <w:rPr>
          <w:sz w:val="24"/>
        </w:rPr>
        <w:t>fornecendo</w:t>
      </w:r>
      <w:r>
        <w:rPr>
          <w:spacing w:val="80"/>
          <w:sz w:val="24"/>
        </w:rPr>
        <w:t xml:space="preserve"> </w:t>
      </w:r>
      <w:r>
        <w:rPr>
          <w:sz w:val="24"/>
        </w:rPr>
        <w:t>parâmetros</w:t>
      </w:r>
      <w:r>
        <w:rPr>
          <w:spacing w:val="80"/>
          <w:sz w:val="24"/>
        </w:rPr>
        <w:t xml:space="preserve"> </w:t>
      </w:r>
      <w:r>
        <w:rPr>
          <w:sz w:val="24"/>
        </w:rPr>
        <w:t>para</w:t>
      </w:r>
      <w:r>
        <w:rPr>
          <w:spacing w:val="80"/>
          <w:sz w:val="24"/>
        </w:rPr>
        <w:t xml:space="preserve"> </w:t>
      </w:r>
      <w:r>
        <w:rPr>
          <w:sz w:val="24"/>
        </w:rPr>
        <w:t>a</w:t>
      </w:r>
      <w:r>
        <w:rPr>
          <w:spacing w:val="80"/>
          <w:sz w:val="24"/>
        </w:rPr>
        <w:t xml:space="preserve"> </w:t>
      </w:r>
      <w:r>
        <w:rPr>
          <w:sz w:val="24"/>
        </w:rPr>
        <w:t xml:space="preserve">reforma </w:t>
      </w:r>
      <w:r>
        <w:rPr>
          <w:spacing w:val="-2"/>
          <w:sz w:val="24"/>
        </w:rPr>
        <w:t>tributária</w:t>
      </w:r>
      <w:r>
        <w:rPr>
          <w:sz w:val="24"/>
        </w:rPr>
        <w:tab/>
      </w:r>
      <w:r>
        <w:rPr>
          <w:spacing w:val="-6"/>
          <w:sz w:val="24"/>
        </w:rPr>
        <w:t>no</w:t>
      </w:r>
      <w:r>
        <w:rPr>
          <w:sz w:val="24"/>
        </w:rPr>
        <w:tab/>
      </w:r>
      <w:r>
        <w:rPr>
          <w:spacing w:val="-2"/>
          <w:sz w:val="24"/>
        </w:rPr>
        <w:t>Brasil.</w:t>
      </w:r>
      <w:r>
        <w:rPr>
          <w:sz w:val="24"/>
        </w:rPr>
        <w:tab/>
      </w:r>
      <w:r>
        <w:rPr>
          <w:spacing w:val="-4"/>
          <w:sz w:val="24"/>
        </w:rPr>
        <w:t>IPEA.</w:t>
      </w:r>
      <w:r>
        <w:rPr>
          <w:sz w:val="24"/>
        </w:rPr>
        <w:tab/>
      </w:r>
      <w:r>
        <w:rPr>
          <w:spacing w:val="-2"/>
          <w:sz w:val="24"/>
        </w:rPr>
        <w:t>2022.</w:t>
      </w:r>
      <w:r>
        <w:rPr>
          <w:sz w:val="24"/>
        </w:rPr>
        <w:tab/>
      </w:r>
      <w:r>
        <w:rPr>
          <w:spacing w:val="-2"/>
          <w:sz w:val="24"/>
        </w:rPr>
        <w:t>Disponível</w:t>
      </w:r>
      <w:r>
        <w:rPr>
          <w:sz w:val="24"/>
        </w:rPr>
        <w:tab/>
      </w:r>
      <w:r>
        <w:rPr>
          <w:spacing w:val="-4"/>
          <w:sz w:val="24"/>
        </w:rPr>
        <w:t xml:space="preserve">em: </w:t>
      </w:r>
      <w:r>
        <w:rPr>
          <w:spacing w:val="-2"/>
          <w:sz w:val="24"/>
        </w:rPr>
        <w:t>https://</w:t>
      </w:r>
      <w:hyperlink r:id="rId124">
        <w:r>
          <w:rPr>
            <w:spacing w:val="-2"/>
            <w:sz w:val="24"/>
          </w:rPr>
          <w:t>www.ipea.gov.br/portal/index.php?option=com_content&amp;view=article&amp;id=39017</w:t>
        </w:r>
      </w:hyperlink>
      <w:r>
        <w:rPr>
          <w:spacing w:val="-2"/>
          <w:sz w:val="24"/>
        </w:rPr>
        <w:t xml:space="preserve"> </w:t>
      </w:r>
      <w:hyperlink r:id="rId125">
        <w:r>
          <w:rPr>
            <w:sz w:val="24"/>
          </w:rPr>
          <w:t>&amp;Ite</w:t>
        </w:r>
      </w:hyperlink>
      <w:r>
        <w:rPr>
          <w:sz w:val="24"/>
        </w:rPr>
        <w:t xml:space="preserve"> mid=466. Acesso em: 15/03/2022</w:t>
      </w:r>
    </w:p>
    <w:p w:rsidR="007259F2" w:rsidRDefault="00E655B4">
      <w:pPr>
        <w:spacing w:before="121"/>
        <w:ind w:left="710" w:right="990"/>
        <w:rPr>
          <w:sz w:val="24"/>
        </w:rPr>
      </w:pPr>
      <w:r>
        <w:rPr>
          <w:sz w:val="24"/>
        </w:rPr>
        <w:t>COELHO,</w:t>
      </w:r>
      <w:r>
        <w:rPr>
          <w:spacing w:val="26"/>
          <w:sz w:val="24"/>
        </w:rPr>
        <w:t xml:space="preserve"> </w:t>
      </w:r>
      <w:r>
        <w:rPr>
          <w:sz w:val="24"/>
        </w:rPr>
        <w:t>Fábio</w:t>
      </w:r>
      <w:r>
        <w:rPr>
          <w:spacing w:val="26"/>
          <w:sz w:val="24"/>
        </w:rPr>
        <w:t xml:space="preserve"> </w:t>
      </w:r>
      <w:r>
        <w:rPr>
          <w:sz w:val="24"/>
        </w:rPr>
        <w:t>Ulhoa.</w:t>
      </w:r>
      <w:r>
        <w:rPr>
          <w:spacing w:val="30"/>
          <w:sz w:val="24"/>
        </w:rPr>
        <w:t xml:space="preserve"> </w:t>
      </w:r>
      <w:r>
        <w:rPr>
          <w:b/>
          <w:sz w:val="24"/>
        </w:rPr>
        <w:t>Curso</w:t>
      </w:r>
      <w:r>
        <w:rPr>
          <w:b/>
          <w:spacing w:val="25"/>
          <w:sz w:val="24"/>
        </w:rPr>
        <w:t xml:space="preserve"> </w:t>
      </w:r>
      <w:r>
        <w:rPr>
          <w:b/>
          <w:sz w:val="24"/>
        </w:rPr>
        <w:t>de</w:t>
      </w:r>
      <w:r>
        <w:rPr>
          <w:b/>
          <w:spacing w:val="25"/>
          <w:sz w:val="24"/>
        </w:rPr>
        <w:t xml:space="preserve"> </w:t>
      </w:r>
      <w:r>
        <w:rPr>
          <w:b/>
          <w:sz w:val="24"/>
        </w:rPr>
        <w:t>Direito</w:t>
      </w:r>
      <w:r>
        <w:rPr>
          <w:b/>
          <w:spacing w:val="26"/>
          <w:sz w:val="24"/>
        </w:rPr>
        <w:t xml:space="preserve"> </w:t>
      </w:r>
      <w:r>
        <w:rPr>
          <w:b/>
          <w:sz w:val="24"/>
        </w:rPr>
        <w:t>Comercial</w:t>
      </w:r>
      <w:r>
        <w:rPr>
          <w:b/>
          <w:spacing w:val="29"/>
          <w:sz w:val="24"/>
        </w:rPr>
        <w:t xml:space="preserve"> </w:t>
      </w:r>
      <w:r>
        <w:rPr>
          <w:b/>
          <w:sz w:val="24"/>
        </w:rPr>
        <w:t>- direito</w:t>
      </w:r>
      <w:r>
        <w:rPr>
          <w:b/>
          <w:spacing w:val="26"/>
          <w:sz w:val="24"/>
        </w:rPr>
        <w:t xml:space="preserve"> </w:t>
      </w:r>
      <w:r>
        <w:rPr>
          <w:b/>
          <w:sz w:val="24"/>
        </w:rPr>
        <w:t>de empresa</w:t>
      </w:r>
      <w:r>
        <w:rPr>
          <w:sz w:val="24"/>
        </w:rPr>
        <w:t>.</w:t>
      </w:r>
      <w:r>
        <w:rPr>
          <w:spacing w:val="26"/>
          <w:sz w:val="24"/>
        </w:rPr>
        <w:t xml:space="preserve"> </w:t>
      </w:r>
      <w:r>
        <w:rPr>
          <w:sz w:val="24"/>
        </w:rPr>
        <w:t>19a ed. São Paulo - SP: Saraiva, 2015.</w:t>
      </w:r>
    </w:p>
    <w:p w:rsidR="007259F2" w:rsidRDefault="00E655B4">
      <w:pPr>
        <w:spacing w:before="120"/>
        <w:ind w:left="710"/>
        <w:rPr>
          <w:sz w:val="24"/>
        </w:rPr>
      </w:pPr>
      <w:r>
        <w:rPr>
          <w:sz w:val="24"/>
        </w:rPr>
        <w:t>CONFEDERAÇÃO</w:t>
      </w:r>
      <w:r>
        <w:rPr>
          <w:spacing w:val="35"/>
          <w:sz w:val="24"/>
        </w:rPr>
        <w:t xml:space="preserve"> </w:t>
      </w:r>
      <w:r>
        <w:rPr>
          <w:sz w:val="24"/>
        </w:rPr>
        <w:t>NACIONAL</w:t>
      </w:r>
      <w:r>
        <w:rPr>
          <w:spacing w:val="26"/>
          <w:sz w:val="24"/>
        </w:rPr>
        <w:t xml:space="preserve"> </w:t>
      </w:r>
      <w:r>
        <w:rPr>
          <w:sz w:val="24"/>
        </w:rPr>
        <w:t>DA</w:t>
      </w:r>
      <w:r>
        <w:rPr>
          <w:spacing w:val="24"/>
          <w:sz w:val="24"/>
        </w:rPr>
        <w:t xml:space="preserve"> </w:t>
      </w:r>
      <w:r>
        <w:rPr>
          <w:sz w:val="24"/>
        </w:rPr>
        <w:t>INDÚSTRIA.</w:t>
      </w:r>
      <w:r>
        <w:rPr>
          <w:spacing w:val="37"/>
          <w:sz w:val="24"/>
        </w:rPr>
        <w:t xml:space="preserve"> </w:t>
      </w:r>
      <w:r>
        <w:rPr>
          <w:b/>
          <w:sz w:val="24"/>
        </w:rPr>
        <w:t>NOTA</w:t>
      </w:r>
      <w:r>
        <w:rPr>
          <w:b/>
          <w:spacing w:val="18"/>
          <w:sz w:val="24"/>
        </w:rPr>
        <w:t xml:space="preserve"> </w:t>
      </w:r>
      <w:r>
        <w:rPr>
          <w:b/>
          <w:sz w:val="24"/>
        </w:rPr>
        <w:t>ECONÔMICA</w:t>
      </w:r>
      <w:r>
        <w:rPr>
          <w:b/>
          <w:spacing w:val="23"/>
          <w:sz w:val="24"/>
        </w:rPr>
        <w:t xml:space="preserve"> </w:t>
      </w:r>
      <w:r>
        <w:rPr>
          <w:b/>
          <w:sz w:val="24"/>
        </w:rPr>
        <w:t>Nº15</w:t>
      </w:r>
      <w:r>
        <w:rPr>
          <w:sz w:val="24"/>
        </w:rPr>
        <w:t>:</w:t>
      </w:r>
      <w:r>
        <w:rPr>
          <w:spacing w:val="37"/>
          <w:sz w:val="24"/>
        </w:rPr>
        <w:t xml:space="preserve"> </w:t>
      </w:r>
      <w:r>
        <w:rPr>
          <w:spacing w:val="-10"/>
          <w:sz w:val="24"/>
        </w:rPr>
        <w:t>O</w:t>
      </w:r>
    </w:p>
    <w:p w:rsidR="007259F2" w:rsidRDefault="00E655B4">
      <w:pPr>
        <w:pStyle w:val="Corpodetexto"/>
        <w:tabs>
          <w:tab w:val="left" w:pos="3500"/>
          <w:tab w:val="left" w:pos="5920"/>
          <w:tab w:val="left" w:pos="8853"/>
        </w:tabs>
        <w:ind w:right="991" w:firstLine="0"/>
        <w:jc w:val="left"/>
      </w:pPr>
      <w:r>
        <w:t>peso do funcionalismo público no Brasil em comparação com outros países. Portal da</w:t>
      </w:r>
      <w:r>
        <w:rPr>
          <w:spacing w:val="80"/>
        </w:rPr>
        <w:t xml:space="preserve"> </w:t>
      </w:r>
      <w:r>
        <w:rPr>
          <w:spacing w:val="-2"/>
        </w:rPr>
        <w:t>Industria.</w:t>
      </w:r>
      <w:r>
        <w:tab/>
      </w:r>
      <w:r>
        <w:rPr>
          <w:spacing w:val="-2"/>
        </w:rPr>
        <w:t>2020.</w:t>
      </w:r>
      <w:r>
        <w:tab/>
      </w:r>
      <w:r>
        <w:rPr>
          <w:spacing w:val="-2"/>
        </w:rPr>
        <w:t>Disponível</w:t>
      </w:r>
      <w:r>
        <w:tab/>
      </w:r>
      <w:r>
        <w:rPr>
          <w:spacing w:val="-4"/>
        </w:rPr>
        <w:t xml:space="preserve">em: </w:t>
      </w:r>
      <w:r>
        <w:rPr>
          <w:spacing w:val="-2"/>
        </w:rPr>
        <w:t>https://</w:t>
      </w:r>
      <w:hyperlink r:id="rId126">
        <w:r>
          <w:rPr>
            <w:spacing w:val="-2"/>
          </w:rPr>
          <w:t>www.portaldaindustria.com.br/publicacoes/2020/10/nota-economica-15-o-peso-</w:t>
        </w:r>
      </w:hyperlink>
      <w:r>
        <w:rPr>
          <w:spacing w:val="-2"/>
        </w:rPr>
        <w:t xml:space="preserve"> do-funcionalismo-publico-no-brasil-em-comparacao-com-outros-paises/.</w:t>
      </w:r>
    </w:p>
    <w:p w:rsidR="007259F2" w:rsidRDefault="00E655B4">
      <w:pPr>
        <w:spacing w:before="120"/>
        <w:ind w:left="710" w:right="990"/>
        <w:rPr>
          <w:sz w:val="24"/>
        </w:rPr>
      </w:pPr>
      <w:r>
        <w:rPr>
          <w:sz w:val="24"/>
        </w:rPr>
        <w:t>COSTA,</w:t>
      </w:r>
      <w:r>
        <w:rPr>
          <w:spacing w:val="33"/>
          <w:sz w:val="24"/>
        </w:rPr>
        <w:t xml:space="preserve"> </w:t>
      </w:r>
      <w:r>
        <w:rPr>
          <w:sz w:val="24"/>
        </w:rPr>
        <w:t>Regina</w:t>
      </w:r>
      <w:r>
        <w:rPr>
          <w:spacing w:val="33"/>
          <w:sz w:val="24"/>
        </w:rPr>
        <w:t xml:space="preserve"> </w:t>
      </w:r>
      <w:r>
        <w:rPr>
          <w:sz w:val="24"/>
        </w:rPr>
        <w:t>Helena.</w:t>
      </w:r>
      <w:r>
        <w:rPr>
          <w:spacing w:val="40"/>
          <w:sz w:val="24"/>
        </w:rPr>
        <w:t xml:space="preserve"> </w:t>
      </w:r>
      <w:r>
        <w:rPr>
          <w:b/>
          <w:sz w:val="24"/>
        </w:rPr>
        <w:t>Curso</w:t>
      </w:r>
      <w:r>
        <w:rPr>
          <w:b/>
          <w:spacing w:val="33"/>
          <w:sz w:val="24"/>
        </w:rPr>
        <w:t xml:space="preserve"> </w:t>
      </w:r>
      <w:r>
        <w:rPr>
          <w:b/>
          <w:sz w:val="24"/>
        </w:rPr>
        <w:t>de</w:t>
      </w:r>
      <w:r>
        <w:rPr>
          <w:b/>
          <w:spacing w:val="35"/>
          <w:sz w:val="24"/>
        </w:rPr>
        <w:t xml:space="preserve"> </w:t>
      </w:r>
      <w:r>
        <w:rPr>
          <w:b/>
          <w:sz w:val="24"/>
        </w:rPr>
        <w:t>direito</w:t>
      </w:r>
      <w:r>
        <w:rPr>
          <w:b/>
          <w:spacing w:val="36"/>
          <w:sz w:val="24"/>
        </w:rPr>
        <w:t xml:space="preserve"> </w:t>
      </w:r>
      <w:r>
        <w:rPr>
          <w:b/>
          <w:sz w:val="24"/>
        </w:rPr>
        <w:t>tributário</w:t>
      </w:r>
      <w:r>
        <w:rPr>
          <w:sz w:val="24"/>
        </w:rPr>
        <w:t>.</w:t>
      </w:r>
      <w:r>
        <w:rPr>
          <w:spacing w:val="36"/>
          <w:sz w:val="24"/>
        </w:rPr>
        <w:t xml:space="preserve"> </w:t>
      </w:r>
      <w:r>
        <w:rPr>
          <w:sz w:val="24"/>
        </w:rPr>
        <w:t>São</w:t>
      </w:r>
      <w:r>
        <w:rPr>
          <w:spacing w:val="34"/>
          <w:sz w:val="24"/>
        </w:rPr>
        <w:t xml:space="preserve"> </w:t>
      </w:r>
      <w:r>
        <w:rPr>
          <w:sz w:val="24"/>
        </w:rPr>
        <w:t>Paulo:</w:t>
      </w:r>
      <w:r>
        <w:rPr>
          <w:spacing w:val="35"/>
          <w:sz w:val="24"/>
        </w:rPr>
        <w:t xml:space="preserve"> </w:t>
      </w:r>
      <w:r>
        <w:rPr>
          <w:sz w:val="24"/>
        </w:rPr>
        <w:t>Saraiva</w:t>
      </w:r>
      <w:r>
        <w:rPr>
          <w:spacing w:val="36"/>
          <w:sz w:val="24"/>
        </w:rPr>
        <w:t xml:space="preserve"> </w:t>
      </w:r>
      <w:r>
        <w:rPr>
          <w:sz w:val="24"/>
        </w:rPr>
        <w:t>Educação S.A., v. 3, 2018.</w:t>
      </w:r>
    </w:p>
    <w:p w:rsidR="007259F2" w:rsidRDefault="00E655B4">
      <w:pPr>
        <w:spacing w:before="120"/>
        <w:ind w:left="710" w:right="990"/>
        <w:rPr>
          <w:sz w:val="24"/>
        </w:rPr>
      </w:pPr>
      <w:r>
        <w:rPr>
          <w:sz w:val="24"/>
        </w:rPr>
        <w:t>COSTA,</w:t>
      </w:r>
      <w:r>
        <w:rPr>
          <w:spacing w:val="-10"/>
          <w:sz w:val="24"/>
        </w:rPr>
        <w:t xml:space="preserve"> </w:t>
      </w:r>
      <w:r>
        <w:rPr>
          <w:sz w:val="24"/>
        </w:rPr>
        <w:t>Regina</w:t>
      </w:r>
      <w:r>
        <w:rPr>
          <w:spacing w:val="-10"/>
          <w:sz w:val="24"/>
        </w:rPr>
        <w:t xml:space="preserve"> </w:t>
      </w:r>
      <w:r>
        <w:rPr>
          <w:sz w:val="24"/>
        </w:rPr>
        <w:t>Helena.</w:t>
      </w:r>
      <w:r>
        <w:rPr>
          <w:spacing w:val="-4"/>
          <w:sz w:val="24"/>
        </w:rPr>
        <w:t xml:space="preserve"> </w:t>
      </w:r>
      <w:r>
        <w:rPr>
          <w:b/>
          <w:sz w:val="24"/>
        </w:rPr>
        <w:t>Curso</w:t>
      </w:r>
      <w:r>
        <w:rPr>
          <w:b/>
          <w:spacing w:val="-10"/>
          <w:sz w:val="24"/>
        </w:rPr>
        <w:t xml:space="preserve"> </w:t>
      </w:r>
      <w:r>
        <w:rPr>
          <w:b/>
          <w:sz w:val="24"/>
        </w:rPr>
        <w:t>de</w:t>
      </w:r>
      <w:r>
        <w:rPr>
          <w:b/>
          <w:spacing w:val="-12"/>
          <w:sz w:val="24"/>
        </w:rPr>
        <w:t xml:space="preserve"> </w:t>
      </w:r>
      <w:r>
        <w:rPr>
          <w:b/>
          <w:sz w:val="24"/>
        </w:rPr>
        <w:t>direito</w:t>
      </w:r>
      <w:r>
        <w:rPr>
          <w:b/>
          <w:spacing w:val="-7"/>
          <w:sz w:val="24"/>
        </w:rPr>
        <w:t xml:space="preserve"> </w:t>
      </w:r>
      <w:r>
        <w:rPr>
          <w:b/>
          <w:sz w:val="24"/>
        </w:rPr>
        <w:t>tributário</w:t>
      </w:r>
      <w:r>
        <w:rPr>
          <w:b/>
          <w:spacing w:val="-6"/>
          <w:sz w:val="24"/>
        </w:rPr>
        <w:t xml:space="preserve"> </w:t>
      </w:r>
      <w:r>
        <w:rPr>
          <w:sz w:val="24"/>
        </w:rPr>
        <w:t>-</w:t>
      </w:r>
      <w:r>
        <w:rPr>
          <w:spacing w:val="-12"/>
          <w:sz w:val="24"/>
        </w:rPr>
        <w:t xml:space="preserve"> </w:t>
      </w:r>
      <w:r>
        <w:rPr>
          <w:sz w:val="24"/>
        </w:rPr>
        <w:t>Constituição</w:t>
      </w:r>
      <w:r>
        <w:rPr>
          <w:spacing w:val="-9"/>
          <w:sz w:val="24"/>
        </w:rPr>
        <w:t xml:space="preserve"> </w:t>
      </w:r>
      <w:r>
        <w:rPr>
          <w:sz w:val="24"/>
        </w:rPr>
        <w:t>e</w:t>
      </w:r>
      <w:r>
        <w:rPr>
          <w:spacing w:val="-10"/>
          <w:sz w:val="24"/>
        </w:rPr>
        <w:t xml:space="preserve"> </w:t>
      </w:r>
      <w:r>
        <w:rPr>
          <w:sz w:val="24"/>
        </w:rPr>
        <w:t>Código</w:t>
      </w:r>
      <w:r>
        <w:rPr>
          <w:spacing w:val="-10"/>
          <w:sz w:val="24"/>
        </w:rPr>
        <w:t xml:space="preserve"> </w:t>
      </w:r>
      <w:r>
        <w:rPr>
          <w:sz w:val="24"/>
        </w:rPr>
        <w:t>Tributário Nacional – 9. ed. – São Paulo: Saraiva Educação, 2019.</w:t>
      </w:r>
    </w:p>
    <w:p w:rsidR="007259F2" w:rsidRDefault="007259F2">
      <w:pPr>
        <w:rPr>
          <w:sz w:val="24"/>
        </w:rPr>
        <w:sectPr w:rsidR="007259F2">
          <w:pgSz w:w="11910" w:h="16840"/>
          <w:pgMar w:top="1320" w:right="708" w:bottom="1160" w:left="992" w:header="0" w:footer="962" w:gutter="0"/>
          <w:cols w:space="720"/>
        </w:sectPr>
      </w:pPr>
    </w:p>
    <w:p w:rsidR="007259F2" w:rsidRDefault="00E655B4">
      <w:pPr>
        <w:pStyle w:val="Corpodetexto"/>
        <w:spacing w:before="69"/>
        <w:ind w:right="987" w:firstLine="0"/>
      </w:pPr>
      <w:r>
        <w:lastRenderedPageBreak/>
        <w:t xml:space="preserve">COSTA, Regina Helena. Imposto de renda e capacidade contributiva. </w:t>
      </w:r>
      <w:r>
        <w:rPr>
          <w:b/>
        </w:rPr>
        <w:t>Revista CEJ</w:t>
      </w:r>
      <w:r>
        <w:t xml:space="preserve">, Fortaleza-CE. v. 7, n. 22, p. 25-30, 2 set. 2003. Disponível em: </w:t>
      </w:r>
      <w:hyperlink r:id="rId127">
        <w:r>
          <w:rPr>
            <w:spacing w:val="-2"/>
          </w:rPr>
          <w:t>https://www.inesul.edu.br/professor/arquivos_alunos/doc_1330259554.pdf</w:t>
        </w:r>
      </w:hyperlink>
      <w:r>
        <w:rPr>
          <w:spacing w:val="-2"/>
        </w:rPr>
        <w:t>.</w:t>
      </w:r>
    </w:p>
    <w:p w:rsidR="007259F2" w:rsidRDefault="00E655B4">
      <w:pPr>
        <w:spacing w:before="121"/>
        <w:ind w:left="710" w:right="991"/>
        <w:jc w:val="both"/>
        <w:rPr>
          <w:sz w:val="24"/>
        </w:rPr>
      </w:pPr>
      <w:r>
        <w:rPr>
          <w:sz w:val="24"/>
        </w:rPr>
        <w:t xml:space="preserve">FABRETTI, Láudio Camargo. </w:t>
      </w:r>
      <w:r>
        <w:rPr>
          <w:b/>
          <w:sz w:val="24"/>
        </w:rPr>
        <w:t>Direito</w:t>
      </w:r>
      <w:r>
        <w:rPr>
          <w:b/>
          <w:spacing w:val="-1"/>
          <w:sz w:val="24"/>
        </w:rPr>
        <w:t xml:space="preserve"> </w:t>
      </w:r>
      <w:r>
        <w:rPr>
          <w:b/>
          <w:sz w:val="24"/>
        </w:rPr>
        <w:t>Tributário</w:t>
      </w:r>
      <w:r>
        <w:rPr>
          <w:b/>
          <w:spacing w:val="-8"/>
          <w:sz w:val="24"/>
        </w:rPr>
        <w:t xml:space="preserve"> </w:t>
      </w:r>
      <w:r>
        <w:rPr>
          <w:b/>
          <w:sz w:val="24"/>
        </w:rPr>
        <w:t xml:space="preserve">Aplicado: </w:t>
      </w:r>
      <w:r>
        <w:rPr>
          <w:sz w:val="24"/>
        </w:rPr>
        <w:t>Impostos e Contribuições das Empresas. 2. ed. São Paulo:</w:t>
      </w:r>
      <w:r>
        <w:rPr>
          <w:spacing w:val="-2"/>
          <w:sz w:val="24"/>
        </w:rPr>
        <w:t xml:space="preserve"> </w:t>
      </w:r>
      <w:r>
        <w:rPr>
          <w:sz w:val="24"/>
        </w:rPr>
        <w:t>Atlas, 2009. pág. 56</w:t>
      </w:r>
    </w:p>
    <w:p w:rsidR="007259F2" w:rsidRDefault="00E655B4">
      <w:pPr>
        <w:spacing w:before="120"/>
        <w:ind w:left="710" w:right="986"/>
        <w:jc w:val="both"/>
        <w:rPr>
          <w:sz w:val="24"/>
        </w:rPr>
      </w:pPr>
      <w:r>
        <w:rPr>
          <w:sz w:val="24"/>
        </w:rPr>
        <w:t xml:space="preserve">GOBETT, Sérgio Wulff; ORAIR, Rodrigo Octávio. </w:t>
      </w:r>
      <w:r>
        <w:rPr>
          <w:b/>
          <w:sz w:val="24"/>
        </w:rPr>
        <w:t>Tributação e distribuição da renda no Brasil: novas evidências a partir das declarações tributárias das pessoas físicas</w:t>
      </w:r>
      <w:r>
        <w:rPr>
          <w:sz w:val="24"/>
        </w:rPr>
        <w:t xml:space="preserve">. IPCIG. Brasília, 2016. Disponível em: https://ipcig.org/pt- </w:t>
      </w:r>
      <w:r>
        <w:rPr>
          <w:spacing w:val="-2"/>
          <w:sz w:val="24"/>
        </w:rPr>
        <w:t>br/publication/27836?language_content_entity=pt-br.</w:t>
      </w:r>
    </w:p>
    <w:p w:rsidR="007259F2" w:rsidRDefault="00E655B4">
      <w:pPr>
        <w:pStyle w:val="Corpodetexto"/>
        <w:tabs>
          <w:tab w:val="left" w:pos="1434"/>
          <w:tab w:val="left" w:pos="2605"/>
          <w:tab w:val="left" w:pos="3666"/>
          <w:tab w:val="left" w:pos="4960"/>
          <w:tab w:val="left" w:pos="6267"/>
          <w:tab w:val="left" w:pos="7306"/>
          <w:tab w:val="left" w:pos="8861"/>
        </w:tabs>
        <w:spacing w:before="120"/>
        <w:ind w:right="987" w:firstLine="0"/>
        <w:jc w:val="left"/>
      </w:pPr>
      <w:r>
        <w:t xml:space="preserve">GRANER, Fabio. Entidades setoriais pedem que Congresso rejeite reforma do Imposto </w:t>
      </w:r>
      <w:r>
        <w:rPr>
          <w:spacing w:val="-6"/>
        </w:rPr>
        <w:t>de</w:t>
      </w:r>
      <w:r>
        <w:tab/>
      </w:r>
      <w:r>
        <w:rPr>
          <w:spacing w:val="-2"/>
        </w:rPr>
        <w:t>Renda.</w:t>
      </w:r>
      <w:r>
        <w:tab/>
      </w:r>
      <w:r>
        <w:rPr>
          <w:b/>
          <w:spacing w:val="-4"/>
        </w:rPr>
        <w:t>Valor</w:t>
      </w:r>
      <w:r>
        <w:rPr>
          <w:b/>
        </w:rPr>
        <w:tab/>
      </w:r>
      <w:r>
        <w:rPr>
          <w:b/>
          <w:spacing w:val="-2"/>
        </w:rPr>
        <w:t>Investe</w:t>
      </w:r>
      <w:r>
        <w:rPr>
          <w:spacing w:val="-2"/>
        </w:rPr>
        <w:t>.</w:t>
      </w:r>
      <w:r>
        <w:tab/>
      </w:r>
      <w:r>
        <w:rPr>
          <w:spacing w:val="-2"/>
        </w:rPr>
        <w:t>Brasília,</w:t>
      </w:r>
      <w:r>
        <w:tab/>
      </w:r>
      <w:r>
        <w:rPr>
          <w:spacing w:val="-2"/>
        </w:rPr>
        <w:t>2021.</w:t>
      </w:r>
      <w:r>
        <w:tab/>
      </w:r>
      <w:r>
        <w:rPr>
          <w:spacing w:val="-2"/>
        </w:rPr>
        <w:t>Disponível</w:t>
      </w:r>
      <w:r>
        <w:tab/>
      </w:r>
      <w:r>
        <w:rPr>
          <w:spacing w:val="-4"/>
        </w:rPr>
        <w:t xml:space="preserve">em: </w:t>
      </w:r>
      <w:r>
        <w:rPr>
          <w:spacing w:val="-2"/>
        </w:rPr>
        <w:t xml:space="preserve">https://valorinveste.globo.com/mercados/brasil-e-politica/noticia/2021/07/26/entidades- </w:t>
      </w:r>
      <w:r>
        <w:t>setoriais-pedem-que-congresso-rejeite-reforma-do-imposto-de-renda.ghtml. Acesso</w:t>
      </w:r>
      <w:r>
        <w:rPr>
          <w:spacing w:val="17"/>
        </w:rPr>
        <w:t xml:space="preserve"> </w:t>
      </w:r>
      <w:r>
        <w:t>em: 25 jan. 2022.</w:t>
      </w:r>
    </w:p>
    <w:p w:rsidR="007259F2" w:rsidRDefault="00E655B4">
      <w:pPr>
        <w:tabs>
          <w:tab w:val="left" w:pos="2394"/>
          <w:tab w:val="left" w:pos="3448"/>
          <w:tab w:val="left" w:pos="4574"/>
          <w:tab w:val="left" w:pos="5025"/>
          <w:tab w:val="left" w:pos="5539"/>
          <w:tab w:val="left" w:pos="7253"/>
        </w:tabs>
        <w:spacing w:before="121"/>
        <w:ind w:left="710"/>
        <w:rPr>
          <w:b/>
          <w:sz w:val="24"/>
        </w:rPr>
      </w:pPr>
      <w:r>
        <w:rPr>
          <w:spacing w:val="-2"/>
          <w:sz w:val="24"/>
        </w:rPr>
        <w:t>MOSQUERA,</w:t>
      </w:r>
      <w:r>
        <w:rPr>
          <w:sz w:val="24"/>
        </w:rPr>
        <w:tab/>
      </w:r>
      <w:r>
        <w:rPr>
          <w:spacing w:val="-2"/>
          <w:sz w:val="24"/>
        </w:rPr>
        <w:t>Roberto</w:t>
      </w:r>
      <w:r>
        <w:rPr>
          <w:sz w:val="24"/>
        </w:rPr>
        <w:tab/>
      </w:r>
      <w:r>
        <w:rPr>
          <w:spacing w:val="-2"/>
          <w:sz w:val="24"/>
        </w:rPr>
        <w:t>Quiroga.</w:t>
      </w:r>
      <w:r>
        <w:rPr>
          <w:sz w:val="24"/>
        </w:rPr>
        <w:tab/>
      </w:r>
      <w:r>
        <w:rPr>
          <w:spacing w:val="-5"/>
          <w:sz w:val="24"/>
        </w:rPr>
        <w:t>et</w:t>
      </w:r>
      <w:r>
        <w:rPr>
          <w:sz w:val="24"/>
        </w:rPr>
        <w:tab/>
      </w:r>
      <w:r>
        <w:rPr>
          <w:spacing w:val="-5"/>
          <w:sz w:val="24"/>
        </w:rPr>
        <w:t>al.</w:t>
      </w:r>
      <w:r>
        <w:rPr>
          <w:sz w:val="24"/>
        </w:rPr>
        <w:tab/>
      </w:r>
      <w:r>
        <w:rPr>
          <w:b/>
          <w:spacing w:val="-2"/>
          <w:sz w:val="24"/>
        </w:rPr>
        <w:t>Controvérsias</w:t>
      </w:r>
      <w:r>
        <w:rPr>
          <w:b/>
          <w:sz w:val="24"/>
        </w:rPr>
        <w:tab/>
        <w:t>Jurídico-</w:t>
      </w:r>
      <w:r>
        <w:rPr>
          <w:b/>
          <w:spacing w:val="-2"/>
          <w:sz w:val="24"/>
        </w:rPr>
        <w:t>Contábeis</w:t>
      </w:r>
    </w:p>
    <w:p w:rsidR="007259F2" w:rsidRDefault="00E655B4">
      <w:pPr>
        <w:pStyle w:val="Corpodetexto"/>
        <w:ind w:firstLine="0"/>
        <w:jc w:val="left"/>
      </w:pPr>
      <w:r>
        <w:t>(Aproximações</w:t>
      </w:r>
      <w:r>
        <w:rPr>
          <w:spacing w:val="-8"/>
        </w:rPr>
        <w:t xml:space="preserve"> </w:t>
      </w:r>
      <w:r>
        <w:t>e</w:t>
      </w:r>
      <w:r>
        <w:rPr>
          <w:spacing w:val="-3"/>
        </w:rPr>
        <w:t xml:space="preserve"> </w:t>
      </w:r>
      <w:r>
        <w:t>Distanciamentos).</w:t>
      </w:r>
      <w:r>
        <w:rPr>
          <w:spacing w:val="-2"/>
        </w:rPr>
        <w:t xml:space="preserve"> </w:t>
      </w:r>
      <w:r>
        <w:t>São</w:t>
      </w:r>
      <w:r>
        <w:rPr>
          <w:spacing w:val="-3"/>
        </w:rPr>
        <w:t xml:space="preserve"> </w:t>
      </w:r>
      <w:r>
        <w:t>Paulo -</w:t>
      </w:r>
      <w:r>
        <w:rPr>
          <w:spacing w:val="-3"/>
        </w:rPr>
        <w:t xml:space="preserve"> </w:t>
      </w:r>
      <w:r>
        <w:t>SP:</w:t>
      </w:r>
      <w:r>
        <w:rPr>
          <w:spacing w:val="-3"/>
        </w:rPr>
        <w:t xml:space="preserve"> </w:t>
      </w:r>
      <w:r>
        <w:t>Dialética,</w:t>
      </w:r>
      <w:r>
        <w:rPr>
          <w:spacing w:val="-2"/>
        </w:rPr>
        <w:t xml:space="preserve"> </w:t>
      </w:r>
      <w:r>
        <w:t>2014.</w:t>
      </w:r>
      <w:r>
        <w:rPr>
          <w:spacing w:val="-2"/>
        </w:rPr>
        <w:t xml:space="preserve"> </w:t>
      </w:r>
      <w:r>
        <w:t>v.</w:t>
      </w:r>
      <w:r>
        <w:rPr>
          <w:spacing w:val="-2"/>
        </w:rPr>
        <w:t xml:space="preserve"> </w:t>
      </w:r>
      <w:r>
        <w:rPr>
          <w:spacing w:val="-10"/>
        </w:rPr>
        <w:t>5</w:t>
      </w:r>
    </w:p>
    <w:p w:rsidR="007259F2" w:rsidRDefault="00E655B4">
      <w:pPr>
        <w:spacing w:before="120"/>
        <w:ind w:left="710" w:right="990"/>
        <w:rPr>
          <w:sz w:val="24"/>
        </w:rPr>
      </w:pPr>
      <w:r>
        <w:rPr>
          <w:sz w:val="24"/>
        </w:rPr>
        <w:t>NÓBREGA,</w:t>
      </w:r>
      <w:r>
        <w:rPr>
          <w:spacing w:val="40"/>
          <w:sz w:val="24"/>
        </w:rPr>
        <w:t xml:space="preserve"> </w:t>
      </w:r>
      <w:r>
        <w:rPr>
          <w:sz w:val="24"/>
        </w:rPr>
        <w:t>Cristóvão</w:t>
      </w:r>
      <w:r>
        <w:rPr>
          <w:spacing w:val="40"/>
          <w:sz w:val="24"/>
        </w:rPr>
        <w:t xml:space="preserve"> </w:t>
      </w:r>
      <w:r>
        <w:rPr>
          <w:sz w:val="24"/>
        </w:rPr>
        <w:t>Barcelos</w:t>
      </w:r>
      <w:r>
        <w:rPr>
          <w:spacing w:val="40"/>
          <w:sz w:val="24"/>
        </w:rPr>
        <w:t xml:space="preserve"> </w:t>
      </w:r>
      <w:r>
        <w:rPr>
          <w:sz w:val="24"/>
        </w:rPr>
        <w:t>da.</w:t>
      </w:r>
      <w:r>
        <w:rPr>
          <w:spacing w:val="40"/>
          <w:sz w:val="24"/>
        </w:rPr>
        <w:t xml:space="preserve"> </w:t>
      </w:r>
      <w:r>
        <w:rPr>
          <w:b/>
          <w:sz w:val="24"/>
        </w:rPr>
        <w:t>História</w:t>
      </w:r>
      <w:r>
        <w:rPr>
          <w:b/>
          <w:spacing w:val="40"/>
          <w:sz w:val="24"/>
        </w:rPr>
        <w:t xml:space="preserve"> </w:t>
      </w:r>
      <w:r>
        <w:rPr>
          <w:b/>
          <w:sz w:val="24"/>
        </w:rPr>
        <w:t>do</w:t>
      </w:r>
      <w:r>
        <w:rPr>
          <w:b/>
          <w:spacing w:val="40"/>
          <w:sz w:val="24"/>
        </w:rPr>
        <w:t xml:space="preserve"> </w:t>
      </w:r>
      <w:r>
        <w:rPr>
          <w:b/>
          <w:sz w:val="24"/>
        </w:rPr>
        <w:t>imposto</w:t>
      </w:r>
      <w:r>
        <w:rPr>
          <w:b/>
          <w:spacing w:val="40"/>
          <w:sz w:val="24"/>
        </w:rPr>
        <w:t xml:space="preserve"> </w:t>
      </w:r>
      <w:r>
        <w:rPr>
          <w:b/>
          <w:sz w:val="24"/>
        </w:rPr>
        <w:t>de</w:t>
      </w:r>
      <w:r>
        <w:rPr>
          <w:b/>
          <w:spacing w:val="40"/>
          <w:sz w:val="24"/>
        </w:rPr>
        <w:t xml:space="preserve"> </w:t>
      </w:r>
      <w:r>
        <w:rPr>
          <w:b/>
          <w:sz w:val="24"/>
        </w:rPr>
        <w:t>renda</w:t>
      </w:r>
      <w:r>
        <w:rPr>
          <w:b/>
          <w:spacing w:val="40"/>
          <w:sz w:val="24"/>
        </w:rPr>
        <w:t xml:space="preserve"> </w:t>
      </w:r>
      <w:r>
        <w:rPr>
          <w:b/>
          <w:sz w:val="24"/>
        </w:rPr>
        <w:t>no</w:t>
      </w:r>
      <w:r>
        <w:rPr>
          <w:b/>
          <w:spacing w:val="40"/>
          <w:sz w:val="24"/>
        </w:rPr>
        <w:t xml:space="preserve"> </w:t>
      </w:r>
      <w:r>
        <w:rPr>
          <w:b/>
          <w:sz w:val="24"/>
        </w:rPr>
        <w:t>Brasil,</w:t>
      </w:r>
      <w:r>
        <w:rPr>
          <w:b/>
          <w:spacing w:val="40"/>
          <w:sz w:val="24"/>
        </w:rPr>
        <w:t xml:space="preserve"> </w:t>
      </w:r>
      <w:r>
        <w:rPr>
          <w:b/>
          <w:sz w:val="24"/>
        </w:rPr>
        <w:t>um enfoque da pessoa física (1922-2013)</w:t>
      </w:r>
      <w:r>
        <w:rPr>
          <w:sz w:val="24"/>
        </w:rPr>
        <w:t>. Brasília: Receita Federal do Brasil. 2015.</w:t>
      </w:r>
    </w:p>
    <w:p w:rsidR="007259F2" w:rsidRDefault="00E655B4">
      <w:pPr>
        <w:pStyle w:val="Corpodetexto"/>
        <w:spacing w:before="120"/>
        <w:ind w:right="986" w:firstLine="0"/>
      </w:pPr>
      <w:r>
        <w:t xml:space="preserve">OECD (2021), </w:t>
      </w:r>
      <w:r>
        <w:rPr>
          <w:b/>
        </w:rPr>
        <w:t>Corporate Income Tax</w:t>
      </w:r>
      <w:r>
        <w:t>: Overall statutory tax rates on dividend income (Edition 2020), OECD Tax Statistics (database), Disponível em https://doi.org/10.1787/9587a850-en (accessed on 04 May 2022).</w:t>
      </w:r>
    </w:p>
    <w:p w:rsidR="007259F2" w:rsidRDefault="00E655B4">
      <w:pPr>
        <w:spacing w:before="120"/>
        <w:ind w:left="710" w:right="990"/>
        <w:jc w:val="both"/>
        <w:rPr>
          <w:sz w:val="24"/>
        </w:rPr>
      </w:pPr>
      <w:r>
        <w:rPr>
          <w:sz w:val="24"/>
        </w:rPr>
        <w:t xml:space="preserve">OLIVEIRA, Ricardo Mariz de. </w:t>
      </w:r>
      <w:r>
        <w:rPr>
          <w:b/>
          <w:sz w:val="24"/>
        </w:rPr>
        <w:t>Fundamentos do imposto de renda</w:t>
      </w:r>
      <w:r>
        <w:rPr>
          <w:sz w:val="24"/>
        </w:rPr>
        <w:t>. Editora Quartier Latin Do Brasil, f. 580, 2007. 1159 p.</w:t>
      </w:r>
    </w:p>
    <w:p w:rsidR="007259F2" w:rsidRDefault="00E655B4">
      <w:pPr>
        <w:pStyle w:val="Corpodetexto"/>
        <w:spacing w:before="120"/>
        <w:ind w:right="989" w:firstLine="0"/>
      </w:pPr>
      <w:r>
        <w:t xml:space="preserve">PARENTE, Norma Jonssen. </w:t>
      </w:r>
      <w:r>
        <w:rPr>
          <w:b/>
        </w:rPr>
        <w:t>Mercado de Capitais</w:t>
      </w:r>
      <w:r>
        <w:t>: Tratado de Direito Empresarial 6. São Paulo: Revista dos Tribunais, 2018. 880 p.</w:t>
      </w:r>
    </w:p>
    <w:p w:rsidR="007259F2" w:rsidRDefault="00E655B4">
      <w:pPr>
        <w:spacing w:before="120"/>
        <w:ind w:left="710" w:right="989"/>
        <w:jc w:val="both"/>
        <w:rPr>
          <w:sz w:val="24"/>
        </w:rPr>
      </w:pPr>
      <w:r>
        <w:rPr>
          <w:sz w:val="24"/>
        </w:rPr>
        <w:t xml:space="preserve">PAUSEN, Leandro. </w:t>
      </w:r>
      <w:r>
        <w:rPr>
          <w:b/>
          <w:sz w:val="24"/>
        </w:rPr>
        <w:t xml:space="preserve">Direito Tributário Constituição e Código Tributário à Luz da Doutrina e da Jurisprudência. </w:t>
      </w:r>
      <w:r>
        <w:rPr>
          <w:sz w:val="24"/>
        </w:rPr>
        <w:t>10ª edição. Porto Alegre: Livraria do Advogado Editora; ESMAFE, 2008.</w:t>
      </w:r>
    </w:p>
    <w:p w:rsidR="007259F2" w:rsidRDefault="00E655B4">
      <w:pPr>
        <w:spacing w:before="120"/>
        <w:ind w:left="710" w:right="988"/>
        <w:jc w:val="both"/>
        <w:rPr>
          <w:sz w:val="24"/>
        </w:rPr>
      </w:pPr>
      <w:r>
        <w:rPr>
          <w:sz w:val="24"/>
        </w:rPr>
        <w:t xml:space="preserve">PEREIRA, José Luiz Bulhões. </w:t>
      </w:r>
      <w:r>
        <w:rPr>
          <w:b/>
          <w:sz w:val="24"/>
        </w:rPr>
        <w:t>Imposto sobre a Renda</w:t>
      </w:r>
      <w:r>
        <w:rPr>
          <w:sz w:val="24"/>
        </w:rPr>
        <w:t>: Pessoas Jurídicas. Rio de Janeiro: Justec, 1979.</w:t>
      </w:r>
    </w:p>
    <w:p w:rsidR="007259F2" w:rsidRDefault="00E655B4">
      <w:pPr>
        <w:pStyle w:val="Corpodetexto"/>
        <w:spacing w:before="120"/>
        <w:ind w:right="989" w:firstLine="0"/>
      </w:pPr>
      <w:r>
        <w:t xml:space="preserve">PEREIRA, Manuel Henrique de Freitas (1986). </w:t>
      </w:r>
      <w:r>
        <w:rPr>
          <w:b/>
        </w:rPr>
        <w:t xml:space="preserve">A periodização do lucro tributável. </w:t>
      </w:r>
      <w:r>
        <w:t>Dissertação de</w:t>
      </w:r>
      <w:r>
        <w:rPr>
          <w:spacing w:val="-1"/>
        </w:rPr>
        <w:t xml:space="preserve"> </w:t>
      </w:r>
      <w:r>
        <w:t>Mestrado, Universidade</w:t>
      </w:r>
      <w:r>
        <w:rPr>
          <w:spacing w:val="-5"/>
        </w:rPr>
        <w:t xml:space="preserve"> </w:t>
      </w:r>
      <w:r>
        <w:t>Técnica</w:t>
      </w:r>
      <w:r>
        <w:rPr>
          <w:spacing w:val="-1"/>
        </w:rPr>
        <w:t xml:space="preserve"> </w:t>
      </w:r>
      <w:r>
        <w:t>de Lisboa. Lisboa: Instituto Superior</w:t>
      </w:r>
      <w:r>
        <w:rPr>
          <w:spacing w:val="-1"/>
        </w:rPr>
        <w:t xml:space="preserve"> </w:t>
      </w:r>
      <w:r>
        <w:t xml:space="preserve">de Economia, 1986. Disponível em: </w:t>
      </w:r>
      <w:hyperlink r:id="rId128">
        <w:r>
          <w:t>http://hdl.handle.net/10400.5/12349.</w:t>
        </w:r>
      </w:hyperlink>
      <w:r>
        <w:t xml:space="preserve"> Acesso em: 04. fev. 2022.</w:t>
      </w:r>
    </w:p>
    <w:p w:rsidR="007259F2" w:rsidRDefault="00E655B4">
      <w:pPr>
        <w:pStyle w:val="Corpodetexto"/>
        <w:spacing w:before="121"/>
        <w:ind w:right="987" w:firstLine="0"/>
      </w:pPr>
      <w:r>
        <w:t xml:space="preserve">PERREGIL, Fernanda; MANSUR, Luiz Rafael. A tributação de lucros e dividendos e seus potenciais efeitos tributários e trabalhistas para o mercado. </w:t>
      </w:r>
      <w:r>
        <w:rPr>
          <w:b/>
        </w:rPr>
        <w:t>Migalhas</w:t>
      </w:r>
      <w:r>
        <w:t>. 2019. Disponível em: https://</w:t>
      </w:r>
      <w:hyperlink r:id="rId129">
        <w:r>
          <w:t>www.migalhas.com.br/depeso/297334/a-tributacao-de-lucros-e-</w:t>
        </w:r>
      </w:hyperlink>
      <w:r>
        <w:t xml:space="preserve"> </w:t>
      </w:r>
      <w:hyperlink r:id="rId130">
        <w:r>
          <w:rPr>
            <w:spacing w:val="-2"/>
          </w:rPr>
          <w:t>dividendos-e-seus-</w:t>
        </w:r>
      </w:hyperlink>
      <w:r>
        <w:rPr>
          <w:spacing w:val="-2"/>
        </w:rPr>
        <w:t>potenciais-efeitos-tributarios-e-trabalhistas-para-o-mercado.</w:t>
      </w:r>
    </w:p>
    <w:p w:rsidR="007259F2" w:rsidRDefault="00E655B4">
      <w:pPr>
        <w:spacing w:before="120"/>
        <w:ind w:left="710"/>
        <w:jc w:val="both"/>
        <w:rPr>
          <w:sz w:val="24"/>
        </w:rPr>
      </w:pPr>
      <w:r>
        <w:rPr>
          <w:sz w:val="24"/>
        </w:rPr>
        <w:t>SABBAG,</w:t>
      </w:r>
      <w:r>
        <w:rPr>
          <w:spacing w:val="-5"/>
          <w:sz w:val="24"/>
        </w:rPr>
        <w:t xml:space="preserve"> </w:t>
      </w:r>
      <w:r>
        <w:rPr>
          <w:sz w:val="24"/>
        </w:rPr>
        <w:t>Eduardo.</w:t>
      </w:r>
      <w:r>
        <w:rPr>
          <w:spacing w:val="-5"/>
          <w:sz w:val="24"/>
        </w:rPr>
        <w:t xml:space="preserve"> </w:t>
      </w:r>
      <w:r>
        <w:rPr>
          <w:b/>
          <w:sz w:val="24"/>
        </w:rPr>
        <w:t>Manual</w:t>
      </w:r>
      <w:r>
        <w:rPr>
          <w:b/>
          <w:spacing w:val="-4"/>
          <w:sz w:val="24"/>
        </w:rPr>
        <w:t xml:space="preserve"> </w:t>
      </w:r>
      <w:r>
        <w:rPr>
          <w:b/>
          <w:sz w:val="24"/>
        </w:rPr>
        <w:t>de</w:t>
      </w:r>
      <w:r>
        <w:rPr>
          <w:b/>
          <w:spacing w:val="-8"/>
          <w:sz w:val="24"/>
        </w:rPr>
        <w:t xml:space="preserve"> </w:t>
      </w:r>
      <w:r>
        <w:rPr>
          <w:b/>
          <w:sz w:val="24"/>
        </w:rPr>
        <w:t>direito</w:t>
      </w:r>
      <w:r>
        <w:rPr>
          <w:b/>
          <w:spacing w:val="-5"/>
          <w:sz w:val="24"/>
        </w:rPr>
        <w:t xml:space="preserve"> </w:t>
      </w:r>
      <w:r>
        <w:rPr>
          <w:b/>
          <w:sz w:val="24"/>
        </w:rPr>
        <w:t>tributário</w:t>
      </w:r>
      <w:r>
        <w:rPr>
          <w:sz w:val="24"/>
        </w:rPr>
        <w:t>.</w:t>
      </w:r>
      <w:r>
        <w:rPr>
          <w:spacing w:val="-6"/>
          <w:sz w:val="24"/>
        </w:rPr>
        <w:t xml:space="preserve"> </w:t>
      </w:r>
      <w:r>
        <w:rPr>
          <w:sz w:val="24"/>
        </w:rPr>
        <w:t>6</w:t>
      </w:r>
      <w:r>
        <w:rPr>
          <w:spacing w:val="-2"/>
          <w:sz w:val="24"/>
        </w:rPr>
        <w:t xml:space="preserve"> </w:t>
      </w:r>
      <w:r>
        <w:rPr>
          <w:sz w:val="24"/>
        </w:rPr>
        <w:t>ed.</w:t>
      </w:r>
      <w:r>
        <w:rPr>
          <w:spacing w:val="-6"/>
          <w:sz w:val="24"/>
        </w:rPr>
        <w:t xml:space="preserve"> </w:t>
      </w:r>
      <w:r>
        <w:rPr>
          <w:sz w:val="24"/>
        </w:rPr>
        <w:t>São</w:t>
      </w:r>
      <w:r>
        <w:rPr>
          <w:spacing w:val="-2"/>
          <w:sz w:val="24"/>
        </w:rPr>
        <w:t xml:space="preserve"> </w:t>
      </w:r>
      <w:r>
        <w:rPr>
          <w:sz w:val="24"/>
        </w:rPr>
        <w:t>Paulo:</w:t>
      </w:r>
      <w:r>
        <w:rPr>
          <w:spacing w:val="-2"/>
          <w:sz w:val="24"/>
        </w:rPr>
        <w:t xml:space="preserve"> </w:t>
      </w:r>
      <w:r>
        <w:rPr>
          <w:sz w:val="24"/>
        </w:rPr>
        <w:t>Saraiva,</w:t>
      </w:r>
      <w:r>
        <w:rPr>
          <w:spacing w:val="-5"/>
          <w:sz w:val="24"/>
        </w:rPr>
        <w:t xml:space="preserve"> </w:t>
      </w:r>
      <w:r>
        <w:rPr>
          <w:spacing w:val="-2"/>
          <w:sz w:val="24"/>
        </w:rPr>
        <w:t>2014.</w:t>
      </w:r>
    </w:p>
    <w:p w:rsidR="007259F2" w:rsidRDefault="00E655B4">
      <w:pPr>
        <w:spacing w:before="120"/>
        <w:ind w:left="710" w:right="989"/>
        <w:jc w:val="both"/>
        <w:rPr>
          <w:sz w:val="24"/>
        </w:rPr>
      </w:pPr>
      <w:r>
        <w:rPr>
          <w:sz w:val="24"/>
        </w:rPr>
        <w:t xml:space="preserve">SANTOS, Campinho, Sergio Murilo. </w:t>
      </w:r>
      <w:r>
        <w:rPr>
          <w:b/>
          <w:sz w:val="24"/>
        </w:rPr>
        <w:t>Curso de Direito Comercial - Sociedade Anônima</w:t>
      </w:r>
      <w:r>
        <w:rPr>
          <w:sz w:val="24"/>
        </w:rPr>
        <w:t>. São Paulo: Saraiva Educação S.A., v. 3, 2020.</w:t>
      </w:r>
    </w:p>
    <w:p w:rsidR="007259F2" w:rsidRDefault="00E655B4">
      <w:pPr>
        <w:spacing w:before="121"/>
        <w:ind w:left="710" w:right="990"/>
        <w:jc w:val="both"/>
        <w:rPr>
          <w:sz w:val="24"/>
        </w:rPr>
      </w:pPr>
      <w:r>
        <w:rPr>
          <w:sz w:val="24"/>
        </w:rPr>
        <w:t xml:space="preserve">SILVA, Guilherme Pedrozo da. </w:t>
      </w:r>
      <w:r>
        <w:rPr>
          <w:b/>
          <w:sz w:val="24"/>
        </w:rPr>
        <w:t>Direito Tributário</w:t>
      </w:r>
      <w:r>
        <w:rPr>
          <w:sz w:val="24"/>
        </w:rPr>
        <w:t xml:space="preserve">. 1a ed. São Paulo - SP: RIDEEL, </w:t>
      </w:r>
      <w:r>
        <w:rPr>
          <w:spacing w:val="-2"/>
          <w:sz w:val="24"/>
        </w:rPr>
        <w:t>2021.</w:t>
      </w:r>
    </w:p>
    <w:p w:rsidR="007259F2" w:rsidRDefault="007259F2">
      <w:pPr>
        <w:jc w:val="both"/>
        <w:rPr>
          <w:sz w:val="24"/>
        </w:rPr>
        <w:sectPr w:rsidR="007259F2">
          <w:pgSz w:w="11910" w:h="16840"/>
          <w:pgMar w:top="1320" w:right="708" w:bottom="1160" w:left="992" w:header="0" w:footer="962" w:gutter="0"/>
          <w:cols w:space="720"/>
        </w:sectPr>
      </w:pPr>
    </w:p>
    <w:p w:rsidR="007259F2" w:rsidRDefault="00E655B4">
      <w:pPr>
        <w:pStyle w:val="Heading2"/>
        <w:spacing w:before="74" w:line="415" w:lineRule="auto"/>
        <w:ind w:right="1560"/>
        <w:jc w:val="left"/>
      </w:pPr>
      <w:bookmarkStart w:id="10" w:name="_bookmark10"/>
      <w:bookmarkEnd w:id="10"/>
      <w:r>
        <w:lastRenderedPageBreak/>
        <w:t>A legitimidade do ente jurídico interessado e o Supremo Tribunal Federal The</w:t>
      </w:r>
      <w:r>
        <w:rPr>
          <w:spacing w:val="-10"/>
        </w:rPr>
        <w:t xml:space="preserve"> </w:t>
      </w:r>
      <w:r>
        <w:t>legitimacy</w:t>
      </w:r>
      <w:r>
        <w:rPr>
          <w:spacing w:val="-5"/>
        </w:rPr>
        <w:t xml:space="preserve"> </w:t>
      </w:r>
      <w:r>
        <w:t>of</w:t>
      </w:r>
      <w:r>
        <w:rPr>
          <w:spacing w:val="-4"/>
        </w:rPr>
        <w:t xml:space="preserve"> </w:t>
      </w:r>
      <w:r>
        <w:t>the</w:t>
      </w:r>
      <w:r>
        <w:rPr>
          <w:spacing w:val="-8"/>
        </w:rPr>
        <w:t xml:space="preserve"> </w:t>
      </w:r>
      <w:r>
        <w:t>interested</w:t>
      </w:r>
      <w:r>
        <w:rPr>
          <w:spacing w:val="-4"/>
        </w:rPr>
        <w:t xml:space="preserve"> </w:t>
      </w:r>
      <w:r>
        <w:t>legal</w:t>
      </w:r>
      <w:r>
        <w:rPr>
          <w:spacing w:val="-5"/>
        </w:rPr>
        <w:t xml:space="preserve"> </w:t>
      </w:r>
      <w:r>
        <w:t>entity</w:t>
      </w:r>
      <w:r>
        <w:rPr>
          <w:spacing w:val="-5"/>
        </w:rPr>
        <w:t xml:space="preserve"> </w:t>
      </w:r>
      <w:r>
        <w:t>and</w:t>
      </w:r>
      <w:r>
        <w:rPr>
          <w:spacing w:val="-9"/>
        </w:rPr>
        <w:t xml:space="preserve"> </w:t>
      </w:r>
      <w:r>
        <w:t>the</w:t>
      </w:r>
      <w:r>
        <w:rPr>
          <w:spacing w:val="-6"/>
        </w:rPr>
        <w:t xml:space="preserve"> </w:t>
      </w:r>
      <w:r>
        <w:t>Federal</w:t>
      </w:r>
      <w:r>
        <w:rPr>
          <w:spacing w:val="-5"/>
        </w:rPr>
        <w:t xml:space="preserve"> </w:t>
      </w:r>
      <w:r>
        <w:t>Supreme</w:t>
      </w:r>
      <w:r>
        <w:rPr>
          <w:spacing w:val="-8"/>
        </w:rPr>
        <w:t xml:space="preserve"> </w:t>
      </w:r>
      <w:r>
        <w:t>Court Henrique Eurico da Silva</w:t>
      </w:r>
      <w:r>
        <w:rPr>
          <w:vertAlign w:val="superscript"/>
        </w:rPr>
        <w:t>1</w:t>
      </w:r>
    </w:p>
    <w:p w:rsidR="007259F2" w:rsidRDefault="007259F2">
      <w:pPr>
        <w:pStyle w:val="Corpodetexto"/>
        <w:spacing w:before="240"/>
        <w:ind w:left="0" w:firstLine="0"/>
        <w:jc w:val="left"/>
        <w:rPr>
          <w:b/>
        </w:rPr>
      </w:pPr>
    </w:p>
    <w:p w:rsidR="007259F2" w:rsidRDefault="00E655B4">
      <w:pPr>
        <w:ind w:left="710"/>
        <w:rPr>
          <w:b/>
        </w:rPr>
      </w:pPr>
      <w:r>
        <w:rPr>
          <w:b/>
          <w:spacing w:val="-2"/>
        </w:rPr>
        <w:t>RESUMO</w:t>
      </w:r>
    </w:p>
    <w:p w:rsidR="007259F2" w:rsidRDefault="00E655B4">
      <w:pPr>
        <w:pStyle w:val="Corpodetexto"/>
        <w:spacing w:before="151"/>
        <w:ind w:right="987" w:firstLine="0"/>
      </w:pPr>
      <w:r>
        <w:t>A</w:t>
      </w:r>
      <w:r>
        <w:rPr>
          <w:spacing w:val="-15"/>
        </w:rPr>
        <w:t xml:space="preserve"> </w:t>
      </w:r>
      <w:r>
        <w:t>improbidade</w:t>
      </w:r>
      <w:r>
        <w:rPr>
          <w:spacing w:val="-15"/>
        </w:rPr>
        <w:t xml:space="preserve"> </w:t>
      </w:r>
      <w:r>
        <w:t>administrativa</w:t>
      </w:r>
      <w:r>
        <w:rPr>
          <w:spacing w:val="-15"/>
        </w:rPr>
        <w:t xml:space="preserve"> </w:t>
      </w:r>
      <w:r>
        <w:t>se</w:t>
      </w:r>
      <w:r>
        <w:rPr>
          <w:spacing w:val="-15"/>
        </w:rPr>
        <w:t xml:space="preserve"> </w:t>
      </w:r>
      <w:r>
        <w:t>apresenta</w:t>
      </w:r>
      <w:r>
        <w:rPr>
          <w:spacing w:val="-15"/>
        </w:rPr>
        <w:t xml:space="preserve"> </w:t>
      </w:r>
      <w:r>
        <w:t>como</w:t>
      </w:r>
      <w:r>
        <w:rPr>
          <w:spacing w:val="-12"/>
        </w:rPr>
        <w:t xml:space="preserve"> </w:t>
      </w:r>
      <w:r>
        <w:t>um</w:t>
      </w:r>
      <w:r>
        <w:rPr>
          <w:spacing w:val="-13"/>
        </w:rPr>
        <w:t xml:space="preserve"> </w:t>
      </w:r>
      <w:r>
        <w:t>dos</w:t>
      </w:r>
      <w:r>
        <w:rPr>
          <w:spacing w:val="-13"/>
        </w:rPr>
        <w:t xml:space="preserve"> </w:t>
      </w:r>
      <w:r>
        <w:t>grandes</w:t>
      </w:r>
      <w:r>
        <w:rPr>
          <w:spacing w:val="-10"/>
        </w:rPr>
        <w:t xml:space="preserve"> </w:t>
      </w:r>
      <w:r>
        <w:t>problemas</w:t>
      </w:r>
      <w:r>
        <w:rPr>
          <w:spacing w:val="-10"/>
        </w:rPr>
        <w:t xml:space="preserve"> </w:t>
      </w:r>
      <w:r>
        <w:t>da</w:t>
      </w:r>
      <w:r>
        <w:rPr>
          <w:spacing w:val="-14"/>
        </w:rPr>
        <w:t xml:space="preserve"> </w:t>
      </w:r>
      <w:r>
        <w:t>sociedade atual. A preocupação com a retidão no desempenho das funções públicas e com a</w:t>
      </w:r>
      <w:r>
        <w:rPr>
          <w:spacing w:val="40"/>
        </w:rPr>
        <w:t xml:space="preserve"> </w:t>
      </w:r>
      <w:r>
        <w:t>correta</w:t>
      </w:r>
      <w:r>
        <w:rPr>
          <w:spacing w:val="-1"/>
        </w:rPr>
        <w:t xml:space="preserve"> </w:t>
      </w:r>
      <w:r>
        <w:t>alocação dos recursos</w:t>
      </w:r>
      <w:r>
        <w:rPr>
          <w:spacing w:val="-1"/>
        </w:rPr>
        <w:t xml:space="preserve"> </w:t>
      </w:r>
      <w:r>
        <w:t>do Estado</w:t>
      </w:r>
      <w:r>
        <w:rPr>
          <w:spacing w:val="-1"/>
        </w:rPr>
        <w:t xml:space="preserve"> </w:t>
      </w:r>
      <w:r>
        <w:t>se</w:t>
      </w:r>
      <w:r>
        <w:rPr>
          <w:spacing w:val="-1"/>
        </w:rPr>
        <w:t xml:space="preserve"> </w:t>
      </w:r>
      <w:r>
        <w:t>torna cada</w:t>
      </w:r>
      <w:r>
        <w:rPr>
          <w:spacing w:val="-1"/>
        </w:rPr>
        <w:t xml:space="preserve"> </w:t>
      </w:r>
      <w:r>
        <w:t>vez mais relevante, considerando- se que o atual modelo de Estado tem como funções garantir e fornecer os meios necessários para a fruição dos direitos fundamentais de seus cidadãos. Diante disso, o presente</w:t>
      </w:r>
      <w:r>
        <w:rPr>
          <w:spacing w:val="-2"/>
        </w:rPr>
        <w:t xml:space="preserve"> </w:t>
      </w:r>
      <w:r>
        <w:t>artigo</w:t>
      </w:r>
      <w:r>
        <w:rPr>
          <w:spacing w:val="-3"/>
        </w:rPr>
        <w:t xml:space="preserve"> </w:t>
      </w:r>
      <w:r>
        <w:t>busca</w:t>
      </w:r>
      <w:r>
        <w:rPr>
          <w:spacing w:val="-4"/>
        </w:rPr>
        <w:t xml:space="preserve"> </w:t>
      </w:r>
      <w:r>
        <w:t>descortinar</w:t>
      </w:r>
      <w:r>
        <w:rPr>
          <w:spacing w:val="-3"/>
        </w:rPr>
        <w:t xml:space="preserve"> </w:t>
      </w:r>
      <w:r>
        <w:t>os</w:t>
      </w:r>
      <w:r>
        <w:rPr>
          <w:spacing w:val="-3"/>
        </w:rPr>
        <w:t xml:space="preserve"> </w:t>
      </w:r>
      <w:r>
        <w:t>elementos</w:t>
      </w:r>
      <w:r>
        <w:rPr>
          <w:spacing w:val="-3"/>
        </w:rPr>
        <w:t xml:space="preserve"> </w:t>
      </w:r>
      <w:r>
        <w:t>que</w:t>
      </w:r>
      <w:r>
        <w:rPr>
          <w:spacing w:val="-4"/>
        </w:rPr>
        <w:t xml:space="preserve"> </w:t>
      </w:r>
      <w:r>
        <w:t>estruturam</w:t>
      </w:r>
      <w:r>
        <w:rPr>
          <w:spacing w:val="-3"/>
        </w:rPr>
        <w:t xml:space="preserve"> </w:t>
      </w:r>
      <w:r>
        <w:t>o</w:t>
      </w:r>
      <w:r>
        <w:rPr>
          <w:spacing w:val="-3"/>
        </w:rPr>
        <w:t xml:space="preserve"> </w:t>
      </w:r>
      <w:r>
        <w:t>combate</w:t>
      </w:r>
      <w:r>
        <w:rPr>
          <w:spacing w:val="-3"/>
        </w:rPr>
        <w:t xml:space="preserve"> </w:t>
      </w:r>
      <w:r>
        <w:t>à</w:t>
      </w:r>
      <w:r>
        <w:rPr>
          <w:spacing w:val="-3"/>
        </w:rPr>
        <w:t xml:space="preserve"> </w:t>
      </w:r>
      <w:r>
        <w:t>improbidade, apresentando seu sistema constitucional e os legitimados para sua utilização. Ademais, busca delimitar as bases da legitimidade processual ativa do ente jurídico interessado, vale dizer, da pessoa jurídica vítima do ato ímprobo, para o cotejo da</w:t>
      </w:r>
      <w:r>
        <w:rPr>
          <w:spacing w:val="40"/>
        </w:rPr>
        <w:t xml:space="preserve"> </w:t>
      </w:r>
      <w:r>
        <w:t>constitucionalidade ou inconstitucionalidade de sua restrição pelo legislador ordinário.</w:t>
      </w:r>
      <w:r>
        <w:rPr>
          <w:spacing w:val="40"/>
        </w:rPr>
        <w:t xml:space="preserve"> </w:t>
      </w:r>
      <w:r>
        <w:t>A análise estará ancorada, essencialmente, nas balizas estabelecidas pelo Supremo Tribunal Federal no julgamento das ADI’s 7042 e 7043, de modo que se dissecará os argumentos</w:t>
      </w:r>
      <w:r>
        <w:rPr>
          <w:spacing w:val="-5"/>
        </w:rPr>
        <w:t xml:space="preserve"> </w:t>
      </w:r>
      <w:r>
        <w:t>em</w:t>
      </w:r>
      <w:r>
        <w:rPr>
          <w:spacing w:val="-7"/>
        </w:rPr>
        <w:t xml:space="preserve"> </w:t>
      </w:r>
      <w:r>
        <w:t>um e outro sentido, a fim de compreender qual a determinação implícita no texto constitucional.</w:t>
      </w:r>
    </w:p>
    <w:p w:rsidR="007259F2" w:rsidRDefault="00E655B4">
      <w:pPr>
        <w:pStyle w:val="Corpodetexto"/>
        <w:spacing w:before="121"/>
        <w:ind w:right="998" w:firstLine="0"/>
      </w:pPr>
      <w:r>
        <w:rPr>
          <w:b/>
        </w:rPr>
        <w:t xml:space="preserve">Palavras-chave: </w:t>
      </w:r>
      <w:r>
        <w:t xml:space="preserve">improbidade administrativa; direito administrativo; direito processual </w:t>
      </w:r>
      <w:r>
        <w:rPr>
          <w:spacing w:val="-2"/>
        </w:rPr>
        <w:t>civil.</w:t>
      </w:r>
    </w:p>
    <w:p w:rsidR="007259F2" w:rsidRDefault="007259F2">
      <w:pPr>
        <w:pStyle w:val="Corpodetexto"/>
        <w:spacing w:before="125"/>
        <w:ind w:left="0" w:firstLine="0"/>
        <w:jc w:val="left"/>
      </w:pPr>
    </w:p>
    <w:p w:rsidR="007259F2" w:rsidRDefault="00E655B4">
      <w:pPr>
        <w:pStyle w:val="Heading1"/>
      </w:pPr>
      <w:r>
        <w:rPr>
          <w:spacing w:val="-2"/>
        </w:rPr>
        <w:t>ABSTRACT</w:t>
      </w:r>
    </w:p>
    <w:p w:rsidR="007259F2" w:rsidRDefault="00E655B4">
      <w:pPr>
        <w:pStyle w:val="Corpodetexto"/>
        <w:spacing w:before="116"/>
        <w:ind w:right="994" w:firstLine="0"/>
      </w:pPr>
      <w:r>
        <w:t>Administrative improbity is one of the biggest problems in today's society. The concern with the correct performance of public functions and the correct allocation of State resources becomes increasingly relevant, considering that the current State model's functions are to guarantee and provide the necessary means for the enjoyment of fundamental rights. of its citizens. In view of this, this article seeks to uncover the elements that structure the fight against misconduct, presenting its constitutional system and those legitimized for its use. Furthermore, it seeks to delimit the bases of the active procedural legitimacy of the interested legal entity, that is, of the legal entity victim of the unlawful act, for the comparison of the constitutionality or unconstitutionality of its restriction by the ordinary legislator. The analysis will be anchored, essentially, in the guidelines</w:t>
      </w:r>
      <w:r>
        <w:rPr>
          <w:spacing w:val="-3"/>
        </w:rPr>
        <w:t xml:space="preserve"> </w:t>
      </w:r>
      <w:r>
        <w:t>established</w:t>
      </w:r>
      <w:r>
        <w:rPr>
          <w:spacing w:val="-2"/>
        </w:rPr>
        <w:t xml:space="preserve"> </w:t>
      </w:r>
      <w:r>
        <w:t>by</w:t>
      </w:r>
      <w:r>
        <w:rPr>
          <w:spacing w:val="-4"/>
        </w:rPr>
        <w:t xml:space="preserve"> </w:t>
      </w:r>
      <w:r>
        <w:t>the</w:t>
      </w:r>
      <w:r>
        <w:rPr>
          <w:spacing w:val="-3"/>
        </w:rPr>
        <w:t xml:space="preserve"> </w:t>
      </w:r>
      <w:r>
        <w:t>Federal</w:t>
      </w:r>
      <w:r>
        <w:rPr>
          <w:spacing w:val="-2"/>
        </w:rPr>
        <w:t xml:space="preserve"> </w:t>
      </w:r>
      <w:r>
        <w:t>Supreme</w:t>
      </w:r>
      <w:r>
        <w:rPr>
          <w:spacing w:val="-3"/>
        </w:rPr>
        <w:t xml:space="preserve"> </w:t>
      </w:r>
      <w:r>
        <w:t>Court</w:t>
      </w:r>
      <w:r>
        <w:rPr>
          <w:spacing w:val="-3"/>
        </w:rPr>
        <w:t xml:space="preserve"> </w:t>
      </w:r>
      <w:r>
        <w:t>in</w:t>
      </w:r>
      <w:r>
        <w:rPr>
          <w:spacing w:val="-2"/>
        </w:rPr>
        <w:t xml:space="preserve"> </w:t>
      </w:r>
      <w:r>
        <w:t>the</w:t>
      </w:r>
      <w:r>
        <w:rPr>
          <w:spacing w:val="-3"/>
        </w:rPr>
        <w:t xml:space="preserve"> </w:t>
      </w:r>
      <w:r>
        <w:t>judgment</w:t>
      </w:r>
      <w:r>
        <w:rPr>
          <w:spacing w:val="-2"/>
        </w:rPr>
        <w:t xml:space="preserve"> </w:t>
      </w:r>
      <w:r>
        <w:t>of</w:t>
      </w:r>
      <w:r>
        <w:rPr>
          <w:spacing w:val="-14"/>
        </w:rPr>
        <w:t xml:space="preserve"> </w:t>
      </w:r>
      <w:r>
        <w:t>ADI’s</w:t>
      </w:r>
      <w:r>
        <w:rPr>
          <w:spacing w:val="-2"/>
        </w:rPr>
        <w:t xml:space="preserve"> </w:t>
      </w:r>
      <w:r>
        <w:t>7042 and 7043, so that the arguments will be dissected in one sense and the other, in order to understand what is the determination implicit in the constitutional text.</w:t>
      </w:r>
    </w:p>
    <w:p w:rsidR="007259F2" w:rsidRDefault="00E655B4">
      <w:pPr>
        <w:pStyle w:val="Corpodetexto"/>
        <w:spacing w:before="120"/>
        <w:ind w:firstLine="0"/>
      </w:pPr>
      <w:r>
        <w:rPr>
          <w:b/>
        </w:rPr>
        <w:t>Keywords</w:t>
      </w:r>
      <w:r>
        <w:t>:</w:t>
      </w:r>
      <w:r>
        <w:rPr>
          <w:spacing w:val="-4"/>
        </w:rPr>
        <w:t xml:space="preserve"> </w:t>
      </w:r>
      <w:r>
        <w:t>administrative</w:t>
      </w:r>
      <w:r>
        <w:rPr>
          <w:spacing w:val="-2"/>
        </w:rPr>
        <w:t xml:space="preserve"> </w:t>
      </w:r>
      <w:r>
        <w:t>dishonesty;</w:t>
      </w:r>
      <w:r>
        <w:rPr>
          <w:spacing w:val="-2"/>
        </w:rPr>
        <w:t xml:space="preserve"> </w:t>
      </w:r>
      <w:r>
        <w:t>administrative</w:t>
      </w:r>
      <w:r>
        <w:rPr>
          <w:spacing w:val="-1"/>
        </w:rPr>
        <w:t xml:space="preserve"> </w:t>
      </w:r>
      <w:r>
        <w:t>law;</w:t>
      </w:r>
      <w:r>
        <w:rPr>
          <w:spacing w:val="-2"/>
        </w:rPr>
        <w:t xml:space="preserve"> </w:t>
      </w:r>
      <w:r>
        <w:t>civil</w:t>
      </w:r>
      <w:r>
        <w:rPr>
          <w:spacing w:val="-1"/>
        </w:rPr>
        <w:t xml:space="preserve"> </w:t>
      </w:r>
      <w:r>
        <w:t>procedural</w:t>
      </w:r>
      <w:r>
        <w:rPr>
          <w:spacing w:val="1"/>
        </w:rPr>
        <w:t xml:space="preserve"> </w:t>
      </w:r>
      <w:r>
        <w:rPr>
          <w:spacing w:val="-4"/>
        </w:rPr>
        <w:t>law.</w:t>
      </w:r>
    </w:p>
    <w:p w:rsidR="007259F2" w:rsidRDefault="007259F2">
      <w:pPr>
        <w:pStyle w:val="Corpodetexto"/>
        <w:spacing w:before="125"/>
        <w:ind w:left="0" w:firstLine="0"/>
        <w:jc w:val="left"/>
      </w:pPr>
    </w:p>
    <w:p w:rsidR="007259F2" w:rsidRDefault="00E655B4">
      <w:pPr>
        <w:pStyle w:val="Heading2"/>
        <w:numPr>
          <w:ilvl w:val="0"/>
          <w:numId w:val="31"/>
        </w:numPr>
        <w:tabs>
          <w:tab w:val="left" w:pos="950"/>
        </w:tabs>
        <w:spacing w:before="0"/>
      </w:pPr>
      <w:r>
        <w:rPr>
          <w:spacing w:val="-2"/>
        </w:rPr>
        <w:t>Introdução</w:t>
      </w:r>
    </w:p>
    <w:p w:rsidR="007259F2" w:rsidRDefault="00E655B4">
      <w:pPr>
        <w:pStyle w:val="Corpodetexto"/>
        <w:spacing w:before="116"/>
        <w:ind w:right="990"/>
        <w:jc w:val="left"/>
      </w:pPr>
      <w:r>
        <w:t>A</w:t>
      </w:r>
      <w:r>
        <w:rPr>
          <w:spacing w:val="32"/>
        </w:rPr>
        <w:t xml:space="preserve"> </w:t>
      </w:r>
      <w:r>
        <w:t>malversação</w:t>
      </w:r>
      <w:r>
        <w:rPr>
          <w:spacing w:val="40"/>
        </w:rPr>
        <w:t xml:space="preserve"> </w:t>
      </w:r>
      <w:r>
        <w:t>e</w:t>
      </w:r>
      <w:r>
        <w:rPr>
          <w:spacing w:val="40"/>
        </w:rPr>
        <w:t xml:space="preserve"> </w:t>
      </w:r>
      <w:r>
        <w:t>o</w:t>
      </w:r>
      <w:r>
        <w:rPr>
          <w:spacing w:val="40"/>
        </w:rPr>
        <w:t xml:space="preserve"> </w:t>
      </w:r>
      <w:r>
        <w:t>desprezo</w:t>
      </w:r>
      <w:r>
        <w:rPr>
          <w:spacing w:val="40"/>
        </w:rPr>
        <w:t xml:space="preserve"> </w:t>
      </w:r>
      <w:r>
        <w:t>com</w:t>
      </w:r>
      <w:r>
        <w:rPr>
          <w:spacing w:val="40"/>
        </w:rPr>
        <w:t xml:space="preserve"> </w:t>
      </w:r>
      <w:r>
        <w:t>os</w:t>
      </w:r>
      <w:r>
        <w:rPr>
          <w:spacing w:val="40"/>
        </w:rPr>
        <w:t xml:space="preserve"> </w:t>
      </w:r>
      <w:r>
        <w:t>dinheiros</w:t>
      </w:r>
      <w:r>
        <w:rPr>
          <w:spacing w:val="40"/>
        </w:rPr>
        <w:t xml:space="preserve"> </w:t>
      </w:r>
      <w:r>
        <w:t>e</w:t>
      </w:r>
      <w:r>
        <w:rPr>
          <w:spacing w:val="40"/>
        </w:rPr>
        <w:t xml:space="preserve"> </w:t>
      </w:r>
      <w:r>
        <w:t>princípios</w:t>
      </w:r>
      <w:r>
        <w:rPr>
          <w:spacing w:val="40"/>
        </w:rPr>
        <w:t xml:space="preserve"> </w:t>
      </w:r>
      <w:r>
        <w:t>do</w:t>
      </w:r>
      <w:r>
        <w:rPr>
          <w:spacing w:val="40"/>
        </w:rPr>
        <w:t xml:space="preserve"> </w:t>
      </w:r>
      <w:r>
        <w:t>Estado</w:t>
      </w:r>
      <w:r>
        <w:rPr>
          <w:spacing w:val="40"/>
        </w:rPr>
        <w:t xml:space="preserve"> </w:t>
      </w:r>
      <w:r>
        <w:t>desde muito</w:t>
      </w:r>
      <w:r>
        <w:rPr>
          <w:spacing w:val="21"/>
        </w:rPr>
        <w:t xml:space="preserve"> </w:t>
      </w:r>
      <w:r>
        <w:t>representam</w:t>
      </w:r>
      <w:r>
        <w:rPr>
          <w:spacing w:val="23"/>
        </w:rPr>
        <w:t xml:space="preserve"> </w:t>
      </w:r>
      <w:r>
        <w:t>perigo</w:t>
      </w:r>
      <w:r>
        <w:rPr>
          <w:spacing w:val="22"/>
        </w:rPr>
        <w:t xml:space="preserve"> </w:t>
      </w:r>
      <w:r>
        <w:t>e</w:t>
      </w:r>
      <w:r>
        <w:rPr>
          <w:spacing w:val="22"/>
        </w:rPr>
        <w:t xml:space="preserve"> </w:t>
      </w:r>
      <w:r>
        <w:t>obstáculo</w:t>
      </w:r>
      <w:r>
        <w:rPr>
          <w:spacing w:val="23"/>
        </w:rPr>
        <w:t xml:space="preserve"> </w:t>
      </w:r>
      <w:r>
        <w:t>à</w:t>
      </w:r>
      <w:r>
        <w:rPr>
          <w:spacing w:val="24"/>
        </w:rPr>
        <w:t xml:space="preserve"> </w:t>
      </w:r>
      <w:r>
        <w:t>correta</w:t>
      </w:r>
      <w:r>
        <w:rPr>
          <w:spacing w:val="24"/>
        </w:rPr>
        <w:t xml:space="preserve"> </w:t>
      </w:r>
      <w:r>
        <w:t>e</w:t>
      </w:r>
      <w:r>
        <w:rPr>
          <w:spacing w:val="24"/>
        </w:rPr>
        <w:t xml:space="preserve"> </w:t>
      </w:r>
      <w:r>
        <w:t>harmoniosa</w:t>
      </w:r>
      <w:r>
        <w:rPr>
          <w:spacing w:val="22"/>
        </w:rPr>
        <w:t xml:space="preserve"> </w:t>
      </w:r>
      <w:r>
        <w:t>vida</w:t>
      </w:r>
      <w:r>
        <w:rPr>
          <w:spacing w:val="22"/>
        </w:rPr>
        <w:t xml:space="preserve"> </w:t>
      </w:r>
      <w:r>
        <w:t>em</w:t>
      </w:r>
      <w:r>
        <w:rPr>
          <w:spacing w:val="25"/>
        </w:rPr>
        <w:t xml:space="preserve"> </w:t>
      </w:r>
      <w:r>
        <w:t>sociedade.</w:t>
      </w:r>
      <w:r>
        <w:rPr>
          <w:spacing w:val="25"/>
        </w:rPr>
        <w:t xml:space="preserve"> </w:t>
      </w:r>
      <w:r>
        <w:rPr>
          <w:spacing w:val="-5"/>
        </w:rPr>
        <w:t>Não</w:t>
      </w:r>
    </w:p>
    <w:p w:rsidR="007259F2" w:rsidRDefault="00DE6B1C">
      <w:pPr>
        <w:pStyle w:val="Corpodetexto"/>
        <w:spacing w:before="7"/>
        <w:ind w:left="0" w:firstLine="0"/>
        <w:jc w:val="left"/>
        <w:rPr>
          <w:sz w:val="14"/>
        </w:rPr>
      </w:pPr>
      <w:r w:rsidRPr="00DE6B1C">
        <w:rPr>
          <w:sz w:val="14"/>
        </w:rPr>
        <w:pict>
          <v:rect id="docshape98" o:spid="_x0000_s1128" style="position:absolute;margin-left:85.1pt;margin-top:9.65pt;width:2in;height:.7pt;z-index:-15686656;mso-wrap-distance-left:0;mso-wrap-distance-right:0;mso-position-horizontal-relative:page" fillcolor="black" stroked="f">
            <w10:wrap type="topAndBottom" anchorx="page"/>
          </v:rect>
        </w:pict>
      </w:r>
    </w:p>
    <w:p w:rsidR="007259F2" w:rsidRDefault="00E655B4">
      <w:pPr>
        <w:spacing w:before="97"/>
        <w:ind w:left="710" w:right="990"/>
        <w:jc w:val="both"/>
        <w:rPr>
          <w:sz w:val="20"/>
        </w:rPr>
      </w:pPr>
      <w:r>
        <w:rPr>
          <w:sz w:val="20"/>
          <w:vertAlign w:val="superscript"/>
        </w:rPr>
        <w:t>1</w:t>
      </w:r>
      <w:r>
        <w:rPr>
          <w:sz w:val="20"/>
        </w:rPr>
        <w:t xml:space="preserve"> Residente Jurídico do Programa de Residência Jurídica da Procuradoria Geral do Município de São Paulo, alocado na Secretaria Municipal de Educação - SME (2022-2025). Email: </w:t>
      </w:r>
      <w:hyperlink r:id="rId131">
        <w:r>
          <w:rPr>
            <w:color w:val="0000FF"/>
            <w:spacing w:val="-2"/>
            <w:sz w:val="20"/>
            <w:u w:val="single" w:color="0000FF"/>
          </w:rPr>
          <w:t>henrique.eurico.re@gmail.com</w:t>
        </w:r>
      </w:hyperlink>
    </w:p>
    <w:p w:rsidR="007259F2" w:rsidRDefault="007259F2">
      <w:pPr>
        <w:jc w:val="both"/>
        <w:rPr>
          <w:sz w:val="20"/>
        </w:rPr>
        <w:sectPr w:rsidR="007259F2">
          <w:pgSz w:w="11910" w:h="16840"/>
          <w:pgMar w:top="1320" w:right="708" w:bottom="1160" w:left="992" w:header="0" w:footer="962" w:gutter="0"/>
          <w:cols w:space="720"/>
        </w:sectPr>
      </w:pPr>
    </w:p>
    <w:p w:rsidR="007259F2" w:rsidRDefault="00E655B4">
      <w:pPr>
        <w:pStyle w:val="Corpodetexto"/>
        <w:spacing w:before="69"/>
        <w:ind w:right="994" w:firstLine="0"/>
      </w:pPr>
      <w:r>
        <w:lastRenderedPageBreak/>
        <w:t>foram poucas as sociedades que se ocuparam, de diversas formas, com o combate à corrupção e à improbidade administrativa, ainda que não sob essa denominação.</w:t>
      </w:r>
    </w:p>
    <w:p w:rsidR="007259F2" w:rsidRDefault="00E655B4">
      <w:pPr>
        <w:pStyle w:val="Corpodetexto"/>
        <w:spacing w:before="1"/>
        <w:ind w:right="989"/>
      </w:pPr>
      <w:r>
        <w:t>A</w:t>
      </w:r>
      <w:r>
        <w:rPr>
          <w:spacing w:val="-3"/>
        </w:rPr>
        <w:t xml:space="preserve"> </w:t>
      </w:r>
      <w:r>
        <w:t>evolução da estrutura e das finalidades estatais, especialmente a passagem do Estado Liberal para o Estado Social, a preocupação com a correta e eficiente administração pública foi ganhando contornos ainda mais delimitados e interessados. Acompanhando a evolução do Estado e de sua função ante os cidadãos, evoluiu, por consequência, a tutela da probidade administrativa, tema de diversos debates e estudos na sociedade atual.</w:t>
      </w:r>
    </w:p>
    <w:p w:rsidR="007259F2" w:rsidRDefault="00E655B4">
      <w:pPr>
        <w:pStyle w:val="Corpodetexto"/>
        <w:ind w:right="991"/>
      </w:pPr>
      <w:r>
        <w:t>Nos dias de hoje, a probidade foi alçada a patamar constitucional, sendo dever</w:t>
      </w:r>
      <w:r>
        <w:rPr>
          <w:spacing w:val="40"/>
        </w:rPr>
        <w:t xml:space="preserve"> </w:t>
      </w:r>
      <w:r>
        <w:t>do Estado, comum a todos os entes políticos sua tutela. Tutela essa que é feita, de maneira repressiva, mediante a utilização da ação de improbidade administrativa, que busca aplicar as sanções legal e constitucionalmente previstas.</w:t>
      </w:r>
    </w:p>
    <w:p w:rsidR="007259F2" w:rsidRDefault="00E655B4">
      <w:pPr>
        <w:pStyle w:val="Corpodetexto"/>
        <w:spacing w:before="1"/>
        <w:ind w:right="989"/>
      </w:pPr>
      <w:r>
        <w:t>Em</w:t>
      </w:r>
      <w:r>
        <w:rPr>
          <w:spacing w:val="-2"/>
        </w:rPr>
        <w:t xml:space="preserve"> </w:t>
      </w:r>
      <w:r>
        <w:t>cumprimento aos</w:t>
      </w:r>
      <w:r>
        <w:rPr>
          <w:spacing w:val="-2"/>
        </w:rPr>
        <w:t xml:space="preserve"> </w:t>
      </w:r>
      <w:r>
        <w:t>mandamentos</w:t>
      </w:r>
      <w:r>
        <w:rPr>
          <w:spacing w:val="-2"/>
        </w:rPr>
        <w:t xml:space="preserve"> </w:t>
      </w:r>
      <w:r>
        <w:t>constitucionais,</w:t>
      </w:r>
      <w:r>
        <w:rPr>
          <w:spacing w:val="-2"/>
        </w:rPr>
        <w:t xml:space="preserve"> </w:t>
      </w:r>
      <w:r>
        <w:t>o</w:t>
      </w:r>
      <w:r>
        <w:rPr>
          <w:spacing w:val="-2"/>
        </w:rPr>
        <w:t xml:space="preserve"> </w:t>
      </w:r>
      <w:r>
        <w:t>Poder</w:t>
      </w:r>
      <w:r>
        <w:rPr>
          <w:spacing w:val="-1"/>
        </w:rPr>
        <w:t xml:space="preserve"> </w:t>
      </w:r>
      <w:r>
        <w:t>Legislativo</w:t>
      </w:r>
      <w:r>
        <w:rPr>
          <w:spacing w:val="-2"/>
        </w:rPr>
        <w:t xml:space="preserve"> </w:t>
      </w:r>
      <w:r>
        <w:t>editou</w:t>
      </w:r>
      <w:r>
        <w:rPr>
          <w:spacing w:val="-2"/>
        </w:rPr>
        <w:t xml:space="preserve"> </w:t>
      </w:r>
      <w:r>
        <w:t>a Lei 8.429/92, lei de</w:t>
      </w:r>
      <w:r>
        <w:rPr>
          <w:spacing w:val="-1"/>
        </w:rPr>
        <w:t xml:space="preserve"> </w:t>
      </w:r>
      <w:r>
        <w:t>improbidade</w:t>
      </w:r>
      <w:r>
        <w:rPr>
          <w:spacing w:val="-1"/>
        </w:rPr>
        <w:t xml:space="preserve"> </w:t>
      </w:r>
      <w:r>
        <w:t>administrativa, para</w:t>
      </w:r>
      <w:r>
        <w:rPr>
          <w:spacing w:val="-2"/>
        </w:rPr>
        <w:t xml:space="preserve"> </w:t>
      </w:r>
      <w:r>
        <w:t>regular</w:t>
      </w:r>
      <w:r>
        <w:rPr>
          <w:spacing w:val="-1"/>
        </w:rPr>
        <w:t xml:space="preserve"> </w:t>
      </w:r>
      <w:r>
        <w:t>a</w:t>
      </w:r>
      <w:r>
        <w:rPr>
          <w:spacing w:val="-1"/>
        </w:rPr>
        <w:t xml:space="preserve"> </w:t>
      </w:r>
      <w:r>
        <w:t>apuração e</w:t>
      </w:r>
      <w:r>
        <w:rPr>
          <w:spacing w:val="-1"/>
        </w:rPr>
        <w:t xml:space="preserve"> </w:t>
      </w:r>
      <w:r>
        <w:t>aplicação das sanções aos atos ímprobos. Passados quase 30 trinta anos de sua inserção no mundo jurídico, as controvérsias a respeito de sua aplicação, os abusos no manejo da ação e a ideia de uma necessária atualização, ensejaram uma profunda modificação em sua estrutura. Adiante analisaremos alguns dos aspectos modificados.</w:t>
      </w:r>
    </w:p>
    <w:p w:rsidR="007259F2" w:rsidRDefault="00E655B4">
      <w:pPr>
        <w:pStyle w:val="Heading2"/>
        <w:numPr>
          <w:ilvl w:val="0"/>
          <w:numId w:val="31"/>
        </w:numPr>
        <w:tabs>
          <w:tab w:val="left" w:pos="950"/>
        </w:tabs>
        <w:spacing w:before="206"/>
        <w:jc w:val="both"/>
      </w:pPr>
      <w:r>
        <w:t>A</w:t>
      </w:r>
      <w:r>
        <w:rPr>
          <w:spacing w:val="-3"/>
        </w:rPr>
        <w:t xml:space="preserve"> </w:t>
      </w:r>
      <w:r>
        <w:t>Improbidade</w:t>
      </w:r>
      <w:r>
        <w:rPr>
          <w:spacing w:val="-2"/>
        </w:rPr>
        <w:t xml:space="preserve"> Administrativa</w:t>
      </w:r>
    </w:p>
    <w:p w:rsidR="007259F2" w:rsidRDefault="00E655B4">
      <w:pPr>
        <w:pStyle w:val="PargrafodaLista"/>
        <w:numPr>
          <w:ilvl w:val="1"/>
          <w:numId w:val="31"/>
        </w:numPr>
        <w:tabs>
          <w:tab w:val="left" w:pos="1070"/>
        </w:tabs>
        <w:spacing w:before="120"/>
        <w:jc w:val="both"/>
        <w:rPr>
          <w:b/>
          <w:sz w:val="24"/>
        </w:rPr>
      </w:pPr>
      <w:r>
        <w:rPr>
          <w:b/>
          <w:sz w:val="24"/>
        </w:rPr>
        <w:t>Noções</w:t>
      </w:r>
      <w:r>
        <w:rPr>
          <w:b/>
          <w:spacing w:val="-2"/>
          <w:sz w:val="24"/>
        </w:rPr>
        <w:t xml:space="preserve"> </w:t>
      </w:r>
      <w:r>
        <w:rPr>
          <w:b/>
          <w:sz w:val="24"/>
        </w:rPr>
        <w:t>gerais</w:t>
      </w:r>
      <w:r>
        <w:rPr>
          <w:b/>
          <w:spacing w:val="-1"/>
          <w:sz w:val="24"/>
        </w:rPr>
        <w:t xml:space="preserve"> </w:t>
      </w:r>
      <w:r>
        <w:rPr>
          <w:b/>
          <w:sz w:val="24"/>
        </w:rPr>
        <w:t>sobre</w:t>
      </w:r>
      <w:r>
        <w:rPr>
          <w:b/>
          <w:spacing w:val="-1"/>
          <w:sz w:val="24"/>
        </w:rPr>
        <w:t xml:space="preserve"> </w:t>
      </w:r>
      <w:r>
        <w:rPr>
          <w:b/>
          <w:sz w:val="24"/>
        </w:rPr>
        <w:t>a</w:t>
      </w:r>
      <w:r>
        <w:rPr>
          <w:b/>
          <w:spacing w:val="-1"/>
          <w:sz w:val="24"/>
        </w:rPr>
        <w:t xml:space="preserve"> </w:t>
      </w:r>
      <w:r>
        <w:rPr>
          <w:b/>
          <w:sz w:val="24"/>
        </w:rPr>
        <w:t>Improbidade</w:t>
      </w:r>
      <w:r>
        <w:rPr>
          <w:b/>
          <w:spacing w:val="-2"/>
          <w:sz w:val="24"/>
        </w:rPr>
        <w:t xml:space="preserve"> Administrativa</w:t>
      </w:r>
    </w:p>
    <w:p w:rsidR="007259F2" w:rsidRDefault="00E655B4">
      <w:pPr>
        <w:pStyle w:val="Corpodetexto"/>
        <w:spacing w:before="115"/>
        <w:ind w:right="990"/>
      </w:pPr>
      <w:r>
        <w:t>A tutela da probidade na administração é tema de extrema relevância e que suscita divergências e debates, em doutrina e jurisprudência, nos seus mais diversos aspectos. A discordância se faz presente desde o conceito de probidade, seu reconhecimento como princípio constitucional, até sobre qual seria o princípio violado pelo ato ímprobo, o da probidade administrativa ou o da moralidade administrativa.</w:t>
      </w:r>
    </w:p>
    <w:p w:rsidR="007259F2" w:rsidRDefault="00E655B4">
      <w:pPr>
        <w:pStyle w:val="Corpodetexto"/>
        <w:spacing w:before="1"/>
        <w:ind w:right="988"/>
      </w:pPr>
      <w:r>
        <w:t>Renomadas e abalizadas vozes na doutrina compreendem a similaridade de conceito entre os princípios da moralidade e da probidade administrativa. Seriam, portanto, sinônimos para o mesmo conteúdo axiológico protegido pela Constituição, se diferenciando, apenas quando da caracterização de ato ilícito, tendo em vista que, conforme o tratamento constitucional e legal, a improbidade apresenta conceito amplo que, inclusive, engloba a imoralidade. Sustentam essa posição, por exemplo, Maria Sylvia Zanella Di Prieto (DI PIETRO, 2023) e José dos Santos Carvalho Filho (CARVALHO FILHO, 2023).</w:t>
      </w:r>
    </w:p>
    <w:p w:rsidR="007259F2" w:rsidRDefault="00E655B4">
      <w:pPr>
        <w:pStyle w:val="Corpodetexto"/>
        <w:ind w:right="990"/>
      </w:pPr>
      <w:r>
        <w:t>Tal dificuldade ocorre em razão de serem os princípios da moralidade administrativa e da probidade administrativa conceito jurídicos indeterminados, que não permitem uma delimitação suficientemente segura no direito positivo, ao contrário do que sucede com o princípio da legalidade.</w:t>
      </w:r>
    </w:p>
    <w:p w:rsidR="007259F2" w:rsidRDefault="00E655B4">
      <w:pPr>
        <w:pStyle w:val="Corpodetexto"/>
        <w:ind w:right="990"/>
      </w:pPr>
      <w:r>
        <w:t>Entretanto, em razão do díspar tratamento constitucional, nos parece que moralidade e probidade representam conteúdos de valor de distinto, mas complementares, que se interligam e compõem o sistema de defesa do patrimônio e dos valores da Administração Pública, isso porque, de um lado, a tutela da moralidade administrativa,</w:t>
      </w:r>
      <w:r>
        <w:rPr>
          <w:spacing w:val="-1"/>
        </w:rPr>
        <w:t xml:space="preserve"> </w:t>
      </w:r>
      <w:r>
        <w:t>a</w:t>
      </w:r>
      <w:r>
        <w:rPr>
          <w:spacing w:val="-2"/>
        </w:rPr>
        <w:t xml:space="preserve"> </w:t>
      </w:r>
      <w:r>
        <w:t>despeito</w:t>
      </w:r>
      <w:r>
        <w:rPr>
          <w:spacing w:val="-1"/>
        </w:rPr>
        <w:t xml:space="preserve"> </w:t>
      </w:r>
      <w:r>
        <w:t>de</w:t>
      </w:r>
      <w:r>
        <w:rPr>
          <w:spacing w:val="-2"/>
        </w:rPr>
        <w:t xml:space="preserve"> </w:t>
      </w:r>
      <w:r>
        <w:t>ter</w:t>
      </w:r>
      <w:r>
        <w:rPr>
          <w:spacing w:val="-3"/>
        </w:rPr>
        <w:t xml:space="preserve"> </w:t>
      </w:r>
      <w:r>
        <w:t>objeto</w:t>
      </w:r>
      <w:r>
        <w:rPr>
          <w:spacing w:val="-1"/>
        </w:rPr>
        <w:t xml:space="preserve"> </w:t>
      </w:r>
      <w:r>
        <w:t>mais</w:t>
      </w:r>
      <w:r>
        <w:rPr>
          <w:spacing w:val="-1"/>
        </w:rPr>
        <w:t xml:space="preserve"> </w:t>
      </w:r>
      <w:r>
        <w:t>restrito,</w:t>
      </w:r>
      <w:r>
        <w:rPr>
          <w:spacing w:val="-1"/>
        </w:rPr>
        <w:t xml:space="preserve"> </w:t>
      </w:r>
      <w:r>
        <w:t>possui</w:t>
      </w:r>
      <w:r>
        <w:rPr>
          <w:spacing w:val="-1"/>
        </w:rPr>
        <w:t xml:space="preserve"> </w:t>
      </w:r>
      <w:r>
        <w:t>outros</w:t>
      </w:r>
      <w:r>
        <w:rPr>
          <w:spacing w:val="-1"/>
        </w:rPr>
        <w:t xml:space="preserve"> </w:t>
      </w:r>
      <w:r>
        <w:t>meios</w:t>
      </w:r>
      <w:r>
        <w:rPr>
          <w:spacing w:val="-1"/>
        </w:rPr>
        <w:t xml:space="preserve"> </w:t>
      </w:r>
      <w:r>
        <w:t>de</w:t>
      </w:r>
      <w:r>
        <w:rPr>
          <w:spacing w:val="-2"/>
        </w:rPr>
        <w:t xml:space="preserve"> </w:t>
      </w:r>
      <w:r>
        <w:t>defesa</w:t>
      </w:r>
      <w:r>
        <w:rPr>
          <w:spacing w:val="-2"/>
        </w:rPr>
        <w:t xml:space="preserve"> </w:t>
      </w:r>
      <w:r>
        <w:t>além da</w:t>
      </w:r>
      <w:r>
        <w:rPr>
          <w:spacing w:val="-15"/>
        </w:rPr>
        <w:t xml:space="preserve"> </w:t>
      </w:r>
      <w:r>
        <w:t>Ação</w:t>
      </w:r>
      <w:r>
        <w:rPr>
          <w:spacing w:val="-2"/>
        </w:rPr>
        <w:t xml:space="preserve"> </w:t>
      </w:r>
      <w:r>
        <w:t>de Improbidade, como</w:t>
      </w:r>
      <w:r>
        <w:rPr>
          <w:spacing w:val="-1"/>
        </w:rPr>
        <w:t xml:space="preserve"> </w:t>
      </w:r>
      <w:r>
        <w:t>a</w:t>
      </w:r>
      <w:r>
        <w:rPr>
          <w:spacing w:val="-15"/>
        </w:rPr>
        <w:t xml:space="preserve"> </w:t>
      </w:r>
      <w:r>
        <w:t>Ação</w:t>
      </w:r>
      <w:r>
        <w:rPr>
          <w:spacing w:val="-1"/>
        </w:rPr>
        <w:t xml:space="preserve"> </w:t>
      </w:r>
      <w:r>
        <w:t>Civil</w:t>
      </w:r>
      <w:r>
        <w:rPr>
          <w:spacing w:val="-1"/>
        </w:rPr>
        <w:t xml:space="preserve"> </w:t>
      </w:r>
      <w:r>
        <w:t>Pública</w:t>
      </w:r>
      <w:r>
        <w:rPr>
          <w:spacing w:val="-2"/>
        </w:rPr>
        <w:t xml:space="preserve"> </w:t>
      </w:r>
      <w:r>
        <w:t>e</w:t>
      </w:r>
      <w:r>
        <w:rPr>
          <w:spacing w:val="-2"/>
        </w:rPr>
        <w:t xml:space="preserve"> </w:t>
      </w:r>
      <w:r>
        <w:t>a</w:t>
      </w:r>
      <w:r>
        <w:rPr>
          <w:spacing w:val="-14"/>
        </w:rPr>
        <w:t xml:space="preserve"> </w:t>
      </w:r>
      <w:r>
        <w:t>Ação</w:t>
      </w:r>
      <w:r>
        <w:rPr>
          <w:spacing w:val="-1"/>
        </w:rPr>
        <w:t xml:space="preserve"> </w:t>
      </w:r>
      <w:r>
        <w:t>popular,</w:t>
      </w:r>
      <w:r>
        <w:rPr>
          <w:spacing w:val="-1"/>
        </w:rPr>
        <w:t xml:space="preserve"> </w:t>
      </w:r>
      <w:r>
        <w:t>enquanto</w:t>
      </w:r>
      <w:r>
        <w:rPr>
          <w:spacing w:val="-1"/>
        </w:rPr>
        <w:t xml:space="preserve"> </w:t>
      </w:r>
      <w:r>
        <w:t>a</w:t>
      </w:r>
      <w:r>
        <w:rPr>
          <w:spacing w:val="-2"/>
        </w:rPr>
        <w:t xml:space="preserve"> </w:t>
      </w:r>
      <w:r>
        <w:t xml:space="preserve">tutela da probidade, de outro lado, possui maior campo de abrangência, alcançado atos ilegais devidamente tipificados na Lei 8.429/92, como as modificações efetuadas pela Lei </w:t>
      </w:r>
      <w:r>
        <w:rPr>
          <w:spacing w:val="-2"/>
        </w:rPr>
        <w:t>14.230.</w:t>
      </w:r>
    </w:p>
    <w:p w:rsidR="007259F2" w:rsidRDefault="00E655B4">
      <w:pPr>
        <w:pStyle w:val="Heading2"/>
        <w:numPr>
          <w:ilvl w:val="1"/>
          <w:numId w:val="31"/>
        </w:numPr>
        <w:tabs>
          <w:tab w:val="left" w:pos="1070"/>
        </w:tabs>
        <w:spacing w:before="205"/>
        <w:jc w:val="both"/>
      </w:pPr>
      <w:r>
        <w:t>O</w:t>
      </w:r>
      <w:r>
        <w:rPr>
          <w:spacing w:val="-1"/>
        </w:rPr>
        <w:t xml:space="preserve"> </w:t>
      </w:r>
      <w:r>
        <w:t>ato</w:t>
      </w:r>
      <w:r>
        <w:rPr>
          <w:spacing w:val="-1"/>
        </w:rPr>
        <w:t xml:space="preserve"> </w:t>
      </w:r>
      <w:r>
        <w:t>de</w:t>
      </w:r>
      <w:r>
        <w:rPr>
          <w:spacing w:val="-2"/>
        </w:rPr>
        <w:t xml:space="preserve"> </w:t>
      </w:r>
      <w:r>
        <w:t>Improbidade</w:t>
      </w:r>
      <w:r>
        <w:rPr>
          <w:spacing w:val="-1"/>
        </w:rPr>
        <w:t xml:space="preserve"> </w:t>
      </w:r>
      <w:r>
        <w:rPr>
          <w:spacing w:val="-2"/>
        </w:rPr>
        <w:t>Administrativa</w:t>
      </w:r>
    </w:p>
    <w:p w:rsidR="007259F2" w:rsidRDefault="007259F2">
      <w:pPr>
        <w:pStyle w:val="Heading2"/>
        <w:sectPr w:rsidR="007259F2">
          <w:pgSz w:w="11910" w:h="16840"/>
          <w:pgMar w:top="1320" w:right="708" w:bottom="1160" w:left="992" w:header="0" w:footer="962" w:gutter="0"/>
          <w:cols w:space="720"/>
        </w:sectPr>
      </w:pPr>
    </w:p>
    <w:p w:rsidR="007259F2" w:rsidRDefault="00E655B4">
      <w:pPr>
        <w:pStyle w:val="Corpodetexto"/>
        <w:spacing w:before="69"/>
        <w:ind w:right="993"/>
      </w:pPr>
      <w:r>
        <w:lastRenderedPageBreak/>
        <w:t>Se o conceito de probidade suscita divergências e discussões doutrinárias de diversas ordens, a caracterização do ato de improbidade, por sua vez, possui bases bem mais assentadas e pacíficas, possuindo, inclusive, uma enumeração taxativa nos arts. 9º, 10 e 11.</w:t>
      </w:r>
    </w:p>
    <w:p w:rsidR="007259F2" w:rsidRDefault="00E655B4">
      <w:pPr>
        <w:pStyle w:val="Corpodetexto"/>
        <w:spacing w:before="1"/>
        <w:ind w:right="998"/>
      </w:pPr>
      <w:r>
        <w:t xml:space="preserve">Por praticidade podemos adotar o conceito exposto pelo Ministro Alexandre de </w:t>
      </w:r>
      <w:r>
        <w:rPr>
          <w:spacing w:val="-2"/>
        </w:rPr>
        <w:t>Moraes:</w:t>
      </w:r>
    </w:p>
    <w:p w:rsidR="007259F2" w:rsidRDefault="00E655B4">
      <w:pPr>
        <w:spacing w:before="1"/>
        <w:ind w:left="2978" w:right="994"/>
        <w:jc w:val="both"/>
        <w:rPr>
          <w:sz w:val="20"/>
        </w:rPr>
      </w:pPr>
      <w:r>
        <w:rPr>
          <w:sz w:val="20"/>
        </w:rPr>
        <w:t>Atos</w:t>
      </w:r>
      <w:r>
        <w:rPr>
          <w:spacing w:val="-3"/>
          <w:sz w:val="20"/>
        </w:rPr>
        <w:t xml:space="preserve"> </w:t>
      </w:r>
      <w:r>
        <w:rPr>
          <w:sz w:val="20"/>
        </w:rPr>
        <w:t>de</w:t>
      </w:r>
      <w:r>
        <w:rPr>
          <w:spacing w:val="-3"/>
          <w:sz w:val="20"/>
        </w:rPr>
        <w:t xml:space="preserve"> </w:t>
      </w:r>
      <w:r>
        <w:rPr>
          <w:sz w:val="20"/>
        </w:rPr>
        <w:t>improbidade</w:t>
      </w:r>
      <w:r>
        <w:rPr>
          <w:spacing w:val="-3"/>
          <w:sz w:val="20"/>
        </w:rPr>
        <w:t xml:space="preserve"> </w:t>
      </w:r>
      <w:r>
        <w:rPr>
          <w:sz w:val="20"/>
        </w:rPr>
        <w:t>administrativa</w:t>
      </w:r>
      <w:r>
        <w:rPr>
          <w:spacing w:val="-3"/>
          <w:sz w:val="20"/>
        </w:rPr>
        <w:t xml:space="preserve"> </w:t>
      </w:r>
      <w:r>
        <w:rPr>
          <w:sz w:val="20"/>
        </w:rPr>
        <w:t>são</w:t>
      </w:r>
      <w:r>
        <w:rPr>
          <w:spacing w:val="-2"/>
          <w:sz w:val="20"/>
        </w:rPr>
        <w:t xml:space="preserve"> </w:t>
      </w:r>
      <w:r>
        <w:rPr>
          <w:sz w:val="20"/>
        </w:rPr>
        <w:t>aqueles</w:t>
      </w:r>
      <w:r>
        <w:rPr>
          <w:spacing w:val="-3"/>
          <w:sz w:val="20"/>
        </w:rPr>
        <w:t xml:space="preserve"> </w:t>
      </w:r>
      <w:r>
        <w:rPr>
          <w:sz w:val="20"/>
        </w:rPr>
        <w:t>que,</w:t>
      </w:r>
      <w:r>
        <w:rPr>
          <w:spacing w:val="-2"/>
          <w:sz w:val="20"/>
        </w:rPr>
        <w:t xml:space="preserve"> </w:t>
      </w:r>
      <w:r>
        <w:rPr>
          <w:sz w:val="20"/>
        </w:rPr>
        <w:t>possuindo</w:t>
      </w:r>
      <w:r>
        <w:rPr>
          <w:spacing w:val="-2"/>
          <w:sz w:val="20"/>
        </w:rPr>
        <w:t xml:space="preserve"> </w:t>
      </w:r>
      <w:r>
        <w:rPr>
          <w:sz w:val="20"/>
        </w:rPr>
        <w:t>natureza</w:t>
      </w:r>
      <w:r>
        <w:rPr>
          <w:spacing w:val="-3"/>
          <w:sz w:val="20"/>
        </w:rPr>
        <w:t xml:space="preserve"> </w:t>
      </w:r>
      <w:r>
        <w:rPr>
          <w:sz w:val="20"/>
        </w:rPr>
        <w:t>civil e devidamente tipificados em lei federal, ferem direta ou indiretamente os princípios constitucionais e legais da administração pública, independentemente de importarem enriquecimento ilícito ou de causarem prejuízo material ao erário público. (MARQUES, 2016)</w:t>
      </w:r>
    </w:p>
    <w:p w:rsidR="007259F2" w:rsidRDefault="00E655B4">
      <w:pPr>
        <w:pStyle w:val="Corpodetexto"/>
        <w:spacing w:before="229"/>
        <w:ind w:right="993"/>
      </w:pPr>
      <w:r>
        <w:t>A minuciosa descrição se faz necessária em razão de o sistema de responsabilização por improbidade administrativa estar inserido no campo do direito administrativo sancionador, vale dizer, o combate aos atos corruptos e ímprobos na esfera cível é realizado por meio do exercício do poder punitivo estatal e, considerando, inclusive, a gravidade das sanções aplicáveis, essencial que haja uma correta</w:t>
      </w:r>
      <w:r>
        <w:rPr>
          <w:spacing w:val="40"/>
        </w:rPr>
        <w:t xml:space="preserve"> </w:t>
      </w:r>
      <w:r>
        <w:t>delimitação</w:t>
      </w:r>
      <w:r>
        <w:rPr>
          <w:spacing w:val="-1"/>
        </w:rPr>
        <w:t xml:space="preserve"> </w:t>
      </w:r>
      <w:r>
        <w:t>de</w:t>
      </w:r>
      <w:r>
        <w:rPr>
          <w:spacing w:val="-2"/>
        </w:rPr>
        <w:t xml:space="preserve"> </w:t>
      </w:r>
      <w:r>
        <w:t>seus</w:t>
      </w:r>
      <w:r>
        <w:rPr>
          <w:spacing w:val="-1"/>
        </w:rPr>
        <w:t xml:space="preserve"> </w:t>
      </w:r>
      <w:r>
        <w:t>elementos</w:t>
      </w:r>
      <w:r>
        <w:rPr>
          <w:spacing w:val="-1"/>
        </w:rPr>
        <w:t xml:space="preserve"> </w:t>
      </w:r>
      <w:r>
        <w:t>objetivos</w:t>
      </w:r>
      <w:r>
        <w:rPr>
          <w:spacing w:val="-1"/>
        </w:rPr>
        <w:t xml:space="preserve"> </w:t>
      </w:r>
      <w:r>
        <w:t>e</w:t>
      </w:r>
      <w:r>
        <w:rPr>
          <w:spacing w:val="-2"/>
        </w:rPr>
        <w:t xml:space="preserve"> </w:t>
      </w:r>
      <w:r>
        <w:t>subjetivos,</w:t>
      </w:r>
      <w:r>
        <w:rPr>
          <w:spacing w:val="-1"/>
        </w:rPr>
        <w:t xml:space="preserve"> </w:t>
      </w:r>
      <w:r>
        <w:t>tais</w:t>
      </w:r>
      <w:r>
        <w:rPr>
          <w:spacing w:val="-1"/>
        </w:rPr>
        <w:t xml:space="preserve"> </w:t>
      </w:r>
      <w:r>
        <w:t>como</w:t>
      </w:r>
      <w:r>
        <w:rPr>
          <w:spacing w:val="-1"/>
        </w:rPr>
        <w:t xml:space="preserve"> </w:t>
      </w:r>
      <w:r>
        <w:t>hipóteses</w:t>
      </w:r>
      <w:r>
        <w:rPr>
          <w:spacing w:val="-1"/>
        </w:rPr>
        <w:t xml:space="preserve"> </w:t>
      </w:r>
      <w:r>
        <w:t>de</w:t>
      </w:r>
      <w:r>
        <w:rPr>
          <w:spacing w:val="-2"/>
        </w:rPr>
        <w:t xml:space="preserve"> </w:t>
      </w:r>
      <w:r>
        <w:t>ocorrência, gradatividade das sanções, estrita caracterização dos tipos etc.</w:t>
      </w:r>
    </w:p>
    <w:p w:rsidR="007259F2" w:rsidRDefault="00E655B4">
      <w:pPr>
        <w:pStyle w:val="Corpodetexto"/>
        <w:spacing w:before="1"/>
        <w:ind w:right="995"/>
      </w:pPr>
      <w:r>
        <w:t>Em outras palavras, para a aplicação das sanções de improbidade é preciso que</w:t>
      </w:r>
      <w:r>
        <w:rPr>
          <w:spacing w:val="40"/>
        </w:rPr>
        <w:t xml:space="preserve"> </w:t>
      </w:r>
      <w:r>
        <w:t>se respeite alguns dos princípios constitucionais e legais que informam o campo do direito penal, tais como a tipicidade, anterioridade, intranscendência da pena, entre outros,</w:t>
      </w:r>
      <w:r>
        <w:rPr>
          <w:spacing w:val="-3"/>
        </w:rPr>
        <w:t xml:space="preserve"> </w:t>
      </w:r>
      <w:r>
        <w:t>a</w:t>
      </w:r>
      <w:r>
        <w:rPr>
          <w:spacing w:val="-4"/>
        </w:rPr>
        <w:t xml:space="preserve"> </w:t>
      </w:r>
      <w:r>
        <w:t>demonstrar</w:t>
      </w:r>
      <w:r>
        <w:rPr>
          <w:spacing w:val="-2"/>
        </w:rPr>
        <w:t xml:space="preserve"> </w:t>
      </w:r>
      <w:r>
        <w:t>uma</w:t>
      </w:r>
      <w:r>
        <w:rPr>
          <w:spacing w:val="-2"/>
        </w:rPr>
        <w:t xml:space="preserve"> </w:t>
      </w:r>
      <w:r>
        <w:t>correlação</w:t>
      </w:r>
      <w:r>
        <w:rPr>
          <w:spacing w:val="-1"/>
        </w:rPr>
        <w:t xml:space="preserve"> </w:t>
      </w:r>
      <w:r>
        <w:t>entre</w:t>
      </w:r>
      <w:r>
        <w:rPr>
          <w:spacing w:val="-3"/>
        </w:rPr>
        <w:t xml:space="preserve"> </w:t>
      </w:r>
      <w:r>
        <w:t>tais</w:t>
      </w:r>
      <w:r>
        <w:rPr>
          <w:spacing w:val="-3"/>
        </w:rPr>
        <w:t xml:space="preserve"> </w:t>
      </w:r>
      <w:r>
        <w:t>campos</w:t>
      </w:r>
      <w:r>
        <w:rPr>
          <w:spacing w:val="-3"/>
        </w:rPr>
        <w:t xml:space="preserve"> </w:t>
      </w:r>
      <w:r>
        <w:t>do</w:t>
      </w:r>
      <w:r>
        <w:rPr>
          <w:spacing w:val="-3"/>
        </w:rPr>
        <w:t xml:space="preserve"> </w:t>
      </w:r>
      <w:r>
        <w:t>direito</w:t>
      </w:r>
      <w:r>
        <w:rPr>
          <w:spacing w:val="-3"/>
        </w:rPr>
        <w:t xml:space="preserve"> </w:t>
      </w:r>
      <w:r>
        <w:t>que,</w:t>
      </w:r>
      <w:r>
        <w:rPr>
          <w:spacing w:val="-1"/>
        </w:rPr>
        <w:t xml:space="preserve"> </w:t>
      </w:r>
      <w:r>
        <w:t>em</w:t>
      </w:r>
      <w:r>
        <w:rPr>
          <w:spacing w:val="-3"/>
        </w:rPr>
        <w:t xml:space="preserve"> </w:t>
      </w:r>
      <w:r>
        <w:t>última</w:t>
      </w:r>
      <w:r>
        <w:rPr>
          <w:spacing w:val="-3"/>
        </w:rPr>
        <w:t xml:space="preserve"> </w:t>
      </w:r>
      <w:r>
        <w:t>análise, representam vertentes do mesmo poder sancionador do Estado.</w:t>
      </w:r>
    </w:p>
    <w:p w:rsidR="007259F2" w:rsidRDefault="00E655B4">
      <w:pPr>
        <w:pStyle w:val="Heading2"/>
        <w:numPr>
          <w:ilvl w:val="1"/>
          <w:numId w:val="31"/>
        </w:numPr>
        <w:tabs>
          <w:tab w:val="left" w:pos="1070"/>
        </w:tabs>
        <w:jc w:val="both"/>
      </w:pPr>
      <w:r>
        <w:t>Antecedentes</w:t>
      </w:r>
      <w:r>
        <w:rPr>
          <w:spacing w:val="-5"/>
        </w:rPr>
        <w:t xml:space="preserve"> </w:t>
      </w:r>
      <w:r>
        <w:rPr>
          <w:spacing w:val="-2"/>
        </w:rPr>
        <w:t>normativos</w:t>
      </w:r>
    </w:p>
    <w:p w:rsidR="007259F2" w:rsidRDefault="00E655B4">
      <w:pPr>
        <w:pStyle w:val="Corpodetexto"/>
        <w:spacing w:before="115"/>
        <w:ind w:right="994"/>
      </w:pPr>
      <w:r>
        <w:t>O combate à malversação dos dinheiros públicos e à utilização do Estado, e de suas instituições e estruturas, para consecução de fins diversos do interesse público representa problema antigo e que se atualiza e evolui com o desenvolvimento da tecnologia e da sociedade. Dentre as inúmeras preocupações daqueles que organizam o estado está a proteção da probidade na Administração.</w:t>
      </w:r>
    </w:p>
    <w:p w:rsidR="007259F2" w:rsidRDefault="00E655B4">
      <w:pPr>
        <w:pStyle w:val="Corpodetexto"/>
        <w:ind w:right="991"/>
      </w:pPr>
      <w:r>
        <w:t>A Constituição de 1824, a despeito de impossibilitar a responsabilização do</w:t>
      </w:r>
      <w:r>
        <w:rPr>
          <w:spacing w:val="40"/>
        </w:rPr>
        <w:t xml:space="preserve"> </w:t>
      </w:r>
      <w:r>
        <w:t>chefe da Administração, vistoso resquício absolutista da monarquia constitucional</w:t>
      </w:r>
      <w:r>
        <w:rPr>
          <w:spacing w:val="40"/>
        </w:rPr>
        <w:t xml:space="preserve"> </w:t>
      </w:r>
      <w:r>
        <w:t>recém instituída, em seu art. 133, demonstrou uma preocupação, ainda que tímida, com</w:t>
      </w:r>
      <w:r>
        <w:rPr>
          <w:spacing w:val="40"/>
        </w:rPr>
        <w:t xml:space="preserve"> </w:t>
      </w:r>
      <w:r>
        <w:t>a retidão daqueles que gerenciavam a atividade e os bens públicos:</w:t>
      </w:r>
    </w:p>
    <w:p w:rsidR="007259F2" w:rsidRDefault="00E655B4">
      <w:pPr>
        <w:spacing w:before="275"/>
        <w:ind w:left="2978"/>
        <w:rPr>
          <w:sz w:val="20"/>
        </w:rPr>
      </w:pPr>
      <w:r>
        <w:rPr>
          <w:sz w:val="20"/>
        </w:rPr>
        <w:t>Art.</w:t>
      </w:r>
      <w:r>
        <w:rPr>
          <w:spacing w:val="-5"/>
          <w:sz w:val="20"/>
        </w:rPr>
        <w:t xml:space="preserve"> </w:t>
      </w:r>
      <w:r>
        <w:rPr>
          <w:sz w:val="20"/>
        </w:rPr>
        <w:t>133.</w:t>
      </w:r>
      <w:r>
        <w:rPr>
          <w:spacing w:val="-5"/>
          <w:sz w:val="20"/>
        </w:rPr>
        <w:t xml:space="preserve"> </w:t>
      </w:r>
      <w:r>
        <w:rPr>
          <w:sz w:val="20"/>
        </w:rPr>
        <w:t>Os</w:t>
      </w:r>
      <w:r>
        <w:rPr>
          <w:spacing w:val="-6"/>
          <w:sz w:val="20"/>
        </w:rPr>
        <w:t xml:space="preserve"> </w:t>
      </w:r>
      <w:r>
        <w:rPr>
          <w:sz w:val="20"/>
        </w:rPr>
        <w:t>Ministros</w:t>
      </w:r>
      <w:r>
        <w:rPr>
          <w:spacing w:val="-6"/>
          <w:sz w:val="20"/>
        </w:rPr>
        <w:t xml:space="preserve"> </w:t>
      </w:r>
      <w:r>
        <w:rPr>
          <w:sz w:val="20"/>
        </w:rPr>
        <w:t>de</w:t>
      </w:r>
      <w:r>
        <w:rPr>
          <w:spacing w:val="-5"/>
          <w:sz w:val="20"/>
        </w:rPr>
        <w:t xml:space="preserve"> </w:t>
      </w:r>
      <w:r>
        <w:rPr>
          <w:sz w:val="20"/>
        </w:rPr>
        <w:t>Estado</w:t>
      </w:r>
      <w:r>
        <w:rPr>
          <w:spacing w:val="-4"/>
          <w:sz w:val="20"/>
        </w:rPr>
        <w:t xml:space="preserve"> </w:t>
      </w:r>
      <w:r>
        <w:rPr>
          <w:sz w:val="20"/>
        </w:rPr>
        <w:t>serão</w:t>
      </w:r>
      <w:r>
        <w:rPr>
          <w:spacing w:val="-4"/>
          <w:sz w:val="20"/>
        </w:rPr>
        <w:t xml:space="preserve"> </w:t>
      </w:r>
      <w:r>
        <w:rPr>
          <w:sz w:val="20"/>
        </w:rPr>
        <w:t>responsáveis</w:t>
      </w:r>
      <w:r>
        <w:rPr>
          <w:spacing w:val="-6"/>
          <w:sz w:val="20"/>
        </w:rPr>
        <w:t xml:space="preserve"> </w:t>
      </w:r>
      <w:r>
        <w:rPr>
          <w:spacing w:val="-2"/>
          <w:sz w:val="20"/>
        </w:rPr>
        <w:t>(...)</w:t>
      </w:r>
    </w:p>
    <w:p w:rsidR="007259F2" w:rsidRDefault="00E655B4">
      <w:pPr>
        <w:spacing w:before="1"/>
        <w:ind w:left="2978"/>
        <w:rPr>
          <w:sz w:val="20"/>
        </w:rPr>
      </w:pPr>
      <w:r>
        <w:rPr>
          <w:sz w:val="20"/>
        </w:rPr>
        <w:t>II.</w:t>
      </w:r>
      <w:r>
        <w:rPr>
          <w:spacing w:val="-4"/>
          <w:sz w:val="20"/>
        </w:rPr>
        <w:t xml:space="preserve"> </w:t>
      </w:r>
      <w:r>
        <w:rPr>
          <w:sz w:val="20"/>
        </w:rPr>
        <w:t>Por</w:t>
      </w:r>
      <w:r>
        <w:rPr>
          <w:spacing w:val="-6"/>
          <w:sz w:val="20"/>
        </w:rPr>
        <w:t xml:space="preserve"> </w:t>
      </w:r>
      <w:r>
        <w:rPr>
          <w:sz w:val="20"/>
        </w:rPr>
        <w:t>peita,</w:t>
      </w:r>
      <w:r>
        <w:rPr>
          <w:spacing w:val="-2"/>
          <w:sz w:val="20"/>
        </w:rPr>
        <w:t xml:space="preserve"> </w:t>
      </w:r>
      <w:r>
        <w:rPr>
          <w:sz w:val="20"/>
        </w:rPr>
        <w:t>suborno,</w:t>
      </w:r>
      <w:r>
        <w:rPr>
          <w:spacing w:val="-4"/>
          <w:sz w:val="20"/>
        </w:rPr>
        <w:t xml:space="preserve"> </w:t>
      </w:r>
      <w:r>
        <w:rPr>
          <w:sz w:val="20"/>
        </w:rPr>
        <w:t>ou</w:t>
      </w:r>
      <w:r>
        <w:rPr>
          <w:spacing w:val="-4"/>
          <w:sz w:val="20"/>
        </w:rPr>
        <w:t xml:space="preserve"> </w:t>
      </w:r>
      <w:r>
        <w:rPr>
          <w:spacing w:val="-2"/>
          <w:sz w:val="20"/>
        </w:rPr>
        <w:t>concussão.(…)</w:t>
      </w:r>
    </w:p>
    <w:p w:rsidR="007259F2" w:rsidRDefault="00E655B4">
      <w:pPr>
        <w:ind w:left="2978"/>
        <w:rPr>
          <w:sz w:val="20"/>
        </w:rPr>
      </w:pPr>
      <w:r>
        <w:rPr>
          <w:sz w:val="20"/>
        </w:rPr>
        <w:t>VI.</w:t>
      </w:r>
      <w:r>
        <w:rPr>
          <w:spacing w:val="-7"/>
          <w:sz w:val="20"/>
        </w:rPr>
        <w:t xml:space="preserve"> </w:t>
      </w:r>
      <w:r>
        <w:rPr>
          <w:sz w:val="20"/>
        </w:rPr>
        <w:t>Por</w:t>
      </w:r>
      <w:r>
        <w:rPr>
          <w:spacing w:val="-6"/>
          <w:sz w:val="20"/>
        </w:rPr>
        <w:t xml:space="preserve"> </w:t>
      </w:r>
      <w:r>
        <w:rPr>
          <w:sz w:val="20"/>
        </w:rPr>
        <w:t>qualquer</w:t>
      </w:r>
      <w:r>
        <w:rPr>
          <w:spacing w:val="-5"/>
          <w:sz w:val="20"/>
        </w:rPr>
        <w:t xml:space="preserve"> </w:t>
      </w:r>
      <w:r>
        <w:rPr>
          <w:sz w:val="20"/>
        </w:rPr>
        <w:t>dissipação</w:t>
      </w:r>
      <w:r>
        <w:rPr>
          <w:spacing w:val="-5"/>
          <w:sz w:val="20"/>
        </w:rPr>
        <w:t xml:space="preserve"> </w:t>
      </w:r>
      <w:r>
        <w:rPr>
          <w:sz w:val="20"/>
        </w:rPr>
        <w:t>dos</w:t>
      </w:r>
      <w:r>
        <w:rPr>
          <w:spacing w:val="-7"/>
          <w:sz w:val="20"/>
        </w:rPr>
        <w:t xml:space="preserve"> </w:t>
      </w:r>
      <w:r>
        <w:rPr>
          <w:sz w:val="20"/>
        </w:rPr>
        <w:t>bens</w:t>
      </w:r>
      <w:r>
        <w:rPr>
          <w:spacing w:val="-7"/>
          <w:sz w:val="20"/>
        </w:rPr>
        <w:t xml:space="preserve"> </w:t>
      </w:r>
      <w:r>
        <w:rPr>
          <w:sz w:val="20"/>
        </w:rPr>
        <w:t>públicos.</w:t>
      </w:r>
      <w:r>
        <w:rPr>
          <w:spacing w:val="-6"/>
          <w:sz w:val="20"/>
        </w:rPr>
        <w:t xml:space="preserve"> </w:t>
      </w:r>
      <w:r>
        <w:rPr>
          <w:sz w:val="20"/>
        </w:rPr>
        <w:t>(BRASIL,</w:t>
      </w:r>
      <w:r>
        <w:rPr>
          <w:spacing w:val="-6"/>
          <w:sz w:val="20"/>
        </w:rPr>
        <w:t xml:space="preserve"> </w:t>
      </w:r>
      <w:r>
        <w:rPr>
          <w:spacing w:val="-4"/>
          <w:sz w:val="20"/>
        </w:rPr>
        <w:t>1824)</w:t>
      </w:r>
    </w:p>
    <w:p w:rsidR="007259F2" w:rsidRDefault="007259F2">
      <w:pPr>
        <w:pStyle w:val="Corpodetexto"/>
        <w:ind w:left="0" w:firstLine="0"/>
        <w:jc w:val="left"/>
        <w:rPr>
          <w:sz w:val="20"/>
        </w:rPr>
      </w:pPr>
    </w:p>
    <w:p w:rsidR="007259F2" w:rsidRDefault="00E655B4">
      <w:pPr>
        <w:pStyle w:val="Corpodetexto"/>
        <w:ind w:right="991"/>
      </w:pPr>
      <w:r>
        <w:t>As constituições seguintes, em menor ou maior medida, também se ocuparam da proteção a retidão administrativa e dos atos daqueles detentores do poder-dever de administrar.</w:t>
      </w:r>
      <w:r>
        <w:rPr>
          <w:spacing w:val="-9"/>
        </w:rPr>
        <w:t xml:space="preserve"> </w:t>
      </w:r>
      <w:r>
        <w:t>A</w:t>
      </w:r>
      <w:r>
        <w:rPr>
          <w:spacing w:val="-12"/>
        </w:rPr>
        <w:t xml:space="preserve"> </w:t>
      </w:r>
      <w:r>
        <w:t>Constituição de 1891, por exemplo, indo além da</w:t>
      </w:r>
      <w:r>
        <w:rPr>
          <w:spacing w:val="-2"/>
        </w:rPr>
        <w:t xml:space="preserve"> </w:t>
      </w:r>
      <w:r>
        <w:t>mera responsabilização dos ministros de Estado da Carta anterior, tratou de inserir a violação a esse bem</w:t>
      </w:r>
      <w:r>
        <w:rPr>
          <w:spacing w:val="40"/>
        </w:rPr>
        <w:t xml:space="preserve"> </w:t>
      </w:r>
      <w:r>
        <w:t>jurídico no rol crimes de responsabilidade do Presidente da República:</w:t>
      </w:r>
    </w:p>
    <w:p w:rsidR="007259F2" w:rsidRDefault="00E655B4">
      <w:pPr>
        <w:spacing w:before="229"/>
        <w:ind w:left="2978" w:right="990"/>
        <w:rPr>
          <w:sz w:val="20"/>
        </w:rPr>
      </w:pPr>
      <w:r>
        <w:rPr>
          <w:sz w:val="20"/>
        </w:rPr>
        <w:t>Art 54 - São crimes de responsabilidade os atos do Presidente que atentarem contra: (...)</w:t>
      </w:r>
    </w:p>
    <w:p w:rsidR="007259F2" w:rsidRDefault="00E655B4">
      <w:pPr>
        <w:spacing w:before="1"/>
        <w:ind w:left="2978"/>
        <w:rPr>
          <w:sz w:val="20"/>
        </w:rPr>
      </w:pPr>
      <w:r>
        <w:rPr>
          <w:sz w:val="20"/>
        </w:rPr>
        <w:t>6º)</w:t>
      </w:r>
      <w:r>
        <w:rPr>
          <w:spacing w:val="-4"/>
          <w:sz w:val="20"/>
        </w:rPr>
        <w:t xml:space="preserve"> </w:t>
      </w:r>
      <w:r>
        <w:rPr>
          <w:sz w:val="20"/>
        </w:rPr>
        <w:t>a</w:t>
      </w:r>
      <w:r>
        <w:rPr>
          <w:spacing w:val="-3"/>
          <w:sz w:val="20"/>
        </w:rPr>
        <w:t xml:space="preserve"> </w:t>
      </w:r>
      <w:r>
        <w:rPr>
          <w:sz w:val="20"/>
        </w:rPr>
        <w:t>probidade</w:t>
      </w:r>
      <w:r>
        <w:rPr>
          <w:spacing w:val="-3"/>
          <w:sz w:val="20"/>
        </w:rPr>
        <w:t xml:space="preserve"> </w:t>
      </w:r>
      <w:r>
        <w:rPr>
          <w:sz w:val="20"/>
        </w:rPr>
        <w:t>da</w:t>
      </w:r>
      <w:r>
        <w:rPr>
          <w:spacing w:val="-5"/>
          <w:sz w:val="20"/>
        </w:rPr>
        <w:t xml:space="preserve"> </w:t>
      </w:r>
      <w:r>
        <w:rPr>
          <w:spacing w:val="-2"/>
          <w:sz w:val="20"/>
        </w:rPr>
        <w:t>administração;</w:t>
      </w:r>
    </w:p>
    <w:p w:rsidR="007259F2" w:rsidRDefault="00E655B4">
      <w:pPr>
        <w:spacing w:before="1"/>
        <w:ind w:left="2978" w:right="990"/>
        <w:rPr>
          <w:sz w:val="20"/>
        </w:rPr>
      </w:pPr>
      <w:r>
        <w:rPr>
          <w:sz w:val="20"/>
        </w:rPr>
        <w:t>7º) a guarda e emprego constitucional dos</w:t>
      </w:r>
      <w:r>
        <w:rPr>
          <w:spacing w:val="-1"/>
          <w:sz w:val="20"/>
        </w:rPr>
        <w:t xml:space="preserve"> </w:t>
      </w:r>
      <w:r>
        <w:rPr>
          <w:sz w:val="20"/>
        </w:rPr>
        <w:t>dinheiros</w:t>
      </w:r>
      <w:r>
        <w:rPr>
          <w:spacing w:val="-1"/>
          <w:sz w:val="20"/>
        </w:rPr>
        <w:t xml:space="preserve"> </w:t>
      </w:r>
      <w:r>
        <w:rPr>
          <w:sz w:val="20"/>
        </w:rPr>
        <w:t>públicos;</w:t>
      </w:r>
      <w:r>
        <w:rPr>
          <w:spacing w:val="-1"/>
          <w:sz w:val="20"/>
        </w:rPr>
        <w:t xml:space="preserve"> </w:t>
      </w:r>
      <w:r>
        <w:rPr>
          <w:sz w:val="20"/>
        </w:rPr>
        <w:t xml:space="preserve">(…) (BRASIL, </w:t>
      </w:r>
      <w:r>
        <w:rPr>
          <w:spacing w:val="-2"/>
          <w:sz w:val="20"/>
        </w:rPr>
        <w:t>1891)</w:t>
      </w:r>
    </w:p>
    <w:p w:rsidR="007259F2" w:rsidRDefault="007259F2">
      <w:pPr>
        <w:rPr>
          <w:sz w:val="20"/>
        </w:rPr>
        <w:sectPr w:rsidR="007259F2">
          <w:pgSz w:w="11910" w:h="16840"/>
          <w:pgMar w:top="1320" w:right="708" w:bottom="1160" w:left="992" w:header="0" w:footer="962" w:gutter="0"/>
          <w:cols w:space="720"/>
        </w:sectPr>
      </w:pPr>
    </w:p>
    <w:p w:rsidR="007259F2" w:rsidRDefault="007259F2">
      <w:pPr>
        <w:pStyle w:val="Corpodetexto"/>
        <w:spacing w:before="69"/>
        <w:ind w:left="0" w:firstLine="0"/>
        <w:jc w:val="left"/>
      </w:pPr>
    </w:p>
    <w:p w:rsidR="007259F2" w:rsidRDefault="00E655B4">
      <w:pPr>
        <w:pStyle w:val="Corpodetexto"/>
        <w:spacing w:before="1"/>
        <w:ind w:firstLine="0"/>
        <w:jc w:val="left"/>
      </w:pPr>
      <w:r>
        <w:t>art.</w:t>
      </w:r>
      <w:r>
        <w:rPr>
          <w:spacing w:val="-1"/>
        </w:rPr>
        <w:t xml:space="preserve"> </w:t>
      </w:r>
      <w:r>
        <w:rPr>
          <w:spacing w:val="-5"/>
        </w:rPr>
        <w:t>57.</w:t>
      </w:r>
    </w:p>
    <w:p w:rsidR="007259F2" w:rsidRDefault="00E655B4">
      <w:pPr>
        <w:pStyle w:val="Corpodetexto"/>
        <w:spacing w:before="69"/>
        <w:ind w:left="0" w:firstLine="0"/>
        <w:jc w:val="left"/>
      </w:pPr>
      <w:r>
        <w:br w:type="column"/>
      </w:r>
      <w:r>
        <w:lastRenderedPageBreak/>
        <w:t>A</w:t>
      </w:r>
      <w:r>
        <w:rPr>
          <w:spacing w:val="10"/>
        </w:rPr>
        <w:t xml:space="preserve"> </w:t>
      </w:r>
      <w:r>
        <w:t>citada</w:t>
      </w:r>
      <w:r>
        <w:rPr>
          <w:spacing w:val="24"/>
        </w:rPr>
        <w:t xml:space="preserve"> </w:t>
      </w:r>
      <w:r>
        <w:t>disposição</w:t>
      </w:r>
      <w:r>
        <w:rPr>
          <w:spacing w:val="25"/>
        </w:rPr>
        <w:t xml:space="preserve"> </w:t>
      </w:r>
      <w:r>
        <w:t>foi</w:t>
      </w:r>
      <w:r>
        <w:rPr>
          <w:spacing w:val="27"/>
        </w:rPr>
        <w:t xml:space="preserve"> </w:t>
      </w:r>
      <w:r>
        <w:t>praticamente</w:t>
      </w:r>
      <w:r>
        <w:rPr>
          <w:spacing w:val="26"/>
        </w:rPr>
        <w:t xml:space="preserve"> </w:t>
      </w:r>
      <w:r>
        <w:t>repetida</w:t>
      </w:r>
      <w:r>
        <w:rPr>
          <w:spacing w:val="24"/>
        </w:rPr>
        <w:t xml:space="preserve"> </w:t>
      </w:r>
      <w:r>
        <w:t>na</w:t>
      </w:r>
      <w:r>
        <w:rPr>
          <w:spacing w:val="26"/>
        </w:rPr>
        <w:t xml:space="preserve"> </w:t>
      </w:r>
      <w:r>
        <w:t>Constituição</w:t>
      </w:r>
      <w:r>
        <w:rPr>
          <w:spacing w:val="25"/>
        </w:rPr>
        <w:t xml:space="preserve"> </w:t>
      </w:r>
      <w:r>
        <w:t>de</w:t>
      </w:r>
      <w:r>
        <w:rPr>
          <w:spacing w:val="24"/>
        </w:rPr>
        <w:t xml:space="preserve"> </w:t>
      </w:r>
      <w:r>
        <w:t>1934,</w:t>
      </w:r>
      <w:r>
        <w:rPr>
          <w:spacing w:val="25"/>
        </w:rPr>
        <w:t xml:space="preserve"> </w:t>
      </w:r>
      <w:r>
        <w:t>em</w:t>
      </w:r>
      <w:r>
        <w:rPr>
          <w:spacing w:val="26"/>
        </w:rPr>
        <w:t xml:space="preserve"> </w:t>
      </w:r>
      <w:r>
        <w:rPr>
          <w:spacing w:val="-5"/>
        </w:rPr>
        <w:t>seu</w:t>
      </w:r>
    </w:p>
    <w:p w:rsidR="007259F2" w:rsidRDefault="007259F2">
      <w:pPr>
        <w:pStyle w:val="Corpodetexto"/>
        <w:ind w:left="0" w:firstLine="0"/>
        <w:jc w:val="left"/>
      </w:pPr>
    </w:p>
    <w:p w:rsidR="007259F2" w:rsidRDefault="00E655B4">
      <w:pPr>
        <w:pStyle w:val="Corpodetexto"/>
        <w:spacing w:before="1"/>
        <w:ind w:left="0" w:firstLine="0"/>
        <w:jc w:val="left"/>
      </w:pPr>
      <w:r>
        <w:t>Da</w:t>
      </w:r>
      <w:r>
        <w:rPr>
          <w:spacing w:val="55"/>
          <w:w w:val="150"/>
        </w:rPr>
        <w:t xml:space="preserve"> </w:t>
      </w:r>
      <w:r>
        <w:t>mesma</w:t>
      </w:r>
      <w:r>
        <w:rPr>
          <w:spacing w:val="56"/>
          <w:w w:val="150"/>
        </w:rPr>
        <w:t xml:space="preserve"> </w:t>
      </w:r>
      <w:r>
        <w:t>forma,</w:t>
      </w:r>
      <w:r>
        <w:rPr>
          <w:spacing w:val="57"/>
          <w:w w:val="150"/>
        </w:rPr>
        <w:t xml:space="preserve"> </w:t>
      </w:r>
      <w:r>
        <w:t>a</w:t>
      </w:r>
      <w:r>
        <w:rPr>
          <w:spacing w:val="56"/>
          <w:w w:val="150"/>
        </w:rPr>
        <w:t xml:space="preserve"> </w:t>
      </w:r>
      <w:r>
        <w:t>Constituição</w:t>
      </w:r>
      <w:r>
        <w:rPr>
          <w:spacing w:val="57"/>
          <w:w w:val="150"/>
        </w:rPr>
        <w:t xml:space="preserve"> </w:t>
      </w:r>
      <w:r>
        <w:t>de</w:t>
      </w:r>
      <w:r>
        <w:rPr>
          <w:spacing w:val="56"/>
          <w:w w:val="150"/>
        </w:rPr>
        <w:t xml:space="preserve"> </w:t>
      </w:r>
      <w:r>
        <w:t>1937</w:t>
      </w:r>
      <w:r>
        <w:rPr>
          <w:spacing w:val="57"/>
          <w:w w:val="150"/>
        </w:rPr>
        <w:t xml:space="preserve"> </w:t>
      </w:r>
      <w:r>
        <w:t>adotou</w:t>
      </w:r>
      <w:r>
        <w:rPr>
          <w:spacing w:val="58"/>
          <w:w w:val="150"/>
        </w:rPr>
        <w:t xml:space="preserve"> </w:t>
      </w:r>
      <w:r>
        <w:t>dispositivo</w:t>
      </w:r>
      <w:r>
        <w:rPr>
          <w:spacing w:val="58"/>
          <w:w w:val="150"/>
        </w:rPr>
        <w:t xml:space="preserve"> </w:t>
      </w:r>
      <w:r>
        <w:rPr>
          <w:spacing w:val="-2"/>
        </w:rPr>
        <w:t>semelhante,</w:t>
      </w:r>
    </w:p>
    <w:p w:rsidR="007259F2" w:rsidRDefault="007259F2">
      <w:pPr>
        <w:pStyle w:val="Corpodetexto"/>
        <w:jc w:val="left"/>
        <w:sectPr w:rsidR="007259F2">
          <w:pgSz w:w="11910" w:h="16840"/>
          <w:pgMar w:top="1320" w:right="708" w:bottom="1160" w:left="992" w:header="0" w:footer="962" w:gutter="0"/>
          <w:cols w:num="2" w:space="720" w:equalWidth="0">
            <w:col w:w="1383" w:space="35"/>
            <w:col w:w="8792"/>
          </w:cols>
        </w:sectPr>
      </w:pPr>
    </w:p>
    <w:p w:rsidR="007259F2" w:rsidRDefault="00E655B4">
      <w:pPr>
        <w:pStyle w:val="Corpodetexto"/>
        <w:ind w:right="992" w:firstLine="0"/>
      </w:pPr>
      <w:r>
        <w:lastRenderedPageBreak/>
        <w:t>mantendo a violação à probidade e a mazela com os dinheiros públicos como crime de responsabilidade.</w:t>
      </w:r>
      <w:r>
        <w:rPr>
          <w:spacing w:val="-8"/>
        </w:rPr>
        <w:t xml:space="preserve"> </w:t>
      </w:r>
      <w:r>
        <w:t>A</w:t>
      </w:r>
      <w:r>
        <w:rPr>
          <w:spacing w:val="-11"/>
        </w:rPr>
        <w:t xml:space="preserve"> </w:t>
      </w:r>
      <w:r>
        <w:t>sistemática de responsabilização do Presidente da República, com a prática de crime de responsabilidade, por atos de improbidade na Administração foi mantida</w:t>
      </w:r>
      <w:r>
        <w:rPr>
          <w:spacing w:val="-2"/>
        </w:rPr>
        <w:t xml:space="preserve"> </w:t>
      </w:r>
      <w:r>
        <w:t>na</w:t>
      </w:r>
      <w:r>
        <w:rPr>
          <w:spacing w:val="-2"/>
        </w:rPr>
        <w:t xml:space="preserve"> </w:t>
      </w:r>
      <w:r>
        <w:t>Constituição</w:t>
      </w:r>
      <w:r>
        <w:rPr>
          <w:spacing w:val="-1"/>
        </w:rPr>
        <w:t xml:space="preserve"> </w:t>
      </w:r>
      <w:r>
        <w:t>de</w:t>
      </w:r>
      <w:r>
        <w:rPr>
          <w:spacing w:val="-2"/>
        </w:rPr>
        <w:t xml:space="preserve"> </w:t>
      </w:r>
      <w:r>
        <w:t>1946,</w:t>
      </w:r>
      <w:r>
        <w:rPr>
          <w:spacing w:val="-1"/>
        </w:rPr>
        <w:t xml:space="preserve"> </w:t>
      </w:r>
      <w:r>
        <w:t>art.</w:t>
      </w:r>
      <w:r>
        <w:rPr>
          <w:spacing w:val="-2"/>
        </w:rPr>
        <w:t xml:space="preserve"> </w:t>
      </w:r>
      <w:r>
        <w:t>89,</w:t>
      </w:r>
      <w:r>
        <w:rPr>
          <w:spacing w:val="-1"/>
        </w:rPr>
        <w:t xml:space="preserve"> </w:t>
      </w:r>
      <w:r>
        <w:t>na</w:t>
      </w:r>
      <w:r>
        <w:rPr>
          <w:spacing w:val="-2"/>
        </w:rPr>
        <w:t xml:space="preserve"> </w:t>
      </w:r>
      <w:r>
        <w:t>Constituição</w:t>
      </w:r>
      <w:r>
        <w:rPr>
          <w:spacing w:val="-1"/>
        </w:rPr>
        <w:t xml:space="preserve"> </w:t>
      </w:r>
      <w:r>
        <w:t>de</w:t>
      </w:r>
      <w:r>
        <w:rPr>
          <w:spacing w:val="-2"/>
        </w:rPr>
        <w:t xml:space="preserve"> </w:t>
      </w:r>
      <w:r>
        <w:t>1967,</w:t>
      </w:r>
      <w:r>
        <w:rPr>
          <w:spacing w:val="-1"/>
        </w:rPr>
        <w:t xml:space="preserve"> </w:t>
      </w:r>
      <w:r>
        <w:t>art.</w:t>
      </w:r>
      <w:r>
        <w:rPr>
          <w:spacing w:val="-2"/>
        </w:rPr>
        <w:t xml:space="preserve"> </w:t>
      </w:r>
      <w:r>
        <w:t>84,</w:t>
      </w:r>
      <w:r>
        <w:rPr>
          <w:spacing w:val="-6"/>
        </w:rPr>
        <w:t xml:space="preserve"> </w:t>
      </w:r>
      <w:r>
        <w:t>bem</w:t>
      </w:r>
      <w:r>
        <w:rPr>
          <w:spacing w:val="-1"/>
        </w:rPr>
        <w:t xml:space="preserve"> </w:t>
      </w:r>
      <w:r>
        <w:t>como</w:t>
      </w:r>
      <w:r>
        <w:rPr>
          <w:spacing w:val="-1"/>
        </w:rPr>
        <w:t xml:space="preserve"> </w:t>
      </w:r>
      <w:r>
        <w:t>na Emenda Constitucional de 1969, art. 82.</w:t>
      </w:r>
    </w:p>
    <w:p w:rsidR="007259F2" w:rsidRDefault="00E655B4">
      <w:pPr>
        <w:pStyle w:val="Corpodetexto"/>
        <w:ind w:right="987"/>
      </w:pPr>
      <w:r>
        <w:t>A Constituição democrática de 1988, por sua vez, foi além e contemplou o combate à improbidade de forma muito mais ampla e rigorosa. A necessidade de transparência e controle dos atos da Administração, no período subsequente à ditadura militar, deu origem a todo um sistema de responsabilização dos agentes públicos, inserindo-o no mesmo dispositivo que enumera os princípios explícitos a serem observados pela</w:t>
      </w:r>
      <w:r>
        <w:rPr>
          <w:spacing w:val="-9"/>
        </w:rPr>
        <w:t xml:space="preserve"> </w:t>
      </w:r>
      <w:r>
        <w:t>Administração, além de regular diversos da estrutura organizacional do Estado e as formas de ingresso dos particulares nos cargos e funções públicos.</w:t>
      </w:r>
    </w:p>
    <w:p w:rsidR="007259F2" w:rsidRDefault="00E655B4">
      <w:pPr>
        <w:pStyle w:val="Corpodetexto"/>
        <w:spacing w:before="1"/>
        <w:ind w:right="994"/>
      </w:pPr>
      <w:r>
        <w:t>Além disso, a própria Constituição previu as sanções cabíveis àqueles</w:t>
      </w:r>
      <w:r>
        <w:rPr>
          <w:spacing w:val="40"/>
        </w:rPr>
        <w:t xml:space="preserve"> </w:t>
      </w:r>
      <w:r>
        <w:t>praticantes de atos ímprobos, delegando a lei sua gradação e forma de aplicação, bem como estabeleceu textual- mente sua independência frente à responsabilização penal. Ainda, assentou a imprescritibilidade das ações de ressarcimento ao erário, em seu art. 37, § 5º (conforme tese firmada pelo Supremo Tribunal Federal no julgamento do RE 852475 – Tema de Repercussão Geral 897).</w:t>
      </w:r>
    </w:p>
    <w:p w:rsidR="007259F2" w:rsidRDefault="00E655B4">
      <w:pPr>
        <w:pStyle w:val="Heading2"/>
        <w:numPr>
          <w:ilvl w:val="1"/>
          <w:numId w:val="31"/>
        </w:numPr>
        <w:tabs>
          <w:tab w:val="left" w:pos="1070"/>
        </w:tabs>
        <w:spacing w:before="206"/>
      </w:pPr>
      <w:r>
        <w:t>A</w:t>
      </w:r>
      <w:r>
        <w:rPr>
          <w:spacing w:val="-1"/>
        </w:rPr>
        <w:t xml:space="preserve"> </w:t>
      </w:r>
      <w:r>
        <w:t>ação</w:t>
      </w:r>
      <w:r>
        <w:rPr>
          <w:spacing w:val="-2"/>
        </w:rPr>
        <w:t xml:space="preserve"> </w:t>
      </w:r>
      <w:r>
        <w:t>de</w:t>
      </w:r>
      <w:r>
        <w:rPr>
          <w:spacing w:val="-1"/>
        </w:rPr>
        <w:t xml:space="preserve"> </w:t>
      </w:r>
      <w:r>
        <w:t>Improbidade</w:t>
      </w:r>
      <w:r>
        <w:rPr>
          <w:spacing w:val="-2"/>
        </w:rPr>
        <w:t xml:space="preserve"> Administrativa</w:t>
      </w:r>
    </w:p>
    <w:p w:rsidR="007259F2" w:rsidRDefault="00E655B4">
      <w:pPr>
        <w:pStyle w:val="Corpodetexto"/>
        <w:spacing w:before="115"/>
        <w:ind w:right="996"/>
      </w:pPr>
      <w:r>
        <w:t>De acordo com a lição do professor José dos Santos Carvalho Filho, a ação de improbidade administrativa tem como objetivo o:</w:t>
      </w:r>
    </w:p>
    <w:p w:rsidR="007259F2" w:rsidRDefault="00E655B4">
      <w:pPr>
        <w:spacing w:before="230"/>
        <w:ind w:left="2978" w:right="996"/>
        <w:jc w:val="both"/>
        <w:rPr>
          <w:sz w:val="20"/>
        </w:rPr>
      </w:pPr>
      <w:r>
        <w:rPr>
          <w:sz w:val="20"/>
        </w:rPr>
        <w:t>reconhecimento judicial de condutas de improbidade na Administração, perpetradas por Administradores públicos e terceiros, e a consequente aplicação das sanções legais, com o escopo de preservar o princípio da moralidade administrativa(CARVALHO FILHO, 2023, p. 920).</w:t>
      </w:r>
    </w:p>
    <w:p w:rsidR="007259F2" w:rsidRDefault="00E655B4">
      <w:pPr>
        <w:pStyle w:val="Corpodetexto"/>
        <w:spacing w:before="228"/>
        <w:ind w:right="990"/>
      </w:pPr>
      <w:r>
        <w:t>A</w:t>
      </w:r>
      <w:r>
        <w:rPr>
          <w:spacing w:val="-11"/>
        </w:rPr>
        <w:t xml:space="preserve"> </w:t>
      </w:r>
      <w:r>
        <w:t>ação de improbidade possui natureza cível e observa procedimento processual próprio, além de seguir as normas do rito comum previsto no Código de Processo Civil, no que lhe forem compatíveis, conforme a dicção do art. 17 da Lei 8.429/92.</w:t>
      </w:r>
    </w:p>
    <w:p w:rsidR="007259F2" w:rsidRDefault="00E655B4">
      <w:pPr>
        <w:pStyle w:val="Corpodetexto"/>
        <w:spacing w:before="1"/>
        <w:ind w:right="994"/>
      </w:pPr>
      <w:r>
        <w:t>É por meio desse instrumento legal, portanto, que se tutela, de maneira repressiva, a</w:t>
      </w:r>
      <w:r>
        <w:rPr>
          <w:spacing w:val="-3"/>
        </w:rPr>
        <w:t xml:space="preserve"> </w:t>
      </w:r>
      <w:r>
        <w:t>probidade</w:t>
      </w:r>
      <w:r>
        <w:rPr>
          <w:spacing w:val="-3"/>
        </w:rPr>
        <w:t xml:space="preserve"> </w:t>
      </w:r>
      <w:r>
        <w:t>administrativa,</w:t>
      </w:r>
      <w:r>
        <w:rPr>
          <w:spacing w:val="-2"/>
        </w:rPr>
        <w:t xml:space="preserve"> </w:t>
      </w:r>
      <w:r>
        <w:t>buscando-se</w:t>
      </w:r>
      <w:r>
        <w:rPr>
          <w:spacing w:val="-3"/>
        </w:rPr>
        <w:t xml:space="preserve"> </w:t>
      </w:r>
      <w:r>
        <w:t>a</w:t>
      </w:r>
      <w:r>
        <w:rPr>
          <w:spacing w:val="-3"/>
        </w:rPr>
        <w:t xml:space="preserve"> </w:t>
      </w:r>
      <w:r>
        <w:t>aplicação das</w:t>
      </w:r>
      <w:r>
        <w:rPr>
          <w:spacing w:val="-2"/>
        </w:rPr>
        <w:t xml:space="preserve"> </w:t>
      </w:r>
      <w:r>
        <w:t>sanções</w:t>
      </w:r>
      <w:r>
        <w:rPr>
          <w:spacing w:val="-2"/>
        </w:rPr>
        <w:t xml:space="preserve"> </w:t>
      </w:r>
      <w:r>
        <w:t>previstas</w:t>
      </w:r>
      <w:r>
        <w:rPr>
          <w:spacing w:val="-2"/>
        </w:rPr>
        <w:t xml:space="preserve"> </w:t>
      </w:r>
      <w:r>
        <w:t>na lei de improbidade.</w:t>
      </w:r>
    </w:p>
    <w:p w:rsidR="007259F2" w:rsidRDefault="00E655B4">
      <w:pPr>
        <w:pStyle w:val="Corpodetexto"/>
        <w:ind w:right="990"/>
      </w:pPr>
      <w:r>
        <w:t>Diversas modificações foram introduzidas na Lei de Improbidade, por força da edição da Lei 14.230/21, tais como a exclusão da possibilidade de configuração de ato de</w:t>
      </w:r>
      <w:r>
        <w:rPr>
          <w:spacing w:val="-1"/>
        </w:rPr>
        <w:t xml:space="preserve"> </w:t>
      </w:r>
      <w:r>
        <w:t>improbidade decorrente</w:t>
      </w:r>
      <w:r>
        <w:rPr>
          <w:spacing w:val="-1"/>
        </w:rPr>
        <w:t xml:space="preserve"> </w:t>
      </w:r>
      <w:r>
        <w:t>de conduta culposa e a enumeração taxativa</w:t>
      </w:r>
      <w:r>
        <w:rPr>
          <w:spacing w:val="-1"/>
        </w:rPr>
        <w:t xml:space="preserve"> </w:t>
      </w:r>
      <w:r>
        <w:t>das hipóteses de atos ímprobos viola- dores dos princípios da</w:t>
      </w:r>
      <w:r>
        <w:rPr>
          <w:spacing w:val="-5"/>
        </w:rPr>
        <w:t xml:space="preserve"> </w:t>
      </w:r>
      <w:r>
        <w:t>Administração Pública, por exemplo.</w:t>
      </w:r>
    </w:p>
    <w:p w:rsidR="007259F2" w:rsidRDefault="00E655B4">
      <w:pPr>
        <w:pStyle w:val="Corpodetexto"/>
        <w:ind w:right="997"/>
      </w:pPr>
      <w:r>
        <w:t>Uma das mais significativas, no entanto, foi a exclusão da legitimidade da</w:t>
      </w:r>
      <w:r>
        <w:rPr>
          <w:spacing w:val="40"/>
        </w:rPr>
        <w:t xml:space="preserve"> </w:t>
      </w:r>
      <w:r>
        <w:t>pessoa jurídica interessada para a propositura da ação de improbidade, cuja análise será o objeto central deste artigo.</w:t>
      </w:r>
    </w:p>
    <w:p w:rsidR="007259F2" w:rsidRDefault="00E655B4">
      <w:pPr>
        <w:pStyle w:val="Corpodetexto"/>
        <w:ind w:right="990"/>
      </w:pPr>
      <w:r>
        <w:t>A redação original da Lei 8.429/92, em seu artigo 17, previa a legitimidade concorrente e disjuntiva do Ministério Público e da pessoa jurídica lesada para a repressão ao ato ímprobo pela via judicial.</w:t>
      </w:r>
      <w:r>
        <w:rPr>
          <w:spacing w:val="-2"/>
        </w:rPr>
        <w:t xml:space="preserve"> </w:t>
      </w:r>
      <w:r>
        <w:t>Vale dizer, qualquer dos legitimados poderia promover a responsabilização do agente por improbidade, pleiteando a aplicação das sanções previstas na Lei 8.429/92.</w:t>
      </w:r>
    </w:p>
    <w:p w:rsidR="007259F2" w:rsidRDefault="00E655B4">
      <w:pPr>
        <w:pStyle w:val="Corpodetexto"/>
        <w:spacing w:before="1"/>
        <w:ind w:right="995"/>
      </w:pPr>
      <w:r>
        <w:t>Após a reforma, até a resolução da questão pelo Supremo Tribunal Federal (ADI’s</w:t>
      </w:r>
      <w:r>
        <w:rPr>
          <w:spacing w:val="50"/>
        </w:rPr>
        <w:t xml:space="preserve">  </w:t>
      </w:r>
      <w:r>
        <w:t>7042</w:t>
      </w:r>
      <w:r>
        <w:rPr>
          <w:spacing w:val="50"/>
        </w:rPr>
        <w:t xml:space="preserve">  </w:t>
      </w:r>
      <w:r>
        <w:t>e</w:t>
      </w:r>
      <w:r>
        <w:rPr>
          <w:spacing w:val="50"/>
        </w:rPr>
        <w:t xml:space="preserve">  </w:t>
      </w:r>
      <w:r>
        <w:t>7043),</w:t>
      </w:r>
      <w:r>
        <w:rPr>
          <w:spacing w:val="50"/>
        </w:rPr>
        <w:t xml:space="preserve">  </w:t>
      </w:r>
      <w:r>
        <w:t>apenas</w:t>
      </w:r>
      <w:r>
        <w:rPr>
          <w:spacing w:val="50"/>
        </w:rPr>
        <w:t xml:space="preserve">  </w:t>
      </w:r>
      <w:r>
        <w:t>o</w:t>
      </w:r>
      <w:r>
        <w:rPr>
          <w:spacing w:val="50"/>
        </w:rPr>
        <w:t xml:space="preserve">  </w:t>
      </w:r>
      <w:r>
        <w:t>Ministério</w:t>
      </w:r>
      <w:r>
        <w:rPr>
          <w:spacing w:val="50"/>
        </w:rPr>
        <w:t xml:space="preserve">  </w:t>
      </w:r>
      <w:r>
        <w:t>Público</w:t>
      </w:r>
      <w:r>
        <w:rPr>
          <w:spacing w:val="50"/>
        </w:rPr>
        <w:t xml:space="preserve">  </w:t>
      </w:r>
      <w:r>
        <w:t>poderia</w:t>
      </w:r>
      <w:r>
        <w:rPr>
          <w:spacing w:val="50"/>
        </w:rPr>
        <w:t xml:space="preserve">  </w:t>
      </w:r>
      <w:r>
        <w:t>promover</w:t>
      </w:r>
      <w:r>
        <w:rPr>
          <w:spacing w:val="49"/>
        </w:rPr>
        <w:t xml:space="preserve">  </w:t>
      </w:r>
      <w:r>
        <w:rPr>
          <w:spacing w:val="-5"/>
        </w:rPr>
        <w:t>tal</w:t>
      </w:r>
    </w:p>
    <w:p w:rsidR="007259F2" w:rsidRDefault="007259F2">
      <w:pPr>
        <w:pStyle w:val="Corpodetexto"/>
        <w:sectPr w:rsidR="007259F2">
          <w:type w:val="continuous"/>
          <w:pgSz w:w="11910" w:h="16840"/>
          <w:pgMar w:top="1180" w:right="708" w:bottom="280" w:left="992" w:header="0" w:footer="962" w:gutter="0"/>
          <w:cols w:space="720"/>
        </w:sectPr>
      </w:pPr>
    </w:p>
    <w:p w:rsidR="007259F2" w:rsidRDefault="00E655B4">
      <w:pPr>
        <w:pStyle w:val="Corpodetexto"/>
        <w:spacing w:before="69"/>
        <w:ind w:right="993" w:firstLine="0"/>
      </w:pPr>
      <w:r>
        <w:lastRenderedPageBreak/>
        <w:t xml:space="preserve">responsabilização judicial, restringindo o campo de agentes competentes para a perseguição dos atos que maculam a probidade administrativa. É esta restrição que nos </w:t>
      </w:r>
      <w:r>
        <w:rPr>
          <w:spacing w:val="-2"/>
        </w:rPr>
        <w:t>interessa.</w:t>
      </w:r>
    </w:p>
    <w:p w:rsidR="007259F2" w:rsidRDefault="00E655B4">
      <w:pPr>
        <w:pStyle w:val="Heading2"/>
        <w:numPr>
          <w:ilvl w:val="0"/>
          <w:numId w:val="31"/>
        </w:numPr>
        <w:tabs>
          <w:tab w:val="left" w:pos="950"/>
        </w:tabs>
        <w:jc w:val="both"/>
      </w:pPr>
      <w:r>
        <w:t>A</w:t>
      </w:r>
      <w:r>
        <w:rPr>
          <w:spacing w:val="-1"/>
        </w:rPr>
        <w:t xml:space="preserve"> </w:t>
      </w:r>
      <w:r>
        <w:t>legitimidade</w:t>
      </w:r>
      <w:r>
        <w:rPr>
          <w:spacing w:val="-2"/>
        </w:rPr>
        <w:t xml:space="preserve"> </w:t>
      </w:r>
      <w:r>
        <w:t>do</w:t>
      </w:r>
      <w:r>
        <w:rPr>
          <w:spacing w:val="-1"/>
        </w:rPr>
        <w:t xml:space="preserve"> </w:t>
      </w:r>
      <w:r>
        <w:t>ente</w:t>
      </w:r>
      <w:r>
        <w:rPr>
          <w:spacing w:val="-3"/>
        </w:rPr>
        <w:t xml:space="preserve"> </w:t>
      </w:r>
      <w:r>
        <w:t xml:space="preserve">jurídico </w:t>
      </w:r>
      <w:r>
        <w:rPr>
          <w:spacing w:val="-2"/>
        </w:rPr>
        <w:t>lesado</w:t>
      </w:r>
    </w:p>
    <w:p w:rsidR="007259F2" w:rsidRDefault="00E655B4">
      <w:pPr>
        <w:spacing w:before="120"/>
        <w:ind w:left="710"/>
        <w:jc w:val="both"/>
        <w:rPr>
          <w:b/>
          <w:sz w:val="24"/>
        </w:rPr>
      </w:pPr>
      <w:r>
        <w:rPr>
          <w:b/>
          <w:sz w:val="24"/>
        </w:rPr>
        <w:t>3.1.</w:t>
      </w:r>
      <w:r>
        <w:rPr>
          <w:b/>
          <w:spacing w:val="-3"/>
          <w:sz w:val="24"/>
        </w:rPr>
        <w:t xml:space="preserve"> </w:t>
      </w:r>
      <w:r>
        <w:rPr>
          <w:b/>
          <w:sz w:val="24"/>
        </w:rPr>
        <w:t>Análise</w:t>
      </w:r>
      <w:r>
        <w:rPr>
          <w:b/>
          <w:spacing w:val="-1"/>
          <w:sz w:val="24"/>
        </w:rPr>
        <w:t xml:space="preserve"> </w:t>
      </w:r>
      <w:r>
        <w:rPr>
          <w:b/>
          <w:sz w:val="24"/>
        </w:rPr>
        <w:t>da</w:t>
      </w:r>
      <w:r>
        <w:rPr>
          <w:b/>
          <w:spacing w:val="-1"/>
          <w:sz w:val="24"/>
        </w:rPr>
        <w:t xml:space="preserve"> </w:t>
      </w:r>
      <w:r>
        <w:rPr>
          <w:b/>
          <w:sz w:val="24"/>
        </w:rPr>
        <w:t>defesa à</w:t>
      </w:r>
      <w:r>
        <w:rPr>
          <w:b/>
          <w:spacing w:val="-4"/>
          <w:sz w:val="24"/>
        </w:rPr>
        <w:t xml:space="preserve"> </w:t>
      </w:r>
      <w:r>
        <w:rPr>
          <w:b/>
          <w:sz w:val="24"/>
        </w:rPr>
        <w:t>legitimidade</w:t>
      </w:r>
      <w:r>
        <w:rPr>
          <w:b/>
          <w:spacing w:val="-1"/>
          <w:sz w:val="24"/>
        </w:rPr>
        <w:t xml:space="preserve"> </w:t>
      </w:r>
      <w:r>
        <w:rPr>
          <w:b/>
          <w:sz w:val="24"/>
        </w:rPr>
        <w:t>exclusiva</w:t>
      </w:r>
      <w:r>
        <w:rPr>
          <w:b/>
          <w:spacing w:val="-1"/>
          <w:sz w:val="24"/>
        </w:rPr>
        <w:t xml:space="preserve"> </w:t>
      </w:r>
      <w:r>
        <w:rPr>
          <w:b/>
          <w:sz w:val="24"/>
        </w:rPr>
        <w:t>do</w:t>
      </w:r>
      <w:r>
        <w:rPr>
          <w:b/>
          <w:spacing w:val="-1"/>
          <w:sz w:val="24"/>
        </w:rPr>
        <w:t xml:space="preserve"> </w:t>
      </w:r>
      <w:r>
        <w:rPr>
          <w:b/>
          <w:sz w:val="24"/>
        </w:rPr>
        <w:t xml:space="preserve">Ministério </w:t>
      </w:r>
      <w:r>
        <w:rPr>
          <w:b/>
          <w:spacing w:val="-2"/>
          <w:sz w:val="24"/>
        </w:rPr>
        <w:t>Público</w:t>
      </w:r>
    </w:p>
    <w:p w:rsidR="007259F2" w:rsidRDefault="00E655B4">
      <w:pPr>
        <w:pStyle w:val="Corpodetexto"/>
        <w:spacing w:before="115"/>
        <w:ind w:right="994"/>
      </w:pPr>
      <w:r>
        <w:t>As</w:t>
      </w:r>
      <w:r>
        <w:rPr>
          <w:spacing w:val="-4"/>
        </w:rPr>
        <w:t xml:space="preserve"> </w:t>
      </w:r>
      <w:r>
        <w:t>modificações</w:t>
      </w:r>
      <w:r>
        <w:rPr>
          <w:spacing w:val="-3"/>
        </w:rPr>
        <w:t xml:space="preserve"> </w:t>
      </w:r>
      <w:r>
        <w:t>da</w:t>
      </w:r>
      <w:r>
        <w:rPr>
          <w:spacing w:val="-2"/>
        </w:rPr>
        <w:t xml:space="preserve"> </w:t>
      </w:r>
      <w:r>
        <w:t>Lei 8.429/92,</w:t>
      </w:r>
      <w:r>
        <w:rPr>
          <w:spacing w:val="-3"/>
        </w:rPr>
        <w:t xml:space="preserve"> </w:t>
      </w:r>
      <w:r>
        <w:t>promovidas</w:t>
      </w:r>
      <w:r>
        <w:rPr>
          <w:spacing w:val="-3"/>
        </w:rPr>
        <w:t xml:space="preserve"> </w:t>
      </w:r>
      <w:r>
        <w:t>pela</w:t>
      </w:r>
      <w:r>
        <w:rPr>
          <w:spacing w:val="-1"/>
        </w:rPr>
        <w:t xml:space="preserve"> </w:t>
      </w:r>
      <w:r>
        <w:t>Lei</w:t>
      </w:r>
      <w:r>
        <w:rPr>
          <w:spacing w:val="-3"/>
        </w:rPr>
        <w:t xml:space="preserve"> </w:t>
      </w:r>
      <w:r>
        <w:t>14.230/21,</w:t>
      </w:r>
      <w:r>
        <w:rPr>
          <w:spacing w:val="-3"/>
        </w:rPr>
        <w:t xml:space="preserve"> </w:t>
      </w:r>
      <w:r>
        <w:t>representaram uma expressiva mudança de paradigma na proteção constitucional da probidade, suscitando elogios e críticas de diversos setores da sociedade, especialmente no campo acadêmico.</w:t>
      </w:r>
      <w:r>
        <w:rPr>
          <w:spacing w:val="-8"/>
        </w:rPr>
        <w:t xml:space="preserve"> </w:t>
      </w:r>
      <w:r>
        <w:t>As mudanças inspiraram debates acerca de sua necessidade, correção ou até realinhamento das disposições legais com os preceitos da constituição, especialmente quanto à supressão da configuração de improbidade por conduta culposa.</w:t>
      </w:r>
    </w:p>
    <w:p w:rsidR="007259F2" w:rsidRDefault="00E655B4">
      <w:pPr>
        <w:pStyle w:val="Corpodetexto"/>
        <w:spacing w:before="1"/>
        <w:ind w:right="990"/>
      </w:pPr>
      <w:r>
        <w:t>No campo da legitimidade para a propositura da ação sancionatória, não foram poucas as vozes que se levantaram para corroborar o entendimento positivado pelo legislador, elencando motivos, que, ao menos de início, nos parecem muito mais relacionados à prática forense do que a uma estrutura constitucional, mas que</w:t>
      </w:r>
      <w:r>
        <w:rPr>
          <w:spacing w:val="40"/>
        </w:rPr>
        <w:t xml:space="preserve"> </w:t>
      </w:r>
      <w:r>
        <w:t>certamente merecem análise e consideração.</w:t>
      </w:r>
    </w:p>
    <w:p w:rsidR="007259F2" w:rsidRDefault="00E655B4">
      <w:pPr>
        <w:pStyle w:val="Corpodetexto"/>
        <w:ind w:right="992"/>
      </w:pPr>
      <w:r>
        <w:t>Segundo assentado pelo Supremo Tribunal Federal, no julgamento ora em análise, um dos fundamentos da legitimação exclusiva do Parquet em sede de improbidade, talvez o maior deles, seria a gravidade das sanções impostas pela lei de improbidade. Como bem salientou o Ministro Dias Toffoli:</w:t>
      </w:r>
    </w:p>
    <w:p w:rsidR="007259F2" w:rsidRDefault="007259F2">
      <w:pPr>
        <w:pStyle w:val="Corpodetexto"/>
        <w:spacing w:before="1"/>
        <w:ind w:left="0" w:firstLine="0"/>
        <w:jc w:val="left"/>
      </w:pPr>
    </w:p>
    <w:p w:rsidR="007259F2" w:rsidRDefault="00E655B4">
      <w:pPr>
        <w:spacing w:before="1"/>
        <w:ind w:left="2978" w:right="990"/>
        <w:jc w:val="both"/>
        <w:rPr>
          <w:sz w:val="20"/>
        </w:rPr>
      </w:pPr>
      <w:r>
        <w:rPr>
          <w:sz w:val="20"/>
        </w:rPr>
        <w:t>Nesses termos, considerando que a ação de improbidade administrativa veicula uma relação jurídica entre o Estado e o cidadão, essencialmente assimétrica, entendo que o ajuizamento dessa ação — e a consequente possibilidade de imposição das severas sanções político-administrativas previstas no art. 37, § 4º da Constituição Federal – não pode estar sujeita à conveniência política do representante do ente público lesado, a qual, como</w:t>
      </w:r>
      <w:r>
        <w:rPr>
          <w:spacing w:val="40"/>
          <w:sz w:val="20"/>
        </w:rPr>
        <w:t xml:space="preserve"> </w:t>
      </w:r>
      <w:r>
        <w:rPr>
          <w:sz w:val="20"/>
        </w:rPr>
        <w:t xml:space="preserve">se tem observado, pode sofrer os influxos de interesses partidários ou </w:t>
      </w:r>
      <w:r>
        <w:rPr>
          <w:spacing w:val="-2"/>
          <w:sz w:val="20"/>
        </w:rPr>
        <w:t>eleitorais.</w:t>
      </w:r>
    </w:p>
    <w:p w:rsidR="007259F2" w:rsidRDefault="00E655B4">
      <w:pPr>
        <w:spacing w:line="229" w:lineRule="exact"/>
        <w:ind w:left="2978"/>
        <w:rPr>
          <w:sz w:val="20"/>
        </w:rPr>
      </w:pPr>
      <w:r>
        <w:rPr>
          <w:spacing w:val="-2"/>
          <w:sz w:val="20"/>
        </w:rPr>
        <w:t>(...)</w:t>
      </w:r>
    </w:p>
    <w:p w:rsidR="007259F2" w:rsidRDefault="00E655B4">
      <w:pPr>
        <w:ind w:left="2978" w:right="991"/>
        <w:jc w:val="both"/>
        <w:rPr>
          <w:sz w:val="20"/>
        </w:rPr>
      </w:pPr>
      <w:r>
        <w:rPr>
          <w:sz w:val="20"/>
        </w:rPr>
        <w:t>De outra sorte, a opção do legislador de eleger o Ministério Público como o órgão legitimado, em caráter exclusivo, para a propositura da ação de improbidade parece privilegiar a ideia de que tais sanções sejam pleiteadas por uma instituição de Estado, permanente, autônoma e independente, a</w:t>
      </w:r>
      <w:r>
        <w:rPr>
          <w:spacing w:val="80"/>
          <w:sz w:val="20"/>
        </w:rPr>
        <w:t xml:space="preserve"> </w:t>
      </w:r>
      <w:r>
        <w:rPr>
          <w:sz w:val="20"/>
        </w:rPr>
        <w:t>quem incumbe a defesa da ordem jurídica, do regime democrático e dos interesses sociais e individuais indisponíveis, de forma a mitigar a possibilidade de que as relações políticas – sejam elas de afinidade ou</w:t>
      </w:r>
      <w:r>
        <w:rPr>
          <w:spacing w:val="40"/>
          <w:sz w:val="20"/>
        </w:rPr>
        <w:t xml:space="preserve"> </w:t>
      </w:r>
      <w:r>
        <w:rPr>
          <w:sz w:val="20"/>
        </w:rPr>
        <w:t>aversão – subvertam o nobre intuito do instituto.</w:t>
      </w:r>
    </w:p>
    <w:p w:rsidR="007259F2" w:rsidRDefault="00E655B4">
      <w:pPr>
        <w:pStyle w:val="Corpodetexto"/>
        <w:spacing w:before="228"/>
        <w:ind w:right="988"/>
      </w:pPr>
      <w:r>
        <w:t xml:space="preserve">Vale dizer, a potencialidade de restrição aos direitos individuais daquele eventualmente condenado por ato ímprobo, justificaria, </w:t>
      </w:r>
      <w:r>
        <w:rPr>
          <w:i/>
        </w:rPr>
        <w:t>per si</w:t>
      </w:r>
      <w:r>
        <w:t>, a adoção de um sistema de responsabilização ainda mais restrito com a legitimidade ativa de apenas um ente, o Ministério Público. Outra não é a lição de Daniel</w:t>
      </w:r>
      <w:r>
        <w:rPr>
          <w:spacing w:val="-1"/>
        </w:rPr>
        <w:t xml:space="preserve"> </w:t>
      </w:r>
      <w:r>
        <w:t>Amorim</w:t>
      </w:r>
      <w:r>
        <w:rPr>
          <w:spacing w:val="-4"/>
        </w:rPr>
        <w:t xml:space="preserve"> </w:t>
      </w:r>
      <w:r>
        <w:t>Assumpção Neves:</w:t>
      </w:r>
    </w:p>
    <w:p w:rsidR="007259F2" w:rsidRDefault="007259F2">
      <w:pPr>
        <w:pStyle w:val="Corpodetexto"/>
        <w:spacing w:before="2"/>
        <w:ind w:left="0" w:firstLine="0"/>
        <w:jc w:val="left"/>
      </w:pPr>
    </w:p>
    <w:p w:rsidR="007259F2" w:rsidRDefault="00E655B4">
      <w:pPr>
        <w:ind w:left="2978" w:right="992"/>
        <w:jc w:val="both"/>
        <w:rPr>
          <w:sz w:val="20"/>
        </w:rPr>
      </w:pPr>
      <w:r>
        <w:rPr>
          <w:sz w:val="20"/>
        </w:rPr>
        <w:t>Conforme já devidamente analisado no Capítulo 7, o legislador consagrou a natureza sancionatória da ação de improbidade administrativa e, mesmo que contraditoriamente, previu que esse tipo de demanda não serviria mais à</w:t>
      </w:r>
      <w:r>
        <w:rPr>
          <w:spacing w:val="40"/>
          <w:sz w:val="20"/>
        </w:rPr>
        <w:t xml:space="preserve"> </w:t>
      </w:r>
      <w:r>
        <w:rPr>
          <w:sz w:val="20"/>
        </w:rPr>
        <w:t>tutela do patrimônio público, o que deveria ser buscado em ação civil</w:t>
      </w:r>
      <w:r>
        <w:rPr>
          <w:spacing w:val="40"/>
          <w:sz w:val="20"/>
        </w:rPr>
        <w:t xml:space="preserve"> </w:t>
      </w:r>
      <w:r>
        <w:rPr>
          <w:sz w:val="20"/>
        </w:rPr>
        <w:t xml:space="preserve">pública. Também conforme já defendido, a aplicação das sanções previstas em lei não tutela o patrimônio público nem qualquer outra espécie de direito </w:t>
      </w:r>
      <w:r>
        <w:rPr>
          <w:spacing w:val="-2"/>
          <w:sz w:val="20"/>
        </w:rPr>
        <w:t>difuso.</w:t>
      </w:r>
    </w:p>
    <w:p w:rsidR="007259F2" w:rsidRDefault="00E655B4">
      <w:pPr>
        <w:spacing w:before="1"/>
        <w:ind w:left="2978" w:right="994"/>
        <w:jc w:val="both"/>
        <w:rPr>
          <w:sz w:val="20"/>
        </w:rPr>
      </w:pPr>
      <w:r>
        <w:rPr>
          <w:sz w:val="20"/>
        </w:rPr>
        <w:t>Diante de tais premissas, parece razoável limitar os pedidos sancionatórios à legitimidade</w:t>
      </w:r>
      <w:r>
        <w:rPr>
          <w:spacing w:val="20"/>
          <w:sz w:val="20"/>
        </w:rPr>
        <w:t xml:space="preserve"> </w:t>
      </w:r>
      <w:r>
        <w:rPr>
          <w:sz w:val="20"/>
        </w:rPr>
        <w:t>ativa</w:t>
      </w:r>
      <w:r>
        <w:rPr>
          <w:spacing w:val="20"/>
          <w:sz w:val="20"/>
        </w:rPr>
        <w:t xml:space="preserve"> </w:t>
      </w:r>
      <w:r>
        <w:rPr>
          <w:sz w:val="20"/>
        </w:rPr>
        <w:t>do</w:t>
      </w:r>
      <w:r>
        <w:rPr>
          <w:spacing w:val="20"/>
          <w:sz w:val="20"/>
        </w:rPr>
        <w:t xml:space="preserve"> </w:t>
      </w:r>
      <w:r>
        <w:rPr>
          <w:sz w:val="20"/>
        </w:rPr>
        <w:t>Ministério</w:t>
      </w:r>
      <w:r>
        <w:rPr>
          <w:spacing w:val="21"/>
          <w:sz w:val="20"/>
        </w:rPr>
        <w:t xml:space="preserve"> </w:t>
      </w:r>
      <w:r>
        <w:rPr>
          <w:sz w:val="20"/>
        </w:rPr>
        <w:t>Público,</w:t>
      </w:r>
      <w:r>
        <w:rPr>
          <w:spacing w:val="21"/>
          <w:sz w:val="20"/>
        </w:rPr>
        <w:t xml:space="preserve"> </w:t>
      </w:r>
      <w:r>
        <w:rPr>
          <w:sz w:val="20"/>
        </w:rPr>
        <w:t>que,</w:t>
      </w:r>
      <w:r>
        <w:rPr>
          <w:spacing w:val="21"/>
          <w:sz w:val="20"/>
        </w:rPr>
        <w:t xml:space="preserve"> </w:t>
      </w:r>
      <w:r>
        <w:rPr>
          <w:sz w:val="20"/>
        </w:rPr>
        <w:t>eventualmente,</w:t>
      </w:r>
      <w:r>
        <w:rPr>
          <w:spacing w:val="21"/>
          <w:sz w:val="20"/>
        </w:rPr>
        <w:t xml:space="preserve"> </w:t>
      </w:r>
      <w:r>
        <w:rPr>
          <w:sz w:val="20"/>
        </w:rPr>
        <w:t>poderá,</w:t>
      </w:r>
      <w:r>
        <w:rPr>
          <w:spacing w:val="21"/>
          <w:sz w:val="20"/>
        </w:rPr>
        <w:t xml:space="preserve"> </w:t>
      </w:r>
      <w:r>
        <w:rPr>
          <w:spacing w:val="-4"/>
          <w:sz w:val="20"/>
        </w:rPr>
        <w:t>além</w:t>
      </w:r>
    </w:p>
    <w:p w:rsidR="007259F2" w:rsidRDefault="007259F2">
      <w:pPr>
        <w:jc w:val="both"/>
        <w:rPr>
          <w:sz w:val="20"/>
        </w:rPr>
        <w:sectPr w:rsidR="007259F2">
          <w:pgSz w:w="11910" w:h="16840"/>
          <w:pgMar w:top="1320" w:right="708" w:bottom="1160" w:left="992" w:header="0" w:footer="962" w:gutter="0"/>
          <w:cols w:space="720"/>
        </w:sectPr>
      </w:pPr>
    </w:p>
    <w:p w:rsidR="007259F2" w:rsidRDefault="00E655B4">
      <w:pPr>
        <w:spacing w:before="71"/>
        <w:ind w:left="2978" w:right="990"/>
        <w:jc w:val="both"/>
        <w:rPr>
          <w:sz w:val="20"/>
        </w:rPr>
      </w:pPr>
      <w:r>
        <w:rPr>
          <w:sz w:val="20"/>
        </w:rPr>
        <w:lastRenderedPageBreak/>
        <w:t>deles,</w:t>
      </w:r>
      <w:r>
        <w:rPr>
          <w:spacing w:val="-2"/>
          <w:sz w:val="20"/>
        </w:rPr>
        <w:t xml:space="preserve"> </w:t>
      </w:r>
      <w:r>
        <w:rPr>
          <w:sz w:val="20"/>
        </w:rPr>
        <w:t>elaborar</w:t>
      </w:r>
      <w:r>
        <w:rPr>
          <w:spacing w:val="-3"/>
          <w:sz w:val="20"/>
        </w:rPr>
        <w:t xml:space="preserve"> </w:t>
      </w:r>
      <w:r>
        <w:rPr>
          <w:sz w:val="20"/>
        </w:rPr>
        <w:t>pedidos</w:t>
      </w:r>
      <w:r>
        <w:rPr>
          <w:spacing w:val="-2"/>
          <w:sz w:val="20"/>
        </w:rPr>
        <w:t xml:space="preserve"> </w:t>
      </w:r>
      <w:r>
        <w:rPr>
          <w:sz w:val="20"/>
        </w:rPr>
        <w:t>de</w:t>
      </w:r>
      <w:r>
        <w:rPr>
          <w:spacing w:val="-2"/>
          <w:sz w:val="20"/>
        </w:rPr>
        <w:t xml:space="preserve"> </w:t>
      </w:r>
      <w:r>
        <w:rPr>
          <w:sz w:val="20"/>
        </w:rPr>
        <w:t>outras</w:t>
      </w:r>
      <w:r>
        <w:rPr>
          <w:spacing w:val="-2"/>
          <w:sz w:val="20"/>
        </w:rPr>
        <w:t xml:space="preserve"> </w:t>
      </w:r>
      <w:r>
        <w:rPr>
          <w:sz w:val="20"/>
        </w:rPr>
        <w:t>naturezas.</w:t>
      </w:r>
      <w:r>
        <w:rPr>
          <w:spacing w:val="-2"/>
          <w:sz w:val="20"/>
        </w:rPr>
        <w:t xml:space="preserve"> </w:t>
      </w:r>
      <w:r>
        <w:rPr>
          <w:sz w:val="20"/>
        </w:rPr>
        <w:t>A</w:t>
      </w:r>
      <w:r>
        <w:rPr>
          <w:spacing w:val="-4"/>
          <w:sz w:val="20"/>
        </w:rPr>
        <w:t xml:space="preserve"> </w:t>
      </w:r>
      <w:r>
        <w:rPr>
          <w:sz w:val="20"/>
        </w:rPr>
        <w:t>pessoa</w:t>
      </w:r>
      <w:r>
        <w:rPr>
          <w:spacing w:val="-2"/>
          <w:sz w:val="20"/>
        </w:rPr>
        <w:t xml:space="preserve"> </w:t>
      </w:r>
      <w:r>
        <w:rPr>
          <w:sz w:val="20"/>
        </w:rPr>
        <w:t>jurídica</w:t>
      </w:r>
      <w:r>
        <w:rPr>
          <w:spacing w:val="-1"/>
          <w:sz w:val="20"/>
        </w:rPr>
        <w:t xml:space="preserve"> </w:t>
      </w:r>
      <w:r>
        <w:rPr>
          <w:sz w:val="20"/>
        </w:rPr>
        <w:t>interessada,</w:t>
      </w:r>
      <w:r>
        <w:rPr>
          <w:spacing w:val="-1"/>
          <w:sz w:val="20"/>
        </w:rPr>
        <w:t xml:space="preserve"> </w:t>
      </w:r>
      <w:r>
        <w:rPr>
          <w:sz w:val="20"/>
        </w:rPr>
        <w:t>por outro lado, continua legitimada à propositura da ação civil pública, por meio da qual poderá, de forma ampla e completa, tutelar o patrimônio público. (NEVES, 2022, p. 182)</w:t>
      </w:r>
    </w:p>
    <w:p w:rsidR="007259F2" w:rsidRDefault="007259F2">
      <w:pPr>
        <w:pStyle w:val="Corpodetexto"/>
        <w:spacing w:before="46"/>
        <w:ind w:left="0" w:firstLine="0"/>
        <w:jc w:val="left"/>
        <w:rPr>
          <w:sz w:val="20"/>
        </w:rPr>
      </w:pPr>
    </w:p>
    <w:p w:rsidR="007259F2" w:rsidRDefault="00E655B4">
      <w:pPr>
        <w:pStyle w:val="Corpodetexto"/>
        <w:ind w:right="989"/>
      </w:pPr>
      <w:r>
        <w:t>É inegável que a natureza civil da ação de improbidade administrativa, somada a gravidade</w:t>
      </w:r>
      <w:r>
        <w:rPr>
          <w:spacing w:val="-1"/>
        </w:rPr>
        <w:t xml:space="preserve"> </w:t>
      </w:r>
      <w:r>
        <w:t>das sanções aplicáveis, situa</w:t>
      </w:r>
      <w:r>
        <w:rPr>
          <w:spacing w:val="-1"/>
        </w:rPr>
        <w:t xml:space="preserve"> </w:t>
      </w:r>
      <w:r>
        <w:t>referida</w:t>
      </w:r>
      <w:r>
        <w:rPr>
          <w:spacing w:val="-1"/>
        </w:rPr>
        <w:t xml:space="preserve"> </w:t>
      </w:r>
      <w:r>
        <w:t xml:space="preserve">ação no campo do direito administrativo sancionador, em que necessária a observância de procedimentos rígidos e maior influência dos direitos e garantias fundamentais, mas seria, tal gravidade, portanto, fundamento idôneo constitucionalmente à exclusão da iniciativa do ente jurídico </w:t>
      </w:r>
      <w:r>
        <w:rPr>
          <w:spacing w:val="-2"/>
        </w:rPr>
        <w:t>interessado?</w:t>
      </w:r>
    </w:p>
    <w:p w:rsidR="007259F2" w:rsidRDefault="00E655B4">
      <w:pPr>
        <w:pStyle w:val="Corpodetexto"/>
        <w:ind w:right="991"/>
      </w:pPr>
      <w:r>
        <w:t>Ressalte-se, ainda, que há, na doutrina, quem entenda que a gravidade de tais sanções é tamanha que determina uma aproximação ainda mais intrincada entre direito sancionador e direito penal, ao ponto de afastar a natureza cível da referida responsabilização. Esse é o posicionamento, por exemplo, do Ministro Gilmar Mendes, exposto tanto no julgamento das</w:t>
      </w:r>
      <w:r>
        <w:rPr>
          <w:spacing w:val="-7"/>
        </w:rPr>
        <w:t xml:space="preserve"> </w:t>
      </w:r>
      <w:r>
        <w:t>ADI’s 7042 e 7043, quanto em obra doutrinária:</w:t>
      </w:r>
    </w:p>
    <w:p w:rsidR="007259F2" w:rsidRDefault="007259F2">
      <w:pPr>
        <w:pStyle w:val="Corpodetexto"/>
        <w:spacing w:before="2"/>
        <w:ind w:left="0" w:firstLine="0"/>
        <w:jc w:val="left"/>
      </w:pPr>
    </w:p>
    <w:p w:rsidR="007259F2" w:rsidRDefault="00E655B4">
      <w:pPr>
        <w:spacing w:before="1"/>
        <w:ind w:left="2978" w:right="996"/>
        <w:jc w:val="both"/>
        <w:rPr>
          <w:sz w:val="20"/>
        </w:rPr>
      </w:pPr>
      <w:r>
        <w:rPr>
          <w:sz w:val="20"/>
        </w:rPr>
        <w:t>Salientei</w:t>
      </w:r>
      <w:r>
        <w:rPr>
          <w:spacing w:val="-5"/>
          <w:sz w:val="20"/>
        </w:rPr>
        <w:t xml:space="preserve"> </w:t>
      </w:r>
      <w:r>
        <w:rPr>
          <w:sz w:val="20"/>
        </w:rPr>
        <w:t>essa</w:t>
      </w:r>
      <w:r>
        <w:rPr>
          <w:spacing w:val="-4"/>
          <w:sz w:val="20"/>
        </w:rPr>
        <w:t xml:space="preserve"> </w:t>
      </w:r>
      <w:r>
        <w:rPr>
          <w:sz w:val="20"/>
        </w:rPr>
        <w:t>superposição</w:t>
      </w:r>
      <w:r>
        <w:rPr>
          <w:spacing w:val="-3"/>
          <w:sz w:val="20"/>
        </w:rPr>
        <w:t xml:space="preserve"> </w:t>
      </w:r>
      <w:r>
        <w:rPr>
          <w:sz w:val="20"/>
        </w:rPr>
        <w:t>de</w:t>
      </w:r>
      <w:r>
        <w:rPr>
          <w:spacing w:val="-4"/>
          <w:sz w:val="20"/>
        </w:rPr>
        <w:t xml:space="preserve"> </w:t>
      </w:r>
      <w:r>
        <w:rPr>
          <w:sz w:val="20"/>
        </w:rPr>
        <w:t>regimes</w:t>
      </w:r>
      <w:r>
        <w:rPr>
          <w:spacing w:val="-5"/>
          <w:sz w:val="20"/>
        </w:rPr>
        <w:t xml:space="preserve"> </w:t>
      </w:r>
      <w:r>
        <w:rPr>
          <w:sz w:val="20"/>
        </w:rPr>
        <w:t>de</w:t>
      </w:r>
      <w:r>
        <w:rPr>
          <w:spacing w:val="-4"/>
          <w:sz w:val="20"/>
        </w:rPr>
        <w:t xml:space="preserve"> </w:t>
      </w:r>
      <w:r>
        <w:rPr>
          <w:sz w:val="20"/>
        </w:rPr>
        <w:t>responsabilidade</w:t>
      </w:r>
      <w:r>
        <w:rPr>
          <w:spacing w:val="-2"/>
          <w:sz w:val="20"/>
        </w:rPr>
        <w:t xml:space="preserve"> </w:t>
      </w:r>
      <w:r>
        <w:rPr>
          <w:sz w:val="20"/>
        </w:rPr>
        <w:t>em</w:t>
      </w:r>
      <w:r>
        <w:rPr>
          <w:spacing w:val="-6"/>
          <w:sz w:val="20"/>
        </w:rPr>
        <w:t xml:space="preserve"> </w:t>
      </w:r>
      <w:r>
        <w:rPr>
          <w:sz w:val="20"/>
        </w:rPr>
        <w:t>voto</w:t>
      </w:r>
      <w:r>
        <w:rPr>
          <w:spacing w:val="-3"/>
          <w:sz w:val="20"/>
        </w:rPr>
        <w:t xml:space="preserve"> </w:t>
      </w:r>
      <w:r>
        <w:rPr>
          <w:sz w:val="20"/>
        </w:rPr>
        <w:t xml:space="preserve">proferido no julgamento da Reclamação n. 2.138 (acórdão publicado no DJe de </w:t>
      </w:r>
      <w:r>
        <w:rPr>
          <w:spacing w:val="-2"/>
          <w:sz w:val="20"/>
        </w:rPr>
        <w:t>18/04/2008):</w:t>
      </w:r>
    </w:p>
    <w:p w:rsidR="007259F2" w:rsidRDefault="00E655B4">
      <w:pPr>
        <w:ind w:left="2978" w:right="988"/>
        <w:jc w:val="both"/>
        <w:rPr>
          <w:sz w:val="20"/>
        </w:rPr>
      </w:pPr>
      <w:r>
        <w:rPr>
          <w:sz w:val="20"/>
        </w:rPr>
        <w:t>Em</w:t>
      </w:r>
      <w:r>
        <w:rPr>
          <w:spacing w:val="-3"/>
          <w:sz w:val="20"/>
        </w:rPr>
        <w:t xml:space="preserve"> </w:t>
      </w:r>
      <w:r>
        <w:rPr>
          <w:sz w:val="20"/>
        </w:rPr>
        <w:t>verdade, manifestei-me há muito sobre o tema, cujo estudo, em</w:t>
      </w:r>
      <w:r>
        <w:rPr>
          <w:spacing w:val="-3"/>
          <w:sz w:val="20"/>
        </w:rPr>
        <w:t xml:space="preserve"> </w:t>
      </w:r>
      <w:r>
        <w:rPr>
          <w:sz w:val="20"/>
        </w:rPr>
        <w:t>coautoria com o professor Arnoldo Wald, publicado em março de 1997 no jornal Correio Braziliense – Competência para julgar improbidade administrativa -. (...) Naquele estudo de 1997, firmou-se posicionamento no sentido de que as ações de improbidade ajuizadas contra as referidas autoridades deveriam observar a regra de competência fixada no artigo 102, I, c , da Constituição. Registrou-se, ainda, que tal</w:t>
      </w:r>
      <w:r>
        <w:rPr>
          <w:spacing w:val="-1"/>
          <w:sz w:val="20"/>
        </w:rPr>
        <w:t xml:space="preserve"> </w:t>
      </w:r>
      <w:r>
        <w:rPr>
          <w:sz w:val="20"/>
        </w:rPr>
        <w:t>prerrogativa</w:t>
      </w:r>
      <w:r>
        <w:rPr>
          <w:spacing w:val="-1"/>
          <w:sz w:val="20"/>
        </w:rPr>
        <w:t xml:space="preserve"> </w:t>
      </w:r>
      <w:r>
        <w:rPr>
          <w:sz w:val="20"/>
        </w:rPr>
        <w:t>constitucional</w:t>
      </w:r>
      <w:r>
        <w:rPr>
          <w:spacing w:val="-1"/>
          <w:sz w:val="20"/>
        </w:rPr>
        <w:t xml:space="preserve"> </w:t>
      </w:r>
      <w:r>
        <w:rPr>
          <w:sz w:val="20"/>
        </w:rPr>
        <w:t>de foro decorreria</w:t>
      </w:r>
      <w:r>
        <w:rPr>
          <w:spacing w:val="-1"/>
          <w:sz w:val="20"/>
        </w:rPr>
        <w:t xml:space="preserve"> </w:t>
      </w:r>
      <w:r>
        <w:rPr>
          <w:sz w:val="20"/>
        </w:rPr>
        <w:t>não em razão de qualquer suspeição contra o juiz de primeiro grau, mas, fundamentalmente, em decorrência do significado da decisão no quadro político-institucional. Afirmou-se, ademais, que a simples possibilidade de suspensão de direitos políticos, ou a perda de função pública, isoladamente consideradas, seria suficiente para demonstrar (...) o forte conteúdo penal, com incontestáveis aspectos políticos da ação de improbidade. Nesse ponto, seguindo a</w:t>
      </w:r>
      <w:r>
        <w:rPr>
          <w:spacing w:val="-1"/>
          <w:sz w:val="20"/>
        </w:rPr>
        <w:t xml:space="preserve"> </w:t>
      </w:r>
      <w:r>
        <w:rPr>
          <w:sz w:val="20"/>
        </w:rPr>
        <w:t>doutrina, observou-se</w:t>
      </w:r>
      <w:r>
        <w:rPr>
          <w:spacing w:val="-1"/>
          <w:sz w:val="20"/>
        </w:rPr>
        <w:t xml:space="preserve"> </w:t>
      </w:r>
      <w:r>
        <w:rPr>
          <w:sz w:val="20"/>
        </w:rPr>
        <w:t>que</w:t>
      </w:r>
      <w:r>
        <w:rPr>
          <w:spacing w:val="-1"/>
          <w:sz w:val="20"/>
        </w:rPr>
        <w:t xml:space="preserve"> </w:t>
      </w:r>
      <w:r>
        <w:rPr>
          <w:sz w:val="20"/>
        </w:rPr>
        <w:t>a</w:t>
      </w:r>
      <w:r>
        <w:rPr>
          <w:spacing w:val="-1"/>
          <w:sz w:val="20"/>
        </w:rPr>
        <w:t xml:space="preserve"> </w:t>
      </w:r>
      <w:r>
        <w:rPr>
          <w:sz w:val="20"/>
        </w:rPr>
        <w:t>sentença condenatória</w:t>
      </w:r>
      <w:r>
        <w:rPr>
          <w:spacing w:val="-1"/>
          <w:sz w:val="20"/>
        </w:rPr>
        <w:t xml:space="preserve"> </w:t>
      </w:r>
      <w:r>
        <w:rPr>
          <w:sz w:val="20"/>
        </w:rPr>
        <w:t>proferida</w:t>
      </w:r>
      <w:r>
        <w:rPr>
          <w:spacing w:val="-1"/>
          <w:sz w:val="20"/>
        </w:rPr>
        <w:t xml:space="preserve"> </w:t>
      </w:r>
      <w:r>
        <w:rPr>
          <w:sz w:val="20"/>
        </w:rPr>
        <w:t>nessa peculiar ação civil é dotada de efeitos que, em alguns aspectos, superam aqueles</w:t>
      </w:r>
      <w:r>
        <w:rPr>
          <w:spacing w:val="-5"/>
          <w:sz w:val="20"/>
        </w:rPr>
        <w:t xml:space="preserve"> </w:t>
      </w:r>
      <w:r>
        <w:rPr>
          <w:sz w:val="20"/>
        </w:rPr>
        <w:t>atribuídos</w:t>
      </w:r>
      <w:r>
        <w:rPr>
          <w:spacing w:val="-5"/>
          <w:sz w:val="20"/>
        </w:rPr>
        <w:t xml:space="preserve"> </w:t>
      </w:r>
      <w:r>
        <w:rPr>
          <w:sz w:val="20"/>
        </w:rPr>
        <w:t>à</w:t>
      </w:r>
      <w:r>
        <w:rPr>
          <w:spacing w:val="-4"/>
          <w:sz w:val="20"/>
        </w:rPr>
        <w:t xml:space="preserve"> </w:t>
      </w:r>
      <w:r>
        <w:rPr>
          <w:sz w:val="20"/>
        </w:rPr>
        <w:t>sentença</w:t>
      </w:r>
      <w:r>
        <w:rPr>
          <w:spacing w:val="-1"/>
          <w:sz w:val="20"/>
        </w:rPr>
        <w:t xml:space="preserve"> </w:t>
      </w:r>
      <w:r>
        <w:rPr>
          <w:sz w:val="20"/>
        </w:rPr>
        <w:t>penal</w:t>
      </w:r>
      <w:r>
        <w:rPr>
          <w:spacing w:val="-4"/>
          <w:sz w:val="20"/>
        </w:rPr>
        <w:t xml:space="preserve"> </w:t>
      </w:r>
      <w:r>
        <w:rPr>
          <w:sz w:val="20"/>
        </w:rPr>
        <w:t>condenatória,</w:t>
      </w:r>
      <w:r>
        <w:rPr>
          <w:spacing w:val="-4"/>
          <w:sz w:val="20"/>
        </w:rPr>
        <w:t xml:space="preserve"> </w:t>
      </w:r>
      <w:r>
        <w:rPr>
          <w:sz w:val="20"/>
        </w:rPr>
        <w:t>sobretudo</w:t>
      </w:r>
      <w:r>
        <w:rPr>
          <w:spacing w:val="-3"/>
          <w:sz w:val="20"/>
        </w:rPr>
        <w:t xml:space="preserve"> </w:t>
      </w:r>
      <w:r>
        <w:rPr>
          <w:sz w:val="20"/>
        </w:rPr>
        <w:t>na</w:t>
      </w:r>
      <w:r>
        <w:rPr>
          <w:spacing w:val="-4"/>
          <w:sz w:val="20"/>
        </w:rPr>
        <w:t xml:space="preserve"> </w:t>
      </w:r>
      <w:r>
        <w:rPr>
          <w:sz w:val="20"/>
        </w:rPr>
        <w:t>perspectiva</w:t>
      </w:r>
      <w:r>
        <w:rPr>
          <w:spacing w:val="-4"/>
          <w:sz w:val="20"/>
        </w:rPr>
        <w:t xml:space="preserve"> </w:t>
      </w:r>
      <w:r>
        <w:rPr>
          <w:sz w:val="20"/>
        </w:rPr>
        <w:t>do equilíbrio jurídico institucional. Tal observação, registrou-se, daria razão àqueles que entendem que, sob a roupagem da ação civil de improbidade, o legislador acabou por elencar, na Lei 8.429/92, uma série de delitos que, teoricamente, seriam crimes de responsabilidade e não crimes comuns. Lembrou-se, também, que muitos dos ilícitos descritos na Lei de</w:t>
      </w:r>
      <w:r>
        <w:rPr>
          <w:spacing w:val="80"/>
          <w:sz w:val="20"/>
        </w:rPr>
        <w:t xml:space="preserve"> </w:t>
      </w:r>
      <w:r>
        <w:rPr>
          <w:sz w:val="20"/>
        </w:rPr>
        <w:t>Improbidade configuram, igualmente, ilícitos penais, que podem</w:t>
      </w:r>
      <w:r>
        <w:rPr>
          <w:spacing w:val="-1"/>
          <w:sz w:val="20"/>
        </w:rPr>
        <w:t xml:space="preserve"> </w:t>
      </w:r>
      <w:r>
        <w:rPr>
          <w:sz w:val="20"/>
        </w:rPr>
        <w:t>dar ensejo à perda do cargo ou da função pública, como efeito da condenação, como fica evidenciado pelo simples confronto entre o elenco de atos de improbidade, constante do art. 9º da Lei 8.429/92, com os delitos contra a Administração. Tal coincidência, afirmou-se, (...) evidenciaria a possibilidade de incongruências entre as decisões na esfera criminal e na ação civil com sé- rias consequências para todo o sistema jurídico. Decorridos mais de cinco anos da publicação do referido estudo, podemos verificar hoje que as reflexões ali colocadas jamais poderiam ser consideradas meras especulações abstratas. Multiplicam-se as ações de improbidade ajuizadas em Primeira Instância, com o propósito de afastar de suas funções autoridades que gozam de prerrogativa constitucional de foro. Hoje, tenho a firme convicção de que os atos de improbidade descritos na Lei 8.429 constituem autênticos crimes</w:t>
      </w:r>
      <w:r>
        <w:rPr>
          <w:spacing w:val="40"/>
          <w:sz w:val="20"/>
        </w:rPr>
        <w:t xml:space="preserve"> </w:t>
      </w:r>
      <w:r>
        <w:rPr>
          <w:sz w:val="20"/>
        </w:rPr>
        <w:t>de responsabilidade.</w:t>
      </w:r>
    </w:p>
    <w:p w:rsidR="007259F2" w:rsidRDefault="00E655B4">
      <w:pPr>
        <w:ind w:left="2978" w:right="992"/>
        <w:jc w:val="both"/>
        <w:rPr>
          <w:sz w:val="20"/>
        </w:rPr>
      </w:pPr>
      <w:r>
        <w:rPr>
          <w:sz w:val="20"/>
        </w:rPr>
        <w:t>Essa constatação da gravidade do regime sancionatório dos atos de improbidade administrativa estimulou, ao longo das últimas décadas, o aperfeiçoamento</w:t>
      </w:r>
      <w:r>
        <w:rPr>
          <w:spacing w:val="67"/>
          <w:w w:val="150"/>
          <w:sz w:val="20"/>
        </w:rPr>
        <w:t xml:space="preserve"> </w:t>
      </w:r>
      <w:r>
        <w:rPr>
          <w:sz w:val="20"/>
        </w:rPr>
        <w:t>(pelas</w:t>
      </w:r>
      <w:r>
        <w:rPr>
          <w:spacing w:val="66"/>
          <w:w w:val="150"/>
          <w:sz w:val="20"/>
        </w:rPr>
        <w:t xml:space="preserve"> </w:t>
      </w:r>
      <w:r>
        <w:rPr>
          <w:sz w:val="20"/>
        </w:rPr>
        <w:t>vias</w:t>
      </w:r>
      <w:r>
        <w:rPr>
          <w:spacing w:val="68"/>
          <w:w w:val="150"/>
          <w:sz w:val="20"/>
        </w:rPr>
        <w:t xml:space="preserve"> </w:t>
      </w:r>
      <w:r>
        <w:rPr>
          <w:sz w:val="20"/>
        </w:rPr>
        <w:t>jurisprudencial</w:t>
      </w:r>
      <w:r>
        <w:rPr>
          <w:spacing w:val="68"/>
          <w:w w:val="150"/>
          <w:sz w:val="20"/>
        </w:rPr>
        <w:t xml:space="preserve"> </w:t>
      </w:r>
      <w:r>
        <w:rPr>
          <w:sz w:val="20"/>
        </w:rPr>
        <w:t>e</w:t>
      </w:r>
      <w:r>
        <w:rPr>
          <w:spacing w:val="67"/>
          <w:w w:val="150"/>
          <w:sz w:val="20"/>
        </w:rPr>
        <w:t xml:space="preserve"> </w:t>
      </w:r>
      <w:r>
        <w:rPr>
          <w:sz w:val="20"/>
        </w:rPr>
        <w:t>legislativa)</w:t>
      </w:r>
      <w:r>
        <w:rPr>
          <w:spacing w:val="67"/>
          <w:w w:val="150"/>
          <w:sz w:val="20"/>
        </w:rPr>
        <w:t xml:space="preserve"> </w:t>
      </w:r>
      <w:r>
        <w:rPr>
          <w:sz w:val="20"/>
        </w:rPr>
        <w:t>da</w:t>
      </w:r>
      <w:r>
        <w:rPr>
          <w:spacing w:val="68"/>
          <w:w w:val="150"/>
          <w:sz w:val="20"/>
        </w:rPr>
        <w:t xml:space="preserve"> </w:t>
      </w:r>
      <w:r>
        <w:rPr>
          <w:spacing w:val="-2"/>
          <w:sz w:val="20"/>
        </w:rPr>
        <w:t>estrutura</w:t>
      </w:r>
    </w:p>
    <w:p w:rsidR="007259F2" w:rsidRDefault="007259F2">
      <w:pPr>
        <w:jc w:val="both"/>
        <w:rPr>
          <w:sz w:val="20"/>
        </w:rPr>
        <w:sectPr w:rsidR="007259F2">
          <w:pgSz w:w="11910" w:h="16840"/>
          <w:pgMar w:top="1320" w:right="708" w:bottom="1160" w:left="992" w:header="0" w:footer="962" w:gutter="0"/>
          <w:cols w:space="720"/>
        </w:sectPr>
      </w:pPr>
    </w:p>
    <w:p w:rsidR="007259F2" w:rsidRDefault="00E655B4">
      <w:pPr>
        <w:spacing w:before="71"/>
        <w:ind w:left="2978" w:right="988"/>
        <w:jc w:val="both"/>
        <w:rPr>
          <w:sz w:val="20"/>
        </w:rPr>
      </w:pPr>
      <w:r>
        <w:rPr>
          <w:sz w:val="20"/>
        </w:rPr>
        <w:lastRenderedPageBreak/>
        <w:t xml:space="preserve">processual do regime da improbidade administrativa. Nesse sentido, a Lei 13.420/2021 afirmou o caráter sancionatório da norma, </w:t>
      </w:r>
      <w:r>
        <w:rPr>
          <w:b/>
          <w:sz w:val="20"/>
        </w:rPr>
        <w:t xml:space="preserve">apartando-a definitivamente </w:t>
      </w:r>
      <w:r>
        <w:rPr>
          <w:sz w:val="20"/>
        </w:rPr>
        <w:t xml:space="preserve">das ações civis, tanto em relação à principiologia quanto no que concerne à finalidade dos institutos. (MENDES; WALD, 1998, grifo do </w:t>
      </w:r>
      <w:r>
        <w:rPr>
          <w:spacing w:val="-2"/>
          <w:sz w:val="20"/>
        </w:rPr>
        <w:t>autor)</w:t>
      </w:r>
    </w:p>
    <w:p w:rsidR="007259F2" w:rsidRDefault="00E655B4">
      <w:pPr>
        <w:pStyle w:val="Corpodetexto"/>
        <w:spacing w:before="229"/>
        <w:ind w:right="995"/>
      </w:pPr>
      <w:r>
        <w:t>No entanto, não nos parece que a gravidade das sanções aplicáveis possua o condão de justificar a legitimação exclusiva, onde a própria Constituição não o fez.</w:t>
      </w:r>
    </w:p>
    <w:p w:rsidR="007259F2" w:rsidRDefault="00E655B4">
      <w:pPr>
        <w:pStyle w:val="Corpodetexto"/>
        <w:ind w:right="988"/>
      </w:pPr>
      <w:r>
        <w:t>Até porque, como bem ressaltado nos debates do julgamento em questão, especialmente pelo Ministro, ora aposentado, Ricardo Lewandowski, a aplicação, ou não, das sanções e sua gradação ficará, a cargo do juiz competente para causa, não diferindo em sua análise a pessoa jurídica responsável pela propositura da ação.</w:t>
      </w:r>
    </w:p>
    <w:p w:rsidR="007259F2" w:rsidRDefault="00E655B4">
      <w:pPr>
        <w:pStyle w:val="Corpodetexto"/>
        <w:ind w:right="994"/>
      </w:pPr>
      <w:r>
        <w:t>Outra relevante justificativa seria a premente necessidade de se impedir a utilização desvirtuada, abusiva e política da ação de improbidade. Pelos debates registrados nas notas taquigráficas, é de fácil percepção a preocupação e o incômodo</w:t>
      </w:r>
      <w:r>
        <w:rPr>
          <w:spacing w:val="40"/>
        </w:rPr>
        <w:t xml:space="preserve"> </w:t>
      </w:r>
      <w:r>
        <w:t>dos julgadores com a possibilidade de ajuizamento de ações cujas sanções podem</w:t>
      </w:r>
      <w:r>
        <w:rPr>
          <w:spacing w:val="40"/>
        </w:rPr>
        <w:t xml:space="preserve"> </w:t>
      </w:r>
      <w:r>
        <w:t>chegar até a perda do cargo ou função pública e suspensão dos direitos.</w:t>
      </w:r>
    </w:p>
    <w:p w:rsidR="007259F2" w:rsidRDefault="00E655B4">
      <w:pPr>
        <w:pStyle w:val="Corpodetexto"/>
        <w:spacing w:before="1"/>
        <w:ind w:right="991"/>
      </w:pPr>
      <w:r>
        <w:t>Apesar de louvável a preocupação demonstrada pelos ministros, novamente nos parece ser um motivo de ordem muito mais pragmática do que propriamente de interpretação dos preceitos incutidos na carta constitucional.</w:t>
      </w:r>
      <w:r>
        <w:rPr>
          <w:spacing w:val="-8"/>
        </w:rPr>
        <w:t xml:space="preserve"> </w:t>
      </w:r>
      <w:r>
        <w:t>A</w:t>
      </w:r>
      <w:r>
        <w:rPr>
          <w:spacing w:val="-11"/>
        </w:rPr>
        <w:t xml:space="preserve"> </w:t>
      </w:r>
      <w:r>
        <w:t>norma constitucional, ao prever as sanções aplicáveis aos atos ímprobos não se ocupou, nem haveria de se</w:t>
      </w:r>
      <w:r>
        <w:rPr>
          <w:spacing w:val="40"/>
        </w:rPr>
        <w:t xml:space="preserve"> </w:t>
      </w:r>
      <w:r>
        <w:t>ocupar, da possibilidade de má utilização do instrumento constitucional.</w:t>
      </w:r>
    </w:p>
    <w:p w:rsidR="007259F2" w:rsidRDefault="00E655B4">
      <w:pPr>
        <w:pStyle w:val="Corpodetexto"/>
        <w:ind w:right="990"/>
      </w:pPr>
      <w:r>
        <w:t xml:space="preserve">Além de, </w:t>
      </w:r>
      <w:r>
        <w:rPr>
          <w:i/>
        </w:rPr>
        <w:t>prima facie</w:t>
      </w:r>
      <w:r>
        <w:t>, não nos parecer de ordem constitucional, a própria lei de improbidade tratou de sancionar, com regime ainda mais severo, a utilização indevida</w:t>
      </w:r>
      <w:r>
        <w:rPr>
          <w:spacing w:val="40"/>
        </w:rPr>
        <w:t xml:space="preserve"> </w:t>
      </w:r>
      <w:r>
        <w:t>da</w:t>
      </w:r>
      <w:r>
        <w:rPr>
          <w:spacing w:val="-4"/>
        </w:rPr>
        <w:t xml:space="preserve"> </w:t>
      </w:r>
      <w:r>
        <w:t>ação.</w:t>
      </w:r>
      <w:r>
        <w:rPr>
          <w:spacing w:val="-14"/>
        </w:rPr>
        <w:t xml:space="preserve"> </w:t>
      </w:r>
      <w:r>
        <w:t>A</w:t>
      </w:r>
      <w:r>
        <w:rPr>
          <w:spacing w:val="-15"/>
        </w:rPr>
        <w:t xml:space="preserve"> </w:t>
      </w:r>
      <w:r>
        <w:t>Lei</w:t>
      </w:r>
      <w:r>
        <w:rPr>
          <w:spacing w:val="-3"/>
        </w:rPr>
        <w:t xml:space="preserve"> </w:t>
      </w:r>
      <w:r>
        <w:t>8.429/92,</w:t>
      </w:r>
      <w:r>
        <w:rPr>
          <w:spacing w:val="-1"/>
        </w:rPr>
        <w:t xml:space="preserve"> </w:t>
      </w:r>
      <w:r>
        <w:t>em</w:t>
      </w:r>
      <w:r>
        <w:rPr>
          <w:spacing w:val="-3"/>
        </w:rPr>
        <w:t xml:space="preserve"> </w:t>
      </w:r>
      <w:r>
        <w:t>seu</w:t>
      </w:r>
      <w:r>
        <w:rPr>
          <w:spacing w:val="-3"/>
        </w:rPr>
        <w:t xml:space="preserve"> </w:t>
      </w:r>
      <w:r>
        <w:t>art.</w:t>
      </w:r>
      <w:r>
        <w:rPr>
          <w:spacing w:val="-3"/>
        </w:rPr>
        <w:t xml:space="preserve"> </w:t>
      </w:r>
      <w:r>
        <w:t>19,</w:t>
      </w:r>
      <w:r>
        <w:rPr>
          <w:spacing w:val="-3"/>
        </w:rPr>
        <w:t xml:space="preserve"> </w:t>
      </w:r>
      <w:r>
        <w:t>criminalizou</w:t>
      </w:r>
      <w:r>
        <w:rPr>
          <w:spacing w:val="-3"/>
        </w:rPr>
        <w:t xml:space="preserve"> </w:t>
      </w:r>
      <w:r>
        <w:t>a</w:t>
      </w:r>
      <w:r>
        <w:rPr>
          <w:spacing w:val="-4"/>
        </w:rPr>
        <w:t xml:space="preserve"> </w:t>
      </w:r>
      <w:r>
        <w:t>denunciação</w:t>
      </w:r>
      <w:r>
        <w:rPr>
          <w:spacing w:val="-3"/>
        </w:rPr>
        <w:t xml:space="preserve"> </w:t>
      </w:r>
      <w:r>
        <w:t>caluniosa</w:t>
      </w:r>
      <w:r>
        <w:rPr>
          <w:spacing w:val="-3"/>
        </w:rPr>
        <w:t xml:space="preserve"> </w:t>
      </w:r>
      <w:r>
        <w:t>no</w:t>
      </w:r>
      <w:r>
        <w:rPr>
          <w:spacing w:val="-3"/>
        </w:rPr>
        <w:t xml:space="preserve"> </w:t>
      </w:r>
      <w:r>
        <w:t>âmbito das ações de improbidade administrativa.</w:t>
      </w:r>
    </w:p>
    <w:p w:rsidR="007259F2" w:rsidRDefault="00E655B4">
      <w:pPr>
        <w:pStyle w:val="Corpodetexto"/>
        <w:ind w:right="993"/>
      </w:pPr>
      <w:r>
        <w:t>Ainda mais, além de haver rigorosa repreensão à perversão da denunciação por improbidade,</w:t>
      </w:r>
      <w:r>
        <w:rPr>
          <w:spacing w:val="-1"/>
        </w:rPr>
        <w:t xml:space="preserve"> </w:t>
      </w:r>
      <w:r>
        <w:t>novamente, a</w:t>
      </w:r>
      <w:r>
        <w:rPr>
          <w:spacing w:val="-2"/>
        </w:rPr>
        <w:t xml:space="preserve"> </w:t>
      </w:r>
      <w:r>
        <w:t>procedência</w:t>
      </w:r>
      <w:r>
        <w:rPr>
          <w:spacing w:val="-1"/>
        </w:rPr>
        <w:t xml:space="preserve"> </w:t>
      </w:r>
      <w:r>
        <w:t>dos</w:t>
      </w:r>
      <w:r>
        <w:rPr>
          <w:spacing w:val="-1"/>
        </w:rPr>
        <w:t xml:space="preserve"> </w:t>
      </w:r>
      <w:r>
        <w:t>pedidos,</w:t>
      </w:r>
      <w:r>
        <w:rPr>
          <w:spacing w:val="-1"/>
        </w:rPr>
        <w:t xml:space="preserve"> </w:t>
      </w:r>
      <w:r>
        <w:t>vale</w:t>
      </w:r>
      <w:r>
        <w:rPr>
          <w:spacing w:val="-1"/>
        </w:rPr>
        <w:t xml:space="preserve"> </w:t>
      </w:r>
      <w:r>
        <w:t>dizer,</w:t>
      </w:r>
      <w:r>
        <w:rPr>
          <w:spacing w:val="-1"/>
        </w:rPr>
        <w:t xml:space="preserve"> </w:t>
      </w:r>
      <w:r>
        <w:t>a</w:t>
      </w:r>
      <w:r>
        <w:rPr>
          <w:spacing w:val="-2"/>
        </w:rPr>
        <w:t xml:space="preserve"> </w:t>
      </w:r>
      <w:r>
        <w:t>aplicação</w:t>
      </w:r>
      <w:r>
        <w:rPr>
          <w:spacing w:val="-1"/>
        </w:rPr>
        <w:t xml:space="preserve"> </w:t>
      </w:r>
      <w:r>
        <w:t>das</w:t>
      </w:r>
      <w:r>
        <w:rPr>
          <w:spacing w:val="-1"/>
        </w:rPr>
        <w:t xml:space="preserve"> </w:t>
      </w:r>
      <w:r>
        <w:t>sanções decorrerá da determinação do juiz da causa. Haverá, portanto, a atuação de julgador imparcial e equidistante que verificará todos os aspectos da ação, garantindo, em tese, a correta aplicação das determinações legais e constitucionais.</w:t>
      </w:r>
    </w:p>
    <w:p w:rsidR="007259F2" w:rsidRDefault="00E655B4">
      <w:pPr>
        <w:pStyle w:val="Corpodetexto"/>
        <w:ind w:right="986"/>
      </w:pPr>
      <w:r>
        <w:t xml:space="preserve">Além disso, vale destacar que não é possível, ou ao menos recomendável, que o legislador retire a legitimidade para o desempenho de um poder-dever constitucionalmente atribuído por um juízo, </w:t>
      </w:r>
      <w:r>
        <w:rPr>
          <w:i/>
        </w:rPr>
        <w:t>a priori</w:t>
      </w:r>
      <w:r>
        <w:t>, de eventual possibilidade de desvirtuamento do manejo das ações de improbidade.</w:t>
      </w:r>
    </w:p>
    <w:p w:rsidR="007259F2" w:rsidRDefault="00E655B4">
      <w:pPr>
        <w:pStyle w:val="Corpodetexto"/>
        <w:ind w:right="995"/>
      </w:pPr>
      <w:r>
        <w:t>Passemos então à análise do sistema de constitucional de tutela da probidade e</w:t>
      </w:r>
      <w:r>
        <w:rPr>
          <w:spacing w:val="40"/>
        </w:rPr>
        <w:t xml:space="preserve"> </w:t>
      </w:r>
      <w:r>
        <w:t xml:space="preserve">os legitimados a provocar a atuação do Poder Judiciário para aplicação das sanções </w:t>
      </w:r>
      <w:r>
        <w:rPr>
          <w:spacing w:val="-2"/>
        </w:rPr>
        <w:t>pertinentes.</w:t>
      </w:r>
    </w:p>
    <w:p w:rsidR="007259F2" w:rsidRDefault="00E655B4">
      <w:pPr>
        <w:pStyle w:val="Heading2"/>
        <w:ind w:left="1418"/>
      </w:pPr>
      <w:r>
        <w:t>3.2</w:t>
      </w:r>
      <w:r>
        <w:rPr>
          <w:spacing w:val="-4"/>
        </w:rPr>
        <w:t xml:space="preserve"> </w:t>
      </w:r>
      <w:r>
        <w:t>Panorama</w:t>
      </w:r>
      <w:r>
        <w:rPr>
          <w:spacing w:val="1"/>
        </w:rPr>
        <w:t xml:space="preserve"> </w:t>
      </w:r>
      <w:r>
        <w:t>Constitucional</w:t>
      </w:r>
      <w:r>
        <w:rPr>
          <w:spacing w:val="-1"/>
        </w:rPr>
        <w:t xml:space="preserve"> </w:t>
      </w:r>
      <w:r>
        <w:t>de</w:t>
      </w:r>
      <w:r>
        <w:rPr>
          <w:spacing w:val="-2"/>
        </w:rPr>
        <w:t xml:space="preserve"> </w:t>
      </w:r>
      <w:r>
        <w:t>legitimação</w:t>
      </w:r>
      <w:r>
        <w:rPr>
          <w:spacing w:val="-1"/>
        </w:rPr>
        <w:t xml:space="preserve"> </w:t>
      </w:r>
      <w:r>
        <w:t>do</w:t>
      </w:r>
      <w:r>
        <w:rPr>
          <w:spacing w:val="-1"/>
        </w:rPr>
        <w:t xml:space="preserve"> </w:t>
      </w:r>
      <w:r>
        <w:t>ente</w:t>
      </w:r>
      <w:r>
        <w:rPr>
          <w:spacing w:val="-3"/>
        </w:rPr>
        <w:t xml:space="preserve"> </w:t>
      </w:r>
      <w:r>
        <w:t>jurídico</w:t>
      </w:r>
      <w:r>
        <w:rPr>
          <w:spacing w:val="-1"/>
        </w:rPr>
        <w:t xml:space="preserve"> </w:t>
      </w:r>
      <w:r>
        <w:rPr>
          <w:spacing w:val="-2"/>
        </w:rPr>
        <w:t>interessado</w:t>
      </w:r>
    </w:p>
    <w:p w:rsidR="007259F2" w:rsidRDefault="00E655B4">
      <w:pPr>
        <w:pStyle w:val="Corpodetexto"/>
        <w:spacing w:before="113"/>
        <w:ind w:right="991"/>
      </w:pPr>
      <w:r>
        <w:t>Para compreender o sistema constitucional de combate à improbidade não se pode desconsiderar, também, os elementos políticos que influenciaram o processo de elaboração das normas constitucionais. De grande importância, no ponto, são os comentários de Manoel Gonçalves Ferreira Filho destacando que “a revolta do povo brasileiro contra a corrupção nos escalões governamentais e administrativos” (FERREIRA FILHO, 1997, p. 253).</w:t>
      </w:r>
    </w:p>
    <w:p w:rsidR="007259F2" w:rsidRDefault="00E655B4">
      <w:pPr>
        <w:pStyle w:val="Corpodetexto"/>
        <w:ind w:right="989"/>
      </w:pPr>
      <w:r>
        <w:t>Referido sistema constitucional nasce, portanto, da necessidade de maior proteção e</w:t>
      </w:r>
      <w:r>
        <w:rPr>
          <w:spacing w:val="-1"/>
        </w:rPr>
        <w:t xml:space="preserve"> </w:t>
      </w:r>
      <w:r>
        <w:t>controle</w:t>
      </w:r>
      <w:r>
        <w:rPr>
          <w:spacing w:val="-2"/>
        </w:rPr>
        <w:t xml:space="preserve"> </w:t>
      </w:r>
      <w:r>
        <w:t>sobre</w:t>
      </w:r>
      <w:r>
        <w:rPr>
          <w:spacing w:val="-2"/>
        </w:rPr>
        <w:t xml:space="preserve"> </w:t>
      </w:r>
      <w:r>
        <w:t>os</w:t>
      </w:r>
      <w:r>
        <w:rPr>
          <w:spacing w:val="-2"/>
        </w:rPr>
        <w:t xml:space="preserve"> </w:t>
      </w:r>
      <w:r>
        <w:t>atos e</w:t>
      </w:r>
      <w:r>
        <w:rPr>
          <w:spacing w:val="-3"/>
        </w:rPr>
        <w:t xml:space="preserve"> </w:t>
      </w:r>
      <w:r>
        <w:t>procedimentos públicos,</w:t>
      </w:r>
      <w:r>
        <w:rPr>
          <w:spacing w:val="-2"/>
        </w:rPr>
        <w:t xml:space="preserve"> </w:t>
      </w:r>
      <w:r>
        <w:t>a</w:t>
      </w:r>
      <w:r>
        <w:rPr>
          <w:spacing w:val="-3"/>
        </w:rPr>
        <w:t xml:space="preserve"> </w:t>
      </w:r>
      <w:r>
        <w:t>fim</w:t>
      </w:r>
      <w:r>
        <w:rPr>
          <w:spacing w:val="-2"/>
        </w:rPr>
        <w:t xml:space="preserve"> </w:t>
      </w:r>
      <w:r>
        <w:t>de</w:t>
      </w:r>
      <w:r>
        <w:rPr>
          <w:spacing w:val="-3"/>
        </w:rPr>
        <w:t xml:space="preserve"> </w:t>
      </w:r>
      <w:r>
        <w:t>legitimar</w:t>
      </w:r>
      <w:r>
        <w:rPr>
          <w:spacing w:val="-4"/>
        </w:rPr>
        <w:t xml:space="preserve"> </w:t>
      </w:r>
      <w:r>
        <w:t>os atos</w:t>
      </w:r>
      <w:r>
        <w:rPr>
          <w:spacing w:val="-2"/>
        </w:rPr>
        <w:t xml:space="preserve"> </w:t>
      </w:r>
      <w:r>
        <w:t>da Administração a partir da observância dos princípios e normas constitucionais.</w:t>
      </w:r>
    </w:p>
    <w:p w:rsidR="007259F2" w:rsidRDefault="00E655B4">
      <w:pPr>
        <w:pStyle w:val="Corpodetexto"/>
        <w:spacing w:before="1"/>
        <w:ind w:right="993"/>
      </w:pPr>
      <w:r>
        <w:t>É nesse espírito que a Constituição de 1988, logo em seu art. 23, que trata das competências</w:t>
      </w:r>
      <w:r>
        <w:rPr>
          <w:spacing w:val="66"/>
          <w:w w:val="150"/>
        </w:rPr>
        <w:t xml:space="preserve"> </w:t>
      </w:r>
      <w:r>
        <w:t>comuns</w:t>
      </w:r>
      <w:r>
        <w:rPr>
          <w:spacing w:val="67"/>
          <w:w w:val="150"/>
        </w:rPr>
        <w:t xml:space="preserve"> </w:t>
      </w:r>
      <w:r>
        <w:t>(também</w:t>
      </w:r>
      <w:r>
        <w:rPr>
          <w:spacing w:val="67"/>
          <w:w w:val="150"/>
        </w:rPr>
        <w:t xml:space="preserve"> </w:t>
      </w:r>
      <w:r>
        <w:t>chamadas</w:t>
      </w:r>
      <w:r>
        <w:rPr>
          <w:spacing w:val="67"/>
          <w:w w:val="150"/>
        </w:rPr>
        <w:t xml:space="preserve"> </w:t>
      </w:r>
      <w:r>
        <w:t>materiais)</w:t>
      </w:r>
      <w:r>
        <w:rPr>
          <w:spacing w:val="69"/>
          <w:w w:val="150"/>
        </w:rPr>
        <w:t xml:space="preserve"> </w:t>
      </w:r>
      <w:r>
        <w:t>aos</w:t>
      </w:r>
      <w:r>
        <w:rPr>
          <w:spacing w:val="67"/>
          <w:w w:val="150"/>
        </w:rPr>
        <w:t xml:space="preserve"> </w:t>
      </w:r>
      <w:r>
        <w:t>entes</w:t>
      </w:r>
      <w:r>
        <w:rPr>
          <w:spacing w:val="69"/>
          <w:w w:val="150"/>
        </w:rPr>
        <w:t xml:space="preserve"> </w:t>
      </w:r>
      <w:r>
        <w:t>políticos,</w:t>
      </w:r>
      <w:r>
        <w:rPr>
          <w:spacing w:val="67"/>
          <w:w w:val="150"/>
        </w:rPr>
        <w:t xml:space="preserve"> </w:t>
      </w:r>
      <w:r>
        <w:t>situa</w:t>
      </w:r>
      <w:r>
        <w:rPr>
          <w:spacing w:val="66"/>
          <w:w w:val="150"/>
        </w:rPr>
        <w:t xml:space="preserve"> </w:t>
      </w:r>
      <w:r>
        <w:rPr>
          <w:spacing w:val="-10"/>
        </w:rPr>
        <w:t>a</w:t>
      </w:r>
    </w:p>
    <w:p w:rsidR="007259F2" w:rsidRDefault="007259F2">
      <w:pPr>
        <w:pStyle w:val="Corpodetexto"/>
        <w:sectPr w:rsidR="007259F2">
          <w:pgSz w:w="11910" w:h="16840"/>
          <w:pgMar w:top="1320" w:right="708" w:bottom="1160" w:left="992" w:header="0" w:footer="962" w:gutter="0"/>
          <w:cols w:space="720"/>
        </w:sectPr>
      </w:pPr>
    </w:p>
    <w:p w:rsidR="007259F2" w:rsidRDefault="00E655B4">
      <w:pPr>
        <w:pStyle w:val="Corpodetexto"/>
        <w:spacing w:before="69"/>
        <w:ind w:right="999" w:firstLine="0"/>
      </w:pPr>
      <w:r>
        <w:lastRenderedPageBreak/>
        <w:t>incumbência de guarda da Constituição, das leis e das instituições democráticas e conservação do patrimônio público.</w:t>
      </w:r>
    </w:p>
    <w:p w:rsidR="007259F2" w:rsidRDefault="00E655B4">
      <w:pPr>
        <w:pStyle w:val="Corpodetexto"/>
        <w:spacing w:before="1"/>
        <w:ind w:right="997"/>
      </w:pPr>
      <w:r>
        <w:t>Em outras palavras, é atividade típica da Administração a proteção das instituições democráticas e do patrimônio público, seja ele material ou imaterial (como</w:t>
      </w:r>
      <w:r>
        <w:rPr>
          <w:spacing w:val="40"/>
        </w:rPr>
        <w:t xml:space="preserve"> </w:t>
      </w:r>
      <w:r>
        <w:t>é o caso da probidade).</w:t>
      </w:r>
    </w:p>
    <w:p w:rsidR="007259F2" w:rsidRDefault="00E655B4">
      <w:pPr>
        <w:pStyle w:val="Corpodetexto"/>
        <w:ind w:right="991"/>
      </w:pPr>
      <w:r>
        <w:t>Delimitado, portanto, um dos primeiros pilares da legitimidade das pessoas jurídicas lesadas para a promoção da responsabilização dos agentes ímprobos. Em realidade, a proteção das instituições e do patrimônio público se apresenta como um poder-dever da</w:t>
      </w:r>
      <w:r>
        <w:rPr>
          <w:spacing w:val="-8"/>
        </w:rPr>
        <w:t xml:space="preserve"> </w:t>
      </w:r>
      <w:r>
        <w:t>Administração, intimamente ligado ao princípio da indisponibilidade do interesse público, do qual não podem se abster os agentes públicos, que devem</w:t>
      </w:r>
      <w:r>
        <w:rPr>
          <w:spacing w:val="40"/>
        </w:rPr>
        <w:t xml:space="preserve"> </w:t>
      </w:r>
      <w:r>
        <w:t>empregar todas as formas lícitas, necessárias e adequadas para a consecução de tal fim.</w:t>
      </w:r>
    </w:p>
    <w:p w:rsidR="007259F2" w:rsidRDefault="00E655B4">
      <w:pPr>
        <w:pStyle w:val="Corpodetexto"/>
        <w:ind w:right="993"/>
      </w:pPr>
      <w:r>
        <w:t>Complementarmente, a Constituição de 1988 dispensou um capítulo (capítulo VII) para estruturar e regulamentar os aspectos objetivos e subjetivos da</w:t>
      </w:r>
      <w:r>
        <w:rPr>
          <w:spacing w:val="-7"/>
        </w:rPr>
        <w:t xml:space="preserve"> </w:t>
      </w:r>
      <w:r>
        <w:t>Administração Pública, situando no caput do art. 37 o princípio da moralidade como de observância obrigatória, ampliando, portanto, o espectro de cuidado que havia sido dispensado pelas Constituições que a antecederam, conforme a narrativa histórica apresentada.</w:t>
      </w:r>
    </w:p>
    <w:p w:rsidR="007259F2" w:rsidRDefault="00E655B4">
      <w:pPr>
        <w:pStyle w:val="Corpodetexto"/>
        <w:spacing w:before="1"/>
        <w:ind w:right="989"/>
      </w:pPr>
      <w:r>
        <w:t>Ainda mais, a carta magna fez expressa menção aos atos de improbidade, inclusive elencando as sanções possíveis. Outra vez a Constituição foi inovadora, prevendo também de maneira expressa o princípio da probidade e as consequências à sua violação.</w:t>
      </w:r>
    </w:p>
    <w:p w:rsidR="007259F2" w:rsidRDefault="00E655B4">
      <w:pPr>
        <w:pStyle w:val="Corpodetexto"/>
        <w:ind w:right="997"/>
      </w:pPr>
      <w:r>
        <w:t>Aqui importante pontuar o que destacado pelo Ministro André Mendonça, quando do julgamento das ADI’s 7042 e 7043:</w:t>
      </w:r>
    </w:p>
    <w:p w:rsidR="007259F2" w:rsidRDefault="007259F2">
      <w:pPr>
        <w:pStyle w:val="Corpodetexto"/>
        <w:spacing w:before="121"/>
        <w:ind w:left="0" w:firstLine="0"/>
        <w:jc w:val="left"/>
      </w:pPr>
    </w:p>
    <w:p w:rsidR="007259F2" w:rsidRDefault="00E655B4">
      <w:pPr>
        <w:ind w:left="2978" w:right="990"/>
        <w:jc w:val="both"/>
        <w:rPr>
          <w:sz w:val="20"/>
        </w:rPr>
      </w:pPr>
      <w:r>
        <w:rPr>
          <w:sz w:val="20"/>
        </w:rPr>
        <w:t>No que tange ao primeiro ponto, eu queria, em reforço também ao que já colocado pelo eminente Ministro Alexandre de Moraes, consignar que a defesa da probidade constitui um princípio constitucional, como nós já havíamos trazido, na última sessão, quando discutíamos o julgamento anterior. Ele é uma derivação ou uma qualificação do próprio princípio da moralidade administrativa. Não é sem razão que ele integra o próprio art. 37, senão no caput, no âmbito do § 4º, até para trazer uma melhor especificidade às consequências de uma infração à moralidade administrativa qualificada. Dentro dessa perspectiva, o art. 37, caput, ao se referir aos princípios da Administração Pública, diz que essa mesma Administração deverá, imperativamente, obedecer a esses princípios. Se ela deve obedecer, ela deve prevenir; se ela deve prevenir, ela deve zelar – como faz-se referência</w:t>
      </w:r>
      <w:r>
        <w:rPr>
          <w:spacing w:val="40"/>
          <w:sz w:val="20"/>
        </w:rPr>
        <w:t xml:space="preserve"> </w:t>
      </w:r>
      <w:r>
        <w:rPr>
          <w:sz w:val="20"/>
        </w:rPr>
        <w:t>também ao art. 23, inc. I, que todos os entes da Federação devem zelar pela Constituição, pelas leis e pelo patrimônio público. E leia- se, por óbvio, sob</w:t>
      </w:r>
      <w:r>
        <w:rPr>
          <w:spacing w:val="-1"/>
          <w:sz w:val="20"/>
        </w:rPr>
        <w:t xml:space="preserve"> </w:t>
      </w:r>
      <w:r>
        <w:rPr>
          <w:sz w:val="20"/>
        </w:rPr>
        <w:t>a minha perspectiva, patrimônio público em sua ampla extensão, até porque</w:t>
      </w:r>
      <w:r>
        <w:rPr>
          <w:spacing w:val="40"/>
          <w:sz w:val="20"/>
        </w:rPr>
        <w:t xml:space="preserve"> </w:t>
      </w:r>
      <w:r>
        <w:rPr>
          <w:sz w:val="20"/>
        </w:rPr>
        <w:t>não</w:t>
      </w:r>
      <w:r>
        <w:rPr>
          <w:spacing w:val="-2"/>
          <w:sz w:val="20"/>
        </w:rPr>
        <w:t xml:space="preserve"> </w:t>
      </w:r>
      <w:r>
        <w:rPr>
          <w:sz w:val="20"/>
        </w:rPr>
        <w:t>haveria</w:t>
      </w:r>
      <w:r>
        <w:rPr>
          <w:spacing w:val="-3"/>
          <w:sz w:val="20"/>
        </w:rPr>
        <w:t xml:space="preserve"> </w:t>
      </w:r>
      <w:r>
        <w:rPr>
          <w:sz w:val="20"/>
        </w:rPr>
        <w:t>razão</w:t>
      </w:r>
      <w:r>
        <w:rPr>
          <w:spacing w:val="-2"/>
          <w:sz w:val="20"/>
        </w:rPr>
        <w:t xml:space="preserve"> </w:t>
      </w:r>
      <w:r>
        <w:rPr>
          <w:sz w:val="20"/>
        </w:rPr>
        <w:t>de</w:t>
      </w:r>
      <w:r>
        <w:rPr>
          <w:spacing w:val="-1"/>
          <w:sz w:val="20"/>
        </w:rPr>
        <w:t xml:space="preserve"> </w:t>
      </w:r>
      <w:r>
        <w:rPr>
          <w:sz w:val="20"/>
        </w:rPr>
        <w:t>haver</w:t>
      </w:r>
      <w:r>
        <w:rPr>
          <w:spacing w:val="-2"/>
          <w:sz w:val="20"/>
        </w:rPr>
        <w:t xml:space="preserve"> </w:t>
      </w:r>
      <w:r>
        <w:rPr>
          <w:sz w:val="20"/>
        </w:rPr>
        <w:t>um</w:t>
      </w:r>
      <w:r>
        <w:rPr>
          <w:spacing w:val="-2"/>
          <w:sz w:val="20"/>
        </w:rPr>
        <w:t xml:space="preserve"> </w:t>
      </w:r>
      <w:r>
        <w:rPr>
          <w:sz w:val="20"/>
        </w:rPr>
        <w:t>ente</w:t>
      </w:r>
      <w:r>
        <w:rPr>
          <w:spacing w:val="-1"/>
          <w:sz w:val="20"/>
        </w:rPr>
        <w:t xml:space="preserve"> </w:t>
      </w:r>
      <w:r>
        <w:rPr>
          <w:sz w:val="20"/>
        </w:rPr>
        <w:t>da</w:t>
      </w:r>
      <w:r>
        <w:rPr>
          <w:spacing w:val="-1"/>
          <w:sz w:val="20"/>
        </w:rPr>
        <w:t xml:space="preserve"> </w:t>
      </w:r>
      <w:r>
        <w:rPr>
          <w:sz w:val="20"/>
        </w:rPr>
        <w:t>Administração</w:t>
      </w:r>
      <w:r>
        <w:rPr>
          <w:spacing w:val="-2"/>
          <w:sz w:val="20"/>
        </w:rPr>
        <w:t xml:space="preserve"> </w:t>
      </w:r>
      <w:r>
        <w:rPr>
          <w:sz w:val="20"/>
        </w:rPr>
        <w:t>Pública</w:t>
      </w:r>
      <w:r>
        <w:rPr>
          <w:spacing w:val="-3"/>
          <w:sz w:val="20"/>
        </w:rPr>
        <w:t xml:space="preserve"> </w:t>
      </w:r>
      <w:r>
        <w:rPr>
          <w:sz w:val="20"/>
        </w:rPr>
        <w:t>que</w:t>
      </w:r>
      <w:r>
        <w:rPr>
          <w:spacing w:val="-3"/>
          <w:sz w:val="20"/>
        </w:rPr>
        <w:t xml:space="preserve"> </w:t>
      </w:r>
      <w:r>
        <w:rPr>
          <w:sz w:val="20"/>
        </w:rPr>
        <w:t>tivesse</w:t>
      </w:r>
      <w:r>
        <w:rPr>
          <w:spacing w:val="-3"/>
          <w:sz w:val="20"/>
        </w:rPr>
        <w:t xml:space="preserve"> </w:t>
      </w:r>
      <w:r>
        <w:rPr>
          <w:sz w:val="20"/>
        </w:rPr>
        <w:t>que defender e</w:t>
      </w:r>
      <w:r>
        <w:rPr>
          <w:spacing w:val="-1"/>
          <w:sz w:val="20"/>
        </w:rPr>
        <w:t xml:space="preserve"> </w:t>
      </w:r>
      <w:r>
        <w:rPr>
          <w:sz w:val="20"/>
        </w:rPr>
        <w:t>zelar o patrimônio público numa</w:t>
      </w:r>
      <w:r>
        <w:rPr>
          <w:spacing w:val="-1"/>
          <w:sz w:val="20"/>
        </w:rPr>
        <w:t xml:space="preserve"> </w:t>
      </w:r>
      <w:r>
        <w:rPr>
          <w:sz w:val="20"/>
        </w:rPr>
        <w:t>extensão que não correspondesse à integralidade do que venha a ser patrimônio público. Ou seja, não é simplesmente o patrimônio mensurável financeiramente, este também, não são só os</w:t>
      </w:r>
      <w:r>
        <w:rPr>
          <w:spacing w:val="-1"/>
          <w:sz w:val="20"/>
        </w:rPr>
        <w:t xml:space="preserve"> </w:t>
      </w:r>
      <w:r>
        <w:rPr>
          <w:sz w:val="20"/>
        </w:rPr>
        <w:t>bens</w:t>
      </w:r>
      <w:r>
        <w:rPr>
          <w:spacing w:val="-1"/>
          <w:sz w:val="20"/>
        </w:rPr>
        <w:t xml:space="preserve"> </w:t>
      </w:r>
      <w:r>
        <w:rPr>
          <w:sz w:val="20"/>
        </w:rPr>
        <w:t>públicos,</w:t>
      </w:r>
      <w:r>
        <w:rPr>
          <w:spacing w:val="-1"/>
          <w:sz w:val="20"/>
        </w:rPr>
        <w:t xml:space="preserve"> </w:t>
      </w:r>
      <w:r>
        <w:rPr>
          <w:sz w:val="20"/>
        </w:rPr>
        <w:t>é</w:t>
      </w:r>
      <w:r>
        <w:rPr>
          <w:spacing w:val="-1"/>
          <w:sz w:val="20"/>
        </w:rPr>
        <w:t xml:space="preserve"> </w:t>
      </w:r>
      <w:r>
        <w:rPr>
          <w:sz w:val="20"/>
        </w:rPr>
        <w:t>o patrimônio público em</w:t>
      </w:r>
      <w:r>
        <w:rPr>
          <w:spacing w:val="-2"/>
          <w:sz w:val="20"/>
        </w:rPr>
        <w:t xml:space="preserve"> </w:t>
      </w:r>
      <w:r>
        <w:rPr>
          <w:sz w:val="20"/>
        </w:rPr>
        <w:t>toda</w:t>
      </w:r>
      <w:r>
        <w:rPr>
          <w:spacing w:val="-1"/>
          <w:sz w:val="20"/>
        </w:rPr>
        <w:t xml:space="preserve"> </w:t>
      </w:r>
      <w:r>
        <w:rPr>
          <w:sz w:val="20"/>
        </w:rPr>
        <w:t>a</w:t>
      </w:r>
      <w:r>
        <w:rPr>
          <w:spacing w:val="-1"/>
          <w:sz w:val="20"/>
        </w:rPr>
        <w:t xml:space="preserve"> </w:t>
      </w:r>
      <w:r>
        <w:rPr>
          <w:sz w:val="20"/>
        </w:rPr>
        <w:t>sua magnitude. Em função desse mandamento constitucional, especifica-se no § 4º do art. 37 a indispensável garantia da probidade administrativa. (...) Até porque, não</w:t>
      </w:r>
      <w:r>
        <w:rPr>
          <w:spacing w:val="40"/>
          <w:sz w:val="20"/>
        </w:rPr>
        <w:t xml:space="preserve"> </w:t>
      </w:r>
      <w:r>
        <w:rPr>
          <w:sz w:val="20"/>
        </w:rPr>
        <w:t>fosse da Administração Pública, esse dispositivo teria que estar no rol do art. 129, que trata das atribuições do Ministério Público. Está no capítulo próprio da</w:t>
      </w:r>
      <w:r>
        <w:rPr>
          <w:spacing w:val="-1"/>
          <w:sz w:val="20"/>
        </w:rPr>
        <w:t xml:space="preserve"> </w:t>
      </w:r>
      <w:r>
        <w:rPr>
          <w:sz w:val="20"/>
        </w:rPr>
        <w:t>Administração Pública, porque</w:t>
      </w:r>
      <w:r>
        <w:rPr>
          <w:spacing w:val="-1"/>
          <w:sz w:val="20"/>
        </w:rPr>
        <w:t xml:space="preserve"> </w:t>
      </w:r>
      <w:r>
        <w:rPr>
          <w:sz w:val="20"/>
        </w:rPr>
        <w:t>o primeiro agente, ou</w:t>
      </w:r>
      <w:r>
        <w:rPr>
          <w:spacing w:val="-2"/>
          <w:sz w:val="20"/>
        </w:rPr>
        <w:t xml:space="preserve"> </w:t>
      </w:r>
      <w:r>
        <w:rPr>
          <w:sz w:val="20"/>
        </w:rPr>
        <w:t>o primeiro ente, ou</w:t>
      </w:r>
      <w:r>
        <w:rPr>
          <w:spacing w:val="-2"/>
          <w:sz w:val="20"/>
        </w:rPr>
        <w:t xml:space="preserve"> </w:t>
      </w:r>
      <w:r>
        <w:rPr>
          <w:sz w:val="20"/>
        </w:rPr>
        <w:t>o primeiro órgão que deve fazer valer essa persecução do ilícito é a própria Administração Pública.</w:t>
      </w:r>
    </w:p>
    <w:p w:rsidR="007259F2" w:rsidRDefault="007259F2">
      <w:pPr>
        <w:pStyle w:val="Corpodetexto"/>
        <w:spacing w:before="45"/>
        <w:ind w:left="0" w:firstLine="0"/>
        <w:jc w:val="left"/>
        <w:rPr>
          <w:sz w:val="20"/>
        </w:rPr>
      </w:pPr>
    </w:p>
    <w:p w:rsidR="007259F2" w:rsidRDefault="00E655B4">
      <w:pPr>
        <w:pStyle w:val="Corpodetexto"/>
        <w:ind w:right="994"/>
      </w:pPr>
      <w:r>
        <w:t>A interpretação dos dispositivos constitucionais, portanto, sem olvidar da compreensão sistêmica, não pode desconsiderar as relações lógicas contidas no texto, como</w:t>
      </w:r>
      <w:r>
        <w:rPr>
          <w:spacing w:val="26"/>
        </w:rPr>
        <w:t xml:space="preserve"> </w:t>
      </w:r>
      <w:r>
        <w:t>sua</w:t>
      </w:r>
      <w:r>
        <w:rPr>
          <w:spacing w:val="27"/>
        </w:rPr>
        <w:t xml:space="preserve"> </w:t>
      </w:r>
      <w:r>
        <w:t>alocação</w:t>
      </w:r>
      <w:r>
        <w:rPr>
          <w:spacing w:val="27"/>
        </w:rPr>
        <w:t xml:space="preserve"> </w:t>
      </w:r>
      <w:r>
        <w:t>em</w:t>
      </w:r>
      <w:r>
        <w:rPr>
          <w:spacing w:val="29"/>
        </w:rPr>
        <w:t xml:space="preserve"> </w:t>
      </w:r>
      <w:r>
        <w:t>capítulos</w:t>
      </w:r>
      <w:r>
        <w:rPr>
          <w:spacing w:val="28"/>
        </w:rPr>
        <w:t xml:space="preserve"> </w:t>
      </w:r>
      <w:r>
        <w:t>ou</w:t>
      </w:r>
      <w:r>
        <w:rPr>
          <w:spacing w:val="27"/>
        </w:rPr>
        <w:t xml:space="preserve"> </w:t>
      </w:r>
      <w:r>
        <w:t>sua</w:t>
      </w:r>
      <w:r>
        <w:rPr>
          <w:spacing w:val="28"/>
        </w:rPr>
        <w:t xml:space="preserve"> </w:t>
      </w:r>
      <w:r>
        <w:t>separação.</w:t>
      </w:r>
      <w:r>
        <w:rPr>
          <w:spacing w:val="23"/>
        </w:rPr>
        <w:t xml:space="preserve"> </w:t>
      </w:r>
      <w:r>
        <w:t>Tal</w:t>
      </w:r>
      <w:r>
        <w:rPr>
          <w:spacing w:val="29"/>
        </w:rPr>
        <w:t xml:space="preserve"> </w:t>
      </w:r>
      <w:r>
        <w:t>escolha</w:t>
      </w:r>
      <w:r>
        <w:rPr>
          <w:spacing w:val="27"/>
        </w:rPr>
        <w:t xml:space="preserve"> </w:t>
      </w:r>
      <w:r>
        <w:t>não</w:t>
      </w:r>
      <w:r>
        <w:rPr>
          <w:spacing w:val="27"/>
        </w:rPr>
        <w:t xml:space="preserve"> </w:t>
      </w:r>
      <w:r>
        <w:t>representa</w:t>
      </w:r>
      <w:r>
        <w:rPr>
          <w:spacing w:val="28"/>
        </w:rPr>
        <w:t xml:space="preserve"> </w:t>
      </w:r>
      <w:r>
        <w:rPr>
          <w:spacing w:val="-2"/>
        </w:rPr>
        <w:t>apenas</w:t>
      </w:r>
    </w:p>
    <w:p w:rsidR="007259F2" w:rsidRDefault="007259F2">
      <w:pPr>
        <w:pStyle w:val="Corpodetexto"/>
        <w:sectPr w:rsidR="007259F2">
          <w:pgSz w:w="11910" w:h="16840"/>
          <w:pgMar w:top="1320" w:right="708" w:bottom="1160" w:left="992" w:header="0" w:footer="962" w:gutter="0"/>
          <w:cols w:space="720"/>
        </w:sectPr>
      </w:pPr>
    </w:p>
    <w:p w:rsidR="007259F2" w:rsidRDefault="00E655B4">
      <w:pPr>
        <w:pStyle w:val="Corpodetexto"/>
        <w:spacing w:before="69"/>
        <w:ind w:right="991" w:firstLine="0"/>
      </w:pPr>
      <w:r>
        <w:lastRenderedPageBreak/>
        <w:t xml:space="preserve">aspectos de coesão textual, mas, também, </w:t>
      </w:r>
      <w:r>
        <w:rPr>
          <w:i/>
        </w:rPr>
        <w:t>in casu</w:t>
      </w:r>
      <w:r>
        <w:t>, a ideia do legislador quanto a pertinência das relações entre determinada matéria.</w:t>
      </w:r>
    </w:p>
    <w:p w:rsidR="007259F2" w:rsidRDefault="00E655B4">
      <w:pPr>
        <w:pStyle w:val="Corpodetexto"/>
        <w:spacing w:before="1"/>
        <w:ind w:right="991"/>
      </w:pPr>
      <w:r>
        <w:t>Reforça tal compreensão o fato de que, em momentos diversos, o texto constitucional reafirmou o poder-dever da Administração em zelar pelas instituições e por seu patrimônio. A administração pública é a primeira destinatária dos comandos relativos ao combate à improbidade.</w:t>
      </w:r>
    </w:p>
    <w:p w:rsidR="007259F2" w:rsidRDefault="00E655B4">
      <w:pPr>
        <w:pStyle w:val="Corpodetexto"/>
        <w:ind w:right="988"/>
      </w:pPr>
      <w:r>
        <w:t xml:space="preserve">Essa destinação, inclusive, tem relação com a proteção daquilo que chamado de interesse público secundário, ou seja, os interesses da própria instituição enquanto pessoa jurídica. Alerta-se que não se está aqui descurando da dimensão da probidade administrativa como direito fundamental, assim como a classificam diversos autores (FREITAS, 2009; BERTONCINI, 2007; etc.), mas ressaltando uma dupla concepção da probidade no ordenamento brasileiro, posto que para alcançar ao interesse público primário, a Administração deve, necessariamente, concretizar o interesse público </w:t>
      </w:r>
      <w:r>
        <w:rPr>
          <w:spacing w:val="-2"/>
        </w:rPr>
        <w:t>secundário.</w:t>
      </w:r>
    </w:p>
    <w:p w:rsidR="007259F2" w:rsidRDefault="00E655B4">
      <w:pPr>
        <w:pStyle w:val="Corpodetexto"/>
        <w:spacing w:before="1"/>
        <w:ind w:left="1418" w:firstLine="0"/>
      </w:pPr>
      <w:r>
        <w:t>Esse</w:t>
      </w:r>
      <w:r>
        <w:rPr>
          <w:spacing w:val="-2"/>
        </w:rPr>
        <w:t xml:space="preserve"> </w:t>
      </w:r>
      <w:r>
        <w:t>interesse</w:t>
      </w:r>
      <w:r>
        <w:rPr>
          <w:spacing w:val="-1"/>
        </w:rPr>
        <w:t xml:space="preserve"> </w:t>
      </w:r>
      <w:r>
        <w:t>público, nos</w:t>
      </w:r>
      <w:r>
        <w:rPr>
          <w:spacing w:val="-1"/>
        </w:rPr>
        <w:t xml:space="preserve"> </w:t>
      </w:r>
      <w:r>
        <w:t>dizeres</w:t>
      </w:r>
      <w:r>
        <w:rPr>
          <w:spacing w:val="-1"/>
        </w:rPr>
        <w:t xml:space="preserve"> </w:t>
      </w:r>
      <w:r>
        <w:t>de Celso</w:t>
      </w:r>
      <w:r>
        <w:rPr>
          <w:spacing w:val="-15"/>
        </w:rPr>
        <w:t xml:space="preserve"> </w:t>
      </w:r>
      <w:r>
        <w:t>Antônio Bandeira</w:t>
      </w:r>
      <w:r>
        <w:rPr>
          <w:spacing w:val="-2"/>
        </w:rPr>
        <w:t xml:space="preserve"> </w:t>
      </w:r>
      <w:r>
        <w:t>de</w:t>
      </w:r>
      <w:r>
        <w:rPr>
          <w:spacing w:val="-1"/>
        </w:rPr>
        <w:t xml:space="preserve"> </w:t>
      </w:r>
      <w:r>
        <w:rPr>
          <w:spacing w:val="-2"/>
        </w:rPr>
        <w:t>Mello:</w:t>
      </w:r>
    </w:p>
    <w:p w:rsidR="007259F2" w:rsidRDefault="007259F2">
      <w:pPr>
        <w:pStyle w:val="Corpodetexto"/>
        <w:spacing w:before="1"/>
        <w:ind w:left="0" w:firstLine="0"/>
        <w:jc w:val="left"/>
      </w:pPr>
    </w:p>
    <w:p w:rsidR="007259F2" w:rsidRDefault="00E655B4">
      <w:pPr>
        <w:ind w:left="2978" w:right="986"/>
        <w:jc w:val="both"/>
        <w:rPr>
          <w:sz w:val="20"/>
        </w:rPr>
      </w:pPr>
      <w:r>
        <w:rPr>
          <w:sz w:val="20"/>
        </w:rPr>
        <w:t>Assim, independentemente do fato de ser, por definição, encarregado dos interesses públicos, o Estado pode ter, tanto quanto as demais pessoas, interesses que lhe são particulares, individuais, e que, tal como os interesses delas, concebidas em suas meras individualidades, se encarnam no Estado enquanto pessoa. Estes últimos não são interesses públicos, mas interesses individuais do Estado, similares, pois (sob prisma extrajurídico), aos interesses de qualquer sujeito. Similares, mas não iguais. Isto porque a generalidade de tais sujeitos pode defender estes interesses individuais, ao passo que o Estado, concebido que é para a realização de interesses públicos (situação, pois, inteiramente diversa da dos particulares), só poderá defender seus próprios interesses privados quando, sobre não se chocarem com os interesses público propriamente ditos, coincidam com a realização deles. Tal situação ocorrerá sempre que a norma donde defluem os qualifique como instrumentais ao interesse público e na medida em que o sejam, caso em que sua defesa será, ipso facto, simultaneamente para a satisfação deles.</w:t>
      </w:r>
      <w:r>
        <w:rPr>
          <w:spacing w:val="40"/>
          <w:sz w:val="20"/>
        </w:rPr>
        <w:t xml:space="preserve"> </w:t>
      </w:r>
      <w:r>
        <w:rPr>
          <w:sz w:val="20"/>
        </w:rPr>
        <w:t>(MELLO, 2010, p.66)</w:t>
      </w:r>
    </w:p>
    <w:p w:rsidR="007259F2" w:rsidRDefault="00E655B4">
      <w:pPr>
        <w:pStyle w:val="Corpodetexto"/>
        <w:spacing w:before="229"/>
        <w:ind w:right="988"/>
      </w:pPr>
      <w:r>
        <w:t>Outro não é caso, por meio da ação de improbidade a pessoa jurídica interessada tutela</w:t>
      </w:r>
      <w:r>
        <w:rPr>
          <w:spacing w:val="-1"/>
        </w:rPr>
        <w:t xml:space="preserve"> </w:t>
      </w:r>
      <w:r>
        <w:t>seu patrimônio, material ou imaterial, concretizando interesses</w:t>
      </w:r>
      <w:r>
        <w:rPr>
          <w:spacing w:val="-1"/>
        </w:rPr>
        <w:t xml:space="preserve"> </w:t>
      </w:r>
      <w:r>
        <w:t>da</w:t>
      </w:r>
      <w:r>
        <w:rPr>
          <w:spacing w:val="-1"/>
        </w:rPr>
        <w:t xml:space="preserve"> </w:t>
      </w:r>
      <w:r>
        <w:t>coletividade</w:t>
      </w:r>
      <w:r>
        <w:rPr>
          <w:spacing w:val="-2"/>
        </w:rPr>
        <w:t xml:space="preserve"> </w:t>
      </w:r>
      <w:r>
        <w:t>e</w:t>
      </w:r>
      <w:r>
        <w:rPr>
          <w:spacing w:val="-1"/>
        </w:rPr>
        <w:t xml:space="preserve"> </w:t>
      </w:r>
      <w:r>
        <w:t>o direito fundamental à probidade.</w:t>
      </w:r>
    </w:p>
    <w:p w:rsidR="007259F2" w:rsidRDefault="00E655B4">
      <w:pPr>
        <w:pStyle w:val="Corpodetexto"/>
        <w:ind w:right="993"/>
      </w:pPr>
      <w:r>
        <w:t>Portanto, apesar, de a Constituição atribuir ao Ministério Público (art. 129, III) legitimidade para a proteção do patrimônio público e social, tal dispositivo deve ser interpretado a luz das demais determinações constitucionais.</w:t>
      </w:r>
    </w:p>
    <w:p w:rsidR="007259F2" w:rsidRDefault="00E655B4">
      <w:pPr>
        <w:pStyle w:val="Corpodetexto"/>
        <w:spacing w:before="1"/>
        <w:ind w:right="990"/>
      </w:pPr>
      <w:r>
        <w:t>Ainda, há expressa disposição constitucional afastando a legitimação exclusiva do Parquet para o manejo das ações cíveis de proteção ao patrimônio público e demais interesses tutelados pelo ente (art. 129, § 1º).</w:t>
      </w:r>
    </w:p>
    <w:p w:rsidR="007259F2" w:rsidRDefault="00E655B4">
      <w:pPr>
        <w:pStyle w:val="Corpodetexto"/>
        <w:ind w:right="992"/>
      </w:pPr>
      <w:r>
        <w:t>Essa interpretação pode ser evidenciada, inclusive, pela previsão do art. 18 da Lei 8.429/92, com as modificações incluídas pela Lei 14.230/21, determinando o ressarcimento e a perda ou reversão de valores ilicitamente adquiridos em favor da pessoa jurídica lesada, ressaltando, em seu § 1º, que a liquidação do dano e</w:t>
      </w:r>
      <w:r>
        <w:rPr>
          <w:spacing w:val="40"/>
        </w:rPr>
        <w:t xml:space="preserve"> </w:t>
      </w:r>
      <w:r>
        <w:t>cumprimento da sentença, quanto ao ressarcimento, é de competência da própria pessoa jurídica vítima. Entendimento ancorado na vedação constitucional supracitada.</w:t>
      </w:r>
    </w:p>
    <w:p w:rsidR="007259F2" w:rsidRDefault="00E655B4">
      <w:pPr>
        <w:pStyle w:val="Corpodetexto"/>
        <w:ind w:right="996"/>
      </w:pPr>
      <w:r>
        <w:t>Ilustrativamente, a petição inicial da ADI 7043 subsidiou seus argumentos com expressivas estatísticas que denotam a proatividade, a eficiência e a relevância da atuação da</w:t>
      </w:r>
      <w:r>
        <w:rPr>
          <w:spacing w:val="-2"/>
        </w:rPr>
        <w:t xml:space="preserve"> </w:t>
      </w:r>
      <w:r>
        <w:t>Advocacia Pública Federal no combate à improbidade:</w:t>
      </w:r>
    </w:p>
    <w:p w:rsidR="007259F2" w:rsidRDefault="007259F2">
      <w:pPr>
        <w:pStyle w:val="Corpodetexto"/>
        <w:spacing w:before="2"/>
        <w:ind w:left="0" w:firstLine="0"/>
        <w:jc w:val="left"/>
      </w:pPr>
    </w:p>
    <w:p w:rsidR="007259F2" w:rsidRDefault="00E655B4">
      <w:pPr>
        <w:pStyle w:val="PargrafodaLista"/>
        <w:numPr>
          <w:ilvl w:val="0"/>
          <w:numId w:val="7"/>
        </w:numPr>
        <w:tabs>
          <w:tab w:val="left" w:pos="3339"/>
        </w:tabs>
        <w:ind w:left="3339" w:hanging="361"/>
        <w:rPr>
          <w:sz w:val="20"/>
        </w:rPr>
      </w:pPr>
      <w:r>
        <w:rPr>
          <w:sz w:val="20"/>
        </w:rPr>
        <w:t>No</w:t>
      </w:r>
      <w:r>
        <w:rPr>
          <w:spacing w:val="54"/>
          <w:sz w:val="20"/>
        </w:rPr>
        <w:t xml:space="preserve"> </w:t>
      </w:r>
      <w:r>
        <w:rPr>
          <w:sz w:val="20"/>
        </w:rPr>
        <w:t>que</w:t>
      </w:r>
      <w:r>
        <w:rPr>
          <w:spacing w:val="56"/>
          <w:sz w:val="20"/>
        </w:rPr>
        <w:t xml:space="preserve"> </w:t>
      </w:r>
      <w:r>
        <w:rPr>
          <w:sz w:val="20"/>
        </w:rPr>
        <w:t>diz</w:t>
      </w:r>
      <w:r>
        <w:rPr>
          <w:spacing w:val="53"/>
          <w:sz w:val="20"/>
        </w:rPr>
        <w:t xml:space="preserve"> </w:t>
      </w:r>
      <w:r>
        <w:rPr>
          <w:sz w:val="20"/>
        </w:rPr>
        <w:t>respeito</w:t>
      </w:r>
      <w:r>
        <w:rPr>
          <w:spacing w:val="57"/>
          <w:sz w:val="20"/>
        </w:rPr>
        <w:t xml:space="preserve"> </w:t>
      </w:r>
      <w:r>
        <w:rPr>
          <w:sz w:val="20"/>
        </w:rPr>
        <w:t>às</w:t>
      </w:r>
      <w:r>
        <w:rPr>
          <w:spacing w:val="55"/>
          <w:sz w:val="20"/>
        </w:rPr>
        <w:t xml:space="preserve"> </w:t>
      </w:r>
      <w:r>
        <w:rPr>
          <w:sz w:val="20"/>
        </w:rPr>
        <w:t>ações</w:t>
      </w:r>
      <w:r>
        <w:rPr>
          <w:spacing w:val="54"/>
          <w:sz w:val="20"/>
        </w:rPr>
        <w:t xml:space="preserve"> </w:t>
      </w:r>
      <w:r>
        <w:rPr>
          <w:sz w:val="20"/>
        </w:rPr>
        <w:t>de</w:t>
      </w:r>
      <w:r>
        <w:rPr>
          <w:spacing w:val="56"/>
          <w:sz w:val="20"/>
        </w:rPr>
        <w:t xml:space="preserve"> </w:t>
      </w:r>
      <w:r>
        <w:rPr>
          <w:sz w:val="20"/>
        </w:rPr>
        <w:t>improbidade</w:t>
      </w:r>
      <w:r>
        <w:rPr>
          <w:spacing w:val="54"/>
          <w:sz w:val="20"/>
        </w:rPr>
        <w:t xml:space="preserve"> </w:t>
      </w:r>
      <w:r>
        <w:rPr>
          <w:sz w:val="20"/>
        </w:rPr>
        <w:t>ajuizadas</w:t>
      </w:r>
      <w:r>
        <w:rPr>
          <w:spacing w:val="55"/>
          <w:sz w:val="20"/>
        </w:rPr>
        <w:t xml:space="preserve"> </w:t>
      </w:r>
      <w:r>
        <w:rPr>
          <w:sz w:val="20"/>
        </w:rPr>
        <w:t>pela</w:t>
      </w:r>
      <w:r>
        <w:rPr>
          <w:spacing w:val="56"/>
          <w:sz w:val="20"/>
        </w:rPr>
        <w:t xml:space="preserve"> </w:t>
      </w:r>
      <w:r>
        <w:rPr>
          <w:spacing w:val="-4"/>
          <w:sz w:val="20"/>
        </w:rPr>
        <w:t>AGU,</w:t>
      </w:r>
    </w:p>
    <w:p w:rsidR="007259F2" w:rsidRDefault="007259F2">
      <w:pPr>
        <w:pStyle w:val="PargrafodaLista"/>
        <w:jc w:val="left"/>
        <w:rPr>
          <w:sz w:val="20"/>
        </w:rPr>
        <w:sectPr w:rsidR="007259F2">
          <w:pgSz w:w="11910" w:h="16840"/>
          <w:pgMar w:top="1320" w:right="708" w:bottom="1160" w:left="992" w:header="0" w:footer="962" w:gutter="0"/>
          <w:cols w:space="720"/>
        </w:sectPr>
      </w:pPr>
    </w:p>
    <w:p w:rsidR="007259F2" w:rsidRDefault="00E655B4">
      <w:pPr>
        <w:spacing w:before="71"/>
        <w:ind w:left="2978" w:right="992"/>
        <w:jc w:val="both"/>
        <w:rPr>
          <w:sz w:val="20"/>
        </w:rPr>
      </w:pPr>
      <w:r>
        <w:rPr>
          <w:sz w:val="20"/>
        </w:rPr>
        <w:lastRenderedPageBreak/>
        <w:t>somente em</w:t>
      </w:r>
      <w:r>
        <w:rPr>
          <w:spacing w:val="-1"/>
          <w:sz w:val="20"/>
        </w:rPr>
        <w:t xml:space="preserve"> </w:t>
      </w:r>
      <w:r>
        <w:rPr>
          <w:sz w:val="20"/>
        </w:rPr>
        <w:t>2018, o Grupo Permanente de Atuação Proativa, vinculado ao já mencionado Departamento de Patrimônio e Probidade, propôs 4.345 ações e arrecadou R$ 461,91 milhões ao erário. Ante os excelentes resultados, foi aberto processo seletivo para até 60 Advogados da União reforçarem a</w:t>
      </w:r>
      <w:r>
        <w:rPr>
          <w:spacing w:val="80"/>
          <w:sz w:val="20"/>
        </w:rPr>
        <w:t xml:space="preserve"> </w:t>
      </w:r>
      <w:r>
        <w:rPr>
          <w:sz w:val="20"/>
        </w:rPr>
        <w:t>equipe do Grupo Permanente, que já contava com cerca de 100 membros.</w:t>
      </w:r>
    </w:p>
    <w:p w:rsidR="007259F2" w:rsidRDefault="00E655B4">
      <w:pPr>
        <w:pStyle w:val="PargrafodaLista"/>
        <w:numPr>
          <w:ilvl w:val="0"/>
          <w:numId w:val="7"/>
        </w:numPr>
        <w:tabs>
          <w:tab w:val="left" w:pos="3315"/>
        </w:tabs>
        <w:spacing w:before="2"/>
        <w:ind w:left="2978" w:right="998" w:firstLine="0"/>
        <w:jc w:val="both"/>
        <w:rPr>
          <w:sz w:val="20"/>
        </w:rPr>
      </w:pPr>
      <w:r>
        <w:rPr>
          <w:sz w:val="20"/>
        </w:rPr>
        <w:t>Em 2019, a instituição cobrou cerca de R$ 4,1 bilhões em 200 ações contra agentes ímprobos. No ano anterior, 2018, o montante havia alcançado R$ 713 milhões.</w:t>
      </w:r>
    </w:p>
    <w:p w:rsidR="007259F2" w:rsidRDefault="00E655B4">
      <w:pPr>
        <w:pStyle w:val="PargrafodaLista"/>
        <w:numPr>
          <w:ilvl w:val="0"/>
          <w:numId w:val="7"/>
        </w:numPr>
        <w:tabs>
          <w:tab w:val="left" w:pos="3337"/>
        </w:tabs>
        <w:ind w:left="2978" w:right="985" w:firstLine="0"/>
        <w:jc w:val="both"/>
        <w:rPr>
          <w:sz w:val="20"/>
        </w:rPr>
      </w:pPr>
      <w:r>
        <w:rPr>
          <w:sz w:val="20"/>
        </w:rPr>
        <w:t>Ademais, após a criação da Equipe de Trabalho Remoto Probidade Administrativa (ETR Probidade) no âmbito da Procuradoria-Geral Federal (PGF), órgão vinculado à Advocacia-Geral da União, a quantidade de ações de improbidade ajuizadas teve um considerável incremento: o período 2016- 2020 registrou, em média, 571% mais ações de improbidade do que no período 2002-2015.</w:t>
      </w:r>
    </w:p>
    <w:p w:rsidR="007259F2" w:rsidRDefault="00E655B4">
      <w:pPr>
        <w:pStyle w:val="PargrafodaLista"/>
        <w:numPr>
          <w:ilvl w:val="0"/>
          <w:numId w:val="7"/>
        </w:numPr>
        <w:tabs>
          <w:tab w:val="left" w:pos="3310"/>
        </w:tabs>
        <w:ind w:left="2978" w:right="991" w:firstLine="0"/>
        <w:jc w:val="both"/>
        <w:rPr>
          <w:sz w:val="20"/>
        </w:rPr>
      </w:pPr>
      <w:r>
        <w:rPr>
          <w:sz w:val="20"/>
        </w:rPr>
        <w:t>Em relação ao significativo incremento, importante pontuar ainda que, segundo informações trazidas na peça vestibular da ADI nº 7.043/DF, entre</w:t>
      </w:r>
      <w:r>
        <w:rPr>
          <w:spacing w:val="40"/>
          <w:sz w:val="20"/>
        </w:rPr>
        <w:t xml:space="preserve"> </w:t>
      </w:r>
      <w:r>
        <w:rPr>
          <w:sz w:val="20"/>
        </w:rPr>
        <w:t>os anos de 2016 e 2021 foram instaurados, apenas na PGF, 2.708 Procedimentos de Instrução Preliminar (PIPs), por força do envio de informações das entidades federais representadas pela PGF. Isso representa uma média de 451,3 procedimentos insaturados por ano.</w:t>
      </w:r>
    </w:p>
    <w:p w:rsidR="007259F2" w:rsidRDefault="00E655B4">
      <w:pPr>
        <w:pStyle w:val="PargrafodaLista"/>
        <w:numPr>
          <w:ilvl w:val="0"/>
          <w:numId w:val="7"/>
        </w:numPr>
        <w:tabs>
          <w:tab w:val="left" w:pos="3289"/>
        </w:tabs>
        <w:ind w:left="2978" w:right="992" w:firstLine="0"/>
        <w:jc w:val="both"/>
        <w:rPr>
          <w:sz w:val="20"/>
        </w:rPr>
      </w:pPr>
      <w:r>
        <w:rPr>
          <w:sz w:val="20"/>
        </w:rPr>
        <w:t>Por outro lado, tais procedimentos preliminares ensejaram o ajuizamento de 1.060 ações de improbidade administrativa, correspondendo a 39% do volume total de PIPs insaturados, o que demonstra a seriedade e a cautela no cumprimento do dever de controle e persecução do ato de improbidade administrativa pelos</w:t>
      </w:r>
      <w:r>
        <w:rPr>
          <w:spacing w:val="-1"/>
          <w:sz w:val="20"/>
        </w:rPr>
        <w:t xml:space="preserve"> </w:t>
      </w:r>
      <w:r>
        <w:rPr>
          <w:sz w:val="20"/>
        </w:rPr>
        <w:t>órgãos</w:t>
      </w:r>
      <w:r>
        <w:rPr>
          <w:spacing w:val="-1"/>
          <w:sz w:val="20"/>
        </w:rPr>
        <w:t xml:space="preserve"> </w:t>
      </w:r>
      <w:r>
        <w:rPr>
          <w:sz w:val="20"/>
        </w:rPr>
        <w:t>federais, através</w:t>
      </w:r>
      <w:r>
        <w:rPr>
          <w:spacing w:val="-1"/>
          <w:sz w:val="20"/>
        </w:rPr>
        <w:t xml:space="preserve"> </w:t>
      </w:r>
      <w:r>
        <w:rPr>
          <w:sz w:val="20"/>
        </w:rPr>
        <w:t>da autuação da</w:t>
      </w:r>
      <w:r>
        <w:rPr>
          <w:spacing w:val="-3"/>
          <w:sz w:val="20"/>
        </w:rPr>
        <w:t xml:space="preserve"> </w:t>
      </w:r>
      <w:r>
        <w:rPr>
          <w:sz w:val="20"/>
        </w:rPr>
        <w:t>Advocacia-Geral da União e da Procuradoria-Geral Federal.</w:t>
      </w:r>
    </w:p>
    <w:p w:rsidR="007259F2" w:rsidRDefault="007259F2">
      <w:pPr>
        <w:pStyle w:val="Corpodetexto"/>
        <w:spacing w:before="164"/>
        <w:ind w:left="0" w:firstLine="0"/>
        <w:jc w:val="left"/>
        <w:rPr>
          <w:sz w:val="20"/>
        </w:rPr>
      </w:pPr>
    </w:p>
    <w:p w:rsidR="007259F2" w:rsidRDefault="00E655B4">
      <w:pPr>
        <w:pStyle w:val="Corpodetexto"/>
        <w:spacing w:before="1"/>
        <w:ind w:right="991"/>
      </w:pPr>
      <w:r>
        <w:t>No âmbito do Município de São Paulo, segundo informações obtidas por meio</w:t>
      </w:r>
      <w:r>
        <w:rPr>
          <w:spacing w:val="40"/>
        </w:rPr>
        <w:t xml:space="preserve"> </w:t>
      </w:r>
      <w:r>
        <w:t>do Sistema Eletrônico de Informação ao Cidadão - e-SIC e disponíveis na página da Procuradoria- Geral do Município na rede social Instagram, entre 2017 e 2023 foram ajuizadas mais de 160 ações de improbidade administrativa pelo Departamento de Procedimentos Disciplinares – PROCED, o que corresponde a persecução de aproximadamente R$ 545 milhões aos cofres públicos.</w:t>
      </w:r>
    </w:p>
    <w:p w:rsidR="007259F2" w:rsidRDefault="00E655B4">
      <w:pPr>
        <w:pStyle w:val="Corpodetexto"/>
        <w:ind w:right="995"/>
      </w:pPr>
      <w:r>
        <w:t>A título de comparação, o Ministério Público, no período compreendido entre 2018 e 2022, ajuizou, em todo o Estado de São Paulo 2.174, segundo informações obtidas pelo Sistema Eletrônico de Informação ao Cidadão - e-SIC.</w:t>
      </w:r>
    </w:p>
    <w:p w:rsidR="007259F2" w:rsidRDefault="00E655B4">
      <w:pPr>
        <w:pStyle w:val="Corpodetexto"/>
        <w:ind w:right="991"/>
      </w:pPr>
      <w:r>
        <w:t>Assim sendo, restringir a proteção da probidade apenas ao Ministério Público representaria violação a eficiência do sistema de proteção da probidade, constitucionalmente delimitado, considerando que em diversos casos ainda seria necessária a participação do ente jurídico lesado, mesmo que este não detenha legitimidade para promover tal responsabilização.</w:t>
      </w:r>
    </w:p>
    <w:p w:rsidR="007259F2" w:rsidRDefault="00E655B4">
      <w:pPr>
        <w:pStyle w:val="Corpodetexto"/>
        <w:spacing w:before="1"/>
        <w:ind w:right="993"/>
      </w:pPr>
      <w:r>
        <w:t>Necessário, ademais, consignar que, conforme assentado no voto condutor do Ministro</w:t>
      </w:r>
      <w:r>
        <w:rPr>
          <w:spacing w:val="-3"/>
        </w:rPr>
        <w:t xml:space="preserve"> </w:t>
      </w:r>
      <w:r>
        <w:t>Alexandre de Moraes (ADI’s 7042 e 7043), a restrição a legitimidade ativa da pessoa jurídica interessada, em última análise, incorre em violação ao princípio da inafastabilidade da jurisdição (art. 5º XXXV), ao impedir que a parte lesada recorra ao Poder Judiciário para repressão ao ato lesivo:</w:t>
      </w:r>
    </w:p>
    <w:p w:rsidR="007259F2" w:rsidRDefault="007259F2">
      <w:pPr>
        <w:pStyle w:val="Corpodetexto"/>
        <w:spacing w:before="1"/>
        <w:ind w:left="0" w:firstLine="0"/>
        <w:jc w:val="left"/>
      </w:pPr>
    </w:p>
    <w:p w:rsidR="007259F2" w:rsidRDefault="00E655B4">
      <w:pPr>
        <w:ind w:left="2978" w:right="987"/>
        <w:jc w:val="both"/>
        <w:rPr>
          <w:sz w:val="20"/>
        </w:rPr>
      </w:pPr>
      <w:r>
        <w:rPr>
          <w:sz w:val="20"/>
        </w:rPr>
        <w:t>Nesse</w:t>
      </w:r>
      <w:r>
        <w:rPr>
          <w:spacing w:val="-2"/>
          <w:sz w:val="20"/>
        </w:rPr>
        <w:t xml:space="preserve"> </w:t>
      </w:r>
      <w:r>
        <w:rPr>
          <w:sz w:val="20"/>
        </w:rPr>
        <w:t>contexto,</w:t>
      </w:r>
      <w:r>
        <w:rPr>
          <w:spacing w:val="-2"/>
          <w:sz w:val="20"/>
        </w:rPr>
        <w:t xml:space="preserve"> </w:t>
      </w:r>
      <w:r>
        <w:rPr>
          <w:sz w:val="20"/>
        </w:rPr>
        <w:t>portanto,</w:t>
      </w:r>
      <w:r>
        <w:rPr>
          <w:spacing w:val="-2"/>
          <w:sz w:val="20"/>
        </w:rPr>
        <w:t xml:space="preserve"> </w:t>
      </w:r>
      <w:r>
        <w:rPr>
          <w:sz w:val="20"/>
        </w:rPr>
        <w:t>conforme</w:t>
      </w:r>
      <w:r>
        <w:rPr>
          <w:spacing w:val="-2"/>
          <w:sz w:val="20"/>
        </w:rPr>
        <w:t xml:space="preserve"> </w:t>
      </w:r>
      <w:r>
        <w:rPr>
          <w:sz w:val="20"/>
        </w:rPr>
        <w:t>assentei</w:t>
      </w:r>
      <w:r>
        <w:rPr>
          <w:spacing w:val="-2"/>
          <w:sz w:val="20"/>
        </w:rPr>
        <w:t xml:space="preserve"> </w:t>
      </w:r>
      <w:r>
        <w:rPr>
          <w:sz w:val="20"/>
        </w:rPr>
        <w:t>na</w:t>
      </w:r>
      <w:r>
        <w:rPr>
          <w:spacing w:val="-2"/>
          <w:sz w:val="20"/>
        </w:rPr>
        <w:t xml:space="preserve"> </w:t>
      </w:r>
      <w:r>
        <w:rPr>
          <w:sz w:val="20"/>
        </w:rPr>
        <w:t>decisão</w:t>
      </w:r>
      <w:r>
        <w:rPr>
          <w:spacing w:val="-1"/>
          <w:sz w:val="20"/>
        </w:rPr>
        <w:t xml:space="preserve"> </w:t>
      </w:r>
      <w:r>
        <w:rPr>
          <w:sz w:val="20"/>
        </w:rPr>
        <w:t>concessiva</w:t>
      </w:r>
      <w:r>
        <w:rPr>
          <w:spacing w:val="-2"/>
          <w:sz w:val="20"/>
        </w:rPr>
        <w:t xml:space="preserve"> </w:t>
      </w:r>
      <w:r>
        <w:rPr>
          <w:sz w:val="20"/>
        </w:rPr>
        <w:t>da medida cautelar, além de configurar uma espécie de monopólio inexistente sequer</w:t>
      </w:r>
      <w:r>
        <w:rPr>
          <w:spacing w:val="80"/>
          <w:sz w:val="20"/>
        </w:rPr>
        <w:t xml:space="preserve"> </w:t>
      </w:r>
      <w:r>
        <w:rPr>
          <w:sz w:val="20"/>
        </w:rPr>
        <w:t>nas ações penais públicas, em razão da instituição da ação penal subsidiária no rol de</w:t>
      </w:r>
      <w:r>
        <w:rPr>
          <w:spacing w:val="-1"/>
          <w:sz w:val="20"/>
        </w:rPr>
        <w:t xml:space="preserve"> </w:t>
      </w:r>
      <w:r>
        <w:rPr>
          <w:sz w:val="20"/>
        </w:rPr>
        <w:t xml:space="preserve">direitos e garantias fundamentais (CF, art. 5º, LIX), </w:t>
      </w:r>
      <w:r>
        <w:rPr>
          <w:b/>
          <w:sz w:val="20"/>
        </w:rPr>
        <w:t>a supressão da legitimidade ativa das pessoas jurídicas interessadas para a propositura da ação por ato de improbidade administrativa representa uma grave e inconstitucional limitação ao amplo acesso à jurisdição (CF, art. 5º, XXXV)</w:t>
      </w:r>
      <w:r>
        <w:rPr>
          <w:sz w:val="20"/>
        </w:rPr>
        <w:t xml:space="preserve">, com ferimento ao </w:t>
      </w:r>
      <w:r>
        <w:rPr>
          <w:b/>
          <w:sz w:val="20"/>
        </w:rPr>
        <w:t xml:space="preserve">princípio da eficiência (CF, art. 37, caput) </w:t>
      </w:r>
      <w:r>
        <w:rPr>
          <w:sz w:val="20"/>
        </w:rPr>
        <w:t>e significativo</w:t>
      </w:r>
      <w:r>
        <w:rPr>
          <w:spacing w:val="30"/>
          <w:sz w:val="20"/>
        </w:rPr>
        <w:t xml:space="preserve"> </w:t>
      </w:r>
      <w:r>
        <w:rPr>
          <w:b/>
          <w:sz w:val="20"/>
        </w:rPr>
        <w:t>retrocesso</w:t>
      </w:r>
      <w:r>
        <w:rPr>
          <w:b/>
          <w:spacing w:val="31"/>
          <w:sz w:val="20"/>
        </w:rPr>
        <w:t xml:space="preserve"> </w:t>
      </w:r>
      <w:r>
        <w:rPr>
          <w:sz w:val="20"/>
        </w:rPr>
        <w:t>quanto</w:t>
      </w:r>
      <w:r>
        <w:rPr>
          <w:spacing w:val="30"/>
          <w:sz w:val="20"/>
        </w:rPr>
        <w:t xml:space="preserve"> </w:t>
      </w:r>
      <w:r>
        <w:rPr>
          <w:sz w:val="20"/>
        </w:rPr>
        <w:t>ao</w:t>
      </w:r>
      <w:r>
        <w:rPr>
          <w:spacing w:val="31"/>
          <w:sz w:val="20"/>
        </w:rPr>
        <w:t xml:space="preserve"> </w:t>
      </w:r>
      <w:r>
        <w:rPr>
          <w:sz w:val="20"/>
        </w:rPr>
        <w:t>imperativo</w:t>
      </w:r>
      <w:r>
        <w:rPr>
          <w:spacing w:val="30"/>
          <w:sz w:val="20"/>
        </w:rPr>
        <w:t xml:space="preserve"> </w:t>
      </w:r>
      <w:r>
        <w:rPr>
          <w:sz w:val="20"/>
        </w:rPr>
        <w:t>constitucional</w:t>
      </w:r>
      <w:r>
        <w:rPr>
          <w:spacing w:val="29"/>
          <w:sz w:val="20"/>
        </w:rPr>
        <w:t xml:space="preserve"> </w:t>
      </w:r>
      <w:r>
        <w:rPr>
          <w:sz w:val="20"/>
        </w:rPr>
        <w:t>de</w:t>
      </w:r>
      <w:r>
        <w:rPr>
          <w:spacing w:val="29"/>
          <w:sz w:val="20"/>
        </w:rPr>
        <w:t xml:space="preserve"> </w:t>
      </w:r>
      <w:r>
        <w:rPr>
          <w:sz w:val="20"/>
        </w:rPr>
        <w:t>combate</w:t>
      </w:r>
      <w:r>
        <w:rPr>
          <w:spacing w:val="29"/>
          <w:sz w:val="20"/>
        </w:rPr>
        <w:t xml:space="preserve"> </w:t>
      </w:r>
      <w:r>
        <w:rPr>
          <w:spacing w:val="-10"/>
          <w:sz w:val="20"/>
        </w:rPr>
        <w:t>à</w:t>
      </w:r>
    </w:p>
    <w:p w:rsidR="007259F2" w:rsidRDefault="007259F2">
      <w:pPr>
        <w:jc w:val="both"/>
        <w:rPr>
          <w:sz w:val="20"/>
        </w:rPr>
        <w:sectPr w:rsidR="007259F2">
          <w:pgSz w:w="11910" w:h="16840"/>
          <w:pgMar w:top="1320" w:right="708" w:bottom="1160" w:left="992" w:header="0" w:footer="962" w:gutter="0"/>
          <w:cols w:space="720"/>
        </w:sectPr>
      </w:pPr>
    </w:p>
    <w:p w:rsidR="007259F2" w:rsidRDefault="00E655B4">
      <w:pPr>
        <w:spacing w:before="71"/>
        <w:ind w:left="2978" w:right="991"/>
        <w:jc w:val="both"/>
        <w:rPr>
          <w:sz w:val="20"/>
        </w:rPr>
      </w:pPr>
      <w:r>
        <w:rPr>
          <w:sz w:val="20"/>
        </w:rPr>
        <w:lastRenderedPageBreak/>
        <w:t xml:space="preserve">improbidade administrativa, e, no limite, um </w:t>
      </w:r>
      <w:r>
        <w:rPr>
          <w:b/>
          <w:sz w:val="20"/>
        </w:rPr>
        <w:t xml:space="preserve">injustificável obstáculo ao exercício de competência comum da União, dos Estados, do Distrito Federal e dos Municípios </w:t>
      </w:r>
      <w:r>
        <w:rPr>
          <w:sz w:val="20"/>
        </w:rPr>
        <w:t>para “zelar pela guarda da Constituição” e “conservar o patrimônio público” (CF, art. 23, I).</w:t>
      </w:r>
    </w:p>
    <w:p w:rsidR="007259F2" w:rsidRDefault="007259F2">
      <w:pPr>
        <w:pStyle w:val="Corpodetexto"/>
        <w:spacing w:before="46"/>
        <w:ind w:left="0" w:firstLine="0"/>
        <w:jc w:val="left"/>
        <w:rPr>
          <w:sz w:val="20"/>
        </w:rPr>
      </w:pPr>
    </w:p>
    <w:p w:rsidR="007259F2" w:rsidRDefault="00E655B4">
      <w:pPr>
        <w:pStyle w:val="Corpodetexto"/>
        <w:ind w:right="992"/>
      </w:pPr>
      <w:r>
        <w:t>Portando, dois problemas (ao menos) se põem à legitimidade exclusiva do Ministério Público nas ações de improbidade administrativa: a obstaculização da competência (poder-dever) de proteção das instituições e do patrimônio público e maculação do princípio da inafastabilidade da jurisdição.</w:t>
      </w:r>
    </w:p>
    <w:p w:rsidR="007259F2" w:rsidRDefault="00E655B4">
      <w:pPr>
        <w:pStyle w:val="Corpodetexto"/>
        <w:ind w:right="989"/>
      </w:pPr>
      <w:r>
        <w:t>A Constituição demonstrou imponente zelo e preocupação com a retidão de conduta no interior da Administração, instituindo um sistema pluriparticipativo de repressão aos atos de improbidade, de modo que seria, no mínimo, incongruente a restrição subjetiva desse sistema por parte do legislador ordinário.</w:t>
      </w:r>
    </w:p>
    <w:p w:rsidR="007259F2" w:rsidRDefault="00E655B4">
      <w:pPr>
        <w:pStyle w:val="Corpodetexto"/>
        <w:spacing w:before="1"/>
        <w:ind w:right="994"/>
      </w:pPr>
      <w:r>
        <w:t>Cabe aqui ressaltar que não há, no texto constitucional, qualquer menção a exclusividade do Parquet na defesa do patrimônio e na repressão dos atos ímprobos, o que há, na verdade, é o expresso afastamento de tal restrição, conforme disposto no § 1º do art. 129 “A legitimação do Ministério Público para as ações civis previstas neste artigo não impede a de terceiros, nas mesmas hipóteses, segundo o disposto nesta Constituição e na lei”.</w:t>
      </w:r>
    </w:p>
    <w:p w:rsidR="007259F2" w:rsidRDefault="00E655B4">
      <w:pPr>
        <w:pStyle w:val="Corpodetexto"/>
        <w:ind w:right="987"/>
      </w:pPr>
      <w:r>
        <w:t>Ainda, não se pode, é claro, na esteira da defesa do interesse público secundário, desconsiderar o papel da Advocacia Pública, função essencial à justiça, na tutela dos interesses dos entes administrativos, por meio de representação, judicial ou</w:t>
      </w:r>
      <w:r>
        <w:rPr>
          <w:spacing w:val="40"/>
        </w:rPr>
        <w:t xml:space="preserve"> </w:t>
      </w:r>
      <w:r>
        <w:t>extrajudicial, consultoria e assessoramento do Poder Executivo (art. 131, CF).</w:t>
      </w:r>
    </w:p>
    <w:p w:rsidR="007259F2" w:rsidRDefault="00E655B4">
      <w:pPr>
        <w:pStyle w:val="Corpodetexto"/>
        <w:ind w:right="994"/>
      </w:pPr>
      <w:r>
        <w:t>Essa restrição importaria, portanto, em violação à autonomia dos órgãos da Advocacia Pública, tendo em vista a subtração de uma de suas prerrogativas de ação, subordinando a realização de sua função constitucional a atuação de instituição.</w:t>
      </w:r>
    </w:p>
    <w:p w:rsidR="007259F2" w:rsidRDefault="00E655B4">
      <w:pPr>
        <w:pStyle w:val="Corpodetexto"/>
        <w:spacing w:before="1"/>
        <w:ind w:right="993"/>
      </w:pPr>
      <w:r>
        <w:t>Tal esvaziamento foi, inclusive, destacado em trecho do voto, já citado, do Ministro André Mendonça, invocando a necessidade de observância da teoria dos poderes implícitos no que diz respeito à atuação da pessoa jurídica lesada, cuja transcrição se faz necessária:</w:t>
      </w:r>
    </w:p>
    <w:p w:rsidR="007259F2" w:rsidRDefault="00E655B4">
      <w:pPr>
        <w:pStyle w:val="PargrafodaLista"/>
        <w:numPr>
          <w:ilvl w:val="0"/>
          <w:numId w:val="30"/>
        </w:numPr>
        <w:tabs>
          <w:tab w:val="left" w:pos="3320"/>
        </w:tabs>
        <w:spacing w:before="275"/>
        <w:ind w:right="990" w:firstLine="0"/>
        <w:jc w:val="both"/>
        <w:rPr>
          <w:sz w:val="20"/>
        </w:rPr>
      </w:pPr>
      <w:r>
        <w:rPr>
          <w:sz w:val="20"/>
        </w:rPr>
        <w:t>Afinal, (i) se, conforme dispõe o art. 23, inc. I, da CRFB, aos entes públicos é outorgada a competência administrativa comum para “zelar pela guarda da Constituição, das leis e das instituições democráticas e conservar o patrimônio público”; e (ii) se a defesa da probidade está inserida no § 4º do art. 37 da Constituição ou, mais precisamente, no seu Capítulo VII, que trata da “Administração Pública”: está implícito que de tal atribuição devem</w:t>
      </w:r>
      <w:r>
        <w:rPr>
          <w:spacing w:val="40"/>
          <w:sz w:val="20"/>
        </w:rPr>
        <w:t xml:space="preserve"> </w:t>
      </w:r>
      <w:r>
        <w:rPr>
          <w:sz w:val="20"/>
        </w:rPr>
        <w:t>ressair os instrumentos necessários à sua concretização, tais como o ajuizamento da correspondente ação de improbidade administrativa.</w:t>
      </w:r>
    </w:p>
    <w:p w:rsidR="007259F2" w:rsidRDefault="00E655B4">
      <w:pPr>
        <w:pStyle w:val="PargrafodaLista"/>
        <w:numPr>
          <w:ilvl w:val="0"/>
          <w:numId w:val="30"/>
        </w:numPr>
        <w:tabs>
          <w:tab w:val="left" w:pos="3394"/>
        </w:tabs>
        <w:spacing w:before="1"/>
        <w:ind w:right="989" w:firstLine="0"/>
        <w:jc w:val="both"/>
        <w:rPr>
          <w:sz w:val="20"/>
        </w:rPr>
      </w:pPr>
      <w:r>
        <w:rPr>
          <w:sz w:val="20"/>
        </w:rPr>
        <w:t>Quanto ao ponto, rememora-se ainda, por pertinente, relevante observação feita pelo e. Ministro Alexandre de Moraes em passagem final da decisão cautelar proferida, chamando a atenção para a sistemática constitucional relativa à titularidade da própria ação penal pública. 49. Nesse ponto, a Constituição foi expressa ao reservar como única função judicial privativa ao Ministério Público a ação penal pública (art. 129, inc. I). A contrario sensu, todas as demais ações públicas, de qualquer natureza, por força da Constituição, não são privativas ao Parquet. 50. Ainda, importante notar que, mesmo quanto ao manejo da ação penal pública, em</w:t>
      </w:r>
      <w:r>
        <w:rPr>
          <w:spacing w:val="-2"/>
          <w:sz w:val="20"/>
        </w:rPr>
        <w:t xml:space="preserve"> </w:t>
      </w:r>
      <w:r>
        <w:rPr>
          <w:sz w:val="20"/>
        </w:rPr>
        <w:t>relação à qual o Parquet é o seu privativo “dominus litis”, a Constituição expressou como direito fundamental que “será admitida ação privada nos crimes de ação pública, se esta não for intentada no prazo legal” (art. 5º, inc. LIX). Ora, se</w:t>
      </w:r>
      <w:r>
        <w:rPr>
          <w:spacing w:val="40"/>
          <w:sz w:val="20"/>
        </w:rPr>
        <w:t xml:space="preserve"> </w:t>
      </w:r>
      <w:r>
        <w:rPr>
          <w:sz w:val="20"/>
        </w:rPr>
        <w:t>até mesmo no âmbito penal, no tocante ao qual a Constituição da República preconiza a atuação privativa do Ministério Público enquanto dominus litis (art. 129, inc. I), assegura-se à vítima — se inerte o Parquet — a garantia fundamental de acionar o Poder Judiciário na busca da prestação de tutela de</w:t>
      </w:r>
    </w:p>
    <w:p w:rsidR="007259F2" w:rsidRDefault="007259F2">
      <w:pPr>
        <w:pStyle w:val="PargrafodaLista"/>
        <w:rPr>
          <w:sz w:val="20"/>
        </w:rPr>
        <w:sectPr w:rsidR="007259F2">
          <w:pgSz w:w="11910" w:h="16840"/>
          <w:pgMar w:top="1320" w:right="708" w:bottom="1160" w:left="992" w:header="0" w:footer="962" w:gutter="0"/>
          <w:cols w:space="720"/>
        </w:sectPr>
      </w:pPr>
    </w:p>
    <w:p w:rsidR="007259F2" w:rsidRDefault="00E655B4">
      <w:pPr>
        <w:spacing w:before="71"/>
        <w:ind w:left="2978" w:right="990"/>
        <w:jc w:val="both"/>
        <w:rPr>
          <w:sz w:val="20"/>
        </w:rPr>
      </w:pPr>
      <w:r>
        <w:rPr>
          <w:sz w:val="20"/>
        </w:rPr>
        <w:lastRenderedPageBreak/>
        <w:t>natureza penal, legitimando-a para o ajuizamento da medida processual adequada — no caso, pelo manejo da ação penal privada subsidiária da pública (art. 5º, inc. LIX); não há como afastar da vítima direta do ato ímprobo a legitimidade para postular em</w:t>
      </w:r>
      <w:r>
        <w:rPr>
          <w:spacing w:val="-1"/>
          <w:sz w:val="20"/>
        </w:rPr>
        <w:t xml:space="preserve"> </w:t>
      </w:r>
      <w:r>
        <w:rPr>
          <w:sz w:val="20"/>
        </w:rPr>
        <w:t xml:space="preserve">juízo a respectiva responsabilização adequada pelo ilícito, o que, in casu, se dá pelo manejo da ação de improbidade administrativa. Portanto, é inconstitucional excluir- se a legitimidade ativa do ente público vítima do ato de improbidade </w:t>
      </w:r>
      <w:r>
        <w:rPr>
          <w:spacing w:val="-2"/>
          <w:sz w:val="20"/>
        </w:rPr>
        <w:t>administrativa.</w:t>
      </w:r>
    </w:p>
    <w:p w:rsidR="007259F2" w:rsidRDefault="007259F2">
      <w:pPr>
        <w:pStyle w:val="Corpodetexto"/>
        <w:ind w:left="0" w:firstLine="0"/>
        <w:jc w:val="left"/>
        <w:rPr>
          <w:sz w:val="20"/>
        </w:rPr>
      </w:pPr>
    </w:p>
    <w:p w:rsidR="007259F2" w:rsidRDefault="00E655B4">
      <w:pPr>
        <w:pStyle w:val="Corpodetexto"/>
        <w:ind w:right="993"/>
      </w:pPr>
      <w:r>
        <w:t>A lógica é inegável, se a Constituição, como dito anteriormente, atribuiu à Administração a defesa do patrimônio público e das instituições, também lhe conferiu</w:t>
      </w:r>
      <w:r>
        <w:rPr>
          <w:spacing w:val="40"/>
        </w:rPr>
        <w:t xml:space="preserve"> </w:t>
      </w:r>
      <w:r>
        <w:t>os meios necessários para tanto. Em outras palavras, se a Constituição determina à Administração combate a improbidade administrativa, também lhe conferiu, por consequência, a legitimidade para reprimir judicialmente os atos ímprobos.</w:t>
      </w:r>
    </w:p>
    <w:p w:rsidR="007259F2" w:rsidRDefault="00E655B4">
      <w:pPr>
        <w:pStyle w:val="Corpodetexto"/>
        <w:spacing w:before="1"/>
        <w:ind w:right="991"/>
      </w:pPr>
      <w:r>
        <w:t>Isso considerado, a restrição do rol de legitimados nas ações improbidade, portanto, se afigura, no mínimo, incompatível com as determinações constitucionais vigentes, desvirtuando um sistema que se pretende plural e complementar, que prevê formas de atuação diversas e integrantes na tutela da probidade na Administração. Salutar é a conclusão exposta pelo Ministro Alexandre de Moraes no julgamento das ADI’s 7042 e 7043:</w:t>
      </w:r>
    </w:p>
    <w:p w:rsidR="007259F2" w:rsidRDefault="00E655B4">
      <w:pPr>
        <w:spacing w:before="1"/>
        <w:ind w:left="2978" w:right="987"/>
        <w:jc w:val="both"/>
        <w:rPr>
          <w:sz w:val="20"/>
        </w:rPr>
      </w:pPr>
      <w:r>
        <w:rPr>
          <w:sz w:val="20"/>
        </w:rPr>
        <w:t>Não se desconhece que a norma constitucional em questão [art. 129, § 1º] deixa certa margem de conformação ao legislador infraconstitucional para a disciplina e regulamentação da legitimação desses terceiros (o que, como abordarei na sequência, não significa, em absoluto, a inexistência de um</w:t>
      </w:r>
      <w:r>
        <w:rPr>
          <w:spacing w:val="40"/>
          <w:sz w:val="20"/>
        </w:rPr>
        <w:t xml:space="preserve"> </w:t>
      </w:r>
      <w:r>
        <w:rPr>
          <w:sz w:val="20"/>
        </w:rPr>
        <w:t>dever de coerência e racionalidade nesse exercício, buscando eficiência sistêmica no combate à corrupção e proteção ao patrimônio público em sentido amplo). A toda evidência, contudo, sua redação revela um comando impeditivo à previsão de exclusividade por parte do Ministério Público nas ações civis por ato de improbidade administrativa, impondo, assim, a necessidade de alguma espécie de concorrência de atuação.</w:t>
      </w:r>
    </w:p>
    <w:p w:rsidR="007259F2" w:rsidRDefault="00E655B4">
      <w:pPr>
        <w:pStyle w:val="Corpodetexto"/>
        <w:spacing w:before="200"/>
        <w:ind w:right="991"/>
      </w:pPr>
      <w:r>
        <w:t>Existem, outrossim, aspectos de ordem processual que revelam a incompatibilidade entre a previsão de legitimidade exclusiva do Ministério Público nas ações de improbidade e a sistemática da legitimidade enquanto pressuposto processual,</w:t>
      </w:r>
      <w:r>
        <w:rPr>
          <w:spacing w:val="40"/>
        </w:rPr>
        <w:t xml:space="preserve"> </w:t>
      </w:r>
      <w:r>
        <w:t>o que será abordado no tópico seguinte.</w:t>
      </w:r>
    </w:p>
    <w:p w:rsidR="007259F2" w:rsidRDefault="00E655B4">
      <w:pPr>
        <w:pStyle w:val="Heading2"/>
        <w:spacing w:before="204"/>
        <w:ind w:left="1418"/>
      </w:pPr>
      <w:r>
        <w:t>3.3</w:t>
      </w:r>
      <w:r>
        <w:rPr>
          <w:spacing w:val="-1"/>
        </w:rPr>
        <w:t xml:space="preserve"> </w:t>
      </w:r>
      <w:r>
        <w:t>Aspectos</w:t>
      </w:r>
      <w:r>
        <w:rPr>
          <w:spacing w:val="-1"/>
        </w:rPr>
        <w:t xml:space="preserve"> </w:t>
      </w:r>
      <w:r>
        <w:t>de</w:t>
      </w:r>
      <w:r>
        <w:rPr>
          <w:spacing w:val="-1"/>
        </w:rPr>
        <w:t xml:space="preserve"> </w:t>
      </w:r>
      <w:r>
        <w:t>Teoria</w:t>
      </w:r>
      <w:r>
        <w:rPr>
          <w:spacing w:val="1"/>
        </w:rPr>
        <w:t xml:space="preserve"> </w:t>
      </w:r>
      <w:r>
        <w:t>Geral</w:t>
      </w:r>
      <w:r>
        <w:rPr>
          <w:spacing w:val="-1"/>
        </w:rPr>
        <w:t xml:space="preserve"> </w:t>
      </w:r>
      <w:r>
        <w:t xml:space="preserve">do </w:t>
      </w:r>
      <w:r>
        <w:rPr>
          <w:spacing w:val="-2"/>
        </w:rPr>
        <w:t>Processo</w:t>
      </w:r>
    </w:p>
    <w:p w:rsidR="007259F2" w:rsidRDefault="00E655B4">
      <w:pPr>
        <w:pStyle w:val="Corpodetexto"/>
        <w:spacing w:before="116"/>
        <w:ind w:right="992"/>
      </w:pPr>
      <w:r>
        <w:t>Outras questões se põem quanto a compatibilidade ou incompatibilidade da restrição subjetiva promovida pela Lei 14.230/2021, essas de ordem processual e que evidenciam a necessidade de legitimação do ente jurídico lesado no combate à improbidade, a luz de uma eventual relação processual.</w:t>
      </w:r>
    </w:p>
    <w:p w:rsidR="007259F2" w:rsidRDefault="00E655B4">
      <w:pPr>
        <w:pStyle w:val="Corpodetexto"/>
        <w:ind w:right="995"/>
      </w:pPr>
      <w:r>
        <w:t>A primeira delas é o interesse de agir, que nada mais representa do que a exigência de socorro ao poder judiciário em busca da satisfação do interesse material (bem ou direito pleite- ado).</w:t>
      </w:r>
    </w:p>
    <w:p w:rsidR="007259F2" w:rsidRDefault="00E655B4">
      <w:pPr>
        <w:pStyle w:val="Corpodetexto"/>
        <w:ind w:right="991"/>
      </w:pPr>
      <w:r>
        <w:t>O interesse de agir é caracterizado pelo binômio necessidade- utilidade/adequação. A necessidade seria, portando, a configuração da via judiciária como a única forma de resolução do conflito de interesses que afeta o direito material.</w:t>
      </w:r>
      <w:r>
        <w:rPr>
          <w:spacing w:val="40"/>
        </w:rPr>
        <w:t xml:space="preserve"> </w:t>
      </w:r>
      <w:r>
        <w:t>Já a utilidade, por sua vez, diz respeito a possibilidade de a via processual fornecer o resultado pretendido pelo autor.</w:t>
      </w:r>
    </w:p>
    <w:p w:rsidR="007259F2" w:rsidRDefault="00E655B4">
      <w:pPr>
        <w:pStyle w:val="Corpodetexto"/>
        <w:ind w:right="992"/>
      </w:pPr>
      <w:r>
        <w:t>Em outras palavras, a parte apenas possuirá interesse processual caso tenha que, necessariamente, se utilizar da via judicial, e, ademais, possa, dessa forma, obter o provimento pleiteado.</w:t>
      </w:r>
    </w:p>
    <w:p w:rsidR="007259F2" w:rsidRDefault="00E655B4">
      <w:pPr>
        <w:pStyle w:val="Corpodetexto"/>
        <w:ind w:left="1418" w:firstLine="0"/>
      </w:pPr>
      <w:r>
        <w:t>No</w:t>
      </w:r>
      <w:r>
        <w:rPr>
          <w:spacing w:val="-3"/>
        </w:rPr>
        <w:t xml:space="preserve"> </w:t>
      </w:r>
      <w:r>
        <w:t>ponto,</w:t>
      </w:r>
      <w:r>
        <w:rPr>
          <w:spacing w:val="-1"/>
        </w:rPr>
        <w:t xml:space="preserve"> </w:t>
      </w:r>
      <w:r>
        <w:t>são</w:t>
      </w:r>
      <w:r>
        <w:rPr>
          <w:spacing w:val="-1"/>
        </w:rPr>
        <w:t xml:space="preserve"> </w:t>
      </w:r>
      <w:r>
        <w:t>elucidativos</w:t>
      </w:r>
      <w:r>
        <w:rPr>
          <w:spacing w:val="-1"/>
        </w:rPr>
        <w:t xml:space="preserve"> </w:t>
      </w:r>
      <w:r>
        <w:t>os comentários</w:t>
      </w:r>
      <w:r>
        <w:rPr>
          <w:spacing w:val="-1"/>
        </w:rPr>
        <w:t xml:space="preserve"> </w:t>
      </w:r>
      <w:r>
        <w:t>de</w:t>
      </w:r>
      <w:r>
        <w:rPr>
          <w:spacing w:val="-1"/>
        </w:rPr>
        <w:t xml:space="preserve"> </w:t>
      </w:r>
      <w:r>
        <w:t>Humberto</w:t>
      </w:r>
      <w:r>
        <w:rPr>
          <w:spacing w:val="-6"/>
        </w:rPr>
        <w:t xml:space="preserve"> </w:t>
      </w:r>
      <w:r>
        <w:t>Theodoro</w:t>
      </w:r>
      <w:r>
        <w:rPr>
          <w:spacing w:val="-1"/>
        </w:rPr>
        <w:t xml:space="preserve"> </w:t>
      </w:r>
      <w:r>
        <w:rPr>
          <w:spacing w:val="-2"/>
        </w:rPr>
        <w:t>Júnior:</w:t>
      </w:r>
    </w:p>
    <w:p w:rsidR="007259F2" w:rsidRDefault="007259F2">
      <w:pPr>
        <w:pStyle w:val="Corpodetexto"/>
        <w:sectPr w:rsidR="007259F2">
          <w:pgSz w:w="11910" w:h="16840"/>
          <w:pgMar w:top="1320" w:right="708" w:bottom="1160" w:left="992" w:header="0" w:footer="962" w:gutter="0"/>
          <w:cols w:space="720"/>
        </w:sectPr>
      </w:pPr>
    </w:p>
    <w:p w:rsidR="007259F2" w:rsidRDefault="00E655B4">
      <w:pPr>
        <w:spacing w:before="71"/>
        <w:ind w:left="2978" w:right="993"/>
        <w:jc w:val="both"/>
        <w:rPr>
          <w:sz w:val="20"/>
        </w:rPr>
      </w:pPr>
      <w:r>
        <w:rPr>
          <w:sz w:val="20"/>
        </w:rPr>
        <w:lastRenderedPageBreak/>
        <w:t>A</w:t>
      </w:r>
      <w:r>
        <w:rPr>
          <w:spacing w:val="-4"/>
          <w:sz w:val="20"/>
        </w:rPr>
        <w:t xml:space="preserve"> </w:t>
      </w:r>
      <w:r>
        <w:rPr>
          <w:sz w:val="20"/>
        </w:rPr>
        <w:t>primeira</w:t>
      </w:r>
      <w:r>
        <w:rPr>
          <w:spacing w:val="-2"/>
          <w:sz w:val="20"/>
        </w:rPr>
        <w:t xml:space="preserve"> </w:t>
      </w:r>
      <w:r>
        <w:rPr>
          <w:sz w:val="20"/>
        </w:rPr>
        <w:t>condição</w:t>
      </w:r>
      <w:r>
        <w:rPr>
          <w:spacing w:val="-1"/>
          <w:sz w:val="20"/>
        </w:rPr>
        <w:t xml:space="preserve"> </w:t>
      </w:r>
      <w:r>
        <w:rPr>
          <w:sz w:val="20"/>
        </w:rPr>
        <w:t>da</w:t>
      </w:r>
      <w:r>
        <w:rPr>
          <w:spacing w:val="-2"/>
          <w:sz w:val="20"/>
        </w:rPr>
        <w:t xml:space="preserve"> </w:t>
      </w:r>
      <w:r>
        <w:rPr>
          <w:sz w:val="20"/>
        </w:rPr>
        <w:t>ação</w:t>
      </w:r>
      <w:r>
        <w:rPr>
          <w:spacing w:val="-1"/>
          <w:sz w:val="20"/>
        </w:rPr>
        <w:t xml:space="preserve"> </w:t>
      </w:r>
      <w:r>
        <w:rPr>
          <w:sz w:val="20"/>
        </w:rPr>
        <w:t>é o</w:t>
      </w:r>
      <w:r>
        <w:rPr>
          <w:spacing w:val="-1"/>
          <w:sz w:val="20"/>
        </w:rPr>
        <w:t xml:space="preserve"> </w:t>
      </w:r>
      <w:r>
        <w:rPr>
          <w:sz w:val="20"/>
        </w:rPr>
        <w:t>interesse</w:t>
      </w:r>
      <w:r>
        <w:rPr>
          <w:spacing w:val="-2"/>
          <w:sz w:val="20"/>
        </w:rPr>
        <w:t xml:space="preserve"> </w:t>
      </w:r>
      <w:r>
        <w:rPr>
          <w:sz w:val="20"/>
        </w:rPr>
        <w:t>de</w:t>
      </w:r>
      <w:r>
        <w:rPr>
          <w:spacing w:val="-2"/>
          <w:sz w:val="20"/>
        </w:rPr>
        <w:t xml:space="preserve"> </w:t>
      </w:r>
      <w:r>
        <w:rPr>
          <w:sz w:val="20"/>
        </w:rPr>
        <w:t>agir,</w:t>
      </w:r>
      <w:r>
        <w:rPr>
          <w:spacing w:val="-2"/>
          <w:sz w:val="20"/>
        </w:rPr>
        <w:t xml:space="preserve"> </w:t>
      </w:r>
      <w:r>
        <w:rPr>
          <w:sz w:val="20"/>
        </w:rPr>
        <w:t>que não</w:t>
      </w:r>
      <w:r>
        <w:rPr>
          <w:spacing w:val="-1"/>
          <w:sz w:val="20"/>
        </w:rPr>
        <w:t xml:space="preserve"> </w:t>
      </w:r>
      <w:r>
        <w:rPr>
          <w:sz w:val="20"/>
        </w:rPr>
        <w:t>se confunde</w:t>
      </w:r>
      <w:r>
        <w:rPr>
          <w:spacing w:val="-2"/>
          <w:sz w:val="20"/>
        </w:rPr>
        <w:t xml:space="preserve"> </w:t>
      </w:r>
      <w:r>
        <w:rPr>
          <w:sz w:val="20"/>
        </w:rPr>
        <w:t>com</w:t>
      </w:r>
      <w:r>
        <w:rPr>
          <w:spacing w:val="-6"/>
          <w:sz w:val="20"/>
        </w:rPr>
        <w:t xml:space="preserve"> </w:t>
      </w:r>
      <w:r>
        <w:rPr>
          <w:sz w:val="20"/>
        </w:rPr>
        <w:t>o interesse substancial, ou primário, para cuja proteção se intenta a mesma</w:t>
      </w:r>
      <w:r>
        <w:rPr>
          <w:spacing w:val="40"/>
          <w:sz w:val="20"/>
        </w:rPr>
        <w:t xml:space="preserve"> </w:t>
      </w:r>
      <w:r>
        <w:rPr>
          <w:sz w:val="20"/>
        </w:rPr>
        <w:t>ação. O interesse de agir, que é instrumental e secundário, surge da necessidade de obter por meio do processo a proteção ao interesse substancial.207 Entende-se, dessa maneira, que há interesse processual “se a parte sofre um prejuízo, não propondo a demanda, e daí resulta que, para evitar esse prejuízo, necessita exatamente da intervenção dos órgãos jurisdicionais”. 208</w:t>
      </w:r>
    </w:p>
    <w:p w:rsidR="007259F2" w:rsidRDefault="00E655B4">
      <w:pPr>
        <w:spacing w:before="1"/>
        <w:ind w:left="2978" w:right="992"/>
        <w:jc w:val="both"/>
        <w:rPr>
          <w:sz w:val="20"/>
        </w:rPr>
      </w:pPr>
      <w:r>
        <w:rPr>
          <w:sz w:val="20"/>
        </w:rPr>
        <w:t>Localiza-se o interesse processual não apenas na utilidade, mas especificamente na necessidade do processo como remédio apto à aplicação do direito objetivo no caso concreto, pois a tutela jurisdicional não é jamais outorgada sem uma necessidade, como adverte Allorio.209 Essa necessidade se encontra naquela situação “que nos leva a procurar uma solução judicial, sob pena de, se não o fizermos, vermo-nos na contingência de não podermos ter satisfeita uma pretensão (o direito de que nos afirmamos titulares)”.210 Vale dizer: o processo jamais será utilizável como simples instrumento de indagação ou consulta acadêmica. Só o dano ou o perigo de dano jurídico, representado</w:t>
      </w:r>
      <w:r>
        <w:rPr>
          <w:spacing w:val="-3"/>
          <w:sz w:val="20"/>
        </w:rPr>
        <w:t xml:space="preserve"> </w:t>
      </w:r>
      <w:r>
        <w:rPr>
          <w:sz w:val="20"/>
        </w:rPr>
        <w:t>pela</w:t>
      </w:r>
      <w:r>
        <w:rPr>
          <w:spacing w:val="-4"/>
          <w:sz w:val="20"/>
        </w:rPr>
        <w:t xml:space="preserve"> </w:t>
      </w:r>
      <w:r>
        <w:rPr>
          <w:sz w:val="20"/>
        </w:rPr>
        <w:t>efetiva</w:t>
      </w:r>
      <w:r>
        <w:rPr>
          <w:spacing w:val="-4"/>
          <w:sz w:val="20"/>
        </w:rPr>
        <w:t xml:space="preserve"> </w:t>
      </w:r>
      <w:r>
        <w:rPr>
          <w:sz w:val="20"/>
        </w:rPr>
        <w:t>existência</w:t>
      </w:r>
      <w:r>
        <w:rPr>
          <w:spacing w:val="-4"/>
          <w:sz w:val="20"/>
        </w:rPr>
        <w:t xml:space="preserve"> </w:t>
      </w:r>
      <w:r>
        <w:rPr>
          <w:sz w:val="20"/>
        </w:rPr>
        <w:t>de</w:t>
      </w:r>
      <w:r>
        <w:rPr>
          <w:spacing w:val="-4"/>
          <w:sz w:val="20"/>
        </w:rPr>
        <w:t xml:space="preserve"> </w:t>
      </w:r>
      <w:r>
        <w:rPr>
          <w:sz w:val="20"/>
        </w:rPr>
        <w:t>uma</w:t>
      </w:r>
      <w:r>
        <w:rPr>
          <w:spacing w:val="-4"/>
          <w:sz w:val="20"/>
        </w:rPr>
        <w:t xml:space="preserve"> </w:t>
      </w:r>
      <w:r>
        <w:rPr>
          <w:sz w:val="20"/>
        </w:rPr>
        <w:t>lide,</w:t>
      </w:r>
      <w:r>
        <w:rPr>
          <w:spacing w:val="-3"/>
          <w:sz w:val="20"/>
        </w:rPr>
        <w:t xml:space="preserve"> </w:t>
      </w:r>
      <w:r>
        <w:rPr>
          <w:sz w:val="20"/>
        </w:rPr>
        <w:t>é</w:t>
      </w:r>
      <w:r>
        <w:rPr>
          <w:spacing w:val="-4"/>
          <w:sz w:val="20"/>
        </w:rPr>
        <w:t xml:space="preserve"> </w:t>
      </w:r>
      <w:r>
        <w:rPr>
          <w:sz w:val="20"/>
        </w:rPr>
        <w:t>que</w:t>
      </w:r>
      <w:r>
        <w:rPr>
          <w:spacing w:val="-4"/>
          <w:sz w:val="20"/>
        </w:rPr>
        <w:t xml:space="preserve"> </w:t>
      </w:r>
      <w:r>
        <w:rPr>
          <w:sz w:val="20"/>
        </w:rPr>
        <w:t>autoriza</w:t>
      </w:r>
      <w:r>
        <w:rPr>
          <w:spacing w:val="-4"/>
          <w:sz w:val="20"/>
        </w:rPr>
        <w:t xml:space="preserve"> </w:t>
      </w:r>
      <w:r>
        <w:rPr>
          <w:sz w:val="20"/>
        </w:rPr>
        <w:t>o</w:t>
      </w:r>
      <w:r>
        <w:rPr>
          <w:spacing w:val="-3"/>
          <w:sz w:val="20"/>
        </w:rPr>
        <w:t xml:space="preserve"> </w:t>
      </w:r>
      <w:r>
        <w:rPr>
          <w:sz w:val="20"/>
        </w:rPr>
        <w:t>exercício</w:t>
      </w:r>
      <w:r>
        <w:rPr>
          <w:spacing w:val="-3"/>
          <w:sz w:val="20"/>
        </w:rPr>
        <w:t xml:space="preserve"> </w:t>
      </w:r>
      <w:r>
        <w:rPr>
          <w:sz w:val="20"/>
        </w:rPr>
        <w:t>do direito de ação. Falta interesse, portanto, se a lide não chegou a configurar-se entre as partes, ou se, depois de configurada, desapareceu em razão de qualquer forma de composição válida.211</w:t>
      </w:r>
    </w:p>
    <w:p w:rsidR="007259F2" w:rsidRDefault="00E655B4">
      <w:pPr>
        <w:spacing w:before="1"/>
        <w:ind w:left="2978" w:right="990"/>
        <w:jc w:val="both"/>
        <w:rPr>
          <w:sz w:val="20"/>
        </w:rPr>
      </w:pPr>
      <w:r>
        <w:rPr>
          <w:sz w:val="20"/>
        </w:rPr>
        <w:t>O</w:t>
      </w:r>
      <w:r>
        <w:rPr>
          <w:spacing w:val="-1"/>
          <w:sz w:val="20"/>
        </w:rPr>
        <w:t xml:space="preserve"> </w:t>
      </w:r>
      <w:r>
        <w:rPr>
          <w:sz w:val="20"/>
        </w:rPr>
        <w:t>interesse</w:t>
      </w:r>
      <w:r>
        <w:rPr>
          <w:spacing w:val="-1"/>
          <w:sz w:val="20"/>
        </w:rPr>
        <w:t xml:space="preserve"> </w:t>
      </w:r>
      <w:r>
        <w:rPr>
          <w:sz w:val="20"/>
        </w:rPr>
        <w:t>processual, a um</w:t>
      </w:r>
      <w:r>
        <w:rPr>
          <w:spacing w:val="-2"/>
          <w:sz w:val="20"/>
        </w:rPr>
        <w:t xml:space="preserve"> </w:t>
      </w:r>
      <w:r>
        <w:rPr>
          <w:sz w:val="20"/>
        </w:rPr>
        <w:t>só tempo,</w:t>
      </w:r>
      <w:r>
        <w:rPr>
          <w:spacing w:val="-1"/>
          <w:sz w:val="20"/>
        </w:rPr>
        <w:t xml:space="preserve"> </w:t>
      </w:r>
      <w:r>
        <w:rPr>
          <w:sz w:val="20"/>
        </w:rPr>
        <w:t>haverá</w:t>
      </w:r>
      <w:r>
        <w:rPr>
          <w:spacing w:val="-1"/>
          <w:sz w:val="20"/>
        </w:rPr>
        <w:t xml:space="preserve"> </w:t>
      </w:r>
      <w:r>
        <w:rPr>
          <w:sz w:val="20"/>
        </w:rPr>
        <w:t>de</w:t>
      </w:r>
      <w:r>
        <w:rPr>
          <w:spacing w:val="-1"/>
          <w:sz w:val="20"/>
        </w:rPr>
        <w:t xml:space="preserve"> </w:t>
      </w:r>
      <w:r>
        <w:rPr>
          <w:sz w:val="20"/>
        </w:rPr>
        <w:t>traduzir-se numa</w:t>
      </w:r>
      <w:r>
        <w:rPr>
          <w:spacing w:val="-1"/>
          <w:sz w:val="20"/>
        </w:rPr>
        <w:t xml:space="preserve"> </w:t>
      </w:r>
      <w:r>
        <w:rPr>
          <w:sz w:val="20"/>
        </w:rPr>
        <w:t>relação de necessidade e também numa relação de adequação do provimento postulado, diante do conflito de direito material trazido à solução judicial.</w:t>
      </w:r>
      <w:r>
        <w:rPr>
          <w:spacing w:val="40"/>
          <w:sz w:val="20"/>
        </w:rPr>
        <w:t xml:space="preserve"> </w:t>
      </w:r>
      <w:r>
        <w:rPr>
          <w:sz w:val="20"/>
        </w:rPr>
        <w:t>(THEODORO JUNIOR, 2023, p. 197)</w:t>
      </w:r>
    </w:p>
    <w:p w:rsidR="007259F2" w:rsidRDefault="00E655B4">
      <w:pPr>
        <w:pStyle w:val="Corpodetexto"/>
        <w:spacing w:before="229"/>
        <w:ind w:right="987"/>
      </w:pPr>
      <w:r>
        <w:t>Disso resulta que o processo não deve, apenas, ser necessário e útil, mas, também, deve ser o meio mais adequado para o provimento que se pretende, ou seja, o meio processual escolhido deve ser o que melhor se amolda satisfação do bem da vida reclamado, observando-se, ainda, os direitos fundamentais daquele reclamado.</w:t>
      </w:r>
    </w:p>
    <w:p w:rsidR="007259F2" w:rsidRDefault="00E655B4">
      <w:pPr>
        <w:pStyle w:val="Corpodetexto"/>
        <w:ind w:right="997"/>
      </w:pPr>
      <w:r>
        <w:t>Isso posto, não há como se negar a existência, em tese, de interesse de agir por parte do ente jurídico lesado. A pessoa jurídica interessada é aquela que sofreu o dano decorrente do ato ímprobo, seja em seu patrimônio material ou imaterial, tem o dever constitucional de zelo de tal patrimônio e necessita da ação de improbidade para aplicação de sanções legal e constitucionalmente previstas.</w:t>
      </w:r>
    </w:p>
    <w:p w:rsidR="007259F2" w:rsidRDefault="00E655B4">
      <w:pPr>
        <w:pStyle w:val="Corpodetexto"/>
        <w:ind w:right="995"/>
      </w:pPr>
      <w:r>
        <w:t>Portanto, tem a necessidade, visto que a aplicação das sanções ao ato de improbidade apenas pode ocorrer pela via judicial, tem a utilidade, a repressão aos atos ímprobos deve ser feita mediante a tutela judicial específica, e tem a adequação, não há procedimento que melhor satisfaça as incumbências constitucionais da Administração, na situação, do que a ação de improbidade.</w:t>
      </w:r>
    </w:p>
    <w:p w:rsidR="007259F2" w:rsidRDefault="00E655B4">
      <w:pPr>
        <w:pStyle w:val="Corpodetexto"/>
        <w:spacing w:before="1"/>
        <w:ind w:right="996"/>
      </w:pPr>
      <w:r>
        <w:t>Outra questão que se coloca é a legitimidade, também em tese do ente lesado. Segundo os ditames da teoria geral do processo, a legitimidade de parte é, nas palavras de Buzzaid “</w:t>
      </w:r>
      <w:r>
        <w:rPr>
          <w:i/>
        </w:rPr>
        <w:t>a pertinência subjetiva da ação</w:t>
      </w:r>
      <w:r>
        <w:t>” (BUZZAID, 1956, p. 89).</w:t>
      </w:r>
    </w:p>
    <w:p w:rsidR="007259F2" w:rsidRDefault="00E655B4">
      <w:pPr>
        <w:pStyle w:val="Corpodetexto"/>
        <w:ind w:right="994"/>
      </w:pPr>
      <w:r>
        <w:t>Dito de outra forma, a legitimidade faz referência a titularidade do direito debatido em juízo, situando nos polos ativo e passivo aqueles que possuem relação com o bem da vida disputado. Em lição mais restrita, Humberto</w:t>
      </w:r>
      <w:r>
        <w:rPr>
          <w:spacing w:val="-1"/>
        </w:rPr>
        <w:t xml:space="preserve"> </w:t>
      </w:r>
      <w:r>
        <w:t>Theodor Júnior Leciona que “Destarte, legitimados ao processo são os sujeitos da lide, isto é, os titulares dos interesses em conflito. A legitimação ativa caberá ao titular do interesse afirmado na pretensão, e a passiva ao titular do interesse que se opõe ou resiste à pretensão” (THEODORO JUNIOR, 2023, p. 196).</w:t>
      </w:r>
    </w:p>
    <w:p w:rsidR="007259F2" w:rsidRDefault="00E655B4">
      <w:pPr>
        <w:pStyle w:val="Corpodetexto"/>
        <w:ind w:right="997"/>
      </w:pPr>
      <w:r>
        <w:t>Ainda, a legitimação ativa, capacidade de promover a demanda, se divide em legitimidade ordinária e extraordinária. A legitimação ou capacidade ordinária é a que decorre da situação em que o titular do direito ou interesse pleiteado é o responsável pela promoção da ação processual. Essa é a regra em nosso ordenamento, conforme prevê o art. 18 do Código de Processo Civil.</w:t>
      </w:r>
    </w:p>
    <w:p w:rsidR="007259F2" w:rsidRDefault="007259F2">
      <w:pPr>
        <w:pStyle w:val="Corpodetexto"/>
        <w:sectPr w:rsidR="007259F2">
          <w:pgSz w:w="11910" w:h="16840"/>
          <w:pgMar w:top="1320" w:right="708" w:bottom="1160" w:left="992" w:header="0" w:footer="962" w:gutter="0"/>
          <w:cols w:space="720"/>
        </w:sectPr>
      </w:pPr>
    </w:p>
    <w:p w:rsidR="007259F2" w:rsidRDefault="00E655B4">
      <w:pPr>
        <w:pStyle w:val="Corpodetexto"/>
        <w:spacing w:before="69"/>
        <w:ind w:right="992"/>
      </w:pPr>
      <w:r>
        <w:lastRenderedPageBreak/>
        <w:t>Já a legitimação extraordinária trata das hipóteses excepcionais, daí seu nome, em que o ordenamento jurídico prevê a possibilidade de um terceiro, que será parte, demandar direito ou interesse alheio, em nome próprio. São situações específicas em</w:t>
      </w:r>
      <w:r>
        <w:rPr>
          <w:spacing w:val="40"/>
        </w:rPr>
        <w:t xml:space="preserve"> </w:t>
      </w:r>
      <w:r>
        <w:t>que ocorre o fenômeno chamado substituição processual, não excluindo, ainda, a participação do substituto.</w:t>
      </w:r>
    </w:p>
    <w:p w:rsidR="007259F2" w:rsidRDefault="00E655B4">
      <w:pPr>
        <w:pStyle w:val="Corpodetexto"/>
        <w:spacing w:before="1"/>
        <w:ind w:left="1418" w:firstLine="0"/>
      </w:pPr>
      <w:r>
        <w:t>Novamente</w:t>
      </w:r>
      <w:r>
        <w:rPr>
          <w:spacing w:val="-5"/>
        </w:rPr>
        <w:t xml:space="preserve"> </w:t>
      </w:r>
      <w:r>
        <w:t>nos</w:t>
      </w:r>
      <w:r>
        <w:rPr>
          <w:spacing w:val="-1"/>
        </w:rPr>
        <w:t xml:space="preserve"> </w:t>
      </w:r>
      <w:r>
        <w:t>valemos</w:t>
      </w:r>
      <w:r>
        <w:rPr>
          <w:spacing w:val="1"/>
        </w:rPr>
        <w:t xml:space="preserve"> </w:t>
      </w:r>
      <w:r>
        <w:t>das</w:t>
      </w:r>
      <w:r>
        <w:rPr>
          <w:spacing w:val="-1"/>
        </w:rPr>
        <w:t xml:space="preserve"> </w:t>
      </w:r>
      <w:r>
        <w:t>lições</w:t>
      </w:r>
      <w:r>
        <w:rPr>
          <w:spacing w:val="-1"/>
        </w:rPr>
        <w:t xml:space="preserve"> </w:t>
      </w:r>
      <w:r>
        <w:t>de</w:t>
      </w:r>
      <w:r>
        <w:rPr>
          <w:spacing w:val="-1"/>
        </w:rPr>
        <w:t xml:space="preserve"> </w:t>
      </w:r>
      <w:r>
        <w:t>Humberto</w:t>
      </w:r>
      <w:r>
        <w:rPr>
          <w:spacing w:val="-4"/>
        </w:rPr>
        <w:t xml:space="preserve"> </w:t>
      </w:r>
      <w:r>
        <w:t>Theodoro</w:t>
      </w:r>
      <w:r>
        <w:rPr>
          <w:spacing w:val="-2"/>
        </w:rPr>
        <w:t xml:space="preserve"> Júnior:</w:t>
      </w:r>
    </w:p>
    <w:p w:rsidR="007259F2" w:rsidRDefault="007259F2">
      <w:pPr>
        <w:pStyle w:val="Corpodetexto"/>
        <w:spacing w:before="1"/>
        <w:ind w:left="0" w:firstLine="0"/>
        <w:jc w:val="left"/>
      </w:pPr>
    </w:p>
    <w:p w:rsidR="007259F2" w:rsidRDefault="00E655B4">
      <w:pPr>
        <w:ind w:left="2978" w:right="991"/>
        <w:jc w:val="both"/>
        <w:rPr>
          <w:sz w:val="20"/>
        </w:rPr>
      </w:pPr>
      <w:r>
        <w:rPr>
          <w:sz w:val="20"/>
        </w:rPr>
        <w:t>De par com a legitimação ordinária, ou seja, a que decorre da posição</w:t>
      </w:r>
      <w:r>
        <w:rPr>
          <w:spacing w:val="40"/>
          <w:sz w:val="20"/>
        </w:rPr>
        <w:t xml:space="preserve"> </w:t>
      </w:r>
      <w:r>
        <w:rPr>
          <w:sz w:val="20"/>
        </w:rPr>
        <w:t>ocupada pela parte como sujeito da lide, prevê o direito processual, em casos excepcionais, a legitimação extraordinária, que consiste em permitir-se, em determinadas circunstâncias, que a parte demande em nome próprio, mas na defesa de interesse alheio. Ressalte-se, porém, a excepcionalidade desses casos que, doutrinariamente, se denominam “substituição processual”, e que podem ocorrer, por exemplo, com o alienante da coisa litigiosa, com o Ministério Público na ação de acidente do trabalho, ou na ação civil de indenização do dano ex delicto, quando a vítima é pobre etc. (THEODORO JUNIOR, p. 197)</w:t>
      </w:r>
    </w:p>
    <w:p w:rsidR="007259F2" w:rsidRDefault="00E655B4">
      <w:pPr>
        <w:pStyle w:val="Corpodetexto"/>
        <w:spacing w:before="229"/>
        <w:ind w:right="988"/>
      </w:pPr>
      <w:r>
        <w:t>De rigor, outrossim, destacar a celeuma doutrinária que se impõe acerca da legitimidade</w:t>
      </w:r>
      <w:r>
        <w:rPr>
          <w:spacing w:val="-3"/>
        </w:rPr>
        <w:t xml:space="preserve"> </w:t>
      </w:r>
      <w:r>
        <w:t>ativa</w:t>
      </w:r>
      <w:r>
        <w:rPr>
          <w:spacing w:val="-3"/>
        </w:rPr>
        <w:t xml:space="preserve"> </w:t>
      </w:r>
      <w:r>
        <w:t>nas</w:t>
      </w:r>
      <w:r>
        <w:rPr>
          <w:spacing w:val="-2"/>
        </w:rPr>
        <w:t xml:space="preserve"> </w:t>
      </w:r>
      <w:r>
        <w:t>ações</w:t>
      </w:r>
      <w:r>
        <w:rPr>
          <w:spacing w:val="-2"/>
        </w:rPr>
        <w:t xml:space="preserve"> </w:t>
      </w:r>
      <w:r>
        <w:t>de</w:t>
      </w:r>
      <w:r>
        <w:rPr>
          <w:spacing w:val="-3"/>
        </w:rPr>
        <w:t xml:space="preserve"> </w:t>
      </w:r>
      <w:r>
        <w:t>improbidade</w:t>
      </w:r>
      <w:r>
        <w:rPr>
          <w:spacing w:val="-3"/>
        </w:rPr>
        <w:t xml:space="preserve"> </w:t>
      </w:r>
      <w:r>
        <w:t>administra,</w:t>
      </w:r>
      <w:r>
        <w:rPr>
          <w:spacing w:val="-2"/>
        </w:rPr>
        <w:t xml:space="preserve"> </w:t>
      </w:r>
      <w:r>
        <w:t>como</w:t>
      </w:r>
      <w:r>
        <w:rPr>
          <w:spacing w:val="-2"/>
        </w:rPr>
        <w:t xml:space="preserve"> </w:t>
      </w:r>
      <w:r>
        <w:t>bem</w:t>
      </w:r>
      <w:r>
        <w:rPr>
          <w:spacing w:val="-2"/>
        </w:rPr>
        <w:t xml:space="preserve"> </w:t>
      </w:r>
      <w:r>
        <w:t>abordado</w:t>
      </w:r>
      <w:r>
        <w:rPr>
          <w:spacing w:val="-2"/>
        </w:rPr>
        <w:t xml:space="preserve"> </w:t>
      </w:r>
      <w:r>
        <w:t>por</w:t>
      </w:r>
      <w:r>
        <w:rPr>
          <w:spacing w:val="-3"/>
        </w:rPr>
        <w:t xml:space="preserve"> </w:t>
      </w:r>
      <w:r>
        <w:t>Daniel Amorim Assumpção Neves:</w:t>
      </w:r>
    </w:p>
    <w:p w:rsidR="007259F2" w:rsidRDefault="007259F2">
      <w:pPr>
        <w:pStyle w:val="Corpodetexto"/>
        <w:spacing w:before="121"/>
        <w:ind w:left="0" w:firstLine="0"/>
        <w:jc w:val="left"/>
      </w:pPr>
    </w:p>
    <w:p w:rsidR="007259F2" w:rsidRDefault="00E655B4">
      <w:pPr>
        <w:spacing w:before="1"/>
        <w:ind w:left="2978" w:right="988"/>
        <w:jc w:val="both"/>
        <w:rPr>
          <w:sz w:val="20"/>
        </w:rPr>
      </w:pPr>
      <w:r>
        <w:rPr>
          <w:sz w:val="20"/>
        </w:rPr>
        <w:t>Existe</w:t>
      </w:r>
      <w:r>
        <w:rPr>
          <w:spacing w:val="-1"/>
          <w:sz w:val="20"/>
        </w:rPr>
        <w:t xml:space="preserve"> </w:t>
      </w:r>
      <w:r>
        <w:rPr>
          <w:sz w:val="20"/>
        </w:rPr>
        <w:t>certo</w:t>
      </w:r>
      <w:r>
        <w:rPr>
          <w:spacing w:val="-1"/>
          <w:sz w:val="20"/>
        </w:rPr>
        <w:t xml:space="preserve"> </w:t>
      </w:r>
      <w:r>
        <w:rPr>
          <w:sz w:val="20"/>
        </w:rPr>
        <w:t>dissenso</w:t>
      </w:r>
      <w:r>
        <w:rPr>
          <w:spacing w:val="-1"/>
          <w:sz w:val="20"/>
        </w:rPr>
        <w:t xml:space="preserve"> </w:t>
      </w:r>
      <w:r>
        <w:rPr>
          <w:sz w:val="20"/>
        </w:rPr>
        <w:t>doutrinário</w:t>
      </w:r>
      <w:r>
        <w:rPr>
          <w:spacing w:val="-1"/>
          <w:sz w:val="20"/>
        </w:rPr>
        <w:t xml:space="preserve"> </w:t>
      </w:r>
      <w:r>
        <w:rPr>
          <w:sz w:val="20"/>
        </w:rPr>
        <w:t>a</w:t>
      </w:r>
      <w:r>
        <w:rPr>
          <w:spacing w:val="-1"/>
          <w:sz w:val="20"/>
        </w:rPr>
        <w:t xml:space="preserve"> </w:t>
      </w:r>
      <w:r>
        <w:rPr>
          <w:sz w:val="20"/>
        </w:rPr>
        <w:t>respeito</w:t>
      </w:r>
      <w:r>
        <w:rPr>
          <w:spacing w:val="-1"/>
          <w:sz w:val="20"/>
        </w:rPr>
        <w:t xml:space="preserve"> </w:t>
      </w:r>
      <w:r>
        <w:rPr>
          <w:sz w:val="20"/>
        </w:rPr>
        <w:t>da</w:t>
      </w:r>
      <w:r>
        <w:rPr>
          <w:spacing w:val="-1"/>
          <w:sz w:val="20"/>
        </w:rPr>
        <w:t xml:space="preserve"> </w:t>
      </w:r>
      <w:r>
        <w:rPr>
          <w:sz w:val="20"/>
        </w:rPr>
        <w:t>legitimação</w:t>
      </w:r>
      <w:r>
        <w:rPr>
          <w:spacing w:val="-1"/>
          <w:sz w:val="20"/>
        </w:rPr>
        <w:t xml:space="preserve"> </w:t>
      </w:r>
      <w:r>
        <w:rPr>
          <w:sz w:val="20"/>
        </w:rPr>
        <w:t>extraordinária</w:t>
      </w:r>
      <w:r>
        <w:rPr>
          <w:spacing w:val="-1"/>
          <w:sz w:val="20"/>
        </w:rPr>
        <w:t xml:space="preserve"> </w:t>
      </w:r>
      <w:r>
        <w:rPr>
          <w:sz w:val="20"/>
        </w:rPr>
        <w:t>e</w:t>
      </w:r>
      <w:r>
        <w:rPr>
          <w:spacing w:val="-1"/>
          <w:sz w:val="20"/>
        </w:rPr>
        <w:t xml:space="preserve"> </w:t>
      </w:r>
      <w:r>
        <w:rPr>
          <w:sz w:val="20"/>
        </w:rPr>
        <w:t>da substituição processual. Enquanto parcela da doutrina defende tratar-se do mesmo</w:t>
      </w:r>
      <w:r>
        <w:rPr>
          <w:spacing w:val="-3"/>
          <w:sz w:val="20"/>
        </w:rPr>
        <w:t xml:space="preserve"> </w:t>
      </w:r>
      <w:r>
        <w:rPr>
          <w:sz w:val="20"/>
        </w:rPr>
        <w:t>fenômeno,</w:t>
      </w:r>
      <w:r>
        <w:rPr>
          <w:spacing w:val="-4"/>
          <w:sz w:val="20"/>
        </w:rPr>
        <w:t xml:space="preserve"> </w:t>
      </w:r>
      <w:r>
        <w:rPr>
          <w:sz w:val="20"/>
        </w:rPr>
        <w:t>sendo</w:t>
      </w:r>
      <w:r>
        <w:rPr>
          <w:spacing w:val="-3"/>
          <w:sz w:val="20"/>
        </w:rPr>
        <w:t xml:space="preserve"> </w:t>
      </w:r>
      <w:r>
        <w:rPr>
          <w:sz w:val="20"/>
        </w:rPr>
        <w:t>substituto</w:t>
      </w:r>
      <w:r>
        <w:rPr>
          <w:spacing w:val="-3"/>
          <w:sz w:val="20"/>
        </w:rPr>
        <w:t xml:space="preserve"> </w:t>
      </w:r>
      <w:r>
        <w:rPr>
          <w:sz w:val="20"/>
        </w:rPr>
        <w:t>processual</w:t>
      </w:r>
      <w:r>
        <w:rPr>
          <w:spacing w:val="-4"/>
          <w:sz w:val="20"/>
        </w:rPr>
        <w:t xml:space="preserve"> </w:t>
      </w:r>
      <w:r>
        <w:rPr>
          <w:sz w:val="20"/>
        </w:rPr>
        <w:t>o</w:t>
      </w:r>
      <w:r>
        <w:rPr>
          <w:spacing w:val="-3"/>
          <w:sz w:val="20"/>
        </w:rPr>
        <w:t xml:space="preserve"> </w:t>
      </w:r>
      <w:r>
        <w:rPr>
          <w:sz w:val="20"/>
        </w:rPr>
        <w:t>sujeito</w:t>
      </w:r>
      <w:r>
        <w:rPr>
          <w:spacing w:val="-3"/>
          <w:sz w:val="20"/>
        </w:rPr>
        <w:t xml:space="preserve"> </w:t>
      </w:r>
      <w:r>
        <w:rPr>
          <w:sz w:val="20"/>
        </w:rPr>
        <w:t>que</w:t>
      </w:r>
      <w:r>
        <w:rPr>
          <w:spacing w:val="-2"/>
          <w:sz w:val="20"/>
        </w:rPr>
        <w:t xml:space="preserve"> </w:t>
      </w:r>
      <w:r>
        <w:rPr>
          <w:sz w:val="20"/>
        </w:rPr>
        <w:t>recebeu</w:t>
      </w:r>
      <w:r>
        <w:rPr>
          <w:spacing w:val="-4"/>
          <w:sz w:val="20"/>
        </w:rPr>
        <w:t xml:space="preserve"> </w:t>
      </w:r>
      <w:r>
        <w:rPr>
          <w:sz w:val="20"/>
        </w:rPr>
        <w:t>pela</w:t>
      </w:r>
      <w:r>
        <w:rPr>
          <w:spacing w:val="-4"/>
          <w:sz w:val="20"/>
        </w:rPr>
        <w:t xml:space="preserve"> </w:t>
      </w:r>
      <w:r>
        <w:rPr>
          <w:sz w:val="20"/>
        </w:rPr>
        <w:t>lei</w:t>
      </w:r>
      <w:r>
        <w:rPr>
          <w:spacing w:val="-4"/>
          <w:sz w:val="20"/>
        </w:rPr>
        <w:t xml:space="preserve"> </w:t>
      </w:r>
      <w:r>
        <w:rPr>
          <w:sz w:val="20"/>
        </w:rPr>
        <w:t>a legitimidade extraordinária de defender interesse alheio em nome próprio,4 outra</w:t>
      </w:r>
      <w:r>
        <w:rPr>
          <w:spacing w:val="-1"/>
          <w:sz w:val="20"/>
        </w:rPr>
        <w:t xml:space="preserve"> </w:t>
      </w:r>
      <w:r>
        <w:rPr>
          <w:sz w:val="20"/>
        </w:rPr>
        <w:t>parcela</w:t>
      </w:r>
      <w:r>
        <w:rPr>
          <w:spacing w:val="-1"/>
          <w:sz w:val="20"/>
        </w:rPr>
        <w:t xml:space="preserve"> </w:t>
      </w:r>
      <w:r>
        <w:rPr>
          <w:sz w:val="20"/>
        </w:rPr>
        <w:t>da</w:t>
      </w:r>
      <w:r>
        <w:rPr>
          <w:spacing w:val="-3"/>
          <w:sz w:val="20"/>
        </w:rPr>
        <w:t xml:space="preserve"> </w:t>
      </w:r>
      <w:r>
        <w:rPr>
          <w:sz w:val="20"/>
        </w:rPr>
        <w:t>doutrina</w:t>
      </w:r>
      <w:r>
        <w:rPr>
          <w:spacing w:val="-1"/>
          <w:sz w:val="20"/>
        </w:rPr>
        <w:t xml:space="preserve"> </w:t>
      </w:r>
      <w:r>
        <w:rPr>
          <w:sz w:val="20"/>
        </w:rPr>
        <w:t>entende</w:t>
      </w:r>
      <w:r>
        <w:rPr>
          <w:spacing w:val="-1"/>
          <w:sz w:val="20"/>
        </w:rPr>
        <w:t xml:space="preserve"> </w:t>
      </w:r>
      <w:r>
        <w:rPr>
          <w:sz w:val="20"/>
        </w:rPr>
        <w:t>que</w:t>
      </w:r>
      <w:r>
        <w:rPr>
          <w:spacing w:val="-1"/>
          <w:sz w:val="20"/>
        </w:rPr>
        <w:t xml:space="preserve"> </w:t>
      </w:r>
      <w:r>
        <w:rPr>
          <w:sz w:val="20"/>
        </w:rPr>
        <w:t>a</w:t>
      </w:r>
      <w:r>
        <w:rPr>
          <w:spacing w:val="-1"/>
          <w:sz w:val="20"/>
        </w:rPr>
        <w:t xml:space="preserve"> </w:t>
      </w:r>
      <w:r>
        <w:rPr>
          <w:sz w:val="20"/>
        </w:rPr>
        <w:t>substituição processual</w:t>
      </w:r>
      <w:r>
        <w:rPr>
          <w:spacing w:val="-1"/>
          <w:sz w:val="20"/>
        </w:rPr>
        <w:t xml:space="preserve"> </w:t>
      </w:r>
      <w:r>
        <w:rPr>
          <w:sz w:val="20"/>
        </w:rPr>
        <w:t>é</w:t>
      </w:r>
      <w:r>
        <w:rPr>
          <w:spacing w:val="-1"/>
          <w:sz w:val="20"/>
        </w:rPr>
        <w:t xml:space="preserve"> </w:t>
      </w:r>
      <w:r>
        <w:rPr>
          <w:sz w:val="20"/>
        </w:rPr>
        <w:t>uma</w:t>
      </w:r>
      <w:r>
        <w:rPr>
          <w:spacing w:val="-1"/>
          <w:sz w:val="20"/>
        </w:rPr>
        <w:t xml:space="preserve"> </w:t>
      </w:r>
      <w:r>
        <w:rPr>
          <w:sz w:val="20"/>
        </w:rPr>
        <w:t>espécie de legitimação processual.5 Há aqueles que associam a substituição processual à excepcional hipótese de o substituído não ter legitimidade para defender seu direito em juízo, sendo tal legitimação exclusiva do substituto. Para outros, a substituição processual só ocorre quando o legitimado extraordinário atua no processo sem que o legitimado ordinário atue em conjunto com ele. 6</w:t>
      </w:r>
    </w:p>
    <w:p w:rsidR="007259F2" w:rsidRDefault="00E655B4">
      <w:pPr>
        <w:ind w:left="2978" w:right="990"/>
        <w:jc w:val="both"/>
        <w:rPr>
          <w:sz w:val="20"/>
        </w:rPr>
      </w:pPr>
      <w:r>
        <w:rPr>
          <w:sz w:val="20"/>
        </w:rPr>
        <w:t>As explicações não convencem, sendo amplamente superior a corrente doutrinária que entende tratarem-se a substituição processual e a legitimação extraordinária</w:t>
      </w:r>
      <w:r>
        <w:rPr>
          <w:spacing w:val="-4"/>
          <w:sz w:val="20"/>
        </w:rPr>
        <w:t xml:space="preserve"> </w:t>
      </w:r>
      <w:r>
        <w:rPr>
          <w:sz w:val="20"/>
        </w:rPr>
        <w:t>do</w:t>
      </w:r>
      <w:r>
        <w:rPr>
          <w:spacing w:val="-1"/>
          <w:sz w:val="20"/>
        </w:rPr>
        <w:t xml:space="preserve"> </w:t>
      </w:r>
      <w:r>
        <w:rPr>
          <w:sz w:val="20"/>
        </w:rPr>
        <w:t>mesmo</w:t>
      </w:r>
      <w:r>
        <w:rPr>
          <w:spacing w:val="-1"/>
          <w:sz w:val="20"/>
        </w:rPr>
        <w:t xml:space="preserve"> </w:t>
      </w:r>
      <w:r>
        <w:rPr>
          <w:sz w:val="20"/>
        </w:rPr>
        <w:t>fenômeno.</w:t>
      </w:r>
      <w:r>
        <w:rPr>
          <w:spacing w:val="-2"/>
          <w:sz w:val="20"/>
        </w:rPr>
        <w:t xml:space="preserve"> </w:t>
      </w:r>
      <w:r>
        <w:rPr>
          <w:sz w:val="20"/>
        </w:rPr>
        <w:t>Além</w:t>
      </w:r>
      <w:r>
        <w:rPr>
          <w:spacing w:val="-6"/>
          <w:sz w:val="20"/>
        </w:rPr>
        <w:t xml:space="preserve"> </w:t>
      </w:r>
      <w:r>
        <w:rPr>
          <w:sz w:val="20"/>
        </w:rPr>
        <w:t>disso,</w:t>
      </w:r>
      <w:r>
        <w:rPr>
          <w:spacing w:val="-2"/>
          <w:sz w:val="20"/>
        </w:rPr>
        <w:t xml:space="preserve"> </w:t>
      </w:r>
      <w:r>
        <w:rPr>
          <w:sz w:val="20"/>
        </w:rPr>
        <w:t>no</w:t>
      </w:r>
      <w:r>
        <w:rPr>
          <w:spacing w:val="-3"/>
          <w:sz w:val="20"/>
        </w:rPr>
        <w:t xml:space="preserve"> </w:t>
      </w:r>
      <w:r>
        <w:rPr>
          <w:sz w:val="20"/>
        </w:rPr>
        <w:t>âmbito</w:t>
      </w:r>
      <w:r>
        <w:rPr>
          <w:spacing w:val="-1"/>
          <w:sz w:val="20"/>
        </w:rPr>
        <w:t xml:space="preserve"> </w:t>
      </w:r>
      <w:r>
        <w:rPr>
          <w:sz w:val="20"/>
        </w:rPr>
        <w:t>da</w:t>
      </w:r>
      <w:r>
        <w:rPr>
          <w:spacing w:val="-4"/>
          <w:sz w:val="20"/>
        </w:rPr>
        <w:t xml:space="preserve"> </w:t>
      </w:r>
      <w:r>
        <w:rPr>
          <w:sz w:val="20"/>
        </w:rPr>
        <w:t>tutela</w:t>
      </w:r>
      <w:r>
        <w:rPr>
          <w:spacing w:val="-4"/>
          <w:sz w:val="20"/>
        </w:rPr>
        <w:t xml:space="preserve"> </w:t>
      </w:r>
      <w:r>
        <w:rPr>
          <w:sz w:val="20"/>
        </w:rPr>
        <w:t>coletiva, parece não haver qualquer empecilho para a utilização da expressão substituição processual, ao menos para aqueles que entendem ser a legitimidade ativa uma legitimação extraordinária. Para tanto, basta lembrar que o titular do direito difuso, coletivo ou individual homogêneo não é legitimado, ao menos por meio de ação coletiva, à defesa do direito em</w:t>
      </w:r>
      <w:r>
        <w:rPr>
          <w:spacing w:val="-4"/>
          <w:sz w:val="20"/>
        </w:rPr>
        <w:t xml:space="preserve"> </w:t>
      </w:r>
      <w:r>
        <w:rPr>
          <w:sz w:val="20"/>
        </w:rPr>
        <w:t>juízo. Dessa forma, mesmo para a corrente doutrinária que diferencia a legitimação extraordinária da substituição processual, na tutela coletiva não restará</w:t>
      </w:r>
      <w:r>
        <w:rPr>
          <w:spacing w:val="80"/>
          <w:sz w:val="20"/>
        </w:rPr>
        <w:t xml:space="preserve"> </w:t>
      </w:r>
      <w:r>
        <w:rPr>
          <w:sz w:val="20"/>
        </w:rPr>
        <w:t>dúvida de que os legitimados são substitutos processuais e os titulares do direito, substituídos.</w:t>
      </w:r>
    </w:p>
    <w:p w:rsidR="007259F2" w:rsidRDefault="00E655B4">
      <w:pPr>
        <w:spacing w:before="1"/>
        <w:ind w:left="2978" w:right="993"/>
        <w:jc w:val="both"/>
        <w:rPr>
          <w:sz w:val="20"/>
        </w:rPr>
      </w:pPr>
      <w:r>
        <w:rPr>
          <w:sz w:val="20"/>
        </w:rPr>
        <w:t>Registre-se a existência de corrente doutrinária que defende a limitação da legitimação extraordinária à tutela individual, afirmando que, por meio dessa espécie de legitimação, se defende em juízo um direito subjetivo singular de titularidade</w:t>
      </w:r>
      <w:r>
        <w:rPr>
          <w:spacing w:val="-1"/>
          <w:sz w:val="20"/>
        </w:rPr>
        <w:t xml:space="preserve"> </w:t>
      </w:r>
      <w:r>
        <w:rPr>
          <w:sz w:val="20"/>
        </w:rPr>
        <w:t>de</w:t>
      </w:r>
      <w:r>
        <w:rPr>
          <w:spacing w:val="-1"/>
          <w:sz w:val="20"/>
        </w:rPr>
        <w:t xml:space="preserve"> </w:t>
      </w:r>
      <w:r>
        <w:rPr>
          <w:sz w:val="20"/>
        </w:rPr>
        <w:t>pessoa</w:t>
      </w:r>
      <w:r>
        <w:rPr>
          <w:spacing w:val="-1"/>
          <w:sz w:val="20"/>
        </w:rPr>
        <w:t xml:space="preserve"> </w:t>
      </w:r>
      <w:r>
        <w:rPr>
          <w:sz w:val="20"/>
        </w:rPr>
        <w:t>deter- minada. Sendo o direito difuso de</w:t>
      </w:r>
      <w:r>
        <w:rPr>
          <w:spacing w:val="-1"/>
          <w:sz w:val="20"/>
        </w:rPr>
        <w:t xml:space="preserve"> </w:t>
      </w:r>
      <w:r>
        <w:rPr>
          <w:sz w:val="20"/>
        </w:rPr>
        <w:t>titularidade</w:t>
      </w:r>
      <w:r>
        <w:rPr>
          <w:spacing w:val="-1"/>
          <w:sz w:val="20"/>
        </w:rPr>
        <w:t xml:space="preserve"> </w:t>
      </w:r>
      <w:r>
        <w:rPr>
          <w:sz w:val="20"/>
        </w:rPr>
        <w:t>da coletividade (sujeitos</w:t>
      </w:r>
      <w:r>
        <w:rPr>
          <w:spacing w:val="-1"/>
          <w:sz w:val="20"/>
        </w:rPr>
        <w:t xml:space="preserve"> </w:t>
      </w:r>
      <w:r>
        <w:rPr>
          <w:sz w:val="20"/>
        </w:rPr>
        <w:t>indetermina-</w:t>
      </w:r>
      <w:r>
        <w:rPr>
          <w:spacing w:val="-1"/>
          <w:sz w:val="20"/>
        </w:rPr>
        <w:t xml:space="preserve"> </w:t>
      </w:r>
      <w:r>
        <w:rPr>
          <w:sz w:val="20"/>
        </w:rPr>
        <w:t>dos</w:t>
      </w:r>
      <w:r>
        <w:rPr>
          <w:spacing w:val="-1"/>
          <w:sz w:val="20"/>
        </w:rPr>
        <w:t xml:space="preserve"> </w:t>
      </w:r>
      <w:r>
        <w:rPr>
          <w:sz w:val="20"/>
        </w:rPr>
        <w:t>e indetermináveis) e o direito coletivo de uma comunidade – classe, grupo ou categoria de pessoas (sujeitos indeterminados, mas determináveis) –, inaplicável a eles a legitimação extraordinária. Sob forte influência dos estudos alemães a respeito do tema, defende</w:t>
      </w:r>
      <w:r>
        <w:rPr>
          <w:spacing w:val="-1"/>
          <w:sz w:val="20"/>
        </w:rPr>
        <w:t xml:space="preserve"> </w:t>
      </w:r>
      <w:r>
        <w:rPr>
          <w:sz w:val="20"/>
        </w:rPr>
        <w:t>que</w:t>
      </w:r>
      <w:r>
        <w:rPr>
          <w:spacing w:val="-1"/>
          <w:sz w:val="20"/>
        </w:rPr>
        <w:t xml:space="preserve"> </w:t>
      </w:r>
      <w:r>
        <w:rPr>
          <w:sz w:val="20"/>
        </w:rPr>
        <w:t>a legitimação ativa</w:t>
      </w:r>
      <w:r>
        <w:rPr>
          <w:spacing w:val="-1"/>
          <w:sz w:val="20"/>
        </w:rPr>
        <w:t xml:space="preserve"> </w:t>
      </w:r>
      <w:r>
        <w:rPr>
          <w:sz w:val="20"/>
        </w:rPr>
        <w:t>nas</w:t>
      </w:r>
      <w:r>
        <w:rPr>
          <w:spacing w:val="-1"/>
          <w:sz w:val="20"/>
        </w:rPr>
        <w:t xml:space="preserve"> </w:t>
      </w:r>
      <w:r>
        <w:rPr>
          <w:sz w:val="20"/>
        </w:rPr>
        <w:t>ações que</w:t>
      </w:r>
      <w:r>
        <w:rPr>
          <w:spacing w:val="-1"/>
          <w:sz w:val="20"/>
        </w:rPr>
        <w:t xml:space="preserve"> </w:t>
      </w:r>
      <w:r>
        <w:rPr>
          <w:sz w:val="20"/>
        </w:rPr>
        <w:t>têm</w:t>
      </w:r>
      <w:r>
        <w:rPr>
          <w:spacing w:val="-2"/>
          <w:sz w:val="20"/>
        </w:rPr>
        <w:t xml:space="preserve"> </w:t>
      </w:r>
      <w:r>
        <w:rPr>
          <w:sz w:val="20"/>
        </w:rPr>
        <w:t>como objeto direito difuso ou coletivo é uma terceira espécie de legitimidade, chamada de legitimidade autônoma para a condução do processo. (NEVES, 2022, p. 179)</w:t>
      </w:r>
    </w:p>
    <w:p w:rsidR="007259F2" w:rsidRDefault="007259F2">
      <w:pPr>
        <w:jc w:val="both"/>
        <w:rPr>
          <w:sz w:val="20"/>
        </w:rPr>
        <w:sectPr w:rsidR="007259F2">
          <w:pgSz w:w="11910" w:h="16840"/>
          <w:pgMar w:top="1320" w:right="708" w:bottom="1160" w:left="992" w:header="0" w:footer="962" w:gutter="0"/>
          <w:cols w:space="720"/>
        </w:sectPr>
      </w:pPr>
    </w:p>
    <w:p w:rsidR="007259F2" w:rsidRDefault="00E655B4">
      <w:pPr>
        <w:pStyle w:val="Corpodetexto"/>
        <w:spacing w:before="69"/>
        <w:ind w:right="991"/>
      </w:pPr>
      <w:r>
        <w:lastRenderedPageBreak/>
        <w:t>Faz-se necessário pontuar que, no presente artigo, não se desconsidera as discrepantes e relevantes dissenções doutrinárias, fazendo-se, no entanto, a opção de analisar a questão proposta a partir dos contornos delimitados pelo Supremo Tribunal Federal quando do julgamento conjunto das</w:t>
      </w:r>
      <w:r>
        <w:rPr>
          <w:spacing w:val="-4"/>
        </w:rPr>
        <w:t xml:space="preserve"> </w:t>
      </w:r>
      <w:r>
        <w:t>ADI’s 7042 e 7043.</w:t>
      </w:r>
    </w:p>
    <w:p w:rsidR="007259F2" w:rsidRDefault="00E655B4">
      <w:pPr>
        <w:pStyle w:val="Corpodetexto"/>
        <w:spacing w:before="1"/>
        <w:ind w:right="989"/>
      </w:pPr>
      <w:r>
        <w:t>Conforme restou amplamente consolidado no referido julgamento, há, em entendimento contrário à lição supra, real distinção entre a legitimidade da pessoa jurídica lesada e a legitimidade do Ministério Público na propositura das ações de improbidade</w:t>
      </w:r>
      <w:r>
        <w:rPr>
          <w:spacing w:val="-13"/>
        </w:rPr>
        <w:t xml:space="preserve"> </w:t>
      </w:r>
      <w:r>
        <w:t>Administrativa.</w:t>
      </w:r>
    </w:p>
    <w:p w:rsidR="007259F2" w:rsidRDefault="00E655B4">
      <w:pPr>
        <w:pStyle w:val="Corpodetexto"/>
        <w:ind w:right="992"/>
      </w:pPr>
      <w:r>
        <w:t>Como não haveria de ser diferente consignou-se que a legitimidade do</w:t>
      </w:r>
      <w:r>
        <w:rPr>
          <w:spacing w:val="40"/>
        </w:rPr>
        <w:t xml:space="preserve"> </w:t>
      </w:r>
      <w:r>
        <w:t>Ministério</w:t>
      </w:r>
      <w:r>
        <w:rPr>
          <w:spacing w:val="-3"/>
        </w:rPr>
        <w:t xml:space="preserve"> </w:t>
      </w:r>
      <w:r>
        <w:t>Público</w:t>
      </w:r>
      <w:r>
        <w:rPr>
          <w:spacing w:val="-3"/>
        </w:rPr>
        <w:t xml:space="preserve"> </w:t>
      </w:r>
      <w:r>
        <w:t>para</w:t>
      </w:r>
      <w:r>
        <w:rPr>
          <w:spacing w:val="-3"/>
        </w:rPr>
        <w:t xml:space="preserve"> </w:t>
      </w:r>
      <w:r>
        <w:t>o</w:t>
      </w:r>
      <w:r>
        <w:rPr>
          <w:spacing w:val="-1"/>
        </w:rPr>
        <w:t xml:space="preserve"> </w:t>
      </w:r>
      <w:r>
        <w:t>oferecimento</w:t>
      </w:r>
      <w:r>
        <w:rPr>
          <w:spacing w:val="-3"/>
        </w:rPr>
        <w:t xml:space="preserve"> </w:t>
      </w:r>
      <w:r>
        <w:t>de</w:t>
      </w:r>
      <w:r>
        <w:rPr>
          <w:spacing w:val="-2"/>
        </w:rPr>
        <w:t xml:space="preserve"> </w:t>
      </w:r>
      <w:r>
        <w:t>ação</w:t>
      </w:r>
      <w:r>
        <w:rPr>
          <w:spacing w:val="-1"/>
        </w:rPr>
        <w:t xml:space="preserve"> </w:t>
      </w:r>
      <w:r>
        <w:t>contra</w:t>
      </w:r>
      <w:r>
        <w:rPr>
          <w:spacing w:val="-5"/>
        </w:rPr>
        <w:t xml:space="preserve"> </w:t>
      </w:r>
      <w:r>
        <w:t>os</w:t>
      </w:r>
      <w:r>
        <w:rPr>
          <w:spacing w:val="-1"/>
        </w:rPr>
        <w:t xml:space="preserve"> </w:t>
      </w:r>
      <w:r>
        <w:t>agentes</w:t>
      </w:r>
      <w:r>
        <w:rPr>
          <w:spacing w:val="-2"/>
        </w:rPr>
        <w:t xml:space="preserve"> </w:t>
      </w:r>
      <w:r>
        <w:t>ímprobos</w:t>
      </w:r>
      <w:r>
        <w:rPr>
          <w:spacing w:val="-3"/>
        </w:rPr>
        <w:t xml:space="preserve"> </w:t>
      </w:r>
      <w:r>
        <w:t>está</w:t>
      </w:r>
      <w:r>
        <w:rPr>
          <w:spacing w:val="-3"/>
        </w:rPr>
        <w:t xml:space="preserve"> </w:t>
      </w:r>
      <w:r>
        <w:t xml:space="preserve">inserida no campo da legitimidade extraordinária. Ao promover o combate à improbidade, o Parquet atua em representação de uma coletividade indeterminada, promovendo e concretizando, em última ratio, o direito fundamental da sociedade à probidade </w:t>
      </w:r>
      <w:r>
        <w:rPr>
          <w:spacing w:val="-2"/>
        </w:rPr>
        <w:t>administrativa.</w:t>
      </w:r>
    </w:p>
    <w:p w:rsidR="007259F2" w:rsidRDefault="00E655B4">
      <w:pPr>
        <w:pStyle w:val="Corpodetexto"/>
        <w:spacing w:before="1"/>
        <w:ind w:right="990"/>
      </w:pPr>
      <w:r>
        <w:t>O Ministério Público, portanto, na persecução das sanções previstas pela Lei 8.429/92, atua desempenhando os misteres constitucionalmente atribuídos, na defesa de interesses difusos, não possuindo, portanto, relação direta com o objeto da pretensão deduzida em juízo. Essa atuação, no entanto, deve observar as limitações impostas pelo texto constitucional, como bem ressaltado pelo Ministro Alexandre de Moraes (ADI’s 7042 e 7043):</w:t>
      </w:r>
    </w:p>
    <w:p w:rsidR="007259F2" w:rsidRDefault="00E655B4">
      <w:pPr>
        <w:spacing w:before="1"/>
        <w:ind w:left="2978" w:right="987"/>
        <w:jc w:val="both"/>
        <w:rPr>
          <w:sz w:val="20"/>
        </w:rPr>
      </w:pPr>
      <w:r>
        <w:rPr>
          <w:sz w:val="20"/>
        </w:rPr>
        <w:t>A natureza extraordinária dessa legitimação decorre, inclusive, da proibição constitucional expressa de que o Ministério Público exerça a representação judicial e a</w:t>
      </w:r>
      <w:r>
        <w:rPr>
          <w:spacing w:val="-2"/>
          <w:sz w:val="20"/>
        </w:rPr>
        <w:t xml:space="preserve"> </w:t>
      </w:r>
      <w:r>
        <w:rPr>
          <w:sz w:val="20"/>
        </w:rPr>
        <w:t>consultoria jurídica de entidades públicas (CF, art. 129, IX). Mais recentemente, ao apreciar essa restrição constitucional, a mesma conclusão (extensível, a contrário sensu, para os casos sob análise) foi reafirmada pelo Ministro LUIZ FUX no julgamento do Recurso Extraordinário 409.356 (Tribunal Pleno, DJe de 29/07/2020), nos seguintes termos (...)</w:t>
      </w:r>
    </w:p>
    <w:p w:rsidR="007259F2" w:rsidRDefault="007259F2">
      <w:pPr>
        <w:pStyle w:val="Corpodetexto"/>
        <w:spacing w:before="165"/>
        <w:ind w:left="0" w:firstLine="0"/>
        <w:jc w:val="left"/>
        <w:rPr>
          <w:sz w:val="20"/>
        </w:rPr>
      </w:pPr>
    </w:p>
    <w:p w:rsidR="007259F2" w:rsidRDefault="00E655B4">
      <w:pPr>
        <w:pStyle w:val="Corpodetexto"/>
        <w:spacing w:before="1"/>
        <w:ind w:right="981"/>
      </w:pPr>
      <w:r>
        <w:t>No ponto reside a distinção entre a legitimidade do Ministério Público e a legitimidade da pessoa jurídica interessada, no campo da improbidade administrativa.</w:t>
      </w:r>
      <w:r>
        <w:rPr>
          <w:spacing w:val="-8"/>
        </w:rPr>
        <w:t xml:space="preserve"> </w:t>
      </w:r>
      <w:r>
        <w:t xml:space="preserve">A atuação da pessoa jurídica interessada é feita em nome próprio e na proteção de direito ou interesse próprio. Ainda, referida atuação é de incumbência de órgão da advocacia </w:t>
      </w:r>
      <w:r>
        <w:rPr>
          <w:spacing w:val="-2"/>
        </w:rPr>
        <w:t>pública.</w:t>
      </w:r>
    </w:p>
    <w:p w:rsidR="007259F2" w:rsidRDefault="00E655B4">
      <w:pPr>
        <w:pStyle w:val="Corpodetexto"/>
        <w:ind w:right="997"/>
      </w:pPr>
      <w:r>
        <w:t>Ainda colhendo fundamentos no voto Ministro Alexandre de Moraes (ADI’s 7042 e 7043):</w:t>
      </w:r>
    </w:p>
    <w:p w:rsidR="007259F2" w:rsidRDefault="00E655B4">
      <w:pPr>
        <w:spacing w:before="1"/>
        <w:ind w:left="2978" w:right="990"/>
        <w:jc w:val="both"/>
        <w:rPr>
          <w:sz w:val="20"/>
        </w:rPr>
      </w:pPr>
      <w:r>
        <w:rPr>
          <w:sz w:val="20"/>
        </w:rPr>
        <w:t>Ao revés, a legitimidade da pessoa jurídica interessada, enquanto “entidade que sofreu</w:t>
      </w:r>
      <w:r>
        <w:rPr>
          <w:spacing w:val="-2"/>
          <w:sz w:val="20"/>
        </w:rPr>
        <w:t xml:space="preserve"> </w:t>
      </w:r>
      <w:r>
        <w:rPr>
          <w:sz w:val="20"/>
        </w:rPr>
        <w:t>os</w:t>
      </w:r>
      <w:r>
        <w:rPr>
          <w:spacing w:val="-2"/>
          <w:sz w:val="20"/>
        </w:rPr>
        <w:t xml:space="preserve"> </w:t>
      </w:r>
      <w:r>
        <w:rPr>
          <w:sz w:val="20"/>
        </w:rPr>
        <w:t>efeitos gravosos do ato de improbidade” (JOSÉ DOS SANTOS CARVALHO FILHO. Manual de Direito Administrativo. 33ª ed. São Paulo: Atlas,</w:t>
      </w:r>
      <w:r>
        <w:rPr>
          <w:spacing w:val="-3"/>
          <w:sz w:val="20"/>
        </w:rPr>
        <w:t xml:space="preserve"> </w:t>
      </w:r>
      <w:r>
        <w:rPr>
          <w:sz w:val="20"/>
        </w:rPr>
        <w:t>2019</w:t>
      </w:r>
      <w:r>
        <w:rPr>
          <w:spacing w:val="-2"/>
          <w:sz w:val="20"/>
        </w:rPr>
        <w:t xml:space="preserve"> </w:t>
      </w:r>
      <w:r>
        <w:rPr>
          <w:sz w:val="20"/>
        </w:rPr>
        <w:t>p.</w:t>
      </w:r>
      <w:r>
        <w:rPr>
          <w:spacing w:val="-3"/>
          <w:sz w:val="20"/>
        </w:rPr>
        <w:t xml:space="preserve"> </w:t>
      </w:r>
      <w:r>
        <w:rPr>
          <w:sz w:val="20"/>
        </w:rPr>
        <w:t>1179),</w:t>
      </w:r>
      <w:r>
        <w:rPr>
          <w:spacing w:val="-3"/>
          <w:sz w:val="20"/>
        </w:rPr>
        <w:t xml:space="preserve"> </w:t>
      </w:r>
      <w:r>
        <w:rPr>
          <w:sz w:val="20"/>
        </w:rPr>
        <w:t>é,</w:t>
      </w:r>
      <w:r>
        <w:rPr>
          <w:spacing w:val="-2"/>
          <w:sz w:val="20"/>
        </w:rPr>
        <w:t xml:space="preserve"> </w:t>
      </w:r>
      <w:r>
        <w:rPr>
          <w:sz w:val="20"/>
        </w:rPr>
        <w:t>por</w:t>
      </w:r>
      <w:r>
        <w:rPr>
          <w:spacing w:val="-3"/>
          <w:sz w:val="20"/>
        </w:rPr>
        <w:t xml:space="preserve"> </w:t>
      </w:r>
      <w:r>
        <w:rPr>
          <w:sz w:val="20"/>
        </w:rPr>
        <w:t>excelência,</w:t>
      </w:r>
      <w:r>
        <w:rPr>
          <w:spacing w:val="-2"/>
          <w:sz w:val="20"/>
        </w:rPr>
        <w:t xml:space="preserve"> </w:t>
      </w:r>
      <w:r>
        <w:rPr>
          <w:sz w:val="20"/>
        </w:rPr>
        <w:t>ordinária,</w:t>
      </w:r>
      <w:r>
        <w:rPr>
          <w:spacing w:val="-3"/>
          <w:sz w:val="20"/>
        </w:rPr>
        <w:t xml:space="preserve"> </w:t>
      </w:r>
      <w:r>
        <w:rPr>
          <w:sz w:val="20"/>
        </w:rPr>
        <w:t>já</w:t>
      </w:r>
      <w:r>
        <w:rPr>
          <w:spacing w:val="-3"/>
          <w:sz w:val="20"/>
        </w:rPr>
        <w:t xml:space="preserve"> </w:t>
      </w:r>
      <w:r>
        <w:rPr>
          <w:sz w:val="20"/>
        </w:rPr>
        <w:t>que</w:t>
      </w:r>
      <w:r>
        <w:rPr>
          <w:spacing w:val="-3"/>
          <w:sz w:val="20"/>
        </w:rPr>
        <w:t xml:space="preserve"> </w:t>
      </w:r>
      <w:r>
        <w:rPr>
          <w:sz w:val="20"/>
        </w:rPr>
        <w:t>atua</w:t>
      </w:r>
      <w:r>
        <w:rPr>
          <w:spacing w:val="-1"/>
          <w:sz w:val="20"/>
        </w:rPr>
        <w:t xml:space="preserve"> </w:t>
      </w:r>
      <w:r>
        <w:rPr>
          <w:sz w:val="20"/>
        </w:rPr>
        <w:t>na</w:t>
      </w:r>
      <w:r>
        <w:rPr>
          <w:spacing w:val="-3"/>
          <w:sz w:val="20"/>
        </w:rPr>
        <w:t xml:space="preserve"> </w:t>
      </w:r>
      <w:r>
        <w:rPr>
          <w:sz w:val="20"/>
        </w:rPr>
        <w:t>defesa</w:t>
      </w:r>
      <w:r>
        <w:rPr>
          <w:spacing w:val="-3"/>
          <w:sz w:val="20"/>
        </w:rPr>
        <w:t xml:space="preserve"> </w:t>
      </w:r>
      <w:r>
        <w:rPr>
          <w:sz w:val="20"/>
        </w:rPr>
        <w:t>de</w:t>
      </w:r>
      <w:r>
        <w:rPr>
          <w:spacing w:val="-1"/>
          <w:sz w:val="20"/>
        </w:rPr>
        <w:t xml:space="preserve"> </w:t>
      </w:r>
      <w:r>
        <w:rPr>
          <w:sz w:val="20"/>
        </w:rPr>
        <w:t>seu próprio patrimônio público, que, compreendido em seu sentido amplo, como bem expressado pela Associação Nacional dos Advogados Públicos Federais (ANAFE) na sua peça inicial, ‘abarca a reserva moral e ética da Administração Pública brasileira’.</w:t>
      </w:r>
    </w:p>
    <w:p w:rsidR="007259F2" w:rsidRDefault="00E655B4">
      <w:pPr>
        <w:pStyle w:val="Corpodetexto"/>
        <w:spacing w:before="228"/>
        <w:ind w:right="991"/>
      </w:pPr>
      <w:r>
        <w:t xml:space="preserve">Dessa forma, considerando a existência de uma relação processual em tese, é facilmente perceptível que a pessoa jurídica interessada preencheria todos os elementos necessários ao necessário desenvolvimento do processo, representando sua exclusão um esvaziamento do sistema constitucional de proteção à probidade. Novamente nas razões do ministro relator, dessa vez fazendo referência ao parecer da Procuradoria-Geral da </w:t>
      </w:r>
      <w:r>
        <w:rPr>
          <w:spacing w:val="-2"/>
        </w:rPr>
        <w:t>República:</w:t>
      </w:r>
    </w:p>
    <w:p w:rsidR="007259F2" w:rsidRDefault="007259F2">
      <w:pPr>
        <w:pStyle w:val="Corpodetexto"/>
        <w:spacing w:before="2"/>
        <w:ind w:left="0" w:firstLine="0"/>
        <w:jc w:val="left"/>
      </w:pPr>
    </w:p>
    <w:p w:rsidR="007259F2" w:rsidRDefault="00E655B4">
      <w:pPr>
        <w:ind w:left="2978" w:right="999"/>
        <w:jc w:val="both"/>
        <w:rPr>
          <w:sz w:val="20"/>
        </w:rPr>
      </w:pPr>
      <w:r>
        <w:rPr>
          <w:sz w:val="20"/>
        </w:rPr>
        <w:t>Pela precisão de seus termos, transcrevo, nesse sentido, os seguintes trechos do parecer do Procurador-Geral da República:</w:t>
      </w:r>
    </w:p>
    <w:p w:rsidR="007259F2" w:rsidRDefault="007259F2">
      <w:pPr>
        <w:jc w:val="both"/>
        <w:rPr>
          <w:sz w:val="20"/>
        </w:rPr>
        <w:sectPr w:rsidR="007259F2">
          <w:pgSz w:w="11910" w:h="16840"/>
          <w:pgMar w:top="1320" w:right="708" w:bottom="1160" w:left="992" w:header="0" w:footer="962" w:gutter="0"/>
          <w:cols w:space="720"/>
        </w:sectPr>
      </w:pPr>
    </w:p>
    <w:p w:rsidR="007259F2" w:rsidRDefault="00E655B4">
      <w:pPr>
        <w:spacing w:before="71"/>
        <w:ind w:left="2978" w:right="991"/>
        <w:jc w:val="both"/>
        <w:rPr>
          <w:sz w:val="20"/>
        </w:rPr>
      </w:pPr>
      <w:r>
        <w:rPr>
          <w:sz w:val="20"/>
        </w:rPr>
        <w:lastRenderedPageBreak/>
        <w:t>Perceba-se que a legitimação do Ministério Público e a das pessoas jurídicas lesadas têm naturezas diversas. Enquanto a primeira é de ordem</w:t>
      </w:r>
      <w:r>
        <w:rPr>
          <w:spacing w:val="40"/>
          <w:sz w:val="20"/>
        </w:rPr>
        <w:t xml:space="preserve"> </w:t>
      </w:r>
      <w:r>
        <w:rPr>
          <w:sz w:val="20"/>
        </w:rPr>
        <w:t>extraordinária – o Ministério Público pleiteia, em nome próprio, direito de toda a coletividade –, a segunda é ordinária – a pessoa jurídica demanda “na defesa de seu patrimônio”. Fosse de outro modo, estaria o Ministério Público a exercer a representação judicial de entidades públicas, o que lhe é vedado constitucionalmente (CF, art. 129, IX). […] O direito de acesso ao Poder Judiciário é direito fundamental. Diante de lesão ou ameaça a direito, a todos é garantido recorrer ao Poder Judiciário para ver restabelecida a higidez da ordem jurídica. Isso se aplica tanto às pessoas naturais quanto às jurídicas, públicas</w:t>
      </w:r>
      <w:r>
        <w:rPr>
          <w:spacing w:val="1"/>
          <w:sz w:val="20"/>
        </w:rPr>
        <w:t xml:space="preserve"> </w:t>
      </w:r>
      <w:r>
        <w:rPr>
          <w:sz w:val="20"/>
        </w:rPr>
        <w:t>ou</w:t>
      </w:r>
      <w:r>
        <w:rPr>
          <w:spacing w:val="1"/>
          <w:sz w:val="20"/>
        </w:rPr>
        <w:t xml:space="preserve"> </w:t>
      </w:r>
      <w:r>
        <w:rPr>
          <w:sz w:val="20"/>
        </w:rPr>
        <w:t>privadas.</w:t>
      </w:r>
      <w:r>
        <w:rPr>
          <w:spacing w:val="2"/>
          <w:sz w:val="20"/>
        </w:rPr>
        <w:t xml:space="preserve"> </w:t>
      </w:r>
      <w:r>
        <w:rPr>
          <w:sz w:val="20"/>
        </w:rPr>
        <w:t>Esse</w:t>
      </w:r>
      <w:r>
        <w:rPr>
          <w:spacing w:val="3"/>
          <w:sz w:val="20"/>
        </w:rPr>
        <w:t xml:space="preserve"> </w:t>
      </w:r>
      <w:r>
        <w:rPr>
          <w:sz w:val="20"/>
        </w:rPr>
        <w:t>ponto</w:t>
      </w:r>
      <w:r>
        <w:rPr>
          <w:spacing w:val="3"/>
          <w:sz w:val="20"/>
        </w:rPr>
        <w:t xml:space="preserve"> </w:t>
      </w:r>
      <w:r>
        <w:rPr>
          <w:sz w:val="20"/>
        </w:rPr>
        <w:t>é</w:t>
      </w:r>
      <w:r>
        <w:rPr>
          <w:spacing w:val="2"/>
          <w:sz w:val="20"/>
        </w:rPr>
        <w:t xml:space="preserve"> </w:t>
      </w:r>
      <w:r>
        <w:rPr>
          <w:sz w:val="20"/>
        </w:rPr>
        <w:t>importante</w:t>
      </w:r>
      <w:r>
        <w:rPr>
          <w:spacing w:val="2"/>
          <w:sz w:val="20"/>
        </w:rPr>
        <w:t xml:space="preserve"> </w:t>
      </w:r>
      <w:r>
        <w:rPr>
          <w:sz w:val="20"/>
        </w:rPr>
        <w:t>para</w:t>
      </w:r>
      <w:r>
        <w:rPr>
          <w:spacing w:val="3"/>
          <w:sz w:val="20"/>
        </w:rPr>
        <w:t xml:space="preserve"> </w:t>
      </w:r>
      <w:r>
        <w:rPr>
          <w:sz w:val="20"/>
        </w:rPr>
        <w:t>a</w:t>
      </w:r>
      <w:r>
        <w:rPr>
          <w:spacing w:val="2"/>
          <w:sz w:val="20"/>
        </w:rPr>
        <w:t xml:space="preserve"> </w:t>
      </w:r>
      <w:r>
        <w:rPr>
          <w:sz w:val="20"/>
        </w:rPr>
        <w:t>correta</w:t>
      </w:r>
      <w:r>
        <w:rPr>
          <w:spacing w:val="2"/>
          <w:sz w:val="20"/>
        </w:rPr>
        <w:t xml:space="preserve"> </w:t>
      </w:r>
      <w:r>
        <w:rPr>
          <w:sz w:val="20"/>
        </w:rPr>
        <w:t>interpretação</w:t>
      </w:r>
      <w:r>
        <w:rPr>
          <w:spacing w:val="3"/>
          <w:sz w:val="20"/>
        </w:rPr>
        <w:t xml:space="preserve"> </w:t>
      </w:r>
      <w:r>
        <w:rPr>
          <w:spacing w:val="-5"/>
          <w:sz w:val="20"/>
        </w:rPr>
        <w:t>do</w:t>
      </w:r>
    </w:p>
    <w:p w:rsidR="007259F2" w:rsidRDefault="00E655B4">
      <w:pPr>
        <w:ind w:left="2978" w:right="987"/>
        <w:jc w:val="both"/>
        <w:rPr>
          <w:b/>
          <w:sz w:val="20"/>
        </w:rPr>
      </w:pPr>
      <w:r>
        <w:rPr>
          <w:sz w:val="20"/>
        </w:rPr>
        <w:t>§ 1º do art. 129 da Constituição Federal, segundo o qual “a legitimação do Ministério Público para as ações civis previstas neste artigo não impede a de terceiros, nas mesmas hipóteses, segundo o disposto nesta Constituição e na lei”. Em primeiro lugar, destaque-se o claro vetor constitucional no sentido</w:t>
      </w:r>
      <w:r>
        <w:rPr>
          <w:spacing w:val="40"/>
          <w:sz w:val="20"/>
        </w:rPr>
        <w:t xml:space="preserve"> </w:t>
      </w:r>
      <w:r>
        <w:rPr>
          <w:sz w:val="20"/>
        </w:rPr>
        <w:t>da ampliação (e não da restrição) da legitimidade ativa para as ações civis públicas. Mesmo assim, é certo ajuizar que essa norma deixa ao legislador ampla margem</w:t>
      </w:r>
      <w:r>
        <w:rPr>
          <w:spacing w:val="-5"/>
          <w:sz w:val="20"/>
        </w:rPr>
        <w:t xml:space="preserve"> </w:t>
      </w:r>
      <w:r>
        <w:rPr>
          <w:sz w:val="20"/>
        </w:rPr>
        <w:t>de</w:t>
      </w:r>
      <w:r>
        <w:rPr>
          <w:spacing w:val="-1"/>
          <w:sz w:val="20"/>
        </w:rPr>
        <w:t xml:space="preserve"> </w:t>
      </w:r>
      <w:r>
        <w:rPr>
          <w:sz w:val="20"/>
        </w:rPr>
        <w:t>conformação.</w:t>
      </w:r>
      <w:r>
        <w:rPr>
          <w:spacing w:val="-1"/>
          <w:sz w:val="20"/>
        </w:rPr>
        <w:t xml:space="preserve"> </w:t>
      </w:r>
      <w:r>
        <w:rPr>
          <w:sz w:val="20"/>
        </w:rPr>
        <w:t>A</w:t>
      </w:r>
      <w:r>
        <w:rPr>
          <w:spacing w:val="-3"/>
          <w:sz w:val="20"/>
        </w:rPr>
        <w:t xml:space="preserve"> </w:t>
      </w:r>
      <w:r>
        <w:rPr>
          <w:sz w:val="20"/>
        </w:rPr>
        <w:t>lei</w:t>
      </w:r>
      <w:r>
        <w:rPr>
          <w:spacing w:val="-1"/>
          <w:sz w:val="20"/>
        </w:rPr>
        <w:t xml:space="preserve"> </w:t>
      </w:r>
      <w:r>
        <w:rPr>
          <w:sz w:val="20"/>
        </w:rPr>
        <w:t>pode, num</w:t>
      </w:r>
      <w:r>
        <w:rPr>
          <w:spacing w:val="-5"/>
          <w:sz w:val="20"/>
        </w:rPr>
        <w:t xml:space="preserve"> </w:t>
      </w:r>
      <w:r>
        <w:rPr>
          <w:sz w:val="20"/>
        </w:rPr>
        <w:t>primeiro momento,</w:t>
      </w:r>
      <w:r>
        <w:rPr>
          <w:spacing w:val="-1"/>
          <w:sz w:val="20"/>
        </w:rPr>
        <w:t xml:space="preserve"> </w:t>
      </w:r>
      <w:r>
        <w:rPr>
          <w:sz w:val="20"/>
        </w:rPr>
        <w:t>prever a legitimação (extraordinária, como se enfatizará adiante) de um sem-número de pessoas e entidades e, depois, restringi-la, ao notar que houve excesso. Acontece que o que a lei pode moldar – ora estendendo muito, ora</w:t>
      </w:r>
      <w:r>
        <w:rPr>
          <w:spacing w:val="40"/>
          <w:sz w:val="20"/>
        </w:rPr>
        <w:t xml:space="preserve"> </w:t>
      </w:r>
      <w:r>
        <w:rPr>
          <w:sz w:val="20"/>
        </w:rPr>
        <w:t>estendendo pouco – é a legitimação extraordinária para a propositura das ações civis públicas (aquela mesma de que dispõe o Ministério Público). Afinal de contas, “ninguém poderá pleitear direito alheio em nome próprio, salvo</w:t>
      </w:r>
      <w:r>
        <w:rPr>
          <w:spacing w:val="-1"/>
          <w:sz w:val="20"/>
        </w:rPr>
        <w:t xml:space="preserve"> </w:t>
      </w:r>
      <w:r>
        <w:rPr>
          <w:sz w:val="20"/>
        </w:rPr>
        <w:t>quando</w:t>
      </w:r>
      <w:r>
        <w:rPr>
          <w:spacing w:val="-1"/>
          <w:sz w:val="20"/>
        </w:rPr>
        <w:t xml:space="preserve"> </w:t>
      </w:r>
      <w:r>
        <w:rPr>
          <w:sz w:val="20"/>
        </w:rPr>
        <w:t>autorizado</w:t>
      </w:r>
      <w:r>
        <w:rPr>
          <w:spacing w:val="-1"/>
          <w:sz w:val="20"/>
        </w:rPr>
        <w:t xml:space="preserve"> </w:t>
      </w:r>
      <w:r>
        <w:rPr>
          <w:sz w:val="20"/>
        </w:rPr>
        <w:t>pelo</w:t>
      </w:r>
      <w:r>
        <w:rPr>
          <w:spacing w:val="-3"/>
          <w:sz w:val="20"/>
        </w:rPr>
        <w:t xml:space="preserve"> </w:t>
      </w:r>
      <w:r>
        <w:rPr>
          <w:sz w:val="20"/>
        </w:rPr>
        <w:t>ordenamento</w:t>
      </w:r>
      <w:r>
        <w:rPr>
          <w:spacing w:val="-1"/>
          <w:sz w:val="20"/>
        </w:rPr>
        <w:t xml:space="preserve"> </w:t>
      </w:r>
      <w:r>
        <w:rPr>
          <w:sz w:val="20"/>
        </w:rPr>
        <w:t>jurídico”</w:t>
      </w:r>
      <w:r>
        <w:rPr>
          <w:spacing w:val="-1"/>
          <w:sz w:val="20"/>
        </w:rPr>
        <w:t xml:space="preserve"> </w:t>
      </w:r>
      <w:r>
        <w:rPr>
          <w:sz w:val="20"/>
        </w:rPr>
        <w:t>(CPC,</w:t>
      </w:r>
      <w:r>
        <w:rPr>
          <w:spacing w:val="-2"/>
          <w:sz w:val="20"/>
        </w:rPr>
        <w:t xml:space="preserve"> </w:t>
      </w:r>
      <w:r>
        <w:rPr>
          <w:sz w:val="20"/>
        </w:rPr>
        <w:t>art.</w:t>
      </w:r>
      <w:r>
        <w:rPr>
          <w:spacing w:val="-2"/>
          <w:sz w:val="20"/>
        </w:rPr>
        <w:t xml:space="preserve"> </w:t>
      </w:r>
      <w:r>
        <w:rPr>
          <w:sz w:val="20"/>
        </w:rPr>
        <w:t>18,</w:t>
      </w:r>
      <w:r>
        <w:rPr>
          <w:spacing w:val="-2"/>
          <w:sz w:val="20"/>
        </w:rPr>
        <w:t xml:space="preserve"> </w:t>
      </w:r>
      <w:r>
        <w:rPr>
          <w:sz w:val="20"/>
        </w:rPr>
        <w:t xml:space="preserve">caput). </w:t>
      </w:r>
      <w:r>
        <w:rPr>
          <w:b/>
          <w:sz w:val="20"/>
        </w:rPr>
        <w:t>Já a</w:t>
      </w:r>
      <w:r>
        <w:rPr>
          <w:b/>
          <w:spacing w:val="5"/>
          <w:sz w:val="20"/>
        </w:rPr>
        <w:t xml:space="preserve"> </w:t>
      </w:r>
      <w:r>
        <w:rPr>
          <w:b/>
          <w:sz w:val="20"/>
        </w:rPr>
        <w:t>legitimação</w:t>
      </w:r>
      <w:r>
        <w:rPr>
          <w:b/>
          <w:spacing w:val="5"/>
          <w:sz w:val="20"/>
        </w:rPr>
        <w:t xml:space="preserve"> </w:t>
      </w:r>
      <w:r>
        <w:rPr>
          <w:b/>
          <w:sz w:val="20"/>
        </w:rPr>
        <w:t>ordinária</w:t>
      </w:r>
      <w:r>
        <w:rPr>
          <w:b/>
          <w:spacing w:val="9"/>
          <w:sz w:val="20"/>
        </w:rPr>
        <w:t xml:space="preserve"> </w:t>
      </w:r>
      <w:r>
        <w:rPr>
          <w:b/>
          <w:sz w:val="20"/>
        </w:rPr>
        <w:t>–</w:t>
      </w:r>
      <w:r>
        <w:rPr>
          <w:b/>
          <w:spacing w:val="7"/>
          <w:sz w:val="20"/>
        </w:rPr>
        <w:t xml:space="preserve"> </w:t>
      </w:r>
      <w:r>
        <w:rPr>
          <w:b/>
          <w:sz w:val="20"/>
        </w:rPr>
        <w:t>aquela</w:t>
      </w:r>
      <w:r>
        <w:rPr>
          <w:b/>
          <w:spacing w:val="5"/>
          <w:sz w:val="20"/>
        </w:rPr>
        <w:t xml:space="preserve"> </w:t>
      </w:r>
      <w:r>
        <w:rPr>
          <w:b/>
          <w:sz w:val="20"/>
        </w:rPr>
        <w:t>cujo</w:t>
      </w:r>
      <w:r>
        <w:rPr>
          <w:b/>
          <w:spacing w:val="5"/>
          <w:sz w:val="20"/>
        </w:rPr>
        <w:t xml:space="preserve"> </w:t>
      </w:r>
      <w:r>
        <w:rPr>
          <w:b/>
          <w:sz w:val="20"/>
        </w:rPr>
        <w:t>detentor</w:t>
      </w:r>
      <w:r>
        <w:rPr>
          <w:b/>
          <w:spacing w:val="6"/>
          <w:sz w:val="20"/>
        </w:rPr>
        <w:t xml:space="preserve"> </w:t>
      </w:r>
      <w:r>
        <w:rPr>
          <w:b/>
          <w:sz w:val="20"/>
        </w:rPr>
        <w:t>é</w:t>
      </w:r>
      <w:r>
        <w:rPr>
          <w:b/>
          <w:spacing w:val="5"/>
          <w:sz w:val="20"/>
        </w:rPr>
        <w:t xml:space="preserve"> </w:t>
      </w:r>
      <w:r>
        <w:rPr>
          <w:b/>
          <w:sz w:val="20"/>
        </w:rPr>
        <w:t>a</w:t>
      </w:r>
      <w:r>
        <w:rPr>
          <w:b/>
          <w:spacing w:val="5"/>
          <w:sz w:val="20"/>
        </w:rPr>
        <w:t xml:space="preserve"> </w:t>
      </w:r>
      <w:r>
        <w:rPr>
          <w:b/>
          <w:sz w:val="20"/>
        </w:rPr>
        <w:t>própria</w:t>
      </w:r>
      <w:r>
        <w:rPr>
          <w:b/>
          <w:spacing w:val="6"/>
          <w:sz w:val="20"/>
        </w:rPr>
        <w:t xml:space="preserve"> </w:t>
      </w:r>
      <w:r>
        <w:rPr>
          <w:b/>
          <w:sz w:val="20"/>
        </w:rPr>
        <w:t>pessoa</w:t>
      </w:r>
      <w:r>
        <w:rPr>
          <w:b/>
          <w:spacing w:val="5"/>
          <w:sz w:val="20"/>
        </w:rPr>
        <w:t xml:space="preserve"> </w:t>
      </w:r>
      <w:r>
        <w:rPr>
          <w:b/>
          <w:spacing w:val="-2"/>
          <w:sz w:val="20"/>
        </w:rPr>
        <w:t>lesada</w:t>
      </w:r>
    </w:p>
    <w:p w:rsidR="007259F2" w:rsidRDefault="00E655B4">
      <w:pPr>
        <w:spacing w:before="10" w:line="235" w:lineRule="auto"/>
        <w:ind w:left="2978" w:right="996"/>
        <w:jc w:val="both"/>
        <w:rPr>
          <w:sz w:val="20"/>
        </w:rPr>
      </w:pPr>
      <w:r>
        <w:rPr>
          <w:b/>
          <w:sz w:val="20"/>
        </w:rPr>
        <w:t xml:space="preserve">– é insuscetível de restrição, pois decorre do direito fundamental de acesso ao Poder Judiciário. </w:t>
      </w:r>
      <w:r>
        <w:rPr>
          <w:sz w:val="20"/>
        </w:rPr>
        <w:t>(grifo do autor)</w:t>
      </w:r>
    </w:p>
    <w:p w:rsidR="007259F2" w:rsidRDefault="00E655B4">
      <w:pPr>
        <w:pStyle w:val="Corpodetexto"/>
        <w:spacing w:before="203"/>
        <w:ind w:right="999"/>
      </w:pPr>
      <w:r>
        <w:t>A proteção da probidade, portanto, deve ser efetivada por meio da atuação de todos aqueles constitucionalmente legitimados, no intuito de conferir maior eficiência</w:t>
      </w:r>
      <w:r>
        <w:rPr>
          <w:spacing w:val="40"/>
        </w:rPr>
        <w:t xml:space="preserve"> </w:t>
      </w:r>
      <w:r>
        <w:t>no combate à improbidade e a malversação dos dinheiros públicos.</w:t>
      </w:r>
    </w:p>
    <w:p w:rsidR="007259F2" w:rsidRDefault="00E655B4">
      <w:pPr>
        <w:pStyle w:val="Heading2"/>
        <w:numPr>
          <w:ilvl w:val="0"/>
          <w:numId w:val="31"/>
        </w:numPr>
        <w:tabs>
          <w:tab w:val="left" w:pos="950"/>
        </w:tabs>
        <w:spacing w:before="204"/>
        <w:jc w:val="both"/>
      </w:pPr>
      <w:r>
        <w:rPr>
          <w:spacing w:val="-2"/>
        </w:rPr>
        <w:t>Conclusão</w:t>
      </w:r>
    </w:p>
    <w:p w:rsidR="007259F2" w:rsidRDefault="00E655B4">
      <w:pPr>
        <w:pStyle w:val="Corpodetexto"/>
        <w:spacing w:before="112"/>
        <w:ind w:right="995"/>
      </w:pPr>
      <w:r>
        <w:t>Como visto, a análise da legitimidade da pessoa jurídica interessada para o ajuizamento da ação de improbidade administrativa perpassa por campos que vão além das lições do direito processual civil. Em realidade, conforme assentado pelo Supremo Tribunal Federal no julgamento das ADI’s 7042 e 7043, se faz necessária uma análise holística de todo o texto constitucional afim de perceber qual a natureza dos interesses tutelados e qual o dever dos entes responsáveis por tal tutela.</w:t>
      </w:r>
    </w:p>
    <w:p w:rsidR="007259F2" w:rsidRDefault="00E655B4">
      <w:pPr>
        <w:pStyle w:val="Corpodetexto"/>
        <w:spacing w:before="1"/>
        <w:ind w:right="977"/>
      </w:pPr>
      <w:r>
        <w:t>Com as modificações e evoluções incorporadas ao ordenamento jurídico foi se estabelecendo uma estrutura de combate à corrupção e de tutela dos valores essenciais</w:t>
      </w:r>
      <w:r>
        <w:rPr>
          <w:spacing w:val="40"/>
        </w:rPr>
        <w:t xml:space="preserve"> </w:t>
      </w:r>
      <w:r>
        <w:t>ao bom funcionamento da Administração Pública, merecendo destaque a probidade. A Constituição da República de 1988 inovou e ampliou a referida estrutura, criando verdadeiro sistema de tutela da probidade. A lei maior, além ampliar o espectro de responsabilização, alcançando os agentes públicos em geral, e terceiros participantes, previu uma série de rigorosas sanções e delegou à legislação infra a disposição acerca</w:t>
      </w:r>
      <w:r>
        <w:rPr>
          <w:spacing w:val="80"/>
        </w:rPr>
        <w:t xml:space="preserve"> </w:t>
      </w:r>
      <w:r>
        <w:t>de sua forma e gradação.</w:t>
      </w:r>
    </w:p>
    <w:p w:rsidR="007259F2" w:rsidRDefault="00E655B4">
      <w:pPr>
        <w:pStyle w:val="Corpodetexto"/>
        <w:ind w:right="993"/>
      </w:pPr>
      <w:r>
        <w:t xml:space="preserve">Para o efetivo cumprimento das disposições constitucionais foi editada a Lei 8.429/92, também conhecida como lei de improbidade administrativa. Ocorre que no ano de 2021 o referido normativo foi profundamente modificado pelo advento da Lei 14.230/21, o que suscitou um aprofundamento do debate acerca dos dispositivos contidos na lei de improbidade, tanto no campo acadêmico quanto no campo </w:t>
      </w:r>
      <w:r>
        <w:rPr>
          <w:spacing w:val="-2"/>
        </w:rPr>
        <w:t>jurisprudencial.</w:t>
      </w:r>
    </w:p>
    <w:p w:rsidR="007259F2" w:rsidRDefault="007259F2">
      <w:pPr>
        <w:pStyle w:val="Corpodetexto"/>
        <w:sectPr w:rsidR="007259F2">
          <w:pgSz w:w="11910" w:h="16840"/>
          <w:pgMar w:top="1320" w:right="708" w:bottom="1160" w:left="992" w:header="0" w:footer="962" w:gutter="0"/>
          <w:cols w:space="720"/>
        </w:sectPr>
      </w:pPr>
    </w:p>
    <w:p w:rsidR="007259F2" w:rsidRDefault="00E655B4">
      <w:pPr>
        <w:pStyle w:val="Corpodetexto"/>
        <w:spacing w:before="69"/>
        <w:ind w:right="991"/>
      </w:pPr>
      <w:r>
        <w:lastRenderedPageBreak/>
        <w:t>O presente artigo, portanto, procurou investigar a constitucionalidade da</w:t>
      </w:r>
      <w:r>
        <w:rPr>
          <w:spacing w:val="40"/>
        </w:rPr>
        <w:t xml:space="preserve"> </w:t>
      </w:r>
      <w:r>
        <w:t>restrição à legitimidade ativa dos entes jurídicos interessados, promovida pelo novel legislação, a partir das balizas traçadas pelo Supremo Tribunal Federal no citado julgamento. Pode-se concluir, então, que a Constituição da República de 1988 institui um verdadeiro sistema de proteção da probidade na Administração. Ainda conforme assentado no julgamento, como consectário do sistema instituído surge a legitimidade</w:t>
      </w:r>
      <w:r>
        <w:rPr>
          <w:spacing w:val="40"/>
        </w:rPr>
        <w:t xml:space="preserve"> </w:t>
      </w:r>
      <w:r>
        <w:t>do ente jurídico lesado para o combate à improbidade, também, pela via judicial, legitimidade essa que não pode ser restringida pelo legislador infraconstitucional sob pena de violação ao poder-dever de tutela do patrimônio constitucionalmente atribuído às pessoas políticas, bem como ao princípio da inafastabilidade da jurisdição e ao princípio da eficiência.</w:t>
      </w:r>
    </w:p>
    <w:p w:rsidR="007259F2" w:rsidRDefault="00E655B4">
      <w:pPr>
        <w:pStyle w:val="Heading1"/>
        <w:spacing w:before="207"/>
      </w:pPr>
      <w:r>
        <w:rPr>
          <w:spacing w:val="-2"/>
        </w:rPr>
        <w:t>REFERÊNCIAS</w:t>
      </w:r>
    </w:p>
    <w:p w:rsidR="007259F2" w:rsidRDefault="00E655B4">
      <w:pPr>
        <w:pStyle w:val="Corpodetexto"/>
        <w:spacing w:before="198"/>
        <w:ind w:right="992" w:firstLine="0"/>
        <w:jc w:val="left"/>
      </w:pPr>
      <w:r>
        <w:t>AMANDO DE BARROS, Laura M. É faz-de-conta, mas não é brincadeira: a absurda</w:t>
      </w:r>
      <w:r>
        <w:rPr>
          <w:spacing w:val="80"/>
        </w:rPr>
        <w:t xml:space="preserve"> </w:t>
      </w:r>
      <w:r>
        <w:t>ficção</w:t>
      </w:r>
      <w:r>
        <w:rPr>
          <w:spacing w:val="40"/>
        </w:rPr>
        <w:t xml:space="preserve"> </w:t>
      </w:r>
      <w:r>
        <w:t>trazida</w:t>
      </w:r>
      <w:r>
        <w:rPr>
          <w:spacing w:val="40"/>
        </w:rPr>
        <w:t xml:space="preserve"> </w:t>
      </w:r>
      <w:r>
        <w:t>pelos</w:t>
      </w:r>
      <w:r>
        <w:rPr>
          <w:spacing w:val="40"/>
        </w:rPr>
        <w:t xml:space="preserve"> </w:t>
      </w:r>
      <w:r>
        <w:t>parágrafos</w:t>
      </w:r>
      <w:r>
        <w:rPr>
          <w:spacing w:val="40"/>
        </w:rPr>
        <w:t xml:space="preserve"> </w:t>
      </w:r>
      <w:r>
        <w:t>9º</w:t>
      </w:r>
      <w:r>
        <w:rPr>
          <w:spacing w:val="40"/>
        </w:rPr>
        <w:t xml:space="preserve"> </w:t>
      </w:r>
      <w:r>
        <w:t>e</w:t>
      </w:r>
      <w:r>
        <w:rPr>
          <w:spacing w:val="40"/>
        </w:rPr>
        <w:t xml:space="preserve"> </w:t>
      </w:r>
      <w:r>
        <w:t>10</w:t>
      </w:r>
      <w:r>
        <w:rPr>
          <w:spacing w:val="40"/>
        </w:rPr>
        <w:t xml:space="preserve"> </w:t>
      </w:r>
      <w:r>
        <w:t>do</w:t>
      </w:r>
      <w:r>
        <w:rPr>
          <w:spacing w:val="40"/>
        </w:rPr>
        <w:t xml:space="preserve"> </w:t>
      </w:r>
      <w:r>
        <w:t>artigo</w:t>
      </w:r>
      <w:r>
        <w:rPr>
          <w:spacing w:val="40"/>
        </w:rPr>
        <w:t xml:space="preserve"> </w:t>
      </w:r>
      <w:r>
        <w:t>12</w:t>
      </w:r>
      <w:r>
        <w:rPr>
          <w:spacing w:val="40"/>
        </w:rPr>
        <w:t xml:space="preserve"> </w:t>
      </w:r>
      <w:r>
        <w:t>da</w:t>
      </w:r>
      <w:r>
        <w:rPr>
          <w:spacing w:val="40"/>
        </w:rPr>
        <w:t xml:space="preserve"> </w:t>
      </w:r>
      <w:r>
        <w:t>nova</w:t>
      </w:r>
      <w:r>
        <w:rPr>
          <w:spacing w:val="40"/>
        </w:rPr>
        <w:t xml:space="preserve"> </w:t>
      </w:r>
      <w:r>
        <w:t>Lei</w:t>
      </w:r>
      <w:r>
        <w:rPr>
          <w:spacing w:val="40"/>
        </w:rPr>
        <w:t xml:space="preserve"> </w:t>
      </w:r>
      <w:r>
        <w:t>de</w:t>
      </w:r>
      <w:r>
        <w:rPr>
          <w:spacing w:val="40"/>
        </w:rPr>
        <w:t xml:space="preserve"> </w:t>
      </w:r>
      <w:r>
        <w:t xml:space="preserve">Improbidade. </w:t>
      </w:r>
      <w:r>
        <w:rPr>
          <w:b/>
        </w:rPr>
        <w:t>Estadão</w:t>
      </w:r>
      <w:r>
        <w:t xml:space="preserve">, São Paulo,10dez.2021.Disponívelem: </w:t>
      </w:r>
      <w:r>
        <w:rPr>
          <w:spacing w:val="-2"/>
        </w:rPr>
        <w:t>https://esdpm.pgmsp.net/pluginfile.php/1011/mod_folder/content/0/%C3%89%20faz- deconta%20mas%20n%C3%A3o%20%C3%A9%20brincadeira%20%20a%20absurda</w:t>
      </w:r>
    </w:p>
    <w:p w:rsidR="007259F2" w:rsidRDefault="00E655B4">
      <w:pPr>
        <w:pStyle w:val="Corpodetexto"/>
        <w:ind w:right="990" w:firstLine="0"/>
        <w:jc w:val="left"/>
      </w:pPr>
      <w:r>
        <w:t>%20ficcao%20trazida%20pelos%20paragrafos%209%20e%2010.pdf</w:t>
      </w:r>
      <w:r>
        <w:rPr>
          <w:spacing w:val="80"/>
        </w:rPr>
        <w:t xml:space="preserve"> </w:t>
      </w:r>
      <w:r>
        <w:t>Acesso</w:t>
      </w:r>
      <w:r>
        <w:rPr>
          <w:spacing w:val="80"/>
        </w:rPr>
        <w:t xml:space="preserve"> </w:t>
      </w:r>
      <w:r>
        <w:t>em:</w:t>
      </w:r>
      <w:r>
        <w:rPr>
          <w:spacing w:val="80"/>
        </w:rPr>
        <w:t xml:space="preserve"> </w:t>
      </w:r>
      <w:r>
        <w:t>10 nov.</w:t>
      </w:r>
      <w:r>
        <w:rPr>
          <w:spacing w:val="40"/>
        </w:rPr>
        <w:t xml:space="preserve"> </w:t>
      </w:r>
      <w:r>
        <w:t>2023.</w:t>
      </w:r>
    </w:p>
    <w:p w:rsidR="007259F2" w:rsidRDefault="00E655B4">
      <w:pPr>
        <w:pStyle w:val="Corpodetexto"/>
        <w:spacing w:before="117"/>
        <w:ind w:right="990" w:firstLine="0"/>
        <w:jc w:val="left"/>
      </w:pPr>
      <w:r>
        <w:t>AMANDO</w:t>
      </w:r>
      <w:r>
        <w:rPr>
          <w:spacing w:val="28"/>
        </w:rPr>
        <w:t xml:space="preserve"> </w:t>
      </w:r>
      <w:r>
        <w:t>DE</w:t>
      </w:r>
      <w:r>
        <w:rPr>
          <w:spacing w:val="31"/>
        </w:rPr>
        <w:t xml:space="preserve"> </w:t>
      </w:r>
      <w:r>
        <w:t>BARROS,</w:t>
      </w:r>
      <w:r>
        <w:rPr>
          <w:spacing w:val="31"/>
        </w:rPr>
        <w:t xml:space="preserve"> </w:t>
      </w:r>
      <w:r>
        <w:t>Laura</w:t>
      </w:r>
      <w:r>
        <w:rPr>
          <w:spacing w:val="28"/>
        </w:rPr>
        <w:t xml:space="preserve"> </w:t>
      </w:r>
      <w:r>
        <w:t>M.</w:t>
      </w:r>
      <w:r>
        <w:rPr>
          <w:spacing w:val="29"/>
        </w:rPr>
        <w:t xml:space="preserve"> </w:t>
      </w:r>
      <w:r>
        <w:t>Ausência</w:t>
      </w:r>
      <w:r>
        <w:rPr>
          <w:spacing w:val="28"/>
        </w:rPr>
        <w:t xml:space="preserve"> </w:t>
      </w:r>
      <w:r>
        <w:t>de</w:t>
      </w:r>
      <w:r>
        <w:rPr>
          <w:spacing w:val="28"/>
        </w:rPr>
        <w:t xml:space="preserve"> </w:t>
      </w:r>
      <w:r>
        <w:t>visão</w:t>
      </w:r>
      <w:r>
        <w:rPr>
          <w:spacing w:val="29"/>
        </w:rPr>
        <w:t xml:space="preserve"> </w:t>
      </w:r>
      <w:r>
        <w:t>sistêmica</w:t>
      </w:r>
      <w:r>
        <w:rPr>
          <w:spacing w:val="27"/>
        </w:rPr>
        <w:t xml:space="preserve"> </w:t>
      </w:r>
      <w:r>
        <w:t>do</w:t>
      </w:r>
      <w:r>
        <w:rPr>
          <w:spacing w:val="29"/>
        </w:rPr>
        <w:t xml:space="preserve"> </w:t>
      </w:r>
      <w:r>
        <w:t>controle:</w:t>
      </w:r>
      <w:r>
        <w:rPr>
          <w:spacing w:val="29"/>
        </w:rPr>
        <w:t xml:space="preserve"> </w:t>
      </w:r>
      <w:r>
        <w:t xml:space="preserve">(mais) um pecado capital do PL 10.887/18. </w:t>
      </w:r>
      <w:r>
        <w:rPr>
          <w:b/>
        </w:rPr>
        <w:t>Consultor jurídico</w:t>
      </w:r>
      <w:r>
        <w:t xml:space="preserve">, São Paulo, 2021.Disponível </w:t>
      </w:r>
      <w:r>
        <w:rPr>
          <w:spacing w:val="-4"/>
        </w:rPr>
        <w:t xml:space="preserve">em: </w:t>
      </w:r>
      <w:r>
        <w:rPr>
          <w:spacing w:val="-2"/>
        </w:rPr>
        <w:t>https://esdpm.pgmsp.net/pluginfile.php/1011/mod_folder/content/0/PL%2010887%20e</w:t>
      </w:r>
    </w:p>
    <w:p w:rsidR="007259F2" w:rsidRDefault="00E655B4">
      <w:pPr>
        <w:pStyle w:val="Corpodetexto"/>
        <w:tabs>
          <w:tab w:val="left" w:pos="1595"/>
        </w:tabs>
        <w:spacing w:before="1"/>
        <w:ind w:firstLine="0"/>
        <w:jc w:val="left"/>
      </w:pPr>
      <w:r>
        <w:rPr>
          <w:spacing w:val="-5"/>
        </w:rPr>
        <w:t>%2</w:t>
      </w:r>
      <w:r>
        <w:tab/>
      </w:r>
      <w:r>
        <w:rPr>
          <w:spacing w:val="-2"/>
        </w:rPr>
        <w:t>0o%20fim%20da%20legitimidade%20das%20procuradorias%20-%20final.pdf</w:t>
      </w:r>
    </w:p>
    <w:p w:rsidR="007259F2" w:rsidRDefault="00E655B4">
      <w:pPr>
        <w:pStyle w:val="Corpodetexto"/>
        <w:ind w:firstLine="0"/>
        <w:jc w:val="left"/>
      </w:pPr>
      <w:r>
        <w:t>Acesso</w:t>
      </w:r>
      <w:r>
        <w:rPr>
          <w:spacing w:val="-3"/>
        </w:rPr>
        <w:t xml:space="preserve"> </w:t>
      </w:r>
      <w:r>
        <w:t>em:</w:t>
      </w:r>
      <w:r>
        <w:rPr>
          <w:spacing w:val="-1"/>
        </w:rPr>
        <w:t xml:space="preserve"> </w:t>
      </w:r>
      <w:r>
        <w:t>10</w:t>
      </w:r>
      <w:r>
        <w:rPr>
          <w:spacing w:val="-1"/>
        </w:rPr>
        <w:t xml:space="preserve"> </w:t>
      </w:r>
      <w:r>
        <w:t xml:space="preserve">nov. </w:t>
      </w:r>
      <w:r>
        <w:rPr>
          <w:spacing w:val="-4"/>
        </w:rPr>
        <w:t>2023.</w:t>
      </w:r>
    </w:p>
    <w:p w:rsidR="007259F2" w:rsidRDefault="00E655B4">
      <w:pPr>
        <w:spacing w:before="120"/>
        <w:ind w:left="710" w:right="990"/>
        <w:jc w:val="both"/>
        <w:rPr>
          <w:sz w:val="24"/>
        </w:rPr>
      </w:pPr>
      <w:r>
        <w:rPr>
          <w:sz w:val="24"/>
        </w:rPr>
        <w:t xml:space="preserve">BERTONCINI, Mateus. Direito Fundamental à probidade administrativa. </w:t>
      </w:r>
      <w:r>
        <w:rPr>
          <w:i/>
          <w:sz w:val="24"/>
        </w:rPr>
        <w:t>In</w:t>
      </w:r>
      <w:r>
        <w:rPr>
          <w:sz w:val="24"/>
        </w:rPr>
        <w:t xml:space="preserve">: OLIVEIRA, Alexandre Albagli; CHAVES, Cristiano; GHIGNONE, Luciano (Coord.). </w:t>
      </w:r>
      <w:r>
        <w:rPr>
          <w:b/>
          <w:sz w:val="24"/>
        </w:rPr>
        <w:t>Estudos</w:t>
      </w:r>
      <w:r>
        <w:rPr>
          <w:b/>
          <w:spacing w:val="-3"/>
          <w:sz w:val="24"/>
        </w:rPr>
        <w:t xml:space="preserve"> </w:t>
      </w:r>
      <w:r>
        <w:rPr>
          <w:b/>
          <w:sz w:val="24"/>
        </w:rPr>
        <w:t>sobre</w:t>
      </w:r>
      <w:r>
        <w:rPr>
          <w:b/>
          <w:spacing w:val="-4"/>
          <w:sz w:val="24"/>
        </w:rPr>
        <w:t xml:space="preserve"> </w:t>
      </w:r>
      <w:r>
        <w:rPr>
          <w:b/>
          <w:sz w:val="24"/>
        </w:rPr>
        <w:t>improbidade</w:t>
      </w:r>
      <w:r>
        <w:rPr>
          <w:b/>
          <w:spacing w:val="-4"/>
          <w:sz w:val="24"/>
        </w:rPr>
        <w:t xml:space="preserve"> </w:t>
      </w:r>
      <w:r>
        <w:rPr>
          <w:b/>
          <w:sz w:val="24"/>
        </w:rPr>
        <w:t>administrativa</w:t>
      </w:r>
      <w:r>
        <w:rPr>
          <w:b/>
          <w:spacing w:val="-1"/>
          <w:sz w:val="24"/>
        </w:rPr>
        <w:t xml:space="preserve"> </w:t>
      </w:r>
      <w:r>
        <w:rPr>
          <w:b/>
          <w:sz w:val="24"/>
        </w:rPr>
        <w:t>em</w:t>
      </w:r>
      <w:r>
        <w:rPr>
          <w:b/>
          <w:spacing w:val="-4"/>
          <w:sz w:val="24"/>
        </w:rPr>
        <w:t xml:space="preserve"> </w:t>
      </w:r>
      <w:r>
        <w:rPr>
          <w:b/>
          <w:sz w:val="24"/>
        </w:rPr>
        <w:t>homenagem</w:t>
      </w:r>
      <w:r>
        <w:rPr>
          <w:b/>
          <w:spacing w:val="-4"/>
          <w:sz w:val="24"/>
        </w:rPr>
        <w:t xml:space="preserve"> </w:t>
      </w:r>
      <w:r>
        <w:rPr>
          <w:b/>
          <w:sz w:val="24"/>
        </w:rPr>
        <w:t>ao</w:t>
      </w:r>
      <w:r>
        <w:rPr>
          <w:b/>
          <w:spacing w:val="-3"/>
          <w:sz w:val="24"/>
        </w:rPr>
        <w:t xml:space="preserve"> </w:t>
      </w:r>
      <w:r>
        <w:rPr>
          <w:b/>
          <w:sz w:val="24"/>
        </w:rPr>
        <w:t>prof.</w:t>
      </w:r>
      <w:r>
        <w:rPr>
          <w:b/>
          <w:spacing w:val="-3"/>
          <w:sz w:val="24"/>
        </w:rPr>
        <w:t xml:space="preserve"> </w:t>
      </w:r>
      <w:r>
        <w:rPr>
          <w:b/>
          <w:sz w:val="24"/>
        </w:rPr>
        <w:t>J.J.</w:t>
      </w:r>
      <w:r>
        <w:rPr>
          <w:b/>
          <w:spacing w:val="-3"/>
          <w:sz w:val="24"/>
        </w:rPr>
        <w:t xml:space="preserve"> </w:t>
      </w:r>
      <w:r>
        <w:rPr>
          <w:b/>
          <w:sz w:val="24"/>
        </w:rPr>
        <w:t>Calmon</w:t>
      </w:r>
      <w:r>
        <w:rPr>
          <w:b/>
          <w:spacing w:val="-3"/>
          <w:sz w:val="24"/>
        </w:rPr>
        <w:t xml:space="preserve"> </w:t>
      </w:r>
      <w:r>
        <w:rPr>
          <w:b/>
          <w:sz w:val="24"/>
        </w:rPr>
        <w:t>de Passos</w:t>
      </w:r>
      <w:r>
        <w:rPr>
          <w:sz w:val="24"/>
        </w:rPr>
        <w:t>. 2ª ed. Salvador: JusPodivm, 2012.</w:t>
      </w:r>
    </w:p>
    <w:p w:rsidR="007259F2" w:rsidRDefault="00E655B4">
      <w:pPr>
        <w:pStyle w:val="Corpodetexto"/>
        <w:spacing w:before="120"/>
        <w:ind w:right="992" w:firstLine="0"/>
      </w:pPr>
      <w:r>
        <w:t xml:space="preserve">BRASIL. </w:t>
      </w:r>
      <w:r>
        <w:rPr>
          <w:b/>
        </w:rPr>
        <w:t xml:space="preserve">Constituição Federal de 5 de outubro de 1988 </w:t>
      </w:r>
      <w:r>
        <w:t>com as alterações adotadas pelas Emendas Constitucionais nº1/1992 a 132/2023. Disponível em: https:/</w:t>
      </w:r>
      <w:hyperlink r:id="rId132">
        <w:r>
          <w:t>/www.planalto.gov.br/ccivil_03/constituicao/constituicao.htm.</w:t>
        </w:r>
      </w:hyperlink>
      <w:r>
        <w:t xml:space="preserve"> Acesso em: 10 nov. de 2023.</w:t>
      </w:r>
    </w:p>
    <w:p w:rsidR="007259F2" w:rsidRDefault="00E655B4">
      <w:pPr>
        <w:tabs>
          <w:tab w:val="left" w:pos="8855"/>
        </w:tabs>
        <w:spacing w:before="121"/>
        <w:ind w:left="710" w:right="988"/>
        <w:jc w:val="both"/>
        <w:rPr>
          <w:sz w:val="24"/>
        </w:rPr>
      </w:pPr>
      <w:r>
        <w:rPr>
          <w:sz w:val="24"/>
        </w:rPr>
        <w:t xml:space="preserve">BRASIL. </w:t>
      </w:r>
      <w:r>
        <w:rPr>
          <w:b/>
          <w:sz w:val="24"/>
        </w:rPr>
        <w:t>Constituição do</w:t>
      </w:r>
      <w:r>
        <w:rPr>
          <w:b/>
          <w:spacing w:val="40"/>
          <w:sz w:val="24"/>
        </w:rPr>
        <w:t xml:space="preserve"> </w:t>
      </w:r>
      <w:r>
        <w:rPr>
          <w:b/>
          <w:sz w:val="24"/>
        </w:rPr>
        <w:t>Império</w:t>
      </w:r>
      <w:r>
        <w:rPr>
          <w:b/>
          <w:spacing w:val="40"/>
          <w:sz w:val="24"/>
        </w:rPr>
        <w:t xml:space="preserve"> </w:t>
      </w:r>
      <w:r>
        <w:rPr>
          <w:b/>
          <w:sz w:val="24"/>
        </w:rPr>
        <w:t>de</w:t>
      </w:r>
      <w:r>
        <w:rPr>
          <w:b/>
          <w:spacing w:val="40"/>
          <w:sz w:val="24"/>
        </w:rPr>
        <w:t xml:space="preserve"> </w:t>
      </w:r>
      <w:r>
        <w:rPr>
          <w:b/>
          <w:sz w:val="24"/>
        </w:rPr>
        <w:t>25de</w:t>
      </w:r>
      <w:r>
        <w:rPr>
          <w:b/>
          <w:spacing w:val="40"/>
          <w:sz w:val="24"/>
        </w:rPr>
        <w:t xml:space="preserve"> </w:t>
      </w:r>
      <w:r>
        <w:rPr>
          <w:b/>
          <w:sz w:val="24"/>
        </w:rPr>
        <w:t>março</w:t>
      </w:r>
      <w:r>
        <w:rPr>
          <w:b/>
          <w:spacing w:val="40"/>
          <w:sz w:val="24"/>
        </w:rPr>
        <w:t xml:space="preserve"> </w:t>
      </w:r>
      <w:r>
        <w:rPr>
          <w:b/>
          <w:sz w:val="24"/>
        </w:rPr>
        <w:t>de</w:t>
      </w:r>
      <w:r>
        <w:rPr>
          <w:b/>
          <w:spacing w:val="40"/>
          <w:sz w:val="24"/>
        </w:rPr>
        <w:t xml:space="preserve"> </w:t>
      </w:r>
      <w:r>
        <w:rPr>
          <w:b/>
          <w:sz w:val="24"/>
        </w:rPr>
        <w:t>1824</w:t>
      </w:r>
      <w:r>
        <w:rPr>
          <w:sz w:val="24"/>
        </w:rPr>
        <w:t>.Disponível</w:t>
      </w:r>
      <w:r>
        <w:rPr>
          <w:sz w:val="24"/>
        </w:rPr>
        <w:tab/>
      </w:r>
      <w:r>
        <w:rPr>
          <w:spacing w:val="-4"/>
          <w:sz w:val="24"/>
        </w:rPr>
        <w:t xml:space="preserve">em: </w:t>
      </w:r>
      <w:hyperlink r:id="rId133">
        <w:r>
          <w:rPr>
            <w:color w:val="0000FF"/>
            <w:sz w:val="24"/>
            <w:u w:val="single" w:color="0000FF"/>
          </w:rPr>
          <w:t>http://www.planalto.gov.br/ccivil_03/Constituicao/Constituicao24.htm</w:t>
        </w:r>
      </w:hyperlink>
      <w:r>
        <w:rPr>
          <w:sz w:val="24"/>
        </w:rPr>
        <w:t>. Acesso em: 10 nov. 2023.</w:t>
      </w:r>
    </w:p>
    <w:p w:rsidR="007259F2" w:rsidRDefault="00E655B4">
      <w:pPr>
        <w:spacing w:before="120"/>
        <w:ind w:left="710" w:right="989"/>
        <w:jc w:val="both"/>
        <w:rPr>
          <w:sz w:val="24"/>
        </w:rPr>
      </w:pPr>
      <w:r>
        <w:rPr>
          <w:sz w:val="24"/>
        </w:rPr>
        <w:t xml:space="preserve">BRASIL. </w:t>
      </w:r>
      <w:r>
        <w:rPr>
          <w:b/>
          <w:sz w:val="24"/>
        </w:rPr>
        <w:t>Constituição da República do Brasil de 24 de fevereiro de 1891</w:t>
      </w:r>
      <w:r>
        <w:rPr>
          <w:sz w:val="24"/>
        </w:rPr>
        <w:t>. Disponível em:</w:t>
      </w:r>
    </w:p>
    <w:p w:rsidR="007259F2" w:rsidRDefault="00DE6B1C">
      <w:pPr>
        <w:pStyle w:val="Corpodetexto"/>
        <w:spacing w:before="120"/>
        <w:ind w:right="988" w:firstLine="0"/>
      </w:pPr>
      <w:hyperlink r:id="rId134">
        <w:r w:rsidR="00E655B4">
          <w:rPr>
            <w:color w:val="0000FF"/>
            <w:u w:val="single" w:color="0000FF"/>
          </w:rPr>
          <w:t>http://www.planalto.gov.br/ccivil_03/Constituicao/Constituicao91.htm</w:t>
        </w:r>
      </w:hyperlink>
      <w:r w:rsidR="00E655B4">
        <w:t>. Acesso em: 10 nov. 2023.</w:t>
      </w:r>
    </w:p>
    <w:p w:rsidR="007259F2" w:rsidRDefault="00E655B4">
      <w:pPr>
        <w:spacing w:before="120"/>
        <w:ind w:left="710" w:right="988"/>
        <w:jc w:val="both"/>
        <w:rPr>
          <w:sz w:val="24"/>
        </w:rPr>
      </w:pPr>
      <w:r>
        <w:rPr>
          <w:sz w:val="24"/>
        </w:rPr>
        <w:t xml:space="preserve">BRASIL. </w:t>
      </w:r>
      <w:r>
        <w:rPr>
          <w:b/>
          <w:sz w:val="24"/>
        </w:rPr>
        <w:t>Constituição da República do Brasil de 16 de julho de 1934</w:t>
      </w:r>
      <w:r>
        <w:rPr>
          <w:sz w:val="24"/>
        </w:rPr>
        <w:t>. Disponível em:&lt; https:/</w:t>
      </w:r>
      <w:hyperlink r:id="rId135">
        <w:r>
          <w:rPr>
            <w:sz w:val="24"/>
          </w:rPr>
          <w:t>/www.planalto.gov.br/ccivil_03/constituicao/constituicao34.htm</w:t>
        </w:r>
      </w:hyperlink>
      <w:r>
        <w:rPr>
          <w:sz w:val="24"/>
        </w:rPr>
        <w:t>&gt; Acesso em: 10 de novembro de 2023.</w:t>
      </w:r>
    </w:p>
    <w:p w:rsidR="007259F2" w:rsidRDefault="00E655B4">
      <w:pPr>
        <w:spacing w:before="120"/>
        <w:ind w:left="710" w:right="989"/>
        <w:jc w:val="both"/>
        <w:rPr>
          <w:sz w:val="24"/>
        </w:rPr>
      </w:pPr>
      <w:r>
        <w:rPr>
          <w:sz w:val="24"/>
        </w:rPr>
        <w:t xml:space="preserve">BRASIL. </w:t>
      </w:r>
      <w:r>
        <w:rPr>
          <w:b/>
          <w:sz w:val="24"/>
        </w:rPr>
        <w:t>Constituição da República do Brasil de 10 de novembro de 1937</w:t>
      </w:r>
      <w:r>
        <w:rPr>
          <w:sz w:val="24"/>
        </w:rPr>
        <w:t>. Disponível</w:t>
      </w:r>
      <w:r>
        <w:rPr>
          <w:spacing w:val="59"/>
          <w:sz w:val="24"/>
        </w:rPr>
        <w:t xml:space="preserve"> </w:t>
      </w:r>
      <w:r>
        <w:rPr>
          <w:sz w:val="24"/>
        </w:rPr>
        <w:t>em:</w:t>
      </w:r>
      <w:r>
        <w:rPr>
          <w:spacing w:val="61"/>
          <w:sz w:val="24"/>
        </w:rPr>
        <w:t xml:space="preserve"> </w:t>
      </w:r>
      <w:r>
        <w:rPr>
          <w:spacing w:val="-2"/>
          <w:sz w:val="24"/>
        </w:rPr>
        <w:t>https://</w:t>
      </w:r>
      <w:hyperlink r:id="rId136">
        <w:r>
          <w:rPr>
            <w:spacing w:val="-2"/>
            <w:sz w:val="24"/>
          </w:rPr>
          <w:t>www.planalto.gov.br/ccivil_03/constituicao/constituicao37.htm.</w:t>
        </w:r>
      </w:hyperlink>
    </w:p>
    <w:p w:rsidR="007259F2" w:rsidRDefault="007259F2">
      <w:pPr>
        <w:jc w:val="both"/>
        <w:rPr>
          <w:sz w:val="24"/>
        </w:rPr>
        <w:sectPr w:rsidR="007259F2">
          <w:pgSz w:w="11910" w:h="16840"/>
          <w:pgMar w:top="1320" w:right="708" w:bottom="1160" w:left="992" w:header="0" w:footer="962" w:gutter="0"/>
          <w:cols w:space="720"/>
        </w:sectPr>
      </w:pPr>
    </w:p>
    <w:p w:rsidR="007259F2" w:rsidRDefault="00E655B4">
      <w:pPr>
        <w:pStyle w:val="Corpodetexto"/>
        <w:spacing w:before="69"/>
        <w:ind w:firstLine="0"/>
      </w:pPr>
      <w:r>
        <w:lastRenderedPageBreak/>
        <w:t>Acesso</w:t>
      </w:r>
      <w:r>
        <w:rPr>
          <w:spacing w:val="-3"/>
        </w:rPr>
        <w:t xml:space="preserve"> </w:t>
      </w:r>
      <w:r>
        <w:t>em:</w:t>
      </w:r>
      <w:r>
        <w:rPr>
          <w:spacing w:val="-1"/>
        </w:rPr>
        <w:t xml:space="preserve"> </w:t>
      </w:r>
      <w:r>
        <w:t>10</w:t>
      </w:r>
      <w:r>
        <w:rPr>
          <w:spacing w:val="-1"/>
        </w:rPr>
        <w:t xml:space="preserve"> </w:t>
      </w:r>
      <w:r>
        <w:t xml:space="preserve">nov. </w:t>
      </w:r>
      <w:r>
        <w:rPr>
          <w:spacing w:val="-4"/>
        </w:rPr>
        <w:t>2023.</w:t>
      </w:r>
    </w:p>
    <w:p w:rsidR="007259F2" w:rsidRDefault="00E655B4">
      <w:pPr>
        <w:spacing w:before="121"/>
        <w:ind w:left="710" w:right="989"/>
        <w:jc w:val="both"/>
        <w:rPr>
          <w:sz w:val="24"/>
        </w:rPr>
      </w:pPr>
      <w:r>
        <w:rPr>
          <w:sz w:val="24"/>
        </w:rPr>
        <w:t xml:space="preserve">BRASIL. </w:t>
      </w:r>
      <w:r>
        <w:rPr>
          <w:b/>
          <w:sz w:val="24"/>
        </w:rPr>
        <w:t>Constituição do Brasil de 18 de setembro de 1946</w:t>
      </w:r>
      <w:r>
        <w:rPr>
          <w:sz w:val="24"/>
        </w:rPr>
        <w:t>.</w:t>
      </w:r>
      <w:r>
        <w:rPr>
          <w:spacing w:val="40"/>
          <w:sz w:val="24"/>
        </w:rPr>
        <w:t xml:space="preserve"> </w:t>
      </w:r>
      <w:r>
        <w:rPr>
          <w:sz w:val="24"/>
        </w:rPr>
        <w:t xml:space="preserve">Disponível em: </w:t>
      </w:r>
      <w:hyperlink r:id="rId137">
        <w:r>
          <w:rPr>
            <w:sz w:val="24"/>
          </w:rPr>
          <w:t>http://www.planalto.gov.br/ccivil_03/Constituicao/Constituicao46.htm.</w:t>
        </w:r>
      </w:hyperlink>
      <w:r>
        <w:rPr>
          <w:sz w:val="24"/>
        </w:rPr>
        <w:t xml:space="preserve"> Acesso em: 10 nov. 2023.</w:t>
      </w:r>
    </w:p>
    <w:p w:rsidR="007259F2" w:rsidRDefault="00E655B4">
      <w:pPr>
        <w:spacing w:before="120"/>
        <w:ind w:left="710" w:right="988"/>
        <w:jc w:val="both"/>
        <w:rPr>
          <w:sz w:val="24"/>
        </w:rPr>
      </w:pPr>
      <w:r>
        <w:rPr>
          <w:sz w:val="24"/>
        </w:rPr>
        <w:t xml:space="preserve">BRASIL. </w:t>
      </w:r>
      <w:r>
        <w:rPr>
          <w:b/>
          <w:sz w:val="24"/>
        </w:rPr>
        <w:t>Constituição do Brasil de 24 de janeiro de 1967.</w:t>
      </w:r>
      <w:r>
        <w:rPr>
          <w:b/>
          <w:spacing w:val="40"/>
          <w:sz w:val="24"/>
        </w:rPr>
        <w:t xml:space="preserve"> </w:t>
      </w:r>
      <w:r>
        <w:rPr>
          <w:sz w:val="24"/>
        </w:rPr>
        <w:t xml:space="preserve">Disponível em: </w:t>
      </w:r>
      <w:hyperlink r:id="rId138">
        <w:r>
          <w:rPr>
            <w:color w:val="0000FF"/>
            <w:sz w:val="24"/>
            <w:u w:val="single" w:color="0000FF"/>
          </w:rPr>
          <w:t>http://www.planalto.gov.br/ccivil_03/Constituicao/Constituicao67.htm</w:t>
        </w:r>
      </w:hyperlink>
      <w:r>
        <w:rPr>
          <w:sz w:val="24"/>
        </w:rPr>
        <w:t>. Acesso em: 10 nov. 2023.</w:t>
      </w:r>
    </w:p>
    <w:p w:rsidR="007259F2" w:rsidRDefault="00E655B4">
      <w:pPr>
        <w:pStyle w:val="Corpodetexto"/>
        <w:spacing w:before="120"/>
        <w:ind w:right="989" w:firstLine="0"/>
      </w:pPr>
      <w:r>
        <w:t xml:space="preserve">BRASIL. </w:t>
      </w:r>
      <w:r>
        <w:rPr>
          <w:b/>
        </w:rPr>
        <w:t xml:space="preserve">Constituição do Brasil de 24 de janeiro de 1967 </w:t>
      </w:r>
      <w:r>
        <w:t>com a redação dada pela Emenda Constitucional nº 1, de 17 de outubro de 1969. Disponível em: https:/</w:t>
      </w:r>
      <w:hyperlink r:id="rId139">
        <w:r>
          <w:t>/www.planalto.gov.br/ccivil_03/constituicao/Constituicao67EMC69.htm.</w:t>
        </w:r>
      </w:hyperlink>
      <w:r>
        <w:t xml:space="preserve"> Acesso em: 10 nov. 2023.</w:t>
      </w:r>
    </w:p>
    <w:p w:rsidR="007259F2" w:rsidRDefault="00E655B4">
      <w:pPr>
        <w:pStyle w:val="Corpodetexto"/>
        <w:spacing w:before="120"/>
        <w:ind w:right="990" w:firstLine="0"/>
        <w:jc w:val="left"/>
      </w:pPr>
      <w:r>
        <w:t>BRASIL.</w:t>
      </w:r>
      <w:r>
        <w:rPr>
          <w:spacing w:val="40"/>
        </w:rPr>
        <w:t xml:space="preserve"> </w:t>
      </w:r>
      <w:r>
        <w:t>Supremo</w:t>
      </w:r>
      <w:r>
        <w:rPr>
          <w:spacing w:val="40"/>
        </w:rPr>
        <w:t xml:space="preserve"> </w:t>
      </w:r>
      <w:r>
        <w:t>Tribunal</w:t>
      </w:r>
      <w:r>
        <w:rPr>
          <w:spacing w:val="40"/>
        </w:rPr>
        <w:t xml:space="preserve"> </w:t>
      </w:r>
      <w:r>
        <w:t>Federal.</w:t>
      </w:r>
      <w:r>
        <w:rPr>
          <w:spacing w:val="40"/>
        </w:rPr>
        <w:t xml:space="preserve"> </w:t>
      </w:r>
      <w:r>
        <w:rPr>
          <w:b/>
        </w:rPr>
        <w:t>ADI</w:t>
      </w:r>
      <w:r>
        <w:rPr>
          <w:b/>
          <w:spacing w:val="40"/>
        </w:rPr>
        <w:t xml:space="preserve"> </w:t>
      </w:r>
      <w:r>
        <w:rPr>
          <w:b/>
        </w:rPr>
        <w:t>7042</w:t>
      </w:r>
      <w:r>
        <w:t>.</w:t>
      </w:r>
      <w:r>
        <w:rPr>
          <w:spacing w:val="40"/>
        </w:rPr>
        <w:t xml:space="preserve"> </w:t>
      </w:r>
      <w:r>
        <w:t>Rel.:</w:t>
      </w:r>
      <w:r>
        <w:rPr>
          <w:spacing w:val="40"/>
        </w:rPr>
        <w:t xml:space="preserve"> </w:t>
      </w:r>
      <w:r>
        <w:t>Min.</w:t>
      </w:r>
      <w:r>
        <w:rPr>
          <w:spacing w:val="40"/>
        </w:rPr>
        <w:t xml:space="preserve"> </w:t>
      </w:r>
      <w:r>
        <w:t>Alexandre</w:t>
      </w:r>
      <w:r>
        <w:rPr>
          <w:spacing w:val="40"/>
        </w:rPr>
        <w:t xml:space="preserve"> </w:t>
      </w:r>
      <w:r>
        <w:t>de</w:t>
      </w:r>
      <w:r>
        <w:rPr>
          <w:spacing w:val="40"/>
        </w:rPr>
        <w:t xml:space="preserve"> </w:t>
      </w:r>
      <w:r>
        <w:t xml:space="preserve">Moraes. Publicado noDJEde28/02/2023.Disponívelem: </w:t>
      </w:r>
      <w:r>
        <w:rPr>
          <w:spacing w:val="-2"/>
        </w:rPr>
        <w:t>https://portal.stf.jus.br/processos/downloadPeca.asp?id=15356195111&amp;ext=.pdf.</w:t>
      </w:r>
    </w:p>
    <w:p w:rsidR="007259F2" w:rsidRDefault="00E655B4">
      <w:pPr>
        <w:pStyle w:val="Corpodetexto"/>
        <w:spacing w:before="1"/>
        <w:ind w:firstLine="0"/>
        <w:jc w:val="left"/>
      </w:pPr>
      <w:r>
        <w:t>Acesso</w:t>
      </w:r>
      <w:r>
        <w:rPr>
          <w:spacing w:val="-3"/>
        </w:rPr>
        <w:t xml:space="preserve"> </w:t>
      </w:r>
      <w:r>
        <w:t>em:</w:t>
      </w:r>
      <w:r>
        <w:rPr>
          <w:spacing w:val="-1"/>
        </w:rPr>
        <w:t xml:space="preserve"> </w:t>
      </w:r>
      <w:r>
        <w:t>10</w:t>
      </w:r>
      <w:r>
        <w:rPr>
          <w:spacing w:val="-1"/>
        </w:rPr>
        <w:t xml:space="preserve"> </w:t>
      </w:r>
      <w:r>
        <w:t xml:space="preserve">nov. </w:t>
      </w:r>
      <w:r>
        <w:rPr>
          <w:spacing w:val="-4"/>
        </w:rPr>
        <w:t>2023.</w:t>
      </w:r>
    </w:p>
    <w:p w:rsidR="007259F2" w:rsidRDefault="00E655B4">
      <w:pPr>
        <w:pStyle w:val="Corpodetexto"/>
        <w:spacing w:before="120"/>
        <w:ind w:right="993" w:firstLine="0"/>
      </w:pPr>
      <w:r>
        <w:t xml:space="preserve">BRASIL. Supremo Tribunal Federal. </w:t>
      </w:r>
      <w:r>
        <w:rPr>
          <w:b/>
        </w:rPr>
        <w:t>RE 852.475</w:t>
      </w:r>
      <w:r>
        <w:t>. Rel.: Min. Alexandre de Moraes. Redator do acórdão: Min. Edson Fachin. Publicado no DJE de 25/03/2019. Disponível em: https://portal.stf.jus.br/processos/downloadPeca.asp?id=15339769948&amp;ext=.pdf. Acesso em: 10 nov. 2023.</w:t>
      </w:r>
    </w:p>
    <w:p w:rsidR="007259F2" w:rsidRDefault="00E655B4">
      <w:pPr>
        <w:spacing w:before="120"/>
        <w:ind w:left="710" w:right="989"/>
        <w:jc w:val="both"/>
        <w:rPr>
          <w:sz w:val="24"/>
        </w:rPr>
      </w:pPr>
      <w:r>
        <w:rPr>
          <w:sz w:val="24"/>
        </w:rPr>
        <w:t xml:space="preserve">BUENO, Cassio Scarpinella. </w:t>
      </w:r>
      <w:r>
        <w:rPr>
          <w:b/>
          <w:sz w:val="24"/>
        </w:rPr>
        <w:t>Curso sistematizado de direto processual civil</w:t>
      </w:r>
      <w:r>
        <w:rPr>
          <w:sz w:val="24"/>
        </w:rPr>
        <w:t>: teoria geral do direito processual civil – parte geral do código de processo civil v. 01, 13. ed. São Paulo: SaraivaJur, 2023.</w:t>
      </w:r>
    </w:p>
    <w:p w:rsidR="007259F2" w:rsidRDefault="00E655B4">
      <w:pPr>
        <w:spacing w:before="120"/>
        <w:ind w:left="710" w:right="987"/>
        <w:jc w:val="both"/>
        <w:rPr>
          <w:sz w:val="24"/>
        </w:rPr>
      </w:pPr>
      <w:r>
        <w:rPr>
          <w:sz w:val="24"/>
        </w:rPr>
        <w:t xml:space="preserve">BUZAID, Alfredo. </w:t>
      </w:r>
      <w:r>
        <w:rPr>
          <w:b/>
          <w:sz w:val="24"/>
        </w:rPr>
        <w:t>Agravo de petição no sistema do Código de Processo Civil</w:t>
      </w:r>
      <w:r>
        <w:rPr>
          <w:sz w:val="24"/>
        </w:rPr>
        <w:t>. 2. ed. São Paulo: Saraiva, 1956.</w:t>
      </w:r>
    </w:p>
    <w:p w:rsidR="007259F2" w:rsidRDefault="00E655B4">
      <w:pPr>
        <w:pStyle w:val="Corpodetexto"/>
        <w:spacing w:before="120"/>
        <w:ind w:right="990" w:firstLine="0"/>
      </w:pPr>
      <w:r>
        <w:t xml:space="preserve">CARVALHO FILHO, José dos Santos. </w:t>
      </w:r>
      <w:r>
        <w:rPr>
          <w:b/>
        </w:rPr>
        <w:t>Improbidade administrativa</w:t>
      </w:r>
      <w:r>
        <w:t>: prescrição e outros prazos extintivos. 3. ed. São Paulo: Atlas, 2019.</w:t>
      </w:r>
    </w:p>
    <w:p w:rsidR="007259F2" w:rsidRDefault="00E655B4">
      <w:pPr>
        <w:spacing w:before="120"/>
        <w:ind w:left="710" w:right="992"/>
        <w:jc w:val="both"/>
        <w:rPr>
          <w:sz w:val="24"/>
        </w:rPr>
      </w:pPr>
      <w:r>
        <w:rPr>
          <w:sz w:val="24"/>
        </w:rPr>
        <w:t xml:space="preserve">CARVALHO FILHO, José dos Santos. </w:t>
      </w:r>
      <w:r>
        <w:rPr>
          <w:b/>
          <w:sz w:val="24"/>
        </w:rPr>
        <w:t>Manual de direito administrativo</w:t>
      </w:r>
      <w:r>
        <w:rPr>
          <w:sz w:val="24"/>
        </w:rPr>
        <w:t>. 37. ed. Barueri [SP]: Atlas, 2023.</w:t>
      </w:r>
    </w:p>
    <w:p w:rsidR="007259F2" w:rsidRDefault="00E655B4">
      <w:pPr>
        <w:spacing w:before="120"/>
        <w:ind w:left="710" w:right="990"/>
        <w:jc w:val="both"/>
        <w:rPr>
          <w:sz w:val="24"/>
        </w:rPr>
      </w:pPr>
      <w:r>
        <w:rPr>
          <w:sz w:val="24"/>
        </w:rPr>
        <w:t xml:space="preserve">DAL POZZO, Augusto Neves; OLIVEIRA, José Pimenta de. </w:t>
      </w:r>
      <w:r>
        <w:rPr>
          <w:b/>
          <w:sz w:val="24"/>
        </w:rPr>
        <w:t xml:space="preserve">Lei de improbidade administrativa reformada </w:t>
      </w:r>
      <w:r>
        <w:rPr>
          <w:sz w:val="24"/>
        </w:rPr>
        <w:t>[livro eletrônico]. 1. ed. São Paulo: Thomson Reuters</w:t>
      </w:r>
      <w:r>
        <w:rPr>
          <w:spacing w:val="40"/>
          <w:sz w:val="24"/>
        </w:rPr>
        <w:t xml:space="preserve"> </w:t>
      </w:r>
      <w:r>
        <w:rPr>
          <w:sz w:val="24"/>
        </w:rPr>
        <w:t>Brasil, 2022.</w:t>
      </w:r>
    </w:p>
    <w:p w:rsidR="007259F2" w:rsidRDefault="00E655B4">
      <w:pPr>
        <w:spacing w:before="121"/>
        <w:ind w:left="710" w:right="989"/>
        <w:jc w:val="both"/>
        <w:rPr>
          <w:sz w:val="24"/>
        </w:rPr>
      </w:pPr>
      <w:r>
        <w:rPr>
          <w:sz w:val="24"/>
        </w:rPr>
        <w:t xml:space="preserve">DI PIETRO, Maria Sylvia Zanella. </w:t>
      </w:r>
      <w:r>
        <w:rPr>
          <w:b/>
          <w:sz w:val="24"/>
        </w:rPr>
        <w:t>Direito administrativo</w:t>
      </w:r>
      <w:r>
        <w:rPr>
          <w:sz w:val="24"/>
        </w:rPr>
        <w:t>.36. ed. [2. Reimp.] Rio de Janeiro: Forense, 2023.</w:t>
      </w:r>
    </w:p>
    <w:p w:rsidR="007259F2" w:rsidRDefault="00E655B4">
      <w:pPr>
        <w:pStyle w:val="Corpodetexto"/>
        <w:spacing w:before="120"/>
        <w:ind w:right="991" w:firstLine="0"/>
      </w:pPr>
      <w:r>
        <w:t xml:space="preserve">FAZZIO JÚNIOR, Waldo. </w:t>
      </w:r>
      <w:r>
        <w:rPr>
          <w:b/>
        </w:rPr>
        <w:t>Improbidade administrativa</w:t>
      </w:r>
      <w:r>
        <w:t>: doutrina, legislação e jurisprudência. 4. ed. rev., atual. e ampl. São Paulo : Atlas, 2016.</w:t>
      </w:r>
    </w:p>
    <w:p w:rsidR="007259F2" w:rsidRDefault="00E655B4">
      <w:pPr>
        <w:spacing w:before="120"/>
        <w:ind w:left="710"/>
        <w:jc w:val="both"/>
        <w:rPr>
          <w:sz w:val="24"/>
        </w:rPr>
      </w:pPr>
      <w:r>
        <w:rPr>
          <w:sz w:val="24"/>
        </w:rPr>
        <w:t>FERRARESI,</w:t>
      </w:r>
      <w:r>
        <w:rPr>
          <w:spacing w:val="-2"/>
          <w:sz w:val="24"/>
        </w:rPr>
        <w:t xml:space="preserve"> </w:t>
      </w:r>
      <w:r>
        <w:rPr>
          <w:sz w:val="24"/>
        </w:rPr>
        <w:t xml:space="preserve">Eurico. </w:t>
      </w:r>
      <w:r>
        <w:rPr>
          <w:b/>
          <w:sz w:val="24"/>
        </w:rPr>
        <w:t>Improbidade</w:t>
      </w:r>
      <w:r>
        <w:rPr>
          <w:b/>
          <w:spacing w:val="-2"/>
          <w:sz w:val="24"/>
        </w:rPr>
        <w:t xml:space="preserve"> </w:t>
      </w:r>
      <w:r>
        <w:rPr>
          <w:b/>
          <w:sz w:val="24"/>
        </w:rPr>
        <w:t>administrativa</w:t>
      </w:r>
      <w:r>
        <w:rPr>
          <w:sz w:val="24"/>
        </w:rPr>
        <w:t>.</w:t>
      </w:r>
      <w:r>
        <w:rPr>
          <w:spacing w:val="-2"/>
          <w:sz w:val="24"/>
        </w:rPr>
        <w:t xml:space="preserve"> </w:t>
      </w:r>
      <w:r>
        <w:rPr>
          <w:sz w:val="24"/>
        </w:rPr>
        <w:t>São</w:t>
      </w:r>
      <w:r>
        <w:rPr>
          <w:spacing w:val="-1"/>
          <w:sz w:val="24"/>
        </w:rPr>
        <w:t xml:space="preserve"> </w:t>
      </w:r>
      <w:r>
        <w:rPr>
          <w:sz w:val="24"/>
        </w:rPr>
        <w:t>Paulo:</w:t>
      </w:r>
      <w:r>
        <w:rPr>
          <w:spacing w:val="-1"/>
          <w:sz w:val="24"/>
        </w:rPr>
        <w:t xml:space="preserve"> </w:t>
      </w:r>
      <w:r>
        <w:rPr>
          <w:sz w:val="24"/>
        </w:rPr>
        <w:t>Método,</w:t>
      </w:r>
      <w:r>
        <w:rPr>
          <w:spacing w:val="-1"/>
          <w:sz w:val="24"/>
        </w:rPr>
        <w:t xml:space="preserve"> </w:t>
      </w:r>
      <w:r>
        <w:rPr>
          <w:spacing w:val="-2"/>
          <w:sz w:val="24"/>
        </w:rPr>
        <w:t>2011.</w:t>
      </w:r>
    </w:p>
    <w:p w:rsidR="007259F2" w:rsidRDefault="00E655B4">
      <w:pPr>
        <w:spacing w:before="120"/>
        <w:ind w:left="710" w:right="992"/>
        <w:jc w:val="both"/>
        <w:rPr>
          <w:sz w:val="24"/>
        </w:rPr>
      </w:pPr>
      <w:r>
        <w:rPr>
          <w:sz w:val="24"/>
        </w:rPr>
        <w:t xml:space="preserve">FERREIRA FILHO, Manoel Gonçalves. </w:t>
      </w:r>
      <w:r>
        <w:rPr>
          <w:b/>
          <w:sz w:val="24"/>
        </w:rPr>
        <w:t>Comentários à Constituição brasileira de 1988</w:t>
      </w:r>
      <w:r>
        <w:rPr>
          <w:sz w:val="24"/>
        </w:rPr>
        <w:t>. 2. ed. São Paulo: Saraiva, 1997. v. l.</w:t>
      </w:r>
    </w:p>
    <w:p w:rsidR="007259F2" w:rsidRDefault="00E655B4">
      <w:pPr>
        <w:spacing w:before="120"/>
        <w:ind w:left="710" w:right="995"/>
        <w:jc w:val="both"/>
        <w:rPr>
          <w:sz w:val="24"/>
        </w:rPr>
      </w:pPr>
      <w:r>
        <w:rPr>
          <w:sz w:val="24"/>
        </w:rPr>
        <w:t xml:space="preserve">FREITAS, Juarez. </w:t>
      </w:r>
      <w:r>
        <w:rPr>
          <w:b/>
          <w:sz w:val="24"/>
        </w:rPr>
        <w:t>Discricionariedade administrativa e o direito fundamental à boa administração</w:t>
      </w:r>
      <w:r>
        <w:rPr>
          <w:sz w:val="24"/>
        </w:rPr>
        <w:t>. 2. ed. São Paulo: Malheiros, 2009.</w:t>
      </w:r>
    </w:p>
    <w:p w:rsidR="007259F2" w:rsidRDefault="00E655B4">
      <w:pPr>
        <w:spacing w:before="120"/>
        <w:ind w:left="710" w:right="991"/>
        <w:jc w:val="both"/>
        <w:rPr>
          <w:sz w:val="24"/>
        </w:rPr>
      </w:pPr>
      <w:r>
        <w:rPr>
          <w:sz w:val="24"/>
        </w:rPr>
        <w:t>GAJARDONI, Fernando da Fonseca [</w:t>
      </w:r>
      <w:r>
        <w:rPr>
          <w:i/>
          <w:sz w:val="24"/>
        </w:rPr>
        <w:t>et al</w:t>
      </w:r>
      <w:r>
        <w:rPr>
          <w:sz w:val="24"/>
        </w:rPr>
        <w:t xml:space="preserve">.] – </w:t>
      </w:r>
      <w:r>
        <w:rPr>
          <w:b/>
          <w:sz w:val="24"/>
        </w:rPr>
        <w:t xml:space="preserve">Comentários à Nova Lei de Improbidade Administrativa. </w:t>
      </w:r>
      <w:r>
        <w:rPr>
          <w:sz w:val="24"/>
        </w:rPr>
        <w:t>6. ed.. São Paulo: Thomson Reuters Revista dos Tribunais, 2023.</w:t>
      </w:r>
    </w:p>
    <w:p w:rsidR="007259F2" w:rsidRDefault="007259F2">
      <w:pPr>
        <w:jc w:val="both"/>
        <w:rPr>
          <w:sz w:val="24"/>
        </w:rPr>
        <w:sectPr w:rsidR="007259F2">
          <w:pgSz w:w="11910" w:h="16840"/>
          <w:pgMar w:top="1320" w:right="708" w:bottom="1160" w:left="992" w:header="0" w:footer="962" w:gutter="0"/>
          <w:cols w:space="720"/>
        </w:sectPr>
      </w:pPr>
    </w:p>
    <w:p w:rsidR="007259F2" w:rsidRDefault="00E655B4">
      <w:pPr>
        <w:spacing w:before="69"/>
        <w:ind w:left="710" w:right="990"/>
        <w:jc w:val="both"/>
        <w:rPr>
          <w:sz w:val="24"/>
        </w:rPr>
      </w:pPr>
      <w:r>
        <w:rPr>
          <w:sz w:val="24"/>
        </w:rPr>
        <w:lastRenderedPageBreak/>
        <w:t xml:space="preserve">JUSTEN FILHO, Marçal. </w:t>
      </w:r>
      <w:r>
        <w:rPr>
          <w:b/>
          <w:sz w:val="24"/>
        </w:rPr>
        <w:t>Curso de direito administrativo</w:t>
      </w:r>
      <w:r>
        <w:rPr>
          <w:sz w:val="24"/>
        </w:rPr>
        <w:t>. 14. ed. [2. Reimp.] Rio de Janeiro: Forense, 2023.</w:t>
      </w:r>
    </w:p>
    <w:p w:rsidR="007259F2" w:rsidRDefault="00E655B4">
      <w:pPr>
        <w:pStyle w:val="Corpodetexto"/>
        <w:spacing w:before="121"/>
        <w:ind w:right="992" w:firstLine="0"/>
      </w:pPr>
      <w:r>
        <w:t>ARQUES, Mauro Campbell [</w:t>
      </w:r>
      <w:r>
        <w:rPr>
          <w:i/>
        </w:rPr>
        <w:t>et al.</w:t>
      </w:r>
      <w:r>
        <w:t xml:space="preserve">]. </w:t>
      </w:r>
      <w:r>
        <w:rPr>
          <w:b/>
        </w:rPr>
        <w:t>Improbidade administrativa</w:t>
      </w:r>
      <w:r>
        <w:t>: temas atuais e controvertidos; coordenação Ministro Mauro Campbell Marques; colaboração André de Azevedo Machado, Fabiano da Rosa Tesolin. Rio de Janeiro: Forense, 2016.</w:t>
      </w:r>
    </w:p>
    <w:p w:rsidR="007259F2" w:rsidRDefault="00E655B4">
      <w:pPr>
        <w:spacing w:before="120"/>
        <w:ind w:left="710" w:right="990"/>
        <w:jc w:val="both"/>
        <w:rPr>
          <w:sz w:val="24"/>
        </w:rPr>
      </w:pPr>
      <w:r>
        <w:rPr>
          <w:sz w:val="24"/>
        </w:rPr>
        <w:t xml:space="preserve">MEIRELLES, Hely Lopes. </w:t>
      </w:r>
      <w:r>
        <w:rPr>
          <w:b/>
          <w:sz w:val="24"/>
        </w:rPr>
        <w:t>Direito Administrativo Brasileiro</w:t>
      </w:r>
      <w:r>
        <w:rPr>
          <w:sz w:val="24"/>
        </w:rPr>
        <w:t>. 26.ed. São Paulo: Malheiros, 2001.</w:t>
      </w:r>
    </w:p>
    <w:p w:rsidR="007259F2" w:rsidRDefault="00E655B4">
      <w:pPr>
        <w:spacing w:before="120"/>
        <w:ind w:left="710" w:right="992"/>
        <w:jc w:val="both"/>
        <w:rPr>
          <w:sz w:val="24"/>
        </w:rPr>
      </w:pPr>
      <w:r>
        <w:rPr>
          <w:sz w:val="24"/>
        </w:rPr>
        <w:t xml:space="preserve">MELLO, Celso Antônio Bandeira. </w:t>
      </w:r>
      <w:r>
        <w:rPr>
          <w:b/>
          <w:sz w:val="24"/>
        </w:rPr>
        <w:t>Curso de Direito Administrativo</w:t>
      </w:r>
      <w:r>
        <w:rPr>
          <w:sz w:val="24"/>
        </w:rPr>
        <w:t>. 28. ed. São Paulo: Malheiros, 2010.</w:t>
      </w:r>
    </w:p>
    <w:p w:rsidR="007259F2" w:rsidRDefault="00E655B4">
      <w:pPr>
        <w:pStyle w:val="Corpodetexto"/>
        <w:spacing w:before="120"/>
        <w:ind w:right="991" w:firstLine="0"/>
      </w:pPr>
      <w:r>
        <w:t xml:space="preserve">MOREIRA NETO, Diogo de Figueiredo. </w:t>
      </w:r>
      <w:r>
        <w:rPr>
          <w:b/>
        </w:rPr>
        <w:t>Curso de direito administrativo</w:t>
      </w:r>
      <w:r>
        <w:t xml:space="preserve">: parte introdutória, parte geral e parte especial. 16. ed. rev. e atual. Rio de Janeiro: Forense, </w:t>
      </w:r>
      <w:r>
        <w:rPr>
          <w:spacing w:val="-2"/>
        </w:rPr>
        <w:t>2014.</w:t>
      </w:r>
    </w:p>
    <w:p w:rsidR="007259F2" w:rsidRDefault="00E655B4">
      <w:pPr>
        <w:spacing w:before="121"/>
        <w:ind w:left="710" w:right="989"/>
        <w:jc w:val="both"/>
        <w:rPr>
          <w:sz w:val="24"/>
        </w:rPr>
      </w:pPr>
      <w:r>
        <w:rPr>
          <w:sz w:val="24"/>
        </w:rPr>
        <w:t xml:space="preserve">NEVES, Daniel Amorim Assumpção; OLIVEIRA, Rafael Carvalho Rezende. </w:t>
      </w:r>
      <w:r>
        <w:rPr>
          <w:b/>
          <w:sz w:val="24"/>
        </w:rPr>
        <w:t xml:space="preserve">Comentários à reforma da lei de improbidade administrativa: </w:t>
      </w:r>
      <w:r>
        <w:rPr>
          <w:sz w:val="24"/>
        </w:rPr>
        <w:t>Lei 14.230, de 25.10.2021 comentada artigo por artigo. Rio de Janeiro: Forense, 2022.</w:t>
      </w:r>
    </w:p>
    <w:p w:rsidR="007259F2" w:rsidRDefault="00E655B4">
      <w:pPr>
        <w:pStyle w:val="Corpodetexto"/>
        <w:spacing w:before="120"/>
        <w:ind w:right="990" w:firstLine="0"/>
      </w:pPr>
      <w:r>
        <w:t xml:space="preserve">NEVES, Daniel Amorim Assumpção; OLIVEIRA, Rafael Carvalho Rezende. </w:t>
      </w:r>
      <w:r>
        <w:rPr>
          <w:b/>
        </w:rPr>
        <w:t>Improbidade administrativa</w:t>
      </w:r>
      <w:r>
        <w:t>: direito material e processual. 9. ed., rev. e atual. Rio de Janeiro: Forense, 2022.</w:t>
      </w:r>
    </w:p>
    <w:p w:rsidR="007259F2" w:rsidRDefault="00E655B4">
      <w:pPr>
        <w:spacing w:before="120"/>
        <w:ind w:left="710" w:right="989"/>
        <w:jc w:val="both"/>
        <w:rPr>
          <w:sz w:val="24"/>
        </w:rPr>
      </w:pPr>
      <w:r>
        <w:rPr>
          <w:sz w:val="24"/>
        </w:rPr>
        <w:t xml:space="preserve">OSÓRIO, Fábio Medina. </w:t>
      </w:r>
      <w:r>
        <w:rPr>
          <w:b/>
          <w:sz w:val="24"/>
        </w:rPr>
        <w:t xml:space="preserve">Teoria da improbidade administrativa </w:t>
      </w:r>
      <w:r>
        <w:rPr>
          <w:sz w:val="24"/>
        </w:rPr>
        <w:t>[livro eletrônico]:</w:t>
      </w:r>
      <w:r>
        <w:rPr>
          <w:spacing w:val="40"/>
          <w:sz w:val="24"/>
        </w:rPr>
        <w:t xml:space="preserve"> </w:t>
      </w:r>
      <w:r>
        <w:rPr>
          <w:sz w:val="24"/>
        </w:rPr>
        <w:t xml:space="preserve">má gestão pública: corrupção: ineficiência. 3. ed. São Paulo: Thomson Reuters Brasil, </w:t>
      </w:r>
      <w:r>
        <w:rPr>
          <w:spacing w:val="-2"/>
          <w:sz w:val="24"/>
        </w:rPr>
        <w:t>2022.</w:t>
      </w:r>
    </w:p>
    <w:p w:rsidR="007259F2" w:rsidRDefault="00E655B4">
      <w:pPr>
        <w:pStyle w:val="Corpodetexto"/>
        <w:spacing w:before="120"/>
        <w:ind w:right="991" w:firstLine="0"/>
      </w:pPr>
      <w:r>
        <w:t xml:space="preserve">SÁ, Acácia Regina Soares de. A legitimidade nas ações de improbidade administrativa. </w:t>
      </w:r>
      <w:r>
        <w:rPr>
          <w:b/>
        </w:rPr>
        <w:t>Migalhas</w:t>
      </w:r>
      <w:r>
        <w:t>.</w:t>
      </w:r>
      <w:r>
        <w:rPr>
          <w:spacing w:val="-10"/>
        </w:rPr>
        <w:t xml:space="preserve"> </w:t>
      </w:r>
      <w:r>
        <w:t>Disponível</w:t>
      </w:r>
      <w:r>
        <w:rPr>
          <w:spacing w:val="-10"/>
        </w:rPr>
        <w:t xml:space="preserve"> </w:t>
      </w:r>
      <w:r>
        <w:t>em:</w:t>
      </w:r>
      <w:r>
        <w:rPr>
          <w:spacing w:val="-10"/>
        </w:rPr>
        <w:t xml:space="preserve"> </w:t>
      </w:r>
      <w:r>
        <w:t>https://</w:t>
      </w:r>
      <w:hyperlink r:id="rId140">
        <w:r>
          <w:t>www.migalhas.com.br/depeso/372819/a-legitimidade-</w:t>
        </w:r>
      </w:hyperlink>
      <w:r>
        <w:t xml:space="preserve"> nas-acoes-de-improbidade-administrativa. Acesso em: 10 nov. 2023.</w:t>
      </w:r>
    </w:p>
    <w:p w:rsidR="007259F2" w:rsidRDefault="00E655B4">
      <w:pPr>
        <w:spacing w:before="120"/>
        <w:ind w:left="710" w:right="991"/>
        <w:jc w:val="both"/>
        <w:rPr>
          <w:sz w:val="24"/>
        </w:rPr>
      </w:pPr>
      <w:r>
        <w:rPr>
          <w:sz w:val="24"/>
        </w:rPr>
        <w:t xml:space="preserve">THEODORO JÚNIOR, Humberto. </w:t>
      </w:r>
      <w:r>
        <w:rPr>
          <w:b/>
          <w:sz w:val="24"/>
        </w:rPr>
        <w:t>Curso de direito processual civil</w:t>
      </w:r>
      <w:r>
        <w:rPr>
          <w:sz w:val="24"/>
        </w:rPr>
        <w:t>, vol. I, 64. ed.</w:t>
      </w:r>
      <w:r>
        <w:rPr>
          <w:spacing w:val="40"/>
          <w:sz w:val="24"/>
        </w:rPr>
        <w:t xml:space="preserve"> </w:t>
      </w:r>
      <w:r>
        <w:rPr>
          <w:sz w:val="24"/>
        </w:rPr>
        <w:t>Rio de Janeiro: Forense, 2023.</w:t>
      </w:r>
    </w:p>
    <w:p w:rsidR="007259F2" w:rsidRDefault="00E655B4">
      <w:pPr>
        <w:spacing w:before="120"/>
        <w:ind w:left="710" w:right="989"/>
        <w:jc w:val="both"/>
        <w:rPr>
          <w:sz w:val="24"/>
        </w:rPr>
      </w:pPr>
      <w:r>
        <w:rPr>
          <w:sz w:val="24"/>
        </w:rPr>
        <w:t xml:space="preserve">WALD, Arnoldo; MENDES, Gilmar Ferreira. </w:t>
      </w:r>
      <w:r>
        <w:rPr>
          <w:b/>
          <w:sz w:val="24"/>
        </w:rPr>
        <w:t>Revista de informação legislativa</w:t>
      </w:r>
      <w:r>
        <w:rPr>
          <w:sz w:val="24"/>
        </w:rPr>
        <w:t>, v.</w:t>
      </w:r>
      <w:r>
        <w:rPr>
          <w:spacing w:val="40"/>
          <w:sz w:val="24"/>
        </w:rPr>
        <w:t xml:space="preserve"> </w:t>
      </w:r>
      <w:r>
        <w:rPr>
          <w:sz w:val="24"/>
        </w:rPr>
        <w:t>35, n. 138, p. 213-216, abr./jun. 1998.</w:t>
      </w:r>
    </w:p>
    <w:p w:rsidR="007259F2" w:rsidRDefault="007259F2">
      <w:pPr>
        <w:jc w:val="both"/>
        <w:rPr>
          <w:sz w:val="24"/>
        </w:rPr>
        <w:sectPr w:rsidR="007259F2">
          <w:pgSz w:w="11910" w:h="16840"/>
          <w:pgMar w:top="1320" w:right="708" w:bottom="1160" w:left="992" w:header="0" w:footer="962" w:gutter="0"/>
          <w:cols w:space="720"/>
        </w:sectPr>
      </w:pPr>
    </w:p>
    <w:p w:rsidR="007259F2" w:rsidRDefault="00E655B4">
      <w:pPr>
        <w:spacing w:before="60" w:line="482" w:lineRule="auto"/>
        <w:ind w:left="714" w:right="561" w:hanging="5"/>
        <w:rPr>
          <w:b/>
          <w:position w:val="9"/>
          <w:sz w:val="13"/>
        </w:rPr>
      </w:pPr>
      <w:bookmarkStart w:id="11" w:name="_bookmark11"/>
      <w:bookmarkEnd w:id="11"/>
      <w:r>
        <w:rPr>
          <w:b/>
          <w:sz w:val="24"/>
        </w:rPr>
        <w:lastRenderedPageBreak/>
        <w:t>A</w:t>
      </w:r>
      <w:r>
        <w:rPr>
          <w:b/>
          <w:spacing w:val="-15"/>
          <w:sz w:val="24"/>
        </w:rPr>
        <w:t xml:space="preserve"> </w:t>
      </w:r>
      <w:r>
        <w:rPr>
          <w:b/>
          <w:sz w:val="24"/>
        </w:rPr>
        <w:t>Lei</w:t>
      </w:r>
      <w:r>
        <w:rPr>
          <w:b/>
          <w:spacing w:val="-5"/>
          <w:sz w:val="24"/>
        </w:rPr>
        <w:t xml:space="preserve"> </w:t>
      </w:r>
      <w:r>
        <w:rPr>
          <w:b/>
          <w:sz w:val="24"/>
        </w:rPr>
        <w:t>nº</w:t>
      </w:r>
      <w:r>
        <w:rPr>
          <w:b/>
          <w:spacing w:val="-3"/>
          <w:sz w:val="24"/>
        </w:rPr>
        <w:t xml:space="preserve"> </w:t>
      </w:r>
      <w:r>
        <w:rPr>
          <w:b/>
          <w:sz w:val="24"/>
        </w:rPr>
        <w:t>10.639/03</w:t>
      </w:r>
      <w:r>
        <w:rPr>
          <w:b/>
          <w:spacing w:val="-3"/>
          <w:sz w:val="24"/>
        </w:rPr>
        <w:t xml:space="preserve"> </w:t>
      </w:r>
      <w:r>
        <w:rPr>
          <w:b/>
          <w:sz w:val="24"/>
        </w:rPr>
        <w:t>e</w:t>
      </w:r>
      <w:r>
        <w:rPr>
          <w:b/>
          <w:spacing w:val="-3"/>
          <w:sz w:val="24"/>
        </w:rPr>
        <w:t xml:space="preserve"> </w:t>
      </w:r>
      <w:r>
        <w:rPr>
          <w:b/>
          <w:sz w:val="24"/>
        </w:rPr>
        <w:t>o</w:t>
      </w:r>
      <w:r>
        <w:rPr>
          <w:b/>
          <w:spacing w:val="-3"/>
          <w:sz w:val="24"/>
        </w:rPr>
        <w:t xml:space="preserve"> </w:t>
      </w:r>
      <w:r>
        <w:rPr>
          <w:b/>
          <w:sz w:val="24"/>
        </w:rPr>
        <w:t>município</w:t>
      </w:r>
      <w:r>
        <w:rPr>
          <w:b/>
          <w:spacing w:val="-3"/>
          <w:sz w:val="24"/>
        </w:rPr>
        <w:t xml:space="preserve"> </w:t>
      </w:r>
      <w:r>
        <w:rPr>
          <w:b/>
          <w:sz w:val="24"/>
        </w:rPr>
        <w:t>de</w:t>
      </w:r>
      <w:r>
        <w:rPr>
          <w:b/>
          <w:spacing w:val="-4"/>
          <w:sz w:val="24"/>
        </w:rPr>
        <w:t xml:space="preserve"> </w:t>
      </w:r>
      <w:r>
        <w:rPr>
          <w:b/>
          <w:sz w:val="24"/>
        </w:rPr>
        <w:t>São</w:t>
      </w:r>
      <w:r>
        <w:rPr>
          <w:b/>
          <w:spacing w:val="-3"/>
          <w:sz w:val="24"/>
        </w:rPr>
        <w:t xml:space="preserve"> </w:t>
      </w:r>
      <w:r>
        <w:rPr>
          <w:b/>
          <w:sz w:val="24"/>
        </w:rPr>
        <w:t>Paulo:</w:t>
      </w:r>
      <w:r>
        <w:rPr>
          <w:b/>
          <w:spacing w:val="-3"/>
          <w:sz w:val="24"/>
        </w:rPr>
        <w:t xml:space="preserve"> </w:t>
      </w:r>
      <w:r>
        <w:rPr>
          <w:b/>
          <w:sz w:val="24"/>
        </w:rPr>
        <w:t>do</w:t>
      </w:r>
      <w:r>
        <w:rPr>
          <w:b/>
          <w:spacing w:val="-3"/>
          <w:sz w:val="24"/>
        </w:rPr>
        <w:t xml:space="preserve"> </w:t>
      </w:r>
      <w:r>
        <w:rPr>
          <w:b/>
          <w:sz w:val="24"/>
        </w:rPr>
        <w:t>regime</w:t>
      </w:r>
      <w:r>
        <w:rPr>
          <w:b/>
          <w:spacing w:val="-4"/>
          <w:sz w:val="24"/>
        </w:rPr>
        <w:t xml:space="preserve"> </w:t>
      </w:r>
      <w:r>
        <w:rPr>
          <w:b/>
          <w:sz w:val="24"/>
        </w:rPr>
        <w:t>jurídico</w:t>
      </w:r>
      <w:r>
        <w:rPr>
          <w:b/>
          <w:spacing w:val="-3"/>
          <w:sz w:val="24"/>
        </w:rPr>
        <w:t xml:space="preserve"> </w:t>
      </w:r>
      <w:r>
        <w:rPr>
          <w:b/>
          <w:sz w:val="24"/>
        </w:rPr>
        <w:t>às</w:t>
      </w:r>
      <w:r>
        <w:rPr>
          <w:b/>
          <w:spacing w:val="-3"/>
          <w:sz w:val="24"/>
        </w:rPr>
        <w:t xml:space="preserve"> </w:t>
      </w:r>
      <w:r>
        <w:rPr>
          <w:b/>
          <w:sz w:val="24"/>
        </w:rPr>
        <w:t>ações</w:t>
      </w:r>
      <w:r>
        <w:rPr>
          <w:b/>
          <w:spacing w:val="-1"/>
          <w:sz w:val="24"/>
        </w:rPr>
        <w:t xml:space="preserve"> </w:t>
      </w:r>
      <w:r>
        <w:rPr>
          <w:b/>
          <w:sz w:val="24"/>
        </w:rPr>
        <w:t>municipais Luana de Jesus Teles Santos</w:t>
      </w:r>
      <w:r>
        <w:rPr>
          <w:b/>
          <w:position w:val="9"/>
          <w:sz w:val="13"/>
        </w:rPr>
        <w:t>1</w:t>
      </w:r>
    </w:p>
    <w:p w:rsidR="007259F2" w:rsidRDefault="00E655B4">
      <w:pPr>
        <w:pStyle w:val="Heading1"/>
        <w:spacing w:before="194"/>
        <w:ind w:left="717"/>
      </w:pPr>
      <w:r>
        <w:rPr>
          <w:spacing w:val="-2"/>
        </w:rPr>
        <w:t>RESUMO</w:t>
      </w:r>
    </w:p>
    <w:p w:rsidR="007259F2" w:rsidRDefault="00E655B4">
      <w:pPr>
        <w:pStyle w:val="Corpodetexto"/>
        <w:spacing w:before="115"/>
        <w:ind w:left="717" w:right="426" w:firstLine="0"/>
      </w:pPr>
      <w:r>
        <w:t>A Lei n.º 10.639/03 estabelece a obrigatoriedade do ensino da história e da cultura africana e afro-brasileira nos currículos da educação básica no Brasil. O objetivo central do artigo é apresentar o regime jurídico no qual a lei n.º 10.639/03 está inserida e as ações municipais</w:t>
      </w:r>
      <w:r>
        <w:rPr>
          <w:spacing w:val="40"/>
        </w:rPr>
        <w:t xml:space="preserve"> </w:t>
      </w:r>
      <w:r>
        <w:t>que</w:t>
      </w:r>
      <w:r>
        <w:rPr>
          <w:spacing w:val="-4"/>
        </w:rPr>
        <w:t xml:space="preserve"> </w:t>
      </w:r>
      <w:r>
        <w:t>buscam</w:t>
      </w:r>
      <w:r>
        <w:rPr>
          <w:spacing w:val="-3"/>
        </w:rPr>
        <w:t xml:space="preserve"> </w:t>
      </w:r>
      <w:r>
        <w:t>conferir-lhe</w:t>
      </w:r>
      <w:r>
        <w:rPr>
          <w:spacing w:val="-2"/>
        </w:rPr>
        <w:t xml:space="preserve"> </w:t>
      </w:r>
      <w:r>
        <w:t>maior</w:t>
      </w:r>
      <w:r>
        <w:rPr>
          <w:spacing w:val="-4"/>
        </w:rPr>
        <w:t xml:space="preserve"> </w:t>
      </w:r>
      <w:r>
        <w:t>efetividade</w:t>
      </w:r>
      <w:r>
        <w:rPr>
          <w:spacing w:val="-4"/>
        </w:rPr>
        <w:t xml:space="preserve"> </w:t>
      </w:r>
      <w:r>
        <w:t>no</w:t>
      </w:r>
      <w:r>
        <w:rPr>
          <w:spacing w:val="-3"/>
        </w:rPr>
        <w:t xml:space="preserve"> </w:t>
      </w:r>
      <w:r>
        <w:t>Município</w:t>
      </w:r>
      <w:r>
        <w:rPr>
          <w:spacing w:val="-3"/>
        </w:rPr>
        <w:t xml:space="preserve"> </w:t>
      </w:r>
      <w:r>
        <w:t>de</w:t>
      </w:r>
      <w:r>
        <w:rPr>
          <w:spacing w:val="-3"/>
        </w:rPr>
        <w:t xml:space="preserve"> </w:t>
      </w:r>
      <w:r>
        <w:t>São</w:t>
      </w:r>
      <w:r>
        <w:rPr>
          <w:spacing w:val="-3"/>
        </w:rPr>
        <w:t xml:space="preserve"> </w:t>
      </w:r>
      <w:r>
        <w:t>Paulo.</w:t>
      </w:r>
      <w:r>
        <w:rPr>
          <w:spacing w:val="-3"/>
        </w:rPr>
        <w:t xml:space="preserve"> </w:t>
      </w:r>
      <w:r>
        <w:t>Considerando-se</w:t>
      </w:r>
      <w:r>
        <w:rPr>
          <w:spacing w:val="-4"/>
        </w:rPr>
        <w:t xml:space="preserve"> </w:t>
      </w:r>
      <w:r>
        <w:t>que</w:t>
      </w:r>
      <w:r>
        <w:rPr>
          <w:spacing w:val="-4"/>
        </w:rPr>
        <w:t xml:space="preserve"> </w:t>
      </w:r>
      <w:r>
        <w:t>a lei completou 20 anos em janeiro de 2023 e que representa grande avanço na luta pela educação antirracista, o estudo é relevante para compreender os avanços e os desafios que decorrem desta lei. A pesquisa parte de uma contextualização histórica apresentando as raízes do racismo estrutural, do epistemicídio e sua relação com a educação antirracista e, em seguida, por meio de pesquisa bibliográfica relaciona a Constituição e as diversas normas infraconstitucionais, bem como apresenta algumas das ações municipais desenvolvidas em São Paulo nos últimos 20 anos.</w:t>
      </w:r>
    </w:p>
    <w:p w:rsidR="007259F2" w:rsidRDefault="00E655B4">
      <w:pPr>
        <w:pStyle w:val="Corpodetexto"/>
        <w:spacing w:before="121"/>
        <w:ind w:right="568" w:firstLine="0"/>
      </w:pPr>
      <w:r>
        <w:rPr>
          <w:b/>
        </w:rPr>
        <w:t>Palavras-chave</w:t>
      </w:r>
      <w:r>
        <w:t xml:space="preserve">: lei n.º 10.639/03; educação antirracista; regime jurídico; município de São </w:t>
      </w:r>
      <w:r>
        <w:rPr>
          <w:spacing w:val="-2"/>
        </w:rPr>
        <w:t>Paulo.</w:t>
      </w:r>
    </w:p>
    <w:p w:rsidR="007259F2" w:rsidRDefault="007259F2">
      <w:pPr>
        <w:pStyle w:val="Corpodetexto"/>
        <w:spacing w:before="264"/>
        <w:ind w:left="0" w:firstLine="0"/>
        <w:jc w:val="left"/>
      </w:pPr>
    </w:p>
    <w:p w:rsidR="007259F2" w:rsidRDefault="00E655B4">
      <w:pPr>
        <w:pStyle w:val="Heading1"/>
      </w:pPr>
      <w:r>
        <w:rPr>
          <w:spacing w:val="-2"/>
        </w:rPr>
        <w:t>ABSTRACT</w:t>
      </w:r>
    </w:p>
    <w:p w:rsidR="007259F2" w:rsidRDefault="00E655B4">
      <w:pPr>
        <w:pStyle w:val="Corpodetexto"/>
        <w:spacing w:before="116"/>
        <w:ind w:right="568" w:firstLine="0"/>
      </w:pPr>
      <w:r>
        <w:t>Law nº 10.639/03 establishes the mandatory teaching of African and Afro- Brazilian history and culture in basic education curricula in Brazil. The central objective of</w:t>
      </w:r>
      <w:r>
        <w:rPr>
          <w:spacing w:val="40"/>
        </w:rPr>
        <w:t xml:space="preserve"> </w:t>
      </w:r>
      <w:r>
        <w:t>the article is to present the legal regime in which law nº 10.639/03 is inserted and the municipal actions that seek to give it greater effectiveness in the Municipality of São Paulo. Considering that the law completed 20 years in January 2023 and that it represents a major advance in the fight for anti-racist education, the study is relevant to understanding the advances and challenges that</w:t>
      </w:r>
      <w:r>
        <w:rPr>
          <w:spacing w:val="-1"/>
        </w:rPr>
        <w:t xml:space="preserve"> </w:t>
      </w:r>
      <w:r>
        <w:t>arise</w:t>
      </w:r>
      <w:r>
        <w:rPr>
          <w:spacing w:val="-2"/>
        </w:rPr>
        <w:t xml:space="preserve"> </w:t>
      </w:r>
      <w:r>
        <w:t>from</w:t>
      </w:r>
      <w:r>
        <w:rPr>
          <w:spacing w:val="-1"/>
        </w:rPr>
        <w:t xml:space="preserve"> </w:t>
      </w:r>
      <w:r>
        <w:t>this</w:t>
      </w:r>
      <w:r>
        <w:rPr>
          <w:spacing w:val="-1"/>
        </w:rPr>
        <w:t xml:space="preserve"> </w:t>
      </w:r>
      <w:r>
        <w:t>law.</w:t>
      </w:r>
      <w:r>
        <w:rPr>
          <w:spacing w:val="-3"/>
        </w:rPr>
        <w:t xml:space="preserve"> </w:t>
      </w:r>
      <w:r>
        <w:t>The</w:t>
      </w:r>
      <w:r>
        <w:rPr>
          <w:spacing w:val="-3"/>
        </w:rPr>
        <w:t xml:space="preserve"> </w:t>
      </w:r>
      <w:r>
        <w:t>research</w:t>
      </w:r>
      <w:r>
        <w:rPr>
          <w:spacing w:val="-1"/>
        </w:rPr>
        <w:t xml:space="preserve"> </w:t>
      </w:r>
      <w:r>
        <w:t>starts</w:t>
      </w:r>
      <w:r>
        <w:rPr>
          <w:spacing w:val="-1"/>
        </w:rPr>
        <w:t xml:space="preserve"> </w:t>
      </w:r>
      <w:r>
        <w:t>from a</w:t>
      </w:r>
      <w:r>
        <w:rPr>
          <w:spacing w:val="-2"/>
        </w:rPr>
        <w:t xml:space="preserve"> </w:t>
      </w:r>
      <w:r>
        <w:t>historical</w:t>
      </w:r>
      <w:r>
        <w:rPr>
          <w:spacing w:val="-1"/>
        </w:rPr>
        <w:t xml:space="preserve"> </w:t>
      </w:r>
      <w:r>
        <w:t>contextualization</w:t>
      </w:r>
      <w:r>
        <w:rPr>
          <w:spacing w:val="-1"/>
        </w:rPr>
        <w:t xml:space="preserve"> </w:t>
      </w:r>
      <w:r>
        <w:t>presenting</w:t>
      </w:r>
      <w:r>
        <w:rPr>
          <w:spacing w:val="-4"/>
        </w:rPr>
        <w:t xml:space="preserve"> </w:t>
      </w:r>
      <w:r>
        <w:t>the roots of structural racism, epistemicide and its relationship with anti-racist education and then, through bibliographical research, it relates the</w:t>
      </w:r>
      <w:r>
        <w:rPr>
          <w:spacing w:val="40"/>
        </w:rPr>
        <w:t xml:space="preserve"> </w:t>
      </w:r>
      <w:r>
        <w:t>Constitution and the various infra- constitutional norms, as well as presenting some of the municipal actions developed in São Paulo over the last 20 years.</w:t>
      </w:r>
    </w:p>
    <w:p w:rsidR="007259F2" w:rsidRDefault="00E655B4">
      <w:pPr>
        <w:pStyle w:val="Corpodetexto"/>
        <w:spacing w:before="120"/>
        <w:ind w:firstLine="0"/>
      </w:pPr>
      <w:r>
        <w:rPr>
          <w:b/>
        </w:rPr>
        <w:t>Keywords:</w:t>
      </w:r>
      <w:r>
        <w:rPr>
          <w:b/>
          <w:spacing w:val="-4"/>
        </w:rPr>
        <w:t xml:space="preserve"> </w:t>
      </w:r>
      <w:r>
        <w:t>law</w:t>
      </w:r>
      <w:r>
        <w:rPr>
          <w:spacing w:val="-2"/>
        </w:rPr>
        <w:t xml:space="preserve"> </w:t>
      </w:r>
      <w:r>
        <w:t>nº</w:t>
      </w:r>
      <w:r>
        <w:rPr>
          <w:spacing w:val="-1"/>
        </w:rPr>
        <w:t xml:space="preserve"> </w:t>
      </w:r>
      <w:r>
        <w:t>10.639/03;</w:t>
      </w:r>
      <w:r>
        <w:rPr>
          <w:spacing w:val="-1"/>
        </w:rPr>
        <w:t xml:space="preserve"> </w:t>
      </w:r>
      <w:r>
        <w:t>anti-racist</w:t>
      </w:r>
      <w:r>
        <w:rPr>
          <w:spacing w:val="-1"/>
        </w:rPr>
        <w:t xml:space="preserve"> </w:t>
      </w:r>
      <w:r>
        <w:t>education;</w:t>
      </w:r>
      <w:r>
        <w:rPr>
          <w:spacing w:val="-1"/>
        </w:rPr>
        <w:t xml:space="preserve"> </w:t>
      </w:r>
      <w:r>
        <w:t>legal</w:t>
      </w:r>
      <w:r>
        <w:rPr>
          <w:spacing w:val="-1"/>
        </w:rPr>
        <w:t xml:space="preserve"> </w:t>
      </w:r>
      <w:r>
        <w:t>regime;</w:t>
      </w:r>
      <w:r>
        <w:rPr>
          <w:spacing w:val="-1"/>
        </w:rPr>
        <w:t xml:space="preserve"> </w:t>
      </w:r>
      <w:r>
        <w:t>municipality</w:t>
      </w:r>
      <w:r>
        <w:rPr>
          <w:spacing w:val="-6"/>
        </w:rPr>
        <w:t xml:space="preserve"> </w:t>
      </w:r>
      <w:r>
        <w:t>of</w:t>
      </w:r>
      <w:r>
        <w:rPr>
          <w:spacing w:val="-1"/>
        </w:rPr>
        <w:t xml:space="preserve"> </w:t>
      </w:r>
      <w:r>
        <w:t>São</w:t>
      </w:r>
      <w:r>
        <w:rPr>
          <w:spacing w:val="1"/>
        </w:rPr>
        <w:t xml:space="preserve"> </w:t>
      </w:r>
      <w:r>
        <w:rPr>
          <w:spacing w:val="-2"/>
        </w:rPr>
        <w:t>Paulo.</w:t>
      </w:r>
    </w:p>
    <w:p w:rsidR="007259F2" w:rsidRDefault="007259F2">
      <w:pPr>
        <w:pStyle w:val="Corpodetexto"/>
        <w:spacing w:before="130"/>
        <w:ind w:left="0" w:firstLine="0"/>
        <w:jc w:val="left"/>
      </w:pPr>
    </w:p>
    <w:p w:rsidR="007259F2" w:rsidRDefault="00E655B4">
      <w:pPr>
        <w:pStyle w:val="Heading2"/>
        <w:numPr>
          <w:ilvl w:val="0"/>
          <w:numId w:val="29"/>
        </w:numPr>
        <w:tabs>
          <w:tab w:val="left" w:pos="1428"/>
        </w:tabs>
        <w:spacing w:before="0"/>
        <w:ind w:left="1428" w:hanging="359"/>
        <w:jc w:val="both"/>
      </w:pPr>
      <w:r>
        <w:rPr>
          <w:spacing w:val="-2"/>
        </w:rPr>
        <w:t>Introdução</w:t>
      </w:r>
    </w:p>
    <w:p w:rsidR="007259F2" w:rsidRDefault="00E655B4">
      <w:pPr>
        <w:pStyle w:val="Corpodetexto"/>
        <w:spacing w:before="113"/>
        <w:ind w:right="567"/>
      </w:pPr>
      <w:r>
        <w:t>A lei n.º 10.639/03 é considerada um marco legal para a educação antirracista. Ao tornar obrigatório o ensino da história e da cultura afro-brasileira nas escolas esta lei institui uma nova forma de educar pautada no enfrentamento ao racismo estrutural e na construção de uma sociedade mais justa e igualitária fundamentada numa formação antirracista desde o ensino básico.</w:t>
      </w:r>
    </w:p>
    <w:p w:rsidR="007259F2" w:rsidRDefault="00E655B4">
      <w:pPr>
        <w:pStyle w:val="Corpodetexto"/>
        <w:ind w:right="571"/>
      </w:pPr>
      <w:r>
        <w:t>Em janeiro de 2023 a Lei n.º 10.639/2003 completou 20 anos, assim, após duas décadas de sua entrada em vigor, faz-se necessário verificar qual o caminho percorrido até a atualidade, isto é, identificar quais os avanços obtidos e quais as medidas adotadas, em âmbito</w:t>
      </w:r>
      <w:r>
        <w:rPr>
          <w:spacing w:val="50"/>
        </w:rPr>
        <w:t xml:space="preserve"> </w:t>
      </w:r>
      <w:r>
        <w:t>municipal,</w:t>
      </w:r>
      <w:r>
        <w:rPr>
          <w:spacing w:val="51"/>
        </w:rPr>
        <w:t xml:space="preserve"> </w:t>
      </w:r>
      <w:r>
        <w:t>para</w:t>
      </w:r>
      <w:r>
        <w:rPr>
          <w:spacing w:val="52"/>
        </w:rPr>
        <w:t xml:space="preserve"> </w:t>
      </w:r>
      <w:r>
        <w:t>implementar</w:t>
      </w:r>
      <w:r>
        <w:rPr>
          <w:spacing w:val="50"/>
        </w:rPr>
        <w:t xml:space="preserve"> </w:t>
      </w:r>
      <w:r>
        <w:t>a</w:t>
      </w:r>
      <w:r>
        <w:rPr>
          <w:spacing w:val="50"/>
        </w:rPr>
        <w:t xml:space="preserve"> </w:t>
      </w:r>
      <w:r>
        <w:t>obrigatoriedade</w:t>
      </w:r>
      <w:r>
        <w:rPr>
          <w:spacing w:val="50"/>
        </w:rPr>
        <w:t xml:space="preserve"> </w:t>
      </w:r>
      <w:r>
        <w:t>prevista,</w:t>
      </w:r>
      <w:r>
        <w:rPr>
          <w:spacing w:val="51"/>
        </w:rPr>
        <w:t xml:space="preserve"> </w:t>
      </w:r>
      <w:r>
        <w:t>pois,</w:t>
      </w:r>
      <w:r>
        <w:rPr>
          <w:spacing w:val="52"/>
        </w:rPr>
        <w:t xml:space="preserve"> </w:t>
      </w:r>
      <w:r>
        <w:t>a</w:t>
      </w:r>
      <w:r>
        <w:rPr>
          <w:spacing w:val="52"/>
        </w:rPr>
        <w:t xml:space="preserve"> </w:t>
      </w:r>
      <w:r>
        <w:t>promulgação</w:t>
      </w:r>
      <w:r>
        <w:rPr>
          <w:spacing w:val="53"/>
        </w:rPr>
        <w:t xml:space="preserve"> </w:t>
      </w:r>
      <w:r>
        <w:rPr>
          <w:spacing w:val="-5"/>
        </w:rPr>
        <w:t>da</w:t>
      </w:r>
    </w:p>
    <w:p w:rsidR="007259F2" w:rsidRDefault="00DE6B1C">
      <w:pPr>
        <w:pStyle w:val="Corpodetexto"/>
        <w:spacing w:before="131"/>
        <w:ind w:left="0" w:firstLine="0"/>
        <w:jc w:val="left"/>
        <w:rPr>
          <w:sz w:val="20"/>
        </w:rPr>
      </w:pPr>
      <w:r w:rsidRPr="00DE6B1C">
        <w:rPr>
          <w:sz w:val="20"/>
        </w:rPr>
        <w:pict>
          <v:rect id="docshape101" o:spid="_x0000_s1127" style="position:absolute;margin-left:85.1pt;margin-top:19.3pt;width:2in;height:.7pt;z-index:-15686144;mso-wrap-distance-left:0;mso-wrap-distance-right:0;mso-position-horizontal-relative:page" fillcolor="black" stroked="f">
            <w10:wrap type="topAndBottom" anchorx="page"/>
          </v:rect>
        </w:pict>
      </w:r>
    </w:p>
    <w:p w:rsidR="007259F2" w:rsidRDefault="00E655B4">
      <w:pPr>
        <w:spacing w:before="96"/>
        <w:ind w:left="710"/>
        <w:rPr>
          <w:sz w:val="20"/>
        </w:rPr>
      </w:pPr>
      <w:r>
        <w:rPr>
          <w:sz w:val="20"/>
          <w:vertAlign w:val="superscript"/>
        </w:rPr>
        <w:t>1</w:t>
      </w:r>
      <w:r>
        <w:rPr>
          <w:spacing w:val="28"/>
          <w:sz w:val="20"/>
        </w:rPr>
        <w:t xml:space="preserve"> </w:t>
      </w:r>
      <w:r>
        <w:rPr>
          <w:sz w:val="20"/>
        </w:rPr>
        <w:t>Residente</w:t>
      </w:r>
      <w:r>
        <w:rPr>
          <w:spacing w:val="28"/>
          <w:sz w:val="20"/>
        </w:rPr>
        <w:t xml:space="preserve"> </w:t>
      </w:r>
      <w:r>
        <w:rPr>
          <w:sz w:val="20"/>
        </w:rPr>
        <w:t>jurídica</w:t>
      </w:r>
      <w:r>
        <w:rPr>
          <w:spacing w:val="28"/>
          <w:sz w:val="20"/>
        </w:rPr>
        <w:t xml:space="preserve"> </w:t>
      </w:r>
      <w:r>
        <w:rPr>
          <w:sz w:val="20"/>
        </w:rPr>
        <w:t>do</w:t>
      </w:r>
      <w:r>
        <w:rPr>
          <w:spacing w:val="29"/>
          <w:sz w:val="20"/>
        </w:rPr>
        <w:t xml:space="preserve"> </w:t>
      </w:r>
      <w:r>
        <w:rPr>
          <w:sz w:val="20"/>
        </w:rPr>
        <w:t>Programa</w:t>
      </w:r>
      <w:r>
        <w:rPr>
          <w:spacing w:val="28"/>
          <w:sz w:val="20"/>
        </w:rPr>
        <w:t xml:space="preserve"> </w:t>
      </w:r>
      <w:r>
        <w:rPr>
          <w:sz w:val="20"/>
        </w:rPr>
        <w:t>de</w:t>
      </w:r>
      <w:r>
        <w:rPr>
          <w:spacing w:val="31"/>
          <w:sz w:val="20"/>
        </w:rPr>
        <w:t xml:space="preserve"> </w:t>
      </w:r>
      <w:r>
        <w:rPr>
          <w:sz w:val="20"/>
        </w:rPr>
        <w:t>Residência</w:t>
      </w:r>
      <w:r>
        <w:rPr>
          <w:spacing w:val="28"/>
          <w:sz w:val="20"/>
        </w:rPr>
        <w:t xml:space="preserve"> </w:t>
      </w:r>
      <w:r>
        <w:rPr>
          <w:sz w:val="20"/>
        </w:rPr>
        <w:t>Jurídica</w:t>
      </w:r>
      <w:r>
        <w:rPr>
          <w:spacing w:val="31"/>
          <w:sz w:val="20"/>
        </w:rPr>
        <w:t xml:space="preserve"> </w:t>
      </w:r>
      <w:r>
        <w:rPr>
          <w:sz w:val="20"/>
        </w:rPr>
        <w:t>da</w:t>
      </w:r>
      <w:r>
        <w:rPr>
          <w:spacing w:val="28"/>
          <w:sz w:val="20"/>
        </w:rPr>
        <w:t xml:space="preserve"> </w:t>
      </w:r>
      <w:r>
        <w:rPr>
          <w:sz w:val="20"/>
        </w:rPr>
        <w:t>Procuradoria</w:t>
      </w:r>
      <w:r>
        <w:rPr>
          <w:spacing w:val="28"/>
          <w:sz w:val="20"/>
        </w:rPr>
        <w:t xml:space="preserve"> </w:t>
      </w:r>
      <w:r>
        <w:rPr>
          <w:sz w:val="20"/>
        </w:rPr>
        <w:t>Geral</w:t>
      </w:r>
      <w:r>
        <w:rPr>
          <w:spacing w:val="28"/>
          <w:sz w:val="20"/>
        </w:rPr>
        <w:t xml:space="preserve"> </w:t>
      </w:r>
      <w:r>
        <w:rPr>
          <w:sz w:val="20"/>
        </w:rPr>
        <w:t>do</w:t>
      </w:r>
      <w:r>
        <w:rPr>
          <w:spacing w:val="29"/>
          <w:sz w:val="20"/>
        </w:rPr>
        <w:t xml:space="preserve"> </w:t>
      </w:r>
      <w:r>
        <w:rPr>
          <w:sz w:val="20"/>
        </w:rPr>
        <w:t>Município</w:t>
      </w:r>
      <w:r>
        <w:rPr>
          <w:spacing w:val="29"/>
          <w:sz w:val="20"/>
        </w:rPr>
        <w:t xml:space="preserve"> </w:t>
      </w:r>
      <w:r>
        <w:rPr>
          <w:sz w:val="20"/>
        </w:rPr>
        <w:t>de</w:t>
      </w:r>
      <w:r>
        <w:rPr>
          <w:spacing w:val="28"/>
          <w:sz w:val="20"/>
        </w:rPr>
        <w:t xml:space="preserve"> </w:t>
      </w:r>
      <w:r>
        <w:rPr>
          <w:sz w:val="20"/>
        </w:rPr>
        <w:t>São</w:t>
      </w:r>
      <w:r>
        <w:rPr>
          <w:spacing w:val="29"/>
          <w:sz w:val="20"/>
        </w:rPr>
        <w:t xml:space="preserve"> </w:t>
      </w:r>
      <w:r>
        <w:rPr>
          <w:sz w:val="20"/>
        </w:rPr>
        <w:t xml:space="preserve">Paulo, alocada no Centro de Estudos Jurídicos – CEJUR (2022-2025). Email </w:t>
      </w:r>
      <w:hyperlink r:id="rId141">
        <w:r>
          <w:rPr>
            <w:sz w:val="20"/>
          </w:rPr>
          <w:t>luanateles.adv@outlook.com</w:t>
        </w:r>
      </w:hyperlink>
    </w:p>
    <w:p w:rsidR="007259F2" w:rsidRDefault="007259F2">
      <w:pPr>
        <w:rPr>
          <w:sz w:val="20"/>
        </w:rPr>
        <w:sectPr w:rsidR="007259F2">
          <w:footerReference w:type="default" r:id="rId142"/>
          <w:pgSz w:w="11910" w:h="16840"/>
          <w:pgMar w:top="1620" w:right="708" w:bottom="1020" w:left="992" w:header="0" w:footer="820" w:gutter="0"/>
          <w:cols w:space="720"/>
        </w:sectPr>
      </w:pPr>
    </w:p>
    <w:p w:rsidR="007259F2" w:rsidRDefault="00E655B4">
      <w:pPr>
        <w:pStyle w:val="Corpodetexto"/>
        <w:spacing w:before="75"/>
        <w:ind w:right="572" w:firstLine="0"/>
      </w:pPr>
      <w:r>
        <w:lastRenderedPageBreak/>
        <w:t>referida lei, embora represente um passo importante na estrutura normativa do Estado brasileiro, por si só, não é suficiente para efetivar mudanças na realidade, visto que a implementação eficaz requer um conjunto de ações concretas complementares.</w:t>
      </w:r>
    </w:p>
    <w:p w:rsidR="007259F2" w:rsidRDefault="00E655B4">
      <w:pPr>
        <w:pStyle w:val="Corpodetexto"/>
        <w:ind w:right="569"/>
      </w:pPr>
      <w:r>
        <w:t>O regime jurídico da educação antirracista envolve a Constituição Federal e diversas normas infraconstitucionais desenvolvidas ao longo dos último 20 (vinte) anos. Ao estabelecer os princípios da dignidade da pessoa humana, da igualdade e o repúdio ao racismo, a “Carta Magna” cria verdadeiros alicerces jurídicos que autorizam a implementação de espécies normativas competentes e de políticas educacionais voltadas à promoção da diversidade e à superação do racismo estrutural.</w:t>
      </w:r>
    </w:p>
    <w:p w:rsidR="007259F2" w:rsidRDefault="00E655B4">
      <w:pPr>
        <w:pStyle w:val="Corpodetexto"/>
        <w:ind w:right="574"/>
      </w:pPr>
      <w:r>
        <w:t>No contexto local, a participação do Município de São Paulo no processo de implementação</w:t>
      </w:r>
      <w:r>
        <w:rPr>
          <w:spacing w:val="-1"/>
        </w:rPr>
        <w:t xml:space="preserve"> </w:t>
      </w:r>
      <w:r>
        <w:t>da Lei</w:t>
      </w:r>
      <w:r>
        <w:rPr>
          <w:spacing w:val="-1"/>
        </w:rPr>
        <w:t xml:space="preserve"> </w:t>
      </w:r>
      <w:r>
        <w:t>n.º 10.639/03</w:t>
      </w:r>
      <w:r>
        <w:rPr>
          <w:spacing w:val="-1"/>
        </w:rPr>
        <w:t xml:space="preserve"> </w:t>
      </w:r>
      <w:r>
        <w:t>é</w:t>
      </w:r>
      <w:r>
        <w:rPr>
          <w:spacing w:val="-2"/>
        </w:rPr>
        <w:t xml:space="preserve"> </w:t>
      </w:r>
      <w:r>
        <w:t>fundamental,</w:t>
      </w:r>
      <w:r>
        <w:rPr>
          <w:spacing w:val="-1"/>
        </w:rPr>
        <w:t xml:space="preserve"> </w:t>
      </w:r>
      <w:r>
        <w:t>pois,</w:t>
      </w:r>
      <w:r>
        <w:rPr>
          <w:spacing w:val="-1"/>
        </w:rPr>
        <w:t xml:space="preserve"> </w:t>
      </w:r>
      <w:r>
        <w:t>conforme</w:t>
      </w:r>
      <w:r>
        <w:rPr>
          <w:spacing w:val="-2"/>
        </w:rPr>
        <w:t xml:space="preserve"> </w:t>
      </w:r>
      <w:r>
        <w:t>se</w:t>
      </w:r>
      <w:r>
        <w:rPr>
          <w:spacing w:val="-2"/>
        </w:rPr>
        <w:t xml:space="preserve"> </w:t>
      </w:r>
      <w:r>
        <w:t>pode</w:t>
      </w:r>
      <w:r>
        <w:rPr>
          <w:spacing w:val="-2"/>
        </w:rPr>
        <w:t xml:space="preserve"> </w:t>
      </w:r>
      <w:r>
        <w:t>extrair</w:t>
      </w:r>
      <w:r>
        <w:rPr>
          <w:spacing w:val="-2"/>
        </w:rPr>
        <w:t xml:space="preserve"> </w:t>
      </w:r>
      <w:r>
        <w:t>de</w:t>
      </w:r>
      <w:r>
        <w:rPr>
          <w:spacing w:val="-2"/>
        </w:rPr>
        <w:t xml:space="preserve"> </w:t>
      </w:r>
      <w:r>
        <w:t>sua</w:t>
      </w:r>
      <w:r>
        <w:rPr>
          <w:spacing w:val="-2"/>
        </w:rPr>
        <w:t xml:space="preserve"> </w:t>
      </w:r>
      <w:r>
        <w:t>lei orgânica, detém uma série de competências relacionadas à educação, portanto, deve desempenhar um papel ativo na elaboração de políticas educacionais que promovam a inclusão da história e cultura afro-brasileira nos currículos escolares.</w:t>
      </w:r>
    </w:p>
    <w:p w:rsidR="007259F2" w:rsidRDefault="00E655B4">
      <w:pPr>
        <w:pStyle w:val="Corpodetexto"/>
        <w:spacing w:before="1"/>
        <w:ind w:right="571"/>
      </w:pPr>
      <w:r>
        <w:t>O levantamento das normativas municipais do poder público como leis, decretos, planos, etc. e das ações complementares desenvolvidas até o ano de 2023 com o objetivo de efetivar a obrigatoriedade do estudo da história e da cultura afro-brasileira é de grande relevância para compreender qual papel o Município de São Paulo tem desempenhado na concretização da educação antirracista.</w:t>
      </w:r>
    </w:p>
    <w:p w:rsidR="007259F2" w:rsidRDefault="00E655B4">
      <w:pPr>
        <w:pStyle w:val="Heading2"/>
        <w:numPr>
          <w:ilvl w:val="0"/>
          <w:numId w:val="29"/>
        </w:numPr>
        <w:tabs>
          <w:tab w:val="left" w:pos="1429"/>
        </w:tabs>
        <w:ind w:left="1429"/>
        <w:jc w:val="both"/>
      </w:pPr>
      <w:r>
        <w:t>A</w:t>
      </w:r>
      <w:r>
        <w:rPr>
          <w:spacing w:val="-4"/>
        </w:rPr>
        <w:t xml:space="preserve"> </w:t>
      </w:r>
      <w:r>
        <w:t>lei nº</w:t>
      </w:r>
      <w:r>
        <w:rPr>
          <w:spacing w:val="2"/>
        </w:rPr>
        <w:t xml:space="preserve"> </w:t>
      </w:r>
      <w:r>
        <w:t>10.639 de</w:t>
      </w:r>
      <w:r>
        <w:rPr>
          <w:spacing w:val="-2"/>
        </w:rPr>
        <w:t xml:space="preserve"> </w:t>
      </w:r>
      <w:r>
        <w:t>09</w:t>
      </w:r>
      <w:r>
        <w:rPr>
          <w:spacing w:val="-5"/>
        </w:rPr>
        <w:t xml:space="preserve"> </w:t>
      </w:r>
      <w:r>
        <w:t>de</w:t>
      </w:r>
      <w:r>
        <w:rPr>
          <w:spacing w:val="-1"/>
        </w:rPr>
        <w:t xml:space="preserve"> </w:t>
      </w:r>
      <w:r>
        <w:t xml:space="preserve">janeiro de </w:t>
      </w:r>
      <w:r>
        <w:rPr>
          <w:spacing w:val="-4"/>
        </w:rPr>
        <w:t>2003</w:t>
      </w:r>
    </w:p>
    <w:p w:rsidR="007259F2" w:rsidRDefault="00E655B4">
      <w:pPr>
        <w:pStyle w:val="PargrafodaLista"/>
        <w:numPr>
          <w:ilvl w:val="1"/>
          <w:numId w:val="29"/>
        </w:numPr>
        <w:tabs>
          <w:tab w:val="left" w:pos="1429"/>
        </w:tabs>
        <w:spacing w:before="117"/>
        <w:ind w:left="1429"/>
        <w:jc w:val="both"/>
        <w:rPr>
          <w:b/>
          <w:sz w:val="24"/>
        </w:rPr>
      </w:pPr>
      <w:r>
        <w:rPr>
          <w:b/>
          <w:sz w:val="24"/>
        </w:rPr>
        <w:t>Contextualização</w:t>
      </w:r>
      <w:r>
        <w:rPr>
          <w:b/>
          <w:spacing w:val="-14"/>
          <w:sz w:val="24"/>
        </w:rPr>
        <w:t xml:space="preserve"> </w:t>
      </w:r>
      <w:r>
        <w:rPr>
          <w:b/>
          <w:spacing w:val="-2"/>
          <w:sz w:val="24"/>
        </w:rPr>
        <w:t>histórica</w:t>
      </w:r>
    </w:p>
    <w:p w:rsidR="007259F2" w:rsidRDefault="00E655B4">
      <w:pPr>
        <w:pStyle w:val="Corpodetexto"/>
        <w:spacing w:before="116"/>
        <w:ind w:right="566"/>
      </w:pPr>
      <w:r>
        <w:t>A</w:t>
      </w:r>
      <w:r>
        <w:rPr>
          <w:spacing w:val="-2"/>
        </w:rPr>
        <w:t xml:space="preserve"> </w:t>
      </w:r>
      <w:r>
        <w:t>escravização</w:t>
      </w:r>
      <w:r>
        <w:rPr>
          <w:spacing w:val="-1"/>
        </w:rPr>
        <w:t xml:space="preserve"> </w:t>
      </w:r>
      <w:r>
        <w:t>de</w:t>
      </w:r>
      <w:r>
        <w:rPr>
          <w:spacing w:val="-2"/>
        </w:rPr>
        <w:t xml:space="preserve"> </w:t>
      </w:r>
      <w:r>
        <w:t>pessoas</w:t>
      </w:r>
      <w:r>
        <w:rPr>
          <w:spacing w:val="-1"/>
        </w:rPr>
        <w:t xml:space="preserve"> </w:t>
      </w:r>
      <w:r>
        <w:t>negras</w:t>
      </w:r>
      <w:r>
        <w:rPr>
          <w:spacing w:val="-1"/>
        </w:rPr>
        <w:t xml:space="preserve"> </w:t>
      </w:r>
      <w:r>
        <w:t>no</w:t>
      </w:r>
      <w:r>
        <w:rPr>
          <w:spacing w:val="-1"/>
        </w:rPr>
        <w:t xml:space="preserve"> </w:t>
      </w:r>
      <w:r>
        <w:t>Brasil remonta</w:t>
      </w:r>
      <w:r>
        <w:rPr>
          <w:spacing w:val="-2"/>
        </w:rPr>
        <w:t xml:space="preserve"> </w:t>
      </w:r>
      <w:r>
        <w:t>aos</w:t>
      </w:r>
      <w:r>
        <w:rPr>
          <w:spacing w:val="-1"/>
        </w:rPr>
        <w:t xml:space="preserve"> </w:t>
      </w:r>
      <w:r>
        <w:t>períodos</w:t>
      </w:r>
      <w:r>
        <w:rPr>
          <w:spacing w:val="-1"/>
        </w:rPr>
        <w:t xml:space="preserve"> </w:t>
      </w:r>
      <w:r>
        <w:t>colonial</w:t>
      </w:r>
      <w:r>
        <w:rPr>
          <w:spacing w:val="-1"/>
        </w:rPr>
        <w:t xml:space="preserve"> </w:t>
      </w:r>
      <w:r>
        <w:t>e imperial. Consistiu numa prática cruel de desumanização, coisificação, tráfico e comercialização de africanos</w:t>
      </w:r>
      <w:r>
        <w:rPr>
          <w:spacing w:val="-1"/>
        </w:rPr>
        <w:t xml:space="preserve"> </w:t>
      </w:r>
      <w:r>
        <w:t>e</w:t>
      </w:r>
      <w:r>
        <w:rPr>
          <w:spacing w:val="-2"/>
        </w:rPr>
        <w:t xml:space="preserve"> </w:t>
      </w:r>
      <w:r>
        <w:t>africanas</w:t>
      </w:r>
      <w:r>
        <w:rPr>
          <w:spacing w:val="-1"/>
        </w:rPr>
        <w:t xml:space="preserve"> </w:t>
      </w:r>
      <w:r>
        <w:t>originárias</w:t>
      </w:r>
      <w:r>
        <w:rPr>
          <w:spacing w:val="-2"/>
        </w:rPr>
        <w:t xml:space="preserve"> </w:t>
      </w:r>
      <w:r>
        <w:t>de</w:t>
      </w:r>
      <w:r>
        <w:rPr>
          <w:spacing w:val="-2"/>
        </w:rPr>
        <w:t xml:space="preserve"> </w:t>
      </w:r>
      <w:r>
        <w:t>variados</w:t>
      </w:r>
      <w:r>
        <w:rPr>
          <w:spacing w:val="-1"/>
        </w:rPr>
        <w:t xml:space="preserve"> </w:t>
      </w:r>
      <w:r>
        <w:t>países para</w:t>
      </w:r>
      <w:r>
        <w:rPr>
          <w:spacing w:val="-3"/>
        </w:rPr>
        <w:t xml:space="preserve"> </w:t>
      </w:r>
      <w:r>
        <w:t>o</w:t>
      </w:r>
      <w:r>
        <w:rPr>
          <w:spacing w:val="-1"/>
        </w:rPr>
        <w:t xml:space="preserve"> </w:t>
      </w:r>
      <w:r>
        <w:t>território</w:t>
      </w:r>
      <w:r>
        <w:rPr>
          <w:spacing w:val="-1"/>
        </w:rPr>
        <w:t xml:space="preserve"> </w:t>
      </w:r>
      <w:r>
        <w:t>brasileiro</w:t>
      </w:r>
      <w:r>
        <w:rPr>
          <w:spacing w:val="-1"/>
        </w:rPr>
        <w:t xml:space="preserve"> </w:t>
      </w:r>
      <w:r>
        <w:t>sendo</w:t>
      </w:r>
      <w:r>
        <w:rPr>
          <w:spacing w:val="-1"/>
        </w:rPr>
        <w:t xml:space="preserve"> </w:t>
      </w:r>
      <w:r>
        <w:t>forçados a trabalhar em condições desumanas e degradantes. Essa nefasta realidade perdurou por</w:t>
      </w:r>
      <w:r>
        <w:rPr>
          <w:spacing w:val="40"/>
        </w:rPr>
        <w:t xml:space="preserve"> </w:t>
      </w:r>
      <w:r>
        <w:t>mais de 300 (trezentos) anos e todo esse cenário foi legitimado por um conjunto jurídico- normativo que garantiu a dominação e submissão das pessoas escravizadas, negando-lhes direitos básicos e relegando-os à condição de mera propriedade.</w:t>
      </w:r>
    </w:p>
    <w:p w:rsidR="007259F2" w:rsidRDefault="00E655B4">
      <w:pPr>
        <w:pStyle w:val="Corpodetexto"/>
        <w:ind w:right="569"/>
      </w:pPr>
      <w:r>
        <w:t>O histórico de escravidão, brevemente referenciado acima, resultou no que hoje compreendemos como racismo estrutural, ou seja, aquele que está enraizado na sociedade, fazendo-se constantemente presente, ainda que de forma inconsciente, em práticas</w:t>
      </w:r>
      <w:r>
        <w:rPr>
          <w:spacing w:val="80"/>
        </w:rPr>
        <w:t xml:space="preserve"> </w:t>
      </w:r>
      <w:r>
        <w:t>cotidianas e que se perpetua de maneira sistemática por estar nas estruturas políticas, econômicas e culturais. Pode-se afirmar, portanto, que há relação direta entre o histórico de escravidão de pessoas negras no Brasil e o racismo estrutural, uma vez que o fato de o modelo de sociedade escravocrata ter perdurado por mais de três séculos no país inegavelmente reverbera até a atualidade, principalmente porque a abolição não veio acompanhada de políticas públicas de integração de reparação e integração.</w:t>
      </w:r>
    </w:p>
    <w:p w:rsidR="007259F2" w:rsidRDefault="00E655B4">
      <w:pPr>
        <w:pStyle w:val="Corpodetexto"/>
        <w:spacing w:before="1"/>
        <w:ind w:left="1418" w:firstLine="0"/>
      </w:pPr>
      <w:r>
        <w:t>Sobre</w:t>
      </w:r>
      <w:r>
        <w:rPr>
          <w:spacing w:val="-8"/>
        </w:rPr>
        <w:t xml:space="preserve"> </w:t>
      </w:r>
      <w:r>
        <w:t>a</w:t>
      </w:r>
      <w:r>
        <w:rPr>
          <w:spacing w:val="-5"/>
        </w:rPr>
        <w:t xml:space="preserve"> </w:t>
      </w:r>
      <w:r>
        <w:t>abolição</w:t>
      </w:r>
      <w:r>
        <w:rPr>
          <w:spacing w:val="1"/>
        </w:rPr>
        <w:t xml:space="preserve"> </w:t>
      </w:r>
      <w:r>
        <w:t>é</w:t>
      </w:r>
      <w:r>
        <w:rPr>
          <w:spacing w:val="-5"/>
        </w:rPr>
        <w:t xml:space="preserve"> </w:t>
      </w:r>
      <w:r>
        <w:t>importante</w:t>
      </w:r>
      <w:r>
        <w:rPr>
          <w:spacing w:val="-8"/>
        </w:rPr>
        <w:t xml:space="preserve"> </w:t>
      </w:r>
      <w:r>
        <w:t>compreender</w:t>
      </w:r>
      <w:r>
        <w:rPr>
          <w:spacing w:val="-1"/>
        </w:rPr>
        <w:t xml:space="preserve"> </w:t>
      </w:r>
      <w:r>
        <w:rPr>
          <w:spacing w:val="-4"/>
        </w:rPr>
        <w:t>que:</w:t>
      </w:r>
    </w:p>
    <w:p w:rsidR="007259F2" w:rsidRDefault="00E655B4">
      <w:pPr>
        <w:spacing w:before="121"/>
        <w:ind w:left="2978" w:right="422"/>
        <w:jc w:val="both"/>
        <w:rPr>
          <w:sz w:val="20"/>
        </w:rPr>
      </w:pPr>
      <w:r>
        <w:rPr>
          <w:sz w:val="20"/>
        </w:rPr>
        <w:t xml:space="preserve">Os ex-escravos foram abandonados à própria sorte. Caberia a eles, daí por diante, converter sua emancipação em liberdade efetiva. A igualdade jurídica não era suficiente para eliminar as enormes distâncias sociais e os preconceitos que mais de trezentos anos de cativeiro havia criado. A Lei Áurea aboliu a escravidão mas não seu legado. Trezentos anos de opressão não se eliminam com uma penada. A abolição foi apenas o primeiro passo na direção da emancipação do negro. Nem por isso deixou de ser uma conquista, se bem que de efeito limitado (COSTA, 2008, </w:t>
      </w:r>
      <w:r>
        <w:rPr>
          <w:spacing w:val="-2"/>
          <w:sz w:val="20"/>
        </w:rPr>
        <w:t>p.12).</w:t>
      </w:r>
    </w:p>
    <w:p w:rsidR="007259F2" w:rsidRDefault="007259F2">
      <w:pPr>
        <w:pStyle w:val="Corpodetexto"/>
        <w:spacing w:before="5"/>
        <w:ind w:left="0" w:firstLine="0"/>
        <w:jc w:val="left"/>
        <w:rPr>
          <w:sz w:val="20"/>
        </w:rPr>
      </w:pPr>
    </w:p>
    <w:p w:rsidR="007259F2" w:rsidRDefault="00E655B4">
      <w:pPr>
        <w:pStyle w:val="Corpodetexto"/>
        <w:spacing w:line="237" w:lineRule="auto"/>
        <w:ind w:right="573"/>
      </w:pPr>
      <w:r>
        <w:t>Em</w:t>
      </w:r>
      <w:r>
        <w:rPr>
          <w:spacing w:val="-3"/>
        </w:rPr>
        <w:t xml:space="preserve"> </w:t>
      </w:r>
      <w:r>
        <w:t>relação ao racismo estrutural o renomado jurista e professor de Direito, Silvio de Almeida, leciona que:</w:t>
      </w:r>
    </w:p>
    <w:p w:rsidR="007259F2" w:rsidRDefault="007259F2">
      <w:pPr>
        <w:pStyle w:val="Corpodetexto"/>
        <w:spacing w:line="237" w:lineRule="auto"/>
        <w:sectPr w:rsidR="007259F2">
          <w:pgSz w:w="11910" w:h="16840"/>
          <w:pgMar w:top="1600" w:right="708" w:bottom="1020" w:left="992" w:header="0" w:footer="820" w:gutter="0"/>
          <w:cols w:space="720"/>
        </w:sectPr>
      </w:pPr>
    </w:p>
    <w:p w:rsidR="007259F2" w:rsidRDefault="00E655B4">
      <w:pPr>
        <w:spacing w:before="77"/>
        <w:ind w:left="2978" w:right="422"/>
        <w:jc w:val="both"/>
        <w:rPr>
          <w:sz w:val="20"/>
        </w:rPr>
      </w:pPr>
      <w:r>
        <w:rPr>
          <w:sz w:val="20"/>
        </w:rPr>
        <w:lastRenderedPageBreak/>
        <w:t>[...]o</w:t>
      </w:r>
      <w:r>
        <w:rPr>
          <w:spacing w:val="-1"/>
          <w:sz w:val="20"/>
        </w:rPr>
        <w:t xml:space="preserve"> </w:t>
      </w:r>
      <w:r>
        <w:rPr>
          <w:sz w:val="20"/>
        </w:rPr>
        <w:t>racismo, como processo</w:t>
      </w:r>
      <w:r>
        <w:rPr>
          <w:spacing w:val="-1"/>
          <w:sz w:val="20"/>
        </w:rPr>
        <w:t xml:space="preserve"> </w:t>
      </w:r>
      <w:r>
        <w:rPr>
          <w:sz w:val="20"/>
        </w:rPr>
        <w:t>histórico e político, cria</w:t>
      </w:r>
      <w:r>
        <w:rPr>
          <w:spacing w:val="-2"/>
          <w:sz w:val="20"/>
        </w:rPr>
        <w:t xml:space="preserve"> </w:t>
      </w:r>
      <w:r>
        <w:rPr>
          <w:sz w:val="20"/>
        </w:rPr>
        <w:t>as condições sociais para que, direta ou indiretamente, grupos racialmente identificados sejam discriminados de forma sistemática. Ainda que os indivíduos que cometam atos racistas sejam responsabilizados,</w:t>
      </w:r>
      <w:r>
        <w:rPr>
          <w:spacing w:val="-1"/>
          <w:sz w:val="20"/>
        </w:rPr>
        <w:t xml:space="preserve"> </w:t>
      </w:r>
      <w:r>
        <w:rPr>
          <w:sz w:val="20"/>
        </w:rPr>
        <w:t>o olhar estrutural sobre</w:t>
      </w:r>
      <w:r>
        <w:rPr>
          <w:spacing w:val="-1"/>
          <w:sz w:val="20"/>
        </w:rPr>
        <w:t xml:space="preserve"> </w:t>
      </w:r>
      <w:r>
        <w:rPr>
          <w:sz w:val="20"/>
        </w:rPr>
        <w:t>as</w:t>
      </w:r>
      <w:r>
        <w:rPr>
          <w:spacing w:val="-1"/>
          <w:sz w:val="20"/>
        </w:rPr>
        <w:t xml:space="preserve"> </w:t>
      </w:r>
      <w:r>
        <w:rPr>
          <w:sz w:val="20"/>
        </w:rPr>
        <w:t>relações raciais</w:t>
      </w:r>
      <w:r>
        <w:rPr>
          <w:spacing w:val="-1"/>
          <w:sz w:val="20"/>
        </w:rPr>
        <w:t xml:space="preserve"> </w:t>
      </w:r>
      <w:r>
        <w:rPr>
          <w:sz w:val="20"/>
        </w:rPr>
        <w:t>nos</w:t>
      </w:r>
      <w:r>
        <w:rPr>
          <w:spacing w:val="-1"/>
          <w:sz w:val="20"/>
        </w:rPr>
        <w:t xml:space="preserve"> </w:t>
      </w:r>
      <w:r>
        <w:rPr>
          <w:sz w:val="20"/>
        </w:rPr>
        <w:t>leva a concluir</w:t>
      </w:r>
      <w:r>
        <w:rPr>
          <w:spacing w:val="-1"/>
          <w:sz w:val="20"/>
        </w:rPr>
        <w:t xml:space="preserve"> </w:t>
      </w:r>
      <w:r>
        <w:rPr>
          <w:sz w:val="20"/>
        </w:rPr>
        <w:t>que a responsabilização jurídica não é suficiente para que a sociedade deixe de ser uma máquina produtora de desigualdade racial. [...] Consciente de que o racismo é parte da estrutura social e, por isso, não necessita de intenção para se manifestar, por mais que calar-se diante do racismo não faça do indivíduo moral e/ou juridicamente culpado ou responsável, certamente o silêncio o torna ética e politicamente responsável pela manutenção do racismo. A mudança da sociedade não se faz</w:t>
      </w:r>
      <w:r>
        <w:rPr>
          <w:spacing w:val="40"/>
          <w:sz w:val="20"/>
        </w:rPr>
        <w:t xml:space="preserve"> </w:t>
      </w:r>
      <w:r>
        <w:rPr>
          <w:sz w:val="20"/>
        </w:rPr>
        <w:t>apenas com denúncias ou com o repúdio moral do racismo: depende, antes de tudo, da tomada de posturas e da adoção de práticas antirracistas. (ALMEIDA, 2019, p.</w:t>
      </w:r>
      <w:r>
        <w:rPr>
          <w:spacing w:val="40"/>
          <w:sz w:val="20"/>
        </w:rPr>
        <w:t xml:space="preserve"> </w:t>
      </w:r>
      <w:r>
        <w:rPr>
          <w:spacing w:val="-4"/>
          <w:sz w:val="20"/>
        </w:rPr>
        <w:t>34)</w:t>
      </w:r>
    </w:p>
    <w:p w:rsidR="007259F2" w:rsidRDefault="007259F2">
      <w:pPr>
        <w:pStyle w:val="Corpodetexto"/>
        <w:spacing w:before="48"/>
        <w:ind w:left="0" w:firstLine="0"/>
        <w:jc w:val="left"/>
        <w:rPr>
          <w:sz w:val="20"/>
        </w:rPr>
      </w:pPr>
    </w:p>
    <w:p w:rsidR="007259F2" w:rsidRDefault="00E655B4">
      <w:pPr>
        <w:pStyle w:val="Corpodetexto"/>
        <w:ind w:right="572"/>
      </w:pPr>
      <w:r>
        <w:t>A</w:t>
      </w:r>
      <w:r>
        <w:rPr>
          <w:spacing w:val="-3"/>
        </w:rPr>
        <w:t xml:space="preserve"> </w:t>
      </w:r>
      <w:r>
        <w:t>herança</w:t>
      </w:r>
      <w:r>
        <w:rPr>
          <w:spacing w:val="-2"/>
        </w:rPr>
        <w:t xml:space="preserve"> </w:t>
      </w:r>
      <w:r>
        <w:t>nada</w:t>
      </w:r>
      <w:r>
        <w:rPr>
          <w:spacing w:val="-4"/>
        </w:rPr>
        <w:t xml:space="preserve"> </w:t>
      </w:r>
      <w:r>
        <w:t>positiva</w:t>
      </w:r>
      <w:r>
        <w:rPr>
          <w:spacing w:val="-2"/>
        </w:rPr>
        <w:t xml:space="preserve"> </w:t>
      </w:r>
      <w:r>
        <w:t>deixada</w:t>
      </w:r>
      <w:r>
        <w:rPr>
          <w:spacing w:val="-4"/>
        </w:rPr>
        <w:t xml:space="preserve"> </w:t>
      </w:r>
      <w:r>
        <w:t>pela</w:t>
      </w:r>
      <w:r>
        <w:rPr>
          <w:spacing w:val="-2"/>
        </w:rPr>
        <w:t xml:space="preserve"> </w:t>
      </w:r>
      <w:r>
        <w:t>escravidão</w:t>
      </w:r>
      <w:r>
        <w:rPr>
          <w:spacing w:val="-2"/>
        </w:rPr>
        <w:t xml:space="preserve"> </w:t>
      </w:r>
      <w:r>
        <w:t>continuou</w:t>
      </w:r>
      <w:r>
        <w:rPr>
          <w:spacing w:val="-3"/>
        </w:rPr>
        <w:t xml:space="preserve"> </w:t>
      </w:r>
      <w:r>
        <w:t>a</w:t>
      </w:r>
      <w:r>
        <w:rPr>
          <w:spacing w:val="-4"/>
        </w:rPr>
        <w:t xml:space="preserve"> </w:t>
      </w:r>
      <w:r>
        <w:t>moldar</w:t>
      </w:r>
      <w:r>
        <w:rPr>
          <w:spacing w:val="-2"/>
        </w:rPr>
        <w:t xml:space="preserve"> </w:t>
      </w:r>
      <w:r>
        <w:t>as</w:t>
      </w:r>
      <w:r>
        <w:rPr>
          <w:spacing w:val="-1"/>
        </w:rPr>
        <w:t xml:space="preserve"> </w:t>
      </w:r>
      <w:r>
        <w:t>bases</w:t>
      </w:r>
      <w:r>
        <w:rPr>
          <w:spacing w:val="-3"/>
        </w:rPr>
        <w:t xml:space="preserve"> </w:t>
      </w:r>
      <w:r>
        <w:t>sociais, econômicas e culturais do Brasil mesmo após a abolição que, como visto, não promoveu a inserção</w:t>
      </w:r>
      <w:r>
        <w:rPr>
          <w:spacing w:val="-2"/>
        </w:rPr>
        <w:t xml:space="preserve"> </w:t>
      </w:r>
      <w:r>
        <w:t>das</w:t>
      </w:r>
      <w:r>
        <w:rPr>
          <w:spacing w:val="-2"/>
        </w:rPr>
        <w:t xml:space="preserve"> </w:t>
      </w:r>
      <w:r>
        <w:t>pessoas até então</w:t>
      </w:r>
      <w:r>
        <w:rPr>
          <w:spacing w:val="-3"/>
        </w:rPr>
        <w:t xml:space="preserve"> </w:t>
      </w:r>
      <w:r>
        <w:t>escravizadas,</w:t>
      </w:r>
      <w:r>
        <w:rPr>
          <w:spacing w:val="-2"/>
        </w:rPr>
        <w:t xml:space="preserve"> </w:t>
      </w:r>
      <w:r>
        <w:t>ao contrário,</w:t>
      </w:r>
      <w:r>
        <w:rPr>
          <w:spacing w:val="-3"/>
        </w:rPr>
        <w:t xml:space="preserve"> </w:t>
      </w:r>
      <w:r>
        <w:t>apenas</w:t>
      </w:r>
      <w:r>
        <w:rPr>
          <w:spacing w:val="-2"/>
        </w:rPr>
        <w:t xml:space="preserve"> </w:t>
      </w:r>
      <w:r>
        <w:t>perpetuou as</w:t>
      </w:r>
      <w:r>
        <w:rPr>
          <w:spacing w:val="-2"/>
        </w:rPr>
        <w:t xml:space="preserve"> </w:t>
      </w:r>
      <w:r>
        <w:t>desigualdades e intensificou a marginalização não só dos corpos negros, mas também de se seus saberes, crenças e contribuições para formação da sociedade brasileira tendo como resultado um verdadeiro apagamento histórico.</w:t>
      </w:r>
    </w:p>
    <w:p w:rsidR="007259F2" w:rsidRDefault="00E655B4">
      <w:pPr>
        <w:pStyle w:val="Corpodetexto"/>
        <w:ind w:right="570"/>
      </w:pPr>
      <w:r>
        <w:t>Nesse contexto de apagamento é indispensável trazer a tona o que nos ensina</w:t>
      </w:r>
      <w:r>
        <w:rPr>
          <w:spacing w:val="40"/>
        </w:rPr>
        <w:t xml:space="preserve"> </w:t>
      </w:r>
      <w:r>
        <w:t>Sueli Carneiro, fundadora do instituto da mulher negra (Geledés), pois, segundo a filósofa:</w:t>
      </w:r>
    </w:p>
    <w:p w:rsidR="007259F2" w:rsidRDefault="00E655B4">
      <w:pPr>
        <w:spacing w:before="121"/>
        <w:ind w:left="2978" w:right="419"/>
        <w:jc w:val="both"/>
        <w:rPr>
          <w:sz w:val="20"/>
        </w:rPr>
      </w:pPr>
      <w:r>
        <w:rPr>
          <w:sz w:val="20"/>
        </w:rPr>
        <w:t>[...] o epistemicídio é, para além</w:t>
      </w:r>
      <w:r>
        <w:rPr>
          <w:spacing w:val="-1"/>
          <w:sz w:val="20"/>
        </w:rPr>
        <w:t xml:space="preserve"> </w:t>
      </w:r>
      <w:r>
        <w:rPr>
          <w:sz w:val="20"/>
        </w:rPr>
        <w:t>da anulação e desqualificação do conhecimento dos povos subjugados, um processo persistente de produção da indigência cultural: pela negação do acesso a educação, sobretudo de qualidade; pela produção da inferiorização intelectual; pelos diferentes mecanismos de deslegitimação do negro como portador e produtor de conhecimento e de rebaixamento da capacidade cognitiva pela carência material e/ou pelo comprometimento da autoestima pelos processos de discriminação correntes no processo educativo. Isto por que não é possível desqualificar as formas de conhecimento dos povos dominados sem desqualificá-los</w:t>
      </w:r>
      <w:r>
        <w:rPr>
          <w:spacing w:val="-10"/>
          <w:sz w:val="20"/>
        </w:rPr>
        <w:t xml:space="preserve"> </w:t>
      </w:r>
      <w:r>
        <w:rPr>
          <w:sz w:val="20"/>
        </w:rPr>
        <w:t>também,</w:t>
      </w:r>
      <w:r>
        <w:rPr>
          <w:spacing w:val="-5"/>
          <w:sz w:val="20"/>
        </w:rPr>
        <w:t xml:space="preserve"> </w:t>
      </w:r>
      <w:r>
        <w:rPr>
          <w:sz w:val="20"/>
        </w:rPr>
        <w:t>individual</w:t>
      </w:r>
      <w:r>
        <w:rPr>
          <w:spacing w:val="-7"/>
          <w:sz w:val="20"/>
        </w:rPr>
        <w:t xml:space="preserve"> </w:t>
      </w:r>
      <w:r>
        <w:rPr>
          <w:sz w:val="20"/>
        </w:rPr>
        <w:t>e</w:t>
      </w:r>
      <w:r>
        <w:rPr>
          <w:spacing w:val="-6"/>
          <w:sz w:val="20"/>
        </w:rPr>
        <w:t xml:space="preserve"> </w:t>
      </w:r>
      <w:r>
        <w:rPr>
          <w:sz w:val="20"/>
        </w:rPr>
        <w:t>coletivamente.</w:t>
      </w:r>
      <w:r>
        <w:rPr>
          <w:spacing w:val="-4"/>
          <w:sz w:val="20"/>
        </w:rPr>
        <w:t xml:space="preserve"> </w:t>
      </w:r>
      <w:r>
        <w:rPr>
          <w:sz w:val="20"/>
        </w:rPr>
        <w:t>Como</w:t>
      </w:r>
      <w:r>
        <w:rPr>
          <w:spacing w:val="-5"/>
          <w:sz w:val="20"/>
        </w:rPr>
        <w:t xml:space="preserve"> </w:t>
      </w:r>
      <w:r>
        <w:rPr>
          <w:sz w:val="20"/>
        </w:rPr>
        <w:t>sujeitos</w:t>
      </w:r>
      <w:r>
        <w:rPr>
          <w:spacing w:val="-10"/>
          <w:sz w:val="20"/>
        </w:rPr>
        <w:t xml:space="preserve"> </w:t>
      </w:r>
      <w:r>
        <w:rPr>
          <w:sz w:val="20"/>
        </w:rPr>
        <w:t>cognoscentes.</w:t>
      </w:r>
      <w:r>
        <w:rPr>
          <w:spacing w:val="-5"/>
          <w:sz w:val="20"/>
        </w:rPr>
        <w:t xml:space="preserve"> </w:t>
      </w:r>
      <w:r>
        <w:rPr>
          <w:sz w:val="20"/>
        </w:rPr>
        <w:t>E, ao fazê-lo destituí-lhe a razão, a condição para alcançar o 12 conhecimento “legítimo” ou legitimado. Por isso o epistemicídio fere de morte a racionalidade do subjugado ou a sequestra, mutila a capacidade de aprender etc. (CARNEIRO, 2005, p 97)</w:t>
      </w:r>
    </w:p>
    <w:p w:rsidR="007259F2" w:rsidRDefault="007259F2">
      <w:pPr>
        <w:pStyle w:val="Corpodetexto"/>
        <w:spacing w:before="3"/>
        <w:ind w:left="0" w:firstLine="0"/>
        <w:jc w:val="left"/>
        <w:rPr>
          <w:sz w:val="20"/>
        </w:rPr>
      </w:pPr>
    </w:p>
    <w:p w:rsidR="007259F2" w:rsidRDefault="00E655B4">
      <w:pPr>
        <w:pStyle w:val="Corpodetexto"/>
        <w:ind w:right="568"/>
      </w:pPr>
      <w:r>
        <w:t>Como visto, o epistemicídio consiste em um processo de destruição, marginalização ou</w:t>
      </w:r>
      <w:r>
        <w:rPr>
          <w:spacing w:val="-1"/>
        </w:rPr>
        <w:t xml:space="preserve"> </w:t>
      </w:r>
      <w:r>
        <w:t>silenciamento</w:t>
      </w:r>
      <w:r>
        <w:rPr>
          <w:spacing w:val="-1"/>
        </w:rPr>
        <w:t xml:space="preserve"> </w:t>
      </w:r>
      <w:r>
        <w:t>dos conhecimentos,</w:t>
      </w:r>
      <w:r>
        <w:rPr>
          <w:spacing w:val="-1"/>
        </w:rPr>
        <w:t xml:space="preserve"> </w:t>
      </w:r>
      <w:r>
        <w:t>saberes e</w:t>
      </w:r>
      <w:r>
        <w:rPr>
          <w:spacing w:val="-2"/>
        </w:rPr>
        <w:t xml:space="preserve"> </w:t>
      </w:r>
      <w:r>
        <w:t>perspectivas</w:t>
      </w:r>
      <w:r>
        <w:rPr>
          <w:spacing w:val="-1"/>
        </w:rPr>
        <w:t xml:space="preserve"> </w:t>
      </w:r>
      <w:r>
        <w:t>de</w:t>
      </w:r>
      <w:r>
        <w:rPr>
          <w:spacing w:val="-2"/>
        </w:rPr>
        <w:t xml:space="preserve"> </w:t>
      </w:r>
      <w:r>
        <w:t>determinados</w:t>
      </w:r>
      <w:r>
        <w:rPr>
          <w:spacing w:val="-1"/>
        </w:rPr>
        <w:t xml:space="preserve"> </w:t>
      </w:r>
      <w:r>
        <w:t>grupos</w:t>
      </w:r>
      <w:r>
        <w:rPr>
          <w:spacing w:val="-1"/>
        </w:rPr>
        <w:t xml:space="preserve"> </w:t>
      </w:r>
      <w:r>
        <w:t xml:space="preserve">sociais. No contexto do racismo, o epistemicídio envolve a supressão dos saberes produzidos por comunidades negras, a desvalorização de suas contribuições intelectuais e culturais, resultando na imposição de uma visão dominante e excludente sobre o conhecimento e </w:t>
      </w:r>
      <w:r>
        <w:rPr>
          <w:spacing w:val="-2"/>
        </w:rPr>
        <w:t>cultura.</w:t>
      </w:r>
    </w:p>
    <w:p w:rsidR="007259F2" w:rsidRDefault="00E655B4">
      <w:pPr>
        <w:pStyle w:val="Corpodetexto"/>
        <w:ind w:right="574"/>
      </w:pPr>
      <w:r>
        <w:t>Os três pontos aqui destacados (escravização de pessoas negras no Brasil, racismo estrutural e epistemicídio) fundamentam, do posto de vista histórico, a existência da lei n.º 10.639/09, pois a obrigatoriedade por ela estabelecida busca reverter o epistemicídio e enfrentar o racismo estrutural, uma vez que ambos são consequências diretas do processo de desumanização estabelecido pela escravidão.</w:t>
      </w:r>
    </w:p>
    <w:p w:rsidR="007259F2" w:rsidRDefault="00E655B4">
      <w:pPr>
        <w:pStyle w:val="Heading2"/>
        <w:numPr>
          <w:ilvl w:val="1"/>
          <w:numId w:val="29"/>
        </w:numPr>
        <w:tabs>
          <w:tab w:val="left" w:pos="1429"/>
        </w:tabs>
        <w:spacing w:before="205"/>
        <w:ind w:left="1429"/>
        <w:jc w:val="both"/>
      </w:pPr>
      <w:r>
        <w:t>Trajetória</w:t>
      </w:r>
      <w:r>
        <w:rPr>
          <w:spacing w:val="-10"/>
        </w:rPr>
        <w:t xml:space="preserve"> </w:t>
      </w:r>
      <w:r>
        <w:t>até</w:t>
      </w:r>
      <w:r>
        <w:rPr>
          <w:spacing w:val="-11"/>
        </w:rPr>
        <w:t xml:space="preserve"> </w:t>
      </w:r>
      <w:r>
        <w:t>a</w:t>
      </w:r>
      <w:r>
        <w:rPr>
          <w:spacing w:val="-10"/>
        </w:rPr>
        <w:t xml:space="preserve"> </w:t>
      </w:r>
      <w:r>
        <w:rPr>
          <w:spacing w:val="-2"/>
        </w:rPr>
        <w:t>promulgação</w:t>
      </w:r>
    </w:p>
    <w:p w:rsidR="007259F2" w:rsidRDefault="00E655B4">
      <w:pPr>
        <w:pStyle w:val="Corpodetexto"/>
        <w:spacing w:before="115"/>
        <w:ind w:right="570"/>
      </w:pPr>
      <w:r>
        <w:t>A lei n.º 10.639/03 decorre do projeto de lei n.º 255/1999 iniciado na Câmara dos Deputados em 11 de março de 1999. A origem do PL e da lei em si, no entanto, remete a lutas anteriores à apresentação e promulgação, sendo fruto do aprofundamento de debates sobre o racismo no Brasil e das reivindicações do Movimento Negro. Sobre a importância desse</w:t>
      </w:r>
      <w:r>
        <w:rPr>
          <w:spacing w:val="48"/>
        </w:rPr>
        <w:t xml:space="preserve"> </w:t>
      </w:r>
      <w:r>
        <w:t>movimento</w:t>
      </w:r>
      <w:r>
        <w:rPr>
          <w:spacing w:val="51"/>
        </w:rPr>
        <w:t xml:space="preserve"> </w:t>
      </w:r>
      <w:r>
        <w:t>e</w:t>
      </w:r>
      <w:r>
        <w:rPr>
          <w:spacing w:val="50"/>
        </w:rPr>
        <w:t xml:space="preserve"> </w:t>
      </w:r>
      <w:r>
        <w:t>sua</w:t>
      </w:r>
      <w:r>
        <w:rPr>
          <w:spacing w:val="49"/>
        </w:rPr>
        <w:t xml:space="preserve"> </w:t>
      </w:r>
      <w:r>
        <w:t>relação</w:t>
      </w:r>
      <w:r>
        <w:rPr>
          <w:spacing w:val="51"/>
        </w:rPr>
        <w:t xml:space="preserve"> </w:t>
      </w:r>
      <w:r>
        <w:t>com</w:t>
      </w:r>
      <w:r>
        <w:rPr>
          <w:spacing w:val="51"/>
        </w:rPr>
        <w:t xml:space="preserve"> </w:t>
      </w:r>
      <w:r>
        <w:t>a</w:t>
      </w:r>
      <w:r>
        <w:rPr>
          <w:spacing w:val="50"/>
        </w:rPr>
        <w:t xml:space="preserve"> </w:t>
      </w:r>
      <w:r>
        <w:t>educação</w:t>
      </w:r>
      <w:r>
        <w:rPr>
          <w:spacing w:val="51"/>
        </w:rPr>
        <w:t xml:space="preserve"> </w:t>
      </w:r>
      <w:r>
        <w:t>antirracista,</w:t>
      </w:r>
      <w:r>
        <w:rPr>
          <w:spacing w:val="50"/>
        </w:rPr>
        <w:t xml:space="preserve"> </w:t>
      </w:r>
      <w:r>
        <w:t>a</w:t>
      </w:r>
      <w:r>
        <w:rPr>
          <w:spacing w:val="50"/>
        </w:rPr>
        <w:t xml:space="preserve"> </w:t>
      </w:r>
      <w:r>
        <w:t>professora</w:t>
      </w:r>
      <w:r>
        <w:rPr>
          <w:spacing w:val="50"/>
        </w:rPr>
        <w:t xml:space="preserve"> </w:t>
      </w:r>
      <w:r>
        <w:t>Nina</w:t>
      </w:r>
      <w:r>
        <w:rPr>
          <w:spacing w:val="50"/>
        </w:rPr>
        <w:t xml:space="preserve"> </w:t>
      </w:r>
      <w:r>
        <w:rPr>
          <w:spacing w:val="-2"/>
        </w:rPr>
        <w:t>Gomes,</w:t>
      </w:r>
    </w:p>
    <w:p w:rsidR="007259F2" w:rsidRDefault="007259F2">
      <w:pPr>
        <w:pStyle w:val="Corpodetexto"/>
        <w:sectPr w:rsidR="007259F2">
          <w:pgSz w:w="11910" w:h="16840"/>
          <w:pgMar w:top="1600" w:right="708" w:bottom="1020" w:left="992" w:header="0" w:footer="820" w:gutter="0"/>
          <w:cols w:space="720"/>
        </w:sectPr>
      </w:pPr>
    </w:p>
    <w:p w:rsidR="007259F2" w:rsidRDefault="00E655B4">
      <w:pPr>
        <w:pStyle w:val="Corpodetexto"/>
        <w:spacing w:before="75"/>
        <w:ind w:right="575" w:firstLine="0"/>
      </w:pPr>
      <w:r>
        <w:lastRenderedPageBreak/>
        <w:t>renomada autora de diversas obras especialista na área educacional com ênfase nas relações étnico- raciais, elucida que:</w:t>
      </w:r>
    </w:p>
    <w:p w:rsidR="007259F2" w:rsidRDefault="00E655B4">
      <w:pPr>
        <w:spacing w:before="122"/>
        <w:ind w:left="2978" w:right="420"/>
        <w:jc w:val="both"/>
        <w:rPr>
          <w:sz w:val="20"/>
        </w:rPr>
      </w:pPr>
      <w:r>
        <w:rPr>
          <w:sz w:val="20"/>
        </w:rPr>
        <w:t>Foi também no início do terceiro milênio que uma demanda educacional do Movimento Negro desde os anos 1980 foi finalmente contemplada. Em 2003 foi sancionada a Lei 10.639/03, incluindo os art. 26-A e 79-B da LDB e tornando obrigatório o ensino de história e cultura afro-brasileira e africana nas escolas públicas e privadas dos ensinos Fundamental e Médio. Regulamentada pelo parecer CNE/CP 03/04 e pela Resolução CNE/CP 01/04 [</w:t>
      </w:r>
      <w:r>
        <w:rPr>
          <w:spacing w:val="80"/>
          <w:sz w:val="20"/>
        </w:rPr>
        <w:t xml:space="preserve"> </w:t>
      </w:r>
      <w:r>
        <w:rPr>
          <w:sz w:val="20"/>
        </w:rPr>
        <w:t>].</w:t>
      </w:r>
    </w:p>
    <w:p w:rsidR="007259F2" w:rsidRDefault="00E655B4">
      <w:pPr>
        <w:ind w:left="2978" w:right="429"/>
        <w:jc w:val="both"/>
        <w:rPr>
          <w:sz w:val="20"/>
        </w:rPr>
      </w:pPr>
      <w:r>
        <w:rPr>
          <w:sz w:val="20"/>
        </w:rPr>
        <w:t>É possível perceber que o Estado Brasileiro, ao reconhecer a imbricação entre desigualdade e diversidade, vem incorporando, aos poucos, a raça de forma ressignificada em algumas de suas ações e políticas, especialmente na educação. Concordando com Gonçalves Dias (2000), é possível afirmar que a sociedade brasileira não teria chegado a esse momento se não fosse a atuação do Movimento Negro [</w:t>
      </w:r>
      <w:r>
        <w:rPr>
          <w:spacing w:val="80"/>
          <w:sz w:val="20"/>
        </w:rPr>
        <w:t xml:space="preserve"> </w:t>
      </w:r>
      <w:r>
        <w:rPr>
          <w:sz w:val="20"/>
        </w:rPr>
        <w:t>]. (GOMES, 2017, p. 35-36)</w:t>
      </w:r>
    </w:p>
    <w:p w:rsidR="007259F2" w:rsidRDefault="007259F2">
      <w:pPr>
        <w:pStyle w:val="Corpodetexto"/>
        <w:spacing w:before="47"/>
        <w:ind w:left="0" w:firstLine="0"/>
        <w:jc w:val="left"/>
        <w:rPr>
          <w:sz w:val="20"/>
        </w:rPr>
      </w:pPr>
    </w:p>
    <w:p w:rsidR="007259F2" w:rsidRDefault="00E655B4">
      <w:pPr>
        <w:pStyle w:val="Corpodetexto"/>
        <w:spacing w:before="1"/>
        <w:ind w:right="569"/>
      </w:pPr>
      <w:r>
        <w:t>Assim,</w:t>
      </w:r>
      <w:r>
        <w:rPr>
          <w:spacing w:val="-3"/>
        </w:rPr>
        <w:t xml:space="preserve"> </w:t>
      </w:r>
      <w:r>
        <w:t>considerando</w:t>
      </w:r>
      <w:r>
        <w:rPr>
          <w:spacing w:val="-1"/>
        </w:rPr>
        <w:t xml:space="preserve"> </w:t>
      </w:r>
      <w:r>
        <w:t>a</w:t>
      </w:r>
      <w:r>
        <w:rPr>
          <w:spacing w:val="-4"/>
        </w:rPr>
        <w:t xml:space="preserve"> </w:t>
      </w:r>
      <w:r>
        <w:t>história</w:t>
      </w:r>
      <w:r>
        <w:rPr>
          <w:spacing w:val="-3"/>
        </w:rPr>
        <w:t xml:space="preserve"> </w:t>
      </w:r>
      <w:r>
        <w:t>do</w:t>
      </w:r>
      <w:r>
        <w:rPr>
          <w:spacing w:val="-3"/>
        </w:rPr>
        <w:t xml:space="preserve"> </w:t>
      </w:r>
      <w:r>
        <w:t>país</w:t>
      </w:r>
      <w:r>
        <w:rPr>
          <w:spacing w:val="-1"/>
        </w:rPr>
        <w:t xml:space="preserve"> </w:t>
      </w:r>
      <w:r>
        <w:t>e</w:t>
      </w:r>
      <w:r>
        <w:rPr>
          <w:spacing w:val="-4"/>
        </w:rPr>
        <w:t xml:space="preserve"> </w:t>
      </w:r>
      <w:r>
        <w:t>as</w:t>
      </w:r>
      <w:r>
        <w:rPr>
          <w:spacing w:val="-3"/>
        </w:rPr>
        <w:t xml:space="preserve"> </w:t>
      </w:r>
      <w:r>
        <w:t>reivindicações</w:t>
      </w:r>
      <w:r>
        <w:rPr>
          <w:spacing w:val="-3"/>
        </w:rPr>
        <w:t xml:space="preserve"> </w:t>
      </w:r>
      <w:r>
        <w:t>do</w:t>
      </w:r>
      <w:r>
        <w:rPr>
          <w:spacing w:val="-3"/>
        </w:rPr>
        <w:t xml:space="preserve"> </w:t>
      </w:r>
      <w:r>
        <w:t>movimento</w:t>
      </w:r>
      <w:r>
        <w:rPr>
          <w:spacing w:val="-2"/>
        </w:rPr>
        <w:t xml:space="preserve"> </w:t>
      </w:r>
      <w:r>
        <w:t>negro,</w:t>
      </w:r>
      <w:r>
        <w:rPr>
          <w:spacing w:val="-9"/>
        </w:rPr>
        <w:t xml:space="preserve"> </w:t>
      </w:r>
      <w:r>
        <w:t>o</w:t>
      </w:r>
      <w:r>
        <w:rPr>
          <w:spacing w:val="-3"/>
        </w:rPr>
        <w:t xml:space="preserve"> </w:t>
      </w:r>
      <w:r>
        <w:t>PL foi apresentado com a seguinte justificativa:</w:t>
      </w:r>
    </w:p>
    <w:p w:rsidR="007259F2" w:rsidRDefault="00E655B4">
      <w:pPr>
        <w:spacing w:before="121"/>
        <w:ind w:left="2978" w:right="421"/>
        <w:jc w:val="both"/>
        <w:rPr>
          <w:sz w:val="20"/>
        </w:rPr>
      </w:pPr>
      <w:r>
        <w:rPr>
          <w:sz w:val="20"/>
        </w:rPr>
        <w:t>“[...] A educação é um dos principais instrumentos de garantia do direito de cidadania. Por isso torna-se imprescindível que o Estado assuma o compromisso político de reconstrução dos currículos escolares, adequando-os à realidade étnica brasileirapara responder aos anseios dos diferentes segmentos da população.O que</w:t>
      </w:r>
      <w:r>
        <w:rPr>
          <w:spacing w:val="80"/>
          <w:sz w:val="20"/>
        </w:rPr>
        <w:t xml:space="preserve"> </w:t>
      </w:r>
      <w:r>
        <w:rPr>
          <w:sz w:val="20"/>
        </w:rPr>
        <w:t>se vê, porém. e que o sistema oficial de ensino cada vez mais apresenta-se como um dos principais veículos de sustentação do racismo, distorcendo o passado cultural e histórico do povo negro. Assim, torna se imperioso e de fundamental importância que se resgate a história do povo negro reformulando o currículo escolar nas suas deformações mais evidentes que impedem a aproximação do negro da sua</w:t>
      </w:r>
      <w:r>
        <w:rPr>
          <w:spacing w:val="80"/>
          <w:sz w:val="20"/>
        </w:rPr>
        <w:t xml:space="preserve"> </w:t>
      </w:r>
      <w:r>
        <w:rPr>
          <w:sz w:val="20"/>
        </w:rPr>
        <w:t>identidade étnica. E também que se desenvolvam programas de conscientização de todos os agentes envolvidos no processo de educação para que a escola promova</w:t>
      </w:r>
      <w:r>
        <w:rPr>
          <w:spacing w:val="40"/>
          <w:sz w:val="20"/>
        </w:rPr>
        <w:t xml:space="preserve"> </w:t>
      </w:r>
      <w:r>
        <w:rPr>
          <w:sz w:val="20"/>
        </w:rPr>
        <w:t>uma educação sem</w:t>
      </w:r>
      <w:r>
        <w:rPr>
          <w:spacing w:val="-1"/>
          <w:sz w:val="20"/>
        </w:rPr>
        <w:t xml:space="preserve"> </w:t>
      </w:r>
      <w:r>
        <w:rPr>
          <w:sz w:val="20"/>
        </w:rPr>
        <w:t>complexos, enriquecida de um senso antropológico contribuindo para a criação de uma sociedade em que todos tenham direitos e possam gozar das mesmas oportunidades, seja no plano social,</w:t>
      </w:r>
      <w:r>
        <w:rPr>
          <w:spacing w:val="40"/>
          <w:sz w:val="20"/>
        </w:rPr>
        <w:t xml:space="preserve"> </w:t>
      </w:r>
      <w:r>
        <w:rPr>
          <w:sz w:val="20"/>
        </w:rPr>
        <w:t>econômico e político na Nação.(BRASIL, 1999)</w:t>
      </w:r>
    </w:p>
    <w:p w:rsidR="007259F2" w:rsidRDefault="007259F2">
      <w:pPr>
        <w:pStyle w:val="Corpodetexto"/>
        <w:spacing w:before="3"/>
        <w:ind w:left="0" w:firstLine="0"/>
        <w:jc w:val="left"/>
        <w:rPr>
          <w:sz w:val="20"/>
        </w:rPr>
      </w:pPr>
    </w:p>
    <w:p w:rsidR="007259F2" w:rsidRDefault="00E655B4">
      <w:pPr>
        <w:pStyle w:val="Corpodetexto"/>
        <w:ind w:right="571"/>
      </w:pPr>
      <w:r>
        <w:t>O trecho da justificativa transcrito acima reflete os aspectos históricos mencionados no</w:t>
      </w:r>
      <w:r>
        <w:rPr>
          <w:spacing w:val="-2"/>
        </w:rPr>
        <w:t xml:space="preserve"> </w:t>
      </w:r>
      <w:r>
        <w:t>tópico</w:t>
      </w:r>
      <w:r>
        <w:rPr>
          <w:spacing w:val="-2"/>
        </w:rPr>
        <w:t xml:space="preserve"> </w:t>
      </w:r>
      <w:r>
        <w:t>anterior</w:t>
      </w:r>
      <w:r>
        <w:rPr>
          <w:spacing w:val="-1"/>
        </w:rPr>
        <w:t xml:space="preserve"> </w:t>
      </w:r>
      <w:r>
        <w:t>e</w:t>
      </w:r>
      <w:r>
        <w:rPr>
          <w:spacing w:val="-3"/>
        </w:rPr>
        <w:t xml:space="preserve"> </w:t>
      </w:r>
      <w:r>
        <w:t>revelando</w:t>
      </w:r>
      <w:r>
        <w:rPr>
          <w:spacing w:val="-2"/>
        </w:rPr>
        <w:t xml:space="preserve"> </w:t>
      </w:r>
      <w:r>
        <w:t>que</w:t>
      </w:r>
      <w:r>
        <w:rPr>
          <w:spacing w:val="-3"/>
        </w:rPr>
        <w:t xml:space="preserve"> </w:t>
      </w:r>
      <w:r>
        <w:t>o</w:t>
      </w:r>
      <w:r>
        <w:rPr>
          <w:spacing w:val="-2"/>
        </w:rPr>
        <w:t xml:space="preserve"> </w:t>
      </w:r>
      <w:r>
        <w:t>PL</w:t>
      </w:r>
      <w:r>
        <w:rPr>
          <w:spacing w:val="-3"/>
        </w:rPr>
        <w:t xml:space="preserve"> </w:t>
      </w:r>
      <w:r>
        <w:t>foi</w:t>
      </w:r>
      <w:r>
        <w:rPr>
          <w:spacing w:val="-2"/>
        </w:rPr>
        <w:t xml:space="preserve"> </w:t>
      </w:r>
      <w:r>
        <w:t>pensado</w:t>
      </w:r>
      <w:r>
        <w:rPr>
          <w:spacing w:val="-2"/>
        </w:rPr>
        <w:t xml:space="preserve"> </w:t>
      </w:r>
      <w:r>
        <w:t>como</w:t>
      </w:r>
      <w:r>
        <w:rPr>
          <w:spacing w:val="-2"/>
        </w:rPr>
        <w:t xml:space="preserve"> </w:t>
      </w:r>
      <w:r>
        <w:t>ferramenta</w:t>
      </w:r>
      <w:r>
        <w:rPr>
          <w:spacing w:val="-3"/>
        </w:rPr>
        <w:t xml:space="preserve"> </w:t>
      </w:r>
      <w:r>
        <w:t>de</w:t>
      </w:r>
      <w:r>
        <w:rPr>
          <w:spacing w:val="-1"/>
        </w:rPr>
        <w:t xml:space="preserve"> </w:t>
      </w:r>
      <w:r>
        <w:t>reparação,</w:t>
      </w:r>
      <w:r>
        <w:rPr>
          <w:spacing w:val="-2"/>
        </w:rPr>
        <w:t xml:space="preserve"> </w:t>
      </w:r>
      <w:r>
        <w:t>do</w:t>
      </w:r>
      <w:r>
        <w:rPr>
          <w:spacing w:val="-2"/>
        </w:rPr>
        <w:t xml:space="preserve"> </w:t>
      </w:r>
      <w:r>
        <w:t>ponto de vista jurídico, para as mazelas deixadas pela escravidão, pois, se ela foi importante instituto jurídico que formou as bases sociais e culturais do Brasil, contando com um complexo normativo que lhe conferia legitimidade, também deve ser pela via jurídica - embora não exclusivamente - que a reparação deve ocorrer.</w:t>
      </w:r>
    </w:p>
    <w:p w:rsidR="007259F2" w:rsidRDefault="00E655B4">
      <w:pPr>
        <w:pStyle w:val="Corpodetexto"/>
        <w:ind w:right="571"/>
      </w:pPr>
      <w:r>
        <w:t>Após apresentado o PL passou pela Comissão de Educação, Cultura e Desporto que em</w:t>
      </w:r>
      <w:r>
        <w:rPr>
          <w:spacing w:val="-1"/>
        </w:rPr>
        <w:t xml:space="preserve"> </w:t>
      </w:r>
      <w:r>
        <w:t>17</w:t>
      </w:r>
      <w:r>
        <w:rPr>
          <w:spacing w:val="-1"/>
        </w:rPr>
        <w:t xml:space="preserve"> </w:t>
      </w:r>
      <w:r>
        <w:t>de</w:t>
      </w:r>
      <w:r>
        <w:rPr>
          <w:spacing w:val="-2"/>
        </w:rPr>
        <w:t xml:space="preserve"> </w:t>
      </w:r>
      <w:r>
        <w:t>agosto</w:t>
      </w:r>
      <w:r>
        <w:rPr>
          <w:spacing w:val="-1"/>
        </w:rPr>
        <w:t xml:space="preserve"> </w:t>
      </w:r>
      <w:r>
        <w:t>de</w:t>
      </w:r>
      <w:r>
        <w:rPr>
          <w:spacing w:val="-2"/>
        </w:rPr>
        <w:t xml:space="preserve"> </w:t>
      </w:r>
      <w:r>
        <w:t>1999 apresentou aprovação</w:t>
      </w:r>
      <w:r>
        <w:rPr>
          <w:spacing w:val="-1"/>
        </w:rPr>
        <w:t xml:space="preserve"> </w:t>
      </w:r>
      <w:r>
        <w:t>unânime</w:t>
      </w:r>
      <w:r>
        <w:rPr>
          <w:spacing w:val="-2"/>
        </w:rPr>
        <w:t xml:space="preserve"> </w:t>
      </w:r>
      <w:r>
        <w:t>do</w:t>
      </w:r>
      <w:r>
        <w:rPr>
          <w:spacing w:val="-1"/>
        </w:rPr>
        <w:t xml:space="preserve"> </w:t>
      </w:r>
      <w:r>
        <w:t>parecer</w:t>
      </w:r>
      <w:r>
        <w:rPr>
          <w:spacing w:val="-2"/>
        </w:rPr>
        <w:t xml:space="preserve"> </w:t>
      </w:r>
      <w:r>
        <w:t>favorável</w:t>
      </w:r>
      <w:r>
        <w:rPr>
          <w:spacing w:val="-1"/>
        </w:rPr>
        <w:t xml:space="preserve"> </w:t>
      </w:r>
      <w:r>
        <w:t>do</w:t>
      </w:r>
      <w:r>
        <w:rPr>
          <w:spacing w:val="-1"/>
        </w:rPr>
        <w:t xml:space="preserve"> </w:t>
      </w:r>
      <w:r>
        <w:t>relator.</w:t>
      </w:r>
      <w:r>
        <w:rPr>
          <w:spacing w:val="-2"/>
        </w:rPr>
        <w:t xml:space="preserve"> </w:t>
      </w:r>
      <w:r>
        <w:t>Em seguida, foi encaminhado para a Comissão de Constituição e Justiça e Cidadania (CCJC) na qual passou por</w:t>
      </w:r>
      <w:r>
        <w:rPr>
          <w:spacing w:val="-1"/>
        </w:rPr>
        <w:t xml:space="preserve"> </w:t>
      </w:r>
      <w:r>
        <w:t>uma análise</w:t>
      </w:r>
      <w:r>
        <w:rPr>
          <w:spacing w:val="-1"/>
        </w:rPr>
        <w:t xml:space="preserve"> </w:t>
      </w:r>
      <w:r>
        <w:t>sobre a constitucionalidade, juridicidade</w:t>
      </w:r>
      <w:r>
        <w:rPr>
          <w:spacing w:val="-1"/>
        </w:rPr>
        <w:t xml:space="preserve"> </w:t>
      </w:r>
      <w:r>
        <w:t>e técnica</w:t>
      </w:r>
      <w:r>
        <w:rPr>
          <w:spacing w:val="-2"/>
        </w:rPr>
        <w:t xml:space="preserve"> </w:t>
      </w:r>
      <w:r>
        <w:t>legislativa</w:t>
      </w:r>
      <w:r>
        <w:rPr>
          <w:spacing w:val="-1"/>
        </w:rPr>
        <w:t xml:space="preserve"> </w:t>
      </w:r>
      <w:r>
        <w:t>da proposição, sendo que em reunião ordinária realizada em 20 de maio de 2000 a comissão</w:t>
      </w:r>
      <w:r>
        <w:rPr>
          <w:spacing w:val="40"/>
        </w:rPr>
        <w:t xml:space="preserve"> </w:t>
      </w:r>
      <w:r>
        <w:t>se manifestou, de forma unânime, pela constitucionalidade do projeto que seguiu para elaboração da Redação Final.</w:t>
      </w:r>
    </w:p>
    <w:p w:rsidR="007259F2" w:rsidRDefault="00E655B4">
      <w:pPr>
        <w:pStyle w:val="Corpodetexto"/>
        <w:ind w:left="1418" w:firstLine="0"/>
      </w:pPr>
      <w:r>
        <w:t>O</w:t>
      </w:r>
      <w:r>
        <w:rPr>
          <w:spacing w:val="1"/>
        </w:rPr>
        <w:t xml:space="preserve"> </w:t>
      </w:r>
      <w:r>
        <w:t>PL</w:t>
      </w:r>
      <w:r>
        <w:rPr>
          <w:spacing w:val="-2"/>
        </w:rPr>
        <w:t xml:space="preserve"> </w:t>
      </w:r>
      <w:r>
        <w:t>também</w:t>
      </w:r>
      <w:r>
        <w:rPr>
          <w:spacing w:val="4"/>
        </w:rPr>
        <w:t xml:space="preserve"> </w:t>
      </w:r>
      <w:r>
        <w:t>passou</w:t>
      </w:r>
      <w:r>
        <w:rPr>
          <w:spacing w:val="4"/>
        </w:rPr>
        <w:t xml:space="preserve"> </w:t>
      </w:r>
      <w:r>
        <w:t>pelo</w:t>
      </w:r>
      <w:r>
        <w:rPr>
          <w:spacing w:val="4"/>
        </w:rPr>
        <w:t xml:space="preserve"> </w:t>
      </w:r>
      <w:r>
        <w:t>Senado</w:t>
      </w:r>
      <w:r>
        <w:rPr>
          <w:spacing w:val="3"/>
        </w:rPr>
        <w:t xml:space="preserve"> </w:t>
      </w:r>
      <w:r>
        <w:t>Federal</w:t>
      </w:r>
      <w:r>
        <w:rPr>
          <w:spacing w:val="4"/>
        </w:rPr>
        <w:t xml:space="preserve"> </w:t>
      </w:r>
      <w:r>
        <w:t>que,</w:t>
      </w:r>
      <w:r>
        <w:rPr>
          <w:spacing w:val="3"/>
        </w:rPr>
        <w:t xml:space="preserve"> </w:t>
      </w:r>
      <w:r>
        <w:t>nesse</w:t>
      </w:r>
      <w:r>
        <w:rPr>
          <w:spacing w:val="3"/>
        </w:rPr>
        <w:t xml:space="preserve"> </w:t>
      </w:r>
      <w:r>
        <w:t>caso,</w:t>
      </w:r>
      <w:r>
        <w:rPr>
          <w:spacing w:val="3"/>
        </w:rPr>
        <w:t xml:space="preserve"> </w:t>
      </w:r>
      <w:r>
        <w:t>atuou</w:t>
      </w:r>
      <w:r>
        <w:rPr>
          <w:spacing w:val="4"/>
        </w:rPr>
        <w:t xml:space="preserve"> </w:t>
      </w:r>
      <w:r>
        <w:t>como</w:t>
      </w:r>
      <w:r>
        <w:rPr>
          <w:spacing w:val="4"/>
        </w:rPr>
        <w:t xml:space="preserve"> </w:t>
      </w:r>
      <w:r>
        <w:t>casa</w:t>
      </w:r>
      <w:r>
        <w:rPr>
          <w:spacing w:val="3"/>
        </w:rPr>
        <w:t xml:space="preserve"> </w:t>
      </w:r>
      <w:r>
        <w:rPr>
          <w:spacing w:val="-2"/>
        </w:rPr>
        <w:t>revisora</w:t>
      </w:r>
    </w:p>
    <w:p w:rsidR="007259F2" w:rsidRDefault="00E655B4">
      <w:pPr>
        <w:pStyle w:val="Corpodetexto"/>
        <w:ind w:right="568" w:firstLine="0"/>
      </w:pPr>
      <w:r>
        <w:t>- visto que a iniciativa se deu no Câmara do Deputados que atuou como casa iniciadora - e pela coordenação legislativa do congresso, subsecretaria de ata e pelo serviço de apoio comissões mistas. Encerrados os trâmites em cada uma das casas legislativas, o projeto foi transformado na lei n.º 10.639/03 promulgada em 09 de janeiro de 2003 que assim dispõe:</w:t>
      </w:r>
    </w:p>
    <w:p w:rsidR="007259F2" w:rsidRDefault="00DE6B1C">
      <w:pPr>
        <w:spacing w:before="121"/>
        <w:ind w:left="2978" w:right="423"/>
        <w:jc w:val="both"/>
        <w:rPr>
          <w:sz w:val="20"/>
        </w:rPr>
      </w:pPr>
      <w:r w:rsidRPr="00DE6B1C">
        <w:rPr>
          <w:sz w:val="20"/>
        </w:rPr>
        <w:pict>
          <v:rect id="docshape102" o:spid="_x0000_s1126" style="position:absolute;left:0;text-align:left;margin-left:222.1pt;margin-top:12.8pt;width:3.35pt;height:.25pt;z-index:15771648;mso-position-horizontal-relative:page" fillcolor="black" stroked="f">
            <w10:wrap anchorx="page"/>
          </v:rect>
        </w:pict>
      </w:r>
      <w:r w:rsidRPr="00DE6B1C">
        <w:rPr>
          <w:sz w:val="20"/>
        </w:rPr>
        <w:pict>
          <v:rect id="docshape103" o:spid="_x0000_s1125" style="position:absolute;left:0;text-align:left;margin-left:259.8pt;margin-top:12.8pt;width:3.1pt;height:.7pt;z-index:15772160;mso-position-horizontal-relative:page" fillcolor="black" stroked="f">
            <w10:wrap anchorx="page"/>
          </v:rect>
        </w:pict>
      </w:r>
      <w:hyperlink r:id="rId143" w:anchor="art26a">
        <w:r w:rsidR="00E655B4">
          <w:rPr>
            <w:sz w:val="20"/>
          </w:rPr>
          <w:t>Art. 1</w:t>
        </w:r>
        <w:r w:rsidR="00E655B4">
          <w:rPr>
            <w:sz w:val="20"/>
            <w:vertAlign w:val="superscript"/>
          </w:rPr>
          <w:t>o</w:t>
        </w:r>
        <w:r w:rsidR="00E655B4">
          <w:rPr>
            <w:sz w:val="20"/>
          </w:rPr>
          <w:t xml:space="preserve"> </w:t>
        </w:r>
        <w:r w:rsidR="00E655B4">
          <w:rPr>
            <w:b/>
            <w:sz w:val="20"/>
          </w:rPr>
          <w:t>A Lei n</w:t>
        </w:r>
        <w:r w:rsidR="00E655B4">
          <w:rPr>
            <w:b/>
            <w:sz w:val="20"/>
            <w:vertAlign w:val="superscript"/>
          </w:rPr>
          <w:t>o</w:t>
        </w:r>
        <w:r w:rsidR="00E655B4">
          <w:rPr>
            <w:b/>
            <w:spacing w:val="-2"/>
            <w:sz w:val="20"/>
          </w:rPr>
          <w:t xml:space="preserve"> </w:t>
        </w:r>
        <w:r w:rsidR="00E655B4">
          <w:rPr>
            <w:b/>
            <w:sz w:val="20"/>
          </w:rPr>
          <w:t>9.394, de 20</w:t>
        </w:r>
        <w:r w:rsidR="00E655B4">
          <w:rPr>
            <w:b/>
            <w:spacing w:val="-1"/>
            <w:sz w:val="20"/>
          </w:rPr>
          <w:t xml:space="preserve"> </w:t>
        </w:r>
        <w:r w:rsidR="00E655B4">
          <w:rPr>
            <w:b/>
            <w:sz w:val="20"/>
          </w:rPr>
          <w:t>de dezembro de 1996, passa a vigorar acrescida dos</w:t>
        </w:r>
      </w:hyperlink>
      <w:r w:rsidR="00E655B4">
        <w:rPr>
          <w:b/>
          <w:sz w:val="20"/>
        </w:rPr>
        <w:t xml:space="preserve"> </w:t>
      </w:r>
      <w:hyperlink r:id="rId144" w:anchor="art26a">
        <w:r w:rsidR="00E655B4">
          <w:rPr>
            <w:b/>
            <w:sz w:val="20"/>
          </w:rPr>
          <w:t>seguintes arts. 26-A</w:t>
        </w:r>
        <w:r w:rsidR="00E655B4">
          <w:rPr>
            <w:sz w:val="20"/>
          </w:rPr>
          <w:t>, 79-A e 79-B:</w:t>
        </w:r>
      </w:hyperlink>
    </w:p>
    <w:p w:rsidR="007259F2" w:rsidRDefault="00DE6B1C">
      <w:pPr>
        <w:spacing w:before="1"/>
        <w:ind w:left="2978"/>
        <w:jc w:val="both"/>
        <w:rPr>
          <w:b/>
          <w:sz w:val="20"/>
        </w:rPr>
      </w:pPr>
      <w:hyperlink r:id="rId145" w:anchor="art26a">
        <w:r w:rsidR="00E655B4">
          <w:rPr>
            <w:sz w:val="20"/>
          </w:rPr>
          <w:t>Art.</w:t>
        </w:r>
        <w:r w:rsidR="00E655B4">
          <w:rPr>
            <w:spacing w:val="62"/>
            <w:sz w:val="20"/>
          </w:rPr>
          <w:t xml:space="preserve"> </w:t>
        </w:r>
        <w:r w:rsidR="00E655B4">
          <w:rPr>
            <w:sz w:val="20"/>
          </w:rPr>
          <w:t>26-A.</w:t>
        </w:r>
      </w:hyperlink>
      <w:r w:rsidR="00E655B4">
        <w:rPr>
          <w:spacing w:val="66"/>
          <w:sz w:val="20"/>
        </w:rPr>
        <w:t xml:space="preserve"> </w:t>
      </w:r>
      <w:r w:rsidR="00E655B4">
        <w:rPr>
          <w:sz w:val="20"/>
        </w:rPr>
        <w:t>Nos</w:t>
      </w:r>
      <w:r w:rsidR="00E655B4">
        <w:rPr>
          <w:spacing w:val="62"/>
          <w:sz w:val="20"/>
        </w:rPr>
        <w:t xml:space="preserve"> </w:t>
      </w:r>
      <w:r w:rsidR="00E655B4">
        <w:rPr>
          <w:sz w:val="20"/>
        </w:rPr>
        <w:t>estabelecimentos</w:t>
      </w:r>
      <w:r w:rsidR="00E655B4">
        <w:rPr>
          <w:spacing w:val="63"/>
          <w:sz w:val="20"/>
        </w:rPr>
        <w:t xml:space="preserve"> </w:t>
      </w:r>
      <w:r w:rsidR="00E655B4">
        <w:rPr>
          <w:sz w:val="20"/>
        </w:rPr>
        <w:t>de</w:t>
      </w:r>
      <w:r w:rsidR="00E655B4">
        <w:rPr>
          <w:spacing w:val="61"/>
          <w:sz w:val="20"/>
        </w:rPr>
        <w:t xml:space="preserve"> </w:t>
      </w:r>
      <w:r w:rsidR="00E655B4">
        <w:rPr>
          <w:b/>
          <w:sz w:val="20"/>
        </w:rPr>
        <w:t>ensino</w:t>
      </w:r>
      <w:r w:rsidR="00E655B4">
        <w:rPr>
          <w:b/>
          <w:spacing w:val="66"/>
          <w:sz w:val="20"/>
        </w:rPr>
        <w:t xml:space="preserve"> </w:t>
      </w:r>
      <w:r w:rsidR="00E655B4">
        <w:rPr>
          <w:b/>
          <w:sz w:val="20"/>
        </w:rPr>
        <w:t>fundamental</w:t>
      </w:r>
      <w:r w:rsidR="00E655B4">
        <w:rPr>
          <w:b/>
          <w:spacing w:val="63"/>
          <w:sz w:val="20"/>
        </w:rPr>
        <w:t xml:space="preserve"> </w:t>
      </w:r>
      <w:r w:rsidR="00E655B4">
        <w:rPr>
          <w:b/>
          <w:sz w:val="20"/>
        </w:rPr>
        <w:t>e</w:t>
      </w:r>
      <w:r w:rsidR="00E655B4">
        <w:rPr>
          <w:b/>
          <w:spacing w:val="60"/>
          <w:sz w:val="20"/>
        </w:rPr>
        <w:t xml:space="preserve"> </w:t>
      </w:r>
      <w:r w:rsidR="00E655B4">
        <w:rPr>
          <w:b/>
          <w:sz w:val="20"/>
        </w:rPr>
        <w:t>médio,</w:t>
      </w:r>
      <w:r w:rsidR="00E655B4">
        <w:rPr>
          <w:b/>
          <w:spacing w:val="62"/>
          <w:sz w:val="20"/>
        </w:rPr>
        <w:t xml:space="preserve"> </w:t>
      </w:r>
      <w:r w:rsidR="00E655B4">
        <w:rPr>
          <w:b/>
          <w:sz w:val="20"/>
        </w:rPr>
        <w:t>oficiais</w:t>
      </w:r>
      <w:r w:rsidR="00E655B4">
        <w:rPr>
          <w:b/>
          <w:spacing w:val="60"/>
          <w:sz w:val="20"/>
        </w:rPr>
        <w:t xml:space="preserve"> </w:t>
      </w:r>
      <w:r w:rsidR="00E655B4">
        <w:rPr>
          <w:b/>
          <w:spacing w:val="-10"/>
          <w:sz w:val="20"/>
        </w:rPr>
        <w:t>e</w:t>
      </w:r>
    </w:p>
    <w:p w:rsidR="007259F2" w:rsidRDefault="007259F2">
      <w:pPr>
        <w:jc w:val="both"/>
        <w:rPr>
          <w:b/>
          <w:sz w:val="20"/>
        </w:rPr>
        <w:sectPr w:rsidR="007259F2">
          <w:pgSz w:w="11910" w:h="16840"/>
          <w:pgMar w:top="1600" w:right="708" w:bottom="1020" w:left="992" w:header="0" w:footer="820" w:gutter="0"/>
          <w:cols w:space="720"/>
        </w:sectPr>
      </w:pPr>
    </w:p>
    <w:p w:rsidR="007259F2" w:rsidRDefault="00E655B4">
      <w:pPr>
        <w:spacing w:before="61"/>
        <w:ind w:left="2978" w:right="419"/>
        <w:jc w:val="both"/>
        <w:rPr>
          <w:b/>
          <w:sz w:val="20"/>
        </w:rPr>
      </w:pPr>
      <w:r>
        <w:rPr>
          <w:b/>
          <w:sz w:val="20"/>
        </w:rPr>
        <w:lastRenderedPageBreak/>
        <w:t xml:space="preserve">particulares, torna-se obrigatório o ensino sobre História e Cultura Afro- </w:t>
      </w:r>
      <w:r>
        <w:rPr>
          <w:b/>
          <w:spacing w:val="-2"/>
          <w:sz w:val="20"/>
        </w:rPr>
        <w:t>Brasileira.</w:t>
      </w:r>
    </w:p>
    <w:p w:rsidR="007259F2" w:rsidRDefault="00E655B4">
      <w:pPr>
        <w:spacing w:line="242" w:lineRule="auto"/>
        <w:ind w:left="2978" w:right="422"/>
        <w:jc w:val="both"/>
        <w:rPr>
          <w:b/>
          <w:sz w:val="20"/>
        </w:rPr>
      </w:pPr>
      <w:r>
        <w:rPr>
          <w:sz w:val="20"/>
        </w:rPr>
        <w:t xml:space="preserve">§ 1o O conteúdo programático a que se refere o caput deste artigo incluirá o estudo da </w:t>
      </w:r>
      <w:r>
        <w:rPr>
          <w:b/>
          <w:sz w:val="20"/>
        </w:rPr>
        <w:t>História da África e dos Africanos, a luta dos negros no Brasil, a cultura negra brasileira e o negro na formação da sociedade nacional, resgatando a contribuição do povo negro nas áreas social, econômica e política pertinentes à História do Brasil.</w:t>
      </w:r>
    </w:p>
    <w:p w:rsidR="007259F2" w:rsidRDefault="00E655B4">
      <w:pPr>
        <w:ind w:left="2978" w:right="420"/>
        <w:jc w:val="both"/>
        <w:rPr>
          <w:sz w:val="20"/>
        </w:rPr>
      </w:pPr>
      <w:r>
        <w:rPr>
          <w:sz w:val="20"/>
        </w:rPr>
        <w:t xml:space="preserve">§ 2o Os conteúdos referentes à História e Cultura Afro-Brasileira serão ministrados no âmbito de </w:t>
      </w:r>
      <w:r>
        <w:rPr>
          <w:b/>
          <w:sz w:val="20"/>
        </w:rPr>
        <w:t>todo o currículo escolar, em especial nas áreas de Educação Artística e de Literatura e História Brasileiras</w:t>
      </w:r>
      <w:r>
        <w:rPr>
          <w:sz w:val="20"/>
        </w:rPr>
        <w:t>.</w:t>
      </w:r>
    </w:p>
    <w:p w:rsidR="007259F2" w:rsidRDefault="00E655B4">
      <w:pPr>
        <w:ind w:left="2978" w:right="431"/>
        <w:jc w:val="both"/>
        <w:rPr>
          <w:sz w:val="20"/>
        </w:rPr>
      </w:pPr>
      <w:r>
        <w:rPr>
          <w:sz w:val="20"/>
        </w:rPr>
        <w:t>[...] Art. 79-B. O calendário escolar incluirá o dia 20 de novembro como ‘Dia Nacional da Consciência Negra’.</w:t>
      </w:r>
    </w:p>
    <w:p w:rsidR="007259F2" w:rsidRDefault="00E655B4">
      <w:pPr>
        <w:ind w:left="2978" w:right="423"/>
        <w:jc w:val="both"/>
        <w:rPr>
          <w:sz w:val="20"/>
        </w:rPr>
      </w:pPr>
      <w:r>
        <w:rPr>
          <w:sz w:val="20"/>
        </w:rPr>
        <w:t xml:space="preserve">Art. 2o Esta Lei entra em vigor na data de sua publicação.(BRASIL, 2003, grifo da </w:t>
      </w:r>
      <w:r>
        <w:rPr>
          <w:spacing w:val="-2"/>
          <w:sz w:val="20"/>
        </w:rPr>
        <w:t>autora)</w:t>
      </w:r>
    </w:p>
    <w:p w:rsidR="007259F2" w:rsidRDefault="007259F2">
      <w:pPr>
        <w:pStyle w:val="Corpodetexto"/>
        <w:spacing w:before="33"/>
        <w:ind w:left="0" w:firstLine="0"/>
        <w:jc w:val="left"/>
        <w:rPr>
          <w:sz w:val="20"/>
        </w:rPr>
      </w:pPr>
    </w:p>
    <w:p w:rsidR="007259F2" w:rsidRDefault="00E655B4">
      <w:pPr>
        <w:pStyle w:val="Corpodetexto"/>
        <w:ind w:right="571"/>
      </w:pPr>
      <w:r>
        <w:t>Ressalta-se que no ano de 2008 houve alteração feita pela lei n.º 11.645/2008 acrescentando a obrigatoriedade do ensino da história e cultura dos povos indígenas que, embora não seja o foco deste estudo, demonstra a busca pela valorização de outros saberes para além dos conhecimentos eurocêntricos.</w:t>
      </w:r>
    </w:p>
    <w:p w:rsidR="007259F2" w:rsidRDefault="00E655B4">
      <w:pPr>
        <w:pStyle w:val="Heading2"/>
        <w:numPr>
          <w:ilvl w:val="0"/>
          <w:numId w:val="28"/>
        </w:numPr>
        <w:tabs>
          <w:tab w:val="left" w:pos="1093"/>
        </w:tabs>
        <w:spacing w:before="206"/>
        <w:ind w:left="1093" w:hanging="244"/>
        <w:jc w:val="both"/>
      </w:pPr>
      <w:r>
        <w:t>Regime</w:t>
      </w:r>
      <w:r>
        <w:rPr>
          <w:spacing w:val="-5"/>
        </w:rPr>
        <w:t xml:space="preserve"> </w:t>
      </w:r>
      <w:r>
        <w:rPr>
          <w:spacing w:val="-2"/>
        </w:rPr>
        <w:t>jurídico</w:t>
      </w:r>
    </w:p>
    <w:p w:rsidR="007259F2" w:rsidRDefault="00E655B4">
      <w:pPr>
        <w:pStyle w:val="Corpodetexto"/>
        <w:spacing w:before="195"/>
        <w:ind w:right="568"/>
      </w:pPr>
      <w:r>
        <w:t>Denomina-se "regime jurídico" o conjunto de normas (em sentido amplo) que dispõe sobre determinado ramo do direito, sujeito, bem ou atividade, assim, o estudo do regime jurídico e das ações destinadas à educação antirracista, promovida especialmente pela lei n.º 10.639/03, consiste em indicar e analisar quais os princípios e demais normas jurídicas pertinentes e indispensáveis para compreender em qual cenário jurídico-normativo a educação antirracista está inserida.</w:t>
      </w:r>
    </w:p>
    <w:p w:rsidR="007259F2" w:rsidRDefault="00E655B4">
      <w:pPr>
        <w:pStyle w:val="Heading2"/>
        <w:numPr>
          <w:ilvl w:val="1"/>
          <w:numId w:val="28"/>
        </w:numPr>
        <w:tabs>
          <w:tab w:val="left" w:pos="1271"/>
        </w:tabs>
        <w:spacing w:before="204"/>
        <w:ind w:hanging="422"/>
        <w:jc w:val="both"/>
      </w:pPr>
      <w:r>
        <w:t>Constituição</w:t>
      </w:r>
      <w:r>
        <w:rPr>
          <w:spacing w:val="-4"/>
        </w:rPr>
        <w:t xml:space="preserve"> </w:t>
      </w:r>
      <w:r>
        <w:rPr>
          <w:spacing w:val="-2"/>
        </w:rPr>
        <w:t>Federal</w:t>
      </w:r>
    </w:p>
    <w:p w:rsidR="007259F2" w:rsidRDefault="00E655B4">
      <w:pPr>
        <w:pStyle w:val="Corpodetexto"/>
        <w:spacing w:before="113"/>
        <w:ind w:right="568"/>
      </w:pPr>
      <w:r>
        <w:t>A Constituição da República Federativa do Brasil, promulgada em 1988, é a norma jurídica fundamental do Estado brasileiro, assim, todas as demais normas devem com ela guardar relação sendo esse o seu fundamento de validade. A lei n.º 10.639/03 está</w:t>
      </w:r>
      <w:r>
        <w:rPr>
          <w:spacing w:val="40"/>
        </w:rPr>
        <w:t xml:space="preserve"> </w:t>
      </w:r>
      <w:r>
        <w:t>alinhada aos princípios e disposições constitucionais, na medida em que atende ao princípio</w:t>
      </w:r>
      <w:r>
        <w:rPr>
          <w:spacing w:val="40"/>
        </w:rPr>
        <w:t xml:space="preserve"> </w:t>
      </w:r>
      <w:r>
        <w:t>da dignidade humana e promove o direito à educação fundamentado na igualdade e no</w:t>
      </w:r>
      <w:r>
        <w:rPr>
          <w:spacing w:val="40"/>
        </w:rPr>
        <w:t xml:space="preserve"> </w:t>
      </w:r>
      <w:r>
        <w:t>repúdio ao racismo.</w:t>
      </w:r>
    </w:p>
    <w:p w:rsidR="007259F2" w:rsidRDefault="00E655B4">
      <w:pPr>
        <w:ind w:left="710" w:right="560" w:firstLine="707"/>
        <w:jc w:val="both"/>
        <w:rPr>
          <w:sz w:val="24"/>
        </w:rPr>
      </w:pPr>
      <w:r>
        <w:rPr>
          <w:sz w:val="24"/>
        </w:rPr>
        <w:t xml:space="preserve">A dignidade humana é fundamento da República Federativa do Brasil conforme o </w:t>
      </w:r>
      <w:r>
        <w:rPr>
          <w:b/>
          <w:sz w:val="24"/>
        </w:rPr>
        <w:t>art. 1º, III da CF</w:t>
      </w:r>
      <w:r>
        <w:rPr>
          <w:sz w:val="24"/>
        </w:rPr>
        <w:t>: “</w:t>
      </w:r>
      <w:r>
        <w:rPr>
          <w:i/>
          <w:sz w:val="24"/>
        </w:rPr>
        <w:t>A República Federativa do Brasil, formada pela união indissolúvel dos Estados e Municípios e do Distrito Federal, constitui-se em Estado Democrático de Direito</w:t>
      </w:r>
      <w:r>
        <w:rPr>
          <w:i/>
          <w:spacing w:val="40"/>
          <w:sz w:val="24"/>
        </w:rPr>
        <w:t xml:space="preserve"> </w:t>
      </w:r>
      <w:r>
        <w:rPr>
          <w:i/>
          <w:sz w:val="24"/>
        </w:rPr>
        <w:t>e tem como fundamentos: III - a dignidade da pessoa humana</w:t>
      </w:r>
      <w:r>
        <w:rPr>
          <w:sz w:val="24"/>
        </w:rPr>
        <w:t>;”. Na</w:t>
      </w:r>
      <w:r>
        <w:rPr>
          <w:spacing w:val="40"/>
          <w:sz w:val="24"/>
        </w:rPr>
        <w:t xml:space="preserve"> </w:t>
      </w:r>
      <w:r>
        <w:rPr>
          <w:sz w:val="24"/>
        </w:rPr>
        <w:t>condição</w:t>
      </w:r>
      <w:r>
        <w:rPr>
          <w:spacing w:val="40"/>
          <w:sz w:val="24"/>
        </w:rPr>
        <w:t xml:space="preserve"> </w:t>
      </w:r>
      <w:r>
        <w:rPr>
          <w:sz w:val="24"/>
        </w:rPr>
        <w:t>de fundamento da República e também de um princípio do Direito, a dignidade humana norteia toda a ação</w:t>
      </w:r>
      <w:r>
        <w:rPr>
          <w:spacing w:val="40"/>
          <w:sz w:val="24"/>
        </w:rPr>
        <w:t xml:space="preserve"> </w:t>
      </w:r>
      <w:r>
        <w:rPr>
          <w:sz w:val="24"/>
        </w:rPr>
        <w:t>do Estado que terá de considerá-la e garanti-la tanto em seu modo de atuação</w:t>
      </w:r>
      <w:r>
        <w:rPr>
          <w:spacing w:val="80"/>
          <w:sz w:val="24"/>
        </w:rPr>
        <w:t xml:space="preserve"> </w:t>
      </w:r>
      <w:r>
        <w:rPr>
          <w:sz w:val="24"/>
        </w:rPr>
        <w:t>em relação aos cidadãos quanto para desenvolver políticas públicas. Dessa maneira, nota-se que é intrínseca a relação entre a dignidade humana e a Lei n.º 10.639/03 na medida em</w:t>
      </w:r>
      <w:r>
        <w:rPr>
          <w:spacing w:val="-1"/>
          <w:sz w:val="24"/>
        </w:rPr>
        <w:t xml:space="preserve"> </w:t>
      </w:r>
      <w:r>
        <w:rPr>
          <w:sz w:val="24"/>
        </w:rPr>
        <w:t>que esta busca valorizar e preservar a dignidade dos povos africanos e afro-brasileiros, e aquela está comprometida com reconhecimento e com o respeito à diversidade cultural, além de incluir a valorização da identidade de todos os os povos e indivíduos.</w:t>
      </w:r>
    </w:p>
    <w:p w:rsidR="007259F2" w:rsidRDefault="00E655B4">
      <w:pPr>
        <w:spacing w:before="1"/>
        <w:ind w:left="710" w:right="567" w:firstLine="707"/>
        <w:jc w:val="both"/>
        <w:rPr>
          <w:sz w:val="24"/>
        </w:rPr>
      </w:pPr>
      <w:r>
        <w:rPr>
          <w:sz w:val="24"/>
        </w:rPr>
        <w:t xml:space="preserve">O princípio da igualdade, consagrado no caput do </w:t>
      </w:r>
      <w:r>
        <w:rPr>
          <w:b/>
          <w:sz w:val="24"/>
        </w:rPr>
        <w:t>art. 5º da Constituição Federal</w:t>
      </w:r>
      <w:r>
        <w:rPr>
          <w:sz w:val="24"/>
        </w:rPr>
        <w:t>, que estabelece que “</w:t>
      </w:r>
      <w:r>
        <w:rPr>
          <w:i/>
          <w:sz w:val="24"/>
        </w:rPr>
        <w:t>Todos são iguais perante a lei, sem distinção de qualquer natureza, garantindo-se aos brasileiros e aos estrangeiros residentes no País a inviolabilidade do direito à vida, à liberdade, à igualdade, à segurança e à propriedade</w:t>
      </w:r>
      <w:r>
        <w:rPr>
          <w:i/>
          <w:spacing w:val="40"/>
          <w:sz w:val="24"/>
        </w:rPr>
        <w:t xml:space="preserve"> </w:t>
      </w:r>
      <w:r>
        <w:rPr>
          <w:sz w:val="24"/>
        </w:rPr>
        <w:t>[...]”. Reafirmado por vários outros dispositivos constitucionais, também atua como fundamento jurídico da lei n.º 10.639/03</w:t>
      </w:r>
      <w:r>
        <w:rPr>
          <w:spacing w:val="11"/>
          <w:sz w:val="24"/>
        </w:rPr>
        <w:t xml:space="preserve"> </w:t>
      </w:r>
      <w:r>
        <w:rPr>
          <w:sz w:val="24"/>
        </w:rPr>
        <w:t>estando</w:t>
      </w:r>
      <w:r>
        <w:rPr>
          <w:spacing w:val="11"/>
          <w:sz w:val="24"/>
        </w:rPr>
        <w:t xml:space="preserve"> </w:t>
      </w:r>
      <w:r>
        <w:rPr>
          <w:sz w:val="24"/>
        </w:rPr>
        <w:t>intrinsecamente</w:t>
      </w:r>
      <w:r>
        <w:rPr>
          <w:spacing w:val="11"/>
          <w:sz w:val="24"/>
        </w:rPr>
        <w:t xml:space="preserve"> </w:t>
      </w:r>
      <w:r>
        <w:rPr>
          <w:sz w:val="24"/>
        </w:rPr>
        <w:t>ligado</w:t>
      </w:r>
      <w:r>
        <w:rPr>
          <w:spacing w:val="11"/>
          <w:sz w:val="24"/>
        </w:rPr>
        <w:t xml:space="preserve"> </w:t>
      </w:r>
      <w:r>
        <w:rPr>
          <w:sz w:val="24"/>
        </w:rPr>
        <w:t>a</w:t>
      </w:r>
      <w:r>
        <w:rPr>
          <w:spacing w:val="11"/>
          <w:sz w:val="24"/>
        </w:rPr>
        <w:t xml:space="preserve"> </w:t>
      </w:r>
      <w:r>
        <w:rPr>
          <w:sz w:val="24"/>
        </w:rPr>
        <w:t>ela,</w:t>
      </w:r>
      <w:r>
        <w:rPr>
          <w:spacing w:val="15"/>
          <w:sz w:val="24"/>
        </w:rPr>
        <w:t xml:space="preserve"> </w:t>
      </w:r>
      <w:r>
        <w:rPr>
          <w:sz w:val="24"/>
        </w:rPr>
        <w:t>visto</w:t>
      </w:r>
      <w:r>
        <w:rPr>
          <w:spacing w:val="11"/>
          <w:sz w:val="24"/>
        </w:rPr>
        <w:t xml:space="preserve"> </w:t>
      </w:r>
      <w:r>
        <w:rPr>
          <w:sz w:val="24"/>
        </w:rPr>
        <w:t>que</w:t>
      </w:r>
      <w:r>
        <w:rPr>
          <w:spacing w:val="15"/>
          <w:sz w:val="24"/>
        </w:rPr>
        <w:t xml:space="preserve"> </w:t>
      </w:r>
      <w:r>
        <w:rPr>
          <w:sz w:val="24"/>
        </w:rPr>
        <w:t>partindo</w:t>
      </w:r>
      <w:r>
        <w:rPr>
          <w:spacing w:val="12"/>
          <w:sz w:val="24"/>
        </w:rPr>
        <w:t xml:space="preserve"> </w:t>
      </w:r>
      <w:r>
        <w:rPr>
          <w:sz w:val="24"/>
        </w:rPr>
        <w:t>do</w:t>
      </w:r>
      <w:r>
        <w:rPr>
          <w:spacing w:val="13"/>
          <w:sz w:val="24"/>
        </w:rPr>
        <w:t xml:space="preserve"> </w:t>
      </w:r>
      <w:r>
        <w:rPr>
          <w:sz w:val="24"/>
        </w:rPr>
        <w:t>ensino</w:t>
      </w:r>
      <w:r>
        <w:rPr>
          <w:spacing w:val="12"/>
          <w:sz w:val="24"/>
        </w:rPr>
        <w:t xml:space="preserve"> </w:t>
      </w:r>
      <w:r>
        <w:rPr>
          <w:sz w:val="24"/>
        </w:rPr>
        <w:t>dos</w:t>
      </w:r>
      <w:r>
        <w:rPr>
          <w:spacing w:val="12"/>
          <w:sz w:val="24"/>
        </w:rPr>
        <w:t xml:space="preserve"> </w:t>
      </w:r>
      <w:r>
        <w:rPr>
          <w:spacing w:val="-2"/>
          <w:sz w:val="24"/>
        </w:rPr>
        <w:t>conteúdos</w:t>
      </w:r>
    </w:p>
    <w:p w:rsidR="007259F2" w:rsidRDefault="007259F2">
      <w:pPr>
        <w:jc w:val="both"/>
        <w:rPr>
          <w:sz w:val="24"/>
        </w:rPr>
        <w:sectPr w:rsidR="007259F2">
          <w:pgSz w:w="11910" w:h="16840"/>
          <w:pgMar w:top="1620" w:right="708" w:bottom="1020" w:left="992" w:header="0" w:footer="820" w:gutter="0"/>
          <w:cols w:space="720"/>
        </w:sectPr>
      </w:pPr>
    </w:p>
    <w:p w:rsidR="007259F2" w:rsidRDefault="00E655B4">
      <w:pPr>
        <w:pStyle w:val="Corpodetexto"/>
        <w:spacing w:before="75"/>
        <w:ind w:right="575" w:firstLine="0"/>
      </w:pPr>
      <w:r>
        <w:lastRenderedPageBreak/>
        <w:t>previstos o que se pretende é, também, a redução das desigualdades históricas ao desconstruir estereótipos e preconceitos que até os dias atuais alicerçam o racismo estrutural no Brasil.</w:t>
      </w:r>
    </w:p>
    <w:p w:rsidR="007259F2" w:rsidRDefault="00E655B4">
      <w:pPr>
        <w:ind w:left="710" w:right="569" w:firstLine="707"/>
        <w:jc w:val="both"/>
        <w:rPr>
          <w:sz w:val="24"/>
        </w:rPr>
      </w:pPr>
      <w:r>
        <w:rPr>
          <w:sz w:val="24"/>
        </w:rPr>
        <w:t xml:space="preserve">O repúdio ao racismo, considerando crime inafiançável, também está consagrado no </w:t>
      </w:r>
      <w:r>
        <w:rPr>
          <w:b/>
          <w:sz w:val="24"/>
        </w:rPr>
        <w:t>art.</w:t>
      </w:r>
      <w:r>
        <w:rPr>
          <w:b/>
          <w:spacing w:val="-2"/>
          <w:sz w:val="24"/>
        </w:rPr>
        <w:t xml:space="preserve"> </w:t>
      </w:r>
      <w:r>
        <w:rPr>
          <w:b/>
          <w:sz w:val="24"/>
        </w:rPr>
        <w:t>5º</w:t>
      </w:r>
      <w:r>
        <w:rPr>
          <w:b/>
          <w:spacing w:val="-1"/>
          <w:sz w:val="24"/>
        </w:rPr>
        <w:t xml:space="preserve"> </w:t>
      </w:r>
      <w:r>
        <w:rPr>
          <w:b/>
          <w:sz w:val="24"/>
        </w:rPr>
        <w:t>da</w:t>
      </w:r>
      <w:r>
        <w:rPr>
          <w:b/>
          <w:spacing w:val="-1"/>
          <w:sz w:val="24"/>
        </w:rPr>
        <w:t xml:space="preserve"> </w:t>
      </w:r>
      <w:r>
        <w:rPr>
          <w:b/>
          <w:sz w:val="24"/>
        </w:rPr>
        <w:t>Constituição</w:t>
      </w:r>
      <w:r>
        <w:rPr>
          <w:sz w:val="24"/>
        </w:rPr>
        <w:t>,</w:t>
      </w:r>
      <w:r>
        <w:rPr>
          <w:spacing w:val="-1"/>
          <w:sz w:val="24"/>
        </w:rPr>
        <w:t xml:space="preserve"> </w:t>
      </w:r>
      <w:r>
        <w:rPr>
          <w:sz w:val="24"/>
        </w:rPr>
        <w:t>mais</w:t>
      </w:r>
      <w:r>
        <w:rPr>
          <w:spacing w:val="-1"/>
          <w:sz w:val="24"/>
        </w:rPr>
        <w:t xml:space="preserve"> </w:t>
      </w:r>
      <w:r>
        <w:rPr>
          <w:sz w:val="24"/>
        </w:rPr>
        <w:t>especificamente</w:t>
      </w:r>
      <w:r>
        <w:rPr>
          <w:spacing w:val="-2"/>
          <w:sz w:val="24"/>
        </w:rPr>
        <w:t xml:space="preserve"> </w:t>
      </w:r>
      <w:r>
        <w:rPr>
          <w:sz w:val="24"/>
        </w:rPr>
        <w:t xml:space="preserve">no </w:t>
      </w:r>
      <w:r>
        <w:rPr>
          <w:b/>
          <w:sz w:val="24"/>
        </w:rPr>
        <w:t>inciso</w:t>
      </w:r>
      <w:r>
        <w:rPr>
          <w:b/>
          <w:spacing w:val="-1"/>
          <w:sz w:val="24"/>
        </w:rPr>
        <w:t xml:space="preserve"> </w:t>
      </w:r>
      <w:r>
        <w:rPr>
          <w:b/>
          <w:sz w:val="24"/>
        </w:rPr>
        <w:t xml:space="preserve">XLII </w:t>
      </w:r>
      <w:r>
        <w:rPr>
          <w:sz w:val="24"/>
        </w:rPr>
        <w:t>que</w:t>
      </w:r>
      <w:r>
        <w:rPr>
          <w:spacing w:val="-2"/>
          <w:sz w:val="24"/>
        </w:rPr>
        <w:t xml:space="preserve"> </w:t>
      </w:r>
      <w:r>
        <w:rPr>
          <w:sz w:val="24"/>
        </w:rPr>
        <w:t>estabelece</w:t>
      </w:r>
      <w:r>
        <w:rPr>
          <w:spacing w:val="-2"/>
          <w:sz w:val="24"/>
        </w:rPr>
        <w:t xml:space="preserve"> </w:t>
      </w:r>
      <w:r>
        <w:rPr>
          <w:sz w:val="24"/>
        </w:rPr>
        <w:t>que</w:t>
      </w:r>
      <w:r>
        <w:rPr>
          <w:spacing w:val="-1"/>
          <w:sz w:val="24"/>
        </w:rPr>
        <w:t xml:space="preserve"> </w:t>
      </w:r>
      <w:r>
        <w:rPr>
          <w:sz w:val="24"/>
        </w:rPr>
        <w:t>“</w:t>
      </w:r>
      <w:r>
        <w:rPr>
          <w:i/>
          <w:sz w:val="24"/>
        </w:rPr>
        <w:t>a</w:t>
      </w:r>
      <w:r>
        <w:rPr>
          <w:i/>
          <w:spacing w:val="-1"/>
          <w:sz w:val="24"/>
        </w:rPr>
        <w:t xml:space="preserve"> </w:t>
      </w:r>
      <w:r>
        <w:rPr>
          <w:i/>
          <w:sz w:val="24"/>
        </w:rPr>
        <w:t>prática do racismo constitui crime inafiançável e imprescritível, sujeito à pena de reclusão, nos termos da lei;</w:t>
      </w:r>
      <w:r>
        <w:rPr>
          <w:sz w:val="24"/>
        </w:rPr>
        <w:t>”</w:t>
      </w:r>
      <w:r>
        <w:rPr>
          <w:i/>
          <w:sz w:val="24"/>
        </w:rPr>
        <w:t xml:space="preserve">. </w:t>
      </w:r>
      <w:r>
        <w:rPr>
          <w:sz w:val="24"/>
        </w:rPr>
        <w:t>Da disposição citada se depreende que a Lei n.º 10.639/03 se harmoniza</w:t>
      </w:r>
      <w:r>
        <w:rPr>
          <w:spacing w:val="40"/>
          <w:sz w:val="24"/>
        </w:rPr>
        <w:t xml:space="preserve"> </w:t>
      </w:r>
      <w:r>
        <w:rPr>
          <w:sz w:val="24"/>
        </w:rPr>
        <w:t>com a Constituição também no que se refere ao repúdio ao racismo, na medida em que pretende combater, desde a base educacional. as manifestações de discriminação racial ao reconhecer e valorizar a contribuição histórica e cultural dos povos negros.</w:t>
      </w:r>
    </w:p>
    <w:p w:rsidR="007259F2" w:rsidRDefault="00E655B4">
      <w:pPr>
        <w:ind w:left="710" w:right="568" w:firstLine="707"/>
        <w:jc w:val="both"/>
        <w:rPr>
          <w:sz w:val="24"/>
        </w:rPr>
      </w:pPr>
      <w:r>
        <w:rPr>
          <w:sz w:val="24"/>
        </w:rPr>
        <w:t xml:space="preserve">Por fim, merece menção </w:t>
      </w:r>
      <w:r>
        <w:rPr>
          <w:b/>
          <w:sz w:val="24"/>
        </w:rPr>
        <w:t xml:space="preserve">o art. 242, §1º da Constituição </w:t>
      </w:r>
      <w:r>
        <w:rPr>
          <w:sz w:val="24"/>
        </w:rPr>
        <w:t xml:space="preserve">por estabelecer que </w:t>
      </w:r>
      <w:r>
        <w:rPr>
          <w:i/>
          <w:sz w:val="24"/>
        </w:rPr>
        <w:t>“o ensino da História do Brasil levará em conta as contribuições das diferentes culturas e etnias para a formação do povo brasileiro</w:t>
      </w:r>
      <w:r>
        <w:rPr>
          <w:sz w:val="24"/>
        </w:rPr>
        <w:t>”, corroborando a ideia de que a pluralidade de contribuições dos diversos povos e culturas que formam o</w:t>
      </w:r>
      <w:r>
        <w:rPr>
          <w:spacing w:val="40"/>
          <w:sz w:val="24"/>
        </w:rPr>
        <w:t xml:space="preserve"> </w:t>
      </w:r>
      <w:r>
        <w:rPr>
          <w:sz w:val="24"/>
        </w:rPr>
        <w:t>Brasil deve ser objeto</w:t>
      </w:r>
      <w:r>
        <w:rPr>
          <w:spacing w:val="40"/>
          <w:sz w:val="24"/>
        </w:rPr>
        <w:t xml:space="preserve"> </w:t>
      </w:r>
      <w:r>
        <w:rPr>
          <w:sz w:val="24"/>
        </w:rPr>
        <w:t>de estudo nas instituições de ensino.</w:t>
      </w:r>
    </w:p>
    <w:p w:rsidR="007259F2" w:rsidRDefault="00E655B4">
      <w:pPr>
        <w:pStyle w:val="Heading2"/>
        <w:numPr>
          <w:ilvl w:val="1"/>
          <w:numId w:val="28"/>
        </w:numPr>
        <w:tabs>
          <w:tab w:val="left" w:pos="1270"/>
        </w:tabs>
        <w:spacing w:before="198"/>
        <w:ind w:left="1270" w:hanging="359"/>
        <w:jc w:val="both"/>
      </w:pPr>
      <w:r>
        <w:t>Parecer</w:t>
      </w:r>
      <w:r>
        <w:rPr>
          <w:spacing w:val="-9"/>
        </w:rPr>
        <w:t xml:space="preserve"> </w:t>
      </w:r>
      <w:r>
        <w:t>n.º</w:t>
      </w:r>
      <w:r>
        <w:rPr>
          <w:spacing w:val="2"/>
        </w:rPr>
        <w:t xml:space="preserve"> </w:t>
      </w:r>
      <w:r>
        <w:t>003/2004</w:t>
      </w:r>
      <w:r>
        <w:rPr>
          <w:spacing w:val="-5"/>
        </w:rPr>
        <w:t xml:space="preserve"> </w:t>
      </w:r>
      <w:r>
        <w:t>do</w:t>
      </w:r>
      <w:r>
        <w:rPr>
          <w:spacing w:val="-5"/>
        </w:rPr>
        <w:t xml:space="preserve"> </w:t>
      </w:r>
      <w:r>
        <w:t>Conselho</w:t>
      </w:r>
      <w:r>
        <w:rPr>
          <w:spacing w:val="-1"/>
        </w:rPr>
        <w:t xml:space="preserve"> </w:t>
      </w:r>
      <w:r>
        <w:t>Nacional de</w:t>
      </w:r>
      <w:r>
        <w:rPr>
          <w:spacing w:val="-1"/>
        </w:rPr>
        <w:t xml:space="preserve"> </w:t>
      </w:r>
      <w:r>
        <w:rPr>
          <w:spacing w:val="-2"/>
        </w:rPr>
        <w:t>Educação</w:t>
      </w:r>
    </w:p>
    <w:p w:rsidR="007259F2" w:rsidRDefault="00E655B4">
      <w:pPr>
        <w:pStyle w:val="Corpodetexto"/>
        <w:spacing w:before="113"/>
        <w:ind w:right="570"/>
      </w:pPr>
      <w:r>
        <w:t xml:space="preserve">O </w:t>
      </w:r>
      <w:r>
        <w:rPr>
          <w:b/>
        </w:rPr>
        <w:t xml:space="preserve">Parecer n.º 003/2004 do Conselho Nacional de Educação (CNE) </w:t>
      </w:r>
      <w:r>
        <w:t>consiste em uma recomendação emitida em conjunto com a Resolução n.º 1/2004 para complementar e orientar a implementação das Diretrizes Curriculares Nacionais para a Educação das Relações Étnico-Raciais e o Ensino de História e Cultura Afro-Brasileira e Africana. O referido parecer:</w:t>
      </w:r>
    </w:p>
    <w:p w:rsidR="007259F2" w:rsidRDefault="00E655B4">
      <w:pPr>
        <w:spacing w:before="121"/>
        <w:ind w:left="2978" w:right="420"/>
        <w:jc w:val="both"/>
        <w:rPr>
          <w:sz w:val="20"/>
        </w:rPr>
      </w:pPr>
      <w:r>
        <w:rPr>
          <w:sz w:val="20"/>
        </w:rPr>
        <w:t>[...] visa a atender os propósitos expressos na Indicação CNE/CP 6/2002, bem</w:t>
      </w:r>
      <w:r>
        <w:rPr>
          <w:spacing w:val="-3"/>
          <w:sz w:val="20"/>
        </w:rPr>
        <w:t xml:space="preserve"> </w:t>
      </w:r>
      <w:r>
        <w:rPr>
          <w:sz w:val="20"/>
        </w:rPr>
        <w:t>como regulamentar a alteração trazida à Lei 9394/96 de Diretrizes e Bases da Educação Nacional, pela Lei 10.639/2003, que estabelece a obrigatoriedade do ensino de História e Cultura Afro-Brasileira e Africana na Educação Básica. Desta forma, busca cumprir o estabelecido na Constituição Federal nos seus Art. 5º, I, Art. 210, Art.</w:t>
      </w:r>
      <w:r>
        <w:rPr>
          <w:spacing w:val="-2"/>
          <w:sz w:val="20"/>
        </w:rPr>
        <w:t xml:space="preserve"> </w:t>
      </w:r>
      <w:r>
        <w:rPr>
          <w:sz w:val="20"/>
        </w:rPr>
        <w:t>206,</w:t>
      </w:r>
      <w:r>
        <w:rPr>
          <w:spacing w:val="-2"/>
          <w:sz w:val="20"/>
        </w:rPr>
        <w:t xml:space="preserve"> </w:t>
      </w:r>
      <w:r>
        <w:rPr>
          <w:sz w:val="20"/>
        </w:rPr>
        <w:t>I,</w:t>
      </w:r>
      <w:r>
        <w:rPr>
          <w:spacing w:val="-2"/>
          <w:sz w:val="20"/>
        </w:rPr>
        <w:t xml:space="preserve"> </w:t>
      </w:r>
      <w:r>
        <w:rPr>
          <w:sz w:val="20"/>
        </w:rPr>
        <w:t>§</w:t>
      </w:r>
      <w:r>
        <w:rPr>
          <w:spacing w:val="-3"/>
          <w:sz w:val="20"/>
        </w:rPr>
        <w:t xml:space="preserve"> </w:t>
      </w:r>
      <w:r>
        <w:rPr>
          <w:sz w:val="20"/>
        </w:rPr>
        <w:t>1°</w:t>
      </w:r>
      <w:r>
        <w:rPr>
          <w:spacing w:val="-3"/>
          <w:sz w:val="20"/>
        </w:rPr>
        <w:t xml:space="preserve"> </w:t>
      </w:r>
      <w:r>
        <w:rPr>
          <w:sz w:val="20"/>
        </w:rPr>
        <w:t>do</w:t>
      </w:r>
      <w:r>
        <w:rPr>
          <w:spacing w:val="-1"/>
          <w:sz w:val="20"/>
        </w:rPr>
        <w:t xml:space="preserve"> </w:t>
      </w:r>
      <w:r>
        <w:rPr>
          <w:sz w:val="20"/>
        </w:rPr>
        <w:t>Art.</w:t>
      </w:r>
      <w:r>
        <w:rPr>
          <w:spacing w:val="-2"/>
          <w:sz w:val="20"/>
        </w:rPr>
        <w:t xml:space="preserve"> </w:t>
      </w:r>
      <w:r>
        <w:rPr>
          <w:sz w:val="20"/>
        </w:rPr>
        <w:t>242,</w:t>
      </w:r>
      <w:r>
        <w:rPr>
          <w:spacing w:val="-4"/>
          <w:sz w:val="20"/>
        </w:rPr>
        <w:t xml:space="preserve"> </w:t>
      </w:r>
      <w:r>
        <w:rPr>
          <w:sz w:val="20"/>
        </w:rPr>
        <w:t>Art.</w:t>
      </w:r>
      <w:r>
        <w:rPr>
          <w:spacing w:val="-2"/>
          <w:sz w:val="20"/>
        </w:rPr>
        <w:t xml:space="preserve"> </w:t>
      </w:r>
      <w:r>
        <w:rPr>
          <w:sz w:val="20"/>
        </w:rPr>
        <w:t>215</w:t>
      </w:r>
      <w:r>
        <w:rPr>
          <w:spacing w:val="-1"/>
          <w:sz w:val="20"/>
        </w:rPr>
        <w:t xml:space="preserve"> </w:t>
      </w:r>
      <w:r>
        <w:rPr>
          <w:sz w:val="20"/>
        </w:rPr>
        <w:t>e</w:t>
      </w:r>
      <w:r>
        <w:rPr>
          <w:spacing w:val="-2"/>
          <w:sz w:val="20"/>
        </w:rPr>
        <w:t xml:space="preserve"> </w:t>
      </w:r>
      <w:r>
        <w:rPr>
          <w:sz w:val="20"/>
        </w:rPr>
        <w:t>Art.</w:t>
      </w:r>
      <w:r>
        <w:rPr>
          <w:spacing w:val="-2"/>
          <w:sz w:val="20"/>
        </w:rPr>
        <w:t xml:space="preserve"> </w:t>
      </w:r>
      <w:r>
        <w:rPr>
          <w:sz w:val="20"/>
        </w:rPr>
        <w:t>216, bem</w:t>
      </w:r>
      <w:r>
        <w:rPr>
          <w:spacing w:val="-6"/>
          <w:sz w:val="20"/>
        </w:rPr>
        <w:t xml:space="preserve"> </w:t>
      </w:r>
      <w:r>
        <w:rPr>
          <w:sz w:val="20"/>
        </w:rPr>
        <w:t>como</w:t>
      </w:r>
      <w:r>
        <w:rPr>
          <w:spacing w:val="-1"/>
          <w:sz w:val="20"/>
        </w:rPr>
        <w:t xml:space="preserve"> </w:t>
      </w:r>
      <w:r>
        <w:rPr>
          <w:sz w:val="20"/>
        </w:rPr>
        <w:t>nos</w:t>
      </w:r>
      <w:r>
        <w:rPr>
          <w:spacing w:val="-3"/>
          <w:sz w:val="20"/>
        </w:rPr>
        <w:t xml:space="preserve"> </w:t>
      </w:r>
      <w:r>
        <w:rPr>
          <w:sz w:val="20"/>
        </w:rPr>
        <w:t>Art.</w:t>
      </w:r>
      <w:r>
        <w:rPr>
          <w:spacing w:val="-2"/>
          <w:sz w:val="20"/>
        </w:rPr>
        <w:t xml:space="preserve"> </w:t>
      </w:r>
      <w:r>
        <w:rPr>
          <w:sz w:val="20"/>
        </w:rPr>
        <w:t>26,</w:t>
      </w:r>
      <w:r>
        <w:rPr>
          <w:spacing w:val="-2"/>
          <w:sz w:val="20"/>
        </w:rPr>
        <w:t xml:space="preserve"> </w:t>
      </w:r>
      <w:r>
        <w:rPr>
          <w:sz w:val="20"/>
        </w:rPr>
        <w:t>26</w:t>
      </w:r>
      <w:r>
        <w:rPr>
          <w:spacing w:val="-1"/>
          <w:sz w:val="20"/>
        </w:rPr>
        <w:t xml:space="preserve"> </w:t>
      </w:r>
      <w:r>
        <w:rPr>
          <w:sz w:val="20"/>
        </w:rPr>
        <w:t>A</w:t>
      </w:r>
      <w:r>
        <w:rPr>
          <w:spacing w:val="-4"/>
          <w:sz w:val="20"/>
        </w:rPr>
        <w:t xml:space="preserve"> </w:t>
      </w:r>
      <w:r>
        <w:rPr>
          <w:sz w:val="20"/>
        </w:rPr>
        <w:t>e</w:t>
      </w:r>
      <w:r>
        <w:rPr>
          <w:spacing w:val="-2"/>
          <w:sz w:val="20"/>
        </w:rPr>
        <w:t xml:space="preserve"> </w:t>
      </w:r>
      <w:r>
        <w:rPr>
          <w:sz w:val="20"/>
        </w:rPr>
        <w:t>79</w:t>
      </w:r>
      <w:r>
        <w:rPr>
          <w:spacing w:val="-1"/>
          <w:sz w:val="20"/>
        </w:rPr>
        <w:t xml:space="preserve"> </w:t>
      </w:r>
      <w:r>
        <w:rPr>
          <w:sz w:val="20"/>
        </w:rPr>
        <w:t>B na Lei 9.394/96 de Diretrizes e Bases da Educação Nacional, que asseguram o</w:t>
      </w:r>
      <w:r>
        <w:rPr>
          <w:spacing w:val="40"/>
          <w:sz w:val="20"/>
        </w:rPr>
        <w:t xml:space="preserve"> </w:t>
      </w:r>
      <w:r>
        <w:rPr>
          <w:sz w:val="20"/>
        </w:rPr>
        <w:t>direito à igualdade de condições de vida e de cidadania, assim como garantem igual direito às histórias e culturas que compõem a nação brasileira, além do direito de acesso às diferentes fontes da cultura nacional a todos brasileiros.(BRASIL, 2004)</w:t>
      </w:r>
    </w:p>
    <w:p w:rsidR="007259F2" w:rsidRDefault="007259F2">
      <w:pPr>
        <w:pStyle w:val="Corpodetexto"/>
        <w:spacing w:before="4"/>
        <w:ind w:left="0" w:firstLine="0"/>
        <w:jc w:val="left"/>
        <w:rPr>
          <w:sz w:val="20"/>
        </w:rPr>
      </w:pPr>
    </w:p>
    <w:p w:rsidR="007259F2" w:rsidRDefault="00E655B4">
      <w:pPr>
        <w:pStyle w:val="Corpodetexto"/>
        <w:ind w:right="569"/>
      </w:pPr>
      <w:r>
        <w:t>Ao indicar diretrizes e recomendações para a efetivação da lei n.º 10.639/03, o parecer ocupa papel relevante, pois apresenta orientações pedagógicas, curriculares e metodológicas para a inclusão da história e cultura afro-brasileira no currículo escolar reforçando a necessidade de superar visões eurocêntricas e estereotipada, principalmente no que se refere ao estudo da história do Brasil, da literatura e das artes.</w:t>
      </w:r>
    </w:p>
    <w:p w:rsidR="007259F2" w:rsidRDefault="00E655B4">
      <w:pPr>
        <w:pStyle w:val="Corpodetexto"/>
        <w:ind w:right="567"/>
      </w:pPr>
      <w:r>
        <w:t>Destaca-se a importância que o parecer confere à necessidade de formação continuada dos professores, a adequação dos materiais didáticos, a inserção de temas relacionados à cultura afro-brasileira em diferentes disciplinas, além de destacar a importância da disponibilização de subsídios para que as instituições de ensino possam elaborar seus projetos político-pedagógicos de forma a contemplar os objetivos da Lei n.º 10.639/03, fortalecendo a implementação efetiva desses conteúdos no contexto escolar. Ao final do parecer consta um projeto que culminou na resolução n.º 1/2004, apresentada no item a seguir.</w:t>
      </w:r>
    </w:p>
    <w:p w:rsidR="007259F2" w:rsidRDefault="00E655B4">
      <w:pPr>
        <w:pStyle w:val="Heading2"/>
        <w:numPr>
          <w:ilvl w:val="1"/>
          <w:numId w:val="28"/>
        </w:numPr>
        <w:tabs>
          <w:tab w:val="left" w:pos="1271"/>
        </w:tabs>
        <w:spacing w:before="205"/>
        <w:ind w:hanging="422"/>
        <w:jc w:val="both"/>
      </w:pPr>
      <w:r>
        <w:t>Resolução</w:t>
      </w:r>
      <w:r>
        <w:rPr>
          <w:spacing w:val="-1"/>
        </w:rPr>
        <w:t xml:space="preserve"> </w:t>
      </w:r>
      <w:r>
        <w:t>nº</w:t>
      </w:r>
      <w:r>
        <w:rPr>
          <w:spacing w:val="-1"/>
        </w:rPr>
        <w:t xml:space="preserve"> </w:t>
      </w:r>
      <w:r>
        <w:t>1/2004 do</w:t>
      </w:r>
      <w:r>
        <w:rPr>
          <w:spacing w:val="-10"/>
        </w:rPr>
        <w:t xml:space="preserve"> </w:t>
      </w:r>
      <w:r>
        <w:t>Conselho</w:t>
      </w:r>
      <w:r>
        <w:rPr>
          <w:spacing w:val="-1"/>
        </w:rPr>
        <w:t xml:space="preserve"> </w:t>
      </w:r>
      <w:r>
        <w:t>Nacional</w:t>
      </w:r>
      <w:r>
        <w:rPr>
          <w:spacing w:val="-7"/>
        </w:rPr>
        <w:t xml:space="preserve"> </w:t>
      </w:r>
      <w:r>
        <w:t>de</w:t>
      </w:r>
      <w:r>
        <w:rPr>
          <w:spacing w:val="-1"/>
        </w:rPr>
        <w:t xml:space="preserve"> </w:t>
      </w:r>
      <w:r>
        <w:rPr>
          <w:spacing w:val="-2"/>
        </w:rPr>
        <w:t>Educação</w:t>
      </w:r>
    </w:p>
    <w:p w:rsidR="007259F2" w:rsidRDefault="00E655B4">
      <w:pPr>
        <w:spacing w:before="113"/>
        <w:ind w:left="710" w:right="422" w:firstLine="707"/>
        <w:jc w:val="both"/>
        <w:rPr>
          <w:sz w:val="24"/>
        </w:rPr>
      </w:pPr>
      <w:r>
        <w:rPr>
          <w:sz w:val="24"/>
        </w:rPr>
        <w:t xml:space="preserve">A </w:t>
      </w:r>
      <w:r>
        <w:rPr>
          <w:b/>
          <w:sz w:val="24"/>
        </w:rPr>
        <w:t xml:space="preserve">Resolução nº 1/2004 do Conselho Nacional de Educação (CNE) </w:t>
      </w:r>
      <w:r>
        <w:rPr>
          <w:sz w:val="24"/>
        </w:rPr>
        <w:t>estabelece</w:t>
      </w:r>
      <w:r>
        <w:rPr>
          <w:spacing w:val="40"/>
          <w:sz w:val="24"/>
        </w:rPr>
        <w:t xml:space="preserve"> </w:t>
      </w:r>
      <w:r>
        <w:rPr>
          <w:sz w:val="24"/>
        </w:rPr>
        <w:t>as Diretrizes Curriculares Nacionais para a Educação das Relações Étnico-Raciais e para o Ensino</w:t>
      </w:r>
      <w:r>
        <w:rPr>
          <w:spacing w:val="39"/>
          <w:sz w:val="24"/>
        </w:rPr>
        <w:t xml:space="preserve"> </w:t>
      </w:r>
      <w:r>
        <w:rPr>
          <w:sz w:val="24"/>
        </w:rPr>
        <w:t>de</w:t>
      </w:r>
      <w:r>
        <w:rPr>
          <w:spacing w:val="38"/>
          <w:sz w:val="24"/>
        </w:rPr>
        <w:t xml:space="preserve"> </w:t>
      </w:r>
      <w:r>
        <w:rPr>
          <w:sz w:val="24"/>
        </w:rPr>
        <w:t>História</w:t>
      </w:r>
      <w:r>
        <w:rPr>
          <w:spacing w:val="38"/>
          <w:sz w:val="24"/>
        </w:rPr>
        <w:t xml:space="preserve"> </w:t>
      </w:r>
      <w:r>
        <w:rPr>
          <w:sz w:val="24"/>
        </w:rPr>
        <w:t>e</w:t>
      </w:r>
      <w:r>
        <w:rPr>
          <w:spacing w:val="38"/>
          <w:sz w:val="24"/>
        </w:rPr>
        <w:t xml:space="preserve"> </w:t>
      </w:r>
      <w:r>
        <w:rPr>
          <w:sz w:val="24"/>
        </w:rPr>
        <w:t>Cultura</w:t>
      </w:r>
      <w:r>
        <w:rPr>
          <w:spacing w:val="37"/>
          <w:sz w:val="24"/>
        </w:rPr>
        <w:t xml:space="preserve"> </w:t>
      </w:r>
      <w:r>
        <w:rPr>
          <w:sz w:val="24"/>
        </w:rPr>
        <w:t>Afro-Brasileira</w:t>
      </w:r>
      <w:r>
        <w:rPr>
          <w:spacing w:val="38"/>
          <w:sz w:val="24"/>
        </w:rPr>
        <w:t xml:space="preserve"> </w:t>
      </w:r>
      <w:r>
        <w:rPr>
          <w:sz w:val="24"/>
        </w:rPr>
        <w:t>e</w:t>
      </w:r>
      <w:r>
        <w:rPr>
          <w:spacing w:val="40"/>
          <w:sz w:val="24"/>
        </w:rPr>
        <w:t xml:space="preserve"> </w:t>
      </w:r>
      <w:r>
        <w:rPr>
          <w:sz w:val="24"/>
        </w:rPr>
        <w:t>Africana,</w:t>
      </w:r>
      <w:r>
        <w:rPr>
          <w:spacing w:val="38"/>
          <w:sz w:val="24"/>
        </w:rPr>
        <w:t xml:space="preserve"> </w:t>
      </w:r>
      <w:r>
        <w:rPr>
          <w:sz w:val="24"/>
        </w:rPr>
        <w:t>tal</w:t>
      </w:r>
      <w:r>
        <w:rPr>
          <w:spacing w:val="39"/>
          <w:sz w:val="24"/>
        </w:rPr>
        <w:t xml:space="preserve"> </w:t>
      </w:r>
      <w:r>
        <w:rPr>
          <w:sz w:val="24"/>
        </w:rPr>
        <w:t>Resolução</w:t>
      </w:r>
      <w:r>
        <w:rPr>
          <w:spacing w:val="38"/>
          <w:sz w:val="24"/>
        </w:rPr>
        <w:t xml:space="preserve"> </w:t>
      </w:r>
      <w:r>
        <w:rPr>
          <w:sz w:val="24"/>
        </w:rPr>
        <w:t>é</w:t>
      </w:r>
      <w:r>
        <w:rPr>
          <w:spacing w:val="38"/>
          <w:sz w:val="24"/>
        </w:rPr>
        <w:t xml:space="preserve"> </w:t>
      </w:r>
      <w:r>
        <w:rPr>
          <w:sz w:val="24"/>
        </w:rPr>
        <w:t>considerada</w:t>
      </w:r>
      <w:r>
        <w:rPr>
          <w:spacing w:val="38"/>
          <w:sz w:val="24"/>
        </w:rPr>
        <w:t xml:space="preserve"> </w:t>
      </w:r>
      <w:r>
        <w:rPr>
          <w:spacing w:val="-5"/>
          <w:sz w:val="24"/>
        </w:rPr>
        <w:t>uma</w:t>
      </w:r>
    </w:p>
    <w:p w:rsidR="007259F2" w:rsidRDefault="007259F2">
      <w:pPr>
        <w:jc w:val="both"/>
        <w:rPr>
          <w:sz w:val="24"/>
        </w:rPr>
        <w:sectPr w:rsidR="007259F2">
          <w:pgSz w:w="11910" w:h="16840"/>
          <w:pgMar w:top="1600" w:right="708" w:bottom="1020" w:left="992" w:header="0" w:footer="820" w:gutter="0"/>
          <w:cols w:space="720"/>
        </w:sectPr>
      </w:pPr>
    </w:p>
    <w:p w:rsidR="007259F2" w:rsidRDefault="00E655B4">
      <w:pPr>
        <w:pStyle w:val="Corpodetexto"/>
        <w:spacing w:before="75"/>
        <w:ind w:firstLine="0"/>
      </w:pPr>
      <w:r>
        <w:lastRenderedPageBreak/>
        <w:t>normativa</w:t>
      </w:r>
      <w:r>
        <w:rPr>
          <w:spacing w:val="-2"/>
        </w:rPr>
        <w:t xml:space="preserve"> </w:t>
      </w:r>
      <w:r>
        <w:t>importante</w:t>
      </w:r>
      <w:r>
        <w:rPr>
          <w:spacing w:val="-1"/>
        </w:rPr>
        <w:t xml:space="preserve"> </w:t>
      </w:r>
      <w:r>
        <w:t>para</w:t>
      </w:r>
      <w:r>
        <w:rPr>
          <w:spacing w:val="-2"/>
        </w:rPr>
        <w:t xml:space="preserve"> </w:t>
      </w:r>
      <w:r>
        <w:t>a</w:t>
      </w:r>
      <w:r>
        <w:rPr>
          <w:spacing w:val="-2"/>
        </w:rPr>
        <w:t xml:space="preserve"> </w:t>
      </w:r>
      <w:r>
        <w:t>implementação</w:t>
      </w:r>
      <w:r>
        <w:rPr>
          <w:spacing w:val="-1"/>
        </w:rPr>
        <w:t xml:space="preserve"> </w:t>
      </w:r>
      <w:r>
        <w:t>da Lei</w:t>
      </w:r>
      <w:r>
        <w:rPr>
          <w:spacing w:val="-1"/>
        </w:rPr>
        <w:t xml:space="preserve"> </w:t>
      </w:r>
      <w:r>
        <w:rPr>
          <w:spacing w:val="-2"/>
        </w:rPr>
        <w:t>10.639/2003.</w:t>
      </w:r>
    </w:p>
    <w:p w:rsidR="007259F2" w:rsidRDefault="00E655B4">
      <w:pPr>
        <w:pStyle w:val="Corpodetexto"/>
        <w:ind w:right="423"/>
      </w:pPr>
      <w:r>
        <w:t>As diretrizes indicadas na Resolução visam promover a educação das relações étnico- raciais, combater o racismo e valorizar a diversidade étnico-cultural do Brasil ressaltando que a obrigatoriedade da inclusão da temática da história e cultura afro-brasileira e africana nos currículos escolares deve ocorrer em todas as etapas e modalidades da Educação Básica, além de abranger a formação inicial e continuada de professores para esses que tenham condições de atuar com a diversidade étnico-racial em sala de aula por meio de uma abordagem adequada dos conteúdos.</w:t>
      </w:r>
    </w:p>
    <w:p w:rsidR="007259F2" w:rsidRDefault="00E655B4">
      <w:pPr>
        <w:pStyle w:val="Corpodetexto"/>
        <w:ind w:right="428"/>
      </w:pPr>
      <w:r>
        <w:t>Esta resolução do CNE é essencial para orientação de as escolas e sistemas de ensino na implementação efetiva da Lei 10.639/2003, contribuindo para a promoção de uma educação mais inclusiva, diversa e, portanto, antirracista.</w:t>
      </w:r>
    </w:p>
    <w:p w:rsidR="007259F2" w:rsidRDefault="00E655B4">
      <w:pPr>
        <w:pStyle w:val="Heading2"/>
        <w:numPr>
          <w:ilvl w:val="1"/>
          <w:numId w:val="28"/>
        </w:numPr>
        <w:tabs>
          <w:tab w:val="left" w:pos="1270"/>
        </w:tabs>
        <w:ind w:left="1270" w:hanging="359"/>
        <w:jc w:val="both"/>
      </w:pPr>
      <w:r>
        <w:t>Lei</w:t>
      </w:r>
      <w:r>
        <w:rPr>
          <w:spacing w:val="-3"/>
        </w:rPr>
        <w:t xml:space="preserve"> </w:t>
      </w:r>
      <w:r>
        <w:t>n.º</w:t>
      </w:r>
      <w:r>
        <w:rPr>
          <w:spacing w:val="-1"/>
        </w:rPr>
        <w:t xml:space="preserve"> </w:t>
      </w:r>
      <w:r>
        <w:t>12.288/10</w:t>
      </w:r>
      <w:r>
        <w:rPr>
          <w:spacing w:val="-5"/>
        </w:rPr>
        <w:t xml:space="preserve"> </w:t>
      </w:r>
      <w:r>
        <w:t>(Estatuto</w:t>
      </w:r>
      <w:r>
        <w:rPr>
          <w:spacing w:val="-7"/>
        </w:rPr>
        <w:t xml:space="preserve"> </w:t>
      </w:r>
      <w:r>
        <w:t>da</w:t>
      </w:r>
      <w:r>
        <w:rPr>
          <w:spacing w:val="-2"/>
        </w:rPr>
        <w:t xml:space="preserve"> </w:t>
      </w:r>
      <w:r>
        <w:t>Igualdade</w:t>
      </w:r>
      <w:r>
        <w:rPr>
          <w:spacing w:val="-3"/>
        </w:rPr>
        <w:t xml:space="preserve"> </w:t>
      </w:r>
      <w:r>
        <w:rPr>
          <w:spacing w:val="-2"/>
        </w:rPr>
        <w:t>Racial)</w:t>
      </w:r>
    </w:p>
    <w:p w:rsidR="007259F2" w:rsidRDefault="00E655B4">
      <w:pPr>
        <w:pStyle w:val="Corpodetexto"/>
        <w:spacing w:before="113"/>
        <w:ind w:right="571"/>
      </w:pPr>
      <w:r>
        <w:t>O Estatuto da Igualdade Racial estabelece diretrizes para a promoção da igualdade racial</w:t>
      </w:r>
      <w:r>
        <w:rPr>
          <w:spacing w:val="-1"/>
        </w:rPr>
        <w:t xml:space="preserve"> </w:t>
      </w:r>
      <w:r>
        <w:t>e</w:t>
      </w:r>
      <w:r>
        <w:rPr>
          <w:spacing w:val="-4"/>
        </w:rPr>
        <w:t xml:space="preserve"> </w:t>
      </w:r>
      <w:r>
        <w:t>a</w:t>
      </w:r>
      <w:r>
        <w:rPr>
          <w:spacing w:val="-2"/>
        </w:rPr>
        <w:t xml:space="preserve"> </w:t>
      </w:r>
      <w:r>
        <w:t>valorização</w:t>
      </w:r>
      <w:r>
        <w:rPr>
          <w:spacing w:val="-3"/>
        </w:rPr>
        <w:t xml:space="preserve"> </w:t>
      </w:r>
      <w:r>
        <w:t>da diversidade</w:t>
      </w:r>
      <w:r>
        <w:rPr>
          <w:spacing w:val="-3"/>
        </w:rPr>
        <w:t xml:space="preserve"> </w:t>
      </w:r>
      <w:r>
        <w:t>étnico-cultural,</w:t>
      </w:r>
      <w:r>
        <w:rPr>
          <w:spacing w:val="-3"/>
        </w:rPr>
        <w:t xml:space="preserve"> </w:t>
      </w:r>
      <w:r>
        <w:t>reconhecendo</w:t>
      </w:r>
      <w:r>
        <w:rPr>
          <w:spacing w:val="-3"/>
        </w:rPr>
        <w:t xml:space="preserve"> </w:t>
      </w:r>
      <w:r>
        <w:t>a</w:t>
      </w:r>
      <w:r>
        <w:rPr>
          <w:spacing w:val="-2"/>
        </w:rPr>
        <w:t xml:space="preserve"> </w:t>
      </w:r>
      <w:r>
        <w:t>necessidade</w:t>
      </w:r>
      <w:r>
        <w:rPr>
          <w:spacing w:val="-5"/>
        </w:rPr>
        <w:t xml:space="preserve"> </w:t>
      </w:r>
      <w:r>
        <w:t>de</w:t>
      </w:r>
      <w:r>
        <w:rPr>
          <w:spacing w:val="-2"/>
        </w:rPr>
        <w:t xml:space="preserve"> </w:t>
      </w:r>
      <w:r>
        <w:t>medidas que assegurem a efetivação dos direitos e a superação das desigualdades históricas enfrentadas</w:t>
      </w:r>
      <w:r>
        <w:rPr>
          <w:spacing w:val="-2"/>
        </w:rPr>
        <w:t xml:space="preserve"> </w:t>
      </w:r>
      <w:r>
        <w:t>pela</w:t>
      </w:r>
      <w:r>
        <w:rPr>
          <w:spacing w:val="-3"/>
        </w:rPr>
        <w:t xml:space="preserve"> </w:t>
      </w:r>
      <w:r>
        <w:t>população</w:t>
      </w:r>
      <w:r>
        <w:rPr>
          <w:spacing w:val="-2"/>
        </w:rPr>
        <w:t xml:space="preserve"> </w:t>
      </w:r>
      <w:r>
        <w:t>afrodescendente,</w:t>
      </w:r>
      <w:r>
        <w:rPr>
          <w:spacing w:val="-2"/>
        </w:rPr>
        <w:t xml:space="preserve"> </w:t>
      </w:r>
      <w:r>
        <w:t>atuando,</w:t>
      </w:r>
      <w:r>
        <w:rPr>
          <w:spacing w:val="-2"/>
        </w:rPr>
        <w:t xml:space="preserve"> </w:t>
      </w:r>
      <w:r>
        <w:t>portanto,</w:t>
      </w:r>
      <w:r>
        <w:rPr>
          <w:spacing w:val="-2"/>
        </w:rPr>
        <w:t xml:space="preserve"> </w:t>
      </w:r>
      <w:r>
        <w:t>como</w:t>
      </w:r>
      <w:r>
        <w:rPr>
          <w:spacing w:val="-2"/>
        </w:rPr>
        <w:t xml:space="preserve"> </w:t>
      </w:r>
      <w:r>
        <w:t>mais</w:t>
      </w:r>
      <w:r>
        <w:rPr>
          <w:spacing w:val="-4"/>
        </w:rPr>
        <w:t xml:space="preserve"> </w:t>
      </w:r>
      <w:r>
        <w:t>um</w:t>
      </w:r>
      <w:r>
        <w:rPr>
          <w:spacing w:val="-2"/>
        </w:rPr>
        <w:t xml:space="preserve"> </w:t>
      </w:r>
      <w:r>
        <w:t>elemento</w:t>
      </w:r>
      <w:r>
        <w:rPr>
          <w:spacing w:val="-2"/>
        </w:rPr>
        <w:t xml:space="preserve"> </w:t>
      </w:r>
      <w:r>
        <w:t>que compõem o regime jurídico reforça a fundamenta a lei n. 10.639/03.</w:t>
      </w:r>
    </w:p>
    <w:p w:rsidR="007259F2" w:rsidRDefault="00E655B4">
      <w:pPr>
        <w:pStyle w:val="Corpodetexto"/>
        <w:ind w:right="568"/>
      </w:pPr>
      <w:r>
        <w:t>A</w:t>
      </w:r>
      <w:r>
        <w:rPr>
          <w:spacing w:val="-2"/>
        </w:rPr>
        <w:t xml:space="preserve"> </w:t>
      </w:r>
      <w:r>
        <w:t>lei</w:t>
      </w:r>
      <w:r>
        <w:rPr>
          <w:spacing w:val="-2"/>
        </w:rPr>
        <w:t xml:space="preserve"> </w:t>
      </w:r>
      <w:r>
        <w:t>e</w:t>
      </w:r>
      <w:r>
        <w:rPr>
          <w:spacing w:val="-2"/>
        </w:rPr>
        <w:t xml:space="preserve"> </w:t>
      </w:r>
      <w:r>
        <w:t>o</w:t>
      </w:r>
      <w:r>
        <w:rPr>
          <w:spacing w:val="-1"/>
        </w:rPr>
        <w:t xml:space="preserve"> </w:t>
      </w:r>
      <w:r>
        <w:t>estatuto</w:t>
      </w:r>
      <w:r>
        <w:rPr>
          <w:spacing w:val="-2"/>
        </w:rPr>
        <w:t xml:space="preserve"> </w:t>
      </w:r>
      <w:r>
        <w:t>convergem</w:t>
      </w:r>
      <w:r>
        <w:rPr>
          <w:spacing w:val="-2"/>
        </w:rPr>
        <w:t xml:space="preserve"> </w:t>
      </w:r>
      <w:r>
        <w:t>no</w:t>
      </w:r>
      <w:r>
        <w:rPr>
          <w:spacing w:val="-2"/>
        </w:rPr>
        <w:t xml:space="preserve"> </w:t>
      </w:r>
      <w:r>
        <w:t>objetivo</w:t>
      </w:r>
      <w:r>
        <w:rPr>
          <w:spacing w:val="-2"/>
        </w:rPr>
        <w:t xml:space="preserve"> </w:t>
      </w:r>
      <w:r>
        <w:t>de</w:t>
      </w:r>
      <w:r>
        <w:rPr>
          <w:spacing w:val="-3"/>
        </w:rPr>
        <w:t xml:space="preserve"> </w:t>
      </w:r>
      <w:r>
        <w:t>promover</w:t>
      </w:r>
      <w:r>
        <w:rPr>
          <w:spacing w:val="-2"/>
        </w:rPr>
        <w:t xml:space="preserve"> </w:t>
      </w:r>
      <w:r>
        <w:t>a</w:t>
      </w:r>
      <w:r>
        <w:rPr>
          <w:spacing w:val="-2"/>
        </w:rPr>
        <w:t xml:space="preserve"> </w:t>
      </w:r>
      <w:r>
        <w:t>equidade</w:t>
      </w:r>
      <w:r>
        <w:rPr>
          <w:spacing w:val="-2"/>
        </w:rPr>
        <w:t xml:space="preserve"> </w:t>
      </w:r>
      <w:r>
        <w:t>e</w:t>
      </w:r>
      <w:r>
        <w:rPr>
          <w:spacing w:val="-3"/>
        </w:rPr>
        <w:t xml:space="preserve"> </w:t>
      </w:r>
      <w:r>
        <w:t>o</w:t>
      </w:r>
      <w:r>
        <w:rPr>
          <w:spacing w:val="-2"/>
        </w:rPr>
        <w:t xml:space="preserve"> </w:t>
      </w:r>
      <w:r>
        <w:t>reconhecimento da diversidade étnico-cultural. Enquanto a lei n.º 10.639/03 se apresenta como um instrumento pedagógico de desconstrução do racismo estrutural e reversão do epistemicídio, o Estatuto da Igualdade Racial se apresenta como uma norma mais abrangente que se</w:t>
      </w:r>
      <w:r>
        <w:rPr>
          <w:spacing w:val="80"/>
        </w:rPr>
        <w:t xml:space="preserve"> </w:t>
      </w:r>
      <w:r>
        <w:t>destina a outras áreas para além da educação, pois busca garantir a igualdade de</w:t>
      </w:r>
      <w:r>
        <w:rPr>
          <w:spacing w:val="40"/>
        </w:rPr>
        <w:t xml:space="preserve"> </w:t>
      </w:r>
      <w:r>
        <w:t>direitos e</w:t>
      </w:r>
      <w:r>
        <w:rPr>
          <w:spacing w:val="40"/>
        </w:rPr>
        <w:t xml:space="preserve"> </w:t>
      </w:r>
      <w:r>
        <w:t>de oportunidades para a população afrodescendente em diversas esferas da sociedade.</w:t>
      </w:r>
    </w:p>
    <w:p w:rsidR="007259F2" w:rsidRDefault="00E655B4">
      <w:pPr>
        <w:pStyle w:val="Heading2"/>
        <w:numPr>
          <w:ilvl w:val="1"/>
          <w:numId w:val="28"/>
        </w:numPr>
        <w:tabs>
          <w:tab w:val="left" w:pos="1323"/>
        </w:tabs>
        <w:ind w:left="851" w:right="559" w:firstLine="0"/>
        <w:jc w:val="both"/>
      </w:pPr>
      <w:r>
        <w:t>Plano Nacional de Implementação das Diretrizes Curriculares Nacionais para a Educação das Relações Étnico-Raciais e para o Ensino de História e Cultura Afro- Brasil eira e Africana (PNEER)</w:t>
      </w:r>
    </w:p>
    <w:p w:rsidR="007259F2" w:rsidRDefault="00E655B4">
      <w:pPr>
        <w:pStyle w:val="Corpodetexto"/>
        <w:spacing w:before="113"/>
        <w:ind w:right="570"/>
      </w:pPr>
      <w:r>
        <w:t>Publicado no ano de 2013, ou seja, após a lei n.º 10.639/03 completar 10 anos,</w:t>
      </w:r>
      <w:r>
        <w:rPr>
          <w:spacing w:val="40"/>
        </w:rPr>
        <w:t xml:space="preserve"> </w:t>
      </w:r>
      <w:r>
        <w:t>este Plano</w:t>
      </w:r>
      <w:r>
        <w:rPr>
          <w:spacing w:val="-3"/>
        </w:rPr>
        <w:t xml:space="preserve"> </w:t>
      </w:r>
      <w:r>
        <w:t>Nacional</w:t>
      </w:r>
      <w:r>
        <w:rPr>
          <w:spacing w:val="-1"/>
        </w:rPr>
        <w:t xml:space="preserve"> </w:t>
      </w:r>
      <w:r>
        <w:t>foi</w:t>
      </w:r>
      <w:r>
        <w:rPr>
          <w:spacing w:val="-3"/>
        </w:rPr>
        <w:t xml:space="preserve"> </w:t>
      </w:r>
      <w:r>
        <w:t>desenvolvido</w:t>
      </w:r>
      <w:r>
        <w:rPr>
          <w:spacing w:val="-2"/>
        </w:rPr>
        <w:t xml:space="preserve"> </w:t>
      </w:r>
      <w:r>
        <w:t>com</w:t>
      </w:r>
      <w:r>
        <w:rPr>
          <w:spacing w:val="-2"/>
        </w:rPr>
        <w:t xml:space="preserve"> </w:t>
      </w:r>
      <w:r>
        <w:t>objetivo</w:t>
      </w:r>
      <w:r>
        <w:rPr>
          <w:spacing w:val="-3"/>
        </w:rPr>
        <w:t xml:space="preserve"> </w:t>
      </w:r>
      <w:r>
        <w:t>de</w:t>
      </w:r>
      <w:r>
        <w:rPr>
          <w:spacing w:val="-4"/>
        </w:rPr>
        <w:t xml:space="preserve"> </w:t>
      </w:r>
      <w:r>
        <w:t>fortalecer</w:t>
      </w:r>
      <w:r>
        <w:rPr>
          <w:spacing w:val="-3"/>
        </w:rPr>
        <w:t xml:space="preserve"> </w:t>
      </w:r>
      <w:r>
        <w:t>e</w:t>
      </w:r>
      <w:r>
        <w:rPr>
          <w:spacing w:val="-3"/>
        </w:rPr>
        <w:t xml:space="preserve"> </w:t>
      </w:r>
      <w:r>
        <w:t>institucionalizar</w:t>
      </w:r>
      <w:r>
        <w:rPr>
          <w:spacing w:val="-3"/>
        </w:rPr>
        <w:t xml:space="preserve"> </w:t>
      </w:r>
      <w:r>
        <w:t>as</w:t>
      </w:r>
      <w:r>
        <w:rPr>
          <w:spacing w:val="-2"/>
        </w:rPr>
        <w:t xml:space="preserve"> </w:t>
      </w:r>
      <w:r>
        <w:t>orientações que já existiam em documentos esparsos como os indicados acima, tornando-se instrumento fundamental para nortear a aplicação das diretrizes curriculares estabelecidas</w:t>
      </w:r>
      <w:r>
        <w:rPr>
          <w:spacing w:val="40"/>
        </w:rPr>
        <w:t xml:space="preserve"> </w:t>
      </w:r>
      <w:r>
        <w:t>para a educação das relações étnico-raciais no Brasil.</w:t>
      </w:r>
    </w:p>
    <w:p w:rsidR="007259F2" w:rsidRDefault="00E655B4">
      <w:pPr>
        <w:pStyle w:val="Corpodetexto"/>
        <w:ind w:right="568"/>
      </w:pPr>
      <w:r>
        <w:t>No PNEER constam orientações para a prática docente com diretrizes claras e orientações pedagógicas para os educadores, auxiliando na formulação de práticas pedagógicas inclusivas o que, certamente, contribui para o enriquecimento do currículo escolar</w:t>
      </w:r>
      <w:r>
        <w:rPr>
          <w:spacing w:val="-3"/>
        </w:rPr>
        <w:t xml:space="preserve"> </w:t>
      </w:r>
      <w:r>
        <w:t>e</w:t>
      </w:r>
      <w:r>
        <w:rPr>
          <w:spacing w:val="-2"/>
        </w:rPr>
        <w:t xml:space="preserve"> </w:t>
      </w:r>
      <w:r>
        <w:t>para</w:t>
      </w:r>
      <w:r>
        <w:rPr>
          <w:spacing w:val="-4"/>
        </w:rPr>
        <w:t xml:space="preserve"> </w:t>
      </w:r>
      <w:r>
        <w:t>a</w:t>
      </w:r>
      <w:r>
        <w:rPr>
          <w:spacing w:val="-2"/>
        </w:rPr>
        <w:t xml:space="preserve"> </w:t>
      </w:r>
      <w:r>
        <w:t>formação</w:t>
      </w:r>
      <w:r>
        <w:rPr>
          <w:spacing w:val="-1"/>
        </w:rPr>
        <w:t xml:space="preserve"> </w:t>
      </w:r>
      <w:r>
        <w:t>de</w:t>
      </w:r>
      <w:r>
        <w:rPr>
          <w:spacing w:val="-2"/>
        </w:rPr>
        <w:t xml:space="preserve"> </w:t>
      </w:r>
      <w:r>
        <w:t>cidadãos</w:t>
      </w:r>
      <w:r>
        <w:rPr>
          <w:spacing w:val="-1"/>
        </w:rPr>
        <w:t xml:space="preserve"> </w:t>
      </w:r>
      <w:r>
        <w:t>conscientes,</w:t>
      </w:r>
      <w:r>
        <w:rPr>
          <w:spacing w:val="-2"/>
        </w:rPr>
        <w:t xml:space="preserve"> </w:t>
      </w:r>
      <w:r>
        <w:t>críticos</w:t>
      </w:r>
      <w:r>
        <w:rPr>
          <w:spacing w:val="-1"/>
        </w:rPr>
        <w:t xml:space="preserve"> </w:t>
      </w:r>
      <w:r>
        <w:t>e</w:t>
      </w:r>
      <w:r>
        <w:rPr>
          <w:spacing w:val="-4"/>
        </w:rPr>
        <w:t xml:space="preserve"> </w:t>
      </w:r>
      <w:r>
        <w:t>respeitosos</w:t>
      </w:r>
      <w:r>
        <w:rPr>
          <w:spacing w:val="-3"/>
        </w:rPr>
        <w:t xml:space="preserve"> </w:t>
      </w:r>
      <w:r>
        <w:t>à</w:t>
      </w:r>
      <w:r>
        <w:rPr>
          <w:spacing w:val="-2"/>
        </w:rPr>
        <w:t xml:space="preserve"> </w:t>
      </w:r>
      <w:r>
        <w:t>diversidade.</w:t>
      </w:r>
      <w:r>
        <w:rPr>
          <w:spacing w:val="-1"/>
        </w:rPr>
        <w:t xml:space="preserve"> </w:t>
      </w:r>
      <w:r>
        <w:t>Além disso, propõe estratégias e metodologias para a abordagem da história e cultura afro- brasileira e africana, e estimula a formação continuada dos professores, promovendo a reflexão sobre práticas educativas e capacitando-os para lidar com a diversidade cultural em sala de aula.</w:t>
      </w:r>
    </w:p>
    <w:p w:rsidR="007259F2" w:rsidRDefault="00E655B4">
      <w:pPr>
        <w:pStyle w:val="Corpodetexto"/>
        <w:spacing w:before="1"/>
        <w:ind w:right="572"/>
      </w:pPr>
      <w:r>
        <w:t>Também</w:t>
      </w:r>
      <w:r>
        <w:rPr>
          <w:spacing w:val="-3"/>
        </w:rPr>
        <w:t xml:space="preserve"> </w:t>
      </w:r>
      <w:r>
        <w:t>é</w:t>
      </w:r>
      <w:r>
        <w:rPr>
          <w:spacing w:val="-4"/>
        </w:rPr>
        <w:t xml:space="preserve"> </w:t>
      </w:r>
      <w:r>
        <w:t>no</w:t>
      </w:r>
      <w:r>
        <w:rPr>
          <w:spacing w:val="-3"/>
        </w:rPr>
        <w:t xml:space="preserve"> </w:t>
      </w:r>
      <w:r>
        <w:t>PNEER</w:t>
      </w:r>
      <w:r>
        <w:rPr>
          <w:spacing w:val="-3"/>
        </w:rPr>
        <w:t xml:space="preserve"> </w:t>
      </w:r>
      <w:r>
        <w:t>que</w:t>
      </w:r>
      <w:r>
        <w:rPr>
          <w:spacing w:val="-4"/>
        </w:rPr>
        <w:t xml:space="preserve"> </w:t>
      </w:r>
      <w:r>
        <w:t>encontramos</w:t>
      </w:r>
      <w:r>
        <w:rPr>
          <w:spacing w:val="-3"/>
        </w:rPr>
        <w:t xml:space="preserve"> </w:t>
      </w:r>
      <w:r>
        <w:t>as</w:t>
      </w:r>
      <w:r>
        <w:rPr>
          <w:spacing w:val="-3"/>
        </w:rPr>
        <w:t xml:space="preserve"> </w:t>
      </w:r>
      <w:r>
        <w:t>metas</w:t>
      </w:r>
      <w:r>
        <w:rPr>
          <w:spacing w:val="-1"/>
        </w:rPr>
        <w:t xml:space="preserve"> </w:t>
      </w:r>
      <w:r>
        <w:t>e</w:t>
      </w:r>
      <w:r>
        <w:rPr>
          <w:spacing w:val="-2"/>
        </w:rPr>
        <w:t xml:space="preserve"> </w:t>
      </w:r>
      <w:r>
        <w:t>estratégias</w:t>
      </w:r>
      <w:r>
        <w:rPr>
          <w:spacing w:val="-3"/>
        </w:rPr>
        <w:t xml:space="preserve"> </w:t>
      </w:r>
      <w:r>
        <w:t>para</w:t>
      </w:r>
      <w:r>
        <w:rPr>
          <w:spacing w:val="-3"/>
        </w:rPr>
        <w:t xml:space="preserve"> </w:t>
      </w:r>
      <w:r>
        <w:t>a</w:t>
      </w:r>
      <w:r>
        <w:rPr>
          <w:spacing w:val="-2"/>
        </w:rPr>
        <w:t xml:space="preserve"> </w:t>
      </w:r>
      <w:r>
        <w:t>execução</w:t>
      </w:r>
      <w:r>
        <w:rPr>
          <w:spacing w:val="-3"/>
        </w:rPr>
        <w:t xml:space="preserve"> </w:t>
      </w:r>
      <w:r>
        <w:t>da</w:t>
      </w:r>
      <w:r>
        <w:rPr>
          <w:spacing w:val="-2"/>
        </w:rPr>
        <w:t xml:space="preserve"> </w:t>
      </w:r>
      <w:r>
        <w:t>Lei 10.639/2003;</w:t>
      </w:r>
      <w:r>
        <w:rPr>
          <w:spacing w:val="-3"/>
        </w:rPr>
        <w:t xml:space="preserve"> </w:t>
      </w:r>
      <w:r>
        <w:t>a</w:t>
      </w:r>
      <w:r>
        <w:rPr>
          <w:spacing w:val="-4"/>
        </w:rPr>
        <w:t xml:space="preserve"> </w:t>
      </w:r>
      <w:r>
        <w:t>delimitação</w:t>
      </w:r>
      <w:r>
        <w:rPr>
          <w:spacing w:val="-1"/>
        </w:rPr>
        <w:t xml:space="preserve"> </w:t>
      </w:r>
      <w:r>
        <w:t>de</w:t>
      </w:r>
      <w:r>
        <w:rPr>
          <w:spacing w:val="-4"/>
        </w:rPr>
        <w:t xml:space="preserve"> </w:t>
      </w:r>
      <w:r>
        <w:t>responsabilidades</w:t>
      </w:r>
      <w:r>
        <w:rPr>
          <w:spacing w:val="-3"/>
        </w:rPr>
        <w:t xml:space="preserve"> </w:t>
      </w:r>
      <w:r>
        <w:t>dos</w:t>
      </w:r>
      <w:r>
        <w:rPr>
          <w:spacing w:val="-3"/>
        </w:rPr>
        <w:t xml:space="preserve"> </w:t>
      </w:r>
      <w:r>
        <w:t>atores</w:t>
      </w:r>
      <w:r>
        <w:rPr>
          <w:spacing w:val="-3"/>
        </w:rPr>
        <w:t xml:space="preserve"> </w:t>
      </w:r>
      <w:r>
        <w:t>governamentais;</w:t>
      </w:r>
      <w:r>
        <w:rPr>
          <w:spacing w:val="-3"/>
        </w:rPr>
        <w:t xml:space="preserve"> </w:t>
      </w:r>
      <w:r>
        <w:t>a</w:t>
      </w:r>
      <w:r>
        <w:rPr>
          <w:spacing w:val="-4"/>
        </w:rPr>
        <w:t xml:space="preserve"> </w:t>
      </w:r>
      <w:r>
        <w:t>proposição</w:t>
      </w:r>
      <w:r>
        <w:rPr>
          <w:spacing w:val="-3"/>
        </w:rPr>
        <w:t xml:space="preserve"> </w:t>
      </w:r>
      <w:r>
        <w:t xml:space="preserve">de ações de formação de professores e de sensibilização de gestores; bem como as orientações para a produção de material didático. Portanto, o PNEER desempenha um papel crucial na promoção de uma educação que valoriza a diversidade étnico-racial, fomenta o respeito à pluralidade cultural e contribui para a construção de uma sociedade mais justa, igualitária, sendo que sua implementação efetiva é essencial para a consolidação de uma educação antirracista e para a formação de cidadãos conscientes de sua história e do legado cultural </w:t>
      </w:r>
      <w:r>
        <w:rPr>
          <w:spacing w:val="-2"/>
        </w:rPr>
        <w:t>afro-brasileiro.</w:t>
      </w:r>
    </w:p>
    <w:p w:rsidR="007259F2" w:rsidRDefault="007259F2">
      <w:pPr>
        <w:pStyle w:val="Corpodetexto"/>
        <w:sectPr w:rsidR="007259F2">
          <w:pgSz w:w="11910" w:h="16840"/>
          <w:pgMar w:top="1600" w:right="708" w:bottom="1020" w:left="992" w:header="0" w:footer="820" w:gutter="0"/>
          <w:cols w:space="720"/>
        </w:sectPr>
      </w:pPr>
    </w:p>
    <w:p w:rsidR="007259F2" w:rsidRDefault="00E655B4">
      <w:pPr>
        <w:pStyle w:val="Heading2"/>
        <w:numPr>
          <w:ilvl w:val="0"/>
          <w:numId w:val="28"/>
        </w:numPr>
        <w:tabs>
          <w:tab w:val="left" w:pos="1069"/>
        </w:tabs>
        <w:spacing w:before="60"/>
        <w:ind w:left="1069" w:hanging="244"/>
        <w:jc w:val="both"/>
      </w:pPr>
      <w:r>
        <w:lastRenderedPageBreak/>
        <w:t>Regime</w:t>
      </w:r>
      <w:r>
        <w:rPr>
          <w:spacing w:val="-3"/>
        </w:rPr>
        <w:t xml:space="preserve"> </w:t>
      </w:r>
      <w:r>
        <w:t>juridico</w:t>
      </w:r>
      <w:r>
        <w:rPr>
          <w:spacing w:val="-1"/>
        </w:rPr>
        <w:t xml:space="preserve"> </w:t>
      </w:r>
      <w:r>
        <w:t>e</w:t>
      </w:r>
      <w:r>
        <w:rPr>
          <w:spacing w:val="-3"/>
        </w:rPr>
        <w:t xml:space="preserve"> </w:t>
      </w:r>
      <w:r>
        <w:t>ações</w:t>
      </w:r>
      <w:r>
        <w:rPr>
          <w:spacing w:val="1"/>
        </w:rPr>
        <w:t xml:space="preserve"> </w:t>
      </w:r>
      <w:r>
        <w:rPr>
          <w:spacing w:val="-2"/>
        </w:rPr>
        <w:t>municipais</w:t>
      </w:r>
    </w:p>
    <w:p w:rsidR="007259F2" w:rsidRDefault="00E655B4">
      <w:pPr>
        <w:pStyle w:val="PargrafodaLista"/>
        <w:numPr>
          <w:ilvl w:val="1"/>
          <w:numId w:val="28"/>
        </w:numPr>
        <w:tabs>
          <w:tab w:val="left" w:pos="1276"/>
        </w:tabs>
        <w:spacing w:before="139"/>
        <w:ind w:left="1276" w:hanging="427"/>
        <w:jc w:val="both"/>
        <w:rPr>
          <w:b/>
          <w:sz w:val="24"/>
        </w:rPr>
      </w:pPr>
      <w:r>
        <w:rPr>
          <w:b/>
          <w:sz w:val="24"/>
        </w:rPr>
        <w:t>Lei</w:t>
      </w:r>
      <w:r>
        <w:rPr>
          <w:b/>
          <w:spacing w:val="-2"/>
          <w:sz w:val="24"/>
        </w:rPr>
        <w:t xml:space="preserve"> </w:t>
      </w:r>
      <w:r>
        <w:rPr>
          <w:b/>
          <w:sz w:val="24"/>
        </w:rPr>
        <w:t>orgânica</w:t>
      </w:r>
      <w:r>
        <w:rPr>
          <w:b/>
          <w:spacing w:val="-1"/>
          <w:sz w:val="24"/>
        </w:rPr>
        <w:t xml:space="preserve"> </w:t>
      </w:r>
      <w:r>
        <w:rPr>
          <w:b/>
          <w:sz w:val="24"/>
        </w:rPr>
        <w:t>do</w:t>
      </w:r>
      <w:r>
        <w:rPr>
          <w:b/>
          <w:spacing w:val="-1"/>
          <w:sz w:val="24"/>
        </w:rPr>
        <w:t xml:space="preserve"> </w:t>
      </w:r>
      <w:r>
        <w:rPr>
          <w:b/>
          <w:sz w:val="24"/>
        </w:rPr>
        <w:t>Município</w:t>
      </w:r>
      <w:r>
        <w:rPr>
          <w:b/>
          <w:spacing w:val="1"/>
          <w:sz w:val="24"/>
        </w:rPr>
        <w:t xml:space="preserve"> </w:t>
      </w:r>
      <w:r>
        <w:rPr>
          <w:b/>
          <w:sz w:val="24"/>
        </w:rPr>
        <w:t>de</w:t>
      </w:r>
      <w:r>
        <w:rPr>
          <w:b/>
          <w:spacing w:val="-9"/>
          <w:sz w:val="24"/>
        </w:rPr>
        <w:t xml:space="preserve"> </w:t>
      </w:r>
      <w:r>
        <w:rPr>
          <w:b/>
          <w:sz w:val="24"/>
        </w:rPr>
        <w:t>São</w:t>
      </w:r>
      <w:r>
        <w:rPr>
          <w:b/>
          <w:spacing w:val="1"/>
          <w:sz w:val="24"/>
        </w:rPr>
        <w:t xml:space="preserve"> </w:t>
      </w:r>
      <w:r>
        <w:rPr>
          <w:b/>
          <w:spacing w:val="-4"/>
          <w:sz w:val="24"/>
        </w:rPr>
        <w:t>Paulo</w:t>
      </w:r>
    </w:p>
    <w:p w:rsidR="007259F2" w:rsidRDefault="00E655B4">
      <w:pPr>
        <w:pStyle w:val="Corpodetexto"/>
        <w:spacing w:before="113"/>
        <w:ind w:right="571"/>
      </w:pPr>
      <w:r>
        <w:t>A Lei Orgânica Municipal (LOM) é a norma fundamental do Município de São Paulo. Trata-se de uma espécie normativa elaborada e aprovada pela Câmara Municipal e pode ser entendida como “uma constituição para o âmbito local”, embora não tenha a natureza jurídica de uma Constituição, costuma-se a ela comparar por ser a lei máxima de um Município. A LOM estabelece as bases fundamentais da organização e do</w:t>
      </w:r>
      <w:r>
        <w:rPr>
          <w:spacing w:val="40"/>
        </w:rPr>
        <w:t xml:space="preserve"> </w:t>
      </w:r>
      <w:r>
        <w:t>funcionamento municipal, determinando competências e atribuições.</w:t>
      </w:r>
    </w:p>
    <w:p w:rsidR="007259F2" w:rsidRDefault="00E655B4">
      <w:pPr>
        <w:pStyle w:val="Corpodetexto"/>
        <w:ind w:right="572"/>
      </w:pPr>
      <w:r>
        <w:t>No contexto das políticas públicas voltadas para o direito à educação e à educação antirracista, a Lei Orgânica desempenha um papel importante ao definir as competências e</w:t>
      </w:r>
      <w:r>
        <w:rPr>
          <w:spacing w:val="40"/>
        </w:rPr>
        <w:t xml:space="preserve"> </w:t>
      </w:r>
      <w:r>
        <w:t>as responsabilidades do município nessa área. Nesse sentido, merece destaque o capítulo I (da educação) do título VI (da atividade social do município) da lei orgânica, pois nele constam diversos artigos que se relacionam com o tema aqui estudado, abaixo constam alguns deles:</w:t>
      </w:r>
    </w:p>
    <w:p w:rsidR="007259F2" w:rsidRDefault="00E655B4">
      <w:pPr>
        <w:spacing w:before="122"/>
        <w:ind w:left="2978" w:right="422"/>
        <w:jc w:val="both"/>
        <w:rPr>
          <w:sz w:val="20"/>
        </w:rPr>
      </w:pPr>
      <w:r>
        <w:rPr>
          <w:sz w:val="20"/>
        </w:rPr>
        <w:t>Art. 200. A educação ministrada com base nos princípios estabelecidos na Constituição da República, na Constituição Estadual e nesta Lei Orgânica, e inspirada nos sentimentos de igualdade, liberdade e solidariedade, será responsabilidade do Município de São Paulo, que a organizará como sistema destinado à universalização do ensino fundamental e da educação infantil. [...] § 4º</w:t>
      </w:r>
      <w:r>
        <w:rPr>
          <w:spacing w:val="80"/>
          <w:sz w:val="20"/>
        </w:rPr>
        <w:t xml:space="preserve"> </w:t>
      </w:r>
      <w:r>
        <w:rPr>
          <w:sz w:val="20"/>
        </w:rPr>
        <w:t xml:space="preserve">O Plano Municipal de Educação atenderá ao disposto na Lei Federal nº 9.394/96 e será complementado por um programa de educação inclusiva cujo custeio utilizará recursos que excedam ao mínimo estabelecido no artigo 212, § 4º, da Constituição </w:t>
      </w:r>
      <w:r>
        <w:rPr>
          <w:spacing w:val="-2"/>
          <w:sz w:val="20"/>
        </w:rPr>
        <w:t>Federal.</w:t>
      </w:r>
    </w:p>
    <w:p w:rsidR="007259F2" w:rsidRDefault="00E655B4">
      <w:pPr>
        <w:spacing w:before="2"/>
        <w:ind w:left="2978" w:right="422"/>
        <w:jc w:val="both"/>
        <w:rPr>
          <w:sz w:val="20"/>
        </w:rPr>
      </w:pPr>
      <w:r>
        <w:rPr>
          <w:sz w:val="20"/>
        </w:rPr>
        <w:t>Art. 202. Fica o Município obrigado a definir a proposta educacional, respeitando o disposto na Lei de Diretrizes e Bases da Educação e legislação aplicável.</w:t>
      </w:r>
    </w:p>
    <w:p w:rsidR="007259F2" w:rsidRDefault="00E655B4">
      <w:pPr>
        <w:spacing w:line="228" w:lineRule="exact"/>
        <w:ind w:left="2978"/>
        <w:jc w:val="both"/>
        <w:rPr>
          <w:sz w:val="20"/>
        </w:rPr>
      </w:pPr>
      <w:r>
        <w:rPr>
          <w:sz w:val="20"/>
        </w:rPr>
        <w:t>Art.</w:t>
      </w:r>
      <w:r>
        <w:rPr>
          <w:spacing w:val="-8"/>
          <w:sz w:val="20"/>
        </w:rPr>
        <w:t xml:space="preserve"> </w:t>
      </w:r>
      <w:r>
        <w:rPr>
          <w:sz w:val="20"/>
        </w:rPr>
        <w:t>203.</w:t>
      </w:r>
      <w:r>
        <w:rPr>
          <w:spacing w:val="-6"/>
          <w:sz w:val="20"/>
        </w:rPr>
        <w:t xml:space="preserve"> </w:t>
      </w:r>
      <w:r>
        <w:rPr>
          <w:sz w:val="20"/>
        </w:rPr>
        <w:t>É</w:t>
      </w:r>
      <w:r>
        <w:rPr>
          <w:spacing w:val="-7"/>
          <w:sz w:val="20"/>
        </w:rPr>
        <w:t xml:space="preserve"> </w:t>
      </w:r>
      <w:r>
        <w:rPr>
          <w:sz w:val="20"/>
        </w:rPr>
        <w:t>dever</w:t>
      </w:r>
      <w:r>
        <w:rPr>
          <w:spacing w:val="-10"/>
          <w:sz w:val="20"/>
        </w:rPr>
        <w:t xml:space="preserve"> </w:t>
      </w:r>
      <w:r>
        <w:rPr>
          <w:sz w:val="20"/>
        </w:rPr>
        <w:t>do</w:t>
      </w:r>
      <w:r>
        <w:rPr>
          <w:spacing w:val="-9"/>
          <w:sz w:val="20"/>
        </w:rPr>
        <w:t xml:space="preserve"> </w:t>
      </w:r>
      <w:r>
        <w:rPr>
          <w:sz w:val="20"/>
        </w:rPr>
        <w:t>Município</w:t>
      </w:r>
      <w:r>
        <w:rPr>
          <w:spacing w:val="-2"/>
          <w:sz w:val="20"/>
        </w:rPr>
        <w:t xml:space="preserve"> garantir:</w:t>
      </w:r>
    </w:p>
    <w:p w:rsidR="007259F2" w:rsidRDefault="00E655B4">
      <w:pPr>
        <w:spacing w:before="1"/>
        <w:ind w:left="2978" w:right="430"/>
        <w:jc w:val="both"/>
        <w:rPr>
          <w:sz w:val="20"/>
        </w:rPr>
      </w:pPr>
      <w:r>
        <w:rPr>
          <w:sz w:val="20"/>
        </w:rPr>
        <w:t>I - educação igualitária, desenvolvendo o espírito crítico em relação a estereótipos sexuais, raciais e sociais das aulas, cursos, livros didáticos, manuais escolares e literatura; (SÃO PAULO, 1990)</w:t>
      </w:r>
    </w:p>
    <w:p w:rsidR="007259F2" w:rsidRDefault="007259F2">
      <w:pPr>
        <w:pStyle w:val="Corpodetexto"/>
        <w:spacing w:before="199"/>
        <w:ind w:left="0" w:firstLine="0"/>
        <w:jc w:val="left"/>
        <w:rPr>
          <w:sz w:val="20"/>
        </w:rPr>
      </w:pPr>
    </w:p>
    <w:p w:rsidR="007259F2" w:rsidRDefault="00E655B4">
      <w:pPr>
        <w:pStyle w:val="Corpodetexto"/>
        <w:ind w:right="569"/>
      </w:pPr>
      <w:r>
        <w:t>Os dispositivos acima indicados relevam que, no âmbito do Município de São Paulo, a Lei Orgânica deve ser aplicada em consonância com a Lei de Diretrizes e Bases da Educação Nacional (LDBN), respeitando seus princípios e incorporando a obrigatoriedade prevista na lei n.º 10.639/03 para assegurar uma educação que contemple a diversidade étnico-racial, promova a igualdade e combata o racismo. Assim, pode-se afirmar que a Lei Orgânica de São Paulo, a LDBN e a Lei n.º 10.639/03 têm interseções que visam garantir uma educação de qualidade, respeitosa à diversidade e antirracista, cada uma contribuindo dentro de seu alcance jurídico e com seus aspectos específicos para o desenvolvimento de políticas educacionais adequadas à realidade local.</w:t>
      </w:r>
    </w:p>
    <w:p w:rsidR="007259F2" w:rsidRDefault="00E655B4">
      <w:pPr>
        <w:pStyle w:val="Heading2"/>
        <w:numPr>
          <w:ilvl w:val="1"/>
          <w:numId w:val="28"/>
        </w:numPr>
        <w:tabs>
          <w:tab w:val="left" w:pos="1275"/>
        </w:tabs>
        <w:spacing w:before="209" w:line="237" w:lineRule="auto"/>
        <w:ind w:left="851" w:right="556" w:firstLine="0"/>
        <w:jc w:val="both"/>
      </w:pPr>
      <w:r>
        <w:t>Orientações curriculares e expectativas de aprendizagem étnico-racial na Educação Infantil, Ensino Fundamental e Médio do Município de São Paulo</w:t>
      </w:r>
    </w:p>
    <w:p w:rsidR="007259F2" w:rsidRDefault="00E655B4">
      <w:pPr>
        <w:spacing w:before="117"/>
        <w:ind w:left="710" w:right="568" w:firstLine="707"/>
        <w:jc w:val="both"/>
        <w:rPr>
          <w:sz w:val="24"/>
        </w:rPr>
      </w:pPr>
      <w:r>
        <w:rPr>
          <w:sz w:val="24"/>
        </w:rPr>
        <w:t>Publicado em 2008 o documento denominado “</w:t>
      </w:r>
      <w:r>
        <w:rPr>
          <w:i/>
          <w:sz w:val="24"/>
        </w:rPr>
        <w:t>Orientações Curriculares: Expectativas de Aprendizagem para a Educação Étnico-Racial na Educação Infantil,</w:t>
      </w:r>
      <w:r>
        <w:rPr>
          <w:i/>
          <w:spacing w:val="40"/>
          <w:sz w:val="24"/>
        </w:rPr>
        <w:t xml:space="preserve"> </w:t>
      </w:r>
      <w:r>
        <w:rPr>
          <w:i/>
          <w:sz w:val="24"/>
        </w:rPr>
        <w:t>Ensino Fundamental e Médio do Município de São Paulo</w:t>
      </w:r>
      <w:r>
        <w:rPr>
          <w:sz w:val="24"/>
        </w:rPr>
        <w:t>” consiste num compilado de diretrizes pedagógicas elaboradas para nortear o ensino da história e cultura afro-brasileira, africana e indígena nas escolas municipais.</w:t>
      </w:r>
    </w:p>
    <w:p w:rsidR="007259F2" w:rsidRDefault="00E655B4">
      <w:pPr>
        <w:pStyle w:val="Corpodetexto"/>
        <w:ind w:right="570"/>
      </w:pPr>
      <w:r>
        <w:t xml:space="preserve">Estas orientações são mais específicas que os instrumentos pedagógicos citados em tópicos anteriores, isso porque se destinam de modo direcionado ao Município sendo que o documento foi </w:t>
      </w:r>
      <w:r>
        <w:rPr>
          <w:color w:val="211F1F"/>
        </w:rPr>
        <w:t>organizado por especialistas de diferentes áreas do conhecimento com foco</w:t>
      </w:r>
      <w:r>
        <w:rPr>
          <w:color w:val="211F1F"/>
          <w:spacing w:val="40"/>
        </w:rPr>
        <w:t xml:space="preserve"> </w:t>
      </w:r>
      <w:r>
        <w:rPr>
          <w:color w:val="211F1F"/>
        </w:rPr>
        <w:t>na implementação da lei n.º 10.639/03 em âmbito local.</w:t>
      </w:r>
    </w:p>
    <w:p w:rsidR="007259F2" w:rsidRDefault="007259F2">
      <w:pPr>
        <w:pStyle w:val="Corpodetexto"/>
        <w:sectPr w:rsidR="007259F2">
          <w:pgSz w:w="11910" w:h="16840"/>
          <w:pgMar w:top="1620" w:right="708" w:bottom="1020" w:left="992" w:header="0" w:footer="820" w:gutter="0"/>
          <w:cols w:space="720"/>
        </w:sectPr>
      </w:pPr>
    </w:p>
    <w:p w:rsidR="007259F2" w:rsidRDefault="00E655B4">
      <w:pPr>
        <w:pStyle w:val="Corpodetexto"/>
        <w:spacing w:before="75"/>
        <w:ind w:right="570"/>
      </w:pPr>
      <w:r>
        <w:rPr>
          <w:color w:val="211F1F"/>
        </w:rPr>
        <w:lastRenderedPageBreak/>
        <w:t>Alguns dos principais aspectos que podem ser destacados em relação às orientações são: o fato de o documento estabelecer expectativas de aprendizagem para que os alunos desenvolvam competências da compreensão crítica sobre a história e cultura afro- brasileira, africana; o estímulo à reflexão sobre as relações étnico-raciais na sociedade</w:t>
      </w:r>
      <w:r>
        <w:rPr>
          <w:color w:val="211F1F"/>
          <w:spacing w:val="40"/>
        </w:rPr>
        <w:t xml:space="preserve"> </w:t>
      </w:r>
      <w:r>
        <w:rPr>
          <w:color w:val="211F1F"/>
        </w:rPr>
        <w:t>contextualizando os conteúdos, relacionando-os com a realidade dos alunos; a integração</w:t>
      </w:r>
      <w:r>
        <w:rPr>
          <w:color w:val="211F1F"/>
          <w:spacing w:val="40"/>
        </w:rPr>
        <w:t xml:space="preserve"> </w:t>
      </w:r>
      <w:r>
        <w:rPr>
          <w:color w:val="211F1F"/>
        </w:rPr>
        <w:t>dos conteúdos em diferentes disciplinas, não se limitando às aulas de história, mas permeando diversas áreas do conhecimento; o desenvolvimento da identidade positiva dos alunos pertencentes a grupos étnico-raciais minoritários; a formação continuada dos professores para que possam abordar os temas de maneira sensível, contextualizada e alinhada às expectativas de aprendizagem propostas.</w:t>
      </w:r>
    </w:p>
    <w:p w:rsidR="007259F2" w:rsidRDefault="00E655B4">
      <w:pPr>
        <w:pStyle w:val="Corpodetexto"/>
        <w:ind w:right="569"/>
      </w:pPr>
      <w:r>
        <w:rPr>
          <w:color w:val="211F1F"/>
        </w:rPr>
        <w:t>Para melhor sistematização e organização as orientações estão divididas em 6 partes da seguinte forma: Parte 1 - A Lei n° 10.639/03 e os eixos conceituais; Parte 2 -</w:t>
      </w:r>
      <w:r>
        <w:rPr>
          <w:color w:val="211F1F"/>
          <w:spacing w:val="40"/>
        </w:rPr>
        <w:t xml:space="preserve"> </w:t>
      </w:r>
      <w:r>
        <w:rPr>
          <w:color w:val="211F1F"/>
        </w:rPr>
        <w:t>História da África e Afro-Brasileira na Sala de Aula; Parte 3 - Educação Infantil e a Formação Identitária;</w:t>
      </w:r>
      <w:r>
        <w:rPr>
          <w:color w:val="211F1F"/>
          <w:spacing w:val="-2"/>
        </w:rPr>
        <w:t xml:space="preserve"> </w:t>
      </w:r>
      <w:r>
        <w:rPr>
          <w:color w:val="211F1F"/>
        </w:rPr>
        <w:t>Parte</w:t>
      </w:r>
      <w:r>
        <w:rPr>
          <w:color w:val="211F1F"/>
          <w:spacing w:val="-2"/>
        </w:rPr>
        <w:t xml:space="preserve"> </w:t>
      </w:r>
      <w:r>
        <w:rPr>
          <w:color w:val="211F1F"/>
        </w:rPr>
        <w:t>4</w:t>
      </w:r>
      <w:r>
        <w:rPr>
          <w:color w:val="211F1F"/>
          <w:spacing w:val="-1"/>
        </w:rPr>
        <w:t xml:space="preserve"> </w:t>
      </w:r>
      <w:r>
        <w:rPr>
          <w:color w:val="211F1F"/>
        </w:rPr>
        <w:t>-</w:t>
      </w:r>
      <w:r>
        <w:rPr>
          <w:color w:val="211F1F"/>
          <w:spacing w:val="-3"/>
        </w:rPr>
        <w:t xml:space="preserve"> </w:t>
      </w:r>
      <w:r>
        <w:rPr>
          <w:color w:val="211F1F"/>
        </w:rPr>
        <w:t>Ensino</w:t>
      </w:r>
      <w:r>
        <w:rPr>
          <w:color w:val="211F1F"/>
          <w:spacing w:val="-2"/>
        </w:rPr>
        <w:t xml:space="preserve"> </w:t>
      </w:r>
      <w:r>
        <w:rPr>
          <w:color w:val="211F1F"/>
        </w:rPr>
        <w:t>Fundamental</w:t>
      </w:r>
      <w:r>
        <w:rPr>
          <w:color w:val="211F1F"/>
          <w:spacing w:val="-1"/>
        </w:rPr>
        <w:t xml:space="preserve"> </w:t>
      </w:r>
      <w:r>
        <w:rPr>
          <w:color w:val="211F1F"/>
        </w:rPr>
        <w:t>–</w:t>
      </w:r>
      <w:r>
        <w:rPr>
          <w:color w:val="211F1F"/>
          <w:spacing w:val="-2"/>
        </w:rPr>
        <w:t xml:space="preserve"> </w:t>
      </w:r>
      <w:r>
        <w:rPr>
          <w:color w:val="211F1F"/>
        </w:rPr>
        <w:t>Um</w:t>
      </w:r>
      <w:r>
        <w:rPr>
          <w:color w:val="211F1F"/>
          <w:spacing w:val="-2"/>
        </w:rPr>
        <w:t xml:space="preserve"> </w:t>
      </w:r>
      <w:r>
        <w:rPr>
          <w:color w:val="211F1F"/>
        </w:rPr>
        <w:t>novo</w:t>
      </w:r>
      <w:r>
        <w:rPr>
          <w:color w:val="211F1F"/>
          <w:spacing w:val="-2"/>
        </w:rPr>
        <w:t xml:space="preserve"> </w:t>
      </w:r>
      <w:r>
        <w:rPr>
          <w:color w:val="211F1F"/>
        </w:rPr>
        <w:t>olhar</w:t>
      </w:r>
      <w:r>
        <w:rPr>
          <w:color w:val="211F1F"/>
          <w:spacing w:val="-4"/>
        </w:rPr>
        <w:t xml:space="preserve"> </w:t>
      </w:r>
      <w:r>
        <w:rPr>
          <w:color w:val="211F1F"/>
        </w:rPr>
        <w:t>sobre</w:t>
      </w:r>
      <w:r>
        <w:rPr>
          <w:color w:val="211F1F"/>
          <w:spacing w:val="-2"/>
        </w:rPr>
        <w:t xml:space="preserve"> </w:t>
      </w:r>
      <w:r>
        <w:rPr>
          <w:color w:val="211F1F"/>
        </w:rPr>
        <w:t>o</w:t>
      </w:r>
      <w:r>
        <w:rPr>
          <w:color w:val="211F1F"/>
          <w:spacing w:val="-2"/>
        </w:rPr>
        <w:t xml:space="preserve"> </w:t>
      </w:r>
      <w:r>
        <w:rPr>
          <w:color w:val="211F1F"/>
        </w:rPr>
        <w:t>pluralismo</w:t>
      </w:r>
      <w:r>
        <w:rPr>
          <w:color w:val="211F1F"/>
          <w:spacing w:val="-2"/>
        </w:rPr>
        <w:t xml:space="preserve"> </w:t>
      </w:r>
      <w:r>
        <w:rPr>
          <w:color w:val="211F1F"/>
        </w:rPr>
        <w:t>cultural;</w:t>
      </w:r>
      <w:r>
        <w:rPr>
          <w:color w:val="211F1F"/>
          <w:spacing w:val="-2"/>
        </w:rPr>
        <w:t xml:space="preserve"> </w:t>
      </w:r>
      <w:r>
        <w:rPr>
          <w:color w:val="211F1F"/>
        </w:rPr>
        <w:t xml:space="preserve">Parte 5 - Educação de Jovens e Adultos (EJA): Valorizando a Cidadania; Parte 6 - Ensino Médio: Repensando as Relações Brasil e África Contemporânea. </w:t>
      </w:r>
      <w:r>
        <w:t>Cada uma das partes dedica-se a contribuir para a reflexão e a discussão sobre o que os educandos precisam aprender relativamente a cada uma das áreas de conhecimento, bem como auxiliar as escolas no processo de seleção e organização de conteúdos ao longo da Educação Infantil, do Ensino Fundamental e do Ensino Médio.</w:t>
      </w:r>
    </w:p>
    <w:p w:rsidR="007259F2" w:rsidRDefault="00E655B4">
      <w:pPr>
        <w:pStyle w:val="Heading2"/>
        <w:numPr>
          <w:ilvl w:val="1"/>
          <w:numId w:val="28"/>
        </w:numPr>
        <w:tabs>
          <w:tab w:val="left" w:pos="1276"/>
        </w:tabs>
        <w:spacing w:before="208"/>
        <w:ind w:left="1276" w:hanging="427"/>
        <w:jc w:val="both"/>
      </w:pPr>
      <w:r>
        <w:t>Decreto</w:t>
      </w:r>
      <w:r>
        <w:rPr>
          <w:spacing w:val="-7"/>
        </w:rPr>
        <w:t xml:space="preserve"> </w:t>
      </w:r>
      <w:r>
        <w:t>n°</w:t>
      </w:r>
      <w:r>
        <w:rPr>
          <w:spacing w:val="-4"/>
        </w:rPr>
        <w:t xml:space="preserve"> </w:t>
      </w:r>
      <w:r>
        <w:t>58.526/18</w:t>
      </w:r>
      <w:r>
        <w:rPr>
          <w:spacing w:val="-7"/>
        </w:rPr>
        <w:t xml:space="preserve"> </w:t>
      </w:r>
      <w:r>
        <w:t>(Plano</w:t>
      </w:r>
      <w:r>
        <w:rPr>
          <w:spacing w:val="-3"/>
        </w:rPr>
        <w:t xml:space="preserve"> </w:t>
      </w:r>
      <w:r>
        <w:t>Municipal</w:t>
      </w:r>
      <w:r>
        <w:rPr>
          <w:spacing w:val="-7"/>
        </w:rPr>
        <w:t xml:space="preserve"> </w:t>
      </w:r>
      <w:r>
        <w:t>de</w:t>
      </w:r>
      <w:r>
        <w:rPr>
          <w:spacing w:val="-4"/>
        </w:rPr>
        <w:t xml:space="preserve"> </w:t>
      </w:r>
      <w:r>
        <w:t>Promoção</w:t>
      </w:r>
      <w:r>
        <w:rPr>
          <w:spacing w:val="-4"/>
        </w:rPr>
        <w:t xml:space="preserve"> </w:t>
      </w:r>
      <w:r>
        <w:t>da</w:t>
      </w:r>
      <w:r>
        <w:rPr>
          <w:spacing w:val="-4"/>
        </w:rPr>
        <w:t xml:space="preserve"> </w:t>
      </w:r>
      <w:r>
        <w:t>Igualdade</w:t>
      </w:r>
      <w:r>
        <w:rPr>
          <w:spacing w:val="-4"/>
        </w:rPr>
        <w:t xml:space="preserve"> </w:t>
      </w:r>
      <w:r>
        <w:rPr>
          <w:spacing w:val="-2"/>
        </w:rPr>
        <w:t>Racial)</w:t>
      </w:r>
    </w:p>
    <w:p w:rsidR="007259F2" w:rsidRDefault="00E655B4">
      <w:pPr>
        <w:pStyle w:val="Corpodetexto"/>
        <w:spacing w:before="113"/>
        <w:ind w:right="567"/>
      </w:pPr>
      <w:r>
        <w:t>Depreende-se do exposto até aqui que a concretização da obrigatoriedade instituída pela lei n.º 10.639/03 é um desafio que requer a convergência de diferentes instrumentos jurídicos e ações concretas do Poder Público. Nesse contexto, o Decreto Municipal n° 58.526/18 que institui o Plano Municipal de Promoção da Igualdade Racial (PLAMPIR) emerge como um importante instrumento normativo na esfera municipal de São Paulo, pois estabelece, em âmbito local, estratégias e diretrizes para a promoção da igualdade racial no município,</w:t>
      </w:r>
      <w:r>
        <w:rPr>
          <w:spacing w:val="-1"/>
        </w:rPr>
        <w:t xml:space="preserve"> </w:t>
      </w:r>
      <w:r>
        <w:t>abordando</w:t>
      </w:r>
      <w:r>
        <w:rPr>
          <w:spacing w:val="-1"/>
        </w:rPr>
        <w:t xml:space="preserve"> </w:t>
      </w:r>
      <w:r>
        <w:t>diversas</w:t>
      </w:r>
      <w:r>
        <w:rPr>
          <w:spacing w:val="-1"/>
        </w:rPr>
        <w:t xml:space="preserve"> </w:t>
      </w:r>
      <w:r>
        <w:t>áreas,</w:t>
      </w:r>
      <w:r>
        <w:rPr>
          <w:spacing w:val="-1"/>
        </w:rPr>
        <w:t xml:space="preserve"> </w:t>
      </w:r>
      <w:r>
        <w:t>inclusive</w:t>
      </w:r>
      <w:r>
        <w:rPr>
          <w:spacing w:val="-2"/>
        </w:rPr>
        <w:t xml:space="preserve"> </w:t>
      </w:r>
      <w:r>
        <w:t>a da</w:t>
      </w:r>
      <w:r>
        <w:rPr>
          <w:spacing w:val="-2"/>
        </w:rPr>
        <w:t xml:space="preserve"> </w:t>
      </w:r>
      <w:r>
        <w:t>educação -</w:t>
      </w:r>
      <w:r>
        <w:rPr>
          <w:spacing w:val="-2"/>
        </w:rPr>
        <w:t xml:space="preserve"> </w:t>
      </w:r>
      <w:r>
        <w:t>tópico</w:t>
      </w:r>
      <w:r>
        <w:rPr>
          <w:spacing w:val="-1"/>
        </w:rPr>
        <w:t xml:space="preserve"> </w:t>
      </w:r>
      <w:r>
        <w:t>central</w:t>
      </w:r>
      <w:r>
        <w:rPr>
          <w:spacing w:val="-1"/>
        </w:rPr>
        <w:t xml:space="preserve"> </w:t>
      </w:r>
      <w:r>
        <w:t>deste estudo</w:t>
      </w:r>
      <w:r>
        <w:rPr>
          <w:spacing w:val="-1"/>
        </w:rPr>
        <w:t xml:space="preserve"> </w:t>
      </w:r>
      <w:r>
        <w:t>–, define um plano de ação, promove a valorização da diversidade étnico-racial e busca combater o racismo estrutural por meio de ações concretas e integradas.</w:t>
      </w:r>
    </w:p>
    <w:p w:rsidR="007259F2" w:rsidRDefault="00E655B4">
      <w:pPr>
        <w:pStyle w:val="Corpodetexto"/>
        <w:ind w:right="575"/>
      </w:pPr>
      <w:r>
        <w:t>O Decreto se conecta de modo direto com a lei n.º 10.639/03 na medida em que ambos os instrumentos normativos convergem no sentido de promover uma educação antirracista ao reconhecer a importância de se incorporar conteúdos relacionados à história e cultura afro-brasileira e africana contexto educacional.</w:t>
      </w:r>
    </w:p>
    <w:p w:rsidR="007259F2" w:rsidRDefault="00E655B4">
      <w:pPr>
        <w:pStyle w:val="Corpodetexto"/>
        <w:spacing w:before="1"/>
        <w:ind w:right="568"/>
      </w:pPr>
      <w:r>
        <w:t>A interseção entre o Decreto Municipal e a</w:t>
      </w:r>
      <w:r>
        <w:rPr>
          <w:spacing w:val="16"/>
        </w:rPr>
        <w:t xml:space="preserve"> </w:t>
      </w:r>
      <w:r>
        <w:t>Lei Federal indica a complementaridade</w:t>
      </w:r>
      <w:r>
        <w:rPr>
          <w:spacing w:val="40"/>
        </w:rPr>
        <w:t xml:space="preserve"> </w:t>
      </w:r>
      <w:r>
        <w:t>e sinergia entre normativas, reforçando a necessidade de uma abordagem transversal e abrangente para enfrentar o racismo estrutural e o epistemicídio que ainda persistem na sociedade</w:t>
      </w:r>
      <w:r>
        <w:rPr>
          <w:spacing w:val="-2"/>
        </w:rPr>
        <w:t xml:space="preserve"> </w:t>
      </w:r>
      <w:r>
        <w:t>brasileira.</w:t>
      </w:r>
      <w:r>
        <w:rPr>
          <w:spacing w:val="-3"/>
        </w:rPr>
        <w:t xml:space="preserve"> </w:t>
      </w:r>
      <w:r>
        <w:t>Nessa</w:t>
      </w:r>
      <w:r>
        <w:rPr>
          <w:spacing w:val="-4"/>
        </w:rPr>
        <w:t xml:space="preserve"> </w:t>
      </w:r>
      <w:r>
        <w:t>perspectiva,</w:t>
      </w:r>
      <w:r>
        <w:rPr>
          <w:spacing w:val="-1"/>
        </w:rPr>
        <w:t xml:space="preserve"> </w:t>
      </w:r>
      <w:r>
        <w:t>nota-se</w:t>
      </w:r>
      <w:r>
        <w:rPr>
          <w:spacing w:val="-2"/>
        </w:rPr>
        <w:t xml:space="preserve"> </w:t>
      </w:r>
      <w:r>
        <w:t>que</w:t>
      </w:r>
      <w:r>
        <w:rPr>
          <w:spacing w:val="-4"/>
        </w:rPr>
        <w:t xml:space="preserve"> </w:t>
      </w:r>
      <w:r>
        <w:t>enquanto</w:t>
      </w:r>
      <w:r>
        <w:rPr>
          <w:spacing w:val="-3"/>
        </w:rPr>
        <w:t xml:space="preserve"> </w:t>
      </w:r>
      <w:r>
        <w:t>a</w:t>
      </w:r>
      <w:r>
        <w:rPr>
          <w:spacing w:val="-2"/>
        </w:rPr>
        <w:t xml:space="preserve"> </w:t>
      </w:r>
      <w:r>
        <w:t>lei</w:t>
      </w:r>
      <w:r>
        <w:rPr>
          <w:spacing w:val="-3"/>
        </w:rPr>
        <w:t xml:space="preserve"> </w:t>
      </w:r>
      <w:r>
        <w:t>n.º</w:t>
      </w:r>
      <w:r>
        <w:rPr>
          <w:spacing w:val="-1"/>
        </w:rPr>
        <w:t xml:space="preserve"> </w:t>
      </w:r>
      <w:r>
        <w:t>10.639/03</w:t>
      </w:r>
      <w:r>
        <w:rPr>
          <w:spacing w:val="-3"/>
        </w:rPr>
        <w:t xml:space="preserve"> </w:t>
      </w:r>
      <w:r>
        <w:t>determina</w:t>
      </w:r>
      <w:r>
        <w:rPr>
          <w:spacing w:val="-2"/>
        </w:rPr>
        <w:t xml:space="preserve"> </w:t>
      </w:r>
      <w:r>
        <w:t xml:space="preserve">o ensino obrigatório da história e da cultura afro-brasileira, o Decreto Municipal amplia essa normal, inserindo-a em um contexto mais especifico e direcionado de políticas públicas </w:t>
      </w:r>
      <w:r>
        <w:rPr>
          <w:spacing w:val="-2"/>
        </w:rPr>
        <w:t>municipais.</w:t>
      </w:r>
    </w:p>
    <w:p w:rsidR="007259F2" w:rsidRDefault="00E655B4">
      <w:pPr>
        <w:pStyle w:val="Corpodetexto"/>
        <w:ind w:right="570"/>
      </w:pPr>
      <w:r>
        <w:t>O Decreto Municipal n° 58.526/18 conta com um “anexo único” composto por diversos eixos, do qual é válido destacar o conteúdo do “eixo 6” que trata especificamente</w:t>
      </w:r>
      <w:r>
        <w:rPr>
          <w:spacing w:val="40"/>
        </w:rPr>
        <w:t xml:space="preserve"> </w:t>
      </w:r>
      <w:r>
        <w:t>da “EDUCAÇÃO E RELAÇÕES ÉTNICO-RACIAIS” e estabelece 3 metas:</w:t>
      </w:r>
    </w:p>
    <w:p w:rsidR="007259F2" w:rsidRDefault="00E655B4">
      <w:pPr>
        <w:spacing w:before="121"/>
        <w:ind w:left="2978" w:right="420"/>
        <w:jc w:val="both"/>
        <w:rPr>
          <w:sz w:val="20"/>
        </w:rPr>
      </w:pPr>
      <w:r>
        <w:rPr>
          <w:sz w:val="20"/>
        </w:rPr>
        <w:t>META</w:t>
      </w:r>
      <w:r>
        <w:rPr>
          <w:spacing w:val="-4"/>
          <w:sz w:val="20"/>
        </w:rPr>
        <w:t xml:space="preserve"> </w:t>
      </w:r>
      <w:r>
        <w:rPr>
          <w:sz w:val="20"/>
        </w:rPr>
        <w:t>1 - Viabilizar a implementação das diretrizes das Leis Federais nº 10.639, de 2003,</w:t>
      </w:r>
      <w:r>
        <w:rPr>
          <w:spacing w:val="-2"/>
          <w:sz w:val="20"/>
        </w:rPr>
        <w:t xml:space="preserve"> </w:t>
      </w:r>
      <w:r>
        <w:rPr>
          <w:sz w:val="20"/>
        </w:rPr>
        <w:t>e 11.645, de 2008,</w:t>
      </w:r>
      <w:r>
        <w:rPr>
          <w:spacing w:val="-2"/>
          <w:sz w:val="20"/>
        </w:rPr>
        <w:t xml:space="preserve"> </w:t>
      </w:r>
      <w:r>
        <w:rPr>
          <w:sz w:val="20"/>
        </w:rPr>
        <w:t>por</w:t>
      </w:r>
      <w:r>
        <w:rPr>
          <w:spacing w:val="-2"/>
          <w:sz w:val="20"/>
        </w:rPr>
        <w:t xml:space="preserve"> </w:t>
      </w:r>
      <w:r>
        <w:rPr>
          <w:sz w:val="20"/>
        </w:rPr>
        <w:t>meio do Plano de Ações Estratégicas de Educação para Relações Étnico-Raciais.</w:t>
      </w:r>
    </w:p>
    <w:p w:rsidR="007259F2" w:rsidRDefault="00E655B4">
      <w:pPr>
        <w:ind w:left="2978" w:right="423"/>
        <w:jc w:val="both"/>
        <w:rPr>
          <w:sz w:val="20"/>
        </w:rPr>
      </w:pPr>
      <w:r>
        <w:rPr>
          <w:sz w:val="20"/>
        </w:rPr>
        <w:t>META 2 - Implementar, na rede escolar pública, a prática de esportes, lazer, recreação e cultura, valorizando conhecimentos e saberes dos povos indígenas e das religiões de matrizes africanas.</w:t>
      </w:r>
    </w:p>
    <w:p w:rsidR="007259F2" w:rsidRDefault="007259F2">
      <w:pPr>
        <w:jc w:val="both"/>
        <w:rPr>
          <w:sz w:val="20"/>
        </w:rPr>
        <w:sectPr w:rsidR="007259F2">
          <w:pgSz w:w="11910" w:h="16840"/>
          <w:pgMar w:top="1600" w:right="708" w:bottom="1020" w:left="992" w:header="0" w:footer="820" w:gutter="0"/>
          <w:cols w:space="720"/>
        </w:sectPr>
      </w:pPr>
    </w:p>
    <w:p w:rsidR="007259F2" w:rsidRDefault="00E655B4">
      <w:pPr>
        <w:spacing w:before="77"/>
        <w:ind w:left="2978" w:right="424"/>
        <w:jc w:val="both"/>
        <w:rPr>
          <w:sz w:val="20"/>
        </w:rPr>
      </w:pPr>
      <w:r>
        <w:rPr>
          <w:sz w:val="20"/>
        </w:rPr>
        <w:lastRenderedPageBreak/>
        <w:t>META 3 - Valorizar iniciativas em educação das relações étnico-raciais, oriundas</w:t>
      </w:r>
      <w:r>
        <w:rPr>
          <w:spacing w:val="80"/>
          <w:sz w:val="20"/>
        </w:rPr>
        <w:t xml:space="preserve"> </w:t>
      </w:r>
      <w:r>
        <w:rPr>
          <w:sz w:val="20"/>
        </w:rPr>
        <w:t>de instituições de ensino públicas, privadas, terceiro setor, movimentos sociais e outras organizações.(SÃO PAULO, 2018)</w:t>
      </w:r>
    </w:p>
    <w:p w:rsidR="007259F2" w:rsidRDefault="007259F2">
      <w:pPr>
        <w:pStyle w:val="Corpodetexto"/>
        <w:spacing w:before="2"/>
        <w:ind w:left="0" w:firstLine="0"/>
        <w:jc w:val="left"/>
        <w:rPr>
          <w:sz w:val="20"/>
        </w:rPr>
      </w:pPr>
    </w:p>
    <w:p w:rsidR="007259F2" w:rsidRDefault="00E655B4">
      <w:pPr>
        <w:pStyle w:val="Corpodetexto"/>
        <w:ind w:right="567"/>
      </w:pPr>
      <w:r>
        <w:t>Esse plano de ação municipal evidencia o compromisso do município de São Paulo em promover uma abordagem transversal e abrangente no combate ao racismo</w:t>
      </w:r>
      <w:r>
        <w:rPr>
          <w:spacing w:val="40"/>
        </w:rPr>
        <w:t xml:space="preserve"> </w:t>
      </w:r>
      <w:r>
        <w:t>estrutural</w:t>
      </w:r>
      <w:r>
        <w:rPr>
          <w:spacing w:val="-5"/>
        </w:rPr>
        <w:t xml:space="preserve"> </w:t>
      </w:r>
      <w:r>
        <w:t>do ponto de vida educacional, integrando os princípios da Lei n.º 10.639/03 em uma rede de políticas públicas, visto que para cada uma das metas há a previsão ações para atingi- las. Para a implementação da “META 1”, por exemplo, tem-se:</w:t>
      </w:r>
    </w:p>
    <w:p w:rsidR="007259F2" w:rsidRDefault="00E655B4">
      <w:pPr>
        <w:pStyle w:val="PargrafodaLista"/>
        <w:numPr>
          <w:ilvl w:val="0"/>
          <w:numId w:val="27"/>
        </w:numPr>
        <w:tabs>
          <w:tab w:val="left" w:pos="3698"/>
        </w:tabs>
        <w:spacing w:before="119"/>
        <w:ind w:right="428"/>
        <w:rPr>
          <w:sz w:val="20"/>
        </w:rPr>
      </w:pPr>
      <w:r>
        <w:rPr>
          <w:sz w:val="20"/>
        </w:rPr>
        <w:t>Realizar, em parceria com a Secretaria Municipal de Educação, atividades de formação continuada de professores, gestores e quadro de apoio da rede municipal de ensino, preferencialmente com evolução funcional, incluindo</w:t>
      </w:r>
      <w:r>
        <w:rPr>
          <w:spacing w:val="40"/>
          <w:sz w:val="20"/>
        </w:rPr>
        <w:t xml:space="preserve"> </w:t>
      </w:r>
      <w:r>
        <w:rPr>
          <w:sz w:val="20"/>
        </w:rPr>
        <w:t>a Educação de Jovens e Adultos – EJA;</w:t>
      </w:r>
    </w:p>
    <w:p w:rsidR="007259F2" w:rsidRDefault="00E655B4">
      <w:pPr>
        <w:pStyle w:val="PargrafodaLista"/>
        <w:numPr>
          <w:ilvl w:val="0"/>
          <w:numId w:val="27"/>
        </w:numPr>
        <w:tabs>
          <w:tab w:val="left" w:pos="3698"/>
        </w:tabs>
        <w:spacing w:before="3"/>
        <w:ind w:right="426"/>
        <w:rPr>
          <w:sz w:val="20"/>
        </w:rPr>
      </w:pPr>
      <w:r>
        <w:rPr>
          <w:sz w:val="20"/>
        </w:rPr>
        <w:t xml:space="preserve">Implementar a formação continuada das equipes da Coordenadoria Pedagógica (COPED) e supervisão das Diretorias Regionais de Educação </w:t>
      </w:r>
      <w:r>
        <w:rPr>
          <w:spacing w:val="-2"/>
          <w:sz w:val="20"/>
        </w:rPr>
        <w:t>(DRE);</w:t>
      </w:r>
    </w:p>
    <w:p w:rsidR="007259F2" w:rsidRDefault="00E655B4">
      <w:pPr>
        <w:pStyle w:val="PargrafodaLista"/>
        <w:numPr>
          <w:ilvl w:val="0"/>
          <w:numId w:val="27"/>
        </w:numPr>
        <w:tabs>
          <w:tab w:val="left" w:pos="3698"/>
        </w:tabs>
        <w:ind w:right="422"/>
        <w:rPr>
          <w:sz w:val="20"/>
        </w:rPr>
      </w:pPr>
      <w:r>
        <w:rPr>
          <w:sz w:val="20"/>
        </w:rPr>
        <w:t>Adquirir e disponibilizar material didático e paradidático específico sobre história, cultura e literatura africana, afro-brasileira e indígena, em conformidade com as Leis Federais nº 10.639, de 2003, e 11.645, de 2008, para discentes e docentes da rede municipal de ensino;</w:t>
      </w:r>
    </w:p>
    <w:p w:rsidR="007259F2" w:rsidRDefault="00E655B4">
      <w:pPr>
        <w:pStyle w:val="PargrafodaLista"/>
        <w:numPr>
          <w:ilvl w:val="0"/>
          <w:numId w:val="27"/>
        </w:numPr>
        <w:tabs>
          <w:tab w:val="left" w:pos="3698"/>
        </w:tabs>
        <w:ind w:right="426"/>
        <w:rPr>
          <w:sz w:val="20"/>
        </w:rPr>
      </w:pPr>
      <w:r>
        <w:rPr>
          <w:sz w:val="20"/>
        </w:rPr>
        <w:t>Articular a produção e gestão de materiais didáticos temáticos sobre “História e Cultura Africana, Afro-brasileira e Indígena” para os</w:t>
      </w:r>
      <w:r>
        <w:rPr>
          <w:spacing w:val="-1"/>
          <w:sz w:val="20"/>
        </w:rPr>
        <w:t xml:space="preserve"> </w:t>
      </w:r>
      <w:r>
        <w:rPr>
          <w:sz w:val="20"/>
        </w:rPr>
        <w:t>estudantes da rede municipal de ensino;</w:t>
      </w:r>
    </w:p>
    <w:p w:rsidR="007259F2" w:rsidRDefault="00E655B4">
      <w:pPr>
        <w:pStyle w:val="PargrafodaLista"/>
        <w:numPr>
          <w:ilvl w:val="0"/>
          <w:numId w:val="27"/>
        </w:numPr>
        <w:tabs>
          <w:tab w:val="left" w:pos="3698"/>
        </w:tabs>
        <w:ind w:right="425"/>
        <w:rPr>
          <w:sz w:val="20"/>
        </w:rPr>
      </w:pPr>
      <w:r>
        <w:rPr>
          <w:sz w:val="20"/>
        </w:rPr>
        <w:t xml:space="preserve">Fomentar ações que garantam o respeito à diversidade étnico-racial, com a valorização e preservação da cultura negra e indígena na rede municipal de </w:t>
      </w:r>
      <w:r>
        <w:rPr>
          <w:spacing w:val="-2"/>
          <w:sz w:val="20"/>
        </w:rPr>
        <w:t>ensino;</w:t>
      </w:r>
    </w:p>
    <w:p w:rsidR="007259F2" w:rsidRDefault="00E655B4">
      <w:pPr>
        <w:pStyle w:val="PargrafodaLista"/>
        <w:numPr>
          <w:ilvl w:val="0"/>
          <w:numId w:val="27"/>
        </w:numPr>
        <w:tabs>
          <w:tab w:val="left" w:pos="3698"/>
        </w:tabs>
        <w:ind w:right="423"/>
        <w:rPr>
          <w:sz w:val="20"/>
        </w:rPr>
      </w:pPr>
      <w:r>
        <w:rPr>
          <w:sz w:val="20"/>
        </w:rPr>
        <w:t>Realizar, em parceria com a Secretaria Municipal de Educação, conferências municipais bienais de educação para as relações étnico-raciais e história e cultura afro-brasileira e indígena.</w:t>
      </w:r>
    </w:p>
    <w:p w:rsidR="007259F2" w:rsidRDefault="00E655B4">
      <w:pPr>
        <w:pStyle w:val="PargrafodaLista"/>
        <w:numPr>
          <w:ilvl w:val="0"/>
          <w:numId w:val="27"/>
        </w:numPr>
        <w:tabs>
          <w:tab w:val="left" w:pos="3698"/>
        </w:tabs>
        <w:ind w:right="428"/>
        <w:rPr>
          <w:sz w:val="20"/>
        </w:rPr>
      </w:pPr>
      <w:r>
        <w:rPr>
          <w:sz w:val="20"/>
        </w:rPr>
        <w:t xml:space="preserve">Realizar periodicamente pesquisa survey e pesquisa qualitativa para mapeamento e diagnóstico da implementação das Leis Federais nº 10.639, de 2003, e nº 11.645, de 2008, na rede municipal de ensino.(SÃO PAULO, </w:t>
      </w:r>
      <w:r>
        <w:rPr>
          <w:spacing w:val="-2"/>
          <w:sz w:val="20"/>
        </w:rPr>
        <w:t>2018)</w:t>
      </w:r>
    </w:p>
    <w:p w:rsidR="007259F2" w:rsidRDefault="007259F2">
      <w:pPr>
        <w:pStyle w:val="Corpodetexto"/>
        <w:ind w:left="0" w:firstLine="0"/>
        <w:jc w:val="left"/>
        <w:rPr>
          <w:sz w:val="20"/>
        </w:rPr>
      </w:pPr>
    </w:p>
    <w:p w:rsidR="007259F2" w:rsidRDefault="007259F2">
      <w:pPr>
        <w:pStyle w:val="Corpodetexto"/>
        <w:spacing w:before="10"/>
        <w:ind w:left="0" w:firstLine="0"/>
        <w:jc w:val="left"/>
        <w:rPr>
          <w:sz w:val="20"/>
        </w:rPr>
      </w:pPr>
    </w:p>
    <w:p w:rsidR="007259F2" w:rsidRDefault="00E655B4">
      <w:pPr>
        <w:pStyle w:val="Corpodetexto"/>
        <w:ind w:right="571"/>
      </w:pPr>
      <w:r>
        <w:t>Verifica-se, portanto, que o Plano Municipal de Promoção da Igualdade Racial, desempenha um papel fundamental na concretização da Lei n.º 10.639/03, apresentando-se como mais um instrumento jurídico que compõem um sólido arcabouço normativo e direcional alinhado aos objetivos da referida lei federal.</w:t>
      </w:r>
    </w:p>
    <w:p w:rsidR="007259F2" w:rsidRDefault="00E655B4">
      <w:pPr>
        <w:pStyle w:val="Heading2"/>
        <w:numPr>
          <w:ilvl w:val="1"/>
          <w:numId w:val="28"/>
        </w:numPr>
        <w:tabs>
          <w:tab w:val="left" w:pos="1275"/>
        </w:tabs>
        <w:spacing w:before="210" w:line="237" w:lineRule="auto"/>
        <w:ind w:left="851" w:right="579" w:firstLine="0"/>
        <w:jc w:val="both"/>
      </w:pPr>
      <w:r>
        <w:t xml:space="preserve">Decreto n° 59.749/20 (Política Municipal de Prevenção e Combate ao Racismo </w:t>
      </w:r>
      <w:r>
        <w:rPr>
          <w:spacing w:val="-2"/>
        </w:rPr>
        <w:t>Institucional)</w:t>
      </w:r>
    </w:p>
    <w:p w:rsidR="007259F2" w:rsidRDefault="00E655B4">
      <w:pPr>
        <w:pStyle w:val="Corpodetexto"/>
        <w:spacing w:before="116"/>
        <w:ind w:right="571"/>
      </w:pPr>
      <w:r>
        <w:t>O Decreto Municipal n°</w:t>
      </w:r>
      <w:r>
        <w:rPr>
          <w:spacing w:val="-1"/>
        </w:rPr>
        <w:t xml:space="preserve"> </w:t>
      </w:r>
      <w:r>
        <w:t>59.749/20 dispõe sobre a Política Municipal de</w:t>
      </w:r>
      <w:r>
        <w:rPr>
          <w:spacing w:val="37"/>
        </w:rPr>
        <w:t xml:space="preserve"> </w:t>
      </w:r>
      <w:r>
        <w:t>Prevenção e Combate ao Racismo Institucional e emerge como um instrumento jurídico direcionado à identificação, prevenção e enfrentamento do racismo no âmbito das instituições municipais, evidenciando a necessidade de combater estruturas e práticas discriminatórias.</w:t>
      </w:r>
    </w:p>
    <w:p w:rsidR="007259F2" w:rsidRDefault="00E655B4">
      <w:pPr>
        <w:pStyle w:val="Corpodetexto"/>
        <w:ind w:right="569"/>
      </w:pPr>
      <w:r>
        <w:t>Em um primeiro momento a simples leitura do referido decreto pode dar a impressão de que este não guarda relação com a lei em estudo por não tratar especificamente da área educacional, contudo, uma análise mais cuidadosa, aliada a uma interpretação integrativa, revela uma interconexão significativa entre ambos, tendo em vista que, enquanto a lei estabelece a obrigatoriedade do ensino da história e cultura afro-brasileira e africana, o decreto transcende o ambiente educacional e adentra no âmago das estruturas institucionais, visando</w:t>
      </w:r>
      <w:r>
        <w:rPr>
          <w:spacing w:val="-2"/>
        </w:rPr>
        <w:t xml:space="preserve"> </w:t>
      </w:r>
      <w:r>
        <w:t>combater</w:t>
      </w:r>
      <w:r>
        <w:rPr>
          <w:spacing w:val="-2"/>
        </w:rPr>
        <w:t xml:space="preserve"> </w:t>
      </w:r>
      <w:r>
        <w:t>o</w:t>
      </w:r>
      <w:r>
        <w:rPr>
          <w:spacing w:val="-1"/>
        </w:rPr>
        <w:t xml:space="preserve"> </w:t>
      </w:r>
      <w:r>
        <w:t>racismo</w:t>
      </w:r>
      <w:r>
        <w:rPr>
          <w:spacing w:val="-2"/>
        </w:rPr>
        <w:t xml:space="preserve"> </w:t>
      </w:r>
      <w:r>
        <w:t>em</w:t>
      </w:r>
      <w:r>
        <w:rPr>
          <w:spacing w:val="-2"/>
        </w:rPr>
        <w:t xml:space="preserve"> </w:t>
      </w:r>
      <w:r>
        <w:t>suas manifestações</w:t>
      </w:r>
      <w:r>
        <w:rPr>
          <w:spacing w:val="-2"/>
        </w:rPr>
        <w:t xml:space="preserve"> </w:t>
      </w:r>
      <w:r>
        <w:t>estruturais</w:t>
      </w:r>
      <w:r>
        <w:rPr>
          <w:spacing w:val="-2"/>
        </w:rPr>
        <w:t xml:space="preserve"> </w:t>
      </w:r>
      <w:r>
        <w:t>e</w:t>
      </w:r>
      <w:r>
        <w:rPr>
          <w:spacing w:val="-1"/>
        </w:rPr>
        <w:t xml:space="preserve"> </w:t>
      </w:r>
      <w:r>
        <w:t>cotidianas</w:t>
      </w:r>
      <w:r>
        <w:rPr>
          <w:spacing w:val="-2"/>
        </w:rPr>
        <w:t xml:space="preserve"> </w:t>
      </w:r>
      <w:r>
        <w:t>e,</w:t>
      </w:r>
      <w:r>
        <w:rPr>
          <w:spacing w:val="-2"/>
        </w:rPr>
        <w:t xml:space="preserve"> </w:t>
      </w:r>
      <w:r>
        <w:t>por</w:t>
      </w:r>
      <w:r>
        <w:rPr>
          <w:spacing w:val="-2"/>
        </w:rPr>
        <w:t xml:space="preserve"> </w:t>
      </w:r>
      <w:r>
        <w:t>essa</w:t>
      </w:r>
      <w:r>
        <w:rPr>
          <w:spacing w:val="-3"/>
        </w:rPr>
        <w:t xml:space="preserve"> </w:t>
      </w:r>
      <w:r>
        <w:t>razão, também pode ser considerado como parte do regime jurídico municipal que fortalece a lei</w:t>
      </w:r>
      <w:r>
        <w:rPr>
          <w:spacing w:val="80"/>
        </w:rPr>
        <w:t xml:space="preserve"> </w:t>
      </w:r>
      <w:r>
        <w:t>n.º 10.639/03.</w:t>
      </w:r>
    </w:p>
    <w:p w:rsidR="007259F2" w:rsidRDefault="007259F2">
      <w:pPr>
        <w:pStyle w:val="Corpodetexto"/>
        <w:sectPr w:rsidR="007259F2">
          <w:pgSz w:w="11910" w:h="16840"/>
          <w:pgMar w:top="1600" w:right="708" w:bottom="1020" w:left="992" w:header="0" w:footer="820" w:gutter="0"/>
          <w:cols w:space="720"/>
        </w:sectPr>
      </w:pPr>
    </w:p>
    <w:p w:rsidR="007259F2" w:rsidRDefault="00E655B4">
      <w:pPr>
        <w:pStyle w:val="Corpodetexto"/>
        <w:spacing w:before="75"/>
        <w:ind w:right="571"/>
      </w:pPr>
      <w:r>
        <w:lastRenderedPageBreak/>
        <w:t>Essa harmonia entre o Decreto Municipal e a Lei Federal evidencia a complementaridade entre legislações, reforçando a necessidade de abordagens multifacetadas e integradas para enfrentar o racismo, seja no contexto educacional seja em outros contextos. Assim, fica evidente que a Política Municipal de Prevenção e Combate ao Racismo busca mudanças estruturais nas instituições, garantindo que práticas discriminatórias sejam identificadas, enfrentadas e eliminadas, em todos os setores,</w:t>
      </w:r>
      <w:r>
        <w:rPr>
          <w:spacing w:val="80"/>
        </w:rPr>
        <w:t xml:space="preserve"> </w:t>
      </w:r>
      <w:r>
        <w:t>inclusive no ambiente escolar e em todas as instituições, inclusive naquelas destinadas à formação dos cidadãos.</w:t>
      </w:r>
    </w:p>
    <w:p w:rsidR="007259F2" w:rsidRDefault="00E655B4">
      <w:pPr>
        <w:pStyle w:val="Heading2"/>
        <w:numPr>
          <w:ilvl w:val="1"/>
          <w:numId w:val="28"/>
        </w:numPr>
        <w:tabs>
          <w:tab w:val="left" w:pos="1276"/>
        </w:tabs>
        <w:spacing w:before="209" w:line="237" w:lineRule="auto"/>
        <w:ind w:left="849" w:right="562" w:firstLine="0"/>
        <w:jc w:val="both"/>
      </w:pPr>
      <w:r>
        <w:t>Currículo da Cidade para Educação Antirracista - Orientações Pedagógicas: povos afro-brasileiros</w:t>
      </w:r>
    </w:p>
    <w:p w:rsidR="007259F2" w:rsidRDefault="00E655B4">
      <w:pPr>
        <w:pStyle w:val="Corpodetexto"/>
        <w:spacing w:before="117"/>
        <w:ind w:right="571"/>
      </w:pPr>
      <w:r>
        <w:t>Desenvolvido pela Secretaria Municipal de Educação (SME) o "Currículo da Cidade para Educação Antirracista - Orientações Pedagógicas: povos afro-brasileiros" representa</w:t>
      </w:r>
      <w:r>
        <w:rPr>
          <w:spacing w:val="40"/>
        </w:rPr>
        <w:t xml:space="preserve"> </w:t>
      </w:r>
      <w:r>
        <w:t>um programa pedagógico direcionado à concretização à lei n.º 10.639/03. Trata-se de documento específico do Município, que passa a</w:t>
      </w:r>
      <w:r>
        <w:rPr>
          <w:spacing w:val="-2"/>
        </w:rPr>
        <w:t xml:space="preserve"> </w:t>
      </w:r>
      <w:r>
        <w:t>compor o currículo da cidade e fortalece as práticas de educação antirracista já adotadas pelas escolas da Rede Municipal. Foi lançado pela SME na II Expo Internacional Dia da Consciência Negra, no Expo Center Norte, em São Paulo em 19 de novembro de 2022.</w:t>
      </w:r>
    </w:p>
    <w:p w:rsidR="007259F2" w:rsidRDefault="00E655B4">
      <w:pPr>
        <w:pStyle w:val="Corpodetexto"/>
        <w:ind w:right="569"/>
      </w:pPr>
      <w:r>
        <w:t>As “Orientações Pedagógicas: povos afro-brasileiros” complementam a tríade de outras publicações já disponíveis que tratam, respectivamente, dos povos indígenas e dos povos migrantes. Essas populações estão no centro das discussões e das atividades desenvolvidas pelo Núcleo de Educação para as Relações Étnico-Raciais (NEER), da SME. A elaboração do documento contou com a participação de profissionais de diversos setores da SME, principalmente, daqueles que atuam nas escolas. O documento indica, inclusive, exemplos práticos de como os professores podem trabalhar o tema em sala de aula.</w:t>
      </w:r>
    </w:p>
    <w:p w:rsidR="007259F2" w:rsidRDefault="00E655B4">
      <w:pPr>
        <w:pStyle w:val="Corpodetexto"/>
        <w:spacing w:before="1"/>
        <w:ind w:right="570"/>
      </w:pPr>
      <w:r>
        <w:t>Com o lançamento deste documento pedagógico que contempla ações concretas a serem realizadas nas instituições de ensino da rede municipal, a SME reforça o</w:t>
      </w:r>
      <w:r>
        <w:rPr>
          <w:spacing w:val="40"/>
        </w:rPr>
        <w:t xml:space="preserve"> </w:t>
      </w:r>
      <w:r>
        <w:t xml:space="preserve">compromisso com a construção de uma educação antirracista que esteja de fato nos projetos </w:t>
      </w:r>
      <w:r>
        <w:rPr>
          <w:spacing w:val="-2"/>
        </w:rPr>
        <w:t>escolares.</w:t>
      </w:r>
    </w:p>
    <w:p w:rsidR="007259F2" w:rsidRDefault="00E655B4">
      <w:pPr>
        <w:pStyle w:val="Corpodetexto"/>
        <w:ind w:right="569"/>
      </w:pPr>
      <w:r>
        <w:t>Conforme informações disponibilizadas na data do lançamento, a SME disponibilizaria</w:t>
      </w:r>
      <w:r>
        <w:rPr>
          <w:spacing w:val="40"/>
        </w:rPr>
        <w:t xml:space="preserve"> </w:t>
      </w:r>
      <w:r>
        <w:t xml:space="preserve">as cópias impressas das orientações às escolas até o mês de março do ano </w:t>
      </w:r>
      <w:r>
        <w:rPr>
          <w:spacing w:val="-2"/>
        </w:rPr>
        <w:t>subsequente.</w:t>
      </w:r>
    </w:p>
    <w:p w:rsidR="007259F2" w:rsidRDefault="00E655B4">
      <w:pPr>
        <w:pStyle w:val="Corpodetexto"/>
        <w:ind w:left="1418" w:firstLine="0"/>
      </w:pPr>
      <w:r>
        <w:t>O</w:t>
      </w:r>
      <w:r>
        <w:rPr>
          <w:spacing w:val="-4"/>
        </w:rPr>
        <w:t xml:space="preserve"> </w:t>
      </w:r>
      <w:r>
        <w:t>documento está</w:t>
      </w:r>
      <w:r>
        <w:rPr>
          <w:spacing w:val="-13"/>
        </w:rPr>
        <w:t xml:space="preserve"> </w:t>
      </w:r>
      <w:r>
        <w:t>organizado</w:t>
      </w:r>
      <w:r>
        <w:rPr>
          <w:spacing w:val="3"/>
        </w:rPr>
        <w:t xml:space="preserve"> </w:t>
      </w:r>
      <w:r>
        <w:t xml:space="preserve">da seguinte </w:t>
      </w:r>
      <w:r>
        <w:rPr>
          <w:spacing w:val="-2"/>
        </w:rPr>
        <w:t>forma:</w:t>
      </w:r>
    </w:p>
    <w:p w:rsidR="007259F2" w:rsidRDefault="00E655B4">
      <w:pPr>
        <w:spacing w:before="121"/>
        <w:ind w:left="2978" w:right="427"/>
        <w:jc w:val="both"/>
        <w:rPr>
          <w:sz w:val="20"/>
        </w:rPr>
      </w:pPr>
      <w:r>
        <w:rPr>
          <w:sz w:val="20"/>
        </w:rPr>
        <w:t>Parte 1 - “Desvelando Conceitos para uma Educação Antirracista”, trata mos de conceitos que muitas vezes podem ser mal interpretados pelos(as) educa dores(as), trazendo prejuízo para o avanço das relações raciais no interior da escola.</w:t>
      </w:r>
    </w:p>
    <w:p w:rsidR="007259F2" w:rsidRDefault="00E655B4">
      <w:pPr>
        <w:ind w:left="2978" w:right="424"/>
        <w:jc w:val="both"/>
        <w:rPr>
          <w:sz w:val="20"/>
        </w:rPr>
      </w:pPr>
      <w:r>
        <w:rPr>
          <w:sz w:val="20"/>
        </w:rPr>
        <w:t>Parte 2 - “Das Intenções às Ações: o Cotidiano das Unidades Educacionais”, convidamos para reflexões acerca de</w:t>
      </w:r>
      <w:r>
        <w:rPr>
          <w:spacing w:val="-1"/>
          <w:sz w:val="20"/>
        </w:rPr>
        <w:t xml:space="preserve"> </w:t>
      </w:r>
      <w:r>
        <w:rPr>
          <w:sz w:val="20"/>
        </w:rPr>
        <w:t>posturas e práticas que acontecem</w:t>
      </w:r>
      <w:r>
        <w:rPr>
          <w:spacing w:val="-2"/>
          <w:sz w:val="20"/>
        </w:rPr>
        <w:t xml:space="preserve"> </w:t>
      </w:r>
      <w:r>
        <w:rPr>
          <w:sz w:val="20"/>
        </w:rPr>
        <w:t xml:space="preserve">no cotidiano e que já deveriam ter sido superadas, como abordagem dos conteúdos de história e cultura afro-brasileira e africana apenas no mês de novembro, considerando-a uma temática pontual e não algo que deve ser parte do fundamento pedagógico e </w:t>
      </w:r>
      <w:r>
        <w:rPr>
          <w:spacing w:val="-2"/>
          <w:sz w:val="20"/>
        </w:rPr>
        <w:t>curricular.</w:t>
      </w:r>
    </w:p>
    <w:p w:rsidR="007259F2" w:rsidRDefault="00E655B4">
      <w:pPr>
        <w:ind w:left="2978" w:right="424"/>
        <w:jc w:val="both"/>
        <w:rPr>
          <w:sz w:val="20"/>
        </w:rPr>
      </w:pPr>
      <w:r>
        <w:rPr>
          <w:sz w:val="20"/>
        </w:rPr>
        <w:t>Parte 3 -</w:t>
      </w:r>
      <w:r>
        <w:rPr>
          <w:spacing w:val="-1"/>
          <w:sz w:val="20"/>
        </w:rPr>
        <w:t xml:space="preserve"> </w:t>
      </w:r>
      <w:r>
        <w:rPr>
          <w:sz w:val="20"/>
        </w:rPr>
        <w:t>“Interseccionalidades na Educação Antirracista”, chamamos a atenção para algumas das intersecções de opressões que podem ocorrer e que nem sempre</w:t>
      </w:r>
      <w:r>
        <w:rPr>
          <w:spacing w:val="40"/>
          <w:sz w:val="20"/>
        </w:rPr>
        <w:t xml:space="preserve"> </w:t>
      </w:r>
      <w:r>
        <w:rPr>
          <w:sz w:val="20"/>
        </w:rPr>
        <w:t>estamos atentos(as) para identificar e intervir: raça e gênero, raça e deficiência e a especificidade da Educação de Jovens e Adultos.</w:t>
      </w:r>
    </w:p>
    <w:p w:rsidR="007259F2" w:rsidRDefault="00E655B4">
      <w:pPr>
        <w:ind w:left="2978" w:right="428"/>
        <w:jc w:val="both"/>
        <w:rPr>
          <w:sz w:val="20"/>
        </w:rPr>
      </w:pPr>
      <w:r>
        <w:rPr>
          <w:sz w:val="20"/>
        </w:rPr>
        <w:t>Parte 4 - “Áreas do Conhecimento e Educação Antirracista”, buscamos destacar em cada</w:t>
      </w:r>
      <w:r>
        <w:rPr>
          <w:spacing w:val="-2"/>
          <w:sz w:val="20"/>
        </w:rPr>
        <w:t xml:space="preserve"> </w:t>
      </w:r>
      <w:r>
        <w:rPr>
          <w:sz w:val="20"/>
        </w:rPr>
        <w:t>área</w:t>
      </w:r>
      <w:r>
        <w:rPr>
          <w:spacing w:val="-1"/>
          <w:sz w:val="20"/>
        </w:rPr>
        <w:t xml:space="preserve"> </w:t>
      </w:r>
      <w:r>
        <w:rPr>
          <w:sz w:val="20"/>
        </w:rPr>
        <w:t>os</w:t>
      </w:r>
      <w:r>
        <w:rPr>
          <w:spacing w:val="-2"/>
          <w:sz w:val="20"/>
        </w:rPr>
        <w:t xml:space="preserve"> </w:t>
      </w:r>
      <w:r>
        <w:rPr>
          <w:sz w:val="20"/>
        </w:rPr>
        <w:t>principais</w:t>
      </w:r>
      <w:r>
        <w:rPr>
          <w:spacing w:val="-2"/>
          <w:sz w:val="20"/>
        </w:rPr>
        <w:t xml:space="preserve"> </w:t>
      </w:r>
      <w:r>
        <w:rPr>
          <w:sz w:val="20"/>
        </w:rPr>
        <w:t>pontos que</w:t>
      </w:r>
      <w:r>
        <w:rPr>
          <w:spacing w:val="-2"/>
          <w:sz w:val="20"/>
        </w:rPr>
        <w:t xml:space="preserve"> </w:t>
      </w:r>
      <w:r>
        <w:rPr>
          <w:sz w:val="20"/>
        </w:rPr>
        <w:t>devem</w:t>
      </w:r>
      <w:r>
        <w:rPr>
          <w:spacing w:val="-5"/>
          <w:sz w:val="20"/>
        </w:rPr>
        <w:t xml:space="preserve"> </w:t>
      </w:r>
      <w:r>
        <w:rPr>
          <w:sz w:val="20"/>
        </w:rPr>
        <w:t>ser</w:t>
      </w:r>
      <w:r>
        <w:rPr>
          <w:spacing w:val="-1"/>
          <w:sz w:val="20"/>
        </w:rPr>
        <w:t xml:space="preserve"> </w:t>
      </w:r>
      <w:r>
        <w:rPr>
          <w:sz w:val="20"/>
        </w:rPr>
        <w:t>considerados</w:t>
      </w:r>
      <w:r>
        <w:rPr>
          <w:spacing w:val="-2"/>
          <w:sz w:val="20"/>
        </w:rPr>
        <w:t xml:space="preserve"> </w:t>
      </w:r>
      <w:r>
        <w:rPr>
          <w:sz w:val="20"/>
        </w:rPr>
        <w:t>para</w:t>
      </w:r>
      <w:r>
        <w:rPr>
          <w:spacing w:val="-2"/>
          <w:sz w:val="20"/>
        </w:rPr>
        <w:t xml:space="preserve"> </w:t>
      </w:r>
      <w:r>
        <w:rPr>
          <w:sz w:val="20"/>
        </w:rPr>
        <w:t>o</w:t>
      </w:r>
      <w:r>
        <w:rPr>
          <w:spacing w:val="-1"/>
          <w:sz w:val="20"/>
        </w:rPr>
        <w:t xml:space="preserve"> </w:t>
      </w:r>
      <w:r>
        <w:rPr>
          <w:sz w:val="20"/>
        </w:rPr>
        <w:t>fortalecimento</w:t>
      </w:r>
      <w:r>
        <w:rPr>
          <w:spacing w:val="-1"/>
          <w:sz w:val="20"/>
        </w:rPr>
        <w:t xml:space="preserve"> </w:t>
      </w:r>
      <w:r>
        <w:rPr>
          <w:sz w:val="20"/>
        </w:rPr>
        <w:t>das ações voltadas para o cumprimento da Lei n° 10.639/03 nas UEs.</w:t>
      </w:r>
    </w:p>
    <w:p w:rsidR="007259F2" w:rsidRDefault="00E655B4">
      <w:pPr>
        <w:spacing w:before="1"/>
        <w:ind w:left="2978" w:right="424"/>
        <w:jc w:val="both"/>
        <w:rPr>
          <w:sz w:val="20"/>
        </w:rPr>
      </w:pPr>
      <w:r>
        <w:rPr>
          <w:sz w:val="20"/>
        </w:rPr>
        <w:t>Parte 5 - “Seguindo na Trilha para uma Educação Antirracista”, deixamos nossas considerações finais para este momento em que buscamos, por meio deste documento, trazer todos(as) os(as) educadores(as) para a trilha da educação antirracista,</w:t>
      </w:r>
      <w:r>
        <w:rPr>
          <w:spacing w:val="16"/>
          <w:sz w:val="20"/>
        </w:rPr>
        <w:t xml:space="preserve"> </w:t>
      </w:r>
      <w:r>
        <w:rPr>
          <w:sz w:val="20"/>
        </w:rPr>
        <w:t>caminhando</w:t>
      </w:r>
      <w:r>
        <w:rPr>
          <w:spacing w:val="16"/>
          <w:sz w:val="20"/>
        </w:rPr>
        <w:t xml:space="preserve"> </w:t>
      </w:r>
      <w:r>
        <w:rPr>
          <w:sz w:val="20"/>
        </w:rPr>
        <w:t>com</w:t>
      </w:r>
      <w:r>
        <w:rPr>
          <w:spacing w:val="14"/>
          <w:sz w:val="20"/>
        </w:rPr>
        <w:t xml:space="preserve"> </w:t>
      </w:r>
      <w:r>
        <w:rPr>
          <w:sz w:val="20"/>
        </w:rPr>
        <w:t>firmeza</w:t>
      </w:r>
      <w:r>
        <w:rPr>
          <w:spacing w:val="16"/>
          <w:sz w:val="20"/>
        </w:rPr>
        <w:t xml:space="preserve"> </w:t>
      </w:r>
      <w:r>
        <w:rPr>
          <w:sz w:val="20"/>
        </w:rPr>
        <w:t>e</w:t>
      </w:r>
      <w:r>
        <w:rPr>
          <w:spacing w:val="16"/>
          <w:sz w:val="20"/>
        </w:rPr>
        <w:t xml:space="preserve"> </w:t>
      </w:r>
      <w:r>
        <w:rPr>
          <w:sz w:val="20"/>
        </w:rPr>
        <w:t>sentindo-se</w:t>
      </w:r>
      <w:r>
        <w:rPr>
          <w:spacing w:val="16"/>
          <w:sz w:val="20"/>
        </w:rPr>
        <w:t xml:space="preserve"> </w:t>
      </w:r>
      <w:r>
        <w:rPr>
          <w:sz w:val="20"/>
        </w:rPr>
        <w:t>amparados(as)</w:t>
      </w:r>
      <w:r>
        <w:rPr>
          <w:spacing w:val="17"/>
          <w:sz w:val="20"/>
        </w:rPr>
        <w:t xml:space="preserve"> </w:t>
      </w:r>
      <w:r>
        <w:rPr>
          <w:sz w:val="20"/>
        </w:rPr>
        <w:t>para</w:t>
      </w:r>
      <w:r>
        <w:rPr>
          <w:spacing w:val="13"/>
          <w:sz w:val="20"/>
        </w:rPr>
        <w:t xml:space="preserve"> </w:t>
      </w:r>
      <w:r>
        <w:rPr>
          <w:sz w:val="20"/>
        </w:rPr>
        <w:t>dar</w:t>
      </w:r>
      <w:r>
        <w:rPr>
          <w:spacing w:val="16"/>
          <w:sz w:val="20"/>
        </w:rPr>
        <w:t xml:space="preserve"> </w:t>
      </w:r>
      <w:r>
        <w:rPr>
          <w:spacing w:val="-2"/>
          <w:sz w:val="20"/>
        </w:rPr>
        <w:t>passos</w:t>
      </w:r>
    </w:p>
    <w:p w:rsidR="007259F2" w:rsidRDefault="007259F2">
      <w:pPr>
        <w:jc w:val="both"/>
        <w:rPr>
          <w:sz w:val="20"/>
        </w:rPr>
        <w:sectPr w:rsidR="007259F2">
          <w:pgSz w:w="11910" w:h="16840"/>
          <w:pgMar w:top="1600" w:right="708" w:bottom="1020" w:left="992" w:header="0" w:footer="820" w:gutter="0"/>
          <w:cols w:space="720"/>
        </w:sectPr>
      </w:pPr>
    </w:p>
    <w:p w:rsidR="007259F2" w:rsidRDefault="00E655B4">
      <w:pPr>
        <w:spacing w:before="77"/>
        <w:ind w:left="2978"/>
        <w:jc w:val="both"/>
        <w:rPr>
          <w:sz w:val="20"/>
        </w:rPr>
      </w:pPr>
      <w:r>
        <w:rPr>
          <w:sz w:val="20"/>
        </w:rPr>
        <w:lastRenderedPageBreak/>
        <w:t>cada</w:t>
      </w:r>
      <w:r>
        <w:rPr>
          <w:spacing w:val="-6"/>
          <w:sz w:val="20"/>
        </w:rPr>
        <w:t xml:space="preserve"> </w:t>
      </w:r>
      <w:r>
        <w:rPr>
          <w:sz w:val="20"/>
        </w:rPr>
        <w:t>vez</w:t>
      </w:r>
      <w:r>
        <w:rPr>
          <w:spacing w:val="-3"/>
          <w:sz w:val="20"/>
        </w:rPr>
        <w:t xml:space="preserve"> </w:t>
      </w:r>
      <w:r>
        <w:rPr>
          <w:sz w:val="20"/>
        </w:rPr>
        <w:t>mais</w:t>
      </w:r>
      <w:r>
        <w:rPr>
          <w:spacing w:val="-7"/>
          <w:sz w:val="20"/>
        </w:rPr>
        <w:t xml:space="preserve"> </w:t>
      </w:r>
      <w:r>
        <w:rPr>
          <w:sz w:val="20"/>
        </w:rPr>
        <w:t>largos.</w:t>
      </w:r>
      <w:r>
        <w:rPr>
          <w:spacing w:val="-4"/>
          <w:sz w:val="20"/>
        </w:rPr>
        <w:t xml:space="preserve"> </w:t>
      </w:r>
      <w:r>
        <w:rPr>
          <w:sz w:val="20"/>
        </w:rPr>
        <w:t>(SÃO</w:t>
      </w:r>
      <w:r>
        <w:rPr>
          <w:spacing w:val="-6"/>
          <w:sz w:val="20"/>
        </w:rPr>
        <w:t xml:space="preserve"> </w:t>
      </w:r>
      <w:r>
        <w:rPr>
          <w:sz w:val="20"/>
        </w:rPr>
        <w:t>PAULO,</w:t>
      </w:r>
      <w:r>
        <w:rPr>
          <w:spacing w:val="-6"/>
          <w:sz w:val="20"/>
        </w:rPr>
        <w:t xml:space="preserve"> </w:t>
      </w:r>
      <w:r>
        <w:rPr>
          <w:spacing w:val="-2"/>
          <w:sz w:val="20"/>
        </w:rPr>
        <w:t>2022)</w:t>
      </w:r>
    </w:p>
    <w:p w:rsidR="007259F2" w:rsidRDefault="007259F2">
      <w:pPr>
        <w:pStyle w:val="Corpodetexto"/>
        <w:spacing w:before="198"/>
        <w:ind w:left="0" w:firstLine="0"/>
        <w:jc w:val="left"/>
        <w:rPr>
          <w:sz w:val="20"/>
        </w:rPr>
      </w:pPr>
    </w:p>
    <w:p w:rsidR="007259F2" w:rsidRDefault="00E655B4">
      <w:pPr>
        <w:pStyle w:val="Corpodetexto"/>
        <w:ind w:right="570"/>
      </w:pPr>
      <w:r>
        <w:t>Assim, a intersecção entre o "Currículo da Cidade para Educação Antirracista" e a Lei n.º 10.639/03 reflete a necessidade de políticas educacionais que visam não apenas a difusão do conhecimento, mas também a construção de uma consciência crítica sobre as questões étnico-raciais, na medida em que ambos compartilham o objetivo comum de combater o racismo estrutural, capacitando os docentes e formando os estudantes para compreenderem e valorizarem as diferenças étnicas e culturais que compõem o Brasil.</w:t>
      </w:r>
    </w:p>
    <w:p w:rsidR="007259F2" w:rsidRDefault="00E655B4">
      <w:pPr>
        <w:pStyle w:val="Heading2"/>
        <w:numPr>
          <w:ilvl w:val="1"/>
          <w:numId w:val="28"/>
        </w:numPr>
        <w:tabs>
          <w:tab w:val="left" w:pos="1276"/>
        </w:tabs>
        <w:ind w:left="1276" w:hanging="427"/>
        <w:jc w:val="both"/>
      </w:pPr>
      <w:r>
        <w:t>Lei</w:t>
      </w:r>
      <w:r>
        <w:rPr>
          <w:spacing w:val="-1"/>
        </w:rPr>
        <w:t xml:space="preserve"> </w:t>
      </w:r>
      <w:r>
        <w:t>nº</w:t>
      </w:r>
      <w:r>
        <w:rPr>
          <w:spacing w:val="-2"/>
        </w:rPr>
        <w:t xml:space="preserve"> </w:t>
      </w:r>
      <w:r>
        <w:t>17.950 de</w:t>
      </w:r>
      <w:r>
        <w:rPr>
          <w:spacing w:val="-2"/>
        </w:rPr>
        <w:t xml:space="preserve"> </w:t>
      </w:r>
      <w:r>
        <w:t>19</w:t>
      </w:r>
      <w:r>
        <w:rPr>
          <w:spacing w:val="-5"/>
        </w:rPr>
        <w:t xml:space="preserve"> </w:t>
      </w:r>
      <w:r>
        <w:t>de</w:t>
      </w:r>
      <w:r>
        <w:rPr>
          <w:spacing w:val="1"/>
        </w:rPr>
        <w:t xml:space="preserve"> </w:t>
      </w:r>
      <w:r>
        <w:t>maio</w:t>
      </w:r>
      <w:r>
        <w:rPr>
          <w:spacing w:val="-3"/>
        </w:rPr>
        <w:t xml:space="preserve"> </w:t>
      </w:r>
      <w:r>
        <w:t>de</w:t>
      </w:r>
      <w:r>
        <w:rPr>
          <w:spacing w:val="1"/>
        </w:rPr>
        <w:t xml:space="preserve"> </w:t>
      </w:r>
      <w:r>
        <w:rPr>
          <w:spacing w:val="-4"/>
        </w:rPr>
        <w:t>2023</w:t>
      </w:r>
    </w:p>
    <w:p w:rsidR="007259F2" w:rsidRDefault="00E655B4">
      <w:pPr>
        <w:pStyle w:val="Corpodetexto"/>
        <w:spacing w:before="113"/>
        <w:ind w:right="569"/>
      </w:pPr>
      <w:r>
        <w:t>A Lei n° 17.950 de 19 de maio de 2023 institui a obrigatoriedade de capacitação dos professores da rede de ensino pública e privada para atuação na promoção da igualdade racial.</w:t>
      </w:r>
      <w:r>
        <w:rPr>
          <w:spacing w:val="-1"/>
        </w:rPr>
        <w:t xml:space="preserve"> </w:t>
      </w:r>
      <w:r>
        <w:t>Pode</w:t>
      </w:r>
      <w:r>
        <w:rPr>
          <w:spacing w:val="-2"/>
        </w:rPr>
        <w:t xml:space="preserve"> </w:t>
      </w:r>
      <w:r>
        <w:t>ser</w:t>
      </w:r>
      <w:r>
        <w:rPr>
          <w:spacing w:val="-2"/>
        </w:rPr>
        <w:t xml:space="preserve"> </w:t>
      </w:r>
      <w:r>
        <w:t>considerada</w:t>
      </w:r>
      <w:r>
        <w:rPr>
          <w:spacing w:val="-2"/>
        </w:rPr>
        <w:t xml:space="preserve"> </w:t>
      </w:r>
      <w:r>
        <w:t>a</w:t>
      </w:r>
      <w:r>
        <w:rPr>
          <w:spacing w:val="-2"/>
        </w:rPr>
        <w:t xml:space="preserve"> </w:t>
      </w:r>
      <w:r>
        <w:t>mais</w:t>
      </w:r>
      <w:r>
        <w:rPr>
          <w:spacing w:val="-1"/>
        </w:rPr>
        <w:t xml:space="preserve"> </w:t>
      </w:r>
      <w:r>
        <w:t>recente</w:t>
      </w:r>
      <w:r>
        <w:rPr>
          <w:spacing w:val="-2"/>
        </w:rPr>
        <w:t xml:space="preserve"> </w:t>
      </w:r>
      <w:r>
        <w:t>lei</w:t>
      </w:r>
      <w:r>
        <w:rPr>
          <w:spacing w:val="-1"/>
        </w:rPr>
        <w:t xml:space="preserve"> </w:t>
      </w:r>
      <w:r>
        <w:t>municipal</w:t>
      </w:r>
      <w:r>
        <w:rPr>
          <w:spacing w:val="-1"/>
        </w:rPr>
        <w:t xml:space="preserve"> </w:t>
      </w:r>
      <w:r>
        <w:t>relacionada</w:t>
      </w:r>
      <w:r>
        <w:rPr>
          <w:spacing w:val="-2"/>
        </w:rPr>
        <w:t xml:space="preserve"> </w:t>
      </w:r>
      <w:r>
        <w:t>à</w:t>
      </w:r>
      <w:r>
        <w:rPr>
          <w:spacing w:val="-2"/>
        </w:rPr>
        <w:t xml:space="preserve"> </w:t>
      </w:r>
      <w:r>
        <w:t>educação</w:t>
      </w:r>
      <w:r>
        <w:rPr>
          <w:spacing w:val="-1"/>
        </w:rPr>
        <w:t xml:space="preserve"> </w:t>
      </w:r>
      <w:r>
        <w:t>antirracista, aprovada pouco mais de 20 anos desde a promulgação da lei n.º 10.639/03. Sobre a capacitação dos professores a lei assim dispõe:</w:t>
      </w:r>
    </w:p>
    <w:p w:rsidR="007259F2" w:rsidRDefault="00E655B4">
      <w:pPr>
        <w:spacing w:before="122"/>
        <w:ind w:left="2978"/>
        <w:jc w:val="both"/>
        <w:rPr>
          <w:sz w:val="20"/>
        </w:rPr>
      </w:pPr>
      <w:r>
        <w:rPr>
          <w:sz w:val="20"/>
        </w:rPr>
        <w:t>Art.</w:t>
      </w:r>
      <w:r>
        <w:rPr>
          <w:spacing w:val="-8"/>
          <w:sz w:val="20"/>
        </w:rPr>
        <w:t xml:space="preserve"> </w:t>
      </w:r>
      <w:r>
        <w:rPr>
          <w:sz w:val="20"/>
        </w:rPr>
        <w:t>1º</w:t>
      </w:r>
      <w:r>
        <w:rPr>
          <w:spacing w:val="-9"/>
          <w:sz w:val="20"/>
        </w:rPr>
        <w:t xml:space="preserve"> </w:t>
      </w:r>
      <w:r>
        <w:rPr>
          <w:sz w:val="20"/>
        </w:rPr>
        <w:t>Os</w:t>
      </w:r>
      <w:r>
        <w:rPr>
          <w:spacing w:val="-7"/>
          <w:sz w:val="20"/>
        </w:rPr>
        <w:t xml:space="preserve"> </w:t>
      </w:r>
      <w:r>
        <w:rPr>
          <w:sz w:val="20"/>
        </w:rPr>
        <w:t>profissionais</w:t>
      </w:r>
      <w:r>
        <w:rPr>
          <w:spacing w:val="-10"/>
          <w:sz w:val="20"/>
        </w:rPr>
        <w:t xml:space="preserve"> </w:t>
      </w:r>
      <w:r>
        <w:rPr>
          <w:sz w:val="20"/>
        </w:rPr>
        <w:t>de</w:t>
      </w:r>
      <w:r>
        <w:rPr>
          <w:spacing w:val="-9"/>
          <w:sz w:val="20"/>
        </w:rPr>
        <w:t xml:space="preserve"> </w:t>
      </w:r>
      <w:r>
        <w:rPr>
          <w:sz w:val="20"/>
        </w:rPr>
        <w:t>educação</w:t>
      </w:r>
      <w:r>
        <w:rPr>
          <w:spacing w:val="-9"/>
          <w:sz w:val="20"/>
        </w:rPr>
        <w:t xml:space="preserve"> </w:t>
      </w:r>
      <w:r>
        <w:rPr>
          <w:sz w:val="20"/>
        </w:rPr>
        <w:t>da</w:t>
      </w:r>
      <w:r>
        <w:rPr>
          <w:spacing w:val="-6"/>
          <w:sz w:val="20"/>
        </w:rPr>
        <w:t xml:space="preserve"> </w:t>
      </w:r>
      <w:r>
        <w:rPr>
          <w:sz w:val="20"/>
        </w:rPr>
        <w:t>rede</w:t>
      </w:r>
      <w:r>
        <w:rPr>
          <w:spacing w:val="-10"/>
          <w:sz w:val="20"/>
        </w:rPr>
        <w:t xml:space="preserve"> </w:t>
      </w:r>
      <w:r>
        <w:rPr>
          <w:sz w:val="20"/>
        </w:rPr>
        <w:t>de</w:t>
      </w:r>
      <w:r>
        <w:rPr>
          <w:spacing w:val="-9"/>
          <w:sz w:val="20"/>
        </w:rPr>
        <w:t xml:space="preserve"> </w:t>
      </w:r>
      <w:r>
        <w:rPr>
          <w:sz w:val="20"/>
        </w:rPr>
        <w:t>ensino</w:t>
      </w:r>
      <w:r>
        <w:rPr>
          <w:spacing w:val="-5"/>
          <w:sz w:val="20"/>
        </w:rPr>
        <w:t xml:space="preserve"> </w:t>
      </w:r>
      <w:r>
        <w:rPr>
          <w:sz w:val="20"/>
        </w:rPr>
        <w:t>pública</w:t>
      </w:r>
      <w:r>
        <w:rPr>
          <w:spacing w:val="-10"/>
          <w:sz w:val="20"/>
        </w:rPr>
        <w:t xml:space="preserve"> </w:t>
      </w:r>
      <w:r>
        <w:rPr>
          <w:sz w:val="20"/>
        </w:rPr>
        <w:t>e</w:t>
      </w:r>
      <w:r>
        <w:rPr>
          <w:spacing w:val="-9"/>
          <w:sz w:val="20"/>
        </w:rPr>
        <w:t xml:space="preserve"> </w:t>
      </w:r>
      <w:r>
        <w:rPr>
          <w:sz w:val="20"/>
        </w:rPr>
        <w:t>privada</w:t>
      </w:r>
      <w:r>
        <w:rPr>
          <w:spacing w:val="-10"/>
          <w:sz w:val="20"/>
        </w:rPr>
        <w:t xml:space="preserve"> </w:t>
      </w:r>
      <w:r>
        <w:rPr>
          <w:sz w:val="20"/>
        </w:rPr>
        <w:t>da</w:t>
      </w:r>
      <w:r>
        <w:rPr>
          <w:spacing w:val="-6"/>
          <w:sz w:val="20"/>
        </w:rPr>
        <w:t xml:space="preserve"> </w:t>
      </w:r>
      <w:r>
        <w:rPr>
          <w:spacing w:val="-2"/>
          <w:sz w:val="20"/>
        </w:rPr>
        <w:t>Cidade</w:t>
      </w:r>
    </w:p>
    <w:p w:rsidR="007259F2" w:rsidRDefault="00E655B4">
      <w:pPr>
        <w:ind w:left="2978" w:right="425"/>
        <w:jc w:val="both"/>
        <w:rPr>
          <w:sz w:val="20"/>
        </w:rPr>
      </w:pPr>
      <w:r>
        <w:rPr>
          <w:sz w:val="20"/>
        </w:rPr>
        <w:t>de</w:t>
      </w:r>
      <w:r>
        <w:rPr>
          <w:spacing w:val="-5"/>
          <w:sz w:val="20"/>
        </w:rPr>
        <w:t xml:space="preserve"> </w:t>
      </w:r>
      <w:r>
        <w:rPr>
          <w:sz w:val="20"/>
        </w:rPr>
        <w:t>São</w:t>
      </w:r>
      <w:r>
        <w:rPr>
          <w:spacing w:val="-3"/>
          <w:sz w:val="20"/>
        </w:rPr>
        <w:t xml:space="preserve"> </w:t>
      </w:r>
      <w:r>
        <w:rPr>
          <w:sz w:val="20"/>
        </w:rPr>
        <w:t>Paulo</w:t>
      </w:r>
      <w:r>
        <w:rPr>
          <w:spacing w:val="-4"/>
          <w:sz w:val="20"/>
        </w:rPr>
        <w:t xml:space="preserve"> </w:t>
      </w:r>
      <w:r>
        <w:rPr>
          <w:sz w:val="20"/>
        </w:rPr>
        <w:t>deverão</w:t>
      </w:r>
      <w:r>
        <w:rPr>
          <w:spacing w:val="-5"/>
          <w:sz w:val="20"/>
        </w:rPr>
        <w:t xml:space="preserve"> </w:t>
      </w:r>
      <w:r>
        <w:rPr>
          <w:sz w:val="20"/>
        </w:rPr>
        <w:t>receber,</w:t>
      </w:r>
      <w:r>
        <w:rPr>
          <w:spacing w:val="-6"/>
          <w:sz w:val="20"/>
        </w:rPr>
        <w:t xml:space="preserve"> </w:t>
      </w:r>
      <w:r>
        <w:rPr>
          <w:sz w:val="20"/>
        </w:rPr>
        <w:t>anualmente,</w:t>
      </w:r>
      <w:r>
        <w:rPr>
          <w:spacing w:val="-2"/>
          <w:sz w:val="20"/>
        </w:rPr>
        <w:t xml:space="preserve"> </w:t>
      </w:r>
      <w:r>
        <w:rPr>
          <w:sz w:val="20"/>
        </w:rPr>
        <w:t>capacitação</w:t>
      </w:r>
      <w:r>
        <w:rPr>
          <w:spacing w:val="-3"/>
          <w:sz w:val="20"/>
        </w:rPr>
        <w:t xml:space="preserve"> </w:t>
      </w:r>
      <w:r>
        <w:rPr>
          <w:sz w:val="20"/>
        </w:rPr>
        <w:t>para</w:t>
      </w:r>
      <w:r>
        <w:rPr>
          <w:spacing w:val="-5"/>
          <w:sz w:val="20"/>
        </w:rPr>
        <w:t xml:space="preserve"> </w:t>
      </w:r>
      <w:r>
        <w:rPr>
          <w:sz w:val="20"/>
        </w:rPr>
        <w:t>atuação</w:t>
      </w:r>
      <w:r>
        <w:rPr>
          <w:spacing w:val="-2"/>
          <w:sz w:val="20"/>
        </w:rPr>
        <w:t xml:space="preserve"> </w:t>
      </w:r>
      <w:r>
        <w:rPr>
          <w:sz w:val="20"/>
        </w:rPr>
        <w:t>na</w:t>
      </w:r>
      <w:r>
        <w:rPr>
          <w:spacing w:val="-5"/>
          <w:sz w:val="20"/>
        </w:rPr>
        <w:t xml:space="preserve"> </w:t>
      </w:r>
      <w:r>
        <w:rPr>
          <w:sz w:val="20"/>
        </w:rPr>
        <w:t>promoção</w:t>
      </w:r>
      <w:r>
        <w:rPr>
          <w:spacing w:val="-4"/>
          <w:sz w:val="20"/>
        </w:rPr>
        <w:t xml:space="preserve"> </w:t>
      </w:r>
      <w:r>
        <w:rPr>
          <w:sz w:val="20"/>
        </w:rPr>
        <w:t>da igualdade racial.</w:t>
      </w:r>
    </w:p>
    <w:p w:rsidR="007259F2" w:rsidRDefault="00E655B4">
      <w:pPr>
        <w:ind w:left="2978" w:right="424"/>
        <w:jc w:val="both"/>
        <w:rPr>
          <w:sz w:val="20"/>
        </w:rPr>
      </w:pPr>
      <w:r>
        <w:rPr>
          <w:sz w:val="20"/>
        </w:rPr>
        <w:t>Parágrafo único. A</w:t>
      </w:r>
      <w:r>
        <w:rPr>
          <w:spacing w:val="-2"/>
          <w:sz w:val="20"/>
        </w:rPr>
        <w:t xml:space="preserve"> </w:t>
      </w:r>
      <w:r>
        <w:rPr>
          <w:sz w:val="20"/>
        </w:rPr>
        <w:t>carga horária dos cursos de capacitação deve ser de, no</w:t>
      </w:r>
      <w:r>
        <w:rPr>
          <w:spacing w:val="40"/>
          <w:sz w:val="20"/>
        </w:rPr>
        <w:t xml:space="preserve"> </w:t>
      </w:r>
      <w:r>
        <w:rPr>
          <w:sz w:val="20"/>
        </w:rPr>
        <w:t>mínimo, 8 (oito) horas.</w:t>
      </w:r>
    </w:p>
    <w:p w:rsidR="007259F2" w:rsidRDefault="00E655B4">
      <w:pPr>
        <w:ind w:left="2978" w:right="425"/>
        <w:jc w:val="both"/>
        <w:rPr>
          <w:sz w:val="20"/>
        </w:rPr>
      </w:pPr>
      <w:r>
        <w:rPr>
          <w:sz w:val="20"/>
        </w:rPr>
        <w:t>Art. 2º O Comitê de Prevenção e Combate ao Racismo Institucional ou o órgão competente para a temática das relações étnico-raciais no Município de São Paulo será o responsável, em conjunto com a Secretaria Municipal de Educação, pela elaboração das diretrizes do curso e pela fiscalização de seu oferecimento.</w:t>
      </w:r>
    </w:p>
    <w:p w:rsidR="007259F2" w:rsidRDefault="00E655B4">
      <w:pPr>
        <w:ind w:left="2978" w:right="425"/>
        <w:jc w:val="both"/>
        <w:rPr>
          <w:sz w:val="20"/>
        </w:rPr>
      </w:pPr>
      <w:r>
        <w:rPr>
          <w:sz w:val="20"/>
        </w:rPr>
        <w:t>Art. 3º As despesas decorrentes da execução desta Lei correrão por conta de</w:t>
      </w:r>
      <w:r>
        <w:rPr>
          <w:spacing w:val="40"/>
          <w:sz w:val="20"/>
        </w:rPr>
        <w:t xml:space="preserve"> </w:t>
      </w:r>
      <w:r>
        <w:rPr>
          <w:sz w:val="20"/>
        </w:rPr>
        <w:t>dotações orçamentárias próprias, suplementadas, se necessário.</w:t>
      </w:r>
    </w:p>
    <w:p w:rsidR="007259F2" w:rsidRDefault="00E655B4">
      <w:pPr>
        <w:ind w:left="2978"/>
        <w:jc w:val="both"/>
        <w:rPr>
          <w:sz w:val="20"/>
        </w:rPr>
      </w:pPr>
      <w:r>
        <w:rPr>
          <w:sz w:val="20"/>
        </w:rPr>
        <w:t>Art.</w:t>
      </w:r>
      <w:r>
        <w:rPr>
          <w:spacing w:val="-6"/>
          <w:sz w:val="20"/>
        </w:rPr>
        <w:t xml:space="preserve"> </w:t>
      </w:r>
      <w:r>
        <w:rPr>
          <w:sz w:val="20"/>
        </w:rPr>
        <w:t>4º</w:t>
      </w:r>
      <w:r>
        <w:rPr>
          <w:spacing w:val="-3"/>
          <w:sz w:val="20"/>
        </w:rPr>
        <w:t xml:space="preserve"> </w:t>
      </w:r>
      <w:r>
        <w:rPr>
          <w:sz w:val="20"/>
        </w:rPr>
        <w:t>O</w:t>
      </w:r>
      <w:r>
        <w:rPr>
          <w:spacing w:val="-7"/>
          <w:sz w:val="20"/>
        </w:rPr>
        <w:t xml:space="preserve"> </w:t>
      </w:r>
      <w:r>
        <w:rPr>
          <w:sz w:val="20"/>
        </w:rPr>
        <w:t>Poder</w:t>
      </w:r>
      <w:r>
        <w:rPr>
          <w:spacing w:val="-6"/>
          <w:sz w:val="20"/>
        </w:rPr>
        <w:t xml:space="preserve"> </w:t>
      </w:r>
      <w:r>
        <w:rPr>
          <w:sz w:val="20"/>
        </w:rPr>
        <w:t>Executivo</w:t>
      </w:r>
      <w:r>
        <w:rPr>
          <w:spacing w:val="-5"/>
          <w:sz w:val="20"/>
        </w:rPr>
        <w:t xml:space="preserve"> </w:t>
      </w:r>
      <w:r>
        <w:rPr>
          <w:sz w:val="20"/>
        </w:rPr>
        <w:t>regulamentará</w:t>
      </w:r>
      <w:r>
        <w:rPr>
          <w:spacing w:val="-5"/>
          <w:sz w:val="20"/>
        </w:rPr>
        <w:t xml:space="preserve"> </w:t>
      </w:r>
      <w:r>
        <w:rPr>
          <w:sz w:val="20"/>
        </w:rPr>
        <w:t>a</w:t>
      </w:r>
      <w:r>
        <w:rPr>
          <w:spacing w:val="-5"/>
          <w:sz w:val="20"/>
        </w:rPr>
        <w:t xml:space="preserve"> </w:t>
      </w:r>
      <w:r>
        <w:rPr>
          <w:sz w:val="20"/>
        </w:rPr>
        <w:t>presente</w:t>
      </w:r>
      <w:r>
        <w:rPr>
          <w:spacing w:val="-5"/>
          <w:sz w:val="20"/>
        </w:rPr>
        <w:t xml:space="preserve"> </w:t>
      </w:r>
      <w:r>
        <w:rPr>
          <w:spacing w:val="-4"/>
          <w:sz w:val="20"/>
        </w:rPr>
        <w:t>Lei.</w:t>
      </w:r>
    </w:p>
    <w:p w:rsidR="007259F2" w:rsidRDefault="00E655B4">
      <w:pPr>
        <w:ind w:left="2978"/>
        <w:jc w:val="both"/>
        <w:rPr>
          <w:sz w:val="20"/>
        </w:rPr>
      </w:pPr>
      <w:r>
        <w:rPr>
          <w:sz w:val="20"/>
        </w:rPr>
        <w:t>Art.</w:t>
      </w:r>
      <w:r>
        <w:rPr>
          <w:spacing w:val="-13"/>
          <w:sz w:val="20"/>
        </w:rPr>
        <w:t xml:space="preserve"> </w:t>
      </w:r>
      <w:r>
        <w:rPr>
          <w:sz w:val="20"/>
        </w:rPr>
        <w:t>5º</w:t>
      </w:r>
      <w:r>
        <w:rPr>
          <w:spacing w:val="-9"/>
          <w:sz w:val="20"/>
        </w:rPr>
        <w:t xml:space="preserve"> </w:t>
      </w:r>
      <w:r>
        <w:rPr>
          <w:sz w:val="20"/>
        </w:rPr>
        <w:t>Esta</w:t>
      </w:r>
      <w:r>
        <w:rPr>
          <w:spacing w:val="-8"/>
          <w:sz w:val="20"/>
        </w:rPr>
        <w:t xml:space="preserve"> </w:t>
      </w:r>
      <w:r>
        <w:rPr>
          <w:sz w:val="20"/>
        </w:rPr>
        <w:t>Lei</w:t>
      </w:r>
      <w:r>
        <w:rPr>
          <w:spacing w:val="-9"/>
          <w:sz w:val="20"/>
        </w:rPr>
        <w:t xml:space="preserve"> </w:t>
      </w:r>
      <w:r>
        <w:rPr>
          <w:sz w:val="20"/>
        </w:rPr>
        <w:t>entra</w:t>
      </w:r>
      <w:r>
        <w:rPr>
          <w:spacing w:val="-12"/>
          <w:sz w:val="20"/>
        </w:rPr>
        <w:t xml:space="preserve"> </w:t>
      </w:r>
      <w:r>
        <w:rPr>
          <w:sz w:val="20"/>
        </w:rPr>
        <w:t>em</w:t>
      </w:r>
      <w:r>
        <w:rPr>
          <w:spacing w:val="-13"/>
          <w:sz w:val="20"/>
        </w:rPr>
        <w:t xml:space="preserve"> </w:t>
      </w:r>
      <w:r>
        <w:rPr>
          <w:sz w:val="20"/>
        </w:rPr>
        <w:t>vigor</w:t>
      </w:r>
      <w:r>
        <w:rPr>
          <w:spacing w:val="-4"/>
          <w:sz w:val="20"/>
        </w:rPr>
        <w:t xml:space="preserve"> </w:t>
      </w:r>
      <w:r>
        <w:rPr>
          <w:sz w:val="20"/>
        </w:rPr>
        <w:t>na</w:t>
      </w:r>
      <w:r>
        <w:rPr>
          <w:spacing w:val="-12"/>
          <w:sz w:val="20"/>
        </w:rPr>
        <w:t xml:space="preserve"> </w:t>
      </w:r>
      <w:r>
        <w:rPr>
          <w:sz w:val="20"/>
        </w:rPr>
        <w:t>data</w:t>
      </w:r>
      <w:r>
        <w:rPr>
          <w:spacing w:val="-11"/>
          <w:sz w:val="20"/>
        </w:rPr>
        <w:t xml:space="preserve"> </w:t>
      </w:r>
      <w:r>
        <w:rPr>
          <w:sz w:val="20"/>
        </w:rPr>
        <w:t>de</w:t>
      </w:r>
      <w:r>
        <w:rPr>
          <w:spacing w:val="-9"/>
          <w:sz w:val="20"/>
        </w:rPr>
        <w:t xml:space="preserve"> </w:t>
      </w:r>
      <w:r>
        <w:rPr>
          <w:sz w:val="20"/>
        </w:rPr>
        <w:t>sua</w:t>
      </w:r>
      <w:r>
        <w:rPr>
          <w:spacing w:val="-11"/>
          <w:sz w:val="20"/>
        </w:rPr>
        <w:t xml:space="preserve"> </w:t>
      </w:r>
      <w:r>
        <w:rPr>
          <w:sz w:val="20"/>
        </w:rPr>
        <w:t>publicação.</w:t>
      </w:r>
      <w:r>
        <w:rPr>
          <w:spacing w:val="-11"/>
          <w:sz w:val="20"/>
        </w:rPr>
        <w:t xml:space="preserve"> </w:t>
      </w:r>
      <w:r>
        <w:rPr>
          <w:sz w:val="20"/>
        </w:rPr>
        <w:t>(SÃO</w:t>
      </w:r>
      <w:r>
        <w:rPr>
          <w:spacing w:val="-12"/>
          <w:sz w:val="20"/>
        </w:rPr>
        <w:t xml:space="preserve"> </w:t>
      </w:r>
      <w:r>
        <w:rPr>
          <w:sz w:val="20"/>
        </w:rPr>
        <w:t>PAULO,</w:t>
      </w:r>
      <w:r>
        <w:rPr>
          <w:spacing w:val="-11"/>
          <w:sz w:val="20"/>
        </w:rPr>
        <w:t xml:space="preserve"> </w:t>
      </w:r>
      <w:r>
        <w:rPr>
          <w:spacing w:val="-2"/>
          <w:sz w:val="20"/>
        </w:rPr>
        <w:t>2023)</w:t>
      </w:r>
    </w:p>
    <w:p w:rsidR="007259F2" w:rsidRDefault="007259F2">
      <w:pPr>
        <w:pStyle w:val="Corpodetexto"/>
        <w:spacing w:before="201"/>
        <w:ind w:left="0" w:firstLine="0"/>
        <w:jc w:val="left"/>
        <w:rPr>
          <w:sz w:val="20"/>
        </w:rPr>
      </w:pPr>
    </w:p>
    <w:p w:rsidR="007259F2" w:rsidRDefault="00E655B4">
      <w:pPr>
        <w:pStyle w:val="Corpodetexto"/>
        <w:ind w:right="573"/>
      </w:pPr>
      <w:r>
        <w:t>Devido</w:t>
      </w:r>
      <w:r>
        <w:rPr>
          <w:spacing w:val="-1"/>
        </w:rPr>
        <w:t xml:space="preserve"> </w:t>
      </w:r>
      <w:r>
        <w:t>à recente aprovação esta</w:t>
      </w:r>
      <w:r>
        <w:rPr>
          <w:spacing w:val="-2"/>
        </w:rPr>
        <w:t xml:space="preserve"> </w:t>
      </w:r>
      <w:r>
        <w:t>lei</w:t>
      </w:r>
      <w:r>
        <w:rPr>
          <w:spacing w:val="-1"/>
        </w:rPr>
        <w:t xml:space="preserve"> </w:t>
      </w:r>
      <w:r>
        <w:t>ainda está</w:t>
      </w:r>
      <w:r>
        <w:rPr>
          <w:spacing w:val="-2"/>
        </w:rPr>
        <w:t xml:space="preserve"> </w:t>
      </w:r>
      <w:r>
        <w:t>pendente</w:t>
      </w:r>
      <w:r>
        <w:rPr>
          <w:spacing w:val="-2"/>
        </w:rPr>
        <w:t xml:space="preserve"> </w:t>
      </w:r>
      <w:r>
        <w:t>de</w:t>
      </w:r>
      <w:r>
        <w:rPr>
          <w:spacing w:val="-2"/>
        </w:rPr>
        <w:t xml:space="preserve"> </w:t>
      </w:r>
      <w:r>
        <w:t xml:space="preserve">maiores regulamentações, no entanto, todos os instrumentos jurídicos e pedagógicos apresentados até aqui são parâmetros aptos a nortear a aplicação até que a regulamentação pelo Poder Executivo seja </w:t>
      </w:r>
      <w:r>
        <w:rPr>
          <w:spacing w:val="-2"/>
        </w:rPr>
        <w:t>efetivada.</w:t>
      </w:r>
    </w:p>
    <w:p w:rsidR="007259F2" w:rsidRDefault="00E655B4">
      <w:pPr>
        <w:pStyle w:val="Heading2"/>
        <w:numPr>
          <w:ilvl w:val="0"/>
          <w:numId w:val="28"/>
        </w:numPr>
        <w:tabs>
          <w:tab w:val="left" w:pos="1093"/>
        </w:tabs>
        <w:spacing w:before="205"/>
        <w:ind w:left="1093" w:hanging="244"/>
        <w:jc w:val="both"/>
      </w:pPr>
      <w:r>
        <w:t>Desafios</w:t>
      </w:r>
      <w:r>
        <w:rPr>
          <w:spacing w:val="-2"/>
        </w:rPr>
        <w:t xml:space="preserve"> </w:t>
      </w:r>
      <w:r>
        <w:t>e</w:t>
      </w:r>
      <w:r>
        <w:rPr>
          <w:spacing w:val="-1"/>
        </w:rPr>
        <w:t xml:space="preserve"> </w:t>
      </w:r>
      <w:r>
        <w:t>possibilidades</w:t>
      </w:r>
      <w:r>
        <w:rPr>
          <w:spacing w:val="-1"/>
        </w:rPr>
        <w:t xml:space="preserve"> </w:t>
      </w:r>
      <w:r>
        <w:t>da</w:t>
      </w:r>
      <w:r>
        <w:rPr>
          <w:spacing w:val="-1"/>
        </w:rPr>
        <w:t xml:space="preserve"> </w:t>
      </w:r>
      <w:r>
        <w:t>lei</w:t>
      </w:r>
      <w:r>
        <w:rPr>
          <w:spacing w:val="-2"/>
        </w:rPr>
        <w:t xml:space="preserve"> </w:t>
      </w:r>
      <w:r>
        <w:t>nº</w:t>
      </w:r>
      <w:r>
        <w:rPr>
          <w:spacing w:val="-1"/>
        </w:rPr>
        <w:t xml:space="preserve"> </w:t>
      </w:r>
      <w:r>
        <w:t>10.639/03</w:t>
      </w:r>
      <w:r>
        <w:rPr>
          <w:spacing w:val="-1"/>
        </w:rPr>
        <w:t xml:space="preserve"> </w:t>
      </w:r>
      <w:r>
        <w:t>em</w:t>
      </w:r>
      <w:r>
        <w:rPr>
          <w:spacing w:val="-3"/>
        </w:rPr>
        <w:t xml:space="preserve"> </w:t>
      </w:r>
      <w:r>
        <w:t xml:space="preserve">âmbito </w:t>
      </w:r>
      <w:r>
        <w:rPr>
          <w:spacing w:val="-2"/>
        </w:rPr>
        <w:t>municipal</w:t>
      </w:r>
    </w:p>
    <w:p w:rsidR="007259F2" w:rsidRDefault="00E655B4">
      <w:pPr>
        <w:pStyle w:val="Corpodetexto"/>
        <w:spacing w:before="113"/>
        <w:ind w:right="569"/>
      </w:pPr>
      <w:r>
        <w:t>A implementação da Lei n.º 10.639/03 no município de São Paulo esbarra em desafios multifacetados que estão presentes nos âmbitos jurídico, orçamentário e</w:t>
      </w:r>
      <w:r>
        <w:rPr>
          <w:spacing w:val="40"/>
        </w:rPr>
        <w:t xml:space="preserve"> </w:t>
      </w:r>
      <w:r>
        <w:t>pedagógico. Em</w:t>
      </w:r>
      <w:r>
        <w:rPr>
          <w:spacing w:val="-1"/>
        </w:rPr>
        <w:t xml:space="preserve"> </w:t>
      </w:r>
      <w:r>
        <w:t>âmbito jurídico, por exemplo, embora os instrumentos jurídicos municipais destacados no decorrer deste estudo formem um arcabouço bastante amplo que</w:t>
      </w:r>
      <w:r>
        <w:rPr>
          <w:spacing w:val="40"/>
        </w:rPr>
        <w:t xml:space="preserve"> </w:t>
      </w:r>
      <w:r>
        <w:t>complementa e viabiliza concretização da lei n.º 10.639/03 na esfera local, ainda há o</w:t>
      </w:r>
      <w:r>
        <w:rPr>
          <w:spacing w:val="40"/>
        </w:rPr>
        <w:t xml:space="preserve"> </w:t>
      </w:r>
      <w:r>
        <w:t>desafio jurídico de certificar que as diretrizes da lei sejam continuamente incorporadas nas legislações</w:t>
      </w:r>
      <w:r>
        <w:rPr>
          <w:spacing w:val="-3"/>
        </w:rPr>
        <w:t xml:space="preserve"> </w:t>
      </w:r>
      <w:r>
        <w:t>do</w:t>
      </w:r>
      <w:r>
        <w:rPr>
          <w:spacing w:val="-3"/>
        </w:rPr>
        <w:t xml:space="preserve"> </w:t>
      </w:r>
      <w:r>
        <w:t>município</w:t>
      </w:r>
      <w:r>
        <w:rPr>
          <w:spacing w:val="-1"/>
        </w:rPr>
        <w:t xml:space="preserve"> </w:t>
      </w:r>
      <w:r>
        <w:t>voltados</w:t>
      </w:r>
      <w:r>
        <w:rPr>
          <w:spacing w:val="-3"/>
        </w:rPr>
        <w:t xml:space="preserve"> </w:t>
      </w:r>
      <w:r>
        <w:t>à</w:t>
      </w:r>
      <w:r>
        <w:rPr>
          <w:spacing w:val="-4"/>
        </w:rPr>
        <w:t xml:space="preserve"> </w:t>
      </w:r>
      <w:r>
        <w:t>educação,</w:t>
      </w:r>
      <w:r>
        <w:rPr>
          <w:spacing w:val="-3"/>
        </w:rPr>
        <w:t xml:space="preserve"> </w:t>
      </w:r>
      <w:r>
        <w:t>como</w:t>
      </w:r>
      <w:r>
        <w:rPr>
          <w:spacing w:val="-3"/>
        </w:rPr>
        <w:t xml:space="preserve"> </w:t>
      </w:r>
      <w:r>
        <w:t>o</w:t>
      </w:r>
      <w:r>
        <w:rPr>
          <w:spacing w:val="-3"/>
        </w:rPr>
        <w:t xml:space="preserve"> </w:t>
      </w:r>
      <w:r>
        <w:t>Plano</w:t>
      </w:r>
      <w:r>
        <w:rPr>
          <w:spacing w:val="-3"/>
        </w:rPr>
        <w:t xml:space="preserve"> </w:t>
      </w:r>
      <w:r>
        <w:t>Municipal</w:t>
      </w:r>
      <w:r>
        <w:rPr>
          <w:spacing w:val="-3"/>
        </w:rPr>
        <w:t xml:space="preserve"> </w:t>
      </w:r>
      <w:r>
        <w:t>de</w:t>
      </w:r>
      <w:r>
        <w:rPr>
          <w:spacing w:val="-2"/>
        </w:rPr>
        <w:t xml:space="preserve"> </w:t>
      </w:r>
      <w:r>
        <w:t>Educação</w:t>
      </w:r>
      <w:r>
        <w:rPr>
          <w:spacing w:val="-3"/>
        </w:rPr>
        <w:t xml:space="preserve"> </w:t>
      </w:r>
      <w:r>
        <w:t xml:space="preserve">(PME), garantindo a efetivação da obrigatoriedade do ensino da história e cultura afro-brasileira e </w:t>
      </w:r>
      <w:r>
        <w:rPr>
          <w:spacing w:val="-2"/>
        </w:rPr>
        <w:t>africana.</w:t>
      </w:r>
    </w:p>
    <w:p w:rsidR="007259F2" w:rsidRDefault="00E655B4">
      <w:pPr>
        <w:pStyle w:val="Corpodetexto"/>
        <w:ind w:right="568"/>
      </w:pPr>
      <w:r>
        <w:t>A integração do Plano Municipal de Educação com o Plano Municipal de Promoção da Igualdade Racial (PLAMPIR) é uma ação recomendável para a concretização contínua e atualizada. Ademais, ter a lei 10.639/03 - e os instrumentos jurídicos e pedagógicos mencionados nesta pesquisa - como parâmetro para elaboração e publicação de decretos, portarias, resoluções e demais espécies normativas que sejam destinadas a regular a educação na rede municipal, também é medida que fortalece um processo educacional comprometido e interligado à educação antirracista.</w:t>
      </w:r>
    </w:p>
    <w:p w:rsidR="007259F2" w:rsidRDefault="007259F2">
      <w:pPr>
        <w:pStyle w:val="Corpodetexto"/>
        <w:sectPr w:rsidR="007259F2">
          <w:pgSz w:w="11910" w:h="16840"/>
          <w:pgMar w:top="1600" w:right="708" w:bottom="1020" w:left="992" w:header="0" w:footer="820" w:gutter="0"/>
          <w:cols w:space="720"/>
        </w:sectPr>
      </w:pPr>
    </w:p>
    <w:p w:rsidR="007259F2" w:rsidRDefault="00E655B4">
      <w:pPr>
        <w:pStyle w:val="Corpodetexto"/>
        <w:spacing w:before="75"/>
        <w:ind w:right="570"/>
      </w:pPr>
      <w:r>
        <w:lastRenderedPageBreak/>
        <w:t>Do ponto de vista orçamentário também há desafios que precisam ser</w:t>
      </w:r>
      <w:r>
        <w:rPr>
          <w:spacing w:val="40"/>
        </w:rPr>
        <w:t xml:space="preserve"> </w:t>
      </w:r>
      <w:r>
        <w:t>considerados para serem ultrapassados. Nesse sentido, a alocação de recursos é um ponto essencial a ser observado, uma vez que destinar recursos financeiros específicos para a aquisição de materiais didáticos, investimento na formação de professores e na adaptação do currículo escolar para a inclusão dos conteúdos exigidos pela lei. Além disso, a questão da infraestrutura escolar também merece atenção, sendo fundamental garanti-la por meio de instalações e do suporte técnico necessário, tais como bibliotecas acessíveis e atualizadas, acesso a recursos audiovisuais e meios de pesquisa para o ensino dos conteúdos.</w:t>
      </w:r>
    </w:p>
    <w:p w:rsidR="007259F2" w:rsidRDefault="00E655B4">
      <w:pPr>
        <w:pStyle w:val="Corpodetexto"/>
        <w:ind w:right="570"/>
      </w:pPr>
      <w:r>
        <w:t>Sob a ótica pedagógica, os desafios estão ainda mais presentes, sendo</w:t>
      </w:r>
      <w:r>
        <w:rPr>
          <w:spacing w:val="40"/>
        </w:rPr>
        <w:t xml:space="preserve"> </w:t>
      </w:r>
      <w:r>
        <w:t>fundamental dedicar esforços, de todos os setores educacionais que compõem a estrutura voltada à Educação</w:t>
      </w:r>
      <w:r>
        <w:rPr>
          <w:spacing w:val="-1"/>
        </w:rPr>
        <w:t xml:space="preserve"> </w:t>
      </w:r>
      <w:r>
        <w:t>no</w:t>
      </w:r>
      <w:r>
        <w:rPr>
          <w:spacing w:val="-1"/>
        </w:rPr>
        <w:t xml:space="preserve"> </w:t>
      </w:r>
      <w:r>
        <w:t>Município,</w:t>
      </w:r>
      <w:r>
        <w:rPr>
          <w:spacing w:val="-1"/>
        </w:rPr>
        <w:t xml:space="preserve"> </w:t>
      </w:r>
      <w:r>
        <w:t>para</w:t>
      </w:r>
      <w:r>
        <w:rPr>
          <w:spacing w:val="-3"/>
        </w:rPr>
        <w:t xml:space="preserve"> </w:t>
      </w:r>
      <w:r>
        <w:t>seguir</w:t>
      </w:r>
      <w:r>
        <w:rPr>
          <w:spacing w:val="-2"/>
        </w:rPr>
        <w:t xml:space="preserve"> </w:t>
      </w:r>
      <w:r>
        <w:t>os</w:t>
      </w:r>
      <w:r>
        <w:rPr>
          <w:spacing w:val="-1"/>
        </w:rPr>
        <w:t xml:space="preserve"> </w:t>
      </w:r>
      <w:r>
        <w:t>planos,</w:t>
      </w:r>
      <w:r>
        <w:rPr>
          <w:spacing w:val="-2"/>
        </w:rPr>
        <w:t xml:space="preserve"> </w:t>
      </w:r>
      <w:r>
        <w:t>diretrizes</w:t>
      </w:r>
      <w:r>
        <w:rPr>
          <w:spacing w:val="-1"/>
        </w:rPr>
        <w:t xml:space="preserve"> </w:t>
      </w:r>
      <w:r>
        <w:t>e</w:t>
      </w:r>
      <w:r>
        <w:rPr>
          <w:spacing w:val="-2"/>
        </w:rPr>
        <w:t xml:space="preserve"> </w:t>
      </w:r>
      <w:r>
        <w:t>orientações</w:t>
      </w:r>
      <w:r>
        <w:rPr>
          <w:spacing w:val="-1"/>
        </w:rPr>
        <w:t xml:space="preserve"> </w:t>
      </w:r>
      <w:r>
        <w:t>já</w:t>
      </w:r>
      <w:r>
        <w:rPr>
          <w:spacing w:val="-2"/>
        </w:rPr>
        <w:t xml:space="preserve"> </w:t>
      </w:r>
      <w:r>
        <w:t>existentes</w:t>
      </w:r>
      <w:r>
        <w:rPr>
          <w:spacing w:val="-1"/>
        </w:rPr>
        <w:t xml:space="preserve"> </w:t>
      </w:r>
      <w:r>
        <w:t>e,</w:t>
      </w:r>
      <w:r>
        <w:rPr>
          <w:spacing w:val="-1"/>
        </w:rPr>
        <w:t xml:space="preserve"> </w:t>
      </w:r>
      <w:r>
        <w:t>assim, desenvolver um currículo integrado com a produção de conteúdos de forma transversal e contextualizada articulando as diferentes disciplinas para que esses temas sejam abordados de maneira interdisciplinar. É necessário, ainda, promover o envolvimento da comunidade escolar como um todo, o que significa engajar os alunos, pais, professores, diretores, auxiliares escolares, a comunidade etc. no processo educativo, promovendo discussões, eventos e atividades que valorizem a diversidade étnico-racial.</w:t>
      </w:r>
    </w:p>
    <w:p w:rsidR="007259F2" w:rsidRDefault="00E655B4">
      <w:pPr>
        <w:pStyle w:val="Corpodetexto"/>
        <w:spacing w:before="1"/>
        <w:ind w:right="570"/>
      </w:pPr>
      <w:r>
        <w:t>Viabilizar a capacitação e a formação contínua dos professores para que estejam aptos a abordar esses conteúdos de forma adequada e sensível também é um desafio substancial. Nesse aspecto, deve-se destacar que todas as normativas jurídicas citadas, documentos pedagógicos e as ações municipais deles decorrentes, tem como um dos pontos centrais a formação dos educadores, como não poderia deixar de ser, pois são eles que farão o honroso, mas também difícil, papel de despertar em sala de aula e fora dela, as reflexões e promover um aprendizado fundamentado na educação antirracista.</w:t>
      </w:r>
    </w:p>
    <w:p w:rsidR="007259F2" w:rsidRDefault="00E655B4">
      <w:pPr>
        <w:pStyle w:val="Corpodetexto"/>
        <w:spacing w:before="1"/>
        <w:ind w:right="567"/>
      </w:pPr>
      <w:r>
        <w:t>O monitoramento, avaliação e indicadores de resultados também são essenciais, haja vista que estabelecer métodos para monitorar e avaliar a efetividade da implementação da</w:t>
      </w:r>
      <w:r>
        <w:rPr>
          <w:spacing w:val="40"/>
        </w:rPr>
        <w:t xml:space="preserve"> </w:t>
      </w:r>
      <w:r>
        <w:t>lei, identificando dificuldades e ajustando estratégias conforme necessário; e desenvolver indicadores para medir o impacto da lei na formação dos alunos, na redução de estereótipos</w:t>
      </w:r>
      <w:r>
        <w:rPr>
          <w:spacing w:val="40"/>
        </w:rPr>
        <w:t xml:space="preserve"> </w:t>
      </w:r>
      <w:r>
        <w:t>e na promoção de uma educação antirracista, são medidas eficazes para se ter ter uma visão ampla e contínua da implementação a curto, médio e longo prazo. O Município de São</w:t>
      </w:r>
      <w:r>
        <w:rPr>
          <w:spacing w:val="80"/>
        </w:rPr>
        <w:t xml:space="preserve"> </w:t>
      </w:r>
      <w:r>
        <w:t>Paulo conta com uma Secretaria de Direito Humanos, na qual há a Coordenação de Promoção da Igualdade Racial, a ação integrada e mais ativa dessas instituições é fundamental nesse processo de acompanhamento das ações municipais que se destinam a viabilizar a educação antirracista, devendo a atuação estar lado a lado com a Secretaria Municipal de Educação.</w:t>
      </w:r>
    </w:p>
    <w:p w:rsidR="007259F2" w:rsidRDefault="00E655B4">
      <w:pPr>
        <w:pStyle w:val="Corpodetexto"/>
        <w:ind w:right="569"/>
      </w:pPr>
      <w:r>
        <w:t>São</w:t>
      </w:r>
      <w:r>
        <w:rPr>
          <w:spacing w:val="-3"/>
        </w:rPr>
        <w:t xml:space="preserve"> </w:t>
      </w:r>
      <w:r>
        <w:t>diversos</w:t>
      </w:r>
      <w:r>
        <w:rPr>
          <w:spacing w:val="-3"/>
        </w:rPr>
        <w:t xml:space="preserve"> </w:t>
      </w:r>
      <w:r>
        <w:t>os</w:t>
      </w:r>
      <w:r>
        <w:rPr>
          <w:spacing w:val="-3"/>
        </w:rPr>
        <w:t xml:space="preserve"> </w:t>
      </w:r>
      <w:r>
        <w:t>desafios</w:t>
      </w:r>
      <w:r>
        <w:rPr>
          <w:spacing w:val="-1"/>
        </w:rPr>
        <w:t xml:space="preserve"> </w:t>
      </w:r>
      <w:r>
        <w:t>de</w:t>
      </w:r>
      <w:r>
        <w:rPr>
          <w:spacing w:val="-4"/>
        </w:rPr>
        <w:t xml:space="preserve"> </w:t>
      </w:r>
      <w:r>
        <w:t>implementação</w:t>
      </w:r>
      <w:r>
        <w:rPr>
          <w:spacing w:val="-3"/>
        </w:rPr>
        <w:t xml:space="preserve"> </w:t>
      </w:r>
      <w:r>
        <w:t>da</w:t>
      </w:r>
      <w:r>
        <w:rPr>
          <w:spacing w:val="-4"/>
        </w:rPr>
        <w:t xml:space="preserve"> </w:t>
      </w:r>
      <w:r>
        <w:t>lei</w:t>
      </w:r>
      <w:r>
        <w:rPr>
          <w:spacing w:val="-1"/>
        </w:rPr>
        <w:t xml:space="preserve"> </w:t>
      </w:r>
      <w:r>
        <w:t>n.º</w:t>
      </w:r>
      <w:r>
        <w:rPr>
          <w:spacing w:val="-3"/>
        </w:rPr>
        <w:t xml:space="preserve"> </w:t>
      </w:r>
      <w:r>
        <w:t>10.639/03</w:t>
      </w:r>
      <w:r>
        <w:rPr>
          <w:spacing w:val="-3"/>
        </w:rPr>
        <w:t xml:space="preserve"> </w:t>
      </w:r>
      <w:r>
        <w:t>no</w:t>
      </w:r>
      <w:r>
        <w:rPr>
          <w:spacing w:val="-3"/>
        </w:rPr>
        <w:t xml:space="preserve"> </w:t>
      </w:r>
      <w:r>
        <w:t>Município,</w:t>
      </w:r>
      <w:r>
        <w:rPr>
          <w:spacing w:val="-3"/>
        </w:rPr>
        <w:t xml:space="preserve"> </w:t>
      </w:r>
      <w:r>
        <w:t>logo,</w:t>
      </w:r>
      <w:r>
        <w:rPr>
          <w:spacing w:val="-3"/>
        </w:rPr>
        <w:t xml:space="preserve"> </w:t>
      </w:r>
      <w:r>
        <w:t>a superação de tais desafios demanda um esforço conjunto de diferentes áreas incluindo esferas jurídicas, administrativa, pedagógicas etc., portanto, a superação desses desafios requer não só recursos financeiros e logísticos, mas também um</w:t>
      </w:r>
      <w:r>
        <w:rPr>
          <w:spacing w:val="-3"/>
        </w:rPr>
        <w:t xml:space="preserve"> </w:t>
      </w:r>
      <w:r>
        <w:t>compromisso contínuo com a formação dos professores, o engajamento da comunidade escolar de forma ampla, a adaptação dos currículos e desenvolvimentos de meios de monitoramento e constante avaliação dos resultados para garantir uma educação antirracista de fato capaz de promover</w:t>
      </w:r>
      <w:r>
        <w:rPr>
          <w:spacing w:val="40"/>
        </w:rPr>
        <w:t xml:space="preserve"> </w:t>
      </w:r>
      <w:r>
        <w:t>o respeito à diversidade étnico-racial e de contribuir para a construção de uma sociedade mais igualitária.</w:t>
      </w:r>
    </w:p>
    <w:p w:rsidR="007259F2" w:rsidRDefault="00E655B4">
      <w:pPr>
        <w:pStyle w:val="Heading2"/>
        <w:numPr>
          <w:ilvl w:val="0"/>
          <w:numId w:val="28"/>
        </w:numPr>
        <w:tabs>
          <w:tab w:val="left" w:pos="1093"/>
        </w:tabs>
        <w:spacing w:before="205"/>
        <w:ind w:left="1093" w:hanging="244"/>
        <w:jc w:val="both"/>
      </w:pPr>
      <w:r>
        <w:t>Considerações</w:t>
      </w:r>
      <w:r>
        <w:rPr>
          <w:spacing w:val="-3"/>
        </w:rPr>
        <w:t xml:space="preserve"> </w:t>
      </w:r>
      <w:r>
        <w:rPr>
          <w:spacing w:val="-2"/>
        </w:rPr>
        <w:t>finais</w:t>
      </w:r>
    </w:p>
    <w:p w:rsidR="007259F2" w:rsidRDefault="00E655B4">
      <w:pPr>
        <w:pStyle w:val="Corpodetexto"/>
        <w:spacing w:before="115"/>
        <w:ind w:right="571"/>
      </w:pPr>
      <w:r>
        <w:t>O Parecer n.º 003/2004 e a Resolução nº 1/2004, ambos do Conselho Nacional de Educação, estabeleceram diretrizes para a implementação da Lei n.º 10.639/03. São documentos imprescindíveis que fornecem bases sólidas para a promoção da educação antirracista,</w:t>
      </w:r>
      <w:r>
        <w:rPr>
          <w:spacing w:val="38"/>
        </w:rPr>
        <w:t xml:space="preserve">  </w:t>
      </w:r>
      <w:r>
        <w:t>reconhecendo</w:t>
      </w:r>
      <w:r>
        <w:rPr>
          <w:spacing w:val="40"/>
        </w:rPr>
        <w:t xml:space="preserve">  </w:t>
      </w:r>
      <w:r>
        <w:t>a</w:t>
      </w:r>
      <w:r>
        <w:rPr>
          <w:spacing w:val="39"/>
        </w:rPr>
        <w:t xml:space="preserve">  </w:t>
      </w:r>
      <w:r>
        <w:t>importância</w:t>
      </w:r>
      <w:r>
        <w:rPr>
          <w:spacing w:val="39"/>
        </w:rPr>
        <w:t xml:space="preserve">  </w:t>
      </w:r>
      <w:r>
        <w:t>de</w:t>
      </w:r>
      <w:r>
        <w:rPr>
          <w:spacing w:val="40"/>
        </w:rPr>
        <w:t xml:space="preserve">  </w:t>
      </w:r>
      <w:r>
        <w:t>desconstruir</w:t>
      </w:r>
      <w:r>
        <w:rPr>
          <w:spacing w:val="40"/>
        </w:rPr>
        <w:t xml:space="preserve">  </w:t>
      </w:r>
      <w:r>
        <w:t>estigmas</w:t>
      </w:r>
      <w:r>
        <w:rPr>
          <w:spacing w:val="40"/>
        </w:rPr>
        <w:t xml:space="preserve">  </w:t>
      </w:r>
      <w:r>
        <w:t>e</w:t>
      </w:r>
      <w:r>
        <w:rPr>
          <w:spacing w:val="39"/>
        </w:rPr>
        <w:t xml:space="preserve">  </w:t>
      </w:r>
      <w:r>
        <w:t>valorizar</w:t>
      </w:r>
      <w:r>
        <w:rPr>
          <w:spacing w:val="40"/>
        </w:rPr>
        <w:t xml:space="preserve">  </w:t>
      </w:r>
      <w:r>
        <w:rPr>
          <w:spacing w:val="-5"/>
        </w:rPr>
        <w:t>as</w:t>
      </w:r>
    </w:p>
    <w:p w:rsidR="007259F2" w:rsidRDefault="007259F2">
      <w:pPr>
        <w:pStyle w:val="Corpodetexto"/>
        <w:sectPr w:rsidR="007259F2">
          <w:pgSz w:w="11910" w:h="16840"/>
          <w:pgMar w:top="1600" w:right="708" w:bottom="1020" w:left="992" w:header="0" w:footer="820" w:gutter="0"/>
          <w:cols w:space="720"/>
        </w:sectPr>
      </w:pPr>
    </w:p>
    <w:p w:rsidR="007259F2" w:rsidRDefault="00E655B4">
      <w:pPr>
        <w:pStyle w:val="Corpodetexto"/>
        <w:spacing w:before="75"/>
        <w:ind w:right="568" w:firstLine="0"/>
      </w:pPr>
      <w:r>
        <w:lastRenderedPageBreak/>
        <w:t>contribuições étnico-raciais na formação da sociedade brasileira. O Plano Nacional de Implementação das Diretrizes Curriculares Nacionais para a Educação das Relações Étnico- Raciais complementa essas diretrizes, enfatizando a necessidade de uma abordagem transversal e integrada no currículo escolar, promovendo uma educação que respeite a diversidade e combata o racismo estrutural e o epistemicídio.</w:t>
      </w:r>
    </w:p>
    <w:p w:rsidR="007259F2" w:rsidRDefault="00E655B4">
      <w:pPr>
        <w:pStyle w:val="Corpodetexto"/>
        <w:ind w:right="568"/>
      </w:pPr>
      <w:r>
        <w:t>As ‘Orientações Curriculares e Expectativas de Aprendizagem Étnico-Racial”, o “Plano Municipal de Promoção da Igualdade Racial” e o “Currículo da Cidade para Educação Antirracista - Orientações Pedagógicas: povos afro-brasileiros” são iniciativas municipais que se alinham com os documentos normativos nacionais. Esses instrumentos refletem o compromisso do Município em aplicar as diretrizes federais, adaptando-as à realidade local. O papel do Município nesse cenário é de grande importância, pois ele assume</w:t>
      </w:r>
      <w:r>
        <w:rPr>
          <w:spacing w:val="-3"/>
        </w:rPr>
        <w:t xml:space="preserve"> </w:t>
      </w:r>
      <w:r>
        <w:t>a</w:t>
      </w:r>
      <w:r>
        <w:rPr>
          <w:spacing w:val="-1"/>
        </w:rPr>
        <w:t xml:space="preserve"> </w:t>
      </w:r>
      <w:r>
        <w:t>responsabilidade de implementar as diretrizes federais no âmbito local, adaptando- as às necessidades e características da comunidade. Isso exige ações concretas, como a elaboração de planos, formação de professores e adaptação curricular, visando a efetivação de uma educação antirracista e inclusiva.</w:t>
      </w:r>
    </w:p>
    <w:p w:rsidR="007259F2" w:rsidRDefault="00E655B4">
      <w:pPr>
        <w:pStyle w:val="Corpodetexto"/>
        <w:spacing w:before="1"/>
        <w:ind w:right="566"/>
      </w:pPr>
      <w:r>
        <w:t>Os documentos normativos nacionais e municipais representam avanços significativos na promoção da educação antirracista. A integração dessas diretrizes, aliada à atuação do Município, é essencial para garantir a implementação efetiva da Lei n.º 10.639/03. A consolidação da educação antirracista é fundamental para formar cidadãos conscientes, críticos e respeitosos da diversidade étnica, principalmente em relação à cultura e à história das pessoas negras, afinal, como nos ensinou Januário Garcia, fotógrafo e</w:t>
      </w:r>
      <w:r>
        <w:rPr>
          <w:spacing w:val="40"/>
        </w:rPr>
        <w:t xml:space="preserve"> </w:t>
      </w:r>
      <w:r>
        <w:t>ativista (1943- 2021): “Existe uma história do povo negro sem o Brasil; mas não existe uma história do</w:t>
      </w:r>
      <w:r>
        <w:rPr>
          <w:spacing w:val="40"/>
        </w:rPr>
        <w:t xml:space="preserve"> </w:t>
      </w:r>
      <w:r>
        <w:t>Brasil sem o povo negro.”</w:t>
      </w:r>
    </w:p>
    <w:p w:rsidR="007259F2" w:rsidRDefault="00E655B4">
      <w:pPr>
        <w:pStyle w:val="Heading1"/>
        <w:spacing w:before="207"/>
        <w:ind w:left="712"/>
      </w:pPr>
      <w:r>
        <w:rPr>
          <w:spacing w:val="-2"/>
        </w:rPr>
        <w:t>REFERÊNCIAS</w:t>
      </w:r>
    </w:p>
    <w:p w:rsidR="007259F2" w:rsidRDefault="00E655B4">
      <w:pPr>
        <w:spacing w:before="195"/>
        <w:ind w:left="710"/>
        <w:jc w:val="both"/>
        <w:rPr>
          <w:sz w:val="24"/>
        </w:rPr>
      </w:pPr>
      <w:r>
        <w:rPr>
          <w:sz w:val="24"/>
        </w:rPr>
        <w:t>ALMEIDA,</w:t>
      </w:r>
      <w:r>
        <w:rPr>
          <w:spacing w:val="-2"/>
          <w:sz w:val="24"/>
        </w:rPr>
        <w:t xml:space="preserve"> </w:t>
      </w:r>
      <w:r>
        <w:rPr>
          <w:sz w:val="24"/>
        </w:rPr>
        <w:t>Silvio</w:t>
      </w:r>
      <w:r>
        <w:rPr>
          <w:spacing w:val="-1"/>
          <w:sz w:val="24"/>
        </w:rPr>
        <w:t xml:space="preserve"> </w:t>
      </w:r>
      <w:r>
        <w:rPr>
          <w:sz w:val="24"/>
        </w:rPr>
        <w:t>Luiz</w:t>
      </w:r>
      <w:r>
        <w:rPr>
          <w:spacing w:val="-1"/>
          <w:sz w:val="24"/>
        </w:rPr>
        <w:t xml:space="preserve"> </w:t>
      </w:r>
      <w:r>
        <w:rPr>
          <w:sz w:val="24"/>
        </w:rPr>
        <w:t>de.</w:t>
      </w:r>
      <w:r>
        <w:rPr>
          <w:spacing w:val="-2"/>
          <w:sz w:val="24"/>
        </w:rPr>
        <w:t xml:space="preserve"> </w:t>
      </w:r>
      <w:r>
        <w:rPr>
          <w:b/>
          <w:sz w:val="24"/>
        </w:rPr>
        <w:t>Racismo</w:t>
      </w:r>
      <w:r>
        <w:rPr>
          <w:b/>
          <w:spacing w:val="-1"/>
          <w:sz w:val="24"/>
        </w:rPr>
        <w:t xml:space="preserve"> </w:t>
      </w:r>
      <w:r>
        <w:rPr>
          <w:b/>
          <w:sz w:val="24"/>
        </w:rPr>
        <w:t xml:space="preserve">estrutural. </w:t>
      </w:r>
      <w:r>
        <w:rPr>
          <w:sz w:val="24"/>
        </w:rPr>
        <w:t>São</w:t>
      </w:r>
      <w:r>
        <w:rPr>
          <w:spacing w:val="-2"/>
          <w:sz w:val="24"/>
        </w:rPr>
        <w:t xml:space="preserve"> </w:t>
      </w:r>
      <w:r>
        <w:rPr>
          <w:sz w:val="24"/>
        </w:rPr>
        <w:t>Paulo:</w:t>
      </w:r>
      <w:r>
        <w:rPr>
          <w:spacing w:val="-2"/>
          <w:sz w:val="24"/>
        </w:rPr>
        <w:t xml:space="preserve"> </w:t>
      </w:r>
      <w:r>
        <w:rPr>
          <w:sz w:val="24"/>
        </w:rPr>
        <w:t>Sueli</w:t>
      </w:r>
      <w:r>
        <w:rPr>
          <w:spacing w:val="-2"/>
          <w:sz w:val="24"/>
        </w:rPr>
        <w:t xml:space="preserve"> </w:t>
      </w:r>
      <w:r>
        <w:rPr>
          <w:sz w:val="24"/>
        </w:rPr>
        <w:t>Carneiro;</w:t>
      </w:r>
      <w:r>
        <w:rPr>
          <w:spacing w:val="-2"/>
          <w:sz w:val="24"/>
        </w:rPr>
        <w:t xml:space="preserve"> </w:t>
      </w:r>
      <w:r>
        <w:rPr>
          <w:sz w:val="24"/>
        </w:rPr>
        <w:t>Pólen,</w:t>
      </w:r>
      <w:r>
        <w:rPr>
          <w:spacing w:val="-1"/>
          <w:sz w:val="24"/>
        </w:rPr>
        <w:t xml:space="preserve"> </w:t>
      </w:r>
      <w:r>
        <w:rPr>
          <w:spacing w:val="-2"/>
          <w:sz w:val="24"/>
        </w:rPr>
        <w:t>2019.</w:t>
      </w:r>
    </w:p>
    <w:p w:rsidR="007259F2" w:rsidRDefault="00E655B4">
      <w:pPr>
        <w:tabs>
          <w:tab w:val="left" w:pos="2763"/>
          <w:tab w:val="left" w:pos="3941"/>
          <w:tab w:val="left" w:pos="5923"/>
          <w:tab w:val="left" w:pos="7413"/>
          <w:tab w:val="left" w:pos="9416"/>
        </w:tabs>
        <w:spacing w:before="117"/>
        <w:ind w:left="710" w:right="423"/>
        <w:jc w:val="both"/>
        <w:rPr>
          <w:sz w:val="24"/>
        </w:rPr>
      </w:pPr>
      <w:r>
        <w:rPr>
          <w:sz w:val="24"/>
        </w:rPr>
        <w:t xml:space="preserve">BRASIL. </w:t>
      </w:r>
      <w:r>
        <w:rPr>
          <w:b/>
          <w:sz w:val="24"/>
        </w:rPr>
        <w:t>Constituição da República Federativa do Brasil de 1988</w:t>
      </w:r>
      <w:r>
        <w:rPr>
          <w:sz w:val="24"/>
        </w:rPr>
        <w:t xml:space="preserve">. Brasília, DF: </w:t>
      </w:r>
      <w:r>
        <w:rPr>
          <w:spacing w:val="-2"/>
          <w:sz w:val="24"/>
        </w:rPr>
        <w:t>Presidência</w:t>
      </w:r>
      <w:r>
        <w:rPr>
          <w:sz w:val="24"/>
        </w:rPr>
        <w:tab/>
      </w:r>
      <w:r>
        <w:rPr>
          <w:spacing w:val="-6"/>
          <w:sz w:val="24"/>
        </w:rPr>
        <w:t>da</w:t>
      </w:r>
      <w:r>
        <w:rPr>
          <w:sz w:val="24"/>
        </w:rPr>
        <w:tab/>
      </w:r>
      <w:r>
        <w:rPr>
          <w:spacing w:val="-2"/>
          <w:sz w:val="24"/>
        </w:rPr>
        <w:t>República,</w:t>
      </w:r>
      <w:r>
        <w:rPr>
          <w:sz w:val="24"/>
        </w:rPr>
        <w:tab/>
      </w:r>
      <w:r>
        <w:rPr>
          <w:spacing w:val="-2"/>
          <w:sz w:val="24"/>
        </w:rPr>
        <w:t>1988.</w:t>
      </w:r>
      <w:r>
        <w:rPr>
          <w:sz w:val="24"/>
        </w:rPr>
        <w:tab/>
      </w:r>
      <w:r>
        <w:rPr>
          <w:spacing w:val="-2"/>
          <w:sz w:val="24"/>
        </w:rPr>
        <w:t>Disponível</w:t>
      </w:r>
      <w:r>
        <w:rPr>
          <w:sz w:val="24"/>
        </w:rPr>
        <w:tab/>
      </w:r>
      <w:r>
        <w:rPr>
          <w:spacing w:val="-4"/>
          <w:sz w:val="24"/>
        </w:rPr>
        <w:t xml:space="preserve">em: </w:t>
      </w:r>
      <w:hyperlink r:id="rId146">
        <w:r>
          <w:rPr>
            <w:color w:val="2D5294"/>
            <w:sz w:val="24"/>
            <w:u w:val="single" w:color="2D5294"/>
          </w:rPr>
          <w:t>http://www.planalto.gov.br/ccivil_03/Constituicao/</w:t>
        </w:r>
      </w:hyperlink>
      <w:r>
        <w:rPr>
          <w:color w:val="2D5294"/>
          <w:sz w:val="24"/>
          <w:u w:val="single" w:color="2D5294"/>
        </w:rPr>
        <w:t xml:space="preserve"> Constituiçao.htm</w:t>
      </w:r>
    </w:p>
    <w:p w:rsidR="007259F2" w:rsidRDefault="00E655B4">
      <w:pPr>
        <w:pStyle w:val="Corpodetexto"/>
        <w:spacing w:before="120"/>
        <w:ind w:right="560" w:firstLine="0"/>
      </w:pPr>
      <w:r>
        <w:t xml:space="preserve">BRASIL. </w:t>
      </w:r>
      <w:r>
        <w:rPr>
          <w:b/>
        </w:rPr>
        <w:t>Lei nº 10.639 de</w:t>
      </w:r>
      <w:r>
        <w:rPr>
          <w:b/>
          <w:spacing w:val="-2"/>
        </w:rPr>
        <w:t xml:space="preserve"> </w:t>
      </w:r>
      <w:r>
        <w:rPr>
          <w:b/>
        </w:rPr>
        <w:t>9</w:t>
      </w:r>
      <w:r>
        <w:rPr>
          <w:b/>
          <w:spacing w:val="-3"/>
        </w:rPr>
        <w:t xml:space="preserve"> </w:t>
      </w:r>
      <w:r>
        <w:rPr>
          <w:b/>
        </w:rPr>
        <w:t>de janeiro de</w:t>
      </w:r>
      <w:r>
        <w:rPr>
          <w:b/>
          <w:spacing w:val="-2"/>
        </w:rPr>
        <w:t xml:space="preserve"> </w:t>
      </w:r>
      <w:r>
        <w:rPr>
          <w:b/>
        </w:rPr>
        <w:t>2003</w:t>
      </w:r>
      <w:r>
        <w:t>. Altera a Lei no 9.394, de 20 de dezembro de 1996, que estabelece as diretrizes e bases da educação nacional, para incluir no currículo oficial</w:t>
      </w:r>
      <w:r>
        <w:rPr>
          <w:spacing w:val="-2"/>
        </w:rPr>
        <w:t xml:space="preserve"> </w:t>
      </w:r>
      <w:r>
        <w:t>da</w:t>
      </w:r>
      <w:r>
        <w:rPr>
          <w:spacing w:val="-1"/>
        </w:rPr>
        <w:t xml:space="preserve"> </w:t>
      </w:r>
      <w:r>
        <w:t>Rede</w:t>
      </w:r>
      <w:r>
        <w:rPr>
          <w:spacing w:val="-3"/>
        </w:rPr>
        <w:t xml:space="preserve"> </w:t>
      </w:r>
      <w:r>
        <w:t>de</w:t>
      </w:r>
      <w:r>
        <w:rPr>
          <w:spacing w:val="-3"/>
        </w:rPr>
        <w:t xml:space="preserve"> </w:t>
      </w:r>
      <w:r>
        <w:t>Ensino</w:t>
      </w:r>
      <w:r>
        <w:rPr>
          <w:spacing w:val="-2"/>
        </w:rPr>
        <w:t xml:space="preserve"> </w:t>
      </w:r>
      <w:r>
        <w:t>a</w:t>
      </w:r>
      <w:r>
        <w:rPr>
          <w:spacing w:val="-3"/>
        </w:rPr>
        <w:t xml:space="preserve"> </w:t>
      </w:r>
      <w:r>
        <w:t>obrigatoriedade</w:t>
      </w:r>
      <w:r>
        <w:rPr>
          <w:spacing w:val="-3"/>
        </w:rPr>
        <w:t xml:space="preserve"> </w:t>
      </w:r>
      <w:r>
        <w:t>da</w:t>
      </w:r>
      <w:r>
        <w:rPr>
          <w:spacing w:val="-1"/>
        </w:rPr>
        <w:t xml:space="preserve"> </w:t>
      </w:r>
      <w:r>
        <w:t>temática</w:t>
      </w:r>
      <w:r>
        <w:rPr>
          <w:spacing w:val="-2"/>
        </w:rPr>
        <w:t xml:space="preserve"> </w:t>
      </w:r>
      <w:r>
        <w:t>"História</w:t>
      </w:r>
      <w:r>
        <w:rPr>
          <w:spacing w:val="-1"/>
        </w:rPr>
        <w:t xml:space="preserve"> </w:t>
      </w:r>
      <w:r>
        <w:t>e</w:t>
      </w:r>
      <w:r>
        <w:rPr>
          <w:spacing w:val="-3"/>
        </w:rPr>
        <w:t xml:space="preserve"> </w:t>
      </w:r>
      <w:r>
        <w:t>Cultura</w:t>
      </w:r>
      <w:r>
        <w:rPr>
          <w:spacing w:val="-3"/>
        </w:rPr>
        <w:t xml:space="preserve"> </w:t>
      </w:r>
      <w:r>
        <w:t xml:space="preserve">Afro-Brasileira", e dá outras providências. </w:t>
      </w:r>
      <w:r>
        <w:rPr>
          <w:color w:val="040C28"/>
        </w:rPr>
        <w:t xml:space="preserve">Brasília, DF: Presidência da República, 2003. </w:t>
      </w:r>
      <w:r>
        <w:t xml:space="preserve">Disponível em: </w:t>
      </w:r>
      <w:hyperlink r:id="rId147">
        <w:r>
          <w:rPr>
            <w:color w:val="000080"/>
            <w:spacing w:val="-2"/>
            <w:u w:val="single" w:color="000080"/>
          </w:rPr>
          <w:t>http://www.planalto.gov.br/ccivil_03/leis/2003/l10.639.htm</w:t>
        </w:r>
      </w:hyperlink>
    </w:p>
    <w:p w:rsidR="007259F2" w:rsidRDefault="00E655B4">
      <w:pPr>
        <w:pStyle w:val="Corpodetexto"/>
        <w:spacing w:before="121"/>
        <w:ind w:right="552" w:firstLine="0"/>
      </w:pPr>
      <w:r>
        <w:rPr>
          <w:color w:val="040C28"/>
        </w:rPr>
        <w:t xml:space="preserve">BRASIL. </w:t>
      </w:r>
      <w:r>
        <w:rPr>
          <w:b/>
        </w:rPr>
        <w:t xml:space="preserve">Lei nº 12.288, de 20 de junho de 2010. </w:t>
      </w:r>
      <w:r>
        <w:t>Institui o Estatuto da Igualdade Racial; altera as Leis nos 7.716, de 5 de janeiro de 1989, 9.029, de 13 de abril de 1995, 7.347, de 24 de julho de 1985, e 10.778, de 24 de novembro de 2003.</w:t>
      </w:r>
      <w:r>
        <w:rPr>
          <w:color w:val="040C28"/>
        </w:rPr>
        <w:t xml:space="preserve">. Brasília, DF: Presidência da República, 2010. Disponível em: </w:t>
      </w:r>
      <w:hyperlink r:id="rId148">
        <w:r>
          <w:rPr>
            <w:color w:val="000080"/>
            <w:u w:val="single" w:color="000080"/>
          </w:rPr>
          <w:t>https://www.planalto.gov.br/ccivil_03/_ato2007-</w:t>
        </w:r>
      </w:hyperlink>
      <w:r>
        <w:rPr>
          <w:color w:val="000080"/>
        </w:rPr>
        <w:t xml:space="preserve"> </w:t>
      </w:r>
      <w:hyperlink r:id="rId149">
        <w:r>
          <w:rPr>
            <w:color w:val="000080"/>
            <w:spacing w:val="-2"/>
            <w:u w:val="single" w:color="000080"/>
          </w:rPr>
          <w:t>2010/2010/lei/l12288.htm</w:t>
        </w:r>
      </w:hyperlink>
    </w:p>
    <w:p w:rsidR="007259F2" w:rsidRDefault="00E655B4">
      <w:pPr>
        <w:pStyle w:val="Corpodetexto"/>
        <w:spacing w:before="120"/>
        <w:ind w:right="556" w:firstLine="0"/>
      </w:pPr>
      <w:r>
        <w:t xml:space="preserve">BRASIL. Congresso Nacional. </w:t>
      </w:r>
      <w:r>
        <w:rPr>
          <w:b/>
        </w:rPr>
        <w:t>Projeto de Lei n.º 259, de 1999</w:t>
      </w:r>
      <w:r>
        <w:t xml:space="preserve">: Dispõe sobre a obrigatoriedade da inclusão, no currículo oficial da Rede de Ensino, da tematica "História e Cultura Afro-Brasileira" e dá outras providências. Brasília, 1999. Disponível em: </w:t>
      </w:r>
      <w:hyperlink r:id="rId150">
        <w:r>
          <w:rPr>
            <w:color w:val="0000FF"/>
            <w:spacing w:val="-2"/>
            <w:u w:val="single" w:color="0000FF"/>
          </w:rPr>
          <w:t>https://www.congressonacional.leg.br/materias/materias-bicamerais/-/ver/pl-259-1999</w:t>
        </w:r>
      </w:hyperlink>
    </w:p>
    <w:p w:rsidR="007259F2" w:rsidRDefault="00E655B4">
      <w:pPr>
        <w:pStyle w:val="Corpodetexto"/>
        <w:spacing w:before="120"/>
        <w:ind w:right="559" w:firstLine="0"/>
      </w:pPr>
      <w:r>
        <w:t xml:space="preserve">BRASIL. Ministério da Educação. Conselho Nacional de Educação. </w:t>
      </w:r>
      <w:r>
        <w:rPr>
          <w:b/>
        </w:rPr>
        <w:t>Parecer n.º 003/2004 do</w:t>
      </w:r>
      <w:r>
        <w:rPr>
          <w:b/>
          <w:spacing w:val="-3"/>
        </w:rPr>
        <w:t xml:space="preserve"> </w:t>
      </w:r>
      <w:r>
        <w:rPr>
          <w:b/>
        </w:rPr>
        <w:t>Conselho</w:t>
      </w:r>
      <w:r>
        <w:rPr>
          <w:b/>
          <w:spacing w:val="-3"/>
        </w:rPr>
        <w:t xml:space="preserve"> </w:t>
      </w:r>
      <w:r>
        <w:rPr>
          <w:b/>
        </w:rPr>
        <w:t>Nacional</w:t>
      </w:r>
      <w:r>
        <w:rPr>
          <w:b/>
          <w:spacing w:val="-3"/>
        </w:rPr>
        <w:t xml:space="preserve"> </w:t>
      </w:r>
      <w:r>
        <w:rPr>
          <w:b/>
        </w:rPr>
        <w:t>de</w:t>
      </w:r>
      <w:r>
        <w:rPr>
          <w:b/>
          <w:spacing w:val="-4"/>
        </w:rPr>
        <w:t xml:space="preserve"> </w:t>
      </w:r>
      <w:r>
        <w:rPr>
          <w:b/>
        </w:rPr>
        <w:t>Educação</w:t>
      </w:r>
      <w:r>
        <w:t>.</w:t>
      </w:r>
      <w:r>
        <w:rPr>
          <w:spacing w:val="-3"/>
        </w:rPr>
        <w:t xml:space="preserve"> </w:t>
      </w:r>
      <w:r>
        <w:t>Diretrizes</w:t>
      </w:r>
      <w:r>
        <w:rPr>
          <w:spacing w:val="-3"/>
        </w:rPr>
        <w:t xml:space="preserve"> </w:t>
      </w:r>
      <w:r>
        <w:t>Curriculares</w:t>
      </w:r>
      <w:r>
        <w:rPr>
          <w:spacing w:val="-3"/>
        </w:rPr>
        <w:t xml:space="preserve"> </w:t>
      </w:r>
      <w:r>
        <w:t>Nacionais</w:t>
      </w:r>
      <w:r>
        <w:rPr>
          <w:spacing w:val="-3"/>
        </w:rPr>
        <w:t xml:space="preserve"> </w:t>
      </w:r>
      <w:r>
        <w:t>para</w:t>
      </w:r>
      <w:r>
        <w:rPr>
          <w:spacing w:val="-4"/>
        </w:rPr>
        <w:t xml:space="preserve"> </w:t>
      </w:r>
      <w:r>
        <w:t>a</w:t>
      </w:r>
      <w:r>
        <w:rPr>
          <w:spacing w:val="-4"/>
        </w:rPr>
        <w:t xml:space="preserve"> </w:t>
      </w:r>
      <w:r>
        <w:t>Educação</w:t>
      </w:r>
      <w:r>
        <w:rPr>
          <w:spacing w:val="-3"/>
        </w:rPr>
        <w:t xml:space="preserve"> </w:t>
      </w:r>
      <w:r>
        <w:t xml:space="preserve">das Relações Étnico-Raciais e para o Ensino de História e Cultura Afro-Brasileira e Africana Brasil, 2004. Disponível em: </w:t>
      </w:r>
      <w:hyperlink r:id="rId151">
        <w:r>
          <w:rPr>
            <w:color w:val="000080"/>
            <w:u w:val="single" w:color="000080"/>
          </w:rPr>
          <w:t>http://portal.mec.gov.br/dmdocuments/cnecp_003.pdf</w:t>
        </w:r>
      </w:hyperlink>
    </w:p>
    <w:p w:rsidR="007259F2" w:rsidRDefault="007259F2">
      <w:pPr>
        <w:pStyle w:val="Corpodetexto"/>
        <w:sectPr w:rsidR="007259F2">
          <w:pgSz w:w="11910" w:h="16840"/>
          <w:pgMar w:top="1600" w:right="708" w:bottom="1020" w:left="992" w:header="0" w:footer="820" w:gutter="0"/>
          <w:cols w:space="720"/>
        </w:sectPr>
      </w:pPr>
    </w:p>
    <w:p w:rsidR="007259F2" w:rsidRDefault="00E655B4">
      <w:pPr>
        <w:pStyle w:val="Corpodetexto"/>
        <w:tabs>
          <w:tab w:val="left" w:pos="1871"/>
          <w:tab w:val="left" w:pos="3886"/>
          <w:tab w:val="left" w:pos="5575"/>
          <w:tab w:val="left" w:pos="7171"/>
          <w:tab w:val="left" w:pos="9280"/>
        </w:tabs>
        <w:spacing w:before="75"/>
        <w:ind w:right="559" w:firstLine="0"/>
      </w:pPr>
      <w:r>
        <w:lastRenderedPageBreak/>
        <w:t xml:space="preserve">BRASIL. Ministério da Educação. Conselho Nacional de Educação. </w:t>
      </w:r>
      <w:r>
        <w:rPr>
          <w:b/>
        </w:rPr>
        <w:t>Resolução nº 1/2004</w:t>
      </w:r>
      <w:r>
        <w:rPr>
          <w:b/>
          <w:spacing w:val="40"/>
        </w:rPr>
        <w:t xml:space="preserve"> </w:t>
      </w:r>
      <w:r>
        <w:rPr>
          <w:b/>
        </w:rPr>
        <w:t>do Conselho Nacional de Educação</w:t>
      </w:r>
      <w:r>
        <w:t>. Institui Diretrizes Curriculares Nacionais para a Educação das Relações ÉtnicoRaciais e para o Ensino de História e Cultura Afro-Brasileira</w:t>
      </w:r>
      <w:r>
        <w:rPr>
          <w:spacing w:val="80"/>
        </w:rPr>
        <w:t xml:space="preserve"> </w:t>
      </w:r>
      <w:r>
        <w:rPr>
          <w:spacing w:val="-10"/>
        </w:rPr>
        <w:t>e</w:t>
      </w:r>
      <w:r>
        <w:tab/>
      </w:r>
      <w:r>
        <w:rPr>
          <w:spacing w:val="-2"/>
        </w:rPr>
        <w:t>Africana..</w:t>
      </w:r>
      <w:r>
        <w:tab/>
      </w:r>
      <w:r>
        <w:rPr>
          <w:spacing w:val="-2"/>
        </w:rPr>
        <w:t>Brasil,</w:t>
      </w:r>
      <w:r>
        <w:tab/>
      </w:r>
      <w:r>
        <w:rPr>
          <w:spacing w:val="-2"/>
        </w:rPr>
        <w:t>2004.</w:t>
      </w:r>
      <w:r>
        <w:tab/>
      </w:r>
      <w:r>
        <w:rPr>
          <w:spacing w:val="-2"/>
        </w:rPr>
        <w:t>Disponível</w:t>
      </w:r>
      <w:r>
        <w:tab/>
      </w:r>
      <w:r>
        <w:rPr>
          <w:spacing w:val="-4"/>
        </w:rPr>
        <w:t xml:space="preserve">em: </w:t>
      </w:r>
      <w:hyperlink r:id="rId152">
        <w:r>
          <w:rPr>
            <w:color w:val="000080"/>
            <w:spacing w:val="-2"/>
            <w:u w:val="single" w:color="000080"/>
          </w:rPr>
          <w:t>http://portal.mec.gov.br/dmdocuments/cnecp_003.pdf</w:t>
        </w:r>
      </w:hyperlink>
    </w:p>
    <w:p w:rsidR="007259F2" w:rsidRDefault="00E655B4">
      <w:pPr>
        <w:spacing w:before="120"/>
        <w:ind w:left="710" w:right="511"/>
        <w:jc w:val="both"/>
        <w:rPr>
          <w:sz w:val="24"/>
        </w:rPr>
      </w:pPr>
      <w:r>
        <w:rPr>
          <w:sz w:val="24"/>
        </w:rPr>
        <w:t xml:space="preserve">BRASIL. Ministério da Educação. </w:t>
      </w:r>
      <w:r>
        <w:rPr>
          <w:b/>
          <w:sz w:val="24"/>
        </w:rPr>
        <w:t xml:space="preserve">Plano nacional de implementação das diretrizes curriculares nacionais para educação das relações étnico-raciais e para o ensino de história e cultura afro-brasileira e africana. </w:t>
      </w:r>
      <w:r>
        <w:rPr>
          <w:sz w:val="24"/>
        </w:rPr>
        <w:t xml:space="preserve">Brasília: Ministério da Educação (MEC), Secretaria de Educação Continuada, Alfabetização, Diversidade e Inclusão (SECADI), 2013. Disponível em: </w:t>
      </w:r>
      <w:hyperlink r:id="rId153">
        <w:r>
          <w:rPr>
            <w:color w:val="000080"/>
            <w:sz w:val="24"/>
            <w:u w:val="single" w:color="000080"/>
          </w:rPr>
          <w:t>https://media.ceert.org.br/portal-4/pdf/plano.pdf</w:t>
        </w:r>
      </w:hyperlink>
    </w:p>
    <w:p w:rsidR="007259F2" w:rsidRDefault="00E655B4">
      <w:pPr>
        <w:spacing w:before="121"/>
        <w:ind w:left="710" w:right="566"/>
        <w:jc w:val="both"/>
        <w:rPr>
          <w:sz w:val="24"/>
        </w:rPr>
      </w:pPr>
      <w:r>
        <w:rPr>
          <w:sz w:val="24"/>
        </w:rPr>
        <w:t xml:space="preserve">CARNEIRO, Aparecida Sueli. </w:t>
      </w:r>
      <w:r>
        <w:rPr>
          <w:b/>
          <w:sz w:val="24"/>
        </w:rPr>
        <w:t>A construção do outro como não-ser como fundamento</w:t>
      </w:r>
      <w:r>
        <w:rPr>
          <w:b/>
          <w:spacing w:val="40"/>
          <w:sz w:val="24"/>
        </w:rPr>
        <w:t xml:space="preserve"> </w:t>
      </w:r>
      <w:r>
        <w:rPr>
          <w:b/>
          <w:sz w:val="24"/>
        </w:rPr>
        <w:t>do ser</w:t>
      </w:r>
      <w:r>
        <w:rPr>
          <w:sz w:val="24"/>
        </w:rPr>
        <w:t>. 2005. Tese (Doutorado) – Universidade de São Paulo, São Paulo, 2005.</w:t>
      </w:r>
    </w:p>
    <w:p w:rsidR="007259F2" w:rsidRDefault="00E655B4">
      <w:pPr>
        <w:pStyle w:val="Corpodetexto"/>
        <w:spacing w:before="120"/>
        <w:ind w:firstLine="0"/>
      </w:pPr>
      <w:r>
        <w:t>COSTA,</w:t>
      </w:r>
      <w:r>
        <w:rPr>
          <w:spacing w:val="-17"/>
        </w:rPr>
        <w:t xml:space="preserve"> </w:t>
      </w:r>
      <w:r>
        <w:t>Emília</w:t>
      </w:r>
      <w:r>
        <w:rPr>
          <w:spacing w:val="-15"/>
        </w:rPr>
        <w:t xml:space="preserve"> </w:t>
      </w:r>
      <w:r>
        <w:t>Viotti.</w:t>
      </w:r>
      <w:r>
        <w:rPr>
          <w:spacing w:val="-14"/>
        </w:rPr>
        <w:t xml:space="preserve"> </w:t>
      </w:r>
      <w:r>
        <w:rPr>
          <w:b/>
        </w:rPr>
        <w:t>Abolição</w:t>
      </w:r>
      <w:r>
        <w:t>.</w:t>
      </w:r>
      <w:r>
        <w:rPr>
          <w:spacing w:val="-11"/>
        </w:rPr>
        <w:t xml:space="preserve"> </w:t>
      </w:r>
      <w:r>
        <w:t>São</w:t>
      </w:r>
      <w:r>
        <w:rPr>
          <w:spacing w:val="-9"/>
        </w:rPr>
        <w:t xml:space="preserve"> </w:t>
      </w:r>
      <w:r>
        <w:t>Paulo:</w:t>
      </w:r>
      <w:r>
        <w:rPr>
          <w:spacing w:val="-12"/>
        </w:rPr>
        <w:t xml:space="preserve"> </w:t>
      </w:r>
      <w:r>
        <w:t>UNESP,</w:t>
      </w:r>
      <w:r>
        <w:rPr>
          <w:spacing w:val="-10"/>
        </w:rPr>
        <w:t xml:space="preserve"> </w:t>
      </w:r>
      <w:r>
        <w:rPr>
          <w:spacing w:val="-2"/>
        </w:rPr>
        <w:t>2008.</w:t>
      </w:r>
    </w:p>
    <w:p w:rsidR="007259F2" w:rsidRDefault="00E655B4">
      <w:pPr>
        <w:spacing w:before="137" w:line="237" w:lineRule="auto"/>
        <w:ind w:left="710" w:right="422"/>
        <w:jc w:val="both"/>
        <w:rPr>
          <w:sz w:val="24"/>
        </w:rPr>
      </w:pPr>
      <w:r>
        <w:rPr>
          <w:sz w:val="24"/>
        </w:rPr>
        <w:t xml:space="preserve">GOMES, Nilma Lino. </w:t>
      </w:r>
      <w:r>
        <w:rPr>
          <w:b/>
          <w:sz w:val="24"/>
        </w:rPr>
        <w:t>O Movimento Negro educador</w:t>
      </w:r>
      <w:r>
        <w:rPr>
          <w:sz w:val="24"/>
        </w:rPr>
        <w:t>: saberes construídos na luta por emancipação. Petrópolis, RJ: Vozes, 2017.</w:t>
      </w:r>
    </w:p>
    <w:p w:rsidR="007259F2" w:rsidRDefault="00E655B4">
      <w:pPr>
        <w:spacing w:before="121"/>
        <w:ind w:left="710" w:right="550"/>
        <w:jc w:val="both"/>
        <w:rPr>
          <w:sz w:val="24"/>
        </w:rPr>
      </w:pPr>
      <w:r>
        <w:rPr>
          <w:sz w:val="24"/>
        </w:rPr>
        <w:t xml:space="preserve">SÃO PAULO (SP). </w:t>
      </w:r>
      <w:r>
        <w:rPr>
          <w:b/>
          <w:sz w:val="24"/>
        </w:rPr>
        <w:t xml:space="preserve">Lei orgânica do município de São Paulo de 05 de abril de 1990. </w:t>
      </w:r>
      <w:r>
        <w:rPr>
          <w:sz w:val="24"/>
        </w:rPr>
        <w:t xml:space="preserve">São Paulo: Prefeitura de São Paulo, 1990. Disponível em: </w:t>
      </w:r>
      <w:hyperlink r:id="rId154">
        <w:r>
          <w:rPr>
            <w:color w:val="000080"/>
            <w:sz w:val="24"/>
            <w:u w:val="single" w:color="000080"/>
          </w:rPr>
          <w:t>https://leismunicipais.com.br/lei-</w:t>
        </w:r>
      </w:hyperlink>
      <w:r>
        <w:rPr>
          <w:color w:val="000080"/>
          <w:sz w:val="24"/>
        </w:rPr>
        <w:t xml:space="preserve"> </w:t>
      </w:r>
      <w:hyperlink r:id="rId155">
        <w:r>
          <w:rPr>
            <w:color w:val="000080"/>
            <w:spacing w:val="-2"/>
            <w:sz w:val="24"/>
            <w:u w:val="single" w:color="000080"/>
          </w:rPr>
          <w:t>organica-sao-paulo-sp</w:t>
        </w:r>
      </w:hyperlink>
    </w:p>
    <w:p w:rsidR="007259F2" w:rsidRDefault="00E655B4">
      <w:pPr>
        <w:pStyle w:val="Corpodetexto"/>
        <w:spacing w:before="120"/>
        <w:ind w:right="561" w:firstLine="0"/>
      </w:pPr>
      <w:r>
        <w:t xml:space="preserve">SÃO PAULO.(SP) </w:t>
      </w:r>
      <w:r>
        <w:rPr>
          <w:b/>
        </w:rPr>
        <w:t xml:space="preserve">Lei nº 17.950 de 19 de maio de 2023. </w:t>
      </w:r>
      <w:r>
        <w:t>Institui a obrigatoriedade de capacitação dos professores da rede de ensino pública e privada para atuação na promoção</w:t>
      </w:r>
      <w:r>
        <w:rPr>
          <w:spacing w:val="40"/>
        </w:rPr>
        <w:t xml:space="preserve"> </w:t>
      </w:r>
      <w:r>
        <w:t xml:space="preserve">da igualdade racial, e dá outras providências. São Paulo: Prefeitura de São Paulo, 2023. Disponível em: </w:t>
      </w:r>
      <w:hyperlink r:id="rId156">
        <w:r>
          <w:rPr>
            <w:color w:val="000080"/>
            <w:u w:val="single" w:color="000080"/>
          </w:rPr>
          <w:t>https://legislacao.prefeitura.sp.gov.br/leis/lei-17950-de-19-de-maio-de-</w:t>
        </w:r>
      </w:hyperlink>
      <w:r>
        <w:rPr>
          <w:color w:val="000080"/>
        </w:rPr>
        <w:t xml:space="preserve"> </w:t>
      </w:r>
      <w:hyperlink r:id="rId157">
        <w:r>
          <w:rPr>
            <w:color w:val="000080"/>
            <w:spacing w:val="-2"/>
            <w:u w:val="single" w:color="000080"/>
          </w:rPr>
          <w:t>2023/consolidado</w:t>
        </w:r>
      </w:hyperlink>
    </w:p>
    <w:p w:rsidR="007259F2" w:rsidRDefault="00E655B4">
      <w:pPr>
        <w:pStyle w:val="Corpodetexto"/>
        <w:spacing w:before="120"/>
        <w:ind w:right="561" w:firstLine="0"/>
      </w:pPr>
      <w:r>
        <w:t xml:space="preserve">SÃO PAULO.(SP) </w:t>
      </w:r>
      <w:r>
        <w:rPr>
          <w:b/>
        </w:rPr>
        <w:t xml:space="preserve">Decreto nº 58.526 de 23 de novembro de 2018. </w:t>
      </w:r>
      <w:r>
        <w:t>Institui o Plano Municipal de</w:t>
      </w:r>
      <w:r>
        <w:rPr>
          <w:spacing w:val="-7"/>
        </w:rPr>
        <w:t xml:space="preserve"> </w:t>
      </w:r>
      <w:r>
        <w:t>Promoção da</w:t>
      </w:r>
      <w:r>
        <w:rPr>
          <w:spacing w:val="-2"/>
        </w:rPr>
        <w:t xml:space="preserve"> </w:t>
      </w:r>
      <w:r>
        <w:t>Igualdade</w:t>
      </w:r>
      <w:r>
        <w:rPr>
          <w:spacing w:val="-2"/>
        </w:rPr>
        <w:t xml:space="preserve"> </w:t>
      </w:r>
      <w:r>
        <w:t>Racial</w:t>
      </w:r>
      <w:r>
        <w:rPr>
          <w:spacing w:val="-3"/>
        </w:rPr>
        <w:t xml:space="preserve"> </w:t>
      </w:r>
      <w:r>
        <w:t>PLAMPIR</w:t>
      </w:r>
      <w:r>
        <w:rPr>
          <w:b/>
        </w:rPr>
        <w:t>.</w:t>
      </w:r>
      <w:r>
        <w:rPr>
          <w:b/>
          <w:spacing w:val="-1"/>
        </w:rPr>
        <w:t xml:space="preserve"> </w:t>
      </w:r>
      <w:r>
        <w:t xml:space="preserve">São Paulo: Prefeitura de São Paulo, 2018. Disponível em: </w:t>
      </w:r>
      <w:hyperlink r:id="rId158">
        <w:r>
          <w:rPr>
            <w:color w:val="000080"/>
            <w:u w:val="single" w:color="000080"/>
          </w:rPr>
          <w:t>https://legislacao.prefeitura.sp.gov.br/leis/decreto-58526-de-23-de-</w:t>
        </w:r>
      </w:hyperlink>
      <w:r>
        <w:rPr>
          <w:color w:val="000080"/>
        </w:rPr>
        <w:t xml:space="preserve"> </w:t>
      </w:r>
      <w:hyperlink r:id="rId159">
        <w:r>
          <w:rPr>
            <w:color w:val="000080"/>
            <w:u w:val="single" w:color="000080"/>
          </w:rPr>
          <w:t>novembro-de-</w:t>
        </w:r>
      </w:hyperlink>
      <w:r>
        <w:rPr>
          <w:color w:val="000080"/>
          <w:u w:val="single" w:color="000080"/>
        </w:rPr>
        <w:t xml:space="preserve"> </w:t>
      </w:r>
      <w:hyperlink r:id="rId160">
        <w:r>
          <w:rPr>
            <w:color w:val="000080"/>
            <w:u w:val="single" w:color="000080"/>
          </w:rPr>
          <w:t>2018/consolidado</w:t>
        </w:r>
      </w:hyperlink>
    </w:p>
    <w:p w:rsidR="007259F2" w:rsidRDefault="00E655B4">
      <w:pPr>
        <w:pStyle w:val="Corpodetexto"/>
        <w:tabs>
          <w:tab w:val="left" w:pos="2453"/>
          <w:tab w:val="left" w:pos="3483"/>
          <w:tab w:val="left" w:pos="4644"/>
          <w:tab w:val="left" w:pos="6050"/>
          <w:tab w:val="left" w:pos="7391"/>
          <w:tab w:val="left" w:pos="9281"/>
        </w:tabs>
        <w:spacing w:before="120"/>
        <w:ind w:right="561" w:firstLine="0"/>
        <w:jc w:val="left"/>
      </w:pPr>
      <w:r>
        <w:t>SÃO</w:t>
      </w:r>
      <w:r>
        <w:rPr>
          <w:spacing w:val="68"/>
        </w:rPr>
        <w:t xml:space="preserve"> </w:t>
      </w:r>
      <w:r>
        <w:t>PAULO.(SP)</w:t>
      </w:r>
      <w:r>
        <w:rPr>
          <w:spacing w:val="71"/>
        </w:rPr>
        <w:t xml:space="preserve"> </w:t>
      </w:r>
      <w:r>
        <w:rPr>
          <w:b/>
        </w:rPr>
        <w:t>Decreto</w:t>
      </w:r>
      <w:r>
        <w:rPr>
          <w:b/>
          <w:spacing w:val="71"/>
        </w:rPr>
        <w:t xml:space="preserve"> </w:t>
      </w:r>
      <w:r>
        <w:rPr>
          <w:b/>
        </w:rPr>
        <w:t>n°</w:t>
      </w:r>
      <w:r>
        <w:rPr>
          <w:b/>
          <w:spacing w:val="71"/>
        </w:rPr>
        <w:t xml:space="preserve"> </w:t>
      </w:r>
      <w:r>
        <w:rPr>
          <w:b/>
        </w:rPr>
        <w:t>59.749/20</w:t>
      </w:r>
      <w:r>
        <w:rPr>
          <w:b/>
          <w:spacing w:val="71"/>
        </w:rPr>
        <w:t xml:space="preserve"> </w:t>
      </w:r>
      <w:r>
        <w:rPr>
          <w:b/>
        </w:rPr>
        <w:t>de</w:t>
      </w:r>
      <w:r>
        <w:rPr>
          <w:b/>
          <w:spacing w:val="30"/>
        </w:rPr>
        <w:t xml:space="preserve"> </w:t>
      </w:r>
      <w:r>
        <w:rPr>
          <w:b/>
        </w:rPr>
        <w:t>9</w:t>
      </w:r>
      <w:r>
        <w:rPr>
          <w:b/>
          <w:spacing w:val="31"/>
        </w:rPr>
        <w:t xml:space="preserve"> </w:t>
      </w:r>
      <w:r>
        <w:rPr>
          <w:b/>
        </w:rPr>
        <w:t>de</w:t>
      </w:r>
      <w:r>
        <w:rPr>
          <w:b/>
          <w:spacing w:val="30"/>
        </w:rPr>
        <w:t xml:space="preserve"> </w:t>
      </w:r>
      <w:r>
        <w:rPr>
          <w:b/>
        </w:rPr>
        <w:t>setembro</w:t>
      </w:r>
      <w:r>
        <w:rPr>
          <w:b/>
          <w:spacing w:val="31"/>
        </w:rPr>
        <w:t xml:space="preserve"> </w:t>
      </w:r>
      <w:r>
        <w:rPr>
          <w:b/>
        </w:rPr>
        <w:t>de</w:t>
      </w:r>
      <w:r>
        <w:rPr>
          <w:b/>
          <w:spacing w:val="32"/>
        </w:rPr>
        <w:t xml:space="preserve"> </w:t>
      </w:r>
      <w:r>
        <w:rPr>
          <w:b/>
        </w:rPr>
        <w:t>2020.</w:t>
      </w:r>
      <w:r>
        <w:rPr>
          <w:b/>
          <w:spacing w:val="75"/>
        </w:rPr>
        <w:t xml:space="preserve"> </w:t>
      </w:r>
      <w:r>
        <w:t>Dispõe</w:t>
      </w:r>
      <w:r>
        <w:rPr>
          <w:spacing w:val="68"/>
        </w:rPr>
        <w:t xml:space="preserve"> </w:t>
      </w:r>
      <w:r>
        <w:t>sobre</w:t>
      </w:r>
      <w:r>
        <w:rPr>
          <w:spacing w:val="69"/>
        </w:rPr>
        <w:t xml:space="preserve"> </w:t>
      </w:r>
      <w:r>
        <w:t>a Política</w:t>
      </w:r>
      <w:r>
        <w:rPr>
          <w:spacing w:val="80"/>
          <w:w w:val="150"/>
        </w:rPr>
        <w:t xml:space="preserve"> </w:t>
      </w:r>
      <w:r>
        <w:t>Municipal</w:t>
      </w:r>
      <w:r>
        <w:rPr>
          <w:spacing w:val="80"/>
        </w:rPr>
        <w:t xml:space="preserve"> </w:t>
      </w:r>
      <w:r>
        <w:t>de</w:t>
      </w:r>
      <w:r>
        <w:rPr>
          <w:spacing w:val="80"/>
          <w:w w:val="150"/>
        </w:rPr>
        <w:t xml:space="preserve"> </w:t>
      </w:r>
      <w:r>
        <w:t>Prevenção</w:t>
      </w:r>
      <w:r>
        <w:rPr>
          <w:spacing w:val="80"/>
          <w:w w:val="150"/>
        </w:rPr>
        <w:t xml:space="preserve"> </w:t>
      </w:r>
      <w:r>
        <w:t>e</w:t>
      </w:r>
      <w:r>
        <w:rPr>
          <w:spacing w:val="80"/>
          <w:w w:val="150"/>
        </w:rPr>
        <w:t xml:space="preserve"> </w:t>
      </w:r>
      <w:r>
        <w:t>Combate</w:t>
      </w:r>
      <w:r>
        <w:rPr>
          <w:spacing w:val="80"/>
          <w:w w:val="150"/>
        </w:rPr>
        <w:t xml:space="preserve"> </w:t>
      </w:r>
      <w:r>
        <w:t>ao</w:t>
      </w:r>
      <w:r>
        <w:rPr>
          <w:spacing w:val="80"/>
          <w:w w:val="150"/>
        </w:rPr>
        <w:t xml:space="preserve"> </w:t>
      </w:r>
      <w:r>
        <w:t>Racismo</w:t>
      </w:r>
      <w:r>
        <w:rPr>
          <w:spacing w:val="80"/>
          <w:w w:val="150"/>
        </w:rPr>
        <w:t xml:space="preserve"> </w:t>
      </w:r>
      <w:r>
        <w:t>Institucional.</w:t>
      </w:r>
      <w:r>
        <w:rPr>
          <w:spacing w:val="80"/>
          <w:w w:val="150"/>
        </w:rPr>
        <w:t xml:space="preserve"> </w:t>
      </w:r>
      <w:r>
        <w:t>São</w:t>
      </w:r>
      <w:r>
        <w:rPr>
          <w:spacing w:val="73"/>
        </w:rPr>
        <w:t xml:space="preserve"> </w:t>
      </w:r>
      <w:r>
        <w:t xml:space="preserve">Paulo: </w:t>
      </w:r>
      <w:r>
        <w:rPr>
          <w:spacing w:val="-2"/>
        </w:rPr>
        <w:t>Prefeitura</w:t>
      </w:r>
      <w:r>
        <w:tab/>
      </w:r>
      <w:r>
        <w:rPr>
          <w:spacing w:val="-6"/>
        </w:rPr>
        <w:t>de</w:t>
      </w:r>
      <w:r>
        <w:tab/>
      </w:r>
      <w:r>
        <w:rPr>
          <w:spacing w:val="-4"/>
        </w:rPr>
        <w:t>São</w:t>
      </w:r>
      <w:r>
        <w:tab/>
      </w:r>
      <w:r>
        <w:rPr>
          <w:spacing w:val="-2"/>
        </w:rPr>
        <w:t>Paulo,</w:t>
      </w:r>
      <w:r>
        <w:tab/>
      </w:r>
      <w:r>
        <w:rPr>
          <w:spacing w:val="-2"/>
        </w:rPr>
        <w:t>2020.</w:t>
      </w:r>
      <w:r>
        <w:tab/>
      </w:r>
      <w:r>
        <w:rPr>
          <w:spacing w:val="-2"/>
        </w:rPr>
        <w:t>Disponível</w:t>
      </w:r>
      <w:r>
        <w:tab/>
      </w:r>
      <w:r>
        <w:rPr>
          <w:spacing w:val="-4"/>
        </w:rPr>
        <w:t xml:space="preserve">em: </w:t>
      </w:r>
      <w:hyperlink r:id="rId161">
        <w:r>
          <w:rPr>
            <w:color w:val="000080"/>
            <w:spacing w:val="-2"/>
            <w:u w:val="single" w:color="000080"/>
          </w:rPr>
          <w:t>https://legislacao.prefeitura.sp.gov.br/leis/decreto-59749-de-9-de-setembro-de-</w:t>
        </w:r>
      </w:hyperlink>
      <w:r>
        <w:rPr>
          <w:color w:val="000080"/>
          <w:spacing w:val="-2"/>
        </w:rPr>
        <w:t xml:space="preserve"> </w:t>
      </w:r>
      <w:hyperlink r:id="rId162">
        <w:r>
          <w:rPr>
            <w:color w:val="000080"/>
            <w:spacing w:val="-2"/>
            <w:u w:val="single" w:color="000080"/>
          </w:rPr>
          <w:t>2020/consolidado</w:t>
        </w:r>
      </w:hyperlink>
    </w:p>
    <w:p w:rsidR="007259F2" w:rsidRDefault="00E655B4">
      <w:pPr>
        <w:pStyle w:val="Corpodetexto"/>
        <w:spacing w:before="121"/>
        <w:ind w:right="559" w:firstLine="0"/>
      </w:pPr>
      <w:r>
        <w:t xml:space="preserve">SÃO PAULO.(SP) Secretaria Municipal de Educação. Diretoria de Orientação Técnica. </w:t>
      </w:r>
      <w:r>
        <w:rPr>
          <w:b/>
        </w:rPr>
        <w:t xml:space="preserve">Orientações Curriculares: </w:t>
      </w:r>
      <w:r>
        <w:t>expectativas de aprendizagem para a educação étnico-racial na educação infantil, ensino fundamental e médio. São Paulo: SME/DOT, 2008.</w:t>
      </w:r>
    </w:p>
    <w:p w:rsidR="007259F2" w:rsidRDefault="00E655B4">
      <w:pPr>
        <w:pStyle w:val="Corpodetexto"/>
        <w:spacing w:before="120"/>
        <w:ind w:right="562" w:firstLine="0"/>
      </w:pPr>
      <w:r>
        <w:t xml:space="preserve">SÃO PAULO.(SP) Secretaria Municipal de Educação. Coordenadoria Pedagógica. </w:t>
      </w:r>
      <w:r>
        <w:rPr>
          <w:b/>
        </w:rPr>
        <w:t>Currículo da cidade</w:t>
      </w:r>
      <w:r>
        <w:t>: educação antirracista: orientações pedagógicas: povos afro- brasileiros.</w:t>
      </w:r>
      <w:r>
        <w:rPr>
          <w:spacing w:val="74"/>
        </w:rPr>
        <w:t xml:space="preserve">    </w:t>
      </w:r>
      <w:r>
        <w:t>Versão</w:t>
      </w:r>
      <w:r>
        <w:rPr>
          <w:spacing w:val="75"/>
        </w:rPr>
        <w:t xml:space="preserve">    </w:t>
      </w:r>
      <w:r>
        <w:t>atualizada</w:t>
      </w:r>
      <w:r>
        <w:rPr>
          <w:b/>
        </w:rPr>
        <w:t>.</w:t>
      </w:r>
      <w:r>
        <w:rPr>
          <w:b/>
          <w:spacing w:val="74"/>
        </w:rPr>
        <w:t xml:space="preserve">    </w:t>
      </w:r>
      <w:r>
        <w:t>São</w:t>
      </w:r>
      <w:r>
        <w:rPr>
          <w:spacing w:val="75"/>
        </w:rPr>
        <w:t xml:space="preserve">    </w:t>
      </w:r>
      <w:r>
        <w:t>Paulo:</w:t>
      </w:r>
      <w:r>
        <w:rPr>
          <w:spacing w:val="74"/>
        </w:rPr>
        <w:t xml:space="preserve">    </w:t>
      </w:r>
      <w:r>
        <w:t>SME/COPED,</w:t>
      </w:r>
      <w:r>
        <w:rPr>
          <w:spacing w:val="75"/>
        </w:rPr>
        <w:t xml:space="preserve">    </w:t>
      </w:r>
      <w:r>
        <w:rPr>
          <w:spacing w:val="-2"/>
        </w:rPr>
        <w:t>2022.</w:t>
      </w:r>
    </w:p>
    <w:p w:rsidR="007259F2" w:rsidRDefault="007259F2">
      <w:pPr>
        <w:pStyle w:val="Corpodetexto"/>
        <w:sectPr w:rsidR="007259F2">
          <w:pgSz w:w="11910" w:h="16840"/>
          <w:pgMar w:top="1600" w:right="708" w:bottom="1020" w:left="992" w:header="0" w:footer="820" w:gutter="0"/>
          <w:cols w:space="720"/>
        </w:sectPr>
      </w:pPr>
    </w:p>
    <w:p w:rsidR="007259F2" w:rsidRDefault="00E655B4">
      <w:pPr>
        <w:pStyle w:val="Heading2"/>
        <w:spacing w:before="60"/>
        <w:ind w:right="421"/>
      </w:pPr>
      <w:bookmarkStart w:id="12" w:name="_bookmark12"/>
      <w:bookmarkEnd w:id="12"/>
      <w:r>
        <w:rPr>
          <w:i/>
        </w:rPr>
        <w:lastRenderedPageBreak/>
        <w:t xml:space="preserve">Software </w:t>
      </w:r>
      <w:r>
        <w:t>no Piratininga: propriedade intelectual de programas de computador nas contratações públicas do Município</w:t>
      </w:r>
    </w:p>
    <w:p w:rsidR="007259F2" w:rsidRDefault="00E655B4">
      <w:pPr>
        <w:spacing w:before="202" w:line="412" w:lineRule="auto"/>
        <w:ind w:left="712" w:right="553"/>
        <w:jc w:val="both"/>
        <w:rPr>
          <w:b/>
          <w:sz w:val="24"/>
        </w:rPr>
      </w:pPr>
      <w:r>
        <w:rPr>
          <w:b/>
          <w:sz w:val="24"/>
        </w:rPr>
        <w:t>Software</w:t>
      </w:r>
      <w:r>
        <w:rPr>
          <w:b/>
          <w:spacing w:val="-11"/>
          <w:sz w:val="24"/>
        </w:rPr>
        <w:t xml:space="preserve"> </w:t>
      </w:r>
      <w:r>
        <w:rPr>
          <w:b/>
          <w:sz w:val="24"/>
        </w:rPr>
        <w:t>in</w:t>
      </w:r>
      <w:r>
        <w:rPr>
          <w:b/>
          <w:spacing w:val="-6"/>
          <w:sz w:val="24"/>
        </w:rPr>
        <w:t xml:space="preserve"> </w:t>
      </w:r>
      <w:r>
        <w:rPr>
          <w:b/>
          <w:sz w:val="24"/>
        </w:rPr>
        <w:t>Piratininga:</w:t>
      </w:r>
      <w:r>
        <w:rPr>
          <w:b/>
          <w:spacing w:val="-8"/>
          <w:sz w:val="24"/>
        </w:rPr>
        <w:t xml:space="preserve"> </w:t>
      </w:r>
      <w:r>
        <w:rPr>
          <w:b/>
          <w:sz w:val="24"/>
        </w:rPr>
        <w:t>intellectual</w:t>
      </w:r>
      <w:r>
        <w:rPr>
          <w:b/>
          <w:spacing w:val="-5"/>
          <w:sz w:val="24"/>
        </w:rPr>
        <w:t xml:space="preserve"> </w:t>
      </w:r>
      <w:r>
        <w:rPr>
          <w:b/>
          <w:sz w:val="24"/>
        </w:rPr>
        <w:t>property</w:t>
      </w:r>
      <w:r>
        <w:rPr>
          <w:b/>
          <w:spacing w:val="-9"/>
          <w:sz w:val="24"/>
        </w:rPr>
        <w:t xml:space="preserve"> </w:t>
      </w:r>
      <w:r>
        <w:rPr>
          <w:b/>
          <w:sz w:val="24"/>
        </w:rPr>
        <w:t>of</w:t>
      </w:r>
      <w:r>
        <w:rPr>
          <w:b/>
          <w:spacing w:val="-5"/>
          <w:sz w:val="24"/>
        </w:rPr>
        <w:t xml:space="preserve"> </w:t>
      </w:r>
      <w:r>
        <w:rPr>
          <w:b/>
          <w:sz w:val="24"/>
        </w:rPr>
        <w:t>computer</w:t>
      </w:r>
      <w:r>
        <w:rPr>
          <w:b/>
          <w:spacing w:val="-9"/>
          <w:sz w:val="24"/>
        </w:rPr>
        <w:t xml:space="preserve"> </w:t>
      </w:r>
      <w:r>
        <w:rPr>
          <w:b/>
          <w:sz w:val="24"/>
        </w:rPr>
        <w:t>programs</w:t>
      </w:r>
      <w:r>
        <w:rPr>
          <w:b/>
          <w:spacing w:val="-8"/>
          <w:sz w:val="24"/>
        </w:rPr>
        <w:t xml:space="preserve"> </w:t>
      </w:r>
      <w:r>
        <w:rPr>
          <w:b/>
          <w:sz w:val="24"/>
        </w:rPr>
        <w:t>in</w:t>
      </w:r>
      <w:r>
        <w:rPr>
          <w:b/>
          <w:spacing w:val="-5"/>
          <w:sz w:val="24"/>
        </w:rPr>
        <w:t xml:space="preserve"> </w:t>
      </w:r>
      <w:r>
        <w:rPr>
          <w:b/>
          <w:sz w:val="24"/>
        </w:rPr>
        <w:t>public</w:t>
      </w:r>
      <w:r>
        <w:rPr>
          <w:b/>
          <w:spacing w:val="-8"/>
          <w:sz w:val="24"/>
        </w:rPr>
        <w:t xml:space="preserve"> </w:t>
      </w:r>
      <w:r>
        <w:rPr>
          <w:b/>
          <w:sz w:val="24"/>
        </w:rPr>
        <w:t>contracts Lucas Lazarini Reginato</w:t>
      </w:r>
      <w:r>
        <w:rPr>
          <w:b/>
          <w:sz w:val="24"/>
          <w:vertAlign w:val="superscript"/>
        </w:rPr>
        <w:t>1</w:t>
      </w:r>
    </w:p>
    <w:p w:rsidR="007259F2" w:rsidRDefault="007259F2">
      <w:pPr>
        <w:pStyle w:val="Corpodetexto"/>
        <w:spacing w:before="121"/>
        <w:ind w:left="0" w:firstLine="0"/>
        <w:jc w:val="left"/>
        <w:rPr>
          <w:b/>
        </w:rPr>
      </w:pPr>
    </w:p>
    <w:p w:rsidR="007259F2" w:rsidRDefault="00E655B4">
      <w:pPr>
        <w:pStyle w:val="Heading1"/>
        <w:ind w:left="712"/>
      </w:pPr>
      <w:r>
        <w:rPr>
          <w:spacing w:val="-2"/>
        </w:rPr>
        <w:t>RESUMO</w:t>
      </w:r>
    </w:p>
    <w:p w:rsidR="007259F2" w:rsidRDefault="00E655B4">
      <w:pPr>
        <w:pStyle w:val="Corpodetexto"/>
        <w:spacing w:before="115"/>
        <w:ind w:right="702" w:firstLine="0"/>
      </w:pPr>
      <w:r>
        <w:t>A propriedade intelectual é uma formulação jurídica de importância cada vez maior na economia e na vida em sociedade informatizada, e é difícil para as formas tradicionais do direito darem conta da constante transformação digital. Este artigo se debruça sobre os conceitos fundamentais do direito autoral que protege programas de computador, e elenca instrumentos vigentes no ordenamento que incentivam a Administração Pública a assumir protagonismo no setor, tais como o Novo Regime de Licitações e Contratos Administrativos (Lei Federal nº 14.133/2021) e a Lei de Inovação Tecnológica (Lei</w:t>
      </w:r>
      <w:r>
        <w:rPr>
          <w:spacing w:val="40"/>
        </w:rPr>
        <w:t xml:space="preserve"> </w:t>
      </w:r>
      <w:r>
        <w:t>Federal nº 10.973/2004). Inicia na fundação de São Paulo e encontra Oswald de Andrade</w:t>
      </w:r>
      <w:r>
        <w:rPr>
          <w:spacing w:val="40"/>
        </w:rPr>
        <w:t xml:space="preserve"> </w:t>
      </w:r>
      <w:r>
        <w:t xml:space="preserve">na busca de uma nova abordagem do tema, que instigue a gente do Piratininga a enfrentar os desafios do nosso tempo com as ferramentas jurídicas de gestão pública do </w:t>
      </w:r>
      <w:r>
        <w:rPr>
          <w:spacing w:val="-2"/>
        </w:rPr>
        <w:t>conhecimento.</w:t>
      </w:r>
    </w:p>
    <w:p w:rsidR="007259F2" w:rsidRDefault="00E655B4">
      <w:pPr>
        <w:pStyle w:val="Corpodetexto"/>
        <w:spacing w:before="123" w:line="276" w:lineRule="auto"/>
        <w:ind w:right="1952" w:firstLine="0"/>
      </w:pPr>
      <w:r>
        <w:rPr>
          <w:b/>
        </w:rPr>
        <w:t>Palavras-chave:</w:t>
      </w:r>
      <w:r>
        <w:rPr>
          <w:b/>
          <w:spacing w:val="-7"/>
        </w:rPr>
        <w:t xml:space="preserve"> </w:t>
      </w:r>
      <w:r>
        <w:t>propriedade</w:t>
      </w:r>
      <w:r>
        <w:rPr>
          <w:spacing w:val="-7"/>
        </w:rPr>
        <w:t xml:space="preserve"> </w:t>
      </w:r>
      <w:r>
        <w:t>intelectual;</w:t>
      </w:r>
      <w:r>
        <w:rPr>
          <w:spacing w:val="-6"/>
        </w:rPr>
        <w:t xml:space="preserve"> </w:t>
      </w:r>
      <w:r>
        <w:t>programas</w:t>
      </w:r>
      <w:r>
        <w:rPr>
          <w:spacing w:val="-6"/>
        </w:rPr>
        <w:t xml:space="preserve"> </w:t>
      </w:r>
      <w:r>
        <w:t>de</w:t>
      </w:r>
      <w:r>
        <w:rPr>
          <w:spacing w:val="-6"/>
        </w:rPr>
        <w:t xml:space="preserve"> </w:t>
      </w:r>
      <w:r>
        <w:t>computador;</w:t>
      </w:r>
      <w:r>
        <w:rPr>
          <w:spacing w:val="-5"/>
        </w:rPr>
        <w:t xml:space="preserve"> </w:t>
      </w:r>
      <w:r>
        <w:t xml:space="preserve">contratos </w:t>
      </w:r>
      <w:r>
        <w:rPr>
          <w:spacing w:val="-2"/>
        </w:rPr>
        <w:t>administrativos.</w:t>
      </w:r>
    </w:p>
    <w:p w:rsidR="007259F2" w:rsidRDefault="007259F2">
      <w:pPr>
        <w:pStyle w:val="Corpodetexto"/>
        <w:spacing w:before="242"/>
        <w:ind w:left="0" w:firstLine="0"/>
        <w:jc w:val="left"/>
      </w:pPr>
    </w:p>
    <w:p w:rsidR="007259F2" w:rsidRDefault="00E655B4">
      <w:pPr>
        <w:pStyle w:val="Heading1"/>
        <w:ind w:left="712"/>
      </w:pPr>
      <w:r>
        <w:rPr>
          <w:spacing w:val="-2"/>
        </w:rPr>
        <w:t>ABSTRACT</w:t>
      </w:r>
    </w:p>
    <w:p w:rsidR="007259F2" w:rsidRDefault="00E655B4">
      <w:pPr>
        <w:pStyle w:val="Corpodetexto"/>
        <w:spacing w:before="115"/>
        <w:ind w:right="425" w:firstLine="0"/>
      </w:pPr>
      <w:r>
        <w:t>Intellectual property is an increasingly important legal formulation in the economy and in society's digital life, and traditional forms of law struggle to keep up with constant digital transformation. This article examines the fundamental concepts of copyright that protect computer programs and lists current legal instruments that encourage public administration, such as the</w:t>
      </w:r>
      <w:r>
        <w:rPr>
          <w:spacing w:val="40"/>
        </w:rPr>
        <w:t xml:space="preserve"> </w:t>
      </w:r>
      <w:r>
        <w:t>New</w:t>
      </w:r>
      <w:r>
        <w:rPr>
          <w:spacing w:val="40"/>
        </w:rPr>
        <w:t xml:space="preserve"> </w:t>
      </w:r>
      <w:r>
        <w:t>Bidding and</w:t>
      </w:r>
      <w:r>
        <w:rPr>
          <w:spacing w:val="40"/>
        </w:rPr>
        <w:t xml:space="preserve"> </w:t>
      </w:r>
      <w:r>
        <w:t>Administrative Contracts</w:t>
      </w:r>
      <w:r>
        <w:rPr>
          <w:spacing w:val="40"/>
        </w:rPr>
        <w:t xml:space="preserve"> </w:t>
      </w:r>
      <w:r>
        <w:t>Regime</w:t>
      </w:r>
      <w:r>
        <w:rPr>
          <w:spacing w:val="40"/>
        </w:rPr>
        <w:t xml:space="preserve"> </w:t>
      </w:r>
      <w:r>
        <w:t>(Federal</w:t>
      </w:r>
      <w:r>
        <w:rPr>
          <w:spacing w:val="40"/>
        </w:rPr>
        <w:t xml:space="preserve"> </w:t>
      </w:r>
      <w:r>
        <w:t>Law nº 14.133/2021) and the Technological Innovation Law (Federal Law nº 10.973/2004). It begins with the foundation of São Paulo and meets Oswald de Andrade looking for a new approach</w:t>
      </w:r>
      <w:r>
        <w:rPr>
          <w:spacing w:val="40"/>
        </w:rPr>
        <w:t xml:space="preserve"> </w:t>
      </w:r>
      <w:r>
        <w:t>to the topic, one that encourages the people of Piratininga to face the challenges of our time with the legal tools for public management of knowledge.</w:t>
      </w:r>
    </w:p>
    <w:p w:rsidR="007259F2" w:rsidRDefault="00E655B4">
      <w:pPr>
        <w:pStyle w:val="Corpodetexto"/>
        <w:spacing w:before="128"/>
        <w:ind w:firstLine="0"/>
        <w:rPr>
          <w:rFonts w:ascii="Calibri"/>
        </w:rPr>
      </w:pPr>
      <w:r>
        <w:rPr>
          <w:b/>
        </w:rPr>
        <w:t>Keywords</w:t>
      </w:r>
      <w:r>
        <w:t>:</w:t>
      </w:r>
      <w:r>
        <w:rPr>
          <w:spacing w:val="-4"/>
        </w:rPr>
        <w:t xml:space="preserve"> </w:t>
      </w:r>
      <w:r>
        <w:t>intellectual</w:t>
      </w:r>
      <w:r>
        <w:rPr>
          <w:spacing w:val="-1"/>
        </w:rPr>
        <w:t xml:space="preserve"> </w:t>
      </w:r>
      <w:r>
        <w:t>property;</w:t>
      </w:r>
      <w:r>
        <w:rPr>
          <w:spacing w:val="-2"/>
        </w:rPr>
        <w:t xml:space="preserve"> </w:t>
      </w:r>
      <w:r>
        <w:t>softwares;</w:t>
      </w:r>
      <w:r>
        <w:rPr>
          <w:spacing w:val="-1"/>
        </w:rPr>
        <w:t xml:space="preserve"> </w:t>
      </w:r>
      <w:r>
        <w:t>administrative</w:t>
      </w:r>
      <w:r>
        <w:rPr>
          <w:spacing w:val="-2"/>
        </w:rPr>
        <w:t xml:space="preserve"> contracts</w:t>
      </w:r>
      <w:r>
        <w:rPr>
          <w:rFonts w:ascii="Calibri"/>
          <w:spacing w:val="-2"/>
        </w:rPr>
        <w:t>.</w:t>
      </w:r>
    </w:p>
    <w:p w:rsidR="007259F2" w:rsidRDefault="007259F2">
      <w:pPr>
        <w:pStyle w:val="Corpodetexto"/>
        <w:ind w:left="0" w:firstLine="0"/>
        <w:jc w:val="left"/>
        <w:rPr>
          <w:rFonts w:ascii="Calibri"/>
        </w:rPr>
      </w:pPr>
    </w:p>
    <w:p w:rsidR="007259F2" w:rsidRDefault="007259F2">
      <w:pPr>
        <w:pStyle w:val="Corpodetexto"/>
        <w:spacing w:before="33"/>
        <w:ind w:left="0" w:firstLine="0"/>
        <w:jc w:val="left"/>
        <w:rPr>
          <w:rFonts w:ascii="Calibri"/>
        </w:rPr>
      </w:pPr>
    </w:p>
    <w:p w:rsidR="007259F2" w:rsidRDefault="00E655B4">
      <w:pPr>
        <w:pStyle w:val="Heading2"/>
        <w:numPr>
          <w:ilvl w:val="0"/>
          <w:numId w:val="26"/>
        </w:numPr>
        <w:tabs>
          <w:tab w:val="left" w:pos="1428"/>
        </w:tabs>
        <w:spacing w:before="0"/>
        <w:ind w:left="1428" w:hanging="359"/>
        <w:jc w:val="left"/>
      </w:pPr>
      <w:r>
        <w:rPr>
          <w:spacing w:val="-2"/>
        </w:rPr>
        <w:t>Introdução</w:t>
      </w:r>
    </w:p>
    <w:p w:rsidR="007259F2" w:rsidRDefault="00E655B4">
      <w:pPr>
        <w:spacing w:before="215"/>
        <w:ind w:left="5256" w:right="728"/>
        <w:rPr>
          <w:i/>
          <w:sz w:val="20"/>
        </w:rPr>
      </w:pPr>
      <w:r>
        <w:rPr>
          <w:i/>
          <w:sz w:val="20"/>
        </w:rPr>
        <w:t>Da</w:t>
      </w:r>
      <w:r>
        <w:rPr>
          <w:i/>
          <w:spacing w:val="-4"/>
          <w:sz w:val="20"/>
        </w:rPr>
        <w:t xml:space="preserve"> </w:t>
      </w:r>
      <w:r>
        <w:rPr>
          <w:i/>
          <w:sz w:val="20"/>
        </w:rPr>
        <w:t>força</w:t>
      </w:r>
      <w:r>
        <w:rPr>
          <w:i/>
          <w:spacing w:val="-4"/>
          <w:sz w:val="20"/>
        </w:rPr>
        <w:t xml:space="preserve"> </w:t>
      </w:r>
      <w:r>
        <w:rPr>
          <w:i/>
          <w:sz w:val="20"/>
        </w:rPr>
        <w:t>da</w:t>
      </w:r>
      <w:r>
        <w:rPr>
          <w:i/>
          <w:spacing w:val="-5"/>
          <w:sz w:val="20"/>
        </w:rPr>
        <w:t xml:space="preserve"> </w:t>
      </w:r>
      <w:r>
        <w:rPr>
          <w:i/>
          <w:sz w:val="20"/>
        </w:rPr>
        <w:t>grana</w:t>
      </w:r>
      <w:r>
        <w:rPr>
          <w:i/>
          <w:spacing w:val="-5"/>
          <w:sz w:val="20"/>
        </w:rPr>
        <w:t xml:space="preserve"> </w:t>
      </w:r>
      <w:r>
        <w:rPr>
          <w:i/>
          <w:sz w:val="20"/>
        </w:rPr>
        <w:t>que</w:t>
      </w:r>
      <w:r>
        <w:rPr>
          <w:i/>
          <w:spacing w:val="-4"/>
          <w:sz w:val="20"/>
        </w:rPr>
        <w:t xml:space="preserve"> </w:t>
      </w:r>
      <w:r>
        <w:rPr>
          <w:i/>
          <w:sz w:val="20"/>
        </w:rPr>
        <w:t>ergue</w:t>
      </w:r>
      <w:r>
        <w:rPr>
          <w:i/>
          <w:spacing w:val="-6"/>
          <w:sz w:val="20"/>
        </w:rPr>
        <w:t xml:space="preserve"> </w:t>
      </w:r>
      <w:r>
        <w:rPr>
          <w:i/>
          <w:sz w:val="20"/>
        </w:rPr>
        <w:t>e</w:t>
      </w:r>
      <w:r>
        <w:rPr>
          <w:i/>
          <w:spacing w:val="-4"/>
          <w:sz w:val="20"/>
        </w:rPr>
        <w:t xml:space="preserve"> </w:t>
      </w:r>
      <w:r>
        <w:rPr>
          <w:i/>
          <w:sz w:val="20"/>
        </w:rPr>
        <w:t>destrói</w:t>
      </w:r>
      <w:r>
        <w:rPr>
          <w:i/>
          <w:spacing w:val="-5"/>
          <w:sz w:val="20"/>
        </w:rPr>
        <w:t xml:space="preserve"> </w:t>
      </w:r>
      <w:r>
        <w:rPr>
          <w:i/>
          <w:sz w:val="20"/>
        </w:rPr>
        <w:t>coisas</w:t>
      </w:r>
      <w:r>
        <w:rPr>
          <w:i/>
          <w:spacing w:val="-5"/>
          <w:sz w:val="20"/>
        </w:rPr>
        <w:t xml:space="preserve"> </w:t>
      </w:r>
      <w:r>
        <w:rPr>
          <w:i/>
          <w:sz w:val="20"/>
        </w:rPr>
        <w:t>belas. Da feia fumaça que sobe, apagando as estrelas.</w:t>
      </w:r>
    </w:p>
    <w:p w:rsidR="007259F2" w:rsidRDefault="00E655B4">
      <w:pPr>
        <w:spacing w:before="1"/>
        <w:ind w:left="5256" w:right="728"/>
        <w:rPr>
          <w:i/>
          <w:sz w:val="20"/>
        </w:rPr>
      </w:pPr>
      <w:r>
        <w:rPr>
          <w:i/>
          <w:sz w:val="20"/>
        </w:rPr>
        <w:t>Eu vejo surgir teus poetas de campos e espaços. Tuas</w:t>
      </w:r>
      <w:r>
        <w:rPr>
          <w:i/>
          <w:spacing w:val="-6"/>
          <w:sz w:val="20"/>
        </w:rPr>
        <w:t xml:space="preserve"> </w:t>
      </w:r>
      <w:r>
        <w:rPr>
          <w:i/>
          <w:sz w:val="20"/>
        </w:rPr>
        <w:t>oficinas</w:t>
      </w:r>
      <w:r>
        <w:rPr>
          <w:i/>
          <w:spacing w:val="-6"/>
          <w:sz w:val="20"/>
        </w:rPr>
        <w:t xml:space="preserve"> </w:t>
      </w:r>
      <w:r>
        <w:rPr>
          <w:i/>
          <w:sz w:val="20"/>
        </w:rPr>
        <w:t>de</w:t>
      </w:r>
      <w:r>
        <w:rPr>
          <w:i/>
          <w:spacing w:val="-5"/>
          <w:sz w:val="20"/>
        </w:rPr>
        <w:t xml:space="preserve"> </w:t>
      </w:r>
      <w:r>
        <w:rPr>
          <w:i/>
          <w:sz w:val="20"/>
        </w:rPr>
        <w:t>florestas,</w:t>
      </w:r>
      <w:r>
        <w:rPr>
          <w:i/>
          <w:spacing w:val="-5"/>
          <w:sz w:val="20"/>
        </w:rPr>
        <w:t xml:space="preserve"> </w:t>
      </w:r>
      <w:r>
        <w:rPr>
          <w:i/>
          <w:sz w:val="20"/>
        </w:rPr>
        <w:t>teus</w:t>
      </w:r>
      <w:r>
        <w:rPr>
          <w:i/>
          <w:spacing w:val="-6"/>
          <w:sz w:val="20"/>
        </w:rPr>
        <w:t xml:space="preserve"> </w:t>
      </w:r>
      <w:r>
        <w:rPr>
          <w:i/>
          <w:sz w:val="20"/>
        </w:rPr>
        <w:t>deuses</w:t>
      </w:r>
      <w:r>
        <w:rPr>
          <w:i/>
          <w:spacing w:val="-6"/>
          <w:sz w:val="20"/>
        </w:rPr>
        <w:t xml:space="preserve"> </w:t>
      </w:r>
      <w:r>
        <w:rPr>
          <w:i/>
          <w:sz w:val="20"/>
        </w:rPr>
        <w:t>da</w:t>
      </w:r>
      <w:r>
        <w:rPr>
          <w:i/>
          <w:spacing w:val="-4"/>
          <w:sz w:val="20"/>
        </w:rPr>
        <w:t xml:space="preserve"> </w:t>
      </w:r>
      <w:r>
        <w:rPr>
          <w:i/>
          <w:sz w:val="20"/>
        </w:rPr>
        <w:t>chuva”.</w:t>
      </w:r>
    </w:p>
    <w:p w:rsidR="007259F2" w:rsidRDefault="00E655B4">
      <w:pPr>
        <w:spacing w:line="228" w:lineRule="exact"/>
        <w:ind w:left="6547"/>
        <w:rPr>
          <w:i/>
          <w:sz w:val="20"/>
        </w:rPr>
      </w:pPr>
      <w:r>
        <w:rPr>
          <w:i/>
          <w:sz w:val="20"/>
        </w:rPr>
        <w:t>“Sampa”,</w:t>
      </w:r>
      <w:r>
        <w:rPr>
          <w:i/>
          <w:spacing w:val="-5"/>
          <w:sz w:val="20"/>
        </w:rPr>
        <w:t xml:space="preserve"> </w:t>
      </w:r>
      <w:r>
        <w:rPr>
          <w:i/>
          <w:sz w:val="20"/>
        </w:rPr>
        <w:t>de</w:t>
      </w:r>
      <w:r>
        <w:rPr>
          <w:i/>
          <w:spacing w:val="-5"/>
          <w:sz w:val="20"/>
        </w:rPr>
        <w:t xml:space="preserve"> </w:t>
      </w:r>
      <w:r>
        <w:rPr>
          <w:i/>
          <w:sz w:val="20"/>
        </w:rPr>
        <w:t>Caetano</w:t>
      </w:r>
      <w:r>
        <w:rPr>
          <w:i/>
          <w:spacing w:val="-3"/>
          <w:sz w:val="20"/>
        </w:rPr>
        <w:t xml:space="preserve"> </w:t>
      </w:r>
      <w:r>
        <w:rPr>
          <w:i/>
          <w:sz w:val="20"/>
        </w:rPr>
        <w:t>Veloso</w:t>
      </w:r>
      <w:r>
        <w:rPr>
          <w:i/>
          <w:spacing w:val="-6"/>
          <w:sz w:val="20"/>
        </w:rPr>
        <w:t xml:space="preserve"> </w:t>
      </w:r>
      <w:r>
        <w:rPr>
          <w:i/>
          <w:spacing w:val="-2"/>
          <w:sz w:val="20"/>
        </w:rPr>
        <w:t>(1978).</w:t>
      </w:r>
    </w:p>
    <w:p w:rsidR="007259F2" w:rsidRDefault="007259F2">
      <w:pPr>
        <w:pStyle w:val="Corpodetexto"/>
        <w:spacing w:before="25"/>
        <w:ind w:left="0" w:firstLine="0"/>
        <w:jc w:val="left"/>
        <w:rPr>
          <w:i/>
        </w:rPr>
      </w:pPr>
    </w:p>
    <w:p w:rsidR="007259F2" w:rsidRDefault="00E655B4">
      <w:pPr>
        <w:pStyle w:val="Corpodetexto"/>
        <w:spacing w:before="1"/>
        <w:jc w:val="left"/>
      </w:pPr>
      <w:r>
        <w:t>Ao deixar o prédio do Cejur, o Centro de Estudos Jurídicos da Procuradoria-Geral do Município,</w:t>
      </w:r>
      <w:r>
        <w:rPr>
          <w:spacing w:val="49"/>
        </w:rPr>
        <w:t xml:space="preserve"> </w:t>
      </w:r>
      <w:r>
        <w:t>em</w:t>
      </w:r>
      <w:r>
        <w:rPr>
          <w:spacing w:val="53"/>
        </w:rPr>
        <w:t xml:space="preserve"> </w:t>
      </w:r>
      <w:r>
        <w:t>um</w:t>
      </w:r>
      <w:r>
        <w:rPr>
          <w:spacing w:val="52"/>
        </w:rPr>
        <w:t xml:space="preserve"> </w:t>
      </w:r>
      <w:r>
        <w:t>edifício</w:t>
      </w:r>
      <w:r>
        <w:rPr>
          <w:spacing w:val="53"/>
        </w:rPr>
        <w:t xml:space="preserve"> </w:t>
      </w:r>
      <w:r>
        <w:t>centenário</w:t>
      </w:r>
      <w:r>
        <w:rPr>
          <w:spacing w:val="51"/>
        </w:rPr>
        <w:t xml:space="preserve"> </w:t>
      </w:r>
      <w:r>
        <w:t>na</w:t>
      </w:r>
      <w:r>
        <w:rPr>
          <w:spacing w:val="53"/>
        </w:rPr>
        <w:t xml:space="preserve"> </w:t>
      </w:r>
      <w:r>
        <w:t>esquina</w:t>
      </w:r>
      <w:r>
        <w:rPr>
          <w:spacing w:val="50"/>
        </w:rPr>
        <w:t xml:space="preserve"> </w:t>
      </w:r>
      <w:r>
        <w:t>da</w:t>
      </w:r>
      <w:r>
        <w:rPr>
          <w:spacing w:val="54"/>
        </w:rPr>
        <w:t xml:space="preserve"> </w:t>
      </w:r>
      <w:r>
        <w:t>rua</w:t>
      </w:r>
      <w:r>
        <w:rPr>
          <w:spacing w:val="49"/>
        </w:rPr>
        <w:t xml:space="preserve"> </w:t>
      </w:r>
      <w:r>
        <w:t>Anchieta,</w:t>
      </w:r>
      <w:r>
        <w:rPr>
          <w:spacing w:val="54"/>
        </w:rPr>
        <w:t xml:space="preserve"> </w:t>
      </w:r>
      <w:r>
        <w:t>estamos</w:t>
      </w:r>
      <w:r>
        <w:rPr>
          <w:spacing w:val="52"/>
        </w:rPr>
        <w:t xml:space="preserve"> </w:t>
      </w:r>
      <w:r>
        <w:t>no</w:t>
      </w:r>
      <w:r>
        <w:rPr>
          <w:spacing w:val="52"/>
        </w:rPr>
        <w:t xml:space="preserve"> </w:t>
      </w:r>
      <w:r>
        <w:t>Pateo</w:t>
      </w:r>
      <w:r>
        <w:rPr>
          <w:spacing w:val="52"/>
        </w:rPr>
        <w:t xml:space="preserve"> </w:t>
      </w:r>
      <w:r>
        <w:rPr>
          <w:spacing w:val="-5"/>
        </w:rPr>
        <w:t>do</w:t>
      </w:r>
    </w:p>
    <w:p w:rsidR="007259F2" w:rsidRDefault="00DE6B1C">
      <w:pPr>
        <w:pStyle w:val="Corpodetexto"/>
        <w:ind w:left="0" w:firstLine="0"/>
        <w:jc w:val="left"/>
        <w:rPr>
          <w:sz w:val="17"/>
        </w:rPr>
      </w:pPr>
      <w:r w:rsidRPr="00DE6B1C">
        <w:rPr>
          <w:sz w:val="17"/>
        </w:rPr>
        <w:pict>
          <v:rect id="docshape104" o:spid="_x0000_s1124" style="position:absolute;margin-left:85.1pt;margin-top:11pt;width:2in;height:.7pt;z-index:-15684608;mso-wrap-distance-left:0;mso-wrap-distance-right:0;mso-position-horizontal-relative:page" fillcolor="black" stroked="f">
            <w10:wrap type="topAndBottom" anchorx="page"/>
          </v:rect>
        </w:pict>
      </w:r>
    </w:p>
    <w:p w:rsidR="007259F2" w:rsidRDefault="00E655B4">
      <w:pPr>
        <w:spacing w:before="96"/>
        <w:ind w:left="710"/>
        <w:rPr>
          <w:sz w:val="20"/>
        </w:rPr>
      </w:pPr>
      <w:r>
        <w:rPr>
          <w:sz w:val="20"/>
          <w:vertAlign w:val="superscript"/>
        </w:rPr>
        <w:t>1</w:t>
      </w:r>
      <w:r>
        <w:rPr>
          <w:spacing w:val="28"/>
          <w:sz w:val="20"/>
        </w:rPr>
        <w:t xml:space="preserve"> </w:t>
      </w:r>
      <w:r>
        <w:rPr>
          <w:sz w:val="20"/>
        </w:rPr>
        <w:t>Residente</w:t>
      </w:r>
      <w:r>
        <w:rPr>
          <w:spacing w:val="28"/>
          <w:sz w:val="20"/>
        </w:rPr>
        <w:t xml:space="preserve"> </w:t>
      </w:r>
      <w:r>
        <w:rPr>
          <w:sz w:val="20"/>
        </w:rPr>
        <w:t>Jurídico</w:t>
      </w:r>
      <w:r>
        <w:rPr>
          <w:spacing w:val="29"/>
          <w:sz w:val="20"/>
        </w:rPr>
        <w:t xml:space="preserve"> </w:t>
      </w:r>
      <w:r>
        <w:rPr>
          <w:sz w:val="20"/>
        </w:rPr>
        <w:t>do</w:t>
      </w:r>
      <w:r>
        <w:rPr>
          <w:spacing w:val="24"/>
          <w:sz w:val="20"/>
        </w:rPr>
        <w:t xml:space="preserve"> </w:t>
      </w:r>
      <w:r>
        <w:rPr>
          <w:sz w:val="20"/>
        </w:rPr>
        <w:t>Programa</w:t>
      </w:r>
      <w:r>
        <w:rPr>
          <w:spacing w:val="28"/>
          <w:sz w:val="20"/>
        </w:rPr>
        <w:t xml:space="preserve"> </w:t>
      </w:r>
      <w:r>
        <w:rPr>
          <w:sz w:val="20"/>
        </w:rPr>
        <w:t>de</w:t>
      </w:r>
      <w:r>
        <w:rPr>
          <w:spacing w:val="28"/>
          <w:sz w:val="20"/>
        </w:rPr>
        <w:t xml:space="preserve"> </w:t>
      </w:r>
      <w:r>
        <w:rPr>
          <w:sz w:val="20"/>
        </w:rPr>
        <w:t>Residência</w:t>
      </w:r>
      <w:r>
        <w:rPr>
          <w:spacing w:val="28"/>
          <w:sz w:val="20"/>
        </w:rPr>
        <w:t xml:space="preserve"> </w:t>
      </w:r>
      <w:r>
        <w:rPr>
          <w:sz w:val="20"/>
        </w:rPr>
        <w:t>Jurídica</w:t>
      </w:r>
      <w:r>
        <w:rPr>
          <w:spacing w:val="28"/>
          <w:sz w:val="20"/>
        </w:rPr>
        <w:t xml:space="preserve"> </w:t>
      </w:r>
      <w:r>
        <w:rPr>
          <w:sz w:val="20"/>
        </w:rPr>
        <w:t>da</w:t>
      </w:r>
      <w:r>
        <w:rPr>
          <w:spacing w:val="28"/>
          <w:sz w:val="20"/>
        </w:rPr>
        <w:t xml:space="preserve"> </w:t>
      </w:r>
      <w:r>
        <w:rPr>
          <w:sz w:val="20"/>
        </w:rPr>
        <w:t>Procuradoria</w:t>
      </w:r>
      <w:r>
        <w:rPr>
          <w:spacing w:val="26"/>
          <w:sz w:val="20"/>
        </w:rPr>
        <w:t xml:space="preserve"> </w:t>
      </w:r>
      <w:r>
        <w:rPr>
          <w:sz w:val="20"/>
        </w:rPr>
        <w:t>Geral</w:t>
      </w:r>
      <w:r>
        <w:rPr>
          <w:spacing w:val="26"/>
          <w:sz w:val="20"/>
        </w:rPr>
        <w:t xml:space="preserve"> </w:t>
      </w:r>
      <w:r>
        <w:rPr>
          <w:sz w:val="20"/>
        </w:rPr>
        <w:t>do</w:t>
      </w:r>
      <w:r>
        <w:rPr>
          <w:spacing w:val="27"/>
          <w:sz w:val="20"/>
        </w:rPr>
        <w:t xml:space="preserve"> </w:t>
      </w:r>
      <w:r>
        <w:rPr>
          <w:sz w:val="20"/>
        </w:rPr>
        <w:t>Município</w:t>
      </w:r>
      <w:r>
        <w:rPr>
          <w:spacing w:val="29"/>
          <w:sz w:val="20"/>
        </w:rPr>
        <w:t xml:space="preserve"> </w:t>
      </w:r>
      <w:r>
        <w:rPr>
          <w:sz w:val="20"/>
        </w:rPr>
        <w:t>de</w:t>
      </w:r>
      <w:r>
        <w:rPr>
          <w:spacing w:val="34"/>
          <w:sz w:val="20"/>
        </w:rPr>
        <w:t xml:space="preserve"> </w:t>
      </w:r>
      <w:r>
        <w:rPr>
          <w:sz w:val="20"/>
        </w:rPr>
        <w:t>São</w:t>
      </w:r>
      <w:r>
        <w:rPr>
          <w:spacing w:val="27"/>
          <w:sz w:val="20"/>
        </w:rPr>
        <w:t xml:space="preserve"> </w:t>
      </w:r>
      <w:r>
        <w:rPr>
          <w:sz w:val="20"/>
        </w:rPr>
        <w:t xml:space="preserve">Paulo, alocado na Secretaria Municipal de Gestão - SEGES (2022-2025). Email: </w:t>
      </w:r>
      <w:hyperlink r:id="rId163">
        <w:r>
          <w:rPr>
            <w:color w:val="0000FF"/>
            <w:sz w:val="20"/>
            <w:u w:val="single" w:color="0000FF"/>
          </w:rPr>
          <w:t>lregamato0@gmail.com</w:t>
        </w:r>
      </w:hyperlink>
    </w:p>
    <w:p w:rsidR="007259F2" w:rsidRDefault="007259F2">
      <w:pPr>
        <w:rPr>
          <w:sz w:val="20"/>
        </w:rPr>
        <w:sectPr w:rsidR="007259F2">
          <w:pgSz w:w="11910" w:h="16840"/>
          <w:pgMar w:top="1620" w:right="708" w:bottom="1020" w:left="992" w:header="0" w:footer="820" w:gutter="0"/>
          <w:cols w:space="720"/>
        </w:sectPr>
      </w:pPr>
    </w:p>
    <w:p w:rsidR="007259F2" w:rsidRDefault="00E655B4">
      <w:pPr>
        <w:pStyle w:val="Corpodetexto"/>
        <w:spacing w:before="75"/>
        <w:ind w:right="423" w:firstLine="0"/>
      </w:pPr>
      <w:r>
        <w:lastRenderedPageBreak/>
        <w:t>Colégio, onde nasceu São Paulo dos Campos de Piratininga. Era então a aldeia do cacique Tibiriçá, no morro do Inhapuambuçu, que se erguia como um forte sobre as águas do rio Tamanduateí, fértil e sinuoso. À esquerda, o Anhagabaú vinha formado pelos três ribeirões, Saracura, Itororó e Bexiga, e se miscigenavam todos para alcançar o Tietê. Os forasteiros vieram pelos caminhos do peabiru, estrada ancestral que subia de São Vicente e cortava o continente até alcançar os incas no Peru. Assim chegou o fundador José de Anchieta, guiado por tupinambás, à confluência de rios e estradas na mata atlântica onde fincou a cruz jesuíta.</w:t>
      </w:r>
    </w:p>
    <w:p w:rsidR="007259F2" w:rsidRDefault="00E655B4">
      <w:pPr>
        <w:pStyle w:val="Corpodetexto"/>
        <w:ind w:right="423"/>
      </w:pPr>
      <w:r>
        <w:t>Mesmo antes dos caraíbas, nativos de diversas origens e idiomas cruzavam esse território (CAMPOS, 2006, p. 21). Onde hoje está o esquecido largo da Memória, o peabiru fazia as vezes de viaduto do Chá para atravessar o rio Anhangabaú rumo ao jaraguá. Para superar essa mata, de sucupira, cipó e jatobá, Anchieta aprendeu o tupi e foi autor da “Arte da Gramática da Língua Mais Falada na Costa do Brasil” publicada em Coimbra ainda no século XVI (NOLL, 2019, p.28). Assim introduziu-se na terra, e pregou para converter os gentios. Escritor brasileiro antes de existir Brasil, Anchieta compôs peças de teatro na língua nativa para apresentar em dias festivos os valores cristãos (KALEWSKA, 2006). Ele batizou de Martim Afonso o cacique Tibiriçá, e o convenceu a se entregar de corpo e alma ao empreendimento católico, tanto que deu a filha em casamento ao português João Ramalho para iniciar esta aldeia cabocla e a defendeu contra vizinhos e parentes, inclusive de seu próprio irmão Jaguaranho e do sobrinho Piquerobi.</w:t>
      </w:r>
    </w:p>
    <w:p w:rsidR="007259F2" w:rsidRDefault="00E655B4">
      <w:pPr>
        <w:pStyle w:val="Corpodetexto"/>
        <w:spacing w:before="1"/>
        <w:ind w:right="423"/>
      </w:pPr>
      <w:r>
        <w:t>Os bandeirantes falavam tupi. Bartolomeu Bueno da Silva, um dos mais célebres, se chamava Anhanguera, o diabo velho. No Dicionário de Tupi Antigo (NAVARRO, 2013, p. 39),</w:t>
      </w:r>
      <w:r>
        <w:rPr>
          <w:spacing w:val="-1"/>
        </w:rPr>
        <w:t xml:space="preserve"> </w:t>
      </w:r>
      <w:r>
        <w:t>o substantivo Anhanga, de</w:t>
      </w:r>
      <w:r>
        <w:rPr>
          <w:spacing w:val="-1"/>
        </w:rPr>
        <w:t xml:space="preserve"> </w:t>
      </w:r>
      <w:r>
        <w:t>onde</w:t>
      </w:r>
      <w:r>
        <w:rPr>
          <w:spacing w:val="-1"/>
        </w:rPr>
        <w:t xml:space="preserve"> </w:t>
      </w:r>
      <w:r>
        <w:t>também vem o Anhangabaú [Anhanga</w:t>
      </w:r>
      <w:r>
        <w:rPr>
          <w:spacing w:val="-1"/>
        </w:rPr>
        <w:t xml:space="preserve"> </w:t>
      </w:r>
      <w:r>
        <w:t>+</w:t>
      </w:r>
      <w:r>
        <w:rPr>
          <w:spacing w:val="-1"/>
        </w:rPr>
        <w:t xml:space="preserve"> </w:t>
      </w:r>
      <w:r>
        <w:t>obá</w:t>
      </w:r>
      <w:r>
        <w:rPr>
          <w:spacing w:val="-1"/>
        </w:rPr>
        <w:t xml:space="preserve"> </w:t>
      </w:r>
      <w:r>
        <w:t>(rosto)</w:t>
      </w:r>
      <w:r>
        <w:rPr>
          <w:spacing w:val="-1"/>
        </w:rPr>
        <w:t xml:space="preserve"> </w:t>
      </w:r>
      <w:r>
        <w:t>+</w:t>
      </w:r>
      <w:r>
        <w:rPr>
          <w:spacing w:val="-1"/>
        </w:rPr>
        <w:t xml:space="preserve"> </w:t>
      </w:r>
      <w:r>
        <w:t>‘y (água) (p. 543)] tem duas definições. A primeira, registrada por Hans Staden, é “nome de entidade sobrenatural entre os índios”. Trata-se de um espírito poderoso, protetor da mata, anunciado como um enorme cervídeo branco de olhos flamejantes, que punia com chifradas e coices invasores que maltratassem os seres da floresta. A segunda definição para Anhanga é de “diabo, demônio, em sentido genérico”, e tem origem no processo de catequização, que buscou dar aspectos malignos a tradições pagãs no intuito de converter à salvação do cristianismo (ALVES FILHO, 2007).</w:t>
      </w:r>
    </w:p>
    <w:p w:rsidR="007259F2" w:rsidRDefault="00E655B4">
      <w:pPr>
        <w:pStyle w:val="Corpodetexto"/>
        <w:ind w:right="417"/>
      </w:pPr>
      <w:r>
        <w:t>O padre Anchieta foi autor desta segunda definição que associou o espírito protetor da floresta ao demônio. Nas peças teatrais que escrevia e apresentava aos estudantes do colégio, profetas e santos católicos salvavam povoados ameríndios de espíritos malignos, e o enredo maniqueísta demarcava aos jovens espectadores as virtudes a serem perseguidas e, principalmente, os pecados a serem exorcizados. A poligamia e a adoração a elementos da natureza, como o trovão (tupã) ou a lua (îasy), eram condenadas pelos heróis e louvadas pelos vilões. Anhanga era cruel, embriagado e, sobretudo, canibal</w:t>
      </w:r>
      <w:r>
        <w:rPr>
          <w:vertAlign w:val="superscript"/>
        </w:rPr>
        <w:t>2</w:t>
      </w:r>
      <w:r>
        <w:t>. A “refeição totêmica”</w:t>
      </w:r>
      <w:r>
        <w:rPr>
          <w:vertAlign w:val="superscript"/>
        </w:rPr>
        <w:t>3</w:t>
      </w:r>
      <w:r>
        <w:t>, que tinha função ritualística nas comunidades primitivas da costa brasileira, foi prontamente censurada, inaceitável que era à moral cristã. Pessoalmente, segundo relatou, Anchieta interrompeu cerimônia antropofágica que acontecia às portas da igreja sob a direção de Tibiriçá, que prostrou arrependido na manhã seguinte</w:t>
      </w:r>
      <w:r>
        <w:rPr>
          <w:vertAlign w:val="superscript"/>
        </w:rPr>
        <w:t>4</w:t>
      </w:r>
      <w:r>
        <w:t>.</w:t>
      </w:r>
    </w:p>
    <w:p w:rsidR="007259F2" w:rsidRDefault="00DE6B1C">
      <w:pPr>
        <w:pStyle w:val="Corpodetexto"/>
        <w:spacing w:before="70"/>
        <w:ind w:left="0" w:firstLine="0"/>
        <w:jc w:val="left"/>
        <w:rPr>
          <w:sz w:val="20"/>
        </w:rPr>
      </w:pPr>
      <w:r w:rsidRPr="00DE6B1C">
        <w:rPr>
          <w:sz w:val="20"/>
        </w:rPr>
        <w:pict>
          <v:rect id="docshape105" o:spid="_x0000_s1123" style="position:absolute;margin-left:85.1pt;margin-top:16.25pt;width:2in;height:.7pt;z-index:-15684096;mso-wrap-distance-left:0;mso-wrap-distance-right:0;mso-position-horizontal-relative:page" fillcolor="black" stroked="f">
            <w10:wrap type="topAndBottom" anchorx="page"/>
          </v:rect>
        </w:pict>
      </w:r>
    </w:p>
    <w:p w:rsidR="007259F2" w:rsidRDefault="00E655B4">
      <w:pPr>
        <w:spacing w:before="96"/>
        <w:ind w:left="710" w:right="426"/>
        <w:jc w:val="both"/>
        <w:rPr>
          <w:sz w:val="20"/>
        </w:rPr>
      </w:pPr>
      <w:r>
        <w:rPr>
          <w:sz w:val="20"/>
          <w:vertAlign w:val="superscript"/>
        </w:rPr>
        <w:t>2</w:t>
      </w:r>
      <w:r>
        <w:rPr>
          <w:sz w:val="20"/>
        </w:rPr>
        <w:t xml:space="preserve"> “No universo escuro de Anhanga perfilam-se os maus hábitos: no caso, a antropofagia, a poligamia, a embriaguez pelo cauim e a inspiração do fumo queimado nos maracás. Para falar só do primeiro: o ritual de devoração do inimigo remetia, na verdade, a um bem substancial para a vida da comunidade, sendo um ato de teor eminentemente sacral que dava a quantos o celebravam nova identidade e novo nome. Mas essa função sacramental da antropofagia era exorcizada pelo catequista que via nela a obra de Satanás, um vício nefando a que o índio deveria absolutamente renunciar” (BOSI, 1992, p. 67).</w:t>
      </w:r>
    </w:p>
    <w:p w:rsidR="007259F2" w:rsidRDefault="00E655B4">
      <w:pPr>
        <w:spacing w:before="1"/>
        <w:ind w:left="710" w:right="432"/>
        <w:jc w:val="both"/>
        <w:rPr>
          <w:sz w:val="20"/>
        </w:rPr>
      </w:pPr>
      <w:r>
        <w:rPr>
          <w:sz w:val="20"/>
          <w:vertAlign w:val="superscript"/>
        </w:rPr>
        <w:t>3</w:t>
      </w:r>
      <w:r>
        <w:rPr>
          <w:sz w:val="20"/>
        </w:rPr>
        <w:t xml:space="preserve"> “Os mais elevados motivos para o canibalismo dos primitivos têm origem semelhante. Ao assimilar partes do corpo de uma pessoa, devorando-as, o indivíduo se apropria também das características que a ela pertenceram” (FREUD, 2012, p. 86).</w:t>
      </w:r>
    </w:p>
    <w:p w:rsidR="007259F2" w:rsidRDefault="00E655B4">
      <w:pPr>
        <w:spacing w:before="1"/>
        <w:ind w:left="710" w:right="430"/>
        <w:jc w:val="both"/>
        <w:rPr>
          <w:sz w:val="20"/>
        </w:rPr>
      </w:pPr>
      <w:r>
        <w:rPr>
          <w:sz w:val="20"/>
          <w:vertAlign w:val="superscript"/>
        </w:rPr>
        <w:t>4</w:t>
      </w:r>
      <w:r>
        <w:rPr>
          <w:sz w:val="20"/>
        </w:rPr>
        <w:t xml:space="preserve"> “Outras vezes, inopinadamente, sobrevinha o refluxo da alma colectiva, naquela estância devota, aos apetites canibalescos</w:t>
      </w:r>
      <w:r>
        <w:rPr>
          <w:spacing w:val="26"/>
          <w:sz w:val="20"/>
        </w:rPr>
        <w:t xml:space="preserve"> </w:t>
      </w:r>
      <w:r>
        <w:rPr>
          <w:sz w:val="20"/>
        </w:rPr>
        <w:t>e</w:t>
      </w:r>
      <w:r>
        <w:rPr>
          <w:spacing w:val="28"/>
          <w:sz w:val="20"/>
        </w:rPr>
        <w:t xml:space="preserve"> </w:t>
      </w:r>
      <w:r>
        <w:rPr>
          <w:sz w:val="20"/>
        </w:rPr>
        <w:t>às</w:t>
      </w:r>
      <w:r>
        <w:rPr>
          <w:spacing w:val="27"/>
          <w:sz w:val="20"/>
        </w:rPr>
        <w:t xml:space="preserve"> </w:t>
      </w:r>
      <w:r>
        <w:rPr>
          <w:sz w:val="20"/>
        </w:rPr>
        <w:t>práticas</w:t>
      </w:r>
      <w:r>
        <w:rPr>
          <w:spacing w:val="27"/>
          <w:sz w:val="20"/>
        </w:rPr>
        <w:t xml:space="preserve"> </w:t>
      </w:r>
      <w:r>
        <w:rPr>
          <w:sz w:val="20"/>
        </w:rPr>
        <w:t>inumanas.</w:t>
      </w:r>
      <w:r>
        <w:rPr>
          <w:spacing w:val="23"/>
          <w:sz w:val="20"/>
        </w:rPr>
        <w:t xml:space="preserve"> </w:t>
      </w:r>
      <w:r>
        <w:rPr>
          <w:sz w:val="20"/>
        </w:rPr>
        <w:t>Tendo</w:t>
      </w:r>
      <w:r>
        <w:rPr>
          <w:spacing w:val="28"/>
          <w:sz w:val="20"/>
        </w:rPr>
        <w:t xml:space="preserve"> </w:t>
      </w:r>
      <w:r>
        <w:rPr>
          <w:sz w:val="20"/>
        </w:rPr>
        <w:t>apresado,</w:t>
      </w:r>
      <w:r>
        <w:rPr>
          <w:spacing w:val="26"/>
          <w:sz w:val="20"/>
        </w:rPr>
        <w:t xml:space="preserve"> </w:t>
      </w:r>
      <w:r>
        <w:rPr>
          <w:sz w:val="20"/>
        </w:rPr>
        <w:t>em</w:t>
      </w:r>
      <w:r>
        <w:rPr>
          <w:spacing w:val="26"/>
          <w:sz w:val="20"/>
        </w:rPr>
        <w:t xml:space="preserve"> </w:t>
      </w:r>
      <w:r>
        <w:rPr>
          <w:sz w:val="20"/>
        </w:rPr>
        <w:t>guerra,</w:t>
      </w:r>
      <w:r>
        <w:rPr>
          <w:spacing w:val="28"/>
          <w:sz w:val="20"/>
        </w:rPr>
        <w:t xml:space="preserve"> </w:t>
      </w:r>
      <w:r>
        <w:rPr>
          <w:sz w:val="20"/>
        </w:rPr>
        <w:t>um</w:t>
      </w:r>
      <w:r>
        <w:rPr>
          <w:spacing w:val="26"/>
          <w:sz w:val="20"/>
        </w:rPr>
        <w:t xml:space="preserve"> </w:t>
      </w:r>
      <w:r>
        <w:rPr>
          <w:sz w:val="20"/>
        </w:rPr>
        <w:t>valente</w:t>
      </w:r>
      <w:r>
        <w:rPr>
          <w:spacing w:val="28"/>
          <w:sz w:val="20"/>
        </w:rPr>
        <w:t xml:space="preserve"> </w:t>
      </w:r>
      <w:r>
        <w:rPr>
          <w:sz w:val="20"/>
        </w:rPr>
        <w:t>e</w:t>
      </w:r>
      <w:r>
        <w:rPr>
          <w:spacing w:val="28"/>
          <w:sz w:val="20"/>
        </w:rPr>
        <w:t xml:space="preserve"> </w:t>
      </w:r>
      <w:r>
        <w:rPr>
          <w:sz w:val="20"/>
        </w:rPr>
        <w:t>polpudo</w:t>
      </w:r>
      <w:r>
        <w:rPr>
          <w:spacing w:val="27"/>
          <w:sz w:val="20"/>
        </w:rPr>
        <w:t xml:space="preserve"> </w:t>
      </w:r>
      <w:r>
        <w:rPr>
          <w:sz w:val="20"/>
        </w:rPr>
        <w:t>guaianá,</w:t>
      </w:r>
      <w:r>
        <w:rPr>
          <w:spacing w:val="28"/>
          <w:sz w:val="20"/>
        </w:rPr>
        <w:t xml:space="preserve"> </w:t>
      </w:r>
      <w:r>
        <w:rPr>
          <w:spacing w:val="-2"/>
          <w:sz w:val="20"/>
        </w:rPr>
        <w:t>resolveram</w:t>
      </w:r>
    </w:p>
    <w:p w:rsidR="007259F2" w:rsidRDefault="007259F2">
      <w:pPr>
        <w:jc w:val="both"/>
        <w:rPr>
          <w:sz w:val="20"/>
        </w:rPr>
        <w:sectPr w:rsidR="007259F2">
          <w:pgSz w:w="11910" w:h="16840"/>
          <w:pgMar w:top="1600" w:right="708" w:bottom="1020" w:left="992" w:header="0" w:footer="820" w:gutter="0"/>
          <w:cols w:space="720"/>
        </w:sectPr>
      </w:pPr>
    </w:p>
    <w:p w:rsidR="007259F2" w:rsidRDefault="00E655B4">
      <w:pPr>
        <w:pStyle w:val="Corpodetexto"/>
        <w:spacing w:before="75"/>
        <w:ind w:right="423"/>
      </w:pPr>
      <w:r>
        <w:lastRenderedPageBreak/>
        <w:t>Quanto ao tema da propriedade intelectual, nos valemos da poderosa metáfora antropofágica. Em um bonde elétrico rumo ao largo São Francisco, cruzando esta aldeia cem anos</w:t>
      </w:r>
      <w:r>
        <w:rPr>
          <w:spacing w:val="-3"/>
        </w:rPr>
        <w:t xml:space="preserve"> </w:t>
      </w:r>
      <w:r>
        <w:t>atrás,</w:t>
      </w:r>
      <w:r>
        <w:rPr>
          <w:spacing w:val="-1"/>
        </w:rPr>
        <w:t xml:space="preserve"> </w:t>
      </w:r>
      <w:r>
        <w:t>encontramos Oswald</w:t>
      </w:r>
      <w:r>
        <w:rPr>
          <w:spacing w:val="-2"/>
        </w:rPr>
        <w:t xml:space="preserve"> </w:t>
      </w:r>
      <w:r>
        <w:t>de</w:t>
      </w:r>
      <w:r>
        <w:rPr>
          <w:spacing w:val="-2"/>
        </w:rPr>
        <w:t xml:space="preserve"> </w:t>
      </w:r>
      <w:r>
        <w:t>Andrade. “Tupi,</w:t>
      </w:r>
      <w:r>
        <w:rPr>
          <w:spacing w:val="-2"/>
        </w:rPr>
        <w:t xml:space="preserve"> </w:t>
      </w:r>
      <w:r>
        <w:t>ou</w:t>
      </w:r>
      <w:r>
        <w:rPr>
          <w:spacing w:val="-3"/>
        </w:rPr>
        <w:t xml:space="preserve"> </w:t>
      </w:r>
      <w:r>
        <w:t>not</w:t>
      </w:r>
      <w:r>
        <w:rPr>
          <w:spacing w:val="-3"/>
        </w:rPr>
        <w:t xml:space="preserve"> </w:t>
      </w:r>
      <w:r>
        <w:t>tupi</w:t>
      </w:r>
      <w:r>
        <w:rPr>
          <w:spacing w:val="-2"/>
        </w:rPr>
        <w:t xml:space="preserve"> </w:t>
      </w:r>
      <w:r>
        <w:t>that</w:t>
      </w:r>
      <w:r>
        <w:rPr>
          <w:spacing w:val="-3"/>
        </w:rPr>
        <w:t xml:space="preserve"> </w:t>
      </w:r>
      <w:r>
        <w:t>is</w:t>
      </w:r>
      <w:r>
        <w:rPr>
          <w:spacing w:val="-3"/>
        </w:rPr>
        <w:t xml:space="preserve"> </w:t>
      </w:r>
      <w:r>
        <w:t>the question”,</w:t>
      </w:r>
      <w:r>
        <w:rPr>
          <w:spacing w:val="-3"/>
        </w:rPr>
        <w:t xml:space="preserve"> </w:t>
      </w:r>
      <w:r>
        <w:t>inquire</w:t>
      </w:r>
      <w:r>
        <w:rPr>
          <w:spacing w:val="-7"/>
        </w:rPr>
        <w:t xml:space="preserve"> </w:t>
      </w:r>
      <w:r>
        <w:t>o modernista, com ironia nos lábios. “Só a antropofagia nos une. Socialmente. Economicamente. Filosoficamente”, prega ele, como um pastor na Sé, “contra todos os importadores de consciência enlatada”, “contra as sublimações antagônicas trazidas nas caravelas”, “contra Anchieta cantando as onze mil virgens do céu, na terra de Iracema”. O apelo antropofágico, que busca transformar tabu em totem e desafogar recalques históricos para</w:t>
      </w:r>
      <w:r>
        <w:rPr>
          <w:spacing w:val="-1"/>
        </w:rPr>
        <w:t xml:space="preserve"> </w:t>
      </w:r>
      <w:r>
        <w:t>liberar a consciência coletiva (NUNES, 2011, p. 25), faz pensar quais são as amarras que prendem a informação, que tornam escassos produtos virtuais, que permitem que textos mesmo em domínio público não sejam facilmente acessíveis na internet. “A nossa independência ainda não foi proclamada” (ANDRADE, p. 67, 2011).</w:t>
      </w:r>
    </w:p>
    <w:p w:rsidR="007259F2" w:rsidRDefault="00E655B4">
      <w:pPr>
        <w:pStyle w:val="Corpodetexto"/>
        <w:spacing w:before="1"/>
        <w:ind w:right="424"/>
      </w:pPr>
      <w:r>
        <w:t>Que o espírito antropofágico que vagueia por essas terras sirva de inspiração para uma nova abordagem sobre a propriedade intelectual, esta que resulta da apropriação jurídica de um dado conteúdo, é a proposta do artigo que se segue: sugerir a criação como processo de deglutição para construção do novo. Mais do que uma metáfora, a antropofagia serve como um diagnóstico e uma terapêutica para a realidade brasileira, um tratamento que propõe a superação da dicotomia entre colonizador e colonizado, entre técnica e natureza, ao fazer da cultura europeia, historicamente imposta hierarquicamente, alimento para uma apropriação transformadora e original.</w:t>
      </w:r>
    </w:p>
    <w:p w:rsidR="007259F2" w:rsidRDefault="00E655B4">
      <w:pPr>
        <w:pStyle w:val="Corpodetexto"/>
        <w:ind w:right="421"/>
      </w:pPr>
      <w:r>
        <w:t>Essa abordagem, que tem raiz no solo do Inhapuambuçu, leva em conta o interesse público intrínseco aos atos da Administração, a evolução histórica da configuração desses direitos que protegem programas de computador e, ainda, a centralidade do problema em nosso tempo, quando as tecnologias de informação e de comunicação revolucionam os fluxos informacionais. Um desafio que essa proposta coloca para o estudo do direito é a intersecção do tema entre diferentes subdivisões do mundo jurídico: administrativo, civil, comercial.</w:t>
      </w:r>
    </w:p>
    <w:p w:rsidR="007259F2" w:rsidRDefault="00E655B4">
      <w:pPr>
        <w:pStyle w:val="Corpodetexto"/>
        <w:ind w:right="421"/>
      </w:pPr>
      <w:r>
        <w:t>Indiscutível é a relevância crescente do estudo sobre a propriedade intelectual, enquanto abandonamos a “Era Industrial” para alcançar a “Era da Informação”, no termo cunhado pelo sociólogo Manuel Castells. Em Sociedade em Rede (CASTELLS, 2000), que retrata esta</w:t>
      </w:r>
      <w:r>
        <w:rPr>
          <w:spacing w:val="-2"/>
        </w:rPr>
        <w:t xml:space="preserve"> </w:t>
      </w:r>
      <w:r>
        <w:t>transição da “velha</w:t>
      </w:r>
      <w:r>
        <w:rPr>
          <w:spacing w:val="-2"/>
        </w:rPr>
        <w:t xml:space="preserve"> </w:t>
      </w:r>
      <w:r>
        <w:t>rigidez</w:t>
      </w:r>
      <w:r>
        <w:rPr>
          <w:spacing w:val="-1"/>
        </w:rPr>
        <w:t xml:space="preserve"> </w:t>
      </w:r>
      <w:r>
        <w:t>dos</w:t>
      </w:r>
      <w:r>
        <w:rPr>
          <w:spacing w:val="-1"/>
        </w:rPr>
        <w:t xml:space="preserve"> </w:t>
      </w:r>
      <w:r>
        <w:t>átomos para</w:t>
      </w:r>
      <w:r>
        <w:rPr>
          <w:spacing w:val="-1"/>
        </w:rPr>
        <w:t xml:space="preserve"> </w:t>
      </w:r>
      <w:r>
        <w:t>a fluidez dos</w:t>
      </w:r>
      <w:r>
        <w:rPr>
          <w:spacing w:val="-1"/>
        </w:rPr>
        <w:t xml:space="preserve"> </w:t>
      </w:r>
      <w:r>
        <w:t>bits” (NETO,</w:t>
      </w:r>
      <w:r>
        <w:rPr>
          <w:spacing w:val="-2"/>
        </w:rPr>
        <w:t xml:space="preserve"> </w:t>
      </w:r>
      <w:r>
        <w:t>2007,</w:t>
      </w:r>
      <w:r>
        <w:rPr>
          <w:spacing w:val="-1"/>
        </w:rPr>
        <w:t xml:space="preserve"> </w:t>
      </w:r>
      <w:r>
        <w:t>p.1), ele demarca nos Estados Unidos a revolução da tecnologia da informação que faz, por exemplo, da</w:t>
      </w:r>
      <w:r>
        <w:rPr>
          <w:spacing w:val="-1"/>
        </w:rPr>
        <w:t xml:space="preserve"> </w:t>
      </w:r>
      <w:r>
        <w:t>Microsoft a empresa</w:t>
      </w:r>
      <w:r>
        <w:rPr>
          <w:spacing w:val="-1"/>
        </w:rPr>
        <w:t xml:space="preserve"> </w:t>
      </w:r>
      <w:r>
        <w:t>mais valiosa</w:t>
      </w:r>
      <w:r>
        <w:rPr>
          <w:spacing w:val="-1"/>
        </w:rPr>
        <w:t xml:space="preserve"> </w:t>
      </w:r>
      <w:r>
        <w:t>do mundo hoje</w:t>
      </w:r>
      <w:r>
        <w:rPr>
          <w:vertAlign w:val="superscript"/>
        </w:rPr>
        <w:t>5</w:t>
      </w:r>
      <w:r>
        <w:t>, e</w:t>
      </w:r>
      <w:r>
        <w:rPr>
          <w:spacing w:val="-1"/>
        </w:rPr>
        <w:t xml:space="preserve"> </w:t>
      </w:r>
      <w:r>
        <w:t>postula</w:t>
      </w:r>
      <w:r>
        <w:rPr>
          <w:spacing w:val="-1"/>
        </w:rPr>
        <w:t xml:space="preserve"> </w:t>
      </w:r>
      <w:r>
        <w:t>o papel fundamental do</w:t>
      </w:r>
      <w:r>
        <w:rPr>
          <w:spacing w:val="40"/>
        </w:rPr>
        <w:t xml:space="preserve"> </w:t>
      </w:r>
      <w:r>
        <w:t>Estado para a configuração deste novo cenário tecnológico e econômico, não só lá como no resto do mundo. Informação neste</w:t>
      </w:r>
      <w:r>
        <w:rPr>
          <w:spacing w:val="-1"/>
        </w:rPr>
        <w:t xml:space="preserve"> </w:t>
      </w:r>
      <w:r>
        <w:t>mundo é</w:t>
      </w:r>
      <w:r>
        <w:rPr>
          <w:spacing w:val="-1"/>
        </w:rPr>
        <w:t xml:space="preserve"> </w:t>
      </w:r>
      <w:r>
        <w:t>matéria-prima, e</w:t>
      </w:r>
      <w:r>
        <w:rPr>
          <w:spacing w:val="-1"/>
        </w:rPr>
        <w:t xml:space="preserve"> </w:t>
      </w:r>
      <w:r>
        <w:t>se, por</w:t>
      </w:r>
      <w:r>
        <w:rPr>
          <w:spacing w:val="-1"/>
        </w:rPr>
        <w:t xml:space="preserve"> </w:t>
      </w:r>
      <w:r>
        <w:t>um lado,</w:t>
      </w:r>
      <w:r>
        <w:rPr>
          <w:spacing w:val="-1"/>
        </w:rPr>
        <w:t xml:space="preserve"> </w:t>
      </w:r>
      <w:r>
        <w:t>ela</w:t>
      </w:r>
      <w:r>
        <w:rPr>
          <w:spacing w:val="-1"/>
        </w:rPr>
        <w:t xml:space="preserve"> </w:t>
      </w:r>
      <w:r>
        <w:t>é</w:t>
      </w:r>
      <w:r>
        <w:rPr>
          <w:spacing w:val="-1"/>
        </w:rPr>
        <w:t xml:space="preserve"> </w:t>
      </w:r>
      <w:r>
        <w:t>infinita, por outro o Direito cumpre papel fundamental para decidir a quem ela pertence.</w:t>
      </w:r>
    </w:p>
    <w:p w:rsidR="007259F2" w:rsidRDefault="007259F2">
      <w:pPr>
        <w:pStyle w:val="Corpodetexto"/>
        <w:ind w:left="0" w:firstLine="0"/>
        <w:jc w:val="left"/>
        <w:rPr>
          <w:sz w:val="20"/>
        </w:rPr>
      </w:pPr>
    </w:p>
    <w:p w:rsidR="007259F2" w:rsidRDefault="00DE6B1C">
      <w:pPr>
        <w:pStyle w:val="Corpodetexto"/>
        <w:spacing w:before="56"/>
        <w:ind w:left="0" w:firstLine="0"/>
        <w:jc w:val="left"/>
        <w:rPr>
          <w:sz w:val="20"/>
        </w:rPr>
      </w:pPr>
      <w:r w:rsidRPr="00DE6B1C">
        <w:rPr>
          <w:sz w:val="20"/>
        </w:rPr>
        <w:pict>
          <v:rect id="docshape106" o:spid="_x0000_s1122" style="position:absolute;margin-left:85.1pt;margin-top:15.5pt;width:453.65pt;height:.7pt;z-index:-15683584;mso-wrap-distance-left:0;mso-wrap-distance-right:0;mso-position-horizontal-relative:page" fillcolor="black" stroked="f">
            <w10:wrap type="topAndBottom" anchorx="page"/>
          </v:rect>
        </w:pict>
      </w:r>
    </w:p>
    <w:p w:rsidR="007259F2" w:rsidRDefault="00E655B4">
      <w:pPr>
        <w:spacing w:before="96"/>
        <w:ind w:left="710" w:right="421"/>
        <w:jc w:val="both"/>
        <w:rPr>
          <w:sz w:val="20"/>
        </w:rPr>
      </w:pPr>
      <w:r>
        <w:rPr>
          <w:sz w:val="20"/>
        </w:rPr>
        <w:t>matá-lo e comê-lo os índios conversos de Piratininga. Não tardaria o sacrifício, para o qual estava já revestido e empenachado o sacrificador, quando surgiram no terreiro o padre Nobrega e o irmão</w:t>
      </w:r>
      <w:r>
        <w:rPr>
          <w:spacing w:val="-2"/>
          <w:sz w:val="20"/>
        </w:rPr>
        <w:t xml:space="preserve"> </w:t>
      </w:r>
      <w:r>
        <w:rPr>
          <w:sz w:val="20"/>
        </w:rPr>
        <w:t>Anchieta, despertados pela grita dos catecúmenos em festa. Mas bradaram</w:t>
      </w:r>
      <w:r>
        <w:rPr>
          <w:spacing w:val="-3"/>
          <w:sz w:val="20"/>
        </w:rPr>
        <w:t xml:space="preserve"> </w:t>
      </w:r>
      <w:r>
        <w:rPr>
          <w:sz w:val="20"/>
        </w:rPr>
        <w:t>em vão contra o pecado mortal da antropofagia, cometido à porta do templo: nada queria ouvirlhes o principal Martin Afonso, outra vez Tibiriçá, dirigindo os preparativos da cerimonia. Velhas necrófagas, desdentadas, amontoavam lenha para a fogueira: derredor do guaianá, disposto a morrer corajosamente, prosseguiam descantes, libações e rondas. Então, num soberbo impulso de humanidade, Anchieta e Nobrega, rompendo através do terreiro, desligaram o índio cativo, afugentaram as bruxas,</w:t>
      </w:r>
      <w:r>
        <w:rPr>
          <w:spacing w:val="40"/>
          <w:sz w:val="20"/>
        </w:rPr>
        <w:t xml:space="preserve"> </w:t>
      </w:r>
      <w:r>
        <w:rPr>
          <w:sz w:val="20"/>
        </w:rPr>
        <w:t>extinguiram</w:t>
      </w:r>
      <w:r>
        <w:rPr>
          <w:spacing w:val="-1"/>
          <w:sz w:val="20"/>
        </w:rPr>
        <w:t xml:space="preserve"> </w:t>
      </w:r>
      <w:r>
        <w:rPr>
          <w:sz w:val="20"/>
        </w:rPr>
        <w:t>o fogo crepitante, despedaçaram as panelas de barro e as talhas de</w:t>
      </w:r>
      <w:r>
        <w:rPr>
          <w:spacing w:val="-1"/>
          <w:sz w:val="20"/>
        </w:rPr>
        <w:t xml:space="preserve"> </w:t>
      </w:r>
      <w:r>
        <w:rPr>
          <w:sz w:val="20"/>
        </w:rPr>
        <w:t>vinho.</w:t>
      </w:r>
      <w:r>
        <w:rPr>
          <w:spacing w:val="-3"/>
          <w:sz w:val="20"/>
        </w:rPr>
        <w:t xml:space="preserve"> </w:t>
      </w:r>
      <w:r>
        <w:rPr>
          <w:sz w:val="20"/>
        </w:rPr>
        <w:t>Tibiriçá, o principal, bateu o arco e os pés no meio da horda. Seriam dali expulsos os religiosos, que assim perturbavam a desafronta dos guerreiros da tribo. Mas venceu ainda nesse recontro de evangelizadores e carniceiros a eloquência do irmão Anchieta, domando os instintos ferozes: no dia seguinte, arrependido,</w:t>
      </w:r>
      <w:r>
        <w:rPr>
          <w:spacing w:val="-3"/>
          <w:sz w:val="20"/>
        </w:rPr>
        <w:t xml:space="preserve"> </w:t>
      </w:r>
      <w:r>
        <w:rPr>
          <w:sz w:val="20"/>
        </w:rPr>
        <w:t>Tibiriçá, outra vez Martin</w:t>
      </w:r>
      <w:r>
        <w:rPr>
          <w:spacing w:val="-7"/>
          <w:sz w:val="20"/>
        </w:rPr>
        <w:t xml:space="preserve"> </w:t>
      </w:r>
      <w:r>
        <w:rPr>
          <w:sz w:val="20"/>
        </w:rPr>
        <w:t>Afonso, e todos os seus índios violentos caíram de novo aos pés dos missionários” (VIEIRA, 1949, p. 126).</w:t>
      </w:r>
    </w:p>
    <w:p w:rsidR="007259F2" w:rsidRDefault="00E655B4">
      <w:pPr>
        <w:spacing w:before="1"/>
        <w:ind w:left="710" w:right="425"/>
        <w:jc w:val="both"/>
        <w:rPr>
          <w:sz w:val="20"/>
        </w:rPr>
      </w:pPr>
      <w:r>
        <w:rPr>
          <w:sz w:val="20"/>
          <w:vertAlign w:val="superscript"/>
        </w:rPr>
        <w:t>5</w:t>
      </w:r>
      <w:r>
        <w:rPr>
          <w:sz w:val="20"/>
        </w:rPr>
        <w:t xml:space="preserve"> A lista das empresas mais valiosas do mundo</w:t>
      </w:r>
      <w:r>
        <w:rPr>
          <w:spacing w:val="40"/>
          <w:sz w:val="20"/>
        </w:rPr>
        <w:t xml:space="preserve"> </w:t>
      </w:r>
      <w:r>
        <w:rPr>
          <w:sz w:val="20"/>
        </w:rPr>
        <w:t>é dinâmica, e aqui consideramos dados de agosto de 2024, quando a Microsoft alcançava valor superior a US$ 3,1 trilhões (MAIA, 2024). Nos últimos anos, nas primeiras colocações têm se alternado gigantes do setor, como também</w:t>
      </w:r>
      <w:r>
        <w:rPr>
          <w:spacing w:val="-3"/>
          <w:sz w:val="20"/>
        </w:rPr>
        <w:t xml:space="preserve"> </w:t>
      </w:r>
      <w:r>
        <w:rPr>
          <w:sz w:val="20"/>
        </w:rPr>
        <w:t>Apple, Meta e Google.</w:t>
      </w:r>
    </w:p>
    <w:p w:rsidR="007259F2" w:rsidRDefault="007259F2">
      <w:pPr>
        <w:jc w:val="both"/>
        <w:rPr>
          <w:sz w:val="20"/>
        </w:rPr>
        <w:sectPr w:rsidR="007259F2">
          <w:pgSz w:w="11910" w:h="16840"/>
          <w:pgMar w:top="1600" w:right="708" w:bottom="1020" w:left="992" w:header="0" w:footer="820" w:gutter="0"/>
          <w:cols w:space="720"/>
        </w:sectPr>
      </w:pPr>
    </w:p>
    <w:p w:rsidR="007259F2" w:rsidRDefault="00DE6B1C">
      <w:pPr>
        <w:pStyle w:val="Heading2"/>
        <w:numPr>
          <w:ilvl w:val="0"/>
          <w:numId w:val="26"/>
        </w:numPr>
        <w:tabs>
          <w:tab w:val="left" w:pos="890"/>
        </w:tabs>
        <w:spacing w:before="60"/>
        <w:ind w:left="890" w:hanging="180"/>
        <w:jc w:val="left"/>
      </w:pPr>
      <w:r w:rsidRPr="00DE6B1C">
        <w:lastRenderedPageBreak/>
        <w:pict>
          <v:group id="docshapegroup107" o:spid="_x0000_s1119" style="position:absolute;left:0;text-align:left;margin-left:330pt;margin-top:5.7pt;width:212.25pt;height:208.5pt;z-index:15774720;mso-position-horizontal-relative:page" coordorigin="6600,114" coordsize="4245,4170">
            <v:rect id="docshape108" o:spid="_x0000_s1121" style="position:absolute;left:6600;top:113;width:4245;height:4170" stroked="f"/>
            <v:shape id="docshape109" o:spid="_x0000_s1120" type="#_x0000_t75" style="position:absolute;left:6782;top:193;width:2948;height:4010">
              <v:imagedata r:id="rId164" o:title=""/>
            </v:shape>
            <w10:wrap anchorx="page"/>
          </v:group>
        </w:pict>
      </w:r>
      <w:r w:rsidR="00E655B4">
        <w:t>Propriedade</w:t>
      </w:r>
      <w:r w:rsidR="00E655B4">
        <w:rPr>
          <w:spacing w:val="-5"/>
        </w:rPr>
        <w:t xml:space="preserve"> </w:t>
      </w:r>
      <w:r w:rsidR="00E655B4">
        <w:t>intelectual</w:t>
      </w:r>
      <w:r w:rsidR="00E655B4">
        <w:rPr>
          <w:spacing w:val="-3"/>
        </w:rPr>
        <w:t xml:space="preserve"> </w:t>
      </w:r>
      <w:r w:rsidR="00E655B4">
        <w:t>e</w:t>
      </w:r>
      <w:r w:rsidR="00E655B4">
        <w:rPr>
          <w:spacing w:val="-6"/>
        </w:rPr>
        <w:t xml:space="preserve"> </w:t>
      </w:r>
      <w:r w:rsidR="00E655B4">
        <w:t>direito</w:t>
      </w:r>
      <w:r w:rsidR="00E655B4">
        <w:rPr>
          <w:spacing w:val="-4"/>
        </w:rPr>
        <w:t xml:space="preserve"> </w:t>
      </w:r>
      <w:r w:rsidR="00E655B4">
        <w:rPr>
          <w:spacing w:val="-2"/>
        </w:rPr>
        <w:t>autoral</w:t>
      </w:r>
    </w:p>
    <w:p w:rsidR="007259F2" w:rsidRDefault="007259F2">
      <w:pPr>
        <w:pStyle w:val="Corpodetexto"/>
        <w:spacing w:before="19"/>
        <w:ind w:left="0" w:firstLine="0"/>
        <w:jc w:val="left"/>
        <w:rPr>
          <w:b/>
        </w:rPr>
      </w:pPr>
    </w:p>
    <w:p w:rsidR="007259F2" w:rsidRDefault="00E655B4">
      <w:pPr>
        <w:pStyle w:val="Corpodetexto"/>
        <w:ind w:right="4713" w:firstLine="851"/>
      </w:pPr>
      <w:r>
        <w:t>“Propriedade intelectual”, no campo jurídico, é um conceito guarda-chuva que</w:t>
      </w:r>
      <w:r>
        <w:rPr>
          <w:spacing w:val="40"/>
        </w:rPr>
        <w:t xml:space="preserve"> </w:t>
      </w:r>
      <w:r>
        <w:t>abrange proteções distintas a bens imateriais variados que vão desde um texto publicado na comunidade</w:t>
      </w:r>
      <w:r>
        <w:rPr>
          <w:spacing w:val="-4"/>
        </w:rPr>
        <w:t xml:space="preserve"> </w:t>
      </w:r>
      <w:r>
        <w:t>milenar.</w:t>
      </w:r>
      <w:r>
        <w:rPr>
          <w:spacing w:val="-2"/>
        </w:rPr>
        <w:t xml:space="preserve"> </w:t>
      </w:r>
      <w:r>
        <w:t>A</w:t>
      </w:r>
      <w:r>
        <w:rPr>
          <w:spacing w:val="-4"/>
        </w:rPr>
        <w:t xml:space="preserve"> </w:t>
      </w:r>
      <w:r>
        <w:t>noção</w:t>
      </w:r>
      <w:r>
        <w:rPr>
          <w:spacing w:val="-3"/>
        </w:rPr>
        <w:t xml:space="preserve"> </w:t>
      </w:r>
      <w:r>
        <w:t>de</w:t>
      </w:r>
      <w:r>
        <w:rPr>
          <w:spacing w:val="-4"/>
        </w:rPr>
        <w:t xml:space="preserve"> </w:t>
      </w:r>
      <w:r>
        <w:t>propriedade</w:t>
      </w:r>
      <w:r>
        <w:rPr>
          <w:spacing w:val="-4"/>
        </w:rPr>
        <w:t xml:space="preserve"> </w:t>
      </w:r>
      <w:r>
        <w:t xml:space="preserve">por si só sublinha um aspecto negativo da legislação, que é a exclusão, intrínseca a ela, de todos aqueles que não são proprietários. A escassez é uma noção fundamental para a teoria econômica que define o que é propriedade, mas a propriedade intelectual não obedece às mesmas </w:t>
      </w:r>
      <w:r>
        <w:rPr>
          <w:spacing w:val="-2"/>
        </w:rPr>
        <w:t>regras.</w:t>
      </w:r>
    </w:p>
    <w:p w:rsidR="007259F2" w:rsidRDefault="007259F2">
      <w:pPr>
        <w:pStyle w:val="Corpodetexto"/>
        <w:spacing w:before="25"/>
        <w:ind w:left="0" w:firstLine="0"/>
        <w:jc w:val="left"/>
      </w:pPr>
    </w:p>
    <w:p w:rsidR="007259F2" w:rsidRDefault="00E655B4">
      <w:pPr>
        <w:pStyle w:val="Corpodetexto"/>
        <w:ind w:right="419"/>
      </w:pPr>
      <w:r>
        <w:t>Quando</w:t>
      </w:r>
      <w:r>
        <w:rPr>
          <w:spacing w:val="80"/>
        </w:rPr>
        <w:t xml:space="preserve"> </w:t>
      </w:r>
      <w:r>
        <w:t>um</w:t>
      </w:r>
      <w:r>
        <w:rPr>
          <w:spacing w:val="80"/>
        </w:rPr>
        <w:t xml:space="preserve"> </w:t>
      </w:r>
      <w:r>
        <w:t>colega</w:t>
      </w:r>
      <w:r>
        <w:rPr>
          <w:spacing w:val="80"/>
        </w:rPr>
        <w:t xml:space="preserve"> </w:t>
      </w:r>
      <w:r>
        <w:t>compartilha,</w:t>
      </w:r>
      <w:r>
        <w:rPr>
          <w:spacing w:val="80"/>
        </w:rPr>
        <w:t xml:space="preserve"> </w:t>
      </w:r>
      <w:r>
        <w:t>sem</w:t>
      </w:r>
      <w:r>
        <w:rPr>
          <w:spacing w:val="80"/>
        </w:rPr>
        <w:t xml:space="preserve"> </w:t>
      </w:r>
      <w:r>
        <w:t xml:space="preserve">a devida autorização, um arquivo “pdf” de um livro com um grupo de estudos, ele não deixa de ter acesso à obra, e aquele conhecimento só alcança mais pessoas. Alguém que pirateia um programa de computador não subtrai de outro, faz uma cópia, mas supõe-se o prejuízo da empresa que comercializa aquele </w:t>
      </w:r>
      <w:r>
        <w:rPr>
          <w:i/>
        </w:rPr>
        <w:t xml:space="preserve">software </w:t>
      </w:r>
      <w:r>
        <w:t>e que funciona economicamente por meio desta mercadoria.</w:t>
      </w:r>
    </w:p>
    <w:p w:rsidR="007259F2" w:rsidRDefault="00E655B4">
      <w:pPr>
        <w:pStyle w:val="Corpodetexto"/>
        <w:ind w:right="421"/>
      </w:pPr>
      <w:r>
        <w:t xml:space="preserve">A dificuldade de conceituação resulta também em relações jurídicas complexas, que refletem em desafios no estudo do tema e na instrumentalização de seus institutos. Aqueles que se especializam em Direito Autoral muitas vezes tratam como uma área autônoma do Direito, que dispõe de componentes próprios, de princípios especiais resultantes desde convenções internacionais, e que garantem uniformização normativa e atualizações contínuas (BITTAR, p. 36, 2022). Não há como ignorar, no entanto, que os contratos que envolvem cessão de direitos econômicos dizem respeito ao direito civil. Para as contratações da Administração Pública, em particular, deve-se observar o direito administrativo. O tema que aqui tratamos então, por específico que seja – a propriedade intelectual nas contratações públicas de programas de computador – localiza-se numa encruzilhada que tentaremos </w:t>
      </w:r>
      <w:r>
        <w:rPr>
          <w:spacing w:val="-2"/>
        </w:rPr>
        <w:t>sinalizar.</w:t>
      </w:r>
    </w:p>
    <w:p w:rsidR="007259F2" w:rsidRDefault="00E655B4">
      <w:pPr>
        <w:pStyle w:val="Corpodetexto"/>
        <w:ind w:right="422"/>
      </w:pPr>
      <w:r>
        <w:t>Na história, a proteção jurídica a bens intangíveis, a escassez artificial, surge como necessidade da indústria para assegurar a mercantilização de novos produtos, não escassos, como, inicialmente, o texto impresso. Nos termos de Newton Silveira, “o direito do criador intelectual sobre suas obras só foi sentido integralmente quando o homem se tornou capaz de reproduzir e difundir em escala ampla as obras do espírito” (2018, p. 11). Por isso iniciou-se no texto escrito, produto da imprensa de Gutemberg, e com o tempo avançou sobre outras mídias como a fotografia, a música e o vídeo, conforme a tecnologia permitiu reproduzir em massa esses outros tipos de conteúdo.</w:t>
      </w:r>
    </w:p>
    <w:p w:rsidR="007259F2" w:rsidRDefault="00E655B4">
      <w:pPr>
        <w:pStyle w:val="Corpodetexto"/>
        <w:ind w:right="427"/>
      </w:pPr>
      <w:r>
        <w:t>A revolução industrial, na Inglaterra, e</w:t>
      </w:r>
      <w:r>
        <w:rPr>
          <w:spacing w:val="-1"/>
        </w:rPr>
        <w:t xml:space="preserve"> </w:t>
      </w:r>
      <w:r>
        <w:t>a</w:t>
      </w:r>
      <w:r>
        <w:rPr>
          <w:spacing w:val="-1"/>
        </w:rPr>
        <w:t xml:space="preserve"> </w:t>
      </w:r>
      <w:r>
        <w:t>revolução burguesa, na</w:t>
      </w:r>
      <w:r>
        <w:rPr>
          <w:spacing w:val="-1"/>
        </w:rPr>
        <w:t xml:space="preserve"> </w:t>
      </w:r>
      <w:r>
        <w:t xml:space="preserve">França, marcaram um período de transformações sociais que nos séculos subsequentes se espalharam pelo globo terrestre na forma da economia política capitalista. Não por acaso, a doutrina costuma localizar nesses países a origem das duas correntes que fundamentaram a existência da propriedade intelectual: o direito do autor francês e o </w:t>
      </w:r>
      <w:r>
        <w:rPr>
          <w:i/>
        </w:rPr>
        <w:t xml:space="preserve">copyright </w:t>
      </w:r>
      <w:r>
        <w:t>inglês.</w:t>
      </w:r>
    </w:p>
    <w:p w:rsidR="007259F2" w:rsidRDefault="00E655B4">
      <w:pPr>
        <w:pStyle w:val="Corpodetexto"/>
        <w:ind w:right="428"/>
      </w:pPr>
      <w:r>
        <w:t>Na terra de Balzac</w:t>
      </w:r>
      <w:r>
        <w:rPr>
          <w:vertAlign w:val="superscript"/>
        </w:rPr>
        <w:t>6</w:t>
      </w:r>
      <w:r>
        <w:t>, o Direito do Autor surge com a doutrina jusnaturalista: o autor</w:t>
      </w:r>
      <w:r>
        <w:rPr>
          <w:spacing w:val="40"/>
        </w:rPr>
        <w:t xml:space="preserve"> </w:t>
      </w:r>
      <w:r>
        <w:t>tem</w:t>
      </w:r>
      <w:r>
        <w:rPr>
          <w:spacing w:val="59"/>
          <w:w w:val="150"/>
        </w:rPr>
        <w:t xml:space="preserve"> </w:t>
      </w:r>
      <w:r>
        <w:t>o</w:t>
      </w:r>
      <w:r>
        <w:rPr>
          <w:spacing w:val="59"/>
          <w:w w:val="150"/>
        </w:rPr>
        <w:t xml:space="preserve"> </w:t>
      </w:r>
      <w:r>
        <w:t>direito</w:t>
      </w:r>
      <w:r>
        <w:rPr>
          <w:spacing w:val="60"/>
          <w:w w:val="150"/>
        </w:rPr>
        <w:t xml:space="preserve"> </w:t>
      </w:r>
      <w:r>
        <w:t>natural</w:t>
      </w:r>
      <w:r>
        <w:rPr>
          <w:spacing w:val="62"/>
          <w:w w:val="150"/>
        </w:rPr>
        <w:t xml:space="preserve"> </w:t>
      </w:r>
      <w:r>
        <w:t>de</w:t>
      </w:r>
      <w:r>
        <w:rPr>
          <w:spacing w:val="59"/>
          <w:w w:val="150"/>
        </w:rPr>
        <w:t xml:space="preserve"> </w:t>
      </w:r>
      <w:r>
        <w:t>explorar</w:t>
      </w:r>
      <w:r>
        <w:rPr>
          <w:spacing w:val="60"/>
          <w:w w:val="150"/>
        </w:rPr>
        <w:t xml:space="preserve"> </w:t>
      </w:r>
      <w:r>
        <w:t>o</w:t>
      </w:r>
      <w:r>
        <w:rPr>
          <w:spacing w:val="59"/>
          <w:w w:val="150"/>
        </w:rPr>
        <w:t xml:space="preserve"> </w:t>
      </w:r>
      <w:r>
        <w:t>fruto</w:t>
      </w:r>
      <w:r>
        <w:rPr>
          <w:spacing w:val="59"/>
          <w:w w:val="150"/>
        </w:rPr>
        <w:t xml:space="preserve"> </w:t>
      </w:r>
      <w:r>
        <w:t>de</w:t>
      </w:r>
      <w:r>
        <w:rPr>
          <w:spacing w:val="62"/>
          <w:w w:val="150"/>
        </w:rPr>
        <w:t xml:space="preserve"> </w:t>
      </w:r>
      <w:r>
        <w:t>seu</w:t>
      </w:r>
      <w:r>
        <w:rPr>
          <w:spacing w:val="59"/>
          <w:w w:val="150"/>
        </w:rPr>
        <w:t xml:space="preserve"> </w:t>
      </w:r>
      <w:r>
        <w:t>trabalho</w:t>
      </w:r>
      <w:r>
        <w:rPr>
          <w:spacing w:val="60"/>
          <w:w w:val="150"/>
        </w:rPr>
        <w:t xml:space="preserve"> </w:t>
      </w:r>
      <w:r>
        <w:t>intelectual.</w:t>
      </w:r>
      <w:r>
        <w:rPr>
          <w:spacing w:val="61"/>
          <w:w w:val="150"/>
        </w:rPr>
        <w:t xml:space="preserve"> </w:t>
      </w:r>
      <w:r>
        <w:t>É</w:t>
      </w:r>
      <w:r>
        <w:rPr>
          <w:spacing w:val="59"/>
          <w:w w:val="150"/>
        </w:rPr>
        <w:t xml:space="preserve"> </w:t>
      </w:r>
      <w:r>
        <w:t>uma</w:t>
      </w:r>
      <w:r>
        <w:rPr>
          <w:spacing w:val="60"/>
          <w:w w:val="150"/>
        </w:rPr>
        <w:t xml:space="preserve"> </w:t>
      </w:r>
      <w:r>
        <w:rPr>
          <w:spacing w:val="-2"/>
        </w:rPr>
        <w:t>defesa</w:t>
      </w:r>
    </w:p>
    <w:p w:rsidR="007259F2" w:rsidRDefault="00DE6B1C">
      <w:pPr>
        <w:pStyle w:val="Corpodetexto"/>
        <w:spacing w:before="207"/>
        <w:ind w:left="0" w:firstLine="0"/>
        <w:jc w:val="left"/>
        <w:rPr>
          <w:sz w:val="20"/>
        </w:rPr>
      </w:pPr>
      <w:r w:rsidRPr="00DE6B1C">
        <w:rPr>
          <w:sz w:val="20"/>
        </w:rPr>
        <w:pict>
          <v:rect id="docshape110" o:spid="_x0000_s1118" style="position:absolute;margin-left:85.1pt;margin-top:23.1pt;width:2in;height:.7pt;z-index:-15683072;mso-wrap-distance-left:0;mso-wrap-distance-right:0;mso-position-horizontal-relative:page" fillcolor="black" stroked="f">
            <w10:wrap type="topAndBottom" anchorx="page"/>
          </v:rect>
        </w:pict>
      </w:r>
    </w:p>
    <w:p w:rsidR="007259F2" w:rsidRDefault="00E655B4">
      <w:pPr>
        <w:spacing w:before="96"/>
        <w:ind w:left="710" w:right="436"/>
        <w:jc w:val="both"/>
        <w:rPr>
          <w:sz w:val="20"/>
        </w:rPr>
      </w:pPr>
      <w:r>
        <w:rPr>
          <w:sz w:val="20"/>
          <w:vertAlign w:val="superscript"/>
        </w:rPr>
        <w:t>6</w:t>
      </w:r>
      <w:r>
        <w:rPr>
          <w:sz w:val="20"/>
        </w:rPr>
        <w:t xml:space="preserve"> "Quem pode pois impedir o reconhecimento da única propriedade que o homem criou, sem terra e sem pedra, uma propriedade que se acha constituída entre o céu e a terra, com a ajuda de refugos, o negro de fumo tomado aos ossos, e os trapos deixados na via pública". Discurso do escritor Balzac em 1841 (EDELMAN,1976, p. 45).</w:t>
      </w:r>
    </w:p>
    <w:p w:rsidR="007259F2" w:rsidRDefault="007259F2">
      <w:pPr>
        <w:jc w:val="both"/>
        <w:rPr>
          <w:sz w:val="20"/>
        </w:rPr>
        <w:sectPr w:rsidR="007259F2">
          <w:pgSz w:w="11910" w:h="16840"/>
          <w:pgMar w:top="1620" w:right="708" w:bottom="1020" w:left="992" w:header="0" w:footer="820" w:gutter="0"/>
          <w:cols w:space="720"/>
        </w:sectPr>
      </w:pPr>
    </w:p>
    <w:p w:rsidR="007259F2" w:rsidRDefault="00E655B4">
      <w:pPr>
        <w:pStyle w:val="Corpodetexto"/>
        <w:spacing w:before="115"/>
        <w:ind w:right="410" w:firstLine="0"/>
      </w:pPr>
      <w:r>
        <w:lastRenderedPageBreak/>
        <w:t>deontológica</w:t>
      </w:r>
      <w:r>
        <w:rPr>
          <w:vertAlign w:val="superscript"/>
        </w:rPr>
        <w:t>7</w:t>
      </w:r>
      <w:r>
        <w:t xml:space="preserve">, que trata da dimensão moral do direito, personalíssimo do autor e inalienável. Na tradição inglesa do </w:t>
      </w:r>
      <w:r>
        <w:rPr>
          <w:i/>
        </w:rPr>
        <w:t>common law</w:t>
      </w:r>
      <w:r>
        <w:t>, o viés do Copyright é teleológico (finalístico), nasce da doutrina utilitarista como incentivo à criação, o que permite que os direitos sobre a obra possam ser negociados e explorados economicamente</w:t>
      </w:r>
      <w:r>
        <w:rPr>
          <w:vertAlign w:val="superscript"/>
        </w:rPr>
        <w:t>8</w:t>
      </w:r>
      <w:r>
        <w:t>. Nesta última nasceu, em 1710, a primeira legislação sobre o tema, conhecida como Estatuto da Rainha Ana e oficialmente denominada “uma lei de incentivo ao aprendizado”</w:t>
      </w:r>
      <w:r>
        <w:rPr>
          <w:vertAlign w:val="superscript"/>
        </w:rPr>
        <w:t>9</w:t>
      </w:r>
      <w:r>
        <w:t>, que instituiu o sistema de copyright</w:t>
      </w:r>
      <w:r>
        <w:rPr>
          <w:spacing w:val="40"/>
        </w:rPr>
        <w:t xml:space="preserve"> </w:t>
      </w:r>
      <w:r>
        <w:t>sobre o modelo de privilégios feudais que vigorava até então na produção da imprensa.</w:t>
      </w:r>
    </w:p>
    <w:p w:rsidR="007259F2" w:rsidRDefault="00E655B4">
      <w:pPr>
        <w:pStyle w:val="Corpodetexto"/>
        <w:ind w:right="423"/>
      </w:pPr>
      <w:r>
        <w:t>A</w:t>
      </w:r>
      <w:r>
        <w:rPr>
          <w:spacing w:val="-2"/>
        </w:rPr>
        <w:t xml:space="preserve"> </w:t>
      </w:r>
      <w:r>
        <w:t>primeira</w:t>
      </w:r>
      <w:r>
        <w:rPr>
          <w:spacing w:val="-3"/>
        </w:rPr>
        <w:t xml:space="preserve"> </w:t>
      </w:r>
      <w:r>
        <w:t>Constituição do</w:t>
      </w:r>
      <w:r>
        <w:rPr>
          <w:spacing w:val="-1"/>
        </w:rPr>
        <w:t xml:space="preserve"> </w:t>
      </w:r>
      <w:r>
        <w:t>Brasil,</w:t>
      </w:r>
      <w:r>
        <w:rPr>
          <w:spacing w:val="-1"/>
        </w:rPr>
        <w:t xml:space="preserve"> </w:t>
      </w:r>
      <w:r>
        <w:t>de</w:t>
      </w:r>
      <w:r>
        <w:rPr>
          <w:spacing w:val="-2"/>
        </w:rPr>
        <w:t xml:space="preserve"> </w:t>
      </w:r>
      <w:r>
        <w:t>1824, garantiu</w:t>
      </w:r>
      <w:r>
        <w:rPr>
          <w:spacing w:val="-1"/>
        </w:rPr>
        <w:t xml:space="preserve"> </w:t>
      </w:r>
      <w:r>
        <w:t>aos</w:t>
      </w:r>
      <w:r>
        <w:rPr>
          <w:spacing w:val="-1"/>
        </w:rPr>
        <w:t xml:space="preserve"> </w:t>
      </w:r>
      <w:r>
        <w:t>inventores</w:t>
      </w:r>
      <w:r>
        <w:rPr>
          <w:spacing w:val="-1"/>
        </w:rPr>
        <w:t xml:space="preserve"> </w:t>
      </w:r>
      <w:r>
        <w:t>o</w:t>
      </w:r>
      <w:r>
        <w:rPr>
          <w:spacing w:val="-1"/>
        </w:rPr>
        <w:t xml:space="preserve"> </w:t>
      </w:r>
      <w:r>
        <w:t>direito</w:t>
      </w:r>
      <w:r>
        <w:rPr>
          <w:spacing w:val="-1"/>
        </w:rPr>
        <w:t xml:space="preserve"> </w:t>
      </w:r>
      <w:r>
        <w:t>exclusivo e temporário de exploração de suas descobertas ou produções</w:t>
      </w:r>
      <w:r>
        <w:rPr>
          <w:vertAlign w:val="superscript"/>
        </w:rPr>
        <w:t>10</w:t>
      </w:r>
      <w:r>
        <w:t>, dando ênfase ao aspecto econômico da propriedade intelectual. O direito moral dos autores, por seu turno, foi positivado a partir do Código Criminal de 1830, que tipificou dentre os crimes contra a propriedade a cópia de obras de cidadãos brasileiros “enquanto estes viverem, e dez anos depois de sua morte se deixarem herdeiros” (NETTO, 2023, p. 83).</w:t>
      </w:r>
    </w:p>
    <w:p w:rsidR="007259F2" w:rsidRDefault="00E655B4">
      <w:pPr>
        <w:pStyle w:val="Corpodetexto"/>
        <w:spacing w:before="1"/>
        <w:ind w:right="426"/>
      </w:pPr>
      <w:r>
        <w:t>Se, como marco histórico, a proteção jurídica à propriedade intelectual retrata a transição do sistema de produção feudal para o sistema capitalista, a sua evolução nos séculos seguintes demarca, também, a expansão global desse último por meio de tratados internacionais. A ubiquidade desses direitos, isto é, a virtualidade da informação, exigiu convenções que assegurassem a propriedade intangível (VICENTE, 2020, p. 19). É que, diferente de objetos corpóreos, que estão apenas em um lugar por vez, a propriedade intelectual se situa ao mesmo tempo em qualquer lugar onde a lei a proteja. Presidida pelo escritor francês Victor Hugo, a</w:t>
      </w:r>
      <w:r>
        <w:rPr>
          <w:spacing w:val="-1"/>
        </w:rPr>
        <w:t xml:space="preserve"> </w:t>
      </w:r>
      <w:r>
        <w:t>Convenção de Berna</w:t>
      </w:r>
      <w:r>
        <w:rPr>
          <w:spacing w:val="-1"/>
        </w:rPr>
        <w:t xml:space="preserve"> </w:t>
      </w:r>
      <w:r>
        <w:t>em 1886 se tornou</w:t>
      </w:r>
      <w:r>
        <w:rPr>
          <w:spacing w:val="-1"/>
        </w:rPr>
        <w:t xml:space="preserve"> </w:t>
      </w:r>
      <w:r>
        <w:t>marco inicial para</w:t>
      </w:r>
      <w:r>
        <w:rPr>
          <w:spacing w:val="-1"/>
        </w:rPr>
        <w:t xml:space="preserve"> </w:t>
      </w:r>
      <w:r>
        <w:t>um sistema jurídico transnacional, ao qual o Brasil sempre esteve submetido.</w:t>
      </w:r>
    </w:p>
    <w:p w:rsidR="007259F2" w:rsidRDefault="00E655B4">
      <w:pPr>
        <w:pStyle w:val="Corpodetexto"/>
        <w:ind w:right="412"/>
      </w:pPr>
      <w:r>
        <w:t>As mercadorias não têm pernas para ir ao mercado, de modo que circulam levadas pelos sujeitos de direito. Um bem móvel, como a fruta em uma feira, se move materialmente de mão em mão, mas um imóvel não consegue sair o lugar a não ser que o faça por meio da forma jurídica. A propriedade do bem móvel se transfere na tradição</w:t>
      </w:r>
      <w:r>
        <w:rPr>
          <w:vertAlign w:val="superscript"/>
        </w:rPr>
        <w:t>11</w:t>
      </w:r>
      <w:r>
        <w:t xml:space="preserve">, a do imóvel com registro no cartório. Este é também o caso da propriedade intelectual, que não se transfere a não ser pela forma jurídica. Para tanto é imprescindível um proprietário, e se o caráter subjetivo da teoria francesa foi sendo, gradualmente, suplantado pela teoria objetiva do </w:t>
      </w:r>
      <w:r>
        <w:rPr>
          <w:i/>
        </w:rPr>
        <w:t>copyright</w:t>
      </w:r>
      <w:r>
        <w:rPr>
          <w:i/>
          <w:vertAlign w:val="superscript"/>
        </w:rPr>
        <w:t>12</w:t>
      </w:r>
      <w:r>
        <w:t>, a subjetividade cada vez mais influente de corporações multinacionais</w:t>
      </w:r>
      <w:r>
        <w:rPr>
          <w:spacing w:val="40"/>
        </w:rPr>
        <w:t xml:space="preserve"> </w:t>
      </w:r>
      <w:r>
        <w:t>influenciou decisivamente o regulamento com o passar dos anos.</w:t>
      </w:r>
    </w:p>
    <w:p w:rsidR="007259F2" w:rsidRDefault="007259F2">
      <w:pPr>
        <w:pStyle w:val="Corpodetexto"/>
        <w:ind w:left="0" w:firstLine="0"/>
        <w:jc w:val="left"/>
        <w:rPr>
          <w:sz w:val="20"/>
        </w:rPr>
      </w:pPr>
    </w:p>
    <w:p w:rsidR="007259F2" w:rsidRDefault="00DE6B1C">
      <w:pPr>
        <w:pStyle w:val="Corpodetexto"/>
        <w:spacing w:before="24"/>
        <w:ind w:left="0" w:firstLine="0"/>
        <w:jc w:val="left"/>
        <w:rPr>
          <w:sz w:val="20"/>
        </w:rPr>
      </w:pPr>
      <w:r w:rsidRPr="00DE6B1C">
        <w:rPr>
          <w:sz w:val="20"/>
        </w:rPr>
        <w:pict>
          <v:rect id="docshape111" o:spid="_x0000_s1117" style="position:absolute;margin-left:85.1pt;margin-top:13.95pt;width:2in;height:.7pt;z-index:-15682048;mso-wrap-distance-left:0;mso-wrap-distance-right:0;mso-position-horizontal-relative:page" fillcolor="black" stroked="f">
            <w10:wrap type="topAndBottom" anchorx="page"/>
          </v:rect>
        </w:pict>
      </w:r>
    </w:p>
    <w:p w:rsidR="007259F2" w:rsidRDefault="00E655B4">
      <w:pPr>
        <w:spacing w:before="96"/>
        <w:ind w:left="710" w:right="432"/>
        <w:jc w:val="both"/>
        <w:rPr>
          <w:sz w:val="20"/>
        </w:rPr>
      </w:pPr>
      <w:r>
        <w:rPr>
          <w:sz w:val="20"/>
          <w:vertAlign w:val="superscript"/>
        </w:rPr>
        <w:t>7</w:t>
      </w:r>
      <w:r>
        <w:rPr>
          <w:spacing w:val="80"/>
          <w:w w:val="150"/>
          <w:sz w:val="20"/>
        </w:rPr>
        <w:t xml:space="preserve"> </w:t>
      </w:r>
      <w:r>
        <w:rPr>
          <w:sz w:val="20"/>
        </w:rPr>
        <w:t>“Deontologia jurídica. Filosofia do direito. 1. Estudo dos fundamentos do direito; teoria da justiça e dos valores jurídicos (Miguel Reale)” (DINIZ, 2022,</w:t>
      </w:r>
      <w:r>
        <w:rPr>
          <w:spacing w:val="40"/>
          <w:sz w:val="20"/>
        </w:rPr>
        <w:t xml:space="preserve"> </w:t>
      </w:r>
      <w:r>
        <w:rPr>
          <w:sz w:val="20"/>
        </w:rPr>
        <w:t>p. 175).</w:t>
      </w:r>
    </w:p>
    <w:p w:rsidR="007259F2" w:rsidRDefault="00E655B4">
      <w:pPr>
        <w:spacing w:before="2"/>
        <w:ind w:left="710" w:right="416"/>
        <w:jc w:val="both"/>
        <w:rPr>
          <w:sz w:val="20"/>
        </w:rPr>
      </w:pPr>
      <w:r>
        <w:rPr>
          <w:sz w:val="20"/>
          <w:vertAlign w:val="superscript"/>
        </w:rPr>
        <w:t>8</w:t>
      </w:r>
      <w:r>
        <w:rPr>
          <w:sz w:val="20"/>
        </w:rPr>
        <w:t xml:space="preserve"> “Seria curioso se uma ideia, a fermentação fugitiva de um cérebro individual, pudesse, por direito natural, ser reivindicada como propriedade exclusiva e estável. Se a natureza tornou alguma coisa menos suscetível de propriedade exclusiva do que todas as outras, é a ação do poder pensante chamado Ideia (...) quem recebe de</w:t>
      </w:r>
      <w:r>
        <w:rPr>
          <w:spacing w:val="40"/>
          <w:sz w:val="20"/>
        </w:rPr>
        <w:t xml:space="preserve"> </w:t>
      </w:r>
      <w:r>
        <w:rPr>
          <w:sz w:val="20"/>
        </w:rPr>
        <w:t>mim uma ideia, recebe ele mesmo uma instrução, sem diminuir a minha; como quem acende sua vela na minha recebe luz sem me escurecer. que as ideias deveriam se espalhar livremente de um para outro por todo o globo, para a instrução moral e mútua do homem e a melhoria de sua condição, parece ter sido peculiar e benevolentemente projetada pela natureza, quando ela as tornou, como o fogo, expansíveis sobre todo espaço, sem diminuir sua densidade em nenhum ponto”. (JEFFERSON, 1813). Tradução livre.</w:t>
      </w:r>
    </w:p>
    <w:p w:rsidR="007259F2" w:rsidRDefault="00E655B4">
      <w:pPr>
        <w:ind w:left="710" w:right="436"/>
        <w:jc w:val="both"/>
        <w:rPr>
          <w:sz w:val="20"/>
        </w:rPr>
      </w:pPr>
      <w:r>
        <w:rPr>
          <w:sz w:val="20"/>
          <w:vertAlign w:val="superscript"/>
        </w:rPr>
        <w:t>9</w:t>
      </w:r>
      <w:r>
        <w:rPr>
          <w:sz w:val="20"/>
        </w:rPr>
        <w:t xml:space="preserve"> Tradução livre de: “An Act for the encouragement of learning, by vesting the copies of printed books in the authors or purchasers of such copies, during the times therein mentioned”.</w:t>
      </w:r>
    </w:p>
    <w:p w:rsidR="007259F2" w:rsidRDefault="00E655B4">
      <w:pPr>
        <w:ind w:left="710" w:right="424"/>
        <w:jc w:val="both"/>
        <w:rPr>
          <w:sz w:val="20"/>
        </w:rPr>
      </w:pPr>
      <w:r>
        <w:rPr>
          <w:sz w:val="20"/>
          <w:vertAlign w:val="superscript"/>
        </w:rPr>
        <w:t>10</w:t>
      </w:r>
      <w:r>
        <w:rPr>
          <w:sz w:val="20"/>
        </w:rPr>
        <w:t xml:space="preserve"> “XXVI.</w:t>
      </w:r>
      <w:r>
        <w:rPr>
          <w:spacing w:val="-1"/>
          <w:sz w:val="20"/>
        </w:rPr>
        <w:t xml:space="preserve"> </w:t>
      </w:r>
      <w:r>
        <w:rPr>
          <w:sz w:val="20"/>
        </w:rPr>
        <w:t>Os</w:t>
      </w:r>
      <w:r>
        <w:rPr>
          <w:spacing w:val="-2"/>
          <w:sz w:val="20"/>
        </w:rPr>
        <w:t xml:space="preserve"> </w:t>
      </w:r>
      <w:r>
        <w:rPr>
          <w:sz w:val="20"/>
        </w:rPr>
        <w:t>inventores</w:t>
      </w:r>
      <w:r>
        <w:rPr>
          <w:spacing w:val="-1"/>
          <w:sz w:val="20"/>
        </w:rPr>
        <w:t xml:space="preserve"> </w:t>
      </w:r>
      <w:r>
        <w:rPr>
          <w:sz w:val="20"/>
        </w:rPr>
        <w:t>terão a</w:t>
      </w:r>
      <w:r>
        <w:rPr>
          <w:spacing w:val="-2"/>
          <w:sz w:val="20"/>
        </w:rPr>
        <w:t xml:space="preserve"> </w:t>
      </w:r>
      <w:r>
        <w:rPr>
          <w:sz w:val="20"/>
        </w:rPr>
        <w:t>propriedade</w:t>
      </w:r>
      <w:r>
        <w:rPr>
          <w:spacing w:val="-1"/>
          <w:sz w:val="20"/>
        </w:rPr>
        <w:t xml:space="preserve"> </w:t>
      </w:r>
      <w:r>
        <w:rPr>
          <w:sz w:val="20"/>
        </w:rPr>
        <w:t>das</w:t>
      </w:r>
      <w:r>
        <w:rPr>
          <w:spacing w:val="-3"/>
          <w:sz w:val="20"/>
        </w:rPr>
        <w:t xml:space="preserve"> </w:t>
      </w:r>
      <w:r>
        <w:rPr>
          <w:sz w:val="20"/>
        </w:rPr>
        <w:t>suas</w:t>
      </w:r>
      <w:r>
        <w:rPr>
          <w:spacing w:val="-2"/>
          <w:sz w:val="20"/>
        </w:rPr>
        <w:t xml:space="preserve"> </w:t>
      </w:r>
      <w:r>
        <w:rPr>
          <w:sz w:val="20"/>
        </w:rPr>
        <w:t>descobertas, ou</w:t>
      </w:r>
      <w:r>
        <w:rPr>
          <w:spacing w:val="-2"/>
          <w:sz w:val="20"/>
        </w:rPr>
        <w:t xml:space="preserve"> </w:t>
      </w:r>
      <w:r>
        <w:rPr>
          <w:sz w:val="20"/>
        </w:rPr>
        <w:t>das</w:t>
      </w:r>
      <w:r>
        <w:rPr>
          <w:spacing w:val="-2"/>
          <w:sz w:val="20"/>
        </w:rPr>
        <w:t xml:space="preserve"> </w:t>
      </w:r>
      <w:r>
        <w:rPr>
          <w:sz w:val="20"/>
        </w:rPr>
        <w:t>suas producções.</w:t>
      </w:r>
      <w:r>
        <w:rPr>
          <w:spacing w:val="-11"/>
          <w:sz w:val="20"/>
        </w:rPr>
        <w:t xml:space="preserve"> </w:t>
      </w:r>
      <w:r>
        <w:rPr>
          <w:sz w:val="20"/>
        </w:rPr>
        <w:t>A</w:t>
      </w:r>
      <w:r>
        <w:rPr>
          <w:spacing w:val="-13"/>
          <w:sz w:val="20"/>
        </w:rPr>
        <w:t xml:space="preserve"> </w:t>
      </w:r>
      <w:r>
        <w:rPr>
          <w:sz w:val="20"/>
        </w:rPr>
        <w:t>Lei lhes</w:t>
      </w:r>
      <w:r>
        <w:rPr>
          <w:spacing w:val="-2"/>
          <w:sz w:val="20"/>
        </w:rPr>
        <w:t xml:space="preserve"> </w:t>
      </w:r>
      <w:r>
        <w:rPr>
          <w:sz w:val="20"/>
        </w:rPr>
        <w:t xml:space="preserve">assegurará um privilegio exclusivo temporario, ou lhes remunerará em resarcimento da perda, que hajam de soffrer pela </w:t>
      </w:r>
      <w:r>
        <w:rPr>
          <w:spacing w:val="-2"/>
          <w:sz w:val="20"/>
        </w:rPr>
        <w:t>vulgarização”.</w:t>
      </w:r>
    </w:p>
    <w:p w:rsidR="007259F2" w:rsidRDefault="00E655B4">
      <w:pPr>
        <w:ind w:left="710" w:right="421"/>
        <w:jc w:val="both"/>
        <w:rPr>
          <w:sz w:val="20"/>
        </w:rPr>
      </w:pPr>
      <w:r>
        <w:rPr>
          <w:sz w:val="20"/>
          <w:vertAlign w:val="superscript"/>
        </w:rPr>
        <w:t>11</w:t>
      </w:r>
      <w:r>
        <w:rPr>
          <w:sz w:val="20"/>
        </w:rPr>
        <w:t xml:space="preserve"> Tradição é o termo jurídico que se dá à entrega efetiva da coisa. “Tradição. S. f. (Lat. </w:t>
      </w:r>
      <w:r>
        <w:rPr>
          <w:i/>
          <w:sz w:val="20"/>
        </w:rPr>
        <w:t>traditio</w:t>
      </w:r>
      <w:r>
        <w:rPr>
          <w:sz w:val="20"/>
        </w:rPr>
        <w:t>) Direito. Civil. Modo de aquisição de posse ou domínio de coisa móvel. Tradição efetiva, a que se opera pela entrega da coisa. Tradição simbólica, quando o transmitente continua a possuir, pelo constituto possessório. CC, arts. 492, 493, 1.267, 1.268” (Academia Brasileira de Letras Jurídicas, 2016).</w:t>
      </w:r>
    </w:p>
    <w:p w:rsidR="007259F2" w:rsidRDefault="00E655B4">
      <w:pPr>
        <w:ind w:left="710" w:right="427"/>
        <w:jc w:val="both"/>
        <w:rPr>
          <w:sz w:val="20"/>
        </w:rPr>
      </w:pPr>
      <w:r>
        <w:rPr>
          <w:sz w:val="20"/>
          <w:vertAlign w:val="superscript"/>
        </w:rPr>
        <w:t>12</w:t>
      </w:r>
      <w:r>
        <w:rPr>
          <w:sz w:val="20"/>
        </w:rPr>
        <w:t xml:space="preserve"> “A</w:t>
      </w:r>
      <w:r>
        <w:rPr>
          <w:spacing w:val="-9"/>
          <w:sz w:val="20"/>
        </w:rPr>
        <w:t xml:space="preserve"> </w:t>
      </w:r>
      <w:r>
        <w:rPr>
          <w:sz w:val="20"/>
        </w:rPr>
        <w:t>sempre proclamada intenção de proteção do autor ou do artista cede o passo à proteção do investimento. O alinhamento</w:t>
      </w:r>
      <w:r>
        <w:rPr>
          <w:spacing w:val="38"/>
          <w:sz w:val="20"/>
        </w:rPr>
        <w:t xml:space="preserve"> </w:t>
      </w:r>
      <w:r>
        <w:rPr>
          <w:sz w:val="20"/>
        </w:rPr>
        <w:t>com</w:t>
      </w:r>
      <w:r>
        <w:rPr>
          <w:spacing w:val="34"/>
          <w:sz w:val="20"/>
        </w:rPr>
        <w:t xml:space="preserve"> </w:t>
      </w:r>
      <w:r>
        <w:rPr>
          <w:sz w:val="20"/>
        </w:rPr>
        <w:t>o</w:t>
      </w:r>
      <w:r>
        <w:rPr>
          <w:spacing w:val="39"/>
          <w:sz w:val="20"/>
        </w:rPr>
        <w:t xml:space="preserve"> </w:t>
      </w:r>
      <w:r>
        <w:rPr>
          <w:sz w:val="20"/>
        </w:rPr>
        <w:t>sistema</w:t>
      </w:r>
      <w:r>
        <w:rPr>
          <w:spacing w:val="37"/>
          <w:sz w:val="20"/>
        </w:rPr>
        <w:t xml:space="preserve"> </w:t>
      </w:r>
      <w:r>
        <w:rPr>
          <w:sz w:val="20"/>
        </w:rPr>
        <w:t>de</w:t>
      </w:r>
      <w:r>
        <w:rPr>
          <w:spacing w:val="38"/>
          <w:sz w:val="20"/>
        </w:rPr>
        <w:t xml:space="preserve"> </w:t>
      </w:r>
      <w:r>
        <w:rPr>
          <w:sz w:val="20"/>
        </w:rPr>
        <w:t>copyright</w:t>
      </w:r>
      <w:r>
        <w:rPr>
          <w:spacing w:val="38"/>
          <w:sz w:val="20"/>
        </w:rPr>
        <w:t xml:space="preserve"> </w:t>
      </w:r>
      <w:r>
        <w:rPr>
          <w:sz w:val="20"/>
        </w:rPr>
        <w:t>é</w:t>
      </w:r>
      <w:r>
        <w:rPr>
          <w:spacing w:val="37"/>
          <w:sz w:val="20"/>
        </w:rPr>
        <w:t xml:space="preserve"> </w:t>
      </w:r>
      <w:r>
        <w:rPr>
          <w:sz w:val="20"/>
        </w:rPr>
        <w:t>progressivo</w:t>
      </w:r>
      <w:r>
        <w:rPr>
          <w:spacing w:val="39"/>
          <w:sz w:val="20"/>
        </w:rPr>
        <w:t xml:space="preserve"> </w:t>
      </w:r>
      <w:r>
        <w:rPr>
          <w:sz w:val="20"/>
        </w:rPr>
        <w:t>e</w:t>
      </w:r>
      <w:r>
        <w:rPr>
          <w:spacing w:val="38"/>
          <w:sz w:val="20"/>
        </w:rPr>
        <w:t xml:space="preserve"> </w:t>
      </w:r>
      <w:r>
        <w:rPr>
          <w:sz w:val="20"/>
        </w:rPr>
        <w:t>rápido.</w:t>
      </w:r>
      <w:r>
        <w:rPr>
          <w:spacing w:val="37"/>
          <w:sz w:val="20"/>
        </w:rPr>
        <w:t xml:space="preserve"> </w:t>
      </w:r>
      <w:r>
        <w:rPr>
          <w:sz w:val="20"/>
        </w:rPr>
        <w:t>Uma</w:t>
      </w:r>
      <w:r>
        <w:rPr>
          <w:spacing w:val="38"/>
          <w:sz w:val="20"/>
        </w:rPr>
        <w:t xml:space="preserve"> </w:t>
      </w:r>
      <w:r>
        <w:rPr>
          <w:sz w:val="20"/>
        </w:rPr>
        <w:t>coisa</w:t>
      </w:r>
      <w:r>
        <w:rPr>
          <w:spacing w:val="38"/>
          <w:sz w:val="20"/>
        </w:rPr>
        <w:t xml:space="preserve"> </w:t>
      </w:r>
      <w:r>
        <w:rPr>
          <w:sz w:val="20"/>
        </w:rPr>
        <w:t>são</w:t>
      </w:r>
      <w:r>
        <w:rPr>
          <w:spacing w:val="38"/>
          <w:sz w:val="20"/>
        </w:rPr>
        <w:t xml:space="preserve"> </w:t>
      </w:r>
      <w:r>
        <w:rPr>
          <w:sz w:val="20"/>
        </w:rPr>
        <w:t>as</w:t>
      </w:r>
      <w:r>
        <w:rPr>
          <w:spacing w:val="38"/>
          <w:sz w:val="20"/>
        </w:rPr>
        <w:t xml:space="preserve"> </w:t>
      </w:r>
      <w:r>
        <w:rPr>
          <w:sz w:val="20"/>
        </w:rPr>
        <w:t>proclamações,</w:t>
      </w:r>
      <w:r>
        <w:rPr>
          <w:spacing w:val="38"/>
          <w:sz w:val="20"/>
        </w:rPr>
        <w:t xml:space="preserve"> </w:t>
      </w:r>
      <w:r>
        <w:rPr>
          <w:sz w:val="20"/>
        </w:rPr>
        <w:t>outra,</w:t>
      </w:r>
      <w:r>
        <w:rPr>
          <w:spacing w:val="38"/>
          <w:sz w:val="20"/>
        </w:rPr>
        <w:t xml:space="preserve"> </w:t>
      </w:r>
      <w:r>
        <w:rPr>
          <w:spacing w:val="-10"/>
          <w:sz w:val="20"/>
        </w:rPr>
        <w:t>a</w:t>
      </w:r>
    </w:p>
    <w:p w:rsidR="007259F2" w:rsidRDefault="007259F2">
      <w:pPr>
        <w:jc w:val="both"/>
        <w:rPr>
          <w:sz w:val="20"/>
        </w:rPr>
        <w:sectPr w:rsidR="007259F2">
          <w:pgSz w:w="11910" w:h="16840"/>
          <w:pgMar w:top="1560" w:right="708" w:bottom="1020" w:left="992" w:header="0" w:footer="820" w:gutter="0"/>
          <w:cols w:space="720"/>
        </w:sectPr>
      </w:pPr>
    </w:p>
    <w:p w:rsidR="007259F2" w:rsidRDefault="00E655B4">
      <w:pPr>
        <w:pStyle w:val="Corpodetexto"/>
        <w:spacing w:before="75"/>
        <w:ind w:right="425"/>
      </w:pPr>
      <w:r>
        <w:lastRenderedPageBreak/>
        <w:t>Em 1994, o Acordo TRIPs (Agreement on Trade-Related Aspects of Intellectual Property Rights) foi firmado no âmbito da Organização Mundial do Comércio (OMC). A instância, por si, já revela como interesses corporativos relativos à proteção comercial assumiram a centralidade no debate, em vez do direito moral ou do incentivo à inovação (NETTO, 2023, p. 78). A internet e outras novas tecnologias sacudiram as estruturas do ambiente por onde circulam as informações, esses bens intangíveis, e a indústria lutou para garantir seus interesses.</w:t>
      </w:r>
    </w:p>
    <w:p w:rsidR="007259F2" w:rsidRDefault="00E655B4">
      <w:pPr>
        <w:pStyle w:val="Corpodetexto"/>
        <w:ind w:right="415"/>
      </w:pPr>
      <w:r>
        <w:t>Em 1998, o Congresso norte-americano aprovou a Lei de Extensão do Período de Copyright Sonny Bono (Sonny Bono copyright Term Extension Act), que ampliou em 20</w:t>
      </w:r>
      <w:r>
        <w:rPr>
          <w:spacing w:val="40"/>
        </w:rPr>
        <w:t xml:space="preserve"> </w:t>
      </w:r>
      <w:r>
        <w:t>anos o período de vigência dos direitos autorais.</w:t>
      </w:r>
      <w:r>
        <w:rPr>
          <w:vertAlign w:val="superscript"/>
        </w:rPr>
        <w:t>13</w:t>
      </w:r>
      <w:r>
        <w:t xml:space="preserve"> A lei ficou conhecida como “Mickey</w:t>
      </w:r>
      <w:r>
        <w:rPr>
          <w:spacing w:val="40"/>
        </w:rPr>
        <w:t xml:space="preserve"> </w:t>
      </w:r>
      <w:r>
        <w:t>Mouse Protection Act”, porque não foi por acaso que prorrogou o período de apropriação sobre o personagem que se manteve extremamente lucrativo.</w:t>
      </w:r>
      <w:r>
        <w:rPr>
          <w:vertAlign w:val="superscript"/>
        </w:rPr>
        <w:t>14</w:t>
      </w:r>
      <w:r>
        <w:t xml:space="preserve"> Mas o que, exatamente, esse direito de imagem do Mickey remunera? O Sr. Walt Disney</w:t>
      </w:r>
      <w:r>
        <w:rPr>
          <w:spacing w:val="-1"/>
        </w:rPr>
        <w:t xml:space="preserve"> </w:t>
      </w:r>
      <w:r>
        <w:t>morreu em 1966, enquanto a The Walt Disney</w:t>
      </w:r>
      <w:r>
        <w:rPr>
          <w:spacing w:val="-12"/>
        </w:rPr>
        <w:t xml:space="preserve"> </w:t>
      </w:r>
      <w:r>
        <w:t>Company</w:t>
      </w:r>
      <w:r>
        <w:rPr>
          <w:spacing w:val="-9"/>
        </w:rPr>
        <w:t xml:space="preserve"> </w:t>
      </w:r>
      <w:r>
        <w:t>é, 60 anos depois, um</w:t>
      </w:r>
      <w:r>
        <w:rPr>
          <w:spacing w:val="-2"/>
        </w:rPr>
        <w:t xml:space="preserve"> </w:t>
      </w:r>
      <w:r>
        <w:t>dos</w:t>
      </w:r>
      <w:r>
        <w:rPr>
          <w:spacing w:val="-2"/>
        </w:rPr>
        <w:t xml:space="preserve"> </w:t>
      </w:r>
      <w:r>
        <w:t>maiores conglomerados da</w:t>
      </w:r>
      <w:r>
        <w:rPr>
          <w:spacing w:val="-2"/>
        </w:rPr>
        <w:t xml:space="preserve"> </w:t>
      </w:r>
      <w:r>
        <w:t>mídia no mundo. A ironia da história é que Mickey estreou no curta-metragem “Steamboat Willie” em 1928, uma paródia que se apropria de elementos de “Steamboat Bill, Jr.”, comédia lançada no mesmo ano nos Estados Unidos, e grande parte dos sucessos do estúdio tem forte inspiração em elementos culturais pré-existentes. Em 2013, por exemplo, a empresa requereu ao Departamento de Patentes e Marcas o registro da expressão “Dia de Los Muertos”, enquanto produziam filme inspirado na festa mexicana do dia 2 de novembro. Nesse caso, a companhia não obteve sucesso judicial, e o filme, que não deixa de se apropriar de tradições indígenas mesoamericanas, foi lançado sob a marca “Coco”</w:t>
      </w:r>
      <w:r>
        <w:rPr>
          <w:vertAlign w:val="superscript"/>
        </w:rPr>
        <w:t>15</w:t>
      </w:r>
      <w:r>
        <w:t>.</w:t>
      </w:r>
    </w:p>
    <w:p w:rsidR="007259F2" w:rsidRDefault="00E655B4">
      <w:pPr>
        <w:pStyle w:val="Corpodetexto"/>
        <w:spacing w:before="1"/>
        <w:ind w:right="424"/>
      </w:pPr>
      <w:r>
        <w:t xml:space="preserve">Essas apropriações e recriações nos fazem questionar as fronteiras entre o que é uma obra original, o que é uma obra derivada, e o que é uma cópia. O leitor há de se questionar, finalmente, se é possível que alguma obra seja inteiramente nova, tanto em sua forma como em seu conteúdo. Ou se à cultura também se aplica a máxima </w:t>
      </w:r>
      <w:r>
        <w:rPr>
          <w:i/>
        </w:rPr>
        <w:t xml:space="preserve">rien ne se crée, tout se transforme </w:t>
      </w:r>
      <w:r>
        <w:t>(“nada se cria, tudo se transforma”), e toda obra traz em si aquilo que o autor experimentou em sua vida, conscientemente ou não. A desconfiança sobre a originalidade individual ganhou reforço com o desenvolvimento da filosofia da linguagem no século XX, como resume Roland Barthes em “A Morte do Autor”, de 1968:</w:t>
      </w:r>
    </w:p>
    <w:p w:rsidR="007259F2" w:rsidRDefault="007259F2">
      <w:pPr>
        <w:pStyle w:val="Corpodetexto"/>
        <w:ind w:left="0" w:firstLine="0"/>
        <w:jc w:val="left"/>
      </w:pPr>
    </w:p>
    <w:p w:rsidR="007259F2" w:rsidRDefault="00E655B4">
      <w:pPr>
        <w:ind w:left="2978" w:right="418"/>
        <w:jc w:val="both"/>
        <w:rPr>
          <w:sz w:val="20"/>
        </w:rPr>
      </w:pPr>
      <w:r>
        <w:rPr>
          <w:sz w:val="20"/>
        </w:rPr>
        <w:t>Sabemos agora que um texto não é feito de uma linha de palavras a produzir um sentido único, de certa maneira teológico (que seria a “mensagem” do Autor-Deus), mas um espaço de dimensões múltiplas, onde se casam e se contestam escrituras variadas, das quais nenhuma é original: o texto é um tecido de citações, saídas dos mil focos da cultura.</w:t>
      </w:r>
    </w:p>
    <w:p w:rsidR="007259F2" w:rsidRDefault="00E655B4">
      <w:pPr>
        <w:pStyle w:val="Corpodetexto"/>
        <w:spacing w:before="203"/>
        <w:ind w:right="420"/>
      </w:pPr>
      <w:r>
        <w:t>Barthes sugere, em contrapartida à morte do leitor, o nascimento do leitor – o lugar onde as “escritas múltiplas, saídas de várias culturas” se reúnem. “A unidade de um texto não está</w:t>
      </w:r>
      <w:r>
        <w:rPr>
          <w:spacing w:val="-4"/>
        </w:rPr>
        <w:t xml:space="preserve"> </w:t>
      </w:r>
      <w:r>
        <w:t>na</w:t>
      </w:r>
      <w:r>
        <w:rPr>
          <w:spacing w:val="-6"/>
        </w:rPr>
        <w:t xml:space="preserve"> </w:t>
      </w:r>
      <w:r>
        <w:t>sua</w:t>
      </w:r>
      <w:r>
        <w:rPr>
          <w:spacing w:val="-4"/>
        </w:rPr>
        <w:t xml:space="preserve"> </w:t>
      </w:r>
      <w:r>
        <w:t>origem,</w:t>
      </w:r>
      <w:r>
        <w:rPr>
          <w:spacing w:val="-3"/>
        </w:rPr>
        <w:t xml:space="preserve"> </w:t>
      </w:r>
      <w:r>
        <w:t>mas no</w:t>
      </w:r>
      <w:r>
        <w:rPr>
          <w:spacing w:val="-3"/>
        </w:rPr>
        <w:t xml:space="preserve"> </w:t>
      </w:r>
      <w:r>
        <w:t>seu</w:t>
      </w:r>
      <w:r>
        <w:rPr>
          <w:spacing w:val="-3"/>
        </w:rPr>
        <w:t xml:space="preserve"> </w:t>
      </w:r>
      <w:r>
        <w:t>destino”</w:t>
      </w:r>
      <w:r>
        <w:rPr>
          <w:spacing w:val="-2"/>
        </w:rPr>
        <w:t xml:space="preserve"> </w:t>
      </w:r>
      <w:r>
        <w:t>(2004,</w:t>
      </w:r>
      <w:r>
        <w:rPr>
          <w:spacing w:val="-3"/>
        </w:rPr>
        <w:t xml:space="preserve"> </w:t>
      </w:r>
      <w:r>
        <w:t>p. 64).</w:t>
      </w:r>
      <w:r>
        <w:rPr>
          <w:spacing w:val="-3"/>
        </w:rPr>
        <w:t xml:space="preserve"> </w:t>
      </w:r>
      <w:r>
        <w:t>Enxergamos</w:t>
      </w:r>
      <w:r>
        <w:rPr>
          <w:spacing w:val="-2"/>
        </w:rPr>
        <w:t xml:space="preserve"> </w:t>
      </w:r>
      <w:r>
        <w:t>costumeiramente</w:t>
      </w:r>
      <w:r>
        <w:rPr>
          <w:spacing w:val="-1"/>
        </w:rPr>
        <w:t xml:space="preserve"> </w:t>
      </w:r>
      <w:r>
        <w:t>a</w:t>
      </w:r>
      <w:r>
        <w:rPr>
          <w:spacing w:val="-4"/>
        </w:rPr>
        <w:t xml:space="preserve"> </w:t>
      </w:r>
      <w:r>
        <w:t>criação do</w:t>
      </w:r>
      <w:r>
        <w:rPr>
          <w:spacing w:val="-2"/>
        </w:rPr>
        <w:t xml:space="preserve"> </w:t>
      </w:r>
      <w:r>
        <w:t>ponto de</w:t>
      </w:r>
      <w:r>
        <w:rPr>
          <w:spacing w:val="-1"/>
        </w:rPr>
        <w:t xml:space="preserve"> </w:t>
      </w:r>
      <w:r>
        <w:t>vista</w:t>
      </w:r>
      <w:r>
        <w:rPr>
          <w:spacing w:val="-2"/>
        </w:rPr>
        <w:t xml:space="preserve"> </w:t>
      </w:r>
      <w:r>
        <w:t>do criador, muitas</w:t>
      </w:r>
      <w:r>
        <w:rPr>
          <w:spacing w:val="-1"/>
        </w:rPr>
        <w:t xml:space="preserve"> </w:t>
      </w:r>
      <w:r>
        <w:t>vezes em prejuízo a</w:t>
      </w:r>
      <w:r>
        <w:rPr>
          <w:spacing w:val="-1"/>
        </w:rPr>
        <w:t xml:space="preserve"> </w:t>
      </w:r>
      <w:r>
        <w:t>todo o</w:t>
      </w:r>
      <w:r>
        <w:rPr>
          <w:spacing w:val="-1"/>
        </w:rPr>
        <w:t xml:space="preserve"> </w:t>
      </w:r>
      <w:r>
        <w:t>resto</w:t>
      </w:r>
      <w:r>
        <w:rPr>
          <w:spacing w:val="3"/>
        </w:rPr>
        <w:t xml:space="preserve"> </w:t>
      </w:r>
      <w:r>
        <w:t>– é a</w:t>
      </w:r>
      <w:r>
        <w:rPr>
          <w:spacing w:val="2"/>
        </w:rPr>
        <w:t xml:space="preserve"> </w:t>
      </w:r>
      <w:r>
        <w:t>equação dinâmica</w:t>
      </w:r>
      <w:r>
        <w:rPr>
          <w:spacing w:val="1"/>
        </w:rPr>
        <w:t xml:space="preserve"> </w:t>
      </w:r>
      <w:r>
        <w:rPr>
          <w:spacing w:val="-10"/>
        </w:rPr>
        <w:t>e</w:t>
      </w:r>
    </w:p>
    <w:p w:rsidR="007259F2" w:rsidRDefault="00DE6B1C">
      <w:pPr>
        <w:pStyle w:val="Corpodetexto"/>
        <w:spacing w:before="97"/>
        <w:ind w:left="0" w:firstLine="0"/>
        <w:jc w:val="left"/>
        <w:rPr>
          <w:sz w:val="20"/>
        </w:rPr>
      </w:pPr>
      <w:r w:rsidRPr="00DE6B1C">
        <w:rPr>
          <w:sz w:val="20"/>
        </w:rPr>
        <w:pict>
          <v:rect id="docshape112" o:spid="_x0000_s1116" style="position:absolute;margin-left:85.1pt;margin-top:17.6pt;width:453.65pt;height:.7pt;z-index:-15681536;mso-wrap-distance-left:0;mso-wrap-distance-right:0;mso-position-horizontal-relative:page" fillcolor="black" stroked="f">
            <w10:wrap type="topAndBottom" anchorx="page"/>
          </v:rect>
        </w:pict>
      </w:r>
    </w:p>
    <w:p w:rsidR="007259F2" w:rsidRDefault="00E655B4">
      <w:pPr>
        <w:spacing w:before="96"/>
        <w:ind w:left="710"/>
        <w:rPr>
          <w:sz w:val="20"/>
        </w:rPr>
      </w:pPr>
      <w:r>
        <w:rPr>
          <w:sz w:val="20"/>
        </w:rPr>
        <w:t>realidade</w:t>
      </w:r>
      <w:r>
        <w:rPr>
          <w:spacing w:val="40"/>
          <w:sz w:val="20"/>
        </w:rPr>
        <w:t xml:space="preserve"> </w:t>
      </w:r>
      <w:r>
        <w:rPr>
          <w:sz w:val="20"/>
        </w:rPr>
        <w:t>de</w:t>
      </w:r>
      <w:r>
        <w:rPr>
          <w:spacing w:val="40"/>
          <w:sz w:val="20"/>
        </w:rPr>
        <w:t xml:space="preserve"> </w:t>
      </w:r>
      <w:r>
        <w:rPr>
          <w:sz w:val="20"/>
        </w:rPr>
        <w:t>a</w:t>
      </w:r>
      <w:r>
        <w:rPr>
          <w:spacing w:val="40"/>
          <w:sz w:val="20"/>
        </w:rPr>
        <w:t xml:space="preserve"> </w:t>
      </w:r>
      <w:r>
        <w:rPr>
          <w:sz w:val="20"/>
        </w:rPr>
        <w:t>proteção</w:t>
      </w:r>
      <w:r>
        <w:rPr>
          <w:spacing w:val="40"/>
          <w:sz w:val="20"/>
        </w:rPr>
        <w:t xml:space="preserve"> </w:t>
      </w:r>
      <w:r>
        <w:rPr>
          <w:sz w:val="20"/>
        </w:rPr>
        <w:t>autoralista,</w:t>
      </w:r>
      <w:r>
        <w:rPr>
          <w:spacing w:val="40"/>
          <w:sz w:val="20"/>
        </w:rPr>
        <w:t xml:space="preserve"> </w:t>
      </w:r>
      <w:r>
        <w:rPr>
          <w:sz w:val="20"/>
        </w:rPr>
        <w:t>sempre</w:t>
      </w:r>
      <w:r>
        <w:rPr>
          <w:spacing w:val="40"/>
          <w:sz w:val="20"/>
        </w:rPr>
        <w:t xml:space="preserve"> </w:t>
      </w:r>
      <w:r>
        <w:rPr>
          <w:sz w:val="20"/>
        </w:rPr>
        <w:t>em</w:t>
      </w:r>
      <w:r>
        <w:rPr>
          <w:spacing w:val="40"/>
          <w:sz w:val="20"/>
        </w:rPr>
        <w:t xml:space="preserve"> </w:t>
      </w:r>
      <w:r>
        <w:rPr>
          <w:sz w:val="20"/>
        </w:rPr>
        <w:t>incremento,</w:t>
      </w:r>
      <w:r>
        <w:rPr>
          <w:spacing w:val="40"/>
          <w:sz w:val="20"/>
        </w:rPr>
        <w:t xml:space="preserve"> </w:t>
      </w:r>
      <w:r>
        <w:rPr>
          <w:sz w:val="20"/>
        </w:rPr>
        <w:t>beneficiar</w:t>
      </w:r>
      <w:r>
        <w:rPr>
          <w:spacing w:val="40"/>
          <w:sz w:val="20"/>
        </w:rPr>
        <w:t xml:space="preserve"> </w:t>
      </w:r>
      <w:r>
        <w:rPr>
          <w:sz w:val="20"/>
        </w:rPr>
        <w:t>afinal</w:t>
      </w:r>
      <w:r>
        <w:rPr>
          <w:spacing w:val="40"/>
          <w:sz w:val="20"/>
        </w:rPr>
        <w:t xml:space="preserve"> </w:t>
      </w:r>
      <w:r>
        <w:rPr>
          <w:sz w:val="20"/>
        </w:rPr>
        <w:t>primacialmente</w:t>
      </w:r>
      <w:r>
        <w:rPr>
          <w:spacing w:val="40"/>
          <w:sz w:val="20"/>
        </w:rPr>
        <w:t xml:space="preserve"> </w:t>
      </w:r>
      <w:r>
        <w:rPr>
          <w:sz w:val="20"/>
        </w:rPr>
        <w:t>a</w:t>
      </w:r>
      <w:r>
        <w:rPr>
          <w:spacing w:val="40"/>
          <w:sz w:val="20"/>
        </w:rPr>
        <w:t xml:space="preserve"> </w:t>
      </w:r>
      <w:r>
        <w:rPr>
          <w:sz w:val="20"/>
        </w:rPr>
        <w:t>empresa</w:t>
      </w:r>
      <w:r>
        <w:rPr>
          <w:spacing w:val="40"/>
          <w:sz w:val="20"/>
        </w:rPr>
        <w:t xml:space="preserve"> </w:t>
      </w:r>
      <w:r>
        <w:rPr>
          <w:sz w:val="20"/>
        </w:rPr>
        <w:t>de copyright. Mais ainda: o incremento é abertamente justificado pelo interesse desta” (ASCENSÃO, 2020, p. 14).</w:t>
      </w:r>
    </w:p>
    <w:p w:rsidR="007259F2" w:rsidRDefault="00E655B4">
      <w:pPr>
        <w:spacing w:before="1"/>
        <w:ind w:left="710" w:right="428"/>
        <w:jc w:val="both"/>
        <w:rPr>
          <w:sz w:val="20"/>
        </w:rPr>
      </w:pPr>
      <w:r>
        <w:rPr>
          <w:sz w:val="20"/>
          <w:vertAlign w:val="superscript"/>
        </w:rPr>
        <w:t>13</w:t>
      </w:r>
      <w:r>
        <w:rPr>
          <w:sz w:val="20"/>
        </w:rPr>
        <w:t xml:space="preserve"> Desde 1962, o Congresso norte-americano amplia sucessivamente o período de vigência da proteção</w:t>
      </w:r>
      <w:r>
        <w:rPr>
          <w:spacing w:val="80"/>
          <w:sz w:val="20"/>
        </w:rPr>
        <w:t xml:space="preserve"> </w:t>
      </w:r>
      <w:r>
        <w:rPr>
          <w:sz w:val="20"/>
        </w:rPr>
        <w:t>(LESSIG, 2005).</w:t>
      </w:r>
    </w:p>
    <w:p w:rsidR="007259F2" w:rsidRDefault="00E655B4">
      <w:pPr>
        <w:spacing w:before="1"/>
        <w:ind w:left="710" w:right="423"/>
        <w:jc w:val="both"/>
        <w:rPr>
          <w:sz w:val="20"/>
        </w:rPr>
      </w:pPr>
      <w:r>
        <w:rPr>
          <w:sz w:val="20"/>
          <w:vertAlign w:val="superscript"/>
        </w:rPr>
        <w:t>14</w:t>
      </w:r>
      <w:r>
        <w:rPr>
          <w:sz w:val="20"/>
        </w:rPr>
        <w:t xml:space="preserve"> Após duas prorrogações legislativas nos Estados Unidos, o Mickey Mouse finalmente chegou ao domínio público em 2024, 95 anos após a estreia de “Steamboat Willie”. No Brasil o prazo de proteção de obras audiovisuais é de setenta anos a partir de sua divulgação (LDA. Art. 44). Não obstante, ainda há quem defenda que por aqui o ratinho continua protegido, com base no art. 41 da LDA, que conta 70 anos a partir do</w:t>
      </w:r>
      <w:r>
        <w:rPr>
          <w:spacing w:val="40"/>
          <w:sz w:val="20"/>
        </w:rPr>
        <w:t xml:space="preserve"> </w:t>
      </w:r>
      <w:r>
        <w:rPr>
          <w:sz w:val="20"/>
        </w:rPr>
        <w:t>falecimento do autor (Walt Disney morreu em 1966, de modo que a proteção sobre o personagem se estenderia até 2036).</w:t>
      </w:r>
    </w:p>
    <w:p w:rsidR="007259F2" w:rsidRDefault="00E655B4">
      <w:pPr>
        <w:ind w:left="710"/>
        <w:jc w:val="both"/>
        <w:rPr>
          <w:sz w:val="20"/>
        </w:rPr>
      </w:pPr>
      <w:r>
        <w:rPr>
          <w:sz w:val="20"/>
          <w:vertAlign w:val="superscript"/>
        </w:rPr>
        <w:t>15</w:t>
      </w:r>
      <w:r>
        <w:rPr>
          <w:spacing w:val="66"/>
          <w:w w:val="150"/>
          <w:sz w:val="20"/>
        </w:rPr>
        <w:t xml:space="preserve"> </w:t>
      </w:r>
      <w:r>
        <w:rPr>
          <w:sz w:val="20"/>
        </w:rPr>
        <w:t>No</w:t>
      </w:r>
      <w:r>
        <w:rPr>
          <w:spacing w:val="-4"/>
          <w:sz w:val="20"/>
        </w:rPr>
        <w:t xml:space="preserve"> </w:t>
      </w:r>
      <w:r>
        <w:rPr>
          <w:sz w:val="20"/>
        </w:rPr>
        <w:t>Brasil,</w:t>
      </w:r>
      <w:r>
        <w:rPr>
          <w:spacing w:val="-7"/>
          <w:sz w:val="20"/>
        </w:rPr>
        <w:t xml:space="preserve"> </w:t>
      </w:r>
      <w:r>
        <w:rPr>
          <w:sz w:val="20"/>
        </w:rPr>
        <w:t>“Viva: A</w:t>
      </w:r>
      <w:r>
        <w:rPr>
          <w:spacing w:val="-12"/>
          <w:sz w:val="20"/>
        </w:rPr>
        <w:t xml:space="preserve"> </w:t>
      </w:r>
      <w:r>
        <w:rPr>
          <w:sz w:val="20"/>
        </w:rPr>
        <w:t>Vida</w:t>
      </w:r>
      <w:r>
        <w:rPr>
          <w:spacing w:val="-7"/>
          <w:sz w:val="20"/>
        </w:rPr>
        <w:t xml:space="preserve"> </w:t>
      </w:r>
      <w:r>
        <w:rPr>
          <w:sz w:val="20"/>
        </w:rPr>
        <w:t>é</w:t>
      </w:r>
      <w:r>
        <w:rPr>
          <w:spacing w:val="-5"/>
          <w:sz w:val="20"/>
        </w:rPr>
        <w:t xml:space="preserve"> </w:t>
      </w:r>
      <w:r>
        <w:rPr>
          <w:sz w:val="20"/>
        </w:rPr>
        <w:t>uma</w:t>
      </w:r>
      <w:r>
        <w:rPr>
          <w:spacing w:val="-7"/>
          <w:sz w:val="20"/>
        </w:rPr>
        <w:t xml:space="preserve"> </w:t>
      </w:r>
      <w:r>
        <w:rPr>
          <w:sz w:val="20"/>
        </w:rPr>
        <w:t>Festa”</w:t>
      </w:r>
      <w:r>
        <w:rPr>
          <w:spacing w:val="-7"/>
          <w:sz w:val="20"/>
        </w:rPr>
        <w:t xml:space="preserve"> </w:t>
      </w:r>
      <w:r>
        <w:rPr>
          <w:spacing w:val="-2"/>
          <w:sz w:val="20"/>
        </w:rPr>
        <w:t>(2017).</w:t>
      </w:r>
    </w:p>
    <w:p w:rsidR="007259F2" w:rsidRDefault="007259F2">
      <w:pPr>
        <w:jc w:val="both"/>
        <w:rPr>
          <w:sz w:val="20"/>
        </w:rPr>
        <w:sectPr w:rsidR="007259F2">
          <w:pgSz w:w="11910" w:h="16840"/>
          <w:pgMar w:top="1600" w:right="708" w:bottom="1020" w:left="992" w:header="0" w:footer="820" w:gutter="0"/>
          <w:cols w:space="720"/>
        </w:sectPr>
      </w:pPr>
    </w:p>
    <w:p w:rsidR="007259F2" w:rsidRDefault="00E655B4">
      <w:pPr>
        <w:pStyle w:val="Corpodetexto"/>
        <w:spacing w:before="75"/>
        <w:ind w:right="423" w:firstLine="0"/>
      </w:pPr>
      <w:r>
        <w:lastRenderedPageBreak/>
        <w:t>intrincada entre o direito do autor e o interesse público. “Mas esse destino já não pode ser pessoal”, nos conduz Barthes, “o leitor é um ser sem história, sem biografia, sem psicologia”. O leitor, genericamente, é a humanidade, impedida de acessar os frutos das árvores que semeou por gerações.</w:t>
      </w:r>
    </w:p>
    <w:p w:rsidR="007259F2" w:rsidRDefault="00E655B4">
      <w:pPr>
        <w:pStyle w:val="Heading2"/>
        <w:numPr>
          <w:ilvl w:val="0"/>
          <w:numId w:val="26"/>
        </w:numPr>
        <w:tabs>
          <w:tab w:val="left" w:pos="890"/>
        </w:tabs>
        <w:ind w:left="890" w:hanging="180"/>
        <w:jc w:val="both"/>
      </w:pPr>
      <w:r>
        <w:t>Direito</w:t>
      </w:r>
      <w:r>
        <w:rPr>
          <w:spacing w:val="-7"/>
        </w:rPr>
        <w:t xml:space="preserve"> </w:t>
      </w:r>
      <w:r>
        <w:t>autoral</w:t>
      </w:r>
      <w:r>
        <w:rPr>
          <w:spacing w:val="-3"/>
        </w:rPr>
        <w:t xml:space="preserve"> </w:t>
      </w:r>
      <w:r>
        <w:t>sobre</w:t>
      </w:r>
      <w:r>
        <w:rPr>
          <w:spacing w:val="-1"/>
        </w:rPr>
        <w:t xml:space="preserve"> </w:t>
      </w:r>
      <w:r>
        <w:t>programas</w:t>
      </w:r>
      <w:r>
        <w:rPr>
          <w:spacing w:val="-2"/>
        </w:rPr>
        <w:t xml:space="preserve"> </w:t>
      </w:r>
      <w:r>
        <w:t>de</w:t>
      </w:r>
      <w:r>
        <w:rPr>
          <w:spacing w:val="-2"/>
        </w:rPr>
        <w:t xml:space="preserve"> computador</w:t>
      </w:r>
    </w:p>
    <w:p w:rsidR="007259F2" w:rsidRDefault="00E655B4">
      <w:pPr>
        <w:pStyle w:val="Corpodetexto"/>
        <w:spacing w:before="113"/>
        <w:ind w:right="420"/>
      </w:pPr>
      <w:r>
        <w:t>As duas dimensões do direito autoral estão indicadas no art. 22 da Lei do Direito Autoral (LDA), ao estabelecer que “pertencem ao autor os direitos morais e patrimoniais</w:t>
      </w:r>
      <w:r>
        <w:rPr>
          <w:spacing w:val="40"/>
        </w:rPr>
        <w:t xml:space="preserve"> </w:t>
      </w:r>
      <w:r>
        <w:t>sobre a obra que criou”. Os direitos morais “são inalienáveis e irrenunciáveis”, segundo o art. 27, enquanto os direitos patrimoniais estão em rol no art. 29 e referidos no art. 28 como “direito exclusivo de utilizar, fruir e dispor da obra literária, artística ou científica”. O tempo de duração dos direitos patrimoniais está no art. 41, de setenta anos, contados de 1º de janeiro do ano subsequente ao de seu falecimento, sendo exercido pelos sucessores</w:t>
      </w:r>
      <w:r>
        <w:rPr>
          <w:vertAlign w:val="superscript"/>
        </w:rPr>
        <w:t>16</w:t>
      </w:r>
      <w:r>
        <w:t>.</w:t>
      </w:r>
    </w:p>
    <w:p w:rsidR="007259F2" w:rsidRDefault="00E655B4">
      <w:pPr>
        <w:pStyle w:val="Corpodetexto"/>
        <w:ind w:right="425"/>
      </w:pPr>
      <w:r>
        <w:t>O transcendental art. 7º da LDA protege obras intelectuais que sejam “criações do espírito, expressas por qualquer meio ou fixadas em qualquer suporte, tangível ou intangível, conhecido ou que se invente no futuro”. O rol inclui, no inciso XII, o programa de computador. Não obstante, concomitantemente à LDA foi publicada, também, a Lei de Software, Lei Federal nº 9.609/1998.</w:t>
      </w:r>
    </w:p>
    <w:p w:rsidR="007259F2" w:rsidRDefault="00E655B4">
      <w:pPr>
        <w:pStyle w:val="Corpodetexto"/>
        <w:ind w:right="427"/>
      </w:pPr>
      <w:r>
        <w:t>Tratar o programa de computador como uma obra protegida pelo direito autoral, personalíssimo, e não pela propriedade industrial, não é uma escolha óbvia. Diversos outros países optaram pelo tratamento no sistema de patentes. Embora seja possível argumentar que programas de computador resultam do esforço criativo, as especificidades técnicas e comerciais fazem dele na maior parte das vezes mais uma ferramenta de processamento de informações do que uma obra em si. Mas a diversidade de softwares é grande, quase sempre construídos coletivamente, e trata-se de um direito autoral peculiar, com lei específica e registro no Instituto Nacional da Propriedade Industrial.</w:t>
      </w:r>
    </w:p>
    <w:p w:rsidR="007259F2" w:rsidRDefault="00E655B4">
      <w:pPr>
        <w:pStyle w:val="Corpodetexto"/>
        <w:spacing w:before="1"/>
        <w:ind w:right="423"/>
      </w:pPr>
      <w:r>
        <w:t>O</w:t>
      </w:r>
      <w:r>
        <w:rPr>
          <w:spacing w:val="-2"/>
        </w:rPr>
        <w:t xml:space="preserve"> </w:t>
      </w:r>
      <w:r>
        <w:t>art.</w:t>
      </w:r>
      <w:r>
        <w:rPr>
          <w:spacing w:val="-2"/>
        </w:rPr>
        <w:t xml:space="preserve"> </w:t>
      </w:r>
      <w:r>
        <w:t>2º</w:t>
      </w:r>
      <w:r>
        <w:rPr>
          <w:spacing w:val="-1"/>
        </w:rPr>
        <w:t xml:space="preserve"> </w:t>
      </w:r>
      <w:r>
        <w:t>da</w:t>
      </w:r>
      <w:r>
        <w:rPr>
          <w:spacing w:val="-3"/>
        </w:rPr>
        <w:t xml:space="preserve"> </w:t>
      </w:r>
      <w:r>
        <w:t>lei</w:t>
      </w:r>
      <w:r>
        <w:rPr>
          <w:spacing w:val="-2"/>
        </w:rPr>
        <w:t xml:space="preserve"> </w:t>
      </w:r>
      <w:r>
        <w:t>estende ao</w:t>
      </w:r>
      <w:r>
        <w:rPr>
          <w:spacing w:val="-2"/>
        </w:rPr>
        <w:t xml:space="preserve"> </w:t>
      </w:r>
      <w:r>
        <w:t>programa</w:t>
      </w:r>
      <w:r>
        <w:rPr>
          <w:spacing w:val="-1"/>
        </w:rPr>
        <w:t xml:space="preserve"> </w:t>
      </w:r>
      <w:r>
        <w:t>de</w:t>
      </w:r>
      <w:r>
        <w:rPr>
          <w:spacing w:val="-1"/>
        </w:rPr>
        <w:t xml:space="preserve"> </w:t>
      </w:r>
      <w:r>
        <w:t>computador</w:t>
      </w:r>
      <w:r>
        <w:rPr>
          <w:spacing w:val="-3"/>
        </w:rPr>
        <w:t xml:space="preserve"> </w:t>
      </w:r>
      <w:r>
        <w:t>o</w:t>
      </w:r>
      <w:r>
        <w:rPr>
          <w:spacing w:val="-2"/>
        </w:rPr>
        <w:t xml:space="preserve"> </w:t>
      </w:r>
      <w:r>
        <w:t>regime</w:t>
      </w:r>
      <w:r>
        <w:rPr>
          <w:spacing w:val="-3"/>
        </w:rPr>
        <w:t xml:space="preserve"> </w:t>
      </w:r>
      <w:r>
        <w:t>de</w:t>
      </w:r>
      <w:r>
        <w:rPr>
          <w:spacing w:val="-1"/>
        </w:rPr>
        <w:t xml:space="preserve"> </w:t>
      </w:r>
      <w:r>
        <w:t>proteção “conferido</w:t>
      </w:r>
      <w:r>
        <w:rPr>
          <w:spacing w:val="-1"/>
        </w:rPr>
        <w:t xml:space="preserve"> </w:t>
      </w:r>
      <w:r>
        <w:t>às obras literárias”, enquanto o § 1º afirma que “não se aplicam ao programa de computador</w:t>
      </w:r>
      <w:r>
        <w:rPr>
          <w:spacing w:val="40"/>
        </w:rPr>
        <w:t xml:space="preserve"> </w:t>
      </w:r>
      <w:r>
        <w:t>as disposições relativas aos direitos morais”, exceto o de “reivindicar a paternidade” e de “opor- se a alterações não-autorizadas, quando estas impliquem deformação, mutilação ou outra modificação do programa de computador, que prejudiquem a sua honra ou a sua reputação”.</w:t>
      </w:r>
    </w:p>
    <w:p w:rsidR="007259F2" w:rsidRDefault="00E655B4">
      <w:pPr>
        <w:pStyle w:val="Corpodetexto"/>
        <w:ind w:right="422"/>
      </w:pPr>
      <w:r>
        <w:t>O tempo de duração da tutela dos direitos patrimoniais sobre programas de</w:t>
      </w:r>
      <w:r>
        <w:rPr>
          <w:spacing w:val="40"/>
        </w:rPr>
        <w:t xml:space="preserve"> </w:t>
      </w:r>
      <w:r>
        <w:t>computador está no §2º do art. 2º, e é de cinquenta anos. Não apenas excessivo, o prazo, francamente,</w:t>
      </w:r>
      <w:r>
        <w:rPr>
          <w:spacing w:val="-1"/>
        </w:rPr>
        <w:t xml:space="preserve"> </w:t>
      </w:r>
      <w:r>
        <w:t>não</w:t>
      </w:r>
      <w:r>
        <w:rPr>
          <w:spacing w:val="-1"/>
        </w:rPr>
        <w:t xml:space="preserve"> </w:t>
      </w:r>
      <w:r>
        <w:t>faz muito</w:t>
      </w:r>
      <w:r>
        <w:rPr>
          <w:spacing w:val="-2"/>
        </w:rPr>
        <w:t xml:space="preserve"> </w:t>
      </w:r>
      <w:r>
        <w:t>sentido,</w:t>
      </w:r>
      <w:r>
        <w:rPr>
          <w:spacing w:val="-3"/>
        </w:rPr>
        <w:t xml:space="preserve"> </w:t>
      </w:r>
      <w:r>
        <w:t>uma</w:t>
      </w:r>
      <w:r>
        <w:rPr>
          <w:spacing w:val="-4"/>
        </w:rPr>
        <w:t xml:space="preserve"> </w:t>
      </w:r>
      <w:r>
        <w:t>vez que</w:t>
      </w:r>
      <w:r>
        <w:rPr>
          <w:spacing w:val="-2"/>
        </w:rPr>
        <w:t xml:space="preserve"> </w:t>
      </w:r>
      <w:r>
        <w:t>não</w:t>
      </w:r>
      <w:r>
        <w:rPr>
          <w:spacing w:val="-3"/>
        </w:rPr>
        <w:t xml:space="preserve"> </w:t>
      </w:r>
      <w:r>
        <w:t>existe</w:t>
      </w:r>
      <w:r>
        <w:rPr>
          <w:spacing w:val="-4"/>
        </w:rPr>
        <w:t xml:space="preserve"> </w:t>
      </w:r>
      <w:r>
        <w:t>(e</w:t>
      </w:r>
      <w:r>
        <w:rPr>
          <w:spacing w:val="-4"/>
        </w:rPr>
        <w:t xml:space="preserve"> </w:t>
      </w:r>
      <w:r>
        <w:t>nunca</w:t>
      </w:r>
      <w:r>
        <w:rPr>
          <w:spacing w:val="-2"/>
        </w:rPr>
        <w:t xml:space="preserve"> </w:t>
      </w:r>
      <w:r>
        <w:t>vai existir)</w:t>
      </w:r>
      <w:r>
        <w:rPr>
          <w:spacing w:val="-6"/>
        </w:rPr>
        <w:t xml:space="preserve"> </w:t>
      </w:r>
      <w:r>
        <w:t>um</w:t>
      </w:r>
      <w:r>
        <w:rPr>
          <w:spacing w:val="-3"/>
        </w:rPr>
        <w:t xml:space="preserve"> </w:t>
      </w:r>
      <w:r>
        <w:t>programa de computador com mais de que meia década de vida funcional. A primeira versão do MS- DOS, que é o antecessor do Microsoft Windows, tem 43 anos em 2024.</w:t>
      </w:r>
    </w:p>
    <w:p w:rsidR="007259F2" w:rsidRDefault="00E655B4">
      <w:pPr>
        <w:pStyle w:val="Corpodetexto"/>
        <w:spacing w:before="1"/>
        <w:ind w:right="419"/>
      </w:pPr>
      <w:r>
        <w:t>Com a difusão do computador, a informação transformou-se em mercadoria, e principal</w:t>
      </w:r>
      <w:r>
        <w:rPr>
          <w:spacing w:val="40"/>
        </w:rPr>
        <w:t xml:space="preserve"> </w:t>
      </w:r>
      <w:r>
        <w:t>matéria-prima</w:t>
      </w:r>
      <w:r>
        <w:rPr>
          <w:spacing w:val="40"/>
        </w:rPr>
        <w:t xml:space="preserve"> </w:t>
      </w:r>
      <w:r>
        <w:t>do</w:t>
      </w:r>
      <w:r>
        <w:rPr>
          <w:spacing w:val="40"/>
        </w:rPr>
        <w:t xml:space="preserve"> </w:t>
      </w:r>
      <w:r>
        <w:t>nosso</w:t>
      </w:r>
      <w:r>
        <w:rPr>
          <w:spacing w:val="40"/>
        </w:rPr>
        <w:t xml:space="preserve"> </w:t>
      </w:r>
      <w:r>
        <w:t>tempo.</w:t>
      </w:r>
      <w:r>
        <w:rPr>
          <w:spacing w:val="40"/>
        </w:rPr>
        <w:t xml:space="preserve"> </w:t>
      </w:r>
      <w:r>
        <w:t>Os</w:t>
      </w:r>
      <w:r>
        <w:rPr>
          <w:spacing w:val="40"/>
        </w:rPr>
        <w:t xml:space="preserve"> </w:t>
      </w:r>
      <w:r>
        <w:t>programas</w:t>
      </w:r>
      <w:r>
        <w:rPr>
          <w:spacing w:val="40"/>
        </w:rPr>
        <w:t xml:space="preserve"> </w:t>
      </w:r>
      <w:r>
        <w:t>de</w:t>
      </w:r>
      <w:r>
        <w:rPr>
          <w:spacing w:val="40"/>
        </w:rPr>
        <w:t xml:space="preserve"> </w:t>
      </w:r>
      <w:r>
        <w:t>computador</w:t>
      </w:r>
      <w:r>
        <w:rPr>
          <w:spacing w:val="40"/>
        </w:rPr>
        <w:t xml:space="preserve"> </w:t>
      </w:r>
      <w:r>
        <w:t>têm</w:t>
      </w:r>
      <w:r>
        <w:rPr>
          <w:spacing w:val="40"/>
        </w:rPr>
        <w:t xml:space="preserve"> </w:t>
      </w:r>
      <w:r>
        <w:t>papel</w:t>
      </w:r>
      <w:r>
        <w:rPr>
          <w:spacing w:val="40"/>
        </w:rPr>
        <w:t xml:space="preserve"> </w:t>
      </w:r>
      <w:r>
        <w:t>central ao usuário por meio de uma interface. O art. 1º da lei define o software como “expressão de um conjunto organizado de instruções em linguagem natural ou codificada, contida em</w:t>
      </w:r>
      <w:r>
        <w:rPr>
          <w:spacing w:val="40"/>
        </w:rPr>
        <w:t xml:space="preserve"> </w:t>
      </w:r>
      <w:r>
        <w:t>suporte físico de qualquer natureza, de emprego necessário em máquinas automáticas de tratamento da informação, dispositivos, instrumentos ou equipamentos periféricos, baseados em técnica digital ou análoga, para fazê-los funcionar de modo e para fins determinados”.</w:t>
      </w:r>
    </w:p>
    <w:p w:rsidR="007259F2" w:rsidRDefault="00E655B4">
      <w:pPr>
        <w:pStyle w:val="Corpodetexto"/>
        <w:ind w:right="420"/>
      </w:pPr>
      <w:r>
        <w:t>O professor de Harvard Lawrence Lessig, um dos maiores especialistas em Direito Digital, compara</w:t>
      </w:r>
      <w:r>
        <w:rPr>
          <w:spacing w:val="-3"/>
        </w:rPr>
        <w:t xml:space="preserve"> </w:t>
      </w:r>
      <w:r>
        <w:t>na</w:t>
      </w:r>
      <w:r>
        <w:rPr>
          <w:spacing w:val="-1"/>
        </w:rPr>
        <w:t xml:space="preserve"> </w:t>
      </w:r>
      <w:r>
        <w:t>célebre</w:t>
      </w:r>
      <w:r>
        <w:rPr>
          <w:spacing w:val="-2"/>
        </w:rPr>
        <w:t xml:space="preserve"> </w:t>
      </w:r>
      <w:r>
        <w:t>síntese “code</w:t>
      </w:r>
      <w:r>
        <w:rPr>
          <w:spacing w:val="-1"/>
        </w:rPr>
        <w:t xml:space="preserve"> </w:t>
      </w:r>
      <w:r>
        <w:t>is law” os códigos-fontes às leis, uma vez que têm a capacidade</w:t>
      </w:r>
      <w:r>
        <w:rPr>
          <w:spacing w:val="23"/>
        </w:rPr>
        <w:t xml:space="preserve"> </w:t>
      </w:r>
      <w:r>
        <w:t>de</w:t>
      </w:r>
      <w:r>
        <w:rPr>
          <w:spacing w:val="26"/>
        </w:rPr>
        <w:t xml:space="preserve"> </w:t>
      </w:r>
      <w:r>
        <w:t>direcionar</w:t>
      </w:r>
      <w:r>
        <w:rPr>
          <w:spacing w:val="29"/>
        </w:rPr>
        <w:t xml:space="preserve"> </w:t>
      </w:r>
      <w:r>
        <w:t>o</w:t>
      </w:r>
      <w:r>
        <w:rPr>
          <w:spacing w:val="27"/>
        </w:rPr>
        <w:t xml:space="preserve"> </w:t>
      </w:r>
      <w:r>
        <w:t>comportamento</w:t>
      </w:r>
      <w:r>
        <w:rPr>
          <w:spacing w:val="27"/>
        </w:rPr>
        <w:t xml:space="preserve"> </w:t>
      </w:r>
      <w:r>
        <w:t>de</w:t>
      </w:r>
      <w:r>
        <w:rPr>
          <w:spacing w:val="25"/>
        </w:rPr>
        <w:t xml:space="preserve"> </w:t>
      </w:r>
      <w:r>
        <w:t>maneiras</w:t>
      </w:r>
      <w:r>
        <w:rPr>
          <w:spacing w:val="27"/>
        </w:rPr>
        <w:t xml:space="preserve"> </w:t>
      </w:r>
      <w:r>
        <w:t>específicas.</w:t>
      </w:r>
      <w:r>
        <w:rPr>
          <w:spacing w:val="27"/>
        </w:rPr>
        <w:t xml:space="preserve"> </w:t>
      </w:r>
      <w:r>
        <w:t>Um</w:t>
      </w:r>
      <w:r>
        <w:rPr>
          <w:spacing w:val="29"/>
        </w:rPr>
        <w:t xml:space="preserve"> </w:t>
      </w:r>
      <w:r>
        <w:t>dos</w:t>
      </w:r>
      <w:r>
        <w:rPr>
          <w:spacing w:val="27"/>
        </w:rPr>
        <w:t xml:space="preserve"> </w:t>
      </w:r>
      <w:r>
        <w:t>fundadores</w:t>
      </w:r>
      <w:r>
        <w:rPr>
          <w:spacing w:val="27"/>
        </w:rPr>
        <w:t xml:space="preserve"> </w:t>
      </w:r>
      <w:r>
        <w:rPr>
          <w:spacing w:val="-5"/>
        </w:rPr>
        <w:t>do</w:t>
      </w:r>
    </w:p>
    <w:p w:rsidR="007259F2" w:rsidRDefault="00DE6B1C">
      <w:pPr>
        <w:pStyle w:val="Corpodetexto"/>
        <w:spacing w:before="3"/>
        <w:ind w:left="0" w:firstLine="0"/>
        <w:jc w:val="left"/>
        <w:rPr>
          <w:sz w:val="18"/>
        </w:rPr>
      </w:pPr>
      <w:r w:rsidRPr="00DE6B1C">
        <w:rPr>
          <w:sz w:val="18"/>
        </w:rPr>
        <w:pict>
          <v:rect id="docshape113" o:spid="_x0000_s1115" style="position:absolute;margin-left:85.1pt;margin-top:11.7pt;width:2in;height:.7pt;z-index:-15681024;mso-wrap-distance-left:0;mso-wrap-distance-right:0;mso-position-horizontal-relative:page" fillcolor="black" stroked="f">
            <w10:wrap type="topAndBottom" anchorx="page"/>
          </v:rect>
        </w:pict>
      </w:r>
    </w:p>
    <w:p w:rsidR="007259F2" w:rsidRDefault="00E655B4">
      <w:pPr>
        <w:spacing w:before="97"/>
        <w:ind w:left="710" w:right="418"/>
        <w:jc w:val="both"/>
        <w:rPr>
          <w:sz w:val="20"/>
        </w:rPr>
      </w:pPr>
      <w:r>
        <w:rPr>
          <w:sz w:val="20"/>
          <w:vertAlign w:val="superscript"/>
        </w:rPr>
        <w:t>16</w:t>
      </w:r>
      <w:r>
        <w:rPr>
          <w:spacing w:val="80"/>
          <w:sz w:val="20"/>
        </w:rPr>
        <w:t xml:space="preserve"> </w:t>
      </w:r>
      <w:r>
        <w:rPr>
          <w:sz w:val="20"/>
        </w:rPr>
        <w:t xml:space="preserve">Em 2025 entra em domínio público a obra de Oswald de Andrade, que morreu, onde nasceu, no Piratininga aos 64 anos em 1954. Mas se dependesse dele isso já teria acontecido. O romance </w:t>
      </w:r>
      <w:r>
        <w:rPr>
          <w:i/>
          <w:sz w:val="20"/>
        </w:rPr>
        <w:t xml:space="preserve">Serafim Ponte Grande, </w:t>
      </w:r>
      <w:r>
        <w:rPr>
          <w:sz w:val="20"/>
        </w:rPr>
        <w:t>de 1933, se inicia com a licença: “Direito de ser traduzido, reproduzido e deformado em todas as línguas</w:t>
      </w:r>
      <w:r>
        <w:rPr>
          <w:spacing w:val="40"/>
          <w:sz w:val="20"/>
        </w:rPr>
        <w:t xml:space="preserve"> </w:t>
      </w:r>
      <w:r>
        <w:rPr>
          <w:sz w:val="20"/>
        </w:rPr>
        <w:t>— S. Paulo — 1933”.</w:t>
      </w:r>
    </w:p>
    <w:p w:rsidR="007259F2" w:rsidRDefault="007259F2">
      <w:pPr>
        <w:jc w:val="both"/>
        <w:rPr>
          <w:sz w:val="20"/>
        </w:rPr>
        <w:sectPr w:rsidR="007259F2">
          <w:pgSz w:w="11910" w:h="16840"/>
          <w:pgMar w:top="1600" w:right="708" w:bottom="1020" w:left="992" w:header="0" w:footer="820" w:gutter="0"/>
          <w:cols w:space="720"/>
        </w:sectPr>
      </w:pPr>
    </w:p>
    <w:p w:rsidR="007259F2" w:rsidRDefault="00E655B4">
      <w:pPr>
        <w:pStyle w:val="Corpodetexto"/>
        <w:spacing w:before="75"/>
        <w:ind w:right="422" w:firstLine="0"/>
      </w:pPr>
      <w:r>
        <w:lastRenderedPageBreak/>
        <w:t>Creative Commons, Lessig propõe a liberdade e a transparência como enfrentamento ao monopólio, que em vez de promover tende a frear a inovação e o desenvolvimento. Uma cultura livre, segundo ele, apoia e protege criadores inovadores, “garantindo direitos sobre a propriedade intelectual. Mas ela o faz também indiretamente limitando o alcance de tais direitos, garantindo que os futuros criadores e inovadores mantenham-se o mais livre possível dos controles do passado”. O</w:t>
      </w:r>
      <w:r>
        <w:rPr>
          <w:spacing w:val="-1"/>
        </w:rPr>
        <w:t xml:space="preserve"> </w:t>
      </w:r>
      <w:r>
        <w:t>oposto de</w:t>
      </w:r>
      <w:r>
        <w:rPr>
          <w:spacing w:val="-1"/>
        </w:rPr>
        <w:t xml:space="preserve"> </w:t>
      </w:r>
      <w:r>
        <w:t>uma cultura</w:t>
      </w:r>
      <w:r>
        <w:rPr>
          <w:spacing w:val="-3"/>
        </w:rPr>
        <w:t xml:space="preserve"> </w:t>
      </w:r>
      <w:r>
        <w:t>livre</w:t>
      </w:r>
      <w:r>
        <w:rPr>
          <w:spacing w:val="-1"/>
        </w:rPr>
        <w:t xml:space="preserve"> </w:t>
      </w:r>
      <w:r>
        <w:t>é</w:t>
      </w:r>
      <w:r>
        <w:rPr>
          <w:spacing w:val="-1"/>
        </w:rPr>
        <w:t xml:space="preserve"> </w:t>
      </w:r>
      <w:r>
        <w:t>uma “cultura</w:t>
      </w:r>
      <w:r>
        <w:rPr>
          <w:spacing w:val="-3"/>
        </w:rPr>
        <w:t xml:space="preserve"> </w:t>
      </w:r>
      <w:r>
        <w:t>da permissão — uma cultura na qual os criadores podem criar apenas com a permissão dos poderosos ou dos criadores do passado” (LESSIG, 2004, p. 14).</w:t>
      </w:r>
    </w:p>
    <w:p w:rsidR="007259F2" w:rsidRDefault="00E655B4">
      <w:pPr>
        <w:pStyle w:val="Corpodetexto"/>
        <w:ind w:right="422"/>
      </w:pPr>
      <w:r>
        <w:t>A lei trata, no art. 4º, de programas desenvolvidos durante vigência de contrato ou vínculo estatutário com órgão público, estabelecendo que, salvo estipulação em contrário, os direitos relativos pertencem exclusivamente ao empregador. Um software desenvolvido</w:t>
      </w:r>
      <w:r>
        <w:rPr>
          <w:spacing w:val="40"/>
        </w:rPr>
        <w:t xml:space="preserve"> </w:t>
      </w:r>
      <w:r>
        <w:t>nessas condições, quando o objeto do vínculo seja a realização do software em si, ou, então, atividade relacionada da qual decorra o desenvolvimento, é patrimônio público. O § 1º afirma que “a compensação do trabalho ou serviço prestado limitar-se-á à remuneração ou ao salário convencionado”, e o §3º acrescenta que isso também vale para quando a criação for de “bolsistas, estagiários e assemelhados”.</w:t>
      </w:r>
    </w:p>
    <w:p w:rsidR="007259F2" w:rsidRDefault="00E655B4">
      <w:pPr>
        <w:pStyle w:val="Corpodetexto"/>
        <w:spacing w:before="1"/>
        <w:ind w:right="422"/>
      </w:pPr>
      <w:r>
        <w:t>Em vez de comprar uma</w:t>
      </w:r>
      <w:r>
        <w:rPr>
          <w:spacing w:val="-1"/>
        </w:rPr>
        <w:t xml:space="preserve"> </w:t>
      </w:r>
      <w:r>
        <w:t>licença, que é o contrato típico previsto na lei, e que funciona como uma locação, de maneira que o contratante nada retém ao final, a</w:t>
      </w:r>
      <w:r>
        <w:rPr>
          <w:spacing w:val="-3"/>
        </w:rPr>
        <w:t xml:space="preserve"> </w:t>
      </w:r>
      <w:r>
        <w:t>Administração tem a opção de desenvolver o programa internamente e assim manter os direitos patrimoniais relativos a ele, podendo inclusive tornar o produto amplamente acessível ao público. Outra opção é</w:t>
      </w:r>
      <w:r>
        <w:rPr>
          <w:spacing w:val="-1"/>
        </w:rPr>
        <w:t xml:space="preserve"> </w:t>
      </w:r>
      <w:r>
        <w:t>a</w:t>
      </w:r>
      <w:r>
        <w:rPr>
          <w:spacing w:val="-11"/>
        </w:rPr>
        <w:t xml:space="preserve"> </w:t>
      </w:r>
      <w:r>
        <w:t>Administração contratar o</w:t>
      </w:r>
      <w:r>
        <w:rPr>
          <w:spacing w:val="-1"/>
        </w:rPr>
        <w:t xml:space="preserve"> </w:t>
      </w:r>
      <w:r>
        <w:t>desenvolvimento</w:t>
      </w:r>
      <w:r>
        <w:rPr>
          <w:spacing w:val="-1"/>
        </w:rPr>
        <w:t xml:space="preserve"> </w:t>
      </w:r>
      <w:r>
        <w:t>junto</w:t>
      </w:r>
      <w:r>
        <w:rPr>
          <w:spacing w:val="-1"/>
        </w:rPr>
        <w:t xml:space="preserve"> </w:t>
      </w:r>
      <w:r>
        <w:t>a</w:t>
      </w:r>
      <w:r>
        <w:rPr>
          <w:spacing w:val="-1"/>
        </w:rPr>
        <w:t xml:space="preserve"> </w:t>
      </w:r>
      <w:r>
        <w:t>empresa especializada,</w:t>
      </w:r>
      <w:r>
        <w:rPr>
          <w:spacing w:val="-1"/>
        </w:rPr>
        <w:t xml:space="preserve"> </w:t>
      </w:r>
      <w:r>
        <w:t>caso</w:t>
      </w:r>
      <w:r>
        <w:rPr>
          <w:spacing w:val="-1"/>
        </w:rPr>
        <w:t xml:space="preserve"> </w:t>
      </w:r>
      <w:r>
        <w:t>que veremos a seguir.</w:t>
      </w:r>
    </w:p>
    <w:p w:rsidR="007259F2" w:rsidRDefault="00E655B4">
      <w:pPr>
        <w:pStyle w:val="Heading2"/>
        <w:numPr>
          <w:ilvl w:val="0"/>
          <w:numId w:val="26"/>
        </w:numPr>
        <w:tabs>
          <w:tab w:val="left" w:pos="890"/>
        </w:tabs>
        <w:ind w:left="890" w:hanging="180"/>
        <w:jc w:val="left"/>
      </w:pPr>
      <w:r>
        <w:t>Contratações</w:t>
      </w:r>
      <w:r>
        <w:rPr>
          <w:spacing w:val="-6"/>
        </w:rPr>
        <w:t xml:space="preserve"> </w:t>
      </w:r>
      <w:r>
        <w:t>da</w:t>
      </w:r>
      <w:r>
        <w:rPr>
          <w:spacing w:val="-4"/>
        </w:rPr>
        <w:t xml:space="preserve"> </w:t>
      </w:r>
      <w:r>
        <w:t>Administração</w:t>
      </w:r>
      <w:r>
        <w:rPr>
          <w:spacing w:val="2"/>
        </w:rPr>
        <w:t xml:space="preserve"> </w:t>
      </w:r>
      <w:r>
        <w:rPr>
          <w:spacing w:val="-2"/>
        </w:rPr>
        <w:t>Pública</w:t>
      </w:r>
    </w:p>
    <w:p w:rsidR="007259F2" w:rsidRDefault="00E655B4">
      <w:pPr>
        <w:pStyle w:val="Corpodetexto"/>
        <w:spacing w:before="154"/>
        <w:ind w:right="423"/>
      </w:pPr>
      <w:r>
        <w:t>A supremacia do interesse público é o princípio que sustenta a Administração em seus atos. Por mais que se reconheça objeções à tal princípio, dada sua indefinição conceitual e a multiplicidade de interesses, é inequívoco que ao agente público cabe agir</w:t>
      </w:r>
      <w:r>
        <w:rPr>
          <w:spacing w:val="40"/>
        </w:rPr>
        <w:t xml:space="preserve"> </w:t>
      </w:r>
      <w:r>
        <w:t>impessoalmente, acima de crenças e interesses privados, em busca de soluções que, com o erário público, beneficiem</w:t>
      </w:r>
      <w:r>
        <w:rPr>
          <w:spacing w:val="-1"/>
        </w:rPr>
        <w:t xml:space="preserve"> </w:t>
      </w:r>
      <w:r>
        <w:t>a</w:t>
      </w:r>
      <w:r>
        <w:rPr>
          <w:spacing w:val="-1"/>
        </w:rPr>
        <w:t xml:space="preserve"> </w:t>
      </w:r>
      <w:r>
        <w:t>coletividade.</w:t>
      </w:r>
      <w:r>
        <w:rPr>
          <w:spacing w:val="-1"/>
        </w:rPr>
        <w:t xml:space="preserve"> </w:t>
      </w:r>
      <w:r>
        <w:t>A</w:t>
      </w:r>
      <w:r>
        <w:rPr>
          <w:spacing w:val="-2"/>
        </w:rPr>
        <w:t xml:space="preserve"> </w:t>
      </w:r>
      <w:r>
        <w:t>este</w:t>
      </w:r>
      <w:r>
        <w:rPr>
          <w:spacing w:val="-2"/>
        </w:rPr>
        <w:t xml:space="preserve"> </w:t>
      </w:r>
      <w:r>
        <w:t>respeito,</w:t>
      </w:r>
      <w:r>
        <w:rPr>
          <w:spacing w:val="-1"/>
        </w:rPr>
        <w:t xml:space="preserve"> </w:t>
      </w:r>
      <w:r>
        <w:t>fugindo</w:t>
      </w:r>
      <w:r>
        <w:rPr>
          <w:spacing w:val="-2"/>
        </w:rPr>
        <w:t xml:space="preserve"> </w:t>
      </w:r>
      <w:r>
        <w:t>de</w:t>
      </w:r>
      <w:r>
        <w:rPr>
          <w:spacing w:val="-2"/>
        </w:rPr>
        <w:t xml:space="preserve"> </w:t>
      </w:r>
      <w:r>
        <w:t>uma</w:t>
      </w:r>
      <w:r>
        <w:rPr>
          <w:spacing w:val="-2"/>
        </w:rPr>
        <w:t xml:space="preserve"> </w:t>
      </w:r>
      <w:r>
        <w:t>concepção</w:t>
      </w:r>
      <w:r>
        <w:rPr>
          <w:spacing w:val="40"/>
        </w:rPr>
        <w:t xml:space="preserve"> </w:t>
      </w:r>
      <w:r>
        <w:t>inocente,</w:t>
      </w:r>
      <w:r>
        <w:rPr>
          <w:spacing w:val="-2"/>
        </w:rPr>
        <w:t xml:space="preserve"> </w:t>
      </w:r>
      <w:r>
        <w:t>supostamente neutra,</w:t>
      </w:r>
      <w:r>
        <w:rPr>
          <w:spacing w:val="-2"/>
        </w:rPr>
        <w:t xml:space="preserve"> </w:t>
      </w:r>
      <w:r>
        <w:t>citamos a</w:t>
      </w:r>
      <w:r>
        <w:rPr>
          <w:spacing w:val="-3"/>
        </w:rPr>
        <w:t xml:space="preserve"> </w:t>
      </w:r>
      <w:r>
        <w:t>abordagem</w:t>
      </w:r>
      <w:r>
        <w:rPr>
          <w:spacing w:val="-2"/>
        </w:rPr>
        <w:t xml:space="preserve"> </w:t>
      </w:r>
      <w:r>
        <w:t>de</w:t>
      </w:r>
      <w:r>
        <w:rPr>
          <w:spacing w:val="-3"/>
        </w:rPr>
        <w:t xml:space="preserve"> </w:t>
      </w:r>
      <w:r>
        <w:t>Nohara, que</w:t>
      </w:r>
      <w:r>
        <w:rPr>
          <w:spacing w:val="-3"/>
        </w:rPr>
        <w:t xml:space="preserve"> </w:t>
      </w:r>
      <w:r>
        <w:t>destaca</w:t>
      </w:r>
      <w:r>
        <w:rPr>
          <w:spacing w:val="-3"/>
        </w:rPr>
        <w:t xml:space="preserve"> </w:t>
      </w:r>
      <w:r>
        <w:t>que</w:t>
      </w:r>
      <w:r>
        <w:rPr>
          <w:spacing w:val="-3"/>
        </w:rPr>
        <w:t xml:space="preserve"> </w:t>
      </w:r>
      <w:r>
        <w:t>a</w:t>
      </w:r>
      <w:r>
        <w:rPr>
          <w:spacing w:val="-1"/>
        </w:rPr>
        <w:t xml:space="preserve"> </w:t>
      </w:r>
      <w:r>
        <w:t>expressão</w:t>
      </w:r>
      <w:r>
        <w:rPr>
          <w:spacing w:val="-2"/>
        </w:rPr>
        <w:t xml:space="preserve"> </w:t>
      </w:r>
      <w:r>
        <w:t>não pode</w:t>
      </w:r>
      <w:r>
        <w:rPr>
          <w:spacing w:val="-3"/>
        </w:rPr>
        <w:t xml:space="preserve"> </w:t>
      </w:r>
      <w:r>
        <w:t>ser</w:t>
      </w:r>
      <w:r>
        <w:rPr>
          <w:spacing w:val="-2"/>
        </w:rPr>
        <w:t xml:space="preserve"> </w:t>
      </w:r>
      <w:r>
        <w:t>vista</w:t>
      </w:r>
      <w:r>
        <w:rPr>
          <w:spacing w:val="-1"/>
        </w:rPr>
        <w:t xml:space="preserve"> </w:t>
      </w:r>
      <w:r>
        <w:t>de</w:t>
      </w:r>
      <w:r>
        <w:rPr>
          <w:spacing w:val="-3"/>
        </w:rPr>
        <w:t xml:space="preserve"> </w:t>
      </w:r>
      <w:r>
        <w:t>um ponto singular, uma vez que há variados interesses públicos no âmbito do direito público. Segundo a autora, é importante acrescentar ao contexto a noção de ideologia: “O poder político, em sentido amplo, engloba a possibilidade de orientar a condução dos negócios públicos, se necessário com o uso da coerção”. O uso da força, “se legitima nos sistemas democráticos a partir da tentativa de obtenção de valores e aspirações sociais da comunidade” (2024, p. 47).</w:t>
      </w:r>
    </w:p>
    <w:p w:rsidR="007259F2" w:rsidRDefault="00E655B4">
      <w:pPr>
        <w:pStyle w:val="Corpodetexto"/>
        <w:spacing w:before="1"/>
        <w:ind w:right="422"/>
      </w:pPr>
      <w:r>
        <w:t>Di Pietro (2023, p.110) registra como a ampliação de atividades assumidas pelo</w:t>
      </w:r>
      <w:r>
        <w:rPr>
          <w:spacing w:val="80"/>
        </w:rPr>
        <w:t xml:space="preserve"> </w:t>
      </w:r>
      <w:r>
        <w:t>Estado</w:t>
      </w:r>
      <w:r>
        <w:rPr>
          <w:spacing w:val="-1"/>
        </w:rPr>
        <w:t xml:space="preserve"> </w:t>
      </w:r>
      <w:r>
        <w:t>em nome do interesse público foi absorvida pelo sistema constitucional sob a forma</w:t>
      </w:r>
      <w:r>
        <w:rPr>
          <w:spacing w:val="-1"/>
        </w:rPr>
        <w:t xml:space="preserve"> </w:t>
      </w:r>
      <w:r>
        <w:t>de novos preceitos que revelam a interferência na ordem econômica e no direito de propriedade, como normas que possibilitam intervenção do Poder Público no funcionamento de empresas ou que garantem ao Estado certas propriedades como as de jazidas minerais, ou, ainda, as possibilidades de desapropriação por razões de utilidade pública ou de interesse social.</w:t>
      </w:r>
    </w:p>
    <w:p w:rsidR="007259F2" w:rsidRDefault="00E655B4">
      <w:pPr>
        <w:pStyle w:val="Corpodetexto"/>
        <w:ind w:right="422"/>
      </w:pPr>
      <w:r>
        <w:t>Um</w:t>
      </w:r>
      <w:r>
        <w:rPr>
          <w:spacing w:val="-1"/>
        </w:rPr>
        <w:t xml:space="preserve"> </w:t>
      </w:r>
      <w:r>
        <w:t>exemplo</w:t>
      </w:r>
      <w:r>
        <w:rPr>
          <w:spacing w:val="-3"/>
        </w:rPr>
        <w:t xml:space="preserve"> </w:t>
      </w:r>
      <w:r>
        <w:t>do</w:t>
      </w:r>
      <w:r>
        <w:rPr>
          <w:spacing w:val="-1"/>
        </w:rPr>
        <w:t xml:space="preserve"> </w:t>
      </w:r>
      <w:r>
        <w:t>uso</w:t>
      </w:r>
      <w:r>
        <w:rPr>
          <w:spacing w:val="-3"/>
        </w:rPr>
        <w:t xml:space="preserve"> </w:t>
      </w:r>
      <w:r>
        <w:t>de</w:t>
      </w:r>
      <w:r>
        <w:rPr>
          <w:spacing w:val="-2"/>
        </w:rPr>
        <w:t xml:space="preserve"> </w:t>
      </w:r>
      <w:r>
        <w:t>coerção</w:t>
      </w:r>
      <w:r>
        <w:rPr>
          <w:spacing w:val="-1"/>
        </w:rPr>
        <w:t xml:space="preserve"> </w:t>
      </w:r>
      <w:r>
        <w:t>na</w:t>
      </w:r>
      <w:r>
        <w:rPr>
          <w:spacing w:val="-2"/>
        </w:rPr>
        <w:t xml:space="preserve"> </w:t>
      </w:r>
      <w:r>
        <w:t>propriedade</w:t>
      </w:r>
      <w:r>
        <w:rPr>
          <w:spacing w:val="-2"/>
        </w:rPr>
        <w:t xml:space="preserve"> </w:t>
      </w:r>
      <w:r>
        <w:t>intelectual</w:t>
      </w:r>
      <w:r>
        <w:rPr>
          <w:spacing w:val="-1"/>
        </w:rPr>
        <w:t xml:space="preserve"> </w:t>
      </w:r>
      <w:r>
        <w:t>é</w:t>
      </w:r>
      <w:r>
        <w:rPr>
          <w:spacing w:val="-2"/>
        </w:rPr>
        <w:t xml:space="preserve"> </w:t>
      </w:r>
      <w:r>
        <w:t>a</w:t>
      </w:r>
      <w:r>
        <w:rPr>
          <w:spacing w:val="-2"/>
        </w:rPr>
        <w:t xml:space="preserve"> </w:t>
      </w:r>
      <w:r>
        <w:t>quebra</w:t>
      </w:r>
      <w:r>
        <w:rPr>
          <w:spacing w:val="-2"/>
        </w:rPr>
        <w:t xml:space="preserve"> </w:t>
      </w:r>
      <w:r>
        <w:t>de</w:t>
      </w:r>
      <w:r>
        <w:rPr>
          <w:spacing w:val="-2"/>
        </w:rPr>
        <w:t xml:space="preserve"> </w:t>
      </w:r>
      <w:r>
        <w:t>patente.</w:t>
      </w:r>
      <w:r>
        <w:rPr>
          <w:spacing w:val="-2"/>
        </w:rPr>
        <w:t xml:space="preserve"> </w:t>
      </w:r>
      <w:r>
        <w:t>A Lei Federal nº 9.279/1996, que regula a propriedade industrial, prevê no art. 68 a licença compulsória, determinada judicial ou administrativamente, para casos em que o titular do direito o exerce de forma abusiva, abusa de poder econômico ou não realiza a exploração em território</w:t>
      </w:r>
      <w:r>
        <w:rPr>
          <w:spacing w:val="-3"/>
        </w:rPr>
        <w:t xml:space="preserve"> </w:t>
      </w:r>
      <w:r>
        <w:t>brasileiro.</w:t>
      </w:r>
      <w:r>
        <w:rPr>
          <w:spacing w:val="-1"/>
        </w:rPr>
        <w:t xml:space="preserve"> </w:t>
      </w:r>
      <w:r>
        <w:t>A</w:t>
      </w:r>
      <w:r>
        <w:rPr>
          <w:spacing w:val="-3"/>
        </w:rPr>
        <w:t xml:space="preserve"> </w:t>
      </w:r>
      <w:r>
        <w:t>necessidade</w:t>
      </w:r>
      <w:r>
        <w:rPr>
          <w:spacing w:val="-4"/>
        </w:rPr>
        <w:t xml:space="preserve"> </w:t>
      </w:r>
      <w:r>
        <w:t>de</w:t>
      </w:r>
      <w:r>
        <w:rPr>
          <w:spacing w:val="-2"/>
        </w:rPr>
        <w:t xml:space="preserve"> </w:t>
      </w:r>
      <w:r>
        <w:t>atuação</w:t>
      </w:r>
      <w:r>
        <w:rPr>
          <w:spacing w:val="-3"/>
        </w:rPr>
        <w:t xml:space="preserve"> </w:t>
      </w:r>
      <w:r>
        <w:t>neste</w:t>
      </w:r>
      <w:r>
        <w:rPr>
          <w:spacing w:val="-4"/>
        </w:rPr>
        <w:t xml:space="preserve"> </w:t>
      </w:r>
      <w:r>
        <w:t>sentido</w:t>
      </w:r>
      <w:r>
        <w:rPr>
          <w:spacing w:val="-3"/>
        </w:rPr>
        <w:t xml:space="preserve"> </w:t>
      </w:r>
      <w:r>
        <w:t>ficou</w:t>
      </w:r>
      <w:r>
        <w:rPr>
          <w:spacing w:val="-3"/>
        </w:rPr>
        <w:t xml:space="preserve"> </w:t>
      </w:r>
      <w:r>
        <w:t>evidente</w:t>
      </w:r>
      <w:r>
        <w:rPr>
          <w:spacing w:val="-1"/>
        </w:rPr>
        <w:t xml:space="preserve"> </w:t>
      </w:r>
      <w:r>
        <w:t>durante</w:t>
      </w:r>
      <w:r>
        <w:rPr>
          <w:spacing w:val="-4"/>
        </w:rPr>
        <w:t xml:space="preserve"> </w:t>
      </w:r>
      <w:r>
        <w:t>a</w:t>
      </w:r>
      <w:r>
        <w:rPr>
          <w:spacing w:val="-4"/>
        </w:rPr>
        <w:t xml:space="preserve"> </w:t>
      </w:r>
      <w:r>
        <w:t>pandemia da Covid-19, e resultou em alteração legislativa que incluiu no art. 71 “casos de emergência nacional ou internacional ou de interesse público declarados em lei ou em ato do Poder Executivo</w:t>
      </w:r>
      <w:r>
        <w:rPr>
          <w:spacing w:val="5"/>
        </w:rPr>
        <w:t xml:space="preserve"> </w:t>
      </w:r>
      <w:r>
        <w:t>federal,</w:t>
      </w:r>
      <w:r>
        <w:rPr>
          <w:spacing w:val="6"/>
        </w:rPr>
        <w:t xml:space="preserve"> </w:t>
      </w:r>
      <w:r>
        <w:t>ou</w:t>
      </w:r>
      <w:r>
        <w:rPr>
          <w:spacing w:val="6"/>
        </w:rPr>
        <w:t xml:space="preserve"> </w:t>
      </w:r>
      <w:r>
        <w:t>de</w:t>
      </w:r>
      <w:r>
        <w:rPr>
          <w:spacing w:val="7"/>
        </w:rPr>
        <w:t xml:space="preserve"> </w:t>
      </w:r>
      <w:r>
        <w:t>reconhecimento</w:t>
      </w:r>
      <w:r>
        <w:rPr>
          <w:spacing w:val="7"/>
        </w:rPr>
        <w:t xml:space="preserve"> </w:t>
      </w:r>
      <w:r>
        <w:t>de</w:t>
      </w:r>
      <w:r>
        <w:rPr>
          <w:spacing w:val="5"/>
        </w:rPr>
        <w:t xml:space="preserve"> </w:t>
      </w:r>
      <w:r>
        <w:t>estado</w:t>
      </w:r>
      <w:r>
        <w:rPr>
          <w:spacing w:val="5"/>
        </w:rPr>
        <w:t xml:space="preserve"> </w:t>
      </w:r>
      <w:r>
        <w:t>de</w:t>
      </w:r>
      <w:r>
        <w:rPr>
          <w:spacing w:val="6"/>
        </w:rPr>
        <w:t xml:space="preserve"> </w:t>
      </w:r>
      <w:r>
        <w:t>calamidade</w:t>
      </w:r>
      <w:r>
        <w:rPr>
          <w:spacing w:val="4"/>
        </w:rPr>
        <w:t xml:space="preserve"> </w:t>
      </w:r>
      <w:r>
        <w:t>pública</w:t>
      </w:r>
      <w:r>
        <w:rPr>
          <w:spacing w:val="6"/>
        </w:rPr>
        <w:t xml:space="preserve"> </w:t>
      </w:r>
      <w:r>
        <w:t>de</w:t>
      </w:r>
      <w:r>
        <w:rPr>
          <w:spacing w:val="5"/>
        </w:rPr>
        <w:t xml:space="preserve"> </w:t>
      </w:r>
      <w:r>
        <w:t>âmbito</w:t>
      </w:r>
      <w:r>
        <w:rPr>
          <w:spacing w:val="7"/>
        </w:rPr>
        <w:t xml:space="preserve"> </w:t>
      </w:r>
      <w:r>
        <w:rPr>
          <w:spacing w:val="-2"/>
        </w:rPr>
        <w:t>nacional</w:t>
      </w:r>
    </w:p>
    <w:p w:rsidR="007259F2" w:rsidRDefault="007259F2">
      <w:pPr>
        <w:pStyle w:val="Corpodetexto"/>
        <w:sectPr w:rsidR="007259F2">
          <w:pgSz w:w="11910" w:h="16840"/>
          <w:pgMar w:top="1600" w:right="708" w:bottom="1020" w:left="992" w:header="0" w:footer="820" w:gutter="0"/>
          <w:cols w:space="720"/>
        </w:sectPr>
      </w:pPr>
    </w:p>
    <w:p w:rsidR="007259F2" w:rsidRDefault="00E655B4">
      <w:pPr>
        <w:pStyle w:val="Corpodetexto"/>
        <w:spacing w:before="75"/>
        <w:ind w:right="424" w:firstLine="0"/>
      </w:pPr>
      <w:r>
        <w:lastRenderedPageBreak/>
        <w:t>pelo Congresso Nacional”, em que a licença compulsória poderá ser concedida de ofício, temporária e não exclusiva, “desde que seu titular ou seu licenciado não atenda a essa necessidade”.</w:t>
      </w:r>
      <w:r>
        <w:rPr>
          <w:spacing w:val="-1"/>
        </w:rPr>
        <w:t xml:space="preserve"> </w:t>
      </w:r>
      <w:r>
        <w:t>Em espírito</w:t>
      </w:r>
      <w:r>
        <w:rPr>
          <w:spacing w:val="-1"/>
        </w:rPr>
        <w:t xml:space="preserve"> </w:t>
      </w:r>
      <w:r>
        <w:t>solidário, o</w:t>
      </w:r>
      <w:r>
        <w:rPr>
          <w:spacing w:val="-1"/>
        </w:rPr>
        <w:t xml:space="preserve"> </w:t>
      </w:r>
      <w:r>
        <w:t>art.</w:t>
      </w:r>
      <w:r>
        <w:rPr>
          <w:spacing w:val="-1"/>
        </w:rPr>
        <w:t xml:space="preserve"> </w:t>
      </w:r>
      <w:r>
        <w:t>71-A</w:t>
      </w:r>
      <w:r>
        <w:rPr>
          <w:spacing w:val="-2"/>
        </w:rPr>
        <w:t xml:space="preserve"> </w:t>
      </w:r>
      <w:r>
        <w:t>inclusive</w:t>
      </w:r>
      <w:r>
        <w:rPr>
          <w:spacing w:val="-1"/>
        </w:rPr>
        <w:t xml:space="preserve"> </w:t>
      </w:r>
      <w:r>
        <w:t>afirma</w:t>
      </w:r>
      <w:r>
        <w:rPr>
          <w:spacing w:val="-1"/>
        </w:rPr>
        <w:t xml:space="preserve"> </w:t>
      </w:r>
      <w:r>
        <w:t>que,</w:t>
      </w:r>
      <w:r>
        <w:rPr>
          <w:spacing w:val="-1"/>
        </w:rPr>
        <w:t xml:space="preserve"> </w:t>
      </w:r>
      <w:r>
        <w:t>por</w:t>
      </w:r>
      <w:r>
        <w:rPr>
          <w:spacing w:val="-1"/>
        </w:rPr>
        <w:t xml:space="preserve"> </w:t>
      </w:r>
      <w:r>
        <w:t>razões</w:t>
      </w:r>
      <w:r>
        <w:rPr>
          <w:spacing w:val="-1"/>
        </w:rPr>
        <w:t xml:space="preserve"> </w:t>
      </w:r>
      <w:r>
        <w:t>humanitárias, as patentes poderão ser concedidas “a países com insuficiente ou nenhuma capacidade de fabricação no setor farmacêutico para atendimento de sua população”.</w:t>
      </w:r>
    </w:p>
    <w:p w:rsidR="007259F2" w:rsidRDefault="00E655B4">
      <w:pPr>
        <w:pStyle w:val="Corpodetexto"/>
        <w:ind w:right="425"/>
      </w:pPr>
      <w:r>
        <w:t>Embora não exista quebra de patente para programas de computador, uma vez que são institutos diversos, o caso serve para refletir sobre o interesse público envolvido no exercício da Administração. A patente é propriedade industrial, que não é revestida da pessoalidade do direito autoral, e deste último deriva a legislação aplicável a programas de computador.</w:t>
      </w:r>
    </w:p>
    <w:p w:rsidR="007259F2" w:rsidRDefault="00E655B4">
      <w:pPr>
        <w:pStyle w:val="Corpodetexto"/>
        <w:ind w:right="422"/>
      </w:pPr>
      <w:r>
        <w:t>Os direitos patrimoniais</w:t>
      </w:r>
      <w:r>
        <w:rPr>
          <w:spacing w:val="-1"/>
        </w:rPr>
        <w:t xml:space="preserve"> </w:t>
      </w:r>
      <w:r>
        <w:t>relativos a programas de computador, por sua vez, estão aptos a entrarem para o patrimônio público, como no mencionado caso do art. 4º da Lei de</w:t>
      </w:r>
      <w:r>
        <w:rPr>
          <w:spacing w:val="40"/>
        </w:rPr>
        <w:t xml:space="preserve"> </w:t>
      </w:r>
      <w:r>
        <w:t>Software. O Código Civil disciplina no art. 99 os bens públicos ao considerar assim aqueles bens do domínio nacional pertencentes às pessoas jurídicas de direito público interno, classificando-os entre bens de uso comum do povo “tais como rios, mares, estradas, ruas e praças”, os de uso especial, destinados a serviço ou estabelecimento da administração, e os dominicais “que constituem o patrimônio das pessoas jurídicas de direito público, como</w:t>
      </w:r>
      <w:r>
        <w:rPr>
          <w:spacing w:val="40"/>
        </w:rPr>
        <w:t xml:space="preserve"> </w:t>
      </w:r>
      <w:r>
        <w:t>objeto de direito pessoal, ou real, de cada uma dessas entidades”. A Lei Orgânica do Município de São Paulo, na mesma direção do Código Civil, afirma no art. 110 que constituem “bens municipais todas as coisas móveis e imóveis, semoventes, direitos e ações que, a qualquer título, pertençam ao Município”. O parágrafo segundo, por sua vez, prevê que “os bens municipais destinar-se-ão prioritariamente ao uso público, (...) garantindo-se sempre o interesse social”.</w:t>
      </w:r>
    </w:p>
    <w:p w:rsidR="007259F2" w:rsidRDefault="00E655B4">
      <w:pPr>
        <w:pStyle w:val="Corpodetexto"/>
        <w:spacing w:before="1"/>
        <w:ind w:right="421"/>
      </w:pPr>
      <w:r>
        <w:t>A classificação, que é não exaustiva, trata a propriedade como escassa – o bem destinado ao funcionamento da Administração não pode ao mesmo tempo servir ao uso comum do povo. Não ocorre assim com bens intangíveis, não escassos. É possível pensar que um software seja, ao mesmo tempo, destinado ao funcionamento da Administração e disponível a qualquer munícipe. Se o dinheiro público financiou o desenvolvimento de um programa, é, aliás, justo que o produto esteja amplamente disponível ao público – questões técnicas à parte, como a segurança de dados sigilosos ou o controle de atos oficiais.</w:t>
      </w:r>
    </w:p>
    <w:p w:rsidR="007259F2" w:rsidRDefault="00E655B4">
      <w:pPr>
        <w:pStyle w:val="Corpodetexto"/>
        <w:ind w:right="418"/>
      </w:pPr>
      <w:r>
        <w:t>De todo modo, a classificação obedece à destinação, e esta se dá pela afetação, que é “o fato administrativo pelo qual se atribui ao bem público uma destinação pública especial de interesse direto ou indireto da Administração. E a desafetação é o inverso: é o fato administrativo pelo qual</w:t>
      </w:r>
      <w:r>
        <w:rPr>
          <w:spacing w:val="-1"/>
        </w:rPr>
        <w:t xml:space="preserve"> </w:t>
      </w:r>
      <w:r>
        <w:t>um bem</w:t>
      </w:r>
      <w:r>
        <w:rPr>
          <w:spacing w:val="-1"/>
        </w:rPr>
        <w:t xml:space="preserve"> </w:t>
      </w:r>
      <w:r>
        <w:t>público é</w:t>
      </w:r>
      <w:r>
        <w:rPr>
          <w:spacing w:val="-3"/>
        </w:rPr>
        <w:t xml:space="preserve"> </w:t>
      </w:r>
      <w:r>
        <w:t>desativado, deixando de</w:t>
      </w:r>
      <w:r>
        <w:rPr>
          <w:spacing w:val="-3"/>
        </w:rPr>
        <w:t xml:space="preserve"> </w:t>
      </w:r>
      <w:r>
        <w:t>servir à</w:t>
      </w:r>
      <w:r>
        <w:rPr>
          <w:spacing w:val="-3"/>
        </w:rPr>
        <w:t xml:space="preserve"> </w:t>
      </w:r>
      <w:r>
        <w:t>finalidade</w:t>
      </w:r>
      <w:r>
        <w:rPr>
          <w:spacing w:val="-3"/>
        </w:rPr>
        <w:t xml:space="preserve"> </w:t>
      </w:r>
      <w:r>
        <w:t>pública anterior” (CARVALHO FILHO, 2023, p. 1009). Afetação é instrumento típico do direito administrativo, uma vez que consiste na consagração de um bem à utilidade pública. O que</w:t>
      </w:r>
      <w:r>
        <w:rPr>
          <w:spacing w:val="40"/>
        </w:rPr>
        <w:t xml:space="preserve"> </w:t>
      </w:r>
      <w:r>
        <w:t>era do domínio privado do Estado passa a integrar, por lei ou ato administrativo, o domínio público. O inverso também pode ocorrer com a desafetação, e o que era de domínio público passa ao domínio privado. A LOMSP atribui “ao Prefeito a administração dos bens municipais, respeitada a competência da</w:t>
      </w:r>
      <w:r>
        <w:rPr>
          <w:spacing w:val="-1"/>
        </w:rPr>
        <w:t xml:space="preserve"> </w:t>
      </w:r>
      <w:r>
        <w:t>Câmara Municipal quanto</w:t>
      </w:r>
      <w:r>
        <w:rPr>
          <w:spacing w:val="-1"/>
        </w:rPr>
        <w:t xml:space="preserve"> </w:t>
      </w:r>
      <w:r>
        <w:t>àqueles utilizados em</w:t>
      </w:r>
      <w:r>
        <w:rPr>
          <w:spacing w:val="-1"/>
        </w:rPr>
        <w:t xml:space="preserve"> </w:t>
      </w:r>
      <w:r>
        <w:t>seus serviços” (art. 111), e prevê que “os bens municipais poderão ser utilizados por terceiros, mediante concessão, permissão, autorização e locação social, conforme o caso e o interesse público ou social, devidamente justificado, o exigir” (art. 114).</w:t>
      </w:r>
    </w:p>
    <w:p w:rsidR="007259F2" w:rsidRDefault="00E655B4">
      <w:pPr>
        <w:pStyle w:val="Corpodetexto"/>
        <w:ind w:right="421"/>
      </w:pPr>
      <w:r>
        <w:t>O Estado passa a ser proprietário de bens quando os incorpora ao patrimônio público, por meio de lei ou contratualmente. Os contratos de aquisição são “celebrados sob o regime</w:t>
      </w:r>
      <w:r>
        <w:rPr>
          <w:spacing w:val="40"/>
        </w:rPr>
        <w:t xml:space="preserve"> </w:t>
      </w:r>
      <w:r>
        <w:t>de direito privado, embora respeitando as limitações e princípios do Direito Administrativo, inclusive, o dever de licitar, conforme art. 37, XXI da Constituição Federal” (Carvalho, 2024, p.1385). O artigo 117 da Constituição Paulista, confirmando o dispositivo, diz que “ressalvados casos especificados na legislação”, a contratação de serviços, compras e alienações serão realizadas “mediante processo de licitação pública, que assegure igualdade</w:t>
      </w:r>
      <w:r>
        <w:rPr>
          <w:spacing w:val="40"/>
        </w:rPr>
        <w:t xml:space="preserve"> </w:t>
      </w:r>
      <w:r>
        <w:t>de</w:t>
      </w:r>
      <w:r>
        <w:rPr>
          <w:spacing w:val="58"/>
          <w:w w:val="150"/>
        </w:rPr>
        <w:t xml:space="preserve"> </w:t>
      </w:r>
      <w:r>
        <w:t>condições</w:t>
      </w:r>
      <w:r>
        <w:rPr>
          <w:spacing w:val="62"/>
          <w:w w:val="150"/>
        </w:rPr>
        <w:t xml:space="preserve"> </w:t>
      </w:r>
      <w:r>
        <w:t>a</w:t>
      </w:r>
      <w:r>
        <w:rPr>
          <w:spacing w:val="60"/>
          <w:w w:val="150"/>
        </w:rPr>
        <w:t xml:space="preserve"> </w:t>
      </w:r>
      <w:r>
        <w:t>todos</w:t>
      </w:r>
      <w:r>
        <w:rPr>
          <w:spacing w:val="62"/>
          <w:w w:val="150"/>
        </w:rPr>
        <w:t xml:space="preserve"> </w:t>
      </w:r>
      <w:r>
        <w:t>os</w:t>
      </w:r>
      <w:r>
        <w:rPr>
          <w:spacing w:val="62"/>
          <w:w w:val="150"/>
        </w:rPr>
        <w:t xml:space="preserve"> </w:t>
      </w:r>
      <w:r>
        <w:t>concorrentes,</w:t>
      </w:r>
      <w:r>
        <w:rPr>
          <w:spacing w:val="61"/>
          <w:w w:val="150"/>
        </w:rPr>
        <w:t xml:space="preserve"> </w:t>
      </w:r>
      <w:r>
        <w:t>com</w:t>
      </w:r>
      <w:r>
        <w:rPr>
          <w:spacing w:val="62"/>
          <w:w w:val="150"/>
        </w:rPr>
        <w:t xml:space="preserve"> </w:t>
      </w:r>
      <w:r>
        <w:t>cláusulas</w:t>
      </w:r>
      <w:r>
        <w:rPr>
          <w:spacing w:val="61"/>
          <w:w w:val="150"/>
        </w:rPr>
        <w:t xml:space="preserve"> </w:t>
      </w:r>
      <w:r>
        <w:t>que</w:t>
      </w:r>
      <w:r>
        <w:rPr>
          <w:spacing w:val="60"/>
          <w:w w:val="150"/>
        </w:rPr>
        <w:t xml:space="preserve"> </w:t>
      </w:r>
      <w:r>
        <w:t>estabeleçam</w:t>
      </w:r>
      <w:r>
        <w:rPr>
          <w:spacing w:val="62"/>
          <w:w w:val="150"/>
        </w:rPr>
        <w:t xml:space="preserve"> </w:t>
      </w:r>
      <w:r>
        <w:t>obrigações</w:t>
      </w:r>
      <w:r>
        <w:rPr>
          <w:spacing w:val="62"/>
          <w:w w:val="150"/>
        </w:rPr>
        <w:t xml:space="preserve"> </w:t>
      </w:r>
      <w:r>
        <w:rPr>
          <w:spacing w:val="-5"/>
        </w:rPr>
        <w:t>de</w:t>
      </w:r>
    </w:p>
    <w:p w:rsidR="007259F2" w:rsidRDefault="007259F2">
      <w:pPr>
        <w:pStyle w:val="Corpodetexto"/>
        <w:sectPr w:rsidR="007259F2">
          <w:pgSz w:w="11910" w:h="16840"/>
          <w:pgMar w:top="1600" w:right="708" w:bottom="1020" w:left="992" w:header="0" w:footer="820" w:gutter="0"/>
          <w:cols w:space="720"/>
        </w:sectPr>
      </w:pPr>
    </w:p>
    <w:p w:rsidR="007259F2" w:rsidRDefault="00E655B4">
      <w:pPr>
        <w:pStyle w:val="Corpodetexto"/>
        <w:spacing w:before="75"/>
        <w:ind w:right="424" w:firstLine="0"/>
      </w:pPr>
      <w:r>
        <w:lastRenderedPageBreak/>
        <w:t>pagamento”. Com relação a programas de computador, a compra pode se dar com aquisição de licença, caso em que terá direito apenas de uso, ou contrato que envolva a transferência de direitos patrimoniais. Pode, ainda, contratar a prestação de serviço de desenvolvimento do programa. De todo modo, as compras públicas submetem-se ao regime licitatório instituído pela Lei Federal nº 14.133/2021, que tratou especificamente do contrato de desenvolvimento.</w:t>
      </w:r>
    </w:p>
    <w:p w:rsidR="007259F2" w:rsidRDefault="00E655B4">
      <w:pPr>
        <w:pStyle w:val="Corpodetexto"/>
        <w:ind w:right="422"/>
      </w:pPr>
      <w:r>
        <w:t>A lei anterior, Lei Federal nº 8.666/1993, trazia dentre as disposições transitórias, no art. 111, que a Administração só poderia “contratar, pagar, premiar ou receber projeto ou serviço técnico especializado” desde que o autor cedesse os direitos patrimoniais a ele relativos, e que a Administração pudesse utilizá-lo de acordo com o previsto no regulamento de concurso ou no ajuste para sua elaboração. Previa, ainda, para quando tratar-se de obra imaterial de caráter tecnológico, insuscetível de privilégio, que a cessão dos direitos incluiria “o fornecimento de todos os dados, documentos e elementos de informação pertinentes à tecnologia de concepção, desenvolvimento, fixação em suporte físico de qualquer natureza e aplicação da obra”. A lei atual, Lei Federal nº 14.133/2021 tem o seguinte conteúdo:</w:t>
      </w:r>
    </w:p>
    <w:p w:rsidR="007259F2" w:rsidRDefault="007259F2">
      <w:pPr>
        <w:pStyle w:val="Corpodetexto"/>
        <w:spacing w:before="2"/>
        <w:ind w:left="0" w:firstLine="0"/>
        <w:jc w:val="left"/>
      </w:pPr>
    </w:p>
    <w:p w:rsidR="007259F2" w:rsidRDefault="00E655B4">
      <w:pPr>
        <w:spacing w:before="1"/>
        <w:ind w:left="2978" w:right="419"/>
        <w:jc w:val="both"/>
        <w:rPr>
          <w:sz w:val="20"/>
        </w:rPr>
      </w:pPr>
      <w:r>
        <w:rPr>
          <w:sz w:val="20"/>
        </w:rPr>
        <w:t>Art. 93. Nas contratações de projetos ou de serviços técnicos especializados, inclusi- ve daqueles que contemplem o desenvolvimento de programas e aplicações de inter- net para computadores, máquinas, equipamentos e dispositivos de tratamento e de comunicação da informação (software) - e a respectiva documentação técnica asso- ciada -, o autor deverá ceder todos os direitos patrimoniais a eles relativos para a Administração Pública, hipótese em que poderão ser livremente utilizados e altera- dos por ela em outras ocasiões, sem necessidade de nova autorização de seu autor.</w:t>
      </w:r>
    </w:p>
    <w:p w:rsidR="007259F2" w:rsidRDefault="00E655B4">
      <w:pPr>
        <w:ind w:left="2978" w:right="421"/>
        <w:jc w:val="both"/>
        <w:rPr>
          <w:sz w:val="20"/>
        </w:rPr>
      </w:pPr>
      <w:r>
        <w:rPr>
          <w:sz w:val="20"/>
        </w:rPr>
        <w:t>§ 1º Quando o projeto se referir a obra imaterial de caráter tecnológico, insuscetível de privilégio, a cessão dos direitos a que se refere o caput deste artigo incluirá o for- necimento de todos os dados, documentos e elementos de informação pertinentes à tecnologia de concepção, desenvolvimento, fixação em suporte físico de qualquer natureza e aplicação da obra.</w:t>
      </w:r>
    </w:p>
    <w:p w:rsidR="007259F2" w:rsidRDefault="00E655B4">
      <w:pPr>
        <w:ind w:left="2978" w:right="421"/>
        <w:jc w:val="both"/>
        <w:rPr>
          <w:sz w:val="20"/>
        </w:rPr>
      </w:pPr>
      <w:r>
        <w:rPr>
          <w:sz w:val="20"/>
        </w:rPr>
        <w:t>§ 2º É facultado à Administração Pública deixar de exigir a cessão de direitos a que se refere o caput deste artigo quando o objeto da contratação envolver atividade de pesquisa e desenvolvimento de caráter científico, tecnológico ou de</w:t>
      </w:r>
      <w:r>
        <w:rPr>
          <w:spacing w:val="-2"/>
          <w:sz w:val="20"/>
        </w:rPr>
        <w:t xml:space="preserve"> </w:t>
      </w:r>
      <w:r>
        <w:rPr>
          <w:sz w:val="20"/>
        </w:rPr>
        <w:t>inovação, consi- derados os princípios e os mecanismos instituídos pela Lei nº 10.973, de 2 de de- zembro de 2004.</w:t>
      </w:r>
    </w:p>
    <w:p w:rsidR="007259F2" w:rsidRDefault="00E655B4">
      <w:pPr>
        <w:ind w:left="2978" w:right="421"/>
        <w:jc w:val="both"/>
        <w:rPr>
          <w:sz w:val="20"/>
        </w:rPr>
      </w:pPr>
      <w:r>
        <w:rPr>
          <w:sz w:val="20"/>
        </w:rPr>
        <w:t xml:space="preserve">§ 3º Na hipótese de posterior alteração do projeto pela Administração Pública, o au- tor deverá ser comunicado, e os registros serão promovidos nos órgãos ou entidades </w:t>
      </w:r>
      <w:r>
        <w:rPr>
          <w:spacing w:val="-2"/>
          <w:sz w:val="20"/>
        </w:rPr>
        <w:t>competentes.</w:t>
      </w:r>
    </w:p>
    <w:p w:rsidR="007259F2" w:rsidRDefault="00E655B4">
      <w:pPr>
        <w:pStyle w:val="Corpodetexto"/>
        <w:spacing w:before="228"/>
        <w:ind w:right="422"/>
      </w:pPr>
      <w:r>
        <w:t>O caput do artigo acima, que menciona expressamente programas de computador, determina que o autor da criação intelectual deve ceder os direitos patrimoniais à administração pública. Reitera-se, assim, a distinção entre os direitos patrimoniais (econômicos) daqueles imateriais (personalíssimos). Os direitos patrimoniais dizem respeito à remuneração pela utilização ou consumo dos produtos derivados da ideia. Tal distinção mantém o regime legal da propriedade intelectual, mas veicula às partes um comando sobre como dar conteúdo a cláusula de propriedade intelectual, devendo constar a regra do instrumento convocatório (regulamento, quando se</w:t>
      </w:r>
      <w:r>
        <w:rPr>
          <w:spacing w:val="-2"/>
        </w:rPr>
        <w:t xml:space="preserve"> </w:t>
      </w:r>
      <w:r>
        <w:t>tratar</w:t>
      </w:r>
      <w:r>
        <w:rPr>
          <w:spacing w:val="-5"/>
        </w:rPr>
        <w:t xml:space="preserve"> </w:t>
      </w:r>
      <w:r>
        <w:t>de</w:t>
      </w:r>
      <w:r>
        <w:rPr>
          <w:spacing w:val="-2"/>
        </w:rPr>
        <w:t xml:space="preserve"> </w:t>
      </w:r>
      <w:r>
        <w:t>concurso)</w:t>
      </w:r>
      <w:r>
        <w:rPr>
          <w:spacing w:val="-1"/>
        </w:rPr>
        <w:t xml:space="preserve"> </w:t>
      </w:r>
      <w:r>
        <w:t>e</w:t>
      </w:r>
      <w:r>
        <w:rPr>
          <w:spacing w:val="-2"/>
        </w:rPr>
        <w:t xml:space="preserve"> </w:t>
      </w:r>
      <w:r>
        <w:t>dos contratos. “A</w:t>
      </w:r>
      <w:r>
        <w:rPr>
          <w:spacing w:val="-2"/>
        </w:rPr>
        <w:t xml:space="preserve"> </w:t>
      </w:r>
      <w:r>
        <w:t>não observância pode interferir com a validade do contrato e com eventual responsabilidade do agente administrativo que não haja zelado adequadamente pela defesa da posição favorável à administração fixada pela Lei” (DAL POZZO, 2024, p. 503).</w:t>
      </w:r>
    </w:p>
    <w:p w:rsidR="007259F2" w:rsidRDefault="00E655B4">
      <w:pPr>
        <w:pStyle w:val="Corpodetexto"/>
        <w:spacing w:before="1"/>
        <w:ind w:right="421"/>
      </w:pPr>
      <w:r>
        <w:t>Marçal Justen Filho observa que o dispositivo “abrange uma pluralidade de figuras sujeitas a regime jurídico, mas que apresentam atributos essenciais similares”, sendo tanto os direitos autorais disciplinados pelo direito civil como os direitos de propriedade industrial tutelados no âmbito do direito empresarial. O texto impõe como condição para a contratação ou premiação de projeto, a cessão dos diretos patrimoniais a ele atinentes, não se tratando dos direitos</w:t>
      </w:r>
      <w:r>
        <w:rPr>
          <w:spacing w:val="-2"/>
        </w:rPr>
        <w:t xml:space="preserve"> </w:t>
      </w:r>
      <w:r>
        <w:t>personalíssimos. “A</w:t>
      </w:r>
      <w:r>
        <w:rPr>
          <w:spacing w:val="-3"/>
        </w:rPr>
        <w:t xml:space="preserve"> </w:t>
      </w:r>
      <w:r>
        <w:t>exigência</w:t>
      </w:r>
      <w:r>
        <w:rPr>
          <w:spacing w:val="-2"/>
        </w:rPr>
        <w:t xml:space="preserve"> </w:t>
      </w:r>
      <w:r>
        <w:t>legal</w:t>
      </w:r>
      <w:r>
        <w:rPr>
          <w:spacing w:val="-1"/>
        </w:rPr>
        <w:t xml:space="preserve"> </w:t>
      </w:r>
      <w:r>
        <w:t>envolve</w:t>
      </w:r>
      <w:r>
        <w:rPr>
          <w:spacing w:val="-2"/>
        </w:rPr>
        <w:t xml:space="preserve"> </w:t>
      </w:r>
      <w:r>
        <w:t>os</w:t>
      </w:r>
      <w:r>
        <w:rPr>
          <w:spacing w:val="-2"/>
        </w:rPr>
        <w:t xml:space="preserve"> </w:t>
      </w:r>
      <w:r>
        <w:t>direitos</w:t>
      </w:r>
      <w:r>
        <w:rPr>
          <w:spacing w:val="-1"/>
        </w:rPr>
        <w:t xml:space="preserve"> </w:t>
      </w:r>
      <w:r>
        <w:t>de</w:t>
      </w:r>
      <w:r>
        <w:rPr>
          <w:spacing w:val="-1"/>
        </w:rPr>
        <w:t xml:space="preserve"> </w:t>
      </w:r>
      <w:r>
        <w:t>aproveitamento econômico ou</w:t>
      </w:r>
      <w:r>
        <w:rPr>
          <w:spacing w:val="-1"/>
        </w:rPr>
        <w:t xml:space="preserve"> </w:t>
      </w:r>
      <w:r>
        <w:t>de</w:t>
      </w:r>
      <w:r>
        <w:rPr>
          <w:spacing w:val="-2"/>
        </w:rPr>
        <w:t xml:space="preserve"> </w:t>
      </w:r>
      <w:r>
        <w:t>utilização.</w:t>
      </w:r>
      <w:r>
        <w:rPr>
          <w:spacing w:val="3"/>
        </w:rPr>
        <w:t xml:space="preserve"> </w:t>
      </w:r>
      <w:r>
        <w:t>Visa-se</w:t>
      </w:r>
      <w:r>
        <w:rPr>
          <w:spacing w:val="2"/>
        </w:rPr>
        <w:t xml:space="preserve"> </w:t>
      </w:r>
      <w:r>
        <w:t>evitar</w:t>
      </w:r>
      <w:r>
        <w:rPr>
          <w:spacing w:val="-2"/>
        </w:rPr>
        <w:t xml:space="preserve"> </w:t>
      </w:r>
      <w:r>
        <w:t>que</w:t>
      </w:r>
      <w:r>
        <w:rPr>
          <w:spacing w:val="1"/>
        </w:rPr>
        <w:t xml:space="preserve"> </w:t>
      </w:r>
      <w:r>
        <w:t>a omissão</w:t>
      </w:r>
      <w:r>
        <w:rPr>
          <w:spacing w:val="-1"/>
        </w:rPr>
        <w:t xml:space="preserve"> </w:t>
      </w:r>
      <w:r>
        <w:t>propicie</w:t>
      </w:r>
      <w:r>
        <w:rPr>
          <w:spacing w:val="-2"/>
        </w:rPr>
        <w:t xml:space="preserve"> </w:t>
      </w:r>
      <w:r>
        <w:t>a manutenção</w:t>
      </w:r>
      <w:r>
        <w:rPr>
          <w:spacing w:val="2"/>
        </w:rPr>
        <w:t xml:space="preserve"> </w:t>
      </w:r>
      <w:r>
        <w:t>dos</w:t>
      </w:r>
      <w:r>
        <w:rPr>
          <w:spacing w:val="1"/>
        </w:rPr>
        <w:t xml:space="preserve"> </w:t>
      </w:r>
      <w:r>
        <w:t>direitos</w:t>
      </w:r>
      <w:r>
        <w:rPr>
          <w:spacing w:val="3"/>
        </w:rPr>
        <w:t xml:space="preserve"> </w:t>
      </w:r>
      <w:r>
        <w:rPr>
          <w:spacing w:val="-2"/>
        </w:rPr>
        <w:t>patrimoniais</w:t>
      </w:r>
    </w:p>
    <w:p w:rsidR="007259F2" w:rsidRDefault="007259F2">
      <w:pPr>
        <w:pStyle w:val="Corpodetexto"/>
        <w:sectPr w:rsidR="007259F2">
          <w:pgSz w:w="11910" w:h="16840"/>
          <w:pgMar w:top="1600" w:right="708" w:bottom="1020" w:left="992" w:header="0" w:footer="820" w:gutter="0"/>
          <w:cols w:space="720"/>
        </w:sectPr>
      </w:pPr>
    </w:p>
    <w:p w:rsidR="007259F2" w:rsidRDefault="00E655B4">
      <w:pPr>
        <w:pStyle w:val="Corpodetexto"/>
        <w:spacing w:before="75"/>
        <w:ind w:right="422" w:firstLine="0"/>
      </w:pPr>
      <w:r>
        <w:lastRenderedPageBreak/>
        <w:t>com o autor, importando dever de indenizá-lo por perdas e danos em caso de utilização” (2023, p. 1284). O professor acrescenta que “impõe-se que se assegure a faculdade de utilização do objeto de acordo com as necessidades da Administração. Desse modo, evita-se que o autor invoque seus direitos para obstaculizar a utilização do projeto pelo Estado”.</w:t>
      </w:r>
    </w:p>
    <w:p w:rsidR="007259F2" w:rsidRDefault="00E655B4">
      <w:pPr>
        <w:pStyle w:val="Corpodetexto"/>
        <w:ind w:right="417"/>
      </w:pPr>
      <w:r>
        <w:t>É possível encontrar na doutrina críticas ao dispositivo, como o faz Torres, que opina ser</w:t>
      </w:r>
      <w:r>
        <w:rPr>
          <w:spacing w:val="-5"/>
        </w:rPr>
        <w:t xml:space="preserve"> </w:t>
      </w:r>
      <w:r>
        <w:t>uma</w:t>
      </w:r>
      <w:r>
        <w:rPr>
          <w:spacing w:val="-5"/>
        </w:rPr>
        <w:t xml:space="preserve"> </w:t>
      </w:r>
      <w:r>
        <w:t>disposição</w:t>
      </w:r>
      <w:r>
        <w:rPr>
          <w:spacing w:val="-2"/>
        </w:rPr>
        <w:t xml:space="preserve"> </w:t>
      </w:r>
      <w:r>
        <w:t>legal desnecessária. “Em</w:t>
      </w:r>
      <w:r>
        <w:rPr>
          <w:spacing w:val="-2"/>
        </w:rPr>
        <w:t xml:space="preserve"> </w:t>
      </w:r>
      <w:r>
        <w:t>princípio,</w:t>
      </w:r>
      <w:r>
        <w:rPr>
          <w:spacing w:val="-3"/>
        </w:rPr>
        <w:t xml:space="preserve"> </w:t>
      </w:r>
      <w:r>
        <w:t>esta</w:t>
      </w:r>
      <w:r>
        <w:rPr>
          <w:spacing w:val="-2"/>
        </w:rPr>
        <w:t xml:space="preserve"> </w:t>
      </w:r>
      <w:r>
        <w:t>cessão</w:t>
      </w:r>
      <w:r>
        <w:rPr>
          <w:spacing w:val="-3"/>
        </w:rPr>
        <w:t xml:space="preserve"> </w:t>
      </w:r>
      <w:r>
        <w:t>deveria ser</w:t>
      </w:r>
      <w:r>
        <w:rPr>
          <w:spacing w:val="-3"/>
        </w:rPr>
        <w:t xml:space="preserve"> </w:t>
      </w:r>
      <w:r>
        <w:t>definida</w:t>
      </w:r>
      <w:r>
        <w:rPr>
          <w:spacing w:val="-5"/>
        </w:rPr>
        <w:t xml:space="preserve"> </w:t>
      </w:r>
      <w:r>
        <w:t>na</w:t>
      </w:r>
      <w:r>
        <w:rPr>
          <w:spacing w:val="-3"/>
        </w:rPr>
        <w:t xml:space="preserve"> </w:t>
      </w:r>
      <w:r>
        <w:t>fase de planejamento da contratação, de acordo com a necessidade administrativa e a realidade daquele mercado”, afirma o autor, que destaca que a cessão dos direitos patrimoniais envolve custos que afetam os preços. “Ademais, não é demais imaginar que ela possa ser impeditiva a alguma contratação necessária e vantajosa, justamente pela incompatibilidade da cessão” (2022, p. 578). Heinen, por outro lado, é da opinião que o art. 93 da Lei Federal nº 14.133/2021</w:t>
      </w:r>
      <w:r>
        <w:rPr>
          <w:spacing w:val="-1"/>
        </w:rPr>
        <w:t xml:space="preserve"> </w:t>
      </w:r>
      <w:r>
        <w:t>estabelece</w:t>
      </w:r>
      <w:r>
        <w:rPr>
          <w:spacing w:val="-3"/>
        </w:rPr>
        <w:t xml:space="preserve"> </w:t>
      </w:r>
      <w:r>
        <w:t>providências</w:t>
      </w:r>
      <w:r>
        <w:rPr>
          <w:spacing w:val="-3"/>
        </w:rPr>
        <w:t xml:space="preserve"> </w:t>
      </w:r>
      <w:r>
        <w:t>importantes na</w:t>
      </w:r>
      <w:r>
        <w:rPr>
          <w:spacing w:val="-4"/>
        </w:rPr>
        <w:t xml:space="preserve"> </w:t>
      </w:r>
      <w:r>
        <w:t>contratação de</w:t>
      </w:r>
      <w:r>
        <w:rPr>
          <w:spacing w:val="-2"/>
        </w:rPr>
        <w:t xml:space="preserve"> </w:t>
      </w:r>
      <w:r>
        <w:t>programas</w:t>
      </w:r>
      <w:r>
        <w:rPr>
          <w:spacing w:val="-2"/>
        </w:rPr>
        <w:t xml:space="preserve"> </w:t>
      </w:r>
      <w:r>
        <w:t>e</w:t>
      </w:r>
      <w:r>
        <w:rPr>
          <w:spacing w:val="-2"/>
        </w:rPr>
        <w:t xml:space="preserve"> </w:t>
      </w:r>
      <w:r>
        <w:t xml:space="preserve">aplicações de internet. “São contratações específicas, que até mesmo reclamariam uma disciplina jurídica setorial, tal qual foi feito com as compras, obras etc. pela Lei n° 14.133/21” (2023, p. 753). Em suma, tal qual a legislação civil, o dispositivo visa a tutelar uma série de institutos ligados às criações e direitos autorais. A exigência de cláusula que imponha a cedência do código- fonte ou dos direitos patrimoniais permite que “a Administração Pública possa continuar o desenvolvimento do programa ou da aplicação técnica mencionada, sem que tenha de pagar direitos autorais para tanto, ou mesmo ter de contratar a mesma empresa que criou o </w:t>
      </w:r>
      <w:r>
        <w:rPr>
          <w:spacing w:val="-2"/>
        </w:rPr>
        <w:t>programa”.</w:t>
      </w:r>
    </w:p>
    <w:p w:rsidR="007259F2" w:rsidRDefault="00E655B4">
      <w:pPr>
        <w:pStyle w:val="Corpodetexto"/>
        <w:spacing w:before="1"/>
        <w:ind w:right="422"/>
      </w:pPr>
      <w:r>
        <w:t>Adentrando os parágrafos do dispositivo, vê-se que o primeiro trata de complemento, para que a cessão de direitos patrimoniais efetivamente se realize em casos não suscetíveis de privilégio. Marçal explica que “usualmente o descabimento do patenteamento não impede a cessão dos direitos à utilização da ideia e de suas implicações. Quando tal se passar em</w:t>
      </w:r>
      <w:r>
        <w:rPr>
          <w:spacing w:val="40"/>
        </w:rPr>
        <w:t xml:space="preserve"> </w:t>
      </w:r>
      <w:r>
        <w:t>relação a uma contratação administrativa, caberá à Administração exigir toda a documentação pertinente, que permita o uso e exploração” (2023, p. 1286). A disposição é necessária para que se efetive o princípio da isonomia constante da lei, para que a administração não fique obrigada a contratar sempre a mesma empresa que prestou o serviço originalmente, sendo aberto ou fechado o código-fonte do programa. “A liberdade de utilizar um programa de computador significa a liberdade para qualquer tipo de pessoa física ou jurídica utilizar o software em qualquer tipo de sistema computacional”, explica Heinen, “para qualquer tipo de trabalho ou atividade, sem que seja necessário comunicar ao desenvolvedor ou a qualquer outra entidade em especial” (2023, p. 754).</w:t>
      </w:r>
    </w:p>
    <w:p w:rsidR="007259F2" w:rsidRDefault="00E655B4">
      <w:pPr>
        <w:pStyle w:val="Corpodetexto"/>
        <w:ind w:right="421"/>
      </w:pPr>
      <w:r>
        <w:t>O parágrafo terceiro faz referência justamente à dimensão moral do direito autoral,</w:t>
      </w:r>
      <w:r>
        <w:rPr>
          <w:spacing w:val="80"/>
        </w:rPr>
        <w:t xml:space="preserve"> </w:t>
      </w:r>
      <w:r>
        <w:t>que inclui o direito “de assegurar a integridade da obra, opondo-se a quaisquer modificações ou à prática de atos que, de qualquer forma, possam prejudicá-la ou atingi-lo, como autor, em sua reputação ou honra” (Art. 24, inciso IV, da LDA). Lembremos que a Lei de Software afirma que não se aplicam aos programas de computador as disposições relativas a direito moral, “ressalvado, a qualquer tempo, o direito do autor de reivindicar a paternidade do programa de computador e o direito do autor de opor-se a alterações não-autorizadas, quando estas impliquem deformação, mutilação ou outra modificação do programa de computador, que prejudiquem a sua honra ou a sua reputação”. É comum que seja necessária a alteração superveniente do programa desenvolvido para adequação às necessidades da Administração,</w:t>
      </w:r>
      <w:r>
        <w:rPr>
          <w:spacing w:val="40"/>
        </w:rPr>
        <w:t xml:space="preserve"> </w:t>
      </w:r>
      <w:r>
        <w:t>e, segundo Marçal, é obrigatório que a contratação estabeleça a autorização de mudanças supervenientes, “independentemente de autorização implícita ou explícita do particular. De todo</w:t>
      </w:r>
      <w:r>
        <w:rPr>
          <w:spacing w:val="-3"/>
        </w:rPr>
        <w:t xml:space="preserve"> </w:t>
      </w:r>
      <w:r>
        <w:t>modo,</w:t>
      </w:r>
      <w:r>
        <w:rPr>
          <w:spacing w:val="-3"/>
        </w:rPr>
        <w:t xml:space="preserve"> </w:t>
      </w:r>
      <w:r>
        <w:t>a</w:t>
      </w:r>
      <w:r>
        <w:rPr>
          <w:spacing w:val="-4"/>
        </w:rPr>
        <w:t xml:space="preserve"> </w:t>
      </w:r>
      <w:r>
        <w:t>alteração deverá</w:t>
      </w:r>
      <w:r>
        <w:rPr>
          <w:spacing w:val="-2"/>
        </w:rPr>
        <w:t xml:space="preserve"> </w:t>
      </w:r>
      <w:r>
        <w:t>ser</w:t>
      </w:r>
      <w:r>
        <w:rPr>
          <w:spacing w:val="-2"/>
        </w:rPr>
        <w:t xml:space="preserve"> </w:t>
      </w:r>
      <w:r>
        <w:t>comunicada</w:t>
      </w:r>
      <w:r>
        <w:rPr>
          <w:spacing w:val="-1"/>
        </w:rPr>
        <w:t xml:space="preserve"> </w:t>
      </w:r>
      <w:r>
        <w:t>ao</w:t>
      </w:r>
      <w:r>
        <w:rPr>
          <w:spacing w:val="-1"/>
        </w:rPr>
        <w:t xml:space="preserve"> </w:t>
      </w:r>
      <w:r>
        <w:t>autor</w:t>
      </w:r>
      <w:r>
        <w:rPr>
          <w:spacing w:val="-4"/>
        </w:rPr>
        <w:t xml:space="preserve"> </w:t>
      </w:r>
      <w:r>
        <w:t>e</w:t>
      </w:r>
      <w:r>
        <w:rPr>
          <w:spacing w:val="-2"/>
        </w:rPr>
        <w:t xml:space="preserve"> </w:t>
      </w:r>
      <w:r>
        <w:t>deverão</w:t>
      </w:r>
      <w:r>
        <w:rPr>
          <w:spacing w:val="-1"/>
        </w:rPr>
        <w:t xml:space="preserve"> </w:t>
      </w:r>
      <w:r>
        <w:t>ser</w:t>
      </w:r>
      <w:r>
        <w:rPr>
          <w:spacing w:val="-2"/>
        </w:rPr>
        <w:t xml:space="preserve"> </w:t>
      </w:r>
      <w:r>
        <w:t>adotadas</w:t>
      </w:r>
      <w:r>
        <w:rPr>
          <w:spacing w:val="-2"/>
        </w:rPr>
        <w:t xml:space="preserve"> </w:t>
      </w:r>
      <w:r>
        <w:t>as</w:t>
      </w:r>
      <w:r>
        <w:rPr>
          <w:spacing w:val="-1"/>
        </w:rPr>
        <w:t xml:space="preserve"> </w:t>
      </w:r>
      <w:r>
        <w:t>providências para comunicar a ocorrência aos órgãos competentes, se for o caso”.</w:t>
      </w:r>
    </w:p>
    <w:p w:rsidR="007259F2" w:rsidRDefault="00E655B4">
      <w:pPr>
        <w:pStyle w:val="Corpodetexto"/>
        <w:ind w:right="420"/>
      </w:pPr>
      <w:r>
        <w:t>Discussão mais importante ao tema tratado aqui vem no segundo parágrafo do art. 93 da Lei 14.133/2021, que trata da Lei de Inovação, a Lei Federal nº 10.973/2004, norma que, como</w:t>
      </w:r>
      <w:r>
        <w:rPr>
          <w:spacing w:val="33"/>
        </w:rPr>
        <w:t xml:space="preserve"> </w:t>
      </w:r>
      <w:r>
        <w:t>define</w:t>
      </w:r>
      <w:r>
        <w:rPr>
          <w:spacing w:val="37"/>
        </w:rPr>
        <w:t xml:space="preserve"> </w:t>
      </w:r>
      <w:r>
        <w:t>art.</w:t>
      </w:r>
      <w:r>
        <w:rPr>
          <w:spacing w:val="35"/>
        </w:rPr>
        <w:t xml:space="preserve"> </w:t>
      </w:r>
      <w:r>
        <w:t>1º,</w:t>
      </w:r>
      <w:r>
        <w:rPr>
          <w:spacing w:val="35"/>
        </w:rPr>
        <w:t xml:space="preserve"> </w:t>
      </w:r>
      <w:r>
        <w:t>“estabelece</w:t>
      </w:r>
      <w:r>
        <w:rPr>
          <w:spacing w:val="34"/>
        </w:rPr>
        <w:t xml:space="preserve"> </w:t>
      </w:r>
      <w:r>
        <w:t>medidas</w:t>
      </w:r>
      <w:r>
        <w:rPr>
          <w:spacing w:val="35"/>
        </w:rPr>
        <w:t xml:space="preserve"> </w:t>
      </w:r>
      <w:r>
        <w:t>de</w:t>
      </w:r>
      <w:r>
        <w:rPr>
          <w:spacing w:val="34"/>
        </w:rPr>
        <w:t xml:space="preserve"> </w:t>
      </w:r>
      <w:r>
        <w:t>incentivo</w:t>
      </w:r>
      <w:r>
        <w:rPr>
          <w:spacing w:val="34"/>
        </w:rPr>
        <w:t xml:space="preserve"> </w:t>
      </w:r>
      <w:r>
        <w:t>à</w:t>
      </w:r>
      <w:r>
        <w:rPr>
          <w:spacing w:val="34"/>
        </w:rPr>
        <w:t xml:space="preserve"> </w:t>
      </w:r>
      <w:r>
        <w:t>inovação</w:t>
      </w:r>
      <w:r>
        <w:rPr>
          <w:spacing w:val="35"/>
        </w:rPr>
        <w:t xml:space="preserve"> </w:t>
      </w:r>
      <w:r>
        <w:t>e</w:t>
      </w:r>
      <w:r>
        <w:rPr>
          <w:spacing w:val="34"/>
        </w:rPr>
        <w:t xml:space="preserve"> </w:t>
      </w:r>
      <w:r>
        <w:t>à</w:t>
      </w:r>
      <w:r>
        <w:rPr>
          <w:spacing w:val="37"/>
        </w:rPr>
        <w:t xml:space="preserve"> </w:t>
      </w:r>
      <w:r>
        <w:t>pesquisa</w:t>
      </w:r>
      <w:r>
        <w:rPr>
          <w:spacing w:val="35"/>
        </w:rPr>
        <w:t xml:space="preserve"> </w:t>
      </w:r>
      <w:r>
        <w:t>científica</w:t>
      </w:r>
      <w:r>
        <w:rPr>
          <w:spacing w:val="34"/>
        </w:rPr>
        <w:t xml:space="preserve"> </w:t>
      </w:r>
      <w:r>
        <w:rPr>
          <w:spacing w:val="-10"/>
        </w:rPr>
        <w:t>e</w:t>
      </w:r>
    </w:p>
    <w:p w:rsidR="007259F2" w:rsidRDefault="007259F2">
      <w:pPr>
        <w:pStyle w:val="Corpodetexto"/>
        <w:sectPr w:rsidR="007259F2">
          <w:pgSz w:w="11910" w:h="16840"/>
          <w:pgMar w:top="1600" w:right="708" w:bottom="1020" w:left="992" w:header="0" w:footer="820" w:gutter="0"/>
          <w:cols w:space="720"/>
        </w:sectPr>
      </w:pPr>
    </w:p>
    <w:p w:rsidR="007259F2" w:rsidRDefault="00E655B4">
      <w:pPr>
        <w:pStyle w:val="Corpodetexto"/>
        <w:spacing w:before="75"/>
        <w:ind w:right="418" w:firstLine="0"/>
      </w:pPr>
      <w:r>
        <w:lastRenderedPageBreak/>
        <w:t>tecnológica no ambiente produtivo, com vistas à capacitação tecnológica, ao alcance da autonomia tecnológica e ao desenvolvimento do sistema produtivo nacional e regional do País”. Pelo critério da especialidade, ela prevalece em matéria de contratação administrativa que tenha por objeto “atividade de pesquisa e desenvolvimento de caráter científico, tecnológico ou de inovação”. Constata Marçal que existe uma pluralidade de mecanismos jurídicos para fomento de atividades do tipo: “em alguns casos, pode-se configurar situação em que o atingimento dos fins buscados conduz a solução distinta daquela prevista no art. 93. Cabe à Administração evidenciar que a disciplina especial da Lei 10.973/2004 acarreta a inaplicabilidade</w:t>
      </w:r>
      <w:r>
        <w:rPr>
          <w:spacing w:val="-3"/>
        </w:rPr>
        <w:t xml:space="preserve"> </w:t>
      </w:r>
      <w:r>
        <w:t>da</w:t>
      </w:r>
      <w:r>
        <w:rPr>
          <w:spacing w:val="-3"/>
        </w:rPr>
        <w:t xml:space="preserve"> </w:t>
      </w:r>
      <w:r>
        <w:t>disposição legal geral contemplada</w:t>
      </w:r>
      <w:r>
        <w:rPr>
          <w:spacing w:val="-3"/>
        </w:rPr>
        <w:t xml:space="preserve"> </w:t>
      </w:r>
      <w:r>
        <w:t>no referido art.</w:t>
      </w:r>
      <w:r>
        <w:rPr>
          <w:spacing w:val="-2"/>
        </w:rPr>
        <w:t xml:space="preserve"> </w:t>
      </w:r>
      <w:r>
        <w:t>93”. Para</w:t>
      </w:r>
      <w:r>
        <w:rPr>
          <w:spacing w:val="-8"/>
        </w:rPr>
        <w:t xml:space="preserve"> </w:t>
      </w:r>
      <w:r>
        <w:t>Torres, o § 2º é uma prova da inadequação do art. 93, já que permite que a</w:t>
      </w:r>
      <w:r>
        <w:rPr>
          <w:spacing w:val="-5"/>
        </w:rPr>
        <w:t xml:space="preserve"> </w:t>
      </w:r>
      <w:r>
        <w:t>Administração deixe de exigir a cessão dos direitos patrimoniais. A exceção da exigência fica a critério do Poder Público (atuação discricionária), uma vez que “é facultado à</w:t>
      </w:r>
      <w:r>
        <w:rPr>
          <w:spacing w:val="-8"/>
        </w:rPr>
        <w:t xml:space="preserve"> </w:t>
      </w:r>
      <w:r>
        <w:t>Administração Publica deixar de exigir a cessão de direitos”. Deve o gestor analisar concretamente o caso, para entender se a transferência dos direitos patrimoniais atende ao interesse público, ou se a política pública neste sentido poderia prejudicar o ambiente de inovação do mercado. Na hipótese de não haver a transferência, a decisão deve ser justificada e demonstrada nos autos da licitação.</w:t>
      </w:r>
    </w:p>
    <w:p w:rsidR="007259F2" w:rsidRDefault="00E655B4">
      <w:pPr>
        <w:pStyle w:val="Heading2"/>
        <w:numPr>
          <w:ilvl w:val="0"/>
          <w:numId w:val="26"/>
        </w:numPr>
        <w:tabs>
          <w:tab w:val="left" w:pos="890"/>
        </w:tabs>
        <w:spacing w:before="208"/>
        <w:ind w:left="890" w:hanging="180"/>
        <w:jc w:val="left"/>
      </w:pPr>
      <w:r>
        <w:t>Inovação</w:t>
      </w:r>
      <w:r>
        <w:rPr>
          <w:spacing w:val="-1"/>
        </w:rPr>
        <w:t xml:space="preserve"> </w:t>
      </w:r>
      <w:r>
        <w:t>e</w:t>
      </w:r>
      <w:r>
        <w:rPr>
          <w:spacing w:val="-1"/>
        </w:rPr>
        <w:t xml:space="preserve"> </w:t>
      </w:r>
      <w:r>
        <w:rPr>
          <w:spacing w:val="-2"/>
        </w:rPr>
        <w:t>desenvolvimento</w:t>
      </w:r>
    </w:p>
    <w:p w:rsidR="007259F2" w:rsidRDefault="00E655B4">
      <w:pPr>
        <w:pStyle w:val="Corpodetexto"/>
        <w:spacing w:before="153"/>
        <w:ind w:right="418"/>
      </w:pPr>
      <w:r>
        <w:t>Sendo tratamento específico, prevalente em contratação que tenha por objeto “atividade de pesquisa e desenvolvimento de caráter científico, tecnológico ou de inovação”,</w:t>
      </w:r>
      <w:r>
        <w:rPr>
          <w:spacing w:val="80"/>
        </w:rPr>
        <w:t xml:space="preserve"> </w:t>
      </w:r>
      <w:r>
        <w:t>a</w:t>
      </w:r>
      <w:r>
        <w:rPr>
          <w:spacing w:val="40"/>
        </w:rPr>
        <w:t xml:space="preserve"> </w:t>
      </w:r>
      <w:r>
        <w:t>Lei</w:t>
      </w:r>
      <w:r>
        <w:rPr>
          <w:spacing w:val="40"/>
        </w:rPr>
        <w:t xml:space="preserve"> </w:t>
      </w:r>
      <w:r>
        <w:t>de</w:t>
      </w:r>
      <w:r>
        <w:rPr>
          <w:spacing w:val="40"/>
        </w:rPr>
        <w:t xml:space="preserve"> </w:t>
      </w:r>
      <w:r>
        <w:t>Inovação</w:t>
      </w:r>
      <w:r>
        <w:rPr>
          <w:spacing w:val="40"/>
        </w:rPr>
        <w:t xml:space="preserve"> </w:t>
      </w:r>
      <w:r>
        <w:t>é</w:t>
      </w:r>
      <w:r>
        <w:rPr>
          <w:spacing w:val="40"/>
        </w:rPr>
        <w:t xml:space="preserve"> </w:t>
      </w:r>
      <w:r>
        <w:t>relevante</w:t>
      </w:r>
      <w:r>
        <w:rPr>
          <w:spacing w:val="40"/>
        </w:rPr>
        <w:t xml:space="preserve"> </w:t>
      </w:r>
      <w:r>
        <w:t>para</w:t>
      </w:r>
      <w:r>
        <w:rPr>
          <w:spacing w:val="40"/>
        </w:rPr>
        <w:t xml:space="preserve"> </w:t>
      </w:r>
      <w:r>
        <w:t>o</w:t>
      </w:r>
      <w:r>
        <w:rPr>
          <w:spacing w:val="40"/>
        </w:rPr>
        <w:t xml:space="preserve"> </w:t>
      </w:r>
      <w:r>
        <w:t>tema</w:t>
      </w:r>
      <w:r>
        <w:rPr>
          <w:spacing w:val="40"/>
        </w:rPr>
        <w:t xml:space="preserve"> </w:t>
      </w:r>
      <w:r>
        <w:t>da</w:t>
      </w:r>
      <w:r>
        <w:rPr>
          <w:spacing w:val="40"/>
        </w:rPr>
        <w:t xml:space="preserve"> </w:t>
      </w:r>
      <w:r>
        <w:t>propriedade</w:t>
      </w:r>
      <w:r>
        <w:rPr>
          <w:spacing w:val="40"/>
        </w:rPr>
        <w:t xml:space="preserve"> </w:t>
      </w:r>
      <w:r>
        <w:t>intelectual,</w:t>
      </w:r>
      <w:r>
        <w:rPr>
          <w:spacing w:val="40"/>
        </w:rPr>
        <w:t xml:space="preserve"> </w:t>
      </w:r>
      <w:r>
        <w:t>tendo</w:t>
      </w:r>
      <w:r>
        <w:rPr>
          <w:spacing w:val="40"/>
        </w:rPr>
        <w:t xml:space="preserve"> </w:t>
      </w:r>
      <w:r>
        <w:t>sido incluídos como criação, para os efeitos da lei, conforme menciona o art. 2º, inciso II. Dentre</w:t>
      </w:r>
      <w:r>
        <w:rPr>
          <w:spacing w:val="40"/>
        </w:rPr>
        <w:t xml:space="preserve"> </w:t>
      </w:r>
      <w:r>
        <w:t>os princípios do art. 1º, está incluído a descentralização “das atividades de ciência, tecnologia e inovação em cada esfera de governo, com desconcentração em cada ente federado”, que fortalece a atuação dos Municípios nos processos de desenvolvimento tecnológico. Tal movimento centrífugo da organização administrativa desafia as noções tradicionais que tendiam, principalmente nos Municípios, a uma posição passiva do Estado em relação à produção e à gestão da propriedade intelectual, deixando o assunto predominantemente para a esfera privada (SURITA DOS SANTOS, 2024).</w:t>
      </w:r>
    </w:p>
    <w:p w:rsidR="007259F2" w:rsidRDefault="00E655B4">
      <w:pPr>
        <w:pStyle w:val="Corpodetexto"/>
        <w:spacing w:before="1"/>
        <w:ind w:right="429"/>
      </w:pPr>
      <w:r>
        <w:t>A reforma de 2016 incluiu o Município na autorização do art. 5º para participação minoritária em empresas que tenham como propósito desenvolver produtos ou processos inovadores. Nesses casos, prevê o § 1º que a propriedade intelectual pertencerá à empresa, na forma da legislação vigente, mas conforme o § 2º o poder público pode, para atender ao interesse público, condicionar a participação societária à previsão de licenciamento da propriedade intelectual. Se vê assim que os entes públicos podem participar dos processos inovadores direta ou indiretamente. O diploma conceitua de maneira inclusiva os ICTs: Instituição Científica, Tecnológica e de Inovação, “órgão ou entidade da administração pública direta ou indireta ou pessoa jurídica de direito privado sem fins lucrativos” que tenha como objetivo “a pesquisa básica ou aplicada de caráter científico ou tecnológico ou o desenvolvimento de novos produtos, serviços ou processos”.</w:t>
      </w:r>
    </w:p>
    <w:p w:rsidR="007259F2" w:rsidRDefault="00E655B4">
      <w:pPr>
        <w:pStyle w:val="Corpodetexto"/>
        <w:spacing w:before="1"/>
        <w:ind w:right="423"/>
      </w:pPr>
      <w:r>
        <w:t>Aos ICTs é permitido celebrar acordos de parceria com instituições públicas e</w:t>
      </w:r>
      <w:r>
        <w:rPr>
          <w:spacing w:val="40"/>
        </w:rPr>
        <w:t xml:space="preserve"> </w:t>
      </w:r>
      <w:r>
        <w:t>privadas “para realização de atividades conjuntas de pesquisa científica e tecnológica e de desenvolvimento de tecnologia, produto, serviço ou processo (art. 9º). Quanto à gestão da propriedade intelectual, § 2º determina que as partes deverão prever a titularidade em instrumento jurídico específico, “assegurando aos signatários o direito à exploração, ao licenciamento e à transferência de tecnologia”. Ademais, o § 3º prevê a hipótese de cessão ao parceiro privado da totalidade dos direitos patrimoniais, mas condicionada a “compensação financeira, ou não financeira, desde que economicamente mensurável”. A lei traz, portanto, vias institucionais para que o Estado se assuma protagonista dos processos inovadores, tendo em</w:t>
      </w:r>
      <w:r>
        <w:rPr>
          <w:spacing w:val="8"/>
        </w:rPr>
        <w:t xml:space="preserve"> </w:t>
      </w:r>
      <w:r>
        <w:t>vista</w:t>
      </w:r>
      <w:r>
        <w:rPr>
          <w:spacing w:val="7"/>
        </w:rPr>
        <w:t xml:space="preserve"> </w:t>
      </w:r>
      <w:r>
        <w:t>sempre</w:t>
      </w:r>
      <w:r>
        <w:rPr>
          <w:spacing w:val="7"/>
        </w:rPr>
        <w:t xml:space="preserve"> </w:t>
      </w:r>
      <w:r>
        <w:t>a</w:t>
      </w:r>
      <w:r>
        <w:rPr>
          <w:spacing w:val="10"/>
        </w:rPr>
        <w:t xml:space="preserve"> </w:t>
      </w:r>
      <w:r>
        <w:t>tutela</w:t>
      </w:r>
      <w:r>
        <w:rPr>
          <w:spacing w:val="10"/>
        </w:rPr>
        <w:t xml:space="preserve"> </w:t>
      </w:r>
      <w:r>
        <w:t>do</w:t>
      </w:r>
      <w:r>
        <w:rPr>
          <w:spacing w:val="8"/>
        </w:rPr>
        <w:t xml:space="preserve"> </w:t>
      </w:r>
      <w:r>
        <w:t>interesse</w:t>
      </w:r>
      <w:r>
        <w:rPr>
          <w:spacing w:val="7"/>
        </w:rPr>
        <w:t xml:space="preserve"> </w:t>
      </w:r>
      <w:r>
        <w:t>público.</w:t>
      </w:r>
      <w:r>
        <w:rPr>
          <w:spacing w:val="9"/>
        </w:rPr>
        <w:t xml:space="preserve"> </w:t>
      </w:r>
      <w:r>
        <w:t>Segundo</w:t>
      </w:r>
      <w:r>
        <w:rPr>
          <w:spacing w:val="8"/>
        </w:rPr>
        <w:t xml:space="preserve"> </w:t>
      </w:r>
      <w:r>
        <w:t>Surita,</w:t>
      </w:r>
      <w:r>
        <w:rPr>
          <w:spacing w:val="8"/>
        </w:rPr>
        <w:t xml:space="preserve"> </w:t>
      </w:r>
      <w:r>
        <w:t>“não</w:t>
      </w:r>
      <w:r>
        <w:rPr>
          <w:spacing w:val="8"/>
        </w:rPr>
        <w:t xml:space="preserve"> </w:t>
      </w:r>
      <w:r>
        <w:t>se</w:t>
      </w:r>
      <w:r>
        <w:rPr>
          <w:spacing w:val="8"/>
        </w:rPr>
        <w:t xml:space="preserve"> </w:t>
      </w:r>
      <w:r>
        <w:t>pode</w:t>
      </w:r>
      <w:r>
        <w:rPr>
          <w:spacing w:val="7"/>
        </w:rPr>
        <w:t xml:space="preserve"> </w:t>
      </w:r>
      <w:r>
        <w:t>mais</w:t>
      </w:r>
      <w:r>
        <w:rPr>
          <w:spacing w:val="8"/>
        </w:rPr>
        <w:t xml:space="preserve"> </w:t>
      </w:r>
      <w:r>
        <w:t>admitir</w:t>
      </w:r>
      <w:r>
        <w:rPr>
          <w:spacing w:val="8"/>
        </w:rPr>
        <w:t xml:space="preserve"> </w:t>
      </w:r>
      <w:r>
        <w:rPr>
          <w:spacing w:val="-5"/>
        </w:rPr>
        <w:t>que</w:t>
      </w:r>
    </w:p>
    <w:p w:rsidR="007259F2" w:rsidRDefault="007259F2">
      <w:pPr>
        <w:pStyle w:val="Corpodetexto"/>
        <w:sectPr w:rsidR="007259F2">
          <w:pgSz w:w="11910" w:h="16840"/>
          <w:pgMar w:top="1600" w:right="708" w:bottom="1020" w:left="992" w:header="0" w:footer="820" w:gutter="0"/>
          <w:cols w:space="720"/>
        </w:sectPr>
      </w:pPr>
    </w:p>
    <w:p w:rsidR="007259F2" w:rsidRDefault="00E655B4">
      <w:pPr>
        <w:pStyle w:val="Corpodetexto"/>
        <w:spacing w:before="75"/>
        <w:ind w:right="412" w:firstLine="0"/>
      </w:pPr>
      <w:r>
        <w:lastRenderedPageBreak/>
        <w:t>os administradores públicos regionais e locais no Brasil continuem demonstrando resistência ou desconhecimento sobre o protagonismo que devem exercer em relação à inovação e à propriedade</w:t>
      </w:r>
      <w:r>
        <w:rPr>
          <w:spacing w:val="-3"/>
        </w:rPr>
        <w:t xml:space="preserve"> </w:t>
      </w:r>
      <w:r>
        <w:t>intelectual”, sendo ultrapassada</w:t>
      </w:r>
      <w:r>
        <w:rPr>
          <w:spacing w:val="-2"/>
        </w:rPr>
        <w:t xml:space="preserve"> </w:t>
      </w:r>
      <w:r>
        <w:t>a</w:t>
      </w:r>
      <w:r>
        <w:rPr>
          <w:spacing w:val="-1"/>
        </w:rPr>
        <w:t xml:space="preserve"> </w:t>
      </w:r>
      <w:r>
        <w:t>ideia</w:t>
      </w:r>
      <w:r>
        <w:rPr>
          <w:spacing w:val="-3"/>
        </w:rPr>
        <w:t xml:space="preserve"> </w:t>
      </w:r>
      <w:r>
        <w:t>de</w:t>
      </w:r>
      <w:r>
        <w:rPr>
          <w:spacing w:val="-1"/>
        </w:rPr>
        <w:t xml:space="preserve"> </w:t>
      </w:r>
      <w:r>
        <w:t>que</w:t>
      </w:r>
      <w:r>
        <w:rPr>
          <w:spacing w:val="-1"/>
        </w:rPr>
        <w:t xml:space="preserve"> </w:t>
      </w:r>
      <w:r>
        <w:t>a</w:t>
      </w:r>
      <w:r>
        <w:rPr>
          <w:spacing w:val="-1"/>
        </w:rPr>
        <w:t xml:space="preserve"> </w:t>
      </w:r>
      <w:r>
        <w:t>inovação é</w:t>
      </w:r>
      <w:r>
        <w:rPr>
          <w:spacing w:val="-3"/>
        </w:rPr>
        <w:t xml:space="preserve"> </w:t>
      </w:r>
      <w:r>
        <w:t>processo exclusivo de agentes privados.</w:t>
      </w:r>
    </w:p>
    <w:p w:rsidR="007259F2" w:rsidRDefault="00E655B4">
      <w:pPr>
        <w:pStyle w:val="Corpodetexto"/>
        <w:ind w:right="418"/>
      </w:pPr>
      <w:r>
        <w:t>Tanto a lei de 2004 como a reforma de 2016 jogam luz sobre o papel da inovação para o desenvolvimento econômico do país. Segundo relatórios da Organização Mundial da Propriedade Intelectual, o Brasil é apenas o 49º país mais inovador do planeta (OMPI, 2023</w:t>
      </w:r>
      <w:r>
        <w:rPr>
          <w:spacing w:val="40"/>
        </w:rPr>
        <w:t xml:space="preserve"> </w:t>
      </w:r>
      <w:r>
        <w:t>a), e apenas 20% das patentes de invenção solicitadas e menos de 11% das patentes de invenção</w:t>
      </w:r>
      <w:r>
        <w:rPr>
          <w:spacing w:val="-1"/>
        </w:rPr>
        <w:t xml:space="preserve"> </w:t>
      </w:r>
      <w:r>
        <w:t>concedidas</w:t>
      </w:r>
      <w:r>
        <w:rPr>
          <w:spacing w:val="-3"/>
        </w:rPr>
        <w:t xml:space="preserve"> </w:t>
      </w:r>
      <w:r>
        <w:t>são de</w:t>
      </w:r>
      <w:r>
        <w:rPr>
          <w:spacing w:val="-4"/>
        </w:rPr>
        <w:t xml:space="preserve"> </w:t>
      </w:r>
      <w:r>
        <w:t>residentes no</w:t>
      </w:r>
      <w:r>
        <w:rPr>
          <w:spacing w:val="-1"/>
        </w:rPr>
        <w:t xml:space="preserve"> </w:t>
      </w:r>
      <w:r>
        <w:t>país</w:t>
      </w:r>
      <w:r>
        <w:rPr>
          <w:spacing w:val="-1"/>
        </w:rPr>
        <w:t xml:space="preserve"> </w:t>
      </w:r>
      <w:r>
        <w:t>(OMPI, 2023</w:t>
      </w:r>
      <w:r>
        <w:rPr>
          <w:spacing w:val="-1"/>
        </w:rPr>
        <w:t xml:space="preserve"> </w:t>
      </w:r>
      <w:r>
        <w:t>b).</w:t>
      </w:r>
      <w:r>
        <w:rPr>
          <w:spacing w:val="-1"/>
        </w:rPr>
        <w:t xml:space="preserve"> </w:t>
      </w:r>
      <w:r>
        <w:t>Aqui</w:t>
      </w:r>
      <w:r>
        <w:rPr>
          <w:spacing w:val="-1"/>
        </w:rPr>
        <w:t xml:space="preserve"> </w:t>
      </w:r>
      <w:r>
        <w:t>propomos, inspirados</w:t>
      </w:r>
      <w:r>
        <w:rPr>
          <w:spacing w:val="-1"/>
        </w:rPr>
        <w:t xml:space="preserve"> </w:t>
      </w:r>
      <w:r>
        <w:t>no espírito antropofágico de Oswald de Andrade, deglutir as experiências internacionais que nos alcançam diretamente por meio do sistema internacional de comércio. Há poucas décadas a China era tão irrelevante quanto o Brasil no tema, e com política pública ousada assumiu protagonismo no cenário global. As condições políticas internas e externas, todo o contexto social e econômico, podem ter favorecido a ascensão daquele país, mas gostaríamos de apontar para a diferença ideológica que fundamenta o tratamento da propriedade intelectual.</w:t>
      </w:r>
    </w:p>
    <w:p w:rsidR="007259F2" w:rsidRDefault="00E655B4">
      <w:pPr>
        <w:pStyle w:val="Corpodetexto"/>
        <w:spacing w:before="1"/>
        <w:ind w:right="421"/>
      </w:pPr>
      <w:r>
        <w:t>Para tanto, nos apoiaremos nas reflexões do filósofo sul-coreano Byung-Chul Han. Radicado na Alemanha, o popular ensaísta tem destacados trabalhos que trazem ao pensamento ocidental oxigenação necessária aos tempos de integração global. Em “Shanzhai: desconstrução em chinês”, ele enfrenta estereótipos que hodiernamente podemos resumir com o termo “xing-ling”, expressão pejorativa que designa genericamente um produto copiado, e que se associa à produção daquele país. Shanzhai é também um neologismo para fake, sem a carga</w:t>
      </w:r>
      <w:r>
        <w:rPr>
          <w:spacing w:val="-3"/>
        </w:rPr>
        <w:t xml:space="preserve"> </w:t>
      </w:r>
      <w:r>
        <w:t>xenófoba</w:t>
      </w:r>
      <w:r>
        <w:rPr>
          <w:spacing w:val="-3"/>
        </w:rPr>
        <w:t xml:space="preserve"> </w:t>
      </w:r>
      <w:r>
        <w:t>da</w:t>
      </w:r>
      <w:r>
        <w:rPr>
          <w:spacing w:val="-3"/>
        </w:rPr>
        <w:t xml:space="preserve"> </w:t>
      </w:r>
      <w:r>
        <w:t>outra. Segundo o escritor,</w:t>
      </w:r>
      <w:r>
        <w:rPr>
          <w:spacing w:val="-2"/>
        </w:rPr>
        <w:t xml:space="preserve"> </w:t>
      </w:r>
      <w:r>
        <w:t>essa noção compreende</w:t>
      </w:r>
      <w:r>
        <w:rPr>
          <w:spacing w:val="-3"/>
        </w:rPr>
        <w:t xml:space="preserve"> </w:t>
      </w:r>
      <w:r>
        <w:t>todas as áreas da</w:t>
      </w:r>
      <w:r>
        <w:rPr>
          <w:spacing w:val="-3"/>
        </w:rPr>
        <w:t xml:space="preserve"> </w:t>
      </w:r>
      <w:r>
        <w:t>vida</w:t>
      </w:r>
      <w:r>
        <w:rPr>
          <w:spacing w:val="-2"/>
        </w:rPr>
        <w:t xml:space="preserve"> </w:t>
      </w:r>
      <w:r>
        <w:t>na China, e não apenas produtos mercadológicos. Produtos culturais muitas vezes não estão ligados à autoria individual, mas são reconhecidos como de origem coletiva, e não de um indivíduo genial e criativo, de modo que a propriedade não pode ser claramente atribuída a</w:t>
      </w:r>
      <w:r>
        <w:rPr>
          <w:spacing w:val="40"/>
        </w:rPr>
        <w:t xml:space="preserve"> </w:t>
      </w:r>
      <w:r>
        <w:t>um artista-sujeito que se apresenta como criador (HAN, 2023, p. 89).</w:t>
      </w:r>
    </w:p>
    <w:p w:rsidR="007259F2" w:rsidRDefault="00E655B4">
      <w:pPr>
        <w:pStyle w:val="Corpodetexto"/>
        <w:ind w:right="419"/>
      </w:pPr>
      <w:r>
        <w:t>Essa forma de pensar tem origem no taoismo, sendo que o vocábulo Tao significa literalmente “caminho”. “O processo, com suas incessantes mudanças, também domina a consciência chinesa do tempo e da história. Assim, a mudança não se realiza de maneira eventual ou eruptiva, mas de forma discreta, imperceptível e contínua” (p. 11). Como consequência, não se admite a ideia de original, pois esta pressupõe um início. “Não é a criação com um início absoluto, mas o processo contínuo sem início nem fim, sem</w:t>
      </w:r>
      <w:r>
        <w:rPr>
          <w:spacing w:val="80"/>
        </w:rPr>
        <w:t xml:space="preserve"> </w:t>
      </w:r>
      <w:r>
        <w:t>nascimento nem morte, que determina o pensamento chinês”. Em uma economia cada vez mais centrada na propriedade intelectual, é de se imaginar o impacto que essa diferença pode causar. O pensamento chinês também é “pragmático em um sentido especial”, porque reconhece a natureza mutável das coisas em vez de tratar uma essência ou origem. “Trata-se de reconhecer o transcurso mutável das coisas a fim de acessá-la de acordo com a situação e dela se beneficiar. O pensamento chinês desconfia de entidades ou princípios fixos, essenciais ou imutáveis” (p. 14).</w:t>
      </w:r>
      <w:r>
        <w:rPr>
          <w:spacing w:val="-6"/>
        </w:rPr>
        <w:t xml:space="preserve"> </w:t>
      </w:r>
      <w:r>
        <w:t>Ao contrário do preconceito que enxergava apenas a má qualidade dos produtos chineses, a verdade é que produtos shanzhai se caracterizam por alto grau de flexibilidade, propícia à rápida adaptação de necessidades específicas. “O shanzhai aproveita ao máximo o potencial da situação” (p. 86).</w:t>
      </w:r>
    </w:p>
    <w:p w:rsidR="007259F2" w:rsidRDefault="00E655B4">
      <w:pPr>
        <w:pStyle w:val="Heading2"/>
        <w:numPr>
          <w:ilvl w:val="0"/>
          <w:numId w:val="26"/>
        </w:numPr>
        <w:tabs>
          <w:tab w:val="left" w:pos="884"/>
        </w:tabs>
        <w:spacing w:before="206"/>
        <w:ind w:left="884" w:hanging="174"/>
        <w:jc w:val="left"/>
      </w:pPr>
      <w:r>
        <w:rPr>
          <w:spacing w:val="-2"/>
        </w:rPr>
        <w:t>Conclusão</w:t>
      </w:r>
    </w:p>
    <w:p w:rsidR="007259F2" w:rsidRDefault="00E655B4">
      <w:pPr>
        <w:pStyle w:val="Corpodetexto"/>
        <w:spacing w:before="156"/>
        <w:ind w:right="422"/>
      </w:pPr>
      <w:r>
        <w:t>Se o crescimento econômico da China aponta para um futuro de divisão da hegemonia global com os Estados Unidos, talvez tenhamos lições a tirar de lá. Seria uma boa ideia alimentar-nos desta nova potência? Propõe-se aqui ser essa uma saída diante de um cenário global que imobiliza os países que ainda não alcançaram o desenvolvimento econômico. O primeiro</w:t>
      </w:r>
      <w:r>
        <w:rPr>
          <w:spacing w:val="18"/>
        </w:rPr>
        <w:t xml:space="preserve"> </w:t>
      </w:r>
      <w:r>
        <w:t>passo</w:t>
      </w:r>
      <w:r>
        <w:rPr>
          <w:spacing w:val="24"/>
        </w:rPr>
        <w:t xml:space="preserve"> </w:t>
      </w:r>
      <w:r>
        <w:t>é</w:t>
      </w:r>
      <w:r>
        <w:rPr>
          <w:spacing w:val="19"/>
        </w:rPr>
        <w:t xml:space="preserve"> </w:t>
      </w:r>
      <w:r>
        <w:t>dessacralizar</w:t>
      </w:r>
      <w:r>
        <w:rPr>
          <w:spacing w:val="20"/>
        </w:rPr>
        <w:t xml:space="preserve"> </w:t>
      </w:r>
      <w:r>
        <w:t>figuras</w:t>
      </w:r>
      <w:r>
        <w:rPr>
          <w:spacing w:val="24"/>
        </w:rPr>
        <w:t xml:space="preserve"> </w:t>
      </w:r>
      <w:r>
        <w:t>consagradas</w:t>
      </w:r>
      <w:r>
        <w:rPr>
          <w:spacing w:val="20"/>
        </w:rPr>
        <w:t xml:space="preserve"> </w:t>
      </w:r>
      <w:r>
        <w:t>do</w:t>
      </w:r>
      <w:r>
        <w:rPr>
          <w:spacing w:val="21"/>
        </w:rPr>
        <w:t xml:space="preserve"> </w:t>
      </w:r>
      <w:r>
        <w:t>mundo</w:t>
      </w:r>
      <w:r>
        <w:rPr>
          <w:spacing w:val="21"/>
        </w:rPr>
        <w:t xml:space="preserve"> </w:t>
      </w:r>
      <w:r>
        <w:t>jurídico,</w:t>
      </w:r>
      <w:r>
        <w:rPr>
          <w:spacing w:val="22"/>
        </w:rPr>
        <w:t xml:space="preserve"> </w:t>
      </w:r>
      <w:r>
        <w:t>como</w:t>
      </w:r>
      <w:r>
        <w:rPr>
          <w:spacing w:val="21"/>
        </w:rPr>
        <w:t xml:space="preserve"> </w:t>
      </w:r>
      <w:r>
        <w:t>a</w:t>
      </w:r>
      <w:r>
        <w:rPr>
          <w:spacing w:val="20"/>
        </w:rPr>
        <w:t xml:space="preserve"> </w:t>
      </w:r>
      <w:r>
        <w:rPr>
          <w:spacing w:val="-2"/>
        </w:rPr>
        <w:t>originalidade</w:t>
      </w:r>
    </w:p>
    <w:p w:rsidR="007259F2" w:rsidRDefault="007259F2">
      <w:pPr>
        <w:pStyle w:val="Corpodetexto"/>
        <w:sectPr w:rsidR="007259F2">
          <w:pgSz w:w="11910" w:h="16840"/>
          <w:pgMar w:top="1600" w:right="708" w:bottom="1020" w:left="992" w:header="0" w:footer="820" w:gutter="0"/>
          <w:cols w:space="720"/>
        </w:sectPr>
      </w:pPr>
    </w:p>
    <w:p w:rsidR="007259F2" w:rsidRDefault="00E655B4">
      <w:pPr>
        <w:pStyle w:val="Corpodetexto"/>
        <w:spacing w:before="75"/>
        <w:ind w:right="429" w:firstLine="0"/>
      </w:pPr>
      <w:r>
        <w:lastRenderedPageBreak/>
        <w:t>da criação, e fazer o caminho inverso daquele que fez Anchieta: transformar Anhanga demônio de novo em protetor da floresta.</w:t>
      </w:r>
    </w:p>
    <w:p w:rsidR="007259F2" w:rsidRDefault="00E655B4">
      <w:pPr>
        <w:pStyle w:val="Corpodetexto"/>
        <w:ind w:right="423"/>
      </w:pPr>
      <w:r>
        <w:t>As peculiaridades da propriedade intelectual e a importância crescente que ela tem</w:t>
      </w:r>
      <w:r>
        <w:rPr>
          <w:spacing w:val="40"/>
        </w:rPr>
        <w:t xml:space="preserve"> </w:t>
      </w:r>
      <w:r>
        <w:t>para o desenvolvimento econômico de nosso tempo fazem deste tema uma oportunidade que dança em frente nossos olhos e teimamos não enxergar. Propomos ao Município de São Paulo aproveitar institutos já existentes no ordenamento jurídico para avançar nesta seara e assumir uma posição de referência global. A doutrina acostumada com paradigmas do século XX precisa atualizar-se das novas condições da vida e da economia digital, virtual e interconectada. A propriedade intelectual é um bem público e cabe à Administração sua</w:t>
      </w:r>
      <w:r>
        <w:rPr>
          <w:spacing w:val="40"/>
        </w:rPr>
        <w:t xml:space="preserve"> </w:t>
      </w:r>
      <w:r>
        <w:t>gestão em nome do interesse coletivo.</w:t>
      </w:r>
    </w:p>
    <w:p w:rsidR="007259F2" w:rsidRDefault="00E655B4">
      <w:pPr>
        <w:pStyle w:val="Corpodetexto"/>
        <w:ind w:right="420"/>
      </w:pPr>
      <w:r>
        <w:t>Esses institutos, que envolvem as contratações públicas e o regime administrativo</w:t>
      </w:r>
      <w:r>
        <w:rPr>
          <w:spacing w:val="40"/>
        </w:rPr>
        <w:t xml:space="preserve"> </w:t>
      </w:r>
      <w:r>
        <w:t>dos bens,</w:t>
      </w:r>
      <w:r>
        <w:rPr>
          <w:spacing w:val="-1"/>
        </w:rPr>
        <w:t xml:space="preserve"> </w:t>
      </w:r>
      <w:r>
        <w:t>dizem</w:t>
      </w:r>
      <w:r>
        <w:rPr>
          <w:spacing w:val="-1"/>
        </w:rPr>
        <w:t xml:space="preserve"> </w:t>
      </w:r>
      <w:r>
        <w:t>respeito</w:t>
      </w:r>
      <w:r>
        <w:rPr>
          <w:spacing w:val="-1"/>
        </w:rPr>
        <w:t xml:space="preserve"> </w:t>
      </w:r>
      <w:r>
        <w:t>à capacidade</w:t>
      </w:r>
      <w:r>
        <w:rPr>
          <w:spacing w:val="-1"/>
        </w:rPr>
        <w:t xml:space="preserve"> </w:t>
      </w:r>
      <w:r>
        <w:t>de</w:t>
      </w:r>
      <w:r>
        <w:rPr>
          <w:spacing w:val="-2"/>
        </w:rPr>
        <w:t xml:space="preserve"> </w:t>
      </w:r>
      <w:r>
        <w:t>mobilização sócio</w:t>
      </w:r>
      <w:r>
        <w:rPr>
          <w:spacing w:val="-2"/>
        </w:rPr>
        <w:t xml:space="preserve"> </w:t>
      </w:r>
      <w:r>
        <w:t>financeira</w:t>
      </w:r>
      <w:r>
        <w:rPr>
          <w:spacing w:val="-3"/>
        </w:rPr>
        <w:t xml:space="preserve"> </w:t>
      </w:r>
      <w:r>
        <w:t>do Município</w:t>
      </w:r>
      <w:r>
        <w:rPr>
          <w:spacing w:val="-1"/>
        </w:rPr>
        <w:t xml:space="preserve"> </w:t>
      </w:r>
      <w:r>
        <w:t>e</w:t>
      </w:r>
      <w:r>
        <w:rPr>
          <w:spacing w:val="-2"/>
        </w:rPr>
        <w:t xml:space="preserve"> </w:t>
      </w:r>
      <w:r>
        <w:t>à gestão do patrimônio e do orçamento públicos. O exercício pleno da autonomia municipal, em articulação e cooperação com os demais entes federados, a prática democrática, a soberania e</w:t>
      </w:r>
      <w:r>
        <w:rPr>
          <w:spacing w:val="40"/>
        </w:rPr>
        <w:t xml:space="preserve"> </w:t>
      </w:r>
      <w:r>
        <w:t>a participação popular, bem como a programação e o planejamento sistemáticos, são todos princípios a serem observados na organização do Município, conforme art. 2º da LOMSP. A Lei</w:t>
      </w:r>
      <w:r>
        <w:rPr>
          <w:spacing w:val="80"/>
        </w:rPr>
        <w:t xml:space="preserve"> </w:t>
      </w:r>
      <w:r>
        <w:t>de</w:t>
      </w:r>
      <w:r>
        <w:rPr>
          <w:spacing w:val="80"/>
        </w:rPr>
        <w:t xml:space="preserve"> </w:t>
      </w:r>
      <w:r>
        <w:t>Diretrizes</w:t>
      </w:r>
      <w:r>
        <w:rPr>
          <w:spacing w:val="80"/>
        </w:rPr>
        <w:t xml:space="preserve"> </w:t>
      </w:r>
      <w:r>
        <w:t>Orçamentárias</w:t>
      </w:r>
      <w:r>
        <w:rPr>
          <w:spacing w:val="80"/>
        </w:rPr>
        <w:t xml:space="preserve"> </w:t>
      </w:r>
      <w:r>
        <w:t>de</w:t>
      </w:r>
      <w:r>
        <w:rPr>
          <w:spacing w:val="80"/>
        </w:rPr>
        <w:t xml:space="preserve"> </w:t>
      </w:r>
      <w:r>
        <w:t>2025</w:t>
      </w:r>
      <w:r>
        <w:rPr>
          <w:spacing w:val="80"/>
        </w:rPr>
        <w:t xml:space="preserve"> </w:t>
      </w:r>
      <w:r>
        <w:t>prevê</w:t>
      </w:r>
      <w:r>
        <w:rPr>
          <w:spacing w:val="80"/>
        </w:rPr>
        <w:t xml:space="preserve"> </w:t>
      </w:r>
      <w:r>
        <w:t>um</w:t>
      </w:r>
      <w:r>
        <w:rPr>
          <w:spacing w:val="80"/>
        </w:rPr>
        <w:t xml:space="preserve"> </w:t>
      </w:r>
      <w:r>
        <w:t>total</w:t>
      </w:r>
      <w:r>
        <w:rPr>
          <w:spacing w:val="80"/>
        </w:rPr>
        <w:t xml:space="preserve"> </w:t>
      </w:r>
      <w:r>
        <w:t>de</w:t>
      </w:r>
      <w:r>
        <w:rPr>
          <w:spacing w:val="80"/>
        </w:rPr>
        <w:t xml:space="preserve"> </w:t>
      </w:r>
      <w:r>
        <w:t>119</w:t>
      </w:r>
      <w:r>
        <w:rPr>
          <w:spacing w:val="80"/>
        </w:rPr>
        <w:t xml:space="preserve"> </w:t>
      </w:r>
      <w:r>
        <w:t>bilhões</w:t>
      </w:r>
      <w:r>
        <w:rPr>
          <w:spacing w:val="80"/>
        </w:rPr>
        <w:t xml:space="preserve"> </w:t>
      </w:r>
      <w:r>
        <w:t>que</w:t>
      </w:r>
      <w:r>
        <w:rPr>
          <w:spacing w:val="80"/>
        </w:rPr>
        <w:t xml:space="preserve"> </w:t>
      </w:r>
      <w:r>
        <w:t>fazem dos bilhões destinados a novos investimentos.</w:t>
      </w:r>
    </w:p>
    <w:p w:rsidR="007259F2" w:rsidRDefault="00E655B4">
      <w:pPr>
        <w:pStyle w:val="Corpodetexto"/>
        <w:spacing w:before="1"/>
        <w:ind w:right="424"/>
      </w:pPr>
      <w:r>
        <w:t>A defesa e a preservação do território, dos recursos naturais e do meio ambiente do Município, é outra das diretrizes do art. 2º. Nunca, aliás, Anhanga foi tão necessário. Entre cientistas de todas as áreas do conhecimento, não restam controvérsias a respeito da origem antrópica das alterações nas condições climáticas, e as consequências vão se acumulando, como a pandemia da Covid-19 ou, mais recentemente, a destruição causada por enchentes no Rio Grande do Sul. A urgência nos coloca contra a parede, enquanto insistimos em manter as estruturas que herdamos de nossos antepassados. Mais do que um problema jurídico, o</w:t>
      </w:r>
      <w:r>
        <w:rPr>
          <w:spacing w:val="80"/>
        </w:rPr>
        <w:t xml:space="preserve"> </w:t>
      </w:r>
      <w:r>
        <w:t xml:space="preserve">desafio é enfrentar a forma de pensar, desacostumada a questionar os dogmas do senso </w:t>
      </w:r>
      <w:r>
        <w:rPr>
          <w:spacing w:val="-2"/>
        </w:rPr>
        <w:t>comum.</w:t>
      </w:r>
    </w:p>
    <w:p w:rsidR="007259F2" w:rsidRDefault="00E655B4">
      <w:pPr>
        <w:pStyle w:val="Corpodetexto"/>
        <w:ind w:right="419"/>
      </w:pPr>
      <w:r>
        <w:t>A</w:t>
      </w:r>
      <w:r>
        <w:rPr>
          <w:spacing w:val="-3"/>
        </w:rPr>
        <w:t xml:space="preserve"> </w:t>
      </w:r>
      <w:r>
        <w:t>poesia</w:t>
      </w:r>
      <w:r>
        <w:rPr>
          <w:spacing w:val="-3"/>
        </w:rPr>
        <w:t xml:space="preserve"> </w:t>
      </w:r>
      <w:r>
        <w:t>filosófica</w:t>
      </w:r>
      <w:r>
        <w:rPr>
          <w:spacing w:val="-2"/>
        </w:rPr>
        <w:t xml:space="preserve"> </w:t>
      </w:r>
      <w:r>
        <w:t>de</w:t>
      </w:r>
      <w:r>
        <w:rPr>
          <w:spacing w:val="-3"/>
        </w:rPr>
        <w:t xml:space="preserve"> </w:t>
      </w:r>
      <w:r>
        <w:t>Oswald</w:t>
      </w:r>
      <w:r>
        <w:rPr>
          <w:spacing w:val="-2"/>
        </w:rPr>
        <w:t xml:space="preserve"> </w:t>
      </w:r>
      <w:r>
        <w:t>de Andrade</w:t>
      </w:r>
      <w:r>
        <w:rPr>
          <w:spacing w:val="-3"/>
        </w:rPr>
        <w:t xml:space="preserve"> </w:t>
      </w:r>
      <w:r>
        <w:t>vem a</w:t>
      </w:r>
      <w:r>
        <w:rPr>
          <w:spacing w:val="-1"/>
        </w:rPr>
        <w:t xml:space="preserve"> </w:t>
      </w:r>
      <w:r>
        <w:t>calhar, fruto</w:t>
      </w:r>
      <w:r>
        <w:rPr>
          <w:spacing w:val="-2"/>
        </w:rPr>
        <w:t xml:space="preserve"> </w:t>
      </w:r>
      <w:r>
        <w:t>que</w:t>
      </w:r>
      <w:r>
        <w:rPr>
          <w:spacing w:val="-2"/>
        </w:rPr>
        <w:t xml:space="preserve"> </w:t>
      </w:r>
      <w:r>
        <w:t>é</w:t>
      </w:r>
      <w:r>
        <w:rPr>
          <w:spacing w:val="-1"/>
        </w:rPr>
        <w:t xml:space="preserve"> </w:t>
      </w:r>
      <w:r>
        <w:t>dessa</w:t>
      </w:r>
      <w:r>
        <w:rPr>
          <w:spacing w:val="-1"/>
        </w:rPr>
        <w:t xml:space="preserve"> </w:t>
      </w:r>
      <w:r>
        <w:t>terra</w:t>
      </w:r>
      <w:r>
        <w:rPr>
          <w:spacing w:val="-1"/>
        </w:rPr>
        <w:t xml:space="preserve"> </w:t>
      </w:r>
      <w:r>
        <w:t>como a pitanga e a jabuticaba. O discurso estético modernista serviu e continua a servir de via para reflexões heterodoxas sobre as estruturas de poder, para uma releitura da formação e do funcionamento da nossa sociedade. O crítico literário Antonio Candido, amigo e estudioso do escritor, destacou, à respeito, que o mais importante na leitura de Oswald “é decantar nos produtos complexos da cultura da escravidão as partículas inestimáveis de liberdade” (FONSECA, 2019). Proposta semelhante tem o antropólogo Viveiros de Castro para a</w:t>
      </w:r>
      <w:r>
        <w:rPr>
          <w:spacing w:val="80"/>
        </w:rPr>
        <w:t xml:space="preserve"> </w:t>
      </w:r>
      <w:r>
        <w:t>“Aldeia Maracanã”</w:t>
      </w:r>
      <w:r>
        <w:rPr>
          <w:vertAlign w:val="superscript"/>
        </w:rPr>
        <w:t>17</w:t>
      </w:r>
      <w:r>
        <w:t>, ao considerar os coletivos ameríndios como componentes cruciais das populações</w:t>
      </w:r>
      <w:r>
        <w:rPr>
          <w:spacing w:val="-1"/>
        </w:rPr>
        <w:t xml:space="preserve"> </w:t>
      </w:r>
      <w:r>
        <w:t>das</w:t>
      </w:r>
      <w:r>
        <w:rPr>
          <w:spacing w:val="-1"/>
        </w:rPr>
        <w:t xml:space="preserve"> </w:t>
      </w:r>
      <w:r>
        <w:t>Américas (2014, p.</w:t>
      </w:r>
      <w:r>
        <w:rPr>
          <w:spacing w:val="-1"/>
        </w:rPr>
        <w:t xml:space="preserve"> </w:t>
      </w:r>
      <w:r>
        <w:t>159). “Suas tecnologias relativamente simples mas</w:t>
      </w:r>
      <w:r>
        <w:rPr>
          <w:spacing w:val="-1"/>
        </w:rPr>
        <w:t xml:space="preserve"> </w:t>
      </w:r>
      <w:r>
        <w:t>abertas a agenciamentos sincréticos de alta intensidade, são uma ‘figuração do futuro’, não uma sobrevivência</w:t>
      </w:r>
      <w:r>
        <w:rPr>
          <w:spacing w:val="-2"/>
        </w:rPr>
        <w:t xml:space="preserve"> </w:t>
      </w:r>
      <w:r>
        <w:t>do</w:t>
      </w:r>
      <w:r>
        <w:rPr>
          <w:spacing w:val="-4"/>
        </w:rPr>
        <w:t xml:space="preserve"> </w:t>
      </w:r>
      <w:r>
        <w:t>passado”,</w:t>
      </w:r>
      <w:r>
        <w:rPr>
          <w:spacing w:val="-3"/>
        </w:rPr>
        <w:t xml:space="preserve"> </w:t>
      </w:r>
      <w:r>
        <w:t>observa</w:t>
      </w:r>
      <w:r>
        <w:rPr>
          <w:spacing w:val="-5"/>
        </w:rPr>
        <w:t xml:space="preserve"> </w:t>
      </w:r>
      <w:r>
        <w:t>o</w:t>
      </w:r>
      <w:r>
        <w:rPr>
          <w:spacing w:val="-2"/>
        </w:rPr>
        <w:t xml:space="preserve"> </w:t>
      </w:r>
      <w:r>
        <w:t>antropólogo, “mestres</w:t>
      </w:r>
      <w:r>
        <w:rPr>
          <w:spacing w:val="-4"/>
        </w:rPr>
        <w:t xml:space="preserve"> </w:t>
      </w:r>
      <w:r>
        <w:t>da</w:t>
      </w:r>
      <w:r>
        <w:rPr>
          <w:spacing w:val="-3"/>
        </w:rPr>
        <w:t xml:space="preserve"> </w:t>
      </w:r>
      <w:r>
        <w:t>bricolagem</w:t>
      </w:r>
      <w:r>
        <w:rPr>
          <w:spacing w:val="-3"/>
        </w:rPr>
        <w:t xml:space="preserve"> </w:t>
      </w:r>
      <w:r>
        <w:t>tecnoprimitivista</w:t>
      </w:r>
      <w:r>
        <w:rPr>
          <w:spacing w:val="-4"/>
        </w:rPr>
        <w:t xml:space="preserve"> </w:t>
      </w:r>
      <w:r>
        <w:t>e da metamorfose político-metafísica, eles são uma das chances possíveis, em verdade, da subsistência do futuro”.</w:t>
      </w:r>
    </w:p>
    <w:p w:rsidR="007259F2" w:rsidRDefault="00E655B4">
      <w:pPr>
        <w:pStyle w:val="Corpodetexto"/>
        <w:ind w:right="413"/>
      </w:pPr>
      <w:r>
        <w:t>Desde Anchieta, São Paulo transformou-se na maior cidade da América Latina. Reúne mais de dez milhões munícipes oriundos das mais diversas origens, desde os herdeiros de Tibiriçá até imigrantes que continuam no século XXI a se aventurar pelos Campos de Piratininga.</w:t>
      </w:r>
      <w:r>
        <w:rPr>
          <w:spacing w:val="-3"/>
        </w:rPr>
        <w:t xml:space="preserve"> </w:t>
      </w:r>
      <w:r>
        <w:t>A</w:t>
      </w:r>
      <w:r>
        <w:rPr>
          <w:spacing w:val="-2"/>
        </w:rPr>
        <w:t xml:space="preserve"> </w:t>
      </w:r>
      <w:r>
        <w:t>efervescência</w:t>
      </w:r>
      <w:r>
        <w:rPr>
          <w:spacing w:val="-2"/>
        </w:rPr>
        <w:t xml:space="preserve"> </w:t>
      </w:r>
      <w:r>
        <w:t>deste</w:t>
      </w:r>
      <w:r>
        <w:rPr>
          <w:spacing w:val="-1"/>
        </w:rPr>
        <w:t xml:space="preserve"> </w:t>
      </w:r>
      <w:r>
        <w:t>rico</w:t>
      </w:r>
      <w:r>
        <w:rPr>
          <w:spacing w:val="-3"/>
        </w:rPr>
        <w:t xml:space="preserve"> </w:t>
      </w:r>
      <w:r>
        <w:t>caldo cultural</w:t>
      </w:r>
      <w:r>
        <w:rPr>
          <w:spacing w:val="-2"/>
        </w:rPr>
        <w:t xml:space="preserve"> </w:t>
      </w:r>
      <w:r>
        <w:t>desafia</w:t>
      </w:r>
      <w:r>
        <w:rPr>
          <w:spacing w:val="-6"/>
        </w:rPr>
        <w:t xml:space="preserve"> </w:t>
      </w:r>
      <w:r>
        <w:t>a</w:t>
      </w:r>
      <w:r>
        <w:rPr>
          <w:spacing w:val="-3"/>
        </w:rPr>
        <w:t xml:space="preserve"> </w:t>
      </w:r>
      <w:r>
        <w:t>lógica</w:t>
      </w:r>
      <w:r>
        <w:rPr>
          <w:spacing w:val="-3"/>
        </w:rPr>
        <w:t xml:space="preserve"> </w:t>
      </w:r>
      <w:r>
        <w:t>eurocêntrica</w:t>
      </w:r>
      <w:r>
        <w:rPr>
          <w:spacing w:val="-3"/>
        </w:rPr>
        <w:t xml:space="preserve"> </w:t>
      </w:r>
      <w:r>
        <w:t>assim</w:t>
      </w:r>
      <w:r>
        <w:rPr>
          <w:spacing w:val="-3"/>
        </w:rPr>
        <w:t xml:space="preserve"> </w:t>
      </w:r>
      <w:r>
        <w:t>como os cursos d’água invisibilizados desafiam as estruturas de concreto nos dias de muita chuva. Os</w:t>
      </w:r>
      <w:r>
        <w:rPr>
          <w:spacing w:val="30"/>
        </w:rPr>
        <w:t xml:space="preserve"> </w:t>
      </w:r>
      <w:r>
        <w:t>rios</w:t>
      </w:r>
      <w:r>
        <w:rPr>
          <w:spacing w:val="32"/>
        </w:rPr>
        <w:t xml:space="preserve"> </w:t>
      </w:r>
      <w:r>
        <w:t>foram</w:t>
      </w:r>
      <w:r>
        <w:rPr>
          <w:spacing w:val="33"/>
        </w:rPr>
        <w:t xml:space="preserve"> </w:t>
      </w:r>
      <w:r>
        <w:t>encanados,</w:t>
      </w:r>
      <w:r>
        <w:rPr>
          <w:spacing w:val="34"/>
        </w:rPr>
        <w:t xml:space="preserve"> </w:t>
      </w:r>
      <w:r>
        <w:t>as</w:t>
      </w:r>
      <w:r>
        <w:rPr>
          <w:spacing w:val="32"/>
        </w:rPr>
        <w:t xml:space="preserve"> </w:t>
      </w:r>
      <w:r>
        <w:t>árvores</w:t>
      </w:r>
      <w:r>
        <w:rPr>
          <w:spacing w:val="33"/>
        </w:rPr>
        <w:t xml:space="preserve"> </w:t>
      </w:r>
      <w:r>
        <w:t>derrubadas</w:t>
      </w:r>
      <w:r>
        <w:rPr>
          <w:spacing w:val="38"/>
        </w:rPr>
        <w:t xml:space="preserve"> </w:t>
      </w:r>
      <w:r>
        <w:t>para</w:t>
      </w:r>
      <w:r>
        <w:rPr>
          <w:spacing w:val="32"/>
        </w:rPr>
        <w:t xml:space="preserve"> </w:t>
      </w:r>
      <w:r>
        <w:t>que</w:t>
      </w:r>
      <w:r>
        <w:rPr>
          <w:spacing w:val="31"/>
        </w:rPr>
        <w:t xml:space="preserve"> </w:t>
      </w:r>
      <w:r>
        <w:t>se</w:t>
      </w:r>
      <w:r>
        <w:rPr>
          <w:spacing w:val="31"/>
        </w:rPr>
        <w:t xml:space="preserve"> </w:t>
      </w:r>
      <w:r>
        <w:t>erguessem</w:t>
      </w:r>
      <w:r>
        <w:rPr>
          <w:spacing w:val="36"/>
        </w:rPr>
        <w:t xml:space="preserve"> </w:t>
      </w:r>
      <w:r>
        <w:t>prédios</w:t>
      </w:r>
      <w:r>
        <w:rPr>
          <w:spacing w:val="35"/>
        </w:rPr>
        <w:t xml:space="preserve"> </w:t>
      </w:r>
      <w:r>
        <w:t>até</w:t>
      </w:r>
      <w:r>
        <w:rPr>
          <w:spacing w:val="32"/>
        </w:rPr>
        <w:t xml:space="preserve"> </w:t>
      </w:r>
      <w:r>
        <w:t>onde</w:t>
      </w:r>
      <w:r>
        <w:rPr>
          <w:spacing w:val="35"/>
        </w:rPr>
        <w:t xml:space="preserve"> </w:t>
      </w:r>
      <w:r>
        <w:rPr>
          <w:spacing w:val="-10"/>
        </w:rPr>
        <w:t>o</w:t>
      </w:r>
    </w:p>
    <w:p w:rsidR="007259F2" w:rsidRDefault="007259F2">
      <w:pPr>
        <w:pStyle w:val="Corpodetexto"/>
        <w:ind w:left="0" w:firstLine="0"/>
        <w:jc w:val="left"/>
        <w:rPr>
          <w:sz w:val="20"/>
        </w:rPr>
      </w:pPr>
    </w:p>
    <w:p w:rsidR="007259F2" w:rsidRDefault="00DE6B1C">
      <w:pPr>
        <w:pStyle w:val="Corpodetexto"/>
        <w:spacing w:before="11"/>
        <w:ind w:left="0" w:firstLine="0"/>
        <w:jc w:val="left"/>
        <w:rPr>
          <w:sz w:val="20"/>
        </w:rPr>
      </w:pPr>
      <w:r w:rsidRPr="00DE6B1C">
        <w:rPr>
          <w:sz w:val="20"/>
        </w:rPr>
        <w:pict>
          <v:rect id="docshape114" o:spid="_x0000_s1114" style="position:absolute;margin-left:85.1pt;margin-top:13.25pt;width:2in;height:.7pt;z-index:-15680512;mso-wrap-distance-left:0;mso-wrap-distance-right:0;mso-position-horizontal-relative:page" fillcolor="black" stroked="f">
            <w10:wrap type="topAndBottom" anchorx="page"/>
          </v:rect>
        </w:pict>
      </w:r>
    </w:p>
    <w:p w:rsidR="007259F2" w:rsidRDefault="00E655B4">
      <w:pPr>
        <w:spacing w:before="96"/>
        <w:ind w:left="710" w:right="424"/>
        <w:rPr>
          <w:sz w:val="20"/>
        </w:rPr>
      </w:pPr>
      <w:r>
        <w:rPr>
          <w:sz w:val="20"/>
          <w:vertAlign w:val="superscript"/>
        </w:rPr>
        <w:t>17</w:t>
      </w:r>
      <w:r>
        <w:rPr>
          <w:sz w:val="20"/>
        </w:rPr>
        <w:t xml:space="preserve"> “O Brasil é uma gigantesca Aldeia Maracanã: aqui todo mundo é índio, exceto quem não é. E todos sabemos bem que são os que não são, e onde eles estão” (VIVEIROS DE CASTRO, 2014, p. 158).</w:t>
      </w:r>
    </w:p>
    <w:p w:rsidR="007259F2" w:rsidRDefault="007259F2">
      <w:pPr>
        <w:rPr>
          <w:sz w:val="20"/>
        </w:rPr>
        <w:sectPr w:rsidR="007259F2">
          <w:pgSz w:w="11910" w:h="16840"/>
          <w:pgMar w:top="1600" w:right="708" w:bottom="1020" w:left="992" w:header="0" w:footer="820" w:gutter="0"/>
          <w:cols w:space="720"/>
        </w:sectPr>
      </w:pPr>
    </w:p>
    <w:p w:rsidR="007259F2" w:rsidRDefault="00E655B4">
      <w:pPr>
        <w:pStyle w:val="Corpodetexto"/>
        <w:spacing w:before="75"/>
        <w:ind w:right="420" w:firstLine="0"/>
      </w:pPr>
      <w:r>
        <w:lastRenderedPageBreak/>
        <w:t xml:space="preserve">olhar alcança, mas o sangue continua a correr nos corpos apressados: há vida nessas </w:t>
      </w:r>
      <w:r>
        <w:rPr>
          <w:spacing w:val="-2"/>
        </w:rPr>
        <w:t>encruzilhadas.</w:t>
      </w:r>
    </w:p>
    <w:p w:rsidR="007259F2" w:rsidRDefault="00E655B4">
      <w:pPr>
        <w:pStyle w:val="Heading1"/>
        <w:spacing w:before="207"/>
        <w:ind w:left="712"/>
      </w:pPr>
      <w:r>
        <w:rPr>
          <w:spacing w:val="-2"/>
        </w:rPr>
        <w:t>REFERÊNCIAS</w:t>
      </w:r>
    </w:p>
    <w:p w:rsidR="007259F2" w:rsidRDefault="00E655B4">
      <w:pPr>
        <w:pStyle w:val="Corpodetexto"/>
        <w:spacing w:before="196" w:line="237" w:lineRule="auto"/>
        <w:ind w:right="421" w:firstLine="0"/>
      </w:pPr>
      <w:r>
        <w:t xml:space="preserve">ACADEMIA BRASILEIRA DE LETRAS JURÍDICAS. </w:t>
      </w:r>
      <w:r>
        <w:rPr>
          <w:b/>
        </w:rPr>
        <w:t>Dicionário Jurídico</w:t>
      </w:r>
      <w:r>
        <w:t>.11ª ed. Rio de Janeiro: Forense, 2016.</w:t>
      </w:r>
    </w:p>
    <w:p w:rsidR="007259F2" w:rsidRDefault="00E655B4">
      <w:pPr>
        <w:spacing w:before="121"/>
        <w:ind w:left="710" w:right="422"/>
        <w:jc w:val="both"/>
        <w:rPr>
          <w:sz w:val="24"/>
        </w:rPr>
      </w:pPr>
      <w:r>
        <w:rPr>
          <w:sz w:val="24"/>
        </w:rPr>
        <w:t xml:space="preserve">ALVARENGA NETO, Rivadávia Correa Drummond de. </w:t>
      </w:r>
      <w:r>
        <w:rPr>
          <w:b/>
          <w:sz w:val="24"/>
        </w:rPr>
        <w:t>Gestão do Conhecimento em Organizações</w:t>
      </w:r>
      <w:r>
        <w:rPr>
          <w:sz w:val="24"/>
        </w:rPr>
        <w:t>: Proposta de Mapeamento Conceitual Integrativo. São Paulo: Saraiva, 2008.</w:t>
      </w:r>
    </w:p>
    <w:p w:rsidR="007259F2" w:rsidRDefault="00E655B4">
      <w:pPr>
        <w:spacing w:before="120"/>
        <w:ind w:left="710" w:right="420"/>
        <w:jc w:val="both"/>
        <w:rPr>
          <w:sz w:val="24"/>
        </w:rPr>
      </w:pPr>
      <w:r>
        <w:rPr>
          <w:sz w:val="24"/>
        </w:rPr>
        <w:t xml:space="preserve">ALVES FILHO, Paulo Edson. </w:t>
      </w:r>
      <w:r>
        <w:rPr>
          <w:b/>
          <w:sz w:val="24"/>
        </w:rPr>
        <w:t>Tradução e sincretismo nas obras de José de Anchieta</w:t>
      </w:r>
      <w:r>
        <w:rPr>
          <w:sz w:val="24"/>
        </w:rPr>
        <w:t>. 2007. Tese (Doutorado em Estudos Lingüísticos e Literários em Inglês) - Faculdade de Filosofia, Letras e Ciências Humanas, Universidade de São Paulo, São Paulo, 2007.</w:t>
      </w:r>
    </w:p>
    <w:p w:rsidR="007259F2" w:rsidRDefault="00E655B4">
      <w:pPr>
        <w:spacing w:before="121"/>
        <w:ind w:left="710"/>
        <w:jc w:val="both"/>
        <w:rPr>
          <w:sz w:val="24"/>
        </w:rPr>
      </w:pPr>
      <w:r>
        <w:rPr>
          <w:sz w:val="24"/>
        </w:rPr>
        <w:t>ANDRADE,</w:t>
      </w:r>
      <w:r>
        <w:rPr>
          <w:spacing w:val="-1"/>
          <w:sz w:val="24"/>
        </w:rPr>
        <w:t xml:space="preserve"> </w:t>
      </w:r>
      <w:r>
        <w:rPr>
          <w:sz w:val="24"/>
        </w:rPr>
        <w:t>Oswald</w:t>
      </w:r>
      <w:r>
        <w:rPr>
          <w:spacing w:val="-1"/>
          <w:sz w:val="24"/>
        </w:rPr>
        <w:t xml:space="preserve"> </w:t>
      </w:r>
      <w:r>
        <w:rPr>
          <w:sz w:val="24"/>
        </w:rPr>
        <w:t>de.</w:t>
      </w:r>
      <w:r>
        <w:rPr>
          <w:spacing w:val="2"/>
          <w:sz w:val="24"/>
        </w:rPr>
        <w:t xml:space="preserve"> </w:t>
      </w:r>
      <w:r>
        <w:rPr>
          <w:b/>
          <w:sz w:val="24"/>
        </w:rPr>
        <w:t>A</w:t>
      </w:r>
      <w:r>
        <w:rPr>
          <w:b/>
          <w:spacing w:val="-1"/>
          <w:sz w:val="24"/>
        </w:rPr>
        <w:t xml:space="preserve"> </w:t>
      </w:r>
      <w:r>
        <w:rPr>
          <w:b/>
          <w:sz w:val="24"/>
        </w:rPr>
        <w:t>utopia antropofágica</w:t>
      </w:r>
      <w:r>
        <w:rPr>
          <w:sz w:val="24"/>
        </w:rPr>
        <w:t>.</w:t>
      </w:r>
      <w:r>
        <w:rPr>
          <w:spacing w:val="-4"/>
          <w:sz w:val="24"/>
        </w:rPr>
        <w:t xml:space="preserve"> </w:t>
      </w:r>
      <w:r>
        <w:rPr>
          <w:sz w:val="24"/>
        </w:rPr>
        <w:t>São Paulo:</w:t>
      </w:r>
      <w:r>
        <w:rPr>
          <w:spacing w:val="-1"/>
          <w:sz w:val="24"/>
        </w:rPr>
        <w:t xml:space="preserve"> </w:t>
      </w:r>
      <w:r>
        <w:rPr>
          <w:sz w:val="24"/>
        </w:rPr>
        <w:t xml:space="preserve">Globo, </w:t>
      </w:r>
      <w:r>
        <w:rPr>
          <w:spacing w:val="-2"/>
          <w:sz w:val="24"/>
        </w:rPr>
        <w:t>2011.</w:t>
      </w:r>
    </w:p>
    <w:p w:rsidR="007259F2" w:rsidRDefault="00E655B4">
      <w:pPr>
        <w:pStyle w:val="Corpodetexto"/>
        <w:spacing w:before="120"/>
        <w:ind w:right="421" w:firstLine="0"/>
      </w:pPr>
      <w:r>
        <w:t xml:space="preserve">ASCENSÃO, José de Oliveira. Fundamento do direito autoral como direito exclusivo. </w:t>
      </w:r>
      <w:r>
        <w:rPr>
          <w:i/>
        </w:rPr>
        <w:t>In</w:t>
      </w:r>
      <w:r>
        <w:t xml:space="preserve">: SANTOS, Manoel Joaquim Pereira dos; JABUR, Wilson Pinheiro; ASCENSÃO, José de Oliveira. </w:t>
      </w:r>
      <w:r>
        <w:rPr>
          <w:b/>
        </w:rPr>
        <w:t>Direito autoral</w:t>
      </w:r>
      <w:r>
        <w:t>. São Paulo: Editora Saraiva, 2020.</w:t>
      </w:r>
    </w:p>
    <w:p w:rsidR="007259F2" w:rsidRDefault="00E655B4">
      <w:pPr>
        <w:spacing w:before="120" w:line="343" w:lineRule="auto"/>
        <w:ind w:left="710" w:right="1616"/>
        <w:jc w:val="both"/>
        <w:rPr>
          <w:sz w:val="24"/>
        </w:rPr>
      </w:pPr>
      <w:r>
        <w:rPr>
          <w:sz w:val="24"/>
        </w:rPr>
        <w:t xml:space="preserve">BARTHES, Roland. </w:t>
      </w:r>
      <w:r>
        <w:rPr>
          <w:b/>
          <w:sz w:val="24"/>
        </w:rPr>
        <w:t>O rumor da língua</w:t>
      </w:r>
      <w:r>
        <w:rPr>
          <w:sz w:val="24"/>
        </w:rPr>
        <w:t>. São Paulo: Martins Fontes, 2004. BITTAR,</w:t>
      </w:r>
      <w:r>
        <w:rPr>
          <w:spacing w:val="-1"/>
          <w:sz w:val="24"/>
        </w:rPr>
        <w:t xml:space="preserve"> </w:t>
      </w:r>
      <w:r>
        <w:rPr>
          <w:sz w:val="24"/>
        </w:rPr>
        <w:t>Carlos</w:t>
      </w:r>
      <w:r>
        <w:rPr>
          <w:spacing w:val="-1"/>
          <w:sz w:val="24"/>
        </w:rPr>
        <w:t xml:space="preserve"> </w:t>
      </w:r>
      <w:r>
        <w:rPr>
          <w:sz w:val="24"/>
        </w:rPr>
        <w:t xml:space="preserve">Alberto. </w:t>
      </w:r>
      <w:r>
        <w:rPr>
          <w:b/>
          <w:sz w:val="24"/>
        </w:rPr>
        <w:t>Direito</w:t>
      </w:r>
      <w:r>
        <w:rPr>
          <w:b/>
          <w:spacing w:val="-1"/>
          <w:sz w:val="24"/>
        </w:rPr>
        <w:t xml:space="preserve"> </w:t>
      </w:r>
      <w:r>
        <w:rPr>
          <w:b/>
          <w:sz w:val="24"/>
        </w:rPr>
        <w:t>do</w:t>
      </w:r>
      <w:r>
        <w:rPr>
          <w:b/>
          <w:spacing w:val="-1"/>
          <w:sz w:val="24"/>
        </w:rPr>
        <w:t xml:space="preserve"> </w:t>
      </w:r>
      <w:r>
        <w:rPr>
          <w:b/>
          <w:sz w:val="24"/>
        </w:rPr>
        <w:t>Autor</w:t>
      </w:r>
      <w:r>
        <w:rPr>
          <w:sz w:val="24"/>
        </w:rPr>
        <w:t>. 8ª</w:t>
      </w:r>
      <w:r>
        <w:rPr>
          <w:spacing w:val="-1"/>
          <w:sz w:val="24"/>
        </w:rPr>
        <w:t xml:space="preserve"> </w:t>
      </w:r>
      <w:r>
        <w:rPr>
          <w:sz w:val="24"/>
        </w:rPr>
        <w:t>ed.</w:t>
      </w:r>
      <w:r>
        <w:rPr>
          <w:spacing w:val="-1"/>
          <w:sz w:val="24"/>
        </w:rPr>
        <w:t xml:space="preserve"> </w:t>
      </w:r>
      <w:r>
        <w:rPr>
          <w:sz w:val="24"/>
        </w:rPr>
        <w:t>Rio</w:t>
      </w:r>
      <w:r>
        <w:rPr>
          <w:spacing w:val="-1"/>
          <w:sz w:val="24"/>
        </w:rPr>
        <w:t xml:space="preserve"> </w:t>
      </w:r>
      <w:r>
        <w:rPr>
          <w:sz w:val="24"/>
        </w:rPr>
        <w:t>de</w:t>
      </w:r>
      <w:r>
        <w:rPr>
          <w:spacing w:val="-2"/>
          <w:sz w:val="24"/>
        </w:rPr>
        <w:t xml:space="preserve"> </w:t>
      </w:r>
      <w:r>
        <w:rPr>
          <w:sz w:val="24"/>
        </w:rPr>
        <w:t>Janeiro:</w:t>
      </w:r>
      <w:r>
        <w:rPr>
          <w:spacing w:val="-1"/>
          <w:sz w:val="24"/>
        </w:rPr>
        <w:t xml:space="preserve"> </w:t>
      </w:r>
      <w:r>
        <w:rPr>
          <w:sz w:val="24"/>
        </w:rPr>
        <w:t>Forense,</w:t>
      </w:r>
      <w:r>
        <w:rPr>
          <w:spacing w:val="1"/>
          <w:sz w:val="24"/>
        </w:rPr>
        <w:t xml:space="preserve"> </w:t>
      </w:r>
      <w:r>
        <w:rPr>
          <w:spacing w:val="-2"/>
          <w:sz w:val="24"/>
        </w:rPr>
        <w:t>2022.</w:t>
      </w:r>
    </w:p>
    <w:p w:rsidR="007259F2" w:rsidRDefault="00E655B4">
      <w:pPr>
        <w:tabs>
          <w:tab w:val="left" w:pos="2564"/>
          <w:tab w:val="left" w:pos="3903"/>
          <w:tab w:val="left" w:pos="5632"/>
          <w:tab w:val="left" w:pos="7269"/>
          <w:tab w:val="left" w:pos="9419"/>
        </w:tabs>
        <w:spacing w:before="3"/>
        <w:ind w:left="710" w:right="422"/>
        <w:jc w:val="both"/>
        <w:rPr>
          <w:sz w:val="24"/>
        </w:rPr>
      </w:pPr>
      <w:r>
        <w:rPr>
          <w:sz w:val="24"/>
        </w:rPr>
        <w:t>BRASIL. [</w:t>
      </w:r>
      <w:r>
        <w:rPr>
          <w:b/>
          <w:sz w:val="24"/>
        </w:rPr>
        <w:t xml:space="preserve">Constituição (1824)]. </w:t>
      </w:r>
      <w:r>
        <w:rPr>
          <w:b/>
          <w:i/>
          <w:sz w:val="24"/>
        </w:rPr>
        <w:t>Constituição Política do Império do Brazil</w:t>
      </w:r>
      <w:r>
        <w:rPr>
          <w:sz w:val="24"/>
        </w:rPr>
        <w:t xml:space="preserve">. Rio de Janeiro: </w:t>
      </w:r>
      <w:r>
        <w:rPr>
          <w:spacing w:val="-2"/>
          <w:sz w:val="24"/>
        </w:rPr>
        <w:t>Império</w:t>
      </w:r>
      <w:r>
        <w:rPr>
          <w:sz w:val="24"/>
        </w:rPr>
        <w:tab/>
      </w:r>
      <w:r>
        <w:rPr>
          <w:spacing w:val="-6"/>
          <w:sz w:val="24"/>
        </w:rPr>
        <w:t>do</w:t>
      </w:r>
      <w:r>
        <w:rPr>
          <w:sz w:val="24"/>
        </w:rPr>
        <w:tab/>
      </w:r>
      <w:r>
        <w:rPr>
          <w:spacing w:val="-2"/>
          <w:sz w:val="24"/>
        </w:rPr>
        <w:t>Brasil,</w:t>
      </w:r>
      <w:r>
        <w:rPr>
          <w:sz w:val="24"/>
        </w:rPr>
        <w:tab/>
      </w:r>
      <w:r>
        <w:rPr>
          <w:spacing w:val="-2"/>
          <w:sz w:val="24"/>
        </w:rPr>
        <w:t>1824.</w:t>
      </w:r>
      <w:r>
        <w:rPr>
          <w:sz w:val="24"/>
        </w:rPr>
        <w:tab/>
      </w:r>
      <w:r>
        <w:rPr>
          <w:spacing w:val="-2"/>
          <w:sz w:val="24"/>
        </w:rPr>
        <w:t>Disponível</w:t>
      </w:r>
      <w:r>
        <w:rPr>
          <w:sz w:val="24"/>
        </w:rPr>
        <w:tab/>
      </w:r>
      <w:r>
        <w:rPr>
          <w:spacing w:val="-4"/>
          <w:sz w:val="24"/>
        </w:rPr>
        <w:t xml:space="preserve">em: </w:t>
      </w:r>
      <w:hyperlink r:id="rId165">
        <w:r>
          <w:rPr>
            <w:color w:val="0000FF"/>
            <w:sz w:val="24"/>
            <w:u w:val="single" w:color="0000FF"/>
          </w:rPr>
          <w:t>https://www.planalto.gov.br/ccivil_03/constituicao/constituicao24.htm</w:t>
        </w:r>
      </w:hyperlink>
      <w:r>
        <w:rPr>
          <w:sz w:val="24"/>
        </w:rPr>
        <w:t xml:space="preserve">. Acesso em: 1 ago. </w:t>
      </w:r>
      <w:r>
        <w:rPr>
          <w:spacing w:val="-2"/>
          <w:sz w:val="24"/>
        </w:rPr>
        <w:t>2024.</w:t>
      </w:r>
    </w:p>
    <w:p w:rsidR="007259F2" w:rsidRDefault="00E655B4">
      <w:pPr>
        <w:pStyle w:val="Corpodetexto"/>
        <w:spacing w:before="120"/>
        <w:ind w:right="424" w:firstLine="0"/>
      </w:pPr>
      <w:r>
        <w:t xml:space="preserve">BRASIL. </w:t>
      </w:r>
      <w:r>
        <w:rPr>
          <w:b/>
        </w:rPr>
        <w:t>Lei nº 8.666, de 21 de junho de 1993</w:t>
      </w:r>
      <w:r>
        <w:t>. Regulamenta o art. 37, inciso XXI, da Constituição Federal, institui normas para licitações e contratos da Administração Pública e</w:t>
      </w:r>
      <w:r>
        <w:rPr>
          <w:spacing w:val="40"/>
        </w:rPr>
        <w:t xml:space="preserve"> </w:t>
      </w:r>
      <w:r>
        <w:t>dá outras providências. Brasília, DF: Presidência da República, 1993. Disponível em: https:/</w:t>
      </w:r>
      <w:hyperlink r:id="rId166">
        <w:r>
          <w:rPr>
            <w:color w:val="0000FF"/>
            <w:u w:val="single" w:color="0000FF"/>
          </w:rPr>
          <w:t>/www.planalto.gov.br/ccivil_03/leis/L8666consimpressao.htm.</w:t>
        </w:r>
      </w:hyperlink>
      <w:r>
        <w:rPr>
          <w:color w:val="0000FF"/>
        </w:rPr>
        <w:t xml:space="preserve"> </w:t>
      </w:r>
      <w:r>
        <w:t xml:space="preserve">Acesso em 20 de jul. de </w:t>
      </w:r>
      <w:r>
        <w:rPr>
          <w:spacing w:val="-2"/>
        </w:rPr>
        <w:t>2024.</w:t>
      </w:r>
    </w:p>
    <w:p w:rsidR="007259F2" w:rsidRDefault="00E655B4">
      <w:pPr>
        <w:pStyle w:val="Corpodetexto"/>
        <w:spacing w:before="120"/>
        <w:ind w:right="426" w:firstLine="0"/>
      </w:pPr>
      <w:r>
        <w:t xml:space="preserve">BRASIL. </w:t>
      </w:r>
      <w:r>
        <w:rPr>
          <w:b/>
        </w:rPr>
        <w:t>Lei nº 9.279, de 14 de maio de 1996</w:t>
      </w:r>
      <w:r>
        <w:t>. Regula direitos e obrigações relativos à propriedade industrial. Brasília, DF: Presidência da República, 1996. Disponível em: https:/</w:t>
      </w:r>
      <w:hyperlink r:id="rId167">
        <w:r>
          <w:rPr>
            <w:color w:val="0000FF"/>
            <w:u w:val="single" w:color="0000FF"/>
          </w:rPr>
          <w:t>/www.planalto.gov.br/cciviL_03/////LEIS/L9279.htm.</w:t>
        </w:r>
      </w:hyperlink>
      <w:r>
        <w:rPr>
          <w:color w:val="0000FF"/>
        </w:rPr>
        <w:t xml:space="preserve"> </w:t>
      </w:r>
      <w:r>
        <w:t>Acesso em 22 de jul. de 2024.</w:t>
      </w:r>
    </w:p>
    <w:p w:rsidR="007259F2" w:rsidRDefault="00E655B4">
      <w:pPr>
        <w:pStyle w:val="Corpodetexto"/>
        <w:spacing w:before="120"/>
        <w:ind w:right="423" w:firstLine="0"/>
      </w:pPr>
      <w:r>
        <w:t xml:space="preserve">BRASIL. </w:t>
      </w:r>
      <w:r>
        <w:rPr>
          <w:b/>
        </w:rPr>
        <w:t>Lei nº 9.609, de 19 de fevereiro de 1998</w:t>
      </w:r>
      <w:r>
        <w:t>. Dispõe sobre a proteção da propriedade intelectual de programa de computador. Brasília, DF: Presidência da República, 1998. Disponível em: https://</w:t>
      </w:r>
      <w:hyperlink r:id="rId168">
        <w:r>
          <w:rPr>
            <w:color w:val="0000FF"/>
            <w:u w:val="single" w:color="0000FF"/>
          </w:rPr>
          <w:t>www.planalto.gov.br/cciviL_03/////LEIS/L9609.htm.</w:t>
        </w:r>
      </w:hyperlink>
      <w:r>
        <w:rPr>
          <w:color w:val="0000FF"/>
        </w:rPr>
        <w:t xml:space="preserve"> </w:t>
      </w:r>
      <w:r>
        <w:t>Acesso em 20 de jul. de 2024.</w:t>
      </w:r>
    </w:p>
    <w:p w:rsidR="007259F2" w:rsidRDefault="00E655B4">
      <w:pPr>
        <w:pStyle w:val="Corpodetexto"/>
        <w:spacing w:before="121"/>
        <w:ind w:right="422" w:firstLine="0"/>
      </w:pPr>
      <w:r>
        <w:t xml:space="preserve">BRASIL. </w:t>
      </w:r>
      <w:r>
        <w:rPr>
          <w:b/>
        </w:rPr>
        <w:t>Lei nº 9.610, de 19 de fevereiro de 1998</w:t>
      </w:r>
      <w:r>
        <w:t>. Altera, atualiza e consolida a legislação sobre direitos autorais e dá outras providências. Brasília, DF: Presidência da República, 1998. Disponível</w:t>
      </w:r>
      <w:r>
        <w:rPr>
          <w:spacing w:val="-2"/>
        </w:rPr>
        <w:t xml:space="preserve"> </w:t>
      </w:r>
      <w:r>
        <w:t>em:</w:t>
      </w:r>
      <w:r>
        <w:rPr>
          <w:spacing w:val="-2"/>
        </w:rPr>
        <w:t xml:space="preserve"> </w:t>
      </w:r>
      <w:r>
        <w:t>https:/</w:t>
      </w:r>
      <w:hyperlink r:id="rId169">
        <w:r>
          <w:rPr>
            <w:color w:val="0000FF"/>
            <w:u w:val="single" w:color="0000FF"/>
          </w:rPr>
          <w:t>/www.planalto.gov.br/ccivil_03/leis/l9610.htm.</w:t>
        </w:r>
      </w:hyperlink>
      <w:r>
        <w:rPr>
          <w:color w:val="0000FF"/>
          <w:spacing w:val="-1"/>
        </w:rPr>
        <w:t xml:space="preserve"> </w:t>
      </w:r>
      <w:r>
        <w:t>Acesso</w:t>
      </w:r>
      <w:r>
        <w:rPr>
          <w:spacing w:val="-2"/>
        </w:rPr>
        <w:t xml:space="preserve"> </w:t>
      </w:r>
      <w:r>
        <w:t>em</w:t>
      </w:r>
      <w:r>
        <w:rPr>
          <w:spacing w:val="-2"/>
        </w:rPr>
        <w:t xml:space="preserve"> </w:t>
      </w:r>
      <w:r>
        <w:t>20</w:t>
      </w:r>
      <w:r>
        <w:rPr>
          <w:spacing w:val="-2"/>
        </w:rPr>
        <w:t xml:space="preserve"> </w:t>
      </w:r>
      <w:r>
        <w:t>de</w:t>
      </w:r>
      <w:r>
        <w:rPr>
          <w:spacing w:val="-3"/>
        </w:rPr>
        <w:t xml:space="preserve"> </w:t>
      </w:r>
      <w:r>
        <w:t>jul.</w:t>
      </w:r>
      <w:r>
        <w:rPr>
          <w:spacing w:val="-2"/>
        </w:rPr>
        <w:t xml:space="preserve"> </w:t>
      </w:r>
      <w:r>
        <w:t xml:space="preserve">de </w:t>
      </w:r>
      <w:r>
        <w:rPr>
          <w:spacing w:val="-2"/>
        </w:rPr>
        <w:t>2024.</w:t>
      </w:r>
    </w:p>
    <w:p w:rsidR="007259F2" w:rsidRDefault="00E655B4">
      <w:pPr>
        <w:pStyle w:val="Corpodetexto"/>
        <w:tabs>
          <w:tab w:val="left" w:pos="2763"/>
          <w:tab w:val="left" w:pos="3941"/>
          <w:tab w:val="left" w:pos="5923"/>
          <w:tab w:val="left" w:pos="7413"/>
          <w:tab w:val="left" w:pos="9416"/>
        </w:tabs>
        <w:spacing w:before="120"/>
        <w:ind w:right="425" w:firstLine="0"/>
      </w:pPr>
      <w:r>
        <w:t xml:space="preserve">BRASIL. </w:t>
      </w:r>
      <w:r>
        <w:rPr>
          <w:b/>
        </w:rPr>
        <w:t>Lei nº 10.406, de 10 de janeiro 2002</w:t>
      </w:r>
      <w:r>
        <w:t xml:space="preserve">. Institui o Código Civil. Brasília, DF: </w:t>
      </w:r>
      <w:r>
        <w:rPr>
          <w:spacing w:val="-2"/>
        </w:rPr>
        <w:t>Presidência</w:t>
      </w:r>
      <w:r>
        <w:tab/>
      </w:r>
      <w:r>
        <w:rPr>
          <w:spacing w:val="-6"/>
        </w:rPr>
        <w:t>da</w:t>
      </w:r>
      <w:r>
        <w:tab/>
      </w:r>
      <w:r>
        <w:rPr>
          <w:spacing w:val="-2"/>
        </w:rPr>
        <w:t>República,</w:t>
      </w:r>
      <w:r>
        <w:tab/>
      </w:r>
      <w:r>
        <w:rPr>
          <w:spacing w:val="-2"/>
        </w:rPr>
        <w:t>2002.</w:t>
      </w:r>
      <w:r>
        <w:tab/>
      </w:r>
      <w:r>
        <w:rPr>
          <w:spacing w:val="-2"/>
        </w:rPr>
        <w:t>Disponível</w:t>
      </w:r>
      <w:r>
        <w:tab/>
      </w:r>
      <w:r>
        <w:rPr>
          <w:spacing w:val="-4"/>
        </w:rPr>
        <w:t xml:space="preserve">em: </w:t>
      </w:r>
      <w:r>
        <w:t>https:/</w:t>
      </w:r>
      <w:hyperlink r:id="rId170">
        <w:r>
          <w:rPr>
            <w:color w:val="0000FF"/>
            <w:u w:val="single" w:color="0000FF"/>
          </w:rPr>
          <w:t>/www.planalto.gov.br/ccivil_03/leis/2002/l10406compilada.htm.</w:t>
        </w:r>
      </w:hyperlink>
      <w:r>
        <w:rPr>
          <w:color w:val="0000FF"/>
        </w:rPr>
        <w:t xml:space="preserve"> </w:t>
      </w:r>
      <w:r>
        <w:t>Acesso em 24 de jul. de 2024.</w:t>
      </w:r>
    </w:p>
    <w:p w:rsidR="007259F2" w:rsidRDefault="00E655B4">
      <w:pPr>
        <w:pStyle w:val="Corpodetexto"/>
        <w:tabs>
          <w:tab w:val="left" w:pos="1811"/>
          <w:tab w:val="left" w:pos="3648"/>
          <w:tab w:val="left" w:pos="4603"/>
          <w:tab w:val="left" w:pos="6364"/>
          <w:tab w:val="left" w:pos="7633"/>
          <w:tab w:val="left" w:pos="9418"/>
        </w:tabs>
        <w:spacing w:before="121"/>
        <w:ind w:right="424" w:firstLine="0"/>
      </w:pPr>
      <w:r>
        <w:t xml:space="preserve">BRASIL. </w:t>
      </w:r>
      <w:r>
        <w:rPr>
          <w:b/>
        </w:rPr>
        <w:t>Lei nº 10.973, de 2 de dezembro de 2004</w:t>
      </w:r>
      <w:r>
        <w:t>. Dispõe sobre incentivos à inovação e à pesquisa científica e tecnológica no ambiente produtivo e dá outras providências. Brasília,</w:t>
      </w:r>
      <w:r>
        <w:rPr>
          <w:spacing w:val="80"/>
        </w:rPr>
        <w:t xml:space="preserve"> </w:t>
      </w:r>
      <w:r>
        <w:rPr>
          <w:spacing w:val="-5"/>
        </w:rPr>
        <w:t>DF:</w:t>
      </w:r>
      <w:r>
        <w:tab/>
      </w:r>
      <w:r>
        <w:rPr>
          <w:spacing w:val="-2"/>
        </w:rPr>
        <w:t>Presidência</w:t>
      </w:r>
      <w:r>
        <w:tab/>
      </w:r>
      <w:r>
        <w:rPr>
          <w:spacing w:val="-5"/>
        </w:rPr>
        <w:t>da</w:t>
      </w:r>
      <w:r>
        <w:tab/>
      </w:r>
      <w:r>
        <w:rPr>
          <w:spacing w:val="-2"/>
        </w:rPr>
        <w:t>República,</w:t>
      </w:r>
      <w:r>
        <w:tab/>
      </w:r>
      <w:r>
        <w:rPr>
          <w:spacing w:val="-4"/>
        </w:rPr>
        <w:t>2004.</w:t>
      </w:r>
      <w:r>
        <w:tab/>
      </w:r>
      <w:r>
        <w:rPr>
          <w:spacing w:val="-2"/>
        </w:rPr>
        <w:t>Disponível</w:t>
      </w:r>
      <w:r>
        <w:tab/>
      </w:r>
      <w:r>
        <w:rPr>
          <w:spacing w:val="-5"/>
        </w:rPr>
        <w:t>em:</w:t>
      </w:r>
    </w:p>
    <w:p w:rsidR="007259F2" w:rsidRDefault="007259F2">
      <w:pPr>
        <w:pStyle w:val="Corpodetexto"/>
        <w:sectPr w:rsidR="007259F2">
          <w:pgSz w:w="11910" w:h="16840"/>
          <w:pgMar w:top="1600" w:right="708" w:bottom="1020" w:left="992" w:header="0" w:footer="820" w:gutter="0"/>
          <w:cols w:space="720"/>
        </w:sectPr>
      </w:pPr>
    </w:p>
    <w:p w:rsidR="007259F2" w:rsidRDefault="00DE6B1C">
      <w:pPr>
        <w:pStyle w:val="Corpodetexto"/>
        <w:spacing w:before="75"/>
        <w:ind w:right="423" w:firstLine="0"/>
      </w:pPr>
      <w:hyperlink r:id="rId171">
        <w:r w:rsidR="00E655B4">
          <w:rPr>
            <w:color w:val="0000FF"/>
            <w:u w:val="single" w:color="0000FF"/>
          </w:rPr>
          <w:t>https://www.planalto.gov.br/CCIVIL_03/////_Ato2004-2006/2004/Lei/L10.973.htm</w:t>
        </w:r>
      </w:hyperlink>
      <w:r w:rsidR="00E655B4">
        <w:t>. Acesso em 3 de ago. de 2024.</w:t>
      </w:r>
    </w:p>
    <w:p w:rsidR="007259F2" w:rsidRDefault="00E655B4">
      <w:pPr>
        <w:pStyle w:val="Corpodetexto"/>
        <w:spacing w:before="120"/>
        <w:ind w:right="424" w:firstLine="0"/>
      </w:pPr>
      <w:r>
        <w:t xml:space="preserve">BRASIL. </w:t>
      </w:r>
      <w:r>
        <w:rPr>
          <w:b/>
        </w:rPr>
        <w:t xml:space="preserve">Lei nº 13.243, de 11 de janeiro de 2016. </w:t>
      </w:r>
      <w:r>
        <w:t>Dispõe sobre estímulos ao desenvolvimento científico, à pesquisa, à capacitação científica e tecnológica e à inovação. Brasília, DF: Presidência da República, 2016. Disponível em: https:/</w:t>
      </w:r>
      <w:hyperlink r:id="rId172">
        <w:r>
          <w:rPr>
            <w:color w:val="0000FF"/>
            <w:u w:val="single" w:color="0000FF"/>
          </w:rPr>
          <w:t>/www.planalto.gov.br/ccivil_03/_Ato2015-2018/2016/Lei/L13243.htm.</w:t>
        </w:r>
      </w:hyperlink>
      <w:r>
        <w:rPr>
          <w:color w:val="0000FF"/>
          <w:spacing w:val="-6"/>
        </w:rPr>
        <w:t xml:space="preserve"> </w:t>
      </w:r>
      <w:r>
        <w:t>Acesso</w:t>
      </w:r>
      <w:r>
        <w:rPr>
          <w:spacing w:val="-5"/>
        </w:rPr>
        <w:t xml:space="preserve"> </w:t>
      </w:r>
      <w:r>
        <w:t>em</w:t>
      </w:r>
      <w:r>
        <w:rPr>
          <w:spacing w:val="-7"/>
        </w:rPr>
        <w:t xml:space="preserve"> </w:t>
      </w:r>
      <w:r>
        <w:t>3</w:t>
      </w:r>
      <w:r>
        <w:rPr>
          <w:spacing w:val="-7"/>
        </w:rPr>
        <w:t xml:space="preserve"> </w:t>
      </w:r>
      <w:r>
        <w:t>de ago. de 2024.</w:t>
      </w:r>
    </w:p>
    <w:p w:rsidR="007259F2" w:rsidRDefault="00E655B4">
      <w:pPr>
        <w:pStyle w:val="Corpodetexto"/>
        <w:tabs>
          <w:tab w:val="left" w:pos="2763"/>
          <w:tab w:val="left" w:pos="3941"/>
          <w:tab w:val="left" w:pos="5923"/>
          <w:tab w:val="left" w:pos="7413"/>
          <w:tab w:val="left" w:pos="9416"/>
        </w:tabs>
        <w:spacing w:before="120"/>
        <w:ind w:right="424" w:firstLine="0"/>
      </w:pPr>
      <w:r>
        <w:t xml:space="preserve">BRASIL. </w:t>
      </w:r>
      <w:r>
        <w:rPr>
          <w:b/>
        </w:rPr>
        <w:t>Lei nº 14.133, de 1º de abril de 2021</w:t>
      </w:r>
      <w:r>
        <w:t xml:space="preserve">. Lei de Licitações e Contratos. Brasília, DF: </w:t>
      </w:r>
      <w:r>
        <w:rPr>
          <w:spacing w:val="-2"/>
        </w:rPr>
        <w:t>Presidência</w:t>
      </w:r>
      <w:r>
        <w:tab/>
      </w:r>
      <w:r>
        <w:rPr>
          <w:spacing w:val="-6"/>
        </w:rPr>
        <w:t>da</w:t>
      </w:r>
      <w:r>
        <w:tab/>
      </w:r>
      <w:r>
        <w:rPr>
          <w:spacing w:val="-2"/>
        </w:rPr>
        <w:t>República,</w:t>
      </w:r>
      <w:r>
        <w:tab/>
      </w:r>
      <w:r>
        <w:rPr>
          <w:spacing w:val="-2"/>
        </w:rPr>
        <w:t>2021.</w:t>
      </w:r>
      <w:r>
        <w:tab/>
      </w:r>
      <w:r>
        <w:rPr>
          <w:spacing w:val="-2"/>
        </w:rPr>
        <w:t>Disponível</w:t>
      </w:r>
      <w:r>
        <w:tab/>
      </w:r>
      <w:r>
        <w:rPr>
          <w:spacing w:val="-4"/>
        </w:rPr>
        <w:t xml:space="preserve">em: </w:t>
      </w:r>
      <w:r>
        <w:t>https:/</w:t>
      </w:r>
      <w:hyperlink r:id="rId173">
        <w:r>
          <w:rPr>
            <w:color w:val="0000FF"/>
            <w:u w:val="single" w:color="0000FF"/>
          </w:rPr>
          <w:t>/www.planalto.gov.br/ccivil_03/_ato2019-</w:t>
        </w:r>
      </w:hyperlink>
      <w:r>
        <w:rPr>
          <w:color w:val="0000FF"/>
        </w:rPr>
        <w:t xml:space="preserve"> </w:t>
      </w:r>
      <w:r>
        <w:t>2022/2021/lei/l14133.htm. Acesso em 20 de jul. de 2024.</w:t>
      </w:r>
    </w:p>
    <w:p w:rsidR="007259F2" w:rsidRDefault="00E655B4">
      <w:pPr>
        <w:spacing w:before="121"/>
        <w:ind w:left="710"/>
        <w:jc w:val="both"/>
        <w:rPr>
          <w:sz w:val="24"/>
        </w:rPr>
      </w:pPr>
      <w:r>
        <w:rPr>
          <w:sz w:val="24"/>
        </w:rPr>
        <w:t>BOSI,</w:t>
      </w:r>
      <w:r>
        <w:rPr>
          <w:spacing w:val="-2"/>
          <w:sz w:val="24"/>
        </w:rPr>
        <w:t xml:space="preserve"> </w:t>
      </w:r>
      <w:r>
        <w:rPr>
          <w:sz w:val="24"/>
        </w:rPr>
        <w:t>Alfredo.</w:t>
      </w:r>
      <w:r>
        <w:rPr>
          <w:spacing w:val="-1"/>
          <w:sz w:val="24"/>
        </w:rPr>
        <w:t xml:space="preserve"> </w:t>
      </w:r>
      <w:r>
        <w:rPr>
          <w:b/>
          <w:sz w:val="24"/>
        </w:rPr>
        <w:t>Dialética da</w:t>
      </w:r>
      <w:r>
        <w:rPr>
          <w:b/>
          <w:spacing w:val="-1"/>
          <w:sz w:val="24"/>
        </w:rPr>
        <w:t xml:space="preserve"> </w:t>
      </w:r>
      <w:r>
        <w:rPr>
          <w:b/>
          <w:sz w:val="24"/>
        </w:rPr>
        <w:t>Colonização</w:t>
      </w:r>
      <w:r>
        <w:rPr>
          <w:sz w:val="24"/>
        </w:rPr>
        <w:t>.</w:t>
      </w:r>
      <w:r>
        <w:rPr>
          <w:spacing w:val="-2"/>
          <w:sz w:val="24"/>
        </w:rPr>
        <w:t xml:space="preserve"> </w:t>
      </w:r>
      <w:r>
        <w:rPr>
          <w:sz w:val="24"/>
        </w:rPr>
        <w:t>São</w:t>
      </w:r>
      <w:r>
        <w:rPr>
          <w:spacing w:val="-1"/>
          <w:sz w:val="24"/>
        </w:rPr>
        <w:t xml:space="preserve"> </w:t>
      </w:r>
      <w:r>
        <w:rPr>
          <w:sz w:val="24"/>
        </w:rPr>
        <w:t>Paulo,</w:t>
      </w:r>
      <w:r>
        <w:rPr>
          <w:spacing w:val="-1"/>
          <w:sz w:val="24"/>
        </w:rPr>
        <w:t xml:space="preserve"> </w:t>
      </w:r>
      <w:r>
        <w:rPr>
          <w:sz w:val="24"/>
        </w:rPr>
        <w:t>Companhia</w:t>
      </w:r>
      <w:r>
        <w:rPr>
          <w:spacing w:val="-3"/>
          <w:sz w:val="24"/>
        </w:rPr>
        <w:t xml:space="preserve"> </w:t>
      </w:r>
      <w:r>
        <w:rPr>
          <w:sz w:val="24"/>
        </w:rPr>
        <w:t>das</w:t>
      </w:r>
      <w:r>
        <w:rPr>
          <w:spacing w:val="1"/>
          <w:sz w:val="24"/>
        </w:rPr>
        <w:t xml:space="preserve"> </w:t>
      </w:r>
      <w:r>
        <w:rPr>
          <w:sz w:val="24"/>
        </w:rPr>
        <w:t>Letras,</w:t>
      </w:r>
      <w:r>
        <w:rPr>
          <w:spacing w:val="-1"/>
          <w:sz w:val="24"/>
        </w:rPr>
        <w:t xml:space="preserve"> </w:t>
      </w:r>
      <w:r>
        <w:rPr>
          <w:spacing w:val="-2"/>
          <w:sz w:val="24"/>
        </w:rPr>
        <w:t>1992.</w:t>
      </w:r>
    </w:p>
    <w:p w:rsidR="007259F2" w:rsidRDefault="00E655B4">
      <w:pPr>
        <w:pStyle w:val="Corpodetexto"/>
        <w:spacing w:before="120"/>
        <w:ind w:right="420" w:firstLine="0"/>
      </w:pPr>
      <w:r>
        <w:t xml:space="preserve">CAMPOS, Eudes. A vila de São Paulo do Campo e seus caminhos. </w:t>
      </w:r>
      <w:r>
        <w:rPr>
          <w:b/>
        </w:rPr>
        <w:t xml:space="preserve">Revista do Arquivo Municipal – </w:t>
      </w:r>
      <w:r>
        <w:t>Departamento do Patrimônio Histórico, São Paulo, v. 204, p. 11-34, 2006.</w:t>
      </w:r>
    </w:p>
    <w:p w:rsidR="007259F2" w:rsidRDefault="00E655B4">
      <w:pPr>
        <w:spacing w:before="120"/>
        <w:ind w:left="710" w:right="424"/>
        <w:jc w:val="both"/>
        <w:rPr>
          <w:sz w:val="24"/>
        </w:rPr>
      </w:pPr>
      <w:r>
        <w:rPr>
          <w:sz w:val="24"/>
        </w:rPr>
        <w:t xml:space="preserve">CARVALHO, Matheus. </w:t>
      </w:r>
      <w:r>
        <w:rPr>
          <w:b/>
          <w:sz w:val="24"/>
        </w:rPr>
        <w:t>Manual de Direito Administrativo</w:t>
      </w:r>
      <w:r>
        <w:rPr>
          <w:sz w:val="24"/>
        </w:rPr>
        <w:t>. 12 ed. São Paulo: Editora Juspodivm, 2024.</w:t>
      </w:r>
    </w:p>
    <w:p w:rsidR="007259F2" w:rsidRDefault="00E655B4">
      <w:pPr>
        <w:spacing w:before="120"/>
        <w:ind w:left="710" w:right="424"/>
        <w:jc w:val="both"/>
        <w:rPr>
          <w:sz w:val="24"/>
        </w:rPr>
      </w:pPr>
      <w:r>
        <w:rPr>
          <w:sz w:val="24"/>
        </w:rPr>
        <w:t xml:space="preserve">CARVALHO FILHO, José dos Santos. </w:t>
      </w:r>
      <w:r>
        <w:rPr>
          <w:b/>
          <w:sz w:val="24"/>
        </w:rPr>
        <w:t>Manual de Direito Administrativo</w:t>
      </w:r>
      <w:r>
        <w:rPr>
          <w:sz w:val="24"/>
        </w:rPr>
        <w:t>. 37ª ed. Barueri: Atlas, 2023.</w:t>
      </w:r>
    </w:p>
    <w:p w:rsidR="007259F2" w:rsidRDefault="00E655B4">
      <w:pPr>
        <w:spacing w:before="120"/>
        <w:ind w:left="710"/>
        <w:jc w:val="both"/>
        <w:rPr>
          <w:sz w:val="24"/>
        </w:rPr>
      </w:pPr>
      <w:r>
        <w:rPr>
          <w:sz w:val="24"/>
        </w:rPr>
        <w:t>CASTELLS,</w:t>
      </w:r>
      <w:r>
        <w:rPr>
          <w:spacing w:val="-2"/>
          <w:sz w:val="24"/>
        </w:rPr>
        <w:t xml:space="preserve"> </w:t>
      </w:r>
      <w:r>
        <w:rPr>
          <w:sz w:val="24"/>
        </w:rPr>
        <w:t xml:space="preserve">Manuel. </w:t>
      </w:r>
      <w:r>
        <w:rPr>
          <w:b/>
          <w:sz w:val="24"/>
        </w:rPr>
        <w:t>A sociedade</w:t>
      </w:r>
      <w:r>
        <w:rPr>
          <w:b/>
          <w:spacing w:val="-2"/>
          <w:sz w:val="24"/>
        </w:rPr>
        <w:t xml:space="preserve"> </w:t>
      </w:r>
      <w:r>
        <w:rPr>
          <w:b/>
          <w:sz w:val="24"/>
        </w:rPr>
        <w:t>em</w:t>
      </w:r>
      <w:r>
        <w:rPr>
          <w:b/>
          <w:spacing w:val="-5"/>
          <w:sz w:val="24"/>
        </w:rPr>
        <w:t xml:space="preserve"> </w:t>
      </w:r>
      <w:r>
        <w:rPr>
          <w:b/>
          <w:sz w:val="24"/>
        </w:rPr>
        <w:t>rede</w:t>
      </w:r>
      <w:r>
        <w:rPr>
          <w:sz w:val="24"/>
        </w:rPr>
        <w:t>.</w:t>
      </w:r>
      <w:r>
        <w:rPr>
          <w:spacing w:val="-1"/>
          <w:sz w:val="24"/>
        </w:rPr>
        <w:t xml:space="preserve"> </w:t>
      </w:r>
      <w:r>
        <w:rPr>
          <w:sz w:val="24"/>
        </w:rPr>
        <w:t>São Paulo:</w:t>
      </w:r>
      <w:r>
        <w:rPr>
          <w:spacing w:val="-1"/>
          <w:sz w:val="24"/>
        </w:rPr>
        <w:t xml:space="preserve"> </w:t>
      </w:r>
      <w:r>
        <w:rPr>
          <w:sz w:val="24"/>
        </w:rPr>
        <w:t>Paz e</w:t>
      </w:r>
      <w:r>
        <w:rPr>
          <w:spacing w:val="-2"/>
          <w:sz w:val="24"/>
        </w:rPr>
        <w:t xml:space="preserve"> </w:t>
      </w:r>
      <w:r>
        <w:rPr>
          <w:sz w:val="24"/>
        </w:rPr>
        <w:t>Terra,</w:t>
      </w:r>
      <w:r>
        <w:rPr>
          <w:spacing w:val="-1"/>
          <w:sz w:val="24"/>
        </w:rPr>
        <w:t xml:space="preserve"> </w:t>
      </w:r>
      <w:r>
        <w:rPr>
          <w:sz w:val="24"/>
        </w:rPr>
        <w:t>2000.</w:t>
      </w:r>
      <w:r>
        <w:rPr>
          <w:spacing w:val="1"/>
          <w:sz w:val="24"/>
        </w:rPr>
        <w:t xml:space="preserve"> </w:t>
      </w:r>
      <w:r>
        <w:rPr>
          <w:sz w:val="24"/>
        </w:rPr>
        <w:t>v.</w:t>
      </w:r>
      <w:r>
        <w:rPr>
          <w:spacing w:val="-1"/>
          <w:sz w:val="24"/>
        </w:rPr>
        <w:t xml:space="preserve"> </w:t>
      </w:r>
      <w:r>
        <w:rPr>
          <w:spacing w:val="-5"/>
          <w:sz w:val="24"/>
        </w:rPr>
        <w:t>1.</w:t>
      </w:r>
    </w:p>
    <w:p w:rsidR="007259F2" w:rsidRDefault="00E655B4">
      <w:pPr>
        <w:spacing w:before="120"/>
        <w:ind w:left="710" w:right="426"/>
        <w:jc w:val="both"/>
        <w:rPr>
          <w:sz w:val="24"/>
        </w:rPr>
      </w:pPr>
      <w:r>
        <w:rPr>
          <w:sz w:val="24"/>
        </w:rPr>
        <w:t xml:space="preserve">DAL POZZO, Augusto Neves; CAMMAROSANO, Marcio; ZOCKUN, Mauricio (coords.). </w:t>
      </w:r>
      <w:r>
        <w:rPr>
          <w:b/>
          <w:sz w:val="24"/>
        </w:rPr>
        <w:t>Lei de Licitações e Contratos Administrativos Comentada</w:t>
      </w:r>
      <w:r>
        <w:rPr>
          <w:sz w:val="24"/>
        </w:rPr>
        <w:t>. São Paulo: Thomson Reuters Brasil, 2021.</w:t>
      </w:r>
    </w:p>
    <w:p w:rsidR="007259F2" w:rsidRDefault="00E655B4">
      <w:pPr>
        <w:spacing w:before="121"/>
        <w:ind w:left="710" w:right="426"/>
        <w:jc w:val="both"/>
        <w:rPr>
          <w:sz w:val="24"/>
        </w:rPr>
      </w:pPr>
      <w:r>
        <w:rPr>
          <w:sz w:val="24"/>
        </w:rPr>
        <w:t xml:space="preserve">DINIZ, Maria Helena. </w:t>
      </w:r>
      <w:r>
        <w:rPr>
          <w:b/>
          <w:sz w:val="24"/>
        </w:rPr>
        <w:t>Dicionário jurídico universitário</w:t>
      </w:r>
      <w:r>
        <w:rPr>
          <w:sz w:val="24"/>
        </w:rPr>
        <w:t xml:space="preserve">. São Paulo: SRV Editora LTDA, </w:t>
      </w:r>
      <w:r>
        <w:rPr>
          <w:spacing w:val="-2"/>
          <w:sz w:val="24"/>
        </w:rPr>
        <w:t>2022.</w:t>
      </w:r>
    </w:p>
    <w:p w:rsidR="007259F2" w:rsidRDefault="00E655B4">
      <w:pPr>
        <w:spacing w:before="120"/>
        <w:ind w:left="710" w:right="426"/>
        <w:jc w:val="both"/>
        <w:rPr>
          <w:sz w:val="24"/>
        </w:rPr>
      </w:pPr>
      <w:r>
        <w:rPr>
          <w:sz w:val="24"/>
        </w:rPr>
        <w:t xml:space="preserve">DI PIETRO, Maria Sylvia Zanella. </w:t>
      </w:r>
      <w:r>
        <w:rPr>
          <w:b/>
          <w:sz w:val="24"/>
        </w:rPr>
        <w:t>Direito Administrativo</w:t>
      </w:r>
      <w:r>
        <w:rPr>
          <w:sz w:val="24"/>
        </w:rPr>
        <w:t xml:space="preserve">. 36ª ed. Rio de Janeiro: Forense, </w:t>
      </w:r>
      <w:r>
        <w:rPr>
          <w:spacing w:val="-2"/>
          <w:sz w:val="24"/>
        </w:rPr>
        <w:t>2023.</w:t>
      </w:r>
    </w:p>
    <w:p w:rsidR="007259F2" w:rsidRDefault="00E655B4">
      <w:pPr>
        <w:spacing w:before="117"/>
        <w:ind w:left="710" w:right="425"/>
        <w:jc w:val="both"/>
        <w:rPr>
          <w:sz w:val="24"/>
        </w:rPr>
      </w:pPr>
      <w:r>
        <w:rPr>
          <w:sz w:val="24"/>
        </w:rPr>
        <w:t xml:space="preserve">EDELMAN, Bernard. </w:t>
      </w:r>
      <w:r>
        <w:rPr>
          <w:b/>
          <w:sz w:val="24"/>
        </w:rPr>
        <w:t>O direito captado pela fotografia</w:t>
      </w:r>
      <w:r>
        <w:rPr>
          <w:sz w:val="24"/>
        </w:rPr>
        <w:t>: elementos para uma teoria</w:t>
      </w:r>
      <w:r>
        <w:rPr>
          <w:spacing w:val="40"/>
          <w:sz w:val="24"/>
        </w:rPr>
        <w:t xml:space="preserve"> </w:t>
      </w:r>
      <w:r>
        <w:rPr>
          <w:sz w:val="24"/>
        </w:rPr>
        <w:t>marxista do direito. Coimbra: Centelha, 1976.</w:t>
      </w:r>
    </w:p>
    <w:p w:rsidR="007259F2" w:rsidRDefault="00E655B4">
      <w:pPr>
        <w:pStyle w:val="Corpodetexto"/>
        <w:spacing w:before="120"/>
        <w:ind w:right="426" w:firstLine="0"/>
      </w:pPr>
      <w:r>
        <w:t xml:space="preserve">FREUD, Sigmund. </w:t>
      </w:r>
      <w:r>
        <w:rPr>
          <w:b/>
        </w:rPr>
        <w:t>Obras completas, volume 11</w:t>
      </w:r>
      <w:r>
        <w:t>: totem e tabu, contribuição à história do movimento psicanalítico e outros textos (1912-1914); tradução Paulo César de Souza. São Paulo: Companhia das Letras, 2012.</w:t>
      </w:r>
    </w:p>
    <w:p w:rsidR="007259F2" w:rsidRDefault="00E655B4">
      <w:pPr>
        <w:pStyle w:val="Corpodetexto"/>
        <w:spacing w:before="121"/>
        <w:ind w:right="423" w:firstLine="0"/>
      </w:pPr>
      <w:r>
        <w:t xml:space="preserve">FONSECA, Maria Augusta. Antonio Candido leitor de Oswald de Andrade. </w:t>
      </w:r>
      <w:r>
        <w:rPr>
          <w:b/>
        </w:rPr>
        <w:t>Literatura e Sociedade</w:t>
      </w:r>
      <w:r>
        <w:t>, São Paulo, Brasil, v. 24, n. 30, p. 106–119, 2019.</w:t>
      </w:r>
    </w:p>
    <w:p w:rsidR="007259F2" w:rsidRDefault="00E655B4">
      <w:pPr>
        <w:pStyle w:val="Corpodetexto"/>
        <w:spacing w:before="120"/>
        <w:ind w:firstLine="0"/>
      </w:pPr>
      <w:r>
        <w:t>HAN,</w:t>
      </w:r>
      <w:r>
        <w:rPr>
          <w:spacing w:val="-2"/>
        </w:rPr>
        <w:t xml:space="preserve"> </w:t>
      </w:r>
      <w:r>
        <w:t>Byung-Chul.</w:t>
      </w:r>
      <w:r>
        <w:rPr>
          <w:spacing w:val="-2"/>
        </w:rPr>
        <w:t xml:space="preserve"> </w:t>
      </w:r>
      <w:r>
        <w:rPr>
          <w:b/>
        </w:rPr>
        <w:t>Shanzhai</w:t>
      </w:r>
      <w:r>
        <w:t>:</w:t>
      </w:r>
      <w:r>
        <w:rPr>
          <w:spacing w:val="-2"/>
        </w:rPr>
        <w:t xml:space="preserve"> </w:t>
      </w:r>
      <w:r>
        <w:t>desconstrução</w:t>
      </w:r>
      <w:r>
        <w:rPr>
          <w:spacing w:val="-1"/>
        </w:rPr>
        <w:t xml:space="preserve"> </w:t>
      </w:r>
      <w:r>
        <w:t>em chinês.</w:t>
      </w:r>
      <w:r>
        <w:rPr>
          <w:spacing w:val="-2"/>
        </w:rPr>
        <w:t xml:space="preserve"> </w:t>
      </w:r>
      <w:r>
        <w:t>Petrópolis:</w:t>
      </w:r>
      <w:r>
        <w:rPr>
          <w:spacing w:val="-2"/>
        </w:rPr>
        <w:t xml:space="preserve"> </w:t>
      </w:r>
      <w:r>
        <w:t>Vozes,</w:t>
      </w:r>
      <w:r>
        <w:rPr>
          <w:spacing w:val="-1"/>
        </w:rPr>
        <w:t xml:space="preserve"> </w:t>
      </w:r>
      <w:r>
        <w:rPr>
          <w:spacing w:val="-2"/>
        </w:rPr>
        <w:t>2023.</w:t>
      </w:r>
    </w:p>
    <w:p w:rsidR="007259F2" w:rsidRDefault="00E655B4">
      <w:pPr>
        <w:spacing w:before="120"/>
        <w:ind w:left="710" w:right="423"/>
        <w:jc w:val="both"/>
        <w:rPr>
          <w:sz w:val="24"/>
        </w:rPr>
      </w:pPr>
      <w:r>
        <w:rPr>
          <w:sz w:val="24"/>
        </w:rPr>
        <w:t xml:space="preserve">HEINEN, Juliano. </w:t>
      </w:r>
      <w:r>
        <w:rPr>
          <w:b/>
          <w:sz w:val="24"/>
        </w:rPr>
        <w:t xml:space="preserve">Comentários à Lei de Licitações e Contratos Administrativos </w:t>
      </w:r>
      <w:r>
        <w:rPr>
          <w:sz w:val="24"/>
        </w:rPr>
        <w:t>– Lei nº 14.133/21. 3 ed. São Paulo, Editora Juspodivm, 2023.</w:t>
      </w:r>
    </w:p>
    <w:p w:rsidR="007259F2" w:rsidRDefault="00E655B4">
      <w:pPr>
        <w:pStyle w:val="Corpodetexto"/>
        <w:spacing w:before="120"/>
        <w:ind w:right="423" w:firstLine="0"/>
      </w:pPr>
      <w:r>
        <w:t xml:space="preserve">JEFFERSON, Thomas. </w:t>
      </w:r>
      <w:r>
        <w:rPr>
          <w:b/>
        </w:rPr>
        <w:t xml:space="preserve">Carta </w:t>
      </w:r>
      <w:r>
        <w:t xml:space="preserve">a Isaac McPherson. Virginia, Estados Unidos, 13 ago. 1813. Disponível em: </w:t>
      </w:r>
      <w:hyperlink r:id="rId174">
        <w:r>
          <w:rPr>
            <w:color w:val="0000FF"/>
            <w:u w:val="single" w:color="0000FF"/>
          </w:rPr>
          <w:t>https://founders.archives.gov/documents/Jefferson/03-06-02-0322</w:t>
        </w:r>
      </w:hyperlink>
      <w:r>
        <w:t>. Acesso</w:t>
      </w:r>
      <w:r>
        <w:rPr>
          <w:spacing w:val="40"/>
        </w:rPr>
        <w:t xml:space="preserve"> </w:t>
      </w:r>
      <w:r>
        <w:t>em: 2 ago. 2024.</w:t>
      </w:r>
    </w:p>
    <w:p w:rsidR="007259F2" w:rsidRDefault="00E655B4">
      <w:pPr>
        <w:spacing w:before="121"/>
        <w:ind w:left="710" w:right="427"/>
        <w:jc w:val="both"/>
        <w:rPr>
          <w:sz w:val="24"/>
        </w:rPr>
      </w:pPr>
      <w:r>
        <w:rPr>
          <w:sz w:val="24"/>
        </w:rPr>
        <w:t xml:space="preserve">JUSTEN FILHO, Marçal. </w:t>
      </w:r>
      <w:r>
        <w:rPr>
          <w:b/>
          <w:sz w:val="24"/>
        </w:rPr>
        <w:t>Comentários à Lei de Licitações e Contratações Administrativas</w:t>
      </w:r>
      <w:r>
        <w:rPr>
          <w:sz w:val="24"/>
        </w:rPr>
        <w:t>. 2ª ed. São Paulo: Thomson Reuters Brasil, 2023.</w:t>
      </w:r>
    </w:p>
    <w:p w:rsidR="007259F2" w:rsidRDefault="007259F2">
      <w:pPr>
        <w:jc w:val="both"/>
        <w:rPr>
          <w:sz w:val="24"/>
        </w:rPr>
        <w:sectPr w:rsidR="007259F2">
          <w:pgSz w:w="11910" w:h="16840"/>
          <w:pgMar w:top="1600" w:right="708" w:bottom="1020" w:left="992" w:header="0" w:footer="820" w:gutter="0"/>
          <w:cols w:space="720"/>
        </w:sectPr>
      </w:pPr>
    </w:p>
    <w:p w:rsidR="007259F2" w:rsidRDefault="00E655B4">
      <w:pPr>
        <w:pStyle w:val="Corpodetexto"/>
        <w:spacing w:before="75"/>
        <w:ind w:right="422" w:firstLine="0"/>
      </w:pPr>
      <w:r>
        <w:lastRenderedPageBreak/>
        <w:t xml:space="preserve">KALEWSKA, Anna. Os autos indianistas de José de Anchieta e a iniciação do teatro luso- brasileiro. </w:t>
      </w:r>
      <w:r>
        <w:rPr>
          <w:b/>
        </w:rPr>
        <w:t>Itinerarios</w:t>
      </w:r>
      <w:r>
        <w:t>. Revista de estudios lingüísticos, literarios, históricos y</w:t>
      </w:r>
      <w:r>
        <w:rPr>
          <w:spacing w:val="-2"/>
        </w:rPr>
        <w:t xml:space="preserve"> </w:t>
      </w:r>
      <w:r>
        <w:t>antropológicos, Varsovia, Polônia, v. 6, p. 175-193, 2006.</w:t>
      </w:r>
    </w:p>
    <w:p w:rsidR="007259F2" w:rsidRDefault="00E655B4">
      <w:pPr>
        <w:pStyle w:val="Corpodetexto"/>
        <w:spacing w:before="120"/>
        <w:ind w:right="427" w:firstLine="0"/>
      </w:pPr>
      <w:r>
        <w:t xml:space="preserve">LESSIG, Lawrence. </w:t>
      </w:r>
      <w:r>
        <w:rPr>
          <w:b/>
        </w:rPr>
        <w:t>Cultura livre</w:t>
      </w:r>
      <w:r>
        <w:t>: como a grande mídia usa a tecnologia e a lei para</w:t>
      </w:r>
      <w:r>
        <w:rPr>
          <w:spacing w:val="40"/>
        </w:rPr>
        <w:t xml:space="preserve"> </w:t>
      </w:r>
      <w:r>
        <w:t>bloquear a cultura e controlar a criatividade. São Paulo: Trama Universitário, 2004.</w:t>
      </w:r>
    </w:p>
    <w:p w:rsidR="007259F2" w:rsidRDefault="00E655B4">
      <w:pPr>
        <w:pStyle w:val="Corpodetexto"/>
        <w:tabs>
          <w:tab w:val="left" w:pos="2334"/>
          <w:tab w:val="left" w:pos="3132"/>
          <w:tab w:val="left" w:pos="4174"/>
          <w:tab w:val="left" w:pos="4728"/>
          <w:tab w:val="left" w:pos="5529"/>
          <w:tab w:val="left" w:pos="6503"/>
          <w:tab w:val="left" w:pos="7931"/>
          <w:tab w:val="left" w:pos="9418"/>
        </w:tabs>
        <w:spacing w:before="120"/>
        <w:ind w:right="422" w:firstLine="0"/>
        <w:jc w:val="left"/>
      </w:pPr>
      <w:r>
        <w:t>MAIA,</w:t>
      </w:r>
      <w:r>
        <w:rPr>
          <w:spacing w:val="30"/>
        </w:rPr>
        <w:t xml:space="preserve"> </w:t>
      </w:r>
      <w:r>
        <w:t>Larissa.</w:t>
      </w:r>
      <w:r>
        <w:rPr>
          <w:spacing w:val="30"/>
        </w:rPr>
        <w:t xml:space="preserve"> </w:t>
      </w:r>
      <w:r>
        <w:t>As</w:t>
      </w:r>
      <w:r>
        <w:rPr>
          <w:spacing w:val="28"/>
        </w:rPr>
        <w:t xml:space="preserve"> </w:t>
      </w:r>
      <w:r>
        <w:t>10</w:t>
      </w:r>
      <w:r>
        <w:rPr>
          <w:spacing w:val="33"/>
        </w:rPr>
        <w:t xml:space="preserve"> </w:t>
      </w:r>
      <w:r>
        <w:t>maiores</w:t>
      </w:r>
      <w:r>
        <w:rPr>
          <w:spacing w:val="29"/>
        </w:rPr>
        <w:t xml:space="preserve"> </w:t>
      </w:r>
      <w:r>
        <w:t>empresas</w:t>
      </w:r>
      <w:r>
        <w:rPr>
          <w:spacing w:val="31"/>
        </w:rPr>
        <w:t xml:space="preserve"> </w:t>
      </w:r>
      <w:r>
        <w:t>do</w:t>
      </w:r>
      <w:r>
        <w:rPr>
          <w:spacing w:val="28"/>
        </w:rPr>
        <w:t xml:space="preserve"> </w:t>
      </w:r>
      <w:r>
        <w:t>mundo</w:t>
      </w:r>
      <w:r>
        <w:rPr>
          <w:spacing w:val="28"/>
        </w:rPr>
        <w:t xml:space="preserve"> </w:t>
      </w:r>
      <w:r>
        <w:t>em</w:t>
      </w:r>
      <w:r>
        <w:rPr>
          <w:spacing w:val="29"/>
        </w:rPr>
        <w:t xml:space="preserve"> </w:t>
      </w:r>
      <w:r>
        <w:t>valor</w:t>
      </w:r>
      <w:r>
        <w:rPr>
          <w:spacing w:val="28"/>
        </w:rPr>
        <w:t xml:space="preserve"> </w:t>
      </w:r>
      <w:r>
        <w:t>de</w:t>
      </w:r>
      <w:r>
        <w:rPr>
          <w:spacing w:val="28"/>
        </w:rPr>
        <w:t xml:space="preserve"> </w:t>
      </w:r>
      <w:r>
        <w:t>mercado</w:t>
      </w:r>
      <w:r>
        <w:rPr>
          <w:spacing w:val="28"/>
        </w:rPr>
        <w:t xml:space="preserve"> </w:t>
      </w:r>
      <w:r>
        <w:t>em</w:t>
      </w:r>
      <w:r>
        <w:rPr>
          <w:spacing w:val="29"/>
        </w:rPr>
        <w:t xml:space="preserve"> </w:t>
      </w:r>
      <w:r>
        <w:t>2024.</w:t>
      </w:r>
      <w:r>
        <w:rPr>
          <w:spacing w:val="38"/>
        </w:rPr>
        <w:t xml:space="preserve"> </w:t>
      </w:r>
      <w:r>
        <w:rPr>
          <w:b/>
        </w:rPr>
        <w:t xml:space="preserve">Valor </w:t>
      </w:r>
      <w:r>
        <w:rPr>
          <w:b/>
          <w:spacing w:val="-2"/>
        </w:rPr>
        <w:t>Econômico</w:t>
      </w:r>
      <w:r>
        <w:rPr>
          <w:spacing w:val="-2"/>
        </w:rPr>
        <w:t>,</w:t>
      </w:r>
      <w:r>
        <w:tab/>
      </w:r>
      <w:r>
        <w:rPr>
          <w:spacing w:val="-4"/>
        </w:rPr>
        <w:t>São</w:t>
      </w:r>
      <w:r>
        <w:tab/>
      </w:r>
      <w:r>
        <w:rPr>
          <w:spacing w:val="-2"/>
        </w:rPr>
        <w:t>Paulo,</w:t>
      </w:r>
      <w:r>
        <w:tab/>
      </w:r>
      <w:r>
        <w:rPr>
          <w:spacing w:val="-10"/>
        </w:rPr>
        <w:t>7</w:t>
      </w:r>
      <w:r>
        <w:tab/>
      </w:r>
      <w:r>
        <w:rPr>
          <w:spacing w:val="-4"/>
        </w:rPr>
        <w:t>jun.</w:t>
      </w:r>
      <w:r>
        <w:tab/>
      </w:r>
      <w:r>
        <w:rPr>
          <w:spacing w:val="-2"/>
        </w:rPr>
        <w:t>2024.</w:t>
      </w:r>
      <w:r>
        <w:tab/>
      </w:r>
      <w:r>
        <w:rPr>
          <w:spacing w:val="-2"/>
        </w:rPr>
        <w:t>Empresas.</w:t>
      </w:r>
      <w:r>
        <w:tab/>
      </w:r>
      <w:r>
        <w:rPr>
          <w:spacing w:val="-2"/>
        </w:rPr>
        <w:t>Disponível</w:t>
      </w:r>
      <w:r>
        <w:tab/>
      </w:r>
      <w:r>
        <w:rPr>
          <w:spacing w:val="-4"/>
        </w:rPr>
        <w:t xml:space="preserve">em: </w:t>
      </w:r>
      <w:r>
        <w:rPr>
          <w:spacing w:val="-2"/>
        </w:rPr>
        <w:t xml:space="preserve">https://valor.globo.com/empresas/noticia/2024/06/07/as-10-maiores-empresas-do-mundo-em- </w:t>
      </w:r>
      <w:r>
        <w:t>valor-de-mercado-em-2024.ghtml. Acesso em: 16 set. 2024.</w:t>
      </w:r>
    </w:p>
    <w:p w:rsidR="007259F2" w:rsidRDefault="00E655B4">
      <w:pPr>
        <w:spacing w:before="120"/>
        <w:ind w:left="710" w:right="561"/>
        <w:rPr>
          <w:sz w:val="24"/>
        </w:rPr>
      </w:pPr>
      <w:r>
        <w:rPr>
          <w:sz w:val="24"/>
        </w:rPr>
        <w:t xml:space="preserve">NAVARRO, Eduardo de Almeida. </w:t>
      </w:r>
      <w:r>
        <w:rPr>
          <w:b/>
          <w:sz w:val="24"/>
        </w:rPr>
        <w:t>Dicionário de tupi antigo</w:t>
      </w:r>
      <w:r>
        <w:rPr>
          <w:sz w:val="24"/>
        </w:rPr>
        <w:t>: a língua indígena clássica do Brasil. São Paulo: Global, 2013.</w:t>
      </w:r>
    </w:p>
    <w:p w:rsidR="007259F2" w:rsidRDefault="00E655B4">
      <w:pPr>
        <w:spacing w:before="121" w:line="343" w:lineRule="auto"/>
        <w:ind w:left="710"/>
        <w:rPr>
          <w:sz w:val="24"/>
        </w:rPr>
      </w:pPr>
      <w:r>
        <w:rPr>
          <w:sz w:val="24"/>
        </w:rPr>
        <w:t>NETTO,</w:t>
      </w:r>
      <w:r>
        <w:rPr>
          <w:spacing w:val="-3"/>
          <w:sz w:val="24"/>
        </w:rPr>
        <w:t xml:space="preserve"> </w:t>
      </w:r>
      <w:r>
        <w:rPr>
          <w:sz w:val="24"/>
        </w:rPr>
        <w:t>José</w:t>
      </w:r>
      <w:r>
        <w:rPr>
          <w:spacing w:val="-3"/>
          <w:sz w:val="24"/>
        </w:rPr>
        <w:t xml:space="preserve"> </w:t>
      </w:r>
      <w:r>
        <w:rPr>
          <w:sz w:val="24"/>
        </w:rPr>
        <w:t>Carlos</w:t>
      </w:r>
      <w:r>
        <w:rPr>
          <w:spacing w:val="-3"/>
          <w:sz w:val="24"/>
        </w:rPr>
        <w:t xml:space="preserve"> </w:t>
      </w:r>
      <w:r>
        <w:rPr>
          <w:sz w:val="24"/>
        </w:rPr>
        <w:t>Costa.</w:t>
      </w:r>
      <w:r>
        <w:rPr>
          <w:spacing w:val="-3"/>
          <w:sz w:val="24"/>
        </w:rPr>
        <w:t xml:space="preserve"> </w:t>
      </w:r>
      <w:r>
        <w:rPr>
          <w:b/>
          <w:sz w:val="24"/>
        </w:rPr>
        <w:t>Direito</w:t>
      </w:r>
      <w:r>
        <w:rPr>
          <w:b/>
          <w:spacing w:val="-3"/>
          <w:sz w:val="24"/>
        </w:rPr>
        <w:t xml:space="preserve"> </w:t>
      </w:r>
      <w:r>
        <w:rPr>
          <w:b/>
          <w:sz w:val="24"/>
        </w:rPr>
        <w:t>autoral</w:t>
      </w:r>
      <w:r>
        <w:rPr>
          <w:b/>
          <w:spacing w:val="-3"/>
          <w:sz w:val="24"/>
        </w:rPr>
        <w:t xml:space="preserve"> </w:t>
      </w:r>
      <w:r>
        <w:rPr>
          <w:b/>
          <w:sz w:val="24"/>
        </w:rPr>
        <w:t>no</w:t>
      </w:r>
      <w:r>
        <w:rPr>
          <w:b/>
          <w:spacing w:val="-3"/>
          <w:sz w:val="24"/>
        </w:rPr>
        <w:t xml:space="preserve"> </w:t>
      </w:r>
      <w:r>
        <w:rPr>
          <w:b/>
          <w:sz w:val="24"/>
        </w:rPr>
        <w:t>Brasil</w:t>
      </w:r>
      <w:r>
        <w:rPr>
          <w:sz w:val="24"/>
        </w:rPr>
        <w:t>.</w:t>
      </w:r>
      <w:r>
        <w:rPr>
          <w:spacing w:val="-3"/>
          <w:sz w:val="24"/>
        </w:rPr>
        <w:t xml:space="preserve"> </w:t>
      </w:r>
      <w:r>
        <w:rPr>
          <w:sz w:val="24"/>
        </w:rPr>
        <w:t>4ª</w:t>
      </w:r>
      <w:r>
        <w:rPr>
          <w:spacing w:val="-3"/>
          <w:sz w:val="24"/>
        </w:rPr>
        <w:t xml:space="preserve"> </w:t>
      </w:r>
      <w:r>
        <w:rPr>
          <w:sz w:val="24"/>
        </w:rPr>
        <w:t>ed.</w:t>
      </w:r>
      <w:r>
        <w:rPr>
          <w:spacing w:val="-3"/>
          <w:sz w:val="24"/>
        </w:rPr>
        <w:t xml:space="preserve"> </w:t>
      </w:r>
      <w:r>
        <w:rPr>
          <w:sz w:val="24"/>
        </w:rPr>
        <w:t>São</w:t>
      </w:r>
      <w:r>
        <w:rPr>
          <w:spacing w:val="-3"/>
          <w:sz w:val="24"/>
        </w:rPr>
        <w:t xml:space="preserve"> </w:t>
      </w:r>
      <w:r>
        <w:rPr>
          <w:sz w:val="24"/>
        </w:rPr>
        <w:t>Paulo</w:t>
      </w:r>
      <w:r>
        <w:rPr>
          <w:spacing w:val="-3"/>
          <w:sz w:val="24"/>
        </w:rPr>
        <w:t xml:space="preserve"> </w:t>
      </w:r>
      <w:r>
        <w:rPr>
          <w:sz w:val="24"/>
        </w:rPr>
        <w:t>:</w:t>
      </w:r>
      <w:r>
        <w:rPr>
          <w:spacing w:val="-3"/>
          <w:sz w:val="24"/>
        </w:rPr>
        <w:t xml:space="preserve"> </w:t>
      </w:r>
      <w:r>
        <w:rPr>
          <w:sz w:val="24"/>
        </w:rPr>
        <w:t>SaraivaJur,</w:t>
      </w:r>
      <w:r>
        <w:rPr>
          <w:spacing w:val="-3"/>
          <w:sz w:val="24"/>
        </w:rPr>
        <w:t xml:space="preserve"> </w:t>
      </w:r>
      <w:r>
        <w:rPr>
          <w:sz w:val="24"/>
        </w:rPr>
        <w:t xml:space="preserve">2023. NOHARA, Irene Patrícia D. </w:t>
      </w:r>
      <w:r>
        <w:rPr>
          <w:b/>
          <w:sz w:val="24"/>
        </w:rPr>
        <w:t>Direito Administrativo</w:t>
      </w:r>
      <w:r>
        <w:rPr>
          <w:sz w:val="24"/>
        </w:rPr>
        <w:t>. 13ª ed. Barueri: Atlas, 2024.</w:t>
      </w:r>
    </w:p>
    <w:p w:rsidR="007259F2" w:rsidRDefault="00E655B4">
      <w:pPr>
        <w:spacing w:before="3"/>
        <w:ind w:left="710" w:right="421"/>
        <w:jc w:val="both"/>
        <w:rPr>
          <w:sz w:val="24"/>
        </w:rPr>
      </w:pPr>
      <w:r>
        <w:rPr>
          <w:sz w:val="24"/>
        </w:rPr>
        <w:t xml:space="preserve">NOLL, Volker; DIETRICH, Wolf (organizadores). </w:t>
      </w:r>
      <w:r>
        <w:rPr>
          <w:b/>
          <w:sz w:val="24"/>
        </w:rPr>
        <w:t>O Português e o tupi no Brasil</w:t>
      </w:r>
      <w:r>
        <w:rPr>
          <w:sz w:val="24"/>
        </w:rPr>
        <w:t>. São Paulo: Contexto, 2019.</w:t>
      </w:r>
    </w:p>
    <w:p w:rsidR="007259F2" w:rsidRDefault="00E655B4">
      <w:pPr>
        <w:spacing w:before="120"/>
        <w:ind w:left="710" w:right="421"/>
        <w:jc w:val="both"/>
        <w:rPr>
          <w:sz w:val="24"/>
        </w:rPr>
      </w:pPr>
      <w:r>
        <w:rPr>
          <w:sz w:val="24"/>
        </w:rPr>
        <w:t xml:space="preserve">NUNES, Benedito. Antropofagia ao alcance de todos. </w:t>
      </w:r>
      <w:r>
        <w:rPr>
          <w:i/>
          <w:sz w:val="24"/>
        </w:rPr>
        <w:t>In</w:t>
      </w:r>
      <w:r>
        <w:rPr>
          <w:sz w:val="24"/>
        </w:rPr>
        <w:t xml:space="preserve">: ANDRADE, Oswald. </w:t>
      </w:r>
      <w:r>
        <w:rPr>
          <w:b/>
          <w:sz w:val="24"/>
        </w:rPr>
        <w:t>A utopia antropofágica</w:t>
      </w:r>
      <w:r>
        <w:rPr>
          <w:sz w:val="24"/>
        </w:rPr>
        <w:t>. São Paulo: Globo, 2011.</w:t>
      </w:r>
    </w:p>
    <w:p w:rsidR="007259F2" w:rsidRDefault="00E655B4">
      <w:pPr>
        <w:spacing w:before="120"/>
        <w:ind w:left="710" w:right="421"/>
        <w:jc w:val="both"/>
        <w:rPr>
          <w:sz w:val="24"/>
        </w:rPr>
      </w:pPr>
      <w:r>
        <w:rPr>
          <w:sz w:val="24"/>
        </w:rPr>
        <w:t xml:space="preserve">OMC. </w:t>
      </w:r>
      <w:r>
        <w:rPr>
          <w:b/>
          <w:sz w:val="24"/>
        </w:rPr>
        <w:t xml:space="preserve">Trade-Related Aspects of Intellectual Property Rights (TRIPS). </w:t>
      </w:r>
      <w:r>
        <w:rPr>
          <w:sz w:val="24"/>
        </w:rPr>
        <w:t>Marraqueche: WTO, 1994. Disponível em: https:/</w:t>
      </w:r>
      <w:hyperlink r:id="rId175">
        <w:r>
          <w:rPr>
            <w:color w:val="0000FF"/>
            <w:sz w:val="24"/>
            <w:u w:val="single" w:color="0000FF"/>
          </w:rPr>
          <w:t>/www.wto.org/english/docs_e/legal_e/27-trips_01_e.htm.</w:t>
        </w:r>
      </w:hyperlink>
      <w:r>
        <w:rPr>
          <w:color w:val="0000FF"/>
          <w:sz w:val="24"/>
        </w:rPr>
        <w:t xml:space="preserve"> </w:t>
      </w:r>
      <w:r>
        <w:rPr>
          <w:sz w:val="24"/>
        </w:rPr>
        <w:t>Acesso em: 5 de ago. de 2024.</w:t>
      </w:r>
    </w:p>
    <w:p w:rsidR="007259F2" w:rsidRDefault="00E655B4">
      <w:pPr>
        <w:pStyle w:val="Corpodetexto"/>
        <w:tabs>
          <w:tab w:val="left" w:pos="1986"/>
          <w:tab w:val="left" w:pos="3296"/>
          <w:tab w:val="left" w:pos="5035"/>
          <w:tab w:val="left" w:pos="6316"/>
          <w:tab w:val="left" w:pos="7473"/>
          <w:tab w:val="left" w:pos="9487"/>
        </w:tabs>
        <w:spacing w:before="120"/>
        <w:ind w:right="424" w:firstLine="0"/>
        <w:jc w:val="left"/>
      </w:pPr>
      <w:r>
        <w:rPr>
          <w:spacing w:val="-2"/>
        </w:rPr>
        <w:t>OMPI.</w:t>
      </w:r>
      <w:r>
        <w:tab/>
      </w:r>
      <w:r>
        <w:rPr>
          <w:b/>
          <w:spacing w:val="-2"/>
        </w:rPr>
        <w:t>Global</w:t>
      </w:r>
      <w:r>
        <w:rPr>
          <w:b/>
        </w:rPr>
        <w:tab/>
      </w:r>
      <w:r>
        <w:rPr>
          <w:b/>
          <w:spacing w:val="-2"/>
        </w:rPr>
        <w:t>Innovation</w:t>
      </w:r>
      <w:r>
        <w:rPr>
          <w:b/>
        </w:rPr>
        <w:tab/>
      </w:r>
      <w:r>
        <w:rPr>
          <w:b/>
          <w:spacing w:val="-2"/>
        </w:rPr>
        <w:t>Index:</w:t>
      </w:r>
      <w:r>
        <w:rPr>
          <w:b/>
        </w:rPr>
        <w:tab/>
      </w:r>
      <w:r>
        <w:rPr>
          <w:b/>
          <w:spacing w:val="-2"/>
        </w:rPr>
        <w:t>2023,</w:t>
      </w:r>
      <w:r>
        <w:rPr>
          <w:b/>
        </w:rPr>
        <w:tab/>
      </w:r>
      <w:r>
        <w:rPr>
          <w:b/>
          <w:spacing w:val="-2"/>
        </w:rPr>
        <w:t>(a).</w:t>
      </w:r>
      <w:r>
        <w:rPr>
          <w:spacing w:val="-2"/>
        </w:rPr>
        <w:t>Disponível</w:t>
      </w:r>
      <w:r>
        <w:tab/>
      </w:r>
      <w:r>
        <w:rPr>
          <w:spacing w:val="-6"/>
        </w:rPr>
        <w:t xml:space="preserve">em </w:t>
      </w:r>
      <w:r>
        <w:rPr>
          <w:spacing w:val="-2"/>
        </w:rPr>
        <w:t>https:/</w:t>
      </w:r>
      <w:hyperlink r:id="rId176">
        <w:r>
          <w:rPr>
            <w:color w:val="0000FF"/>
            <w:spacing w:val="-2"/>
            <w:u w:val="single" w:color="0000FF"/>
          </w:rPr>
          <w:t>/www.wipo.int/edocs/pubdocs/en/wipo-pub-2000-2023-en-main-report-</w:t>
        </w:r>
      </w:hyperlink>
      <w:r>
        <w:rPr>
          <w:color w:val="0000FF"/>
          <w:spacing w:val="-2"/>
        </w:rPr>
        <w:t xml:space="preserve"> </w:t>
      </w:r>
      <w:r>
        <w:t>globalinnovation-index-2023-16th-edition.pdf. Acesso em 2 de ago. de 2024.</w:t>
      </w:r>
    </w:p>
    <w:p w:rsidR="007259F2" w:rsidRDefault="00E655B4">
      <w:pPr>
        <w:tabs>
          <w:tab w:val="left" w:pos="1662"/>
          <w:tab w:val="left" w:pos="2626"/>
          <w:tab w:val="left" w:pos="4082"/>
          <w:tab w:val="left" w:pos="5293"/>
          <w:tab w:val="left" w:pos="6641"/>
          <w:tab w:val="left" w:pos="7416"/>
          <w:tab w:val="left" w:pos="8072"/>
          <w:tab w:val="left" w:pos="9420"/>
        </w:tabs>
        <w:spacing w:before="120"/>
        <w:ind w:left="710" w:right="424"/>
        <w:rPr>
          <w:sz w:val="24"/>
        </w:rPr>
      </w:pPr>
      <w:r>
        <w:rPr>
          <w:spacing w:val="-2"/>
          <w:sz w:val="24"/>
        </w:rPr>
        <w:t>OMPI.</w:t>
      </w:r>
      <w:r>
        <w:rPr>
          <w:sz w:val="24"/>
        </w:rPr>
        <w:tab/>
      </w:r>
      <w:r>
        <w:rPr>
          <w:b/>
          <w:spacing w:val="-2"/>
          <w:sz w:val="24"/>
        </w:rPr>
        <w:t>World</w:t>
      </w:r>
      <w:r>
        <w:rPr>
          <w:b/>
          <w:sz w:val="24"/>
        </w:rPr>
        <w:tab/>
      </w:r>
      <w:r>
        <w:rPr>
          <w:b/>
          <w:spacing w:val="-2"/>
          <w:sz w:val="24"/>
        </w:rPr>
        <w:t>Intellectual</w:t>
      </w:r>
      <w:r>
        <w:rPr>
          <w:b/>
          <w:sz w:val="24"/>
        </w:rPr>
        <w:tab/>
      </w:r>
      <w:r>
        <w:rPr>
          <w:b/>
          <w:spacing w:val="-2"/>
          <w:sz w:val="24"/>
        </w:rPr>
        <w:t>Property</w:t>
      </w:r>
      <w:r>
        <w:rPr>
          <w:b/>
          <w:sz w:val="24"/>
        </w:rPr>
        <w:tab/>
      </w:r>
      <w:r>
        <w:rPr>
          <w:b/>
          <w:spacing w:val="-2"/>
          <w:sz w:val="24"/>
        </w:rPr>
        <w:t>Indicators</w:t>
      </w:r>
      <w:r>
        <w:rPr>
          <w:b/>
          <w:sz w:val="24"/>
        </w:rPr>
        <w:tab/>
      </w:r>
      <w:r>
        <w:rPr>
          <w:b/>
          <w:spacing w:val="-4"/>
          <w:sz w:val="24"/>
        </w:rPr>
        <w:t>2023</w:t>
      </w:r>
      <w:r>
        <w:rPr>
          <w:b/>
          <w:sz w:val="24"/>
        </w:rPr>
        <w:tab/>
      </w:r>
      <w:r>
        <w:rPr>
          <w:b/>
          <w:spacing w:val="-4"/>
          <w:sz w:val="24"/>
        </w:rPr>
        <w:t>(b).</w:t>
      </w:r>
      <w:r>
        <w:rPr>
          <w:b/>
          <w:sz w:val="24"/>
        </w:rPr>
        <w:tab/>
      </w:r>
      <w:r>
        <w:rPr>
          <w:spacing w:val="-2"/>
          <w:sz w:val="24"/>
        </w:rPr>
        <w:t>Disponível</w:t>
      </w:r>
      <w:r>
        <w:rPr>
          <w:sz w:val="24"/>
        </w:rPr>
        <w:tab/>
      </w:r>
      <w:r>
        <w:rPr>
          <w:spacing w:val="-4"/>
          <w:sz w:val="24"/>
        </w:rPr>
        <w:t xml:space="preserve">em: </w:t>
      </w:r>
      <w:r>
        <w:rPr>
          <w:spacing w:val="-2"/>
          <w:sz w:val="24"/>
        </w:rPr>
        <w:t>https:/</w:t>
      </w:r>
      <w:hyperlink r:id="rId177">
        <w:r>
          <w:rPr>
            <w:color w:val="0000FF"/>
            <w:spacing w:val="-2"/>
            <w:sz w:val="24"/>
            <w:u w:val="single" w:color="0000FF"/>
          </w:rPr>
          <w:t>/www.wipo.int/edocs/pubdocs/en/wipo-pub-941-2023-en-world-intellectual-</w:t>
        </w:r>
      </w:hyperlink>
      <w:r>
        <w:rPr>
          <w:color w:val="0000FF"/>
          <w:spacing w:val="-2"/>
          <w:sz w:val="24"/>
        </w:rPr>
        <w:t xml:space="preserve"> </w:t>
      </w:r>
      <w:r>
        <w:rPr>
          <w:sz w:val="24"/>
        </w:rPr>
        <w:t>propertyindicators-2023.pdf. Acesso em 2 de ago. de 2024.</w:t>
      </w:r>
    </w:p>
    <w:p w:rsidR="007259F2" w:rsidRDefault="00E655B4">
      <w:pPr>
        <w:spacing w:before="118"/>
        <w:ind w:left="710"/>
        <w:rPr>
          <w:sz w:val="24"/>
        </w:rPr>
      </w:pPr>
      <w:r>
        <w:rPr>
          <w:sz w:val="24"/>
        </w:rPr>
        <w:t>PAESANI,</w:t>
      </w:r>
      <w:r>
        <w:rPr>
          <w:spacing w:val="-2"/>
          <w:sz w:val="24"/>
        </w:rPr>
        <w:t xml:space="preserve"> </w:t>
      </w:r>
      <w:r>
        <w:rPr>
          <w:sz w:val="24"/>
        </w:rPr>
        <w:t>Liliana</w:t>
      </w:r>
      <w:r>
        <w:rPr>
          <w:spacing w:val="-2"/>
          <w:sz w:val="24"/>
        </w:rPr>
        <w:t xml:space="preserve"> </w:t>
      </w:r>
      <w:r>
        <w:rPr>
          <w:sz w:val="24"/>
        </w:rPr>
        <w:t>Minardi.</w:t>
      </w:r>
      <w:r>
        <w:rPr>
          <w:spacing w:val="1"/>
          <w:sz w:val="24"/>
        </w:rPr>
        <w:t xml:space="preserve"> </w:t>
      </w:r>
      <w:r>
        <w:rPr>
          <w:b/>
          <w:sz w:val="24"/>
        </w:rPr>
        <w:t>Direito</w:t>
      </w:r>
      <w:r>
        <w:rPr>
          <w:b/>
          <w:spacing w:val="-2"/>
          <w:sz w:val="24"/>
        </w:rPr>
        <w:t xml:space="preserve"> </w:t>
      </w:r>
      <w:r>
        <w:rPr>
          <w:b/>
          <w:sz w:val="24"/>
        </w:rPr>
        <w:t>de</w:t>
      </w:r>
      <w:r>
        <w:rPr>
          <w:b/>
          <w:spacing w:val="-2"/>
          <w:sz w:val="24"/>
        </w:rPr>
        <w:t xml:space="preserve"> </w:t>
      </w:r>
      <w:r>
        <w:rPr>
          <w:b/>
          <w:sz w:val="24"/>
        </w:rPr>
        <w:t>informática</w:t>
      </w:r>
      <w:r>
        <w:rPr>
          <w:sz w:val="24"/>
        </w:rPr>
        <w:t>.</w:t>
      </w:r>
      <w:r>
        <w:rPr>
          <w:spacing w:val="-1"/>
          <w:sz w:val="24"/>
        </w:rPr>
        <w:t xml:space="preserve"> </w:t>
      </w:r>
      <w:r>
        <w:rPr>
          <w:sz w:val="24"/>
        </w:rPr>
        <w:t>10ª</w:t>
      </w:r>
      <w:r>
        <w:rPr>
          <w:spacing w:val="-1"/>
          <w:sz w:val="24"/>
        </w:rPr>
        <w:t xml:space="preserve"> </w:t>
      </w:r>
      <w:r>
        <w:rPr>
          <w:sz w:val="24"/>
        </w:rPr>
        <w:t>ed.</w:t>
      </w:r>
      <w:r>
        <w:rPr>
          <w:spacing w:val="-1"/>
          <w:sz w:val="24"/>
        </w:rPr>
        <w:t xml:space="preserve"> </w:t>
      </w:r>
      <w:r>
        <w:rPr>
          <w:sz w:val="24"/>
        </w:rPr>
        <w:t>São</w:t>
      </w:r>
      <w:r>
        <w:rPr>
          <w:spacing w:val="-1"/>
          <w:sz w:val="24"/>
        </w:rPr>
        <w:t xml:space="preserve"> </w:t>
      </w:r>
      <w:r>
        <w:rPr>
          <w:sz w:val="24"/>
        </w:rPr>
        <w:t>Paulo</w:t>
      </w:r>
      <w:r>
        <w:rPr>
          <w:spacing w:val="-1"/>
          <w:sz w:val="24"/>
        </w:rPr>
        <w:t xml:space="preserve"> </w:t>
      </w:r>
      <w:r>
        <w:rPr>
          <w:sz w:val="24"/>
        </w:rPr>
        <w:t>:</w:t>
      </w:r>
      <w:r>
        <w:rPr>
          <w:spacing w:val="-1"/>
          <w:sz w:val="24"/>
        </w:rPr>
        <w:t xml:space="preserve"> </w:t>
      </w:r>
      <w:r>
        <w:rPr>
          <w:sz w:val="24"/>
        </w:rPr>
        <w:t>Atlas,</w:t>
      </w:r>
      <w:r>
        <w:rPr>
          <w:spacing w:val="-1"/>
          <w:sz w:val="24"/>
        </w:rPr>
        <w:t xml:space="preserve"> </w:t>
      </w:r>
      <w:r>
        <w:rPr>
          <w:spacing w:val="-4"/>
          <w:sz w:val="24"/>
        </w:rPr>
        <w:t>2015</w:t>
      </w:r>
    </w:p>
    <w:p w:rsidR="007259F2" w:rsidRDefault="00E655B4">
      <w:pPr>
        <w:spacing w:before="120"/>
        <w:ind w:left="710" w:right="424"/>
        <w:rPr>
          <w:sz w:val="24"/>
        </w:rPr>
      </w:pPr>
      <w:r>
        <w:rPr>
          <w:sz w:val="24"/>
        </w:rPr>
        <w:t>SÃO</w:t>
      </w:r>
      <w:r>
        <w:rPr>
          <w:spacing w:val="40"/>
          <w:sz w:val="24"/>
        </w:rPr>
        <w:t xml:space="preserve"> </w:t>
      </w:r>
      <w:r>
        <w:rPr>
          <w:sz w:val="24"/>
        </w:rPr>
        <w:t>PAULO.</w:t>
      </w:r>
      <w:r>
        <w:rPr>
          <w:spacing w:val="40"/>
          <w:sz w:val="24"/>
        </w:rPr>
        <w:t xml:space="preserve"> </w:t>
      </w:r>
      <w:r>
        <w:rPr>
          <w:sz w:val="24"/>
        </w:rPr>
        <w:t>[Constituição</w:t>
      </w:r>
      <w:r>
        <w:rPr>
          <w:spacing w:val="40"/>
          <w:sz w:val="24"/>
        </w:rPr>
        <w:t xml:space="preserve"> </w:t>
      </w:r>
      <w:r>
        <w:rPr>
          <w:sz w:val="24"/>
        </w:rPr>
        <w:t>(1989)].</w:t>
      </w:r>
      <w:r>
        <w:rPr>
          <w:spacing w:val="40"/>
          <w:sz w:val="24"/>
        </w:rPr>
        <w:t xml:space="preserve"> </w:t>
      </w:r>
      <w:r>
        <w:rPr>
          <w:b/>
          <w:sz w:val="24"/>
        </w:rPr>
        <w:t>Constituição</w:t>
      </w:r>
      <w:r>
        <w:rPr>
          <w:b/>
          <w:spacing w:val="40"/>
          <w:sz w:val="24"/>
        </w:rPr>
        <w:t xml:space="preserve"> </w:t>
      </w:r>
      <w:r>
        <w:rPr>
          <w:b/>
          <w:sz w:val="24"/>
        </w:rPr>
        <w:t>do</w:t>
      </w:r>
      <w:r>
        <w:rPr>
          <w:b/>
          <w:spacing w:val="40"/>
          <w:sz w:val="24"/>
        </w:rPr>
        <w:t xml:space="preserve"> </w:t>
      </w:r>
      <w:r>
        <w:rPr>
          <w:b/>
          <w:sz w:val="24"/>
        </w:rPr>
        <w:t>Estado</w:t>
      </w:r>
      <w:r>
        <w:rPr>
          <w:b/>
          <w:spacing w:val="40"/>
          <w:sz w:val="24"/>
        </w:rPr>
        <w:t xml:space="preserve"> </w:t>
      </w:r>
      <w:r>
        <w:rPr>
          <w:b/>
          <w:sz w:val="24"/>
        </w:rPr>
        <w:t>de</w:t>
      </w:r>
      <w:r>
        <w:rPr>
          <w:b/>
          <w:spacing w:val="40"/>
          <w:sz w:val="24"/>
        </w:rPr>
        <w:t xml:space="preserve"> </w:t>
      </w:r>
      <w:r>
        <w:rPr>
          <w:b/>
          <w:sz w:val="24"/>
        </w:rPr>
        <w:t>São</w:t>
      </w:r>
      <w:r>
        <w:rPr>
          <w:b/>
          <w:spacing w:val="40"/>
          <w:sz w:val="24"/>
        </w:rPr>
        <w:t xml:space="preserve"> </w:t>
      </w:r>
      <w:r>
        <w:rPr>
          <w:b/>
          <w:sz w:val="24"/>
        </w:rPr>
        <w:t>Paulo</w:t>
      </w:r>
      <w:r>
        <w:rPr>
          <w:sz w:val="24"/>
        </w:rPr>
        <w:t>.</w:t>
      </w:r>
      <w:r>
        <w:rPr>
          <w:spacing w:val="40"/>
          <w:sz w:val="24"/>
        </w:rPr>
        <w:t xml:space="preserve"> </w:t>
      </w:r>
      <w:r>
        <w:rPr>
          <w:sz w:val="24"/>
        </w:rPr>
        <w:t>São</w:t>
      </w:r>
      <w:r>
        <w:rPr>
          <w:spacing w:val="40"/>
          <w:sz w:val="24"/>
        </w:rPr>
        <w:t xml:space="preserve"> </w:t>
      </w:r>
      <w:r>
        <w:rPr>
          <w:sz w:val="24"/>
        </w:rPr>
        <w:t>Paulo, Assembleia Legislativa do Estado,1989. Disponível em:</w:t>
      </w:r>
    </w:p>
    <w:p w:rsidR="007259F2" w:rsidRDefault="00E655B4">
      <w:pPr>
        <w:pStyle w:val="Corpodetexto"/>
        <w:spacing w:before="121"/>
        <w:ind w:firstLine="0"/>
        <w:jc w:val="left"/>
      </w:pPr>
      <w:r>
        <w:rPr>
          <w:spacing w:val="-2"/>
        </w:rPr>
        <w:t>https:/</w:t>
      </w:r>
      <w:hyperlink r:id="rId178">
        <w:r>
          <w:rPr>
            <w:color w:val="0000FF"/>
            <w:spacing w:val="-2"/>
            <w:u w:val="single" w:color="0000FF"/>
          </w:rPr>
          <w:t>/www.al.sp.gov.br/repositorio/legislacao/constituicao/1989/compilacao-constituicao-0-</w:t>
        </w:r>
      </w:hyperlink>
      <w:r>
        <w:rPr>
          <w:color w:val="0000FF"/>
          <w:spacing w:val="-2"/>
        </w:rPr>
        <w:t xml:space="preserve"> </w:t>
      </w:r>
      <w:r>
        <w:t>05.10.1989.html. Acesso em 26 de jul. de 2024.</w:t>
      </w:r>
    </w:p>
    <w:p w:rsidR="007259F2" w:rsidRDefault="00E655B4">
      <w:pPr>
        <w:pStyle w:val="Corpodetexto"/>
        <w:spacing w:before="120"/>
        <w:ind w:right="420" w:firstLine="0"/>
      </w:pPr>
      <w:r>
        <w:t xml:space="preserve">SÃO PAULO (SP). </w:t>
      </w:r>
      <w:r>
        <w:rPr>
          <w:b/>
        </w:rPr>
        <w:t>Lei Orgânica do Município de São Paulo</w:t>
      </w:r>
      <w:r>
        <w:t>. São Paulo, SP: Prefeitura Municipal de São Paulo, 1990. Disponível em: https:/</w:t>
      </w:r>
      <w:hyperlink r:id="rId179">
        <w:r>
          <w:rPr>
            <w:color w:val="0000FF"/>
            <w:u w:val="single" w:color="0000FF"/>
          </w:rPr>
          <w:t>/www.saopaulo.sp.leg.br/atividade-</w:t>
        </w:r>
      </w:hyperlink>
      <w:r>
        <w:rPr>
          <w:color w:val="0000FF"/>
        </w:rPr>
        <w:t xml:space="preserve"> </w:t>
      </w:r>
      <w:hyperlink r:id="rId180">
        <w:r>
          <w:rPr>
            <w:color w:val="0000FF"/>
            <w:u w:val="single" w:color="0000FF"/>
          </w:rPr>
          <w:t>legislativa/lei-organica-do-municipio/.</w:t>
        </w:r>
      </w:hyperlink>
      <w:r>
        <w:rPr>
          <w:color w:val="0000FF"/>
        </w:rPr>
        <w:t xml:space="preserve"> </w:t>
      </w:r>
      <w:r>
        <w:t>Acesso em 24 de jul. de 2024.</w:t>
      </w:r>
    </w:p>
    <w:p w:rsidR="007259F2" w:rsidRDefault="00E655B4">
      <w:pPr>
        <w:pStyle w:val="Corpodetexto"/>
        <w:spacing w:before="120"/>
        <w:ind w:right="422" w:firstLine="0"/>
      </w:pPr>
      <w:r>
        <w:t xml:space="preserve">SÃO PAULO (SP). </w:t>
      </w:r>
      <w:r>
        <w:rPr>
          <w:b/>
        </w:rPr>
        <w:t xml:space="preserve">Lei nº 18.173 de 25 de Julho de 2024. </w:t>
      </w:r>
      <w:r>
        <w:t>Dispõe sobre as diretrizes orçamentárias para o exercício de 2025. São Paulo, SP: Prefeitura Municipal de São Paulo, 2024. Disponível em https://legislacao.prefeitura.sp.gov.br/leis/lei-18173- de-25-de-julho-de- 2024. Acesso em 4 de ago. de 2024.</w:t>
      </w:r>
    </w:p>
    <w:p w:rsidR="007259F2" w:rsidRDefault="00E655B4">
      <w:pPr>
        <w:spacing w:before="120"/>
        <w:ind w:left="710"/>
        <w:jc w:val="both"/>
        <w:rPr>
          <w:sz w:val="24"/>
        </w:rPr>
      </w:pPr>
      <w:r>
        <w:rPr>
          <w:sz w:val="24"/>
        </w:rPr>
        <w:t>SILVEIRA,</w:t>
      </w:r>
      <w:r>
        <w:rPr>
          <w:spacing w:val="-2"/>
          <w:sz w:val="24"/>
        </w:rPr>
        <w:t xml:space="preserve"> </w:t>
      </w:r>
      <w:r>
        <w:rPr>
          <w:sz w:val="24"/>
        </w:rPr>
        <w:t>Newton.</w:t>
      </w:r>
      <w:r>
        <w:rPr>
          <w:spacing w:val="2"/>
          <w:sz w:val="24"/>
        </w:rPr>
        <w:t xml:space="preserve"> </w:t>
      </w:r>
      <w:r>
        <w:rPr>
          <w:b/>
          <w:sz w:val="24"/>
        </w:rPr>
        <w:t>Propriedade</w:t>
      </w:r>
      <w:r>
        <w:rPr>
          <w:b/>
          <w:spacing w:val="-2"/>
          <w:sz w:val="24"/>
        </w:rPr>
        <w:t xml:space="preserve"> </w:t>
      </w:r>
      <w:r>
        <w:rPr>
          <w:b/>
          <w:sz w:val="24"/>
        </w:rPr>
        <w:t>Intelectual</w:t>
      </w:r>
      <w:r>
        <w:rPr>
          <w:sz w:val="24"/>
        </w:rPr>
        <w:t>.</w:t>
      </w:r>
      <w:r>
        <w:rPr>
          <w:spacing w:val="-2"/>
          <w:sz w:val="24"/>
        </w:rPr>
        <w:t xml:space="preserve"> </w:t>
      </w:r>
      <w:r>
        <w:rPr>
          <w:sz w:val="24"/>
        </w:rPr>
        <w:t>6</w:t>
      </w:r>
      <w:r>
        <w:rPr>
          <w:spacing w:val="-1"/>
          <w:sz w:val="24"/>
        </w:rPr>
        <w:t xml:space="preserve"> </w:t>
      </w:r>
      <w:r>
        <w:rPr>
          <w:sz w:val="24"/>
        </w:rPr>
        <w:t>ed.,</w:t>
      </w:r>
      <w:r>
        <w:rPr>
          <w:spacing w:val="-1"/>
          <w:sz w:val="24"/>
        </w:rPr>
        <w:t xml:space="preserve"> </w:t>
      </w:r>
      <w:r>
        <w:rPr>
          <w:sz w:val="24"/>
        </w:rPr>
        <w:t>rev.</w:t>
      </w:r>
      <w:r>
        <w:rPr>
          <w:spacing w:val="-1"/>
          <w:sz w:val="24"/>
        </w:rPr>
        <w:t xml:space="preserve"> </w:t>
      </w:r>
      <w:r>
        <w:rPr>
          <w:sz w:val="24"/>
        </w:rPr>
        <w:t>e</w:t>
      </w:r>
      <w:r>
        <w:rPr>
          <w:spacing w:val="-1"/>
          <w:sz w:val="24"/>
        </w:rPr>
        <w:t xml:space="preserve"> </w:t>
      </w:r>
      <w:r>
        <w:rPr>
          <w:sz w:val="24"/>
        </w:rPr>
        <w:t>ampl.</w:t>
      </w:r>
      <w:r>
        <w:rPr>
          <w:spacing w:val="-1"/>
          <w:sz w:val="24"/>
        </w:rPr>
        <w:t xml:space="preserve"> </w:t>
      </w:r>
      <w:r>
        <w:rPr>
          <w:sz w:val="24"/>
        </w:rPr>
        <w:t>Barueri:</w:t>
      </w:r>
      <w:r>
        <w:rPr>
          <w:spacing w:val="-1"/>
          <w:sz w:val="24"/>
        </w:rPr>
        <w:t xml:space="preserve"> </w:t>
      </w:r>
      <w:r>
        <w:rPr>
          <w:sz w:val="24"/>
        </w:rPr>
        <w:t>Manole,</w:t>
      </w:r>
      <w:r>
        <w:rPr>
          <w:spacing w:val="-1"/>
          <w:sz w:val="24"/>
        </w:rPr>
        <w:t xml:space="preserve"> </w:t>
      </w:r>
      <w:r>
        <w:rPr>
          <w:spacing w:val="-2"/>
          <w:sz w:val="24"/>
        </w:rPr>
        <w:t>2018.</w:t>
      </w:r>
    </w:p>
    <w:p w:rsidR="007259F2" w:rsidRDefault="00E655B4">
      <w:pPr>
        <w:spacing w:before="120"/>
        <w:ind w:left="710" w:right="422"/>
        <w:jc w:val="both"/>
        <w:rPr>
          <w:sz w:val="24"/>
        </w:rPr>
      </w:pPr>
      <w:r>
        <w:rPr>
          <w:sz w:val="24"/>
        </w:rPr>
        <w:t xml:space="preserve">SURITA DOS SANTOS, Antonio Ricardo (no prelo). </w:t>
      </w:r>
      <w:r>
        <w:rPr>
          <w:b/>
          <w:sz w:val="24"/>
        </w:rPr>
        <w:t>O novo papel dos entes públicos regionais e locais brasileiros no processo de inovação tecnológica e no desenvolvimento e Gestão da propriedade intelectual</w:t>
      </w:r>
      <w:r>
        <w:rPr>
          <w:sz w:val="24"/>
        </w:rPr>
        <w:t>. São Paulo: Conpedi, 2024.</w:t>
      </w:r>
    </w:p>
    <w:p w:rsidR="007259F2" w:rsidRDefault="007259F2">
      <w:pPr>
        <w:jc w:val="both"/>
        <w:rPr>
          <w:sz w:val="24"/>
        </w:rPr>
        <w:sectPr w:rsidR="007259F2">
          <w:pgSz w:w="11910" w:h="16840"/>
          <w:pgMar w:top="1600" w:right="708" w:bottom="1020" w:left="992" w:header="0" w:footer="820" w:gutter="0"/>
          <w:cols w:space="720"/>
        </w:sectPr>
      </w:pPr>
    </w:p>
    <w:p w:rsidR="007259F2" w:rsidRDefault="00E655B4">
      <w:pPr>
        <w:spacing w:before="75"/>
        <w:ind w:left="710"/>
        <w:rPr>
          <w:sz w:val="24"/>
        </w:rPr>
      </w:pPr>
      <w:r>
        <w:rPr>
          <w:sz w:val="24"/>
        </w:rPr>
        <w:lastRenderedPageBreak/>
        <w:t>TORRES,</w:t>
      </w:r>
      <w:r>
        <w:rPr>
          <w:spacing w:val="26"/>
          <w:sz w:val="24"/>
        </w:rPr>
        <w:t xml:space="preserve"> </w:t>
      </w:r>
      <w:r>
        <w:rPr>
          <w:sz w:val="24"/>
        </w:rPr>
        <w:t>Ronny Charles</w:t>
      </w:r>
      <w:r>
        <w:rPr>
          <w:spacing w:val="28"/>
          <w:sz w:val="24"/>
        </w:rPr>
        <w:t xml:space="preserve"> </w:t>
      </w:r>
      <w:r>
        <w:rPr>
          <w:sz w:val="24"/>
        </w:rPr>
        <w:t>Lopes</w:t>
      </w:r>
      <w:r>
        <w:rPr>
          <w:spacing w:val="25"/>
          <w:sz w:val="24"/>
        </w:rPr>
        <w:t xml:space="preserve"> </w:t>
      </w:r>
      <w:r>
        <w:rPr>
          <w:sz w:val="24"/>
        </w:rPr>
        <w:t>de.</w:t>
      </w:r>
      <w:r>
        <w:rPr>
          <w:spacing w:val="28"/>
          <w:sz w:val="24"/>
        </w:rPr>
        <w:t xml:space="preserve"> </w:t>
      </w:r>
      <w:r>
        <w:rPr>
          <w:b/>
          <w:sz w:val="24"/>
        </w:rPr>
        <w:t>Leis</w:t>
      </w:r>
      <w:r>
        <w:rPr>
          <w:b/>
          <w:spacing w:val="26"/>
          <w:sz w:val="24"/>
        </w:rPr>
        <w:t xml:space="preserve"> </w:t>
      </w:r>
      <w:r>
        <w:rPr>
          <w:b/>
          <w:sz w:val="24"/>
        </w:rPr>
        <w:t>de Licitações</w:t>
      </w:r>
      <w:r>
        <w:rPr>
          <w:b/>
          <w:spacing w:val="28"/>
          <w:sz w:val="24"/>
        </w:rPr>
        <w:t xml:space="preserve"> </w:t>
      </w:r>
      <w:r>
        <w:rPr>
          <w:b/>
          <w:sz w:val="24"/>
        </w:rPr>
        <w:t>Públicas</w:t>
      </w:r>
      <w:r>
        <w:rPr>
          <w:b/>
          <w:spacing w:val="25"/>
          <w:sz w:val="24"/>
        </w:rPr>
        <w:t xml:space="preserve"> </w:t>
      </w:r>
      <w:r>
        <w:rPr>
          <w:b/>
          <w:sz w:val="24"/>
        </w:rPr>
        <w:t>Comentadas</w:t>
      </w:r>
      <w:r>
        <w:rPr>
          <w:sz w:val="24"/>
        </w:rPr>
        <w:t>.</w:t>
      </w:r>
      <w:r>
        <w:rPr>
          <w:spacing w:val="25"/>
          <w:sz w:val="24"/>
        </w:rPr>
        <w:t xml:space="preserve"> </w:t>
      </w:r>
      <w:r>
        <w:rPr>
          <w:sz w:val="24"/>
        </w:rPr>
        <w:t>13</w:t>
      </w:r>
      <w:r>
        <w:rPr>
          <w:spacing w:val="25"/>
          <w:sz w:val="24"/>
        </w:rPr>
        <w:t xml:space="preserve"> </w:t>
      </w:r>
      <w:r>
        <w:rPr>
          <w:sz w:val="24"/>
        </w:rPr>
        <w:t>ed.</w:t>
      </w:r>
      <w:r>
        <w:rPr>
          <w:spacing w:val="25"/>
          <w:sz w:val="24"/>
        </w:rPr>
        <w:t xml:space="preserve"> </w:t>
      </w:r>
      <w:r>
        <w:rPr>
          <w:sz w:val="24"/>
        </w:rPr>
        <w:t>São Paulo: Editora Juspodivm, 2022.</w:t>
      </w:r>
    </w:p>
    <w:p w:rsidR="007259F2" w:rsidRDefault="00E655B4">
      <w:pPr>
        <w:pStyle w:val="Corpodetexto"/>
        <w:spacing w:before="120"/>
        <w:ind w:firstLine="0"/>
        <w:jc w:val="left"/>
      </w:pPr>
      <w:r>
        <w:t>VELOSO,</w:t>
      </w:r>
      <w:r>
        <w:rPr>
          <w:spacing w:val="-1"/>
        </w:rPr>
        <w:t xml:space="preserve"> </w:t>
      </w:r>
      <w:r>
        <w:t>Caetano.</w:t>
      </w:r>
      <w:r>
        <w:rPr>
          <w:spacing w:val="-1"/>
        </w:rPr>
        <w:t xml:space="preserve"> </w:t>
      </w:r>
      <w:r>
        <w:t xml:space="preserve">Sampa. </w:t>
      </w:r>
      <w:r>
        <w:rPr>
          <w:i/>
        </w:rPr>
        <w:t>In</w:t>
      </w:r>
      <w:r>
        <w:t>:</w:t>
      </w:r>
      <w:r>
        <w:rPr>
          <w:spacing w:val="-1"/>
        </w:rPr>
        <w:t xml:space="preserve"> </w:t>
      </w:r>
      <w:r>
        <w:rPr>
          <w:b/>
        </w:rPr>
        <w:t>Muito</w:t>
      </w:r>
      <w:r>
        <w:rPr>
          <w:b/>
          <w:spacing w:val="-1"/>
        </w:rPr>
        <w:t xml:space="preserve"> </w:t>
      </w:r>
      <w:r>
        <w:t>(Dentro</w:t>
      </w:r>
      <w:r>
        <w:rPr>
          <w:spacing w:val="-1"/>
        </w:rPr>
        <w:t xml:space="preserve"> </w:t>
      </w:r>
      <w:r>
        <w:t>da</w:t>
      </w:r>
      <w:r>
        <w:rPr>
          <w:spacing w:val="-1"/>
        </w:rPr>
        <w:t xml:space="preserve"> </w:t>
      </w:r>
      <w:r>
        <w:t>Estrela</w:t>
      </w:r>
      <w:r>
        <w:rPr>
          <w:spacing w:val="-1"/>
        </w:rPr>
        <w:t xml:space="preserve"> </w:t>
      </w:r>
      <w:r>
        <w:t>Azulada).</w:t>
      </w:r>
      <w:r>
        <w:rPr>
          <w:spacing w:val="-1"/>
        </w:rPr>
        <w:t xml:space="preserve"> </w:t>
      </w:r>
      <w:r>
        <w:t>São</w:t>
      </w:r>
      <w:r>
        <w:rPr>
          <w:spacing w:val="-2"/>
        </w:rPr>
        <w:t xml:space="preserve"> </w:t>
      </w:r>
      <w:r>
        <w:t>Paulo:</w:t>
      </w:r>
      <w:r>
        <w:rPr>
          <w:spacing w:val="-1"/>
        </w:rPr>
        <w:t xml:space="preserve"> </w:t>
      </w:r>
      <w:r>
        <w:t xml:space="preserve">Philips, </w:t>
      </w:r>
      <w:r>
        <w:rPr>
          <w:spacing w:val="-2"/>
        </w:rPr>
        <w:t>1978.</w:t>
      </w:r>
    </w:p>
    <w:p w:rsidR="007259F2" w:rsidRDefault="00E655B4">
      <w:pPr>
        <w:spacing w:before="120"/>
        <w:ind w:left="710"/>
        <w:rPr>
          <w:sz w:val="24"/>
        </w:rPr>
      </w:pPr>
      <w:r>
        <w:rPr>
          <w:sz w:val="24"/>
        </w:rPr>
        <w:t>VICENTE,</w:t>
      </w:r>
      <w:r>
        <w:rPr>
          <w:spacing w:val="-3"/>
          <w:sz w:val="24"/>
        </w:rPr>
        <w:t xml:space="preserve"> </w:t>
      </w:r>
      <w:r>
        <w:rPr>
          <w:sz w:val="24"/>
        </w:rPr>
        <w:t>Dário</w:t>
      </w:r>
      <w:r>
        <w:rPr>
          <w:spacing w:val="-3"/>
          <w:sz w:val="24"/>
        </w:rPr>
        <w:t xml:space="preserve"> </w:t>
      </w:r>
      <w:r>
        <w:rPr>
          <w:sz w:val="24"/>
        </w:rPr>
        <w:t>M.</w:t>
      </w:r>
      <w:r>
        <w:rPr>
          <w:spacing w:val="-3"/>
          <w:sz w:val="24"/>
        </w:rPr>
        <w:t xml:space="preserve"> </w:t>
      </w:r>
      <w:r>
        <w:rPr>
          <w:b/>
          <w:sz w:val="24"/>
        </w:rPr>
        <w:t>A</w:t>
      </w:r>
      <w:r>
        <w:rPr>
          <w:b/>
          <w:spacing w:val="-2"/>
          <w:sz w:val="24"/>
        </w:rPr>
        <w:t xml:space="preserve"> </w:t>
      </w:r>
      <w:r>
        <w:rPr>
          <w:b/>
          <w:sz w:val="24"/>
        </w:rPr>
        <w:t>Tutela</w:t>
      </w:r>
      <w:r>
        <w:rPr>
          <w:b/>
          <w:spacing w:val="-3"/>
          <w:sz w:val="24"/>
        </w:rPr>
        <w:t xml:space="preserve"> </w:t>
      </w:r>
      <w:r>
        <w:rPr>
          <w:b/>
          <w:sz w:val="24"/>
        </w:rPr>
        <w:t>Internacional</w:t>
      </w:r>
      <w:r>
        <w:rPr>
          <w:b/>
          <w:spacing w:val="-3"/>
          <w:sz w:val="24"/>
        </w:rPr>
        <w:t xml:space="preserve"> </w:t>
      </w:r>
      <w:r>
        <w:rPr>
          <w:b/>
          <w:sz w:val="24"/>
        </w:rPr>
        <w:t>da</w:t>
      </w:r>
      <w:r>
        <w:rPr>
          <w:b/>
          <w:spacing w:val="-3"/>
          <w:sz w:val="24"/>
        </w:rPr>
        <w:t xml:space="preserve"> </w:t>
      </w:r>
      <w:r>
        <w:rPr>
          <w:b/>
          <w:sz w:val="24"/>
        </w:rPr>
        <w:t>Propriedade</w:t>
      </w:r>
      <w:r>
        <w:rPr>
          <w:b/>
          <w:spacing w:val="-4"/>
          <w:sz w:val="24"/>
        </w:rPr>
        <w:t xml:space="preserve"> </w:t>
      </w:r>
      <w:r>
        <w:rPr>
          <w:b/>
          <w:sz w:val="24"/>
        </w:rPr>
        <w:t>Intelectual</w:t>
      </w:r>
      <w:r>
        <w:rPr>
          <w:sz w:val="24"/>
        </w:rPr>
        <w:t>.</w:t>
      </w:r>
      <w:r>
        <w:rPr>
          <w:spacing w:val="-3"/>
          <w:sz w:val="24"/>
        </w:rPr>
        <w:t xml:space="preserve"> </w:t>
      </w:r>
      <w:r>
        <w:rPr>
          <w:sz w:val="24"/>
        </w:rPr>
        <w:t>São</w:t>
      </w:r>
      <w:r>
        <w:rPr>
          <w:spacing w:val="-3"/>
          <w:sz w:val="24"/>
        </w:rPr>
        <w:t xml:space="preserve"> </w:t>
      </w:r>
      <w:r>
        <w:rPr>
          <w:sz w:val="24"/>
        </w:rPr>
        <w:t>Paulo:</w:t>
      </w:r>
      <w:r>
        <w:rPr>
          <w:spacing w:val="-3"/>
          <w:sz w:val="24"/>
        </w:rPr>
        <w:t xml:space="preserve"> </w:t>
      </w:r>
      <w:r>
        <w:rPr>
          <w:sz w:val="24"/>
        </w:rPr>
        <w:t>Grupo Almedina, 2020.</w:t>
      </w:r>
    </w:p>
    <w:p w:rsidR="007259F2" w:rsidRDefault="00E655B4">
      <w:pPr>
        <w:pStyle w:val="Corpodetexto"/>
        <w:spacing w:before="120"/>
        <w:ind w:right="424" w:firstLine="0"/>
        <w:jc w:val="left"/>
      </w:pPr>
      <w:r>
        <w:t>VIEIRA, Celso.</w:t>
      </w:r>
      <w:r>
        <w:rPr>
          <w:spacing w:val="34"/>
        </w:rPr>
        <w:t xml:space="preserve"> </w:t>
      </w:r>
      <w:r>
        <w:rPr>
          <w:b/>
        </w:rPr>
        <w:t>Anchieta</w:t>
      </w:r>
      <w:r>
        <w:t>.</w:t>
      </w:r>
      <w:r>
        <w:rPr>
          <w:spacing w:val="30"/>
        </w:rPr>
        <w:t xml:space="preserve"> </w:t>
      </w:r>
      <w:r>
        <w:t>São</w:t>
      </w:r>
      <w:r>
        <w:rPr>
          <w:spacing w:val="30"/>
        </w:rPr>
        <w:t xml:space="preserve"> </w:t>
      </w:r>
      <w:r>
        <w:t>Paulo:</w:t>
      </w:r>
      <w:r>
        <w:rPr>
          <w:spacing w:val="31"/>
        </w:rPr>
        <w:t xml:space="preserve"> </w:t>
      </w:r>
      <w:r>
        <w:t>Companhia Editora</w:t>
      </w:r>
      <w:r>
        <w:rPr>
          <w:spacing w:val="31"/>
        </w:rPr>
        <w:t xml:space="preserve"> </w:t>
      </w:r>
      <w:r>
        <w:t>Nacional,</w:t>
      </w:r>
      <w:r>
        <w:rPr>
          <w:spacing w:val="30"/>
        </w:rPr>
        <w:t xml:space="preserve"> </w:t>
      </w:r>
      <w:r>
        <w:t>1949.</w:t>
      </w:r>
      <w:r>
        <w:rPr>
          <w:spacing w:val="30"/>
        </w:rPr>
        <w:t xml:space="preserve"> </w:t>
      </w:r>
      <w:r>
        <w:t>Disponível</w:t>
      </w:r>
      <w:r>
        <w:rPr>
          <w:spacing w:val="30"/>
        </w:rPr>
        <w:t xml:space="preserve"> </w:t>
      </w:r>
      <w:r>
        <w:t xml:space="preserve">em: </w:t>
      </w:r>
      <w:hyperlink r:id="rId181">
        <w:r>
          <w:rPr>
            <w:color w:val="0000FF"/>
            <w:u w:val="single" w:color="0000FF"/>
          </w:rPr>
          <w:t>http://bdor.sibi.ufrj.br/handle/doc/348.</w:t>
        </w:r>
      </w:hyperlink>
      <w:r>
        <w:rPr>
          <w:color w:val="0000FF"/>
        </w:rPr>
        <w:t xml:space="preserve"> </w:t>
      </w:r>
      <w:r>
        <w:t>Acesso em 28 de jul. de 2024.</w:t>
      </w:r>
    </w:p>
    <w:p w:rsidR="007259F2" w:rsidRDefault="00E655B4">
      <w:pPr>
        <w:pStyle w:val="Corpodetexto"/>
        <w:spacing w:before="120"/>
        <w:ind w:firstLine="0"/>
        <w:jc w:val="left"/>
      </w:pPr>
      <w:r>
        <w:t>VIVEIROS</w:t>
      </w:r>
      <w:r>
        <w:rPr>
          <w:spacing w:val="39"/>
        </w:rPr>
        <w:t xml:space="preserve"> </w:t>
      </w:r>
      <w:r>
        <w:t>DE</w:t>
      </w:r>
      <w:r>
        <w:rPr>
          <w:spacing w:val="40"/>
        </w:rPr>
        <w:t xml:space="preserve"> </w:t>
      </w:r>
      <w:r>
        <w:t>CASTRO,</w:t>
      </w:r>
      <w:r>
        <w:rPr>
          <w:spacing w:val="38"/>
        </w:rPr>
        <w:t xml:space="preserve"> </w:t>
      </w:r>
      <w:r>
        <w:t>Eduardo;</w:t>
      </w:r>
      <w:r>
        <w:rPr>
          <w:spacing w:val="40"/>
        </w:rPr>
        <w:t xml:space="preserve"> </w:t>
      </w:r>
      <w:r>
        <w:t>DANOWSKI,</w:t>
      </w:r>
      <w:r>
        <w:rPr>
          <w:spacing w:val="38"/>
        </w:rPr>
        <w:t xml:space="preserve"> </w:t>
      </w:r>
      <w:r>
        <w:t>Déborah.</w:t>
      </w:r>
      <w:r>
        <w:rPr>
          <w:spacing w:val="40"/>
        </w:rPr>
        <w:t xml:space="preserve"> </w:t>
      </w:r>
      <w:r>
        <w:rPr>
          <w:b/>
        </w:rPr>
        <w:t>Há</w:t>
      </w:r>
      <w:r>
        <w:rPr>
          <w:b/>
          <w:spacing w:val="40"/>
        </w:rPr>
        <w:t xml:space="preserve"> </w:t>
      </w:r>
      <w:r>
        <w:rPr>
          <w:b/>
        </w:rPr>
        <w:t>mundo</w:t>
      </w:r>
      <w:r>
        <w:rPr>
          <w:b/>
          <w:spacing w:val="38"/>
        </w:rPr>
        <w:t xml:space="preserve"> </w:t>
      </w:r>
      <w:r>
        <w:rPr>
          <w:b/>
        </w:rPr>
        <w:t>por</w:t>
      </w:r>
      <w:r>
        <w:rPr>
          <w:b/>
          <w:spacing w:val="38"/>
        </w:rPr>
        <w:t xml:space="preserve"> </w:t>
      </w:r>
      <w:r>
        <w:rPr>
          <w:b/>
        </w:rPr>
        <w:t>vir?</w:t>
      </w:r>
      <w:r>
        <w:rPr>
          <w:b/>
          <w:spacing w:val="40"/>
        </w:rPr>
        <w:t xml:space="preserve"> </w:t>
      </w:r>
      <w:r>
        <w:t>Ensaio sobre os medos e os fins. Florianópolis: Cultura e Barbárie, 2014.</w:t>
      </w:r>
    </w:p>
    <w:p w:rsidR="007259F2" w:rsidRDefault="007259F2">
      <w:pPr>
        <w:pStyle w:val="Corpodetexto"/>
        <w:jc w:val="left"/>
        <w:sectPr w:rsidR="007259F2">
          <w:pgSz w:w="11910" w:h="16840"/>
          <w:pgMar w:top="1600" w:right="708" w:bottom="1020" w:left="992" w:header="0" w:footer="820" w:gutter="0"/>
          <w:cols w:space="720"/>
        </w:sectPr>
      </w:pPr>
    </w:p>
    <w:p w:rsidR="007259F2" w:rsidRDefault="00E655B4">
      <w:pPr>
        <w:pStyle w:val="Heading2"/>
        <w:spacing w:before="60"/>
        <w:ind w:right="430"/>
      </w:pPr>
      <w:bookmarkStart w:id="13" w:name="_bookmark13"/>
      <w:bookmarkEnd w:id="13"/>
      <w:r>
        <w:rPr>
          <w:w w:val="105"/>
        </w:rPr>
        <w:lastRenderedPageBreak/>
        <w:t>A Base de cálculo do ITBI no município de São Paulo e o entendimento jurisprudencial acerca do tema</w:t>
      </w:r>
    </w:p>
    <w:p w:rsidR="007259F2" w:rsidRDefault="00E655B4">
      <w:pPr>
        <w:spacing w:before="202"/>
        <w:ind w:left="710"/>
        <w:jc w:val="both"/>
        <w:rPr>
          <w:b/>
          <w:sz w:val="24"/>
        </w:rPr>
      </w:pPr>
      <w:r>
        <w:rPr>
          <w:b/>
          <w:w w:val="105"/>
          <w:sz w:val="24"/>
        </w:rPr>
        <w:t>Mariane</w:t>
      </w:r>
      <w:r>
        <w:rPr>
          <w:b/>
          <w:spacing w:val="-7"/>
          <w:w w:val="105"/>
          <w:sz w:val="24"/>
        </w:rPr>
        <w:t xml:space="preserve"> </w:t>
      </w:r>
      <w:r>
        <w:rPr>
          <w:b/>
          <w:w w:val="105"/>
          <w:sz w:val="24"/>
        </w:rPr>
        <w:t>Paiva</w:t>
      </w:r>
      <w:r>
        <w:rPr>
          <w:b/>
          <w:spacing w:val="-5"/>
          <w:w w:val="105"/>
          <w:sz w:val="24"/>
        </w:rPr>
        <w:t xml:space="preserve"> </w:t>
      </w:r>
      <w:r>
        <w:rPr>
          <w:b/>
          <w:w w:val="105"/>
          <w:sz w:val="24"/>
        </w:rPr>
        <w:t>de</w:t>
      </w:r>
      <w:r>
        <w:rPr>
          <w:b/>
          <w:spacing w:val="-9"/>
          <w:w w:val="105"/>
          <w:sz w:val="24"/>
        </w:rPr>
        <w:t xml:space="preserve"> </w:t>
      </w:r>
      <w:r>
        <w:rPr>
          <w:b/>
          <w:w w:val="105"/>
          <w:sz w:val="24"/>
        </w:rPr>
        <w:t>Oliveira</w:t>
      </w:r>
      <w:r>
        <w:rPr>
          <w:b/>
          <w:spacing w:val="-8"/>
          <w:w w:val="105"/>
          <w:sz w:val="24"/>
        </w:rPr>
        <w:t xml:space="preserve"> </w:t>
      </w:r>
      <w:r>
        <w:rPr>
          <w:b/>
          <w:spacing w:val="-2"/>
          <w:w w:val="105"/>
          <w:sz w:val="24"/>
        </w:rPr>
        <w:t>Silva</w:t>
      </w:r>
      <w:r>
        <w:rPr>
          <w:b/>
          <w:spacing w:val="-2"/>
          <w:w w:val="105"/>
          <w:sz w:val="24"/>
          <w:vertAlign w:val="superscript"/>
        </w:rPr>
        <w:t>1</w:t>
      </w:r>
    </w:p>
    <w:p w:rsidR="007259F2" w:rsidRDefault="007259F2">
      <w:pPr>
        <w:pStyle w:val="Corpodetexto"/>
        <w:spacing w:before="199"/>
        <w:ind w:left="0" w:firstLine="0"/>
        <w:jc w:val="left"/>
        <w:rPr>
          <w:b/>
        </w:rPr>
      </w:pPr>
    </w:p>
    <w:p w:rsidR="007259F2" w:rsidRDefault="00E655B4">
      <w:pPr>
        <w:pStyle w:val="Heading1"/>
      </w:pPr>
      <w:r>
        <w:rPr>
          <w:spacing w:val="-2"/>
          <w:w w:val="105"/>
        </w:rPr>
        <w:t>RESUMO</w:t>
      </w:r>
    </w:p>
    <w:p w:rsidR="007259F2" w:rsidRDefault="00E655B4">
      <w:pPr>
        <w:pStyle w:val="Corpodetexto"/>
        <w:spacing w:before="158" w:line="249" w:lineRule="auto"/>
        <w:ind w:right="549" w:firstLine="0"/>
      </w:pPr>
      <w:r>
        <w:rPr>
          <w:w w:val="105"/>
        </w:rPr>
        <w:t>O presente trabalho tem por objetivo traçar considerações acerca da</w:t>
      </w:r>
      <w:r>
        <w:rPr>
          <w:spacing w:val="40"/>
          <w:w w:val="105"/>
        </w:rPr>
        <w:t xml:space="preserve"> </w:t>
      </w:r>
      <w:r>
        <w:rPr>
          <w:w w:val="105"/>
        </w:rPr>
        <w:t>base de cálculo do Imposto de</w:t>
      </w:r>
      <w:r>
        <w:rPr>
          <w:spacing w:val="-15"/>
          <w:w w:val="105"/>
        </w:rPr>
        <w:t xml:space="preserve"> </w:t>
      </w:r>
      <w:r>
        <w:rPr>
          <w:w w:val="105"/>
        </w:rPr>
        <w:t>Transmissão</w:t>
      </w:r>
      <w:r>
        <w:rPr>
          <w:spacing w:val="-11"/>
          <w:w w:val="105"/>
        </w:rPr>
        <w:t xml:space="preserve"> </w:t>
      </w:r>
      <w:r>
        <w:rPr>
          <w:w w:val="105"/>
        </w:rPr>
        <w:t>de</w:t>
      </w:r>
      <w:r>
        <w:rPr>
          <w:spacing w:val="-10"/>
          <w:w w:val="105"/>
        </w:rPr>
        <w:t xml:space="preserve"> </w:t>
      </w:r>
      <w:r>
        <w:rPr>
          <w:w w:val="105"/>
        </w:rPr>
        <w:t>Bens</w:t>
      </w:r>
      <w:r>
        <w:rPr>
          <w:spacing w:val="-3"/>
          <w:w w:val="105"/>
        </w:rPr>
        <w:t xml:space="preserve"> </w:t>
      </w:r>
      <w:r>
        <w:rPr>
          <w:w w:val="105"/>
        </w:rPr>
        <w:t>Imóveis (ITBI),</w:t>
      </w:r>
      <w:r>
        <w:rPr>
          <w:spacing w:val="-3"/>
          <w:w w:val="105"/>
        </w:rPr>
        <w:t xml:space="preserve"> </w:t>
      </w:r>
      <w:r>
        <w:rPr>
          <w:w w:val="105"/>
        </w:rPr>
        <w:t>no</w:t>
      </w:r>
      <w:r>
        <w:rPr>
          <w:spacing w:val="-12"/>
          <w:w w:val="105"/>
        </w:rPr>
        <w:t xml:space="preserve"> </w:t>
      </w:r>
      <w:r>
        <w:rPr>
          <w:w w:val="105"/>
        </w:rPr>
        <w:t>Município</w:t>
      </w:r>
      <w:r>
        <w:rPr>
          <w:spacing w:val="-7"/>
          <w:w w:val="105"/>
        </w:rPr>
        <w:t xml:space="preserve"> </w:t>
      </w:r>
      <w:r>
        <w:rPr>
          <w:w w:val="105"/>
        </w:rPr>
        <w:t>de</w:t>
      </w:r>
      <w:r>
        <w:rPr>
          <w:spacing w:val="-3"/>
          <w:w w:val="105"/>
        </w:rPr>
        <w:t xml:space="preserve"> </w:t>
      </w:r>
      <w:r>
        <w:rPr>
          <w:w w:val="105"/>
        </w:rPr>
        <w:t>São</w:t>
      </w:r>
      <w:r>
        <w:rPr>
          <w:spacing w:val="-9"/>
          <w:w w:val="105"/>
        </w:rPr>
        <w:t xml:space="preserve"> </w:t>
      </w:r>
      <w:r>
        <w:rPr>
          <w:w w:val="105"/>
        </w:rPr>
        <w:t>Paulo,</w:t>
      </w:r>
      <w:r>
        <w:rPr>
          <w:spacing w:val="-2"/>
          <w:w w:val="105"/>
        </w:rPr>
        <w:t xml:space="preserve"> </w:t>
      </w:r>
      <w:r>
        <w:rPr>
          <w:w w:val="105"/>
        </w:rPr>
        <w:t>bem como analisar o entendimento atual da jurisprudência sobre o tema. Inicialmente, serão pontuados aspectos gerais sobre o imposto, depois, serão analisadas as modificações da Lei Municipal n.º 11.154/1991, especificamente o acréscimo dos artigos 7-A e 7-B, objetos de apreciação pelo Tribunal de Justiça do Estado de São Paulo (Arguição de Inconstitucionalidade Cível n.º 0056693-19.2014.8.26.0000) e, posteriormente, o Incidente de Resolução de Demandas Repetitivas n.º 2243516- 62.2017.8.26.0000 (Tema 19). Em seguida, o foco será dado a recente decisão do Superior Tribunal de Justiça, proferida no Recurso Especial n.º 1.937.821/SP (Tema 1.113), que fixou o entendimento</w:t>
      </w:r>
      <w:r>
        <w:rPr>
          <w:spacing w:val="-11"/>
          <w:w w:val="105"/>
        </w:rPr>
        <w:t xml:space="preserve"> </w:t>
      </w:r>
      <w:r>
        <w:rPr>
          <w:w w:val="105"/>
        </w:rPr>
        <w:t>de</w:t>
      </w:r>
      <w:r>
        <w:rPr>
          <w:spacing w:val="-3"/>
          <w:w w:val="105"/>
        </w:rPr>
        <w:t xml:space="preserve"> </w:t>
      </w:r>
      <w:r>
        <w:rPr>
          <w:w w:val="105"/>
        </w:rPr>
        <w:t>que</w:t>
      </w:r>
      <w:r>
        <w:rPr>
          <w:spacing w:val="-4"/>
          <w:w w:val="105"/>
        </w:rPr>
        <w:t xml:space="preserve"> </w:t>
      </w:r>
      <w:r>
        <w:rPr>
          <w:w w:val="105"/>
        </w:rPr>
        <w:t>a</w:t>
      </w:r>
      <w:r>
        <w:rPr>
          <w:spacing w:val="-3"/>
          <w:w w:val="105"/>
        </w:rPr>
        <w:t xml:space="preserve"> </w:t>
      </w:r>
      <w:r>
        <w:rPr>
          <w:w w:val="105"/>
        </w:rPr>
        <w:t>base</w:t>
      </w:r>
      <w:r>
        <w:rPr>
          <w:spacing w:val="-11"/>
          <w:w w:val="105"/>
        </w:rPr>
        <w:t xml:space="preserve"> </w:t>
      </w:r>
      <w:r>
        <w:rPr>
          <w:w w:val="105"/>
        </w:rPr>
        <w:t>de</w:t>
      </w:r>
      <w:r>
        <w:rPr>
          <w:spacing w:val="-12"/>
          <w:w w:val="105"/>
        </w:rPr>
        <w:t xml:space="preserve"> </w:t>
      </w:r>
      <w:r>
        <w:rPr>
          <w:w w:val="105"/>
        </w:rPr>
        <w:t>cálculo</w:t>
      </w:r>
      <w:r>
        <w:rPr>
          <w:spacing w:val="-6"/>
          <w:w w:val="105"/>
        </w:rPr>
        <w:t xml:space="preserve"> </w:t>
      </w:r>
      <w:r>
        <w:rPr>
          <w:w w:val="105"/>
        </w:rPr>
        <w:t>do</w:t>
      </w:r>
      <w:r>
        <w:rPr>
          <w:spacing w:val="-14"/>
          <w:w w:val="105"/>
        </w:rPr>
        <w:t xml:space="preserve"> </w:t>
      </w:r>
      <w:r>
        <w:rPr>
          <w:w w:val="105"/>
        </w:rPr>
        <w:t>ITBI</w:t>
      </w:r>
      <w:r>
        <w:rPr>
          <w:spacing w:val="-4"/>
          <w:w w:val="105"/>
        </w:rPr>
        <w:t xml:space="preserve"> </w:t>
      </w:r>
      <w:r>
        <w:rPr>
          <w:w w:val="105"/>
        </w:rPr>
        <w:t>não</w:t>
      </w:r>
      <w:r>
        <w:rPr>
          <w:spacing w:val="-6"/>
          <w:w w:val="105"/>
        </w:rPr>
        <w:t xml:space="preserve"> </w:t>
      </w:r>
      <w:r>
        <w:rPr>
          <w:w w:val="105"/>
        </w:rPr>
        <w:t>está</w:t>
      </w:r>
      <w:r>
        <w:rPr>
          <w:spacing w:val="-4"/>
          <w:w w:val="105"/>
        </w:rPr>
        <w:t xml:space="preserve"> </w:t>
      </w:r>
      <w:r>
        <w:rPr>
          <w:w w:val="105"/>
        </w:rPr>
        <w:t>vinculada a</w:t>
      </w:r>
      <w:r>
        <w:rPr>
          <w:spacing w:val="-8"/>
          <w:w w:val="105"/>
        </w:rPr>
        <w:t xml:space="preserve"> </w:t>
      </w:r>
      <w:r>
        <w:rPr>
          <w:w w:val="105"/>
        </w:rPr>
        <w:t>do</w:t>
      </w:r>
      <w:r>
        <w:rPr>
          <w:spacing w:val="-7"/>
          <w:w w:val="105"/>
        </w:rPr>
        <w:t xml:space="preserve"> </w:t>
      </w:r>
      <w:r>
        <w:rPr>
          <w:w w:val="105"/>
        </w:rPr>
        <w:t>Imposto</w:t>
      </w:r>
      <w:r>
        <w:rPr>
          <w:spacing w:val="-6"/>
          <w:w w:val="105"/>
        </w:rPr>
        <w:t xml:space="preserve"> </w:t>
      </w:r>
      <w:r>
        <w:rPr>
          <w:w w:val="105"/>
        </w:rPr>
        <w:t>Predial</w:t>
      </w:r>
      <w:r>
        <w:rPr>
          <w:spacing w:val="-1"/>
          <w:w w:val="105"/>
        </w:rPr>
        <w:t xml:space="preserve"> </w:t>
      </w:r>
      <w:r>
        <w:rPr>
          <w:w w:val="105"/>
        </w:rPr>
        <w:t>e Territorial</w:t>
      </w:r>
      <w:r>
        <w:rPr>
          <w:spacing w:val="-11"/>
          <w:w w:val="105"/>
        </w:rPr>
        <w:t xml:space="preserve"> </w:t>
      </w:r>
      <w:r>
        <w:rPr>
          <w:w w:val="105"/>
        </w:rPr>
        <w:t>Urbano</w:t>
      </w:r>
      <w:r>
        <w:rPr>
          <w:spacing w:val="-12"/>
          <w:w w:val="105"/>
        </w:rPr>
        <w:t xml:space="preserve"> </w:t>
      </w:r>
      <w:r>
        <w:rPr>
          <w:w w:val="105"/>
        </w:rPr>
        <w:t>(IPTU)</w:t>
      </w:r>
      <w:r>
        <w:rPr>
          <w:spacing w:val="-3"/>
          <w:w w:val="105"/>
        </w:rPr>
        <w:t xml:space="preserve"> </w:t>
      </w:r>
      <w:r>
        <w:rPr>
          <w:w w:val="105"/>
        </w:rPr>
        <w:t>e</w:t>
      </w:r>
      <w:r>
        <w:rPr>
          <w:spacing w:val="-15"/>
          <w:w w:val="105"/>
        </w:rPr>
        <w:t xml:space="preserve"> </w:t>
      </w:r>
      <w:r>
        <w:rPr>
          <w:w w:val="105"/>
        </w:rPr>
        <w:t>que</w:t>
      </w:r>
      <w:r>
        <w:rPr>
          <w:spacing w:val="-10"/>
          <w:w w:val="105"/>
        </w:rPr>
        <w:t xml:space="preserve"> </w:t>
      </w:r>
      <w:r>
        <w:rPr>
          <w:w w:val="105"/>
        </w:rPr>
        <w:t>o</w:t>
      </w:r>
      <w:r>
        <w:rPr>
          <w:spacing w:val="-12"/>
          <w:w w:val="105"/>
        </w:rPr>
        <w:t xml:space="preserve"> </w:t>
      </w:r>
      <w:r>
        <w:rPr>
          <w:w w:val="105"/>
        </w:rPr>
        <w:t>valor</w:t>
      </w:r>
      <w:r>
        <w:rPr>
          <w:spacing w:val="-1"/>
          <w:w w:val="105"/>
        </w:rPr>
        <w:t xml:space="preserve"> </w:t>
      </w:r>
      <w:r>
        <w:rPr>
          <w:w w:val="105"/>
        </w:rPr>
        <w:t>da</w:t>
      </w:r>
      <w:r>
        <w:rPr>
          <w:spacing w:val="-10"/>
          <w:w w:val="105"/>
        </w:rPr>
        <w:t xml:space="preserve"> </w:t>
      </w:r>
      <w:r>
        <w:rPr>
          <w:w w:val="105"/>
        </w:rPr>
        <w:t>transação</w:t>
      </w:r>
      <w:r>
        <w:rPr>
          <w:spacing w:val="-12"/>
          <w:w w:val="105"/>
        </w:rPr>
        <w:t xml:space="preserve"> </w:t>
      </w:r>
      <w:r>
        <w:rPr>
          <w:w w:val="105"/>
        </w:rPr>
        <w:t>declarado</w:t>
      </w:r>
      <w:r>
        <w:rPr>
          <w:spacing w:val="-1"/>
          <w:w w:val="105"/>
        </w:rPr>
        <w:t xml:space="preserve"> </w:t>
      </w:r>
      <w:r>
        <w:rPr>
          <w:w w:val="105"/>
        </w:rPr>
        <w:t>pelo</w:t>
      </w:r>
      <w:r>
        <w:rPr>
          <w:spacing w:val="-1"/>
          <w:w w:val="105"/>
        </w:rPr>
        <w:t xml:space="preserve"> </w:t>
      </w:r>
      <w:r>
        <w:rPr>
          <w:w w:val="105"/>
        </w:rPr>
        <w:t>contribuinte goza da presunção de que é condizente com o valor de mercado, devendo portanto ser utilizado como base de cálculo do tributo, salvo mediante a regular instauração de processo administrativo próprio (art. 148 do CTN).</w:t>
      </w:r>
    </w:p>
    <w:p w:rsidR="007259F2" w:rsidRDefault="00E655B4">
      <w:pPr>
        <w:spacing w:before="110"/>
        <w:ind w:left="710"/>
        <w:jc w:val="both"/>
        <w:rPr>
          <w:sz w:val="24"/>
        </w:rPr>
      </w:pPr>
      <w:r>
        <w:rPr>
          <w:b/>
          <w:w w:val="105"/>
          <w:sz w:val="24"/>
        </w:rPr>
        <w:t>Palavras-chave:</w:t>
      </w:r>
      <w:r>
        <w:rPr>
          <w:b/>
          <w:spacing w:val="-16"/>
          <w:w w:val="105"/>
          <w:sz w:val="24"/>
        </w:rPr>
        <w:t xml:space="preserve"> </w:t>
      </w:r>
      <w:r>
        <w:rPr>
          <w:w w:val="105"/>
          <w:sz w:val="24"/>
        </w:rPr>
        <w:t>ITBI;</w:t>
      </w:r>
      <w:r>
        <w:rPr>
          <w:spacing w:val="-8"/>
          <w:w w:val="105"/>
          <w:sz w:val="24"/>
        </w:rPr>
        <w:t xml:space="preserve"> </w:t>
      </w:r>
      <w:r>
        <w:rPr>
          <w:w w:val="105"/>
          <w:sz w:val="24"/>
        </w:rPr>
        <w:t>base</w:t>
      </w:r>
      <w:r>
        <w:rPr>
          <w:spacing w:val="-16"/>
          <w:w w:val="105"/>
          <w:sz w:val="24"/>
        </w:rPr>
        <w:t xml:space="preserve"> </w:t>
      </w:r>
      <w:r>
        <w:rPr>
          <w:w w:val="105"/>
          <w:sz w:val="24"/>
        </w:rPr>
        <w:t>de</w:t>
      </w:r>
      <w:r>
        <w:rPr>
          <w:spacing w:val="-16"/>
          <w:w w:val="105"/>
          <w:sz w:val="24"/>
        </w:rPr>
        <w:t xml:space="preserve"> </w:t>
      </w:r>
      <w:r>
        <w:rPr>
          <w:w w:val="105"/>
          <w:sz w:val="24"/>
        </w:rPr>
        <w:t>cálculo;</w:t>
      </w:r>
      <w:r>
        <w:rPr>
          <w:spacing w:val="-5"/>
          <w:w w:val="105"/>
          <w:sz w:val="24"/>
        </w:rPr>
        <w:t xml:space="preserve"> </w:t>
      </w:r>
      <w:r>
        <w:rPr>
          <w:w w:val="105"/>
          <w:sz w:val="24"/>
        </w:rPr>
        <w:t>jurisprudência;</w:t>
      </w:r>
      <w:r>
        <w:rPr>
          <w:spacing w:val="-5"/>
          <w:w w:val="105"/>
          <w:sz w:val="24"/>
        </w:rPr>
        <w:t xml:space="preserve"> </w:t>
      </w:r>
      <w:r>
        <w:rPr>
          <w:w w:val="105"/>
          <w:sz w:val="24"/>
        </w:rPr>
        <w:t>município</w:t>
      </w:r>
      <w:r>
        <w:rPr>
          <w:spacing w:val="-12"/>
          <w:w w:val="105"/>
          <w:sz w:val="24"/>
        </w:rPr>
        <w:t xml:space="preserve"> </w:t>
      </w:r>
      <w:r>
        <w:rPr>
          <w:w w:val="105"/>
          <w:sz w:val="24"/>
        </w:rPr>
        <w:t>de</w:t>
      </w:r>
      <w:r>
        <w:rPr>
          <w:spacing w:val="-15"/>
          <w:w w:val="105"/>
          <w:sz w:val="24"/>
        </w:rPr>
        <w:t xml:space="preserve"> </w:t>
      </w:r>
      <w:r>
        <w:rPr>
          <w:w w:val="105"/>
          <w:sz w:val="24"/>
        </w:rPr>
        <w:t>São</w:t>
      </w:r>
      <w:r>
        <w:rPr>
          <w:spacing w:val="-13"/>
          <w:w w:val="105"/>
          <w:sz w:val="24"/>
        </w:rPr>
        <w:t xml:space="preserve"> </w:t>
      </w:r>
      <w:r>
        <w:rPr>
          <w:spacing w:val="-2"/>
          <w:w w:val="105"/>
          <w:sz w:val="24"/>
        </w:rPr>
        <w:t>Paulo.</w:t>
      </w:r>
    </w:p>
    <w:p w:rsidR="007259F2" w:rsidRDefault="007259F2">
      <w:pPr>
        <w:pStyle w:val="Corpodetexto"/>
        <w:ind w:left="0" w:firstLine="0"/>
        <w:jc w:val="left"/>
      </w:pPr>
    </w:p>
    <w:p w:rsidR="007259F2" w:rsidRDefault="007259F2">
      <w:pPr>
        <w:pStyle w:val="Corpodetexto"/>
        <w:spacing w:before="129"/>
        <w:ind w:left="0" w:firstLine="0"/>
        <w:jc w:val="left"/>
      </w:pPr>
    </w:p>
    <w:p w:rsidR="007259F2" w:rsidRDefault="00E655B4">
      <w:pPr>
        <w:pStyle w:val="Heading1"/>
        <w:ind w:left="664"/>
      </w:pPr>
      <w:r>
        <w:rPr>
          <w:spacing w:val="-2"/>
          <w:w w:val="105"/>
        </w:rPr>
        <w:t>ABSTRACT</w:t>
      </w:r>
    </w:p>
    <w:p w:rsidR="007259F2" w:rsidRDefault="00E655B4">
      <w:pPr>
        <w:pStyle w:val="Corpodetexto"/>
        <w:spacing w:before="118" w:line="249" w:lineRule="auto"/>
        <w:ind w:right="549" w:firstLine="0"/>
      </w:pPr>
      <w:r>
        <w:rPr>
          <w:w w:val="105"/>
        </w:rPr>
        <w:t>The present work aims to outline considerations about the calculation basis of the Real Estate Transfer Tax (ITBI) in the Municipality of São Paulo, as well as to analyze the current</w:t>
      </w:r>
      <w:r>
        <w:rPr>
          <w:spacing w:val="-6"/>
          <w:w w:val="105"/>
        </w:rPr>
        <w:t xml:space="preserve"> </w:t>
      </w:r>
      <w:r>
        <w:rPr>
          <w:w w:val="105"/>
        </w:rPr>
        <w:t>understanding</w:t>
      </w:r>
      <w:r>
        <w:rPr>
          <w:spacing w:val="-4"/>
          <w:w w:val="105"/>
        </w:rPr>
        <w:t xml:space="preserve"> </w:t>
      </w:r>
      <w:r>
        <w:rPr>
          <w:w w:val="105"/>
        </w:rPr>
        <w:t>of</w:t>
      </w:r>
      <w:r>
        <w:rPr>
          <w:spacing w:val="-2"/>
          <w:w w:val="105"/>
        </w:rPr>
        <w:t xml:space="preserve"> </w:t>
      </w:r>
      <w:r>
        <w:rPr>
          <w:w w:val="105"/>
        </w:rPr>
        <w:t>the</w:t>
      </w:r>
      <w:r>
        <w:rPr>
          <w:spacing w:val="-12"/>
          <w:w w:val="105"/>
        </w:rPr>
        <w:t xml:space="preserve"> </w:t>
      </w:r>
      <w:r>
        <w:rPr>
          <w:w w:val="105"/>
        </w:rPr>
        <w:t>jurisprudence</w:t>
      </w:r>
      <w:r>
        <w:rPr>
          <w:spacing w:val="-5"/>
          <w:w w:val="105"/>
        </w:rPr>
        <w:t xml:space="preserve"> </w:t>
      </w:r>
      <w:r>
        <w:rPr>
          <w:w w:val="105"/>
        </w:rPr>
        <w:t>on</w:t>
      </w:r>
      <w:r>
        <w:rPr>
          <w:spacing w:val="-7"/>
          <w:w w:val="105"/>
        </w:rPr>
        <w:t xml:space="preserve"> </w:t>
      </w:r>
      <w:r>
        <w:rPr>
          <w:w w:val="105"/>
        </w:rPr>
        <w:t>the</w:t>
      </w:r>
      <w:r>
        <w:rPr>
          <w:spacing w:val="-12"/>
          <w:w w:val="105"/>
        </w:rPr>
        <w:t xml:space="preserve"> </w:t>
      </w:r>
      <w:r>
        <w:rPr>
          <w:w w:val="105"/>
        </w:rPr>
        <w:t>subject.</w:t>
      </w:r>
      <w:r>
        <w:rPr>
          <w:spacing w:val="-7"/>
          <w:w w:val="105"/>
        </w:rPr>
        <w:t xml:space="preserve"> </w:t>
      </w:r>
      <w:r>
        <w:rPr>
          <w:w w:val="105"/>
        </w:rPr>
        <w:t>Initially,</w:t>
      </w:r>
      <w:r>
        <w:rPr>
          <w:spacing w:val="-4"/>
          <w:w w:val="105"/>
        </w:rPr>
        <w:t xml:space="preserve"> </w:t>
      </w:r>
      <w:r>
        <w:rPr>
          <w:w w:val="105"/>
        </w:rPr>
        <w:t>general</w:t>
      </w:r>
      <w:r>
        <w:rPr>
          <w:spacing w:val="-2"/>
          <w:w w:val="105"/>
        </w:rPr>
        <w:t xml:space="preserve"> </w:t>
      </w:r>
      <w:r>
        <w:rPr>
          <w:w w:val="105"/>
        </w:rPr>
        <w:t>aspects of</w:t>
      </w:r>
      <w:r>
        <w:rPr>
          <w:spacing w:val="-2"/>
          <w:w w:val="105"/>
        </w:rPr>
        <w:t xml:space="preserve"> </w:t>
      </w:r>
      <w:r>
        <w:rPr>
          <w:w w:val="105"/>
        </w:rPr>
        <w:t>the tax will be pointed out, then the modifications of Municipal Law No. 11,154/1991 will be</w:t>
      </w:r>
      <w:r>
        <w:rPr>
          <w:spacing w:val="-5"/>
          <w:w w:val="105"/>
        </w:rPr>
        <w:t xml:space="preserve"> </w:t>
      </w:r>
      <w:r>
        <w:rPr>
          <w:w w:val="105"/>
        </w:rPr>
        <w:t>analyzed,</w:t>
      </w:r>
      <w:r>
        <w:rPr>
          <w:spacing w:val="-6"/>
          <w:w w:val="105"/>
        </w:rPr>
        <w:t xml:space="preserve"> </w:t>
      </w:r>
      <w:r>
        <w:rPr>
          <w:w w:val="105"/>
        </w:rPr>
        <w:t>specifically</w:t>
      </w:r>
      <w:r>
        <w:rPr>
          <w:spacing w:val="-7"/>
          <w:w w:val="105"/>
        </w:rPr>
        <w:t xml:space="preserve"> </w:t>
      </w:r>
      <w:r>
        <w:rPr>
          <w:w w:val="105"/>
        </w:rPr>
        <w:t>the</w:t>
      </w:r>
      <w:r>
        <w:rPr>
          <w:spacing w:val="-5"/>
          <w:w w:val="105"/>
        </w:rPr>
        <w:t xml:space="preserve"> </w:t>
      </w:r>
      <w:r>
        <w:rPr>
          <w:w w:val="105"/>
        </w:rPr>
        <w:t>addition</w:t>
      </w:r>
      <w:r>
        <w:rPr>
          <w:spacing w:val="-7"/>
          <w:w w:val="105"/>
        </w:rPr>
        <w:t xml:space="preserve"> </w:t>
      </w:r>
      <w:r>
        <w:rPr>
          <w:w w:val="105"/>
        </w:rPr>
        <w:t>of</w:t>
      </w:r>
      <w:r>
        <w:rPr>
          <w:spacing w:val="-5"/>
          <w:w w:val="105"/>
        </w:rPr>
        <w:t xml:space="preserve"> </w:t>
      </w:r>
      <w:r>
        <w:rPr>
          <w:w w:val="105"/>
        </w:rPr>
        <w:t>articles</w:t>
      </w:r>
      <w:r>
        <w:rPr>
          <w:spacing w:val="-5"/>
          <w:w w:val="105"/>
        </w:rPr>
        <w:t xml:space="preserve"> </w:t>
      </w:r>
      <w:r>
        <w:rPr>
          <w:w w:val="105"/>
        </w:rPr>
        <w:t>7-A</w:t>
      </w:r>
      <w:r>
        <w:rPr>
          <w:spacing w:val="-5"/>
          <w:w w:val="105"/>
        </w:rPr>
        <w:t xml:space="preserve"> </w:t>
      </w:r>
      <w:r>
        <w:rPr>
          <w:w w:val="105"/>
        </w:rPr>
        <w:t>and</w:t>
      </w:r>
      <w:r>
        <w:rPr>
          <w:spacing w:val="-7"/>
          <w:w w:val="105"/>
        </w:rPr>
        <w:t xml:space="preserve"> </w:t>
      </w:r>
      <w:r>
        <w:rPr>
          <w:w w:val="105"/>
        </w:rPr>
        <w:t>7-B,</w:t>
      </w:r>
      <w:r>
        <w:rPr>
          <w:spacing w:val="-6"/>
          <w:w w:val="105"/>
        </w:rPr>
        <w:t xml:space="preserve"> </w:t>
      </w:r>
      <w:r>
        <w:rPr>
          <w:w w:val="105"/>
        </w:rPr>
        <w:t>objects</w:t>
      </w:r>
      <w:r>
        <w:rPr>
          <w:spacing w:val="-6"/>
          <w:w w:val="105"/>
        </w:rPr>
        <w:t xml:space="preserve"> </w:t>
      </w:r>
      <w:r>
        <w:rPr>
          <w:w w:val="105"/>
        </w:rPr>
        <w:t>of</w:t>
      </w:r>
      <w:r>
        <w:rPr>
          <w:spacing w:val="-3"/>
          <w:w w:val="105"/>
        </w:rPr>
        <w:t xml:space="preserve"> </w:t>
      </w:r>
      <w:r>
        <w:rPr>
          <w:w w:val="105"/>
        </w:rPr>
        <w:t>consideration</w:t>
      </w:r>
      <w:r>
        <w:rPr>
          <w:spacing w:val="-9"/>
          <w:w w:val="105"/>
        </w:rPr>
        <w:t xml:space="preserve"> </w:t>
      </w:r>
      <w:r>
        <w:rPr>
          <w:w w:val="105"/>
        </w:rPr>
        <w:t>by the Court of Justice of the State of São Paulo (Civil Unconstitutionality Allegation No. 0056693-19.2014.8.26.0000) and, subsequently, the Incident for the Resolution of Repetitive</w:t>
      </w:r>
      <w:r>
        <w:rPr>
          <w:spacing w:val="-16"/>
          <w:w w:val="105"/>
        </w:rPr>
        <w:t xml:space="preserve"> </w:t>
      </w:r>
      <w:r>
        <w:rPr>
          <w:w w:val="105"/>
        </w:rPr>
        <w:t>Demands</w:t>
      </w:r>
      <w:r>
        <w:rPr>
          <w:spacing w:val="-16"/>
          <w:w w:val="105"/>
        </w:rPr>
        <w:t xml:space="preserve"> </w:t>
      </w:r>
      <w:r>
        <w:rPr>
          <w:w w:val="105"/>
        </w:rPr>
        <w:t>No.</w:t>
      </w:r>
      <w:r>
        <w:rPr>
          <w:spacing w:val="-16"/>
          <w:w w:val="105"/>
        </w:rPr>
        <w:t xml:space="preserve"> </w:t>
      </w:r>
      <w:r>
        <w:rPr>
          <w:w w:val="105"/>
        </w:rPr>
        <w:t>2243516-62.2017.8.26.0000</w:t>
      </w:r>
      <w:r>
        <w:rPr>
          <w:spacing w:val="-15"/>
          <w:w w:val="105"/>
        </w:rPr>
        <w:t xml:space="preserve"> </w:t>
      </w:r>
      <w:r>
        <w:rPr>
          <w:w w:val="105"/>
        </w:rPr>
        <w:t>(Theme</w:t>
      </w:r>
      <w:r>
        <w:rPr>
          <w:spacing w:val="-16"/>
          <w:w w:val="105"/>
        </w:rPr>
        <w:t xml:space="preserve"> </w:t>
      </w:r>
      <w:r>
        <w:rPr>
          <w:w w:val="105"/>
        </w:rPr>
        <w:t>19).</w:t>
      </w:r>
      <w:r>
        <w:rPr>
          <w:spacing w:val="-15"/>
          <w:w w:val="105"/>
        </w:rPr>
        <w:t xml:space="preserve"> </w:t>
      </w:r>
      <w:r>
        <w:rPr>
          <w:w w:val="105"/>
        </w:rPr>
        <w:t>Next,</w:t>
      </w:r>
      <w:r>
        <w:rPr>
          <w:spacing w:val="-12"/>
          <w:w w:val="105"/>
        </w:rPr>
        <w:t xml:space="preserve"> </w:t>
      </w:r>
      <w:r>
        <w:rPr>
          <w:w w:val="105"/>
        </w:rPr>
        <w:t>the</w:t>
      </w:r>
      <w:r>
        <w:rPr>
          <w:spacing w:val="-16"/>
          <w:w w:val="105"/>
        </w:rPr>
        <w:t xml:space="preserve"> </w:t>
      </w:r>
      <w:r>
        <w:rPr>
          <w:w w:val="105"/>
        </w:rPr>
        <w:t>focus</w:t>
      </w:r>
      <w:r>
        <w:rPr>
          <w:spacing w:val="-15"/>
          <w:w w:val="105"/>
        </w:rPr>
        <w:t xml:space="preserve"> </w:t>
      </w:r>
      <w:r>
        <w:rPr>
          <w:w w:val="105"/>
        </w:rPr>
        <w:t>will</w:t>
      </w:r>
      <w:r>
        <w:rPr>
          <w:spacing w:val="-16"/>
          <w:w w:val="105"/>
        </w:rPr>
        <w:t xml:space="preserve"> </w:t>
      </w:r>
      <w:r>
        <w:rPr>
          <w:w w:val="105"/>
        </w:rPr>
        <w:t>be given</w:t>
      </w:r>
      <w:r>
        <w:rPr>
          <w:spacing w:val="-15"/>
          <w:w w:val="105"/>
        </w:rPr>
        <w:t xml:space="preserve"> </w:t>
      </w:r>
      <w:r>
        <w:rPr>
          <w:w w:val="105"/>
        </w:rPr>
        <w:t>to</w:t>
      </w:r>
      <w:r>
        <w:rPr>
          <w:spacing w:val="-16"/>
          <w:w w:val="105"/>
        </w:rPr>
        <w:t xml:space="preserve"> </w:t>
      </w:r>
      <w:r>
        <w:rPr>
          <w:w w:val="105"/>
        </w:rPr>
        <w:t>the</w:t>
      </w:r>
      <w:r>
        <w:rPr>
          <w:spacing w:val="-16"/>
          <w:w w:val="105"/>
        </w:rPr>
        <w:t xml:space="preserve"> </w:t>
      </w:r>
      <w:r>
        <w:rPr>
          <w:w w:val="105"/>
        </w:rPr>
        <w:t>recent</w:t>
      </w:r>
      <w:r>
        <w:rPr>
          <w:spacing w:val="-8"/>
          <w:w w:val="105"/>
        </w:rPr>
        <w:t xml:space="preserve"> </w:t>
      </w:r>
      <w:r>
        <w:rPr>
          <w:w w:val="105"/>
        </w:rPr>
        <w:t>decision</w:t>
      </w:r>
      <w:r>
        <w:rPr>
          <w:spacing w:val="-2"/>
          <w:w w:val="105"/>
        </w:rPr>
        <w:t xml:space="preserve"> </w:t>
      </w:r>
      <w:r>
        <w:rPr>
          <w:w w:val="105"/>
        </w:rPr>
        <w:t>of</w:t>
      </w:r>
      <w:r>
        <w:rPr>
          <w:spacing w:val="-9"/>
          <w:w w:val="105"/>
        </w:rPr>
        <w:t xml:space="preserve"> </w:t>
      </w:r>
      <w:r>
        <w:rPr>
          <w:w w:val="105"/>
        </w:rPr>
        <w:t>the</w:t>
      </w:r>
      <w:r>
        <w:rPr>
          <w:spacing w:val="-16"/>
          <w:w w:val="105"/>
        </w:rPr>
        <w:t xml:space="preserve"> </w:t>
      </w:r>
      <w:r>
        <w:rPr>
          <w:w w:val="105"/>
        </w:rPr>
        <w:t>Superior</w:t>
      </w:r>
      <w:r>
        <w:rPr>
          <w:spacing w:val="-12"/>
          <w:w w:val="105"/>
        </w:rPr>
        <w:t xml:space="preserve"> </w:t>
      </w:r>
      <w:r>
        <w:rPr>
          <w:w w:val="105"/>
        </w:rPr>
        <w:t>Court</w:t>
      </w:r>
      <w:r>
        <w:rPr>
          <w:spacing w:val="-8"/>
          <w:w w:val="105"/>
        </w:rPr>
        <w:t xml:space="preserve"> </w:t>
      </w:r>
      <w:r>
        <w:rPr>
          <w:w w:val="105"/>
        </w:rPr>
        <w:t>of</w:t>
      </w:r>
      <w:r>
        <w:rPr>
          <w:spacing w:val="-4"/>
          <w:w w:val="105"/>
        </w:rPr>
        <w:t xml:space="preserve"> </w:t>
      </w:r>
      <w:r>
        <w:rPr>
          <w:w w:val="105"/>
        </w:rPr>
        <w:t>Justice,</w:t>
      </w:r>
      <w:r>
        <w:rPr>
          <w:spacing w:val="-9"/>
          <w:w w:val="105"/>
        </w:rPr>
        <w:t xml:space="preserve"> </w:t>
      </w:r>
      <w:r>
        <w:rPr>
          <w:w w:val="105"/>
        </w:rPr>
        <w:t>issued</w:t>
      </w:r>
      <w:r>
        <w:rPr>
          <w:spacing w:val="-12"/>
          <w:w w:val="105"/>
        </w:rPr>
        <w:t xml:space="preserve"> </w:t>
      </w:r>
      <w:r>
        <w:rPr>
          <w:w w:val="105"/>
        </w:rPr>
        <w:t>in</w:t>
      </w:r>
      <w:r>
        <w:rPr>
          <w:spacing w:val="-1"/>
          <w:w w:val="105"/>
        </w:rPr>
        <w:t xml:space="preserve"> </w:t>
      </w:r>
      <w:r>
        <w:rPr>
          <w:w w:val="105"/>
        </w:rPr>
        <w:t>Special</w:t>
      </w:r>
      <w:r>
        <w:rPr>
          <w:spacing w:val="-7"/>
          <w:w w:val="105"/>
        </w:rPr>
        <w:t xml:space="preserve"> </w:t>
      </w:r>
      <w:r>
        <w:rPr>
          <w:w w:val="105"/>
        </w:rPr>
        <w:t>Appeal</w:t>
      </w:r>
      <w:r>
        <w:rPr>
          <w:spacing w:val="-9"/>
          <w:w w:val="105"/>
        </w:rPr>
        <w:t xml:space="preserve"> </w:t>
      </w:r>
      <w:r>
        <w:rPr>
          <w:w w:val="105"/>
        </w:rPr>
        <w:t>No. 1.937.821/SP (Topic 1.113), which established the understanding that the calculation basis of the ITBI is not linked to that of the Urban Property and Territorial Tax (IPTU) and that the value of the transaction declared by the taxpayer enjoys the presumption</w:t>
      </w:r>
      <w:r>
        <w:rPr>
          <w:spacing w:val="40"/>
          <w:w w:val="105"/>
        </w:rPr>
        <w:t xml:space="preserve"> </w:t>
      </w:r>
      <w:r>
        <w:rPr>
          <w:w w:val="105"/>
        </w:rPr>
        <w:t>that it is consistent with the market value,</w:t>
      </w:r>
      <w:r>
        <w:rPr>
          <w:spacing w:val="40"/>
          <w:w w:val="105"/>
        </w:rPr>
        <w:t xml:space="preserve"> </w:t>
      </w:r>
      <w:r>
        <w:rPr>
          <w:w w:val="105"/>
        </w:rPr>
        <w:t>therefore, it must be used as a basis for calculating the tax, except through the regular initiation of its own administrative proceeding (article 148 of the CTN).</w:t>
      </w:r>
    </w:p>
    <w:p w:rsidR="007259F2" w:rsidRDefault="00E655B4">
      <w:pPr>
        <w:pStyle w:val="Corpodetexto"/>
        <w:spacing w:before="109"/>
        <w:ind w:firstLine="0"/>
      </w:pPr>
      <w:r>
        <w:rPr>
          <w:b/>
          <w:w w:val="105"/>
        </w:rPr>
        <w:t>Keywords:</w:t>
      </w:r>
      <w:r>
        <w:rPr>
          <w:b/>
          <w:spacing w:val="-16"/>
          <w:w w:val="105"/>
        </w:rPr>
        <w:t xml:space="preserve"> </w:t>
      </w:r>
      <w:r>
        <w:rPr>
          <w:w w:val="105"/>
        </w:rPr>
        <w:t>ITBI;</w:t>
      </w:r>
      <w:r>
        <w:rPr>
          <w:spacing w:val="-5"/>
          <w:w w:val="105"/>
        </w:rPr>
        <w:t xml:space="preserve"> </w:t>
      </w:r>
      <w:r>
        <w:rPr>
          <w:w w:val="105"/>
        </w:rPr>
        <w:t>basis</w:t>
      </w:r>
      <w:r>
        <w:rPr>
          <w:spacing w:val="-10"/>
          <w:w w:val="105"/>
        </w:rPr>
        <w:t xml:space="preserve"> </w:t>
      </w:r>
      <w:r>
        <w:rPr>
          <w:w w:val="105"/>
        </w:rPr>
        <w:t>of</w:t>
      </w:r>
      <w:r>
        <w:rPr>
          <w:spacing w:val="-15"/>
          <w:w w:val="105"/>
        </w:rPr>
        <w:t xml:space="preserve"> </w:t>
      </w:r>
      <w:r>
        <w:rPr>
          <w:w w:val="105"/>
        </w:rPr>
        <w:t>calculation;</w:t>
      </w:r>
      <w:r>
        <w:rPr>
          <w:spacing w:val="-5"/>
          <w:w w:val="105"/>
        </w:rPr>
        <w:t xml:space="preserve"> </w:t>
      </w:r>
      <w:r>
        <w:rPr>
          <w:w w:val="105"/>
        </w:rPr>
        <w:t>jurisprudence;</w:t>
      </w:r>
      <w:r>
        <w:rPr>
          <w:spacing w:val="-4"/>
          <w:w w:val="105"/>
        </w:rPr>
        <w:t xml:space="preserve"> </w:t>
      </w:r>
      <w:r>
        <w:rPr>
          <w:w w:val="105"/>
        </w:rPr>
        <w:t>municipality</w:t>
      </w:r>
      <w:r>
        <w:rPr>
          <w:spacing w:val="-15"/>
          <w:w w:val="105"/>
        </w:rPr>
        <w:t xml:space="preserve"> </w:t>
      </w:r>
      <w:r>
        <w:rPr>
          <w:w w:val="105"/>
        </w:rPr>
        <w:t>of</w:t>
      </w:r>
      <w:r>
        <w:rPr>
          <w:spacing w:val="-6"/>
          <w:w w:val="105"/>
        </w:rPr>
        <w:t xml:space="preserve"> </w:t>
      </w:r>
      <w:r>
        <w:rPr>
          <w:w w:val="105"/>
        </w:rPr>
        <w:t>São</w:t>
      </w:r>
      <w:r>
        <w:rPr>
          <w:spacing w:val="-18"/>
          <w:w w:val="105"/>
        </w:rPr>
        <w:t xml:space="preserve"> </w:t>
      </w:r>
      <w:r>
        <w:rPr>
          <w:spacing w:val="-2"/>
          <w:w w:val="105"/>
        </w:rPr>
        <w:t>Paulo.</w:t>
      </w:r>
    </w:p>
    <w:p w:rsidR="007259F2" w:rsidRDefault="007259F2">
      <w:pPr>
        <w:pStyle w:val="Corpodetexto"/>
        <w:ind w:left="0" w:firstLine="0"/>
        <w:jc w:val="left"/>
        <w:rPr>
          <w:sz w:val="20"/>
        </w:rPr>
      </w:pPr>
    </w:p>
    <w:p w:rsidR="007259F2" w:rsidRDefault="007259F2">
      <w:pPr>
        <w:pStyle w:val="Corpodetexto"/>
        <w:ind w:left="0" w:firstLine="0"/>
        <w:jc w:val="left"/>
        <w:rPr>
          <w:sz w:val="20"/>
        </w:rPr>
      </w:pPr>
    </w:p>
    <w:p w:rsidR="007259F2" w:rsidRDefault="00DE6B1C">
      <w:pPr>
        <w:pStyle w:val="Corpodetexto"/>
        <w:spacing w:before="91"/>
        <w:ind w:left="0" w:firstLine="0"/>
        <w:jc w:val="left"/>
        <w:rPr>
          <w:sz w:val="20"/>
        </w:rPr>
      </w:pPr>
      <w:r w:rsidRPr="00DE6B1C">
        <w:rPr>
          <w:sz w:val="20"/>
        </w:rPr>
        <w:pict>
          <v:rect id="docshape115" o:spid="_x0000_s1113" style="position:absolute;margin-left:85.1pt;margin-top:17.3pt;width:2in;height:.7pt;z-index:-15680000;mso-wrap-distance-left:0;mso-wrap-distance-right:0;mso-position-horizontal-relative:page" fillcolor="black" stroked="f">
            <w10:wrap type="topAndBottom" anchorx="page"/>
          </v:rect>
        </w:pict>
      </w:r>
    </w:p>
    <w:p w:rsidR="007259F2" w:rsidRDefault="00E655B4">
      <w:pPr>
        <w:spacing w:before="96"/>
        <w:ind w:left="710" w:right="419"/>
        <w:jc w:val="both"/>
        <w:rPr>
          <w:sz w:val="20"/>
        </w:rPr>
      </w:pPr>
      <w:r>
        <w:rPr>
          <w:sz w:val="20"/>
          <w:vertAlign w:val="superscript"/>
        </w:rPr>
        <w:t>1</w:t>
      </w:r>
      <w:r>
        <w:rPr>
          <w:sz w:val="20"/>
        </w:rPr>
        <w:t xml:space="preserve"> Residente jurídica do Programa de Residência Jurídica da Procuradoria Geral do Município de São Paulo, alocada na Assessoria Jurídica da Secretaria Municipal da Pessoa com Deficiência – SMPED (2022-2025). E- mail: </w:t>
      </w:r>
      <w:hyperlink r:id="rId182">
        <w:r>
          <w:rPr>
            <w:sz w:val="20"/>
          </w:rPr>
          <w:t>marianepaiva11@gmail.com</w:t>
        </w:r>
      </w:hyperlink>
    </w:p>
    <w:p w:rsidR="007259F2" w:rsidRDefault="007259F2">
      <w:pPr>
        <w:jc w:val="both"/>
        <w:rPr>
          <w:sz w:val="20"/>
        </w:rPr>
        <w:sectPr w:rsidR="007259F2">
          <w:pgSz w:w="11910" w:h="16840"/>
          <w:pgMar w:top="1620" w:right="708" w:bottom="1020" w:left="992" w:header="0" w:footer="820" w:gutter="0"/>
          <w:cols w:space="720"/>
        </w:sectPr>
      </w:pPr>
    </w:p>
    <w:p w:rsidR="007259F2" w:rsidRDefault="00E655B4">
      <w:pPr>
        <w:pStyle w:val="Heading2"/>
        <w:numPr>
          <w:ilvl w:val="0"/>
          <w:numId w:val="25"/>
        </w:numPr>
        <w:tabs>
          <w:tab w:val="left" w:pos="1207"/>
        </w:tabs>
        <w:spacing w:before="60"/>
        <w:ind w:left="1207" w:hanging="356"/>
        <w:jc w:val="both"/>
      </w:pPr>
      <w:r>
        <w:rPr>
          <w:spacing w:val="-2"/>
          <w:w w:val="105"/>
        </w:rPr>
        <w:lastRenderedPageBreak/>
        <w:t>Introdução</w:t>
      </w:r>
    </w:p>
    <w:p w:rsidR="007259F2" w:rsidRDefault="00E655B4">
      <w:pPr>
        <w:pStyle w:val="Corpodetexto"/>
        <w:spacing w:before="115"/>
        <w:ind w:right="421"/>
      </w:pPr>
      <w:r>
        <w:t>A base de cálculo do Imposto de Transmissão de Bens Imóveis - ITBI - tem sido</w:t>
      </w:r>
      <w:r>
        <w:rPr>
          <w:spacing w:val="40"/>
        </w:rPr>
        <w:t xml:space="preserve"> </w:t>
      </w:r>
      <w:r>
        <w:t>objeto constante de questionamentos judiciais, opondo contribuintes e Fazenda Municipal. O presente artigo tem como intuito analisar qual tem sido o entendimento jurisprudencial sobre</w:t>
      </w:r>
      <w:r>
        <w:rPr>
          <w:spacing w:val="40"/>
        </w:rPr>
        <w:t xml:space="preserve"> </w:t>
      </w:r>
      <w:r>
        <w:t>o tema no Município de São Paulo. A discussão do tópico se torna necessária, em razão do significativo impacto econômico desse imposto, visto que são inúmeros os negócios jurídicos de transmissão da propriedade imobiliária sobre os quais incide. A investigação acadêmica</w:t>
      </w:r>
      <w:r>
        <w:rPr>
          <w:spacing w:val="40"/>
        </w:rPr>
        <w:t xml:space="preserve"> </w:t>
      </w:r>
      <w:r>
        <w:t>ora proposta será pautada pelo método dedutivo, a ser empreendido a partir de uma revisão bibliográfica multidisciplinar de livros, artigos, legislação e jurisprudência sobre o assunto.</w:t>
      </w:r>
    </w:p>
    <w:p w:rsidR="007259F2" w:rsidRDefault="00E655B4">
      <w:pPr>
        <w:pStyle w:val="Corpodetexto"/>
        <w:ind w:right="424"/>
      </w:pPr>
      <w:r>
        <w:t>O imbróglio envolvendo a base de cálculo do ITBI, no Município de São Paulo, ganhou força, após modificações legislativas da Lei Municipal n.º 11.154/1991. Anteriormente, o ITBI incidia sobre o valor venal dos bens ou direitos transmitidos, com expressa referência ao valor venal do imóvel conforme estabelecido para fins de cálculo do Imposto Predial e Territorial Urbano - IPTU - ou, nos casos em que houvesse o valor de aquisição, o maior montante entre os dois.</w:t>
      </w:r>
    </w:p>
    <w:p w:rsidR="007259F2" w:rsidRDefault="00E655B4">
      <w:pPr>
        <w:pStyle w:val="Corpodetexto"/>
        <w:spacing w:before="1"/>
        <w:ind w:right="423"/>
      </w:pPr>
      <w:r>
        <w:t>Até a data de finalização deste trabalho, a legislação municipal de São Paulo</w:t>
      </w:r>
      <w:r>
        <w:rPr>
          <w:spacing w:val="40"/>
        </w:rPr>
        <w:t xml:space="preserve"> </w:t>
      </w:r>
      <w:r>
        <w:t>estabelece que o imposto incide sobre o valor da transação imobiliária ou sobre o valor venal de referência, o que for superior, sendo o último apurado e fornecido pela Prefeitura de São Paulo de acordo com a redação dada pela Lei Municipal n.º 14.256/2006.</w:t>
      </w:r>
    </w:p>
    <w:p w:rsidR="007259F2" w:rsidRDefault="00E655B4">
      <w:pPr>
        <w:pStyle w:val="Corpodetexto"/>
        <w:ind w:right="429"/>
      </w:pPr>
      <w:r>
        <w:t>Este novo sistema de aferição do cálculo do ITBI, acabou por gerar um aumento de demandas judiciais, nas quais se questiona a utilização da base de cálculo valor venal de referência</w:t>
      </w:r>
      <w:r>
        <w:rPr>
          <w:spacing w:val="-2"/>
        </w:rPr>
        <w:t xml:space="preserve"> </w:t>
      </w:r>
      <w:r>
        <w:t>-</w:t>
      </w:r>
      <w:r>
        <w:rPr>
          <w:spacing w:val="-3"/>
        </w:rPr>
        <w:t xml:space="preserve"> </w:t>
      </w:r>
      <w:r>
        <w:t>VVR</w:t>
      </w:r>
      <w:r>
        <w:rPr>
          <w:spacing w:val="-1"/>
        </w:rPr>
        <w:t xml:space="preserve"> </w:t>
      </w:r>
      <w:r>
        <w:t>-</w:t>
      </w:r>
      <w:r>
        <w:rPr>
          <w:spacing w:val="-3"/>
        </w:rPr>
        <w:t xml:space="preserve"> </w:t>
      </w:r>
      <w:r>
        <w:t>especialmente</w:t>
      </w:r>
      <w:r>
        <w:rPr>
          <w:spacing w:val="-3"/>
        </w:rPr>
        <w:t xml:space="preserve"> </w:t>
      </w:r>
      <w:r>
        <w:t>por</w:t>
      </w:r>
      <w:r>
        <w:rPr>
          <w:spacing w:val="-3"/>
        </w:rPr>
        <w:t xml:space="preserve"> </w:t>
      </w:r>
      <w:r>
        <w:t>esta,</w:t>
      </w:r>
      <w:r>
        <w:rPr>
          <w:spacing w:val="-3"/>
        </w:rPr>
        <w:t xml:space="preserve"> </w:t>
      </w:r>
      <w:r>
        <w:t>supostamente,</w:t>
      </w:r>
      <w:r>
        <w:rPr>
          <w:spacing w:val="-2"/>
        </w:rPr>
        <w:t xml:space="preserve"> </w:t>
      </w:r>
      <w:r>
        <w:t>encarecer</w:t>
      </w:r>
      <w:r>
        <w:rPr>
          <w:spacing w:val="-3"/>
        </w:rPr>
        <w:t xml:space="preserve"> </w:t>
      </w:r>
      <w:r>
        <w:t>as</w:t>
      </w:r>
      <w:r>
        <w:rPr>
          <w:spacing w:val="-2"/>
        </w:rPr>
        <w:t xml:space="preserve"> </w:t>
      </w:r>
      <w:r>
        <w:t>operações</w:t>
      </w:r>
      <w:r>
        <w:rPr>
          <w:spacing w:val="-2"/>
        </w:rPr>
        <w:t xml:space="preserve"> </w:t>
      </w:r>
      <w:r>
        <w:t xml:space="preserve">imobiliárias, vez que em comparação aos valores venais estabelecidos para base de cálculo do IPTU, o VVR é superior, assim como também, em alguns casos, maior que o valor da transação </w:t>
      </w:r>
      <w:r>
        <w:rPr>
          <w:spacing w:val="-2"/>
        </w:rPr>
        <w:t>imobiliária.</w:t>
      </w:r>
      <w:r>
        <w:rPr>
          <w:spacing w:val="-2"/>
          <w:vertAlign w:val="superscript"/>
        </w:rPr>
        <w:t>2</w:t>
      </w:r>
    </w:p>
    <w:p w:rsidR="007259F2" w:rsidRDefault="00E655B4">
      <w:pPr>
        <w:pStyle w:val="Corpodetexto"/>
        <w:spacing w:before="1"/>
        <w:ind w:right="418"/>
      </w:pPr>
      <w:r>
        <w:t>Cabe aqui pontuar um dos motivos pelos quais o Fisco Paulistano optou pela adoção</w:t>
      </w:r>
      <w:r>
        <w:rPr>
          <w:spacing w:val="40"/>
        </w:rPr>
        <w:t xml:space="preserve"> </w:t>
      </w:r>
      <w:r>
        <w:t>do valor venal de referência. Ao longo dos anos, tem sido cada vez mais comum transações imobiliárias com valores muito abaixo do real valor de mercado, sem que haja sido apresentado elementos que justificassem desvalorização tão expressiva dos imóveis.</w:t>
      </w:r>
      <w:r>
        <w:rPr>
          <w:vertAlign w:val="superscript"/>
        </w:rPr>
        <w:t>3</w:t>
      </w:r>
      <w:r>
        <w:t xml:space="preserve"> Assim, uma das finalidades de utilização do valor venal de referência é para diminuir</w:t>
      </w:r>
      <w:r>
        <w:rPr>
          <w:spacing w:val="40"/>
        </w:rPr>
        <w:t xml:space="preserve"> </w:t>
      </w:r>
      <w:r>
        <w:t>comportamentos tendentes à evasão fiscal.</w:t>
      </w:r>
    </w:p>
    <w:p w:rsidR="007259F2" w:rsidRDefault="00E655B4">
      <w:pPr>
        <w:pStyle w:val="Corpodetexto"/>
        <w:ind w:right="422"/>
      </w:pPr>
      <w:r>
        <w:t>Em síntese, a legislação municipal de São Paulo continua adotando o valor venal</w:t>
      </w:r>
      <w:r>
        <w:rPr>
          <w:spacing w:val="40"/>
        </w:rPr>
        <w:t xml:space="preserve"> </w:t>
      </w:r>
      <w:r>
        <w:t>de referência como base de cálculo do ITBI até o julgamento, pelo Supremo Tribunal</w:t>
      </w:r>
      <w:r>
        <w:rPr>
          <w:spacing w:val="80"/>
        </w:rPr>
        <w:t xml:space="preserve"> </w:t>
      </w:r>
      <w:r>
        <w:t xml:space="preserve">Federal, do Recurso Extraordinário (RE n.º 1.412.419/SP), interposto pelo Município, originário do Incidente de Resolução de Demandas Repetitivas (Tema 19) do Tribunal de Justiça do Estado de São Paulo e Recurso Especial n.º </w:t>
      </w:r>
      <w:hyperlink r:id="rId183">
        <w:r>
          <w:rPr>
            <w:color w:val="0000FF"/>
            <w:u w:val="single" w:color="0000FF"/>
          </w:rPr>
          <w:t>1.937.821/</w:t>
        </w:r>
      </w:hyperlink>
      <w:r>
        <w:t>SP (Tema 1.113)</w:t>
      </w:r>
      <w:r>
        <w:rPr>
          <w:spacing w:val="40"/>
        </w:rPr>
        <w:t xml:space="preserve"> </w:t>
      </w:r>
      <w:r>
        <w:t xml:space="preserve">do Superior Tribunal de </w:t>
      </w:r>
      <w:r>
        <w:rPr>
          <w:spacing w:val="-2"/>
        </w:rPr>
        <w:t>Justiça.</w:t>
      </w:r>
    </w:p>
    <w:p w:rsidR="007259F2" w:rsidRDefault="00E655B4">
      <w:pPr>
        <w:pStyle w:val="Corpodetexto"/>
        <w:ind w:right="423"/>
      </w:pPr>
      <w:r>
        <w:t>Em último caso, se a decisão do Tribunal for desfavorável, a Municipalidade terá que adequar sua legislação aos entendimentos das cortes superiores e buscar outros meios de combater</w:t>
      </w:r>
      <w:r>
        <w:rPr>
          <w:spacing w:val="41"/>
        </w:rPr>
        <w:t xml:space="preserve"> </w:t>
      </w:r>
      <w:r>
        <w:t>a</w:t>
      </w:r>
      <w:r>
        <w:rPr>
          <w:spacing w:val="43"/>
        </w:rPr>
        <w:t xml:space="preserve"> </w:t>
      </w:r>
      <w:r>
        <w:t>evasão</w:t>
      </w:r>
      <w:r>
        <w:rPr>
          <w:spacing w:val="44"/>
        </w:rPr>
        <w:t xml:space="preserve"> </w:t>
      </w:r>
      <w:r>
        <w:t>fiscal</w:t>
      </w:r>
      <w:r>
        <w:rPr>
          <w:spacing w:val="42"/>
        </w:rPr>
        <w:t xml:space="preserve"> </w:t>
      </w:r>
      <w:r>
        <w:t>e</w:t>
      </w:r>
      <w:r>
        <w:rPr>
          <w:spacing w:val="41"/>
        </w:rPr>
        <w:t xml:space="preserve"> </w:t>
      </w:r>
      <w:r>
        <w:t>a</w:t>
      </w:r>
      <w:r>
        <w:rPr>
          <w:spacing w:val="43"/>
        </w:rPr>
        <w:t xml:space="preserve"> </w:t>
      </w:r>
      <w:r>
        <w:t>consequente</w:t>
      </w:r>
      <w:r>
        <w:rPr>
          <w:spacing w:val="43"/>
        </w:rPr>
        <w:t xml:space="preserve"> </w:t>
      </w:r>
      <w:r>
        <w:t>redução</w:t>
      </w:r>
      <w:r>
        <w:rPr>
          <w:spacing w:val="41"/>
        </w:rPr>
        <w:t xml:space="preserve"> </w:t>
      </w:r>
      <w:r>
        <w:t>de</w:t>
      </w:r>
      <w:r>
        <w:rPr>
          <w:spacing w:val="43"/>
        </w:rPr>
        <w:t xml:space="preserve"> </w:t>
      </w:r>
      <w:r>
        <w:t>arrecadação</w:t>
      </w:r>
      <w:r>
        <w:rPr>
          <w:spacing w:val="41"/>
        </w:rPr>
        <w:t xml:space="preserve"> </w:t>
      </w:r>
      <w:r>
        <w:t>tributária</w:t>
      </w:r>
      <w:r>
        <w:rPr>
          <w:spacing w:val="40"/>
        </w:rPr>
        <w:t xml:space="preserve"> </w:t>
      </w:r>
      <w:r>
        <w:t>decorrente</w:t>
      </w:r>
      <w:r>
        <w:rPr>
          <w:spacing w:val="44"/>
        </w:rPr>
        <w:t xml:space="preserve"> </w:t>
      </w:r>
      <w:r>
        <w:rPr>
          <w:spacing w:val="-5"/>
        </w:rPr>
        <w:t>da</w:t>
      </w:r>
    </w:p>
    <w:p w:rsidR="007259F2" w:rsidRDefault="00DE6B1C">
      <w:pPr>
        <w:pStyle w:val="Corpodetexto"/>
        <w:spacing w:before="179"/>
        <w:ind w:left="0" w:firstLine="0"/>
        <w:jc w:val="left"/>
        <w:rPr>
          <w:sz w:val="20"/>
        </w:rPr>
      </w:pPr>
      <w:r w:rsidRPr="00DE6B1C">
        <w:rPr>
          <w:sz w:val="20"/>
        </w:rPr>
        <w:pict>
          <v:rect id="docshape116" o:spid="_x0000_s1112" style="position:absolute;margin-left:85.1pt;margin-top:21.7pt;width:2in;height:.7pt;z-index:-15679488;mso-wrap-distance-left:0;mso-wrap-distance-right:0;mso-position-horizontal-relative:page" fillcolor="black" stroked="f">
            <w10:wrap type="topAndBottom" anchorx="page"/>
          </v:rect>
        </w:pict>
      </w:r>
    </w:p>
    <w:p w:rsidR="007259F2" w:rsidRDefault="00E655B4">
      <w:pPr>
        <w:spacing w:before="96"/>
        <w:ind w:left="710" w:right="422"/>
        <w:jc w:val="both"/>
        <w:rPr>
          <w:sz w:val="20"/>
        </w:rPr>
      </w:pPr>
      <w:r>
        <w:rPr>
          <w:sz w:val="20"/>
          <w:vertAlign w:val="superscript"/>
        </w:rPr>
        <w:t>2</w:t>
      </w:r>
      <w:r>
        <w:rPr>
          <w:sz w:val="20"/>
        </w:rPr>
        <w:t xml:space="preserve"> Exemplos</w:t>
      </w:r>
      <w:r>
        <w:rPr>
          <w:spacing w:val="40"/>
          <w:sz w:val="20"/>
        </w:rPr>
        <w:t xml:space="preserve"> </w:t>
      </w:r>
      <w:r>
        <w:rPr>
          <w:sz w:val="20"/>
        </w:rPr>
        <w:t>comparativos</w:t>
      </w:r>
      <w:r>
        <w:rPr>
          <w:spacing w:val="40"/>
          <w:sz w:val="20"/>
        </w:rPr>
        <w:t xml:space="preserve"> </w:t>
      </w:r>
      <w:r>
        <w:rPr>
          <w:sz w:val="20"/>
        </w:rPr>
        <w:t>de</w:t>
      </w:r>
      <w:r>
        <w:rPr>
          <w:spacing w:val="40"/>
          <w:sz w:val="20"/>
        </w:rPr>
        <w:t xml:space="preserve"> </w:t>
      </w:r>
      <w:r>
        <w:rPr>
          <w:sz w:val="20"/>
        </w:rPr>
        <w:t>valores:</w:t>
      </w:r>
      <w:r>
        <w:rPr>
          <w:spacing w:val="39"/>
          <w:sz w:val="20"/>
        </w:rPr>
        <w:t xml:space="preserve"> </w:t>
      </w:r>
      <w:r>
        <w:rPr>
          <w:sz w:val="20"/>
        </w:rPr>
        <w:t>Tribunal</w:t>
      </w:r>
      <w:r>
        <w:rPr>
          <w:spacing w:val="40"/>
          <w:sz w:val="20"/>
        </w:rPr>
        <w:t xml:space="preserve"> </w:t>
      </w:r>
      <w:r>
        <w:rPr>
          <w:sz w:val="20"/>
        </w:rPr>
        <w:t>de</w:t>
      </w:r>
      <w:r>
        <w:rPr>
          <w:spacing w:val="40"/>
          <w:sz w:val="20"/>
        </w:rPr>
        <w:t xml:space="preserve"> </w:t>
      </w:r>
      <w:r>
        <w:rPr>
          <w:sz w:val="20"/>
        </w:rPr>
        <w:t>Justiça</w:t>
      </w:r>
      <w:r>
        <w:rPr>
          <w:spacing w:val="40"/>
          <w:sz w:val="20"/>
        </w:rPr>
        <w:t xml:space="preserve"> </w:t>
      </w:r>
      <w:r>
        <w:rPr>
          <w:sz w:val="20"/>
        </w:rPr>
        <w:t>do</w:t>
      </w:r>
      <w:r>
        <w:rPr>
          <w:spacing w:val="40"/>
          <w:sz w:val="20"/>
        </w:rPr>
        <w:t xml:space="preserve"> </w:t>
      </w:r>
      <w:r>
        <w:rPr>
          <w:sz w:val="20"/>
        </w:rPr>
        <w:t>Estado</w:t>
      </w:r>
      <w:r>
        <w:rPr>
          <w:spacing w:val="40"/>
          <w:sz w:val="20"/>
        </w:rPr>
        <w:t xml:space="preserve"> </w:t>
      </w:r>
      <w:r>
        <w:rPr>
          <w:sz w:val="20"/>
        </w:rPr>
        <w:t>de</w:t>
      </w:r>
      <w:r>
        <w:rPr>
          <w:spacing w:val="40"/>
          <w:sz w:val="20"/>
        </w:rPr>
        <w:t xml:space="preserve"> </w:t>
      </w:r>
      <w:r>
        <w:rPr>
          <w:sz w:val="20"/>
        </w:rPr>
        <w:t>São</w:t>
      </w:r>
      <w:r>
        <w:rPr>
          <w:spacing w:val="40"/>
          <w:sz w:val="20"/>
        </w:rPr>
        <w:t xml:space="preserve"> </w:t>
      </w:r>
      <w:r>
        <w:rPr>
          <w:sz w:val="20"/>
        </w:rPr>
        <w:t>Paulo:</w:t>
      </w:r>
      <w:r>
        <w:rPr>
          <w:spacing w:val="40"/>
          <w:sz w:val="20"/>
        </w:rPr>
        <w:t xml:space="preserve"> </w:t>
      </w:r>
      <w:r>
        <w:rPr>
          <w:sz w:val="20"/>
        </w:rPr>
        <w:t>Mandado</w:t>
      </w:r>
      <w:r>
        <w:rPr>
          <w:spacing w:val="40"/>
          <w:sz w:val="20"/>
        </w:rPr>
        <w:t xml:space="preserve"> </w:t>
      </w:r>
      <w:r>
        <w:rPr>
          <w:sz w:val="20"/>
        </w:rPr>
        <w:t>de Segurança nº</w:t>
      </w:r>
      <w:r>
        <w:rPr>
          <w:spacing w:val="40"/>
          <w:sz w:val="20"/>
        </w:rPr>
        <w:t xml:space="preserve"> </w:t>
      </w:r>
      <w:r>
        <w:rPr>
          <w:sz w:val="20"/>
        </w:rPr>
        <w:t>1000365-09.2022.8.26.0053</w:t>
      </w:r>
      <w:r>
        <w:rPr>
          <w:spacing w:val="80"/>
          <w:sz w:val="20"/>
        </w:rPr>
        <w:t xml:space="preserve"> </w:t>
      </w:r>
      <w:r>
        <w:rPr>
          <w:sz w:val="20"/>
        </w:rPr>
        <w:t>-</w:t>
      </w:r>
      <w:r>
        <w:rPr>
          <w:spacing w:val="40"/>
          <w:sz w:val="20"/>
        </w:rPr>
        <w:t xml:space="preserve"> </w:t>
      </w:r>
      <w:r>
        <w:rPr>
          <w:sz w:val="20"/>
        </w:rPr>
        <w:t>VVR:</w:t>
      </w:r>
      <w:r>
        <w:rPr>
          <w:spacing w:val="80"/>
          <w:sz w:val="20"/>
        </w:rPr>
        <w:t xml:space="preserve"> </w:t>
      </w:r>
      <w:r>
        <w:rPr>
          <w:sz w:val="20"/>
        </w:rPr>
        <w:t>R$</w:t>
      </w:r>
      <w:r>
        <w:rPr>
          <w:spacing w:val="40"/>
          <w:sz w:val="20"/>
        </w:rPr>
        <w:t xml:space="preserve"> </w:t>
      </w:r>
      <w:r>
        <w:rPr>
          <w:sz w:val="20"/>
        </w:rPr>
        <w:t>2.392.510,00;</w:t>
      </w:r>
      <w:r>
        <w:rPr>
          <w:spacing w:val="40"/>
          <w:sz w:val="20"/>
        </w:rPr>
        <w:t xml:space="preserve"> </w:t>
      </w:r>
      <w:r>
        <w:rPr>
          <w:sz w:val="20"/>
        </w:rPr>
        <w:t>IPTU:</w:t>
      </w:r>
      <w:r>
        <w:rPr>
          <w:spacing w:val="40"/>
          <w:sz w:val="20"/>
        </w:rPr>
        <w:t xml:space="preserve"> </w:t>
      </w:r>
      <w:r>
        <w:rPr>
          <w:sz w:val="20"/>
        </w:rPr>
        <w:t>R$</w:t>
      </w:r>
      <w:r>
        <w:rPr>
          <w:spacing w:val="40"/>
          <w:sz w:val="20"/>
        </w:rPr>
        <w:t xml:space="preserve"> </w:t>
      </w:r>
      <w:r>
        <w:rPr>
          <w:sz w:val="20"/>
        </w:rPr>
        <w:t>1.083.337,00; Transação:</w:t>
      </w:r>
      <w:r>
        <w:rPr>
          <w:spacing w:val="40"/>
          <w:sz w:val="20"/>
        </w:rPr>
        <w:t xml:space="preserve"> </w:t>
      </w:r>
      <w:r>
        <w:rPr>
          <w:sz w:val="20"/>
        </w:rPr>
        <w:t>R$ 700.000,00</w:t>
      </w:r>
      <w:r>
        <w:rPr>
          <w:spacing w:val="61"/>
          <w:sz w:val="20"/>
        </w:rPr>
        <w:t xml:space="preserve"> </w:t>
      </w:r>
      <w:r>
        <w:rPr>
          <w:sz w:val="20"/>
        </w:rPr>
        <w:t>/</w:t>
      </w:r>
      <w:r>
        <w:rPr>
          <w:spacing w:val="69"/>
          <w:sz w:val="20"/>
        </w:rPr>
        <w:t xml:space="preserve"> </w:t>
      </w:r>
      <w:r>
        <w:rPr>
          <w:sz w:val="20"/>
        </w:rPr>
        <w:t>Mandado</w:t>
      </w:r>
      <w:r>
        <w:rPr>
          <w:spacing w:val="59"/>
          <w:sz w:val="20"/>
        </w:rPr>
        <w:t xml:space="preserve"> </w:t>
      </w:r>
      <w:r>
        <w:rPr>
          <w:sz w:val="20"/>
        </w:rPr>
        <w:t>de</w:t>
      </w:r>
      <w:r>
        <w:rPr>
          <w:spacing w:val="50"/>
          <w:sz w:val="20"/>
        </w:rPr>
        <w:t xml:space="preserve"> </w:t>
      </w:r>
      <w:r>
        <w:rPr>
          <w:sz w:val="20"/>
        </w:rPr>
        <w:t>Segurança</w:t>
      </w:r>
      <w:r>
        <w:rPr>
          <w:spacing w:val="59"/>
          <w:sz w:val="20"/>
        </w:rPr>
        <w:t xml:space="preserve"> </w:t>
      </w:r>
      <w:r>
        <w:rPr>
          <w:sz w:val="20"/>
        </w:rPr>
        <w:t>nº</w:t>
      </w:r>
      <w:r>
        <w:rPr>
          <w:spacing w:val="64"/>
          <w:sz w:val="20"/>
        </w:rPr>
        <w:t xml:space="preserve"> </w:t>
      </w:r>
      <w:r>
        <w:rPr>
          <w:sz w:val="20"/>
        </w:rPr>
        <w:t>1001842-67.2022.8.26.0053</w:t>
      </w:r>
      <w:r>
        <w:rPr>
          <w:spacing w:val="72"/>
          <w:sz w:val="20"/>
        </w:rPr>
        <w:t xml:space="preserve"> </w:t>
      </w:r>
      <w:r>
        <w:rPr>
          <w:sz w:val="20"/>
        </w:rPr>
        <w:t>-</w:t>
      </w:r>
      <w:r>
        <w:rPr>
          <w:spacing w:val="49"/>
          <w:sz w:val="20"/>
        </w:rPr>
        <w:t xml:space="preserve"> </w:t>
      </w:r>
      <w:r>
        <w:rPr>
          <w:sz w:val="20"/>
        </w:rPr>
        <w:t>VVR:</w:t>
      </w:r>
      <w:r>
        <w:rPr>
          <w:spacing w:val="66"/>
          <w:sz w:val="20"/>
        </w:rPr>
        <w:t xml:space="preserve"> </w:t>
      </w:r>
      <w:r>
        <w:rPr>
          <w:sz w:val="20"/>
        </w:rPr>
        <w:t>R$10.126.585,00;</w:t>
      </w:r>
      <w:r>
        <w:rPr>
          <w:spacing w:val="16"/>
          <w:sz w:val="20"/>
        </w:rPr>
        <w:t xml:space="preserve"> </w:t>
      </w:r>
      <w:r>
        <w:rPr>
          <w:sz w:val="20"/>
        </w:rPr>
        <w:t>IPTU:</w:t>
      </w:r>
      <w:r>
        <w:rPr>
          <w:spacing w:val="16"/>
          <w:sz w:val="20"/>
        </w:rPr>
        <w:t xml:space="preserve"> </w:t>
      </w:r>
      <w:r>
        <w:rPr>
          <w:spacing w:val="-5"/>
          <w:sz w:val="20"/>
        </w:rPr>
        <w:t>R$</w:t>
      </w:r>
    </w:p>
    <w:p w:rsidR="007259F2" w:rsidRDefault="00E655B4">
      <w:pPr>
        <w:spacing w:before="1" w:line="229" w:lineRule="exact"/>
        <w:ind w:left="710"/>
        <w:jc w:val="both"/>
        <w:rPr>
          <w:sz w:val="20"/>
        </w:rPr>
      </w:pPr>
      <w:r>
        <w:rPr>
          <w:sz w:val="20"/>
        </w:rPr>
        <w:t>6.810.078,00;</w:t>
      </w:r>
      <w:r>
        <w:rPr>
          <w:spacing w:val="7"/>
          <w:sz w:val="20"/>
        </w:rPr>
        <w:t xml:space="preserve"> </w:t>
      </w:r>
      <w:r>
        <w:rPr>
          <w:sz w:val="20"/>
        </w:rPr>
        <w:t>Transação:</w:t>
      </w:r>
      <w:r>
        <w:rPr>
          <w:spacing w:val="13"/>
          <w:sz w:val="20"/>
        </w:rPr>
        <w:t xml:space="preserve"> </w:t>
      </w:r>
      <w:r>
        <w:rPr>
          <w:sz w:val="20"/>
        </w:rPr>
        <w:t>R$</w:t>
      </w:r>
      <w:r>
        <w:rPr>
          <w:spacing w:val="14"/>
          <w:sz w:val="20"/>
        </w:rPr>
        <w:t xml:space="preserve"> </w:t>
      </w:r>
      <w:r>
        <w:rPr>
          <w:sz w:val="20"/>
        </w:rPr>
        <w:t>8.931.000,00/</w:t>
      </w:r>
      <w:r>
        <w:rPr>
          <w:spacing w:val="13"/>
          <w:sz w:val="20"/>
        </w:rPr>
        <w:t xml:space="preserve"> </w:t>
      </w:r>
      <w:r>
        <w:rPr>
          <w:sz w:val="20"/>
        </w:rPr>
        <w:t>Mandado</w:t>
      </w:r>
      <w:r>
        <w:rPr>
          <w:spacing w:val="21"/>
          <w:sz w:val="20"/>
        </w:rPr>
        <w:t xml:space="preserve"> </w:t>
      </w:r>
      <w:r>
        <w:rPr>
          <w:sz w:val="20"/>
        </w:rPr>
        <w:t>de</w:t>
      </w:r>
      <w:r>
        <w:rPr>
          <w:spacing w:val="14"/>
          <w:sz w:val="20"/>
        </w:rPr>
        <w:t xml:space="preserve"> </w:t>
      </w:r>
      <w:r>
        <w:rPr>
          <w:sz w:val="20"/>
        </w:rPr>
        <w:t>Segurança</w:t>
      </w:r>
      <w:r>
        <w:rPr>
          <w:spacing w:val="14"/>
          <w:sz w:val="20"/>
        </w:rPr>
        <w:t xml:space="preserve"> </w:t>
      </w:r>
      <w:r>
        <w:rPr>
          <w:sz w:val="20"/>
        </w:rPr>
        <w:t>nº</w:t>
      </w:r>
      <w:r>
        <w:rPr>
          <w:spacing w:val="16"/>
          <w:sz w:val="20"/>
        </w:rPr>
        <w:t xml:space="preserve"> </w:t>
      </w:r>
      <w:r>
        <w:rPr>
          <w:sz w:val="20"/>
        </w:rPr>
        <w:t>1000050-04.2023.8.26.0228</w:t>
      </w:r>
      <w:r>
        <w:rPr>
          <w:spacing w:val="18"/>
          <w:sz w:val="20"/>
        </w:rPr>
        <w:t xml:space="preserve"> </w:t>
      </w:r>
      <w:r>
        <w:rPr>
          <w:sz w:val="20"/>
        </w:rPr>
        <w:t>-</w:t>
      </w:r>
      <w:r>
        <w:rPr>
          <w:spacing w:val="3"/>
          <w:sz w:val="20"/>
        </w:rPr>
        <w:t xml:space="preserve"> </w:t>
      </w:r>
      <w:r>
        <w:rPr>
          <w:sz w:val="20"/>
        </w:rPr>
        <w:t>VVR:</w:t>
      </w:r>
      <w:r>
        <w:rPr>
          <w:spacing w:val="9"/>
          <w:sz w:val="20"/>
        </w:rPr>
        <w:t xml:space="preserve"> </w:t>
      </w:r>
      <w:r>
        <w:rPr>
          <w:spacing w:val="-5"/>
          <w:sz w:val="20"/>
        </w:rPr>
        <w:t>R$</w:t>
      </w:r>
    </w:p>
    <w:p w:rsidR="007259F2" w:rsidRDefault="00E655B4">
      <w:pPr>
        <w:spacing w:line="229" w:lineRule="exact"/>
        <w:ind w:left="710"/>
        <w:jc w:val="both"/>
        <w:rPr>
          <w:sz w:val="20"/>
        </w:rPr>
      </w:pPr>
      <w:r>
        <w:rPr>
          <w:sz w:val="20"/>
        </w:rPr>
        <w:t>374.543,00;</w:t>
      </w:r>
      <w:r>
        <w:rPr>
          <w:spacing w:val="-11"/>
          <w:sz w:val="20"/>
        </w:rPr>
        <w:t xml:space="preserve"> </w:t>
      </w:r>
      <w:r>
        <w:rPr>
          <w:sz w:val="20"/>
        </w:rPr>
        <w:t>IPTU:</w:t>
      </w:r>
      <w:r>
        <w:rPr>
          <w:spacing w:val="-8"/>
          <w:sz w:val="20"/>
        </w:rPr>
        <w:t xml:space="preserve"> </w:t>
      </w:r>
      <w:r>
        <w:rPr>
          <w:sz w:val="20"/>
        </w:rPr>
        <w:t>R$</w:t>
      </w:r>
      <w:r>
        <w:rPr>
          <w:spacing w:val="-6"/>
          <w:sz w:val="20"/>
        </w:rPr>
        <w:t xml:space="preserve"> </w:t>
      </w:r>
      <w:r>
        <w:rPr>
          <w:sz w:val="20"/>
        </w:rPr>
        <w:t>291.338,00;</w:t>
      </w:r>
      <w:r>
        <w:rPr>
          <w:spacing w:val="-13"/>
          <w:sz w:val="20"/>
        </w:rPr>
        <w:t xml:space="preserve"> </w:t>
      </w:r>
      <w:r>
        <w:rPr>
          <w:sz w:val="20"/>
        </w:rPr>
        <w:t>Transação:</w:t>
      </w:r>
      <w:r>
        <w:rPr>
          <w:spacing w:val="-9"/>
          <w:sz w:val="20"/>
        </w:rPr>
        <w:t xml:space="preserve"> </w:t>
      </w:r>
      <w:r>
        <w:rPr>
          <w:sz w:val="20"/>
        </w:rPr>
        <w:t>R$</w:t>
      </w:r>
      <w:r>
        <w:rPr>
          <w:spacing w:val="-8"/>
          <w:sz w:val="20"/>
        </w:rPr>
        <w:t xml:space="preserve"> </w:t>
      </w:r>
      <w:r>
        <w:rPr>
          <w:spacing w:val="-2"/>
          <w:sz w:val="20"/>
        </w:rPr>
        <w:t>102.980,00.</w:t>
      </w:r>
    </w:p>
    <w:p w:rsidR="007259F2" w:rsidRDefault="00E655B4">
      <w:pPr>
        <w:spacing w:before="1"/>
        <w:ind w:left="710" w:right="421"/>
        <w:jc w:val="both"/>
        <w:rPr>
          <w:sz w:val="20"/>
        </w:rPr>
      </w:pPr>
      <w:r>
        <w:rPr>
          <w:sz w:val="20"/>
          <w:vertAlign w:val="superscript"/>
        </w:rPr>
        <w:t>3</w:t>
      </w:r>
      <w:r>
        <w:rPr>
          <w:sz w:val="20"/>
        </w:rPr>
        <w:t xml:space="preserve"> Exemplos de transações com valores discrepantes - Tribunal de Justiça do Estado de São Paulo: Mandado</w:t>
      </w:r>
      <w:r>
        <w:rPr>
          <w:spacing w:val="40"/>
          <w:sz w:val="20"/>
        </w:rPr>
        <w:t xml:space="preserve"> </w:t>
      </w:r>
      <w:r>
        <w:rPr>
          <w:sz w:val="20"/>
        </w:rPr>
        <w:t>de Segurança nº</w:t>
      </w:r>
      <w:r>
        <w:rPr>
          <w:spacing w:val="40"/>
          <w:sz w:val="20"/>
        </w:rPr>
        <w:t xml:space="preserve"> </w:t>
      </w:r>
      <w:r>
        <w:rPr>
          <w:sz w:val="20"/>
        </w:rPr>
        <w:t>1032143-60.2023.8.26.0053</w:t>
      </w:r>
      <w:r>
        <w:rPr>
          <w:spacing w:val="40"/>
          <w:sz w:val="20"/>
        </w:rPr>
        <w:t xml:space="preserve"> </w:t>
      </w:r>
      <w:r>
        <w:rPr>
          <w:sz w:val="20"/>
        </w:rPr>
        <w:t>- VVR: R$ 2.238,270;</w:t>
      </w:r>
      <w:r>
        <w:rPr>
          <w:spacing w:val="40"/>
          <w:sz w:val="20"/>
        </w:rPr>
        <w:t xml:space="preserve"> </w:t>
      </w:r>
      <w:r>
        <w:rPr>
          <w:sz w:val="20"/>
        </w:rPr>
        <w:t>IPTU:</w:t>
      </w:r>
      <w:r>
        <w:rPr>
          <w:spacing w:val="40"/>
          <w:sz w:val="20"/>
        </w:rPr>
        <w:t xml:space="preserve"> </w:t>
      </w:r>
      <w:r>
        <w:rPr>
          <w:sz w:val="20"/>
        </w:rPr>
        <w:t>R$ 1.818,739;</w:t>
      </w:r>
    </w:p>
    <w:p w:rsidR="007259F2" w:rsidRDefault="00E655B4">
      <w:pPr>
        <w:spacing w:before="1"/>
        <w:ind w:left="710" w:right="421"/>
        <w:jc w:val="both"/>
        <w:rPr>
          <w:sz w:val="20"/>
        </w:rPr>
      </w:pPr>
      <w:r>
        <w:rPr>
          <w:sz w:val="20"/>
        </w:rPr>
        <w:t>Transação: R$ 945.635,33 / Mandado de Segurança nº 1034688-06.2023.8.26.0053 - VVR: R$ 1.510.398,00; IPTU: R$ 1.174.843,00; Transação: R$ 500.000,00 / Mandado de Segurança n.º 1078458-49.2023.8.26.0053</w:t>
      </w:r>
      <w:r>
        <w:rPr>
          <w:spacing w:val="40"/>
          <w:sz w:val="20"/>
        </w:rPr>
        <w:t xml:space="preserve"> </w:t>
      </w:r>
      <w:r>
        <w:rPr>
          <w:sz w:val="20"/>
        </w:rPr>
        <w:t>- VVR:</w:t>
      </w:r>
      <w:r>
        <w:rPr>
          <w:spacing w:val="80"/>
          <w:sz w:val="20"/>
        </w:rPr>
        <w:t xml:space="preserve"> </w:t>
      </w:r>
      <w:r>
        <w:rPr>
          <w:sz w:val="20"/>
        </w:rPr>
        <w:t>R$</w:t>
      </w:r>
      <w:r>
        <w:rPr>
          <w:spacing w:val="80"/>
          <w:sz w:val="20"/>
        </w:rPr>
        <w:t xml:space="preserve"> </w:t>
      </w:r>
      <w:r>
        <w:rPr>
          <w:sz w:val="20"/>
        </w:rPr>
        <w:t>5.954.236,00;</w:t>
      </w:r>
      <w:r>
        <w:rPr>
          <w:spacing w:val="80"/>
          <w:sz w:val="20"/>
        </w:rPr>
        <w:t xml:space="preserve"> </w:t>
      </w:r>
      <w:r>
        <w:rPr>
          <w:sz w:val="20"/>
        </w:rPr>
        <w:t>VVI:</w:t>
      </w:r>
      <w:r>
        <w:rPr>
          <w:spacing w:val="80"/>
          <w:sz w:val="20"/>
        </w:rPr>
        <w:t xml:space="preserve"> </w:t>
      </w:r>
      <w:r>
        <w:rPr>
          <w:sz w:val="20"/>
        </w:rPr>
        <w:t>R$</w:t>
      </w:r>
      <w:r>
        <w:rPr>
          <w:spacing w:val="80"/>
          <w:sz w:val="20"/>
        </w:rPr>
        <w:t xml:space="preserve"> </w:t>
      </w:r>
      <w:r>
        <w:rPr>
          <w:sz w:val="20"/>
        </w:rPr>
        <w:t>4.633.202,00;</w:t>
      </w:r>
      <w:r>
        <w:rPr>
          <w:spacing w:val="80"/>
          <w:sz w:val="20"/>
        </w:rPr>
        <w:t xml:space="preserve"> </w:t>
      </w:r>
      <w:r>
        <w:rPr>
          <w:sz w:val="20"/>
        </w:rPr>
        <w:t>Transação:</w:t>
      </w:r>
      <w:r>
        <w:rPr>
          <w:spacing w:val="80"/>
          <w:sz w:val="20"/>
        </w:rPr>
        <w:t xml:space="preserve"> </w:t>
      </w:r>
      <w:r>
        <w:rPr>
          <w:sz w:val="20"/>
        </w:rPr>
        <w:t>R$ 900.000,00.</w:t>
      </w:r>
    </w:p>
    <w:p w:rsidR="007259F2" w:rsidRDefault="007259F2">
      <w:pPr>
        <w:jc w:val="both"/>
        <w:rPr>
          <w:sz w:val="20"/>
        </w:rPr>
        <w:sectPr w:rsidR="007259F2">
          <w:pgSz w:w="11910" w:h="16840"/>
          <w:pgMar w:top="1620" w:right="708" w:bottom="1020" w:left="992" w:header="0" w:footer="820" w:gutter="0"/>
          <w:cols w:space="720"/>
        </w:sectPr>
      </w:pPr>
    </w:p>
    <w:p w:rsidR="007259F2" w:rsidRDefault="00E655B4">
      <w:pPr>
        <w:pStyle w:val="Corpodetexto"/>
        <w:spacing w:before="75"/>
        <w:ind w:right="424" w:firstLine="0"/>
      </w:pPr>
      <w:r>
        <w:lastRenderedPageBreak/>
        <w:t>inutilização do valor venal de referência. Do contrário, enfrentará constantes derrotas no judiciário, tendo como consequência, que arcar com o pagamento de custas processuais e honorários advocatícios à parte contrária.</w:t>
      </w:r>
    </w:p>
    <w:p w:rsidR="007259F2" w:rsidRDefault="00E655B4">
      <w:pPr>
        <w:pStyle w:val="Heading2"/>
        <w:numPr>
          <w:ilvl w:val="0"/>
          <w:numId w:val="25"/>
        </w:numPr>
        <w:tabs>
          <w:tab w:val="left" w:pos="1275"/>
        </w:tabs>
        <w:ind w:left="1275" w:hanging="424"/>
        <w:jc w:val="both"/>
      </w:pPr>
      <w:r>
        <w:rPr>
          <w:w w:val="105"/>
        </w:rPr>
        <w:t>Aspectos</w:t>
      </w:r>
      <w:r>
        <w:rPr>
          <w:spacing w:val="-10"/>
          <w:w w:val="105"/>
        </w:rPr>
        <w:t xml:space="preserve"> </w:t>
      </w:r>
      <w:r>
        <w:rPr>
          <w:w w:val="105"/>
        </w:rPr>
        <w:t>gerais</w:t>
      </w:r>
      <w:r>
        <w:rPr>
          <w:spacing w:val="-9"/>
          <w:w w:val="105"/>
        </w:rPr>
        <w:t xml:space="preserve"> </w:t>
      </w:r>
      <w:r>
        <w:rPr>
          <w:w w:val="105"/>
        </w:rPr>
        <w:t>do</w:t>
      </w:r>
      <w:r>
        <w:rPr>
          <w:spacing w:val="-15"/>
          <w:w w:val="105"/>
        </w:rPr>
        <w:t xml:space="preserve"> </w:t>
      </w:r>
      <w:r>
        <w:rPr>
          <w:w w:val="105"/>
        </w:rPr>
        <w:t>ITBI</w:t>
      </w:r>
      <w:r>
        <w:rPr>
          <w:spacing w:val="-13"/>
          <w:w w:val="105"/>
        </w:rPr>
        <w:t xml:space="preserve"> </w:t>
      </w:r>
      <w:r>
        <w:rPr>
          <w:w w:val="105"/>
        </w:rPr>
        <w:t>na</w:t>
      </w:r>
      <w:r>
        <w:rPr>
          <w:spacing w:val="-5"/>
          <w:w w:val="105"/>
        </w:rPr>
        <w:t xml:space="preserve"> </w:t>
      </w:r>
      <w:r>
        <w:rPr>
          <w:w w:val="105"/>
        </w:rPr>
        <w:t>legislação</w:t>
      </w:r>
      <w:r>
        <w:rPr>
          <w:spacing w:val="-5"/>
          <w:w w:val="105"/>
        </w:rPr>
        <w:t xml:space="preserve"> </w:t>
      </w:r>
      <w:r>
        <w:rPr>
          <w:spacing w:val="-2"/>
          <w:w w:val="105"/>
        </w:rPr>
        <w:t>paulistana</w:t>
      </w:r>
    </w:p>
    <w:p w:rsidR="007259F2" w:rsidRDefault="00E655B4">
      <w:pPr>
        <w:pStyle w:val="Corpodetexto"/>
        <w:spacing w:before="113"/>
        <w:ind w:right="426"/>
      </w:pPr>
      <w:r>
        <w:t>Para fins do presente estudo, importa apresentar a forma pela qual a legislação paulistana disciplinou o Imposto de Transmissão de Bens Imóveis.</w:t>
      </w:r>
    </w:p>
    <w:p w:rsidR="007259F2" w:rsidRDefault="00E655B4">
      <w:pPr>
        <w:pStyle w:val="Corpodetexto"/>
        <w:ind w:right="429"/>
      </w:pPr>
      <w:r>
        <w:t>O ITBI possui previsão legal na Constituição Federal em seu artigo 156, inciso II, e está disciplinado no Código Tributário Nacional nos artigos 35 a 38 e artigo 42.</w:t>
      </w:r>
    </w:p>
    <w:p w:rsidR="007259F2" w:rsidRDefault="00E655B4">
      <w:pPr>
        <w:pStyle w:val="Corpodetexto"/>
        <w:ind w:right="420"/>
      </w:pPr>
      <w:r>
        <w:t>A Constituição Federal, ao outorgar a competência para a instituição do ITBI, elegeu como área econômica passível de tributação a transmissão onerosa da propriedade imóvel. A escolha desta regra matriz deve-se ao fato de que a transmissão onerosa de bem imóvel indica capacidade econômica do contribuinte para suportar o ônus da tributação e concorrer para os gastos públicos.</w:t>
      </w:r>
      <w:r>
        <w:rPr>
          <w:vertAlign w:val="superscript"/>
        </w:rPr>
        <w:t>4</w:t>
      </w:r>
    </w:p>
    <w:p w:rsidR="007259F2" w:rsidRDefault="00E655B4">
      <w:pPr>
        <w:pStyle w:val="Corpodetexto"/>
        <w:ind w:right="427"/>
      </w:pPr>
      <w:r>
        <w:t>No</w:t>
      </w:r>
      <w:r>
        <w:rPr>
          <w:spacing w:val="-2"/>
        </w:rPr>
        <w:t xml:space="preserve"> </w:t>
      </w:r>
      <w:r>
        <w:t>Código</w:t>
      </w:r>
      <w:r>
        <w:rPr>
          <w:spacing w:val="-1"/>
        </w:rPr>
        <w:t xml:space="preserve"> </w:t>
      </w:r>
      <w:r>
        <w:t>Tributário</w:t>
      </w:r>
      <w:r>
        <w:rPr>
          <w:spacing w:val="-2"/>
        </w:rPr>
        <w:t xml:space="preserve"> </w:t>
      </w:r>
      <w:r>
        <w:t>Nacional,</w:t>
      </w:r>
      <w:r>
        <w:rPr>
          <w:spacing w:val="-1"/>
        </w:rPr>
        <w:t xml:space="preserve"> </w:t>
      </w:r>
      <w:r>
        <w:t>o</w:t>
      </w:r>
      <w:r>
        <w:rPr>
          <w:spacing w:val="-1"/>
        </w:rPr>
        <w:t xml:space="preserve"> </w:t>
      </w:r>
      <w:r>
        <w:t>artigo</w:t>
      </w:r>
      <w:r>
        <w:rPr>
          <w:spacing w:val="-1"/>
        </w:rPr>
        <w:t xml:space="preserve"> </w:t>
      </w:r>
      <w:r>
        <w:t>35</w:t>
      </w:r>
      <w:r>
        <w:rPr>
          <w:spacing w:val="-1"/>
        </w:rPr>
        <w:t xml:space="preserve"> </w:t>
      </w:r>
      <w:r>
        <w:t>estabelece</w:t>
      </w:r>
      <w:r>
        <w:rPr>
          <w:spacing w:val="-2"/>
        </w:rPr>
        <w:t xml:space="preserve"> </w:t>
      </w:r>
      <w:r>
        <w:t>que</w:t>
      </w:r>
      <w:r>
        <w:rPr>
          <w:spacing w:val="-2"/>
        </w:rPr>
        <w:t xml:space="preserve"> </w:t>
      </w:r>
      <w:r>
        <w:t>o</w:t>
      </w:r>
      <w:r>
        <w:rPr>
          <w:spacing w:val="-1"/>
        </w:rPr>
        <w:t xml:space="preserve"> </w:t>
      </w:r>
      <w:r>
        <w:t>fato gerador</w:t>
      </w:r>
      <w:r>
        <w:rPr>
          <w:spacing w:val="-2"/>
        </w:rPr>
        <w:t xml:space="preserve"> </w:t>
      </w:r>
      <w:r>
        <w:t>do</w:t>
      </w:r>
      <w:r>
        <w:rPr>
          <w:spacing w:val="-1"/>
        </w:rPr>
        <w:t xml:space="preserve"> </w:t>
      </w:r>
      <w:r>
        <w:t>imposto</w:t>
      </w:r>
      <w:r>
        <w:rPr>
          <w:spacing w:val="-1"/>
        </w:rPr>
        <w:t xml:space="preserve"> </w:t>
      </w:r>
      <w:r>
        <w:t>é a transmissão entre vivos, a qualquer título, por ato oneroso: primeiro, da propriedade ou do domínio útil de bens imóveis por natureza ou por acessão física, como definidos na Lei civil; segundo, de direitos reais sobre bens imóveis, exceto os direitos reais de garantia; e, terceiro, cessão de direitos relativos às referidas transmissões.</w:t>
      </w:r>
      <w:r>
        <w:rPr>
          <w:vertAlign w:val="superscript"/>
        </w:rPr>
        <w:t>5</w:t>
      </w:r>
    </w:p>
    <w:p w:rsidR="007259F2" w:rsidRDefault="00E655B4">
      <w:pPr>
        <w:pStyle w:val="Corpodetexto"/>
        <w:ind w:right="429"/>
      </w:pPr>
      <w:r>
        <w:t>A Lei Municipal n.º 11.154/1991, artigo 1º, acompanha o CTN e a CF/88 na demarcação das hipóteses de incidência do ITBI. E prossegue, no artigo 2º, relacionando</w:t>
      </w:r>
      <w:r>
        <w:rPr>
          <w:spacing w:val="40"/>
        </w:rPr>
        <w:t xml:space="preserve"> </w:t>
      </w:r>
      <w:r>
        <w:t>quais negócios jurídicos acarretam a obrigação de pagar o imposto:</w:t>
      </w:r>
    </w:p>
    <w:p w:rsidR="007259F2" w:rsidRDefault="007259F2">
      <w:pPr>
        <w:pStyle w:val="Corpodetexto"/>
        <w:spacing w:before="5"/>
        <w:ind w:left="0" w:firstLine="0"/>
        <w:jc w:val="left"/>
      </w:pPr>
    </w:p>
    <w:p w:rsidR="007259F2" w:rsidRDefault="00E655B4">
      <w:pPr>
        <w:ind w:left="427" w:right="496"/>
        <w:jc w:val="center"/>
        <w:rPr>
          <w:sz w:val="20"/>
        </w:rPr>
      </w:pPr>
      <w:r>
        <w:rPr>
          <w:sz w:val="20"/>
        </w:rPr>
        <w:t>Art.2º</w:t>
      </w:r>
      <w:r>
        <w:rPr>
          <w:spacing w:val="-13"/>
          <w:sz w:val="20"/>
        </w:rPr>
        <w:t xml:space="preserve"> </w:t>
      </w:r>
      <w:r>
        <w:rPr>
          <w:sz w:val="20"/>
        </w:rPr>
        <w:t>-</w:t>
      </w:r>
      <w:r>
        <w:rPr>
          <w:spacing w:val="-14"/>
          <w:sz w:val="20"/>
        </w:rPr>
        <w:t xml:space="preserve"> </w:t>
      </w:r>
      <w:r>
        <w:rPr>
          <w:sz w:val="20"/>
        </w:rPr>
        <w:t>Estão</w:t>
      </w:r>
      <w:r>
        <w:rPr>
          <w:spacing w:val="-12"/>
          <w:sz w:val="20"/>
        </w:rPr>
        <w:t xml:space="preserve"> </w:t>
      </w:r>
      <w:r>
        <w:rPr>
          <w:sz w:val="20"/>
        </w:rPr>
        <w:t>compreendidos</w:t>
      </w:r>
      <w:r>
        <w:rPr>
          <w:spacing w:val="-11"/>
          <w:sz w:val="20"/>
        </w:rPr>
        <w:t xml:space="preserve"> </w:t>
      </w:r>
      <w:r>
        <w:rPr>
          <w:sz w:val="20"/>
        </w:rPr>
        <w:t>na</w:t>
      </w:r>
      <w:r>
        <w:rPr>
          <w:spacing w:val="-12"/>
          <w:sz w:val="20"/>
        </w:rPr>
        <w:t xml:space="preserve"> </w:t>
      </w:r>
      <w:r>
        <w:rPr>
          <w:sz w:val="20"/>
        </w:rPr>
        <w:t>incidência</w:t>
      </w:r>
      <w:r>
        <w:rPr>
          <w:spacing w:val="-10"/>
          <w:sz w:val="20"/>
        </w:rPr>
        <w:t xml:space="preserve"> </w:t>
      </w:r>
      <w:r>
        <w:rPr>
          <w:sz w:val="20"/>
        </w:rPr>
        <w:t>do</w:t>
      </w:r>
      <w:r>
        <w:rPr>
          <w:spacing w:val="-12"/>
          <w:sz w:val="20"/>
        </w:rPr>
        <w:t xml:space="preserve"> </w:t>
      </w:r>
      <w:r>
        <w:rPr>
          <w:spacing w:val="-2"/>
          <w:sz w:val="20"/>
        </w:rPr>
        <w:t>imposto:</w:t>
      </w:r>
    </w:p>
    <w:p w:rsidR="007259F2" w:rsidRDefault="007259F2">
      <w:pPr>
        <w:pStyle w:val="Corpodetexto"/>
        <w:ind w:left="0" w:firstLine="0"/>
        <w:jc w:val="left"/>
        <w:rPr>
          <w:sz w:val="20"/>
        </w:rPr>
      </w:pPr>
    </w:p>
    <w:p w:rsidR="007259F2" w:rsidRDefault="00E655B4">
      <w:pPr>
        <w:pStyle w:val="PargrafodaLista"/>
        <w:numPr>
          <w:ilvl w:val="1"/>
          <w:numId w:val="25"/>
        </w:numPr>
        <w:tabs>
          <w:tab w:val="left" w:pos="3336"/>
        </w:tabs>
        <w:spacing w:before="1"/>
        <w:ind w:hanging="475"/>
        <w:jc w:val="left"/>
        <w:rPr>
          <w:sz w:val="20"/>
        </w:rPr>
      </w:pPr>
      <w:r>
        <w:rPr>
          <w:sz w:val="20"/>
        </w:rPr>
        <w:t>a</w:t>
      </w:r>
      <w:r>
        <w:rPr>
          <w:spacing w:val="-4"/>
          <w:sz w:val="20"/>
        </w:rPr>
        <w:t xml:space="preserve"> </w:t>
      </w:r>
      <w:r>
        <w:rPr>
          <w:sz w:val="20"/>
        </w:rPr>
        <w:t>compra</w:t>
      </w:r>
      <w:r>
        <w:rPr>
          <w:spacing w:val="-3"/>
          <w:sz w:val="20"/>
        </w:rPr>
        <w:t xml:space="preserve"> </w:t>
      </w:r>
      <w:r>
        <w:rPr>
          <w:sz w:val="20"/>
        </w:rPr>
        <w:t>e</w:t>
      </w:r>
      <w:r>
        <w:rPr>
          <w:spacing w:val="-3"/>
          <w:sz w:val="20"/>
        </w:rPr>
        <w:t xml:space="preserve"> </w:t>
      </w:r>
      <w:r>
        <w:rPr>
          <w:spacing w:val="-2"/>
          <w:sz w:val="20"/>
        </w:rPr>
        <w:t>venda;</w:t>
      </w:r>
    </w:p>
    <w:p w:rsidR="007259F2" w:rsidRDefault="00E655B4">
      <w:pPr>
        <w:pStyle w:val="PargrafodaLista"/>
        <w:numPr>
          <w:ilvl w:val="1"/>
          <w:numId w:val="25"/>
        </w:numPr>
        <w:tabs>
          <w:tab w:val="left" w:pos="3336"/>
        </w:tabs>
        <w:ind w:hanging="541"/>
        <w:jc w:val="left"/>
        <w:rPr>
          <w:sz w:val="20"/>
        </w:rPr>
      </w:pPr>
      <w:r>
        <w:rPr>
          <w:sz w:val="20"/>
        </w:rPr>
        <w:t>a</w:t>
      </w:r>
      <w:r>
        <w:rPr>
          <w:spacing w:val="-3"/>
          <w:sz w:val="20"/>
        </w:rPr>
        <w:t xml:space="preserve"> </w:t>
      </w:r>
      <w:r>
        <w:rPr>
          <w:sz w:val="20"/>
        </w:rPr>
        <w:t>dação</w:t>
      </w:r>
      <w:r>
        <w:rPr>
          <w:spacing w:val="-1"/>
          <w:sz w:val="20"/>
        </w:rPr>
        <w:t xml:space="preserve"> </w:t>
      </w:r>
      <w:r>
        <w:rPr>
          <w:sz w:val="20"/>
        </w:rPr>
        <w:t>em</w:t>
      </w:r>
      <w:r>
        <w:rPr>
          <w:spacing w:val="-6"/>
          <w:sz w:val="20"/>
        </w:rPr>
        <w:t xml:space="preserve"> </w:t>
      </w:r>
      <w:r>
        <w:rPr>
          <w:spacing w:val="-2"/>
          <w:sz w:val="20"/>
        </w:rPr>
        <w:t>pagamento;</w:t>
      </w:r>
    </w:p>
    <w:p w:rsidR="007259F2" w:rsidRDefault="00E655B4">
      <w:pPr>
        <w:pStyle w:val="PargrafodaLista"/>
        <w:numPr>
          <w:ilvl w:val="1"/>
          <w:numId w:val="25"/>
        </w:numPr>
        <w:tabs>
          <w:tab w:val="left" w:pos="3336"/>
        </w:tabs>
        <w:ind w:hanging="608"/>
        <w:jc w:val="left"/>
        <w:rPr>
          <w:sz w:val="20"/>
        </w:rPr>
      </w:pPr>
      <w:r>
        <w:rPr>
          <w:sz w:val="20"/>
        </w:rPr>
        <w:t>a</w:t>
      </w:r>
      <w:r>
        <w:rPr>
          <w:spacing w:val="-1"/>
          <w:sz w:val="20"/>
        </w:rPr>
        <w:t xml:space="preserve"> </w:t>
      </w:r>
      <w:r>
        <w:rPr>
          <w:spacing w:val="-2"/>
          <w:sz w:val="20"/>
        </w:rPr>
        <w:t>permuta;</w:t>
      </w:r>
    </w:p>
    <w:p w:rsidR="007259F2" w:rsidRDefault="00E655B4">
      <w:pPr>
        <w:pStyle w:val="PargrafodaLista"/>
        <w:numPr>
          <w:ilvl w:val="1"/>
          <w:numId w:val="25"/>
        </w:numPr>
        <w:tabs>
          <w:tab w:val="left" w:pos="3336"/>
        </w:tabs>
        <w:spacing w:before="1"/>
        <w:ind w:right="429" w:hanging="620"/>
        <w:jc w:val="both"/>
        <w:rPr>
          <w:sz w:val="20"/>
        </w:rPr>
      </w:pPr>
      <w:r>
        <w:rPr>
          <w:sz w:val="20"/>
        </w:rPr>
        <w:t>o mandato em</w:t>
      </w:r>
      <w:r>
        <w:rPr>
          <w:spacing w:val="-2"/>
          <w:sz w:val="20"/>
        </w:rPr>
        <w:t xml:space="preserve"> </w:t>
      </w:r>
      <w:r>
        <w:rPr>
          <w:sz w:val="20"/>
        </w:rPr>
        <w:t>causa própria ou com</w:t>
      </w:r>
      <w:r>
        <w:rPr>
          <w:spacing w:val="-2"/>
          <w:sz w:val="20"/>
        </w:rPr>
        <w:t xml:space="preserve"> </w:t>
      </w:r>
      <w:r>
        <w:rPr>
          <w:sz w:val="20"/>
        </w:rPr>
        <w:t>poderes equivalentes para a transmissão de bem imóvel e respectivo substabelecimento, ressalvado o disposto no artigo 3°, inciso I, desta Lei;</w:t>
      </w:r>
    </w:p>
    <w:p w:rsidR="007259F2" w:rsidRDefault="00E655B4">
      <w:pPr>
        <w:pStyle w:val="PargrafodaLista"/>
        <w:numPr>
          <w:ilvl w:val="1"/>
          <w:numId w:val="25"/>
        </w:numPr>
        <w:tabs>
          <w:tab w:val="left" w:pos="3334"/>
        </w:tabs>
        <w:spacing w:line="229" w:lineRule="exact"/>
        <w:ind w:left="3334" w:hanging="551"/>
        <w:jc w:val="both"/>
        <w:rPr>
          <w:sz w:val="20"/>
        </w:rPr>
      </w:pPr>
      <w:r>
        <w:rPr>
          <w:sz w:val="20"/>
        </w:rPr>
        <w:t>a</w:t>
      </w:r>
      <w:r>
        <w:rPr>
          <w:spacing w:val="-4"/>
          <w:sz w:val="20"/>
        </w:rPr>
        <w:t xml:space="preserve"> </w:t>
      </w:r>
      <w:r>
        <w:rPr>
          <w:sz w:val="20"/>
        </w:rPr>
        <w:t>arrematação,</w:t>
      </w:r>
      <w:r>
        <w:rPr>
          <w:spacing w:val="-4"/>
          <w:sz w:val="20"/>
        </w:rPr>
        <w:t xml:space="preserve"> </w:t>
      </w:r>
      <w:r>
        <w:rPr>
          <w:sz w:val="20"/>
        </w:rPr>
        <w:t>a</w:t>
      </w:r>
      <w:r>
        <w:rPr>
          <w:spacing w:val="-4"/>
          <w:sz w:val="20"/>
        </w:rPr>
        <w:t xml:space="preserve"> </w:t>
      </w:r>
      <w:r>
        <w:rPr>
          <w:sz w:val="20"/>
        </w:rPr>
        <w:t>adjudicação</w:t>
      </w:r>
      <w:r>
        <w:rPr>
          <w:spacing w:val="-3"/>
          <w:sz w:val="20"/>
        </w:rPr>
        <w:t xml:space="preserve"> </w:t>
      </w:r>
      <w:r>
        <w:rPr>
          <w:sz w:val="20"/>
        </w:rPr>
        <w:t>e</w:t>
      </w:r>
      <w:r>
        <w:rPr>
          <w:spacing w:val="-6"/>
          <w:sz w:val="20"/>
        </w:rPr>
        <w:t xml:space="preserve"> </w:t>
      </w:r>
      <w:r>
        <w:rPr>
          <w:sz w:val="20"/>
        </w:rPr>
        <w:t>a</w:t>
      </w:r>
      <w:r>
        <w:rPr>
          <w:spacing w:val="-4"/>
          <w:sz w:val="20"/>
        </w:rPr>
        <w:t xml:space="preserve"> </w:t>
      </w:r>
      <w:r>
        <w:rPr>
          <w:spacing w:val="-2"/>
          <w:sz w:val="20"/>
        </w:rPr>
        <w:t>remição;</w:t>
      </w:r>
    </w:p>
    <w:p w:rsidR="007259F2" w:rsidRDefault="00E655B4">
      <w:pPr>
        <w:pStyle w:val="PargrafodaLista"/>
        <w:numPr>
          <w:ilvl w:val="1"/>
          <w:numId w:val="25"/>
        </w:numPr>
        <w:tabs>
          <w:tab w:val="left" w:pos="3336"/>
        </w:tabs>
        <w:ind w:right="419" w:hanging="620"/>
        <w:jc w:val="both"/>
        <w:rPr>
          <w:sz w:val="20"/>
        </w:rPr>
      </w:pPr>
      <w:r>
        <w:rPr>
          <w:sz w:val="20"/>
        </w:rPr>
        <w:t>o valor dos imóveis que, na divisão de patrimônio comum ou na partilha, forem atribuídos</w:t>
      </w:r>
      <w:r>
        <w:rPr>
          <w:spacing w:val="-4"/>
          <w:sz w:val="20"/>
        </w:rPr>
        <w:t xml:space="preserve"> </w:t>
      </w:r>
      <w:r>
        <w:rPr>
          <w:sz w:val="20"/>
        </w:rPr>
        <w:t>a</w:t>
      </w:r>
      <w:r>
        <w:rPr>
          <w:spacing w:val="-3"/>
          <w:sz w:val="20"/>
        </w:rPr>
        <w:t xml:space="preserve"> </w:t>
      </w:r>
      <w:r>
        <w:rPr>
          <w:sz w:val="20"/>
        </w:rPr>
        <w:t>um</w:t>
      </w:r>
      <w:r>
        <w:rPr>
          <w:spacing w:val="-5"/>
          <w:sz w:val="20"/>
        </w:rPr>
        <w:t xml:space="preserve"> </w:t>
      </w:r>
      <w:r>
        <w:rPr>
          <w:sz w:val="20"/>
        </w:rPr>
        <w:t>dos</w:t>
      </w:r>
      <w:r>
        <w:rPr>
          <w:spacing w:val="-4"/>
          <w:sz w:val="20"/>
        </w:rPr>
        <w:t xml:space="preserve"> </w:t>
      </w:r>
      <w:r>
        <w:rPr>
          <w:sz w:val="20"/>
        </w:rPr>
        <w:t>cônjuges</w:t>
      </w:r>
      <w:r>
        <w:rPr>
          <w:spacing w:val="-1"/>
          <w:sz w:val="20"/>
        </w:rPr>
        <w:t xml:space="preserve"> </w:t>
      </w:r>
      <w:r>
        <w:rPr>
          <w:sz w:val="20"/>
        </w:rPr>
        <w:t>separados</w:t>
      </w:r>
      <w:r>
        <w:rPr>
          <w:spacing w:val="-4"/>
          <w:sz w:val="20"/>
        </w:rPr>
        <w:t xml:space="preserve"> </w:t>
      </w:r>
      <w:r>
        <w:rPr>
          <w:sz w:val="20"/>
        </w:rPr>
        <w:t>ou</w:t>
      </w:r>
      <w:r>
        <w:rPr>
          <w:spacing w:val="-4"/>
          <w:sz w:val="20"/>
        </w:rPr>
        <w:t xml:space="preserve"> </w:t>
      </w:r>
      <w:r>
        <w:rPr>
          <w:sz w:val="20"/>
        </w:rPr>
        <w:t>divorciados,</w:t>
      </w:r>
      <w:r>
        <w:rPr>
          <w:spacing w:val="-3"/>
          <w:sz w:val="20"/>
        </w:rPr>
        <w:t xml:space="preserve"> </w:t>
      </w:r>
      <w:r>
        <w:rPr>
          <w:sz w:val="20"/>
        </w:rPr>
        <w:t>ao</w:t>
      </w:r>
      <w:r>
        <w:rPr>
          <w:spacing w:val="-2"/>
          <w:sz w:val="20"/>
        </w:rPr>
        <w:t xml:space="preserve"> </w:t>
      </w:r>
      <w:r>
        <w:rPr>
          <w:sz w:val="20"/>
        </w:rPr>
        <w:t>cônjuge</w:t>
      </w:r>
      <w:r>
        <w:rPr>
          <w:spacing w:val="-3"/>
          <w:sz w:val="20"/>
        </w:rPr>
        <w:t xml:space="preserve"> </w:t>
      </w:r>
      <w:r>
        <w:rPr>
          <w:sz w:val="20"/>
        </w:rPr>
        <w:t>supérstite</w:t>
      </w:r>
      <w:r>
        <w:rPr>
          <w:spacing w:val="-4"/>
          <w:sz w:val="20"/>
        </w:rPr>
        <w:t xml:space="preserve"> </w:t>
      </w:r>
      <w:r>
        <w:rPr>
          <w:sz w:val="20"/>
        </w:rPr>
        <w:t xml:space="preserve">ou a qualquer herdeiro, acima da respectiva meação ou quinhão, considerando, em conjunto, apenas os bens imóveis constantes do patrimônio comum ou monte- mor.(Redação dada pela </w:t>
      </w:r>
      <w:hyperlink r:id="rId184">
        <w:r>
          <w:rPr>
            <w:color w:val="0000FF"/>
            <w:sz w:val="20"/>
            <w:u w:val="single" w:color="0000FF"/>
          </w:rPr>
          <w:t>Lei n° 13.402/2002</w:t>
        </w:r>
      </w:hyperlink>
      <w:r>
        <w:rPr>
          <w:sz w:val="20"/>
        </w:rPr>
        <w:t>)</w:t>
      </w:r>
    </w:p>
    <w:p w:rsidR="007259F2" w:rsidRDefault="00E655B4">
      <w:pPr>
        <w:pStyle w:val="PargrafodaLista"/>
        <w:numPr>
          <w:ilvl w:val="1"/>
          <w:numId w:val="25"/>
        </w:numPr>
        <w:tabs>
          <w:tab w:val="left" w:pos="3334"/>
        </w:tabs>
        <w:spacing w:before="1"/>
        <w:ind w:left="3334" w:hanging="685"/>
        <w:jc w:val="both"/>
        <w:rPr>
          <w:sz w:val="20"/>
        </w:rPr>
      </w:pPr>
      <w:r>
        <w:rPr>
          <w:sz w:val="20"/>
        </w:rPr>
        <w:t>o</w:t>
      </w:r>
      <w:r>
        <w:rPr>
          <w:spacing w:val="-3"/>
          <w:sz w:val="20"/>
        </w:rPr>
        <w:t xml:space="preserve"> </w:t>
      </w:r>
      <w:r>
        <w:rPr>
          <w:sz w:val="20"/>
        </w:rPr>
        <w:t>uso,</w:t>
      </w:r>
      <w:r>
        <w:rPr>
          <w:spacing w:val="-3"/>
          <w:sz w:val="20"/>
        </w:rPr>
        <w:t xml:space="preserve"> </w:t>
      </w:r>
      <w:r>
        <w:rPr>
          <w:sz w:val="20"/>
        </w:rPr>
        <w:t>o</w:t>
      </w:r>
      <w:r>
        <w:rPr>
          <w:spacing w:val="-2"/>
          <w:sz w:val="20"/>
        </w:rPr>
        <w:t xml:space="preserve"> </w:t>
      </w:r>
      <w:r>
        <w:rPr>
          <w:sz w:val="20"/>
        </w:rPr>
        <w:t>usufruto</w:t>
      </w:r>
      <w:r>
        <w:rPr>
          <w:spacing w:val="-2"/>
          <w:sz w:val="20"/>
        </w:rPr>
        <w:t xml:space="preserve"> </w:t>
      </w:r>
      <w:r>
        <w:rPr>
          <w:sz w:val="20"/>
        </w:rPr>
        <w:t>e</w:t>
      </w:r>
      <w:r>
        <w:rPr>
          <w:spacing w:val="-3"/>
          <w:sz w:val="20"/>
        </w:rPr>
        <w:t xml:space="preserve"> </w:t>
      </w:r>
      <w:r>
        <w:rPr>
          <w:sz w:val="20"/>
        </w:rPr>
        <w:t>a</w:t>
      </w:r>
      <w:r>
        <w:rPr>
          <w:spacing w:val="-3"/>
          <w:sz w:val="20"/>
        </w:rPr>
        <w:t xml:space="preserve"> </w:t>
      </w:r>
      <w:r>
        <w:rPr>
          <w:spacing w:val="-2"/>
          <w:sz w:val="20"/>
        </w:rPr>
        <w:t>enfiteuse;</w:t>
      </w:r>
    </w:p>
    <w:p w:rsidR="007259F2" w:rsidRDefault="00E655B4">
      <w:pPr>
        <w:pStyle w:val="PargrafodaLista"/>
        <w:numPr>
          <w:ilvl w:val="1"/>
          <w:numId w:val="25"/>
        </w:numPr>
        <w:tabs>
          <w:tab w:val="left" w:pos="3333"/>
          <w:tab w:val="left" w:pos="3336"/>
        </w:tabs>
        <w:ind w:right="425" w:hanging="752"/>
        <w:jc w:val="both"/>
        <w:rPr>
          <w:sz w:val="20"/>
        </w:rPr>
      </w:pPr>
      <w:r>
        <w:rPr>
          <w:sz w:val="20"/>
        </w:rPr>
        <w:t>a cessão de direitos do arrematante ou adjudicatário, depois de assinado o auto de arrematação ou adjudicação;</w:t>
      </w:r>
    </w:p>
    <w:p w:rsidR="007259F2" w:rsidRDefault="00E655B4">
      <w:pPr>
        <w:pStyle w:val="PargrafodaLista"/>
        <w:numPr>
          <w:ilvl w:val="1"/>
          <w:numId w:val="25"/>
        </w:numPr>
        <w:tabs>
          <w:tab w:val="left" w:pos="3335"/>
        </w:tabs>
        <w:spacing w:before="1"/>
        <w:ind w:left="3335" w:hanging="619"/>
        <w:jc w:val="both"/>
        <w:rPr>
          <w:sz w:val="20"/>
        </w:rPr>
      </w:pPr>
      <w:r>
        <w:rPr>
          <w:sz w:val="20"/>
        </w:rPr>
        <w:t>a</w:t>
      </w:r>
      <w:r>
        <w:rPr>
          <w:spacing w:val="-5"/>
          <w:sz w:val="20"/>
        </w:rPr>
        <w:t xml:space="preserve"> </w:t>
      </w:r>
      <w:r>
        <w:rPr>
          <w:sz w:val="20"/>
        </w:rPr>
        <w:t>cessão</w:t>
      </w:r>
      <w:r>
        <w:rPr>
          <w:spacing w:val="-4"/>
          <w:sz w:val="20"/>
        </w:rPr>
        <w:t xml:space="preserve"> </w:t>
      </w:r>
      <w:r>
        <w:rPr>
          <w:sz w:val="20"/>
        </w:rPr>
        <w:t>de</w:t>
      </w:r>
      <w:r>
        <w:rPr>
          <w:spacing w:val="-4"/>
          <w:sz w:val="20"/>
        </w:rPr>
        <w:t xml:space="preserve"> </w:t>
      </w:r>
      <w:r>
        <w:rPr>
          <w:sz w:val="20"/>
        </w:rPr>
        <w:t>direitos</w:t>
      </w:r>
      <w:r>
        <w:rPr>
          <w:spacing w:val="-6"/>
          <w:sz w:val="20"/>
        </w:rPr>
        <w:t xml:space="preserve"> </w:t>
      </w:r>
      <w:r>
        <w:rPr>
          <w:sz w:val="20"/>
        </w:rPr>
        <w:t>decorrentes</w:t>
      </w:r>
      <w:r>
        <w:rPr>
          <w:spacing w:val="-5"/>
          <w:sz w:val="20"/>
        </w:rPr>
        <w:t xml:space="preserve"> </w:t>
      </w:r>
      <w:r>
        <w:rPr>
          <w:sz w:val="20"/>
        </w:rPr>
        <w:t>de</w:t>
      </w:r>
      <w:r>
        <w:rPr>
          <w:spacing w:val="-5"/>
          <w:sz w:val="20"/>
        </w:rPr>
        <w:t xml:space="preserve"> </w:t>
      </w:r>
      <w:r>
        <w:rPr>
          <w:sz w:val="20"/>
        </w:rPr>
        <w:t>compromisso</w:t>
      </w:r>
      <w:r>
        <w:rPr>
          <w:spacing w:val="-3"/>
          <w:sz w:val="20"/>
        </w:rPr>
        <w:t xml:space="preserve"> </w:t>
      </w:r>
      <w:r>
        <w:rPr>
          <w:sz w:val="20"/>
        </w:rPr>
        <w:t>de</w:t>
      </w:r>
      <w:r>
        <w:rPr>
          <w:spacing w:val="-5"/>
          <w:sz w:val="20"/>
        </w:rPr>
        <w:t xml:space="preserve"> </w:t>
      </w:r>
      <w:r>
        <w:rPr>
          <w:sz w:val="20"/>
        </w:rPr>
        <w:t>compra</w:t>
      </w:r>
      <w:r>
        <w:rPr>
          <w:spacing w:val="-5"/>
          <w:sz w:val="20"/>
        </w:rPr>
        <w:t xml:space="preserve"> </w:t>
      </w:r>
      <w:r>
        <w:rPr>
          <w:sz w:val="20"/>
        </w:rPr>
        <w:t>e</w:t>
      </w:r>
      <w:r>
        <w:rPr>
          <w:spacing w:val="-4"/>
          <w:sz w:val="20"/>
        </w:rPr>
        <w:t xml:space="preserve"> </w:t>
      </w:r>
      <w:r>
        <w:rPr>
          <w:spacing w:val="-2"/>
          <w:sz w:val="20"/>
        </w:rPr>
        <w:t>venda;</w:t>
      </w:r>
    </w:p>
    <w:p w:rsidR="007259F2" w:rsidRDefault="00E655B4">
      <w:pPr>
        <w:pStyle w:val="PargrafodaLista"/>
        <w:numPr>
          <w:ilvl w:val="1"/>
          <w:numId w:val="25"/>
        </w:numPr>
        <w:tabs>
          <w:tab w:val="left" w:pos="3334"/>
        </w:tabs>
        <w:spacing w:line="229" w:lineRule="exact"/>
        <w:ind w:left="3334" w:hanging="551"/>
        <w:jc w:val="both"/>
        <w:rPr>
          <w:sz w:val="20"/>
        </w:rPr>
      </w:pPr>
      <w:r>
        <w:rPr>
          <w:sz w:val="20"/>
        </w:rPr>
        <w:t>a</w:t>
      </w:r>
      <w:r>
        <w:rPr>
          <w:spacing w:val="-3"/>
          <w:sz w:val="20"/>
        </w:rPr>
        <w:t xml:space="preserve"> </w:t>
      </w:r>
      <w:r>
        <w:rPr>
          <w:sz w:val="20"/>
        </w:rPr>
        <w:t>cessão</w:t>
      </w:r>
      <w:r>
        <w:rPr>
          <w:spacing w:val="-2"/>
          <w:sz w:val="20"/>
        </w:rPr>
        <w:t xml:space="preserve"> </w:t>
      </w:r>
      <w:r>
        <w:rPr>
          <w:sz w:val="20"/>
        </w:rPr>
        <w:t>de</w:t>
      </w:r>
      <w:r>
        <w:rPr>
          <w:spacing w:val="-3"/>
          <w:sz w:val="20"/>
        </w:rPr>
        <w:t xml:space="preserve"> </w:t>
      </w:r>
      <w:r>
        <w:rPr>
          <w:sz w:val="20"/>
        </w:rPr>
        <w:t>direitos</w:t>
      </w:r>
      <w:r>
        <w:rPr>
          <w:spacing w:val="-4"/>
          <w:sz w:val="20"/>
        </w:rPr>
        <w:t xml:space="preserve"> </w:t>
      </w:r>
      <w:r>
        <w:rPr>
          <w:sz w:val="20"/>
        </w:rPr>
        <w:t>à</w:t>
      </w:r>
      <w:r>
        <w:rPr>
          <w:spacing w:val="-2"/>
          <w:sz w:val="20"/>
        </w:rPr>
        <w:t xml:space="preserve"> sucessão;</w:t>
      </w:r>
    </w:p>
    <w:p w:rsidR="007259F2" w:rsidRDefault="00E655B4">
      <w:pPr>
        <w:pStyle w:val="PargrafodaLista"/>
        <w:numPr>
          <w:ilvl w:val="1"/>
          <w:numId w:val="25"/>
        </w:numPr>
        <w:tabs>
          <w:tab w:val="left" w:pos="3336"/>
        </w:tabs>
        <w:ind w:right="431" w:hanging="620"/>
        <w:jc w:val="both"/>
        <w:rPr>
          <w:sz w:val="20"/>
        </w:rPr>
      </w:pPr>
      <w:r>
        <w:rPr>
          <w:sz w:val="20"/>
        </w:rPr>
        <w:t xml:space="preserve">a cessão de benfeitorias e construções em terreno compromissado à venda ou </w:t>
      </w:r>
      <w:r>
        <w:rPr>
          <w:spacing w:val="-2"/>
          <w:sz w:val="20"/>
        </w:rPr>
        <w:t>alheio;</w:t>
      </w:r>
    </w:p>
    <w:p w:rsidR="007259F2" w:rsidRDefault="00E655B4">
      <w:pPr>
        <w:pStyle w:val="PargrafodaLista"/>
        <w:numPr>
          <w:ilvl w:val="1"/>
          <w:numId w:val="25"/>
        </w:numPr>
        <w:tabs>
          <w:tab w:val="left" w:pos="3334"/>
          <w:tab w:val="left" w:pos="3336"/>
        </w:tabs>
        <w:ind w:right="423" w:hanging="687"/>
        <w:jc w:val="both"/>
        <w:rPr>
          <w:sz w:val="20"/>
        </w:rPr>
      </w:pPr>
      <w:r>
        <w:rPr>
          <w:sz w:val="20"/>
        </w:rPr>
        <w:t xml:space="preserve">a instituição e a extinção do direito de superfície;(Redação dada pela </w:t>
      </w:r>
      <w:hyperlink r:id="rId185">
        <w:r>
          <w:rPr>
            <w:color w:val="0000FF"/>
            <w:sz w:val="20"/>
            <w:u w:val="single" w:color="0000FF"/>
          </w:rPr>
          <w:t>Lei</w:t>
        </w:r>
      </w:hyperlink>
      <w:r>
        <w:rPr>
          <w:color w:val="0000FF"/>
          <w:sz w:val="20"/>
        </w:rPr>
        <w:t xml:space="preserve"> </w:t>
      </w:r>
      <w:hyperlink r:id="rId186">
        <w:r>
          <w:rPr>
            <w:color w:val="0000FF"/>
            <w:sz w:val="20"/>
            <w:u w:val="single" w:color="0000FF"/>
          </w:rPr>
          <w:t>nº</w:t>
        </w:r>
      </w:hyperlink>
      <w:r>
        <w:rPr>
          <w:color w:val="0000FF"/>
          <w:sz w:val="20"/>
        </w:rPr>
        <w:t xml:space="preserve"> </w:t>
      </w:r>
      <w:hyperlink r:id="rId187">
        <w:r>
          <w:rPr>
            <w:color w:val="0000FF"/>
            <w:spacing w:val="-2"/>
            <w:sz w:val="20"/>
            <w:u w:val="single" w:color="0000FF"/>
          </w:rPr>
          <w:t>14.125/2005</w:t>
        </w:r>
      </w:hyperlink>
      <w:r>
        <w:rPr>
          <w:spacing w:val="-2"/>
          <w:sz w:val="20"/>
        </w:rPr>
        <w:t>)</w:t>
      </w:r>
    </w:p>
    <w:p w:rsidR="007259F2" w:rsidRDefault="00E655B4">
      <w:pPr>
        <w:pStyle w:val="PargrafodaLista"/>
        <w:numPr>
          <w:ilvl w:val="1"/>
          <w:numId w:val="25"/>
        </w:numPr>
        <w:tabs>
          <w:tab w:val="left" w:pos="3333"/>
          <w:tab w:val="left" w:pos="3336"/>
        </w:tabs>
        <w:spacing w:before="1"/>
        <w:ind w:right="433" w:hanging="752"/>
        <w:jc w:val="both"/>
        <w:rPr>
          <w:sz w:val="20"/>
        </w:rPr>
      </w:pPr>
      <w:r>
        <w:rPr>
          <w:sz w:val="20"/>
        </w:rPr>
        <w:t xml:space="preserve">todos os demais atos onerosos translativos de imóveis, por natureza ou acessão física, e de direitos reais sobre imóveis.(Incluído pela </w:t>
      </w:r>
      <w:hyperlink r:id="rId188">
        <w:r>
          <w:rPr>
            <w:color w:val="0000FF"/>
            <w:sz w:val="20"/>
            <w:u w:val="single" w:color="0000FF"/>
          </w:rPr>
          <w:t>Lei nº</w:t>
        </w:r>
      </w:hyperlink>
      <w:r>
        <w:rPr>
          <w:color w:val="0000FF"/>
          <w:sz w:val="20"/>
          <w:u w:val="single" w:color="0000FF"/>
        </w:rPr>
        <w:t xml:space="preserve"> </w:t>
      </w:r>
      <w:hyperlink r:id="rId189">
        <w:r>
          <w:rPr>
            <w:color w:val="0000FF"/>
            <w:sz w:val="20"/>
            <w:u w:val="single" w:color="0000FF"/>
          </w:rPr>
          <w:t>14.125/2005</w:t>
        </w:r>
      </w:hyperlink>
      <w:r>
        <w:rPr>
          <w:sz w:val="20"/>
        </w:rPr>
        <w:t>)</w:t>
      </w:r>
    </w:p>
    <w:p w:rsidR="007259F2" w:rsidRDefault="007259F2">
      <w:pPr>
        <w:pStyle w:val="Corpodetexto"/>
        <w:spacing w:before="228"/>
        <w:ind w:left="0" w:firstLine="0"/>
        <w:jc w:val="left"/>
        <w:rPr>
          <w:sz w:val="20"/>
        </w:rPr>
      </w:pPr>
    </w:p>
    <w:p w:rsidR="007259F2" w:rsidRDefault="00E655B4">
      <w:pPr>
        <w:pStyle w:val="Corpodetexto"/>
        <w:ind w:left="1418" w:firstLine="0"/>
        <w:jc w:val="left"/>
      </w:pPr>
      <w:r>
        <w:t>Destarte,</w:t>
      </w:r>
      <w:r>
        <w:rPr>
          <w:spacing w:val="27"/>
        </w:rPr>
        <w:t xml:space="preserve"> </w:t>
      </w:r>
      <w:r>
        <w:t>constata-se</w:t>
      </w:r>
      <w:r>
        <w:rPr>
          <w:spacing w:val="24"/>
        </w:rPr>
        <w:t xml:space="preserve"> </w:t>
      </w:r>
      <w:r>
        <w:t>que</w:t>
      </w:r>
      <w:r>
        <w:rPr>
          <w:spacing w:val="27"/>
        </w:rPr>
        <w:t xml:space="preserve"> </w:t>
      </w:r>
      <w:r>
        <w:t>o</w:t>
      </w:r>
      <w:r>
        <w:rPr>
          <w:spacing w:val="27"/>
        </w:rPr>
        <w:t xml:space="preserve"> </w:t>
      </w:r>
      <w:r>
        <w:t>ITBI</w:t>
      </w:r>
      <w:r>
        <w:rPr>
          <w:spacing w:val="22"/>
        </w:rPr>
        <w:t xml:space="preserve"> </w:t>
      </w:r>
      <w:r>
        <w:t>tem</w:t>
      </w:r>
      <w:r>
        <w:rPr>
          <w:spacing w:val="28"/>
        </w:rPr>
        <w:t xml:space="preserve"> </w:t>
      </w:r>
      <w:r>
        <w:t>incidência</w:t>
      </w:r>
      <w:r>
        <w:rPr>
          <w:spacing w:val="28"/>
        </w:rPr>
        <w:t xml:space="preserve"> </w:t>
      </w:r>
      <w:r>
        <w:t>ampla,</w:t>
      </w:r>
      <w:r>
        <w:rPr>
          <w:spacing w:val="25"/>
        </w:rPr>
        <w:t xml:space="preserve"> </w:t>
      </w:r>
      <w:r>
        <w:t>não</w:t>
      </w:r>
      <w:r>
        <w:rPr>
          <w:spacing w:val="26"/>
        </w:rPr>
        <w:t xml:space="preserve"> </w:t>
      </w:r>
      <w:r>
        <w:t>se</w:t>
      </w:r>
      <w:r>
        <w:rPr>
          <w:spacing w:val="24"/>
        </w:rPr>
        <w:t xml:space="preserve"> </w:t>
      </w:r>
      <w:r>
        <w:t>restringindo</w:t>
      </w:r>
      <w:r>
        <w:rPr>
          <w:spacing w:val="25"/>
        </w:rPr>
        <w:t xml:space="preserve"> </w:t>
      </w:r>
      <w:r>
        <w:t>apenas</w:t>
      </w:r>
      <w:r>
        <w:rPr>
          <w:spacing w:val="30"/>
        </w:rPr>
        <w:t xml:space="preserve"> </w:t>
      </w:r>
      <w:r>
        <w:rPr>
          <w:spacing w:val="-10"/>
        </w:rPr>
        <w:t>à</w:t>
      </w:r>
    </w:p>
    <w:p w:rsidR="007259F2" w:rsidRDefault="00DE6B1C">
      <w:pPr>
        <w:pStyle w:val="Corpodetexto"/>
        <w:spacing w:before="69"/>
        <w:ind w:left="0" w:firstLine="0"/>
        <w:jc w:val="left"/>
        <w:rPr>
          <w:sz w:val="20"/>
        </w:rPr>
      </w:pPr>
      <w:r w:rsidRPr="00DE6B1C">
        <w:rPr>
          <w:sz w:val="20"/>
        </w:rPr>
        <w:pict>
          <v:rect id="docshape117" o:spid="_x0000_s1111" style="position:absolute;margin-left:85.1pt;margin-top:16.15pt;width:2in;height:.7pt;z-index:-15678976;mso-wrap-distance-left:0;mso-wrap-distance-right:0;mso-position-horizontal-relative:page" fillcolor="black" stroked="f">
            <w10:wrap type="topAndBottom" anchorx="page"/>
          </v:rect>
        </w:pict>
      </w:r>
    </w:p>
    <w:p w:rsidR="007259F2" w:rsidRDefault="00E655B4">
      <w:pPr>
        <w:spacing w:before="96"/>
        <w:ind w:left="710"/>
        <w:rPr>
          <w:sz w:val="20"/>
        </w:rPr>
      </w:pPr>
      <w:r>
        <w:rPr>
          <w:sz w:val="20"/>
          <w:vertAlign w:val="superscript"/>
        </w:rPr>
        <w:t>4</w:t>
      </w:r>
      <w:r>
        <w:rPr>
          <w:spacing w:val="37"/>
          <w:sz w:val="20"/>
        </w:rPr>
        <w:t xml:space="preserve"> </w:t>
      </w:r>
      <w:r>
        <w:rPr>
          <w:sz w:val="20"/>
        </w:rPr>
        <w:t>COELHO,</w:t>
      </w:r>
      <w:r>
        <w:rPr>
          <w:spacing w:val="66"/>
          <w:sz w:val="20"/>
        </w:rPr>
        <w:t xml:space="preserve"> </w:t>
      </w:r>
      <w:r>
        <w:rPr>
          <w:sz w:val="20"/>
        </w:rPr>
        <w:t>Sacha</w:t>
      </w:r>
      <w:r>
        <w:rPr>
          <w:spacing w:val="65"/>
          <w:sz w:val="20"/>
        </w:rPr>
        <w:t xml:space="preserve"> </w:t>
      </w:r>
      <w:r>
        <w:rPr>
          <w:sz w:val="20"/>
        </w:rPr>
        <w:t>Calmon</w:t>
      </w:r>
      <w:r>
        <w:rPr>
          <w:spacing w:val="64"/>
          <w:sz w:val="20"/>
        </w:rPr>
        <w:t xml:space="preserve"> </w:t>
      </w:r>
      <w:r>
        <w:rPr>
          <w:sz w:val="20"/>
        </w:rPr>
        <w:t>Navarro.</w:t>
      </w:r>
      <w:r>
        <w:rPr>
          <w:spacing w:val="70"/>
          <w:sz w:val="20"/>
        </w:rPr>
        <w:t xml:space="preserve"> </w:t>
      </w:r>
      <w:r>
        <w:rPr>
          <w:b/>
          <w:sz w:val="20"/>
        </w:rPr>
        <w:t>Curso</w:t>
      </w:r>
      <w:r>
        <w:rPr>
          <w:b/>
          <w:spacing w:val="65"/>
          <w:sz w:val="20"/>
        </w:rPr>
        <w:t xml:space="preserve"> </w:t>
      </w:r>
      <w:r>
        <w:rPr>
          <w:b/>
          <w:sz w:val="20"/>
        </w:rPr>
        <w:t>de</w:t>
      </w:r>
      <w:r>
        <w:rPr>
          <w:b/>
          <w:spacing w:val="60"/>
          <w:sz w:val="20"/>
        </w:rPr>
        <w:t xml:space="preserve"> </w:t>
      </w:r>
      <w:r>
        <w:rPr>
          <w:b/>
          <w:sz w:val="20"/>
        </w:rPr>
        <w:t>Direito</w:t>
      </w:r>
      <w:r>
        <w:rPr>
          <w:b/>
          <w:spacing w:val="40"/>
          <w:sz w:val="20"/>
        </w:rPr>
        <w:t xml:space="preserve"> </w:t>
      </w:r>
      <w:r>
        <w:rPr>
          <w:b/>
          <w:sz w:val="20"/>
        </w:rPr>
        <w:t>Tributário</w:t>
      </w:r>
      <w:r>
        <w:rPr>
          <w:b/>
          <w:spacing w:val="66"/>
          <w:sz w:val="20"/>
        </w:rPr>
        <w:t xml:space="preserve"> </w:t>
      </w:r>
      <w:r>
        <w:rPr>
          <w:b/>
          <w:sz w:val="20"/>
        </w:rPr>
        <w:t>Brasileiro</w:t>
      </w:r>
      <w:r>
        <w:rPr>
          <w:sz w:val="20"/>
        </w:rPr>
        <w:t>.</w:t>
      </w:r>
      <w:r>
        <w:rPr>
          <w:spacing w:val="69"/>
          <w:sz w:val="20"/>
        </w:rPr>
        <w:t xml:space="preserve"> </w:t>
      </w:r>
      <w:r>
        <w:rPr>
          <w:sz w:val="20"/>
        </w:rPr>
        <w:t>16.</w:t>
      </w:r>
      <w:r>
        <w:rPr>
          <w:spacing w:val="63"/>
          <w:sz w:val="20"/>
        </w:rPr>
        <w:t xml:space="preserve"> </w:t>
      </w:r>
      <w:r>
        <w:rPr>
          <w:sz w:val="20"/>
        </w:rPr>
        <w:t>ed.</w:t>
      </w:r>
      <w:r>
        <w:rPr>
          <w:spacing w:val="63"/>
          <w:sz w:val="20"/>
        </w:rPr>
        <w:t xml:space="preserve"> </w:t>
      </w:r>
      <w:r>
        <w:rPr>
          <w:sz w:val="20"/>
        </w:rPr>
        <w:t>Rio</w:t>
      </w:r>
      <w:r>
        <w:rPr>
          <w:spacing w:val="63"/>
          <w:sz w:val="20"/>
        </w:rPr>
        <w:t xml:space="preserve"> </w:t>
      </w:r>
      <w:r>
        <w:rPr>
          <w:sz w:val="20"/>
        </w:rPr>
        <w:t>de</w:t>
      </w:r>
      <w:r>
        <w:rPr>
          <w:spacing w:val="40"/>
          <w:sz w:val="20"/>
        </w:rPr>
        <w:t xml:space="preserve"> </w:t>
      </w:r>
      <w:r>
        <w:rPr>
          <w:sz w:val="20"/>
        </w:rPr>
        <w:t>Janeiro: Forense, 2018, p. 60.</w:t>
      </w:r>
    </w:p>
    <w:p w:rsidR="007259F2" w:rsidRDefault="00E655B4">
      <w:pPr>
        <w:spacing w:before="1"/>
        <w:ind w:left="710"/>
        <w:rPr>
          <w:sz w:val="20"/>
        </w:rPr>
      </w:pPr>
      <w:r>
        <w:rPr>
          <w:sz w:val="20"/>
          <w:vertAlign w:val="superscript"/>
        </w:rPr>
        <w:t>5</w:t>
      </w:r>
      <w:r>
        <w:rPr>
          <w:spacing w:val="-13"/>
          <w:sz w:val="20"/>
        </w:rPr>
        <w:t xml:space="preserve"> </w:t>
      </w:r>
      <w:r>
        <w:rPr>
          <w:sz w:val="20"/>
        </w:rPr>
        <w:t>HARADA,</w:t>
      </w:r>
      <w:r>
        <w:rPr>
          <w:spacing w:val="-12"/>
          <w:sz w:val="20"/>
        </w:rPr>
        <w:t xml:space="preserve"> </w:t>
      </w:r>
      <w:r>
        <w:rPr>
          <w:sz w:val="20"/>
        </w:rPr>
        <w:t>Kiyoshi.</w:t>
      </w:r>
      <w:r>
        <w:rPr>
          <w:spacing w:val="-7"/>
          <w:sz w:val="20"/>
        </w:rPr>
        <w:t xml:space="preserve"> </w:t>
      </w:r>
      <w:r>
        <w:rPr>
          <w:b/>
          <w:sz w:val="20"/>
        </w:rPr>
        <w:t>ITBI</w:t>
      </w:r>
      <w:r>
        <w:rPr>
          <w:sz w:val="20"/>
        </w:rPr>
        <w:t>:</w:t>
      </w:r>
      <w:r>
        <w:rPr>
          <w:spacing w:val="-8"/>
          <w:sz w:val="20"/>
        </w:rPr>
        <w:t xml:space="preserve"> </w:t>
      </w:r>
      <w:r>
        <w:rPr>
          <w:sz w:val="20"/>
        </w:rPr>
        <w:t>doutrina</w:t>
      </w:r>
      <w:r>
        <w:rPr>
          <w:spacing w:val="-12"/>
          <w:sz w:val="20"/>
        </w:rPr>
        <w:t xml:space="preserve"> </w:t>
      </w:r>
      <w:r>
        <w:rPr>
          <w:sz w:val="20"/>
        </w:rPr>
        <w:t>e</w:t>
      </w:r>
      <w:r>
        <w:rPr>
          <w:spacing w:val="-11"/>
          <w:sz w:val="20"/>
        </w:rPr>
        <w:t xml:space="preserve"> </w:t>
      </w:r>
      <w:r>
        <w:rPr>
          <w:sz w:val="20"/>
        </w:rPr>
        <w:t>prática.</w:t>
      </w:r>
      <w:r>
        <w:rPr>
          <w:spacing w:val="-9"/>
          <w:sz w:val="20"/>
        </w:rPr>
        <w:t xml:space="preserve"> </w:t>
      </w:r>
      <w:r>
        <w:rPr>
          <w:sz w:val="20"/>
        </w:rPr>
        <w:t>2.</w:t>
      </w:r>
      <w:r>
        <w:rPr>
          <w:spacing w:val="-7"/>
          <w:sz w:val="20"/>
        </w:rPr>
        <w:t xml:space="preserve"> </w:t>
      </w:r>
      <w:r>
        <w:rPr>
          <w:sz w:val="20"/>
        </w:rPr>
        <w:t>ed.</w:t>
      </w:r>
      <w:r>
        <w:rPr>
          <w:spacing w:val="-13"/>
          <w:sz w:val="20"/>
        </w:rPr>
        <w:t xml:space="preserve"> </w:t>
      </w:r>
      <w:r>
        <w:rPr>
          <w:sz w:val="20"/>
        </w:rPr>
        <w:t>São</w:t>
      </w:r>
      <w:r>
        <w:rPr>
          <w:spacing w:val="-12"/>
          <w:sz w:val="20"/>
        </w:rPr>
        <w:t xml:space="preserve"> </w:t>
      </w:r>
      <w:r>
        <w:rPr>
          <w:sz w:val="20"/>
        </w:rPr>
        <w:t>Paulo:</w:t>
      </w:r>
      <w:r>
        <w:rPr>
          <w:spacing w:val="-14"/>
          <w:sz w:val="20"/>
        </w:rPr>
        <w:t xml:space="preserve"> </w:t>
      </w:r>
      <w:r>
        <w:rPr>
          <w:sz w:val="20"/>
        </w:rPr>
        <w:t>Atlas,</w:t>
      </w:r>
      <w:r>
        <w:rPr>
          <w:spacing w:val="-7"/>
          <w:sz w:val="20"/>
        </w:rPr>
        <w:t xml:space="preserve"> </w:t>
      </w:r>
      <w:r>
        <w:rPr>
          <w:sz w:val="20"/>
        </w:rPr>
        <w:t>2016,</w:t>
      </w:r>
      <w:r>
        <w:rPr>
          <w:spacing w:val="-13"/>
          <w:sz w:val="20"/>
        </w:rPr>
        <w:t xml:space="preserve"> </w:t>
      </w:r>
      <w:r>
        <w:rPr>
          <w:sz w:val="20"/>
        </w:rPr>
        <w:t>p.</w:t>
      </w:r>
      <w:r>
        <w:rPr>
          <w:spacing w:val="-12"/>
          <w:sz w:val="20"/>
        </w:rPr>
        <w:t xml:space="preserve"> </w:t>
      </w:r>
      <w:r>
        <w:rPr>
          <w:spacing w:val="-4"/>
          <w:sz w:val="20"/>
        </w:rPr>
        <w:t>125.</w:t>
      </w:r>
    </w:p>
    <w:p w:rsidR="007259F2" w:rsidRDefault="007259F2">
      <w:pPr>
        <w:rPr>
          <w:sz w:val="20"/>
        </w:rPr>
        <w:sectPr w:rsidR="007259F2">
          <w:pgSz w:w="11910" w:h="16840"/>
          <w:pgMar w:top="1600" w:right="708" w:bottom="1020" w:left="992" w:header="0" w:footer="820" w:gutter="0"/>
          <w:cols w:space="720"/>
        </w:sectPr>
      </w:pPr>
    </w:p>
    <w:p w:rsidR="007259F2" w:rsidRDefault="00E655B4">
      <w:pPr>
        <w:pStyle w:val="Corpodetexto"/>
        <w:spacing w:before="75"/>
        <w:ind w:right="422" w:firstLine="0"/>
      </w:pPr>
      <w:r>
        <w:lastRenderedPageBreak/>
        <w:t>hipótese de compra e venda de imóveis. Entretanto, o foco do presente trabalho será</w:t>
      </w:r>
      <w:r>
        <w:rPr>
          <w:spacing w:val="40"/>
        </w:rPr>
        <w:t xml:space="preserve"> </w:t>
      </w:r>
      <w:r>
        <w:t>dado a essa</w:t>
      </w:r>
      <w:r>
        <w:rPr>
          <w:spacing w:val="40"/>
        </w:rPr>
        <w:t xml:space="preserve"> </w:t>
      </w:r>
      <w:r>
        <w:t>modalidade.</w:t>
      </w:r>
    </w:p>
    <w:p w:rsidR="007259F2" w:rsidRDefault="00E655B4">
      <w:pPr>
        <w:pStyle w:val="Corpodetexto"/>
        <w:ind w:right="427"/>
      </w:pPr>
      <w:r>
        <w:t>No tocante à alíquota do imposto, isto é, o valor fixo ou percentual aplicado sobre qualquer</w:t>
      </w:r>
      <w:r>
        <w:rPr>
          <w:spacing w:val="80"/>
        </w:rPr>
        <w:t xml:space="preserve"> </w:t>
      </w:r>
      <w:r>
        <w:t>tipo de aquisição de pessoa física ou jurídica a ser pago aos cofres públicos, compete aos</w:t>
      </w:r>
      <w:r>
        <w:rPr>
          <w:spacing w:val="40"/>
        </w:rPr>
        <w:t xml:space="preserve"> </w:t>
      </w:r>
      <w:r>
        <w:t>Municípios, mediante lei, estabelecê-la.</w:t>
      </w:r>
    </w:p>
    <w:p w:rsidR="007259F2" w:rsidRDefault="00E655B4">
      <w:pPr>
        <w:pStyle w:val="Corpodetexto"/>
        <w:ind w:right="427"/>
      </w:pPr>
      <w:r>
        <w:t>Quanto ao momento de ocorrência do fato gerador do ITBI, o artigo 12 da Lei Municipal n.º 11.154/1991 prevê que o pagamento deve ser feito antes de se efetivar o ato ou contrato sobre o qual incide o imposto, se formalizado por instrumento público e, no prazo de 10 (dez) dias de sua data, se por instrumento particular. Não obstante o que determina a lei, a jurisprudência do Superior Tribunal de Justiça é pacífica no sentido de que o fato gerador do ITBI somente ocorre quando o instrumento translativo é registrado no registro imobiliário, consoante dispõe o artigo 1.245 do Código Civil. No Tribunal de Justiça do Estado de São Paulo, a jurisprudência é no mesmo sentido.</w:t>
      </w:r>
      <w:r>
        <w:rPr>
          <w:vertAlign w:val="superscript"/>
        </w:rPr>
        <w:t>6</w:t>
      </w:r>
    </w:p>
    <w:p w:rsidR="007259F2" w:rsidRDefault="00E655B4">
      <w:pPr>
        <w:pStyle w:val="Corpodetexto"/>
        <w:spacing w:before="1"/>
        <w:ind w:right="424"/>
      </w:pPr>
      <w:r>
        <w:t>O ITBI é imposto sujeito a lançamento por declaração ou homologação. No primeiro caso, o devedor deve informar à parte administrativa os dados sobre o fato gerador da cobrança e o setor responsável realiza o lançamento. Esse tipo de modelo prevê, ainda, uma cláusula sobre retificação caso seja necessário corrigir os dados fornecidos pelo contribuinte. Na segunda modalidade, homologação, o próprio contribuinte declara o quanto deve ao fisco municipal da localidade do imóvel. Assim, o pagamento efetuado pelo contribuinte é</w:t>
      </w:r>
      <w:r>
        <w:rPr>
          <w:spacing w:val="40"/>
        </w:rPr>
        <w:t xml:space="preserve"> </w:t>
      </w:r>
      <w:r>
        <w:t>aprovado (homologado) pela administração fiscal nos termos do artigo 150 do CTN. O lançamento por homologação sempre permitirá ao ente tributante a revisão daquilo que foi declarado pelo sujeito passivo - contribuinte, nos termos do artigo 148 do CTN.</w:t>
      </w:r>
    </w:p>
    <w:p w:rsidR="007259F2" w:rsidRDefault="00E655B4">
      <w:pPr>
        <w:pStyle w:val="Corpodetexto"/>
        <w:ind w:right="428"/>
      </w:pPr>
      <w:r>
        <w:t>Feitas tais considerações, passa-se, a seguir, ao estudo da base de cálculo do Imposto de Transmissão de Bens Imóveis.</w:t>
      </w:r>
    </w:p>
    <w:p w:rsidR="007259F2" w:rsidRDefault="00E655B4">
      <w:pPr>
        <w:pStyle w:val="Heading2"/>
        <w:numPr>
          <w:ilvl w:val="0"/>
          <w:numId w:val="25"/>
        </w:numPr>
        <w:tabs>
          <w:tab w:val="left" w:pos="1555"/>
        </w:tabs>
        <w:ind w:left="1555" w:hanging="704"/>
        <w:jc w:val="both"/>
      </w:pPr>
      <w:r>
        <w:rPr>
          <w:w w:val="105"/>
        </w:rPr>
        <w:t>A</w:t>
      </w:r>
      <w:r>
        <w:rPr>
          <w:spacing w:val="-12"/>
          <w:w w:val="105"/>
        </w:rPr>
        <w:t xml:space="preserve"> </w:t>
      </w:r>
      <w:r>
        <w:rPr>
          <w:w w:val="105"/>
        </w:rPr>
        <w:t>base</w:t>
      </w:r>
      <w:r>
        <w:rPr>
          <w:spacing w:val="-6"/>
          <w:w w:val="105"/>
        </w:rPr>
        <w:t xml:space="preserve"> </w:t>
      </w:r>
      <w:r>
        <w:rPr>
          <w:w w:val="105"/>
        </w:rPr>
        <w:t>de</w:t>
      </w:r>
      <w:r>
        <w:rPr>
          <w:spacing w:val="-5"/>
          <w:w w:val="105"/>
        </w:rPr>
        <w:t xml:space="preserve"> </w:t>
      </w:r>
      <w:r>
        <w:rPr>
          <w:w w:val="105"/>
        </w:rPr>
        <w:t>cálculo</w:t>
      </w:r>
      <w:r>
        <w:rPr>
          <w:spacing w:val="-4"/>
          <w:w w:val="105"/>
        </w:rPr>
        <w:t xml:space="preserve"> </w:t>
      </w:r>
      <w:r>
        <w:rPr>
          <w:w w:val="105"/>
        </w:rPr>
        <w:t>do</w:t>
      </w:r>
      <w:r>
        <w:rPr>
          <w:spacing w:val="-9"/>
          <w:w w:val="105"/>
        </w:rPr>
        <w:t xml:space="preserve"> </w:t>
      </w:r>
      <w:r>
        <w:rPr>
          <w:w w:val="105"/>
        </w:rPr>
        <w:t>ITBI</w:t>
      </w:r>
      <w:r>
        <w:rPr>
          <w:spacing w:val="-14"/>
          <w:w w:val="105"/>
        </w:rPr>
        <w:t xml:space="preserve"> </w:t>
      </w:r>
      <w:r>
        <w:rPr>
          <w:w w:val="105"/>
        </w:rPr>
        <w:t>e</w:t>
      </w:r>
      <w:r>
        <w:rPr>
          <w:spacing w:val="-5"/>
          <w:w w:val="105"/>
        </w:rPr>
        <w:t xml:space="preserve"> </w:t>
      </w:r>
      <w:r>
        <w:rPr>
          <w:w w:val="105"/>
        </w:rPr>
        <w:t>a</w:t>
      </w:r>
      <w:r>
        <w:rPr>
          <w:spacing w:val="-4"/>
          <w:w w:val="105"/>
        </w:rPr>
        <w:t xml:space="preserve"> </w:t>
      </w:r>
      <w:r>
        <w:rPr>
          <w:w w:val="105"/>
        </w:rPr>
        <w:t>legislação</w:t>
      </w:r>
      <w:r>
        <w:rPr>
          <w:spacing w:val="-4"/>
          <w:w w:val="105"/>
        </w:rPr>
        <w:t xml:space="preserve"> </w:t>
      </w:r>
      <w:r>
        <w:rPr>
          <w:w w:val="105"/>
        </w:rPr>
        <w:t>do</w:t>
      </w:r>
      <w:r>
        <w:rPr>
          <w:spacing w:val="-7"/>
          <w:w w:val="105"/>
        </w:rPr>
        <w:t xml:space="preserve"> </w:t>
      </w:r>
      <w:r>
        <w:rPr>
          <w:w w:val="105"/>
        </w:rPr>
        <w:t>município</w:t>
      </w:r>
      <w:r>
        <w:rPr>
          <w:spacing w:val="-4"/>
          <w:w w:val="105"/>
        </w:rPr>
        <w:t xml:space="preserve"> </w:t>
      </w:r>
      <w:r>
        <w:rPr>
          <w:w w:val="105"/>
        </w:rPr>
        <w:t>de</w:t>
      </w:r>
      <w:r>
        <w:rPr>
          <w:spacing w:val="-4"/>
          <w:w w:val="105"/>
        </w:rPr>
        <w:t xml:space="preserve"> </w:t>
      </w:r>
      <w:r>
        <w:rPr>
          <w:w w:val="105"/>
        </w:rPr>
        <w:t>São</w:t>
      </w:r>
      <w:r>
        <w:rPr>
          <w:spacing w:val="-4"/>
          <w:w w:val="105"/>
        </w:rPr>
        <w:t xml:space="preserve"> </w:t>
      </w:r>
      <w:r>
        <w:rPr>
          <w:spacing w:val="-2"/>
          <w:w w:val="105"/>
        </w:rPr>
        <w:t>Paulo</w:t>
      </w:r>
    </w:p>
    <w:p w:rsidR="007259F2" w:rsidRDefault="00E655B4">
      <w:pPr>
        <w:pStyle w:val="Corpodetexto"/>
        <w:spacing w:before="113"/>
        <w:ind w:right="428"/>
      </w:pPr>
      <w:r>
        <w:t>A base de cálculo do tributo é elemento essencial das obrigações tributárias, pois é critério quantitativo que</w:t>
      </w:r>
      <w:r>
        <w:rPr>
          <w:spacing w:val="-1"/>
        </w:rPr>
        <w:t xml:space="preserve"> </w:t>
      </w:r>
      <w:r>
        <w:t>informa</w:t>
      </w:r>
      <w:r>
        <w:rPr>
          <w:spacing w:val="-1"/>
        </w:rPr>
        <w:t xml:space="preserve"> </w:t>
      </w:r>
      <w:r>
        <w:t>ao contribuinte</w:t>
      </w:r>
      <w:r>
        <w:rPr>
          <w:spacing w:val="-1"/>
        </w:rPr>
        <w:t xml:space="preserve"> </w:t>
      </w:r>
      <w:r>
        <w:t>qual a</w:t>
      </w:r>
      <w:r>
        <w:rPr>
          <w:spacing w:val="-1"/>
        </w:rPr>
        <w:t xml:space="preserve"> </w:t>
      </w:r>
      <w:r>
        <w:t>quantidade</w:t>
      </w:r>
      <w:r>
        <w:rPr>
          <w:spacing w:val="-1"/>
        </w:rPr>
        <w:t xml:space="preserve"> </w:t>
      </w:r>
      <w:r>
        <w:t>de</w:t>
      </w:r>
      <w:r>
        <w:rPr>
          <w:spacing w:val="-1"/>
        </w:rPr>
        <w:t xml:space="preserve"> </w:t>
      </w:r>
      <w:r>
        <w:t>dinheiro</w:t>
      </w:r>
      <w:r>
        <w:rPr>
          <w:spacing w:val="-1"/>
        </w:rPr>
        <w:t xml:space="preserve"> </w:t>
      </w:r>
      <w:r>
        <w:t>a</w:t>
      </w:r>
      <w:r>
        <w:rPr>
          <w:spacing w:val="-1"/>
        </w:rPr>
        <w:t xml:space="preserve"> </w:t>
      </w:r>
      <w:r>
        <w:t>ser</w:t>
      </w:r>
      <w:r>
        <w:rPr>
          <w:spacing w:val="-1"/>
        </w:rPr>
        <w:t xml:space="preserve"> </w:t>
      </w:r>
      <w:r>
        <w:t>pago uma vez ocorrido o fato gerador descrito na lei.</w:t>
      </w:r>
    </w:p>
    <w:p w:rsidR="007259F2" w:rsidRDefault="00E655B4">
      <w:pPr>
        <w:pStyle w:val="Corpodetexto"/>
        <w:ind w:right="424"/>
      </w:pPr>
      <w:r>
        <w:t>Para tanto, o artigo 38 do Código Tributário Nacional estabelece que “a base de</w:t>
      </w:r>
      <w:r>
        <w:rPr>
          <w:spacing w:val="40"/>
        </w:rPr>
        <w:t xml:space="preserve"> </w:t>
      </w:r>
      <w:r>
        <w:t>cálculo do imposto é o valor venal dos bens ou direitos transmitidos”.</w:t>
      </w:r>
    </w:p>
    <w:p w:rsidR="007259F2" w:rsidRDefault="00E655B4">
      <w:pPr>
        <w:pStyle w:val="Corpodetexto"/>
        <w:ind w:right="423"/>
      </w:pPr>
      <w:r>
        <w:t>Da leitura do supra dispositivo legal, percebe-se que o legislador foi omisso quanto ao significado da expressão “valor venal dos bens ou direitos transmitidos”, cabendo a doutrina definir tal conceito.</w:t>
      </w:r>
    </w:p>
    <w:p w:rsidR="007259F2" w:rsidRDefault="00E655B4">
      <w:pPr>
        <w:pStyle w:val="Corpodetexto"/>
        <w:ind w:right="427"/>
      </w:pPr>
      <w:r>
        <w:t>Para De Plácido e Silva,</w:t>
      </w:r>
      <w:r>
        <w:rPr>
          <w:vertAlign w:val="superscript"/>
        </w:rPr>
        <w:t>7</w:t>
      </w:r>
      <w:r>
        <w:rPr>
          <w:spacing w:val="40"/>
        </w:rPr>
        <w:t xml:space="preserve"> </w:t>
      </w:r>
      <w:r>
        <w:t>valor venal deve ser entendido como “valor de venda, ou o valor mercantil, isto é, o preço por que as coisas foram, são ou possam ser vendidas”.</w:t>
      </w:r>
    </w:p>
    <w:p w:rsidR="007259F2" w:rsidRDefault="00E655B4">
      <w:pPr>
        <w:pStyle w:val="Corpodetexto"/>
        <w:spacing w:before="6"/>
        <w:ind w:left="1418" w:firstLine="0"/>
      </w:pPr>
      <w:r>
        <w:t>De</w:t>
      </w:r>
      <w:r>
        <w:rPr>
          <w:spacing w:val="-14"/>
        </w:rPr>
        <w:t xml:space="preserve"> </w:t>
      </w:r>
      <w:r>
        <w:t>acordo</w:t>
      </w:r>
      <w:r>
        <w:rPr>
          <w:spacing w:val="-10"/>
        </w:rPr>
        <w:t xml:space="preserve"> </w:t>
      </w:r>
      <w:r>
        <w:t>com</w:t>
      </w:r>
      <w:r>
        <w:rPr>
          <w:spacing w:val="-2"/>
        </w:rPr>
        <w:t xml:space="preserve"> </w:t>
      </w:r>
      <w:r>
        <w:t>a</w:t>
      </w:r>
      <w:r>
        <w:rPr>
          <w:spacing w:val="-7"/>
        </w:rPr>
        <w:t xml:space="preserve"> </w:t>
      </w:r>
      <w:r>
        <w:t>doutrina</w:t>
      </w:r>
      <w:r>
        <w:rPr>
          <w:spacing w:val="-11"/>
        </w:rPr>
        <w:t xml:space="preserve"> </w:t>
      </w:r>
      <w:r>
        <w:t>de</w:t>
      </w:r>
      <w:r>
        <w:rPr>
          <w:spacing w:val="-11"/>
        </w:rPr>
        <w:t xml:space="preserve"> </w:t>
      </w:r>
      <w:r>
        <w:t>Valéria</w:t>
      </w:r>
      <w:r>
        <w:rPr>
          <w:spacing w:val="-9"/>
        </w:rPr>
        <w:t xml:space="preserve"> </w:t>
      </w:r>
      <w:r>
        <w:rPr>
          <w:spacing w:val="-2"/>
        </w:rPr>
        <w:t>Furlan:</w:t>
      </w:r>
      <w:r>
        <w:rPr>
          <w:spacing w:val="-2"/>
          <w:vertAlign w:val="superscript"/>
        </w:rPr>
        <w:t>8</w:t>
      </w:r>
    </w:p>
    <w:p w:rsidR="007259F2" w:rsidRDefault="00E655B4">
      <w:pPr>
        <w:spacing w:before="119"/>
        <w:ind w:left="2978" w:right="553"/>
        <w:jc w:val="both"/>
        <w:rPr>
          <w:sz w:val="20"/>
        </w:rPr>
      </w:pPr>
      <w:r>
        <w:rPr>
          <w:sz w:val="20"/>
        </w:rPr>
        <w:t>Valor venal — ressaltam Hugo de Brito Machado, Aires Bernardino Barreto e Roque Antônio Carraza — corresponde ao valor que o bem alcançaria caso fosse posto</w:t>
      </w:r>
      <w:r>
        <w:rPr>
          <w:spacing w:val="-12"/>
          <w:sz w:val="20"/>
        </w:rPr>
        <w:t xml:space="preserve"> </w:t>
      </w:r>
      <w:r>
        <w:rPr>
          <w:sz w:val="20"/>
        </w:rPr>
        <w:t>à</w:t>
      </w:r>
      <w:r>
        <w:rPr>
          <w:spacing w:val="-5"/>
          <w:sz w:val="20"/>
        </w:rPr>
        <w:t xml:space="preserve"> </w:t>
      </w:r>
      <w:r>
        <w:rPr>
          <w:sz w:val="20"/>
        </w:rPr>
        <w:t>venda</w:t>
      </w:r>
      <w:r>
        <w:rPr>
          <w:spacing w:val="-12"/>
          <w:sz w:val="20"/>
        </w:rPr>
        <w:t xml:space="preserve"> </w:t>
      </w:r>
      <w:r>
        <w:rPr>
          <w:sz w:val="20"/>
        </w:rPr>
        <w:t>em</w:t>
      </w:r>
      <w:r>
        <w:rPr>
          <w:spacing w:val="-7"/>
          <w:sz w:val="20"/>
        </w:rPr>
        <w:t xml:space="preserve"> </w:t>
      </w:r>
      <w:r>
        <w:rPr>
          <w:sz w:val="20"/>
        </w:rPr>
        <w:t>condições</w:t>
      </w:r>
      <w:r>
        <w:rPr>
          <w:spacing w:val="-8"/>
          <w:sz w:val="20"/>
        </w:rPr>
        <w:t xml:space="preserve"> </w:t>
      </w:r>
      <w:r>
        <w:rPr>
          <w:sz w:val="20"/>
        </w:rPr>
        <w:t>usuais</w:t>
      </w:r>
      <w:r>
        <w:rPr>
          <w:spacing w:val="-8"/>
          <w:sz w:val="20"/>
        </w:rPr>
        <w:t xml:space="preserve"> </w:t>
      </w:r>
      <w:r>
        <w:rPr>
          <w:sz w:val="20"/>
        </w:rPr>
        <w:t>de</w:t>
      </w:r>
      <w:r>
        <w:rPr>
          <w:spacing w:val="-12"/>
          <w:sz w:val="20"/>
        </w:rPr>
        <w:t xml:space="preserve"> </w:t>
      </w:r>
      <w:r>
        <w:rPr>
          <w:sz w:val="20"/>
        </w:rPr>
        <w:t>mercado,</w:t>
      </w:r>
      <w:r>
        <w:rPr>
          <w:spacing w:val="-5"/>
          <w:sz w:val="20"/>
        </w:rPr>
        <w:t xml:space="preserve"> </w:t>
      </w:r>
      <w:r>
        <w:rPr>
          <w:sz w:val="20"/>
        </w:rPr>
        <w:t>isto</w:t>
      </w:r>
      <w:r>
        <w:rPr>
          <w:spacing w:val="-12"/>
          <w:sz w:val="20"/>
        </w:rPr>
        <w:t xml:space="preserve"> </w:t>
      </w:r>
      <w:r>
        <w:rPr>
          <w:sz w:val="20"/>
        </w:rPr>
        <w:t>é,</w:t>
      </w:r>
      <w:r>
        <w:rPr>
          <w:spacing w:val="-13"/>
          <w:sz w:val="20"/>
        </w:rPr>
        <w:t xml:space="preserve"> </w:t>
      </w:r>
      <w:r>
        <w:rPr>
          <w:sz w:val="20"/>
        </w:rPr>
        <w:t>equivalendo</w:t>
      </w:r>
      <w:r>
        <w:rPr>
          <w:spacing w:val="-10"/>
          <w:sz w:val="20"/>
        </w:rPr>
        <w:t xml:space="preserve"> </w:t>
      </w:r>
      <w:r>
        <w:rPr>
          <w:sz w:val="20"/>
        </w:rPr>
        <w:t>ao</w:t>
      </w:r>
      <w:r>
        <w:rPr>
          <w:spacing w:val="-1"/>
          <w:sz w:val="20"/>
        </w:rPr>
        <w:t xml:space="preserve"> </w:t>
      </w:r>
      <w:r>
        <w:rPr>
          <w:sz w:val="20"/>
        </w:rPr>
        <w:t>preço</w:t>
      </w:r>
      <w:r>
        <w:rPr>
          <w:spacing w:val="-3"/>
          <w:sz w:val="20"/>
        </w:rPr>
        <w:t xml:space="preserve"> </w:t>
      </w:r>
      <w:r>
        <w:rPr>
          <w:sz w:val="20"/>
        </w:rPr>
        <w:t>de</w:t>
      </w:r>
      <w:r>
        <w:rPr>
          <w:spacing w:val="-2"/>
          <w:sz w:val="20"/>
        </w:rPr>
        <w:t xml:space="preserve"> </w:t>
      </w:r>
      <w:r>
        <w:rPr>
          <w:sz w:val="20"/>
        </w:rPr>
        <w:t>uma venda à vista, portanto sem inclusão de qualquer encargo relativo a financiamento, quando vendedor e comprador tenham plena consciência do uso a que pode servir aquele imóvel.</w:t>
      </w:r>
    </w:p>
    <w:p w:rsidR="007259F2" w:rsidRDefault="00E655B4">
      <w:pPr>
        <w:pStyle w:val="Corpodetexto"/>
        <w:spacing w:before="198"/>
        <w:ind w:right="423"/>
      </w:pPr>
      <w:r>
        <w:t>Por</w:t>
      </w:r>
      <w:r>
        <w:rPr>
          <w:spacing w:val="-5"/>
        </w:rPr>
        <w:t xml:space="preserve"> </w:t>
      </w:r>
      <w:r>
        <w:t>sua vez, Aliomar Baleeiro</w:t>
      </w:r>
      <w:r>
        <w:rPr>
          <w:vertAlign w:val="superscript"/>
        </w:rPr>
        <w:t>9</w:t>
      </w:r>
      <w:r>
        <w:t xml:space="preserve"> ensina que valor venal é aquele</w:t>
      </w:r>
      <w:r>
        <w:rPr>
          <w:spacing w:val="-3"/>
        </w:rPr>
        <w:t xml:space="preserve"> </w:t>
      </w:r>
      <w:r>
        <w:t>que</w:t>
      </w:r>
      <w:r>
        <w:rPr>
          <w:spacing w:val="-8"/>
        </w:rPr>
        <w:t xml:space="preserve"> </w:t>
      </w:r>
      <w:r>
        <w:t>"o</w:t>
      </w:r>
      <w:r>
        <w:rPr>
          <w:spacing w:val="-3"/>
        </w:rPr>
        <w:t xml:space="preserve"> </w:t>
      </w:r>
      <w:r>
        <w:t>imóvel alcançar para</w:t>
      </w:r>
      <w:r>
        <w:rPr>
          <w:spacing w:val="-4"/>
        </w:rPr>
        <w:t xml:space="preserve"> </w:t>
      </w:r>
      <w:r>
        <w:t>compra e</w:t>
      </w:r>
      <w:r>
        <w:rPr>
          <w:spacing w:val="-2"/>
        </w:rPr>
        <w:t xml:space="preserve"> </w:t>
      </w:r>
      <w:r>
        <w:t>venda</w:t>
      </w:r>
      <w:r>
        <w:rPr>
          <w:spacing w:val="-2"/>
        </w:rPr>
        <w:t xml:space="preserve"> </w:t>
      </w:r>
      <w:r>
        <w:t>à vista,</w:t>
      </w:r>
      <w:r>
        <w:rPr>
          <w:spacing w:val="-1"/>
        </w:rPr>
        <w:t xml:space="preserve"> </w:t>
      </w:r>
      <w:r>
        <w:t>segundo</w:t>
      </w:r>
      <w:r>
        <w:rPr>
          <w:spacing w:val="-1"/>
        </w:rPr>
        <w:t xml:space="preserve"> </w:t>
      </w:r>
      <w:r>
        <w:t>as condições usuais do mercado de imóveis".</w:t>
      </w:r>
    </w:p>
    <w:p w:rsidR="007259F2" w:rsidRDefault="00DE6B1C">
      <w:pPr>
        <w:pStyle w:val="Corpodetexto"/>
        <w:spacing w:before="2"/>
        <w:ind w:left="0" w:firstLine="0"/>
        <w:jc w:val="left"/>
        <w:rPr>
          <w:sz w:val="18"/>
        </w:rPr>
      </w:pPr>
      <w:r w:rsidRPr="00DE6B1C">
        <w:rPr>
          <w:sz w:val="18"/>
        </w:rPr>
        <w:pict>
          <v:rect id="docshape118" o:spid="_x0000_s1110" style="position:absolute;margin-left:85.1pt;margin-top:11.7pt;width:2in;height:.7pt;z-index:-15678464;mso-wrap-distance-left:0;mso-wrap-distance-right:0;mso-position-horizontal-relative:page" fillcolor="black" stroked="f">
            <w10:wrap type="topAndBottom" anchorx="page"/>
          </v:rect>
        </w:pict>
      </w:r>
    </w:p>
    <w:p w:rsidR="007259F2" w:rsidRDefault="00E655B4">
      <w:pPr>
        <w:spacing w:before="97"/>
        <w:ind w:left="710"/>
        <w:rPr>
          <w:sz w:val="20"/>
        </w:rPr>
      </w:pPr>
      <w:r>
        <w:rPr>
          <w:sz w:val="20"/>
          <w:vertAlign w:val="superscript"/>
        </w:rPr>
        <w:t>6</w:t>
      </w:r>
      <w:r>
        <w:rPr>
          <w:spacing w:val="-8"/>
          <w:sz w:val="20"/>
        </w:rPr>
        <w:t xml:space="preserve"> </w:t>
      </w:r>
      <w:r>
        <w:rPr>
          <w:sz w:val="20"/>
        </w:rPr>
        <w:t>Vide</w:t>
      </w:r>
      <w:r>
        <w:rPr>
          <w:spacing w:val="-4"/>
          <w:sz w:val="20"/>
        </w:rPr>
        <w:t xml:space="preserve"> </w:t>
      </w:r>
      <w:r>
        <w:rPr>
          <w:sz w:val="20"/>
        </w:rPr>
        <w:t>Arguição</w:t>
      </w:r>
      <w:r>
        <w:rPr>
          <w:spacing w:val="-3"/>
          <w:sz w:val="20"/>
        </w:rPr>
        <w:t xml:space="preserve"> </w:t>
      </w:r>
      <w:r>
        <w:rPr>
          <w:sz w:val="20"/>
        </w:rPr>
        <w:t>de</w:t>
      </w:r>
      <w:r>
        <w:rPr>
          <w:spacing w:val="-4"/>
          <w:sz w:val="20"/>
        </w:rPr>
        <w:t xml:space="preserve"> </w:t>
      </w:r>
      <w:r>
        <w:rPr>
          <w:sz w:val="20"/>
        </w:rPr>
        <w:t>Inconstitucionalidade</w:t>
      </w:r>
      <w:r>
        <w:rPr>
          <w:spacing w:val="-4"/>
          <w:sz w:val="20"/>
        </w:rPr>
        <w:t xml:space="preserve"> </w:t>
      </w:r>
      <w:r>
        <w:rPr>
          <w:sz w:val="20"/>
        </w:rPr>
        <w:t>nº</w:t>
      </w:r>
      <w:r>
        <w:rPr>
          <w:spacing w:val="-2"/>
          <w:sz w:val="20"/>
        </w:rPr>
        <w:t xml:space="preserve"> </w:t>
      </w:r>
      <w:r>
        <w:rPr>
          <w:sz w:val="20"/>
        </w:rPr>
        <w:t>0056693-19.2014.8.26.0000,</w:t>
      </w:r>
      <w:r>
        <w:rPr>
          <w:spacing w:val="-5"/>
          <w:sz w:val="20"/>
        </w:rPr>
        <w:t xml:space="preserve"> </w:t>
      </w:r>
      <w:r>
        <w:rPr>
          <w:sz w:val="20"/>
        </w:rPr>
        <w:t>julgada</w:t>
      </w:r>
      <w:r>
        <w:rPr>
          <w:spacing w:val="-4"/>
          <w:sz w:val="20"/>
        </w:rPr>
        <w:t xml:space="preserve"> </w:t>
      </w:r>
      <w:r>
        <w:rPr>
          <w:sz w:val="20"/>
        </w:rPr>
        <w:t>em</w:t>
      </w:r>
      <w:r>
        <w:rPr>
          <w:spacing w:val="-7"/>
          <w:sz w:val="20"/>
        </w:rPr>
        <w:t xml:space="preserve"> </w:t>
      </w:r>
      <w:r>
        <w:rPr>
          <w:sz w:val="20"/>
        </w:rPr>
        <w:t>25/03/2015,</w:t>
      </w:r>
      <w:r>
        <w:rPr>
          <w:spacing w:val="-5"/>
          <w:sz w:val="20"/>
        </w:rPr>
        <w:t xml:space="preserve"> </w:t>
      </w:r>
      <w:r>
        <w:rPr>
          <w:sz w:val="20"/>
        </w:rPr>
        <w:t>que</w:t>
      </w:r>
      <w:r>
        <w:rPr>
          <w:spacing w:val="-4"/>
          <w:sz w:val="20"/>
        </w:rPr>
        <w:t xml:space="preserve"> </w:t>
      </w:r>
      <w:r>
        <w:rPr>
          <w:sz w:val="20"/>
        </w:rPr>
        <w:t>declarou inconstitucional o artigo 12 da Lei Municipal nº 11.154/1991.</w:t>
      </w:r>
    </w:p>
    <w:p w:rsidR="007259F2" w:rsidRDefault="00E655B4">
      <w:pPr>
        <w:ind w:left="710"/>
        <w:rPr>
          <w:sz w:val="20"/>
        </w:rPr>
      </w:pPr>
      <w:r>
        <w:rPr>
          <w:spacing w:val="-2"/>
          <w:sz w:val="20"/>
          <w:vertAlign w:val="superscript"/>
        </w:rPr>
        <w:t>7</w:t>
      </w:r>
      <w:r>
        <w:rPr>
          <w:spacing w:val="1"/>
          <w:sz w:val="20"/>
        </w:rPr>
        <w:t xml:space="preserve"> </w:t>
      </w:r>
      <w:r>
        <w:rPr>
          <w:spacing w:val="-2"/>
          <w:sz w:val="20"/>
        </w:rPr>
        <w:t>SILVA,</w:t>
      </w:r>
      <w:r>
        <w:rPr>
          <w:spacing w:val="-1"/>
          <w:sz w:val="20"/>
        </w:rPr>
        <w:t xml:space="preserve"> </w:t>
      </w:r>
      <w:r>
        <w:rPr>
          <w:spacing w:val="-2"/>
          <w:sz w:val="20"/>
        </w:rPr>
        <w:t>De</w:t>
      </w:r>
      <w:r>
        <w:rPr>
          <w:spacing w:val="-8"/>
          <w:sz w:val="20"/>
        </w:rPr>
        <w:t xml:space="preserve"> </w:t>
      </w:r>
      <w:r>
        <w:rPr>
          <w:spacing w:val="-2"/>
          <w:sz w:val="20"/>
        </w:rPr>
        <w:t>Plácido</w:t>
      </w:r>
      <w:r>
        <w:rPr>
          <w:spacing w:val="-4"/>
          <w:sz w:val="20"/>
        </w:rPr>
        <w:t xml:space="preserve"> </w:t>
      </w:r>
      <w:r>
        <w:rPr>
          <w:spacing w:val="-2"/>
          <w:sz w:val="20"/>
        </w:rPr>
        <w:t>e.</w:t>
      </w:r>
      <w:r>
        <w:rPr>
          <w:spacing w:val="-10"/>
          <w:sz w:val="20"/>
        </w:rPr>
        <w:t xml:space="preserve"> </w:t>
      </w:r>
      <w:r>
        <w:rPr>
          <w:b/>
          <w:spacing w:val="-2"/>
          <w:sz w:val="20"/>
        </w:rPr>
        <w:t>Vocabulário</w:t>
      </w:r>
      <w:r>
        <w:rPr>
          <w:b/>
          <w:spacing w:val="-4"/>
          <w:sz w:val="20"/>
        </w:rPr>
        <w:t xml:space="preserve"> </w:t>
      </w:r>
      <w:r>
        <w:rPr>
          <w:b/>
          <w:spacing w:val="-2"/>
          <w:sz w:val="20"/>
        </w:rPr>
        <w:t>Jurídico</w:t>
      </w:r>
      <w:r>
        <w:rPr>
          <w:spacing w:val="-2"/>
          <w:sz w:val="20"/>
        </w:rPr>
        <w:t>.</w:t>
      </w:r>
      <w:r>
        <w:rPr>
          <w:spacing w:val="-8"/>
          <w:sz w:val="20"/>
        </w:rPr>
        <w:t xml:space="preserve"> </w:t>
      </w:r>
      <w:r>
        <w:rPr>
          <w:spacing w:val="-2"/>
          <w:sz w:val="20"/>
        </w:rPr>
        <w:t>27ª</w:t>
      </w:r>
      <w:r>
        <w:rPr>
          <w:spacing w:val="-6"/>
          <w:sz w:val="20"/>
        </w:rPr>
        <w:t xml:space="preserve"> </w:t>
      </w:r>
      <w:r>
        <w:rPr>
          <w:spacing w:val="-2"/>
          <w:sz w:val="20"/>
        </w:rPr>
        <w:t>ed.</w:t>
      </w:r>
      <w:r>
        <w:rPr>
          <w:sz w:val="20"/>
        </w:rPr>
        <w:t xml:space="preserve"> </w:t>
      </w:r>
      <w:r>
        <w:rPr>
          <w:spacing w:val="-2"/>
          <w:sz w:val="20"/>
        </w:rPr>
        <w:t>Rio</w:t>
      </w:r>
      <w:r>
        <w:rPr>
          <w:spacing w:val="-7"/>
          <w:sz w:val="20"/>
        </w:rPr>
        <w:t xml:space="preserve"> </w:t>
      </w:r>
      <w:r>
        <w:rPr>
          <w:spacing w:val="-2"/>
          <w:sz w:val="20"/>
        </w:rPr>
        <w:t>de</w:t>
      </w:r>
      <w:r>
        <w:rPr>
          <w:spacing w:val="-11"/>
          <w:sz w:val="20"/>
        </w:rPr>
        <w:t xml:space="preserve"> </w:t>
      </w:r>
      <w:r>
        <w:rPr>
          <w:spacing w:val="-2"/>
          <w:sz w:val="20"/>
        </w:rPr>
        <w:t>Janeiro:</w:t>
      </w:r>
      <w:r>
        <w:rPr>
          <w:spacing w:val="-1"/>
          <w:sz w:val="20"/>
        </w:rPr>
        <w:t xml:space="preserve"> </w:t>
      </w:r>
      <w:r>
        <w:rPr>
          <w:spacing w:val="-2"/>
          <w:sz w:val="20"/>
        </w:rPr>
        <w:t>Forense,</w:t>
      </w:r>
      <w:r>
        <w:rPr>
          <w:sz w:val="20"/>
        </w:rPr>
        <w:t xml:space="preserve"> </w:t>
      </w:r>
      <w:r>
        <w:rPr>
          <w:spacing w:val="-2"/>
          <w:sz w:val="20"/>
        </w:rPr>
        <w:t>2008,</w:t>
      </w:r>
      <w:r>
        <w:rPr>
          <w:spacing w:val="-6"/>
          <w:sz w:val="20"/>
        </w:rPr>
        <w:t xml:space="preserve"> </w:t>
      </w:r>
      <w:r>
        <w:rPr>
          <w:spacing w:val="-2"/>
          <w:sz w:val="20"/>
        </w:rPr>
        <w:t>p.</w:t>
      </w:r>
      <w:r>
        <w:rPr>
          <w:spacing w:val="-8"/>
          <w:sz w:val="20"/>
        </w:rPr>
        <w:t xml:space="preserve"> </w:t>
      </w:r>
      <w:r>
        <w:rPr>
          <w:spacing w:val="-2"/>
          <w:sz w:val="20"/>
        </w:rPr>
        <w:t>1461.</w:t>
      </w:r>
    </w:p>
    <w:p w:rsidR="007259F2" w:rsidRDefault="00E655B4">
      <w:pPr>
        <w:spacing w:before="1"/>
        <w:ind w:left="710"/>
        <w:rPr>
          <w:sz w:val="20"/>
        </w:rPr>
      </w:pPr>
      <w:r>
        <w:rPr>
          <w:sz w:val="20"/>
          <w:vertAlign w:val="superscript"/>
        </w:rPr>
        <w:t>8</w:t>
      </w:r>
      <w:r>
        <w:rPr>
          <w:spacing w:val="-13"/>
          <w:sz w:val="20"/>
        </w:rPr>
        <w:t xml:space="preserve"> </w:t>
      </w:r>
      <w:r>
        <w:rPr>
          <w:sz w:val="20"/>
        </w:rPr>
        <w:t>FURLAN.</w:t>
      </w:r>
      <w:r>
        <w:rPr>
          <w:spacing w:val="-12"/>
          <w:sz w:val="20"/>
        </w:rPr>
        <w:t xml:space="preserve"> </w:t>
      </w:r>
      <w:r>
        <w:rPr>
          <w:sz w:val="20"/>
        </w:rPr>
        <w:t>Valéria.</w:t>
      </w:r>
      <w:r>
        <w:rPr>
          <w:spacing w:val="-13"/>
          <w:sz w:val="20"/>
        </w:rPr>
        <w:t xml:space="preserve"> </w:t>
      </w:r>
      <w:r>
        <w:rPr>
          <w:b/>
          <w:sz w:val="20"/>
        </w:rPr>
        <w:t>IPTU</w:t>
      </w:r>
      <w:r>
        <w:rPr>
          <w:sz w:val="20"/>
        </w:rPr>
        <w:t>.</w:t>
      </w:r>
      <w:r>
        <w:rPr>
          <w:spacing w:val="-9"/>
          <w:sz w:val="20"/>
        </w:rPr>
        <w:t xml:space="preserve"> </w:t>
      </w:r>
      <w:r>
        <w:rPr>
          <w:sz w:val="20"/>
        </w:rPr>
        <w:t>2ª</w:t>
      </w:r>
      <w:r>
        <w:rPr>
          <w:spacing w:val="-6"/>
          <w:sz w:val="20"/>
        </w:rPr>
        <w:t xml:space="preserve"> </w:t>
      </w:r>
      <w:r>
        <w:rPr>
          <w:sz w:val="20"/>
        </w:rPr>
        <w:t>edição</w:t>
      </w:r>
      <w:r>
        <w:rPr>
          <w:spacing w:val="-9"/>
          <w:sz w:val="20"/>
        </w:rPr>
        <w:t xml:space="preserve"> </w:t>
      </w:r>
      <w:r>
        <w:rPr>
          <w:sz w:val="20"/>
        </w:rPr>
        <w:t>revisada,</w:t>
      </w:r>
      <w:r>
        <w:rPr>
          <w:spacing w:val="-6"/>
          <w:sz w:val="20"/>
        </w:rPr>
        <w:t xml:space="preserve"> </w:t>
      </w:r>
      <w:r>
        <w:rPr>
          <w:sz w:val="20"/>
        </w:rPr>
        <w:t>atualizada</w:t>
      </w:r>
      <w:r>
        <w:rPr>
          <w:spacing w:val="-10"/>
          <w:sz w:val="20"/>
        </w:rPr>
        <w:t xml:space="preserve"> </w:t>
      </w:r>
      <w:r>
        <w:rPr>
          <w:sz w:val="20"/>
        </w:rPr>
        <w:t>e</w:t>
      </w:r>
      <w:r>
        <w:rPr>
          <w:spacing w:val="-10"/>
          <w:sz w:val="20"/>
        </w:rPr>
        <w:t xml:space="preserve"> </w:t>
      </w:r>
      <w:r>
        <w:rPr>
          <w:sz w:val="20"/>
        </w:rPr>
        <w:t>aumentada.</w:t>
      </w:r>
      <w:r>
        <w:rPr>
          <w:spacing w:val="-6"/>
          <w:sz w:val="20"/>
        </w:rPr>
        <w:t xml:space="preserve"> </w:t>
      </w:r>
      <w:r>
        <w:rPr>
          <w:sz w:val="20"/>
        </w:rPr>
        <w:t>São</w:t>
      </w:r>
      <w:r>
        <w:rPr>
          <w:spacing w:val="-8"/>
          <w:sz w:val="20"/>
        </w:rPr>
        <w:t xml:space="preserve"> </w:t>
      </w:r>
      <w:r>
        <w:rPr>
          <w:sz w:val="20"/>
        </w:rPr>
        <w:t>Paulo:</w:t>
      </w:r>
      <w:r>
        <w:rPr>
          <w:spacing w:val="-11"/>
          <w:sz w:val="20"/>
        </w:rPr>
        <w:t xml:space="preserve"> </w:t>
      </w:r>
      <w:r>
        <w:rPr>
          <w:sz w:val="20"/>
        </w:rPr>
        <w:t>Malheiros,</w:t>
      </w:r>
      <w:r>
        <w:rPr>
          <w:spacing w:val="-7"/>
          <w:sz w:val="20"/>
        </w:rPr>
        <w:t xml:space="preserve"> </w:t>
      </w:r>
      <w:r>
        <w:rPr>
          <w:sz w:val="20"/>
        </w:rPr>
        <w:t>2004,</w:t>
      </w:r>
      <w:r>
        <w:rPr>
          <w:spacing w:val="-7"/>
          <w:sz w:val="20"/>
        </w:rPr>
        <w:t xml:space="preserve"> </w:t>
      </w:r>
      <w:r>
        <w:rPr>
          <w:sz w:val="20"/>
        </w:rPr>
        <w:t>p.</w:t>
      </w:r>
      <w:r>
        <w:rPr>
          <w:spacing w:val="-6"/>
          <w:sz w:val="20"/>
        </w:rPr>
        <w:t xml:space="preserve"> </w:t>
      </w:r>
      <w:r>
        <w:rPr>
          <w:spacing w:val="-4"/>
          <w:sz w:val="20"/>
        </w:rPr>
        <w:t>100.</w:t>
      </w:r>
    </w:p>
    <w:p w:rsidR="007259F2" w:rsidRDefault="00E655B4">
      <w:pPr>
        <w:ind w:left="710"/>
        <w:rPr>
          <w:sz w:val="20"/>
        </w:rPr>
      </w:pPr>
      <w:r>
        <w:rPr>
          <w:spacing w:val="-2"/>
          <w:sz w:val="20"/>
          <w:vertAlign w:val="superscript"/>
        </w:rPr>
        <w:t>9</w:t>
      </w:r>
      <w:r>
        <w:rPr>
          <w:spacing w:val="4"/>
          <w:sz w:val="20"/>
        </w:rPr>
        <w:t xml:space="preserve"> </w:t>
      </w:r>
      <w:r>
        <w:rPr>
          <w:spacing w:val="-2"/>
          <w:sz w:val="20"/>
        </w:rPr>
        <w:t>BALEEIRO,</w:t>
      </w:r>
      <w:r>
        <w:rPr>
          <w:spacing w:val="-12"/>
          <w:sz w:val="20"/>
        </w:rPr>
        <w:t xml:space="preserve"> </w:t>
      </w:r>
      <w:r>
        <w:rPr>
          <w:spacing w:val="-2"/>
          <w:sz w:val="20"/>
        </w:rPr>
        <w:t>Aliomar.</w:t>
      </w:r>
      <w:r>
        <w:rPr>
          <w:sz w:val="20"/>
        </w:rPr>
        <w:t xml:space="preserve"> </w:t>
      </w:r>
      <w:r>
        <w:rPr>
          <w:b/>
          <w:spacing w:val="-2"/>
          <w:sz w:val="20"/>
        </w:rPr>
        <w:t>Direito</w:t>
      </w:r>
      <w:r>
        <w:rPr>
          <w:b/>
          <w:spacing w:val="-12"/>
          <w:sz w:val="20"/>
        </w:rPr>
        <w:t xml:space="preserve"> </w:t>
      </w:r>
      <w:r>
        <w:rPr>
          <w:b/>
          <w:spacing w:val="-2"/>
          <w:sz w:val="20"/>
        </w:rPr>
        <w:t>Tributário</w:t>
      </w:r>
      <w:r>
        <w:rPr>
          <w:b/>
          <w:spacing w:val="-6"/>
          <w:sz w:val="20"/>
        </w:rPr>
        <w:t xml:space="preserve"> </w:t>
      </w:r>
      <w:r>
        <w:rPr>
          <w:b/>
          <w:spacing w:val="-2"/>
          <w:sz w:val="20"/>
        </w:rPr>
        <w:t>Brasileiro</w:t>
      </w:r>
      <w:r>
        <w:rPr>
          <w:spacing w:val="-2"/>
          <w:sz w:val="20"/>
        </w:rPr>
        <w:t>,</w:t>
      </w:r>
      <w:r>
        <w:rPr>
          <w:spacing w:val="-3"/>
          <w:sz w:val="20"/>
        </w:rPr>
        <w:t xml:space="preserve"> </w:t>
      </w:r>
      <w:r>
        <w:rPr>
          <w:spacing w:val="-2"/>
          <w:sz w:val="20"/>
        </w:rPr>
        <w:t>10ª</w:t>
      </w:r>
      <w:r>
        <w:rPr>
          <w:spacing w:val="-4"/>
          <w:sz w:val="20"/>
        </w:rPr>
        <w:t xml:space="preserve"> </w:t>
      </w:r>
      <w:r>
        <w:rPr>
          <w:spacing w:val="-2"/>
          <w:sz w:val="20"/>
        </w:rPr>
        <w:t>edição, Forense, pg.</w:t>
      </w:r>
      <w:r>
        <w:rPr>
          <w:spacing w:val="-7"/>
          <w:sz w:val="20"/>
        </w:rPr>
        <w:t xml:space="preserve"> </w:t>
      </w:r>
      <w:r>
        <w:rPr>
          <w:spacing w:val="-4"/>
          <w:sz w:val="20"/>
        </w:rPr>
        <w:t>167.</w:t>
      </w:r>
    </w:p>
    <w:p w:rsidR="007259F2" w:rsidRDefault="007259F2">
      <w:pPr>
        <w:rPr>
          <w:sz w:val="20"/>
        </w:rPr>
        <w:sectPr w:rsidR="007259F2">
          <w:pgSz w:w="11910" w:h="16840"/>
          <w:pgMar w:top="1600" w:right="708" w:bottom="1020" w:left="992" w:header="0" w:footer="820" w:gutter="0"/>
          <w:cols w:space="720"/>
        </w:sectPr>
      </w:pPr>
    </w:p>
    <w:p w:rsidR="007259F2" w:rsidRDefault="00E655B4">
      <w:pPr>
        <w:pStyle w:val="Corpodetexto"/>
        <w:spacing w:before="75"/>
        <w:ind w:right="422"/>
      </w:pPr>
      <w:r>
        <w:lastRenderedPageBreak/>
        <w:t>Importante pontuar, também, que o Imposto Predial Territorial Urbano - IPTU - igualmente tem sua base de cálculo aferida a partir do valor</w:t>
      </w:r>
      <w:r>
        <w:rPr>
          <w:spacing w:val="40"/>
        </w:rPr>
        <w:t xml:space="preserve"> </w:t>
      </w:r>
      <w:r>
        <w:t>venal</w:t>
      </w:r>
      <w:r>
        <w:rPr>
          <w:spacing w:val="40"/>
        </w:rPr>
        <w:t xml:space="preserve"> </w:t>
      </w:r>
      <w:r>
        <w:t>do imóvel, conforme o artigo</w:t>
      </w:r>
      <w:r>
        <w:rPr>
          <w:spacing w:val="-1"/>
        </w:rPr>
        <w:t xml:space="preserve"> </w:t>
      </w:r>
      <w:r>
        <w:t>33 do</w:t>
      </w:r>
      <w:r>
        <w:rPr>
          <w:spacing w:val="-1"/>
        </w:rPr>
        <w:t xml:space="preserve"> </w:t>
      </w:r>
      <w:r>
        <w:t>Código Tributário</w:t>
      </w:r>
      <w:r>
        <w:rPr>
          <w:spacing w:val="-1"/>
        </w:rPr>
        <w:t xml:space="preserve"> </w:t>
      </w:r>
      <w:r>
        <w:t>Nacional.</w:t>
      </w:r>
      <w:r>
        <w:rPr>
          <w:spacing w:val="-1"/>
        </w:rPr>
        <w:t xml:space="preserve"> </w:t>
      </w:r>
      <w:r>
        <w:t>Em</w:t>
      </w:r>
      <w:r>
        <w:rPr>
          <w:spacing w:val="-1"/>
        </w:rPr>
        <w:t xml:space="preserve"> </w:t>
      </w:r>
      <w:r>
        <w:t>consequência, uma</w:t>
      </w:r>
      <w:r>
        <w:rPr>
          <w:spacing w:val="-2"/>
        </w:rPr>
        <w:t xml:space="preserve"> </w:t>
      </w:r>
      <w:r>
        <w:t>parte</w:t>
      </w:r>
      <w:r>
        <w:rPr>
          <w:spacing w:val="-2"/>
        </w:rPr>
        <w:t xml:space="preserve"> </w:t>
      </w:r>
      <w:r>
        <w:t>substancial</w:t>
      </w:r>
      <w:r>
        <w:rPr>
          <w:spacing w:val="-1"/>
        </w:rPr>
        <w:t xml:space="preserve"> </w:t>
      </w:r>
      <w:r>
        <w:t>da</w:t>
      </w:r>
      <w:r>
        <w:rPr>
          <w:spacing w:val="-2"/>
        </w:rPr>
        <w:t xml:space="preserve"> </w:t>
      </w:r>
      <w:r>
        <w:t>doutrina conclui que o conceito de valor venal é unívoco, sendo este aplicável indistintamente à base</w:t>
      </w:r>
      <w:r>
        <w:rPr>
          <w:spacing w:val="40"/>
        </w:rPr>
        <w:t xml:space="preserve"> </w:t>
      </w:r>
      <w:r>
        <w:t>de cálculo do IPTU e do ITBI. Nesse caso, o valor venal que for atribuído</w:t>
      </w:r>
      <w:r>
        <w:rPr>
          <w:spacing w:val="-4"/>
        </w:rPr>
        <w:t xml:space="preserve"> </w:t>
      </w:r>
      <w:r>
        <w:t>ao</w:t>
      </w:r>
      <w:r>
        <w:rPr>
          <w:spacing w:val="-5"/>
        </w:rPr>
        <w:t xml:space="preserve"> </w:t>
      </w:r>
      <w:r>
        <w:t>imóvel para</w:t>
      </w:r>
      <w:r>
        <w:rPr>
          <w:spacing w:val="-11"/>
        </w:rPr>
        <w:t xml:space="preserve"> </w:t>
      </w:r>
      <w:r>
        <w:t>fins de pagamento do IPTU deve também ser usado para cálculo do ITBI.</w:t>
      </w:r>
    </w:p>
    <w:p w:rsidR="007259F2" w:rsidRDefault="00E655B4">
      <w:pPr>
        <w:pStyle w:val="Corpodetexto"/>
        <w:ind w:right="419"/>
      </w:pPr>
      <w:r>
        <w:t>Cabe aqui uma ressalva, no caso da base de cálculo do IPTU, conforme explana José Alberto Oliveira Macedo,</w:t>
      </w:r>
      <w:r>
        <w:rPr>
          <w:vertAlign w:val="superscript"/>
        </w:rPr>
        <w:t>10</w:t>
      </w:r>
      <w:r>
        <w:t xml:space="preserve"> utiliza-se a Planta Genérica de Valores (PGV), “em razão da impossibilidade fática de o Fisco apurar, caso a caso, o valor venal do IPTU de todos os imóveis do Município, para fins de lançamento de ofício”.</w:t>
      </w:r>
    </w:p>
    <w:p w:rsidR="007259F2" w:rsidRDefault="00E655B4">
      <w:pPr>
        <w:pStyle w:val="Corpodetexto"/>
        <w:ind w:right="424"/>
      </w:pPr>
      <w:r>
        <w:t>Uma das desvantagens de adoção da PGV é a defasagem que normalmente se apresenta entre o preço (ou o valor de mercado atualizado dos imóveis) e o valor venal presente na lei da planta genérica de valores.</w:t>
      </w:r>
    </w:p>
    <w:p w:rsidR="007259F2" w:rsidRDefault="00E655B4">
      <w:pPr>
        <w:pStyle w:val="Corpodetexto"/>
        <w:spacing w:before="1"/>
        <w:ind w:right="427"/>
      </w:pPr>
      <w:r>
        <w:t>No caso da tributação do ITBI, diferentemente do IPTU, não há taxação em massa, o que</w:t>
      </w:r>
      <w:r>
        <w:rPr>
          <w:spacing w:val="-2"/>
        </w:rPr>
        <w:t xml:space="preserve"> </w:t>
      </w:r>
      <w:r>
        <w:t>acaba</w:t>
      </w:r>
      <w:r>
        <w:rPr>
          <w:spacing w:val="-2"/>
        </w:rPr>
        <w:t xml:space="preserve"> </w:t>
      </w:r>
      <w:r>
        <w:t>possibilitando</w:t>
      </w:r>
      <w:r>
        <w:rPr>
          <w:spacing w:val="-2"/>
        </w:rPr>
        <w:t xml:space="preserve"> </w:t>
      </w:r>
      <w:r>
        <w:t>apuração</w:t>
      </w:r>
      <w:r>
        <w:rPr>
          <w:spacing w:val="-1"/>
        </w:rPr>
        <w:t xml:space="preserve"> </w:t>
      </w:r>
      <w:r>
        <w:t>do</w:t>
      </w:r>
      <w:r>
        <w:rPr>
          <w:spacing w:val="-1"/>
        </w:rPr>
        <w:t xml:space="preserve"> </w:t>
      </w:r>
      <w:r>
        <w:t>valor</w:t>
      </w:r>
      <w:r>
        <w:rPr>
          <w:spacing w:val="-2"/>
        </w:rPr>
        <w:t xml:space="preserve"> </w:t>
      </w:r>
      <w:r>
        <w:t>de</w:t>
      </w:r>
      <w:r>
        <w:rPr>
          <w:spacing w:val="-2"/>
        </w:rPr>
        <w:t xml:space="preserve"> </w:t>
      </w:r>
      <w:r>
        <w:t>mercado</w:t>
      </w:r>
      <w:r>
        <w:rPr>
          <w:spacing w:val="-1"/>
        </w:rPr>
        <w:t xml:space="preserve"> </w:t>
      </w:r>
      <w:r>
        <w:t>dos</w:t>
      </w:r>
      <w:r>
        <w:rPr>
          <w:spacing w:val="-1"/>
        </w:rPr>
        <w:t xml:space="preserve"> </w:t>
      </w:r>
      <w:r>
        <w:t>imóveis</w:t>
      </w:r>
      <w:r>
        <w:rPr>
          <w:spacing w:val="-1"/>
        </w:rPr>
        <w:t xml:space="preserve"> </w:t>
      </w:r>
      <w:r>
        <w:t>de</w:t>
      </w:r>
      <w:r>
        <w:rPr>
          <w:spacing w:val="-2"/>
        </w:rPr>
        <w:t xml:space="preserve"> </w:t>
      </w:r>
      <w:r>
        <w:t>forma</w:t>
      </w:r>
      <w:r>
        <w:rPr>
          <w:spacing w:val="-2"/>
        </w:rPr>
        <w:t xml:space="preserve"> </w:t>
      </w:r>
      <w:r>
        <w:t>individualizada, e, consequentemente, mais próximo da real capacidade contributiva do adquirente.</w:t>
      </w:r>
    </w:p>
    <w:p w:rsidR="007259F2" w:rsidRDefault="00E655B4">
      <w:pPr>
        <w:pStyle w:val="Corpodetexto"/>
        <w:ind w:left="1418" w:firstLine="0"/>
      </w:pPr>
      <w:r>
        <w:t>Ainda</w:t>
      </w:r>
      <w:r>
        <w:rPr>
          <w:spacing w:val="-4"/>
        </w:rPr>
        <w:t xml:space="preserve"> </w:t>
      </w:r>
      <w:r>
        <w:t>quanto</w:t>
      </w:r>
      <w:r>
        <w:rPr>
          <w:spacing w:val="-1"/>
        </w:rPr>
        <w:t xml:space="preserve"> </w:t>
      </w:r>
      <w:r>
        <w:t>à</w:t>
      </w:r>
      <w:r>
        <w:rPr>
          <w:spacing w:val="-1"/>
        </w:rPr>
        <w:t xml:space="preserve"> </w:t>
      </w:r>
      <w:r>
        <w:t>base</w:t>
      </w:r>
      <w:r>
        <w:rPr>
          <w:spacing w:val="-2"/>
        </w:rPr>
        <w:t xml:space="preserve"> </w:t>
      </w:r>
      <w:r>
        <w:t>de</w:t>
      </w:r>
      <w:r>
        <w:rPr>
          <w:spacing w:val="-2"/>
        </w:rPr>
        <w:t xml:space="preserve"> </w:t>
      </w:r>
      <w:r>
        <w:t>cálculo</w:t>
      </w:r>
      <w:r>
        <w:rPr>
          <w:spacing w:val="-1"/>
        </w:rPr>
        <w:t xml:space="preserve"> </w:t>
      </w:r>
      <w:r>
        <w:t>do</w:t>
      </w:r>
      <w:r>
        <w:rPr>
          <w:spacing w:val="1"/>
        </w:rPr>
        <w:t xml:space="preserve"> </w:t>
      </w:r>
      <w:r>
        <w:t>ITBI,</w:t>
      </w:r>
      <w:r>
        <w:rPr>
          <w:spacing w:val="-1"/>
        </w:rPr>
        <w:t xml:space="preserve"> </w:t>
      </w:r>
      <w:r>
        <w:t>esclarece</w:t>
      </w:r>
      <w:r>
        <w:rPr>
          <w:spacing w:val="-1"/>
        </w:rPr>
        <w:t xml:space="preserve"> </w:t>
      </w:r>
      <w:r>
        <w:t>José</w:t>
      </w:r>
      <w:r>
        <w:rPr>
          <w:spacing w:val="-1"/>
        </w:rPr>
        <w:t xml:space="preserve"> </w:t>
      </w:r>
      <w:r>
        <w:t>Alberto</w:t>
      </w:r>
      <w:r>
        <w:rPr>
          <w:spacing w:val="-1"/>
        </w:rPr>
        <w:t xml:space="preserve"> </w:t>
      </w:r>
      <w:r>
        <w:t>Oliveira</w:t>
      </w:r>
      <w:r>
        <w:rPr>
          <w:spacing w:val="-2"/>
        </w:rPr>
        <w:t xml:space="preserve"> Macedo:</w:t>
      </w:r>
      <w:r>
        <w:rPr>
          <w:spacing w:val="-2"/>
          <w:vertAlign w:val="superscript"/>
        </w:rPr>
        <w:t>11</w:t>
      </w:r>
    </w:p>
    <w:p w:rsidR="007259F2" w:rsidRDefault="007259F2">
      <w:pPr>
        <w:pStyle w:val="Corpodetexto"/>
        <w:spacing w:before="16"/>
        <w:ind w:left="0" w:firstLine="0"/>
        <w:jc w:val="left"/>
      </w:pPr>
    </w:p>
    <w:p w:rsidR="007259F2" w:rsidRDefault="00E655B4">
      <w:pPr>
        <w:ind w:left="2978" w:right="552"/>
        <w:jc w:val="both"/>
        <w:rPr>
          <w:sz w:val="20"/>
        </w:rPr>
      </w:pPr>
      <w:r>
        <w:rPr>
          <w:sz w:val="20"/>
        </w:rPr>
        <w:t>O imposto sobre a transmissão onerosa de bem imóvel tem como base de cálculo possível, o valor do bem. Mas, considerando as duas etapas que a materialidade transmissão apresenta (escritura pública e registro do título aquisitivo) no seu rito solene, pode dar ensejo, ao menos, à utilização de três grandezas que representam presunções relativas do valor do bem imóvel: (i) o preço declarado pelas partes no negócio jurídico; (ii) o valor venal do IPTU, com os critérios legais previstos para sua aplicação; e (iii) o valor de mercado atualizado do imóvel.</w:t>
      </w:r>
    </w:p>
    <w:p w:rsidR="007259F2" w:rsidRDefault="007259F2">
      <w:pPr>
        <w:pStyle w:val="Corpodetexto"/>
        <w:spacing w:before="43"/>
        <w:ind w:left="0" w:firstLine="0"/>
        <w:jc w:val="left"/>
        <w:rPr>
          <w:sz w:val="20"/>
        </w:rPr>
      </w:pPr>
    </w:p>
    <w:p w:rsidR="007259F2" w:rsidRDefault="00E655B4">
      <w:pPr>
        <w:pStyle w:val="Corpodetexto"/>
        <w:ind w:right="421"/>
      </w:pPr>
      <w:r>
        <w:t>Portanto, em que pese o Código Tributário Nacional tenha adotado a expressão “valor venal” como base de cálculo do IPTU e do ITBI, é possível atribuir valores venais distintos para um mesmo imóvel. Nesse sentido, inclusive, manifestou-se o Superior Tribunal de</w:t>
      </w:r>
      <w:r>
        <w:rPr>
          <w:spacing w:val="40"/>
        </w:rPr>
        <w:t xml:space="preserve"> </w:t>
      </w:r>
      <w:r>
        <w:t>Justiça ao julgar o</w:t>
      </w:r>
      <w:r>
        <w:rPr>
          <w:spacing w:val="-4"/>
        </w:rPr>
        <w:t xml:space="preserve"> </w:t>
      </w:r>
      <w:r>
        <w:t>REsp 1.937.821/SP, o qual será objeto de estudo nos próximos tópicos.</w:t>
      </w:r>
    </w:p>
    <w:p w:rsidR="007259F2" w:rsidRDefault="00E655B4">
      <w:pPr>
        <w:pStyle w:val="Corpodetexto"/>
        <w:ind w:right="420"/>
      </w:pPr>
      <w:r>
        <w:t>Retomando, a Lei Paulistana</w:t>
      </w:r>
      <w:r>
        <w:rPr>
          <w:spacing w:val="-1"/>
        </w:rPr>
        <w:t xml:space="preserve"> </w:t>
      </w:r>
      <w:r>
        <w:t>que regula a</w:t>
      </w:r>
      <w:r>
        <w:rPr>
          <w:spacing w:val="-1"/>
        </w:rPr>
        <w:t xml:space="preserve"> </w:t>
      </w:r>
      <w:r>
        <w:t>base</w:t>
      </w:r>
      <w:r>
        <w:rPr>
          <w:spacing w:val="-1"/>
        </w:rPr>
        <w:t xml:space="preserve"> </w:t>
      </w:r>
      <w:r>
        <w:t>de cálculo do ITBI</w:t>
      </w:r>
      <w:r>
        <w:rPr>
          <w:spacing w:val="-2"/>
        </w:rPr>
        <w:t xml:space="preserve"> </w:t>
      </w:r>
      <w:r>
        <w:t>é a</w:t>
      </w:r>
      <w:r>
        <w:rPr>
          <w:spacing w:val="-1"/>
        </w:rPr>
        <w:t xml:space="preserve"> </w:t>
      </w:r>
      <w:r>
        <w:t>n.º 11.154/1991. Em sua redação original, artigo 7º, ela considerava como base de cálculo</w:t>
      </w:r>
      <w:r>
        <w:rPr>
          <w:spacing w:val="-4"/>
        </w:rPr>
        <w:t xml:space="preserve"> </w:t>
      </w:r>
      <w:r>
        <w:t>do</w:t>
      </w:r>
      <w:r>
        <w:rPr>
          <w:spacing w:val="-5"/>
        </w:rPr>
        <w:t xml:space="preserve"> </w:t>
      </w:r>
      <w:r>
        <w:t>imposto</w:t>
      </w:r>
      <w:r>
        <w:rPr>
          <w:spacing w:val="-3"/>
        </w:rPr>
        <w:t xml:space="preserve"> </w:t>
      </w:r>
      <w:r>
        <w:t>“o</w:t>
      </w:r>
      <w:r>
        <w:rPr>
          <w:spacing w:val="-6"/>
        </w:rPr>
        <w:t xml:space="preserve"> </w:t>
      </w:r>
      <w:r>
        <w:t>valor venal dos bens ou direito transmitidos”, ou seja, adotava a mesma definição do artigo 38 do Código Tributário Nacional.</w:t>
      </w:r>
    </w:p>
    <w:p w:rsidR="007259F2" w:rsidRDefault="00E655B4">
      <w:pPr>
        <w:pStyle w:val="Corpodetexto"/>
        <w:ind w:right="423"/>
      </w:pPr>
      <w:r>
        <w:t>Todavia, com a superveniência das Leis Municipais n.º 14.125/2005 e n.º</w:t>
      </w:r>
      <w:r>
        <w:rPr>
          <w:spacing w:val="80"/>
        </w:rPr>
        <w:t xml:space="preserve"> </w:t>
      </w:r>
      <w:r>
        <w:t>14.256/2006, a redação do caput do artigo 7º da Lei Municipal n.º 11.154/1991 sofreu modificação, passando-se a considerar como valor venal “o valor de mercado do imóvel</w:t>
      </w:r>
      <w:r>
        <w:rPr>
          <w:spacing w:val="40"/>
        </w:rPr>
        <w:t xml:space="preserve"> </w:t>
      </w:r>
      <w:r>
        <w:t>objeto do negócio jurídico tributável, assim entendido aquele preço pelo qual seria negociado à vista, em condições normais de transação”.</w:t>
      </w:r>
    </w:p>
    <w:p w:rsidR="007259F2" w:rsidRDefault="00E655B4">
      <w:pPr>
        <w:pStyle w:val="Corpodetexto"/>
        <w:spacing w:before="1"/>
        <w:ind w:right="422"/>
      </w:pPr>
      <w:r>
        <w:t>Para aplicação do conceito “valor pelo qual o bem ou direito seria negociado à vista, em</w:t>
      </w:r>
      <w:r>
        <w:rPr>
          <w:spacing w:val="1"/>
        </w:rPr>
        <w:t xml:space="preserve"> </w:t>
      </w:r>
      <w:r>
        <w:t>condições</w:t>
      </w:r>
      <w:r>
        <w:rPr>
          <w:spacing w:val="1"/>
        </w:rPr>
        <w:t xml:space="preserve"> </w:t>
      </w:r>
      <w:r>
        <w:t>normais</w:t>
      </w:r>
      <w:r>
        <w:rPr>
          <w:spacing w:val="1"/>
        </w:rPr>
        <w:t xml:space="preserve"> </w:t>
      </w:r>
      <w:r>
        <w:t>de</w:t>
      </w:r>
      <w:r>
        <w:rPr>
          <w:spacing w:val="2"/>
        </w:rPr>
        <w:t xml:space="preserve"> </w:t>
      </w:r>
      <w:r>
        <w:t>mercado”,</w:t>
      </w:r>
      <w:r>
        <w:rPr>
          <w:spacing w:val="1"/>
        </w:rPr>
        <w:t xml:space="preserve"> </w:t>
      </w:r>
      <w:r>
        <w:t>foi</w:t>
      </w:r>
      <w:r>
        <w:rPr>
          <w:spacing w:val="1"/>
        </w:rPr>
        <w:t xml:space="preserve"> </w:t>
      </w:r>
      <w:r>
        <w:t>acrescido</w:t>
      </w:r>
      <w:r>
        <w:rPr>
          <w:spacing w:val="4"/>
        </w:rPr>
        <w:t xml:space="preserve"> </w:t>
      </w:r>
      <w:r>
        <w:t>à legislação</w:t>
      </w:r>
      <w:r>
        <w:rPr>
          <w:spacing w:val="1"/>
        </w:rPr>
        <w:t xml:space="preserve"> </w:t>
      </w:r>
      <w:r>
        <w:t>municipal</w:t>
      </w:r>
      <w:r>
        <w:rPr>
          <w:spacing w:val="1"/>
        </w:rPr>
        <w:t xml:space="preserve"> </w:t>
      </w:r>
      <w:r>
        <w:t>os</w:t>
      </w:r>
      <w:r>
        <w:rPr>
          <w:spacing w:val="2"/>
        </w:rPr>
        <w:t xml:space="preserve"> </w:t>
      </w:r>
      <w:r>
        <w:t>artigos</w:t>
      </w:r>
      <w:r>
        <w:rPr>
          <w:spacing w:val="1"/>
        </w:rPr>
        <w:t xml:space="preserve"> </w:t>
      </w:r>
      <w:r>
        <w:t>7º-</w:t>
      </w:r>
      <w:r>
        <w:rPr>
          <w:spacing w:val="-2"/>
        </w:rPr>
        <w:t xml:space="preserve"> </w:t>
      </w:r>
      <w:r>
        <w:t>A e</w:t>
      </w:r>
      <w:r>
        <w:rPr>
          <w:spacing w:val="-4"/>
        </w:rPr>
        <w:t xml:space="preserve"> </w:t>
      </w:r>
      <w:r>
        <w:rPr>
          <w:spacing w:val="-5"/>
        </w:rPr>
        <w:t>7º-</w:t>
      </w:r>
    </w:p>
    <w:p w:rsidR="007259F2" w:rsidRDefault="00E655B4">
      <w:pPr>
        <w:pStyle w:val="Corpodetexto"/>
        <w:ind w:right="421" w:firstLine="0"/>
      </w:pPr>
      <w:r>
        <w:t>B. O primeiro (7º- A) atribuiu à Secretaria Municipal de Finanças a apuração periódica dos valores</w:t>
      </w:r>
      <w:r>
        <w:rPr>
          <w:spacing w:val="-3"/>
        </w:rPr>
        <w:t xml:space="preserve"> </w:t>
      </w:r>
      <w:r>
        <w:t>venais</w:t>
      </w:r>
      <w:r>
        <w:rPr>
          <w:spacing w:val="-3"/>
        </w:rPr>
        <w:t xml:space="preserve"> </w:t>
      </w:r>
      <w:r>
        <w:t>atualizados</w:t>
      </w:r>
      <w:r>
        <w:rPr>
          <w:spacing w:val="-2"/>
        </w:rPr>
        <w:t xml:space="preserve"> </w:t>
      </w:r>
      <w:r>
        <w:t>dos</w:t>
      </w:r>
      <w:r>
        <w:rPr>
          <w:spacing w:val="-3"/>
        </w:rPr>
        <w:t xml:space="preserve"> </w:t>
      </w:r>
      <w:r>
        <w:t>imóveis</w:t>
      </w:r>
      <w:r>
        <w:rPr>
          <w:spacing w:val="-5"/>
        </w:rPr>
        <w:t xml:space="preserve"> </w:t>
      </w:r>
      <w:r>
        <w:t>inseridos</w:t>
      </w:r>
      <w:r>
        <w:rPr>
          <w:spacing w:val="-2"/>
        </w:rPr>
        <w:t xml:space="preserve"> </w:t>
      </w:r>
      <w:r>
        <w:t>em</w:t>
      </w:r>
      <w:r>
        <w:rPr>
          <w:spacing w:val="-3"/>
        </w:rPr>
        <w:t xml:space="preserve"> </w:t>
      </w:r>
      <w:r>
        <w:t>sua</w:t>
      </w:r>
      <w:r>
        <w:rPr>
          <w:spacing w:val="-4"/>
        </w:rPr>
        <w:t xml:space="preserve"> </w:t>
      </w:r>
      <w:r>
        <w:t xml:space="preserve">base cadastral, mediante a pesquisa e coleta de amostras no mercado imobiliário; e o segundo dispositivo (7º- B) carreou ao contribuinte o dever de impugnar a avaliação prévia assim realizada, caso com ela não concordasse, </w:t>
      </w:r>
      <w:r>
        <w:rPr>
          <w:i/>
        </w:rPr>
        <w:t>in verbis</w:t>
      </w:r>
      <w:r>
        <w:t>:</w:t>
      </w:r>
    </w:p>
    <w:p w:rsidR="007259F2" w:rsidRDefault="007259F2">
      <w:pPr>
        <w:pStyle w:val="Corpodetexto"/>
        <w:ind w:left="0" w:firstLine="0"/>
        <w:jc w:val="left"/>
        <w:rPr>
          <w:sz w:val="20"/>
        </w:rPr>
      </w:pPr>
    </w:p>
    <w:p w:rsidR="007259F2" w:rsidRDefault="007259F2">
      <w:pPr>
        <w:pStyle w:val="Corpodetexto"/>
        <w:ind w:left="0" w:firstLine="0"/>
        <w:jc w:val="left"/>
        <w:rPr>
          <w:sz w:val="20"/>
        </w:rPr>
      </w:pPr>
    </w:p>
    <w:p w:rsidR="007259F2" w:rsidRDefault="00DE6B1C">
      <w:pPr>
        <w:pStyle w:val="Corpodetexto"/>
        <w:spacing w:before="103"/>
        <w:ind w:left="0" w:firstLine="0"/>
        <w:jc w:val="left"/>
        <w:rPr>
          <w:sz w:val="20"/>
        </w:rPr>
      </w:pPr>
      <w:r w:rsidRPr="00DE6B1C">
        <w:rPr>
          <w:sz w:val="20"/>
        </w:rPr>
        <w:pict>
          <v:rect id="docshape119" o:spid="_x0000_s1109" style="position:absolute;margin-left:85.1pt;margin-top:17.9pt;width:2in;height:.7pt;z-index:-15677952;mso-wrap-distance-left:0;mso-wrap-distance-right:0;mso-position-horizontal-relative:page" fillcolor="black" stroked="f">
            <w10:wrap type="topAndBottom" anchorx="page"/>
          </v:rect>
        </w:pict>
      </w:r>
    </w:p>
    <w:p w:rsidR="007259F2" w:rsidRDefault="00E655B4">
      <w:pPr>
        <w:spacing w:before="96"/>
        <w:ind w:left="710" w:right="422"/>
        <w:rPr>
          <w:sz w:val="20"/>
        </w:rPr>
      </w:pPr>
      <w:r>
        <w:rPr>
          <w:sz w:val="20"/>
          <w:vertAlign w:val="superscript"/>
        </w:rPr>
        <w:t>10</w:t>
      </w:r>
      <w:r>
        <w:rPr>
          <w:sz w:val="20"/>
        </w:rPr>
        <w:t xml:space="preserve"> MACEDO, José</w:t>
      </w:r>
      <w:r>
        <w:rPr>
          <w:spacing w:val="-5"/>
          <w:sz w:val="20"/>
        </w:rPr>
        <w:t xml:space="preserve"> </w:t>
      </w:r>
      <w:r>
        <w:rPr>
          <w:sz w:val="20"/>
        </w:rPr>
        <w:t xml:space="preserve">Alberto Oliveira. </w:t>
      </w:r>
      <w:r>
        <w:rPr>
          <w:b/>
          <w:sz w:val="20"/>
        </w:rPr>
        <w:t>ITBI</w:t>
      </w:r>
      <w:r>
        <w:rPr>
          <w:sz w:val="20"/>
        </w:rPr>
        <w:t>: Aspectos Constitucionais e Infraconstitucionais. São Paulo: Quartier Latin, 2010, p. 267.</w:t>
      </w:r>
    </w:p>
    <w:p w:rsidR="007259F2" w:rsidRDefault="00E655B4">
      <w:pPr>
        <w:spacing w:before="1"/>
        <w:ind w:left="710"/>
        <w:rPr>
          <w:sz w:val="20"/>
        </w:rPr>
      </w:pPr>
      <w:r>
        <w:rPr>
          <w:sz w:val="20"/>
          <w:vertAlign w:val="superscript"/>
        </w:rPr>
        <w:t>11</w:t>
      </w:r>
      <w:r>
        <w:rPr>
          <w:spacing w:val="-11"/>
          <w:sz w:val="20"/>
        </w:rPr>
        <w:t xml:space="preserve"> </w:t>
      </w:r>
      <w:r>
        <w:rPr>
          <w:i/>
          <w:sz w:val="20"/>
        </w:rPr>
        <w:t>Ibidem</w:t>
      </w:r>
      <w:r>
        <w:rPr>
          <w:sz w:val="20"/>
        </w:rPr>
        <w:t>,</w:t>
      </w:r>
      <w:r>
        <w:rPr>
          <w:spacing w:val="-12"/>
          <w:sz w:val="20"/>
        </w:rPr>
        <w:t xml:space="preserve"> </w:t>
      </w:r>
      <w:r>
        <w:rPr>
          <w:sz w:val="20"/>
        </w:rPr>
        <w:t>p.263-</w:t>
      </w:r>
      <w:r>
        <w:rPr>
          <w:spacing w:val="-4"/>
          <w:sz w:val="20"/>
        </w:rPr>
        <w:t>264.</w:t>
      </w:r>
    </w:p>
    <w:p w:rsidR="007259F2" w:rsidRDefault="007259F2">
      <w:pPr>
        <w:rPr>
          <w:sz w:val="20"/>
        </w:rPr>
        <w:sectPr w:rsidR="007259F2">
          <w:pgSz w:w="11910" w:h="16840"/>
          <w:pgMar w:top="1600" w:right="708" w:bottom="1020" w:left="992" w:header="0" w:footer="820" w:gutter="0"/>
          <w:cols w:space="720"/>
        </w:sectPr>
      </w:pPr>
    </w:p>
    <w:p w:rsidR="007259F2" w:rsidRDefault="00E655B4">
      <w:pPr>
        <w:spacing w:before="77"/>
        <w:ind w:left="3120" w:right="560"/>
        <w:jc w:val="both"/>
        <w:rPr>
          <w:sz w:val="20"/>
        </w:rPr>
      </w:pPr>
      <w:r>
        <w:rPr>
          <w:sz w:val="20"/>
        </w:rPr>
        <w:lastRenderedPageBreak/>
        <w:t>Art. 7º A - A</w:t>
      </w:r>
      <w:r>
        <w:rPr>
          <w:spacing w:val="-1"/>
          <w:sz w:val="20"/>
        </w:rPr>
        <w:t xml:space="preserve"> </w:t>
      </w:r>
      <w:r>
        <w:rPr>
          <w:sz w:val="20"/>
        </w:rPr>
        <w:t>Secretaria Municipal de Fazenda tornará</w:t>
      </w:r>
      <w:r>
        <w:rPr>
          <w:spacing w:val="-1"/>
          <w:sz w:val="20"/>
        </w:rPr>
        <w:t xml:space="preserve"> </w:t>
      </w:r>
      <w:r>
        <w:rPr>
          <w:sz w:val="20"/>
        </w:rPr>
        <w:t>públicos os valores venais atualizados</w:t>
      </w:r>
      <w:r>
        <w:rPr>
          <w:spacing w:val="-2"/>
          <w:sz w:val="20"/>
        </w:rPr>
        <w:t xml:space="preserve"> </w:t>
      </w:r>
      <w:r>
        <w:rPr>
          <w:sz w:val="20"/>
        </w:rPr>
        <w:t>dos</w:t>
      </w:r>
      <w:r>
        <w:rPr>
          <w:spacing w:val="-2"/>
          <w:sz w:val="20"/>
        </w:rPr>
        <w:t xml:space="preserve"> </w:t>
      </w:r>
      <w:r>
        <w:rPr>
          <w:sz w:val="20"/>
        </w:rPr>
        <w:t>imóveis</w:t>
      </w:r>
      <w:r>
        <w:rPr>
          <w:spacing w:val="-2"/>
          <w:sz w:val="20"/>
        </w:rPr>
        <w:t xml:space="preserve"> </w:t>
      </w:r>
      <w:r>
        <w:rPr>
          <w:sz w:val="20"/>
        </w:rPr>
        <w:t>inscritos</w:t>
      </w:r>
      <w:r>
        <w:rPr>
          <w:spacing w:val="-2"/>
          <w:sz w:val="20"/>
        </w:rPr>
        <w:t xml:space="preserve"> </w:t>
      </w:r>
      <w:r>
        <w:rPr>
          <w:sz w:val="20"/>
        </w:rPr>
        <w:t>no</w:t>
      </w:r>
      <w:r>
        <w:rPr>
          <w:spacing w:val="-1"/>
          <w:sz w:val="20"/>
        </w:rPr>
        <w:t xml:space="preserve"> </w:t>
      </w:r>
      <w:r>
        <w:rPr>
          <w:sz w:val="20"/>
        </w:rPr>
        <w:t>Cadastro</w:t>
      </w:r>
      <w:r>
        <w:rPr>
          <w:spacing w:val="-1"/>
          <w:sz w:val="20"/>
        </w:rPr>
        <w:t xml:space="preserve"> </w:t>
      </w:r>
      <w:r>
        <w:rPr>
          <w:sz w:val="20"/>
        </w:rPr>
        <w:t>Imobiliário</w:t>
      </w:r>
      <w:r>
        <w:rPr>
          <w:spacing w:val="-1"/>
          <w:sz w:val="20"/>
        </w:rPr>
        <w:t xml:space="preserve"> </w:t>
      </w:r>
      <w:r>
        <w:rPr>
          <w:sz w:val="20"/>
        </w:rPr>
        <w:t>Fiscal</w:t>
      </w:r>
      <w:r>
        <w:rPr>
          <w:spacing w:val="-2"/>
          <w:sz w:val="20"/>
        </w:rPr>
        <w:t xml:space="preserve"> </w:t>
      </w:r>
      <w:r>
        <w:rPr>
          <w:sz w:val="20"/>
        </w:rPr>
        <w:t>do</w:t>
      </w:r>
      <w:r>
        <w:rPr>
          <w:spacing w:val="-1"/>
          <w:sz w:val="20"/>
        </w:rPr>
        <w:t xml:space="preserve"> </w:t>
      </w:r>
      <w:r>
        <w:rPr>
          <w:sz w:val="20"/>
        </w:rPr>
        <w:t>Município</w:t>
      </w:r>
      <w:r>
        <w:rPr>
          <w:spacing w:val="-1"/>
          <w:sz w:val="20"/>
        </w:rPr>
        <w:t xml:space="preserve"> </w:t>
      </w:r>
      <w:r>
        <w:rPr>
          <w:sz w:val="20"/>
        </w:rPr>
        <w:t>de São Paulo. (Incluído pela Lei nº 14256/2006)</w:t>
      </w:r>
    </w:p>
    <w:p w:rsidR="007259F2" w:rsidRDefault="00E655B4">
      <w:pPr>
        <w:ind w:left="3120" w:right="554"/>
        <w:jc w:val="both"/>
        <w:rPr>
          <w:sz w:val="20"/>
        </w:rPr>
      </w:pPr>
      <w:r>
        <w:rPr>
          <w:sz w:val="20"/>
        </w:rPr>
        <w:t>Art. 7º B - Caso não concorde com a base de cálculo do imposto divulgada pela Secretaria Municipal de Fazenda, nos termos de regulamentação própria, o contribuinte poderá requerer avaliação especial do imóvel, apresentando os</w:t>
      </w:r>
      <w:r>
        <w:rPr>
          <w:spacing w:val="80"/>
          <w:sz w:val="20"/>
        </w:rPr>
        <w:t xml:space="preserve"> </w:t>
      </w:r>
      <w:r>
        <w:rPr>
          <w:sz w:val="20"/>
        </w:rPr>
        <w:t>dados</w:t>
      </w:r>
      <w:r>
        <w:rPr>
          <w:spacing w:val="-1"/>
          <w:sz w:val="20"/>
        </w:rPr>
        <w:t xml:space="preserve"> </w:t>
      </w:r>
      <w:r>
        <w:rPr>
          <w:sz w:val="20"/>
        </w:rPr>
        <w:t>da</w:t>
      </w:r>
      <w:r>
        <w:rPr>
          <w:spacing w:val="-4"/>
          <w:sz w:val="20"/>
        </w:rPr>
        <w:t xml:space="preserve"> </w:t>
      </w:r>
      <w:r>
        <w:rPr>
          <w:sz w:val="20"/>
        </w:rPr>
        <w:t>transação</w:t>
      </w:r>
      <w:r>
        <w:rPr>
          <w:spacing w:val="-1"/>
          <w:sz w:val="20"/>
        </w:rPr>
        <w:t xml:space="preserve"> </w:t>
      </w:r>
      <w:r>
        <w:rPr>
          <w:sz w:val="20"/>
        </w:rPr>
        <w:t>e</w:t>
      </w:r>
      <w:r>
        <w:rPr>
          <w:spacing w:val="-3"/>
          <w:sz w:val="20"/>
        </w:rPr>
        <w:t xml:space="preserve"> </w:t>
      </w:r>
      <w:r>
        <w:rPr>
          <w:sz w:val="20"/>
        </w:rPr>
        <w:t>os</w:t>
      </w:r>
      <w:r>
        <w:rPr>
          <w:spacing w:val="-1"/>
          <w:sz w:val="20"/>
        </w:rPr>
        <w:t xml:space="preserve"> </w:t>
      </w:r>
      <w:r>
        <w:rPr>
          <w:sz w:val="20"/>
        </w:rPr>
        <w:t>fundamentos</w:t>
      </w:r>
      <w:r>
        <w:rPr>
          <w:spacing w:val="-1"/>
          <w:sz w:val="20"/>
        </w:rPr>
        <w:t xml:space="preserve"> </w:t>
      </w:r>
      <w:r>
        <w:rPr>
          <w:sz w:val="20"/>
        </w:rPr>
        <w:t>do</w:t>
      </w:r>
      <w:r>
        <w:rPr>
          <w:spacing w:val="-2"/>
          <w:sz w:val="20"/>
        </w:rPr>
        <w:t xml:space="preserve"> </w:t>
      </w:r>
      <w:r>
        <w:rPr>
          <w:sz w:val="20"/>
        </w:rPr>
        <w:t>pedido,</w:t>
      </w:r>
      <w:r>
        <w:rPr>
          <w:spacing w:val="-1"/>
          <w:sz w:val="20"/>
        </w:rPr>
        <w:t xml:space="preserve"> </w:t>
      </w:r>
      <w:r>
        <w:rPr>
          <w:sz w:val="20"/>
        </w:rPr>
        <w:t>na</w:t>
      </w:r>
      <w:r>
        <w:rPr>
          <w:spacing w:val="-4"/>
          <w:sz w:val="20"/>
        </w:rPr>
        <w:t xml:space="preserve"> </w:t>
      </w:r>
      <w:r>
        <w:rPr>
          <w:sz w:val="20"/>
        </w:rPr>
        <w:t>forma</w:t>
      </w:r>
      <w:r>
        <w:rPr>
          <w:spacing w:val="-1"/>
          <w:sz w:val="20"/>
        </w:rPr>
        <w:t xml:space="preserve"> </w:t>
      </w:r>
      <w:r>
        <w:rPr>
          <w:sz w:val="20"/>
        </w:rPr>
        <w:t>prevista</w:t>
      </w:r>
      <w:r>
        <w:rPr>
          <w:spacing w:val="-1"/>
          <w:sz w:val="20"/>
        </w:rPr>
        <w:t xml:space="preserve"> </w:t>
      </w:r>
      <w:r>
        <w:rPr>
          <w:sz w:val="20"/>
        </w:rPr>
        <w:t>em</w:t>
      </w:r>
      <w:r>
        <w:rPr>
          <w:spacing w:val="-2"/>
          <w:sz w:val="20"/>
        </w:rPr>
        <w:t xml:space="preserve"> </w:t>
      </w:r>
      <w:r>
        <w:rPr>
          <w:sz w:val="20"/>
        </w:rPr>
        <w:t>portaria</w:t>
      </w:r>
      <w:r>
        <w:rPr>
          <w:spacing w:val="-1"/>
          <w:sz w:val="20"/>
        </w:rPr>
        <w:t xml:space="preserve"> </w:t>
      </w:r>
      <w:r>
        <w:rPr>
          <w:sz w:val="20"/>
        </w:rPr>
        <w:t>da Secretaria Municipal de Fazenda, que poderá, inclusive, viabilizar a formulação do pedido por meio eletrônico. (Incluído pela Lei nº 14.256/2006)</w:t>
      </w:r>
    </w:p>
    <w:p w:rsidR="007259F2" w:rsidRDefault="007259F2">
      <w:pPr>
        <w:pStyle w:val="Corpodetexto"/>
        <w:spacing w:before="2"/>
        <w:ind w:left="0" w:firstLine="0"/>
        <w:jc w:val="left"/>
        <w:rPr>
          <w:sz w:val="20"/>
        </w:rPr>
      </w:pPr>
    </w:p>
    <w:p w:rsidR="007259F2" w:rsidRDefault="00E655B4">
      <w:pPr>
        <w:pStyle w:val="Corpodetexto"/>
        <w:ind w:right="571"/>
      </w:pPr>
      <w:r>
        <w:t>Ou seja, com a nova alteração, o valor venal passou a ser apurado mediante pesquisa e coleta amostral permanente dos preços correntes de transações e de ofertas à venda no mercado</w:t>
      </w:r>
      <w:r>
        <w:rPr>
          <w:spacing w:val="-4"/>
        </w:rPr>
        <w:t xml:space="preserve"> </w:t>
      </w:r>
      <w:r>
        <w:t>imobiliário,</w:t>
      </w:r>
      <w:r>
        <w:rPr>
          <w:spacing w:val="-6"/>
        </w:rPr>
        <w:t xml:space="preserve"> </w:t>
      </w:r>
      <w:r>
        <w:t>mediante</w:t>
      </w:r>
      <w:r>
        <w:rPr>
          <w:spacing w:val="-7"/>
        </w:rPr>
        <w:t xml:space="preserve"> </w:t>
      </w:r>
      <w:r>
        <w:t>inclusive</w:t>
      </w:r>
      <w:r>
        <w:rPr>
          <w:spacing w:val="-7"/>
        </w:rPr>
        <w:t xml:space="preserve"> </w:t>
      </w:r>
      <w:r>
        <w:t>participação</w:t>
      </w:r>
      <w:r>
        <w:rPr>
          <w:spacing w:val="-6"/>
        </w:rPr>
        <w:t xml:space="preserve"> </w:t>
      </w:r>
      <w:r>
        <w:t>da</w:t>
      </w:r>
      <w:r>
        <w:rPr>
          <w:spacing w:val="-8"/>
        </w:rPr>
        <w:t xml:space="preserve"> </w:t>
      </w:r>
      <w:r>
        <w:t xml:space="preserve">sociedade, nos termos preconizados pelo artigo 8º, §2º do Decreto Municipal nº 51.627/2010, </w:t>
      </w:r>
      <w:r>
        <w:rPr>
          <w:i/>
        </w:rPr>
        <w:t>in verbis</w:t>
      </w:r>
      <w:r>
        <w:t>:</w:t>
      </w:r>
    </w:p>
    <w:p w:rsidR="007259F2" w:rsidRDefault="00E655B4">
      <w:pPr>
        <w:spacing w:before="120"/>
        <w:ind w:left="3120" w:right="557"/>
        <w:jc w:val="both"/>
        <w:rPr>
          <w:sz w:val="20"/>
        </w:rPr>
      </w:pPr>
      <w:r>
        <w:rPr>
          <w:sz w:val="20"/>
        </w:rPr>
        <w:t>Art. 8º A Secretaria Municipal de Finanças tornará públicos os valores venais atualizados dos imóveis inscritos no</w:t>
      </w:r>
      <w:r>
        <w:rPr>
          <w:spacing w:val="-1"/>
          <w:sz w:val="20"/>
        </w:rPr>
        <w:t xml:space="preserve"> </w:t>
      </w:r>
      <w:r>
        <w:rPr>
          <w:sz w:val="20"/>
        </w:rPr>
        <w:t>Cadastro</w:t>
      </w:r>
      <w:r>
        <w:rPr>
          <w:spacing w:val="-2"/>
          <w:sz w:val="20"/>
        </w:rPr>
        <w:t xml:space="preserve"> </w:t>
      </w:r>
      <w:r>
        <w:rPr>
          <w:sz w:val="20"/>
        </w:rPr>
        <w:t>Imobiliário</w:t>
      </w:r>
      <w:r>
        <w:rPr>
          <w:spacing w:val="-2"/>
          <w:sz w:val="20"/>
        </w:rPr>
        <w:t xml:space="preserve"> </w:t>
      </w:r>
      <w:r>
        <w:rPr>
          <w:sz w:val="20"/>
        </w:rPr>
        <w:t>Fiscal</w:t>
      </w:r>
      <w:r>
        <w:rPr>
          <w:spacing w:val="-1"/>
          <w:sz w:val="20"/>
        </w:rPr>
        <w:t xml:space="preserve"> </w:t>
      </w:r>
      <w:r>
        <w:rPr>
          <w:sz w:val="20"/>
        </w:rPr>
        <w:t>do</w:t>
      </w:r>
      <w:r>
        <w:rPr>
          <w:spacing w:val="-3"/>
          <w:sz w:val="20"/>
        </w:rPr>
        <w:t xml:space="preserve"> </w:t>
      </w:r>
      <w:r>
        <w:rPr>
          <w:sz w:val="20"/>
        </w:rPr>
        <w:t>Município de São Paulo.</w:t>
      </w:r>
    </w:p>
    <w:p w:rsidR="007259F2" w:rsidRDefault="00E655B4">
      <w:pPr>
        <w:spacing w:before="1"/>
        <w:ind w:left="3120" w:right="557"/>
        <w:jc w:val="both"/>
        <w:rPr>
          <w:sz w:val="20"/>
        </w:rPr>
      </w:pPr>
      <w:r>
        <w:rPr>
          <w:sz w:val="20"/>
        </w:rPr>
        <w:t>§ 1º. A Secretaria Municipal de Finanças deverá estabelecer a forma de publicação dos valores venais a</w:t>
      </w:r>
      <w:r>
        <w:rPr>
          <w:spacing w:val="-1"/>
          <w:sz w:val="20"/>
        </w:rPr>
        <w:t xml:space="preserve"> </w:t>
      </w:r>
      <w:r>
        <w:rPr>
          <w:sz w:val="20"/>
        </w:rPr>
        <w:t>que</w:t>
      </w:r>
      <w:r>
        <w:rPr>
          <w:spacing w:val="-1"/>
          <w:sz w:val="20"/>
        </w:rPr>
        <w:t xml:space="preserve"> </w:t>
      </w:r>
      <w:r>
        <w:rPr>
          <w:sz w:val="20"/>
        </w:rPr>
        <w:t>se refere o "caput" deste artigo.</w:t>
      </w:r>
    </w:p>
    <w:p w:rsidR="007259F2" w:rsidRDefault="00E655B4">
      <w:pPr>
        <w:spacing w:before="4"/>
        <w:ind w:left="3120" w:right="554"/>
        <w:jc w:val="both"/>
        <w:rPr>
          <w:b/>
          <w:sz w:val="20"/>
        </w:rPr>
      </w:pPr>
      <w:r>
        <w:rPr>
          <w:b/>
          <w:sz w:val="20"/>
        </w:rPr>
        <w:t>§ 2º. Os valores venais dos imóveis serão atualizados periodicamente, de forma a assegurar sua compatibilização com os valores praticados no Município, através de pesquisa e coleta amostral permanente dos preços correntes das transações e das ofertas à venda do mercado imobiliário, inclusive com a participação da sociedade, representada no Conselho Municipal de Valores Imobiliários.</w:t>
      </w:r>
    </w:p>
    <w:p w:rsidR="007259F2" w:rsidRDefault="00E655B4">
      <w:pPr>
        <w:ind w:left="3120" w:right="558"/>
        <w:jc w:val="both"/>
        <w:rPr>
          <w:sz w:val="20"/>
        </w:rPr>
      </w:pPr>
      <w:r>
        <w:rPr>
          <w:sz w:val="20"/>
        </w:rPr>
        <w:t>§ 3º. Os valores venais dos imóveis a que se refere o "caput" deste artigo têm presunção</w:t>
      </w:r>
      <w:r>
        <w:rPr>
          <w:spacing w:val="3"/>
          <w:sz w:val="20"/>
        </w:rPr>
        <w:t xml:space="preserve"> </w:t>
      </w:r>
      <w:r>
        <w:rPr>
          <w:sz w:val="20"/>
        </w:rPr>
        <w:t>relativa</w:t>
      </w:r>
      <w:r>
        <w:rPr>
          <w:spacing w:val="4"/>
          <w:sz w:val="20"/>
        </w:rPr>
        <w:t xml:space="preserve"> </w:t>
      </w:r>
      <w:r>
        <w:rPr>
          <w:sz w:val="20"/>
        </w:rPr>
        <w:t>e</w:t>
      </w:r>
      <w:r>
        <w:rPr>
          <w:spacing w:val="3"/>
          <w:sz w:val="20"/>
        </w:rPr>
        <w:t xml:space="preserve"> </w:t>
      </w:r>
      <w:r>
        <w:rPr>
          <w:sz w:val="20"/>
        </w:rPr>
        <w:t>poderá</w:t>
      </w:r>
      <w:r>
        <w:rPr>
          <w:spacing w:val="3"/>
          <w:sz w:val="20"/>
        </w:rPr>
        <w:t xml:space="preserve"> </w:t>
      </w:r>
      <w:r>
        <w:rPr>
          <w:sz w:val="20"/>
        </w:rPr>
        <w:t>ser</w:t>
      </w:r>
      <w:r>
        <w:rPr>
          <w:spacing w:val="4"/>
          <w:sz w:val="20"/>
        </w:rPr>
        <w:t xml:space="preserve"> </w:t>
      </w:r>
      <w:r>
        <w:rPr>
          <w:sz w:val="20"/>
        </w:rPr>
        <w:t>afastada</w:t>
      </w:r>
      <w:r>
        <w:rPr>
          <w:spacing w:val="3"/>
          <w:sz w:val="20"/>
        </w:rPr>
        <w:t xml:space="preserve"> </w:t>
      </w:r>
      <w:r>
        <w:rPr>
          <w:sz w:val="20"/>
        </w:rPr>
        <w:t>se:</w:t>
      </w:r>
      <w:r>
        <w:rPr>
          <w:spacing w:val="3"/>
          <w:sz w:val="20"/>
        </w:rPr>
        <w:t xml:space="preserve"> </w:t>
      </w:r>
      <w:r>
        <w:rPr>
          <w:sz w:val="20"/>
        </w:rPr>
        <w:t>I</w:t>
      </w:r>
      <w:r>
        <w:rPr>
          <w:spacing w:val="8"/>
          <w:sz w:val="20"/>
        </w:rPr>
        <w:t xml:space="preserve"> </w:t>
      </w:r>
      <w:r>
        <w:rPr>
          <w:sz w:val="20"/>
        </w:rPr>
        <w:t>–</w:t>
      </w:r>
      <w:r>
        <w:rPr>
          <w:spacing w:val="4"/>
          <w:sz w:val="20"/>
        </w:rPr>
        <w:t xml:space="preserve"> </w:t>
      </w:r>
      <w:r>
        <w:rPr>
          <w:sz w:val="20"/>
        </w:rPr>
        <w:t>o</w:t>
      </w:r>
      <w:r>
        <w:rPr>
          <w:spacing w:val="4"/>
          <w:sz w:val="20"/>
        </w:rPr>
        <w:t xml:space="preserve"> </w:t>
      </w:r>
      <w:r>
        <w:rPr>
          <w:sz w:val="20"/>
        </w:rPr>
        <w:t>valor</w:t>
      </w:r>
      <w:r>
        <w:rPr>
          <w:spacing w:val="3"/>
          <w:sz w:val="20"/>
        </w:rPr>
        <w:t xml:space="preserve"> </w:t>
      </w:r>
      <w:r>
        <w:rPr>
          <w:sz w:val="20"/>
        </w:rPr>
        <w:t>da</w:t>
      </w:r>
      <w:r>
        <w:rPr>
          <w:spacing w:val="3"/>
          <w:sz w:val="20"/>
        </w:rPr>
        <w:t xml:space="preserve"> </w:t>
      </w:r>
      <w:r>
        <w:rPr>
          <w:sz w:val="20"/>
        </w:rPr>
        <w:t>transação</w:t>
      </w:r>
      <w:r>
        <w:rPr>
          <w:spacing w:val="4"/>
          <w:sz w:val="20"/>
        </w:rPr>
        <w:t xml:space="preserve"> </w:t>
      </w:r>
      <w:r>
        <w:rPr>
          <w:sz w:val="20"/>
        </w:rPr>
        <w:t>for</w:t>
      </w:r>
      <w:r>
        <w:rPr>
          <w:spacing w:val="3"/>
          <w:sz w:val="20"/>
        </w:rPr>
        <w:t xml:space="preserve"> </w:t>
      </w:r>
      <w:r>
        <w:rPr>
          <w:spacing w:val="-2"/>
          <w:sz w:val="20"/>
        </w:rPr>
        <w:t>superior;</w:t>
      </w:r>
    </w:p>
    <w:p w:rsidR="007259F2" w:rsidRDefault="00E655B4">
      <w:pPr>
        <w:ind w:left="3120" w:right="562"/>
        <w:jc w:val="both"/>
        <w:rPr>
          <w:sz w:val="20"/>
        </w:rPr>
      </w:pPr>
      <w:r>
        <w:rPr>
          <w:sz w:val="20"/>
        </w:rPr>
        <w:t>II – a Administração Tributária aferir base de cálculo diferente em</w:t>
      </w:r>
      <w:r>
        <w:rPr>
          <w:spacing w:val="40"/>
          <w:sz w:val="20"/>
        </w:rPr>
        <w:t xml:space="preserve"> </w:t>
      </w:r>
      <w:r>
        <w:rPr>
          <w:sz w:val="20"/>
        </w:rPr>
        <w:t>procedimentos relativos, dentre outros, a avaliação especial, arbitramento e impugnação de lançamento; III – a Administração Tributária constatar erro, fraude ou omissão, por parte do sujeito passivo, ou terceiro, em benefício daquele, na declaração dos dados do imóvel inscrito no Cadastro Imobiliário Fiscal e utilizados no cálculo do valor venal divulgado.</w:t>
      </w:r>
    </w:p>
    <w:p w:rsidR="007259F2" w:rsidRDefault="00E655B4">
      <w:pPr>
        <w:ind w:left="3120" w:right="549"/>
        <w:jc w:val="both"/>
        <w:rPr>
          <w:sz w:val="20"/>
        </w:rPr>
      </w:pPr>
      <w:r>
        <w:rPr>
          <w:sz w:val="20"/>
        </w:rPr>
        <w:t>§ 4º. Na falta da divulgação do valor venal do imóvel até a data prevista para o pagamento do Imposto, o contribuinte deverá solicitar à unidade competente da Secretaria Municipal de Finanças a disponibilização do referido valor.</w:t>
      </w:r>
      <w:r>
        <w:rPr>
          <w:spacing w:val="40"/>
          <w:sz w:val="20"/>
        </w:rPr>
        <w:t xml:space="preserve"> </w:t>
      </w:r>
      <w:r>
        <w:rPr>
          <w:sz w:val="20"/>
        </w:rPr>
        <w:t>(...)</w:t>
      </w:r>
      <w:r>
        <w:rPr>
          <w:spacing w:val="80"/>
          <w:sz w:val="20"/>
        </w:rPr>
        <w:t xml:space="preserve"> </w:t>
      </w:r>
      <w:r>
        <w:rPr>
          <w:sz w:val="20"/>
        </w:rPr>
        <w:t>(Grifo acrescido).</w:t>
      </w:r>
    </w:p>
    <w:p w:rsidR="007259F2" w:rsidRDefault="00E655B4">
      <w:pPr>
        <w:pStyle w:val="Corpodetexto"/>
        <w:spacing w:before="225"/>
        <w:ind w:right="422"/>
      </w:pPr>
      <w:r>
        <w:t>Tais alterações foram recebidas, pelos estudiosos do Direito, com muitas críticas. Dentre as principais questões debatidas, pontuava-se que a legislação municipal não poderia atribuir ao Poder Executivo (Secretaria</w:t>
      </w:r>
      <w:r>
        <w:rPr>
          <w:spacing w:val="-2"/>
        </w:rPr>
        <w:t xml:space="preserve"> </w:t>
      </w:r>
      <w:r>
        <w:t>Municipal de</w:t>
      </w:r>
      <w:r>
        <w:rPr>
          <w:spacing w:val="-4"/>
        </w:rPr>
        <w:t xml:space="preserve"> </w:t>
      </w:r>
      <w:r>
        <w:t>Finanças) a</w:t>
      </w:r>
      <w:r>
        <w:rPr>
          <w:spacing w:val="-9"/>
        </w:rPr>
        <w:t xml:space="preserve"> </w:t>
      </w:r>
      <w:r>
        <w:t>prerrogativa</w:t>
      </w:r>
      <w:r>
        <w:rPr>
          <w:spacing w:val="-8"/>
        </w:rPr>
        <w:t xml:space="preserve"> </w:t>
      </w:r>
      <w:r>
        <w:t>de</w:t>
      </w:r>
      <w:r>
        <w:rPr>
          <w:spacing w:val="-7"/>
        </w:rPr>
        <w:t xml:space="preserve"> </w:t>
      </w:r>
      <w:r>
        <w:t>determinar a base</w:t>
      </w:r>
      <w:r>
        <w:rPr>
          <w:spacing w:val="-6"/>
        </w:rPr>
        <w:t xml:space="preserve"> </w:t>
      </w:r>
      <w:r>
        <w:t>de</w:t>
      </w:r>
      <w:r>
        <w:rPr>
          <w:spacing w:val="-7"/>
        </w:rPr>
        <w:t xml:space="preserve"> </w:t>
      </w:r>
      <w:r>
        <w:t>cálculo do</w:t>
      </w:r>
      <w:r>
        <w:rPr>
          <w:spacing w:val="-7"/>
        </w:rPr>
        <w:t xml:space="preserve"> </w:t>
      </w:r>
      <w:r>
        <w:t>imposto, tendo em vista</w:t>
      </w:r>
      <w:r>
        <w:rPr>
          <w:spacing w:val="-7"/>
        </w:rPr>
        <w:t xml:space="preserve"> </w:t>
      </w:r>
      <w:r>
        <w:t>se</w:t>
      </w:r>
      <w:r>
        <w:rPr>
          <w:spacing w:val="-7"/>
        </w:rPr>
        <w:t xml:space="preserve"> </w:t>
      </w:r>
      <w:r>
        <w:t>tratar de matéria privativa de lei complementar, nos termos do artigo 146 da Constituição Federal.</w:t>
      </w:r>
      <w:r>
        <w:rPr>
          <w:vertAlign w:val="superscript"/>
        </w:rPr>
        <w:t>12</w:t>
      </w:r>
    </w:p>
    <w:p w:rsidR="007259F2" w:rsidRDefault="00E655B4">
      <w:pPr>
        <w:pStyle w:val="Corpodetexto"/>
        <w:ind w:right="420"/>
      </w:pPr>
      <w:r>
        <w:t>No</w:t>
      </w:r>
      <w:r>
        <w:rPr>
          <w:spacing w:val="-8"/>
        </w:rPr>
        <w:t xml:space="preserve"> </w:t>
      </w:r>
      <w:r>
        <w:t>mais, asseveraram,</w:t>
      </w:r>
      <w:r>
        <w:rPr>
          <w:spacing w:val="-2"/>
        </w:rPr>
        <w:t xml:space="preserve"> </w:t>
      </w:r>
      <w:r>
        <w:t>também,</w:t>
      </w:r>
      <w:r>
        <w:rPr>
          <w:spacing w:val="-2"/>
        </w:rPr>
        <w:t xml:space="preserve"> </w:t>
      </w:r>
      <w:r>
        <w:t>que</w:t>
      </w:r>
      <w:r>
        <w:rPr>
          <w:spacing w:val="-9"/>
        </w:rPr>
        <w:t xml:space="preserve"> </w:t>
      </w:r>
      <w:r>
        <w:t>tais modificações acabaram</w:t>
      </w:r>
      <w:r>
        <w:rPr>
          <w:spacing w:val="-2"/>
        </w:rPr>
        <w:t xml:space="preserve"> </w:t>
      </w:r>
      <w:r>
        <w:t>por</w:t>
      </w:r>
      <w:r>
        <w:rPr>
          <w:spacing w:val="-6"/>
        </w:rPr>
        <w:t xml:space="preserve"> </w:t>
      </w:r>
      <w:r>
        <w:t>criar um diferente conceito</w:t>
      </w:r>
      <w:r>
        <w:rPr>
          <w:spacing w:val="-7"/>
        </w:rPr>
        <w:t xml:space="preserve"> </w:t>
      </w:r>
      <w:r>
        <w:t>de</w:t>
      </w:r>
      <w:r>
        <w:rPr>
          <w:spacing w:val="-3"/>
        </w:rPr>
        <w:t xml:space="preserve"> </w:t>
      </w:r>
      <w:r>
        <w:t>valor</w:t>
      </w:r>
      <w:r>
        <w:rPr>
          <w:spacing w:val="-2"/>
        </w:rPr>
        <w:t xml:space="preserve"> </w:t>
      </w:r>
      <w:r>
        <w:t>venal, denominado</w:t>
      </w:r>
      <w:r>
        <w:rPr>
          <w:spacing w:val="-2"/>
        </w:rPr>
        <w:t xml:space="preserve"> </w:t>
      </w:r>
      <w:r>
        <w:t>valor</w:t>
      </w:r>
      <w:r>
        <w:rPr>
          <w:spacing w:val="-2"/>
        </w:rPr>
        <w:t xml:space="preserve"> </w:t>
      </w:r>
      <w:r>
        <w:t>venal de</w:t>
      </w:r>
      <w:r>
        <w:rPr>
          <w:spacing w:val="-7"/>
        </w:rPr>
        <w:t xml:space="preserve"> </w:t>
      </w:r>
      <w:r>
        <w:t>referência,</w:t>
      </w:r>
      <w:r>
        <w:rPr>
          <w:spacing w:val="-2"/>
        </w:rPr>
        <w:t xml:space="preserve"> </w:t>
      </w:r>
      <w:r>
        <w:t>que</w:t>
      </w:r>
      <w:r>
        <w:rPr>
          <w:spacing w:val="-3"/>
        </w:rPr>
        <w:t xml:space="preserve"> </w:t>
      </w:r>
      <w:r>
        <w:t>não</w:t>
      </w:r>
      <w:r>
        <w:rPr>
          <w:spacing w:val="-1"/>
        </w:rPr>
        <w:t xml:space="preserve"> </w:t>
      </w:r>
      <w:r>
        <w:t>se</w:t>
      </w:r>
      <w:r>
        <w:rPr>
          <w:spacing w:val="18"/>
        </w:rPr>
        <w:t xml:space="preserve"> </w:t>
      </w:r>
      <w:r>
        <w:t>aproximava</w:t>
      </w:r>
      <w:r>
        <w:rPr>
          <w:spacing w:val="-15"/>
        </w:rPr>
        <w:t xml:space="preserve"> </w:t>
      </w:r>
      <w:r>
        <w:t>nem</w:t>
      </w:r>
      <w:r>
        <w:rPr>
          <w:spacing w:val="-14"/>
        </w:rPr>
        <w:t xml:space="preserve"> </w:t>
      </w:r>
      <w:r>
        <w:t>do valor de</w:t>
      </w:r>
      <w:r>
        <w:rPr>
          <w:spacing w:val="-8"/>
        </w:rPr>
        <w:t xml:space="preserve"> </w:t>
      </w:r>
      <w:r>
        <w:t>mercado, e</w:t>
      </w:r>
      <w:r>
        <w:rPr>
          <w:spacing w:val="-8"/>
        </w:rPr>
        <w:t xml:space="preserve"> </w:t>
      </w:r>
      <w:r>
        <w:t>nem do</w:t>
      </w:r>
      <w:r>
        <w:rPr>
          <w:spacing w:val="-7"/>
        </w:rPr>
        <w:t xml:space="preserve"> </w:t>
      </w:r>
      <w:r>
        <w:t>valor venal do</w:t>
      </w:r>
      <w:r>
        <w:rPr>
          <w:spacing w:val="-5"/>
        </w:rPr>
        <w:t xml:space="preserve"> </w:t>
      </w:r>
      <w:r>
        <w:t>IPTU, acarretando</w:t>
      </w:r>
      <w:r>
        <w:rPr>
          <w:spacing w:val="-7"/>
        </w:rPr>
        <w:t xml:space="preserve"> </w:t>
      </w:r>
      <w:r>
        <w:t>um aumento na base de cálculo do tributo, em desconformidade com o princípio da legalidade tributária, previsto no artigo 150,</w:t>
      </w:r>
      <w:r>
        <w:rPr>
          <w:spacing w:val="40"/>
        </w:rPr>
        <w:t xml:space="preserve"> </w:t>
      </w:r>
      <w:r>
        <w:t>inciso</w:t>
      </w:r>
      <w:r>
        <w:rPr>
          <w:spacing w:val="40"/>
        </w:rPr>
        <w:t xml:space="preserve"> </w:t>
      </w:r>
      <w:r>
        <w:t>I,</w:t>
      </w:r>
      <w:r>
        <w:rPr>
          <w:spacing w:val="40"/>
        </w:rPr>
        <w:t xml:space="preserve"> </w:t>
      </w:r>
      <w:r>
        <w:t>da Constituição</w:t>
      </w:r>
      <w:r>
        <w:rPr>
          <w:spacing w:val="40"/>
        </w:rPr>
        <w:t xml:space="preserve"> </w:t>
      </w:r>
      <w:r>
        <w:t>Federal,</w:t>
      </w:r>
      <w:r>
        <w:rPr>
          <w:spacing w:val="40"/>
        </w:rPr>
        <w:t xml:space="preserve"> </w:t>
      </w:r>
      <w:r>
        <w:t>bem como artigo 97 do Código Tributário Nacional que estabelece a exigência de lei para majoração de tributo.</w:t>
      </w:r>
      <w:r>
        <w:rPr>
          <w:vertAlign w:val="superscript"/>
        </w:rPr>
        <w:t>13</w:t>
      </w:r>
    </w:p>
    <w:p w:rsidR="007259F2" w:rsidRDefault="00DE6B1C">
      <w:pPr>
        <w:pStyle w:val="Corpodetexto"/>
        <w:spacing w:before="62"/>
        <w:ind w:left="0" w:firstLine="0"/>
        <w:jc w:val="left"/>
        <w:rPr>
          <w:sz w:val="20"/>
        </w:rPr>
      </w:pPr>
      <w:r w:rsidRPr="00DE6B1C">
        <w:rPr>
          <w:sz w:val="20"/>
        </w:rPr>
        <w:pict>
          <v:rect id="docshape120" o:spid="_x0000_s1108" style="position:absolute;margin-left:85.1pt;margin-top:15.8pt;width:2in;height:.7pt;z-index:-15677440;mso-wrap-distance-left:0;mso-wrap-distance-right:0;mso-position-horizontal-relative:page" fillcolor="black" stroked="f">
            <w10:wrap type="topAndBottom" anchorx="page"/>
          </v:rect>
        </w:pict>
      </w:r>
    </w:p>
    <w:p w:rsidR="007259F2" w:rsidRDefault="00E655B4">
      <w:pPr>
        <w:spacing w:before="214"/>
        <w:ind w:left="710" w:right="565"/>
        <w:jc w:val="both"/>
        <w:rPr>
          <w:sz w:val="20"/>
        </w:rPr>
      </w:pPr>
      <w:r>
        <w:rPr>
          <w:sz w:val="20"/>
          <w:vertAlign w:val="superscript"/>
        </w:rPr>
        <w:t>12</w:t>
      </w:r>
      <w:r>
        <w:rPr>
          <w:sz w:val="20"/>
        </w:rPr>
        <w:t xml:space="preserve"> Art. 146 - Cabe à lei complementar: (...) III - estabelecer normas gerais em matéria de legislação tributária, especialmente sobre: a) definição de tributos e de suas espécies, bem como em relação aos impostos discriminados nesta constituição, a dos respectivos fatos geradores, bases de cálculo e contribuintes.</w:t>
      </w:r>
    </w:p>
    <w:p w:rsidR="007259F2" w:rsidRDefault="00E655B4">
      <w:pPr>
        <w:ind w:left="710" w:right="423"/>
        <w:jc w:val="both"/>
        <w:rPr>
          <w:sz w:val="20"/>
        </w:rPr>
      </w:pPr>
      <w:r>
        <w:rPr>
          <w:sz w:val="20"/>
          <w:vertAlign w:val="superscript"/>
        </w:rPr>
        <w:t>13</w:t>
      </w:r>
      <w:r>
        <w:rPr>
          <w:spacing w:val="-2"/>
          <w:sz w:val="20"/>
        </w:rPr>
        <w:t xml:space="preserve"> </w:t>
      </w:r>
      <w:r>
        <w:rPr>
          <w:sz w:val="20"/>
        </w:rPr>
        <w:t>Art. 150 - Sem</w:t>
      </w:r>
      <w:r>
        <w:rPr>
          <w:spacing w:val="-1"/>
          <w:sz w:val="20"/>
        </w:rPr>
        <w:t xml:space="preserve"> </w:t>
      </w:r>
      <w:r>
        <w:rPr>
          <w:sz w:val="20"/>
        </w:rPr>
        <w:t>prejuízo de outras garantias asseguradas ao contribuinte, é vedado à União, aos Estados, ao Distrito Federal e aos Municípios: I -</w:t>
      </w:r>
      <w:r>
        <w:rPr>
          <w:spacing w:val="-1"/>
          <w:sz w:val="20"/>
        </w:rPr>
        <w:t xml:space="preserve"> </w:t>
      </w:r>
      <w:r>
        <w:rPr>
          <w:sz w:val="20"/>
        </w:rPr>
        <w:t>exigir ou</w:t>
      </w:r>
      <w:r>
        <w:rPr>
          <w:spacing w:val="-1"/>
          <w:sz w:val="20"/>
        </w:rPr>
        <w:t xml:space="preserve"> </w:t>
      </w:r>
      <w:r>
        <w:rPr>
          <w:sz w:val="20"/>
        </w:rPr>
        <w:t>aumentar tributo sem</w:t>
      </w:r>
      <w:r>
        <w:rPr>
          <w:spacing w:val="-1"/>
          <w:sz w:val="20"/>
        </w:rPr>
        <w:t xml:space="preserve"> </w:t>
      </w:r>
      <w:r>
        <w:rPr>
          <w:sz w:val="20"/>
        </w:rPr>
        <w:t>lei que o estabeleça; (...); Art. 97 -</w:t>
      </w:r>
      <w:r>
        <w:rPr>
          <w:spacing w:val="-4"/>
          <w:sz w:val="20"/>
        </w:rPr>
        <w:t xml:space="preserve"> </w:t>
      </w:r>
      <w:r>
        <w:rPr>
          <w:sz w:val="20"/>
        </w:rPr>
        <w:t>Somente lei</w:t>
      </w:r>
      <w:r>
        <w:rPr>
          <w:spacing w:val="20"/>
          <w:sz w:val="20"/>
        </w:rPr>
        <w:t xml:space="preserve"> </w:t>
      </w:r>
      <w:r>
        <w:rPr>
          <w:sz w:val="20"/>
        </w:rPr>
        <w:t>poderá</w:t>
      </w:r>
      <w:r>
        <w:rPr>
          <w:spacing w:val="21"/>
          <w:sz w:val="20"/>
        </w:rPr>
        <w:t xml:space="preserve"> </w:t>
      </w:r>
      <w:r>
        <w:rPr>
          <w:sz w:val="20"/>
        </w:rPr>
        <w:t>estabelecer:</w:t>
      </w:r>
      <w:r>
        <w:rPr>
          <w:spacing w:val="20"/>
          <w:sz w:val="20"/>
        </w:rPr>
        <w:t xml:space="preserve"> </w:t>
      </w:r>
      <w:r>
        <w:rPr>
          <w:sz w:val="20"/>
        </w:rPr>
        <w:t>I</w:t>
      </w:r>
      <w:r>
        <w:rPr>
          <w:spacing w:val="24"/>
          <w:sz w:val="20"/>
        </w:rPr>
        <w:t xml:space="preserve"> </w:t>
      </w:r>
      <w:r>
        <w:rPr>
          <w:sz w:val="20"/>
        </w:rPr>
        <w:t>-</w:t>
      </w:r>
      <w:r>
        <w:rPr>
          <w:spacing w:val="22"/>
          <w:sz w:val="20"/>
        </w:rPr>
        <w:t xml:space="preserve"> </w:t>
      </w:r>
      <w:r>
        <w:rPr>
          <w:sz w:val="20"/>
        </w:rPr>
        <w:t>A</w:t>
      </w:r>
      <w:r>
        <w:rPr>
          <w:spacing w:val="20"/>
          <w:sz w:val="20"/>
        </w:rPr>
        <w:t xml:space="preserve"> </w:t>
      </w:r>
      <w:r>
        <w:rPr>
          <w:sz w:val="20"/>
        </w:rPr>
        <w:t>instituição</w:t>
      </w:r>
      <w:r>
        <w:rPr>
          <w:spacing w:val="18"/>
          <w:sz w:val="20"/>
        </w:rPr>
        <w:t xml:space="preserve"> </w:t>
      </w:r>
      <w:r>
        <w:rPr>
          <w:sz w:val="20"/>
        </w:rPr>
        <w:t>de</w:t>
      </w:r>
      <w:r>
        <w:rPr>
          <w:spacing w:val="21"/>
          <w:sz w:val="20"/>
        </w:rPr>
        <w:t xml:space="preserve"> </w:t>
      </w:r>
      <w:r>
        <w:rPr>
          <w:sz w:val="20"/>
        </w:rPr>
        <w:t>tributos,</w:t>
      </w:r>
      <w:r>
        <w:rPr>
          <w:spacing w:val="20"/>
          <w:sz w:val="20"/>
        </w:rPr>
        <w:t xml:space="preserve"> </w:t>
      </w:r>
      <w:r>
        <w:rPr>
          <w:sz w:val="20"/>
        </w:rPr>
        <w:t>ou</w:t>
      </w:r>
      <w:r>
        <w:rPr>
          <w:spacing w:val="19"/>
          <w:sz w:val="20"/>
        </w:rPr>
        <w:t xml:space="preserve"> </w:t>
      </w:r>
      <w:r>
        <w:rPr>
          <w:sz w:val="20"/>
        </w:rPr>
        <w:t>a</w:t>
      </w:r>
      <w:r>
        <w:rPr>
          <w:spacing w:val="22"/>
          <w:sz w:val="20"/>
        </w:rPr>
        <w:t xml:space="preserve"> </w:t>
      </w:r>
      <w:r>
        <w:rPr>
          <w:sz w:val="20"/>
        </w:rPr>
        <w:t>sua</w:t>
      </w:r>
      <w:r>
        <w:rPr>
          <w:spacing w:val="19"/>
          <w:sz w:val="20"/>
        </w:rPr>
        <w:t xml:space="preserve"> </w:t>
      </w:r>
      <w:r>
        <w:rPr>
          <w:sz w:val="20"/>
        </w:rPr>
        <w:t>extinção;</w:t>
      </w:r>
      <w:r>
        <w:rPr>
          <w:spacing w:val="21"/>
          <w:sz w:val="20"/>
        </w:rPr>
        <w:t xml:space="preserve"> </w:t>
      </w:r>
      <w:r>
        <w:rPr>
          <w:sz w:val="20"/>
        </w:rPr>
        <w:t>II</w:t>
      </w:r>
      <w:r>
        <w:rPr>
          <w:spacing w:val="23"/>
          <w:sz w:val="20"/>
        </w:rPr>
        <w:t xml:space="preserve"> </w:t>
      </w:r>
      <w:r>
        <w:rPr>
          <w:sz w:val="20"/>
        </w:rPr>
        <w:t>-</w:t>
      </w:r>
      <w:r>
        <w:rPr>
          <w:spacing w:val="22"/>
          <w:sz w:val="20"/>
        </w:rPr>
        <w:t xml:space="preserve"> </w:t>
      </w:r>
      <w:r>
        <w:rPr>
          <w:sz w:val="20"/>
        </w:rPr>
        <w:t>A</w:t>
      </w:r>
      <w:r>
        <w:rPr>
          <w:spacing w:val="14"/>
          <w:sz w:val="20"/>
        </w:rPr>
        <w:t xml:space="preserve"> </w:t>
      </w:r>
      <w:r>
        <w:rPr>
          <w:sz w:val="20"/>
        </w:rPr>
        <w:t>majoração</w:t>
      </w:r>
      <w:r>
        <w:rPr>
          <w:spacing w:val="23"/>
          <w:sz w:val="20"/>
        </w:rPr>
        <w:t xml:space="preserve"> </w:t>
      </w:r>
      <w:r>
        <w:rPr>
          <w:sz w:val="20"/>
        </w:rPr>
        <w:t>de</w:t>
      </w:r>
      <w:r>
        <w:rPr>
          <w:spacing w:val="21"/>
          <w:sz w:val="20"/>
        </w:rPr>
        <w:t xml:space="preserve"> </w:t>
      </w:r>
      <w:r>
        <w:rPr>
          <w:sz w:val="20"/>
        </w:rPr>
        <w:t>tributos,</w:t>
      </w:r>
      <w:r>
        <w:rPr>
          <w:spacing w:val="21"/>
          <w:sz w:val="20"/>
        </w:rPr>
        <w:t xml:space="preserve"> </w:t>
      </w:r>
      <w:r>
        <w:rPr>
          <w:sz w:val="20"/>
        </w:rPr>
        <w:t>ou</w:t>
      </w:r>
      <w:r>
        <w:rPr>
          <w:spacing w:val="18"/>
          <w:sz w:val="20"/>
        </w:rPr>
        <w:t xml:space="preserve"> </w:t>
      </w:r>
      <w:r>
        <w:rPr>
          <w:sz w:val="20"/>
        </w:rPr>
        <w:t>a</w:t>
      </w:r>
      <w:r>
        <w:rPr>
          <w:spacing w:val="21"/>
          <w:sz w:val="20"/>
        </w:rPr>
        <w:t xml:space="preserve"> </w:t>
      </w:r>
      <w:r>
        <w:rPr>
          <w:spacing w:val="-5"/>
          <w:sz w:val="20"/>
        </w:rPr>
        <w:t>sua</w:t>
      </w:r>
    </w:p>
    <w:p w:rsidR="007259F2" w:rsidRDefault="007259F2">
      <w:pPr>
        <w:jc w:val="both"/>
        <w:rPr>
          <w:sz w:val="20"/>
        </w:rPr>
        <w:sectPr w:rsidR="007259F2">
          <w:pgSz w:w="11910" w:h="16840"/>
          <w:pgMar w:top="1600" w:right="708" w:bottom="1020" w:left="992" w:header="0" w:footer="820" w:gutter="0"/>
          <w:cols w:space="720"/>
        </w:sectPr>
      </w:pPr>
    </w:p>
    <w:p w:rsidR="007259F2" w:rsidRDefault="00E655B4">
      <w:pPr>
        <w:pStyle w:val="Corpodetexto"/>
        <w:spacing w:before="75"/>
        <w:ind w:right="423"/>
      </w:pPr>
      <w:r>
        <w:lastRenderedPageBreak/>
        <w:t>Diante da repercussão ocasionada pela adoção do valor venal de referência pela Municipalidade, o Órgão Especial do Tribunal de Justiça do Estado de São Paulo, nos autos</w:t>
      </w:r>
      <w:r>
        <w:rPr>
          <w:spacing w:val="40"/>
        </w:rPr>
        <w:t xml:space="preserve"> </w:t>
      </w:r>
      <w:r>
        <w:t>da Arguição de Inconstitucionalidade n.º 0056693-19.2014.8.26.0000, reconheceu a inconstitucionalidade dos artigos 7º A e 7º B da Lei Municipal n.º 11.154/1991 e determinou que, “por ocasião do registro das escrituras públicas de compra e venda, não poderia ser exigido o recolhimento do ITBI segundo um valor venal de referência”, veja-se:</w:t>
      </w:r>
    </w:p>
    <w:p w:rsidR="007259F2" w:rsidRDefault="007259F2">
      <w:pPr>
        <w:pStyle w:val="Corpodetexto"/>
        <w:spacing w:before="2"/>
        <w:ind w:left="0" w:firstLine="0"/>
        <w:jc w:val="left"/>
      </w:pPr>
    </w:p>
    <w:p w:rsidR="007259F2" w:rsidRDefault="00E655B4">
      <w:pPr>
        <w:ind w:left="3120" w:right="549"/>
        <w:jc w:val="both"/>
        <w:rPr>
          <w:sz w:val="20"/>
        </w:rPr>
      </w:pPr>
      <w:r>
        <w:rPr>
          <w:sz w:val="20"/>
        </w:rPr>
        <w:t>(...) Para aplicação do conceito “valor pelo qual o bem</w:t>
      </w:r>
      <w:r>
        <w:rPr>
          <w:spacing w:val="-1"/>
          <w:sz w:val="20"/>
        </w:rPr>
        <w:t xml:space="preserve"> </w:t>
      </w:r>
      <w:r>
        <w:rPr>
          <w:sz w:val="20"/>
        </w:rPr>
        <w:t>ou direito seria negociado à vista, em condições normais de mercado”, acrescentou-se à legislação municipal os artigos 7º- A e 7º- B. O primeiro (7º- A) atribuiu à Secretaria Municipal de Finanças a apuração periódica dos valores venais atualizados dos imóveis inseridos em sua base cadastral, mediante a pesquisa e coleta de</w:t>
      </w:r>
      <w:r>
        <w:rPr>
          <w:spacing w:val="40"/>
          <w:sz w:val="20"/>
        </w:rPr>
        <w:t xml:space="preserve"> </w:t>
      </w:r>
      <w:r>
        <w:rPr>
          <w:sz w:val="20"/>
        </w:rPr>
        <w:t>amostras no mercado imobiliário; e o segundo dispositivo (7º- B) carreou ao contribuinte o dever de impugnar a avaliação prévia assim realizada, caso com</w:t>
      </w:r>
      <w:r>
        <w:rPr>
          <w:spacing w:val="40"/>
          <w:sz w:val="20"/>
        </w:rPr>
        <w:t xml:space="preserve"> </w:t>
      </w:r>
      <w:r>
        <w:rPr>
          <w:sz w:val="20"/>
        </w:rPr>
        <w:t>ela não concorde. Na verdade, tais comandos legais padecem dos vícios de inconstitucionalidade, por</w:t>
      </w:r>
      <w:r>
        <w:rPr>
          <w:spacing w:val="-7"/>
          <w:sz w:val="20"/>
        </w:rPr>
        <w:t xml:space="preserve"> </w:t>
      </w:r>
      <w:r>
        <w:rPr>
          <w:sz w:val="20"/>
        </w:rPr>
        <w:t>afronta</w:t>
      </w:r>
      <w:r>
        <w:rPr>
          <w:spacing w:val="-9"/>
          <w:sz w:val="20"/>
        </w:rPr>
        <w:t xml:space="preserve"> </w:t>
      </w:r>
      <w:r>
        <w:rPr>
          <w:sz w:val="20"/>
        </w:rPr>
        <w:t>ao artigo 150, inciso I, da Constituição Federal e</w:t>
      </w:r>
      <w:r>
        <w:rPr>
          <w:spacing w:val="-2"/>
          <w:sz w:val="20"/>
        </w:rPr>
        <w:t xml:space="preserve"> </w:t>
      </w:r>
      <w:r>
        <w:rPr>
          <w:sz w:val="20"/>
        </w:rPr>
        <w:t>ao</w:t>
      </w:r>
      <w:r>
        <w:rPr>
          <w:spacing w:val="-3"/>
          <w:sz w:val="20"/>
        </w:rPr>
        <w:t xml:space="preserve"> </w:t>
      </w:r>
      <w:r>
        <w:rPr>
          <w:sz w:val="20"/>
        </w:rPr>
        <w:t>princípio</w:t>
      </w:r>
      <w:r>
        <w:rPr>
          <w:spacing w:val="-1"/>
          <w:sz w:val="20"/>
        </w:rPr>
        <w:t xml:space="preserve"> </w:t>
      </w:r>
      <w:r>
        <w:rPr>
          <w:sz w:val="20"/>
        </w:rPr>
        <w:t>da</w:t>
      </w:r>
      <w:r>
        <w:rPr>
          <w:spacing w:val="-2"/>
          <w:sz w:val="20"/>
        </w:rPr>
        <w:t xml:space="preserve"> </w:t>
      </w:r>
      <w:r>
        <w:rPr>
          <w:sz w:val="20"/>
        </w:rPr>
        <w:t>segurança</w:t>
      </w:r>
      <w:r>
        <w:rPr>
          <w:spacing w:val="-1"/>
          <w:sz w:val="20"/>
        </w:rPr>
        <w:t xml:space="preserve"> </w:t>
      </w:r>
      <w:r>
        <w:rPr>
          <w:sz w:val="20"/>
        </w:rPr>
        <w:t>jurídica.</w:t>
      </w:r>
      <w:r>
        <w:rPr>
          <w:spacing w:val="-1"/>
          <w:sz w:val="20"/>
        </w:rPr>
        <w:t xml:space="preserve"> </w:t>
      </w:r>
      <w:r>
        <w:rPr>
          <w:sz w:val="20"/>
        </w:rPr>
        <w:t>Com</w:t>
      </w:r>
      <w:r>
        <w:rPr>
          <w:spacing w:val="-5"/>
          <w:sz w:val="20"/>
        </w:rPr>
        <w:t xml:space="preserve"> </w:t>
      </w:r>
      <w:r>
        <w:rPr>
          <w:sz w:val="20"/>
        </w:rPr>
        <w:t>efeito,</w:t>
      </w:r>
      <w:r>
        <w:rPr>
          <w:spacing w:val="-2"/>
          <w:sz w:val="20"/>
        </w:rPr>
        <w:t xml:space="preserve"> </w:t>
      </w:r>
      <w:r>
        <w:rPr>
          <w:sz w:val="20"/>
        </w:rPr>
        <w:t>o</w:t>
      </w:r>
      <w:r>
        <w:rPr>
          <w:spacing w:val="-1"/>
          <w:sz w:val="20"/>
        </w:rPr>
        <w:t xml:space="preserve"> </w:t>
      </w:r>
      <w:r>
        <w:rPr>
          <w:sz w:val="20"/>
        </w:rPr>
        <w:t>valor</w:t>
      </w:r>
      <w:r>
        <w:rPr>
          <w:spacing w:val="-1"/>
          <w:sz w:val="20"/>
        </w:rPr>
        <w:t xml:space="preserve"> </w:t>
      </w:r>
      <w:r>
        <w:rPr>
          <w:sz w:val="20"/>
        </w:rPr>
        <w:t>venal</w:t>
      </w:r>
      <w:r>
        <w:rPr>
          <w:spacing w:val="-2"/>
          <w:sz w:val="20"/>
        </w:rPr>
        <w:t xml:space="preserve"> </w:t>
      </w:r>
      <w:r>
        <w:rPr>
          <w:sz w:val="20"/>
        </w:rPr>
        <w:t>de referência</w:t>
      </w:r>
      <w:r>
        <w:rPr>
          <w:spacing w:val="-3"/>
          <w:sz w:val="20"/>
        </w:rPr>
        <w:t xml:space="preserve"> </w:t>
      </w:r>
      <w:r>
        <w:rPr>
          <w:sz w:val="20"/>
        </w:rPr>
        <w:t>pode servir ao Município tão somente como parâmetro de verificação da compatibilidade da base de cálculo obtida a partir do preço declarado de venda</w:t>
      </w:r>
      <w:r>
        <w:rPr>
          <w:spacing w:val="40"/>
          <w:sz w:val="20"/>
        </w:rPr>
        <w:t xml:space="preserve"> </w:t>
      </w:r>
      <w:r>
        <w:rPr>
          <w:sz w:val="20"/>
        </w:rPr>
        <w:t>do imóvel, na transação objeto</w:t>
      </w:r>
      <w:r>
        <w:rPr>
          <w:spacing w:val="-2"/>
          <w:sz w:val="20"/>
        </w:rPr>
        <w:t xml:space="preserve"> </w:t>
      </w:r>
      <w:r>
        <w:rPr>
          <w:sz w:val="20"/>
        </w:rPr>
        <w:t>da</w:t>
      </w:r>
      <w:r>
        <w:rPr>
          <w:spacing w:val="-6"/>
          <w:sz w:val="20"/>
        </w:rPr>
        <w:t xml:space="preserve"> </w:t>
      </w:r>
      <w:r>
        <w:rPr>
          <w:sz w:val="20"/>
        </w:rPr>
        <w:t>exação, com</w:t>
      </w:r>
      <w:r>
        <w:rPr>
          <w:spacing w:val="-1"/>
          <w:sz w:val="20"/>
        </w:rPr>
        <w:t xml:space="preserve"> </w:t>
      </w:r>
      <w:r>
        <w:rPr>
          <w:sz w:val="20"/>
        </w:rPr>
        <w:t>realidade</w:t>
      </w:r>
      <w:r>
        <w:rPr>
          <w:spacing w:val="-2"/>
          <w:sz w:val="20"/>
        </w:rPr>
        <w:t xml:space="preserve"> </w:t>
      </w:r>
      <w:r>
        <w:rPr>
          <w:sz w:val="20"/>
        </w:rPr>
        <w:t>do</w:t>
      </w:r>
      <w:r>
        <w:rPr>
          <w:spacing w:val="-7"/>
          <w:sz w:val="20"/>
        </w:rPr>
        <w:t xml:space="preserve"> </w:t>
      </w:r>
      <w:r>
        <w:rPr>
          <w:sz w:val="20"/>
        </w:rPr>
        <w:t>mercado</w:t>
      </w:r>
      <w:r>
        <w:rPr>
          <w:spacing w:val="-5"/>
          <w:sz w:val="20"/>
        </w:rPr>
        <w:t xml:space="preserve"> </w:t>
      </w:r>
      <w:r>
        <w:rPr>
          <w:sz w:val="20"/>
        </w:rPr>
        <w:t>imobiliário; não pode se prestar à prévia fixação daquele montante tributável, obrigando o contribuinte ao recolhimento respectivo. (...)</w:t>
      </w:r>
    </w:p>
    <w:p w:rsidR="007259F2" w:rsidRDefault="00E655B4">
      <w:pPr>
        <w:ind w:left="3120" w:right="550"/>
        <w:jc w:val="both"/>
        <w:rPr>
          <w:b/>
          <w:sz w:val="20"/>
        </w:rPr>
      </w:pPr>
      <w:r>
        <w:rPr>
          <w:sz w:val="20"/>
        </w:rPr>
        <w:t>Nessa linha, em relação ao ITBI cabe ao próprio contribuinte declarar a base de cálculo e antecipar o recolhimento do imposto, restando ao poder tributante, posteriormente, examinar a operação, homologando a ou não. É de ressaltar, portanto, que por ocasião do registro das escrituras públicas de compra e venda, não poderá ser exigido o recolhimento do ITBI segundo um valor venal de referência;</w:t>
      </w:r>
      <w:r>
        <w:rPr>
          <w:spacing w:val="-7"/>
          <w:sz w:val="20"/>
        </w:rPr>
        <w:t xml:space="preserve"> </w:t>
      </w:r>
      <w:r>
        <w:rPr>
          <w:sz w:val="20"/>
        </w:rPr>
        <w:t>nesta</w:t>
      </w:r>
      <w:r>
        <w:rPr>
          <w:spacing w:val="-13"/>
          <w:sz w:val="20"/>
        </w:rPr>
        <w:t xml:space="preserve"> </w:t>
      </w:r>
      <w:r>
        <w:rPr>
          <w:sz w:val="20"/>
        </w:rPr>
        <w:t>oportunidade,</w:t>
      </w:r>
      <w:r>
        <w:rPr>
          <w:spacing w:val="-5"/>
          <w:sz w:val="20"/>
        </w:rPr>
        <w:t xml:space="preserve"> </w:t>
      </w:r>
      <w:r>
        <w:rPr>
          <w:sz w:val="20"/>
        </w:rPr>
        <w:t>o</w:t>
      </w:r>
      <w:r>
        <w:rPr>
          <w:spacing w:val="-13"/>
          <w:sz w:val="20"/>
        </w:rPr>
        <w:t xml:space="preserve"> </w:t>
      </w:r>
      <w:r>
        <w:rPr>
          <w:sz w:val="20"/>
        </w:rPr>
        <w:t>contribuinte</w:t>
      </w:r>
      <w:r>
        <w:rPr>
          <w:spacing w:val="-10"/>
          <w:sz w:val="20"/>
        </w:rPr>
        <w:t xml:space="preserve"> </w:t>
      </w:r>
      <w:r>
        <w:rPr>
          <w:sz w:val="20"/>
        </w:rPr>
        <w:t>deverá</w:t>
      </w:r>
      <w:r>
        <w:rPr>
          <w:spacing w:val="-7"/>
          <w:sz w:val="20"/>
        </w:rPr>
        <w:t xml:space="preserve"> </w:t>
      </w:r>
      <w:r>
        <w:rPr>
          <w:sz w:val="20"/>
        </w:rPr>
        <w:t>proceder</w:t>
      </w:r>
      <w:r>
        <w:rPr>
          <w:spacing w:val="-4"/>
          <w:sz w:val="20"/>
        </w:rPr>
        <w:t xml:space="preserve"> </w:t>
      </w:r>
      <w:r>
        <w:rPr>
          <w:sz w:val="20"/>
        </w:rPr>
        <w:t>ao</w:t>
      </w:r>
      <w:r>
        <w:rPr>
          <w:spacing w:val="-4"/>
          <w:sz w:val="20"/>
        </w:rPr>
        <w:t xml:space="preserve"> </w:t>
      </w:r>
      <w:r>
        <w:rPr>
          <w:sz w:val="20"/>
        </w:rPr>
        <w:t>recolhimento</w:t>
      </w:r>
      <w:r>
        <w:rPr>
          <w:spacing w:val="-4"/>
          <w:sz w:val="20"/>
        </w:rPr>
        <w:t xml:space="preserve"> </w:t>
      </w:r>
      <w:r>
        <w:rPr>
          <w:sz w:val="20"/>
        </w:rPr>
        <w:t>do imposto apurado com base no valor do negócio jurídico tributado, cabendo à Administração lançar mão do procedimento previsto no artigo 148 do Código Tributário Nacional., caso discorde das declarações prestadas pelo sujeito</w:t>
      </w:r>
      <w:r>
        <w:rPr>
          <w:spacing w:val="80"/>
          <w:sz w:val="20"/>
        </w:rPr>
        <w:t xml:space="preserve"> </w:t>
      </w:r>
      <w:r>
        <w:rPr>
          <w:sz w:val="20"/>
        </w:rPr>
        <w:t xml:space="preserve">passivo (...) </w:t>
      </w:r>
      <w:r>
        <w:rPr>
          <w:b/>
          <w:sz w:val="20"/>
        </w:rPr>
        <w:t>(TJSP; Incidente De Arguição de Inconstitucionalidade Cível 0056693-19.2014.8.26.0000; Relator (a): Paulo Dimas Mascaretti; Órgão Julgador: Órgão Especial; Data do Julgamento: 25/03/2015).</w:t>
      </w:r>
      <w:r>
        <w:rPr>
          <w:b/>
          <w:sz w:val="20"/>
          <w:vertAlign w:val="superscript"/>
        </w:rPr>
        <w:t>14</w:t>
      </w:r>
    </w:p>
    <w:p w:rsidR="007259F2" w:rsidRDefault="00DE6B1C">
      <w:pPr>
        <w:pStyle w:val="Corpodetexto"/>
        <w:spacing w:before="1"/>
        <w:ind w:left="0" w:firstLine="0"/>
        <w:jc w:val="left"/>
        <w:rPr>
          <w:b/>
          <w:sz w:val="18"/>
        </w:rPr>
      </w:pPr>
      <w:r w:rsidRPr="00DE6B1C">
        <w:rPr>
          <w:b/>
          <w:sz w:val="18"/>
        </w:rPr>
        <w:pict>
          <v:rect id="docshape121" o:spid="_x0000_s1107" style="position:absolute;margin-left:85.1pt;margin-top:11.65pt;width:453.65pt;height:.7pt;z-index:-15676928;mso-wrap-distance-left:0;mso-wrap-distance-right:0;mso-position-horizontal-relative:page" fillcolor="black" stroked="f">
            <w10:wrap type="topAndBottom" anchorx="page"/>
          </v:rect>
        </w:pict>
      </w:r>
    </w:p>
    <w:p w:rsidR="007259F2" w:rsidRDefault="00E655B4">
      <w:pPr>
        <w:spacing w:before="96"/>
        <w:ind w:left="710" w:right="421"/>
        <w:jc w:val="both"/>
        <w:rPr>
          <w:sz w:val="20"/>
        </w:rPr>
      </w:pPr>
      <w:r>
        <w:rPr>
          <w:sz w:val="20"/>
        </w:rPr>
        <w:t>redução, ressalvado o disposto nos artigos. 21, 26, 39, 57 e 65; (...) §</w:t>
      </w:r>
      <w:r>
        <w:rPr>
          <w:spacing w:val="40"/>
          <w:sz w:val="20"/>
        </w:rPr>
        <w:t xml:space="preserve"> </w:t>
      </w:r>
      <w:r>
        <w:rPr>
          <w:sz w:val="20"/>
        </w:rPr>
        <w:t>1º Equipara-se à majoração do tributo a modificação da sua base de cálculo, que importe em torná-lo mais oneroso. § 2º Não constitui majoração de tributo,</w:t>
      </w:r>
      <w:r>
        <w:rPr>
          <w:spacing w:val="25"/>
          <w:sz w:val="20"/>
        </w:rPr>
        <w:t xml:space="preserve"> </w:t>
      </w:r>
      <w:r>
        <w:rPr>
          <w:sz w:val="20"/>
        </w:rPr>
        <w:t xml:space="preserve">para os fins do disposto no inciso II deste artigo, a atualização do valor monetário da respectiva base de </w:t>
      </w:r>
      <w:r>
        <w:rPr>
          <w:spacing w:val="-2"/>
          <w:sz w:val="20"/>
        </w:rPr>
        <w:t>cálculo.</w:t>
      </w:r>
    </w:p>
    <w:p w:rsidR="007259F2" w:rsidRDefault="00E655B4">
      <w:pPr>
        <w:ind w:left="710" w:right="419"/>
        <w:jc w:val="both"/>
        <w:rPr>
          <w:sz w:val="20"/>
        </w:rPr>
      </w:pPr>
      <w:r>
        <w:rPr>
          <w:sz w:val="20"/>
          <w:vertAlign w:val="superscript"/>
        </w:rPr>
        <w:t>14</w:t>
      </w:r>
      <w:r>
        <w:rPr>
          <w:spacing w:val="-1"/>
          <w:sz w:val="20"/>
        </w:rPr>
        <w:t xml:space="preserve"> </w:t>
      </w:r>
      <w:r>
        <w:rPr>
          <w:sz w:val="20"/>
        </w:rPr>
        <w:t>Ementa:</w:t>
      </w:r>
      <w:r>
        <w:rPr>
          <w:spacing w:val="-9"/>
          <w:sz w:val="20"/>
        </w:rPr>
        <w:t xml:space="preserve"> </w:t>
      </w:r>
      <w:r>
        <w:rPr>
          <w:sz w:val="20"/>
        </w:rPr>
        <w:t>Incidente</w:t>
      </w:r>
      <w:r>
        <w:rPr>
          <w:spacing w:val="-6"/>
          <w:sz w:val="20"/>
        </w:rPr>
        <w:t xml:space="preserve"> </w:t>
      </w:r>
      <w:r>
        <w:rPr>
          <w:sz w:val="20"/>
        </w:rPr>
        <w:t>de</w:t>
      </w:r>
      <w:r>
        <w:rPr>
          <w:spacing w:val="-7"/>
          <w:sz w:val="20"/>
        </w:rPr>
        <w:t xml:space="preserve"> </w:t>
      </w:r>
      <w:r>
        <w:rPr>
          <w:sz w:val="20"/>
        </w:rPr>
        <w:t>inconstitucionalidade.</w:t>
      </w:r>
      <w:r>
        <w:rPr>
          <w:spacing w:val="-6"/>
          <w:sz w:val="20"/>
        </w:rPr>
        <w:t xml:space="preserve"> </w:t>
      </w:r>
      <w:r>
        <w:rPr>
          <w:sz w:val="20"/>
        </w:rPr>
        <w:t>Artigo</w:t>
      </w:r>
      <w:r>
        <w:rPr>
          <w:spacing w:val="-5"/>
          <w:sz w:val="20"/>
        </w:rPr>
        <w:t xml:space="preserve"> </w:t>
      </w:r>
      <w:r>
        <w:rPr>
          <w:sz w:val="20"/>
        </w:rPr>
        <w:t>7º</w:t>
      </w:r>
      <w:r>
        <w:rPr>
          <w:spacing w:val="-9"/>
          <w:sz w:val="20"/>
        </w:rPr>
        <w:t xml:space="preserve"> </w:t>
      </w:r>
      <w:r>
        <w:rPr>
          <w:sz w:val="20"/>
        </w:rPr>
        <w:t>Lei</w:t>
      </w:r>
      <w:r>
        <w:rPr>
          <w:spacing w:val="-11"/>
          <w:sz w:val="20"/>
        </w:rPr>
        <w:t xml:space="preserve"> </w:t>
      </w:r>
      <w:r>
        <w:rPr>
          <w:sz w:val="20"/>
        </w:rPr>
        <w:t>nº</w:t>
      </w:r>
      <w:r>
        <w:rPr>
          <w:spacing w:val="-11"/>
          <w:sz w:val="20"/>
        </w:rPr>
        <w:t xml:space="preserve"> </w:t>
      </w:r>
      <w:r>
        <w:rPr>
          <w:sz w:val="20"/>
        </w:rPr>
        <w:t>11.154,</w:t>
      </w:r>
      <w:r>
        <w:rPr>
          <w:spacing w:val="-1"/>
          <w:sz w:val="20"/>
        </w:rPr>
        <w:t xml:space="preserve"> </w:t>
      </w:r>
      <w:r>
        <w:rPr>
          <w:sz w:val="20"/>
        </w:rPr>
        <w:t>de</w:t>
      </w:r>
      <w:r>
        <w:rPr>
          <w:spacing w:val="-12"/>
          <w:sz w:val="20"/>
        </w:rPr>
        <w:t xml:space="preserve"> </w:t>
      </w:r>
      <w:r>
        <w:rPr>
          <w:sz w:val="20"/>
        </w:rPr>
        <w:t>30</w:t>
      </w:r>
      <w:r>
        <w:rPr>
          <w:spacing w:val="-8"/>
          <w:sz w:val="20"/>
        </w:rPr>
        <w:t xml:space="preserve"> </w:t>
      </w:r>
      <w:r>
        <w:rPr>
          <w:sz w:val="20"/>
        </w:rPr>
        <w:t>de</w:t>
      </w:r>
      <w:r>
        <w:rPr>
          <w:spacing w:val="-11"/>
          <w:sz w:val="20"/>
        </w:rPr>
        <w:t xml:space="preserve"> </w:t>
      </w:r>
      <w:r>
        <w:rPr>
          <w:sz w:val="20"/>
        </w:rPr>
        <w:t>dezembro</w:t>
      </w:r>
      <w:r>
        <w:rPr>
          <w:spacing w:val="-9"/>
          <w:sz w:val="20"/>
        </w:rPr>
        <w:t xml:space="preserve"> </w:t>
      </w:r>
      <w:r>
        <w:rPr>
          <w:sz w:val="20"/>
        </w:rPr>
        <w:t>de</w:t>
      </w:r>
      <w:r>
        <w:rPr>
          <w:spacing w:val="-11"/>
          <w:sz w:val="20"/>
        </w:rPr>
        <w:t xml:space="preserve"> </w:t>
      </w:r>
      <w:r>
        <w:rPr>
          <w:sz w:val="20"/>
        </w:rPr>
        <w:t>1991,</w:t>
      </w:r>
      <w:r>
        <w:rPr>
          <w:spacing w:val="-9"/>
          <w:sz w:val="20"/>
        </w:rPr>
        <w:t xml:space="preserve"> </w:t>
      </w:r>
      <w:r>
        <w:rPr>
          <w:sz w:val="20"/>
        </w:rPr>
        <w:t>com</w:t>
      </w:r>
      <w:r>
        <w:rPr>
          <w:spacing w:val="-2"/>
          <w:sz w:val="20"/>
        </w:rPr>
        <w:t xml:space="preserve"> </w:t>
      </w:r>
      <w:r>
        <w:rPr>
          <w:sz w:val="20"/>
        </w:rPr>
        <w:t>a</w:t>
      </w:r>
      <w:r>
        <w:rPr>
          <w:spacing w:val="-1"/>
          <w:sz w:val="20"/>
        </w:rPr>
        <w:t xml:space="preserve"> </w:t>
      </w:r>
      <w:r>
        <w:rPr>
          <w:sz w:val="20"/>
        </w:rPr>
        <w:t>redação dada pelas Leis nºs 14.125, de 29 de dezembro de 2005, e 14.256, de 29 de dezembro de 2006, todas do Município de São Paulo, que estabelece o valor pelo qual o bem ou direito é negociado à vista, em condições normais de mercado, como a base de cálculo do Imposto sobre Transmissão de Bens Imóveis (ITBI). Acórdão que, a despeito de não manifestar de forma expressa, implicitamente também questionou as disposições dos artigos 7º-A, 7º-B e 12 da mesma legislação municipal. Valor venal atribuído ao imóvel para apuração do ITBI que não se confunde necessariamente com aquele utilizado para lançamento do IPTU. Precedentes do STJ. Previsão contida no aludido artigo 7º que, nessa linha, não representa afronta ao princípio da legalidade, haja vista que, como regra, a apuração do imposto deve ser feita com base no valor do negócio jurídico realizado, tendo em</w:t>
      </w:r>
      <w:r>
        <w:rPr>
          <w:spacing w:val="-3"/>
          <w:sz w:val="20"/>
        </w:rPr>
        <w:t xml:space="preserve"> </w:t>
      </w:r>
      <w:r>
        <w:rPr>
          <w:sz w:val="20"/>
        </w:rPr>
        <w:t>consideração as declarações prestadas pelo próprio contribuinte, o que, em princípio, espelharia o "real valor de mercado do imóvel". "Valor venal de referência", todavia, que deve servir ao Município apenas como parâmetro de verificação da compatibilidade do preço declarado de venda, não podendo se prestar para a prévia fixação</w:t>
      </w:r>
      <w:r>
        <w:rPr>
          <w:spacing w:val="-1"/>
          <w:sz w:val="20"/>
        </w:rPr>
        <w:t xml:space="preserve"> </w:t>
      </w:r>
      <w:r>
        <w:rPr>
          <w:sz w:val="20"/>
        </w:rPr>
        <w:t>da</w:t>
      </w:r>
      <w:r>
        <w:rPr>
          <w:spacing w:val="-2"/>
          <w:sz w:val="20"/>
        </w:rPr>
        <w:t xml:space="preserve"> </w:t>
      </w:r>
      <w:r>
        <w:rPr>
          <w:sz w:val="20"/>
        </w:rPr>
        <w:t>base</w:t>
      </w:r>
      <w:r>
        <w:rPr>
          <w:spacing w:val="-2"/>
          <w:sz w:val="20"/>
        </w:rPr>
        <w:t xml:space="preserve"> </w:t>
      </w:r>
      <w:r>
        <w:rPr>
          <w:sz w:val="20"/>
        </w:rPr>
        <w:t>de</w:t>
      </w:r>
      <w:r>
        <w:rPr>
          <w:spacing w:val="-2"/>
          <w:sz w:val="20"/>
        </w:rPr>
        <w:t xml:space="preserve"> </w:t>
      </w:r>
      <w:r>
        <w:rPr>
          <w:sz w:val="20"/>
        </w:rPr>
        <w:t>cálculo</w:t>
      </w:r>
      <w:r>
        <w:rPr>
          <w:spacing w:val="-1"/>
          <w:sz w:val="20"/>
        </w:rPr>
        <w:t xml:space="preserve"> </w:t>
      </w:r>
      <w:r>
        <w:rPr>
          <w:sz w:val="20"/>
        </w:rPr>
        <w:t>do</w:t>
      </w:r>
      <w:r>
        <w:rPr>
          <w:spacing w:val="-1"/>
          <w:sz w:val="20"/>
        </w:rPr>
        <w:t xml:space="preserve"> </w:t>
      </w:r>
      <w:r>
        <w:rPr>
          <w:sz w:val="20"/>
        </w:rPr>
        <w:t>ITBI.</w:t>
      </w:r>
      <w:r>
        <w:rPr>
          <w:spacing w:val="-2"/>
          <w:sz w:val="20"/>
        </w:rPr>
        <w:t xml:space="preserve"> </w:t>
      </w:r>
      <w:r>
        <w:rPr>
          <w:sz w:val="20"/>
        </w:rPr>
        <w:t>Impossibilidade,</w:t>
      </w:r>
      <w:r>
        <w:rPr>
          <w:spacing w:val="-1"/>
          <w:sz w:val="20"/>
        </w:rPr>
        <w:t xml:space="preserve"> </w:t>
      </w:r>
      <w:r>
        <w:rPr>
          <w:sz w:val="20"/>
        </w:rPr>
        <w:t>outrossim,</w:t>
      </w:r>
      <w:r>
        <w:rPr>
          <w:spacing w:val="-2"/>
          <w:sz w:val="20"/>
        </w:rPr>
        <w:t xml:space="preserve"> </w:t>
      </w:r>
      <w:r>
        <w:rPr>
          <w:sz w:val="20"/>
        </w:rPr>
        <w:t>de</w:t>
      </w:r>
      <w:r>
        <w:rPr>
          <w:spacing w:val="-2"/>
          <w:sz w:val="20"/>
        </w:rPr>
        <w:t xml:space="preserve"> </w:t>
      </w:r>
      <w:r>
        <w:rPr>
          <w:sz w:val="20"/>
        </w:rPr>
        <w:t>se</w:t>
      </w:r>
      <w:r>
        <w:rPr>
          <w:spacing w:val="-2"/>
          <w:sz w:val="20"/>
        </w:rPr>
        <w:t xml:space="preserve"> </w:t>
      </w:r>
      <w:r>
        <w:rPr>
          <w:sz w:val="20"/>
        </w:rPr>
        <w:t>impor</w:t>
      </w:r>
      <w:r>
        <w:rPr>
          <w:spacing w:val="-2"/>
          <w:sz w:val="20"/>
        </w:rPr>
        <w:t xml:space="preserve"> </w:t>
      </w:r>
      <w:r>
        <w:rPr>
          <w:sz w:val="20"/>
        </w:rPr>
        <w:t>ao</w:t>
      </w:r>
      <w:r>
        <w:rPr>
          <w:spacing w:val="-1"/>
          <w:sz w:val="20"/>
        </w:rPr>
        <w:t xml:space="preserve"> </w:t>
      </w:r>
      <w:r>
        <w:rPr>
          <w:sz w:val="20"/>
        </w:rPr>
        <w:t>sujeito</w:t>
      </w:r>
      <w:r>
        <w:rPr>
          <w:spacing w:val="-1"/>
          <w:sz w:val="20"/>
        </w:rPr>
        <w:t xml:space="preserve"> </w:t>
      </w:r>
      <w:r>
        <w:rPr>
          <w:sz w:val="20"/>
        </w:rPr>
        <w:t>passivo</w:t>
      </w:r>
      <w:r>
        <w:rPr>
          <w:spacing w:val="-1"/>
          <w:sz w:val="20"/>
        </w:rPr>
        <w:t xml:space="preserve"> </w:t>
      </w:r>
      <w:r>
        <w:rPr>
          <w:sz w:val="20"/>
        </w:rPr>
        <w:t>do</w:t>
      </w:r>
      <w:r>
        <w:rPr>
          <w:spacing w:val="-1"/>
          <w:sz w:val="20"/>
        </w:rPr>
        <w:t xml:space="preserve"> </w:t>
      </w:r>
      <w:r>
        <w:rPr>
          <w:sz w:val="20"/>
        </w:rPr>
        <w:t>imposto,</w:t>
      </w:r>
      <w:r>
        <w:rPr>
          <w:spacing w:val="-2"/>
          <w:sz w:val="20"/>
        </w:rPr>
        <w:t xml:space="preserve"> </w:t>
      </w:r>
      <w:r>
        <w:rPr>
          <w:sz w:val="20"/>
        </w:rPr>
        <w:t>desde logo, a adoção da tabela realizada pelo Município. Imposto municipal em causa que está sujeito ao lançamento por homologação, cabendo ao próprio contribuinte antecipar o recolhimento. Arbitramento administrativo que</w:t>
      </w:r>
      <w:r>
        <w:rPr>
          <w:spacing w:val="-1"/>
          <w:sz w:val="20"/>
        </w:rPr>
        <w:t xml:space="preserve"> </w:t>
      </w:r>
      <w:r>
        <w:rPr>
          <w:sz w:val="20"/>
        </w:rPr>
        <w:t>é providência excepcional, da qual o Município somente pode lançar mão na hipótese de ser constatada a incorreção ou falsidade na documentação comprobatória do</w:t>
      </w:r>
      <w:r>
        <w:rPr>
          <w:spacing w:val="-6"/>
          <w:sz w:val="20"/>
        </w:rPr>
        <w:t xml:space="preserve"> </w:t>
      </w:r>
      <w:r>
        <w:rPr>
          <w:sz w:val="20"/>
        </w:rPr>
        <w:t>negócio</w:t>
      </w:r>
      <w:r>
        <w:rPr>
          <w:spacing w:val="-4"/>
          <w:sz w:val="20"/>
        </w:rPr>
        <w:t xml:space="preserve"> </w:t>
      </w:r>
      <w:r>
        <w:rPr>
          <w:sz w:val="20"/>
        </w:rPr>
        <w:t>jurídico</w:t>
      </w:r>
      <w:r>
        <w:rPr>
          <w:spacing w:val="-4"/>
          <w:sz w:val="20"/>
        </w:rPr>
        <w:t xml:space="preserve"> </w:t>
      </w:r>
      <w:r>
        <w:rPr>
          <w:sz w:val="20"/>
        </w:rPr>
        <w:t>tributável. Providência</w:t>
      </w:r>
      <w:r>
        <w:rPr>
          <w:spacing w:val="-4"/>
          <w:sz w:val="20"/>
        </w:rPr>
        <w:t xml:space="preserve"> </w:t>
      </w:r>
      <w:r>
        <w:rPr>
          <w:sz w:val="20"/>
        </w:rPr>
        <w:t>que,</w:t>
      </w:r>
      <w:r>
        <w:rPr>
          <w:spacing w:val="-3"/>
          <w:sz w:val="20"/>
        </w:rPr>
        <w:t xml:space="preserve"> </w:t>
      </w:r>
      <w:r>
        <w:rPr>
          <w:sz w:val="20"/>
        </w:rPr>
        <w:t>de</w:t>
      </w:r>
      <w:r>
        <w:rPr>
          <w:spacing w:val="-5"/>
          <w:sz w:val="20"/>
        </w:rPr>
        <w:t xml:space="preserve"> </w:t>
      </w:r>
      <w:r>
        <w:rPr>
          <w:sz w:val="20"/>
        </w:rPr>
        <w:t>toda sorte, depende sempre da</w:t>
      </w:r>
      <w:r>
        <w:rPr>
          <w:spacing w:val="-3"/>
          <w:sz w:val="20"/>
        </w:rPr>
        <w:t xml:space="preserve"> </w:t>
      </w:r>
      <w:r>
        <w:rPr>
          <w:sz w:val="20"/>
        </w:rPr>
        <w:t>prévia instauração do pertinente procedimento administrativo, na forma do artigo 148 do Código Tributário Nacional, sob pena de restar caracterizado o lançamento de ofício da exação, ao qual o</w:t>
      </w:r>
      <w:r>
        <w:rPr>
          <w:spacing w:val="40"/>
          <w:sz w:val="20"/>
        </w:rPr>
        <w:t xml:space="preserve"> </w:t>
      </w:r>
      <w:r>
        <w:rPr>
          <w:sz w:val="20"/>
        </w:rPr>
        <w:t>ITBI não se</w:t>
      </w:r>
      <w:r>
        <w:rPr>
          <w:spacing w:val="-1"/>
          <w:sz w:val="20"/>
        </w:rPr>
        <w:t xml:space="preserve"> </w:t>
      </w:r>
      <w:r>
        <w:rPr>
          <w:sz w:val="20"/>
        </w:rPr>
        <w:t>submete. Artigos 7º-A</w:t>
      </w:r>
      <w:r>
        <w:rPr>
          <w:spacing w:val="-3"/>
          <w:sz w:val="20"/>
        </w:rPr>
        <w:t xml:space="preserve"> </w:t>
      </w:r>
      <w:r>
        <w:rPr>
          <w:sz w:val="20"/>
        </w:rPr>
        <w:t>e</w:t>
      </w:r>
      <w:r>
        <w:rPr>
          <w:spacing w:val="-11"/>
          <w:sz w:val="20"/>
        </w:rPr>
        <w:t xml:space="preserve"> </w:t>
      </w:r>
      <w:r>
        <w:rPr>
          <w:sz w:val="20"/>
        </w:rPr>
        <w:t>7º-B que, nesse</w:t>
      </w:r>
      <w:r>
        <w:rPr>
          <w:spacing w:val="-4"/>
          <w:sz w:val="20"/>
        </w:rPr>
        <w:t xml:space="preserve"> </w:t>
      </w:r>
      <w:r>
        <w:rPr>
          <w:sz w:val="20"/>
        </w:rPr>
        <w:t>passo,</w:t>
      </w:r>
      <w:r>
        <w:rPr>
          <w:spacing w:val="-1"/>
          <w:sz w:val="20"/>
        </w:rPr>
        <w:t xml:space="preserve"> </w:t>
      </w:r>
      <w:r>
        <w:rPr>
          <w:sz w:val="20"/>
        </w:rPr>
        <w:t>subvertem</w:t>
      </w:r>
      <w:r>
        <w:rPr>
          <w:spacing w:val="-2"/>
          <w:sz w:val="20"/>
        </w:rPr>
        <w:t xml:space="preserve"> </w:t>
      </w:r>
      <w:r>
        <w:rPr>
          <w:sz w:val="20"/>
        </w:rPr>
        <w:t>o</w:t>
      </w:r>
      <w:r>
        <w:rPr>
          <w:spacing w:val="-2"/>
          <w:sz w:val="20"/>
        </w:rPr>
        <w:t xml:space="preserve"> </w:t>
      </w:r>
      <w:r>
        <w:rPr>
          <w:sz w:val="20"/>
        </w:rPr>
        <w:t>procedimento</w:t>
      </w:r>
      <w:r>
        <w:rPr>
          <w:spacing w:val="-3"/>
          <w:sz w:val="20"/>
        </w:rPr>
        <w:t xml:space="preserve"> </w:t>
      </w:r>
      <w:r>
        <w:rPr>
          <w:sz w:val="20"/>
        </w:rPr>
        <w:t>estabelecido</w:t>
      </w:r>
      <w:r>
        <w:rPr>
          <w:spacing w:val="-2"/>
          <w:sz w:val="20"/>
        </w:rPr>
        <w:t xml:space="preserve"> </w:t>
      </w:r>
      <w:r>
        <w:rPr>
          <w:sz w:val="20"/>
        </w:rPr>
        <w:t>na</w:t>
      </w:r>
      <w:r>
        <w:rPr>
          <w:spacing w:val="-5"/>
          <w:sz w:val="20"/>
        </w:rPr>
        <w:t xml:space="preserve"> </w:t>
      </w:r>
      <w:r>
        <w:rPr>
          <w:sz w:val="20"/>
        </w:rPr>
        <w:t>legislação</w:t>
      </w:r>
    </w:p>
    <w:p w:rsidR="007259F2" w:rsidRDefault="007259F2">
      <w:pPr>
        <w:jc w:val="both"/>
        <w:rPr>
          <w:sz w:val="20"/>
        </w:rPr>
        <w:sectPr w:rsidR="007259F2">
          <w:pgSz w:w="11910" w:h="16840"/>
          <w:pgMar w:top="1600" w:right="708" w:bottom="1020" w:left="992" w:header="0" w:footer="820" w:gutter="0"/>
          <w:cols w:space="720"/>
        </w:sectPr>
      </w:pPr>
    </w:p>
    <w:p w:rsidR="007259F2" w:rsidRDefault="00E655B4">
      <w:pPr>
        <w:pStyle w:val="Corpodetexto"/>
        <w:spacing w:before="75"/>
        <w:ind w:right="567"/>
      </w:pPr>
      <w:r>
        <w:lastRenderedPageBreak/>
        <w:t>Em</w:t>
      </w:r>
      <w:r>
        <w:rPr>
          <w:spacing w:val="-4"/>
        </w:rPr>
        <w:t xml:space="preserve"> </w:t>
      </w:r>
      <w:r>
        <w:t>que</w:t>
      </w:r>
      <w:r>
        <w:rPr>
          <w:spacing w:val="-3"/>
        </w:rPr>
        <w:t xml:space="preserve"> </w:t>
      </w:r>
      <w:r>
        <w:t>pese</w:t>
      </w:r>
      <w:r>
        <w:rPr>
          <w:spacing w:val="-3"/>
        </w:rPr>
        <w:t xml:space="preserve"> </w:t>
      </w:r>
      <w:r>
        <w:t>o</w:t>
      </w:r>
      <w:r>
        <w:rPr>
          <w:spacing w:val="-9"/>
        </w:rPr>
        <w:t xml:space="preserve"> </w:t>
      </w:r>
      <w:r>
        <w:t>Tribunal de</w:t>
      </w:r>
      <w:r>
        <w:rPr>
          <w:spacing w:val="-11"/>
        </w:rPr>
        <w:t xml:space="preserve"> </w:t>
      </w:r>
      <w:r>
        <w:t>Justiça</w:t>
      </w:r>
      <w:r>
        <w:rPr>
          <w:spacing w:val="-4"/>
        </w:rPr>
        <w:t xml:space="preserve"> </w:t>
      </w:r>
      <w:r>
        <w:t>de</w:t>
      </w:r>
      <w:r>
        <w:rPr>
          <w:spacing w:val="-11"/>
        </w:rPr>
        <w:t xml:space="preserve"> </w:t>
      </w:r>
      <w:r>
        <w:t>São</w:t>
      </w:r>
      <w:r>
        <w:rPr>
          <w:spacing w:val="-2"/>
        </w:rPr>
        <w:t xml:space="preserve"> </w:t>
      </w:r>
      <w:r>
        <w:t>Paulo</w:t>
      </w:r>
      <w:r>
        <w:rPr>
          <w:spacing w:val="-9"/>
        </w:rPr>
        <w:t xml:space="preserve"> </w:t>
      </w:r>
      <w:r>
        <w:t>tenha</w:t>
      </w:r>
      <w:r>
        <w:rPr>
          <w:spacing w:val="-11"/>
        </w:rPr>
        <w:t xml:space="preserve"> </w:t>
      </w:r>
      <w:r>
        <w:t>se</w:t>
      </w:r>
      <w:r>
        <w:rPr>
          <w:spacing w:val="-3"/>
        </w:rPr>
        <w:t xml:space="preserve"> </w:t>
      </w:r>
      <w:r>
        <w:t>posicionado</w:t>
      </w:r>
      <w:r>
        <w:rPr>
          <w:spacing w:val="-9"/>
        </w:rPr>
        <w:t xml:space="preserve"> </w:t>
      </w:r>
      <w:r>
        <w:t>sobre a matéria, o problema não parou por aí, pois, conforme sinaliza Mohamed Majdoub,</w:t>
      </w:r>
      <w:r>
        <w:rPr>
          <w:vertAlign w:val="superscript"/>
        </w:rPr>
        <w:t>15</w:t>
      </w:r>
      <w:r>
        <w:rPr>
          <w:spacing w:val="40"/>
        </w:rPr>
        <w:t xml:space="preserve"> </w:t>
      </w:r>
      <w:r>
        <w:t>“na prática, o Município</w:t>
      </w:r>
      <w:r>
        <w:rPr>
          <w:spacing w:val="-7"/>
        </w:rPr>
        <w:t xml:space="preserve"> </w:t>
      </w:r>
      <w:r>
        <w:t>de</w:t>
      </w:r>
      <w:r>
        <w:rPr>
          <w:spacing w:val="-11"/>
        </w:rPr>
        <w:t xml:space="preserve"> </w:t>
      </w:r>
      <w:r>
        <w:t>São</w:t>
      </w:r>
      <w:r>
        <w:rPr>
          <w:spacing w:val="-7"/>
        </w:rPr>
        <w:t xml:space="preserve"> </w:t>
      </w:r>
      <w:r>
        <w:t>Paulo</w:t>
      </w:r>
      <w:r>
        <w:rPr>
          <w:spacing w:val="-8"/>
        </w:rPr>
        <w:t xml:space="preserve"> </w:t>
      </w:r>
      <w:r>
        <w:t>continuou</w:t>
      </w:r>
      <w:r>
        <w:rPr>
          <w:spacing w:val="-1"/>
        </w:rPr>
        <w:t xml:space="preserve"> </w:t>
      </w:r>
      <w:r>
        <w:t>a</w:t>
      </w:r>
      <w:r>
        <w:rPr>
          <w:spacing w:val="-11"/>
        </w:rPr>
        <w:t xml:space="preserve"> </w:t>
      </w:r>
      <w:r>
        <w:t>divulgar as duas</w:t>
      </w:r>
      <w:r>
        <w:rPr>
          <w:spacing w:val="-5"/>
        </w:rPr>
        <w:t xml:space="preserve"> </w:t>
      </w:r>
      <w:r>
        <w:t>bases de</w:t>
      </w:r>
      <w:r>
        <w:rPr>
          <w:spacing w:val="-13"/>
        </w:rPr>
        <w:t xml:space="preserve"> </w:t>
      </w:r>
      <w:r>
        <w:t>cálculos distintas para IPTU e ITBI (Valor Venal e Valor Venal de Referência), obrigando, os Oficiais de Registro de Imóveis e</w:t>
      </w:r>
      <w:r>
        <w:rPr>
          <w:spacing w:val="-18"/>
        </w:rPr>
        <w:t xml:space="preserve"> </w:t>
      </w:r>
      <w:r>
        <w:t>Tabeliões, a</w:t>
      </w:r>
      <w:r>
        <w:rPr>
          <w:spacing w:val="-3"/>
        </w:rPr>
        <w:t xml:space="preserve"> </w:t>
      </w:r>
      <w:r>
        <w:t>exigir</w:t>
      </w:r>
      <w:r>
        <w:rPr>
          <w:spacing w:val="-3"/>
        </w:rPr>
        <w:t xml:space="preserve"> </w:t>
      </w:r>
      <w:r>
        <w:t>o</w:t>
      </w:r>
      <w:r>
        <w:rPr>
          <w:spacing w:val="-17"/>
        </w:rPr>
        <w:t xml:space="preserve"> </w:t>
      </w:r>
      <w:r>
        <w:t>recolhimento</w:t>
      </w:r>
      <w:r>
        <w:rPr>
          <w:spacing w:val="-9"/>
        </w:rPr>
        <w:t xml:space="preserve"> </w:t>
      </w:r>
      <w:r>
        <w:t>do</w:t>
      </w:r>
      <w:r>
        <w:rPr>
          <w:spacing w:val="-10"/>
        </w:rPr>
        <w:t xml:space="preserve"> </w:t>
      </w:r>
      <w:r>
        <w:t>ITBI</w:t>
      </w:r>
      <w:r>
        <w:rPr>
          <w:spacing w:val="-12"/>
        </w:rPr>
        <w:t xml:space="preserve"> </w:t>
      </w:r>
      <w:r>
        <w:t>com</w:t>
      </w:r>
      <w:r>
        <w:rPr>
          <w:spacing w:val="-5"/>
        </w:rPr>
        <w:t xml:space="preserve"> </w:t>
      </w:r>
      <w:r>
        <w:t>base</w:t>
      </w:r>
      <w:r>
        <w:rPr>
          <w:spacing w:val="-1"/>
        </w:rPr>
        <w:t xml:space="preserve"> </w:t>
      </w:r>
      <w:r>
        <w:t>no valor venal de referência".</w:t>
      </w:r>
    </w:p>
    <w:p w:rsidR="007259F2" w:rsidRDefault="00E655B4">
      <w:pPr>
        <w:pStyle w:val="Heading2"/>
        <w:numPr>
          <w:ilvl w:val="0"/>
          <w:numId w:val="25"/>
        </w:numPr>
        <w:tabs>
          <w:tab w:val="left" w:pos="1555"/>
        </w:tabs>
        <w:spacing w:before="209" w:line="237" w:lineRule="auto"/>
        <w:ind w:left="851" w:right="560" w:firstLine="0"/>
        <w:jc w:val="both"/>
      </w:pPr>
      <w:r>
        <w:rPr>
          <w:w w:val="105"/>
        </w:rPr>
        <w:t>O entendimento do Tribunal de Justiça de São Paulo expressado no Incidente de Resolução de Demandas Repetitivas (Tema 19)</w:t>
      </w:r>
    </w:p>
    <w:p w:rsidR="007259F2" w:rsidRDefault="00E655B4">
      <w:pPr>
        <w:pStyle w:val="Corpodetexto"/>
        <w:spacing w:before="116"/>
        <w:ind w:right="427"/>
      </w:pPr>
      <w:r>
        <w:t>Conforme citado anteriormente, ainda que o Tribunal de Justiça tenha se manifestado acerca da inconstitucionalidade dos artigos 7º A e 7º B da Lei Municipal n.º 11.154/1991, restou pendente a dúvida sobre qual seria a correta base de cálculo do ITBI, uma vez que a legislação tributária utiliza a mesma expressão “valor venal”, para se referir a base de cálculo do IPTU e do ITBI.</w:t>
      </w:r>
    </w:p>
    <w:p w:rsidR="007259F2" w:rsidRDefault="00E655B4">
      <w:pPr>
        <w:pStyle w:val="Corpodetexto"/>
        <w:spacing w:before="1"/>
        <w:ind w:right="421"/>
      </w:pPr>
      <w:r>
        <w:t>Assim, diante das contínuas demandas judicias questionando a utilização do valor venal de referência, coube, novamente, ao Poder Judiciário, por meio do julgamento do Incidente de Resolução de Demandas Repetitivas n.º 2243516- 62.2017.8.26.0000 (Tema 19), definir qual seria o correto valor venal a ser utilizado como base de cálculo do ITBI, no Município de São Paulo, in verbis:</w:t>
      </w:r>
    </w:p>
    <w:p w:rsidR="007259F2" w:rsidRDefault="007259F2">
      <w:pPr>
        <w:pStyle w:val="Corpodetexto"/>
        <w:spacing w:before="16"/>
        <w:ind w:left="0" w:firstLine="0"/>
        <w:jc w:val="left"/>
      </w:pPr>
    </w:p>
    <w:p w:rsidR="007259F2" w:rsidRDefault="00E655B4">
      <w:pPr>
        <w:ind w:left="2978" w:right="551"/>
        <w:jc w:val="both"/>
        <w:rPr>
          <w:sz w:val="20"/>
        </w:rPr>
      </w:pPr>
      <w:r>
        <w:rPr>
          <w:sz w:val="20"/>
        </w:rPr>
        <w:t xml:space="preserve">(...) Em relação à base de cálculo do ITBI, cumpre observar que </w:t>
      </w:r>
      <w:r>
        <w:rPr>
          <w:b/>
          <w:sz w:val="20"/>
          <w:u w:val="single"/>
        </w:rPr>
        <w:t>é ilegal a</w:t>
      </w:r>
      <w:r>
        <w:rPr>
          <w:b/>
          <w:sz w:val="20"/>
        </w:rPr>
        <w:t xml:space="preserve"> </w:t>
      </w:r>
      <w:r>
        <w:rPr>
          <w:b/>
          <w:sz w:val="20"/>
          <w:u w:val="single"/>
        </w:rPr>
        <w:t>instituição</w:t>
      </w:r>
      <w:r>
        <w:rPr>
          <w:b/>
          <w:spacing w:val="-2"/>
          <w:sz w:val="20"/>
          <w:u w:val="single"/>
        </w:rPr>
        <w:t xml:space="preserve"> </w:t>
      </w:r>
      <w:r>
        <w:rPr>
          <w:b/>
          <w:sz w:val="20"/>
          <w:u w:val="single"/>
        </w:rPr>
        <w:t>de</w:t>
      </w:r>
      <w:r>
        <w:rPr>
          <w:b/>
          <w:spacing w:val="-1"/>
          <w:sz w:val="20"/>
          <w:u w:val="single"/>
        </w:rPr>
        <w:t xml:space="preserve"> </w:t>
      </w:r>
      <w:r>
        <w:rPr>
          <w:b/>
          <w:sz w:val="20"/>
          <w:u w:val="single"/>
        </w:rPr>
        <w:t>um valor venal</w:t>
      </w:r>
      <w:r>
        <w:rPr>
          <w:b/>
          <w:spacing w:val="-2"/>
          <w:sz w:val="20"/>
          <w:u w:val="single"/>
        </w:rPr>
        <w:t xml:space="preserve"> </w:t>
      </w:r>
      <w:r>
        <w:rPr>
          <w:b/>
          <w:sz w:val="20"/>
          <w:u w:val="single"/>
        </w:rPr>
        <w:t>distinto daquele</w:t>
      </w:r>
      <w:r>
        <w:rPr>
          <w:b/>
          <w:spacing w:val="-1"/>
          <w:sz w:val="20"/>
          <w:u w:val="single"/>
        </w:rPr>
        <w:t xml:space="preserve"> </w:t>
      </w:r>
      <w:r>
        <w:rPr>
          <w:b/>
          <w:sz w:val="20"/>
          <w:u w:val="single"/>
        </w:rPr>
        <w:t>utilizado para o</w:t>
      </w:r>
      <w:r>
        <w:rPr>
          <w:b/>
          <w:spacing w:val="-2"/>
          <w:sz w:val="20"/>
          <w:u w:val="single"/>
        </w:rPr>
        <w:t xml:space="preserve"> </w:t>
      </w:r>
      <w:r>
        <w:rPr>
          <w:b/>
          <w:sz w:val="20"/>
          <w:u w:val="single"/>
        </w:rPr>
        <w:t>IPTU, uma vez</w:t>
      </w:r>
      <w:r>
        <w:rPr>
          <w:b/>
          <w:sz w:val="20"/>
        </w:rPr>
        <w:t xml:space="preserve"> </w:t>
      </w:r>
      <w:r>
        <w:rPr>
          <w:b/>
          <w:sz w:val="20"/>
          <w:u w:val="single"/>
        </w:rPr>
        <w:t>que implica em afronta ao princípio da segurança jurídica</w:t>
      </w:r>
      <w:r>
        <w:rPr>
          <w:sz w:val="20"/>
        </w:rPr>
        <w:t xml:space="preserve">. (...) Nesse sentido, </w:t>
      </w:r>
      <w:r>
        <w:rPr>
          <w:b/>
          <w:sz w:val="20"/>
          <w:u w:val="single"/>
        </w:rPr>
        <w:t>não obstante o IPTU e o ITBI possuam regimes jurídicos</w:t>
      </w:r>
      <w:r>
        <w:rPr>
          <w:b/>
          <w:sz w:val="20"/>
        </w:rPr>
        <w:t xml:space="preserve"> </w:t>
      </w:r>
      <w:r>
        <w:rPr>
          <w:b/>
          <w:sz w:val="20"/>
          <w:u w:val="single"/>
        </w:rPr>
        <w:t>próprios</w:t>
      </w:r>
      <w:r>
        <w:rPr>
          <w:sz w:val="20"/>
        </w:rPr>
        <w:t xml:space="preserve">, tendo ambos a mesma base de cálculo definida em lei complementar (arts. 33 e 38 do CTN), </w:t>
      </w:r>
      <w:r>
        <w:rPr>
          <w:b/>
          <w:sz w:val="20"/>
          <w:u w:val="single"/>
        </w:rPr>
        <w:t>não pode o legislador ordinário</w:t>
      </w:r>
      <w:r>
        <w:rPr>
          <w:b/>
          <w:sz w:val="20"/>
        </w:rPr>
        <w:t xml:space="preserve"> </w:t>
      </w:r>
      <w:r>
        <w:rPr>
          <w:b/>
          <w:sz w:val="20"/>
          <w:u w:val="single"/>
        </w:rPr>
        <w:t>diferenciar a expressão monetária do</w:t>
      </w:r>
      <w:r>
        <w:rPr>
          <w:b/>
          <w:sz w:val="20"/>
        </w:rPr>
        <w:t xml:space="preserve"> </w:t>
      </w:r>
      <w:r>
        <w:rPr>
          <w:b/>
          <w:sz w:val="20"/>
          <w:u w:val="single"/>
        </w:rPr>
        <w:t>valor venal conforme se refira à propriedade ou à transmissão do bem ou do</w:t>
      </w:r>
      <w:r>
        <w:rPr>
          <w:b/>
          <w:sz w:val="20"/>
        </w:rPr>
        <w:t xml:space="preserve"> </w:t>
      </w:r>
      <w:r>
        <w:rPr>
          <w:b/>
          <w:sz w:val="20"/>
          <w:u w:val="single"/>
        </w:rPr>
        <w:t>direito</w:t>
      </w:r>
      <w:r>
        <w:rPr>
          <w:sz w:val="20"/>
        </w:rPr>
        <w:t>. Assim, configura afronta ao princípio da segurança jurídica (art. 5º, caput, da CF) e ao da legalidade estrita (arts. 37, caput e 150, I, da CF), caso, no mesmo exercício, a Prefeitura Municipal adote um valor venal para o cálculo do IPTU e outro, valor venal, mais elevado, para o cálculo do ITBI.</w:t>
      </w:r>
      <w:r>
        <w:rPr>
          <w:spacing w:val="40"/>
          <w:sz w:val="20"/>
        </w:rPr>
        <w:t xml:space="preserve"> </w:t>
      </w:r>
      <w:r>
        <w:rPr>
          <w:sz w:val="20"/>
        </w:rPr>
        <w:t>Por essas razões, a base de cálculo do ITBI deve corresponder ao valor venal do bem imóvel transferido e, caso este valor seja</w:t>
      </w:r>
      <w:r>
        <w:rPr>
          <w:spacing w:val="-1"/>
          <w:sz w:val="20"/>
        </w:rPr>
        <w:t xml:space="preserve"> </w:t>
      </w:r>
      <w:r>
        <w:rPr>
          <w:sz w:val="20"/>
        </w:rPr>
        <w:t xml:space="preserve">inferior ao da negociação, deve prevalecer este último. </w:t>
      </w:r>
      <w:r>
        <w:rPr>
          <w:b/>
          <w:sz w:val="20"/>
        </w:rPr>
        <w:t xml:space="preserve">(TJSP; IRDR 2243516-62.2017.8.26.0000; Relator (a): Burza Neto; Órgão Julgador: Órgão Especial; Data do Julgamento: 23/05/2019). </w:t>
      </w:r>
      <w:r>
        <w:rPr>
          <w:sz w:val="20"/>
          <w:vertAlign w:val="superscript"/>
        </w:rPr>
        <w:t>16</w:t>
      </w:r>
    </w:p>
    <w:p w:rsidR="007259F2" w:rsidRDefault="00E655B4">
      <w:pPr>
        <w:pStyle w:val="Corpodetexto"/>
        <w:spacing w:before="197"/>
        <w:ind w:right="423"/>
      </w:pPr>
      <w:r>
        <w:t>Em</w:t>
      </w:r>
      <w:r>
        <w:rPr>
          <w:spacing w:val="-15"/>
        </w:rPr>
        <w:t xml:space="preserve"> </w:t>
      </w:r>
      <w:r>
        <w:t>linhas</w:t>
      </w:r>
      <w:r>
        <w:rPr>
          <w:spacing w:val="-3"/>
        </w:rPr>
        <w:t xml:space="preserve"> </w:t>
      </w:r>
      <w:r>
        <w:t>gerais,</w:t>
      </w:r>
      <w:r>
        <w:rPr>
          <w:spacing w:val="-4"/>
        </w:rPr>
        <w:t xml:space="preserve"> </w:t>
      </w:r>
      <w:r>
        <w:t>o</w:t>
      </w:r>
      <w:r>
        <w:rPr>
          <w:spacing w:val="-15"/>
        </w:rPr>
        <w:t xml:space="preserve"> </w:t>
      </w:r>
      <w:r>
        <w:t>Tribunal</w:t>
      </w:r>
      <w:r>
        <w:rPr>
          <w:spacing w:val="-5"/>
        </w:rPr>
        <w:t xml:space="preserve"> </w:t>
      </w:r>
      <w:r>
        <w:t>entendeu</w:t>
      </w:r>
      <w:r>
        <w:rPr>
          <w:spacing w:val="-13"/>
        </w:rPr>
        <w:t xml:space="preserve"> </w:t>
      </w:r>
      <w:r>
        <w:t>pela</w:t>
      </w:r>
      <w:r>
        <w:rPr>
          <w:spacing w:val="-13"/>
        </w:rPr>
        <w:t xml:space="preserve"> </w:t>
      </w:r>
      <w:r>
        <w:t>impossibilidade</w:t>
      </w:r>
      <w:r>
        <w:rPr>
          <w:spacing w:val="-15"/>
        </w:rPr>
        <w:t xml:space="preserve"> </w:t>
      </w:r>
      <w:r>
        <w:t>de</w:t>
      </w:r>
      <w:r>
        <w:rPr>
          <w:spacing w:val="-9"/>
        </w:rPr>
        <w:t xml:space="preserve"> </w:t>
      </w:r>
      <w:r>
        <w:t>adoção</w:t>
      </w:r>
      <w:r>
        <w:rPr>
          <w:spacing w:val="-12"/>
        </w:rPr>
        <w:t xml:space="preserve"> </w:t>
      </w:r>
      <w:r>
        <w:t>do</w:t>
      </w:r>
      <w:r>
        <w:rPr>
          <w:spacing w:val="-8"/>
        </w:rPr>
        <w:t xml:space="preserve"> </w:t>
      </w:r>
      <w:r>
        <w:t>valor</w:t>
      </w:r>
      <w:r>
        <w:rPr>
          <w:spacing w:val="-2"/>
        </w:rPr>
        <w:t xml:space="preserve"> </w:t>
      </w:r>
      <w:r>
        <w:t>venal</w:t>
      </w:r>
      <w:r>
        <w:rPr>
          <w:spacing w:val="-1"/>
        </w:rPr>
        <w:t xml:space="preserve"> </w:t>
      </w:r>
      <w:r>
        <w:t>de referência,</w:t>
      </w:r>
      <w:r>
        <w:rPr>
          <w:spacing w:val="38"/>
        </w:rPr>
        <w:t xml:space="preserve"> </w:t>
      </w:r>
      <w:r>
        <w:t>devendo,</w:t>
      </w:r>
      <w:r>
        <w:rPr>
          <w:spacing w:val="41"/>
        </w:rPr>
        <w:t xml:space="preserve"> </w:t>
      </w:r>
      <w:r>
        <w:t>portanto,</w:t>
      </w:r>
      <w:r>
        <w:rPr>
          <w:spacing w:val="41"/>
        </w:rPr>
        <w:t xml:space="preserve"> </w:t>
      </w:r>
      <w:r>
        <w:t>o</w:t>
      </w:r>
      <w:r>
        <w:rPr>
          <w:spacing w:val="40"/>
        </w:rPr>
        <w:t xml:space="preserve"> </w:t>
      </w:r>
      <w:r>
        <w:t>contribuinte</w:t>
      </w:r>
      <w:r>
        <w:rPr>
          <w:spacing w:val="41"/>
        </w:rPr>
        <w:t xml:space="preserve"> </w:t>
      </w:r>
      <w:r>
        <w:t>recolher</w:t>
      </w:r>
      <w:r>
        <w:rPr>
          <w:spacing w:val="40"/>
        </w:rPr>
        <w:t xml:space="preserve"> </w:t>
      </w:r>
      <w:r>
        <w:t>o</w:t>
      </w:r>
      <w:r>
        <w:rPr>
          <w:spacing w:val="43"/>
        </w:rPr>
        <w:t xml:space="preserve"> </w:t>
      </w:r>
      <w:r>
        <w:t>ITBI</w:t>
      </w:r>
      <w:r>
        <w:rPr>
          <w:spacing w:val="41"/>
        </w:rPr>
        <w:t xml:space="preserve"> </w:t>
      </w:r>
      <w:r>
        <w:t>com</w:t>
      </w:r>
      <w:r>
        <w:rPr>
          <w:spacing w:val="42"/>
        </w:rPr>
        <w:t xml:space="preserve"> </w:t>
      </w:r>
      <w:r>
        <w:t>base</w:t>
      </w:r>
      <w:r>
        <w:rPr>
          <w:spacing w:val="42"/>
        </w:rPr>
        <w:t xml:space="preserve"> </w:t>
      </w:r>
      <w:r>
        <w:t>no</w:t>
      </w:r>
      <w:r>
        <w:rPr>
          <w:spacing w:val="41"/>
        </w:rPr>
        <w:t xml:space="preserve"> </w:t>
      </w:r>
      <w:r>
        <w:t>valor</w:t>
      </w:r>
      <w:r>
        <w:rPr>
          <w:spacing w:val="41"/>
        </w:rPr>
        <w:t xml:space="preserve"> </w:t>
      </w:r>
      <w:r>
        <w:t>venal</w:t>
      </w:r>
      <w:r>
        <w:rPr>
          <w:spacing w:val="42"/>
        </w:rPr>
        <w:t xml:space="preserve"> </w:t>
      </w:r>
      <w:r>
        <w:rPr>
          <w:spacing w:val="-5"/>
        </w:rPr>
        <w:t>do</w:t>
      </w:r>
    </w:p>
    <w:p w:rsidR="007259F2" w:rsidRDefault="00DE6B1C">
      <w:pPr>
        <w:pStyle w:val="Corpodetexto"/>
        <w:spacing w:before="11"/>
        <w:ind w:left="0" w:firstLine="0"/>
        <w:jc w:val="left"/>
        <w:rPr>
          <w:sz w:val="19"/>
        </w:rPr>
      </w:pPr>
      <w:r w:rsidRPr="00DE6B1C">
        <w:rPr>
          <w:sz w:val="19"/>
        </w:rPr>
        <w:pict>
          <v:rect id="docshape122" o:spid="_x0000_s1106" style="position:absolute;margin-left:85.1pt;margin-top:12.7pt;width:453.65pt;height:.7pt;z-index:-15676416;mso-wrap-distance-left:0;mso-wrap-distance-right:0;mso-position-horizontal-relative:page" fillcolor="black" stroked="f">
            <w10:wrap type="topAndBottom" anchorx="page"/>
          </v:rect>
        </w:pict>
      </w:r>
    </w:p>
    <w:p w:rsidR="007259F2" w:rsidRDefault="00E655B4">
      <w:pPr>
        <w:spacing w:before="94"/>
        <w:ind w:left="710" w:right="422"/>
        <w:jc w:val="both"/>
        <w:rPr>
          <w:sz w:val="20"/>
        </w:rPr>
      </w:pPr>
      <w:r>
        <w:rPr>
          <w:sz w:val="20"/>
        </w:rPr>
        <w:t>complementar tributária, em afronta ao princípio da legalidade estrita, inserido no artigo 150, inciso I, da Constituição Federal. Inadmissibilidade, ainda, de se exigir o recolhimento antecipado do tributo, nos moldes estabelecidos no artigo 12 da Lei Municipal nº 11.154/91, por representar violação ao preceito do artigo 156, inciso II, da Constituição Federal. Registro imobiliário que é constitutivo da propriedade, não tendo efeito meramente regularizador e publicitário, razão pela qual deve ser tomado como fato gerador do ITBI. Regime constitucional</w:t>
      </w:r>
      <w:r>
        <w:rPr>
          <w:spacing w:val="-2"/>
          <w:sz w:val="20"/>
        </w:rPr>
        <w:t xml:space="preserve"> </w:t>
      </w:r>
      <w:r>
        <w:rPr>
          <w:sz w:val="20"/>
        </w:rPr>
        <w:t>da</w:t>
      </w:r>
      <w:r>
        <w:rPr>
          <w:spacing w:val="-4"/>
          <w:sz w:val="20"/>
        </w:rPr>
        <w:t xml:space="preserve"> </w:t>
      </w:r>
      <w:r>
        <w:rPr>
          <w:sz w:val="20"/>
        </w:rPr>
        <w:t>substituição tributária, previsto no</w:t>
      </w:r>
      <w:r>
        <w:rPr>
          <w:spacing w:val="-4"/>
          <w:sz w:val="20"/>
        </w:rPr>
        <w:t xml:space="preserve"> </w:t>
      </w:r>
      <w:r>
        <w:rPr>
          <w:sz w:val="20"/>
        </w:rPr>
        <w:t>artigo</w:t>
      </w:r>
      <w:r>
        <w:rPr>
          <w:spacing w:val="-3"/>
          <w:sz w:val="20"/>
        </w:rPr>
        <w:t xml:space="preserve"> </w:t>
      </w:r>
      <w:r>
        <w:rPr>
          <w:sz w:val="20"/>
        </w:rPr>
        <w:t>150,</w:t>
      </w:r>
      <w:r>
        <w:rPr>
          <w:spacing w:val="-6"/>
          <w:sz w:val="20"/>
        </w:rPr>
        <w:t xml:space="preserve"> </w:t>
      </w:r>
      <w:r>
        <w:rPr>
          <w:sz w:val="20"/>
        </w:rPr>
        <w:t>§</w:t>
      </w:r>
      <w:r>
        <w:rPr>
          <w:spacing w:val="-4"/>
          <w:sz w:val="20"/>
        </w:rPr>
        <w:t xml:space="preserve"> </w:t>
      </w:r>
      <w:r>
        <w:rPr>
          <w:sz w:val="20"/>
        </w:rPr>
        <w:t>7º, da Constituição Federal, que nem tem lugar na</w:t>
      </w:r>
      <w:r>
        <w:rPr>
          <w:spacing w:val="-3"/>
          <w:sz w:val="20"/>
        </w:rPr>
        <w:t xml:space="preserve"> </w:t>
      </w:r>
      <w:r>
        <w:rPr>
          <w:sz w:val="20"/>
        </w:rPr>
        <w:t>espécie,</w:t>
      </w:r>
      <w:r>
        <w:rPr>
          <w:spacing w:val="-3"/>
          <w:sz w:val="20"/>
        </w:rPr>
        <w:t xml:space="preserve"> </w:t>
      </w:r>
      <w:r>
        <w:rPr>
          <w:sz w:val="20"/>
        </w:rPr>
        <w:t>haja</w:t>
      </w:r>
      <w:r>
        <w:rPr>
          <w:spacing w:val="-3"/>
          <w:sz w:val="20"/>
        </w:rPr>
        <w:t xml:space="preserve"> </w:t>
      </w:r>
      <w:r>
        <w:rPr>
          <w:sz w:val="20"/>
        </w:rPr>
        <w:t>vista</w:t>
      </w:r>
      <w:r>
        <w:rPr>
          <w:spacing w:val="-3"/>
          <w:sz w:val="20"/>
        </w:rPr>
        <w:t xml:space="preserve"> </w:t>
      </w:r>
      <w:r>
        <w:rPr>
          <w:sz w:val="20"/>
        </w:rPr>
        <w:t>que</w:t>
      </w:r>
      <w:r>
        <w:rPr>
          <w:spacing w:val="-3"/>
          <w:sz w:val="20"/>
        </w:rPr>
        <w:t xml:space="preserve"> </w:t>
      </w:r>
      <w:r>
        <w:rPr>
          <w:sz w:val="20"/>
        </w:rPr>
        <w:t>não se</w:t>
      </w:r>
      <w:r>
        <w:rPr>
          <w:spacing w:val="-3"/>
          <w:sz w:val="20"/>
        </w:rPr>
        <w:t xml:space="preserve"> </w:t>
      </w:r>
      <w:r>
        <w:rPr>
          <w:sz w:val="20"/>
        </w:rPr>
        <w:t>cuida</w:t>
      </w:r>
      <w:r>
        <w:rPr>
          <w:spacing w:val="-3"/>
          <w:sz w:val="20"/>
        </w:rPr>
        <w:t xml:space="preserve"> </w:t>
      </w:r>
      <w:r>
        <w:rPr>
          <w:sz w:val="20"/>
        </w:rPr>
        <w:t>de</w:t>
      </w:r>
      <w:r>
        <w:rPr>
          <w:spacing w:val="-3"/>
          <w:sz w:val="20"/>
        </w:rPr>
        <w:t xml:space="preserve"> </w:t>
      </w:r>
      <w:r>
        <w:rPr>
          <w:sz w:val="20"/>
        </w:rPr>
        <w:t>norma</w:t>
      </w:r>
      <w:r>
        <w:rPr>
          <w:spacing w:val="-3"/>
          <w:sz w:val="20"/>
        </w:rPr>
        <w:t xml:space="preserve"> </w:t>
      </w:r>
      <w:r>
        <w:rPr>
          <w:sz w:val="20"/>
        </w:rPr>
        <w:t>que</w:t>
      </w:r>
      <w:r>
        <w:rPr>
          <w:spacing w:val="-3"/>
          <w:sz w:val="20"/>
        </w:rPr>
        <w:t xml:space="preserve"> </w:t>
      </w:r>
      <w:r>
        <w:rPr>
          <w:sz w:val="20"/>
        </w:rPr>
        <w:t>autoriza</w:t>
      </w:r>
      <w:r>
        <w:rPr>
          <w:spacing w:val="-3"/>
          <w:sz w:val="20"/>
        </w:rPr>
        <w:t xml:space="preserve"> </w:t>
      </w:r>
      <w:r>
        <w:rPr>
          <w:sz w:val="20"/>
        </w:rPr>
        <w:t>a</w:t>
      </w:r>
      <w:r>
        <w:rPr>
          <w:spacing w:val="-3"/>
          <w:sz w:val="20"/>
        </w:rPr>
        <w:t xml:space="preserve"> </w:t>
      </w:r>
      <w:r>
        <w:rPr>
          <w:sz w:val="20"/>
        </w:rPr>
        <w:t>antecipação da</w:t>
      </w:r>
      <w:r>
        <w:rPr>
          <w:spacing w:val="-5"/>
          <w:sz w:val="20"/>
        </w:rPr>
        <w:t xml:space="preserve"> </w:t>
      </w:r>
      <w:r>
        <w:rPr>
          <w:sz w:val="20"/>
        </w:rPr>
        <w:t>exigibilidade</w:t>
      </w:r>
      <w:r>
        <w:rPr>
          <w:spacing w:val="-3"/>
          <w:sz w:val="20"/>
        </w:rPr>
        <w:t xml:space="preserve"> </w:t>
      </w:r>
      <w:r>
        <w:rPr>
          <w:sz w:val="20"/>
        </w:rPr>
        <w:t>do</w:t>
      </w:r>
      <w:r>
        <w:rPr>
          <w:spacing w:val="-4"/>
          <w:sz w:val="20"/>
        </w:rPr>
        <w:t xml:space="preserve"> </w:t>
      </w:r>
      <w:r>
        <w:rPr>
          <w:sz w:val="20"/>
        </w:rPr>
        <w:t>imposto</w:t>
      </w:r>
      <w:r>
        <w:rPr>
          <w:spacing w:val="-4"/>
          <w:sz w:val="20"/>
        </w:rPr>
        <w:t xml:space="preserve"> </w:t>
      </w:r>
      <w:r>
        <w:rPr>
          <w:sz w:val="20"/>
        </w:rPr>
        <w:t>de</w:t>
      </w:r>
      <w:r>
        <w:rPr>
          <w:spacing w:val="-3"/>
          <w:sz w:val="20"/>
        </w:rPr>
        <w:t xml:space="preserve"> </w:t>
      </w:r>
      <w:r>
        <w:rPr>
          <w:sz w:val="20"/>
        </w:rPr>
        <w:t>forma irrestrita. Arguição acolhida para o fim</w:t>
      </w:r>
      <w:r>
        <w:rPr>
          <w:spacing w:val="-1"/>
          <w:sz w:val="20"/>
        </w:rPr>
        <w:t xml:space="preserve"> </w:t>
      </w:r>
      <w:r>
        <w:rPr>
          <w:sz w:val="20"/>
        </w:rPr>
        <w:t>de pronunciar a inconstitucionalidade dos artigos 7º-A, 7º-B e 12, da Lei nº 11.154/91, do Município de São Paulo.</w:t>
      </w:r>
    </w:p>
    <w:p w:rsidR="007259F2" w:rsidRDefault="00E655B4">
      <w:pPr>
        <w:spacing w:before="1"/>
        <w:ind w:left="710" w:right="419"/>
        <w:jc w:val="both"/>
        <w:rPr>
          <w:sz w:val="20"/>
        </w:rPr>
      </w:pPr>
      <w:r>
        <w:rPr>
          <w:sz w:val="20"/>
          <w:vertAlign w:val="superscript"/>
        </w:rPr>
        <w:t>15</w:t>
      </w:r>
      <w:r>
        <w:rPr>
          <w:sz w:val="20"/>
        </w:rPr>
        <w:t xml:space="preserve"> MAJDOUB, Mohamed. Município de São Paulo retira consulta do valor venal de referência. </w:t>
      </w:r>
      <w:r>
        <w:rPr>
          <w:b/>
          <w:sz w:val="20"/>
        </w:rPr>
        <w:t>Migalhas</w:t>
      </w:r>
      <w:r>
        <w:rPr>
          <w:i/>
          <w:sz w:val="20"/>
        </w:rPr>
        <w:t xml:space="preserve">, </w:t>
      </w:r>
      <w:r>
        <w:rPr>
          <w:sz w:val="20"/>
        </w:rPr>
        <w:t xml:space="preserve">2023. Disponível em: </w:t>
      </w:r>
      <w:hyperlink r:id="rId190">
        <w:r>
          <w:rPr>
            <w:color w:val="0000FF"/>
            <w:sz w:val="20"/>
            <w:u w:val="single" w:color="0000FF"/>
          </w:rPr>
          <w:t>https://www.migalhas.com.br/depeso/344058/municipio-de-sao-paulo-retira-consulta-do-valor-</w:t>
        </w:r>
      </w:hyperlink>
      <w:r>
        <w:rPr>
          <w:color w:val="0000FF"/>
          <w:sz w:val="20"/>
        </w:rPr>
        <w:t xml:space="preserve"> </w:t>
      </w:r>
      <w:hyperlink r:id="rId191">
        <w:r>
          <w:rPr>
            <w:color w:val="0000FF"/>
            <w:sz w:val="20"/>
            <w:u w:val="single" w:color="0000FF"/>
          </w:rPr>
          <w:t>venal-de-referencia</w:t>
        </w:r>
      </w:hyperlink>
      <w:r>
        <w:rPr>
          <w:color w:val="0000FF"/>
          <w:sz w:val="20"/>
        </w:rPr>
        <w:t xml:space="preserve"> </w:t>
      </w:r>
      <w:r>
        <w:rPr>
          <w:sz w:val="20"/>
        </w:rPr>
        <w:t>Acesso em: 14 dez. 2023.</w:t>
      </w:r>
    </w:p>
    <w:p w:rsidR="007259F2" w:rsidRDefault="00E655B4">
      <w:pPr>
        <w:ind w:left="710" w:right="419"/>
        <w:jc w:val="both"/>
        <w:rPr>
          <w:sz w:val="20"/>
        </w:rPr>
      </w:pPr>
      <w:r>
        <w:rPr>
          <w:sz w:val="20"/>
          <w:vertAlign w:val="superscript"/>
        </w:rPr>
        <w:t>16</w:t>
      </w:r>
      <w:r>
        <w:rPr>
          <w:sz w:val="20"/>
        </w:rPr>
        <w:t xml:space="preserve"> Ementa: Incidente de Resolução de Demandas Repetitivas - ITBI -</w:t>
      </w:r>
      <w:r>
        <w:rPr>
          <w:spacing w:val="-1"/>
          <w:sz w:val="20"/>
        </w:rPr>
        <w:t xml:space="preserve"> </w:t>
      </w:r>
      <w:r>
        <w:rPr>
          <w:sz w:val="20"/>
        </w:rPr>
        <w:t>Base de Cálculo -</w:t>
      </w:r>
      <w:r>
        <w:rPr>
          <w:spacing w:val="-1"/>
          <w:sz w:val="20"/>
        </w:rPr>
        <w:t xml:space="preserve"> </w:t>
      </w:r>
      <w:r>
        <w:rPr>
          <w:sz w:val="20"/>
        </w:rPr>
        <w:t>Deve ser calculado</w:t>
      </w:r>
      <w:r>
        <w:rPr>
          <w:spacing w:val="-11"/>
          <w:sz w:val="20"/>
        </w:rPr>
        <w:t xml:space="preserve"> </w:t>
      </w:r>
      <w:r>
        <w:rPr>
          <w:sz w:val="20"/>
        </w:rPr>
        <w:t>sobre o valor do negócio jurídico realizado ou sobre o valor venal do imóvel para fins de IPTU, aquele que for maior, afastando o “valor de referência” - Ilegalidade da apuração do valor venal previsto em desacordo com o CTN - Ofensa ao princípio da legalidade tributária, artigo 150, inciso I da CF Precedentes -</w:t>
      </w:r>
      <w:r>
        <w:rPr>
          <w:spacing w:val="-4"/>
          <w:sz w:val="20"/>
        </w:rPr>
        <w:t xml:space="preserve"> </w:t>
      </w:r>
      <w:r>
        <w:rPr>
          <w:sz w:val="20"/>
        </w:rPr>
        <w:t>IRDR</w:t>
      </w:r>
      <w:r>
        <w:rPr>
          <w:spacing w:val="-3"/>
          <w:sz w:val="20"/>
        </w:rPr>
        <w:t xml:space="preserve"> </w:t>
      </w:r>
      <w:r>
        <w:rPr>
          <w:sz w:val="20"/>
        </w:rPr>
        <w:t>Provido</w:t>
      </w:r>
      <w:r>
        <w:rPr>
          <w:spacing w:val="-1"/>
          <w:sz w:val="20"/>
        </w:rPr>
        <w:t xml:space="preserve"> </w:t>
      </w:r>
      <w:r>
        <w:rPr>
          <w:sz w:val="20"/>
        </w:rPr>
        <w:t>para</w:t>
      </w:r>
      <w:r>
        <w:rPr>
          <w:spacing w:val="-4"/>
          <w:sz w:val="20"/>
        </w:rPr>
        <w:t xml:space="preserve"> </w:t>
      </w:r>
      <w:r>
        <w:rPr>
          <w:sz w:val="20"/>
        </w:rPr>
        <w:t>fixar</w:t>
      </w:r>
      <w:r>
        <w:rPr>
          <w:spacing w:val="-2"/>
          <w:sz w:val="20"/>
        </w:rPr>
        <w:t xml:space="preserve"> </w:t>
      </w:r>
      <w:r>
        <w:rPr>
          <w:sz w:val="20"/>
        </w:rPr>
        <w:t>a tese</w:t>
      </w:r>
      <w:r>
        <w:rPr>
          <w:spacing w:val="-13"/>
          <w:sz w:val="20"/>
        </w:rPr>
        <w:t xml:space="preserve"> </w:t>
      </w:r>
      <w:r>
        <w:rPr>
          <w:sz w:val="20"/>
        </w:rPr>
        <w:t>jurídica</w:t>
      </w:r>
      <w:r>
        <w:rPr>
          <w:spacing w:val="-12"/>
          <w:sz w:val="20"/>
        </w:rPr>
        <w:t xml:space="preserve"> </w:t>
      </w:r>
      <w:r>
        <w:rPr>
          <w:sz w:val="20"/>
        </w:rPr>
        <w:t>da</w:t>
      </w:r>
      <w:r>
        <w:rPr>
          <w:spacing w:val="-11"/>
          <w:sz w:val="20"/>
        </w:rPr>
        <w:t xml:space="preserve"> </w:t>
      </w:r>
      <w:r>
        <w:rPr>
          <w:sz w:val="20"/>
        </w:rPr>
        <w:t>base</w:t>
      </w:r>
      <w:r>
        <w:rPr>
          <w:spacing w:val="-13"/>
          <w:sz w:val="20"/>
        </w:rPr>
        <w:t xml:space="preserve"> </w:t>
      </w:r>
      <w:r>
        <w:rPr>
          <w:sz w:val="20"/>
        </w:rPr>
        <w:t>de</w:t>
      </w:r>
      <w:r>
        <w:rPr>
          <w:spacing w:val="-12"/>
          <w:sz w:val="20"/>
        </w:rPr>
        <w:t xml:space="preserve"> </w:t>
      </w:r>
      <w:r>
        <w:rPr>
          <w:sz w:val="20"/>
        </w:rPr>
        <w:t>cálculo</w:t>
      </w:r>
      <w:r>
        <w:rPr>
          <w:spacing w:val="-9"/>
          <w:sz w:val="20"/>
        </w:rPr>
        <w:t xml:space="preserve"> </w:t>
      </w:r>
      <w:r>
        <w:rPr>
          <w:sz w:val="20"/>
        </w:rPr>
        <w:t>do</w:t>
      </w:r>
      <w:r>
        <w:rPr>
          <w:spacing w:val="-12"/>
          <w:sz w:val="20"/>
        </w:rPr>
        <w:t xml:space="preserve"> </w:t>
      </w:r>
      <w:r>
        <w:rPr>
          <w:sz w:val="20"/>
        </w:rPr>
        <w:t>ITBI,</w:t>
      </w:r>
      <w:r>
        <w:rPr>
          <w:spacing w:val="-8"/>
          <w:sz w:val="20"/>
        </w:rPr>
        <w:t xml:space="preserve"> </w:t>
      </w:r>
      <w:r>
        <w:rPr>
          <w:sz w:val="20"/>
        </w:rPr>
        <w:t>devendo</w:t>
      </w:r>
      <w:r>
        <w:rPr>
          <w:spacing w:val="-12"/>
          <w:sz w:val="20"/>
        </w:rPr>
        <w:t xml:space="preserve"> </w:t>
      </w:r>
      <w:r>
        <w:rPr>
          <w:sz w:val="20"/>
        </w:rPr>
        <w:t>corresponder ao valor venal do imóvel ou ao valor da transação, prevalecendo o que for maior.</w:t>
      </w:r>
    </w:p>
    <w:p w:rsidR="007259F2" w:rsidRDefault="007259F2">
      <w:pPr>
        <w:jc w:val="both"/>
        <w:rPr>
          <w:sz w:val="20"/>
        </w:rPr>
        <w:sectPr w:rsidR="007259F2">
          <w:pgSz w:w="11910" w:h="16840"/>
          <w:pgMar w:top="1600" w:right="708" w:bottom="1020" w:left="992" w:header="0" w:footer="820" w:gutter="0"/>
          <w:cols w:space="720"/>
        </w:sectPr>
      </w:pPr>
    </w:p>
    <w:p w:rsidR="007259F2" w:rsidRDefault="00E655B4">
      <w:pPr>
        <w:pStyle w:val="Corpodetexto"/>
        <w:spacing w:before="75"/>
        <w:ind w:firstLine="0"/>
      </w:pPr>
      <w:r>
        <w:lastRenderedPageBreak/>
        <w:t>IPTU</w:t>
      </w:r>
      <w:r>
        <w:rPr>
          <w:spacing w:val="-1"/>
        </w:rPr>
        <w:t xml:space="preserve"> </w:t>
      </w:r>
      <w:r>
        <w:t>ou</w:t>
      </w:r>
      <w:r>
        <w:rPr>
          <w:spacing w:val="-1"/>
        </w:rPr>
        <w:t xml:space="preserve"> </w:t>
      </w:r>
      <w:r>
        <w:t>valor</w:t>
      </w:r>
      <w:r>
        <w:rPr>
          <w:spacing w:val="-1"/>
        </w:rPr>
        <w:t xml:space="preserve"> </w:t>
      </w:r>
      <w:r>
        <w:t>da</w:t>
      </w:r>
      <w:r>
        <w:rPr>
          <w:spacing w:val="-2"/>
        </w:rPr>
        <w:t xml:space="preserve"> </w:t>
      </w:r>
      <w:r>
        <w:t>transação,</w:t>
      </w:r>
      <w:r>
        <w:rPr>
          <w:spacing w:val="-1"/>
        </w:rPr>
        <w:t xml:space="preserve"> </w:t>
      </w:r>
      <w:r>
        <w:t>o</w:t>
      </w:r>
      <w:r>
        <w:rPr>
          <w:spacing w:val="-1"/>
        </w:rPr>
        <w:t xml:space="preserve"> </w:t>
      </w:r>
      <w:r>
        <w:t>que</w:t>
      </w:r>
      <w:r>
        <w:rPr>
          <w:spacing w:val="-2"/>
        </w:rPr>
        <w:t xml:space="preserve"> </w:t>
      </w:r>
      <w:r>
        <w:t>for</w:t>
      </w:r>
      <w:r>
        <w:rPr>
          <w:spacing w:val="-1"/>
        </w:rPr>
        <w:t xml:space="preserve"> </w:t>
      </w:r>
      <w:r>
        <w:rPr>
          <w:spacing w:val="-2"/>
        </w:rPr>
        <w:t>superior.</w:t>
      </w:r>
    </w:p>
    <w:p w:rsidR="007259F2" w:rsidRDefault="00E655B4">
      <w:pPr>
        <w:pStyle w:val="Corpodetexto"/>
        <w:ind w:right="430"/>
      </w:pPr>
      <w:r>
        <w:t>Antes</w:t>
      </w:r>
      <w:r>
        <w:rPr>
          <w:spacing w:val="-1"/>
        </w:rPr>
        <w:t xml:space="preserve"> </w:t>
      </w:r>
      <w:r>
        <w:t>de</w:t>
      </w:r>
      <w:r>
        <w:rPr>
          <w:spacing w:val="-2"/>
        </w:rPr>
        <w:t xml:space="preserve"> </w:t>
      </w:r>
      <w:r>
        <w:t>pontuar</w:t>
      </w:r>
      <w:r>
        <w:rPr>
          <w:spacing w:val="-2"/>
        </w:rPr>
        <w:t xml:space="preserve"> </w:t>
      </w:r>
      <w:r>
        <w:t>os</w:t>
      </w:r>
      <w:r>
        <w:rPr>
          <w:spacing w:val="-1"/>
        </w:rPr>
        <w:t xml:space="preserve"> </w:t>
      </w:r>
      <w:r>
        <w:t>fundamentos</w:t>
      </w:r>
      <w:r>
        <w:rPr>
          <w:spacing w:val="-1"/>
        </w:rPr>
        <w:t xml:space="preserve"> </w:t>
      </w:r>
      <w:r>
        <w:t>adotados</w:t>
      </w:r>
      <w:r>
        <w:rPr>
          <w:spacing w:val="-2"/>
        </w:rPr>
        <w:t xml:space="preserve"> </w:t>
      </w:r>
      <w:r>
        <w:t>pela</w:t>
      </w:r>
      <w:r>
        <w:rPr>
          <w:spacing w:val="-2"/>
        </w:rPr>
        <w:t xml:space="preserve"> </w:t>
      </w:r>
      <w:r>
        <w:t>corte,</w:t>
      </w:r>
      <w:r>
        <w:rPr>
          <w:spacing w:val="-2"/>
        </w:rPr>
        <w:t xml:space="preserve"> </w:t>
      </w:r>
      <w:r>
        <w:t>necessário contextualizar</w:t>
      </w:r>
      <w:r>
        <w:rPr>
          <w:spacing w:val="-2"/>
        </w:rPr>
        <w:t xml:space="preserve"> </w:t>
      </w:r>
      <w:r>
        <w:t>a</w:t>
      </w:r>
      <w:r>
        <w:rPr>
          <w:spacing w:val="-2"/>
        </w:rPr>
        <w:t xml:space="preserve"> </w:t>
      </w:r>
      <w:r>
        <w:t>ação que resultou no Incidente de Resolução de Demandas Repetitivas (Tema 19).</w:t>
      </w:r>
    </w:p>
    <w:p w:rsidR="007259F2" w:rsidRDefault="00E655B4">
      <w:pPr>
        <w:pStyle w:val="Corpodetexto"/>
        <w:ind w:right="422"/>
      </w:pPr>
      <w:r>
        <w:t>Em dezembro de 2017, a Fortress Negócios Imobiliários Ltda., pessoa jurídica de direito privado, acionou o Poder Judiciário arguindo que, em razão da incorporação ao seu patrimônio, em realização de capital, de três imóveis, localizados em municípios distintos, incorreu na prática do fato gerador relativo ao Imposto sobre a Transmissão de Bens Imóveis (ITBI), já que não se enquadrava na hipótese de imunidade tributária prevista no artigo 156, § 2º, inciso I, da Constituição Federal.</w:t>
      </w:r>
    </w:p>
    <w:p w:rsidR="007259F2" w:rsidRDefault="00E655B4">
      <w:pPr>
        <w:pStyle w:val="Corpodetexto"/>
        <w:ind w:right="423"/>
      </w:pPr>
      <w:r>
        <w:t>A empresa asseverou que, em todos os casos, ao efetuar o lançamento do referido imposto,</w:t>
      </w:r>
      <w:r>
        <w:rPr>
          <w:spacing w:val="-15"/>
        </w:rPr>
        <w:t xml:space="preserve"> </w:t>
      </w:r>
      <w:r>
        <w:t>as</w:t>
      </w:r>
      <w:r>
        <w:rPr>
          <w:spacing w:val="-13"/>
        </w:rPr>
        <w:t xml:space="preserve"> </w:t>
      </w:r>
      <w:r>
        <w:t>Municipalidades</w:t>
      </w:r>
      <w:r>
        <w:rPr>
          <w:spacing w:val="-4"/>
        </w:rPr>
        <w:t xml:space="preserve"> </w:t>
      </w:r>
      <w:r>
        <w:t>adotaram</w:t>
      </w:r>
      <w:r>
        <w:rPr>
          <w:spacing w:val="-14"/>
        </w:rPr>
        <w:t xml:space="preserve"> </w:t>
      </w:r>
      <w:r>
        <w:t>como</w:t>
      </w:r>
      <w:r>
        <w:rPr>
          <w:spacing w:val="-15"/>
        </w:rPr>
        <w:t xml:space="preserve"> </w:t>
      </w:r>
      <w:r>
        <w:t>base</w:t>
      </w:r>
      <w:r>
        <w:rPr>
          <w:spacing w:val="-13"/>
        </w:rPr>
        <w:t xml:space="preserve"> </w:t>
      </w:r>
      <w:r>
        <w:t>de</w:t>
      </w:r>
      <w:r>
        <w:rPr>
          <w:spacing w:val="-15"/>
        </w:rPr>
        <w:t xml:space="preserve"> </w:t>
      </w:r>
      <w:r>
        <w:t>cálculo</w:t>
      </w:r>
      <w:r>
        <w:rPr>
          <w:spacing w:val="-7"/>
        </w:rPr>
        <w:t xml:space="preserve"> </w:t>
      </w:r>
      <w:r>
        <w:t>valor</w:t>
      </w:r>
      <w:r>
        <w:rPr>
          <w:spacing w:val="-13"/>
        </w:rPr>
        <w:t xml:space="preserve"> </w:t>
      </w:r>
      <w:r>
        <w:t>distinto</w:t>
      </w:r>
      <w:r>
        <w:rPr>
          <w:spacing w:val="-15"/>
        </w:rPr>
        <w:t xml:space="preserve"> </w:t>
      </w:r>
      <w:r>
        <w:t>ao</w:t>
      </w:r>
      <w:r>
        <w:rPr>
          <w:spacing w:val="-4"/>
        </w:rPr>
        <w:t xml:space="preserve"> </w:t>
      </w:r>
      <w:r>
        <w:t>estabelecido</w:t>
      </w:r>
      <w:r>
        <w:rPr>
          <w:spacing w:val="-4"/>
        </w:rPr>
        <w:t xml:space="preserve"> </w:t>
      </w:r>
      <w:r>
        <w:t xml:space="preserve">pelo artigo 38 do Código Tributário Nacional, impondo a suscitante o recolhimento do ITBI a </w:t>
      </w:r>
      <w:r>
        <w:rPr>
          <w:spacing w:val="-2"/>
        </w:rPr>
        <w:t>maior.</w:t>
      </w:r>
    </w:p>
    <w:p w:rsidR="007259F2" w:rsidRDefault="00E655B4">
      <w:pPr>
        <w:pStyle w:val="Corpodetexto"/>
        <w:spacing w:before="1"/>
        <w:ind w:right="423"/>
      </w:pPr>
      <w:r>
        <w:t>A fim de reaver os valores pagos em questão, a entidade jurídica ajuizou as ações de repetição</w:t>
      </w:r>
      <w:r>
        <w:rPr>
          <w:spacing w:val="-2"/>
        </w:rPr>
        <w:t xml:space="preserve"> </w:t>
      </w:r>
      <w:r>
        <w:t>de</w:t>
      </w:r>
      <w:r>
        <w:rPr>
          <w:spacing w:val="-5"/>
        </w:rPr>
        <w:t xml:space="preserve"> </w:t>
      </w:r>
      <w:r>
        <w:t>indébito</w:t>
      </w:r>
      <w:r>
        <w:rPr>
          <w:spacing w:val="-4"/>
        </w:rPr>
        <w:t xml:space="preserve"> </w:t>
      </w:r>
      <w:r>
        <w:t>fiscal</w:t>
      </w:r>
      <w:r>
        <w:rPr>
          <w:spacing w:val="-4"/>
        </w:rPr>
        <w:t xml:space="preserve"> </w:t>
      </w:r>
      <w:r>
        <w:t>n.º</w:t>
      </w:r>
      <w:r>
        <w:rPr>
          <w:spacing w:val="-4"/>
        </w:rPr>
        <w:t xml:space="preserve"> </w:t>
      </w:r>
      <w:r>
        <w:t>1008270-75.2016.8.26.0053,</w:t>
      </w:r>
      <w:r>
        <w:rPr>
          <w:spacing w:val="-4"/>
        </w:rPr>
        <w:t xml:space="preserve"> </w:t>
      </w:r>
      <w:r>
        <w:t>n.º</w:t>
      </w:r>
      <w:r>
        <w:rPr>
          <w:spacing w:val="-4"/>
        </w:rPr>
        <w:t xml:space="preserve"> </w:t>
      </w:r>
      <w:r>
        <w:t>1001456-</w:t>
      </w:r>
      <w:r>
        <w:rPr>
          <w:spacing w:val="-5"/>
        </w:rPr>
        <w:t xml:space="preserve"> </w:t>
      </w:r>
      <w:r>
        <w:t>27.2016.8.26.0286</w:t>
      </w:r>
      <w:r>
        <w:rPr>
          <w:spacing w:val="-4"/>
        </w:rPr>
        <w:t xml:space="preserve"> </w:t>
      </w:r>
      <w:r>
        <w:t>e n.º 1000276-27.2016.8.26.0075, contra os municípios de São Paulo, Itu e Bertioga.</w:t>
      </w:r>
    </w:p>
    <w:p w:rsidR="007259F2" w:rsidRDefault="00E655B4">
      <w:pPr>
        <w:pStyle w:val="Corpodetexto"/>
        <w:ind w:right="424"/>
      </w:pPr>
      <w:r>
        <w:t>Ocorre que em cada uma</w:t>
      </w:r>
      <w:r>
        <w:rPr>
          <w:spacing w:val="-1"/>
        </w:rPr>
        <w:t xml:space="preserve"> </w:t>
      </w:r>
      <w:r>
        <w:t>das ações os resultados obtidos foram divergentes, e</w:t>
      </w:r>
      <w:r>
        <w:rPr>
          <w:spacing w:val="-10"/>
        </w:rPr>
        <w:t xml:space="preserve"> </w:t>
      </w:r>
      <w:r>
        <w:t>todas as decisões ampararam-se na jurisprudência existente no Tribunal de Justiça do Estado de São Paulo. Sendo assim, em razão da matéria não se encontrar pacificada e visando dirimir controvérsias sobre a questão, instaurou-se o IRDR ora analisado.</w:t>
      </w:r>
    </w:p>
    <w:p w:rsidR="007259F2" w:rsidRDefault="00E655B4">
      <w:pPr>
        <w:pStyle w:val="Corpodetexto"/>
        <w:ind w:right="423"/>
      </w:pPr>
      <w:r>
        <w:t>Diante do julgamento do IRDR n.º 2243516-62.2017.8.26.0000, o Tribunal de Justiça do Estado de São Paulo adotou o posicionamento de que o ITBI deveria ser recolhido com base no</w:t>
      </w:r>
      <w:r>
        <w:rPr>
          <w:spacing w:val="-2"/>
        </w:rPr>
        <w:t xml:space="preserve"> </w:t>
      </w:r>
      <w:r>
        <w:t>valor venal do IPTU ou valor da</w:t>
      </w:r>
      <w:r>
        <w:rPr>
          <w:spacing w:val="-3"/>
        </w:rPr>
        <w:t xml:space="preserve"> </w:t>
      </w:r>
      <w:r>
        <w:t>transação, o que</w:t>
      </w:r>
      <w:r>
        <w:rPr>
          <w:spacing w:val="-3"/>
        </w:rPr>
        <w:t xml:space="preserve"> </w:t>
      </w:r>
      <w:r>
        <w:t>fosse</w:t>
      </w:r>
      <w:r>
        <w:rPr>
          <w:spacing w:val="-3"/>
        </w:rPr>
        <w:t xml:space="preserve"> </w:t>
      </w:r>
      <w:r>
        <w:t>maior.</w:t>
      </w:r>
    </w:p>
    <w:p w:rsidR="007259F2" w:rsidRDefault="00E655B4">
      <w:pPr>
        <w:pStyle w:val="Corpodetexto"/>
        <w:spacing w:before="1"/>
        <w:ind w:right="425"/>
      </w:pPr>
      <w:r>
        <w:t>Na ocasião, a</w:t>
      </w:r>
      <w:r>
        <w:rPr>
          <w:spacing w:val="-2"/>
        </w:rPr>
        <w:t xml:space="preserve"> </w:t>
      </w:r>
      <w:r>
        <w:t>corte entendeu pela ilegalidade da instituição de um valor venal diverso daquele utilizado para o IPTU, visto que caracterizava afronta aos princípios da legalidade estrita e segurança jurídica.</w:t>
      </w:r>
    </w:p>
    <w:p w:rsidR="007259F2" w:rsidRDefault="00E655B4">
      <w:pPr>
        <w:pStyle w:val="Corpodetexto"/>
        <w:ind w:right="424"/>
      </w:pPr>
      <w:r>
        <w:t>Fundamentou-se, também, que, não obstante o IPTU e o ITBI possuam regimes jurídicos próprios, tendo ambos a mesma base de cálculo definida em lei complementar (arts. 33</w:t>
      </w:r>
      <w:r>
        <w:rPr>
          <w:spacing w:val="-10"/>
        </w:rPr>
        <w:t xml:space="preserve"> </w:t>
      </w:r>
      <w:r>
        <w:t>e</w:t>
      </w:r>
      <w:r>
        <w:rPr>
          <w:spacing w:val="-8"/>
        </w:rPr>
        <w:t xml:space="preserve"> </w:t>
      </w:r>
      <w:r>
        <w:t>38</w:t>
      </w:r>
      <w:r>
        <w:rPr>
          <w:spacing w:val="-7"/>
        </w:rPr>
        <w:t xml:space="preserve"> </w:t>
      </w:r>
      <w:r>
        <w:t>do</w:t>
      </w:r>
      <w:r>
        <w:rPr>
          <w:spacing w:val="-14"/>
        </w:rPr>
        <w:t xml:space="preserve"> </w:t>
      </w:r>
      <w:r>
        <w:t>CTN),</w:t>
      </w:r>
      <w:r>
        <w:rPr>
          <w:spacing w:val="-6"/>
        </w:rPr>
        <w:t xml:space="preserve"> </w:t>
      </w:r>
      <w:r>
        <w:t>o</w:t>
      </w:r>
      <w:r>
        <w:rPr>
          <w:spacing w:val="-12"/>
        </w:rPr>
        <w:t xml:space="preserve"> </w:t>
      </w:r>
      <w:r>
        <w:t>legislador</w:t>
      </w:r>
      <w:r>
        <w:rPr>
          <w:spacing w:val="-3"/>
        </w:rPr>
        <w:t xml:space="preserve"> </w:t>
      </w:r>
      <w:r>
        <w:t>ordinário</w:t>
      </w:r>
      <w:r>
        <w:rPr>
          <w:spacing w:val="-11"/>
        </w:rPr>
        <w:t xml:space="preserve"> </w:t>
      </w:r>
      <w:r>
        <w:t>não</w:t>
      </w:r>
      <w:r>
        <w:rPr>
          <w:spacing w:val="-14"/>
        </w:rPr>
        <w:t xml:space="preserve"> </w:t>
      </w:r>
      <w:r>
        <w:t>poderia</w:t>
      </w:r>
      <w:r>
        <w:rPr>
          <w:spacing w:val="-14"/>
        </w:rPr>
        <w:t xml:space="preserve"> </w:t>
      </w:r>
      <w:r>
        <w:t>diferenciar</w:t>
      </w:r>
      <w:r>
        <w:rPr>
          <w:spacing w:val="-4"/>
        </w:rPr>
        <w:t xml:space="preserve"> </w:t>
      </w:r>
      <w:r>
        <w:t>a</w:t>
      </w:r>
      <w:r>
        <w:rPr>
          <w:spacing w:val="-2"/>
        </w:rPr>
        <w:t xml:space="preserve"> </w:t>
      </w:r>
      <w:r>
        <w:t>expressão</w:t>
      </w:r>
      <w:r>
        <w:rPr>
          <w:spacing w:val="-2"/>
        </w:rPr>
        <w:t xml:space="preserve"> </w:t>
      </w:r>
      <w:r>
        <w:t>monetária</w:t>
      </w:r>
      <w:r>
        <w:rPr>
          <w:spacing w:val="-5"/>
        </w:rPr>
        <w:t xml:space="preserve"> </w:t>
      </w:r>
      <w:r>
        <w:t>do</w:t>
      </w:r>
      <w:r>
        <w:rPr>
          <w:spacing w:val="-3"/>
        </w:rPr>
        <w:t xml:space="preserve"> </w:t>
      </w:r>
      <w:r>
        <w:t>valor venal conforme se refira à propriedade ou à transmissão do bem ou do direito.</w:t>
      </w:r>
    </w:p>
    <w:p w:rsidR="007259F2" w:rsidRDefault="00E655B4">
      <w:pPr>
        <w:pStyle w:val="Heading2"/>
        <w:numPr>
          <w:ilvl w:val="0"/>
          <w:numId w:val="25"/>
        </w:numPr>
        <w:tabs>
          <w:tab w:val="left" w:pos="1209"/>
          <w:tab w:val="left" w:pos="1211"/>
        </w:tabs>
        <w:spacing w:before="204"/>
        <w:ind w:left="1211" w:right="985" w:hanging="363"/>
        <w:jc w:val="both"/>
      </w:pPr>
      <w:r>
        <w:rPr>
          <w:spacing w:val="-2"/>
          <w:w w:val="105"/>
        </w:rPr>
        <w:t>Entendimento</w:t>
      </w:r>
      <w:r>
        <w:rPr>
          <w:spacing w:val="-14"/>
          <w:w w:val="105"/>
        </w:rPr>
        <w:t xml:space="preserve"> </w:t>
      </w:r>
      <w:r>
        <w:rPr>
          <w:spacing w:val="-2"/>
          <w:w w:val="105"/>
        </w:rPr>
        <w:t>do</w:t>
      </w:r>
      <w:r>
        <w:rPr>
          <w:spacing w:val="-14"/>
          <w:w w:val="105"/>
        </w:rPr>
        <w:t xml:space="preserve"> </w:t>
      </w:r>
      <w:r>
        <w:rPr>
          <w:spacing w:val="-2"/>
          <w:w w:val="105"/>
        </w:rPr>
        <w:t>Superior</w:t>
      </w:r>
      <w:r>
        <w:rPr>
          <w:spacing w:val="-14"/>
          <w:w w:val="105"/>
        </w:rPr>
        <w:t xml:space="preserve"> </w:t>
      </w:r>
      <w:r>
        <w:rPr>
          <w:spacing w:val="-2"/>
          <w:w w:val="105"/>
        </w:rPr>
        <w:t>Tribunal</w:t>
      </w:r>
      <w:r>
        <w:rPr>
          <w:spacing w:val="-13"/>
          <w:w w:val="105"/>
        </w:rPr>
        <w:t xml:space="preserve"> </w:t>
      </w:r>
      <w:r>
        <w:rPr>
          <w:spacing w:val="-2"/>
          <w:w w:val="105"/>
        </w:rPr>
        <w:t>de</w:t>
      </w:r>
      <w:r>
        <w:rPr>
          <w:spacing w:val="-14"/>
          <w:w w:val="105"/>
        </w:rPr>
        <w:t xml:space="preserve"> </w:t>
      </w:r>
      <w:r>
        <w:rPr>
          <w:spacing w:val="-2"/>
          <w:w w:val="105"/>
        </w:rPr>
        <w:t>Justiça</w:t>
      </w:r>
      <w:r>
        <w:rPr>
          <w:spacing w:val="-12"/>
          <w:w w:val="105"/>
        </w:rPr>
        <w:t xml:space="preserve"> </w:t>
      </w:r>
      <w:r>
        <w:rPr>
          <w:spacing w:val="-2"/>
          <w:w w:val="105"/>
        </w:rPr>
        <w:t>-</w:t>
      </w:r>
      <w:r>
        <w:rPr>
          <w:spacing w:val="37"/>
          <w:w w:val="105"/>
        </w:rPr>
        <w:t xml:space="preserve"> </w:t>
      </w:r>
      <w:r>
        <w:rPr>
          <w:spacing w:val="-2"/>
          <w:w w:val="105"/>
        </w:rPr>
        <w:t>RESP.</w:t>
      </w:r>
      <w:r>
        <w:rPr>
          <w:spacing w:val="-14"/>
          <w:w w:val="105"/>
        </w:rPr>
        <w:t xml:space="preserve"> </w:t>
      </w:r>
      <w:r>
        <w:rPr>
          <w:spacing w:val="-2"/>
          <w:w w:val="105"/>
        </w:rPr>
        <w:t>1.937.821/SP (Tema 1.113)</w:t>
      </w:r>
    </w:p>
    <w:p w:rsidR="007259F2" w:rsidRDefault="00E655B4">
      <w:pPr>
        <w:pStyle w:val="Corpodetexto"/>
        <w:spacing w:before="115"/>
        <w:ind w:right="426"/>
      </w:pPr>
      <w:r>
        <w:t>Diante do posicionamento manifestado pelo Tribunal de Justiça do Estado de São Paulo (Tema 19), a Municipalidade interpôs Recurso Especial (REsp n.º 1.937.821/SP) sob a fundamentação de violação aos artigos 38 e 148 do Código Tributário Nacional.</w:t>
      </w:r>
    </w:p>
    <w:p w:rsidR="007259F2" w:rsidRDefault="00E655B4">
      <w:pPr>
        <w:pStyle w:val="Corpodetexto"/>
        <w:spacing w:before="1"/>
        <w:ind w:right="424"/>
      </w:pPr>
      <w:r>
        <w:t>Em suma, o Município arguiu que embora a base de cálculo do IPTU e do ITBI</w:t>
      </w:r>
      <w:r>
        <w:rPr>
          <w:spacing w:val="40"/>
        </w:rPr>
        <w:t xml:space="preserve"> </w:t>
      </w:r>
      <w:r>
        <w:t>fossem</w:t>
      </w:r>
      <w:r>
        <w:rPr>
          <w:spacing w:val="-1"/>
        </w:rPr>
        <w:t xml:space="preserve"> </w:t>
      </w:r>
      <w:r>
        <w:t>a</w:t>
      </w:r>
      <w:r>
        <w:rPr>
          <w:spacing w:val="-2"/>
        </w:rPr>
        <w:t xml:space="preserve"> </w:t>
      </w:r>
      <w:r>
        <w:t>mesma,</w:t>
      </w:r>
      <w:r>
        <w:rPr>
          <w:spacing w:val="-1"/>
        </w:rPr>
        <w:t xml:space="preserve"> </w:t>
      </w:r>
      <w:r>
        <w:t>isto</w:t>
      </w:r>
      <w:r>
        <w:rPr>
          <w:spacing w:val="-1"/>
        </w:rPr>
        <w:t xml:space="preserve"> </w:t>
      </w:r>
      <w:r>
        <w:t>é,</w:t>
      </w:r>
      <w:r>
        <w:rPr>
          <w:spacing w:val="-5"/>
        </w:rPr>
        <w:t xml:space="preserve"> </w:t>
      </w:r>
      <w:r>
        <w:t>o</w:t>
      </w:r>
      <w:r>
        <w:rPr>
          <w:spacing w:val="-1"/>
        </w:rPr>
        <w:t xml:space="preserve"> </w:t>
      </w:r>
      <w:r>
        <w:t>valor</w:t>
      </w:r>
      <w:r>
        <w:rPr>
          <w:spacing w:val="-2"/>
        </w:rPr>
        <w:t xml:space="preserve"> </w:t>
      </w:r>
      <w:r>
        <w:t>venal</w:t>
      </w:r>
      <w:r>
        <w:rPr>
          <w:spacing w:val="-1"/>
        </w:rPr>
        <w:t xml:space="preserve"> </w:t>
      </w:r>
      <w:r>
        <w:t>do</w:t>
      </w:r>
      <w:r>
        <w:rPr>
          <w:spacing w:val="-1"/>
        </w:rPr>
        <w:t xml:space="preserve"> </w:t>
      </w:r>
      <w:r>
        <w:t>imóvel,</w:t>
      </w:r>
      <w:r>
        <w:rPr>
          <w:spacing w:val="-5"/>
        </w:rPr>
        <w:t xml:space="preserve"> </w:t>
      </w:r>
      <w:r>
        <w:t>cada</w:t>
      </w:r>
      <w:r>
        <w:rPr>
          <w:spacing w:val="-2"/>
        </w:rPr>
        <w:t xml:space="preserve"> </w:t>
      </w:r>
      <w:r>
        <w:t>qual</w:t>
      </w:r>
      <w:r>
        <w:rPr>
          <w:spacing w:val="-1"/>
        </w:rPr>
        <w:t xml:space="preserve"> </w:t>
      </w:r>
      <w:r>
        <w:t>possui</w:t>
      </w:r>
      <w:r>
        <w:rPr>
          <w:spacing w:val="-1"/>
        </w:rPr>
        <w:t xml:space="preserve"> </w:t>
      </w:r>
      <w:r>
        <w:t>um</w:t>
      </w:r>
      <w:r>
        <w:rPr>
          <w:spacing w:val="-1"/>
        </w:rPr>
        <w:t xml:space="preserve"> </w:t>
      </w:r>
      <w:r>
        <w:t>regime</w:t>
      </w:r>
      <w:r>
        <w:rPr>
          <w:spacing w:val="-2"/>
        </w:rPr>
        <w:t xml:space="preserve"> </w:t>
      </w:r>
      <w:r>
        <w:t>jurídico</w:t>
      </w:r>
      <w:r>
        <w:rPr>
          <w:spacing w:val="-1"/>
        </w:rPr>
        <w:t xml:space="preserve"> </w:t>
      </w:r>
      <w:r>
        <w:t>próprio. O ITBI é sujeito ao autolançamento por homologação ou declaração, enquanto que o lançamento do IPTU é efetuado, desde o início, de ofício pelo Fisco.</w:t>
      </w:r>
    </w:p>
    <w:p w:rsidR="007259F2" w:rsidRDefault="00E655B4">
      <w:pPr>
        <w:pStyle w:val="Corpodetexto"/>
        <w:ind w:right="421"/>
      </w:pPr>
      <w:r>
        <w:t>Para o IPTU, o valor é atribuído por estimativa, vez que inviável efetuar uma perícia para cada imóvel da cidade. Em regra, quase que absoluta, a estimativa fica abaixo do verdadeiro valor venal (historicamente, em média, cerca de trinta porcento inferior).</w:t>
      </w:r>
      <w:r>
        <w:rPr>
          <w:vertAlign w:val="superscript"/>
        </w:rPr>
        <w:t>17</w:t>
      </w:r>
    </w:p>
    <w:p w:rsidR="007259F2" w:rsidRDefault="00E655B4">
      <w:pPr>
        <w:pStyle w:val="Corpodetexto"/>
        <w:ind w:right="422"/>
      </w:pPr>
      <w:r>
        <w:t>Em relação ao ITBI, há autolançamento do tributo pelo contribuinte, tanto que caso constatado que a base de cálculo utilizada não corresponda ao efetivo valor de mercado por ocasião da transação, o Fisco deve proceder ao lançamento complementar de ofício.</w:t>
      </w:r>
    </w:p>
    <w:p w:rsidR="007259F2" w:rsidRDefault="00E655B4">
      <w:pPr>
        <w:pStyle w:val="Corpodetexto"/>
        <w:ind w:right="424"/>
      </w:pPr>
      <w:r>
        <w:t>A administração disponibiliza ao contribuinte, desde logo, com base em elementos objetivos</w:t>
      </w:r>
      <w:r>
        <w:rPr>
          <w:spacing w:val="20"/>
        </w:rPr>
        <w:t xml:space="preserve"> </w:t>
      </w:r>
      <w:r>
        <w:t>e</w:t>
      </w:r>
      <w:r>
        <w:rPr>
          <w:spacing w:val="15"/>
        </w:rPr>
        <w:t xml:space="preserve"> </w:t>
      </w:r>
      <w:r>
        <w:t>concretos</w:t>
      </w:r>
      <w:r>
        <w:rPr>
          <w:spacing w:val="25"/>
        </w:rPr>
        <w:t xml:space="preserve"> </w:t>
      </w:r>
      <w:r>
        <w:t>existentes</w:t>
      </w:r>
      <w:r>
        <w:rPr>
          <w:spacing w:val="23"/>
        </w:rPr>
        <w:t xml:space="preserve"> </w:t>
      </w:r>
      <w:r>
        <w:t>em</w:t>
      </w:r>
      <w:r>
        <w:rPr>
          <w:spacing w:val="23"/>
        </w:rPr>
        <w:t xml:space="preserve"> </w:t>
      </w:r>
      <w:r>
        <w:t>seus</w:t>
      </w:r>
      <w:r>
        <w:rPr>
          <w:spacing w:val="23"/>
        </w:rPr>
        <w:t xml:space="preserve"> </w:t>
      </w:r>
      <w:r>
        <w:t>cadastros</w:t>
      </w:r>
      <w:r>
        <w:rPr>
          <w:spacing w:val="23"/>
        </w:rPr>
        <w:t xml:space="preserve"> </w:t>
      </w:r>
      <w:r>
        <w:t>acerca</w:t>
      </w:r>
      <w:r>
        <w:rPr>
          <w:spacing w:val="21"/>
        </w:rPr>
        <w:t xml:space="preserve"> </w:t>
      </w:r>
      <w:r>
        <w:t>de</w:t>
      </w:r>
      <w:r>
        <w:rPr>
          <w:spacing w:val="25"/>
        </w:rPr>
        <w:t xml:space="preserve"> </w:t>
      </w:r>
      <w:r>
        <w:t>pesquisas</w:t>
      </w:r>
      <w:r>
        <w:rPr>
          <w:spacing w:val="23"/>
        </w:rPr>
        <w:t xml:space="preserve"> </w:t>
      </w:r>
      <w:r>
        <w:t>no</w:t>
      </w:r>
      <w:r>
        <w:rPr>
          <w:spacing w:val="9"/>
        </w:rPr>
        <w:t xml:space="preserve"> </w:t>
      </w:r>
      <w:r>
        <w:t>local,</w:t>
      </w:r>
      <w:r>
        <w:rPr>
          <w:spacing w:val="7"/>
        </w:rPr>
        <w:t xml:space="preserve"> </w:t>
      </w:r>
      <w:r>
        <w:t>levando</w:t>
      </w:r>
      <w:r>
        <w:rPr>
          <w:spacing w:val="13"/>
        </w:rPr>
        <w:t xml:space="preserve"> </w:t>
      </w:r>
      <w:r>
        <w:rPr>
          <w:spacing w:val="-5"/>
        </w:rPr>
        <w:t>em</w:t>
      </w:r>
    </w:p>
    <w:p w:rsidR="007259F2" w:rsidRDefault="00DE6B1C">
      <w:pPr>
        <w:pStyle w:val="Corpodetexto"/>
        <w:spacing w:before="119"/>
        <w:ind w:left="0" w:firstLine="0"/>
        <w:jc w:val="left"/>
        <w:rPr>
          <w:sz w:val="20"/>
        </w:rPr>
      </w:pPr>
      <w:r w:rsidRPr="00DE6B1C">
        <w:rPr>
          <w:sz w:val="20"/>
        </w:rPr>
        <w:pict>
          <v:rect id="docshape123" o:spid="_x0000_s1105" style="position:absolute;margin-left:85.1pt;margin-top:18.7pt;width:2in;height:.7pt;z-index:-15675904;mso-wrap-distance-left:0;mso-wrap-distance-right:0;mso-position-horizontal-relative:page" fillcolor="black" stroked="f">
            <w10:wrap type="topAndBottom" anchorx="page"/>
          </v:rect>
        </w:pict>
      </w:r>
    </w:p>
    <w:p w:rsidR="007259F2" w:rsidRDefault="00E655B4">
      <w:pPr>
        <w:spacing w:before="96"/>
        <w:ind w:left="710"/>
        <w:rPr>
          <w:sz w:val="20"/>
        </w:rPr>
      </w:pPr>
      <w:r>
        <w:rPr>
          <w:sz w:val="20"/>
          <w:vertAlign w:val="superscript"/>
        </w:rPr>
        <w:t>17</w:t>
      </w:r>
      <w:r>
        <w:rPr>
          <w:spacing w:val="-9"/>
          <w:sz w:val="20"/>
        </w:rPr>
        <w:t xml:space="preserve"> </w:t>
      </w:r>
      <w:r>
        <w:rPr>
          <w:sz w:val="20"/>
        </w:rPr>
        <w:t>MACEDO,</w:t>
      </w:r>
      <w:r>
        <w:rPr>
          <w:spacing w:val="-4"/>
          <w:sz w:val="20"/>
        </w:rPr>
        <w:t xml:space="preserve"> </w:t>
      </w:r>
      <w:r>
        <w:rPr>
          <w:sz w:val="20"/>
        </w:rPr>
        <w:t>José</w:t>
      </w:r>
      <w:r>
        <w:rPr>
          <w:spacing w:val="-10"/>
          <w:sz w:val="20"/>
        </w:rPr>
        <w:t xml:space="preserve"> </w:t>
      </w:r>
      <w:r>
        <w:rPr>
          <w:sz w:val="20"/>
        </w:rPr>
        <w:t>Alberto</w:t>
      </w:r>
      <w:r>
        <w:rPr>
          <w:spacing w:val="-9"/>
          <w:sz w:val="20"/>
        </w:rPr>
        <w:t xml:space="preserve"> </w:t>
      </w:r>
      <w:r>
        <w:rPr>
          <w:sz w:val="20"/>
        </w:rPr>
        <w:t>Oliveira,</w:t>
      </w:r>
      <w:r>
        <w:rPr>
          <w:spacing w:val="-3"/>
          <w:sz w:val="20"/>
        </w:rPr>
        <w:t xml:space="preserve"> </w:t>
      </w:r>
      <w:r>
        <w:rPr>
          <w:i/>
          <w:sz w:val="20"/>
        </w:rPr>
        <w:t>op.</w:t>
      </w:r>
      <w:r>
        <w:rPr>
          <w:i/>
          <w:spacing w:val="-5"/>
          <w:sz w:val="20"/>
        </w:rPr>
        <w:t xml:space="preserve"> </w:t>
      </w:r>
      <w:r>
        <w:rPr>
          <w:i/>
          <w:sz w:val="20"/>
        </w:rPr>
        <w:t>cit</w:t>
      </w:r>
      <w:r>
        <w:rPr>
          <w:sz w:val="20"/>
        </w:rPr>
        <w:t>.</w:t>
      </w:r>
      <w:r>
        <w:rPr>
          <w:spacing w:val="-6"/>
          <w:sz w:val="20"/>
        </w:rPr>
        <w:t xml:space="preserve"> </w:t>
      </w:r>
      <w:r>
        <w:rPr>
          <w:sz w:val="20"/>
        </w:rPr>
        <w:t>p.</w:t>
      </w:r>
      <w:r>
        <w:rPr>
          <w:spacing w:val="-4"/>
          <w:sz w:val="20"/>
        </w:rPr>
        <w:t xml:space="preserve"> 271.</w:t>
      </w:r>
    </w:p>
    <w:p w:rsidR="007259F2" w:rsidRDefault="007259F2">
      <w:pPr>
        <w:rPr>
          <w:sz w:val="20"/>
        </w:rPr>
        <w:sectPr w:rsidR="007259F2">
          <w:pgSz w:w="11910" w:h="16840"/>
          <w:pgMar w:top="1600" w:right="708" w:bottom="1020" w:left="992" w:header="0" w:footer="820" w:gutter="0"/>
          <w:cols w:space="720"/>
        </w:sectPr>
      </w:pPr>
    </w:p>
    <w:p w:rsidR="007259F2" w:rsidRDefault="00E655B4">
      <w:pPr>
        <w:pStyle w:val="Corpodetexto"/>
        <w:spacing w:before="75"/>
        <w:ind w:right="423" w:firstLine="0"/>
      </w:pPr>
      <w:r>
        <w:lastRenderedPageBreak/>
        <w:t xml:space="preserve">consideração imóveis com as mesmas características do imóvel em discussão, qual o valor venal corretamente estimado no momento, isto tudo respeitando o devido processo legal, mediante possibilidade de avaliação especial, caso discorde o interessado do referido valor </w:t>
      </w:r>
      <w:r>
        <w:rPr>
          <w:spacing w:val="-2"/>
        </w:rPr>
        <w:t>apontado.</w:t>
      </w:r>
    </w:p>
    <w:p w:rsidR="007259F2" w:rsidRDefault="00E655B4">
      <w:pPr>
        <w:pStyle w:val="Corpodetexto"/>
        <w:ind w:right="419"/>
      </w:pPr>
      <w:r>
        <w:t>O Município argumentou que a sistemática eleita para fixação do valor venal de referência, não violava o princípio da legalidade, pois não criava nova base de cálculo para o tributo</w:t>
      </w:r>
      <w:r>
        <w:rPr>
          <w:spacing w:val="-12"/>
        </w:rPr>
        <w:t xml:space="preserve"> </w:t>
      </w:r>
      <w:r>
        <w:t>e</w:t>
      </w:r>
      <w:r>
        <w:rPr>
          <w:spacing w:val="-15"/>
        </w:rPr>
        <w:t xml:space="preserve"> </w:t>
      </w:r>
      <w:r>
        <w:t>não</w:t>
      </w:r>
      <w:r>
        <w:rPr>
          <w:spacing w:val="-10"/>
        </w:rPr>
        <w:t xml:space="preserve"> </w:t>
      </w:r>
      <w:r>
        <w:t>transformava</w:t>
      </w:r>
      <w:r>
        <w:rPr>
          <w:spacing w:val="-9"/>
        </w:rPr>
        <w:t xml:space="preserve"> </w:t>
      </w:r>
      <w:r>
        <w:t>o</w:t>
      </w:r>
      <w:r>
        <w:rPr>
          <w:spacing w:val="-10"/>
        </w:rPr>
        <w:t xml:space="preserve"> </w:t>
      </w:r>
      <w:r>
        <w:t>autolançamento</w:t>
      </w:r>
      <w:r>
        <w:rPr>
          <w:spacing w:val="-7"/>
        </w:rPr>
        <w:t xml:space="preserve"> </w:t>
      </w:r>
      <w:r>
        <w:t>em</w:t>
      </w:r>
      <w:r>
        <w:rPr>
          <w:spacing w:val="-11"/>
        </w:rPr>
        <w:t xml:space="preserve"> </w:t>
      </w:r>
      <w:r>
        <w:t>lançamento</w:t>
      </w:r>
      <w:r>
        <w:rPr>
          <w:spacing w:val="-14"/>
        </w:rPr>
        <w:t xml:space="preserve"> </w:t>
      </w:r>
      <w:r>
        <w:t>de</w:t>
      </w:r>
      <w:r>
        <w:rPr>
          <w:spacing w:val="-11"/>
        </w:rPr>
        <w:t xml:space="preserve"> </w:t>
      </w:r>
      <w:r>
        <w:t>ofício.</w:t>
      </w:r>
      <w:r>
        <w:rPr>
          <w:spacing w:val="-14"/>
        </w:rPr>
        <w:t xml:space="preserve"> </w:t>
      </w:r>
      <w:r>
        <w:t>Apenas possibilitava</w:t>
      </w:r>
      <w:r>
        <w:rPr>
          <w:spacing w:val="22"/>
        </w:rPr>
        <w:t xml:space="preserve"> </w:t>
      </w:r>
      <w:r>
        <w:t>ao contribuinte requerer,</w:t>
      </w:r>
      <w:r>
        <w:rPr>
          <w:spacing w:val="40"/>
        </w:rPr>
        <w:t xml:space="preserve"> </w:t>
      </w:r>
      <w:r>
        <w:t>em seu benefício, a prévia</w:t>
      </w:r>
      <w:r>
        <w:rPr>
          <w:spacing w:val="40"/>
        </w:rPr>
        <w:t xml:space="preserve"> </w:t>
      </w:r>
      <w:r>
        <w:t>avaliação do imóvel.</w:t>
      </w:r>
    </w:p>
    <w:p w:rsidR="007259F2" w:rsidRDefault="00E655B4">
      <w:pPr>
        <w:pStyle w:val="Corpodetexto"/>
        <w:ind w:right="417"/>
      </w:pPr>
      <w:r>
        <w:t>Ademais, pontuou que o banco de dados da Administração Municipal conta com mais de 300 mil amostras, com a coleta de informações junto a mais de 100 (cem) imobiliárias, sendo a apuração do valor, consolidada em normas técnicas (ABNT, IBAPE/SP,</w:t>
      </w:r>
      <w:r>
        <w:rPr>
          <w:spacing w:val="-6"/>
        </w:rPr>
        <w:t xml:space="preserve"> </w:t>
      </w:r>
      <w:r>
        <w:t>Comissão</w:t>
      </w:r>
      <w:r>
        <w:rPr>
          <w:spacing w:val="-11"/>
        </w:rPr>
        <w:t xml:space="preserve"> </w:t>
      </w:r>
      <w:r>
        <w:t>de Peritos Judiciais) e se opera com extremo conservadorismo, ou seja, de plano, aplica-se um abatimento da ordem de 10%, sendo certo, ainda, que os levantamentos são acompanhados pela CMVI.</w:t>
      </w:r>
    </w:p>
    <w:p w:rsidR="007259F2" w:rsidRDefault="00E655B4">
      <w:pPr>
        <w:pStyle w:val="Corpodetexto"/>
        <w:spacing w:before="1"/>
        <w:ind w:right="422"/>
      </w:pPr>
      <w:r>
        <w:t>Por fim, defendeu que a adoção dessa sistemática evitava que o contribuinte inadvertidamente recolhesse, como vinha ocorrendo na imensa maioria dos casos, não o</w:t>
      </w:r>
      <w:r>
        <w:rPr>
          <w:spacing w:val="-1"/>
        </w:rPr>
        <w:t xml:space="preserve"> </w:t>
      </w:r>
      <w:r>
        <w:t>valor venal, mas simplesmente o valor tido como mínimo legal (que era o valor venal adotado para fins de IPTU) ou mesmo o valor da operação, tornando, assim, remota a hipótese de vir a ser surpreendido com o lançamento complementar de ofício, com os acréscimos decorrentes em razão</w:t>
      </w:r>
      <w:r>
        <w:rPr>
          <w:spacing w:val="-5"/>
        </w:rPr>
        <w:t xml:space="preserve"> </w:t>
      </w:r>
      <w:r>
        <w:t>de</w:t>
      </w:r>
      <w:r>
        <w:rPr>
          <w:spacing w:val="-6"/>
        </w:rPr>
        <w:t xml:space="preserve"> </w:t>
      </w:r>
      <w:r>
        <w:t>eventual</w:t>
      </w:r>
      <w:r>
        <w:rPr>
          <w:spacing w:val="-2"/>
        </w:rPr>
        <w:t xml:space="preserve"> </w:t>
      </w:r>
      <w:r>
        <w:t>insuficiência</w:t>
      </w:r>
      <w:r>
        <w:rPr>
          <w:spacing w:val="-10"/>
        </w:rPr>
        <w:t xml:space="preserve"> </w:t>
      </w:r>
      <w:r>
        <w:t>do</w:t>
      </w:r>
      <w:r>
        <w:rPr>
          <w:spacing w:val="-5"/>
        </w:rPr>
        <w:t xml:space="preserve"> </w:t>
      </w:r>
      <w:r>
        <w:t>primeiro recolhimento quando do exame do Fisco para fins de homologação do auto lançamento levado a efeito.</w:t>
      </w:r>
    </w:p>
    <w:p w:rsidR="007259F2" w:rsidRDefault="00E655B4">
      <w:pPr>
        <w:pStyle w:val="Corpodetexto"/>
        <w:ind w:right="429"/>
      </w:pPr>
      <w:r>
        <w:t>Após alguns entraves, o recurso da Municipalidade chegou até o Superior Tribunal de Justiça para apreciação.</w:t>
      </w:r>
    </w:p>
    <w:p w:rsidR="007259F2" w:rsidRDefault="00E655B4">
      <w:pPr>
        <w:pStyle w:val="Corpodetexto"/>
        <w:spacing w:before="1"/>
        <w:ind w:right="429"/>
      </w:pPr>
      <w:r>
        <w:t xml:space="preserve">Em 2022, a fim de sanar a discussão sobre qual seria a base de cálculo do ITBI, o colendo Superior Tribunal de Justiça, sob o rito dos recursos especiais repetitivos (Tema 1.113), REsp n.º 1.937.821/SP, fixou o entendimento de que, em observância ao princípio da boa-fé, deve-se presumir que o valor da transação declarado pelo contribuinte é condizente com o valor venal de mercado, </w:t>
      </w:r>
      <w:r>
        <w:rPr>
          <w:i/>
        </w:rPr>
        <w:t>in verbis</w:t>
      </w:r>
      <w:r>
        <w:t>:</w:t>
      </w:r>
    </w:p>
    <w:p w:rsidR="007259F2" w:rsidRDefault="00E655B4">
      <w:pPr>
        <w:spacing w:before="275"/>
        <w:ind w:left="2978" w:right="555"/>
        <w:jc w:val="both"/>
        <w:rPr>
          <w:sz w:val="20"/>
        </w:rPr>
      </w:pPr>
      <w:r>
        <w:rPr>
          <w:sz w:val="20"/>
        </w:rPr>
        <w:t xml:space="preserve">(...) </w:t>
      </w:r>
      <w:r>
        <w:rPr>
          <w:b/>
          <w:sz w:val="20"/>
        </w:rPr>
        <w:t xml:space="preserve">A base de cálculo do ITBI está vinculada à do IPTU? </w:t>
      </w:r>
      <w:r>
        <w:rPr>
          <w:sz w:val="20"/>
        </w:rPr>
        <w:t>Quanto à base de cálculo do ITBI, o art. 38 do CTN dispõe que ela é “o valor venal dos bens ou direitos transmitidos”. Como visto, o art. 35 do CTN é claro ao identificar o fato gerador como sendo a transmissão da propriedade ou de direitos reais imobiliários ou a cessão de direitos relativos a tais transmissões. Em sendo</w:t>
      </w:r>
      <w:r>
        <w:rPr>
          <w:spacing w:val="40"/>
          <w:sz w:val="20"/>
        </w:rPr>
        <w:t xml:space="preserve"> </w:t>
      </w:r>
      <w:r>
        <w:rPr>
          <w:sz w:val="20"/>
        </w:rPr>
        <w:t>a transmissão ou a cessão realizada entre vivos, caso do Imposto sobre Transmissão de Bens Imóveis (ITBI), temos que o fato gerador do imposto decorre de um negócio jurídico, porque nasce de um acordo de vontades entre o alienante e o adquirente. No que tange à base de cálculo, a expressão “valor</w:t>
      </w:r>
      <w:r>
        <w:rPr>
          <w:spacing w:val="40"/>
          <w:sz w:val="20"/>
        </w:rPr>
        <w:t xml:space="preserve"> </w:t>
      </w:r>
      <w:r>
        <w:rPr>
          <w:sz w:val="20"/>
        </w:rPr>
        <w:t>venal”</w:t>
      </w:r>
      <w:r>
        <w:rPr>
          <w:spacing w:val="40"/>
          <w:sz w:val="20"/>
        </w:rPr>
        <w:t xml:space="preserve"> </w:t>
      </w:r>
      <w:r>
        <w:rPr>
          <w:sz w:val="20"/>
        </w:rPr>
        <w:t>contida</w:t>
      </w:r>
      <w:r>
        <w:rPr>
          <w:spacing w:val="40"/>
          <w:sz w:val="20"/>
        </w:rPr>
        <w:t xml:space="preserve"> </w:t>
      </w:r>
      <w:r>
        <w:rPr>
          <w:sz w:val="20"/>
        </w:rPr>
        <w:t>no</w:t>
      </w:r>
      <w:r>
        <w:rPr>
          <w:spacing w:val="40"/>
          <w:sz w:val="20"/>
        </w:rPr>
        <w:t xml:space="preserve"> </w:t>
      </w:r>
      <w:r>
        <w:rPr>
          <w:sz w:val="20"/>
        </w:rPr>
        <w:t>art.</w:t>
      </w:r>
      <w:r>
        <w:rPr>
          <w:spacing w:val="40"/>
          <w:sz w:val="20"/>
        </w:rPr>
        <w:t xml:space="preserve"> </w:t>
      </w:r>
      <w:r>
        <w:rPr>
          <w:sz w:val="20"/>
        </w:rPr>
        <w:t>38</w:t>
      </w:r>
      <w:r>
        <w:rPr>
          <w:spacing w:val="40"/>
          <w:sz w:val="20"/>
        </w:rPr>
        <w:t xml:space="preserve"> </w:t>
      </w:r>
      <w:r>
        <w:rPr>
          <w:sz w:val="20"/>
        </w:rPr>
        <w:t>do</w:t>
      </w:r>
      <w:r>
        <w:rPr>
          <w:spacing w:val="40"/>
          <w:sz w:val="20"/>
        </w:rPr>
        <w:t xml:space="preserve"> </w:t>
      </w:r>
      <w:r>
        <w:rPr>
          <w:sz w:val="20"/>
        </w:rPr>
        <w:t>CTN deve ser entendida como o valor considerado em condições normais de mercado para as transmissões imobiliárias. (...) Importa ressaltar que, embora seja possível dimensionar o valor médio dos imóveis no mercado, segundo critérios, por exemplo, de localização e tamanho (metragem), a avaliação de mercado específica de</w:t>
      </w:r>
      <w:r>
        <w:rPr>
          <w:spacing w:val="-2"/>
          <w:sz w:val="20"/>
        </w:rPr>
        <w:t xml:space="preserve"> </w:t>
      </w:r>
      <w:r>
        <w:rPr>
          <w:sz w:val="20"/>
        </w:rPr>
        <w:t>cada</w:t>
      </w:r>
      <w:r>
        <w:rPr>
          <w:spacing w:val="-2"/>
          <w:sz w:val="20"/>
        </w:rPr>
        <w:t xml:space="preserve"> </w:t>
      </w:r>
      <w:r>
        <w:rPr>
          <w:sz w:val="20"/>
        </w:rPr>
        <w:t>imóvel transacionado pode</w:t>
      </w:r>
      <w:r>
        <w:rPr>
          <w:spacing w:val="-2"/>
          <w:sz w:val="20"/>
        </w:rPr>
        <w:t xml:space="preserve"> </w:t>
      </w:r>
      <w:r>
        <w:rPr>
          <w:sz w:val="20"/>
        </w:rPr>
        <w:t>sofrer</w:t>
      </w:r>
      <w:r>
        <w:rPr>
          <w:spacing w:val="-1"/>
          <w:sz w:val="20"/>
        </w:rPr>
        <w:t xml:space="preserve"> </w:t>
      </w:r>
      <w:r>
        <w:rPr>
          <w:sz w:val="20"/>
        </w:rPr>
        <w:t>oscilações</w:t>
      </w:r>
      <w:r>
        <w:rPr>
          <w:spacing w:val="-3"/>
          <w:sz w:val="20"/>
        </w:rPr>
        <w:t xml:space="preserve"> </w:t>
      </w:r>
      <w:r>
        <w:rPr>
          <w:sz w:val="20"/>
        </w:rPr>
        <w:t>para</w:t>
      </w:r>
      <w:r>
        <w:rPr>
          <w:spacing w:val="-2"/>
          <w:sz w:val="20"/>
        </w:rPr>
        <w:t xml:space="preserve"> </w:t>
      </w:r>
      <w:r>
        <w:rPr>
          <w:sz w:val="20"/>
        </w:rPr>
        <w:t>cima</w:t>
      </w:r>
      <w:r>
        <w:rPr>
          <w:spacing w:val="-2"/>
          <w:sz w:val="20"/>
        </w:rPr>
        <w:t xml:space="preserve"> </w:t>
      </w:r>
      <w:r>
        <w:rPr>
          <w:sz w:val="20"/>
        </w:rPr>
        <w:t>ou</w:t>
      </w:r>
      <w:r>
        <w:rPr>
          <w:spacing w:val="-1"/>
          <w:sz w:val="20"/>
        </w:rPr>
        <w:t xml:space="preserve"> </w:t>
      </w:r>
      <w:r>
        <w:rPr>
          <w:sz w:val="20"/>
        </w:rPr>
        <w:t>para</w:t>
      </w:r>
      <w:r>
        <w:rPr>
          <w:spacing w:val="-2"/>
          <w:sz w:val="20"/>
        </w:rPr>
        <w:t xml:space="preserve"> </w:t>
      </w:r>
      <w:r>
        <w:rPr>
          <w:sz w:val="20"/>
        </w:rPr>
        <w:t>baixo</w:t>
      </w:r>
      <w:r>
        <w:rPr>
          <w:spacing w:val="-1"/>
          <w:sz w:val="20"/>
        </w:rPr>
        <w:t xml:space="preserve"> </w:t>
      </w:r>
      <w:r>
        <w:rPr>
          <w:sz w:val="20"/>
        </w:rPr>
        <w:t>desse valor médio, a depender, por exemplo, da existência de outras circunstâncias igualmente</w:t>
      </w:r>
      <w:r>
        <w:rPr>
          <w:spacing w:val="-2"/>
          <w:sz w:val="20"/>
        </w:rPr>
        <w:t xml:space="preserve"> </w:t>
      </w:r>
      <w:r>
        <w:rPr>
          <w:sz w:val="20"/>
        </w:rPr>
        <w:t>relevantes</w:t>
      </w:r>
      <w:r>
        <w:rPr>
          <w:spacing w:val="-1"/>
          <w:sz w:val="20"/>
        </w:rPr>
        <w:t xml:space="preserve"> </w:t>
      </w:r>
      <w:r>
        <w:rPr>
          <w:sz w:val="20"/>
        </w:rPr>
        <w:t>e</w:t>
      </w:r>
      <w:r>
        <w:rPr>
          <w:spacing w:val="-3"/>
          <w:sz w:val="20"/>
        </w:rPr>
        <w:t xml:space="preserve"> </w:t>
      </w:r>
      <w:r>
        <w:rPr>
          <w:sz w:val="20"/>
        </w:rPr>
        <w:t>legítimas para</w:t>
      </w:r>
      <w:r>
        <w:rPr>
          <w:spacing w:val="-5"/>
          <w:sz w:val="20"/>
        </w:rPr>
        <w:t xml:space="preserve"> </w:t>
      </w:r>
      <w:r>
        <w:rPr>
          <w:sz w:val="20"/>
        </w:rPr>
        <w:t>a</w:t>
      </w:r>
      <w:r>
        <w:rPr>
          <w:spacing w:val="-5"/>
          <w:sz w:val="20"/>
        </w:rPr>
        <w:t xml:space="preserve"> </w:t>
      </w:r>
      <w:r>
        <w:rPr>
          <w:sz w:val="20"/>
        </w:rPr>
        <w:t>determinação</w:t>
      </w:r>
      <w:r>
        <w:rPr>
          <w:spacing w:val="-5"/>
          <w:sz w:val="20"/>
        </w:rPr>
        <w:t xml:space="preserve"> </w:t>
      </w:r>
      <w:r>
        <w:rPr>
          <w:sz w:val="20"/>
        </w:rPr>
        <w:t>do</w:t>
      </w:r>
      <w:r>
        <w:rPr>
          <w:spacing w:val="-4"/>
          <w:sz w:val="20"/>
        </w:rPr>
        <w:t xml:space="preserve"> </w:t>
      </w:r>
      <w:r>
        <w:rPr>
          <w:sz w:val="20"/>
        </w:rPr>
        <w:t>real valor da coisa, como a existência de benfeitorias, o estado de conservação os interesses pessoais do vendedor (necessidade da venda para despesas urgentes, mudança de investimentos, etc.) e do comprador (escassez do imóvel na região, proximidade com</w:t>
      </w:r>
      <w:r>
        <w:rPr>
          <w:spacing w:val="-4"/>
          <w:sz w:val="20"/>
        </w:rPr>
        <w:t xml:space="preserve"> </w:t>
      </w:r>
      <w:r>
        <w:rPr>
          <w:sz w:val="20"/>
        </w:rPr>
        <w:t>o trabalho e/ou</w:t>
      </w:r>
      <w:r>
        <w:rPr>
          <w:spacing w:val="-1"/>
          <w:sz w:val="20"/>
        </w:rPr>
        <w:t xml:space="preserve"> </w:t>
      </w:r>
      <w:r>
        <w:rPr>
          <w:sz w:val="20"/>
        </w:rPr>
        <w:t>com</w:t>
      </w:r>
      <w:r>
        <w:rPr>
          <w:spacing w:val="-1"/>
          <w:sz w:val="20"/>
        </w:rPr>
        <w:t xml:space="preserve"> </w:t>
      </w:r>
      <w:r>
        <w:rPr>
          <w:sz w:val="20"/>
        </w:rPr>
        <w:t>familiares, etc.) no ajuste do preço.</w:t>
      </w:r>
      <w:r>
        <w:rPr>
          <w:spacing w:val="-2"/>
          <w:sz w:val="20"/>
        </w:rPr>
        <w:t xml:space="preserve"> </w:t>
      </w:r>
      <w:r>
        <w:rPr>
          <w:sz w:val="20"/>
        </w:rPr>
        <w:t>(...) Dito isso, agora é possível passar para o exame da modalidade de lançamento do ITBI, temática largamente discutida na doutrina e na jurisprudência.</w:t>
      </w:r>
    </w:p>
    <w:p w:rsidR="007259F2" w:rsidRDefault="00E655B4">
      <w:pPr>
        <w:spacing w:before="5"/>
        <w:ind w:left="2978" w:right="549"/>
        <w:jc w:val="both"/>
        <w:rPr>
          <w:sz w:val="20"/>
        </w:rPr>
      </w:pPr>
      <w:r>
        <w:rPr>
          <w:sz w:val="20"/>
        </w:rPr>
        <w:t>Após cuidadosa reflexão, cheguei à conclusão de que o ITBI, em</w:t>
      </w:r>
      <w:r>
        <w:rPr>
          <w:spacing w:val="-1"/>
          <w:sz w:val="20"/>
        </w:rPr>
        <w:t xml:space="preserve"> </w:t>
      </w:r>
      <w:r>
        <w:rPr>
          <w:sz w:val="20"/>
        </w:rPr>
        <w:t>razão de seu fato gerador, somente comporta duas das modalidades de lançamento originário: por declaração ou por homologação, a depender da legislação municipal de cada ente tributante,</w:t>
      </w:r>
      <w:r>
        <w:rPr>
          <w:spacing w:val="30"/>
          <w:sz w:val="20"/>
        </w:rPr>
        <w:t xml:space="preserve"> </w:t>
      </w:r>
      <w:r>
        <w:rPr>
          <w:sz w:val="20"/>
        </w:rPr>
        <w:t>sendo</w:t>
      </w:r>
      <w:r>
        <w:rPr>
          <w:spacing w:val="31"/>
          <w:sz w:val="20"/>
        </w:rPr>
        <w:t xml:space="preserve"> </w:t>
      </w:r>
      <w:r>
        <w:rPr>
          <w:sz w:val="20"/>
        </w:rPr>
        <w:t>inviável</w:t>
      </w:r>
      <w:r>
        <w:rPr>
          <w:spacing w:val="30"/>
          <w:sz w:val="20"/>
        </w:rPr>
        <w:t xml:space="preserve"> </w:t>
      </w:r>
      <w:r>
        <w:rPr>
          <w:sz w:val="20"/>
        </w:rPr>
        <w:t>ao</w:t>
      </w:r>
      <w:r>
        <w:rPr>
          <w:spacing w:val="34"/>
          <w:sz w:val="20"/>
        </w:rPr>
        <w:t xml:space="preserve"> </w:t>
      </w:r>
      <w:r>
        <w:rPr>
          <w:sz w:val="20"/>
        </w:rPr>
        <w:t>fisco</w:t>
      </w:r>
      <w:r>
        <w:rPr>
          <w:spacing w:val="31"/>
          <w:sz w:val="20"/>
        </w:rPr>
        <w:t xml:space="preserve"> </w:t>
      </w:r>
      <w:r>
        <w:rPr>
          <w:sz w:val="20"/>
        </w:rPr>
        <w:t>proceder,</w:t>
      </w:r>
      <w:r>
        <w:rPr>
          <w:spacing w:val="28"/>
          <w:sz w:val="20"/>
        </w:rPr>
        <w:t xml:space="preserve"> </w:t>
      </w:r>
      <w:r>
        <w:rPr>
          <w:sz w:val="20"/>
        </w:rPr>
        <w:t>de</w:t>
      </w:r>
      <w:r>
        <w:rPr>
          <w:spacing w:val="31"/>
          <w:sz w:val="20"/>
        </w:rPr>
        <w:t xml:space="preserve"> </w:t>
      </w:r>
      <w:r>
        <w:rPr>
          <w:sz w:val="20"/>
        </w:rPr>
        <w:t>antemão,</w:t>
      </w:r>
      <w:r>
        <w:rPr>
          <w:spacing w:val="33"/>
          <w:sz w:val="20"/>
        </w:rPr>
        <w:t xml:space="preserve"> </w:t>
      </w:r>
      <w:r>
        <w:rPr>
          <w:sz w:val="20"/>
        </w:rPr>
        <w:t>ao</w:t>
      </w:r>
      <w:r>
        <w:rPr>
          <w:spacing w:val="33"/>
          <w:sz w:val="20"/>
        </w:rPr>
        <w:t xml:space="preserve"> </w:t>
      </w:r>
      <w:r>
        <w:rPr>
          <w:sz w:val="20"/>
        </w:rPr>
        <w:t>seu</w:t>
      </w:r>
      <w:r>
        <w:rPr>
          <w:spacing w:val="29"/>
          <w:sz w:val="20"/>
        </w:rPr>
        <w:t xml:space="preserve"> </w:t>
      </w:r>
      <w:r>
        <w:rPr>
          <w:sz w:val="20"/>
        </w:rPr>
        <w:t>lançamento</w:t>
      </w:r>
      <w:r>
        <w:rPr>
          <w:spacing w:val="29"/>
          <w:sz w:val="20"/>
        </w:rPr>
        <w:t xml:space="preserve"> </w:t>
      </w:r>
      <w:r>
        <w:rPr>
          <w:spacing w:val="-5"/>
          <w:sz w:val="20"/>
        </w:rPr>
        <w:t>de</w:t>
      </w:r>
    </w:p>
    <w:p w:rsidR="007259F2" w:rsidRDefault="007259F2">
      <w:pPr>
        <w:jc w:val="both"/>
        <w:rPr>
          <w:sz w:val="20"/>
        </w:rPr>
        <w:sectPr w:rsidR="007259F2">
          <w:pgSz w:w="11910" w:h="16840"/>
          <w:pgMar w:top="1600" w:right="708" w:bottom="1020" w:left="992" w:header="0" w:footer="820" w:gutter="0"/>
          <w:cols w:space="720"/>
        </w:sectPr>
      </w:pPr>
    </w:p>
    <w:p w:rsidR="007259F2" w:rsidRDefault="00E655B4">
      <w:pPr>
        <w:spacing w:before="77"/>
        <w:ind w:left="2978" w:right="550"/>
        <w:jc w:val="both"/>
        <w:rPr>
          <w:sz w:val="20"/>
        </w:rPr>
      </w:pPr>
      <w:r>
        <w:rPr>
          <w:sz w:val="20"/>
        </w:rPr>
        <w:lastRenderedPageBreak/>
        <w:t>ofício. Se a norma local exigir prévio exame das declarações do contribuinte pela Administração para a constituição do crédito tributário, estaremos diante de um lançamento</w:t>
      </w:r>
      <w:r>
        <w:rPr>
          <w:spacing w:val="-3"/>
          <w:sz w:val="20"/>
        </w:rPr>
        <w:t xml:space="preserve"> </w:t>
      </w:r>
      <w:r>
        <w:rPr>
          <w:sz w:val="20"/>
        </w:rPr>
        <w:t>por</w:t>
      </w:r>
      <w:r>
        <w:rPr>
          <w:spacing w:val="-1"/>
          <w:sz w:val="20"/>
        </w:rPr>
        <w:t xml:space="preserve"> </w:t>
      </w:r>
      <w:r>
        <w:rPr>
          <w:sz w:val="20"/>
        </w:rPr>
        <w:t>declaração. Nessa modalidade</w:t>
      </w:r>
      <w:r>
        <w:rPr>
          <w:spacing w:val="-5"/>
          <w:sz w:val="20"/>
        </w:rPr>
        <w:t xml:space="preserve"> </w:t>
      </w:r>
      <w:r>
        <w:rPr>
          <w:sz w:val="20"/>
        </w:rPr>
        <w:t>de</w:t>
      </w:r>
      <w:r>
        <w:rPr>
          <w:spacing w:val="-6"/>
          <w:sz w:val="20"/>
        </w:rPr>
        <w:t xml:space="preserve"> </w:t>
      </w:r>
      <w:r>
        <w:rPr>
          <w:sz w:val="20"/>
        </w:rPr>
        <w:t>lançamento,</w:t>
      </w:r>
      <w:r>
        <w:rPr>
          <w:spacing w:val="-5"/>
          <w:sz w:val="20"/>
        </w:rPr>
        <w:t xml:space="preserve"> </w:t>
      </w:r>
      <w:r>
        <w:rPr>
          <w:sz w:val="20"/>
        </w:rPr>
        <w:t>em</w:t>
      </w:r>
      <w:r>
        <w:rPr>
          <w:spacing w:val="-10"/>
          <w:sz w:val="20"/>
        </w:rPr>
        <w:t xml:space="preserve"> </w:t>
      </w:r>
      <w:r>
        <w:rPr>
          <w:sz w:val="20"/>
        </w:rPr>
        <w:t>face</w:t>
      </w:r>
      <w:r>
        <w:rPr>
          <w:spacing w:val="-6"/>
          <w:sz w:val="20"/>
        </w:rPr>
        <w:t xml:space="preserve"> </w:t>
      </w:r>
      <w:r>
        <w:rPr>
          <w:sz w:val="20"/>
        </w:rPr>
        <w:t>do</w:t>
      </w:r>
      <w:r>
        <w:rPr>
          <w:spacing w:val="-5"/>
          <w:sz w:val="20"/>
        </w:rPr>
        <w:t xml:space="preserve"> </w:t>
      </w:r>
      <w:r>
        <w:rPr>
          <w:sz w:val="20"/>
        </w:rPr>
        <w:t>princípio da</w:t>
      </w:r>
      <w:r>
        <w:rPr>
          <w:spacing w:val="-13"/>
          <w:sz w:val="20"/>
        </w:rPr>
        <w:t xml:space="preserve"> </w:t>
      </w:r>
      <w:r>
        <w:rPr>
          <w:sz w:val="20"/>
        </w:rPr>
        <w:t>boa-fé</w:t>
      </w:r>
      <w:r>
        <w:rPr>
          <w:spacing w:val="-12"/>
          <w:sz w:val="20"/>
        </w:rPr>
        <w:t xml:space="preserve"> </w:t>
      </w:r>
      <w:r>
        <w:rPr>
          <w:sz w:val="20"/>
        </w:rPr>
        <w:t>objetiva,</w:t>
      </w:r>
      <w:r>
        <w:rPr>
          <w:spacing w:val="-13"/>
          <w:sz w:val="20"/>
        </w:rPr>
        <w:t xml:space="preserve"> </w:t>
      </w:r>
      <w:r>
        <w:rPr>
          <w:sz w:val="20"/>
        </w:rPr>
        <w:t>presume-</w:t>
      </w:r>
      <w:r>
        <w:rPr>
          <w:spacing w:val="-9"/>
          <w:sz w:val="20"/>
        </w:rPr>
        <w:t xml:space="preserve"> </w:t>
      </w:r>
      <w:r>
        <w:rPr>
          <w:sz w:val="20"/>
        </w:rPr>
        <w:t>se</w:t>
      </w:r>
      <w:r>
        <w:rPr>
          <w:spacing w:val="-7"/>
          <w:sz w:val="20"/>
        </w:rPr>
        <w:t xml:space="preserve"> </w:t>
      </w:r>
      <w:r>
        <w:rPr>
          <w:sz w:val="20"/>
        </w:rPr>
        <w:t>que</w:t>
      </w:r>
      <w:r>
        <w:rPr>
          <w:spacing w:val="-8"/>
          <w:sz w:val="20"/>
        </w:rPr>
        <w:t xml:space="preserve"> </w:t>
      </w:r>
      <w:r>
        <w:rPr>
          <w:sz w:val="20"/>
        </w:rPr>
        <w:t>o</w:t>
      </w:r>
      <w:r>
        <w:rPr>
          <w:spacing w:val="-8"/>
          <w:sz w:val="20"/>
        </w:rPr>
        <w:t xml:space="preserve"> </w:t>
      </w:r>
      <w:r>
        <w:rPr>
          <w:sz w:val="20"/>
        </w:rPr>
        <w:t>valor</w:t>
      </w:r>
      <w:r>
        <w:rPr>
          <w:spacing w:val="-5"/>
          <w:sz w:val="20"/>
        </w:rPr>
        <w:t xml:space="preserve"> </w:t>
      </w:r>
      <w:r>
        <w:rPr>
          <w:sz w:val="20"/>
        </w:rPr>
        <w:t>da</w:t>
      </w:r>
      <w:r>
        <w:rPr>
          <w:spacing w:val="-9"/>
          <w:sz w:val="20"/>
        </w:rPr>
        <w:t xml:space="preserve"> </w:t>
      </w:r>
      <w:r>
        <w:rPr>
          <w:sz w:val="20"/>
        </w:rPr>
        <w:t>transação</w:t>
      </w:r>
      <w:r>
        <w:rPr>
          <w:spacing w:val="-5"/>
          <w:sz w:val="20"/>
        </w:rPr>
        <w:t xml:space="preserve"> </w:t>
      </w:r>
      <w:r>
        <w:rPr>
          <w:sz w:val="20"/>
        </w:rPr>
        <w:t>declarado</w:t>
      </w:r>
      <w:r>
        <w:rPr>
          <w:spacing w:val="-4"/>
          <w:sz w:val="20"/>
        </w:rPr>
        <w:t xml:space="preserve"> </w:t>
      </w:r>
      <w:r>
        <w:rPr>
          <w:sz w:val="20"/>
        </w:rPr>
        <w:t>pelo</w:t>
      </w:r>
      <w:r>
        <w:rPr>
          <w:spacing w:val="-7"/>
          <w:sz w:val="20"/>
        </w:rPr>
        <w:t xml:space="preserve"> </w:t>
      </w:r>
      <w:r>
        <w:rPr>
          <w:sz w:val="20"/>
        </w:rPr>
        <w:t>contribuinte está condizente com o valor venal de mercado daquele específico imóvel, presunção que somente pode ser afastada pelo fisco se esse valor se mostrar, de pronto, incompatível com a realidade, a justificar a instauração do procedimento próprio para o arbitramento da base de cálculo, em que assegurado ao contribuinte o contraditório necessário para apresentação das peculiaridades que justificariam</w:t>
      </w:r>
      <w:r>
        <w:rPr>
          <w:spacing w:val="-1"/>
          <w:sz w:val="20"/>
        </w:rPr>
        <w:t xml:space="preserve"> </w:t>
      </w:r>
      <w:r>
        <w:rPr>
          <w:sz w:val="20"/>
        </w:rPr>
        <w:t>o quantum</w:t>
      </w:r>
      <w:r>
        <w:rPr>
          <w:spacing w:val="-5"/>
          <w:sz w:val="20"/>
        </w:rPr>
        <w:t xml:space="preserve"> </w:t>
      </w:r>
      <w:r>
        <w:rPr>
          <w:sz w:val="20"/>
        </w:rPr>
        <w:t>informado.</w:t>
      </w:r>
      <w:r>
        <w:rPr>
          <w:spacing w:val="-3"/>
          <w:sz w:val="20"/>
        </w:rPr>
        <w:t xml:space="preserve"> </w:t>
      </w:r>
      <w:r>
        <w:rPr>
          <w:sz w:val="20"/>
        </w:rPr>
        <w:t>Entretanto,</w:t>
      </w:r>
      <w:r>
        <w:rPr>
          <w:spacing w:val="-3"/>
          <w:sz w:val="20"/>
        </w:rPr>
        <w:t xml:space="preserve"> </w:t>
      </w:r>
      <w:r>
        <w:rPr>
          <w:sz w:val="20"/>
        </w:rPr>
        <w:t>se</w:t>
      </w:r>
      <w:r>
        <w:rPr>
          <w:spacing w:val="-3"/>
          <w:sz w:val="20"/>
        </w:rPr>
        <w:t xml:space="preserve"> </w:t>
      </w:r>
      <w:r>
        <w:rPr>
          <w:sz w:val="20"/>
        </w:rPr>
        <w:t>a</w:t>
      </w:r>
      <w:r>
        <w:rPr>
          <w:spacing w:val="-3"/>
          <w:sz w:val="20"/>
        </w:rPr>
        <w:t xml:space="preserve"> </w:t>
      </w:r>
      <w:r>
        <w:rPr>
          <w:sz w:val="20"/>
        </w:rPr>
        <w:t>legislação municipal</w:t>
      </w:r>
      <w:r>
        <w:rPr>
          <w:spacing w:val="-3"/>
          <w:sz w:val="20"/>
        </w:rPr>
        <w:t xml:space="preserve"> </w:t>
      </w:r>
      <w:r>
        <w:rPr>
          <w:sz w:val="20"/>
        </w:rPr>
        <w:t>disciplinar</w:t>
      </w:r>
      <w:r>
        <w:rPr>
          <w:spacing w:val="-2"/>
          <w:sz w:val="20"/>
        </w:rPr>
        <w:t xml:space="preserve"> </w:t>
      </w:r>
      <w:r>
        <w:rPr>
          <w:sz w:val="20"/>
        </w:rPr>
        <w:t>que</w:t>
      </w:r>
      <w:r>
        <w:rPr>
          <w:spacing w:val="-3"/>
          <w:sz w:val="20"/>
        </w:rPr>
        <w:t xml:space="preserve"> </w:t>
      </w:r>
      <w:r>
        <w:rPr>
          <w:sz w:val="20"/>
        </w:rPr>
        <w:t>caberá</w:t>
      </w:r>
      <w:r>
        <w:rPr>
          <w:spacing w:val="-3"/>
          <w:sz w:val="20"/>
        </w:rPr>
        <w:t xml:space="preserve"> </w:t>
      </w:r>
      <w:r>
        <w:rPr>
          <w:sz w:val="20"/>
        </w:rPr>
        <w:t>ao contribuinte apurar o valor do imposto e efetuar o seu pagamento antecipado sem prévio exame do ente tributante, estaremos diante de um lançamento por homologação. Nessa hipótese, a Administração terá o prazo decadencial de cinco anos para proceder à revisão do pagamento realizado (que também engloba o exame acerca da correção da base de cálculo adotada), sem a qual o lançamento estará tacitamente homologado e, portanto, terá caráter definitivo.</w:t>
      </w:r>
    </w:p>
    <w:p w:rsidR="007259F2" w:rsidRDefault="00E655B4">
      <w:pPr>
        <w:spacing w:before="199"/>
        <w:ind w:left="2978" w:right="552"/>
        <w:jc w:val="both"/>
        <w:rPr>
          <w:sz w:val="20"/>
        </w:rPr>
      </w:pPr>
      <w:r>
        <w:rPr>
          <w:sz w:val="20"/>
        </w:rPr>
        <w:t xml:space="preserve">Tanto o lançamento por declaração quanto o (lançamento) por homologação estão justificados pelas inúmeras circunstâncias já referidas que podem interferir no específico valor de mercado de cada imóvel transacionado, circunstâncias cujo conhecimento integral somente os negociantes têm ou deveriam ter para melhor avaliar o real valor do bem quando da realização do negócio. </w:t>
      </w:r>
      <w:r>
        <w:rPr>
          <w:b/>
          <w:sz w:val="20"/>
          <w:u w:val="single"/>
        </w:rPr>
        <w:t>E aqui reside a</w:t>
      </w:r>
      <w:r>
        <w:rPr>
          <w:b/>
          <w:sz w:val="20"/>
        </w:rPr>
        <w:t xml:space="preserve"> </w:t>
      </w:r>
      <w:r>
        <w:rPr>
          <w:b/>
          <w:sz w:val="20"/>
          <w:u w:val="single"/>
        </w:rPr>
        <w:t>principal razão da impossibilidade prática da</w:t>
      </w:r>
      <w:r>
        <w:rPr>
          <w:b/>
          <w:sz w:val="20"/>
        </w:rPr>
        <w:t xml:space="preserve"> </w:t>
      </w:r>
      <w:r>
        <w:rPr>
          <w:b/>
          <w:sz w:val="20"/>
          <w:u w:val="single"/>
        </w:rPr>
        <w:t>realização do lançamento</w:t>
      </w:r>
      <w:r>
        <w:rPr>
          <w:b/>
          <w:sz w:val="20"/>
        </w:rPr>
        <w:t xml:space="preserve"> </w:t>
      </w:r>
      <w:r>
        <w:rPr>
          <w:b/>
          <w:sz w:val="20"/>
          <w:u w:val="single"/>
        </w:rPr>
        <w:t>originário</w:t>
      </w:r>
      <w:r>
        <w:rPr>
          <w:b/>
          <w:spacing w:val="-8"/>
          <w:sz w:val="20"/>
          <w:u w:val="single"/>
        </w:rPr>
        <w:t xml:space="preserve"> </w:t>
      </w:r>
      <w:r>
        <w:rPr>
          <w:b/>
          <w:sz w:val="20"/>
          <w:u w:val="single"/>
        </w:rPr>
        <w:t>de</w:t>
      </w:r>
      <w:r>
        <w:rPr>
          <w:b/>
          <w:spacing w:val="-10"/>
          <w:sz w:val="20"/>
          <w:u w:val="single"/>
        </w:rPr>
        <w:t xml:space="preserve"> </w:t>
      </w:r>
      <w:r>
        <w:rPr>
          <w:b/>
          <w:sz w:val="20"/>
          <w:u w:val="single"/>
        </w:rPr>
        <w:t>ofício,</w:t>
      </w:r>
      <w:r>
        <w:rPr>
          <w:b/>
          <w:spacing w:val="-9"/>
          <w:sz w:val="20"/>
          <w:u w:val="single"/>
        </w:rPr>
        <w:t xml:space="preserve"> </w:t>
      </w:r>
      <w:r>
        <w:rPr>
          <w:b/>
          <w:sz w:val="20"/>
          <w:u w:val="single"/>
        </w:rPr>
        <w:t>ainda que</w:t>
      </w:r>
      <w:r>
        <w:rPr>
          <w:b/>
          <w:spacing w:val="-10"/>
          <w:sz w:val="20"/>
          <w:u w:val="single"/>
        </w:rPr>
        <w:t xml:space="preserve"> </w:t>
      </w:r>
      <w:r>
        <w:rPr>
          <w:b/>
          <w:sz w:val="20"/>
          <w:u w:val="single"/>
        </w:rPr>
        <w:t>autorizado</w:t>
      </w:r>
      <w:r>
        <w:rPr>
          <w:b/>
          <w:spacing w:val="-4"/>
          <w:sz w:val="20"/>
          <w:u w:val="single"/>
        </w:rPr>
        <w:t xml:space="preserve"> </w:t>
      </w:r>
      <w:r>
        <w:rPr>
          <w:b/>
          <w:sz w:val="20"/>
          <w:u w:val="single"/>
        </w:rPr>
        <w:t>pelo legislador local, pois o fisco não</w:t>
      </w:r>
      <w:r>
        <w:rPr>
          <w:b/>
          <w:sz w:val="20"/>
        </w:rPr>
        <w:t xml:space="preserve"> </w:t>
      </w:r>
      <w:r>
        <w:rPr>
          <w:b/>
          <w:sz w:val="20"/>
          <w:u w:val="single"/>
        </w:rPr>
        <w:t>tem como possuir, previamente, o</w:t>
      </w:r>
      <w:r>
        <w:rPr>
          <w:b/>
          <w:sz w:val="20"/>
        </w:rPr>
        <w:t xml:space="preserve"> </w:t>
      </w:r>
      <w:r>
        <w:rPr>
          <w:b/>
          <w:sz w:val="20"/>
          <w:u w:val="single"/>
        </w:rPr>
        <w:t>conhecimento de todas as variáveis</w:t>
      </w:r>
      <w:r>
        <w:rPr>
          <w:b/>
          <w:sz w:val="20"/>
        </w:rPr>
        <w:t xml:space="preserve"> </w:t>
      </w:r>
      <w:r>
        <w:rPr>
          <w:b/>
          <w:sz w:val="20"/>
          <w:u w:val="single"/>
        </w:rPr>
        <w:t xml:space="preserve">determinantes para a composição do valor do imóvel transmitido, </w:t>
      </w:r>
      <w:r>
        <w:rPr>
          <w:b/>
          <w:i/>
          <w:sz w:val="20"/>
          <w:u w:val="single"/>
        </w:rPr>
        <w:t>in</w:t>
      </w:r>
      <w:r>
        <w:rPr>
          <w:b/>
          <w:i/>
          <w:spacing w:val="-1"/>
          <w:sz w:val="20"/>
          <w:u w:val="single"/>
        </w:rPr>
        <w:t xml:space="preserve"> </w:t>
      </w:r>
      <w:r>
        <w:rPr>
          <w:b/>
          <w:i/>
          <w:sz w:val="20"/>
          <w:u w:val="single"/>
        </w:rPr>
        <w:t>concreto</w:t>
      </w:r>
      <w:r>
        <w:rPr>
          <w:b/>
          <w:sz w:val="20"/>
          <w:u w:val="single"/>
        </w:rPr>
        <w:t>.</w:t>
      </w:r>
      <w:r>
        <w:rPr>
          <w:b/>
          <w:sz w:val="20"/>
        </w:rPr>
        <w:t xml:space="preserve"> </w:t>
      </w:r>
      <w:r>
        <w:rPr>
          <w:b/>
          <w:sz w:val="20"/>
          <w:u w:val="single"/>
        </w:rPr>
        <w:t>Constata-se, dessa forma,</w:t>
      </w:r>
      <w:r>
        <w:rPr>
          <w:b/>
          <w:sz w:val="20"/>
        </w:rPr>
        <w:t xml:space="preserve"> </w:t>
      </w:r>
      <w:r>
        <w:rPr>
          <w:b/>
          <w:sz w:val="20"/>
          <w:u w:val="single"/>
        </w:rPr>
        <w:t>que, dadas as características próprias do fato</w:t>
      </w:r>
      <w:r>
        <w:rPr>
          <w:b/>
          <w:sz w:val="20"/>
        </w:rPr>
        <w:t xml:space="preserve"> </w:t>
      </w:r>
      <w:r>
        <w:rPr>
          <w:b/>
          <w:sz w:val="20"/>
          <w:u w:val="single"/>
        </w:rPr>
        <w:t>gerador desse imposto, a</w:t>
      </w:r>
      <w:r>
        <w:rPr>
          <w:b/>
          <w:sz w:val="20"/>
        </w:rPr>
        <w:t xml:space="preserve"> </w:t>
      </w:r>
      <w:r>
        <w:rPr>
          <w:b/>
          <w:sz w:val="20"/>
          <w:u w:val="single"/>
        </w:rPr>
        <w:t>sua base de cálculo deverá partir da declaração</w:t>
      </w:r>
      <w:r>
        <w:rPr>
          <w:b/>
          <w:sz w:val="20"/>
        </w:rPr>
        <w:t xml:space="preserve"> </w:t>
      </w:r>
      <w:r>
        <w:rPr>
          <w:b/>
          <w:sz w:val="20"/>
          <w:u w:val="single"/>
        </w:rPr>
        <w:t>prestada pelo</w:t>
      </w:r>
      <w:r>
        <w:rPr>
          <w:b/>
          <w:sz w:val="20"/>
        </w:rPr>
        <w:t xml:space="preserve"> </w:t>
      </w:r>
      <w:r>
        <w:rPr>
          <w:b/>
          <w:sz w:val="20"/>
          <w:u w:val="single"/>
        </w:rPr>
        <w:t>contribuinte, ressalvada a prerrogativa da administração</w:t>
      </w:r>
      <w:r>
        <w:rPr>
          <w:b/>
          <w:sz w:val="20"/>
        </w:rPr>
        <w:t xml:space="preserve"> </w:t>
      </w:r>
      <w:r>
        <w:rPr>
          <w:b/>
          <w:sz w:val="20"/>
          <w:u w:val="single"/>
        </w:rPr>
        <w:t>tributária de</w:t>
      </w:r>
      <w:r>
        <w:rPr>
          <w:b/>
          <w:sz w:val="20"/>
        </w:rPr>
        <w:t xml:space="preserve"> </w:t>
      </w:r>
      <w:r>
        <w:rPr>
          <w:b/>
          <w:sz w:val="20"/>
          <w:u w:val="single"/>
        </w:rPr>
        <w:t>revisá-la, antes ou depois do pagamento, a depender da</w:t>
      </w:r>
      <w:r>
        <w:rPr>
          <w:b/>
          <w:sz w:val="20"/>
        </w:rPr>
        <w:t xml:space="preserve"> </w:t>
      </w:r>
      <w:r>
        <w:rPr>
          <w:b/>
          <w:sz w:val="20"/>
          <w:u w:val="single"/>
        </w:rPr>
        <w:t>modalidade do</w:t>
      </w:r>
      <w:r>
        <w:rPr>
          <w:b/>
          <w:sz w:val="20"/>
        </w:rPr>
        <w:t xml:space="preserve"> </w:t>
      </w:r>
      <w:r>
        <w:rPr>
          <w:b/>
          <w:sz w:val="20"/>
          <w:u w:val="single"/>
        </w:rPr>
        <w:t>lançamento, desde que instaurado o procedimento</w:t>
      </w:r>
      <w:r>
        <w:rPr>
          <w:b/>
          <w:sz w:val="20"/>
        </w:rPr>
        <w:t xml:space="preserve"> </w:t>
      </w:r>
      <w:r>
        <w:rPr>
          <w:b/>
          <w:sz w:val="20"/>
          <w:u w:val="single"/>
        </w:rPr>
        <w:t>administrativo próprio</w:t>
      </w:r>
      <w:r>
        <w:rPr>
          <w:sz w:val="20"/>
        </w:rPr>
        <w:t>, em que deverá apurar todas as peculiaridades do imóvel (benfeitorias, estado de conservação, etc.) e as condições que impactaram no caráter volitivo do negócio jurídico realizado, assegurados os postulados da ampla defesa e do contraditório que possibilitem ao contribuinte justificar o valor declarado. (...)</w:t>
      </w:r>
    </w:p>
    <w:p w:rsidR="007259F2" w:rsidRDefault="00E655B4">
      <w:pPr>
        <w:spacing w:before="205"/>
        <w:ind w:left="2978" w:right="551"/>
        <w:jc w:val="both"/>
        <w:rPr>
          <w:sz w:val="20"/>
        </w:rPr>
      </w:pPr>
      <w:r>
        <w:rPr>
          <w:b/>
          <w:sz w:val="20"/>
        </w:rPr>
        <w:t xml:space="preserve">É legítima a adoção de valor venal de referência previamente estipulado pelo fisco municipal como parâmetro para a fixação da base de cálculo do ITBI? </w:t>
      </w:r>
      <w:r>
        <w:rPr>
          <w:sz w:val="20"/>
        </w:rPr>
        <w:t>(...) Ao fixar a base de cálculo com lastro em valor de referência previamente estabelecido,</w:t>
      </w:r>
      <w:r>
        <w:rPr>
          <w:spacing w:val="-13"/>
          <w:sz w:val="20"/>
        </w:rPr>
        <w:t xml:space="preserve"> </w:t>
      </w:r>
      <w:r>
        <w:rPr>
          <w:b/>
          <w:sz w:val="20"/>
          <w:u w:val="single"/>
        </w:rPr>
        <w:t>o</w:t>
      </w:r>
      <w:r>
        <w:rPr>
          <w:b/>
          <w:spacing w:val="-12"/>
          <w:sz w:val="20"/>
          <w:u w:val="single"/>
        </w:rPr>
        <w:t xml:space="preserve"> </w:t>
      </w:r>
      <w:r>
        <w:rPr>
          <w:b/>
          <w:sz w:val="20"/>
          <w:u w:val="single"/>
        </w:rPr>
        <w:t>fisco</w:t>
      </w:r>
      <w:r>
        <w:rPr>
          <w:b/>
          <w:spacing w:val="-13"/>
          <w:sz w:val="20"/>
          <w:u w:val="single"/>
        </w:rPr>
        <w:t xml:space="preserve"> </w:t>
      </w:r>
      <w:r>
        <w:rPr>
          <w:b/>
          <w:sz w:val="20"/>
          <w:u w:val="single"/>
        </w:rPr>
        <w:t>busca,</w:t>
      </w:r>
      <w:r>
        <w:rPr>
          <w:b/>
          <w:spacing w:val="-12"/>
          <w:sz w:val="20"/>
          <w:u w:val="single"/>
        </w:rPr>
        <w:t xml:space="preserve"> </w:t>
      </w:r>
      <w:r>
        <w:rPr>
          <w:b/>
          <w:sz w:val="20"/>
          <w:u w:val="single"/>
        </w:rPr>
        <w:t>de</w:t>
      </w:r>
      <w:r>
        <w:rPr>
          <w:b/>
          <w:spacing w:val="-10"/>
          <w:sz w:val="20"/>
          <w:u w:val="single"/>
        </w:rPr>
        <w:t xml:space="preserve"> </w:t>
      </w:r>
      <w:r>
        <w:rPr>
          <w:b/>
          <w:sz w:val="20"/>
          <w:u w:val="single"/>
        </w:rPr>
        <w:t>fato,</w:t>
      </w:r>
      <w:r>
        <w:rPr>
          <w:b/>
          <w:spacing w:val="-13"/>
          <w:sz w:val="20"/>
          <w:u w:val="single"/>
        </w:rPr>
        <w:t xml:space="preserve"> </w:t>
      </w:r>
      <w:r>
        <w:rPr>
          <w:b/>
          <w:sz w:val="20"/>
          <w:u w:val="single"/>
        </w:rPr>
        <w:t>realizar</w:t>
      </w:r>
      <w:r>
        <w:rPr>
          <w:b/>
          <w:spacing w:val="-9"/>
          <w:sz w:val="20"/>
          <w:u w:val="single"/>
        </w:rPr>
        <w:t xml:space="preserve"> </w:t>
      </w:r>
      <w:r>
        <w:rPr>
          <w:b/>
          <w:sz w:val="20"/>
          <w:u w:val="single"/>
        </w:rPr>
        <w:t>o</w:t>
      </w:r>
      <w:r>
        <w:rPr>
          <w:b/>
          <w:spacing w:val="-13"/>
          <w:sz w:val="20"/>
          <w:u w:val="single"/>
        </w:rPr>
        <w:t xml:space="preserve"> </w:t>
      </w:r>
      <w:r>
        <w:rPr>
          <w:b/>
          <w:sz w:val="20"/>
          <w:u w:val="single"/>
        </w:rPr>
        <w:t>lançamento</w:t>
      </w:r>
      <w:r>
        <w:rPr>
          <w:b/>
          <w:spacing w:val="-12"/>
          <w:sz w:val="20"/>
          <w:u w:val="single"/>
        </w:rPr>
        <w:t xml:space="preserve"> </w:t>
      </w:r>
      <w:r>
        <w:rPr>
          <w:b/>
          <w:sz w:val="20"/>
          <w:u w:val="single"/>
        </w:rPr>
        <w:t>de</w:t>
      </w:r>
      <w:r>
        <w:rPr>
          <w:b/>
          <w:spacing w:val="-3"/>
          <w:sz w:val="20"/>
          <w:u w:val="single"/>
        </w:rPr>
        <w:t xml:space="preserve"> </w:t>
      </w:r>
      <w:r>
        <w:rPr>
          <w:b/>
          <w:sz w:val="20"/>
          <w:u w:val="single"/>
        </w:rPr>
        <w:t>ofício</w:t>
      </w:r>
      <w:r>
        <w:rPr>
          <w:b/>
          <w:spacing w:val="-3"/>
          <w:sz w:val="20"/>
          <w:u w:val="single"/>
        </w:rPr>
        <w:t xml:space="preserve"> </w:t>
      </w:r>
      <w:r>
        <w:rPr>
          <w:b/>
          <w:sz w:val="20"/>
          <w:u w:val="single"/>
        </w:rPr>
        <w:t>do</w:t>
      </w:r>
      <w:r>
        <w:rPr>
          <w:b/>
          <w:spacing w:val="-4"/>
          <w:sz w:val="20"/>
          <w:u w:val="single"/>
        </w:rPr>
        <w:t xml:space="preserve"> </w:t>
      </w:r>
      <w:r>
        <w:rPr>
          <w:b/>
          <w:sz w:val="20"/>
          <w:u w:val="single"/>
        </w:rPr>
        <w:t>imposto,</w:t>
      </w:r>
      <w:r>
        <w:rPr>
          <w:b/>
          <w:spacing w:val="-4"/>
          <w:sz w:val="20"/>
          <w:u w:val="single"/>
        </w:rPr>
        <w:t xml:space="preserve"> </w:t>
      </w:r>
      <w:r>
        <w:rPr>
          <w:b/>
          <w:sz w:val="20"/>
          <w:u w:val="single"/>
        </w:rPr>
        <w:t>o</w:t>
      </w:r>
      <w:r>
        <w:rPr>
          <w:b/>
          <w:sz w:val="20"/>
        </w:rPr>
        <w:t xml:space="preserve"> </w:t>
      </w:r>
      <w:r>
        <w:rPr>
          <w:b/>
          <w:sz w:val="20"/>
          <w:u w:val="single"/>
        </w:rPr>
        <w:t>qual, todavia, está indevidamente amparado em</w:t>
      </w:r>
      <w:r>
        <w:rPr>
          <w:b/>
          <w:sz w:val="20"/>
        </w:rPr>
        <w:t xml:space="preserve"> </w:t>
      </w:r>
      <w:r>
        <w:rPr>
          <w:b/>
          <w:sz w:val="20"/>
          <w:u w:val="single"/>
        </w:rPr>
        <w:t>critérios que foram por ele</w:t>
      </w:r>
      <w:r>
        <w:rPr>
          <w:b/>
          <w:sz w:val="20"/>
        </w:rPr>
        <w:t xml:space="preserve"> </w:t>
      </w:r>
      <w:r>
        <w:rPr>
          <w:b/>
          <w:sz w:val="20"/>
          <w:u w:val="single"/>
        </w:rPr>
        <w:t>escolhidos unilateralmente e que apenas</w:t>
      </w:r>
      <w:r>
        <w:rPr>
          <w:b/>
          <w:sz w:val="20"/>
        </w:rPr>
        <w:t xml:space="preserve"> </w:t>
      </w:r>
      <w:r>
        <w:rPr>
          <w:b/>
          <w:sz w:val="20"/>
          <w:u w:val="single"/>
        </w:rPr>
        <w:t>revelariam um valor médio de</w:t>
      </w:r>
      <w:r>
        <w:rPr>
          <w:b/>
          <w:sz w:val="20"/>
        </w:rPr>
        <w:t xml:space="preserve"> </w:t>
      </w:r>
      <w:r>
        <w:rPr>
          <w:b/>
          <w:sz w:val="20"/>
          <w:u w:val="single"/>
        </w:rPr>
        <w:t>mercado, de cunho meramente</w:t>
      </w:r>
      <w:r>
        <w:rPr>
          <w:b/>
          <w:sz w:val="20"/>
        </w:rPr>
        <w:t xml:space="preserve"> </w:t>
      </w:r>
      <w:r>
        <w:rPr>
          <w:b/>
          <w:sz w:val="20"/>
          <w:u w:val="single"/>
        </w:rPr>
        <w:t>estimativo, visto que despreza as</w:t>
      </w:r>
      <w:r>
        <w:rPr>
          <w:b/>
          <w:sz w:val="20"/>
        </w:rPr>
        <w:t xml:space="preserve"> </w:t>
      </w:r>
      <w:r>
        <w:rPr>
          <w:b/>
          <w:sz w:val="20"/>
          <w:u w:val="single"/>
        </w:rPr>
        <w:t>peculiaridades do imóvel e da</w:t>
      </w:r>
      <w:r>
        <w:rPr>
          <w:b/>
          <w:sz w:val="20"/>
        </w:rPr>
        <w:t xml:space="preserve"> </w:t>
      </w:r>
      <w:r>
        <w:rPr>
          <w:b/>
          <w:sz w:val="20"/>
          <w:u w:val="single"/>
        </w:rPr>
        <w:t>transação que foram quantificadas na</w:t>
      </w:r>
      <w:r>
        <w:rPr>
          <w:b/>
          <w:sz w:val="20"/>
        </w:rPr>
        <w:t xml:space="preserve"> </w:t>
      </w:r>
      <w:r>
        <w:rPr>
          <w:b/>
          <w:sz w:val="20"/>
          <w:u w:val="single"/>
        </w:rPr>
        <w:t>declaração prestada pelo</w:t>
      </w:r>
      <w:r>
        <w:rPr>
          <w:b/>
          <w:sz w:val="20"/>
        </w:rPr>
        <w:t xml:space="preserve"> </w:t>
      </w:r>
      <w:r>
        <w:rPr>
          <w:b/>
          <w:sz w:val="20"/>
          <w:u w:val="single"/>
        </w:rPr>
        <w:t>contribuinte, que, como cediço, presume-se de boa-</w:t>
      </w:r>
      <w:r>
        <w:rPr>
          <w:b/>
          <w:sz w:val="20"/>
        </w:rPr>
        <w:t xml:space="preserve"> </w:t>
      </w:r>
      <w:r>
        <w:rPr>
          <w:b/>
          <w:sz w:val="20"/>
          <w:u w:val="single"/>
        </w:rPr>
        <w:t>fé. Além disso, a</w:t>
      </w:r>
      <w:r>
        <w:rPr>
          <w:b/>
          <w:sz w:val="20"/>
        </w:rPr>
        <w:t xml:space="preserve"> </w:t>
      </w:r>
      <w:r>
        <w:rPr>
          <w:b/>
          <w:sz w:val="20"/>
          <w:u w:val="single"/>
        </w:rPr>
        <w:t>adoção desse valor de referência como primeiro parâmetro</w:t>
      </w:r>
      <w:r>
        <w:rPr>
          <w:b/>
          <w:sz w:val="20"/>
        </w:rPr>
        <w:t xml:space="preserve"> </w:t>
      </w:r>
      <w:r>
        <w:rPr>
          <w:b/>
          <w:sz w:val="20"/>
          <w:u w:val="single"/>
        </w:rPr>
        <w:t>para a fixação</w:t>
      </w:r>
      <w:r>
        <w:rPr>
          <w:b/>
          <w:spacing w:val="-5"/>
          <w:sz w:val="20"/>
          <w:u w:val="single"/>
        </w:rPr>
        <w:t xml:space="preserve"> </w:t>
      </w:r>
      <w:r>
        <w:rPr>
          <w:b/>
          <w:sz w:val="20"/>
          <w:u w:val="single"/>
        </w:rPr>
        <w:t>da base</w:t>
      </w:r>
      <w:r>
        <w:rPr>
          <w:b/>
          <w:spacing w:val="-4"/>
          <w:sz w:val="20"/>
          <w:u w:val="single"/>
        </w:rPr>
        <w:t xml:space="preserve"> </w:t>
      </w:r>
      <w:r>
        <w:rPr>
          <w:b/>
          <w:sz w:val="20"/>
          <w:u w:val="single"/>
        </w:rPr>
        <w:t>de</w:t>
      </w:r>
      <w:r>
        <w:rPr>
          <w:b/>
          <w:spacing w:val="-4"/>
          <w:sz w:val="20"/>
          <w:u w:val="single"/>
        </w:rPr>
        <w:t xml:space="preserve"> </w:t>
      </w:r>
      <w:r>
        <w:rPr>
          <w:b/>
          <w:sz w:val="20"/>
          <w:u w:val="single"/>
        </w:rPr>
        <w:t>cálculo</w:t>
      </w:r>
      <w:r>
        <w:rPr>
          <w:b/>
          <w:spacing w:val="-5"/>
          <w:sz w:val="20"/>
          <w:u w:val="single"/>
        </w:rPr>
        <w:t xml:space="preserve"> </w:t>
      </w:r>
      <w:r>
        <w:rPr>
          <w:b/>
          <w:sz w:val="20"/>
          <w:u w:val="single"/>
        </w:rPr>
        <w:t>do</w:t>
      </w:r>
      <w:r>
        <w:rPr>
          <w:b/>
          <w:spacing w:val="-6"/>
          <w:sz w:val="20"/>
          <w:u w:val="single"/>
        </w:rPr>
        <w:t xml:space="preserve"> </w:t>
      </w:r>
      <w:r>
        <w:rPr>
          <w:b/>
          <w:sz w:val="20"/>
          <w:u w:val="single"/>
        </w:rPr>
        <w:t>ITBI,</w:t>
      </w:r>
      <w:r>
        <w:rPr>
          <w:b/>
          <w:spacing w:val="-4"/>
          <w:sz w:val="20"/>
          <w:u w:val="single"/>
        </w:rPr>
        <w:t xml:space="preserve"> </w:t>
      </w:r>
      <w:r>
        <w:rPr>
          <w:b/>
          <w:sz w:val="20"/>
          <w:u w:val="single"/>
        </w:rPr>
        <w:t>com</w:t>
      </w:r>
      <w:r>
        <w:rPr>
          <w:b/>
          <w:spacing w:val="-3"/>
          <w:sz w:val="20"/>
          <w:u w:val="single"/>
        </w:rPr>
        <w:t xml:space="preserve"> </w:t>
      </w:r>
      <w:r>
        <w:rPr>
          <w:b/>
          <w:sz w:val="20"/>
          <w:u w:val="single"/>
        </w:rPr>
        <w:t>a</w:t>
      </w:r>
      <w:r>
        <w:rPr>
          <w:b/>
          <w:spacing w:val="-3"/>
          <w:sz w:val="20"/>
          <w:u w:val="single"/>
        </w:rPr>
        <w:t xml:space="preserve"> </w:t>
      </w:r>
      <w:r>
        <w:rPr>
          <w:b/>
          <w:sz w:val="20"/>
          <w:u w:val="single"/>
        </w:rPr>
        <w:t>inversão do</w:t>
      </w:r>
      <w:r>
        <w:rPr>
          <w:b/>
          <w:spacing w:val="-5"/>
          <w:sz w:val="20"/>
          <w:u w:val="single"/>
        </w:rPr>
        <w:t xml:space="preserve"> </w:t>
      </w:r>
      <w:r>
        <w:rPr>
          <w:b/>
          <w:sz w:val="20"/>
          <w:u w:val="single"/>
        </w:rPr>
        <w:t>ônus</w:t>
      </w:r>
      <w:r>
        <w:rPr>
          <w:b/>
          <w:spacing w:val="-3"/>
          <w:sz w:val="20"/>
          <w:u w:val="single"/>
        </w:rPr>
        <w:t xml:space="preserve"> </w:t>
      </w:r>
      <w:r>
        <w:rPr>
          <w:b/>
          <w:sz w:val="20"/>
          <w:u w:val="single"/>
        </w:rPr>
        <w:t>da</w:t>
      </w:r>
      <w:r>
        <w:rPr>
          <w:b/>
          <w:spacing w:val="-3"/>
          <w:sz w:val="20"/>
          <w:u w:val="single"/>
        </w:rPr>
        <w:t xml:space="preserve"> </w:t>
      </w:r>
      <w:r>
        <w:rPr>
          <w:b/>
          <w:sz w:val="20"/>
          <w:u w:val="single"/>
        </w:rPr>
        <w:t>prova</w:t>
      </w:r>
      <w:r>
        <w:rPr>
          <w:b/>
          <w:spacing w:val="-3"/>
          <w:sz w:val="20"/>
          <w:u w:val="single"/>
        </w:rPr>
        <w:t xml:space="preserve"> </w:t>
      </w:r>
      <w:r>
        <w:rPr>
          <w:b/>
          <w:sz w:val="20"/>
          <w:u w:val="single"/>
        </w:rPr>
        <w:t>ao</w:t>
      </w:r>
      <w:r>
        <w:rPr>
          <w:b/>
          <w:sz w:val="20"/>
        </w:rPr>
        <w:t xml:space="preserve"> </w:t>
      </w:r>
      <w:r>
        <w:rPr>
          <w:b/>
          <w:sz w:val="20"/>
          <w:u w:val="single"/>
        </w:rPr>
        <w:t>contribuinte para demonstrar o contrário, subverte o procedimento instituído</w:t>
      </w:r>
      <w:r>
        <w:rPr>
          <w:b/>
          <w:sz w:val="20"/>
        </w:rPr>
        <w:t xml:space="preserve"> </w:t>
      </w:r>
      <w:r>
        <w:rPr>
          <w:b/>
          <w:sz w:val="20"/>
          <w:u w:val="single"/>
        </w:rPr>
        <w:t>no</w:t>
      </w:r>
      <w:r>
        <w:rPr>
          <w:b/>
          <w:spacing w:val="-6"/>
          <w:sz w:val="20"/>
          <w:u w:val="single"/>
        </w:rPr>
        <w:t xml:space="preserve"> </w:t>
      </w:r>
      <w:r>
        <w:rPr>
          <w:b/>
          <w:sz w:val="20"/>
          <w:u w:val="single"/>
        </w:rPr>
        <w:t>art.</w:t>
      </w:r>
      <w:r>
        <w:rPr>
          <w:b/>
          <w:spacing w:val="-3"/>
          <w:sz w:val="20"/>
          <w:u w:val="single"/>
        </w:rPr>
        <w:t xml:space="preserve"> </w:t>
      </w:r>
      <w:r>
        <w:rPr>
          <w:b/>
          <w:sz w:val="20"/>
          <w:u w:val="single"/>
        </w:rPr>
        <w:t>148</w:t>
      </w:r>
      <w:r>
        <w:rPr>
          <w:b/>
          <w:spacing w:val="-2"/>
          <w:sz w:val="20"/>
          <w:u w:val="single"/>
        </w:rPr>
        <w:t xml:space="preserve"> </w:t>
      </w:r>
      <w:r>
        <w:rPr>
          <w:b/>
          <w:sz w:val="20"/>
          <w:u w:val="single"/>
        </w:rPr>
        <w:t>do</w:t>
      </w:r>
      <w:r>
        <w:rPr>
          <w:b/>
          <w:spacing w:val="-3"/>
          <w:sz w:val="20"/>
          <w:u w:val="single"/>
        </w:rPr>
        <w:t xml:space="preserve"> </w:t>
      </w:r>
      <w:r>
        <w:rPr>
          <w:b/>
          <w:sz w:val="20"/>
          <w:u w:val="single"/>
        </w:rPr>
        <w:t>CTN,</w:t>
      </w:r>
      <w:r>
        <w:rPr>
          <w:b/>
          <w:spacing w:val="-3"/>
          <w:sz w:val="20"/>
          <w:u w:val="single"/>
        </w:rPr>
        <w:t xml:space="preserve"> </w:t>
      </w:r>
      <w:r>
        <w:rPr>
          <w:b/>
          <w:sz w:val="20"/>
          <w:u w:val="single"/>
        </w:rPr>
        <w:t>pois,</w:t>
      </w:r>
      <w:r>
        <w:rPr>
          <w:b/>
          <w:spacing w:val="-3"/>
          <w:sz w:val="20"/>
          <w:u w:val="single"/>
        </w:rPr>
        <w:t xml:space="preserve"> </w:t>
      </w:r>
      <w:r>
        <w:rPr>
          <w:b/>
          <w:sz w:val="20"/>
          <w:u w:val="single"/>
        </w:rPr>
        <w:t>a</w:t>
      </w:r>
      <w:r>
        <w:rPr>
          <w:b/>
          <w:spacing w:val="-2"/>
          <w:sz w:val="20"/>
          <w:u w:val="single"/>
        </w:rPr>
        <w:t xml:space="preserve"> </w:t>
      </w:r>
      <w:r>
        <w:rPr>
          <w:b/>
          <w:sz w:val="20"/>
          <w:u w:val="single"/>
        </w:rPr>
        <w:t>toda</w:t>
      </w:r>
      <w:r>
        <w:rPr>
          <w:b/>
          <w:spacing w:val="-3"/>
          <w:sz w:val="20"/>
          <w:u w:val="single"/>
        </w:rPr>
        <w:t xml:space="preserve"> </w:t>
      </w:r>
      <w:r>
        <w:rPr>
          <w:b/>
          <w:sz w:val="20"/>
          <w:u w:val="single"/>
        </w:rPr>
        <w:t>evidência,</w:t>
      </w:r>
      <w:r>
        <w:rPr>
          <w:b/>
          <w:spacing w:val="-3"/>
          <w:sz w:val="20"/>
          <w:u w:val="single"/>
        </w:rPr>
        <w:t xml:space="preserve"> </w:t>
      </w:r>
      <w:r>
        <w:rPr>
          <w:b/>
          <w:sz w:val="20"/>
          <w:u w:val="single"/>
        </w:rPr>
        <w:t>resulta</w:t>
      </w:r>
      <w:r>
        <w:rPr>
          <w:b/>
          <w:spacing w:val="-2"/>
          <w:sz w:val="20"/>
          <w:u w:val="single"/>
        </w:rPr>
        <w:t xml:space="preserve"> </w:t>
      </w:r>
      <w:r>
        <w:rPr>
          <w:b/>
          <w:sz w:val="20"/>
          <w:u w:val="single"/>
        </w:rPr>
        <w:t>em arbitramento</w:t>
      </w:r>
      <w:r>
        <w:rPr>
          <w:b/>
          <w:spacing w:val="-13"/>
          <w:sz w:val="20"/>
          <w:u w:val="single"/>
        </w:rPr>
        <w:t xml:space="preserve"> </w:t>
      </w:r>
      <w:r>
        <w:rPr>
          <w:b/>
          <w:sz w:val="20"/>
          <w:u w:val="single"/>
        </w:rPr>
        <w:t>da</w:t>
      </w:r>
      <w:r>
        <w:rPr>
          <w:b/>
          <w:spacing w:val="-12"/>
          <w:sz w:val="20"/>
          <w:u w:val="single"/>
        </w:rPr>
        <w:t xml:space="preserve"> </w:t>
      </w:r>
      <w:r>
        <w:rPr>
          <w:b/>
          <w:sz w:val="20"/>
          <w:u w:val="single"/>
        </w:rPr>
        <w:t>base</w:t>
      </w:r>
      <w:r>
        <w:rPr>
          <w:b/>
          <w:spacing w:val="-13"/>
          <w:sz w:val="20"/>
          <w:u w:val="single"/>
        </w:rPr>
        <w:t xml:space="preserve"> </w:t>
      </w:r>
      <w:r>
        <w:rPr>
          <w:b/>
          <w:sz w:val="20"/>
          <w:u w:val="single"/>
        </w:rPr>
        <w:t>de</w:t>
      </w:r>
      <w:r>
        <w:rPr>
          <w:b/>
          <w:sz w:val="20"/>
        </w:rPr>
        <w:t xml:space="preserve"> </w:t>
      </w:r>
      <w:r>
        <w:rPr>
          <w:b/>
          <w:sz w:val="20"/>
          <w:u w:val="single"/>
        </w:rPr>
        <w:t>cálculo sem prévio juízo quanto à fidedignidade</w:t>
      </w:r>
      <w:r>
        <w:rPr>
          <w:b/>
          <w:sz w:val="20"/>
        </w:rPr>
        <w:t xml:space="preserve"> </w:t>
      </w:r>
      <w:r>
        <w:rPr>
          <w:b/>
          <w:sz w:val="20"/>
          <w:u w:val="single"/>
        </w:rPr>
        <w:t>da declaração do sujeito</w:t>
      </w:r>
      <w:r>
        <w:rPr>
          <w:b/>
          <w:sz w:val="20"/>
        </w:rPr>
        <w:t xml:space="preserve"> </w:t>
      </w:r>
      <w:r>
        <w:rPr>
          <w:b/>
          <w:sz w:val="20"/>
          <w:u w:val="single"/>
        </w:rPr>
        <w:t>passivo.</w:t>
      </w:r>
      <w:r>
        <w:rPr>
          <w:b/>
          <w:sz w:val="20"/>
        </w:rPr>
        <w:t xml:space="preserve"> </w:t>
      </w:r>
      <w:r>
        <w:rPr>
          <w:sz w:val="20"/>
        </w:rPr>
        <w:t>Esse denominado valor venal de referência, ou equivalente, quando</w:t>
      </w:r>
      <w:r>
        <w:rPr>
          <w:spacing w:val="40"/>
          <w:sz w:val="20"/>
        </w:rPr>
        <w:t xml:space="preserve"> </w:t>
      </w:r>
      <w:r>
        <w:rPr>
          <w:sz w:val="20"/>
        </w:rPr>
        <w:t>muito, poderá justificar a ação fiscal para apurar a veracidade da declaração prestada, mas,</w:t>
      </w:r>
      <w:r>
        <w:rPr>
          <w:spacing w:val="-7"/>
          <w:sz w:val="20"/>
        </w:rPr>
        <w:t xml:space="preserve"> </w:t>
      </w:r>
      <w:r>
        <w:rPr>
          <w:sz w:val="20"/>
        </w:rPr>
        <w:t>em</w:t>
      </w:r>
      <w:r>
        <w:rPr>
          <w:spacing w:val="-4"/>
          <w:sz w:val="20"/>
        </w:rPr>
        <w:t xml:space="preserve"> </w:t>
      </w:r>
      <w:r>
        <w:rPr>
          <w:sz w:val="20"/>
        </w:rPr>
        <w:t>hipótese</w:t>
      </w:r>
      <w:r>
        <w:rPr>
          <w:spacing w:val="-5"/>
          <w:sz w:val="20"/>
        </w:rPr>
        <w:t xml:space="preserve"> </w:t>
      </w:r>
      <w:r>
        <w:rPr>
          <w:sz w:val="20"/>
        </w:rPr>
        <w:t>alguma, pode servir para antecipar tal juízo, porquanto, além de não abranger todas as áleas definidoras do valor de mercado daquele específico imóvel, acaba por subtrair a garantia do contraditório assegurada ao contribuinte,</w:t>
      </w:r>
      <w:r>
        <w:rPr>
          <w:spacing w:val="36"/>
          <w:sz w:val="20"/>
        </w:rPr>
        <w:t xml:space="preserve"> </w:t>
      </w:r>
      <w:r>
        <w:rPr>
          <w:sz w:val="20"/>
        </w:rPr>
        <w:t>cujo</w:t>
      </w:r>
      <w:r>
        <w:rPr>
          <w:spacing w:val="29"/>
          <w:sz w:val="20"/>
        </w:rPr>
        <w:t xml:space="preserve"> </w:t>
      </w:r>
      <w:r>
        <w:rPr>
          <w:sz w:val="20"/>
        </w:rPr>
        <w:t>exercício</w:t>
      </w:r>
      <w:r>
        <w:rPr>
          <w:spacing w:val="38"/>
          <w:sz w:val="20"/>
        </w:rPr>
        <w:t xml:space="preserve"> </w:t>
      </w:r>
      <w:r>
        <w:rPr>
          <w:sz w:val="20"/>
        </w:rPr>
        <w:t>pressupõe</w:t>
      </w:r>
      <w:r>
        <w:rPr>
          <w:spacing w:val="37"/>
          <w:sz w:val="20"/>
        </w:rPr>
        <w:t xml:space="preserve"> </w:t>
      </w:r>
      <w:r>
        <w:rPr>
          <w:sz w:val="20"/>
        </w:rPr>
        <w:t>a</w:t>
      </w:r>
      <w:r>
        <w:rPr>
          <w:spacing w:val="36"/>
          <w:sz w:val="20"/>
        </w:rPr>
        <w:t xml:space="preserve"> </w:t>
      </w:r>
      <w:r>
        <w:rPr>
          <w:sz w:val="20"/>
        </w:rPr>
        <w:t>prévia</w:t>
      </w:r>
      <w:r>
        <w:rPr>
          <w:spacing w:val="37"/>
          <w:sz w:val="20"/>
        </w:rPr>
        <w:t xml:space="preserve"> </w:t>
      </w:r>
      <w:r>
        <w:rPr>
          <w:sz w:val="20"/>
        </w:rPr>
        <w:t>instauração</w:t>
      </w:r>
      <w:r>
        <w:rPr>
          <w:spacing w:val="38"/>
          <w:sz w:val="20"/>
        </w:rPr>
        <w:t xml:space="preserve"> </w:t>
      </w:r>
      <w:r>
        <w:rPr>
          <w:sz w:val="20"/>
        </w:rPr>
        <w:t>de</w:t>
      </w:r>
      <w:r>
        <w:rPr>
          <w:spacing w:val="36"/>
          <w:sz w:val="20"/>
        </w:rPr>
        <w:t xml:space="preserve"> </w:t>
      </w:r>
      <w:r>
        <w:rPr>
          <w:sz w:val="20"/>
        </w:rPr>
        <w:t>regular</w:t>
      </w:r>
      <w:r>
        <w:rPr>
          <w:spacing w:val="38"/>
          <w:sz w:val="20"/>
        </w:rPr>
        <w:t xml:space="preserve"> </w:t>
      </w:r>
      <w:r>
        <w:rPr>
          <w:spacing w:val="-2"/>
          <w:sz w:val="20"/>
        </w:rPr>
        <w:t>processo</w:t>
      </w:r>
    </w:p>
    <w:p w:rsidR="007259F2" w:rsidRDefault="007259F2">
      <w:pPr>
        <w:jc w:val="both"/>
        <w:rPr>
          <w:sz w:val="20"/>
        </w:rPr>
        <w:sectPr w:rsidR="007259F2">
          <w:pgSz w:w="11910" w:h="16840"/>
          <w:pgMar w:top="1600" w:right="708" w:bottom="1020" w:left="992" w:header="0" w:footer="820" w:gutter="0"/>
          <w:cols w:space="720"/>
        </w:sectPr>
      </w:pPr>
    </w:p>
    <w:p w:rsidR="007259F2" w:rsidRDefault="00E655B4">
      <w:pPr>
        <w:spacing w:before="77" w:line="247" w:lineRule="auto"/>
        <w:ind w:left="2978" w:right="422"/>
        <w:rPr>
          <w:b/>
          <w:sz w:val="20"/>
        </w:rPr>
      </w:pPr>
      <w:r>
        <w:rPr>
          <w:sz w:val="20"/>
        </w:rPr>
        <w:lastRenderedPageBreak/>
        <w:t>administrativo.</w:t>
      </w:r>
      <w:r>
        <w:rPr>
          <w:spacing w:val="37"/>
          <w:sz w:val="20"/>
        </w:rPr>
        <w:t xml:space="preserve"> </w:t>
      </w:r>
      <w:r>
        <w:rPr>
          <w:b/>
          <w:sz w:val="20"/>
        </w:rPr>
        <w:t>(STJ</w:t>
      </w:r>
      <w:r>
        <w:rPr>
          <w:b/>
          <w:spacing w:val="36"/>
          <w:sz w:val="20"/>
        </w:rPr>
        <w:t xml:space="preserve"> </w:t>
      </w:r>
      <w:r>
        <w:rPr>
          <w:b/>
          <w:sz w:val="20"/>
        </w:rPr>
        <w:t>-</w:t>
      </w:r>
      <w:r>
        <w:rPr>
          <w:b/>
          <w:spacing w:val="36"/>
          <w:sz w:val="20"/>
        </w:rPr>
        <w:t xml:space="preserve"> </w:t>
      </w:r>
      <w:r>
        <w:rPr>
          <w:b/>
          <w:sz w:val="20"/>
        </w:rPr>
        <w:t>REsp:</w:t>
      </w:r>
      <w:r>
        <w:rPr>
          <w:b/>
          <w:spacing w:val="34"/>
          <w:sz w:val="20"/>
        </w:rPr>
        <w:t xml:space="preserve"> </w:t>
      </w:r>
      <w:r>
        <w:rPr>
          <w:b/>
          <w:sz w:val="20"/>
        </w:rPr>
        <w:t>1937821</w:t>
      </w:r>
      <w:r>
        <w:rPr>
          <w:b/>
          <w:spacing w:val="25"/>
          <w:sz w:val="20"/>
        </w:rPr>
        <w:t xml:space="preserve"> </w:t>
      </w:r>
      <w:r>
        <w:rPr>
          <w:b/>
          <w:sz w:val="20"/>
        </w:rPr>
        <w:t>SP</w:t>
      </w:r>
      <w:r>
        <w:rPr>
          <w:b/>
          <w:spacing w:val="31"/>
          <w:sz w:val="20"/>
        </w:rPr>
        <w:t xml:space="preserve"> </w:t>
      </w:r>
      <w:r>
        <w:rPr>
          <w:b/>
          <w:sz w:val="20"/>
        </w:rPr>
        <w:t>2020/0012079-1,</w:t>
      </w:r>
      <w:r>
        <w:rPr>
          <w:b/>
          <w:spacing w:val="35"/>
          <w:sz w:val="20"/>
        </w:rPr>
        <w:t xml:space="preserve"> </w:t>
      </w:r>
      <w:r>
        <w:rPr>
          <w:b/>
          <w:sz w:val="20"/>
        </w:rPr>
        <w:t>Relator:</w:t>
      </w:r>
      <w:r>
        <w:rPr>
          <w:b/>
          <w:spacing w:val="26"/>
          <w:sz w:val="20"/>
        </w:rPr>
        <w:t xml:space="preserve"> </w:t>
      </w:r>
      <w:r>
        <w:rPr>
          <w:b/>
          <w:sz w:val="20"/>
        </w:rPr>
        <w:t>Ministro Gurgel de Faria,</w:t>
      </w:r>
      <w:r>
        <w:rPr>
          <w:b/>
          <w:spacing w:val="-1"/>
          <w:sz w:val="20"/>
        </w:rPr>
        <w:t xml:space="preserve"> </w:t>
      </w:r>
      <w:r>
        <w:rPr>
          <w:b/>
          <w:sz w:val="20"/>
        </w:rPr>
        <w:t>S1 – Primeira Seção; Data de Julgamento: 24/02/2022).</w:t>
      </w:r>
      <w:r>
        <w:rPr>
          <w:b/>
          <w:sz w:val="20"/>
          <w:vertAlign w:val="superscript"/>
        </w:rPr>
        <w:t>18</w:t>
      </w:r>
    </w:p>
    <w:p w:rsidR="007259F2" w:rsidRDefault="00E655B4">
      <w:pPr>
        <w:spacing w:before="184"/>
        <w:ind w:left="710" w:right="418" w:firstLine="707"/>
        <w:jc w:val="both"/>
        <w:rPr>
          <w:b/>
          <w:sz w:val="24"/>
        </w:rPr>
      </w:pPr>
      <w:r>
        <w:rPr>
          <w:sz w:val="24"/>
        </w:rPr>
        <w:t xml:space="preserve">Em resumo, o Superior Tribunal de Justiça adotou as seguintes teses: i) </w:t>
      </w:r>
      <w:r>
        <w:rPr>
          <w:b/>
          <w:sz w:val="24"/>
        </w:rPr>
        <w:t>a base de cálculo do ITBI é o valor do imóvel transmitido em condições normais de mercado</w:t>
      </w:r>
      <w:r>
        <w:rPr>
          <w:sz w:val="24"/>
        </w:rPr>
        <w:t>, não estando</w:t>
      </w:r>
      <w:r>
        <w:rPr>
          <w:spacing w:val="-1"/>
          <w:sz w:val="24"/>
        </w:rPr>
        <w:t xml:space="preserve"> </w:t>
      </w:r>
      <w:r>
        <w:rPr>
          <w:sz w:val="24"/>
        </w:rPr>
        <w:t>vinculada à</w:t>
      </w:r>
      <w:r>
        <w:rPr>
          <w:spacing w:val="-1"/>
          <w:sz w:val="24"/>
        </w:rPr>
        <w:t xml:space="preserve"> </w:t>
      </w:r>
      <w:r>
        <w:rPr>
          <w:sz w:val="24"/>
        </w:rPr>
        <w:t>base de</w:t>
      </w:r>
      <w:r>
        <w:rPr>
          <w:spacing w:val="-3"/>
          <w:sz w:val="24"/>
        </w:rPr>
        <w:t xml:space="preserve"> </w:t>
      </w:r>
      <w:r>
        <w:rPr>
          <w:sz w:val="24"/>
        </w:rPr>
        <w:t>cálculo do IPTU,</w:t>
      </w:r>
      <w:r>
        <w:rPr>
          <w:spacing w:val="-1"/>
          <w:sz w:val="24"/>
        </w:rPr>
        <w:t xml:space="preserve"> </w:t>
      </w:r>
      <w:r>
        <w:rPr>
          <w:sz w:val="24"/>
        </w:rPr>
        <w:t>que nem sequer</w:t>
      </w:r>
      <w:r>
        <w:rPr>
          <w:spacing w:val="-1"/>
          <w:sz w:val="24"/>
        </w:rPr>
        <w:t xml:space="preserve"> </w:t>
      </w:r>
      <w:r>
        <w:rPr>
          <w:sz w:val="24"/>
        </w:rPr>
        <w:t>pode</w:t>
      </w:r>
      <w:r>
        <w:rPr>
          <w:spacing w:val="-1"/>
          <w:sz w:val="24"/>
        </w:rPr>
        <w:t xml:space="preserve"> </w:t>
      </w:r>
      <w:r>
        <w:rPr>
          <w:sz w:val="24"/>
        </w:rPr>
        <w:t>ser</w:t>
      </w:r>
      <w:r>
        <w:rPr>
          <w:spacing w:val="-1"/>
          <w:sz w:val="24"/>
        </w:rPr>
        <w:t xml:space="preserve"> </w:t>
      </w:r>
      <w:r>
        <w:rPr>
          <w:sz w:val="24"/>
        </w:rPr>
        <w:t>utilizada</w:t>
      </w:r>
      <w:r>
        <w:rPr>
          <w:spacing w:val="-1"/>
          <w:sz w:val="24"/>
        </w:rPr>
        <w:t xml:space="preserve"> </w:t>
      </w:r>
      <w:r>
        <w:rPr>
          <w:sz w:val="24"/>
        </w:rPr>
        <w:t xml:space="preserve">como piso de tributação; ii) </w:t>
      </w:r>
      <w:r>
        <w:rPr>
          <w:b/>
          <w:sz w:val="24"/>
        </w:rPr>
        <w:t>o valor da transação declarado pelo contribuinte goza da</w:t>
      </w:r>
      <w:r>
        <w:rPr>
          <w:b/>
          <w:spacing w:val="-3"/>
          <w:sz w:val="24"/>
        </w:rPr>
        <w:t xml:space="preserve"> </w:t>
      </w:r>
      <w:r>
        <w:rPr>
          <w:b/>
          <w:sz w:val="24"/>
        </w:rPr>
        <w:t>presunção de que é condizente com o valor de mercado</w:t>
      </w:r>
      <w:r>
        <w:rPr>
          <w:sz w:val="24"/>
        </w:rPr>
        <w:t xml:space="preserve">, que somente pode ser afastada pelo fisco mediante a regular instauração de processo administrativo próprio (art. 148 do CTN); iii) </w:t>
      </w:r>
      <w:r>
        <w:rPr>
          <w:b/>
          <w:sz w:val="24"/>
        </w:rPr>
        <w:t>o Município não pode arbitrar previamente a base de cálculo do ITBI com respaldo em valor de referência por ele estabelecido unilateralmente.</w:t>
      </w:r>
    </w:p>
    <w:p w:rsidR="007259F2" w:rsidRDefault="00E655B4">
      <w:pPr>
        <w:pStyle w:val="Corpodetexto"/>
        <w:spacing w:before="1"/>
        <w:ind w:right="421"/>
      </w:pPr>
      <w:r>
        <w:t>A</w:t>
      </w:r>
      <w:r>
        <w:rPr>
          <w:spacing w:val="-15"/>
        </w:rPr>
        <w:t xml:space="preserve"> </w:t>
      </w:r>
      <w:r>
        <w:t>decisão</w:t>
      </w:r>
      <w:r>
        <w:rPr>
          <w:spacing w:val="-14"/>
        </w:rPr>
        <w:t xml:space="preserve"> </w:t>
      </w:r>
      <w:r>
        <w:t>do</w:t>
      </w:r>
      <w:r>
        <w:rPr>
          <w:spacing w:val="-12"/>
        </w:rPr>
        <w:t xml:space="preserve"> </w:t>
      </w:r>
      <w:r>
        <w:t>STJ vem</w:t>
      </w:r>
      <w:r>
        <w:rPr>
          <w:spacing w:val="-9"/>
        </w:rPr>
        <w:t xml:space="preserve"> </w:t>
      </w:r>
      <w:r>
        <w:t>justamente</w:t>
      </w:r>
      <w:r>
        <w:rPr>
          <w:spacing w:val="-13"/>
        </w:rPr>
        <w:t xml:space="preserve"> </w:t>
      </w:r>
      <w:r>
        <w:t>reconhecer</w:t>
      </w:r>
      <w:r>
        <w:rPr>
          <w:spacing w:val="-3"/>
        </w:rPr>
        <w:t xml:space="preserve"> </w:t>
      </w:r>
      <w:r>
        <w:t>que</w:t>
      </w:r>
      <w:r>
        <w:rPr>
          <w:spacing w:val="-6"/>
        </w:rPr>
        <w:t xml:space="preserve"> </w:t>
      </w:r>
      <w:r>
        <w:t>a</w:t>
      </w:r>
      <w:r>
        <w:rPr>
          <w:spacing w:val="-15"/>
        </w:rPr>
        <w:t xml:space="preserve"> </w:t>
      </w:r>
      <w:r>
        <w:t>fixação</w:t>
      </w:r>
      <w:r>
        <w:rPr>
          <w:spacing w:val="-7"/>
        </w:rPr>
        <w:t xml:space="preserve"> </w:t>
      </w:r>
      <w:r>
        <w:t>prévia</w:t>
      </w:r>
      <w:r>
        <w:rPr>
          <w:spacing w:val="-7"/>
        </w:rPr>
        <w:t xml:space="preserve"> </w:t>
      </w:r>
      <w:r>
        <w:t>de</w:t>
      </w:r>
      <w:r>
        <w:rPr>
          <w:spacing w:val="-12"/>
        </w:rPr>
        <w:t xml:space="preserve"> </w:t>
      </w:r>
      <w:r>
        <w:t>um</w:t>
      </w:r>
      <w:r>
        <w:rPr>
          <w:spacing w:val="-7"/>
        </w:rPr>
        <w:t xml:space="preserve"> </w:t>
      </w:r>
      <w:r>
        <w:t>valor venal de referência</w:t>
      </w:r>
      <w:r>
        <w:rPr>
          <w:spacing w:val="-3"/>
        </w:rPr>
        <w:t xml:space="preserve"> </w:t>
      </w:r>
      <w:r>
        <w:t>pelas prefeituras para</w:t>
      </w:r>
      <w:r>
        <w:rPr>
          <w:spacing w:val="-2"/>
        </w:rPr>
        <w:t xml:space="preserve"> </w:t>
      </w:r>
      <w:r>
        <w:t>servir de base</w:t>
      </w:r>
      <w:r>
        <w:rPr>
          <w:spacing w:val="-3"/>
        </w:rPr>
        <w:t xml:space="preserve"> </w:t>
      </w:r>
      <w:r>
        <w:t>de</w:t>
      </w:r>
      <w:r>
        <w:rPr>
          <w:spacing w:val="-1"/>
        </w:rPr>
        <w:t xml:space="preserve"> </w:t>
      </w:r>
      <w:r>
        <w:t>cálculo</w:t>
      </w:r>
      <w:r>
        <w:rPr>
          <w:spacing w:val="-2"/>
        </w:rPr>
        <w:t xml:space="preserve"> </w:t>
      </w:r>
      <w:r>
        <w:t>do</w:t>
      </w:r>
      <w:r>
        <w:rPr>
          <w:spacing w:val="-1"/>
        </w:rPr>
        <w:t xml:space="preserve"> </w:t>
      </w:r>
      <w:r>
        <w:t>ITBI é</w:t>
      </w:r>
      <w:r>
        <w:rPr>
          <w:spacing w:val="-3"/>
        </w:rPr>
        <w:t xml:space="preserve"> </w:t>
      </w:r>
      <w:r>
        <w:t>ilegal. O preço do</w:t>
      </w:r>
      <w:r>
        <w:rPr>
          <w:spacing w:val="-1"/>
        </w:rPr>
        <w:t xml:space="preserve"> </w:t>
      </w:r>
      <w:r>
        <w:t>imóvel negociado</w:t>
      </w:r>
      <w:r>
        <w:rPr>
          <w:spacing w:val="-3"/>
        </w:rPr>
        <w:t xml:space="preserve"> </w:t>
      </w:r>
      <w:r>
        <w:t>entre</w:t>
      </w:r>
      <w:r>
        <w:rPr>
          <w:spacing w:val="-4"/>
        </w:rPr>
        <w:t xml:space="preserve"> </w:t>
      </w:r>
      <w:r>
        <w:t>as</w:t>
      </w:r>
      <w:r>
        <w:rPr>
          <w:spacing w:val="-5"/>
        </w:rPr>
        <w:t xml:space="preserve"> </w:t>
      </w:r>
      <w:r>
        <w:t>partes</w:t>
      </w:r>
      <w:r>
        <w:rPr>
          <w:spacing w:val="-1"/>
        </w:rPr>
        <w:t xml:space="preserve"> </w:t>
      </w:r>
      <w:r>
        <w:t>deve</w:t>
      </w:r>
      <w:r>
        <w:rPr>
          <w:spacing w:val="-8"/>
        </w:rPr>
        <w:t xml:space="preserve"> </w:t>
      </w:r>
      <w:r>
        <w:t>gozar de</w:t>
      </w:r>
      <w:r>
        <w:rPr>
          <w:spacing w:val="-11"/>
        </w:rPr>
        <w:t xml:space="preserve"> </w:t>
      </w:r>
      <w:r>
        <w:t>presunção de</w:t>
      </w:r>
      <w:r>
        <w:rPr>
          <w:spacing w:val="-11"/>
        </w:rPr>
        <w:t xml:space="preserve"> </w:t>
      </w:r>
      <w:r>
        <w:t>veracidade</w:t>
      </w:r>
      <w:r>
        <w:rPr>
          <w:spacing w:val="-8"/>
        </w:rPr>
        <w:t xml:space="preserve"> </w:t>
      </w:r>
      <w:r>
        <w:t>e de boa-fé e</w:t>
      </w:r>
      <w:r>
        <w:rPr>
          <w:spacing w:val="-1"/>
        </w:rPr>
        <w:t xml:space="preserve"> </w:t>
      </w:r>
      <w:r>
        <w:t>ser considerado o que melhor reflete o valor de venda do bem ou direito em condições normais de mercado.</w:t>
      </w:r>
    </w:p>
    <w:p w:rsidR="007259F2" w:rsidRDefault="00E655B4">
      <w:pPr>
        <w:pStyle w:val="Corpodetexto"/>
        <w:ind w:left="1418" w:firstLine="0"/>
      </w:pPr>
      <w:r>
        <w:t>Fixou-se,</w:t>
      </w:r>
      <w:r>
        <w:rPr>
          <w:spacing w:val="1"/>
        </w:rPr>
        <w:t xml:space="preserve"> </w:t>
      </w:r>
      <w:r>
        <w:t>inclusive,</w:t>
      </w:r>
      <w:r>
        <w:rPr>
          <w:spacing w:val="1"/>
        </w:rPr>
        <w:t xml:space="preserve"> </w:t>
      </w:r>
      <w:r>
        <w:t>entendimento</w:t>
      </w:r>
      <w:r>
        <w:rPr>
          <w:spacing w:val="1"/>
        </w:rPr>
        <w:t xml:space="preserve"> </w:t>
      </w:r>
      <w:r>
        <w:t>de que o</w:t>
      </w:r>
      <w:r>
        <w:rPr>
          <w:spacing w:val="1"/>
        </w:rPr>
        <w:t xml:space="preserve"> </w:t>
      </w:r>
      <w:r>
        <w:t>valor</w:t>
      </w:r>
      <w:r>
        <w:rPr>
          <w:spacing w:val="3"/>
        </w:rPr>
        <w:t xml:space="preserve"> </w:t>
      </w:r>
      <w:r>
        <w:t>venal</w:t>
      </w:r>
      <w:r>
        <w:rPr>
          <w:spacing w:val="1"/>
        </w:rPr>
        <w:t xml:space="preserve"> </w:t>
      </w:r>
      <w:r>
        <w:t>atribuído</w:t>
      </w:r>
      <w:r>
        <w:rPr>
          <w:spacing w:val="1"/>
        </w:rPr>
        <w:t xml:space="preserve"> </w:t>
      </w:r>
      <w:r>
        <w:t>pelos</w:t>
      </w:r>
      <w:r>
        <w:rPr>
          <w:spacing w:val="1"/>
        </w:rPr>
        <w:t xml:space="preserve"> </w:t>
      </w:r>
      <w:r>
        <w:t>municípios</w:t>
      </w:r>
      <w:r>
        <w:rPr>
          <w:spacing w:val="-6"/>
        </w:rPr>
        <w:t xml:space="preserve"> </w:t>
      </w:r>
      <w:r>
        <w:rPr>
          <w:spacing w:val="-4"/>
        </w:rPr>
        <w:t>para</w:t>
      </w:r>
    </w:p>
    <w:p w:rsidR="007259F2" w:rsidRDefault="00DE6B1C">
      <w:pPr>
        <w:pStyle w:val="Corpodetexto"/>
        <w:spacing w:before="9"/>
        <w:ind w:left="0" w:firstLine="0"/>
        <w:jc w:val="left"/>
        <w:rPr>
          <w:sz w:val="16"/>
        </w:rPr>
      </w:pPr>
      <w:r w:rsidRPr="00DE6B1C">
        <w:rPr>
          <w:sz w:val="16"/>
        </w:rPr>
        <w:pict>
          <v:rect id="docshape124" o:spid="_x0000_s1104" style="position:absolute;margin-left:85.1pt;margin-top:10.9pt;width:2in;height:.7pt;z-index:-15675392;mso-wrap-distance-left:0;mso-wrap-distance-right:0;mso-position-horizontal-relative:page" fillcolor="black" stroked="f">
            <w10:wrap type="topAndBottom" anchorx="page"/>
          </v:rect>
        </w:pict>
      </w:r>
    </w:p>
    <w:p w:rsidR="007259F2" w:rsidRDefault="00E655B4">
      <w:pPr>
        <w:spacing w:before="94"/>
        <w:ind w:left="710" w:right="423"/>
        <w:jc w:val="both"/>
        <w:rPr>
          <w:sz w:val="20"/>
        </w:rPr>
      </w:pPr>
      <w:r>
        <w:rPr>
          <w:sz w:val="20"/>
          <w:vertAlign w:val="superscript"/>
        </w:rPr>
        <w:t>18</w:t>
      </w:r>
      <w:r>
        <w:rPr>
          <w:sz w:val="20"/>
        </w:rPr>
        <w:t xml:space="preserve"> Ementa: Tributário. Recurso especial representativo de controvérsia. Imposto sobre transmissão de bens imóveis</w:t>
      </w:r>
      <w:r>
        <w:rPr>
          <w:spacing w:val="-3"/>
          <w:sz w:val="20"/>
        </w:rPr>
        <w:t xml:space="preserve"> </w:t>
      </w:r>
      <w:r>
        <w:rPr>
          <w:sz w:val="20"/>
        </w:rPr>
        <w:t>(ITBI).</w:t>
      </w:r>
      <w:r>
        <w:rPr>
          <w:spacing w:val="-2"/>
          <w:sz w:val="20"/>
        </w:rPr>
        <w:t xml:space="preserve"> </w:t>
      </w:r>
      <w:r>
        <w:rPr>
          <w:sz w:val="20"/>
        </w:rPr>
        <w:t>Base</w:t>
      </w:r>
      <w:r>
        <w:rPr>
          <w:spacing w:val="-2"/>
          <w:sz w:val="20"/>
        </w:rPr>
        <w:t xml:space="preserve"> </w:t>
      </w:r>
      <w:r>
        <w:rPr>
          <w:sz w:val="20"/>
        </w:rPr>
        <w:t>de</w:t>
      </w:r>
      <w:r>
        <w:rPr>
          <w:spacing w:val="-2"/>
          <w:sz w:val="20"/>
        </w:rPr>
        <w:t xml:space="preserve"> </w:t>
      </w:r>
      <w:r>
        <w:rPr>
          <w:sz w:val="20"/>
        </w:rPr>
        <w:t>cálculo.</w:t>
      </w:r>
      <w:r>
        <w:rPr>
          <w:spacing w:val="-2"/>
          <w:sz w:val="20"/>
        </w:rPr>
        <w:t xml:space="preserve"> </w:t>
      </w:r>
      <w:r>
        <w:rPr>
          <w:sz w:val="20"/>
        </w:rPr>
        <w:t>Vinculação</w:t>
      </w:r>
      <w:r>
        <w:rPr>
          <w:spacing w:val="-2"/>
          <w:sz w:val="20"/>
        </w:rPr>
        <w:t xml:space="preserve"> </w:t>
      </w:r>
      <w:r>
        <w:rPr>
          <w:sz w:val="20"/>
        </w:rPr>
        <w:t>com</w:t>
      </w:r>
      <w:r>
        <w:rPr>
          <w:spacing w:val="-6"/>
          <w:sz w:val="20"/>
        </w:rPr>
        <w:t xml:space="preserve"> </w:t>
      </w:r>
      <w:r>
        <w:rPr>
          <w:sz w:val="20"/>
        </w:rPr>
        <w:t>imposto</w:t>
      </w:r>
      <w:r>
        <w:rPr>
          <w:spacing w:val="-2"/>
          <w:sz w:val="20"/>
        </w:rPr>
        <w:t xml:space="preserve"> </w:t>
      </w:r>
      <w:r>
        <w:rPr>
          <w:sz w:val="20"/>
        </w:rPr>
        <w:t>predial</w:t>
      </w:r>
      <w:r>
        <w:rPr>
          <w:spacing w:val="-2"/>
          <w:sz w:val="20"/>
        </w:rPr>
        <w:t xml:space="preserve"> </w:t>
      </w:r>
      <w:r>
        <w:rPr>
          <w:sz w:val="20"/>
        </w:rPr>
        <w:t>e</w:t>
      </w:r>
      <w:r>
        <w:rPr>
          <w:spacing w:val="-2"/>
          <w:sz w:val="20"/>
        </w:rPr>
        <w:t xml:space="preserve"> </w:t>
      </w:r>
      <w:r>
        <w:rPr>
          <w:sz w:val="20"/>
        </w:rPr>
        <w:t>territorial</w:t>
      </w:r>
      <w:r>
        <w:rPr>
          <w:spacing w:val="-2"/>
          <w:sz w:val="20"/>
        </w:rPr>
        <w:t xml:space="preserve"> </w:t>
      </w:r>
      <w:r>
        <w:rPr>
          <w:sz w:val="20"/>
        </w:rPr>
        <w:t>urbano</w:t>
      </w:r>
      <w:r>
        <w:rPr>
          <w:spacing w:val="-2"/>
          <w:sz w:val="20"/>
        </w:rPr>
        <w:t xml:space="preserve"> </w:t>
      </w:r>
      <w:r>
        <w:rPr>
          <w:sz w:val="20"/>
        </w:rPr>
        <w:t>(IPTU).</w:t>
      </w:r>
      <w:r>
        <w:rPr>
          <w:spacing w:val="-2"/>
          <w:sz w:val="20"/>
        </w:rPr>
        <w:t xml:space="preserve"> </w:t>
      </w:r>
      <w:r>
        <w:rPr>
          <w:sz w:val="20"/>
        </w:rPr>
        <w:t>Inexistência. Valor Venal declarado pelo contribuinte. Presunção de veracidade. Revisão pelo Fisco. Instauração de processo administrativo. Possibilidade. Prévio valor de referência. Adoção. Inviabilidade. 1. A jurisprudência pacífica desta Corte Superior é no sentido de</w:t>
      </w:r>
      <w:r>
        <w:rPr>
          <w:spacing w:val="-1"/>
          <w:sz w:val="20"/>
        </w:rPr>
        <w:t xml:space="preserve"> </w:t>
      </w:r>
      <w:r>
        <w:rPr>
          <w:sz w:val="20"/>
        </w:rPr>
        <w:t>que, embora o Código Tributário Nacional estabeleça como base de cálculo do Imposto Predial e Territorial Urbano (IPTU) e do Imposto sobre Transmissão de Bens Imóveis (ITBI) o</w:t>
      </w:r>
      <w:r>
        <w:rPr>
          <w:spacing w:val="40"/>
          <w:sz w:val="20"/>
        </w:rPr>
        <w:t xml:space="preserve"> </w:t>
      </w:r>
      <w:r>
        <w:rPr>
          <w:sz w:val="20"/>
        </w:rPr>
        <w:t>“valor venal”, a apuração desse elemento quantitativo faz-se de formas diversas, notadamente em razão da distinção existente</w:t>
      </w:r>
      <w:r>
        <w:rPr>
          <w:spacing w:val="-1"/>
          <w:sz w:val="20"/>
        </w:rPr>
        <w:t xml:space="preserve"> </w:t>
      </w:r>
      <w:r>
        <w:rPr>
          <w:sz w:val="20"/>
        </w:rPr>
        <w:t>entre</w:t>
      </w:r>
      <w:r>
        <w:rPr>
          <w:spacing w:val="-1"/>
          <w:sz w:val="20"/>
        </w:rPr>
        <w:t xml:space="preserve"> </w:t>
      </w:r>
      <w:r>
        <w:rPr>
          <w:sz w:val="20"/>
        </w:rPr>
        <w:t>os</w:t>
      </w:r>
      <w:r>
        <w:rPr>
          <w:spacing w:val="-1"/>
          <w:sz w:val="20"/>
        </w:rPr>
        <w:t xml:space="preserve"> </w:t>
      </w:r>
      <w:r>
        <w:rPr>
          <w:sz w:val="20"/>
        </w:rPr>
        <w:t>fatos</w:t>
      </w:r>
      <w:r>
        <w:rPr>
          <w:spacing w:val="-1"/>
          <w:sz w:val="20"/>
        </w:rPr>
        <w:t xml:space="preserve"> </w:t>
      </w:r>
      <w:r>
        <w:rPr>
          <w:sz w:val="20"/>
        </w:rPr>
        <w:t>geradores</w:t>
      </w:r>
      <w:r>
        <w:rPr>
          <w:spacing w:val="-1"/>
          <w:sz w:val="20"/>
        </w:rPr>
        <w:t xml:space="preserve"> </w:t>
      </w:r>
      <w:r>
        <w:rPr>
          <w:sz w:val="20"/>
        </w:rPr>
        <w:t>e</w:t>
      </w:r>
      <w:r>
        <w:rPr>
          <w:spacing w:val="-1"/>
          <w:sz w:val="20"/>
        </w:rPr>
        <w:t xml:space="preserve"> </w:t>
      </w:r>
      <w:r>
        <w:rPr>
          <w:sz w:val="20"/>
        </w:rPr>
        <w:t>a</w:t>
      </w:r>
      <w:r>
        <w:rPr>
          <w:spacing w:val="-1"/>
          <w:sz w:val="20"/>
        </w:rPr>
        <w:t xml:space="preserve"> </w:t>
      </w:r>
      <w:r>
        <w:rPr>
          <w:sz w:val="20"/>
        </w:rPr>
        <w:t>modalidade</w:t>
      </w:r>
      <w:r>
        <w:rPr>
          <w:spacing w:val="-1"/>
          <w:sz w:val="20"/>
        </w:rPr>
        <w:t xml:space="preserve"> </w:t>
      </w:r>
      <w:r>
        <w:rPr>
          <w:sz w:val="20"/>
        </w:rPr>
        <w:t>de</w:t>
      </w:r>
      <w:r>
        <w:rPr>
          <w:spacing w:val="-1"/>
          <w:sz w:val="20"/>
        </w:rPr>
        <w:t xml:space="preserve"> </w:t>
      </w:r>
      <w:r>
        <w:rPr>
          <w:sz w:val="20"/>
        </w:rPr>
        <w:t>lançamento desses</w:t>
      </w:r>
      <w:r>
        <w:rPr>
          <w:spacing w:val="-1"/>
          <w:sz w:val="20"/>
        </w:rPr>
        <w:t xml:space="preserve"> </w:t>
      </w:r>
      <w:r>
        <w:rPr>
          <w:sz w:val="20"/>
        </w:rPr>
        <w:t>impostos. 2.</w:t>
      </w:r>
      <w:r>
        <w:rPr>
          <w:spacing w:val="-1"/>
          <w:sz w:val="20"/>
        </w:rPr>
        <w:t xml:space="preserve"> </w:t>
      </w:r>
      <w:r>
        <w:rPr>
          <w:sz w:val="20"/>
        </w:rPr>
        <w:t>Os</w:t>
      </w:r>
      <w:r>
        <w:rPr>
          <w:spacing w:val="-1"/>
          <w:sz w:val="20"/>
        </w:rPr>
        <w:t xml:space="preserve"> </w:t>
      </w:r>
      <w:r>
        <w:rPr>
          <w:sz w:val="20"/>
        </w:rPr>
        <w:t>arts.</w:t>
      </w:r>
      <w:r>
        <w:rPr>
          <w:spacing w:val="-1"/>
          <w:sz w:val="20"/>
        </w:rPr>
        <w:t xml:space="preserve"> </w:t>
      </w:r>
      <w:r>
        <w:rPr>
          <w:sz w:val="20"/>
        </w:rPr>
        <w:t>35 e</w:t>
      </w:r>
      <w:r>
        <w:rPr>
          <w:spacing w:val="-1"/>
          <w:sz w:val="20"/>
        </w:rPr>
        <w:t xml:space="preserve"> </w:t>
      </w:r>
      <w:r>
        <w:rPr>
          <w:sz w:val="20"/>
        </w:rPr>
        <w:t>38 do CTN dispõem, respectivamente, que o fato gerador do ITBI é a transmissão da propriedade ou de direitos reais imobiliários ou a cessão de direitos relativos a tais transmissões e que a base de cálculo do tributo é o “valor venal dos bens ou direitos transmitidos”, que corresponde ao valor considerado para as negociações de imóveis em</w:t>
      </w:r>
      <w:r>
        <w:rPr>
          <w:spacing w:val="-6"/>
          <w:sz w:val="20"/>
        </w:rPr>
        <w:t xml:space="preserve"> </w:t>
      </w:r>
      <w:r>
        <w:rPr>
          <w:sz w:val="20"/>
        </w:rPr>
        <w:t>condições</w:t>
      </w:r>
      <w:r>
        <w:rPr>
          <w:spacing w:val="-3"/>
          <w:sz w:val="20"/>
        </w:rPr>
        <w:t xml:space="preserve"> </w:t>
      </w:r>
      <w:r>
        <w:rPr>
          <w:sz w:val="20"/>
        </w:rPr>
        <w:t>normais</w:t>
      </w:r>
      <w:r>
        <w:rPr>
          <w:spacing w:val="-3"/>
          <w:sz w:val="20"/>
        </w:rPr>
        <w:t xml:space="preserve"> </w:t>
      </w:r>
      <w:r>
        <w:rPr>
          <w:sz w:val="20"/>
        </w:rPr>
        <w:t>de</w:t>
      </w:r>
      <w:r>
        <w:rPr>
          <w:spacing w:val="-1"/>
          <w:sz w:val="20"/>
        </w:rPr>
        <w:t xml:space="preserve"> </w:t>
      </w:r>
      <w:r>
        <w:rPr>
          <w:sz w:val="20"/>
        </w:rPr>
        <w:t>mercado.</w:t>
      </w:r>
      <w:r>
        <w:rPr>
          <w:spacing w:val="-2"/>
          <w:sz w:val="20"/>
        </w:rPr>
        <w:t xml:space="preserve"> </w:t>
      </w:r>
      <w:r>
        <w:rPr>
          <w:sz w:val="20"/>
        </w:rPr>
        <w:t>3.</w:t>
      </w:r>
      <w:r>
        <w:rPr>
          <w:spacing w:val="-4"/>
          <w:sz w:val="20"/>
        </w:rPr>
        <w:t xml:space="preserve"> </w:t>
      </w:r>
      <w:r>
        <w:rPr>
          <w:sz w:val="20"/>
        </w:rPr>
        <w:t>A</w:t>
      </w:r>
      <w:r>
        <w:rPr>
          <w:spacing w:val="-4"/>
          <w:sz w:val="20"/>
        </w:rPr>
        <w:t xml:space="preserve"> </w:t>
      </w:r>
      <w:r>
        <w:rPr>
          <w:sz w:val="20"/>
        </w:rPr>
        <w:t>possibilidade</w:t>
      </w:r>
      <w:r>
        <w:rPr>
          <w:spacing w:val="-2"/>
          <w:sz w:val="20"/>
        </w:rPr>
        <w:t xml:space="preserve"> </w:t>
      </w:r>
      <w:r>
        <w:rPr>
          <w:sz w:val="20"/>
        </w:rPr>
        <w:t>de</w:t>
      </w:r>
      <w:r>
        <w:rPr>
          <w:spacing w:val="80"/>
          <w:sz w:val="20"/>
        </w:rPr>
        <w:t xml:space="preserve"> </w:t>
      </w:r>
      <w:r>
        <w:rPr>
          <w:sz w:val="20"/>
        </w:rPr>
        <w:t>dimensionar</w:t>
      </w:r>
      <w:r>
        <w:rPr>
          <w:spacing w:val="-1"/>
          <w:sz w:val="20"/>
        </w:rPr>
        <w:t xml:space="preserve"> </w:t>
      </w:r>
      <w:r>
        <w:rPr>
          <w:sz w:val="20"/>
        </w:rPr>
        <w:t>o</w:t>
      </w:r>
      <w:r>
        <w:rPr>
          <w:spacing w:val="-1"/>
          <w:sz w:val="20"/>
        </w:rPr>
        <w:t xml:space="preserve"> </w:t>
      </w:r>
      <w:r>
        <w:rPr>
          <w:sz w:val="20"/>
        </w:rPr>
        <w:t>valor</w:t>
      </w:r>
      <w:r>
        <w:rPr>
          <w:spacing w:val="-2"/>
          <w:sz w:val="20"/>
        </w:rPr>
        <w:t xml:space="preserve"> </w:t>
      </w:r>
      <w:r>
        <w:rPr>
          <w:sz w:val="20"/>
        </w:rPr>
        <w:t>dos</w:t>
      </w:r>
      <w:r>
        <w:rPr>
          <w:spacing w:val="-3"/>
          <w:sz w:val="20"/>
        </w:rPr>
        <w:t xml:space="preserve"> </w:t>
      </w:r>
      <w:r>
        <w:rPr>
          <w:sz w:val="20"/>
        </w:rPr>
        <w:t>imóveis</w:t>
      </w:r>
      <w:r>
        <w:rPr>
          <w:spacing w:val="-3"/>
          <w:sz w:val="20"/>
        </w:rPr>
        <w:t xml:space="preserve"> </w:t>
      </w:r>
      <w:r>
        <w:rPr>
          <w:sz w:val="20"/>
        </w:rPr>
        <w:t>no mercado,</w:t>
      </w:r>
      <w:r>
        <w:rPr>
          <w:spacing w:val="-2"/>
          <w:sz w:val="20"/>
        </w:rPr>
        <w:t xml:space="preserve"> </w:t>
      </w:r>
      <w:r>
        <w:rPr>
          <w:sz w:val="20"/>
        </w:rPr>
        <w:t>segundo critérios, por exemplo, de localização e tamanho (metragem), não impede que a avaliação de mercado específica de cada imóvel transacionado oscile dentro do parâmetro médio, a depender, por exemplo, da existência de</w:t>
      </w:r>
      <w:r>
        <w:rPr>
          <w:spacing w:val="40"/>
          <w:sz w:val="20"/>
        </w:rPr>
        <w:t xml:space="preserve"> </w:t>
      </w:r>
      <w:r>
        <w:rPr>
          <w:sz w:val="20"/>
        </w:rPr>
        <w:t>outras circunstâncias igualmente relevantes e legítimas para a determinação do real valor da coisa, como a existência de benfeitorias, o estado de conservação e os interesses pessoais do vendedor e do comprador no</w:t>
      </w:r>
      <w:r>
        <w:rPr>
          <w:spacing w:val="40"/>
          <w:sz w:val="20"/>
        </w:rPr>
        <w:t xml:space="preserve"> </w:t>
      </w:r>
      <w:r>
        <w:rPr>
          <w:sz w:val="20"/>
        </w:rPr>
        <w:t>ajuste do preço. 4. O ITBI comporta apenas duas modalidades de lançamento originário: por declaração, se a norma local exigir prévio exame das informações do contribuinte pela Administração para a constituição do crédito tributário, ou por homologação, se a legislação municipal disciplinar que caberá ao contribuinte apurar o valor do imposto e efetuar o seu pagamento antecipado sem prévio exame do ente tributante. 5. Os lançamentos por declaração ou por homologação se justificam pelas várias circunstâncias que podem interferir no específico valor de mercado de cada imóvel transacionado, circunstâncias cujo conhecimento integral somente os negociantes</w:t>
      </w:r>
      <w:r>
        <w:rPr>
          <w:spacing w:val="-1"/>
          <w:sz w:val="20"/>
        </w:rPr>
        <w:t xml:space="preserve"> </w:t>
      </w:r>
      <w:r>
        <w:rPr>
          <w:sz w:val="20"/>
        </w:rPr>
        <w:t>têm</w:t>
      </w:r>
      <w:r>
        <w:rPr>
          <w:spacing w:val="-4"/>
          <w:sz w:val="20"/>
        </w:rPr>
        <w:t xml:space="preserve"> </w:t>
      </w:r>
      <w:r>
        <w:rPr>
          <w:sz w:val="20"/>
        </w:rPr>
        <w:t>ou</w:t>
      </w:r>
      <w:r>
        <w:rPr>
          <w:spacing w:val="-3"/>
          <w:sz w:val="20"/>
        </w:rPr>
        <w:t xml:space="preserve"> </w:t>
      </w:r>
      <w:r>
        <w:rPr>
          <w:sz w:val="20"/>
        </w:rPr>
        <w:t>deveriam</w:t>
      </w:r>
      <w:r>
        <w:rPr>
          <w:spacing w:val="-1"/>
          <w:sz w:val="20"/>
        </w:rPr>
        <w:t xml:space="preserve"> </w:t>
      </w:r>
      <w:r>
        <w:rPr>
          <w:sz w:val="20"/>
        </w:rPr>
        <w:t>ter</w:t>
      </w:r>
      <w:r>
        <w:rPr>
          <w:spacing w:val="-1"/>
          <w:sz w:val="20"/>
        </w:rPr>
        <w:t xml:space="preserve"> </w:t>
      </w:r>
      <w:r>
        <w:rPr>
          <w:sz w:val="20"/>
        </w:rPr>
        <w:t>para melhor</w:t>
      </w:r>
      <w:r>
        <w:rPr>
          <w:spacing w:val="-2"/>
          <w:sz w:val="20"/>
        </w:rPr>
        <w:t xml:space="preserve"> </w:t>
      </w:r>
      <w:r>
        <w:rPr>
          <w:sz w:val="20"/>
        </w:rPr>
        <w:t>avaliar o</w:t>
      </w:r>
      <w:r>
        <w:rPr>
          <w:spacing w:val="-1"/>
          <w:sz w:val="20"/>
        </w:rPr>
        <w:t xml:space="preserve"> </w:t>
      </w:r>
      <w:r>
        <w:rPr>
          <w:sz w:val="20"/>
        </w:rPr>
        <w:t>real valor</w:t>
      </w:r>
      <w:r>
        <w:rPr>
          <w:spacing w:val="-2"/>
          <w:sz w:val="20"/>
        </w:rPr>
        <w:t xml:space="preserve"> </w:t>
      </w:r>
      <w:r>
        <w:rPr>
          <w:sz w:val="20"/>
        </w:rPr>
        <w:t>do</w:t>
      </w:r>
      <w:r>
        <w:rPr>
          <w:spacing w:val="-1"/>
          <w:sz w:val="20"/>
        </w:rPr>
        <w:t xml:space="preserve"> </w:t>
      </w:r>
      <w:r>
        <w:rPr>
          <w:sz w:val="20"/>
        </w:rPr>
        <w:t>bem</w:t>
      </w:r>
      <w:r>
        <w:rPr>
          <w:spacing w:val="-3"/>
          <w:sz w:val="20"/>
        </w:rPr>
        <w:t xml:space="preserve"> </w:t>
      </w:r>
      <w:r>
        <w:rPr>
          <w:sz w:val="20"/>
        </w:rPr>
        <w:t>quando</w:t>
      </w:r>
      <w:r>
        <w:rPr>
          <w:spacing w:val="-1"/>
          <w:sz w:val="20"/>
        </w:rPr>
        <w:t xml:space="preserve"> </w:t>
      </w:r>
      <w:r>
        <w:rPr>
          <w:sz w:val="20"/>
        </w:rPr>
        <w:t>da</w:t>
      </w:r>
      <w:r>
        <w:rPr>
          <w:spacing w:val="-2"/>
          <w:sz w:val="20"/>
        </w:rPr>
        <w:t xml:space="preserve"> </w:t>
      </w:r>
      <w:r>
        <w:rPr>
          <w:sz w:val="20"/>
        </w:rPr>
        <w:t>realização</w:t>
      </w:r>
      <w:r>
        <w:rPr>
          <w:spacing w:val="-1"/>
          <w:sz w:val="20"/>
        </w:rPr>
        <w:t xml:space="preserve"> </w:t>
      </w:r>
      <w:r>
        <w:rPr>
          <w:sz w:val="20"/>
        </w:rPr>
        <w:t>do</w:t>
      </w:r>
      <w:r>
        <w:rPr>
          <w:spacing w:val="-1"/>
          <w:sz w:val="20"/>
        </w:rPr>
        <w:t xml:space="preserve"> </w:t>
      </w:r>
      <w:r>
        <w:rPr>
          <w:sz w:val="20"/>
        </w:rPr>
        <w:t>negócio,</w:t>
      </w:r>
      <w:r>
        <w:rPr>
          <w:spacing w:val="-2"/>
          <w:sz w:val="20"/>
        </w:rPr>
        <w:t xml:space="preserve"> </w:t>
      </w:r>
      <w:r>
        <w:rPr>
          <w:sz w:val="20"/>
        </w:rPr>
        <w:t>sendo essa a principal razão da impossibilidade prática da realização do lançamento originário de ofício, ainda que autorizado pelo legislador local, pois o fisco não tem como possuir, previamente, o conhecimento de todas as variáveis determinantes para a composição do valor do imóvel transmitido. 6. Em face do princípio da boa-fé objetiva, o valor da transação declarado pelo contribuinte presume-se condizente com</w:t>
      </w:r>
      <w:r>
        <w:rPr>
          <w:spacing w:val="-2"/>
          <w:sz w:val="20"/>
        </w:rPr>
        <w:t xml:space="preserve"> </w:t>
      </w:r>
      <w:r>
        <w:rPr>
          <w:sz w:val="20"/>
        </w:rPr>
        <w:t>o valor médio de mercado do bem imóvel transacionado, presunção que somente pode ser afastada pelo fisco se esse valor se mostrar, de pronto, incompatível com</w:t>
      </w:r>
      <w:r>
        <w:rPr>
          <w:spacing w:val="-2"/>
          <w:sz w:val="20"/>
        </w:rPr>
        <w:t xml:space="preserve"> </w:t>
      </w:r>
      <w:r>
        <w:rPr>
          <w:sz w:val="20"/>
        </w:rPr>
        <w:t>a realidade, estando, nessa hipótese, justificada a instauração do procedimento próprio para o arbitramento da base de cálculo, em que deve ser assegurado ao contribuinte o contraditório necessário para apresentação das peculiaridades que amparariam o quantum informado (art. 148 do CTN). 7. A prévia adoção de um</w:t>
      </w:r>
      <w:r>
        <w:rPr>
          <w:spacing w:val="-4"/>
          <w:sz w:val="20"/>
        </w:rPr>
        <w:t xml:space="preserve"> </w:t>
      </w:r>
      <w:r>
        <w:rPr>
          <w:sz w:val="20"/>
        </w:rPr>
        <w:t>valor de referência pela Administração configura indevido lançamento de ofício do ITBI por mera estimativa e subverte o procedimento instituído no art. 148 do CTN, pois representa arbitramento da base de cálculo sem prévio juízo quanto à fidedignidade da declaração do sujeito passivo. 8. Para o fim preconizado no art. 1.039 do CPC/2015, firmam-se as seguintes teses: a) a base de cálculo do ITBI é o valor do imóvel transmitido em condições normais de mercado, não estando vinculada à base de cálculo do IPTU, que nem</w:t>
      </w:r>
      <w:r>
        <w:rPr>
          <w:spacing w:val="40"/>
          <w:sz w:val="20"/>
        </w:rPr>
        <w:t xml:space="preserve"> </w:t>
      </w:r>
      <w:r>
        <w:rPr>
          <w:sz w:val="20"/>
        </w:rPr>
        <w:t>sequer pode ser utilizada como piso de tributação; b) o valor da transação declarado pelo contribuinte goza da presunção de que é condizente com o valor de mercado, que somente pode ser afastada pelo fisco mediante a regular instauração de processo administrativo próprio (art. 148 do CTN); c) o Município não pode arbitrar previamente a base de cálculo do ITBI com</w:t>
      </w:r>
      <w:r>
        <w:rPr>
          <w:spacing w:val="-4"/>
          <w:sz w:val="20"/>
        </w:rPr>
        <w:t xml:space="preserve"> </w:t>
      </w:r>
      <w:r>
        <w:rPr>
          <w:sz w:val="20"/>
        </w:rPr>
        <w:t>respaldo em</w:t>
      </w:r>
      <w:r>
        <w:rPr>
          <w:spacing w:val="-4"/>
          <w:sz w:val="20"/>
        </w:rPr>
        <w:t xml:space="preserve"> </w:t>
      </w:r>
      <w:r>
        <w:rPr>
          <w:sz w:val="20"/>
        </w:rPr>
        <w:t>valor de</w:t>
      </w:r>
      <w:r>
        <w:rPr>
          <w:spacing w:val="-2"/>
          <w:sz w:val="20"/>
        </w:rPr>
        <w:t xml:space="preserve"> </w:t>
      </w:r>
      <w:r>
        <w:rPr>
          <w:sz w:val="20"/>
        </w:rPr>
        <w:t>referência por ele estabelecido unilateralmente.</w:t>
      </w:r>
    </w:p>
    <w:p w:rsidR="007259F2" w:rsidRDefault="00E655B4">
      <w:pPr>
        <w:pStyle w:val="PargrafodaLista"/>
        <w:numPr>
          <w:ilvl w:val="0"/>
          <w:numId w:val="24"/>
        </w:numPr>
        <w:tabs>
          <w:tab w:val="left" w:pos="910"/>
        </w:tabs>
        <w:spacing w:before="4"/>
        <w:ind w:left="910" w:hanging="200"/>
        <w:jc w:val="both"/>
        <w:rPr>
          <w:sz w:val="20"/>
        </w:rPr>
      </w:pPr>
      <w:r>
        <w:rPr>
          <w:sz w:val="20"/>
        </w:rPr>
        <w:t>Recurso</w:t>
      </w:r>
      <w:r>
        <w:rPr>
          <w:spacing w:val="-8"/>
          <w:sz w:val="20"/>
        </w:rPr>
        <w:t xml:space="preserve"> </w:t>
      </w:r>
      <w:r>
        <w:rPr>
          <w:sz w:val="20"/>
        </w:rPr>
        <w:t>especial</w:t>
      </w:r>
      <w:r>
        <w:rPr>
          <w:spacing w:val="-6"/>
          <w:sz w:val="20"/>
        </w:rPr>
        <w:t xml:space="preserve"> </w:t>
      </w:r>
      <w:r>
        <w:rPr>
          <w:sz w:val="20"/>
        </w:rPr>
        <w:t>parcialmente</w:t>
      </w:r>
      <w:r>
        <w:rPr>
          <w:spacing w:val="-8"/>
          <w:sz w:val="20"/>
        </w:rPr>
        <w:t xml:space="preserve"> </w:t>
      </w:r>
      <w:r>
        <w:rPr>
          <w:sz w:val="20"/>
        </w:rPr>
        <w:t>provido.</w:t>
      </w:r>
      <w:r>
        <w:rPr>
          <w:spacing w:val="-8"/>
          <w:sz w:val="20"/>
        </w:rPr>
        <w:t xml:space="preserve"> </w:t>
      </w:r>
      <w:r>
        <w:rPr>
          <w:sz w:val="20"/>
        </w:rPr>
        <w:t>(Grifos</w:t>
      </w:r>
      <w:r>
        <w:rPr>
          <w:spacing w:val="-8"/>
          <w:sz w:val="20"/>
        </w:rPr>
        <w:t xml:space="preserve"> </w:t>
      </w:r>
      <w:r>
        <w:rPr>
          <w:spacing w:val="-2"/>
          <w:sz w:val="20"/>
        </w:rPr>
        <w:t>acrescidos)</w:t>
      </w:r>
    </w:p>
    <w:p w:rsidR="007259F2" w:rsidRDefault="007259F2">
      <w:pPr>
        <w:pStyle w:val="PargrafodaLista"/>
        <w:rPr>
          <w:sz w:val="20"/>
        </w:rPr>
        <w:sectPr w:rsidR="007259F2">
          <w:pgSz w:w="11910" w:h="16840"/>
          <w:pgMar w:top="1600" w:right="708" w:bottom="1020" w:left="992" w:header="0" w:footer="820" w:gutter="0"/>
          <w:cols w:space="720"/>
        </w:sectPr>
      </w:pPr>
    </w:p>
    <w:p w:rsidR="007259F2" w:rsidRDefault="00E655B4">
      <w:pPr>
        <w:pStyle w:val="Corpodetexto"/>
        <w:spacing w:before="75"/>
        <w:ind w:right="423" w:firstLine="0"/>
      </w:pPr>
      <w:r>
        <w:lastRenderedPageBreak/>
        <w:t>fins de cálculo do IPTU não deve ser utilizado nem como piso mínimo para cálculo do ITBI, pois a valoração para fins de alienação em condições normais de mercado reflete outros critérios mercadológicos além daqueles avaliados pelos órgãos municipais para</w:t>
      </w:r>
      <w:r>
        <w:rPr>
          <w:spacing w:val="-8"/>
        </w:rPr>
        <w:t xml:space="preserve"> </w:t>
      </w:r>
      <w:r>
        <w:t>definir</w:t>
      </w:r>
      <w:r>
        <w:rPr>
          <w:spacing w:val="-5"/>
        </w:rPr>
        <w:t xml:space="preserve"> </w:t>
      </w:r>
      <w:r>
        <w:t>o</w:t>
      </w:r>
      <w:r>
        <w:rPr>
          <w:spacing w:val="-4"/>
        </w:rPr>
        <w:t xml:space="preserve"> </w:t>
      </w:r>
      <w:r>
        <w:t>valor venal do IPTU. Explica-se, a definição do valor venal do IPTU é feita por amostragem, nivelando para baixo o valor dos imóveis avaliados. Basicamente, leva-se em consideração a metragem e a localização do imóvel.</w:t>
      </w:r>
    </w:p>
    <w:p w:rsidR="007259F2" w:rsidRDefault="00E655B4">
      <w:pPr>
        <w:pStyle w:val="Corpodetexto"/>
        <w:ind w:right="423"/>
      </w:pPr>
      <w:r>
        <w:t>Outros critérios mercadológicos relevantes na</w:t>
      </w:r>
      <w:r>
        <w:rPr>
          <w:spacing w:val="-8"/>
        </w:rPr>
        <w:t xml:space="preserve"> </w:t>
      </w:r>
      <w:r>
        <w:t>fixação do</w:t>
      </w:r>
      <w:r>
        <w:rPr>
          <w:spacing w:val="-3"/>
        </w:rPr>
        <w:t xml:space="preserve"> </w:t>
      </w:r>
      <w:r>
        <w:t>preço</w:t>
      </w:r>
      <w:r>
        <w:rPr>
          <w:spacing w:val="-3"/>
        </w:rPr>
        <w:t xml:space="preserve"> </w:t>
      </w:r>
      <w:r>
        <w:t>do</w:t>
      </w:r>
      <w:r>
        <w:rPr>
          <w:spacing w:val="-3"/>
        </w:rPr>
        <w:t xml:space="preserve"> </w:t>
      </w:r>
      <w:r>
        <w:t>bem, como o estado de</w:t>
      </w:r>
      <w:r>
        <w:rPr>
          <w:spacing w:val="-3"/>
        </w:rPr>
        <w:t xml:space="preserve"> </w:t>
      </w:r>
      <w:r>
        <w:t>conservação do imóvel, as benfeitorias existentes, a oferta e procura de imóveis na região,</w:t>
      </w:r>
      <w:r>
        <w:rPr>
          <w:spacing w:val="40"/>
        </w:rPr>
        <w:t xml:space="preserve"> </w:t>
      </w:r>
      <w:r>
        <w:t>a existência de ônus e gravames sobre o imóvel e as condições comerciais de pagamento do preço, não são levadas em consideração nessa definição do valor venal do IPTU e, portanto, tal valor é inadequado para servir de base de cálculo do ITBI.</w:t>
      </w:r>
    </w:p>
    <w:p w:rsidR="007259F2" w:rsidRDefault="00E655B4">
      <w:pPr>
        <w:pStyle w:val="Corpodetexto"/>
        <w:spacing w:before="1"/>
        <w:ind w:right="419"/>
      </w:pPr>
      <w:r>
        <w:t>Tal entendimento já vem sendo aplicado pelos juízos de primeiro grau e pelo Tribunal de Justiça do Estado de São Paulo, em que pese o Recurso Especial 1.937.821/SP não tenha transitado em julgado, vez que o Município de São Paulo interpôs Recurso Extraordinário</w:t>
      </w:r>
      <w:r>
        <w:rPr>
          <w:spacing w:val="80"/>
        </w:rPr>
        <w:t xml:space="preserve"> </w:t>
      </w:r>
      <w:r>
        <w:t>(RE n.º 1.412.419/SP), o qual, até a data de finalização do presente trabalho, encontra-se concluso ao (à) Relator (a).</w:t>
      </w:r>
    </w:p>
    <w:p w:rsidR="007259F2" w:rsidRDefault="00E655B4">
      <w:pPr>
        <w:pStyle w:val="Corpodetexto"/>
        <w:ind w:right="422"/>
      </w:pPr>
      <w:r>
        <w:t>Para fins exemplificativos, colaciona-se algumas decisões proferidas pelo Tribunal de Justiça do Estado de São Paulo acerca da aplicação do referido tema:</w:t>
      </w:r>
    </w:p>
    <w:p w:rsidR="007259F2" w:rsidRDefault="00E655B4">
      <w:pPr>
        <w:spacing w:before="230"/>
        <w:ind w:left="2978" w:right="546"/>
        <w:jc w:val="both"/>
        <w:rPr>
          <w:b/>
          <w:sz w:val="20"/>
        </w:rPr>
      </w:pPr>
      <w:r>
        <w:rPr>
          <w:sz w:val="20"/>
        </w:rPr>
        <w:t>(...) Aplica-se a decisão do Superior Tribunal de Justiça, que, no julgamento do REsp nº 1.937.821 Tema 1.113, estabeleceu, com eficácia vinculante, na forma do art. 985, inciso I, do CPC, que a base de cálculo do ITBI é o valor da transação do imóvel, sem</w:t>
      </w:r>
      <w:r>
        <w:rPr>
          <w:spacing w:val="-2"/>
          <w:sz w:val="20"/>
        </w:rPr>
        <w:t xml:space="preserve"> </w:t>
      </w:r>
      <w:r>
        <w:rPr>
          <w:sz w:val="20"/>
        </w:rPr>
        <w:t>vincular à</w:t>
      </w:r>
      <w:r>
        <w:rPr>
          <w:spacing w:val="-1"/>
          <w:sz w:val="20"/>
        </w:rPr>
        <w:t xml:space="preserve"> </w:t>
      </w:r>
      <w:r>
        <w:rPr>
          <w:sz w:val="20"/>
        </w:rPr>
        <w:t>base de</w:t>
      </w:r>
      <w:r>
        <w:rPr>
          <w:spacing w:val="-2"/>
          <w:sz w:val="20"/>
        </w:rPr>
        <w:t xml:space="preserve"> </w:t>
      </w:r>
      <w:r>
        <w:rPr>
          <w:sz w:val="20"/>
        </w:rPr>
        <w:t>cálculo</w:t>
      </w:r>
      <w:r>
        <w:rPr>
          <w:spacing w:val="-2"/>
          <w:sz w:val="20"/>
        </w:rPr>
        <w:t xml:space="preserve"> </w:t>
      </w:r>
      <w:r>
        <w:rPr>
          <w:sz w:val="20"/>
        </w:rPr>
        <w:t>do</w:t>
      </w:r>
      <w:r>
        <w:rPr>
          <w:spacing w:val="-2"/>
          <w:sz w:val="20"/>
        </w:rPr>
        <w:t xml:space="preserve"> </w:t>
      </w:r>
      <w:r>
        <w:rPr>
          <w:sz w:val="20"/>
        </w:rPr>
        <w:t>IPTU</w:t>
      </w:r>
      <w:r>
        <w:rPr>
          <w:spacing w:val="-1"/>
          <w:sz w:val="20"/>
        </w:rPr>
        <w:t xml:space="preserve"> </w:t>
      </w:r>
      <w:r>
        <w:rPr>
          <w:sz w:val="20"/>
        </w:rPr>
        <w:t>ou</w:t>
      </w:r>
      <w:r>
        <w:rPr>
          <w:spacing w:val="-2"/>
          <w:sz w:val="20"/>
        </w:rPr>
        <w:t xml:space="preserve"> </w:t>
      </w:r>
      <w:r>
        <w:rPr>
          <w:sz w:val="20"/>
        </w:rPr>
        <w:t>ao valor</w:t>
      </w:r>
      <w:r>
        <w:rPr>
          <w:spacing w:val="-2"/>
          <w:sz w:val="20"/>
        </w:rPr>
        <w:t xml:space="preserve"> </w:t>
      </w:r>
      <w:r>
        <w:rPr>
          <w:sz w:val="20"/>
        </w:rPr>
        <w:t>de</w:t>
      </w:r>
      <w:r>
        <w:rPr>
          <w:spacing w:val="-1"/>
          <w:sz w:val="20"/>
        </w:rPr>
        <w:t xml:space="preserve"> </w:t>
      </w:r>
      <w:r>
        <w:rPr>
          <w:sz w:val="20"/>
        </w:rPr>
        <w:t xml:space="preserve">referência arbitrado previamente, prevalecendo a veracidade do valor declarado pelo contribuinte, que só pode ser afastado pelo Fisco por meio de processo administrativo próprio (art. 148 do CTN). (...) </w:t>
      </w:r>
      <w:r>
        <w:rPr>
          <w:b/>
          <w:sz w:val="20"/>
        </w:rPr>
        <w:t>(TJSP; Remessa Necessária Cível 1023659- 56.2023.8.26.0053; Relator (a): Octávio Machado de Barros; Órgão Julgador: 14ª Câmara de Direito Público; Data do Julgamento: 11/10/2023).</w:t>
      </w:r>
      <w:r>
        <w:rPr>
          <w:b/>
          <w:sz w:val="20"/>
          <w:vertAlign w:val="superscript"/>
        </w:rPr>
        <w:t>19</w:t>
      </w:r>
    </w:p>
    <w:p w:rsidR="007259F2" w:rsidRDefault="00DE6B1C">
      <w:pPr>
        <w:pStyle w:val="Corpodetexto"/>
        <w:spacing w:before="22"/>
        <w:ind w:left="0" w:firstLine="0"/>
        <w:jc w:val="left"/>
        <w:rPr>
          <w:b/>
          <w:sz w:val="20"/>
        </w:rPr>
      </w:pPr>
      <w:r w:rsidRPr="00DE6B1C">
        <w:rPr>
          <w:b/>
          <w:sz w:val="20"/>
        </w:rPr>
        <w:pict>
          <v:shape id="docshape125" o:spid="_x0000_s1103" style="position:absolute;margin-left:198.5pt;margin-top:13.8pt;width:339.35pt;height:.1pt;z-index:-15674880;mso-wrap-distance-left:0;mso-wrap-distance-right:0;mso-position-horizontal-relative:page" coordorigin="3970,276" coordsize="6787,0" path="m3970,276r6787,e" filled="f" strokeweight=".31292mm">
            <v:stroke dashstyle="1 1"/>
            <v:path arrowok="t"/>
            <w10:wrap type="topAndBottom" anchorx="page"/>
          </v:shape>
        </w:pict>
      </w:r>
    </w:p>
    <w:p w:rsidR="007259F2" w:rsidRDefault="00E655B4">
      <w:pPr>
        <w:spacing w:before="110"/>
        <w:ind w:left="2978" w:right="419"/>
        <w:jc w:val="both"/>
        <w:rPr>
          <w:b/>
          <w:sz w:val="20"/>
        </w:rPr>
      </w:pPr>
      <w:r>
        <w:rPr>
          <w:sz w:val="20"/>
        </w:rPr>
        <w:t>(...)</w:t>
      </w:r>
      <w:r>
        <w:rPr>
          <w:spacing w:val="-1"/>
          <w:sz w:val="20"/>
        </w:rPr>
        <w:t xml:space="preserve"> </w:t>
      </w:r>
      <w:r>
        <w:rPr>
          <w:sz w:val="20"/>
        </w:rPr>
        <w:t>O</w:t>
      </w:r>
      <w:r>
        <w:rPr>
          <w:spacing w:val="-5"/>
          <w:sz w:val="20"/>
        </w:rPr>
        <w:t xml:space="preserve"> </w:t>
      </w:r>
      <w:r>
        <w:rPr>
          <w:sz w:val="20"/>
        </w:rPr>
        <w:t>STJ julgou</w:t>
      </w:r>
      <w:r>
        <w:rPr>
          <w:spacing w:val="-2"/>
          <w:sz w:val="20"/>
        </w:rPr>
        <w:t xml:space="preserve"> </w:t>
      </w:r>
      <w:r>
        <w:rPr>
          <w:sz w:val="20"/>
        </w:rPr>
        <w:t>o</w:t>
      </w:r>
      <w:r>
        <w:rPr>
          <w:spacing w:val="-3"/>
          <w:sz w:val="20"/>
        </w:rPr>
        <w:t xml:space="preserve"> </w:t>
      </w:r>
      <w:r>
        <w:rPr>
          <w:sz w:val="20"/>
        </w:rPr>
        <w:t>REsp repetitivo 1.937.821,</w:t>
      </w:r>
      <w:r>
        <w:rPr>
          <w:spacing w:val="-1"/>
          <w:sz w:val="20"/>
        </w:rPr>
        <w:t xml:space="preserve"> </w:t>
      </w:r>
      <w:r>
        <w:rPr>
          <w:sz w:val="20"/>
        </w:rPr>
        <w:t>pacificando de</w:t>
      </w:r>
      <w:r>
        <w:rPr>
          <w:spacing w:val="-5"/>
          <w:sz w:val="20"/>
        </w:rPr>
        <w:t xml:space="preserve"> </w:t>
      </w:r>
      <w:r>
        <w:rPr>
          <w:sz w:val="20"/>
        </w:rPr>
        <w:t>vez a</w:t>
      </w:r>
      <w:r>
        <w:rPr>
          <w:spacing w:val="-5"/>
          <w:sz w:val="20"/>
        </w:rPr>
        <w:t xml:space="preserve"> </w:t>
      </w:r>
      <w:r>
        <w:rPr>
          <w:sz w:val="20"/>
        </w:rPr>
        <w:t>questão,</w:t>
      </w:r>
      <w:r>
        <w:rPr>
          <w:spacing w:val="-1"/>
          <w:sz w:val="20"/>
        </w:rPr>
        <w:t xml:space="preserve"> </w:t>
      </w:r>
      <w:r>
        <w:rPr>
          <w:sz w:val="20"/>
        </w:rPr>
        <w:t>quando se decidiu que sim, os Municípios podem (e devem) calcular o ITBI com base em valores venais distintos daqueles adotados para o cálculo do IPTU, diferença que, ainda conforme o STJ, deriva da diversidade dos fatos geradores e das modalidades de lançamento em cada caso: de ofício, no caso do IPTU; por declaração ou homologação, no caso do ITBI. Por esse mesmo motivo, contudo, o STJ também decidiu que os Municípios não podem simplesmente arbitrar valores venais de referência para o cálculo do ITBI, pois isso configuraria indevido lançamento de ofício, por mera estimativa, em desconsideração às declarações dadas pelo contribuinte, autorizando-se o arbitramento apenas na hipótese em que estas não mereçam fé, nos termos do art. 148 do CTN. Consequentemente, na falta de elementos fáticos que permitam afastar as declarações dadas pelo contribuinte, o ITBI deve ser calculado sobre o valor da transação, valor este que, em respeito ao princípio da boa-fé objetiva, presume-se condizente com o valor médio de mercado do bem</w:t>
      </w:r>
      <w:r>
        <w:rPr>
          <w:spacing w:val="40"/>
          <w:sz w:val="20"/>
        </w:rPr>
        <w:t xml:space="preserve"> </w:t>
      </w:r>
      <w:r>
        <w:rPr>
          <w:sz w:val="20"/>
        </w:rPr>
        <w:t>transacionado.</w:t>
      </w:r>
      <w:r>
        <w:rPr>
          <w:spacing w:val="40"/>
          <w:sz w:val="20"/>
        </w:rPr>
        <w:t xml:space="preserve"> </w:t>
      </w:r>
      <w:r>
        <w:rPr>
          <w:sz w:val="20"/>
        </w:rPr>
        <w:t>(...)</w:t>
      </w:r>
      <w:r>
        <w:rPr>
          <w:spacing w:val="40"/>
          <w:sz w:val="20"/>
        </w:rPr>
        <w:t xml:space="preserve"> </w:t>
      </w:r>
      <w:r>
        <w:rPr>
          <w:sz w:val="20"/>
        </w:rPr>
        <w:t>(</w:t>
      </w:r>
      <w:r>
        <w:rPr>
          <w:b/>
          <w:sz w:val="20"/>
        </w:rPr>
        <w:t>TJSP;</w:t>
      </w:r>
      <w:r>
        <w:rPr>
          <w:b/>
          <w:spacing w:val="40"/>
          <w:sz w:val="20"/>
        </w:rPr>
        <w:t xml:space="preserve"> </w:t>
      </w:r>
      <w:r>
        <w:rPr>
          <w:b/>
          <w:sz w:val="20"/>
        </w:rPr>
        <w:t>Apelação</w:t>
      </w:r>
      <w:r>
        <w:rPr>
          <w:b/>
          <w:spacing w:val="40"/>
          <w:sz w:val="20"/>
        </w:rPr>
        <w:t xml:space="preserve"> </w:t>
      </w:r>
      <w:r>
        <w:rPr>
          <w:b/>
          <w:sz w:val="20"/>
        </w:rPr>
        <w:t>1055989-14.2020.8.26.0053; Relator</w:t>
      </w:r>
      <w:r>
        <w:rPr>
          <w:b/>
          <w:spacing w:val="40"/>
          <w:sz w:val="20"/>
        </w:rPr>
        <w:t xml:space="preserve"> </w:t>
      </w:r>
      <w:r>
        <w:rPr>
          <w:b/>
          <w:sz w:val="20"/>
        </w:rPr>
        <w:t>(a):</w:t>
      </w:r>
      <w:r>
        <w:rPr>
          <w:b/>
          <w:spacing w:val="40"/>
          <w:sz w:val="20"/>
        </w:rPr>
        <w:t xml:space="preserve"> </w:t>
      </w:r>
      <w:r>
        <w:rPr>
          <w:b/>
          <w:sz w:val="20"/>
        </w:rPr>
        <w:t>Henrique</w:t>
      </w:r>
      <w:r>
        <w:rPr>
          <w:b/>
          <w:spacing w:val="40"/>
          <w:sz w:val="20"/>
        </w:rPr>
        <w:t xml:space="preserve"> </w:t>
      </w:r>
      <w:r>
        <w:rPr>
          <w:b/>
          <w:sz w:val="20"/>
        </w:rPr>
        <w:t>Harris</w:t>
      </w:r>
      <w:r>
        <w:rPr>
          <w:b/>
          <w:spacing w:val="40"/>
          <w:sz w:val="20"/>
        </w:rPr>
        <w:t xml:space="preserve"> </w:t>
      </w:r>
      <w:r>
        <w:rPr>
          <w:b/>
          <w:sz w:val="20"/>
        </w:rPr>
        <w:t>Júnior;</w:t>
      </w:r>
      <w:r>
        <w:rPr>
          <w:b/>
          <w:spacing w:val="40"/>
          <w:sz w:val="20"/>
        </w:rPr>
        <w:t xml:space="preserve"> </w:t>
      </w:r>
      <w:r>
        <w:rPr>
          <w:b/>
          <w:sz w:val="20"/>
        </w:rPr>
        <w:t>Órgão</w:t>
      </w:r>
      <w:r>
        <w:rPr>
          <w:b/>
          <w:spacing w:val="40"/>
          <w:sz w:val="20"/>
        </w:rPr>
        <w:t xml:space="preserve"> </w:t>
      </w:r>
      <w:r>
        <w:rPr>
          <w:b/>
          <w:sz w:val="20"/>
        </w:rPr>
        <w:t>Julgador:</w:t>
      </w:r>
      <w:r>
        <w:rPr>
          <w:b/>
          <w:spacing w:val="40"/>
          <w:sz w:val="20"/>
        </w:rPr>
        <w:t xml:space="preserve"> </w:t>
      </w:r>
      <w:r>
        <w:rPr>
          <w:b/>
          <w:sz w:val="20"/>
        </w:rPr>
        <w:t>18ª</w:t>
      </w:r>
      <w:r>
        <w:rPr>
          <w:b/>
          <w:spacing w:val="40"/>
          <w:sz w:val="20"/>
        </w:rPr>
        <w:t xml:space="preserve"> </w:t>
      </w:r>
      <w:r>
        <w:rPr>
          <w:b/>
          <w:sz w:val="20"/>
        </w:rPr>
        <w:t>Câmara</w:t>
      </w:r>
      <w:r>
        <w:rPr>
          <w:b/>
          <w:spacing w:val="40"/>
          <w:sz w:val="20"/>
        </w:rPr>
        <w:t xml:space="preserve"> </w:t>
      </w:r>
      <w:r>
        <w:rPr>
          <w:b/>
          <w:sz w:val="20"/>
        </w:rPr>
        <w:t>de Direito Público; Data do Julgamento: 08/08/2022).</w:t>
      </w:r>
      <w:r>
        <w:rPr>
          <w:b/>
          <w:sz w:val="20"/>
          <w:vertAlign w:val="superscript"/>
        </w:rPr>
        <w:t>20</w:t>
      </w:r>
    </w:p>
    <w:p w:rsidR="007259F2" w:rsidRDefault="00DE6B1C">
      <w:pPr>
        <w:pStyle w:val="Corpodetexto"/>
        <w:spacing w:before="228"/>
        <w:ind w:left="0" w:firstLine="0"/>
        <w:jc w:val="left"/>
        <w:rPr>
          <w:b/>
          <w:sz w:val="20"/>
        </w:rPr>
      </w:pPr>
      <w:r w:rsidRPr="00DE6B1C">
        <w:rPr>
          <w:b/>
          <w:sz w:val="20"/>
        </w:rPr>
        <w:pict>
          <v:rect id="docshape126" o:spid="_x0000_s1102" style="position:absolute;margin-left:85.1pt;margin-top:24.15pt;width:2in;height:.7pt;z-index:-15674368;mso-wrap-distance-left:0;mso-wrap-distance-right:0;mso-position-horizontal-relative:page" fillcolor="black" stroked="f">
            <w10:wrap type="topAndBottom" anchorx="page"/>
          </v:rect>
        </w:pict>
      </w:r>
    </w:p>
    <w:p w:rsidR="007259F2" w:rsidRDefault="00E655B4">
      <w:pPr>
        <w:spacing w:before="96"/>
        <w:ind w:left="710" w:right="423"/>
        <w:jc w:val="both"/>
        <w:rPr>
          <w:sz w:val="20"/>
        </w:rPr>
      </w:pPr>
      <w:r>
        <w:rPr>
          <w:sz w:val="20"/>
          <w:vertAlign w:val="superscript"/>
        </w:rPr>
        <w:t>19</w:t>
      </w:r>
      <w:r>
        <w:rPr>
          <w:sz w:val="20"/>
        </w:rPr>
        <w:t xml:space="preserve"> Ementa: Reexame Necessário – Mandado de Segurança - ITBI - Sentença que concedeu a segurança para determinar o recolhimento do tributo com base no valor da transação - Base de cálculo definida no REsp 1.937.821 -</w:t>
      </w:r>
      <w:r>
        <w:rPr>
          <w:spacing w:val="-2"/>
          <w:sz w:val="20"/>
        </w:rPr>
        <w:t xml:space="preserve"> </w:t>
      </w:r>
      <w:r>
        <w:rPr>
          <w:sz w:val="20"/>
        </w:rPr>
        <w:t>Tema</w:t>
      </w:r>
      <w:r>
        <w:rPr>
          <w:spacing w:val="-1"/>
          <w:sz w:val="20"/>
        </w:rPr>
        <w:t xml:space="preserve"> </w:t>
      </w:r>
      <w:r>
        <w:rPr>
          <w:sz w:val="20"/>
        </w:rPr>
        <w:t>1.113,</w:t>
      </w:r>
      <w:r>
        <w:rPr>
          <w:spacing w:val="-1"/>
          <w:sz w:val="20"/>
        </w:rPr>
        <w:t xml:space="preserve"> </w:t>
      </w:r>
      <w:r>
        <w:rPr>
          <w:sz w:val="20"/>
        </w:rPr>
        <w:t>do STJ -</w:t>
      </w:r>
      <w:r>
        <w:rPr>
          <w:spacing w:val="-2"/>
          <w:sz w:val="20"/>
        </w:rPr>
        <w:t xml:space="preserve"> </w:t>
      </w:r>
      <w:r>
        <w:rPr>
          <w:sz w:val="20"/>
        </w:rPr>
        <w:t>Tributo devido com</w:t>
      </w:r>
      <w:r>
        <w:rPr>
          <w:spacing w:val="-4"/>
          <w:sz w:val="20"/>
        </w:rPr>
        <w:t xml:space="preserve"> </w:t>
      </w:r>
      <w:r>
        <w:rPr>
          <w:sz w:val="20"/>
        </w:rPr>
        <w:t>base no valor do negócio jurídico -</w:t>
      </w:r>
      <w:r>
        <w:rPr>
          <w:spacing w:val="-8"/>
          <w:sz w:val="20"/>
        </w:rPr>
        <w:t xml:space="preserve"> </w:t>
      </w:r>
      <w:r>
        <w:rPr>
          <w:sz w:val="20"/>
        </w:rPr>
        <w:t>Incidência</w:t>
      </w:r>
      <w:r>
        <w:rPr>
          <w:spacing w:val="-6"/>
          <w:sz w:val="20"/>
        </w:rPr>
        <w:t xml:space="preserve"> </w:t>
      </w:r>
      <w:r>
        <w:rPr>
          <w:sz w:val="20"/>
        </w:rPr>
        <w:t>de</w:t>
      </w:r>
      <w:r>
        <w:rPr>
          <w:spacing w:val="-3"/>
          <w:sz w:val="20"/>
        </w:rPr>
        <w:t xml:space="preserve"> </w:t>
      </w:r>
      <w:r>
        <w:rPr>
          <w:sz w:val="20"/>
        </w:rPr>
        <w:t>correção monetária desde a formalização do negócio diante da necessidade de reposição do valor da moeda pela perda inflacionária - Recurso desprovido.</w:t>
      </w:r>
    </w:p>
    <w:p w:rsidR="007259F2" w:rsidRDefault="00E655B4">
      <w:pPr>
        <w:ind w:left="710" w:right="423"/>
        <w:jc w:val="both"/>
        <w:rPr>
          <w:sz w:val="20"/>
        </w:rPr>
      </w:pPr>
      <w:r>
        <w:rPr>
          <w:sz w:val="20"/>
          <w:vertAlign w:val="superscript"/>
        </w:rPr>
        <w:t>20</w:t>
      </w:r>
      <w:r>
        <w:rPr>
          <w:sz w:val="20"/>
        </w:rPr>
        <w:t xml:space="preserve"> Ementa: Apelação/ Remessa Necessária -</w:t>
      </w:r>
      <w:r>
        <w:rPr>
          <w:spacing w:val="-2"/>
          <w:sz w:val="20"/>
        </w:rPr>
        <w:t xml:space="preserve"> </w:t>
      </w:r>
      <w:r>
        <w:rPr>
          <w:sz w:val="20"/>
        </w:rPr>
        <w:t>Mandado de segurança – ITBI – Base de cálculo – Adoção de valor venal de referência distinto do valor venal utilizado para o cálculo do IPTU – Necessidade de se distinguir os valores</w:t>
      </w:r>
      <w:r>
        <w:rPr>
          <w:spacing w:val="17"/>
          <w:sz w:val="20"/>
        </w:rPr>
        <w:t xml:space="preserve"> </w:t>
      </w:r>
      <w:r>
        <w:rPr>
          <w:sz w:val="20"/>
        </w:rPr>
        <w:t>venais</w:t>
      </w:r>
      <w:r>
        <w:rPr>
          <w:spacing w:val="18"/>
          <w:sz w:val="20"/>
        </w:rPr>
        <w:t xml:space="preserve"> </w:t>
      </w:r>
      <w:r>
        <w:rPr>
          <w:sz w:val="20"/>
        </w:rPr>
        <w:t>empregados</w:t>
      </w:r>
      <w:r>
        <w:rPr>
          <w:spacing w:val="18"/>
          <w:sz w:val="20"/>
        </w:rPr>
        <w:t xml:space="preserve"> </w:t>
      </w:r>
      <w:r>
        <w:rPr>
          <w:sz w:val="20"/>
        </w:rPr>
        <w:t>em</w:t>
      </w:r>
      <w:r>
        <w:rPr>
          <w:spacing w:val="18"/>
          <w:sz w:val="20"/>
        </w:rPr>
        <w:t xml:space="preserve"> </w:t>
      </w:r>
      <w:r>
        <w:rPr>
          <w:sz w:val="20"/>
        </w:rPr>
        <w:t>cada</w:t>
      </w:r>
      <w:r>
        <w:rPr>
          <w:spacing w:val="19"/>
          <w:sz w:val="20"/>
        </w:rPr>
        <w:t xml:space="preserve"> </w:t>
      </w:r>
      <w:r>
        <w:rPr>
          <w:sz w:val="20"/>
        </w:rPr>
        <w:t>caso,</w:t>
      </w:r>
      <w:r>
        <w:rPr>
          <w:spacing w:val="19"/>
          <w:sz w:val="20"/>
        </w:rPr>
        <w:t xml:space="preserve"> </w:t>
      </w:r>
      <w:r>
        <w:rPr>
          <w:sz w:val="20"/>
        </w:rPr>
        <w:t>afastado,</w:t>
      </w:r>
      <w:r>
        <w:rPr>
          <w:spacing w:val="24"/>
          <w:sz w:val="20"/>
        </w:rPr>
        <w:t xml:space="preserve"> </w:t>
      </w:r>
      <w:r>
        <w:rPr>
          <w:sz w:val="20"/>
        </w:rPr>
        <w:t>contudo,</w:t>
      </w:r>
      <w:r>
        <w:rPr>
          <w:spacing w:val="19"/>
          <w:sz w:val="20"/>
        </w:rPr>
        <w:t xml:space="preserve"> </w:t>
      </w:r>
      <w:r>
        <w:rPr>
          <w:sz w:val="20"/>
        </w:rPr>
        <w:t>o</w:t>
      </w:r>
      <w:r>
        <w:rPr>
          <w:spacing w:val="17"/>
          <w:sz w:val="20"/>
        </w:rPr>
        <w:t xml:space="preserve"> </w:t>
      </w:r>
      <w:r>
        <w:rPr>
          <w:sz w:val="20"/>
        </w:rPr>
        <w:t>arbitramento</w:t>
      </w:r>
      <w:r>
        <w:rPr>
          <w:spacing w:val="19"/>
          <w:sz w:val="20"/>
        </w:rPr>
        <w:t xml:space="preserve"> </w:t>
      </w:r>
      <w:r>
        <w:rPr>
          <w:sz w:val="20"/>
        </w:rPr>
        <w:t>puro</w:t>
      </w:r>
      <w:r>
        <w:rPr>
          <w:spacing w:val="20"/>
          <w:sz w:val="20"/>
        </w:rPr>
        <w:t xml:space="preserve"> </w:t>
      </w:r>
      <w:r>
        <w:rPr>
          <w:sz w:val="20"/>
        </w:rPr>
        <w:t>e</w:t>
      </w:r>
      <w:r>
        <w:rPr>
          <w:spacing w:val="19"/>
          <w:sz w:val="20"/>
        </w:rPr>
        <w:t xml:space="preserve"> </w:t>
      </w:r>
      <w:r>
        <w:rPr>
          <w:sz w:val="20"/>
        </w:rPr>
        <w:t>simples</w:t>
      </w:r>
      <w:r>
        <w:rPr>
          <w:spacing w:val="18"/>
          <w:sz w:val="20"/>
        </w:rPr>
        <w:t xml:space="preserve"> </w:t>
      </w:r>
      <w:r>
        <w:rPr>
          <w:sz w:val="20"/>
        </w:rPr>
        <w:t>de</w:t>
      </w:r>
      <w:r>
        <w:rPr>
          <w:spacing w:val="19"/>
          <w:sz w:val="20"/>
        </w:rPr>
        <w:t xml:space="preserve"> </w:t>
      </w:r>
      <w:r>
        <w:rPr>
          <w:sz w:val="20"/>
        </w:rPr>
        <w:t>valor</w:t>
      </w:r>
      <w:r>
        <w:rPr>
          <w:spacing w:val="19"/>
          <w:sz w:val="20"/>
        </w:rPr>
        <w:t xml:space="preserve"> </w:t>
      </w:r>
      <w:r>
        <w:rPr>
          <w:sz w:val="20"/>
        </w:rPr>
        <w:t>venal</w:t>
      </w:r>
      <w:r>
        <w:rPr>
          <w:spacing w:val="18"/>
          <w:sz w:val="20"/>
        </w:rPr>
        <w:t xml:space="preserve"> </w:t>
      </w:r>
      <w:r>
        <w:rPr>
          <w:spacing w:val="-5"/>
          <w:sz w:val="20"/>
        </w:rPr>
        <w:t>de</w:t>
      </w:r>
    </w:p>
    <w:p w:rsidR="007259F2" w:rsidRDefault="007259F2">
      <w:pPr>
        <w:jc w:val="both"/>
        <w:rPr>
          <w:sz w:val="20"/>
        </w:rPr>
        <w:sectPr w:rsidR="007259F2">
          <w:pgSz w:w="11910" w:h="16840"/>
          <w:pgMar w:top="1600" w:right="708" w:bottom="1020" w:left="992" w:header="0" w:footer="820" w:gutter="0"/>
          <w:cols w:space="720"/>
        </w:sectPr>
      </w:pPr>
    </w:p>
    <w:p w:rsidR="007259F2" w:rsidRDefault="00DE6B1C">
      <w:pPr>
        <w:pStyle w:val="Corpodetexto"/>
        <w:spacing w:line="20" w:lineRule="exact"/>
        <w:ind w:left="2978" w:firstLine="0"/>
        <w:jc w:val="left"/>
        <w:rPr>
          <w:sz w:val="2"/>
        </w:rPr>
      </w:pPr>
      <w:r w:rsidRPr="00DE6B1C">
        <w:rPr>
          <w:sz w:val="2"/>
        </w:rPr>
      </w:r>
      <w:r>
        <w:rPr>
          <w:sz w:val="2"/>
        </w:rPr>
        <w:pict>
          <v:group id="docshapegroup127" o:spid="_x0000_s1100" style="width:339.35pt;height:.9pt;mso-position-horizontal-relative:char;mso-position-vertical-relative:line" coordsize="6787,18">
            <v:line id="_x0000_s1101" style="position:absolute" from="0,9" to="6787,9" strokeweight=".31292mm">
              <v:stroke dashstyle="1 1"/>
            </v:line>
            <w10:wrap type="none"/>
            <w10:anchorlock/>
          </v:group>
        </w:pict>
      </w:r>
    </w:p>
    <w:p w:rsidR="007259F2" w:rsidRDefault="007259F2">
      <w:pPr>
        <w:pStyle w:val="Corpodetexto"/>
        <w:spacing w:before="189"/>
        <w:ind w:left="0" w:firstLine="0"/>
        <w:jc w:val="left"/>
        <w:rPr>
          <w:sz w:val="20"/>
        </w:rPr>
      </w:pPr>
    </w:p>
    <w:p w:rsidR="007259F2" w:rsidRDefault="00E655B4">
      <w:pPr>
        <w:ind w:left="2978" w:right="551"/>
        <w:jc w:val="both"/>
        <w:rPr>
          <w:sz w:val="20"/>
        </w:rPr>
      </w:pPr>
      <w:r>
        <w:rPr>
          <w:sz w:val="20"/>
        </w:rPr>
        <w:t>(...) Impossibilidade de</w:t>
      </w:r>
      <w:r>
        <w:rPr>
          <w:spacing w:val="-1"/>
          <w:sz w:val="20"/>
        </w:rPr>
        <w:t xml:space="preserve"> </w:t>
      </w:r>
      <w:r>
        <w:rPr>
          <w:sz w:val="20"/>
        </w:rPr>
        <w:t>aplicação da</w:t>
      </w:r>
      <w:r>
        <w:rPr>
          <w:spacing w:val="-1"/>
          <w:sz w:val="20"/>
        </w:rPr>
        <w:t xml:space="preserve"> </w:t>
      </w:r>
      <w:r>
        <w:rPr>
          <w:sz w:val="20"/>
        </w:rPr>
        <w:t>Lei</w:t>
      </w:r>
      <w:r>
        <w:rPr>
          <w:spacing w:val="-1"/>
          <w:sz w:val="20"/>
        </w:rPr>
        <w:t xml:space="preserve"> </w:t>
      </w:r>
      <w:r>
        <w:rPr>
          <w:sz w:val="20"/>
        </w:rPr>
        <w:t>nº 11.154/91 com</w:t>
      </w:r>
      <w:r>
        <w:rPr>
          <w:spacing w:val="-5"/>
          <w:sz w:val="20"/>
        </w:rPr>
        <w:t xml:space="preserve"> </w:t>
      </w:r>
      <w:r>
        <w:rPr>
          <w:sz w:val="20"/>
        </w:rPr>
        <w:t>redação dada</w:t>
      </w:r>
      <w:r>
        <w:rPr>
          <w:spacing w:val="-1"/>
          <w:sz w:val="20"/>
        </w:rPr>
        <w:t xml:space="preserve"> </w:t>
      </w:r>
      <w:r>
        <w:rPr>
          <w:sz w:val="20"/>
        </w:rPr>
        <w:t>pelas Leis nº 14.125/2005 e 14.256/2006 - Valor de referência afastado no julgamento do Resp nº 1.937.821/SP - (Tema 1113) - Teses fixadas pelo Superior Tribunal de Justiça, que</w:t>
      </w:r>
      <w:r>
        <w:rPr>
          <w:spacing w:val="-1"/>
          <w:sz w:val="20"/>
        </w:rPr>
        <w:t xml:space="preserve"> </w:t>
      </w:r>
      <w:r>
        <w:rPr>
          <w:sz w:val="20"/>
        </w:rPr>
        <w:t>afastam</w:t>
      </w:r>
      <w:r>
        <w:rPr>
          <w:spacing w:val="-5"/>
          <w:sz w:val="20"/>
        </w:rPr>
        <w:t xml:space="preserve"> </w:t>
      </w:r>
      <w:r>
        <w:rPr>
          <w:sz w:val="20"/>
        </w:rPr>
        <w:t>o valor venal</w:t>
      </w:r>
      <w:r>
        <w:rPr>
          <w:spacing w:val="-1"/>
          <w:sz w:val="20"/>
        </w:rPr>
        <w:t xml:space="preserve"> </w:t>
      </w:r>
      <w:r>
        <w:rPr>
          <w:sz w:val="20"/>
        </w:rPr>
        <w:t>de</w:t>
      </w:r>
      <w:r>
        <w:rPr>
          <w:spacing w:val="-1"/>
          <w:sz w:val="20"/>
        </w:rPr>
        <w:t xml:space="preserve"> </w:t>
      </w:r>
      <w:r>
        <w:rPr>
          <w:sz w:val="20"/>
        </w:rPr>
        <w:t>referência e</w:t>
      </w:r>
      <w:r>
        <w:rPr>
          <w:spacing w:val="-1"/>
          <w:sz w:val="20"/>
        </w:rPr>
        <w:t xml:space="preserve"> </w:t>
      </w:r>
      <w:r>
        <w:rPr>
          <w:sz w:val="20"/>
        </w:rPr>
        <w:t>desvinculam</w:t>
      </w:r>
      <w:r>
        <w:rPr>
          <w:spacing w:val="-5"/>
          <w:sz w:val="20"/>
        </w:rPr>
        <w:t xml:space="preserve"> </w:t>
      </w:r>
      <w:r>
        <w:rPr>
          <w:sz w:val="20"/>
        </w:rPr>
        <w:t>a</w:t>
      </w:r>
      <w:r>
        <w:rPr>
          <w:spacing w:val="-1"/>
          <w:sz w:val="20"/>
        </w:rPr>
        <w:t xml:space="preserve"> </w:t>
      </w:r>
      <w:r>
        <w:rPr>
          <w:sz w:val="20"/>
        </w:rPr>
        <w:t>base</w:t>
      </w:r>
      <w:r>
        <w:rPr>
          <w:spacing w:val="-1"/>
          <w:sz w:val="20"/>
        </w:rPr>
        <w:t xml:space="preserve"> </w:t>
      </w:r>
      <w:r>
        <w:rPr>
          <w:sz w:val="20"/>
        </w:rPr>
        <w:t>de</w:t>
      </w:r>
      <w:r>
        <w:rPr>
          <w:spacing w:val="-1"/>
          <w:sz w:val="20"/>
        </w:rPr>
        <w:t xml:space="preserve"> </w:t>
      </w:r>
      <w:r>
        <w:rPr>
          <w:sz w:val="20"/>
        </w:rPr>
        <w:t>cálculo do ITBI do valor venal para fins de IPTU, inclusive como</w:t>
      </w:r>
      <w:r>
        <w:rPr>
          <w:spacing w:val="-2"/>
          <w:sz w:val="20"/>
        </w:rPr>
        <w:t xml:space="preserve"> </w:t>
      </w:r>
      <w:r>
        <w:rPr>
          <w:sz w:val="20"/>
        </w:rPr>
        <w:t>piso</w:t>
      </w:r>
      <w:r>
        <w:rPr>
          <w:spacing w:val="-1"/>
          <w:sz w:val="20"/>
        </w:rPr>
        <w:t xml:space="preserve"> </w:t>
      </w:r>
      <w:r>
        <w:rPr>
          <w:sz w:val="20"/>
        </w:rPr>
        <w:t>da</w:t>
      </w:r>
      <w:r>
        <w:rPr>
          <w:spacing w:val="-3"/>
          <w:sz w:val="20"/>
        </w:rPr>
        <w:t xml:space="preserve"> </w:t>
      </w:r>
      <w:r>
        <w:rPr>
          <w:sz w:val="20"/>
        </w:rPr>
        <w:t>tributação,</w:t>
      </w:r>
      <w:r>
        <w:rPr>
          <w:spacing w:val="-1"/>
          <w:sz w:val="20"/>
        </w:rPr>
        <w:t xml:space="preserve"> </w:t>
      </w:r>
      <w:r>
        <w:rPr>
          <w:sz w:val="20"/>
        </w:rPr>
        <w:t>fixando como</w:t>
      </w:r>
      <w:r>
        <w:rPr>
          <w:spacing w:val="-13"/>
          <w:sz w:val="20"/>
        </w:rPr>
        <w:t xml:space="preserve"> </w:t>
      </w:r>
      <w:r>
        <w:rPr>
          <w:sz w:val="20"/>
        </w:rPr>
        <w:t>parâmetro</w:t>
      </w:r>
      <w:r>
        <w:rPr>
          <w:spacing w:val="-12"/>
          <w:sz w:val="20"/>
        </w:rPr>
        <w:t xml:space="preserve"> </w:t>
      </w:r>
      <w:r>
        <w:rPr>
          <w:sz w:val="20"/>
        </w:rPr>
        <w:t>da</w:t>
      </w:r>
      <w:r>
        <w:rPr>
          <w:spacing w:val="-13"/>
          <w:sz w:val="20"/>
        </w:rPr>
        <w:t xml:space="preserve"> </w:t>
      </w:r>
      <w:r>
        <w:rPr>
          <w:sz w:val="20"/>
        </w:rPr>
        <w:t>base</w:t>
      </w:r>
      <w:r>
        <w:rPr>
          <w:spacing w:val="-12"/>
          <w:sz w:val="20"/>
        </w:rPr>
        <w:t xml:space="preserve"> </w:t>
      </w:r>
      <w:r>
        <w:rPr>
          <w:sz w:val="20"/>
        </w:rPr>
        <w:t>de</w:t>
      </w:r>
      <w:r>
        <w:rPr>
          <w:spacing w:val="-13"/>
          <w:sz w:val="20"/>
        </w:rPr>
        <w:t xml:space="preserve"> </w:t>
      </w:r>
      <w:r>
        <w:rPr>
          <w:sz w:val="20"/>
        </w:rPr>
        <w:t>cálculo</w:t>
      </w:r>
      <w:r>
        <w:rPr>
          <w:spacing w:val="-9"/>
          <w:sz w:val="20"/>
        </w:rPr>
        <w:t xml:space="preserve"> </w:t>
      </w:r>
      <w:r>
        <w:rPr>
          <w:sz w:val="20"/>
        </w:rPr>
        <w:t>o</w:t>
      </w:r>
      <w:r>
        <w:rPr>
          <w:spacing w:val="-1"/>
          <w:sz w:val="20"/>
        </w:rPr>
        <w:t xml:space="preserve"> </w:t>
      </w:r>
      <w:r>
        <w:rPr>
          <w:sz w:val="20"/>
        </w:rPr>
        <w:t>valor</w:t>
      </w:r>
      <w:r>
        <w:rPr>
          <w:spacing w:val="-2"/>
          <w:sz w:val="20"/>
        </w:rPr>
        <w:t xml:space="preserve"> </w:t>
      </w:r>
      <w:r>
        <w:rPr>
          <w:sz w:val="20"/>
        </w:rPr>
        <w:t>da</w:t>
      </w:r>
      <w:r>
        <w:rPr>
          <w:spacing w:val="-2"/>
          <w:sz w:val="20"/>
        </w:rPr>
        <w:t xml:space="preserve"> </w:t>
      </w:r>
      <w:r>
        <w:rPr>
          <w:sz w:val="20"/>
        </w:rPr>
        <w:t>transação</w:t>
      </w:r>
      <w:r>
        <w:rPr>
          <w:spacing w:val="-1"/>
          <w:sz w:val="20"/>
        </w:rPr>
        <w:t xml:space="preserve"> </w:t>
      </w:r>
      <w:r>
        <w:rPr>
          <w:sz w:val="20"/>
        </w:rPr>
        <w:t>declarado</w:t>
      </w:r>
      <w:r>
        <w:rPr>
          <w:spacing w:val="-2"/>
          <w:sz w:val="20"/>
        </w:rPr>
        <w:t xml:space="preserve"> </w:t>
      </w:r>
      <w:r>
        <w:rPr>
          <w:sz w:val="20"/>
        </w:rPr>
        <w:t>pelo</w:t>
      </w:r>
      <w:r>
        <w:rPr>
          <w:spacing w:val="-1"/>
          <w:sz w:val="20"/>
        </w:rPr>
        <w:t xml:space="preserve"> </w:t>
      </w:r>
      <w:r>
        <w:rPr>
          <w:spacing w:val="-2"/>
          <w:sz w:val="20"/>
        </w:rPr>
        <w:t>contribuinte</w:t>
      </w:r>
    </w:p>
    <w:p w:rsidR="007259F2" w:rsidRDefault="00E655B4">
      <w:pPr>
        <w:spacing w:line="242" w:lineRule="auto"/>
        <w:ind w:left="2978" w:right="552"/>
        <w:jc w:val="both"/>
        <w:rPr>
          <w:b/>
          <w:sz w:val="20"/>
        </w:rPr>
      </w:pPr>
      <w:r>
        <w:rPr>
          <w:sz w:val="20"/>
        </w:rPr>
        <w:t xml:space="preserve">- Precedentes do STJ. Assim, em face do quanto decidido no mencionado recurso especial, não resta margem para discussão acerca da base de cálculo do ITBI que deve obedecer ao paradigma do valor da transação. (...) </w:t>
      </w:r>
      <w:r>
        <w:rPr>
          <w:b/>
          <w:sz w:val="20"/>
        </w:rPr>
        <w:t>(TJSP; Apelação 1063116-66.2021.8.26.0053; Relator (a): Raul De Felice; Órgão Julgador: 15ª Câmara de Direito Público; Data do Julgamento: 05/08/2022).</w:t>
      </w:r>
      <w:r>
        <w:rPr>
          <w:b/>
          <w:sz w:val="20"/>
          <w:vertAlign w:val="superscript"/>
        </w:rPr>
        <w:t>21</w:t>
      </w:r>
    </w:p>
    <w:p w:rsidR="007259F2" w:rsidRDefault="00E655B4">
      <w:pPr>
        <w:pStyle w:val="Corpodetexto"/>
        <w:spacing w:before="187"/>
        <w:ind w:right="569"/>
      </w:pPr>
      <w:r>
        <w:t>Portanto, de acordo com o Tema 1.113 do Superior Tribunal de Justiça, os Municípios não poderão mais exigir o recolhimento do ITBI com base em valores previamente fixados, como é o caso do valor venal de referência, utilizado no Município de São Paulo. O contribuinte pagará o imposto com base no valor que declarar, restando ao Fisco aceitar ou realizar o lançamento de ofício da diferença, por meio de processo administrativo de arbitramento (art. 148), mesmo em casos em que haja flagrante</w:t>
      </w:r>
      <w:r>
        <w:rPr>
          <w:spacing w:val="40"/>
        </w:rPr>
        <w:t xml:space="preserve"> </w:t>
      </w:r>
      <w:r>
        <w:t>disparidade entre os valores declarados pelo contribuinte.</w:t>
      </w:r>
    </w:p>
    <w:p w:rsidR="007259F2" w:rsidRDefault="00E655B4">
      <w:pPr>
        <w:pStyle w:val="Heading2"/>
        <w:numPr>
          <w:ilvl w:val="0"/>
          <w:numId w:val="25"/>
        </w:numPr>
        <w:tabs>
          <w:tab w:val="left" w:pos="1555"/>
        </w:tabs>
        <w:spacing w:before="206"/>
        <w:ind w:left="1555" w:hanging="704"/>
        <w:jc w:val="both"/>
      </w:pPr>
      <w:r>
        <w:rPr>
          <w:w w:val="105"/>
        </w:rPr>
        <w:t>Impacto</w:t>
      </w:r>
      <w:r>
        <w:rPr>
          <w:spacing w:val="-5"/>
          <w:w w:val="105"/>
        </w:rPr>
        <w:t xml:space="preserve"> </w:t>
      </w:r>
      <w:r>
        <w:rPr>
          <w:w w:val="105"/>
        </w:rPr>
        <w:t>das</w:t>
      </w:r>
      <w:r>
        <w:rPr>
          <w:spacing w:val="-9"/>
          <w:w w:val="105"/>
        </w:rPr>
        <w:t xml:space="preserve"> </w:t>
      </w:r>
      <w:r>
        <w:rPr>
          <w:w w:val="105"/>
        </w:rPr>
        <w:t>decisões</w:t>
      </w:r>
      <w:r>
        <w:rPr>
          <w:spacing w:val="-6"/>
          <w:w w:val="105"/>
        </w:rPr>
        <w:t xml:space="preserve"> </w:t>
      </w:r>
      <w:r>
        <w:rPr>
          <w:w w:val="105"/>
        </w:rPr>
        <w:t>judiciais</w:t>
      </w:r>
      <w:r>
        <w:rPr>
          <w:spacing w:val="-7"/>
          <w:w w:val="105"/>
        </w:rPr>
        <w:t xml:space="preserve"> </w:t>
      </w:r>
      <w:r>
        <w:rPr>
          <w:w w:val="105"/>
        </w:rPr>
        <w:t>na</w:t>
      </w:r>
      <w:r>
        <w:rPr>
          <w:spacing w:val="-5"/>
          <w:w w:val="105"/>
        </w:rPr>
        <w:t xml:space="preserve"> </w:t>
      </w:r>
      <w:r>
        <w:rPr>
          <w:w w:val="105"/>
        </w:rPr>
        <w:t>legislação</w:t>
      </w:r>
      <w:r>
        <w:rPr>
          <w:spacing w:val="-8"/>
          <w:w w:val="105"/>
        </w:rPr>
        <w:t xml:space="preserve"> </w:t>
      </w:r>
      <w:r>
        <w:rPr>
          <w:w w:val="105"/>
        </w:rPr>
        <w:t>do</w:t>
      </w:r>
      <w:r>
        <w:rPr>
          <w:spacing w:val="-5"/>
          <w:w w:val="105"/>
        </w:rPr>
        <w:t xml:space="preserve"> </w:t>
      </w:r>
      <w:r>
        <w:rPr>
          <w:w w:val="105"/>
        </w:rPr>
        <w:t>município</w:t>
      </w:r>
      <w:r>
        <w:rPr>
          <w:spacing w:val="-8"/>
          <w:w w:val="105"/>
        </w:rPr>
        <w:t xml:space="preserve"> </w:t>
      </w:r>
      <w:r>
        <w:rPr>
          <w:w w:val="105"/>
        </w:rPr>
        <w:t>de</w:t>
      </w:r>
      <w:r>
        <w:rPr>
          <w:spacing w:val="-7"/>
          <w:w w:val="105"/>
        </w:rPr>
        <w:t xml:space="preserve"> </w:t>
      </w:r>
      <w:r>
        <w:rPr>
          <w:w w:val="105"/>
        </w:rPr>
        <w:t>São</w:t>
      </w:r>
      <w:r>
        <w:rPr>
          <w:spacing w:val="-5"/>
          <w:w w:val="105"/>
        </w:rPr>
        <w:t xml:space="preserve"> </w:t>
      </w:r>
      <w:r>
        <w:rPr>
          <w:spacing w:val="-2"/>
          <w:w w:val="105"/>
        </w:rPr>
        <w:t>Paulo</w:t>
      </w:r>
    </w:p>
    <w:p w:rsidR="007259F2" w:rsidRDefault="00E655B4">
      <w:pPr>
        <w:pStyle w:val="Corpodetexto"/>
        <w:spacing w:before="113"/>
        <w:ind w:right="427"/>
      </w:pPr>
      <w:r>
        <w:t>No pior cenário, caso mantido o entendimento do Superior Tribunal de Justiça (Tema 1.113), haverá massiva redução de receitas provenientes do ITBI, vez que o valor declarado pelo contribuinte, na maioria das vezes, é muito inferior ao valor venal de referência e, em alguns casos, menor que o valor venal do IPTU.</w:t>
      </w:r>
    </w:p>
    <w:p w:rsidR="007259F2" w:rsidRDefault="00E655B4">
      <w:pPr>
        <w:pStyle w:val="Corpodetexto"/>
        <w:spacing w:before="1"/>
        <w:ind w:right="425"/>
      </w:pPr>
      <w:r>
        <w:t>A fim de reduzir a queda de arrecadação, os Fiscos Municipais podem se valer do procedimento administrativo de arbitramento para efetuar o lançamento da diferença do valor recolhido a menor, nos casos em que o valor declarado do imóvel não mereça presunção de que é condizente com o real valor de mercado.</w:t>
      </w:r>
    </w:p>
    <w:p w:rsidR="007259F2" w:rsidRDefault="00E655B4">
      <w:pPr>
        <w:pStyle w:val="Corpodetexto"/>
        <w:ind w:left="1418" w:firstLine="0"/>
      </w:pPr>
      <w:r>
        <w:t>Todavia,</w:t>
      </w:r>
      <w:r>
        <w:rPr>
          <w:spacing w:val="-17"/>
        </w:rPr>
        <w:t xml:space="preserve"> </w:t>
      </w:r>
      <w:r>
        <w:t>necessário</w:t>
      </w:r>
      <w:r>
        <w:rPr>
          <w:spacing w:val="-13"/>
        </w:rPr>
        <w:t xml:space="preserve"> </w:t>
      </w:r>
      <w:r>
        <w:t>ressaltar</w:t>
      </w:r>
      <w:r>
        <w:rPr>
          <w:spacing w:val="-15"/>
        </w:rPr>
        <w:t xml:space="preserve"> </w:t>
      </w:r>
      <w:r>
        <w:t>que</w:t>
      </w:r>
      <w:r>
        <w:rPr>
          <w:spacing w:val="-15"/>
        </w:rPr>
        <w:t xml:space="preserve"> </w:t>
      </w:r>
      <w:r>
        <w:t>nem</w:t>
      </w:r>
      <w:r>
        <w:rPr>
          <w:spacing w:val="-14"/>
        </w:rPr>
        <w:t xml:space="preserve"> </w:t>
      </w:r>
      <w:r>
        <w:t>todos</w:t>
      </w:r>
      <w:r>
        <w:rPr>
          <w:spacing w:val="-9"/>
        </w:rPr>
        <w:t xml:space="preserve"> </w:t>
      </w:r>
      <w:r>
        <w:t>os</w:t>
      </w:r>
      <w:r>
        <w:rPr>
          <w:spacing w:val="-9"/>
        </w:rPr>
        <w:t xml:space="preserve"> </w:t>
      </w:r>
      <w:r>
        <w:t>Municípios</w:t>
      </w:r>
      <w:r>
        <w:rPr>
          <w:spacing w:val="-2"/>
        </w:rPr>
        <w:t xml:space="preserve"> </w:t>
      </w:r>
      <w:r>
        <w:t>possuem</w:t>
      </w:r>
      <w:r>
        <w:rPr>
          <w:spacing w:val="-14"/>
        </w:rPr>
        <w:t xml:space="preserve"> </w:t>
      </w:r>
      <w:r>
        <w:t>meios</w:t>
      </w:r>
      <w:r>
        <w:rPr>
          <w:spacing w:val="1"/>
        </w:rPr>
        <w:t xml:space="preserve"> </w:t>
      </w:r>
      <w:r>
        <w:t>de</w:t>
      </w:r>
      <w:r>
        <w:rPr>
          <w:spacing w:val="25"/>
        </w:rPr>
        <w:t xml:space="preserve"> </w:t>
      </w:r>
      <w:r>
        <w:t>realizar</w:t>
      </w:r>
      <w:r>
        <w:rPr>
          <w:spacing w:val="2"/>
        </w:rPr>
        <w:t xml:space="preserve"> </w:t>
      </w:r>
      <w:r>
        <w:rPr>
          <w:spacing w:val="-10"/>
        </w:rPr>
        <w:t>o</w:t>
      </w:r>
    </w:p>
    <w:p w:rsidR="007259F2" w:rsidRDefault="007259F2">
      <w:pPr>
        <w:pStyle w:val="Corpodetexto"/>
        <w:ind w:left="0" w:firstLine="0"/>
        <w:jc w:val="left"/>
        <w:rPr>
          <w:sz w:val="20"/>
        </w:rPr>
      </w:pPr>
    </w:p>
    <w:p w:rsidR="007259F2" w:rsidRDefault="007259F2">
      <w:pPr>
        <w:pStyle w:val="Corpodetexto"/>
        <w:ind w:left="0" w:firstLine="0"/>
        <w:jc w:val="left"/>
        <w:rPr>
          <w:sz w:val="20"/>
        </w:rPr>
      </w:pPr>
    </w:p>
    <w:p w:rsidR="007259F2" w:rsidRDefault="007259F2">
      <w:pPr>
        <w:pStyle w:val="Corpodetexto"/>
        <w:ind w:left="0" w:firstLine="0"/>
        <w:jc w:val="left"/>
        <w:rPr>
          <w:sz w:val="20"/>
        </w:rPr>
      </w:pPr>
    </w:p>
    <w:p w:rsidR="007259F2" w:rsidRDefault="00DE6B1C">
      <w:pPr>
        <w:pStyle w:val="Corpodetexto"/>
        <w:spacing w:before="177"/>
        <w:ind w:left="0" w:firstLine="0"/>
        <w:jc w:val="left"/>
        <w:rPr>
          <w:sz w:val="20"/>
        </w:rPr>
      </w:pPr>
      <w:r w:rsidRPr="00DE6B1C">
        <w:rPr>
          <w:sz w:val="20"/>
        </w:rPr>
        <w:pict>
          <v:rect id="docshape128" o:spid="_x0000_s1099" style="position:absolute;margin-left:85.1pt;margin-top:21.6pt;width:453.65pt;height:.7pt;z-index:-15673344;mso-wrap-distance-left:0;mso-wrap-distance-right:0;mso-position-horizontal-relative:page" fillcolor="black" stroked="f">
            <w10:wrap type="topAndBottom" anchorx="page"/>
          </v:rect>
        </w:pict>
      </w:r>
    </w:p>
    <w:p w:rsidR="007259F2" w:rsidRDefault="00E655B4">
      <w:pPr>
        <w:spacing w:before="97"/>
        <w:ind w:left="710" w:right="422"/>
        <w:jc w:val="both"/>
        <w:rPr>
          <w:sz w:val="20"/>
        </w:rPr>
      </w:pPr>
      <w:r>
        <w:rPr>
          <w:sz w:val="20"/>
        </w:rPr>
        <w:t>referência, em desrespeito ao art. 148 do CTN – REsp repetitivo1.937.821 do STJ – Fixação das seguintes teses jurídicas: “a) a base de cálculo do ITBI é o valor do imóvel transmitido em condições normais de mercado, não estando vinculada à base de cálculo do IPTU, que nem sequer pode ser utilizada como piso de tributação; b) o valor da transação declarado pelo contribuinte goza da presunção deque é condizente com o valor de mercado, que somente pode ser afastada pelo fisco mediante a regular instauração de processo administrativo próprio (art. 148</w:t>
      </w:r>
      <w:r>
        <w:rPr>
          <w:spacing w:val="-1"/>
          <w:sz w:val="20"/>
        </w:rPr>
        <w:t xml:space="preserve"> </w:t>
      </w:r>
      <w:r>
        <w:rPr>
          <w:sz w:val="20"/>
        </w:rPr>
        <w:t>do CTN); c) o</w:t>
      </w:r>
      <w:r>
        <w:rPr>
          <w:spacing w:val="-1"/>
          <w:sz w:val="20"/>
        </w:rPr>
        <w:t xml:space="preserve"> </w:t>
      </w:r>
      <w:r>
        <w:rPr>
          <w:sz w:val="20"/>
        </w:rPr>
        <w:t>Município não</w:t>
      </w:r>
      <w:r>
        <w:rPr>
          <w:spacing w:val="-3"/>
          <w:sz w:val="20"/>
        </w:rPr>
        <w:t xml:space="preserve"> </w:t>
      </w:r>
      <w:r>
        <w:rPr>
          <w:sz w:val="20"/>
        </w:rPr>
        <w:t>pode arbitrar</w:t>
      </w:r>
      <w:r>
        <w:rPr>
          <w:spacing w:val="-1"/>
          <w:sz w:val="20"/>
        </w:rPr>
        <w:t xml:space="preserve"> </w:t>
      </w:r>
      <w:r>
        <w:rPr>
          <w:sz w:val="20"/>
        </w:rPr>
        <w:t>previamente a base de cálculo do</w:t>
      </w:r>
      <w:r>
        <w:rPr>
          <w:spacing w:val="-1"/>
          <w:sz w:val="20"/>
        </w:rPr>
        <w:t xml:space="preserve"> </w:t>
      </w:r>
      <w:r>
        <w:rPr>
          <w:sz w:val="20"/>
        </w:rPr>
        <w:t>ITBI</w:t>
      </w:r>
      <w:r>
        <w:rPr>
          <w:spacing w:val="-1"/>
          <w:sz w:val="20"/>
        </w:rPr>
        <w:t xml:space="preserve"> </w:t>
      </w:r>
      <w:r>
        <w:rPr>
          <w:sz w:val="20"/>
        </w:rPr>
        <w:t>com</w:t>
      </w:r>
      <w:r>
        <w:rPr>
          <w:spacing w:val="-1"/>
          <w:sz w:val="20"/>
        </w:rPr>
        <w:t xml:space="preserve"> </w:t>
      </w:r>
      <w:r>
        <w:rPr>
          <w:sz w:val="20"/>
        </w:rPr>
        <w:t>respaldo em</w:t>
      </w:r>
      <w:r>
        <w:rPr>
          <w:spacing w:val="-4"/>
          <w:sz w:val="20"/>
        </w:rPr>
        <w:t xml:space="preserve"> </w:t>
      </w:r>
      <w:r>
        <w:rPr>
          <w:sz w:val="20"/>
        </w:rPr>
        <w:t xml:space="preserve">valor de referência por ele estabelecido unilateralmente.” – Magistrado de primeira instância determinou o recolhimento do ITBI com base no valor da transação – Sentença mantida – Recurso Voluntário e Remessa Necessária </w:t>
      </w:r>
      <w:r>
        <w:rPr>
          <w:spacing w:val="-2"/>
          <w:sz w:val="20"/>
        </w:rPr>
        <w:t>Desprovidos.</w:t>
      </w:r>
    </w:p>
    <w:p w:rsidR="007259F2" w:rsidRDefault="00E655B4">
      <w:pPr>
        <w:ind w:left="710" w:right="419"/>
        <w:jc w:val="both"/>
        <w:rPr>
          <w:sz w:val="20"/>
        </w:rPr>
      </w:pPr>
      <w:r>
        <w:rPr>
          <w:sz w:val="20"/>
          <w:vertAlign w:val="superscript"/>
        </w:rPr>
        <w:t>21</w:t>
      </w:r>
      <w:r>
        <w:rPr>
          <w:sz w:val="20"/>
        </w:rPr>
        <w:t xml:space="preserve"> Ementa:</w:t>
      </w:r>
      <w:r>
        <w:rPr>
          <w:spacing w:val="-1"/>
          <w:sz w:val="20"/>
        </w:rPr>
        <w:t xml:space="preserve"> </w:t>
      </w:r>
      <w:r>
        <w:rPr>
          <w:sz w:val="20"/>
        </w:rPr>
        <w:t>Apelação Cível</w:t>
      </w:r>
      <w:r>
        <w:rPr>
          <w:spacing w:val="40"/>
          <w:sz w:val="20"/>
        </w:rPr>
        <w:t xml:space="preserve"> </w:t>
      </w:r>
      <w:r>
        <w:rPr>
          <w:sz w:val="20"/>
        </w:rPr>
        <w:t>e Reexame - Mandado de segurança – ITBI - Município de São Paulo – ITBI sobre imóveis para fins de integralização de capital social - Sentença que concedeu a segurança para que o recolhimento do ITBI tenha como base de cálculo o valor da transação, afastando o valor venal de</w:t>
      </w:r>
      <w:r>
        <w:rPr>
          <w:spacing w:val="-2"/>
          <w:sz w:val="20"/>
        </w:rPr>
        <w:t xml:space="preserve"> </w:t>
      </w:r>
      <w:r>
        <w:rPr>
          <w:sz w:val="20"/>
        </w:rPr>
        <w:t>referência do município - Impossibilidade de aplicação da Lei n.º 11.154/91 com redação dada pelas Leis n.º 14.125/2005 e 14.256/2006 - Valor de referência afastado no julgamento do Resp n.º 1.937.821/SP – (Tema 1113) - Teses fixadas pelo Superior Tribunal de Justiça, que afastam o valor venal de referência e desvinculam a base de cálculo</w:t>
      </w:r>
      <w:r>
        <w:rPr>
          <w:spacing w:val="-3"/>
          <w:sz w:val="20"/>
        </w:rPr>
        <w:t xml:space="preserve"> </w:t>
      </w:r>
      <w:r>
        <w:rPr>
          <w:sz w:val="20"/>
        </w:rPr>
        <w:t>do</w:t>
      </w:r>
      <w:r>
        <w:rPr>
          <w:spacing w:val="-3"/>
          <w:sz w:val="20"/>
        </w:rPr>
        <w:t xml:space="preserve"> </w:t>
      </w:r>
      <w:r>
        <w:rPr>
          <w:sz w:val="20"/>
        </w:rPr>
        <w:t>ITBI do</w:t>
      </w:r>
      <w:r>
        <w:rPr>
          <w:spacing w:val="-6"/>
          <w:sz w:val="20"/>
        </w:rPr>
        <w:t xml:space="preserve"> </w:t>
      </w:r>
      <w:r>
        <w:rPr>
          <w:sz w:val="20"/>
        </w:rPr>
        <w:t>valor venal</w:t>
      </w:r>
      <w:r>
        <w:rPr>
          <w:spacing w:val="-1"/>
          <w:sz w:val="20"/>
        </w:rPr>
        <w:t xml:space="preserve"> </w:t>
      </w:r>
      <w:r>
        <w:rPr>
          <w:sz w:val="20"/>
        </w:rPr>
        <w:t>para</w:t>
      </w:r>
      <w:r>
        <w:rPr>
          <w:spacing w:val="-4"/>
          <w:sz w:val="20"/>
        </w:rPr>
        <w:t xml:space="preserve"> </w:t>
      </w:r>
      <w:r>
        <w:rPr>
          <w:sz w:val="20"/>
        </w:rPr>
        <w:t>fins de</w:t>
      </w:r>
      <w:r>
        <w:rPr>
          <w:spacing w:val="-7"/>
          <w:sz w:val="20"/>
        </w:rPr>
        <w:t xml:space="preserve"> </w:t>
      </w:r>
      <w:r>
        <w:rPr>
          <w:sz w:val="20"/>
        </w:rPr>
        <w:t>IPTU, inclusive como piso da tributação, fixando como parâmetro da base de cálculo o valor da transação declarado pelo contribuinte – Precedentes do STJ – Valor da transação corrigido monetariamente nos termos da Emenda Constitucional n.º 113/2021 - Sentença mantida – Recursos oficial e voluntário do município não providos.</w:t>
      </w:r>
    </w:p>
    <w:p w:rsidR="007259F2" w:rsidRDefault="007259F2">
      <w:pPr>
        <w:jc w:val="both"/>
        <w:rPr>
          <w:sz w:val="20"/>
        </w:rPr>
        <w:sectPr w:rsidR="007259F2">
          <w:pgSz w:w="11910" w:h="16840"/>
          <w:pgMar w:top="1900" w:right="708" w:bottom="1020" w:left="992" w:header="0" w:footer="820" w:gutter="0"/>
          <w:cols w:space="720"/>
        </w:sectPr>
      </w:pPr>
    </w:p>
    <w:p w:rsidR="007259F2" w:rsidRDefault="00E655B4">
      <w:pPr>
        <w:pStyle w:val="Corpodetexto"/>
        <w:spacing w:before="115"/>
        <w:ind w:firstLine="0"/>
        <w:jc w:val="left"/>
      </w:pPr>
      <w:r>
        <w:lastRenderedPageBreak/>
        <w:t>arbitramento,</w:t>
      </w:r>
      <w:r>
        <w:rPr>
          <w:spacing w:val="-2"/>
        </w:rPr>
        <w:t xml:space="preserve"> </w:t>
      </w:r>
      <w:r>
        <w:t>conforme</w:t>
      </w:r>
      <w:r>
        <w:rPr>
          <w:spacing w:val="-2"/>
        </w:rPr>
        <w:t xml:space="preserve"> </w:t>
      </w:r>
      <w:r>
        <w:t>pontua</w:t>
      </w:r>
      <w:r>
        <w:rPr>
          <w:spacing w:val="-3"/>
        </w:rPr>
        <w:t xml:space="preserve"> </w:t>
      </w:r>
      <w:r>
        <w:t>Wagner</w:t>
      </w:r>
      <w:r>
        <w:rPr>
          <w:spacing w:val="-1"/>
        </w:rPr>
        <w:t xml:space="preserve"> </w:t>
      </w:r>
      <w:r>
        <w:t>Barbosa</w:t>
      </w:r>
      <w:r>
        <w:rPr>
          <w:spacing w:val="-3"/>
        </w:rPr>
        <w:t xml:space="preserve"> </w:t>
      </w:r>
      <w:r>
        <w:rPr>
          <w:spacing w:val="-2"/>
        </w:rPr>
        <w:t>Pedrotti:</w:t>
      </w:r>
      <w:r>
        <w:rPr>
          <w:spacing w:val="-2"/>
          <w:vertAlign w:val="superscript"/>
        </w:rPr>
        <w:t>22</w:t>
      </w:r>
    </w:p>
    <w:p w:rsidR="007259F2" w:rsidRDefault="007259F2">
      <w:pPr>
        <w:pStyle w:val="Corpodetexto"/>
        <w:spacing w:before="1"/>
        <w:ind w:left="0" w:firstLine="0"/>
        <w:jc w:val="left"/>
      </w:pPr>
    </w:p>
    <w:p w:rsidR="007259F2" w:rsidRDefault="00E655B4">
      <w:pPr>
        <w:spacing w:before="1"/>
        <w:ind w:left="2978" w:right="551"/>
        <w:jc w:val="both"/>
        <w:rPr>
          <w:sz w:val="20"/>
        </w:rPr>
      </w:pPr>
      <w:r>
        <w:rPr>
          <w:sz w:val="20"/>
        </w:rPr>
        <w:t>Os Municípios, na grande maioria, não possuem a estrutura necessária para o lançamento de ofício da diferença entre o imposto declarado e o arbitrado, até pela dificuldade de produzir provas sobre o verdadeiro valor de mercado de imóveis. Mesmo na hipótese de iniciar o processo administrativo para todas as</w:t>
      </w:r>
      <w:r>
        <w:rPr>
          <w:spacing w:val="-1"/>
          <w:sz w:val="20"/>
        </w:rPr>
        <w:t xml:space="preserve"> </w:t>
      </w:r>
      <w:r>
        <w:rPr>
          <w:sz w:val="20"/>
        </w:rPr>
        <w:t>declarações abaixo do valor de mercado, dificilmente esse valor será pago espontaneamente, uma</w:t>
      </w:r>
      <w:r>
        <w:rPr>
          <w:spacing w:val="-2"/>
          <w:sz w:val="20"/>
        </w:rPr>
        <w:t xml:space="preserve"> </w:t>
      </w:r>
      <w:r>
        <w:rPr>
          <w:sz w:val="20"/>
        </w:rPr>
        <w:t>vez</w:t>
      </w:r>
      <w:r>
        <w:rPr>
          <w:spacing w:val="-3"/>
          <w:sz w:val="20"/>
        </w:rPr>
        <w:t xml:space="preserve"> </w:t>
      </w:r>
      <w:r>
        <w:rPr>
          <w:sz w:val="20"/>
        </w:rPr>
        <w:t>que</w:t>
      </w:r>
      <w:r>
        <w:rPr>
          <w:spacing w:val="-3"/>
          <w:sz w:val="20"/>
        </w:rPr>
        <w:t xml:space="preserve"> </w:t>
      </w:r>
      <w:r>
        <w:rPr>
          <w:sz w:val="20"/>
        </w:rPr>
        <w:t>o</w:t>
      </w:r>
      <w:r>
        <w:rPr>
          <w:spacing w:val="-3"/>
          <w:sz w:val="20"/>
        </w:rPr>
        <w:t xml:space="preserve"> </w:t>
      </w:r>
      <w:r>
        <w:rPr>
          <w:sz w:val="20"/>
        </w:rPr>
        <w:t>contribuinte</w:t>
      </w:r>
      <w:r>
        <w:rPr>
          <w:spacing w:val="-3"/>
          <w:sz w:val="20"/>
        </w:rPr>
        <w:t xml:space="preserve"> </w:t>
      </w:r>
      <w:r>
        <w:rPr>
          <w:sz w:val="20"/>
        </w:rPr>
        <w:t>adquirente</w:t>
      </w:r>
      <w:r>
        <w:rPr>
          <w:spacing w:val="-2"/>
          <w:sz w:val="20"/>
        </w:rPr>
        <w:t xml:space="preserve"> </w:t>
      </w:r>
      <w:r>
        <w:rPr>
          <w:sz w:val="20"/>
        </w:rPr>
        <w:t>do</w:t>
      </w:r>
      <w:r>
        <w:rPr>
          <w:spacing w:val="-3"/>
          <w:sz w:val="20"/>
        </w:rPr>
        <w:t xml:space="preserve"> </w:t>
      </w:r>
      <w:r>
        <w:rPr>
          <w:sz w:val="20"/>
        </w:rPr>
        <w:t>imóvel</w:t>
      </w:r>
      <w:r>
        <w:rPr>
          <w:spacing w:val="-4"/>
          <w:sz w:val="20"/>
        </w:rPr>
        <w:t xml:space="preserve"> </w:t>
      </w:r>
      <w:r>
        <w:rPr>
          <w:sz w:val="20"/>
        </w:rPr>
        <w:t>já</w:t>
      </w:r>
      <w:r>
        <w:rPr>
          <w:spacing w:val="-3"/>
          <w:sz w:val="20"/>
        </w:rPr>
        <w:t xml:space="preserve"> </w:t>
      </w:r>
      <w:r>
        <w:rPr>
          <w:sz w:val="20"/>
        </w:rPr>
        <w:t>teria</w:t>
      </w:r>
      <w:r>
        <w:rPr>
          <w:spacing w:val="-6"/>
          <w:sz w:val="20"/>
        </w:rPr>
        <w:t xml:space="preserve"> </w:t>
      </w:r>
      <w:r>
        <w:rPr>
          <w:sz w:val="20"/>
        </w:rPr>
        <w:t>efetivado</w:t>
      </w:r>
      <w:r>
        <w:rPr>
          <w:spacing w:val="-6"/>
          <w:sz w:val="20"/>
        </w:rPr>
        <w:t xml:space="preserve"> </w:t>
      </w:r>
      <w:r>
        <w:rPr>
          <w:sz w:val="20"/>
        </w:rPr>
        <w:t>o</w:t>
      </w:r>
      <w:r>
        <w:rPr>
          <w:spacing w:val="-9"/>
          <w:sz w:val="20"/>
        </w:rPr>
        <w:t xml:space="preserve"> </w:t>
      </w:r>
      <w:r>
        <w:rPr>
          <w:sz w:val="20"/>
        </w:rPr>
        <w:t>registro</w:t>
      </w:r>
      <w:r>
        <w:rPr>
          <w:spacing w:val="-6"/>
          <w:sz w:val="20"/>
        </w:rPr>
        <w:t xml:space="preserve"> </w:t>
      </w:r>
      <w:r>
        <w:rPr>
          <w:sz w:val="20"/>
        </w:rPr>
        <w:t>do</w:t>
      </w:r>
      <w:r>
        <w:rPr>
          <w:spacing w:val="-9"/>
          <w:sz w:val="20"/>
        </w:rPr>
        <w:t xml:space="preserve"> </w:t>
      </w:r>
      <w:r>
        <w:rPr>
          <w:sz w:val="20"/>
        </w:rPr>
        <w:t>seu imóvel. Nesse caso, presume-se que a regra geral será</w:t>
      </w:r>
      <w:r>
        <w:rPr>
          <w:spacing w:val="-3"/>
          <w:sz w:val="20"/>
        </w:rPr>
        <w:t xml:space="preserve"> </w:t>
      </w:r>
      <w:r>
        <w:rPr>
          <w:sz w:val="20"/>
        </w:rPr>
        <w:t>a</w:t>
      </w:r>
      <w:r>
        <w:rPr>
          <w:spacing w:val="-3"/>
          <w:sz w:val="20"/>
        </w:rPr>
        <w:t xml:space="preserve"> </w:t>
      </w:r>
      <w:r>
        <w:rPr>
          <w:sz w:val="20"/>
        </w:rPr>
        <w:t>inscrição em</w:t>
      </w:r>
      <w:r>
        <w:rPr>
          <w:spacing w:val="-4"/>
          <w:sz w:val="20"/>
        </w:rPr>
        <w:t xml:space="preserve"> </w:t>
      </w:r>
      <w:r>
        <w:rPr>
          <w:sz w:val="20"/>
        </w:rPr>
        <w:t>Dívida Ativa do débito e a</w:t>
      </w:r>
      <w:r>
        <w:rPr>
          <w:spacing w:val="-1"/>
          <w:sz w:val="20"/>
        </w:rPr>
        <w:t xml:space="preserve"> </w:t>
      </w:r>
      <w:r>
        <w:rPr>
          <w:sz w:val="20"/>
        </w:rPr>
        <w:t>judicialização da cobrança do ITBI.</w:t>
      </w:r>
    </w:p>
    <w:p w:rsidR="007259F2" w:rsidRDefault="00E655B4">
      <w:pPr>
        <w:pStyle w:val="Corpodetexto"/>
        <w:spacing w:before="198"/>
        <w:ind w:right="421"/>
      </w:pPr>
      <w:r>
        <w:t>No caso do Município de São Paulo, especificamente, o Fisco já vem realizando o procedimento de arbitramento da diferença entre o imposto declarado e o arbitrado, porém,</w:t>
      </w:r>
      <w:r>
        <w:rPr>
          <w:spacing w:val="40"/>
        </w:rPr>
        <w:t xml:space="preserve"> </w:t>
      </w:r>
      <w:r>
        <w:t>em alguns casos, o entendimento dos Tribunais tem sido desfavorável à Municipalidade. Algumas das principais alegações para a anulação dos autos de infração emitidos pelo Fisco são: (i) a falta de tipificação no artigo 148 do CTN, em razão da não demonstração de incidência das hipóteses de arbitramento;</w:t>
      </w:r>
      <w:r>
        <w:rPr>
          <w:vertAlign w:val="superscript"/>
        </w:rPr>
        <w:t>23</w:t>
      </w:r>
      <w:r>
        <w:t xml:space="preserve"> (ii) não observância aos princípios da ampla</w:t>
      </w:r>
      <w:r>
        <w:rPr>
          <w:spacing w:val="40"/>
        </w:rPr>
        <w:t xml:space="preserve"> </w:t>
      </w:r>
      <w:r>
        <w:t>defesa e</w:t>
      </w:r>
      <w:r>
        <w:rPr>
          <w:spacing w:val="-2"/>
        </w:rPr>
        <w:t xml:space="preserve"> </w:t>
      </w:r>
      <w:r>
        <w:t>do</w:t>
      </w:r>
      <w:r>
        <w:rPr>
          <w:spacing w:val="-1"/>
        </w:rPr>
        <w:t xml:space="preserve"> </w:t>
      </w:r>
      <w:r>
        <w:t>contraditório,</w:t>
      </w:r>
      <w:r>
        <w:rPr>
          <w:vertAlign w:val="superscript"/>
        </w:rPr>
        <w:t>24</w:t>
      </w:r>
      <w:r>
        <w:t xml:space="preserve"> porquanto</w:t>
      </w:r>
      <w:r>
        <w:rPr>
          <w:spacing w:val="-1"/>
        </w:rPr>
        <w:t xml:space="preserve"> </w:t>
      </w:r>
      <w:r>
        <w:t>o</w:t>
      </w:r>
      <w:r>
        <w:rPr>
          <w:spacing w:val="-1"/>
        </w:rPr>
        <w:t xml:space="preserve"> </w:t>
      </w:r>
      <w:r>
        <w:t>lançamento se</w:t>
      </w:r>
      <w:r>
        <w:rPr>
          <w:spacing w:val="-2"/>
        </w:rPr>
        <w:t xml:space="preserve"> </w:t>
      </w:r>
      <w:r>
        <w:t>deu</w:t>
      </w:r>
      <w:r>
        <w:rPr>
          <w:spacing w:val="-1"/>
        </w:rPr>
        <w:t xml:space="preserve"> </w:t>
      </w:r>
      <w:r>
        <w:t>com</w:t>
      </w:r>
      <w:r>
        <w:rPr>
          <w:spacing w:val="-1"/>
        </w:rPr>
        <w:t xml:space="preserve"> </w:t>
      </w:r>
      <w:r>
        <w:t>fulcro</w:t>
      </w:r>
      <w:r>
        <w:rPr>
          <w:spacing w:val="-2"/>
        </w:rPr>
        <w:t xml:space="preserve"> </w:t>
      </w:r>
      <w:r>
        <w:t>em</w:t>
      </w:r>
      <w:r>
        <w:rPr>
          <w:spacing w:val="-1"/>
        </w:rPr>
        <w:t xml:space="preserve"> </w:t>
      </w:r>
      <w:r>
        <w:t>cálculo</w:t>
      </w:r>
      <w:r>
        <w:rPr>
          <w:spacing w:val="-1"/>
        </w:rPr>
        <w:t xml:space="preserve"> </w:t>
      </w:r>
      <w:r>
        <w:t>baseado</w:t>
      </w:r>
      <w:r>
        <w:rPr>
          <w:spacing w:val="-1"/>
        </w:rPr>
        <w:t xml:space="preserve"> </w:t>
      </w:r>
      <w:r>
        <w:t>em laudo de avaliação elaborado unilateralmente pelo Município, sem que tivesse sido dado ciência prévia aos contribuintes; (iii) violação da coisa julgada etc.</w:t>
      </w:r>
    </w:p>
    <w:p w:rsidR="007259F2" w:rsidRDefault="00E655B4">
      <w:pPr>
        <w:pStyle w:val="Corpodetexto"/>
        <w:spacing w:before="1"/>
        <w:ind w:right="423"/>
      </w:pPr>
      <w:r>
        <w:t>Para ilustrar na prática um dos problemas recorrentes defrontados, toma-se como exemplo o cancelamento do auto de</w:t>
      </w:r>
      <w:r>
        <w:rPr>
          <w:spacing w:val="-1"/>
        </w:rPr>
        <w:t xml:space="preserve"> </w:t>
      </w:r>
      <w:r>
        <w:t>infração, em virtude</w:t>
      </w:r>
      <w:r>
        <w:rPr>
          <w:spacing w:val="-1"/>
        </w:rPr>
        <w:t xml:space="preserve"> </w:t>
      </w:r>
      <w:r>
        <w:t>da</w:t>
      </w:r>
      <w:r>
        <w:rPr>
          <w:spacing w:val="-1"/>
        </w:rPr>
        <w:t xml:space="preserve"> </w:t>
      </w:r>
      <w:r>
        <w:t>não observância</w:t>
      </w:r>
      <w:r>
        <w:rPr>
          <w:spacing w:val="-1"/>
        </w:rPr>
        <w:t xml:space="preserve"> </w:t>
      </w:r>
      <w:r>
        <w:t>aos princípios da ampla defesa e do contraditório, explica-se.</w:t>
      </w:r>
    </w:p>
    <w:p w:rsidR="007259F2" w:rsidRDefault="00E655B4">
      <w:pPr>
        <w:pStyle w:val="Corpodetexto"/>
        <w:ind w:right="424"/>
      </w:pPr>
      <w:r>
        <w:t>Após o contribuinte realizar o recolhimento do ITBI, cabe a administração fiscal do Município homologar ou não o valor declarado pelo sujeito passivo. Caso</w:t>
      </w:r>
      <w:r>
        <w:rPr>
          <w:spacing w:val="-1"/>
        </w:rPr>
        <w:t xml:space="preserve"> </w:t>
      </w:r>
      <w:r>
        <w:t>haja constatação de eventuais</w:t>
      </w:r>
      <w:r>
        <w:rPr>
          <w:spacing w:val="-2"/>
        </w:rPr>
        <w:t xml:space="preserve"> </w:t>
      </w:r>
      <w:r>
        <w:t>irregularidades,</w:t>
      </w:r>
      <w:r>
        <w:rPr>
          <w:spacing w:val="-2"/>
        </w:rPr>
        <w:t xml:space="preserve"> </w:t>
      </w:r>
      <w:r>
        <w:t>o</w:t>
      </w:r>
      <w:r>
        <w:rPr>
          <w:spacing w:val="-2"/>
        </w:rPr>
        <w:t xml:space="preserve"> </w:t>
      </w:r>
      <w:r>
        <w:t>Fisco</w:t>
      </w:r>
      <w:r>
        <w:rPr>
          <w:spacing w:val="-3"/>
        </w:rPr>
        <w:t xml:space="preserve"> </w:t>
      </w:r>
      <w:r>
        <w:t>Municipal</w:t>
      </w:r>
      <w:r>
        <w:rPr>
          <w:spacing w:val="-2"/>
        </w:rPr>
        <w:t xml:space="preserve"> </w:t>
      </w:r>
      <w:r>
        <w:t>poderá</w:t>
      </w:r>
      <w:r>
        <w:rPr>
          <w:spacing w:val="-4"/>
        </w:rPr>
        <w:t xml:space="preserve"> </w:t>
      </w:r>
      <w:r>
        <w:t>realizar</w:t>
      </w:r>
      <w:r>
        <w:rPr>
          <w:spacing w:val="-3"/>
        </w:rPr>
        <w:t xml:space="preserve"> </w:t>
      </w:r>
      <w:r>
        <w:t>o</w:t>
      </w:r>
      <w:r>
        <w:rPr>
          <w:spacing w:val="-2"/>
        </w:rPr>
        <w:t xml:space="preserve"> </w:t>
      </w:r>
      <w:r>
        <w:t>procedimento</w:t>
      </w:r>
      <w:r>
        <w:rPr>
          <w:spacing w:val="-2"/>
        </w:rPr>
        <w:t xml:space="preserve"> </w:t>
      </w:r>
      <w:r>
        <w:t>administrativo</w:t>
      </w:r>
      <w:r>
        <w:rPr>
          <w:spacing w:val="-2"/>
        </w:rPr>
        <w:t xml:space="preserve"> </w:t>
      </w:r>
      <w:r>
        <w:t>de arbitramento, previsto no art. 148 do CTN, o qual resultará na elaboração de laudos de avaliação de imóveis pertencentes a mesma área daquela em que o imóvel foi adquirido.</w:t>
      </w:r>
    </w:p>
    <w:p w:rsidR="007259F2" w:rsidRDefault="00E655B4">
      <w:pPr>
        <w:pStyle w:val="Corpodetexto"/>
        <w:ind w:right="419"/>
      </w:pPr>
      <w:r>
        <w:t>Em seguida, a Secretaria Municipal de</w:t>
      </w:r>
      <w:r>
        <w:rPr>
          <w:spacing w:val="-6"/>
        </w:rPr>
        <w:t xml:space="preserve"> </w:t>
      </w:r>
      <w:r>
        <w:t>Finanças realiza a</w:t>
      </w:r>
      <w:r>
        <w:rPr>
          <w:spacing w:val="-6"/>
        </w:rPr>
        <w:t xml:space="preserve"> </w:t>
      </w:r>
      <w:r>
        <w:t>lavratura do auto de infração e notifica o</w:t>
      </w:r>
      <w:r>
        <w:rPr>
          <w:spacing w:val="-7"/>
        </w:rPr>
        <w:t xml:space="preserve"> </w:t>
      </w:r>
      <w:r>
        <w:t>contribuinte para que este</w:t>
      </w:r>
      <w:r>
        <w:rPr>
          <w:spacing w:val="-5"/>
        </w:rPr>
        <w:t xml:space="preserve"> </w:t>
      </w:r>
      <w:r>
        <w:t>se</w:t>
      </w:r>
      <w:r>
        <w:rPr>
          <w:spacing w:val="-1"/>
        </w:rPr>
        <w:t xml:space="preserve"> </w:t>
      </w:r>
      <w:r>
        <w:t>manifeste. Aqui reside o problema, pois os Tribunais têm se posicionado no sentido de que antes de lavrar o auto de infração, o Município deve notificar o</w:t>
      </w:r>
      <w:r>
        <w:rPr>
          <w:spacing w:val="-6"/>
        </w:rPr>
        <w:t xml:space="preserve"> </w:t>
      </w:r>
      <w:r>
        <w:t>contribuinte para</w:t>
      </w:r>
      <w:r>
        <w:rPr>
          <w:spacing w:val="-3"/>
        </w:rPr>
        <w:t xml:space="preserve"> </w:t>
      </w:r>
      <w:r>
        <w:t>que</w:t>
      </w:r>
      <w:r>
        <w:rPr>
          <w:spacing w:val="-2"/>
        </w:rPr>
        <w:t xml:space="preserve"> </w:t>
      </w:r>
      <w:r>
        <w:t>ele</w:t>
      </w:r>
      <w:r>
        <w:rPr>
          <w:spacing w:val="-1"/>
        </w:rPr>
        <w:t xml:space="preserve"> </w:t>
      </w:r>
      <w:r>
        <w:t>enuncie</w:t>
      </w:r>
      <w:r>
        <w:rPr>
          <w:spacing w:val="-12"/>
        </w:rPr>
        <w:t xml:space="preserve"> </w:t>
      </w:r>
      <w:r>
        <w:t>sobre o</w:t>
      </w:r>
      <w:r>
        <w:rPr>
          <w:spacing w:val="-1"/>
        </w:rPr>
        <w:t xml:space="preserve"> </w:t>
      </w:r>
      <w:r>
        <w:t>laudo elaborado pela administração fiscal e só depois seja efetuada a lavratura do auto de infração.</w:t>
      </w:r>
    </w:p>
    <w:p w:rsidR="007259F2" w:rsidRDefault="00E655B4">
      <w:pPr>
        <w:pStyle w:val="Corpodetexto"/>
        <w:ind w:right="422"/>
      </w:pPr>
      <w:r>
        <w:t>Como</w:t>
      </w:r>
      <w:r>
        <w:rPr>
          <w:spacing w:val="-10"/>
        </w:rPr>
        <w:t xml:space="preserve"> </w:t>
      </w:r>
      <w:r>
        <w:t>a</w:t>
      </w:r>
      <w:r>
        <w:rPr>
          <w:spacing w:val="-12"/>
        </w:rPr>
        <w:t xml:space="preserve"> </w:t>
      </w:r>
      <w:r>
        <w:t>Secretaria</w:t>
      </w:r>
      <w:r>
        <w:rPr>
          <w:spacing w:val="-11"/>
        </w:rPr>
        <w:t xml:space="preserve"> </w:t>
      </w:r>
      <w:r>
        <w:t>Municipal</w:t>
      </w:r>
      <w:r>
        <w:rPr>
          <w:spacing w:val="-10"/>
        </w:rPr>
        <w:t xml:space="preserve"> </w:t>
      </w:r>
      <w:r>
        <w:t>de</w:t>
      </w:r>
      <w:r>
        <w:rPr>
          <w:spacing w:val="-9"/>
        </w:rPr>
        <w:t xml:space="preserve"> </w:t>
      </w:r>
      <w:r>
        <w:t>Finanças</w:t>
      </w:r>
      <w:r>
        <w:rPr>
          <w:spacing w:val="-10"/>
        </w:rPr>
        <w:t xml:space="preserve"> </w:t>
      </w:r>
      <w:r>
        <w:t>não</w:t>
      </w:r>
      <w:r>
        <w:rPr>
          <w:spacing w:val="-11"/>
        </w:rPr>
        <w:t xml:space="preserve"> </w:t>
      </w:r>
      <w:r>
        <w:t>tem</w:t>
      </w:r>
      <w:r>
        <w:rPr>
          <w:spacing w:val="-7"/>
        </w:rPr>
        <w:t xml:space="preserve"> </w:t>
      </w:r>
      <w:r>
        <w:t>seguido</w:t>
      </w:r>
      <w:r>
        <w:rPr>
          <w:spacing w:val="-8"/>
        </w:rPr>
        <w:t xml:space="preserve"> </w:t>
      </w:r>
      <w:r>
        <w:t>essa</w:t>
      </w:r>
      <w:r>
        <w:rPr>
          <w:spacing w:val="-9"/>
        </w:rPr>
        <w:t xml:space="preserve"> </w:t>
      </w:r>
      <w:r>
        <w:t>ordem,</w:t>
      </w:r>
      <w:r>
        <w:rPr>
          <w:spacing w:val="-5"/>
        </w:rPr>
        <w:t xml:space="preserve"> </w:t>
      </w:r>
      <w:r>
        <w:t>alguns autos</w:t>
      </w:r>
      <w:r>
        <w:rPr>
          <w:spacing w:val="33"/>
        </w:rPr>
        <w:t xml:space="preserve"> </w:t>
      </w:r>
      <w:r>
        <w:t>de infração</w:t>
      </w:r>
      <w:r>
        <w:rPr>
          <w:spacing w:val="40"/>
        </w:rPr>
        <w:t xml:space="preserve"> </w:t>
      </w:r>
      <w:r>
        <w:t>estão sendo cancelados,</w:t>
      </w:r>
      <w:r>
        <w:rPr>
          <w:spacing w:val="40"/>
        </w:rPr>
        <w:t xml:space="preserve"> </w:t>
      </w:r>
      <w:r>
        <w:t>sob</w:t>
      </w:r>
      <w:r>
        <w:rPr>
          <w:spacing w:val="40"/>
        </w:rPr>
        <w:t xml:space="preserve"> </w:t>
      </w:r>
      <w:r>
        <w:t>alegação de</w:t>
      </w:r>
      <w:r>
        <w:rPr>
          <w:spacing w:val="40"/>
        </w:rPr>
        <w:t xml:space="preserve"> </w:t>
      </w:r>
      <w:r>
        <w:t>violação</w:t>
      </w:r>
      <w:r>
        <w:rPr>
          <w:spacing w:val="40"/>
        </w:rPr>
        <w:t xml:space="preserve"> </w:t>
      </w:r>
      <w:r>
        <w:t>da ampla defesa e do contraditório, confira-se algumas decisões:</w:t>
      </w:r>
    </w:p>
    <w:p w:rsidR="007259F2" w:rsidRDefault="007259F2">
      <w:pPr>
        <w:pStyle w:val="Corpodetexto"/>
        <w:spacing w:before="77"/>
        <w:ind w:left="0" w:firstLine="0"/>
        <w:jc w:val="left"/>
      </w:pPr>
    </w:p>
    <w:p w:rsidR="007259F2" w:rsidRDefault="00E655B4">
      <w:pPr>
        <w:ind w:left="2978" w:right="562"/>
        <w:jc w:val="both"/>
        <w:rPr>
          <w:sz w:val="20"/>
        </w:rPr>
      </w:pPr>
      <w:r>
        <w:rPr>
          <w:sz w:val="20"/>
        </w:rPr>
        <w:t>(...)</w:t>
      </w:r>
      <w:r>
        <w:rPr>
          <w:spacing w:val="-8"/>
          <w:sz w:val="20"/>
        </w:rPr>
        <w:t xml:space="preserve"> </w:t>
      </w:r>
      <w:r>
        <w:rPr>
          <w:sz w:val="20"/>
        </w:rPr>
        <w:t>Não</w:t>
      </w:r>
      <w:r>
        <w:rPr>
          <w:spacing w:val="-9"/>
          <w:sz w:val="20"/>
        </w:rPr>
        <w:t xml:space="preserve"> </w:t>
      </w:r>
      <w:r>
        <w:rPr>
          <w:sz w:val="20"/>
        </w:rPr>
        <w:t>se</w:t>
      </w:r>
      <w:r>
        <w:rPr>
          <w:spacing w:val="-10"/>
          <w:sz w:val="20"/>
        </w:rPr>
        <w:t xml:space="preserve"> </w:t>
      </w:r>
      <w:r>
        <w:rPr>
          <w:sz w:val="20"/>
        </w:rPr>
        <w:t>desconhece</w:t>
      </w:r>
      <w:r>
        <w:rPr>
          <w:spacing w:val="-7"/>
          <w:sz w:val="20"/>
        </w:rPr>
        <w:t xml:space="preserve"> </w:t>
      </w:r>
      <w:r>
        <w:rPr>
          <w:sz w:val="20"/>
        </w:rPr>
        <w:t>o</w:t>
      </w:r>
      <w:r>
        <w:rPr>
          <w:spacing w:val="-9"/>
          <w:sz w:val="20"/>
        </w:rPr>
        <w:t xml:space="preserve"> </w:t>
      </w:r>
      <w:r>
        <w:rPr>
          <w:sz w:val="20"/>
        </w:rPr>
        <w:t>direito</w:t>
      </w:r>
      <w:r>
        <w:rPr>
          <w:spacing w:val="-8"/>
          <w:sz w:val="20"/>
        </w:rPr>
        <w:t xml:space="preserve"> </w:t>
      </w:r>
      <w:r>
        <w:rPr>
          <w:sz w:val="20"/>
        </w:rPr>
        <w:t>do</w:t>
      </w:r>
      <w:r>
        <w:rPr>
          <w:spacing w:val="-9"/>
          <w:sz w:val="20"/>
        </w:rPr>
        <w:t xml:space="preserve"> </w:t>
      </w:r>
      <w:r>
        <w:rPr>
          <w:sz w:val="20"/>
        </w:rPr>
        <w:t>Fisco</w:t>
      </w:r>
      <w:r>
        <w:rPr>
          <w:spacing w:val="-9"/>
          <w:sz w:val="20"/>
        </w:rPr>
        <w:t xml:space="preserve"> </w:t>
      </w:r>
      <w:r>
        <w:rPr>
          <w:sz w:val="20"/>
        </w:rPr>
        <w:t>de</w:t>
      </w:r>
      <w:r>
        <w:rPr>
          <w:spacing w:val="-10"/>
          <w:sz w:val="20"/>
        </w:rPr>
        <w:t xml:space="preserve"> </w:t>
      </w:r>
      <w:r>
        <w:rPr>
          <w:sz w:val="20"/>
        </w:rPr>
        <w:t>se</w:t>
      </w:r>
      <w:r>
        <w:rPr>
          <w:spacing w:val="-10"/>
          <w:sz w:val="20"/>
        </w:rPr>
        <w:t xml:space="preserve"> </w:t>
      </w:r>
      <w:r>
        <w:rPr>
          <w:sz w:val="20"/>
        </w:rPr>
        <w:t>utilizar</w:t>
      </w:r>
      <w:r>
        <w:rPr>
          <w:spacing w:val="-7"/>
          <w:sz w:val="20"/>
        </w:rPr>
        <w:t xml:space="preserve"> </w:t>
      </w:r>
      <w:r>
        <w:rPr>
          <w:sz w:val="20"/>
        </w:rPr>
        <w:t>do</w:t>
      </w:r>
      <w:r>
        <w:rPr>
          <w:spacing w:val="-2"/>
          <w:sz w:val="20"/>
        </w:rPr>
        <w:t xml:space="preserve"> </w:t>
      </w:r>
      <w:r>
        <w:rPr>
          <w:sz w:val="20"/>
        </w:rPr>
        <w:t>art.</w:t>
      </w:r>
      <w:r>
        <w:rPr>
          <w:spacing w:val="-4"/>
          <w:sz w:val="20"/>
        </w:rPr>
        <w:t xml:space="preserve"> </w:t>
      </w:r>
      <w:r>
        <w:rPr>
          <w:sz w:val="20"/>
        </w:rPr>
        <w:t>148</w:t>
      </w:r>
      <w:r>
        <w:rPr>
          <w:spacing w:val="-9"/>
          <w:sz w:val="20"/>
        </w:rPr>
        <w:t xml:space="preserve"> </w:t>
      </w:r>
      <w:r>
        <w:rPr>
          <w:sz w:val="20"/>
        </w:rPr>
        <w:t>do</w:t>
      </w:r>
      <w:r>
        <w:rPr>
          <w:spacing w:val="-9"/>
          <w:sz w:val="20"/>
        </w:rPr>
        <w:t xml:space="preserve"> </w:t>
      </w:r>
      <w:r>
        <w:rPr>
          <w:sz w:val="20"/>
        </w:rPr>
        <w:t>CTN</w:t>
      </w:r>
      <w:r>
        <w:rPr>
          <w:spacing w:val="-8"/>
          <w:sz w:val="20"/>
        </w:rPr>
        <w:t xml:space="preserve"> </w:t>
      </w:r>
      <w:r>
        <w:rPr>
          <w:sz w:val="20"/>
        </w:rPr>
        <w:t>(e</w:t>
      </w:r>
      <w:r>
        <w:rPr>
          <w:spacing w:val="-3"/>
          <w:sz w:val="20"/>
        </w:rPr>
        <w:t xml:space="preserve"> </w:t>
      </w:r>
      <w:r>
        <w:rPr>
          <w:sz w:val="20"/>
        </w:rPr>
        <w:t>art.</w:t>
      </w:r>
      <w:r>
        <w:rPr>
          <w:spacing w:val="-13"/>
          <w:sz w:val="20"/>
        </w:rPr>
        <w:t xml:space="preserve"> </w:t>
      </w:r>
      <w:r>
        <w:rPr>
          <w:sz w:val="20"/>
        </w:rPr>
        <w:t xml:space="preserve">24 da Lei Municipal nº 11.154/91) para arbitrar o valor ou o preço de bens, direitos, serviços ou atos jurídicos. (...) Sempre deve ser observado e respeitado o contraditório e a ampla defesa nesse processo, dando-se a oportunidade do sujeito passivo, em caso de contestação, apresentar uma avaliação contraditória, administrativa ou judicial. (...) Fato é que, </w:t>
      </w:r>
      <w:r>
        <w:rPr>
          <w:i/>
          <w:sz w:val="20"/>
        </w:rPr>
        <w:t>in concreto</w:t>
      </w:r>
      <w:r>
        <w:rPr>
          <w:sz w:val="20"/>
        </w:rPr>
        <w:t>, pelos documentos constantes dos autos, evidencia-se que a apelada somente tomou conhecimento do processo administrativo citado quando ele já havia sido finalizado e, principalmente, quando já elaborado laudo de avaliação pelo Fisco e lavrado auto de infração (fls. 63/70, 261/264 e 440/444), transcorrido o seu prazo de defesa.</w:t>
      </w:r>
    </w:p>
    <w:p w:rsidR="007259F2" w:rsidRDefault="00DE6B1C">
      <w:pPr>
        <w:pStyle w:val="Corpodetexto"/>
        <w:spacing w:before="115"/>
        <w:ind w:left="0" w:firstLine="0"/>
        <w:jc w:val="left"/>
        <w:rPr>
          <w:sz w:val="20"/>
        </w:rPr>
      </w:pPr>
      <w:r w:rsidRPr="00DE6B1C">
        <w:rPr>
          <w:sz w:val="20"/>
        </w:rPr>
        <w:pict>
          <v:rect id="docshape129" o:spid="_x0000_s1098" style="position:absolute;margin-left:85.1pt;margin-top:18.45pt;width:2in;height:.7pt;z-index:-15672832;mso-wrap-distance-left:0;mso-wrap-distance-right:0;mso-position-horizontal-relative:page" fillcolor="black" stroked="f">
            <w10:wrap type="topAndBottom" anchorx="page"/>
          </v:rect>
        </w:pict>
      </w:r>
    </w:p>
    <w:p w:rsidR="007259F2" w:rsidRDefault="00E655B4">
      <w:pPr>
        <w:spacing w:before="96"/>
        <w:ind w:left="710" w:right="423"/>
        <w:jc w:val="both"/>
        <w:rPr>
          <w:sz w:val="20"/>
        </w:rPr>
      </w:pPr>
      <w:r>
        <w:rPr>
          <w:sz w:val="20"/>
          <w:vertAlign w:val="superscript"/>
        </w:rPr>
        <w:t>22</w:t>
      </w:r>
      <w:r>
        <w:rPr>
          <w:spacing w:val="-4"/>
          <w:sz w:val="20"/>
        </w:rPr>
        <w:t xml:space="preserve"> </w:t>
      </w:r>
      <w:r>
        <w:rPr>
          <w:sz w:val="20"/>
        </w:rPr>
        <w:t>PEDROTTI,</w:t>
      </w:r>
      <w:r>
        <w:rPr>
          <w:spacing w:val="-5"/>
          <w:sz w:val="20"/>
        </w:rPr>
        <w:t xml:space="preserve"> </w:t>
      </w:r>
      <w:r>
        <w:rPr>
          <w:sz w:val="20"/>
        </w:rPr>
        <w:t>Wagner</w:t>
      </w:r>
      <w:r>
        <w:rPr>
          <w:spacing w:val="-1"/>
          <w:sz w:val="20"/>
        </w:rPr>
        <w:t xml:space="preserve"> </w:t>
      </w:r>
      <w:r>
        <w:rPr>
          <w:sz w:val="20"/>
        </w:rPr>
        <w:t>Barbosa.</w:t>
      </w:r>
      <w:r>
        <w:rPr>
          <w:spacing w:val="-10"/>
          <w:sz w:val="20"/>
        </w:rPr>
        <w:t xml:space="preserve"> </w:t>
      </w:r>
      <w:r>
        <w:rPr>
          <w:sz w:val="20"/>
        </w:rPr>
        <w:t>A</w:t>
      </w:r>
      <w:r>
        <w:rPr>
          <w:spacing w:val="-13"/>
          <w:sz w:val="20"/>
        </w:rPr>
        <w:t xml:space="preserve"> </w:t>
      </w:r>
      <w:r>
        <w:rPr>
          <w:sz w:val="20"/>
        </w:rPr>
        <w:t>Base</w:t>
      </w:r>
      <w:r>
        <w:rPr>
          <w:spacing w:val="-1"/>
          <w:sz w:val="20"/>
        </w:rPr>
        <w:t xml:space="preserve"> </w:t>
      </w:r>
      <w:r>
        <w:rPr>
          <w:sz w:val="20"/>
        </w:rPr>
        <w:t>de</w:t>
      </w:r>
      <w:r>
        <w:rPr>
          <w:spacing w:val="-2"/>
          <w:sz w:val="20"/>
        </w:rPr>
        <w:t xml:space="preserve"> </w:t>
      </w:r>
      <w:r>
        <w:rPr>
          <w:sz w:val="20"/>
        </w:rPr>
        <w:t>Cálculo</w:t>
      </w:r>
      <w:r>
        <w:rPr>
          <w:spacing w:val="-1"/>
          <w:sz w:val="20"/>
        </w:rPr>
        <w:t xml:space="preserve"> </w:t>
      </w:r>
      <w:r>
        <w:rPr>
          <w:sz w:val="20"/>
        </w:rPr>
        <w:t>do</w:t>
      </w:r>
      <w:r>
        <w:rPr>
          <w:spacing w:val="-1"/>
          <w:sz w:val="20"/>
        </w:rPr>
        <w:t xml:space="preserve"> </w:t>
      </w:r>
      <w:r>
        <w:rPr>
          <w:sz w:val="20"/>
        </w:rPr>
        <w:t>ITBI</w:t>
      </w:r>
      <w:r>
        <w:rPr>
          <w:spacing w:val="-1"/>
          <w:sz w:val="20"/>
        </w:rPr>
        <w:t xml:space="preserve"> </w:t>
      </w:r>
      <w:r>
        <w:rPr>
          <w:sz w:val="20"/>
        </w:rPr>
        <w:t>após</w:t>
      </w:r>
      <w:r>
        <w:rPr>
          <w:spacing w:val="-2"/>
          <w:sz w:val="20"/>
        </w:rPr>
        <w:t xml:space="preserve"> </w:t>
      </w:r>
      <w:r>
        <w:rPr>
          <w:sz w:val="20"/>
        </w:rPr>
        <w:t>decisão</w:t>
      </w:r>
      <w:r>
        <w:rPr>
          <w:spacing w:val="-1"/>
          <w:sz w:val="20"/>
        </w:rPr>
        <w:t xml:space="preserve"> </w:t>
      </w:r>
      <w:r>
        <w:rPr>
          <w:sz w:val="20"/>
        </w:rPr>
        <w:t>do</w:t>
      </w:r>
      <w:r>
        <w:rPr>
          <w:spacing w:val="-1"/>
          <w:sz w:val="20"/>
        </w:rPr>
        <w:t xml:space="preserve"> </w:t>
      </w:r>
      <w:r>
        <w:rPr>
          <w:sz w:val="20"/>
        </w:rPr>
        <w:t>STJ:</w:t>
      </w:r>
      <w:r>
        <w:rPr>
          <w:spacing w:val="-2"/>
          <w:sz w:val="20"/>
        </w:rPr>
        <w:t xml:space="preserve"> </w:t>
      </w:r>
      <w:r>
        <w:rPr>
          <w:sz w:val="20"/>
        </w:rPr>
        <w:t>análise</w:t>
      </w:r>
      <w:r>
        <w:rPr>
          <w:spacing w:val="-2"/>
          <w:sz w:val="20"/>
        </w:rPr>
        <w:t xml:space="preserve"> </w:t>
      </w:r>
      <w:r>
        <w:rPr>
          <w:sz w:val="20"/>
        </w:rPr>
        <w:t>sobre</w:t>
      </w:r>
      <w:r>
        <w:rPr>
          <w:spacing w:val="-2"/>
          <w:sz w:val="20"/>
        </w:rPr>
        <w:t xml:space="preserve"> </w:t>
      </w:r>
      <w:r>
        <w:rPr>
          <w:sz w:val="20"/>
        </w:rPr>
        <w:t>possível</w:t>
      </w:r>
      <w:r>
        <w:rPr>
          <w:spacing w:val="-2"/>
          <w:sz w:val="20"/>
        </w:rPr>
        <w:t xml:space="preserve"> </w:t>
      </w:r>
      <w:r>
        <w:rPr>
          <w:sz w:val="20"/>
        </w:rPr>
        <w:t xml:space="preserve">redução da receita e alternativas ao Município. </w:t>
      </w:r>
      <w:r>
        <w:rPr>
          <w:b/>
          <w:sz w:val="20"/>
        </w:rPr>
        <w:t>Fórum de Dir. Tributário – RFDT</w:t>
      </w:r>
      <w:r>
        <w:rPr>
          <w:sz w:val="20"/>
        </w:rPr>
        <w:t>, Belo Horizonte, ano 20, n.º 117, p. 87-98, maio/jun. 2022.</w:t>
      </w:r>
    </w:p>
    <w:p w:rsidR="007259F2" w:rsidRDefault="00E655B4">
      <w:pPr>
        <w:spacing w:before="2"/>
        <w:ind w:left="710" w:right="419"/>
        <w:jc w:val="both"/>
        <w:rPr>
          <w:sz w:val="20"/>
        </w:rPr>
      </w:pPr>
      <w:r>
        <w:rPr>
          <w:sz w:val="20"/>
          <w:vertAlign w:val="superscript"/>
        </w:rPr>
        <w:t>23</w:t>
      </w:r>
      <w:r>
        <w:rPr>
          <w:sz w:val="20"/>
        </w:rPr>
        <w:t xml:space="preserve"> Exemplo: Tribunal de Justiça do Estado de São Paulo - Cumprimento de Sentença nº 0021216- </w:t>
      </w:r>
      <w:r>
        <w:rPr>
          <w:spacing w:val="-2"/>
          <w:sz w:val="20"/>
        </w:rPr>
        <w:t>86.2022.8.26.0053.</w:t>
      </w:r>
    </w:p>
    <w:p w:rsidR="007259F2" w:rsidRDefault="00E655B4">
      <w:pPr>
        <w:spacing w:before="1"/>
        <w:ind w:left="710"/>
        <w:jc w:val="both"/>
        <w:rPr>
          <w:sz w:val="20"/>
        </w:rPr>
      </w:pPr>
      <w:r>
        <w:rPr>
          <w:sz w:val="20"/>
          <w:vertAlign w:val="superscript"/>
        </w:rPr>
        <w:t>24</w:t>
      </w:r>
      <w:r>
        <w:rPr>
          <w:spacing w:val="-11"/>
          <w:sz w:val="20"/>
        </w:rPr>
        <w:t xml:space="preserve"> </w:t>
      </w:r>
      <w:r>
        <w:rPr>
          <w:sz w:val="20"/>
        </w:rPr>
        <w:t>Exemplo:</w:t>
      </w:r>
      <w:r>
        <w:rPr>
          <w:spacing w:val="-10"/>
          <w:sz w:val="20"/>
        </w:rPr>
        <w:t xml:space="preserve"> </w:t>
      </w:r>
      <w:r>
        <w:rPr>
          <w:sz w:val="20"/>
        </w:rPr>
        <w:t>Tribunal</w:t>
      </w:r>
      <w:r>
        <w:rPr>
          <w:spacing w:val="-6"/>
          <w:sz w:val="20"/>
        </w:rPr>
        <w:t xml:space="preserve"> </w:t>
      </w:r>
      <w:r>
        <w:rPr>
          <w:sz w:val="20"/>
        </w:rPr>
        <w:t>de</w:t>
      </w:r>
      <w:r>
        <w:rPr>
          <w:spacing w:val="-6"/>
          <w:sz w:val="20"/>
        </w:rPr>
        <w:t xml:space="preserve"> </w:t>
      </w:r>
      <w:r>
        <w:rPr>
          <w:sz w:val="20"/>
        </w:rPr>
        <w:t>Justiça</w:t>
      </w:r>
      <w:r>
        <w:rPr>
          <w:spacing w:val="-4"/>
          <w:sz w:val="20"/>
        </w:rPr>
        <w:t xml:space="preserve"> </w:t>
      </w:r>
      <w:r>
        <w:rPr>
          <w:sz w:val="20"/>
        </w:rPr>
        <w:t>do</w:t>
      </w:r>
      <w:r>
        <w:rPr>
          <w:spacing w:val="-5"/>
          <w:sz w:val="20"/>
        </w:rPr>
        <w:t xml:space="preserve"> </w:t>
      </w:r>
      <w:r>
        <w:rPr>
          <w:sz w:val="20"/>
        </w:rPr>
        <w:t>Estado</w:t>
      </w:r>
      <w:r>
        <w:rPr>
          <w:spacing w:val="-5"/>
          <w:sz w:val="20"/>
        </w:rPr>
        <w:t xml:space="preserve"> </w:t>
      </w:r>
      <w:r>
        <w:rPr>
          <w:sz w:val="20"/>
        </w:rPr>
        <w:t>de</w:t>
      </w:r>
      <w:r>
        <w:rPr>
          <w:spacing w:val="-6"/>
          <w:sz w:val="20"/>
        </w:rPr>
        <w:t xml:space="preserve"> </w:t>
      </w:r>
      <w:r>
        <w:rPr>
          <w:sz w:val="20"/>
        </w:rPr>
        <w:t>São</w:t>
      </w:r>
      <w:r>
        <w:rPr>
          <w:spacing w:val="-5"/>
          <w:sz w:val="20"/>
        </w:rPr>
        <w:t xml:space="preserve"> </w:t>
      </w:r>
      <w:r>
        <w:rPr>
          <w:sz w:val="20"/>
        </w:rPr>
        <w:t>Paulo -</w:t>
      </w:r>
      <w:r>
        <w:rPr>
          <w:spacing w:val="-14"/>
          <w:sz w:val="20"/>
        </w:rPr>
        <w:t xml:space="preserve"> </w:t>
      </w:r>
      <w:r>
        <w:rPr>
          <w:sz w:val="20"/>
        </w:rPr>
        <w:t>Agravo</w:t>
      </w:r>
      <w:r>
        <w:rPr>
          <w:spacing w:val="-5"/>
          <w:sz w:val="20"/>
        </w:rPr>
        <w:t xml:space="preserve"> </w:t>
      </w:r>
      <w:r>
        <w:rPr>
          <w:sz w:val="20"/>
        </w:rPr>
        <w:t>de</w:t>
      </w:r>
      <w:r>
        <w:rPr>
          <w:spacing w:val="-6"/>
          <w:sz w:val="20"/>
        </w:rPr>
        <w:t xml:space="preserve"> </w:t>
      </w:r>
      <w:r>
        <w:rPr>
          <w:sz w:val="20"/>
        </w:rPr>
        <w:t>Instrumento</w:t>
      </w:r>
      <w:r>
        <w:rPr>
          <w:spacing w:val="-5"/>
          <w:sz w:val="20"/>
        </w:rPr>
        <w:t xml:space="preserve"> </w:t>
      </w:r>
      <w:r>
        <w:rPr>
          <w:sz w:val="20"/>
        </w:rPr>
        <w:t>nº</w:t>
      </w:r>
      <w:r>
        <w:rPr>
          <w:spacing w:val="-4"/>
          <w:sz w:val="20"/>
        </w:rPr>
        <w:t xml:space="preserve"> </w:t>
      </w:r>
      <w:r>
        <w:rPr>
          <w:sz w:val="20"/>
        </w:rPr>
        <w:t>2212012-</w:t>
      </w:r>
      <w:r>
        <w:rPr>
          <w:spacing w:val="-2"/>
          <w:sz w:val="20"/>
        </w:rPr>
        <w:t>28.2023.8.26.0000.</w:t>
      </w:r>
    </w:p>
    <w:p w:rsidR="007259F2" w:rsidRDefault="007259F2">
      <w:pPr>
        <w:jc w:val="both"/>
        <w:rPr>
          <w:sz w:val="20"/>
        </w:rPr>
        <w:sectPr w:rsidR="007259F2">
          <w:pgSz w:w="11910" w:h="16840"/>
          <w:pgMar w:top="1560" w:right="708" w:bottom="1020" w:left="992" w:header="0" w:footer="820" w:gutter="0"/>
          <w:cols w:space="720"/>
        </w:sectPr>
      </w:pPr>
    </w:p>
    <w:p w:rsidR="007259F2" w:rsidRDefault="00E655B4">
      <w:pPr>
        <w:spacing w:before="77" w:line="242" w:lineRule="auto"/>
        <w:ind w:left="2978" w:right="546" w:firstLine="12"/>
        <w:jc w:val="both"/>
        <w:rPr>
          <w:b/>
          <w:sz w:val="20"/>
        </w:rPr>
      </w:pPr>
      <w:r>
        <w:rPr>
          <w:sz w:val="20"/>
        </w:rPr>
        <w:lastRenderedPageBreak/>
        <w:t>Ou</w:t>
      </w:r>
      <w:r>
        <w:rPr>
          <w:spacing w:val="-1"/>
          <w:sz w:val="20"/>
        </w:rPr>
        <w:t xml:space="preserve"> </w:t>
      </w:r>
      <w:r>
        <w:rPr>
          <w:sz w:val="20"/>
        </w:rPr>
        <w:t>seja, ainda que tenha havido posterior</w:t>
      </w:r>
      <w:r>
        <w:rPr>
          <w:spacing w:val="-1"/>
          <w:sz w:val="20"/>
        </w:rPr>
        <w:t xml:space="preserve"> </w:t>
      </w:r>
      <w:r>
        <w:rPr>
          <w:sz w:val="20"/>
        </w:rPr>
        <w:t xml:space="preserve">acesso aos autos e ao que nele ocorreu, a apelada não participou do seu trâmite e não pode se defender em tempo hábil, de modo que houve cerceamento de sua defesa. </w:t>
      </w:r>
      <w:r>
        <w:rPr>
          <w:b/>
          <w:sz w:val="20"/>
        </w:rPr>
        <w:t>(TJSP; Apelação 1074265- 59.2021.8.26.0053; Relator (a): Silvana Malandrino Mollo; Órgão Julgador: 14ª Câmara de Direito Público; Data do Julgamento: 23/11/2023).</w:t>
      </w:r>
      <w:r>
        <w:rPr>
          <w:b/>
          <w:sz w:val="20"/>
          <w:vertAlign w:val="superscript"/>
        </w:rPr>
        <w:t>25</w:t>
      </w:r>
    </w:p>
    <w:p w:rsidR="007259F2" w:rsidRDefault="00E655B4">
      <w:pPr>
        <w:spacing w:before="194"/>
        <w:ind w:left="1574"/>
        <w:rPr>
          <w:b/>
          <w:sz w:val="20"/>
        </w:rPr>
      </w:pPr>
      <w:r>
        <w:rPr>
          <w:b/>
          <w:sz w:val="20"/>
        </w:rPr>
        <w:t>-</w:t>
      </w:r>
      <w:r>
        <w:rPr>
          <w:b/>
          <w:spacing w:val="-5"/>
          <w:sz w:val="20"/>
        </w:rPr>
        <w:t xml:space="preserve"> </w:t>
      </w:r>
      <w:r>
        <w:rPr>
          <w:b/>
          <w:sz w:val="20"/>
        </w:rPr>
        <w:t>-</w:t>
      </w:r>
      <w:r>
        <w:rPr>
          <w:b/>
          <w:spacing w:val="-5"/>
          <w:sz w:val="20"/>
        </w:rPr>
        <w:t xml:space="preserve"> </w:t>
      </w:r>
      <w:r>
        <w:rPr>
          <w:b/>
          <w:sz w:val="20"/>
        </w:rPr>
        <w:t>-</w:t>
      </w:r>
      <w:r>
        <w:rPr>
          <w:b/>
          <w:spacing w:val="-4"/>
          <w:sz w:val="20"/>
        </w:rPr>
        <w:t xml:space="preserve"> </w:t>
      </w:r>
      <w:r>
        <w:rPr>
          <w:b/>
          <w:sz w:val="20"/>
        </w:rPr>
        <w:t>-</w:t>
      </w:r>
      <w:r>
        <w:rPr>
          <w:b/>
          <w:spacing w:val="-5"/>
          <w:sz w:val="20"/>
        </w:rPr>
        <w:t xml:space="preserve"> </w:t>
      </w:r>
      <w:r>
        <w:rPr>
          <w:b/>
          <w:sz w:val="20"/>
        </w:rPr>
        <w:t>-</w:t>
      </w:r>
      <w:r>
        <w:rPr>
          <w:b/>
          <w:spacing w:val="-5"/>
          <w:sz w:val="20"/>
        </w:rPr>
        <w:t xml:space="preserve"> </w:t>
      </w:r>
      <w:r>
        <w:rPr>
          <w:b/>
          <w:sz w:val="20"/>
        </w:rPr>
        <w:t>-</w:t>
      </w:r>
      <w:r>
        <w:rPr>
          <w:b/>
          <w:spacing w:val="-4"/>
          <w:sz w:val="20"/>
        </w:rPr>
        <w:t xml:space="preserve"> </w:t>
      </w:r>
      <w:r>
        <w:rPr>
          <w:b/>
          <w:sz w:val="20"/>
        </w:rPr>
        <w:t>-</w:t>
      </w:r>
      <w:r>
        <w:rPr>
          <w:b/>
          <w:spacing w:val="-5"/>
          <w:sz w:val="20"/>
        </w:rPr>
        <w:t xml:space="preserve"> </w:t>
      </w:r>
      <w:r>
        <w:rPr>
          <w:b/>
          <w:sz w:val="20"/>
        </w:rPr>
        <w:t>-</w:t>
      </w:r>
      <w:r>
        <w:rPr>
          <w:b/>
          <w:spacing w:val="-5"/>
          <w:sz w:val="20"/>
        </w:rPr>
        <w:t xml:space="preserve"> </w:t>
      </w:r>
      <w:r>
        <w:rPr>
          <w:b/>
          <w:sz w:val="20"/>
        </w:rPr>
        <w:t>-</w:t>
      </w:r>
      <w:r>
        <w:rPr>
          <w:b/>
          <w:spacing w:val="-5"/>
          <w:sz w:val="20"/>
        </w:rPr>
        <w:t xml:space="preserve"> </w:t>
      </w:r>
      <w:r>
        <w:rPr>
          <w:b/>
          <w:sz w:val="20"/>
        </w:rPr>
        <w:t>-</w:t>
      </w:r>
      <w:r>
        <w:rPr>
          <w:b/>
          <w:spacing w:val="-4"/>
          <w:sz w:val="20"/>
        </w:rPr>
        <w:t xml:space="preserve"> </w:t>
      </w:r>
      <w:r>
        <w:rPr>
          <w:b/>
          <w:sz w:val="20"/>
        </w:rPr>
        <w:t>-</w:t>
      </w:r>
      <w:r>
        <w:rPr>
          <w:b/>
          <w:spacing w:val="-4"/>
          <w:sz w:val="20"/>
        </w:rPr>
        <w:t xml:space="preserve"> </w:t>
      </w:r>
      <w:r>
        <w:rPr>
          <w:b/>
          <w:sz w:val="20"/>
        </w:rPr>
        <w:t>-</w:t>
      </w:r>
      <w:r>
        <w:rPr>
          <w:b/>
          <w:spacing w:val="-5"/>
          <w:sz w:val="20"/>
        </w:rPr>
        <w:t xml:space="preserve"> </w:t>
      </w:r>
      <w:r>
        <w:rPr>
          <w:b/>
          <w:sz w:val="20"/>
        </w:rPr>
        <w:t>-</w:t>
      </w:r>
      <w:r>
        <w:rPr>
          <w:b/>
          <w:spacing w:val="-4"/>
          <w:sz w:val="20"/>
        </w:rPr>
        <w:t xml:space="preserve"> </w:t>
      </w:r>
      <w:r>
        <w:rPr>
          <w:b/>
          <w:sz w:val="20"/>
        </w:rPr>
        <w:t>-</w:t>
      </w:r>
      <w:r>
        <w:rPr>
          <w:b/>
          <w:spacing w:val="-7"/>
          <w:sz w:val="20"/>
        </w:rPr>
        <w:t xml:space="preserve"> </w:t>
      </w:r>
      <w:r>
        <w:rPr>
          <w:b/>
          <w:sz w:val="20"/>
        </w:rPr>
        <w:t>-</w:t>
      </w:r>
      <w:r>
        <w:rPr>
          <w:b/>
          <w:spacing w:val="-4"/>
          <w:sz w:val="20"/>
        </w:rPr>
        <w:t xml:space="preserve"> </w:t>
      </w:r>
      <w:r>
        <w:rPr>
          <w:b/>
          <w:sz w:val="20"/>
        </w:rPr>
        <w:t>-</w:t>
      </w:r>
      <w:r>
        <w:rPr>
          <w:b/>
          <w:spacing w:val="-5"/>
          <w:sz w:val="20"/>
        </w:rPr>
        <w:t xml:space="preserve"> </w:t>
      </w:r>
      <w:r>
        <w:rPr>
          <w:b/>
          <w:sz w:val="20"/>
        </w:rPr>
        <w:t>-</w:t>
      </w:r>
      <w:r>
        <w:rPr>
          <w:b/>
          <w:spacing w:val="-5"/>
          <w:sz w:val="20"/>
        </w:rPr>
        <w:t xml:space="preserve"> </w:t>
      </w:r>
      <w:r>
        <w:rPr>
          <w:b/>
          <w:sz w:val="20"/>
        </w:rPr>
        <w:t>-</w:t>
      </w:r>
      <w:r>
        <w:rPr>
          <w:b/>
          <w:spacing w:val="-4"/>
          <w:sz w:val="20"/>
        </w:rPr>
        <w:t xml:space="preserve"> </w:t>
      </w:r>
      <w:r>
        <w:rPr>
          <w:b/>
          <w:sz w:val="20"/>
        </w:rPr>
        <w:t>-</w:t>
      </w:r>
      <w:r>
        <w:rPr>
          <w:b/>
          <w:spacing w:val="-5"/>
          <w:sz w:val="20"/>
        </w:rPr>
        <w:t xml:space="preserve"> </w:t>
      </w:r>
      <w:r>
        <w:rPr>
          <w:b/>
          <w:sz w:val="20"/>
        </w:rPr>
        <w:t>-</w:t>
      </w:r>
      <w:r>
        <w:rPr>
          <w:b/>
          <w:spacing w:val="-5"/>
          <w:sz w:val="20"/>
        </w:rPr>
        <w:t xml:space="preserve"> </w:t>
      </w:r>
      <w:r>
        <w:rPr>
          <w:b/>
          <w:sz w:val="20"/>
        </w:rPr>
        <w:t>-</w:t>
      </w:r>
      <w:r>
        <w:rPr>
          <w:b/>
          <w:spacing w:val="-5"/>
          <w:sz w:val="20"/>
        </w:rPr>
        <w:t xml:space="preserve"> </w:t>
      </w:r>
      <w:r>
        <w:rPr>
          <w:b/>
          <w:sz w:val="20"/>
        </w:rPr>
        <w:t>-</w:t>
      </w:r>
      <w:r>
        <w:rPr>
          <w:b/>
          <w:spacing w:val="-4"/>
          <w:sz w:val="20"/>
        </w:rPr>
        <w:t xml:space="preserve"> </w:t>
      </w:r>
      <w:r>
        <w:rPr>
          <w:b/>
          <w:sz w:val="20"/>
        </w:rPr>
        <w:t>-</w:t>
      </w:r>
      <w:r>
        <w:rPr>
          <w:b/>
          <w:spacing w:val="-5"/>
          <w:sz w:val="20"/>
        </w:rPr>
        <w:t xml:space="preserve"> </w:t>
      </w:r>
      <w:r>
        <w:rPr>
          <w:b/>
          <w:sz w:val="20"/>
        </w:rPr>
        <w:t>-</w:t>
      </w:r>
      <w:r>
        <w:rPr>
          <w:b/>
          <w:spacing w:val="-5"/>
          <w:sz w:val="20"/>
        </w:rPr>
        <w:t xml:space="preserve"> </w:t>
      </w:r>
      <w:r>
        <w:rPr>
          <w:b/>
          <w:sz w:val="20"/>
        </w:rPr>
        <w:t>-</w:t>
      </w:r>
      <w:r>
        <w:rPr>
          <w:b/>
          <w:spacing w:val="-4"/>
          <w:sz w:val="20"/>
        </w:rPr>
        <w:t xml:space="preserve"> </w:t>
      </w:r>
      <w:r>
        <w:rPr>
          <w:b/>
          <w:sz w:val="20"/>
        </w:rPr>
        <w:t>-</w:t>
      </w:r>
      <w:r>
        <w:rPr>
          <w:b/>
          <w:spacing w:val="-5"/>
          <w:sz w:val="20"/>
        </w:rPr>
        <w:t xml:space="preserve"> </w:t>
      </w:r>
      <w:r>
        <w:rPr>
          <w:b/>
          <w:sz w:val="20"/>
        </w:rPr>
        <w:t>-</w:t>
      </w:r>
      <w:r>
        <w:rPr>
          <w:b/>
          <w:spacing w:val="-5"/>
          <w:sz w:val="20"/>
        </w:rPr>
        <w:t xml:space="preserve"> </w:t>
      </w:r>
      <w:r>
        <w:rPr>
          <w:b/>
          <w:sz w:val="20"/>
        </w:rPr>
        <w:t>-</w:t>
      </w:r>
      <w:r>
        <w:rPr>
          <w:b/>
          <w:spacing w:val="-4"/>
          <w:sz w:val="20"/>
        </w:rPr>
        <w:t xml:space="preserve"> </w:t>
      </w:r>
      <w:r>
        <w:rPr>
          <w:b/>
          <w:sz w:val="20"/>
        </w:rPr>
        <w:t>-</w:t>
      </w:r>
      <w:r>
        <w:rPr>
          <w:b/>
          <w:spacing w:val="-5"/>
          <w:sz w:val="20"/>
        </w:rPr>
        <w:t xml:space="preserve"> </w:t>
      </w:r>
      <w:r>
        <w:rPr>
          <w:b/>
          <w:sz w:val="20"/>
        </w:rPr>
        <w:t>-</w:t>
      </w:r>
      <w:r>
        <w:rPr>
          <w:b/>
          <w:spacing w:val="-5"/>
          <w:sz w:val="20"/>
        </w:rPr>
        <w:t xml:space="preserve"> </w:t>
      </w:r>
      <w:r>
        <w:rPr>
          <w:b/>
          <w:sz w:val="20"/>
        </w:rPr>
        <w:t>-</w:t>
      </w:r>
      <w:r>
        <w:rPr>
          <w:b/>
          <w:spacing w:val="-4"/>
          <w:sz w:val="20"/>
        </w:rPr>
        <w:t xml:space="preserve"> </w:t>
      </w:r>
      <w:r>
        <w:rPr>
          <w:b/>
          <w:sz w:val="20"/>
        </w:rPr>
        <w:t>-</w:t>
      </w:r>
      <w:r>
        <w:rPr>
          <w:b/>
          <w:spacing w:val="-7"/>
          <w:sz w:val="20"/>
        </w:rPr>
        <w:t xml:space="preserve"> </w:t>
      </w:r>
      <w:r>
        <w:rPr>
          <w:b/>
          <w:sz w:val="20"/>
        </w:rPr>
        <w:t>-</w:t>
      </w:r>
      <w:r>
        <w:rPr>
          <w:b/>
          <w:spacing w:val="-4"/>
          <w:sz w:val="20"/>
        </w:rPr>
        <w:t xml:space="preserve"> </w:t>
      </w:r>
      <w:r>
        <w:rPr>
          <w:b/>
          <w:sz w:val="20"/>
        </w:rPr>
        <w:t>-</w:t>
      </w:r>
      <w:r>
        <w:rPr>
          <w:b/>
          <w:spacing w:val="-5"/>
          <w:sz w:val="20"/>
        </w:rPr>
        <w:t xml:space="preserve"> </w:t>
      </w:r>
      <w:r>
        <w:rPr>
          <w:b/>
          <w:sz w:val="20"/>
        </w:rPr>
        <w:t>-</w:t>
      </w:r>
      <w:r>
        <w:rPr>
          <w:b/>
          <w:spacing w:val="-5"/>
          <w:sz w:val="20"/>
        </w:rPr>
        <w:t xml:space="preserve"> </w:t>
      </w:r>
      <w:r>
        <w:rPr>
          <w:b/>
          <w:sz w:val="20"/>
        </w:rPr>
        <w:t>-</w:t>
      </w:r>
      <w:r>
        <w:rPr>
          <w:b/>
          <w:spacing w:val="-6"/>
          <w:sz w:val="20"/>
        </w:rPr>
        <w:t xml:space="preserve"> </w:t>
      </w:r>
      <w:r>
        <w:rPr>
          <w:b/>
          <w:sz w:val="20"/>
        </w:rPr>
        <w:t>-</w:t>
      </w:r>
      <w:r>
        <w:rPr>
          <w:b/>
          <w:spacing w:val="-5"/>
          <w:sz w:val="20"/>
        </w:rPr>
        <w:t xml:space="preserve"> </w:t>
      </w:r>
      <w:r>
        <w:rPr>
          <w:b/>
          <w:sz w:val="20"/>
        </w:rPr>
        <w:t>-</w:t>
      </w:r>
      <w:r>
        <w:rPr>
          <w:b/>
          <w:spacing w:val="-5"/>
          <w:sz w:val="20"/>
        </w:rPr>
        <w:t xml:space="preserve"> </w:t>
      </w:r>
      <w:r>
        <w:rPr>
          <w:b/>
          <w:sz w:val="20"/>
        </w:rPr>
        <w:t>-</w:t>
      </w:r>
      <w:r>
        <w:rPr>
          <w:b/>
          <w:spacing w:val="-4"/>
          <w:sz w:val="20"/>
        </w:rPr>
        <w:t xml:space="preserve"> </w:t>
      </w:r>
      <w:r>
        <w:rPr>
          <w:b/>
          <w:sz w:val="20"/>
        </w:rPr>
        <w:t>-</w:t>
      </w:r>
      <w:r>
        <w:rPr>
          <w:b/>
          <w:spacing w:val="-5"/>
          <w:sz w:val="20"/>
        </w:rPr>
        <w:t xml:space="preserve"> </w:t>
      </w:r>
      <w:r>
        <w:rPr>
          <w:b/>
          <w:sz w:val="20"/>
        </w:rPr>
        <w:t>-</w:t>
      </w:r>
      <w:r>
        <w:rPr>
          <w:b/>
          <w:spacing w:val="-5"/>
          <w:sz w:val="20"/>
        </w:rPr>
        <w:t xml:space="preserve"> </w:t>
      </w:r>
      <w:r>
        <w:rPr>
          <w:b/>
          <w:sz w:val="20"/>
        </w:rPr>
        <w:t>-</w:t>
      </w:r>
      <w:r>
        <w:rPr>
          <w:b/>
          <w:spacing w:val="-4"/>
          <w:sz w:val="20"/>
        </w:rPr>
        <w:t xml:space="preserve"> </w:t>
      </w:r>
      <w:r>
        <w:rPr>
          <w:b/>
          <w:sz w:val="20"/>
        </w:rPr>
        <w:t>-</w:t>
      </w:r>
      <w:r>
        <w:rPr>
          <w:b/>
          <w:spacing w:val="-5"/>
          <w:sz w:val="20"/>
        </w:rPr>
        <w:t xml:space="preserve"> </w:t>
      </w:r>
      <w:r>
        <w:rPr>
          <w:b/>
          <w:sz w:val="20"/>
        </w:rPr>
        <w:t>-</w:t>
      </w:r>
      <w:r>
        <w:rPr>
          <w:b/>
          <w:spacing w:val="-5"/>
          <w:sz w:val="20"/>
        </w:rPr>
        <w:t xml:space="preserve"> </w:t>
      </w:r>
      <w:r>
        <w:rPr>
          <w:b/>
          <w:sz w:val="20"/>
        </w:rPr>
        <w:t>-</w:t>
      </w:r>
      <w:r>
        <w:rPr>
          <w:b/>
          <w:spacing w:val="-4"/>
          <w:sz w:val="20"/>
        </w:rPr>
        <w:t xml:space="preserve"> </w:t>
      </w:r>
      <w:r>
        <w:rPr>
          <w:b/>
          <w:sz w:val="20"/>
        </w:rPr>
        <w:t>-</w:t>
      </w:r>
      <w:r>
        <w:rPr>
          <w:b/>
          <w:spacing w:val="-5"/>
          <w:sz w:val="20"/>
        </w:rPr>
        <w:t xml:space="preserve"> </w:t>
      </w:r>
      <w:r>
        <w:rPr>
          <w:b/>
          <w:sz w:val="20"/>
        </w:rPr>
        <w:t>-</w:t>
      </w:r>
      <w:r>
        <w:rPr>
          <w:b/>
          <w:spacing w:val="-5"/>
          <w:sz w:val="20"/>
        </w:rPr>
        <w:t xml:space="preserve"> </w:t>
      </w:r>
      <w:r>
        <w:rPr>
          <w:b/>
          <w:sz w:val="20"/>
        </w:rPr>
        <w:t>-</w:t>
      </w:r>
      <w:r>
        <w:rPr>
          <w:b/>
          <w:spacing w:val="-4"/>
          <w:sz w:val="20"/>
        </w:rPr>
        <w:t xml:space="preserve"> </w:t>
      </w:r>
      <w:r>
        <w:rPr>
          <w:b/>
          <w:sz w:val="20"/>
        </w:rPr>
        <w:t>-</w:t>
      </w:r>
      <w:r>
        <w:rPr>
          <w:b/>
          <w:spacing w:val="-5"/>
          <w:sz w:val="20"/>
        </w:rPr>
        <w:t xml:space="preserve"> </w:t>
      </w:r>
      <w:r>
        <w:rPr>
          <w:b/>
          <w:sz w:val="20"/>
        </w:rPr>
        <w:t>-</w:t>
      </w:r>
      <w:r>
        <w:rPr>
          <w:b/>
          <w:spacing w:val="-5"/>
          <w:sz w:val="20"/>
        </w:rPr>
        <w:t xml:space="preserve"> </w:t>
      </w:r>
      <w:r>
        <w:rPr>
          <w:b/>
          <w:sz w:val="20"/>
        </w:rPr>
        <w:t>-</w:t>
      </w:r>
      <w:r>
        <w:rPr>
          <w:b/>
          <w:spacing w:val="-4"/>
          <w:sz w:val="20"/>
        </w:rPr>
        <w:t xml:space="preserve"> </w:t>
      </w:r>
      <w:r>
        <w:rPr>
          <w:b/>
          <w:sz w:val="20"/>
        </w:rPr>
        <w:t>-</w:t>
      </w:r>
      <w:r>
        <w:rPr>
          <w:b/>
          <w:spacing w:val="-5"/>
          <w:sz w:val="20"/>
        </w:rPr>
        <w:t xml:space="preserve"> </w:t>
      </w:r>
      <w:r>
        <w:rPr>
          <w:b/>
          <w:sz w:val="20"/>
        </w:rPr>
        <w:t>-</w:t>
      </w:r>
      <w:r>
        <w:rPr>
          <w:b/>
          <w:spacing w:val="-5"/>
          <w:sz w:val="20"/>
        </w:rPr>
        <w:t xml:space="preserve"> </w:t>
      </w:r>
      <w:r>
        <w:rPr>
          <w:b/>
          <w:sz w:val="20"/>
        </w:rPr>
        <w:t>-</w:t>
      </w:r>
      <w:r>
        <w:rPr>
          <w:b/>
          <w:spacing w:val="-6"/>
          <w:sz w:val="20"/>
        </w:rPr>
        <w:t xml:space="preserve"> </w:t>
      </w:r>
      <w:r>
        <w:rPr>
          <w:b/>
          <w:sz w:val="20"/>
        </w:rPr>
        <w:t>-</w:t>
      </w:r>
      <w:r>
        <w:rPr>
          <w:b/>
          <w:spacing w:val="-5"/>
          <w:sz w:val="20"/>
        </w:rPr>
        <w:t xml:space="preserve"> </w:t>
      </w:r>
      <w:r>
        <w:rPr>
          <w:b/>
          <w:sz w:val="20"/>
        </w:rPr>
        <w:t>-</w:t>
      </w:r>
      <w:r>
        <w:rPr>
          <w:b/>
          <w:spacing w:val="-4"/>
          <w:sz w:val="20"/>
        </w:rPr>
        <w:t xml:space="preserve"> </w:t>
      </w:r>
      <w:r>
        <w:rPr>
          <w:b/>
          <w:sz w:val="20"/>
        </w:rPr>
        <w:t>-</w:t>
      </w:r>
      <w:r>
        <w:rPr>
          <w:b/>
          <w:spacing w:val="-6"/>
          <w:sz w:val="20"/>
        </w:rPr>
        <w:t xml:space="preserve"> </w:t>
      </w:r>
      <w:r>
        <w:rPr>
          <w:b/>
          <w:sz w:val="20"/>
        </w:rPr>
        <w:t>-</w:t>
      </w:r>
      <w:r>
        <w:rPr>
          <w:b/>
          <w:spacing w:val="-5"/>
          <w:sz w:val="20"/>
        </w:rPr>
        <w:t xml:space="preserve"> </w:t>
      </w:r>
      <w:r>
        <w:rPr>
          <w:b/>
          <w:spacing w:val="-10"/>
          <w:sz w:val="20"/>
        </w:rPr>
        <w:t>-</w:t>
      </w:r>
    </w:p>
    <w:p w:rsidR="007259F2" w:rsidRDefault="00E655B4">
      <w:pPr>
        <w:spacing w:before="229"/>
        <w:ind w:left="2978" w:right="551"/>
        <w:jc w:val="both"/>
        <w:rPr>
          <w:b/>
          <w:sz w:val="20"/>
        </w:rPr>
      </w:pPr>
      <w:r>
        <w:rPr>
          <w:sz w:val="20"/>
        </w:rPr>
        <w:t>(...) Extrai-se dos autos que a municipalidade ré, sem observar a necessidade de contraditório e sem respeito ao direito à ampla defesa do contribuinte, arbitrou a base de cálculo do ITBI e comunicou à impetrante a lavratura do respectivo auto</w:t>
      </w:r>
      <w:r>
        <w:rPr>
          <w:spacing w:val="40"/>
          <w:sz w:val="20"/>
        </w:rPr>
        <w:t xml:space="preserve"> </w:t>
      </w:r>
      <w:r>
        <w:rPr>
          <w:sz w:val="20"/>
        </w:rPr>
        <w:t>de infração e o dever de pagamento da diferença devida, apurada de forma unilateral</w:t>
      </w:r>
      <w:r>
        <w:rPr>
          <w:spacing w:val="-4"/>
          <w:sz w:val="20"/>
        </w:rPr>
        <w:t xml:space="preserve"> </w:t>
      </w:r>
      <w:r>
        <w:rPr>
          <w:sz w:val="20"/>
        </w:rPr>
        <w:t>pela</w:t>
      </w:r>
      <w:r>
        <w:rPr>
          <w:spacing w:val="-1"/>
          <w:sz w:val="20"/>
        </w:rPr>
        <w:t xml:space="preserve"> </w:t>
      </w:r>
      <w:r>
        <w:rPr>
          <w:sz w:val="20"/>
        </w:rPr>
        <w:t>Administração</w:t>
      </w:r>
      <w:r>
        <w:rPr>
          <w:spacing w:val="-1"/>
          <w:sz w:val="20"/>
        </w:rPr>
        <w:t xml:space="preserve"> </w:t>
      </w:r>
      <w:r>
        <w:rPr>
          <w:sz w:val="20"/>
        </w:rPr>
        <w:t>Municipal.</w:t>
      </w:r>
      <w:r>
        <w:rPr>
          <w:spacing w:val="-1"/>
          <w:sz w:val="20"/>
        </w:rPr>
        <w:t xml:space="preserve"> </w:t>
      </w:r>
      <w:r>
        <w:rPr>
          <w:sz w:val="20"/>
        </w:rPr>
        <w:t>Note-se</w:t>
      </w:r>
      <w:r>
        <w:rPr>
          <w:spacing w:val="-4"/>
          <w:sz w:val="20"/>
        </w:rPr>
        <w:t xml:space="preserve"> </w:t>
      </w:r>
      <w:r>
        <w:rPr>
          <w:sz w:val="20"/>
        </w:rPr>
        <w:t>que</w:t>
      </w:r>
      <w:r>
        <w:rPr>
          <w:spacing w:val="-2"/>
          <w:sz w:val="20"/>
        </w:rPr>
        <w:t xml:space="preserve"> </w:t>
      </w:r>
      <w:r>
        <w:rPr>
          <w:sz w:val="20"/>
        </w:rPr>
        <w:t>não</w:t>
      </w:r>
      <w:r>
        <w:rPr>
          <w:spacing w:val="-3"/>
          <w:sz w:val="20"/>
        </w:rPr>
        <w:t xml:space="preserve"> </w:t>
      </w:r>
      <w:r>
        <w:rPr>
          <w:sz w:val="20"/>
        </w:rPr>
        <w:t>se</w:t>
      </w:r>
      <w:r>
        <w:rPr>
          <w:spacing w:val="-2"/>
          <w:sz w:val="20"/>
        </w:rPr>
        <w:t xml:space="preserve"> </w:t>
      </w:r>
      <w:r>
        <w:rPr>
          <w:sz w:val="20"/>
        </w:rPr>
        <w:t>está</w:t>
      </w:r>
      <w:r>
        <w:rPr>
          <w:spacing w:val="-2"/>
          <w:sz w:val="20"/>
        </w:rPr>
        <w:t xml:space="preserve"> </w:t>
      </w:r>
      <w:r>
        <w:rPr>
          <w:sz w:val="20"/>
        </w:rPr>
        <w:t>negando</w:t>
      </w:r>
      <w:r>
        <w:rPr>
          <w:spacing w:val="-3"/>
          <w:sz w:val="20"/>
        </w:rPr>
        <w:t xml:space="preserve"> </w:t>
      </w:r>
      <w:r>
        <w:rPr>
          <w:sz w:val="20"/>
        </w:rPr>
        <w:t>ao</w:t>
      </w:r>
      <w:r>
        <w:rPr>
          <w:spacing w:val="-3"/>
          <w:sz w:val="20"/>
        </w:rPr>
        <w:t xml:space="preserve"> </w:t>
      </w:r>
      <w:r>
        <w:rPr>
          <w:sz w:val="20"/>
        </w:rPr>
        <w:t>Fisco a possibilidade de arbitramento de valor diverso daquele declarado pelo contribuinte quando este for notoriamente inferior ao valor de mercado praticado, exigindo-se eventual diferença a título de ITBI, por meio do exercício da competência que lhe é reconhecida pelo CTN. Entretanto, isso somente poderá ocorrer mediante a instauração de regular processo administrativo, no qual se observe</w:t>
      </w:r>
      <w:r>
        <w:rPr>
          <w:spacing w:val="-2"/>
          <w:sz w:val="20"/>
        </w:rPr>
        <w:t xml:space="preserve"> </w:t>
      </w:r>
      <w:r>
        <w:rPr>
          <w:sz w:val="20"/>
        </w:rPr>
        <w:t>o</w:t>
      </w:r>
      <w:r>
        <w:rPr>
          <w:spacing w:val="-4"/>
          <w:sz w:val="20"/>
        </w:rPr>
        <w:t xml:space="preserve"> </w:t>
      </w:r>
      <w:r>
        <w:rPr>
          <w:sz w:val="20"/>
        </w:rPr>
        <w:t>devido</w:t>
      </w:r>
      <w:r>
        <w:rPr>
          <w:spacing w:val="-4"/>
          <w:sz w:val="20"/>
        </w:rPr>
        <w:t xml:space="preserve"> </w:t>
      </w:r>
      <w:r>
        <w:rPr>
          <w:sz w:val="20"/>
        </w:rPr>
        <w:t>contraditório</w:t>
      </w:r>
      <w:r>
        <w:rPr>
          <w:spacing w:val="-3"/>
          <w:sz w:val="20"/>
        </w:rPr>
        <w:t xml:space="preserve"> </w:t>
      </w:r>
      <w:r>
        <w:rPr>
          <w:sz w:val="20"/>
        </w:rPr>
        <w:t>e</w:t>
      </w:r>
      <w:r>
        <w:rPr>
          <w:spacing w:val="-5"/>
          <w:sz w:val="20"/>
        </w:rPr>
        <w:t xml:space="preserve"> </w:t>
      </w:r>
      <w:r>
        <w:rPr>
          <w:sz w:val="20"/>
        </w:rPr>
        <w:t>a</w:t>
      </w:r>
      <w:r>
        <w:rPr>
          <w:spacing w:val="-5"/>
          <w:sz w:val="20"/>
        </w:rPr>
        <w:t xml:space="preserve"> </w:t>
      </w:r>
      <w:r>
        <w:rPr>
          <w:sz w:val="20"/>
        </w:rPr>
        <w:t>ampla</w:t>
      </w:r>
      <w:r>
        <w:rPr>
          <w:spacing w:val="-2"/>
          <w:sz w:val="20"/>
        </w:rPr>
        <w:t xml:space="preserve"> </w:t>
      </w:r>
      <w:r>
        <w:rPr>
          <w:sz w:val="20"/>
        </w:rPr>
        <w:t>defesa,</w:t>
      </w:r>
      <w:r>
        <w:rPr>
          <w:spacing w:val="-2"/>
          <w:sz w:val="20"/>
        </w:rPr>
        <w:t xml:space="preserve"> </w:t>
      </w:r>
      <w:r>
        <w:rPr>
          <w:sz w:val="20"/>
        </w:rPr>
        <w:t>nos</w:t>
      </w:r>
      <w:r>
        <w:rPr>
          <w:spacing w:val="-2"/>
          <w:sz w:val="20"/>
        </w:rPr>
        <w:t xml:space="preserve"> </w:t>
      </w:r>
      <w:r>
        <w:rPr>
          <w:sz w:val="20"/>
        </w:rPr>
        <w:t>termos do</w:t>
      </w:r>
      <w:r>
        <w:rPr>
          <w:spacing w:val="-1"/>
          <w:sz w:val="20"/>
        </w:rPr>
        <w:t xml:space="preserve"> </w:t>
      </w:r>
      <w:r>
        <w:rPr>
          <w:sz w:val="20"/>
        </w:rPr>
        <w:t>artigo</w:t>
      </w:r>
      <w:r>
        <w:rPr>
          <w:spacing w:val="-1"/>
          <w:sz w:val="20"/>
        </w:rPr>
        <w:t xml:space="preserve"> </w:t>
      </w:r>
      <w:r>
        <w:rPr>
          <w:sz w:val="20"/>
        </w:rPr>
        <w:t>148</w:t>
      </w:r>
      <w:r>
        <w:rPr>
          <w:spacing w:val="-1"/>
          <w:sz w:val="20"/>
        </w:rPr>
        <w:t xml:space="preserve"> </w:t>
      </w:r>
      <w:r>
        <w:rPr>
          <w:sz w:val="20"/>
        </w:rPr>
        <w:t>do</w:t>
      </w:r>
      <w:r>
        <w:rPr>
          <w:spacing w:val="-1"/>
          <w:sz w:val="20"/>
        </w:rPr>
        <w:t xml:space="preserve"> </w:t>
      </w:r>
      <w:r>
        <w:rPr>
          <w:sz w:val="20"/>
        </w:rPr>
        <w:t>CTN, o que não ocorreu no caso dos autos, onde tal valor foi arbitrado unilateralmente pelo Município réu, ainda que por meio de alegada avaliação individualizada do imóvel. (...) Portanto, mostra-se clara a ilegalidade do arbitramento praticado pelo Fisco nesse caso em exame, uma vez que a base de cálculo do ITBI não pode ser aferida unilateralmente, sem a observância de</w:t>
      </w:r>
      <w:r>
        <w:rPr>
          <w:spacing w:val="-2"/>
          <w:sz w:val="20"/>
        </w:rPr>
        <w:t xml:space="preserve"> </w:t>
      </w:r>
      <w:r>
        <w:rPr>
          <w:sz w:val="20"/>
        </w:rPr>
        <w:t xml:space="preserve">critérios, com absoluta subversão do disposto no artigo 148 do CTN, desrespeitando a boa-fé presumida do contribuinte e os princípios do contraditório e da ampla defesa. </w:t>
      </w:r>
      <w:r>
        <w:rPr>
          <w:b/>
          <w:sz w:val="20"/>
        </w:rPr>
        <w:t xml:space="preserve">(TJSP; Ação Anulatória 1057456-57.2022.8.26.0053; Relator (a): Ricardo Chimenti; Órgão Julgador: 18ª Câmara de Direito Público; Data do Julgamento: 28/09/2023). </w:t>
      </w:r>
      <w:r>
        <w:rPr>
          <w:b/>
          <w:sz w:val="20"/>
          <w:vertAlign w:val="superscript"/>
        </w:rPr>
        <w:t>26</w:t>
      </w:r>
    </w:p>
    <w:p w:rsidR="007259F2" w:rsidRDefault="00E655B4">
      <w:pPr>
        <w:pStyle w:val="Corpodetexto"/>
        <w:spacing w:before="200"/>
        <w:ind w:right="422"/>
      </w:pPr>
      <w:r>
        <w:t>Diante desse cenário, uma das possibilidades para evitar o problema elencado seria notificar</w:t>
      </w:r>
      <w:r>
        <w:rPr>
          <w:spacing w:val="-1"/>
        </w:rPr>
        <w:t xml:space="preserve"> </w:t>
      </w:r>
      <w:r>
        <w:t>o</w:t>
      </w:r>
      <w:r>
        <w:rPr>
          <w:spacing w:val="-14"/>
        </w:rPr>
        <w:t xml:space="preserve"> </w:t>
      </w:r>
      <w:r>
        <w:t>contribuinte</w:t>
      </w:r>
      <w:r>
        <w:rPr>
          <w:spacing w:val="-8"/>
        </w:rPr>
        <w:t xml:space="preserve"> </w:t>
      </w:r>
      <w:r>
        <w:t>sobre</w:t>
      </w:r>
      <w:r>
        <w:rPr>
          <w:spacing w:val="-11"/>
        </w:rPr>
        <w:t xml:space="preserve"> </w:t>
      </w:r>
      <w:r>
        <w:t>o</w:t>
      </w:r>
      <w:r>
        <w:rPr>
          <w:spacing w:val="-10"/>
        </w:rPr>
        <w:t xml:space="preserve"> </w:t>
      </w:r>
      <w:r>
        <w:t>laudo</w:t>
      </w:r>
      <w:r>
        <w:rPr>
          <w:spacing w:val="-10"/>
        </w:rPr>
        <w:t xml:space="preserve"> </w:t>
      </w:r>
      <w:r>
        <w:t>de</w:t>
      </w:r>
      <w:r>
        <w:rPr>
          <w:spacing w:val="-11"/>
        </w:rPr>
        <w:t xml:space="preserve"> </w:t>
      </w:r>
      <w:r>
        <w:t>avaliação elaborado</w:t>
      </w:r>
      <w:r>
        <w:rPr>
          <w:spacing w:val="-8"/>
        </w:rPr>
        <w:t xml:space="preserve"> </w:t>
      </w:r>
      <w:r>
        <w:t>pela</w:t>
      </w:r>
      <w:r>
        <w:rPr>
          <w:spacing w:val="-10"/>
        </w:rPr>
        <w:t xml:space="preserve"> </w:t>
      </w:r>
      <w:r>
        <w:t xml:space="preserve">administração fiscal antes de se efetuar a lavratura do auto de infração, ou seja, permitir que o contribuinte apresente um </w:t>
      </w:r>
      <w:r>
        <w:rPr>
          <w:spacing w:val="-2"/>
        </w:rPr>
        <w:t>contralaudo.</w:t>
      </w:r>
    </w:p>
    <w:p w:rsidR="007259F2" w:rsidRDefault="00E655B4">
      <w:pPr>
        <w:pStyle w:val="Corpodetexto"/>
        <w:ind w:right="422"/>
      </w:pPr>
      <w:r>
        <w:t>Por outro lado, talvez, de forma mais contundente, o Município de São Paulo poderia analisar a viabilidade de aplicação de multa tributária para os casos de declarações de</w:t>
      </w:r>
      <w:r>
        <w:rPr>
          <w:spacing w:val="-8"/>
        </w:rPr>
        <w:t xml:space="preserve"> </w:t>
      </w:r>
      <w:r>
        <w:t>compra e</w:t>
      </w:r>
      <w:r>
        <w:rPr>
          <w:spacing w:val="-11"/>
        </w:rPr>
        <w:t xml:space="preserve"> </w:t>
      </w:r>
      <w:r>
        <w:t>venda</w:t>
      </w:r>
      <w:r>
        <w:rPr>
          <w:spacing w:val="-10"/>
        </w:rPr>
        <w:t xml:space="preserve"> </w:t>
      </w:r>
      <w:r>
        <w:t>de</w:t>
      </w:r>
      <w:r>
        <w:rPr>
          <w:spacing w:val="-8"/>
        </w:rPr>
        <w:t xml:space="preserve"> </w:t>
      </w:r>
      <w:r>
        <w:t>imóveis</w:t>
      </w:r>
      <w:r>
        <w:rPr>
          <w:spacing w:val="-2"/>
        </w:rPr>
        <w:t xml:space="preserve"> </w:t>
      </w:r>
      <w:r>
        <w:t>cujos valores</w:t>
      </w:r>
      <w:r>
        <w:rPr>
          <w:spacing w:val="-4"/>
        </w:rPr>
        <w:t xml:space="preserve"> </w:t>
      </w:r>
      <w:r>
        <w:t>sejam</w:t>
      </w:r>
      <w:r>
        <w:rPr>
          <w:spacing w:val="-3"/>
        </w:rPr>
        <w:t xml:space="preserve"> </w:t>
      </w:r>
      <w:r>
        <w:t>muito</w:t>
      </w:r>
      <w:r>
        <w:rPr>
          <w:spacing w:val="-9"/>
        </w:rPr>
        <w:t xml:space="preserve"> </w:t>
      </w:r>
      <w:r>
        <w:t>aquém</w:t>
      </w:r>
      <w:r>
        <w:rPr>
          <w:spacing w:val="-2"/>
        </w:rPr>
        <w:t xml:space="preserve"> </w:t>
      </w:r>
      <w:r>
        <w:t>do</w:t>
      </w:r>
      <w:r>
        <w:rPr>
          <w:spacing w:val="-10"/>
        </w:rPr>
        <w:t xml:space="preserve"> </w:t>
      </w:r>
      <w:r>
        <w:t>piso mínimo do valor venal do IPTU, sabidamente defasado, ou, até mesmo, valor venal de referência, que seria utilizado</w:t>
      </w:r>
      <w:r>
        <w:rPr>
          <w:spacing w:val="40"/>
        </w:rPr>
        <w:t xml:space="preserve"> </w:t>
      </w:r>
      <w:r>
        <w:t>apenas como parâmetro, sem que tenha sido apresentado elementos probatórios que justifiquem tamanha discrepância entre tais preços.</w:t>
      </w:r>
    </w:p>
    <w:p w:rsidR="007259F2" w:rsidRDefault="00E655B4">
      <w:pPr>
        <w:pStyle w:val="Corpodetexto"/>
        <w:ind w:right="422"/>
      </w:pPr>
      <w:r>
        <w:t>Nessa hipótese, o contribuinte recolheria o ITBI com base no valor da transação, porém sujeita-se ao pagamento de multa tributária a depender do valor que tenha declarado, caso se verifique que o preço do imóvel está muito aquém do valor venal do IPTU ou valor venal</w:t>
      </w:r>
      <w:r>
        <w:rPr>
          <w:spacing w:val="-8"/>
        </w:rPr>
        <w:t xml:space="preserve"> </w:t>
      </w:r>
      <w:r>
        <w:t>de</w:t>
      </w:r>
      <w:r>
        <w:rPr>
          <w:spacing w:val="-10"/>
        </w:rPr>
        <w:t xml:space="preserve"> </w:t>
      </w:r>
      <w:r>
        <w:t>referência,</w:t>
      </w:r>
      <w:r>
        <w:rPr>
          <w:spacing w:val="-11"/>
        </w:rPr>
        <w:t xml:space="preserve"> </w:t>
      </w:r>
      <w:r>
        <w:t>sem</w:t>
      </w:r>
      <w:r>
        <w:rPr>
          <w:spacing w:val="-3"/>
        </w:rPr>
        <w:t xml:space="preserve"> </w:t>
      </w:r>
      <w:r>
        <w:t>aparente</w:t>
      </w:r>
      <w:r>
        <w:rPr>
          <w:spacing w:val="-12"/>
        </w:rPr>
        <w:t xml:space="preserve"> </w:t>
      </w:r>
      <w:r>
        <w:t>motivo,</w:t>
      </w:r>
      <w:r>
        <w:rPr>
          <w:spacing w:val="-3"/>
        </w:rPr>
        <w:t xml:space="preserve"> </w:t>
      </w:r>
      <w:r>
        <w:t>e,</w:t>
      </w:r>
      <w:r>
        <w:rPr>
          <w:spacing w:val="-6"/>
        </w:rPr>
        <w:t xml:space="preserve"> </w:t>
      </w:r>
      <w:r>
        <w:t>ainda,</w:t>
      </w:r>
      <w:r>
        <w:rPr>
          <w:spacing w:val="-6"/>
        </w:rPr>
        <w:t xml:space="preserve"> </w:t>
      </w:r>
      <w:r>
        <w:t>poderá</w:t>
      </w:r>
      <w:r>
        <w:rPr>
          <w:spacing w:val="-13"/>
        </w:rPr>
        <w:t xml:space="preserve"> </w:t>
      </w:r>
      <w:r>
        <w:t>ser</w:t>
      </w:r>
      <w:r>
        <w:rPr>
          <w:spacing w:val="5"/>
        </w:rPr>
        <w:t xml:space="preserve"> </w:t>
      </w:r>
      <w:r>
        <w:t>notificado</w:t>
      </w:r>
      <w:r>
        <w:rPr>
          <w:spacing w:val="8"/>
        </w:rPr>
        <w:t xml:space="preserve"> </w:t>
      </w:r>
      <w:r>
        <w:t>acerca</w:t>
      </w:r>
      <w:r>
        <w:rPr>
          <w:spacing w:val="7"/>
        </w:rPr>
        <w:t xml:space="preserve"> </w:t>
      </w:r>
      <w:r>
        <w:t>do</w:t>
      </w:r>
      <w:r>
        <w:rPr>
          <w:spacing w:val="5"/>
        </w:rPr>
        <w:t xml:space="preserve"> </w:t>
      </w:r>
      <w:r>
        <w:rPr>
          <w:spacing w:val="-2"/>
        </w:rPr>
        <w:t>lançamento</w:t>
      </w:r>
    </w:p>
    <w:p w:rsidR="007259F2" w:rsidRDefault="00DE6B1C">
      <w:pPr>
        <w:pStyle w:val="Corpodetexto"/>
        <w:spacing w:before="11"/>
        <w:ind w:left="0" w:firstLine="0"/>
        <w:jc w:val="left"/>
        <w:rPr>
          <w:sz w:val="14"/>
        </w:rPr>
      </w:pPr>
      <w:r w:rsidRPr="00DE6B1C">
        <w:rPr>
          <w:sz w:val="14"/>
        </w:rPr>
        <w:pict>
          <v:rect id="docshape130" o:spid="_x0000_s1097" style="position:absolute;margin-left:85.1pt;margin-top:9.8pt;width:2in;height:.7pt;z-index:-15672320;mso-wrap-distance-left:0;mso-wrap-distance-right:0;mso-position-horizontal-relative:page" fillcolor="black" stroked="f">
            <w10:wrap type="topAndBottom" anchorx="page"/>
          </v:rect>
        </w:pict>
      </w:r>
    </w:p>
    <w:p w:rsidR="007259F2" w:rsidRDefault="00E655B4">
      <w:pPr>
        <w:spacing w:before="96"/>
        <w:ind w:left="710" w:right="419"/>
        <w:jc w:val="both"/>
        <w:rPr>
          <w:sz w:val="20"/>
        </w:rPr>
      </w:pPr>
      <w:r>
        <w:rPr>
          <w:sz w:val="20"/>
          <w:vertAlign w:val="superscript"/>
        </w:rPr>
        <w:t>25</w:t>
      </w:r>
      <w:r>
        <w:rPr>
          <w:sz w:val="20"/>
        </w:rPr>
        <w:t xml:space="preserve"> Ementa: Apelação Cível</w:t>
      </w:r>
      <w:r>
        <w:rPr>
          <w:spacing w:val="40"/>
          <w:sz w:val="20"/>
        </w:rPr>
        <w:t xml:space="preserve"> </w:t>
      </w:r>
      <w:r>
        <w:rPr>
          <w:sz w:val="20"/>
        </w:rPr>
        <w:t>- Ação Anulatória de Débito Fiscal – ITBI - Auto de Infração - Instauração de processo administrativo de arbitramento do valor do bem, para fins de cobrança de eventual diferença entre o tributo pago e o devido, nos termos do art. 148 do CTN e do art. 24 da Lei Municipal nº 11.154/91 - Comprovação do cerceamento de defesa do sujeito passivo - Ofensa dos princípios do contraditório e da ampla defesa - Anulação do processo administrativo e do Auto de Infração dele decorrente - Procedência da ação - Sentença mantida - Sucumbência recursal - Recurso da Municipalidade não provido.</w:t>
      </w:r>
    </w:p>
    <w:p w:rsidR="007259F2" w:rsidRDefault="00E655B4">
      <w:pPr>
        <w:ind w:left="710" w:right="422"/>
        <w:rPr>
          <w:sz w:val="20"/>
        </w:rPr>
      </w:pPr>
      <w:r>
        <w:rPr>
          <w:sz w:val="20"/>
          <w:vertAlign w:val="superscript"/>
        </w:rPr>
        <w:t>26</w:t>
      </w:r>
      <w:r>
        <w:rPr>
          <w:sz w:val="20"/>
        </w:rPr>
        <w:t xml:space="preserve"> Ementa: Ação Anulatória de</w:t>
      </w:r>
      <w:r>
        <w:rPr>
          <w:spacing w:val="-2"/>
          <w:sz w:val="20"/>
        </w:rPr>
        <w:t xml:space="preserve"> </w:t>
      </w:r>
      <w:r>
        <w:rPr>
          <w:sz w:val="20"/>
        </w:rPr>
        <w:t>Auto</w:t>
      </w:r>
      <w:r>
        <w:rPr>
          <w:spacing w:val="-2"/>
          <w:sz w:val="20"/>
        </w:rPr>
        <w:t xml:space="preserve"> </w:t>
      </w:r>
      <w:r>
        <w:rPr>
          <w:sz w:val="20"/>
        </w:rPr>
        <w:t>de Infração - AIIM</w:t>
      </w:r>
      <w:r>
        <w:rPr>
          <w:spacing w:val="-8"/>
          <w:sz w:val="20"/>
        </w:rPr>
        <w:t xml:space="preserve"> </w:t>
      </w:r>
      <w:r>
        <w:rPr>
          <w:sz w:val="20"/>
        </w:rPr>
        <w:t>n.</w:t>
      </w:r>
      <w:r>
        <w:rPr>
          <w:spacing w:val="-2"/>
          <w:sz w:val="20"/>
        </w:rPr>
        <w:t xml:space="preserve"> </w:t>
      </w:r>
      <w:r>
        <w:rPr>
          <w:sz w:val="20"/>
        </w:rPr>
        <w:t>090.044.173-9 -</w:t>
      </w:r>
      <w:r>
        <w:rPr>
          <w:spacing w:val="-2"/>
          <w:sz w:val="20"/>
        </w:rPr>
        <w:t xml:space="preserve"> </w:t>
      </w:r>
      <w:r>
        <w:rPr>
          <w:sz w:val="20"/>
        </w:rPr>
        <w:t>Contribuinte 013.050.0017-1</w:t>
      </w:r>
      <w:r>
        <w:rPr>
          <w:spacing w:val="-12"/>
          <w:sz w:val="20"/>
        </w:rPr>
        <w:t xml:space="preserve"> </w:t>
      </w:r>
      <w:r>
        <w:rPr>
          <w:sz w:val="20"/>
        </w:rPr>
        <w:t>- Matrícula</w:t>
      </w:r>
      <w:r>
        <w:rPr>
          <w:spacing w:val="-2"/>
          <w:sz w:val="20"/>
        </w:rPr>
        <w:t xml:space="preserve"> </w:t>
      </w:r>
      <w:r>
        <w:rPr>
          <w:sz w:val="20"/>
        </w:rPr>
        <w:t>Imobiliária 79.305</w:t>
      </w:r>
      <w:r>
        <w:rPr>
          <w:spacing w:val="-3"/>
          <w:sz w:val="20"/>
        </w:rPr>
        <w:t xml:space="preserve"> </w:t>
      </w:r>
      <w:r>
        <w:rPr>
          <w:sz w:val="20"/>
        </w:rPr>
        <w:t>do</w:t>
      </w:r>
      <w:r>
        <w:rPr>
          <w:spacing w:val="-2"/>
          <w:sz w:val="20"/>
        </w:rPr>
        <w:t xml:space="preserve"> </w:t>
      </w:r>
      <w:r>
        <w:rPr>
          <w:sz w:val="20"/>
        </w:rPr>
        <w:t>13º CRI da</w:t>
      </w:r>
      <w:r>
        <w:rPr>
          <w:spacing w:val="-3"/>
          <w:sz w:val="20"/>
        </w:rPr>
        <w:t xml:space="preserve"> </w:t>
      </w:r>
      <w:r>
        <w:rPr>
          <w:sz w:val="20"/>
        </w:rPr>
        <w:t>Capital -</w:t>
      </w:r>
      <w:r>
        <w:rPr>
          <w:spacing w:val="-2"/>
          <w:sz w:val="20"/>
        </w:rPr>
        <w:t xml:space="preserve"> </w:t>
      </w:r>
      <w:r>
        <w:rPr>
          <w:sz w:val="20"/>
        </w:rPr>
        <w:t>Lançamento complementar de</w:t>
      </w:r>
      <w:r>
        <w:rPr>
          <w:spacing w:val="-3"/>
          <w:sz w:val="20"/>
        </w:rPr>
        <w:t xml:space="preserve"> </w:t>
      </w:r>
      <w:r>
        <w:rPr>
          <w:sz w:val="20"/>
        </w:rPr>
        <w:t>ITBI - Alegação de ofensa</w:t>
      </w:r>
      <w:r>
        <w:rPr>
          <w:spacing w:val="-7"/>
          <w:sz w:val="20"/>
        </w:rPr>
        <w:t xml:space="preserve"> </w:t>
      </w:r>
      <w:r>
        <w:rPr>
          <w:sz w:val="20"/>
        </w:rPr>
        <w:t>à coisa</w:t>
      </w:r>
      <w:r>
        <w:rPr>
          <w:spacing w:val="-3"/>
          <w:sz w:val="20"/>
        </w:rPr>
        <w:t xml:space="preserve"> </w:t>
      </w:r>
      <w:r>
        <w:rPr>
          <w:sz w:val="20"/>
        </w:rPr>
        <w:t>julgada</w:t>
      </w:r>
      <w:r>
        <w:rPr>
          <w:spacing w:val="-2"/>
          <w:sz w:val="20"/>
        </w:rPr>
        <w:t xml:space="preserve"> </w:t>
      </w:r>
      <w:r>
        <w:rPr>
          <w:sz w:val="20"/>
        </w:rPr>
        <w:t>e,</w:t>
      </w:r>
      <w:r>
        <w:rPr>
          <w:spacing w:val="-2"/>
          <w:sz w:val="20"/>
        </w:rPr>
        <w:t xml:space="preserve"> </w:t>
      </w:r>
      <w:r>
        <w:rPr>
          <w:sz w:val="20"/>
        </w:rPr>
        <w:t>subsidiariamente,</w:t>
      </w:r>
      <w:r>
        <w:rPr>
          <w:spacing w:val="-1"/>
          <w:sz w:val="20"/>
        </w:rPr>
        <w:t xml:space="preserve"> </w:t>
      </w:r>
      <w:r>
        <w:rPr>
          <w:sz w:val="20"/>
        </w:rPr>
        <w:t>de</w:t>
      </w:r>
      <w:r>
        <w:rPr>
          <w:spacing w:val="-3"/>
          <w:sz w:val="20"/>
        </w:rPr>
        <w:t xml:space="preserve"> </w:t>
      </w:r>
      <w:r>
        <w:rPr>
          <w:sz w:val="20"/>
        </w:rPr>
        <w:t>não</w:t>
      </w:r>
      <w:r>
        <w:rPr>
          <w:spacing w:val="-2"/>
          <w:sz w:val="20"/>
        </w:rPr>
        <w:t xml:space="preserve"> </w:t>
      </w:r>
      <w:r>
        <w:rPr>
          <w:sz w:val="20"/>
        </w:rPr>
        <w:t>observância</w:t>
      </w:r>
      <w:r>
        <w:rPr>
          <w:spacing w:val="-2"/>
          <w:sz w:val="20"/>
        </w:rPr>
        <w:t xml:space="preserve"> </w:t>
      </w:r>
      <w:r>
        <w:rPr>
          <w:sz w:val="20"/>
        </w:rPr>
        <w:t>do</w:t>
      </w:r>
      <w:r>
        <w:rPr>
          <w:spacing w:val="-2"/>
          <w:sz w:val="20"/>
        </w:rPr>
        <w:t xml:space="preserve"> </w:t>
      </w:r>
      <w:r>
        <w:rPr>
          <w:sz w:val="20"/>
        </w:rPr>
        <w:t>necessário</w:t>
      </w:r>
      <w:r>
        <w:rPr>
          <w:spacing w:val="-2"/>
          <w:sz w:val="20"/>
        </w:rPr>
        <w:t xml:space="preserve"> </w:t>
      </w:r>
      <w:r>
        <w:rPr>
          <w:sz w:val="20"/>
        </w:rPr>
        <w:t>contraditório</w:t>
      </w:r>
      <w:r>
        <w:rPr>
          <w:spacing w:val="-2"/>
          <w:sz w:val="20"/>
        </w:rPr>
        <w:t xml:space="preserve"> </w:t>
      </w:r>
      <w:r>
        <w:rPr>
          <w:sz w:val="20"/>
        </w:rPr>
        <w:t>no</w:t>
      </w:r>
      <w:r>
        <w:rPr>
          <w:spacing w:val="-2"/>
          <w:sz w:val="20"/>
        </w:rPr>
        <w:t xml:space="preserve"> </w:t>
      </w:r>
      <w:r>
        <w:rPr>
          <w:sz w:val="20"/>
        </w:rPr>
        <w:t>processo administrativo que gerou</w:t>
      </w:r>
      <w:r>
        <w:rPr>
          <w:spacing w:val="40"/>
          <w:sz w:val="20"/>
        </w:rPr>
        <w:t xml:space="preserve"> </w:t>
      </w:r>
      <w:r>
        <w:rPr>
          <w:sz w:val="20"/>
        </w:rPr>
        <w:t>o</w:t>
      </w:r>
      <w:r>
        <w:rPr>
          <w:spacing w:val="40"/>
          <w:sz w:val="20"/>
        </w:rPr>
        <w:t xml:space="preserve"> </w:t>
      </w:r>
      <w:r>
        <w:rPr>
          <w:sz w:val="20"/>
        </w:rPr>
        <w:t>lançamento</w:t>
      </w:r>
      <w:r>
        <w:rPr>
          <w:spacing w:val="40"/>
          <w:sz w:val="20"/>
        </w:rPr>
        <w:t xml:space="preserve"> </w:t>
      </w:r>
      <w:r>
        <w:rPr>
          <w:sz w:val="20"/>
        </w:rPr>
        <w:t>complementar</w:t>
      </w:r>
      <w:r>
        <w:rPr>
          <w:spacing w:val="40"/>
          <w:sz w:val="20"/>
        </w:rPr>
        <w:t xml:space="preserve"> </w:t>
      </w:r>
      <w:r>
        <w:rPr>
          <w:sz w:val="20"/>
        </w:rPr>
        <w:t>-</w:t>
      </w:r>
      <w:r>
        <w:rPr>
          <w:spacing w:val="40"/>
          <w:sz w:val="20"/>
        </w:rPr>
        <w:t xml:space="preserve"> </w:t>
      </w:r>
      <w:r>
        <w:rPr>
          <w:sz w:val="20"/>
        </w:rPr>
        <w:t>Sentença</w:t>
      </w:r>
      <w:r>
        <w:rPr>
          <w:spacing w:val="40"/>
          <w:sz w:val="20"/>
        </w:rPr>
        <w:t xml:space="preserve"> </w:t>
      </w:r>
      <w:r>
        <w:rPr>
          <w:sz w:val="20"/>
        </w:rPr>
        <w:t>que</w:t>
      </w:r>
      <w:r>
        <w:rPr>
          <w:spacing w:val="40"/>
          <w:sz w:val="20"/>
        </w:rPr>
        <w:t xml:space="preserve"> </w:t>
      </w:r>
      <w:r>
        <w:rPr>
          <w:sz w:val="20"/>
        </w:rPr>
        <w:t>julgou</w:t>
      </w:r>
      <w:r>
        <w:rPr>
          <w:spacing w:val="40"/>
          <w:sz w:val="20"/>
        </w:rPr>
        <w:t xml:space="preserve"> </w:t>
      </w:r>
      <w:r>
        <w:rPr>
          <w:sz w:val="20"/>
        </w:rPr>
        <w:t>improcedente</w:t>
      </w:r>
      <w:r>
        <w:rPr>
          <w:spacing w:val="40"/>
          <w:sz w:val="20"/>
        </w:rPr>
        <w:t xml:space="preserve"> </w:t>
      </w:r>
      <w:r>
        <w:rPr>
          <w:sz w:val="20"/>
        </w:rPr>
        <w:t>o</w:t>
      </w:r>
      <w:r>
        <w:rPr>
          <w:spacing w:val="40"/>
          <w:sz w:val="20"/>
        </w:rPr>
        <w:t xml:space="preserve"> </w:t>
      </w:r>
      <w:r>
        <w:rPr>
          <w:sz w:val="20"/>
        </w:rPr>
        <w:t>pedido</w:t>
      </w:r>
      <w:r>
        <w:rPr>
          <w:spacing w:val="40"/>
          <w:sz w:val="20"/>
        </w:rPr>
        <w:t xml:space="preserve"> </w:t>
      </w:r>
      <w:r>
        <w:rPr>
          <w:sz w:val="20"/>
        </w:rPr>
        <w:t>-</w:t>
      </w:r>
      <w:r>
        <w:rPr>
          <w:spacing w:val="40"/>
          <w:sz w:val="20"/>
        </w:rPr>
        <w:t xml:space="preserve"> </w:t>
      </w:r>
      <w:r>
        <w:rPr>
          <w:sz w:val="20"/>
        </w:rPr>
        <w:t>Pretensão</w:t>
      </w:r>
      <w:r>
        <w:rPr>
          <w:spacing w:val="35"/>
          <w:sz w:val="20"/>
        </w:rPr>
        <w:t xml:space="preserve"> </w:t>
      </w:r>
      <w:r>
        <w:rPr>
          <w:sz w:val="20"/>
        </w:rPr>
        <w:t>à</w:t>
      </w:r>
      <w:r>
        <w:rPr>
          <w:spacing w:val="38"/>
          <w:sz w:val="20"/>
        </w:rPr>
        <w:t xml:space="preserve"> </w:t>
      </w:r>
      <w:r>
        <w:rPr>
          <w:sz w:val="20"/>
        </w:rPr>
        <w:t>reforma</w:t>
      </w:r>
      <w:r>
        <w:rPr>
          <w:spacing w:val="39"/>
          <w:sz w:val="20"/>
        </w:rPr>
        <w:t xml:space="preserve"> </w:t>
      </w:r>
      <w:r>
        <w:rPr>
          <w:sz w:val="20"/>
        </w:rPr>
        <w:t>– Acolhimento - Processo administrativo para verificação de eventual discrepância entre o valor da transação do</w:t>
      </w:r>
      <w:r>
        <w:rPr>
          <w:spacing w:val="40"/>
          <w:sz w:val="20"/>
        </w:rPr>
        <w:t xml:space="preserve"> </w:t>
      </w:r>
      <w:r>
        <w:rPr>
          <w:sz w:val="20"/>
        </w:rPr>
        <w:t>imóvel declarado pelo contribuinte e o valor venal defendido como real pelo Fisco, para arbitramento da base de cálculo do tributo, no qual não foi resguardado o direito do contribuinte</w:t>
      </w:r>
      <w:r>
        <w:rPr>
          <w:spacing w:val="20"/>
          <w:sz w:val="20"/>
        </w:rPr>
        <w:t xml:space="preserve"> </w:t>
      </w:r>
      <w:r>
        <w:rPr>
          <w:sz w:val="20"/>
        </w:rPr>
        <w:t>ao contraditório e à ampla defesa, nos</w:t>
      </w:r>
      <w:r>
        <w:rPr>
          <w:spacing w:val="40"/>
          <w:sz w:val="20"/>
        </w:rPr>
        <w:t xml:space="preserve"> </w:t>
      </w:r>
      <w:r>
        <w:rPr>
          <w:sz w:val="20"/>
        </w:rPr>
        <w:t>termos do</w:t>
      </w:r>
      <w:r>
        <w:rPr>
          <w:spacing w:val="-1"/>
          <w:sz w:val="20"/>
        </w:rPr>
        <w:t xml:space="preserve"> </w:t>
      </w:r>
      <w:r>
        <w:rPr>
          <w:sz w:val="20"/>
        </w:rPr>
        <w:t>artigo</w:t>
      </w:r>
      <w:r>
        <w:rPr>
          <w:spacing w:val="-2"/>
          <w:sz w:val="20"/>
        </w:rPr>
        <w:t xml:space="preserve"> </w:t>
      </w:r>
      <w:r>
        <w:rPr>
          <w:sz w:val="20"/>
        </w:rPr>
        <w:t>148 do CTN -</w:t>
      </w:r>
      <w:r>
        <w:rPr>
          <w:spacing w:val="-2"/>
          <w:sz w:val="20"/>
        </w:rPr>
        <w:t xml:space="preserve"> </w:t>
      </w:r>
      <w:r>
        <w:rPr>
          <w:sz w:val="20"/>
        </w:rPr>
        <w:t>Sentença reformada - Recurso</w:t>
      </w:r>
      <w:r>
        <w:rPr>
          <w:spacing w:val="-1"/>
          <w:sz w:val="20"/>
        </w:rPr>
        <w:t xml:space="preserve"> </w:t>
      </w:r>
      <w:r>
        <w:rPr>
          <w:sz w:val="20"/>
        </w:rPr>
        <w:t>provido.</w:t>
      </w:r>
    </w:p>
    <w:p w:rsidR="007259F2" w:rsidRDefault="007259F2">
      <w:pPr>
        <w:rPr>
          <w:sz w:val="20"/>
        </w:rPr>
        <w:sectPr w:rsidR="007259F2">
          <w:pgSz w:w="11910" w:h="16840"/>
          <w:pgMar w:top="1600" w:right="708" w:bottom="1020" w:left="992" w:header="0" w:footer="820" w:gutter="0"/>
          <w:cols w:space="720"/>
        </w:sectPr>
      </w:pPr>
    </w:p>
    <w:p w:rsidR="007259F2" w:rsidRDefault="00E655B4">
      <w:pPr>
        <w:pStyle w:val="Corpodetexto"/>
        <w:spacing w:before="75"/>
        <w:ind w:firstLine="0"/>
      </w:pPr>
      <w:r>
        <w:lastRenderedPageBreak/>
        <w:t>complementar</w:t>
      </w:r>
      <w:r>
        <w:rPr>
          <w:spacing w:val="-3"/>
        </w:rPr>
        <w:t xml:space="preserve"> </w:t>
      </w:r>
      <w:r>
        <w:t>realizado</w:t>
      </w:r>
      <w:r>
        <w:rPr>
          <w:spacing w:val="-1"/>
        </w:rPr>
        <w:t xml:space="preserve"> </w:t>
      </w:r>
      <w:r>
        <w:t>pelo</w:t>
      </w:r>
      <w:r>
        <w:rPr>
          <w:spacing w:val="-1"/>
        </w:rPr>
        <w:t xml:space="preserve"> </w:t>
      </w:r>
      <w:r>
        <w:t>Fisco</w:t>
      </w:r>
      <w:r>
        <w:rPr>
          <w:spacing w:val="-1"/>
        </w:rPr>
        <w:t xml:space="preserve"> </w:t>
      </w:r>
      <w:r>
        <w:t>por</w:t>
      </w:r>
      <w:r>
        <w:rPr>
          <w:spacing w:val="-2"/>
        </w:rPr>
        <w:t xml:space="preserve"> </w:t>
      </w:r>
      <w:r>
        <w:t>meio</w:t>
      </w:r>
      <w:r>
        <w:rPr>
          <w:spacing w:val="-1"/>
        </w:rPr>
        <w:t xml:space="preserve"> </w:t>
      </w:r>
      <w:r>
        <w:t>do</w:t>
      </w:r>
      <w:r>
        <w:rPr>
          <w:spacing w:val="4"/>
        </w:rPr>
        <w:t xml:space="preserve"> </w:t>
      </w:r>
      <w:r>
        <w:rPr>
          <w:spacing w:val="-2"/>
        </w:rPr>
        <w:t>arbitramento.</w:t>
      </w:r>
    </w:p>
    <w:p w:rsidR="007259F2" w:rsidRDefault="00E655B4">
      <w:pPr>
        <w:pStyle w:val="Corpodetexto"/>
        <w:ind w:right="421"/>
      </w:pPr>
      <w:r>
        <w:t>A definição do percentual da multa a ser aplicada deve levar em consideração o princípio da razoabilidade, sem perder de vista, o caráter punitivo, ou seja, o objetivo</w:t>
      </w:r>
      <w:r>
        <w:rPr>
          <w:spacing w:val="40"/>
        </w:rPr>
        <w:t xml:space="preserve"> </w:t>
      </w:r>
      <w:r>
        <w:t>principal desta seria inibir comportamentos erráticos tendentes a evasão fiscal.</w:t>
      </w:r>
    </w:p>
    <w:p w:rsidR="007259F2" w:rsidRDefault="00E655B4">
      <w:pPr>
        <w:pStyle w:val="Corpodetexto"/>
        <w:ind w:right="423"/>
      </w:pPr>
      <w:r>
        <w:t>Em contrapartida, merece destaque, ainda, a controvérsia jurídica quanto à vinculação imediata da Administração Pública aos julgados que recebam a categorização de precedente, como é o caso do Tema 1.113 do STJ, nos termos dos artigos 926 e 927 do Código de Processo Civil.</w:t>
      </w:r>
    </w:p>
    <w:p w:rsidR="007259F2" w:rsidRDefault="00E655B4">
      <w:pPr>
        <w:pStyle w:val="Corpodetexto"/>
        <w:ind w:right="422"/>
      </w:pPr>
      <w:r>
        <w:t>Pelo texto da lei, o julgado vincula diretamente o Poder Judiciário, mas não a Administração Pública (em que pese haver vinculação de fato). Explica-se, a vinculação administrativa dos agentes públicos decorre única e diretamente da lei, por imposição de cláusula pétrea da Constituição Federal (art. 5º, inciso II). Sendo assim, se o agente público deixa de atuar em consonância com a lei para atuar com fundamento em precedente judicial vinculante, poderá, inclusive, responder administrativamente, civilmente, e até mesmo criminalmente, pelos atos praticados.</w:t>
      </w:r>
    </w:p>
    <w:p w:rsidR="007259F2" w:rsidRDefault="00E655B4">
      <w:pPr>
        <w:pStyle w:val="Corpodetexto"/>
        <w:spacing w:line="277" w:lineRule="exact"/>
        <w:ind w:left="1418" w:firstLine="0"/>
        <w:rPr>
          <w:position w:val="11"/>
          <w:sz w:val="16"/>
        </w:rPr>
      </w:pPr>
      <w:r>
        <w:t>Nesse</w:t>
      </w:r>
      <w:r>
        <w:rPr>
          <w:spacing w:val="-15"/>
        </w:rPr>
        <w:t xml:space="preserve"> </w:t>
      </w:r>
      <w:r>
        <w:t>sentido,</w:t>
      </w:r>
      <w:r>
        <w:rPr>
          <w:spacing w:val="-15"/>
        </w:rPr>
        <w:t xml:space="preserve"> </w:t>
      </w:r>
      <w:r>
        <w:t>explica</w:t>
      </w:r>
      <w:r>
        <w:rPr>
          <w:spacing w:val="-22"/>
        </w:rPr>
        <w:t xml:space="preserve"> </w:t>
      </w:r>
      <w:r>
        <w:t>Weber</w:t>
      </w:r>
      <w:r>
        <w:rPr>
          <w:spacing w:val="-8"/>
        </w:rPr>
        <w:t xml:space="preserve"> </w:t>
      </w:r>
      <w:r>
        <w:t>Luiz</w:t>
      </w:r>
      <w:r>
        <w:rPr>
          <w:spacing w:val="-10"/>
        </w:rPr>
        <w:t xml:space="preserve"> </w:t>
      </w:r>
      <w:r>
        <w:t>de</w:t>
      </w:r>
      <w:r>
        <w:rPr>
          <w:spacing w:val="-16"/>
        </w:rPr>
        <w:t xml:space="preserve"> </w:t>
      </w:r>
      <w:r>
        <w:rPr>
          <w:spacing w:val="-2"/>
        </w:rPr>
        <w:t>Oliveira</w:t>
      </w:r>
      <w:r>
        <w:rPr>
          <w:spacing w:val="-2"/>
          <w:sz w:val="20"/>
        </w:rPr>
        <w:t>:</w:t>
      </w:r>
      <w:r>
        <w:rPr>
          <w:spacing w:val="-2"/>
          <w:position w:val="11"/>
          <w:sz w:val="16"/>
        </w:rPr>
        <w:t>27</w:t>
      </w:r>
    </w:p>
    <w:p w:rsidR="007259F2" w:rsidRDefault="007259F2">
      <w:pPr>
        <w:pStyle w:val="Corpodetexto"/>
        <w:spacing w:before="26"/>
        <w:ind w:left="0" w:firstLine="0"/>
        <w:jc w:val="left"/>
      </w:pPr>
    </w:p>
    <w:p w:rsidR="007259F2" w:rsidRDefault="00E655B4">
      <w:pPr>
        <w:ind w:left="2978" w:right="549"/>
        <w:jc w:val="both"/>
        <w:rPr>
          <w:sz w:val="20"/>
        </w:rPr>
      </w:pPr>
      <w:r>
        <w:rPr>
          <w:sz w:val="20"/>
        </w:rPr>
        <w:t>O</w:t>
      </w:r>
      <w:r>
        <w:rPr>
          <w:spacing w:val="-2"/>
          <w:sz w:val="20"/>
        </w:rPr>
        <w:t xml:space="preserve"> </w:t>
      </w:r>
      <w:r>
        <w:rPr>
          <w:sz w:val="20"/>
        </w:rPr>
        <w:t>princípio</w:t>
      </w:r>
      <w:r>
        <w:rPr>
          <w:spacing w:val="-1"/>
          <w:sz w:val="20"/>
        </w:rPr>
        <w:t xml:space="preserve"> </w:t>
      </w:r>
      <w:r>
        <w:rPr>
          <w:sz w:val="20"/>
        </w:rPr>
        <w:t>da</w:t>
      </w:r>
      <w:r>
        <w:rPr>
          <w:spacing w:val="-4"/>
          <w:sz w:val="20"/>
        </w:rPr>
        <w:t xml:space="preserve"> </w:t>
      </w:r>
      <w:r>
        <w:rPr>
          <w:sz w:val="20"/>
        </w:rPr>
        <w:t>legalidade</w:t>
      </w:r>
      <w:r>
        <w:rPr>
          <w:spacing w:val="-2"/>
          <w:sz w:val="20"/>
        </w:rPr>
        <w:t xml:space="preserve"> </w:t>
      </w:r>
      <w:r>
        <w:rPr>
          <w:sz w:val="20"/>
        </w:rPr>
        <w:t>e</w:t>
      </w:r>
      <w:r>
        <w:rPr>
          <w:spacing w:val="-2"/>
          <w:sz w:val="20"/>
        </w:rPr>
        <w:t xml:space="preserve"> </w:t>
      </w:r>
      <w:r>
        <w:rPr>
          <w:sz w:val="20"/>
        </w:rPr>
        <w:t>sua</w:t>
      </w:r>
      <w:r>
        <w:rPr>
          <w:spacing w:val="-2"/>
          <w:sz w:val="20"/>
        </w:rPr>
        <w:t xml:space="preserve"> </w:t>
      </w:r>
      <w:r>
        <w:rPr>
          <w:sz w:val="20"/>
        </w:rPr>
        <w:t>adoção absoluta</w:t>
      </w:r>
      <w:r>
        <w:rPr>
          <w:spacing w:val="-2"/>
          <w:sz w:val="20"/>
        </w:rPr>
        <w:t xml:space="preserve"> </w:t>
      </w:r>
      <w:r>
        <w:rPr>
          <w:sz w:val="20"/>
        </w:rPr>
        <w:t>são</w:t>
      </w:r>
      <w:r>
        <w:rPr>
          <w:spacing w:val="-1"/>
          <w:sz w:val="20"/>
        </w:rPr>
        <w:t xml:space="preserve"> </w:t>
      </w:r>
      <w:r>
        <w:rPr>
          <w:sz w:val="20"/>
        </w:rPr>
        <w:t>limitadores</w:t>
      </w:r>
      <w:r>
        <w:rPr>
          <w:spacing w:val="-2"/>
          <w:sz w:val="20"/>
        </w:rPr>
        <w:t xml:space="preserve"> </w:t>
      </w:r>
      <w:r>
        <w:rPr>
          <w:sz w:val="20"/>
        </w:rPr>
        <w:t>iniciais</w:t>
      </w:r>
      <w:r>
        <w:rPr>
          <w:spacing w:val="-2"/>
          <w:sz w:val="20"/>
        </w:rPr>
        <w:t xml:space="preserve"> </w:t>
      </w:r>
      <w:r>
        <w:rPr>
          <w:sz w:val="20"/>
        </w:rPr>
        <w:t>à</w:t>
      </w:r>
      <w:r>
        <w:rPr>
          <w:spacing w:val="-2"/>
          <w:sz w:val="20"/>
        </w:rPr>
        <w:t xml:space="preserve"> </w:t>
      </w:r>
      <w:r>
        <w:rPr>
          <w:sz w:val="20"/>
        </w:rPr>
        <w:t>aplicação dos precedentes vinculantes no âmbito da Administração Pública (extrajudicialmente). (...) Os atos dos agentes públicos devem ser respaldados por lei, e não por precedentes. (...) Mesmo se o agente ou administrador público tiver ciência de precedentes vinculantes, e ainda que tais</w:t>
      </w:r>
      <w:r>
        <w:rPr>
          <w:spacing w:val="40"/>
          <w:sz w:val="20"/>
        </w:rPr>
        <w:t xml:space="preserve"> </w:t>
      </w:r>
      <w:r>
        <w:rPr>
          <w:sz w:val="20"/>
        </w:rPr>
        <w:t>precedentes</w:t>
      </w:r>
      <w:r>
        <w:rPr>
          <w:spacing w:val="40"/>
          <w:sz w:val="20"/>
        </w:rPr>
        <w:t xml:space="preserve"> </w:t>
      </w:r>
      <w:r>
        <w:rPr>
          <w:sz w:val="20"/>
        </w:rPr>
        <w:t>forem efetivamente</w:t>
      </w:r>
      <w:r>
        <w:rPr>
          <w:spacing w:val="40"/>
          <w:sz w:val="20"/>
        </w:rPr>
        <w:t xml:space="preserve"> </w:t>
      </w:r>
      <w:r>
        <w:rPr>
          <w:sz w:val="20"/>
        </w:rPr>
        <w:t>a</w:t>
      </w:r>
      <w:r>
        <w:rPr>
          <w:spacing w:val="40"/>
          <w:sz w:val="20"/>
        </w:rPr>
        <w:t xml:space="preserve"> </w:t>
      </w:r>
      <w:r>
        <w:rPr>
          <w:sz w:val="20"/>
        </w:rPr>
        <w:t>melhor</w:t>
      </w:r>
      <w:r>
        <w:rPr>
          <w:spacing w:val="40"/>
          <w:sz w:val="20"/>
        </w:rPr>
        <w:t xml:space="preserve"> </w:t>
      </w:r>
      <w:r>
        <w:rPr>
          <w:sz w:val="20"/>
        </w:rPr>
        <w:t>interpretação</w:t>
      </w:r>
      <w:r>
        <w:rPr>
          <w:spacing w:val="40"/>
          <w:sz w:val="20"/>
        </w:rPr>
        <w:t xml:space="preserve"> </w:t>
      </w:r>
      <w:r>
        <w:rPr>
          <w:sz w:val="20"/>
        </w:rPr>
        <w:t>do</w:t>
      </w:r>
      <w:r>
        <w:rPr>
          <w:spacing w:val="40"/>
          <w:sz w:val="20"/>
        </w:rPr>
        <w:t xml:space="preserve"> </w:t>
      </w:r>
      <w:r>
        <w:rPr>
          <w:sz w:val="20"/>
        </w:rPr>
        <w:t>direito aplicável ao caso concreto, o sistema jurídico brasileiro delimita e obriga a atuação da administração nos termos da lei, sob pena de responsabilidade civil, administrativa e criminal.</w:t>
      </w:r>
    </w:p>
    <w:p w:rsidR="007259F2" w:rsidRDefault="00E655B4">
      <w:pPr>
        <w:pStyle w:val="Corpodetexto"/>
        <w:spacing w:before="199"/>
        <w:ind w:right="573"/>
      </w:pPr>
      <w:r>
        <w:t>Importante frisar que não se está defendendo aqui a não aplicação, pela Administração, dos precedentes vinculantes no âmbito administrativo, apenas que se encontre</w:t>
      </w:r>
      <w:r>
        <w:rPr>
          <w:spacing w:val="-3"/>
        </w:rPr>
        <w:t xml:space="preserve"> </w:t>
      </w:r>
      <w:r>
        <w:t>um</w:t>
      </w:r>
      <w:r>
        <w:rPr>
          <w:spacing w:val="-1"/>
        </w:rPr>
        <w:t xml:space="preserve"> </w:t>
      </w:r>
      <w:r>
        <w:t>meio</w:t>
      </w:r>
      <w:r>
        <w:rPr>
          <w:spacing w:val="-1"/>
        </w:rPr>
        <w:t xml:space="preserve"> </w:t>
      </w:r>
      <w:r>
        <w:t>legítimo</w:t>
      </w:r>
      <w:r>
        <w:rPr>
          <w:spacing w:val="-1"/>
        </w:rPr>
        <w:t xml:space="preserve"> </w:t>
      </w:r>
      <w:r>
        <w:t>que observe</w:t>
      </w:r>
      <w:r>
        <w:rPr>
          <w:spacing w:val="-2"/>
        </w:rPr>
        <w:t xml:space="preserve"> </w:t>
      </w:r>
      <w:r>
        <w:t>o</w:t>
      </w:r>
      <w:r>
        <w:rPr>
          <w:spacing w:val="-1"/>
        </w:rPr>
        <w:t xml:space="preserve"> </w:t>
      </w:r>
      <w:r>
        <w:t>princípio</w:t>
      </w:r>
      <w:r>
        <w:rPr>
          <w:spacing w:val="-1"/>
        </w:rPr>
        <w:t xml:space="preserve"> </w:t>
      </w:r>
      <w:r>
        <w:t>da</w:t>
      </w:r>
      <w:r>
        <w:rPr>
          <w:spacing w:val="-2"/>
        </w:rPr>
        <w:t xml:space="preserve"> </w:t>
      </w:r>
      <w:r>
        <w:t>legalidade</w:t>
      </w:r>
      <w:r>
        <w:rPr>
          <w:spacing w:val="-2"/>
        </w:rPr>
        <w:t xml:space="preserve"> </w:t>
      </w:r>
      <w:r>
        <w:t>e</w:t>
      </w:r>
      <w:r>
        <w:rPr>
          <w:spacing w:val="-2"/>
        </w:rPr>
        <w:t xml:space="preserve"> </w:t>
      </w:r>
      <w:r>
        <w:t>dê</w:t>
      </w:r>
      <w:r>
        <w:rPr>
          <w:spacing w:val="-2"/>
        </w:rPr>
        <w:t xml:space="preserve"> </w:t>
      </w:r>
      <w:r>
        <w:t>respaldo</w:t>
      </w:r>
      <w:r>
        <w:rPr>
          <w:spacing w:val="-1"/>
        </w:rPr>
        <w:t xml:space="preserve"> </w:t>
      </w:r>
      <w:r>
        <w:t>aos</w:t>
      </w:r>
      <w:r>
        <w:rPr>
          <w:spacing w:val="-1"/>
        </w:rPr>
        <w:t xml:space="preserve"> </w:t>
      </w:r>
      <w:r>
        <w:t>agentes</w:t>
      </w:r>
      <w:r>
        <w:rPr>
          <w:spacing w:val="-2"/>
        </w:rPr>
        <w:t xml:space="preserve"> </w:t>
      </w:r>
      <w:r>
        <w:t>e administradores públicos.</w:t>
      </w:r>
    </w:p>
    <w:p w:rsidR="007259F2" w:rsidRDefault="00E655B4">
      <w:pPr>
        <w:pStyle w:val="Heading2"/>
        <w:numPr>
          <w:ilvl w:val="0"/>
          <w:numId w:val="25"/>
        </w:numPr>
        <w:tabs>
          <w:tab w:val="left" w:pos="1555"/>
        </w:tabs>
        <w:ind w:left="1555" w:hanging="704"/>
        <w:jc w:val="both"/>
      </w:pPr>
      <w:r>
        <w:t>Considerações</w:t>
      </w:r>
      <w:r>
        <w:rPr>
          <w:spacing w:val="-3"/>
        </w:rPr>
        <w:t xml:space="preserve"> </w:t>
      </w:r>
      <w:r>
        <w:rPr>
          <w:spacing w:val="-2"/>
        </w:rPr>
        <w:t>finais</w:t>
      </w:r>
    </w:p>
    <w:p w:rsidR="007259F2" w:rsidRDefault="00E655B4">
      <w:pPr>
        <w:pStyle w:val="Corpodetexto"/>
        <w:spacing w:before="112"/>
        <w:ind w:right="420"/>
      </w:pPr>
      <w:r>
        <w:t>De todo o exposto, entende-se que o posicionamento exteriorizado pelo Superior Tribunal de Justiça acabou por agravar a situação do Município de São Paulo, tendo em vista que excluiu a</w:t>
      </w:r>
      <w:r>
        <w:rPr>
          <w:spacing w:val="-1"/>
        </w:rPr>
        <w:t xml:space="preserve"> </w:t>
      </w:r>
      <w:r>
        <w:t>utilização do piso mínimo do valor venal do IPTU como parâmetro para a base de cálculo do ITBI.</w:t>
      </w:r>
    </w:p>
    <w:p w:rsidR="007259F2" w:rsidRDefault="00E655B4">
      <w:pPr>
        <w:pStyle w:val="Corpodetexto"/>
        <w:spacing w:before="1"/>
        <w:ind w:right="420"/>
      </w:pPr>
      <w:r>
        <w:t>Antes, a tese fixada pelo Tribunal de Justiça do Estado de São Paulo (Tema 19) era mais</w:t>
      </w:r>
      <w:r>
        <w:rPr>
          <w:spacing w:val="-2"/>
        </w:rPr>
        <w:t xml:space="preserve"> </w:t>
      </w:r>
      <w:r>
        <w:t>favorável,</w:t>
      </w:r>
      <w:r>
        <w:rPr>
          <w:spacing w:val="-2"/>
        </w:rPr>
        <w:t xml:space="preserve"> </w:t>
      </w:r>
      <w:r>
        <w:t>já</w:t>
      </w:r>
      <w:r>
        <w:rPr>
          <w:spacing w:val="-3"/>
        </w:rPr>
        <w:t xml:space="preserve"> </w:t>
      </w:r>
      <w:r>
        <w:t>que</w:t>
      </w:r>
      <w:r>
        <w:rPr>
          <w:spacing w:val="-3"/>
        </w:rPr>
        <w:t xml:space="preserve"> </w:t>
      </w:r>
      <w:r>
        <w:t>determinava</w:t>
      </w:r>
      <w:r>
        <w:rPr>
          <w:spacing w:val="-3"/>
        </w:rPr>
        <w:t xml:space="preserve"> </w:t>
      </w:r>
      <w:r>
        <w:t>o recolhimento</w:t>
      </w:r>
      <w:r>
        <w:rPr>
          <w:spacing w:val="-2"/>
        </w:rPr>
        <w:t xml:space="preserve"> </w:t>
      </w:r>
      <w:r>
        <w:t>do ITBI</w:t>
      </w:r>
      <w:r>
        <w:rPr>
          <w:spacing w:val="-6"/>
        </w:rPr>
        <w:t xml:space="preserve"> </w:t>
      </w:r>
      <w:r>
        <w:t>com</w:t>
      </w:r>
      <w:r>
        <w:rPr>
          <w:spacing w:val="-2"/>
        </w:rPr>
        <w:t xml:space="preserve"> </w:t>
      </w:r>
      <w:r>
        <w:t>base</w:t>
      </w:r>
      <w:r>
        <w:rPr>
          <w:spacing w:val="-3"/>
        </w:rPr>
        <w:t xml:space="preserve"> </w:t>
      </w:r>
      <w:r>
        <w:t>no valor</w:t>
      </w:r>
      <w:r>
        <w:rPr>
          <w:spacing w:val="-2"/>
        </w:rPr>
        <w:t xml:space="preserve"> </w:t>
      </w:r>
      <w:r>
        <w:t>da</w:t>
      </w:r>
      <w:r>
        <w:rPr>
          <w:spacing w:val="-4"/>
        </w:rPr>
        <w:t xml:space="preserve"> </w:t>
      </w:r>
      <w:r>
        <w:t>transação</w:t>
      </w:r>
      <w:r>
        <w:rPr>
          <w:spacing w:val="-2"/>
        </w:rPr>
        <w:t xml:space="preserve"> </w:t>
      </w:r>
      <w:r>
        <w:t xml:space="preserve">ou valor venal do IPTU, </w:t>
      </w:r>
      <w:r>
        <w:rPr>
          <w:b/>
          <w:u w:val="single"/>
        </w:rPr>
        <w:t>o que fosse maior</w:t>
      </w:r>
      <w:r>
        <w:t>. Agora, se mantido o entendimento do STJ, o Fisco Municipal sequer poderá utilizar o valor venal do IPTU como piso mínimo para recolhimento do ITBI.</w:t>
      </w:r>
    </w:p>
    <w:p w:rsidR="007259F2" w:rsidRDefault="00E655B4">
      <w:pPr>
        <w:pStyle w:val="Corpodetexto"/>
        <w:ind w:right="429"/>
      </w:pPr>
      <w:r>
        <w:t>Tal decisão acaba por afetar diretamente a arrecadação de receitas pelo Município, à título de ITBI, vez que os valores declarados de compra e venda de imóveis pelos contribuintes nem sempre refletem o valor real de mercado.</w:t>
      </w:r>
    </w:p>
    <w:p w:rsidR="007259F2" w:rsidRDefault="00E655B4">
      <w:pPr>
        <w:pStyle w:val="Corpodetexto"/>
        <w:ind w:right="423"/>
      </w:pPr>
      <w:r>
        <w:t>Em que pese o panorama não seja favorável à Municipalidade, ainda é possível</w:t>
      </w:r>
      <w:r>
        <w:rPr>
          <w:spacing w:val="40"/>
        </w:rPr>
        <w:t xml:space="preserve"> </w:t>
      </w:r>
      <w:r>
        <w:t>reverter a supra decisão, pois pendente de julgamento o Recurso Extraordinário (RE n.º 1.412.419/SP) interposto pelo Município de São Paulo.</w:t>
      </w:r>
    </w:p>
    <w:p w:rsidR="007259F2" w:rsidRDefault="00E655B4">
      <w:pPr>
        <w:pStyle w:val="Corpodetexto"/>
        <w:ind w:right="423"/>
      </w:pPr>
      <w:r>
        <w:t>Aqui merece destaque alguns pontos levantados pela Municipalidade em seu recurso. Primeiro,</w:t>
      </w:r>
      <w:r>
        <w:rPr>
          <w:spacing w:val="25"/>
        </w:rPr>
        <w:t xml:space="preserve"> </w:t>
      </w:r>
      <w:r>
        <w:t>defende-se</w:t>
      </w:r>
      <w:r>
        <w:rPr>
          <w:spacing w:val="27"/>
        </w:rPr>
        <w:t xml:space="preserve"> </w:t>
      </w:r>
      <w:r>
        <w:t>que</w:t>
      </w:r>
      <w:r>
        <w:rPr>
          <w:spacing w:val="24"/>
        </w:rPr>
        <w:t xml:space="preserve"> </w:t>
      </w:r>
      <w:r>
        <w:t>houve</w:t>
      </w:r>
      <w:r>
        <w:rPr>
          <w:spacing w:val="25"/>
        </w:rPr>
        <w:t xml:space="preserve"> </w:t>
      </w:r>
      <w:r>
        <w:t>ofensa</w:t>
      </w:r>
      <w:r>
        <w:rPr>
          <w:spacing w:val="27"/>
        </w:rPr>
        <w:t xml:space="preserve"> </w:t>
      </w:r>
      <w:r>
        <w:t>ao</w:t>
      </w:r>
      <w:r>
        <w:rPr>
          <w:spacing w:val="25"/>
        </w:rPr>
        <w:t xml:space="preserve"> </w:t>
      </w:r>
      <w:r>
        <w:t>devido</w:t>
      </w:r>
      <w:r>
        <w:rPr>
          <w:spacing w:val="26"/>
        </w:rPr>
        <w:t xml:space="preserve"> </w:t>
      </w:r>
      <w:r>
        <w:t>processo</w:t>
      </w:r>
      <w:r>
        <w:rPr>
          <w:spacing w:val="28"/>
        </w:rPr>
        <w:t xml:space="preserve"> </w:t>
      </w:r>
      <w:r>
        <w:t>legal,</w:t>
      </w:r>
      <w:r>
        <w:rPr>
          <w:spacing w:val="25"/>
        </w:rPr>
        <w:t xml:space="preserve"> </w:t>
      </w:r>
      <w:r>
        <w:t>o</w:t>
      </w:r>
      <w:r>
        <w:rPr>
          <w:spacing w:val="28"/>
        </w:rPr>
        <w:t xml:space="preserve"> </w:t>
      </w:r>
      <w:r>
        <w:t>que</w:t>
      </w:r>
      <w:r>
        <w:rPr>
          <w:spacing w:val="25"/>
        </w:rPr>
        <w:t xml:space="preserve"> </w:t>
      </w:r>
      <w:r>
        <w:t>impediria</w:t>
      </w:r>
      <w:r>
        <w:rPr>
          <w:spacing w:val="24"/>
        </w:rPr>
        <w:t xml:space="preserve"> </w:t>
      </w:r>
      <w:r>
        <w:t>o</w:t>
      </w:r>
      <w:r>
        <w:rPr>
          <w:spacing w:val="26"/>
        </w:rPr>
        <w:t xml:space="preserve"> </w:t>
      </w:r>
      <w:r>
        <w:t>STJ</w:t>
      </w:r>
      <w:r>
        <w:rPr>
          <w:spacing w:val="28"/>
        </w:rPr>
        <w:t xml:space="preserve"> </w:t>
      </w:r>
      <w:r>
        <w:rPr>
          <w:spacing w:val="-5"/>
        </w:rPr>
        <w:t>de</w:t>
      </w:r>
    </w:p>
    <w:p w:rsidR="007259F2" w:rsidRDefault="00DE6B1C">
      <w:pPr>
        <w:pStyle w:val="Corpodetexto"/>
        <w:spacing w:before="33"/>
        <w:ind w:left="0" w:firstLine="0"/>
        <w:jc w:val="left"/>
        <w:rPr>
          <w:sz w:val="20"/>
        </w:rPr>
      </w:pPr>
      <w:r w:rsidRPr="00DE6B1C">
        <w:rPr>
          <w:sz w:val="20"/>
        </w:rPr>
        <w:pict>
          <v:rect id="docshape131" o:spid="_x0000_s1096" style="position:absolute;margin-left:85.1pt;margin-top:14.4pt;width:2in;height:.7pt;z-index:-15671808;mso-wrap-distance-left:0;mso-wrap-distance-right:0;mso-position-horizontal-relative:page" fillcolor="black" stroked="f">
            <w10:wrap type="topAndBottom" anchorx="page"/>
          </v:rect>
        </w:pict>
      </w:r>
    </w:p>
    <w:p w:rsidR="007259F2" w:rsidRDefault="00E655B4">
      <w:pPr>
        <w:spacing w:before="96"/>
        <w:ind w:left="710" w:right="424"/>
        <w:rPr>
          <w:sz w:val="20"/>
        </w:rPr>
      </w:pPr>
      <w:r>
        <w:rPr>
          <w:sz w:val="20"/>
          <w:vertAlign w:val="superscript"/>
        </w:rPr>
        <w:t>27</w:t>
      </w:r>
      <w:r>
        <w:rPr>
          <w:sz w:val="20"/>
        </w:rPr>
        <w:t xml:space="preserve"> OLIVEIRA, Weber Luiz de. </w:t>
      </w:r>
      <w:r>
        <w:rPr>
          <w:b/>
          <w:sz w:val="20"/>
        </w:rPr>
        <w:t>Precedentes Judiciais na Administração Pública</w:t>
      </w:r>
      <w:r>
        <w:rPr>
          <w:sz w:val="20"/>
        </w:rPr>
        <w:t>: limites e possibilidades de</w:t>
      </w:r>
      <w:r>
        <w:rPr>
          <w:spacing w:val="40"/>
          <w:sz w:val="20"/>
        </w:rPr>
        <w:t xml:space="preserve"> </w:t>
      </w:r>
      <w:r>
        <w:rPr>
          <w:sz w:val="20"/>
        </w:rPr>
        <w:t>aplicação. 2. ed. rev., atual. e ampl. Salvador: Juspodvm, 2019, p.181, 188-191.</w:t>
      </w:r>
    </w:p>
    <w:p w:rsidR="007259F2" w:rsidRDefault="007259F2">
      <w:pPr>
        <w:rPr>
          <w:sz w:val="20"/>
        </w:rPr>
        <w:sectPr w:rsidR="007259F2">
          <w:pgSz w:w="11910" w:h="16840"/>
          <w:pgMar w:top="1600" w:right="708" w:bottom="1020" w:left="992" w:header="0" w:footer="820" w:gutter="0"/>
          <w:cols w:space="720"/>
        </w:sectPr>
      </w:pPr>
    </w:p>
    <w:p w:rsidR="007259F2" w:rsidRDefault="00E655B4">
      <w:pPr>
        <w:pStyle w:val="Corpodetexto"/>
        <w:spacing w:before="75"/>
        <w:ind w:right="429" w:firstLine="0"/>
      </w:pPr>
      <w:r>
        <w:lastRenderedPageBreak/>
        <w:t>apreciar o assunto em recurso especial, conforme previsto no artigo 105, inciso III, da Constituição Federal.</w:t>
      </w:r>
    </w:p>
    <w:p w:rsidR="007259F2" w:rsidRDefault="00E655B4">
      <w:pPr>
        <w:pStyle w:val="Corpodetexto"/>
        <w:ind w:right="420"/>
      </w:pPr>
      <w:r>
        <w:t>A questão se baseia no procedimento escolhido pelo TJSP para julgar o IRDR. O tribunal elegeu três recursos para o julgamento do IRDR pelo 7º Grupo de Direito Público. Antes disso, no entanto, a 14ª Câmara de Direito Público concluiu o julgamento da apelação. Assim, quando o IRDR foi julgado, não havia caso concreto a ser resolvido, razão pela qual defende-se que a prática ofendeu o artigo 976 do Código de Processo Civil, que prevê como requisito de admissibilidade do IRDR a existência de "causa pendente no tribunal".</w:t>
      </w:r>
      <w:r>
        <w:rPr>
          <w:vertAlign w:val="superscript"/>
        </w:rPr>
        <w:t>28</w:t>
      </w:r>
    </w:p>
    <w:p w:rsidR="007259F2" w:rsidRDefault="00E655B4">
      <w:pPr>
        <w:pStyle w:val="Corpodetexto"/>
        <w:ind w:right="424"/>
      </w:pPr>
      <w:r>
        <w:t>Outro ponto elencado na petição, refere-se ao julgamento ultra petita da tese fixada pelo STJ (REsp. 1.937.821/SP). Na ocasião do julgamento, o Tribunal afastou a utilização do piso mínimo do IPTU como parâmetro para a base de cálculo do ITBI, ou seja, prejudicou ainda mais o Município, apesar de não haver recurso do contribuinte. Sendo assim, de fato, existem pontos que precisam ser melhor apreciados pelo Supremo Tribunal Federal, razão</w:t>
      </w:r>
      <w:r>
        <w:rPr>
          <w:spacing w:val="40"/>
        </w:rPr>
        <w:t xml:space="preserve"> </w:t>
      </w:r>
      <w:r>
        <w:t>pela qual ainda há chances de reverter a definição da base de cálculo do ITBI.</w:t>
      </w:r>
    </w:p>
    <w:p w:rsidR="007259F2" w:rsidRDefault="00E655B4">
      <w:pPr>
        <w:pStyle w:val="Corpodetexto"/>
        <w:spacing w:before="1"/>
        <w:ind w:right="421"/>
      </w:pPr>
      <w:r>
        <w:t>Por outro lado, em último caso, se mantida a decisão do STJ, ainda há meios do Fisco Municipal diminuir os impactos, ocasionados pelo julgamento do REsp. n.º 1.937.821/SP, na arrecadação do ITBI. Conforme pontuado no presente trabalho, a Municipalidade deve buscar realizar o procedimento administrativo de arbitramento de forma mais transparente possível a fim de evitar anulação dos autos de infração complementar lavrados e estudar a possibilidade de aplicação de multa tributária em casos específicos.</w:t>
      </w:r>
    </w:p>
    <w:p w:rsidR="007259F2" w:rsidRDefault="00E655B4">
      <w:pPr>
        <w:pStyle w:val="Heading1"/>
        <w:spacing w:before="207"/>
      </w:pPr>
      <w:r>
        <w:rPr>
          <w:spacing w:val="-2"/>
        </w:rPr>
        <w:t>REFERÊNCIAS</w:t>
      </w:r>
    </w:p>
    <w:p w:rsidR="007259F2" w:rsidRDefault="00E655B4">
      <w:pPr>
        <w:spacing w:before="194" w:line="275" w:lineRule="exact"/>
        <w:ind w:left="710"/>
        <w:jc w:val="both"/>
        <w:rPr>
          <w:sz w:val="24"/>
        </w:rPr>
      </w:pPr>
      <w:r>
        <w:rPr>
          <w:sz w:val="24"/>
        </w:rPr>
        <w:t>BALEEIRO,</w:t>
      </w:r>
      <w:r>
        <w:rPr>
          <w:spacing w:val="18"/>
          <w:sz w:val="24"/>
        </w:rPr>
        <w:t xml:space="preserve"> </w:t>
      </w:r>
      <w:r>
        <w:rPr>
          <w:sz w:val="24"/>
        </w:rPr>
        <w:t>Aliomar.</w:t>
      </w:r>
      <w:r>
        <w:rPr>
          <w:spacing w:val="22"/>
          <w:sz w:val="24"/>
        </w:rPr>
        <w:t xml:space="preserve"> </w:t>
      </w:r>
      <w:r>
        <w:rPr>
          <w:b/>
          <w:sz w:val="24"/>
        </w:rPr>
        <w:t>Direito</w:t>
      </w:r>
      <w:r>
        <w:rPr>
          <w:b/>
          <w:spacing w:val="19"/>
          <w:sz w:val="24"/>
        </w:rPr>
        <w:t xml:space="preserve"> </w:t>
      </w:r>
      <w:r>
        <w:rPr>
          <w:b/>
          <w:sz w:val="24"/>
        </w:rPr>
        <w:t>tributário</w:t>
      </w:r>
      <w:r>
        <w:rPr>
          <w:b/>
          <w:spacing w:val="20"/>
          <w:sz w:val="24"/>
        </w:rPr>
        <w:t xml:space="preserve"> </w:t>
      </w:r>
      <w:r>
        <w:rPr>
          <w:b/>
          <w:sz w:val="24"/>
        </w:rPr>
        <w:t>brasileiro</w:t>
      </w:r>
      <w:r>
        <w:rPr>
          <w:sz w:val="24"/>
        </w:rPr>
        <w:t>.</w:t>
      </w:r>
      <w:r>
        <w:rPr>
          <w:spacing w:val="20"/>
          <w:sz w:val="24"/>
        </w:rPr>
        <w:t xml:space="preserve"> </w:t>
      </w:r>
      <w:r>
        <w:rPr>
          <w:sz w:val="24"/>
        </w:rPr>
        <w:t>10.</w:t>
      </w:r>
      <w:r>
        <w:rPr>
          <w:spacing w:val="19"/>
          <w:sz w:val="24"/>
        </w:rPr>
        <w:t xml:space="preserve"> </w:t>
      </w:r>
      <w:r>
        <w:rPr>
          <w:sz w:val="24"/>
        </w:rPr>
        <w:t>ed.</w:t>
      </w:r>
      <w:r>
        <w:rPr>
          <w:spacing w:val="20"/>
          <w:sz w:val="24"/>
        </w:rPr>
        <w:t xml:space="preserve"> </w:t>
      </w:r>
      <w:r>
        <w:rPr>
          <w:sz w:val="24"/>
        </w:rPr>
        <w:t>Rio</w:t>
      </w:r>
      <w:r>
        <w:rPr>
          <w:spacing w:val="20"/>
          <w:sz w:val="24"/>
        </w:rPr>
        <w:t xml:space="preserve"> </w:t>
      </w:r>
      <w:r>
        <w:rPr>
          <w:sz w:val="24"/>
        </w:rPr>
        <w:t>de</w:t>
      </w:r>
      <w:r>
        <w:rPr>
          <w:spacing w:val="16"/>
          <w:sz w:val="24"/>
        </w:rPr>
        <w:t xml:space="preserve"> </w:t>
      </w:r>
      <w:r>
        <w:rPr>
          <w:sz w:val="24"/>
        </w:rPr>
        <w:t>Janeiro:</w:t>
      </w:r>
      <w:r>
        <w:rPr>
          <w:spacing w:val="20"/>
          <w:sz w:val="24"/>
        </w:rPr>
        <w:t xml:space="preserve"> </w:t>
      </w:r>
      <w:r>
        <w:rPr>
          <w:sz w:val="24"/>
        </w:rPr>
        <w:t>Forense,</w:t>
      </w:r>
      <w:r>
        <w:rPr>
          <w:spacing w:val="20"/>
          <w:sz w:val="24"/>
        </w:rPr>
        <w:t xml:space="preserve"> </w:t>
      </w:r>
      <w:r>
        <w:rPr>
          <w:spacing w:val="-2"/>
          <w:sz w:val="24"/>
        </w:rPr>
        <w:t>[s.d.],</w:t>
      </w:r>
    </w:p>
    <w:p w:rsidR="007259F2" w:rsidRDefault="00E655B4">
      <w:pPr>
        <w:pStyle w:val="Corpodetexto"/>
        <w:spacing w:line="275" w:lineRule="exact"/>
        <w:ind w:firstLine="0"/>
      </w:pPr>
      <w:r>
        <w:t xml:space="preserve">p. </w:t>
      </w:r>
      <w:r>
        <w:rPr>
          <w:spacing w:val="-4"/>
        </w:rPr>
        <w:t>167.</w:t>
      </w:r>
    </w:p>
    <w:p w:rsidR="007259F2" w:rsidRDefault="00E655B4">
      <w:pPr>
        <w:spacing w:before="120"/>
        <w:ind w:left="710" w:right="423"/>
        <w:jc w:val="both"/>
        <w:rPr>
          <w:sz w:val="24"/>
        </w:rPr>
      </w:pPr>
      <w:r>
        <w:rPr>
          <w:sz w:val="24"/>
        </w:rPr>
        <w:t xml:space="preserve">BALEEIRO, Aliomar; DERZI, Misabel Abreu Machado. </w:t>
      </w:r>
      <w:r>
        <w:rPr>
          <w:b/>
          <w:sz w:val="24"/>
        </w:rPr>
        <w:t>Direito tributário brasileiro</w:t>
      </w:r>
      <w:r>
        <w:rPr>
          <w:sz w:val="24"/>
        </w:rPr>
        <w:t>. 14. ed. Rio de Janeiro: Forense, 2018, p. 321.</w:t>
      </w:r>
    </w:p>
    <w:p w:rsidR="007259F2" w:rsidRDefault="00E655B4">
      <w:pPr>
        <w:spacing w:before="120"/>
        <w:ind w:left="710" w:right="421"/>
        <w:jc w:val="both"/>
        <w:rPr>
          <w:sz w:val="24"/>
        </w:rPr>
      </w:pPr>
      <w:r>
        <w:rPr>
          <w:sz w:val="24"/>
        </w:rPr>
        <w:t xml:space="preserve">COELHO, Sacha Calmon Navarro. </w:t>
      </w:r>
      <w:r>
        <w:rPr>
          <w:b/>
          <w:sz w:val="24"/>
        </w:rPr>
        <w:t>Curso de direito tributário brasileiro</w:t>
      </w:r>
      <w:r>
        <w:rPr>
          <w:sz w:val="24"/>
        </w:rPr>
        <w:t>. 16. ed. Rio de Janeiro: Forense, 2018, p. 60.</w:t>
      </w:r>
    </w:p>
    <w:p w:rsidR="007259F2" w:rsidRDefault="00E655B4">
      <w:pPr>
        <w:pStyle w:val="Corpodetexto"/>
        <w:spacing w:before="120"/>
        <w:ind w:right="428" w:firstLine="0"/>
      </w:pPr>
      <w:r>
        <w:t xml:space="preserve">CONTI, José Maurício. O imposto sobre a transmissão de bens imóveis (ITBI): principais questões. </w:t>
      </w:r>
      <w:r>
        <w:rPr>
          <w:b/>
        </w:rPr>
        <w:t>Direito Tributário Atual</w:t>
      </w:r>
      <w:r>
        <w:t>, n. 16, São Paulo: Instituto Brasileiro de Direito Tributário, 2001, p. 100-111.</w:t>
      </w:r>
    </w:p>
    <w:p w:rsidR="007259F2" w:rsidRDefault="00E655B4">
      <w:pPr>
        <w:pStyle w:val="Corpodetexto"/>
        <w:spacing w:before="120" w:line="345" w:lineRule="auto"/>
        <w:ind w:right="990" w:firstLine="0"/>
        <w:jc w:val="left"/>
      </w:pPr>
      <w:r>
        <w:t>FURLAN,</w:t>
      </w:r>
      <w:r>
        <w:rPr>
          <w:spacing w:val="-3"/>
        </w:rPr>
        <w:t xml:space="preserve"> </w:t>
      </w:r>
      <w:r>
        <w:t>Valéria.</w:t>
      </w:r>
      <w:r>
        <w:rPr>
          <w:spacing w:val="-4"/>
        </w:rPr>
        <w:t xml:space="preserve"> </w:t>
      </w:r>
      <w:r>
        <w:rPr>
          <w:b/>
        </w:rPr>
        <w:t>IPTU</w:t>
      </w:r>
      <w:r>
        <w:t>.</w:t>
      </w:r>
      <w:r>
        <w:rPr>
          <w:spacing w:val="-3"/>
        </w:rPr>
        <w:t xml:space="preserve"> </w:t>
      </w:r>
      <w:r>
        <w:t>2.</w:t>
      </w:r>
      <w:r>
        <w:rPr>
          <w:spacing w:val="-3"/>
        </w:rPr>
        <w:t xml:space="preserve"> </w:t>
      </w:r>
      <w:r>
        <w:t>ed.</w:t>
      </w:r>
      <w:r>
        <w:rPr>
          <w:spacing w:val="-3"/>
        </w:rPr>
        <w:t xml:space="preserve"> </w:t>
      </w:r>
      <w:r>
        <w:t>rev.,</w:t>
      </w:r>
      <w:r>
        <w:rPr>
          <w:spacing w:val="-1"/>
        </w:rPr>
        <w:t xml:space="preserve"> </w:t>
      </w:r>
      <w:r>
        <w:t>atual.</w:t>
      </w:r>
      <w:r>
        <w:rPr>
          <w:spacing w:val="-3"/>
        </w:rPr>
        <w:t xml:space="preserve"> </w:t>
      </w:r>
      <w:r>
        <w:t>e</w:t>
      </w:r>
      <w:r>
        <w:rPr>
          <w:spacing w:val="-4"/>
        </w:rPr>
        <w:t xml:space="preserve"> </w:t>
      </w:r>
      <w:r>
        <w:t>ampl.</w:t>
      </w:r>
      <w:r>
        <w:rPr>
          <w:spacing w:val="-3"/>
        </w:rPr>
        <w:t xml:space="preserve"> </w:t>
      </w:r>
      <w:r>
        <w:t>São</w:t>
      </w:r>
      <w:r>
        <w:rPr>
          <w:spacing w:val="-3"/>
        </w:rPr>
        <w:t xml:space="preserve"> </w:t>
      </w:r>
      <w:r>
        <w:t>Paulo:</w:t>
      </w:r>
      <w:r>
        <w:rPr>
          <w:spacing w:val="-3"/>
        </w:rPr>
        <w:t xml:space="preserve"> </w:t>
      </w:r>
      <w:r>
        <w:t>Malheiros,</w:t>
      </w:r>
      <w:r>
        <w:rPr>
          <w:spacing w:val="-3"/>
        </w:rPr>
        <w:t xml:space="preserve"> </w:t>
      </w:r>
      <w:r>
        <w:t>2004,</w:t>
      </w:r>
      <w:r>
        <w:rPr>
          <w:spacing w:val="-3"/>
        </w:rPr>
        <w:t xml:space="preserve"> </w:t>
      </w:r>
      <w:r>
        <w:t>p.</w:t>
      </w:r>
      <w:r>
        <w:rPr>
          <w:spacing w:val="-3"/>
        </w:rPr>
        <w:t xml:space="preserve"> </w:t>
      </w:r>
      <w:r>
        <w:t>100. HARADA, Kiyoshi</w:t>
      </w:r>
      <w:r>
        <w:rPr>
          <w:b/>
        </w:rPr>
        <w:t>. ITBI</w:t>
      </w:r>
      <w:r>
        <w:t>: doutrina e prática. 2. ed. São Paulo: Atlas, 2016, p. 125.</w:t>
      </w:r>
    </w:p>
    <w:p w:rsidR="007259F2" w:rsidRDefault="00E655B4">
      <w:pPr>
        <w:pStyle w:val="Corpodetexto"/>
        <w:ind w:right="561" w:firstLine="0"/>
        <w:jc w:val="left"/>
      </w:pPr>
      <w:r>
        <w:t xml:space="preserve">MACEDO, José Alberto Oliveira. </w:t>
      </w:r>
      <w:r>
        <w:rPr>
          <w:b/>
        </w:rPr>
        <w:t xml:space="preserve">ITBI: </w:t>
      </w:r>
      <w:r>
        <w:t>aspectos constitucionais e infraconstitucionais. São Paulo: Quartier Latin, 2010, p. 262-263, 267, 271.</w:t>
      </w:r>
    </w:p>
    <w:p w:rsidR="007259F2" w:rsidRDefault="00E655B4">
      <w:pPr>
        <w:pStyle w:val="Corpodetexto"/>
        <w:spacing w:before="118"/>
        <w:ind w:right="422" w:firstLine="0"/>
      </w:pPr>
      <w:r>
        <w:t>MAJDOUB, Mohamed. Município de São Paulo retira consulta do valor venal de</w:t>
      </w:r>
      <w:r>
        <w:rPr>
          <w:spacing w:val="40"/>
        </w:rPr>
        <w:t xml:space="preserve"> </w:t>
      </w:r>
      <w:r>
        <w:t xml:space="preserve">referência. </w:t>
      </w:r>
      <w:r>
        <w:rPr>
          <w:b/>
        </w:rPr>
        <w:t>Migalhas</w:t>
      </w:r>
      <w:r>
        <w:t xml:space="preserve">, 2023. Disponível em: </w:t>
      </w:r>
      <w:hyperlink r:id="rId192">
        <w:r>
          <w:rPr>
            <w:color w:val="0000FF"/>
            <w:u w:val="single" w:color="0000FF"/>
          </w:rPr>
          <w:t>https://www.migalhas.com.br/depeso/344058/municipio-de-</w:t>
        </w:r>
      </w:hyperlink>
      <w:r>
        <w:rPr>
          <w:color w:val="0000FF"/>
        </w:rPr>
        <w:t xml:space="preserve"> </w:t>
      </w:r>
      <w:hyperlink r:id="rId193">
        <w:r>
          <w:rPr>
            <w:color w:val="0000FF"/>
            <w:u w:val="single" w:color="0000FF"/>
          </w:rPr>
          <w:t>sao-paulo-retira-consulta-do-valor-venal-de-referencia</w:t>
        </w:r>
      </w:hyperlink>
      <w:r>
        <w:rPr>
          <w:color w:val="0000FF"/>
        </w:rPr>
        <w:t xml:space="preserve"> </w:t>
      </w:r>
      <w:r>
        <w:t>Acesso em: 14 dez. 2023.</w:t>
      </w:r>
    </w:p>
    <w:p w:rsidR="007259F2" w:rsidRDefault="00E655B4">
      <w:pPr>
        <w:spacing w:before="120"/>
        <w:ind w:left="710" w:right="422"/>
        <w:jc w:val="both"/>
        <w:rPr>
          <w:sz w:val="24"/>
        </w:rPr>
      </w:pPr>
      <w:r>
        <w:rPr>
          <w:sz w:val="24"/>
        </w:rPr>
        <w:t xml:space="preserve">OLIVEIRA, Weber Luiz de. </w:t>
      </w:r>
      <w:r>
        <w:rPr>
          <w:b/>
          <w:sz w:val="24"/>
        </w:rPr>
        <w:t>Precedentes judiciais na administração pública</w:t>
      </w:r>
      <w:r>
        <w:rPr>
          <w:sz w:val="24"/>
        </w:rPr>
        <w:t xml:space="preserve">: limites e possibilidades de aplicação. 2. ed. rev., atual. e ampl. Salvador: Juspodvm, 2019, p. 181, 188- </w:t>
      </w:r>
      <w:r>
        <w:rPr>
          <w:spacing w:val="-4"/>
          <w:sz w:val="24"/>
        </w:rPr>
        <w:t>191.</w:t>
      </w:r>
    </w:p>
    <w:p w:rsidR="007259F2" w:rsidRDefault="00E655B4">
      <w:pPr>
        <w:pStyle w:val="Corpodetexto"/>
        <w:spacing w:before="120"/>
        <w:ind w:firstLine="0"/>
      </w:pPr>
      <w:r>
        <w:t>PEDROTTI,</w:t>
      </w:r>
      <w:r>
        <w:rPr>
          <w:spacing w:val="9"/>
        </w:rPr>
        <w:t xml:space="preserve"> </w:t>
      </w:r>
      <w:r>
        <w:t>Wagner</w:t>
      </w:r>
      <w:r>
        <w:rPr>
          <w:spacing w:val="11"/>
        </w:rPr>
        <w:t xml:space="preserve"> </w:t>
      </w:r>
      <w:r>
        <w:t>Barbosa.</w:t>
      </w:r>
      <w:r>
        <w:rPr>
          <w:spacing w:val="9"/>
        </w:rPr>
        <w:t xml:space="preserve"> </w:t>
      </w:r>
      <w:r>
        <w:t>A</w:t>
      </w:r>
      <w:r>
        <w:rPr>
          <w:spacing w:val="9"/>
        </w:rPr>
        <w:t xml:space="preserve"> </w:t>
      </w:r>
      <w:r>
        <w:t>base</w:t>
      </w:r>
      <w:r>
        <w:rPr>
          <w:spacing w:val="10"/>
        </w:rPr>
        <w:t xml:space="preserve"> </w:t>
      </w:r>
      <w:r>
        <w:t>de</w:t>
      </w:r>
      <w:r>
        <w:rPr>
          <w:spacing w:val="8"/>
        </w:rPr>
        <w:t xml:space="preserve"> </w:t>
      </w:r>
      <w:r>
        <w:t>cálculo</w:t>
      </w:r>
      <w:r>
        <w:rPr>
          <w:spacing w:val="12"/>
        </w:rPr>
        <w:t xml:space="preserve"> </w:t>
      </w:r>
      <w:r>
        <w:t>do</w:t>
      </w:r>
      <w:r>
        <w:rPr>
          <w:spacing w:val="12"/>
        </w:rPr>
        <w:t xml:space="preserve"> </w:t>
      </w:r>
      <w:r>
        <w:t>ITBI</w:t>
      </w:r>
      <w:r>
        <w:rPr>
          <w:spacing w:val="6"/>
        </w:rPr>
        <w:t xml:space="preserve"> </w:t>
      </w:r>
      <w:r>
        <w:t>após</w:t>
      </w:r>
      <w:r>
        <w:rPr>
          <w:spacing w:val="11"/>
        </w:rPr>
        <w:t xml:space="preserve"> </w:t>
      </w:r>
      <w:r>
        <w:t>decisão</w:t>
      </w:r>
      <w:r>
        <w:rPr>
          <w:spacing w:val="9"/>
        </w:rPr>
        <w:t xml:space="preserve"> </w:t>
      </w:r>
      <w:r>
        <w:t>do</w:t>
      </w:r>
      <w:r>
        <w:rPr>
          <w:spacing w:val="11"/>
        </w:rPr>
        <w:t xml:space="preserve"> </w:t>
      </w:r>
      <w:r>
        <w:t>STJ:</w:t>
      </w:r>
      <w:r>
        <w:rPr>
          <w:spacing w:val="10"/>
        </w:rPr>
        <w:t xml:space="preserve"> </w:t>
      </w:r>
      <w:r>
        <w:t>análise</w:t>
      </w:r>
      <w:r>
        <w:rPr>
          <w:spacing w:val="10"/>
        </w:rPr>
        <w:t xml:space="preserve"> </w:t>
      </w:r>
      <w:r>
        <w:rPr>
          <w:spacing w:val="-2"/>
        </w:rPr>
        <w:t>sobre</w:t>
      </w:r>
    </w:p>
    <w:p w:rsidR="007259F2" w:rsidRDefault="00DE6B1C">
      <w:pPr>
        <w:pStyle w:val="Corpodetexto"/>
        <w:spacing w:before="2"/>
        <w:ind w:left="0" w:firstLine="0"/>
        <w:jc w:val="left"/>
        <w:rPr>
          <w:sz w:val="12"/>
        </w:rPr>
      </w:pPr>
      <w:r w:rsidRPr="00DE6B1C">
        <w:rPr>
          <w:sz w:val="12"/>
        </w:rPr>
        <w:pict>
          <v:rect id="docshape132" o:spid="_x0000_s1095" style="position:absolute;margin-left:85.1pt;margin-top:8.25pt;width:2in;height:.7pt;z-index:-15671296;mso-wrap-distance-left:0;mso-wrap-distance-right:0;mso-position-horizontal-relative:page" fillcolor="black" stroked="f">
            <w10:wrap type="topAndBottom" anchorx="page"/>
          </v:rect>
        </w:pict>
      </w:r>
    </w:p>
    <w:p w:rsidR="007259F2" w:rsidRDefault="00E655B4">
      <w:pPr>
        <w:spacing w:before="97"/>
        <w:ind w:left="710" w:right="421"/>
        <w:jc w:val="both"/>
        <w:rPr>
          <w:sz w:val="20"/>
        </w:rPr>
      </w:pPr>
      <w:r>
        <w:rPr>
          <w:sz w:val="20"/>
          <w:vertAlign w:val="superscript"/>
        </w:rPr>
        <w:t>28</w:t>
      </w:r>
      <w:r>
        <w:rPr>
          <w:sz w:val="20"/>
        </w:rPr>
        <w:t xml:space="preserve"> VITAL, Danilo. Questão processual ameaça tese do STJ sobre base de cálculo do ITBI. </w:t>
      </w:r>
      <w:r>
        <w:rPr>
          <w:b/>
          <w:sz w:val="20"/>
        </w:rPr>
        <w:t>Consultor Jurídico</w:t>
      </w:r>
      <w:r>
        <w:rPr>
          <w:b/>
          <w:i/>
          <w:sz w:val="20"/>
        </w:rPr>
        <w:t xml:space="preserve">, </w:t>
      </w:r>
      <w:r>
        <w:rPr>
          <w:sz w:val="20"/>
        </w:rPr>
        <w:t xml:space="preserve">2024. Disponível em: </w:t>
      </w:r>
      <w:hyperlink r:id="rId194">
        <w:r>
          <w:rPr>
            <w:color w:val="0000FF"/>
            <w:sz w:val="20"/>
            <w:u w:val="single" w:color="0000FF"/>
          </w:rPr>
          <w:t>https://www.conjur.com.br/2022-out-28/questao-processual-ameaca-tese-stj-base-calculo-</w:t>
        </w:r>
      </w:hyperlink>
      <w:r>
        <w:rPr>
          <w:color w:val="0000FF"/>
          <w:sz w:val="20"/>
        </w:rPr>
        <w:t xml:space="preserve"> </w:t>
      </w:r>
      <w:hyperlink r:id="rId195">
        <w:r>
          <w:rPr>
            <w:color w:val="0000FF"/>
            <w:sz w:val="20"/>
            <w:u w:val="single" w:color="0000FF"/>
          </w:rPr>
          <w:t>itbi/</w:t>
        </w:r>
        <w:r>
          <w:rPr>
            <w:sz w:val="20"/>
          </w:rPr>
          <w:t>.</w:t>
        </w:r>
      </w:hyperlink>
      <w:r>
        <w:rPr>
          <w:sz w:val="20"/>
        </w:rPr>
        <w:t xml:space="preserve"> Acesso em: 12 jan. 2024.</w:t>
      </w:r>
    </w:p>
    <w:p w:rsidR="007259F2" w:rsidRDefault="007259F2">
      <w:pPr>
        <w:jc w:val="both"/>
        <w:rPr>
          <w:sz w:val="20"/>
        </w:rPr>
        <w:sectPr w:rsidR="007259F2">
          <w:pgSz w:w="11910" w:h="16840"/>
          <w:pgMar w:top="1600" w:right="708" w:bottom="1020" w:left="992" w:header="0" w:footer="820" w:gutter="0"/>
          <w:cols w:space="720"/>
        </w:sectPr>
      </w:pPr>
    </w:p>
    <w:p w:rsidR="007259F2" w:rsidRDefault="00E655B4">
      <w:pPr>
        <w:spacing w:before="75"/>
        <w:ind w:left="710"/>
        <w:rPr>
          <w:sz w:val="24"/>
        </w:rPr>
      </w:pPr>
      <w:r>
        <w:rPr>
          <w:sz w:val="24"/>
        </w:rPr>
        <w:lastRenderedPageBreak/>
        <w:t>possível</w:t>
      </w:r>
      <w:r>
        <w:rPr>
          <w:spacing w:val="80"/>
          <w:sz w:val="24"/>
        </w:rPr>
        <w:t xml:space="preserve"> </w:t>
      </w:r>
      <w:r>
        <w:rPr>
          <w:sz w:val="24"/>
        </w:rPr>
        <w:t>redução</w:t>
      </w:r>
      <w:r>
        <w:rPr>
          <w:spacing w:val="80"/>
          <w:sz w:val="24"/>
        </w:rPr>
        <w:t xml:space="preserve"> </w:t>
      </w:r>
      <w:r>
        <w:rPr>
          <w:sz w:val="24"/>
        </w:rPr>
        <w:t>da</w:t>
      </w:r>
      <w:r>
        <w:rPr>
          <w:spacing w:val="80"/>
          <w:sz w:val="24"/>
        </w:rPr>
        <w:t xml:space="preserve"> </w:t>
      </w:r>
      <w:r>
        <w:rPr>
          <w:sz w:val="24"/>
        </w:rPr>
        <w:t>receita</w:t>
      </w:r>
      <w:r>
        <w:rPr>
          <w:spacing w:val="80"/>
          <w:sz w:val="24"/>
        </w:rPr>
        <w:t xml:space="preserve"> </w:t>
      </w:r>
      <w:r>
        <w:rPr>
          <w:sz w:val="24"/>
        </w:rPr>
        <w:t>e</w:t>
      </w:r>
      <w:r>
        <w:rPr>
          <w:spacing w:val="80"/>
          <w:sz w:val="24"/>
        </w:rPr>
        <w:t xml:space="preserve"> </w:t>
      </w:r>
      <w:r>
        <w:rPr>
          <w:sz w:val="24"/>
        </w:rPr>
        <w:t>alternativas</w:t>
      </w:r>
      <w:r>
        <w:rPr>
          <w:spacing w:val="80"/>
          <w:sz w:val="24"/>
        </w:rPr>
        <w:t xml:space="preserve"> </w:t>
      </w:r>
      <w:r>
        <w:rPr>
          <w:sz w:val="24"/>
        </w:rPr>
        <w:t>ao</w:t>
      </w:r>
      <w:r>
        <w:rPr>
          <w:spacing w:val="80"/>
          <w:sz w:val="24"/>
        </w:rPr>
        <w:t xml:space="preserve"> </w:t>
      </w:r>
      <w:r>
        <w:rPr>
          <w:sz w:val="24"/>
        </w:rPr>
        <w:t>Município.</w:t>
      </w:r>
      <w:r>
        <w:rPr>
          <w:spacing w:val="80"/>
          <w:sz w:val="24"/>
        </w:rPr>
        <w:t xml:space="preserve"> </w:t>
      </w:r>
      <w:r>
        <w:rPr>
          <w:b/>
          <w:sz w:val="24"/>
        </w:rPr>
        <w:t>Revista</w:t>
      </w:r>
      <w:r>
        <w:rPr>
          <w:b/>
          <w:spacing w:val="80"/>
          <w:sz w:val="24"/>
        </w:rPr>
        <w:t xml:space="preserve"> </w:t>
      </w:r>
      <w:r>
        <w:rPr>
          <w:b/>
          <w:sz w:val="24"/>
        </w:rPr>
        <w:t>Fórum</w:t>
      </w:r>
      <w:r>
        <w:rPr>
          <w:b/>
          <w:spacing w:val="80"/>
          <w:sz w:val="24"/>
        </w:rPr>
        <w:t xml:space="preserve"> </w:t>
      </w:r>
      <w:r>
        <w:rPr>
          <w:b/>
          <w:sz w:val="24"/>
        </w:rPr>
        <w:t>de</w:t>
      </w:r>
      <w:r>
        <w:rPr>
          <w:b/>
          <w:spacing w:val="80"/>
          <w:sz w:val="24"/>
        </w:rPr>
        <w:t xml:space="preserve"> </w:t>
      </w:r>
      <w:r>
        <w:rPr>
          <w:b/>
          <w:sz w:val="24"/>
        </w:rPr>
        <w:t>Direito Tributário – RFDT</w:t>
      </w:r>
      <w:r>
        <w:rPr>
          <w:sz w:val="24"/>
        </w:rPr>
        <w:t>, ano 20, n. 117, p. 87-98, maio/jun. 2022.</w:t>
      </w:r>
    </w:p>
    <w:p w:rsidR="007259F2" w:rsidRDefault="00E655B4">
      <w:pPr>
        <w:pStyle w:val="Corpodetexto"/>
        <w:spacing w:before="6" w:line="390" w:lineRule="atLeast"/>
        <w:ind w:firstLine="0"/>
        <w:jc w:val="left"/>
      </w:pPr>
      <w:r>
        <w:t xml:space="preserve">SILVA, De Plácido e. </w:t>
      </w:r>
      <w:r>
        <w:rPr>
          <w:b/>
        </w:rPr>
        <w:t>Vocabulário jurídico</w:t>
      </w:r>
      <w:r>
        <w:t>. 27. ed. Rio de Janeiro: Forense, 2008, p. 1461. VITAL,</w:t>
      </w:r>
      <w:r>
        <w:rPr>
          <w:spacing w:val="47"/>
        </w:rPr>
        <w:t xml:space="preserve"> </w:t>
      </w:r>
      <w:r>
        <w:t>Danilo.</w:t>
      </w:r>
      <w:r>
        <w:rPr>
          <w:spacing w:val="49"/>
        </w:rPr>
        <w:t xml:space="preserve"> </w:t>
      </w:r>
      <w:r>
        <w:t>Questão</w:t>
      </w:r>
      <w:r>
        <w:rPr>
          <w:spacing w:val="49"/>
        </w:rPr>
        <w:t xml:space="preserve"> </w:t>
      </w:r>
      <w:r>
        <w:t>processual</w:t>
      </w:r>
      <w:r>
        <w:rPr>
          <w:spacing w:val="51"/>
        </w:rPr>
        <w:t xml:space="preserve"> </w:t>
      </w:r>
      <w:r>
        <w:t>ameaça</w:t>
      </w:r>
      <w:r>
        <w:rPr>
          <w:spacing w:val="48"/>
        </w:rPr>
        <w:t xml:space="preserve"> </w:t>
      </w:r>
      <w:r>
        <w:t>tese</w:t>
      </w:r>
      <w:r>
        <w:rPr>
          <w:spacing w:val="48"/>
        </w:rPr>
        <w:t xml:space="preserve"> </w:t>
      </w:r>
      <w:r>
        <w:t>do</w:t>
      </w:r>
      <w:r>
        <w:rPr>
          <w:spacing w:val="50"/>
        </w:rPr>
        <w:t xml:space="preserve"> </w:t>
      </w:r>
      <w:r>
        <w:t>STJ</w:t>
      </w:r>
      <w:r>
        <w:rPr>
          <w:spacing w:val="51"/>
        </w:rPr>
        <w:t xml:space="preserve"> </w:t>
      </w:r>
      <w:r>
        <w:t>sobre</w:t>
      </w:r>
      <w:r>
        <w:rPr>
          <w:spacing w:val="47"/>
        </w:rPr>
        <w:t xml:space="preserve"> </w:t>
      </w:r>
      <w:r>
        <w:t>base</w:t>
      </w:r>
      <w:r>
        <w:rPr>
          <w:spacing w:val="48"/>
        </w:rPr>
        <w:t xml:space="preserve"> </w:t>
      </w:r>
      <w:r>
        <w:t>de</w:t>
      </w:r>
      <w:r>
        <w:rPr>
          <w:spacing w:val="50"/>
        </w:rPr>
        <w:t xml:space="preserve"> </w:t>
      </w:r>
      <w:r>
        <w:t>cálculo</w:t>
      </w:r>
      <w:r>
        <w:rPr>
          <w:spacing w:val="49"/>
        </w:rPr>
        <w:t xml:space="preserve"> </w:t>
      </w:r>
      <w:r>
        <w:t>do</w:t>
      </w:r>
      <w:r>
        <w:rPr>
          <w:spacing w:val="54"/>
        </w:rPr>
        <w:t xml:space="preserve"> </w:t>
      </w:r>
      <w:r>
        <w:rPr>
          <w:spacing w:val="-2"/>
        </w:rPr>
        <w:t>ITBI.</w:t>
      </w:r>
    </w:p>
    <w:p w:rsidR="007259F2" w:rsidRDefault="00E655B4">
      <w:pPr>
        <w:pStyle w:val="Corpodetexto"/>
        <w:spacing w:before="6"/>
        <w:ind w:right="422" w:firstLine="0"/>
        <w:jc w:val="left"/>
      </w:pPr>
      <w:r>
        <w:rPr>
          <w:b/>
        </w:rPr>
        <w:t>Consultor Jurídico</w:t>
      </w:r>
      <w:r>
        <w:t>, 2024. Disponível em:</w:t>
      </w:r>
      <w:r>
        <w:rPr>
          <w:spacing w:val="25"/>
        </w:rPr>
        <w:t xml:space="preserve"> </w:t>
      </w:r>
      <w:hyperlink r:id="rId196">
        <w:r>
          <w:rPr>
            <w:color w:val="0000FF"/>
            <w:u w:val="single" w:color="0000FF"/>
          </w:rPr>
          <w:t>https://www.conjur.com.br/2022-out-28/questao-</w:t>
        </w:r>
      </w:hyperlink>
      <w:r>
        <w:rPr>
          <w:color w:val="0000FF"/>
        </w:rPr>
        <w:t xml:space="preserve"> </w:t>
      </w:r>
      <w:hyperlink r:id="rId197">
        <w:r>
          <w:rPr>
            <w:color w:val="0000FF"/>
            <w:u w:val="single" w:color="0000FF"/>
          </w:rPr>
          <w:t>processual-ameaca-tese-stj-base-calculo-itbi/</w:t>
        </w:r>
      </w:hyperlink>
      <w:r>
        <w:t>. Acesso em: 12 jan. 2024.</w:t>
      </w:r>
    </w:p>
    <w:p w:rsidR="007259F2" w:rsidRDefault="007259F2">
      <w:pPr>
        <w:pStyle w:val="Corpodetexto"/>
        <w:jc w:val="left"/>
        <w:sectPr w:rsidR="007259F2">
          <w:pgSz w:w="11910" w:h="16840"/>
          <w:pgMar w:top="1600" w:right="708" w:bottom="1020" w:left="992" w:header="0" w:footer="820" w:gutter="0"/>
          <w:cols w:space="720"/>
        </w:sectPr>
      </w:pPr>
    </w:p>
    <w:p w:rsidR="007259F2" w:rsidRDefault="00E655B4">
      <w:pPr>
        <w:pStyle w:val="Heading2"/>
        <w:spacing w:before="60"/>
        <w:ind w:right="561"/>
        <w:jc w:val="left"/>
      </w:pPr>
      <w:bookmarkStart w:id="14" w:name="_bookmark14"/>
      <w:bookmarkEnd w:id="14"/>
      <w:r>
        <w:lastRenderedPageBreak/>
        <w:t>Direito</w:t>
      </w:r>
      <w:r>
        <w:rPr>
          <w:spacing w:val="40"/>
        </w:rPr>
        <w:t xml:space="preserve"> </w:t>
      </w:r>
      <w:r>
        <w:t>à</w:t>
      </w:r>
      <w:r>
        <w:rPr>
          <w:spacing w:val="40"/>
        </w:rPr>
        <w:t xml:space="preserve"> </w:t>
      </w:r>
      <w:r>
        <w:t>saúde,</w:t>
      </w:r>
      <w:r>
        <w:rPr>
          <w:spacing w:val="40"/>
        </w:rPr>
        <w:t xml:space="preserve"> </w:t>
      </w:r>
      <w:r>
        <w:t>discricionariedade,</w:t>
      </w:r>
      <w:r>
        <w:rPr>
          <w:spacing w:val="40"/>
        </w:rPr>
        <w:t xml:space="preserve"> </w:t>
      </w:r>
      <w:r>
        <w:t>finalidade</w:t>
      </w:r>
      <w:r>
        <w:rPr>
          <w:spacing w:val="40"/>
        </w:rPr>
        <w:t xml:space="preserve"> </w:t>
      </w:r>
      <w:r>
        <w:t>e</w:t>
      </w:r>
      <w:r>
        <w:rPr>
          <w:spacing w:val="40"/>
        </w:rPr>
        <w:t xml:space="preserve"> </w:t>
      </w:r>
      <w:r>
        <w:t>a</w:t>
      </w:r>
      <w:r>
        <w:rPr>
          <w:spacing w:val="40"/>
        </w:rPr>
        <w:t xml:space="preserve"> </w:t>
      </w:r>
      <w:r>
        <w:t>(im)possibilidade</w:t>
      </w:r>
      <w:r>
        <w:rPr>
          <w:spacing w:val="40"/>
        </w:rPr>
        <w:t xml:space="preserve"> </w:t>
      </w:r>
      <w:r>
        <w:t>de</w:t>
      </w:r>
      <w:r>
        <w:rPr>
          <w:spacing w:val="40"/>
        </w:rPr>
        <w:t xml:space="preserve"> </w:t>
      </w:r>
      <w:r>
        <w:t>controle</w:t>
      </w:r>
      <w:r>
        <w:rPr>
          <w:spacing w:val="40"/>
        </w:rPr>
        <w:t xml:space="preserve"> </w:t>
      </w:r>
      <w:r>
        <w:t>do</w:t>
      </w:r>
      <w:r>
        <w:rPr>
          <w:spacing w:val="80"/>
        </w:rPr>
        <w:t xml:space="preserve"> </w:t>
      </w:r>
      <w:r>
        <w:t>mérito administrativo à luz do RE nº 684.612/RJ</w:t>
      </w:r>
    </w:p>
    <w:p w:rsidR="007259F2" w:rsidRDefault="007259F2">
      <w:pPr>
        <w:pStyle w:val="Corpodetexto"/>
        <w:spacing w:before="204"/>
        <w:ind w:left="0" w:firstLine="0"/>
        <w:jc w:val="left"/>
        <w:rPr>
          <w:b/>
        </w:rPr>
      </w:pPr>
    </w:p>
    <w:p w:rsidR="007259F2" w:rsidRDefault="00E655B4">
      <w:pPr>
        <w:ind w:left="710"/>
        <w:rPr>
          <w:b/>
          <w:sz w:val="24"/>
        </w:rPr>
      </w:pPr>
      <w:r>
        <w:rPr>
          <w:b/>
          <w:sz w:val="24"/>
        </w:rPr>
        <w:t>Right to</w:t>
      </w:r>
      <w:r>
        <w:rPr>
          <w:b/>
          <w:spacing w:val="-1"/>
          <w:sz w:val="24"/>
        </w:rPr>
        <w:t xml:space="preserve"> </w:t>
      </w:r>
      <w:r>
        <w:rPr>
          <w:b/>
          <w:sz w:val="24"/>
        </w:rPr>
        <w:t>health, discretion, purpose,</w:t>
      </w:r>
      <w:r>
        <w:rPr>
          <w:b/>
          <w:spacing w:val="-1"/>
          <w:sz w:val="24"/>
        </w:rPr>
        <w:t xml:space="preserve"> </w:t>
      </w:r>
      <w:r>
        <w:rPr>
          <w:b/>
          <w:sz w:val="24"/>
        </w:rPr>
        <w:t>and the</w:t>
      </w:r>
      <w:r>
        <w:rPr>
          <w:b/>
          <w:spacing w:val="-1"/>
          <w:sz w:val="24"/>
        </w:rPr>
        <w:t xml:space="preserve"> </w:t>
      </w:r>
      <w:r>
        <w:rPr>
          <w:b/>
          <w:sz w:val="24"/>
        </w:rPr>
        <w:t>(im)possibility of controlling administrative merit in light of EA nº 684.612/RJ</w:t>
      </w:r>
    </w:p>
    <w:p w:rsidR="007259F2" w:rsidRDefault="007259F2">
      <w:pPr>
        <w:pStyle w:val="Corpodetexto"/>
        <w:spacing w:before="204"/>
        <w:ind w:left="0" w:firstLine="0"/>
        <w:jc w:val="left"/>
        <w:rPr>
          <w:b/>
        </w:rPr>
      </w:pPr>
    </w:p>
    <w:p w:rsidR="007259F2" w:rsidRDefault="00E655B4">
      <w:pPr>
        <w:ind w:left="710"/>
        <w:rPr>
          <w:b/>
          <w:sz w:val="24"/>
        </w:rPr>
      </w:pPr>
      <w:r>
        <w:rPr>
          <w:b/>
          <w:sz w:val="24"/>
        </w:rPr>
        <w:t>Nicolaus</w:t>
      </w:r>
      <w:r>
        <w:rPr>
          <w:b/>
          <w:spacing w:val="-5"/>
          <w:sz w:val="24"/>
        </w:rPr>
        <w:t xml:space="preserve"> </w:t>
      </w:r>
      <w:r>
        <w:rPr>
          <w:b/>
          <w:sz w:val="24"/>
        </w:rPr>
        <w:t>Felipe</w:t>
      </w:r>
      <w:r>
        <w:rPr>
          <w:b/>
          <w:spacing w:val="-4"/>
          <w:sz w:val="24"/>
        </w:rPr>
        <w:t xml:space="preserve"> </w:t>
      </w:r>
      <w:r>
        <w:rPr>
          <w:b/>
          <w:sz w:val="24"/>
        </w:rPr>
        <w:t>Mendes</w:t>
      </w:r>
      <w:r>
        <w:rPr>
          <w:b/>
          <w:spacing w:val="-2"/>
          <w:sz w:val="24"/>
        </w:rPr>
        <w:t xml:space="preserve"> </w:t>
      </w:r>
      <w:r>
        <w:rPr>
          <w:b/>
          <w:sz w:val="24"/>
        </w:rPr>
        <w:t>Prota</w:t>
      </w:r>
      <w:r>
        <w:rPr>
          <w:b/>
          <w:spacing w:val="-3"/>
          <w:sz w:val="24"/>
        </w:rPr>
        <w:t xml:space="preserve"> </w:t>
      </w:r>
      <w:r>
        <w:rPr>
          <w:b/>
          <w:spacing w:val="-2"/>
          <w:sz w:val="24"/>
        </w:rPr>
        <w:t>Torrens</w:t>
      </w:r>
      <w:r>
        <w:rPr>
          <w:b/>
          <w:spacing w:val="-2"/>
          <w:sz w:val="24"/>
          <w:vertAlign w:val="superscript"/>
        </w:rPr>
        <w:t>1</w:t>
      </w:r>
    </w:p>
    <w:p w:rsidR="007259F2" w:rsidRDefault="007259F2">
      <w:pPr>
        <w:pStyle w:val="Corpodetexto"/>
        <w:spacing w:before="206"/>
        <w:ind w:left="0" w:firstLine="0"/>
        <w:jc w:val="left"/>
        <w:rPr>
          <w:b/>
        </w:rPr>
      </w:pPr>
    </w:p>
    <w:p w:rsidR="007259F2" w:rsidRDefault="00E655B4">
      <w:pPr>
        <w:pStyle w:val="Heading1"/>
        <w:spacing w:before="1"/>
      </w:pPr>
      <w:r>
        <w:rPr>
          <w:spacing w:val="-2"/>
        </w:rPr>
        <w:t>RESUMO</w:t>
      </w:r>
    </w:p>
    <w:p w:rsidR="007259F2" w:rsidRDefault="00E655B4">
      <w:pPr>
        <w:pStyle w:val="Corpodetexto"/>
        <w:spacing w:before="178"/>
        <w:ind w:right="705" w:firstLine="0"/>
      </w:pPr>
      <w:r>
        <w:t>Este estudo tem por objeto a revisitação dos conceitos de finalidade, discricionariedade e mérito administrativo, a fim de analisar a possibilidade do controle judicial do mérito administrativo para garantia do direito à saúde, tendo como plano de fundo o julgamento</w:t>
      </w:r>
      <w:r>
        <w:rPr>
          <w:spacing w:val="40"/>
        </w:rPr>
        <w:t xml:space="preserve"> </w:t>
      </w:r>
      <w:r>
        <w:t>do RE nº 684.612/RJ. Examina o tema à luz da teoria neoconstitucionalista da discricionariedade administrativa, em que a fonte é o Direito, globalmente considerado.</w:t>
      </w:r>
    </w:p>
    <w:p w:rsidR="007259F2" w:rsidRDefault="00E655B4">
      <w:pPr>
        <w:pStyle w:val="Corpodetexto"/>
        <w:spacing w:before="158"/>
        <w:ind w:firstLine="0"/>
        <w:jc w:val="left"/>
      </w:pPr>
      <w:r>
        <w:rPr>
          <w:b/>
        </w:rPr>
        <w:t>Palavras-chave:</w:t>
      </w:r>
      <w:r>
        <w:rPr>
          <w:b/>
          <w:spacing w:val="-8"/>
        </w:rPr>
        <w:t xml:space="preserve"> </w:t>
      </w:r>
      <w:r>
        <w:t>direito</w:t>
      </w:r>
      <w:r>
        <w:rPr>
          <w:spacing w:val="-5"/>
        </w:rPr>
        <w:t xml:space="preserve"> </w:t>
      </w:r>
      <w:r>
        <w:t>à</w:t>
      </w:r>
      <w:r>
        <w:rPr>
          <w:spacing w:val="-9"/>
        </w:rPr>
        <w:t xml:space="preserve"> </w:t>
      </w:r>
      <w:r>
        <w:t>saúde;</w:t>
      </w:r>
      <w:r>
        <w:rPr>
          <w:spacing w:val="-9"/>
        </w:rPr>
        <w:t xml:space="preserve"> </w:t>
      </w:r>
      <w:r>
        <w:t>discricionariedade;</w:t>
      </w:r>
      <w:r>
        <w:rPr>
          <w:spacing w:val="-8"/>
        </w:rPr>
        <w:t xml:space="preserve"> </w:t>
      </w:r>
      <w:r>
        <w:t>finalidade;</w:t>
      </w:r>
      <w:r>
        <w:rPr>
          <w:spacing w:val="-12"/>
        </w:rPr>
        <w:t xml:space="preserve"> </w:t>
      </w:r>
      <w:r>
        <w:t>mérito;</w:t>
      </w:r>
      <w:r>
        <w:rPr>
          <w:spacing w:val="-15"/>
        </w:rPr>
        <w:t xml:space="preserve"> </w:t>
      </w:r>
      <w:r>
        <w:t>controle</w:t>
      </w:r>
      <w:r>
        <w:rPr>
          <w:spacing w:val="-7"/>
        </w:rPr>
        <w:t xml:space="preserve"> </w:t>
      </w:r>
      <w:r>
        <w:rPr>
          <w:spacing w:val="-2"/>
        </w:rPr>
        <w:t>judicial.</w:t>
      </w:r>
    </w:p>
    <w:p w:rsidR="007259F2" w:rsidRDefault="007259F2">
      <w:pPr>
        <w:pStyle w:val="Corpodetexto"/>
        <w:ind w:left="0" w:firstLine="0"/>
        <w:jc w:val="left"/>
      </w:pPr>
    </w:p>
    <w:p w:rsidR="007259F2" w:rsidRDefault="007259F2">
      <w:pPr>
        <w:pStyle w:val="Corpodetexto"/>
        <w:spacing w:before="113"/>
        <w:ind w:left="0" w:firstLine="0"/>
        <w:jc w:val="left"/>
      </w:pPr>
    </w:p>
    <w:p w:rsidR="007259F2" w:rsidRDefault="00E655B4">
      <w:pPr>
        <w:pStyle w:val="Heading1"/>
      </w:pPr>
      <w:r>
        <w:rPr>
          <w:spacing w:val="-2"/>
        </w:rPr>
        <w:t>ABSTRACT</w:t>
      </w:r>
    </w:p>
    <w:p w:rsidR="007259F2" w:rsidRDefault="00E655B4">
      <w:pPr>
        <w:pStyle w:val="Corpodetexto"/>
        <w:spacing w:before="173"/>
        <w:ind w:right="700" w:firstLine="0"/>
      </w:pPr>
      <w:r>
        <w:t>This study aims to revisit the concepts of purpose, discretion, and administrative merit, analyzing</w:t>
      </w:r>
      <w:r>
        <w:rPr>
          <w:spacing w:val="-1"/>
        </w:rPr>
        <w:t xml:space="preserve"> </w:t>
      </w:r>
      <w:r>
        <w:t>the possibility of judicial control for judicial control over administrative merit as a means of safeguarding the right to health. The analysis is contextualized by</w:t>
      </w:r>
      <w:r>
        <w:rPr>
          <w:spacing w:val="-2"/>
        </w:rPr>
        <w:t xml:space="preserve"> </w:t>
      </w:r>
      <w:r>
        <w:t>the</w:t>
      </w:r>
      <w:r>
        <w:rPr>
          <w:spacing w:val="-1"/>
        </w:rPr>
        <w:t xml:space="preserve"> </w:t>
      </w:r>
      <w:r>
        <w:t>judgment of RE No. 684.612/RJ. It examines the theme in light of the premises of neo- constitutionalist theory of administrative discretion, in which the source is the Law, globally considered.</w:t>
      </w:r>
    </w:p>
    <w:p w:rsidR="007259F2" w:rsidRDefault="00E655B4">
      <w:pPr>
        <w:pStyle w:val="Corpodetexto"/>
        <w:spacing w:before="181"/>
        <w:ind w:firstLine="0"/>
        <w:jc w:val="left"/>
      </w:pPr>
      <w:r>
        <w:rPr>
          <w:b/>
        </w:rPr>
        <w:t>Keywords:</w:t>
      </w:r>
      <w:r>
        <w:rPr>
          <w:b/>
          <w:spacing w:val="-10"/>
        </w:rPr>
        <w:t xml:space="preserve"> </w:t>
      </w:r>
      <w:r>
        <w:t>right</w:t>
      </w:r>
      <w:r>
        <w:rPr>
          <w:spacing w:val="-8"/>
        </w:rPr>
        <w:t xml:space="preserve"> </w:t>
      </w:r>
      <w:r>
        <w:t>to</w:t>
      </w:r>
      <w:r>
        <w:rPr>
          <w:spacing w:val="-6"/>
        </w:rPr>
        <w:t xml:space="preserve"> </w:t>
      </w:r>
      <w:r>
        <w:t>health;</w:t>
      </w:r>
      <w:r>
        <w:rPr>
          <w:spacing w:val="-8"/>
        </w:rPr>
        <w:t xml:space="preserve"> </w:t>
      </w:r>
      <w:r>
        <w:t>discretion;</w:t>
      </w:r>
      <w:r>
        <w:rPr>
          <w:spacing w:val="-8"/>
        </w:rPr>
        <w:t xml:space="preserve"> </w:t>
      </w:r>
      <w:r>
        <w:t>purpose;</w:t>
      </w:r>
      <w:r>
        <w:rPr>
          <w:spacing w:val="-8"/>
        </w:rPr>
        <w:t xml:space="preserve"> </w:t>
      </w:r>
      <w:r>
        <w:t>merit;</w:t>
      </w:r>
      <w:r>
        <w:rPr>
          <w:spacing w:val="-15"/>
        </w:rPr>
        <w:t xml:space="preserve"> </w:t>
      </w:r>
      <w:r>
        <w:t>judicial</w:t>
      </w:r>
      <w:r>
        <w:rPr>
          <w:spacing w:val="-5"/>
        </w:rPr>
        <w:t xml:space="preserve"> </w:t>
      </w:r>
      <w:r>
        <w:rPr>
          <w:spacing w:val="-2"/>
        </w:rPr>
        <w:t>control</w:t>
      </w:r>
    </w:p>
    <w:p w:rsidR="007259F2" w:rsidRDefault="007259F2">
      <w:pPr>
        <w:pStyle w:val="Corpodetexto"/>
        <w:spacing w:before="215"/>
        <w:ind w:left="0" w:firstLine="0"/>
        <w:jc w:val="left"/>
      </w:pPr>
    </w:p>
    <w:p w:rsidR="007259F2" w:rsidRDefault="00E655B4">
      <w:pPr>
        <w:pStyle w:val="Heading2"/>
        <w:spacing w:before="1"/>
        <w:ind w:left="1430"/>
      </w:pPr>
      <w:r>
        <w:t>1</w:t>
      </w:r>
      <w:r>
        <w:rPr>
          <w:spacing w:val="61"/>
          <w:w w:val="150"/>
        </w:rPr>
        <w:t xml:space="preserve"> </w:t>
      </w:r>
      <w:r>
        <w:rPr>
          <w:spacing w:val="-2"/>
        </w:rPr>
        <w:t>Introdução</w:t>
      </w:r>
    </w:p>
    <w:p w:rsidR="007259F2" w:rsidRDefault="00E655B4">
      <w:pPr>
        <w:pStyle w:val="Corpodetexto"/>
        <w:spacing w:before="115"/>
        <w:ind w:right="422"/>
      </w:pPr>
      <w:r>
        <w:t xml:space="preserve">A Constituição Federal de 1988 inovou o ordenamento jurídico brasileiro ao alçar o direito à saúde à categoria dos direitos fundamentais e elencá-lo como dever do Estado, conferindo-lhe, assim, a mais alta importância e normatividade. Diante disso, a assistência à saúde deixa de ser mera norma programática e ganha contornos de direito subjetivo, de modo que o Poder Público passa a ter o dever de zelar pela garantia e implemento de políticas públicas que visem à redução do risco de doença e o acesso universal e igualitário a </w:t>
      </w:r>
      <w:r>
        <w:rPr>
          <w:spacing w:val="-2"/>
        </w:rPr>
        <w:t>tratamento.</w:t>
      </w:r>
    </w:p>
    <w:p w:rsidR="007259F2" w:rsidRDefault="00E655B4">
      <w:pPr>
        <w:pStyle w:val="Corpodetexto"/>
        <w:spacing w:before="1"/>
        <w:ind w:right="422"/>
      </w:pPr>
      <w:r>
        <w:t>Não obstante, a constitucionalização do direito à saúde, se por um lado representou verdadeiro</w:t>
      </w:r>
      <w:r>
        <w:rPr>
          <w:spacing w:val="-2"/>
        </w:rPr>
        <w:t xml:space="preserve"> </w:t>
      </w:r>
      <w:r>
        <w:t>vetor</w:t>
      </w:r>
      <w:r>
        <w:rPr>
          <w:spacing w:val="-2"/>
        </w:rPr>
        <w:t xml:space="preserve"> </w:t>
      </w:r>
      <w:r>
        <w:t>de</w:t>
      </w:r>
      <w:r>
        <w:rPr>
          <w:spacing w:val="-2"/>
        </w:rPr>
        <w:t xml:space="preserve"> </w:t>
      </w:r>
      <w:r>
        <w:t>mudanças</w:t>
      </w:r>
      <w:r>
        <w:rPr>
          <w:spacing w:val="-1"/>
        </w:rPr>
        <w:t xml:space="preserve"> </w:t>
      </w:r>
      <w:r>
        <w:t>em</w:t>
      </w:r>
      <w:r>
        <w:rPr>
          <w:spacing w:val="-2"/>
        </w:rPr>
        <w:t xml:space="preserve"> </w:t>
      </w:r>
      <w:r>
        <w:t>nossa</w:t>
      </w:r>
      <w:r>
        <w:rPr>
          <w:spacing w:val="-2"/>
        </w:rPr>
        <w:t xml:space="preserve"> </w:t>
      </w:r>
      <w:r>
        <w:t>sociedade</w:t>
      </w:r>
      <w:r>
        <w:rPr>
          <w:spacing w:val="-3"/>
        </w:rPr>
        <w:t xml:space="preserve"> </w:t>
      </w:r>
      <w:r>
        <w:t>com</w:t>
      </w:r>
      <w:r>
        <w:rPr>
          <w:spacing w:val="-1"/>
        </w:rPr>
        <w:t xml:space="preserve"> </w:t>
      </w:r>
      <w:r>
        <w:t>a</w:t>
      </w:r>
      <w:r>
        <w:rPr>
          <w:spacing w:val="-3"/>
        </w:rPr>
        <w:t xml:space="preserve"> </w:t>
      </w:r>
      <w:r>
        <w:t>implementação do</w:t>
      </w:r>
      <w:r>
        <w:rPr>
          <w:spacing w:val="-2"/>
        </w:rPr>
        <w:t xml:space="preserve"> </w:t>
      </w:r>
      <w:r>
        <w:t>Sistema</w:t>
      </w:r>
      <w:r>
        <w:rPr>
          <w:spacing w:val="-2"/>
        </w:rPr>
        <w:t xml:space="preserve"> </w:t>
      </w:r>
      <w:r>
        <w:t>Único</w:t>
      </w:r>
      <w:r>
        <w:rPr>
          <w:spacing w:val="-2"/>
        </w:rPr>
        <w:t xml:space="preserve"> </w:t>
      </w:r>
      <w:r>
        <w:t>de Saúde e a melhoria de diversos indicativos, os constantes desafios na implementação de políticas</w:t>
      </w:r>
      <w:r>
        <w:rPr>
          <w:spacing w:val="-3"/>
        </w:rPr>
        <w:t xml:space="preserve"> </w:t>
      </w:r>
      <w:r>
        <w:t>públicas</w:t>
      </w:r>
      <w:r>
        <w:rPr>
          <w:spacing w:val="-3"/>
        </w:rPr>
        <w:t xml:space="preserve"> </w:t>
      </w:r>
      <w:r>
        <w:t>ocasionaram</w:t>
      </w:r>
      <w:r>
        <w:rPr>
          <w:spacing w:val="-1"/>
        </w:rPr>
        <w:t xml:space="preserve"> </w:t>
      </w:r>
      <w:r>
        <w:t>a</w:t>
      </w:r>
      <w:r>
        <w:rPr>
          <w:spacing w:val="-4"/>
        </w:rPr>
        <w:t xml:space="preserve"> </w:t>
      </w:r>
      <w:r>
        <w:t>busca</w:t>
      </w:r>
      <w:r>
        <w:rPr>
          <w:spacing w:val="-2"/>
        </w:rPr>
        <w:t xml:space="preserve"> </w:t>
      </w:r>
      <w:r>
        <w:t>pela</w:t>
      </w:r>
      <w:r>
        <w:rPr>
          <w:spacing w:val="-2"/>
        </w:rPr>
        <w:t xml:space="preserve"> </w:t>
      </w:r>
      <w:r>
        <w:t>tutela</w:t>
      </w:r>
      <w:r>
        <w:rPr>
          <w:spacing w:val="-2"/>
        </w:rPr>
        <w:t xml:space="preserve"> </w:t>
      </w:r>
      <w:r>
        <w:t>jurisdicional</w:t>
      </w:r>
      <w:r>
        <w:rPr>
          <w:spacing w:val="-3"/>
        </w:rPr>
        <w:t xml:space="preserve"> </w:t>
      </w:r>
      <w:r>
        <w:t>para</w:t>
      </w:r>
      <w:r>
        <w:rPr>
          <w:spacing w:val="-4"/>
        </w:rPr>
        <w:t xml:space="preserve"> </w:t>
      </w:r>
      <w:r>
        <w:t>que</w:t>
      </w:r>
      <w:r>
        <w:rPr>
          <w:spacing w:val="-4"/>
        </w:rPr>
        <w:t xml:space="preserve"> </w:t>
      </w:r>
      <w:r>
        <w:t>seus</w:t>
      </w:r>
      <w:r>
        <w:rPr>
          <w:spacing w:val="-3"/>
        </w:rPr>
        <w:t xml:space="preserve"> </w:t>
      </w:r>
      <w:r>
        <w:t>objetivos</w:t>
      </w:r>
      <w:r>
        <w:rPr>
          <w:spacing w:val="-3"/>
        </w:rPr>
        <w:t xml:space="preserve"> </w:t>
      </w:r>
      <w:r>
        <w:t>fossem concretizados em casos de omissão do Poder Público, o que deu origem ao fenômeno da judicialização da saúde, hoje tão debatido na doutrina e jurisprudência.</w:t>
      </w:r>
    </w:p>
    <w:p w:rsidR="007259F2" w:rsidRDefault="00DE6B1C">
      <w:pPr>
        <w:pStyle w:val="Corpodetexto"/>
        <w:spacing w:before="4"/>
        <w:ind w:left="0" w:firstLine="0"/>
        <w:jc w:val="left"/>
        <w:rPr>
          <w:sz w:val="12"/>
        </w:rPr>
      </w:pPr>
      <w:r w:rsidRPr="00DE6B1C">
        <w:rPr>
          <w:sz w:val="12"/>
        </w:rPr>
        <w:pict>
          <v:rect id="docshape133" o:spid="_x0000_s1094" style="position:absolute;margin-left:85.1pt;margin-top:8.35pt;width:2in;height:.7pt;z-index:-15670784;mso-wrap-distance-left:0;mso-wrap-distance-right:0;mso-position-horizontal-relative:page" fillcolor="black" stroked="f">
            <w10:wrap type="topAndBottom" anchorx="page"/>
          </v:rect>
        </w:pict>
      </w:r>
    </w:p>
    <w:p w:rsidR="007259F2" w:rsidRDefault="00E655B4">
      <w:pPr>
        <w:spacing w:before="97"/>
        <w:ind w:left="710" w:right="418"/>
        <w:jc w:val="both"/>
        <w:rPr>
          <w:sz w:val="20"/>
        </w:rPr>
      </w:pPr>
      <w:r>
        <w:rPr>
          <w:sz w:val="20"/>
          <w:vertAlign w:val="superscript"/>
        </w:rPr>
        <w:t>1</w:t>
      </w:r>
      <w:r>
        <w:rPr>
          <w:sz w:val="20"/>
        </w:rPr>
        <w:t xml:space="preserve"> Residente jurídico do Programa de Residência Jurídica da Procuradoria-Geral do Município de São Paulo, alocado</w:t>
      </w:r>
      <w:r>
        <w:rPr>
          <w:spacing w:val="-2"/>
          <w:sz w:val="20"/>
        </w:rPr>
        <w:t xml:space="preserve"> </w:t>
      </w:r>
      <w:r>
        <w:rPr>
          <w:sz w:val="20"/>
        </w:rPr>
        <w:t>na</w:t>
      </w:r>
      <w:r>
        <w:rPr>
          <w:spacing w:val="-3"/>
          <w:sz w:val="20"/>
        </w:rPr>
        <w:t xml:space="preserve"> </w:t>
      </w:r>
      <w:r>
        <w:rPr>
          <w:sz w:val="20"/>
        </w:rPr>
        <w:t>Secretaria</w:t>
      </w:r>
      <w:r>
        <w:rPr>
          <w:spacing w:val="-3"/>
          <w:sz w:val="20"/>
        </w:rPr>
        <w:t xml:space="preserve"> </w:t>
      </w:r>
      <w:r>
        <w:rPr>
          <w:sz w:val="20"/>
        </w:rPr>
        <w:t>Municipal</w:t>
      </w:r>
      <w:r>
        <w:rPr>
          <w:spacing w:val="-3"/>
          <w:sz w:val="20"/>
        </w:rPr>
        <w:t xml:space="preserve"> </w:t>
      </w:r>
      <w:r>
        <w:rPr>
          <w:sz w:val="20"/>
        </w:rPr>
        <w:t>da</w:t>
      </w:r>
      <w:r>
        <w:rPr>
          <w:spacing w:val="-3"/>
          <w:sz w:val="20"/>
        </w:rPr>
        <w:t xml:space="preserve"> </w:t>
      </w:r>
      <w:r>
        <w:rPr>
          <w:sz w:val="20"/>
        </w:rPr>
        <w:t>Fazenda -</w:t>
      </w:r>
      <w:r>
        <w:rPr>
          <w:spacing w:val="-2"/>
          <w:sz w:val="20"/>
        </w:rPr>
        <w:t xml:space="preserve"> </w:t>
      </w:r>
      <w:r>
        <w:rPr>
          <w:sz w:val="20"/>
        </w:rPr>
        <w:t>SF</w:t>
      </w:r>
      <w:r>
        <w:rPr>
          <w:spacing w:val="80"/>
          <w:sz w:val="20"/>
        </w:rPr>
        <w:t xml:space="preserve"> </w:t>
      </w:r>
      <w:r>
        <w:rPr>
          <w:sz w:val="20"/>
        </w:rPr>
        <w:t>(2022-2025).</w:t>
      </w:r>
      <w:r>
        <w:rPr>
          <w:spacing w:val="-3"/>
          <w:sz w:val="20"/>
        </w:rPr>
        <w:t xml:space="preserve"> </w:t>
      </w:r>
      <w:r>
        <w:rPr>
          <w:sz w:val="20"/>
        </w:rPr>
        <w:t>Especialista</w:t>
      </w:r>
      <w:r>
        <w:rPr>
          <w:spacing w:val="-3"/>
          <w:sz w:val="20"/>
        </w:rPr>
        <w:t xml:space="preserve"> </w:t>
      </w:r>
      <w:r>
        <w:rPr>
          <w:sz w:val="20"/>
        </w:rPr>
        <w:t>em</w:t>
      </w:r>
      <w:r>
        <w:rPr>
          <w:spacing w:val="-7"/>
          <w:sz w:val="20"/>
        </w:rPr>
        <w:t xml:space="preserve"> </w:t>
      </w:r>
      <w:r>
        <w:rPr>
          <w:sz w:val="20"/>
        </w:rPr>
        <w:t>Direito</w:t>
      </w:r>
      <w:r>
        <w:rPr>
          <w:spacing w:val="-4"/>
          <w:sz w:val="20"/>
        </w:rPr>
        <w:t xml:space="preserve"> </w:t>
      </w:r>
      <w:r>
        <w:rPr>
          <w:sz w:val="20"/>
        </w:rPr>
        <w:t>Tributário</w:t>
      </w:r>
      <w:r>
        <w:rPr>
          <w:spacing w:val="-2"/>
          <w:sz w:val="20"/>
        </w:rPr>
        <w:t xml:space="preserve"> </w:t>
      </w:r>
      <w:r>
        <w:rPr>
          <w:sz w:val="20"/>
        </w:rPr>
        <w:t>pela</w:t>
      </w:r>
      <w:r>
        <w:rPr>
          <w:spacing w:val="-2"/>
          <w:sz w:val="20"/>
        </w:rPr>
        <w:t xml:space="preserve"> </w:t>
      </w:r>
      <w:r>
        <w:rPr>
          <w:sz w:val="20"/>
        </w:rPr>
        <w:t xml:space="preserve">FGV-SP. Bacharel em Direito pela PUC-SP. E-mail: </w:t>
      </w:r>
      <w:hyperlink r:id="rId198">
        <w:r>
          <w:rPr>
            <w:sz w:val="20"/>
          </w:rPr>
          <w:t>nicolaus.prota@gmail.com</w:t>
        </w:r>
      </w:hyperlink>
    </w:p>
    <w:p w:rsidR="007259F2" w:rsidRDefault="007259F2">
      <w:pPr>
        <w:jc w:val="both"/>
        <w:rPr>
          <w:sz w:val="20"/>
        </w:rPr>
        <w:sectPr w:rsidR="007259F2">
          <w:pgSz w:w="11910" w:h="16840"/>
          <w:pgMar w:top="1620" w:right="708" w:bottom="1020" w:left="992" w:header="0" w:footer="820" w:gutter="0"/>
          <w:cols w:space="720"/>
        </w:sectPr>
      </w:pPr>
    </w:p>
    <w:p w:rsidR="007259F2" w:rsidRDefault="00E655B4">
      <w:pPr>
        <w:pStyle w:val="Corpodetexto"/>
        <w:spacing w:before="75"/>
        <w:ind w:right="421"/>
      </w:pPr>
      <w:r>
        <w:lastRenderedPageBreak/>
        <w:t>Contudo,</w:t>
      </w:r>
      <w:r>
        <w:rPr>
          <w:spacing w:val="-3"/>
        </w:rPr>
        <w:t xml:space="preserve"> </w:t>
      </w:r>
      <w:r>
        <w:t>a</w:t>
      </w:r>
      <w:r>
        <w:rPr>
          <w:spacing w:val="-4"/>
        </w:rPr>
        <w:t xml:space="preserve"> </w:t>
      </w:r>
      <w:r>
        <w:t>discussão</w:t>
      </w:r>
      <w:r>
        <w:rPr>
          <w:spacing w:val="-3"/>
        </w:rPr>
        <w:t xml:space="preserve"> </w:t>
      </w:r>
      <w:r>
        <w:t>acerca</w:t>
      </w:r>
      <w:r>
        <w:rPr>
          <w:spacing w:val="-6"/>
        </w:rPr>
        <w:t xml:space="preserve"> </w:t>
      </w:r>
      <w:r>
        <w:t>da</w:t>
      </w:r>
      <w:r>
        <w:rPr>
          <w:spacing w:val="-7"/>
        </w:rPr>
        <w:t xml:space="preserve"> </w:t>
      </w:r>
      <w:r>
        <w:t>implementação</w:t>
      </w:r>
      <w:r>
        <w:rPr>
          <w:spacing w:val="-2"/>
        </w:rPr>
        <w:t xml:space="preserve"> </w:t>
      </w:r>
      <w:r>
        <w:t>de Políticas</w:t>
      </w:r>
      <w:r>
        <w:rPr>
          <w:spacing w:val="-2"/>
        </w:rPr>
        <w:t xml:space="preserve"> </w:t>
      </w:r>
      <w:r>
        <w:t>Públicas</w:t>
      </w:r>
      <w:r>
        <w:rPr>
          <w:spacing w:val="-2"/>
        </w:rPr>
        <w:t xml:space="preserve"> </w:t>
      </w:r>
      <w:r>
        <w:t>e</w:t>
      </w:r>
      <w:r>
        <w:rPr>
          <w:spacing w:val="-7"/>
        </w:rPr>
        <w:t xml:space="preserve"> </w:t>
      </w:r>
      <w:r>
        <w:t>o</w:t>
      </w:r>
      <w:r>
        <w:rPr>
          <w:spacing w:val="-3"/>
        </w:rPr>
        <w:t xml:space="preserve"> </w:t>
      </w:r>
      <w:r>
        <w:t>direito</w:t>
      </w:r>
      <w:r>
        <w:rPr>
          <w:spacing w:val="-3"/>
        </w:rPr>
        <w:t xml:space="preserve"> </w:t>
      </w:r>
      <w:r>
        <w:t>à</w:t>
      </w:r>
      <w:r>
        <w:rPr>
          <w:spacing w:val="-7"/>
        </w:rPr>
        <w:t xml:space="preserve"> </w:t>
      </w:r>
      <w:r>
        <w:t>saúde perpassa invariavelmente pela atuação dos gestores públicos e a discricionariedade do ato administrativo para a realização de determinadas políticas em vez de outras, construir um hospital ou uma Unidade Básica de Saúde? Promover a abertura de concursos públicos para a contratação</w:t>
      </w:r>
      <w:r>
        <w:rPr>
          <w:spacing w:val="-1"/>
        </w:rPr>
        <w:t xml:space="preserve"> </w:t>
      </w:r>
      <w:r>
        <w:t>de</w:t>
      </w:r>
      <w:r>
        <w:rPr>
          <w:spacing w:val="-1"/>
        </w:rPr>
        <w:t xml:space="preserve"> </w:t>
      </w:r>
      <w:r>
        <w:t>médicos ou</w:t>
      </w:r>
      <w:r>
        <w:rPr>
          <w:spacing w:val="-1"/>
        </w:rPr>
        <w:t xml:space="preserve"> </w:t>
      </w:r>
      <w:r>
        <w:t>realizar a</w:t>
      </w:r>
      <w:r>
        <w:rPr>
          <w:spacing w:val="-2"/>
        </w:rPr>
        <w:t xml:space="preserve"> </w:t>
      </w:r>
      <w:r>
        <w:t>contratação</w:t>
      </w:r>
      <w:r>
        <w:rPr>
          <w:spacing w:val="-1"/>
        </w:rPr>
        <w:t xml:space="preserve"> </w:t>
      </w:r>
      <w:r>
        <w:t>de uma</w:t>
      </w:r>
      <w:r>
        <w:rPr>
          <w:spacing w:val="-1"/>
        </w:rPr>
        <w:t xml:space="preserve"> </w:t>
      </w:r>
      <w:r>
        <w:t>Organização</w:t>
      </w:r>
      <w:r>
        <w:rPr>
          <w:spacing w:val="-1"/>
        </w:rPr>
        <w:t xml:space="preserve"> </w:t>
      </w:r>
      <w:r>
        <w:t>da</w:t>
      </w:r>
      <w:r>
        <w:rPr>
          <w:spacing w:val="-1"/>
        </w:rPr>
        <w:t xml:space="preserve"> </w:t>
      </w:r>
      <w:r>
        <w:t>Sociedade</w:t>
      </w:r>
      <w:r>
        <w:rPr>
          <w:spacing w:val="-1"/>
        </w:rPr>
        <w:t xml:space="preserve"> </w:t>
      </w:r>
      <w:r>
        <w:t>Civil</w:t>
      </w:r>
      <w:r>
        <w:rPr>
          <w:spacing w:val="-1"/>
        </w:rPr>
        <w:t xml:space="preserve"> </w:t>
      </w:r>
      <w:r>
        <w:t>para que</w:t>
      </w:r>
      <w:r>
        <w:rPr>
          <w:spacing w:val="-15"/>
        </w:rPr>
        <w:t xml:space="preserve"> </w:t>
      </w:r>
      <w:r>
        <w:t>essa</w:t>
      </w:r>
      <w:r>
        <w:rPr>
          <w:spacing w:val="-15"/>
        </w:rPr>
        <w:t xml:space="preserve"> </w:t>
      </w:r>
      <w:r>
        <w:t>realize</w:t>
      </w:r>
      <w:r>
        <w:rPr>
          <w:spacing w:val="-15"/>
        </w:rPr>
        <w:t xml:space="preserve"> </w:t>
      </w:r>
      <w:r>
        <w:t>a</w:t>
      </w:r>
      <w:r>
        <w:rPr>
          <w:spacing w:val="-15"/>
        </w:rPr>
        <w:t xml:space="preserve"> </w:t>
      </w:r>
      <w:r>
        <w:t>prestação</w:t>
      </w:r>
      <w:r>
        <w:rPr>
          <w:spacing w:val="-15"/>
        </w:rPr>
        <w:t xml:space="preserve"> </w:t>
      </w:r>
      <w:r>
        <w:t>dos</w:t>
      </w:r>
      <w:r>
        <w:rPr>
          <w:spacing w:val="-15"/>
        </w:rPr>
        <w:t xml:space="preserve"> </w:t>
      </w:r>
      <w:r>
        <w:t>serviços?</w:t>
      </w:r>
      <w:r>
        <w:rPr>
          <w:spacing w:val="-15"/>
        </w:rPr>
        <w:t xml:space="preserve"> </w:t>
      </w:r>
      <w:r>
        <w:t>São</w:t>
      </w:r>
      <w:r>
        <w:rPr>
          <w:spacing w:val="-15"/>
        </w:rPr>
        <w:t xml:space="preserve"> </w:t>
      </w:r>
      <w:r>
        <w:t>questionamentos</w:t>
      </w:r>
      <w:r>
        <w:rPr>
          <w:spacing w:val="-15"/>
        </w:rPr>
        <w:t xml:space="preserve"> </w:t>
      </w:r>
      <w:r>
        <w:t>que</w:t>
      </w:r>
      <w:r>
        <w:rPr>
          <w:spacing w:val="-15"/>
        </w:rPr>
        <w:t xml:space="preserve"> </w:t>
      </w:r>
      <w:r>
        <w:t>diariamente</w:t>
      </w:r>
      <w:r>
        <w:rPr>
          <w:spacing w:val="-15"/>
        </w:rPr>
        <w:t xml:space="preserve"> </w:t>
      </w:r>
      <w:r>
        <w:t>são</w:t>
      </w:r>
      <w:r>
        <w:rPr>
          <w:spacing w:val="-15"/>
        </w:rPr>
        <w:t xml:space="preserve"> </w:t>
      </w:r>
      <w:r>
        <w:t xml:space="preserve">enfrentados pelos gestores públicos no Brasil e que, embora sejam pautados (ou assim deveriam ser) em estudos técnicos, decorrem também da atuação humana do gestor, suas concepções e visão de </w:t>
      </w:r>
      <w:r>
        <w:rPr>
          <w:spacing w:val="-2"/>
        </w:rPr>
        <w:t>mundo.</w:t>
      </w:r>
    </w:p>
    <w:p w:rsidR="007259F2" w:rsidRDefault="00E655B4">
      <w:pPr>
        <w:pStyle w:val="Corpodetexto"/>
        <w:ind w:right="426"/>
      </w:pPr>
      <w:r>
        <w:t>Cumpre ressaltar que, no âmbito do direito à saúde e dos direitos fundamentais, a discussão se torna ainda mais sensível dado o caráter de justiciabilidade dos direitos e o dever inafastável do Estado de respeitar o direito à vida e a dignidade humana.</w:t>
      </w:r>
    </w:p>
    <w:p w:rsidR="007259F2" w:rsidRDefault="00E655B4">
      <w:pPr>
        <w:pStyle w:val="Corpodetexto"/>
        <w:spacing w:before="1"/>
        <w:ind w:right="420"/>
      </w:pPr>
      <w:r>
        <w:t xml:space="preserve">Nesse contexto, o Supremo Tribunal Federal tem admitido a intervenção do Judiciário para a implementação de políticas públicas, em situações excepcionais, quando comprovada a inércia ou morosidade do ente público. Portanto, uma vez comprovada a ausência ou grave </w:t>
      </w:r>
      <w:r>
        <w:rPr>
          <w:spacing w:val="-2"/>
        </w:rPr>
        <w:t>deficiência</w:t>
      </w:r>
      <w:r>
        <w:rPr>
          <w:spacing w:val="-4"/>
        </w:rPr>
        <w:t xml:space="preserve"> </w:t>
      </w:r>
      <w:r>
        <w:rPr>
          <w:spacing w:val="-2"/>
        </w:rPr>
        <w:t>do</w:t>
      </w:r>
      <w:r>
        <w:rPr>
          <w:spacing w:val="-3"/>
        </w:rPr>
        <w:t xml:space="preserve"> </w:t>
      </w:r>
      <w:r>
        <w:rPr>
          <w:spacing w:val="-2"/>
        </w:rPr>
        <w:t>serviço público,</w:t>
      </w:r>
      <w:r>
        <w:rPr>
          <w:spacing w:val="-3"/>
        </w:rPr>
        <w:t xml:space="preserve"> </w:t>
      </w:r>
      <w:r>
        <w:rPr>
          <w:spacing w:val="-2"/>
        </w:rPr>
        <w:t>decorrente</w:t>
      </w:r>
      <w:r>
        <w:rPr>
          <w:spacing w:val="-4"/>
        </w:rPr>
        <w:t xml:space="preserve"> </w:t>
      </w:r>
      <w:r>
        <w:rPr>
          <w:spacing w:val="-2"/>
        </w:rPr>
        <w:t>da</w:t>
      </w:r>
      <w:r>
        <w:rPr>
          <w:spacing w:val="-6"/>
        </w:rPr>
        <w:t xml:space="preserve"> </w:t>
      </w:r>
      <w:r>
        <w:rPr>
          <w:spacing w:val="-2"/>
        </w:rPr>
        <w:t>inércia</w:t>
      </w:r>
      <w:r>
        <w:rPr>
          <w:spacing w:val="-3"/>
        </w:rPr>
        <w:t xml:space="preserve"> </w:t>
      </w:r>
      <w:r>
        <w:rPr>
          <w:spacing w:val="-2"/>
        </w:rPr>
        <w:t>ou</w:t>
      </w:r>
      <w:r>
        <w:rPr>
          <w:spacing w:val="-3"/>
        </w:rPr>
        <w:t xml:space="preserve"> </w:t>
      </w:r>
      <w:r>
        <w:rPr>
          <w:spacing w:val="-2"/>
        </w:rPr>
        <w:t>excessiva</w:t>
      </w:r>
      <w:r>
        <w:rPr>
          <w:spacing w:val="-6"/>
        </w:rPr>
        <w:t xml:space="preserve"> </w:t>
      </w:r>
      <w:r>
        <w:rPr>
          <w:spacing w:val="-2"/>
        </w:rPr>
        <w:t>morosidade</w:t>
      </w:r>
      <w:r>
        <w:rPr>
          <w:spacing w:val="-6"/>
        </w:rPr>
        <w:t xml:space="preserve"> </w:t>
      </w:r>
      <w:r>
        <w:rPr>
          <w:spacing w:val="-2"/>
        </w:rPr>
        <w:t>do</w:t>
      </w:r>
      <w:r>
        <w:rPr>
          <w:spacing w:val="-3"/>
        </w:rPr>
        <w:t xml:space="preserve"> </w:t>
      </w:r>
      <w:r>
        <w:rPr>
          <w:spacing w:val="-2"/>
        </w:rPr>
        <w:t>Poder</w:t>
      </w:r>
      <w:r>
        <w:rPr>
          <w:spacing w:val="-6"/>
        </w:rPr>
        <w:t xml:space="preserve"> </w:t>
      </w:r>
      <w:r>
        <w:rPr>
          <w:spacing w:val="-2"/>
        </w:rPr>
        <w:t xml:space="preserve">Público, </w:t>
      </w:r>
      <w:r>
        <w:t>com o descumprimento de seus deveres institucionais, o Poder Judiciário estaria autorizado a atuar de forma mais proativa, em especial se estiver em discussão direitos fundamentais.</w:t>
      </w:r>
    </w:p>
    <w:p w:rsidR="007259F2" w:rsidRDefault="00E655B4">
      <w:pPr>
        <w:pStyle w:val="Corpodetexto"/>
        <w:ind w:right="423"/>
      </w:pPr>
      <w:r>
        <w:t>Em recente decisão, a Corte paradigmaticamente julgou o RE nº 684.612/RJ</w:t>
      </w:r>
      <w:r>
        <w:rPr>
          <w:vertAlign w:val="superscript"/>
        </w:rPr>
        <w:t>2</w:t>
      </w:r>
      <w:r>
        <w:t>, sob o regime de Repercussão Geral (Tema nº 698), no qual além de consolidar a possibilidade de intervenção do Poder Judiciário na concretização de direitos fundamentais, fixou parâmetros para permitir a efetiva atuação judicial.</w:t>
      </w:r>
    </w:p>
    <w:p w:rsidR="007259F2" w:rsidRDefault="00E655B4">
      <w:pPr>
        <w:pStyle w:val="Corpodetexto"/>
        <w:ind w:right="420"/>
      </w:pPr>
      <w:r>
        <w:t>Não obstante o voto do Ministro Barroso seja bastante elucidativo, em um cenário de conceitos</w:t>
      </w:r>
      <w:r>
        <w:rPr>
          <w:spacing w:val="-12"/>
        </w:rPr>
        <w:t xml:space="preserve"> </w:t>
      </w:r>
      <w:r>
        <w:t>jurídicos</w:t>
      </w:r>
      <w:r>
        <w:rPr>
          <w:spacing w:val="-11"/>
        </w:rPr>
        <w:t xml:space="preserve"> </w:t>
      </w:r>
      <w:r>
        <w:t>indeterminados,</w:t>
      </w:r>
      <w:r>
        <w:rPr>
          <w:spacing w:val="-11"/>
        </w:rPr>
        <w:t xml:space="preserve"> </w:t>
      </w:r>
      <w:r>
        <w:t>como</w:t>
      </w:r>
      <w:r>
        <w:rPr>
          <w:spacing w:val="-12"/>
        </w:rPr>
        <w:t xml:space="preserve"> </w:t>
      </w:r>
      <w:r>
        <w:t>é</w:t>
      </w:r>
      <w:r>
        <w:rPr>
          <w:spacing w:val="-13"/>
        </w:rPr>
        <w:t xml:space="preserve"> </w:t>
      </w:r>
      <w:r>
        <w:t>o</w:t>
      </w:r>
      <w:r>
        <w:rPr>
          <w:spacing w:val="-12"/>
        </w:rPr>
        <w:t xml:space="preserve"> </w:t>
      </w:r>
      <w:r>
        <w:t>implemento</w:t>
      </w:r>
      <w:r>
        <w:rPr>
          <w:spacing w:val="-11"/>
        </w:rPr>
        <w:t xml:space="preserve"> </w:t>
      </w:r>
      <w:r>
        <w:t>do</w:t>
      </w:r>
      <w:r>
        <w:rPr>
          <w:spacing w:val="-12"/>
        </w:rPr>
        <w:t xml:space="preserve"> </w:t>
      </w:r>
      <w:r>
        <w:t>direito</w:t>
      </w:r>
      <w:r>
        <w:rPr>
          <w:spacing w:val="-12"/>
        </w:rPr>
        <w:t xml:space="preserve"> </w:t>
      </w:r>
      <w:r>
        <w:t>à</w:t>
      </w:r>
      <w:r>
        <w:rPr>
          <w:spacing w:val="-13"/>
        </w:rPr>
        <w:t xml:space="preserve"> </w:t>
      </w:r>
      <w:r>
        <w:t>saúde</w:t>
      </w:r>
      <w:r>
        <w:rPr>
          <w:spacing w:val="-10"/>
        </w:rPr>
        <w:t xml:space="preserve"> </w:t>
      </w:r>
      <w:r>
        <w:t>e</w:t>
      </w:r>
      <w:r>
        <w:rPr>
          <w:spacing w:val="-13"/>
        </w:rPr>
        <w:t xml:space="preserve"> </w:t>
      </w:r>
      <w:r>
        <w:t>dada</w:t>
      </w:r>
      <w:r>
        <w:rPr>
          <w:spacing w:val="-11"/>
        </w:rPr>
        <w:t xml:space="preserve"> </w:t>
      </w:r>
      <w:r>
        <w:t>a</w:t>
      </w:r>
      <w:r>
        <w:rPr>
          <w:spacing w:val="-13"/>
        </w:rPr>
        <w:t xml:space="preserve"> </w:t>
      </w:r>
      <w:r>
        <w:t>relevância do tema e o efeito multiplicador das decisões da Suprema Corte, o presente trabalho propõe a revisitação dos conceitos de discricionariedade, mérito e finalidade administrativa, a fim de refletir</w:t>
      </w:r>
      <w:r>
        <w:rPr>
          <w:spacing w:val="-15"/>
        </w:rPr>
        <w:t xml:space="preserve"> </w:t>
      </w:r>
      <w:r>
        <w:t>acerca</w:t>
      </w:r>
      <w:r>
        <w:rPr>
          <w:spacing w:val="-15"/>
        </w:rPr>
        <w:t xml:space="preserve"> </w:t>
      </w:r>
      <w:r>
        <w:t>da</w:t>
      </w:r>
      <w:r>
        <w:rPr>
          <w:spacing w:val="-15"/>
        </w:rPr>
        <w:t xml:space="preserve"> </w:t>
      </w:r>
      <w:r>
        <w:t>possibilidade</w:t>
      </w:r>
      <w:r>
        <w:rPr>
          <w:spacing w:val="-14"/>
        </w:rPr>
        <w:t xml:space="preserve"> </w:t>
      </w:r>
      <w:r>
        <w:t>(ou</w:t>
      </w:r>
      <w:r>
        <w:rPr>
          <w:spacing w:val="-15"/>
        </w:rPr>
        <w:t xml:space="preserve"> </w:t>
      </w:r>
      <w:r>
        <w:t>impossibilidade)</w:t>
      </w:r>
      <w:r>
        <w:rPr>
          <w:spacing w:val="-15"/>
        </w:rPr>
        <w:t xml:space="preserve"> </w:t>
      </w:r>
      <w:r>
        <w:t>de</w:t>
      </w:r>
      <w:r>
        <w:rPr>
          <w:spacing w:val="-13"/>
        </w:rPr>
        <w:t xml:space="preserve"> </w:t>
      </w:r>
      <w:r>
        <w:t>controle</w:t>
      </w:r>
      <w:r>
        <w:rPr>
          <w:spacing w:val="-12"/>
        </w:rPr>
        <w:t xml:space="preserve"> </w:t>
      </w:r>
      <w:r>
        <w:t>do</w:t>
      </w:r>
      <w:r>
        <w:rPr>
          <w:spacing w:val="-14"/>
        </w:rPr>
        <w:t xml:space="preserve"> </w:t>
      </w:r>
      <w:r>
        <w:t>mérito</w:t>
      </w:r>
      <w:r>
        <w:rPr>
          <w:spacing w:val="-13"/>
        </w:rPr>
        <w:t xml:space="preserve"> </w:t>
      </w:r>
      <w:r>
        <w:t>administrativo</w:t>
      </w:r>
      <w:r>
        <w:rPr>
          <w:spacing w:val="-12"/>
        </w:rPr>
        <w:t xml:space="preserve"> </w:t>
      </w:r>
      <w:r>
        <w:t>diante de direitos fundamentais, em especial o direito à saúde, tendo como plano de fundo o caso analisado pelo STF.</w:t>
      </w:r>
    </w:p>
    <w:p w:rsidR="007259F2" w:rsidRDefault="00E655B4">
      <w:pPr>
        <w:pStyle w:val="Corpodetexto"/>
        <w:ind w:right="422"/>
      </w:pPr>
      <w:r>
        <w:t>Portanto, é inegável que ante o paradigma do neoconstitucionalismo</w:t>
      </w:r>
      <w:r>
        <w:rPr>
          <w:vertAlign w:val="superscript"/>
        </w:rPr>
        <w:t>3</w:t>
      </w:r>
      <w:r>
        <w:t xml:space="preserve"> e a constitucionalização</w:t>
      </w:r>
      <w:r>
        <w:rPr>
          <w:spacing w:val="-15"/>
        </w:rPr>
        <w:t xml:space="preserve"> </w:t>
      </w:r>
      <w:r>
        <w:t>dos</w:t>
      </w:r>
      <w:r>
        <w:rPr>
          <w:spacing w:val="-15"/>
        </w:rPr>
        <w:t xml:space="preserve"> </w:t>
      </w:r>
      <w:r>
        <w:t>direitos</w:t>
      </w:r>
      <w:r>
        <w:rPr>
          <w:spacing w:val="-15"/>
        </w:rPr>
        <w:t xml:space="preserve"> </w:t>
      </w:r>
      <w:r>
        <w:t>sociais,</w:t>
      </w:r>
      <w:r>
        <w:rPr>
          <w:spacing w:val="-15"/>
        </w:rPr>
        <w:t xml:space="preserve"> </w:t>
      </w:r>
      <w:r>
        <w:t>em</w:t>
      </w:r>
      <w:r>
        <w:rPr>
          <w:spacing w:val="-15"/>
        </w:rPr>
        <w:t xml:space="preserve"> </w:t>
      </w:r>
      <w:r>
        <w:t>contraste</w:t>
      </w:r>
      <w:r>
        <w:rPr>
          <w:spacing w:val="-15"/>
        </w:rPr>
        <w:t xml:space="preserve"> </w:t>
      </w:r>
      <w:r>
        <w:t>a</w:t>
      </w:r>
      <w:r>
        <w:rPr>
          <w:spacing w:val="-15"/>
        </w:rPr>
        <w:t xml:space="preserve"> </w:t>
      </w:r>
      <w:r>
        <w:t>uma</w:t>
      </w:r>
      <w:r>
        <w:rPr>
          <w:spacing w:val="-15"/>
        </w:rPr>
        <w:t xml:space="preserve"> </w:t>
      </w:r>
      <w:r>
        <w:t>realidade</w:t>
      </w:r>
      <w:r>
        <w:rPr>
          <w:spacing w:val="-15"/>
        </w:rPr>
        <w:t xml:space="preserve"> </w:t>
      </w:r>
      <w:r>
        <w:t>social</w:t>
      </w:r>
      <w:r>
        <w:rPr>
          <w:spacing w:val="-15"/>
        </w:rPr>
        <w:t xml:space="preserve"> </w:t>
      </w:r>
      <w:r>
        <w:t>de</w:t>
      </w:r>
      <w:r>
        <w:rPr>
          <w:spacing w:val="-15"/>
        </w:rPr>
        <w:t xml:space="preserve"> </w:t>
      </w:r>
      <w:r>
        <w:t>tantas</w:t>
      </w:r>
      <w:r>
        <w:rPr>
          <w:spacing w:val="-15"/>
        </w:rPr>
        <w:t xml:space="preserve"> </w:t>
      </w:r>
      <w:r>
        <w:t>carências e desigualdades regionais, impõe-se, em alguma medida, a atuação do Poder Judiciário, resta, contudo, o questionamento quanto aos limites dessa intervenção e se seria válido ao Poder Judiciário se imiscuir no mérito administrativo.</w:t>
      </w:r>
    </w:p>
    <w:p w:rsidR="007259F2" w:rsidRDefault="00E655B4">
      <w:pPr>
        <w:pStyle w:val="Heading2"/>
        <w:numPr>
          <w:ilvl w:val="0"/>
          <w:numId w:val="23"/>
        </w:numPr>
        <w:tabs>
          <w:tab w:val="left" w:pos="1658"/>
        </w:tabs>
        <w:spacing w:before="206"/>
        <w:jc w:val="both"/>
      </w:pPr>
      <w:r>
        <w:t>O</w:t>
      </w:r>
      <w:r>
        <w:rPr>
          <w:spacing w:val="-2"/>
        </w:rPr>
        <w:t xml:space="preserve"> </w:t>
      </w:r>
      <w:r>
        <w:t>Direito</w:t>
      </w:r>
      <w:r>
        <w:rPr>
          <w:spacing w:val="-2"/>
        </w:rPr>
        <w:t xml:space="preserve"> </w:t>
      </w:r>
      <w:r>
        <w:t>à</w:t>
      </w:r>
      <w:r>
        <w:rPr>
          <w:spacing w:val="-1"/>
        </w:rPr>
        <w:t xml:space="preserve"> </w:t>
      </w:r>
      <w:r>
        <w:t>saúde</w:t>
      </w:r>
      <w:r>
        <w:rPr>
          <w:spacing w:val="-4"/>
        </w:rPr>
        <w:t xml:space="preserve"> </w:t>
      </w:r>
      <w:r>
        <w:t>na</w:t>
      </w:r>
      <w:r>
        <w:rPr>
          <w:spacing w:val="-4"/>
        </w:rPr>
        <w:t xml:space="preserve"> </w:t>
      </w:r>
      <w:r>
        <w:t>Constituição</w:t>
      </w:r>
      <w:r>
        <w:rPr>
          <w:spacing w:val="-2"/>
        </w:rPr>
        <w:t xml:space="preserve"> </w:t>
      </w:r>
      <w:r>
        <w:t xml:space="preserve">Federal de </w:t>
      </w:r>
      <w:r>
        <w:rPr>
          <w:spacing w:val="-4"/>
        </w:rPr>
        <w:t>1988</w:t>
      </w:r>
    </w:p>
    <w:p w:rsidR="007259F2" w:rsidRDefault="00E655B4">
      <w:pPr>
        <w:pStyle w:val="Corpodetexto"/>
        <w:spacing w:before="115"/>
        <w:ind w:right="428"/>
      </w:pPr>
      <w:r>
        <w:t>A partir da análise do tratamento do direito à saúde no constitucionalismo brasileiro, observa-se que, até o advento da Constituição Federal de 1988, embora o país já sofresse com conhecidos</w:t>
      </w:r>
      <w:r>
        <w:rPr>
          <w:spacing w:val="4"/>
        </w:rPr>
        <w:t xml:space="preserve"> </w:t>
      </w:r>
      <w:r>
        <w:t>problemas</w:t>
      </w:r>
      <w:r>
        <w:rPr>
          <w:spacing w:val="6"/>
        </w:rPr>
        <w:t xml:space="preserve"> </w:t>
      </w:r>
      <w:r>
        <w:t>de</w:t>
      </w:r>
      <w:r>
        <w:rPr>
          <w:spacing w:val="7"/>
        </w:rPr>
        <w:t xml:space="preserve"> </w:t>
      </w:r>
      <w:r>
        <w:t>saúde</w:t>
      </w:r>
      <w:r>
        <w:rPr>
          <w:spacing w:val="5"/>
        </w:rPr>
        <w:t xml:space="preserve"> </w:t>
      </w:r>
      <w:r>
        <w:t>pública,</w:t>
      </w:r>
      <w:r>
        <w:rPr>
          <w:spacing w:val="5"/>
        </w:rPr>
        <w:t xml:space="preserve"> </w:t>
      </w:r>
      <w:r>
        <w:t>seu</w:t>
      </w:r>
      <w:r>
        <w:rPr>
          <w:spacing w:val="8"/>
        </w:rPr>
        <w:t xml:space="preserve"> </w:t>
      </w:r>
      <w:r>
        <w:t>tratamento</w:t>
      </w:r>
      <w:r>
        <w:rPr>
          <w:spacing w:val="5"/>
        </w:rPr>
        <w:t xml:space="preserve"> </w:t>
      </w:r>
      <w:r>
        <w:t>era</w:t>
      </w:r>
      <w:r>
        <w:rPr>
          <w:spacing w:val="4"/>
        </w:rPr>
        <w:t xml:space="preserve"> </w:t>
      </w:r>
      <w:r>
        <w:t>tímido,</w:t>
      </w:r>
      <w:r>
        <w:rPr>
          <w:spacing w:val="5"/>
        </w:rPr>
        <w:t xml:space="preserve"> </w:t>
      </w:r>
      <w:r>
        <w:t>enquanto</w:t>
      </w:r>
      <w:r>
        <w:rPr>
          <w:spacing w:val="6"/>
        </w:rPr>
        <w:t xml:space="preserve"> </w:t>
      </w:r>
      <w:r>
        <w:t>as</w:t>
      </w:r>
      <w:r>
        <w:rPr>
          <w:spacing w:val="7"/>
        </w:rPr>
        <w:t xml:space="preserve"> </w:t>
      </w:r>
      <w:r>
        <w:rPr>
          <w:spacing w:val="-2"/>
        </w:rPr>
        <w:t>Constituições</w:t>
      </w:r>
    </w:p>
    <w:p w:rsidR="007259F2" w:rsidRDefault="00DE6B1C">
      <w:pPr>
        <w:pStyle w:val="Corpodetexto"/>
        <w:spacing w:before="73"/>
        <w:ind w:left="0" w:firstLine="0"/>
        <w:jc w:val="left"/>
        <w:rPr>
          <w:sz w:val="20"/>
        </w:rPr>
      </w:pPr>
      <w:r w:rsidRPr="00DE6B1C">
        <w:rPr>
          <w:sz w:val="20"/>
        </w:rPr>
        <w:pict>
          <v:rect id="docshape134" o:spid="_x0000_s1093" style="position:absolute;margin-left:85.1pt;margin-top:16.35pt;width:2in;height:.7pt;z-index:-15670272;mso-wrap-distance-left:0;mso-wrap-distance-right:0;mso-position-horizontal-relative:page" fillcolor="black" stroked="f">
            <w10:wrap type="topAndBottom" anchorx="page"/>
          </v:rect>
        </w:pict>
      </w:r>
    </w:p>
    <w:p w:rsidR="007259F2" w:rsidRDefault="00E655B4">
      <w:pPr>
        <w:spacing w:before="94"/>
        <w:ind w:left="710" w:right="423"/>
        <w:jc w:val="both"/>
        <w:rPr>
          <w:sz w:val="20"/>
        </w:rPr>
      </w:pPr>
      <w:r>
        <w:rPr>
          <w:sz w:val="20"/>
          <w:vertAlign w:val="superscript"/>
        </w:rPr>
        <w:t>2</w:t>
      </w:r>
      <w:r>
        <w:rPr>
          <w:spacing w:val="-5"/>
          <w:sz w:val="20"/>
        </w:rPr>
        <w:t xml:space="preserve"> </w:t>
      </w:r>
      <w:r>
        <w:rPr>
          <w:sz w:val="20"/>
        </w:rPr>
        <w:t>BRASIL. Supremo Tribunal Federal</w:t>
      </w:r>
      <w:r>
        <w:rPr>
          <w:spacing w:val="-1"/>
          <w:sz w:val="20"/>
        </w:rPr>
        <w:t xml:space="preserve"> </w:t>
      </w:r>
      <w:r>
        <w:rPr>
          <w:sz w:val="20"/>
        </w:rPr>
        <w:t xml:space="preserve">(Pleno). </w:t>
      </w:r>
      <w:r>
        <w:rPr>
          <w:b/>
          <w:sz w:val="20"/>
        </w:rPr>
        <w:t>Recurso Extraordinário RE</w:t>
      </w:r>
      <w:r>
        <w:rPr>
          <w:b/>
          <w:spacing w:val="-1"/>
          <w:sz w:val="20"/>
        </w:rPr>
        <w:t xml:space="preserve"> </w:t>
      </w:r>
      <w:r>
        <w:rPr>
          <w:b/>
          <w:sz w:val="20"/>
        </w:rPr>
        <w:t>684612/RJ</w:t>
      </w:r>
      <w:r>
        <w:rPr>
          <w:sz w:val="20"/>
        </w:rPr>
        <w:t>.</w:t>
      </w:r>
      <w:r>
        <w:rPr>
          <w:spacing w:val="-3"/>
          <w:sz w:val="20"/>
        </w:rPr>
        <w:t xml:space="preserve"> </w:t>
      </w:r>
      <w:r>
        <w:rPr>
          <w:sz w:val="20"/>
        </w:rPr>
        <w:t>Tema</w:t>
      </w:r>
      <w:r>
        <w:rPr>
          <w:spacing w:val="-1"/>
          <w:sz w:val="20"/>
        </w:rPr>
        <w:t xml:space="preserve"> </w:t>
      </w:r>
      <w:r>
        <w:rPr>
          <w:sz w:val="20"/>
        </w:rPr>
        <w:t>698 -</w:t>
      </w:r>
      <w:r>
        <w:rPr>
          <w:spacing w:val="-2"/>
          <w:sz w:val="20"/>
        </w:rPr>
        <w:t xml:space="preserve"> </w:t>
      </w:r>
      <w:r>
        <w:rPr>
          <w:sz w:val="20"/>
        </w:rPr>
        <w:t>Limites</w:t>
      </w:r>
      <w:r>
        <w:rPr>
          <w:spacing w:val="-1"/>
          <w:sz w:val="20"/>
        </w:rPr>
        <w:t xml:space="preserve"> </w:t>
      </w:r>
      <w:r>
        <w:rPr>
          <w:sz w:val="20"/>
        </w:rPr>
        <w:t>do Poder Judiciário para determinar obrigações de fazer ao Estado, consistentes na realização de concursos</w:t>
      </w:r>
      <w:r>
        <w:rPr>
          <w:spacing w:val="40"/>
          <w:sz w:val="20"/>
        </w:rPr>
        <w:t xml:space="preserve"> </w:t>
      </w:r>
      <w:r>
        <w:rPr>
          <w:sz w:val="20"/>
        </w:rPr>
        <w:t>públicos, contratação de servidores e execução de obras que atendam o direito social da saúde, ao qual a Constituição da República garante especial proteção. Recorrente: Municipio do Rio de Janeiro. Recorrido: Ministério Público do Rio de Janeiro. Relator: Min. Luís Roberto Barroso, j. 03.07.2023. Dje 07.08.2023 Disponível em: https://portal.stf.jus.br/processos/downloadPeca.asp?id=15362009287&amp;ext=.pdf. Acesso em: 01 abr. 2024.</w:t>
      </w:r>
    </w:p>
    <w:p w:rsidR="007259F2" w:rsidRDefault="00E655B4">
      <w:pPr>
        <w:spacing w:before="1"/>
        <w:ind w:left="710" w:right="421"/>
        <w:jc w:val="both"/>
        <w:rPr>
          <w:sz w:val="20"/>
        </w:rPr>
      </w:pPr>
      <w:r>
        <w:rPr>
          <w:sz w:val="20"/>
          <w:vertAlign w:val="superscript"/>
        </w:rPr>
        <w:t>3</w:t>
      </w:r>
      <w:r>
        <w:rPr>
          <w:sz w:val="20"/>
        </w:rPr>
        <w:t xml:space="preserve"> Conforme apontado por Ricardo Marcondes Martins as principais características associadas ao neoconstitucionalismo são: a) a divisão entre regras e princípios; b) a aplicação do direito por ponderação; e c) e a vinculação necessária entre direito e moral. (MARTINS, Ricardo Marcondes. Neoconstitucionalismo: perscrutação sobre</w:t>
      </w:r>
      <w:r>
        <w:rPr>
          <w:spacing w:val="-1"/>
          <w:sz w:val="20"/>
        </w:rPr>
        <w:t xml:space="preserve"> </w:t>
      </w:r>
      <w:r>
        <w:rPr>
          <w:sz w:val="20"/>
        </w:rPr>
        <w:t>a</w:t>
      </w:r>
      <w:r>
        <w:rPr>
          <w:spacing w:val="-3"/>
          <w:sz w:val="20"/>
        </w:rPr>
        <w:t xml:space="preserve"> </w:t>
      </w:r>
      <w:r>
        <w:rPr>
          <w:sz w:val="20"/>
        </w:rPr>
        <w:t>pertinência</w:t>
      </w:r>
      <w:r>
        <w:rPr>
          <w:spacing w:val="-1"/>
          <w:sz w:val="20"/>
        </w:rPr>
        <w:t xml:space="preserve"> </w:t>
      </w:r>
      <w:r>
        <w:rPr>
          <w:sz w:val="20"/>
        </w:rPr>
        <w:t>do</w:t>
      </w:r>
      <w:r>
        <w:rPr>
          <w:spacing w:val="-2"/>
          <w:sz w:val="20"/>
        </w:rPr>
        <w:t xml:space="preserve"> </w:t>
      </w:r>
      <w:r>
        <w:rPr>
          <w:sz w:val="20"/>
        </w:rPr>
        <w:t xml:space="preserve">prefixo. </w:t>
      </w:r>
      <w:r>
        <w:rPr>
          <w:b/>
          <w:sz w:val="20"/>
        </w:rPr>
        <w:t>Revista Internacional</w:t>
      </w:r>
      <w:r>
        <w:rPr>
          <w:b/>
          <w:spacing w:val="-1"/>
          <w:sz w:val="20"/>
        </w:rPr>
        <w:t xml:space="preserve"> </w:t>
      </w:r>
      <w:r>
        <w:rPr>
          <w:b/>
          <w:sz w:val="20"/>
        </w:rPr>
        <w:t>de</w:t>
      </w:r>
      <w:r>
        <w:rPr>
          <w:b/>
          <w:spacing w:val="-1"/>
          <w:sz w:val="20"/>
        </w:rPr>
        <w:t xml:space="preserve"> </w:t>
      </w:r>
      <w:r>
        <w:rPr>
          <w:b/>
          <w:sz w:val="20"/>
        </w:rPr>
        <w:t>Direito Público -</w:t>
      </w:r>
      <w:r>
        <w:rPr>
          <w:b/>
          <w:spacing w:val="-2"/>
          <w:sz w:val="20"/>
        </w:rPr>
        <w:t xml:space="preserve"> </w:t>
      </w:r>
      <w:r>
        <w:rPr>
          <w:b/>
          <w:sz w:val="20"/>
        </w:rPr>
        <w:t>RIDP</w:t>
      </w:r>
      <w:r>
        <w:rPr>
          <w:sz w:val="20"/>
        </w:rPr>
        <w:t>,</w:t>
      </w:r>
      <w:r>
        <w:rPr>
          <w:spacing w:val="-1"/>
          <w:sz w:val="20"/>
        </w:rPr>
        <w:t xml:space="preserve"> </w:t>
      </w:r>
      <w:r>
        <w:rPr>
          <w:sz w:val="20"/>
        </w:rPr>
        <w:t>ano 2,</w:t>
      </w:r>
      <w:r>
        <w:rPr>
          <w:spacing w:val="-1"/>
          <w:sz w:val="20"/>
        </w:rPr>
        <w:t xml:space="preserve"> </w:t>
      </w:r>
      <w:r>
        <w:rPr>
          <w:sz w:val="20"/>
        </w:rPr>
        <w:t>n.</w:t>
      </w:r>
      <w:r>
        <w:rPr>
          <w:spacing w:val="-3"/>
          <w:sz w:val="20"/>
        </w:rPr>
        <w:t xml:space="preserve"> </w:t>
      </w:r>
      <w:r>
        <w:rPr>
          <w:sz w:val="20"/>
        </w:rPr>
        <w:t>3,</w:t>
      </w:r>
      <w:r>
        <w:rPr>
          <w:spacing w:val="-3"/>
          <w:sz w:val="20"/>
        </w:rPr>
        <w:t xml:space="preserve"> </w:t>
      </w:r>
      <w:r>
        <w:rPr>
          <w:sz w:val="20"/>
        </w:rPr>
        <w:t>p.</w:t>
      </w:r>
      <w:r>
        <w:rPr>
          <w:spacing w:val="-3"/>
          <w:sz w:val="20"/>
        </w:rPr>
        <w:t xml:space="preserve"> </w:t>
      </w:r>
      <w:r>
        <w:rPr>
          <w:sz w:val="20"/>
        </w:rPr>
        <w:t>9- 37, jul./dez. 2017a)</w:t>
      </w:r>
    </w:p>
    <w:p w:rsidR="007259F2" w:rsidRDefault="007259F2">
      <w:pPr>
        <w:jc w:val="both"/>
        <w:rPr>
          <w:sz w:val="20"/>
        </w:rPr>
        <w:sectPr w:rsidR="007259F2">
          <w:pgSz w:w="11910" w:h="16840"/>
          <w:pgMar w:top="1600" w:right="708" w:bottom="1020" w:left="992" w:header="0" w:footer="820" w:gutter="0"/>
          <w:cols w:space="720"/>
        </w:sectPr>
      </w:pPr>
    </w:p>
    <w:p w:rsidR="007259F2" w:rsidRDefault="00E655B4">
      <w:pPr>
        <w:pStyle w:val="Corpodetexto"/>
        <w:spacing w:before="75"/>
        <w:ind w:right="424" w:firstLine="0"/>
      </w:pPr>
      <w:r>
        <w:lastRenderedPageBreak/>
        <w:t>de</w:t>
      </w:r>
      <w:r>
        <w:rPr>
          <w:spacing w:val="-7"/>
        </w:rPr>
        <w:t xml:space="preserve"> </w:t>
      </w:r>
      <w:r>
        <w:t>1891</w:t>
      </w:r>
      <w:r>
        <w:rPr>
          <w:spacing w:val="-4"/>
        </w:rPr>
        <w:t xml:space="preserve"> </w:t>
      </w:r>
      <w:r>
        <w:t>e</w:t>
      </w:r>
      <w:r>
        <w:rPr>
          <w:spacing w:val="-4"/>
        </w:rPr>
        <w:t xml:space="preserve"> </w:t>
      </w:r>
      <w:r>
        <w:t>1824</w:t>
      </w:r>
      <w:r>
        <w:rPr>
          <w:spacing w:val="-3"/>
        </w:rPr>
        <w:t xml:space="preserve"> </w:t>
      </w:r>
      <w:r>
        <w:t>não</w:t>
      </w:r>
      <w:r>
        <w:rPr>
          <w:spacing w:val="-3"/>
        </w:rPr>
        <w:t xml:space="preserve"> </w:t>
      </w:r>
      <w:r>
        <w:t>mencionam</w:t>
      </w:r>
      <w:r>
        <w:rPr>
          <w:spacing w:val="-2"/>
        </w:rPr>
        <w:t xml:space="preserve"> </w:t>
      </w:r>
      <w:r>
        <w:t>expressamente</w:t>
      </w:r>
      <w:r>
        <w:rPr>
          <w:spacing w:val="-6"/>
        </w:rPr>
        <w:t xml:space="preserve"> </w:t>
      </w:r>
      <w:r>
        <w:t>o</w:t>
      </w:r>
      <w:r>
        <w:rPr>
          <w:spacing w:val="-1"/>
        </w:rPr>
        <w:t xml:space="preserve"> </w:t>
      </w:r>
      <w:r>
        <w:t>direito</w:t>
      </w:r>
      <w:r>
        <w:rPr>
          <w:spacing w:val="-3"/>
        </w:rPr>
        <w:t xml:space="preserve"> </w:t>
      </w:r>
      <w:r>
        <w:t>à</w:t>
      </w:r>
      <w:r>
        <w:rPr>
          <w:spacing w:val="-7"/>
        </w:rPr>
        <w:t xml:space="preserve"> </w:t>
      </w:r>
      <w:r>
        <w:t>saúde,</w:t>
      </w:r>
      <w:r>
        <w:rPr>
          <w:spacing w:val="-3"/>
        </w:rPr>
        <w:t xml:space="preserve"> </w:t>
      </w:r>
      <w:r>
        <w:t>as</w:t>
      </w:r>
      <w:r>
        <w:rPr>
          <w:spacing w:val="-3"/>
        </w:rPr>
        <w:t xml:space="preserve"> </w:t>
      </w:r>
      <w:r>
        <w:t>demais apenas</w:t>
      </w:r>
      <w:r>
        <w:rPr>
          <w:spacing w:val="-3"/>
        </w:rPr>
        <w:t xml:space="preserve"> </w:t>
      </w:r>
      <w:r>
        <w:t>se</w:t>
      </w:r>
      <w:r>
        <w:rPr>
          <w:spacing w:val="-2"/>
        </w:rPr>
        <w:t xml:space="preserve"> </w:t>
      </w:r>
      <w:r>
        <w:t>referiam à</w:t>
      </w:r>
      <w:r>
        <w:rPr>
          <w:spacing w:val="-11"/>
        </w:rPr>
        <w:t xml:space="preserve"> </w:t>
      </w:r>
      <w:r>
        <w:t>saúde</w:t>
      </w:r>
      <w:r>
        <w:rPr>
          <w:spacing w:val="-11"/>
        </w:rPr>
        <w:t xml:space="preserve"> </w:t>
      </w:r>
      <w:r>
        <w:t>no</w:t>
      </w:r>
      <w:r>
        <w:rPr>
          <w:spacing w:val="-7"/>
        </w:rPr>
        <w:t xml:space="preserve"> </w:t>
      </w:r>
      <w:r>
        <w:t>que</w:t>
      </w:r>
      <w:r>
        <w:rPr>
          <w:spacing w:val="-11"/>
        </w:rPr>
        <w:t xml:space="preserve"> </w:t>
      </w:r>
      <w:r>
        <w:t>tange</w:t>
      </w:r>
      <w:r>
        <w:rPr>
          <w:spacing w:val="-10"/>
        </w:rPr>
        <w:t xml:space="preserve"> </w:t>
      </w:r>
      <w:r>
        <w:t>à</w:t>
      </w:r>
      <w:r>
        <w:rPr>
          <w:spacing w:val="-8"/>
        </w:rPr>
        <w:t xml:space="preserve"> </w:t>
      </w:r>
      <w:r>
        <w:t>competência</w:t>
      </w:r>
      <w:r>
        <w:rPr>
          <w:spacing w:val="-10"/>
        </w:rPr>
        <w:t xml:space="preserve"> </w:t>
      </w:r>
      <w:r>
        <w:t>dos</w:t>
      </w:r>
      <w:r>
        <w:rPr>
          <w:spacing w:val="-7"/>
        </w:rPr>
        <w:t xml:space="preserve"> </w:t>
      </w:r>
      <w:r>
        <w:t>entes</w:t>
      </w:r>
      <w:r>
        <w:rPr>
          <w:spacing w:val="-10"/>
        </w:rPr>
        <w:t xml:space="preserve"> </w:t>
      </w:r>
      <w:r>
        <w:t>federativos</w:t>
      </w:r>
      <w:r>
        <w:rPr>
          <w:spacing w:val="-6"/>
        </w:rPr>
        <w:t xml:space="preserve"> </w:t>
      </w:r>
      <w:r>
        <w:t>de</w:t>
      </w:r>
      <w:r>
        <w:rPr>
          <w:spacing w:val="-11"/>
        </w:rPr>
        <w:t xml:space="preserve"> </w:t>
      </w:r>
      <w:r>
        <w:t>legislar</w:t>
      </w:r>
      <w:r>
        <w:rPr>
          <w:spacing w:val="-10"/>
        </w:rPr>
        <w:t xml:space="preserve"> </w:t>
      </w:r>
      <w:r>
        <w:t>sobre</w:t>
      </w:r>
      <w:r>
        <w:rPr>
          <w:spacing w:val="-11"/>
        </w:rPr>
        <w:t xml:space="preserve"> </w:t>
      </w:r>
      <w:r>
        <w:t>defesa</w:t>
      </w:r>
      <w:r>
        <w:rPr>
          <w:spacing w:val="-1"/>
        </w:rPr>
        <w:t xml:space="preserve"> </w:t>
      </w:r>
      <w:r>
        <w:t>e</w:t>
      </w:r>
      <w:r>
        <w:rPr>
          <w:spacing w:val="-1"/>
        </w:rPr>
        <w:t xml:space="preserve"> </w:t>
      </w:r>
      <w:r>
        <w:t>proteção</w:t>
      </w:r>
      <w:r>
        <w:rPr>
          <w:spacing w:val="-2"/>
        </w:rPr>
        <w:t xml:space="preserve"> </w:t>
      </w:r>
      <w:r>
        <w:t>da saúde, além de estabelecer e executar planos de saúde.</w:t>
      </w:r>
      <w:r>
        <w:rPr>
          <w:vertAlign w:val="superscript"/>
        </w:rPr>
        <w:t>4</w:t>
      </w:r>
    </w:p>
    <w:p w:rsidR="007259F2" w:rsidRDefault="00E655B4">
      <w:pPr>
        <w:pStyle w:val="Corpodetexto"/>
        <w:ind w:right="422"/>
      </w:pPr>
      <w:r>
        <w:t>Aponta Patrícia Pizarro Werner</w:t>
      </w:r>
      <w:r>
        <w:rPr>
          <w:vertAlign w:val="superscript"/>
        </w:rPr>
        <w:t>5</w:t>
      </w:r>
      <w:r>
        <w:t xml:space="preserve"> que a constitucionalização do direito à saúde no</w:t>
      </w:r>
      <w:r>
        <w:rPr>
          <w:spacing w:val="40"/>
        </w:rPr>
        <w:t xml:space="preserve"> </w:t>
      </w:r>
      <w:r>
        <w:t>Brasil é fruto de um longo processo histórico que teve início ainda na Era Vargas com o surgimento das</w:t>
      </w:r>
      <w:r>
        <w:rPr>
          <w:spacing w:val="-4"/>
        </w:rPr>
        <w:t xml:space="preserve"> </w:t>
      </w:r>
      <w:r>
        <w:t>Conferências</w:t>
      </w:r>
      <w:r>
        <w:rPr>
          <w:spacing w:val="-3"/>
        </w:rPr>
        <w:t xml:space="preserve"> </w:t>
      </w:r>
      <w:r>
        <w:t>Nacionais</w:t>
      </w:r>
      <w:r>
        <w:rPr>
          <w:spacing w:val="-4"/>
        </w:rPr>
        <w:t xml:space="preserve"> </w:t>
      </w:r>
      <w:r>
        <w:t>de</w:t>
      </w:r>
      <w:r>
        <w:rPr>
          <w:spacing w:val="-5"/>
        </w:rPr>
        <w:t xml:space="preserve"> </w:t>
      </w:r>
      <w:r>
        <w:t>Saúde,</w:t>
      </w:r>
      <w:r>
        <w:rPr>
          <w:spacing w:val="-1"/>
        </w:rPr>
        <w:t xml:space="preserve"> </w:t>
      </w:r>
      <w:r>
        <w:t>cujas</w:t>
      </w:r>
      <w:r>
        <w:rPr>
          <w:spacing w:val="-5"/>
        </w:rPr>
        <w:t xml:space="preserve"> </w:t>
      </w:r>
      <w:r>
        <w:t>propostas</w:t>
      </w:r>
      <w:r>
        <w:rPr>
          <w:spacing w:val="-4"/>
        </w:rPr>
        <w:t xml:space="preserve"> </w:t>
      </w:r>
      <w:r>
        <w:t>vieram</w:t>
      </w:r>
      <w:r>
        <w:rPr>
          <w:spacing w:val="-4"/>
        </w:rPr>
        <w:t xml:space="preserve"> </w:t>
      </w:r>
      <w:r>
        <w:t>a</w:t>
      </w:r>
      <w:r>
        <w:rPr>
          <w:spacing w:val="-2"/>
        </w:rPr>
        <w:t xml:space="preserve"> </w:t>
      </w:r>
      <w:r>
        <w:t>ser</w:t>
      </w:r>
      <w:r>
        <w:rPr>
          <w:spacing w:val="-5"/>
        </w:rPr>
        <w:t xml:space="preserve"> </w:t>
      </w:r>
      <w:r>
        <w:t>posteriormente incorporadas na Assembleia Nacional Constituinte:</w:t>
      </w:r>
    </w:p>
    <w:p w:rsidR="007259F2" w:rsidRDefault="007259F2">
      <w:pPr>
        <w:pStyle w:val="Corpodetexto"/>
        <w:spacing w:before="2"/>
        <w:ind w:left="0" w:firstLine="0"/>
        <w:jc w:val="left"/>
      </w:pPr>
    </w:p>
    <w:p w:rsidR="007259F2" w:rsidRDefault="00E655B4">
      <w:pPr>
        <w:ind w:left="2978" w:right="421"/>
        <w:jc w:val="both"/>
        <w:rPr>
          <w:sz w:val="20"/>
        </w:rPr>
      </w:pPr>
      <w:r>
        <w:rPr>
          <w:sz w:val="20"/>
        </w:rPr>
        <w:t>O Brasil delineou um projeto minucioso para dar efetividade ao direito à saúde, sem precedentes</w:t>
      </w:r>
      <w:r>
        <w:rPr>
          <w:spacing w:val="-1"/>
          <w:sz w:val="20"/>
        </w:rPr>
        <w:t xml:space="preserve"> </w:t>
      </w:r>
      <w:r>
        <w:rPr>
          <w:sz w:val="20"/>
        </w:rPr>
        <w:t>até então, retrato</w:t>
      </w:r>
      <w:r>
        <w:rPr>
          <w:spacing w:val="-1"/>
          <w:sz w:val="20"/>
        </w:rPr>
        <w:t xml:space="preserve"> </w:t>
      </w:r>
      <w:r>
        <w:rPr>
          <w:sz w:val="20"/>
        </w:rPr>
        <w:t>da consolidação de</w:t>
      </w:r>
      <w:r>
        <w:rPr>
          <w:spacing w:val="-1"/>
          <w:sz w:val="20"/>
        </w:rPr>
        <w:t xml:space="preserve"> </w:t>
      </w:r>
      <w:r>
        <w:rPr>
          <w:sz w:val="20"/>
        </w:rPr>
        <w:t>diversas</w:t>
      </w:r>
      <w:r>
        <w:rPr>
          <w:spacing w:val="-1"/>
          <w:sz w:val="20"/>
        </w:rPr>
        <w:t xml:space="preserve"> </w:t>
      </w:r>
      <w:r>
        <w:rPr>
          <w:sz w:val="20"/>
        </w:rPr>
        <w:t>experiências históricas, da eficaz atuação social e do movimento sanitarista, reunidas em deliberações das Conferências de Saúde, que tiveram início na Era Vargas, quando foi realizada a 1ª Conferências</w:t>
      </w:r>
      <w:r>
        <w:rPr>
          <w:spacing w:val="-8"/>
          <w:sz w:val="20"/>
        </w:rPr>
        <w:t xml:space="preserve"> </w:t>
      </w:r>
      <w:r>
        <w:rPr>
          <w:sz w:val="20"/>
        </w:rPr>
        <w:t>Nacionais</w:t>
      </w:r>
      <w:r>
        <w:rPr>
          <w:spacing w:val="-8"/>
          <w:sz w:val="20"/>
        </w:rPr>
        <w:t xml:space="preserve"> </w:t>
      </w:r>
      <w:r>
        <w:rPr>
          <w:sz w:val="20"/>
        </w:rPr>
        <w:t>de</w:t>
      </w:r>
      <w:r>
        <w:rPr>
          <w:spacing w:val="-8"/>
          <w:sz w:val="20"/>
        </w:rPr>
        <w:t xml:space="preserve"> </w:t>
      </w:r>
      <w:r>
        <w:rPr>
          <w:sz w:val="20"/>
        </w:rPr>
        <w:t>Saúde</w:t>
      </w:r>
      <w:r>
        <w:rPr>
          <w:spacing w:val="-7"/>
          <w:sz w:val="20"/>
        </w:rPr>
        <w:t xml:space="preserve"> </w:t>
      </w:r>
      <w:r>
        <w:rPr>
          <w:sz w:val="20"/>
        </w:rPr>
        <w:t>(CNS),</w:t>
      </w:r>
      <w:r>
        <w:rPr>
          <w:spacing w:val="-6"/>
          <w:sz w:val="20"/>
        </w:rPr>
        <w:t xml:space="preserve"> </w:t>
      </w:r>
      <w:r>
        <w:rPr>
          <w:sz w:val="20"/>
        </w:rPr>
        <w:t>em</w:t>
      </w:r>
      <w:r>
        <w:rPr>
          <w:spacing w:val="-9"/>
          <w:sz w:val="20"/>
        </w:rPr>
        <w:t xml:space="preserve"> </w:t>
      </w:r>
      <w:r>
        <w:rPr>
          <w:sz w:val="20"/>
        </w:rPr>
        <w:t>1941,</w:t>
      </w:r>
      <w:r>
        <w:rPr>
          <w:spacing w:val="-7"/>
          <w:sz w:val="20"/>
        </w:rPr>
        <w:t xml:space="preserve"> </w:t>
      </w:r>
      <w:r>
        <w:rPr>
          <w:sz w:val="20"/>
        </w:rPr>
        <w:t>tendo</w:t>
      </w:r>
      <w:r>
        <w:rPr>
          <w:spacing w:val="-6"/>
          <w:sz w:val="20"/>
        </w:rPr>
        <w:t xml:space="preserve"> </w:t>
      </w:r>
      <w:r>
        <w:rPr>
          <w:sz w:val="20"/>
        </w:rPr>
        <w:t>como</w:t>
      </w:r>
      <w:r>
        <w:rPr>
          <w:spacing w:val="-4"/>
          <w:sz w:val="20"/>
        </w:rPr>
        <w:t xml:space="preserve"> </w:t>
      </w:r>
      <w:r>
        <w:rPr>
          <w:sz w:val="20"/>
        </w:rPr>
        <w:t>ponto</w:t>
      </w:r>
      <w:r>
        <w:rPr>
          <w:spacing w:val="-6"/>
          <w:sz w:val="20"/>
        </w:rPr>
        <w:t xml:space="preserve"> </w:t>
      </w:r>
      <w:r>
        <w:rPr>
          <w:sz w:val="20"/>
        </w:rPr>
        <w:t>auge</w:t>
      </w:r>
      <w:r>
        <w:rPr>
          <w:spacing w:val="-5"/>
          <w:sz w:val="20"/>
        </w:rPr>
        <w:t xml:space="preserve"> </w:t>
      </w:r>
      <w:r>
        <w:rPr>
          <w:sz w:val="20"/>
        </w:rPr>
        <w:t>a</w:t>
      </w:r>
      <w:r>
        <w:rPr>
          <w:spacing w:val="-8"/>
          <w:sz w:val="20"/>
        </w:rPr>
        <w:t xml:space="preserve"> </w:t>
      </w:r>
      <w:r>
        <w:rPr>
          <w:sz w:val="20"/>
        </w:rPr>
        <w:t>8ª</w:t>
      </w:r>
      <w:r>
        <w:rPr>
          <w:spacing w:val="-8"/>
          <w:sz w:val="20"/>
        </w:rPr>
        <w:t xml:space="preserve"> </w:t>
      </w:r>
      <w:r>
        <w:rPr>
          <w:sz w:val="20"/>
        </w:rPr>
        <w:t xml:space="preserve">CNS, em 1986, quando foi moldada uma proposta de forma legítima que veio a ser incorporada pela Assembleia Nacional Constituinte ao elaborar a Constituição de </w:t>
      </w:r>
      <w:r>
        <w:rPr>
          <w:spacing w:val="-2"/>
          <w:sz w:val="20"/>
        </w:rPr>
        <w:t>1988.</w:t>
      </w:r>
    </w:p>
    <w:p w:rsidR="007259F2" w:rsidRDefault="007259F2">
      <w:pPr>
        <w:pStyle w:val="Corpodetexto"/>
        <w:spacing w:before="89"/>
        <w:ind w:left="0" w:firstLine="0"/>
        <w:jc w:val="left"/>
        <w:rPr>
          <w:sz w:val="20"/>
        </w:rPr>
      </w:pPr>
    </w:p>
    <w:p w:rsidR="007259F2" w:rsidRDefault="00E655B4">
      <w:pPr>
        <w:pStyle w:val="Corpodetexto"/>
        <w:ind w:right="421"/>
      </w:pPr>
      <w:r>
        <w:t>Nesse contexto, a Constituição Federal de 1988 inovou o ordenamento jurídico brasileiro ao alçar o direito à saúde à categoria dos direitos fundamentais, elencando-o no rol do artigo 6º, que abre o Capítulo II (‘Dos Direitos Sociais’) do Título II, destinado expressamente à disciplina dos Direitos e Garantias Fundamentais.</w:t>
      </w:r>
    </w:p>
    <w:p w:rsidR="007259F2" w:rsidRDefault="00E655B4">
      <w:pPr>
        <w:pStyle w:val="Corpodetexto"/>
        <w:ind w:right="422"/>
      </w:pPr>
      <w:r>
        <w:t>Apontam Sueli Dallari e Vidal Serrano Jr</w:t>
      </w:r>
      <w:r>
        <w:rPr>
          <w:vertAlign w:val="superscript"/>
        </w:rPr>
        <w:t>6</w:t>
      </w:r>
      <w:r>
        <w:rPr>
          <w:spacing w:val="40"/>
        </w:rPr>
        <w:t xml:space="preserve"> </w:t>
      </w:r>
      <w:r>
        <w:t>que a fundamentalidade do direito à saúde se</w:t>
      </w:r>
      <w:r>
        <w:rPr>
          <w:spacing w:val="-8"/>
        </w:rPr>
        <w:t xml:space="preserve"> </w:t>
      </w:r>
      <w:r>
        <w:t>estende</w:t>
      </w:r>
      <w:r>
        <w:rPr>
          <w:spacing w:val="-6"/>
        </w:rPr>
        <w:t xml:space="preserve"> </w:t>
      </w:r>
      <w:r>
        <w:t>a</w:t>
      </w:r>
      <w:r>
        <w:rPr>
          <w:spacing w:val="-8"/>
        </w:rPr>
        <w:t xml:space="preserve"> </w:t>
      </w:r>
      <w:r>
        <w:t>todos</w:t>
      </w:r>
      <w:r>
        <w:rPr>
          <w:spacing w:val="-4"/>
        </w:rPr>
        <w:t xml:space="preserve"> </w:t>
      </w:r>
      <w:r>
        <w:t>os</w:t>
      </w:r>
      <w:r>
        <w:rPr>
          <w:spacing w:val="-5"/>
        </w:rPr>
        <w:t xml:space="preserve"> </w:t>
      </w:r>
      <w:r>
        <w:t>dispositivos</w:t>
      </w:r>
      <w:r>
        <w:rPr>
          <w:spacing w:val="-3"/>
        </w:rPr>
        <w:t xml:space="preserve"> </w:t>
      </w:r>
      <w:r>
        <w:t>destinados</w:t>
      </w:r>
      <w:r>
        <w:rPr>
          <w:spacing w:val="-4"/>
        </w:rPr>
        <w:t xml:space="preserve"> </w:t>
      </w:r>
      <w:r>
        <w:t>ao</w:t>
      </w:r>
      <w:r>
        <w:rPr>
          <w:spacing w:val="-7"/>
        </w:rPr>
        <w:t xml:space="preserve"> </w:t>
      </w:r>
      <w:r>
        <w:t>tema,</w:t>
      </w:r>
      <w:r>
        <w:rPr>
          <w:spacing w:val="-4"/>
        </w:rPr>
        <w:t xml:space="preserve"> </w:t>
      </w:r>
      <w:r>
        <w:t>o</w:t>
      </w:r>
      <w:r>
        <w:rPr>
          <w:spacing w:val="-5"/>
        </w:rPr>
        <w:t xml:space="preserve"> </w:t>
      </w:r>
      <w:r>
        <w:t>que</w:t>
      </w:r>
      <w:r>
        <w:rPr>
          <w:spacing w:val="-8"/>
        </w:rPr>
        <w:t xml:space="preserve"> </w:t>
      </w:r>
      <w:r>
        <w:t>revela</w:t>
      </w:r>
      <w:r>
        <w:rPr>
          <w:spacing w:val="-5"/>
        </w:rPr>
        <w:t xml:space="preserve"> </w:t>
      </w:r>
      <w:r>
        <w:t>que</w:t>
      </w:r>
      <w:r>
        <w:rPr>
          <w:spacing w:val="-8"/>
        </w:rPr>
        <w:t xml:space="preserve"> </w:t>
      </w:r>
      <w:r>
        <w:t>os</w:t>
      </w:r>
      <w:r>
        <w:rPr>
          <w:spacing w:val="-5"/>
        </w:rPr>
        <w:t xml:space="preserve"> </w:t>
      </w:r>
      <w:r>
        <w:t>artigos.</w:t>
      </w:r>
      <w:r>
        <w:rPr>
          <w:spacing w:val="-4"/>
        </w:rPr>
        <w:t xml:space="preserve"> </w:t>
      </w:r>
      <w:r>
        <w:t>196</w:t>
      </w:r>
      <w:r>
        <w:rPr>
          <w:spacing w:val="-5"/>
        </w:rPr>
        <w:t xml:space="preserve"> </w:t>
      </w:r>
      <w:r>
        <w:t>a</w:t>
      </w:r>
      <w:r>
        <w:rPr>
          <w:spacing w:val="-8"/>
        </w:rPr>
        <w:t xml:space="preserve"> </w:t>
      </w:r>
      <w:r>
        <w:t>200</w:t>
      </w:r>
      <w:r>
        <w:rPr>
          <w:spacing w:val="-5"/>
        </w:rPr>
        <w:t xml:space="preserve"> </w:t>
      </w:r>
      <w:r>
        <w:t>da Constituição</w:t>
      </w:r>
      <w:r>
        <w:rPr>
          <w:spacing w:val="-7"/>
        </w:rPr>
        <w:t xml:space="preserve"> </w:t>
      </w:r>
      <w:r>
        <w:t>também</w:t>
      </w:r>
      <w:r>
        <w:rPr>
          <w:spacing w:val="-8"/>
        </w:rPr>
        <w:t xml:space="preserve"> </w:t>
      </w:r>
      <w:r>
        <w:t>fazem</w:t>
      </w:r>
      <w:r>
        <w:rPr>
          <w:spacing w:val="-7"/>
        </w:rPr>
        <w:t xml:space="preserve"> </w:t>
      </w:r>
      <w:r>
        <w:t>jus</w:t>
      </w:r>
      <w:r>
        <w:rPr>
          <w:spacing w:val="-8"/>
        </w:rPr>
        <w:t xml:space="preserve"> </w:t>
      </w:r>
      <w:r>
        <w:t>a</w:t>
      </w:r>
      <w:r>
        <w:rPr>
          <w:spacing w:val="-7"/>
        </w:rPr>
        <w:t xml:space="preserve"> </w:t>
      </w:r>
      <w:r>
        <w:t>tal</w:t>
      </w:r>
      <w:r>
        <w:rPr>
          <w:spacing w:val="-8"/>
        </w:rPr>
        <w:t xml:space="preserve"> </w:t>
      </w:r>
      <w:r>
        <w:t>identificação. Os</w:t>
      </w:r>
      <w:r>
        <w:rPr>
          <w:spacing w:val="-8"/>
        </w:rPr>
        <w:t xml:space="preserve"> </w:t>
      </w:r>
      <w:r>
        <w:t>autores</w:t>
      </w:r>
      <w:r>
        <w:rPr>
          <w:spacing w:val="-6"/>
        </w:rPr>
        <w:t xml:space="preserve"> </w:t>
      </w:r>
      <w:r>
        <w:t>apontam</w:t>
      </w:r>
      <w:r>
        <w:rPr>
          <w:spacing w:val="-6"/>
        </w:rPr>
        <w:t xml:space="preserve"> </w:t>
      </w:r>
      <w:r>
        <w:t>ainda</w:t>
      </w:r>
      <w:r>
        <w:rPr>
          <w:spacing w:val="-8"/>
        </w:rPr>
        <w:t xml:space="preserve"> </w:t>
      </w:r>
      <w:r>
        <w:t>que</w:t>
      </w:r>
      <w:r>
        <w:rPr>
          <w:spacing w:val="-7"/>
        </w:rPr>
        <w:t xml:space="preserve"> </w:t>
      </w:r>
      <w:r>
        <w:t>a</w:t>
      </w:r>
      <w:r>
        <w:rPr>
          <w:spacing w:val="-9"/>
        </w:rPr>
        <w:t xml:space="preserve"> </w:t>
      </w:r>
      <w:r>
        <w:t>inclusão</w:t>
      </w:r>
      <w:r>
        <w:rPr>
          <w:spacing w:val="-8"/>
        </w:rPr>
        <w:t xml:space="preserve"> </w:t>
      </w:r>
      <w:r>
        <w:t>da saúde como parte dos direitos fundamentais implica a existência, ao menos do ponto de vista dos</w:t>
      </w:r>
      <w:r>
        <w:rPr>
          <w:spacing w:val="-6"/>
        </w:rPr>
        <w:t xml:space="preserve"> </w:t>
      </w:r>
      <w:r>
        <w:t>princípios</w:t>
      </w:r>
      <w:r>
        <w:rPr>
          <w:spacing w:val="-5"/>
        </w:rPr>
        <w:t xml:space="preserve"> </w:t>
      </w:r>
      <w:r>
        <w:t>gerais,</w:t>
      </w:r>
      <w:r>
        <w:rPr>
          <w:spacing w:val="-5"/>
        </w:rPr>
        <w:t xml:space="preserve"> </w:t>
      </w:r>
      <w:r>
        <w:t>de um</w:t>
      </w:r>
      <w:r>
        <w:rPr>
          <w:spacing w:val="-5"/>
        </w:rPr>
        <w:t xml:space="preserve"> </w:t>
      </w:r>
      <w:r>
        <w:t>regramento</w:t>
      </w:r>
      <w:r>
        <w:rPr>
          <w:spacing w:val="-5"/>
        </w:rPr>
        <w:t xml:space="preserve"> </w:t>
      </w:r>
      <w:r>
        <w:t>comum</w:t>
      </w:r>
      <w:r>
        <w:rPr>
          <w:spacing w:val="-2"/>
        </w:rPr>
        <w:t xml:space="preserve"> </w:t>
      </w:r>
      <w:r>
        <w:t>a</w:t>
      </w:r>
      <w:r>
        <w:rPr>
          <w:spacing w:val="-4"/>
        </w:rPr>
        <w:t xml:space="preserve"> </w:t>
      </w:r>
      <w:r>
        <w:t>todos</w:t>
      </w:r>
      <w:r>
        <w:rPr>
          <w:spacing w:val="-5"/>
        </w:rPr>
        <w:t xml:space="preserve"> </w:t>
      </w:r>
      <w:r>
        <w:t>os</w:t>
      </w:r>
      <w:r>
        <w:rPr>
          <w:spacing w:val="-6"/>
        </w:rPr>
        <w:t xml:space="preserve"> </w:t>
      </w:r>
      <w:r>
        <w:t>demais</w:t>
      </w:r>
      <w:r>
        <w:rPr>
          <w:spacing w:val="-6"/>
        </w:rPr>
        <w:t xml:space="preserve"> </w:t>
      </w:r>
      <w:r>
        <w:t>direitos que</w:t>
      </w:r>
      <w:r>
        <w:rPr>
          <w:spacing w:val="-7"/>
        </w:rPr>
        <w:t xml:space="preserve"> </w:t>
      </w:r>
      <w:r>
        <w:t>integram</w:t>
      </w:r>
      <w:r>
        <w:rPr>
          <w:spacing w:val="-2"/>
        </w:rPr>
        <w:t xml:space="preserve"> </w:t>
      </w:r>
      <w:r>
        <w:t>a</w:t>
      </w:r>
      <w:r>
        <w:rPr>
          <w:spacing w:val="-4"/>
        </w:rPr>
        <w:t xml:space="preserve"> </w:t>
      </w:r>
      <w:r>
        <w:t>esta categoria jurídica. Desse modo, atribui-se a saúde os aspectos essenciais que caracterizam os direitos fundamentais em geral: a historicidade, universalidade, autogeneratividade.</w:t>
      </w:r>
    </w:p>
    <w:p w:rsidR="007259F2" w:rsidRDefault="00E655B4">
      <w:pPr>
        <w:pStyle w:val="Corpodetexto"/>
        <w:spacing w:before="1"/>
        <w:ind w:right="421"/>
      </w:pPr>
      <w:r>
        <w:t>Da análise da topografia constitucional do direito à saúde, em especial dos artigos 194 a 200 do texto constitucional, verifica-se ainda a formação de uma Ordem Constitucional da Saúde. Da mesma forma, instituiu o art. 194 ser a saúde integrante do sistema de seguridade social do País, ao lado dos arts. 196, de modo que os princípios elencados no art. 194 da Constituição</w:t>
      </w:r>
      <w:r>
        <w:rPr>
          <w:spacing w:val="-5"/>
        </w:rPr>
        <w:t xml:space="preserve"> </w:t>
      </w:r>
      <w:r>
        <w:t>Federal,</w:t>
      </w:r>
      <w:r>
        <w:rPr>
          <w:spacing w:val="-3"/>
        </w:rPr>
        <w:t xml:space="preserve"> </w:t>
      </w:r>
      <w:r>
        <w:t>relativos</w:t>
      </w:r>
      <w:r>
        <w:rPr>
          <w:spacing w:val="-5"/>
        </w:rPr>
        <w:t xml:space="preserve"> </w:t>
      </w:r>
      <w:r>
        <w:t>à</w:t>
      </w:r>
      <w:r>
        <w:rPr>
          <w:spacing w:val="-7"/>
        </w:rPr>
        <w:t xml:space="preserve"> </w:t>
      </w:r>
      <w:r>
        <w:t>seguridade</w:t>
      </w:r>
      <w:r>
        <w:rPr>
          <w:spacing w:val="-7"/>
        </w:rPr>
        <w:t xml:space="preserve"> </w:t>
      </w:r>
      <w:r>
        <w:t>social,</w:t>
      </w:r>
      <w:r>
        <w:rPr>
          <w:spacing w:val="-5"/>
        </w:rPr>
        <w:t xml:space="preserve"> </w:t>
      </w:r>
      <w:r>
        <w:t>aplicam-se</w:t>
      </w:r>
      <w:r>
        <w:rPr>
          <w:spacing w:val="-5"/>
        </w:rPr>
        <w:t xml:space="preserve"> </w:t>
      </w:r>
      <w:r>
        <w:t>indistintamente</w:t>
      </w:r>
      <w:r>
        <w:rPr>
          <w:spacing w:val="-5"/>
        </w:rPr>
        <w:t xml:space="preserve"> </w:t>
      </w:r>
      <w:r>
        <w:t>aos</w:t>
      </w:r>
      <w:r>
        <w:rPr>
          <w:spacing w:val="-6"/>
        </w:rPr>
        <w:t xml:space="preserve"> </w:t>
      </w:r>
      <w:r>
        <w:t>três</w:t>
      </w:r>
      <w:r>
        <w:rPr>
          <w:spacing w:val="-6"/>
        </w:rPr>
        <w:t xml:space="preserve"> </w:t>
      </w:r>
      <w:r>
        <w:t>direitos dispostos no mesmo artigo: à saúde, à previdência e à assistência social.</w:t>
      </w:r>
      <w:r>
        <w:rPr>
          <w:vertAlign w:val="superscript"/>
        </w:rPr>
        <w:t>7</w:t>
      </w:r>
    </w:p>
    <w:p w:rsidR="007259F2" w:rsidRDefault="00E655B4">
      <w:pPr>
        <w:pStyle w:val="Corpodetexto"/>
        <w:ind w:right="420"/>
      </w:pPr>
      <w:r>
        <w:t>A Constituição Federal não apenas elevou o direito a saúde a categoria de direito fundamental, mas</w:t>
      </w:r>
      <w:r>
        <w:rPr>
          <w:spacing w:val="-3"/>
        </w:rPr>
        <w:t xml:space="preserve"> </w:t>
      </w:r>
      <w:r>
        <w:t>o elencou como um dever.</w:t>
      </w:r>
      <w:r>
        <w:rPr>
          <w:spacing w:val="-1"/>
        </w:rPr>
        <w:t xml:space="preserve"> </w:t>
      </w:r>
      <w:r>
        <w:t>É</w:t>
      </w:r>
      <w:r>
        <w:rPr>
          <w:spacing w:val="-3"/>
        </w:rPr>
        <w:t xml:space="preserve"> </w:t>
      </w:r>
      <w:r>
        <w:t>o que</w:t>
      </w:r>
      <w:r>
        <w:rPr>
          <w:spacing w:val="-3"/>
        </w:rPr>
        <w:t xml:space="preserve"> </w:t>
      </w:r>
      <w:r>
        <w:t>decorre</w:t>
      </w:r>
      <w:r>
        <w:rPr>
          <w:spacing w:val="-3"/>
        </w:rPr>
        <w:t xml:space="preserve"> </w:t>
      </w:r>
      <w:r>
        <w:t>da</w:t>
      </w:r>
      <w:r>
        <w:rPr>
          <w:spacing w:val="-1"/>
        </w:rPr>
        <w:t xml:space="preserve"> </w:t>
      </w:r>
      <w:r>
        <w:t>dicção do art.</w:t>
      </w:r>
      <w:r>
        <w:rPr>
          <w:spacing w:val="-3"/>
        </w:rPr>
        <w:t xml:space="preserve"> </w:t>
      </w:r>
      <w:r>
        <w:t>196, segundo o qual: “a saúde é direito de todos e dever do Estado...”, ressaltando-se seu caráter prestacional. Como aponta Canotilho, somente em alguns casos é que os direitos sociais conferem aos cidadãos</w:t>
      </w:r>
      <w:r>
        <w:rPr>
          <w:spacing w:val="5"/>
        </w:rPr>
        <w:t xml:space="preserve"> </w:t>
      </w:r>
      <w:r>
        <w:t>(a</w:t>
      </w:r>
      <w:r>
        <w:rPr>
          <w:spacing w:val="6"/>
        </w:rPr>
        <w:t xml:space="preserve"> </w:t>
      </w:r>
      <w:r>
        <w:t>todos</w:t>
      </w:r>
      <w:r>
        <w:rPr>
          <w:spacing w:val="7"/>
        </w:rPr>
        <w:t xml:space="preserve"> </w:t>
      </w:r>
      <w:r>
        <w:t>e</w:t>
      </w:r>
      <w:r>
        <w:rPr>
          <w:spacing w:val="8"/>
        </w:rPr>
        <w:t xml:space="preserve"> </w:t>
      </w:r>
      <w:r>
        <w:t>a</w:t>
      </w:r>
      <w:r>
        <w:rPr>
          <w:spacing w:val="6"/>
        </w:rPr>
        <w:t xml:space="preserve"> </w:t>
      </w:r>
      <w:r>
        <w:t>cada</w:t>
      </w:r>
      <w:r>
        <w:rPr>
          <w:spacing w:val="6"/>
        </w:rPr>
        <w:t xml:space="preserve"> </w:t>
      </w:r>
      <w:r>
        <w:t>um)</w:t>
      </w:r>
      <w:r>
        <w:rPr>
          <w:spacing w:val="6"/>
        </w:rPr>
        <w:t xml:space="preserve"> </w:t>
      </w:r>
      <w:r>
        <w:t>um</w:t>
      </w:r>
      <w:r>
        <w:rPr>
          <w:spacing w:val="7"/>
        </w:rPr>
        <w:t xml:space="preserve"> </w:t>
      </w:r>
      <w:r>
        <w:t>direito</w:t>
      </w:r>
      <w:r>
        <w:rPr>
          <w:spacing w:val="6"/>
        </w:rPr>
        <w:t xml:space="preserve"> </w:t>
      </w:r>
      <w:r>
        <w:t>imediato</w:t>
      </w:r>
      <w:r>
        <w:rPr>
          <w:spacing w:val="6"/>
        </w:rPr>
        <w:t xml:space="preserve"> </w:t>
      </w:r>
      <w:r>
        <w:t>a</w:t>
      </w:r>
      <w:r>
        <w:rPr>
          <w:spacing w:val="6"/>
        </w:rPr>
        <w:t xml:space="preserve"> </w:t>
      </w:r>
      <w:r>
        <w:t>uma</w:t>
      </w:r>
      <w:r>
        <w:rPr>
          <w:spacing w:val="6"/>
        </w:rPr>
        <w:t xml:space="preserve"> </w:t>
      </w:r>
      <w:r>
        <w:t>prestação</w:t>
      </w:r>
      <w:r>
        <w:rPr>
          <w:spacing w:val="6"/>
        </w:rPr>
        <w:t xml:space="preserve"> </w:t>
      </w:r>
      <w:r>
        <w:t>efetiva,</w:t>
      </w:r>
      <w:r>
        <w:rPr>
          <w:spacing w:val="6"/>
        </w:rPr>
        <w:t xml:space="preserve"> </w:t>
      </w:r>
      <w:r>
        <w:t>sendo</w:t>
      </w:r>
      <w:r>
        <w:rPr>
          <w:spacing w:val="6"/>
        </w:rPr>
        <w:t xml:space="preserve"> </w:t>
      </w:r>
      <w:r>
        <w:rPr>
          <w:spacing w:val="-2"/>
        </w:rPr>
        <w:t>necessário</w:t>
      </w:r>
    </w:p>
    <w:p w:rsidR="007259F2" w:rsidRDefault="007259F2">
      <w:pPr>
        <w:pStyle w:val="Corpodetexto"/>
        <w:ind w:left="0" w:firstLine="0"/>
        <w:jc w:val="left"/>
        <w:rPr>
          <w:sz w:val="20"/>
        </w:rPr>
      </w:pPr>
    </w:p>
    <w:p w:rsidR="007259F2" w:rsidRDefault="007259F2">
      <w:pPr>
        <w:pStyle w:val="Corpodetexto"/>
        <w:ind w:left="0" w:firstLine="0"/>
        <w:jc w:val="left"/>
        <w:rPr>
          <w:sz w:val="20"/>
        </w:rPr>
      </w:pPr>
    </w:p>
    <w:p w:rsidR="007259F2" w:rsidRDefault="00DE6B1C">
      <w:pPr>
        <w:pStyle w:val="Corpodetexto"/>
        <w:spacing w:before="209"/>
        <w:ind w:left="0" w:firstLine="0"/>
        <w:jc w:val="left"/>
        <w:rPr>
          <w:sz w:val="20"/>
        </w:rPr>
      </w:pPr>
      <w:r w:rsidRPr="00DE6B1C">
        <w:rPr>
          <w:sz w:val="20"/>
        </w:rPr>
        <w:pict>
          <v:rect id="docshape135" o:spid="_x0000_s1092" style="position:absolute;margin-left:85.1pt;margin-top:23.2pt;width:2in;height:.7pt;z-index:-15669760;mso-wrap-distance-left:0;mso-wrap-distance-right:0;mso-position-horizontal-relative:page" fillcolor="black" stroked="f">
            <w10:wrap type="topAndBottom" anchorx="page"/>
          </v:rect>
        </w:pict>
      </w:r>
    </w:p>
    <w:p w:rsidR="007259F2" w:rsidRDefault="00E655B4">
      <w:pPr>
        <w:spacing w:before="96"/>
        <w:ind w:left="710"/>
        <w:jc w:val="both"/>
        <w:rPr>
          <w:sz w:val="20"/>
        </w:rPr>
      </w:pPr>
      <w:r>
        <w:rPr>
          <w:sz w:val="20"/>
          <w:vertAlign w:val="superscript"/>
        </w:rPr>
        <w:t>4</w:t>
      </w:r>
      <w:r>
        <w:rPr>
          <w:spacing w:val="-6"/>
          <w:sz w:val="20"/>
        </w:rPr>
        <w:t xml:space="preserve"> </w:t>
      </w:r>
      <w:r>
        <w:rPr>
          <w:sz w:val="20"/>
        </w:rPr>
        <w:t>CARVALHO, Mariana Siqueira</w:t>
      </w:r>
      <w:r>
        <w:rPr>
          <w:spacing w:val="-2"/>
          <w:sz w:val="20"/>
        </w:rPr>
        <w:t xml:space="preserve"> </w:t>
      </w:r>
      <w:r>
        <w:rPr>
          <w:sz w:val="20"/>
        </w:rPr>
        <w:t>de.</w:t>
      </w:r>
      <w:r>
        <w:rPr>
          <w:spacing w:val="-1"/>
          <w:sz w:val="20"/>
        </w:rPr>
        <w:t xml:space="preserve"> </w:t>
      </w:r>
      <w:r>
        <w:rPr>
          <w:sz w:val="20"/>
        </w:rPr>
        <w:t>A</w:t>
      </w:r>
      <w:r>
        <w:rPr>
          <w:spacing w:val="-3"/>
          <w:sz w:val="20"/>
        </w:rPr>
        <w:t xml:space="preserve"> </w:t>
      </w:r>
      <w:r>
        <w:rPr>
          <w:sz w:val="20"/>
        </w:rPr>
        <w:t>saúde</w:t>
      </w:r>
      <w:r>
        <w:rPr>
          <w:spacing w:val="-2"/>
          <w:sz w:val="20"/>
        </w:rPr>
        <w:t xml:space="preserve"> </w:t>
      </w:r>
      <w:r>
        <w:rPr>
          <w:sz w:val="20"/>
        </w:rPr>
        <w:t>como direito</w:t>
      </w:r>
      <w:r>
        <w:rPr>
          <w:spacing w:val="-1"/>
          <w:sz w:val="20"/>
        </w:rPr>
        <w:t xml:space="preserve"> </w:t>
      </w:r>
      <w:r>
        <w:rPr>
          <w:sz w:val="20"/>
        </w:rPr>
        <w:t>social</w:t>
      </w:r>
      <w:r>
        <w:rPr>
          <w:spacing w:val="-2"/>
          <w:sz w:val="20"/>
        </w:rPr>
        <w:t xml:space="preserve"> </w:t>
      </w:r>
      <w:r>
        <w:rPr>
          <w:sz w:val="20"/>
        </w:rPr>
        <w:t>fundamental</w:t>
      </w:r>
      <w:r>
        <w:rPr>
          <w:spacing w:val="-1"/>
          <w:sz w:val="20"/>
        </w:rPr>
        <w:t xml:space="preserve"> </w:t>
      </w:r>
      <w:r>
        <w:rPr>
          <w:sz w:val="20"/>
        </w:rPr>
        <w:t>na Constituição Federal</w:t>
      </w:r>
      <w:r>
        <w:rPr>
          <w:spacing w:val="-2"/>
          <w:sz w:val="20"/>
        </w:rPr>
        <w:t xml:space="preserve"> </w:t>
      </w:r>
      <w:r>
        <w:rPr>
          <w:sz w:val="20"/>
        </w:rPr>
        <w:t>de</w:t>
      </w:r>
      <w:r>
        <w:rPr>
          <w:spacing w:val="-3"/>
          <w:sz w:val="20"/>
        </w:rPr>
        <w:t xml:space="preserve"> </w:t>
      </w:r>
      <w:r>
        <w:rPr>
          <w:spacing w:val="-2"/>
          <w:sz w:val="20"/>
        </w:rPr>
        <w:t>1988.</w:t>
      </w:r>
    </w:p>
    <w:p w:rsidR="007259F2" w:rsidRDefault="00E655B4">
      <w:pPr>
        <w:spacing w:before="1"/>
        <w:ind w:left="710"/>
        <w:jc w:val="both"/>
        <w:rPr>
          <w:sz w:val="20"/>
        </w:rPr>
      </w:pPr>
      <w:r>
        <w:rPr>
          <w:b/>
          <w:sz w:val="20"/>
        </w:rPr>
        <w:t>Revista</w:t>
      </w:r>
      <w:r>
        <w:rPr>
          <w:b/>
          <w:spacing w:val="-3"/>
          <w:sz w:val="20"/>
        </w:rPr>
        <w:t xml:space="preserve"> </w:t>
      </w:r>
      <w:r>
        <w:rPr>
          <w:b/>
          <w:sz w:val="20"/>
        </w:rPr>
        <w:t>de</w:t>
      </w:r>
      <w:r>
        <w:rPr>
          <w:b/>
          <w:spacing w:val="-3"/>
          <w:sz w:val="20"/>
        </w:rPr>
        <w:t xml:space="preserve"> </w:t>
      </w:r>
      <w:r>
        <w:rPr>
          <w:b/>
          <w:sz w:val="20"/>
        </w:rPr>
        <w:t>Direito</w:t>
      </w:r>
      <w:r>
        <w:rPr>
          <w:b/>
          <w:spacing w:val="-2"/>
          <w:sz w:val="20"/>
        </w:rPr>
        <w:t xml:space="preserve"> </w:t>
      </w:r>
      <w:r>
        <w:rPr>
          <w:b/>
          <w:sz w:val="20"/>
        </w:rPr>
        <w:t>Sanitário</w:t>
      </w:r>
      <w:r>
        <w:rPr>
          <w:sz w:val="20"/>
        </w:rPr>
        <w:t>,</w:t>
      </w:r>
      <w:r>
        <w:rPr>
          <w:spacing w:val="-5"/>
          <w:sz w:val="20"/>
        </w:rPr>
        <w:t xml:space="preserve"> </w:t>
      </w:r>
      <w:r>
        <w:rPr>
          <w:sz w:val="20"/>
        </w:rPr>
        <w:t>São</w:t>
      </w:r>
      <w:r>
        <w:rPr>
          <w:spacing w:val="-2"/>
          <w:sz w:val="20"/>
        </w:rPr>
        <w:t xml:space="preserve"> </w:t>
      </w:r>
      <w:r>
        <w:rPr>
          <w:sz w:val="20"/>
        </w:rPr>
        <w:t>Paulo,</w:t>
      </w:r>
      <w:r>
        <w:rPr>
          <w:spacing w:val="-3"/>
          <w:sz w:val="20"/>
        </w:rPr>
        <w:t xml:space="preserve"> </w:t>
      </w:r>
      <w:r>
        <w:rPr>
          <w:sz w:val="20"/>
        </w:rPr>
        <w:t>2003,</w:t>
      </w:r>
      <w:r>
        <w:rPr>
          <w:spacing w:val="-3"/>
          <w:sz w:val="20"/>
        </w:rPr>
        <w:t xml:space="preserve"> </w:t>
      </w:r>
      <w:r>
        <w:rPr>
          <w:sz w:val="20"/>
        </w:rPr>
        <w:t>v.</w:t>
      </w:r>
      <w:r>
        <w:rPr>
          <w:spacing w:val="-3"/>
          <w:sz w:val="20"/>
        </w:rPr>
        <w:t xml:space="preserve"> </w:t>
      </w:r>
      <w:r>
        <w:rPr>
          <w:sz w:val="20"/>
        </w:rPr>
        <w:t>4,</w:t>
      </w:r>
      <w:r>
        <w:rPr>
          <w:spacing w:val="-3"/>
          <w:sz w:val="20"/>
        </w:rPr>
        <w:t xml:space="preserve"> </w:t>
      </w:r>
      <w:r>
        <w:rPr>
          <w:sz w:val="20"/>
        </w:rPr>
        <w:t>n.</w:t>
      </w:r>
      <w:r>
        <w:rPr>
          <w:spacing w:val="-3"/>
          <w:sz w:val="20"/>
        </w:rPr>
        <w:t xml:space="preserve"> </w:t>
      </w:r>
      <w:r>
        <w:rPr>
          <w:sz w:val="20"/>
        </w:rPr>
        <w:t>2,</w:t>
      </w:r>
      <w:r>
        <w:rPr>
          <w:spacing w:val="-3"/>
          <w:sz w:val="20"/>
        </w:rPr>
        <w:t xml:space="preserve"> </w:t>
      </w:r>
      <w:r>
        <w:rPr>
          <w:sz w:val="20"/>
        </w:rPr>
        <w:t>p.</w:t>
      </w:r>
      <w:r>
        <w:rPr>
          <w:spacing w:val="-5"/>
          <w:sz w:val="20"/>
        </w:rPr>
        <w:t xml:space="preserve"> </w:t>
      </w:r>
      <w:r>
        <w:rPr>
          <w:sz w:val="20"/>
        </w:rPr>
        <w:t>15-31,</w:t>
      </w:r>
      <w:r>
        <w:rPr>
          <w:spacing w:val="-3"/>
          <w:sz w:val="20"/>
        </w:rPr>
        <w:t xml:space="preserve"> </w:t>
      </w:r>
      <w:r>
        <w:rPr>
          <w:sz w:val="20"/>
        </w:rPr>
        <w:t>2</w:t>
      </w:r>
      <w:r>
        <w:rPr>
          <w:spacing w:val="-4"/>
          <w:sz w:val="20"/>
        </w:rPr>
        <w:t xml:space="preserve"> </w:t>
      </w:r>
      <w:r>
        <w:rPr>
          <w:sz w:val="20"/>
        </w:rPr>
        <w:t>jul.</w:t>
      </w:r>
      <w:r>
        <w:rPr>
          <w:spacing w:val="-3"/>
          <w:sz w:val="20"/>
        </w:rPr>
        <w:t xml:space="preserve"> </w:t>
      </w:r>
      <w:r>
        <w:rPr>
          <w:spacing w:val="-2"/>
          <w:sz w:val="20"/>
        </w:rPr>
        <w:t>2003.</w:t>
      </w:r>
    </w:p>
    <w:p w:rsidR="007259F2" w:rsidRDefault="00E655B4">
      <w:pPr>
        <w:ind w:left="710" w:right="428"/>
        <w:jc w:val="both"/>
        <w:rPr>
          <w:sz w:val="20"/>
        </w:rPr>
      </w:pPr>
      <w:r>
        <w:rPr>
          <w:sz w:val="20"/>
          <w:vertAlign w:val="superscript"/>
        </w:rPr>
        <w:t>5</w:t>
      </w:r>
      <w:r>
        <w:rPr>
          <w:spacing w:val="-4"/>
          <w:sz w:val="20"/>
        </w:rPr>
        <w:t xml:space="preserve"> </w:t>
      </w:r>
      <w:r>
        <w:rPr>
          <w:sz w:val="20"/>
        </w:rPr>
        <w:t>WERNER, Patricia Ulson</w:t>
      </w:r>
      <w:r>
        <w:rPr>
          <w:spacing w:val="-1"/>
          <w:sz w:val="20"/>
        </w:rPr>
        <w:t xml:space="preserve"> </w:t>
      </w:r>
      <w:r>
        <w:rPr>
          <w:sz w:val="20"/>
        </w:rPr>
        <w:t>Pizarro. Direito</w:t>
      </w:r>
      <w:r>
        <w:rPr>
          <w:spacing w:val="-1"/>
          <w:sz w:val="20"/>
        </w:rPr>
        <w:t xml:space="preserve"> </w:t>
      </w:r>
      <w:r>
        <w:rPr>
          <w:sz w:val="20"/>
        </w:rPr>
        <w:t xml:space="preserve">à saúde. </w:t>
      </w:r>
      <w:r>
        <w:rPr>
          <w:i/>
          <w:sz w:val="20"/>
        </w:rPr>
        <w:t>In</w:t>
      </w:r>
      <w:r>
        <w:rPr>
          <w:sz w:val="20"/>
        </w:rPr>
        <w:t>:</w:t>
      </w:r>
      <w:r>
        <w:rPr>
          <w:spacing w:val="-2"/>
          <w:sz w:val="20"/>
        </w:rPr>
        <w:t xml:space="preserve"> </w:t>
      </w:r>
      <w:r>
        <w:rPr>
          <w:sz w:val="20"/>
        </w:rPr>
        <w:t>CAMPILONGO, Celso Fernandes; GONZAGA, Alvaro de</w:t>
      </w:r>
      <w:r>
        <w:rPr>
          <w:spacing w:val="-2"/>
          <w:sz w:val="20"/>
        </w:rPr>
        <w:t xml:space="preserve"> </w:t>
      </w:r>
      <w:r>
        <w:rPr>
          <w:sz w:val="20"/>
        </w:rPr>
        <w:t>Azevedo;</w:t>
      </w:r>
      <w:r>
        <w:rPr>
          <w:spacing w:val="-2"/>
          <w:sz w:val="20"/>
        </w:rPr>
        <w:t xml:space="preserve"> </w:t>
      </w:r>
      <w:r>
        <w:rPr>
          <w:sz w:val="20"/>
        </w:rPr>
        <w:t>FREIRE, André Luiz</w:t>
      </w:r>
      <w:r>
        <w:rPr>
          <w:spacing w:val="-2"/>
          <w:sz w:val="20"/>
        </w:rPr>
        <w:t xml:space="preserve"> </w:t>
      </w:r>
      <w:r>
        <w:rPr>
          <w:sz w:val="20"/>
        </w:rPr>
        <w:t xml:space="preserve">(Coords.). </w:t>
      </w:r>
      <w:r>
        <w:rPr>
          <w:b/>
          <w:sz w:val="20"/>
        </w:rPr>
        <w:t>Enciclopédia jurídica</w:t>
      </w:r>
      <w:r>
        <w:rPr>
          <w:b/>
          <w:spacing w:val="-1"/>
          <w:sz w:val="20"/>
        </w:rPr>
        <w:t xml:space="preserve"> </w:t>
      </w:r>
      <w:r>
        <w:rPr>
          <w:b/>
          <w:sz w:val="20"/>
        </w:rPr>
        <w:t>da</w:t>
      </w:r>
      <w:r>
        <w:rPr>
          <w:b/>
          <w:spacing w:val="-1"/>
          <w:sz w:val="20"/>
        </w:rPr>
        <w:t xml:space="preserve"> </w:t>
      </w:r>
      <w:r>
        <w:rPr>
          <w:b/>
          <w:sz w:val="20"/>
        </w:rPr>
        <w:t>PUC-SP</w:t>
      </w:r>
      <w:r>
        <w:rPr>
          <w:sz w:val="20"/>
        </w:rPr>
        <w:t>.</w:t>
      </w:r>
      <w:r>
        <w:rPr>
          <w:spacing w:val="-2"/>
          <w:sz w:val="20"/>
        </w:rPr>
        <w:t xml:space="preserve"> </w:t>
      </w:r>
      <w:r>
        <w:rPr>
          <w:sz w:val="20"/>
        </w:rPr>
        <w:t>Tomo: Direito</w:t>
      </w:r>
      <w:r>
        <w:rPr>
          <w:spacing w:val="-1"/>
          <w:sz w:val="20"/>
        </w:rPr>
        <w:t xml:space="preserve"> </w:t>
      </w:r>
      <w:r>
        <w:rPr>
          <w:sz w:val="20"/>
        </w:rPr>
        <w:t>Administrativo e Constitucional. Coordenação de tomo: NUNES JR., Vidal Serrano; ZOCKUN, Maurício; ZOCKUN, Carolina Zancaner; FREIRE, André Luiz. 1. ed. São Paulo: Pontifícia Universidade Católica de São Paulo, 2017.</w:t>
      </w:r>
    </w:p>
    <w:p w:rsidR="007259F2" w:rsidRDefault="00E655B4">
      <w:pPr>
        <w:spacing w:line="230" w:lineRule="exact"/>
        <w:ind w:left="710"/>
        <w:jc w:val="both"/>
        <w:rPr>
          <w:sz w:val="20"/>
        </w:rPr>
      </w:pPr>
      <w:r>
        <w:rPr>
          <w:sz w:val="20"/>
          <w:vertAlign w:val="superscript"/>
        </w:rPr>
        <w:t>6</w:t>
      </w:r>
      <w:r>
        <w:rPr>
          <w:sz w:val="20"/>
        </w:rPr>
        <w:t xml:space="preserve"> DALLARI</w:t>
      </w:r>
      <w:r>
        <w:rPr>
          <w:spacing w:val="7"/>
          <w:sz w:val="20"/>
        </w:rPr>
        <w:t xml:space="preserve"> </w:t>
      </w:r>
      <w:r>
        <w:rPr>
          <w:sz w:val="20"/>
        </w:rPr>
        <w:t>,</w:t>
      </w:r>
      <w:r>
        <w:rPr>
          <w:spacing w:val="5"/>
          <w:sz w:val="20"/>
        </w:rPr>
        <w:t xml:space="preserve"> </w:t>
      </w:r>
      <w:r>
        <w:rPr>
          <w:sz w:val="20"/>
        </w:rPr>
        <w:t>Sueli</w:t>
      </w:r>
      <w:r>
        <w:rPr>
          <w:spacing w:val="6"/>
          <w:sz w:val="20"/>
        </w:rPr>
        <w:t xml:space="preserve"> </w:t>
      </w:r>
      <w:r>
        <w:rPr>
          <w:sz w:val="20"/>
        </w:rPr>
        <w:t>Gandolfi;</w:t>
      </w:r>
      <w:r>
        <w:rPr>
          <w:spacing w:val="8"/>
          <w:sz w:val="20"/>
        </w:rPr>
        <w:t xml:space="preserve"> </w:t>
      </w:r>
      <w:r>
        <w:rPr>
          <w:sz w:val="20"/>
        </w:rPr>
        <w:t>NUNES</w:t>
      </w:r>
      <w:r>
        <w:rPr>
          <w:spacing w:val="4"/>
          <w:sz w:val="20"/>
        </w:rPr>
        <w:t xml:space="preserve"> </w:t>
      </w:r>
      <w:r>
        <w:rPr>
          <w:sz w:val="20"/>
        </w:rPr>
        <w:t>JÚNIOR,</w:t>
      </w:r>
      <w:r>
        <w:rPr>
          <w:spacing w:val="5"/>
          <w:sz w:val="20"/>
        </w:rPr>
        <w:t xml:space="preserve"> </w:t>
      </w:r>
      <w:r>
        <w:rPr>
          <w:sz w:val="20"/>
        </w:rPr>
        <w:t>Vidal</w:t>
      </w:r>
      <w:r>
        <w:rPr>
          <w:spacing w:val="7"/>
          <w:sz w:val="20"/>
        </w:rPr>
        <w:t xml:space="preserve"> </w:t>
      </w:r>
      <w:r>
        <w:rPr>
          <w:sz w:val="20"/>
        </w:rPr>
        <w:t>Serrano.</w:t>
      </w:r>
      <w:r>
        <w:rPr>
          <w:spacing w:val="12"/>
          <w:sz w:val="20"/>
        </w:rPr>
        <w:t xml:space="preserve"> </w:t>
      </w:r>
      <w:r>
        <w:rPr>
          <w:b/>
          <w:sz w:val="20"/>
        </w:rPr>
        <w:t>Direito</w:t>
      </w:r>
      <w:r>
        <w:rPr>
          <w:b/>
          <w:spacing w:val="5"/>
          <w:sz w:val="20"/>
        </w:rPr>
        <w:t xml:space="preserve"> </w:t>
      </w:r>
      <w:r>
        <w:rPr>
          <w:b/>
          <w:sz w:val="20"/>
        </w:rPr>
        <w:t>Sanitário</w:t>
      </w:r>
      <w:r>
        <w:rPr>
          <w:sz w:val="20"/>
        </w:rPr>
        <w:t>.</w:t>
      </w:r>
      <w:r>
        <w:rPr>
          <w:spacing w:val="5"/>
          <w:sz w:val="20"/>
        </w:rPr>
        <w:t xml:space="preserve"> </w:t>
      </w:r>
      <w:r>
        <w:rPr>
          <w:sz w:val="20"/>
        </w:rPr>
        <w:t>São</w:t>
      </w:r>
      <w:r>
        <w:rPr>
          <w:spacing w:val="5"/>
          <w:sz w:val="20"/>
        </w:rPr>
        <w:t xml:space="preserve"> </w:t>
      </w:r>
      <w:r>
        <w:rPr>
          <w:sz w:val="20"/>
        </w:rPr>
        <w:t>Paulo:</w:t>
      </w:r>
      <w:r>
        <w:rPr>
          <w:spacing w:val="5"/>
          <w:sz w:val="20"/>
        </w:rPr>
        <w:t xml:space="preserve"> </w:t>
      </w:r>
      <w:r>
        <w:rPr>
          <w:sz w:val="20"/>
        </w:rPr>
        <w:t>Verbatim,</w:t>
      </w:r>
      <w:r>
        <w:rPr>
          <w:spacing w:val="5"/>
          <w:sz w:val="20"/>
        </w:rPr>
        <w:t xml:space="preserve"> </w:t>
      </w:r>
      <w:r>
        <w:rPr>
          <w:spacing w:val="-2"/>
          <w:sz w:val="20"/>
        </w:rPr>
        <w:t>2010.</w:t>
      </w:r>
    </w:p>
    <w:p w:rsidR="007259F2" w:rsidRDefault="00E655B4">
      <w:pPr>
        <w:ind w:left="710"/>
        <w:rPr>
          <w:sz w:val="20"/>
        </w:rPr>
      </w:pPr>
      <w:r>
        <w:rPr>
          <w:sz w:val="20"/>
        </w:rPr>
        <w:t>p.</w:t>
      </w:r>
      <w:r>
        <w:rPr>
          <w:spacing w:val="-1"/>
          <w:sz w:val="20"/>
        </w:rPr>
        <w:t xml:space="preserve"> </w:t>
      </w:r>
      <w:r>
        <w:rPr>
          <w:spacing w:val="-5"/>
          <w:sz w:val="20"/>
        </w:rPr>
        <w:t>67.</w:t>
      </w:r>
    </w:p>
    <w:p w:rsidR="007259F2" w:rsidRDefault="00E655B4">
      <w:pPr>
        <w:spacing w:before="1"/>
        <w:ind w:left="710" w:right="424"/>
        <w:rPr>
          <w:sz w:val="20"/>
        </w:rPr>
      </w:pPr>
      <w:r>
        <w:rPr>
          <w:sz w:val="20"/>
          <w:vertAlign w:val="superscript"/>
        </w:rPr>
        <w:t>7</w:t>
      </w:r>
      <w:r>
        <w:rPr>
          <w:spacing w:val="40"/>
          <w:sz w:val="20"/>
        </w:rPr>
        <w:t xml:space="preserve"> </w:t>
      </w:r>
      <w:r>
        <w:rPr>
          <w:sz w:val="20"/>
        </w:rPr>
        <w:t>CORDEIRO,</w:t>
      </w:r>
      <w:r>
        <w:rPr>
          <w:spacing w:val="40"/>
          <w:sz w:val="20"/>
        </w:rPr>
        <w:t xml:space="preserve"> </w:t>
      </w:r>
      <w:r>
        <w:rPr>
          <w:sz w:val="20"/>
        </w:rPr>
        <w:t>Hésio.</w:t>
      </w:r>
      <w:r>
        <w:rPr>
          <w:spacing w:val="40"/>
          <w:sz w:val="20"/>
        </w:rPr>
        <w:t xml:space="preserve"> </w:t>
      </w:r>
      <w:r>
        <w:rPr>
          <w:sz w:val="20"/>
        </w:rPr>
        <w:t>Descentralização,</w:t>
      </w:r>
      <w:r>
        <w:rPr>
          <w:spacing w:val="40"/>
          <w:sz w:val="20"/>
        </w:rPr>
        <w:t xml:space="preserve"> </w:t>
      </w:r>
      <w:r>
        <w:rPr>
          <w:sz w:val="20"/>
        </w:rPr>
        <w:t>universalidade</w:t>
      </w:r>
      <w:r>
        <w:rPr>
          <w:spacing w:val="40"/>
          <w:sz w:val="20"/>
        </w:rPr>
        <w:t xml:space="preserve"> </w:t>
      </w:r>
      <w:r>
        <w:rPr>
          <w:sz w:val="20"/>
        </w:rPr>
        <w:t>e</w:t>
      </w:r>
      <w:r>
        <w:rPr>
          <w:spacing w:val="40"/>
          <w:sz w:val="20"/>
        </w:rPr>
        <w:t xml:space="preserve"> </w:t>
      </w:r>
      <w:r>
        <w:rPr>
          <w:sz w:val="20"/>
        </w:rPr>
        <w:t>equidade</w:t>
      </w:r>
      <w:r>
        <w:rPr>
          <w:spacing w:val="40"/>
          <w:sz w:val="20"/>
        </w:rPr>
        <w:t xml:space="preserve"> </w:t>
      </w:r>
      <w:r>
        <w:rPr>
          <w:sz w:val="20"/>
        </w:rPr>
        <w:t>nas</w:t>
      </w:r>
      <w:r>
        <w:rPr>
          <w:spacing w:val="40"/>
          <w:sz w:val="20"/>
        </w:rPr>
        <w:t xml:space="preserve"> </w:t>
      </w:r>
      <w:r>
        <w:rPr>
          <w:sz w:val="20"/>
        </w:rPr>
        <w:t>reformas</w:t>
      </w:r>
      <w:r>
        <w:rPr>
          <w:spacing w:val="40"/>
          <w:sz w:val="20"/>
        </w:rPr>
        <w:t xml:space="preserve"> </w:t>
      </w:r>
      <w:r>
        <w:rPr>
          <w:sz w:val="20"/>
        </w:rPr>
        <w:t>da</w:t>
      </w:r>
      <w:r>
        <w:rPr>
          <w:spacing w:val="40"/>
          <w:sz w:val="20"/>
        </w:rPr>
        <w:t xml:space="preserve"> </w:t>
      </w:r>
      <w:r>
        <w:rPr>
          <w:sz w:val="20"/>
        </w:rPr>
        <w:t>saúde.</w:t>
      </w:r>
      <w:r>
        <w:rPr>
          <w:spacing w:val="40"/>
          <w:sz w:val="20"/>
        </w:rPr>
        <w:t xml:space="preserve"> </w:t>
      </w:r>
      <w:r>
        <w:rPr>
          <w:b/>
          <w:sz w:val="20"/>
        </w:rPr>
        <w:t>Ciênc.</w:t>
      </w:r>
      <w:r>
        <w:rPr>
          <w:b/>
          <w:spacing w:val="40"/>
          <w:sz w:val="20"/>
        </w:rPr>
        <w:t xml:space="preserve"> </w:t>
      </w:r>
      <w:r>
        <w:rPr>
          <w:b/>
          <w:sz w:val="20"/>
        </w:rPr>
        <w:t>Saúde Coletiva</w:t>
      </w:r>
      <w:r>
        <w:rPr>
          <w:sz w:val="20"/>
        </w:rPr>
        <w:t>, São Paulo, v. 6,n. 2, 2001.Disponívelem: https</w:t>
      </w:r>
      <w:hyperlink r:id="rId199">
        <w:r>
          <w:rPr>
            <w:sz w:val="20"/>
          </w:rPr>
          <w:t>://www.scielo.br/j/csc/a/cR5fBb9MWJRFmvgn4DhrLgN/?lang=pt.</w:t>
        </w:r>
      </w:hyperlink>
      <w:r>
        <w:rPr>
          <w:sz w:val="20"/>
        </w:rPr>
        <w:t xml:space="preserve"> Acesso em: 04 out. 2024.</w:t>
      </w:r>
    </w:p>
    <w:p w:rsidR="007259F2" w:rsidRDefault="007259F2">
      <w:pPr>
        <w:rPr>
          <w:sz w:val="20"/>
        </w:rPr>
        <w:sectPr w:rsidR="007259F2">
          <w:pgSz w:w="11910" w:h="16840"/>
          <w:pgMar w:top="1600" w:right="708" w:bottom="1020" w:left="992" w:header="0" w:footer="820" w:gutter="0"/>
          <w:cols w:space="720"/>
        </w:sectPr>
      </w:pPr>
    </w:p>
    <w:p w:rsidR="007259F2" w:rsidRDefault="00E655B4">
      <w:pPr>
        <w:pStyle w:val="Corpodetexto"/>
        <w:spacing w:before="75"/>
        <w:ind w:firstLine="0"/>
        <w:jc w:val="left"/>
      </w:pPr>
      <w:r>
        <w:lastRenderedPageBreak/>
        <w:t>que</w:t>
      </w:r>
      <w:r>
        <w:rPr>
          <w:spacing w:val="30"/>
        </w:rPr>
        <w:t xml:space="preserve"> </w:t>
      </w:r>
      <w:r>
        <w:t>tal</w:t>
      </w:r>
      <w:r>
        <w:rPr>
          <w:spacing w:val="30"/>
        </w:rPr>
        <w:t xml:space="preserve"> </w:t>
      </w:r>
      <w:r>
        <w:t>decorra</w:t>
      </w:r>
      <w:r>
        <w:rPr>
          <w:spacing w:val="29"/>
        </w:rPr>
        <w:t xml:space="preserve"> </w:t>
      </w:r>
      <w:r>
        <w:t>expressamente</w:t>
      </w:r>
      <w:r>
        <w:rPr>
          <w:spacing w:val="30"/>
        </w:rPr>
        <w:t xml:space="preserve"> </w:t>
      </w:r>
      <w:r>
        <w:t>do</w:t>
      </w:r>
      <w:r>
        <w:rPr>
          <w:spacing w:val="30"/>
        </w:rPr>
        <w:t xml:space="preserve"> </w:t>
      </w:r>
      <w:r>
        <w:t>texto</w:t>
      </w:r>
      <w:r>
        <w:rPr>
          <w:spacing w:val="30"/>
        </w:rPr>
        <w:t xml:space="preserve"> </w:t>
      </w:r>
      <w:r>
        <w:t>constitucional,</w:t>
      </w:r>
      <w:r>
        <w:rPr>
          <w:spacing w:val="30"/>
        </w:rPr>
        <w:t xml:space="preserve"> </w:t>
      </w:r>
      <w:r>
        <w:t>é</w:t>
      </w:r>
      <w:r>
        <w:rPr>
          <w:spacing w:val="30"/>
        </w:rPr>
        <w:t xml:space="preserve"> </w:t>
      </w:r>
      <w:r>
        <w:t>o</w:t>
      </w:r>
      <w:r>
        <w:rPr>
          <w:spacing w:val="30"/>
        </w:rPr>
        <w:t xml:space="preserve"> </w:t>
      </w:r>
      <w:r>
        <w:t>que</w:t>
      </w:r>
      <w:r>
        <w:rPr>
          <w:spacing w:val="30"/>
        </w:rPr>
        <w:t xml:space="preserve"> </w:t>
      </w:r>
      <w:r>
        <w:t>ocorre</w:t>
      </w:r>
      <w:r>
        <w:rPr>
          <w:spacing w:val="29"/>
        </w:rPr>
        <w:t xml:space="preserve"> </w:t>
      </w:r>
      <w:r>
        <w:t>no</w:t>
      </w:r>
      <w:r>
        <w:rPr>
          <w:spacing w:val="32"/>
        </w:rPr>
        <w:t xml:space="preserve"> </w:t>
      </w:r>
      <w:r>
        <w:t>caso</w:t>
      </w:r>
      <w:r>
        <w:rPr>
          <w:spacing w:val="30"/>
        </w:rPr>
        <w:t xml:space="preserve"> </w:t>
      </w:r>
      <w:r>
        <w:t>do</w:t>
      </w:r>
      <w:r>
        <w:rPr>
          <w:spacing w:val="30"/>
        </w:rPr>
        <w:t xml:space="preserve"> </w:t>
      </w:r>
      <w:r>
        <w:t>direito</w:t>
      </w:r>
      <w:r>
        <w:rPr>
          <w:spacing w:val="30"/>
        </w:rPr>
        <w:t xml:space="preserve"> </w:t>
      </w:r>
      <w:r>
        <w:t xml:space="preserve">à </w:t>
      </w:r>
      <w:r>
        <w:rPr>
          <w:spacing w:val="-2"/>
        </w:rPr>
        <w:t>saúde.</w:t>
      </w:r>
      <w:r>
        <w:rPr>
          <w:spacing w:val="-2"/>
          <w:vertAlign w:val="superscript"/>
        </w:rPr>
        <w:t>8</w:t>
      </w:r>
    </w:p>
    <w:p w:rsidR="007259F2" w:rsidRDefault="00E655B4">
      <w:pPr>
        <w:pStyle w:val="Corpodetexto"/>
        <w:ind w:right="420"/>
      </w:pPr>
      <w:r>
        <w:t>Ainda,</w:t>
      </w:r>
      <w:r>
        <w:rPr>
          <w:spacing w:val="-7"/>
        </w:rPr>
        <w:t xml:space="preserve"> </w:t>
      </w:r>
      <w:r>
        <w:t>a</w:t>
      </w:r>
      <w:r>
        <w:rPr>
          <w:spacing w:val="-8"/>
        </w:rPr>
        <w:t xml:space="preserve"> </w:t>
      </w:r>
      <w:r>
        <w:t>segunda</w:t>
      </w:r>
      <w:r>
        <w:rPr>
          <w:spacing w:val="-7"/>
        </w:rPr>
        <w:t xml:space="preserve"> </w:t>
      </w:r>
      <w:r>
        <w:t>parte</w:t>
      </w:r>
      <w:r>
        <w:rPr>
          <w:spacing w:val="-8"/>
        </w:rPr>
        <w:t xml:space="preserve"> </w:t>
      </w:r>
      <w:r>
        <w:t>do</w:t>
      </w:r>
      <w:r>
        <w:rPr>
          <w:spacing w:val="-7"/>
        </w:rPr>
        <w:t xml:space="preserve"> </w:t>
      </w:r>
      <w:r>
        <w:t>caput,</w:t>
      </w:r>
      <w:r>
        <w:rPr>
          <w:spacing w:val="-7"/>
        </w:rPr>
        <w:t xml:space="preserve"> </w:t>
      </w:r>
      <w:r>
        <w:t>do</w:t>
      </w:r>
      <w:r>
        <w:rPr>
          <w:spacing w:val="-7"/>
        </w:rPr>
        <w:t xml:space="preserve"> </w:t>
      </w:r>
      <w:r>
        <w:t>art.</w:t>
      </w:r>
      <w:r>
        <w:rPr>
          <w:spacing w:val="-7"/>
        </w:rPr>
        <w:t xml:space="preserve"> </w:t>
      </w:r>
      <w:r>
        <w:t>196</w:t>
      </w:r>
      <w:r>
        <w:rPr>
          <w:spacing w:val="-7"/>
        </w:rPr>
        <w:t xml:space="preserve"> </w:t>
      </w:r>
      <w:r>
        <w:t>da</w:t>
      </w:r>
      <w:r>
        <w:rPr>
          <w:spacing w:val="-8"/>
        </w:rPr>
        <w:t xml:space="preserve"> </w:t>
      </w:r>
      <w:r>
        <w:t>Constituição</w:t>
      </w:r>
      <w:r>
        <w:rPr>
          <w:spacing w:val="-6"/>
        </w:rPr>
        <w:t xml:space="preserve"> </w:t>
      </w:r>
      <w:r>
        <w:t>Federal</w:t>
      </w:r>
      <w:r>
        <w:rPr>
          <w:spacing w:val="-6"/>
        </w:rPr>
        <w:t xml:space="preserve"> </w:t>
      </w:r>
      <w:r>
        <w:t>preconiza</w:t>
      </w:r>
      <w:r>
        <w:rPr>
          <w:spacing w:val="-10"/>
        </w:rPr>
        <w:t xml:space="preserve"> </w:t>
      </w:r>
      <w:r>
        <w:t>o</w:t>
      </w:r>
      <w:r>
        <w:rPr>
          <w:spacing w:val="-7"/>
        </w:rPr>
        <w:t xml:space="preserve"> </w:t>
      </w:r>
      <w:r>
        <w:t>acesso universal e igualitário às ações e serviços de saúde, refletindo neste ponto, não só a noção de igualdade constante do caput do art. 5º, como também a premissa republicana ao art. 19, III.</w:t>
      </w:r>
      <w:r>
        <w:rPr>
          <w:vertAlign w:val="superscript"/>
        </w:rPr>
        <w:t>9</w:t>
      </w:r>
      <w:r>
        <w:t xml:space="preserve"> Acerca</w:t>
      </w:r>
      <w:r>
        <w:rPr>
          <w:spacing w:val="-9"/>
        </w:rPr>
        <w:t xml:space="preserve"> </w:t>
      </w:r>
      <w:r>
        <w:t>do</w:t>
      </w:r>
      <w:r>
        <w:rPr>
          <w:spacing w:val="-3"/>
        </w:rPr>
        <w:t xml:space="preserve"> </w:t>
      </w:r>
      <w:r>
        <w:t>tema</w:t>
      </w:r>
      <w:r>
        <w:rPr>
          <w:spacing w:val="-9"/>
        </w:rPr>
        <w:t xml:space="preserve"> </w:t>
      </w:r>
      <w:r>
        <w:t>o</w:t>
      </w:r>
      <w:r>
        <w:rPr>
          <w:spacing w:val="-6"/>
        </w:rPr>
        <w:t xml:space="preserve"> </w:t>
      </w:r>
      <w:r>
        <w:t>Min.</w:t>
      </w:r>
      <w:r>
        <w:rPr>
          <w:spacing w:val="-5"/>
        </w:rPr>
        <w:t xml:space="preserve"> </w:t>
      </w:r>
      <w:r>
        <w:t>Celso</w:t>
      </w:r>
      <w:r>
        <w:rPr>
          <w:spacing w:val="-5"/>
        </w:rPr>
        <w:t xml:space="preserve"> </w:t>
      </w:r>
      <w:r>
        <w:t>de</w:t>
      </w:r>
      <w:r>
        <w:rPr>
          <w:spacing w:val="-9"/>
        </w:rPr>
        <w:t xml:space="preserve"> </w:t>
      </w:r>
      <w:r>
        <w:t>Mello,</w:t>
      </w:r>
      <w:r>
        <w:rPr>
          <w:spacing w:val="-6"/>
        </w:rPr>
        <w:t xml:space="preserve"> </w:t>
      </w:r>
      <w:r>
        <w:t>no</w:t>
      </w:r>
      <w:r>
        <w:rPr>
          <w:spacing w:val="-8"/>
        </w:rPr>
        <w:t xml:space="preserve"> </w:t>
      </w:r>
      <w:r>
        <w:t>julgamento</w:t>
      </w:r>
      <w:r>
        <w:rPr>
          <w:spacing w:val="-5"/>
        </w:rPr>
        <w:t xml:space="preserve"> </w:t>
      </w:r>
      <w:r>
        <w:t>do</w:t>
      </w:r>
      <w:r>
        <w:rPr>
          <w:spacing w:val="-6"/>
        </w:rPr>
        <w:t xml:space="preserve"> </w:t>
      </w:r>
      <w:r>
        <w:t>RE</w:t>
      </w:r>
      <w:r>
        <w:rPr>
          <w:spacing w:val="-8"/>
        </w:rPr>
        <w:t xml:space="preserve"> </w:t>
      </w:r>
      <w:r>
        <w:t>nº</w:t>
      </w:r>
      <w:r>
        <w:rPr>
          <w:spacing w:val="-6"/>
        </w:rPr>
        <w:t xml:space="preserve"> </w:t>
      </w:r>
      <w:r>
        <w:t>393.175</w:t>
      </w:r>
      <w:r>
        <w:rPr>
          <w:spacing w:val="-6"/>
        </w:rPr>
        <w:t xml:space="preserve"> </w:t>
      </w:r>
      <w:r>
        <w:t>AgR/RS,</w:t>
      </w:r>
      <w:r>
        <w:rPr>
          <w:spacing w:val="-5"/>
        </w:rPr>
        <w:t xml:space="preserve"> </w:t>
      </w:r>
      <w:r>
        <w:t>que</w:t>
      </w:r>
      <w:r>
        <w:rPr>
          <w:spacing w:val="-9"/>
        </w:rPr>
        <w:t xml:space="preserve"> </w:t>
      </w:r>
      <w:r>
        <w:t>discutia o fornecimento gratuito de medicamentos a pessoa carentes portadoras de transtornos psiquiátricos, destacou o caráter universal e igualitário da assistência farmacêutica e médico- hospitalar, dada a indissociabilidade com o direito à vida:</w:t>
      </w:r>
    </w:p>
    <w:p w:rsidR="007259F2" w:rsidRDefault="00E655B4">
      <w:pPr>
        <w:spacing w:before="230"/>
        <w:ind w:left="2978" w:right="421"/>
        <w:jc w:val="both"/>
        <w:rPr>
          <w:sz w:val="20"/>
        </w:rPr>
      </w:pPr>
      <w:r>
        <w:rPr>
          <w:sz w:val="20"/>
        </w:rPr>
        <w:t>O direito público subjetivo à saúde representa prerrogativa jurídica indisponível assegurada à generalidade das pessoas pela própria Constituição da República (art. 196). Traduz bem jurídico constitucionalmente tutelado, por cuja integridade deve velar, de maneira responsável, o Poder Público, a quem incumbe formular - e implementar - políticas sociais e econômicas idôneas que visem a garantir, aos cidadãos, o acesso universal e igualitário à assistência farmacêutica e médico- hospitalar. - O direito à saúde - além de qualificar-se como direito fundamental que assiste a todas as pessoas - representa conseqüência constitucional indissociável do direito</w:t>
      </w:r>
      <w:r>
        <w:rPr>
          <w:spacing w:val="-8"/>
          <w:sz w:val="20"/>
        </w:rPr>
        <w:t xml:space="preserve"> </w:t>
      </w:r>
      <w:r>
        <w:rPr>
          <w:sz w:val="20"/>
        </w:rPr>
        <w:t>à</w:t>
      </w:r>
      <w:r>
        <w:rPr>
          <w:spacing w:val="-10"/>
          <w:sz w:val="20"/>
        </w:rPr>
        <w:t xml:space="preserve"> </w:t>
      </w:r>
      <w:r>
        <w:rPr>
          <w:sz w:val="20"/>
        </w:rPr>
        <w:t>vida.</w:t>
      </w:r>
      <w:r>
        <w:rPr>
          <w:spacing w:val="-9"/>
          <w:sz w:val="20"/>
        </w:rPr>
        <w:t xml:space="preserve"> </w:t>
      </w:r>
      <w:r>
        <w:rPr>
          <w:sz w:val="20"/>
        </w:rPr>
        <w:t>O</w:t>
      </w:r>
      <w:r>
        <w:rPr>
          <w:spacing w:val="-10"/>
          <w:sz w:val="20"/>
        </w:rPr>
        <w:t xml:space="preserve"> </w:t>
      </w:r>
      <w:r>
        <w:rPr>
          <w:sz w:val="20"/>
        </w:rPr>
        <w:t>Poder</w:t>
      </w:r>
      <w:r>
        <w:rPr>
          <w:spacing w:val="-8"/>
          <w:sz w:val="20"/>
        </w:rPr>
        <w:t xml:space="preserve"> </w:t>
      </w:r>
      <w:r>
        <w:rPr>
          <w:sz w:val="20"/>
        </w:rPr>
        <w:t>Público,</w:t>
      </w:r>
      <w:r>
        <w:rPr>
          <w:spacing w:val="-9"/>
          <w:sz w:val="20"/>
        </w:rPr>
        <w:t xml:space="preserve"> </w:t>
      </w:r>
      <w:r>
        <w:rPr>
          <w:sz w:val="20"/>
        </w:rPr>
        <w:t>qualquer</w:t>
      </w:r>
      <w:r>
        <w:rPr>
          <w:spacing w:val="-9"/>
          <w:sz w:val="20"/>
        </w:rPr>
        <w:t xml:space="preserve"> </w:t>
      </w:r>
      <w:r>
        <w:rPr>
          <w:sz w:val="20"/>
        </w:rPr>
        <w:t>que</w:t>
      </w:r>
      <w:r>
        <w:rPr>
          <w:spacing w:val="-10"/>
          <w:sz w:val="20"/>
        </w:rPr>
        <w:t xml:space="preserve"> </w:t>
      </w:r>
      <w:r>
        <w:rPr>
          <w:sz w:val="20"/>
        </w:rPr>
        <w:t>seja</w:t>
      </w:r>
      <w:r>
        <w:rPr>
          <w:spacing w:val="-10"/>
          <w:sz w:val="20"/>
        </w:rPr>
        <w:t xml:space="preserve"> </w:t>
      </w:r>
      <w:r>
        <w:rPr>
          <w:sz w:val="20"/>
        </w:rPr>
        <w:t>a</w:t>
      </w:r>
      <w:r>
        <w:rPr>
          <w:spacing w:val="-10"/>
          <w:sz w:val="20"/>
        </w:rPr>
        <w:t xml:space="preserve"> </w:t>
      </w:r>
      <w:r>
        <w:rPr>
          <w:sz w:val="20"/>
        </w:rPr>
        <w:t>esfera</w:t>
      </w:r>
      <w:r>
        <w:rPr>
          <w:spacing w:val="-10"/>
          <w:sz w:val="20"/>
        </w:rPr>
        <w:t xml:space="preserve"> </w:t>
      </w:r>
      <w:r>
        <w:rPr>
          <w:sz w:val="20"/>
        </w:rPr>
        <w:t>institucional</w:t>
      </w:r>
      <w:r>
        <w:rPr>
          <w:spacing w:val="-9"/>
          <w:sz w:val="20"/>
        </w:rPr>
        <w:t xml:space="preserve"> </w:t>
      </w:r>
      <w:r>
        <w:rPr>
          <w:sz w:val="20"/>
        </w:rPr>
        <w:t>de</w:t>
      </w:r>
      <w:r>
        <w:rPr>
          <w:spacing w:val="-10"/>
          <w:sz w:val="20"/>
        </w:rPr>
        <w:t xml:space="preserve"> </w:t>
      </w:r>
      <w:r>
        <w:rPr>
          <w:sz w:val="20"/>
        </w:rPr>
        <w:t>sua</w:t>
      </w:r>
      <w:r>
        <w:rPr>
          <w:spacing w:val="-10"/>
          <w:sz w:val="20"/>
        </w:rPr>
        <w:t xml:space="preserve"> </w:t>
      </w:r>
      <w:r>
        <w:rPr>
          <w:sz w:val="20"/>
        </w:rPr>
        <w:t>atuação no plano da organização federativa brasileira, não pode mostrar-se indiferente ao problema da saúde da população, sob pena de incidir, ainda que por censurável omissão, em grave comportamento inconstitucional</w:t>
      </w:r>
    </w:p>
    <w:p w:rsidR="007259F2" w:rsidRDefault="007259F2">
      <w:pPr>
        <w:pStyle w:val="Corpodetexto"/>
        <w:spacing w:before="45"/>
        <w:ind w:left="0" w:firstLine="0"/>
        <w:jc w:val="left"/>
        <w:rPr>
          <w:sz w:val="20"/>
        </w:rPr>
      </w:pPr>
    </w:p>
    <w:p w:rsidR="007259F2" w:rsidRDefault="00E655B4">
      <w:pPr>
        <w:pStyle w:val="Corpodetexto"/>
        <w:ind w:right="419"/>
      </w:pPr>
      <w:r>
        <w:t>Sueli Dallari e Vidal Serrano</w:t>
      </w:r>
      <w:r>
        <w:rPr>
          <w:vertAlign w:val="superscript"/>
        </w:rPr>
        <w:t>10</w:t>
      </w:r>
      <w:r>
        <w:t xml:space="preserve"> ressaltam ainda a relevância do princípio da integralidade, segundo o qual o dever do Estado não pode ser limitado, mitigado ou dividido, pois a saúde como bem coletivo e de desenvolvimento pressupõe uma abordagem assistencial completa, envolvendo todos os seus aspectos. Os autores entendem ainda que, embora a Constituição Federal</w:t>
      </w:r>
      <w:r>
        <w:rPr>
          <w:spacing w:val="-3"/>
        </w:rPr>
        <w:t xml:space="preserve"> </w:t>
      </w:r>
      <w:r>
        <w:t>não</w:t>
      </w:r>
      <w:r>
        <w:rPr>
          <w:spacing w:val="-1"/>
        </w:rPr>
        <w:t xml:space="preserve"> </w:t>
      </w:r>
      <w:r>
        <w:t>tenha</w:t>
      </w:r>
      <w:r>
        <w:rPr>
          <w:spacing w:val="-5"/>
        </w:rPr>
        <w:t xml:space="preserve"> </w:t>
      </w:r>
      <w:r>
        <w:t>feito</w:t>
      </w:r>
      <w:r>
        <w:rPr>
          <w:spacing w:val="-3"/>
        </w:rPr>
        <w:t xml:space="preserve"> </w:t>
      </w:r>
      <w:r>
        <w:t>referência</w:t>
      </w:r>
      <w:r>
        <w:rPr>
          <w:spacing w:val="-2"/>
        </w:rPr>
        <w:t xml:space="preserve"> </w:t>
      </w:r>
      <w:r>
        <w:t>expressa</w:t>
      </w:r>
      <w:r>
        <w:rPr>
          <w:spacing w:val="-2"/>
        </w:rPr>
        <w:t xml:space="preserve"> </w:t>
      </w:r>
      <w:r>
        <w:t>ao</w:t>
      </w:r>
      <w:r>
        <w:rPr>
          <w:spacing w:val="-3"/>
        </w:rPr>
        <w:t xml:space="preserve"> </w:t>
      </w:r>
      <w:r>
        <w:t>princípio</w:t>
      </w:r>
      <w:r>
        <w:rPr>
          <w:spacing w:val="-3"/>
        </w:rPr>
        <w:t xml:space="preserve"> </w:t>
      </w:r>
      <w:r>
        <w:t>da</w:t>
      </w:r>
      <w:r>
        <w:rPr>
          <w:spacing w:val="-3"/>
        </w:rPr>
        <w:t xml:space="preserve"> </w:t>
      </w:r>
      <w:r>
        <w:t>gratuidade,</w:t>
      </w:r>
      <w:r>
        <w:rPr>
          <w:spacing w:val="-1"/>
        </w:rPr>
        <w:t xml:space="preserve"> </w:t>
      </w:r>
      <w:r>
        <w:t>segundo</w:t>
      </w:r>
      <w:r>
        <w:rPr>
          <w:spacing w:val="-3"/>
        </w:rPr>
        <w:t xml:space="preserve"> </w:t>
      </w:r>
      <w:r>
        <w:t>o qual se proíbe toda e qualquer forma de cobrança do usuário por ações, serviços e equipamentos públicos de saúde, ao eleger a saúde como direito de todos e dever do Estado depreende-se tal comando. A despeito disso, considerando os escassos recursos públicos, entende-se adequado algum temperamento a tal entendimento, de modo que a efetiva necessidade deverá consistir em parâmetro a ser sopesado na avaliação da pleiteada</w:t>
      </w:r>
      <w:r>
        <w:rPr>
          <w:spacing w:val="40"/>
        </w:rPr>
        <w:t xml:space="preserve"> </w:t>
      </w:r>
      <w:r>
        <w:t>gratuidade de atendimento e tratamento no âmbito do SUS, incidindo nessa ponderação, entre outros, os princípios da solidariedade, da subsidiariedade e da proporcionalidade.</w:t>
      </w:r>
    </w:p>
    <w:p w:rsidR="007259F2" w:rsidRDefault="00E655B4">
      <w:pPr>
        <w:pStyle w:val="Corpodetexto"/>
        <w:spacing w:before="1"/>
        <w:ind w:right="421"/>
      </w:pPr>
      <w:r>
        <w:t>Com efeito, diante das imensas carências de serviços públicos de saúde e limitados recursos públicos, impõe-se a discussão acerca dos critérios adotados para a alocação dos recursos</w:t>
      </w:r>
      <w:r>
        <w:rPr>
          <w:spacing w:val="-2"/>
        </w:rPr>
        <w:t xml:space="preserve"> </w:t>
      </w:r>
      <w:r>
        <w:t>públicos, especialmente</w:t>
      </w:r>
      <w:r>
        <w:rPr>
          <w:spacing w:val="-1"/>
        </w:rPr>
        <w:t xml:space="preserve"> </w:t>
      </w:r>
      <w:r>
        <w:t>diante</w:t>
      </w:r>
      <w:r>
        <w:rPr>
          <w:spacing w:val="-3"/>
        </w:rPr>
        <w:t xml:space="preserve"> </w:t>
      </w:r>
      <w:r>
        <w:t>da</w:t>
      </w:r>
      <w:r>
        <w:rPr>
          <w:spacing w:val="-3"/>
        </w:rPr>
        <w:t xml:space="preserve"> </w:t>
      </w:r>
      <w:r>
        <w:t>ponderação entre</w:t>
      </w:r>
      <w:r>
        <w:rPr>
          <w:spacing w:val="-2"/>
        </w:rPr>
        <w:t xml:space="preserve"> </w:t>
      </w:r>
      <w:r>
        <w:t>o direito à</w:t>
      </w:r>
      <w:r>
        <w:rPr>
          <w:spacing w:val="-3"/>
        </w:rPr>
        <w:t xml:space="preserve"> </w:t>
      </w:r>
      <w:r>
        <w:t>saúde, umbilicalmente ligado</w:t>
      </w:r>
      <w:r>
        <w:rPr>
          <w:spacing w:val="-10"/>
        </w:rPr>
        <w:t xml:space="preserve"> </w:t>
      </w:r>
      <w:r>
        <w:t>à</w:t>
      </w:r>
      <w:r>
        <w:rPr>
          <w:spacing w:val="-14"/>
        </w:rPr>
        <w:t xml:space="preserve"> </w:t>
      </w:r>
      <w:r>
        <w:t>dignidade</w:t>
      </w:r>
      <w:r>
        <w:rPr>
          <w:spacing w:val="-13"/>
        </w:rPr>
        <w:t xml:space="preserve"> </w:t>
      </w:r>
      <w:r>
        <w:t>da</w:t>
      </w:r>
      <w:r>
        <w:rPr>
          <w:spacing w:val="-12"/>
        </w:rPr>
        <w:t xml:space="preserve"> </w:t>
      </w:r>
      <w:r>
        <w:t>pessoa</w:t>
      </w:r>
      <w:r>
        <w:rPr>
          <w:spacing w:val="-13"/>
        </w:rPr>
        <w:t xml:space="preserve"> </w:t>
      </w:r>
      <w:r>
        <w:t>humana,</w:t>
      </w:r>
      <w:r>
        <w:rPr>
          <w:spacing w:val="-10"/>
        </w:rPr>
        <w:t xml:space="preserve"> </w:t>
      </w:r>
      <w:r>
        <w:t>e</w:t>
      </w:r>
      <w:r>
        <w:rPr>
          <w:spacing w:val="-14"/>
        </w:rPr>
        <w:t xml:space="preserve"> </w:t>
      </w:r>
      <w:r>
        <w:t>os</w:t>
      </w:r>
      <w:r>
        <w:rPr>
          <w:spacing w:val="-10"/>
        </w:rPr>
        <w:t xml:space="preserve"> </w:t>
      </w:r>
      <w:r>
        <w:t>demais</w:t>
      </w:r>
      <w:r>
        <w:rPr>
          <w:spacing w:val="-12"/>
        </w:rPr>
        <w:t xml:space="preserve"> </w:t>
      </w:r>
      <w:r>
        <w:t>valores</w:t>
      </w:r>
      <w:r>
        <w:rPr>
          <w:spacing w:val="-10"/>
        </w:rPr>
        <w:t xml:space="preserve"> </w:t>
      </w:r>
      <w:r>
        <w:t>constitucionais</w:t>
      </w:r>
      <w:r>
        <w:rPr>
          <w:spacing w:val="-10"/>
        </w:rPr>
        <w:t xml:space="preserve"> </w:t>
      </w:r>
      <w:r>
        <w:t>e</w:t>
      </w:r>
      <w:r>
        <w:rPr>
          <w:spacing w:val="-9"/>
        </w:rPr>
        <w:t xml:space="preserve"> </w:t>
      </w:r>
      <w:r>
        <w:t>demandas</w:t>
      </w:r>
      <w:r>
        <w:rPr>
          <w:spacing w:val="-10"/>
        </w:rPr>
        <w:t xml:space="preserve"> </w:t>
      </w:r>
      <w:r>
        <w:t xml:space="preserve">públicas, bem como os limites para a intervenção do Poder Judiciário na concretização de políticas </w:t>
      </w:r>
      <w:r>
        <w:rPr>
          <w:spacing w:val="-2"/>
        </w:rPr>
        <w:t>públicas.</w:t>
      </w:r>
    </w:p>
    <w:p w:rsidR="007259F2" w:rsidRDefault="00E655B4">
      <w:pPr>
        <w:pStyle w:val="Heading2"/>
        <w:numPr>
          <w:ilvl w:val="0"/>
          <w:numId w:val="23"/>
        </w:numPr>
        <w:tabs>
          <w:tab w:val="left" w:pos="1705"/>
        </w:tabs>
        <w:ind w:left="1705" w:hanging="285"/>
        <w:jc w:val="both"/>
      </w:pPr>
      <w:r>
        <w:t>A</w:t>
      </w:r>
      <w:r>
        <w:rPr>
          <w:spacing w:val="-2"/>
        </w:rPr>
        <w:t xml:space="preserve"> </w:t>
      </w:r>
      <w:r>
        <w:t>judicialização do</w:t>
      </w:r>
      <w:r>
        <w:rPr>
          <w:spacing w:val="-1"/>
        </w:rPr>
        <w:t xml:space="preserve"> </w:t>
      </w:r>
      <w:r>
        <w:t>direito</w:t>
      </w:r>
      <w:r>
        <w:rPr>
          <w:spacing w:val="-1"/>
        </w:rPr>
        <w:t xml:space="preserve"> </w:t>
      </w:r>
      <w:r>
        <w:t>à</w:t>
      </w:r>
      <w:r>
        <w:rPr>
          <w:spacing w:val="-1"/>
        </w:rPr>
        <w:t xml:space="preserve"> </w:t>
      </w:r>
      <w:r>
        <w:t>saúde</w:t>
      </w:r>
      <w:r>
        <w:rPr>
          <w:spacing w:val="-1"/>
        </w:rPr>
        <w:t xml:space="preserve"> </w:t>
      </w:r>
      <w:r>
        <w:t>e</w:t>
      </w:r>
      <w:r>
        <w:rPr>
          <w:spacing w:val="-4"/>
        </w:rPr>
        <w:t xml:space="preserve"> </w:t>
      </w:r>
      <w:r>
        <w:t>o</w:t>
      </w:r>
      <w:r>
        <w:rPr>
          <w:spacing w:val="-1"/>
        </w:rPr>
        <w:t xml:space="preserve"> </w:t>
      </w:r>
      <w:r>
        <w:t>RE</w:t>
      </w:r>
      <w:r>
        <w:rPr>
          <w:spacing w:val="-1"/>
        </w:rPr>
        <w:t xml:space="preserve"> </w:t>
      </w:r>
      <w:r>
        <w:t xml:space="preserve">nº </w:t>
      </w:r>
      <w:r>
        <w:rPr>
          <w:spacing w:val="-2"/>
        </w:rPr>
        <w:t>684.612/RJ</w:t>
      </w:r>
    </w:p>
    <w:p w:rsidR="007259F2" w:rsidRDefault="00E655B4">
      <w:pPr>
        <w:pStyle w:val="Corpodetexto"/>
        <w:spacing w:before="115"/>
        <w:ind w:right="420"/>
      </w:pPr>
      <w:r>
        <w:t>Conforme aponta Luís Roberto Barroso</w:t>
      </w:r>
      <w:r>
        <w:rPr>
          <w:vertAlign w:val="superscript"/>
        </w:rPr>
        <w:t>11</w:t>
      </w:r>
      <w:r>
        <w:t>, o fenômeno da judicialização compreende a decisão</w:t>
      </w:r>
      <w:r>
        <w:rPr>
          <w:spacing w:val="-1"/>
        </w:rPr>
        <w:t xml:space="preserve"> </w:t>
      </w:r>
      <w:r>
        <w:t>de questões</w:t>
      </w:r>
      <w:r>
        <w:rPr>
          <w:spacing w:val="-1"/>
        </w:rPr>
        <w:t xml:space="preserve"> </w:t>
      </w:r>
      <w:r>
        <w:t>de larga</w:t>
      </w:r>
      <w:r>
        <w:rPr>
          <w:spacing w:val="-2"/>
        </w:rPr>
        <w:t xml:space="preserve"> </w:t>
      </w:r>
      <w:r>
        <w:t>repercussão</w:t>
      </w:r>
      <w:r>
        <w:rPr>
          <w:spacing w:val="-1"/>
        </w:rPr>
        <w:t xml:space="preserve"> </w:t>
      </w:r>
      <w:r>
        <w:t>política ou</w:t>
      </w:r>
      <w:r>
        <w:rPr>
          <w:spacing w:val="-1"/>
        </w:rPr>
        <w:t xml:space="preserve"> </w:t>
      </w:r>
      <w:r>
        <w:t>social</w:t>
      </w:r>
      <w:r>
        <w:rPr>
          <w:spacing w:val="-1"/>
        </w:rPr>
        <w:t xml:space="preserve"> </w:t>
      </w:r>
      <w:r>
        <w:t>pelos órgãos do Poder Judiciário,</w:t>
      </w:r>
      <w:r>
        <w:rPr>
          <w:spacing w:val="-2"/>
        </w:rPr>
        <w:t xml:space="preserve"> </w:t>
      </w:r>
      <w:r>
        <w:t>e não pelas instâncias políticas tradicionais: o Congresso Nacional e o Poder Executivo.</w:t>
      </w:r>
    </w:p>
    <w:p w:rsidR="007259F2" w:rsidRDefault="007259F2">
      <w:pPr>
        <w:pStyle w:val="Corpodetexto"/>
        <w:ind w:left="0" w:firstLine="0"/>
        <w:jc w:val="left"/>
        <w:rPr>
          <w:sz w:val="20"/>
        </w:rPr>
      </w:pPr>
    </w:p>
    <w:p w:rsidR="007259F2" w:rsidRDefault="00DE6B1C">
      <w:pPr>
        <w:pStyle w:val="Corpodetexto"/>
        <w:spacing w:before="103"/>
        <w:ind w:left="0" w:firstLine="0"/>
        <w:jc w:val="left"/>
        <w:rPr>
          <w:sz w:val="20"/>
        </w:rPr>
      </w:pPr>
      <w:r w:rsidRPr="00DE6B1C">
        <w:rPr>
          <w:sz w:val="20"/>
        </w:rPr>
        <w:pict>
          <v:rect id="docshape136" o:spid="_x0000_s1091" style="position:absolute;margin-left:85.1pt;margin-top:17.85pt;width:2in;height:.7pt;z-index:-15669248;mso-wrap-distance-left:0;mso-wrap-distance-right:0;mso-position-horizontal-relative:page" fillcolor="black" stroked="f">
            <w10:wrap type="topAndBottom" anchorx="page"/>
          </v:rect>
        </w:pict>
      </w:r>
    </w:p>
    <w:p w:rsidR="007259F2" w:rsidRDefault="00E655B4">
      <w:pPr>
        <w:spacing w:before="102" w:line="242" w:lineRule="exact"/>
        <w:ind w:left="710"/>
        <w:rPr>
          <w:rFonts w:ascii="Calibri" w:hAnsi="Calibri"/>
          <w:sz w:val="20"/>
        </w:rPr>
      </w:pPr>
      <w:r>
        <w:rPr>
          <w:sz w:val="20"/>
          <w:vertAlign w:val="superscript"/>
        </w:rPr>
        <w:t>8</w:t>
      </w:r>
      <w:r>
        <w:rPr>
          <w:spacing w:val="-11"/>
          <w:sz w:val="20"/>
        </w:rPr>
        <w:t xml:space="preserve"> </w:t>
      </w:r>
      <w:r>
        <w:rPr>
          <w:sz w:val="20"/>
        </w:rPr>
        <w:t>CANOTILHO,</w:t>
      </w:r>
      <w:r>
        <w:rPr>
          <w:spacing w:val="-4"/>
          <w:sz w:val="20"/>
        </w:rPr>
        <w:t xml:space="preserve"> </w:t>
      </w:r>
      <w:r>
        <w:rPr>
          <w:sz w:val="20"/>
        </w:rPr>
        <w:t>José</w:t>
      </w:r>
      <w:r>
        <w:rPr>
          <w:spacing w:val="-6"/>
          <w:sz w:val="20"/>
        </w:rPr>
        <w:t xml:space="preserve"> </w:t>
      </w:r>
      <w:r>
        <w:rPr>
          <w:sz w:val="20"/>
        </w:rPr>
        <w:t>Joaquim</w:t>
      </w:r>
      <w:r>
        <w:rPr>
          <w:spacing w:val="-8"/>
          <w:sz w:val="20"/>
        </w:rPr>
        <w:t xml:space="preserve"> </w:t>
      </w:r>
      <w:r>
        <w:rPr>
          <w:sz w:val="20"/>
        </w:rPr>
        <w:t>Gomes.</w:t>
      </w:r>
      <w:r>
        <w:rPr>
          <w:spacing w:val="-3"/>
          <w:sz w:val="20"/>
        </w:rPr>
        <w:t xml:space="preserve"> </w:t>
      </w:r>
      <w:r>
        <w:rPr>
          <w:b/>
          <w:sz w:val="20"/>
        </w:rPr>
        <w:t>Fundamentos</w:t>
      </w:r>
      <w:r>
        <w:rPr>
          <w:b/>
          <w:spacing w:val="-6"/>
          <w:sz w:val="20"/>
        </w:rPr>
        <w:t xml:space="preserve"> </w:t>
      </w:r>
      <w:r>
        <w:rPr>
          <w:b/>
          <w:sz w:val="20"/>
        </w:rPr>
        <w:t>da</w:t>
      </w:r>
      <w:r>
        <w:rPr>
          <w:b/>
          <w:spacing w:val="-6"/>
          <w:sz w:val="20"/>
        </w:rPr>
        <w:t xml:space="preserve"> </w:t>
      </w:r>
      <w:r>
        <w:rPr>
          <w:b/>
          <w:sz w:val="20"/>
        </w:rPr>
        <w:t>constituição</w:t>
      </w:r>
      <w:r>
        <w:rPr>
          <w:sz w:val="20"/>
        </w:rPr>
        <w:t>.</w:t>
      </w:r>
      <w:r>
        <w:rPr>
          <w:spacing w:val="-6"/>
          <w:sz w:val="20"/>
        </w:rPr>
        <w:t xml:space="preserve"> </w:t>
      </w:r>
      <w:r>
        <w:rPr>
          <w:sz w:val="20"/>
        </w:rPr>
        <w:t>Coimbra:</w:t>
      </w:r>
      <w:r>
        <w:rPr>
          <w:spacing w:val="-5"/>
          <w:sz w:val="20"/>
        </w:rPr>
        <w:t xml:space="preserve"> </w:t>
      </w:r>
      <w:r>
        <w:rPr>
          <w:sz w:val="20"/>
        </w:rPr>
        <w:t>Coimbra,</w:t>
      </w:r>
      <w:r>
        <w:rPr>
          <w:spacing w:val="-4"/>
          <w:sz w:val="20"/>
        </w:rPr>
        <w:t xml:space="preserve"> </w:t>
      </w:r>
      <w:r>
        <w:rPr>
          <w:sz w:val="20"/>
        </w:rPr>
        <w:t>1991.,</w:t>
      </w:r>
      <w:r>
        <w:rPr>
          <w:spacing w:val="-5"/>
          <w:sz w:val="20"/>
        </w:rPr>
        <w:t xml:space="preserve"> </w:t>
      </w:r>
      <w:r>
        <w:rPr>
          <w:sz w:val="20"/>
        </w:rPr>
        <w:t>p.</w:t>
      </w:r>
      <w:r>
        <w:rPr>
          <w:spacing w:val="-8"/>
          <w:sz w:val="20"/>
        </w:rPr>
        <w:t xml:space="preserve"> </w:t>
      </w:r>
      <w:r>
        <w:rPr>
          <w:spacing w:val="-4"/>
          <w:sz w:val="20"/>
        </w:rPr>
        <w:t>130</w:t>
      </w:r>
      <w:r>
        <w:rPr>
          <w:rFonts w:ascii="Calibri" w:hAnsi="Calibri"/>
          <w:spacing w:val="-4"/>
          <w:sz w:val="20"/>
        </w:rPr>
        <w:t>.</w:t>
      </w:r>
    </w:p>
    <w:p w:rsidR="007259F2" w:rsidRDefault="00E655B4">
      <w:pPr>
        <w:spacing w:line="227" w:lineRule="exact"/>
        <w:ind w:left="710"/>
        <w:rPr>
          <w:sz w:val="20"/>
        </w:rPr>
      </w:pPr>
      <w:r>
        <w:rPr>
          <w:sz w:val="20"/>
          <w:vertAlign w:val="superscript"/>
        </w:rPr>
        <w:t>9</w:t>
      </w:r>
      <w:r>
        <w:rPr>
          <w:spacing w:val="-9"/>
          <w:sz w:val="20"/>
        </w:rPr>
        <w:t xml:space="preserve"> </w:t>
      </w:r>
      <w:r>
        <w:rPr>
          <w:sz w:val="20"/>
        </w:rPr>
        <w:t>DALLARI,</w:t>
      </w:r>
      <w:r>
        <w:rPr>
          <w:spacing w:val="-4"/>
          <w:sz w:val="20"/>
        </w:rPr>
        <w:t xml:space="preserve"> </w:t>
      </w:r>
      <w:r>
        <w:rPr>
          <w:sz w:val="20"/>
        </w:rPr>
        <w:t>NUNES</w:t>
      </w:r>
      <w:r>
        <w:rPr>
          <w:spacing w:val="-5"/>
          <w:sz w:val="20"/>
        </w:rPr>
        <w:t xml:space="preserve"> </w:t>
      </w:r>
      <w:r>
        <w:rPr>
          <w:sz w:val="20"/>
        </w:rPr>
        <w:t>JÚNIOR,</w:t>
      </w:r>
      <w:r>
        <w:rPr>
          <w:spacing w:val="-2"/>
          <w:sz w:val="20"/>
        </w:rPr>
        <w:t xml:space="preserve"> </w:t>
      </w:r>
      <w:r>
        <w:rPr>
          <w:i/>
          <w:sz w:val="20"/>
        </w:rPr>
        <w:t>op.</w:t>
      </w:r>
      <w:r>
        <w:rPr>
          <w:i/>
          <w:spacing w:val="-4"/>
          <w:sz w:val="20"/>
        </w:rPr>
        <w:t xml:space="preserve"> </w:t>
      </w:r>
      <w:r>
        <w:rPr>
          <w:i/>
          <w:sz w:val="20"/>
        </w:rPr>
        <w:t>cit</w:t>
      </w:r>
      <w:r>
        <w:rPr>
          <w:sz w:val="20"/>
        </w:rPr>
        <w:t>.,</w:t>
      </w:r>
      <w:r>
        <w:rPr>
          <w:spacing w:val="-6"/>
          <w:sz w:val="20"/>
        </w:rPr>
        <w:t xml:space="preserve"> </w:t>
      </w:r>
      <w:r>
        <w:rPr>
          <w:sz w:val="20"/>
        </w:rPr>
        <w:t>pág.</w:t>
      </w:r>
      <w:r>
        <w:rPr>
          <w:spacing w:val="-4"/>
          <w:sz w:val="20"/>
        </w:rPr>
        <w:t xml:space="preserve"> </w:t>
      </w:r>
      <w:r>
        <w:rPr>
          <w:spacing w:val="-5"/>
          <w:sz w:val="20"/>
        </w:rPr>
        <w:t>72.</w:t>
      </w:r>
    </w:p>
    <w:p w:rsidR="007259F2" w:rsidRDefault="00E655B4">
      <w:pPr>
        <w:spacing w:before="1"/>
        <w:ind w:left="710"/>
        <w:rPr>
          <w:i/>
          <w:sz w:val="20"/>
        </w:rPr>
      </w:pPr>
      <w:r>
        <w:rPr>
          <w:sz w:val="20"/>
          <w:vertAlign w:val="superscript"/>
        </w:rPr>
        <w:t>10</w:t>
      </w:r>
      <w:r>
        <w:rPr>
          <w:spacing w:val="-10"/>
          <w:sz w:val="20"/>
        </w:rPr>
        <w:t xml:space="preserve"> </w:t>
      </w:r>
      <w:r>
        <w:rPr>
          <w:sz w:val="20"/>
        </w:rPr>
        <w:t>DALLARI,</w:t>
      </w:r>
      <w:r>
        <w:rPr>
          <w:spacing w:val="-4"/>
          <w:sz w:val="20"/>
        </w:rPr>
        <w:t xml:space="preserve"> </w:t>
      </w:r>
      <w:r>
        <w:rPr>
          <w:sz w:val="20"/>
        </w:rPr>
        <w:t>NUNES</w:t>
      </w:r>
      <w:r>
        <w:rPr>
          <w:spacing w:val="-6"/>
          <w:sz w:val="20"/>
        </w:rPr>
        <w:t xml:space="preserve"> </w:t>
      </w:r>
      <w:r>
        <w:rPr>
          <w:sz w:val="20"/>
        </w:rPr>
        <w:t>JÚNIOR,</w:t>
      </w:r>
      <w:r>
        <w:rPr>
          <w:spacing w:val="-1"/>
          <w:sz w:val="20"/>
        </w:rPr>
        <w:t xml:space="preserve"> </w:t>
      </w:r>
      <w:r>
        <w:rPr>
          <w:i/>
          <w:sz w:val="20"/>
        </w:rPr>
        <w:t>op.</w:t>
      </w:r>
      <w:r>
        <w:rPr>
          <w:i/>
          <w:spacing w:val="-5"/>
          <w:sz w:val="20"/>
        </w:rPr>
        <w:t xml:space="preserve"> cit</w:t>
      </w:r>
    </w:p>
    <w:p w:rsidR="007259F2" w:rsidRDefault="00E655B4">
      <w:pPr>
        <w:ind w:left="710" w:right="422"/>
        <w:rPr>
          <w:sz w:val="20"/>
        </w:rPr>
      </w:pPr>
      <w:r>
        <w:rPr>
          <w:sz w:val="20"/>
          <w:vertAlign w:val="superscript"/>
        </w:rPr>
        <w:t>11</w:t>
      </w:r>
      <w:r>
        <w:rPr>
          <w:spacing w:val="-1"/>
          <w:sz w:val="20"/>
        </w:rPr>
        <w:t xml:space="preserve"> </w:t>
      </w:r>
      <w:r>
        <w:rPr>
          <w:sz w:val="20"/>
        </w:rPr>
        <w:t xml:space="preserve">BARROSO, Luís Roberto. Judicialização, ativismo judicial e legitimidade democrática. Suffragium - </w:t>
      </w:r>
      <w:r>
        <w:rPr>
          <w:b/>
          <w:sz w:val="20"/>
        </w:rPr>
        <w:t>Revista do Tribunal Regional Eleitoral do Ceará</w:t>
      </w:r>
      <w:r>
        <w:rPr>
          <w:sz w:val="20"/>
        </w:rPr>
        <w:t>, Fortaleza, v. 5, n. 8, p. 11-22, jan./dez. 2009.</w:t>
      </w:r>
    </w:p>
    <w:p w:rsidR="007259F2" w:rsidRDefault="007259F2">
      <w:pPr>
        <w:rPr>
          <w:sz w:val="20"/>
        </w:rPr>
        <w:sectPr w:rsidR="007259F2">
          <w:pgSz w:w="11910" w:h="16840"/>
          <w:pgMar w:top="1600" w:right="708" w:bottom="1020" w:left="992" w:header="0" w:footer="820" w:gutter="0"/>
          <w:cols w:space="720"/>
        </w:sectPr>
      </w:pPr>
    </w:p>
    <w:p w:rsidR="007259F2" w:rsidRDefault="00E655B4">
      <w:pPr>
        <w:pStyle w:val="Corpodetexto"/>
        <w:spacing w:before="75"/>
        <w:ind w:right="422"/>
      </w:pPr>
      <w:r>
        <w:lastRenderedPageBreak/>
        <w:t>Segundo o autor, a primeira grande causa da judicialização no Brasil foi a redemocratização do país, que teve como ponto culminante a promulgação da Constituição de 1988. A segunda causa teria sido a constitucionalização abrangente, que trouxe para a Constituição</w:t>
      </w:r>
      <w:r>
        <w:rPr>
          <w:spacing w:val="-3"/>
        </w:rPr>
        <w:t xml:space="preserve"> </w:t>
      </w:r>
      <w:r>
        <w:t>inúmeras</w:t>
      </w:r>
      <w:r>
        <w:rPr>
          <w:spacing w:val="-2"/>
        </w:rPr>
        <w:t xml:space="preserve"> </w:t>
      </w:r>
      <w:r>
        <w:t>matérias</w:t>
      </w:r>
      <w:r>
        <w:rPr>
          <w:spacing w:val="-3"/>
        </w:rPr>
        <w:t xml:space="preserve"> </w:t>
      </w:r>
      <w:r>
        <w:t>que</w:t>
      </w:r>
      <w:r>
        <w:rPr>
          <w:spacing w:val="-4"/>
        </w:rPr>
        <w:t xml:space="preserve"> </w:t>
      </w:r>
      <w:r>
        <w:t>antes</w:t>
      </w:r>
      <w:r>
        <w:rPr>
          <w:spacing w:val="-1"/>
        </w:rPr>
        <w:t xml:space="preserve"> </w:t>
      </w:r>
      <w:r>
        <w:t>eram</w:t>
      </w:r>
      <w:r>
        <w:rPr>
          <w:spacing w:val="-3"/>
        </w:rPr>
        <w:t xml:space="preserve"> </w:t>
      </w:r>
      <w:r>
        <w:t>deixadas</w:t>
      </w:r>
      <w:r>
        <w:rPr>
          <w:spacing w:val="-2"/>
        </w:rPr>
        <w:t xml:space="preserve"> </w:t>
      </w:r>
      <w:r>
        <w:t>para</w:t>
      </w:r>
      <w:r>
        <w:rPr>
          <w:spacing w:val="-5"/>
        </w:rPr>
        <w:t xml:space="preserve"> </w:t>
      </w:r>
      <w:r>
        <w:t>o</w:t>
      </w:r>
      <w:r>
        <w:rPr>
          <w:spacing w:val="-3"/>
        </w:rPr>
        <w:t xml:space="preserve"> </w:t>
      </w:r>
      <w:r>
        <w:t>processo político</w:t>
      </w:r>
      <w:r>
        <w:rPr>
          <w:spacing w:val="-2"/>
        </w:rPr>
        <w:t xml:space="preserve"> </w:t>
      </w:r>
      <w:r>
        <w:t>majoritário</w:t>
      </w:r>
      <w:r>
        <w:rPr>
          <w:spacing w:val="-3"/>
        </w:rPr>
        <w:t xml:space="preserve"> </w:t>
      </w:r>
      <w:r>
        <w:t>e para a legislação ordinária, o que, no caso do direito à saúde pode ser verificado pelo especial e vasto tratamento dado ao tema na Constituição Federal.</w:t>
      </w:r>
    </w:p>
    <w:p w:rsidR="007259F2" w:rsidRDefault="00E655B4">
      <w:pPr>
        <w:pStyle w:val="Corpodetexto"/>
        <w:ind w:right="420"/>
      </w:pPr>
      <w:r>
        <w:t>A terceira e última causa da judicialização seria o sistema brasileiro de controle de constitucionalidade, o qual combina o modelo europeu e o modelo americano. O modelo americano concentrado que permite que determinadas matérias sejam levadas ao Supremo Tribunal Federal diretamente, por meio de amplo rol de legitimados que combina entidades públicas e privadas – como as sociedades de classe de âmbito nacional, confederações e os partidos</w:t>
      </w:r>
      <w:r>
        <w:rPr>
          <w:spacing w:val="-2"/>
        </w:rPr>
        <w:t xml:space="preserve"> </w:t>
      </w:r>
      <w:r>
        <w:t>políticos.</w:t>
      </w:r>
      <w:r>
        <w:rPr>
          <w:spacing w:val="-2"/>
        </w:rPr>
        <w:t xml:space="preserve"> </w:t>
      </w:r>
      <w:r>
        <w:t>E</w:t>
      </w:r>
      <w:r>
        <w:rPr>
          <w:spacing w:val="-3"/>
        </w:rPr>
        <w:t xml:space="preserve"> </w:t>
      </w:r>
      <w:r>
        <w:t>o</w:t>
      </w:r>
      <w:r>
        <w:rPr>
          <w:spacing w:val="-2"/>
        </w:rPr>
        <w:t xml:space="preserve"> </w:t>
      </w:r>
      <w:r>
        <w:t>modelo</w:t>
      </w:r>
      <w:r>
        <w:rPr>
          <w:spacing w:val="-2"/>
        </w:rPr>
        <w:t xml:space="preserve"> </w:t>
      </w:r>
      <w:r>
        <w:t>americano,</w:t>
      </w:r>
      <w:r>
        <w:rPr>
          <w:spacing w:val="-2"/>
        </w:rPr>
        <w:t xml:space="preserve"> </w:t>
      </w:r>
      <w:r>
        <w:t>incidental</w:t>
      </w:r>
      <w:r>
        <w:rPr>
          <w:spacing w:val="-2"/>
        </w:rPr>
        <w:t xml:space="preserve"> </w:t>
      </w:r>
      <w:r>
        <w:t>e</w:t>
      </w:r>
      <w:r>
        <w:rPr>
          <w:spacing w:val="-3"/>
        </w:rPr>
        <w:t xml:space="preserve"> </w:t>
      </w:r>
      <w:r>
        <w:t>difuso</w:t>
      </w:r>
      <w:r>
        <w:rPr>
          <w:spacing w:val="-2"/>
        </w:rPr>
        <w:t xml:space="preserve"> </w:t>
      </w:r>
      <w:r>
        <w:t>que</w:t>
      </w:r>
      <w:r>
        <w:rPr>
          <w:spacing w:val="-1"/>
        </w:rPr>
        <w:t xml:space="preserve"> </w:t>
      </w:r>
      <w:r>
        <w:t>permite</w:t>
      </w:r>
      <w:r>
        <w:rPr>
          <w:spacing w:val="-3"/>
        </w:rPr>
        <w:t xml:space="preserve"> </w:t>
      </w:r>
      <w:r>
        <w:t>que</w:t>
      </w:r>
      <w:r>
        <w:rPr>
          <w:spacing w:val="-1"/>
        </w:rPr>
        <w:t xml:space="preserve"> </w:t>
      </w:r>
      <w:r>
        <w:t>qualquer</w:t>
      </w:r>
      <w:r>
        <w:rPr>
          <w:spacing w:val="-2"/>
        </w:rPr>
        <w:t xml:space="preserve"> </w:t>
      </w:r>
      <w:r>
        <w:t>juiz</w:t>
      </w:r>
      <w:r>
        <w:rPr>
          <w:spacing w:val="-1"/>
        </w:rPr>
        <w:t xml:space="preserve"> </w:t>
      </w:r>
      <w:r>
        <w:t>ou tribunal afaste lei caso a considere inconstitucional.</w:t>
      </w:r>
    </w:p>
    <w:p w:rsidR="007259F2" w:rsidRDefault="00E655B4">
      <w:pPr>
        <w:pStyle w:val="Corpodetexto"/>
        <w:spacing w:before="1"/>
        <w:ind w:right="430"/>
      </w:pPr>
      <w:r>
        <w:t>No âmbito do direito à saúde, o caráter fundamental do bem, o especial e abrangente tratamento conferido pela Constituição Federal e pela legislação e a dependência da saúde pública contribuem para o aprofundamento do fenômeno.</w:t>
      </w:r>
    </w:p>
    <w:p w:rsidR="007259F2" w:rsidRDefault="00E655B4">
      <w:pPr>
        <w:pStyle w:val="Corpodetexto"/>
        <w:ind w:right="421"/>
      </w:pPr>
      <w:r>
        <w:t>Nesse</w:t>
      </w:r>
      <w:r>
        <w:rPr>
          <w:spacing w:val="-15"/>
        </w:rPr>
        <w:t xml:space="preserve"> </w:t>
      </w:r>
      <w:r>
        <w:t>contexto,</w:t>
      </w:r>
      <w:r>
        <w:rPr>
          <w:spacing w:val="-12"/>
        </w:rPr>
        <w:t xml:space="preserve"> </w:t>
      </w:r>
      <w:r>
        <w:t>dada</w:t>
      </w:r>
      <w:r>
        <w:rPr>
          <w:spacing w:val="-15"/>
        </w:rPr>
        <w:t xml:space="preserve"> </w:t>
      </w:r>
      <w:r>
        <w:t>a</w:t>
      </w:r>
      <w:r>
        <w:rPr>
          <w:spacing w:val="-15"/>
        </w:rPr>
        <w:t xml:space="preserve"> </w:t>
      </w:r>
      <w:r>
        <w:t>enorme</w:t>
      </w:r>
      <w:r>
        <w:rPr>
          <w:spacing w:val="-15"/>
        </w:rPr>
        <w:t xml:space="preserve"> </w:t>
      </w:r>
      <w:r>
        <w:t>repercussão</w:t>
      </w:r>
      <w:r>
        <w:rPr>
          <w:spacing w:val="-15"/>
        </w:rPr>
        <w:t xml:space="preserve"> </w:t>
      </w:r>
      <w:r>
        <w:t>social</w:t>
      </w:r>
      <w:r>
        <w:rPr>
          <w:spacing w:val="-12"/>
        </w:rPr>
        <w:t xml:space="preserve"> </w:t>
      </w:r>
      <w:r>
        <w:t>do</w:t>
      </w:r>
      <w:r>
        <w:rPr>
          <w:spacing w:val="-13"/>
        </w:rPr>
        <w:t xml:space="preserve"> </w:t>
      </w:r>
      <w:r>
        <w:t>tema,</w:t>
      </w:r>
      <w:r>
        <w:rPr>
          <w:spacing w:val="-13"/>
        </w:rPr>
        <w:t xml:space="preserve"> </w:t>
      </w:r>
      <w:r>
        <w:t>o</w:t>
      </w:r>
      <w:r>
        <w:rPr>
          <w:spacing w:val="-13"/>
        </w:rPr>
        <w:t xml:space="preserve"> </w:t>
      </w:r>
      <w:r>
        <w:t>impacto</w:t>
      </w:r>
      <w:r>
        <w:rPr>
          <w:spacing w:val="-12"/>
        </w:rPr>
        <w:t xml:space="preserve"> </w:t>
      </w:r>
      <w:r>
        <w:t>orçamentário</w:t>
      </w:r>
      <w:r>
        <w:rPr>
          <w:spacing w:val="-12"/>
        </w:rPr>
        <w:t xml:space="preserve"> </w:t>
      </w:r>
      <w:r>
        <w:t>para os</w:t>
      </w:r>
      <w:r>
        <w:rPr>
          <w:spacing w:val="-15"/>
        </w:rPr>
        <w:t xml:space="preserve"> </w:t>
      </w:r>
      <w:r>
        <w:t>entes</w:t>
      </w:r>
      <w:r>
        <w:rPr>
          <w:spacing w:val="-15"/>
        </w:rPr>
        <w:t xml:space="preserve"> </w:t>
      </w:r>
      <w:r>
        <w:t>federativos,</w:t>
      </w:r>
      <w:r>
        <w:rPr>
          <w:spacing w:val="-15"/>
        </w:rPr>
        <w:t xml:space="preserve"> </w:t>
      </w:r>
      <w:r>
        <w:t>observa-se</w:t>
      </w:r>
      <w:r>
        <w:rPr>
          <w:spacing w:val="-15"/>
        </w:rPr>
        <w:t xml:space="preserve"> </w:t>
      </w:r>
      <w:r>
        <w:t>que</w:t>
      </w:r>
      <w:r>
        <w:rPr>
          <w:spacing w:val="-15"/>
        </w:rPr>
        <w:t xml:space="preserve"> </w:t>
      </w:r>
      <w:r>
        <w:t>a</w:t>
      </w:r>
      <w:r>
        <w:rPr>
          <w:spacing w:val="-15"/>
        </w:rPr>
        <w:t xml:space="preserve"> </w:t>
      </w:r>
      <w:r>
        <w:t>jurisprudência,</w:t>
      </w:r>
      <w:r>
        <w:rPr>
          <w:spacing w:val="-15"/>
        </w:rPr>
        <w:t xml:space="preserve"> </w:t>
      </w:r>
      <w:r>
        <w:t>em</w:t>
      </w:r>
      <w:r>
        <w:rPr>
          <w:spacing w:val="-15"/>
        </w:rPr>
        <w:t xml:space="preserve"> </w:t>
      </w:r>
      <w:r>
        <w:t>especial</w:t>
      </w:r>
      <w:r>
        <w:rPr>
          <w:spacing w:val="-15"/>
        </w:rPr>
        <w:t xml:space="preserve"> </w:t>
      </w:r>
      <w:r>
        <w:t>do</w:t>
      </w:r>
      <w:r>
        <w:rPr>
          <w:spacing w:val="-15"/>
        </w:rPr>
        <w:t xml:space="preserve"> </w:t>
      </w:r>
      <w:r>
        <w:t>Supremo</w:t>
      </w:r>
      <w:r>
        <w:rPr>
          <w:spacing w:val="-15"/>
        </w:rPr>
        <w:t xml:space="preserve"> </w:t>
      </w:r>
      <w:r>
        <w:t>Tribunal</w:t>
      </w:r>
      <w:r>
        <w:rPr>
          <w:spacing w:val="-15"/>
        </w:rPr>
        <w:t xml:space="preserve"> </w:t>
      </w:r>
      <w:r>
        <w:t>Federal, vem</w:t>
      </w:r>
      <w:r>
        <w:rPr>
          <w:spacing w:val="-13"/>
        </w:rPr>
        <w:t xml:space="preserve"> </w:t>
      </w:r>
      <w:r>
        <w:t>estabelecendo</w:t>
      </w:r>
      <w:r>
        <w:rPr>
          <w:spacing w:val="-11"/>
        </w:rPr>
        <w:t xml:space="preserve"> </w:t>
      </w:r>
      <w:r>
        <w:t>parâmetros</w:t>
      </w:r>
      <w:r>
        <w:rPr>
          <w:spacing w:val="-12"/>
        </w:rPr>
        <w:t xml:space="preserve"> </w:t>
      </w:r>
      <w:r>
        <w:t>de</w:t>
      </w:r>
      <w:r>
        <w:rPr>
          <w:spacing w:val="-14"/>
        </w:rPr>
        <w:t xml:space="preserve"> </w:t>
      </w:r>
      <w:r>
        <w:t>interpretação</w:t>
      </w:r>
      <w:r>
        <w:rPr>
          <w:spacing w:val="-12"/>
        </w:rPr>
        <w:t xml:space="preserve"> </w:t>
      </w:r>
      <w:r>
        <w:t>baseados</w:t>
      </w:r>
      <w:r>
        <w:rPr>
          <w:spacing w:val="-8"/>
        </w:rPr>
        <w:t xml:space="preserve"> </w:t>
      </w:r>
      <w:r>
        <w:t>em</w:t>
      </w:r>
      <w:r>
        <w:rPr>
          <w:spacing w:val="-13"/>
        </w:rPr>
        <w:t xml:space="preserve"> </w:t>
      </w:r>
      <w:r>
        <w:t>critérios</w:t>
      </w:r>
      <w:r>
        <w:rPr>
          <w:spacing w:val="-13"/>
        </w:rPr>
        <w:t xml:space="preserve"> </w:t>
      </w:r>
      <w:r>
        <w:t>objetivos,</w:t>
      </w:r>
      <w:r>
        <w:rPr>
          <w:spacing w:val="-12"/>
        </w:rPr>
        <w:t xml:space="preserve"> </w:t>
      </w:r>
      <w:r>
        <w:t>com</w:t>
      </w:r>
      <w:r>
        <w:rPr>
          <w:spacing w:val="-13"/>
        </w:rPr>
        <w:t xml:space="preserve"> </w:t>
      </w:r>
      <w:r>
        <w:t>o</w:t>
      </w:r>
      <w:r>
        <w:rPr>
          <w:spacing w:val="-13"/>
        </w:rPr>
        <w:t xml:space="preserve"> </w:t>
      </w:r>
      <w:r>
        <w:t xml:space="preserve">objetivo de promover maior racionalização às soluções dessas demandas e mitigar os efeitos </w:t>
      </w:r>
      <w:r>
        <w:rPr>
          <w:spacing w:val="-2"/>
        </w:rPr>
        <w:t>econômicos.</w:t>
      </w:r>
    </w:p>
    <w:p w:rsidR="007259F2" w:rsidRDefault="00E655B4">
      <w:pPr>
        <w:pStyle w:val="Corpodetexto"/>
        <w:ind w:right="421"/>
      </w:pPr>
      <w:r>
        <w:t>Em breve digressão, uma das primeiras manifestações da Corte a respeito do tema ocorreu</w:t>
      </w:r>
      <w:r>
        <w:rPr>
          <w:spacing w:val="-6"/>
        </w:rPr>
        <w:t xml:space="preserve"> </w:t>
      </w:r>
      <w:r>
        <w:t>com</w:t>
      </w:r>
      <w:r>
        <w:rPr>
          <w:spacing w:val="-5"/>
        </w:rPr>
        <w:t xml:space="preserve"> </w:t>
      </w:r>
      <w:r>
        <w:t>a</w:t>
      </w:r>
      <w:r>
        <w:rPr>
          <w:spacing w:val="-7"/>
        </w:rPr>
        <w:t xml:space="preserve"> </w:t>
      </w:r>
      <w:r>
        <w:t>STA</w:t>
      </w:r>
      <w:r>
        <w:rPr>
          <w:spacing w:val="-6"/>
        </w:rPr>
        <w:t xml:space="preserve"> </w:t>
      </w:r>
      <w:r>
        <w:t>nº</w:t>
      </w:r>
      <w:r>
        <w:rPr>
          <w:spacing w:val="-5"/>
        </w:rPr>
        <w:t xml:space="preserve"> </w:t>
      </w:r>
      <w:r>
        <w:t>175/CE,</w:t>
      </w:r>
      <w:r>
        <w:rPr>
          <w:spacing w:val="-8"/>
        </w:rPr>
        <w:t xml:space="preserve"> </w:t>
      </w:r>
      <w:r>
        <w:t>de</w:t>
      </w:r>
      <w:r>
        <w:rPr>
          <w:spacing w:val="-9"/>
        </w:rPr>
        <w:t xml:space="preserve"> </w:t>
      </w:r>
      <w:r>
        <w:t>18</w:t>
      </w:r>
      <w:r>
        <w:rPr>
          <w:spacing w:val="-6"/>
        </w:rPr>
        <w:t xml:space="preserve"> </w:t>
      </w:r>
      <w:r>
        <w:t>de</w:t>
      </w:r>
      <w:r>
        <w:rPr>
          <w:spacing w:val="-9"/>
        </w:rPr>
        <w:t xml:space="preserve"> </w:t>
      </w:r>
      <w:r>
        <w:t>setembro</w:t>
      </w:r>
      <w:r>
        <w:rPr>
          <w:spacing w:val="-2"/>
        </w:rPr>
        <w:t xml:space="preserve"> </w:t>
      </w:r>
      <w:r>
        <w:t>de</w:t>
      </w:r>
      <w:r>
        <w:rPr>
          <w:spacing w:val="-9"/>
        </w:rPr>
        <w:t xml:space="preserve"> </w:t>
      </w:r>
      <w:r>
        <w:t>2009,</w:t>
      </w:r>
      <w:r>
        <w:rPr>
          <w:spacing w:val="-8"/>
        </w:rPr>
        <w:t xml:space="preserve"> </w:t>
      </w:r>
      <w:r>
        <w:t>que</w:t>
      </w:r>
      <w:r>
        <w:rPr>
          <w:spacing w:val="-7"/>
        </w:rPr>
        <w:t xml:space="preserve"> </w:t>
      </w:r>
      <w:r>
        <w:t>após</w:t>
      </w:r>
      <w:r>
        <w:rPr>
          <w:spacing w:val="-6"/>
        </w:rPr>
        <w:t xml:space="preserve"> </w:t>
      </w:r>
      <w:r>
        <w:t>a</w:t>
      </w:r>
      <w:r>
        <w:rPr>
          <w:spacing w:val="-7"/>
        </w:rPr>
        <w:t xml:space="preserve"> </w:t>
      </w:r>
      <w:r>
        <w:t>promoção</w:t>
      </w:r>
      <w:r>
        <w:rPr>
          <w:spacing w:val="-5"/>
        </w:rPr>
        <w:t xml:space="preserve"> </w:t>
      </w:r>
      <w:r>
        <w:t>de</w:t>
      </w:r>
      <w:r>
        <w:rPr>
          <w:spacing w:val="-5"/>
        </w:rPr>
        <w:t xml:space="preserve"> </w:t>
      </w:r>
      <w:r>
        <w:t>audiências públicas,</w:t>
      </w:r>
      <w:r>
        <w:rPr>
          <w:spacing w:val="-1"/>
        </w:rPr>
        <w:t xml:space="preserve"> </w:t>
      </w:r>
      <w:r>
        <w:t>estabeleceu requisitos a</w:t>
      </w:r>
      <w:r>
        <w:rPr>
          <w:spacing w:val="-2"/>
        </w:rPr>
        <w:t xml:space="preserve"> </w:t>
      </w:r>
      <w:r>
        <w:t>serem</w:t>
      </w:r>
      <w:r>
        <w:rPr>
          <w:spacing w:val="-1"/>
        </w:rPr>
        <w:t xml:space="preserve"> </w:t>
      </w:r>
      <w:r>
        <w:t>observados nas</w:t>
      </w:r>
      <w:r>
        <w:rPr>
          <w:spacing w:val="-1"/>
        </w:rPr>
        <w:t xml:space="preserve"> </w:t>
      </w:r>
      <w:r>
        <w:t>decisões</w:t>
      </w:r>
      <w:r>
        <w:rPr>
          <w:spacing w:val="-1"/>
        </w:rPr>
        <w:t xml:space="preserve"> </w:t>
      </w:r>
      <w:r>
        <w:t>de deferimento da</w:t>
      </w:r>
      <w:r>
        <w:rPr>
          <w:spacing w:val="-2"/>
        </w:rPr>
        <w:t xml:space="preserve"> </w:t>
      </w:r>
      <w:r>
        <w:t>realização do direito à saúde pelo Estado, os quais podem ser assim sintetizados:</w:t>
      </w:r>
      <w:r>
        <w:rPr>
          <w:vertAlign w:val="superscript"/>
        </w:rPr>
        <w:t>12</w:t>
      </w:r>
    </w:p>
    <w:p w:rsidR="007259F2" w:rsidRDefault="007259F2">
      <w:pPr>
        <w:pStyle w:val="Corpodetexto"/>
        <w:ind w:left="0" w:firstLine="0"/>
        <w:jc w:val="left"/>
      </w:pPr>
    </w:p>
    <w:p w:rsidR="007259F2" w:rsidRDefault="00E655B4">
      <w:pPr>
        <w:ind w:left="2978" w:right="420"/>
        <w:jc w:val="both"/>
        <w:rPr>
          <w:sz w:val="20"/>
        </w:rPr>
      </w:pPr>
      <w:r>
        <w:rPr>
          <w:sz w:val="20"/>
        </w:rPr>
        <w:t>No julgamento do recurso, ao analisar diversas questões relacionadas ao direito à saúde e à judicialização, o relator buscou estabelecer parâmetros para análise das ações</w:t>
      </w:r>
      <w:r>
        <w:rPr>
          <w:spacing w:val="-4"/>
          <w:sz w:val="20"/>
        </w:rPr>
        <w:t xml:space="preserve"> </w:t>
      </w:r>
      <w:r>
        <w:rPr>
          <w:sz w:val="20"/>
        </w:rPr>
        <w:t>judiciais</w:t>
      </w:r>
      <w:r>
        <w:rPr>
          <w:spacing w:val="-4"/>
          <w:sz w:val="20"/>
        </w:rPr>
        <w:t xml:space="preserve"> </w:t>
      </w:r>
      <w:r>
        <w:rPr>
          <w:sz w:val="20"/>
        </w:rPr>
        <w:t>referentes</w:t>
      </w:r>
      <w:r>
        <w:rPr>
          <w:spacing w:val="-4"/>
          <w:sz w:val="20"/>
        </w:rPr>
        <w:t xml:space="preserve"> </w:t>
      </w:r>
      <w:r>
        <w:rPr>
          <w:sz w:val="20"/>
        </w:rPr>
        <w:t>ao fornecimento</w:t>
      </w:r>
      <w:r>
        <w:rPr>
          <w:spacing w:val="-1"/>
          <w:sz w:val="20"/>
        </w:rPr>
        <w:t xml:space="preserve"> </w:t>
      </w:r>
      <w:r>
        <w:rPr>
          <w:sz w:val="20"/>
        </w:rPr>
        <w:t>de</w:t>
      </w:r>
      <w:r>
        <w:rPr>
          <w:spacing w:val="-1"/>
          <w:sz w:val="20"/>
        </w:rPr>
        <w:t xml:space="preserve"> </w:t>
      </w:r>
      <w:r>
        <w:rPr>
          <w:sz w:val="20"/>
        </w:rPr>
        <w:t>medicamentos</w:t>
      </w:r>
      <w:r>
        <w:rPr>
          <w:spacing w:val="-4"/>
          <w:sz w:val="20"/>
        </w:rPr>
        <w:t xml:space="preserve"> </w:t>
      </w:r>
      <w:r>
        <w:rPr>
          <w:sz w:val="20"/>
        </w:rPr>
        <w:t>e</w:t>
      </w:r>
      <w:r>
        <w:rPr>
          <w:spacing w:val="-1"/>
          <w:sz w:val="20"/>
        </w:rPr>
        <w:t xml:space="preserve"> </w:t>
      </w:r>
      <w:r>
        <w:rPr>
          <w:sz w:val="20"/>
        </w:rPr>
        <w:t>tratamentos</w:t>
      </w:r>
      <w:r>
        <w:rPr>
          <w:spacing w:val="-4"/>
          <w:sz w:val="20"/>
        </w:rPr>
        <w:t xml:space="preserve"> </w:t>
      </w:r>
      <w:r>
        <w:rPr>
          <w:sz w:val="20"/>
        </w:rPr>
        <w:t>pelo</w:t>
      </w:r>
      <w:r>
        <w:rPr>
          <w:spacing w:val="-1"/>
          <w:sz w:val="20"/>
        </w:rPr>
        <w:t xml:space="preserve"> </w:t>
      </w:r>
      <w:r>
        <w:rPr>
          <w:sz w:val="20"/>
        </w:rPr>
        <w:t>SUS. Em síntese, são eles: (i) quando o tratamento já for previsto nas políticas públicas existentes, cabe ao Judiciário garantir seu efetivo cumprimento; (ii) a administração pública não poderá ser condenada a fornecer fármaco que não possua registro na Anvisa;</w:t>
      </w:r>
      <w:r>
        <w:rPr>
          <w:spacing w:val="-11"/>
          <w:sz w:val="20"/>
        </w:rPr>
        <w:t xml:space="preserve"> </w:t>
      </w:r>
      <w:r>
        <w:rPr>
          <w:sz w:val="20"/>
        </w:rPr>
        <w:t>(iii)</w:t>
      </w:r>
      <w:r>
        <w:rPr>
          <w:spacing w:val="-11"/>
          <w:sz w:val="20"/>
        </w:rPr>
        <w:t xml:space="preserve"> </w:t>
      </w:r>
      <w:r>
        <w:rPr>
          <w:sz w:val="20"/>
        </w:rPr>
        <w:t>o</w:t>
      </w:r>
      <w:r>
        <w:rPr>
          <w:spacing w:val="-12"/>
          <w:sz w:val="20"/>
        </w:rPr>
        <w:t xml:space="preserve"> </w:t>
      </w:r>
      <w:r>
        <w:rPr>
          <w:sz w:val="20"/>
        </w:rPr>
        <w:t>fornecimento</w:t>
      </w:r>
      <w:r>
        <w:rPr>
          <w:spacing w:val="-11"/>
          <w:sz w:val="20"/>
        </w:rPr>
        <w:t xml:space="preserve"> </w:t>
      </w:r>
      <w:r>
        <w:rPr>
          <w:sz w:val="20"/>
        </w:rPr>
        <w:t>de</w:t>
      </w:r>
      <w:r>
        <w:rPr>
          <w:spacing w:val="-11"/>
          <w:sz w:val="20"/>
        </w:rPr>
        <w:t xml:space="preserve"> </w:t>
      </w:r>
      <w:r>
        <w:rPr>
          <w:sz w:val="20"/>
        </w:rPr>
        <w:t>um</w:t>
      </w:r>
      <w:r>
        <w:rPr>
          <w:spacing w:val="-13"/>
          <w:sz w:val="20"/>
        </w:rPr>
        <w:t xml:space="preserve"> </w:t>
      </w:r>
      <w:r>
        <w:rPr>
          <w:sz w:val="20"/>
        </w:rPr>
        <w:t>tratamento</w:t>
      </w:r>
      <w:r>
        <w:rPr>
          <w:spacing w:val="-11"/>
          <w:sz w:val="20"/>
        </w:rPr>
        <w:t xml:space="preserve"> </w:t>
      </w:r>
      <w:r>
        <w:rPr>
          <w:sz w:val="20"/>
        </w:rPr>
        <w:t>alternativo</w:t>
      </w:r>
      <w:r>
        <w:rPr>
          <w:spacing w:val="-9"/>
          <w:sz w:val="20"/>
        </w:rPr>
        <w:t xml:space="preserve"> </w:t>
      </w:r>
      <w:r>
        <w:rPr>
          <w:sz w:val="20"/>
        </w:rPr>
        <w:t>a</w:t>
      </w:r>
      <w:r>
        <w:rPr>
          <w:spacing w:val="-11"/>
          <w:sz w:val="20"/>
        </w:rPr>
        <w:t xml:space="preserve"> </w:t>
      </w:r>
      <w:r>
        <w:rPr>
          <w:sz w:val="20"/>
        </w:rPr>
        <w:t>algum</w:t>
      </w:r>
      <w:r>
        <w:rPr>
          <w:spacing w:val="-13"/>
          <w:sz w:val="20"/>
        </w:rPr>
        <w:t xml:space="preserve"> </w:t>
      </w:r>
      <w:r>
        <w:rPr>
          <w:sz w:val="20"/>
        </w:rPr>
        <w:t>oferecido</w:t>
      </w:r>
      <w:r>
        <w:rPr>
          <w:spacing w:val="-9"/>
          <w:sz w:val="20"/>
        </w:rPr>
        <w:t xml:space="preserve"> </w:t>
      </w:r>
      <w:r>
        <w:rPr>
          <w:sz w:val="20"/>
        </w:rPr>
        <w:t>pelo</w:t>
      </w:r>
      <w:r>
        <w:rPr>
          <w:spacing w:val="-10"/>
          <w:sz w:val="20"/>
        </w:rPr>
        <w:t xml:space="preserve"> </w:t>
      </w:r>
      <w:r>
        <w:rPr>
          <w:sz w:val="20"/>
        </w:rPr>
        <w:t xml:space="preserve">SUS só poderá ser exigido se for comprovada a ineficácia ou a inadequabilidade, para determinado paciente, do tratamento já oferecido; (iv) o Estado não pode ser condenado a fornecer tratamento experimental, isto é, em fase de pesquisa e sem comprovação científica de sua eficácia; (v) a pretensão a tratamentos não mais considerados experimentais, mas que ainda não foram incorporados pelo SUS, deve ser avaliada cuidadosamente nas respectivas ações individuais e/ou coletivas (STA </w:t>
      </w:r>
      <w:r>
        <w:rPr>
          <w:spacing w:val="-2"/>
          <w:sz w:val="20"/>
        </w:rPr>
        <w:t>175/CE).</w:t>
      </w:r>
    </w:p>
    <w:p w:rsidR="007259F2" w:rsidRDefault="007259F2">
      <w:pPr>
        <w:pStyle w:val="Corpodetexto"/>
        <w:spacing w:before="46"/>
        <w:ind w:left="0" w:firstLine="0"/>
        <w:jc w:val="left"/>
        <w:rPr>
          <w:sz w:val="20"/>
        </w:rPr>
      </w:pPr>
    </w:p>
    <w:p w:rsidR="007259F2" w:rsidRDefault="00E655B4">
      <w:pPr>
        <w:pStyle w:val="Corpodetexto"/>
        <w:ind w:right="421"/>
      </w:pPr>
      <w:r>
        <w:t>Com</w:t>
      </w:r>
      <w:r>
        <w:rPr>
          <w:spacing w:val="-15"/>
        </w:rPr>
        <w:t xml:space="preserve"> </w:t>
      </w:r>
      <w:r>
        <w:t>relação</w:t>
      </w:r>
      <w:r>
        <w:rPr>
          <w:spacing w:val="-15"/>
        </w:rPr>
        <w:t xml:space="preserve"> </w:t>
      </w:r>
      <w:r>
        <w:t>especificamente</w:t>
      </w:r>
      <w:r>
        <w:rPr>
          <w:spacing w:val="-15"/>
        </w:rPr>
        <w:t xml:space="preserve"> </w:t>
      </w:r>
      <w:r>
        <w:t>ao</w:t>
      </w:r>
      <w:r>
        <w:rPr>
          <w:spacing w:val="-15"/>
        </w:rPr>
        <w:t xml:space="preserve"> </w:t>
      </w:r>
      <w:r>
        <w:t>fornecimento</w:t>
      </w:r>
      <w:r>
        <w:rPr>
          <w:spacing w:val="-15"/>
        </w:rPr>
        <w:t xml:space="preserve"> </w:t>
      </w:r>
      <w:r>
        <w:t>de</w:t>
      </w:r>
      <w:r>
        <w:rPr>
          <w:spacing w:val="-15"/>
        </w:rPr>
        <w:t xml:space="preserve"> </w:t>
      </w:r>
      <w:r>
        <w:t>medicamentos</w:t>
      </w:r>
      <w:r>
        <w:rPr>
          <w:spacing w:val="-15"/>
        </w:rPr>
        <w:t xml:space="preserve"> </w:t>
      </w:r>
      <w:r>
        <w:t>pelo</w:t>
      </w:r>
      <w:r>
        <w:rPr>
          <w:spacing w:val="-15"/>
        </w:rPr>
        <w:t xml:space="preserve"> </w:t>
      </w:r>
      <w:r>
        <w:t>Poder</w:t>
      </w:r>
      <w:r>
        <w:rPr>
          <w:spacing w:val="-15"/>
        </w:rPr>
        <w:t xml:space="preserve"> </w:t>
      </w:r>
      <w:r>
        <w:t>Público,</w:t>
      </w:r>
      <w:r>
        <w:rPr>
          <w:spacing w:val="-15"/>
        </w:rPr>
        <w:t xml:space="preserve"> </w:t>
      </w:r>
      <w:r>
        <w:t>em 23/05/2019, o STF, no julgamento do RE nº 855.178 (Tema nº 793) definiu que os entes da Federação, em decorrência da competência comum, são solidariamente responsáveis nas demandas prestacionais na área da saúde e, diante dos critérios constitucionais de descentralização e hierarquização, competiria à autoridade judicial direcionar o cumprimento conforme as regras de repartição de competências e determinar o ressarcimento a quem suportou o ônus financeiro.</w:t>
      </w:r>
    </w:p>
    <w:p w:rsidR="007259F2" w:rsidRDefault="007259F2">
      <w:pPr>
        <w:pStyle w:val="Corpodetexto"/>
        <w:ind w:left="0" w:firstLine="0"/>
        <w:jc w:val="left"/>
        <w:rPr>
          <w:sz w:val="20"/>
        </w:rPr>
      </w:pPr>
    </w:p>
    <w:p w:rsidR="007259F2" w:rsidRDefault="00DE6B1C">
      <w:pPr>
        <w:pStyle w:val="Corpodetexto"/>
        <w:spacing w:before="103"/>
        <w:ind w:left="0" w:firstLine="0"/>
        <w:jc w:val="left"/>
        <w:rPr>
          <w:sz w:val="20"/>
        </w:rPr>
      </w:pPr>
      <w:r w:rsidRPr="00DE6B1C">
        <w:rPr>
          <w:sz w:val="20"/>
        </w:rPr>
        <w:pict>
          <v:rect id="docshape137" o:spid="_x0000_s1090" style="position:absolute;margin-left:85.1pt;margin-top:17.85pt;width:2in;height:.7pt;z-index:-15668736;mso-wrap-distance-left:0;mso-wrap-distance-right:0;mso-position-horizontal-relative:page" fillcolor="black" stroked="f">
            <w10:wrap type="topAndBottom" anchorx="page"/>
          </v:rect>
        </w:pict>
      </w:r>
    </w:p>
    <w:p w:rsidR="007259F2" w:rsidRDefault="00E655B4">
      <w:pPr>
        <w:spacing w:before="96" w:line="242" w:lineRule="auto"/>
        <w:ind w:left="710" w:right="421"/>
        <w:jc w:val="both"/>
        <w:rPr>
          <w:rFonts w:ascii="Calibri" w:hAnsi="Calibri"/>
          <w:sz w:val="20"/>
        </w:rPr>
      </w:pPr>
      <w:r>
        <w:rPr>
          <w:sz w:val="20"/>
          <w:vertAlign w:val="superscript"/>
        </w:rPr>
        <w:t>12</w:t>
      </w:r>
      <w:r>
        <w:rPr>
          <w:spacing w:val="-7"/>
          <w:sz w:val="20"/>
        </w:rPr>
        <w:t xml:space="preserve"> </w:t>
      </w:r>
      <w:r>
        <w:rPr>
          <w:sz w:val="20"/>
        </w:rPr>
        <w:t>LOPES</w:t>
      </w:r>
      <w:r>
        <w:rPr>
          <w:spacing w:val="-3"/>
          <w:sz w:val="20"/>
        </w:rPr>
        <w:t xml:space="preserve"> </w:t>
      </w:r>
      <w:r>
        <w:rPr>
          <w:sz w:val="20"/>
        </w:rPr>
        <w:t>, Luciana</w:t>
      </w:r>
      <w:r>
        <w:rPr>
          <w:spacing w:val="-2"/>
          <w:sz w:val="20"/>
        </w:rPr>
        <w:t xml:space="preserve"> </w:t>
      </w:r>
      <w:r>
        <w:rPr>
          <w:sz w:val="20"/>
        </w:rPr>
        <w:t>de</w:t>
      </w:r>
      <w:r>
        <w:rPr>
          <w:spacing w:val="-2"/>
          <w:sz w:val="20"/>
        </w:rPr>
        <w:t xml:space="preserve"> </w:t>
      </w:r>
      <w:r>
        <w:rPr>
          <w:sz w:val="20"/>
        </w:rPr>
        <w:t>M.</w:t>
      </w:r>
      <w:r>
        <w:rPr>
          <w:spacing w:val="-1"/>
          <w:sz w:val="20"/>
        </w:rPr>
        <w:t xml:space="preserve"> </w:t>
      </w:r>
      <w:r>
        <w:rPr>
          <w:sz w:val="20"/>
        </w:rPr>
        <w:t>N.;</w:t>
      </w:r>
      <w:r>
        <w:rPr>
          <w:spacing w:val="-3"/>
          <w:sz w:val="20"/>
        </w:rPr>
        <w:t xml:space="preserve"> </w:t>
      </w:r>
      <w:r>
        <w:rPr>
          <w:sz w:val="20"/>
        </w:rPr>
        <w:t>COELHO</w:t>
      </w:r>
      <w:r>
        <w:rPr>
          <w:spacing w:val="-2"/>
          <w:sz w:val="20"/>
        </w:rPr>
        <w:t xml:space="preserve"> </w:t>
      </w:r>
      <w:r>
        <w:rPr>
          <w:sz w:val="20"/>
        </w:rPr>
        <w:t>,</w:t>
      </w:r>
      <w:r>
        <w:rPr>
          <w:spacing w:val="-2"/>
          <w:sz w:val="20"/>
        </w:rPr>
        <w:t xml:space="preserve"> </w:t>
      </w:r>
      <w:r>
        <w:rPr>
          <w:sz w:val="20"/>
        </w:rPr>
        <w:t>Tiago L.;</w:t>
      </w:r>
      <w:r>
        <w:rPr>
          <w:spacing w:val="-3"/>
          <w:sz w:val="20"/>
        </w:rPr>
        <w:t xml:space="preserve"> </w:t>
      </w:r>
      <w:r>
        <w:rPr>
          <w:sz w:val="20"/>
        </w:rPr>
        <w:t>DINIZ, Semíramis</w:t>
      </w:r>
      <w:r>
        <w:rPr>
          <w:spacing w:val="-3"/>
          <w:sz w:val="20"/>
        </w:rPr>
        <w:t xml:space="preserve"> </w:t>
      </w:r>
      <w:r>
        <w:rPr>
          <w:sz w:val="20"/>
        </w:rPr>
        <w:t>D.; ANDRADE</w:t>
      </w:r>
      <w:r>
        <w:rPr>
          <w:spacing w:val="-1"/>
          <w:sz w:val="20"/>
        </w:rPr>
        <w:t xml:space="preserve"> </w:t>
      </w:r>
      <w:r>
        <w:rPr>
          <w:sz w:val="20"/>
        </w:rPr>
        <w:t>,</w:t>
      </w:r>
      <w:r>
        <w:rPr>
          <w:spacing w:val="-2"/>
          <w:sz w:val="20"/>
        </w:rPr>
        <w:t xml:space="preserve"> </w:t>
      </w:r>
      <w:r>
        <w:rPr>
          <w:sz w:val="20"/>
        </w:rPr>
        <w:t>Eli</w:t>
      </w:r>
      <w:r>
        <w:rPr>
          <w:spacing w:val="-3"/>
          <w:sz w:val="20"/>
        </w:rPr>
        <w:t xml:space="preserve"> </w:t>
      </w:r>
      <w:r>
        <w:rPr>
          <w:sz w:val="20"/>
        </w:rPr>
        <w:t>L</w:t>
      </w:r>
      <w:r>
        <w:rPr>
          <w:spacing w:val="-3"/>
          <w:sz w:val="20"/>
        </w:rPr>
        <w:t xml:space="preserve"> </w:t>
      </w:r>
      <w:r>
        <w:rPr>
          <w:sz w:val="20"/>
        </w:rPr>
        <w:t>G..</w:t>
      </w:r>
      <w:r>
        <w:rPr>
          <w:spacing w:val="-2"/>
          <w:sz w:val="20"/>
        </w:rPr>
        <w:t xml:space="preserve"> </w:t>
      </w:r>
      <w:r>
        <w:rPr>
          <w:sz w:val="20"/>
        </w:rPr>
        <w:t xml:space="preserve">Judicialização e jurisprudência: Utilização da STA 175/CE em acórdãos em saúde no Estado de Minas Gerais. </w:t>
      </w:r>
      <w:r>
        <w:rPr>
          <w:b/>
          <w:sz w:val="20"/>
        </w:rPr>
        <w:t>Revista de Direito Sanitário</w:t>
      </w:r>
      <w:r>
        <w:rPr>
          <w:sz w:val="20"/>
        </w:rPr>
        <w:t>, São Paulo, v. 20, n. 1, p. 185-201, mar/jun. 2019</w:t>
      </w:r>
      <w:r>
        <w:rPr>
          <w:rFonts w:ascii="Calibri" w:hAnsi="Calibri"/>
          <w:sz w:val="20"/>
        </w:rPr>
        <w:t>.</w:t>
      </w:r>
    </w:p>
    <w:p w:rsidR="007259F2" w:rsidRDefault="007259F2">
      <w:pPr>
        <w:spacing w:line="242" w:lineRule="auto"/>
        <w:jc w:val="both"/>
        <w:rPr>
          <w:rFonts w:ascii="Calibri" w:hAnsi="Calibri"/>
          <w:sz w:val="20"/>
        </w:rPr>
        <w:sectPr w:rsidR="007259F2">
          <w:pgSz w:w="11910" w:h="16840"/>
          <w:pgMar w:top="1600" w:right="708" w:bottom="1020" w:left="992" w:header="0" w:footer="820" w:gutter="0"/>
          <w:cols w:space="720"/>
        </w:sectPr>
      </w:pPr>
    </w:p>
    <w:p w:rsidR="007259F2" w:rsidRDefault="00E655B4">
      <w:pPr>
        <w:pStyle w:val="Corpodetexto"/>
        <w:spacing w:before="115"/>
        <w:ind w:right="417"/>
      </w:pPr>
      <w:r>
        <w:lastRenderedPageBreak/>
        <w:t>Ainda em 09/11/2020, no julgamento do RE nº 657.718/MG (Tema nº 500/STF)</w:t>
      </w:r>
      <w:r>
        <w:rPr>
          <w:vertAlign w:val="superscript"/>
        </w:rPr>
        <w:t>13</w:t>
      </w:r>
      <w:r>
        <w:t>, a Corte definiu que o Estado não pode ser obrigado a fornecer medicamentos experimentais e a ausência de registro na ANVISA impede, como regra geral, o fornecimento de medicamento por decisão judicial, de modo que as demandas que visam o fornecimento de medicamentos sem registro no órgão devem ser necessariamente propostas em face da União.:</w:t>
      </w:r>
    </w:p>
    <w:p w:rsidR="007259F2" w:rsidRDefault="00E655B4">
      <w:pPr>
        <w:pStyle w:val="Corpodetexto"/>
        <w:ind w:right="412"/>
      </w:pPr>
      <w:r>
        <w:t>Posteriormente em 22/10/2021, a Corte analisou o dever do Estado de fornecer medicamento que, embora não possua registro na ANVISA, tem a sua importação autorizada pela</w:t>
      </w:r>
      <w:r>
        <w:rPr>
          <w:spacing w:val="-8"/>
        </w:rPr>
        <w:t xml:space="preserve"> </w:t>
      </w:r>
      <w:r>
        <w:t>agência</w:t>
      </w:r>
      <w:r>
        <w:rPr>
          <w:spacing w:val="-7"/>
        </w:rPr>
        <w:t xml:space="preserve"> </w:t>
      </w:r>
      <w:r>
        <w:t>de</w:t>
      </w:r>
      <w:r>
        <w:rPr>
          <w:spacing w:val="-8"/>
        </w:rPr>
        <w:t xml:space="preserve"> </w:t>
      </w:r>
      <w:r>
        <w:t>vigilância</w:t>
      </w:r>
      <w:r>
        <w:rPr>
          <w:spacing w:val="-7"/>
        </w:rPr>
        <w:t xml:space="preserve"> </w:t>
      </w:r>
      <w:r>
        <w:t>sanitária</w:t>
      </w:r>
      <w:r>
        <w:rPr>
          <w:spacing w:val="-6"/>
        </w:rPr>
        <w:t xml:space="preserve"> </w:t>
      </w:r>
      <w:r>
        <w:t>(Tema</w:t>
      </w:r>
      <w:r>
        <w:rPr>
          <w:spacing w:val="-7"/>
        </w:rPr>
        <w:t xml:space="preserve"> </w:t>
      </w:r>
      <w:r>
        <w:t>nº</w:t>
      </w:r>
      <w:r>
        <w:rPr>
          <w:spacing w:val="-7"/>
        </w:rPr>
        <w:t xml:space="preserve"> </w:t>
      </w:r>
      <w:r>
        <w:t>1161),</w:t>
      </w:r>
      <w:r>
        <w:rPr>
          <w:spacing w:val="-7"/>
        </w:rPr>
        <w:t xml:space="preserve"> </w:t>
      </w:r>
      <w:r>
        <w:t>o</w:t>
      </w:r>
      <w:r>
        <w:rPr>
          <w:spacing w:val="-7"/>
        </w:rPr>
        <w:t xml:space="preserve"> </w:t>
      </w:r>
      <w:r>
        <w:t>qual</w:t>
      </w:r>
      <w:r>
        <w:rPr>
          <w:spacing w:val="-7"/>
        </w:rPr>
        <w:t xml:space="preserve"> </w:t>
      </w:r>
      <w:r>
        <w:t>foi</w:t>
      </w:r>
      <w:r>
        <w:rPr>
          <w:spacing w:val="-3"/>
        </w:rPr>
        <w:t xml:space="preserve"> </w:t>
      </w:r>
      <w:r>
        <w:t>admitido</w:t>
      </w:r>
      <w:r>
        <w:rPr>
          <w:spacing w:val="-7"/>
        </w:rPr>
        <w:t xml:space="preserve"> </w:t>
      </w:r>
      <w:r>
        <w:t>desde</w:t>
      </w:r>
      <w:r>
        <w:rPr>
          <w:spacing w:val="-7"/>
        </w:rPr>
        <w:t xml:space="preserve"> </w:t>
      </w:r>
      <w:r>
        <w:t>que</w:t>
      </w:r>
      <w:r>
        <w:rPr>
          <w:spacing w:val="-6"/>
        </w:rPr>
        <w:t xml:space="preserve"> </w:t>
      </w:r>
      <w:r>
        <w:t>comprovada a incapacidade econômica do paciente, a imprescindibilidade clínica do tratamento, e a impossibilidade</w:t>
      </w:r>
      <w:r>
        <w:rPr>
          <w:spacing w:val="-10"/>
        </w:rPr>
        <w:t xml:space="preserve"> </w:t>
      </w:r>
      <w:r>
        <w:t>de</w:t>
      </w:r>
      <w:r>
        <w:rPr>
          <w:spacing w:val="-11"/>
        </w:rPr>
        <w:t xml:space="preserve"> </w:t>
      </w:r>
      <w:r>
        <w:t>substituição</w:t>
      </w:r>
      <w:r>
        <w:rPr>
          <w:spacing w:val="-8"/>
        </w:rPr>
        <w:t xml:space="preserve"> </w:t>
      </w:r>
      <w:r>
        <w:t>por</w:t>
      </w:r>
      <w:r>
        <w:rPr>
          <w:spacing w:val="-8"/>
        </w:rPr>
        <w:t xml:space="preserve"> </w:t>
      </w:r>
      <w:r>
        <w:t>outro</w:t>
      </w:r>
      <w:r>
        <w:rPr>
          <w:spacing w:val="-10"/>
        </w:rPr>
        <w:t xml:space="preserve"> </w:t>
      </w:r>
      <w:r>
        <w:t>similar</w:t>
      </w:r>
      <w:r>
        <w:rPr>
          <w:spacing w:val="-7"/>
        </w:rPr>
        <w:t xml:space="preserve"> </w:t>
      </w:r>
      <w:r>
        <w:t>constante</w:t>
      </w:r>
      <w:r>
        <w:rPr>
          <w:spacing w:val="-10"/>
        </w:rPr>
        <w:t xml:space="preserve"> </w:t>
      </w:r>
      <w:r>
        <w:t>das</w:t>
      </w:r>
      <w:r>
        <w:rPr>
          <w:spacing w:val="-7"/>
        </w:rPr>
        <w:t xml:space="preserve"> </w:t>
      </w:r>
      <w:r>
        <w:t>listas</w:t>
      </w:r>
      <w:r>
        <w:rPr>
          <w:spacing w:val="-7"/>
        </w:rPr>
        <w:t xml:space="preserve"> </w:t>
      </w:r>
      <w:r>
        <w:t>oficiais</w:t>
      </w:r>
      <w:r>
        <w:rPr>
          <w:spacing w:val="-6"/>
        </w:rPr>
        <w:t xml:space="preserve"> </w:t>
      </w:r>
      <w:r>
        <w:t>de</w:t>
      </w:r>
      <w:r>
        <w:rPr>
          <w:spacing w:val="-11"/>
        </w:rPr>
        <w:t xml:space="preserve"> </w:t>
      </w:r>
      <w:r>
        <w:t>dispensação</w:t>
      </w:r>
      <w:r>
        <w:rPr>
          <w:spacing w:val="-7"/>
        </w:rPr>
        <w:t xml:space="preserve"> </w:t>
      </w:r>
      <w:r>
        <w:t>de medicamentos e os protocolos de intervenção terapêutica do SUS.</w:t>
      </w:r>
    </w:p>
    <w:p w:rsidR="007259F2" w:rsidRDefault="00E655B4">
      <w:pPr>
        <w:pStyle w:val="Corpodetexto"/>
        <w:spacing w:before="1"/>
        <w:ind w:right="423"/>
      </w:pPr>
      <w:r>
        <w:t>Em recente decisão, a Corte julgou, após, de forma inédita, a homologação de acordo interfederativo entre União, Estados e Municípios, o RE nº 1.366.243 (Tema nº 1234), com o objetivo de definir a legitimidade passiva da União e competência da Justiça Federal, nas demandas</w:t>
      </w:r>
      <w:r>
        <w:rPr>
          <w:spacing w:val="-2"/>
        </w:rPr>
        <w:t xml:space="preserve"> </w:t>
      </w:r>
      <w:r>
        <w:t>que</w:t>
      </w:r>
      <w:r>
        <w:rPr>
          <w:spacing w:val="-3"/>
        </w:rPr>
        <w:t xml:space="preserve"> </w:t>
      </w:r>
      <w:r>
        <w:t>versem</w:t>
      </w:r>
      <w:r>
        <w:rPr>
          <w:spacing w:val="-1"/>
        </w:rPr>
        <w:t xml:space="preserve"> </w:t>
      </w:r>
      <w:r>
        <w:t>sobre</w:t>
      </w:r>
      <w:r>
        <w:rPr>
          <w:spacing w:val="-5"/>
        </w:rPr>
        <w:t xml:space="preserve"> </w:t>
      </w:r>
      <w:r>
        <w:t>fornecimento</w:t>
      </w:r>
      <w:r>
        <w:rPr>
          <w:spacing w:val="-1"/>
        </w:rPr>
        <w:t xml:space="preserve"> </w:t>
      </w:r>
      <w:r>
        <w:t>de</w:t>
      </w:r>
      <w:r>
        <w:rPr>
          <w:spacing w:val="-3"/>
        </w:rPr>
        <w:t xml:space="preserve"> </w:t>
      </w:r>
      <w:r>
        <w:t>medicamentos</w:t>
      </w:r>
      <w:r>
        <w:rPr>
          <w:spacing w:val="-1"/>
        </w:rPr>
        <w:t xml:space="preserve"> </w:t>
      </w:r>
      <w:r>
        <w:t>registrados</w:t>
      </w:r>
      <w:r>
        <w:rPr>
          <w:spacing w:val="-2"/>
        </w:rPr>
        <w:t xml:space="preserve"> </w:t>
      </w:r>
      <w:r>
        <w:t>na</w:t>
      </w:r>
      <w:r>
        <w:rPr>
          <w:spacing w:val="-1"/>
        </w:rPr>
        <w:t xml:space="preserve"> </w:t>
      </w:r>
      <w:r>
        <w:t>ANVISA,</w:t>
      </w:r>
      <w:r>
        <w:rPr>
          <w:spacing w:val="-1"/>
        </w:rPr>
        <w:t xml:space="preserve"> </w:t>
      </w:r>
      <w:r>
        <w:t>mas</w:t>
      </w:r>
      <w:r>
        <w:rPr>
          <w:spacing w:val="-2"/>
        </w:rPr>
        <w:t xml:space="preserve"> </w:t>
      </w:r>
      <w:r>
        <w:t>não padronizados no SUS.</w:t>
      </w:r>
    </w:p>
    <w:p w:rsidR="007259F2" w:rsidRDefault="00E655B4">
      <w:pPr>
        <w:pStyle w:val="Corpodetexto"/>
        <w:ind w:right="420"/>
      </w:pPr>
      <w:r>
        <w:t>Em síntese, a Corte entendeu que tramitarão perante a Justiça Federal quando o valor do</w:t>
      </w:r>
      <w:r>
        <w:rPr>
          <w:spacing w:val="-4"/>
        </w:rPr>
        <w:t xml:space="preserve"> </w:t>
      </w:r>
      <w:r>
        <w:t>tratamento</w:t>
      </w:r>
      <w:r>
        <w:rPr>
          <w:spacing w:val="-3"/>
        </w:rPr>
        <w:t xml:space="preserve"> </w:t>
      </w:r>
      <w:r>
        <w:t>anual</w:t>
      </w:r>
      <w:r>
        <w:rPr>
          <w:spacing w:val="-3"/>
        </w:rPr>
        <w:t xml:space="preserve"> </w:t>
      </w:r>
      <w:r>
        <w:t>específico</w:t>
      </w:r>
      <w:r>
        <w:rPr>
          <w:spacing w:val="-3"/>
        </w:rPr>
        <w:t xml:space="preserve"> </w:t>
      </w:r>
      <w:r>
        <w:t>do</w:t>
      </w:r>
      <w:r>
        <w:rPr>
          <w:spacing w:val="-3"/>
        </w:rPr>
        <w:t xml:space="preserve"> </w:t>
      </w:r>
      <w:r>
        <w:t>fármaco</w:t>
      </w:r>
      <w:r>
        <w:rPr>
          <w:spacing w:val="-3"/>
        </w:rPr>
        <w:t xml:space="preserve"> </w:t>
      </w:r>
      <w:r>
        <w:t>ou</w:t>
      </w:r>
      <w:r>
        <w:rPr>
          <w:spacing w:val="-3"/>
        </w:rPr>
        <w:t xml:space="preserve"> </w:t>
      </w:r>
      <w:r>
        <w:t>do</w:t>
      </w:r>
      <w:r>
        <w:rPr>
          <w:spacing w:val="-1"/>
        </w:rPr>
        <w:t xml:space="preserve"> </w:t>
      </w:r>
      <w:r>
        <w:t>princípio</w:t>
      </w:r>
      <w:r>
        <w:rPr>
          <w:spacing w:val="-3"/>
        </w:rPr>
        <w:t xml:space="preserve"> </w:t>
      </w:r>
      <w:r>
        <w:t>ativo,</w:t>
      </w:r>
      <w:r>
        <w:rPr>
          <w:spacing w:val="-3"/>
        </w:rPr>
        <w:t xml:space="preserve"> </w:t>
      </w:r>
      <w:r>
        <w:t>for</w:t>
      </w:r>
      <w:r>
        <w:rPr>
          <w:spacing w:val="-7"/>
        </w:rPr>
        <w:t xml:space="preserve"> </w:t>
      </w:r>
      <w:r>
        <w:t>igual ou</w:t>
      </w:r>
      <w:r>
        <w:rPr>
          <w:spacing w:val="-3"/>
        </w:rPr>
        <w:t xml:space="preserve"> </w:t>
      </w:r>
      <w:r>
        <w:t>superior</w:t>
      </w:r>
      <w:r>
        <w:rPr>
          <w:spacing w:val="-6"/>
        </w:rPr>
        <w:t xml:space="preserve"> </w:t>
      </w:r>
      <w:r>
        <w:t>ao</w:t>
      </w:r>
      <w:r>
        <w:rPr>
          <w:spacing w:val="-3"/>
        </w:rPr>
        <w:t xml:space="preserve"> </w:t>
      </w:r>
      <w:r>
        <w:t>valor de</w:t>
      </w:r>
      <w:r>
        <w:rPr>
          <w:spacing w:val="-15"/>
        </w:rPr>
        <w:t xml:space="preserve"> </w:t>
      </w:r>
      <w:r>
        <w:t>210</w:t>
      </w:r>
      <w:r>
        <w:rPr>
          <w:spacing w:val="-15"/>
        </w:rPr>
        <w:t xml:space="preserve"> </w:t>
      </w:r>
      <w:r>
        <w:t>salários</w:t>
      </w:r>
      <w:r>
        <w:rPr>
          <w:spacing w:val="-15"/>
        </w:rPr>
        <w:t xml:space="preserve"> </w:t>
      </w:r>
      <w:r>
        <w:t>mínimos,</w:t>
      </w:r>
      <w:r>
        <w:rPr>
          <w:spacing w:val="-15"/>
        </w:rPr>
        <w:t xml:space="preserve"> </w:t>
      </w:r>
      <w:r>
        <w:t>de</w:t>
      </w:r>
      <w:r>
        <w:rPr>
          <w:spacing w:val="-15"/>
        </w:rPr>
        <w:t xml:space="preserve"> </w:t>
      </w:r>
      <w:r>
        <w:t>modo</w:t>
      </w:r>
      <w:r>
        <w:rPr>
          <w:spacing w:val="-14"/>
        </w:rPr>
        <w:t xml:space="preserve"> </w:t>
      </w:r>
      <w:r>
        <w:t>que</w:t>
      </w:r>
      <w:r>
        <w:rPr>
          <w:spacing w:val="-15"/>
        </w:rPr>
        <w:t xml:space="preserve"> </w:t>
      </w:r>
      <w:r>
        <w:t>as</w:t>
      </w:r>
      <w:r>
        <w:rPr>
          <w:spacing w:val="-13"/>
        </w:rPr>
        <w:t xml:space="preserve"> </w:t>
      </w:r>
      <w:r>
        <w:t>ações</w:t>
      </w:r>
      <w:r>
        <w:rPr>
          <w:spacing w:val="-15"/>
        </w:rPr>
        <w:t xml:space="preserve"> </w:t>
      </w:r>
      <w:r>
        <w:t>de</w:t>
      </w:r>
      <w:r>
        <w:rPr>
          <w:spacing w:val="-14"/>
        </w:rPr>
        <w:t xml:space="preserve"> </w:t>
      </w:r>
      <w:r>
        <w:t>fornecimento</w:t>
      </w:r>
      <w:r>
        <w:rPr>
          <w:spacing w:val="-14"/>
        </w:rPr>
        <w:t xml:space="preserve"> </w:t>
      </w:r>
      <w:r>
        <w:t>de</w:t>
      </w:r>
      <w:r>
        <w:rPr>
          <w:spacing w:val="-15"/>
        </w:rPr>
        <w:t xml:space="preserve"> </w:t>
      </w:r>
      <w:r>
        <w:t>medicamentos</w:t>
      </w:r>
      <w:r>
        <w:rPr>
          <w:spacing w:val="-13"/>
        </w:rPr>
        <w:t xml:space="preserve"> </w:t>
      </w:r>
      <w:r>
        <w:t>incorporados ou não incorporados, serão custeadas integralmente pela União, cabendo, em caso de haver condenação supletiva dos Estados e do Distrito Federal, o ressarcimento integral pela União.</w:t>
      </w:r>
    </w:p>
    <w:p w:rsidR="007259F2" w:rsidRDefault="00E655B4">
      <w:pPr>
        <w:pStyle w:val="Corpodetexto"/>
        <w:ind w:right="418"/>
      </w:pPr>
      <w:r>
        <w:t>O voto condutor do Ministro Gilmar Mendes previu ainda a criação de plataforma nacional com o objetivo de centralizar as informações relativas às demandas administrativas e judiciais de acesso a fármacos, de modo a orientar os atores ligados ao sistema público e permitir</w:t>
      </w:r>
      <w:r>
        <w:rPr>
          <w:spacing w:val="-9"/>
        </w:rPr>
        <w:t xml:space="preserve"> </w:t>
      </w:r>
      <w:r>
        <w:t>o</w:t>
      </w:r>
      <w:r>
        <w:rPr>
          <w:spacing w:val="-8"/>
        </w:rPr>
        <w:t xml:space="preserve"> </w:t>
      </w:r>
      <w:r>
        <w:t>compartilhamento</w:t>
      </w:r>
      <w:r>
        <w:rPr>
          <w:spacing w:val="-6"/>
        </w:rPr>
        <w:t xml:space="preserve"> </w:t>
      </w:r>
      <w:r>
        <w:t>de</w:t>
      </w:r>
      <w:r>
        <w:rPr>
          <w:spacing w:val="-9"/>
        </w:rPr>
        <w:t xml:space="preserve"> </w:t>
      </w:r>
      <w:r>
        <w:t>informações</w:t>
      </w:r>
      <w:r>
        <w:rPr>
          <w:spacing w:val="-6"/>
        </w:rPr>
        <w:t xml:space="preserve"> </w:t>
      </w:r>
      <w:r>
        <w:t>com</w:t>
      </w:r>
      <w:r>
        <w:rPr>
          <w:spacing w:val="-3"/>
        </w:rPr>
        <w:t xml:space="preserve"> </w:t>
      </w:r>
      <w:r>
        <w:t>o</w:t>
      </w:r>
      <w:r>
        <w:rPr>
          <w:spacing w:val="-8"/>
        </w:rPr>
        <w:t xml:space="preserve"> </w:t>
      </w:r>
      <w:r>
        <w:t>Poder</w:t>
      </w:r>
      <w:r>
        <w:rPr>
          <w:spacing w:val="-9"/>
        </w:rPr>
        <w:t xml:space="preserve"> </w:t>
      </w:r>
      <w:r>
        <w:t>Judiciário.</w:t>
      </w:r>
      <w:r>
        <w:rPr>
          <w:spacing w:val="-6"/>
        </w:rPr>
        <w:t xml:space="preserve"> </w:t>
      </w:r>
      <w:r>
        <w:t>Tal</w:t>
      </w:r>
      <w:r>
        <w:rPr>
          <w:spacing w:val="-8"/>
        </w:rPr>
        <w:t xml:space="preserve"> </w:t>
      </w:r>
      <w:r>
        <w:t>plataforma</w:t>
      </w:r>
      <w:r>
        <w:rPr>
          <w:spacing w:val="-6"/>
        </w:rPr>
        <w:t xml:space="preserve"> </w:t>
      </w:r>
      <w:r>
        <w:t>permitiria ainda</w:t>
      </w:r>
      <w:r>
        <w:rPr>
          <w:spacing w:val="-4"/>
        </w:rPr>
        <w:t xml:space="preserve"> </w:t>
      </w:r>
      <w:r>
        <w:t>a</w:t>
      </w:r>
      <w:r>
        <w:rPr>
          <w:spacing w:val="-7"/>
        </w:rPr>
        <w:t xml:space="preserve"> </w:t>
      </w:r>
      <w:r>
        <w:t>identificação</w:t>
      </w:r>
      <w:r>
        <w:rPr>
          <w:spacing w:val="-3"/>
        </w:rPr>
        <w:t xml:space="preserve"> </w:t>
      </w:r>
      <w:r>
        <w:t>do ente</w:t>
      </w:r>
      <w:r>
        <w:rPr>
          <w:spacing w:val="-4"/>
        </w:rPr>
        <w:t xml:space="preserve"> </w:t>
      </w:r>
      <w:r>
        <w:t>responsável</w:t>
      </w:r>
      <w:r>
        <w:rPr>
          <w:spacing w:val="-3"/>
        </w:rPr>
        <w:t xml:space="preserve"> </w:t>
      </w:r>
      <w:r>
        <w:t>pelo</w:t>
      </w:r>
      <w:r>
        <w:rPr>
          <w:spacing w:val="-3"/>
        </w:rPr>
        <w:t xml:space="preserve"> </w:t>
      </w:r>
      <w:r>
        <w:t>custeio</w:t>
      </w:r>
      <w:r>
        <w:rPr>
          <w:spacing w:val="-2"/>
        </w:rPr>
        <w:t xml:space="preserve"> </w:t>
      </w:r>
      <w:r>
        <w:t>do</w:t>
      </w:r>
      <w:r>
        <w:rPr>
          <w:spacing w:val="-3"/>
        </w:rPr>
        <w:t xml:space="preserve"> </w:t>
      </w:r>
      <w:r>
        <w:t>medicamento</w:t>
      </w:r>
      <w:r>
        <w:rPr>
          <w:spacing w:val="-3"/>
        </w:rPr>
        <w:t xml:space="preserve"> </w:t>
      </w:r>
      <w:r>
        <w:t>e</w:t>
      </w:r>
      <w:r>
        <w:rPr>
          <w:spacing w:val="-4"/>
        </w:rPr>
        <w:t xml:space="preserve"> </w:t>
      </w:r>
      <w:r>
        <w:t>o monitoramento</w:t>
      </w:r>
      <w:r>
        <w:rPr>
          <w:spacing w:val="-3"/>
        </w:rPr>
        <w:t xml:space="preserve"> </w:t>
      </w:r>
      <w:r>
        <w:t>dos pacientes beneficiários de decisões judiciais.</w:t>
      </w:r>
    </w:p>
    <w:p w:rsidR="007259F2" w:rsidRDefault="00E655B4">
      <w:pPr>
        <w:pStyle w:val="Corpodetexto"/>
        <w:ind w:right="422"/>
      </w:pPr>
      <w:r>
        <w:t>A evolução da jurisprudência do STF demonstra a crescente preocupação da Corte em estabelecer</w:t>
      </w:r>
      <w:r>
        <w:rPr>
          <w:spacing w:val="-1"/>
        </w:rPr>
        <w:t xml:space="preserve"> </w:t>
      </w:r>
      <w:r>
        <w:t>parâmetros</w:t>
      </w:r>
      <w:r>
        <w:rPr>
          <w:spacing w:val="-1"/>
        </w:rPr>
        <w:t xml:space="preserve"> </w:t>
      </w:r>
      <w:r>
        <w:t>para</w:t>
      </w:r>
      <w:r>
        <w:rPr>
          <w:spacing w:val="-4"/>
        </w:rPr>
        <w:t xml:space="preserve"> </w:t>
      </w:r>
      <w:r>
        <w:t>que</w:t>
      </w:r>
      <w:r>
        <w:rPr>
          <w:spacing w:val="-2"/>
        </w:rPr>
        <w:t xml:space="preserve"> </w:t>
      </w:r>
      <w:r>
        <w:t>a atuação</w:t>
      </w:r>
      <w:r>
        <w:rPr>
          <w:spacing w:val="-1"/>
        </w:rPr>
        <w:t xml:space="preserve"> </w:t>
      </w:r>
      <w:r>
        <w:t>do</w:t>
      </w:r>
      <w:r>
        <w:rPr>
          <w:spacing w:val="-1"/>
        </w:rPr>
        <w:t xml:space="preserve"> </w:t>
      </w:r>
      <w:r>
        <w:t>Judiciário</w:t>
      </w:r>
      <w:r>
        <w:rPr>
          <w:spacing w:val="-2"/>
        </w:rPr>
        <w:t xml:space="preserve"> </w:t>
      </w:r>
      <w:r>
        <w:t>se paute</w:t>
      </w:r>
      <w:r>
        <w:rPr>
          <w:spacing w:val="-1"/>
        </w:rPr>
        <w:t xml:space="preserve"> </w:t>
      </w:r>
      <w:r>
        <w:t>por</w:t>
      </w:r>
      <w:r>
        <w:rPr>
          <w:spacing w:val="-2"/>
        </w:rPr>
        <w:t xml:space="preserve"> </w:t>
      </w:r>
      <w:r>
        <w:t>critérios</w:t>
      </w:r>
      <w:r>
        <w:rPr>
          <w:spacing w:val="-1"/>
        </w:rPr>
        <w:t xml:space="preserve"> </w:t>
      </w:r>
      <w:r>
        <w:t>de</w:t>
      </w:r>
      <w:r>
        <w:rPr>
          <w:spacing w:val="-1"/>
        </w:rPr>
        <w:t xml:space="preserve"> </w:t>
      </w:r>
      <w:r>
        <w:t>racionalidade e</w:t>
      </w:r>
      <w:r>
        <w:rPr>
          <w:spacing w:val="-4"/>
        </w:rPr>
        <w:t xml:space="preserve"> </w:t>
      </w:r>
      <w:r>
        <w:t>eficiência,</w:t>
      </w:r>
      <w:r>
        <w:rPr>
          <w:spacing w:val="-3"/>
        </w:rPr>
        <w:t xml:space="preserve"> </w:t>
      </w:r>
      <w:r>
        <w:t>o</w:t>
      </w:r>
      <w:r>
        <w:rPr>
          <w:spacing w:val="-3"/>
        </w:rPr>
        <w:t xml:space="preserve"> </w:t>
      </w:r>
      <w:r>
        <w:t>que</w:t>
      </w:r>
      <w:r>
        <w:rPr>
          <w:spacing w:val="-7"/>
        </w:rPr>
        <w:t xml:space="preserve"> </w:t>
      </w:r>
      <w:r>
        <w:t>deve</w:t>
      </w:r>
      <w:r>
        <w:rPr>
          <w:spacing w:val="-4"/>
        </w:rPr>
        <w:t xml:space="preserve"> </w:t>
      </w:r>
      <w:r>
        <w:t>ser</w:t>
      </w:r>
      <w:r>
        <w:rPr>
          <w:spacing w:val="-4"/>
        </w:rPr>
        <w:t xml:space="preserve"> </w:t>
      </w:r>
      <w:r>
        <w:t>compatibilizado</w:t>
      </w:r>
      <w:r>
        <w:rPr>
          <w:spacing w:val="-2"/>
        </w:rPr>
        <w:t xml:space="preserve"> </w:t>
      </w:r>
      <w:r>
        <w:t>com</w:t>
      </w:r>
      <w:r>
        <w:rPr>
          <w:spacing w:val="-3"/>
        </w:rPr>
        <w:t xml:space="preserve"> </w:t>
      </w:r>
      <w:r>
        <w:t>a</w:t>
      </w:r>
      <w:r>
        <w:rPr>
          <w:spacing w:val="-4"/>
        </w:rPr>
        <w:t xml:space="preserve"> </w:t>
      </w:r>
      <w:r>
        <w:t>proteção</w:t>
      </w:r>
      <w:r>
        <w:rPr>
          <w:spacing w:val="-3"/>
        </w:rPr>
        <w:t xml:space="preserve"> </w:t>
      </w:r>
      <w:r>
        <w:t>do</w:t>
      </w:r>
      <w:r>
        <w:rPr>
          <w:spacing w:val="-3"/>
        </w:rPr>
        <w:t xml:space="preserve"> </w:t>
      </w:r>
      <w:r>
        <w:t>mínimo</w:t>
      </w:r>
      <w:r>
        <w:rPr>
          <w:spacing w:val="-3"/>
        </w:rPr>
        <w:t xml:space="preserve"> </w:t>
      </w:r>
      <w:r>
        <w:t>existencial</w:t>
      </w:r>
      <w:r>
        <w:rPr>
          <w:spacing w:val="-2"/>
        </w:rPr>
        <w:t xml:space="preserve"> </w:t>
      </w:r>
      <w:r>
        <w:t>do</w:t>
      </w:r>
      <w:r>
        <w:rPr>
          <w:spacing w:val="-3"/>
        </w:rPr>
        <w:t xml:space="preserve"> </w:t>
      </w:r>
      <w:r>
        <w:t>direito</w:t>
      </w:r>
      <w:r>
        <w:rPr>
          <w:spacing w:val="-3"/>
        </w:rPr>
        <w:t xml:space="preserve"> </w:t>
      </w:r>
      <w:r>
        <w:t xml:space="preserve">à </w:t>
      </w:r>
      <w:r>
        <w:rPr>
          <w:spacing w:val="-2"/>
        </w:rPr>
        <w:t>saúde.</w:t>
      </w:r>
    </w:p>
    <w:p w:rsidR="007259F2" w:rsidRDefault="00E655B4">
      <w:pPr>
        <w:pStyle w:val="Corpodetexto"/>
        <w:ind w:right="418"/>
      </w:pPr>
      <w:r>
        <w:t>Superada</w:t>
      </w:r>
      <w:r>
        <w:rPr>
          <w:spacing w:val="-6"/>
        </w:rPr>
        <w:t xml:space="preserve"> </w:t>
      </w:r>
      <w:r>
        <w:t>essa</w:t>
      </w:r>
      <w:r>
        <w:rPr>
          <w:spacing w:val="-5"/>
        </w:rPr>
        <w:t xml:space="preserve"> </w:t>
      </w:r>
      <w:r>
        <w:t>digressão</w:t>
      </w:r>
      <w:r>
        <w:rPr>
          <w:spacing w:val="-4"/>
        </w:rPr>
        <w:t xml:space="preserve"> </w:t>
      </w:r>
      <w:r>
        <w:t>inicial,</w:t>
      </w:r>
      <w:r>
        <w:rPr>
          <w:spacing w:val="-4"/>
        </w:rPr>
        <w:t xml:space="preserve"> </w:t>
      </w:r>
      <w:r>
        <w:t>o</w:t>
      </w:r>
      <w:r>
        <w:rPr>
          <w:spacing w:val="-5"/>
        </w:rPr>
        <w:t xml:space="preserve"> </w:t>
      </w:r>
      <w:r>
        <w:t>presente</w:t>
      </w:r>
      <w:r>
        <w:rPr>
          <w:spacing w:val="-5"/>
        </w:rPr>
        <w:t xml:space="preserve"> </w:t>
      </w:r>
      <w:r>
        <w:t>artigo</w:t>
      </w:r>
      <w:r>
        <w:rPr>
          <w:spacing w:val="-5"/>
        </w:rPr>
        <w:t xml:space="preserve"> </w:t>
      </w:r>
      <w:r>
        <w:t>terá</w:t>
      </w:r>
      <w:r>
        <w:rPr>
          <w:spacing w:val="-6"/>
        </w:rPr>
        <w:t xml:space="preserve"> </w:t>
      </w:r>
      <w:r>
        <w:t>como</w:t>
      </w:r>
      <w:r>
        <w:rPr>
          <w:spacing w:val="-4"/>
        </w:rPr>
        <w:t xml:space="preserve"> </w:t>
      </w:r>
      <w:r>
        <w:t>plano</w:t>
      </w:r>
      <w:r>
        <w:rPr>
          <w:spacing w:val="-5"/>
        </w:rPr>
        <w:t xml:space="preserve"> </w:t>
      </w:r>
      <w:r>
        <w:t>de</w:t>
      </w:r>
      <w:r>
        <w:rPr>
          <w:spacing w:val="-5"/>
        </w:rPr>
        <w:t xml:space="preserve"> </w:t>
      </w:r>
      <w:r>
        <w:t>fundo</w:t>
      </w:r>
      <w:r>
        <w:rPr>
          <w:spacing w:val="-2"/>
        </w:rPr>
        <w:t xml:space="preserve"> </w:t>
      </w:r>
      <w:r>
        <w:t>a</w:t>
      </w:r>
      <w:r>
        <w:rPr>
          <w:spacing w:val="-8"/>
        </w:rPr>
        <w:t xml:space="preserve"> </w:t>
      </w:r>
      <w:r>
        <w:t>análise</w:t>
      </w:r>
      <w:r>
        <w:rPr>
          <w:spacing w:val="-7"/>
        </w:rPr>
        <w:t xml:space="preserve"> </w:t>
      </w:r>
      <w:r>
        <w:t>do RE</w:t>
      </w:r>
      <w:r>
        <w:rPr>
          <w:spacing w:val="-15"/>
        </w:rPr>
        <w:t xml:space="preserve"> </w:t>
      </w:r>
      <w:r>
        <w:t>nº</w:t>
      </w:r>
      <w:r>
        <w:rPr>
          <w:spacing w:val="-15"/>
        </w:rPr>
        <w:t xml:space="preserve"> </w:t>
      </w:r>
      <w:r>
        <w:t>684.612/RJ</w:t>
      </w:r>
      <w:r>
        <w:rPr>
          <w:vertAlign w:val="superscript"/>
        </w:rPr>
        <w:t>14</w:t>
      </w:r>
      <w:r>
        <w:t>,</w:t>
      </w:r>
      <w:r>
        <w:rPr>
          <w:spacing w:val="-14"/>
        </w:rPr>
        <w:t xml:space="preserve"> </w:t>
      </w:r>
      <w:r>
        <w:t>julgado</w:t>
      </w:r>
      <w:r>
        <w:rPr>
          <w:spacing w:val="-13"/>
        </w:rPr>
        <w:t xml:space="preserve"> </w:t>
      </w:r>
      <w:r>
        <w:t>sob</w:t>
      </w:r>
      <w:r>
        <w:rPr>
          <w:spacing w:val="-14"/>
        </w:rPr>
        <w:t xml:space="preserve"> </w:t>
      </w:r>
      <w:r>
        <w:t>o</w:t>
      </w:r>
      <w:r>
        <w:rPr>
          <w:spacing w:val="-14"/>
        </w:rPr>
        <w:t xml:space="preserve"> </w:t>
      </w:r>
      <w:r>
        <w:t>regime</w:t>
      </w:r>
      <w:r>
        <w:rPr>
          <w:spacing w:val="-15"/>
        </w:rPr>
        <w:t xml:space="preserve"> </w:t>
      </w:r>
      <w:r>
        <w:t>de</w:t>
      </w:r>
      <w:r>
        <w:rPr>
          <w:spacing w:val="-15"/>
        </w:rPr>
        <w:t xml:space="preserve"> </w:t>
      </w:r>
      <w:r>
        <w:t>Repercussão</w:t>
      </w:r>
      <w:r>
        <w:rPr>
          <w:spacing w:val="-14"/>
        </w:rPr>
        <w:t xml:space="preserve"> </w:t>
      </w:r>
      <w:r>
        <w:t>Geral</w:t>
      </w:r>
      <w:r>
        <w:rPr>
          <w:spacing w:val="-14"/>
        </w:rPr>
        <w:t xml:space="preserve"> </w:t>
      </w:r>
      <w:r>
        <w:t>(Tema</w:t>
      </w:r>
      <w:r>
        <w:rPr>
          <w:spacing w:val="-15"/>
        </w:rPr>
        <w:t xml:space="preserve"> </w:t>
      </w:r>
      <w:r>
        <w:t>nº</w:t>
      </w:r>
      <w:r>
        <w:rPr>
          <w:spacing w:val="-15"/>
        </w:rPr>
        <w:t xml:space="preserve"> </w:t>
      </w:r>
      <w:r>
        <w:t>698),</w:t>
      </w:r>
      <w:r>
        <w:rPr>
          <w:spacing w:val="-14"/>
        </w:rPr>
        <w:t xml:space="preserve"> </w:t>
      </w:r>
      <w:r>
        <w:t>em</w:t>
      </w:r>
      <w:r>
        <w:rPr>
          <w:spacing w:val="-14"/>
        </w:rPr>
        <w:t xml:space="preserve"> </w:t>
      </w:r>
      <w:r>
        <w:t>03/07/2023, o qual tinha como objetivo definir a possibilidade de o Poder Judiciário determinar a implementação de políticas públicas urgentes com a finalidade de assegurar o direito à saúde, em</w:t>
      </w:r>
      <w:r>
        <w:rPr>
          <w:spacing w:val="-1"/>
        </w:rPr>
        <w:t xml:space="preserve"> </w:t>
      </w:r>
      <w:r>
        <w:t>substituição</w:t>
      </w:r>
      <w:r>
        <w:rPr>
          <w:spacing w:val="1"/>
        </w:rPr>
        <w:t xml:space="preserve"> </w:t>
      </w:r>
      <w:r>
        <w:t>ao</w:t>
      </w:r>
      <w:r>
        <w:rPr>
          <w:spacing w:val="1"/>
        </w:rPr>
        <w:t xml:space="preserve"> </w:t>
      </w:r>
      <w:r>
        <w:t>juízo</w:t>
      </w:r>
      <w:r>
        <w:rPr>
          <w:spacing w:val="2"/>
        </w:rPr>
        <w:t xml:space="preserve"> </w:t>
      </w:r>
      <w:r>
        <w:t>de</w:t>
      </w:r>
      <w:r>
        <w:rPr>
          <w:spacing w:val="3"/>
        </w:rPr>
        <w:t xml:space="preserve"> </w:t>
      </w:r>
      <w:r>
        <w:t>oportunidade e</w:t>
      </w:r>
      <w:r>
        <w:rPr>
          <w:spacing w:val="3"/>
        </w:rPr>
        <w:t xml:space="preserve"> </w:t>
      </w:r>
      <w:r>
        <w:t>conveniência</w:t>
      </w:r>
      <w:r>
        <w:rPr>
          <w:spacing w:val="2"/>
        </w:rPr>
        <w:t xml:space="preserve"> </w:t>
      </w:r>
      <w:r>
        <w:t>do</w:t>
      </w:r>
      <w:r>
        <w:rPr>
          <w:spacing w:val="1"/>
        </w:rPr>
        <w:t xml:space="preserve"> </w:t>
      </w:r>
      <w:r>
        <w:t>Poder</w:t>
      </w:r>
      <w:r>
        <w:rPr>
          <w:spacing w:val="1"/>
        </w:rPr>
        <w:t xml:space="preserve"> </w:t>
      </w:r>
      <w:r>
        <w:t>Executivo</w:t>
      </w:r>
      <w:r>
        <w:rPr>
          <w:spacing w:val="2"/>
        </w:rPr>
        <w:t xml:space="preserve"> </w:t>
      </w:r>
      <w:r>
        <w:t>para</w:t>
      </w:r>
      <w:r>
        <w:rPr>
          <w:spacing w:val="1"/>
        </w:rPr>
        <w:t xml:space="preserve"> </w:t>
      </w:r>
      <w:r>
        <w:t>a</w:t>
      </w:r>
      <w:r>
        <w:rPr>
          <w:spacing w:val="2"/>
        </w:rPr>
        <w:t xml:space="preserve"> </w:t>
      </w:r>
      <w:r>
        <w:t>prática</w:t>
      </w:r>
      <w:r>
        <w:rPr>
          <w:spacing w:val="2"/>
        </w:rPr>
        <w:t xml:space="preserve"> </w:t>
      </w:r>
      <w:r>
        <w:rPr>
          <w:spacing w:val="-5"/>
        </w:rPr>
        <w:t>do</w:t>
      </w:r>
    </w:p>
    <w:p w:rsidR="007259F2" w:rsidRDefault="00DE6B1C">
      <w:pPr>
        <w:pStyle w:val="Corpodetexto"/>
        <w:spacing w:before="24"/>
        <w:ind w:left="0" w:firstLine="0"/>
        <w:jc w:val="left"/>
        <w:rPr>
          <w:sz w:val="20"/>
        </w:rPr>
      </w:pPr>
      <w:r w:rsidRPr="00DE6B1C">
        <w:rPr>
          <w:sz w:val="20"/>
        </w:rPr>
        <w:pict>
          <v:rect id="docshape138" o:spid="_x0000_s1089" style="position:absolute;margin-left:85.1pt;margin-top:13.95pt;width:2in;height:.7pt;z-index:-15668224;mso-wrap-distance-left:0;mso-wrap-distance-right:0;mso-position-horizontal-relative:page" fillcolor="black" stroked="f">
            <w10:wrap type="topAndBottom" anchorx="page"/>
          </v:rect>
        </w:pict>
      </w:r>
    </w:p>
    <w:p w:rsidR="007259F2" w:rsidRDefault="00E655B4">
      <w:pPr>
        <w:spacing w:before="96"/>
        <w:ind w:left="710" w:right="422"/>
        <w:jc w:val="both"/>
        <w:rPr>
          <w:sz w:val="20"/>
        </w:rPr>
      </w:pPr>
      <w:r>
        <w:rPr>
          <w:sz w:val="20"/>
          <w:vertAlign w:val="superscript"/>
        </w:rPr>
        <w:t>13</w:t>
      </w:r>
      <w:r>
        <w:rPr>
          <w:sz w:val="20"/>
        </w:rPr>
        <w:t xml:space="preserve"> I - O Estado não pode ser obrigado a fornecer medicamentos experimentais; II - A ausência de registro na ANVISA impede, como regra geral, o fornecimento de medicamento por decisão judicial; III - É possível, excepcionalmente, a concessão judicial de medicamento sem registro sanitário, em caso de mora irrazoável da ANVISA em apreciar o pedido (prazo superior ao previsto na Lei nº 13.411/2016), quando preenchidos três requisitos: (i) a existência de pedido de registro do medicamento no Brasil (salvo no caso de medicamentos órfãos para doenças raras e ultrarraras);(ii) a existência de registro do medicamento em renomadas agências de regulação no exterior; e (iii) a inexistência de substituto terapêutico com registro no Brasil; IV - As ações que demandem fornecimento de medicamentos sem registro na ANVISA deverão necessariamente ser propostas em face da União.</w:t>
      </w:r>
    </w:p>
    <w:p w:rsidR="007259F2" w:rsidRDefault="00E655B4">
      <w:pPr>
        <w:spacing w:before="2"/>
        <w:ind w:left="710" w:right="420"/>
        <w:jc w:val="both"/>
        <w:rPr>
          <w:sz w:val="20"/>
        </w:rPr>
      </w:pPr>
      <w:r>
        <w:rPr>
          <w:sz w:val="20"/>
          <w:vertAlign w:val="superscript"/>
        </w:rPr>
        <w:t>14</w:t>
      </w:r>
      <w:r>
        <w:rPr>
          <w:sz w:val="20"/>
        </w:rPr>
        <w:t xml:space="preserve"> BRASIL. Supremo Tribunal Federal (Pleno). </w:t>
      </w:r>
      <w:r>
        <w:rPr>
          <w:b/>
          <w:sz w:val="20"/>
        </w:rPr>
        <w:t>Recurso Extraordinário RE 684612/RJ</w:t>
      </w:r>
      <w:r>
        <w:rPr>
          <w:sz w:val="20"/>
        </w:rPr>
        <w:t>. Tema 698 - Limites</w:t>
      </w:r>
      <w:r>
        <w:rPr>
          <w:spacing w:val="40"/>
          <w:sz w:val="20"/>
        </w:rPr>
        <w:t xml:space="preserve"> </w:t>
      </w:r>
      <w:r>
        <w:rPr>
          <w:sz w:val="20"/>
        </w:rPr>
        <w:t>do Poder Judiciário para determinar obrigações de fazer ao Estado, consistentes na realização de concursos públicos, contratação de servidores e execução de obras que atendam o direito social da saúde, ao qual a Constituição da República garante especial proteção. Recorrente: Municipio do Rio de Janeiro. Recorrido: Ministério Público do Rio de Janeiro. Relator: Min. Luís Roberto Barroso, j. 03.07.2023. Dje 07.08.2023 Disponível em: https://portal.stf.jus.br/processos/downloadPeca.asp?id=15362009287&amp;ext=.pdf. Acesso em: 01 abril 2024.</w:t>
      </w:r>
    </w:p>
    <w:p w:rsidR="007259F2" w:rsidRDefault="007259F2">
      <w:pPr>
        <w:jc w:val="both"/>
        <w:rPr>
          <w:sz w:val="20"/>
        </w:rPr>
        <w:sectPr w:rsidR="007259F2">
          <w:pgSz w:w="11910" w:h="16840"/>
          <w:pgMar w:top="1560" w:right="708" w:bottom="1020" w:left="992" w:header="0" w:footer="820" w:gutter="0"/>
          <w:cols w:space="720"/>
        </w:sectPr>
      </w:pPr>
    </w:p>
    <w:p w:rsidR="007259F2" w:rsidRDefault="00E655B4">
      <w:pPr>
        <w:pStyle w:val="Corpodetexto"/>
        <w:spacing w:before="75"/>
        <w:ind w:right="423" w:firstLine="0"/>
      </w:pPr>
      <w:r>
        <w:lastRenderedPageBreak/>
        <w:t>ato administrativo, bem como sem indicar as receitas orçamentárias necessárias ao cumprimento da obrigação imposta.</w:t>
      </w:r>
    </w:p>
    <w:p w:rsidR="007259F2" w:rsidRDefault="00E655B4">
      <w:pPr>
        <w:pStyle w:val="Corpodetexto"/>
        <w:ind w:right="423"/>
      </w:pPr>
      <w:r>
        <w:t>A ação de origem trata-se de Ação Civil Pública na qual eram discutidas as más condições</w:t>
      </w:r>
      <w:r>
        <w:rPr>
          <w:spacing w:val="-10"/>
        </w:rPr>
        <w:t xml:space="preserve"> </w:t>
      </w:r>
      <w:r>
        <w:t>de</w:t>
      </w:r>
      <w:r>
        <w:rPr>
          <w:spacing w:val="-13"/>
        </w:rPr>
        <w:t xml:space="preserve"> </w:t>
      </w:r>
      <w:r>
        <w:t>hospital</w:t>
      </w:r>
      <w:r>
        <w:rPr>
          <w:spacing w:val="-10"/>
        </w:rPr>
        <w:t xml:space="preserve"> </w:t>
      </w:r>
      <w:r>
        <w:t>público</w:t>
      </w:r>
      <w:r>
        <w:rPr>
          <w:spacing w:val="-10"/>
        </w:rPr>
        <w:t xml:space="preserve"> </w:t>
      </w:r>
      <w:r>
        <w:t>administrado</w:t>
      </w:r>
      <w:r>
        <w:rPr>
          <w:spacing w:val="-10"/>
        </w:rPr>
        <w:t xml:space="preserve"> </w:t>
      </w:r>
      <w:r>
        <w:t>pelo</w:t>
      </w:r>
      <w:r>
        <w:rPr>
          <w:spacing w:val="-10"/>
        </w:rPr>
        <w:t xml:space="preserve"> </w:t>
      </w:r>
      <w:r>
        <w:t>Município</w:t>
      </w:r>
      <w:r>
        <w:rPr>
          <w:spacing w:val="-10"/>
        </w:rPr>
        <w:t xml:space="preserve"> </w:t>
      </w:r>
      <w:r>
        <w:t>do</w:t>
      </w:r>
      <w:r>
        <w:rPr>
          <w:spacing w:val="-11"/>
        </w:rPr>
        <w:t xml:space="preserve"> </w:t>
      </w:r>
      <w:r>
        <w:t>Rio</w:t>
      </w:r>
      <w:r>
        <w:rPr>
          <w:spacing w:val="-10"/>
        </w:rPr>
        <w:t xml:space="preserve"> </w:t>
      </w:r>
      <w:r>
        <w:t>de</w:t>
      </w:r>
      <w:r>
        <w:rPr>
          <w:spacing w:val="-13"/>
        </w:rPr>
        <w:t xml:space="preserve"> </w:t>
      </w:r>
      <w:r>
        <w:t>Janeiro,</w:t>
      </w:r>
      <w:r>
        <w:rPr>
          <w:spacing w:val="-10"/>
        </w:rPr>
        <w:t xml:space="preserve"> </w:t>
      </w:r>
      <w:r>
        <w:t>por</w:t>
      </w:r>
      <w:r>
        <w:rPr>
          <w:spacing w:val="-11"/>
        </w:rPr>
        <w:t xml:space="preserve"> </w:t>
      </w:r>
      <w:r>
        <w:t>meio</w:t>
      </w:r>
      <w:r>
        <w:rPr>
          <w:spacing w:val="-11"/>
        </w:rPr>
        <w:t xml:space="preserve"> </w:t>
      </w:r>
      <w:r>
        <w:t>da</w:t>
      </w:r>
      <w:r>
        <w:rPr>
          <w:spacing w:val="-13"/>
        </w:rPr>
        <w:t xml:space="preserve"> </w:t>
      </w:r>
      <w:r>
        <w:t>qual o Ministério Público pleiteou: (i) a abertura de concurso público para o provimento de cargos vagos na área da saúde, a fim de que fosse suprido déficit de pessoal apontado; (ii) que os servidores aprovados nesse concurso sejam lotados, especificamente, no Hospital Municipal Salgado Filho; e (iii) que fossem sanadas, pela Administração Municipal, todas as irregularidades apontadas com relação ao referido hospital pelo relatório elaborado pelo Conselho Regional de Medicina – CREMERJ.</w:t>
      </w:r>
    </w:p>
    <w:p w:rsidR="007259F2" w:rsidRDefault="00E655B4">
      <w:pPr>
        <w:pStyle w:val="Corpodetexto"/>
        <w:ind w:right="423"/>
      </w:pPr>
      <w:r>
        <w:t>Conforme apontado no voto do Relator, Ministro Lewandowski, trata-se de caso de patente gravidade, o que foi demonstrado por meio de inspeções realizadas no hospital:</w:t>
      </w:r>
    </w:p>
    <w:p w:rsidR="007259F2" w:rsidRDefault="007259F2">
      <w:pPr>
        <w:pStyle w:val="Corpodetexto"/>
        <w:spacing w:before="2"/>
        <w:ind w:left="0" w:firstLine="0"/>
        <w:jc w:val="left"/>
      </w:pPr>
    </w:p>
    <w:p w:rsidR="007259F2" w:rsidRDefault="00E655B4">
      <w:pPr>
        <w:ind w:left="2978" w:right="420"/>
        <w:jc w:val="both"/>
        <w:rPr>
          <w:sz w:val="20"/>
        </w:rPr>
      </w:pPr>
      <w:r>
        <w:rPr>
          <w:sz w:val="20"/>
        </w:rPr>
        <w:t>No caso em exame, diante do conteúdo dos relatórios das inspeções realizadas pelo Sindicato dos médicos do Rio de Janeiro - SINMED (fls. 162/189 do inquérito civil 635/02) e pelo CREMERJ (fls. 193/352), verifica-se que o Hospital Salgado Filho encontra-se</w:t>
      </w:r>
      <w:r>
        <w:rPr>
          <w:spacing w:val="-6"/>
          <w:sz w:val="20"/>
        </w:rPr>
        <w:t xml:space="preserve"> </w:t>
      </w:r>
      <w:r>
        <w:rPr>
          <w:sz w:val="20"/>
        </w:rPr>
        <w:t>sem</w:t>
      </w:r>
      <w:r>
        <w:rPr>
          <w:spacing w:val="-5"/>
          <w:sz w:val="20"/>
        </w:rPr>
        <w:t xml:space="preserve"> </w:t>
      </w:r>
      <w:r>
        <w:rPr>
          <w:sz w:val="20"/>
        </w:rPr>
        <w:t>condições</w:t>
      </w:r>
      <w:r>
        <w:rPr>
          <w:spacing w:val="-9"/>
          <w:sz w:val="20"/>
        </w:rPr>
        <w:t xml:space="preserve"> </w:t>
      </w:r>
      <w:r>
        <w:rPr>
          <w:sz w:val="20"/>
        </w:rPr>
        <w:t>de</w:t>
      </w:r>
      <w:r>
        <w:rPr>
          <w:spacing w:val="-3"/>
          <w:sz w:val="20"/>
        </w:rPr>
        <w:t xml:space="preserve"> </w:t>
      </w:r>
      <w:r>
        <w:rPr>
          <w:sz w:val="20"/>
        </w:rPr>
        <w:t>prestar</w:t>
      </w:r>
      <w:r>
        <w:rPr>
          <w:spacing w:val="-3"/>
          <w:sz w:val="20"/>
        </w:rPr>
        <w:t xml:space="preserve"> </w:t>
      </w:r>
      <w:r>
        <w:rPr>
          <w:sz w:val="20"/>
        </w:rPr>
        <w:t>serviço</w:t>
      </w:r>
      <w:r>
        <w:rPr>
          <w:spacing w:val="-3"/>
          <w:sz w:val="20"/>
        </w:rPr>
        <w:t xml:space="preserve"> </w:t>
      </w:r>
      <w:r>
        <w:rPr>
          <w:sz w:val="20"/>
        </w:rPr>
        <w:t>médico</w:t>
      </w:r>
      <w:r>
        <w:rPr>
          <w:spacing w:val="-2"/>
          <w:sz w:val="20"/>
        </w:rPr>
        <w:t xml:space="preserve"> </w:t>
      </w:r>
      <w:r>
        <w:rPr>
          <w:sz w:val="20"/>
        </w:rPr>
        <w:t>adequado.</w:t>
      </w:r>
      <w:r>
        <w:rPr>
          <w:spacing w:val="-2"/>
          <w:sz w:val="20"/>
        </w:rPr>
        <w:t xml:space="preserve"> </w:t>
      </w:r>
      <w:r>
        <w:rPr>
          <w:sz w:val="20"/>
        </w:rPr>
        <w:t>Dentre</w:t>
      </w:r>
      <w:r>
        <w:rPr>
          <w:spacing w:val="-6"/>
          <w:sz w:val="20"/>
        </w:rPr>
        <w:t xml:space="preserve"> </w:t>
      </w:r>
      <w:r>
        <w:rPr>
          <w:sz w:val="20"/>
        </w:rPr>
        <w:t>os</w:t>
      </w:r>
      <w:r>
        <w:rPr>
          <w:spacing w:val="-7"/>
          <w:sz w:val="20"/>
        </w:rPr>
        <w:t xml:space="preserve"> </w:t>
      </w:r>
      <w:r>
        <w:rPr>
          <w:sz w:val="20"/>
        </w:rPr>
        <w:t>problemas encontrados no nosocômio, pode-se mencionar a falta de manutenção dos aparelhos de</w:t>
      </w:r>
      <w:r>
        <w:rPr>
          <w:spacing w:val="-13"/>
          <w:sz w:val="20"/>
        </w:rPr>
        <w:t xml:space="preserve"> </w:t>
      </w:r>
      <w:r>
        <w:rPr>
          <w:sz w:val="20"/>
        </w:rPr>
        <w:t>raio</w:t>
      </w:r>
      <w:r>
        <w:rPr>
          <w:spacing w:val="-11"/>
          <w:sz w:val="20"/>
        </w:rPr>
        <w:t xml:space="preserve"> </w:t>
      </w:r>
      <w:r>
        <w:rPr>
          <w:sz w:val="20"/>
        </w:rPr>
        <w:t>X;</w:t>
      </w:r>
      <w:r>
        <w:rPr>
          <w:spacing w:val="-13"/>
          <w:sz w:val="20"/>
        </w:rPr>
        <w:t xml:space="preserve"> </w:t>
      </w:r>
      <w:r>
        <w:rPr>
          <w:sz w:val="20"/>
        </w:rPr>
        <w:t>falta</w:t>
      </w:r>
      <w:r>
        <w:rPr>
          <w:spacing w:val="-11"/>
          <w:sz w:val="20"/>
        </w:rPr>
        <w:t xml:space="preserve"> </w:t>
      </w:r>
      <w:r>
        <w:rPr>
          <w:sz w:val="20"/>
        </w:rPr>
        <w:t>do</w:t>
      </w:r>
      <w:r>
        <w:rPr>
          <w:spacing w:val="-11"/>
          <w:sz w:val="20"/>
        </w:rPr>
        <w:t xml:space="preserve"> </w:t>
      </w:r>
      <w:r>
        <w:rPr>
          <w:sz w:val="20"/>
        </w:rPr>
        <w:t>aparelho</w:t>
      </w:r>
      <w:r>
        <w:rPr>
          <w:spacing w:val="-11"/>
          <w:sz w:val="20"/>
        </w:rPr>
        <w:t xml:space="preserve"> </w:t>
      </w:r>
      <w:r>
        <w:rPr>
          <w:sz w:val="20"/>
        </w:rPr>
        <w:t>chamado</w:t>
      </w:r>
      <w:r>
        <w:rPr>
          <w:spacing w:val="-10"/>
          <w:sz w:val="20"/>
        </w:rPr>
        <w:t xml:space="preserve"> </w:t>
      </w:r>
      <w:r>
        <w:rPr>
          <w:sz w:val="20"/>
        </w:rPr>
        <w:t>‘arco</w:t>
      </w:r>
      <w:r>
        <w:rPr>
          <w:spacing w:val="-11"/>
          <w:sz w:val="20"/>
        </w:rPr>
        <w:t xml:space="preserve"> </w:t>
      </w:r>
      <w:r>
        <w:rPr>
          <w:sz w:val="20"/>
        </w:rPr>
        <w:t>em</w:t>
      </w:r>
      <w:r>
        <w:rPr>
          <w:spacing w:val="-13"/>
          <w:sz w:val="20"/>
        </w:rPr>
        <w:t xml:space="preserve"> </w:t>
      </w:r>
      <w:r>
        <w:rPr>
          <w:sz w:val="20"/>
        </w:rPr>
        <w:t>C’;</w:t>
      </w:r>
      <w:r>
        <w:rPr>
          <w:spacing w:val="-12"/>
          <w:sz w:val="20"/>
        </w:rPr>
        <w:t xml:space="preserve"> </w:t>
      </w:r>
      <w:r>
        <w:rPr>
          <w:sz w:val="20"/>
        </w:rPr>
        <w:t>falta</w:t>
      </w:r>
      <w:r>
        <w:rPr>
          <w:spacing w:val="-12"/>
          <w:sz w:val="20"/>
        </w:rPr>
        <w:t xml:space="preserve"> </w:t>
      </w:r>
      <w:r>
        <w:rPr>
          <w:sz w:val="20"/>
        </w:rPr>
        <w:t>de</w:t>
      </w:r>
      <w:r>
        <w:rPr>
          <w:spacing w:val="-12"/>
          <w:sz w:val="20"/>
        </w:rPr>
        <w:t xml:space="preserve"> </w:t>
      </w:r>
      <w:r>
        <w:rPr>
          <w:sz w:val="20"/>
        </w:rPr>
        <w:t>três</w:t>
      </w:r>
      <w:r>
        <w:rPr>
          <w:spacing w:val="-12"/>
          <w:sz w:val="20"/>
        </w:rPr>
        <w:t xml:space="preserve"> </w:t>
      </w:r>
      <w:r>
        <w:rPr>
          <w:sz w:val="20"/>
        </w:rPr>
        <w:t>neurocirurgiões;</w:t>
      </w:r>
      <w:r>
        <w:rPr>
          <w:spacing w:val="-12"/>
          <w:sz w:val="20"/>
        </w:rPr>
        <w:t xml:space="preserve"> </w:t>
      </w:r>
      <w:r>
        <w:rPr>
          <w:sz w:val="20"/>
        </w:rPr>
        <w:t>déficit de sete cirurgiões, além de um cirurgião infantil especializado, nos plantões; necessidade de implantação de UTI infantil e neo-natal, com pessoal especializado, ausência de urologista, o que deixa desativado o serviço de urologia, falta de tela de cirurgia</w:t>
      </w:r>
      <w:r>
        <w:rPr>
          <w:spacing w:val="-1"/>
          <w:sz w:val="20"/>
        </w:rPr>
        <w:t xml:space="preserve"> </w:t>
      </w:r>
      <w:r>
        <w:rPr>
          <w:sz w:val="20"/>
        </w:rPr>
        <w:t>para</w:t>
      </w:r>
      <w:r>
        <w:rPr>
          <w:spacing w:val="-1"/>
          <w:sz w:val="20"/>
        </w:rPr>
        <w:t xml:space="preserve"> </w:t>
      </w:r>
      <w:r>
        <w:rPr>
          <w:sz w:val="20"/>
        </w:rPr>
        <w:t>hérnia, na</w:t>
      </w:r>
      <w:r>
        <w:rPr>
          <w:spacing w:val="-2"/>
          <w:sz w:val="20"/>
        </w:rPr>
        <w:t xml:space="preserve"> </w:t>
      </w:r>
      <w:r>
        <w:rPr>
          <w:sz w:val="20"/>
        </w:rPr>
        <w:t>emergência</w:t>
      </w:r>
      <w:r>
        <w:rPr>
          <w:spacing w:val="-1"/>
          <w:sz w:val="20"/>
        </w:rPr>
        <w:t xml:space="preserve"> </w:t>
      </w:r>
      <w:r>
        <w:rPr>
          <w:sz w:val="20"/>
        </w:rPr>
        <w:t>é preciso</w:t>
      </w:r>
      <w:r>
        <w:rPr>
          <w:spacing w:val="-1"/>
          <w:sz w:val="20"/>
        </w:rPr>
        <w:t xml:space="preserve"> </w:t>
      </w:r>
      <w:r>
        <w:rPr>
          <w:sz w:val="20"/>
        </w:rPr>
        <w:t>a contratação de</w:t>
      </w:r>
      <w:r>
        <w:rPr>
          <w:spacing w:val="-1"/>
          <w:sz w:val="20"/>
        </w:rPr>
        <w:t xml:space="preserve"> </w:t>
      </w:r>
      <w:r>
        <w:rPr>
          <w:sz w:val="20"/>
        </w:rPr>
        <w:t>um</w:t>
      </w:r>
      <w:r>
        <w:rPr>
          <w:spacing w:val="-5"/>
          <w:sz w:val="20"/>
        </w:rPr>
        <w:t xml:space="preserve"> </w:t>
      </w:r>
      <w:r>
        <w:rPr>
          <w:sz w:val="20"/>
        </w:rPr>
        <w:t>cirurgião</w:t>
      </w:r>
      <w:r>
        <w:rPr>
          <w:spacing w:val="-2"/>
          <w:sz w:val="20"/>
        </w:rPr>
        <w:t xml:space="preserve"> </w:t>
      </w:r>
      <w:r>
        <w:rPr>
          <w:sz w:val="20"/>
        </w:rPr>
        <w:t>toráxico, bem como de cinco plantonistas em cirurgia vascular e alta taxa de mortalidade A gravidade e precariedade da situação das unidades hospitalares têm como principal causa a falta de investimento do Município no setor.</w:t>
      </w:r>
    </w:p>
    <w:p w:rsidR="007259F2" w:rsidRDefault="007259F2">
      <w:pPr>
        <w:pStyle w:val="Corpodetexto"/>
        <w:ind w:left="0" w:firstLine="0"/>
        <w:jc w:val="left"/>
        <w:rPr>
          <w:sz w:val="20"/>
        </w:rPr>
      </w:pPr>
    </w:p>
    <w:p w:rsidR="007259F2" w:rsidRDefault="007259F2">
      <w:pPr>
        <w:pStyle w:val="Corpodetexto"/>
        <w:spacing w:before="20"/>
        <w:ind w:left="0" w:firstLine="0"/>
        <w:jc w:val="left"/>
        <w:rPr>
          <w:sz w:val="20"/>
        </w:rPr>
      </w:pPr>
    </w:p>
    <w:p w:rsidR="007259F2" w:rsidRDefault="00E655B4">
      <w:pPr>
        <w:pStyle w:val="Corpodetexto"/>
        <w:ind w:right="422"/>
      </w:pPr>
      <w:r>
        <w:t>Embora o Município do Rio de Janeiro tenha restado vencido perante o Tribunal de Justiça, na Suprema Corte prevaleceu o voto do Ministro Luís Roberto Barroso, no sentido de dar</w:t>
      </w:r>
      <w:r>
        <w:rPr>
          <w:spacing w:val="-10"/>
        </w:rPr>
        <w:t xml:space="preserve"> </w:t>
      </w:r>
      <w:r>
        <w:t>parcial</w:t>
      </w:r>
      <w:r>
        <w:rPr>
          <w:spacing w:val="-6"/>
        </w:rPr>
        <w:t xml:space="preserve"> </w:t>
      </w:r>
      <w:r>
        <w:t>provimento</w:t>
      </w:r>
      <w:r>
        <w:rPr>
          <w:spacing w:val="-5"/>
        </w:rPr>
        <w:t xml:space="preserve"> </w:t>
      </w:r>
      <w:r>
        <w:t>ao</w:t>
      </w:r>
      <w:r>
        <w:rPr>
          <w:spacing w:val="-9"/>
        </w:rPr>
        <w:t xml:space="preserve"> </w:t>
      </w:r>
      <w:r>
        <w:t>Recurso</w:t>
      </w:r>
      <w:r>
        <w:rPr>
          <w:spacing w:val="-6"/>
        </w:rPr>
        <w:t xml:space="preserve"> </w:t>
      </w:r>
      <w:r>
        <w:t>Extraordinário</w:t>
      </w:r>
      <w:r>
        <w:rPr>
          <w:spacing w:val="-3"/>
        </w:rPr>
        <w:t xml:space="preserve"> </w:t>
      </w:r>
      <w:r>
        <w:t>da</w:t>
      </w:r>
      <w:r>
        <w:rPr>
          <w:spacing w:val="-10"/>
        </w:rPr>
        <w:t xml:space="preserve"> </w:t>
      </w:r>
      <w:r>
        <w:t>Municipalidade.</w:t>
      </w:r>
      <w:r>
        <w:rPr>
          <w:spacing w:val="-6"/>
        </w:rPr>
        <w:t xml:space="preserve"> </w:t>
      </w:r>
      <w:r>
        <w:t>O</w:t>
      </w:r>
      <w:r>
        <w:rPr>
          <w:spacing w:val="-10"/>
        </w:rPr>
        <w:t xml:space="preserve"> </w:t>
      </w:r>
      <w:r>
        <w:t>Ministro</w:t>
      </w:r>
      <w:r>
        <w:rPr>
          <w:spacing w:val="-8"/>
        </w:rPr>
        <w:t xml:space="preserve"> </w:t>
      </w:r>
      <w:r>
        <w:t>apontou</w:t>
      </w:r>
      <w:r>
        <w:rPr>
          <w:spacing w:val="-9"/>
        </w:rPr>
        <w:t xml:space="preserve"> </w:t>
      </w:r>
      <w:r>
        <w:t>que, a despeito do acórdão recorrido ter reconhecido a omissão específica do Município do Rio de Janeiro no cumprimento de seu dever constitucional de garantir o direito à saúde, as providências determinadas pelo Tribunal, não se limitam a indicar a finalidade a ser atingida. Em lugar</w:t>
      </w:r>
      <w:r>
        <w:rPr>
          <w:spacing w:val="-2"/>
        </w:rPr>
        <w:t xml:space="preserve"> </w:t>
      </w:r>
      <w:r>
        <w:t>disso, interferem fortemente no mérito administrativo ao determinar, por</w:t>
      </w:r>
      <w:r>
        <w:rPr>
          <w:spacing w:val="-1"/>
        </w:rPr>
        <w:t xml:space="preserve"> </w:t>
      </w:r>
      <w:r>
        <w:t>exemplo, a contratação de pessoal via concurso público e a sua lotação em determinado hospital da rede municipal de saúde. A tese de repercussão geral fixada foi a seguinte:</w:t>
      </w:r>
    </w:p>
    <w:p w:rsidR="007259F2" w:rsidRDefault="007259F2">
      <w:pPr>
        <w:pStyle w:val="Corpodetexto"/>
        <w:spacing w:before="2"/>
        <w:ind w:left="0" w:firstLine="0"/>
        <w:jc w:val="left"/>
      </w:pPr>
    </w:p>
    <w:p w:rsidR="007259F2" w:rsidRDefault="00E655B4">
      <w:pPr>
        <w:ind w:left="2978" w:right="421"/>
        <w:jc w:val="both"/>
        <w:rPr>
          <w:sz w:val="20"/>
        </w:rPr>
      </w:pPr>
      <w:r>
        <w:rPr>
          <w:sz w:val="20"/>
        </w:rPr>
        <w:t>1. A intervenção do Poder Judiciário em políticas públicas voltadas à realização de direitos</w:t>
      </w:r>
      <w:r>
        <w:rPr>
          <w:spacing w:val="-8"/>
          <w:sz w:val="20"/>
        </w:rPr>
        <w:t xml:space="preserve"> </w:t>
      </w:r>
      <w:r>
        <w:rPr>
          <w:sz w:val="20"/>
        </w:rPr>
        <w:t>fundamentais,</w:t>
      </w:r>
      <w:r>
        <w:rPr>
          <w:spacing w:val="-5"/>
          <w:sz w:val="20"/>
        </w:rPr>
        <w:t xml:space="preserve"> </w:t>
      </w:r>
      <w:r>
        <w:rPr>
          <w:sz w:val="20"/>
        </w:rPr>
        <w:t>em</w:t>
      </w:r>
      <w:r>
        <w:rPr>
          <w:spacing w:val="-9"/>
          <w:sz w:val="20"/>
        </w:rPr>
        <w:t xml:space="preserve"> </w:t>
      </w:r>
      <w:r>
        <w:rPr>
          <w:sz w:val="20"/>
        </w:rPr>
        <w:t>caso</w:t>
      </w:r>
      <w:r>
        <w:rPr>
          <w:spacing w:val="-5"/>
          <w:sz w:val="20"/>
        </w:rPr>
        <w:t xml:space="preserve"> </w:t>
      </w:r>
      <w:r>
        <w:rPr>
          <w:sz w:val="20"/>
        </w:rPr>
        <w:t>de</w:t>
      </w:r>
      <w:r>
        <w:rPr>
          <w:spacing w:val="-8"/>
          <w:sz w:val="20"/>
        </w:rPr>
        <w:t xml:space="preserve"> </w:t>
      </w:r>
      <w:r>
        <w:rPr>
          <w:sz w:val="20"/>
        </w:rPr>
        <w:t>ausência</w:t>
      </w:r>
      <w:r>
        <w:rPr>
          <w:spacing w:val="-7"/>
          <w:sz w:val="20"/>
        </w:rPr>
        <w:t xml:space="preserve"> </w:t>
      </w:r>
      <w:r>
        <w:rPr>
          <w:sz w:val="20"/>
        </w:rPr>
        <w:t>ou</w:t>
      </w:r>
      <w:r>
        <w:rPr>
          <w:spacing w:val="-9"/>
          <w:sz w:val="20"/>
        </w:rPr>
        <w:t xml:space="preserve"> </w:t>
      </w:r>
      <w:r>
        <w:rPr>
          <w:sz w:val="20"/>
        </w:rPr>
        <w:t>deficiência</w:t>
      </w:r>
      <w:r>
        <w:rPr>
          <w:spacing w:val="-5"/>
          <w:sz w:val="20"/>
        </w:rPr>
        <w:t xml:space="preserve"> </w:t>
      </w:r>
      <w:r>
        <w:rPr>
          <w:sz w:val="20"/>
        </w:rPr>
        <w:t>grave</w:t>
      </w:r>
      <w:r>
        <w:rPr>
          <w:spacing w:val="-5"/>
          <w:sz w:val="20"/>
        </w:rPr>
        <w:t xml:space="preserve"> </w:t>
      </w:r>
      <w:r>
        <w:rPr>
          <w:sz w:val="20"/>
        </w:rPr>
        <w:t>do</w:t>
      </w:r>
      <w:r>
        <w:rPr>
          <w:spacing w:val="-5"/>
          <w:sz w:val="20"/>
        </w:rPr>
        <w:t xml:space="preserve"> </w:t>
      </w:r>
      <w:r>
        <w:rPr>
          <w:sz w:val="20"/>
        </w:rPr>
        <w:t>serviço,</w:t>
      </w:r>
      <w:r>
        <w:rPr>
          <w:spacing w:val="-5"/>
          <w:sz w:val="20"/>
        </w:rPr>
        <w:t xml:space="preserve"> </w:t>
      </w:r>
      <w:r>
        <w:rPr>
          <w:sz w:val="20"/>
        </w:rPr>
        <w:t>não</w:t>
      </w:r>
      <w:r>
        <w:rPr>
          <w:spacing w:val="-6"/>
          <w:sz w:val="20"/>
        </w:rPr>
        <w:t xml:space="preserve"> </w:t>
      </w:r>
      <w:r>
        <w:rPr>
          <w:sz w:val="20"/>
        </w:rPr>
        <w:t>viola o princípio da separação dos poderes. 2</w:t>
      </w:r>
      <w:r>
        <w:rPr>
          <w:b/>
          <w:sz w:val="20"/>
        </w:rPr>
        <w:t>. A decisão judicial, como regra, em lugar de</w:t>
      </w:r>
      <w:r>
        <w:rPr>
          <w:b/>
          <w:spacing w:val="-13"/>
          <w:sz w:val="20"/>
        </w:rPr>
        <w:t xml:space="preserve"> </w:t>
      </w:r>
      <w:r>
        <w:rPr>
          <w:b/>
          <w:sz w:val="20"/>
        </w:rPr>
        <w:t>determinar</w:t>
      </w:r>
      <w:r>
        <w:rPr>
          <w:b/>
          <w:spacing w:val="-10"/>
          <w:sz w:val="20"/>
        </w:rPr>
        <w:t xml:space="preserve"> </w:t>
      </w:r>
      <w:r>
        <w:rPr>
          <w:b/>
          <w:sz w:val="20"/>
        </w:rPr>
        <w:t>medidas</w:t>
      </w:r>
      <w:r>
        <w:rPr>
          <w:b/>
          <w:spacing w:val="-13"/>
          <w:sz w:val="20"/>
        </w:rPr>
        <w:t xml:space="preserve"> </w:t>
      </w:r>
      <w:r>
        <w:rPr>
          <w:b/>
          <w:sz w:val="20"/>
        </w:rPr>
        <w:t>pontuais,</w:t>
      </w:r>
      <w:r>
        <w:rPr>
          <w:b/>
          <w:spacing w:val="-9"/>
          <w:sz w:val="20"/>
        </w:rPr>
        <w:t xml:space="preserve"> </w:t>
      </w:r>
      <w:r>
        <w:rPr>
          <w:b/>
          <w:sz w:val="20"/>
        </w:rPr>
        <w:t>deve</w:t>
      </w:r>
      <w:r>
        <w:rPr>
          <w:b/>
          <w:spacing w:val="-11"/>
          <w:sz w:val="20"/>
        </w:rPr>
        <w:t xml:space="preserve"> </w:t>
      </w:r>
      <w:r>
        <w:rPr>
          <w:b/>
          <w:sz w:val="20"/>
        </w:rPr>
        <w:t>apontar</w:t>
      </w:r>
      <w:r>
        <w:rPr>
          <w:b/>
          <w:spacing w:val="-12"/>
          <w:sz w:val="20"/>
        </w:rPr>
        <w:t xml:space="preserve"> </w:t>
      </w:r>
      <w:r>
        <w:rPr>
          <w:b/>
          <w:sz w:val="20"/>
        </w:rPr>
        <w:t>as</w:t>
      </w:r>
      <w:r>
        <w:rPr>
          <w:b/>
          <w:spacing w:val="-13"/>
          <w:sz w:val="20"/>
        </w:rPr>
        <w:t xml:space="preserve"> </w:t>
      </w:r>
      <w:r>
        <w:rPr>
          <w:b/>
          <w:sz w:val="20"/>
        </w:rPr>
        <w:t>finalidades</w:t>
      </w:r>
      <w:r>
        <w:rPr>
          <w:b/>
          <w:spacing w:val="-12"/>
          <w:sz w:val="20"/>
        </w:rPr>
        <w:t xml:space="preserve"> </w:t>
      </w:r>
      <w:r>
        <w:rPr>
          <w:b/>
          <w:sz w:val="20"/>
        </w:rPr>
        <w:t>a</w:t>
      </w:r>
      <w:r>
        <w:rPr>
          <w:b/>
          <w:spacing w:val="-10"/>
          <w:sz w:val="20"/>
        </w:rPr>
        <w:t xml:space="preserve"> </w:t>
      </w:r>
      <w:r>
        <w:rPr>
          <w:b/>
          <w:sz w:val="20"/>
        </w:rPr>
        <w:t>serem</w:t>
      </w:r>
      <w:r>
        <w:rPr>
          <w:b/>
          <w:spacing w:val="-13"/>
          <w:sz w:val="20"/>
        </w:rPr>
        <w:t xml:space="preserve"> </w:t>
      </w:r>
      <w:r>
        <w:rPr>
          <w:b/>
          <w:sz w:val="20"/>
        </w:rPr>
        <w:t>alcançadas e determinar à Administração Pública que apresente um plano e/ou os meios adequados</w:t>
      </w:r>
      <w:r>
        <w:rPr>
          <w:b/>
          <w:spacing w:val="-3"/>
          <w:sz w:val="20"/>
        </w:rPr>
        <w:t xml:space="preserve"> </w:t>
      </w:r>
      <w:r>
        <w:rPr>
          <w:b/>
          <w:sz w:val="20"/>
        </w:rPr>
        <w:t>para</w:t>
      </w:r>
      <w:r>
        <w:rPr>
          <w:b/>
          <w:spacing w:val="-1"/>
          <w:sz w:val="20"/>
        </w:rPr>
        <w:t xml:space="preserve"> </w:t>
      </w:r>
      <w:r>
        <w:rPr>
          <w:b/>
          <w:sz w:val="20"/>
        </w:rPr>
        <w:t>alcançar</w:t>
      </w:r>
      <w:r>
        <w:rPr>
          <w:b/>
          <w:spacing w:val="-2"/>
          <w:sz w:val="20"/>
        </w:rPr>
        <w:t xml:space="preserve"> </w:t>
      </w:r>
      <w:r>
        <w:rPr>
          <w:b/>
          <w:sz w:val="20"/>
        </w:rPr>
        <w:t>o</w:t>
      </w:r>
      <w:r>
        <w:rPr>
          <w:b/>
          <w:spacing w:val="-2"/>
          <w:sz w:val="20"/>
        </w:rPr>
        <w:t xml:space="preserve"> </w:t>
      </w:r>
      <w:r>
        <w:rPr>
          <w:b/>
          <w:sz w:val="20"/>
        </w:rPr>
        <w:t xml:space="preserve">resultado; </w:t>
      </w:r>
      <w:r>
        <w:rPr>
          <w:sz w:val="20"/>
        </w:rPr>
        <w:t>3.</w:t>
      </w:r>
      <w:r>
        <w:rPr>
          <w:spacing w:val="-2"/>
          <w:sz w:val="20"/>
        </w:rPr>
        <w:t xml:space="preserve"> </w:t>
      </w:r>
      <w:r>
        <w:rPr>
          <w:sz w:val="20"/>
        </w:rPr>
        <w:t>No</w:t>
      </w:r>
      <w:r>
        <w:rPr>
          <w:spacing w:val="-2"/>
          <w:sz w:val="20"/>
        </w:rPr>
        <w:t xml:space="preserve"> </w:t>
      </w:r>
      <w:r>
        <w:rPr>
          <w:sz w:val="20"/>
        </w:rPr>
        <w:t>caso</w:t>
      </w:r>
      <w:r>
        <w:rPr>
          <w:spacing w:val="-2"/>
          <w:sz w:val="20"/>
        </w:rPr>
        <w:t xml:space="preserve"> </w:t>
      </w:r>
      <w:r>
        <w:rPr>
          <w:sz w:val="20"/>
        </w:rPr>
        <w:t>de</w:t>
      </w:r>
      <w:r>
        <w:rPr>
          <w:spacing w:val="-3"/>
          <w:sz w:val="20"/>
        </w:rPr>
        <w:t xml:space="preserve"> </w:t>
      </w:r>
      <w:r>
        <w:rPr>
          <w:sz w:val="20"/>
        </w:rPr>
        <w:t>serviços</w:t>
      </w:r>
      <w:r>
        <w:rPr>
          <w:spacing w:val="-5"/>
          <w:sz w:val="20"/>
        </w:rPr>
        <w:t xml:space="preserve"> </w:t>
      </w:r>
      <w:r>
        <w:rPr>
          <w:sz w:val="20"/>
        </w:rPr>
        <w:t>de</w:t>
      </w:r>
      <w:r>
        <w:rPr>
          <w:spacing w:val="-3"/>
          <w:sz w:val="20"/>
        </w:rPr>
        <w:t xml:space="preserve"> </w:t>
      </w:r>
      <w:r>
        <w:rPr>
          <w:sz w:val="20"/>
        </w:rPr>
        <w:t>saúde,</w:t>
      </w:r>
      <w:r>
        <w:rPr>
          <w:spacing w:val="-2"/>
          <w:sz w:val="20"/>
        </w:rPr>
        <w:t xml:space="preserve"> </w:t>
      </w:r>
      <w:r>
        <w:rPr>
          <w:sz w:val="20"/>
        </w:rPr>
        <w:t>o</w:t>
      </w:r>
      <w:r>
        <w:rPr>
          <w:spacing w:val="-2"/>
          <w:sz w:val="20"/>
        </w:rPr>
        <w:t xml:space="preserve"> </w:t>
      </w:r>
      <w:r>
        <w:rPr>
          <w:sz w:val="20"/>
        </w:rPr>
        <w:t>déficit</w:t>
      </w:r>
      <w:r>
        <w:rPr>
          <w:spacing w:val="-3"/>
          <w:sz w:val="20"/>
        </w:rPr>
        <w:t xml:space="preserve"> </w:t>
      </w:r>
      <w:r>
        <w:rPr>
          <w:sz w:val="20"/>
        </w:rPr>
        <w:t>de profissionais pode ser suprido por concurso público ou, por exemplo, pelo remanejamento</w:t>
      </w:r>
      <w:r>
        <w:rPr>
          <w:spacing w:val="-5"/>
          <w:sz w:val="20"/>
        </w:rPr>
        <w:t xml:space="preserve"> </w:t>
      </w:r>
      <w:r>
        <w:rPr>
          <w:sz w:val="20"/>
        </w:rPr>
        <w:t>de</w:t>
      </w:r>
      <w:r>
        <w:rPr>
          <w:spacing w:val="-6"/>
          <w:sz w:val="20"/>
        </w:rPr>
        <w:t xml:space="preserve"> </w:t>
      </w:r>
      <w:r>
        <w:rPr>
          <w:sz w:val="20"/>
        </w:rPr>
        <w:t>recursos</w:t>
      </w:r>
      <w:r>
        <w:rPr>
          <w:spacing w:val="-5"/>
          <w:sz w:val="20"/>
        </w:rPr>
        <w:t xml:space="preserve"> </w:t>
      </w:r>
      <w:r>
        <w:rPr>
          <w:sz w:val="20"/>
        </w:rPr>
        <w:t>humanos</w:t>
      </w:r>
      <w:r>
        <w:rPr>
          <w:spacing w:val="-6"/>
          <w:sz w:val="20"/>
        </w:rPr>
        <w:t xml:space="preserve"> </w:t>
      </w:r>
      <w:r>
        <w:rPr>
          <w:sz w:val="20"/>
        </w:rPr>
        <w:t>e</w:t>
      </w:r>
      <w:r>
        <w:rPr>
          <w:spacing w:val="-6"/>
          <w:sz w:val="20"/>
        </w:rPr>
        <w:t xml:space="preserve"> </w:t>
      </w:r>
      <w:r>
        <w:rPr>
          <w:sz w:val="20"/>
        </w:rPr>
        <w:t>pela</w:t>
      </w:r>
      <w:r>
        <w:rPr>
          <w:spacing w:val="-6"/>
          <w:sz w:val="20"/>
        </w:rPr>
        <w:t xml:space="preserve"> </w:t>
      </w:r>
      <w:r>
        <w:rPr>
          <w:sz w:val="20"/>
        </w:rPr>
        <w:t>contratação</w:t>
      </w:r>
      <w:r>
        <w:rPr>
          <w:spacing w:val="-2"/>
          <w:sz w:val="20"/>
        </w:rPr>
        <w:t xml:space="preserve"> </w:t>
      </w:r>
      <w:r>
        <w:rPr>
          <w:sz w:val="20"/>
        </w:rPr>
        <w:t>de</w:t>
      </w:r>
      <w:r>
        <w:rPr>
          <w:spacing w:val="-6"/>
          <w:sz w:val="20"/>
        </w:rPr>
        <w:t xml:space="preserve"> </w:t>
      </w:r>
      <w:r>
        <w:rPr>
          <w:sz w:val="20"/>
        </w:rPr>
        <w:t>organizações</w:t>
      </w:r>
      <w:r>
        <w:rPr>
          <w:spacing w:val="-4"/>
          <w:sz w:val="20"/>
        </w:rPr>
        <w:t xml:space="preserve"> </w:t>
      </w:r>
      <w:r>
        <w:rPr>
          <w:sz w:val="20"/>
        </w:rPr>
        <w:t>sociais</w:t>
      </w:r>
      <w:r>
        <w:rPr>
          <w:spacing w:val="-7"/>
          <w:sz w:val="20"/>
        </w:rPr>
        <w:t xml:space="preserve"> </w:t>
      </w:r>
      <w:r>
        <w:rPr>
          <w:sz w:val="20"/>
        </w:rPr>
        <w:t>(OS) e organizações da sociedade civil de interesse público (OSCIP).</w:t>
      </w:r>
    </w:p>
    <w:p w:rsidR="007259F2" w:rsidRDefault="007259F2">
      <w:pPr>
        <w:pStyle w:val="Corpodetexto"/>
        <w:spacing w:before="44"/>
        <w:ind w:left="0" w:firstLine="0"/>
        <w:jc w:val="left"/>
        <w:rPr>
          <w:sz w:val="20"/>
        </w:rPr>
      </w:pPr>
    </w:p>
    <w:p w:rsidR="007259F2" w:rsidRDefault="00E655B4">
      <w:pPr>
        <w:pStyle w:val="Corpodetexto"/>
        <w:ind w:right="424"/>
      </w:pPr>
      <w:r>
        <w:t>O voto do Ministro Barroso, na esteira da jurisprudência do STF em racionalizar a intervenção judicial em políticas públicas, estabeleceu cinco parâmetros com o objetivo de permitir</w:t>
      </w:r>
      <w:r>
        <w:rPr>
          <w:spacing w:val="-1"/>
        </w:rPr>
        <w:t xml:space="preserve"> </w:t>
      </w:r>
      <w:r>
        <w:t>a atuação do Poder Judiciário</w:t>
      </w:r>
      <w:r>
        <w:rPr>
          <w:spacing w:val="-1"/>
        </w:rPr>
        <w:t xml:space="preserve"> </w:t>
      </w:r>
      <w:r>
        <w:t>na concretização de direitos fundamentais, respeitado o espaço de discricionariedade do administrador.</w:t>
      </w:r>
    </w:p>
    <w:p w:rsidR="007259F2" w:rsidRDefault="00E655B4">
      <w:pPr>
        <w:pStyle w:val="Corpodetexto"/>
        <w:spacing w:before="1"/>
        <w:ind w:right="422"/>
      </w:pPr>
      <w:r>
        <w:t>Aponta</w:t>
      </w:r>
      <w:r>
        <w:rPr>
          <w:spacing w:val="-13"/>
        </w:rPr>
        <w:t xml:space="preserve"> </w:t>
      </w:r>
      <w:r>
        <w:t>o</w:t>
      </w:r>
      <w:r>
        <w:rPr>
          <w:spacing w:val="-10"/>
        </w:rPr>
        <w:t xml:space="preserve"> </w:t>
      </w:r>
      <w:r>
        <w:t>Ministro</w:t>
      </w:r>
      <w:r>
        <w:rPr>
          <w:spacing w:val="-9"/>
        </w:rPr>
        <w:t xml:space="preserve"> </w:t>
      </w:r>
      <w:r>
        <w:t>que,</w:t>
      </w:r>
      <w:r>
        <w:rPr>
          <w:spacing w:val="-10"/>
        </w:rPr>
        <w:t xml:space="preserve"> </w:t>
      </w:r>
      <w:r>
        <w:t>em</w:t>
      </w:r>
      <w:r>
        <w:rPr>
          <w:spacing w:val="-7"/>
        </w:rPr>
        <w:t xml:space="preserve"> </w:t>
      </w:r>
      <w:r>
        <w:rPr>
          <w:i/>
        </w:rPr>
        <w:t>primeiro</w:t>
      </w:r>
      <w:r>
        <w:rPr>
          <w:i/>
          <w:spacing w:val="-9"/>
        </w:rPr>
        <w:t xml:space="preserve"> </w:t>
      </w:r>
      <w:r>
        <w:rPr>
          <w:i/>
        </w:rPr>
        <w:t>lugar</w:t>
      </w:r>
      <w:r>
        <w:t>,</w:t>
      </w:r>
      <w:r>
        <w:rPr>
          <w:spacing w:val="-10"/>
        </w:rPr>
        <w:t xml:space="preserve"> </w:t>
      </w:r>
      <w:r>
        <w:t>para</w:t>
      </w:r>
      <w:r>
        <w:rPr>
          <w:spacing w:val="-11"/>
        </w:rPr>
        <w:t xml:space="preserve"> </w:t>
      </w:r>
      <w:r>
        <w:t>a</w:t>
      </w:r>
      <w:r>
        <w:rPr>
          <w:spacing w:val="-6"/>
        </w:rPr>
        <w:t xml:space="preserve"> </w:t>
      </w:r>
      <w:r>
        <w:t>intervenção</w:t>
      </w:r>
      <w:r>
        <w:rPr>
          <w:spacing w:val="-7"/>
        </w:rPr>
        <w:t xml:space="preserve"> </w:t>
      </w:r>
      <w:r>
        <w:t>do</w:t>
      </w:r>
      <w:r>
        <w:rPr>
          <w:spacing w:val="-10"/>
        </w:rPr>
        <w:t xml:space="preserve"> </w:t>
      </w:r>
      <w:r>
        <w:t>Poder</w:t>
      </w:r>
      <w:r>
        <w:rPr>
          <w:spacing w:val="-10"/>
        </w:rPr>
        <w:t xml:space="preserve"> </w:t>
      </w:r>
      <w:r>
        <w:t>Judiciário,</w:t>
      </w:r>
      <w:r>
        <w:rPr>
          <w:spacing w:val="-10"/>
        </w:rPr>
        <w:t xml:space="preserve"> </w:t>
      </w:r>
      <w:r>
        <w:t>deve ser</w:t>
      </w:r>
      <w:r>
        <w:rPr>
          <w:spacing w:val="9"/>
        </w:rPr>
        <w:t xml:space="preserve"> </w:t>
      </w:r>
      <w:r>
        <w:t>demonstrada</w:t>
      </w:r>
      <w:r>
        <w:rPr>
          <w:spacing w:val="14"/>
        </w:rPr>
        <w:t xml:space="preserve"> </w:t>
      </w:r>
      <w:r>
        <w:t>a</w:t>
      </w:r>
      <w:r>
        <w:rPr>
          <w:spacing w:val="12"/>
        </w:rPr>
        <w:t xml:space="preserve"> </w:t>
      </w:r>
      <w:r>
        <w:t>ausência</w:t>
      </w:r>
      <w:r>
        <w:rPr>
          <w:spacing w:val="12"/>
        </w:rPr>
        <w:t xml:space="preserve"> </w:t>
      </w:r>
      <w:r>
        <w:t>ou</w:t>
      </w:r>
      <w:r>
        <w:rPr>
          <w:spacing w:val="12"/>
        </w:rPr>
        <w:t xml:space="preserve"> </w:t>
      </w:r>
      <w:r>
        <w:t>grave</w:t>
      </w:r>
      <w:r>
        <w:rPr>
          <w:spacing w:val="12"/>
        </w:rPr>
        <w:t xml:space="preserve"> </w:t>
      </w:r>
      <w:r>
        <w:t>deficiência</w:t>
      </w:r>
      <w:r>
        <w:rPr>
          <w:spacing w:val="15"/>
        </w:rPr>
        <w:t xml:space="preserve"> </w:t>
      </w:r>
      <w:r>
        <w:t>do</w:t>
      </w:r>
      <w:r>
        <w:rPr>
          <w:spacing w:val="13"/>
        </w:rPr>
        <w:t xml:space="preserve"> </w:t>
      </w:r>
      <w:r>
        <w:t>serviço</w:t>
      </w:r>
      <w:r>
        <w:rPr>
          <w:spacing w:val="12"/>
        </w:rPr>
        <w:t xml:space="preserve"> </w:t>
      </w:r>
      <w:r>
        <w:t>público,</w:t>
      </w:r>
      <w:r>
        <w:rPr>
          <w:spacing w:val="13"/>
        </w:rPr>
        <w:t xml:space="preserve"> </w:t>
      </w:r>
      <w:r>
        <w:t>decorrente</w:t>
      </w:r>
      <w:r>
        <w:rPr>
          <w:spacing w:val="12"/>
        </w:rPr>
        <w:t xml:space="preserve"> </w:t>
      </w:r>
      <w:r>
        <w:t>da</w:t>
      </w:r>
      <w:r>
        <w:rPr>
          <w:spacing w:val="12"/>
        </w:rPr>
        <w:t xml:space="preserve"> </w:t>
      </w:r>
      <w:r>
        <w:t>inércia</w:t>
      </w:r>
      <w:r>
        <w:rPr>
          <w:spacing w:val="12"/>
        </w:rPr>
        <w:t xml:space="preserve"> </w:t>
      </w:r>
      <w:r>
        <w:rPr>
          <w:spacing w:val="-5"/>
        </w:rPr>
        <w:t>ou</w:t>
      </w:r>
    </w:p>
    <w:p w:rsidR="007259F2" w:rsidRDefault="007259F2">
      <w:pPr>
        <w:pStyle w:val="Corpodetexto"/>
        <w:sectPr w:rsidR="007259F2">
          <w:pgSz w:w="11910" w:h="16840"/>
          <w:pgMar w:top="1600" w:right="708" w:bottom="1020" w:left="992" w:header="0" w:footer="820" w:gutter="0"/>
          <w:cols w:space="720"/>
        </w:sectPr>
      </w:pPr>
    </w:p>
    <w:p w:rsidR="007259F2" w:rsidRDefault="00E655B4">
      <w:pPr>
        <w:pStyle w:val="Corpodetexto"/>
        <w:spacing w:before="75"/>
        <w:ind w:right="420" w:firstLine="0"/>
      </w:pPr>
      <w:r>
        <w:lastRenderedPageBreak/>
        <w:t xml:space="preserve">excessiva morosidade do Poder Público. Em </w:t>
      </w:r>
      <w:r>
        <w:rPr>
          <w:i/>
        </w:rPr>
        <w:t>segundo lugar</w:t>
      </w:r>
      <w:r>
        <w:t>, dever-se-ia observar a possibilidade de universalização da providência a ser determinada, considerados os recursos efetivamente existentes, dada a finitude e insuficiência dos recursos públicos.</w:t>
      </w:r>
    </w:p>
    <w:p w:rsidR="007259F2" w:rsidRDefault="00E655B4">
      <w:pPr>
        <w:pStyle w:val="Corpodetexto"/>
        <w:ind w:right="424"/>
      </w:pPr>
      <w:r>
        <w:t>Em</w:t>
      </w:r>
      <w:r>
        <w:rPr>
          <w:spacing w:val="-1"/>
        </w:rPr>
        <w:t xml:space="preserve"> </w:t>
      </w:r>
      <w:r>
        <w:rPr>
          <w:i/>
        </w:rPr>
        <w:t>terceiro lugar</w:t>
      </w:r>
      <w:r>
        <w:t>,</w:t>
      </w:r>
      <w:r>
        <w:rPr>
          <w:spacing w:val="-1"/>
        </w:rPr>
        <w:t xml:space="preserve"> </w:t>
      </w:r>
      <w:r>
        <w:t>o</w:t>
      </w:r>
      <w:r>
        <w:rPr>
          <w:spacing w:val="-1"/>
        </w:rPr>
        <w:t xml:space="preserve"> </w:t>
      </w:r>
      <w:r>
        <w:t>órgão</w:t>
      </w:r>
      <w:r>
        <w:rPr>
          <w:spacing w:val="-1"/>
        </w:rPr>
        <w:t xml:space="preserve"> </w:t>
      </w:r>
      <w:r>
        <w:t>julgador</w:t>
      </w:r>
      <w:r>
        <w:rPr>
          <w:spacing w:val="-1"/>
        </w:rPr>
        <w:t xml:space="preserve"> </w:t>
      </w:r>
      <w:r>
        <w:t>deveria</w:t>
      </w:r>
      <w:r>
        <w:rPr>
          <w:spacing w:val="-1"/>
        </w:rPr>
        <w:t xml:space="preserve"> </w:t>
      </w:r>
      <w:r>
        <w:t>determinar</w:t>
      </w:r>
      <w:r>
        <w:rPr>
          <w:spacing w:val="-1"/>
        </w:rPr>
        <w:t xml:space="preserve"> </w:t>
      </w:r>
      <w:r>
        <w:t>a</w:t>
      </w:r>
      <w:r>
        <w:rPr>
          <w:spacing w:val="-2"/>
        </w:rPr>
        <w:t xml:space="preserve"> </w:t>
      </w:r>
      <w:r>
        <w:t>finalidade</w:t>
      </w:r>
      <w:r>
        <w:rPr>
          <w:spacing w:val="-1"/>
        </w:rPr>
        <w:t xml:space="preserve"> </w:t>
      </w:r>
      <w:r>
        <w:t>a</w:t>
      </w:r>
      <w:r>
        <w:rPr>
          <w:spacing w:val="-2"/>
        </w:rPr>
        <w:t xml:space="preserve"> </w:t>
      </w:r>
      <w:r>
        <w:t>ser</w:t>
      </w:r>
      <w:r>
        <w:rPr>
          <w:spacing w:val="-2"/>
        </w:rPr>
        <w:t xml:space="preserve"> </w:t>
      </w:r>
      <w:r>
        <w:t>atingida,</w:t>
      </w:r>
      <w:r>
        <w:rPr>
          <w:spacing w:val="-1"/>
        </w:rPr>
        <w:t xml:space="preserve"> </w:t>
      </w:r>
      <w:r>
        <w:t>mas não o modo como ela deverá</w:t>
      </w:r>
      <w:r>
        <w:rPr>
          <w:spacing w:val="-1"/>
        </w:rPr>
        <w:t xml:space="preserve"> </w:t>
      </w:r>
      <w:r>
        <w:t>ser alcançada, pois, estabelecida a meta a ser cumprida, diversos seriam os meios com os quais se pode implementá-la, cabendo ao administrador optar por aquele que considera mais pertinente e eficaz.</w:t>
      </w:r>
    </w:p>
    <w:p w:rsidR="007259F2" w:rsidRDefault="00E655B4">
      <w:pPr>
        <w:pStyle w:val="Corpodetexto"/>
        <w:ind w:right="425"/>
      </w:pPr>
      <w:r>
        <w:t xml:space="preserve">Em </w:t>
      </w:r>
      <w:r>
        <w:rPr>
          <w:i/>
        </w:rPr>
        <w:t>quarto lugar</w:t>
      </w:r>
      <w:r>
        <w:t>, a decisão judicial deverá estar apoiada em documentos ou manifestações de órgãos técnicos, que podem acompanhar a petição inicial ou compor a instrução processual, a fim de mitigar a ausência de expertise e capacidade institucional.</w:t>
      </w:r>
    </w:p>
    <w:p w:rsidR="007259F2" w:rsidRDefault="00E655B4">
      <w:pPr>
        <w:pStyle w:val="Corpodetexto"/>
        <w:ind w:right="424"/>
      </w:pPr>
      <w:r>
        <w:t xml:space="preserve">Em </w:t>
      </w:r>
      <w:r>
        <w:rPr>
          <w:i/>
        </w:rPr>
        <w:t>quinto lugar</w:t>
      </w:r>
      <w:r>
        <w:t xml:space="preserve">, é apontada a importância da participação de terceiros, sempre que possível, com a admissão de </w:t>
      </w:r>
      <w:r>
        <w:rPr>
          <w:i/>
        </w:rPr>
        <w:t xml:space="preserve">amicus curie </w:t>
      </w:r>
      <w:r>
        <w:t>e designação de audiências públicas, com a participação,</w:t>
      </w:r>
      <w:r>
        <w:rPr>
          <w:spacing w:val="-10"/>
        </w:rPr>
        <w:t xml:space="preserve"> </w:t>
      </w:r>
      <w:r>
        <w:t>além</w:t>
      </w:r>
      <w:r>
        <w:rPr>
          <w:spacing w:val="-11"/>
        </w:rPr>
        <w:t xml:space="preserve"> </w:t>
      </w:r>
      <w:r>
        <w:t>dos</w:t>
      </w:r>
      <w:r>
        <w:rPr>
          <w:spacing w:val="-7"/>
        </w:rPr>
        <w:t xml:space="preserve"> </w:t>
      </w:r>
      <w:r>
        <w:t>destinatários</w:t>
      </w:r>
      <w:r>
        <w:rPr>
          <w:spacing w:val="-9"/>
        </w:rPr>
        <w:t xml:space="preserve"> </w:t>
      </w:r>
      <w:r>
        <w:t>da</w:t>
      </w:r>
      <w:r>
        <w:rPr>
          <w:spacing w:val="-12"/>
        </w:rPr>
        <w:t xml:space="preserve"> </w:t>
      </w:r>
      <w:r>
        <w:t>decisão,</w:t>
      </w:r>
      <w:r>
        <w:rPr>
          <w:spacing w:val="-10"/>
        </w:rPr>
        <w:t xml:space="preserve"> </w:t>
      </w:r>
      <w:r>
        <w:t>de</w:t>
      </w:r>
      <w:r>
        <w:rPr>
          <w:spacing w:val="-6"/>
        </w:rPr>
        <w:t xml:space="preserve"> </w:t>
      </w:r>
      <w:r>
        <w:t>entidades</w:t>
      </w:r>
      <w:r>
        <w:rPr>
          <w:spacing w:val="-10"/>
        </w:rPr>
        <w:t xml:space="preserve"> </w:t>
      </w:r>
      <w:r>
        <w:t>da</w:t>
      </w:r>
      <w:r>
        <w:rPr>
          <w:spacing w:val="-9"/>
        </w:rPr>
        <w:t xml:space="preserve"> </w:t>
      </w:r>
      <w:r>
        <w:t>sociedade</w:t>
      </w:r>
      <w:r>
        <w:rPr>
          <w:spacing w:val="-9"/>
        </w:rPr>
        <w:t xml:space="preserve"> </w:t>
      </w:r>
      <w:r>
        <w:t>civil,</w:t>
      </w:r>
      <w:r>
        <w:rPr>
          <w:spacing w:val="-9"/>
        </w:rPr>
        <w:t xml:space="preserve"> </w:t>
      </w:r>
      <w:r>
        <w:t>o</w:t>
      </w:r>
      <w:r>
        <w:rPr>
          <w:spacing w:val="-11"/>
        </w:rPr>
        <w:t xml:space="preserve"> </w:t>
      </w:r>
      <w:r>
        <w:t>que</w:t>
      </w:r>
      <w:r>
        <w:rPr>
          <w:spacing w:val="-12"/>
        </w:rPr>
        <w:t xml:space="preserve"> </w:t>
      </w:r>
      <w:r>
        <w:t xml:space="preserve">contribui para a legitimidade democrática da decisão e facilita a tomada de decisão a partir de diversas </w:t>
      </w:r>
      <w:r>
        <w:rPr>
          <w:spacing w:val="-2"/>
        </w:rPr>
        <w:t>perspectivas.</w:t>
      </w:r>
    </w:p>
    <w:p w:rsidR="007259F2" w:rsidRDefault="00E655B4">
      <w:pPr>
        <w:pStyle w:val="Corpodetexto"/>
        <w:spacing w:before="1"/>
        <w:ind w:right="422"/>
      </w:pPr>
      <w:r>
        <w:t>Com</w:t>
      </w:r>
      <w:r>
        <w:rPr>
          <w:spacing w:val="-9"/>
        </w:rPr>
        <w:t xml:space="preserve"> </w:t>
      </w:r>
      <w:r>
        <w:t>efeito,</w:t>
      </w:r>
      <w:r>
        <w:rPr>
          <w:spacing w:val="-12"/>
        </w:rPr>
        <w:t xml:space="preserve"> </w:t>
      </w:r>
      <w:r>
        <w:t>o</w:t>
      </w:r>
      <w:r>
        <w:rPr>
          <w:spacing w:val="-10"/>
        </w:rPr>
        <w:t xml:space="preserve"> </w:t>
      </w:r>
      <w:r>
        <w:t>julgamento</w:t>
      </w:r>
      <w:r>
        <w:rPr>
          <w:spacing w:val="-6"/>
        </w:rPr>
        <w:t xml:space="preserve"> </w:t>
      </w:r>
      <w:r>
        <w:t>do</w:t>
      </w:r>
      <w:r>
        <w:rPr>
          <w:spacing w:val="-12"/>
        </w:rPr>
        <w:t xml:space="preserve"> </w:t>
      </w:r>
      <w:r>
        <w:t>RE</w:t>
      </w:r>
      <w:r>
        <w:rPr>
          <w:spacing w:val="-12"/>
        </w:rPr>
        <w:t xml:space="preserve"> </w:t>
      </w:r>
      <w:r>
        <w:t>nº</w:t>
      </w:r>
      <w:r>
        <w:rPr>
          <w:spacing w:val="-12"/>
        </w:rPr>
        <w:t xml:space="preserve"> </w:t>
      </w:r>
      <w:r>
        <w:t>684.612/RJ,</w:t>
      </w:r>
      <w:r>
        <w:rPr>
          <w:spacing w:val="-9"/>
        </w:rPr>
        <w:t xml:space="preserve"> </w:t>
      </w:r>
      <w:r>
        <w:t>ao</w:t>
      </w:r>
      <w:r>
        <w:rPr>
          <w:spacing w:val="-14"/>
        </w:rPr>
        <w:t xml:space="preserve"> </w:t>
      </w:r>
      <w:r>
        <w:t>fixar</w:t>
      </w:r>
      <w:r>
        <w:rPr>
          <w:spacing w:val="-12"/>
        </w:rPr>
        <w:t xml:space="preserve"> </w:t>
      </w:r>
      <w:r>
        <w:t>que</w:t>
      </w:r>
      <w:r>
        <w:rPr>
          <w:spacing w:val="-13"/>
        </w:rPr>
        <w:t xml:space="preserve"> </w:t>
      </w:r>
      <w:r>
        <w:t>caberia</w:t>
      </w:r>
      <w:r>
        <w:rPr>
          <w:spacing w:val="-10"/>
        </w:rPr>
        <w:t xml:space="preserve"> </w:t>
      </w:r>
      <w:r>
        <w:t>ao</w:t>
      </w:r>
      <w:r>
        <w:rPr>
          <w:spacing w:val="-12"/>
        </w:rPr>
        <w:t xml:space="preserve"> </w:t>
      </w:r>
      <w:r>
        <w:t>julgador</w:t>
      </w:r>
      <w:r>
        <w:rPr>
          <w:spacing w:val="-10"/>
        </w:rPr>
        <w:t xml:space="preserve"> </w:t>
      </w:r>
      <w:r>
        <w:t>apontar a</w:t>
      </w:r>
      <w:r>
        <w:rPr>
          <w:spacing w:val="-15"/>
        </w:rPr>
        <w:t xml:space="preserve"> </w:t>
      </w:r>
      <w:r>
        <w:t>finalidade</w:t>
      </w:r>
      <w:r>
        <w:rPr>
          <w:spacing w:val="-15"/>
        </w:rPr>
        <w:t xml:space="preserve"> </w:t>
      </w:r>
      <w:r>
        <w:t>a</w:t>
      </w:r>
      <w:r>
        <w:rPr>
          <w:spacing w:val="-15"/>
        </w:rPr>
        <w:t xml:space="preserve"> </w:t>
      </w:r>
      <w:r>
        <w:t>ser</w:t>
      </w:r>
      <w:r>
        <w:rPr>
          <w:spacing w:val="-15"/>
        </w:rPr>
        <w:t xml:space="preserve"> </w:t>
      </w:r>
      <w:r>
        <w:t>atingida</w:t>
      </w:r>
      <w:r>
        <w:rPr>
          <w:spacing w:val="-15"/>
        </w:rPr>
        <w:t xml:space="preserve"> </w:t>
      </w:r>
      <w:r>
        <w:t>na</w:t>
      </w:r>
      <w:r>
        <w:rPr>
          <w:spacing w:val="-15"/>
        </w:rPr>
        <w:t xml:space="preserve"> </w:t>
      </w:r>
      <w:r>
        <w:t>intervenção</w:t>
      </w:r>
      <w:r>
        <w:rPr>
          <w:spacing w:val="-15"/>
        </w:rPr>
        <w:t xml:space="preserve"> </w:t>
      </w:r>
      <w:r>
        <w:t>em</w:t>
      </w:r>
      <w:r>
        <w:rPr>
          <w:spacing w:val="-15"/>
        </w:rPr>
        <w:t xml:space="preserve"> </w:t>
      </w:r>
      <w:r>
        <w:t>políticas</w:t>
      </w:r>
      <w:r>
        <w:rPr>
          <w:spacing w:val="-15"/>
        </w:rPr>
        <w:t xml:space="preserve"> </w:t>
      </w:r>
      <w:r>
        <w:t>públicas</w:t>
      </w:r>
      <w:r>
        <w:rPr>
          <w:spacing w:val="-15"/>
        </w:rPr>
        <w:t xml:space="preserve"> </w:t>
      </w:r>
      <w:r>
        <w:t>voltadas</w:t>
      </w:r>
      <w:r>
        <w:rPr>
          <w:spacing w:val="-15"/>
        </w:rPr>
        <w:t xml:space="preserve"> </w:t>
      </w:r>
      <w:r>
        <w:t>a</w:t>
      </w:r>
      <w:r>
        <w:rPr>
          <w:spacing w:val="-15"/>
        </w:rPr>
        <w:t xml:space="preserve"> </w:t>
      </w:r>
      <w:r>
        <w:t>direitos</w:t>
      </w:r>
      <w:r>
        <w:rPr>
          <w:spacing w:val="-15"/>
        </w:rPr>
        <w:t xml:space="preserve"> </w:t>
      </w:r>
      <w:r>
        <w:t>fundamentais, representou marca na jurisprudência da Corte ao privilegiar o respeito a margem de discricionariedade do administrador em detrimento de medidas casuísticas.</w:t>
      </w:r>
    </w:p>
    <w:p w:rsidR="007259F2" w:rsidRDefault="00E655B4">
      <w:pPr>
        <w:pStyle w:val="Corpodetexto"/>
        <w:ind w:right="423"/>
      </w:pPr>
      <w:r>
        <w:t>É inegável, contudo, que diante do paradigma do neoconstitucionalismo e a constitucionalização</w:t>
      </w:r>
      <w:r>
        <w:rPr>
          <w:spacing w:val="-15"/>
        </w:rPr>
        <w:t xml:space="preserve"> </w:t>
      </w:r>
      <w:r>
        <w:t>dos</w:t>
      </w:r>
      <w:r>
        <w:rPr>
          <w:spacing w:val="-15"/>
        </w:rPr>
        <w:t xml:space="preserve"> </w:t>
      </w:r>
      <w:r>
        <w:t>direitos</w:t>
      </w:r>
      <w:r>
        <w:rPr>
          <w:spacing w:val="-15"/>
        </w:rPr>
        <w:t xml:space="preserve"> </w:t>
      </w:r>
      <w:r>
        <w:t>sociais,</w:t>
      </w:r>
      <w:r>
        <w:rPr>
          <w:spacing w:val="-15"/>
        </w:rPr>
        <w:t xml:space="preserve"> </w:t>
      </w:r>
      <w:r>
        <w:t>em</w:t>
      </w:r>
      <w:r>
        <w:rPr>
          <w:spacing w:val="-15"/>
        </w:rPr>
        <w:t xml:space="preserve"> </w:t>
      </w:r>
      <w:r>
        <w:t>contraste</w:t>
      </w:r>
      <w:r>
        <w:rPr>
          <w:spacing w:val="-15"/>
        </w:rPr>
        <w:t xml:space="preserve"> </w:t>
      </w:r>
      <w:r>
        <w:t>a</w:t>
      </w:r>
      <w:r>
        <w:rPr>
          <w:spacing w:val="-15"/>
        </w:rPr>
        <w:t xml:space="preserve"> </w:t>
      </w:r>
      <w:r>
        <w:t>uma</w:t>
      </w:r>
      <w:r>
        <w:rPr>
          <w:spacing w:val="-15"/>
        </w:rPr>
        <w:t xml:space="preserve"> </w:t>
      </w:r>
      <w:r>
        <w:t>realidade</w:t>
      </w:r>
      <w:r>
        <w:rPr>
          <w:spacing w:val="-15"/>
        </w:rPr>
        <w:t xml:space="preserve"> </w:t>
      </w:r>
      <w:r>
        <w:t>social</w:t>
      </w:r>
      <w:r>
        <w:rPr>
          <w:spacing w:val="-15"/>
        </w:rPr>
        <w:t xml:space="preserve"> </w:t>
      </w:r>
      <w:r>
        <w:t>de</w:t>
      </w:r>
      <w:r>
        <w:rPr>
          <w:spacing w:val="-15"/>
        </w:rPr>
        <w:t xml:space="preserve"> </w:t>
      </w:r>
      <w:r>
        <w:t>tantas</w:t>
      </w:r>
      <w:r>
        <w:rPr>
          <w:spacing w:val="-15"/>
        </w:rPr>
        <w:t xml:space="preserve"> </w:t>
      </w:r>
      <w:r>
        <w:t>carências e</w:t>
      </w:r>
      <w:r>
        <w:rPr>
          <w:spacing w:val="-9"/>
        </w:rPr>
        <w:t xml:space="preserve"> </w:t>
      </w:r>
      <w:r>
        <w:t>desigualdades</w:t>
      </w:r>
      <w:r>
        <w:rPr>
          <w:spacing w:val="-5"/>
        </w:rPr>
        <w:t xml:space="preserve"> </w:t>
      </w:r>
      <w:r>
        <w:t>regionais,</w:t>
      </w:r>
      <w:r>
        <w:rPr>
          <w:spacing w:val="-4"/>
        </w:rPr>
        <w:t xml:space="preserve"> </w:t>
      </w:r>
      <w:r>
        <w:t>impõe-se,</w:t>
      </w:r>
      <w:r>
        <w:rPr>
          <w:spacing w:val="-6"/>
        </w:rPr>
        <w:t xml:space="preserve"> </w:t>
      </w:r>
      <w:r>
        <w:t>em</w:t>
      </w:r>
      <w:r>
        <w:rPr>
          <w:spacing w:val="-3"/>
        </w:rPr>
        <w:t xml:space="preserve"> </w:t>
      </w:r>
      <w:r>
        <w:t>alguma</w:t>
      </w:r>
      <w:r>
        <w:rPr>
          <w:spacing w:val="-6"/>
        </w:rPr>
        <w:t xml:space="preserve"> </w:t>
      </w:r>
      <w:r>
        <w:t>medida,</w:t>
      </w:r>
      <w:r>
        <w:rPr>
          <w:spacing w:val="-6"/>
        </w:rPr>
        <w:t xml:space="preserve"> </w:t>
      </w:r>
      <w:r>
        <w:t>a</w:t>
      </w:r>
      <w:r>
        <w:rPr>
          <w:spacing w:val="-4"/>
        </w:rPr>
        <w:t xml:space="preserve"> </w:t>
      </w:r>
      <w:r>
        <w:t>atuação</w:t>
      </w:r>
      <w:r>
        <w:rPr>
          <w:spacing w:val="-5"/>
        </w:rPr>
        <w:t xml:space="preserve"> </w:t>
      </w:r>
      <w:r>
        <w:t>do</w:t>
      </w:r>
      <w:r>
        <w:rPr>
          <w:spacing w:val="-6"/>
        </w:rPr>
        <w:t xml:space="preserve"> </w:t>
      </w:r>
      <w:r>
        <w:t>Poder</w:t>
      </w:r>
      <w:r>
        <w:rPr>
          <w:spacing w:val="-1"/>
        </w:rPr>
        <w:t xml:space="preserve"> </w:t>
      </w:r>
      <w:r>
        <w:t>Judiciário,</w:t>
      </w:r>
      <w:r>
        <w:rPr>
          <w:spacing w:val="-6"/>
        </w:rPr>
        <w:t xml:space="preserve"> </w:t>
      </w:r>
      <w:r>
        <w:t>resta</w:t>
      </w:r>
      <w:r>
        <w:rPr>
          <w:spacing w:val="-4"/>
        </w:rPr>
        <w:t xml:space="preserve"> </w:t>
      </w:r>
      <w:r>
        <w:t>o questionamento quanto aos limites dessa intervenção e se seria válido ao Poder Judiciário se imiscuir no mérito administrativo.</w:t>
      </w:r>
    </w:p>
    <w:p w:rsidR="007259F2" w:rsidRDefault="00E655B4">
      <w:pPr>
        <w:pStyle w:val="Corpodetexto"/>
        <w:spacing w:before="1"/>
        <w:ind w:right="415"/>
      </w:pPr>
      <w:r>
        <w:t>Ricardo Marcondes Martins</w:t>
      </w:r>
      <w:r>
        <w:rPr>
          <w:vertAlign w:val="superscript"/>
        </w:rPr>
        <w:t>15</w:t>
      </w:r>
      <w:r>
        <w:rPr>
          <w:spacing w:val="-4"/>
        </w:rPr>
        <w:t xml:space="preserve"> </w:t>
      </w:r>
      <w:r>
        <w:t>pontua que, ao contrário do que ocorre na liberdade, na qual o agente poderia se basear meramente em seu livre-arbítrio, no âmbito da discricionariedade, o agente público, embora pautado por suas convicções subjetivas, deve escolher a alternativa, dentre as possíveis, aquela que melhor atenda à realização do interesse público, sob pena de invalidade do ato.</w:t>
      </w:r>
    </w:p>
    <w:p w:rsidR="007259F2" w:rsidRDefault="00E655B4">
      <w:pPr>
        <w:pStyle w:val="Corpodetexto"/>
        <w:ind w:right="423"/>
      </w:pPr>
      <w:r>
        <w:t>Tendo</w:t>
      </w:r>
      <w:r>
        <w:rPr>
          <w:spacing w:val="-14"/>
        </w:rPr>
        <w:t xml:space="preserve"> </w:t>
      </w:r>
      <w:r>
        <w:t>como</w:t>
      </w:r>
      <w:r>
        <w:rPr>
          <w:spacing w:val="-14"/>
        </w:rPr>
        <w:t xml:space="preserve"> </w:t>
      </w:r>
      <w:r>
        <w:t>plano</w:t>
      </w:r>
      <w:r>
        <w:rPr>
          <w:spacing w:val="-15"/>
        </w:rPr>
        <w:t xml:space="preserve"> </w:t>
      </w:r>
      <w:r>
        <w:t>de</w:t>
      </w:r>
      <w:r>
        <w:rPr>
          <w:spacing w:val="-15"/>
        </w:rPr>
        <w:t xml:space="preserve"> </w:t>
      </w:r>
      <w:r>
        <w:t>fundo</w:t>
      </w:r>
      <w:r>
        <w:rPr>
          <w:spacing w:val="-14"/>
        </w:rPr>
        <w:t xml:space="preserve"> </w:t>
      </w:r>
      <w:r>
        <w:t>o</w:t>
      </w:r>
      <w:r>
        <w:rPr>
          <w:spacing w:val="-14"/>
        </w:rPr>
        <w:t xml:space="preserve"> </w:t>
      </w:r>
      <w:r>
        <w:t>caso</w:t>
      </w:r>
      <w:r>
        <w:rPr>
          <w:spacing w:val="-14"/>
        </w:rPr>
        <w:t xml:space="preserve"> </w:t>
      </w:r>
      <w:r>
        <w:t>analisado,</w:t>
      </w:r>
      <w:r>
        <w:rPr>
          <w:spacing w:val="-13"/>
        </w:rPr>
        <w:t xml:space="preserve"> </w:t>
      </w:r>
      <w:r>
        <w:t>ante</w:t>
      </w:r>
      <w:r>
        <w:rPr>
          <w:spacing w:val="-10"/>
        </w:rPr>
        <w:t xml:space="preserve"> </w:t>
      </w:r>
      <w:r>
        <w:t>as</w:t>
      </w:r>
      <w:r>
        <w:rPr>
          <w:spacing w:val="-14"/>
        </w:rPr>
        <w:t xml:space="preserve"> </w:t>
      </w:r>
      <w:r>
        <w:t>diversas</w:t>
      </w:r>
      <w:r>
        <w:rPr>
          <w:spacing w:val="-14"/>
        </w:rPr>
        <w:t xml:space="preserve"> </w:t>
      </w:r>
      <w:r>
        <w:t>irregularidades</w:t>
      </w:r>
      <w:r>
        <w:rPr>
          <w:spacing w:val="-12"/>
        </w:rPr>
        <w:t xml:space="preserve"> </w:t>
      </w:r>
      <w:r>
        <w:t>apontadas no serviço de saúde municipal, não se parece válido, por exemplo, que o gestor optasse por realizar melhorias no serviço de educação municipal com a construção de novas creches. Ou ainda, mesmo que o gestor se empenhasse em solucionar as mazelas da saúde pública, caso fossem realizadas melhorias no hospital, mas fossem contratados profissionais em número insuficiente</w:t>
      </w:r>
      <w:r>
        <w:rPr>
          <w:spacing w:val="-9"/>
        </w:rPr>
        <w:t xml:space="preserve"> </w:t>
      </w:r>
      <w:r>
        <w:t>para</w:t>
      </w:r>
      <w:r>
        <w:rPr>
          <w:spacing w:val="-7"/>
        </w:rPr>
        <w:t xml:space="preserve"> </w:t>
      </w:r>
      <w:r>
        <w:t>atender</w:t>
      </w:r>
      <w:r>
        <w:rPr>
          <w:spacing w:val="-3"/>
        </w:rPr>
        <w:t xml:space="preserve"> </w:t>
      </w:r>
      <w:r>
        <w:t>a</w:t>
      </w:r>
      <w:r>
        <w:rPr>
          <w:spacing w:val="-9"/>
        </w:rPr>
        <w:t xml:space="preserve"> </w:t>
      </w:r>
      <w:r>
        <w:t>demanda</w:t>
      </w:r>
      <w:r>
        <w:rPr>
          <w:spacing w:val="-7"/>
        </w:rPr>
        <w:t xml:space="preserve"> </w:t>
      </w:r>
      <w:r>
        <w:t>diária</w:t>
      </w:r>
      <w:r>
        <w:rPr>
          <w:spacing w:val="-9"/>
        </w:rPr>
        <w:t xml:space="preserve"> </w:t>
      </w:r>
      <w:r>
        <w:t>de</w:t>
      </w:r>
      <w:r>
        <w:rPr>
          <w:spacing w:val="-9"/>
        </w:rPr>
        <w:t xml:space="preserve"> </w:t>
      </w:r>
      <w:r>
        <w:t>pacientes,</w:t>
      </w:r>
      <w:r>
        <w:rPr>
          <w:spacing w:val="-8"/>
        </w:rPr>
        <w:t xml:space="preserve"> </w:t>
      </w:r>
      <w:r>
        <w:t>igualmente</w:t>
      </w:r>
      <w:r>
        <w:rPr>
          <w:spacing w:val="-6"/>
        </w:rPr>
        <w:t xml:space="preserve"> </w:t>
      </w:r>
      <w:r>
        <w:t>não</w:t>
      </w:r>
      <w:r>
        <w:rPr>
          <w:spacing w:val="-8"/>
        </w:rPr>
        <w:t xml:space="preserve"> </w:t>
      </w:r>
      <w:r>
        <w:t>se</w:t>
      </w:r>
      <w:r>
        <w:rPr>
          <w:spacing w:val="-7"/>
        </w:rPr>
        <w:t xml:space="preserve"> </w:t>
      </w:r>
      <w:r>
        <w:t>estaria</w:t>
      </w:r>
      <w:r>
        <w:rPr>
          <w:spacing w:val="-8"/>
        </w:rPr>
        <w:t xml:space="preserve"> </w:t>
      </w:r>
      <w:r>
        <w:t>diante</w:t>
      </w:r>
      <w:r>
        <w:rPr>
          <w:spacing w:val="-9"/>
        </w:rPr>
        <w:t xml:space="preserve"> </w:t>
      </w:r>
      <w:r>
        <w:t>de</w:t>
      </w:r>
      <w:r>
        <w:rPr>
          <w:spacing w:val="-9"/>
        </w:rPr>
        <w:t xml:space="preserve"> </w:t>
      </w:r>
      <w:r>
        <w:t>um ato válido.</w:t>
      </w:r>
    </w:p>
    <w:p w:rsidR="007259F2" w:rsidRDefault="00E655B4">
      <w:pPr>
        <w:pStyle w:val="Corpodetexto"/>
        <w:ind w:right="423"/>
      </w:pPr>
      <w:r>
        <w:t>Em que pese o voto do Ministro Barroso seja bastante elucidativo, em um cenário de conceitos</w:t>
      </w:r>
      <w:r>
        <w:rPr>
          <w:spacing w:val="-13"/>
        </w:rPr>
        <w:t xml:space="preserve"> </w:t>
      </w:r>
      <w:r>
        <w:t>jurídicos</w:t>
      </w:r>
      <w:r>
        <w:rPr>
          <w:spacing w:val="-12"/>
        </w:rPr>
        <w:t xml:space="preserve"> </w:t>
      </w:r>
      <w:r>
        <w:t>indeterminados,</w:t>
      </w:r>
      <w:r>
        <w:rPr>
          <w:spacing w:val="-12"/>
        </w:rPr>
        <w:t xml:space="preserve"> </w:t>
      </w:r>
      <w:r>
        <w:t>como</w:t>
      </w:r>
      <w:r>
        <w:rPr>
          <w:spacing w:val="-13"/>
        </w:rPr>
        <w:t xml:space="preserve"> </w:t>
      </w:r>
      <w:r>
        <w:t>é</w:t>
      </w:r>
      <w:r>
        <w:rPr>
          <w:spacing w:val="-14"/>
        </w:rPr>
        <w:t xml:space="preserve"> </w:t>
      </w:r>
      <w:r>
        <w:t>o</w:t>
      </w:r>
      <w:r>
        <w:rPr>
          <w:spacing w:val="-13"/>
        </w:rPr>
        <w:t xml:space="preserve"> </w:t>
      </w:r>
      <w:r>
        <w:t>implemento</w:t>
      </w:r>
      <w:r>
        <w:rPr>
          <w:spacing w:val="-12"/>
        </w:rPr>
        <w:t xml:space="preserve"> </w:t>
      </w:r>
      <w:r>
        <w:t>do</w:t>
      </w:r>
      <w:r>
        <w:rPr>
          <w:spacing w:val="-13"/>
        </w:rPr>
        <w:t xml:space="preserve"> </w:t>
      </w:r>
      <w:r>
        <w:t>direito</w:t>
      </w:r>
      <w:r>
        <w:rPr>
          <w:spacing w:val="-13"/>
        </w:rPr>
        <w:t xml:space="preserve"> </w:t>
      </w:r>
      <w:r>
        <w:t>à</w:t>
      </w:r>
      <w:r>
        <w:rPr>
          <w:spacing w:val="-14"/>
        </w:rPr>
        <w:t xml:space="preserve"> </w:t>
      </w:r>
      <w:r>
        <w:t>saúde</w:t>
      </w:r>
      <w:r>
        <w:rPr>
          <w:spacing w:val="-8"/>
        </w:rPr>
        <w:t xml:space="preserve"> </w:t>
      </w:r>
      <w:r>
        <w:t>e</w:t>
      </w:r>
      <w:r>
        <w:rPr>
          <w:spacing w:val="-14"/>
        </w:rPr>
        <w:t xml:space="preserve"> </w:t>
      </w:r>
      <w:r>
        <w:t>dada</w:t>
      </w:r>
      <w:r>
        <w:rPr>
          <w:spacing w:val="-12"/>
        </w:rPr>
        <w:t xml:space="preserve"> </w:t>
      </w:r>
      <w:r>
        <w:t>a</w:t>
      </w:r>
      <w:r>
        <w:rPr>
          <w:spacing w:val="-14"/>
        </w:rPr>
        <w:t xml:space="preserve"> </w:t>
      </w:r>
      <w:r>
        <w:t>relevância do</w:t>
      </w:r>
      <w:r>
        <w:rPr>
          <w:spacing w:val="-4"/>
        </w:rPr>
        <w:t xml:space="preserve"> </w:t>
      </w:r>
      <w:r>
        <w:t>tema</w:t>
      </w:r>
      <w:r>
        <w:rPr>
          <w:spacing w:val="-4"/>
        </w:rPr>
        <w:t xml:space="preserve"> </w:t>
      </w:r>
      <w:r>
        <w:t>e</w:t>
      </w:r>
      <w:r>
        <w:rPr>
          <w:spacing w:val="-4"/>
        </w:rPr>
        <w:t xml:space="preserve"> </w:t>
      </w:r>
      <w:r>
        <w:t>o</w:t>
      </w:r>
      <w:r>
        <w:rPr>
          <w:spacing w:val="-1"/>
        </w:rPr>
        <w:t xml:space="preserve"> </w:t>
      </w:r>
      <w:r>
        <w:t>efeito</w:t>
      </w:r>
      <w:r>
        <w:rPr>
          <w:spacing w:val="-3"/>
        </w:rPr>
        <w:t xml:space="preserve"> </w:t>
      </w:r>
      <w:r>
        <w:t>multiplicador</w:t>
      </w:r>
      <w:r>
        <w:rPr>
          <w:spacing w:val="-3"/>
        </w:rPr>
        <w:t xml:space="preserve"> </w:t>
      </w:r>
      <w:r>
        <w:t>das</w:t>
      </w:r>
      <w:r>
        <w:rPr>
          <w:spacing w:val="-3"/>
        </w:rPr>
        <w:t xml:space="preserve"> </w:t>
      </w:r>
      <w:r>
        <w:t>decisões</w:t>
      </w:r>
      <w:r>
        <w:rPr>
          <w:spacing w:val="-3"/>
        </w:rPr>
        <w:t xml:space="preserve"> </w:t>
      </w:r>
      <w:r>
        <w:t>da</w:t>
      </w:r>
      <w:r>
        <w:rPr>
          <w:spacing w:val="-4"/>
        </w:rPr>
        <w:t xml:space="preserve"> </w:t>
      </w:r>
      <w:r>
        <w:t>Suprema</w:t>
      </w:r>
      <w:r>
        <w:rPr>
          <w:spacing w:val="-4"/>
        </w:rPr>
        <w:t xml:space="preserve"> </w:t>
      </w:r>
      <w:r>
        <w:t>Corte,</w:t>
      </w:r>
      <w:r>
        <w:rPr>
          <w:spacing w:val="-4"/>
        </w:rPr>
        <w:t xml:space="preserve"> </w:t>
      </w:r>
      <w:r>
        <w:t>o</w:t>
      </w:r>
      <w:r>
        <w:rPr>
          <w:spacing w:val="-1"/>
        </w:rPr>
        <w:t xml:space="preserve"> </w:t>
      </w:r>
      <w:r>
        <w:t>presente artigo</w:t>
      </w:r>
      <w:r>
        <w:rPr>
          <w:spacing w:val="-1"/>
        </w:rPr>
        <w:t xml:space="preserve"> </w:t>
      </w:r>
      <w:r>
        <w:t>revisitará</w:t>
      </w:r>
      <w:r>
        <w:rPr>
          <w:spacing w:val="-3"/>
        </w:rPr>
        <w:t xml:space="preserve"> </w:t>
      </w:r>
      <w:r>
        <w:t>os conceitos de discricionariedade, finalidade e mérito administrativa, a fim de refletir acerca da possibilidade (ou impossibilidade) de controle do mérito administrativo diante de direitos fundamentais,</w:t>
      </w:r>
      <w:r>
        <w:rPr>
          <w:spacing w:val="-1"/>
        </w:rPr>
        <w:t xml:space="preserve"> </w:t>
      </w:r>
      <w:r>
        <w:t>em especial</w:t>
      </w:r>
      <w:r>
        <w:rPr>
          <w:spacing w:val="-1"/>
        </w:rPr>
        <w:t xml:space="preserve"> </w:t>
      </w:r>
      <w:r>
        <w:t>o</w:t>
      </w:r>
      <w:r>
        <w:rPr>
          <w:spacing w:val="-1"/>
        </w:rPr>
        <w:t xml:space="preserve"> </w:t>
      </w:r>
      <w:r>
        <w:t>direito</w:t>
      </w:r>
      <w:r>
        <w:rPr>
          <w:spacing w:val="-1"/>
        </w:rPr>
        <w:t xml:space="preserve"> </w:t>
      </w:r>
      <w:r>
        <w:t>à saúde,</w:t>
      </w:r>
      <w:r>
        <w:rPr>
          <w:spacing w:val="-1"/>
        </w:rPr>
        <w:t xml:space="preserve"> </w:t>
      </w:r>
      <w:r>
        <w:t>tendo</w:t>
      </w:r>
      <w:r>
        <w:rPr>
          <w:spacing w:val="-1"/>
        </w:rPr>
        <w:t xml:space="preserve"> </w:t>
      </w:r>
      <w:r>
        <w:t>como</w:t>
      </w:r>
      <w:r>
        <w:rPr>
          <w:spacing w:val="-1"/>
        </w:rPr>
        <w:t xml:space="preserve"> </w:t>
      </w:r>
      <w:r>
        <w:t>plano de</w:t>
      </w:r>
      <w:r>
        <w:rPr>
          <w:spacing w:val="-1"/>
        </w:rPr>
        <w:t xml:space="preserve"> </w:t>
      </w:r>
      <w:r>
        <w:t>fundo</w:t>
      </w:r>
      <w:r>
        <w:rPr>
          <w:spacing w:val="-1"/>
        </w:rPr>
        <w:t xml:space="preserve"> </w:t>
      </w:r>
      <w:r>
        <w:t>o</w:t>
      </w:r>
      <w:r>
        <w:rPr>
          <w:spacing w:val="-1"/>
        </w:rPr>
        <w:t xml:space="preserve"> </w:t>
      </w:r>
      <w:r>
        <w:t>caso analisado</w:t>
      </w:r>
      <w:r>
        <w:rPr>
          <w:spacing w:val="-1"/>
        </w:rPr>
        <w:t xml:space="preserve"> </w:t>
      </w:r>
      <w:r>
        <w:t xml:space="preserve">pelo </w:t>
      </w:r>
      <w:r>
        <w:rPr>
          <w:spacing w:val="-4"/>
        </w:rPr>
        <w:t>STF.</w:t>
      </w:r>
    </w:p>
    <w:p w:rsidR="007259F2" w:rsidRDefault="00E655B4">
      <w:pPr>
        <w:pStyle w:val="Heading2"/>
        <w:numPr>
          <w:ilvl w:val="0"/>
          <w:numId w:val="23"/>
        </w:numPr>
        <w:tabs>
          <w:tab w:val="left" w:pos="1705"/>
        </w:tabs>
        <w:spacing w:before="243"/>
        <w:ind w:left="1705" w:hanging="285"/>
      </w:pPr>
      <w:r>
        <w:t>Discricionariedade,</w:t>
      </w:r>
      <w:r>
        <w:rPr>
          <w:spacing w:val="-3"/>
        </w:rPr>
        <w:t xml:space="preserve"> </w:t>
      </w:r>
      <w:r>
        <w:t>finalidade</w:t>
      </w:r>
      <w:r>
        <w:rPr>
          <w:spacing w:val="-5"/>
        </w:rPr>
        <w:t xml:space="preserve"> </w:t>
      </w:r>
      <w:r>
        <w:t>e</w:t>
      </w:r>
      <w:r>
        <w:rPr>
          <w:spacing w:val="-6"/>
        </w:rPr>
        <w:t xml:space="preserve"> </w:t>
      </w:r>
      <w:r>
        <w:t>mérito</w:t>
      </w:r>
      <w:r>
        <w:rPr>
          <w:spacing w:val="-1"/>
        </w:rPr>
        <w:t xml:space="preserve"> </w:t>
      </w:r>
      <w:r>
        <w:rPr>
          <w:spacing w:val="-2"/>
        </w:rPr>
        <w:t>administrativo</w:t>
      </w:r>
    </w:p>
    <w:p w:rsidR="007259F2" w:rsidRDefault="007259F2">
      <w:pPr>
        <w:pStyle w:val="Corpodetexto"/>
        <w:ind w:left="0" w:firstLine="0"/>
        <w:jc w:val="left"/>
        <w:rPr>
          <w:b/>
          <w:sz w:val="20"/>
        </w:rPr>
      </w:pPr>
    </w:p>
    <w:p w:rsidR="007259F2" w:rsidRDefault="00DE6B1C">
      <w:pPr>
        <w:pStyle w:val="Corpodetexto"/>
        <w:spacing w:before="103"/>
        <w:ind w:left="0" w:firstLine="0"/>
        <w:jc w:val="left"/>
        <w:rPr>
          <w:b/>
          <w:sz w:val="20"/>
        </w:rPr>
      </w:pPr>
      <w:r w:rsidRPr="00DE6B1C">
        <w:rPr>
          <w:b/>
          <w:sz w:val="20"/>
        </w:rPr>
        <w:pict>
          <v:rect id="docshape139" o:spid="_x0000_s1088" style="position:absolute;margin-left:85.1pt;margin-top:17.85pt;width:2in;height:.7pt;z-index:-15667712;mso-wrap-distance-left:0;mso-wrap-distance-right:0;mso-position-horizontal-relative:page" fillcolor="black" stroked="f">
            <w10:wrap type="topAndBottom" anchorx="page"/>
          </v:rect>
        </w:pict>
      </w:r>
    </w:p>
    <w:p w:rsidR="007259F2" w:rsidRDefault="00E655B4">
      <w:pPr>
        <w:spacing w:before="97"/>
        <w:ind w:left="710" w:right="424"/>
        <w:jc w:val="both"/>
        <w:rPr>
          <w:sz w:val="20"/>
        </w:rPr>
      </w:pPr>
      <w:r>
        <w:rPr>
          <w:sz w:val="20"/>
          <w:vertAlign w:val="superscript"/>
        </w:rPr>
        <w:t>15</w:t>
      </w:r>
      <w:r>
        <w:rPr>
          <w:sz w:val="20"/>
        </w:rPr>
        <w:t xml:space="preserve"> MARTINS, Ricardo Marcondes. Teoria dos princípios e poder judiciário: a utilização de princípios na fundamentação da sentença. In: GUERRA,</w:t>
      </w:r>
      <w:r>
        <w:rPr>
          <w:spacing w:val="-7"/>
          <w:sz w:val="20"/>
        </w:rPr>
        <w:t xml:space="preserve"> </w:t>
      </w:r>
      <w:r>
        <w:rPr>
          <w:sz w:val="20"/>
        </w:rPr>
        <w:t>Alexandre Dartanhan</w:t>
      </w:r>
      <w:r>
        <w:rPr>
          <w:spacing w:val="-1"/>
          <w:sz w:val="20"/>
        </w:rPr>
        <w:t xml:space="preserve"> </w:t>
      </w:r>
      <w:r>
        <w:rPr>
          <w:sz w:val="20"/>
        </w:rPr>
        <w:t xml:space="preserve">de Mello (Coord.). </w:t>
      </w:r>
      <w:r>
        <w:rPr>
          <w:b/>
          <w:sz w:val="20"/>
        </w:rPr>
        <w:t>Estudos em</w:t>
      </w:r>
      <w:r>
        <w:rPr>
          <w:b/>
          <w:spacing w:val="-2"/>
          <w:sz w:val="20"/>
        </w:rPr>
        <w:t xml:space="preserve"> </w:t>
      </w:r>
      <w:r>
        <w:rPr>
          <w:b/>
          <w:sz w:val="20"/>
        </w:rPr>
        <w:t>homenagem</w:t>
      </w:r>
      <w:r>
        <w:rPr>
          <w:b/>
          <w:spacing w:val="-2"/>
          <w:sz w:val="20"/>
        </w:rPr>
        <w:t xml:space="preserve"> </w:t>
      </w:r>
      <w:r>
        <w:rPr>
          <w:b/>
          <w:sz w:val="20"/>
        </w:rPr>
        <w:t>a Clóvis Beviláqua por</w:t>
      </w:r>
      <w:r>
        <w:rPr>
          <w:b/>
          <w:spacing w:val="-5"/>
          <w:sz w:val="20"/>
        </w:rPr>
        <w:t xml:space="preserve"> </w:t>
      </w:r>
      <w:r>
        <w:rPr>
          <w:b/>
          <w:sz w:val="20"/>
        </w:rPr>
        <w:t>ocasião do centenário do Direito Civil codificado no Brasil</w:t>
      </w:r>
      <w:r>
        <w:rPr>
          <w:sz w:val="20"/>
        </w:rPr>
        <w:t>. São Paulo: Escola</w:t>
      </w:r>
      <w:r>
        <w:rPr>
          <w:spacing w:val="-1"/>
          <w:sz w:val="20"/>
        </w:rPr>
        <w:t xml:space="preserve"> </w:t>
      </w:r>
      <w:r>
        <w:rPr>
          <w:sz w:val="20"/>
        </w:rPr>
        <w:t>Paulista da Magistratura, 2018. v. 1.</w:t>
      </w:r>
    </w:p>
    <w:p w:rsidR="007259F2" w:rsidRDefault="007259F2">
      <w:pPr>
        <w:jc w:val="both"/>
        <w:rPr>
          <w:sz w:val="20"/>
        </w:rPr>
        <w:sectPr w:rsidR="007259F2">
          <w:pgSz w:w="11910" w:h="16840"/>
          <w:pgMar w:top="1600" w:right="708" w:bottom="1020" w:left="992" w:header="0" w:footer="820" w:gutter="0"/>
          <w:cols w:space="720"/>
        </w:sectPr>
      </w:pPr>
    </w:p>
    <w:p w:rsidR="007259F2" w:rsidRDefault="00E655B4">
      <w:pPr>
        <w:pStyle w:val="Heading2"/>
        <w:numPr>
          <w:ilvl w:val="1"/>
          <w:numId w:val="23"/>
        </w:numPr>
        <w:tabs>
          <w:tab w:val="left" w:pos="1804"/>
        </w:tabs>
        <w:spacing w:before="60"/>
        <w:jc w:val="both"/>
      </w:pPr>
      <w:r>
        <w:rPr>
          <w:spacing w:val="-2"/>
        </w:rPr>
        <w:lastRenderedPageBreak/>
        <w:t>Discricionariedade</w:t>
      </w:r>
    </w:p>
    <w:p w:rsidR="007259F2" w:rsidRDefault="00E655B4">
      <w:pPr>
        <w:pStyle w:val="Corpodetexto"/>
        <w:spacing w:before="115"/>
        <w:ind w:right="423"/>
      </w:pPr>
      <w:r>
        <w:t>A Constituição Federal elegeu o pluralismo político como um dos fundamentos do Estado</w:t>
      </w:r>
      <w:r>
        <w:rPr>
          <w:spacing w:val="-4"/>
        </w:rPr>
        <w:t xml:space="preserve"> </w:t>
      </w:r>
      <w:r>
        <w:t>Brasileiro,</w:t>
      </w:r>
      <w:r>
        <w:rPr>
          <w:spacing w:val="-3"/>
        </w:rPr>
        <w:t xml:space="preserve"> </w:t>
      </w:r>
      <w:r>
        <w:t>impondo-se</w:t>
      </w:r>
      <w:r>
        <w:rPr>
          <w:spacing w:val="-4"/>
        </w:rPr>
        <w:t xml:space="preserve"> </w:t>
      </w:r>
      <w:r>
        <w:t>o</w:t>
      </w:r>
      <w:r>
        <w:rPr>
          <w:spacing w:val="-3"/>
        </w:rPr>
        <w:t xml:space="preserve"> </w:t>
      </w:r>
      <w:r>
        <w:t>reconhecimento e</w:t>
      </w:r>
      <w:r>
        <w:rPr>
          <w:spacing w:val="-4"/>
        </w:rPr>
        <w:t xml:space="preserve"> </w:t>
      </w:r>
      <w:r>
        <w:t>a</w:t>
      </w:r>
      <w:r>
        <w:rPr>
          <w:spacing w:val="-7"/>
        </w:rPr>
        <w:t xml:space="preserve"> </w:t>
      </w:r>
      <w:r>
        <w:t>proteção</w:t>
      </w:r>
      <w:r>
        <w:rPr>
          <w:spacing w:val="-1"/>
        </w:rPr>
        <w:t xml:space="preserve"> </w:t>
      </w:r>
      <w:r>
        <w:t>de</w:t>
      </w:r>
      <w:r>
        <w:rPr>
          <w:spacing w:val="-4"/>
        </w:rPr>
        <w:t xml:space="preserve"> </w:t>
      </w:r>
      <w:r>
        <w:t>diferentes ideologias</w:t>
      </w:r>
      <w:r>
        <w:rPr>
          <w:spacing w:val="-1"/>
        </w:rPr>
        <w:t xml:space="preserve"> </w:t>
      </w:r>
      <w:r>
        <w:t>e</w:t>
      </w:r>
      <w:r>
        <w:rPr>
          <w:spacing w:val="-7"/>
        </w:rPr>
        <w:t xml:space="preserve"> </w:t>
      </w:r>
      <w:r>
        <w:t xml:space="preserve">visões de mundo, todas em patamar de igualdade e juridicamente válidas, fundamento este para a </w:t>
      </w:r>
      <w:r>
        <w:rPr>
          <w:spacing w:val="-2"/>
        </w:rPr>
        <w:t>discricionariedade.</w:t>
      </w:r>
      <w:r>
        <w:rPr>
          <w:spacing w:val="-2"/>
          <w:vertAlign w:val="superscript"/>
        </w:rPr>
        <w:t>16</w:t>
      </w:r>
    </w:p>
    <w:p w:rsidR="007259F2" w:rsidRDefault="00E655B4">
      <w:pPr>
        <w:ind w:left="710" w:right="423" w:firstLine="707"/>
        <w:jc w:val="both"/>
        <w:rPr>
          <w:sz w:val="24"/>
        </w:rPr>
      </w:pPr>
      <w:r>
        <w:rPr>
          <w:sz w:val="24"/>
        </w:rPr>
        <w:t xml:space="preserve">Com efeito, os atos classificam-se tendo em vista os limites impostos ao exercício da competência, em: </w:t>
      </w:r>
      <w:r>
        <w:rPr>
          <w:i/>
          <w:sz w:val="24"/>
        </w:rPr>
        <w:t>atos decorrentes de exercício de competência vinculada e atos decorrentes do exercício de competência discricionária</w:t>
      </w:r>
      <w:r>
        <w:rPr>
          <w:sz w:val="24"/>
        </w:rPr>
        <w:t>, tema que embora seja objeto de inúmeros trabalhos ainda hoje é controverso na doutrina.</w:t>
      </w:r>
      <w:r>
        <w:rPr>
          <w:sz w:val="24"/>
          <w:vertAlign w:val="superscript"/>
        </w:rPr>
        <w:t>17</w:t>
      </w:r>
    </w:p>
    <w:p w:rsidR="007259F2" w:rsidRDefault="00E655B4">
      <w:pPr>
        <w:pStyle w:val="Corpodetexto"/>
        <w:ind w:right="418"/>
      </w:pPr>
      <w:r>
        <w:t>Conforme a concepção legalista da discricionariedade, adotada de forma majoritária pela doutrina brasileira</w:t>
      </w:r>
      <w:r>
        <w:rPr>
          <w:vertAlign w:val="superscript"/>
        </w:rPr>
        <w:t>18</w:t>
      </w:r>
      <w:r>
        <w:t xml:space="preserve"> esta é constituída pela atuação do Legislador, de modo que a lei confere ou não a possibilidade de escolha à Administração Pública, se esta é conferida, há discricionariedade, em caso negativo, vinculação. Por sua vez, segundo a concepção neoconstitucionalista, conforme as lições de Ricardo Marcondes Martins</w:t>
      </w:r>
      <w:r>
        <w:rPr>
          <w:vertAlign w:val="superscript"/>
        </w:rPr>
        <w:t>19</w:t>
      </w:r>
      <w:r>
        <w:t>, embora o Legislador</w:t>
      </w:r>
      <w:r>
        <w:rPr>
          <w:spacing w:val="-10"/>
        </w:rPr>
        <w:t xml:space="preserve"> </w:t>
      </w:r>
      <w:r>
        <w:t>possa</w:t>
      </w:r>
      <w:r>
        <w:rPr>
          <w:spacing w:val="-9"/>
        </w:rPr>
        <w:t xml:space="preserve"> </w:t>
      </w:r>
      <w:r>
        <w:t>estabelecer</w:t>
      </w:r>
      <w:r>
        <w:rPr>
          <w:spacing w:val="-8"/>
        </w:rPr>
        <w:t xml:space="preserve"> </w:t>
      </w:r>
      <w:r>
        <w:t>no</w:t>
      </w:r>
      <w:r>
        <w:rPr>
          <w:spacing w:val="-8"/>
        </w:rPr>
        <w:t xml:space="preserve"> </w:t>
      </w:r>
      <w:r>
        <w:t>plano</w:t>
      </w:r>
      <w:r>
        <w:rPr>
          <w:spacing w:val="-10"/>
        </w:rPr>
        <w:t xml:space="preserve"> </w:t>
      </w:r>
      <w:r>
        <w:t>abstrato,</w:t>
      </w:r>
      <w:r>
        <w:rPr>
          <w:spacing w:val="-7"/>
        </w:rPr>
        <w:t xml:space="preserve"> </w:t>
      </w:r>
      <w:r>
        <w:t>razões</w:t>
      </w:r>
      <w:r>
        <w:rPr>
          <w:spacing w:val="-5"/>
        </w:rPr>
        <w:t xml:space="preserve"> </w:t>
      </w:r>
      <w:r>
        <w:rPr>
          <w:i/>
        </w:rPr>
        <w:t>prima</w:t>
      </w:r>
      <w:r>
        <w:rPr>
          <w:i/>
          <w:spacing w:val="-8"/>
        </w:rPr>
        <w:t xml:space="preserve"> </w:t>
      </w:r>
      <w:r>
        <w:rPr>
          <w:i/>
        </w:rPr>
        <w:t>facie</w:t>
      </w:r>
      <w:r>
        <w:rPr>
          <w:i/>
          <w:spacing w:val="-10"/>
        </w:rPr>
        <w:t xml:space="preserve"> </w:t>
      </w:r>
      <w:r>
        <w:t>que</w:t>
      </w:r>
      <w:r>
        <w:rPr>
          <w:spacing w:val="-9"/>
        </w:rPr>
        <w:t xml:space="preserve"> </w:t>
      </w:r>
      <w:r>
        <w:t>reduzam</w:t>
      </w:r>
      <w:r>
        <w:rPr>
          <w:spacing w:val="-7"/>
        </w:rPr>
        <w:t xml:space="preserve"> </w:t>
      </w:r>
      <w:r>
        <w:t>a</w:t>
      </w:r>
      <w:r>
        <w:rPr>
          <w:spacing w:val="-11"/>
        </w:rPr>
        <w:t xml:space="preserve"> </w:t>
      </w:r>
      <w:r>
        <w:t>possibilidade no</w:t>
      </w:r>
      <w:r>
        <w:rPr>
          <w:spacing w:val="-4"/>
        </w:rPr>
        <w:t xml:space="preserve"> </w:t>
      </w:r>
      <w:r>
        <w:t>plano</w:t>
      </w:r>
      <w:r>
        <w:rPr>
          <w:spacing w:val="-4"/>
        </w:rPr>
        <w:t xml:space="preserve"> </w:t>
      </w:r>
      <w:r>
        <w:t>concreto, a</w:t>
      </w:r>
      <w:r>
        <w:rPr>
          <w:spacing w:val="-4"/>
        </w:rPr>
        <w:t xml:space="preserve"> </w:t>
      </w:r>
      <w:r>
        <w:t>discricionariedade</w:t>
      </w:r>
      <w:r>
        <w:rPr>
          <w:spacing w:val="-3"/>
        </w:rPr>
        <w:t xml:space="preserve"> </w:t>
      </w:r>
      <w:r>
        <w:t>decorre</w:t>
      </w:r>
      <w:r>
        <w:rPr>
          <w:spacing w:val="-4"/>
        </w:rPr>
        <w:t xml:space="preserve"> </w:t>
      </w:r>
      <w:r>
        <w:t>da análise</w:t>
      </w:r>
      <w:r>
        <w:rPr>
          <w:spacing w:val="-4"/>
        </w:rPr>
        <w:t xml:space="preserve"> </w:t>
      </w:r>
      <w:r>
        <w:t>do</w:t>
      </w:r>
      <w:r>
        <w:rPr>
          <w:spacing w:val="-1"/>
        </w:rPr>
        <w:t xml:space="preserve"> </w:t>
      </w:r>
      <w:r>
        <w:t>Direito globalmente</w:t>
      </w:r>
      <w:r>
        <w:rPr>
          <w:spacing w:val="-3"/>
        </w:rPr>
        <w:t xml:space="preserve"> </w:t>
      </w:r>
      <w:r>
        <w:t>considerado e</w:t>
      </w:r>
      <w:r>
        <w:rPr>
          <w:spacing w:val="-7"/>
        </w:rPr>
        <w:t xml:space="preserve"> </w:t>
      </w:r>
      <w:r>
        <w:t>não</w:t>
      </w:r>
      <w:r>
        <w:rPr>
          <w:spacing w:val="-4"/>
        </w:rPr>
        <w:t xml:space="preserve"> </w:t>
      </w:r>
      <w:r>
        <w:t>da</w:t>
      </w:r>
      <w:r>
        <w:rPr>
          <w:spacing w:val="-5"/>
        </w:rPr>
        <w:t xml:space="preserve"> </w:t>
      </w:r>
      <w:r>
        <w:t>lei,</w:t>
      </w:r>
      <w:r>
        <w:rPr>
          <w:spacing w:val="-4"/>
        </w:rPr>
        <w:t xml:space="preserve"> </w:t>
      </w:r>
      <w:r>
        <w:t>de</w:t>
      </w:r>
      <w:r>
        <w:rPr>
          <w:spacing w:val="-7"/>
        </w:rPr>
        <w:t xml:space="preserve"> </w:t>
      </w:r>
      <w:r>
        <w:t>modo</w:t>
      </w:r>
      <w:r>
        <w:rPr>
          <w:spacing w:val="-3"/>
        </w:rPr>
        <w:t xml:space="preserve"> </w:t>
      </w:r>
      <w:r>
        <w:t>que</w:t>
      </w:r>
      <w:r>
        <w:rPr>
          <w:spacing w:val="-4"/>
        </w:rPr>
        <w:t xml:space="preserve"> </w:t>
      </w:r>
      <w:r>
        <w:t>é</w:t>
      </w:r>
      <w:r>
        <w:rPr>
          <w:spacing w:val="-7"/>
        </w:rPr>
        <w:t xml:space="preserve"> </w:t>
      </w:r>
      <w:r>
        <w:t>a</w:t>
      </w:r>
      <w:r>
        <w:rPr>
          <w:spacing w:val="-7"/>
        </w:rPr>
        <w:t xml:space="preserve"> </w:t>
      </w:r>
      <w:r>
        <w:t>ponderação</w:t>
      </w:r>
      <w:r>
        <w:rPr>
          <w:spacing w:val="-3"/>
        </w:rPr>
        <w:t xml:space="preserve"> </w:t>
      </w:r>
      <w:r>
        <w:t>à</w:t>
      </w:r>
      <w:r>
        <w:rPr>
          <w:spacing w:val="-5"/>
        </w:rPr>
        <w:t xml:space="preserve"> </w:t>
      </w:r>
      <w:r>
        <w:t>luz</w:t>
      </w:r>
      <w:r>
        <w:rPr>
          <w:spacing w:val="-2"/>
        </w:rPr>
        <w:t xml:space="preserve"> </w:t>
      </w:r>
      <w:r>
        <w:t>do</w:t>
      </w:r>
      <w:r>
        <w:rPr>
          <w:spacing w:val="-6"/>
        </w:rPr>
        <w:t xml:space="preserve"> </w:t>
      </w:r>
      <w:r>
        <w:t>caso</w:t>
      </w:r>
      <w:r>
        <w:rPr>
          <w:spacing w:val="-4"/>
        </w:rPr>
        <w:t xml:space="preserve"> </w:t>
      </w:r>
      <w:r>
        <w:t>concreto</w:t>
      </w:r>
      <w:r>
        <w:rPr>
          <w:spacing w:val="-3"/>
        </w:rPr>
        <w:t xml:space="preserve"> </w:t>
      </w:r>
      <w:r>
        <w:t>que</w:t>
      </w:r>
      <w:r>
        <w:rPr>
          <w:spacing w:val="-5"/>
        </w:rPr>
        <w:t xml:space="preserve"> </w:t>
      </w:r>
      <w:r>
        <w:t>indicará</w:t>
      </w:r>
      <w:r>
        <w:rPr>
          <w:spacing w:val="-6"/>
        </w:rPr>
        <w:t xml:space="preserve"> </w:t>
      </w:r>
      <w:r>
        <w:t>se</w:t>
      </w:r>
      <w:r>
        <w:rPr>
          <w:spacing w:val="-7"/>
        </w:rPr>
        <w:t xml:space="preserve"> </w:t>
      </w:r>
      <w:r>
        <w:t>há</w:t>
      </w:r>
      <w:r>
        <w:rPr>
          <w:spacing w:val="-7"/>
        </w:rPr>
        <w:t xml:space="preserve"> </w:t>
      </w:r>
      <w:r>
        <w:t>ou</w:t>
      </w:r>
      <w:r>
        <w:rPr>
          <w:spacing w:val="-4"/>
        </w:rPr>
        <w:t xml:space="preserve"> </w:t>
      </w:r>
      <w:r>
        <w:t>não</w:t>
      </w:r>
      <w:r>
        <w:rPr>
          <w:spacing w:val="-4"/>
        </w:rPr>
        <w:t xml:space="preserve"> </w:t>
      </w:r>
      <w:r>
        <w:t>duas ou mais soluções admitidas pelo Direito, o presente artigo adotará a segunda concepção.</w:t>
      </w:r>
    </w:p>
    <w:p w:rsidR="007259F2" w:rsidRDefault="00E655B4">
      <w:pPr>
        <w:pStyle w:val="Corpodetexto"/>
        <w:spacing w:before="1"/>
        <w:ind w:right="422"/>
        <w:rPr>
          <w:position w:val="9"/>
          <w:sz w:val="13"/>
        </w:rPr>
      </w:pPr>
      <w:r>
        <w:t>Diante disso, ao exercer a competência legislativa, o legislador identifica os princípios constitucionais (valores) e, no âmbito da discricionariedade, elege aqueles que pretende concretizar. Após a escolha, respeitado o postulado da proporcionalidade, é realizada a ponderação entre o valor escolhido e os valores conflitantes e, no plano abstrato, é fixada a forma</w:t>
      </w:r>
      <w:r>
        <w:rPr>
          <w:spacing w:val="-9"/>
        </w:rPr>
        <w:t xml:space="preserve"> </w:t>
      </w:r>
      <w:r>
        <w:t>de</w:t>
      </w:r>
      <w:r>
        <w:rPr>
          <w:spacing w:val="-9"/>
        </w:rPr>
        <w:t xml:space="preserve"> </w:t>
      </w:r>
      <w:r>
        <w:t>concretização. Por</w:t>
      </w:r>
      <w:r>
        <w:rPr>
          <w:spacing w:val="-9"/>
        </w:rPr>
        <w:t xml:space="preserve"> </w:t>
      </w:r>
      <w:r>
        <w:t>outro</w:t>
      </w:r>
      <w:r>
        <w:rPr>
          <w:spacing w:val="-8"/>
        </w:rPr>
        <w:t xml:space="preserve"> </w:t>
      </w:r>
      <w:r>
        <w:t>lado,</w:t>
      </w:r>
      <w:r>
        <w:rPr>
          <w:spacing w:val="-6"/>
        </w:rPr>
        <w:t xml:space="preserve"> </w:t>
      </w:r>
      <w:r>
        <w:t>à</w:t>
      </w:r>
      <w:r>
        <w:rPr>
          <w:spacing w:val="-9"/>
        </w:rPr>
        <w:t xml:space="preserve"> </w:t>
      </w:r>
      <w:r>
        <w:t>Administração</w:t>
      </w:r>
      <w:r>
        <w:rPr>
          <w:spacing w:val="-3"/>
        </w:rPr>
        <w:t xml:space="preserve"> </w:t>
      </w:r>
      <w:r>
        <w:t>cabe</w:t>
      </w:r>
      <w:r>
        <w:rPr>
          <w:spacing w:val="-7"/>
        </w:rPr>
        <w:t xml:space="preserve"> </w:t>
      </w:r>
      <w:r>
        <w:t>realizar</w:t>
      </w:r>
      <w:r>
        <w:rPr>
          <w:spacing w:val="-6"/>
        </w:rPr>
        <w:t xml:space="preserve"> </w:t>
      </w:r>
      <w:r>
        <w:t>as</w:t>
      </w:r>
      <w:r>
        <w:rPr>
          <w:spacing w:val="-8"/>
        </w:rPr>
        <w:t xml:space="preserve"> </w:t>
      </w:r>
      <w:r>
        <w:t>ponderações</w:t>
      </w:r>
      <w:r>
        <w:rPr>
          <w:spacing w:val="-7"/>
        </w:rPr>
        <w:t xml:space="preserve"> </w:t>
      </w:r>
      <w:r>
        <w:t>no</w:t>
      </w:r>
      <w:r>
        <w:rPr>
          <w:spacing w:val="-8"/>
        </w:rPr>
        <w:t xml:space="preserve"> </w:t>
      </w:r>
      <w:r>
        <w:t>plano concreto, tendo em vista as ponderações realizadas pelo legislador – o peso dos referidos princípios formais, em atenção ao princípio da legalidade.</w:t>
      </w:r>
      <w:r>
        <w:rPr>
          <w:position w:val="9"/>
          <w:sz w:val="13"/>
        </w:rPr>
        <w:t>20</w:t>
      </w:r>
    </w:p>
    <w:p w:rsidR="007259F2" w:rsidRDefault="00E655B4">
      <w:pPr>
        <w:pStyle w:val="Corpodetexto"/>
        <w:spacing w:before="1"/>
        <w:ind w:right="421"/>
        <w:rPr>
          <w:i/>
        </w:rPr>
      </w:pPr>
      <w:r>
        <w:t xml:space="preserve">Nas hipóteses de remissão expressa o Legislador atribui de forma evidente a decisão sobre o </w:t>
      </w:r>
      <w:r>
        <w:rPr>
          <w:i/>
        </w:rPr>
        <w:t>momento</w:t>
      </w:r>
      <w:r>
        <w:t xml:space="preserve">, o </w:t>
      </w:r>
      <w:r>
        <w:rPr>
          <w:i/>
        </w:rPr>
        <w:t xml:space="preserve">meio </w:t>
      </w:r>
      <w:r>
        <w:t xml:space="preserve">ou a </w:t>
      </w:r>
      <w:r>
        <w:rPr>
          <w:i/>
        </w:rPr>
        <w:t xml:space="preserve">forma </w:t>
      </w:r>
      <w:r>
        <w:t>de sua atuação, enquanto na remissão tácita este se vale de conceitos vagos fluídos ou indeterminados, - especialmente relevantes no contexto dos direitos</w:t>
      </w:r>
      <w:r>
        <w:rPr>
          <w:spacing w:val="-1"/>
        </w:rPr>
        <w:t xml:space="preserve"> </w:t>
      </w:r>
      <w:r>
        <w:t>fundamentais e do</w:t>
      </w:r>
      <w:r>
        <w:rPr>
          <w:spacing w:val="-1"/>
        </w:rPr>
        <w:t xml:space="preserve"> </w:t>
      </w:r>
      <w:r>
        <w:t>direito</w:t>
      </w:r>
      <w:r>
        <w:rPr>
          <w:spacing w:val="-1"/>
        </w:rPr>
        <w:t xml:space="preserve"> </w:t>
      </w:r>
      <w:r>
        <w:t>à</w:t>
      </w:r>
      <w:r>
        <w:rPr>
          <w:spacing w:val="-1"/>
        </w:rPr>
        <w:t xml:space="preserve"> </w:t>
      </w:r>
      <w:r>
        <w:t>saúde</w:t>
      </w:r>
      <w:r>
        <w:rPr>
          <w:spacing w:val="-2"/>
        </w:rPr>
        <w:t xml:space="preserve"> </w:t>
      </w:r>
      <w:r>
        <w:t>- deixando-se</w:t>
      </w:r>
      <w:r>
        <w:rPr>
          <w:spacing w:val="-2"/>
        </w:rPr>
        <w:t xml:space="preserve"> </w:t>
      </w:r>
      <w:r>
        <w:t>ao administrador</w:t>
      </w:r>
      <w:r>
        <w:rPr>
          <w:spacing w:val="-1"/>
        </w:rPr>
        <w:t xml:space="preserve"> </w:t>
      </w:r>
      <w:r>
        <w:t>o encargo de, diante do caso concreto, precisar seu significado e completar a norma.</w:t>
      </w:r>
      <w:r>
        <w:rPr>
          <w:position w:val="9"/>
          <w:sz w:val="13"/>
        </w:rPr>
        <w:t>21</w:t>
      </w:r>
      <w:r>
        <w:rPr>
          <w:spacing w:val="40"/>
          <w:position w:val="9"/>
          <w:sz w:val="13"/>
        </w:rPr>
        <w:t xml:space="preserve"> </w:t>
      </w:r>
      <w:r>
        <w:t>Ressalta-se que mesmo os conceitos</w:t>
      </w:r>
      <w:r>
        <w:rPr>
          <w:spacing w:val="45"/>
        </w:rPr>
        <w:t xml:space="preserve"> </w:t>
      </w:r>
      <w:r>
        <w:t>vagos,</w:t>
      </w:r>
      <w:r>
        <w:rPr>
          <w:spacing w:val="49"/>
        </w:rPr>
        <w:t xml:space="preserve"> </w:t>
      </w:r>
      <w:r>
        <w:t>fluídos</w:t>
      </w:r>
      <w:r>
        <w:rPr>
          <w:spacing w:val="52"/>
        </w:rPr>
        <w:t xml:space="preserve"> </w:t>
      </w:r>
      <w:r>
        <w:t>ou</w:t>
      </w:r>
      <w:r>
        <w:rPr>
          <w:spacing w:val="49"/>
        </w:rPr>
        <w:t xml:space="preserve"> </w:t>
      </w:r>
      <w:r>
        <w:t>indeterminados,</w:t>
      </w:r>
      <w:r>
        <w:rPr>
          <w:spacing w:val="49"/>
        </w:rPr>
        <w:t xml:space="preserve"> </w:t>
      </w:r>
      <w:r>
        <w:t>por</w:t>
      </w:r>
      <w:r>
        <w:rPr>
          <w:spacing w:val="49"/>
        </w:rPr>
        <w:t xml:space="preserve"> </w:t>
      </w:r>
      <w:r>
        <w:t>definição,</w:t>
      </w:r>
      <w:r>
        <w:rPr>
          <w:spacing w:val="51"/>
        </w:rPr>
        <w:t xml:space="preserve"> </w:t>
      </w:r>
      <w:r>
        <w:t>possuem</w:t>
      </w:r>
      <w:r>
        <w:rPr>
          <w:spacing w:val="49"/>
        </w:rPr>
        <w:t xml:space="preserve"> </w:t>
      </w:r>
      <w:r>
        <w:t>uma</w:t>
      </w:r>
      <w:r>
        <w:rPr>
          <w:spacing w:val="54"/>
        </w:rPr>
        <w:t xml:space="preserve"> </w:t>
      </w:r>
      <w:r>
        <w:rPr>
          <w:i/>
        </w:rPr>
        <w:t>zona</w:t>
      </w:r>
      <w:r>
        <w:rPr>
          <w:i/>
          <w:spacing w:val="49"/>
        </w:rPr>
        <w:t xml:space="preserve"> </w:t>
      </w:r>
      <w:r>
        <w:rPr>
          <w:i/>
        </w:rPr>
        <w:t>de</w:t>
      </w:r>
      <w:r>
        <w:rPr>
          <w:i/>
          <w:spacing w:val="47"/>
        </w:rPr>
        <w:t xml:space="preserve"> </w:t>
      </w:r>
      <w:r>
        <w:rPr>
          <w:i/>
          <w:spacing w:val="-2"/>
        </w:rPr>
        <w:t>certeza</w:t>
      </w:r>
    </w:p>
    <w:p w:rsidR="007259F2" w:rsidRDefault="007259F2">
      <w:pPr>
        <w:pStyle w:val="Corpodetexto"/>
        <w:ind w:left="0" w:firstLine="0"/>
        <w:jc w:val="left"/>
        <w:rPr>
          <w:i/>
          <w:sz w:val="20"/>
        </w:rPr>
      </w:pPr>
    </w:p>
    <w:p w:rsidR="007259F2" w:rsidRDefault="007259F2">
      <w:pPr>
        <w:pStyle w:val="Corpodetexto"/>
        <w:ind w:left="0" w:firstLine="0"/>
        <w:jc w:val="left"/>
        <w:rPr>
          <w:i/>
          <w:sz w:val="20"/>
        </w:rPr>
      </w:pPr>
    </w:p>
    <w:p w:rsidR="007259F2" w:rsidRDefault="00DE6B1C">
      <w:pPr>
        <w:pStyle w:val="Corpodetexto"/>
        <w:spacing w:before="105"/>
        <w:ind w:left="0" w:firstLine="0"/>
        <w:jc w:val="left"/>
        <w:rPr>
          <w:i/>
          <w:sz w:val="20"/>
        </w:rPr>
      </w:pPr>
      <w:r w:rsidRPr="00DE6B1C">
        <w:rPr>
          <w:i/>
          <w:sz w:val="20"/>
        </w:rPr>
        <w:pict>
          <v:rect id="docshape140" o:spid="_x0000_s1087" style="position:absolute;margin-left:85.1pt;margin-top:18pt;width:2in;height:.7pt;z-index:-15667200;mso-wrap-distance-left:0;mso-wrap-distance-right:0;mso-position-horizontal-relative:page" fillcolor="black" stroked="f">
            <w10:wrap type="topAndBottom" anchorx="page"/>
          </v:rect>
        </w:pict>
      </w:r>
    </w:p>
    <w:p w:rsidR="007259F2" w:rsidRDefault="00E655B4">
      <w:pPr>
        <w:spacing w:before="97"/>
        <w:ind w:left="710" w:right="420"/>
        <w:jc w:val="both"/>
        <w:rPr>
          <w:sz w:val="20"/>
        </w:rPr>
      </w:pPr>
      <w:r>
        <w:rPr>
          <w:sz w:val="20"/>
          <w:vertAlign w:val="superscript"/>
        </w:rPr>
        <w:t>16</w:t>
      </w:r>
      <w:r>
        <w:rPr>
          <w:sz w:val="20"/>
        </w:rPr>
        <w:t xml:space="preserve"> Conforme apontado por Ricardo Marcondes Martins a partir das lições sintetizadas por Queiró (MARTINS, Ricardo Marcondes. Teoria neoconstitucional da discricionariedade administrativa. </w:t>
      </w:r>
      <w:r>
        <w:rPr>
          <w:b/>
          <w:sz w:val="20"/>
        </w:rPr>
        <w:t>Revista de Direito Administrativo, Infraestrutura, Regulação e Compliance</w:t>
      </w:r>
      <w:r>
        <w:rPr>
          <w:sz w:val="20"/>
        </w:rPr>
        <w:t>. São Paulo, n. 30. Ano 8, p. 71 – 113, jul./set.</w:t>
      </w:r>
      <w:r>
        <w:rPr>
          <w:spacing w:val="40"/>
          <w:sz w:val="20"/>
        </w:rPr>
        <w:t xml:space="preserve"> </w:t>
      </w:r>
      <w:r>
        <w:rPr>
          <w:spacing w:val="-2"/>
          <w:sz w:val="20"/>
        </w:rPr>
        <w:t>2024.)</w:t>
      </w:r>
    </w:p>
    <w:p w:rsidR="007259F2" w:rsidRDefault="00E655B4">
      <w:pPr>
        <w:ind w:left="710" w:right="431"/>
        <w:jc w:val="both"/>
        <w:rPr>
          <w:sz w:val="20"/>
        </w:rPr>
      </w:pPr>
      <w:r>
        <w:rPr>
          <w:sz w:val="20"/>
          <w:vertAlign w:val="superscript"/>
        </w:rPr>
        <w:t>17</w:t>
      </w:r>
      <w:r>
        <w:rPr>
          <w:spacing w:val="-3"/>
          <w:sz w:val="20"/>
        </w:rPr>
        <w:t xml:space="preserve"> </w:t>
      </w:r>
      <w:r>
        <w:rPr>
          <w:sz w:val="20"/>
        </w:rPr>
        <w:t>Conforme aponta Ricardo Marcondes Martins: A</w:t>
      </w:r>
      <w:r>
        <w:rPr>
          <w:spacing w:val="-1"/>
          <w:sz w:val="20"/>
        </w:rPr>
        <w:t xml:space="preserve"> </w:t>
      </w:r>
      <w:r>
        <w:rPr>
          <w:sz w:val="20"/>
        </w:rPr>
        <w:t>teoria da</w:t>
      </w:r>
      <w:r>
        <w:rPr>
          <w:spacing w:val="-1"/>
          <w:sz w:val="20"/>
        </w:rPr>
        <w:t xml:space="preserve"> </w:t>
      </w:r>
      <w:r>
        <w:rPr>
          <w:sz w:val="20"/>
        </w:rPr>
        <w:t>discricionariedade já</w:t>
      </w:r>
      <w:r>
        <w:rPr>
          <w:spacing w:val="-1"/>
          <w:sz w:val="20"/>
        </w:rPr>
        <w:t xml:space="preserve"> </w:t>
      </w:r>
      <w:r>
        <w:rPr>
          <w:sz w:val="20"/>
        </w:rPr>
        <w:t>foi chamada tanto de quaestio diabolica como de cavalo de Troia do direito administrativo do Estado de Direito. A primeira assertiva decorre</w:t>
      </w:r>
      <w:r>
        <w:rPr>
          <w:spacing w:val="40"/>
          <w:sz w:val="20"/>
        </w:rPr>
        <w:t xml:space="preserve"> </w:t>
      </w:r>
      <w:r>
        <w:rPr>
          <w:sz w:val="20"/>
        </w:rPr>
        <w:t>do fato de que os estudiosos usam</w:t>
      </w:r>
      <w:r>
        <w:rPr>
          <w:spacing w:val="-1"/>
          <w:sz w:val="20"/>
        </w:rPr>
        <w:t xml:space="preserve"> </w:t>
      </w:r>
      <w:r>
        <w:rPr>
          <w:sz w:val="20"/>
        </w:rPr>
        <w:t>a expressão em significados absolutamente distintos, sem</w:t>
      </w:r>
      <w:r>
        <w:rPr>
          <w:spacing w:val="-1"/>
          <w:sz w:val="20"/>
        </w:rPr>
        <w:t xml:space="preserve"> </w:t>
      </w:r>
      <w:r>
        <w:rPr>
          <w:sz w:val="20"/>
        </w:rPr>
        <w:t>esclarecer esse fato, o que gera uma lamentável confusão A segunda decorre do fato de que ela é comumente utilizada por agentes estatais para fundamentar arbitrariedades. (</w:t>
      </w:r>
      <w:r>
        <w:rPr>
          <w:i/>
          <w:sz w:val="20"/>
        </w:rPr>
        <w:t>Ibidem</w:t>
      </w:r>
      <w:r>
        <w:rPr>
          <w:sz w:val="20"/>
        </w:rPr>
        <w:t>).</w:t>
      </w:r>
    </w:p>
    <w:p w:rsidR="007259F2" w:rsidRDefault="00E655B4">
      <w:pPr>
        <w:ind w:left="710" w:right="426"/>
        <w:jc w:val="both"/>
        <w:rPr>
          <w:sz w:val="20"/>
        </w:rPr>
      </w:pPr>
      <w:r>
        <w:rPr>
          <w:sz w:val="20"/>
          <w:vertAlign w:val="superscript"/>
        </w:rPr>
        <w:t>18</w:t>
      </w:r>
      <w:r>
        <w:rPr>
          <w:spacing w:val="-3"/>
          <w:sz w:val="20"/>
        </w:rPr>
        <w:t xml:space="preserve"> </w:t>
      </w:r>
      <w:r>
        <w:rPr>
          <w:sz w:val="20"/>
        </w:rPr>
        <w:t>Segundo Maria Sylvia Zanella de</w:t>
      </w:r>
      <w:r>
        <w:rPr>
          <w:spacing w:val="-1"/>
          <w:sz w:val="20"/>
        </w:rPr>
        <w:t xml:space="preserve"> </w:t>
      </w:r>
      <w:r>
        <w:rPr>
          <w:sz w:val="20"/>
        </w:rPr>
        <w:t>Pietro,</w:t>
      </w:r>
      <w:r>
        <w:rPr>
          <w:spacing w:val="-1"/>
          <w:sz w:val="20"/>
        </w:rPr>
        <w:t xml:space="preserve"> </w:t>
      </w:r>
      <w:r>
        <w:rPr>
          <w:sz w:val="20"/>
        </w:rPr>
        <w:t>por exemplo, há discricionariedade quando o regulamento não atinge todos os aspectos da atuação administrativa, de tal modo que deixa certa “margem de liberdade” de decisão diante do caso concreto. Diante disso, a autoridade</w:t>
      </w:r>
      <w:r>
        <w:rPr>
          <w:spacing w:val="-1"/>
          <w:sz w:val="20"/>
        </w:rPr>
        <w:t xml:space="preserve"> </w:t>
      </w:r>
      <w:r>
        <w:rPr>
          <w:sz w:val="20"/>
        </w:rPr>
        <w:t xml:space="preserve">poderia optar por uma dentre várias soluções possíveis, todas válidas perante o direito. (DI PIETRO, Maria Sylvia Zanella. </w:t>
      </w:r>
      <w:r>
        <w:rPr>
          <w:b/>
          <w:sz w:val="20"/>
        </w:rPr>
        <w:t>Direito administrativo</w:t>
      </w:r>
      <w:r>
        <w:rPr>
          <w:sz w:val="20"/>
        </w:rPr>
        <w:t>. 27. ed. São Paulo: Atlas 2014, pág. 221)</w:t>
      </w:r>
    </w:p>
    <w:p w:rsidR="007259F2" w:rsidRDefault="00E655B4">
      <w:pPr>
        <w:ind w:left="710" w:right="426"/>
        <w:jc w:val="both"/>
        <w:rPr>
          <w:sz w:val="20"/>
        </w:rPr>
      </w:pPr>
      <w:r>
        <w:rPr>
          <w:sz w:val="20"/>
          <w:vertAlign w:val="superscript"/>
        </w:rPr>
        <w:t>19</w:t>
      </w:r>
      <w:r>
        <w:rPr>
          <w:sz w:val="20"/>
        </w:rPr>
        <w:t xml:space="preserve"> MARTINS, Ricardo Marcondes. Ato administrativo. In: MARCONDES MARTINS, Ricardo; BACELLAR FILHO, Romeu Felipe (Orgs.). </w:t>
      </w:r>
      <w:r>
        <w:rPr>
          <w:b/>
          <w:sz w:val="20"/>
        </w:rPr>
        <w:t>Tratado de direito administrativo</w:t>
      </w:r>
      <w:r>
        <w:rPr>
          <w:sz w:val="20"/>
        </w:rPr>
        <w:t>. São Paulo: Revista dos Tribunais, 2014. v. 5, p. 140.</w:t>
      </w:r>
    </w:p>
    <w:p w:rsidR="007259F2" w:rsidRDefault="00E655B4">
      <w:pPr>
        <w:spacing w:before="6"/>
        <w:ind w:left="710"/>
        <w:jc w:val="both"/>
        <w:rPr>
          <w:rFonts w:ascii="Calibri" w:hAnsi="Calibri"/>
          <w:sz w:val="20"/>
        </w:rPr>
      </w:pPr>
      <w:r>
        <w:rPr>
          <w:sz w:val="20"/>
          <w:vertAlign w:val="superscript"/>
        </w:rPr>
        <w:t>20</w:t>
      </w:r>
      <w:r>
        <w:rPr>
          <w:spacing w:val="-8"/>
          <w:sz w:val="20"/>
        </w:rPr>
        <w:t xml:space="preserve"> </w:t>
      </w:r>
      <w:r>
        <w:rPr>
          <w:i/>
          <w:sz w:val="20"/>
        </w:rPr>
        <w:t>Ibidem</w:t>
      </w:r>
      <w:r>
        <w:rPr>
          <w:sz w:val="20"/>
        </w:rPr>
        <w:t>,</w:t>
      </w:r>
      <w:r>
        <w:rPr>
          <w:spacing w:val="-3"/>
          <w:sz w:val="20"/>
        </w:rPr>
        <w:t xml:space="preserve"> </w:t>
      </w:r>
      <w:r>
        <w:rPr>
          <w:sz w:val="20"/>
        </w:rPr>
        <w:t>pág.</w:t>
      </w:r>
      <w:r>
        <w:rPr>
          <w:spacing w:val="-3"/>
          <w:sz w:val="20"/>
        </w:rPr>
        <w:t xml:space="preserve"> </w:t>
      </w:r>
      <w:r>
        <w:rPr>
          <w:spacing w:val="-4"/>
          <w:sz w:val="20"/>
        </w:rPr>
        <w:t>140</w:t>
      </w:r>
      <w:r>
        <w:rPr>
          <w:rFonts w:ascii="Calibri" w:hAnsi="Calibri"/>
          <w:spacing w:val="-4"/>
          <w:sz w:val="20"/>
        </w:rPr>
        <w:t>.</w:t>
      </w:r>
    </w:p>
    <w:p w:rsidR="007259F2" w:rsidRDefault="00E655B4">
      <w:pPr>
        <w:spacing w:before="1"/>
        <w:ind w:left="710"/>
        <w:jc w:val="both"/>
        <w:rPr>
          <w:rFonts w:ascii="Calibri" w:hAnsi="Calibri"/>
          <w:sz w:val="20"/>
        </w:rPr>
      </w:pPr>
      <w:r>
        <w:rPr>
          <w:sz w:val="20"/>
          <w:vertAlign w:val="superscript"/>
        </w:rPr>
        <w:t>21</w:t>
      </w:r>
      <w:r>
        <w:rPr>
          <w:spacing w:val="-8"/>
          <w:sz w:val="20"/>
        </w:rPr>
        <w:t xml:space="preserve"> </w:t>
      </w:r>
      <w:r>
        <w:rPr>
          <w:i/>
          <w:sz w:val="20"/>
        </w:rPr>
        <w:t>Ibidem</w:t>
      </w:r>
      <w:r>
        <w:rPr>
          <w:sz w:val="20"/>
        </w:rPr>
        <w:t>,</w:t>
      </w:r>
      <w:r>
        <w:rPr>
          <w:spacing w:val="-3"/>
          <w:sz w:val="20"/>
        </w:rPr>
        <w:t xml:space="preserve"> </w:t>
      </w:r>
      <w:r>
        <w:rPr>
          <w:sz w:val="20"/>
        </w:rPr>
        <w:t>pág.</w:t>
      </w:r>
      <w:r>
        <w:rPr>
          <w:spacing w:val="-3"/>
          <w:sz w:val="20"/>
        </w:rPr>
        <w:t xml:space="preserve"> </w:t>
      </w:r>
      <w:r>
        <w:rPr>
          <w:spacing w:val="-4"/>
          <w:sz w:val="20"/>
        </w:rPr>
        <w:t>140</w:t>
      </w:r>
      <w:r>
        <w:rPr>
          <w:rFonts w:ascii="Calibri" w:hAnsi="Calibri"/>
          <w:spacing w:val="-4"/>
          <w:sz w:val="20"/>
        </w:rPr>
        <w:t>.</w:t>
      </w:r>
    </w:p>
    <w:p w:rsidR="007259F2" w:rsidRDefault="007259F2">
      <w:pPr>
        <w:jc w:val="both"/>
        <w:rPr>
          <w:rFonts w:ascii="Calibri" w:hAnsi="Calibri"/>
          <w:sz w:val="20"/>
        </w:rPr>
        <w:sectPr w:rsidR="007259F2">
          <w:pgSz w:w="11910" w:h="16840"/>
          <w:pgMar w:top="1620" w:right="708" w:bottom="1020" w:left="992" w:header="0" w:footer="820" w:gutter="0"/>
          <w:cols w:space="720"/>
        </w:sectPr>
      </w:pPr>
    </w:p>
    <w:p w:rsidR="007259F2" w:rsidRDefault="00E655B4">
      <w:pPr>
        <w:spacing w:before="75"/>
        <w:ind w:left="710" w:right="421"/>
        <w:jc w:val="both"/>
        <w:rPr>
          <w:i/>
          <w:sz w:val="24"/>
        </w:rPr>
      </w:pPr>
      <w:r>
        <w:rPr>
          <w:i/>
          <w:sz w:val="24"/>
        </w:rPr>
        <w:lastRenderedPageBreak/>
        <w:t>positiva</w:t>
      </w:r>
      <w:r>
        <w:rPr>
          <w:sz w:val="24"/>
        </w:rPr>
        <w:t xml:space="preserve">, em que, certamente, o conceito está presente, uma </w:t>
      </w:r>
      <w:r>
        <w:rPr>
          <w:i/>
          <w:sz w:val="24"/>
        </w:rPr>
        <w:t>zona de certeza negativa</w:t>
      </w:r>
      <w:r>
        <w:rPr>
          <w:sz w:val="24"/>
        </w:rPr>
        <w:t xml:space="preserve">, em que, sem dúvida, o conceito está ausente, e uma </w:t>
      </w:r>
      <w:r>
        <w:rPr>
          <w:i/>
          <w:sz w:val="24"/>
        </w:rPr>
        <w:t>zona de incerteza.</w:t>
      </w:r>
      <w:r>
        <w:rPr>
          <w:i/>
          <w:sz w:val="24"/>
          <w:vertAlign w:val="superscript"/>
        </w:rPr>
        <w:t>22</w:t>
      </w:r>
    </w:p>
    <w:p w:rsidR="007259F2" w:rsidRDefault="00E655B4">
      <w:pPr>
        <w:pStyle w:val="Corpodetexto"/>
        <w:ind w:right="420"/>
      </w:pPr>
      <w:r>
        <w:t>Portanto, segundo a teoria neoconstitucionalista é a ponderação à luz do caso concreto que indicará se há ou não duas ou mais soluções admitidas pelo Direito, o que se dá por meio dos chamados princípios formais</w:t>
      </w:r>
      <w:r>
        <w:rPr>
          <w:vertAlign w:val="superscript"/>
        </w:rPr>
        <w:t>23</w:t>
      </w:r>
      <w:r>
        <w:t xml:space="preserve"> da teoria de Robert Alexy, os quais não se referem, ao contrário dos materiais, a um valor específico, mas a uma decisão, a qual deve ser respeitada na</w:t>
      </w:r>
      <w:r>
        <w:rPr>
          <w:spacing w:val="-2"/>
        </w:rPr>
        <w:t xml:space="preserve"> </w:t>
      </w:r>
      <w:r>
        <w:t>maior</w:t>
      </w:r>
      <w:r>
        <w:rPr>
          <w:spacing w:val="-2"/>
        </w:rPr>
        <w:t xml:space="preserve"> </w:t>
      </w:r>
      <w:r>
        <w:t>medida</w:t>
      </w:r>
      <w:r>
        <w:rPr>
          <w:spacing w:val="-2"/>
        </w:rPr>
        <w:t xml:space="preserve"> </w:t>
      </w:r>
      <w:r>
        <w:t>possível,</w:t>
      </w:r>
      <w:r>
        <w:rPr>
          <w:spacing w:val="-1"/>
        </w:rPr>
        <w:t xml:space="preserve"> </w:t>
      </w:r>
      <w:r>
        <w:t>tendo em</w:t>
      </w:r>
      <w:r>
        <w:rPr>
          <w:spacing w:val="-1"/>
        </w:rPr>
        <w:t xml:space="preserve"> </w:t>
      </w:r>
      <w:r>
        <w:t>vista</w:t>
      </w:r>
      <w:r>
        <w:rPr>
          <w:spacing w:val="-1"/>
        </w:rPr>
        <w:t xml:space="preserve"> </w:t>
      </w:r>
      <w:r>
        <w:t>as</w:t>
      </w:r>
      <w:r>
        <w:rPr>
          <w:spacing w:val="-1"/>
        </w:rPr>
        <w:t xml:space="preserve"> </w:t>
      </w:r>
      <w:r>
        <w:t>circunstâncias fáticas ou</w:t>
      </w:r>
      <w:r>
        <w:rPr>
          <w:spacing w:val="-1"/>
        </w:rPr>
        <w:t xml:space="preserve"> </w:t>
      </w:r>
      <w:r>
        <w:t>jurídicas – assegurando- se</w:t>
      </w:r>
      <w:r>
        <w:rPr>
          <w:spacing w:val="-2"/>
        </w:rPr>
        <w:t xml:space="preserve"> </w:t>
      </w:r>
      <w:r>
        <w:t>ao</w:t>
      </w:r>
      <w:r>
        <w:rPr>
          <w:spacing w:val="-1"/>
        </w:rPr>
        <w:t xml:space="preserve"> </w:t>
      </w:r>
      <w:r>
        <w:t>agente estatal a</w:t>
      </w:r>
      <w:r>
        <w:rPr>
          <w:spacing w:val="-2"/>
        </w:rPr>
        <w:t xml:space="preserve"> </w:t>
      </w:r>
      <w:r>
        <w:t>busca</w:t>
      </w:r>
      <w:r>
        <w:rPr>
          <w:spacing w:val="-1"/>
        </w:rPr>
        <w:t xml:space="preserve"> </w:t>
      </w:r>
      <w:r>
        <w:t>pelo</w:t>
      </w:r>
      <w:r>
        <w:rPr>
          <w:spacing w:val="-1"/>
        </w:rPr>
        <w:t xml:space="preserve"> </w:t>
      </w:r>
      <w:r>
        <w:t>interesse</w:t>
      </w:r>
      <w:r>
        <w:rPr>
          <w:spacing w:val="-1"/>
        </w:rPr>
        <w:t xml:space="preserve"> </w:t>
      </w:r>
      <w:r>
        <w:t>público, segundo</w:t>
      </w:r>
      <w:r>
        <w:rPr>
          <w:spacing w:val="-1"/>
        </w:rPr>
        <w:t xml:space="preserve"> </w:t>
      </w:r>
      <w:r>
        <w:t>seus</w:t>
      </w:r>
      <w:r>
        <w:rPr>
          <w:spacing w:val="-1"/>
        </w:rPr>
        <w:t xml:space="preserve"> </w:t>
      </w:r>
      <w:r>
        <w:t>critérios subjetivos.</w:t>
      </w:r>
      <w:r>
        <w:rPr>
          <w:spacing w:val="-1"/>
        </w:rPr>
        <w:t xml:space="preserve"> </w:t>
      </w:r>
      <w:r>
        <w:t>Ressalta- se, apenas, que</w:t>
      </w:r>
      <w:r>
        <w:rPr>
          <w:spacing w:val="-1"/>
        </w:rPr>
        <w:t xml:space="preserve"> </w:t>
      </w:r>
      <w:r>
        <w:t>em razão da completude</w:t>
      </w:r>
      <w:r>
        <w:rPr>
          <w:spacing w:val="-1"/>
        </w:rPr>
        <w:t xml:space="preserve"> </w:t>
      </w:r>
      <w:r>
        <w:t>ou incompletude normativa</w:t>
      </w:r>
      <w:r>
        <w:rPr>
          <w:spacing w:val="-1"/>
        </w:rPr>
        <w:t xml:space="preserve"> </w:t>
      </w:r>
      <w:r>
        <w:t>os princípios formais não são</w:t>
      </w:r>
      <w:r>
        <w:rPr>
          <w:spacing w:val="-6"/>
        </w:rPr>
        <w:t xml:space="preserve"> </w:t>
      </w:r>
      <w:r>
        <w:t>equivalentes,</w:t>
      </w:r>
      <w:r>
        <w:rPr>
          <w:spacing w:val="-6"/>
        </w:rPr>
        <w:t xml:space="preserve"> </w:t>
      </w:r>
      <w:r>
        <w:t>de</w:t>
      </w:r>
      <w:r>
        <w:rPr>
          <w:spacing w:val="-8"/>
        </w:rPr>
        <w:t xml:space="preserve"> </w:t>
      </w:r>
      <w:r>
        <w:t>modo</w:t>
      </w:r>
      <w:r>
        <w:rPr>
          <w:spacing w:val="-5"/>
        </w:rPr>
        <w:t xml:space="preserve"> </w:t>
      </w:r>
      <w:r>
        <w:t>que</w:t>
      </w:r>
      <w:r>
        <w:rPr>
          <w:spacing w:val="-8"/>
        </w:rPr>
        <w:t xml:space="preserve"> </w:t>
      </w:r>
      <w:r>
        <w:t>quanto</w:t>
      </w:r>
      <w:r>
        <w:rPr>
          <w:spacing w:val="-3"/>
        </w:rPr>
        <w:t xml:space="preserve"> </w:t>
      </w:r>
      <w:r>
        <w:rPr>
          <w:i/>
        </w:rPr>
        <w:t>maior</w:t>
      </w:r>
      <w:r>
        <w:rPr>
          <w:i/>
          <w:spacing w:val="-6"/>
        </w:rPr>
        <w:t xml:space="preserve"> </w:t>
      </w:r>
      <w:r>
        <w:t>for</w:t>
      </w:r>
      <w:r>
        <w:rPr>
          <w:spacing w:val="-8"/>
        </w:rPr>
        <w:t xml:space="preserve"> </w:t>
      </w:r>
      <w:r>
        <w:t>a</w:t>
      </w:r>
      <w:r>
        <w:rPr>
          <w:spacing w:val="-8"/>
        </w:rPr>
        <w:t xml:space="preserve"> </w:t>
      </w:r>
      <w:r>
        <w:rPr>
          <w:i/>
        </w:rPr>
        <w:t>completude</w:t>
      </w:r>
      <w:r>
        <w:rPr>
          <w:i/>
          <w:spacing w:val="-6"/>
        </w:rPr>
        <w:t xml:space="preserve"> </w:t>
      </w:r>
      <w:r>
        <w:rPr>
          <w:i/>
        </w:rPr>
        <w:t>normativa</w:t>
      </w:r>
      <w:r>
        <w:t>,</w:t>
      </w:r>
      <w:r>
        <w:rPr>
          <w:spacing w:val="-6"/>
        </w:rPr>
        <w:t xml:space="preserve"> </w:t>
      </w:r>
      <w:r>
        <w:rPr>
          <w:i/>
        </w:rPr>
        <w:t>maior</w:t>
      </w:r>
      <w:r>
        <w:rPr>
          <w:i/>
          <w:spacing w:val="-4"/>
        </w:rPr>
        <w:t xml:space="preserve"> </w:t>
      </w:r>
      <w:r>
        <w:t>será</w:t>
      </w:r>
      <w:r>
        <w:rPr>
          <w:spacing w:val="-9"/>
        </w:rPr>
        <w:t xml:space="preserve"> </w:t>
      </w:r>
      <w:r>
        <w:t>o</w:t>
      </w:r>
      <w:r>
        <w:rPr>
          <w:spacing w:val="-6"/>
        </w:rPr>
        <w:t xml:space="preserve"> </w:t>
      </w:r>
      <w:r>
        <w:t>peso</w:t>
      </w:r>
      <w:r>
        <w:rPr>
          <w:spacing w:val="-6"/>
        </w:rPr>
        <w:t xml:space="preserve"> </w:t>
      </w:r>
      <w:r>
        <w:t xml:space="preserve">do princípio formal que dá primazia à ponderação legislativa e menor será o peso do princípio formal que dá primazia à ponderação administrativa; enquanto que quanto </w:t>
      </w:r>
      <w:r>
        <w:rPr>
          <w:i/>
        </w:rPr>
        <w:t xml:space="preserve">menor </w:t>
      </w:r>
      <w:r>
        <w:t xml:space="preserve">for a completude normativa, maior será o peso do princípio formal que dá primazia à ponderação administrativa e menor será o peso do princípio formal que dá primazia à ponderação </w:t>
      </w:r>
      <w:r>
        <w:rPr>
          <w:spacing w:val="-2"/>
        </w:rPr>
        <w:t>legislativa.</w:t>
      </w:r>
      <w:r>
        <w:rPr>
          <w:spacing w:val="-2"/>
          <w:vertAlign w:val="superscript"/>
        </w:rPr>
        <w:t>24</w:t>
      </w:r>
    </w:p>
    <w:p w:rsidR="007259F2" w:rsidRDefault="00E655B4">
      <w:pPr>
        <w:pStyle w:val="Corpodetexto"/>
        <w:spacing w:before="1"/>
        <w:ind w:right="418"/>
      </w:pPr>
      <w:r>
        <w:t>Com efeito, antes de adentrar no conceito de discricionariedade, cabe esclarecer as hipóteses de vinculação segundo a teoria neoconstitucionalista, as quais surgem por meio da ponderação</w:t>
      </w:r>
      <w:r>
        <w:rPr>
          <w:spacing w:val="-13"/>
        </w:rPr>
        <w:t xml:space="preserve"> </w:t>
      </w:r>
      <w:r>
        <w:t>dos</w:t>
      </w:r>
      <w:r>
        <w:rPr>
          <w:spacing w:val="-13"/>
        </w:rPr>
        <w:t xml:space="preserve"> </w:t>
      </w:r>
      <w:r>
        <w:t>princípios</w:t>
      </w:r>
      <w:r>
        <w:rPr>
          <w:spacing w:val="-12"/>
        </w:rPr>
        <w:t xml:space="preserve"> </w:t>
      </w:r>
      <w:r>
        <w:t>formais</w:t>
      </w:r>
      <w:r>
        <w:rPr>
          <w:spacing w:val="-13"/>
        </w:rPr>
        <w:t xml:space="preserve"> </w:t>
      </w:r>
      <w:r>
        <w:t>aplicáveis</w:t>
      </w:r>
      <w:r>
        <w:rPr>
          <w:spacing w:val="-10"/>
        </w:rPr>
        <w:t xml:space="preserve"> </w:t>
      </w:r>
      <w:r>
        <w:rPr>
          <w:i/>
        </w:rPr>
        <w:t>in</w:t>
      </w:r>
      <w:r>
        <w:rPr>
          <w:i/>
          <w:spacing w:val="-13"/>
        </w:rPr>
        <w:t xml:space="preserve"> </w:t>
      </w:r>
      <w:r>
        <w:rPr>
          <w:i/>
        </w:rPr>
        <w:t>concreto,</w:t>
      </w:r>
      <w:r>
        <w:rPr>
          <w:i/>
          <w:spacing w:val="-12"/>
        </w:rPr>
        <w:t xml:space="preserve"> </w:t>
      </w:r>
      <w:r>
        <w:t>conforme</w:t>
      </w:r>
      <w:r>
        <w:rPr>
          <w:spacing w:val="-14"/>
        </w:rPr>
        <w:t xml:space="preserve"> </w:t>
      </w:r>
      <w:r>
        <w:t>aponta</w:t>
      </w:r>
      <w:r>
        <w:rPr>
          <w:spacing w:val="-11"/>
        </w:rPr>
        <w:t xml:space="preserve"> </w:t>
      </w:r>
      <w:r>
        <w:t>Ricardo</w:t>
      </w:r>
      <w:r>
        <w:rPr>
          <w:spacing w:val="-13"/>
        </w:rPr>
        <w:t xml:space="preserve"> </w:t>
      </w:r>
      <w:r>
        <w:t>Marcondes Martins</w:t>
      </w:r>
      <w:r>
        <w:rPr>
          <w:vertAlign w:val="superscript"/>
        </w:rPr>
        <w:t>25</w:t>
      </w:r>
      <w:r>
        <w:rPr>
          <w:spacing w:val="-10"/>
        </w:rPr>
        <w:t xml:space="preserve"> </w:t>
      </w:r>
      <w:r>
        <w:t>Na</w:t>
      </w:r>
      <w:r>
        <w:rPr>
          <w:spacing w:val="-9"/>
        </w:rPr>
        <w:t xml:space="preserve"> </w:t>
      </w:r>
      <w:r>
        <w:t>primeira</w:t>
      </w:r>
      <w:r>
        <w:rPr>
          <w:spacing w:val="-9"/>
        </w:rPr>
        <w:t xml:space="preserve"> </w:t>
      </w:r>
      <w:r>
        <w:t>situação,</w:t>
      </w:r>
      <w:r>
        <w:rPr>
          <w:spacing w:val="-10"/>
        </w:rPr>
        <w:t xml:space="preserve"> </w:t>
      </w:r>
      <w:r>
        <w:t>o</w:t>
      </w:r>
      <w:r>
        <w:rPr>
          <w:spacing w:val="-8"/>
        </w:rPr>
        <w:t xml:space="preserve"> </w:t>
      </w:r>
      <w:r>
        <w:t>sistema</w:t>
      </w:r>
      <w:r>
        <w:rPr>
          <w:spacing w:val="-12"/>
        </w:rPr>
        <w:t xml:space="preserve"> </w:t>
      </w:r>
      <w:r>
        <w:t>jurídico</w:t>
      </w:r>
      <w:r>
        <w:rPr>
          <w:spacing w:val="-7"/>
        </w:rPr>
        <w:t xml:space="preserve"> </w:t>
      </w:r>
      <w:r>
        <w:t>pode</w:t>
      </w:r>
      <w:r>
        <w:rPr>
          <w:spacing w:val="-12"/>
        </w:rPr>
        <w:t xml:space="preserve"> </w:t>
      </w:r>
      <w:r>
        <w:t>exigir</w:t>
      </w:r>
      <w:r>
        <w:rPr>
          <w:spacing w:val="-8"/>
        </w:rPr>
        <w:t xml:space="preserve"> </w:t>
      </w:r>
      <w:r>
        <w:t>a</w:t>
      </w:r>
      <w:r>
        <w:rPr>
          <w:spacing w:val="-9"/>
        </w:rPr>
        <w:t xml:space="preserve"> </w:t>
      </w:r>
      <w:r>
        <w:t>aplicação</w:t>
      </w:r>
      <w:r>
        <w:rPr>
          <w:spacing w:val="-8"/>
        </w:rPr>
        <w:t xml:space="preserve"> </w:t>
      </w:r>
      <w:r>
        <w:t>de</w:t>
      </w:r>
      <w:r>
        <w:rPr>
          <w:spacing w:val="-8"/>
        </w:rPr>
        <w:t xml:space="preserve"> </w:t>
      </w:r>
      <w:r>
        <w:t>uma</w:t>
      </w:r>
      <w:r>
        <w:rPr>
          <w:spacing w:val="-10"/>
        </w:rPr>
        <w:t xml:space="preserve"> </w:t>
      </w:r>
      <w:r>
        <w:t>regra</w:t>
      </w:r>
      <w:r>
        <w:rPr>
          <w:spacing w:val="-9"/>
        </w:rPr>
        <w:t xml:space="preserve"> </w:t>
      </w:r>
      <w:r>
        <w:rPr>
          <w:spacing w:val="-2"/>
        </w:rPr>
        <w:t>abstrata</w:t>
      </w:r>
    </w:p>
    <w:p w:rsidR="007259F2" w:rsidRDefault="00DE6B1C">
      <w:pPr>
        <w:pStyle w:val="Corpodetexto"/>
        <w:spacing w:before="117"/>
        <w:ind w:left="0" w:firstLine="0"/>
        <w:jc w:val="left"/>
        <w:rPr>
          <w:sz w:val="20"/>
        </w:rPr>
      </w:pPr>
      <w:r w:rsidRPr="00DE6B1C">
        <w:rPr>
          <w:sz w:val="20"/>
        </w:rPr>
        <w:pict>
          <v:rect id="docshape141" o:spid="_x0000_s1086" style="position:absolute;margin-left:85.1pt;margin-top:18.55pt;width:2in;height:.7pt;z-index:-15666688;mso-wrap-distance-left:0;mso-wrap-distance-right:0;mso-position-horizontal-relative:page" fillcolor="black" stroked="f">
            <w10:wrap type="topAndBottom" anchorx="page"/>
          </v:rect>
        </w:pict>
      </w:r>
    </w:p>
    <w:p w:rsidR="007259F2" w:rsidRDefault="00E655B4">
      <w:pPr>
        <w:spacing w:before="96" w:line="229" w:lineRule="exact"/>
        <w:ind w:left="710"/>
        <w:jc w:val="both"/>
        <w:rPr>
          <w:sz w:val="20"/>
        </w:rPr>
      </w:pPr>
      <w:r>
        <w:rPr>
          <w:sz w:val="20"/>
          <w:vertAlign w:val="superscript"/>
        </w:rPr>
        <w:t>22</w:t>
      </w:r>
      <w:r>
        <w:rPr>
          <w:spacing w:val="-7"/>
          <w:sz w:val="20"/>
        </w:rPr>
        <w:t xml:space="preserve"> </w:t>
      </w:r>
      <w:r>
        <w:rPr>
          <w:sz w:val="20"/>
        </w:rPr>
        <w:t>BANDEIRA</w:t>
      </w:r>
      <w:r>
        <w:rPr>
          <w:spacing w:val="-4"/>
          <w:sz w:val="20"/>
        </w:rPr>
        <w:t xml:space="preserve"> </w:t>
      </w:r>
      <w:r>
        <w:rPr>
          <w:sz w:val="20"/>
        </w:rPr>
        <w:t>DE</w:t>
      </w:r>
      <w:r>
        <w:rPr>
          <w:spacing w:val="-2"/>
          <w:sz w:val="20"/>
        </w:rPr>
        <w:t xml:space="preserve"> </w:t>
      </w:r>
      <w:r>
        <w:rPr>
          <w:sz w:val="20"/>
        </w:rPr>
        <w:t>MELLO,</w:t>
      </w:r>
      <w:r>
        <w:rPr>
          <w:spacing w:val="-3"/>
          <w:sz w:val="20"/>
        </w:rPr>
        <w:t xml:space="preserve"> </w:t>
      </w:r>
      <w:r>
        <w:rPr>
          <w:sz w:val="20"/>
        </w:rPr>
        <w:t>Celso</w:t>
      </w:r>
      <w:r>
        <w:rPr>
          <w:spacing w:val="-3"/>
          <w:sz w:val="20"/>
        </w:rPr>
        <w:t xml:space="preserve"> </w:t>
      </w:r>
      <w:r>
        <w:rPr>
          <w:sz w:val="20"/>
        </w:rPr>
        <w:t>Antonio.</w:t>
      </w:r>
      <w:r>
        <w:rPr>
          <w:spacing w:val="1"/>
          <w:sz w:val="20"/>
        </w:rPr>
        <w:t xml:space="preserve"> </w:t>
      </w:r>
      <w:r>
        <w:rPr>
          <w:b/>
          <w:sz w:val="20"/>
        </w:rPr>
        <w:t>Curso</w:t>
      </w:r>
      <w:r>
        <w:rPr>
          <w:b/>
          <w:spacing w:val="-4"/>
          <w:sz w:val="20"/>
        </w:rPr>
        <w:t xml:space="preserve"> </w:t>
      </w:r>
      <w:r>
        <w:rPr>
          <w:b/>
          <w:sz w:val="20"/>
        </w:rPr>
        <w:t>de</w:t>
      </w:r>
      <w:r>
        <w:rPr>
          <w:b/>
          <w:spacing w:val="-1"/>
          <w:sz w:val="20"/>
        </w:rPr>
        <w:t xml:space="preserve"> </w:t>
      </w:r>
      <w:r>
        <w:rPr>
          <w:b/>
          <w:sz w:val="20"/>
        </w:rPr>
        <w:t>Direito</w:t>
      </w:r>
      <w:r>
        <w:rPr>
          <w:b/>
          <w:spacing w:val="-3"/>
          <w:sz w:val="20"/>
        </w:rPr>
        <w:t xml:space="preserve"> </w:t>
      </w:r>
      <w:r>
        <w:rPr>
          <w:b/>
          <w:sz w:val="20"/>
        </w:rPr>
        <w:t>Administrativo.</w:t>
      </w:r>
      <w:r>
        <w:rPr>
          <w:b/>
          <w:spacing w:val="1"/>
          <w:sz w:val="20"/>
        </w:rPr>
        <w:t xml:space="preserve"> </w:t>
      </w:r>
      <w:r>
        <w:rPr>
          <w:sz w:val="20"/>
        </w:rPr>
        <w:t>27.</w:t>
      </w:r>
      <w:r>
        <w:rPr>
          <w:spacing w:val="-2"/>
          <w:sz w:val="20"/>
        </w:rPr>
        <w:t xml:space="preserve"> </w:t>
      </w:r>
      <w:r>
        <w:rPr>
          <w:sz w:val="20"/>
        </w:rPr>
        <w:t>ed.</w:t>
      </w:r>
      <w:r>
        <w:rPr>
          <w:spacing w:val="-6"/>
          <w:sz w:val="20"/>
        </w:rPr>
        <w:t xml:space="preserve"> </w:t>
      </w:r>
      <w:r>
        <w:rPr>
          <w:sz w:val="20"/>
        </w:rPr>
        <w:t>Brasil:</w:t>
      </w:r>
      <w:r>
        <w:rPr>
          <w:spacing w:val="-3"/>
          <w:sz w:val="20"/>
        </w:rPr>
        <w:t xml:space="preserve"> </w:t>
      </w:r>
      <w:r>
        <w:rPr>
          <w:sz w:val="20"/>
        </w:rPr>
        <w:t>Malheiros,</w:t>
      </w:r>
      <w:r>
        <w:rPr>
          <w:spacing w:val="-3"/>
          <w:sz w:val="20"/>
        </w:rPr>
        <w:t xml:space="preserve"> </w:t>
      </w:r>
      <w:r>
        <w:rPr>
          <w:spacing w:val="-2"/>
          <w:sz w:val="20"/>
        </w:rPr>
        <w:t>2010,</w:t>
      </w:r>
    </w:p>
    <w:p w:rsidR="007259F2" w:rsidRDefault="00E655B4">
      <w:pPr>
        <w:spacing w:line="229" w:lineRule="exact"/>
        <w:ind w:left="710"/>
        <w:jc w:val="both"/>
        <w:rPr>
          <w:sz w:val="20"/>
        </w:rPr>
      </w:pPr>
      <w:r>
        <w:rPr>
          <w:sz w:val="20"/>
        </w:rPr>
        <w:t>p.</w:t>
      </w:r>
      <w:r>
        <w:rPr>
          <w:spacing w:val="-1"/>
          <w:sz w:val="20"/>
        </w:rPr>
        <w:t xml:space="preserve"> </w:t>
      </w:r>
      <w:r>
        <w:rPr>
          <w:spacing w:val="-4"/>
          <w:sz w:val="20"/>
        </w:rPr>
        <w:t>436.</w:t>
      </w:r>
    </w:p>
    <w:p w:rsidR="007259F2" w:rsidRDefault="00E655B4">
      <w:pPr>
        <w:spacing w:before="1"/>
        <w:ind w:left="710" w:right="420"/>
        <w:jc w:val="both"/>
        <w:rPr>
          <w:i/>
          <w:sz w:val="20"/>
        </w:rPr>
      </w:pPr>
      <w:r>
        <w:rPr>
          <w:sz w:val="20"/>
          <w:vertAlign w:val="superscript"/>
        </w:rPr>
        <w:t>23</w:t>
      </w:r>
      <w:r>
        <w:rPr>
          <w:sz w:val="20"/>
        </w:rPr>
        <w:t xml:space="preserve"> Há princípios formais – chamados de especiais – que apenas atribuem a outros um peso adicional no plano abstrato, e há princípios formais – chamados de fundamentais – que têm a missão de assegurar escolhas</w:t>
      </w:r>
      <w:r>
        <w:rPr>
          <w:spacing w:val="40"/>
          <w:sz w:val="20"/>
        </w:rPr>
        <w:t xml:space="preserve"> </w:t>
      </w:r>
      <w:r>
        <w:rPr>
          <w:sz w:val="20"/>
        </w:rPr>
        <w:t>volitivas. Há inúmeros especiais, mas apenas cinco fundamentais: 1) o princípio formal que dá primazia às ponderações do constituinte originário (Pfco), restringido apenas pelos postulados normativos, entendidos como pressupostos epistemológicos de compreensão do Direito; 2) o princípio formal que dá primazia às ponderações do constituinte reformador (Pfcr), restringido pelos postulados e por todos os limites expressos e implícitos ao poder de reforma40; 3) o princípio formal que dá primazia às ponderações do legislador (Pfl), restringido pelos postulados e todas as normas constitucionais; 4) o princípio formal que dá primazia às ponderações da Administração (Pfa), restringido pelos postulados e todas as normas constitucionais e legislativas; e 5) o</w:t>
      </w:r>
      <w:r>
        <w:rPr>
          <w:spacing w:val="40"/>
          <w:sz w:val="20"/>
        </w:rPr>
        <w:t xml:space="preserve"> </w:t>
      </w:r>
      <w:r>
        <w:rPr>
          <w:sz w:val="20"/>
        </w:rPr>
        <w:t xml:space="preserve">princípio formal que dá primazia às ponderações dos particulares (Pfp), restringido pelos postulados e todas as normas constitucionais, legislativas e administrativas. Os quatro primeiros têm a missão de assegurar o respeito ao exercício da discricionariedade; o último, o respeito à liberdade. Há uma ordem decrescente de pesos, estabelecida pela lei doutrinária das competências normativas: Pfco &gt; Pfcr &gt; Pfl &gt; Pfa &gt; Pfp. (MARTINS, 2024, </w:t>
      </w:r>
      <w:r>
        <w:rPr>
          <w:i/>
          <w:spacing w:val="-2"/>
          <w:sz w:val="20"/>
        </w:rPr>
        <w:t>op.cit.)</w:t>
      </w:r>
    </w:p>
    <w:p w:rsidR="007259F2" w:rsidRDefault="00E655B4">
      <w:pPr>
        <w:spacing w:before="1"/>
        <w:ind w:left="710" w:right="423"/>
        <w:jc w:val="both"/>
        <w:rPr>
          <w:i/>
          <w:sz w:val="20"/>
        </w:rPr>
      </w:pPr>
      <w:r>
        <w:rPr>
          <w:sz w:val="20"/>
          <w:vertAlign w:val="superscript"/>
        </w:rPr>
        <w:t>24</w:t>
      </w:r>
      <w:r>
        <w:rPr>
          <w:sz w:val="20"/>
        </w:rPr>
        <w:t xml:space="preserve"> Esses princípios formais, importante notar, não são equivalentes. Aqui se revela uma das consequências da completude ou incompletude normativa: quanto maior for a completude normativa, maior será o peso do princípio formal</w:t>
      </w:r>
      <w:r>
        <w:rPr>
          <w:spacing w:val="-1"/>
          <w:sz w:val="20"/>
        </w:rPr>
        <w:t xml:space="preserve"> </w:t>
      </w:r>
      <w:r>
        <w:rPr>
          <w:sz w:val="20"/>
        </w:rPr>
        <w:t>que dá primazia à ponderação legislativa (“Pfl”) e menor será o peso do</w:t>
      </w:r>
      <w:r>
        <w:rPr>
          <w:spacing w:val="-2"/>
          <w:sz w:val="20"/>
        </w:rPr>
        <w:t xml:space="preserve"> </w:t>
      </w:r>
      <w:r>
        <w:rPr>
          <w:sz w:val="20"/>
        </w:rPr>
        <w:t>princípio formal</w:t>
      </w:r>
      <w:r>
        <w:rPr>
          <w:spacing w:val="-1"/>
          <w:sz w:val="20"/>
        </w:rPr>
        <w:t xml:space="preserve"> </w:t>
      </w:r>
      <w:r>
        <w:rPr>
          <w:sz w:val="20"/>
        </w:rPr>
        <w:t>que</w:t>
      </w:r>
      <w:r>
        <w:rPr>
          <w:spacing w:val="-1"/>
          <w:sz w:val="20"/>
        </w:rPr>
        <w:t xml:space="preserve"> </w:t>
      </w:r>
      <w:r>
        <w:rPr>
          <w:sz w:val="20"/>
        </w:rPr>
        <w:t>dá primazia à ponderação administrativa (“Pfa”); quanto menor for a completude normativa, maior será o peso do princípio formal que dá primazia à ponderação administrativa (“Pfa”) e menor será o peso do princípio formal que dá primazia à ponderação legislativa (“Pfl”). Trata-se da lei doutrinária da discricionariedade administrativa. Quanto maior</w:t>
      </w:r>
      <w:r>
        <w:rPr>
          <w:spacing w:val="-2"/>
          <w:sz w:val="20"/>
        </w:rPr>
        <w:t xml:space="preserve"> </w:t>
      </w:r>
      <w:r>
        <w:rPr>
          <w:sz w:val="20"/>
        </w:rPr>
        <w:t>o</w:t>
      </w:r>
      <w:r>
        <w:rPr>
          <w:spacing w:val="-1"/>
          <w:sz w:val="20"/>
        </w:rPr>
        <w:t xml:space="preserve"> </w:t>
      </w:r>
      <w:r>
        <w:rPr>
          <w:sz w:val="20"/>
        </w:rPr>
        <w:t>peso</w:t>
      </w:r>
      <w:r>
        <w:rPr>
          <w:spacing w:val="-2"/>
          <w:sz w:val="20"/>
        </w:rPr>
        <w:t xml:space="preserve"> </w:t>
      </w:r>
      <w:r>
        <w:rPr>
          <w:sz w:val="20"/>
        </w:rPr>
        <w:t>de “Pfl” e</w:t>
      </w:r>
      <w:r>
        <w:rPr>
          <w:spacing w:val="-2"/>
          <w:sz w:val="20"/>
        </w:rPr>
        <w:t xml:space="preserve"> </w:t>
      </w:r>
      <w:r>
        <w:rPr>
          <w:sz w:val="20"/>
        </w:rPr>
        <w:t>quanto menor</w:t>
      </w:r>
      <w:r>
        <w:rPr>
          <w:spacing w:val="-2"/>
          <w:sz w:val="20"/>
        </w:rPr>
        <w:t xml:space="preserve"> </w:t>
      </w:r>
      <w:r>
        <w:rPr>
          <w:sz w:val="20"/>
        </w:rPr>
        <w:t>o</w:t>
      </w:r>
      <w:r>
        <w:rPr>
          <w:spacing w:val="-1"/>
          <w:sz w:val="20"/>
        </w:rPr>
        <w:t xml:space="preserve"> </w:t>
      </w:r>
      <w:r>
        <w:rPr>
          <w:sz w:val="20"/>
        </w:rPr>
        <w:t>peso</w:t>
      </w:r>
      <w:r>
        <w:rPr>
          <w:spacing w:val="-2"/>
          <w:sz w:val="20"/>
        </w:rPr>
        <w:t xml:space="preserve"> </w:t>
      </w:r>
      <w:r>
        <w:rPr>
          <w:sz w:val="20"/>
        </w:rPr>
        <w:t>de “Pfa”, maior</w:t>
      </w:r>
      <w:r>
        <w:rPr>
          <w:spacing w:val="-2"/>
          <w:sz w:val="20"/>
        </w:rPr>
        <w:t xml:space="preserve"> </w:t>
      </w:r>
      <w:r>
        <w:rPr>
          <w:sz w:val="20"/>
        </w:rPr>
        <w:t>a</w:t>
      </w:r>
      <w:r>
        <w:rPr>
          <w:spacing w:val="-2"/>
          <w:sz w:val="20"/>
        </w:rPr>
        <w:t xml:space="preserve"> </w:t>
      </w:r>
      <w:r>
        <w:rPr>
          <w:sz w:val="20"/>
        </w:rPr>
        <w:t>probabilidade</w:t>
      </w:r>
      <w:r>
        <w:rPr>
          <w:spacing w:val="-2"/>
          <w:sz w:val="20"/>
        </w:rPr>
        <w:t xml:space="preserve"> </w:t>
      </w:r>
      <w:r>
        <w:rPr>
          <w:sz w:val="20"/>
        </w:rPr>
        <w:t>de</w:t>
      </w:r>
      <w:r>
        <w:rPr>
          <w:spacing w:val="-2"/>
          <w:sz w:val="20"/>
        </w:rPr>
        <w:t xml:space="preserve"> </w:t>
      </w:r>
      <w:r>
        <w:rPr>
          <w:sz w:val="20"/>
        </w:rPr>
        <w:t>haver,</w:t>
      </w:r>
      <w:r>
        <w:rPr>
          <w:spacing w:val="-2"/>
          <w:sz w:val="20"/>
        </w:rPr>
        <w:t xml:space="preserve"> </w:t>
      </w:r>
      <w:r>
        <w:rPr>
          <w:sz w:val="20"/>
        </w:rPr>
        <w:t>no</w:t>
      </w:r>
      <w:r>
        <w:rPr>
          <w:spacing w:val="-1"/>
          <w:sz w:val="20"/>
        </w:rPr>
        <w:t xml:space="preserve"> </w:t>
      </w:r>
      <w:r>
        <w:rPr>
          <w:sz w:val="20"/>
        </w:rPr>
        <w:t>caso</w:t>
      </w:r>
      <w:r>
        <w:rPr>
          <w:spacing w:val="-1"/>
          <w:sz w:val="20"/>
        </w:rPr>
        <w:t xml:space="preserve"> </w:t>
      </w:r>
      <w:r>
        <w:rPr>
          <w:sz w:val="20"/>
        </w:rPr>
        <w:t>concreto, vinculação; quanto menor o peso de “Pfl” e maior o peso de “Pfa”, maior a probabilidade de haver no caso concreto discricionariedade. Logo, a completude normativa gera um indício de vinculação e a incompletude um indício de discricionariedade. (</w:t>
      </w:r>
      <w:r>
        <w:rPr>
          <w:i/>
          <w:sz w:val="20"/>
        </w:rPr>
        <w:t>Ibid.)</w:t>
      </w:r>
    </w:p>
    <w:p w:rsidR="007259F2" w:rsidRDefault="00E655B4">
      <w:pPr>
        <w:ind w:left="710" w:right="425"/>
        <w:jc w:val="both"/>
        <w:rPr>
          <w:sz w:val="20"/>
        </w:rPr>
      </w:pPr>
      <w:r>
        <w:rPr>
          <w:sz w:val="20"/>
          <w:vertAlign w:val="superscript"/>
        </w:rPr>
        <w:t>25</w:t>
      </w:r>
      <w:r>
        <w:rPr>
          <w:sz w:val="20"/>
        </w:rPr>
        <w:t xml:space="preserve"> 1) pode ocorrer a situação em que, considerando-se o princípio formal (Pfl), o sistema jurídico imponha a aplicação da regra abstrata (R1) ou, na ausência de regra, imponha a inação; em outras palavras, o princípio concretizado pela regra ou pela inação (P1), acrescido do princípio formal que lhe dá primazia (Pfl), tenha tal peso no caso concreto que não seja, nem de forma parcial, razoavelmente afastado por outro princípio, considerando- se, também, o princípio formal que dá primazia à ponderação administrativa (P1 + Pfl &gt; P2 +</w:t>
      </w:r>
      <w:r>
        <w:rPr>
          <w:spacing w:val="80"/>
          <w:sz w:val="20"/>
        </w:rPr>
        <w:t xml:space="preserve"> </w:t>
      </w:r>
      <w:r>
        <w:rPr>
          <w:sz w:val="20"/>
        </w:rPr>
        <w:t>Pfa). Nesse caso, a única solução jurídica correta é a aplicação da regra ou, na ausência desta, a inação;</w:t>
      </w:r>
    </w:p>
    <w:p w:rsidR="007259F2" w:rsidRDefault="00E655B4">
      <w:pPr>
        <w:spacing w:before="1"/>
        <w:ind w:left="710" w:right="426"/>
        <w:jc w:val="both"/>
        <w:rPr>
          <w:i/>
          <w:sz w:val="20"/>
        </w:rPr>
      </w:pPr>
      <w:r>
        <w:rPr>
          <w:sz w:val="20"/>
        </w:rPr>
        <w:t>2) pode ocorrer, porém, a situação em que, considerando o peso do princípio “P2”, independentemente do peso do princípio formal que dá primazia à ponderação administrativa (Pfa), o sistema imponha sua concretização, a despeito da existência de uma regra “R1”, concretizadora do</w:t>
      </w:r>
      <w:r>
        <w:rPr>
          <w:spacing w:val="-1"/>
          <w:sz w:val="20"/>
        </w:rPr>
        <w:t xml:space="preserve"> </w:t>
      </w:r>
      <w:r>
        <w:rPr>
          <w:sz w:val="20"/>
        </w:rPr>
        <w:t>princípio “P1” (P2 &gt;</w:t>
      </w:r>
      <w:r>
        <w:rPr>
          <w:spacing w:val="-2"/>
          <w:sz w:val="20"/>
        </w:rPr>
        <w:t xml:space="preserve"> </w:t>
      </w:r>
      <w:r>
        <w:rPr>
          <w:sz w:val="20"/>
        </w:rPr>
        <w:t>P1 +</w:t>
      </w:r>
      <w:r>
        <w:rPr>
          <w:spacing w:val="-2"/>
          <w:sz w:val="20"/>
        </w:rPr>
        <w:t xml:space="preserve"> </w:t>
      </w:r>
      <w:r>
        <w:rPr>
          <w:sz w:val="20"/>
        </w:rPr>
        <w:t>Pfl + Pfa), caso em</w:t>
      </w:r>
      <w:r>
        <w:rPr>
          <w:spacing w:val="-3"/>
          <w:sz w:val="20"/>
        </w:rPr>
        <w:t xml:space="preserve"> </w:t>
      </w:r>
      <w:r>
        <w:rPr>
          <w:sz w:val="20"/>
        </w:rPr>
        <w:t>que a única solução jurídica seja a concretização do princípio “P2” e o afastamento da regra. (</w:t>
      </w:r>
      <w:r>
        <w:rPr>
          <w:i/>
          <w:sz w:val="20"/>
        </w:rPr>
        <w:t>Ibid.)</w:t>
      </w:r>
    </w:p>
    <w:p w:rsidR="007259F2" w:rsidRDefault="007259F2">
      <w:pPr>
        <w:jc w:val="both"/>
        <w:rPr>
          <w:i/>
          <w:sz w:val="20"/>
        </w:rPr>
        <w:sectPr w:rsidR="007259F2">
          <w:pgSz w:w="11910" w:h="16840"/>
          <w:pgMar w:top="1600" w:right="708" w:bottom="1020" w:left="992" w:header="0" w:footer="820" w:gutter="0"/>
          <w:cols w:space="720"/>
        </w:sectPr>
      </w:pPr>
    </w:p>
    <w:p w:rsidR="007259F2" w:rsidRDefault="00E655B4">
      <w:pPr>
        <w:pStyle w:val="Corpodetexto"/>
        <w:spacing w:before="75"/>
        <w:ind w:right="423" w:firstLine="0"/>
      </w:pPr>
      <w:r>
        <w:lastRenderedPageBreak/>
        <w:t>ou, se não houver regra aplicável, determinar a inação, em razão do princípio formal concretizado ter maior peso do que qualquer outro princípio concorrente, portanto, a única solução</w:t>
      </w:r>
      <w:r>
        <w:rPr>
          <w:spacing w:val="-1"/>
        </w:rPr>
        <w:t xml:space="preserve"> </w:t>
      </w:r>
      <w:r>
        <w:t>juridicamente</w:t>
      </w:r>
      <w:r>
        <w:rPr>
          <w:spacing w:val="-2"/>
        </w:rPr>
        <w:t xml:space="preserve"> </w:t>
      </w:r>
      <w:r>
        <w:t>correta é seguir a</w:t>
      </w:r>
      <w:r>
        <w:rPr>
          <w:spacing w:val="-1"/>
        </w:rPr>
        <w:t xml:space="preserve"> </w:t>
      </w:r>
      <w:r>
        <w:t>regra</w:t>
      </w:r>
      <w:r>
        <w:rPr>
          <w:spacing w:val="-2"/>
        </w:rPr>
        <w:t xml:space="preserve"> </w:t>
      </w:r>
      <w:r>
        <w:t>existente ou,</w:t>
      </w:r>
      <w:r>
        <w:rPr>
          <w:spacing w:val="-1"/>
        </w:rPr>
        <w:t xml:space="preserve"> </w:t>
      </w:r>
      <w:r>
        <w:t>na</w:t>
      </w:r>
      <w:r>
        <w:rPr>
          <w:spacing w:val="-2"/>
        </w:rPr>
        <w:t xml:space="preserve"> </w:t>
      </w:r>
      <w:r>
        <w:t>ausência</w:t>
      </w:r>
      <w:r>
        <w:rPr>
          <w:spacing w:val="-1"/>
        </w:rPr>
        <w:t xml:space="preserve"> </w:t>
      </w:r>
      <w:r>
        <w:t>dela,</w:t>
      </w:r>
      <w:r>
        <w:rPr>
          <w:spacing w:val="-1"/>
        </w:rPr>
        <w:t xml:space="preserve"> </w:t>
      </w:r>
      <w:r>
        <w:t>optar</w:t>
      </w:r>
      <w:r>
        <w:rPr>
          <w:spacing w:val="-2"/>
        </w:rPr>
        <w:t xml:space="preserve"> </w:t>
      </w:r>
      <w:r>
        <w:t>pela</w:t>
      </w:r>
      <w:r>
        <w:rPr>
          <w:spacing w:val="-1"/>
        </w:rPr>
        <w:t xml:space="preserve"> </w:t>
      </w:r>
      <w:r>
        <w:t>inação (P1 + Pfl &gt; P2 + Pfa). Na segunda situação, o princípio "P2" pode ter um peso maior no caso concreto, independentemente do princípio formal que privilegia a ponderação administrativa (Pfa). Nesse caso, mesmo que exista uma regra "R1" baseada no princípio "P1", o sistema jurídico exige que o princípio "P2" prevaleça (P2 &gt; P1 + Pfl + Pfa). Aqui, a única solução correta é aplicar o princípio "P2" e desconsiderar a regra "R1".</w:t>
      </w:r>
    </w:p>
    <w:p w:rsidR="007259F2" w:rsidRDefault="00E655B4">
      <w:pPr>
        <w:pStyle w:val="Corpodetexto"/>
        <w:ind w:right="422"/>
      </w:pPr>
      <w:r>
        <w:t>Tendo como plano de fundo o direito à saúde, a fim de ilustrar as hipóteses de competência</w:t>
      </w:r>
      <w:r>
        <w:rPr>
          <w:spacing w:val="-9"/>
        </w:rPr>
        <w:t xml:space="preserve"> </w:t>
      </w:r>
      <w:r>
        <w:rPr>
          <w:i/>
        </w:rPr>
        <w:t>vinculada</w:t>
      </w:r>
      <w:r>
        <w:rPr>
          <w:i/>
          <w:spacing w:val="-8"/>
        </w:rPr>
        <w:t xml:space="preserve"> </w:t>
      </w:r>
      <w:r>
        <w:t>acima</w:t>
      </w:r>
      <w:r>
        <w:rPr>
          <w:spacing w:val="-12"/>
        </w:rPr>
        <w:t xml:space="preserve"> </w:t>
      </w:r>
      <w:r>
        <w:t>descritas,</w:t>
      </w:r>
      <w:r>
        <w:rPr>
          <w:spacing w:val="-8"/>
        </w:rPr>
        <w:t xml:space="preserve"> </w:t>
      </w:r>
      <w:r>
        <w:t>suponha</w:t>
      </w:r>
      <w:r>
        <w:rPr>
          <w:spacing w:val="-11"/>
        </w:rPr>
        <w:t xml:space="preserve"> </w:t>
      </w:r>
      <w:r>
        <w:t>que</w:t>
      </w:r>
      <w:r>
        <w:rPr>
          <w:spacing w:val="-11"/>
        </w:rPr>
        <w:t xml:space="preserve"> </w:t>
      </w:r>
      <w:r>
        <w:t>o</w:t>
      </w:r>
      <w:r>
        <w:rPr>
          <w:spacing w:val="-8"/>
        </w:rPr>
        <w:t xml:space="preserve"> </w:t>
      </w:r>
      <w:r>
        <w:t>legislador,</w:t>
      </w:r>
      <w:r>
        <w:rPr>
          <w:spacing w:val="-8"/>
        </w:rPr>
        <w:t xml:space="preserve"> </w:t>
      </w:r>
      <w:r>
        <w:t>ao</w:t>
      </w:r>
      <w:r>
        <w:rPr>
          <w:spacing w:val="-8"/>
        </w:rPr>
        <w:t xml:space="preserve"> </w:t>
      </w:r>
      <w:r>
        <w:t>identificar</w:t>
      </w:r>
      <w:r>
        <w:rPr>
          <w:spacing w:val="-11"/>
        </w:rPr>
        <w:t xml:space="preserve"> </w:t>
      </w:r>
      <w:r>
        <w:t>o</w:t>
      </w:r>
      <w:r>
        <w:rPr>
          <w:spacing w:val="-8"/>
        </w:rPr>
        <w:t xml:space="preserve"> </w:t>
      </w:r>
      <w:r>
        <w:t>mandamento constitucional</w:t>
      </w:r>
      <w:r>
        <w:rPr>
          <w:spacing w:val="-15"/>
        </w:rPr>
        <w:t xml:space="preserve"> </w:t>
      </w:r>
      <w:r>
        <w:t>de</w:t>
      </w:r>
      <w:r>
        <w:rPr>
          <w:spacing w:val="-15"/>
        </w:rPr>
        <w:t xml:space="preserve"> </w:t>
      </w:r>
      <w:r>
        <w:t>universalização</w:t>
      </w:r>
      <w:r>
        <w:rPr>
          <w:spacing w:val="-14"/>
        </w:rPr>
        <w:t xml:space="preserve"> </w:t>
      </w:r>
      <w:r>
        <w:t>da</w:t>
      </w:r>
      <w:r>
        <w:rPr>
          <w:spacing w:val="-15"/>
        </w:rPr>
        <w:t xml:space="preserve"> </w:t>
      </w:r>
      <w:r>
        <w:t>saúde</w:t>
      </w:r>
      <w:r>
        <w:rPr>
          <w:spacing w:val="-15"/>
        </w:rPr>
        <w:t xml:space="preserve"> </w:t>
      </w:r>
      <w:r>
        <w:t>pública</w:t>
      </w:r>
      <w:r>
        <w:rPr>
          <w:spacing w:val="-11"/>
        </w:rPr>
        <w:t xml:space="preserve"> </w:t>
      </w:r>
      <w:r>
        <w:t>(P1),</w:t>
      </w:r>
      <w:r>
        <w:rPr>
          <w:spacing w:val="-15"/>
        </w:rPr>
        <w:t xml:space="preserve"> </w:t>
      </w:r>
      <w:r>
        <w:t>edite</w:t>
      </w:r>
      <w:r>
        <w:rPr>
          <w:spacing w:val="-15"/>
        </w:rPr>
        <w:t xml:space="preserve"> </w:t>
      </w:r>
      <w:r>
        <w:t>lei</w:t>
      </w:r>
      <w:r>
        <w:rPr>
          <w:spacing w:val="-15"/>
        </w:rPr>
        <w:t xml:space="preserve"> </w:t>
      </w:r>
      <w:r>
        <w:t>que</w:t>
      </w:r>
      <w:r>
        <w:rPr>
          <w:spacing w:val="-15"/>
        </w:rPr>
        <w:t xml:space="preserve"> </w:t>
      </w:r>
      <w:r>
        <w:t>determine</w:t>
      </w:r>
      <w:r>
        <w:rPr>
          <w:spacing w:val="-14"/>
        </w:rPr>
        <w:t xml:space="preserve"> </w:t>
      </w:r>
      <w:r>
        <w:t>que</w:t>
      </w:r>
      <w:r>
        <w:rPr>
          <w:spacing w:val="-15"/>
        </w:rPr>
        <w:t xml:space="preserve"> </w:t>
      </w:r>
      <w:r>
        <w:t>os</w:t>
      </w:r>
      <w:r>
        <w:rPr>
          <w:spacing w:val="-15"/>
        </w:rPr>
        <w:t xml:space="preserve"> </w:t>
      </w:r>
      <w:r>
        <w:t>hospitais da rede da rede pública devam assegurar a realização de, ao menos, 5000 atendimentos de emergência em prontos socorros</w:t>
      </w:r>
      <w:r>
        <w:rPr>
          <w:spacing w:val="-1"/>
        </w:rPr>
        <w:t xml:space="preserve"> </w:t>
      </w:r>
      <w:r>
        <w:t>por</w:t>
      </w:r>
      <w:r>
        <w:rPr>
          <w:spacing w:val="-2"/>
        </w:rPr>
        <w:t xml:space="preserve"> </w:t>
      </w:r>
      <w:r>
        <w:t>dia e</w:t>
      </w:r>
      <w:r>
        <w:rPr>
          <w:spacing w:val="-2"/>
        </w:rPr>
        <w:t xml:space="preserve"> </w:t>
      </w:r>
      <w:r>
        <w:t>2500 atendimentos de</w:t>
      </w:r>
      <w:r>
        <w:rPr>
          <w:spacing w:val="-2"/>
        </w:rPr>
        <w:t xml:space="preserve"> </w:t>
      </w:r>
      <w:r>
        <w:t>consultas com especialistas e procedimentos</w:t>
      </w:r>
      <w:r>
        <w:rPr>
          <w:spacing w:val="-12"/>
        </w:rPr>
        <w:t xml:space="preserve"> </w:t>
      </w:r>
      <w:r>
        <w:t>eletivos</w:t>
      </w:r>
      <w:r>
        <w:rPr>
          <w:spacing w:val="-9"/>
        </w:rPr>
        <w:t xml:space="preserve"> </w:t>
      </w:r>
      <w:r>
        <w:t>por</w:t>
      </w:r>
      <w:r>
        <w:rPr>
          <w:spacing w:val="-11"/>
        </w:rPr>
        <w:t xml:space="preserve"> </w:t>
      </w:r>
      <w:r>
        <w:t>mês.</w:t>
      </w:r>
      <w:r>
        <w:rPr>
          <w:spacing w:val="-11"/>
        </w:rPr>
        <w:t xml:space="preserve"> </w:t>
      </w:r>
      <w:r>
        <w:t>A</w:t>
      </w:r>
      <w:r>
        <w:rPr>
          <w:spacing w:val="-11"/>
        </w:rPr>
        <w:t xml:space="preserve"> </w:t>
      </w:r>
      <w:r>
        <w:t>despeito</w:t>
      </w:r>
      <w:r>
        <w:rPr>
          <w:spacing w:val="-10"/>
        </w:rPr>
        <w:t xml:space="preserve"> </w:t>
      </w:r>
      <w:r>
        <w:t>disso,</w:t>
      </w:r>
      <w:r>
        <w:rPr>
          <w:spacing w:val="-15"/>
        </w:rPr>
        <w:t xml:space="preserve"> </w:t>
      </w:r>
      <w:r>
        <w:t>o</w:t>
      </w:r>
      <w:r>
        <w:rPr>
          <w:spacing w:val="-11"/>
        </w:rPr>
        <w:t xml:space="preserve"> </w:t>
      </w:r>
      <w:r>
        <w:t>administrador</w:t>
      </w:r>
      <w:r>
        <w:rPr>
          <w:spacing w:val="-11"/>
        </w:rPr>
        <w:t xml:space="preserve"> </w:t>
      </w:r>
      <w:r>
        <w:t>com</w:t>
      </w:r>
      <w:r>
        <w:rPr>
          <w:spacing w:val="-10"/>
        </w:rPr>
        <w:t xml:space="preserve"> </w:t>
      </w:r>
      <w:r>
        <w:t>intenção</w:t>
      </w:r>
      <w:r>
        <w:rPr>
          <w:spacing w:val="-10"/>
        </w:rPr>
        <w:t xml:space="preserve"> </w:t>
      </w:r>
      <w:r>
        <w:t>de</w:t>
      </w:r>
      <w:r>
        <w:rPr>
          <w:spacing w:val="-14"/>
        </w:rPr>
        <w:t xml:space="preserve"> </w:t>
      </w:r>
      <w:r>
        <w:t>modernizar os hospitais, com fundamento no princípio da atualidade (P2), pretende realizar a reforma das instalações dos quartos dos hospitais, a fim de assegurar maior conforto aos pacientes, o que, em razão dos limitados recursos públicos, obrigaria a rede de saúde a reduzir pela metade a demanda de pacientes atendidos.</w:t>
      </w:r>
    </w:p>
    <w:p w:rsidR="007259F2" w:rsidRDefault="00E655B4">
      <w:pPr>
        <w:pStyle w:val="Corpodetexto"/>
        <w:spacing w:before="1"/>
        <w:ind w:right="420"/>
      </w:pPr>
      <w:r>
        <w:t xml:space="preserve">Em que pese a relevância da garantia de instalações confortáveis e modernas na rede pública, ao realizar a ponderação entre os princípios envolvidos, a universalização da saúde (P1), com o atendimento de patamar </w:t>
      </w:r>
      <w:r>
        <w:rPr>
          <w:i/>
        </w:rPr>
        <w:t xml:space="preserve">mínimo </w:t>
      </w:r>
      <w:r>
        <w:t xml:space="preserve">de pacientes </w:t>
      </w:r>
      <w:r>
        <w:rPr>
          <w:i/>
        </w:rPr>
        <w:t xml:space="preserve">versus </w:t>
      </w:r>
      <w:r>
        <w:t>a busca da atualidade do serviço prestado (P2), o princípio concretizado pela regra (P1), acrescido do princípio formal que lhe dá primazia (Pfl), tem tal peso no caso concreto que não se mostra razoável afastá-lo por</w:t>
      </w:r>
      <w:r>
        <w:rPr>
          <w:spacing w:val="-14"/>
        </w:rPr>
        <w:t xml:space="preserve"> </w:t>
      </w:r>
      <w:r>
        <w:t>outro</w:t>
      </w:r>
      <w:r>
        <w:rPr>
          <w:spacing w:val="-13"/>
        </w:rPr>
        <w:t xml:space="preserve"> </w:t>
      </w:r>
      <w:r>
        <w:t>princípio,</w:t>
      </w:r>
      <w:r>
        <w:rPr>
          <w:spacing w:val="-12"/>
        </w:rPr>
        <w:t xml:space="preserve"> </w:t>
      </w:r>
      <w:r>
        <w:t>considerando-se,</w:t>
      </w:r>
      <w:r>
        <w:rPr>
          <w:spacing w:val="-13"/>
        </w:rPr>
        <w:t xml:space="preserve"> </w:t>
      </w:r>
      <w:r>
        <w:t>também,</w:t>
      </w:r>
      <w:r>
        <w:rPr>
          <w:spacing w:val="-8"/>
        </w:rPr>
        <w:t xml:space="preserve"> </w:t>
      </w:r>
      <w:r>
        <w:t>o</w:t>
      </w:r>
      <w:r>
        <w:rPr>
          <w:spacing w:val="-13"/>
        </w:rPr>
        <w:t xml:space="preserve"> </w:t>
      </w:r>
      <w:r>
        <w:t>princípio</w:t>
      </w:r>
      <w:r>
        <w:rPr>
          <w:spacing w:val="-12"/>
        </w:rPr>
        <w:t xml:space="preserve"> </w:t>
      </w:r>
      <w:r>
        <w:t>formal</w:t>
      </w:r>
      <w:r>
        <w:rPr>
          <w:spacing w:val="-13"/>
        </w:rPr>
        <w:t xml:space="preserve"> </w:t>
      </w:r>
      <w:r>
        <w:t>que</w:t>
      </w:r>
      <w:r>
        <w:rPr>
          <w:spacing w:val="-12"/>
        </w:rPr>
        <w:t xml:space="preserve"> </w:t>
      </w:r>
      <w:r>
        <w:t>dá</w:t>
      </w:r>
      <w:r>
        <w:rPr>
          <w:spacing w:val="-14"/>
        </w:rPr>
        <w:t xml:space="preserve"> </w:t>
      </w:r>
      <w:r>
        <w:t>primazia</w:t>
      </w:r>
      <w:r>
        <w:rPr>
          <w:spacing w:val="-12"/>
        </w:rPr>
        <w:t xml:space="preserve"> </w:t>
      </w:r>
      <w:r>
        <w:t>à</w:t>
      </w:r>
      <w:r>
        <w:rPr>
          <w:spacing w:val="-12"/>
        </w:rPr>
        <w:t xml:space="preserve"> </w:t>
      </w:r>
      <w:r>
        <w:t>ponderação administrativa</w:t>
      </w:r>
      <w:r>
        <w:rPr>
          <w:spacing w:val="-3"/>
        </w:rPr>
        <w:t xml:space="preserve"> </w:t>
      </w:r>
      <w:r>
        <w:t>(P1 +</w:t>
      </w:r>
      <w:r>
        <w:rPr>
          <w:spacing w:val="-2"/>
        </w:rPr>
        <w:t xml:space="preserve"> </w:t>
      </w:r>
      <w:r>
        <w:t>Pfl</w:t>
      </w:r>
      <w:r>
        <w:rPr>
          <w:spacing w:val="-3"/>
        </w:rPr>
        <w:t xml:space="preserve"> </w:t>
      </w:r>
      <w:r>
        <w:t>&gt;</w:t>
      </w:r>
      <w:r>
        <w:rPr>
          <w:spacing w:val="-2"/>
        </w:rPr>
        <w:t xml:space="preserve"> </w:t>
      </w:r>
      <w:r>
        <w:t>P2 +</w:t>
      </w:r>
      <w:r>
        <w:rPr>
          <w:spacing w:val="-2"/>
        </w:rPr>
        <w:t xml:space="preserve"> </w:t>
      </w:r>
      <w:r>
        <w:t>Pfa).</w:t>
      </w:r>
      <w:r>
        <w:rPr>
          <w:spacing w:val="-2"/>
        </w:rPr>
        <w:t xml:space="preserve"> </w:t>
      </w:r>
      <w:r>
        <w:t>Trata-se,</w:t>
      </w:r>
      <w:r>
        <w:rPr>
          <w:spacing w:val="-2"/>
        </w:rPr>
        <w:t xml:space="preserve"> </w:t>
      </w:r>
      <w:r>
        <w:t>portanto, de</w:t>
      </w:r>
      <w:r>
        <w:rPr>
          <w:spacing w:val="-2"/>
        </w:rPr>
        <w:t xml:space="preserve"> </w:t>
      </w:r>
      <w:r>
        <w:t>hipótese</w:t>
      </w:r>
      <w:r>
        <w:rPr>
          <w:spacing w:val="-2"/>
        </w:rPr>
        <w:t xml:space="preserve"> </w:t>
      </w:r>
      <w:r>
        <w:t>de</w:t>
      </w:r>
      <w:r>
        <w:rPr>
          <w:spacing w:val="-1"/>
        </w:rPr>
        <w:t xml:space="preserve"> </w:t>
      </w:r>
      <w:r>
        <w:t xml:space="preserve">competência vinculada de modo que a única solução jurídica correta é a aplicação da regra ou, na sua ausência, a não </w:t>
      </w:r>
      <w:r>
        <w:rPr>
          <w:spacing w:val="-2"/>
        </w:rPr>
        <w:t>aplicação.</w:t>
      </w:r>
    </w:p>
    <w:p w:rsidR="007259F2" w:rsidRDefault="00E655B4">
      <w:pPr>
        <w:pStyle w:val="Corpodetexto"/>
        <w:ind w:right="421"/>
      </w:pPr>
      <w:r>
        <w:t>Ainda tendo em vista a norma acima, a qual determina o atendimento mínimo de determinada</w:t>
      </w:r>
      <w:r>
        <w:rPr>
          <w:spacing w:val="-3"/>
        </w:rPr>
        <w:t xml:space="preserve"> </w:t>
      </w:r>
      <w:r>
        <w:t>quantidade</w:t>
      </w:r>
      <w:r>
        <w:rPr>
          <w:spacing w:val="-1"/>
        </w:rPr>
        <w:t xml:space="preserve"> </w:t>
      </w:r>
      <w:r>
        <w:t>de</w:t>
      </w:r>
      <w:r>
        <w:rPr>
          <w:spacing w:val="-3"/>
        </w:rPr>
        <w:t xml:space="preserve"> </w:t>
      </w:r>
      <w:r>
        <w:t>pacientes</w:t>
      </w:r>
      <w:r>
        <w:rPr>
          <w:spacing w:val="-1"/>
        </w:rPr>
        <w:t xml:space="preserve"> </w:t>
      </w:r>
      <w:r>
        <w:t>(P1</w:t>
      </w:r>
      <w:r>
        <w:rPr>
          <w:spacing w:val="-3"/>
        </w:rPr>
        <w:t xml:space="preserve"> </w:t>
      </w:r>
      <w:r>
        <w:t>+</w:t>
      </w:r>
      <w:r>
        <w:rPr>
          <w:spacing w:val="-3"/>
        </w:rPr>
        <w:t xml:space="preserve"> </w:t>
      </w:r>
      <w:r>
        <w:t>Pfl),</w:t>
      </w:r>
      <w:r>
        <w:rPr>
          <w:spacing w:val="-3"/>
        </w:rPr>
        <w:t xml:space="preserve"> </w:t>
      </w:r>
      <w:r>
        <w:t>suponha</w:t>
      </w:r>
      <w:r>
        <w:rPr>
          <w:spacing w:val="-3"/>
        </w:rPr>
        <w:t xml:space="preserve"> </w:t>
      </w:r>
      <w:r>
        <w:t>a</w:t>
      </w:r>
      <w:r>
        <w:rPr>
          <w:spacing w:val="-4"/>
        </w:rPr>
        <w:t xml:space="preserve"> </w:t>
      </w:r>
      <w:r>
        <w:t>hipótese</w:t>
      </w:r>
      <w:r>
        <w:rPr>
          <w:spacing w:val="-3"/>
        </w:rPr>
        <w:t xml:space="preserve"> </w:t>
      </w:r>
      <w:r>
        <w:t>de</w:t>
      </w:r>
      <w:r>
        <w:rPr>
          <w:spacing w:val="-4"/>
        </w:rPr>
        <w:t xml:space="preserve"> </w:t>
      </w:r>
      <w:r>
        <w:t>eclosão</w:t>
      </w:r>
      <w:r>
        <w:rPr>
          <w:spacing w:val="-3"/>
        </w:rPr>
        <w:t xml:space="preserve"> </w:t>
      </w:r>
      <w:r>
        <w:t>de</w:t>
      </w:r>
      <w:r>
        <w:rPr>
          <w:spacing w:val="-3"/>
        </w:rPr>
        <w:t xml:space="preserve"> </w:t>
      </w:r>
      <w:r>
        <w:t>epidemia</w:t>
      </w:r>
      <w:r>
        <w:rPr>
          <w:spacing w:val="-4"/>
        </w:rPr>
        <w:t xml:space="preserve"> </w:t>
      </w:r>
      <w:r>
        <w:t>de dengue, no Município ou Estado, que acarretasse a sobrecarga do sistema de saúde de tal maneira que a demanda por atendimentos emergenciais aumentasse em cinco vezes, com a consequente suspensão temporária de todas as consultas com especialistas e procedimentos eletivos, com fundamento no princípio da proteção da saúde (P2). Nesse caso, mesmo na falta de previsão legislativa, à luz da ponderação no caso concreto, a Administração deve manter a suspensão</w:t>
      </w:r>
      <w:r>
        <w:rPr>
          <w:spacing w:val="-6"/>
        </w:rPr>
        <w:t xml:space="preserve"> </w:t>
      </w:r>
      <w:r>
        <w:t>dos</w:t>
      </w:r>
      <w:r>
        <w:rPr>
          <w:spacing w:val="-6"/>
        </w:rPr>
        <w:t xml:space="preserve"> </w:t>
      </w:r>
      <w:r>
        <w:t>atendimentos</w:t>
      </w:r>
      <w:r>
        <w:rPr>
          <w:spacing w:val="-4"/>
        </w:rPr>
        <w:t xml:space="preserve"> </w:t>
      </w:r>
      <w:r>
        <w:t>não</w:t>
      </w:r>
      <w:r>
        <w:rPr>
          <w:spacing w:val="-6"/>
        </w:rPr>
        <w:t xml:space="preserve"> </w:t>
      </w:r>
      <w:r>
        <w:t>emergenciais</w:t>
      </w:r>
      <w:r>
        <w:rPr>
          <w:spacing w:val="-5"/>
        </w:rPr>
        <w:t xml:space="preserve"> </w:t>
      </w:r>
      <w:r>
        <w:t>para</w:t>
      </w:r>
      <w:r>
        <w:rPr>
          <w:spacing w:val="-9"/>
        </w:rPr>
        <w:t xml:space="preserve"> </w:t>
      </w:r>
      <w:r>
        <w:t>assegurar</w:t>
      </w:r>
      <w:r>
        <w:rPr>
          <w:spacing w:val="-6"/>
        </w:rPr>
        <w:t xml:space="preserve"> </w:t>
      </w:r>
      <w:r>
        <w:t>o</w:t>
      </w:r>
      <w:r>
        <w:rPr>
          <w:spacing w:val="-6"/>
        </w:rPr>
        <w:t xml:space="preserve"> </w:t>
      </w:r>
      <w:r>
        <w:t>atendimento</w:t>
      </w:r>
      <w:r>
        <w:rPr>
          <w:spacing w:val="-5"/>
        </w:rPr>
        <w:t xml:space="preserve"> </w:t>
      </w:r>
      <w:r>
        <w:t>de</w:t>
      </w:r>
      <w:r>
        <w:rPr>
          <w:spacing w:val="-9"/>
        </w:rPr>
        <w:t xml:space="preserve"> </w:t>
      </w:r>
      <w:r>
        <w:t>casos</w:t>
      </w:r>
      <w:r>
        <w:rPr>
          <w:spacing w:val="-5"/>
        </w:rPr>
        <w:t xml:space="preserve"> </w:t>
      </w:r>
      <w:r>
        <w:t xml:space="preserve">urgentes, dada a situação excepcional provocada pela epidemia, portanto, à luz do caso concreto, P2 é mais pesado do que P1 + Pfl (P2 &gt; P1 + Pfl). Trata-se de hipótese de competência vinculada, pois a única solução jurídica correta é a concretização do princípio “P2” e o afastamento da </w:t>
      </w:r>
      <w:r>
        <w:rPr>
          <w:spacing w:val="-2"/>
        </w:rPr>
        <w:t>regra.</w:t>
      </w:r>
    </w:p>
    <w:p w:rsidR="007259F2" w:rsidRDefault="00E655B4">
      <w:pPr>
        <w:pStyle w:val="Corpodetexto"/>
        <w:ind w:right="417"/>
      </w:pPr>
      <w:r>
        <w:t>Por sua vez, a discricionariedade ocorre quando duas ou mais alternativas forem igualmente</w:t>
      </w:r>
      <w:r>
        <w:rPr>
          <w:spacing w:val="-12"/>
        </w:rPr>
        <w:t xml:space="preserve"> </w:t>
      </w:r>
      <w:r>
        <w:t>ótimas</w:t>
      </w:r>
      <w:r>
        <w:rPr>
          <w:spacing w:val="-12"/>
        </w:rPr>
        <w:t xml:space="preserve"> </w:t>
      </w:r>
      <w:r>
        <w:t>do</w:t>
      </w:r>
      <w:r>
        <w:rPr>
          <w:spacing w:val="-12"/>
        </w:rPr>
        <w:t xml:space="preserve"> </w:t>
      </w:r>
      <w:r>
        <w:t>ponto</w:t>
      </w:r>
      <w:r>
        <w:rPr>
          <w:spacing w:val="-11"/>
        </w:rPr>
        <w:t xml:space="preserve"> </w:t>
      </w:r>
      <w:r>
        <w:t>de</w:t>
      </w:r>
      <w:r>
        <w:rPr>
          <w:spacing w:val="-13"/>
        </w:rPr>
        <w:t xml:space="preserve"> </w:t>
      </w:r>
      <w:r>
        <w:t>vista</w:t>
      </w:r>
      <w:r>
        <w:rPr>
          <w:spacing w:val="-13"/>
        </w:rPr>
        <w:t xml:space="preserve"> </w:t>
      </w:r>
      <w:r>
        <w:t>objetivo,</w:t>
      </w:r>
      <w:r>
        <w:rPr>
          <w:spacing w:val="-11"/>
        </w:rPr>
        <w:t xml:space="preserve"> </w:t>
      </w:r>
      <w:r>
        <w:t>de</w:t>
      </w:r>
      <w:r>
        <w:rPr>
          <w:spacing w:val="-13"/>
        </w:rPr>
        <w:t xml:space="preserve"> </w:t>
      </w:r>
      <w:r>
        <w:t>modo</w:t>
      </w:r>
      <w:r>
        <w:rPr>
          <w:spacing w:val="-12"/>
        </w:rPr>
        <w:t xml:space="preserve"> </w:t>
      </w:r>
      <w:r>
        <w:t>que</w:t>
      </w:r>
      <w:r>
        <w:rPr>
          <w:spacing w:val="-13"/>
        </w:rPr>
        <w:t xml:space="preserve"> </w:t>
      </w:r>
      <w:r>
        <w:t>somente</w:t>
      </w:r>
      <w:r>
        <w:rPr>
          <w:spacing w:val="-13"/>
        </w:rPr>
        <w:t xml:space="preserve"> </w:t>
      </w:r>
      <w:r>
        <w:t>critérios</w:t>
      </w:r>
      <w:r>
        <w:rPr>
          <w:spacing w:val="-11"/>
        </w:rPr>
        <w:t xml:space="preserve"> </w:t>
      </w:r>
      <w:r>
        <w:t>subjetivos</w:t>
      </w:r>
      <w:r>
        <w:rPr>
          <w:spacing w:val="-11"/>
        </w:rPr>
        <w:t xml:space="preserve"> </w:t>
      </w:r>
      <w:r>
        <w:t>possam definir</w:t>
      </w:r>
      <w:r>
        <w:rPr>
          <w:spacing w:val="-15"/>
        </w:rPr>
        <w:t xml:space="preserve"> </w:t>
      </w:r>
      <w:r>
        <w:t>uma</w:t>
      </w:r>
      <w:r>
        <w:rPr>
          <w:spacing w:val="-15"/>
        </w:rPr>
        <w:t xml:space="preserve"> </w:t>
      </w:r>
      <w:r>
        <w:t>como</w:t>
      </w:r>
      <w:r>
        <w:rPr>
          <w:spacing w:val="-14"/>
        </w:rPr>
        <w:t xml:space="preserve"> </w:t>
      </w:r>
      <w:r>
        <w:t>melhor</w:t>
      </w:r>
      <w:r>
        <w:rPr>
          <w:spacing w:val="-14"/>
        </w:rPr>
        <w:t xml:space="preserve"> </w:t>
      </w:r>
      <w:r>
        <w:t>do</w:t>
      </w:r>
      <w:r>
        <w:rPr>
          <w:spacing w:val="-14"/>
        </w:rPr>
        <w:t xml:space="preserve"> </w:t>
      </w:r>
      <w:r>
        <w:t>que</w:t>
      </w:r>
      <w:r>
        <w:rPr>
          <w:spacing w:val="-15"/>
        </w:rPr>
        <w:t xml:space="preserve"> </w:t>
      </w:r>
      <w:r>
        <w:t>a</w:t>
      </w:r>
      <w:r>
        <w:rPr>
          <w:spacing w:val="-15"/>
        </w:rPr>
        <w:t xml:space="preserve"> </w:t>
      </w:r>
      <w:r>
        <w:t>outra.</w:t>
      </w:r>
      <w:r>
        <w:rPr>
          <w:vertAlign w:val="superscript"/>
        </w:rPr>
        <w:t>26</w:t>
      </w:r>
      <w:r>
        <w:t xml:space="preserve"> É</w:t>
      </w:r>
      <w:r>
        <w:rPr>
          <w:spacing w:val="-15"/>
        </w:rPr>
        <w:t xml:space="preserve"> </w:t>
      </w:r>
      <w:r>
        <w:t>dizer,</w:t>
      </w:r>
      <w:r>
        <w:rPr>
          <w:spacing w:val="-14"/>
        </w:rPr>
        <w:t xml:space="preserve"> </w:t>
      </w:r>
      <w:r>
        <w:t>não</w:t>
      </w:r>
      <w:r>
        <w:rPr>
          <w:spacing w:val="-14"/>
        </w:rPr>
        <w:t xml:space="preserve"> </w:t>
      </w:r>
      <w:r>
        <w:t>há</w:t>
      </w:r>
      <w:r>
        <w:rPr>
          <w:spacing w:val="-15"/>
        </w:rPr>
        <w:t xml:space="preserve"> </w:t>
      </w:r>
      <w:r>
        <w:t>uma</w:t>
      </w:r>
      <w:r>
        <w:rPr>
          <w:spacing w:val="-15"/>
        </w:rPr>
        <w:t xml:space="preserve"> </w:t>
      </w:r>
      <w:r>
        <w:t>valoração</w:t>
      </w:r>
      <w:r>
        <w:rPr>
          <w:spacing w:val="-14"/>
        </w:rPr>
        <w:t xml:space="preserve"> </w:t>
      </w:r>
      <w:r>
        <w:t>objetiva</w:t>
      </w:r>
      <w:r>
        <w:rPr>
          <w:spacing w:val="-14"/>
        </w:rPr>
        <w:t xml:space="preserve"> </w:t>
      </w:r>
      <w:r>
        <w:t>sobre</w:t>
      </w:r>
      <w:r>
        <w:rPr>
          <w:spacing w:val="-15"/>
        </w:rPr>
        <w:t xml:space="preserve"> </w:t>
      </w:r>
      <w:r>
        <w:t>o</w:t>
      </w:r>
      <w:r>
        <w:rPr>
          <w:spacing w:val="-14"/>
        </w:rPr>
        <w:t xml:space="preserve"> </w:t>
      </w:r>
      <w:r>
        <w:t>maior peso do princípio formal que dá primazia à regra abstrata e do princípio por ela concretizado, em</w:t>
      </w:r>
      <w:r>
        <w:rPr>
          <w:spacing w:val="-15"/>
        </w:rPr>
        <w:t xml:space="preserve"> </w:t>
      </w:r>
      <w:r>
        <w:t>relação</w:t>
      </w:r>
      <w:r>
        <w:rPr>
          <w:spacing w:val="-12"/>
        </w:rPr>
        <w:t xml:space="preserve"> </w:t>
      </w:r>
      <w:r>
        <w:t>a</w:t>
      </w:r>
      <w:r>
        <w:rPr>
          <w:spacing w:val="-15"/>
        </w:rPr>
        <w:t xml:space="preserve"> </w:t>
      </w:r>
      <w:r>
        <w:t>um</w:t>
      </w:r>
      <w:r>
        <w:rPr>
          <w:spacing w:val="-14"/>
        </w:rPr>
        <w:t xml:space="preserve"> </w:t>
      </w:r>
      <w:r>
        <w:t>princípio</w:t>
      </w:r>
      <w:r>
        <w:rPr>
          <w:spacing w:val="-13"/>
        </w:rPr>
        <w:t xml:space="preserve"> </w:t>
      </w:r>
      <w:r>
        <w:t>oposto,</w:t>
      </w:r>
      <w:r>
        <w:rPr>
          <w:spacing w:val="-14"/>
        </w:rPr>
        <w:t xml:space="preserve"> </w:t>
      </w:r>
      <w:r>
        <w:t>nem</w:t>
      </w:r>
      <w:r>
        <w:rPr>
          <w:spacing w:val="-14"/>
        </w:rPr>
        <w:t xml:space="preserve"> </w:t>
      </w:r>
      <w:r>
        <w:t>sobre</w:t>
      </w:r>
      <w:r>
        <w:rPr>
          <w:spacing w:val="-15"/>
        </w:rPr>
        <w:t xml:space="preserve"> </w:t>
      </w:r>
      <w:r>
        <w:t>o</w:t>
      </w:r>
      <w:r>
        <w:rPr>
          <w:spacing w:val="-12"/>
        </w:rPr>
        <w:t xml:space="preserve"> </w:t>
      </w:r>
      <w:r>
        <w:t>maior</w:t>
      </w:r>
      <w:r>
        <w:rPr>
          <w:spacing w:val="-14"/>
        </w:rPr>
        <w:t xml:space="preserve"> </w:t>
      </w:r>
      <w:r>
        <w:t>peso</w:t>
      </w:r>
      <w:r>
        <w:rPr>
          <w:spacing w:val="-14"/>
        </w:rPr>
        <w:t xml:space="preserve"> </w:t>
      </w:r>
      <w:r>
        <w:t>deste,</w:t>
      </w:r>
      <w:r>
        <w:rPr>
          <w:spacing w:val="-12"/>
        </w:rPr>
        <w:t xml:space="preserve"> </w:t>
      </w:r>
      <w:r>
        <w:t>a</w:t>
      </w:r>
      <w:r>
        <w:rPr>
          <w:spacing w:val="-15"/>
        </w:rPr>
        <w:t xml:space="preserve"> </w:t>
      </w:r>
      <w:r>
        <w:t>Administração</w:t>
      </w:r>
      <w:r>
        <w:rPr>
          <w:spacing w:val="-11"/>
        </w:rPr>
        <w:t xml:space="preserve"> </w:t>
      </w:r>
      <w:r>
        <w:t>pode</w:t>
      </w:r>
      <w:r>
        <w:rPr>
          <w:spacing w:val="-15"/>
        </w:rPr>
        <w:t xml:space="preserve"> </w:t>
      </w:r>
      <w:r>
        <w:t>concluir tanto pelo afastamento da regra e concretização do princípio oposto, quanto pela aplicação da regra e afastamento do princípio oposto.</w:t>
      </w:r>
    </w:p>
    <w:p w:rsidR="007259F2" w:rsidRDefault="00E655B4">
      <w:pPr>
        <w:pStyle w:val="Corpodetexto"/>
        <w:ind w:right="425"/>
      </w:pPr>
      <w:r>
        <w:t>Para exemplificar, tendo em vista a norma acima estudada, a qual visa assegurar o atendimento</w:t>
      </w:r>
      <w:r>
        <w:rPr>
          <w:spacing w:val="1"/>
        </w:rPr>
        <w:t xml:space="preserve"> </w:t>
      </w:r>
      <w:r>
        <w:t>de</w:t>
      </w:r>
      <w:r>
        <w:rPr>
          <w:spacing w:val="2"/>
        </w:rPr>
        <w:t xml:space="preserve"> </w:t>
      </w:r>
      <w:r>
        <w:t>quantitativos</w:t>
      </w:r>
      <w:r>
        <w:rPr>
          <w:spacing w:val="4"/>
        </w:rPr>
        <w:t xml:space="preserve"> </w:t>
      </w:r>
      <w:r>
        <w:t>mínimos,</w:t>
      </w:r>
      <w:r>
        <w:rPr>
          <w:spacing w:val="4"/>
        </w:rPr>
        <w:t xml:space="preserve"> </w:t>
      </w:r>
      <w:r>
        <w:t>no</w:t>
      </w:r>
      <w:r>
        <w:rPr>
          <w:spacing w:val="3"/>
        </w:rPr>
        <w:t xml:space="preserve"> </w:t>
      </w:r>
      <w:r>
        <w:t>que</w:t>
      </w:r>
      <w:r>
        <w:rPr>
          <w:spacing w:val="2"/>
        </w:rPr>
        <w:t xml:space="preserve"> </w:t>
      </w:r>
      <w:r>
        <w:t>tange</w:t>
      </w:r>
      <w:r>
        <w:rPr>
          <w:spacing w:val="6"/>
        </w:rPr>
        <w:t xml:space="preserve"> </w:t>
      </w:r>
      <w:r>
        <w:t>a</w:t>
      </w:r>
      <w:r>
        <w:rPr>
          <w:spacing w:val="2"/>
        </w:rPr>
        <w:t xml:space="preserve"> </w:t>
      </w:r>
      <w:r>
        <w:t>supressão</w:t>
      </w:r>
      <w:r>
        <w:rPr>
          <w:spacing w:val="3"/>
        </w:rPr>
        <w:t xml:space="preserve"> </w:t>
      </w:r>
      <w:r>
        <w:t>do</w:t>
      </w:r>
      <w:r>
        <w:rPr>
          <w:spacing w:val="4"/>
        </w:rPr>
        <w:t xml:space="preserve"> </w:t>
      </w:r>
      <w:r>
        <w:t>déficit</w:t>
      </w:r>
      <w:r>
        <w:rPr>
          <w:spacing w:val="6"/>
        </w:rPr>
        <w:t xml:space="preserve"> </w:t>
      </w:r>
      <w:r>
        <w:t>de</w:t>
      </w:r>
      <w:r>
        <w:rPr>
          <w:spacing w:val="2"/>
        </w:rPr>
        <w:t xml:space="preserve"> </w:t>
      </w:r>
      <w:r>
        <w:t>profissionais</w:t>
      </w:r>
      <w:r>
        <w:rPr>
          <w:spacing w:val="4"/>
        </w:rPr>
        <w:t xml:space="preserve"> </w:t>
      </w:r>
      <w:r>
        <w:rPr>
          <w:spacing w:val="-5"/>
        </w:rPr>
        <w:t>de</w:t>
      </w:r>
    </w:p>
    <w:p w:rsidR="007259F2" w:rsidRDefault="00DE6B1C">
      <w:pPr>
        <w:pStyle w:val="Corpodetexto"/>
        <w:spacing w:before="164"/>
        <w:ind w:left="0" w:firstLine="0"/>
        <w:jc w:val="left"/>
        <w:rPr>
          <w:sz w:val="20"/>
        </w:rPr>
      </w:pPr>
      <w:r w:rsidRPr="00DE6B1C">
        <w:rPr>
          <w:sz w:val="20"/>
        </w:rPr>
        <w:pict>
          <v:rect id="docshape142" o:spid="_x0000_s1085" style="position:absolute;margin-left:85.1pt;margin-top:20.95pt;width:2in;height:.7pt;z-index:-15666176;mso-wrap-distance-left:0;mso-wrap-distance-right:0;mso-position-horizontal-relative:page" fillcolor="black" stroked="f">
            <w10:wrap type="topAndBottom" anchorx="page"/>
          </v:rect>
        </w:pict>
      </w:r>
    </w:p>
    <w:p w:rsidR="007259F2" w:rsidRDefault="00E655B4">
      <w:pPr>
        <w:spacing w:before="96"/>
        <w:ind w:left="710"/>
        <w:rPr>
          <w:i/>
          <w:sz w:val="20"/>
        </w:rPr>
      </w:pPr>
      <w:r>
        <w:rPr>
          <w:sz w:val="20"/>
          <w:vertAlign w:val="superscript"/>
        </w:rPr>
        <w:t>26</w:t>
      </w:r>
      <w:r>
        <w:rPr>
          <w:spacing w:val="-7"/>
          <w:sz w:val="20"/>
        </w:rPr>
        <w:t xml:space="preserve"> </w:t>
      </w:r>
      <w:r>
        <w:rPr>
          <w:i/>
          <w:spacing w:val="-2"/>
          <w:sz w:val="20"/>
        </w:rPr>
        <w:t>Ibid.</w:t>
      </w:r>
    </w:p>
    <w:p w:rsidR="007259F2" w:rsidRDefault="007259F2">
      <w:pPr>
        <w:rPr>
          <w:i/>
          <w:sz w:val="20"/>
        </w:rPr>
        <w:sectPr w:rsidR="007259F2">
          <w:pgSz w:w="11910" w:h="16840"/>
          <w:pgMar w:top="1600" w:right="708" w:bottom="1020" w:left="992" w:header="0" w:footer="820" w:gutter="0"/>
          <w:cols w:space="720"/>
        </w:sectPr>
      </w:pPr>
    </w:p>
    <w:p w:rsidR="007259F2" w:rsidRDefault="00E655B4">
      <w:pPr>
        <w:pStyle w:val="Corpodetexto"/>
        <w:spacing w:before="75"/>
        <w:ind w:right="421" w:firstLine="0"/>
      </w:pPr>
      <w:r>
        <w:lastRenderedPageBreak/>
        <w:t>saúde,</w:t>
      </w:r>
      <w:r>
        <w:rPr>
          <w:spacing w:val="-15"/>
        </w:rPr>
        <w:t xml:space="preserve"> </w:t>
      </w:r>
      <w:r>
        <w:t>a</w:t>
      </w:r>
      <w:r>
        <w:rPr>
          <w:spacing w:val="-15"/>
        </w:rPr>
        <w:t xml:space="preserve"> </w:t>
      </w:r>
      <w:r>
        <w:t>Administração</w:t>
      </w:r>
      <w:r>
        <w:rPr>
          <w:spacing w:val="-15"/>
        </w:rPr>
        <w:t xml:space="preserve"> </w:t>
      </w:r>
      <w:r>
        <w:t>pode,</w:t>
      </w:r>
      <w:r>
        <w:rPr>
          <w:spacing w:val="-15"/>
        </w:rPr>
        <w:t xml:space="preserve"> </w:t>
      </w:r>
      <w:r>
        <w:t>a</w:t>
      </w:r>
      <w:r>
        <w:rPr>
          <w:spacing w:val="-15"/>
        </w:rPr>
        <w:t xml:space="preserve"> </w:t>
      </w:r>
      <w:r>
        <w:t>princípio,</w:t>
      </w:r>
      <w:r>
        <w:rPr>
          <w:spacing w:val="-15"/>
        </w:rPr>
        <w:t xml:space="preserve"> </w:t>
      </w:r>
      <w:r>
        <w:t>atendê-lo</w:t>
      </w:r>
      <w:r>
        <w:rPr>
          <w:spacing w:val="-15"/>
        </w:rPr>
        <w:t xml:space="preserve"> </w:t>
      </w:r>
      <w:r>
        <w:t>por</w:t>
      </w:r>
      <w:r>
        <w:rPr>
          <w:spacing w:val="-15"/>
        </w:rPr>
        <w:t xml:space="preserve"> </w:t>
      </w:r>
      <w:r>
        <w:t>meio</w:t>
      </w:r>
      <w:r>
        <w:rPr>
          <w:spacing w:val="-15"/>
        </w:rPr>
        <w:t xml:space="preserve"> </w:t>
      </w:r>
      <w:r>
        <w:t>da</w:t>
      </w:r>
      <w:r>
        <w:rPr>
          <w:spacing w:val="-15"/>
        </w:rPr>
        <w:t xml:space="preserve"> </w:t>
      </w:r>
      <w:r>
        <w:t>abertura</w:t>
      </w:r>
      <w:r>
        <w:rPr>
          <w:spacing w:val="-15"/>
        </w:rPr>
        <w:t xml:space="preserve"> </w:t>
      </w:r>
      <w:r>
        <w:t>de</w:t>
      </w:r>
      <w:r>
        <w:rPr>
          <w:spacing w:val="-14"/>
        </w:rPr>
        <w:t xml:space="preserve"> </w:t>
      </w:r>
      <w:r>
        <w:t>concursos</w:t>
      </w:r>
      <w:r>
        <w:rPr>
          <w:spacing w:val="-13"/>
        </w:rPr>
        <w:t xml:space="preserve"> </w:t>
      </w:r>
      <w:r>
        <w:t>públicos, remanejamento de servidores já contratados ou ainda por meio da delegação dos serviços a entidades do terceiro setor para que estas façam a contratação e gestão profissionais.</w:t>
      </w:r>
    </w:p>
    <w:p w:rsidR="007259F2" w:rsidRDefault="00E655B4">
      <w:pPr>
        <w:pStyle w:val="Corpodetexto"/>
        <w:ind w:right="418"/>
      </w:pPr>
      <w:r>
        <w:t>Portanto, a par de eventuais divergências quanto às vantagens ou desvantagens na prestação de serviços públicos por servidores efetivos, ou por meio da delegação a entidades do</w:t>
      </w:r>
      <w:r>
        <w:rPr>
          <w:spacing w:val="-15"/>
        </w:rPr>
        <w:t xml:space="preserve"> </w:t>
      </w:r>
      <w:r>
        <w:t>terceiro</w:t>
      </w:r>
      <w:r>
        <w:rPr>
          <w:spacing w:val="-15"/>
        </w:rPr>
        <w:t xml:space="preserve"> </w:t>
      </w:r>
      <w:r>
        <w:t>setor,</w:t>
      </w:r>
      <w:r>
        <w:rPr>
          <w:spacing w:val="-12"/>
        </w:rPr>
        <w:t xml:space="preserve"> </w:t>
      </w:r>
      <w:r>
        <w:t>ou</w:t>
      </w:r>
      <w:r>
        <w:rPr>
          <w:spacing w:val="-11"/>
        </w:rPr>
        <w:t xml:space="preserve"> </w:t>
      </w:r>
      <w:r>
        <w:t>ainda</w:t>
      </w:r>
      <w:r>
        <w:rPr>
          <w:spacing w:val="-11"/>
        </w:rPr>
        <w:t xml:space="preserve"> </w:t>
      </w:r>
      <w:r>
        <w:t>por</w:t>
      </w:r>
      <w:r>
        <w:rPr>
          <w:spacing w:val="-11"/>
        </w:rPr>
        <w:t xml:space="preserve"> </w:t>
      </w:r>
      <w:r>
        <w:t>meio</w:t>
      </w:r>
      <w:r>
        <w:rPr>
          <w:spacing w:val="-11"/>
        </w:rPr>
        <w:t xml:space="preserve"> </w:t>
      </w:r>
      <w:r>
        <w:t>de</w:t>
      </w:r>
      <w:r>
        <w:rPr>
          <w:spacing w:val="-12"/>
        </w:rPr>
        <w:t xml:space="preserve"> </w:t>
      </w:r>
      <w:r>
        <w:t>outras</w:t>
      </w:r>
      <w:r>
        <w:rPr>
          <w:spacing w:val="-10"/>
        </w:rPr>
        <w:t xml:space="preserve"> </w:t>
      </w:r>
      <w:r>
        <w:t>formas</w:t>
      </w:r>
      <w:r>
        <w:rPr>
          <w:spacing w:val="-10"/>
        </w:rPr>
        <w:t xml:space="preserve"> </w:t>
      </w:r>
      <w:r>
        <w:t>de</w:t>
      </w:r>
      <w:r>
        <w:rPr>
          <w:spacing w:val="-12"/>
        </w:rPr>
        <w:t xml:space="preserve"> </w:t>
      </w:r>
      <w:r>
        <w:t>vínculo</w:t>
      </w:r>
      <w:r>
        <w:rPr>
          <w:spacing w:val="-11"/>
        </w:rPr>
        <w:t xml:space="preserve"> </w:t>
      </w:r>
      <w:r>
        <w:t>com</w:t>
      </w:r>
      <w:r>
        <w:rPr>
          <w:spacing w:val="-10"/>
        </w:rPr>
        <w:t xml:space="preserve"> </w:t>
      </w:r>
      <w:r>
        <w:t>a</w:t>
      </w:r>
      <w:r>
        <w:rPr>
          <w:spacing w:val="-15"/>
        </w:rPr>
        <w:t xml:space="preserve"> </w:t>
      </w:r>
      <w:r>
        <w:t>Administração,</w:t>
      </w:r>
      <w:r>
        <w:rPr>
          <w:spacing w:val="-10"/>
        </w:rPr>
        <w:t xml:space="preserve"> </w:t>
      </w:r>
      <w:r>
        <w:t>do</w:t>
      </w:r>
      <w:r>
        <w:rPr>
          <w:spacing w:val="-11"/>
        </w:rPr>
        <w:t xml:space="preserve"> </w:t>
      </w:r>
      <w:r>
        <w:t>ponto de vista objetivo, desde que sejam atendidos os quantitativos mínimos previstos na norma, há diversas soluções igualmente admitidas pelo Direito. É dizer, na competência discricionária cabe</w:t>
      </w:r>
      <w:r>
        <w:rPr>
          <w:spacing w:val="-15"/>
        </w:rPr>
        <w:t xml:space="preserve"> </w:t>
      </w:r>
      <w:r>
        <w:t>ao</w:t>
      </w:r>
      <w:r>
        <w:rPr>
          <w:spacing w:val="-15"/>
        </w:rPr>
        <w:t xml:space="preserve"> </w:t>
      </w:r>
      <w:r>
        <w:t>administrador,</w:t>
      </w:r>
      <w:r>
        <w:rPr>
          <w:spacing w:val="-15"/>
        </w:rPr>
        <w:t xml:space="preserve"> </w:t>
      </w:r>
      <w:r>
        <w:t>por</w:t>
      </w:r>
      <w:r>
        <w:rPr>
          <w:spacing w:val="-15"/>
        </w:rPr>
        <w:t xml:space="preserve"> </w:t>
      </w:r>
      <w:r>
        <w:t>meio</w:t>
      </w:r>
      <w:r>
        <w:rPr>
          <w:spacing w:val="-15"/>
        </w:rPr>
        <w:t xml:space="preserve"> </w:t>
      </w:r>
      <w:r>
        <w:t>de</w:t>
      </w:r>
      <w:r>
        <w:rPr>
          <w:spacing w:val="-15"/>
        </w:rPr>
        <w:t xml:space="preserve"> </w:t>
      </w:r>
      <w:r>
        <w:t>ato</w:t>
      </w:r>
      <w:r>
        <w:rPr>
          <w:spacing w:val="-15"/>
        </w:rPr>
        <w:t xml:space="preserve"> </w:t>
      </w:r>
      <w:r>
        <w:t>volitivo,</w:t>
      </w:r>
      <w:r>
        <w:rPr>
          <w:spacing w:val="-15"/>
        </w:rPr>
        <w:t xml:space="preserve"> </w:t>
      </w:r>
      <w:r>
        <w:t>com</w:t>
      </w:r>
      <w:r>
        <w:rPr>
          <w:spacing w:val="-14"/>
        </w:rPr>
        <w:t xml:space="preserve"> </w:t>
      </w:r>
      <w:r>
        <w:t>fundamento</w:t>
      </w:r>
      <w:r>
        <w:rPr>
          <w:spacing w:val="-15"/>
        </w:rPr>
        <w:t xml:space="preserve"> </w:t>
      </w:r>
      <w:r>
        <w:t>em</w:t>
      </w:r>
      <w:r>
        <w:rPr>
          <w:spacing w:val="-15"/>
        </w:rPr>
        <w:t xml:space="preserve"> </w:t>
      </w:r>
      <w:r>
        <w:t>critérios</w:t>
      </w:r>
      <w:r>
        <w:rPr>
          <w:spacing w:val="-14"/>
        </w:rPr>
        <w:t xml:space="preserve"> </w:t>
      </w:r>
      <w:r>
        <w:t>subjetivos,</w:t>
      </w:r>
      <w:r>
        <w:rPr>
          <w:spacing w:val="-13"/>
        </w:rPr>
        <w:t xml:space="preserve"> </w:t>
      </w:r>
      <w:r>
        <w:t>como, por exemplo, suas convicções e visões de mundo, escolher a melhor forma de atender o interesse público.</w:t>
      </w:r>
    </w:p>
    <w:p w:rsidR="007259F2" w:rsidRDefault="00E655B4">
      <w:pPr>
        <w:pStyle w:val="Heading2"/>
        <w:numPr>
          <w:ilvl w:val="1"/>
          <w:numId w:val="23"/>
        </w:numPr>
        <w:tabs>
          <w:tab w:val="left" w:pos="1769"/>
        </w:tabs>
        <w:ind w:left="1769" w:hanging="351"/>
        <w:jc w:val="both"/>
      </w:pPr>
      <w:r>
        <w:rPr>
          <w:spacing w:val="-2"/>
        </w:rPr>
        <w:t>Finalidade</w:t>
      </w:r>
    </w:p>
    <w:p w:rsidR="007259F2" w:rsidRDefault="00E655B4">
      <w:pPr>
        <w:pStyle w:val="Corpodetexto"/>
        <w:spacing w:before="113"/>
        <w:ind w:right="423"/>
      </w:pPr>
      <w:r>
        <w:t>A finalidade pode ser compreendida como o bem jurídico objetivado pelo ato. É o resultado previsto legalmente como o correspondente a tipologia do ato administrativo, consistindo no alcance dos objetivos por ele comportados. Trata-se, segundo Celso Antônio Bandeira de Mello</w:t>
      </w:r>
      <w:r>
        <w:rPr>
          <w:vertAlign w:val="superscript"/>
        </w:rPr>
        <w:t>27</w:t>
      </w:r>
      <w:r>
        <w:t>, de pressuposto (teleológico) de validade do ato administrativo.</w:t>
      </w:r>
    </w:p>
    <w:p w:rsidR="007259F2" w:rsidRDefault="00E655B4">
      <w:pPr>
        <w:pStyle w:val="Corpodetexto"/>
        <w:ind w:right="422"/>
      </w:pPr>
      <w:r>
        <w:t>Maria Sylvia Zanella Di Pietro</w:t>
      </w:r>
      <w:r>
        <w:rPr>
          <w:vertAlign w:val="superscript"/>
        </w:rPr>
        <w:t>28</w:t>
      </w:r>
      <w:r>
        <w:t xml:space="preserve"> afirma que a finalidade pode ser entendida em um sentido amplo e outro estrito. Em sentido amplo, todo ato administrativo tem por finalidade a realização do interesse público, ao passo que no sentido estrito, é o resultado específico que cada ato deve produzir, conforme definido na lei.</w:t>
      </w:r>
    </w:p>
    <w:p w:rsidR="007259F2" w:rsidRDefault="00E655B4">
      <w:pPr>
        <w:pStyle w:val="Corpodetexto"/>
        <w:spacing w:before="1"/>
        <w:ind w:right="421"/>
      </w:pPr>
      <w:r>
        <w:t>Aponta Celso Antônio Bandeira de Mello</w:t>
      </w:r>
      <w:r>
        <w:rPr>
          <w:vertAlign w:val="superscript"/>
        </w:rPr>
        <w:t>29</w:t>
      </w:r>
      <w:r>
        <w:t>, que determinado ato jurídico deve ser utilizado</w:t>
      </w:r>
      <w:r>
        <w:rPr>
          <w:spacing w:val="-12"/>
        </w:rPr>
        <w:t xml:space="preserve"> </w:t>
      </w:r>
      <w:r>
        <w:t>exclusivamente</w:t>
      </w:r>
      <w:r>
        <w:rPr>
          <w:spacing w:val="-8"/>
        </w:rPr>
        <w:t xml:space="preserve"> </w:t>
      </w:r>
      <w:r>
        <w:t>para</w:t>
      </w:r>
      <w:r>
        <w:rPr>
          <w:spacing w:val="-12"/>
        </w:rPr>
        <w:t xml:space="preserve"> </w:t>
      </w:r>
      <w:r>
        <w:t>alcançar</w:t>
      </w:r>
      <w:r>
        <w:rPr>
          <w:spacing w:val="-11"/>
        </w:rPr>
        <w:t xml:space="preserve"> </w:t>
      </w:r>
      <w:r>
        <w:t>a</w:t>
      </w:r>
      <w:r>
        <w:rPr>
          <w:spacing w:val="-12"/>
        </w:rPr>
        <w:t xml:space="preserve"> </w:t>
      </w:r>
      <w:r>
        <w:t>finalidade</w:t>
      </w:r>
      <w:r>
        <w:rPr>
          <w:spacing w:val="-8"/>
        </w:rPr>
        <w:t xml:space="preserve"> </w:t>
      </w:r>
      <w:r>
        <w:t>que</w:t>
      </w:r>
      <w:r>
        <w:rPr>
          <w:spacing w:val="-14"/>
        </w:rPr>
        <w:t xml:space="preserve"> </w:t>
      </w:r>
      <w:r>
        <w:t>lhe</w:t>
      </w:r>
      <w:r>
        <w:rPr>
          <w:spacing w:val="-11"/>
        </w:rPr>
        <w:t xml:space="preserve"> </w:t>
      </w:r>
      <w:r>
        <w:t>é</w:t>
      </w:r>
      <w:r>
        <w:rPr>
          <w:spacing w:val="-12"/>
        </w:rPr>
        <w:t xml:space="preserve"> </w:t>
      </w:r>
      <w:r>
        <w:t>atribuída</w:t>
      </w:r>
      <w:r>
        <w:rPr>
          <w:spacing w:val="-11"/>
        </w:rPr>
        <w:t xml:space="preserve"> </w:t>
      </w:r>
      <w:r>
        <w:t>pela</w:t>
      </w:r>
      <w:r>
        <w:rPr>
          <w:spacing w:val="-10"/>
        </w:rPr>
        <w:t xml:space="preserve"> </w:t>
      </w:r>
      <w:r>
        <w:t>legislação,</w:t>
      </w:r>
      <w:r>
        <w:rPr>
          <w:spacing w:val="-12"/>
        </w:rPr>
        <w:t xml:space="preserve"> </w:t>
      </w:r>
      <w:r>
        <w:t>de</w:t>
      </w:r>
      <w:r>
        <w:rPr>
          <w:spacing w:val="-14"/>
        </w:rPr>
        <w:t xml:space="preserve"> </w:t>
      </w:r>
      <w:r>
        <w:t>modo que</w:t>
      </w:r>
      <w:r>
        <w:rPr>
          <w:spacing w:val="-1"/>
        </w:rPr>
        <w:t xml:space="preserve"> </w:t>
      </w:r>
      <w:r>
        <w:t>não se</w:t>
      </w:r>
      <w:r>
        <w:rPr>
          <w:spacing w:val="-1"/>
        </w:rPr>
        <w:t xml:space="preserve"> </w:t>
      </w:r>
      <w:r>
        <w:t>admite o uso</w:t>
      </w:r>
      <w:r>
        <w:rPr>
          <w:spacing w:val="-2"/>
        </w:rPr>
        <w:t xml:space="preserve"> </w:t>
      </w:r>
      <w:r>
        <w:t>de</w:t>
      </w:r>
      <w:r>
        <w:rPr>
          <w:spacing w:val="-1"/>
        </w:rPr>
        <w:t xml:space="preserve"> </w:t>
      </w:r>
      <w:r>
        <w:t>um ato para</w:t>
      </w:r>
      <w:r>
        <w:rPr>
          <w:spacing w:val="-4"/>
        </w:rPr>
        <w:t xml:space="preserve"> </w:t>
      </w:r>
      <w:r>
        <w:t>proteger ou satisfazer um bem jurídico que, segundo a norma, deveria ser tutelado por meio de outro tipo de ato legalmente estabelecido.</w:t>
      </w:r>
    </w:p>
    <w:p w:rsidR="007259F2" w:rsidRDefault="00E655B4">
      <w:pPr>
        <w:ind w:left="710" w:right="418" w:firstLine="707"/>
        <w:jc w:val="both"/>
        <w:rPr>
          <w:i/>
          <w:sz w:val="24"/>
        </w:rPr>
      </w:pPr>
      <w:r>
        <w:rPr>
          <w:sz w:val="24"/>
        </w:rPr>
        <w:t>Com efeito, segundo a teoria do desvio de poder, este dá quando o agente se serve de um ato para satisfazer finalidade alheia à natureza do ato utilizado, o que acarreta a sua invalidade. Afirma o autor que se trata de mau uso da competência para a prática de atos administrativos,</w:t>
      </w:r>
      <w:r>
        <w:rPr>
          <w:spacing w:val="-9"/>
          <w:sz w:val="24"/>
        </w:rPr>
        <w:t xml:space="preserve"> </w:t>
      </w:r>
      <w:r>
        <w:rPr>
          <w:sz w:val="24"/>
        </w:rPr>
        <w:t>por</w:t>
      </w:r>
      <w:r>
        <w:rPr>
          <w:spacing w:val="-10"/>
          <w:sz w:val="24"/>
        </w:rPr>
        <w:t xml:space="preserve"> </w:t>
      </w:r>
      <w:r>
        <w:rPr>
          <w:sz w:val="24"/>
        </w:rPr>
        <w:t>meio</w:t>
      </w:r>
      <w:r>
        <w:rPr>
          <w:spacing w:val="-9"/>
          <w:sz w:val="24"/>
        </w:rPr>
        <w:t xml:space="preserve"> </w:t>
      </w:r>
      <w:r>
        <w:rPr>
          <w:sz w:val="24"/>
        </w:rPr>
        <w:t>da</w:t>
      </w:r>
      <w:r>
        <w:rPr>
          <w:spacing w:val="-13"/>
          <w:sz w:val="24"/>
        </w:rPr>
        <w:t xml:space="preserve"> </w:t>
      </w:r>
      <w:r>
        <w:rPr>
          <w:sz w:val="24"/>
        </w:rPr>
        <w:t>edição</w:t>
      </w:r>
      <w:r>
        <w:rPr>
          <w:spacing w:val="-9"/>
          <w:sz w:val="24"/>
        </w:rPr>
        <w:t xml:space="preserve"> </w:t>
      </w:r>
      <w:r>
        <w:rPr>
          <w:sz w:val="24"/>
        </w:rPr>
        <w:t>de</w:t>
      </w:r>
      <w:r>
        <w:rPr>
          <w:spacing w:val="-8"/>
          <w:sz w:val="24"/>
        </w:rPr>
        <w:t xml:space="preserve"> </w:t>
      </w:r>
      <w:r>
        <w:rPr>
          <w:sz w:val="24"/>
        </w:rPr>
        <w:t>ato</w:t>
      </w:r>
      <w:r>
        <w:rPr>
          <w:spacing w:val="-9"/>
          <w:sz w:val="24"/>
        </w:rPr>
        <w:t xml:space="preserve"> </w:t>
      </w:r>
      <w:r>
        <w:rPr>
          <w:sz w:val="24"/>
        </w:rPr>
        <w:t>que</w:t>
      </w:r>
      <w:r>
        <w:rPr>
          <w:spacing w:val="-13"/>
          <w:sz w:val="24"/>
        </w:rPr>
        <w:t xml:space="preserve"> </w:t>
      </w:r>
      <w:r>
        <w:rPr>
          <w:sz w:val="24"/>
        </w:rPr>
        <w:t>visa</w:t>
      </w:r>
      <w:r>
        <w:rPr>
          <w:spacing w:val="-5"/>
          <w:sz w:val="24"/>
        </w:rPr>
        <w:t xml:space="preserve"> </w:t>
      </w:r>
      <w:r>
        <w:rPr>
          <w:sz w:val="24"/>
        </w:rPr>
        <w:t>finalidade</w:t>
      </w:r>
      <w:r>
        <w:rPr>
          <w:spacing w:val="-13"/>
          <w:sz w:val="24"/>
        </w:rPr>
        <w:t xml:space="preserve"> </w:t>
      </w:r>
      <w:r>
        <w:rPr>
          <w:sz w:val="24"/>
        </w:rPr>
        <w:t>que</w:t>
      </w:r>
      <w:r>
        <w:rPr>
          <w:spacing w:val="-11"/>
          <w:sz w:val="24"/>
        </w:rPr>
        <w:t xml:space="preserve"> </w:t>
      </w:r>
      <w:r>
        <w:rPr>
          <w:sz w:val="24"/>
        </w:rPr>
        <w:t>não</w:t>
      </w:r>
      <w:r>
        <w:rPr>
          <w:spacing w:val="-10"/>
          <w:sz w:val="24"/>
        </w:rPr>
        <w:t xml:space="preserve"> </w:t>
      </w:r>
      <w:r>
        <w:rPr>
          <w:sz w:val="24"/>
        </w:rPr>
        <w:t>pode</w:t>
      </w:r>
      <w:r>
        <w:rPr>
          <w:spacing w:val="-10"/>
          <w:sz w:val="24"/>
        </w:rPr>
        <w:t xml:space="preserve"> </w:t>
      </w:r>
      <w:r>
        <w:rPr>
          <w:sz w:val="24"/>
        </w:rPr>
        <w:t>ser</w:t>
      </w:r>
      <w:r>
        <w:rPr>
          <w:spacing w:val="-10"/>
          <w:sz w:val="24"/>
        </w:rPr>
        <w:t xml:space="preserve"> </w:t>
      </w:r>
      <w:r>
        <w:rPr>
          <w:sz w:val="24"/>
        </w:rPr>
        <w:t>perseguida</w:t>
      </w:r>
      <w:r>
        <w:rPr>
          <w:spacing w:val="-12"/>
          <w:sz w:val="24"/>
        </w:rPr>
        <w:t xml:space="preserve"> </w:t>
      </w:r>
      <w:r>
        <w:rPr>
          <w:sz w:val="24"/>
        </w:rPr>
        <w:t xml:space="preserve">pela Administração Pública, ou, ainda que se trate de finalidade compatível, não pode ser atingida pelo ato utilizado. O desvio de poder se manifesta de dois modos: </w:t>
      </w:r>
      <w:r>
        <w:rPr>
          <w:i/>
          <w:sz w:val="24"/>
        </w:rPr>
        <w:t>a) quando o agente busca uma finalidade alheia ao interesse público, ou b) quando o agente busca uma finalidade — ainda que de interesse público — alheia à “categoria” do ato que utilizou.</w:t>
      </w:r>
      <w:r>
        <w:rPr>
          <w:i/>
          <w:sz w:val="24"/>
          <w:vertAlign w:val="superscript"/>
        </w:rPr>
        <w:t>30</w:t>
      </w:r>
    </w:p>
    <w:p w:rsidR="007259F2" w:rsidRDefault="00E655B4">
      <w:pPr>
        <w:pStyle w:val="Corpodetexto"/>
        <w:ind w:right="418"/>
      </w:pPr>
      <w:r>
        <w:t>Ricardo Marcondes Martins</w:t>
      </w:r>
      <w:r>
        <w:rPr>
          <w:vertAlign w:val="superscript"/>
        </w:rPr>
        <w:t>31</w:t>
      </w:r>
      <w:r>
        <w:t>, por sua vez, esclarece que, segundo a teoria neoconstitucionalista, o desvio de poder, o qual pode ocorrer no exercício de competência vinculada ou discricionária, se dá quando a Administração, ao realizar a ponderação entre os princípios</w:t>
      </w:r>
      <w:r>
        <w:rPr>
          <w:spacing w:val="-2"/>
        </w:rPr>
        <w:t xml:space="preserve"> </w:t>
      </w:r>
      <w:r>
        <w:t>envolvidos no</w:t>
      </w:r>
      <w:r>
        <w:rPr>
          <w:spacing w:val="-3"/>
        </w:rPr>
        <w:t xml:space="preserve"> </w:t>
      </w:r>
      <w:r>
        <w:t>caso concreto, concretiza o</w:t>
      </w:r>
      <w:r>
        <w:rPr>
          <w:spacing w:val="-1"/>
        </w:rPr>
        <w:t xml:space="preserve"> </w:t>
      </w:r>
      <w:r>
        <w:t>princípio menos</w:t>
      </w:r>
      <w:r>
        <w:rPr>
          <w:spacing w:val="-3"/>
        </w:rPr>
        <w:t xml:space="preserve"> </w:t>
      </w:r>
      <w:r>
        <w:t>pesado no</w:t>
      </w:r>
      <w:r>
        <w:rPr>
          <w:spacing w:val="-1"/>
        </w:rPr>
        <w:t xml:space="preserve"> </w:t>
      </w:r>
      <w:r>
        <w:t>caso concreto (vício de finalidade) ou quando não adota o meio de concretização exigido ou facultado pelo Direito (vício de contentorização), ambas espécies do vício de desvio de poder.</w:t>
      </w:r>
    </w:p>
    <w:p w:rsidR="007259F2" w:rsidRDefault="00E655B4">
      <w:pPr>
        <w:pStyle w:val="Corpodetexto"/>
        <w:spacing w:before="1"/>
        <w:ind w:right="423"/>
      </w:pPr>
      <w:r>
        <w:t>Retomando a situação hipotética na qual, embora a norma determine que os hospitais da rede pública devam atender quantitativos mínimos de pacientes, o administrador com intenção de modernizar os hospitais, com fundamento no princípio da atualidade, realiza a reforma das instalações dos quartos dos hospitais, a fim de assegurar maior conforto aos pacientes, o que acarreta a redução pela metade na demanda de pacientes atendidos, portanto, buscando-se</w:t>
      </w:r>
      <w:r>
        <w:rPr>
          <w:spacing w:val="-9"/>
        </w:rPr>
        <w:t xml:space="preserve"> </w:t>
      </w:r>
      <w:r>
        <w:t>finalidade</w:t>
      </w:r>
      <w:r>
        <w:rPr>
          <w:spacing w:val="-8"/>
        </w:rPr>
        <w:t xml:space="preserve"> </w:t>
      </w:r>
      <w:r>
        <w:t>alheia.</w:t>
      </w:r>
      <w:r>
        <w:rPr>
          <w:spacing w:val="-6"/>
        </w:rPr>
        <w:t xml:space="preserve"> </w:t>
      </w:r>
      <w:r>
        <w:t>Embora</w:t>
      </w:r>
      <w:r>
        <w:rPr>
          <w:spacing w:val="-10"/>
        </w:rPr>
        <w:t xml:space="preserve"> </w:t>
      </w:r>
      <w:r>
        <w:t>o</w:t>
      </w:r>
      <w:r>
        <w:rPr>
          <w:spacing w:val="-4"/>
        </w:rPr>
        <w:t xml:space="preserve"> </w:t>
      </w:r>
      <w:r>
        <w:t>ato</w:t>
      </w:r>
      <w:r>
        <w:rPr>
          <w:spacing w:val="-6"/>
        </w:rPr>
        <w:t xml:space="preserve"> </w:t>
      </w:r>
      <w:r>
        <w:t>do</w:t>
      </w:r>
      <w:r>
        <w:rPr>
          <w:spacing w:val="-6"/>
        </w:rPr>
        <w:t xml:space="preserve"> </w:t>
      </w:r>
      <w:r>
        <w:t>administrador</w:t>
      </w:r>
      <w:r>
        <w:rPr>
          <w:spacing w:val="-6"/>
        </w:rPr>
        <w:t xml:space="preserve"> </w:t>
      </w:r>
      <w:r>
        <w:t>em</w:t>
      </w:r>
      <w:r>
        <w:rPr>
          <w:spacing w:val="-6"/>
        </w:rPr>
        <w:t xml:space="preserve"> </w:t>
      </w:r>
      <w:r>
        <w:t>sentido</w:t>
      </w:r>
      <w:r>
        <w:rPr>
          <w:spacing w:val="-7"/>
        </w:rPr>
        <w:t xml:space="preserve"> </w:t>
      </w:r>
      <w:r>
        <w:t>amplo</w:t>
      </w:r>
      <w:r>
        <w:rPr>
          <w:spacing w:val="-5"/>
        </w:rPr>
        <w:t xml:space="preserve"> </w:t>
      </w:r>
      <w:r>
        <w:t>busque</w:t>
      </w:r>
      <w:r>
        <w:rPr>
          <w:spacing w:val="-8"/>
        </w:rPr>
        <w:t xml:space="preserve"> </w:t>
      </w:r>
      <w:r>
        <w:rPr>
          <w:spacing w:val="-2"/>
        </w:rPr>
        <w:t>atingir</w:t>
      </w:r>
    </w:p>
    <w:p w:rsidR="007259F2" w:rsidRDefault="00DE6B1C">
      <w:pPr>
        <w:pStyle w:val="Corpodetexto"/>
        <w:spacing w:before="11"/>
        <w:ind w:left="0" w:firstLine="0"/>
        <w:jc w:val="left"/>
        <w:rPr>
          <w:sz w:val="20"/>
        </w:rPr>
      </w:pPr>
      <w:r w:rsidRPr="00DE6B1C">
        <w:rPr>
          <w:sz w:val="20"/>
        </w:rPr>
        <w:pict>
          <v:rect id="docshape143" o:spid="_x0000_s1084" style="position:absolute;margin-left:85.1pt;margin-top:13.25pt;width:2in;height:.7pt;z-index:-15665664;mso-wrap-distance-left:0;mso-wrap-distance-right:0;mso-position-horizontal-relative:page" fillcolor="black" stroked="f">
            <w10:wrap type="topAndBottom" anchorx="page"/>
          </v:rect>
        </w:pict>
      </w:r>
    </w:p>
    <w:p w:rsidR="007259F2" w:rsidRDefault="00E655B4">
      <w:pPr>
        <w:spacing w:before="97"/>
        <w:ind w:left="710"/>
        <w:rPr>
          <w:sz w:val="20"/>
        </w:rPr>
      </w:pPr>
      <w:r>
        <w:rPr>
          <w:sz w:val="20"/>
          <w:vertAlign w:val="superscript"/>
        </w:rPr>
        <w:t>27</w:t>
      </w:r>
      <w:r>
        <w:rPr>
          <w:spacing w:val="-9"/>
          <w:sz w:val="20"/>
        </w:rPr>
        <w:t xml:space="preserve"> </w:t>
      </w:r>
      <w:r>
        <w:rPr>
          <w:sz w:val="20"/>
        </w:rPr>
        <w:t>BANDEIRA</w:t>
      </w:r>
      <w:r>
        <w:rPr>
          <w:spacing w:val="-5"/>
          <w:sz w:val="20"/>
        </w:rPr>
        <w:t xml:space="preserve"> </w:t>
      </w:r>
      <w:r>
        <w:rPr>
          <w:sz w:val="20"/>
        </w:rPr>
        <w:t>DE</w:t>
      </w:r>
      <w:r>
        <w:rPr>
          <w:spacing w:val="-4"/>
          <w:sz w:val="20"/>
        </w:rPr>
        <w:t xml:space="preserve"> </w:t>
      </w:r>
      <w:r>
        <w:rPr>
          <w:sz w:val="20"/>
        </w:rPr>
        <w:t>MELLO,</w:t>
      </w:r>
      <w:r>
        <w:rPr>
          <w:spacing w:val="-4"/>
          <w:sz w:val="20"/>
        </w:rPr>
        <w:t xml:space="preserve"> </w:t>
      </w:r>
      <w:r>
        <w:rPr>
          <w:sz w:val="20"/>
        </w:rPr>
        <w:t xml:space="preserve">2010, </w:t>
      </w:r>
      <w:r>
        <w:rPr>
          <w:i/>
          <w:sz w:val="20"/>
        </w:rPr>
        <w:t>op.</w:t>
      </w:r>
      <w:r>
        <w:rPr>
          <w:i/>
          <w:spacing w:val="-3"/>
          <w:sz w:val="20"/>
        </w:rPr>
        <w:t xml:space="preserve"> </w:t>
      </w:r>
      <w:r>
        <w:rPr>
          <w:i/>
          <w:sz w:val="20"/>
        </w:rPr>
        <w:t>cit</w:t>
      </w:r>
      <w:r>
        <w:rPr>
          <w:sz w:val="20"/>
        </w:rPr>
        <w:t>.,</w:t>
      </w:r>
      <w:r>
        <w:rPr>
          <w:spacing w:val="-6"/>
          <w:sz w:val="20"/>
        </w:rPr>
        <w:t xml:space="preserve"> </w:t>
      </w:r>
      <w:r>
        <w:rPr>
          <w:sz w:val="20"/>
        </w:rPr>
        <w:t>p.</w:t>
      </w:r>
      <w:r>
        <w:rPr>
          <w:spacing w:val="-4"/>
          <w:sz w:val="20"/>
        </w:rPr>
        <w:t xml:space="preserve"> 405.</w:t>
      </w:r>
    </w:p>
    <w:p w:rsidR="007259F2" w:rsidRDefault="00E655B4">
      <w:pPr>
        <w:ind w:left="710"/>
        <w:rPr>
          <w:sz w:val="20"/>
        </w:rPr>
      </w:pPr>
      <w:r>
        <w:rPr>
          <w:sz w:val="20"/>
          <w:vertAlign w:val="superscript"/>
        </w:rPr>
        <w:t>28</w:t>
      </w:r>
      <w:r>
        <w:rPr>
          <w:spacing w:val="-9"/>
          <w:sz w:val="20"/>
        </w:rPr>
        <w:t xml:space="preserve"> </w:t>
      </w:r>
      <w:r>
        <w:rPr>
          <w:sz w:val="20"/>
        </w:rPr>
        <w:t>DI</w:t>
      </w:r>
      <w:r>
        <w:rPr>
          <w:spacing w:val="-4"/>
          <w:sz w:val="20"/>
        </w:rPr>
        <w:t xml:space="preserve"> </w:t>
      </w:r>
      <w:r>
        <w:rPr>
          <w:sz w:val="20"/>
        </w:rPr>
        <w:t>PIETRO,</w:t>
      </w:r>
      <w:r>
        <w:rPr>
          <w:spacing w:val="-2"/>
          <w:sz w:val="20"/>
        </w:rPr>
        <w:t xml:space="preserve"> </w:t>
      </w:r>
      <w:r>
        <w:rPr>
          <w:i/>
          <w:sz w:val="20"/>
        </w:rPr>
        <w:t>op.cit.,</w:t>
      </w:r>
      <w:r>
        <w:rPr>
          <w:i/>
          <w:spacing w:val="-3"/>
          <w:sz w:val="20"/>
        </w:rPr>
        <w:t xml:space="preserve"> </w:t>
      </w:r>
      <w:r>
        <w:rPr>
          <w:sz w:val="20"/>
        </w:rPr>
        <w:t>p.</w:t>
      </w:r>
      <w:r>
        <w:rPr>
          <w:spacing w:val="-4"/>
          <w:sz w:val="20"/>
        </w:rPr>
        <w:t xml:space="preserve"> 218.</w:t>
      </w:r>
    </w:p>
    <w:p w:rsidR="007259F2" w:rsidRDefault="00E655B4">
      <w:pPr>
        <w:ind w:left="710"/>
        <w:rPr>
          <w:sz w:val="20"/>
        </w:rPr>
      </w:pPr>
      <w:r>
        <w:rPr>
          <w:sz w:val="20"/>
          <w:vertAlign w:val="superscript"/>
        </w:rPr>
        <w:t>29</w:t>
      </w:r>
      <w:r>
        <w:rPr>
          <w:spacing w:val="-8"/>
          <w:sz w:val="20"/>
        </w:rPr>
        <w:t xml:space="preserve"> </w:t>
      </w:r>
      <w:r>
        <w:rPr>
          <w:i/>
          <w:sz w:val="20"/>
        </w:rPr>
        <w:t>Ibid.,</w:t>
      </w:r>
      <w:r>
        <w:rPr>
          <w:i/>
          <w:spacing w:val="-3"/>
          <w:sz w:val="20"/>
        </w:rPr>
        <w:t xml:space="preserve"> </w:t>
      </w:r>
      <w:r>
        <w:rPr>
          <w:spacing w:val="-2"/>
          <w:sz w:val="20"/>
        </w:rPr>
        <w:t>p.405</w:t>
      </w:r>
    </w:p>
    <w:p w:rsidR="007259F2" w:rsidRDefault="00E655B4">
      <w:pPr>
        <w:spacing w:before="7" w:line="242" w:lineRule="exact"/>
        <w:ind w:left="710"/>
        <w:rPr>
          <w:sz w:val="20"/>
        </w:rPr>
      </w:pPr>
      <w:r>
        <w:rPr>
          <w:sz w:val="20"/>
          <w:vertAlign w:val="superscript"/>
        </w:rPr>
        <w:t>30</w:t>
      </w:r>
      <w:r>
        <w:rPr>
          <w:spacing w:val="-7"/>
          <w:sz w:val="20"/>
        </w:rPr>
        <w:t xml:space="preserve"> </w:t>
      </w:r>
      <w:r>
        <w:rPr>
          <w:i/>
          <w:sz w:val="20"/>
        </w:rPr>
        <w:t>Ibid</w:t>
      </w:r>
      <w:r>
        <w:rPr>
          <w:rFonts w:ascii="Calibri"/>
          <w:i/>
          <w:sz w:val="20"/>
        </w:rPr>
        <w:t>.</w:t>
      </w:r>
      <w:r>
        <w:rPr>
          <w:i/>
          <w:sz w:val="20"/>
        </w:rPr>
        <w:t>,</w:t>
      </w:r>
      <w:r>
        <w:rPr>
          <w:i/>
          <w:spacing w:val="-3"/>
          <w:sz w:val="20"/>
        </w:rPr>
        <w:t xml:space="preserve"> </w:t>
      </w:r>
      <w:r>
        <w:rPr>
          <w:sz w:val="20"/>
        </w:rPr>
        <w:t>p.</w:t>
      </w:r>
      <w:r>
        <w:rPr>
          <w:spacing w:val="-2"/>
          <w:sz w:val="20"/>
        </w:rPr>
        <w:t xml:space="preserve"> </w:t>
      </w:r>
      <w:r>
        <w:rPr>
          <w:spacing w:val="-5"/>
          <w:sz w:val="20"/>
        </w:rPr>
        <w:t>407</w:t>
      </w:r>
    </w:p>
    <w:p w:rsidR="007259F2" w:rsidRDefault="00E655B4">
      <w:pPr>
        <w:spacing w:line="227" w:lineRule="exact"/>
        <w:ind w:left="710"/>
        <w:rPr>
          <w:sz w:val="20"/>
        </w:rPr>
      </w:pPr>
      <w:r>
        <w:rPr>
          <w:sz w:val="20"/>
          <w:vertAlign w:val="superscript"/>
        </w:rPr>
        <w:t>31</w:t>
      </w:r>
      <w:r>
        <w:rPr>
          <w:spacing w:val="-9"/>
          <w:sz w:val="20"/>
        </w:rPr>
        <w:t xml:space="preserve"> </w:t>
      </w:r>
      <w:r>
        <w:rPr>
          <w:sz w:val="20"/>
        </w:rPr>
        <w:t>MARTINS,</w:t>
      </w:r>
      <w:r>
        <w:rPr>
          <w:spacing w:val="-5"/>
          <w:sz w:val="20"/>
        </w:rPr>
        <w:t xml:space="preserve"> </w:t>
      </w:r>
      <w:r>
        <w:rPr>
          <w:sz w:val="20"/>
        </w:rPr>
        <w:t>2024,</w:t>
      </w:r>
      <w:r>
        <w:rPr>
          <w:spacing w:val="-2"/>
          <w:sz w:val="20"/>
        </w:rPr>
        <w:t xml:space="preserve"> </w:t>
      </w:r>
      <w:r>
        <w:rPr>
          <w:i/>
          <w:sz w:val="20"/>
        </w:rPr>
        <w:t>op.</w:t>
      </w:r>
      <w:r>
        <w:rPr>
          <w:i/>
          <w:spacing w:val="-4"/>
          <w:sz w:val="20"/>
        </w:rPr>
        <w:t xml:space="preserve"> cit</w:t>
      </w:r>
      <w:r>
        <w:rPr>
          <w:spacing w:val="-4"/>
          <w:sz w:val="20"/>
        </w:rPr>
        <w:t>.</w:t>
      </w:r>
    </w:p>
    <w:p w:rsidR="007259F2" w:rsidRDefault="007259F2">
      <w:pPr>
        <w:spacing w:line="227" w:lineRule="exact"/>
        <w:rPr>
          <w:sz w:val="20"/>
        </w:rPr>
        <w:sectPr w:rsidR="007259F2">
          <w:pgSz w:w="11910" w:h="16840"/>
          <w:pgMar w:top="1600" w:right="708" w:bottom="1020" w:left="992" w:header="0" w:footer="820" w:gutter="0"/>
          <w:cols w:space="720"/>
        </w:sectPr>
      </w:pPr>
    </w:p>
    <w:p w:rsidR="007259F2" w:rsidRDefault="00E655B4">
      <w:pPr>
        <w:pStyle w:val="Corpodetexto"/>
        <w:spacing w:before="75"/>
        <w:ind w:right="420" w:firstLine="0"/>
      </w:pPr>
      <w:r>
        <w:lastRenderedPageBreak/>
        <w:t>o interesse público e promover</w:t>
      </w:r>
      <w:r>
        <w:rPr>
          <w:spacing w:val="-3"/>
        </w:rPr>
        <w:t xml:space="preserve"> </w:t>
      </w:r>
      <w:r>
        <w:t>a</w:t>
      </w:r>
      <w:r>
        <w:rPr>
          <w:spacing w:val="-1"/>
        </w:rPr>
        <w:t xml:space="preserve"> </w:t>
      </w:r>
      <w:r>
        <w:t>melhora</w:t>
      </w:r>
      <w:r>
        <w:rPr>
          <w:spacing w:val="-1"/>
        </w:rPr>
        <w:t xml:space="preserve"> </w:t>
      </w:r>
      <w:r>
        <w:t>da</w:t>
      </w:r>
      <w:r>
        <w:rPr>
          <w:spacing w:val="-1"/>
        </w:rPr>
        <w:t xml:space="preserve"> </w:t>
      </w:r>
      <w:r>
        <w:t>saúde</w:t>
      </w:r>
      <w:r>
        <w:rPr>
          <w:spacing w:val="-1"/>
        </w:rPr>
        <w:t xml:space="preserve"> </w:t>
      </w:r>
      <w:r>
        <w:t>pública, ao divergir da finalidade</w:t>
      </w:r>
      <w:r>
        <w:rPr>
          <w:spacing w:val="-1"/>
        </w:rPr>
        <w:t xml:space="preserve"> </w:t>
      </w:r>
      <w:r>
        <w:t xml:space="preserve">estrita da norma – assegurar atendimento mínimo na rede de saúde –, incorreu em invalidade por vício de desvio de poder, uma vez que concretizou o princípio menos pesado no caso concreto (atualidade das instalações) em detrimento do princípio mais pesado (universalização do </w:t>
      </w:r>
      <w:r>
        <w:rPr>
          <w:spacing w:val="-2"/>
        </w:rPr>
        <w:t>atendimento).</w:t>
      </w:r>
    </w:p>
    <w:p w:rsidR="007259F2" w:rsidRDefault="00E655B4">
      <w:pPr>
        <w:pStyle w:val="Corpodetexto"/>
        <w:ind w:right="419"/>
      </w:pPr>
      <w:r>
        <w:t>Por sua vez, no que tange ao RE nº 684.612/RJ, julgado pelo STF, afirma o Min. Barroso</w:t>
      </w:r>
      <w:r>
        <w:rPr>
          <w:vertAlign w:val="superscript"/>
        </w:rPr>
        <w:t>32</w:t>
      </w:r>
      <w:r>
        <w:t xml:space="preserve"> em seu voto, que caberia ao órgão julgador “</w:t>
      </w:r>
      <w:r>
        <w:rPr>
          <w:i/>
        </w:rPr>
        <w:t>determinar a finalidade a ser atingida, mas não o modo como ela deverá ser alcançada”</w:t>
      </w:r>
      <w:r>
        <w:t>, em que pese a lucidez do voto, entende-se adequada a sua interpretação segundo as lições de Celso</w:t>
      </w:r>
      <w:r>
        <w:rPr>
          <w:spacing w:val="-7"/>
        </w:rPr>
        <w:t xml:space="preserve"> </w:t>
      </w:r>
      <w:r>
        <w:t>Antônio Bandeira de Mello</w:t>
      </w:r>
      <w:r>
        <w:rPr>
          <w:vertAlign w:val="superscript"/>
        </w:rPr>
        <w:t>33</w:t>
      </w:r>
      <w:r>
        <w:t>, o qual assevera que a finalidade é o pressuposto (teleológico) de validade do ato administrativo, previsto legalmente como o correspondente à tipologia do ato administrativo, de modo que a finalidade ampla é o atendimento do interesse público e a finalidade em sentido estrito é o resultado específico que cada ato deve produzir, previsto legalmente.</w:t>
      </w:r>
    </w:p>
    <w:p w:rsidR="007259F2" w:rsidRDefault="00E655B4">
      <w:pPr>
        <w:pStyle w:val="Corpodetexto"/>
        <w:spacing w:before="1"/>
        <w:ind w:right="417"/>
      </w:pPr>
      <w:r>
        <w:t>Diante</w:t>
      </w:r>
      <w:r>
        <w:rPr>
          <w:spacing w:val="-3"/>
        </w:rPr>
        <w:t xml:space="preserve"> </w:t>
      </w:r>
      <w:r>
        <w:t>disso,</w:t>
      </w:r>
      <w:r>
        <w:rPr>
          <w:spacing w:val="-2"/>
        </w:rPr>
        <w:t xml:space="preserve"> </w:t>
      </w:r>
      <w:r>
        <w:t>não cabe</w:t>
      </w:r>
      <w:r>
        <w:rPr>
          <w:spacing w:val="-2"/>
        </w:rPr>
        <w:t xml:space="preserve"> </w:t>
      </w:r>
      <w:r>
        <w:t>propriamente</w:t>
      </w:r>
      <w:r>
        <w:rPr>
          <w:spacing w:val="-1"/>
        </w:rPr>
        <w:t xml:space="preserve"> </w:t>
      </w:r>
      <w:r>
        <w:t>ao</w:t>
      </w:r>
      <w:r>
        <w:rPr>
          <w:spacing w:val="-2"/>
        </w:rPr>
        <w:t xml:space="preserve"> </w:t>
      </w:r>
      <w:r>
        <w:t>Poder Judiciário</w:t>
      </w:r>
      <w:r>
        <w:rPr>
          <w:spacing w:val="-2"/>
        </w:rPr>
        <w:t xml:space="preserve"> </w:t>
      </w:r>
      <w:r>
        <w:t>determinar a</w:t>
      </w:r>
      <w:r>
        <w:rPr>
          <w:spacing w:val="-1"/>
        </w:rPr>
        <w:t xml:space="preserve"> </w:t>
      </w:r>
      <w:r>
        <w:t>finalidade</w:t>
      </w:r>
      <w:r>
        <w:rPr>
          <w:spacing w:val="-3"/>
        </w:rPr>
        <w:t xml:space="preserve"> </w:t>
      </w:r>
      <w:r>
        <w:t>do ato administrativo, mas apontar a finalidade prevista na norma ou no Direito globalmente considerado.</w:t>
      </w:r>
      <w:r>
        <w:rPr>
          <w:spacing w:val="-11"/>
        </w:rPr>
        <w:t xml:space="preserve"> </w:t>
      </w:r>
      <w:r>
        <w:t>Com</w:t>
      </w:r>
      <w:r>
        <w:rPr>
          <w:spacing w:val="-11"/>
        </w:rPr>
        <w:t xml:space="preserve"> </w:t>
      </w:r>
      <w:r>
        <w:t>efeito,</w:t>
      </w:r>
      <w:r>
        <w:rPr>
          <w:spacing w:val="-13"/>
        </w:rPr>
        <w:t xml:space="preserve"> </w:t>
      </w:r>
      <w:r>
        <w:t>na</w:t>
      </w:r>
      <w:r>
        <w:rPr>
          <w:spacing w:val="-15"/>
        </w:rPr>
        <w:t xml:space="preserve"> </w:t>
      </w:r>
      <w:r>
        <w:t>competência</w:t>
      </w:r>
      <w:r>
        <w:rPr>
          <w:spacing w:val="-14"/>
        </w:rPr>
        <w:t xml:space="preserve"> </w:t>
      </w:r>
      <w:r>
        <w:t>discricionária</w:t>
      </w:r>
      <w:r>
        <w:rPr>
          <w:spacing w:val="-11"/>
        </w:rPr>
        <w:t xml:space="preserve"> </w:t>
      </w:r>
      <w:r>
        <w:t>incumbe</w:t>
      </w:r>
      <w:r>
        <w:rPr>
          <w:spacing w:val="-12"/>
        </w:rPr>
        <w:t xml:space="preserve"> </w:t>
      </w:r>
      <w:r>
        <w:t>ao</w:t>
      </w:r>
      <w:r>
        <w:rPr>
          <w:spacing w:val="-14"/>
        </w:rPr>
        <w:t xml:space="preserve"> </w:t>
      </w:r>
      <w:r>
        <w:t>julgador</w:t>
      </w:r>
      <w:r>
        <w:rPr>
          <w:spacing w:val="-15"/>
        </w:rPr>
        <w:t xml:space="preserve"> </w:t>
      </w:r>
      <w:r>
        <w:t>condenar</w:t>
      </w:r>
      <w:r>
        <w:rPr>
          <w:spacing w:val="-14"/>
        </w:rPr>
        <w:t xml:space="preserve"> </w:t>
      </w:r>
      <w:r>
        <w:t>o</w:t>
      </w:r>
      <w:r>
        <w:rPr>
          <w:spacing w:val="-12"/>
        </w:rPr>
        <w:t xml:space="preserve"> </w:t>
      </w:r>
      <w:r>
        <w:t>agente à</w:t>
      </w:r>
      <w:r>
        <w:rPr>
          <w:spacing w:val="-6"/>
        </w:rPr>
        <w:t xml:space="preserve"> </w:t>
      </w:r>
      <w:r>
        <w:t>edição</w:t>
      </w:r>
      <w:r>
        <w:rPr>
          <w:spacing w:val="-2"/>
        </w:rPr>
        <w:t xml:space="preserve"> </w:t>
      </w:r>
      <w:r>
        <w:t>do</w:t>
      </w:r>
      <w:r>
        <w:rPr>
          <w:spacing w:val="-2"/>
        </w:rPr>
        <w:t xml:space="preserve"> </w:t>
      </w:r>
      <w:r>
        <w:t>ato,</w:t>
      </w:r>
      <w:r>
        <w:rPr>
          <w:spacing w:val="-2"/>
        </w:rPr>
        <w:t xml:space="preserve"> </w:t>
      </w:r>
      <w:r>
        <w:t>sob</w:t>
      </w:r>
      <w:r>
        <w:rPr>
          <w:spacing w:val="-2"/>
        </w:rPr>
        <w:t xml:space="preserve"> </w:t>
      </w:r>
      <w:r>
        <w:t>pena de</w:t>
      </w:r>
      <w:r>
        <w:rPr>
          <w:spacing w:val="-6"/>
        </w:rPr>
        <w:t xml:space="preserve"> </w:t>
      </w:r>
      <w:r>
        <w:t>imposição</w:t>
      </w:r>
      <w:r>
        <w:rPr>
          <w:spacing w:val="-2"/>
        </w:rPr>
        <w:t xml:space="preserve"> </w:t>
      </w:r>
      <w:r>
        <w:t>de</w:t>
      </w:r>
      <w:r>
        <w:rPr>
          <w:spacing w:val="-3"/>
        </w:rPr>
        <w:t xml:space="preserve"> </w:t>
      </w:r>
      <w:r>
        <w:t>multa</w:t>
      </w:r>
      <w:r>
        <w:rPr>
          <w:spacing w:val="-2"/>
        </w:rPr>
        <w:t xml:space="preserve"> </w:t>
      </w:r>
      <w:r>
        <w:t>(astreinte),</w:t>
      </w:r>
      <w:r>
        <w:rPr>
          <w:spacing w:val="-3"/>
        </w:rPr>
        <w:t xml:space="preserve"> </w:t>
      </w:r>
      <w:r>
        <w:t>ou</w:t>
      </w:r>
      <w:r>
        <w:rPr>
          <w:spacing w:val="-2"/>
        </w:rPr>
        <w:t xml:space="preserve"> </w:t>
      </w:r>
      <w:r>
        <w:t>ainda,</w:t>
      </w:r>
      <w:r>
        <w:rPr>
          <w:spacing w:val="-3"/>
        </w:rPr>
        <w:t xml:space="preserve"> </w:t>
      </w:r>
      <w:r>
        <w:t>diante</w:t>
      </w:r>
      <w:r>
        <w:rPr>
          <w:spacing w:val="-5"/>
        </w:rPr>
        <w:t xml:space="preserve"> </w:t>
      </w:r>
      <w:r>
        <w:t>da</w:t>
      </w:r>
      <w:r>
        <w:rPr>
          <w:spacing w:val="-3"/>
        </w:rPr>
        <w:t xml:space="preserve"> </w:t>
      </w:r>
      <w:r>
        <w:t>persistência</w:t>
      </w:r>
      <w:r>
        <w:rPr>
          <w:spacing w:val="-3"/>
        </w:rPr>
        <w:t xml:space="preserve"> </w:t>
      </w:r>
      <w:r>
        <w:t>da omissão estatal, determinar a troca do agente administrativo</w:t>
      </w:r>
      <w:r>
        <w:rPr>
          <w:vertAlign w:val="superscript"/>
        </w:rPr>
        <w:t>34</w:t>
      </w:r>
      <w:r>
        <w:t>, com o objetivo de que, a partir da ponderação dos valores envolvidos, estabelecer os contornos para o atendimento da finalidade</w:t>
      </w:r>
      <w:r>
        <w:rPr>
          <w:spacing w:val="-15"/>
        </w:rPr>
        <w:t xml:space="preserve"> </w:t>
      </w:r>
      <w:r>
        <w:t>do</w:t>
      </w:r>
      <w:r>
        <w:rPr>
          <w:spacing w:val="-12"/>
        </w:rPr>
        <w:t xml:space="preserve"> </w:t>
      </w:r>
      <w:r>
        <w:t>ato</w:t>
      </w:r>
      <w:r>
        <w:rPr>
          <w:spacing w:val="32"/>
        </w:rPr>
        <w:t xml:space="preserve"> </w:t>
      </w:r>
      <w:r>
        <w:t>–</w:t>
      </w:r>
      <w:r>
        <w:rPr>
          <w:spacing w:val="-14"/>
        </w:rPr>
        <w:t xml:space="preserve"> </w:t>
      </w:r>
      <w:r>
        <w:t>tendo</w:t>
      </w:r>
      <w:r>
        <w:rPr>
          <w:spacing w:val="-10"/>
        </w:rPr>
        <w:t xml:space="preserve"> </w:t>
      </w:r>
      <w:r>
        <w:t>como</w:t>
      </w:r>
      <w:r>
        <w:rPr>
          <w:spacing w:val="-14"/>
        </w:rPr>
        <w:t xml:space="preserve"> </w:t>
      </w:r>
      <w:r>
        <w:t>pressuposto</w:t>
      </w:r>
      <w:r>
        <w:rPr>
          <w:spacing w:val="-14"/>
        </w:rPr>
        <w:t xml:space="preserve"> </w:t>
      </w:r>
      <w:r>
        <w:t>inafastável</w:t>
      </w:r>
      <w:r>
        <w:rPr>
          <w:spacing w:val="-13"/>
        </w:rPr>
        <w:t xml:space="preserve"> </w:t>
      </w:r>
      <w:r>
        <w:t>a</w:t>
      </w:r>
      <w:r>
        <w:rPr>
          <w:spacing w:val="-12"/>
        </w:rPr>
        <w:t xml:space="preserve"> </w:t>
      </w:r>
      <w:r>
        <w:t>garantia</w:t>
      </w:r>
      <w:r>
        <w:rPr>
          <w:spacing w:val="-15"/>
        </w:rPr>
        <w:t xml:space="preserve"> </w:t>
      </w:r>
      <w:r>
        <w:t>do</w:t>
      </w:r>
      <w:r>
        <w:rPr>
          <w:spacing w:val="-12"/>
        </w:rPr>
        <w:t xml:space="preserve"> </w:t>
      </w:r>
      <w:r>
        <w:t>mínimo</w:t>
      </w:r>
      <w:r>
        <w:rPr>
          <w:spacing w:val="-13"/>
        </w:rPr>
        <w:t xml:space="preserve"> </w:t>
      </w:r>
      <w:r>
        <w:t>existencial–,</w:t>
      </w:r>
      <w:r>
        <w:rPr>
          <w:spacing w:val="-12"/>
        </w:rPr>
        <w:t xml:space="preserve"> </w:t>
      </w:r>
      <w:r>
        <w:t>pois, do contrário, não estaremos diante de escolhas válidas, mas arbitrárias.</w:t>
      </w:r>
    </w:p>
    <w:p w:rsidR="007259F2" w:rsidRDefault="00E655B4">
      <w:pPr>
        <w:pStyle w:val="Heading2"/>
        <w:numPr>
          <w:ilvl w:val="1"/>
          <w:numId w:val="23"/>
        </w:numPr>
        <w:tabs>
          <w:tab w:val="left" w:pos="1767"/>
        </w:tabs>
        <w:ind w:left="1767" w:hanging="349"/>
        <w:jc w:val="both"/>
      </w:pPr>
      <w:r>
        <w:rPr>
          <w:spacing w:val="-2"/>
        </w:rPr>
        <w:t>Mérito</w:t>
      </w:r>
    </w:p>
    <w:p w:rsidR="007259F2" w:rsidRDefault="00E655B4">
      <w:pPr>
        <w:pStyle w:val="Corpodetexto"/>
        <w:spacing w:before="113"/>
        <w:ind w:right="420"/>
      </w:pPr>
      <w:r>
        <w:t>Segundo Seabra Fagundes</w:t>
      </w:r>
      <w:r>
        <w:rPr>
          <w:vertAlign w:val="superscript"/>
        </w:rPr>
        <w:t>35</w:t>
      </w:r>
      <w:r>
        <w:t>, a discricionariedade administrativa expressa-se pelo mérito</w:t>
      </w:r>
      <w:r>
        <w:rPr>
          <w:spacing w:val="-6"/>
        </w:rPr>
        <w:t xml:space="preserve"> </w:t>
      </w:r>
      <w:r>
        <w:t>do</w:t>
      </w:r>
      <w:r>
        <w:rPr>
          <w:spacing w:val="-6"/>
        </w:rPr>
        <w:t xml:space="preserve"> </w:t>
      </w:r>
      <w:r>
        <w:t>administrativo,</w:t>
      </w:r>
      <w:r>
        <w:rPr>
          <w:spacing w:val="-4"/>
        </w:rPr>
        <w:t xml:space="preserve"> </w:t>
      </w:r>
      <w:r>
        <w:t>o</w:t>
      </w:r>
      <w:r>
        <w:rPr>
          <w:spacing w:val="-6"/>
        </w:rPr>
        <w:t xml:space="preserve"> </w:t>
      </w:r>
      <w:r>
        <w:t>qual</w:t>
      </w:r>
      <w:r>
        <w:rPr>
          <w:spacing w:val="-3"/>
        </w:rPr>
        <w:t xml:space="preserve"> </w:t>
      </w:r>
      <w:r>
        <w:t>estaria</w:t>
      </w:r>
      <w:r>
        <w:rPr>
          <w:spacing w:val="-6"/>
        </w:rPr>
        <w:t xml:space="preserve"> </w:t>
      </w:r>
      <w:r>
        <w:t>no</w:t>
      </w:r>
      <w:r>
        <w:rPr>
          <w:spacing w:val="-6"/>
        </w:rPr>
        <w:t xml:space="preserve"> </w:t>
      </w:r>
      <w:r>
        <w:t>“sentido</w:t>
      </w:r>
      <w:r>
        <w:rPr>
          <w:spacing w:val="-5"/>
        </w:rPr>
        <w:t xml:space="preserve"> </w:t>
      </w:r>
      <w:r>
        <w:t>político</w:t>
      </w:r>
      <w:r>
        <w:rPr>
          <w:spacing w:val="-5"/>
        </w:rPr>
        <w:t xml:space="preserve"> </w:t>
      </w:r>
      <w:r>
        <w:t>do</w:t>
      </w:r>
      <w:r>
        <w:rPr>
          <w:spacing w:val="-6"/>
        </w:rPr>
        <w:t xml:space="preserve"> </w:t>
      </w:r>
      <w:r>
        <w:t>ato</w:t>
      </w:r>
      <w:r>
        <w:rPr>
          <w:spacing w:val="-3"/>
        </w:rPr>
        <w:t xml:space="preserve"> </w:t>
      </w:r>
      <w:r>
        <w:t>administrativo”,</w:t>
      </w:r>
      <w:r>
        <w:rPr>
          <w:spacing w:val="-5"/>
        </w:rPr>
        <w:t xml:space="preserve"> </w:t>
      </w:r>
      <w:r>
        <w:t>em</w:t>
      </w:r>
      <w:r>
        <w:rPr>
          <w:spacing w:val="-3"/>
        </w:rPr>
        <w:t xml:space="preserve"> </w:t>
      </w:r>
      <w:r>
        <w:t xml:space="preserve">relação às normas da “boa administração”. Ou, ainda, o “sentido como procedimento que atende ao interesse público, e, ao mesmo tempo, o ajusta aos interesses privados”, expresso sempre por um juízo comparativo. Para o autor, o mérito compreende os aspectos referentes à justiça, utilidade, equidade, razoabilidade, moralidade, etc., resumidos no binômio: </w:t>
      </w:r>
      <w:r>
        <w:rPr>
          <w:i/>
        </w:rPr>
        <w:t>oportunidade e conveniência.</w:t>
      </w:r>
      <w:r>
        <w:rPr>
          <w:i/>
          <w:spacing w:val="6"/>
        </w:rPr>
        <w:t xml:space="preserve"> </w:t>
      </w:r>
      <w:r>
        <w:t>Entende</w:t>
      </w:r>
      <w:r>
        <w:rPr>
          <w:spacing w:val="4"/>
        </w:rPr>
        <w:t xml:space="preserve"> </w:t>
      </w:r>
      <w:r>
        <w:t>o</w:t>
      </w:r>
      <w:r>
        <w:rPr>
          <w:spacing w:val="5"/>
        </w:rPr>
        <w:t xml:space="preserve"> </w:t>
      </w:r>
      <w:r>
        <w:t>autor</w:t>
      </w:r>
      <w:r>
        <w:rPr>
          <w:spacing w:val="5"/>
        </w:rPr>
        <w:t xml:space="preserve"> </w:t>
      </w:r>
      <w:r>
        <w:t>que</w:t>
      </w:r>
      <w:r>
        <w:rPr>
          <w:spacing w:val="4"/>
        </w:rPr>
        <w:t xml:space="preserve"> </w:t>
      </w:r>
      <w:r>
        <w:t>o</w:t>
      </w:r>
      <w:r>
        <w:rPr>
          <w:spacing w:val="5"/>
        </w:rPr>
        <w:t xml:space="preserve"> </w:t>
      </w:r>
      <w:r>
        <w:t>mérito</w:t>
      </w:r>
      <w:r>
        <w:rPr>
          <w:spacing w:val="4"/>
        </w:rPr>
        <w:t xml:space="preserve"> </w:t>
      </w:r>
      <w:r>
        <w:t>envolve</w:t>
      </w:r>
      <w:r>
        <w:rPr>
          <w:spacing w:val="8"/>
        </w:rPr>
        <w:t xml:space="preserve"> </w:t>
      </w:r>
      <w:r>
        <w:rPr>
          <w:i/>
        </w:rPr>
        <w:t>“interesses”</w:t>
      </w:r>
      <w:r>
        <w:rPr>
          <w:i/>
          <w:spacing w:val="6"/>
        </w:rPr>
        <w:t xml:space="preserve"> </w:t>
      </w:r>
      <w:r>
        <w:t>e</w:t>
      </w:r>
      <w:r>
        <w:rPr>
          <w:spacing w:val="4"/>
        </w:rPr>
        <w:t xml:space="preserve"> </w:t>
      </w:r>
      <w:r>
        <w:t>não</w:t>
      </w:r>
      <w:r>
        <w:rPr>
          <w:spacing w:val="5"/>
        </w:rPr>
        <w:t xml:space="preserve"> </w:t>
      </w:r>
      <w:r>
        <w:t>direitos,</w:t>
      </w:r>
      <w:r>
        <w:rPr>
          <w:spacing w:val="6"/>
        </w:rPr>
        <w:t xml:space="preserve"> </w:t>
      </w:r>
      <w:r>
        <w:t>de</w:t>
      </w:r>
      <w:r>
        <w:rPr>
          <w:spacing w:val="4"/>
        </w:rPr>
        <w:t xml:space="preserve"> </w:t>
      </w:r>
      <w:r>
        <w:t>modo</w:t>
      </w:r>
      <w:r>
        <w:rPr>
          <w:spacing w:val="6"/>
        </w:rPr>
        <w:t xml:space="preserve"> </w:t>
      </w:r>
      <w:r>
        <w:rPr>
          <w:spacing w:val="-5"/>
        </w:rPr>
        <w:t>que</w:t>
      </w:r>
    </w:p>
    <w:p w:rsidR="007259F2" w:rsidRDefault="00E655B4">
      <w:pPr>
        <w:pStyle w:val="Corpodetexto"/>
        <w:ind w:right="421" w:firstLine="0"/>
      </w:pPr>
      <w:r>
        <w:t>o mérito é exclusivo do Poder Executivo porque seus elementos são decorrentes de critérios políticos</w:t>
      </w:r>
      <w:r>
        <w:rPr>
          <w:spacing w:val="-15"/>
        </w:rPr>
        <w:t xml:space="preserve"> </w:t>
      </w:r>
      <w:r>
        <w:t>e</w:t>
      </w:r>
      <w:r>
        <w:rPr>
          <w:spacing w:val="-15"/>
        </w:rPr>
        <w:t xml:space="preserve"> </w:t>
      </w:r>
      <w:r>
        <w:t>técnicos,</w:t>
      </w:r>
      <w:r>
        <w:rPr>
          <w:spacing w:val="-15"/>
        </w:rPr>
        <w:t xml:space="preserve"> </w:t>
      </w:r>
      <w:r>
        <w:t>e</w:t>
      </w:r>
      <w:r>
        <w:rPr>
          <w:spacing w:val="-15"/>
        </w:rPr>
        <w:t xml:space="preserve"> </w:t>
      </w:r>
      <w:r>
        <w:t>não</w:t>
      </w:r>
      <w:r>
        <w:rPr>
          <w:spacing w:val="-11"/>
        </w:rPr>
        <w:t xml:space="preserve"> </w:t>
      </w:r>
      <w:r>
        <w:t>“estritamente</w:t>
      </w:r>
      <w:r>
        <w:rPr>
          <w:spacing w:val="-15"/>
        </w:rPr>
        <w:t xml:space="preserve"> </w:t>
      </w:r>
      <w:r>
        <w:t>jurídicos”,</w:t>
      </w:r>
      <w:r>
        <w:rPr>
          <w:spacing w:val="-11"/>
        </w:rPr>
        <w:t xml:space="preserve"> </w:t>
      </w:r>
      <w:r>
        <w:t>o</w:t>
      </w:r>
      <w:r>
        <w:rPr>
          <w:spacing w:val="-15"/>
        </w:rPr>
        <w:t xml:space="preserve"> </w:t>
      </w:r>
      <w:r>
        <w:t>que</w:t>
      </w:r>
      <w:r>
        <w:rPr>
          <w:spacing w:val="-15"/>
        </w:rPr>
        <w:t xml:space="preserve"> </w:t>
      </w:r>
      <w:r>
        <w:t>impediria</w:t>
      </w:r>
      <w:r>
        <w:rPr>
          <w:spacing w:val="-15"/>
        </w:rPr>
        <w:t xml:space="preserve"> </w:t>
      </w:r>
      <w:r>
        <w:t>o</w:t>
      </w:r>
      <w:r>
        <w:rPr>
          <w:spacing w:val="-15"/>
        </w:rPr>
        <w:t xml:space="preserve"> </w:t>
      </w:r>
      <w:r>
        <w:t>controle</w:t>
      </w:r>
      <w:r>
        <w:rPr>
          <w:spacing w:val="-15"/>
        </w:rPr>
        <w:t xml:space="preserve"> </w:t>
      </w:r>
      <w:r>
        <w:t>judicial</w:t>
      </w:r>
      <w:r>
        <w:rPr>
          <w:spacing w:val="-15"/>
        </w:rPr>
        <w:t xml:space="preserve"> </w:t>
      </w:r>
      <w:r>
        <w:t>do</w:t>
      </w:r>
      <w:r>
        <w:rPr>
          <w:spacing w:val="-15"/>
        </w:rPr>
        <w:t xml:space="preserve"> </w:t>
      </w:r>
      <w:r>
        <w:t>mérito administrativo,</w:t>
      </w:r>
      <w:r>
        <w:rPr>
          <w:spacing w:val="-7"/>
        </w:rPr>
        <w:t xml:space="preserve"> </w:t>
      </w:r>
      <w:r>
        <w:t>pois</w:t>
      </w:r>
      <w:r>
        <w:rPr>
          <w:spacing w:val="-8"/>
        </w:rPr>
        <w:t xml:space="preserve"> </w:t>
      </w:r>
      <w:r>
        <w:t>este</w:t>
      </w:r>
      <w:r>
        <w:rPr>
          <w:spacing w:val="-13"/>
        </w:rPr>
        <w:t xml:space="preserve"> </w:t>
      </w:r>
      <w:r>
        <w:t>restringir-se-ia</w:t>
      </w:r>
      <w:r>
        <w:rPr>
          <w:spacing w:val="-12"/>
        </w:rPr>
        <w:t xml:space="preserve"> </w:t>
      </w:r>
      <w:r>
        <w:t>à</w:t>
      </w:r>
      <w:r>
        <w:rPr>
          <w:spacing w:val="-9"/>
        </w:rPr>
        <w:t xml:space="preserve"> </w:t>
      </w:r>
      <w:r>
        <w:t>legalidade</w:t>
      </w:r>
      <w:r>
        <w:rPr>
          <w:spacing w:val="-10"/>
        </w:rPr>
        <w:t xml:space="preserve"> </w:t>
      </w:r>
      <w:r>
        <w:t>que</w:t>
      </w:r>
      <w:r>
        <w:rPr>
          <w:spacing w:val="-9"/>
        </w:rPr>
        <w:t xml:space="preserve"> </w:t>
      </w:r>
      <w:r>
        <w:t>representa</w:t>
      </w:r>
      <w:r>
        <w:rPr>
          <w:spacing w:val="-11"/>
        </w:rPr>
        <w:t xml:space="preserve"> </w:t>
      </w:r>
      <w:r>
        <w:t>o</w:t>
      </w:r>
      <w:r>
        <w:rPr>
          <w:spacing w:val="-8"/>
        </w:rPr>
        <w:t xml:space="preserve"> </w:t>
      </w:r>
      <w:r>
        <w:t>limite</w:t>
      </w:r>
      <w:r>
        <w:rPr>
          <w:spacing w:val="-2"/>
        </w:rPr>
        <w:t xml:space="preserve"> </w:t>
      </w:r>
      <w:r>
        <w:t>de</w:t>
      </w:r>
      <w:r>
        <w:rPr>
          <w:spacing w:val="-2"/>
        </w:rPr>
        <w:t xml:space="preserve"> </w:t>
      </w:r>
      <w:r>
        <w:t>controle</w:t>
      </w:r>
      <w:r>
        <w:rPr>
          <w:spacing w:val="-2"/>
        </w:rPr>
        <w:t xml:space="preserve"> </w:t>
      </w:r>
      <w:r>
        <w:t>quanto à extensão.</w:t>
      </w:r>
    </w:p>
    <w:p w:rsidR="007259F2" w:rsidRDefault="00E655B4">
      <w:pPr>
        <w:pStyle w:val="Corpodetexto"/>
        <w:ind w:right="420"/>
      </w:pPr>
      <w:r>
        <w:t>Em sentido semelhante, sob influência da doutrina de Seabra Fagundes, Hely Lopes Meirelles</w:t>
      </w:r>
      <w:r>
        <w:rPr>
          <w:vertAlign w:val="superscript"/>
        </w:rPr>
        <w:t>36</w:t>
      </w:r>
      <w:r>
        <w:t xml:space="preserve"> entende que o mérito compreende a valoração dos motivos e na escolha do objeto do ato, feitas pela Administração incumbida de sua prática, quando autorizada a decidir sobre a conveniência, oportunidade e justiça do ato a realizar.</w:t>
      </w:r>
    </w:p>
    <w:p w:rsidR="007259F2" w:rsidRDefault="007259F2">
      <w:pPr>
        <w:pStyle w:val="Corpodetexto"/>
        <w:ind w:left="0" w:firstLine="0"/>
        <w:jc w:val="left"/>
        <w:rPr>
          <w:sz w:val="20"/>
        </w:rPr>
      </w:pPr>
    </w:p>
    <w:p w:rsidR="007259F2" w:rsidRDefault="00DE6B1C">
      <w:pPr>
        <w:pStyle w:val="Corpodetexto"/>
        <w:spacing w:before="120"/>
        <w:ind w:left="0" w:firstLine="0"/>
        <w:jc w:val="left"/>
        <w:rPr>
          <w:sz w:val="20"/>
        </w:rPr>
      </w:pPr>
      <w:r w:rsidRPr="00DE6B1C">
        <w:rPr>
          <w:sz w:val="20"/>
        </w:rPr>
        <w:pict>
          <v:rect id="docshape144" o:spid="_x0000_s1083" style="position:absolute;margin-left:85.1pt;margin-top:18.7pt;width:2in;height:.7pt;z-index:-15665152;mso-wrap-distance-left:0;mso-wrap-distance-right:0;mso-position-horizontal-relative:page" fillcolor="black" stroked="f">
            <w10:wrap type="topAndBottom" anchorx="page"/>
          </v:rect>
        </w:pict>
      </w:r>
    </w:p>
    <w:p w:rsidR="007259F2" w:rsidRDefault="00E655B4">
      <w:pPr>
        <w:spacing w:before="94"/>
        <w:ind w:left="710" w:right="420"/>
        <w:jc w:val="both"/>
        <w:rPr>
          <w:sz w:val="20"/>
        </w:rPr>
      </w:pPr>
      <w:r>
        <w:rPr>
          <w:sz w:val="20"/>
          <w:vertAlign w:val="superscript"/>
        </w:rPr>
        <w:t>32</w:t>
      </w:r>
      <w:r>
        <w:rPr>
          <w:sz w:val="20"/>
        </w:rPr>
        <w:t xml:space="preserve"> Em</w:t>
      </w:r>
      <w:r>
        <w:rPr>
          <w:spacing w:val="-1"/>
          <w:sz w:val="20"/>
        </w:rPr>
        <w:t xml:space="preserve"> </w:t>
      </w:r>
      <w:r>
        <w:rPr>
          <w:sz w:val="20"/>
        </w:rPr>
        <w:t>terceiro lugar, entendo que cabe ao órgão julgador determinar a finalidade a ser atingida, mas não o modo como ela deverá ser alcançada. Estabelecida a meta a ser cumprida, diversos são os meios com os quais se pode implementá-la,</w:t>
      </w:r>
      <w:r>
        <w:rPr>
          <w:spacing w:val="-3"/>
          <w:sz w:val="20"/>
        </w:rPr>
        <w:t xml:space="preserve"> </w:t>
      </w:r>
      <w:r>
        <w:rPr>
          <w:sz w:val="20"/>
        </w:rPr>
        <w:t>cabendo</w:t>
      </w:r>
      <w:r>
        <w:rPr>
          <w:spacing w:val="-2"/>
          <w:sz w:val="20"/>
        </w:rPr>
        <w:t xml:space="preserve"> </w:t>
      </w:r>
      <w:r>
        <w:rPr>
          <w:sz w:val="20"/>
        </w:rPr>
        <w:t>ao</w:t>
      </w:r>
      <w:r>
        <w:rPr>
          <w:spacing w:val="-2"/>
          <w:sz w:val="20"/>
        </w:rPr>
        <w:t xml:space="preserve"> </w:t>
      </w:r>
      <w:r>
        <w:rPr>
          <w:sz w:val="20"/>
        </w:rPr>
        <w:t>administrador</w:t>
      </w:r>
      <w:r>
        <w:rPr>
          <w:spacing w:val="-3"/>
          <w:sz w:val="20"/>
        </w:rPr>
        <w:t xml:space="preserve"> </w:t>
      </w:r>
      <w:r>
        <w:rPr>
          <w:sz w:val="20"/>
        </w:rPr>
        <w:t>optar</w:t>
      </w:r>
      <w:r>
        <w:rPr>
          <w:spacing w:val="-2"/>
          <w:sz w:val="20"/>
        </w:rPr>
        <w:t xml:space="preserve"> </w:t>
      </w:r>
      <w:r>
        <w:rPr>
          <w:sz w:val="20"/>
        </w:rPr>
        <w:t>por</w:t>
      </w:r>
      <w:r>
        <w:rPr>
          <w:spacing w:val="-3"/>
          <w:sz w:val="20"/>
        </w:rPr>
        <w:t xml:space="preserve"> </w:t>
      </w:r>
      <w:r>
        <w:rPr>
          <w:sz w:val="20"/>
        </w:rPr>
        <w:t>aquele</w:t>
      </w:r>
      <w:r>
        <w:rPr>
          <w:spacing w:val="-3"/>
          <w:sz w:val="20"/>
        </w:rPr>
        <w:t xml:space="preserve"> </w:t>
      </w:r>
      <w:r>
        <w:rPr>
          <w:sz w:val="20"/>
        </w:rPr>
        <w:t>que</w:t>
      </w:r>
      <w:r>
        <w:rPr>
          <w:spacing w:val="-3"/>
          <w:sz w:val="20"/>
        </w:rPr>
        <w:t xml:space="preserve"> </w:t>
      </w:r>
      <w:r>
        <w:rPr>
          <w:sz w:val="20"/>
        </w:rPr>
        <w:t>considera</w:t>
      </w:r>
      <w:r>
        <w:rPr>
          <w:spacing w:val="-1"/>
          <w:sz w:val="20"/>
        </w:rPr>
        <w:t xml:space="preserve"> </w:t>
      </w:r>
      <w:r>
        <w:rPr>
          <w:sz w:val="20"/>
        </w:rPr>
        <w:t>mais</w:t>
      </w:r>
      <w:r>
        <w:rPr>
          <w:spacing w:val="-4"/>
          <w:sz w:val="20"/>
        </w:rPr>
        <w:t xml:space="preserve"> </w:t>
      </w:r>
      <w:r>
        <w:rPr>
          <w:sz w:val="20"/>
        </w:rPr>
        <w:t>pertinente</w:t>
      </w:r>
      <w:r>
        <w:rPr>
          <w:spacing w:val="-3"/>
          <w:sz w:val="20"/>
        </w:rPr>
        <w:t xml:space="preserve"> </w:t>
      </w:r>
      <w:r>
        <w:rPr>
          <w:sz w:val="20"/>
        </w:rPr>
        <w:t>e</w:t>
      </w:r>
      <w:r>
        <w:rPr>
          <w:spacing w:val="-1"/>
          <w:sz w:val="20"/>
        </w:rPr>
        <w:t xml:space="preserve"> </w:t>
      </w:r>
      <w:r>
        <w:rPr>
          <w:sz w:val="20"/>
        </w:rPr>
        <w:t>eficaz.</w:t>
      </w:r>
      <w:r>
        <w:rPr>
          <w:spacing w:val="-3"/>
          <w:sz w:val="20"/>
        </w:rPr>
        <w:t xml:space="preserve"> </w:t>
      </w:r>
      <w:r>
        <w:rPr>
          <w:sz w:val="20"/>
        </w:rPr>
        <w:t>Trata-se</w:t>
      </w:r>
      <w:r>
        <w:rPr>
          <w:spacing w:val="-3"/>
          <w:sz w:val="20"/>
        </w:rPr>
        <w:t xml:space="preserve"> </w:t>
      </w:r>
      <w:r>
        <w:rPr>
          <w:sz w:val="20"/>
        </w:rPr>
        <w:t>de</w:t>
      </w:r>
      <w:r>
        <w:rPr>
          <w:spacing w:val="-3"/>
          <w:sz w:val="20"/>
        </w:rPr>
        <w:t xml:space="preserve"> </w:t>
      </w:r>
      <w:r>
        <w:rPr>
          <w:sz w:val="20"/>
        </w:rPr>
        <w:t xml:space="preserve">um modelo “fraco” de intervenção judicial em políticas públicas, no qual, apesar de indicar o resultado a ser produzido, o Judiciário não fixa analiticamente todos os atos que devem ser praticados pelo Poder Público, preservando, assim, o espaço de discricionariedade do mérito administrativo (BRASIL. Supremo Tribunal Federal (Pleno). </w:t>
      </w:r>
      <w:r>
        <w:rPr>
          <w:b/>
          <w:sz w:val="20"/>
        </w:rPr>
        <w:t>Recurso Extraordinário RE 684612 /RJ</w:t>
      </w:r>
      <w:r>
        <w:rPr>
          <w:sz w:val="20"/>
        </w:rPr>
        <w:t>. Tema 698).</w:t>
      </w:r>
    </w:p>
    <w:p w:rsidR="007259F2" w:rsidRDefault="00E655B4">
      <w:pPr>
        <w:spacing w:before="1"/>
        <w:ind w:left="710"/>
        <w:jc w:val="both"/>
        <w:rPr>
          <w:sz w:val="20"/>
        </w:rPr>
      </w:pPr>
      <w:r>
        <w:rPr>
          <w:sz w:val="20"/>
          <w:vertAlign w:val="superscript"/>
        </w:rPr>
        <w:t>33</w:t>
      </w:r>
      <w:r>
        <w:rPr>
          <w:spacing w:val="-4"/>
          <w:sz w:val="20"/>
        </w:rPr>
        <w:t xml:space="preserve"> </w:t>
      </w:r>
      <w:r>
        <w:rPr>
          <w:sz w:val="20"/>
        </w:rPr>
        <w:t>BANDEIRA</w:t>
      </w:r>
      <w:r>
        <w:rPr>
          <w:spacing w:val="-6"/>
          <w:sz w:val="20"/>
        </w:rPr>
        <w:t xml:space="preserve"> </w:t>
      </w:r>
      <w:r>
        <w:rPr>
          <w:sz w:val="20"/>
        </w:rPr>
        <w:t>DE</w:t>
      </w:r>
      <w:r>
        <w:rPr>
          <w:spacing w:val="-3"/>
          <w:sz w:val="20"/>
        </w:rPr>
        <w:t xml:space="preserve"> </w:t>
      </w:r>
      <w:r>
        <w:rPr>
          <w:sz w:val="20"/>
        </w:rPr>
        <w:t>MELLO,</w:t>
      </w:r>
      <w:r>
        <w:rPr>
          <w:spacing w:val="-4"/>
          <w:sz w:val="20"/>
        </w:rPr>
        <w:t xml:space="preserve"> </w:t>
      </w:r>
      <w:r>
        <w:rPr>
          <w:sz w:val="20"/>
        </w:rPr>
        <w:t xml:space="preserve">2010, </w:t>
      </w:r>
      <w:r>
        <w:rPr>
          <w:i/>
          <w:sz w:val="20"/>
        </w:rPr>
        <w:t>op.</w:t>
      </w:r>
      <w:r>
        <w:rPr>
          <w:i/>
          <w:spacing w:val="-3"/>
          <w:sz w:val="20"/>
        </w:rPr>
        <w:t xml:space="preserve"> </w:t>
      </w:r>
      <w:r>
        <w:rPr>
          <w:i/>
          <w:sz w:val="20"/>
        </w:rPr>
        <w:t>cit.,</w:t>
      </w:r>
      <w:r>
        <w:rPr>
          <w:i/>
          <w:spacing w:val="-5"/>
          <w:sz w:val="20"/>
        </w:rPr>
        <w:t xml:space="preserve"> </w:t>
      </w:r>
      <w:r>
        <w:rPr>
          <w:sz w:val="20"/>
        </w:rPr>
        <w:t>p.</w:t>
      </w:r>
      <w:r>
        <w:rPr>
          <w:spacing w:val="-4"/>
          <w:sz w:val="20"/>
        </w:rPr>
        <w:t xml:space="preserve"> 405.</w:t>
      </w:r>
    </w:p>
    <w:p w:rsidR="007259F2" w:rsidRDefault="00E655B4">
      <w:pPr>
        <w:ind w:left="710"/>
        <w:jc w:val="both"/>
        <w:rPr>
          <w:i/>
          <w:sz w:val="20"/>
        </w:rPr>
      </w:pPr>
      <w:r>
        <w:rPr>
          <w:sz w:val="20"/>
          <w:vertAlign w:val="superscript"/>
        </w:rPr>
        <w:t>34</w:t>
      </w:r>
      <w:r>
        <w:rPr>
          <w:spacing w:val="-4"/>
          <w:sz w:val="20"/>
        </w:rPr>
        <w:t xml:space="preserve"> </w:t>
      </w:r>
      <w:r>
        <w:rPr>
          <w:sz w:val="20"/>
        </w:rPr>
        <w:t>Cf.</w:t>
      </w:r>
      <w:r>
        <w:rPr>
          <w:spacing w:val="-4"/>
          <w:sz w:val="20"/>
        </w:rPr>
        <w:t xml:space="preserve"> </w:t>
      </w:r>
      <w:r>
        <w:rPr>
          <w:sz w:val="20"/>
        </w:rPr>
        <w:t>MARTINS,</w:t>
      </w:r>
      <w:r>
        <w:rPr>
          <w:spacing w:val="-4"/>
          <w:sz w:val="20"/>
        </w:rPr>
        <w:t xml:space="preserve"> </w:t>
      </w:r>
      <w:r>
        <w:rPr>
          <w:sz w:val="20"/>
        </w:rPr>
        <w:t>2024,</w:t>
      </w:r>
      <w:r>
        <w:rPr>
          <w:spacing w:val="-2"/>
          <w:sz w:val="20"/>
        </w:rPr>
        <w:t xml:space="preserve"> </w:t>
      </w:r>
      <w:r>
        <w:rPr>
          <w:i/>
          <w:sz w:val="20"/>
        </w:rPr>
        <w:t>op.</w:t>
      </w:r>
      <w:r>
        <w:rPr>
          <w:i/>
          <w:spacing w:val="-4"/>
          <w:sz w:val="20"/>
        </w:rPr>
        <w:t xml:space="preserve"> cit.</w:t>
      </w:r>
    </w:p>
    <w:p w:rsidR="007259F2" w:rsidRDefault="00E655B4">
      <w:pPr>
        <w:spacing w:before="1"/>
        <w:ind w:left="710" w:right="419"/>
        <w:jc w:val="both"/>
        <w:rPr>
          <w:sz w:val="20"/>
        </w:rPr>
      </w:pPr>
      <w:r>
        <w:rPr>
          <w:sz w:val="20"/>
          <w:vertAlign w:val="superscript"/>
        </w:rPr>
        <w:t>35</w:t>
      </w:r>
      <w:r>
        <w:rPr>
          <w:sz w:val="20"/>
        </w:rPr>
        <w:t xml:space="preserve"> FAGUNDES, M. S. Conceito de mérito no Direito Administrativo.</w:t>
      </w:r>
      <w:r>
        <w:rPr>
          <w:spacing w:val="22"/>
          <w:sz w:val="20"/>
        </w:rPr>
        <w:t xml:space="preserve"> </w:t>
      </w:r>
      <w:r>
        <w:rPr>
          <w:b/>
          <w:sz w:val="20"/>
        </w:rPr>
        <w:t>Revista de Direito Administrativo</w:t>
      </w:r>
      <w:r>
        <w:rPr>
          <w:sz w:val="20"/>
        </w:rPr>
        <w:t>, [S.</w:t>
      </w:r>
      <w:r>
        <w:rPr>
          <w:spacing w:val="40"/>
          <w:sz w:val="20"/>
        </w:rPr>
        <w:t xml:space="preserve"> </w:t>
      </w:r>
      <w:r>
        <w:rPr>
          <w:sz w:val="20"/>
        </w:rPr>
        <w:t>l.],</w:t>
      </w:r>
      <w:r>
        <w:rPr>
          <w:spacing w:val="-1"/>
          <w:sz w:val="20"/>
        </w:rPr>
        <w:t xml:space="preserve"> </w:t>
      </w:r>
      <w:r>
        <w:rPr>
          <w:sz w:val="20"/>
        </w:rPr>
        <w:t>v.</w:t>
      </w:r>
      <w:r>
        <w:rPr>
          <w:spacing w:val="-2"/>
          <w:sz w:val="20"/>
        </w:rPr>
        <w:t xml:space="preserve"> </w:t>
      </w:r>
      <w:r>
        <w:rPr>
          <w:sz w:val="20"/>
        </w:rPr>
        <w:t>23,</w:t>
      </w:r>
      <w:r>
        <w:rPr>
          <w:spacing w:val="-3"/>
          <w:sz w:val="20"/>
        </w:rPr>
        <w:t xml:space="preserve"> </w:t>
      </w:r>
      <w:r>
        <w:rPr>
          <w:sz w:val="20"/>
        </w:rPr>
        <w:t>p.</w:t>
      </w:r>
      <w:r>
        <w:rPr>
          <w:spacing w:val="-1"/>
          <w:sz w:val="20"/>
        </w:rPr>
        <w:t xml:space="preserve"> </w:t>
      </w:r>
      <w:r>
        <w:rPr>
          <w:sz w:val="20"/>
        </w:rPr>
        <w:t>1–16,</w:t>
      </w:r>
      <w:r>
        <w:rPr>
          <w:spacing w:val="-3"/>
          <w:sz w:val="20"/>
        </w:rPr>
        <w:t xml:space="preserve"> </w:t>
      </w:r>
      <w:r>
        <w:rPr>
          <w:sz w:val="20"/>
        </w:rPr>
        <w:t>1951.</w:t>
      </w:r>
      <w:r>
        <w:rPr>
          <w:spacing w:val="-1"/>
          <w:sz w:val="20"/>
        </w:rPr>
        <w:t xml:space="preserve"> </w:t>
      </w:r>
      <w:r>
        <w:rPr>
          <w:sz w:val="20"/>
        </w:rPr>
        <w:t>Disponível</w:t>
      </w:r>
      <w:r>
        <w:rPr>
          <w:spacing w:val="-2"/>
          <w:sz w:val="20"/>
        </w:rPr>
        <w:t xml:space="preserve"> </w:t>
      </w:r>
      <w:r>
        <w:rPr>
          <w:sz w:val="20"/>
        </w:rPr>
        <w:t>em</w:t>
      </w:r>
      <w:r>
        <w:rPr>
          <w:spacing w:val="-3"/>
          <w:sz w:val="20"/>
        </w:rPr>
        <w:t xml:space="preserve"> </w:t>
      </w:r>
      <w:r>
        <w:rPr>
          <w:sz w:val="20"/>
        </w:rPr>
        <w:t>https://periodicos.fgv.br/rda/article/view/11830.</w:t>
      </w:r>
      <w:r>
        <w:rPr>
          <w:spacing w:val="-1"/>
          <w:sz w:val="20"/>
        </w:rPr>
        <w:t xml:space="preserve"> </w:t>
      </w:r>
      <w:r>
        <w:rPr>
          <w:sz w:val="20"/>
        </w:rPr>
        <w:t>Acesso</w:t>
      </w:r>
      <w:r>
        <w:rPr>
          <w:spacing w:val="-1"/>
          <w:sz w:val="20"/>
        </w:rPr>
        <w:t xml:space="preserve"> </w:t>
      </w:r>
      <w:r>
        <w:rPr>
          <w:sz w:val="20"/>
        </w:rPr>
        <w:t>em:</w:t>
      </w:r>
      <w:r>
        <w:rPr>
          <w:spacing w:val="-2"/>
          <w:sz w:val="20"/>
        </w:rPr>
        <w:t xml:space="preserve"> </w:t>
      </w:r>
      <w:r>
        <w:rPr>
          <w:sz w:val="20"/>
        </w:rPr>
        <w:t>5</w:t>
      </w:r>
      <w:r>
        <w:rPr>
          <w:spacing w:val="-1"/>
          <w:sz w:val="20"/>
        </w:rPr>
        <w:t xml:space="preserve"> </w:t>
      </w:r>
      <w:r>
        <w:rPr>
          <w:sz w:val="20"/>
        </w:rPr>
        <w:t>nov.</w:t>
      </w:r>
      <w:r>
        <w:rPr>
          <w:spacing w:val="-1"/>
          <w:sz w:val="20"/>
        </w:rPr>
        <w:t xml:space="preserve"> </w:t>
      </w:r>
      <w:r>
        <w:rPr>
          <w:sz w:val="20"/>
        </w:rPr>
        <w:t xml:space="preserve">2024. </w:t>
      </w:r>
      <w:r>
        <w:rPr>
          <w:sz w:val="20"/>
          <w:vertAlign w:val="superscript"/>
        </w:rPr>
        <w:t>36</w:t>
      </w:r>
      <w:r>
        <w:rPr>
          <w:sz w:val="20"/>
        </w:rPr>
        <w:t xml:space="preserve"> MEIRELLES, Hely Lopes. </w:t>
      </w:r>
      <w:r>
        <w:rPr>
          <w:b/>
          <w:sz w:val="20"/>
        </w:rPr>
        <w:t>Direito Administrativo Brasileiro</w:t>
      </w:r>
      <w:r>
        <w:rPr>
          <w:sz w:val="20"/>
        </w:rPr>
        <w:t>. São Paulo: Malheiros, 1998, p. 136.</w:t>
      </w:r>
    </w:p>
    <w:p w:rsidR="007259F2" w:rsidRDefault="007259F2">
      <w:pPr>
        <w:jc w:val="both"/>
        <w:rPr>
          <w:sz w:val="20"/>
        </w:rPr>
        <w:sectPr w:rsidR="007259F2">
          <w:pgSz w:w="11910" w:h="16840"/>
          <w:pgMar w:top="1600" w:right="708" w:bottom="1020" w:left="992" w:header="0" w:footer="820" w:gutter="0"/>
          <w:cols w:space="720"/>
        </w:sectPr>
      </w:pPr>
    </w:p>
    <w:p w:rsidR="007259F2" w:rsidRDefault="00E655B4">
      <w:pPr>
        <w:pStyle w:val="Corpodetexto"/>
        <w:spacing w:before="115"/>
        <w:ind w:right="417"/>
      </w:pPr>
      <w:r>
        <w:lastRenderedPageBreak/>
        <w:t>Maria Sylvia Zanella de Pietro</w:t>
      </w:r>
      <w:r>
        <w:rPr>
          <w:vertAlign w:val="superscript"/>
        </w:rPr>
        <w:t>37</w:t>
      </w:r>
      <w:r>
        <w:t xml:space="preserve"> também associa o mérito à conveniência e oportunidade, como aspecto do ato administrativo cuja apreciação é reservada à competência da Administração Pública, do que decorre a afirmação de que o Judiciário não pode examinar o mérito dos atos administrativos. Celso Antônio Bandeira de Mello</w:t>
      </w:r>
      <w:r>
        <w:rPr>
          <w:vertAlign w:val="superscript"/>
        </w:rPr>
        <w:t>38</w:t>
      </w:r>
      <w:r>
        <w:t>, por seu turno, confere especial relevância ao caso concreto ao associar o mérito como o “campo de liberdade” que efetivamente remanesça no caso concreto para que o administrador, segundo critérios de conveniência e oportunidade, decida-se entre duas ou mais soluções admissíveis para o atendimento da finalidade.</w:t>
      </w:r>
    </w:p>
    <w:p w:rsidR="007259F2" w:rsidRDefault="00E655B4">
      <w:pPr>
        <w:pStyle w:val="Corpodetexto"/>
        <w:ind w:right="418"/>
      </w:pPr>
      <w:r>
        <w:t>Com</w:t>
      </w:r>
      <w:r>
        <w:rPr>
          <w:spacing w:val="-5"/>
        </w:rPr>
        <w:t xml:space="preserve"> </w:t>
      </w:r>
      <w:r>
        <w:t>efeito,</w:t>
      </w:r>
      <w:r>
        <w:rPr>
          <w:spacing w:val="-5"/>
        </w:rPr>
        <w:t xml:space="preserve"> </w:t>
      </w:r>
      <w:r>
        <w:t>nota-se</w:t>
      </w:r>
      <w:r>
        <w:rPr>
          <w:spacing w:val="-6"/>
        </w:rPr>
        <w:t xml:space="preserve"> </w:t>
      </w:r>
      <w:r>
        <w:t>que,</w:t>
      </w:r>
      <w:r>
        <w:rPr>
          <w:spacing w:val="-1"/>
        </w:rPr>
        <w:t xml:space="preserve"> </w:t>
      </w:r>
      <w:r>
        <w:t>a</w:t>
      </w:r>
      <w:r>
        <w:rPr>
          <w:spacing w:val="-6"/>
        </w:rPr>
        <w:t xml:space="preserve"> </w:t>
      </w:r>
      <w:r>
        <w:t>despeito</w:t>
      </w:r>
      <w:r>
        <w:rPr>
          <w:spacing w:val="-5"/>
        </w:rPr>
        <w:t xml:space="preserve"> </w:t>
      </w:r>
      <w:r>
        <w:t>da</w:t>
      </w:r>
      <w:r>
        <w:rPr>
          <w:spacing w:val="-4"/>
        </w:rPr>
        <w:t xml:space="preserve"> </w:t>
      </w:r>
      <w:r>
        <w:t>relativa</w:t>
      </w:r>
      <w:r>
        <w:rPr>
          <w:spacing w:val="-5"/>
        </w:rPr>
        <w:t xml:space="preserve"> </w:t>
      </w:r>
      <w:r>
        <w:t>divergência</w:t>
      </w:r>
      <w:r>
        <w:rPr>
          <w:spacing w:val="-6"/>
        </w:rPr>
        <w:t xml:space="preserve"> </w:t>
      </w:r>
      <w:r>
        <w:t>quanto</w:t>
      </w:r>
      <w:r>
        <w:rPr>
          <w:spacing w:val="-5"/>
        </w:rPr>
        <w:t xml:space="preserve"> </w:t>
      </w:r>
      <w:r>
        <w:t>a</w:t>
      </w:r>
      <w:r>
        <w:rPr>
          <w:spacing w:val="-4"/>
        </w:rPr>
        <w:t xml:space="preserve"> </w:t>
      </w:r>
      <w:r>
        <w:t>extensão</w:t>
      </w:r>
      <w:r>
        <w:rPr>
          <w:spacing w:val="-5"/>
        </w:rPr>
        <w:t xml:space="preserve"> </w:t>
      </w:r>
      <w:r>
        <w:t>do</w:t>
      </w:r>
      <w:r>
        <w:rPr>
          <w:spacing w:val="-6"/>
        </w:rPr>
        <w:t xml:space="preserve"> </w:t>
      </w:r>
      <w:r>
        <w:t>mérito do ato administrativo, a doutrina concentra sua definição no processo de valoração, por meio de</w:t>
      </w:r>
      <w:r>
        <w:rPr>
          <w:spacing w:val="-9"/>
        </w:rPr>
        <w:t xml:space="preserve"> </w:t>
      </w:r>
      <w:r>
        <w:t>ato</w:t>
      </w:r>
      <w:r>
        <w:rPr>
          <w:spacing w:val="-5"/>
        </w:rPr>
        <w:t xml:space="preserve"> </w:t>
      </w:r>
      <w:r>
        <w:t>volitivo,</w:t>
      </w:r>
      <w:r>
        <w:rPr>
          <w:spacing w:val="-5"/>
        </w:rPr>
        <w:t xml:space="preserve"> </w:t>
      </w:r>
      <w:r>
        <w:t>realizado</w:t>
      </w:r>
      <w:r>
        <w:rPr>
          <w:spacing w:val="-2"/>
        </w:rPr>
        <w:t xml:space="preserve"> </w:t>
      </w:r>
      <w:r>
        <w:t>pelo</w:t>
      </w:r>
      <w:r>
        <w:rPr>
          <w:spacing w:val="-5"/>
        </w:rPr>
        <w:t xml:space="preserve"> </w:t>
      </w:r>
      <w:r>
        <w:t>administrador,</w:t>
      </w:r>
      <w:r>
        <w:rPr>
          <w:spacing w:val="-8"/>
        </w:rPr>
        <w:t xml:space="preserve"> </w:t>
      </w:r>
      <w:r>
        <w:t>por</w:t>
      </w:r>
      <w:r>
        <w:rPr>
          <w:spacing w:val="-1"/>
        </w:rPr>
        <w:t xml:space="preserve"> </w:t>
      </w:r>
      <w:r>
        <w:t>meio</w:t>
      </w:r>
      <w:r>
        <w:rPr>
          <w:spacing w:val="-6"/>
        </w:rPr>
        <w:t xml:space="preserve"> </w:t>
      </w:r>
      <w:r>
        <w:t>de</w:t>
      </w:r>
      <w:r>
        <w:rPr>
          <w:spacing w:val="-9"/>
        </w:rPr>
        <w:t xml:space="preserve"> </w:t>
      </w:r>
      <w:r>
        <w:t>critérios</w:t>
      </w:r>
      <w:r>
        <w:rPr>
          <w:spacing w:val="-3"/>
        </w:rPr>
        <w:t xml:space="preserve"> </w:t>
      </w:r>
      <w:r>
        <w:t>-</w:t>
      </w:r>
      <w:r>
        <w:rPr>
          <w:spacing w:val="-9"/>
        </w:rPr>
        <w:t xml:space="preserve"> </w:t>
      </w:r>
      <w:r>
        <w:t>não</w:t>
      </w:r>
      <w:r>
        <w:rPr>
          <w:spacing w:val="-6"/>
        </w:rPr>
        <w:t xml:space="preserve"> </w:t>
      </w:r>
      <w:r>
        <w:t>estritamente</w:t>
      </w:r>
      <w:r>
        <w:rPr>
          <w:spacing w:val="-5"/>
        </w:rPr>
        <w:t xml:space="preserve"> </w:t>
      </w:r>
      <w:r>
        <w:t>jurídicos, como,</w:t>
      </w:r>
      <w:r>
        <w:rPr>
          <w:spacing w:val="-10"/>
        </w:rPr>
        <w:t xml:space="preserve"> </w:t>
      </w:r>
      <w:r>
        <w:t>por</w:t>
      </w:r>
      <w:r>
        <w:rPr>
          <w:spacing w:val="-9"/>
        </w:rPr>
        <w:t xml:space="preserve"> </w:t>
      </w:r>
      <w:r>
        <w:t>exemplo,</w:t>
      </w:r>
      <w:r>
        <w:rPr>
          <w:spacing w:val="-10"/>
        </w:rPr>
        <w:t xml:space="preserve"> </w:t>
      </w:r>
      <w:r>
        <w:t>suas</w:t>
      </w:r>
      <w:r>
        <w:rPr>
          <w:spacing w:val="-8"/>
        </w:rPr>
        <w:t xml:space="preserve"> </w:t>
      </w:r>
      <w:r>
        <w:t>convicções</w:t>
      </w:r>
      <w:r>
        <w:rPr>
          <w:spacing w:val="-8"/>
        </w:rPr>
        <w:t xml:space="preserve"> </w:t>
      </w:r>
      <w:r>
        <w:t>pessoais</w:t>
      </w:r>
      <w:r>
        <w:rPr>
          <w:spacing w:val="-5"/>
        </w:rPr>
        <w:t xml:space="preserve"> </w:t>
      </w:r>
      <w:r>
        <w:t>-</w:t>
      </w:r>
      <w:r>
        <w:rPr>
          <w:spacing w:val="-11"/>
        </w:rPr>
        <w:t xml:space="preserve"> </w:t>
      </w:r>
      <w:r>
        <w:t>de</w:t>
      </w:r>
      <w:r>
        <w:rPr>
          <w:spacing w:val="-6"/>
        </w:rPr>
        <w:t xml:space="preserve"> </w:t>
      </w:r>
      <w:r>
        <w:rPr>
          <w:i/>
        </w:rPr>
        <w:t>conveniência</w:t>
      </w:r>
      <w:r>
        <w:rPr>
          <w:i/>
          <w:spacing w:val="-10"/>
        </w:rPr>
        <w:t xml:space="preserve"> </w:t>
      </w:r>
      <w:r>
        <w:rPr>
          <w:i/>
        </w:rPr>
        <w:t>e</w:t>
      </w:r>
      <w:r>
        <w:rPr>
          <w:i/>
          <w:spacing w:val="-9"/>
        </w:rPr>
        <w:t xml:space="preserve"> </w:t>
      </w:r>
      <w:r>
        <w:rPr>
          <w:i/>
        </w:rPr>
        <w:t>oportunidade</w:t>
      </w:r>
      <w:r>
        <w:rPr>
          <w:i/>
          <w:vertAlign w:val="superscript"/>
        </w:rPr>
        <w:t>39</w:t>
      </w:r>
      <w:r>
        <w:rPr>
          <w:i/>
          <w:spacing w:val="-7"/>
        </w:rPr>
        <w:t xml:space="preserve"> </w:t>
      </w:r>
      <w:r>
        <w:t>entre</w:t>
      </w:r>
      <w:r>
        <w:rPr>
          <w:spacing w:val="-14"/>
        </w:rPr>
        <w:t xml:space="preserve"> </w:t>
      </w:r>
      <w:r>
        <w:t>duas</w:t>
      </w:r>
      <w:r>
        <w:rPr>
          <w:spacing w:val="-10"/>
        </w:rPr>
        <w:t xml:space="preserve"> </w:t>
      </w:r>
      <w:r>
        <w:t>ou mais soluções válidas para o atendimento da finalidade do ato, o que acarreta o tradicional entendimento quanto à impossibilidade de seu controle judicial, o qual se entende o mais adequado,</w:t>
      </w:r>
      <w:r>
        <w:rPr>
          <w:spacing w:val="-1"/>
        </w:rPr>
        <w:t xml:space="preserve"> </w:t>
      </w:r>
      <w:r>
        <w:t>dado</w:t>
      </w:r>
      <w:r>
        <w:rPr>
          <w:spacing w:val="-1"/>
        </w:rPr>
        <w:t xml:space="preserve"> </w:t>
      </w:r>
      <w:r>
        <w:t>que</w:t>
      </w:r>
      <w:r>
        <w:rPr>
          <w:spacing w:val="-2"/>
        </w:rPr>
        <w:t xml:space="preserve"> </w:t>
      </w:r>
      <w:r>
        <w:t>o magistrado</w:t>
      </w:r>
      <w:r>
        <w:rPr>
          <w:spacing w:val="-1"/>
        </w:rPr>
        <w:t xml:space="preserve"> </w:t>
      </w:r>
      <w:r>
        <w:t>deve</w:t>
      </w:r>
      <w:r>
        <w:rPr>
          <w:spacing w:val="-2"/>
        </w:rPr>
        <w:t xml:space="preserve"> </w:t>
      </w:r>
      <w:r>
        <w:t>respeitar</w:t>
      </w:r>
      <w:r>
        <w:rPr>
          <w:spacing w:val="-1"/>
        </w:rPr>
        <w:t xml:space="preserve"> </w:t>
      </w:r>
      <w:r>
        <w:t>o juízo de</w:t>
      </w:r>
      <w:r>
        <w:rPr>
          <w:spacing w:val="-2"/>
        </w:rPr>
        <w:t xml:space="preserve"> </w:t>
      </w:r>
      <w:r>
        <w:t>valor</w:t>
      </w:r>
      <w:r>
        <w:rPr>
          <w:spacing w:val="-1"/>
        </w:rPr>
        <w:t xml:space="preserve"> </w:t>
      </w:r>
      <w:r>
        <w:t>realizado pelo</w:t>
      </w:r>
      <w:r>
        <w:rPr>
          <w:spacing w:val="-1"/>
        </w:rPr>
        <w:t xml:space="preserve"> </w:t>
      </w:r>
      <w:r>
        <w:t>administrador, sob pena de violação à separação de poderes.</w:t>
      </w:r>
    </w:p>
    <w:p w:rsidR="007259F2" w:rsidRDefault="00E655B4">
      <w:pPr>
        <w:pStyle w:val="Corpodetexto"/>
        <w:spacing w:before="1"/>
        <w:ind w:right="417"/>
      </w:pPr>
      <w:r>
        <w:t>A</w:t>
      </w:r>
      <w:r>
        <w:rPr>
          <w:spacing w:val="-15"/>
        </w:rPr>
        <w:t xml:space="preserve"> </w:t>
      </w:r>
      <w:r>
        <w:t>respeito</w:t>
      </w:r>
      <w:r>
        <w:rPr>
          <w:spacing w:val="-15"/>
        </w:rPr>
        <w:t xml:space="preserve"> </w:t>
      </w:r>
      <w:r>
        <w:t>da</w:t>
      </w:r>
      <w:r>
        <w:rPr>
          <w:spacing w:val="-6"/>
        </w:rPr>
        <w:t xml:space="preserve"> </w:t>
      </w:r>
      <w:r>
        <w:t>impossibilidade</w:t>
      </w:r>
      <w:r>
        <w:rPr>
          <w:spacing w:val="-10"/>
        </w:rPr>
        <w:t xml:space="preserve"> </w:t>
      </w:r>
      <w:r>
        <w:t>de</w:t>
      </w:r>
      <w:r>
        <w:rPr>
          <w:spacing w:val="-7"/>
        </w:rPr>
        <w:t xml:space="preserve"> </w:t>
      </w:r>
      <w:r>
        <w:t>controle</w:t>
      </w:r>
      <w:r>
        <w:rPr>
          <w:spacing w:val="-8"/>
        </w:rPr>
        <w:t xml:space="preserve"> </w:t>
      </w:r>
      <w:r>
        <w:t>do</w:t>
      </w:r>
      <w:r>
        <w:rPr>
          <w:spacing w:val="-8"/>
        </w:rPr>
        <w:t xml:space="preserve"> </w:t>
      </w:r>
      <w:r>
        <w:t>mérito</w:t>
      </w:r>
      <w:r>
        <w:rPr>
          <w:spacing w:val="-8"/>
        </w:rPr>
        <w:t xml:space="preserve"> </w:t>
      </w:r>
      <w:r>
        <w:t>pelo</w:t>
      </w:r>
      <w:r>
        <w:rPr>
          <w:spacing w:val="-8"/>
        </w:rPr>
        <w:t xml:space="preserve"> </w:t>
      </w:r>
      <w:r>
        <w:t>Poder</w:t>
      </w:r>
      <w:r>
        <w:rPr>
          <w:spacing w:val="-11"/>
        </w:rPr>
        <w:t xml:space="preserve"> </w:t>
      </w:r>
      <w:r>
        <w:t>Judiciário,</w:t>
      </w:r>
      <w:r>
        <w:rPr>
          <w:spacing w:val="-8"/>
        </w:rPr>
        <w:t xml:space="preserve"> </w:t>
      </w:r>
      <w:r>
        <w:t>Maria</w:t>
      </w:r>
      <w:r>
        <w:rPr>
          <w:spacing w:val="-11"/>
        </w:rPr>
        <w:t xml:space="preserve"> </w:t>
      </w:r>
      <w:r>
        <w:t>Sylvia Zanella</w:t>
      </w:r>
      <w:r>
        <w:rPr>
          <w:spacing w:val="-5"/>
        </w:rPr>
        <w:t xml:space="preserve"> </w:t>
      </w:r>
      <w:r>
        <w:t>de</w:t>
      </w:r>
      <w:r>
        <w:rPr>
          <w:spacing w:val="-6"/>
        </w:rPr>
        <w:t xml:space="preserve"> </w:t>
      </w:r>
      <w:r>
        <w:t>Pietro</w:t>
      </w:r>
      <w:r>
        <w:rPr>
          <w:vertAlign w:val="superscript"/>
        </w:rPr>
        <w:t>40</w:t>
      </w:r>
      <w:r>
        <w:rPr>
          <w:spacing w:val="-1"/>
        </w:rPr>
        <w:t xml:space="preserve"> </w:t>
      </w:r>
      <w:r>
        <w:t>afirma que</w:t>
      </w:r>
      <w:r>
        <w:rPr>
          <w:spacing w:val="-6"/>
        </w:rPr>
        <w:t xml:space="preserve"> </w:t>
      </w:r>
      <w:r>
        <w:t>o</w:t>
      </w:r>
      <w:r>
        <w:rPr>
          <w:spacing w:val="-2"/>
        </w:rPr>
        <w:t xml:space="preserve"> </w:t>
      </w:r>
      <w:r>
        <w:t>que</w:t>
      </w:r>
      <w:r>
        <w:rPr>
          <w:spacing w:val="-6"/>
        </w:rPr>
        <w:t xml:space="preserve"> </w:t>
      </w:r>
      <w:r>
        <w:t>se</w:t>
      </w:r>
      <w:r>
        <w:rPr>
          <w:spacing w:val="-3"/>
        </w:rPr>
        <w:t xml:space="preserve"> </w:t>
      </w:r>
      <w:r>
        <w:t>controla</w:t>
      </w:r>
      <w:r>
        <w:rPr>
          <w:spacing w:val="-5"/>
        </w:rPr>
        <w:t xml:space="preserve"> </w:t>
      </w:r>
      <w:r>
        <w:t>não é</w:t>
      </w:r>
      <w:r>
        <w:rPr>
          <w:spacing w:val="-6"/>
        </w:rPr>
        <w:t xml:space="preserve"> </w:t>
      </w:r>
      <w:r>
        <w:t>propriamente</w:t>
      </w:r>
      <w:r>
        <w:rPr>
          <w:spacing w:val="-5"/>
        </w:rPr>
        <w:t xml:space="preserve"> </w:t>
      </w:r>
      <w:r>
        <w:t>o</w:t>
      </w:r>
      <w:r>
        <w:rPr>
          <w:spacing w:val="-2"/>
        </w:rPr>
        <w:t xml:space="preserve"> </w:t>
      </w:r>
      <w:r>
        <w:t>mérito, mas</w:t>
      </w:r>
      <w:r>
        <w:rPr>
          <w:spacing w:val="-3"/>
        </w:rPr>
        <w:t xml:space="preserve"> </w:t>
      </w:r>
      <w:r>
        <w:t>a</w:t>
      </w:r>
      <w:r>
        <w:rPr>
          <w:spacing w:val="-6"/>
        </w:rPr>
        <w:t xml:space="preserve"> </w:t>
      </w:r>
      <w:r>
        <w:t>legalidade da</w:t>
      </w:r>
      <w:r>
        <w:rPr>
          <w:spacing w:val="-9"/>
        </w:rPr>
        <w:t xml:space="preserve"> </w:t>
      </w:r>
      <w:r>
        <w:t>decisão</w:t>
      </w:r>
      <w:r>
        <w:rPr>
          <w:spacing w:val="-3"/>
        </w:rPr>
        <w:t xml:space="preserve"> </w:t>
      </w:r>
      <w:r>
        <w:t>administrativa.</w:t>
      </w:r>
      <w:r>
        <w:rPr>
          <w:spacing w:val="-4"/>
        </w:rPr>
        <w:t xml:space="preserve"> </w:t>
      </w:r>
      <w:r>
        <w:t>Deve</w:t>
      </w:r>
      <w:r>
        <w:rPr>
          <w:spacing w:val="-4"/>
        </w:rPr>
        <w:t xml:space="preserve"> </w:t>
      </w:r>
      <w:r>
        <w:t>o</w:t>
      </w:r>
      <w:r>
        <w:rPr>
          <w:spacing w:val="-6"/>
        </w:rPr>
        <w:t xml:space="preserve"> </w:t>
      </w:r>
      <w:r>
        <w:t>Poder</w:t>
      </w:r>
      <w:r>
        <w:rPr>
          <w:spacing w:val="-6"/>
        </w:rPr>
        <w:t xml:space="preserve"> </w:t>
      </w:r>
      <w:r>
        <w:t>Judiciário</w:t>
      </w:r>
      <w:r>
        <w:rPr>
          <w:spacing w:val="-1"/>
        </w:rPr>
        <w:t xml:space="preserve"> </w:t>
      </w:r>
      <w:r>
        <w:t>verificar</w:t>
      </w:r>
      <w:r>
        <w:rPr>
          <w:spacing w:val="-6"/>
        </w:rPr>
        <w:t xml:space="preserve"> </w:t>
      </w:r>
      <w:r>
        <w:t>se,</w:t>
      </w:r>
      <w:r>
        <w:rPr>
          <w:spacing w:val="-3"/>
        </w:rPr>
        <w:t xml:space="preserve"> </w:t>
      </w:r>
      <w:r>
        <w:t>ao</w:t>
      </w:r>
      <w:r>
        <w:rPr>
          <w:spacing w:val="-3"/>
        </w:rPr>
        <w:t xml:space="preserve"> </w:t>
      </w:r>
      <w:r>
        <w:t>decidir</w:t>
      </w:r>
      <w:r>
        <w:rPr>
          <w:spacing w:val="-8"/>
        </w:rPr>
        <w:t xml:space="preserve"> </w:t>
      </w:r>
      <w:r>
        <w:t>discricionariamente, a autoridade administrativa ultrapassou ou não os limites da discricionariedade. Segundo a autora as decisões que invalidam atos discricionários por vício de desvio de poder, por irrazoabilidade</w:t>
      </w:r>
      <w:r>
        <w:rPr>
          <w:spacing w:val="-12"/>
        </w:rPr>
        <w:t xml:space="preserve"> </w:t>
      </w:r>
      <w:r>
        <w:t>ou</w:t>
      </w:r>
      <w:r>
        <w:rPr>
          <w:spacing w:val="-9"/>
        </w:rPr>
        <w:t xml:space="preserve"> </w:t>
      </w:r>
      <w:r>
        <w:t>desproporcionalidade</w:t>
      </w:r>
      <w:r>
        <w:rPr>
          <w:spacing w:val="-12"/>
        </w:rPr>
        <w:t xml:space="preserve"> </w:t>
      </w:r>
      <w:r>
        <w:t>da</w:t>
      </w:r>
      <w:r>
        <w:rPr>
          <w:spacing w:val="-13"/>
        </w:rPr>
        <w:t xml:space="preserve"> </w:t>
      </w:r>
      <w:r>
        <w:t>decisão</w:t>
      </w:r>
      <w:r>
        <w:rPr>
          <w:spacing w:val="-8"/>
        </w:rPr>
        <w:t xml:space="preserve"> </w:t>
      </w:r>
      <w:r>
        <w:t>administrativa,</w:t>
      </w:r>
      <w:r>
        <w:rPr>
          <w:spacing w:val="-8"/>
        </w:rPr>
        <w:t xml:space="preserve"> </w:t>
      </w:r>
      <w:r>
        <w:t>por</w:t>
      </w:r>
      <w:r>
        <w:rPr>
          <w:spacing w:val="-10"/>
        </w:rPr>
        <w:t xml:space="preserve"> </w:t>
      </w:r>
      <w:r>
        <w:t>inexistência</w:t>
      </w:r>
      <w:r>
        <w:rPr>
          <w:spacing w:val="-9"/>
        </w:rPr>
        <w:t xml:space="preserve"> </w:t>
      </w:r>
      <w:r>
        <w:t>de</w:t>
      </w:r>
      <w:r>
        <w:rPr>
          <w:spacing w:val="-13"/>
        </w:rPr>
        <w:t xml:space="preserve"> </w:t>
      </w:r>
      <w:r>
        <w:t>motivos ou</w:t>
      </w:r>
      <w:r>
        <w:rPr>
          <w:spacing w:val="-7"/>
        </w:rPr>
        <w:t xml:space="preserve"> </w:t>
      </w:r>
      <w:r>
        <w:t>de</w:t>
      </w:r>
      <w:r>
        <w:rPr>
          <w:spacing w:val="-11"/>
        </w:rPr>
        <w:t xml:space="preserve"> </w:t>
      </w:r>
      <w:r>
        <w:t>motivação,</w:t>
      </w:r>
      <w:r>
        <w:rPr>
          <w:spacing w:val="-7"/>
        </w:rPr>
        <w:t xml:space="preserve"> </w:t>
      </w:r>
      <w:r>
        <w:t>por</w:t>
      </w:r>
      <w:r>
        <w:rPr>
          <w:spacing w:val="-8"/>
        </w:rPr>
        <w:t xml:space="preserve"> </w:t>
      </w:r>
      <w:r>
        <w:t>infringência</w:t>
      </w:r>
      <w:r>
        <w:rPr>
          <w:spacing w:val="-7"/>
        </w:rPr>
        <w:t xml:space="preserve"> </w:t>
      </w:r>
      <w:r>
        <w:t>a</w:t>
      </w:r>
      <w:r>
        <w:rPr>
          <w:spacing w:val="-11"/>
        </w:rPr>
        <w:t xml:space="preserve"> </w:t>
      </w:r>
      <w:r>
        <w:t>princípios</w:t>
      </w:r>
      <w:r>
        <w:rPr>
          <w:spacing w:val="-7"/>
        </w:rPr>
        <w:t xml:space="preserve"> </w:t>
      </w:r>
      <w:r>
        <w:t>como</w:t>
      </w:r>
      <w:r>
        <w:rPr>
          <w:spacing w:val="-7"/>
        </w:rPr>
        <w:t xml:space="preserve"> </w:t>
      </w:r>
      <w:r>
        <w:t>os</w:t>
      </w:r>
      <w:r>
        <w:rPr>
          <w:spacing w:val="-7"/>
        </w:rPr>
        <w:t xml:space="preserve"> </w:t>
      </w:r>
      <w:r>
        <w:t>da</w:t>
      </w:r>
      <w:r>
        <w:rPr>
          <w:spacing w:val="-11"/>
        </w:rPr>
        <w:t xml:space="preserve"> </w:t>
      </w:r>
      <w:r>
        <w:t>moralidade,</w:t>
      </w:r>
      <w:r>
        <w:rPr>
          <w:spacing w:val="-7"/>
        </w:rPr>
        <w:t xml:space="preserve"> </w:t>
      </w:r>
      <w:r>
        <w:t>segurança</w:t>
      </w:r>
      <w:r>
        <w:rPr>
          <w:spacing w:val="-7"/>
        </w:rPr>
        <w:t xml:space="preserve"> </w:t>
      </w:r>
      <w:r>
        <w:t>jurídica,</w:t>
      </w:r>
      <w:r>
        <w:rPr>
          <w:spacing w:val="-7"/>
        </w:rPr>
        <w:t xml:space="preserve"> </w:t>
      </w:r>
      <w:r>
        <w:t>boa- fé,</w:t>
      </w:r>
      <w:r>
        <w:rPr>
          <w:spacing w:val="-10"/>
        </w:rPr>
        <w:t xml:space="preserve"> </w:t>
      </w:r>
      <w:r>
        <w:t>não</w:t>
      </w:r>
      <w:r>
        <w:rPr>
          <w:spacing w:val="-7"/>
        </w:rPr>
        <w:t xml:space="preserve"> </w:t>
      </w:r>
      <w:r>
        <w:t>estão</w:t>
      </w:r>
      <w:r>
        <w:rPr>
          <w:spacing w:val="-7"/>
        </w:rPr>
        <w:t xml:space="preserve"> </w:t>
      </w:r>
      <w:r>
        <w:t>controlando</w:t>
      </w:r>
      <w:r>
        <w:rPr>
          <w:spacing w:val="-2"/>
        </w:rPr>
        <w:t xml:space="preserve"> </w:t>
      </w:r>
      <w:r>
        <w:t>o</w:t>
      </w:r>
      <w:r>
        <w:rPr>
          <w:spacing w:val="-7"/>
        </w:rPr>
        <w:t xml:space="preserve"> </w:t>
      </w:r>
      <w:r>
        <w:t>mérito,</w:t>
      </w:r>
      <w:r>
        <w:rPr>
          <w:spacing w:val="-9"/>
        </w:rPr>
        <w:t xml:space="preserve"> </w:t>
      </w:r>
      <w:r>
        <w:t>mas</w:t>
      </w:r>
      <w:r>
        <w:rPr>
          <w:spacing w:val="-7"/>
        </w:rPr>
        <w:t xml:space="preserve"> </w:t>
      </w:r>
      <w:r>
        <w:t>a</w:t>
      </w:r>
      <w:r>
        <w:rPr>
          <w:spacing w:val="-13"/>
        </w:rPr>
        <w:t xml:space="preserve"> </w:t>
      </w:r>
      <w:r>
        <w:t>legalidade</w:t>
      </w:r>
      <w:r>
        <w:rPr>
          <w:spacing w:val="-12"/>
        </w:rPr>
        <w:t xml:space="preserve"> </w:t>
      </w:r>
      <w:r>
        <w:t>do</w:t>
      </w:r>
      <w:r>
        <w:rPr>
          <w:spacing w:val="-5"/>
        </w:rPr>
        <w:t xml:space="preserve"> </w:t>
      </w:r>
      <w:r>
        <w:t>ato</w:t>
      </w:r>
      <w:r>
        <w:rPr>
          <w:spacing w:val="39"/>
        </w:rPr>
        <w:t xml:space="preserve"> </w:t>
      </w:r>
      <w:r>
        <w:t>–</w:t>
      </w:r>
      <w:r>
        <w:rPr>
          <w:spacing w:val="-7"/>
        </w:rPr>
        <w:t xml:space="preserve"> </w:t>
      </w:r>
      <w:r>
        <w:t>ressalta-se,</w:t>
      </w:r>
      <w:r>
        <w:rPr>
          <w:spacing w:val="-5"/>
        </w:rPr>
        <w:t xml:space="preserve"> </w:t>
      </w:r>
      <w:r>
        <w:t>contudo,</w:t>
      </w:r>
      <w:r>
        <w:rPr>
          <w:spacing w:val="-8"/>
        </w:rPr>
        <w:t xml:space="preserve"> </w:t>
      </w:r>
      <w:r>
        <w:t>que</w:t>
      </w:r>
      <w:r>
        <w:rPr>
          <w:spacing w:val="-11"/>
        </w:rPr>
        <w:t xml:space="preserve"> </w:t>
      </w:r>
      <w:r>
        <w:t>segundo a teoria neoconstitucionalista, o juízo de compatibilidade do ato administrativo deve ser realizado, na verdade, com todo o Direito globalmente considerado e não somente com a lei.</w:t>
      </w:r>
    </w:p>
    <w:p w:rsidR="007259F2" w:rsidRDefault="00E655B4">
      <w:pPr>
        <w:pStyle w:val="Corpodetexto"/>
        <w:ind w:right="419"/>
      </w:pPr>
      <w:r>
        <w:t>Portanto,</w:t>
      </w:r>
      <w:r>
        <w:rPr>
          <w:spacing w:val="-15"/>
        </w:rPr>
        <w:t xml:space="preserve"> </w:t>
      </w:r>
      <w:r>
        <w:t>se</w:t>
      </w:r>
      <w:r>
        <w:rPr>
          <w:spacing w:val="-15"/>
        </w:rPr>
        <w:t xml:space="preserve"> </w:t>
      </w:r>
      <w:r>
        <w:t>a</w:t>
      </w:r>
      <w:r>
        <w:rPr>
          <w:spacing w:val="-15"/>
        </w:rPr>
        <w:t xml:space="preserve"> </w:t>
      </w:r>
      <w:r>
        <w:t>autoridade</w:t>
      </w:r>
      <w:r>
        <w:rPr>
          <w:spacing w:val="-15"/>
        </w:rPr>
        <w:t xml:space="preserve"> </w:t>
      </w:r>
      <w:r>
        <w:t>administrativa</w:t>
      </w:r>
      <w:r>
        <w:rPr>
          <w:spacing w:val="-15"/>
        </w:rPr>
        <w:t xml:space="preserve"> </w:t>
      </w:r>
      <w:r>
        <w:t>escolheu,</w:t>
      </w:r>
      <w:r>
        <w:rPr>
          <w:spacing w:val="-15"/>
        </w:rPr>
        <w:t xml:space="preserve"> </w:t>
      </w:r>
      <w:r>
        <w:t>sem</w:t>
      </w:r>
      <w:r>
        <w:rPr>
          <w:spacing w:val="-15"/>
        </w:rPr>
        <w:t xml:space="preserve"> </w:t>
      </w:r>
      <w:r>
        <w:t>dolo</w:t>
      </w:r>
      <w:r>
        <w:rPr>
          <w:spacing w:val="-15"/>
        </w:rPr>
        <w:t xml:space="preserve"> </w:t>
      </w:r>
      <w:r>
        <w:t>ou</w:t>
      </w:r>
      <w:r>
        <w:rPr>
          <w:spacing w:val="-15"/>
        </w:rPr>
        <w:t xml:space="preserve"> </w:t>
      </w:r>
      <w:r>
        <w:t>erro,</w:t>
      </w:r>
      <w:r>
        <w:rPr>
          <w:spacing w:val="-15"/>
        </w:rPr>
        <w:t xml:space="preserve"> </w:t>
      </w:r>
      <w:r>
        <w:t>uma</w:t>
      </w:r>
      <w:r>
        <w:rPr>
          <w:spacing w:val="-15"/>
        </w:rPr>
        <w:t xml:space="preserve"> </w:t>
      </w:r>
      <w:r>
        <w:t>das</w:t>
      </w:r>
      <w:r>
        <w:rPr>
          <w:spacing w:val="-15"/>
        </w:rPr>
        <w:t xml:space="preserve"> </w:t>
      </w:r>
      <w:r>
        <w:t>alternativas objetivamente</w:t>
      </w:r>
      <w:r>
        <w:rPr>
          <w:spacing w:val="-15"/>
        </w:rPr>
        <w:t xml:space="preserve"> </w:t>
      </w:r>
      <w:r>
        <w:t>ótimas</w:t>
      </w:r>
      <w:r>
        <w:rPr>
          <w:spacing w:val="-14"/>
        </w:rPr>
        <w:t xml:space="preserve"> </w:t>
      </w:r>
      <w:r>
        <w:t>segundo</w:t>
      </w:r>
      <w:r>
        <w:rPr>
          <w:spacing w:val="-14"/>
        </w:rPr>
        <w:t xml:space="preserve"> </w:t>
      </w:r>
      <w:r>
        <w:t>o</w:t>
      </w:r>
      <w:r>
        <w:rPr>
          <w:spacing w:val="-14"/>
        </w:rPr>
        <w:t xml:space="preserve"> </w:t>
      </w:r>
      <w:r>
        <w:t>Direito,</w:t>
      </w:r>
      <w:r>
        <w:rPr>
          <w:spacing w:val="-14"/>
        </w:rPr>
        <w:t xml:space="preserve"> </w:t>
      </w:r>
      <w:r>
        <w:t>não</w:t>
      </w:r>
      <w:r>
        <w:rPr>
          <w:spacing w:val="-11"/>
        </w:rPr>
        <w:t xml:space="preserve"> </w:t>
      </w:r>
      <w:r>
        <w:t>cabe</w:t>
      </w:r>
      <w:r>
        <w:rPr>
          <w:spacing w:val="-13"/>
        </w:rPr>
        <w:t xml:space="preserve"> </w:t>
      </w:r>
      <w:r>
        <w:t>ao</w:t>
      </w:r>
      <w:r>
        <w:rPr>
          <w:spacing w:val="-14"/>
        </w:rPr>
        <w:t xml:space="preserve"> </w:t>
      </w:r>
      <w:r>
        <w:t>Poder</w:t>
      </w:r>
      <w:r>
        <w:rPr>
          <w:spacing w:val="-15"/>
        </w:rPr>
        <w:t xml:space="preserve"> </w:t>
      </w:r>
      <w:r>
        <w:t>Judiciário</w:t>
      </w:r>
      <w:r>
        <w:rPr>
          <w:spacing w:val="-13"/>
        </w:rPr>
        <w:t xml:space="preserve"> </w:t>
      </w:r>
      <w:r>
        <w:t>substituir</w:t>
      </w:r>
      <w:r>
        <w:rPr>
          <w:spacing w:val="-14"/>
        </w:rPr>
        <w:t xml:space="preserve"> </w:t>
      </w:r>
      <w:r>
        <w:t>o</w:t>
      </w:r>
      <w:r>
        <w:rPr>
          <w:spacing w:val="-14"/>
        </w:rPr>
        <w:t xml:space="preserve"> </w:t>
      </w:r>
      <w:r>
        <w:t>juízo</w:t>
      </w:r>
      <w:r>
        <w:rPr>
          <w:spacing w:val="-14"/>
        </w:rPr>
        <w:t xml:space="preserve"> </w:t>
      </w:r>
      <w:r>
        <w:t>de</w:t>
      </w:r>
      <w:r>
        <w:rPr>
          <w:spacing w:val="-15"/>
        </w:rPr>
        <w:t xml:space="preserve"> </w:t>
      </w:r>
      <w:r>
        <w:t>valor realizado pelo administrador com base em suas convicções e visões de mundo. Conforme aponta</w:t>
      </w:r>
      <w:r>
        <w:rPr>
          <w:spacing w:val="-2"/>
        </w:rPr>
        <w:t xml:space="preserve"> </w:t>
      </w:r>
      <w:r>
        <w:t>Ricardo</w:t>
      </w:r>
      <w:r>
        <w:rPr>
          <w:spacing w:val="-1"/>
        </w:rPr>
        <w:t xml:space="preserve"> </w:t>
      </w:r>
      <w:r>
        <w:t>Marcondes Martins</w:t>
      </w:r>
      <w:r>
        <w:rPr>
          <w:vertAlign w:val="superscript"/>
        </w:rPr>
        <w:t>41</w:t>
      </w:r>
      <w:r>
        <w:t>,</w:t>
      </w:r>
      <w:r>
        <w:rPr>
          <w:spacing w:val="-1"/>
        </w:rPr>
        <w:t xml:space="preserve"> </w:t>
      </w:r>
      <w:r>
        <w:t>o</w:t>
      </w:r>
      <w:r>
        <w:rPr>
          <w:spacing w:val="-1"/>
        </w:rPr>
        <w:t xml:space="preserve"> </w:t>
      </w:r>
      <w:r>
        <w:t>controle</w:t>
      </w:r>
      <w:r>
        <w:rPr>
          <w:spacing w:val="-1"/>
        </w:rPr>
        <w:t xml:space="preserve"> </w:t>
      </w:r>
      <w:r>
        <w:t>de</w:t>
      </w:r>
      <w:r>
        <w:rPr>
          <w:spacing w:val="-2"/>
        </w:rPr>
        <w:t xml:space="preserve"> </w:t>
      </w:r>
      <w:r>
        <w:t>mérito,</w:t>
      </w:r>
      <w:r>
        <w:rPr>
          <w:spacing w:val="-1"/>
        </w:rPr>
        <w:t xml:space="preserve"> </w:t>
      </w:r>
      <w:r>
        <w:t>na</w:t>
      </w:r>
      <w:r>
        <w:rPr>
          <w:spacing w:val="-2"/>
        </w:rPr>
        <w:t xml:space="preserve"> </w:t>
      </w:r>
      <w:r>
        <w:t>verdade,</w:t>
      </w:r>
      <w:r>
        <w:rPr>
          <w:spacing w:val="-1"/>
        </w:rPr>
        <w:t xml:space="preserve"> </w:t>
      </w:r>
      <w:r>
        <w:t>decorre</w:t>
      </w:r>
      <w:r>
        <w:rPr>
          <w:spacing w:val="-4"/>
        </w:rPr>
        <w:t xml:space="preserve"> </w:t>
      </w:r>
      <w:r>
        <w:t>da</w:t>
      </w:r>
      <w:r>
        <w:rPr>
          <w:spacing w:val="-2"/>
        </w:rPr>
        <w:t xml:space="preserve"> </w:t>
      </w:r>
      <w:r>
        <w:t>hipótese</w:t>
      </w:r>
      <w:r>
        <w:rPr>
          <w:spacing w:val="-1"/>
        </w:rPr>
        <w:t xml:space="preserve"> </w:t>
      </w:r>
      <w:r>
        <w:t>na qual o próprio sistema normativo atribui a uma autoridade a prerrogativa de controlar o juízo de conveniência e oportunidade realizado pelo administrador, ao passo que o controle de legitimidade (ou controle de juridicidade), compreende o juízo de compatibilidade entre ato possui algum vício, ou melhor, se contraria o Direito de alguma forma.</w:t>
      </w:r>
    </w:p>
    <w:p w:rsidR="007259F2" w:rsidRDefault="00E655B4">
      <w:pPr>
        <w:pStyle w:val="Heading2"/>
        <w:numPr>
          <w:ilvl w:val="0"/>
          <w:numId w:val="23"/>
        </w:numPr>
        <w:tabs>
          <w:tab w:val="left" w:pos="1778"/>
        </w:tabs>
        <w:spacing w:before="206"/>
        <w:ind w:left="1778" w:right="560" w:hanging="360"/>
      </w:pPr>
      <w:r>
        <w:t>O</w:t>
      </w:r>
      <w:r>
        <w:rPr>
          <w:spacing w:val="40"/>
        </w:rPr>
        <w:t xml:space="preserve"> </w:t>
      </w:r>
      <w:r>
        <w:t>controle</w:t>
      </w:r>
      <w:r>
        <w:rPr>
          <w:spacing w:val="40"/>
        </w:rPr>
        <w:t xml:space="preserve"> </w:t>
      </w:r>
      <w:r>
        <w:t>da</w:t>
      </w:r>
      <w:r>
        <w:rPr>
          <w:spacing w:val="40"/>
        </w:rPr>
        <w:t xml:space="preserve"> </w:t>
      </w:r>
      <w:r>
        <w:t>discricionariedade</w:t>
      </w:r>
      <w:r>
        <w:rPr>
          <w:spacing w:val="40"/>
        </w:rPr>
        <w:t xml:space="preserve"> </w:t>
      </w:r>
      <w:r>
        <w:t>administrativa</w:t>
      </w:r>
      <w:r>
        <w:rPr>
          <w:spacing w:val="40"/>
        </w:rPr>
        <w:t xml:space="preserve"> </w:t>
      </w:r>
      <w:r>
        <w:t>e</w:t>
      </w:r>
      <w:r>
        <w:rPr>
          <w:spacing w:val="39"/>
        </w:rPr>
        <w:t xml:space="preserve"> </w:t>
      </w:r>
      <w:r>
        <w:t>a</w:t>
      </w:r>
      <w:r>
        <w:rPr>
          <w:spacing w:val="40"/>
        </w:rPr>
        <w:t xml:space="preserve"> </w:t>
      </w:r>
      <w:r>
        <w:t>garantia</w:t>
      </w:r>
      <w:r>
        <w:rPr>
          <w:spacing w:val="40"/>
        </w:rPr>
        <w:t xml:space="preserve"> </w:t>
      </w:r>
      <w:r>
        <w:t>do</w:t>
      </w:r>
      <w:r>
        <w:rPr>
          <w:spacing w:val="40"/>
        </w:rPr>
        <w:t xml:space="preserve"> </w:t>
      </w:r>
      <w:r>
        <w:t>direito</w:t>
      </w:r>
      <w:r>
        <w:rPr>
          <w:spacing w:val="40"/>
        </w:rPr>
        <w:t xml:space="preserve"> </w:t>
      </w:r>
      <w:r>
        <w:t xml:space="preserve">à </w:t>
      </w:r>
      <w:r>
        <w:rPr>
          <w:spacing w:val="-2"/>
        </w:rPr>
        <w:t>saúde</w:t>
      </w:r>
    </w:p>
    <w:p w:rsidR="007259F2" w:rsidRDefault="00E655B4">
      <w:pPr>
        <w:pStyle w:val="Corpodetexto"/>
        <w:spacing w:before="115"/>
        <w:ind w:right="423"/>
        <w:rPr>
          <w:i/>
        </w:rPr>
      </w:pPr>
      <w:r>
        <w:t>Uma das consequências da eleição do direito à saúde ao rol dos direitos fundamentais pela</w:t>
      </w:r>
      <w:r>
        <w:rPr>
          <w:spacing w:val="13"/>
        </w:rPr>
        <w:t xml:space="preserve"> </w:t>
      </w:r>
      <w:r>
        <w:t>Constituição</w:t>
      </w:r>
      <w:r>
        <w:rPr>
          <w:spacing w:val="16"/>
        </w:rPr>
        <w:t xml:space="preserve"> </w:t>
      </w:r>
      <w:r>
        <w:t>Federal</w:t>
      </w:r>
      <w:r>
        <w:rPr>
          <w:spacing w:val="17"/>
        </w:rPr>
        <w:t xml:space="preserve"> </w:t>
      </w:r>
      <w:r>
        <w:t>é</w:t>
      </w:r>
      <w:r>
        <w:rPr>
          <w:spacing w:val="15"/>
        </w:rPr>
        <w:t xml:space="preserve"> </w:t>
      </w:r>
      <w:r>
        <w:t>que</w:t>
      </w:r>
      <w:r>
        <w:rPr>
          <w:spacing w:val="16"/>
        </w:rPr>
        <w:t xml:space="preserve"> </w:t>
      </w:r>
      <w:r>
        <w:t>a</w:t>
      </w:r>
      <w:r>
        <w:rPr>
          <w:spacing w:val="15"/>
        </w:rPr>
        <w:t xml:space="preserve"> </w:t>
      </w:r>
      <w:r>
        <w:t>sua</w:t>
      </w:r>
      <w:r>
        <w:rPr>
          <w:spacing w:val="15"/>
        </w:rPr>
        <w:t xml:space="preserve"> </w:t>
      </w:r>
      <w:r>
        <w:t>interpretação</w:t>
      </w:r>
      <w:r>
        <w:rPr>
          <w:spacing w:val="16"/>
        </w:rPr>
        <w:t xml:space="preserve"> </w:t>
      </w:r>
      <w:r>
        <w:t>deve</w:t>
      </w:r>
      <w:r>
        <w:rPr>
          <w:spacing w:val="15"/>
        </w:rPr>
        <w:t xml:space="preserve"> </w:t>
      </w:r>
      <w:r>
        <w:t>se</w:t>
      </w:r>
      <w:r>
        <w:rPr>
          <w:spacing w:val="17"/>
        </w:rPr>
        <w:t xml:space="preserve"> </w:t>
      </w:r>
      <w:r>
        <w:t>pautar</w:t>
      </w:r>
      <w:r>
        <w:rPr>
          <w:spacing w:val="17"/>
        </w:rPr>
        <w:t xml:space="preserve"> </w:t>
      </w:r>
      <w:r>
        <w:t>pelo</w:t>
      </w:r>
      <w:r>
        <w:rPr>
          <w:spacing w:val="17"/>
        </w:rPr>
        <w:t xml:space="preserve"> </w:t>
      </w:r>
      <w:r>
        <w:t>princípio</w:t>
      </w:r>
      <w:r>
        <w:rPr>
          <w:spacing w:val="16"/>
        </w:rPr>
        <w:t xml:space="preserve"> </w:t>
      </w:r>
      <w:r>
        <w:t>da</w:t>
      </w:r>
      <w:r>
        <w:rPr>
          <w:spacing w:val="25"/>
        </w:rPr>
        <w:t xml:space="preserve"> </w:t>
      </w:r>
      <w:r>
        <w:rPr>
          <w:i/>
          <w:spacing w:val="-2"/>
        </w:rPr>
        <w:t>máxima</w:t>
      </w:r>
    </w:p>
    <w:p w:rsidR="007259F2" w:rsidRDefault="007259F2">
      <w:pPr>
        <w:pStyle w:val="Corpodetexto"/>
        <w:ind w:left="0" w:firstLine="0"/>
        <w:jc w:val="left"/>
        <w:rPr>
          <w:i/>
          <w:sz w:val="20"/>
        </w:rPr>
      </w:pPr>
    </w:p>
    <w:p w:rsidR="007259F2" w:rsidRDefault="007259F2">
      <w:pPr>
        <w:pStyle w:val="Corpodetexto"/>
        <w:ind w:left="0" w:firstLine="0"/>
        <w:jc w:val="left"/>
        <w:rPr>
          <w:i/>
          <w:sz w:val="20"/>
        </w:rPr>
      </w:pPr>
    </w:p>
    <w:p w:rsidR="007259F2" w:rsidRDefault="00DE6B1C">
      <w:pPr>
        <w:pStyle w:val="Corpodetexto"/>
        <w:spacing w:before="71"/>
        <w:ind w:left="0" w:firstLine="0"/>
        <w:jc w:val="left"/>
        <w:rPr>
          <w:i/>
          <w:sz w:val="20"/>
        </w:rPr>
      </w:pPr>
      <w:r w:rsidRPr="00DE6B1C">
        <w:rPr>
          <w:i/>
          <w:sz w:val="20"/>
        </w:rPr>
        <w:pict>
          <v:rect id="docshape145" o:spid="_x0000_s1082" style="position:absolute;margin-left:85.1pt;margin-top:16.3pt;width:2in;height:.7pt;z-index:-15664640;mso-wrap-distance-left:0;mso-wrap-distance-right:0;mso-position-horizontal-relative:page" fillcolor="black" stroked="f">
            <w10:wrap type="topAndBottom" anchorx="page"/>
          </v:rect>
        </w:pict>
      </w:r>
    </w:p>
    <w:p w:rsidR="007259F2" w:rsidRDefault="00E655B4">
      <w:pPr>
        <w:spacing w:before="96"/>
        <w:ind w:left="710"/>
        <w:rPr>
          <w:sz w:val="20"/>
        </w:rPr>
      </w:pPr>
      <w:r>
        <w:rPr>
          <w:sz w:val="20"/>
          <w:vertAlign w:val="superscript"/>
        </w:rPr>
        <w:t>37</w:t>
      </w:r>
      <w:r>
        <w:rPr>
          <w:spacing w:val="-8"/>
          <w:sz w:val="20"/>
        </w:rPr>
        <w:t xml:space="preserve"> </w:t>
      </w:r>
      <w:r>
        <w:rPr>
          <w:sz w:val="20"/>
        </w:rPr>
        <w:t>DI</w:t>
      </w:r>
      <w:r>
        <w:rPr>
          <w:spacing w:val="-2"/>
          <w:sz w:val="20"/>
        </w:rPr>
        <w:t xml:space="preserve"> </w:t>
      </w:r>
      <w:r>
        <w:rPr>
          <w:sz w:val="20"/>
        </w:rPr>
        <w:t>PIETRO,</w:t>
      </w:r>
      <w:r>
        <w:rPr>
          <w:spacing w:val="-1"/>
          <w:sz w:val="20"/>
        </w:rPr>
        <w:t xml:space="preserve"> </w:t>
      </w:r>
      <w:r>
        <w:rPr>
          <w:i/>
          <w:sz w:val="20"/>
        </w:rPr>
        <w:t>op.</w:t>
      </w:r>
      <w:r>
        <w:rPr>
          <w:i/>
          <w:spacing w:val="-3"/>
          <w:sz w:val="20"/>
        </w:rPr>
        <w:t xml:space="preserve"> </w:t>
      </w:r>
      <w:r>
        <w:rPr>
          <w:i/>
          <w:sz w:val="20"/>
        </w:rPr>
        <w:t>cit</w:t>
      </w:r>
      <w:r>
        <w:rPr>
          <w:sz w:val="20"/>
        </w:rPr>
        <w:t>.,</w:t>
      </w:r>
      <w:r>
        <w:rPr>
          <w:spacing w:val="-5"/>
          <w:sz w:val="20"/>
        </w:rPr>
        <w:t xml:space="preserve"> </w:t>
      </w:r>
      <w:r>
        <w:rPr>
          <w:sz w:val="20"/>
        </w:rPr>
        <w:t>p.</w:t>
      </w:r>
      <w:r>
        <w:rPr>
          <w:spacing w:val="-3"/>
          <w:sz w:val="20"/>
        </w:rPr>
        <w:t xml:space="preserve"> </w:t>
      </w:r>
      <w:r>
        <w:rPr>
          <w:spacing w:val="-4"/>
          <w:sz w:val="20"/>
        </w:rPr>
        <w:t>225.</w:t>
      </w:r>
    </w:p>
    <w:p w:rsidR="007259F2" w:rsidRDefault="00E655B4">
      <w:pPr>
        <w:spacing w:before="1"/>
        <w:ind w:left="710" w:right="423"/>
        <w:jc w:val="both"/>
        <w:rPr>
          <w:sz w:val="20"/>
        </w:rPr>
      </w:pPr>
      <w:r>
        <w:rPr>
          <w:sz w:val="20"/>
          <w:vertAlign w:val="superscript"/>
        </w:rPr>
        <w:t>38</w:t>
      </w:r>
      <w:r>
        <w:rPr>
          <w:sz w:val="20"/>
        </w:rPr>
        <w:t xml:space="preserve"> Mérito do ato é o campo de liberdade suposto na lei e que efetivamente venha a remanescer no caso concreto, para que o administrador, segundo critérios de conveniência e oportunidade, decida-se entre duas ou mais soluções admissíveis perante a situação vertente, tendo em vista o exato atendimento da finalidade legal, ante a impossibilidade de ser objetivamente identificada qual delas seria a única adequada.</w:t>
      </w:r>
    </w:p>
    <w:p w:rsidR="007259F2" w:rsidRDefault="00E655B4">
      <w:pPr>
        <w:ind w:left="710" w:right="419"/>
        <w:jc w:val="both"/>
        <w:rPr>
          <w:sz w:val="20"/>
        </w:rPr>
      </w:pPr>
      <w:r>
        <w:rPr>
          <w:sz w:val="20"/>
          <w:vertAlign w:val="superscript"/>
        </w:rPr>
        <w:t>39</w:t>
      </w:r>
      <w:r>
        <w:rPr>
          <w:sz w:val="20"/>
        </w:rPr>
        <w:t xml:space="preserve"> Trata-se de um</w:t>
      </w:r>
      <w:r>
        <w:rPr>
          <w:spacing w:val="-1"/>
          <w:sz w:val="20"/>
        </w:rPr>
        <w:t xml:space="preserve"> </w:t>
      </w:r>
      <w:r>
        <w:rPr>
          <w:sz w:val="20"/>
        </w:rPr>
        <w:t>juízo sobre a conveniência – se é o caso de</w:t>
      </w:r>
      <w:r>
        <w:rPr>
          <w:spacing w:val="-2"/>
          <w:sz w:val="20"/>
        </w:rPr>
        <w:t xml:space="preserve"> </w:t>
      </w:r>
      <w:r>
        <w:rPr>
          <w:sz w:val="20"/>
        </w:rPr>
        <w:t>editar o ato com</w:t>
      </w:r>
      <w:r>
        <w:rPr>
          <w:spacing w:val="-1"/>
          <w:sz w:val="20"/>
        </w:rPr>
        <w:t xml:space="preserve"> </w:t>
      </w:r>
      <w:r>
        <w:rPr>
          <w:sz w:val="20"/>
        </w:rPr>
        <w:t>um ou outro conteúdo – ou de um juízo de oportunidade – se é o caso de editar o ato em</w:t>
      </w:r>
      <w:r>
        <w:rPr>
          <w:spacing w:val="-1"/>
          <w:sz w:val="20"/>
        </w:rPr>
        <w:t xml:space="preserve"> </w:t>
      </w:r>
      <w:r>
        <w:rPr>
          <w:sz w:val="20"/>
        </w:rPr>
        <w:t xml:space="preserve">um ou outro momento ou não o editar. (MARTINS, 2024, </w:t>
      </w:r>
      <w:r>
        <w:rPr>
          <w:i/>
          <w:sz w:val="20"/>
        </w:rPr>
        <w:t>op. cit.</w:t>
      </w:r>
      <w:r>
        <w:rPr>
          <w:sz w:val="20"/>
        </w:rPr>
        <w:t>)</w:t>
      </w:r>
    </w:p>
    <w:p w:rsidR="007259F2" w:rsidRDefault="00E655B4">
      <w:pPr>
        <w:spacing w:before="1"/>
        <w:ind w:left="710"/>
        <w:rPr>
          <w:sz w:val="20"/>
        </w:rPr>
      </w:pPr>
      <w:r>
        <w:rPr>
          <w:sz w:val="20"/>
          <w:vertAlign w:val="superscript"/>
        </w:rPr>
        <w:t>40</w:t>
      </w:r>
      <w:r>
        <w:rPr>
          <w:spacing w:val="-9"/>
          <w:sz w:val="20"/>
        </w:rPr>
        <w:t xml:space="preserve"> </w:t>
      </w:r>
      <w:r>
        <w:rPr>
          <w:sz w:val="20"/>
        </w:rPr>
        <w:t>DI</w:t>
      </w:r>
      <w:r>
        <w:rPr>
          <w:spacing w:val="-4"/>
          <w:sz w:val="20"/>
        </w:rPr>
        <w:t xml:space="preserve"> </w:t>
      </w:r>
      <w:r>
        <w:rPr>
          <w:sz w:val="20"/>
        </w:rPr>
        <w:t>PIETRO,</w:t>
      </w:r>
      <w:r>
        <w:rPr>
          <w:spacing w:val="-2"/>
          <w:sz w:val="20"/>
        </w:rPr>
        <w:t xml:space="preserve"> </w:t>
      </w:r>
      <w:r>
        <w:rPr>
          <w:i/>
          <w:sz w:val="20"/>
        </w:rPr>
        <w:t>op.cit</w:t>
      </w:r>
      <w:r>
        <w:rPr>
          <w:sz w:val="20"/>
        </w:rPr>
        <w:t>.,</w:t>
      </w:r>
      <w:r>
        <w:rPr>
          <w:spacing w:val="-3"/>
          <w:sz w:val="20"/>
        </w:rPr>
        <w:t xml:space="preserve"> </w:t>
      </w:r>
      <w:r>
        <w:rPr>
          <w:sz w:val="20"/>
        </w:rPr>
        <w:t>p.</w:t>
      </w:r>
      <w:r>
        <w:rPr>
          <w:spacing w:val="-4"/>
          <w:sz w:val="20"/>
        </w:rPr>
        <w:t xml:space="preserve"> 228.</w:t>
      </w:r>
    </w:p>
    <w:p w:rsidR="007259F2" w:rsidRDefault="00E655B4">
      <w:pPr>
        <w:ind w:left="710"/>
        <w:rPr>
          <w:sz w:val="20"/>
        </w:rPr>
      </w:pPr>
      <w:r>
        <w:rPr>
          <w:sz w:val="20"/>
          <w:vertAlign w:val="superscript"/>
        </w:rPr>
        <w:t>41</w:t>
      </w:r>
      <w:r>
        <w:rPr>
          <w:spacing w:val="-9"/>
          <w:sz w:val="20"/>
        </w:rPr>
        <w:t xml:space="preserve"> </w:t>
      </w:r>
      <w:r>
        <w:rPr>
          <w:sz w:val="20"/>
        </w:rPr>
        <w:t>MARTINS,</w:t>
      </w:r>
      <w:r>
        <w:rPr>
          <w:spacing w:val="-5"/>
          <w:sz w:val="20"/>
        </w:rPr>
        <w:t xml:space="preserve"> </w:t>
      </w:r>
      <w:r>
        <w:rPr>
          <w:sz w:val="20"/>
        </w:rPr>
        <w:t>2024,</w:t>
      </w:r>
      <w:r>
        <w:rPr>
          <w:spacing w:val="-2"/>
          <w:sz w:val="20"/>
        </w:rPr>
        <w:t xml:space="preserve"> </w:t>
      </w:r>
      <w:r>
        <w:rPr>
          <w:i/>
          <w:sz w:val="20"/>
        </w:rPr>
        <w:t>op.</w:t>
      </w:r>
      <w:r>
        <w:rPr>
          <w:i/>
          <w:spacing w:val="-4"/>
          <w:sz w:val="20"/>
        </w:rPr>
        <w:t xml:space="preserve"> cit</w:t>
      </w:r>
      <w:r>
        <w:rPr>
          <w:spacing w:val="-4"/>
          <w:sz w:val="20"/>
        </w:rPr>
        <w:t>.</w:t>
      </w:r>
    </w:p>
    <w:p w:rsidR="007259F2" w:rsidRDefault="007259F2">
      <w:pPr>
        <w:rPr>
          <w:sz w:val="20"/>
        </w:rPr>
        <w:sectPr w:rsidR="007259F2">
          <w:pgSz w:w="11910" w:h="16840"/>
          <w:pgMar w:top="1560" w:right="708" w:bottom="1020" w:left="992" w:header="0" w:footer="820" w:gutter="0"/>
          <w:cols w:space="720"/>
        </w:sectPr>
      </w:pPr>
    </w:p>
    <w:p w:rsidR="007259F2" w:rsidRDefault="00E655B4">
      <w:pPr>
        <w:pStyle w:val="Corpodetexto"/>
        <w:spacing w:before="115"/>
        <w:ind w:right="421" w:firstLine="0"/>
      </w:pPr>
      <w:r>
        <w:rPr>
          <w:i/>
        </w:rPr>
        <w:lastRenderedPageBreak/>
        <w:t>efetividad</w:t>
      </w:r>
      <w:r>
        <w:t>e.</w:t>
      </w:r>
      <w:r>
        <w:rPr>
          <w:vertAlign w:val="superscript"/>
        </w:rPr>
        <w:t>42</w:t>
      </w:r>
      <w:r>
        <w:rPr>
          <w:spacing w:val="-15"/>
        </w:rPr>
        <w:t xml:space="preserve"> </w:t>
      </w:r>
      <w:r>
        <w:t>Este</w:t>
      </w:r>
      <w:r>
        <w:rPr>
          <w:spacing w:val="-15"/>
        </w:rPr>
        <w:t xml:space="preserve"> </w:t>
      </w:r>
      <w:r>
        <w:t>princípio</w:t>
      </w:r>
      <w:r>
        <w:rPr>
          <w:spacing w:val="-15"/>
        </w:rPr>
        <w:t xml:space="preserve"> </w:t>
      </w:r>
      <w:r>
        <w:t>exige</w:t>
      </w:r>
      <w:r>
        <w:rPr>
          <w:spacing w:val="-15"/>
        </w:rPr>
        <w:t xml:space="preserve"> </w:t>
      </w:r>
      <w:r>
        <w:t>que</w:t>
      </w:r>
      <w:r>
        <w:rPr>
          <w:spacing w:val="-15"/>
        </w:rPr>
        <w:t xml:space="preserve"> </w:t>
      </w:r>
      <w:r>
        <w:t>as</w:t>
      </w:r>
      <w:r>
        <w:rPr>
          <w:spacing w:val="-15"/>
        </w:rPr>
        <w:t xml:space="preserve"> </w:t>
      </w:r>
      <w:r>
        <w:t>normas</w:t>
      </w:r>
      <w:r>
        <w:rPr>
          <w:spacing w:val="-15"/>
        </w:rPr>
        <w:t xml:space="preserve"> </w:t>
      </w:r>
      <w:r>
        <w:t>constitucionais</w:t>
      </w:r>
      <w:r>
        <w:rPr>
          <w:spacing w:val="-15"/>
        </w:rPr>
        <w:t xml:space="preserve"> </w:t>
      </w:r>
      <w:r>
        <w:t>sejam</w:t>
      </w:r>
      <w:r>
        <w:rPr>
          <w:spacing w:val="-15"/>
        </w:rPr>
        <w:t xml:space="preserve"> </w:t>
      </w:r>
      <w:r>
        <w:t>interpretadas</w:t>
      </w:r>
      <w:r>
        <w:rPr>
          <w:spacing w:val="-15"/>
        </w:rPr>
        <w:t xml:space="preserve"> </w:t>
      </w:r>
      <w:r>
        <w:t>e</w:t>
      </w:r>
      <w:r>
        <w:rPr>
          <w:spacing w:val="-15"/>
        </w:rPr>
        <w:t xml:space="preserve"> </w:t>
      </w:r>
      <w:r>
        <w:t>aplicadas de forma a alcançar a maior eficácia possível, promovendo a realização concreta dos direitos enunciados</w:t>
      </w:r>
      <w:r>
        <w:rPr>
          <w:spacing w:val="-6"/>
        </w:rPr>
        <w:t xml:space="preserve"> </w:t>
      </w:r>
      <w:r>
        <w:t>no</w:t>
      </w:r>
      <w:r>
        <w:rPr>
          <w:spacing w:val="-6"/>
        </w:rPr>
        <w:t xml:space="preserve"> </w:t>
      </w:r>
      <w:r>
        <w:t>texto</w:t>
      </w:r>
      <w:r>
        <w:rPr>
          <w:spacing w:val="-5"/>
        </w:rPr>
        <w:t xml:space="preserve"> </w:t>
      </w:r>
      <w:r>
        <w:t>constitucional.</w:t>
      </w:r>
      <w:r>
        <w:rPr>
          <w:spacing w:val="-4"/>
        </w:rPr>
        <w:t xml:space="preserve"> </w:t>
      </w:r>
      <w:r>
        <w:t>No</w:t>
      </w:r>
      <w:r>
        <w:rPr>
          <w:spacing w:val="-6"/>
        </w:rPr>
        <w:t xml:space="preserve"> </w:t>
      </w:r>
      <w:r>
        <w:t>caso</w:t>
      </w:r>
      <w:r>
        <w:rPr>
          <w:spacing w:val="-6"/>
        </w:rPr>
        <w:t xml:space="preserve"> </w:t>
      </w:r>
      <w:r>
        <w:t>do</w:t>
      </w:r>
      <w:r>
        <w:rPr>
          <w:spacing w:val="-6"/>
        </w:rPr>
        <w:t xml:space="preserve"> </w:t>
      </w:r>
      <w:r>
        <w:t>direito</w:t>
      </w:r>
      <w:r>
        <w:rPr>
          <w:spacing w:val="-5"/>
        </w:rPr>
        <w:t xml:space="preserve"> </w:t>
      </w:r>
      <w:r>
        <w:t>à</w:t>
      </w:r>
      <w:r>
        <w:rPr>
          <w:spacing w:val="-9"/>
        </w:rPr>
        <w:t xml:space="preserve"> </w:t>
      </w:r>
      <w:r>
        <w:t>saúde,</w:t>
      </w:r>
      <w:r>
        <w:rPr>
          <w:spacing w:val="-6"/>
        </w:rPr>
        <w:t xml:space="preserve"> </w:t>
      </w:r>
      <w:r>
        <w:t>tal</w:t>
      </w:r>
      <w:r>
        <w:rPr>
          <w:spacing w:val="-6"/>
        </w:rPr>
        <w:t xml:space="preserve"> </w:t>
      </w:r>
      <w:r>
        <w:t>princípio impõe</w:t>
      </w:r>
      <w:r>
        <w:rPr>
          <w:spacing w:val="-9"/>
        </w:rPr>
        <w:t xml:space="preserve"> </w:t>
      </w:r>
      <w:r>
        <w:t>ao</w:t>
      </w:r>
      <w:r>
        <w:rPr>
          <w:spacing w:val="-6"/>
        </w:rPr>
        <w:t xml:space="preserve"> </w:t>
      </w:r>
      <w:r>
        <w:t>Estado</w:t>
      </w:r>
      <w:r>
        <w:rPr>
          <w:spacing w:val="-2"/>
        </w:rPr>
        <w:t xml:space="preserve"> </w:t>
      </w:r>
      <w:r>
        <w:t>o dever de adotar medidas normativas, administrativas e políticas que assegurem o acesso universal e igualitário aos serviços de saúde.</w:t>
      </w:r>
    </w:p>
    <w:p w:rsidR="007259F2" w:rsidRDefault="00E655B4">
      <w:pPr>
        <w:pStyle w:val="Corpodetexto"/>
        <w:ind w:right="422"/>
      </w:pPr>
      <w:r>
        <w:t>Assim, a máxima efetividade não apenas reforça a força normativa da Constituição, mas também orienta a superação de eventuais limitações estruturais ou institucionais que comprometam a sua concretização. É dizer, o reconhecimento do direito à saúde como direito fundamental</w:t>
      </w:r>
      <w:r>
        <w:rPr>
          <w:spacing w:val="-8"/>
        </w:rPr>
        <w:t xml:space="preserve"> </w:t>
      </w:r>
      <w:r>
        <w:t>acarreta</w:t>
      </w:r>
      <w:r>
        <w:rPr>
          <w:spacing w:val="-8"/>
        </w:rPr>
        <w:t xml:space="preserve"> </w:t>
      </w:r>
      <w:r>
        <w:t>a</w:t>
      </w:r>
      <w:r>
        <w:rPr>
          <w:spacing w:val="-6"/>
        </w:rPr>
        <w:t xml:space="preserve"> </w:t>
      </w:r>
      <w:r>
        <w:t>conclusão</w:t>
      </w:r>
      <w:r>
        <w:rPr>
          <w:spacing w:val="-8"/>
        </w:rPr>
        <w:t xml:space="preserve"> </w:t>
      </w:r>
      <w:r>
        <w:t>de</w:t>
      </w:r>
      <w:r>
        <w:rPr>
          <w:spacing w:val="-9"/>
        </w:rPr>
        <w:t xml:space="preserve"> </w:t>
      </w:r>
      <w:r>
        <w:t>que</w:t>
      </w:r>
      <w:r>
        <w:rPr>
          <w:spacing w:val="-9"/>
        </w:rPr>
        <w:t xml:space="preserve"> </w:t>
      </w:r>
      <w:r>
        <w:t>as</w:t>
      </w:r>
      <w:r>
        <w:rPr>
          <w:spacing w:val="-8"/>
        </w:rPr>
        <w:t xml:space="preserve"> </w:t>
      </w:r>
      <w:r>
        <w:t>normas</w:t>
      </w:r>
      <w:r>
        <w:rPr>
          <w:spacing w:val="-7"/>
        </w:rPr>
        <w:t xml:space="preserve"> </w:t>
      </w:r>
      <w:r>
        <w:t>constitucionais</w:t>
      </w:r>
      <w:r>
        <w:rPr>
          <w:spacing w:val="-7"/>
        </w:rPr>
        <w:t xml:space="preserve"> </w:t>
      </w:r>
      <w:r>
        <w:t>que</w:t>
      </w:r>
      <w:r>
        <w:rPr>
          <w:spacing w:val="-9"/>
        </w:rPr>
        <w:t xml:space="preserve"> </w:t>
      </w:r>
      <w:r>
        <w:t>acerca</w:t>
      </w:r>
      <w:r>
        <w:rPr>
          <w:spacing w:val="-8"/>
        </w:rPr>
        <w:t xml:space="preserve"> </w:t>
      </w:r>
      <w:r>
        <w:t>deste</w:t>
      </w:r>
      <w:r>
        <w:rPr>
          <w:spacing w:val="-8"/>
        </w:rPr>
        <w:t xml:space="preserve"> </w:t>
      </w:r>
      <w:r>
        <w:t>tratam</w:t>
      </w:r>
      <w:r>
        <w:rPr>
          <w:spacing w:val="-8"/>
        </w:rPr>
        <w:t xml:space="preserve"> </w:t>
      </w:r>
      <w:r>
        <w:t xml:space="preserve">não são simples recomendações programáticas, mas normas dotadas de eficácia que devem ser cumpridas na maior medida possível ou, ao menos, quanto ao seu </w:t>
      </w:r>
      <w:r>
        <w:rPr>
          <w:i/>
        </w:rPr>
        <w:t xml:space="preserve">núcleo essencial </w:t>
      </w:r>
      <w:r>
        <w:t>– o que implica, necessariamente, no controle pelo Poder Judiciário, caso provocado, para assegurar o cumprimento de tais normas.</w:t>
      </w:r>
    </w:p>
    <w:p w:rsidR="007259F2" w:rsidRDefault="00E655B4">
      <w:pPr>
        <w:spacing w:before="1"/>
        <w:ind w:left="710" w:right="418" w:firstLine="707"/>
        <w:jc w:val="both"/>
        <w:rPr>
          <w:sz w:val="24"/>
        </w:rPr>
      </w:pPr>
      <w:r>
        <w:rPr>
          <w:sz w:val="24"/>
        </w:rPr>
        <w:t>Jorge Miranda</w:t>
      </w:r>
      <w:r>
        <w:rPr>
          <w:sz w:val="24"/>
          <w:vertAlign w:val="superscript"/>
        </w:rPr>
        <w:t>43</w:t>
      </w:r>
      <w:r>
        <w:rPr>
          <w:sz w:val="24"/>
        </w:rPr>
        <w:t xml:space="preserve"> afirma que: </w:t>
      </w:r>
      <w:r>
        <w:rPr>
          <w:i/>
          <w:sz w:val="24"/>
        </w:rPr>
        <w:t>“o conteúdo essencial de todos os direitos deverá sempre ser assegurado, e só o que estiver para além dele poderá deixar ou não de o ser...”</w:t>
      </w:r>
      <w:r>
        <w:rPr>
          <w:sz w:val="24"/>
        </w:rPr>
        <w:t>.Ingo Wolfgang</w:t>
      </w:r>
      <w:r>
        <w:rPr>
          <w:spacing w:val="-8"/>
          <w:sz w:val="24"/>
        </w:rPr>
        <w:t xml:space="preserve"> </w:t>
      </w:r>
      <w:r>
        <w:rPr>
          <w:sz w:val="24"/>
        </w:rPr>
        <w:t>Sarlet</w:t>
      </w:r>
      <w:r>
        <w:rPr>
          <w:spacing w:val="-3"/>
          <w:sz w:val="24"/>
        </w:rPr>
        <w:t xml:space="preserve"> </w:t>
      </w:r>
      <w:r>
        <w:rPr>
          <w:sz w:val="24"/>
        </w:rPr>
        <w:t>e</w:t>
      </w:r>
      <w:r>
        <w:rPr>
          <w:spacing w:val="-9"/>
          <w:sz w:val="24"/>
        </w:rPr>
        <w:t xml:space="preserve"> </w:t>
      </w:r>
      <w:r>
        <w:rPr>
          <w:sz w:val="24"/>
        </w:rPr>
        <w:t>Mariana</w:t>
      </w:r>
      <w:r>
        <w:rPr>
          <w:spacing w:val="-8"/>
          <w:sz w:val="24"/>
        </w:rPr>
        <w:t xml:space="preserve"> </w:t>
      </w:r>
      <w:r>
        <w:rPr>
          <w:sz w:val="24"/>
        </w:rPr>
        <w:t>Filchtiner</w:t>
      </w:r>
      <w:r>
        <w:rPr>
          <w:spacing w:val="-3"/>
          <w:sz w:val="24"/>
        </w:rPr>
        <w:t xml:space="preserve"> </w:t>
      </w:r>
      <w:r>
        <w:rPr>
          <w:sz w:val="24"/>
        </w:rPr>
        <w:t>Figueiredo</w:t>
      </w:r>
      <w:r>
        <w:rPr>
          <w:sz w:val="24"/>
          <w:vertAlign w:val="superscript"/>
        </w:rPr>
        <w:t>44</w:t>
      </w:r>
      <w:r>
        <w:rPr>
          <w:spacing w:val="-5"/>
          <w:sz w:val="24"/>
        </w:rPr>
        <w:t xml:space="preserve"> </w:t>
      </w:r>
      <w:r>
        <w:rPr>
          <w:sz w:val="24"/>
        </w:rPr>
        <w:t>apontam</w:t>
      </w:r>
      <w:r>
        <w:rPr>
          <w:spacing w:val="-6"/>
          <w:sz w:val="24"/>
        </w:rPr>
        <w:t xml:space="preserve"> </w:t>
      </w:r>
      <w:r>
        <w:rPr>
          <w:sz w:val="24"/>
        </w:rPr>
        <w:t>que</w:t>
      </w:r>
      <w:r>
        <w:rPr>
          <w:spacing w:val="-9"/>
          <w:sz w:val="24"/>
        </w:rPr>
        <w:t xml:space="preserve"> </w:t>
      </w:r>
      <w:r>
        <w:rPr>
          <w:sz w:val="24"/>
        </w:rPr>
        <w:t>o</w:t>
      </w:r>
      <w:r>
        <w:rPr>
          <w:spacing w:val="-6"/>
          <w:sz w:val="24"/>
        </w:rPr>
        <w:t xml:space="preserve"> </w:t>
      </w:r>
      <w:r>
        <w:rPr>
          <w:sz w:val="24"/>
        </w:rPr>
        <w:t>mínimo</w:t>
      </w:r>
      <w:r>
        <w:rPr>
          <w:spacing w:val="-5"/>
          <w:sz w:val="24"/>
        </w:rPr>
        <w:t xml:space="preserve"> </w:t>
      </w:r>
      <w:r>
        <w:rPr>
          <w:sz w:val="24"/>
        </w:rPr>
        <w:t>existencial</w:t>
      </w:r>
      <w:r>
        <w:rPr>
          <w:spacing w:val="-5"/>
          <w:sz w:val="24"/>
        </w:rPr>
        <w:t xml:space="preserve"> </w:t>
      </w:r>
      <w:r>
        <w:rPr>
          <w:sz w:val="24"/>
        </w:rPr>
        <w:t>tem</w:t>
      </w:r>
      <w:r>
        <w:rPr>
          <w:spacing w:val="-6"/>
          <w:sz w:val="24"/>
        </w:rPr>
        <w:t xml:space="preserve"> </w:t>
      </w:r>
      <w:r>
        <w:rPr>
          <w:sz w:val="24"/>
        </w:rPr>
        <w:t>sido identificado</w:t>
      </w:r>
      <w:r>
        <w:rPr>
          <w:spacing w:val="-8"/>
          <w:sz w:val="24"/>
        </w:rPr>
        <w:t xml:space="preserve"> </w:t>
      </w:r>
      <w:r>
        <w:rPr>
          <w:sz w:val="24"/>
        </w:rPr>
        <w:t>como</w:t>
      </w:r>
      <w:r>
        <w:rPr>
          <w:spacing w:val="-8"/>
          <w:sz w:val="24"/>
        </w:rPr>
        <w:t xml:space="preserve"> </w:t>
      </w:r>
      <w:r>
        <w:rPr>
          <w:sz w:val="24"/>
        </w:rPr>
        <w:t>integrante</w:t>
      </w:r>
      <w:r>
        <w:rPr>
          <w:spacing w:val="-7"/>
          <w:sz w:val="24"/>
        </w:rPr>
        <w:t xml:space="preserve"> </w:t>
      </w:r>
      <w:r>
        <w:rPr>
          <w:sz w:val="24"/>
        </w:rPr>
        <w:t>do</w:t>
      </w:r>
      <w:r>
        <w:rPr>
          <w:spacing w:val="-8"/>
          <w:sz w:val="24"/>
        </w:rPr>
        <w:t xml:space="preserve"> </w:t>
      </w:r>
      <w:r>
        <w:rPr>
          <w:sz w:val="24"/>
        </w:rPr>
        <w:t>núcleo</w:t>
      </w:r>
      <w:r>
        <w:rPr>
          <w:spacing w:val="-6"/>
          <w:sz w:val="24"/>
        </w:rPr>
        <w:t xml:space="preserve"> </w:t>
      </w:r>
      <w:r>
        <w:rPr>
          <w:sz w:val="24"/>
        </w:rPr>
        <w:t>essencial</w:t>
      </w:r>
      <w:r>
        <w:rPr>
          <w:spacing w:val="-4"/>
          <w:sz w:val="24"/>
        </w:rPr>
        <w:t xml:space="preserve"> </w:t>
      </w:r>
      <w:r>
        <w:rPr>
          <w:sz w:val="24"/>
        </w:rPr>
        <w:t>dos</w:t>
      </w:r>
      <w:r>
        <w:rPr>
          <w:spacing w:val="-8"/>
          <w:sz w:val="24"/>
        </w:rPr>
        <w:t xml:space="preserve"> </w:t>
      </w:r>
      <w:r>
        <w:rPr>
          <w:sz w:val="24"/>
        </w:rPr>
        <w:t>direitos</w:t>
      </w:r>
      <w:r>
        <w:rPr>
          <w:spacing w:val="-8"/>
          <w:sz w:val="24"/>
        </w:rPr>
        <w:t xml:space="preserve"> </w:t>
      </w:r>
      <w:r>
        <w:rPr>
          <w:sz w:val="24"/>
        </w:rPr>
        <w:t>fundamentais</w:t>
      </w:r>
      <w:r>
        <w:rPr>
          <w:spacing w:val="-7"/>
          <w:sz w:val="24"/>
        </w:rPr>
        <w:t xml:space="preserve"> </w:t>
      </w:r>
      <w:r>
        <w:rPr>
          <w:sz w:val="24"/>
        </w:rPr>
        <w:t>sociais,</w:t>
      </w:r>
      <w:r>
        <w:rPr>
          <w:spacing w:val="-7"/>
          <w:sz w:val="24"/>
        </w:rPr>
        <w:t xml:space="preserve"> </w:t>
      </w:r>
      <w:r>
        <w:rPr>
          <w:sz w:val="24"/>
        </w:rPr>
        <w:t>núcleo</w:t>
      </w:r>
      <w:r>
        <w:rPr>
          <w:spacing w:val="-6"/>
          <w:sz w:val="24"/>
        </w:rPr>
        <w:t xml:space="preserve"> </w:t>
      </w:r>
      <w:r>
        <w:rPr>
          <w:sz w:val="24"/>
        </w:rPr>
        <w:t>este blindado contra toda e qualquer intervenção por parte do Estado e da sociedade. No mesmo sentido</w:t>
      </w:r>
      <w:r>
        <w:rPr>
          <w:spacing w:val="-2"/>
          <w:sz w:val="24"/>
        </w:rPr>
        <w:t xml:space="preserve"> </w:t>
      </w:r>
      <w:r>
        <w:rPr>
          <w:sz w:val="24"/>
        </w:rPr>
        <w:t>destaca</w:t>
      </w:r>
      <w:r>
        <w:rPr>
          <w:spacing w:val="-3"/>
          <w:sz w:val="24"/>
        </w:rPr>
        <w:t xml:space="preserve"> </w:t>
      </w:r>
      <w:r>
        <w:rPr>
          <w:sz w:val="24"/>
        </w:rPr>
        <w:t>Carolina Zancaner Zockun:</w:t>
      </w:r>
      <w:r>
        <w:rPr>
          <w:sz w:val="24"/>
          <w:vertAlign w:val="superscript"/>
        </w:rPr>
        <w:t>45</w:t>
      </w:r>
      <w:r>
        <w:rPr>
          <w:spacing w:val="-1"/>
          <w:sz w:val="24"/>
        </w:rPr>
        <w:t xml:space="preserve"> </w:t>
      </w:r>
      <w:r>
        <w:rPr>
          <w:i/>
          <w:sz w:val="24"/>
        </w:rPr>
        <w:t>"a</w:t>
      </w:r>
      <w:r>
        <w:rPr>
          <w:i/>
          <w:spacing w:val="-2"/>
          <w:sz w:val="24"/>
        </w:rPr>
        <w:t xml:space="preserve"> </w:t>
      </w:r>
      <w:r>
        <w:rPr>
          <w:i/>
          <w:sz w:val="24"/>
        </w:rPr>
        <w:t>cláusula</w:t>
      </w:r>
      <w:r>
        <w:rPr>
          <w:i/>
          <w:spacing w:val="-2"/>
          <w:sz w:val="24"/>
        </w:rPr>
        <w:t xml:space="preserve"> </w:t>
      </w:r>
      <w:r>
        <w:rPr>
          <w:i/>
          <w:sz w:val="24"/>
        </w:rPr>
        <w:t>da</w:t>
      </w:r>
      <w:r>
        <w:rPr>
          <w:i/>
          <w:spacing w:val="-2"/>
          <w:sz w:val="24"/>
        </w:rPr>
        <w:t xml:space="preserve"> </w:t>
      </w:r>
      <w:r>
        <w:rPr>
          <w:i/>
          <w:sz w:val="24"/>
        </w:rPr>
        <w:t>reserva</w:t>
      </w:r>
      <w:r>
        <w:rPr>
          <w:i/>
          <w:spacing w:val="-2"/>
          <w:sz w:val="24"/>
        </w:rPr>
        <w:t xml:space="preserve"> </w:t>
      </w:r>
      <w:r>
        <w:rPr>
          <w:i/>
          <w:sz w:val="24"/>
        </w:rPr>
        <w:t>do</w:t>
      </w:r>
      <w:r>
        <w:rPr>
          <w:i/>
          <w:spacing w:val="-2"/>
          <w:sz w:val="24"/>
        </w:rPr>
        <w:t xml:space="preserve"> </w:t>
      </w:r>
      <w:r>
        <w:rPr>
          <w:i/>
          <w:sz w:val="24"/>
        </w:rPr>
        <w:t>possível</w:t>
      </w:r>
      <w:r>
        <w:rPr>
          <w:i/>
          <w:spacing w:val="-1"/>
          <w:sz w:val="24"/>
        </w:rPr>
        <w:t xml:space="preserve"> </w:t>
      </w:r>
      <w:r>
        <w:rPr>
          <w:i/>
          <w:sz w:val="24"/>
        </w:rPr>
        <w:t>somente</w:t>
      </w:r>
      <w:r>
        <w:rPr>
          <w:i/>
          <w:spacing w:val="-3"/>
          <w:sz w:val="24"/>
        </w:rPr>
        <w:t xml:space="preserve"> </w:t>
      </w:r>
      <w:r>
        <w:rPr>
          <w:i/>
          <w:sz w:val="24"/>
        </w:rPr>
        <w:t>pode ser</w:t>
      </w:r>
      <w:r>
        <w:rPr>
          <w:i/>
          <w:spacing w:val="-6"/>
          <w:sz w:val="24"/>
        </w:rPr>
        <w:t xml:space="preserve"> </w:t>
      </w:r>
      <w:r>
        <w:rPr>
          <w:i/>
          <w:sz w:val="24"/>
        </w:rPr>
        <w:t>invocada quando</w:t>
      </w:r>
      <w:r>
        <w:rPr>
          <w:i/>
          <w:spacing w:val="-3"/>
          <w:sz w:val="24"/>
        </w:rPr>
        <w:t xml:space="preserve"> </w:t>
      </w:r>
      <w:r>
        <w:rPr>
          <w:i/>
          <w:sz w:val="24"/>
        </w:rPr>
        <w:t>se</w:t>
      </w:r>
      <w:r>
        <w:rPr>
          <w:i/>
          <w:spacing w:val="-1"/>
          <w:sz w:val="24"/>
        </w:rPr>
        <w:t xml:space="preserve"> </w:t>
      </w:r>
      <w:r>
        <w:rPr>
          <w:i/>
          <w:sz w:val="24"/>
        </w:rPr>
        <w:t>estiver</w:t>
      </w:r>
      <w:r>
        <w:rPr>
          <w:i/>
          <w:spacing w:val="-3"/>
          <w:sz w:val="24"/>
        </w:rPr>
        <w:t xml:space="preserve"> </w:t>
      </w:r>
      <w:r>
        <w:rPr>
          <w:i/>
          <w:sz w:val="24"/>
        </w:rPr>
        <w:t>diante</w:t>
      </w:r>
      <w:r>
        <w:rPr>
          <w:i/>
          <w:spacing w:val="-2"/>
          <w:sz w:val="24"/>
        </w:rPr>
        <w:t xml:space="preserve"> </w:t>
      </w:r>
      <w:r>
        <w:rPr>
          <w:i/>
          <w:sz w:val="24"/>
        </w:rPr>
        <w:t>de</w:t>
      </w:r>
      <w:r>
        <w:rPr>
          <w:i/>
          <w:spacing w:val="-4"/>
          <w:sz w:val="24"/>
        </w:rPr>
        <w:t xml:space="preserve"> </w:t>
      </w:r>
      <w:r>
        <w:rPr>
          <w:i/>
          <w:sz w:val="24"/>
        </w:rPr>
        <w:t>situação em</w:t>
      </w:r>
      <w:r>
        <w:rPr>
          <w:i/>
          <w:spacing w:val="-4"/>
          <w:sz w:val="24"/>
        </w:rPr>
        <w:t xml:space="preserve"> </w:t>
      </w:r>
      <w:r>
        <w:rPr>
          <w:i/>
          <w:sz w:val="24"/>
        </w:rPr>
        <w:t>que</w:t>
      </w:r>
      <w:r>
        <w:rPr>
          <w:i/>
          <w:spacing w:val="-2"/>
          <w:sz w:val="24"/>
        </w:rPr>
        <w:t xml:space="preserve"> </w:t>
      </w:r>
      <w:r>
        <w:rPr>
          <w:i/>
          <w:sz w:val="24"/>
        </w:rPr>
        <w:t>não</w:t>
      </w:r>
      <w:r>
        <w:rPr>
          <w:i/>
          <w:spacing w:val="-3"/>
          <w:sz w:val="24"/>
        </w:rPr>
        <w:t xml:space="preserve"> </w:t>
      </w:r>
      <w:r>
        <w:rPr>
          <w:i/>
          <w:sz w:val="24"/>
        </w:rPr>
        <w:t>se</w:t>
      </w:r>
      <w:r>
        <w:rPr>
          <w:i/>
          <w:spacing w:val="-2"/>
          <w:sz w:val="24"/>
        </w:rPr>
        <w:t xml:space="preserve"> </w:t>
      </w:r>
      <w:r>
        <w:rPr>
          <w:i/>
          <w:sz w:val="24"/>
        </w:rPr>
        <w:t>discutem direitos</w:t>
      </w:r>
      <w:r>
        <w:rPr>
          <w:i/>
          <w:spacing w:val="-1"/>
          <w:sz w:val="24"/>
        </w:rPr>
        <w:t xml:space="preserve"> </w:t>
      </w:r>
      <w:r>
        <w:rPr>
          <w:i/>
          <w:sz w:val="24"/>
        </w:rPr>
        <w:t>do</w:t>
      </w:r>
      <w:r>
        <w:rPr>
          <w:i/>
          <w:spacing w:val="-1"/>
          <w:sz w:val="24"/>
        </w:rPr>
        <w:t xml:space="preserve"> </w:t>
      </w:r>
      <w:r>
        <w:rPr>
          <w:i/>
          <w:sz w:val="24"/>
        </w:rPr>
        <w:t>cidadão relacionados</w:t>
      </w:r>
      <w:r>
        <w:rPr>
          <w:i/>
          <w:spacing w:val="-7"/>
          <w:sz w:val="24"/>
        </w:rPr>
        <w:t xml:space="preserve"> </w:t>
      </w:r>
      <w:r>
        <w:rPr>
          <w:i/>
          <w:sz w:val="24"/>
        </w:rPr>
        <w:t>com</w:t>
      </w:r>
      <w:r>
        <w:rPr>
          <w:i/>
          <w:spacing w:val="-8"/>
          <w:sz w:val="24"/>
        </w:rPr>
        <w:t xml:space="preserve"> </w:t>
      </w:r>
      <w:r>
        <w:rPr>
          <w:i/>
          <w:sz w:val="24"/>
        </w:rPr>
        <w:t>o</w:t>
      </w:r>
      <w:r>
        <w:rPr>
          <w:i/>
          <w:spacing w:val="-7"/>
          <w:sz w:val="24"/>
        </w:rPr>
        <w:t xml:space="preserve"> </w:t>
      </w:r>
      <w:r>
        <w:rPr>
          <w:i/>
          <w:sz w:val="24"/>
        </w:rPr>
        <w:t>mínimo</w:t>
      </w:r>
      <w:r>
        <w:rPr>
          <w:i/>
          <w:spacing w:val="-7"/>
          <w:sz w:val="24"/>
        </w:rPr>
        <w:t xml:space="preserve"> </w:t>
      </w:r>
      <w:r>
        <w:rPr>
          <w:i/>
          <w:sz w:val="24"/>
        </w:rPr>
        <w:t>existencial"</w:t>
      </w:r>
      <w:r>
        <w:rPr>
          <w:sz w:val="24"/>
        </w:rPr>
        <w:t>,</w:t>
      </w:r>
      <w:r>
        <w:rPr>
          <w:spacing w:val="-7"/>
          <w:sz w:val="24"/>
        </w:rPr>
        <w:t xml:space="preserve"> </w:t>
      </w:r>
      <w:r>
        <w:rPr>
          <w:sz w:val="24"/>
        </w:rPr>
        <w:t>–</w:t>
      </w:r>
      <w:r>
        <w:rPr>
          <w:spacing w:val="-7"/>
          <w:sz w:val="24"/>
        </w:rPr>
        <w:t xml:space="preserve"> </w:t>
      </w:r>
      <w:r>
        <w:rPr>
          <w:sz w:val="24"/>
        </w:rPr>
        <w:t>portanto,</w:t>
      </w:r>
      <w:r>
        <w:rPr>
          <w:spacing w:val="-6"/>
          <w:sz w:val="24"/>
        </w:rPr>
        <w:t xml:space="preserve"> </w:t>
      </w:r>
      <w:r>
        <w:rPr>
          <w:sz w:val="24"/>
        </w:rPr>
        <w:t>diante</w:t>
      </w:r>
      <w:r>
        <w:rPr>
          <w:spacing w:val="-8"/>
          <w:sz w:val="24"/>
        </w:rPr>
        <w:t xml:space="preserve"> </w:t>
      </w:r>
      <w:r>
        <w:rPr>
          <w:sz w:val="24"/>
        </w:rPr>
        <w:t>de</w:t>
      </w:r>
      <w:r>
        <w:rPr>
          <w:spacing w:val="-8"/>
          <w:sz w:val="24"/>
        </w:rPr>
        <w:t xml:space="preserve"> </w:t>
      </w:r>
      <w:r>
        <w:rPr>
          <w:sz w:val="24"/>
        </w:rPr>
        <w:t>demandas</w:t>
      </w:r>
      <w:r>
        <w:rPr>
          <w:spacing w:val="-7"/>
          <w:sz w:val="24"/>
        </w:rPr>
        <w:t xml:space="preserve"> </w:t>
      </w:r>
      <w:r>
        <w:rPr>
          <w:sz w:val="24"/>
        </w:rPr>
        <w:t>nas</w:t>
      </w:r>
      <w:r>
        <w:rPr>
          <w:spacing w:val="-6"/>
          <w:sz w:val="24"/>
        </w:rPr>
        <w:t xml:space="preserve"> </w:t>
      </w:r>
      <w:r>
        <w:rPr>
          <w:sz w:val="24"/>
        </w:rPr>
        <w:t>quais</w:t>
      </w:r>
      <w:r>
        <w:rPr>
          <w:spacing w:val="-7"/>
          <w:sz w:val="24"/>
        </w:rPr>
        <w:t xml:space="preserve"> </w:t>
      </w:r>
      <w:r>
        <w:rPr>
          <w:sz w:val="24"/>
        </w:rPr>
        <w:t>se</w:t>
      </w:r>
      <w:r>
        <w:rPr>
          <w:spacing w:val="-8"/>
          <w:sz w:val="24"/>
        </w:rPr>
        <w:t xml:space="preserve"> </w:t>
      </w:r>
      <w:r>
        <w:rPr>
          <w:sz w:val="24"/>
        </w:rPr>
        <w:t xml:space="preserve">pleiteiem prestações correspondentes ao mínimo existencial deve ser afastada a invocação da teoria da </w:t>
      </w:r>
      <w:r>
        <w:rPr>
          <w:i/>
          <w:sz w:val="24"/>
        </w:rPr>
        <w:t xml:space="preserve">reserva do possível </w:t>
      </w:r>
      <w:r>
        <w:rPr>
          <w:sz w:val="24"/>
        </w:rPr>
        <w:t>para justificar a inércia estatal.</w:t>
      </w:r>
    </w:p>
    <w:p w:rsidR="007259F2" w:rsidRDefault="00E655B4">
      <w:pPr>
        <w:pStyle w:val="Corpodetexto"/>
        <w:spacing w:before="1"/>
        <w:ind w:right="418"/>
      </w:pPr>
      <w:r>
        <w:t>Isso</w:t>
      </w:r>
      <w:r>
        <w:rPr>
          <w:spacing w:val="-10"/>
        </w:rPr>
        <w:t xml:space="preserve"> </w:t>
      </w:r>
      <w:r>
        <w:t>não</w:t>
      </w:r>
      <w:r>
        <w:rPr>
          <w:spacing w:val="-10"/>
        </w:rPr>
        <w:t xml:space="preserve"> </w:t>
      </w:r>
      <w:r>
        <w:t>significa,</w:t>
      </w:r>
      <w:r>
        <w:rPr>
          <w:spacing w:val="-10"/>
        </w:rPr>
        <w:t xml:space="preserve"> </w:t>
      </w:r>
      <w:r>
        <w:t>contudo,</w:t>
      </w:r>
      <w:r>
        <w:rPr>
          <w:spacing w:val="-8"/>
        </w:rPr>
        <w:t xml:space="preserve"> </w:t>
      </w:r>
      <w:r>
        <w:t>ignorar</w:t>
      </w:r>
      <w:r>
        <w:rPr>
          <w:spacing w:val="-11"/>
        </w:rPr>
        <w:t xml:space="preserve"> </w:t>
      </w:r>
      <w:r>
        <w:t>as</w:t>
      </w:r>
      <w:r>
        <w:rPr>
          <w:spacing w:val="-10"/>
        </w:rPr>
        <w:t xml:space="preserve"> </w:t>
      </w:r>
      <w:r>
        <w:t>limitações</w:t>
      </w:r>
      <w:r>
        <w:rPr>
          <w:spacing w:val="-9"/>
        </w:rPr>
        <w:t xml:space="preserve"> </w:t>
      </w:r>
      <w:r>
        <w:t>orçamentárias</w:t>
      </w:r>
      <w:r>
        <w:rPr>
          <w:spacing w:val="-10"/>
        </w:rPr>
        <w:t xml:space="preserve"> </w:t>
      </w:r>
      <w:r>
        <w:t>e</w:t>
      </w:r>
      <w:r>
        <w:rPr>
          <w:spacing w:val="-12"/>
        </w:rPr>
        <w:t xml:space="preserve"> </w:t>
      </w:r>
      <w:r>
        <w:t>fáticas</w:t>
      </w:r>
      <w:r>
        <w:rPr>
          <w:spacing w:val="-9"/>
        </w:rPr>
        <w:t xml:space="preserve"> </w:t>
      </w:r>
      <w:r>
        <w:t>de</w:t>
      </w:r>
      <w:r>
        <w:rPr>
          <w:spacing w:val="-7"/>
        </w:rPr>
        <w:t xml:space="preserve"> </w:t>
      </w:r>
      <w:r>
        <w:t>se</w:t>
      </w:r>
      <w:r>
        <w:rPr>
          <w:spacing w:val="-12"/>
        </w:rPr>
        <w:t xml:space="preserve"> </w:t>
      </w:r>
      <w:r>
        <w:t>prover</w:t>
      </w:r>
      <w:r>
        <w:rPr>
          <w:spacing w:val="-11"/>
        </w:rPr>
        <w:t xml:space="preserve"> </w:t>
      </w:r>
      <w:r>
        <w:t>os serviços de saúde, cuja adequada gestão dos recursos públicos é indispensável, inclusive, para a própria subsistência dos próprios serviços públicos. Para tanto até mesmo o mínimo existencial está sujeito à demonstração e discussão com base em elementos probatórios, notadamente</w:t>
      </w:r>
      <w:r>
        <w:rPr>
          <w:spacing w:val="-10"/>
        </w:rPr>
        <w:t xml:space="preserve"> </w:t>
      </w:r>
      <w:r>
        <w:t>no</w:t>
      </w:r>
      <w:r>
        <w:rPr>
          <w:spacing w:val="-10"/>
        </w:rPr>
        <w:t xml:space="preserve"> </w:t>
      </w:r>
      <w:r>
        <w:t>que</w:t>
      </w:r>
      <w:r>
        <w:rPr>
          <w:spacing w:val="-11"/>
        </w:rPr>
        <w:t xml:space="preserve"> </w:t>
      </w:r>
      <w:r>
        <w:t>diz</w:t>
      </w:r>
      <w:r>
        <w:rPr>
          <w:spacing w:val="-6"/>
        </w:rPr>
        <w:t xml:space="preserve"> </w:t>
      </w:r>
      <w:r>
        <w:t>com</w:t>
      </w:r>
      <w:r>
        <w:rPr>
          <w:spacing w:val="-9"/>
        </w:rPr>
        <w:t xml:space="preserve"> </w:t>
      </w:r>
      <w:r>
        <w:t>as</w:t>
      </w:r>
      <w:r>
        <w:rPr>
          <w:spacing w:val="-9"/>
        </w:rPr>
        <w:t xml:space="preserve"> </w:t>
      </w:r>
      <w:r>
        <w:t>necessidades</w:t>
      </w:r>
      <w:r>
        <w:rPr>
          <w:spacing w:val="-6"/>
        </w:rPr>
        <w:t xml:space="preserve"> </w:t>
      </w:r>
      <w:r>
        <w:t>de</w:t>
      </w:r>
      <w:r>
        <w:rPr>
          <w:spacing w:val="-11"/>
        </w:rPr>
        <w:t xml:space="preserve"> </w:t>
      </w:r>
      <w:r>
        <w:t>cada</w:t>
      </w:r>
      <w:r>
        <w:rPr>
          <w:spacing w:val="-10"/>
        </w:rPr>
        <w:t xml:space="preserve"> </w:t>
      </w:r>
      <w:r>
        <w:t>um</w:t>
      </w:r>
      <w:r>
        <w:rPr>
          <w:spacing w:val="-9"/>
        </w:rPr>
        <w:t xml:space="preserve"> </w:t>
      </w:r>
      <w:r>
        <w:t>em</w:t>
      </w:r>
      <w:r>
        <w:rPr>
          <w:spacing w:val="-7"/>
        </w:rPr>
        <w:t xml:space="preserve"> </w:t>
      </w:r>
      <w:r>
        <w:t>cada</w:t>
      </w:r>
      <w:r>
        <w:rPr>
          <w:spacing w:val="-8"/>
        </w:rPr>
        <w:t xml:space="preserve"> </w:t>
      </w:r>
      <w:r>
        <w:t>caso,</w:t>
      </w:r>
      <w:r>
        <w:rPr>
          <w:spacing w:val="-6"/>
        </w:rPr>
        <w:t xml:space="preserve"> </w:t>
      </w:r>
      <w:r>
        <w:t>assim</w:t>
      </w:r>
      <w:r>
        <w:rPr>
          <w:spacing w:val="-8"/>
        </w:rPr>
        <w:t xml:space="preserve"> </w:t>
      </w:r>
      <w:r>
        <w:t>como</w:t>
      </w:r>
      <w:r>
        <w:rPr>
          <w:spacing w:val="-9"/>
        </w:rPr>
        <w:t xml:space="preserve"> </w:t>
      </w:r>
      <w:r>
        <w:t>em</w:t>
      </w:r>
      <w:r>
        <w:rPr>
          <w:spacing w:val="-9"/>
        </w:rPr>
        <w:t xml:space="preserve"> </w:t>
      </w:r>
      <w:r>
        <w:t>relação às</w:t>
      </w:r>
      <w:r>
        <w:rPr>
          <w:spacing w:val="-6"/>
        </w:rPr>
        <w:t xml:space="preserve"> </w:t>
      </w:r>
      <w:r>
        <w:t>alternativas</w:t>
      </w:r>
      <w:r>
        <w:rPr>
          <w:spacing w:val="-4"/>
        </w:rPr>
        <w:t xml:space="preserve"> </w:t>
      </w:r>
      <w:r>
        <w:t>efetivamente</w:t>
      </w:r>
      <w:r>
        <w:rPr>
          <w:spacing w:val="-6"/>
        </w:rPr>
        <w:t xml:space="preserve"> </w:t>
      </w:r>
      <w:r>
        <w:t>eficientes</w:t>
      </w:r>
      <w:r>
        <w:rPr>
          <w:spacing w:val="-6"/>
        </w:rPr>
        <w:t xml:space="preserve"> </w:t>
      </w:r>
      <w:r>
        <w:t>e</w:t>
      </w:r>
      <w:r>
        <w:rPr>
          <w:spacing w:val="-5"/>
        </w:rPr>
        <w:t xml:space="preserve"> </w:t>
      </w:r>
      <w:r>
        <w:t>indispensáveis</w:t>
      </w:r>
      <w:r>
        <w:rPr>
          <w:spacing w:val="-3"/>
        </w:rPr>
        <w:t xml:space="preserve"> </w:t>
      </w:r>
      <w:r>
        <w:t>de</w:t>
      </w:r>
      <w:r>
        <w:rPr>
          <w:spacing w:val="-7"/>
        </w:rPr>
        <w:t xml:space="preserve"> </w:t>
      </w:r>
      <w:r>
        <w:t>tratamento,</w:t>
      </w:r>
      <w:r>
        <w:rPr>
          <w:spacing w:val="-6"/>
        </w:rPr>
        <w:t xml:space="preserve"> </w:t>
      </w:r>
      <w:r>
        <w:t>tendo</w:t>
      </w:r>
      <w:r>
        <w:rPr>
          <w:spacing w:val="-6"/>
        </w:rPr>
        <w:t xml:space="preserve"> </w:t>
      </w:r>
      <w:r>
        <w:t>como</w:t>
      </w:r>
      <w:r>
        <w:rPr>
          <w:spacing w:val="-4"/>
        </w:rPr>
        <w:t xml:space="preserve"> </w:t>
      </w:r>
      <w:r>
        <w:t>parâmetro</w:t>
      </w:r>
      <w:r>
        <w:rPr>
          <w:spacing w:val="-3"/>
        </w:rPr>
        <w:t xml:space="preserve"> </w:t>
      </w:r>
      <w:r>
        <w:t>a efetiva necessidade.</w:t>
      </w:r>
      <w:r>
        <w:rPr>
          <w:vertAlign w:val="superscript"/>
        </w:rPr>
        <w:t>46</w:t>
      </w:r>
      <w:r>
        <w:t xml:space="preserve"> Assim, o dever de universalidade dos serviços de saúde, o qual tem fundamento</w:t>
      </w:r>
      <w:r>
        <w:rPr>
          <w:spacing w:val="-15"/>
        </w:rPr>
        <w:t xml:space="preserve"> </w:t>
      </w:r>
      <w:r>
        <w:t>no</w:t>
      </w:r>
      <w:r>
        <w:rPr>
          <w:spacing w:val="-14"/>
        </w:rPr>
        <w:t xml:space="preserve"> </w:t>
      </w:r>
      <w:r>
        <w:t>princípio</w:t>
      </w:r>
      <w:r>
        <w:rPr>
          <w:spacing w:val="-9"/>
        </w:rPr>
        <w:t xml:space="preserve"> </w:t>
      </w:r>
      <w:r>
        <w:t>da</w:t>
      </w:r>
      <w:r>
        <w:rPr>
          <w:spacing w:val="-15"/>
        </w:rPr>
        <w:t xml:space="preserve"> </w:t>
      </w:r>
      <w:r>
        <w:t>igualdade,</w:t>
      </w:r>
      <w:r>
        <w:rPr>
          <w:spacing w:val="-15"/>
        </w:rPr>
        <w:t xml:space="preserve"> </w:t>
      </w:r>
      <w:r>
        <w:t>deverá</w:t>
      </w:r>
      <w:r>
        <w:rPr>
          <w:spacing w:val="-15"/>
        </w:rPr>
        <w:t xml:space="preserve"> </w:t>
      </w:r>
      <w:r>
        <w:t>ser</w:t>
      </w:r>
      <w:r>
        <w:rPr>
          <w:spacing w:val="-13"/>
        </w:rPr>
        <w:t xml:space="preserve"> </w:t>
      </w:r>
      <w:r>
        <w:t>compreendido</w:t>
      </w:r>
      <w:r>
        <w:rPr>
          <w:spacing w:val="-15"/>
        </w:rPr>
        <w:t xml:space="preserve"> </w:t>
      </w:r>
      <w:r>
        <w:t>na</w:t>
      </w:r>
      <w:r>
        <w:rPr>
          <w:spacing w:val="-15"/>
        </w:rPr>
        <w:t xml:space="preserve"> </w:t>
      </w:r>
      <w:r>
        <w:t>sua</w:t>
      </w:r>
      <w:r>
        <w:rPr>
          <w:spacing w:val="-14"/>
        </w:rPr>
        <w:t xml:space="preserve"> </w:t>
      </w:r>
      <w:r>
        <w:t>perspectiva</w:t>
      </w:r>
      <w:r>
        <w:rPr>
          <w:spacing w:val="-10"/>
        </w:rPr>
        <w:t xml:space="preserve"> </w:t>
      </w:r>
      <w:r>
        <w:t>substancial, inclusive</w:t>
      </w:r>
      <w:r>
        <w:rPr>
          <w:spacing w:val="-7"/>
        </w:rPr>
        <w:t xml:space="preserve"> </w:t>
      </w:r>
      <w:r>
        <w:t>quanto</w:t>
      </w:r>
      <w:r>
        <w:rPr>
          <w:spacing w:val="-5"/>
        </w:rPr>
        <w:t xml:space="preserve"> </w:t>
      </w:r>
      <w:r>
        <w:t>à</w:t>
      </w:r>
      <w:r>
        <w:rPr>
          <w:spacing w:val="-7"/>
        </w:rPr>
        <w:t xml:space="preserve"> </w:t>
      </w:r>
      <w:r>
        <w:t>avaliação</w:t>
      </w:r>
      <w:r>
        <w:rPr>
          <w:spacing w:val="-5"/>
        </w:rPr>
        <w:t xml:space="preserve"> </w:t>
      </w:r>
      <w:r>
        <w:t>da</w:t>
      </w:r>
      <w:r>
        <w:rPr>
          <w:spacing w:val="-7"/>
        </w:rPr>
        <w:t xml:space="preserve"> </w:t>
      </w:r>
      <w:r>
        <w:t>pleiteada</w:t>
      </w:r>
      <w:r>
        <w:rPr>
          <w:spacing w:val="-6"/>
        </w:rPr>
        <w:t xml:space="preserve"> </w:t>
      </w:r>
      <w:r>
        <w:t>gratuidade</w:t>
      </w:r>
      <w:r>
        <w:rPr>
          <w:spacing w:val="-6"/>
        </w:rPr>
        <w:t xml:space="preserve"> </w:t>
      </w:r>
      <w:r>
        <w:t>de</w:t>
      </w:r>
      <w:r>
        <w:rPr>
          <w:spacing w:val="-7"/>
        </w:rPr>
        <w:t xml:space="preserve"> </w:t>
      </w:r>
      <w:r>
        <w:t>atendimento</w:t>
      </w:r>
      <w:r>
        <w:rPr>
          <w:spacing w:val="-6"/>
        </w:rPr>
        <w:t xml:space="preserve"> </w:t>
      </w:r>
      <w:r>
        <w:t>e</w:t>
      </w:r>
      <w:r>
        <w:rPr>
          <w:spacing w:val="-7"/>
        </w:rPr>
        <w:t xml:space="preserve"> </w:t>
      </w:r>
      <w:r>
        <w:t>tratamento</w:t>
      </w:r>
      <w:r>
        <w:rPr>
          <w:spacing w:val="-5"/>
        </w:rPr>
        <w:t xml:space="preserve"> </w:t>
      </w:r>
      <w:r>
        <w:t>no</w:t>
      </w:r>
      <w:r>
        <w:rPr>
          <w:spacing w:val="-6"/>
        </w:rPr>
        <w:t xml:space="preserve"> </w:t>
      </w:r>
      <w:r>
        <w:t>âmbito</w:t>
      </w:r>
      <w:r>
        <w:rPr>
          <w:spacing w:val="-5"/>
        </w:rPr>
        <w:t xml:space="preserve"> </w:t>
      </w:r>
      <w:r>
        <w:t>do SUS, incidindo nessa ponderação, entre outros, os princípios da solidariedade, da subsidiariedade</w:t>
      </w:r>
      <w:r>
        <w:rPr>
          <w:spacing w:val="39"/>
        </w:rPr>
        <w:t xml:space="preserve"> </w:t>
      </w:r>
      <w:r>
        <w:t>e</w:t>
      </w:r>
      <w:r>
        <w:rPr>
          <w:spacing w:val="38"/>
        </w:rPr>
        <w:t xml:space="preserve"> </w:t>
      </w:r>
      <w:r>
        <w:t>da</w:t>
      </w:r>
      <w:r>
        <w:rPr>
          <w:spacing w:val="38"/>
        </w:rPr>
        <w:t xml:space="preserve"> </w:t>
      </w:r>
      <w:r>
        <w:t>proporcionalidade,</w:t>
      </w:r>
      <w:r>
        <w:rPr>
          <w:spacing w:val="39"/>
        </w:rPr>
        <w:t xml:space="preserve"> </w:t>
      </w:r>
      <w:r>
        <w:t>o</w:t>
      </w:r>
      <w:r>
        <w:rPr>
          <w:spacing w:val="41"/>
        </w:rPr>
        <w:t xml:space="preserve"> </w:t>
      </w:r>
      <w:r>
        <w:t>qual,</w:t>
      </w:r>
      <w:r>
        <w:rPr>
          <w:spacing w:val="42"/>
        </w:rPr>
        <w:t xml:space="preserve"> </w:t>
      </w:r>
      <w:r>
        <w:t>especificamente</w:t>
      </w:r>
      <w:r>
        <w:rPr>
          <w:spacing w:val="38"/>
        </w:rPr>
        <w:t xml:space="preserve"> </w:t>
      </w:r>
      <w:r>
        <w:t>no</w:t>
      </w:r>
      <w:r>
        <w:rPr>
          <w:spacing w:val="41"/>
        </w:rPr>
        <w:t xml:space="preserve"> </w:t>
      </w:r>
      <w:r>
        <w:t>âmbito</w:t>
      </w:r>
      <w:r>
        <w:rPr>
          <w:spacing w:val="39"/>
        </w:rPr>
        <w:t xml:space="preserve"> </w:t>
      </w:r>
      <w:r>
        <w:t>dos</w:t>
      </w:r>
      <w:r>
        <w:rPr>
          <w:spacing w:val="39"/>
        </w:rPr>
        <w:t xml:space="preserve"> </w:t>
      </w:r>
      <w:r>
        <w:t>direitos</w:t>
      </w:r>
      <w:r>
        <w:rPr>
          <w:spacing w:val="40"/>
        </w:rPr>
        <w:t xml:space="preserve"> </w:t>
      </w:r>
      <w:r>
        <w:rPr>
          <w:spacing w:val="-5"/>
        </w:rPr>
        <w:t>da</w:t>
      </w:r>
    </w:p>
    <w:p w:rsidR="007259F2" w:rsidRDefault="007259F2">
      <w:pPr>
        <w:pStyle w:val="Corpodetexto"/>
        <w:ind w:left="0" w:firstLine="0"/>
        <w:jc w:val="left"/>
        <w:rPr>
          <w:sz w:val="20"/>
        </w:rPr>
      </w:pPr>
    </w:p>
    <w:p w:rsidR="007259F2" w:rsidRDefault="007259F2">
      <w:pPr>
        <w:pStyle w:val="Corpodetexto"/>
        <w:ind w:left="0" w:firstLine="0"/>
        <w:jc w:val="left"/>
        <w:rPr>
          <w:sz w:val="20"/>
        </w:rPr>
      </w:pPr>
    </w:p>
    <w:p w:rsidR="007259F2" w:rsidRDefault="007259F2">
      <w:pPr>
        <w:pStyle w:val="Corpodetexto"/>
        <w:ind w:left="0" w:firstLine="0"/>
        <w:jc w:val="left"/>
        <w:rPr>
          <w:sz w:val="20"/>
        </w:rPr>
      </w:pPr>
    </w:p>
    <w:p w:rsidR="007259F2" w:rsidRDefault="00DE6B1C">
      <w:pPr>
        <w:pStyle w:val="Corpodetexto"/>
        <w:spacing w:before="116"/>
        <w:ind w:left="0" w:firstLine="0"/>
        <w:jc w:val="left"/>
        <w:rPr>
          <w:sz w:val="20"/>
        </w:rPr>
      </w:pPr>
      <w:r w:rsidRPr="00DE6B1C">
        <w:rPr>
          <w:sz w:val="20"/>
        </w:rPr>
        <w:pict>
          <v:rect id="docshape146" o:spid="_x0000_s1081" style="position:absolute;margin-left:85.1pt;margin-top:18.5pt;width:2in;height:.7pt;z-index:-15664128;mso-wrap-distance-left:0;mso-wrap-distance-right:0;mso-position-horizontal-relative:page" fillcolor="black" stroked="f">
            <w10:wrap type="topAndBottom" anchorx="page"/>
          </v:rect>
        </w:pict>
      </w:r>
    </w:p>
    <w:p w:rsidR="007259F2" w:rsidRDefault="00E655B4">
      <w:pPr>
        <w:spacing w:before="96"/>
        <w:ind w:left="710" w:right="420"/>
        <w:jc w:val="both"/>
        <w:rPr>
          <w:sz w:val="20"/>
        </w:rPr>
      </w:pPr>
      <w:r>
        <w:rPr>
          <w:sz w:val="20"/>
          <w:vertAlign w:val="superscript"/>
        </w:rPr>
        <w:t>42</w:t>
      </w:r>
      <w:r>
        <w:rPr>
          <w:sz w:val="20"/>
        </w:rPr>
        <w:t xml:space="preserve"> Este princípio, também designado por princípio da eficiência ou princípio da interpretação efectiva, pode ser formulado da seguinte maneira: a uma norma constitucional deve ser atribuído o sentido que maior eficácia lhe dê. É um princípio operativo em relação a todas e quaisquer normas constitucionais, e embora a sua origem</w:t>
      </w:r>
      <w:r>
        <w:rPr>
          <w:spacing w:val="40"/>
          <w:sz w:val="20"/>
        </w:rPr>
        <w:t xml:space="preserve"> </w:t>
      </w:r>
      <w:r>
        <w:rPr>
          <w:sz w:val="20"/>
        </w:rPr>
        <w:t xml:space="preserve">esteja ligada à tese da actualidade das normas programáticas, é hoje sobretudo invocado no âmbito dos direitos fundamentais (no caso de dúvidas deve preferir-se a interpretação que reconheça maior eficácia aos direitos fundamentais). (CANOTILHO, José Joaquim Gomes. </w:t>
      </w:r>
      <w:r>
        <w:rPr>
          <w:b/>
          <w:sz w:val="20"/>
        </w:rPr>
        <w:t xml:space="preserve">Direito Constitucional. </w:t>
      </w:r>
      <w:r>
        <w:rPr>
          <w:sz w:val="20"/>
        </w:rPr>
        <w:t>Coimbra: Livraria Almedina, 1993. p. 227)</w:t>
      </w:r>
    </w:p>
    <w:p w:rsidR="007259F2" w:rsidRDefault="00E655B4">
      <w:pPr>
        <w:spacing w:before="1"/>
        <w:ind w:left="710" w:right="426"/>
        <w:jc w:val="both"/>
        <w:rPr>
          <w:sz w:val="20"/>
        </w:rPr>
      </w:pPr>
      <w:r>
        <w:rPr>
          <w:sz w:val="20"/>
          <w:vertAlign w:val="superscript"/>
        </w:rPr>
        <w:t>43</w:t>
      </w:r>
      <w:r>
        <w:rPr>
          <w:sz w:val="20"/>
        </w:rPr>
        <w:t xml:space="preserve"> MIRANDA, Jorge Manuel Moura Loureiro de. O regime dos direitos sociais. </w:t>
      </w:r>
      <w:r>
        <w:rPr>
          <w:b/>
          <w:sz w:val="20"/>
        </w:rPr>
        <w:t>Revista de Informação Legislativa</w:t>
      </w:r>
      <w:r>
        <w:rPr>
          <w:sz w:val="20"/>
        </w:rPr>
        <w:t>, Brasília, v. 47, n. 188, out. 2010. Senado Federal, Subsecretaria de Edições Técnicas, p. 23-36.</w:t>
      </w:r>
    </w:p>
    <w:p w:rsidR="007259F2" w:rsidRDefault="00E655B4">
      <w:pPr>
        <w:ind w:left="710" w:right="421"/>
        <w:jc w:val="both"/>
        <w:rPr>
          <w:sz w:val="20"/>
        </w:rPr>
      </w:pPr>
      <w:r>
        <w:rPr>
          <w:sz w:val="20"/>
          <w:vertAlign w:val="superscript"/>
        </w:rPr>
        <w:t>44</w:t>
      </w:r>
      <w:r>
        <w:rPr>
          <w:sz w:val="20"/>
        </w:rPr>
        <w:t xml:space="preserve"> SARLET, Ingo Wolgang; FIGUEIREDO, Mariana F Filchtiner. Reserva do possível, mínimo existencial e direito à saúde: Algumas aproximações. </w:t>
      </w:r>
      <w:r>
        <w:rPr>
          <w:b/>
          <w:sz w:val="20"/>
        </w:rPr>
        <w:t>Revista Brasileira de Direitos Fundamentais &amp; Justiça</w:t>
      </w:r>
      <w:r>
        <w:rPr>
          <w:sz w:val="20"/>
        </w:rPr>
        <w:t>, v. 1, n. 1, p. 171– 213, 2007. Disponível em: https://dfj.emnuvens.com.br/dfj/article/view/590. Acesso em: 15 nov. 2024.</w:t>
      </w:r>
    </w:p>
    <w:p w:rsidR="007259F2" w:rsidRDefault="00E655B4">
      <w:pPr>
        <w:ind w:left="710" w:right="423"/>
        <w:jc w:val="both"/>
        <w:rPr>
          <w:sz w:val="20"/>
        </w:rPr>
      </w:pPr>
      <w:r>
        <w:rPr>
          <w:sz w:val="20"/>
          <w:vertAlign w:val="superscript"/>
        </w:rPr>
        <w:t>45</w:t>
      </w:r>
      <w:r>
        <w:rPr>
          <w:spacing w:val="-3"/>
          <w:sz w:val="20"/>
        </w:rPr>
        <w:t xml:space="preserve"> </w:t>
      </w:r>
      <w:r>
        <w:rPr>
          <w:sz w:val="20"/>
        </w:rPr>
        <w:t>ZOCKUN,</w:t>
      </w:r>
      <w:r>
        <w:rPr>
          <w:spacing w:val="-3"/>
          <w:sz w:val="20"/>
        </w:rPr>
        <w:t xml:space="preserve"> </w:t>
      </w:r>
      <w:r>
        <w:rPr>
          <w:sz w:val="20"/>
        </w:rPr>
        <w:t>Carolina</w:t>
      </w:r>
      <w:r>
        <w:rPr>
          <w:spacing w:val="-1"/>
          <w:sz w:val="20"/>
        </w:rPr>
        <w:t xml:space="preserve"> </w:t>
      </w:r>
      <w:r>
        <w:rPr>
          <w:sz w:val="20"/>
        </w:rPr>
        <w:t>Zancaner.</w:t>
      </w:r>
      <w:r>
        <w:rPr>
          <w:spacing w:val="-3"/>
          <w:sz w:val="20"/>
        </w:rPr>
        <w:t xml:space="preserve"> </w:t>
      </w:r>
      <w:r>
        <w:rPr>
          <w:sz w:val="20"/>
        </w:rPr>
        <w:t>Da</w:t>
      </w:r>
      <w:r>
        <w:rPr>
          <w:spacing w:val="-3"/>
          <w:sz w:val="20"/>
        </w:rPr>
        <w:t xml:space="preserve"> </w:t>
      </w:r>
      <w:r>
        <w:rPr>
          <w:sz w:val="20"/>
        </w:rPr>
        <w:t>intervenção</w:t>
      </w:r>
      <w:r>
        <w:rPr>
          <w:spacing w:val="-2"/>
          <w:sz w:val="20"/>
        </w:rPr>
        <w:t xml:space="preserve"> </w:t>
      </w:r>
      <w:r>
        <w:rPr>
          <w:sz w:val="20"/>
        </w:rPr>
        <w:t>do</w:t>
      </w:r>
      <w:r>
        <w:rPr>
          <w:spacing w:val="-2"/>
          <w:sz w:val="20"/>
        </w:rPr>
        <w:t xml:space="preserve"> </w:t>
      </w:r>
      <w:r>
        <w:rPr>
          <w:sz w:val="20"/>
        </w:rPr>
        <w:t>Estado</w:t>
      </w:r>
      <w:r>
        <w:rPr>
          <w:spacing w:val="-2"/>
          <w:sz w:val="20"/>
        </w:rPr>
        <w:t xml:space="preserve"> </w:t>
      </w:r>
      <w:r>
        <w:rPr>
          <w:sz w:val="20"/>
        </w:rPr>
        <w:t>no</w:t>
      </w:r>
      <w:r>
        <w:rPr>
          <w:spacing w:val="-2"/>
          <w:sz w:val="20"/>
        </w:rPr>
        <w:t xml:space="preserve"> </w:t>
      </w:r>
      <w:r>
        <w:rPr>
          <w:sz w:val="20"/>
        </w:rPr>
        <w:t>domínio social,</w:t>
      </w:r>
      <w:r>
        <w:rPr>
          <w:spacing w:val="-2"/>
          <w:sz w:val="20"/>
        </w:rPr>
        <w:t xml:space="preserve"> </w:t>
      </w:r>
      <w:r>
        <w:rPr>
          <w:sz w:val="20"/>
        </w:rPr>
        <w:t>São</w:t>
      </w:r>
      <w:r>
        <w:rPr>
          <w:spacing w:val="-2"/>
          <w:sz w:val="20"/>
        </w:rPr>
        <w:t xml:space="preserve"> </w:t>
      </w:r>
      <w:r>
        <w:rPr>
          <w:sz w:val="20"/>
        </w:rPr>
        <w:t>Paulo,</w:t>
      </w:r>
      <w:r>
        <w:rPr>
          <w:spacing w:val="-3"/>
          <w:sz w:val="20"/>
        </w:rPr>
        <w:t xml:space="preserve"> </w:t>
      </w:r>
      <w:r>
        <w:rPr>
          <w:sz w:val="20"/>
        </w:rPr>
        <w:t>Malheiros,</w:t>
      </w:r>
      <w:r>
        <w:rPr>
          <w:spacing w:val="-3"/>
          <w:sz w:val="20"/>
        </w:rPr>
        <w:t xml:space="preserve"> </w:t>
      </w:r>
      <w:r>
        <w:rPr>
          <w:sz w:val="20"/>
        </w:rPr>
        <w:t xml:space="preserve">2009 apud: MARTINS, Ricardo Marcondes. </w:t>
      </w:r>
      <w:r>
        <w:rPr>
          <w:b/>
          <w:sz w:val="20"/>
        </w:rPr>
        <w:t>Teoria jurídica da liberdade</w:t>
      </w:r>
      <w:r>
        <w:rPr>
          <w:sz w:val="20"/>
        </w:rPr>
        <w:t>. São Paulo: Contracorrente, 2015, p. 203.</w:t>
      </w:r>
    </w:p>
    <w:p w:rsidR="007259F2" w:rsidRDefault="00E655B4">
      <w:pPr>
        <w:spacing w:before="1"/>
        <w:ind w:left="710"/>
        <w:jc w:val="both"/>
        <w:rPr>
          <w:i/>
          <w:sz w:val="20"/>
        </w:rPr>
      </w:pPr>
      <w:r>
        <w:rPr>
          <w:sz w:val="20"/>
          <w:vertAlign w:val="superscript"/>
        </w:rPr>
        <w:t>46</w:t>
      </w:r>
      <w:r>
        <w:rPr>
          <w:spacing w:val="-6"/>
          <w:sz w:val="20"/>
        </w:rPr>
        <w:t xml:space="preserve"> </w:t>
      </w:r>
      <w:r>
        <w:rPr>
          <w:sz w:val="20"/>
        </w:rPr>
        <w:t>SARLET;</w:t>
      </w:r>
      <w:r>
        <w:rPr>
          <w:spacing w:val="-6"/>
          <w:sz w:val="20"/>
        </w:rPr>
        <w:t xml:space="preserve"> </w:t>
      </w:r>
      <w:r>
        <w:rPr>
          <w:sz w:val="20"/>
        </w:rPr>
        <w:t>FIGUEIREDO,</w:t>
      </w:r>
      <w:r>
        <w:rPr>
          <w:spacing w:val="-4"/>
          <w:sz w:val="20"/>
        </w:rPr>
        <w:t xml:space="preserve"> </w:t>
      </w:r>
      <w:r>
        <w:rPr>
          <w:sz w:val="20"/>
        </w:rPr>
        <w:t>2013,</w:t>
      </w:r>
      <w:r>
        <w:rPr>
          <w:spacing w:val="-1"/>
          <w:sz w:val="20"/>
        </w:rPr>
        <w:t xml:space="preserve"> </w:t>
      </w:r>
      <w:r>
        <w:rPr>
          <w:i/>
          <w:sz w:val="20"/>
        </w:rPr>
        <w:t>op.</w:t>
      </w:r>
      <w:r>
        <w:rPr>
          <w:i/>
          <w:spacing w:val="-5"/>
          <w:sz w:val="20"/>
        </w:rPr>
        <w:t xml:space="preserve"> </w:t>
      </w:r>
      <w:r>
        <w:rPr>
          <w:i/>
          <w:spacing w:val="-4"/>
          <w:sz w:val="20"/>
        </w:rPr>
        <w:t>cit.</w:t>
      </w:r>
    </w:p>
    <w:p w:rsidR="007259F2" w:rsidRDefault="007259F2">
      <w:pPr>
        <w:jc w:val="both"/>
        <w:rPr>
          <w:i/>
          <w:sz w:val="20"/>
        </w:rPr>
        <w:sectPr w:rsidR="007259F2">
          <w:pgSz w:w="11910" w:h="16840"/>
          <w:pgMar w:top="1560" w:right="708" w:bottom="1020" w:left="992" w:header="0" w:footer="820" w:gutter="0"/>
          <w:cols w:space="720"/>
        </w:sectPr>
      </w:pPr>
    </w:p>
    <w:p w:rsidR="007259F2" w:rsidRDefault="00E655B4">
      <w:pPr>
        <w:pStyle w:val="Corpodetexto"/>
        <w:spacing w:before="75"/>
        <w:ind w:right="424" w:firstLine="0"/>
      </w:pPr>
      <w:r>
        <w:lastRenderedPageBreak/>
        <w:t>seguridade social, dentre os quais se inclui o direito à saúde, é materializado pelos princípios da seletividade e distributividade.</w:t>
      </w:r>
      <w:r>
        <w:rPr>
          <w:vertAlign w:val="superscript"/>
        </w:rPr>
        <w:t>47</w:t>
      </w:r>
    </w:p>
    <w:p w:rsidR="007259F2" w:rsidRDefault="00E655B4">
      <w:pPr>
        <w:pStyle w:val="Corpodetexto"/>
        <w:ind w:right="420"/>
      </w:pPr>
      <w:r>
        <w:t>Portanto, se, de um lado, a garantia do mínimo existencial representa patamar mínimo de</w:t>
      </w:r>
      <w:r>
        <w:rPr>
          <w:spacing w:val="-11"/>
        </w:rPr>
        <w:t xml:space="preserve"> </w:t>
      </w:r>
      <w:r>
        <w:t>atuação</w:t>
      </w:r>
      <w:r>
        <w:rPr>
          <w:spacing w:val="-10"/>
        </w:rPr>
        <w:t xml:space="preserve"> </w:t>
      </w:r>
      <w:r>
        <w:t>para</w:t>
      </w:r>
      <w:r>
        <w:rPr>
          <w:spacing w:val="-9"/>
        </w:rPr>
        <w:t xml:space="preserve"> </w:t>
      </w:r>
      <w:r>
        <w:t>a</w:t>
      </w:r>
      <w:r>
        <w:rPr>
          <w:spacing w:val="-7"/>
        </w:rPr>
        <w:t xml:space="preserve"> </w:t>
      </w:r>
      <w:r>
        <w:t>Administração,</w:t>
      </w:r>
      <w:r>
        <w:rPr>
          <w:spacing w:val="-9"/>
        </w:rPr>
        <w:t xml:space="preserve"> </w:t>
      </w:r>
      <w:r>
        <w:t>inclusive</w:t>
      </w:r>
      <w:r>
        <w:rPr>
          <w:spacing w:val="-10"/>
        </w:rPr>
        <w:t xml:space="preserve"> </w:t>
      </w:r>
      <w:r>
        <w:t>como</w:t>
      </w:r>
      <w:r>
        <w:rPr>
          <w:spacing w:val="-9"/>
        </w:rPr>
        <w:t xml:space="preserve"> </w:t>
      </w:r>
      <w:r>
        <w:t>vetor</w:t>
      </w:r>
      <w:r>
        <w:rPr>
          <w:spacing w:val="-10"/>
        </w:rPr>
        <w:t xml:space="preserve"> </w:t>
      </w:r>
      <w:r>
        <w:t>de</w:t>
      </w:r>
      <w:r>
        <w:rPr>
          <w:spacing w:val="-7"/>
        </w:rPr>
        <w:t xml:space="preserve"> </w:t>
      </w:r>
      <w:r>
        <w:t>controle</w:t>
      </w:r>
      <w:r>
        <w:rPr>
          <w:spacing w:val="-10"/>
        </w:rPr>
        <w:t xml:space="preserve"> </w:t>
      </w:r>
      <w:r>
        <w:t>para</w:t>
      </w:r>
      <w:r>
        <w:rPr>
          <w:spacing w:val="-9"/>
        </w:rPr>
        <w:t xml:space="preserve"> </w:t>
      </w:r>
      <w:r>
        <w:t>a</w:t>
      </w:r>
      <w:r>
        <w:rPr>
          <w:spacing w:val="-11"/>
        </w:rPr>
        <w:t xml:space="preserve"> </w:t>
      </w:r>
      <w:r>
        <w:t>discricionariedade</w:t>
      </w:r>
      <w:r>
        <w:rPr>
          <w:spacing w:val="-7"/>
        </w:rPr>
        <w:t xml:space="preserve"> </w:t>
      </w:r>
      <w:r>
        <w:t>do administrador</w:t>
      </w:r>
      <w:r>
        <w:rPr>
          <w:vertAlign w:val="superscript"/>
        </w:rPr>
        <w:t>48</w:t>
      </w:r>
      <w:r>
        <w:t>, os princípios da seletividade e distributividade atuam como limitação ao princípio da universalidade da cobertura e atendimento, de modo que os serviços de saúde devem ser prestados na medida de sua essencialidade, partindo do mais essencial em direção ao menos essencial, oferecendo maior proteção social aos mais necessitados.</w:t>
      </w:r>
    </w:p>
    <w:p w:rsidR="007259F2" w:rsidRDefault="00E655B4">
      <w:pPr>
        <w:pStyle w:val="Corpodetexto"/>
        <w:ind w:right="422"/>
      </w:pPr>
      <w:r>
        <w:t>No que tange ao controle da discricionariedade, a qual, segundo a concepção neoconstitucionalista</w:t>
      </w:r>
      <w:r>
        <w:rPr>
          <w:spacing w:val="-1"/>
        </w:rPr>
        <w:t xml:space="preserve"> </w:t>
      </w:r>
      <w:r>
        <w:t>decorre</w:t>
      </w:r>
      <w:r>
        <w:rPr>
          <w:spacing w:val="-2"/>
        </w:rPr>
        <w:t xml:space="preserve"> </w:t>
      </w:r>
      <w:r>
        <w:t>da análise</w:t>
      </w:r>
      <w:r>
        <w:rPr>
          <w:spacing w:val="-1"/>
        </w:rPr>
        <w:t xml:space="preserve"> </w:t>
      </w:r>
      <w:r>
        <w:t>do</w:t>
      </w:r>
      <w:r>
        <w:rPr>
          <w:spacing w:val="-1"/>
        </w:rPr>
        <w:t xml:space="preserve"> </w:t>
      </w:r>
      <w:r>
        <w:t>Direito globalmente</w:t>
      </w:r>
      <w:r>
        <w:rPr>
          <w:spacing w:val="-1"/>
        </w:rPr>
        <w:t xml:space="preserve"> </w:t>
      </w:r>
      <w:r>
        <w:t>considerado e</w:t>
      </w:r>
      <w:r>
        <w:rPr>
          <w:spacing w:val="-2"/>
        </w:rPr>
        <w:t xml:space="preserve"> </w:t>
      </w:r>
      <w:r>
        <w:t>não</w:t>
      </w:r>
      <w:r>
        <w:rPr>
          <w:spacing w:val="-1"/>
        </w:rPr>
        <w:t xml:space="preserve"> </w:t>
      </w:r>
      <w:r>
        <w:t>somente</w:t>
      </w:r>
      <w:r>
        <w:rPr>
          <w:spacing w:val="-2"/>
        </w:rPr>
        <w:t xml:space="preserve"> </w:t>
      </w:r>
      <w:r>
        <w:t>da lei, cabe sempre ao Poder Judiciário, caso provocado, rever a ponderação realizada pela Administração à luz do caso concreto, verificando-se, em primeiro lugar, se havia, de fato, discricionariedade e se a autoridade escolheu, sem dolo ou erro, umas das alternativas objetivamente ótimas segundo o Direito.</w:t>
      </w:r>
    </w:p>
    <w:p w:rsidR="007259F2" w:rsidRDefault="00E655B4">
      <w:pPr>
        <w:pStyle w:val="Corpodetexto"/>
        <w:spacing w:before="1"/>
        <w:ind w:right="419"/>
      </w:pPr>
      <w:r>
        <w:t>Com efeito, Ricardo Marcondes Martins</w:t>
      </w:r>
      <w:r>
        <w:rPr>
          <w:vertAlign w:val="superscript"/>
        </w:rPr>
        <w:t>49</w:t>
      </w:r>
      <w:r>
        <w:t>, acerca do controle da discricionariedade, distingue três situações distintas, as quais podem ser ilustradas por meio da norma antes idealizada. Na primeira, a Administração supõe equivocadamente haver discricionariedade, quando,</w:t>
      </w:r>
      <w:r>
        <w:rPr>
          <w:spacing w:val="-5"/>
        </w:rPr>
        <w:t xml:space="preserve"> </w:t>
      </w:r>
      <w:r>
        <w:t>na</w:t>
      </w:r>
      <w:r>
        <w:rPr>
          <w:spacing w:val="-6"/>
        </w:rPr>
        <w:t xml:space="preserve"> </w:t>
      </w:r>
      <w:r>
        <w:t>verdade,</w:t>
      </w:r>
      <w:r>
        <w:rPr>
          <w:spacing w:val="-5"/>
        </w:rPr>
        <w:t xml:space="preserve"> </w:t>
      </w:r>
      <w:r>
        <w:t>objetivamente,</w:t>
      </w:r>
      <w:r>
        <w:rPr>
          <w:spacing w:val="-3"/>
        </w:rPr>
        <w:t xml:space="preserve"> </w:t>
      </w:r>
      <w:r>
        <w:t>só</w:t>
      </w:r>
      <w:r>
        <w:rPr>
          <w:spacing w:val="-5"/>
        </w:rPr>
        <w:t xml:space="preserve"> </w:t>
      </w:r>
      <w:r>
        <w:t>uma</w:t>
      </w:r>
      <w:r>
        <w:rPr>
          <w:spacing w:val="-5"/>
        </w:rPr>
        <w:t xml:space="preserve"> </w:t>
      </w:r>
      <w:r>
        <w:t>alternativa</w:t>
      </w:r>
      <w:r>
        <w:rPr>
          <w:spacing w:val="-4"/>
        </w:rPr>
        <w:t xml:space="preserve"> </w:t>
      </w:r>
      <w:r>
        <w:t>é</w:t>
      </w:r>
      <w:r>
        <w:rPr>
          <w:spacing w:val="-6"/>
        </w:rPr>
        <w:t xml:space="preserve"> </w:t>
      </w:r>
      <w:r>
        <w:t>a</w:t>
      </w:r>
      <w:r>
        <w:rPr>
          <w:spacing w:val="-6"/>
        </w:rPr>
        <w:t xml:space="preserve"> </w:t>
      </w:r>
      <w:r>
        <w:t>melhor,</w:t>
      </w:r>
      <w:r>
        <w:rPr>
          <w:spacing w:val="-5"/>
        </w:rPr>
        <w:t xml:space="preserve"> </w:t>
      </w:r>
      <w:r>
        <w:t>de</w:t>
      </w:r>
      <w:r>
        <w:rPr>
          <w:spacing w:val="-6"/>
        </w:rPr>
        <w:t xml:space="preserve"> </w:t>
      </w:r>
      <w:r>
        <w:t>modo</w:t>
      </w:r>
      <w:r>
        <w:rPr>
          <w:spacing w:val="-4"/>
        </w:rPr>
        <w:t xml:space="preserve"> </w:t>
      </w:r>
      <w:r>
        <w:t>que</w:t>
      </w:r>
      <w:r>
        <w:rPr>
          <w:spacing w:val="-6"/>
        </w:rPr>
        <w:t xml:space="preserve"> </w:t>
      </w:r>
      <w:r>
        <w:t>há</w:t>
      </w:r>
      <w:r>
        <w:rPr>
          <w:spacing w:val="-6"/>
        </w:rPr>
        <w:t xml:space="preserve"> </w:t>
      </w:r>
      <w:r>
        <w:t>vinculação. Como adiantado, na situação hipotética na qual a Administração, com intenção de modernizar os hospitais, baseando-se no princípio da atualidade, realiza a reforma das instalações dos hospitais,</w:t>
      </w:r>
      <w:r>
        <w:rPr>
          <w:spacing w:val="-15"/>
        </w:rPr>
        <w:t xml:space="preserve"> </w:t>
      </w:r>
      <w:r>
        <w:t>reduzindo-se</w:t>
      </w:r>
      <w:r>
        <w:rPr>
          <w:spacing w:val="-13"/>
        </w:rPr>
        <w:t xml:space="preserve"> </w:t>
      </w:r>
      <w:r>
        <w:t>a</w:t>
      </w:r>
      <w:r>
        <w:rPr>
          <w:spacing w:val="-9"/>
        </w:rPr>
        <w:t xml:space="preserve"> </w:t>
      </w:r>
      <w:r>
        <w:t>demanda</w:t>
      </w:r>
      <w:r>
        <w:rPr>
          <w:spacing w:val="-15"/>
        </w:rPr>
        <w:t xml:space="preserve"> </w:t>
      </w:r>
      <w:r>
        <w:t>de</w:t>
      </w:r>
      <w:r>
        <w:rPr>
          <w:spacing w:val="-14"/>
        </w:rPr>
        <w:t xml:space="preserve"> </w:t>
      </w:r>
      <w:r>
        <w:t>pacientes</w:t>
      </w:r>
      <w:r>
        <w:rPr>
          <w:spacing w:val="-8"/>
        </w:rPr>
        <w:t xml:space="preserve"> </w:t>
      </w:r>
      <w:r>
        <w:t>atendidos</w:t>
      </w:r>
      <w:r>
        <w:rPr>
          <w:spacing w:val="-9"/>
        </w:rPr>
        <w:t xml:space="preserve"> </w:t>
      </w:r>
      <w:r>
        <w:t>em</w:t>
      </w:r>
      <w:r>
        <w:rPr>
          <w:spacing w:val="-13"/>
        </w:rPr>
        <w:t xml:space="preserve"> </w:t>
      </w:r>
      <w:r>
        <w:t>patamar</w:t>
      </w:r>
      <w:r>
        <w:rPr>
          <w:spacing w:val="-14"/>
        </w:rPr>
        <w:t xml:space="preserve"> </w:t>
      </w:r>
      <w:r>
        <w:t>inferior</w:t>
      </w:r>
      <w:r>
        <w:rPr>
          <w:spacing w:val="-13"/>
        </w:rPr>
        <w:t xml:space="preserve"> </w:t>
      </w:r>
      <w:r>
        <w:t>aos</w:t>
      </w:r>
      <w:r>
        <w:rPr>
          <w:spacing w:val="-10"/>
        </w:rPr>
        <w:t xml:space="preserve"> </w:t>
      </w:r>
      <w:r>
        <w:t>quantitativos mínimos previstos na norma há, na verdade, vinculação, pois somente uma alternativa é objetivamente melhor: a aplicação da regra que prevê os quantitativos mínimos. Portanto, o Poder Judiciário, caso provocado, substituirá a Administração e editará o ato correto.</w:t>
      </w:r>
      <w:r>
        <w:rPr>
          <w:vertAlign w:val="superscript"/>
        </w:rPr>
        <w:t>50</w:t>
      </w:r>
    </w:p>
    <w:p w:rsidR="007259F2" w:rsidRDefault="00E655B4">
      <w:pPr>
        <w:pStyle w:val="Corpodetexto"/>
        <w:spacing w:before="1"/>
        <w:ind w:right="419"/>
      </w:pPr>
      <w:r>
        <w:t>Outra situação apontada pelo autor na qual deve haver o controle de juridicidade é aquela</w:t>
      </w:r>
      <w:r>
        <w:rPr>
          <w:spacing w:val="-10"/>
        </w:rPr>
        <w:t xml:space="preserve"> </w:t>
      </w:r>
      <w:r>
        <w:t>na</w:t>
      </w:r>
      <w:r>
        <w:rPr>
          <w:spacing w:val="-11"/>
        </w:rPr>
        <w:t xml:space="preserve"> </w:t>
      </w:r>
      <w:r>
        <w:t>qual</w:t>
      </w:r>
      <w:r>
        <w:rPr>
          <w:spacing w:val="-6"/>
        </w:rPr>
        <w:t xml:space="preserve"> </w:t>
      </w:r>
      <w:r>
        <w:t>é</w:t>
      </w:r>
      <w:r>
        <w:rPr>
          <w:spacing w:val="-11"/>
        </w:rPr>
        <w:t xml:space="preserve"> </w:t>
      </w:r>
      <w:r>
        <w:t>possível</w:t>
      </w:r>
      <w:r>
        <w:rPr>
          <w:spacing w:val="-2"/>
        </w:rPr>
        <w:t xml:space="preserve"> </w:t>
      </w:r>
      <w:r>
        <w:t>escolher</w:t>
      </w:r>
      <w:r>
        <w:rPr>
          <w:spacing w:val="-8"/>
        </w:rPr>
        <w:t xml:space="preserve"> </w:t>
      </w:r>
      <w:r>
        <w:t>entre</w:t>
      </w:r>
      <w:r>
        <w:rPr>
          <w:spacing w:val="-8"/>
        </w:rPr>
        <w:t xml:space="preserve"> </w:t>
      </w:r>
      <w:r>
        <w:t>“A”</w:t>
      </w:r>
      <w:r>
        <w:rPr>
          <w:spacing w:val="-8"/>
        </w:rPr>
        <w:t xml:space="preserve"> </w:t>
      </w:r>
      <w:r>
        <w:t>e</w:t>
      </w:r>
      <w:r>
        <w:rPr>
          <w:spacing w:val="-11"/>
        </w:rPr>
        <w:t xml:space="preserve"> </w:t>
      </w:r>
      <w:r>
        <w:t>“B”,</w:t>
      </w:r>
      <w:r>
        <w:rPr>
          <w:spacing w:val="-3"/>
        </w:rPr>
        <w:t xml:space="preserve"> </w:t>
      </w:r>
      <w:r>
        <w:t>alternativas</w:t>
      </w:r>
      <w:r>
        <w:rPr>
          <w:spacing w:val="-6"/>
        </w:rPr>
        <w:t xml:space="preserve"> </w:t>
      </w:r>
      <w:r>
        <w:t>igualmente</w:t>
      </w:r>
      <w:r>
        <w:rPr>
          <w:spacing w:val="-5"/>
        </w:rPr>
        <w:t xml:space="preserve"> </w:t>
      </w:r>
      <w:r>
        <w:t>ótimas,</w:t>
      </w:r>
      <w:r>
        <w:rPr>
          <w:spacing w:val="-10"/>
        </w:rPr>
        <w:t xml:space="preserve"> </w:t>
      </w:r>
      <w:r>
        <w:t>do</w:t>
      </w:r>
      <w:r>
        <w:rPr>
          <w:spacing w:val="-7"/>
        </w:rPr>
        <w:t xml:space="preserve"> </w:t>
      </w:r>
      <w:r>
        <w:t>ponto</w:t>
      </w:r>
      <w:r>
        <w:rPr>
          <w:spacing w:val="-7"/>
        </w:rPr>
        <w:t xml:space="preserve"> </w:t>
      </w:r>
      <w:r>
        <w:t>de vista objetivo, mas a autoridade escolhe “C”, alternativa não admitida pelo princípio da boa administração.</w:t>
      </w:r>
      <w:r>
        <w:rPr>
          <w:vertAlign w:val="superscript"/>
        </w:rPr>
        <w:t>51</w:t>
      </w:r>
      <w:r>
        <w:t xml:space="preserve"> Tendo em vista a norma acima estudada, a qual tem como objetivo assegurar o atendimento de quantitativos mínimos, no que tange a supressão do déficit de profissionais de</w:t>
      </w:r>
      <w:r>
        <w:rPr>
          <w:spacing w:val="34"/>
        </w:rPr>
        <w:t xml:space="preserve"> </w:t>
      </w:r>
      <w:r>
        <w:t>saúde,</w:t>
      </w:r>
      <w:r>
        <w:rPr>
          <w:spacing w:val="38"/>
        </w:rPr>
        <w:t xml:space="preserve"> </w:t>
      </w:r>
      <w:r>
        <w:t>a</w:t>
      </w:r>
      <w:r>
        <w:rPr>
          <w:spacing w:val="36"/>
        </w:rPr>
        <w:t xml:space="preserve"> </w:t>
      </w:r>
      <w:r>
        <w:t>Administração</w:t>
      </w:r>
      <w:r>
        <w:rPr>
          <w:spacing w:val="38"/>
        </w:rPr>
        <w:t xml:space="preserve"> </w:t>
      </w:r>
      <w:r>
        <w:t>pode,</w:t>
      </w:r>
      <w:r>
        <w:rPr>
          <w:spacing w:val="37"/>
        </w:rPr>
        <w:t xml:space="preserve"> </w:t>
      </w:r>
      <w:r>
        <w:t>a</w:t>
      </w:r>
      <w:r>
        <w:rPr>
          <w:spacing w:val="37"/>
        </w:rPr>
        <w:t xml:space="preserve"> </w:t>
      </w:r>
      <w:r>
        <w:t>princípio,</w:t>
      </w:r>
      <w:r>
        <w:rPr>
          <w:spacing w:val="37"/>
        </w:rPr>
        <w:t xml:space="preserve"> </w:t>
      </w:r>
      <w:r>
        <w:t>atendê-lo</w:t>
      </w:r>
      <w:r>
        <w:rPr>
          <w:spacing w:val="38"/>
        </w:rPr>
        <w:t xml:space="preserve"> </w:t>
      </w:r>
      <w:r>
        <w:t>por</w:t>
      </w:r>
      <w:r>
        <w:rPr>
          <w:spacing w:val="36"/>
        </w:rPr>
        <w:t xml:space="preserve"> </w:t>
      </w:r>
      <w:r>
        <w:t>meio</w:t>
      </w:r>
      <w:r>
        <w:rPr>
          <w:spacing w:val="38"/>
        </w:rPr>
        <w:t xml:space="preserve"> </w:t>
      </w:r>
      <w:r>
        <w:t>da</w:t>
      </w:r>
      <w:r>
        <w:rPr>
          <w:spacing w:val="36"/>
        </w:rPr>
        <w:t xml:space="preserve"> </w:t>
      </w:r>
      <w:r>
        <w:t>abertura</w:t>
      </w:r>
      <w:r>
        <w:rPr>
          <w:spacing w:val="36"/>
        </w:rPr>
        <w:t xml:space="preserve"> </w:t>
      </w:r>
      <w:r>
        <w:t>de</w:t>
      </w:r>
      <w:r>
        <w:rPr>
          <w:spacing w:val="37"/>
        </w:rPr>
        <w:t xml:space="preserve"> </w:t>
      </w:r>
      <w:r>
        <w:rPr>
          <w:spacing w:val="-2"/>
        </w:rPr>
        <w:t>concursos</w:t>
      </w:r>
    </w:p>
    <w:p w:rsidR="007259F2" w:rsidRDefault="00DE6B1C">
      <w:pPr>
        <w:pStyle w:val="Corpodetexto"/>
        <w:spacing w:before="68"/>
        <w:ind w:left="0" w:firstLine="0"/>
        <w:jc w:val="left"/>
        <w:rPr>
          <w:sz w:val="20"/>
        </w:rPr>
      </w:pPr>
      <w:r w:rsidRPr="00DE6B1C">
        <w:rPr>
          <w:sz w:val="20"/>
        </w:rPr>
        <w:pict>
          <v:rect id="docshape147" o:spid="_x0000_s1080" style="position:absolute;margin-left:85.1pt;margin-top:16.15pt;width:2in;height:.7pt;z-index:-15663616;mso-wrap-distance-left:0;mso-wrap-distance-right:0;mso-position-horizontal-relative:page" fillcolor="black" stroked="f">
            <w10:wrap type="topAndBottom" anchorx="page"/>
          </v:rect>
        </w:pict>
      </w:r>
    </w:p>
    <w:p w:rsidR="007259F2" w:rsidRDefault="00E655B4">
      <w:pPr>
        <w:spacing w:before="96"/>
        <w:ind w:left="710" w:right="424"/>
        <w:jc w:val="both"/>
        <w:rPr>
          <w:sz w:val="20"/>
        </w:rPr>
      </w:pPr>
      <w:r>
        <w:rPr>
          <w:sz w:val="20"/>
          <w:vertAlign w:val="superscript"/>
        </w:rPr>
        <w:t>47</w:t>
      </w:r>
      <w:r>
        <w:rPr>
          <w:spacing w:val="-4"/>
          <w:sz w:val="20"/>
        </w:rPr>
        <w:t xml:space="preserve"> </w:t>
      </w:r>
      <w:r>
        <w:rPr>
          <w:sz w:val="20"/>
        </w:rPr>
        <w:t>Conforme</w:t>
      </w:r>
      <w:r>
        <w:rPr>
          <w:spacing w:val="-1"/>
          <w:sz w:val="20"/>
        </w:rPr>
        <w:t xml:space="preserve"> </w:t>
      </w:r>
      <w:r>
        <w:rPr>
          <w:sz w:val="20"/>
        </w:rPr>
        <w:t>aponta</w:t>
      </w:r>
      <w:r>
        <w:rPr>
          <w:spacing w:val="-1"/>
          <w:sz w:val="20"/>
        </w:rPr>
        <w:t xml:space="preserve"> </w:t>
      </w:r>
      <w:r>
        <w:rPr>
          <w:sz w:val="20"/>
        </w:rPr>
        <w:t>João Ernesto</w:t>
      </w:r>
      <w:r>
        <w:rPr>
          <w:spacing w:val="-1"/>
          <w:sz w:val="20"/>
        </w:rPr>
        <w:t xml:space="preserve"> </w:t>
      </w:r>
      <w:r>
        <w:rPr>
          <w:sz w:val="20"/>
        </w:rPr>
        <w:t>Aragonés</w:t>
      </w:r>
      <w:r>
        <w:rPr>
          <w:spacing w:val="-1"/>
          <w:sz w:val="20"/>
        </w:rPr>
        <w:t xml:space="preserve"> </w:t>
      </w:r>
      <w:r>
        <w:rPr>
          <w:sz w:val="20"/>
        </w:rPr>
        <w:t>Vianna:</w:t>
      </w:r>
      <w:r>
        <w:rPr>
          <w:spacing w:val="-1"/>
          <w:sz w:val="20"/>
        </w:rPr>
        <w:t xml:space="preserve"> </w:t>
      </w:r>
      <w:r>
        <w:rPr>
          <w:sz w:val="20"/>
        </w:rPr>
        <w:t>o princípio da</w:t>
      </w:r>
      <w:r>
        <w:rPr>
          <w:spacing w:val="-1"/>
          <w:sz w:val="20"/>
        </w:rPr>
        <w:t xml:space="preserve"> </w:t>
      </w:r>
      <w:r>
        <w:rPr>
          <w:sz w:val="20"/>
        </w:rPr>
        <w:t>seletividade</w:t>
      </w:r>
      <w:r>
        <w:rPr>
          <w:spacing w:val="-1"/>
          <w:sz w:val="20"/>
        </w:rPr>
        <w:t xml:space="preserve"> </w:t>
      </w:r>
      <w:r>
        <w:rPr>
          <w:sz w:val="20"/>
        </w:rPr>
        <w:t>orienta</w:t>
      </w:r>
      <w:r>
        <w:rPr>
          <w:spacing w:val="-1"/>
          <w:sz w:val="20"/>
        </w:rPr>
        <w:t xml:space="preserve"> </w:t>
      </w:r>
      <w:r>
        <w:rPr>
          <w:sz w:val="20"/>
        </w:rPr>
        <w:t>a</w:t>
      </w:r>
      <w:r>
        <w:rPr>
          <w:spacing w:val="-1"/>
          <w:sz w:val="20"/>
        </w:rPr>
        <w:t xml:space="preserve"> </w:t>
      </w:r>
      <w:r>
        <w:rPr>
          <w:sz w:val="20"/>
        </w:rPr>
        <w:t>seleção dos</w:t>
      </w:r>
      <w:r>
        <w:rPr>
          <w:spacing w:val="-1"/>
          <w:sz w:val="20"/>
        </w:rPr>
        <w:t xml:space="preserve"> </w:t>
      </w:r>
      <w:r>
        <w:rPr>
          <w:sz w:val="20"/>
        </w:rPr>
        <w:t>benefícios</w:t>
      </w:r>
      <w:r>
        <w:rPr>
          <w:spacing w:val="-1"/>
          <w:sz w:val="20"/>
        </w:rPr>
        <w:t xml:space="preserve"> </w:t>
      </w:r>
      <w:r>
        <w:rPr>
          <w:sz w:val="20"/>
        </w:rPr>
        <w:t>e serviços que serão oferecidos pelo sistema. Está intimamente relacionado com a capacidade financeira, o que significa dizer que, tendo em vista o caixa da seguridade social, os benefícios e serviços serão prestados na medida de sua essencialidade, sempre partindo do mais essencial em</w:t>
      </w:r>
      <w:r>
        <w:rPr>
          <w:spacing w:val="-1"/>
          <w:sz w:val="20"/>
        </w:rPr>
        <w:t xml:space="preserve"> </w:t>
      </w:r>
      <w:r>
        <w:rPr>
          <w:sz w:val="20"/>
        </w:rPr>
        <w:t>direção ao menos essencial. Se admitirmos, por exemplo, que o benefício de auxílio-doença é mais essencial que o benefício de gratificação natalina –</w:t>
      </w:r>
      <w:r>
        <w:rPr>
          <w:spacing w:val="40"/>
          <w:sz w:val="20"/>
        </w:rPr>
        <w:t xml:space="preserve"> </w:t>
      </w:r>
      <w:r>
        <w:rPr>
          <w:sz w:val="20"/>
        </w:rPr>
        <w:t xml:space="preserve">apenas para argumentar -, teremos que a seguridade social deve garantir antes o primeiro para depois garantir o segundo. Isso é seletividade. Na distributividade está uma das funções mais importantes do sistema, que é a redistribuição de renda. Distributividade, assim, é uma forma de realizar a justiça distributiva, oferecendo maior proteção social justamente à camada da sociedade mais necessitada (VIANNA, João Ernesto Aragonés. </w:t>
      </w:r>
      <w:r>
        <w:rPr>
          <w:b/>
          <w:sz w:val="20"/>
        </w:rPr>
        <w:t>Curso</w:t>
      </w:r>
      <w:r>
        <w:rPr>
          <w:b/>
          <w:spacing w:val="40"/>
          <w:sz w:val="20"/>
        </w:rPr>
        <w:t xml:space="preserve"> </w:t>
      </w:r>
      <w:r>
        <w:rPr>
          <w:b/>
          <w:sz w:val="20"/>
        </w:rPr>
        <w:t>de direito previdenciário</w:t>
      </w:r>
      <w:r>
        <w:rPr>
          <w:sz w:val="20"/>
        </w:rPr>
        <w:t>. 6 ed. São Paulo: Atlas, 2013. p 18)</w:t>
      </w:r>
    </w:p>
    <w:p w:rsidR="007259F2" w:rsidRDefault="00E655B4">
      <w:pPr>
        <w:spacing w:before="3"/>
        <w:ind w:left="710" w:right="421"/>
        <w:jc w:val="both"/>
        <w:rPr>
          <w:sz w:val="20"/>
        </w:rPr>
      </w:pPr>
      <w:r>
        <w:rPr>
          <w:sz w:val="20"/>
          <w:vertAlign w:val="superscript"/>
        </w:rPr>
        <w:t>48</w:t>
      </w:r>
      <w:r>
        <w:rPr>
          <w:spacing w:val="-7"/>
          <w:sz w:val="20"/>
        </w:rPr>
        <w:t xml:space="preserve"> </w:t>
      </w:r>
      <w:r>
        <w:rPr>
          <w:sz w:val="20"/>
        </w:rPr>
        <w:t>O mínimo essencial</w:t>
      </w:r>
      <w:r>
        <w:rPr>
          <w:spacing w:val="-2"/>
          <w:sz w:val="20"/>
        </w:rPr>
        <w:t xml:space="preserve"> </w:t>
      </w:r>
      <w:r>
        <w:rPr>
          <w:sz w:val="20"/>
        </w:rPr>
        <w:t>de</w:t>
      </w:r>
      <w:r>
        <w:rPr>
          <w:spacing w:val="-2"/>
          <w:sz w:val="20"/>
        </w:rPr>
        <w:t xml:space="preserve"> </w:t>
      </w:r>
      <w:r>
        <w:rPr>
          <w:sz w:val="20"/>
        </w:rPr>
        <w:t>todo</w:t>
      </w:r>
      <w:r>
        <w:rPr>
          <w:spacing w:val="-1"/>
          <w:sz w:val="20"/>
        </w:rPr>
        <w:t xml:space="preserve"> </w:t>
      </w:r>
      <w:r>
        <w:rPr>
          <w:sz w:val="20"/>
        </w:rPr>
        <w:t>e qualquer direito</w:t>
      </w:r>
      <w:r>
        <w:rPr>
          <w:spacing w:val="-1"/>
          <w:sz w:val="20"/>
        </w:rPr>
        <w:t xml:space="preserve"> </w:t>
      </w:r>
      <w:r>
        <w:rPr>
          <w:sz w:val="20"/>
        </w:rPr>
        <w:t>fundamental, sobretudo</w:t>
      </w:r>
      <w:r>
        <w:rPr>
          <w:spacing w:val="-1"/>
          <w:sz w:val="20"/>
        </w:rPr>
        <w:t xml:space="preserve"> </w:t>
      </w:r>
      <w:r>
        <w:rPr>
          <w:sz w:val="20"/>
        </w:rPr>
        <w:t>quando</w:t>
      </w:r>
      <w:r>
        <w:rPr>
          <w:spacing w:val="-1"/>
          <w:sz w:val="20"/>
        </w:rPr>
        <w:t xml:space="preserve"> </w:t>
      </w:r>
      <w:r>
        <w:rPr>
          <w:sz w:val="20"/>
        </w:rPr>
        <w:t>se</w:t>
      </w:r>
      <w:r>
        <w:rPr>
          <w:spacing w:val="-2"/>
          <w:sz w:val="20"/>
        </w:rPr>
        <w:t xml:space="preserve"> </w:t>
      </w:r>
      <w:r>
        <w:rPr>
          <w:sz w:val="20"/>
        </w:rPr>
        <w:t>apresentar</w:t>
      </w:r>
      <w:r>
        <w:rPr>
          <w:spacing w:val="-2"/>
          <w:sz w:val="20"/>
        </w:rPr>
        <w:t xml:space="preserve"> </w:t>
      </w:r>
      <w:r>
        <w:rPr>
          <w:sz w:val="20"/>
        </w:rPr>
        <w:t>como um</w:t>
      </w:r>
      <w:r>
        <w:rPr>
          <w:spacing w:val="-4"/>
          <w:sz w:val="20"/>
        </w:rPr>
        <w:t xml:space="preserve"> </w:t>
      </w:r>
      <w:r>
        <w:rPr>
          <w:sz w:val="20"/>
        </w:rPr>
        <w:t>direito</w:t>
      </w:r>
      <w:r>
        <w:rPr>
          <w:spacing w:val="-1"/>
          <w:sz w:val="20"/>
        </w:rPr>
        <w:t xml:space="preserve"> </w:t>
      </w:r>
      <w:r>
        <w:rPr>
          <w:sz w:val="20"/>
        </w:rPr>
        <w:t>à prestação do Estado, deve ser oferecido sob pena de haver um</w:t>
      </w:r>
      <w:r>
        <w:rPr>
          <w:spacing w:val="-1"/>
          <w:sz w:val="20"/>
        </w:rPr>
        <w:t xml:space="preserve"> </w:t>
      </w:r>
      <w:r>
        <w:rPr>
          <w:sz w:val="20"/>
        </w:rPr>
        <w:t>controle judicial para recompor a ordem</w:t>
      </w:r>
      <w:r>
        <w:rPr>
          <w:spacing w:val="-4"/>
          <w:sz w:val="20"/>
        </w:rPr>
        <w:t xml:space="preserve"> </w:t>
      </w:r>
      <w:r>
        <w:rPr>
          <w:sz w:val="20"/>
        </w:rPr>
        <w:t>jurídica e assegurar,</w:t>
      </w:r>
      <w:r>
        <w:rPr>
          <w:spacing w:val="-1"/>
          <w:sz w:val="20"/>
        </w:rPr>
        <w:t xml:space="preserve"> </w:t>
      </w:r>
      <w:r>
        <w:rPr>
          <w:sz w:val="20"/>
        </w:rPr>
        <w:t>ao menos</w:t>
      </w:r>
      <w:r>
        <w:rPr>
          <w:spacing w:val="-1"/>
          <w:sz w:val="20"/>
        </w:rPr>
        <w:t xml:space="preserve"> </w:t>
      </w:r>
      <w:r>
        <w:rPr>
          <w:sz w:val="20"/>
        </w:rPr>
        <w:t>pelo mínimo do valor anunciado na</w:t>
      </w:r>
      <w:r>
        <w:rPr>
          <w:spacing w:val="-1"/>
          <w:sz w:val="20"/>
        </w:rPr>
        <w:t xml:space="preserve"> </w:t>
      </w:r>
      <w:r>
        <w:rPr>
          <w:sz w:val="20"/>
        </w:rPr>
        <w:t>norma, algum</w:t>
      </w:r>
      <w:r>
        <w:rPr>
          <w:spacing w:val="-2"/>
          <w:sz w:val="20"/>
        </w:rPr>
        <w:t xml:space="preserve"> </w:t>
      </w:r>
      <w:r>
        <w:rPr>
          <w:sz w:val="20"/>
        </w:rPr>
        <w:t>sentido à</w:t>
      </w:r>
      <w:r>
        <w:rPr>
          <w:spacing w:val="-1"/>
          <w:sz w:val="20"/>
        </w:rPr>
        <w:t xml:space="preserve"> </w:t>
      </w:r>
      <w:r>
        <w:rPr>
          <w:sz w:val="20"/>
        </w:rPr>
        <w:t>máxima</w:t>
      </w:r>
      <w:r>
        <w:rPr>
          <w:spacing w:val="-1"/>
          <w:sz w:val="20"/>
        </w:rPr>
        <w:t xml:space="preserve"> </w:t>
      </w:r>
      <w:r>
        <w:rPr>
          <w:sz w:val="20"/>
        </w:rPr>
        <w:t>efetividade</w:t>
      </w:r>
      <w:r>
        <w:rPr>
          <w:spacing w:val="-1"/>
          <w:sz w:val="20"/>
        </w:rPr>
        <w:t xml:space="preserve"> </w:t>
      </w:r>
      <w:r>
        <w:rPr>
          <w:sz w:val="20"/>
        </w:rPr>
        <w:t>que</w:t>
      </w:r>
      <w:r>
        <w:rPr>
          <w:spacing w:val="-1"/>
          <w:sz w:val="20"/>
        </w:rPr>
        <w:t xml:space="preserve"> </w:t>
      </w:r>
      <w:r>
        <w:rPr>
          <w:sz w:val="20"/>
        </w:rPr>
        <w:t xml:space="preserve">deveria ter (PIRES, Luis Manuel Fonseca. </w:t>
      </w:r>
      <w:r>
        <w:rPr>
          <w:b/>
          <w:sz w:val="20"/>
        </w:rPr>
        <w:t>Controle Judicial da discricionariedade administrativa</w:t>
      </w:r>
      <w:r>
        <w:rPr>
          <w:sz w:val="20"/>
        </w:rPr>
        <w:t>: dos conceitos jurídicos indeterminados às políticas públicas. Rio de Janeiro: Elsevier, 2009, p. 303)</w:t>
      </w:r>
    </w:p>
    <w:p w:rsidR="007259F2" w:rsidRDefault="00E655B4">
      <w:pPr>
        <w:spacing w:line="230" w:lineRule="exact"/>
        <w:ind w:left="710"/>
        <w:jc w:val="both"/>
        <w:rPr>
          <w:i/>
          <w:sz w:val="20"/>
        </w:rPr>
      </w:pPr>
      <w:r>
        <w:rPr>
          <w:sz w:val="20"/>
          <w:vertAlign w:val="superscript"/>
        </w:rPr>
        <w:t>49</w:t>
      </w:r>
      <w:r>
        <w:rPr>
          <w:spacing w:val="-9"/>
          <w:sz w:val="20"/>
        </w:rPr>
        <w:t xml:space="preserve"> </w:t>
      </w:r>
      <w:r>
        <w:rPr>
          <w:sz w:val="20"/>
        </w:rPr>
        <w:t>MARTINS,</w:t>
      </w:r>
      <w:r>
        <w:rPr>
          <w:spacing w:val="-5"/>
          <w:sz w:val="20"/>
        </w:rPr>
        <w:t xml:space="preserve"> </w:t>
      </w:r>
      <w:r>
        <w:rPr>
          <w:sz w:val="20"/>
        </w:rPr>
        <w:t>2024,</w:t>
      </w:r>
      <w:r>
        <w:rPr>
          <w:spacing w:val="-2"/>
          <w:sz w:val="20"/>
        </w:rPr>
        <w:t xml:space="preserve"> </w:t>
      </w:r>
      <w:r>
        <w:rPr>
          <w:i/>
          <w:sz w:val="20"/>
        </w:rPr>
        <w:t>op.</w:t>
      </w:r>
      <w:r>
        <w:rPr>
          <w:i/>
          <w:spacing w:val="-4"/>
          <w:sz w:val="20"/>
        </w:rPr>
        <w:t xml:space="preserve"> cit.</w:t>
      </w:r>
    </w:p>
    <w:p w:rsidR="007259F2" w:rsidRDefault="00E655B4">
      <w:pPr>
        <w:ind w:left="710" w:right="422"/>
        <w:jc w:val="both"/>
        <w:rPr>
          <w:sz w:val="20"/>
        </w:rPr>
      </w:pPr>
      <w:r>
        <w:rPr>
          <w:sz w:val="20"/>
          <w:vertAlign w:val="superscript"/>
        </w:rPr>
        <w:t>50</w:t>
      </w:r>
      <w:r>
        <w:rPr>
          <w:sz w:val="20"/>
        </w:rPr>
        <w:t xml:space="preserve"> No caso de vinculação, o Judiciário, no direito brasileiro, influenciado pela compreensão norte-americana da separação de poderes, quando provocado, substitui a Administração e edita o ato correto (sistema da</w:t>
      </w:r>
      <w:r>
        <w:rPr>
          <w:spacing w:val="40"/>
          <w:sz w:val="20"/>
        </w:rPr>
        <w:t xml:space="preserve"> </w:t>
      </w:r>
      <w:r>
        <w:rPr>
          <w:sz w:val="20"/>
        </w:rPr>
        <w:t xml:space="preserve">substituição) (MARTINS, </w:t>
      </w:r>
      <w:r>
        <w:rPr>
          <w:i/>
          <w:sz w:val="20"/>
        </w:rPr>
        <w:t>Ibid</w:t>
      </w:r>
      <w:r>
        <w:rPr>
          <w:sz w:val="20"/>
        </w:rPr>
        <w:t>.).</w:t>
      </w:r>
    </w:p>
    <w:p w:rsidR="007259F2" w:rsidRDefault="00E655B4">
      <w:pPr>
        <w:ind w:left="710" w:right="424"/>
        <w:jc w:val="both"/>
        <w:rPr>
          <w:sz w:val="20"/>
        </w:rPr>
      </w:pPr>
      <w:r>
        <w:rPr>
          <w:sz w:val="20"/>
          <w:vertAlign w:val="superscript"/>
        </w:rPr>
        <w:t>51</w:t>
      </w:r>
      <w:r>
        <w:rPr>
          <w:spacing w:val="-4"/>
          <w:sz w:val="20"/>
        </w:rPr>
        <w:t xml:space="preserve"> </w:t>
      </w:r>
      <w:r>
        <w:rPr>
          <w:sz w:val="20"/>
        </w:rPr>
        <w:t xml:space="preserve">Conforme apontado por Ricardo Marcondes Martins o dever de boa administração compreende o dever de que diante de duas alternativas, a Administração é obrigada a escolher a melhor alternativa para o interesse público (MARTINS, Ricardo Marcondes. Proporcionalidade e boa administração. </w:t>
      </w:r>
      <w:r>
        <w:rPr>
          <w:b/>
          <w:sz w:val="20"/>
        </w:rPr>
        <w:t>Revista Internacional de Direito Público - RIDP</w:t>
      </w:r>
      <w:r>
        <w:rPr>
          <w:sz w:val="20"/>
        </w:rPr>
        <w:t>, Belo Horizonte, ano 2, n. 2, p. 9-35, jan./jun. 2017).</w:t>
      </w:r>
    </w:p>
    <w:p w:rsidR="007259F2" w:rsidRDefault="007259F2">
      <w:pPr>
        <w:jc w:val="both"/>
        <w:rPr>
          <w:sz w:val="20"/>
        </w:rPr>
        <w:sectPr w:rsidR="007259F2">
          <w:pgSz w:w="11910" w:h="16840"/>
          <w:pgMar w:top="1600" w:right="708" w:bottom="1020" w:left="992" w:header="0" w:footer="820" w:gutter="0"/>
          <w:cols w:space="720"/>
        </w:sectPr>
      </w:pPr>
    </w:p>
    <w:p w:rsidR="007259F2" w:rsidRDefault="00E655B4">
      <w:pPr>
        <w:pStyle w:val="Corpodetexto"/>
        <w:spacing w:before="75"/>
        <w:ind w:right="419" w:firstLine="0"/>
      </w:pPr>
      <w:r>
        <w:lastRenderedPageBreak/>
        <w:t>públicos, remanejamento de servidores já contratados ou ainda por meio da delegação dos serviços</w:t>
      </w:r>
      <w:r>
        <w:rPr>
          <w:spacing w:val="-2"/>
        </w:rPr>
        <w:t xml:space="preserve"> </w:t>
      </w:r>
      <w:r>
        <w:t>a</w:t>
      </w:r>
      <w:r>
        <w:rPr>
          <w:spacing w:val="-3"/>
        </w:rPr>
        <w:t xml:space="preserve"> </w:t>
      </w:r>
      <w:r>
        <w:t>entidades</w:t>
      </w:r>
      <w:r>
        <w:rPr>
          <w:spacing w:val="-2"/>
        </w:rPr>
        <w:t xml:space="preserve"> </w:t>
      </w:r>
      <w:r>
        <w:t>do</w:t>
      </w:r>
      <w:r>
        <w:rPr>
          <w:spacing w:val="-2"/>
        </w:rPr>
        <w:t xml:space="preserve"> </w:t>
      </w:r>
      <w:r>
        <w:t>terceiro</w:t>
      </w:r>
      <w:r>
        <w:rPr>
          <w:spacing w:val="-2"/>
        </w:rPr>
        <w:t xml:space="preserve"> </w:t>
      </w:r>
      <w:r>
        <w:t>setor.</w:t>
      </w:r>
      <w:r>
        <w:rPr>
          <w:spacing w:val="-2"/>
        </w:rPr>
        <w:t xml:space="preserve"> </w:t>
      </w:r>
      <w:r>
        <w:t>Contudo,</w:t>
      </w:r>
      <w:r>
        <w:rPr>
          <w:spacing w:val="-2"/>
        </w:rPr>
        <w:t xml:space="preserve"> </w:t>
      </w:r>
      <w:r>
        <w:t>suponha</w:t>
      </w:r>
      <w:r>
        <w:rPr>
          <w:spacing w:val="-3"/>
        </w:rPr>
        <w:t xml:space="preserve"> </w:t>
      </w:r>
      <w:r>
        <w:t>que</w:t>
      </w:r>
      <w:r>
        <w:rPr>
          <w:spacing w:val="-6"/>
        </w:rPr>
        <w:t xml:space="preserve"> </w:t>
      </w:r>
      <w:r>
        <w:t>o administrador,</w:t>
      </w:r>
      <w:r>
        <w:rPr>
          <w:spacing w:val="-2"/>
        </w:rPr>
        <w:t xml:space="preserve"> </w:t>
      </w:r>
      <w:r>
        <w:t>tendo</w:t>
      </w:r>
      <w:r>
        <w:rPr>
          <w:spacing w:val="-3"/>
        </w:rPr>
        <w:t xml:space="preserve"> </w:t>
      </w:r>
      <w:r>
        <w:t>em</w:t>
      </w:r>
      <w:r>
        <w:rPr>
          <w:spacing w:val="-2"/>
        </w:rPr>
        <w:t xml:space="preserve"> </w:t>
      </w:r>
      <w:r>
        <w:t>vista</w:t>
      </w:r>
      <w:r>
        <w:rPr>
          <w:spacing w:val="-1"/>
        </w:rPr>
        <w:t xml:space="preserve"> </w:t>
      </w:r>
      <w:r>
        <w:t>a inexistência de outras entidades que atendam os quantitativos mínimos, por erro, realize a prorrogação do contrato com Organização Social, cujo administrador responsável tenha sido condenado</w:t>
      </w:r>
      <w:r>
        <w:rPr>
          <w:spacing w:val="-4"/>
        </w:rPr>
        <w:t xml:space="preserve"> </w:t>
      </w:r>
      <w:r>
        <w:t>em</w:t>
      </w:r>
      <w:r>
        <w:rPr>
          <w:spacing w:val="-2"/>
        </w:rPr>
        <w:t xml:space="preserve"> </w:t>
      </w:r>
      <w:r>
        <w:t>razão</w:t>
      </w:r>
      <w:r>
        <w:rPr>
          <w:spacing w:val="-4"/>
        </w:rPr>
        <w:t xml:space="preserve"> </w:t>
      </w:r>
      <w:r>
        <w:t>da</w:t>
      </w:r>
      <w:r>
        <w:rPr>
          <w:spacing w:val="-5"/>
        </w:rPr>
        <w:t xml:space="preserve"> </w:t>
      </w:r>
      <w:r>
        <w:t>prática</w:t>
      </w:r>
      <w:r>
        <w:rPr>
          <w:spacing w:val="-5"/>
        </w:rPr>
        <w:t xml:space="preserve"> </w:t>
      </w:r>
      <w:r>
        <w:t>de</w:t>
      </w:r>
      <w:r>
        <w:rPr>
          <w:spacing w:val="-3"/>
        </w:rPr>
        <w:t xml:space="preserve"> </w:t>
      </w:r>
      <w:r>
        <w:t>atos</w:t>
      </w:r>
      <w:r>
        <w:rPr>
          <w:spacing w:val="-4"/>
        </w:rPr>
        <w:t xml:space="preserve"> </w:t>
      </w:r>
      <w:r>
        <w:t>de</w:t>
      </w:r>
      <w:r>
        <w:rPr>
          <w:spacing w:val="-5"/>
        </w:rPr>
        <w:t xml:space="preserve"> </w:t>
      </w:r>
      <w:r>
        <w:t>improbidade</w:t>
      </w:r>
      <w:r>
        <w:rPr>
          <w:spacing w:val="-5"/>
        </w:rPr>
        <w:t xml:space="preserve"> </w:t>
      </w:r>
      <w:r>
        <w:t>administrativa.</w:t>
      </w:r>
      <w:r>
        <w:rPr>
          <w:spacing w:val="-1"/>
        </w:rPr>
        <w:t xml:space="preserve"> </w:t>
      </w:r>
      <w:r>
        <w:t>Nessa</w:t>
      </w:r>
      <w:r>
        <w:rPr>
          <w:spacing w:val="-4"/>
        </w:rPr>
        <w:t xml:space="preserve"> </w:t>
      </w:r>
      <w:r>
        <w:t>situação,</w:t>
      </w:r>
      <w:r>
        <w:rPr>
          <w:spacing w:val="-2"/>
        </w:rPr>
        <w:t xml:space="preserve"> </w:t>
      </w:r>
      <w:r>
        <w:t>embora a Administração pudesse, princípio, atender o déficit de profissionais de saúde por meio de diversas soluções, consoante o princípio da boa administração, no caso concreto, há somente duas soluções ótima sob o ponto de vista do Direito: a abertura de concurso público ou remanejamento de servidores, se existentes em número suficiente, sob pena de invalidade do ato administrativo por desvio de poder.</w:t>
      </w:r>
    </w:p>
    <w:p w:rsidR="007259F2" w:rsidRDefault="00E655B4">
      <w:pPr>
        <w:pStyle w:val="Corpodetexto"/>
        <w:ind w:right="423"/>
      </w:pPr>
      <w:r>
        <w:t>Assim,</w:t>
      </w:r>
      <w:r>
        <w:rPr>
          <w:spacing w:val="-1"/>
        </w:rPr>
        <w:t xml:space="preserve"> </w:t>
      </w:r>
      <w:r>
        <w:t>embora as razões que</w:t>
      </w:r>
      <w:r>
        <w:rPr>
          <w:spacing w:val="-1"/>
        </w:rPr>
        <w:t xml:space="preserve"> </w:t>
      </w:r>
      <w:r>
        <w:t>motivaram o agente para realizar a escolha discricionária não sejam jurídicas, estas, ao fundamentarem sua escolha, adquirem “relevância jurídica”, de modo que cabe ao agente explicitar na motivação do ato administrativo os motivos subjetivos que</w:t>
      </w:r>
      <w:r>
        <w:rPr>
          <w:spacing w:val="-9"/>
        </w:rPr>
        <w:t xml:space="preserve"> </w:t>
      </w:r>
      <w:r>
        <w:t>levaram</w:t>
      </w:r>
      <w:r>
        <w:rPr>
          <w:spacing w:val="-8"/>
        </w:rPr>
        <w:t xml:space="preserve"> </w:t>
      </w:r>
      <w:r>
        <w:t>a</w:t>
      </w:r>
      <w:r>
        <w:rPr>
          <w:spacing w:val="-9"/>
        </w:rPr>
        <w:t xml:space="preserve"> </w:t>
      </w:r>
      <w:r>
        <w:t>escolha</w:t>
      </w:r>
      <w:r>
        <w:rPr>
          <w:spacing w:val="-8"/>
        </w:rPr>
        <w:t xml:space="preserve"> </w:t>
      </w:r>
      <w:r>
        <w:t>de</w:t>
      </w:r>
      <w:r>
        <w:rPr>
          <w:spacing w:val="-7"/>
        </w:rPr>
        <w:t xml:space="preserve"> </w:t>
      </w:r>
      <w:r>
        <w:t>determinada</w:t>
      </w:r>
      <w:r>
        <w:rPr>
          <w:spacing w:val="-9"/>
        </w:rPr>
        <w:t xml:space="preserve"> </w:t>
      </w:r>
      <w:r>
        <w:t>solução</w:t>
      </w:r>
      <w:r>
        <w:rPr>
          <w:spacing w:val="-8"/>
        </w:rPr>
        <w:t xml:space="preserve"> </w:t>
      </w:r>
      <w:r>
        <w:t>para</w:t>
      </w:r>
      <w:r>
        <w:rPr>
          <w:spacing w:val="-7"/>
        </w:rPr>
        <w:t xml:space="preserve"> </w:t>
      </w:r>
      <w:r>
        <w:t>fins</w:t>
      </w:r>
      <w:r>
        <w:rPr>
          <w:spacing w:val="-8"/>
        </w:rPr>
        <w:t xml:space="preserve"> </w:t>
      </w:r>
      <w:r>
        <w:t>de</w:t>
      </w:r>
      <w:r>
        <w:rPr>
          <w:spacing w:val="-7"/>
        </w:rPr>
        <w:t xml:space="preserve"> </w:t>
      </w:r>
      <w:r>
        <w:t>controle</w:t>
      </w:r>
      <w:r>
        <w:rPr>
          <w:spacing w:val="-9"/>
        </w:rPr>
        <w:t xml:space="preserve"> </w:t>
      </w:r>
      <w:r>
        <w:t>da</w:t>
      </w:r>
      <w:r>
        <w:rPr>
          <w:spacing w:val="-9"/>
        </w:rPr>
        <w:t xml:space="preserve"> </w:t>
      </w:r>
      <w:r>
        <w:t>discricionariedade</w:t>
      </w:r>
      <w:r>
        <w:rPr>
          <w:spacing w:val="-8"/>
        </w:rPr>
        <w:t xml:space="preserve"> </w:t>
      </w:r>
      <w:r>
        <w:t>junto aos órgãos de controle e ao Poder Judiciário.</w:t>
      </w:r>
    </w:p>
    <w:p w:rsidR="007259F2" w:rsidRDefault="00E655B4">
      <w:pPr>
        <w:pStyle w:val="Corpodetexto"/>
        <w:spacing w:before="1"/>
        <w:ind w:right="422"/>
      </w:pPr>
      <w:r>
        <w:t>Por</w:t>
      </w:r>
      <w:r>
        <w:rPr>
          <w:spacing w:val="-1"/>
        </w:rPr>
        <w:t xml:space="preserve"> </w:t>
      </w:r>
      <w:r>
        <w:t>fim, a</w:t>
      </w:r>
      <w:r>
        <w:rPr>
          <w:spacing w:val="-1"/>
        </w:rPr>
        <w:t xml:space="preserve"> </w:t>
      </w:r>
      <w:r>
        <w:t>terceira situação decorre</w:t>
      </w:r>
      <w:r>
        <w:rPr>
          <w:spacing w:val="-1"/>
        </w:rPr>
        <w:t xml:space="preserve"> </w:t>
      </w:r>
      <w:r>
        <w:t>da hipótese na qual é possível que o Direito admita escolher entre “A” e “B”, mas o agente escolhe com móvel espúrio, de modo que se presume ter</w:t>
      </w:r>
      <w:r>
        <w:rPr>
          <w:spacing w:val="-15"/>
        </w:rPr>
        <w:t xml:space="preserve"> </w:t>
      </w:r>
      <w:r>
        <w:t>optado</w:t>
      </w:r>
      <w:r>
        <w:rPr>
          <w:spacing w:val="-15"/>
        </w:rPr>
        <w:t xml:space="preserve"> </w:t>
      </w:r>
      <w:r>
        <w:t>pela</w:t>
      </w:r>
      <w:r>
        <w:rPr>
          <w:spacing w:val="-15"/>
        </w:rPr>
        <w:t xml:space="preserve"> </w:t>
      </w:r>
      <w:r>
        <w:t>alternativa</w:t>
      </w:r>
      <w:r>
        <w:rPr>
          <w:spacing w:val="-15"/>
        </w:rPr>
        <w:t xml:space="preserve"> </w:t>
      </w:r>
      <w:r>
        <w:t>errada.</w:t>
      </w:r>
      <w:r>
        <w:rPr>
          <w:spacing w:val="-15"/>
        </w:rPr>
        <w:t xml:space="preserve"> </w:t>
      </w:r>
      <w:r>
        <w:t>Ainda</w:t>
      </w:r>
      <w:r>
        <w:rPr>
          <w:spacing w:val="-15"/>
        </w:rPr>
        <w:t xml:space="preserve"> </w:t>
      </w:r>
      <w:r>
        <w:t>na</w:t>
      </w:r>
      <w:r>
        <w:rPr>
          <w:spacing w:val="-15"/>
        </w:rPr>
        <w:t xml:space="preserve"> </w:t>
      </w:r>
      <w:r>
        <w:t>situação</w:t>
      </w:r>
      <w:r>
        <w:rPr>
          <w:spacing w:val="-15"/>
        </w:rPr>
        <w:t xml:space="preserve"> </w:t>
      </w:r>
      <w:r>
        <w:t>hipotética</w:t>
      </w:r>
      <w:r>
        <w:rPr>
          <w:spacing w:val="-15"/>
        </w:rPr>
        <w:t xml:space="preserve"> </w:t>
      </w:r>
      <w:r>
        <w:t>imaginada,</w:t>
      </w:r>
      <w:r>
        <w:rPr>
          <w:spacing w:val="-15"/>
        </w:rPr>
        <w:t xml:space="preserve"> </w:t>
      </w:r>
      <w:r>
        <w:t>suponha</w:t>
      </w:r>
      <w:r>
        <w:rPr>
          <w:spacing w:val="-15"/>
        </w:rPr>
        <w:t xml:space="preserve"> </w:t>
      </w:r>
      <w:r>
        <w:t>que</w:t>
      </w:r>
      <w:r>
        <w:rPr>
          <w:spacing w:val="-15"/>
        </w:rPr>
        <w:t xml:space="preserve"> </w:t>
      </w:r>
      <w:r>
        <w:t>o</w:t>
      </w:r>
      <w:r>
        <w:rPr>
          <w:spacing w:val="-15"/>
        </w:rPr>
        <w:t xml:space="preserve"> </w:t>
      </w:r>
      <w:r>
        <w:t>agente responsável</w:t>
      </w:r>
      <w:r>
        <w:rPr>
          <w:spacing w:val="-15"/>
        </w:rPr>
        <w:t xml:space="preserve"> </w:t>
      </w:r>
      <w:r>
        <w:t>por</w:t>
      </w:r>
      <w:r>
        <w:rPr>
          <w:spacing w:val="-15"/>
        </w:rPr>
        <w:t xml:space="preserve"> </w:t>
      </w:r>
      <w:r>
        <w:t>escolher</w:t>
      </w:r>
      <w:r>
        <w:rPr>
          <w:spacing w:val="-15"/>
        </w:rPr>
        <w:t xml:space="preserve"> </w:t>
      </w:r>
      <w:r>
        <w:t>a</w:t>
      </w:r>
      <w:r>
        <w:rPr>
          <w:spacing w:val="-15"/>
        </w:rPr>
        <w:t xml:space="preserve"> </w:t>
      </w:r>
      <w:r>
        <w:t>melhor</w:t>
      </w:r>
      <w:r>
        <w:rPr>
          <w:spacing w:val="-15"/>
        </w:rPr>
        <w:t xml:space="preserve"> </w:t>
      </w:r>
      <w:r>
        <w:t>solução</w:t>
      </w:r>
      <w:r>
        <w:rPr>
          <w:spacing w:val="-15"/>
        </w:rPr>
        <w:t xml:space="preserve"> </w:t>
      </w:r>
      <w:r>
        <w:t>para</w:t>
      </w:r>
      <w:r>
        <w:rPr>
          <w:spacing w:val="-15"/>
        </w:rPr>
        <w:t xml:space="preserve"> </w:t>
      </w:r>
      <w:r>
        <w:t>suprir</w:t>
      </w:r>
      <w:r>
        <w:rPr>
          <w:spacing w:val="-15"/>
        </w:rPr>
        <w:t xml:space="preserve"> </w:t>
      </w:r>
      <w:r>
        <w:t>o</w:t>
      </w:r>
      <w:r>
        <w:rPr>
          <w:spacing w:val="-15"/>
        </w:rPr>
        <w:t xml:space="preserve"> </w:t>
      </w:r>
      <w:r>
        <w:t>déficit</w:t>
      </w:r>
      <w:r>
        <w:rPr>
          <w:spacing w:val="-15"/>
        </w:rPr>
        <w:t xml:space="preserve"> </w:t>
      </w:r>
      <w:r>
        <w:t>de</w:t>
      </w:r>
      <w:r>
        <w:rPr>
          <w:spacing w:val="-15"/>
        </w:rPr>
        <w:t xml:space="preserve"> </w:t>
      </w:r>
      <w:r>
        <w:t>profissionais</w:t>
      </w:r>
      <w:r>
        <w:rPr>
          <w:spacing w:val="-15"/>
        </w:rPr>
        <w:t xml:space="preserve"> </w:t>
      </w:r>
      <w:r>
        <w:t>de</w:t>
      </w:r>
      <w:r>
        <w:rPr>
          <w:spacing w:val="-15"/>
        </w:rPr>
        <w:t xml:space="preserve"> </w:t>
      </w:r>
      <w:r>
        <w:t>saúde</w:t>
      </w:r>
      <w:r>
        <w:rPr>
          <w:spacing w:val="-15"/>
        </w:rPr>
        <w:t xml:space="preserve"> </w:t>
      </w:r>
      <w:r>
        <w:t>escolhe contratar organização social, cuja gestão é realizada por familiar ou amigo, com a intenção de favorecer</w:t>
      </w:r>
      <w:r>
        <w:rPr>
          <w:spacing w:val="-6"/>
        </w:rPr>
        <w:t xml:space="preserve"> </w:t>
      </w:r>
      <w:r>
        <w:t>estes</w:t>
      </w:r>
      <w:r>
        <w:rPr>
          <w:spacing w:val="-6"/>
        </w:rPr>
        <w:t xml:space="preserve"> </w:t>
      </w:r>
      <w:r>
        <w:t>financeiramente,</w:t>
      </w:r>
      <w:r>
        <w:rPr>
          <w:spacing w:val="-7"/>
        </w:rPr>
        <w:t xml:space="preserve"> </w:t>
      </w:r>
      <w:r>
        <w:t>de</w:t>
      </w:r>
      <w:r>
        <w:rPr>
          <w:spacing w:val="-9"/>
        </w:rPr>
        <w:t xml:space="preserve"> </w:t>
      </w:r>
      <w:r>
        <w:t>modo</w:t>
      </w:r>
      <w:r>
        <w:rPr>
          <w:spacing w:val="-8"/>
        </w:rPr>
        <w:t xml:space="preserve"> </w:t>
      </w:r>
      <w:r>
        <w:t>que,</w:t>
      </w:r>
      <w:r>
        <w:rPr>
          <w:spacing w:val="-8"/>
        </w:rPr>
        <w:t xml:space="preserve"> </w:t>
      </w:r>
      <w:r>
        <w:t>em</w:t>
      </w:r>
      <w:r>
        <w:rPr>
          <w:spacing w:val="-5"/>
        </w:rPr>
        <w:t xml:space="preserve"> </w:t>
      </w:r>
      <w:r>
        <w:t>razão</w:t>
      </w:r>
      <w:r>
        <w:rPr>
          <w:spacing w:val="-8"/>
        </w:rPr>
        <w:t xml:space="preserve"> </w:t>
      </w:r>
      <w:r>
        <w:t>da</w:t>
      </w:r>
      <w:r>
        <w:rPr>
          <w:spacing w:val="-9"/>
        </w:rPr>
        <w:t xml:space="preserve"> </w:t>
      </w:r>
      <w:r>
        <w:t>má-fé</w:t>
      </w:r>
      <w:r>
        <w:rPr>
          <w:spacing w:val="37"/>
        </w:rPr>
        <w:t xml:space="preserve"> </w:t>
      </w:r>
      <w:r>
        <w:t>do</w:t>
      </w:r>
      <w:r>
        <w:rPr>
          <w:spacing w:val="-8"/>
        </w:rPr>
        <w:t xml:space="preserve"> </w:t>
      </w:r>
      <w:r>
        <w:t>agente</w:t>
      </w:r>
      <w:r>
        <w:rPr>
          <w:spacing w:val="-5"/>
        </w:rPr>
        <w:t xml:space="preserve"> </w:t>
      </w:r>
      <w:r>
        <w:t>se</w:t>
      </w:r>
      <w:r>
        <w:rPr>
          <w:spacing w:val="-9"/>
        </w:rPr>
        <w:t xml:space="preserve"> </w:t>
      </w:r>
      <w:r>
        <w:t>faz</w:t>
      </w:r>
      <w:r>
        <w:rPr>
          <w:spacing w:val="-7"/>
        </w:rPr>
        <w:t xml:space="preserve"> </w:t>
      </w:r>
      <w:r>
        <w:t>presumir</w:t>
      </w:r>
      <w:r>
        <w:rPr>
          <w:spacing w:val="-9"/>
        </w:rPr>
        <w:t xml:space="preserve"> </w:t>
      </w:r>
      <w:r>
        <w:t>de modo absoluto o vício de desvio de poder.</w:t>
      </w:r>
      <w:r>
        <w:rPr>
          <w:vertAlign w:val="superscript"/>
        </w:rPr>
        <w:t>52</w:t>
      </w:r>
    </w:p>
    <w:p w:rsidR="007259F2" w:rsidRDefault="00E655B4">
      <w:pPr>
        <w:pStyle w:val="Corpodetexto"/>
        <w:ind w:right="422"/>
      </w:pPr>
      <w:r>
        <w:t>Por</w:t>
      </w:r>
      <w:r>
        <w:rPr>
          <w:spacing w:val="-6"/>
        </w:rPr>
        <w:t xml:space="preserve"> </w:t>
      </w:r>
      <w:r>
        <w:t>sua</w:t>
      </w:r>
      <w:r>
        <w:rPr>
          <w:spacing w:val="-7"/>
        </w:rPr>
        <w:t xml:space="preserve"> </w:t>
      </w:r>
      <w:r>
        <w:t>vez,</w:t>
      </w:r>
      <w:r>
        <w:rPr>
          <w:spacing w:val="-6"/>
        </w:rPr>
        <w:t xml:space="preserve"> </w:t>
      </w:r>
      <w:r>
        <w:t>se</w:t>
      </w:r>
      <w:r>
        <w:rPr>
          <w:spacing w:val="-6"/>
        </w:rPr>
        <w:t xml:space="preserve"> </w:t>
      </w:r>
      <w:r>
        <w:t>de</w:t>
      </w:r>
      <w:r>
        <w:rPr>
          <w:spacing w:val="-7"/>
        </w:rPr>
        <w:t xml:space="preserve"> </w:t>
      </w:r>
      <w:r>
        <w:t>fato</w:t>
      </w:r>
      <w:r>
        <w:rPr>
          <w:spacing w:val="-5"/>
        </w:rPr>
        <w:t xml:space="preserve"> </w:t>
      </w:r>
      <w:r>
        <w:t>existia</w:t>
      </w:r>
      <w:r>
        <w:rPr>
          <w:spacing w:val="-6"/>
        </w:rPr>
        <w:t xml:space="preserve"> </w:t>
      </w:r>
      <w:r>
        <w:t>discricionariedade</w:t>
      </w:r>
      <w:r>
        <w:rPr>
          <w:spacing w:val="-6"/>
        </w:rPr>
        <w:t xml:space="preserve"> </w:t>
      </w:r>
      <w:r>
        <w:t>e</w:t>
      </w:r>
      <w:r>
        <w:rPr>
          <w:spacing w:val="-2"/>
        </w:rPr>
        <w:t xml:space="preserve"> </w:t>
      </w:r>
      <w:r>
        <w:t>a</w:t>
      </w:r>
      <w:r>
        <w:rPr>
          <w:spacing w:val="-7"/>
        </w:rPr>
        <w:t xml:space="preserve"> </w:t>
      </w:r>
      <w:r>
        <w:t>autoridade</w:t>
      </w:r>
      <w:r>
        <w:rPr>
          <w:spacing w:val="-4"/>
        </w:rPr>
        <w:t xml:space="preserve"> </w:t>
      </w:r>
      <w:r>
        <w:t>administrativa</w:t>
      </w:r>
      <w:r>
        <w:rPr>
          <w:spacing w:val="-5"/>
        </w:rPr>
        <w:t xml:space="preserve"> </w:t>
      </w:r>
      <w:r>
        <w:t>escolheu sem</w:t>
      </w:r>
      <w:r>
        <w:rPr>
          <w:spacing w:val="-7"/>
        </w:rPr>
        <w:t xml:space="preserve"> </w:t>
      </w:r>
      <w:r>
        <w:t>dolo</w:t>
      </w:r>
      <w:r>
        <w:rPr>
          <w:spacing w:val="-7"/>
        </w:rPr>
        <w:t xml:space="preserve"> </w:t>
      </w:r>
      <w:r>
        <w:t>ou</w:t>
      </w:r>
      <w:r>
        <w:rPr>
          <w:spacing w:val="-7"/>
        </w:rPr>
        <w:t xml:space="preserve"> </w:t>
      </w:r>
      <w:r>
        <w:t>erro,</w:t>
      </w:r>
      <w:r>
        <w:rPr>
          <w:spacing w:val="-7"/>
        </w:rPr>
        <w:t xml:space="preserve"> </w:t>
      </w:r>
      <w:r>
        <w:t>uma</w:t>
      </w:r>
      <w:r>
        <w:rPr>
          <w:spacing w:val="-9"/>
        </w:rPr>
        <w:t xml:space="preserve"> </w:t>
      </w:r>
      <w:r>
        <w:t>das</w:t>
      </w:r>
      <w:r>
        <w:rPr>
          <w:spacing w:val="-7"/>
        </w:rPr>
        <w:t xml:space="preserve"> </w:t>
      </w:r>
      <w:r>
        <w:t>alternativas</w:t>
      </w:r>
      <w:r>
        <w:rPr>
          <w:spacing w:val="-6"/>
        </w:rPr>
        <w:t xml:space="preserve"> </w:t>
      </w:r>
      <w:r>
        <w:t>ótimas</w:t>
      </w:r>
      <w:r>
        <w:rPr>
          <w:spacing w:val="-10"/>
        </w:rPr>
        <w:t xml:space="preserve"> </w:t>
      </w:r>
      <w:r>
        <w:t>segundo</w:t>
      </w:r>
      <w:r>
        <w:rPr>
          <w:spacing w:val="-6"/>
        </w:rPr>
        <w:t xml:space="preserve"> </w:t>
      </w:r>
      <w:r>
        <w:t>o</w:t>
      </w:r>
      <w:r>
        <w:rPr>
          <w:spacing w:val="-7"/>
        </w:rPr>
        <w:t xml:space="preserve"> </w:t>
      </w:r>
      <w:r>
        <w:t>Direito,</w:t>
      </w:r>
      <w:r>
        <w:rPr>
          <w:spacing w:val="-7"/>
        </w:rPr>
        <w:t xml:space="preserve"> </w:t>
      </w:r>
      <w:r>
        <w:t>o</w:t>
      </w:r>
      <w:r>
        <w:rPr>
          <w:spacing w:val="-5"/>
        </w:rPr>
        <w:t xml:space="preserve"> </w:t>
      </w:r>
      <w:r>
        <w:t>mérito</w:t>
      </w:r>
      <w:r>
        <w:rPr>
          <w:spacing w:val="-7"/>
        </w:rPr>
        <w:t xml:space="preserve"> </w:t>
      </w:r>
      <w:r>
        <w:t>do</w:t>
      </w:r>
      <w:r>
        <w:rPr>
          <w:spacing w:val="-7"/>
        </w:rPr>
        <w:t xml:space="preserve"> </w:t>
      </w:r>
      <w:r>
        <w:t>ato</w:t>
      </w:r>
      <w:r>
        <w:rPr>
          <w:spacing w:val="-7"/>
        </w:rPr>
        <w:t xml:space="preserve"> </w:t>
      </w:r>
      <w:r>
        <w:t>–</w:t>
      </w:r>
      <w:r>
        <w:rPr>
          <w:spacing w:val="-7"/>
        </w:rPr>
        <w:t xml:space="preserve"> </w:t>
      </w:r>
      <w:r>
        <w:t>a</w:t>
      </w:r>
      <w:r>
        <w:rPr>
          <w:spacing w:val="-11"/>
        </w:rPr>
        <w:t xml:space="preserve"> </w:t>
      </w:r>
      <w:r>
        <w:t>valoração, por</w:t>
      </w:r>
      <w:r>
        <w:rPr>
          <w:spacing w:val="-15"/>
        </w:rPr>
        <w:t xml:space="preserve"> </w:t>
      </w:r>
      <w:r>
        <w:t>meio</w:t>
      </w:r>
      <w:r>
        <w:rPr>
          <w:spacing w:val="-15"/>
        </w:rPr>
        <w:t xml:space="preserve"> </w:t>
      </w:r>
      <w:r>
        <w:t>de</w:t>
      </w:r>
      <w:r>
        <w:rPr>
          <w:spacing w:val="-15"/>
        </w:rPr>
        <w:t xml:space="preserve"> </w:t>
      </w:r>
      <w:r>
        <w:t>critérios</w:t>
      </w:r>
      <w:r>
        <w:rPr>
          <w:spacing w:val="-14"/>
        </w:rPr>
        <w:t xml:space="preserve"> </w:t>
      </w:r>
      <w:r>
        <w:t>não</w:t>
      </w:r>
      <w:r>
        <w:rPr>
          <w:spacing w:val="-8"/>
        </w:rPr>
        <w:t xml:space="preserve"> </w:t>
      </w:r>
      <w:r>
        <w:t>jurídicos,</w:t>
      </w:r>
      <w:r>
        <w:rPr>
          <w:spacing w:val="-15"/>
        </w:rPr>
        <w:t xml:space="preserve"> </w:t>
      </w:r>
      <w:r>
        <w:t>de</w:t>
      </w:r>
      <w:r>
        <w:rPr>
          <w:spacing w:val="-15"/>
        </w:rPr>
        <w:t xml:space="preserve"> </w:t>
      </w:r>
      <w:r>
        <w:rPr>
          <w:i/>
        </w:rPr>
        <w:t>conveniência</w:t>
      </w:r>
      <w:r>
        <w:rPr>
          <w:i/>
          <w:spacing w:val="-14"/>
        </w:rPr>
        <w:t xml:space="preserve"> </w:t>
      </w:r>
      <w:r>
        <w:rPr>
          <w:i/>
        </w:rPr>
        <w:t>e</w:t>
      </w:r>
      <w:r>
        <w:rPr>
          <w:i/>
          <w:spacing w:val="-15"/>
        </w:rPr>
        <w:t xml:space="preserve"> </w:t>
      </w:r>
      <w:r>
        <w:rPr>
          <w:i/>
        </w:rPr>
        <w:t>oportunidade</w:t>
      </w:r>
      <w:r>
        <w:rPr>
          <w:i/>
          <w:spacing w:val="-13"/>
        </w:rPr>
        <w:t xml:space="preserve"> </w:t>
      </w:r>
      <w:r>
        <w:t>entre</w:t>
      </w:r>
      <w:r>
        <w:rPr>
          <w:spacing w:val="-15"/>
        </w:rPr>
        <w:t xml:space="preserve"> </w:t>
      </w:r>
      <w:r>
        <w:t>duas</w:t>
      </w:r>
      <w:r>
        <w:rPr>
          <w:spacing w:val="-14"/>
        </w:rPr>
        <w:t xml:space="preserve"> </w:t>
      </w:r>
      <w:r>
        <w:t>ou</w:t>
      </w:r>
      <w:r>
        <w:rPr>
          <w:spacing w:val="-15"/>
        </w:rPr>
        <w:t xml:space="preserve"> </w:t>
      </w:r>
      <w:r>
        <w:t>mais</w:t>
      </w:r>
      <w:r>
        <w:rPr>
          <w:spacing w:val="-15"/>
        </w:rPr>
        <w:t xml:space="preserve"> </w:t>
      </w:r>
      <w:r>
        <w:t>soluções válidas para o atendimento da finalidade– é intangível, uma vez que não cabe ao Poder Judiciário</w:t>
      </w:r>
      <w:r>
        <w:rPr>
          <w:spacing w:val="-15"/>
        </w:rPr>
        <w:t xml:space="preserve"> </w:t>
      </w:r>
      <w:r>
        <w:t>substituir</w:t>
      </w:r>
      <w:r>
        <w:rPr>
          <w:spacing w:val="-15"/>
        </w:rPr>
        <w:t xml:space="preserve"> </w:t>
      </w:r>
      <w:r>
        <w:t>a</w:t>
      </w:r>
      <w:r>
        <w:rPr>
          <w:spacing w:val="-15"/>
        </w:rPr>
        <w:t xml:space="preserve"> </w:t>
      </w:r>
      <w:r>
        <w:t>vontade</w:t>
      </w:r>
      <w:r>
        <w:rPr>
          <w:spacing w:val="-15"/>
        </w:rPr>
        <w:t xml:space="preserve"> </w:t>
      </w:r>
      <w:r>
        <w:t>da</w:t>
      </w:r>
      <w:r>
        <w:rPr>
          <w:spacing w:val="-15"/>
        </w:rPr>
        <w:t xml:space="preserve"> </w:t>
      </w:r>
      <w:r>
        <w:t>autoridade</w:t>
      </w:r>
      <w:r>
        <w:rPr>
          <w:spacing w:val="-15"/>
        </w:rPr>
        <w:t xml:space="preserve"> </w:t>
      </w:r>
      <w:r>
        <w:t>administrativa,</w:t>
      </w:r>
      <w:r>
        <w:rPr>
          <w:spacing w:val="-15"/>
        </w:rPr>
        <w:t xml:space="preserve"> </w:t>
      </w:r>
      <w:r>
        <w:t>suas</w:t>
      </w:r>
      <w:r>
        <w:rPr>
          <w:spacing w:val="-15"/>
        </w:rPr>
        <w:t xml:space="preserve"> </w:t>
      </w:r>
      <w:r>
        <w:t>convicções</w:t>
      </w:r>
      <w:r>
        <w:rPr>
          <w:spacing w:val="-15"/>
        </w:rPr>
        <w:t xml:space="preserve"> </w:t>
      </w:r>
      <w:r>
        <w:t>e</w:t>
      </w:r>
      <w:r>
        <w:rPr>
          <w:spacing w:val="-15"/>
        </w:rPr>
        <w:t xml:space="preserve"> </w:t>
      </w:r>
      <w:r>
        <w:t>visões</w:t>
      </w:r>
      <w:r>
        <w:rPr>
          <w:spacing w:val="-15"/>
        </w:rPr>
        <w:t xml:space="preserve"> </w:t>
      </w:r>
      <w:r>
        <w:t>de</w:t>
      </w:r>
      <w:r>
        <w:rPr>
          <w:spacing w:val="-15"/>
        </w:rPr>
        <w:t xml:space="preserve"> </w:t>
      </w:r>
      <w:r>
        <w:t>mundo, sob pena de violação à separação dos poderes.</w:t>
      </w:r>
    </w:p>
    <w:p w:rsidR="007259F2" w:rsidRDefault="00E655B4">
      <w:pPr>
        <w:pStyle w:val="Corpodetexto"/>
        <w:ind w:right="418"/>
      </w:pPr>
      <w:r>
        <w:t>Isso porque, no âmbito da discricionariedade, embora existam diversas soluções jurídicas</w:t>
      </w:r>
      <w:r>
        <w:rPr>
          <w:spacing w:val="-1"/>
        </w:rPr>
        <w:t xml:space="preserve"> </w:t>
      </w:r>
      <w:r>
        <w:t>possíveis, em função</w:t>
      </w:r>
      <w:r>
        <w:rPr>
          <w:spacing w:val="-1"/>
        </w:rPr>
        <w:t xml:space="preserve"> </w:t>
      </w:r>
      <w:r>
        <w:t>da</w:t>
      </w:r>
      <w:r>
        <w:rPr>
          <w:spacing w:val="-2"/>
        </w:rPr>
        <w:t xml:space="preserve"> </w:t>
      </w:r>
      <w:r>
        <w:rPr>
          <w:i/>
        </w:rPr>
        <w:t>intangibilidade</w:t>
      </w:r>
      <w:r>
        <w:rPr>
          <w:i/>
          <w:spacing w:val="-3"/>
        </w:rPr>
        <w:t xml:space="preserve"> </w:t>
      </w:r>
      <w:r>
        <w:rPr>
          <w:i/>
        </w:rPr>
        <w:t>da</w:t>
      </w:r>
      <w:r>
        <w:rPr>
          <w:i/>
          <w:spacing w:val="-1"/>
        </w:rPr>
        <w:t xml:space="preserve"> </w:t>
      </w:r>
      <w:r>
        <w:rPr>
          <w:i/>
        </w:rPr>
        <w:t>psique</w:t>
      </w:r>
      <w:r>
        <w:rPr>
          <w:i/>
          <w:spacing w:val="-4"/>
        </w:rPr>
        <w:t xml:space="preserve"> </w:t>
      </w:r>
      <w:r>
        <w:rPr>
          <w:i/>
        </w:rPr>
        <w:t>do</w:t>
      </w:r>
      <w:r>
        <w:rPr>
          <w:i/>
          <w:spacing w:val="-1"/>
        </w:rPr>
        <w:t xml:space="preserve"> </w:t>
      </w:r>
      <w:r>
        <w:rPr>
          <w:i/>
        </w:rPr>
        <w:t>agente</w:t>
      </w:r>
      <w:r>
        <w:t>,</w:t>
      </w:r>
      <w:r>
        <w:rPr>
          <w:spacing w:val="-1"/>
        </w:rPr>
        <w:t xml:space="preserve"> </w:t>
      </w:r>
      <w:r>
        <w:t>para</w:t>
      </w:r>
      <w:r>
        <w:rPr>
          <w:spacing w:val="-2"/>
        </w:rPr>
        <w:t xml:space="preserve"> </w:t>
      </w:r>
      <w:r>
        <w:t>o</w:t>
      </w:r>
      <w:r>
        <w:rPr>
          <w:spacing w:val="-1"/>
        </w:rPr>
        <w:t xml:space="preserve"> </w:t>
      </w:r>
      <w:r>
        <w:t>sistema</w:t>
      </w:r>
      <w:r>
        <w:rPr>
          <w:spacing w:val="-4"/>
        </w:rPr>
        <w:t xml:space="preserve"> </w:t>
      </w:r>
      <w:r>
        <w:t>jurídico, existe somente uma decisão correta, aquela que, de acordo com as suas convicções subjetivas, após a ponderação entre os princípios envolvidos no caso concreto, é a mais adequada para promover o interesse público.</w:t>
      </w:r>
      <w:r>
        <w:rPr>
          <w:vertAlign w:val="superscript"/>
        </w:rPr>
        <w:t>53</w:t>
      </w:r>
      <w:r>
        <w:t xml:space="preserve"> Nesse sentido, não se entende apropriado o entendimento tradicional a respeito da teoria dos vícios de mérito</w:t>
      </w:r>
      <w:r>
        <w:rPr>
          <w:vertAlign w:val="superscript"/>
        </w:rPr>
        <w:t>54</w:t>
      </w:r>
      <w:r>
        <w:t>, uma vez que, a conveniência ou não da decisão,</w:t>
      </w:r>
      <w:r>
        <w:rPr>
          <w:spacing w:val="-5"/>
        </w:rPr>
        <w:t xml:space="preserve"> </w:t>
      </w:r>
      <w:r>
        <w:t>não</w:t>
      </w:r>
      <w:r>
        <w:rPr>
          <w:spacing w:val="-5"/>
        </w:rPr>
        <w:t xml:space="preserve"> </w:t>
      </w:r>
      <w:r>
        <w:t>acarreta</w:t>
      </w:r>
      <w:r>
        <w:rPr>
          <w:spacing w:val="-5"/>
        </w:rPr>
        <w:t xml:space="preserve"> </w:t>
      </w:r>
      <w:r>
        <w:t>a</w:t>
      </w:r>
      <w:r>
        <w:rPr>
          <w:spacing w:val="-5"/>
        </w:rPr>
        <w:t xml:space="preserve"> </w:t>
      </w:r>
      <w:r>
        <w:t>sua</w:t>
      </w:r>
      <w:r>
        <w:rPr>
          <w:spacing w:val="-8"/>
        </w:rPr>
        <w:t xml:space="preserve"> </w:t>
      </w:r>
      <w:r>
        <w:t>invalidade,</w:t>
      </w:r>
      <w:r>
        <w:rPr>
          <w:spacing w:val="-5"/>
        </w:rPr>
        <w:t xml:space="preserve"> </w:t>
      </w:r>
      <w:r>
        <w:t>de</w:t>
      </w:r>
      <w:r>
        <w:rPr>
          <w:spacing w:val="-6"/>
        </w:rPr>
        <w:t xml:space="preserve"> </w:t>
      </w:r>
      <w:r>
        <w:t>modo</w:t>
      </w:r>
      <w:r>
        <w:rPr>
          <w:spacing w:val="-4"/>
        </w:rPr>
        <w:t xml:space="preserve"> </w:t>
      </w:r>
      <w:r>
        <w:t>que</w:t>
      </w:r>
      <w:r>
        <w:rPr>
          <w:spacing w:val="-5"/>
        </w:rPr>
        <w:t xml:space="preserve"> </w:t>
      </w:r>
      <w:r>
        <w:t>o</w:t>
      </w:r>
      <w:r>
        <w:rPr>
          <w:spacing w:val="-5"/>
        </w:rPr>
        <w:t xml:space="preserve"> </w:t>
      </w:r>
      <w:r>
        <w:t>“vício</w:t>
      </w:r>
      <w:r>
        <w:rPr>
          <w:spacing w:val="-5"/>
        </w:rPr>
        <w:t xml:space="preserve"> </w:t>
      </w:r>
      <w:r>
        <w:t>de</w:t>
      </w:r>
      <w:r>
        <w:rPr>
          <w:spacing w:val="-8"/>
        </w:rPr>
        <w:t xml:space="preserve"> </w:t>
      </w:r>
      <w:r>
        <w:t>mérito”</w:t>
      </w:r>
      <w:r>
        <w:rPr>
          <w:spacing w:val="-8"/>
        </w:rPr>
        <w:t xml:space="preserve"> </w:t>
      </w:r>
      <w:r>
        <w:t>decorre</w:t>
      </w:r>
      <w:r>
        <w:rPr>
          <w:spacing w:val="-8"/>
        </w:rPr>
        <w:t xml:space="preserve"> </w:t>
      </w:r>
      <w:r>
        <w:t>da</w:t>
      </w:r>
      <w:r>
        <w:rPr>
          <w:spacing w:val="-8"/>
        </w:rPr>
        <w:t xml:space="preserve"> </w:t>
      </w:r>
      <w:r>
        <w:t>constatação de</w:t>
      </w:r>
      <w:r>
        <w:rPr>
          <w:spacing w:val="12"/>
        </w:rPr>
        <w:t xml:space="preserve"> </w:t>
      </w:r>
      <w:r>
        <w:t>que</w:t>
      </w:r>
      <w:r>
        <w:rPr>
          <w:spacing w:val="15"/>
        </w:rPr>
        <w:t xml:space="preserve"> </w:t>
      </w:r>
      <w:r>
        <w:t>o</w:t>
      </w:r>
      <w:r>
        <w:rPr>
          <w:spacing w:val="15"/>
        </w:rPr>
        <w:t xml:space="preserve"> </w:t>
      </w:r>
      <w:r>
        <w:t>ato</w:t>
      </w:r>
      <w:r>
        <w:rPr>
          <w:spacing w:val="17"/>
        </w:rPr>
        <w:t xml:space="preserve"> </w:t>
      </w:r>
      <w:r>
        <w:t>administrativo</w:t>
      </w:r>
      <w:r>
        <w:rPr>
          <w:spacing w:val="16"/>
        </w:rPr>
        <w:t xml:space="preserve"> </w:t>
      </w:r>
      <w:r>
        <w:t>não</w:t>
      </w:r>
      <w:r>
        <w:rPr>
          <w:spacing w:val="15"/>
        </w:rPr>
        <w:t xml:space="preserve"> </w:t>
      </w:r>
      <w:r>
        <w:t>é</w:t>
      </w:r>
      <w:r>
        <w:rPr>
          <w:spacing w:val="15"/>
        </w:rPr>
        <w:t xml:space="preserve"> </w:t>
      </w:r>
      <w:r>
        <w:t>a</w:t>
      </w:r>
      <w:r>
        <w:rPr>
          <w:spacing w:val="19"/>
        </w:rPr>
        <w:t xml:space="preserve"> </w:t>
      </w:r>
      <w:r>
        <w:t>melhor</w:t>
      </w:r>
      <w:r>
        <w:rPr>
          <w:spacing w:val="17"/>
        </w:rPr>
        <w:t xml:space="preserve"> </w:t>
      </w:r>
      <w:r>
        <w:t>alternativa</w:t>
      </w:r>
      <w:r>
        <w:rPr>
          <w:spacing w:val="15"/>
        </w:rPr>
        <w:t xml:space="preserve"> </w:t>
      </w:r>
      <w:r>
        <w:t>para</w:t>
      </w:r>
      <w:r>
        <w:rPr>
          <w:spacing w:val="16"/>
        </w:rPr>
        <w:t xml:space="preserve"> </w:t>
      </w:r>
      <w:r>
        <w:t>a</w:t>
      </w:r>
      <w:r>
        <w:rPr>
          <w:spacing w:val="15"/>
        </w:rPr>
        <w:t xml:space="preserve"> </w:t>
      </w:r>
      <w:r>
        <w:t>busca</w:t>
      </w:r>
      <w:r>
        <w:rPr>
          <w:spacing w:val="14"/>
        </w:rPr>
        <w:t xml:space="preserve"> </w:t>
      </w:r>
      <w:r>
        <w:t>do</w:t>
      </w:r>
      <w:r>
        <w:rPr>
          <w:spacing w:val="15"/>
        </w:rPr>
        <w:t xml:space="preserve"> </w:t>
      </w:r>
      <w:r>
        <w:t>interesse</w:t>
      </w:r>
      <w:r>
        <w:rPr>
          <w:spacing w:val="16"/>
        </w:rPr>
        <w:t xml:space="preserve"> </w:t>
      </w:r>
      <w:r>
        <w:t>público,</w:t>
      </w:r>
      <w:r>
        <w:rPr>
          <w:spacing w:val="18"/>
        </w:rPr>
        <w:t xml:space="preserve"> </w:t>
      </w:r>
      <w:r>
        <w:rPr>
          <w:spacing w:val="-5"/>
        </w:rPr>
        <w:t>em</w:t>
      </w:r>
    </w:p>
    <w:p w:rsidR="007259F2" w:rsidRDefault="007259F2">
      <w:pPr>
        <w:pStyle w:val="Corpodetexto"/>
        <w:ind w:left="0" w:firstLine="0"/>
        <w:jc w:val="left"/>
        <w:rPr>
          <w:sz w:val="20"/>
        </w:rPr>
      </w:pPr>
    </w:p>
    <w:p w:rsidR="007259F2" w:rsidRDefault="00DE6B1C">
      <w:pPr>
        <w:pStyle w:val="Corpodetexto"/>
        <w:spacing w:before="25"/>
        <w:ind w:left="0" w:firstLine="0"/>
        <w:jc w:val="left"/>
        <w:rPr>
          <w:sz w:val="20"/>
        </w:rPr>
      </w:pPr>
      <w:r w:rsidRPr="00DE6B1C">
        <w:rPr>
          <w:sz w:val="20"/>
        </w:rPr>
        <w:pict>
          <v:rect id="docshape148" o:spid="_x0000_s1079" style="position:absolute;margin-left:85.1pt;margin-top:13.95pt;width:2in;height:.7pt;z-index:-15663104;mso-wrap-distance-left:0;mso-wrap-distance-right:0;mso-position-horizontal-relative:page" fillcolor="black" stroked="f">
            <w10:wrap type="topAndBottom" anchorx="page"/>
          </v:rect>
        </w:pict>
      </w:r>
    </w:p>
    <w:p w:rsidR="007259F2" w:rsidRDefault="00E655B4">
      <w:pPr>
        <w:spacing w:before="96"/>
        <w:ind w:left="710" w:right="426"/>
        <w:jc w:val="both"/>
        <w:rPr>
          <w:i/>
          <w:sz w:val="20"/>
        </w:rPr>
      </w:pPr>
      <w:r>
        <w:rPr>
          <w:sz w:val="20"/>
          <w:vertAlign w:val="superscript"/>
        </w:rPr>
        <w:t>52</w:t>
      </w:r>
      <w:r>
        <w:rPr>
          <w:sz w:val="20"/>
        </w:rPr>
        <w:t xml:space="preserve"> Já que o agente escolheu com móvel espúrio, presume-se, sem admitir prova em contrário, que ele optou por uma alternativa diversa da que considera a melhor forma de realizar o interesse público (BANDEIRA DE MELLO, Celso Antônio. Discricionariedade e controle jurisdicional, 2. ed. 11. tir. São Paulo: Malheiros, 2012. apud MARTINS, 2024, </w:t>
      </w:r>
      <w:r>
        <w:rPr>
          <w:i/>
          <w:sz w:val="20"/>
        </w:rPr>
        <w:t>op. cit.)</w:t>
      </w:r>
    </w:p>
    <w:p w:rsidR="007259F2" w:rsidRDefault="00E655B4">
      <w:pPr>
        <w:spacing w:line="229" w:lineRule="exact"/>
        <w:ind w:left="710"/>
        <w:jc w:val="both"/>
        <w:rPr>
          <w:i/>
          <w:sz w:val="20"/>
        </w:rPr>
      </w:pPr>
      <w:r>
        <w:rPr>
          <w:sz w:val="20"/>
          <w:vertAlign w:val="superscript"/>
        </w:rPr>
        <w:t>53</w:t>
      </w:r>
      <w:r>
        <w:rPr>
          <w:spacing w:val="-9"/>
          <w:sz w:val="20"/>
        </w:rPr>
        <w:t xml:space="preserve"> </w:t>
      </w:r>
      <w:r>
        <w:rPr>
          <w:sz w:val="20"/>
        </w:rPr>
        <w:t>MARTINS,</w:t>
      </w:r>
      <w:r>
        <w:rPr>
          <w:spacing w:val="-5"/>
          <w:sz w:val="20"/>
        </w:rPr>
        <w:t xml:space="preserve"> </w:t>
      </w:r>
      <w:r>
        <w:rPr>
          <w:sz w:val="20"/>
        </w:rPr>
        <w:t>2014,</w:t>
      </w:r>
      <w:r>
        <w:rPr>
          <w:spacing w:val="-2"/>
          <w:sz w:val="20"/>
        </w:rPr>
        <w:t xml:space="preserve"> </w:t>
      </w:r>
      <w:r>
        <w:rPr>
          <w:i/>
          <w:sz w:val="20"/>
        </w:rPr>
        <w:t>op.</w:t>
      </w:r>
      <w:r>
        <w:rPr>
          <w:i/>
          <w:spacing w:val="-4"/>
          <w:sz w:val="20"/>
        </w:rPr>
        <w:t xml:space="preserve"> cit.</w:t>
      </w:r>
    </w:p>
    <w:p w:rsidR="007259F2" w:rsidRDefault="00E655B4">
      <w:pPr>
        <w:spacing w:before="1"/>
        <w:ind w:left="710" w:right="423"/>
        <w:jc w:val="both"/>
        <w:rPr>
          <w:sz w:val="20"/>
        </w:rPr>
      </w:pPr>
      <w:r>
        <w:rPr>
          <w:sz w:val="20"/>
          <w:vertAlign w:val="superscript"/>
        </w:rPr>
        <w:t>54</w:t>
      </w:r>
      <w:r>
        <w:rPr>
          <w:sz w:val="20"/>
        </w:rPr>
        <w:t xml:space="preserve"> Enquanto isso os vícios de mérito se situam no plano da opção entre critérios deixados pela lei à sabedoria e prudência do administrador. Não se constatam com a segurança de um confronto entre textos de graduação jurídica diferente. Dizem com a justiça, a - utilidade, a equidade, a vantagem, etc., de soluções diversas a considerar. Exigem, na sua apreciação, o mesmo critério impreciso de oportunidade e conveniência, que lhes preside à prática. Ocorrem quando o agente procede no uso de competência discricionária (Zanobini, Corso di Diritto Amministrativo, 1939, voI. I, págs. 335-336; Antonio Amorth, Il Merito del/'Atto Amministrativo, 1939, págs. 12, 18, 25, 41, 100 e 101 apud FAGUNDES, Miguel Seabra. Concorrência pública - classificação dos concorrentes - ato administrativo - vício de ilegalidade e vício de mérito - mandado de segurança. </w:t>
      </w:r>
      <w:r>
        <w:rPr>
          <w:b/>
          <w:sz w:val="20"/>
        </w:rPr>
        <w:t>Revista de Direito</w:t>
      </w:r>
      <w:r>
        <w:rPr>
          <w:b/>
          <w:spacing w:val="-4"/>
          <w:sz w:val="20"/>
        </w:rPr>
        <w:t xml:space="preserve"> </w:t>
      </w:r>
      <w:r>
        <w:rPr>
          <w:b/>
          <w:sz w:val="20"/>
        </w:rPr>
        <w:t>Administrativo</w:t>
      </w:r>
      <w:r>
        <w:rPr>
          <w:sz w:val="20"/>
        </w:rPr>
        <w:t>,v.22,p.369–376,1950.</w:t>
      </w:r>
      <w:r>
        <w:rPr>
          <w:spacing w:val="-7"/>
          <w:sz w:val="20"/>
        </w:rPr>
        <w:t xml:space="preserve"> </w:t>
      </w:r>
      <w:r>
        <w:rPr>
          <w:sz w:val="20"/>
        </w:rPr>
        <w:t>Disponívelem:</w:t>
      </w:r>
      <w:r>
        <w:rPr>
          <w:spacing w:val="40"/>
          <w:sz w:val="20"/>
        </w:rPr>
        <w:t xml:space="preserve"> </w:t>
      </w:r>
      <w:r>
        <w:rPr>
          <w:sz w:val="20"/>
        </w:rPr>
        <w:t>https://periodicos.fgv.br/rda/article/view/11813. Acesso em: 20 dez. 2024.</w:t>
      </w:r>
    </w:p>
    <w:p w:rsidR="007259F2" w:rsidRDefault="007259F2">
      <w:pPr>
        <w:jc w:val="both"/>
        <w:rPr>
          <w:sz w:val="20"/>
        </w:rPr>
        <w:sectPr w:rsidR="007259F2">
          <w:pgSz w:w="11910" w:h="16840"/>
          <w:pgMar w:top="1600" w:right="708" w:bottom="1020" w:left="992" w:header="0" w:footer="820" w:gutter="0"/>
          <w:cols w:space="720"/>
        </w:sectPr>
      </w:pPr>
    </w:p>
    <w:p w:rsidR="007259F2" w:rsidRDefault="00E655B4">
      <w:pPr>
        <w:pStyle w:val="Corpodetexto"/>
        <w:spacing w:before="75"/>
        <w:ind w:right="425" w:firstLine="0"/>
      </w:pPr>
      <w:r>
        <w:lastRenderedPageBreak/>
        <w:t xml:space="preserve">função de dolo ou erro da referida autoridade, portanto, trata-se, na verdade, de vício de </w:t>
      </w:r>
      <w:r>
        <w:rPr>
          <w:spacing w:val="-2"/>
        </w:rPr>
        <w:t>legitimidade.</w:t>
      </w:r>
      <w:r>
        <w:rPr>
          <w:spacing w:val="-2"/>
          <w:vertAlign w:val="superscript"/>
        </w:rPr>
        <w:t>55</w:t>
      </w:r>
    </w:p>
    <w:p w:rsidR="007259F2" w:rsidRDefault="00E655B4">
      <w:pPr>
        <w:pStyle w:val="Corpodetexto"/>
        <w:ind w:right="422"/>
      </w:pPr>
      <w:r>
        <w:t>Vale dizer, contudo, que a intangibilidade do mérito administrativo não se confunde com a impossibilidade de controle judicial da discricionariedade, portanto, caso provocado, impõe-se</w:t>
      </w:r>
      <w:r>
        <w:rPr>
          <w:spacing w:val="-2"/>
        </w:rPr>
        <w:t xml:space="preserve"> </w:t>
      </w:r>
      <w:r>
        <w:t>ao Poder</w:t>
      </w:r>
      <w:r>
        <w:rPr>
          <w:spacing w:val="-1"/>
        </w:rPr>
        <w:t xml:space="preserve"> </w:t>
      </w:r>
      <w:r>
        <w:t>Judiciário rever a ponderação realizada pela</w:t>
      </w:r>
      <w:r>
        <w:rPr>
          <w:spacing w:val="-11"/>
        </w:rPr>
        <w:t xml:space="preserve"> </w:t>
      </w:r>
      <w:r>
        <w:t xml:space="preserve">Administração, cotejando-se a </w:t>
      </w:r>
      <w:r>
        <w:rPr>
          <w:i/>
        </w:rPr>
        <w:t>reserva</w:t>
      </w:r>
      <w:r>
        <w:rPr>
          <w:i/>
          <w:spacing w:val="-10"/>
        </w:rPr>
        <w:t xml:space="preserve"> </w:t>
      </w:r>
      <w:r>
        <w:rPr>
          <w:i/>
        </w:rPr>
        <w:t>do</w:t>
      </w:r>
      <w:r>
        <w:rPr>
          <w:i/>
          <w:spacing w:val="-13"/>
        </w:rPr>
        <w:t xml:space="preserve"> </w:t>
      </w:r>
      <w:r>
        <w:rPr>
          <w:i/>
        </w:rPr>
        <w:t>possível</w:t>
      </w:r>
      <w:r>
        <w:rPr>
          <w:i/>
          <w:spacing w:val="-9"/>
        </w:rPr>
        <w:t xml:space="preserve"> </w:t>
      </w:r>
      <w:r>
        <w:t>com</w:t>
      </w:r>
      <w:r>
        <w:rPr>
          <w:spacing w:val="-7"/>
        </w:rPr>
        <w:t xml:space="preserve"> </w:t>
      </w:r>
      <w:r>
        <w:t>o</w:t>
      </w:r>
      <w:r>
        <w:rPr>
          <w:spacing w:val="-10"/>
        </w:rPr>
        <w:t xml:space="preserve"> </w:t>
      </w:r>
      <w:r>
        <w:rPr>
          <w:i/>
        </w:rPr>
        <w:t>mínimo</w:t>
      </w:r>
      <w:r>
        <w:rPr>
          <w:i/>
          <w:spacing w:val="-13"/>
        </w:rPr>
        <w:t xml:space="preserve"> </w:t>
      </w:r>
      <w:r>
        <w:rPr>
          <w:i/>
        </w:rPr>
        <w:t>essencial</w:t>
      </w:r>
      <w:r>
        <w:rPr>
          <w:i/>
          <w:spacing w:val="-9"/>
        </w:rPr>
        <w:t xml:space="preserve"> </w:t>
      </w:r>
      <w:r>
        <w:rPr>
          <w:i/>
        </w:rPr>
        <w:t>dos</w:t>
      </w:r>
      <w:r>
        <w:rPr>
          <w:i/>
          <w:spacing w:val="-10"/>
        </w:rPr>
        <w:t xml:space="preserve"> </w:t>
      </w:r>
      <w:r>
        <w:rPr>
          <w:i/>
        </w:rPr>
        <w:t>direitos</w:t>
      </w:r>
      <w:r>
        <w:rPr>
          <w:i/>
          <w:spacing w:val="-9"/>
        </w:rPr>
        <w:t xml:space="preserve"> </w:t>
      </w:r>
      <w:r>
        <w:rPr>
          <w:i/>
        </w:rPr>
        <w:t>fundamentais</w:t>
      </w:r>
      <w:r>
        <w:t>,</w:t>
      </w:r>
      <w:r>
        <w:rPr>
          <w:spacing w:val="-13"/>
        </w:rPr>
        <w:t xml:space="preserve"> </w:t>
      </w:r>
      <w:r>
        <w:t>de</w:t>
      </w:r>
      <w:r>
        <w:rPr>
          <w:spacing w:val="-14"/>
        </w:rPr>
        <w:t xml:space="preserve"> </w:t>
      </w:r>
      <w:r>
        <w:t>modo</w:t>
      </w:r>
      <w:r>
        <w:rPr>
          <w:spacing w:val="-9"/>
        </w:rPr>
        <w:t xml:space="preserve"> </w:t>
      </w:r>
      <w:r>
        <w:t>a</w:t>
      </w:r>
      <w:r>
        <w:rPr>
          <w:spacing w:val="-14"/>
        </w:rPr>
        <w:t xml:space="preserve"> </w:t>
      </w:r>
      <w:r>
        <w:t>conferir-lhes a máxima efetividade possível.</w:t>
      </w:r>
      <w:r>
        <w:rPr>
          <w:vertAlign w:val="superscript"/>
        </w:rPr>
        <w:t>56</w:t>
      </w:r>
    </w:p>
    <w:p w:rsidR="007259F2" w:rsidRDefault="00E655B4">
      <w:pPr>
        <w:pStyle w:val="Corpodetexto"/>
        <w:ind w:right="421"/>
      </w:pPr>
      <w:r>
        <w:t>Como visto, no caso analisado pelo Supremo Tribunal Federal no RE nº 684.612/RJ o déficit</w:t>
      </w:r>
      <w:r>
        <w:rPr>
          <w:spacing w:val="-14"/>
        </w:rPr>
        <w:t xml:space="preserve"> </w:t>
      </w:r>
      <w:r>
        <w:t>de</w:t>
      </w:r>
      <w:r>
        <w:rPr>
          <w:spacing w:val="-14"/>
        </w:rPr>
        <w:t xml:space="preserve"> </w:t>
      </w:r>
      <w:r>
        <w:t>profissionais</w:t>
      </w:r>
      <w:r>
        <w:rPr>
          <w:spacing w:val="-12"/>
        </w:rPr>
        <w:t xml:space="preserve"> </w:t>
      </w:r>
      <w:r>
        <w:t>de</w:t>
      </w:r>
      <w:r>
        <w:rPr>
          <w:spacing w:val="-12"/>
        </w:rPr>
        <w:t xml:space="preserve"> </w:t>
      </w:r>
      <w:r>
        <w:t>saúde</w:t>
      </w:r>
      <w:r>
        <w:rPr>
          <w:spacing w:val="-14"/>
        </w:rPr>
        <w:t xml:space="preserve"> </w:t>
      </w:r>
      <w:r>
        <w:t>poderia</w:t>
      </w:r>
      <w:r>
        <w:rPr>
          <w:spacing w:val="-14"/>
        </w:rPr>
        <w:t xml:space="preserve"> </w:t>
      </w:r>
      <w:r>
        <w:t>ser</w:t>
      </w:r>
      <w:r>
        <w:rPr>
          <w:spacing w:val="-15"/>
        </w:rPr>
        <w:t xml:space="preserve"> </w:t>
      </w:r>
      <w:r>
        <w:t>suprido</w:t>
      </w:r>
      <w:r>
        <w:rPr>
          <w:spacing w:val="-15"/>
        </w:rPr>
        <w:t xml:space="preserve"> </w:t>
      </w:r>
      <w:r>
        <w:t>por</w:t>
      </w:r>
      <w:r>
        <w:rPr>
          <w:spacing w:val="-14"/>
        </w:rPr>
        <w:t xml:space="preserve"> </w:t>
      </w:r>
      <w:r>
        <w:t>concurso</w:t>
      </w:r>
      <w:r>
        <w:rPr>
          <w:spacing w:val="-13"/>
        </w:rPr>
        <w:t xml:space="preserve"> </w:t>
      </w:r>
      <w:r>
        <w:t>público</w:t>
      </w:r>
      <w:r>
        <w:rPr>
          <w:spacing w:val="-15"/>
        </w:rPr>
        <w:t xml:space="preserve"> </w:t>
      </w:r>
      <w:r>
        <w:t>ou,</w:t>
      </w:r>
      <w:r>
        <w:rPr>
          <w:spacing w:val="-15"/>
        </w:rPr>
        <w:t xml:space="preserve"> </w:t>
      </w:r>
      <w:r>
        <w:t>por</w:t>
      </w:r>
      <w:r>
        <w:rPr>
          <w:spacing w:val="-14"/>
        </w:rPr>
        <w:t xml:space="preserve"> </w:t>
      </w:r>
      <w:r>
        <w:t>exemplo,</w:t>
      </w:r>
      <w:r>
        <w:rPr>
          <w:spacing w:val="-15"/>
        </w:rPr>
        <w:t xml:space="preserve"> </w:t>
      </w:r>
      <w:r>
        <w:t>pelo remanejamento de recursos humanos e pela contratação de organizações sociais (OS) e organizações</w:t>
      </w:r>
      <w:r>
        <w:rPr>
          <w:spacing w:val="-5"/>
        </w:rPr>
        <w:t xml:space="preserve"> </w:t>
      </w:r>
      <w:r>
        <w:t>da</w:t>
      </w:r>
      <w:r>
        <w:rPr>
          <w:spacing w:val="-7"/>
        </w:rPr>
        <w:t xml:space="preserve"> </w:t>
      </w:r>
      <w:r>
        <w:t>sociedade</w:t>
      </w:r>
      <w:r>
        <w:rPr>
          <w:spacing w:val="-8"/>
        </w:rPr>
        <w:t xml:space="preserve"> </w:t>
      </w:r>
      <w:r>
        <w:t>civil</w:t>
      </w:r>
      <w:r>
        <w:rPr>
          <w:spacing w:val="-5"/>
        </w:rPr>
        <w:t xml:space="preserve"> </w:t>
      </w:r>
      <w:r>
        <w:t>de</w:t>
      </w:r>
      <w:r>
        <w:rPr>
          <w:spacing w:val="-7"/>
        </w:rPr>
        <w:t xml:space="preserve"> </w:t>
      </w:r>
      <w:r>
        <w:t>interesse</w:t>
      </w:r>
      <w:r>
        <w:rPr>
          <w:spacing w:val="-9"/>
        </w:rPr>
        <w:t xml:space="preserve"> </w:t>
      </w:r>
      <w:r>
        <w:t>público</w:t>
      </w:r>
      <w:r>
        <w:rPr>
          <w:spacing w:val="-7"/>
        </w:rPr>
        <w:t xml:space="preserve"> </w:t>
      </w:r>
      <w:r>
        <w:t>(OSCIP),</w:t>
      </w:r>
      <w:r>
        <w:rPr>
          <w:spacing w:val="-8"/>
        </w:rPr>
        <w:t xml:space="preserve"> </w:t>
      </w:r>
      <w:r>
        <w:t>de</w:t>
      </w:r>
      <w:r>
        <w:rPr>
          <w:spacing w:val="-9"/>
        </w:rPr>
        <w:t xml:space="preserve"> </w:t>
      </w:r>
      <w:r>
        <w:t>modo</w:t>
      </w:r>
      <w:r>
        <w:rPr>
          <w:spacing w:val="-5"/>
        </w:rPr>
        <w:t xml:space="preserve"> </w:t>
      </w:r>
      <w:r>
        <w:t>que, havia,</w:t>
      </w:r>
      <w:r>
        <w:rPr>
          <w:spacing w:val="-6"/>
        </w:rPr>
        <w:t xml:space="preserve"> </w:t>
      </w:r>
      <w:r>
        <w:t>a</w:t>
      </w:r>
      <w:r>
        <w:rPr>
          <w:spacing w:val="-9"/>
        </w:rPr>
        <w:t xml:space="preserve"> </w:t>
      </w:r>
      <w:r>
        <w:t>princípio, diversas soluções objetivamente ótimas segundo o Direito. Assim, se de fato, havia discricionariedade e se a autoridade escolheu, sem dolo ou erro, umas das alternativas objetivamente ótimas segundo o Direito não caberia ao julgador apontar a melhor forma de sanar</w:t>
      </w:r>
      <w:r>
        <w:rPr>
          <w:spacing w:val="-4"/>
        </w:rPr>
        <w:t xml:space="preserve"> </w:t>
      </w:r>
      <w:r>
        <w:t>o</w:t>
      </w:r>
      <w:r>
        <w:rPr>
          <w:spacing w:val="-3"/>
        </w:rPr>
        <w:t xml:space="preserve"> </w:t>
      </w:r>
      <w:r>
        <w:t>déficit</w:t>
      </w:r>
      <w:r>
        <w:rPr>
          <w:spacing w:val="-2"/>
        </w:rPr>
        <w:t xml:space="preserve"> </w:t>
      </w:r>
      <w:r>
        <w:t>de</w:t>
      </w:r>
      <w:r>
        <w:rPr>
          <w:spacing w:val="-7"/>
        </w:rPr>
        <w:t xml:space="preserve"> </w:t>
      </w:r>
      <w:r>
        <w:t>pessoal segundo</w:t>
      </w:r>
      <w:r>
        <w:rPr>
          <w:spacing w:val="-3"/>
        </w:rPr>
        <w:t xml:space="preserve"> </w:t>
      </w:r>
      <w:r>
        <w:t>suas</w:t>
      </w:r>
      <w:r>
        <w:rPr>
          <w:spacing w:val="-4"/>
        </w:rPr>
        <w:t xml:space="preserve"> </w:t>
      </w:r>
      <w:r>
        <w:t>próprias</w:t>
      </w:r>
      <w:r>
        <w:rPr>
          <w:spacing w:val="-3"/>
        </w:rPr>
        <w:t xml:space="preserve"> </w:t>
      </w:r>
      <w:r>
        <w:t>convicções, se,</w:t>
      </w:r>
      <w:r>
        <w:rPr>
          <w:spacing w:val="-3"/>
        </w:rPr>
        <w:t xml:space="preserve"> </w:t>
      </w:r>
      <w:r>
        <w:t>por</w:t>
      </w:r>
      <w:r>
        <w:rPr>
          <w:spacing w:val="-4"/>
        </w:rPr>
        <w:t xml:space="preserve"> </w:t>
      </w:r>
      <w:r>
        <w:t>meio, de</w:t>
      </w:r>
      <w:r>
        <w:rPr>
          <w:spacing w:val="-6"/>
        </w:rPr>
        <w:t xml:space="preserve"> </w:t>
      </w:r>
      <w:r>
        <w:t>concurso</w:t>
      </w:r>
      <w:r>
        <w:rPr>
          <w:spacing w:val="-3"/>
        </w:rPr>
        <w:t xml:space="preserve"> </w:t>
      </w:r>
      <w:r>
        <w:t>público em vez parcerias com o Terceiro Setor, mas tão somente, a partir da ponderação entre os princípios formais envolvidos no caso concreto, estabelecer os contornos para o atendimento da finalidade do ato</w:t>
      </w:r>
      <w:r>
        <w:rPr>
          <w:spacing w:val="40"/>
        </w:rPr>
        <w:t xml:space="preserve"> </w:t>
      </w:r>
      <w:r>
        <w:t xml:space="preserve">– tendo como pressuposto inafastável a garantia do </w:t>
      </w:r>
      <w:r>
        <w:rPr>
          <w:i/>
        </w:rPr>
        <w:t>mínimo existencial</w:t>
      </w:r>
      <w:r>
        <w:t>.</w:t>
      </w:r>
    </w:p>
    <w:p w:rsidR="007259F2" w:rsidRDefault="00E655B4">
      <w:pPr>
        <w:pStyle w:val="Heading2"/>
        <w:numPr>
          <w:ilvl w:val="0"/>
          <w:numId w:val="23"/>
        </w:numPr>
        <w:tabs>
          <w:tab w:val="left" w:pos="1778"/>
        </w:tabs>
        <w:spacing w:before="208"/>
        <w:ind w:left="1778" w:hanging="360"/>
        <w:jc w:val="both"/>
      </w:pPr>
      <w:r>
        <w:rPr>
          <w:spacing w:val="-2"/>
        </w:rPr>
        <w:t>Conclusões</w:t>
      </w:r>
    </w:p>
    <w:p w:rsidR="007259F2" w:rsidRDefault="00E655B4">
      <w:pPr>
        <w:pStyle w:val="PargrafodaLista"/>
        <w:numPr>
          <w:ilvl w:val="0"/>
          <w:numId w:val="22"/>
        </w:numPr>
        <w:tabs>
          <w:tab w:val="left" w:pos="1663"/>
        </w:tabs>
        <w:spacing w:before="112"/>
        <w:ind w:right="421" w:firstLine="707"/>
        <w:jc w:val="both"/>
        <w:rPr>
          <w:sz w:val="24"/>
        </w:rPr>
      </w:pPr>
      <w:r>
        <w:rPr>
          <w:sz w:val="24"/>
        </w:rPr>
        <w:t>A Constituição Federal de 1988 alçou o direito à saúde à categoria dos direitos fundamentais e elencou-o como dever do Estado, de modo que a assistência à saúde deixa de ser mera norma programática e ganha contornos de direito subjetivo. Com efeito, a constitucionalização dos direitos sociais, em conjunto com o modelo brasileiro de controle de constitucionalidade, que combina os sistemas difuso e concentrado, aliado à insuficiência dos serviços públicos, contribuiu para o fenômeno da judicialização do direito à saúde.</w:t>
      </w:r>
    </w:p>
    <w:p w:rsidR="007259F2" w:rsidRDefault="00E655B4">
      <w:pPr>
        <w:pStyle w:val="PargrafodaLista"/>
        <w:numPr>
          <w:ilvl w:val="0"/>
          <w:numId w:val="22"/>
        </w:numPr>
        <w:tabs>
          <w:tab w:val="left" w:pos="1697"/>
        </w:tabs>
        <w:spacing w:before="1"/>
        <w:ind w:right="423" w:firstLine="707"/>
        <w:jc w:val="both"/>
        <w:rPr>
          <w:sz w:val="24"/>
        </w:rPr>
      </w:pPr>
      <w:r>
        <w:rPr>
          <w:sz w:val="24"/>
        </w:rPr>
        <w:t>O Supremo tribunal Federal, no julgamento do RE nº 684.612/RJ, reconheceu a possibilidade de intervenção do Poder Judiciário em políticas públicas voltadas à realização</w:t>
      </w:r>
      <w:r>
        <w:rPr>
          <w:spacing w:val="40"/>
          <w:sz w:val="24"/>
        </w:rPr>
        <w:t xml:space="preserve"> </w:t>
      </w:r>
      <w:r>
        <w:rPr>
          <w:sz w:val="24"/>
        </w:rPr>
        <w:t>de direitos fundamentais, no caso ausência ou deficiência grave do serviço. Em contrapartida, a evolução da jurisprudência da Corte demonstra a crescente preocupação em estabelecer parâmetros</w:t>
      </w:r>
      <w:r>
        <w:rPr>
          <w:spacing w:val="-6"/>
          <w:sz w:val="24"/>
        </w:rPr>
        <w:t xml:space="preserve"> </w:t>
      </w:r>
      <w:r>
        <w:rPr>
          <w:sz w:val="24"/>
        </w:rPr>
        <w:t>para</w:t>
      </w:r>
      <w:r>
        <w:rPr>
          <w:spacing w:val="-9"/>
          <w:sz w:val="24"/>
        </w:rPr>
        <w:t xml:space="preserve"> </w:t>
      </w:r>
      <w:r>
        <w:rPr>
          <w:sz w:val="24"/>
        </w:rPr>
        <w:t>que</w:t>
      </w:r>
      <w:r>
        <w:rPr>
          <w:spacing w:val="-7"/>
          <w:sz w:val="24"/>
        </w:rPr>
        <w:t xml:space="preserve"> </w:t>
      </w:r>
      <w:r>
        <w:rPr>
          <w:sz w:val="24"/>
        </w:rPr>
        <w:t>a</w:t>
      </w:r>
      <w:r>
        <w:rPr>
          <w:spacing w:val="-6"/>
          <w:sz w:val="24"/>
        </w:rPr>
        <w:t xml:space="preserve"> </w:t>
      </w:r>
      <w:r>
        <w:rPr>
          <w:sz w:val="24"/>
        </w:rPr>
        <w:t>atuação</w:t>
      </w:r>
      <w:r>
        <w:rPr>
          <w:spacing w:val="-8"/>
          <w:sz w:val="24"/>
        </w:rPr>
        <w:t xml:space="preserve"> </w:t>
      </w:r>
      <w:r>
        <w:rPr>
          <w:sz w:val="24"/>
        </w:rPr>
        <w:t>do</w:t>
      </w:r>
      <w:r>
        <w:rPr>
          <w:spacing w:val="-6"/>
          <w:sz w:val="24"/>
        </w:rPr>
        <w:t xml:space="preserve"> </w:t>
      </w:r>
      <w:r>
        <w:rPr>
          <w:sz w:val="24"/>
        </w:rPr>
        <w:t>Judiciário</w:t>
      </w:r>
      <w:r>
        <w:rPr>
          <w:spacing w:val="-8"/>
          <w:sz w:val="24"/>
        </w:rPr>
        <w:t xml:space="preserve"> </w:t>
      </w:r>
      <w:r>
        <w:rPr>
          <w:sz w:val="24"/>
        </w:rPr>
        <w:t>se</w:t>
      </w:r>
      <w:r>
        <w:rPr>
          <w:spacing w:val="-9"/>
          <w:sz w:val="24"/>
        </w:rPr>
        <w:t xml:space="preserve"> </w:t>
      </w:r>
      <w:r>
        <w:rPr>
          <w:sz w:val="24"/>
        </w:rPr>
        <w:t>paute</w:t>
      </w:r>
      <w:r>
        <w:rPr>
          <w:spacing w:val="-8"/>
          <w:sz w:val="24"/>
        </w:rPr>
        <w:t xml:space="preserve"> </w:t>
      </w:r>
      <w:r>
        <w:rPr>
          <w:sz w:val="24"/>
        </w:rPr>
        <w:t>por</w:t>
      </w:r>
      <w:r>
        <w:rPr>
          <w:spacing w:val="-9"/>
          <w:sz w:val="24"/>
        </w:rPr>
        <w:t xml:space="preserve"> </w:t>
      </w:r>
      <w:r>
        <w:rPr>
          <w:sz w:val="24"/>
        </w:rPr>
        <w:t>critérios</w:t>
      </w:r>
      <w:r>
        <w:rPr>
          <w:spacing w:val="-7"/>
          <w:sz w:val="24"/>
        </w:rPr>
        <w:t xml:space="preserve"> </w:t>
      </w:r>
      <w:r>
        <w:rPr>
          <w:sz w:val="24"/>
        </w:rPr>
        <w:t>de</w:t>
      </w:r>
      <w:r>
        <w:rPr>
          <w:spacing w:val="-9"/>
          <w:sz w:val="24"/>
        </w:rPr>
        <w:t xml:space="preserve"> </w:t>
      </w:r>
      <w:r>
        <w:rPr>
          <w:sz w:val="24"/>
        </w:rPr>
        <w:t>racionalidade</w:t>
      </w:r>
      <w:r>
        <w:rPr>
          <w:spacing w:val="-8"/>
          <w:sz w:val="24"/>
        </w:rPr>
        <w:t xml:space="preserve"> </w:t>
      </w:r>
      <w:r>
        <w:rPr>
          <w:sz w:val="24"/>
        </w:rPr>
        <w:t>e</w:t>
      </w:r>
      <w:r>
        <w:rPr>
          <w:spacing w:val="-9"/>
          <w:sz w:val="24"/>
        </w:rPr>
        <w:t xml:space="preserve"> </w:t>
      </w:r>
      <w:r>
        <w:rPr>
          <w:sz w:val="24"/>
        </w:rPr>
        <w:t>eficiência, o que deve ser compatibilizado com a proteção do mínimo existencial do direito à saúde.</w:t>
      </w:r>
    </w:p>
    <w:p w:rsidR="007259F2" w:rsidRDefault="00E655B4">
      <w:pPr>
        <w:pStyle w:val="PargrafodaLista"/>
        <w:numPr>
          <w:ilvl w:val="0"/>
          <w:numId w:val="22"/>
        </w:numPr>
        <w:tabs>
          <w:tab w:val="left" w:pos="1685"/>
        </w:tabs>
        <w:ind w:right="427" w:firstLine="707"/>
        <w:jc w:val="both"/>
        <w:rPr>
          <w:sz w:val="24"/>
        </w:rPr>
      </w:pPr>
      <w:r>
        <w:rPr>
          <w:sz w:val="24"/>
        </w:rPr>
        <w:t>Segundo a teoria neoconstitucionalista, a discricionariedade decorre da análise do Direito globalmente considerado e não da lei, de modo que é a ponderação à luz do caso concreto e dos princípios formais envolvidos que indicará se há ou não duas ou mais soluções admitidas pelo Direito.</w:t>
      </w:r>
    </w:p>
    <w:p w:rsidR="007259F2" w:rsidRDefault="00E655B4">
      <w:pPr>
        <w:pStyle w:val="PargrafodaLista"/>
        <w:numPr>
          <w:ilvl w:val="0"/>
          <w:numId w:val="22"/>
        </w:numPr>
        <w:tabs>
          <w:tab w:val="left" w:pos="1673"/>
        </w:tabs>
        <w:spacing w:before="1"/>
        <w:ind w:right="431" w:firstLine="707"/>
        <w:jc w:val="both"/>
        <w:rPr>
          <w:sz w:val="24"/>
        </w:rPr>
      </w:pPr>
      <w:r>
        <w:rPr>
          <w:sz w:val="24"/>
        </w:rPr>
        <w:t>A finalidade pode ser compreendida como o bem jurídico objetivado pelo ato. É o resultado previsto legalmente como o correspondente a tipologia do ato administrativo, consistindo no alcance dos objetivos por ele comportados.</w:t>
      </w:r>
    </w:p>
    <w:p w:rsidR="007259F2" w:rsidRDefault="00E655B4">
      <w:pPr>
        <w:pStyle w:val="PargrafodaLista"/>
        <w:numPr>
          <w:ilvl w:val="0"/>
          <w:numId w:val="22"/>
        </w:numPr>
        <w:tabs>
          <w:tab w:val="left" w:pos="1661"/>
        </w:tabs>
        <w:ind w:right="420" w:firstLine="707"/>
        <w:jc w:val="both"/>
        <w:rPr>
          <w:sz w:val="24"/>
        </w:rPr>
      </w:pPr>
      <w:r>
        <w:rPr>
          <w:sz w:val="24"/>
        </w:rPr>
        <w:t>O</w:t>
      </w:r>
      <w:r>
        <w:rPr>
          <w:spacing w:val="-5"/>
          <w:sz w:val="24"/>
        </w:rPr>
        <w:t xml:space="preserve"> </w:t>
      </w:r>
      <w:r>
        <w:rPr>
          <w:sz w:val="24"/>
        </w:rPr>
        <w:t>mérito</w:t>
      </w:r>
      <w:r>
        <w:rPr>
          <w:spacing w:val="-4"/>
          <w:sz w:val="24"/>
        </w:rPr>
        <w:t xml:space="preserve"> </w:t>
      </w:r>
      <w:r>
        <w:rPr>
          <w:sz w:val="24"/>
        </w:rPr>
        <w:t>administrativo,</w:t>
      </w:r>
      <w:r>
        <w:rPr>
          <w:spacing w:val="-3"/>
          <w:sz w:val="24"/>
        </w:rPr>
        <w:t xml:space="preserve"> </w:t>
      </w:r>
      <w:r>
        <w:rPr>
          <w:sz w:val="24"/>
        </w:rPr>
        <w:t>por</w:t>
      </w:r>
      <w:r>
        <w:rPr>
          <w:spacing w:val="-6"/>
          <w:sz w:val="24"/>
        </w:rPr>
        <w:t xml:space="preserve"> </w:t>
      </w:r>
      <w:r>
        <w:rPr>
          <w:sz w:val="24"/>
        </w:rPr>
        <w:t>sua</w:t>
      </w:r>
      <w:r>
        <w:rPr>
          <w:spacing w:val="-6"/>
          <w:sz w:val="24"/>
        </w:rPr>
        <w:t xml:space="preserve"> </w:t>
      </w:r>
      <w:r>
        <w:rPr>
          <w:sz w:val="24"/>
        </w:rPr>
        <w:t>vez,</w:t>
      </w:r>
      <w:r>
        <w:rPr>
          <w:spacing w:val="-5"/>
          <w:sz w:val="24"/>
        </w:rPr>
        <w:t xml:space="preserve"> </w:t>
      </w:r>
      <w:r>
        <w:rPr>
          <w:sz w:val="24"/>
        </w:rPr>
        <w:t>é</w:t>
      </w:r>
      <w:r>
        <w:rPr>
          <w:spacing w:val="-3"/>
          <w:sz w:val="24"/>
        </w:rPr>
        <w:t xml:space="preserve"> </w:t>
      </w:r>
      <w:r>
        <w:rPr>
          <w:sz w:val="24"/>
        </w:rPr>
        <w:t>resultado</w:t>
      </w:r>
      <w:r>
        <w:rPr>
          <w:spacing w:val="-4"/>
          <w:sz w:val="24"/>
        </w:rPr>
        <w:t xml:space="preserve"> </w:t>
      </w:r>
      <w:r>
        <w:rPr>
          <w:sz w:val="24"/>
        </w:rPr>
        <w:t>do</w:t>
      </w:r>
      <w:r>
        <w:rPr>
          <w:spacing w:val="-5"/>
          <w:sz w:val="24"/>
        </w:rPr>
        <w:t xml:space="preserve"> </w:t>
      </w:r>
      <w:r>
        <w:rPr>
          <w:sz w:val="24"/>
        </w:rPr>
        <w:t>processo</w:t>
      </w:r>
      <w:r>
        <w:rPr>
          <w:spacing w:val="-4"/>
          <w:sz w:val="24"/>
        </w:rPr>
        <w:t xml:space="preserve"> </w:t>
      </w:r>
      <w:r>
        <w:rPr>
          <w:sz w:val="24"/>
        </w:rPr>
        <w:t>de</w:t>
      </w:r>
      <w:r>
        <w:rPr>
          <w:spacing w:val="-6"/>
          <w:sz w:val="24"/>
        </w:rPr>
        <w:t xml:space="preserve"> </w:t>
      </w:r>
      <w:r>
        <w:rPr>
          <w:sz w:val="24"/>
        </w:rPr>
        <w:t>valoração,</w:t>
      </w:r>
      <w:r>
        <w:rPr>
          <w:spacing w:val="-1"/>
          <w:sz w:val="24"/>
        </w:rPr>
        <w:t xml:space="preserve"> </w:t>
      </w:r>
      <w:r>
        <w:rPr>
          <w:sz w:val="24"/>
        </w:rPr>
        <w:t>por</w:t>
      </w:r>
      <w:r>
        <w:rPr>
          <w:spacing w:val="-6"/>
          <w:sz w:val="24"/>
        </w:rPr>
        <w:t xml:space="preserve"> </w:t>
      </w:r>
      <w:r>
        <w:rPr>
          <w:sz w:val="24"/>
        </w:rPr>
        <w:t xml:space="preserve">meio de ato volitivo, realizado pelo administrador, por meio de critérios não estritamente jurídicos, suas convicções subjetivas – de </w:t>
      </w:r>
      <w:r>
        <w:rPr>
          <w:i/>
          <w:sz w:val="24"/>
        </w:rPr>
        <w:t>conveniência e oportunidade</w:t>
      </w:r>
      <w:r>
        <w:rPr>
          <w:sz w:val="24"/>
        </w:rPr>
        <w:t>– entre duas ou mais soluções válidas para o atendimento da finalidade do ato.</w:t>
      </w:r>
    </w:p>
    <w:p w:rsidR="007259F2" w:rsidRDefault="00E655B4">
      <w:pPr>
        <w:pStyle w:val="PargrafodaLista"/>
        <w:numPr>
          <w:ilvl w:val="0"/>
          <w:numId w:val="22"/>
        </w:numPr>
        <w:tabs>
          <w:tab w:val="left" w:pos="1661"/>
        </w:tabs>
        <w:ind w:right="421" w:firstLine="707"/>
        <w:jc w:val="both"/>
        <w:rPr>
          <w:sz w:val="24"/>
        </w:rPr>
      </w:pPr>
      <w:r>
        <w:rPr>
          <w:sz w:val="24"/>
        </w:rPr>
        <w:t>Portanto,</w:t>
      </w:r>
      <w:r>
        <w:rPr>
          <w:spacing w:val="-12"/>
          <w:sz w:val="24"/>
        </w:rPr>
        <w:t xml:space="preserve"> </w:t>
      </w:r>
      <w:r>
        <w:rPr>
          <w:sz w:val="24"/>
        </w:rPr>
        <w:t>se,</w:t>
      </w:r>
      <w:r>
        <w:rPr>
          <w:spacing w:val="-11"/>
          <w:sz w:val="24"/>
        </w:rPr>
        <w:t xml:space="preserve"> </w:t>
      </w:r>
      <w:r>
        <w:rPr>
          <w:sz w:val="24"/>
        </w:rPr>
        <w:t>de</w:t>
      </w:r>
      <w:r>
        <w:rPr>
          <w:spacing w:val="-13"/>
          <w:sz w:val="24"/>
        </w:rPr>
        <w:t xml:space="preserve"> </w:t>
      </w:r>
      <w:r>
        <w:rPr>
          <w:sz w:val="24"/>
        </w:rPr>
        <w:t>um</w:t>
      </w:r>
      <w:r>
        <w:rPr>
          <w:spacing w:val="-12"/>
          <w:sz w:val="24"/>
        </w:rPr>
        <w:t xml:space="preserve"> </w:t>
      </w:r>
      <w:r>
        <w:rPr>
          <w:sz w:val="24"/>
        </w:rPr>
        <w:t>lado,</w:t>
      </w:r>
      <w:r>
        <w:rPr>
          <w:spacing w:val="-12"/>
          <w:sz w:val="24"/>
        </w:rPr>
        <w:t xml:space="preserve"> </w:t>
      </w:r>
      <w:r>
        <w:rPr>
          <w:sz w:val="24"/>
        </w:rPr>
        <w:t>a</w:t>
      </w:r>
      <w:r>
        <w:rPr>
          <w:spacing w:val="-13"/>
          <w:sz w:val="24"/>
        </w:rPr>
        <w:t xml:space="preserve"> </w:t>
      </w:r>
      <w:r>
        <w:rPr>
          <w:sz w:val="24"/>
        </w:rPr>
        <w:t>garantia</w:t>
      </w:r>
      <w:r>
        <w:rPr>
          <w:spacing w:val="-12"/>
          <w:sz w:val="24"/>
        </w:rPr>
        <w:t xml:space="preserve"> </w:t>
      </w:r>
      <w:r>
        <w:rPr>
          <w:sz w:val="24"/>
        </w:rPr>
        <w:t>do</w:t>
      </w:r>
      <w:r>
        <w:rPr>
          <w:spacing w:val="-12"/>
          <w:sz w:val="24"/>
        </w:rPr>
        <w:t xml:space="preserve"> </w:t>
      </w:r>
      <w:r>
        <w:rPr>
          <w:i/>
          <w:sz w:val="24"/>
        </w:rPr>
        <w:t>mínimo</w:t>
      </w:r>
      <w:r>
        <w:rPr>
          <w:i/>
          <w:spacing w:val="-12"/>
          <w:sz w:val="24"/>
        </w:rPr>
        <w:t xml:space="preserve"> </w:t>
      </w:r>
      <w:r>
        <w:rPr>
          <w:i/>
          <w:sz w:val="24"/>
        </w:rPr>
        <w:t>existencial</w:t>
      </w:r>
      <w:r>
        <w:rPr>
          <w:i/>
          <w:spacing w:val="-10"/>
          <w:sz w:val="24"/>
        </w:rPr>
        <w:t xml:space="preserve"> </w:t>
      </w:r>
      <w:r>
        <w:rPr>
          <w:sz w:val="24"/>
        </w:rPr>
        <w:t>representa</w:t>
      </w:r>
      <w:r>
        <w:rPr>
          <w:spacing w:val="-12"/>
          <w:sz w:val="24"/>
        </w:rPr>
        <w:t xml:space="preserve"> </w:t>
      </w:r>
      <w:r>
        <w:rPr>
          <w:sz w:val="24"/>
        </w:rPr>
        <w:t>patamar</w:t>
      </w:r>
      <w:r>
        <w:rPr>
          <w:spacing w:val="-13"/>
          <w:sz w:val="24"/>
        </w:rPr>
        <w:t xml:space="preserve"> </w:t>
      </w:r>
      <w:r>
        <w:rPr>
          <w:sz w:val="24"/>
        </w:rPr>
        <w:t>mínimo inafastável para a atuação para a Administração, inclusive, como vetor interpretativo para a discricionariedade do administrador, os princípios da seletividade e distributividade atuam como</w:t>
      </w:r>
      <w:r>
        <w:rPr>
          <w:spacing w:val="11"/>
          <w:sz w:val="24"/>
        </w:rPr>
        <w:t xml:space="preserve"> </w:t>
      </w:r>
      <w:r>
        <w:rPr>
          <w:sz w:val="24"/>
        </w:rPr>
        <w:t>limitação</w:t>
      </w:r>
      <w:r>
        <w:rPr>
          <w:spacing w:val="14"/>
          <w:sz w:val="24"/>
        </w:rPr>
        <w:t xml:space="preserve"> </w:t>
      </w:r>
      <w:r>
        <w:rPr>
          <w:sz w:val="24"/>
        </w:rPr>
        <w:t>ao</w:t>
      </w:r>
      <w:r>
        <w:rPr>
          <w:spacing w:val="15"/>
          <w:sz w:val="24"/>
        </w:rPr>
        <w:t xml:space="preserve"> </w:t>
      </w:r>
      <w:r>
        <w:rPr>
          <w:sz w:val="24"/>
        </w:rPr>
        <w:t>princípio</w:t>
      </w:r>
      <w:r>
        <w:rPr>
          <w:spacing w:val="14"/>
          <w:sz w:val="24"/>
        </w:rPr>
        <w:t xml:space="preserve"> </w:t>
      </w:r>
      <w:r>
        <w:rPr>
          <w:sz w:val="24"/>
        </w:rPr>
        <w:t>da</w:t>
      </w:r>
      <w:r>
        <w:rPr>
          <w:spacing w:val="12"/>
          <w:sz w:val="24"/>
        </w:rPr>
        <w:t xml:space="preserve"> </w:t>
      </w:r>
      <w:r>
        <w:rPr>
          <w:sz w:val="24"/>
        </w:rPr>
        <w:t>universalidade,</w:t>
      </w:r>
      <w:r>
        <w:rPr>
          <w:spacing w:val="14"/>
          <w:sz w:val="24"/>
        </w:rPr>
        <w:t xml:space="preserve"> </w:t>
      </w:r>
      <w:r>
        <w:rPr>
          <w:sz w:val="24"/>
        </w:rPr>
        <w:t>de</w:t>
      </w:r>
      <w:r>
        <w:rPr>
          <w:spacing w:val="14"/>
          <w:sz w:val="24"/>
        </w:rPr>
        <w:t xml:space="preserve"> </w:t>
      </w:r>
      <w:r>
        <w:rPr>
          <w:sz w:val="24"/>
        </w:rPr>
        <w:t>modo</w:t>
      </w:r>
      <w:r>
        <w:rPr>
          <w:spacing w:val="14"/>
          <w:sz w:val="24"/>
        </w:rPr>
        <w:t xml:space="preserve"> </w:t>
      </w:r>
      <w:r>
        <w:rPr>
          <w:sz w:val="24"/>
        </w:rPr>
        <w:t>que</w:t>
      </w:r>
      <w:r>
        <w:rPr>
          <w:spacing w:val="12"/>
          <w:sz w:val="24"/>
        </w:rPr>
        <w:t xml:space="preserve"> </w:t>
      </w:r>
      <w:r>
        <w:rPr>
          <w:sz w:val="24"/>
        </w:rPr>
        <w:t>os</w:t>
      </w:r>
      <w:r>
        <w:rPr>
          <w:spacing w:val="16"/>
          <w:sz w:val="24"/>
        </w:rPr>
        <w:t xml:space="preserve"> </w:t>
      </w:r>
      <w:r>
        <w:rPr>
          <w:sz w:val="24"/>
        </w:rPr>
        <w:t>serviços</w:t>
      </w:r>
      <w:r>
        <w:rPr>
          <w:spacing w:val="15"/>
          <w:sz w:val="24"/>
        </w:rPr>
        <w:t xml:space="preserve"> </w:t>
      </w:r>
      <w:r>
        <w:rPr>
          <w:sz w:val="24"/>
        </w:rPr>
        <w:t>de</w:t>
      </w:r>
      <w:r>
        <w:rPr>
          <w:spacing w:val="13"/>
          <w:sz w:val="24"/>
        </w:rPr>
        <w:t xml:space="preserve"> </w:t>
      </w:r>
      <w:r>
        <w:rPr>
          <w:sz w:val="24"/>
        </w:rPr>
        <w:t>saúde</w:t>
      </w:r>
      <w:r>
        <w:rPr>
          <w:spacing w:val="14"/>
          <w:sz w:val="24"/>
        </w:rPr>
        <w:t xml:space="preserve"> </w:t>
      </w:r>
      <w:r>
        <w:rPr>
          <w:sz w:val="24"/>
        </w:rPr>
        <w:t>devem</w:t>
      </w:r>
      <w:r>
        <w:rPr>
          <w:spacing w:val="14"/>
          <w:sz w:val="24"/>
        </w:rPr>
        <w:t xml:space="preserve"> </w:t>
      </w:r>
      <w:r>
        <w:rPr>
          <w:spacing w:val="-5"/>
          <w:sz w:val="24"/>
        </w:rPr>
        <w:t>ser</w:t>
      </w:r>
    </w:p>
    <w:p w:rsidR="007259F2" w:rsidRDefault="00DE6B1C">
      <w:pPr>
        <w:pStyle w:val="Corpodetexto"/>
        <w:spacing w:before="165"/>
        <w:ind w:left="0" w:firstLine="0"/>
        <w:jc w:val="left"/>
        <w:rPr>
          <w:sz w:val="20"/>
        </w:rPr>
      </w:pPr>
      <w:r w:rsidRPr="00DE6B1C">
        <w:rPr>
          <w:sz w:val="20"/>
        </w:rPr>
        <w:pict>
          <v:rect id="docshape149" o:spid="_x0000_s1078" style="position:absolute;margin-left:85.1pt;margin-top:20.95pt;width:2in;height:.7pt;z-index:-15662592;mso-wrap-distance-left:0;mso-wrap-distance-right:0;mso-position-horizontal-relative:page" fillcolor="black" stroked="f">
            <w10:wrap type="topAndBottom" anchorx="page"/>
          </v:rect>
        </w:pict>
      </w:r>
    </w:p>
    <w:p w:rsidR="007259F2" w:rsidRDefault="00E655B4">
      <w:pPr>
        <w:spacing w:before="96"/>
        <w:ind w:left="710"/>
        <w:rPr>
          <w:i/>
          <w:sz w:val="20"/>
        </w:rPr>
      </w:pPr>
      <w:r>
        <w:rPr>
          <w:sz w:val="20"/>
          <w:vertAlign w:val="superscript"/>
        </w:rPr>
        <w:t>55</w:t>
      </w:r>
      <w:r>
        <w:rPr>
          <w:spacing w:val="-10"/>
          <w:sz w:val="20"/>
        </w:rPr>
        <w:t xml:space="preserve"> </w:t>
      </w:r>
      <w:r>
        <w:rPr>
          <w:sz w:val="20"/>
        </w:rPr>
        <w:t>MARTINS,</w:t>
      </w:r>
      <w:r>
        <w:rPr>
          <w:spacing w:val="-4"/>
          <w:sz w:val="20"/>
        </w:rPr>
        <w:t xml:space="preserve"> </w:t>
      </w:r>
      <w:r>
        <w:rPr>
          <w:sz w:val="20"/>
        </w:rPr>
        <w:t>2017a,</w:t>
      </w:r>
      <w:r>
        <w:rPr>
          <w:spacing w:val="-3"/>
          <w:sz w:val="20"/>
        </w:rPr>
        <w:t xml:space="preserve"> </w:t>
      </w:r>
      <w:r>
        <w:rPr>
          <w:i/>
          <w:sz w:val="20"/>
        </w:rPr>
        <w:t>op.</w:t>
      </w:r>
      <w:r>
        <w:rPr>
          <w:i/>
          <w:spacing w:val="-4"/>
          <w:sz w:val="20"/>
        </w:rPr>
        <w:t xml:space="preserve"> cit.</w:t>
      </w:r>
    </w:p>
    <w:p w:rsidR="007259F2" w:rsidRDefault="00E655B4">
      <w:pPr>
        <w:spacing w:before="1"/>
        <w:ind w:left="710"/>
        <w:rPr>
          <w:sz w:val="20"/>
        </w:rPr>
      </w:pPr>
      <w:r>
        <w:rPr>
          <w:sz w:val="20"/>
          <w:vertAlign w:val="superscript"/>
        </w:rPr>
        <w:t>56</w:t>
      </w:r>
      <w:r>
        <w:rPr>
          <w:spacing w:val="-8"/>
          <w:sz w:val="20"/>
        </w:rPr>
        <w:t xml:space="preserve"> </w:t>
      </w:r>
      <w:r>
        <w:rPr>
          <w:sz w:val="20"/>
        </w:rPr>
        <w:t>PIRES,</w:t>
      </w:r>
      <w:r>
        <w:rPr>
          <w:spacing w:val="-1"/>
          <w:sz w:val="20"/>
        </w:rPr>
        <w:t xml:space="preserve"> </w:t>
      </w:r>
      <w:r>
        <w:rPr>
          <w:i/>
          <w:sz w:val="20"/>
        </w:rPr>
        <w:t>op.</w:t>
      </w:r>
      <w:r>
        <w:rPr>
          <w:i/>
          <w:spacing w:val="-4"/>
          <w:sz w:val="20"/>
        </w:rPr>
        <w:t xml:space="preserve"> </w:t>
      </w:r>
      <w:r>
        <w:rPr>
          <w:i/>
          <w:sz w:val="20"/>
        </w:rPr>
        <w:t>cit.,</w:t>
      </w:r>
      <w:r>
        <w:rPr>
          <w:i/>
          <w:spacing w:val="-2"/>
          <w:sz w:val="20"/>
        </w:rPr>
        <w:t xml:space="preserve"> </w:t>
      </w:r>
      <w:r>
        <w:rPr>
          <w:sz w:val="20"/>
        </w:rPr>
        <w:t>p.</w:t>
      </w:r>
      <w:r>
        <w:rPr>
          <w:spacing w:val="-4"/>
          <w:sz w:val="20"/>
        </w:rPr>
        <w:t xml:space="preserve"> 304.</w:t>
      </w:r>
    </w:p>
    <w:p w:rsidR="007259F2" w:rsidRDefault="007259F2">
      <w:pPr>
        <w:rPr>
          <w:sz w:val="20"/>
        </w:rPr>
        <w:sectPr w:rsidR="007259F2">
          <w:pgSz w:w="11910" w:h="16840"/>
          <w:pgMar w:top="1600" w:right="708" w:bottom="1020" w:left="992" w:header="0" w:footer="820" w:gutter="0"/>
          <w:cols w:space="720"/>
        </w:sectPr>
      </w:pPr>
    </w:p>
    <w:p w:rsidR="007259F2" w:rsidRDefault="00E655B4">
      <w:pPr>
        <w:pStyle w:val="Corpodetexto"/>
        <w:spacing w:before="75"/>
        <w:ind w:right="429" w:firstLine="0"/>
      </w:pPr>
      <w:r>
        <w:lastRenderedPageBreak/>
        <w:t>prestados na medida de sua essencialidade, partindo do mais essencial em direção ao menos essencial, oferecendo maior proteção social aos mais necessitados.</w:t>
      </w:r>
    </w:p>
    <w:p w:rsidR="007259F2" w:rsidRDefault="00E655B4">
      <w:pPr>
        <w:pStyle w:val="PargrafodaLista"/>
        <w:numPr>
          <w:ilvl w:val="0"/>
          <w:numId w:val="22"/>
        </w:numPr>
        <w:tabs>
          <w:tab w:val="left" w:pos="1704"/>
        </w:tabs>
        <w:ind w:right="423" w:firstLine="707"/>
        <w:jc w:val="both"/>
        <w:rPr>
          <w:sz w:val="24"/>
        </w:rPr>
      </w:pPr>
      <w:r>
        <w:rPr>
          <w:sz w:val="24"/>
        </w:rPr>
        <w:t xml:space="preserve">No que tange ao controle da discricionariedade, cabe ao Poder Judiciário, caso provocado, rever a ponderação realizada pela Administração à luz do caso concreto e dos princípios formais envolvidos, verificando-se se havia, de fato, discricionariedade e se a autoridade escolheu, sem dolo ou erro, umas das alternativas objetivamente ótimas segundo o </w:t>
      </w:r>
      <w:r>
        <w:rPr>
          <w:spacing w:val="-2"/>
          <w:sz w:val="24"/>
        </w:rPr>
        <w:t>Direito.</w:t>
      </w:r>
    </w:p>
    <w:p w:rsidR="007259F2" w:rsidRDefault="00E655B4">
      <w:pPr>
        <w:pStyle w:val="PargrafodaLista"/>
        <w:numPr>
          <w:ilvl w:val="0"/>
          <w:numId w:val="22"/>
        </w:numPr>
        <w:tabs>
          <w:tab w:val="left" w:pos="1709"/>
        </w:tabs>
        <w:ind w:right="423" w:firstLine="707"/>
        <w:jc w:val="both"/>
        <w:rPr>
          <w:sz w:val="24"/>
        </w:rPr>
      </w:pPr>
      <w:r>
        <w:rPr>
          <w:sz w:val="24"/>
        </w:rPr>
        <w:t>Por sua vez, se de fato existia discricionariedade e a autoridade administrativa escolheu sem dolo ou erro, uma das alternativas ótimas segundo o Direito, o mérito do ato administrativo é intangível, uma vez que não cabe ao Poder Judiciário substituir a vontade da autoridade,</w:t>
      </w:r>
      <w:r>
        <w:rPr>
          <w:spacing w:val="-2"/>
          <w:sz w:val="24"/>
        </w:rPr>
        <w:t xml:space="preserve"> </w:t>
      </w:r>
      <w:r>
        <w:rPr>
          <w:sz w:val="24"/>
        </w:rPr>
        <w:t>suas convicções</w:t>
      </w:r>
      <w:r>
        <w:rPr>
          <w:spacing w:val="-1"/>
          <w:sz w:val="24"/>
        </w:rPr>
        <w:t xml:space="preserve"> </w:t>
      </w:r>
      <w:r>
        <w:rPr>
          <w:sz w:val="24"/>
        </w:rPr>
        <w:t>e</w:t>
      </w:r>
      <w:r>
        <w:rPr>
          <w:spacing w:val="-6"/>
          <w:sz w:val="24"/>
        </w:rPr>
        <w:t xml:space="preserve"> </w:t>
      </w:r>
      <w:r>
        <w:rPr>
          <w:sz w:val="24"/>
        </w:rPr>
        <w:t>visões</w:t>
      </w:r>
      <w:r>
        <w:rPr>
          <w:spacing w:val="-2"/>
          <w:sz w:val="24"/>
        </w:rPr>
        <w:t xml:space="preserve"> </w:t>
      </w:r>
      <w:r>
        <w:rPr>
          <w:sz w:val="24"/>
        </w:rPr>
        <w:t>de</w:t>
      </w:r>
      <w:r>
        <w:rPr>
          <w:spacing w:val="-6"/>
          <w:sz w:val="24"/>
        </w:rPr>
        <w:t xml:space="preserve"> </w:t>
      </w:r>
      <w:r>
        <w:rPr>
          <w:sz w:val="24"/>
        </w:rPr>
        <w:t>mundo,</w:t>
      </w:r>
      <w:r>
        <w:rPr>
          <w:spacing w:val="-2"/>
          <w:sz w:val="24"/>
        </w:rPr>
        <w:t xml:space="preserve"> </w:t>
      </w:r>
      <w:r>
        <w:rPr>
          <w:sz w:val="24"/>
        </w:rPr>
        <w:t>sob</w:t>
      </w:r>
      <w:r>
        <w:rPr>
          <w:spacing w:val="-2"/>
          <w:sz w:val="24"/>
        </w:rPr>
        <w:t xml:space="preserve"> </w:t>
      </w:r>
      <w:r>
        <w:rPr>
          <w:sz w:val="24"/>
        </w:rPr>
        <w:t>pena</w:t>
      </w:r>
      <w:r>
        <w:rPr>
          <w:spacing w:val="-6"/>
          <w:sz w:val="24"/>
        </w:rPr>
        <w:t xml:space="preserve"> </w:t>
      </w:r>
      <w:r>
        <w:rPr>
          <w:sz w:val="24"/>
        </w:rPr>
        <w:t>de</w:t>
      </w:r>
      <w:r>
        <w:rPr>
          <w:spacing w:val="-6"/>
          <w:sz w:val="24"/>
        </w:rPr>
        <w:t xml:space="preserve"> </w:t>
      </w:r>
      <w:r>
        <w:rPr>
          <w:sz w:val="24"/>
        </w:rPr>
        <w:t>violação à</w:t>
      </w:r>
      <w:r>
        <w:rPr>
          <w:spacing w:val="-6"/>
          <w:sz w:val="24"/>
        </w:rPr>
        <w:t xml:space="preserve"> </w:t>
      </w:r>
      <w:r>
        <w:rPr>
          <w:sz w:val="24"/>
        </w:rPr>
        <w:t>separação</w:t>
      </w:r>
      <w:r>
        <w:rPr>
          <w:spacing w:val="-1"/>
          <w:sz w:val="24"/>
        </w:rPr>
        <w:t xml:space="preserve"> </w:t>
      </w:r>
      <w:r>
        <w:rPr>
          <w:sz w:val="24"/>
        </w:rPr>
        <w:t xml:space="preserve">dos poderes, mas tão somente apontar os contornos para o atendimento da finalidade do ato, tendo como pressuposto a garantia do </w:t>
      </w:r>
      <w:r>
        <w:rPr>
          <w:i/>
          <w:sz w:val="24"/>
        </w:rPr>
        <w:t>mínimo existencial</w:t>
      </w:r>
      <w:r>
        <w:rPr>
          <w:sz w:val="24"/>
        </w:rPr>
        <w:t>.</w:t>
      </w:r>
    </w:p>
    <w:p w:rsidR="007259F2" w:rsidRDefault="00E655B4">
      <w:pPr>
        <w:pStyle w:val="Heading1"/>
        <w:spacing w:before="208"/>
      </w:pPr>
      <w:r>
        <w:rPr>
          <w:spacing w:val="-2"/>
        </w:rPr>
        <w:t>REFERÊNCIAS</w:t>
      </w:r>
    </w:p>
    <w:p w:rsidR="007259F2" w:rsidRDefault="00E655B4">
      <w:pPr>
        <w:spacing w:before="196" w:line="237" w:lineRule="auto"/>
        <w:ind w:left="710" w:right="421"/>
        <w:jc w:val="both"/>
        <w:rPr>
          <w:sz w:val="24"/>
        </w:rPr>
      </w:pPr>
      <w:r>
        <w:rPr>
          <w:sz w:val="24"/>
        </w:rPr>
        <w:t xml:space="preserve">BANDEIRA DE MELLO, Celso Antonio. </w:t>
      </w:r>
      <w:r>
        <w:rPr>
          <w:b/>
          <w:sz w:val="24"/>
        </w:rPr>
        <w:t>Curso de Direito Administrativo</w:t>
      </w:r>
      <w:r>
        <w:rPr>
          <w:sz w:val="24"/>
        </w:rPr>
        <w:t>. 27. ed. São Paulo: Malheiros, 2010.</w:t>
      </w:r>
    </w:p>
    <w:p w:rsidR="007259F2" w:rsidRDefault="00E655B4">
      <w:pPr>
        <w:spacing w:before="121"/>
        <w:ind w:left="710" w:right="420"/>
        <w:jc w:val="both"/>
        <w:rPr>
          <w:sz w:val="24"/>
        </w:rPr>
      </w:pPr>
      <w:r>
        <w:rPr>
          <w:sz w:val="24"/>
        </w:rPr>
        <w:t xml:space="preserve">BANDEIRA DE MELLO, Celso Antônio. </w:t>
      </w:r>
      <w:r>
        <w:rPr>
          <w:b/>
          <w:sz w:val="24"/>
        </w:rPr>
        <w:t>Discricionariedade e controle jurisdicional</w:t>
      </w:r>
      <w:r>
        <w:rPr>
          <w:sz w:val="24"/>
        </w:rPr>
        <w:t>, 2. ed., 11. tir. São Paulo: Malheiros, 2012.</w:t>
      </w:r>
    </w:p>
    <w:p w:rsidR="007259F2" w:rsidRDefault="00E655B4">
      <w:pPr>
        <w:spacing w:before="120"/>
        <w:ind w:left="710" w:right="422"/>
        <w:jc w:val="both"/>
        <w:rPr>
          <w:sz w:val="24"/>
        </w:rPr>
      </w:pPr>
      <w:r>
        <w:rPr>
          <w:sz w:val="24"/>
        </w:rPr>
        <w:t xml:space="preserve">BARROSO, Luís Roberto. Judicialização, ativismo judicial e legitimidade democrática. </w:t>
      </w:r>
      <w:r>
        <w:rPr>
          <w:b/>
          <w:sz w:val="24"/>
        </w:rPr>
        <w:t>Suffragium - Revista do Tribunal Regional Eleitoral do Ceará</w:t>
      </w:r>
      <w:r>
        <w:rPr>
          <w:sz w:val="24"/>
        </w:rPr>
        <w:t>, Fortaleza, v. 5, n. 8, p. 11- 22, jan./dez. 2009.</w:t>
      </w:r>
    </w:p>
    <w:p w:rsidR="007259F2" w:rsidRDefault="00E655B4">
      <w:pPr>
        <w:pStyle w:val="Corpodetexto"/>
        <w:tabs>
          <w:tab w:val="left" w:pos="9422"/>
        </w:tabs>
        <w:spacing w:before="121"/>
        <w:ind w:right="422" w:firstLine="0"/>
      </w:pPr>
      <w:r>
        <w:t xml:space="preserve">BRASIL. Supremo Tribunal Federal (Pleno). </w:t>
      </w:r>
      <w:r>
        <w:rPr>
          <w:b/>
        </w:rPr>
        <w:t xml:space="preserve">Recurso Extraordinário RE 684612 / RJ. </w:t>
      </w:r>
      <w:r>
        <w:t xml:space="preserve">Tema 698 - Limites do Poder Judiciário para determinar obrigações de fazer ao Estado, consistentes na realização de concursos públicos, contratação de servidores e execução de obras que atendam ao direito social da saúde, ao qual a Constituição da República garante especial proteção. Recorrente: Município do Rio de Janeiro. Recorrido: Ministério Público do Rio de Janeiro. Relator: Min. Luís Roberto Barroso, j. 03 jul. 2023. DJe 07 ago. 2023. </w:t>
      </w:r>
      <w:r>
        <w:rPr>
          <w:spacing w:val="-2"/>
        </w:rPr>
        <w:t>Disponível</w:t>
      </w:r>
      <w:r>
        <w:tab/>
      </w:r>
      <w:r>
        <w:rPr>
          <w:spacing w:val="-5"/>
        </w:rPr>
        <w:t>em:</w:t>
      </w:r>
    </w:p>
    <w:p w:rsidR="007259F2" w:rsidRDefault="00DE6B1C">
      <w:pPr>
        <w:pStyle w:val="Corpodetexto"/>
        <w:ind w:right="422" w:firstLine="0"/>
      </w:pPr>
      <w:hyperlink r:id="rId200">
        <w:r w:rsidR="00E655B4">
          <w:rPr>
            <w:color w:val="0000FF"/>
            <w:u w:val="single" w:color="0000FF"/>
          </w:rPr>
          <w:t>https://portal.stf.jus.br/processos/downloadPeca.asp?id=15362009287&amp;ext=.pdf</w:t>
        </w:r>
      </w:hyperlink>
      <w:r w:rsidR="00E655B4">
        <w:t>. Acesso em: 1 abr. 2024.</w:t>
      </w:r>
    </w:p>
    <w:p w:rsidR="007259F2" w:rsidRDefault="00E655B4">
      <w:pPr>
        <w:spacing w:before="120"/>
        <w:ind w:left="710" w:right="423"/>
        <w:jc w:val="both"/>
        <w:rPr>
          <w:sz w:val="24"/>
        </w:rPr>
      </w:pPr>
      <w:r>
        <w:rPr>
          <w:sz w:val="24"/>
        </w:rPr>
        <w:t xml:space="preserve">CANOTILHO, José Joaquim Gomes. </w:t>
      </w:r>
      <w:r>
        <w:rPr>
          <w:b/>
          <w:sz w:val="24"/>
        </w:rPr>
        <w:t>Fundamentos da constituição</w:t>
      </w:r>
      <w:r>
        <w:rPr>
          <w:sz w:val="24"/>
        </w:rPr>
        <w:t>. Coimbra: Coimbra, 1991. p. 130.</w:t>
      </w:r>
    </w:p>
    <w:p w:rsidR="007259F2" w:rsidRDefault="00E655B4">
      <w:pPr>
        <w:spacing w:before="121"/>
        <w:ind w:left="710" w:right="425"/>
        <w:jc w:val="both"/>
        <w:rPr>
          <w:sz w:val="24"/>
        </w:rPr>
      </w:pPr>
      <w:r>
        <w:rPr>
          <w:sz w:val="24"/>
        </w:rPr>
        <w:t xml:space="preserve">CANOTILHO, José Joaquim Gomes. </w:t>
      </w:r>
      <w:r>
        <w:rPr>
          <w:b/>
          <w:sz w:val="24"/>
        </w:rPr>
        <w:t>Direito Constitucional</w:t>
      </w:r>
      <w:r>
        <w:rPr>
          <w:sz w:val="24"/>
        </w:rPr>
        <w:t>. Coimbra: Livraria Almedina, 1993. p. 227.</w:t>
      </w:r>
    </w:p>
    <w:p w:rsidR="007259F2" w:rsidRDefault="00E655B4">
      <w:pPr>
        <w:pStyle w:val="Corpodetexto"/>
        <w:spacing w:before="120"/>
        <w:ind w:right="422" w:firstLine="0"/>
      </w:pPr>
      <w:r>
        <w:t>CARVALHO, Mariana</w:t>
      </w:r>
      <w:r>
        <w:rPr>
          <w:spacing w:val="40"/>
        </w:rPr>
        <w:t xml:space="preserve"> </w:t>
      </w:r>
      <w:r>
        <w:t>Siqueira de.</w:t>
      </w:r>
      <w:r>
        <w:rPr>
          <w:spacing w:val="40"/>
        </w:rPr>
        <w:t xml:space="preserve"> </w:t>
      </w:r>
      <w:r>
        <w:t>A saúde como direito social</w:t>
      </w:r>
      <w:r>
        <w:rPr>
          <w:spacing w:val="40"/>
        </w:rPr>
        <w:t xml:space="preserve"> </w:t>
      </w:r>
      <w:r>
        <w:t>fundamental na Constituição</w:t>
      </w:r>
      <w:r>
        <w:rPr>
          <w:spacing w:val="40"/>
        </w:rPr>
        <w:t xml:space="preserve"> </w:t>
      </w:r>
      <w:r>
        <w:t>Federal</w:t>
      </w:r>
      <w:r>
        <w:rPr>
          <w:spacing w:val="40"/>
        </w:rPr>
        <w:t xml:space="preserve"> </w:t>
      </w:r>
      <w:r>
        <w:t xml:space="preserve">de 1988. </w:t>
      </w:r>
      <w:r>
        <w:rPr>
          <w:b/>
        </w:rPr>
        <w:t>Revista de Direito Sanitário</w:t>
      </w:r>
      <w:r>
        <w:t>, São Paulo, 2003, v. 4, n. 2, p. 15-31, 2 jul. 2003.</w:t>
      </w:r>
    </w:p>
    <w:p w:rsidR="007259F2" w:rsidRDefault="00E655B4">
      <w:pPr>
        <w:pStyle w:val="Corpodetexto"/>
        <w:tabs>
          <w:tab w:val="left" w:pos="9435"/>
        </w:tabs>
        <w:spacing w:before="120"/>
        <w:ind w:right="420" w:firstLine="0"/>
      </w:pPr>
      <w:r>
        <w:t xml:space="preserve">CORDEIRO, Hésio. Descentralização, universalidade e equidade nas reformas da saúde. </w:t>
      </w:r>
      <w:r>
        <w:rPr>
          <w:b/>
        </w:rPr>
        <w:t>Ciênc. Saúde Coletiva</w:t>
      </w:r>
      <w:r>
        <w:t>, SãoPaulo,v.6,n.2,2001.Disponível</w:t>
      </w:r>
      <w:r>
        <w:tab/>
      </w:r>
      <w:r>
        <w:rPr>
          <w:spacing w:val="-6"/>
        </w:rPr>
        <w:t xml:space="preserve">em: </w:t>
      </w:r>
      <w:r>
        <w:t>https</w:t>
      </w:r>
      <w:hyperlink r:id="rId201">
        <w:r>
          <w:t>://www.scielo.br/j/csc/a/cR5fBb9MWJRFmvgn4DhrLgN/?lang=pt</w:t>
        </w:r>
      </w:hyperlink>
      <w:r>
        <w:t xml:space="preserve"> . Acesso em: 04 out. </w:t>
      </w:r>
      <w:r>
        <w:rPr>
          <w:spacing w:val="-2"/>
        </w:rPr>
        <w:t>2024.</w:t>
      </w:r>
    </w:p>
    <w:p w:rsidR="007259F2" w:rsidRDefault="00E655B4">
      <w:pPr>
        <w:pStyle w:val="Corpodetexto"/>
        <w:spacing w:before="120"/>
        <w:ind w:firstLine="0"/>
        <w:jc w:val="left"/>
      </w:pPr>
      <w:r>
        <w:t xml:space="preserve">DALLARI, Sueli Gandolfi; NUNES JÚNIOR, Vidal Serrano. </w:t>
      </w:r>
      <w:r>
        <w:rPr>
          <w:b/>
        </w:rPr>
        <w:t xml:space="preserve">Direito Sanitário. </w:t>
      </w:r>
      <w:r>
        <w:t>São Paulo: Verbatim, 2010. p. 64-76.</w:t>
      </w:r>
    </w:p>
    <w:p w:rsidR="007259F2" w:rsidRDefault="00E655B4">
      <w:pPr>
        <w:spacing w:before="120"/>
        <w:ind w:left="710"/>
        <w:rPr>
          <w:sz w:val="24"/>
        </w:rPr>
      </w:pPr>
      <w:r>
        <w:rPr>
          <w:sz w:val="24"/>
        </w:rPr>
        <w:t>DI</w:t>
      </w:r>
      <w:r>
        <w:rPr>
          <w:spacing w:val="-10"/>
          <w:sz w:val="24"/>
        </w:rPr>
        <w:t xml:space="preserve"> </w:t>
      </w:r>
      <w:r>
        <w:rPr>
          <w:sz w:val="24"/>
        </w:rPr>
        <w:t>PIETRO,</w:t>
      </w:r>
      <w:r>
        <w:rPr>
          <w:spacing w:val="-6"/>
          <w:sz w:val="24"/>
        </w:rPr>
        <w:t xml:space="preserve"> </w:t>
      </w:r>
      <w:r>
        <w:rPr>
          <w:sz w:val="24"/>
        </w:rPr>
        <w:t>Maria</w:t>
      </w:r>
      <w:r>
        <w:rPr>
          <w:spacing w:val="-6"/>
          <w:sz w:val="24"/>
        </w:rPr>
        <w:t xml:space="preserve"> </w:t>
      </w:r>
      <w:r>
        <w:rPr>
          <w:sz w:val="24"/>
        </w:rPr>
        <w:t>Sylvia</w:t>
      </w:r>
      <w:r>
        <w:rPr>
          <w:spacing w:val="-4"/>
          <w:sz w:val="24"/>
        </w:rPr>
        <w:t xml:space="preserve"> </w:t>
      </w:r>
      <w:r>
        <w:rPr>
          <w:sz w:val="24"/>
        </w:rPr>
        <w:t>Zanella.</w:t>
      </w:r>
      <w:r>
        <w:rPr>
          <w:spacing w:val="-1"/>
          <w:sz w:val="24"/>
        </w:rPr>
        <w:t xml:space="preserve"> </w:t>
      </w:r>
      <w:r>
        <w:rPr>
          <w:b/>
          <w:sz w:val="24"/>
        </w:rPr>
        <w:t>Direito</w:t>
      </w:r>
      <w:r>
        <w:rPr>
          <w:b/>
          <w:spacing w:val="-3"/>
          <w:sz w:val="24"/>
        </w:rPr>
        <w:t xml:space="preserve"> </w:t>
      </w:r>
      <w:r>
        <w:rPr>
          <w:b/>
          <w:sz w:val="24"/>
        </w:rPr>
        <w:t>administrativo.</w:t>
      </w:r>
      <w:r>
        <w:rPr>
          <w:b/>
          <w:spacing w:val="-5"/>
          <w:sz w:val="24"/>
        </w:rPr>
        <w:t xml:space="preserve"> </w:t>
      </w:r>
      <w:r>
        <w:rPr>
          <w:sz w:val="24"/>
        </w:rPr>
        <w:t>27.</w:t>
      </w:r>
      <w:r>
        <w:rPr>
          <w:spacing w:val="-1"/>
          <w:sz w:val="24"/>
        </w:rPr>
        <w:t xml:space="preserve"> </w:t>
      </w:r>
      <w:r>
        <w:rPr>
          <w:sz w:val="24"/>
        </w:rPr>
        <w:t>ed.</w:t>
      </w:r>
      <w:r>
        <w:rPr>
          <w:spacing w:val="-8"/>
          <w:sz w:val="24"/>
        </w:rPr>
        <w:t xml:space="preserve"> </w:t>
      </w:r>
      <w:r>
        <w:rPr>
          <w:sz w:val="24"/>
        </w:rPr>
        <w:t>São</w:t>
      </w:r>
      <w:r>
        <w:rPr>
          <w:spacing w:val="-4"/>
          <w:sz w:val="24"/>
        </w:rPr>
        <w:t xml:space="preserve"> </w:t>
      </w:r>
      <w:r>
        <w:rPr>
          <w:sz w:val="24"/>
        </w:rPr>
        <w:t>Paulo,</w:t>
      </w:r>
      <w:r>
        <w:rPr>
          <w:spacing w:val="-5"/>
          <w:sz w:val="24"/>
        </w:rPr>
        <w:t xml:space="preserve"> </w:t>
      </w:r>
      <w:r>
        <w:rPr>
          <w:sz w:val="24"/>
        </w:rPr>
        <w:t>Atlas</w:t>
      </w:r>
      <w:r>
        <w:rPr>
          <w:spacing w:val="-5"/>
          <w:sz w:val="24"/>
        </w:rPr>
        <w:t xml:space="preserve"> </w:t>
      </w:r>
      <w:r>
        <w:rPr>
          <w:spacing w:val="-2"/>
          <w:sz w:val="24"/>
        </w:rPr>
        <w:t>2014.</w:t>
      </w:r>
    </w:p>
    <w:p w:rsidR="007259F2" w:rsidRDefault="007259F2">
      <w:pPr>
        <w:rPr>
          <w:sz w:val="24"/>
        </w:rPr>
        <w:sectPr w:rsidR="007259F2">
          <w:pgSz w:w="11910" w:h="16840"/>
          <w:pgMar w:top="1600" w:right="708" w:bottom="1020" w:left="992" w:header="0" w:footer="820" w:gutter="0"/>
          <w:cols w:space="720"/>
        </w:sectPr>
      </w:pPr>
    </w:p>
    <w:p w:rsidR="007259F2" w:rsidRDefault="00E655B4">
      <w:pPr>
        <w:pStyle w:val="Corpodetexto"/>
        <w:spacing w:before="75"/>
        <w:ind w:firstLine="0"/>
        <w:jc w:val="left"/>
      </w:pPr>
      <w:r>
        <w:lastRenderedPageBreak/>
        <w:t>FAGUNDES,</w:t>
      </w:r>
      <w:r>
        <w:rPr>
          <w:spacing w:val="40"/>
        </w:rPr>
        <w:t xml:space="preserve"> </w:t>
      </w:r>
      <w:r>
        <w:t>Miguel</w:t>
      </w:r>
      <w:r>
        <w:rPr>
          <w:spacing w:val="40"/>
        </w:rPr>
        <w:t xml:space="preserve"> </w:t>
      </w:r>
      <w:r>
        <w:t>Seabra.</w:t>
      </w:r>
      <w:r>
        <w:rPr>
          <w:spacing w:val="40"/>
        </w:rPr>
        <w:t xml:space="preserve"> </w:t>
      </w:r>
      <w:r>
        <w:t>Conceito</w:t>
      </w:r>
      <w:r>
        <w:rPr>
          <w:spacing w:val="40"/>
        </w:rPr>
        <w:t xml:space="preserve"> </w:t>
      </w:r>
      <w:r>
        <w:t>de</w:t>
      </w:r>
      <w:r>
        <w:rPr>
          <w:spacing w:val="40"/>
        </w:rPr>
        <w:t xml:space="preserve"> </w:t>
      </w:r>
      <w:r>
        <w:t>mérito</w:t>
      </w:r>
      <w:r>
        <w:rPr>
          <w:spacing w:val="40"/>
        </w:rPr>
        <w:t xml:space="preserve"> </w:t>
      </w:r>
      <w:r>
        <w:t>no</w:t>
      </w:r>
      <w:r>
        <w:rPr>
          <w:spacing w:val="40"/>
        </w:rPr>
        <w:t xml:space="preserve"> </w:t>
      </w:r>
      <w:r>
        <w:t>Direito</w:t>
      </w:r>
      <w:r>
        <w:rPr>
          <w:spacing w:val="40"/>
        </w:rPr>
        <w:t xml:space="preserve"> </w:t>
      </w:r>
      <w:r>
        <w:t>Administrativo.</w:t>
      </w:r>
      <w:r>
        <w:rPr>
          <w:spacing w:val="40"/>
        </w:rPr>
        <w:t xml:space="preserve"> </w:t>
      </w:r>
      <w:r>
        <w:rPr>
          <w:b/>
        </w:rPr>
        <w:t>Revista</w:t>
      </w:r>
      <w:r>
        <w:rPr>
          <w:b/>
          <w:spacing w:val="40"/>
        </w:rPr>
        <w:t xml:space="preserve"> </w:t>
      </w:r>
      <w:r>
        <w:rPr>
          <w:b/>
        </w:rPr>
        <w:t>de Direito</w:t>
      </w:r>
      <w:r>
        <w:rPr>
          <w:b/>
          <w:spacing w:val="-5"/>
        </w:rPr>
        <w:t xml:space="preserve"> </w:t>
      </w:r>
      <w:r>
        <w:rPr>
          <w:b/>
        </w:rPr>
        <w:t>Administrativo</w:t>
      </w:r>
      <w:r>
        <w:t>, [S.</w:t>
      </w:r>
      <w:r>
        <w:rPr>
          <w:spacing w:val="-7"/>
        </w:rPr>
        <w:t xml:space="preserve"> </w:t>
      </w:r>
      <w:r>
        <w:t>l.], v.23,p.1–16,1951. Disponívelem: https://periodicos.fgv.br/rda/article/view/11830. Acesso em: 5 11. 2024.</w:t>
      </w:r>
    </w:p>
    <w:p w:rsidR="007259F2" w:rsidRDefault="00E655B4">
      <w:pPr>
        <w:pStyle w:val="Corpodetexto"/>
        <w:spacing w:before="120"/>
        <w:ind w:right="420" w:firstLine="0"/>
      </w:pPr>
      <w:r>
        <w:t xml:space="preserve">FAGUNDES, Miguel Seabra. Concorrência pública - classificação dos concorrentes - ato administrativo - vício de ilegalidade e vício de mérito - mandado de segurança. </w:t>
      </w:r>
      <w:r>
        <w:rPr>
          <w:b/>
        </w:rPr>
        <w:t>Revista de Direito</w:t>
      </w:r>
      <w:r>
        <w:rPr>
          <w:b/>
          <w:spacing w:val="73"/>
        </w:rPr>
        <w:t xml:space="preserve">   </w:t>
      </w:r>
      <w:r>
        <w:rPr>
          <w:b/>
        </w:rPr>
        <w:t>Administrativo</w:t>
      </w:r>
      <w:r>
        <w:t>,</w:t>
      </w:r>
      <w:r>
        <w:rPr>
          <w:spacing w:val="74"/>
        </w:rPr>
        <w:t xml:space="preserve">   </w:t>
      </w:r>
      <w:r>
        <w:t>v.</w:t>
      </w:r>
      <w:r>
        <w:rPr>
          <w:spacing w:val="74"/>
        </w:rPr>
        <w:t xml:space="preserve">   </w:t>
      </w:r>
      <w:r>
        <w:t>22,</w:t>
      </w:r>
      <w:r>
        <w:rPr>
          <w:spacing w:val="74"/>
        </w:rPr>
        <w:t xml:space="preserve">   </w:t>
      </w:r>
      <w:r>
        <w:t>p.</w:t>
      </w:r>
      <w:r>
        <w:rPr>
          <w:spacing w:val="73"/>
        </w:rPr>
        <w:t xml:space="preserve">   </w:t>
      </w:r>
      <w:r>
        <w:t>369–376,</w:t>
      </w:r>
      <w:r>
        <w:rPr>
          <w:spacing w:val="74"/>
        </w:rPr>
        <w:t xml:space="preserve">   </w:t>
      </w:r>
      <w:r>
        <w:t>1950.</w:t>
      </w:r>
      <w:r>
        <w:rPr>
          <w:spacing w:val="74"/>
        </w:rPr>
        <w:t xml:space="preserve">   </w:t>
      </w:r>
      <w:r>
        <w:t>Disponível</w:t>
      </w:r>
      <w:r>
        <w:rPr>
          <w:spacing w:val="74"/>
        </w:rPr>
        <w:t xml:space="preserve">   </w:t>
      </w:r>
      <w:r>
        <w:rPr>
          <w:spacing w:val="-5"/>
        </w:rPr>
        <w:t>em:</w:t>
      </w:r>
    </w:p>
    <w:p w:rsidR="007259F2" w:rsidRDefault="00E655B4">
      <w:pPr>
        <w:pStyle w:val="Corpodetexto"/>
        <w:ind w:firstLine="0"/>
      </w:pPr>
      <w:r>
        <w:t>https://periodicos.fgv.br/rda/article/view/11813.</w:t>
      </w:r>
      <w:r>
        <w:rPr>
          <w:spacing w:val="-2"/>
        </w:rPr>
        <w:t xml:space="preserve"> </w:t>
      </w:r>
      <w:r>
        <w:t>Acesso</w:t>
      </w:r>
      <w:r>
        <w:rPr>
          <w:spacing w:val="-2"/>
        </w:rPr>
        <w:t xml:space="preserve"> </w:t>
      </w:r>
      <w:r>
        <w:t>em:</w:t>
      </w:r>
      <w:r>
        <w:rPr>
          <w:spacing w:val="-1"/>
        </w:rPr>
        <w:t xml:space="preserve"> </w:t>
      </w:r>
      <w:r>
        <w:t>20</w:t>
      </w:r>
      <w:r>
        <w:rPr>
          <w:spacing w:val="-2"/>
        </w:rPr>
        <w:t xml:space="preserve"> </w:t>
      </w:r>
      <w:r>
        <w:t>dez.</w:t>
      </w:r>
      <w:r>
        <w:rPr>
          <w:spacing w:val="-1"/>
        </w:rPr>
        <w:t xml:space="preserve"> </w:t>
      </w:r>
      <w:r>
        <w:rPr>
          <w:spacing w:val="-2"/>
        </w:rPr>
        <w:t>2024.</w:t>
      </w:r>
    </w:p>
    <w:p w:rsidR="007259F2" w:rsidRDefault="00E655B4">
      <w:pPr>
        <w:pStyle w:val="Corpodetexto"/>
        <w:spacing w:before="120"/>
        <w:ind w:right="420" w:firstLine="0"/>
      </w:pPr>
      <w:r>
        <w:t xml:space="preserve">LOPES, Luciana de M. N.; COELHO , Tiago L.; DINIZ, Semíramis D.; ANDRADE , Eli L G.. Judicialização e jurisprudência: Utilização da STA 175/CE em acórdãos em saúde no Estado de Minas Gerais. </w:t>
      </w:r>
      <w:r>
        <w:rPr>
          <w:b/>
        </w:rPr>
        <w:t>Revista de Direito Sanitário</w:t>
      </w:r>
      <w:r>
        <w:t>, São Paulo, v. 20, n. 1, p. 185-201, mar/jun. 2019.</w:t>
      </w:r>
    </w:p>
    <w:p w:rsidR="007259F2" w:rsidRDefault="00E655B4">
      <w:pPr>
        <w:spacing w:before="121"/>
        <w:ind w:left="710" w:right="420"/>
        <w:jc w:val="both"/>
        <w:rPr>
          <w:sz w:val="24"/>
        </w:rPr>
      </w:pPr>
      <w:r>
        <w:rPr>
          <w:sz w:val="24"/>
        </w:rPr>
        <w:t xml:space="preserve">MARTINS, Ricardo Marcondes. </w:t>
      </w:r>
      <w:r>
        <w:rPr>
          <w:i/>
          <w:sz w:val="24"/>
        </w:rPr>
        <w:t>Ato administrativo. In</w:t>
      </w:r>
      <w:r>
        <w:rPr>
          <w:sz w:val="24"/>
        </w:rPr>
        <w:t>: MARTINS, Ricardo Marcondes; BACELLAR FILHO, Romeu Felipe</w:t>
      </w:r>
      <w:r>
        <w:rPr>
          <w:b/>
          <w:i/>
          <w:sz w:val="24"/>
        </w:rPr>
        <w:t xml:space="preserve">. </w:t>
      </w:r>
      <w:r>
        <w:rPr>
          <w:b/>
          <w:sz w:val="24"/>
        </w:rPr>
        <w:t>Tratado de direito administrativo</w:t>
      </w:r>
      <w:r>
        <w:rPr>
          <w:sz w:val="24"/>
        </w:rPr>
        <w:t>. São Paulo: Revista dos Tribunais, 2014. v. 5.</w:t>
      </w:r>
    </w:p>
    <w:p w:rsidR="007259F2" w:rsidRDefault="00E655B4">
      <w:pPr>
        <w:spacing w:before="120"/>
        <w:ind w:left="710" w:right="423"/>
        <w:jc w:val="both"/>
        <w:rPr>
          <w:sz w:val="24"/>
        </w:rPr>
      </w:pPr>
      <w:r>
        <w:rPr>
          <w:sz w:val="24"/>
        </w:rPr>
        <w:t xml:space="preserve">MARTINS, Ricardo Marcondes. </w:t>
      </w:r>
      <w:r>
        <w:rPr>
          <w:b/>
          <w:sz w:val="24"/>
        </w:rPr>
        <w:t>Teoria jurídica da liberdade</w:t>
      </w:r>
      <w:r>
        <w:rPr>
          <w:sz w:val="24"/>
        </w:rPr>
        <w:t xml:space="preserve">. São Paulo: Contracorrente, </w:t>
      </w:r>
      <w:r>
        <w:rPr>
          <w:spacing w:val="-2"/>
          <w:sz w:val="24"/>
        </w:rPr>
        <w:t>2015.</w:t>
      </w:r>
    </w:p>
    <w:p w:rsidR="007259F2" w:rsidRDefault="00E655B4">
      <w:pPr>
        <w:spacing w:before="120"/>
        <w:ind w:left="710" w:right="419"/>
        <w:jc w:val="both"/>
        <w:rPr>
          <w:sz w:val="24"/>
        </w:rPr>
      </w:pPr>
      <w:r>
        <w:rPr>
          <w:sz w:val="24"/>
        </w:rPr>
        <w:t xml:space="preserve">MARTINS, Ricardo Marcondes. Neoconstitucionalismo: perscrutação sobre a pertinência do prefixo. </w:t>
      </w:r>
      <w:r>
        <w:rPr>
          <w:b/>
          <w:sz w:val="24"/>
        </w:rPr>
        <w:t>Revista Internacional de Direito Público - RIDP</w:t>
      </w:r>
      <w:r>
        <w:rPr>
          <w:sz w:val="24"/>
        </w:rPr>
        <w:t xml:space="preserve">, ano 2, n. 3, p. 9-37, jul./dez. </w:t>
      </w:r>
      <w:r>
        <w:rPr>
          <w:spacing w:val="-2"/>
          <w:sz w:val="24"/>
        </w:rPr>
        <w:t>2017a.</w:t>
      </w:r>
    </w:p>
    <w:p w:rsidR="007259F2" w:rsidRDefault="00E655B4">
      <w:pPr>
        <w:spacing w:before="120"/>
        <w:ind w:left="710" w:right="421"/>
        <w:jc w:val="both"/>
        <w:rPr>
          <w:sz w:val="24"/>
        </w:rPr>
      </w:pPr>
      <w:r>
        <w:rPr>
          <w:sz w:val="24"/>
        </w:rPr>
        <w:t xml:space="preserve">MARTINS, Ricardo Marcondes. Proporcionalidade e boa administração. </w:t>
      </w:r>
      <w:r>
        <w:rPr>
          <w:b/>
          <w:sz w:val="24"/>
        </w:rPr>
        <w:t>Revista Internacional de Direito Público - RIDP</w:t>
      </w:r>
      <w:r>
        <w:rPr>
          <w:sz w:val="24"/>
        </w:rPr>
        <w:t xml:space="preserve">, Belo Horizonte, ano 2, n. 2, p. 9-35, jan./jun. </w:t>
      </w:r>
      <w:r>
        <w:rPr>
          <w:spacing w:val="-2"/>
          <w:sz w:val="24"/>
        </w:rPr>
        <w:t>2017b.</w:t>
      </w:r>
    </w:p>
    <w:p w:rsidR="007259F2" w:rsidRDefault="00E655B4">
      <w:pPr>
        <w:spacing w:before="121"/>
        <w:ind w:left="710" w:right="424"/>
        <w:jc w:val="both"/>
        <w:rPr>
          <w:sz w:val="24"/>
        </w:rPr>
      </w:pPr>
      <w:r>
        <w:rPr>
          <w:sz w:val="24"/>
        </w:rPr>
        <w:t xml:space="preserve">MARTINS, Ricardo Marcondes. Teoria dos princípios e poder judiciário: a utilização de princípios na fundamentação da sentença. </w:t>
      </w:r>
      <w:r>
        <w:rPr>
          <w:i/>
          <w:sz w:val="24"/>
        </w:rPr>
        <w:t>In</w:t>
      </w:r>
      <w:r>
        <w:rPr>
          <w:sz w:val="24"/>
        </w:rPr>
        <w:t xml:space="preserve">: GUERRA, Alexandre Dartanhan de Mello (Coord.). </w:t>
      </w:r>
      <w:r>
        <w:rPr>
          <w:b/>
          <w:sz w:val="24"/>
        </w:rPr>
        <w:t>Estudos em homenagem a Clóvis Beviláqua por ocasião do centenário do Direito Civil codificado no Brasil</w:t>
      </w:r>
      <w:r>
        <w:rPr>
          <w:i/>
          <w:sz w:val="24"/>
        </w:rPr>
        <w:t xml:space="preserve">. </w:t>
      </w:r>
      <w:r>
        <w:rPr>
          <w:sz w:val="24"/>
        </w:rPr>
        <w:t>São Paulo: Escola Paulista da Magistratura, 2018. v. 1.</w:t>
      </w:r>
    </w:p>
    <w:p w:rsidR="007259F2" w:rsidRDefault="00E655B4">
      <w:pPr>
        <w:spacing w:before="117"/>
        <w:ind w:left="710" w:right="422"/>
        <w:jc w:val="both"/>
        <w:rPr>
          <w:sz w:val="24"/>
        </w:rPr>
      </w:pPr>
      <w:r>
        <w:rPr>
          <w:sz w:val="24"/>
        </w:rPr>
        <w:t xml:space="preserve">MARTINS, Ricardo Marcondes. Teoria neoconstitucional da discricionariedade administrativa. </w:t>
      </w:r>
      <w:r>
        <w:rPr>
          <w:b/>
          <w:sz w:val="24"/>
        </w:rPr>
        <w:t>Revista de Direito Administrativo, Infraestrutura, Regulação e Compliance</w:t>
      </w:r>
      <w:r>
        <w:rPr>
          <w:sz w:val="24"/>
        </w:rPr>
        <w:t>, São Paulo, n.</w:t>
      </w:r>
      <w:r>
        <w:rPr>
          <w:spacing w:val="-2"/>
          <w:sz w:val="24"/>
        </w:rPr>
        <w:t xml:space="preserve"> </w:t>
      </w:r>
      <w:r>
        <w:rPr>
          <w:sz w:val="24"/>
        </w:rPr>
        <w:t>30,</w:t>
      </w:r>
      <w:r>
        <w:rPr>
          <w:spacing w:val="40"/>
          <w:sz w:val="24"/>
        </w:rPr>
        <w:t xml:space="preserve"> </w:t>
      </w:r>
      <w:r>
        <w:rPr>
          <w:sz w:val="24"/>
        </w:rPr>
        <w:t>Ano</w:t>
      </w:r>
      <w:r>
        <w:rPr>
          <w:spacing w:val="-4"/>
          <w:sz w:val="24"/>
        </w:rPr>
        <w:t xml:space="preserve"> </w:t>
      </w:r>
      <w:r>
        <w:rPr>
          <w:sz w:val="24"/>
        </w:rPr>
        <w:t>8, p. 71 – 113, jul./set. 2024..</w:t>
      </w:r>
    </w:p>
    <w:p w:rsidR="007259F2" w:rsidRDefault="00E655B4">
      <w:pPr>
        <w:spacing w:before="121"/>
        <w:ind w:left="710"/>
        <w:jc w:val="both"/>
        <w:rPr>
          <w:sz w:val="24"/>
        </w:rPr>
      </w:pPr>
      <w:r>
        <w:rPr>
          <w:sz w:val="24"/>
        </w:rPr>
        <w:t>MEIRELLES,</w:t>
      </w:r>
      <w:r>
        <w:rPr>
          <w:spacing w:val="23"/>
          <w:sz w:val="24"/>
        </w:rPr>
        <w:t xml:space="preserve"> </w:t>
      </w:r>
      <w:r>
        <w:rPr>
          <w:sz w:val="24"/>
        </w:rPr>
        <w:t>Hely</w:t>
      </w:r>
      <w:r>
        <w:rPr>
          <w:spacing w:val="19"/>
          <w:sz w:val="24"/>
        </w:rPr>
        <w:t xml:space="preserve"> </w:t>
      </w:r>
      <w:r>
        <w:rPr>
          <w:sz w:val="24"/>
        </w:rPr>
        <w:t>Lopes.</w:t>
      </w:r>
      <w:r>
        <w:rPr>
          <w:spacing w:val="25"/>
          <w:sz w:val="24"/>
        </w:rPr>
        <w:t xml:space="preserve"> </w:t>
      </w:r>
      <w:r>
        <w:rPr>
          <w:b/>
          <w:sz w:val="24"/>
        </w:rPr>
        <w:t>Direito</w:t>
      </w:r>
      <w:r>
        <w:rPr>
          <w:b/>
          <w:spacing w:val="25"/>
          <w:sz w:val="24"/>
        </w:rPr>
        <w:t xml:space="preserve"> </w:t>
      </w:r>
      <w:r>
        <w:rPr>
          <w:b/>
          <w:sz w:val="24"/>
        </w:rPr>
        <w:t>Administrativo</w:t>
      </w:r>
      <w:r>
        <w:rPr>
          <w:b/>
          <w:spacing w:val="23"/>
          <w:sz w:val="24"/>
        </w:rPr>
        <w:t xml:space="preserve"> </w:t>
      </w:r>
      <w:r>
        <w:rPr>
          <w:b/>
          <w:sz w:val="24"/>
        </w:rPr>
        <w:t>Brasileiro</w:t>
      </w:r>
      <w:r>
        <w:rPr>
          <w:sz w:val="24"/>
        </w:rPr>
        <w:t>.São</w:t>
      </w:r>
      <w:r>
        <w:rPr>
          <w:spacing w:val="22"/>
          <w:sz w:val="24"/>
        </w:rPr>
        <w:t xml:space="preserve"> </w:t>
      </w:r>
      <w:r>
        <w:rPr>
          <w:sz w:val="24"/>
        </w:rPr>
        <w:t>Paulo:</w:t>
      </w:r>
      <w:r>
        <w:rPr>
          <w:spacing w:val="28"/>
          <w:sz w:val="24"/>
        </w:rPr>
        <w:t xml:space="preserve"> </w:t>
      </w:r>
      <w:r>
        <w:rPr>
          <w:sz w:val="24"/>
        </w:rPr>
        <w:t>Malheiros,</w:t>
      </w:r>
      <w:r>
        <w:rPr>
          <w:spacing w:val="23"/>
          <w:sz w:val="24"/>
        </w:rPr>
        <w:t xml:space="preserve"> </w:t>
      </w:r>
      <w:r>
        <w:rPr>
          <w:spacing w:val="-2"/>
          <w:sz w:val="24"/>
        </w:rPr>
        <w:t>1998,</w:t>
      </w:r>
    </w:p>
    <w:p w:rsidR="007259F2" w:rsidRDefault="00E655B4">
      <w:pPr>
        <w:pStyle w:val="Corpodetexto"/>
        <w:ind w:firstLine="0"/>
      </w:pPr>
      <w:r>
        <w:t>p.</w:t>
      </w:r>
      <w:r>
        <w:rPr>
          <w:spacing w:val="-8"/>
        </w:rPr>
        <w:t xml:space="preserve"> </w:t>
      </w:r>
      <w:r>
        <w:rPr>
          <w:spacing w:val="-4"/>
        </w:rPr>
        <w:t>136.</w:t>
      </w:r>
    </w:p>
    <w:p w:rsidR="007259F2" w:rsidRDefault="00E655B4">
      <w:pPr>
        <w:pStyle w:val="Corpodetexto"/>
        <w:spacing w:before="120"/>
        <w:ind w:right="421" w:firstLine="0"/>
      </w:pPr>
      <w:r>
        <w:t xml:space="preserve">MIRANDA, Jorge Manuel Moura Loureiro de. O regime dos direitos sociais. </w:t>
      </w:r>
      <w:r>
        <w:rPr>
          <w:b/>
        </w:rPr>
        <w:t>Revista de Informação Legislativa</w:t>
      </w:r>
      <w:r>
        <w:t>, Brasília, v. 47, n. 188, p. 23-36, out. 2010. Senado Federal, Subsecretaria de Edições Técnicas.</w:t>
      </w:r>
    </w:p>
    <w:p w:rsidR="007259F2" w:rsidRDefault="00E655B4">
      <w:pPr>
        <w:spacing w:before="120"/>
        <w:ind w:left="710" w:right="425"/>
        <w:jc w:val="both"/>
        <w:rPr>
          <w:sz w:val="24"/>
        </w:rPr>
      </w:pPr>
      <w:r>
        <w:rPr>
          <w:sz w:val="24"/>
        </w:rPr>
        <w:t>PIRES,</w:t>
      </w:r>
      <w:r>
        <w:rPr>
          <w:spacing w:val="-1"/>
          <w:sz w:val="24"/>
        </w:rPr>
        <w:t xml:space="preserve"> </w:t>
      </w:r>
      <w:r>
        <w:rPr>
          <w:sz w:val="24"/>
        </w:rPr>
        <w:t>Luis</w:t>
      </w:r>
      <w:r>
        <w:rPr>
          <w:spacing w:val="-3"/>
          <w:sz w:val="24"/>
        </w:rPr>
        <w:t xml:space="preserve"> </w:t>
      </w:r>
      <w:r>
        <w:rPr>
          <w:sz w:val="24"/>
        </w:rPr>
        <w:t>Manuel</w:t>
      </w:r>
      <w:r>
        <w:rPr>
          <w:spacing w:val="-3"/>
          <w:sz w:val="24"/>
        </w:rPr>
        <w:t xml:space="preserve"> </w:t>
      </w:r>
      <w:r>
        <w:rPr>
          <w:sz w:val="24"/>
        </w:rPr>
        <w:t>Fonseca.</w:t>
      </w:r>
      <w:r>
        <w:rPr>
          <w:spacing w:val="-1"/>
          <w:sz w:val="24"/>
        </w:rPr>
        <w:t xml:space="preserve"> </w:t>
      </w:r>
      <w:r>
        <w:rPr>
          <w:b/>
          <w:sz w:val="24"/>
        </w:rPr>
        <w:t>Controle</w:t>
      </w:r>
      <w:r>
        <w:rPr>
          <w:b/>
          <w:spacing w:val="-4"/>
          <w:sz w:val="24"/>
        </w:rPr>
        <w:t xml:space="preserve"> </w:t>
      </w:r>
      <w:r>
        <w:rPr>
          <w:b/>
          <w:sz w:val="24"/>
        </w:rPr>
        <w:t>Judicial</w:t>
      </w:r>
      <w:r>
        <w:rPr>
          <w:b/>
          <w:spacing w:val="-5"/>
          <w:sz w:val="24"/>
        </w:rPr>
        <w:t xml:space="preserve"> </w:t>
      </w:r>
      <w:r>
        <w:rPr>
          <w:b/>
          <w:sz w:val="24"/>
        </w:rPr>
        <w:t>da</w:t>
      </w:r>
      <w:r>
        <w:rPr>
          <w:b/>
          <w:spacing w:val="-3"/>
          <w:sz w:val="24"/>
        </w:rPr>
        <w:t xml:space="preserve"> </w:t>
      </w:r>
      <w:r>
        <w:rPr>
          <w:b/>
          <w:sz w:val="24"/>
        </w:rPr>
        <w:t>discricionariedade</w:t>
      </w:r>
      <w:r>
        <w:rPr>
          <w:b/>
          <w:spacing w:val="-4"/>
          <w:sz w:val="24"/>
        </w:rPr>
        <w:t xml:space="preserve"> </w:t>
      </w:r>
      <w:r>
        <w:rPr>
          <w:b/>
          <w:sz w:val="24"/>
        </w:rPr>
        <w:t>administrativa:</w:t>
      </w:r>
      <w:r>
        <w:rPr>
          <w:b/>
          <w:spacing w:val="-4"/>
          <w:sz w:val="24"/>
        </w:rPr>
        <w:t xml:space="preserve"> </w:t>
      </w:r>
      <w:r>
        <w:rPr>
          <w:b/>
          <w:sz w:val="24"/>
        </w:rPr>
        <w:t xml:space="preserve">dos conceitos jurídicos indeterminados às políticas públicas. </w:t>
      </w:r>
      <w:r>
        <w:rPr>
          <w:sz w:val="24"/>
        </w:rPr>
        <w:t>Rio de Janeiro: Elsevier, 2009.</w:t>
      </w:r>
    </w:p>
    <w:p w:rsidR="007259F2" w:rsidRDefault="00E655B4">
      <w:pPr>
        <w:pStyle w:val="Corpodetexto"/>
        <w:spacing w:before="120"/>
        <w:ind w:right="419" w:firstLine="0"/>
      </w:pPr>
      <w:r>
        <w:t xml:space="preserve">SARLET, Ingo Wolfgang; FIGUEIREDO, Mariana Filchtiner, O Direito Fundamental à Proteção e Promoção da Saúde na Ordem Jurídico-Constitucional: Uma Visão Geral Sobre o Sistema (Público e Privado) de Saúde no Brasil, </w:t>
      </w:r>
      <w:r>
        <w:rPr>
          <w:b/>
        </w:rPr>
        <w:t>Revista do Instituto do Direito Brasileiro</w:t>
      </w:r>
      <w:r>
        <w:t>, Lisboa, Portugal, nº 2, nº 4, p. 73-138, 2013.</w:t>
      </w:r>
    </w:p>
    <w:p w:rsidR="007259F2" w:rsidRDefault="00E655B4">
      <w:pPr>
        <w:spacing w:before="120"/>
        <w:ind w:left="710" w:right="418"/>
        <w:jc w:val="both"/>
        <w:rPr>
          <w:sz w:val="24"/>
        </w:rPr>
      </w:pPr>
      <w:r>
        <w:rPr>
          <w:sz w:val="24"/>
        </w:rPr>
        <w:t xml:space="preserve">SARLET, Ingo Wolgang; FIGUEIREDO, Mariana F Filchtiner. Reserva do possível, mínimo existencial e direito à saúde: Algumas aproximações. </w:t>
      </w:r>
      <w:r>
        <w:rPr>
          <w:b/>
          <w:sz w:val="24"/>
        </w:rPr>
        <w:t>Revista Brasileira de Direitos Fundamentais</w:t>
      </w:r>
      <w:r>
        <w:rPr>
          <w:b/>
          <w:spacing w:val="70"/>
          <w:sz w:val="24"/>
        </w:rPr>
        <w:t xml:space="preserve">  </w:t>
      </w:r>
      <w:r>
        <w:rPr>
          <w:b/>
          <w:sz w:val="24"/>
        </w:rPr>
        <w:t>&amp;</w:t>
      </w:r>
      <w:r>
        <w:rPr>
          <w:b/>
          <w:spacing w:val="70"/>
          <w:sz w:val="24"/>
        </w:rPr>
        <w:t xml:space="preserve">  </w:t>
      </w:r>
      <w:r>
        <w:rPr>
          <w:b/>
          <w:sz w:val="24"/>
        </w:rPr>
        <w:t>Justiça</w:t>
      </w:r>
      <w:r>
        <w:rPr>
          <w:sz w:val="24"/>
        </w:rPr>
        <w:t>,</w:t>
      </w:r>
      <w:r>
        <w:rPr>
          <w:spacing w:val="70"/>
          <w:sz w:val="24"/>
        </w:rPr>
        <w:t xml:space="preserve">  </w:t>
      </w:r>
      <w:r>
        <w:rPr>
          <w:sz w:val="24"/>
        </w:rPr>
        <w:t>v.</w:t>
      </w:r>
      <w:r>
        <w:rPr>
          <w:spacing w:val="70"/>
          <w:sz w:val="24"/>
        </w:rPr>
        <w:t xml:space="preserve">  </w:t>
      </w:r>
      <w:r>
        <w:rPr>
          <w:sz w:val="24"/>
        </w:rPr>
        <w:t>1,</w:t>
      </w:r>
      <w:r>
        <w:rPr>
          <w:spacing w:val="71"/>
          <w:sz w:val="24"/>
        </w:rPr>
        <w:t xml:space="preserve">  </w:t>
      </w:r>
      <w:r>
        <w:rPr>
          <w:sz w:val="24"/>
        </w:rPr>
        <w:t>n.</w:t>
      </w:r>
      <w:r>
        <w:rPr>
          <w:spacing w:val="70"/>
          <w:sz w:val="24"/>
        </w:rPr>
        <w:t xml:space="preserve">  </w:t>
      </w:r>
      <w:r>
        <w:rPr>
          <w:sz w:val="24"/>
        </w:rPr>
        <w:t>1,</w:t>
      </w:r>
      <w:r>
        <w:rPr>
          <w:spacing w:val="69"/>
          <w:sz w:val="24"/>
        </w:rPr>
        <w:t xml:space="preserve">  </w:t>
      </w:r>
      <w:r>
        <w:rPr>
          <w:sz w:val="24"/>
        </w:rPr>
        <w:t>p.</w:t>
      </w:r>
      <w:r>
        <w:rPr>
          <w:spacing w:val="70"/>
          <w:sz w:val="24"/>
        </w:rPr>
        <w:t xml:space="preserve">  </w:t>
      </w:r>
      <w:r>
        <w:rPr>
          <w:sz w:val="24"/>
        </w:rPr>
        <w:t>171–213,</w:t>
      </w:r>
      <w:r>
        <w:rPr>
          <w:spacing w:val="70"/>
          <w:sz w:val="24"/>
        </w:rPr>
        <w:t xml:space="preserve">  </w:t>
      </w:r>
      <w:r>
        <w:rPr>
          <w:sz w:val="24"/>
        </w:rPr>
        <w:t>2007.</w:t>
      </w:r>
      <w:r>
        <w:rPr>
          <w:spacing w:val="70"/>
          <w:sz w:val="24"/>
        </w:rPr>
        <w:t xml:space="preserve">  </w:t>
      </w:r>
      <w:r>
        <w:rPr>
          <w:sz w:val="24"/>
        </w:rPr>
        <w:t>Disponível</w:t>
      </w:r>
      <w:r>
        <w:rPr>
          <w:spacing w:val="71"/>
          <w:sz w:val="24"/>
        </w:rPr>
        <w:t xml:space="preserve">  </w:t>
      </w:r>
      <w:r>
        <w:rPr>
          <w:spacing w:val="-5"/>
          <w:sz w:val="24"/>
        </w:rPr>
        <w:t>em:</w:t>
      </w:r>
    </w:p>
    <w:p w:rsidR="007259F2" w:rsidRDefault="00E655B4">
      <w:pPr>
        <w:pStyle w:val="Corpodetexto"/>
        <w:spacing w:before="1"/>
        <w:ind w:firstLine="0"/>
      </w:pPr>
      <w:r>
        <w:t>https://dfj.emnuvens.com.br/dfj/article/view/590.</w:t>
      </w:r>
      <w:r>
        <w:rPr>
          <w:spacing w:val="-1"/>
        </w:rPr>
        <w:t xml:space="preserve"> </w:t>
      </w:r>
      <w:r>
        <w:t>Acesso</w:t>
      </w:r>
      <w:r>
        <w:rPr>
          <w:spacing w:val="-2"/>
        </w:rPr>
        <w:t xml:space="preserve"> </w:t>
      </w:r>
      <w:r>
        <w:t>em:</w:t>
      </w:r>
      <w:r>
        <w:rPr>
          <w:spacing w:val="-2"/>
        </w:rPr>
        <w:t xml:space="preserve"> </w:t>
      </w:r>
      <w:r>
        <w:t>15</w:t>
      </w:r>
      <w:r>
        <w:rPr>
          <w:spacing w:val="-2"/>
        </w:rPr>
        <w:t xml:space="preserve"> </w:t>
      </w:r>
      <w:r>
        <w:t>nov.</w:t>
      </w:r>
      <w:r>
        <w:rPr>
          <w:spacing w:val="-1"/>
        </w:rPr>
        <w:t xml:space="preserve"> </w:t>
      </w:r>
      <w:r>
        <w:rPr>
          <w:spacing w:val="-2"/>
        </w:rPr>
        <w:t>2024.</w:t>
      </w:r>
    </w:p>
    <w:p w:rsidR="007259F2" w:rsidRDefault="007259F2">
      <w:pPr>
        <w:pStyle w:val="Corpodetexto"/>
        <w:sectPr w:rsidR="007259F2">
          <w:pgSz w:w="11910" w:h="16840"/>
          <w:pgMar w:top="1600" w:right="708" w:bottom="1020" w:left="992" w:header="0" w:footer="820" w:gutter="0"/>
          <w:cols w:space="720"/>
        </w:sectPr>
      </w:pPr>
    </w:p>
    <w:p w:rsidR="007259F2" w:rsidRDefault="00E655B4">
      <w:pPr>
        <w:spacing w:before="75"/>
        <w:ind w:left="710" w:right="425"/>
        <w:jc w:val="both"/>
        <w:rPr>
          <w:sz w:val="24"/>
        </w:rPr>
      </w:pPr>
      <w:r>
        <w:rPr>
          <w:sz w:val="24"/>
        </w:rPr>
        <w:lastRenderedPageBreak/>
        <w:t xml:space="preserve">VIANNA, João Ernesto Aragonés. </w:t>
      </w:r>
      <w:r>
        <w:rPr>
          <w:b/>
          <w:sz w:val="24"/>
        </w:rPr>
        <w:t>Curso de Direito Previdenciário</w:t>
      </w:r>
      <w:r>
        <w:rPr>
          <w:sz w:val="24"/>
        </w:rPr>
        <w:t>. 6 ed. São Paulo: Atlas, 2013. p 18.</w:t>
      </w:r>
    </w:p>
    <w:p w:rsidR="007259F2" w:rsidRDefault="00E655B4">
      <w:pPr>
        <w:pStyle w:val="Corpodetexto"/>
        <w:spacing w:before="120"/>
        <w:ind w:right="421" w:firstLine="0"/>
      </w:pPr>
      <w:r>
        <w:t xml:space="preserve">WERNER, Patricia Ulson Pizarro. Direito à saúde. </w:t>
      </w:r>
      <w:r>
        <w:rPr>
          <w:i/>
        </w:rPr>
        <w:t>In</w:t>
      </w:r>
      <w:r>
        <w:t xml:space="preserve">: CAMPILONGO, Celso Fernandes; GONZAGA, Alvaro de Azevedo; FREIRE, André Luiz (Coords.). </w:t>
      </w:r>
      <w:r>
        <w:rPr>
          <w:b/>
        </w:rPr>
        <w:t xml:space="preserve">Enciclopédia jurídica da PUC-SP. </w:t>
      </w:r>
      <w:r>
        <w:t>Tomo: Direito Administrativo e Constitucional. Coordenação de tomo: NUNES</w:t>
      </w:r>
      <w:r>
        <w:rPr>
          <w:spacing w:val="80"/>
        </w:rPr>
        <w:t xml:space="preserve"> </w:t>
      </w:r>
      <w:r>
        <w:t>JR., Vidal Serrano; ZOCKUN, Maurício; ZOCKUN, Carolina Zancaner; FREIRE, André Luiz. 1. ed. São Paulo: Pontifícia Universidade Católica de São Paulo, 2017.</w:t>
      </w:r>
    </w:p>
    <w:p w:rsidR="007259F2" w:rsidRDefault="007259F2">
      <w:pPr>
        <w:pStyle w:val="Corpodetexto"/>
        <w:sectPr w:rsidR="007259F2">
          <w:pgSz w:w="11910" w:h="16840"/>
          <w:pgMar w:top="1600" w:right="708" w:bottom="1020" w:left="992" w:header="0" w:footer="820" w:gutter="0"/>
          <w:cols w:space="720"/>
        </w:sectPr>
      </w:pPr>
    </w:p>
    <w:p w:rsidR="007259F2" w:rsidRDefault="00E655B4">
      <w:pPr>
        <w:pStyle w:val="Heading2"/>
        <w:spacing w:before="60"/>
        <w:ind w:right="423"/>
      </w:pPr>
      <w:bookmarkStart w:id="15" w:name="_bookmark15"/>
      <w:bookmarkEnd w:id="15"/>
      <w:r>
        <w:lastRenderedPageBreak/>
        <w:t>A legitimação fundiária como uma vertente do direito a felicidade: como o instrumento trazido pela lei nº 13.465/2017 representa um aprimoramento da antiga concessão especial de uso para fins de moradia e pode auxiliar na concretização do princípio da dignidade da pessoa humana</w:t>
      </w:r>
    </w:p>
    <w:p w:rsidR="007259F2" w:rsidRDefault="00E655B4">
      <w:pPr>
        <w:spacing w:before="202"/>
        <w:ind w:left="710"/>
        <w:jc w:val="both"/>
        <w:rPr>
          <w:b/>
          <w:sz w:val="24"/>
        </w:rPr>
      </w:pPr>
      <w:r>
        <w:rPr>
          <w:b/>
          <w:sz w:val="24"/>
        </w:rPr>
        <w:t>Paulo</w:t>
      </w:r>
      <w:r>
        <w:rPr>
          <w:b/>
          <w:spacing w:val="-4"/>
          <w:sz w:val="24"/>
        </w:rPr>
        <w:t xml:space="preserve"> </w:t>
      </w:r>
      <w:r>
        <w:rPr>
          <w:b/>
          <w:sz w:val="24"/>
        </w:rPr>
        <w:t>Eduardo</w:t>
      </w:r>
      <w:r>
        <w:rPr>
          <w:b/>
          <w:spacing w:val="-3"/>
          <w:sz w:val="24"/>
        </w:rPr>
        <w:t xml:space="preserve"> </w:t>
      </w:r>
      <w:r>
        <w:rPr>
          <w:b/>
          <w:sz w:val="24"/>
        </w:rPr>
        <w:t>Melo Cavalcante</w:t>
      </w:r>
      <w:r>
        <w:rPr>
          <w:b/>
          <w:spacing w:val="-5"/>
          <w:sz w:val="24"/>
        </w:rPr>
        <w:t xml:space="preserve"> </w:t>
      </w:r>
      <w:r>
        <w:rPr>
          <w:b/>
          <w:sz w:val="24"/>
        </w:rPr>
        <w:t>do</w:t>
      </w:r>
      <w:r>
        <w:rPr>
          <w:b/>
          <w:spacing w:val="-2"/>
          <w:sz w:val="24"/>
        </w:rPr>
        <w:t xml:space="preserve"> </w:t>
      </w:r>
      <w:r>
        <w:rPr>
          <w:b/>
          <w:sz w:val="24"/>
        </w:rPr>
        <w:t>Espírito</w:t>
      </w:r>
      <w:r>
        <w:rPr>
          <w:b/>
          <w:spacing w:val="-4"/>
          <w:sz w:val="24"/>
        </w:rPr>
        <w:t xml:space="preserve"> </w:t>
      </w:r>
      <w:r>
        <w:rPr>
          <w:b/>
          <w:spacing w:val="-2"/>
          <w:sz w:val="24"/>
        </w:rPr>
        <w:t>Santo</w:t>
      </w:r>
      <w:r>
        <w:rPr>
          <w:b/>
          <w:spacing w:val="-2"/>
          <w:sz w:val="24"/>
          <w:vertAlign w:val="superscript"/>
        </w:rPr>
        <w:t>1</w:t>
      </w:r>
    </w:p>
    <w:p w:rsidR="007259F2" w:rsidRDefault="007259F2">
      <w:pPr>
        <w:pStyle w:val="Corpodetexto"/>
        <w:ind w:left="0" w:firstLine="0"/>
        <w:jc w:val="left"/>
        <w:rPr>
          <w:b/>
        </w:rPr>
      </w:pPr>
    </w:p>
    <w:p w:rsidR="007259F2" w:rsidRDefault="007259F2">
      <w:pPr>
        <w:pStyle w:val="Corpodetexto"/>
        <w:spacing w:before="184"/>
        <w:ind w:left="0" w:firstLine="0"/>
        <w:jc w:val="left"/>
        <w:rPr>
          <w:b/>
        </w:rPr>
      </w:pPr>
    </w:p>
    <w:p w:rsidR="007259F2" w:rsidRDefault="00E655B4">
      <w:pPr>
        <w:pStyle w:val="Heading1"/>
        <w:spacing w:before="1"/>
      </w:pPr>
      <w:r>
        <w:rPr>
          <w:spacing w:val="-2"/>
        </w:rPr>
        <w:t>RESUMO</w:t>
      </w:r>
    </w:p>
    <w:p w:rsidR="007259F2" w:rsidRDefault="00E655B4">
      <w:pPr>
        <w:pStyle w:val="Corpodetexto"/>
        <w:spacing w:before="153"/>
        <w:ind w:right="422" w:firstLine="0"/>
      </w:pPr>
      <w:r>
        <w:t>O presente artigo é iniciado com uma breve abordagem sobre a concepção na doutrina nacional acerca do que se entende pelo direito à felicidade. Tais contornos são realizados a</w:t>
      </w:r>
      <w:r>
        <w:rPr>
          <w:spacing w:val="40"/>
        </w:rPr>
        <w:t xml:space="preserve"> </w:t>
      </w:r>
      <w:r>
        <w:t>fim de</w:t>
      </w:r>
      <w:r>
        <w:rPr>
          <w:spacing w:val="-1"/>
        </w:rPr>
        <w:t xml:space="preserve"> </w:t>
      </w:r>
      <w:r>
        <w:t>que</w:t>
      </w:r>
      <w:r>
        <w:rPr>
          <w:spacing w:val="-1"/>
        </w:rPr>
        <w:t xml:space="preserve"> </w:t>
      </w:r>
      <w:r>
        <w:t>se</w:t>
      </w:r>
      <w:r>
        <w:rPr>
          <w:spacing w:val="-1"/>
        </w:rPr>
        <w:t xml:space="preserve"> </w:t>
      </w:r>
      <w:r>
        <w:t>compreenda</w:t>
      </w:r>
      <w:r>
        <w:rPr>
          <w:spacing w:val="-1"/>
        </w:rPr>
        <w:t xml:space="preserve"> </w:t>
      </w:r>
      <w:r>
        <w:t>da</w:t>
      </w:r>
      <w:r>
        <w:rPr>
          <w:spacing w:val="-1"/>
        </w:rPr>
        <w:t xml:space="preserve"> </w:t>
      </w:r>
      <w:r>
        <w:t>melhor</w:t>
      </w:r>
      <w:r>
        <w:rPr>
          <w:spacing w:val="-1"/>
        </w:rPr>
        <w:t xml:space="preserve"> </w:t>
      </w:r>
      <w:r>
        <w:t>forma como os institutos ora</w:t>
      </w:r>
      <w:r>
        <w:rPr>
          <w:spacing w:val="-1"/>
        </w:rPr>
        <w:t xml:space="preserve"> </w:t>
      </w:r>
      <w:r>
        <w:t>estudados podem colaborar para a concretização do princípio da dignidade da pessoa humana. Passado tal tópico, são abordadas as características da antiga</w:t>
      </w:r>
      <w:r>
        <w:rPr>
          <w:spacing w:val="-1"/>
        </w:rPr>
        <w:t xml:space="preserve"> </w:t>
      </w:r>
      <w:r>
        <w:t>concessão especial de</w:t>
      </w:r>
      <w:r>
        <w:rPr>
          <w:spacing w:val="-1"/>
        </w:rPr>
        <w:t xml:space="preserve"> </w:t>
      </w:r>
      <w:r>
        <w:t>uso para fins de</w:t>
      </w:r>
      <w:r>
        <w:rPr>
          <w:spacing w:val="-1"/>
        </w:rPr>
        <w:t xml:space="preserve"> </w:t>
      </w:r>
      <w:r>
        <w:t>moradia,</w:t>
      </w:r>
      <w:r>
        <w:rPr>
          <w:spacing w:val="-1"/>
        </w:rPr>
        <w:t xml:space="preserve"> </w:t>
      </w:r>
      <w:r>
        <w:t>prevista na medida provisória nº 2.220/2001, no intuito de que sejam comparadas com o instituto da legitimação fundiária trazido pela lei nº 13.465/2017. Tal comparação é realizada em virtude do disposto no caput do art. 72 da lei municipal paulistana nº 17.734 de 2022, que possibilita</w:t>
      </w:r>
      <w:r>
        <w:rPr>
          <w:spacing w:val="80"/>
        </w:rPr>
        <w:t xml:space="preserve"> </w:t>
      </w:r>
      <w:r>
        <w:t>a conversão dos títulos de concessão especial de uso para fins de moradia em instrumentos de legitimação fundiária por parte do Executivo Municipal. São abordados, posteriormente, os argumentos tecidos por diferentes atores sociais que sustentam a inconstitucionalidade dos referidos institutos em virtude de possibilitarem a aquisição de imóveis públicos por particulares.</w:t>
      </w:r>
      <w:r>
        <w:rPr>
          <w:spacing w:val="-1"/>
        </w:rPr>
        <w:t xml:space="preserve"> </w:t>
      </w:r>
      <w:r>
        <w:t>Por</w:t>
      </w:r>
      <w:r>
        <w:rPr>
          <w:spacing w:val="-2"/>
        </w:rPr>
        <w:t xml:space="preserve"> </w:t>
      </w:r>
      <w:r>
        <w:t>fim,</w:t>
      </w:r>
      <w:r>
        <w:rPr>
          <w:spacing w:val="-1"/>
        </w:rPr>
        <w:t xml:space="preserve"> </w:t>
      </w:r>
      <w:r>
        <w:t>argumenta-se</w:t>
      </w:r>
      <w:r>
        <w:rPr>
          <w:spacing w:val="-2"/>
        </w:rPr>
        <w:t xml:space="preserve"> </w:t>
      </w:r>
      <w:r>
        <w:t>sobre</w:t>
      </w:r>
      <w:r>
        <w:rPr>
          <w:spacing w:val="-3"/>
        </w:rPr>
        <w:t xml:space="preserve"> </w:t>
      </w:r>
      <w:r>
        <w:t>como</w:t>
      </w:r>
      <w:r>
        <w:rPr>
          <w:spacing w:val="-1"/>
        </w:rPr>
        <w:t xml:space="preserve"> </w:t>
      </w:r>
      <w:r>
        <w:t>a flexibilização</w:t>
      </w:r>
      <w:r>
        <w:rPr>
          <w:spacing w:val="-1"/>
        </w:rPr>
        <w:t xml:space="preserve"> </w:t>
      </w:r>
      <w:r>
        <w:t>do</w:t>
      </w:r>
      <w:r>
        <w:rPr>
          <w:spacing w:val="-1"/>
        </w:rPr>
        <w:t xml:space="preserve"> </w:t>
      </w:r>
      <w:r>
        <w:t>princípio</w:t>
      </w:r>
      <w:r>
        <w:rPr>
          <w:spacing w:val="-1"/>
        </w:rPr>
        <w:t xml:space="preserve"> </w:t>
      </w:r>
      <w:r>
        <w:t>da</w:t>
      </w:r>
      <w:r>
        <w:rPr>
          <w:spacing w:val="-2"/>
        </w:rPr>
        <w:t xml:space="preserve"> </w:t>
      </w:r>
      <w:r>
        <w:t>supremacia</w:t>
      </w:r>
      <w:r>
        <w:rPr>
          <w:spacing w:val="-2"/>
        </w:rPr>
        <w:t xml:space="preserve"> </w:t>
      </w:r>
      <w:r>
        <w:t>do interesse público sobre o particular faz com que o poder público também deva obedecer à máxima da função social da propriedade.</w:t>
      </w:r>
    </w:p>
    <w:p w:rsidR="007259F2" w:rsidRDefault="00E655B4">
      <w:pPr>
        <w:pStyle w:val="Corpodetexto"/>
        <w:spacing w:before="122"/>
        <w:ind w:right="561" w:firstLine="0"/>
      </w:pPr>
      <w:r>
        <w:rPr>
          <w:b/>
        </w:rPr>
        <w:t>Palavras-chave:</w:t>
      </w:r>
      <w:r>
        <w:rPr>
          <w:b/>
          <w:spacing w:val="-14"/>
        </w:rPr>
        <w:t xml:space="preserve"> </w:t>
      </w:r>
      <w:r>
        <w:t>felicidade; reurbanização; aquisição; imóvel-público; constitucionalidade; lei</w:t>
      </w:r>
      <w:r>
        <w:rPr>
          <w:spacing w:val="40"/>
        </w:rPr>
        <w:t xml:space="preserve"> </w:t>
      </w:r>
      <w:r>
        <w:t>nº</w:t>
      </w:r>
      <w:r>
        <w:rPr>
          <w:spacing w:val="40"/>
        </w:rPr>
        <w:t xml:space="preserve"> </w:t>
      </w:r>
      <w:r>
        <w:t>13.465/2017; moradia.</w:t>
      </w:r>
    </w:p>
    <w:p w:rsidR="007259F2" w:rsidRDefault="007259F2">
      <w:pPr>
        <w:pStyle w:val="Corpodetexto"/>
        <w:spacing w:before="124"/>
        <w:ind w:left="0" w:firstLine="0"/>
        <w:jc w:val="left"/>
      </w:pPr>
    </w:p>
    <w:p w:rsidR="007259F2" w:rsidRDefault="00E655B4">
      <w:pPr>
        <w:pStyle w:val="Heading1"/>
      </w:pPr>
      <w:r>
        <w:rPr>
          <w:spacing w:val="-2"/>
        </w:rPr>
        <w:t>ABSTRACT</w:t>
      </w:r>
    </w:p>
    <w:p w:rsidR="007259F2" w:rsidRDefault="00E655B4">
      <w:pPr>
        <w:pStyle w:val="Corpodetexto"/>
        <w:spacing w:before="116"/>
        <w:ind w:right="420" w:firstLine="0"/>
      </w:pPr>
      <w:r>
        <w:t>The</w:t>
      </w:r>
      <w:r>
        <w:rPr>
          <w:spacing w:val="-2"/>
        </w:rPr>
        <w:t xml:space="preserve"> </w:t>
      </w:r>
      <w:r>
        <w:t>present article</w:t>
      </w:r>
      <w:r>
        <w:rPr>
          <w:spacing w:val="-1"/>
        </w:rPr>
        <w:t xml:space="preserve"> </w:t>
      </w:r>
      <w:r>
        <w:t>begins with a</w:t>
      </w:r>
      <w:r>
        <w:rPr>
          <w:spacing w:val="-1"/>
        </w:rPr>
        <w:t xml:space="preserve"> </w:t>
      </w:r>
      <w:r>
        <w:t>brief</w:t>
      </w:r>
      <w:r>
        <w:rPr>
          <w:spacing w:val="-1"/>
        </w:rPr>
        <w:t xml:space="preserve"> </w:t>
      </w:r>
      <w:r>
        <w:t>discussion of</w:t>
      </w:r>
      <w:r>
        <w:rPr>
          <w:spacing w:val="-1"/>
        </w:rPr>
        <w:t xml:space="preserve"> </w:t>
      </w:r>
      <w:r>
        <w:t>the</w:t>
      </w:r>
      <w:r>
        <w:rPr>
          <w:spacing w:val="-1"/>
        </w:rPr>
        <w:t xml:space="preserve"> </w:t>
      </w:r>
      <w:r>
        <w:t>national doctrine's conception of what is understood by the right to happiness. These outlines are presented in order to better understand how the institution under study</w:t>
      </w:r>
      <w:r>
        <w:rPr>
          <w:spacing w:val="-2"/>
        </w:rPr>
        <w:t xml:space="preserve"> </w:t>
      </w:r>
      <w:r>
        <w:t>can contribute to the realization of the principle of human dignity. Following this topic, the characteristics of the former special concession for housing use are discussed, aiming to compare them with the institution of land regularization brought</w:t>
      </w:r>
      <w:r>
        <w:rPr>
          <w:spacing w:val="-1"/>
        </w:rPr>
        <w:t xml:space="preserve"> </w:t>
      </w:r>
      <w:r>
        <w:t>by</w:t>
      </w:r>
      <w:r>
        <w:rPr>
          <w:spacing w:val="-4"/>
        </w:rPr>
        <w:t xml:space="preserve"> </w:t>
      </w:r>
      <w:r>
        <w:t>Law</w:t>
      </w:r>
      <w:r>
        <w:rPr>
          <w:spacing w:val="-2"/>
        </w:rPr>
        <w:t xml:space="preserve"> </w:t>
      </w:r>
      <w:r>
        <w:t>nº.</w:t>
      </w:r>
      <w:r>
        <w:rPr>
          <w:spacing w:val="-1"/>
        </w:rPr>
        <w:t xml:space="preserve"> </w:t>
      </w:r>
      <w:r>
        <w:t>13.465/2017.</w:t>
      </w:r>
      <w:r>
        <w:rPr>
          <w:spacing w:val="-1"/>
        </w:rPr>
        <w:t xml:space="preserve"> </w:t>
      </w:r>
      <w:r>
        <w:t>This comparison is</w:t>
      </w:r>
      <w:r>
        <w:rPr>
          <w:spacing w:val="-1"/>
        </w:rPr>
        <w:t xml:space="preserve"> </w:t>
      </w:r>
      <w:r>
        <w:t>made</w:t>
      </w:r>
      <w:r>
        <w:rPr>
          <w:spacing w:val="-3"/>
        </w:rPr>
        <w:t xml:space="preserve"> </w:t>
      </w:r>
      <w:r>
        <w:t>in</w:t>
      </w:r>
      <w:r>
        <w:rPr>
          <w:spacing w:val="-1"/>
        </w:rPr>
        <w:t xml:space="preserve"> </w:t>
      </w:r>
      <w:r>
        <w:t>light</w:t>
      </w:r>
      <w:r>
        <w:rPr>
          <w:spacing w:val="-1"/>
        </w:rPr>
        <w:t xml:space="preserve"> </w:t>
      </w:r>
      <w:r>
        <w:t>of</w:t>
      </w:r>
      <w:r>
        <w:rPr>
          <w:spacing w:val="-2"/>
        </w:rPr>
        <w:t xml:space="preserve"> </w:t>
      </w:r>
      <w:r>
        <w:t>the</w:t>
      </w:r>
      <w:r>
        <w:rPr>
          <w:spacing w:val="-2"/>
        </w:rPr>
        <w:t xml:space="preserve"> </w:t>
      </w:r>
      <w:r>
        <w:t>provisions</w:t>
      </w:r>
      <w:r>
        <w:rPr>
          <w:spacing w:val="-1"/>
        </w:rPr>
        <w:t xml:space="preserve"> </w:t>
      </w:r>
      <w:r>
        <w:t>of</w:t>
      </w:r>
      <w:r>
        <w:rPr>
          <w:spacing w:val="-2"/>
        </w:rPr>
        <w:t xml:space="preserve"> </w:t>
      </w:r>
      <w:r>
        <w:t>Article 72 of the municipal law of São Paulo nº. 17.734/2022, which allows the conversion of special concessions for housing use into instruments of land regularization by the Municipal Executive. Subsequently, the arguments put forth by different social actors supporting the unconstitutionality of these institutions are addressed due to their potential to allow private individuals to acquirepublic real estate. Finally,</w:t>
      </w:r>
      <w:r>
        <w:rPr>
          <w:spacing w:val="40"/>
        </w:rPr>
        <w:t xml:space="preserve"> </w:t>
      </w:r>
      <w:r>
        <w:t>it is argued how the relaxation of the</w:t>
      </w:r>
      <w:r>
        <w:rPr>
          <w:spacing w:val="40"/>
        </w:rPr>
        <w:t xml:space="preserve"> </w:t>
      </w:r>
      <w:r>
        <w:t>principle of the supremacy of public interest over private interest requires that public authorities also adhere to the principle of the social function of property.</w:t>
      </w:r>
    </w:p>
    <w:p w:rsidR="007259F2" w:rsidRDefault="00E655B4">
      <w:pPr>
        <w:pStyle w:val="Corpodetexto"/>
        <w:spacing w:before="121"/>
        <w:ind w:right="757" w:firstLine="0"/>
      </w:pPr>
      <w:r>
        <w:rPr>
          <w:b/>
        </w:rPr>
        <w:t>Keywords:</w:t>
      </w:r>
      <w:r>
        <w:rPr>
          <w:b/>
          <w:spacing w:val="-11"/>
        </w:rPr>
        <w:t xml:space="preserve"> </w:t>
      </w:r>
      <w:r>
        <w:t>happiness; urban</w:t>
      </w:r>
      <w:r>
        <w:rPr>
          <w:spacing w:val="-6"/>
        </w:rPr>
        <w:t xml:space="preserve"> </w:t>
      </w:r>
      <w:r>
        <w:t>renewal; acquisition; public</w:t>
      </w:r>
      <w:r>
        <w:rPr>
          <w:spacing w:val="-6"/>
        </w:rPr>
        <w:t xml:space="preserve"> </w:t>
      </w:r>
      <w:r>
        <w:t>property; constitutionality; law nº. 13.465/2017; housing.</w:t>
      </w:r>
    </w:p>
    <w:p w:rsidR="007259F2" w:rsidRDefault="007259F2">
      <w:pPr>
        <w:pStyle w:val="Corpodetexto"/>
        <w:ind w:left="0" w:firstLine="0"/>
        <w:jc w:val="left"/>
        <w:rPr>
          <w:sz w:val="20"/>
        </w:rPr>
      </w:pPr>
    </w:p>
    <w:p w:rsidR="007259F2" w:rsidRDefault="00DE6B1C">
      <w:pPr>
        <w:pStyle w:val="Corpodetexto"/>
        <w:spacing w:before="102"/>
        <w:ind w:left="0" w:firstLine="0"/>
        <w:jc w:val="left"/>
        <w:rPr>
          <w:sz w:val="20"/>
        </w:rPr>
      </w:pPr>
      <w:r w:rsidRPr="00DE6B1C">
        <w:rPr>
          <w:sz w:val="20"/>
        </w:rPr>
        <w:pict>
          <v:rect id="docshape150" o:spid="_x0000_s1077" style="position:absolute;margin-left:85.1pt;margin-top:17.85pt;width:2in;height:.7pt;z-index:-15662080;mso-wrap-distance-left:0;mso-wrap-distance-right:0;mso-position-horizontal-relative:page" fillcolor="black" stroked="f">
            <w10:wrap type="topAndBottom" anchorx="page"/>
          </v:rect>
        </w:pict>
      </w:r>
    </w:p>
    <w:p w:rsidR="007259F2" w:rsidRDefault="00E655B4">
      <w:pPr>
        <w:spacing w:before="96"/>
        <w:ind w:left="710" w:right="423"/>
        <w:jc w:val="both"/>
        <w:rPr>
          <w:sz w:val="20"/>
        </w:rPr>
      </w:pPr>
      <w:r>
        <w:rPr>
          <w:sz w:val="20"/>
          <w:vertAlign w:val="superscript"/>
        </w:rPr>
        <w:t>1</w:t>
      </w:r>
      <w:r>
        <w:rPr>
          <w:sz w:val="20"/>
        </w:rPr>
        <w:t xml:space="preserve"> Residente Jurídico do Programa de Residência Jurídica da Procuradoria Geral do Município de São Paulo, alocado no Departamento de Defesa do Meio Ambiente e do Patrimônio – DEMAP (2022-2025). Email: </w:t>
      </w:r>
      <w:hyperlink r:id="rId202">
        <w:r>
          <w:rPr>
            <w:spacing w:val="-2"/>
            <w:sz w:val="20"/>
          </w:rPr>
          <w:t>pauloeduardo.mces@outlook.com</w:t>
        </w:r>
      </w:hyperlink>
    </w:p>
    <w:p w:rsidR="007259F2" w:rsidRDefault="007259F2">
      <w:pPr>
        <w:jc w:val="both"/>
        <w:rPr>
          <w:sz w:val="20"/>
        </w:rPr>
        <w:sectPr w:rsidR="007259F2">
          <w:pgSz w:w="11910" w:h="16840"/>
          <w:pgMar w:top="1620" w:right="708" w:bottom="1020" w:left="992" w:header="0" w:footer="820" w:gutter="0"/>
          <w:cols w:space="720"/>
        </w:sectPr>
      </w:pPr>
    </w:p>
    <w:p w:rsidR="007259F2" w:rsidRDefault="00E655B4">
      <w:pPr>
        <w:pStyle w:val="Heading2"/>
        <w:numPr>
          <w:ilvl w:val="0"/>
          <w:numId w:val="21"/>
        </w:numPr>
        <w:tabs>
          <w:tab w:val="left" w:pos="1136"/>
        </w:tabs>
        <w:spacing w:before="60"/>
        <w:ind w:left="1136" w:hanging="359"/>
        <w:jc w:val="both"/>
      </w:pPr>
      <w:r>
        <w:rPr>
          <w:spacing w:val="-2"/>
        </w:rPr>
        <w:lastRenderedPageBreak/>
        <w:t>Introdução</w:t>
      </w:r>
    </w:p>
    <w:p w:rsidR="007259F2" w:rsidRDefault="00E655B4">
      <w:pPr>
        <w:pStyle w:val="Corpodetexto"/>
        <w:spacing w:before="115"/>
        <w:ind w:right="422"/>
      </w:pPr>
      <w:r>
        <w:t>De acordo com o IBGE, domicílio vago é aquele que não possui morador na data de realização do recenseamento. Segundo dados levantados pelo CENSO-2022, a cidade de São Paulo reúne 4.983.471 imóveis particulares, onde 12% destes se encontram desocupados, o que equivale a aproximadamente 400 mil imóveis,sejam eles apartamentos ou casas,</w:t>
      </w:r>
      <w:r>
        <w:rPr>
          <w:spacing w:val="40"/>
        </w:rPr>
        <w:t xml:space="preserve"> </w:t>
      </w:r>
      <w:r>
        <w:t>conforme dados divulgados pelo IBGE.</w:t>
      </w:r>
      <w:r>
        <w:rPr>
          <w:vertAlign w:val="superscript"/>
        </w:rPr>
        <w:t>2</w:t>
      </w:r>
      <w:r>
        <w:t xml:space="preserve"> Procurado por jornalistas, o Prefeito Ricardo Nunes afirmou ser uma falha enquanto sociedade “não conseguir aproveitar esses imóveis, principalmente para política habitacional que contempla pessoas de rendas baixa e baixíssima”. Em outras reportagens realizadas</w:t>
      </w:r>
      <w:r>
        <w:rPr>
          <w:vertAlign w:val="superscript"/>
        </w:rPr>
        <w:t>3</w:t>
      </w:r>
      <w:r>
        <w:t>, tem-se as informações de que os imóveis particulares representam 12 vezes o total de pessoas em situação de rua na capital. São 588.978 imóveis sem moradores em São Paulo capital, enquanto há 48.261 pessoas em situação de rua. Diante de um complexo e difícil cenário de acesso à moradia através de imóveis privados, deve-se reconhecer que muitas pessoas optam por ocupas áreas públicas. Cita-se, nesse sentido, o relatório elaborado em virtude da portaria municipal paulistana nº 353, de 16 de maio de 2018, que instituiu grupo executivo para estudar as condições de segurança e condições de imóveis públicos e privados ocupados irregularmente no município de São Paulo</w:t>
      </w:r>
      <w:r>
        <w:rPr>
          <w:vertAlign w:val="superscript"/>
        </w:rPr>
        <w:t>4</w:t>
      </w:r>
      <w:r>
        <w:t>. Entre os cinquenta e um imóveis visitados, dezesseis deles eram, na época, de propriedade do poder público. Não se descarta a possibilidade de que o número de imóveis públicos possa ser maior do que a informada acima.</w:t>
      </w:r>
    </w:p>
    <w:p w:rsidR="007259F2" w:rsidRDefault="00E655B4">
      <w:pPr>
        <w:pStyle w:val="Corpodetexto"/>
        <w:spacing w:before="1"/>
        <w:ind w:right="423"/>
      </w:pPr>
      <w:r>
        <w:t>Tais considerações ressaltam a crescente necessidade de adoção de novas soluções</w:t>
      </w:r>
      <w:r>
        <w:rPr>
          <w:spacing w:val="40"/>
        </w:rPr>
        <w:t xml:space="preserve"> </w:t>
      </w:r>
      <w:r>
        <w:t>para um problema antigo: a falta de moradia. Nesse sentido, o desenvolvimento desta</w:t>
      </w:r>
      <w:r>
        <w:rPr>
          <w:spacing w:val="40"/>
        </w:rPr>
        <w:t xml:space="preserve"> </w:t>
      </w:r>
      <w:r>
        <w:t>pesquisa se justifica, uma vez que a construção de instrumentos jurídicos que possam legitimar posses consolidadas sobre áreas públicas pode auxiliar na concretização do direito à moradia para a parcela mais desfavorecida da população, o que, por consequência, também influencia diretamente na garantia de dignidade para estas pessoas.</w:t>
      </w:r>
    </w:p>
    <w:p w:rsidR="007259F2" w:rsidRDefault="00E655B4">
      <w:pPr>
        <w:pStyle w:val="Corpodetexto"/>
        <w:spacing w:before="1"/>
        <w:ind w:right="421"/>
      </w:pPr>
      <w:r>
        <w:t>O presente trabalho busca tecer considerações acerca do disposto no caput do art. 72</w:t>
      </w:r>
      <w:r>
        <w:rPr>
          <w:spacing w:val="40"/>
        </w:rPr>
        <w:t xml:space="preserve"> </w:t>
      </w:r>
      <w:r>
        <w:t>da lei municipal paulistana nº 17.734, que possibilita a conversão das concessões de uso especial para fins de moradia para o instrumento de legitimação fundiária. A hipótese de estudo testada ao longo do texto é a de que a legitimação fundiária representa o aprimoramento</w:t>
      </w:r>
      <w:r>
        <w:rPr>
          <w:spacing w:val="-1"/>
        </w:rPr>
        <w:t xml:space="preserve"> </w:t>
      </w:r>
      <w:r>
        <w:t>da antiga concessão</w:t>
      </w:r>
      <w:r>
        <w:rPr>
          <w:spacing w:val="-1"/>
        </w:rPr>
        <w:t xml:space="preserve"> </w:t>
      </w:r>
      <w:r>
        <w:t>de</w:t>
      </w:r>
      <w:r>
        <w:rPr>
          <w:spacing w:val="-2"/>
        </w:rPr>
        <w:t xml:space="preserve"> </w:t>
      </w:r>
      <w:r>
        <w:t>uso especial,</w:t>
      </w:r>
      <w:r>
        <w:rPr>
          <w:spacing w:val="-1"/>
        </w:rPr>
        <w:t xml:space="preserve"> </w:t>
      </w:r>
      <w:r>
        <w:t>e</w:t>
      </w:r>
      <w:r>
        <w:rPr>
          <w:spacing w:val="-2"/>
        </w:rPr>
        <w:t xml:space="preserve"> </w:t>
      </w:r>
      <w:r>
        <w:t>de</w:t>
      </w:r>
      <w:r>
        <w:rPr>
          <w:spacing w:val="-2"/>
        </w:rPr>
        <w:t xml:space="preserve"> </w:t>
      </w:r>
      <w:r>
        <w:t>que</w:t>
      </w:r>
      <w:r>
        <w:rPr>
          <w:spacing w:val="-2"/>
        </w:rPr>
        <w:t xml:space="preserve"> </w:t>
      </w:r>
      <w:r>
        <w:t>a constitucionalidade</w:t>
      </w:r>
      <w:r>
        <w:rPr>
          <w:spacing w:val="-3"/>
        </w:rPr>
        <w:t xml:space="preserve"> </w:t>
      </w:r>
      <w:r>
        <w:t>desta pode ser observada uma vez considerada a crescente flexibilização do princípio da supremacia do interesse público sobre o particular, o que faz com que até mesmo o Poder Público deva observar a função social da propriedade. Para a construção destes tópicos que inauguram a pesquisa vale-se de uma breve revisão bibliográfica sobre doutrinas de Direito Administrativo e Constitucional.</w:t>
      </w:r>
    </w:p>
    <w:p w:rsidR="007259F2" w:rsidRDefault="00E655B4">
      <w:pPr>
        <w:pStyle w:val="Corpodetexto"/>
        <w:ind w:right="421"/>
      </w:pPr>
      <w:r>
        <w:t>No intuito de contextualizar e complementar a discussão levantada, dados estatísticos</w:t>
      </w:r>
      <w:r>
        <w:rPr>
          <w:spacing w:val="80"/>
        </w:rPr>
        <w:t xml:space="preserve"> </w:t>
      </w:r>
      <w:r>
        <w:t>e decisões jurisprudenciais são mencionadas em partes específicas do texto. O uso de tais métodos, contudo, é restrito a determinados tópicos do trabalho, como na parte inicial onde se aborda</w:t>
      </w:r>
      <w:r>
        <w:rPr>
          <w:spacing w:val="-3"/>
        </w:rPr>
        <w:t xml:space="preserve"> </w:t>
      </w:r>
      <w:r>
        <w:t>o</w:t>
      </w:r>
      <w:r>
        <w:rPr>
          <w:spacing w:val="2"/>
        </w:rPr>
        <w:t xml:space="preserve"> </w:t>
      </w:r>
      <w:r>
        <w:t>que</w:t>
      </w:r>
      <w:r>
        <w:rPr>
          <w:spacing w:val="1"/>
        </w:rPr>
        <w:t xml:space="preserve"> </w:t>
      </w:r>
      <w:r>
        <w:t>se</w:t>
      </w:r>
      <w:r>
        <w:rPr>
          <w:spacing w:val="2"/>
        </w:rPr>
        <w:t xml:space="preserve"> </w:t>
      </w:r>
      <w:r>
        <w:t>tem</w:t>
      </w:r>
      <w:r>
        <w:rPr>
          <w:spacing w:val="2"/>
        </w:rPr>
        <w:t xml:space="preserve"> </w:t>
      </w:r>
      <w:r>
        <w:t>entendido</w:t>
      </w:r>
      <w:r>
        <w:rPr>
          <w:spacing w:val="2"/>
        </w:rPr>
        <w:t xml:space="preserve"> </w:t>
      </w:r>
      <w:r>
        <w:t>sobre</w:t>
      </w:r>
      <w:r>
        <w:rPr>
          <w:spacing w:val="2"/>
        </w:rPr>
        <w:t xml:space="preserve"> </w:t>
      </w:r>
      <w:r>
        <w:t>o</w:t>
      </w:r>
      <w:r>
        <w:rPr>
          <w:spacing w:val="1"/>
        </w:rPr>
        <w:t xml:space="preserve"> </w:t>
      </w:r>
      <w:r>
        <w:t>direito</w:t>
      </w:r>
      <w:r>
        <w:rPr>
          <w:spacing w:val="2"/>
        </w:rPr>
        <w:t xml:space="preserve"> </w:t>
      </w:r>
      <w:r>
        <w:t>a</w:t>
      </w:r>
      <w:r>
        <w:rPr>
          <w:spacing w:val="1"/>
        </w:rPr>
        <w:t xml:space="preserve"> </w:t>
      </w:r>
      <w:r>
        <w:t>busca pela</w:t>
      </w:r>
      <w:r>
        <w:rPr>
          <w:spacing w:val="3"/>
        </w:rPr>
        <w:t xml:space="preserve"> </w:t>
      </w:r>
      <w:r>
        <w:t>felicidade</w:t>
      </w:r>
      <w:r>
        <w:rPr>
          <w:spacing w:val="1"/>
        </w:rPr>
        <w:t xml:space="preserve"> </w:t>
      </w:r>
      <w:r>
        <w:t>no</w:t>
      </w:r>
      <w:r>
        <w:rPr>
          <w:spacing w:val="2"/>
        </w:rPr>
        <w:t xml:space="preserve"> </w:t>
      </w:r>
      <w:r>
        <w:t>ordenamento</w:t>
      </w:r>
      <w:r>
        <w:rPr>
          <w:spacing w:val="2"/>
        </w:rPr>
        <w:t xml:space="preserve"> </w:t>
      </w:r>
      <w:r>
        <w:rPr>
          <w:spacing w:val="-2"/>
        </w:rPr>
        <w:t>jurídico</w:t>
      </w:r>
    </w:p>
    <w:p w:rsidR="007259F2" w:rsidRDefault="00DE6B1C">
      <w:pPr>
        <w:pStyle w:val="Corpodetexto"/>
        <w:spacing w:before="6"/>
        <w:ind w:left="0" w:firstLine="0"/>
        <w:jc w:val="left"/>
        <w:rPr>
          <w:sz w:val="18"/>
        </w:rPr>
      </w:pPr>
      <w:r w:rsidRPr="00DE6B1C">
        <w:rPr>
          <w:sz w:val="18"/>
        </w:rPr>
        <w:pict>
          <v:rect id="docshape151" o:spid="_x0000_s1076" style="position:absolute;margin-left:85.1pt;margin-top:11.85pt;width:2in;height:.7pt;z-index:-15661568;mso-wrap-distance-left:0;mso-wrap-distance-right:0;mso-position-horizontal-relative:page" fillcolor="black" stroked="f">
            <w10:wrap type="topAndBottom" anchorx="page"/>
          </v:rect>
        </w:pict>
      </w:r>
    </w:p>
    <w:p w:rsidR="007259F2" w:rsidRDefault="00E655B4">
      <w:pPr>
        <w:tabs>
          <w:tab w:val="left" w:pos="3401"/>
          <w:tab w:val="left" w:pos="4227"/>
          <w:tab w:val="left" w:pos="5167"/>
          <w:tab w:val="left" w:pos="6333"/>
          <w:tab w:val="left" w:pos="7408"/>
          <w:tab w:val="left" w:pos="8909"/>
        </w:tabs>
        <w:spacing w:before="96"/>
        <w:ind w:left="710" w:right="994"/>
        <w:rPr>
          <w:sz w:val="20"/>
        </w:rPr>
      </w:pPr>
      <w:r>
        <w:rPr>
          <w:sz w:val="20"/>
          <w:vertAlign w:val="superscript"/>
        </w:rPr>
        <w:t>2</w:t>
      </w:r>
      <w:r>
        <w:rPr>
          <w:spacing w:val="21"/>
          <w:sz w:val="20"/>
        </w:rPr>
        <w:t xml:space="preserve"> </w:t>
      </w:r>
      <w:r>
        <w:rPr>
          <w:sz w:val="20"/>
        </w:rPr>
        <w:t>PETROCILO,</w:t>
      </w:r>
      <w:r>
        <w:rPr>
          <w:spacing w:val="21"/>
          <w:sz w:val="20"/>
        </w:rPr>
        <w:t xml:space="preserve"> </w:t>
      </w:r>
      <w:r>
        <w:rPr>
          <w:sz w:val="20"/>
        </w:rPr>
        <w:t>Carlos.</w:t>
      </w:r>
      <w:r>
        <w:rPr>
          <w:spacing w:val="21"/>
          <w:sz w:val="20"/>
        </w:rPr>
        <w:t xml:space="preserve"> </w:t>
      </w:r>
      <w:r>
        <w:rPr>
          <w:sz w:val="20"/>
        </w:rPr>
        <w:t>São</w:t>
      </w:r>
      <w:r>
        <w:rPr>
          <w:spacing w:val="22"/>
          <w:sz w:val="20"/>
        </w:rPr>
        <w:t xml:space="preserve"> </w:t>
      </w:r>
      <w:r>
        <w:rPr>
          <w:sz w:val="20"/>
        </w:rPr>
        <w:t>Paulo</w:t>
      </w:r>
      <w:r>
        <w:rPr>
          <w:spacing w:val="21"/>
          <w:sz w:val="20"/>
        </w:rPr>
        <w:t xml:space="preserve"> </w:t>
      </w:r>
      <w:r>
        <w:rPr>
          <w:sz w:val="20"/>
        </w:rPr>
        <w:t>tem</w:t>
      </w:r>
      <w:r>
        <w:rPr>
          <w:spacing w:val="17"/>
          <w:sz w:val="20"/>
        </w:rPr>
        <w:t xml:space="preserve"> </w:t>
      </w:r>
      <w:r>
        <w:rPr>
          <w:sz w:val="20"/>
        </w:rPr>
        <w:t>quase</w:t>
      </w:r>
      <w:r>
        <w:rPr>
          <w:spacing w:val="21"/>
          <w:sz w:val="20"/>
        </w:rPr>
        <w:t xml:space="preserve"> </w:t>
      </w:r>
      <w:r>
        <w:rPr>
          <w:sz w:val="20"/>
        </w:rPr>
        <w:t>590</w:t>
      </w:r>
      <w:r>
        <w:rPr>
          <w:spacing w:val="22"/>
          <w:sz w:val="20"/>
        </w:rPr>
        <w:t xml:space="preserve"> </w:t>
      </w:r>
      <w:r>
        <w:rPr>
          <w:sz w:val="20"/>
        </w:rPr>
        <w:t>mil</w:t>
      </w:r>
      <w:r>
        <w:rPr>
          <w:spacing w:val="21"/>
          <w:sz w:val="20"/>
        </w:rPr>
        <w:t xml:space="preserve"> </w:t>
      </w:r>
      <w:r>
        <w:rPr>
          <w:sz w:val="20"/>
        </w:rPr>
        <w:t>imóveis</w:t>
      </w:r>
      <w:r>
        <w:rPr>
          <w:spacing w:val="20"/>
          <w:sz w:val="20"/>
        </w:rPr>
        <w:t xml:space="preserve"> </w:t>
      </w:r>
      <w:r>
        <w:rPr>
          <w:sz w:val="20"/>
        </w:rPr>
        <w:t>vazios,</w:t>
      </w:r>
      <w:r>
        <w:rPr>
          <w:spacing w:val="21"/>
          <w:sz w:val="20"/>
        </w:rPr>
        <w:t xml:space="preserve"> </w:t>
      </w:r>
      <w:r>
        <w:rPr>
          <w:sz w:val="20"/>
        </w:rPr>
        <w:t>18</w:t>
      </w:r>
      <w:r>
        <w:rPr>
          <w:spacing w:val="22"/>
          <w:sz w:val="20"/>
        </w:rPr>
        <w:t xml:space="preserve"> </w:t>
      </w:r>
      <w:r>
        <w:rPr>
          <w:sz w:val="20"/>
        </w:rPr>
        <w:t>vezes</w:t>
      </w:r>
      <w:r>
        <w:rPr>
          <w:spacing w:val="20"/>
          <w:sz w:val="20"/>
        </w:rPr>
        <w:t xml:space="preserve"> </w:t>
      </w:r>
      <w:r>
        <w:rPr>
          <w:sz w:val="20"/>
        </w:rPr>
        <w:t>a</w:t>
      </w:r>
      <w:r>
        <w:rPr>
          <w:spacing w:val="21"/>
          <w:sz w:val="20"/>
        </w:rPr>
        <w:t xml:space="preserve"> </w:t>
      </w:r>
      <w:r>
        <w:rPr>
          <w:sz w:val="20"/>
        </w:rPr>
        <w:t>população</w:t>
      </w:r>
      <w:r>
        <w:rPr>
          <w:spacing w:val="22"/>
          <w:sz w:val="20"/>
        </w:rPr>
        <w:t xml:space="preserve"> </w:t>
      </w:r>
      <w:r>
        <w:rPr>
          <w:sz w:val="20"/>
        </w:rPr>
        <w:t>de</w:t>
      </w:r>
      <w:r>
        <w:rPr>
          <w:spacing w:val="21"/>
          <w:sz w:val="20"/>
        </w:rPr>
        <w:t xml:space="preserve"> </w:t>
      </w:r>
      <w:r>
        <w:rPr>
          <w:sz w:val="20"/>
        </w:rPr>
        <w:t>rua</w:t>
      </w:r>
      <w:r>
        <w:rPr>
          <w:spacing w:val="21"/>
          <w:sz w:val="20"/>
        </w:rPr>
        <w:t xml:space="preserve"> </w:t>
      </w:r>
      <w:r>
        <w:rPr>
          <w:sz w:val="20"/>
        </w:rPr>
        <w:t>da cidade. São</w:t>
      </w:r>
      <w:r>
        <w:rPr>
          <w:spacing w:val="80"/>
          <w:sz w:val="20"/>
        </w:rPr>
        <w:t xml:space="preserve"> </w:t>
      </w:r>
      <w:r>
        <w:rPr>
          <w:sz w:val="20"/>
        </w:rPr>
        <w:t>Paulo.</w:t>
      </w:r>
      <w:r>
        <w:rPr>
          <w:b/>
          <w:sz w:val="20"/>
        </w:rPr>
        <w:t>Folha</w:t>
      </w:r>
      <w:r>
        <w:rPr>
          <w:b/>
          <w:sz w:val="20"/>
        </w:rPr>
        <w:tab/>
      </w:r>
      <w:r>
        <w:rPr>
          <w:b/>
          <w:spacing w:val="-6"/>
          <w:sz w:val="20"/>
        </w:rPr>
        <w:t>de</w:t>
      </w:r>
      <w:r>
        <w:rPr>
          <w:b/>
          <w:sz w:val="20"/>
        </w:rPr>
        <w:tab/>
      </w:r>
      <w:r>
        <w:rPr>
          <w:b/>
          <w:spacing w:val="-4"/>
          <w:sz w:val="20"/>
        </w:rPr>
        <w:t>São</w:t>
      </w:r>
      <w:r>
        <w:rPr>
          <w:b/>
          <w:sz w:val="20"/>
        </w:rPr>
        <w:tab/>
      </w:r>
      <w:r>
        <w:rPr>
          <w:b/>
          <w:spacing w:val="-2"/>
          <w:sz w:val="20"/>
        </w:rPr>
        <w:t>Paulo</w:t>
      </w:r>
      <w:r>
        <w:rPr>
          <w:spacing w:val="-2"/>
          <w:sz w:val="20"/>
        </w:rPr>
        <w:t>,</w:t>
      </w:r>
      <w:r>
        <w:rPr>
          <w:sz w:val="20"/>
        </w:rPr>
        <w:tab/>
      </w:r>
      <w:r>
        <w:rPr>
          <w:spacing w:val="-2"/>
          <w:sz w:val="20"/>
        </w:rPr>
        <w:t>2023.</w:t>
      </w:r>
      <w:r>
        <w:rPr>
          <w:sz w:val="20"/>
        </w:rPr>
        <w:tab/>
      </w:r>
      <w:r>
        <w:rPr>
          <w:spacing w:val="-2"/>
          <w:sz w:val="20"/>
        </w:rPr>
        <w:t>Disponível</w:t>
      </w:r>
      <w:r>
        <w:rPr>
          <w:sz w:val="20"/>
        </w:rPr>
        <w:tab/>
      </w:r>
      <w:r>
        <w:rPr>
          <w:spacing w:val="-4"/>
          <w:sz w:val="20"/>
        </w:rPr>
        <w:t xml:space="preserve">em: </w:t>
      </w:r>
      <w:r>
        <w:rPr>
          <w:spacing w:val="-2"/>
          <w:sz w:val="20"/>
        </w:rPr>
        <w:t>https://www1.folha.uol.com.br/cotidiano/2023/07/sao-paulo-tem-quase-590-mil-imoveis-vazios-18-</w:t>
      </w:r>
      <w:r>
        <w:rPr>
          <w:spacing w:val="80"/>
          <w:sz w:val="20"/>
        </w:rPr>
        <w:t xml:space="preserve">  </w:t>
      </w:r>
      <w:r>
        <w:rPr>
          <w:sz w:val="20"/>
        </w:rPr>
        <w:t>vezes-a-populacao-de-rua-da-cidade.shtml. Acesso em: 14/01/2024.</w:t>
      </w:r>
    </w:p>
    <w:p w:rsidR="007259F2" w:rsidRDefault="00E655B4">
      <w:pPr>
        <w:ind w:left="710" w:right="990"/>
        <w:jc w:val="both"/>
        <w:rPr>
          <w:sz w:val="20"/>
        </w:rPr>
      </w:pPr>
      <w:r>
        <w:rPr>
          <w:sz w:val="20"/>
          <w:vertAlign w:val="superscript"/>
        </w:rPr>
        <w:t>3</w:t>
      </w:r>
      <w:r>
        <w:rPr>
          <w:sz w:val="20"/>
        </w:rPr>
        <w:t xml:space="preserve"> STABILE, Arthur. Censo 2022: imóveis desocupados representam 12 vezes a população de rua da cidade de SP. São Paulo. </w:t>
      </w:r>
      <w:r>
        <w:rPr>
          <w:b/>
          <w:sz w:val="20"/>
        </w:rPr>
        <w:t>G1</w:t>
      </w:r>
      <w:r>
        <w:rPr>
          <w:sz w:val="20"/>
        </w:rPr>
        <w:t>, 2023. Disponível em: https://g1.globo.com/sp/sao- paulo/noticia/2023/07/01/censo- 2022-imoveis-desocupados-representam-12-vezes-a-populacao-de-rua- da-cidade-de-sp.ghtml. Acesso em: 14/01/2024.</w:t>
      </w:r>
    </w:p>
    <w:p w:rsidR="007259F2" w:rsidRDefault="00E655B4">
      <w:pPr>
        <w:ind w:left="710" w:right="990"/>
        <w:jc w:val="both"/>
        <w:rPr>
          <w:sz w:val="20"/>
        </w:rPr>
      </w:pPr>
      <w:r>
        <w:rPr>
          <w:sz w:val="20"/>
          <w:vertAlign w:val="superscript"/>
        </w:rPr>
        <w:t>4</w:t>
      </w:r>
      <w:r>
        <w:rPr>
          <w:sz w:val="20"/>
        </w:rPr>
        <w:t xml:space="preserve"> SÃO PAULO (SP). </w:t>
      </w:r>
      <w:r>
        <w:rPr>
          <w:b/>
          <w:sz w:val="20"/>
        </w:rPr>
        <w:t>Situação das ocupações na cidade de São Paulo</w:t>
      </w:r>
      <w:r>
        <w:rPr>
          <w:sz w:val="20"/>
        </w:rPr>
        <w:t>. São Paulo: Prefeitura de São Paulo, 2018. Disponível em: https://polis.org.br/wp-content/uploads/2021/06/Situacao-das-ocupacoes-na- cidade-de-Sao-Paulo.pdf.</w:t>
      </w:r>
      <w:r>
        <w:rPr>
          <w:spacing w:val="80"/>
          <w:sz w:val="20"/>
        </w:rPr>
        <w:t xml:space="preserve"> </w:t>
      </w:r>
      <w:r>
        <w:rPr>
          <w:sz w:val="20"/>
        </w:rPr>
        <w:t>Acesso em 24 de julho de 2024.</w:t>
      </w:r>
    </w:p>
    <w:p w:rsidR="007259F2" w:rsidRDefault="007259F2">
      <w:pPr>
        <w:jc w:val="both"/>
        <w:rPr>
          <w:sz w:val="20"/>
        </w:rPr>
        <w:sectPr w:rsidR="007259F2">
          <w:pgSz w:w="11910" w:h="16840"/>
          <w:pgMar w:top="1620" w:right="708" w:bottom="1020" w:left="992" w:header="0" w:footer="820" w:gutter="0"/>
          <w:cols w:space="720"/>
        </w:sectPr>
      </w:pPr>
    </w:p>
    <w:p w:rsidR="007259F2" w:rsidRDefault="00E655B4">
      <w:pPr>
        <w:pStyle w:val="Corpodetexto"/>
        <w:spacing w:before="75"/>
        <w:ind w:right="422" w:firstLine="0"/>
      </w:pPr>
      <w:r>
        <w:lastRenderedPageBreak/>
        <w:t>brasileiro, e ainda no tópico sobre a constitucionalidade da legitimação fundiária, onde são mencionados os argumentos trazidos nas ações declaratórias de inconstitucionalidade que tramitam perante o Supremo Tribunal Federal.</w:t>
      </w:r>
    </w:p>
    <w:p w:rsidR="007259F2" w:rsidRDefault="00E655B4">
      <w:pPr>
        <w:pStyle w:val="Corpodetexto"/>
        <w:ind w:right="425"/>
      </w:pPr>
      <w:r>
        <w:t>Por fim, no tópico conclusivo elabora-se a ponderação entre os princípios da supremacia do interesse público sobre o particular e da função social da propriedade, com o objetivo de se verificar possíveis mudanças sobre o entendimento de um princípio tão arraigado no direito administrativo brasileiro.</w:t>
      </w:r>
    </w:p>
    <w:p w:rsidR="007259F2" w:rsidRDefault="00E655B4">
      <w:pPr>
        <w:pStyle w:val="Heading2"/>
        <w:numPr>
          <w:ilvl w:val="0"/>
          <w:numId w:val="21"/>
        </w:numPr>
        <w:tabs>
          <w:tab w:val="left" w:pos="1136"/>
        </w:tabs>
        <w:ind w:left="1136" w:hanging="359"/>
        <w:jc w:val="both"/>
      </w:pPr>
      <w:r>
        <w:t>Direito</w:t>
      </w:r>
      <w:r>
        <w:rPr>
          <w:spacing w:val="-5"/>
        </w:rPr>
        <w:t xml:space="preserve"> </w:t>
      </w:r>
      <w:r>
        <w:t>à</w:t>
      </w:r>
      <w:r>
        <w:rPr>
          <w:spacing w:val="-1"/>
        </w:rPr>
        <w:t xml:space="preserve"> </w:t>
      </w:r>
      <w:r>
        <w:t>busca</w:t>
      </w:r>
      <w:r>
        <w:rPr>
          <w:spacing w:val="-1"/>
        </w:rPr>
        <w:t xml:space="preserve"> </w:t>
      </w:r>
      <w:r>
        <w:t>pela</w:t>
      </w:r>
      <w:r>
        <w:rPr>
          <w:spacing w:val="-4"/>
        </w:rPr>
        <w:t xml:space="preserve"> </w:t>
      </w:r>
      <w:r>
        <w:t>felicidade</w:t>
      </w:r>
      <w:r>
        <w:rPr>
          <w:spacing w:val="-4"/>
        </w:rPr>
        <w:t xml:space="preserve"> </w:t>
      </w:r>
      <w:r>
        <w:t>–</w:t>
      </w:r>
      <w:r>
        <w:rPr>
          <w:spacing w:val="-1"/>
        </w:rPr>
        <w:t xml:space="preserve"> </w:t>
      </w:r>
      <w:r>
        <w:t>concepção</w:t>
      </w:r>
      <w:r>
        <w:rPr>
          <w:spacing w:val="-1"/>
        </w:rPr>
        <w:t xml:space="preserve"> </w:t>
      </w:r>
      <w:r>
        <w:t>e</w:t>
      </w:r>
      <w:r>
        <w:rPr>
          <w:spacing w:val="-5"/>
        </w:rPr>
        <w:t xml:space="preserve"> </w:t>
      </w:r>
      <w:r>
        <w:rPr>
          <w:spacing w:val="-2"/>
        </w:rPr>
        <w:t>limites</w:t>
      </w:r>
    </w:p>
    <w:p w:rsidR="007259F2" w:rsidRDefault="00E655B4">
      <w:pPr>
        <w:pStyle w:val="Corpodetexto"/>
        <w:spacing w:before="113"/>
        <w:ind w:right="422"/>
      </w:pPr>
      <w:r>
        <w:t>O</w:t>
      </w:r>
      <w:r>
        <w:rPr>
          <w:spacing w:val="-5"/>
        </w:rPr>
        <w:t xml:space="preserve"> </w:t>
      </w:r>
      <w:r>
        <w:t>debate</w:t>
      </w:r>
      <w:r>
        <w:rPr>
          <w:spacing w:val="-3"/>
        </w:rPr>
        <w:t xml:space="preserve"> </w:t>
      </w:r>
      <w:r>
        <w:t>sobre</w:t>
      </w:r>
      <w:r>
        <w:rPr>
          <w:spacing w:val="-6"/>
        </w:rPr>
        <w:t xml:space="preserve"> </w:t>
      </w:r>
      <w:r>
        <w:t>o</w:t>
      </w:r>
      <w:r>
        <w:rPr>
          <w:spacing w:val="-2"/>
        </w:rPr>
        <w:t xml:space="preserve"> </w:t>
      </w:r>
      <w:r>
        <w:t>que</w:t>
      </w:r>
      <w:r>
        <w:rPr>
          <w:spacing w:val="-6"/>
        </w:rPr>
        <w:t xml:space="preserve"> </w:t>
      </w:r>
      <w:r>
        <w:t>se</w:t>
      </w:r>
      <w:r>
        <w:rPr>
          <w:spacing w:val="-6"/>
        </w:rPr>
        <w:t xml:space="preserve"> </w:t>
      </w:r>
      <w:r>
        <w:t>pode</w:t>
      </w:r>
      <w:r>
        <w:rPr>
          <w:spacing w:val="-6"/>
        </w:rPr>
        <w:t xml:space="preserve"> </w:t>
      </w:r>
      <w:r>
        <w:t>entender</w:t>
      </w:r>
      <w:r>
        <w:rPr>
          <w:spacing w:val="-5"/>
        </w:rPr>
        <w:t xml:space="preserve"> </w:t>
      </w:r>
      <w:r>
        <w:t>por</w:t>
      </w:r>
      <w:r>
        <w:rPr>
          <w:spacing w:val="-3"/>
        </w:rPr>
        <w:t xml:space="preserve"> </w:t>
      </w:r>
      <w:r>
        <w:t>direito a</w:t>
      </w:r>
      <w:r>
        <w:rPr>
          <w:spacing w:val="-3"/>
        </w:rPr>
        <w:t xml:space="preserve"> </w:t>
      </w:r>
      <w:r>
        <w:t>felicidade</w:t>
      </w:r>
      <w:r>
        <w:rPr>
          <w:spacing w:val="-4"/>
        </w:rPr>
        <w:t xml:space="preserve"> </w:t>
      </w:r>
      <w:r>
        <w:t>não</w:t>
      </w:r>
      <w:r>
        <w:rPr>
          <w:spacing w:val="-2"/>
        </w:rPr>
        <w:t xml:space="preserve"> </w:t>
      </w:r>
      <w:r>
        <w:t>é</w:t>
      </w:r>
      <w:r>
        <w:rPr>
          <w:spacing w:val="-3"/>
        </w:rPr>
        <w:t xml:space="preserve"> </w:t>
      </w:r>
      <w:r>
        <w:t>um</w:t>
      </w:r>
      <w:r>
        <w:rPr>
          <w:spacing w:val="-2"/>
        </w:rPr>
        <w:t xml:space="preserve"> </w:t>
      </w:r>
      <w:r>
        <w:t>desafio</w:t>
      </w:r>
      <w:r>
        <w:rPr>
          <w:spacing w:val="-2"/>
        </w:rPr>
        <w:t xml:space="preserve"> </w:t>
      </w:r>
      <w:r>
        <w:t>recente a</w:t>
      </w:r>
      <w:r>
        <w:rPr>
          <w:spacing w:val="-1"/>
        </w:rPr>
        <w:t xml:space="preserve"> </w:t>
      </w:r>
      <w:r>
        <w:t>ser explorado em âmbito acadêmico. Busca-se uma</w:t>
      </w:r>
      <w:r>
        <w:rPr>
          <w:spacing w:val="-1"/>
        </w:rPr>
        <w:t xml:space="preserve"> </w:t>
      </w:r>
      <w:r>
        <w:t>definição para</w:t>
      </w:r>
      <w:r>
        <w:rPr>
          <w:spacing w:val="-2"/>
        </w:rPr>
        <w:t xml:space="preserve"> </w:t>
      </w:r>
      <w:r>
        <w:t>o termo em questão a fim de que se propicie maior segurança jurídica em sua aplicação, de modo que, primeiro, seja estabelecida uma concepção objetiva sobre o termo, a fim de que se possibilite uma</w:t>
      </w:r>
      <w:r>
        <w:rPr>
          <w:spacing w:val="40"/>
        </w:rPr>
        <w:t xml:space="preserve"> </w:t>
      </w:r>
      <w:r>
        <w:t>concepção comum a ser utilizada para que posteriormente se obtenha estabilidade em sua utilização ao longo do tempo, de maneira que possam os cidadãos prever possíveis consequências de sua utilização no presente e futuro próximos. Estes seriam os três pilares essenciais para se atestar a existência de tal segurança, de acordo com Humberto Ávila.</w:t>
      </w:r>
      <w:r>
        <w:rPr>
          <w:vertAlign w:val="superscript"/>
        </w:rPr>
        <w:t>5</w:t>
      </w:r>
    </w:p>
    <w:p w:rsidR="007259F2" w:rsidRDefault="00E655B4">
      <w:pPr>
        <w:pStyle w:val="Corpodetexto"/>
        <w:ind w:right="422"/>
      </w:pPr>
      <w:r>
        <w:t>Pois bem. Certo é que o “direito à felicidade” ou “à busca pela felicidade” não consta de forma expressa no texto da Constituição Federal de 1988. Explorando-se o passado</w:t>
      </w:r>
      <w:r>
        <w:rPr>
          <w:spacing w:val="40"/>
        </w:rPr>
        <w:t xml:space="preserve"> </w:t>
      </w:r>
      <w:r>
        <w:t>recente, constata-se a existência de duas propostas de emenda à Constituição que buscaram inserir</w:t>
      </w:r>
      <w:r>
        <w:rPr>
          <w:spacing w:val="-1"/>
        </w:rPr>
        <w:t xml:space="preserve"> </w:t>
      </w:r>
      <w:r>
        <w:t>talmenção de</w:t>
      </w:r>
      <w:r>
        <w:rPr>
          <w:spacing w:val="-1"/>
        </w:rPr>
        <w:t xml:space="preserve"> </w:t>
      </w:r>
      <w:r>
        <w:t>forma</w:t>
      </w:r>
      <w:r>
        <w:rPr>
          <w:spacing w:val="-1"/>
        </w:rPr>
        <w:t xml:space="preserve"> </w:t>
      </w:r>
      <w:r>
        <w:t>expressa</w:t>
      </w:r>
      <w:r>
        <w:rPr>
          <w:spacing w:val="-1"/>
        </w:rPr>
        <w:t xml:space="preserve"> </w:t>
      </w:r>
      <w:r>
        <w:t>ao direito em questão.</w:t>
      </w:r>
      <w:r>
        <w:rPr>
          <w:spacing w:val="-1"/>
        </w:rPr>
        <w:t xml:space="preserve"> </w:t>
      </w:r>
      <w:r>
        <w:t>A</w:t>
      </w:r>
      <w:r>
        <w:rPr>
          <w:spacing w:val="-1"/>
        </w:rPr>
        <w:t xml:space="preserve"> </w:t>
      </w:r>
      <w:r>
        <w:t>primeira</w:t>
      </w:r>
      <w:r>
        <w:rPr>
          <w:spacing w:val="-2"/>
        </w:rPr>
        <w:t xml:space="preserve"> </w:t>
      </w:r>
      <w:r>
        <w:t>se refere à</w:t>
      </w:r>
      <w:r>
        <w:rPr>
          <w:spacing w:val="-1"/>
        </w:rPr>
        <w:t xml:space="preserve"> </w:t>
      </w:r>
      <w:r>
        <w:t>P.E.C. nº 19 do ano de 2010, de autoria do senador Cristovam Buarque, onde buscava-se inserir no caput do art. 6º da Constituição de 1988 que os direitos sociais seriam essenciais à busca pela felicidade. A segunda, por sua vez, é a P.E.C. nº 513 do mesmo ano, de autoria da deputada Manuela d´Ávila, que objetivava a inclusão do direito à felicidade no rol de direitos fundamentais</w:t>
      </w:r>
      <w:r>
        <w:rPr>
          <w:spacing w:val="-1"/>
        </w:rPr>
        <w:t xml:space="preserve"> </w:t>
      </w:r>
      <w:r>
        <w:t>dos</w:t>
      </w:r>
      <w:r>
        <w:rPr>
          <w:spacing w:val="-1"/>
        </w:rPr>
        <w:t xml:space="preserve"> </w:t>
      </w:r>
      <w:r>
        <w:t>indivíduos</w:t>
      </w:r>
      <w:r>
        <w:rPr>
          <w:spacing w:val="-1"/>
        </w:rPr>
        <w:t xml:space="preserve"> </w:t>
      </w:r>
      <w:r>
        <w:t>e</w:t>
      </w:r>
      <w:r>
        <w:rPr>
          <w:spacing w:val="-2"/>
        </w:rPr>
        <w:t xml:space="preserve"> </w:t>
      </w:r>
      <w:r>
        <w:t>da sociedade.</w:t>
      </w:r>
      <w:r>
        <w:rPr>
          <w:spacing w:val="40"/>
        </w:rPr>
        <w:t xml:space="preserve"> </w:t>
      </w:r>
      <w:r>
        <w:t>Ambas</w:t>
      </w:r>
      <w:r>
        <w:rPr>
          <w:spacing w:val="-1"/>
        </w:rPr>
        <w:t xml:space="preserve"> </w:t>
      </w:r>
      <w:r>
        <w:t>as propostas foram arquivadas por volta de 2015. O caráter genérico e meramente simbólico imputado ao referido direito fora o principal entrave enfrentado por ambas as propostas, visto que a inclusão deste no texto da constituição poderia supostamente ensejar em uma excessiva e irrazoável abertura do rol de direitos fundamentais.</w:t>
      </w:r>
    </w:p>
    <w:p w:rsidR="007259F2" w:rsidRDefault="00E655B4">
      <w:pPr>
        <w:pStyle w:val="Corpodetexto"/>
        <w:spacing w:before="1"/>
        <w:ind w:right="422"/>
      </w:pPr>
      <w:r>
        <w:t>Ainda que tratado de maneira breve, situação diversa pode ser observada no plano internacional, onde o referido termo é mencionado em alguns diplomas. Na declaração estadunidense dos direitos de Virgínia, de 1776</w:t>
      </w:r>
      <w:r>
        <w:rPr>
          <w:vertAlign w:val="superscript"/>
        </w:rPr>
        <w:t>6</w:t>
      </w:r>
      <w:r>
        <w:t>, consta do caput de seu art. 1º como direito certo, essencial e natural do homem o de “procurar obter a felicidade”. A declaração dos direitos do homem e do cidadão de 1789</w:t>
      </w:r>
      <w:r>
        <w:rPr>
          <w:vertAlign w:val="superscript"/>
        </w:rPr>
        <w:t>7</w:t>
      </w:r>
      <w:r>
        <w:t>, por sua vez, menciona a busca pela felicidade coletiva como o objetivo final das reivindicações sociais do povo francês. Pode-se ainda mencionar a resolução nº 65/319 de 2011 da O.N.U., onde a felicidade foi reconhecida como objetivo humano fundamental a ser concretizado por meio da realização de políticas públicas.</w:t>
      </w:r>
    </w:p>
    <w:p w:rsidR="007259F2" w:rsidRDefault="00E655B4">
      <w:pPr>
        <w:pStyle w:val="Corpodetexto"/>
        <w:spacing w:before="1"/>
        <w:ind w:right="420"/>
      </w:pPr>
      <w:r>
        <w:t>Percebe-se, destes três diplomas citados, que nenhum deles chega a definir conceitualmente o que possa caracterizar a felicidade humana. Estabelecem, todavia,</w:t>
      </w:r>
      <w:r>
        <w:rPr>
          <w:spacing w:val="40"/>
        </w:rPr>
        <w:t xml:space="preserve"> </w:t>
      </w:r>
      <w:r>
        <w:t>que esta é o principal objetivo visado por Estado e sociedade. Uma vez considerado o inegável caráter subjetivo atribuído ao termo, entende-se que, se não impossível, tem-se como uma tarefa extremamente</w:t>
      </w:r>
      <w:r>
        <w:rPr>
          <w:spacing w:val="75"/>
        </w:rPr>
        <w:t xml:space="preserve"> </w:t>
      </w:r>
      <w:r>
        <w:t>complexa</w:t>
      </w:r>
      <w:r>
        <w:rPr>
          <w:spacing w:val="77"/>
        </w:rPr>
        <w:t xml:space="preserve"> </w:t>
      </w:r>
      <w:r>
        <w:t>a</w:t>
      </w:r>
      <w:r>
        <w:rPr>
          <w:spacing w:val="77"/>
        </w:rPr>
        <w:t xml:space="preserve"> </w:t>
      </w:r>
      <w:r>
        <w:t>de</w:t>
      </w:r>
      <w:r>
        <w:rPr>
          <w:spacing w:val="77"/>
        </w:rPr>
        <w:t xml:space="preserve"> </w:t>
      </w:r>
      <w:r>
        <w:t>atribuir</w:t>
      </w:r>
      <w:r>
        <w:rPr>
          <w:spacing w:val="77"/>
        </w:rPr>
        <w:t xml:space="preserve"> </w:t>
      </w:r>
      <w:r>
        <w:t>ao</w:t>
      </w:r>
      <w:r>
        <w:rPr>
          <w:spacing w:val="78"/>
        </w:rPr>
        <w:t xml:space="preserve"> </w:t>
      </w:r>
      <w:r>
        <w:t>legislador</w:t>
      </w:r>
      <w:r>
        <w:rPr>
          <w:spacing w:val="76"/>
        </w:rPr>
        <w:t xml:space="preserve"> </w:t>
      </w:r>
      <w:r>
        <w:t>a</w:t>
      </w:r>
      <w:r>
        <w:rPr>
          <w:spacing w:val="77"/>
        </w:rPr>
        <w:t xml:space="preserve"> </w:t>
      </w:r>
      <w:r>
        <w:t>produção</w:t>
      </w:r>
      <w:r>
        <w:rPr>
          <w:spacing w:val="77"/>
        </w:rPr>
        <w:t xml:space="preserve"> </w:t>
      </w:r>
      <w:r>
        <w:t>de</w:t>
      </w:r>
      <w:r>
        <w:rPr>
          <w:spacing w:val="77"/>
        </w:rPr>
        <w:t xml:space="preserve"> </w:t>
      </w:r>
      <w:r>
        <w:t>normas</w:t>
      </w:r>
      <w:r>
        <w:rPr>
          <w:spacing w:val="54"/>
          <w:w w:val="150"/>
        </w:rPr>
        <w:t xml:space="preserve"> </w:t>
      </w:r>
      <w:r>
        <w:t>capazes</w:t>
      </w:r>
      <w:r>
        <w:rPr>
          <w:spacing w:val="79"/>
        </w:rPr>
        <w:t xml:space="preserve"> </w:t>
      </w:r>
      <w:r>
        <w:rPr>
          <w:spacing w:val="-5"/>
        </w:rPr>
        <w:t>de</w:t>
      </w:r>
    </w:p>
    <w:p w:rsidR="007259F2" w:rsidRDefault="00DE6B1C">
      <w:pPr>
        <w:pStyle w:val="Corpodetexto"/>
        <w:spacing w:before="119"/>
        <w:ind w:left="0" w:firstLine="0"/>
        <w:jc w:val="left"/>
        <w:rPr>
          <w:sz w:val="20"/>
        </w:rPr>
      </w:pPr>
      <w:r w:rsidRPr="00DE6B1C">
        <w:rPr>
          <w:sz w:val="20"/>
        </w:rPr>
        <w:pict>
          <v:rect id="docshape152" o:spid="_x0000_s1075" style="position:absolute;margin-left:85.1pt;margin-top:18.65pt;width:2in;height:.7pt;z-index:-15661056;mso-wrap-distance-left:0;mso-wrap-distance-right:0;mso-position-horizontal-relative:page" fillcolor="black" stroked="f">
            <w10:wrap type="topAndBottom" anchorx="page"/>
          </v:rect>
        </w:pict>
      </w:r>
    </w:p>
    <w:p w:rsidR="007259F2" w:rsidRDefault="00E655B4">
      <w:pPr>
        <w:spacing w:before="96" w:line="229" w:lineRule="exact"/>
        <w:ind w:left="710"/>
        <w:jc w:val="both"/>
        <w:rPr>
          <w:sz w:val="20"/>
        </w:rPr>
      </w:pPr>
      <w:r>
        <w:rPr>
          <w:sz w:val="20"/>
          <w:vertAlign w:val="superscript"/>
        </w:rPr>
        <w:t>5</w:t>
      </w:r>
      <w:r>
        <w:rPr>
          <w:spacing w:val="-5"/>
          <w:sz w:val="20"/>
        </w:rPr>
        <w:t xml:space="preserve"> </w:t>
      </w:r>
      <w:r>
        <w:rPr>
          <w:sz w:val="20"/>
        </w:rPr>
        <w:t>ÁVILA,</w:t>
      </w:r>
      <w:r>
        <w:rPr>
          <w:spacing w:val="-4"/>
          <w:sz w:val="20"/>
        </w:rPr>
        <w:t xml:space="preserve"> </w:t>
      </w:r>
      <w:r>
        <w:rPr>
          <w:sz w:val="20"/>
        </w:rPr>
        <w:t>Humberto.</w:t>
      </w:r>
      <w:r>
        <w:rPr>
          <w:spacing w:val="-3"/>
          <w:sz w:val="20"/>
        </w:rPr>
        <w:t xml:space="preserve"> </w:t>
      </w:r>
      <w:r>
        <w:rPr>
          <w:b/>
          <w:sz w:val="20"/>
        </w:rPr>
        <w:t>Teoria</w:t>
      </w:r>
      <w:r>
        <w:rPr>
          <w:b/>
          <w:spacing w:val="-4"/>
          <w:sz w:val="20"/>
        </w:rPr>
        <w:t xml:space="preserve"> </w:t>
      </w:r>
      <w:r>
        <w:rPr>
          <w:b/>
          <w:sz w:val="20"/>
        </w:rPr>
        <w:t>da</w:t>
      </w:r>
      <w:r>
        <w:rPr>
          <w:b/>
          <w:spacing w:val="-3"/>
          <w:sz w:val="20"/>
        </w:rPr>
        <w:t xml:space="preserve"> </w:t>
      </w:r>
      <w:r>
        <w:rPr>
          <w:b/>
          <w:sz w:val="20"/>
        </w:rPr>
        <w:t>Segurança</w:t>
      </w:r>
      <w:r>
        <w:rPr>
          <w:b/>
          <w:spacing w:val="-4"/>
          <w:sz w:val="20"/>
        </w:rPr>
        <w:t xml:space="preserve"> </w:t>
      </w:r>
      <w:r>
        <w:rPr>
          <w:b/>
          <w:sz w:val="20"/>
        </w:rPr>
        <w:t>Jurídica</w:t>
      </w:r>
      <w:r>
        <w:rPr>
          <w:sz w:val="20"/>
        </w:rPr>
        <w:t>.</w:t>
      </w:r>
      <w:r>
        <w:rPr>
          <w:spacing w:val="-4"/>
          <w:sz w:val="20"/>
        </w:rPr>
        <w:t xml:space="preserve"> </w:t>
      </w:r>
      <w:r>
        <w:rPr>
          <w:sz w:val="20"/>
        </w:rPr>
        <w:t>4.</w:t>
      </w:r>
      <w:r>
        <w:rPr>
          <w:spacing w:val="-3"/>
          <w:sz w:val="20"/>
        </w:rPr>
        <w:t xml:space="preserve"> </w:t>
      </w:r>
      <w:r>
        <w:rPr>
          <w:sz w:val="20"/>
        </w:rPr>
        <w:t>ed.</w:t>
      </w:r>
      <w:r>
        <w:rPr>
          <w:spacing w:val="-6"/>
          <w:sz w:val="20"/>
        </w:rPr>
        <w:t xml:space="preserve"> </w:t>
      </w:r>
      <w:r>
        <w:rPr>
          <w:sz w:val="20"/>
        </w:rPr>
        <w:t>São</w:t>
      </w:r>
      <w:r>
        <w:rPr>
          <w:spacing w:val="-4"/>
          <w:sz w:val="20"/>
        </w:rPr>
        <w:t xml:space="preserve"> </w:t>
      </w:r>
      <w:r>
        <w:rPr>
          <w:sz w:val="20"/>
        </w:rPr>
        <w:t>Paulo:</w:t>
      </w:r>
      <w:r>
        <w:rPr>
          <w:spacing w:val="-5"/>
          <w:sz w:val="20"/>
        </w:rPr>
        <w:t xml:space="preserve"> </w:t>
      </w:r>
      <w:r>
        <w:rPr>
          <w:sz w:val="20"/>
        </w:rPr>
        <w:t>Malheiros,</w:t>
      </w:r>
      <w:r>
        <w:rPr>
          <w:spacing w:val="-4"/>
          <w:sz w:val="20"/>
        </w:rPr>
        <w:t xml:space="preserve"> </w:t>
      </w:r>
      <w:r>
        <w:rPr>
          <w:sz w:val="20"/>
        </w:rPr>
        <w:t>2016.</w:t>
      </w:r>
      <w:r>
        <w:rPr>
          <w:spacing w:val="-6"/>
          <w:sz w:val="20"/>
        </w:rPr>
        <w:t xml:space="preserve"> </w:t>
      </w:r>
      <w:r>
        <w:rPr>
          <w:sz w:val="20"/>
        </w:rPr>
        <w:t>p.</w:t>
      </w:r>
      <w:r>
        <w:rPr>
          <w:spacing w:val="-4"/>
          <w:sz w:val="20"/>
        </w:rPr>
        <w:t xml:space="preserve"> </w:t>
      </w:r>
      <w:r>
        <w:rPr>
          <w:spacing w:val="-5"/>
          <w:sz w:val="20"/>
        </w:rPr>
        <w:t>86.</w:t>
      </w:r>
    </w:p>
    <w:p w:rsidR="007259F2" w:rsidRDefault="00E655B4">
      <w:pPr>
        <w:ind w:left="710" w:right="991"/>
        <w:jc w:val="both"/>
        <w:rPr>
          <w:sz w:val="20"/>
        </w:rPr>
      </w:pPr>
      <w:r>
        <w:rPr>
          <w:sz w:val="20"/>
          <w:vertAlign w:val="superscript"/>
        </w:rPr>
        <w:t>6</w:t>
      </w:r>
      <w:r>
        <w:rPr>
          <w:sz w:val="20"/>
        </w:rPr>
        <w:t xml:space="preserve"> BRASIL. </w:t>
      </w:r>
      <w:r>
        <w:rPr>
          <w:b/>
          <w:sz w:val="20"/>
        </w:rPr>
        <w:t>Tradução da declaração de direitos de Virgínia</w:t>
      </w:r>
      <w:r>
        <w:rPr>
          <w:sz w:val="20"/>
        </w:rPr>
        <w:t xml:space="preserve">. Disponível em: </w:t>
      </w:r>
      <w:r>
        <w:rPr>
          <w:spacing w:val="-2"/>
          <w:sz w:val="20"/>
        </w:rPr>
        <w:t xml:space="preserve">https://www3.al.sp.gov.br/repositorio/ilp/anexos/1788/YY2014MM11DD18HH14MM7SS42Declarao%2 </w:t>
      </w:r>
      <w:r>
        <w:rPr>
          <w:sz w:val="20"/>
        </w:rPr>
        <w:t>0da%20Virginia.pdf. Acesso em: 07 jul. 2024.</w:t>
      </w:r>
    </w:p>
    <w:p w:rsidR="007259F2" w:rsidRDefault="00E655B4">
      <w:pPr>
        <w:spacing w:before="1"/>
        <w:ind w:left="710" w:right="988"/>
        <w:jc w:val="both"/>
        <w:rPr>
          <w:sz w:val="20"/>
        </w:rPr>
      </w:pPr>
      <w:r>
        <w:rPr>
          <w:sz w:val="20"/>
          <w:vertAlign w:val="superscript"/>
        </w:rPr>
        <w:t>7</w:t>
      </w:r>
      <w:r>
        <w:rPr>
          <w:spacing w:val="-1"/>
          <w:sz w:val="20"/>
        </w:rPr>
        <w:t xml:space="preserve"> </w:t>
      </w:r>
      <w:r>
        <w:rPr>
          <w:sz w:val="20"/>
        </w:rPr>
        <w:t>BRASIL.</w:t>
      </w:r>
      <w:r>
        <w:rPr>
          <w:spacing w:val="-1"/>
          <w:sz w:val="20"/>
        </w:rPr>
        <w:t xml:space="preserve"> </w:t>
      </w:r>
      <w:r>
        <w:rPr>
          <w:sz w:val="20"/>
        </w:rPr>
        <w:t>Embaixada</w:t>
      </w:r>
      <w:r>
        <w:rPr>
          <w:spacing w:val="-1"/>
          <w:sz w:val="20"/>
        </w:rPr>
        <w:t xml:space="preserve"> </w:t>
      </w:r>
      <w:r>
        <w:rPr>
          <w:sz w:val="20"/>
        </w:rPr>
        <w:t>da</w:t>
      </w:r>
      <w:r>
        <w:rPr>
          <w:spacing w:val="-1"/>
          <w:sz w:val="20"/>
        </w:rPr>
        <w:t xml:space="preserve"> </w:t>
      </w:r>
      <w:r>
        <w:rPr>
          <w:sz w:val="20"/>
        </w:rPr>
        <w:t xml:space="preserve">França no Brasil. </w:t>
      </w:r>
      <w:r>
        <w:rPr>
          <w:b/>
          <w:sz w:val="20"/>
        </w:rPr>
        <w:t>A</w:t>
      </w:r>
      <w:r>
        <w:rPr>
          <w:b/>
          <w:spacing w:val="-1"/>
          <w:sz w:val="20"/>
        </w:rPr>
        <w:t xml:space="preserve"> </w:t>
      </w:r>
      <w:r>
        <w:rPr>
          <w:b/>
          <w:sz w:val="20"/>
        </w:rPr>
        <w:t>Declaração dos</w:t>
      </w:r>
      <w:r>
        <w:rPr>
          <w:b/>
          <w:spacing w:val="-1"/>
          <w:sz w:val="20"/>
        </w:rPr>
        <w:t xml:space="preserve"> </w:t>
      </w:r>
      <w:r>
        <w:rPr>
          <w:b/>
          <w:sz w:val="20"/>
        </w:rPr>
        <w:t>Direitos</w:t>
      </w:r>
      <w:r>
        <w:rPr>
          <w:b/>
          <w:spacing w:val="-1"/>
          <w:sz w:val="20"/>
        </w:rPr>
        <w:t xml:space="preserve"> </w:t>
      </w:r>
      <w:r>
        <w:rPr>
          <w:b/>
          <w:sz w:val="20"/>
        </w:rPr>
        <w:t>do Homem</w:t>
      </w:r>
      <w:r>
        <w:rPr>
          <w:b/>
          <w:spacing w:val="-3"/>
          <w:sz w:val="20"/>
        </w:rPr>
        <w:t xml:space="preserve"> </w:t>
      </w:r>
      <w:r>
        <w:rPr>
          <w:b/>
          <w:sz w:val="20"/>
        </w:rPr>
        <w:t>e do Cidadão</w:t>
      </w:r>
      <w:r>
        <w:rPr>
          <w:sz w:val="20"/>
        </w:rPr>
        <w:t>.</w:t>
      </w:r>
      <w:r>
        <w:rPr>
          <w:spacing w:val="-1"/>
          <w:sz w:val="20"/>
        </w:rPr>
        <w:t xml:space="preserve"> </w:t>
      </w:r>
      <w:r>
        <w:rPr>
          <w:sz w:val="20"/>
        </w:rPr>
        <w:t>2017. Disponível em: https://br.ambafrance.org/A-Declaracao-dos-Direitos-do-Homem-e-do-Cidadao. Acesso em: 01 jul. 2024.</w:t>
      </w:r>
    </w:p>
    <w:p w:rsidR="007259F2" w:rsidRDefault="007259F2">
      <w:pPr>
        <w:jc w:val="both"/>
        <w:rPr>
          <w:sz w:val="20"/>
        </w:rPr>
        <w:sectPr w:rsidR="007259F2">
          <w:pgSz w:w="11910" w:h="16840"/>
          <w:pgMar w:top="1600" w:right="708" w:bottom="1020" w:left="992" w:header="0" w:footer="820" w:gutter="0"/>
          <w:cols w:space="720"/>
        </w:sectPr>
      </w:pPr>
    </w:p>
    <w:p w:rsidR="007259F2" w:rsidRDefault="00E655B4">
      <w:pPr>
        <w:pStyle w:val="Corpodetexto"/>
        <w:spacing w:before="75"/>
        <w:ind w:right="425" w:firstLine="0"/>
      </w:pPr>
      <w:r>
        <w:lastRenderedPageBreak/>
        <w:t>assegurar a felicidade humana. O que se pode obter, em termos jurídicos, é a certeza de que determinados direitos assegurados constitucionalmente são capazes de eventualmente gerar, como consequência de seu exercício, um estado de felicidade em seus titulares. Fala-se em</w:t>
      </w:r>
      <w:r>
        <w:rPr>
          <w:spacing w:val="40"/>
        </w:rPr>
        <w:t xml:space="preserve"> </w:t>
      </w:r>
      <w:r>
        <w:t>um campo de certezas positivas.</w:t>
      </w:r>
    </w:p>
    <w:p w:rsidR="007259F2" w:rsidRDefault="00E655B4">
      <w:pPr>
        <w:pStyle w:val="Corpodetexto"/>
        <w:ind w:right="425"/>
      </w:pPr>
      <w:r>
        <w:t>Cita-se, nesse sentido, o preâmbulo constitucional, onde consta como expressa finalidade do Estado assegurar direitos sociais e individuais, bem comoos valores da liberdade, segurança, bem-estar, desenvolvimento, igualdade e justiça. Constata-se como fundamentos da república brasileira previstos no art. 1º a cidadania e dignidade da pessoa humana. São previstos, ademais, no artigo 5º e seguintes, os direitos e garantias fundamentais e sociais.</w:t>
      </w:r>
    </w:p>
    <w:p w:rsidR="007259F2" w:rsidRDefault="00E655B4">
      <w:pPr>
        <w:pStyle w:val="Corpodetexto"/>
        <w:ind w:right="420"/>
      </w:pPr>
      <w:r>
        <w:t>Constata-se, em contrapartida, a existência de um conjunto de ações e omissões que impossibilitam ou lesam o exercício destes direitos, situação da qual sabidamente não</w:t>
      </w:r>
      <w:r>
        <w:rPr>
          <w:spacing w:val="39"/>
        </w:rPr>
        <w:t xml:space="preserve"> </w:t>
      </w:r>
      <w:r>
        <w:t>haverá tal sentimento humano. Depara-se com um conjunto de fatos que lesam o</w:t>
      </w:r>
      <w:r>
        <w:rPr>
          <w:spacing w:val="-15"/>
        </w:rPr>
        <w:t xml:space="preserve"> </w:t>
      </w:r>
      <w:r>
        <w:t>indivíduo em sua dignidade e que podem ser tidos como certezas negativas. Nota-se, portanto, que a felicidade humana pode ser vista a partir de um estado de dignidade mínimo garantido pelo Estado, a partir do qual o indivíduo pode planejar sua vida dentro de um conjunto lícito de decisões a serem tomadas. Referidas concepções são utilizadas diante de um “campo cinzento” onde a interpretação hermenêutica deverá ser utilizada pelo aplicador do direito. No intuito de complementar os conceitos trazidos, vale mencionar o entendimento jurisprudencial sobre o conceito tratado, sobretudo nos entendimentos em sede da jurisdição constitucional exercida pelo Supremo Tribunal Federal. Cita-se, por exemplo, o reconhecimento das uniões homoafetivas como instituto jurídico pela Ação Direta de Inconstitucionalidade nº 4.277 e Ação de Descumprimento de Preceito Fundamental nº 132, onde consagrou-se como direito fundamental a liberdade para dispor sobre a própria sexualidade; a criminalização da homotransfobia através do reconhecimento da mora legislativa em dar concretude aos mandados constitucionais de criminalização constante nos incisos</w:t>
      </w:r>
      <w:r>
        <w:rPr>
          <w:spacing w:val="40"/>
        </w:rPr>
        <w:t xml:space="preserve"> </w:t>
      </w:r>
      <w:r>
        <w:t>XLI e XLII do art. 5º da Constituição Federal de 1988, o que resultou na tipificação da homotransfobia como vertente do crime de racismo quando do julgamento da Ação Direta de Inconstitucionalidade por Omissão nº 26; no reconhecimento ao direito subjetivo</w:t>
      </w:r>
      <w:r>
        <w:rPr>
          <w:spacing w:val="40"/>
        </w:rPr>
        <w:t xml:space="preserve"> </w:t>
      </w:r>
      <w:r>
        <w:t>de alteração de prenome e da classificação de gênero no assento de nascimento através do julgamento do recurso extraordinário nº 670.422; no julgamento do recurso extraordinário nº 890.060, que resultou na elaboração do tema de repercussão geral nº 0622, que afirma a prevalência da paternidade socioafetiva sobre</w:t>
      </w:r>
      <w:r>
        <w:rPr>
          <w:spacing w:val="40"/>
        </w:rPr>
        <w:t xml:space="preserve"> </w:t>
      </w:r>
      <w:r>
        <w:t>a paternidade biológica.</w:t>
      </w:r>
    </w:p>
    <w:p w:rsidR="007259F2" w:rsidRDefault="00E655B4">
      <w:pPr>
        <w:pStyle w:val="Corpodetexto"/>
        <w:ind w:right="419"/>
      </w:pPr>
      <w:r>
        <w:t>O direito a moradia é um destes pilares essenciais para a dignidade humana. Deve-se ter em mente que a fruição de inúmeros serviços públicos e a prática de atividades sociais e cívicas dependem do fato que uma pessoa tenha uma moradia, em regra, fixa.</w:t>
      </w:r>
      <w:r>
        <w:rPr>
          <w:vertAlign w:val="superscript"/>
        </w:rPr>
        <w:t>8</w:t>
      </w:r>
      <w:r>
        <w:t xml:space="preserve"> O indivíduo torna-se cidadão quando faz parte da cidade, e para tanto, deve- se garantir a moradia fixa. Significa dizer que a função social da cidade depende do res- peito à função social da propriedade. A construção de imóveis particulares sobre áreas públicas, portanto, representa uma falha do Poder Público em garantir tais condições, de maneira que se torna necessário discutir</w:t>
      </w:r>
      <w:r>
        <w:rPr>
          <w:spacing w:val="40"/>
        </w:rPr>
        <w:t xml:space="preserve"> </w:t>
      </w:r>
      <w:r>
        <w:t>como</w:t>
      </w:r>
      <w:r>
        <w:rPr>
          <w:spacing w:val="40"/>
        </w:rPr>
        <w:t xml:space="preserve"> </w:t>
      </w:r>
      <w:r>
        <w:t>remediar</w:t>
      </w:r>
      <w:r>
        <w:rPr>
          <w:spacing w:val="40"/>
        </w:rPr>
        <w:t xml:space="preserve"> </w:t>
      </w:r>
      <w:r>
        <w:t>tal</w:t>
      </w:r>
      <w:r>
        <w:rPr>
          <w:spacing w:val="40"/>
        </w:rPr>
        <w:t xml:space="preserve"> </w:t>
      </w:r>
      <w:r>
        <w:t>situação</w:t>
      </w:r>
      <w:r>
        <w:rPr>
          <w:spacing w:val="40"/>
        </w:rPr>
        <w:t xml:space="preserve"> </w:t>
      </w:r>
      <w:r>
        <w:t>a</w:t>
      </w:r>
      <w:r>
        <w:rPr>
          <w:spacing w:val="40"/>
        </w:rPr>
        <w:t xml:space="preserve"> </w:t>
      </w:r>
      <w:r>
        <w:t>partir de</w:t>
      </w:r>
      <w:r>
        <w:rPr>
          <w:spacing w:val="40"/>
        </w:rPr>
        <w:t xml:space="preserve"> </w:t>
      </w:r>
      <w:r>
        <w:t>uma ponderação entre a supremacia do interesse coletivo em resguardar o uso de áreas públicas e o direito individual fundamental à moradia daqueles postos à margem da sociedade.</w:t>
      </w:r>
    </w:p>
    <w:p w:rsidR="007259F2" w:rsidRDefault="00E655B4">
      <w:pPr>
        <w:pStyle w:val="Heading2"/>
        <w:numPr>
          <w:ilvl w:val="0"/>
          <w:numId w:val="21"/>
        </w:numPr>
        <w:tabs>
          <w:tab w:val="left" w:pos="1136"/>
        </w:tabs>
        <w:ind w:left="1136" w:hanging="359"/>
        <w:jc w:val="left"/>
      </w:pPr>
      <w:r>
        <w:t>Do</w:t>
      </w:r>
      <w:r>
        <w:rPr>
          <w:spacing w:val="-2"/>
        </w:rPr>
        <w:t xml:space="preserve"> </w:t>
      </w:r>
      <w:r>
        <w:t>art.</w:t>
      </w:r>
      <w:r>
        <w:rPr>
          <w:spacing w:val="-2"/>
        </w:rPr>
        <w:t xml:space="preserve"> </w:t>
      </w:r>
      <w:r>
        <w:t>72</w:t>
      </w:r>
      <w:r>
        <w:rPr>
          <w:spacing w:val="-4"/>
        </w:rPr>
        <w:t xml:space="preserve"> </w:t>
      </w:r>
      <w:r>
        <w:t>da</w:t>
      </w:r>
      <w:r>
        <w:rPr>
          <w:spacing w:val="-2"/>
        </w:rPr>
        <w:t xml:space="preserve"> </w:t>
      </w:r>
      <w:r>
        <w:t>lei</w:t>
      </w:r>
      <w:r>
        <w:rPr>
          <w:spacing w:val="-1"/>
        </w:rPr>
        <w:t xml:space="preserve"> </w:t>
      </w:r>
      <w:r>
        <w:t>municipal</w:t>
      </w:r>
      <w:r>
        <w:rPr>
          <w:spacing w:val="-1"/>
        </w:rPr>
        <w:t xml:space="preserve"> </w:t>
      </w:r>
      <w:r>
        <w:t>paulista</w:t>
      </w:r>
      <w:r>
        <w:rPr>
          <w:spacing w:val="-1"/>
        </w:rPr>
        <w:t xml:space="preserve"> </w:t>
      </w:r>
      <w:r>
        <w:t>nº</w:t>
      </w:r>
      <w:r>
        <w:rPr>
          <w:spacing w:val="-4"/>
        </w:rPr>
        <w:t xml:space="preserve"> </w:t>
      </w:r>
      <w:r>
        <w:t>17.734</w:t>
      </w:r>
      <w:r>
        <w:rPr>
          <w:spacing w:val="-3"/>
        </w:rPr>
        <w:t xml:space="preserve"> </w:t>
      </w:r>
      <w:r>
        <w:t>de</w:t>
      </w:r>
      <w:r>
        <w:rPr>
          <w:spacing w:val="-1"/>
        </w:rPr>
        <w:t xml:space="preserve"> </w:t>
      </w:r>
      <w:r>
        <w:rPr>
          <w:spacing w:val="-4"/>
        </w:rPr>
        <w:t>2022</w:t>
      </w:r>
    </w:p>
    <w:p w:rsidR="007259F2" w:rsidRDefault="00E655B4">
      <w:pPr>
        <w:pStyle w:val="Corpodetexto"/>
        <w:spacing w:before="115"/>
        <w:ind w:right="420"/>
      </w:pPr>
      <w:r>
        <w:t>O artigo 72 da lei nº 17.734 do município de São Paulo mostra-se como dispositivo normativo</w:t>
      </w:r>
      <w:r>
        <w:rPr>
          <w:spacing w:val="75"/>
        </w:rPr>
        <w:t xml:space="preserve"> </w:t>
      </w:r>
      <w:r>
        <w:t>importante</w:t>
      </w:r>
      <w:r>
        <w:rPr>
          <w:spacing w:val="77"/>
        </w:rPr>
        <w:t xml:space="preserve"> </w:t>
      </w:r>
      <w:r>
        <w:t>para</w:t>
      </w:r>
      <w:r>
        <w:rPr>
          <w:spacing w:val="76"/>
        </w:rPr>
        <w:t xml:space="preserve"> </w:t>
      </w:r>
      <w:r>
        <w:t>o</w:t>
      </w:r>
      <w:r>
        <w:rPr>
          <w:spacing w:val="80"/>
        </w:rPr>
        <w:t xml:space="preserve"> </w:t>
      </w:r>
      <w:r>
        <w:t>estudo</w:t>
      </w:r>
      <w:r>
        <w:rPr>
          <w:spacing w:val="78"/>
        </w:rPr>
        <w:t xml:space="preserve"> </w:t>
      </w:r>
      <w:r>
        <w:t>proposto.</w:t>
      </w:r>
      <w:r>
        <w:rPr>
          <w:spacing w:val="77"/>
        </w:rPr>
        <w:t xml:space="preserve"> </w:t>
      </w:r>
      <w:r>
        <w:t>Sob</w:t>
      </w:r>
      <w:r>
        <w:rPr>
          <w:spacing w:val="77"/>
        </w:rPr>
        <w:t xml:space="preserve"> </w:t>
      </w:r>
      <w:r>
        <w:t>o</w:t>
      </w:r>
      <w:r>
        <w:rPr>
          <w:spacing w:val="77"/>
        </w:rPr>
        <w:t xml:space="preserve"> </w:t>
      </w:r>
      <w:r>
        <w:t>aspecto</w:t>
      </w:r>
      <w:r>
        <w:rPr>
          <w:spacing w:val="78"/>
        </w:rPr>
        <w:t xml:space="preserve"> </w:t>
      </w:r>
      <w:r>
        <w:t>formal,</w:t>
      </w:r>
      <w:r>
        <w:rPr>
          <w:spacing w:val="78"/>
        </w:rPr>
        <w:t xml:space="preserve"> </w:t>
      </w:r>
      <w:r>
        <w:t>o</w:t>
      </w:r>
      <w:r>
        <w:rPr>
          <w:spacing w:val="77"/>
        </w:rPr>
        <w:t xml:space="preserve"> </w:t>
      </w:r>
      <w:r>
        <w:t>ato</w:t>
      </w:r>
      <w:r>
        <w:rPr>
          <w:spacing w:val="78"/>
        </w:rPr>
        <w:t xml:space="preserve"> </w:t>
      </w:r>
      <w:r>
        <w:rPr>
          <w:spacing w:val="-2"/>
        </w:rPr>
        <w:t>normativo</w:t>
      </w:r>
    </w:p>
    <w:p w:rsidR="007259F2" w:rsidRDefault="00DE6B1C">
      <w:pPr>
        <w:pStyle w:val="Corpodetexto"/>
        <w:spacing w:before="165"/>
        <w:ind w:left="0" w:firstLine="0"/>
        <w:jc w:val="left"/>
        <w:rPr>
          <w:sz w:val="20"/>
        </w:rPr>
      </w:pPr>
      <w:r w:rsidRPr="00DE6B1C">
        <w:rPr>
          <w:sz w:val="20"/>
        </w:rPr>
        <w:pict>
          <v:rect id="docshape153" o:spid="_x0000_s1074" style="position:absolute;margin-left:85.1pt;margin-top:20.95pt;width:2in;height:.7pt;z-index:-15660544;mso-wrap-distance-left:0;mso-wrap-distance-right:0;mso-position-horizontal-relative:page" fillcolor="black" stroked="f">
            <w10:wrap type="topAndBottom" anchorx="page"/>
          </v:rect>
        </w:pict>
      </w:r>
    </w:p>
    <w:p w:rsidR="007259F2" w:rsidRDefault="00E655B4">
      <w:pPr>
        <w:spacing w:before="96"/>
        <w:ind w:left="710" w:right="990"/>
        <w:rPr>
          <w:sz w:val="20"/>
        </w:rPr>
      </w:pPr>
      <w:r>
        <w:rPr>
          <w:sz w:val="20"/>
          <w:vertAlign w:val="superscript"/>
        </w:rPr>
        <w:t>8</w:t>
      </w:r>
      <w:r>
        <w:rPr>
          <w:sz w:val="20"/>
        </w:rPr>
        <w:t xml:space="preserve"> TAVOLARI, Bianca. Direito à cidade: uma trajetória conceitual. </w:t>
      </w:r>
      <w:r>
        <w:rPr>
          <w:b/>
          <w:sz w:val="20"/>
        </w:rPr>
        <w:t>Novos estudos CEBRAP</w:t>
      </w:r>
      <w:r>
        <w:rPr>
          <w:sz w:val="20"/>
        </w:rPr>
        <w:t>, mar. 2016. Disponível em: https://</w:t>
      </w:r>
      <w:hyperlink r:id="rId203">
        <w:r>
          <w:rPr>
            <w:sz w:val="20"/>
          </w:rPr>
          <w:t>www.scielo.br/j/nec/a/hdLsr4FXMpVZWPJ7XswRRbj/#.</w:t>
        </w:r>
      </w:hyperlink>
      <w:r>
        <w:rPr>
          <w:sz w:val="20"/>
        </w:rPr>
        <w:t xml:space="preserve"> Acesso em</w:t>
      </w:r>
      <w:r>
        <w:rPr>
          <w:spacing w:val="-3"/>
          <w:sz w:val="20"/>
        </w:rPr>
        <w:t xml:space="preserve"> </w:t>
      </w:r>
      <w:r>
        <w:rPr>
          <w:sz w:val="20"/>
        </w:rPr>
        <w:t>15 jun. 2024</w:t>
      </w:r>
    </w:p>
    <w:p w:rsidR="007259F2" w:rsidRDefault="007259F2">
      <w:pPr>
        <w:rPr>
          <w:sz w:val="20"/>
        </w:rPr>
        <w:sectPr w:rsidR="007259F2">
          <w:pgSz w:w="11910" w:h="16840"/>
          <w:pgMar w:top="1600" w:right="708" w:bottom="1020" w:left="992" w:header="0" w:footer="820" w:gutter="0"/>
          <w:cols w:space="720"/>
        </w:sectPr>
      </w:pPr>
    </w:p>
    <w:p w:rsidR="007259F2" w:rsidRDefault="00E655B4">
      <w:pPr>
        <w:pStyle w:val="Corpodetexto"/>
        <w:spacing w:before="75"/>
        <w:ind w:right="419" w:firstLine="0"/>
      </w:pPr>
      <w:r>
        <w:lastRenderedPageBreak/>
        <w:t>mencionado guarda observância, em ordem descrente, com o art. 30, VIII da Constituição Federal, local de onde é retirada a competência para a municipalidade promover o adequado ordenamento territorial. Prosseguindo-se, constata-se que no art. 148 de sua lei orgânica</w:t>
      </w:r>
      <w:r>
        <w:rPr>
          <w:vertAlign w:val="superscript"/>
        </w:rPr>
        <w:t>9</w:t>
      </w:r>
      <w:r>
        <w:t xml:space="preserve"> são previstos os principais objetivos para tal finalidade, entre eles a garantia das já mencionadas funções sociais da propriedade e da cidade. Tal diploma ainda prevê, em seu art. 158, que</w:t>
      </w:r>
      <w:r>
        <w:rPr>
          <w:spacing w:val="40"/>
        </w:rPr>
        <w:t xml:space="preserve"> </w:t>
      </w:r>
      <w:r>
        <w:t>bens dominiais não utilizados serão destinados, de forma prioritária e de acordo com a previsão legal, à população de baixa renda situada em seu território. Tem-se, portanto, a justificativa do surgimento da referida lei nº 17.734, que, entre outros motivos, buscou regulamentar a aplicação da legitimação fundiária no âmbito municipal paulista.</w:t>
      </w:r>
    </w:p>
    <w:p w:rsidR="007259F2" w:rsidRDefault="00E655B4">
      <w:pPr>
        <w:pStyle w:val="Corpodetexto"/>
        <w:ind w:right="423"/>
      </w:pPr>
      <w:r>
        <w:t>O referido art. 72 possibilita a conversão do título de concessão especial de uso para fins de moradia parao instrumento de legitimação fundiária, trazido pela lei nº 13.465/2017. Vamos às características de cada um destes institutos, a fim de que se possa compreender melhor a mencionada possibilidade de conversão.</w:t>
      </w:r>
    </w:p>
    <w:p w:rsidR="007259F2" w:rsidRDefault="00E655B4">
      <w:pPr>
        <w:pStyle w:val="Heading2"/>
        <w:numPr>
          <w:ilvl w:val="1"/>
          <w:numId w:val="21"/>
        </w:numPr>
        <w:tabs>
          <w:tab w:val="left" w:pos="1277"/>
        </w:tabs>
        <w:spacing w:before="208"/>
        <w:ind w:left="1277" w:hanging="356"/>
        <w:jc w:val="both"/>
      </w:pPr>
      <w:r>
        <w:t>Da</w:t>
      </w:r>
      <w:r>
        <w:rPr>
          <w:spacing w:val="-2"/>
        </w:rPr>
        <w:t xml:space="preserve"> </w:t>
      </w:r>
      <w:r>
        <w:t>concessão especial</w:t>
      </w:r>
      <w:r>
        <w:rPr>
          <w:spacing w:val="2"/>
        </w:rPr>
        <w:t xml:space="preserve"> </w:t>
      </w:r>
      <w:r>
        <w:t>de</w:t>
      </w:r>
      <w:r>
        <w:rPr>
          <w:spacing w:val="-2"/>
        </w:rPr>
        <w:t xml:space="preserve"> </w:t>
      </w:r>
      <w:r>
        <w:t>uso para</w:t>
      </w:r>
      <w:r>
        <w:rPr>
          <w:spacing w:val="-2"/>
        </w:rPr>
        <w:t xml:space="preserve"> </w:t>
      </w:r>
      <w:r>
        <w:t>fins</w:t>
      </w:r>
      <w:r>
        <w:rPr>
          <w:spacing w:val="-5"/>
        </w:rPr>
        <w:t xml:space="preserve"> </w:t>
      </w:r>
      <w:r>
        <w:t>de</w:t>
      </w:r>
      <w:r>
        <w:rPr>
          <w:spacing w:val="-1"/>
        </w:rPr>
        <w:t xml:space="preserve"> </w:t>
      </w:r>
      <w:r>
        <w:rPr>
          <w:spacing w:val="-2"/>
        </w:rPr>
        <w:t>moradia</w:t>
      </w:r>
    </w:p>
    <w:p w:rsidR="007259F2" w:rsidRDefault="00E655B4">
      <w:pPr>
        <w:pStyle w:val="Corpodetexto"/>
        <w:spacing w:before="112"/>
        <w:ind w:right="422"/>
      </w:pPr>
      <w:r>
        <w:t>O advento da Constituição Federal de 1988 trouxe inúmeras inovações para o ordenamento jurídico brasileiro. Uma delas se refere à expressa previsão ao princípio da função social da propriedade. Válido é o questionamento sobre o alcance da referida norma,</w:t>
      </w:r>
      <w:r>
        <w:rPr>
          <w:spacing w:val="40"/>
        </w:rPr>
        <w:t xml:space="preserve"> </w:t>
      </w:r>
      <w:r>
        <w:t>ao ponto de também abarcar os imóveis públicos. Importa relembrar, nesta parte introdutória, o</w:t>
      </w:r>
      <w:r>
        <w:rPr>
          <w:spacing w:val="-1"/>
        </w:rPr>
        <w:t xml:space="preserve"> </w:t>
      </w:r>
      <w:r>
        <w:t>breve raciocínio exarado em</w:t>
      </w:r>
      <w:r>
        <w:rPr>
          <w:spacing w:val="-1"/>
        </w:rPr>
        <w:t xml:space="preserve"> </w:t>
      </w:r>
      <w:r>
        <w:t>tópicos</w:t>
      </w:r>
      <w:r>
        <w:rPr>
          <w:spacing w:val="-1"/>
        </w:rPr>
        <w:t xml:space="preserve"> </w:t>
      </w:r>
      <w:r>
        <w:t>anteriores sobre</w:t>
      </w:r>
      <w:r>
        <w:rPr>
          <w:spacing w:val="-3"/>
        </w:rPr>
        <w:t xml:space="preserve"> </w:t>
      </w:r>
      <w:r>
        <w:t>as</w:t>
      </w:r>
      <w:r>
        <w:rPr>
          <w:spacing w:val="-1"/>
        </w:rPr>
        <w:t xml:space="preserve"> </w:t>
      </w:r>
      <w:r>
        <w:t>previsões</w:t>
      </w:r>
      <w:r>
        <w:rPr>
          <w:spacing w:val="-1"/>
        </w:rPr>
        <w:t xml:space="preserve"> </w:t>
      </w:r>
      <w:r>
        <w:t>normativas tanto em texto constitucional, quanto no texto da lei orgânica do município de São Paulo sobre o dever assumido pela administração pública de propiciar bem-estar e dignidade aos cidadãos.</w:t>
      </w:r>
    </w:p>
    <w:p w:rsidR="007259F2" w:rsidRDefault="00E655B4">
      <w:pPr>
        <w:pStyle w:val="Corpodetexto"/>
        <w:spacing w:before="1"/>
        <w:ind w:right="421"/>
      </w:pPr>
      <w:r>
        <w:t>Não</w:t>
      </w:r>
      <w:r>
        <w:rPr>
          <w:spacing w:val="-1"/>
        </w:rPr>
        <w:t xml:space="preserve"> </w:t>
      </w:r>
      <w:r>
        <w:t>se</w:t>
      </w:r>
      <w:r>
        <w:rPr>
          <w:spacing w:val="-2"/>
        </w:rPr>
        <w:t xml:space="preserve"> </w:t>
      </w:r>
      <w:r>
        <w:t>desconhece</w:t>
      </w:r>
      <w:r>
        <w:rPr>
          <w:spacing w:val="-1"/>
        </w:rPr>
        <w:t xml:space="preserve"> </w:t>
      </w:r>
      <w:r>
        <w:t>o</w:t>
      </w:r>
      <w:r>
        <w:rPr>
          <w:spacing w:val="-1"/>
        </w:rPr>
        <w:t xml:space="preserve"> </w:t>
      </w:r>
      <w:r>
        <w:t>fato de</w:t>
      </w:r>
      <w:r>
        <w:rPr>
          <w:spacing w:val="-2"/>
        </w:rPr>
        <w:t xml:space="preserve"> </w:t>
      </w:r>
      <w:r>
        <w:t>que</w:t>
      </w:r>
      <w:r>
        <w:rPr>
          <w:spacing w:val="-2"/>
        </w:rPr>
        <w:t xml:space="preserve"> </w:t>
      </w:r>
      <w:r>
        <w:t>a</w:t>
      </w:r>
      <w:r>
        <w:rPr>
          <w:spacing w:val="-2"/>
        </w:rPr>
        <w:t xml:space="preserve"> </w:t>
      </w:r>
      <w:r>
        <w:t>propriedade</w:t>
      </w:r>
      <w:r>
        <w:rPr>
          <w:spacing w:val="-2"/>
        </w:rPr>
        <w:t xml:space="preserve"> </w:t>
      </w:r>
      <w:r>
        <w:t>pública</w:t>
      </w:r>
      <w:r>
        <w:rPr>
          <w:spacing w:val="-2"/>
        </w:rPr>
        <w:t xml:space="preserve"> </w:t>
      </w:r>
      <w:r>
        <w:t>é</w:t>
      </w:r>
      <w:r>
        <w:rPr>
          <w:spacing w:val="-2"/>
        </w:rPr>
        <w:t xml:space="preserve"> </w:t>
      </w:r>
      <w:r>
        <w:t>disciplinada</w:t>
      </w:r>
      <w:r>
        <w:rPr>
          <w:spacing w:val="-3"/>
        </w:rPr>
        <w:t xml:space="preserve"> </w:t>
      </w:r>
      <w:r>
        <w:t>de</w:t>
      </w:r>
      <w:r>
        <w:rPr>
          <w:spacing w:val="-2"/>
        </w:rPr>
        <w:t xml:space="preserve"> </w:t>
      </w:r>
      <w:r>
        <w:t>forma</w:t>
      </w:r>
      <w:r>
        <w:rPr>
          <w:spacing w:val="-2"/>
        </w:rPr>
        <w:t xml:space="preserve"> </w:t>
      </w:r>
      <w:r>
        <w:t>distinta da particular. Sabe-se, em síntese, que os bens públicos podem ser de uso comum do povo, especiais ou dominicais. As duas primeiras espécies de bens são envoltas por uma presunção de afetação à fins de interesse coletivo, consequência esta da máxima da supremacia do interesse</w:t>
      </w:r>
      <w:r>
        <w:rPr>
          <w:spacing w:val="-3"/>
        </w:rPr>
        <w:t xml:space="preserve"> </w:t>
      </w:r>
      <w:r>
        <w:t>público</w:t>
      </w:r>
      <w:r>
        <w:rPr>
          <w:spacing w:val="-3"/>
        </w:rPr>
        <w:t xml:space="preserve"> </w:t>
      </w:r>
      <w:r>
        <w:t>sobre</w:t>
      </w:r>
      <w:r>
        <w:rPr>
          <w:spacing w:val="-2"/>
        </w:rPr>
        <w:t xml:space="preserve"> </w:t>
      </w:r>
      <w:r>
        <w:t>o</w:t>
      </w:r>
      <w:r>
        <w:rPr>
          <w:spacing w:val="-1"/>
        </w:rPr>
        <w:t xml:space="preserve"> </w:t>
      </w:r>
      <w:r>
        <w:t>particular.</w:t>
      </w:r>
      <w:r>
        <w:rPr>
          <w:spacing w:val="-2"/>
        </w:rPr>
        <w:t xml:space="preserve"> </w:t>
      </w:r>
      <w:r>
        <w:t>Ficam,</w:t>
      </w:r>
      <w:r>
        <w:rPr>
          <w:spacing w:val="-3"/>
        </w:rPr>
        <w:t xml:space="preserve"> </w:t>
      </w:r>
      <w:r>
        <w:t>portanto,</w:t>
      </w:r>
      <w:r>
        <w:rPr>
          <w:spacing w:val="-3"/>
        </w:rPr>
        <w:t xml:space="preserve"> </w:t>
      </w:r>
      <w:r>
        <w:t>fora</w:t>
      </w:r>
      <w:r>
        <w:rPr>
          <w:spacing w:val="-4"/>
        </w:rPr>
        <w:t xml:space="preserve"> </w:t>
      </w:r>
      <w:r>
        <w:t>do</w:t>
      </w:r>
      <w:r>
        <w:rPr>
          <w:spacing w:val="-3"/>
        </w:rPr>
        <w:t xml:space="preserve"> </w:t>
      </w:r>
      <w:r>
        <w:t>âmbito</w:t>
      </w:r>
      <w:r>
        <w:rPr>
          <w:spacing w:val="-3"/>
        </w:rPr>
        <w:t xml:space="preserve"> </w:t>
      </w:r>
      <w:r>
        <w:t>particular.</w:t>
      </w:r>
      <w:r>
        <w:rPr>
          <w:spacing w:val="-3"/>
        </w:rPr>
        <w:t xml:space="preserve"> </w:t>
      </w:r>
      <w:r>
        <w:t>Os</w:t>
      </w:r>
      <w:r>
        <w:rPr>
          <w:spacing w:val="-3"/>
        </w:rPr>
        <w:t xml:space="preserve"> </w:t>
      </w:r>
      <w:r>
        <w:t>dominicais, por sua vez, são aqueles bens que não estão destinados a fins públicos, e que, por essa razão, podem ser alienados por meio dos respectivos institutos de direito civil. A concessão especial de uso para fins de moradia incide sobre estes últimos, visto que, em caso de ocupação de</w:t>
      </w:r>
      <w:r>
        <w:rPr>
          <w:spacing w:val="40"/>
        </w:rPr>
        <w:t xml:space="preserve"> </w:t>
      </w:r>
      <w:r>
        <w:t>bens de uso comum do povo, pode o Poder Público valer-se da faculdade de garantir tal concessão em local diverso (art. 5º da medida provisória nº 2.220/2001).</w:t>
      </w:r>
    </w:p>
    <w:p w:rsidR="007259F2" w:rsidRDefault="00E655B4">
      <w:pPr>
        <w:pStyle w:val="Corpodetexto"/>
        <w:ind w:right="421"/>
      </w:pPr>
      <w:r>
        <w:t>A concepção sobre a supremacia do interesse público sobre o particular, entretanto, tem sido cada vez mais desconstruída, ou talvez reconstruída, diante das complexidades trazidas por novas questões sociais. Relembra-se aqui a diferenciação feita na doutrina entre interesse público primário e secundário. Primário seria o interesse oriundo de todos os particulares enquanto sociedade. Secundário seria o interesse estatal sobre o funcionamento</w:t>
      </w:r>
      <w:r>
        <w:rPr>
          <w:spacing w:val="80"/>
        </w:rPr>
        <w:t xml:space="preserve"> </w:t>
      </w:r>
      <w:r>
        <w:t xml:space="preserve">da máquina pública. Há quem defenda a inexistência deste segundo, visto que a existência do Estado somente se justificaria pelo objetivo comum de atender o interesse primário. Vislumbra-se, desta maneira, que ao mesmo tempo em que a atuação do Estado se dá para proteger o interesse comum, essa só é legitimidade quando condizente com o interesse </w:t>
      </w:r>
      <w:r>
        <w:rPr>
          <w:spacing w:val="-2"/>
        </w:rPr>
        <w:t>coletivo.</w:t>
      </w:r>
    </w:p>
    <w:p w:rsidR="007259F2" w:rsidRDefault="00E655B4">
      <w:pPr>
        <w:pStyle w:val="Corpodetexto"/>
        <w:spacing w:before="1"/>
        <w:ind w:right="422"/>
      </w:pPr>
      <w:r>
        <w:t>Pois bem. Referida concessão fora inicialmente prevista nos artigos 15 a 20 da lei nº 10.257/2001. Tais dispositivos, contudo, foram vetados pela Presidência da República na época, sob o argumento de que o instituto poderia permitir a concessão de uso</w:t>
      </w:r>
      <w:r>
        <w:rPr>
          <w:spacing w:val="40"/>
        </w:rPr>
        <w:t xml:space="preserve"> </w:t>
      </w:r>
      <w:r>
        <w:t>sobre imóveis de uso</w:t>
      </w:r>
      <w:r>
        <w:rPr>
          <w:spacing w:val="4"/>
        </w:rPr>
        <w:t xml:space="preserve"> </w:t>
      </w:r>
      <w:r>
        <w:t>comum</w:t>
      </w:r>
      <w:r>
        <w:rPr>
          <w:spacing w:val="4"/>
        </w:rPr>
        <w:t xml:space="preserve"> </w:t>
      </w:r>
      <w:r>
        <w:t>do</w:t>
      </w:r>
      <w:r>
        <w:rPr>
          <w:spacing w:val="4"/>
        </w:rPr>
        <w:t xml:space="preserve"> </w:t>
      </w:r>
      <w:r>
        <w:t>povo,</w:t>
      </w:r>
      <w:r>
        <w:rPr>
          <w:spacing w:val="5"/>
        </w:rPr>
        <w:t xml:space="preserve"> </w:t>
      </w:r>
      <w:r>
        <w:t>sobre</w:t>
      </w:r>
      <w:r>
        <w:rPr>
          <w:spacing w:val="3"/>
        </w:rPr>
        <w:t xml:space="preserve"> </w:t>
      </w:r>
      <w:r>
        <w:t>áreas</w:t>
      </w:r>
      <w:r>
        <w:rPr>
          <w:spacing w:val="3"/>
        </w:rPr>
        <w:t xml:space="preserve"> </w:t>
      </w:r>
      <w:r>
        <w:t>de</w:t>
      </w:r>
      <w:r>
        <w:rPr>
          <w:spacing w:val="3"/>
        </w:rPr>
        <w:t xml:space="preserve"> </w:t>
      </w:r>
      <w:r>
        <w:t>proteção</w:t>
      </w:r>
      <w:r>
        <w:rPr>
          <w:spacing w:val="3"/>
        </w:rPr>
        <w:t xml:space="preserve"> </w:t>
      </w:r>
      <w:r>
        <w:t>ambiental</w:t>
      </w:r>
      <w:r>
        <w:rPr>
          <w:spacing w:val="4"/>
        </w:rPr>
        <w:t xml:space="preserve"> </w:t>
      </w:r>
      <w:r>
        <w:t>ou</w:t>
      </w:r>
      <w:r>
        <w:rPr>
          <w:spacing w:val="3"/>
        </w:rPr>
        <w:t xml:space="preserve"> </w:t>
      </w:r>
      <w:r>
        <w:t>dirigidas</w:t>
      </w:r>
      <w:r>
        <w:rPr>
          <w:spacing w:val="6"/>
        </w:rPr>
        <w:t xml:space="preserve"> </w:t>
      </w:r>
      <w:r>
        <w:t>a</w:t>
      </w:r>
      <w:r>
        <w:rPr>
          <w:spacing w:val="2"/>
        </w:rPr>
        <w:t xml:space="preserve"> </w:t>
      </w:r>
      <w:r>
        <w:t>obras</w:t>
      </w:r>
      <w:r>
        <w:rPr>
          <w:spacing w:val="4"/>
        </w:rPr>
        <w:t xml:space="preserve"> </w:t>
      </w:r>
      <w:r>
        <w:t>públicas</w:t>
      </w:r>
      <w:r>
        <w:rPr>
          <w:spacing w:val="3"/>
        </w:rPr>
        <w:t xml:space="preserve"> </w:t>
      </w:r>
      <w:r>
        <w:t>e</w:t>
      </w:r>
      <w:r>
        <w:rPr>
          <w:spacing w:val="5"/>
        </w:rPr>
        <w:t xml:space="preserve"> </w:t>
      </w:r>
      <w:r>
        <w:rPr>
          <w:spacing w:val="-5"/>
        </w:rPr>
        <w:t>que</w:t>
      </w:r>
    </w:p>
    <w:p w:rsidR="007259F2" w:rsidRDefault="00DE6B1C">
      <w:pPr>
        <w:pStyle w:val="Corpodetexto"/>
        <w:ind w:left="0" w:firstLine="0"/>
        <w:jc w:val="left"/>
        <w:rPr>
          <w:sz w:val="17"/>
        </w:rPr>
      </w:pPr>
      <w:r w:rsidRPr="00DE6B1C">
        <w:rPr>
          <w:sz w:val="17"/>
        </w:rPr>
        <w:pict>
          <v:rect id="docshape154" o:spid="_x0000_s1073" style="position:absolute;margin-left:85.1pt;margin-top:11pt;width:2in;height:.7pt;z-index:-15660032;mso-wrap-distance-left:0;mso-wrap-distance-right:0;mso-position-horizontal-relative:page" fillcolor="black" stroked="f">
            <w10:wrap type="topAndBottom" anchorx="page"/>
          </v:rect>
        </w:pict>
      </w:r>
    </w:p>
    <w:p w:rsidR="007259F2" w:rsidRDefault="00E655B4">
      <w:pPr>
        <w:spacing w:before="97"/>
        <w:ind w:left="710" w:right="561"/>
        <w:rPr>
          <w:sz w:val="20"/>
        </w:rPr>
      </w:pPr>
      <w:r>
        <w:rPr>
          <w:sz w:val="20"/>
          <w:vertAlign w:val="superscript"/>
        </w:rPr>
        <w:t>9</w:t>
      </w:r>
      <w:r>
        <w:rPr>
          <w:spacing w:val="-8"/>
          <w:sz w:val="20"/>
        </w:rPr>
        <w:t xml:space="preserve"> </w:t>
      </w:r>
      <w:r>
        <w:rPr>
          <w:sz w:val="20"/>
        </w:rPr>
        <w:t>SÃO</w:t>
      </w:r>
      <w:r>
        <w:rPr>
          <w:spacing w:val="-5"/>
          <w:sz w:val="20"/>
        </w:rPr>
        <w:t xml:space="preserve"> </w:t>
      </w:r>
      <w:r>
        <w:rPr>
          <w:sz w:val="20"/>
        </w:rPr>
        <w:t>PAULO</w:t>
      </w:r>
      <w:r>
        <w:rPr>
          <w:spacing w:val="-5"/>
          <w:sz w:val="20"/>
        </w:rPr>
        <w:t xml:space="preserve"> </w:t>
      </w:r>
      <w:r>
        <w:rPr>
          <w:sz w:val="20"/>
        </w:rPr>
        <w:t>(SP).</w:t>
      </w:r>
      <w:r>
        <w:rPr>
          <w:spacing w:val="-13"/>
          <w:sz w:val="20"/>
        </w:rPr>
        <w:t xml:space="preserve"> </w:t>
      </w:r>
      <w:r>
        <w:rPr>
          <w:sz w:val="20"/>
        </w:rPr>
        <w:t>Assembleia</w:t>
      </w:r>
      <w:r>
        <w:rPr>
          <w:spacing w:val="-4"/>
          <w:sz w:val="20"/>
        </w:rPr>
        <w:t xml:space="preserve"> </w:t>
      </w:r>
      <w:r>
        <w:rPr>
          <w:sz w:val="20"/>
        </w:rPr>
        <w:t>Constituinte</w:t>
      </w:r>
      <w:r>
        <w:rPr>
          <w:spacing w:val="-5"/>
          <w:sz w:val="20"/>
        </w:rPr>
        <w:t xml:space="preserve"> </w:t>
      </w:r>
      <w:r>
        <w:rPr>
          <w:sz w:val="20"/>
        </w:rPr>
        <w:t>do</w:t>
      </w:r>
      <w:r>
        <w:rPr>
          <w:spacing w:val="-4"/>
          <w:sz w:val="20"/>
        </w:rPr>
        <w:t xml:space="preserve"> </w:t>
      </w:r>
      <w:r>
        <w:rPr>
          <w:sz w:val="20"/>
        </w:rPr>
        <w:t xml:space="preserve">Município. </w:t>
      </w:r>
      <w:r>
        <w:rPr>
          <w:b/>
          <w:sz w:val="20"/>
        </w:rPr>
        <w:t>Lei</w:t>
      </w:r>
      <w:r>
        <w:rPr>
          <w:b/>
          <w:spacing w:val="-5"/>
          <w:sz w:val="20"/>
        </w:rPr>
        <w:t xml:space="preserve"> </w:t>
      </w:r>
      <w:r>
        <w:rPr>
          <w:b/>
          <w:sz w:val="20"/>
        </w:rPr>
        <w:t>orgânica</w:t>
      </w:r>
      <w:r>
        <w:rPr>
          <w:b/>
          <w:spacing w:val="-4"/>
          <w:sz w:val="20"/>
        </w:rPr>
        <w:t xml:space="preserve"> </w:t>
      </w:r>
      <w:r>
        <w:rPr>
          <w:b/>
          <w:sz w:val="20"/>
        </w:rPr>
        <w:t>do</w:t>
      </w:r>
      <w:r>
        <w:rPr>
          <w:b/>
          <w:spacing w:val="-7"/>
          <w:sz w:val="20"/>
        </w:rPr>
        <w:t xml:space="preserve"> </w:t>
      </w:r>
      <w:r>
        <w:rPr>
          <w:b/>
          <w:sz w:val="20"/>
        </w:rPr>
        <w:t>Município</w:t>
      </w:r>
      <w:r>
        <w:rPr>
          <w:b/>
          <w:spacing w:val="-5"/>
          <w:sz w:val="20"/>
        </w:rPr>
        <w:t xml:space="preserve"> </w:t>
      </w:r>
      <w:r>
        <w:rPr>
          <w:b/>
          <w:sz w:val="20"/>
        </w:rPr>
        <w:t>de</w:t>
      </w:r>
      <w:r>
        <w:rPr>
          <w:b/>
          <w:spacing w:val="-3"/>
          <w:sz w:val="20"/>
        </w:rPr>
        <w:t xml:space="preserve"> </w:t>
      </w:r>
      <w:r>
        <w:rPr>
          <w:b/>
          <w:sz w:val="20"/>
        </w:rPr>
        <w:t>São</w:t>
      </w:r>
      <w:r>
        <w:rPr>
          <w:b/>
          <w:spacing w:val="-13"/>
          <w:sz w:val="20"/>
        </w:rPr>
        <w:t xml:space="preserve"> </w:t>
      </w:r>
      <w:r>
        <w:rPr>
          <w:b/>
          <w:sz w:val="20"/>
        </w:rPr>
        <w:t>Paulo</w:t>
      </w:r>
      <w:r>
        <w:rPr>
          <w:b/>
          <w:spacing w:val="38"/>
          <w:sz w:val="20"/>
        </w:rPr>
        <w:t xml:space="preserve"> </w:t>
      </w:r>
      <w:r>
        <w:rPr>
          <w:b/>
          <w:sz w:val="20"/>
        </w:rPr>
        <w:t>(com suas</w:t>
      </w:r>
      <w:r>
        <w:rPr>
          <w:b/>
          <w:spacing w:val="-3"/>
          <w:sz w:val="20"/>
        </w:rPr>
        <w:t xml:space="preserve"> </w:t>
      </w:r>
      <w:r>
        <w:rPr>
          <w:b/>
          <w:sz w:val="20"/>
        </w:rPr>
        <w:t>alterações)</w:t>
      </w:r>
      <w:r>
        <w:rPr>
          <w:sz w:val="20"/>
        </w:rPr>
        <w:t>. São</w:t>
      </w:r>
      <w:r>
        <w:rPr>
          <w:spacing w:val="-1"/>
          <w:sz w:val="20"/>
        </w:rPr>
        <w:t xml:space="preserve"> </w:t>
      </w:r>
      <w:r>
        <w:rPr>
          <w:sz w:val="20"/>
        </w:rPr>
        <w:t>Paulo,</w:t>
      </w:r>
      <w:r>
        <w:rPr>
          <w:spacing w:val="40"/>
          <w:sz w:val="20"/>
        </w:rPr>
        <w:t xml:space="preserve"> </w:t>
      </w:r>
      <w:r>
        <w:rPr>
          <w:sz w:val="20"/>
        </w:rPr>
        <w:t>06</w:t>
      </w:r>
      <w:r>
        <w:rPr>
          <w:spacing w:val="-1"/>
          <w:sz w:val="20"/>
        </w:rPr>
        <w:t xml:space="preserve"> </w:t>
      </w:r>
      <w:r>
        <w:rPr>
          <w:sz w:val="20"/>
        </w:rPr>
        <w:t>de</w:t>
      </w:r>
      <w:r>
        <w:rPr>
          <w:spacing w:val="40"/>
          <w:sz w:val="20"/>
        </w:rPr>
        <w:t xml:space="preserve"> </w:t>
      </w:r>
      <w:r>
        <w:rPr>
          <w:sz w:val="20"/>
        </w:rPr>
        <w:t>abril</w:t>
      </w:r>
      <w:r>
        <w:rPr>
          <w:spacing w:val="40"/>
          <w:sz w:val="20"/>
        </w:rPr>
        <w:t xml:space="preserve"> </w:t>
      </w:r>
      <w:r>
        <w:rPr>
          <w:sz w:val="20"/>
        </w:rPr>
        <w:t>de</w:t>
      </w:r>
      <w:r>
        <w:rPr>
          <w:spacing w:val="-2"/>
          <w:sz w:val="20"/>
        </w:rPr>
        <w:t xml:space="preserve"> </w:t>
      </w:r>
      <w:r>
        <w:rPr>
          <w:sz w:val="20"/>
        </w:rPr>
        <w:t>1990. Disponível em: https:/</w:t>
      </w:r>
      <w:hyperlink r:id="rId204">
        <w:r>
          <w:rPr>
            <w:sz w:val="20"/>
          </w:rPr>
          <w:t>/www.prefeitura.sp.gov.br/cidade/secretarias/upload/LOM.pdf.</w:t>
        </w:r>
      </w:hyperlink>
      <w:r>
        <w:rPr>
          <w:spacing w:val="-13"/>
          <w:sz w:val="20"/>
        </w:rPr>
        <w:t xml:space="preserve"> </w:t>
      </w:r>
      <w:r>
        <w:rPr>
          <w:sz w:val="20"/>
        </w:rPr>
        <w:t>Acesso</w:t>
      </w:r>
      <w:r>
        <w:rPr>
          <w:spacing w:val="-10"/>
          <w:sz w:val="20"/>
        </w:rPr>
        <w:t xml:space="preserve"> </w:t>
      </w:r>
      <w:r>
        <w:rPr>
          <w:sz w:val="20"/>
        </w:rPr>
        <w:t>em:</w:t>
      </w:r>
      <w:r>
        <w:rPr>
          <w:spacing w:val="-5"/>
          <w:sz w:val="20"/>
        </w:rPr>
        <w:t xml:space="preserve"> </w:t>
      </w:r>
      <w:r>
        <w:rPr>
          <w:sz w:val="20"/>
        </w:rPr>
        <w:t>09</w:t>
      </w:r>
      <w:r>
        <w:rPr>
          <w:spacing w:val="-3"/>
          <w:sz w:val="20"/>
        </w:rPr>
        <w:t xml:space="preserve"> </w:t>
      </w:r>
      <w:r>
        <w:rPr>
          <w:sz w:val="20"/>
        </w:rPr>
        <w:t>jun.</w:t>
      </w:r>
      <w:r>
        <w:rPr>
          <w:spacing w:val="-4"/>
          <w:sz w:val="20"/>
        </w:rPr>
        <w:t xml:space="preserve"> </w:t>
      </w:r>
      <w:r>
        <w:rPr>
          <w:sz w:val="20"/>
        </w:rPr>
        <w:t>2024.</w:t>
      </w:r>
    </w:p>
    <w:p w:rsidR="007259F2" w:rsidRDefault="007259F2">
      <w:pPr>
        <w:rPr>
          <w:sz w:val="20"/>
        </w:rPr>
        <w:sectPr w:rsidR="007259F2">
          <w:pgSz w:w="11910" w:h="16840"/>
          <w:pgMar w:top="1600" w:right="708" w:bottom="1020" w:left="992" w:header="0" w:footer="820" w:gutter="0"/>
          <w:cols w:space="720"/>
        </w:sectPr>
      </w:pPr>
    </w:p>
    <w:p w:rsidR="007259F2" w:rsidRDefault="00E655B4">
      <w:pPr>
        <w:pStyle w:val="Corpodetexto"/>
        <w:spacing w:before="75"/>
        <w:ind w:right="420" w:firstLine="0"/>
      </w:pPr>
      <w:r>
        <w:lastRenderedPageBreak/>
        <w:t>também necessitava de um requisito temporal para que fosse legitimada, uma data-limite que representasse o termo a partir de onde o direito pudesse ser reconhecido. Tempos depois seria editada a medida provisória nº 2.220, em 04 de setembro de 2001, com as respectivas observações tecidas pela Presidência anteriormente.</w:t>
      </w:r>
    </w:p>
    <w:p w:rsidR="007259F2" w:rsidRDefault="00E655B4">
      <w:pPr>
        <w:pStyle w:val="Corpodetexto"/>
        <w:ind w:right="419"/>
      </w:pPr>
      <w:r>
        <w:t>Nesta parte, importa mencionar a emenda constitucional nº 32 de 2001. Sua importância pode ser observada quando se consideram as alterações realizadas no caput do</w:t>
      </w:r>
      <w:r>
        <w:rPr>
          <w:spacing w:val="40"/>
        </w:rPr>
        <w:t xml:space="preserve"> </w:t>
      </w:r>
      <w:r>
        <w:t>art.</w:t>
      </w:r>
      <w:r>
        <w:rPr>
          <w:spacing w:val="40"/>
        </w:rPr>
        <w:t xml:space="preserve"> </w:t>
      </w:r>
      <w:r>
        <w:t>62</w:t>
      </w:r>
      <w:r>
        <w:rPr>
          <w:spacing w:val="40"/>
        </w:rPr>
        <w:t xml:space="preserve"> </w:t>
      </w:r>
      <w:r>
        <w:t>da</w:t>
      </w:r>
      <w:r>
        <w:rPr>
          <w:spacing w:val="40"/>
        </w:rPr>
        <w:t xml:space="preserve"> </w:t>
      </w:r>
      <w:r>
        <w:t>Constituição</w:t>
      </w:r>
      <w:r>
        <w:rPr>
          <w:spacing w:val="40"/>
        </w:rPr>
        <w:t xml:space="preserve"> </w:t>
      </w:r>
      <w:r>
        <w:t>Federal,</w:t>
      </w:r>
      <w:r>
        <w:rPr>
          <w:spacing w:val="40"/>
        </w:rPr>
        <w:t xml:space="preserve"> </w:t>
      </w:r>
      <w:r>
        <w:t>sobretudo</w:t>
      </w:r>
      <w:r>
        <w:rPr>
          <w:spacing w:val="40"/>
        </w:rPr>
        <w:t xml:space="preserve"> </w:t>
      </w:r>
      <w:r>
        <w:t>no</w:t>
      </w:r>
      <w:r>
        <w:rPr>
          <w:spacing w:val="40"/>
        </w:rPr>
        <w:t xml:space="preserve"> </w:t>
      </w:r>
      <w:r>
        <w:t>estabelecimento</w:t>
      </w:r>
      <w:r>
        <w:rPr>
          <w:spacing w:val="40"/>
        </w:rPr>
        <w:t xml:space="preserve"> </w:t>
      </w:r>
      <w:r>
        <w:t>do</w:t>
      </w:r>
      <w:r>
        <w:rPr>
          <w:spacing w:val="40"/>
        </w:rPr>
        <w:t xml:space="preserve"> </w:t>
      </w:r>
      <w:r>
        <w:t>limite</w:t>
      </w:r>
      <w:r>
        <w:rPr>
          <w:spacing w:val="40"/>
        </w:rPr>
        <w:t xml:space="preserve"> </w:t>
      </w:r>
      <w:r>
        <w:t>temporal imposto à vigência desta espécie normativa. Previu-se, em contrapartida, que as medidas provisórias editadas até 11 de setembro de 2001 continuariam em vigor até que fossem posteriormente revogadas ou objeto de deliberação por parte do Congresso Nacional. Editada poucos dias antes da referida emenda, a medida provisória nº 2.220 foi abarcada pela supramencionada previsão, razão pela qual seus efeitos encontram-se perpetuados até que o Poder Legislativo federal delibere sobre o assunto.</w:t>
      </w:r>
    </w:p>
    <w:p w:rsidR="007259F2" w:rsidRDefault="00E655B4">
      <w:pPr>
        <w:pStyle w:val="Corpodetexto"/>
        <w:spacing w:before="1"/>
        <w:ind w:right="419"/>
      </w:pPr>
      <w:r>
        <w:t>A concessão especial de uso para fins de moradia é o instrumento jurídico criado para legitimar a posse daquele que cumpra os requisitos dispostos no art. 1º, caput,</w:t>
      </w:r>
      <w:r>
        <w:rPr>
          <w:spacing w:val="40"/>
        </w:rPr>
        <w:t xml:space="preserve"> </w:t>
      </w:r>
      <w:r>
        <w:t>do referido diploma. São eles: a) posse por cinco anos completada até 22 de dezembro de 2016, de forma ininterrupta e pacífica; b) de imóvel urbano público de até 250 m</w:t>
      </w:r>
      <w:r>
        <w:rPr>
          <w:vertAlign w:val="superscript"/>
        </w:rPr>
        <w:t>2</w:t>
      </w:r>
      <w:r>
        <w:t>, c) que seja usado para fins de moradia do possuidor ou de sua família e d) que este não tenha a propriedade de outro imóvel urbano ou rural. De acordo com Maria Sylvia Za- nella Di Pietro</w:t>
      </w:r>
      <w:r>
        <w:rPr>
          <w:vertAlign w:val="superscript"/>
        </w:rPr>
        <w:t>10</w:t>
      </w:r>
      <w:r>
        <w:t>, referida concessão seria o título jurídico individual e privado, utilizado pela Administração no intuito de regulamentar o uso exclusivo de bens públicos pelos particulares de acordo com a finalidade consentida e as condições fixadas. Pode ser vista, ademais, sob o conceito tradicional de concessão de uso, razão pela qual seria compreendida como o contrato administrativo sinalagmático, ato precário e marcado pela discricionariedade do Poder Público</w:t>
      </w:r>
    </w:p>
    <w:p w:rsidR="007259F2" w:rsidRDefault="00E655B4">
      <w:pPr>
        <w:pStyle w:val="Corpodetexto"/>
        <w:spacing w:before="1"/>
        <w:ind w:right="422"/>
      </w:pPr>
      <w:r>
        <w:t>José dos Santos Carvalho Filho, por outro lado, afirma que referida concessão surge como um ato administrativo vinculado. Isso pois, uma vez cumprido o suporte fático da</w:t>
      </w:r>
      <w:r>
        <w:rPr>
          <w:spacing w:val="40"/>
        </w:rPr>
        <w:t xml:space="preserve"> </w:t>
      </w:r>
      <w:r>
        <w:t>norma pelo particular, deve a Administração reconhecer este direito, visto que não possui qualquer espaço de discricionariedade fora das hipóteses dos artigos 4º e 5º da mencionada medida provisória. Sustenta o autor que a concessão especial de uso representa um direito- meio cujo objetivo é legitimar o mero uso por parte do particular do imóvel público, a fim de que se garanta o exercício do direito fim, qual seja o de mo- radia. Não se transfere, portanto,</w:t>
      </w:r>
      <w:r>
        <w:rPr>
          <w:spacing w:val="40"/>
        </w:rPr>
        <w:t xml:space="preserve"> </w:t>
      </w:r>
      <w:r>
        <w:t>a propriedade pública ao particular, mas o mero uso do local para o fim específico da norma.</w:t>
      </w:r>
    </w:p>
    <w:p w:rsidR="007259F2" w:rsidRDefault="00E655B4">
      <w:pPr>
        <w:pStyle w:val="Corpodetexto"/>
        <w:ind w:right="423"/>
      </w:pPr>
      <w:r>
        <w:t>A mencionada concessão é vista como direito subjetivo autônomo por muitos autores. Tal conclusão é construída a partir dos fatos que, além de ter sido reconhecida como direito real de uso</w:t>
      </w:r>
      <w:r>
        <w:rPr>
          <w:vertAlign w:val="superscript"/>
        </w:rPr>
        <w:t>11</w:t>
      </w:r>
      <w:r>
        <w:t>, esta é vista como sendo de caráter perpétuo ao concessionário, desde que cumpridas as condições estabelecidas, e ainda dotada de notável aspecto patrimonial, dado</w:t>
      </w:r>
      <w:r>
        <w:rPr>
          <w:spacing w:val="40"/>
        </w:rPr>
        <w:t xml:space="preserve"> </w:t>
      </w:r>
      <w:r>
        <w:t>que pode ser transmitida por ato</w:t>
      </w:r>
      <w:r>
        <w:rPr>
          <w:spacing w:val="40"/>
        </w:rPr>
        <w:t xml:space="preserve"> </w:t>
      </w:r>
      <w:r>
        <w:rPr>
          <w:i/>
        </w:rPr>
        <w:t xml:space="preserve">inter-vivos </w:t>
      </w:r>
      <w:r>
        <w:t xml:space="preserve">ou </w:t>
      </w:r>
      <w:r>
        <w:rPr>
          <w:i/>
        </w:rPr>
        <w:t xml:space="preserve">causa-mortis </w:t>
      </w:r>
      <w:r>
        <w:t>(vide art. 7º da medida</w:t>
      </w:r>
      <w:r>
        <w:rPr>
          <w:spacing w:val="40"/>
        </w:rPr>
        <w:t xml:space="preserve"> </w:t>
      </w:r>
      <w:r>
        <w:t>provisória nº 2.220/2001). Sobre as formas desta transmissibilidade, tem- se que na ausência de previsão expressa na norma, conclui-se pela admissão de qualquer espécie de alienação, como doação, permuta ou venda, desde que o imóvel continue sendo usado para fins de moradia.</w:t>
      </w:r>
      <w:r>
        <w:rPr>
          <w:vertAlign w:val="superscript"/>
        </w:rPr>
        <w:t>12</w:t>
      </w:r>
      <w:r>
        <w:t xml:space="preserve"> Pode possuir, ademais, tanto natureza individual, quanto coletiva, dado que, na hipótese</w:t>
      </w:r>
      <w:r>
        <w:rPr>
          <w:spacing w:val="13"/>
        </w:rPr>
        <w:t xml:space="preserve"> </w:t>
      </w:r>
      <w:r>
        <w:t>de</w:t>
      </w:r>
      <w:r>
        <w:rPr>
          <w:spacing w:val="13"/>
        </w:rPr>
        <w:t xml:space="preserve"> </w:t>
      </w:r>
      <w:r>
        <w:t>haver</w:t>
      </w:r>
      <w:r>
        <w:rPr>
          <w:spacing w:val="15"/>
        </w:rPr>
        <w:t xml:space="preserve"> </w:t>
      </w:r>
      <w:r>
        <w:t>imóvel</w:t>
      </w:r>
      <w:r>
        <w:rPr>
          <w:spacing w:val="15"/>
        </w:rPr>
        <w:t xml:space="preserve"> </w:t>
      </w:r>
      <w:r>
        <w:t>público</w:t>
      </w:r>
      <w:r>
        <w:rPr>
          <w:spacing w:val="14"/>
        </w:rPr>
        <w:t xml:space="preserve"> </w:t>
      </w:r>
      <w:r>
        <w:t>com</w:t>
      </w:r>
      <w:r>
        <w:rPr>
          <w:spacing w:val="14"/>
        </w:rPr>
        <w:t xml:space="preserve"> </w:t>
      </w:r>
      <w:r>
        <w:t>mais</w:t>
      </w:r>
      <w:r>
        <w:rPr>
          <w:spacing w:val="14"/>
        </w:rPr>
        <w:t xml:space="preserve"> </w:t>
      </w:r>
      <w:r>
        <w:t>de</w:t>
      </w:r>
      <w:r>
        <w:rPr>
          <w:spacing w:val="15"/>
        </w:rPr>
        <w:t xml:space="preserve"> </w:t>
      </w:r>
      <w:r>
        <w:t>250m</w:t>
      </w:r>
      <w:r>
        <w:rPr>
          <w:vertAlign w:val="superscript"/>
        </w:rPr>
        <w:t>2</w:t>
      </w:r>
      <w:r>
        <w:rPr>
          <w:spacing w:val="15"/>
        </w:rPr>
        <w:t xml:space="preserve"> </w:t>
      </w:r>
      <w:r>
        <w:t>ocupado</w:t>
      </w:r>
      <w:r>
        <w:rPr>
          <w:spacing w:val="14"/>
        </w:rPr>
        <w:t xml:space="preserve"> </w:t>
      </w:r>
      <w:r>
        <w:t>por</w:t>
      </w:r>
      <w:r>
        <w:rPr>
          <w:spacing w:val="13"/>
        </w:rPr>
        <w:t xml:space="preserve"> </w:t>
      </w:r>
      <w:r>
        <w:t>mais</w:t>
      </w:r>
      <w:r>
        <w:rPr>
          <w:spacing w:val="15"/>
        </w:rPr>
        <w:t xml:space="preserve"> </w:t>
      </w:r>
      <w:r>
        <w:t>de</w:t>
      </w:r>
      <w:r>
        <w:rPr>
          <w:spacing w:val="13"/>
        </w:rPr>
        <w:t xml:space="preserve"> </w:t>
      </w:r>
      <w:r>
        <w:t>um</w:t>
      </w:r>
      <w:r>
        <w:rPr>
          <w:spacing w:val="14"/>
        </w:rPr>
        <w:t xml:space="preserve"> </w:t>
      </w:r>
      <w:r>
        <w:t>possuidor</w:t>
      </w:r>
      <w:r>
        <w:rPr>
          <w:spacing w:val="13"/>
        </w:rPr>
        <w:t xml:space="preserve"> </w:t>
      </w:r>
      <w:r>
        <w:rPr>
          <w:spacing w:val="-5"/>
        </w:rPr>
        <w:t>de</w:t>
      </w:r>
    </w:p>
    <w:p w:rsidR="007259F2" w:rsidRDefault="007259F2">
      <w:pPr>
        <w:pStyle w:val="Corpodetexto"/>
        <w:ind w:left="0" w:firstLine="0"/>
        <w:jc w:val="left"/>
        <w:rPr>
          <w:sz w:val="20"/>
        </w:rPr>
      </w:pPr>
    </w:p>
    <w:p w:rsidR="007259F2" w:rsidRDefault="00DE6B1C">
      <w:pPr>
        <w:pStyle w:val="Corpodetexto"/>
        <w:spacing w:before="209"/>
        <w:ind w:left="0" w:firstLine="0"/>
        <w:jc w:val="left"/>
        <w:rPr>
          <w:sz w:val="20"/>
        </w:rPr>
      </w:pPr>
      <w:r w:rsidRPr="00DE6B1C">
        <w:rPr>
          <w:sz w:val="20"/>
        </w:rPr>
        <w:pict>
          <v:rect id="docshape155" o:spid="_x0000_s1072" style="position:absolute;margin-left:85.1pt;margin-top:23.15pt;width:2in;height:.7pt;z-index:-15659520;mso-wrap-distance-left:0;mso-wrap-distance-right:0;mso-position-horizontal-relative:page" fillcolor="black" stroked="f">
            <w10:wrap type="topAndBottom" anchorx="page"/>
          </v:rect>
        </w:pict>
      </w:r>
    </w:p>
    <w:p w:rsidR="007259F2" w:rsidRDefault="00E655B4">
      <w:pPr>
        <w:spacing w:before="96"/>
        <w:ind w:left="710"/>
        <w:rPr>
          <w:sz w:val="20"/>
        </w:rPr>
      </w:pPr>
      <w:r>
        <w:rPr>
          <w:sz w:val="20"/>
          <w:vertAlign w:val="superscript"/>
        </w:rPr>
        <w:t>10</w:t>
      </w:r>
      <w:r>
        <w:rPr>
          <w:spacing w:val="26"/>
          <w:sz w:val="20"/>
        </w:rPr>
        <w:t xml:space="preserve"> </w:t>
      </w:r>
      <w:r>
        <w:rPr>
          <w:sz w:val="20"/>
        </w:rPr>
        <w:t>DI</w:t>
      </w:r>
      <w:r>
        <w:rPr>
          <w:spacing w:val="24"/>
          <w:sz w:val="20"/>
        </w:rPr>
        <w:t xml:space="preserve"> </w:t>
      </w:r>
      <w:r>
        <w:rPr>
          <w:sz w:val="20"/>
        </w:rPr>
        <w:t>PIETRO,</w:t>
      </w:r>
      <w:r>
        <w:rPr>
          <w:spacing w:val="40"/>
          <w:sz w:val="20"/>
        </w:rPr>
        <w:t xml:space="preserve"> </w:t>
      </w:r>
      <w:r>
        <w:rPr>
          <w:sz w:val="20"/>
        </w:rPr>
        <w:t>Maria</w:t>
      </w:r>
      <w:r>
        <w:rPr>
          <w:spacing w:val="40"/>
          <w:sz w:val="20"/>
        </w:rPr>
        <w:t xml:space="preserve"> </w:t>
      </w:r>
      <w:r>
        <w:rPr>
          <w:sz w:val="20"/>
        </w:rPr>
        <w:t>Sylvia</w:t>
      </w:r>
      <w:r>
        <w:rPr>
          <w:spacing w:val="40"/>
          <w:sz w:val="20"/>
        </w:rPr>
        <w:t xml:space="preserve"> </w:t>
      </w:r>
      <w:r>
        <w:rPr>
          <w:sz w:val="20"/>
        </w:rPr>
        <w:t>Zanella.</w:t>
      </w:r>
      <w:r>
        <w:rPr>
          <w:spacing w:val="40"/>
          <w:sz w:val="20"/>
        </w:rPr>
        <w:t xml:space="preserve"> </w:t>
      </w:r>
      <w:r>
        <w:rPr>
          <w:b/>
          <w:sz w:val="20"/>
        </w:rPr>
        <w:t>Direito</w:t>
      </w:r>
      <w:r>
        <w:rPr>
          <w:b/>
          <w:spacing w:val="14"/>
          <w:sz w:val="20"/>
        </w:rPr>
        <w:t xml:space="preserve"> </w:t>
      </w:r>
      <w:r>
        <w:rPr>
          <w:b/>
          <w:sz w:val="20"/>
        </w:rPr>
        <w:t>Administrativo</w:t>
      </w:r>
      <w:r>
        <w:rPr>
          <w:sz w:val="20"/>
        </w:rPr>
        <w:t>.</w:t>
      </w:r>
      <w:r>
        <w:rPr>
          <w:spacing w:val="40"/>
          <w:sz w:val="20"/>
        </w:rPr>
        <w:t xml:space="preserve"> </w:t>
      </w:r>
      <w:r>
        <w:rPr>
          <w:sz w:val="20"/>
        </w:rPr>
        <w:t>31.</w:t>
      </w:r>
      <w:r>
        <w:rPr>
          <w:spacing w:val="40"/>
          <w:sz w:val="20"/>
        </w:rPr>
        <w:t xml:space="preserve"> </w:t>
      </w:r>
      <w:r>
        <w:rPr>
          <w:sz w:val="20"/>
        </w:rPr>
        <w:t>Ed.</w:t>
      </w:r>
      <w:r>
        <w:rPr>
          <w:spacing w:val="40"/>
          <w:sz w:val="20"/>
        </w:rPr>
        <w:t xml:space="preserve"> </w:t>
      </w:r>
      <w:r>
        <w:rPr>
          <w:sz w:val="20"/>
        </w:rPr>
        <w:t>ver.</w:t>
      </w:r>
      <w:r>
        <w:rPr>
          <w:spacing w:val="26"/>
          <w:sz w:val="20"/>
        </w:rPr>
        <w:t xml:space="preserve"> </w:t>
      </w:r>
      <w:r>
        <w:rPr>
          <w:sz w:val="20"/>
        </w:rPr>
        <w:t>atual</w:t>
      </w:r>
      <w:r>
        <w:rPr>
          <w:spacing w:val="40"/>
          <w:sz w:val="20"/>
        </w:rPr>
        <w:t xml:space="preserve"> </w:t>
      </w:r>
      <w:r>
        <w:rPr>
          <w:sz w:val="20"/>
        </w:rPr>
        <w:t>e</w:t>
      </w:r>
      <w:r>
        <w:rPr>
          <w:spacing w:val="40"/>
          <w:sz w:val="20"/>
        </w:rPr>
        <w:t xml:space="preserve"> </w:t>
      </w:r>
      <w:r>
        <w:rPr>
          <w:sz w:val="20"/>
        </w:rPr>
        <w:t>ampl.</w:t>
      </w:r>
      <w:r>
        <w:rPr>
          <w:spacing w:val="40"/>
          <w:sz w:val="20"/>
        </w:rPr>
        <w:t xml:space="preserve"> </w:t>
      </w:r>
      <w:r>
        <w:rPr>
          <w:sz w:val="20"/>
        </w:rPr>
        <w:t>Rio</w:t>
      </w:r>
      <w:r>
        <w:rPr>
          <w:spacing w:val="40"/>
          <w:sz w:val="20"/>
        </w:rPr>
        <w:t xml:space="preserve"> </w:t>
      </w:r>
      <w:r>
        <w:rPr>
          <w:sz w:val="20"/>
        </w:rPr>
        <w:t>de</w:t>
      </w:r>
      <w:r>
        <w:rPr>
          <w:spacing w:val="40"/>
          <w:sz w:val="20"/>
        </w:rPr>
        <w:t xml:space="preserve"> </w:t>
      </w:r>
      <w:r>
        <w:rPr>
          <w:sz w:val="20"/>
        </w:rPr>
        <w:t>Janeiro: Forense, 2018, p. 872.</w:t>
      </w:r>
    </w:p>
    <w:p w:rsidR="007259F2" w:rsidRDefault="00E655B4">
      <w:pPr>
        <w:ind w:left="710" w:right="1404"/>
        <w:rPr>
          <w:sz w:val="20"/>
        </w:rPr>
      </w:pPr>
      <w:r>
        <w:rPr>
          <w:sz w:val="20"/>
          <w:vertAlign w:val="superscript"/>
        </w:rPr>
        <w:t>11</w:t>
      </w:r>
      <w:r>
        <w:rPr>
          <w:sz w:val="20"/>
        </w:rPr>
        <w:t xml:space="preserve"> BRASIL. Congresso Nacional.</w:t>
      </w:r>
      <w:r>
        <w:rPr>
          <w:spacing w:val="80"/>
          <w:sz w:val="20"/>
        </w:rPr>
        <w:t xml:space="preserve"> </w:t>
      </w:r>
      <w:r>
        <w:rPr>
          <w:b/>
          <w:sz w:val="20"/>
        </w:rPr>
        <w:t>Lei nº 11.481, de 31 de maio de 2007</w:t>
      </w:r>
      <w:r>
        <w:rPr>
          <w:sz w:val="20"/>
        </w:rPr>
        <w:t>. Disponível em: https:/</w:t>
      </w:r>
      <w:hyperlink r:id="rId205">
        <w:r>
          <w:rPr>
            <w:sz w:val="20"/>
          </w:rPr>
          <w:t>/</w:t>
        </w:r>
        <w:r>
          <w:rPr>
            <w:color w:val="0000FF"/>
            <w:sz w:val="20"/>
            <w:u w:val="single" w:color="0000FF"/>
          </w:rPr>
          <w:t>www.planalto.gov.br/ccivil_03/_ato2007-2010/2007/lei/l11481.htm</w:t>
        </w:r>
        <w:r>
          <w:rPr>
            <w:sz w:val="20"/>
          </w:rPr>
          <w:t>.</w:t>
        </w:r>
      </w:hyperlink>
      <w:r>
        <w:rPr>
          <w:spacing w:val="-13"/>
          <w:sz w:val="20"/>
        </w:rPr>
        <w:t xml:space="preserve"> </w:t>
      </w:r>
      <w:r>
        <w:rPr>
          <w:sz w:val="20"/>
        </w:rPr>
        <w:t>Acesso</w:t>
      </w:r>
      <w:r>
        <w:rPr>
          <w:spacing w:val="-12"/>
          <w:sz w:val="20"/>
        </w:rPr>
        <w:t xml:space="preserve"> </w:t>
      </w:r>
      <w:r>
        <w:rPr>
          <w:sz w:val="20"/>
        </w:rPr>
        <w:t>em:</w:t>
      </w:r>
      <w:r>
        <w:rPr>
          <w:spacing w:val="-13"/>
          <w:sz w:val="20"/>
        </w:rPr>
        <w:t xml:space="preserve"> </w:t>
      </w:r>
      <w:r>
        <w:rPr>
          <w:sz w:val="20"/>
        </w:rPr>
        <w:t>01</w:t>
      </w:r>
      <w:r>
        <w:rPr>
          <w:spacing w:val="-12"/>
          <w:sz w:val="20"/>
        </w:rPr>
        <w:t xml:space="preserve"> </w:t>
      </w:r>
      <w:r>
        <w:rPr>
          <w:sz w:val="20"/>
        </w:rPr>
        <w:t>jun.</w:t>
      </w:r>
      <w:r>
        <w:rPr>
          <w:spacing w:val="-13"/>
          <w:sz w:val="20"/>
        </w:rPr>
        <w:t xml:space="preserve"> </w:t>
      </w:r>
      <w:r>
        <w:rPr>
          <w:sz w:val="20"/>
        </w:rPr>
        <w:t>2024.</w:t>
      </w:r>
    </w:p>
    <w:p w:rsidR="007259F2" w:rsidRDefault="00E655B4">
      <w:pPr>
        <w:ind w:left="710" w:right="422"/>
        <w:jc w:val="both"/>
        <w:rPr>
          <w:sz w:val="20"/>
        </w:rPr>
      </w:pPr>
      <w:r>
        <w:rPr>
          <w:sz w:val="20"/>
          <w:vertAlign w:val="superscript"/>
        </w:rPr>
        <w:t>12</w:t>
      </w:r>
      <w:r>
        <w:rPr>
          <w:sz w:val="20"/>
        </w:rPr>
        <w:t xml:space="preserve"> LISBOA, José Herbert Luna. </w:t>
      </w:r>
      <w:r>
        <w:rPr>
          <w:b/>
          <w:sz w:val="20"/>
        </w:rPr>
        <w:t>A Concessão de Uso Especial para Fins de Moradia e a Regularização Fundiária</w:t>
      </w:r>
      <w:r>
        <w:rPr>
          <w:sz w:val="20"/>
        </w:rPr>
        <w:t>: Institutos Jurídicos da Política Urbana, nos termos da lei nº 13.465/2017. São Paulo: Editora Dialética, 2022.</w:t>
      </w:r>
    </w:p>
    <w:p w:rsidR="007259F2" w:rsidRDefault="007259F2">
      <w:pPr>
        <w:jc w:val="both"/>
        <w:rPr>
          <w:sz w:val="20"/>
        </w:rPr>
        <w:sectPr w:rsidR="007259F2">
          <w:pgSz w:w="11910" w:h="16840"/>
          <w:pgMar w:top="1600" w:right="708" w:bottom="1020" w:left="992" w:header="0" w:footer="820" w:gutter="0"/>
          <w:cols w:space="720"/>
        </w:sectPr>
      </w:pPr>
    </w:p>
    <w:p w:rsidR="007259F2" w:rsidRDefault="00E655B4">
      <w:pPr>
        <w:pStyle w:val="Corpodetexto"/>
        <w:spacing w:before="75"/>
        <w:ind w:right="426" w:firstLine="0"/>
      </w:pPr>
      <w:r>
        <w:lastRenderedPageBreak/>
        <w:t>baixa renda, e não sendo possível estipular a delimitação da posse de cada um a priori, poderá ser outorgada a concessão de uso especial para todos que ali residam.</w:t>
      </w:r>
    </w:p>
    <w:p w:rsidR="007259F2" w:rsidRDefault="00E655B4">
      <w:pPr>
        <w:pStyle w:val="Corpodetexto"/>
        <w:ind w:right="420"/>
      </w:pPr>
      <w:r>
        <w:t>O direito a concessão de uso especial pode derivar de dois caminhos distintos: do requerimento realizado perante</w:t>
      </w:r>
      <w:r>
        <w:rPr>
          <w:spacing w:val="-1"/>
        </w:rPr>
        <w:t xml:space="preserve"> </w:t>
      </w:r>
      <w:r>
        <w:t>o órgão administrativo competente</w:t>
      </w:r>
      <w:r>
        <w:rPr>
          <w:spacing w:val="-1"/>
        </w:rPr>
        <w:t xml:space="preserve"> </w:t>
      </w:r>
      <w:r>
        <w:t>ou de</w:t>
      </w:r>
      <w:r>
        <w:rPr>
          <w:spacing w:val="-1"/>
        </w:rPr>
        <w:t xml:space="preserve"> </w:t>
      </w:r>
      <w:r>
        <w:t>ação perante</w:t>
      </w:r>
      <w:r>
        <w:rPr>
          <w:spacing w:val="-1"/>
        </w:rPr>
        <w:t xml:space="preserve"> </w:t>
      </w:r>
      <w:r>
        <w:t>o Poder Judiciário. Pela via administrativa, deve o interessado efetuar o requerimento perante o órgão competente</w:t>
      </w:r>
      <w:r>
        <w:rPr>
          <w:spacing w:val="-3"/>
        </w:rPr>
        <w:t xml:space="preserve"> </w:t>
      </w:r>
      <w:r>
        <w:t>do</w:t>
      </w:r>
      <w:r>
        <w:rPr>
          <w:spacing w:val="-1"/>
        </w:rPr>
        <w:t xml:space="preserve"> </w:t>
      </w:r>
      <w:r>
        <w:t>ente</w:t>
      </w:r>
      <w:r>
        <w:rPr>
          <w:spacing w:val="-3"/>
        </w:rPr>
        <w:t xml:space="preserve"> </w:t>
      </w:r>
      <w:r>
        <w:t>federado</w:t>
      </w:r>
      <w:r>
        <w:rPr>
          <w:spacing w:val="-1"/>
        </w:rPr>
        <w:t xml:space="preserve"> </w:t>
      </w:r>
      <w:r>
        <w:t>proprietário do</w:t>
      </w:r>
      <w:r>
        <w:rPr>
          <w:spacing w:val="-2"/>
        </w:rPr>
        <w:t xml:space="preserve"> </w:t>
      </w:r>
      <w:r>
        <w:t>imóvel,</w:t>
      </w:r>
      <w:r>
        <w:rPr>
          <w:spacing w:val="-2"/>
        </w:rPr>
        <w:t xml:space="preserve"> </w:t>
      </w:r>
      <w:r>
        <w:t>que</w:t>
      </w:r>
      <w:r>
        <w:rPr>
          <w:spacing w:val="-3"/>
        </w:rPr>
        <w:t xml:space="preserve"> </w:t>
      </w:r>
      <w:r>
        <w:t>terá</w:t>
      </w:r>
      <w:r>
        <w:rPr>
          <w:spacing w:val="-3"/>
        </w:rPr>
        <w:t xml:space="preserve"> </w:t>
      </w:r>
      <w:r>
        <w:t>o</w:t>
      </w:r>
      <w:r>
        <w:rPr>
          <w:spacing w:val="-2"/>
        </w:rPr>
        <w:t xml:space="preserve"> </w:t>
      </w:r>
      <w:r>
        <w:t>prazo</w:t>
      </w:r>
      <w:r>
        <w:rPr>
          <w:spacing w:val="-3"/>
        </w:rPr>
        <w:t xml:space="preserve"> </w:t>
      </w:r>
      <w:r>
        <w:t>de</w:t>
      </w:r>
      <w:r>
        <w:rPr>
          <w:spacing w:val="-2"/>
        </w:rPr>
        <w:t xml:space="preserve"> </w:t>
      </w:r>
      <w:r>
        <w:t>doze</w:t>
      </w:r>
      <w:r>
        <w:rPr>
          <w:spacing w:val="-2"/>
        </w:rPr>
        <w:t xml:space="preserve"> </w:t>
      </w:r>
      <w:r>
        <w:t>meses,</w:t>
      </w:r>
      <w:r>
        <w:rPr>
          <w:spacing w:val="-3"/>
        </w:rPr>
        <w:t xml:space="preserve"> </w:t>
      </w:r>
      <w:r>
        <w:t>contados a partir da data do protocolo do pedido, para opinar sobre o pleito. Havendo recusa ou</w:t>
      </w:r>
      <w:r>
        <w:rPr>
          <w:spacing w:val="40"/>
        </w:rPr>
        <w:t xml:space="preserve"> </w:t>
      </w:r>
      <w:r>
        <w:t>omissão da Administração Pública quanto ao pedido realizado, surge para o possuidor o interesse</w:t>
      </w:r>
      <w:r>
        <w:rPr>
          <w:spacing w:val="-3"/>
        </w:rPr>
        <w:t xml:space="preserve"> </w:t>
      </w:r>
      <w:r>
        <w:t>processual</w:t>
      </w:r>
      <w:r>
        <w:rPr>
          <w:spacing w:val="-3"/>
        </w:rPr>
        <w:t xml:space="preserve"> </w:t>
      </w:r>
      <w:r>
        <w:t>para</w:t>
      </w:r>
      <w:r>
        <w:rPr>
          <w:spacing w:val="-2"/>
        </w:rPr>
        <w:t xml:space="preserve"> </w:t>
      </w:r>
      <w:r>
        <w:t>ingressar</w:t>
      </w:r>
      <w:r>
        <w:rPr>
          <w:spacing w:val="-2"/>
        </w:rPr>
        <w:t xml:space="preserve"> </w:t>
      </w:r>
      <w:r>
        <w:t>com</w:t>
      </w:r>
      <w:r>
        <w:rPr>
          <w:spacing w:val="-3"/>
        </w:rPr>
        <w:t xml:space="preserve"> </w:t>
      </w:r>
      <w:r>
        <w:t>a</w:t>
      </w:r>
      <w:r>
        <w:rPr>
          <w:spacing w:val="-2"/>
        </w:rPr>
        <w:t xml:space="preserve"> </w:t>
      </w:r>
      <w:r>
        <w:t>respectiva</w:t>
      </w:r>
      <w:r>
        <w:rPr>
          <w:spacing w:val="-4"/>
        </w:rPr>
        <w:t xml:space="preserve"> </w:t>
      </w:r>
      <w:r>
        <w:t>ação</w:t>
      </w:r>
      <w:r>
        <w:rPr>
          <w:spacing w:val="-3"/>
        </w:rPr>
        <w:t xml:space="preserve"> </w:t>
      </w:r>
      <w:r>
        <w:t>judicial</w:t>
      </w:r>
      <w:r>
        <w:rPr>
          <w:spacing w:val="-3"/>
        </w:rPr>
        <w:t xml:space="preserve"> </w:t>
      </w:r>
      <w:r>
        <w:t>de</w:t>
      </w:r>
      <w:r>
        <w:rPr>
          <w:spacing w:val="-2"/>
        </w:rPr>
        <w:t xml:space="preserve"> </w:t>
      </w:r>
      <w:r>
        <w:t>natureza</w:t>
      </w:r>
      <w:r>
        <w:rPr>
          <w:spacing w:val="-6"/>
        </w:rPr>
        <w:t xml:space="preserve"> </w:t>
      </w:r>
      <w:r>
        <w:t>declaratória</w:t>
      </w:r>
      <w:r>
        <w:rPr>
          <w:spacing w:val="-6"/>
        </w:rPr>
        <w:t xml:space="preserve"> </w:t>
      </w:r>
      <w:r>
        <w:t>(§3º do art. 6º da M.P. nº 2.220/2201). A outorga administrativa será feita por contrato ou termo administrativo,</w:t>
      </w:r>
      <w:r>
        <w:rPr>
          <w:spacing w:val="37"/>
        </w:rPr>
        <w:t xml:space="preserve"> </w:t>
      </w:r>
      <w:r>
        <w:t>enquanto</w:t>
      </w:r>
      <w:r>
        <w:rPr>
          <w:spacing w:val="40"/>
        </w:rPr>
        <w:t xml:space="preserve"> </w:t>
      </w:r>
      <w:r>
        <w:t>pela</w:t>
      </w:r>
      <w:r>
        <w:rPr>
          <w:spacing w:val="35"/>
        </w:rPr>
        <w:t xml:space="preserve"> </w:t>
      </w:r>
      <w:r>
        <w:t>via</w:t>
      </w:r>
      <w:r>
        <w:rPr>
          <w:spacing w:val="35"/>
        </w:rPr>
        <w:t xml:space="preserve"> </w:t>
      </w:r>
      <w:r>
        <w:t>judicial</w:t>
      </w:r>
      <w:r>
        <w:rPr>
          <w:spacing w:val="37"/>
        </w:rPr>
        <w:t xml:space="preserve"> </w:t>
      </w:r>
      <w:r>
        <w:t>a sentença que julgar procedente o pedido poderá ser constitutiva, quando desconsiderar a decisão administrativa atacada, ou declaratória, quando o pleito judicial derivar de omissão do Poder Público. Ambos os termos poderão ser registrados perante o cartório de imóveis competente (vide art. 167, inciso I, item 37 da lei nº 6.015, de 31 de dezembro de 1973).</w:t>
      </w:r>
    </w:p>
    <w:p w:rsidR="007259F2" w:rsidRDefault="00E655B4">
      <w:pPr>
        <w:pStyle w:val="Corpodetexto"/>
        <w:spacing w:before="1"/>
        <w:ind w:right="417"/>
      </w:pPr>
      <w:r>
        <w:t>O referido direito poderá ser extinto, conforme previsto na medida provisória em análise, pela atribuição de finalidade diversa da norma ao imóvel pelo possuidor, ou no caso de que este adquira a propriedade ou concessão de uso de outro imóvel, seja ele urbano ou rural. José Herbert Luna Lisboa argumenta pela possibilidade de extinção do instituto por outras</w:t>
      </w:r>
      <w:r>
        <w:rPr>
          <w:spacing w:val="-3"/>
        </w:rPr>
        <w:t xml:space="preserve"> </w:t>
      </w:r>
      <w:r>
        <w:t>formas,</w:t>
      </w:r>
      <w:r>
        <w:rPr>
          <w:spacing w:val="-1"/>
        </w:rPr>
        <w:t xml:space="preserve"> </w:t>
      </w:r>
      <w:r>
        <w:t>como</w:t>
      </w:r>
      <w:r>
        <w:rPr>
          <w:spacing w:val="-3"/>
        </w:rPr>
        <w:t xml:space="preserve"> </w:t>
      </w:r>
      <w:r>
        <w:t>no</w:t>
      </w:r>
      <w:r>
        <w:rPr>
          <w:spacing w:val="-1"/>
        </w:rPr>
        <w:t xml:space="preserve"> </w:t>
      </w:r>
      <w:r>
        <w:t>caso</w:t>
      </w:r>
      <w:r>
        <w:rPr>
          <w:spacing w:val="-2"/>
        </w:rPr>
        <w:t xml:space="preserve"> </w:t>
      </w:r>
      <w:r>
        <w:t>de</w:t>
      </w:r>
      <w:r>
        <w:rPr>
          <w:spacing w:val="-2"/>
        </w:rPr>
        <w:t xml:space="preserve"> </w:t>
      </w:r>
      <w:r>
        <w:t>renúncia</w:t>
      </w:r>
      <w:r>
        <w:rPr>
          <w:spacing w:val="-4"/>
        </w:rPr>
        <w:t xml:space="preserve"> </w:t>
      </w:r>
      <w:r>
        <w:t>expressa</w:t>
      </w:r>
      <w:r>
        <w:rPr>
          <w:spacing w:val="-1"/>
        </w:rPr>
        <w:t xml:space="preserve"> </w:t>
      </w:r>
      <w:r>
        <w:t>do</w:t>
      </w:r>
      <w:r>
        <w:rPr>
          <w:spacing w:val="-3"/>
        </w:rPr>
        <w:t xml:space="preserve"> </w:t>
      </w:r>
      <w:r>
        <w:t>direito</w:t>
      </w:r>
      <w:r>
        <w:rPr>
          <w:spacing w:val="-3"/>
        </w:rPr>
        <w:t xml:space="preserve"> </w:t>
      </w:r>
      <w:r>
        <w:t>pelo</w:t>
      </w:r>
      <w:r>
        <w:rPr>
          <w:spacing w:val="-3"/>
        </w:rPr>
        <w:t xml:space="preserve"> </w:t>
      </w:r>
      <w:r>
        <w:t>possuidor</w:t>
      </w:r>
      <w:r>
        <w:rPr>
          <w:spacing w:val="-3"/>
        </w:rPr>
        <w:t xml:space="preserve"> </w:t>
      </w:r>
      <w:r>
        <w:t>ou</w:t>
      </w:r>
      <w:r>
        <w:rPr>
          <w:spacing w:val="-1"/>
        </w:rPr>
        <w:t xml:space="preserve"> </w:t>
      </w:r>
      <w:r>
        <w:t>na</w:t>
      </w:r>
      <w:r>
        <w:rPr>
          <w:spacing w:val="-2"/>
        </w:rPr>
        <w:t xml:space="preserve"> </w:t>
      </w:r>
      <w:r>
        <w:t>hipótese</w:t>
      </w:r>
      <w:r>
        <w:rPr>
          <w:spacing w:val="-2"/>
        </w:rPr>
        <w:t xml:space="preserve"> </w:t>
      </w:r>
      <w:r>
        <w:t>em que o ente federativo reaver a posse da área pública em razão de relevante interesse público, situação esta que poderá ensejar na realocação do interessado ou ainda em eventual indenização para o morador.</w:t>
      </w:r>
    </w:p>
    <w:p w:rsidR="007259F2" w:rsidRDefault="00E655B4">
      <w:pPr>
        <w:pStyle w:val="Corpodetexto"/>
        <w:spacing w:before="1"/>
        <w:ind w:right="420"/>
      </w:pPr>
      <w:r>
        <w:t>Aborda-se, por fim, os questionamentos enfrentados pelo instituto à luz da jurisprudência</w:t>
      </w:r>
      <w:r>
        <w:rPr>
          <w:spacing w:val="40"/>
        </w:rPr>
        <w:t xml:space="preserve"> </w:t>
      </w:r>
      <w:r>
        <w:t>do</w:t>
      </w:r>
      <w:r>
        <w:rPr>
          <w:spacing w:val="40"/>
        </w:rPr>
        <w:t xml:space="preserve"> </w:t>
      </w:r>
      <w:r>
        <w:t>Tribunal</w:t>
      </w:r>
      <w:r>
        <w:rPr>
          <w:spacing w:val="40"/>
        </w:rPr>
        <w:t xml:space="preserve"> </w:t>
      </w:r>
      <w:r>
        <w:t>de</w:t>
      </w:r>
      <w:r>
        <w:rPr>
          <w:spacing w:val="40"/>
        </w:rPr>
        <w:t xml:space="preserve"> </w:t>
      </w:r>
      <w:r>
        <w:t>Justiça</w:t>
      </w:r>
      <w:r>
        <w:rPr>
          <w:spacing w:val="40"/>
        </w:rPr>
        <w:t xml:space="preserve"> </w:t>
      </w:r>
      <w:r>
        <w:t>de</w:t>
      </w:r>
      <w:r>
        <w:rPr>
          <w:spacing w:val="40"/>
        </w:rPr>
        <w:t xml:space="preserve"> </w:t>
      </w:r>
      <w:r>
        <w:t>São</w:t>
      </w:r>
      <w:r>
        <w:rPr>
          <w:spacing w:val="40"/>
        </w:rPr>
        <w:t xml:space="preserve"> </w:t>
      </w:r>
      <w:r>
        <w:t>Paulo.</w:t>
      </w:r>
      <w:r>
        <w:rPr>
          <w:spacing w:val="40"/>
        </w:rPr>
        <w:t xml:space="preserve"> </w:t>
      </w:r>
      <w:r>
        <w:t>O</w:t>
      </w:r>
      <w:r>
        <w:rPr>
          <w:spacing w:val="40"/>
        </w:rPr>
        <w:t xml:space="preserve"> </w:t>
      </w:r>
      <w:r>
        <w:t>principal</w:t>
      </w:r>
      <w:r>
        <w:rPr>
          <w:spacing w:val="40"/>
        </w:rPr>
        <w:t xml:space="preserve"> </w:t>
      </w:r>
      <w:r>
        <w:t>dispositivo</w:t>
      </w:r>
      <w:r>
        <w:rPr>
          <w:spacing w:val="40"/>
        </w:rPr>
        <w:t xml:space="preserve"> </w:t>
      </w:r>
      <w:r>
        <w:t>impugnado fora o art. 3º da M.P. estudada, que dispunha que o instituto também seria aplicável aos bens de propriedade dos Estados, Distrito Federal e Municípios. O principal argumento utilizado por aqueles que argumentavam pela inconstitucionalidade da norma fora o desrespeito ao pacto federativo presente no texto constitucional, bem como violação da competência legislativa concorrente dos entes supramencionados, visto que tal matéria não poderia ser tratada exclusivamente pela União. O precedente firmado entre os anos de 2010 e 2012 acolheu os argumentos mencionados e</w:t>
      </w:r>
      <w:r>
        <w:rPr>
          <w:spacing w:val="-1"/>
        </w:rPr>
        <w:t xml:space="preserve"> </w:t>
      </w:r>
      <w:r>
        <w:t>reconheceu a</w:t>
      </w:r>
      <w:r>
        <w:rPr>
          <w:spacing w:val="-1"/>
        </w:rPr>
        <w:t xml:space="preserve"> </w:t>
      </w:r>
      <w:r>
        <w:t>inconstitucionalidade</w:t>
      </w:r>
      <w:r>
        <w:rPr>
          <w:spacing w:val="-1"/>
        </w:rPr>
        <w:t xml:space="preserve"> </w:t>
      </w:r>
      <w:r>
        <w:t>alegada.</w:t>
      </w:r>
      <w:r>
        <w:rPr>
          <w:vertAlign w:val="superscript"/>
        </w:rPr>
        <w:t>13</w:t>
      </w:r>
      <w:r>
        <w:t xml:space="preserve"> Referido cenário, contudo, viria a mudar poucos anos depois, através de uma revogação não unanime do citado precedente sob o reconhecimento do alcance nacional da medida provisória, vista como diretriz da política urbana a ser exercida por toda a federação.</w:t>
      </w:r>
      <w:r>
        <w:rPr>
          <w:vertAlign w:val="superscript"/>
        </w:rPr>
        <w:t>14</w:t>
      </w:r>
    </w:p>
    <w:p w:rsidR="007259F2" w:rsidRDefault="00E655B4">
      <w:pPr>
        <w:pStyle w:val="Heading2"/>
        <w:numPr>
          <w:ilvl w:val="1"/>
          <w:numId w:val="21"/>
        </w:numPr>
        <w:tabs>
          <w:tab w:val="left" w:pos="1337"/>
        </w:tabs>
        <w:spacing w:before="205"/>
        <w:ind w:left="1337" w:hanging="416"/>
        <w:jc w:val="both"/>
      </w:pPr>
      <w:r>
        <w:t>Da</w:t>
      </w:r>
      <w:r>
        <w:rPr>
          <w:spacing w:val="-6"/>
        </w:rPr>
        <w:t xml:space="preserve"> </w:t>
      </w:r>
      <w:r>
        <w:t>legitimação</w:t>
      </w:r>
      <w:r>
        <w:rPr>
          <w:spacing w:val="-4"/>
        </w:rPr>
        <w:t xml:space="preserve"> </w:t>
      </w:r>
      <w:r>
        <w:rPr>
          <w:spacing w:val="-2"/>
        </w:rPr>
        <w:t>fundiária</w:t>
      </w:r>
    </w:p>
    <w:p w:rsidR="007259F2" w:rsidRDefault="00E655B4">
      <w:pPr>
        <w:spacing w:before="115"/>
        <w:ind w:left="710" w:right="422" w:firstLine="707"/>
        <w:jc w:val="both"/>
        <w:rPr>
          <w:i/>
          <w:sz w:val="24"/>
        </w:rPr>
      </w:pPr>
      <w:r>
        <w:rPr>
          <w:sz w:val="24"/>
        </w:rPr>
        <w:t>Trata-se de instrumento jurídico trazido pela lei nº 13.465/2017 que permite a aquisição originária da propriedadepelo respectivo ocupante de imóvel público ou privado e que esteja situado em núcleo urbano informal consolidado. Nesse ponto, impende mencionar, a fim de que se compreenda a finalidade social do instituto, a definição</w:t>
      </w:r>
      <w:r>
        <w:rPr>
          <w:spacing w:val="40"/>
          <w:sz w:val="24"/>
        </w:rPr>
        <w:t xml:space="preserve"> </w:t>
      </w:r>
      <w:r>
        <w:rPr>
          <w:sz w:val="24"/>
        </w:rPr>
        <w:t>de núcleo urbano informal</w:t>
      </w:r>
      <w:r>
        <w:rPr>
          <w:spacing w:val="-1"/>
          <w:sz w:val="24"/>
        </w:rPr>
        <w:t xml:space="preserve"> </w:t>
      </w:r>
      <w:r>
        <w:rPr>
          <w:sz w:val="24"/>
        </w:rPr>
        <w:t>consolidado trazido</w:t>
      </w:r>
      <w:r>
        <w:rPr>
          <w:spacing w:val="-1"/>
          <w:sz w:val="24"/>
        </w:rPr>
        <w:t xml:space="preserve"> </w:t>
      </w:r>
      <w:r>
        <w:rPr>
          <w:sz w:val="24"/>
        </w:rPr>
        <w:t>pela</w:t>
      </w:r>
      <w:r>
        <w:rPr>
          <w:spacing w:val="-2"/>
          <w:sz w:val="24"/>
        </w:rPr>
        <w:t xml:space="preserve"> </w:t>
      </w:r>
      <w:r>
        <w:rPr>
          <w:sz w:val="24"/>
        </w:rPr>
        <w:t>referida</w:t>
      </w:r>
      <w:r>
        <w:rPr>
          <w:spacing w:val="-2"/>
          <w:sz w:val="24"/>
        </w:rPr>
        <w:t xml:space="preserve"> </w:t>
      </w:r>
      <w:r>
        <w:rPr>
          <w:sz w:val="24"/>
        </w:rPr>
        <w:t>legislação,</w:t>
      </w:r>
      <w:r>
        <w:rPr>
          <w:spacing w:val="-1"/>
          <w:sz w:val="24"/>
        </w:rPr>
        <w:t xml:space="preserve"> </w:t>
      </w:r>
      <w:r>
        <w:rPr>
          <w:sz w:val="24"/>
        </w:rPr>
        <w:t>termo</w:t>
      </w:r>
      <w:r>
        <w:rPr>
          <w:spacing w:val="-2"/>
          <w:sz w:val="24"/>
        </w:rPr>
        <w:t xml:space="preserve"> </w:t>
      </w:r>
      <w:r>
        <w:rPr>
          <w:sz w:val="24"/>
        </w:rPr>
        <w:t>que pode ser compreendido como “</w:t>
      </w:r>
      <w:r>
        <w:rPr>
          <w:i/>
          <w:sz w:val="24"/>
        </w:rPr>
        <w:t>aquele de difícil reversão, considerados o tempo da ocupação, a natureza das edificações, a localização</w:t>
      </w:r>
      <w:r>
        <w:rPr>
          <w:i/>
          <w:spacing w:val="35"/>
          <w:sz w:val="24"/>
        </w:rPr>
        <w:t xml:space="preserve"> </w:t>
      </w:r>
      <w:r>
        <w:rPr>
          <w:i/>
          <w:sz w:val="24"/>
        </w:rPr>
        <w:t>das</w:t>
      </w:r>
      <w:r>
        <w:rPr>
          <w:i/>
          <w:spacing w:val="38"/>
          <w:sz w:val="24"/>
        </w:rPr>
        <w:t xml:space="preserve"> </w:t>
      </w:r>
      <w:r>
        <w:rPr>
          <w:i/>
          <w:sz w:val="24"/>
        </w:rPr>
        <w:t>vias</w:t>
      </w:r>
      <w:r>
        <w:rPr>
          <w:i/>
          <w:spacing w:val="38"/>
          <w:sz w:val="24"/>
        </w:rPr>
        <w:t xml:space="preserve"> </w:t>
      </w:r>
      <w:r>
        <w:rPr>
          <w:i/>
          <w:sz w:val="24"/>
        </w:rPr>
        <w:t>de</w:t>
      </w:r>
      <w:r>
        <w:rPr>
          <w:i/>
          <w:spacing w:val="37"/>
          <w:sz w:val="24"/>
        </w:rPr>
        <w:t xml:space="preserve"> </w:t>
      </w:r>
      <w:r>
        <w:rPr>
          <w:i/>
          <w:sz w:val="24"/>
        </w:rPr>
        <w:t>circulação</w:t>
      </w:r>
      <w:r>
        <w:rPr>
          <w:i/>
          <w:spacing w:val="38"/>
          <w:sz w:val="24"/>
        </w:rPr>
        <w:t xml:space="preserve"> </w:t>
      </w:r>
      <w:r>
        <w:rPr>
          <w:i/>
          <w:sz w:val="24"/>
        </w:rPr>
        <w:t>e</w:t>
      </w:r>
      <w:r>
        <w:rPr>
          <w:i/>
          <w:spacing w:val="36"/>
          <w:sz w:val="24"/>
        </w:rPr>
        <w:t xml:space="preserve"> </w:t>
      </w:r>
      <w:r>
        <w:rPr>
          <w:i/>
          <w:sz w:val="24"/>
        </w:rPr>
        <w:t>a</w:t>
      </w:r>
      <w:r>
        <w:rPr>
          <w:i/>
          <w:spacing w:val="38"/>
          <w:sz w:val="24"/>
        </w:rPr>
        <w:t xml:space="preserve"> </w:t>
      </w:r>
      <w:r>
        <w:rPr>
          <w:i/>
          <w:sz w:val="24"/>
        </w:rPr>
        <w:t>presença</w:t>
      </w:r>
      <w:r>
        <w:rPr>
          <w:i/>
          <w:spacing w:val="39"/>
          <w:sz w:val="24"/>
        </w:rPr>
        <w:t xml:space="preserve"> </w:t>
      </w:r>
      <w:r>
        <w:rPr>
          <w:i/>
          <w:sz w:val="24"/>
        </w:rPr>
        <w:t>de</w:t>
      </w:r>
      <w:r>
        <w:rPr>
          <w:i/>
          <w:spacing w:val="37"/>
          <w:sz w:val="24"/>
        </w:rPr>
        <w:t xml:space="preserve"> </w:t>
      </w:r>
      <w:r>
        <w:rPr>
          <w:i/>
          <w:sz w:val="24"/>
        </w:rPr>
        <w:t>equi-</w:t>
      </w:r>
      <w:r>
        <w:rPr>
          <w:i/>
          <w:spacing w:val="38"/>
          <w:sz w:val="24"/>
        </w:rPr>
        <w:t xml:space="preserve"> </w:t>
      </w:r>
      <w:r>
        <w:rPr>
          <w:i/>
          <w:sz w:val="24"/>
        </w:rPr>
        <w:t>pamentos</w:t>
      </w:r>
      <w:r>
        <w:rPr>
          <w:i/>
          <w:spacing w:val="38"/>
          <w:sz w:val="24"/>
        </w:rPr>
        <w:t xml:space="preserve"> </w:t>
      </w:r>
      <w:r>
        <w:rPr>
          <w:i/>
          <w:sz w:val="24"/>
        </w:rPr>
        <w:t>públicos,</w:t>
      </w:r>
      <w:r>
        <w:rPr>
          <w:i/>
          <w:spacing w:val="38"/>
          <w:sz w:val="24"/>
        </w:rPr>
        <w:t xml:space="preserve"> </w:t>
      </w:r>
      <w:r>
        <w:rPr>
          <w:i/>
          <w:sz w:val="24"/>
        </w:rPr>
        <w:t>entre</w:t>
      </w:r>
      <w:r>
        <w:rPr>
          <w:i/>
          <w:spacing w:val="37"/>
          <w:sz w:val="24"/>
        </w:rPr>
        <w:t xml:space="preserve"> </w:t>
      </w:r>
      <w:r>
        <w:rPr>
          <w:i/>
          <w:spacing w:val="-2"/>
          <w:sz w:val="24"/>
        </w:rPr>
        <w:t>outras</w:t>
      </w:r>
    </w:p>
    <w:p w:rsidR="007259F2" w:rsidRDefault="007259F2">
      <w:pPr>
        <w:pStyle w:val="Corpodetexto"/>
        <w:ind w:left="0" w:firstLine="0"/>
        <w:jc w:val="left"/>
        <w:rPr>
          <w:i/>
          <w:sz w:val="20"/>
        </w:rPr>
      </w:pPr>
    </w:p>
    <w:p w:rsidR="007259F2" w:rsidRDefault="007259F2">
      <w:pPr>
        <w:pStyle w:val="Corpodetexto"/>
        <w:ind w:left="0" w:firstLine="0"/>
        <w:jc w:val="left"/>
        <w:rPr>
          <w:i/>
          <w:sz w:val="20"/>
        </w:rPr>
      </w:pPr>
    </w:p>
    <w:p w:rsidR="007259F2" w:rsidRDefault="00DE6B1C">
      <w:pPr>
        <w:pStyle w:val="Corpodetexto"/>
        <w:spacing w:before="72"/>
        <w:ind w:left="0" w:firstLine="0"/>
        <w:jc w:val="left"/>
        <w:rPr>
          <w:i/>
          <w:sz w:val="20"/>
        </w:rPr>
      </w:pPr>
      <w:r w:rsidRPr="00DE6B1C">
        <w:rPr>
          <w:i/>
          <w:sz w:val="20"/>
        </w:rPr>
        <w:pict>
          <v:rect id="docshape156" o:spid="_x0000_s1071" style="position:absolute;margin-left:85.1pt;margin-top:16.3pt;width:2in;height:.7pt;z-index:-15659008;mso-wrap-distance-left:0;mso-wrap-distance-right:0;mso-position-horizontal-relative:page" fillcolor="black" stroked="f">
            <w10:wrap type="topAndBottom" anchorx="page"/>
          </v:rect>
        </w:pict>
      </w:r>
    </w:p>
    <w:p w:rsidR="007259F2" w:rsidRDefault="00E655B4">
      <w:pPr>
        <w:spacing w:before="97"/>
        <w:ind w:left="710"/>
        <w:rPr>
          <w:sz w:val="20"/>
        </w:rPr>
      </w:pPr>
      <w:r>
        <w:rPr>
          <w:sz w:val="20"/>
          <w:vertAlign w:val="superscript"/>
        </w:rPr>
        <w:t>13</w:t>
      </w:r>
      <w:r>
        <w:rPr>
          <w:spacing w:val="-13"/>
          <w:sz w:val="20"/>
        </w:rPr>
        <w:t xml:space="preserve"> </w:t>
      </w:r>
      <w:r>
        <w:rPr>
          <w:sz w:val="20"/>
        </w:rPr>
        <w:t>TJ-SP</w:t>
      </w:r>
      <w:r>
        <w:rPr>
          <w:spacing w:val="-12"/>
          <w:sz w:val="20"/>
        </w:rPr>
        <w:t xml:space="preserve"> </w:t>
      </w:r>
      <w:r>
        <w:rPr>
          <w:sz w:val="20"/>
        </w:rPr>
        <w:t>–</w:t>
      </w:r>
      <w:r>
        <w:rPr>
          <w:spacing w:val="-13"/>
          <w:sz w:val="20"/>
        </w:rPr>
        <w:t xml:space="preserve"> </w:t>
      </w:r>
      <w:r>
        <w:rPr>
          <w:sz w:val="20"/>
        </w:rPr>
        <w:t>AC:</w:t>
      </w:r>
      <w:r>
        <w:rPr>
          <w:spacing w:val="-9"/>
          <w:sz w:val="20"/>
        </w:rPr>
        <w:t xml:space="preserve"> </w:t>
      </w:r>
      <w:r>
        <w:rPr>
          <w:sz w:val="20"/>
        </w:rPr>
        <w:t>nº</w:t>
      </w:r>
      <w:r>
        <w:rPr>
          <w:spacing w:val="-4"/>
          <w:sz w:val="20"/>
        </w:rPr>
        <w:t xml:space="preserve"> </w:t>
      </w:r>
      <w:r>
        <w:rPr>
          <w:sz w:val="20"/>
        </w:rPr>
        <w:t>0274211-</w:t>
      </w:r>
      <w:r>
        <w:rPr>
          <w:spacing w:val="-2"/>
          <w:sz w:val="20"/>
        </w:rPr>
        <w:t>77.2010.8.26.0000;</w:t>
      </w:r>
    </w:p>
    <w:p w:rsidR="007259F2" w:rsidRDefault="00E655B4">
      <w:pPr>
        <w:ind w:left="710"/>
        <w:rPr>
          <w:sz w:val="20"/>
        </w:rPr>
      </w:pPr>
      <w:r>
        <w:rPr>
          <w:sz w:val="20"/>
          <w:vertAlign w:val="superscript"/>
        </w:rPr>
        <w:t>14</w:t>
      </w:r>
      <w:r>
        <w:rPr>
          <w:spacing w:val="-13"/>
          <w:sz w:val="20"/>
        </w:rPr>
        <w:t xml:space="preserve"> </w:t>
      </w:r>
      <w:r>
        <w:rPr>
          <w:sz w:val="20"/>
        </w:rPr>
        <w:t>TJ-SP</w:t>
      </w:r>
      <w:r>
        <w:rPr>
          <w:spacing w:val="-18"/>
          <w:sz w:val="20"/>
        </w:rPr>
        <w:t xml:space="preserve"> </w:t>
      </w:r>
      <w:r>
        <w:rPr>
          <w:sz w:val="20"/>
        </w:rPr>
        <w:t>APL:</w:t>
      </w:r>
      <w:r>
        <w:rPr>
          <w:spacing w:val="-12"/>
          <w:sz w:val="20"/>
        </w:rPr>
        <w:t xml:space="preserve"> </w:t>
      </w:r>
      <w:r>
        <w:rPr>
          <w:sz w:val="20"/>
        </w:rPr>
        <w:t>10132257220148260554;</w:t>
      </w:r>
      <w:r>
        <w:rPr>
          <w:spacing w:val="-13"/>
          <w:sz w:val="20"/>
        </w:rPr>
        <w:t xml:space="preserve"> </w:t>
      </w:r>
      <w:r>
        <w:rPr>
          <w:sz w:val="20"/>
        </w:rPr>
        <w:t>TJ-SP</w:t>
      </w:r>
      <w:r>
        <w:rPr>
          <w:spacing w:val="-12"/>
          <w:sz w:val="20"/>
        </w:rPr>
        <w:t xml:space="preserve"> </w:t>
      </w:r>
      <w:r>
        <w:rPr>
          <w:sz w:val="20"/>
        </w:rPr>
        <w:t>-</w:t>
      </w:r>
      <w:r>
        <w:rPr>
          <w:spacing w:val="-14"/>
          <w:sz w:val="20"/>
        </w:rPr>
        <w:t xml:space="preserve"> </w:t>
      </w:r>
      <w:r>
        <w:rPr>
          <w:sz w:val="20"/>
        </w:rPr>
        <w:t>AC:</w:t>
      </w:r>
      <w:r>
        <w:rPr>
          <w:spacing w:val="-10"/>
          <w:sz w:val="20"/>
        </w:rPr>
        <w:t xml:space="preserve"> </w:t>
      </w:r>
      <w:r>
        <w:rPr>
          <w:sz w:val="20"/>
        </w:rPr>
        <w:t>10033104220178260053;</w:t>
      </w:r>
      <w:r>
        <w:rPr>
          <w:spacing w:val="-12"/>
          <w:sz w:val="20"/>
        </w:rPr>
        <w:t xml:space="preserve"> </w:t>
      </w:r>
      <w:r>
        <w:rPr>
          <w:sz w:val="20"/>
        </w:rPr>
        <w:t>TJ-SP</w:t>
      </w:r>
      <w:r>
        <w:rPr>
          <w:spacing w:val="-11"/>
          <w:sz w:val="20"/>
        </w:rPr>
        <w:t xml:space="preserve"> </w:t>
      </w:r>
      <w:r>
        <w:rPr>
          <w:sz w:val="20"/>
        </w:rPr>
        <w:t>-</w:t>
      </w:r>
      <w:r>
        <w:rPr>
          <w:spacing w:val="-14"/>
          <w:sz w:val="20"/>
        </w:rPr>
        <w:t xml:space="preserve"> </w:t>
      </w:r>
      <w:r>
        <w:rPr>
          <w:spacing w:val="-4"/>
          <w:sz w:val="20"/>
        </w:rPr>
        <w:t>APL:</w:t>
      </w:r>
    </w:p>
    <w:p w:rsidR="007259F2" w:rsidRDefault="00E655B4">
      <w:pPr>
        <w:ind w:left="710" w:right="424"/>
        <w:rPr>
          <w:sz w:val="20"/>
        </w:rPr>
      </w:pPr>
      <w:r>
        <w:rPr>
          <w:sz w:val="20"/>
        </w:rPr>
        <w:t>1272853620088260053; TJ-SP -</w:t>
      </w:r>
      <w:r>
        <w:rPr>
          <w:spacing w:val="-1"/>
          <w:sz w:val="20"/>
        </w:rPr>
        <w:t xml:space="preserve"> </w:t>
      </w:r>
      <w:r>
        <w:rPr>
          <w:sz w:val="20"/>
        </w:rPr>
        <w:t>APL: 00043580320108260246; TJ-SP -</w:t>
      </w:r>
      <w:r>
        <w:rPr>
          <w:spacing w:val="-1"/>
          <w:sz w:val="20"/>
        </w:rPr>
        <w:t xml:space="preserve"> </w:t>
      </w:r>
      <w:r>
        <w:rPr>
          <w:sz w:val="20"/>
        </w:rPr>
        <w:t>AC: 10033571620178260053; TJ-SP - APL: 10065539620148260053.</w:t>
      </w:r>
    </w:p>
    <w:p w:rsidR="007259F2" w:rsidRDefault="007259F2">
      <w:pPr>
        <w:rPr>
          <w:sz w:val="20"/>
        </w:rPr>
        <w:sectPr w:rsidR="007259F2">
          <w:pgSz w:w="11910" w:h="16840"/>
          <w:pgMar w:top="1600" w:right="708" w:bottom="1020" w:left="992" w:header="0" w:footer="820" w:gutter="0"/>
          <w:cols w:space="720"/>
        </w:sectPr>
      </w:pPr>
    </w:p>
    <w:p w:rsidR="007259F2" w:rsidRDefault="00E655B4">
      <w:pPr>
        <w:pStyle w:val="Corpodetexto"/>
        <w:spacing w:before="115"/>
        <w:ind w:right="423" w:firstLine="0"/>
      </w:pPr>
      <w:r>
        <w:rPr>
          <w:i/>
        </w:rPr>
        <w:lastRenderedPageBreak/>
        <w:t>circunstâncias a serem avaliadas pelo Município”.</w:t>
      </w:r>
      <w:r>
        <w:rPr>
          <w:i/>
          <w:vertAlign w:val="superscript"/>
        </w:rPr>
        <w:t>15</w:t>
      </w:r>
      <w:r>
        <w:rPr>
          <w:i/>
        </w:rPr>
        <w:t xml:space="preserve"> </w:t>
      </w:r>
      <w:r>
        <w:t>Referido instituto nasce, portanto, do intuito de se regularizar imóveis públicos ou privados que se encontrem em uma situação irreversível, seja do ponto de vista social ou urbano. Objetivando-se complementar as disposições da legislação, editou-se o decreto nº 9.310/2018, que definiu o limite de cinco salários mínimos como renda para as famílias a serem contempladas pela Reurb-S.</w:t>
      </w:r>
    </w:p>
    <w:p w:rsidR="007259F2" w:rsidRDefault="00E655B4">
      <w:pPr>
        <w:pStyle w:val="Corpodetexto"/>
        <w:ind w:right="422"/>
      </w:pPr>
      <w:r>
        <w:t>O referido instituto sofre limitações. Primeiro, necessário ressaltar que a mencionada legitimação somente é conferida por ato discricionário do poder público no âmbito do processo de reurbanização. Segundo, questiona-se o alcance de sua aplicação, ao ponto de também abarcar os imóveis inseridos no âmbito da REURB-E.</w:t>
      </w:r>
      <w:r>
        <w:rPr>
          <w:spacing w:val="40"/>
        </w:rPr>
        <w:t xml:space="preserve"> </w:t>
      </w:r>
      <w:r>
        <w:t>Considerando- se uma distribuição</w:t>
      </w:r>
      <w:r>
        <w:rPr>
          <w:spacing w:val="-1"/>
        </w:rPr>
        <w:t xml:space="preserve"> </w:t>
      </w:r>
      <w:r>
        <w:t>equitativa</w:t>
      </w:r>
      <w:r>
        <w:rPr>
          <w:spacing w:val="-2"/>
        </w:rPr>
        <w:t xml:space="preserve"> </w:t>
      </w:r>
      <w:r>
        <w:t>dos</w:t>
      </w:r>
      <w:r>
        <w:rPr>
          <w:spacing w:val="-1"/>
        </w:rPr>
        <w:t xml:space="preserve"> </w:t>
      </w:r>
      <w:r>
        <w:t>ônus</w:t>
      </w:r>
      <w:r>
        <w:rPr>
          <w:spacing w:val="-1"/>
        </w:rPr>
        <w:t xml:space="preserve"> </w:t>
      </w:r>
      <w:r>
        <w:t>e</w:t>
      </w:r>
      <w:r>
        <w:rPr>
          <w:spacing w:val="-2"/>
        </w:rPr>
        <w:t xml:space="preserve"> </w:t>
      </w:r>
      <w:r>
        <w:t>benefícios</w:t>
      </w:r>
      <w:r>
        <w:rPr>
          <w:spacing w:val="-1"/>
        </w:rPr>
        <w:t xml:space="preserve"> </w:t>
      </w:r>
      <w:r>
        <w:t>urbanos,</w:t>
      </w:r>
      <w:r>
        <w:rPr>
          <w:spacing w:val="-1"/>
        </w:rPr>
        <w:t xml:space="preserve"> </w:t>
      </w:r>
      <w:r>
        <w:t>bem</w:t>
      </w:r>
      <w:r>
        <w:rPr>
          <w:spacing w:val="-1"/>
        </w:rPr>
        <w:t xml:space="preserve"> </w:t>
      </w:r>
      <w:r>
        <w:t>como</w:t>
      </w:r>
      <w:r>
        <w:rPr>
          <w:spacing w:val="-1"/>
        </w:rPr>
        <w:t xml:space="preserve"> </w:t>
      </w:r>
      <w:r>
        <w:t>a</w:t>
      </w:r>
      <w:r>
        <w:rPr>
          <w:spacing w:val="-2"/>
        </w:rPr>
        <w:t xml:space="preserve"> </w:t>
      </w:r>
      <w:r>
        <w:t>razão</w:t>
      </w:r>
      <w:r>
        <w:rPr>
          <w:spacing w:val="-1"/>
        </w:rPr>
        <w:t xml:space="preserve"> </w:t>
      </w:r>
      <w:r>
        <w:t>da</w:t>
      </w:r>
      <w:r>
        <w:rPr>
          <w:spacing w:val="-2"/>
        </w:rPr>
        <w:t xml:space="preserve"> </w:t>
      </w:r>
      <w:r>
        <w:t>qual</w:t>
      </w:r>
      <w:r>
        <w:rPr>
          <w:spacing w:val="-1"/>
        </w:rPr>
        <w:t xml:space="preserve"> </w:t>
      </w:r>
      <w:r>
        <w:t>originou-se o instituto, entende-se que este somente deve ser aplicado no âmbito da REURB-S, e desde que também sejam cumpridos os requisitos dispostos nos incisos do §1º do art. 23 do ato normativo supramencionado, tanto para a vertente individual quanto coletiva do instituto. Conferida a legitimação, esta deverá ser registrada na matrícula do imóvel, ou ensejar na abertura</w:t>
      </w:r>
      <w:r>
        <w:rPr>
          <w:spacing w:val="-3"/>
        </w:rPr>
        <w:t xml:space="preserve"> </w:t>
      </w:r>
      <w:r>
        <w:t>de</w:t>
      </w:r>
      <w:r>
        <w:rPr>
          <w:spacing w:val="-1"/>
        </w:rPr>
        <w:t xml:space="preserve"> </w:t>
      </w:r>
      <w:r>
        <w:t>uma</w:t>
      </w:r>
      <w:r>
        <w:rPr>
          <w:spacing w:val="-2"/>
        </w:rPr>
        <w:t xml:space="preserve"> </w:t>
      </w:r>
      <w:r>
        <w:t>para</w:t>
      </w:r>
      <w:r>
        <w:rPr>
          <w:spacing w:val="-4"/>
        </w:rPr>
        <w:t xml:space="preserve"> </w:t>
      </w:r>
      <w:r>
        <w:t>tanto, conforme</w:t>
      </w:r>
      <w:r>
        <w:rPr>
          <w:spacing w:val="-1"/>
        </w:rPr>
        <w:t xml:space="preserve"> </w:t>
      </w:r>
      <w:r>
        <w:t>disposto</w:t>
      </w:r>
      <w:r>
        <w:rPr>
          <w:spacing w:val="-2"/>
        </w:rPr>
        <w:t xml:space="preserve"> </w:t>
      </w:r>
      <w:r>
        <w:t>no</w:t>
      </w:r>
      <w:r>
        <w:rPr>
          <w:spacing w:val="-2"/>
        </w:rPr>
        <w:t xml:space="preserve"> </w:t>
      </w:r>
      <w:r>
        <w:t>item</w:t>
      </w:r>
      <w:r>
        <w:rPr>
          <w:spacing w:val="-2"/>
        </w:rPr>
        <w:t xml:space="preserve"> </w:t>
      </w:r>
      <w:r>
        <w:t>44,</w:t>
      </w:r>
      <w:r>
        <w:rPr>
          <w:spacing w:val="-2"/>
        </w:rPr>
        <w:t xml:space="preserve"> </w:t>
      </w:r>
      <w:r>
        <w:t>inciso I</w:t>
      </w:r>
      <w:r>
        <w:rPr>
          <w:spacing w:val="-6"/>
        </w:rPr>
        <w:t xml:space="preserve"> </w:t>
      </w:r>
      <w:r>
        <w:t>da</w:t>
      </w:r>
      <w:r>
        <w:rPr>
          <w:spacing w:val="-3"/>
        </w:rPr>
        <w:t xml:space="preserve"> </w:t>
      </w:r>
      <w:r>
        <w:t>lei</w:t>
      </w:r>
      <w:r>
        <w:rPr>
          <w:spacing w:val="-2"/>
        </w:rPr>
        <w:t xml:space="preserve"> </w:t>
      </w:r>
      <w:r>
        <w:t>nº 6.015</w:t>
      </w:r>
      <w:r>
        <w:rPr>
          <w:spacing w:val="-2"/>
        </w:rPr>
        <w:t xml:space="preserve"> </w:t>
      </w:r>
      <w:r>
        <w:t>de</w:t>
      </w:r>
      <w:r>
        <w:rPr>
          <w:spacing w:val="-3"/>
        </w:rPr>
        <w:t xml:space="preserve"> </w:t>
      </w:r>
      <w:r>
        <w:t>1973, ato este desembaraçado de quaisquer ônus ou gravames e que não necessitará de prévio procedimento de desafetação em caso de bem público.</w:t>
      </w:r>
      <w:r>
        <w:rPr>
          <w:vertAlign w:val="superscript"/>
        </w:rPr>
        <w:t>16</w:t>
      </w:r>
    </w:p>
    <w:p w:rsidR="007259F2" w:rsidRDefault="00E655B4">
      <w:pPr>
        <w:pStyle w:val="Heading2"/>
        <w:numPr>
          <w:ilvl w:val="1"/>
          <w:numId w:val="21"/>
        </w:numPr>
        <w:tabs>
          <w:tab w:val="left" w:pos="1337"/>
        </w:tabs>
        <w:spacing w:before="208"/>
        <w:ind w:left="1337" w:hanging="416"/>
        <w:jc w:val="both"/>
      </w:pPr>
      <w:r>
        <w:t>Da</w:t>
      </w:r>
      <w:r>
        <w:rPr>
          <w:spacing w:val="-7"/>
        </w:rPr>
        <w:t xml:space="preserve"> </w:t>
      </w:r>
      <w:r>
        <w:t>constitucionalidade</w:t>
      </w:r>
      <w:r>
        <w:rPr>
          <w:spacing w:val="-8"/>
        </w:rPr>
        <w:t xml:space="preserve"> </w:t>
      </w:r>
      <w:r>
        <w:t>da</w:t>
      </w:r>
      <w:r>
        <w:rPr>
          <w:spacing w:val="-5"/>
        </w:rPr>
        <w:t xml:space="preserve"> </w:t>
      </w:r>
      <w:r>
        <w:t>legitimação</w:t>
      </w:r>
      <w:r>
        <w:rPr>
          <w:spacing w:val="-3"/>
        </w:rPr>
        <w:t xml:space="preserve"> </w:t>
      </w:r>
      <w:r>
        <w:rPr>
          <w:spacing w:val="-2"/>
        </w:rPr>
        <w:t>fundiária</w:t>
      </w:r>
    </w:p>
    <w:p w:rsidR="007259F2" w:rsidRDefault="00E655B4">
      <w:pPr>
        <w:pStyle w:val="Corpodetexto"/>
        <w:spacing w:before="112"/>
        <w:ind w:right="419"/>
      </w:pPr>
      <w:r>
        <w:t>Sobre a inovação discutida pendem ações diretas no âmbito do Supremo Tribunal Federal questionando sua inconstitucionalidade. A primeira a ser mencionada é a ADI nº 5.771, ajuizada pela Procuradoria-Geral da República em agosto de 2017, onde afirmou-se</w:t>
      </w:r>
      <w:r>
        <w:rPr>
          <w:spacing w:val="40"/>
        </w:rPr>
        <w:t xml:space="preserve"> </w:t>
      </w:r>
      <w:r>
        <w:t>que a legitimação fundiária estaria incentivando e legitimando a ocupação de terras públicas por falsificadores de títulos, desmatadores e outros ocupantes ilegais. A segunda ação refere- se</w:t>
      </w:r>
      <w:r>
        <w:rPr>
          <w:spacing w:val="-1"/>
        </w:rPr>
        <w:t xml:space="preserve"> </w:t>
      </w:r>
      <w:r>
        <w:t>à</w:t>
      </w:r>
      <w:r>
        <w:rPr>
          <w:spacing w:val="-1"/>
        </w:rPr>
        <w:t xml:space="preserve"> </w:t>
      </w:r>
      <w:r>
        <w:t>ADI</w:t>
      </w:r>
      <w:r>
        <w:rPr>
          <w:spacing w:val="-2"/>
        </w:rPr>
        <w:t xml:space="preserve"> </w:t>
      </w:r>
      <w:r>
        <w:t>nº 5.787, proposta</w:t>
      </w:r>
      <w:r>
        <w:rPr>
          <w:spacing w:val="-1"/>
        </w:rPr>
        <w:t xml:space="preserve"> </w:t>
      </w:r>
      <w:r>
        <w:t>pelo Partido dos Trabalhadores em setembro de</w:t>
      </w:r>
      <w:r>
        <w:rPr>
          <w:spacing w:val="-1"/>
        </w:rPr>
        <w:t xml:space="preserve"> </w:t>
      </w:r>
      <w:r>
        <w:t>2017. O</w:t>
      </w:r>
      <w:r>
        <w:rPr>
          <w:spacing w:val="-1"/>
        </w:rPr>
        <w:t xml:space="preserve"> </w:t>
      </w:r>
      <w:r>
        <w:t>principal argumento</w:t>
      </w:r>
      <w:r>
        <w:rPr>
          <w:spacing w:val="5"/>
        </w:rPr>
        <w:t xml:space="preserve"> </w:t>
      </w:r>
      <w:r>
        <w:t>levantado</w:t>
      </w:r>
      <w:r>
        <w:rPr>
          <w:spacing w:val="7"/>
        </w:rPr>
        <w:t xml:space="preserve"> </w:t>
      </w:r>
      <w:r>
        <w:t>foi</w:t>
      </w:r>
      <w:r>
        <w:rPr>
          <w:spacing w:val="5"/>
        </w:rPr>
        <w:t xml:space="preserve"> </w:t>
      </w:r>
      <w:r>
        <w:t>a</w:t>
      </w:r>
      <w:r>
        <w:rPr>
          <w:spacing w:val="5"/>
        </w:rPr>
        <w:t xml:space="preserve"> </w:t>
      </w:r>
      <w:r>
        <w:t>violação</w:t>
      </w:r>
      <w:r>
        <w:rPr>
          <w:spacing w:val="6"/>
        </w:rPr>
        <w:t xml:space="preserve"> </w:t>
      </w:r>
      <w:r>
        <w:t>do</w:t>
      </w:r>
      <w:r>
        <w:rPr>
          <w:spacing w:val="5"/>
        </w:rPr>
        <w:t xml:space="preserve"> </w:t>
      </w:r>
      <w:r>
        <w:t>inciso</w:t>
      </w:r>
      <w:r>
        <w:rPr>
          <w:spacing w:val="6"/>
        </w:rPr>
        <w:t xml:space="preserve"> </w:t>
      </w:r>
      <w:r>
        <w:t>XXIII</w:t>
      </w:r>
      <w:r>
        <w:rPr>
          <w:spacing w:val="5"/>
        </w:rPr>
        <w:t xml:space="preserve"> </w:t>
      </w:r>
      <w:r>
        <w:t>do</w:t>
      </w:r>
      <w:r>
        <w:rPr>
          <w:spacing w:val="6"/>
        </w:rPr>
        <w:t xml:space="preserve"> </w:t>
      </w:r>
      <w:r>
        <w:t>art.</w:t>
      </w:r>
      <w:r>
        <w:rPr>
          <w:spacing w:val="5"/>
        </w:rPr>
        <w:t xml:space="preserve"> </w:t>
      </w:r>
      <w:r>
        <w:t>5º,</w:t>
      </w:r>
      <w:r>
        <w:rPr>
          <w:spacing w:val="5"/>
        </w:rPr>
        <w:t xml:space="preserve"> </w:t>
      </w:r>
      <w:r>
        <w:t>art.</w:t>
      </w:r>
      <w:r>
        <w:rPr>
          <w:spacing w:val="5"/>
        </w:rPr>
        <w:t xml:space="preserve"> </w:t>
      </w:r>
      <w:r>
        <w:t>182,</w:t>
      </w:r>
      <w:r>
        <w:rPr>
          <w:spacing w:val="11"/>
        </w:rPr>
        <w:t xml:space="preserve"> </w:t>
      </w:r>
      <w:r>
        <w:t>§2º</w:t>
      </w:r>
      <w:r>
        <w:rPr>
          <w:spacing w:val="9"/>
        </w:rPr>
        <w:t xml:space="preserve"> </w:t>
      </w:r>
      <w:r>
        <w:t>e</w:t>
      </w:r>
      <w:r>
        <w:rPr>
          <w:spacing w:val="5"/>
        </w:rPr>
        <w:t xml:space="preserve"> </w:t>
      </w:r>
      <w:r>
        <w:t>art.</w:t>
      </w:r>
      <w:r>
        <w:rPr>
          <w:spacing w:val="5"/>
        </w:rPr>
        <w:t xml:space="preserve"> </w:t>
      </w:r>
      <w:r>
        <w:t>183,</w:t>
      </w:r>
      <w:r>
        <w:rPr>
          <w:spacing w:val="5"/>
        </w:rPr>
        <w:t xml:space="preserve"> </w:t>
      </w:r>
      <w:r>
        <w:t>caput</w:t>
      </w:r>
      <w:r>
        <w:rPr>
          <w:spacing w:val="9"/>
        </w:rPr>
        <w:t xml:space="preserve"> </w:t>
      </w:r>
      <w:r>
        <w:rPr>
          <w:spacing w:val="-10"/>
        </w:rPr>
        <w:t>e</w:t>
      </w:r>
    </w:p>
    <w:p w:rsidR="007259F2" w:rsidRDefault="00E655B4">
      <w:pPr>
        <w:pStyle w:val="Corpodetexto"/>
        <w:spacing w:before="1"/>
        <w:ind w:right="423" w:firstLine="0"/>
      </w:pPr>
      <w:r>
        <w:t>§3º da Constituição Federal de 1988, em virtude da ausência de requisitos como posse mansa, pacífica</w:t>
      </w:r>
      <w:r>
        <w:rPr>
          <w:spacing w:val="-3"/>
        </w:rPr>
        <w:t xml:space="preserve"> </w:t>
      </w:r>
      <w:r>
        <w:t>e</w:t>
      </w:r>
      <w:r>
        <w:rPr>
          <w:spacing w:val="-4"/>
        </w:rPr>
        <w:t xml:space="preserve"> </w:t>
      </w:r>
      <w:r>
        <w:t>ininterrupta</w:t>
      </w:r>
      <w:r>
        <w:rPr>
          <w:spacing w:val="-5"/>
        </w:rPr>
        <w:t xml:space="preserve"> </w:t>
      </w:r>
      <w:r>
        <w:t>por</w:t>
      </w:r>
      <w:r>
        <w:rPr>
          <w:spacing w:val="-3"/>
        </w:rPr>
        <w:t xml:space="preserve"> </w:t>
      </w:r>
      <w:r>
        <w:t>um</w:t>
      </w:r>
      <w:r>
        <w:rPr>
          <w:spacing w:val="-3"/>
        </w:rPr>
        <w:t xml:space="preserve"> </w:t>
      </w:r>
      <w:r>
        <w:t>mínimo</w:t>
      </w:r>
      <w:r>
        <w:rPr>
          <w:spacing w:val="-3"/>
        </w:rPr>
        <w:t xml:space="preserve"> </w:t>
      </w:r>
      <w:r>
        <w:t>de</w:t>
      </w:r>
      <w:r>
        <w:rPr>
          <w:spacing w:val="-4"/>
        </w:rPr>
        <w:t xml:space="preserve"> </w:t>
      </w:r>
      <w:r>
        <w:t>tempo</w:t>
      </w:r>
      <w:r>
        <w:rPr>
          <w:spacing w:val="-3"/>
        </w:rPr>
        <w:t xml:space="preserve"> </w:t>
      </w:r>
      <w:r>
        <w:t>definido</w:t>
      </w:r>
      <w:r>
        <w:rPr>
          <w:spacing w:val="-3"/>
        </w:rPr>
        <w:t xml:space="preserve"> </w:t>
      </w:r>
      <w:r>
        <w:t>em</w:t>
      </w:r>
      <w:r>
        <w:rPr>
          <w:spacing w:val="-3"/>
        </w:rPr>
        <w:t xml:space="preserve"> </w:t>
      </w:r>
      <w:r>
        <w:t>lei.</w:t>
      </w:r>
      <w:r>
        <w:rPr>
          <w:spacing w:val="-3"/>
        </w:rPr>
        <w:t xml:space="preserve"> </w:t>
      </w:r>
      <w:r>
        <w:t>No</w:t>
      </w:r>
      <w:r>
        <w:rPr>
          <w:spacing w:val="-3"/>
        </w:rPr>
        <w:t xml:space="preserve"> </w:t>
      </w:r>
      <w:r>
        <w:t>mais,</w:t>
      </w:r>
      <w:r>
        <w:rPr>
          <w:spacing w:val="-1"/>
        </w:rPr>
        <w:t xml:space="preserve"> </w:t>
      </w:r>
      <w:r>
        <w:t>suscitou-se</w:t>
      </w:r>
      <w:r>
        <w:rPr>
          <w:spacing w:val="-4"/>
        </w:rPr>
        <w:t xml:space="preserve"> </w:t>
      </w:r>
      <w:r>
        <w:t>lesão</w:t>
      </w:r>
      <w:r>
        <w:rPr>
          <w:spacing w:val="-3"/>
        </w:rPr>
        <w:t xml:space="preserve"> </w:t>
      </w:r>
      <w:r>
        <w:t>ao princípio</w:t>
      </w:r>
      <w:r>
        <w:rPr>
          <w:spacing w:val="-3"/>
        </w:rPr>
        <w:t xml:space="preserve"> </w:t>
      </w:r>
      <w:r>
        <w:t>da</w:t>
      </w:r>
      <w:r>
        <w:rPr>
          <w:spacing w:val="-4"/>
        </w:rPr>
        <w:t xml:space="preserve"> </w:t>
      </w:r>
      <w:r>
        <w:t>isonomia</w:t>
      </w:r>
      <w:r>
        <w:rPr>
          <w:spacing w:val="-3"/>
        </w:rPr>
        <w:t xml:space="preserve"> </w:t>
      </w:r>
      <w:r>
        <w:t>quando</w:t>
      </w:r>
      <w:r>
        <w:rPr>
          <w:spacing w:val="-3"/>
        </w:rPr>
        <w:t xml:space="preserve"> </w:t>
      </w:r>
      <w:r>
        <w:t>considerado</w:t>
      </w:r>
      <w:r>
        <w:rPr>
          <w:spacing w:val="-3"/>
        </w:rPr>
        <w:t xml:space="preserve"> </w:t>
      </w:r>
      <w:r>
        <w:t>a</w:t>
      </w:r>
      <w:r>
        <w:rPr>
          <w:spacing w:val="-2"/>
        </w:rPr>
        <w:t xml:space="preserve"> </w:t>
      </w:r>
      <w:r>
        <w:t>não</w:t>
      </w:r>
      <w:r>
        <w:rPr>
          <w:spacing w:val="-1"/>
        </w:rPr>
        <w:t xml:space="preserve"> </w:t>
      </w:r>
      <w:r>
        <w:t>exigência</w:t>
      </w:r>
      <w:r>
        <w:rPr>
          <w:spacing w:val="-3"/>
        </w:rPr>
        <w:t xml:space="preserve"> </w:t>
      </w:r>
      <w:r>
        <w:t>do</w:t>
      </w:r>
      <w:r>
        <w:rPr>
          <w:spacing w:val="-2"/>
        </w:rPr>
        <w:t xml:space="preserve"> </w:t>
      </w:r>
      <w:r>
        <w:t>cumprimento</w:t>
      </w:r>
      <w:r>
        <w:rPr>
          <w:spacing w:val="-3"/>
        </w:rPr>
        <w:t xml:space="preserve"> </w:t>
      </w:r>
      <w:r>
        <w:t>dos</w:t>
      </w:r>
      <w:r>
        <w:rPr>
          <w:spacing w:val="-3"/>
        </w:rPr>
        <w:t xml:space="preserve"> </w:t>
      </w:r>
      <w:r>
        <w:t>incisos</w:t>
      </w:r>
      <w:r>
        <w:rPr>
          <w:spacing w:val="-3"/>
        </w:rPr>
        <w:t xml:space="preserve"> </w:t>
      </w:r>
      <w:r>
        <w:t>do</w:t>
      </w:r>
      <w:r>
        <w:rPr>
          <w:spacing w:val="-3"/>
        </w:rPr>
        <w:t xml:space="preserve"> </w:t>
      </w:r>
      <w:r>
        <w:t>§1º do art. 23 da lei nº 13.465/2017 para a aplicação do instituto no âmbito da REURB-E.</w:t>
      </w:r>
    </w:p>
    <w:p w:rsidR="007259F2" w:rsidRDefault="00E655B4">
      <w:pPr>
        <w:pStyle w:val="Corpodetexto"/>
        <w:ind w:right="426"/>
      </w:pPr>
      <w:r>
        <w:t>A terceira e última ADI a ser mencionada é a de nº 5.883, proposta pelo Instituto de Arquitetos do Brasil em janeiro de 2018. Sustentou-se que além de permitir a aquisição de imóveis públicos por particulares, ato este vedado pelo §3º do art. 183 da Carta Magna vigente, também possibilitaria hipótese de perda de propriedade privada por mecanismo não previsto no texto constitucional.</w:t>
      </w:r>
    </w:p>
    <w:p w:rsidR="007259F2" w:rsidRDefault="00E655B4">
      <w:pPr>
        <w:pStyle w:val="Corpodetexto"/>
        <w:spacing w:before="1"/>
        <w:ind w:right="417"/>
      </w:pPr>
      <w:r>
        <w:t>Os referidos apontamentos, todavia, não merecem prosperar. Veja-se. Questiona-se a limitação do direito de propriedade privada por instrumento não previsto no texto da constituição, bem como da interferência federal na competência legislativa dos Estados, Distrito Federal e Municípios a respeito da disposição de seus bens. Importante relembrar, de maneira breve, os conceitos de Poder Constituinte Originário, reformador, poder constituído e poder decorrente.</w:t>
      </w:r>
    </w:p>
    <w:p w:rsidR="007259F2" w:rsidRDefault="00E655B4">
      <w:pPr>
        <w:pStyle w:val="Corpodetexto"/>
        <w:ind w:right="423"/>
      </w:pPr>
      <w:r>
        <w:t>Como</w:t>
      </w:r>
      <w:r>
        <w:rPr>
          <w:spacing w:val="-2"/>
        </w:rPr>
        <w:t xml:space="preserve"> </w:t>
      </w:r>
      <w:r>
        <w:t>Poder</w:t>
      </w:r>
      <w:r>
        <w:rPr>
          <w:spacing w:val="-2"/>
        </w:rPr>
        <w:t xml:space="preserve"> </w:t>
      </w:r>
      <w:r>
        <w:t>Constituinte</w:t>
      </w:r>
      <w:r>
        <w:rPr>
          <w:spacing w:val="-6"/>
        </w:rPr>
        <w:t xml:space="preserve"> </w:t>
      </w:r>
      <w:r>
        <w:t>Originário</w:t>
      </w:r>
      <w:r>
        <w:rPr>
          <w:spacing w:val="-2"/>
        </w:rPr>
        <w:t xml:space="preserve"> </w:t>
      </w:r>
      <w:r>
        <w:t>entende-se</w:t>
      </w:r>
      <w:r>
        <w:rPr>
          <w:spacing w:val="-3"/>
        </w:rPr>
        <w:t xml:space="preserve"> </w:t>
      </w:r>
      <w:r>
        <w:t>aquele</w:t>
      </w:r>
      <w:r>
        <w:rPr>
          <w:spacing w:val="-2"/>
        </w:rPr>
        <w:t xml:space="preserve"> </w:t>
      </w:r>
      <w:r>
        <w:t>capaz</w:t>
      </w:r>
      <w:r>
        <w:rPr>
          <w:spacing w:val="-1"/>
        </w:rPr>
        <w:t xml:space="preserve"> </w:t>
      </w:r>
      <w:r>
        <w:t>de</w:t>
      </w:r>
      <w:r>
        <w:rPr>
          <w:spacing w:val="-3"/>
        </w:rPr>
        <w:t xml:space="preserve"> </w:t>
      </w:r>
      <w:r>
        <w:t>criar</w:t>
      </w:r>
      <w:r>
        <w:rPr>
          <w:spacing w:val="-2"/>
        </w:rPr>
        <w:t xml:space="preserve"> </w:t>
      </w:r>
      <w:r>
        <w:t>um</w:t>
      </w:r>
      <w:r>
        <w:rPr>
          <w:spacing w:val="-2"/>
        </w:rPr>
        <w:t xml:space="preserve"> </w:t>
      </w:r>
      <w:r>
        <w:t>Estado</w:t>
      </w:r>
      <w:r>
        <w:rPr>
          <w:spacing w:val="-2"/>
        </w:rPr>
        <w:t xml:space="preserve"> </w:t>
      </w:r>
      <w:r>
        <w:t>e</w:t>
      </w:r>
      <w:r>
        <w:rPr>
          <w:spacing w:val="-4"/>
        </w:rPr>
        <w:t xml:space="preserve"> </w:t>
      </w:r>
      <w:r>
        <w:t>dar- lhe uma constituição. Admite-se ainda a hipótese de rompimento com a ordem jurídica existente, estabelecendo-se uma nova organização político-jurídica. Com o surgimento da constituição, este poder “sai de cena” e permanece em um “status latente”, podendo ser exercido novamente em tempos extraordinários. Como Reformador temos</w:t>
      </w:r>
      <w:r>
        <w:rPr>
          <w:spacing w:val="40"/>
        </w:rPr>
        <w:t xml:space="preserve"> </w:t>
      </w:r>
      <w:r>
        <w:t>o poder capaz de alterar</w:t>
      </w:r>
      <w:r>
        <w:rPr>
          <w:spacing w:val="43"/>
        </w:rPr>
        <w:t xml:space="preserve"> </w:t>
      </w:r>
      <w:r>
        <w:t>as</w:t>
      </w:r>
      <w:r>
        <w:rPr>
          <w:spacing w:val="42"/>
        </w:rPr>
        <w:t xml:space="preserve"> </w:t>
      </w:r>
      <w:r>
        <w:t>disposições</w:t>
      </w:r>
      <w:r>
        <w:rPr>
          <w:spacing w:val="42"/>
        </w:rPr>
        <w:t xml:space="preserve"> </w:t>
      </w:r>
      <w:r>
        <w:t>constitucionais,</w:t>
      </w:r>
      <w:r>
        <w:rPr>
          <w:spacing w:val="43"/>
        </w:rPr>
        <w:t xml:space="preserve"> </w:t>
      </w:r>
      <w:r>
        <w:t>de</w:t>
      </w:r>
      <w:r>
        <w:rPr>
          <w:spacing w:val="41"/>
        </w:rPr>
        <w:t xml:space="preserve"> </w:t>
      </w:r>
      <w:r>
        <w:t>maneira</w:t>
      </w:r>
      <w:r>
        <w:rPr>
          <w:spacing w:val="41"/>
        </w:rPr>
        <w:t xml:space="preserve"> </w:t>
      </w:r>
      <w:r>
        <w:t>que</w:t>
      </w:r>
      <w:r>
        <w:rPr>
          <w:spacing w:val="41"/>
        </w:rPr>
        <w:t xml:space="preserve"> </w:t>
      </w:r>
      <w:r>
        <w:t>ela</w:t>
      </w:r>
      <w:r>
        <w:rPr>
          <w:spacing w:val="42"/>
        </w:rPr>
        <w:t xml:space="preserve"> </w:t>
      </w:r>
      <w:r>
        <w:t>possa</w:t>
      </w:r>
      <w:r>
        <w:rPr>
          <w:spacing w:val="41"/>
        </w:rPr>
        <w:t xml:space="preserve"> </w:t>
      </w:r>
      <w:r>
        <w:t>ser</w:t>
      </w:r>
      <w:r>
        <w:rPr>
          <w:spacing w:val="41"/>
        </w:rPr>
        <w:t xml:space="preserve"> </w:t>
      </w:r>
      <w:r>
        <w:t>verdadeiramente</w:t>
      </w:r>
      <w:r>
        <w:rPr>
          <w:spacing w:val="42"/>
        </w:rPr>
        <w:t xml:space="preserve"> </w:t>
      </w:r>
      <w:r>
        <w:rPr>
          <w:spacing w:val="-2"/>
        </w:rPr>
        <w:t>texto</w:t>
      </w:r>
    </w:p>
    <w:p w:rsidR="007259F2" w:rsidRDefault="00DE6B1C">
      <w:pPr>
        <w:pStyle w:val="Corpodetexto"/>
        <w:spacing w:before="3"/>
        <w:ind w:left="0" w:firstLine="0"/>
        <w:jc w:val="left"/>
        <w:rPr>
          <w:sz w:val="14"/>
        </w:rPr>
      </w:pPr>
      <w:r w:rsidRPr="00DE6B1C">
        <w:rPr>
          <w:sz w:val="14"/>
        </w:rPr>
        <w:pict>
          <v:rect id="docshape157" o:spid="_x0000_s1070" style="position:absolute;margin-left:85.1pt;margin-top:9.45pt;width:2in;height:.7pt;z-index:-15658496;mso-wrap-distance-left:0;mso-wrap-distance-right:0;mso-position-horizontal-relative:page" fillcolor="black" stroked="f">
            <w10:wrap type="topAndBottom" anchorx="page"/>
          </v:rect>
        </w:pict>
      </w:r>
    </w:p>
    <w:p w:rsidR="007259F2" w:rsidRDefault="00E655B4">
      <w:pPr>
        <w:spacing w:before="96"/>
        <w:ind w:left="710" w:right="1452"/>
        <w:rPr>
          <w:sz w:val="20"/>
        </w:rPr>
      </w:pPr>
      <w:r>
        <w:rPr>
          <w:sz w:val="20"/>
          <w:vertAlign w:val="superscript"/>
        </w:rPr>
        <w:t>15</w:t>
      </w:r>
      <w:r>
        <w:rPr>
          <w:sz w:val="20"/>
        </w:rPr>
        <w:t xml:space="preserve"> BRASIL. </w:t>
      </w:r>
      <w:r>
        <w:rPr>
          <w:b/>
          <w:sz w:val="20"/>
        </w:rPr>
        <w:t>Lei nº 13.465, de 11 de julho de 2017</w:t>
      </w:r>
      <w:r>
        <w:rPr>
          <w:sz w:val="20"/>
        </w:rPr>
        <w:t>.</w:t>
      </w:r>
      <w:r>
        <w:rPr>
          <w:spacing w:val="-7"/>
          <w:sz w:val="20"/>
        </w:rPr>
        <w:t xml:space="preserve"> </w:t>
      </w:r>
      <w:r>
        <w:rPr>
          <w:sz w:val="20"/>
        </w:rPr>
        <w:t>Art. 11, inciso III. Disponível em: https:/</w:t>
      </w:r>
      <w:hyperlink r:id="rId206">
        <w:r>
          <w:rPr>
            <w:sz w:val="20"/>
          </w:rPr>
          <w:t>/</w:t>
        </w:r>
        <w:r>
          <w:rPr>
            <w:color w:val="0000FF"/>
            <w:sz w:val="20"/>
            <w:u w:val="single" w:color="0000FF"/>
          </w:rPr>
          <w:t>www.planalto.gov.br/ccivil_03/_ato2015-2018/2017/lei/l13465.htm</w:t>
        </w:r>
        <w:r>
          <w:rPr>
            <w:sz w:val="20"/>
          </w:rPr>
          <w:t>.</w:t>
        </w:r>
      </w:hyperlink>
      <w:r>
        <w:rPr>
          <w:spacing w:val="-13"/>
          <w:sz w:val="20"/>
        </w:rPr>
        <w:t xml:space="preserve"> </w:t>
      </w:r>
      <w:r>
        <w:rPr>
          <w:sz w:val="20"/>
        </w:rPr>
        <w:t>Acesso</w:t>
      </w:r>
      <w:r>
        <w:rPr>
          <w:spacing w:val="-12"/>
          <w:sz w:val="20"/>
        </w:rPr>
        <w:t xml:space="preserve"> </w:t>
      </w:r>
      <w:r>
        <w:rPr>
          <w:sz w:val="20"/>
        </w:rPr>
        <w:t>em</w:t>
      </w:r>
      <w:r>
        <w:rPr>
          <w:spacing w:val="-13"/>
          <w:sz w:val="20"/>
        </w:rPr>
        <w:t xml:space="preserve"> </w:t>
      </w:r>
      <w:r>
        <w:rPr>
          <w:sz w:val="20"/>
        </w:rPr>
        <w:t>22</w:t>
      </w:r>
      <w:r>
        <w:rPr>
          <w:spacing w:val="-12"/>
          <w:sz w:val="20"/>
        </w:rPr>
        <w:t xml:space="preserve"> </w:t>
      </w:r>
      <w:r>
        <w:rPr>
          <w:sz w:val="20"/>
        </w:rPr>
        <w:t>jun.</w:t>
      </w:r>
      <w:r>
        <w:rPr>
          <w:spacing w:val="-13"/>
          <w:sz w:val="20"/>
        </w:rPr>
        <w:t xml:space="preserve"> </w:t>
      </w:r>
      <w:r>
        <w:rPr>
          <w:sz w:val="20"/>
        </w:rPr>
        <w:t>2024.</w:t>
      </w:r>
    </w:p>
    <w:p w:rsidR="007259F2" w:rsidRDefault="00E655B4">
      <w:pPr>
        <w:spacing w:before="1"/>
        <w:ind w:left="710"/>
        <w:rPr>
          <w:sz w:val="20"/>
        </w:rPr>
      </w:pPr>
      <w:r>
        <w:rPr>
          <w:sz w:val="20"/>
          <w:vertAlign w:val="superscript"/>
        </w:rPr>
        <w:t>16</w:t>
      </w:r>
      <w:r>
        <w:rPr>
          <w:spacing w:val="-5"/>
          <w:sz w:val="20"/>
        </w:rPr>
        <w:t xml:space="preserve"> </w:t>
      </w:r>
      <w:r>
        <w:rPr>
          <w:sz w:val="20"/>
        </w:rPr>
        <w:t>BRASIL,</w:t>
      </w:r>
      <w:r>
        <w:rPr>
          <w:spacing w:val="-4"/>
          <w:sz w:val="20"/>
        </w:rPr>
        <w:t xml:space="preserve"> </w:t>
      </w:r>
      <w:r>
        <w:rPr>
          <w:sz w:val="20"/>
        </w:rPr>
        <w:t>2017,</w:t>
      </w:r>
      <w:r>
        <w:rPr>
          <w:spacing w:val="-12"/>
          <w:sz w:val="20"/>
        </w:rPr>
        <w:t xml:space="preserve"> </w:t>
      </w:r>
      <w:r>
        <w:rPr>
          <w:sz w:val="20"/>
        </w:rPr>
        <w:t>Art.</w:t>
      </w:r>
      <w:r>
        <w:rPr>
          <w:spacing w:val="-4"/>
          <w:sz w:val="20"/>
        </w:rPr>
        <w:t xml:space="preserve"> </w:t>
      </w:r>
      <w:r>
        <w:rPr>
          <w:sz w:val="20"/>
        </w:rPr>
        <w:t>71,</w:t>
      </w:r>
      <w:r>
        <w:rPr>
          <w:spacing w:val="-4"/>
          <w:sz w:val="20"/>
        </w:rPr>
        <w:t xml:space="preserve"> </w:t>
      </w:r>
      <w:r>
        <w:rPr>
          <w:spacing w:val="-2"/>
          <w:sz w:val="20"/>
        </w:rPr>
        <w:t>caput.</w:t>
      </w:r>
    </w:p>
    <w:p w:rsidR="007259F2" w:rsidRDefault="007259F2">
      <w:pPr>
        <w:rPr>
          <w:sz w:val="20"/>
        </w:rPr>
        <w:sectPr w:rsidR="007259F2">
          <w:pgSz w:w="11910" w:h="16840"/>
          <w:pgMar w:top="1560" w:right="708" w:bottom="1020" w:left="992" w:header="0" w:footer="820" w:gutter="0"/>
          <w:cols w:space="720"/>
        </w:sectPr>
      </w:pPr>
    </w:p>
    <w:p w:rsidR="007259F2" w:rsidRDefault="00E655B4">
      <w:pPr>
        <w:pStyle w:val="Corpodetexto"/>
        <w:spacing w:before="75"/>
        <w:ind w:right="422" w:firstLine="0"/>
      </w:pPr>
      <w:r>
        <w:lastRenderedPageBreak/>
        <w:t>vivo, adaptando-se às novas necessidades sociais que possam surgir eventualmente.</w:t>
      </w:r>
      <w:r>
        <w:rPr>
          <w:spacing w:val="40"/>
        </w:rPr>
        <w:t xml:space="preserve"> </w:t>
      </w:r>
      <w:r>
        <w:t>Pode ocorrer tanto por meio da revisão do texto existente, quanto por sua emenda, acrescentando- lhe novas previsões, desde que em ambos os casos se observe as disposições constitucionais pré-existentes. Destes dois derivam e devem guardar respeito os poderes constituídos, criados pelo texto da constituição, e o poder decorrente garantido aos demais entes federativos, consubstanciado na possibilidade de que estes editem suas constituições ou leis orgânicas.</w:t>
      </w:r>
    </w:p>
    <w:p w:rsidR="007259F2" w:rsidRDefault="00E655B4">
      <w:pPr>
        <w:pStyle w:val="Corpodetexto"/>
        <w:ind w:right="422"/>
      </w:pPr>
      <w:r>
        <w:t>Dando-se prosseguimento, tais conceitos mostram-se importantes para adentrarmos no tema do federalismo cooperativo adotado pelo Brasil. Sabe-se que a república federativa brasileira é formada pela união indissolúvel dos Estados, Distrito Federal e Municípios, conforme disposição presente no caput do art. 1º da Carta Magna, e que juntos devem atuar em harmonia pelo desenvolvimento nacional, visto que expressamente previsto como um dos objetivos fundamentais da república brasileira. A União, neste modelo, deve se afastar da figura de um ente centralizador para assumir um papel de coordenação entre todos. Tal assertiva é corroborada quando nos deparamos com as disposições dos parágrafos do art. 24</w:t>
      </w:r>
      <w:r>
        <w:rPr>
          <w:spacing w:val="40"/>
        </w:rPr>
        <w:t xml:space="preserve"> </w:t>
      </w:r>
      <w:r>
        <w:t>da Constituição Federal de 1988.</w:t>
      </w:r>
    </w:p>
    <w:p w:rsidR="007259F2" w:rsidRDefault="00E655B4">
      <w:pPr>
        <w:pStyle w:val="Corpodetexto"/>
        <w:spacing w:before="1"/>
        <w:ind w:right="418"/>
      </w:pPr>
      <w:r>
        <w:t>Superada tal explanação, deve-se subsumir os fatos à norma.</w:t>
      </w:r>
      <w:r>
        <w:rPr>
          <w:spacing w:val="40"/>
        </w:rPr>
        <w:t xml:space="preserve"> </w:t>
      </w:r>
      <w:r>
        <w:t>Consta do rol do art. 5º da carta magna vigente previsão expressa sobre o direito a propriedade, que deverá ser assegurado pelo poder público. Deve-se considerar, todavia, que os direitos positivados, ainda que dotados de status fundamental, não são absolutos e admitem limitações razoáveis,</w:t>
      </w:r>
      <w:r>
        <w:rPr>
          <w:spacing w:val="40"/>
        </w:rPr>
        <w:t xml:space="preserve"> </w:t>
      </w:r>
      <w:r>
        <w:t>situação esta plenamente aplicável à propriedade, limitada pela necessidade de cumprir sua função social. Por essa razão, não se pode falar em indevida restrição à propriedade privada, visto que a legitimação fundiária, instrumento jurídico criado pelo Congresso Nacional enquanto poder constituído incumbido de editar normas infra-constitucionais gerais,</w:t>
      </w:r>
      <w:r>
        <w:rPr>
          <w:spacing w:val="40"/>
        </w:rPr>
        <w:t xml:space="preserve"> </w:t>
      </w:r>
      <w:r>
        <w:t>sobretudo</w:t>
      </w:r>
      <w:r>
        <w:rPr>
          <w:spacing w:val="-1"/>
        </w:rPr>
        <w:t xml:space="preserve"> </w:t>
      </w:r>
      <w:r>
        <w:t>na</w:t>
      </w:r>
      <w:r>
        <w:rPr>
          <w:spacing w:val="-2"/>
        </w:rPr>
        <w:t xml:space="preserve"> </w:t>
      </w:r>
      <w:r>
        <w:t>matéria</w:t>
      </w:r>
      <w:r>
        <w:rPr>
          <w:spacing w:val="-3"/>
        </w:rPr>
        <w:t xml:space="preserve"> </w:t>
      </w:r>
      <w:r>
        <w:t>referente</w:t>
      </w:r>
      <w:r>
        <w:rPr>
          <w:spacing w:val="-2"/>
        </w:rPr>
        <w:t xml:space="preserve"> </w:t>
      </w:r>
      <w:r>
        <w:t>à</w:t>
      </w:r>
      <w:r>
        <w:rPr>
          <w:spacing w:val="-2"/>
        </w:rPr>
        <w:t xml:space="preserve"> </w:t>
      </w:r>
      <w:r>
        <w:t>direito</w:t>
      </w:r>
      <w:r>
        <w:rPr>
          <w:spacing w:val="-1"/>
        </w:rPr>
        <w:t xml:space="preserve"> </w:t>
      </w:r>
      <w:r>
        <w:t>urbanístico,</w:t>
      </w:r>
      <w:r>
        <w:rPr>
          <w:spacing w:val="-1"/>
        </w:rPr>
        <w:t xml:space="preserve"> </w:t>
      </w:r>
      <w:r>
        <w:t>guarda</w:t>
      </w:r>
      <w:r>
        <w:rPr>
          <w:spacing w:val="-2"/>
        </w:rPr>
        <w:t xml:space="preserve"> </w:t>
      </w:r>
      <w:r>
        <w:t>estrita</w:t>
      </w:r>
      <w:r>
        <w:rPr>
          <w:spacing w:val="-2"/>
        </w:rPr>
        <w:t xml:space="preserve"> </w:t>
      </w:r>
      <w:r>
        <w:t>relação com</w:t>
      </w:r>
      <w:r>
        <w:rPr>
          <w:spacing w:val="-1"/>
        </w:rPr>
        <w:t xml:space="preserve"> </w:t>
      </w:r>
      <w:r>
        <w:t>a função</w:t>
      </w:r>
      <w:r>
        <w:rPr>
          <w:spacing w:val="-1"/>
        </w:rPr>
        <w:t xml:space="preserve"> </w:t>
      </w:r>
      <w:r>
        <w:t>social da propriedade.</w:t>
      </w:r>
    </w:p>
    <w:p w:rsidR="007259F2" w:rsidRDefault="00E655B4">
      <w:pPr>
        <w:pStyle w:val="Corpodetexto"/>
        <w:spacing w:before="1"/>
        <w:ind w:right="422"/>
      </w:pPr>
      <w:r>
        <w:t>Não se deve afirmar, ademais, em indevida interferência federal na competência legislativa dos Estados, Distrito Federal e Municípios. A garantia dos direitos fundamentais e sociais é um compromisso assumido por toda a federação, dever este que pode ser constatado na própria lei orgânica do Município de São Paulo, conforme já mencionado. Observa-se, portanto, que a previsão da legitimação fundiária é um instrumento que serve como diretriz geral estabelecida pelo Congresso Nacional para a política de regularização fundiária</w:t>
      </w:r>
      <w:r>
        <w:rPr>
          <w:spacing w:val="-2"/>
        </w:rPr>
        <w:t xml:space="preserve"> </w:t>
      </w:r>
      <w:r>
        <w:t>em toda federação. Não há usurpação de competência legislativa, dado que o papel da União Federal</w:t>
      </w:r>
      <w:r>
        <w:rPr>
          <w:spacing w:val="40"/>
        </w:rPr>
        <w:t xml:space="preserve"> </w:t>
      </w:r>
      <w:r>
        <w:t>se esgota com a edição da norma geral e</w:t>
      </w:r>
      <w:r>
        <w:rPr>
          <w:spacing w:val="40"/>
        </w:rPr>
        <w:t xml:space="preserve"> </w:t>
      </w:r>
      <w:r>
        <w:t>a posterior norma específica sobre bens federais.</w:t>
      </w:r>
    </w:p>
    <w:p w:rsidR="007259F2" w:rsidRDefault="00E655B4">
      <w:pPr>
        <w:pStyle w:val="Corpodetexto"/>
        <w:ind w:right="424"/>
      </w:pPr>
      <w:r>
        <w:t>Dando-se prosseguimento, necessário rememorar que a legitimação fundiária somente é aplicável no âmbito da Reurb. Este procedimento, por sua vez, é realizadode acordo com critérios de conveniência e oportunidade</w:t>
      </w:r>
      <w:r>
        <w:rPr>
          <w:spacing w:val="-2"/>
        </w:rPr>
        <w:t xml:space="preserve"> </w:t>
      </w:r>
      <w:r>
        <w:t>do administrador e</w:t>
      </w:r>
      <w:r>
        <w:rPr>
          <w:spacing w:val="-1"/>
        </w:rPr>
        <w:t xml:space="preserve"> </w:t>
      </w:r>
      <w:r>
        <w:t>desde</w:t>
      </w:r>
      <w:r>
        <w:rPr>
          <w:spacing w:val="-2"/>
        </w:rPr>
        <w:t xml:space="preserve"> </w:t>
      </w:r>
      <w:r>
        <w:t>que constatada a existência de núcleos urbanos informais consolidados, situação fática esta vista como de difícil reversão, tanto por motivos sociais, quanto urbanos. A atuação da administração pública, limitada pelo princípio da estrita legalidade, somente ocorre de acordo com as diretrizes definidas em lei para tanto, e é resguardada pela presunção de legitimidade e veracidade inerentes aos atos administrativos. O instituto jurídico estudado surge a partir do reconhecimento pelo Poder Público de sua própria inércia em garantir</w:t>
      </w:r>
      <w:r>
        <w:rPr>
          <w:spacing w:val="40"/>
        </w:rPr>
        <w:t xml:space="preserve"> </w:t>
      </w:r>
      <w:r>
        <w:t>o direito à moradia para a população, fato este que justifica, de maneira razoável e proporcional, a flexibilização da supremacia do interesse coletivo em volta dos imóveis públicos ao ponto de legitimar a ocupação por particulares de imóveis públicos não funcionalizados pela administração, ato este regulado tanto pelo marco temporal estipulado em lei, qual seja a data limite de 22 de dezembro de 2016, quanto à necessidade</w:t>
      </w:r>
      <w:r>
        <w:rPr>
          <w:spacing w:val="-2"/>
        </w:rPr>
        <w:t xml:space="preserve"> </w:t>
      </w:r>
      <w:r>
        <w:t>de constatação</w:t>
      </w:r>
      <w:r>
        <w:rPr>
          <w:spacing w:val="-1"/>
        </w:rPr>
        <w:t xml:space="preserve"> </w:t>
      </w:r>
      <w:r>
        <w:t>da irreversibilidade</w:t>
      </w:r>
      <w:r>
        <w:rPr>
          <w:spacing w:val="-2"/>
        </w:rPr>
        <w:t xml:space="preserve"> </w:t>
      </w:r>
      <w:r>
        <w:t>dos</w:t>
      </w:r>
      <w:r>
        <w:rPr>
          <w:spacing w:val="-1"/>
        </w:rPr>
        <w:t xml:space="preserve"> </w:t>
      </w:r>
      <w:r>
        <w:t>núcleos, requisito</w:t>
      </w:r>
      <w:r>
        <w:rPr>
          <w:spacing w:val="-1"/>
        </w:rPr>
        <w:t xml:space="preserve"> </w:t>
      </w:r>
      <w:r>
        <w:t>este a</w:t>
      </w:r>
      <w:r>
        <w:rPr>
          <w:spacing w:val="-2"/>
        </w:rPr>
        <w:t xml:space="preserve"> </w:t>
      </w:r>
      <w:r>
        <w:t>ser preenchido de forma complementar pelos demais entes federativos. Salvo prova em contrário, não se pode afirmar que a atuação do Poder Público ocorre em desconformidade com o preceito legal, de maneira a legitimar ocupações ilegais de imóveis públicos.</w:t>
      </w:r>
    </w:p>
    <w:p w:rsidR="007259F2" w:rsidRDefault="007259F2">
      <w:pPr>
        <w:pStyle w:val="Corpodetexto"/>
        <w:sectPr w:rsidR="007259F2">
          <w:pgSz w:w="11910" w:h="16840"/>
          <w:pgMar w:top="1600" w:right="708" w:bottom="1020" w:left="992" w:header="0" w:footer="820" w:gutter="0"/>
          <w:cols w:space="720"/>
        </w:sectPr>
      </w:pPr>
    </w:p>
    <w:p w:rsidR="007259F2" w:rsidRDefault="00E655B4">
      <w:pPr>
        <w:pStyle w:val="Corpodetexto"/>
        <w:spacing w:before="75"/>
        <w:ind w:right="421"/>
      </w:pPr>
      <w:r>
        <w:lastRenderedPageBreak/>
        <w:t>Outra crítica apresentada ao instituto é a de que a sua semelhança com a usucapião justificaria a necessidade de respeitar-se o comando disposto no §3º do art. 183 da Constituição Federal de 1988. Necessário elaborar algumas considerações para diferenciar corretamente a legitimação fundiária da usucapião urbana.</w:t>
      </w:r>
      <w:r>
        <w:rPr>
          <w:spacing w:val="40"/>
        </w:rPr>
        <w:t xml:space="preserve"> </w:t>
      </w:r>
      <w:r>
        <w:t>Consta do texto constitucional os requisitos desta última, que são: a) área a ser usucapida de até 250m</w:t>
      </w:r>
      <w:r>
        <w:rPr>
          <w:vertAlign w:val="superscript"/>
        </w:rPr>
        <w:t>2</w:t>
      </w:r>
      <w:r>
        <w:t>; b) posse mansa,</w:t>
      </w:r>
      <w:r>
        <w:rPr>
          <w:spacing w:val="40"/>
        </w:rPr>
        <w:t xml:space="preserve"> </w:t>
      </w:r>
      <w:r>
        <w:t>pacífica</w:t>
      </w:r>
      <w:r>
        <w:rPr>
          <w:spacing w:val="2"/>
        </w:rPr>
        <w:t xml:space="preserve"> </w:t>
      </w:r>
      <w:r>
        <w:t>e</w:t>
      </w:r>
      <w:r>
        <w:rPr>
          <w:spacing w:val="3"/>
        </w:rPr>
        <w:t xml:space="preserve"> </w:t>
      </w:r>
      <w:r>
        <w:t>ininterrupta</w:t>
      </w:r>
      <w:r>
        <w:rPr>
          <w:spacing w:val="2"/>
        </w:rPr>
        <w:t xml:space="preserve"> </w:t>
      </w:r>
      <w:r>
        <w:t>por</w:t>
      </w:r>
      <w:r>
        <w:rPr>
          <w:spacing w:val="3"/>
        </w:rPr>
        <w:t xml:space="preserve"> </w:t>
      </w:r>
      <w:r>
        <w:t>cinco</w:t>
      </w:r>
      <w:r>
        <w:rPr>
          <w:spacing w:val="3"/>
        </w:rPr>
        <w:t xml:space="preserve"> </w:t>
      </w:r>
      <w:r>
        <w:t>anos;</w:t>
      </w:r>
      <w:r>
        <w:rPr>
          <w:spacing w:val="5"/>
        </w:rPr>
        <w:t xml:space="preserve"> </w:t>
      </w:r>
      <w:r>
        <w:t>c)</w:t>
      </w:r>
      <w:r>
        <w:rPr>
          <w:spacing w:val="2"/>
        </w:rPr>
        <w:t xml:space="preserve"> </w:t>
      </w:r>
      <w:r>
        <w:t>não</w:t>
      </w:r>
      <w:r>
        <w:rPr>
          <w:spacing w:val="4"/>
        </w:rPr>
        <w:t xml:space="preserve"> </w:t>
      </w:r>
      <w:r>
        <w:t>ser</w:t>
      </w:r>
      <w:r>
        <w:rPr>
          <w:spacing w:val="2"/>
        </w:rPr>
        <w:t xml:space="preserve"> </w:t>
      </w:r>
      <w:r>
        <w:t>proprietário</w:t>
      </w:r>
      <w:r>
        <w:rPr>
          <w:spacing w:val="4"/>
        </w:rPr>
        <w:t xml:space="preserve"> </w:t>
      </w:r>
      <w:r>
        <w:t>de</w:t>
      </w:r>
      <w:r>
        <w:rPr>
          <w:spacing w:val="2"/>
        </w:rPr>
        <w:t xml:space="preserve"> </w:t>
      </w:r>
      <w:r>
        <w:t>outro</w:t>
      </w:r>
      <w:r>
        <w:rPr>
          <w:spacing w:val="4"/>
        </w:rPr>
        <w:t xml:space="preserve"> </w:t>
      </w:r>
      <w:r>
        <w:t>imóvel</w:t>
      </w:r>
      <w:r>
        <w:rPr>
          <w:spacing w:val="4"/>
        </w:rPr>
        <w:t xml:space="preserve"> </w:t>
      </w:r>
      <w:r>
        <w:t>urbano</w:t>
      </w:r>
      <w:r>
        <w:rPr>
          <w:spacing w:val="4"/>
        </w:rPr>
        <w:t xml:space="preserve"> </w:t>
      </w:r>
      <w:r>
        <w:t>ou</w:t>
      </w:r>
      <w:r>
        <w:rPr>
          <w:spacing w:val="4"/>
        </w:rPr>
        <w:t xml:space="preserve"> </w:t>
      </w:r>
      <w:r>
        <w:rPr>
          <w:spacing w:val="-2"/>
        </w:rPr>
        <w:t>rural;</w:t>
      </w:r>
    </w:p>
    <w:p w:rsidR="007259F2" w:rsidRDefault="00E655B4">
      <w:pPr>
        <w:pStyle w:val="Corpodetexto"/>
        <w:ind w:right="429" w:firstLine="0"/>
      </w:pPr>
      <w:r>
        <w:t>d) não ser ter sido anteriormente contemplado pela usucapião urbana de outro imóvel; e) utilizar o bem a ser usucapido para fins de moradia.</w:t>
      </w:r>
    </w:p>
    <w:p w:rsidR="007259F2" w:rsidRDefault="00E655B4">
      <w:pPr>
        <w:pStyle w:val="Corpodetexto"/>
        <w:ind w:right="421"/>
      </w:pPr>
      <w:r>
        <w:t xml:space="preserve">Os institutos ora comparados possuem apenas duas semelhanças. São elas a natureza de forma originária de aquisição de propriedade e o fato de condicionarem a utilização do imóvel à finalidade de moradia. No mais, importa relembrar que a legitimação fundiária carece do principal fundamento presente na usucapião, que é a caracterização da posse. Para a teoria objetiva da posse, idealizada por Ihering, esta é a obtenção do poder de fato do sujeito em relação à coisa, não sendo necessária a demonstração do </w:t>
      </w:r>
      <w:r>
        <w:rPr>
          <w:i/>
        </w:rPr>
        <w:t>animus</w:t>
      </w:r>
      <w:r>
        <w:t>, visto que inerente à exteriorização daquela. Enquanto não conferida a legitimação exclusivamente pelo poder público, não há que se falar em posse do ocupante, mas mera detenção do bem público.</w:t>
      </w:r>
    </w:p>
    <w:p w:rsidR="007259F2" w:rsidRDefault="00E655B4">
      <w:pPr>
        <w:pStyle w:val="Corpodetexto"/>
        <w:spacing w:before="1"/>
        <w:ind w:right="423"/>
      </w:pPr>
      <w:r>
        <w:t>Por fim, aborda-se a suposta lesão ao princípio da isonomia frente a não exigência dos requisitos do §1º do art. 23 da lei 13.465/2017 para a concessão da legitimação no âmbito da REURB-E. Conforme retro mencionado, compreende-se que o instituto da legitimação fundiária, em virtude de sua finalidade social, deve ser apenas aplicado no âmbito da</w:t>
      </w:r>
      <w:r>
        <w:rPr>
          <w:spacing w:val="80"/>
        </w:rPr>
        <w:t xml:space="preserve"> </w:t>
      </w:r>
      <w:r>
        <w:t>REURB-S, visto que concebido em virtude da flexibilização da supremacia do interesse público ocasionada pelo direito à moradia da parcela da população caracterizada como de baixa renda. Estende-lo ao âmbito da REURB-E representa, inicialmente, indevido desvirtuamento do instituto criado, fato este que pode ser superado quando considerado o entendimento do STJ sobre a concessão da usucapião especial quando parte do imóvel for destinada ao uso econômico pelo possuidor, a fim de que provenha seu próprio sustento.</w:t>
      </w:r>
      <w:r>
        <w:rPr>
          <w:vertAlign w:val="superscript"/>
        </w:rPr>
        <w:t>17</w:t>
      </w:r>
    </w:p>
    <w:p w:rsidR="007259F2" w:rsidRDefault="00E655B4">
      <w:pPr>
        <w:pStyle w:val="Heading2"/>
        <w:numPr>
          <w:ilvl w:val="0"/>
          <w:numId w:val="21"/>
        </w:numPr>
        <w:tabs>
          <w:tab w:val="left" w:pos="1278"/>
        </w:tabs>
        <w:spacing w:before="205"/>
        <w:ind w:left="1278" w:hanging="357"/>
        <w:jc w:val="both"/>
      </w:pPr>
      <w:r>
        <w:t>Conclusões</w:t>
      </w:r>
      <w:r>
        <w:rPr>
          <w:spacing w:val="-1"/>
        </w:rPr>
        <w:t xml:space="preserve"> </w:t>
      </w:r>
      <w:r>
        <w:rPr>
          <w:spacing w:val="-2"/>
        </w:rPr>
        <w:t>finais</w:t>
      </w:r>
    </w:p>
    <w:p w:rsidR="007259F2" w:rsidRDefault="00E655B4">
      <w:pPr>
        <w:pStyle w:val="Corpodetexto"/>
        <w:spacing w:before="115"/>
        <w:ind w:right="419"/>
      </w:pPr>
      <w:r>
        <w:t>Com base na descrição realizada de ambos os institutos, pode-se afirmar que a legitimação fundiária representa um aprimoramento da concessão especial de uso para fins de moradia. Não se considera apenas o fato de que esta decorre de ato discricionário do poder público, enquanto a concessão representa um ato vinculado, mas também se observa que, diante de determinadas situações, mais vale para a segurança jurídica no processo de reurbanização a efetiva titulação dos ocupantes de imóveis públicos como proprietários. Chega-se a tal decisão através da já mencionada reinterpretação do princípio da supremacia</w:t>
      </w:r>
      <w:r>
        <w:rPr>
          <w:spacing w:val="40"/>
        </w:rPr>
        <w:t xml:space="preserve"> </w:t>
      </w:r>
      <w:r>
        <w:t>do interesse público sobre o particular.</w:t>
      </w:r>
    </w:p>
    <w:p w:rsidR="007259F2" w:rsidRDefault="00E655B4">
      <w:pPr>
        <w:pStyle w:val="Corpodetexto"/>
        <w:spacing w:before="1"/>
        <w:ind w:right="421"/>
      </w:pPr>
      <w:r>
        <w:t>Celso Antônio Bandeira de Mello define interesse público como o conjunto de interesses que possuem um grupo de indivíduos enquanto sociedade. Entre as críticas tecidas contra o princípio em estudo, menciona-se a afirmação de que este não pode existir de forma abstrata, de forma a preceder a realização de uma adequada ponderação entre o interesse privado e o interesse público. Importa perceber, todavia, que o interesse público primário é o próprio critério a ser utilizado na ponderação a ser realizada. As transformações trazidas pelo fenômeno recente da constitucionalização do direito administrativo não implicam na superação desta supremacia, mas sim no ato de repensar o modo de atuação do Estado, que não pode mais agir sobre a justificativa do cumprimento da letra da lei, dado que deve passar</w:t>
      </w:r>
      <w:r>
        <w:rPr>
          <w:spacing w:val="40"/>
        </w:rPr>
        <w:t xml:space="preserve"> </w:t>
      </w:r>
      <w:r>
        <w:t>a</w:t>
      </w:r>
      <w:r>
        <w:rPr>
          <w:spacing w:val="29"/>
        </w:rPr>
        <w:t xml:space="preserve"> </w:t>
      </w:r>
      <w:r>
        <w:t>buscar</w:t>
      </w:r>
      <w:r>
        <w:rPr>
          <w:spacing w:val="31"/>
        </w:rPr>
        <w:t xml:space="preserve"> </w:t>
      </w:r>
      <w:r>
        <w:t>legitimidade</w:t>
      </w:r>
      <w:r>
        <w:rPr>
          <w:spacing w:val="30"/>
        </w:rPr>
        <w:t xml:space="preserve"> </w:t>
      </w:r>
      <w:r>
        <w:t>democrática</w:t>
      </w:r>
      <w:r>
        <w:rPr>
          <w:spacing w:val="31"/>
        </w:rPr>
        <w:t xml:space="preserve"> </w:t>
      </w:r>
      <w:r>
        <w:t>para</w:t>
      </w:r>
      <w:r>
        <w:rPr>
          <w:spacing w:val="30"/>
        </w:rPr>
        <w:t xml:space="preserve"> </w:t>
      </w:r>
      <w:r>
        <w:t>seus</w:t>
      </w:r>
      <w:r>
        <w:rPr>
          <w:spacing w:val="35"/>
        </w:rPr>
        <w:t xml:space="preserve"> </w:t>
      </w:r>
      <w:r>
        <w:t>atos,</w:t>
      </w:r>
      <w:r>
        <w:rPr>
          <w:spacing w:val="33"/>
        </w:rPr>
        <w:t xml:space="preserve"> </w:t>
      </w:r>
      <w:r>
        <w:t>elemento</w:t>
      </w:r>
      <w:r>
        <w:rPr>
          <w:spacing w:val="32"/>
        </w:rPr>
        <w:t xml:space="preserve"> </w:t>
      </w:r>
      <w:r>
        <w:t>este</w:t>
      </w:r>
      <w:r>
        <w:rPr>
          <w:spacing w:val="32"/>
        </w:rPr>
        <w:t xml:space="preserve"> </w:t>
      </w:r>
      <w:r>
        <w:t>que</w:t>
      </w:r>
      <w:r>
        <w:rPr>
          <w:spacing w:val="31"/>
        </w:rPr>
        <w:t xml:space="preserve"> </w:t>
      </w:r>
      <w:r>
        <w:t>só</w:t>
      </w:r>
      <w:r>
        <w:rPr>
          <w:spacing w:val="35"/>
        </w:rPr>
        <w:t xml:space="preserve"> </w:t>
      </w:r>
      <w:r>
        <w:t>pode</w:t>
      </w:r>
      <w:r>
        <w:rPr>
          <w:spacing w:val="31"/>
        </w:rPr>
        <w:t xml:space="preserve"> </w:t>
      </w:r>
      <w:r>
        <w:t>ser</w:t>
      </w:r>
      <w:r>
        <w:rPr>
          <w:spacing w:val="32"/>
        </w:rPr>
        <w:t xml:space="preserve"> </w:t>
      </w:r>
      <w:r>
        <w:rPr>
          <w:spacing w:val="-2"/>
        </w:rPr>
        <w:t>conferido</w:t>
      </w:r>
    </w:p>
    <w:p w:rsidR="007259F2" w:rsidRDefault="00DE6B1C">
      <w:pPr>
        <w:pStyle w:val="Corpodetexto"/>
        <w:ind w:left="0" w:firstLine="0"/>
        <w:jc w:val="left"/>
        <w:rPr>
          <w:sz w:val="17"/>
        </w:rPr>
      </w:pPr>
      <w:r w:rsidRPr="00DE6B1C">
        <w:rPr>
          <w:sz w:val="17"/>
        </w:rPr>
        <w:pict>
          <v:rect id="docshape158" o:spid="_x0000_s1069" style="position:absolute;margin-left:85.1pt;margin-top:11pt;width:2in;height:.7pt;z-index:-15657984;mso-wrap-distance-left:0;mso-wrap-distance-right:0;mso-position-horizontal-relative:page" fillcolor="black" stroked="f">
            <w10:wrap type="topAndBottom" anchorx="page"/>
          </v:rect>
        </w:pict>
      </w:r>
    </w:p>
    <w:p w:rsidR="007259F2" w:rsidRDefault="00E655B4">
      <w:pPr>
        <w:spacing w:before="97"/>
        <w:ind w:left="710"/>
        <w:rPr>
          <w:sz w:val="20"/>
        </w:rPr>
      </w:pPr>
      <w:r>
        <w:rPr>
          <w:sz w:val="20"/>
          <w:vertAlign w:val="superscript"/>
        </w:rPr>
        <w:t>17</w:t>
      </w:r>
      <w:r>
        <w:rPr>
          <w:sz w:val="20"/>
        </w:rPr>
        <w:t xml:space="preserve"> BRASIL.</w:t>
      </w:r>
      <w:r>
        <w:rPr>
          <w:spacing w:val="80"/>
          <w:sz w:val="20"/>
        </w:rPr>
        <w:t xml:space="preserve"> </w:t>
      </w:r>
      <w:r>
        <w:rPr>
          <w:sz w:val="20"/>
        </w:rPr>
        <w:t>Superior</w:t>
      </w:r>
      <w:r>
        <w:rPr>
          <w:spacing w:val="80"/>
          <w:sz w:val="20"/>
        </w:rPr>
        <w:t xml:space="preserve"> </w:t>
      </w:r>
      <w:r>
        <w:rPr>
          <w:sz w:val="20"/>
        </w:rPr>
        <w:t>Tribunal</w:t>
      </w:r>
      <w:r>
        <w:rPr>
          <w:spacing w:val="80"/>
          <w:sz w:val="20"/>
        </w:rPr>
        <w:t xml:space="preserve"> </w:t>
      </w:r>
      <w:r>
        <w:rPr>
          <w:sz w:val="20"/>
        </w:rPr>
        <w:t>de</w:t>
      </w:r>
      <w:r>
        <w:rPr>
          <w:spacing w:val="80"/>
          <w:sz w:val="20"/>
        </w:rPr>
        <w:t xml:space="preserve"> </w:t>
      </w:r>
      <w:r>
        <w:rPr>
          <w:sz w:val="20"/>
        </w:rPr>
        <w:t>Justiça.</w:t>
      </w:r>
      <w:r>
        <w:rPr>
          <w:spacing w:val="80"/>
          <w:sz w:val="20"/>
        </w:rPr>
        <w:t xml:space="preserve"> </w:t>
      </w:r>
      <w:r>
        <w:rPr>
          <w:b/>
          <w:sz w:val="20"/>
        </w:rPr>
        <w:t>Recurso</w:t>
      </w:r>
      <w:r>
        <w:rPr>
          <w:b/>
          <w:spacing w:val="80"/>
          <w:sz w:val="20"/>
        </w:rPr>
        <w:t xml:space="preserve"> </w:t>
      </w:r>
      <w:r>
        <w:rPr>
          <w:b/>
          <w:sz w:val="20"/>
        </w:rPr>
        <w:t>Especial</w:t>
      </w:r>
      <w:r>
        <w:rPr>
          <w:b/>
          <w:spacing w:val="80"/>
          <w:sz w:val="20"/>
        </w:rPr>
        <w:t xml:space="preserve"> </w:t>
      </w:r>
      <w:r>
        <w:rPr>
          <w:b/>
          <w:sz w:val="20"/>
        </w:rPr>
        <w:t>nº</w:t>
      </w:r>
      <w:r>
        <w:rPr>
          <w:b/>
          <w:spacing w:val="80"/>
          <w:sz w:val="20"/>
        </w:rPr>
        <w:t xml:space="preserve"> </w:t>
      </w:r>
      <w:r>
        <w:rPr>
          <w:b/>
          <w:sz w:val="20"/>
        </w:rPr>
        <w:t>1.777.404</w:t>
      </w:r>
      <w:r>
        <w:rPr>
          <w:sz w:val="20"/>
        </w:rPr>
        <w:t>.</w:t>
      </w:r>
      <w:r>
        <w:rPr>
          <w:spacing w:val="80"/>
          <w:sz w:val="20"/>
        </w:rPr>
        <w:t xml:space="preserve"> </w:t>
      </w:r>
      <w:r>
        <w:rPr>
          <w:sz w:val="20"/>
        </w:rPr>
        <w:t>Disponível</w:t>
      </w:r>
      <w:r>
        <w:rPr>
          <w:spacing w:val="80"/>
          <w:sz w:val="20"/>
        </w:rPr>
        <w:t xml:space="preserve"> </w:t>
      </w:r>
      <w:r>
        <w:rPr>
          <w:sz w:val="20"/>
        </w:rPr>
        <w:t xml:space="preserve">em: </w:t>
      </w:r>
      <w:r>
        <w:rPr>
          <w:spacing w:val="-2"/>
          <w:sz w:val="20"/>
        </w:rPr>
        <w:t>https://processo.stj.jus.br/processo/pesquisa/?aplicacao=processos.ea&amp;tipoPesquisa=tipoPesquisaGenerica&amp;termo</w:t>
      </w:r>
    </w:p>
    <w:p w:rsidR="007259F2" w:rsidRDefault="00E655B4">
      <w:pPr>
        <w:ind w:left="710"/>
        <w:rPr>
          <w:sz w:val="20"/>
        </w:rPr>
      </w:pPr>
      <w:r>
        <w:rPr>
          <w:sz w:val="20"/>
        </w:rPr>
        <w:t>=REsp%201777404.</w:t>
      </w:r>
      <w:r>
        <w:rPr>
          <w:spacing w:val="-13"/>
          <w:sz w:val="20"/>
        </w:rPr>
        <w:t xml:space="preserve"> </w:t>
      </w:r>
      <w:r>
        <w:rPr>
          <w:sz w:val="20"/>
        </w:rPr>
        <w:t>Acesso</w:t>
      </w:r>
      <w:r>
        <w:rPr>
          <w:spacing w:val="-10"/>
          <w:sz w:val="20"/>
        </w:rPr>
        <w:t xml:space="preserve"> </w:t>
      </w:r>
      <w:r>
        <w:rPr>
          <w:sz w:val="20"/>
        </w:rPr>
        <w:t>em:</w:t>
      </w:r>
      <w:r>
        <w:rPr>
          <w:spacing w:val="-8"/>
          <w:sz w:val="20"/>
        </w:rPr>
        <w:t xml:space="preserve"> </w:t>
      </w:r>
      <w:r>
        <w:rPr>
          <w:sz w:val="20"/>
        </w:rPr>
        <w:t>03</w:t>
      </w:r>
      <w:r>
        <w:rPr>
          <w:spacing w:val="-5"/>
          <w:sz w:val="20"/>
        </w:rPr>
        <w:t xml:space="preserve"> </w:t>
      </w:r>
      <w:r>
        <w:rPr>
          <w:sz w:val="20"/>
        </w:rPr>
        <w:t>jun.</w:t>
      </w:r>
      <w:r>
        <w:rPr>
          <w:spacing w:val="-7"/>
          <w:sz w:val="20"/>
        </w:rPr>
        <w:t xml:space="preserve"> </w:t>
      </w:r>
      <w:r>
        <w:rPr>
          <w:spacing w:val="-2"/>
          <w:sz w:val="20"/>
        </w:rPr>
        <w:t>2024.</w:t>
      </w:r>
    </w:p>
    <w:p w:rsidR="007259F2" w:rsidRDefault="007259F2">
      <w:pPr>
        <w:rPr>
          <w:sz w:val="20"/>
        </w:rPr>
        <w:sectPr w:rsidR="007259F2">
          <w:pgSz w:w="11910" w:h="16840"/>
          <w:pgMar w:top="1600" w:right="708" w:bottom="1020" w:left="992" w:header="0" w:footer="820" w:gutter="0"/>
          <w:cols w:space="720"/>
        </w:sectPr>
      </w:pPr>
    </w:p>
    <w:p w:rsidR="007259F2" w:rsidRDefault="00E655B4">
      <w:pPr>
        <w:pStyle w:val="Corpodetexto"/>
        <w:spacing w:before="75"/>
        <w:ind w:right="424" w:firstLine="0"/>
      </w:pPr>
      <w:r>
        <w:lastRenderedPageBreak/>
        <w:t>pelo povo, fonte primária do poder, conforme se depreende do art. 1º, parágrafo único da Constituição Federal de 1988.</w:t>
      </w:r>
    </w:p>
    <w:p w:rsidR="007259F2" w:rsidRDefault="00E655B4">
      <w:pPr>
        <w:pStyle w:val="Corpodetexto"/>
        <w:ind w:right="420"/>
      </w:pPr>
      <w:r>
        <w:t>Depara-se</w:t>
      </w:r>
      <w:r>
        <w:rPr>
          <w:spacing w:val="-2"/>
        </w:rPr>
        <w:t xml:space="preserve"> </w:t>
      </w:r>
      <w:r>
        <w:t>com</w:t>
      </w:r>
      <w:r>
        <w:rPr>
          <w:spacing w:val="-1"/>
        </w:rPr>
        <w:t xml:space="preserve"> </w:t>
      </w:r>
      <w:r>
        <w:t>verdadeira</w:t>
      </w:r>
      <w:r>
        <w:rPr>
          <w:spacing w:val="-2"/>
        </w:rPr>
        <w:t xml:space="preserve"> </w:t>
      </w:r>
      <w:r>
        <w:t>perda</w:t>
      </w:r>
      <w:r>
        <w:rPr>
          <w:spacing w:val="-3"/>
        </w:rPr>
        <w:t xml:space="preserve"> </w:t>
      </w:r>
      <w:r>
        <w:t>do</w:t>
      </w:r>
      <w:r>
        <w:rPr>
          <w:spacing w:val="-1"/>
        </w:rPr>
        <w:t xml:space="preserve"> </w:t>
      </w:r>
      <w:r>
        <w:t>antigo</w:t>
      </w:r>
      <w:r>
        <w:rPr>
          <w:spacing w:val="-1"/>
        </w:rPr>
        <w:t xml:space="preserve"> </w:t>
      </w:r>
      <w:r>
        <w:t>monopólio</w:t>
      </w:r>
      <w:r>
        <w:rPr>
          <w:spacing w:val="-1"/>
        </w:rPr>
        <w:t xml:space="preserve"> </w:t>
      </w:r>
      <w:r>
        <w:t>estatal</w:t>
      </w:r>
      <w:r>
        <w:rPr>
          <w:spacing w:val="-1"/>
        </w:rPr>
        <w:t xml:space="preserve"> </w:t>
      </w:r>
      <w:r>
        <w:t>em</w:t>
      </w:r>
      <w:r>
        <w:rPr>
          <w:spacing w:val="-1"/>
        </w:rPr>
        <w:t xml:space="preserve"> </w:t>
      </w:r>
      <w:r>
        <w:t>identificar</w:t>
      </w:r>
      <w:r>
        <w:rPr>
          <w:spacing w:val="-2"/>
        </w:rPr>
        <w:t xml:space="preserve"> </w:t>
      </w:r>
      <w:r>
        <w:t>o</w:t>
      </w:r>
      <w:r>
        <w:rPr>
          <w:spacing w:val="-1"/>
        </w:rPr>
        <w:t xml:space="preserve"> </w:t>
      </w:r>
      <w:r>
        <w:t>que</w:t>
      </w:r>
      <w:r>
        <w:rPr>
          <w:spacing w:val="-2"/>
        </w:rPr>
        <w:t xml:space="preserve"> </w:t>
      </w:r>
      <w:r>
        <w:t>deve ser compreendido como interesse público. Uma vez superada a concepção de que o poder público é a única fonte do qual emergem as decisões políticas, surge uma repartição do poder decisório com o particular que, sendo titular do interesse a ser tutelado pela Administração Pública,</w:t>
      </w:r>
      <w:r>
        <w:rPr>
          <w:spacing w:val="-1"/>
        </w:rPr>
        <w:t xml:space="preserve"> </w:t>
      </w:r>
      <w:r>
        <w:t>é</w:t>
      </w:r>
      <w:r>
        <w:rPr>
          <w:spacing w:val="-2"/>
        </w:rPr>
        <w:t xml:space="preserve"> </w:t>
      </w:r>
      <w:r>
        <w:t>alçado</w:t>
      </w:r>
      <w:r>
        <w:rPr>
          <w:spacing w:val="-1"/>
        </w:rPr>
        <w:t xml:space="preserve"> </w:t>
      </w:r>
      <w:r>
        <w:t>ao</w:t>
      </w:r>
      <w:r>
        <w:rPr>
          <w:spacing w:val="-1"/>
        </w:rPr>
        <w:t xml:space="preserve"> </w:t>
      </w:r>
      <w:r>
        <w:t>posto</w:t>
      </w:r>
      <w:r>
        <w:rPr>
          <w:spacing w:val="-1"/>
        </w:rPr>
        <w:t xml:space="preserve"> </w:t>
      </w:r>
      <w:r>
        <w:t>de</w:t>
      </w:r>
      <w:r>
        <w:rPr>
          <w:spacing w:val="-2"/>
        </w:rPr>
        <w:t xml:space="preserve"> </w:t>
      </w:r>
      <w:r>
        <w:t>coparticipe</w:t>
      </w:r>
      <w:r>
        <w:rPr>
          <w:spacing w:val="-3"/>
        </w:rPr>
        <w:t xml:space="preserve"> </w:t>
      </w:r>
      <w:r>
        <w:t>nesta</w:t>
      </w:r>
      <w:r>
        <w:rPr>
          <w:spacing w:val="-2"/>
        </w:rPr>
        <w:t xml:space="preserve"> </w:t>
      </w:r>
      <w:r>
        <w:t>tarefa</w:t>
      </w:r>
      <w:r>
        <w:rPr>
          <w:spacing w:val="-1"/>
        </w:rPr>
        <w:t xml:space="preserve"> </w:t>
      </w:r>
      <w:r>
        <w:t>de</w:t>
      </w:r>
      <w:r>
        <w:rPr>
          <w:spacing w:val="-2"/>
        </w:rPr>
        <w:t xml:space="preserve"> </w:t>
      </w:r>
      <w:r>
        <w:t>identificar</w:t>
      </w:r>
      <w:r>
        <w:rPr>
          <w:spacing w:val="-2"/>
        </w:rPr>
        <w:t xml:space="preserve"> </w:t>
      </w:r>
      <w:r>
        <w:t>o</w:t>
      </w:r>
      <w:r>
        <w:rPr>
          <w:spacing w:val="-1"/>
        </w:rPr>
        <w:t xml:space="preserve"> </w:t>
      </w:r>
      <w:r>
        <w:t>interesse</w:t>
      </w:r>
      <w:r>
        <w:rPr>
          <w:spacing w:val="-2"/>
        </w:rPr>
        <w:t xml:space="preserve"> </w:t>
      </w:r>
      <w:r>
        <w:t>social</w:t>
      </w:r>
      <w:r>
        <w:rPr>
          <w:spacing w:val="-1"/>
        </w:rPr>
        <w:t xml:space="preserve"> </w:t>
      </w:r>
      <w:r>
        <w:t>comum</w:t>
      </w:r>
      <w:r>
        <w:rPr>
          <w:spacing w:val="-1"/>
        </w:rPr>
        <w:t xml:space="preserve"> </w:t>
      </w:r>
      <w:r>
        <w:t>e assim legitimá-lo. Essa falta de legitimidade da administração demonstra, por um lado, o enfraquecimento do modelo de democracia representativa, e por outro, a necessidade</w:t>
      </w:r>
      <w:r>
        <w:rPr>
          <w:spacing w:val="40"/>
        </w:rPr>
        <w:t xml:space="preserve"> </w:t>
      </w:r>
      <w:r>
        <w:t>crescente de adotar-se maiores instrumentos que possibilitem a democracia participativa no intuito de que se fortaleça o exercício da cidadania nos espaços públicos e assim se obtenha a aceitabilidade social e a formação de consenso coletivo sobre os atos administrativos, elementos estes que compõem um verdadeiro interesse público. Ressalta-se, neste ponto, que referida realidade não passou despercebida do constituinte de 1988, dado que em diversos pontos do texto constitucional os cidadãos brasileiros são chamados a participar da formação da vontade pública. Cita, a título de exemplo, as disposições constitucionais dos artigos 194 e seguintes, onde se vislumbra a previsão de que a seguridade social é composta por um conjunto de ações tanto do poder público quanto da sociedade; inciso VI do art. 206, onde consta</w:t>
      </w:r>
      <w:r>
        <w:rPr>
          <w:spacing w:val="40"/>
        </w:rPr>
        <w:t xml:space="preserve"> </w:t>
      </w:r>
      <w:r>
        <w:t>que a gestão do ensino público terá caráter democrático e ainda a previsão do §1º do art. 216, que dispõe sobre a colaboração da comunidade para com o poder público na prote- ção do patrimônio cultural brasileiro. A funcionalização do direito a propriedade, portanto, mostra-se como mais uma previsão neste mesmo sentido. Vale observar, no mais, não haver distinção quanto à natureza do direito, razão pela qual pode ser aplicada tanto à propriedade privada quanto pública.</w:t>
      </w:r>
    </w:p>
    <w:p w:rsidR="007259F2" w:rsidRDefault="00E655B4">
      <w:pPr>
        <w:pStyle w:val="Corpodetexto"/>
        <w:spacing w:before="2"/>
        <w:ind w:right="420"/>
      </w:pPr>
      <w:r>
        <w:t>A supremacia do interesse público sobre o particular não é mero critério para hierarquizar direitos e interesses. Representa, em verdade, um vetor para exercer uma interpretação dos institutos jurídicos utilizados na sociedade, a fim de que se transforme cada vez mais a interpretação do direito, segundo Peter Haberle, em uma ciência da experiência, a fim de que a aplicação da norma possa representar as pessoas sobre as quais incide.</w:t>
      </w:r>
      <w:r>
        <w:rPr>
          <w:vertAlign w:val="superscript"/>
        </w:rPr>
        <w:t>18</w:t>
      </w:r>
      <w:r>
        <w:t xml:space="preserve"> Compreendendo-se da melhor forma a aplicabilidade do princípio.</w:t>
      </w:r>
    </w:p>
    <w:p w:rsidR="007259F2" w:rsidRDefault="00E655B4">
      <w:pPr>
        <w:pStyle w:val="Corpodetexto"/>
        <w:ind w:right="419"/>
      </w:pPr>
      <w:r>
        <w:t>Feitas tais considerações, volta-se a atenção à realidade brasileira, a fim de que se realize</w:t>
      </w:r>
      <w:r>
        <w:rPr>
          <w:spacing w:val="-4"/>
        </w:rPr>
        <w:t xml:space="preserve"> </w:t>
      </w:r>
      <w:r>
        <w:t>ponderação</w:t>
      </w:r>
      <w:r>
        <w:rPr>
          <w:spacing w:val="-3"/>
        </w:rPr>
        <w:t xml:space="preserve"> </w:t>
      </w:r>
      <w:r>
        <w:t>entre</w:t>
      </w:r>
      <w:r>
        <w:rPr>
          <w:spacing w:val="-2"/>
        </w:rPr>
        <w:t xml:space="preserve"> </w:t>
      </w:r>
      <w:r>
        <w:t>os</w:t>
      </w:r>
      <w:r>
        <w:rPr>
          <w:spacing w:val="-3"/>
        </w:rPr>
        <w:t xml:space="preserve"> </w:t>
      </w:r>
      <w:r>
        <w:t>princípios</w:t>
      </w:r>
      <w:r>
        <w:rPr>
          <w:spacing w:val="-3"/>
        </w:rPr>
        <w:t xml:space="preserve"> </w:t>
      </w:r>
      <w:r>
        <w:t>em</w:t>
      </w:r>
      <w:r>
        <w:rPr>
          <w:spacing w:val="-2"/>
        </w:rPr>
        <w:t xml:space="preserve"> </w:t>
      </w:r>
      <w:r>
        <w:t>choque,</w:t>
      </w:r>
      <w:r>
        <w:rPr>
          <w:spacing w:val="-1"/>
        </w:rPr>
        <w:t xml:space="preserve"> </w:t>
      </w:r>
      <w:r>
        <w:t>sobretudo</w:t>
      </w:r>
      <w:r>
        <w:rPr>
          <w:spacing w:val="-3"/>
        </w:rPr>
        <w:t xml:space="preserve"> </w:t>
      </w:r>
      <w:r>
        <w:t>por</w:t>
      </w:r>
      <w:r>
        <w:rPr>
          <w:spacing w:val="-2"/>
        </w:rPr>
        <w:t xml:space="preserve"> </w:t>
      </w:r>
      <w:r>
        <w:t>meio</w:t>
      </w:r>
      <w:r>
        <w:rPr>
          <w:spacing w:val="-3"/>
        </w:rPr>
        <w:t xml:space="preserve"> </w:t>
      </w:r>
      <w:r>
        <w:t>da</w:t>
      </w:r>
      <w:r>
        <w:rPr>
          <w:spacing w:val="-2"/>
        </w:rPr>
        <w:t xml:space="preserve"> </w:t>
      </w:r>
      <w:r>
        <w:t>utilização</w:t>
      </w:r>
      <w:r>
        <w:rPr>
          <w:spacing w:val="-3"/>
        </w:rPr>
        <w:t xml:space="preserve"> </w:t>
      </w:r>
      <w:r>
        <w:t>do critério da</w:t>
      </w:r>
      <w:r>
        <w:rPr>
          <w:spacing w:val="-5"/>
        </w:rPr>
        <w:t xml:space="preserve"> </w:t>
      </w:r>
      <w:r>
        <w:t>proporcionalidade,</w:t>
      </w:r>
      <w:r>
        <w:rPr>
          <w:spacing w:val="-3"/>
        </w:rPr>
        <w:t xml:space="preserve"> </w:t>
      </w:r>
      <w:r>
        <w:t>subdividido</w:t>
      </w:r>
      <w:r>
        <w:rPr>
          <w:spacing w:val="-3"/>
        </w:rPr>
        <w:t xml:space="preserve"> </w:t>
      </w:r>
      <w:r>
        <w:t>em</w:t>
      </w:r>
      <w:r>
        <w:rPr>
          <w:spacing w:val="-2"/>
        </w:rPr>
        <w:t xml:space="preserve"> </w:t>
      </w:r>
      <w:r>
        <w:t>necessidade,</w:t>
      </w:r>
      <w:r>
        <w:rPr>
          <w:spacing w:val="-3"/>
        </w:rPr>
        <w:t xml:space="preserve"> </w:t>
      </w:r>
      <w:r>
        <w:t>adequação</w:t>
      </w:r>
      <w:r>
        <w:rPr>
          <w:spacing w:val="-1"/>
        </w:rPr>
        <w:t xml:space="preserve"> </w:t>
      </w:r>
      <w:r>
        <w:t>e</w:t>
      </w:r>
      <w:r>
        <w:rPr>
          <w:spacing w:val="-5"/>
        </w:rPr>
        <w:t xml:space="preserve"> </w:t>
      </w:r>
      <w:r>
        <w:t>proporcionalidade</w:t>
      </w:r>
      <w:r>
        <w:rPr>
          <w:spacing w:val="-1"/>
        </w:rPr>
        <w:t xml:space="preserve"> </w:t>
      </w:r>
      <w:r>
        <w:t>em sentido estrito. O déficit de moradia que assola o país é um problema atual e que exige a elaboração</w:t>
      </w:r>
      <w:r>
        <w:rPr>
          <w:spacing w:val="40"/>
        </w:rPr>
        <w:t xml:space="preserve"> </w:t>
      </w:r>
      <w:r>
        <w:t>de soluções efetivas para a parcela da população de baixa renda.</w:t>
      </w:r>
      <w:r>
        <w:rPr>
          <w:vertAlign w:val="superscript"/>
        </w:rPr>
        <w:t>19</w:t>
      </w:r>
      <w:r>
        <w:t xml:space="preserve"> Em conjuntura a este fato, observa-se que a crescente concentração de renda no país também colabora para dificultar o acesso</w:t>
      </w:r>
      <w:r>
        <w:rPr>
          <w:spacing w:val="22"/>
        </w:rPr>
        <w:t xml:space="preserve"> </w:t>
      </w:r>
      <w:r>
        <w:t>à</w:t>
      </w:r>
      <w:r>
        <w:rPr>
          <w:spacing w:val="21"/>
        </w:rPr>
        <w:t xml:space="preserve"> </w:t>
      </w:r>
      <w:r>
        <w:t>moradia</w:t>
      </w:r>
      <w:r>
        <w:rPr>
          <w:spacing w:val="22"/>
        </w:rPr>
        <w:t xml:space="preserve"> </w:t>
      </w:r>
      <w:r>
        <w:t>para</w:t>
      </w:r>
      <w:r>
        <w:rPr>
          <w:spacing w:val="21"/>
        </w:rPr>
        <w:t xml:space="preserve"> </w:t>
      </w:r>
      <w:r>
        <w:t>tais</w:t>
      </w:r>
      <w:r>
        <w:rPr>
          <w:spacing w:val="23"/>
        </w:rPr>
        <w:t xml:space="preserve"> </w:t>
      </w:r>
      <w:r>
        <w:t>pessoas.</w:t>
      </w:r>
      <w:r>
        <w:rPr>
          <w:vertAlign w:val="superscript"/>
        </w:rPr>
        <w:t>20</w:t>
      </w:r>
      <w:r>
        <w:rPr>
          <w:spacing w:val="61"/>
        </w:rPr>
        <w:t xml:space="preserve"> </w:t>
      </w:r>
      <w:r>
        <w:t>Deparando-se</w:t>
      </w:r>
      <w:r>
        <w:rPr>
          <w:spacing w:val="21"/>
        </w:rPr>
        <w:t xml:space="preserve"> </w:t>
      </w:r>
      <w:r>
        <w:t>com</w:t>
      </w:r>
      <w:r>
        <w:rPr>
          <w:spacing w:val="23"/>
        </w:rPr>
        <w:t xml:space="preserve"> </w:t>
      </w:r>
      <w:r>
        <w:t>fatores</w:t>
      </w:r>
      <w:r>
        <w:rPr>
          <w:spacing w:val="22"/>
        </w:rPr>
        <w:t xml:space="preserve"> </w:t>
      </w:r>
      <w:r>
        <w:t>desencorajadores,</w:t>
      </w:r>
      <w:r>
        <w:rPr>
          <w:spacing w:val="23"/>
        </w:rPr>
        <w:t xml:space="preserve"> </w:t>
      </w:r>
      <w:r>
        <w:t>aliados</w:t>
      </w:r>
      <w:r>
        <w:rPr>
          <w:spacing w:val="23"/>
        </w:rPr>
        <w:t xml:space="preserve"> </w:t>
      </w:r>
      <w:r>
        <w:rPr>
          <w:spacing w:val="-10"/>
        </w:rPr>
        <w:t>à</w:t>
      </w:r>
    </w:p>
    <w:p w:rsidR="007259F2" w:rsidRDefault="00DE6B1C">
      <w:pPr>
        <w:pStyle w:val="Corpodetexto"/>
        <w:spacing w:before="1"/>
        <w:ind w:left="0" w:firstLine="0"/>
        <w:jc w:val="left"/>
        <w:rPr>
          <w:sz w:val="18"/>
        </w:rPr>
      </w:pPr>
      <w:r w:rsidRPr="00DE6B1C">
        <w:rPr>
          <w:sz w:val="18"/>
        </w:rPr>
        <w:pict>
          <v:rect id="docshape159" o:spid="_x0000_s1068" style="position:absolute;margin-left:85.1pt;margin-top:11.6pt;width:2in;height:.7pt;z-index:-15657472;mso-wrap-distance-left:0;mso-wrap-distance-right:0;mso-position-horizontal-relative:page" fillcolor="black" stroked="f">
            <w10:wrap type="topAndBottom" anchorx="page"/>
          </v:rect>
        </w:pict>
      </w:r>
    </w:p>
    <w:p w:rsidR="007259F2" w:rsidRDefault="00E655B4">
      <w:pPr>
        <w:spacing w:before="96"/>
        <w:ind w:left="710" w:right="424"/>
        <w:jc w:val="both"/>
        <w:rPr>
          <w:sz w:val="20"/>
        </w:rPr>
      </w:pPr>
      <w:r>
        <w:rPr>
          <w:sz w:val="20"/>
          <w:vertAlign w:val="superscript"/>
        </w:rPr>
        <w:t>18</w:t>
      </w:r>
      <w:r>
        <w:rPr>
          <w:sz w:val="20"/>
        </w:rPr>
        <w:t xml:space="preserve"> HABERLE, Peter. </w:t>
      </w:r>
      <w:r>
        <w:rPr>
          <w:b/>
          <w:sz w:val="20"/>
        </w:rPr>
        <w:t xml:space="preserve">Hermenêutica Constitucional: </w:t>
      </w:r>
      <w:r>
        <w:rPr>
          <w:sz w:val="20"/>
        </w:rPr>
        <w:t>a sociedade aberta dos intérpretes da Constituição – contribuição para a interpretação pluralista e procedimental da Constituição. Tradução de Gilmar Ferreira Mendes. Porto Alegre: Fabris, 1997.</w:t>
      </w:r>
    </w:p>
    <w:p w:rsidR="007259F2" w:rsidRDefault="00E655B4">
      <w:pPr>
        <w:tabs>
          <w:tab w:val="left" w:pos="1425"/>
          <w:tab w:val="left" w:pos="1907"/>
          <w:tab w:val="left" w:pos="2620"/>
          <w:tab w:val="left" w:pos="3103"/>
          <w:tab w:val="left" w:pos="4360"/>
          <w:tab w:val="left" w:pos="4994"/>
          <w:tab w:val="left" w:pos="5738"/>
          <w:tab w:val="left" w:pos="6720"/>
          <w:tab w:val="left" w:pos="7577"/>
          <w:tab w:val="left" w:pos="8324"/>
          <w:tab w:val="left" w:pos="9493"/>
        </w:tabs>
        <w:ind w:left="710" w:right="418"/>
        <w:rPr>
          <w:sz w:val="20"/>
        </w:rPr>
      </w:pPr>
      <w:r>
        <w:rPr>
          <w:sz w:val="20"/>
          <w:vertAlign w:val="superscript"/>
        </w:rPr>
        <w:t>19</w:t>
      </w:r>
      <w:r>
        <w:rPr>
          <w:spacing w:val="-1"/>
          <w:sz w:val="20"/>
        </w:rPr>
        <w:t xml:space="preserve"> </w:t>
      </w:r>
      <w:r>
        <w:rPr>
          <w:sz w:val="20"/>
        </w:rPr>
        <w:t>CAMPOS, Ana Cristina.</w:t>
      </w:r>
      <w:r>
        <w:rPr>
          <w:spacing w:val="19"/>
          <w:sz w:val="20"/>
        </w:rPr>
        <w:t xml:space="preserve"> </w:t>
      </w:r>
      <w:r>
        <w:rPr>
          <w:sz w:val="20"/>
        </w:rPr>
        <w:t>Brasil registra déficit habitacional de 6</w:t>
      </w:r>
      <w:r>
        <w:rPr>
          <w:spacing w:val="20"/>
          <w:sz w:val="20"/>
        </w:rPr>
        <w:t xml:space="preserve"> </w:t>
      </w:r>
      <w:r>
        <w:rPr>
          <w:sz w:val="20"/>
        </w:rPr>
        <w:t>milhões de domicílios. Houve aumento</w:t>
      </w:r>
      <w:r>
        <w:rPr>
          <w:spacing w:val="80"/>
          <w:sz w:val="20"/>
        </w:rPr>
        <w:t xml:space="preserve"> </w:t>
      </w:r>
      <w:r>
        <w:rPr>
          <w:sz w:val="20"/>
        </w:rPr>
        <w:t xml:space="preserve">de </w:t>
      </w:r>
      <w:r>
        <w:rPr>
          <w:spacing w:val="-2"/>
          <w:sz w:val="20"/>
        </w:rPr>
        <w:t>cerca</w:t>
      </w:r>
      <w:r>
        <w:rPr>
          <w:sz w:val="20"/>
        </w:rPr>
        <w:tab/>
      </w:r>
      <w:r>
        <w:rPr>
          <w:spacing w:val="-6"/>
          <w:sz w:val="20"/>
        </w:rPr>
        <w:t>de</w:t>
      </w:r>
      <w:r>
        <w:rPr>
          <w:sz w:val="20"/>
        </w:rPr>
        <w:tab/>
      </w:r>
      <w:r>
        <w:rPr>
          <w:spacing w:val="-4"/>
          <w:sz w:val="20"/>
        </w:rPr>
        <w:t>4,2%</w:t>
      </w:r>
      <w:r>
        <w:rPr>
          <w:sz w:val="20"/>
        </w:rPr>
        <w:tab/>
      </w:r>
      <w:r>
        <w:rPr>
          <w:spacing w:val="-6"/>
          <w:sz w:val="20"/>
        </w:rPr>
        <w:t>na</w:t>
      </w:r>
      <w:r>
        <w:rPr>
          <w:sz w:val="20"/>
        </w:rPr>
        <w:tab/>
      </w:r>
      <w:r>
        <w:rPr>
          <w:spacing w:val="-2"/>
          <w:sz w:val="20"/>
        </w:rPr>
        <w:t>comparação</w:t>
      </w:r>
      <w:r>
        <w:rPr>
          <w:sz w:val="20"/>
        </w:rPr>
        <w:tab/>
      </w:r>
      <w:r>
        <w:rPr>
          <w:spacing w:val="-4"/>
          <w:sz w:val="20"/>
        </w:rPr>
        <w:t>com</w:t>
      </w:r>
      <w:r>
        <w:rPr>
          <w:sz w:val="20"/>
        </w:rPr>
        <w:tab/>
      </w:r>
      <w:r>
        <w:rPr>
          <w:spacing w:val="-2"/>
          <w:sz w:val="20"/>
        </w:rPr>
        <w:t>2019.</w:t>
      </w:r>
      <w:r>
        <w:rPr>
          <w:sz w:val="20"/>
        </w:rPr>
        <w:tab/>
      </w:r>
      <w:r>
        <w:rPr>
          <w:b/>
          <w:spacing w:val="-2"/>
          <w:sz w:val="20"/>
        </w:rPr>
        <w:t>Agência</w:t>
      </w:r>
      <w:r>
        <w:rPr>
          <w:b/>
          <w:sz w:val="20"/>
        </w:rPr>
        <w:tab/>
      </w:r>
      <w:r>
        <w:rPr>
          <w:b/>
          <w:spacing w:val="-2"/>
          <w:sz w:val="20"/>
        </w:rPr>
        <w:t>Brasil</w:t>
      </w:r>
      <w:r>
        <w:rPr>
          <w:spacing w:val="-2"/>
          <w:sz w:val="20"/>
        </w:rPr>
        <w:t>,</w:t>
      </w:r>
      <w:r>
        <w:rPr>
          <w:sz w:val="20"/>
        </w:rPr>
        <w:tab/>
      </w:r>
      <w:r>
        <w:rPr>
          <w:spacing w:val="-2"/>
          <w:sz w:val="20"/>
        </w:rPr>
        <w:t>2024.</w:t>
      </w:r>
      <w:r>
        <w:rPr>
          <w:sz w:val="20"/>
        </w:rPr>
        <w:tab/>
      </w:r>
      <w:r>
        <w:rPr>
          <w:spacing w:val="-2"/>
          <w:sz w:val="20"/>
        </w:rPr>
        <w:t>Disponível</w:t>
      </w:r>
      <w:r>
        <w:rPr>
          <w:sz w:val="20"/>
        </w:rPr>
        <w:tab/>
      </w:r>
      <w:r>
        <w:rPr>
          <w:spacing w:val="-4"/>
          <w:sz w:val="20"/>
        </w:rPr>
        <w:t xml:space="preserve">em: </w:t>
      </w:r>
      <w:r>
        <w:rPr>
          <w:spacing w:val="-2"/>
          <w:sz w:val="20"/>
        </w:rPr>
        <w:t xml:space="preserve">https://agenciabrasil.ebc.com.br/geral/noticia/2024-04/brasil-registra-deficit-habitacional-de-6-milhoes-de </w:t>
      </w:r>
      <w:r>
        <w:rPr>
          <w:sz w:val="20"/>
        </w:rPr>
        <w:t>domicilios. Acesso em: 15 jul. 2024.</w:t>
      </w:r>
    </w:p>
    <w:p w:rsidR="007259F2" w:rsidRDefault="00E655B4">
      <w:pPr>
        <w:spacing w:before="1"/>
        <w:ind w:left="710" w:right="408"/>
        <w:jc w:val="both"/>
        <w:rPr>
          <w:sz w:val="20"/>
        </w:rPr>
      </w:pPr>
      <w:r>
        <w:rPr>
          <w:sz w:val="20"/>
          <w:vertAlign w:val="superscript"/>
        </w:rPr>
        <w:t>20</w:t>
      </w:r>
      <w:r>
        <w:rPr>
          <w:sz w:val="20"/>
        </w:rPr>
        <w:t xml:space="preserve"> CONCENTRAÇÃO de renda para os mais riscos bate recorde histórico no Brasil, diz pesquisa. </w:t>
      </w:r>
      <w:r>
        <w:rPr>
          <w:b/>
          <w:sz w:val="20"/>
        </w:rPr>
        <w:t>UOL Economia</w:t>
      </w:r>
      <w:r>
        <w:rPr>
          <w:sz w:val="20"/>
        </w:rPr>
        <w:t xml:space="preserve">, Agência Brasil, 17 jan. 2024. Disponível em: </w:t>
      </w:r>
      <w:hyperlink r:id="rId207">
        <w:r>
          <w:rPr>
            <w:color w:val="0000FF"/>
            <w:sz w:val="20"/>
            <w:u w:val="single" w:color="0000FF"/>
          </w:rPr>
          <w:t>https://economia.uol.com.br/noticias/agencia-</w:t>
        </w:r>
      </w:hyperlink>
      <w:r>
        <w:rPr>
          <w:color w:val="0000FF"/>
          <w:sz w:val="20"/>
        </w:rPr>
        <w:t xml:space="preserve"> </w:t>
      </w:r>
      <w:hyperlink r:id="rId208">
        <w:r>
          <w:rPr>
            <w:color w:val="0000FF"/>
            <w:sz w:val="20"/>
            <w:u w:val="single" w:color="0000FF"/>
          </w:rPr>
          <w:t>brasil/2024/01/17/concentracao-de-renda-bate-recorde-historico-no-brasil-diz-pesquisa.htm</w:t>
        </w:r>
        <w:r>
          <w:rPr>
            <w:sz w:val="20"/>
          </w:rPr>
          <w:t>.</w:t>
        </w:r>
      </w:hyperlink>
      <w:r>
        <w:rPr>
          <w:sz w:val="20"/>
        </w:rPr>
        <w:t xml:space="preserve"> Acesso em: 23 jul. </w:t>
      </w:r>
      <w:r>
        <w:rPr>
          <w:spacing w:val="-2"/>
          <w:sz w:val="20"/>
        </w:rPr>
        <w:t>2024.</w:t>
      </w:r>
    </w:p>
    <w:p w:rsidR="007259F2" w:rsidRDefault="00E655B4">
      <w:pPr>
        <w:tabs>
          <w:tab w:val="left" w:pos="2517"/>
          <w:tab w:val="left" w:pos="3704"/>
          <w:tab w:val="left" w:pos="4791"/>
          <w:tab w:val="left" w:pos="6360"/>
          <w:tab w:val="left" w:pos="7706"/>
          <w:tab w:val="left" w:pos="9481"/>
        </w:tabs>
        <w:ind w:left="710" w:right="420"/>
        <w:jc w:val="both"/>
        <w:rPr>
          <w:sz w:val="20"/>
        </w:rPr>
      </w:pPr>
      <w:r>
        <w:rPr>
          <w:sz w:val="20"/>
        </w:rPr>
        <w:t>ALMEIDA, Cássia. Concentração de renda no topo cresce, e os 5% mais ricos já detêm 40% da renda nacional. Estudo da Fundação Getúlio Vargas, com base em dados do Imposto de Renda, mostra também que o 0,01% mais rico, que corresponde a 15 mil pessoas,</w:t>
      </w:r>
      <w:r>
        <w:rPr>
          <w:spacing w:val="40"/>
          <w:sz w:val="20"/>
        </w:rPr>
        <w:t xml:space="preserve"> </w:t>
      </w:r>
      <w:r>
        <w:rPr>
          <w:sz w:val="20"/>
        </w:rPr>
        <w:t xml:space="preserve">teve aumento de 96% nos rendimentos de 2017 a 2022. </w:t>
      </w:r>
      <w:r>
        <w:rPr>
          <w:b/>
          <w:sz w:val="20"/>
        </w:rPr>
        <w:t xml:space="preserve">O Globo </w:t>
      </w:r>
      <w:r>
        <w:rPr>
          <w:b/>
          <w:spacing w:val="-2"/>
          <w:sz w:val="20"/>
        </w:rPr>
        <w:t>Economia</w:t>
      </w:r>
      <w:r>
        <w:rPr>
          <w:spacing w:val="-2"/>
          <w:sz w:val="20"/>
        </w:rPr>
        <w:t>:</w:t>
      </w:r>
      <w:r>
        <w:rPr>
          <w:sz w:val="20"/>
        </w:rPr>
        <w:tab/>
      </w:r>
      <w:r>
        <w:rPr>
          <w:spacing w:val="-5"/>
          <w:sz w:val="20"/>
        </w:rPr>
        <w:t>Rio</w:t>
      </w:r>
      <w:r>
        <w:rPr>
          <w:sz w:val="20"/>
        </w:rPr>
        <w:tab/>
      </w:r>
      <w:r>
        <w:rPr>
          <w:spacing w:val="-5"/>
          <w:sz w:val="20"/>
        </w:rPr>
        <w:t>de</w:t>
      </w:r>
      <w:r>
        <w:rPr>
          <w:sz w:val="20"/>
        </w:rPr>
        <w:tab/>
      </w:r>
      <w:r>
        <w:rPr>
          <w:spacing w:val="-2"/>
          <w:sz w:val="20"/>
        </w:rPr>
        <w:t>Janeiro,</w:t>
      </w:r>
      <w:r>
        <w:rPr>
          <w:sz w:val="20"/>
        </w:rPr>
        <w:tab/>
      </w:r>
      <w:r>
        <w:rPr>
          <w:spacing w:val="-2"/>
          <w:sz w:val="20"/>
        </w:rPr>
        <w:t>2024.</w:t>
      </w:r>
      <w:r>
        <w:rPr>
          <w:sz w:val="20"/>
        </w:rPr>
        <w:tab/>
      </w:r>
      <w:r>
        <w:rPr>
          <w:spacing w:val="-2"/>
          <w:sz w:val="20"/>
        </w:rPr>
        <w:t>Disponível</w:t>
      </w:r>
      <w:r>
        <w:rPr>
          <w:sz w:val="20"/>
        </w:rPr>
        <w:tab/>
      </w:r>
      <w:r>
        <w:rPr>
          <w:spacing w:val="-5"/>
          <w:sz w:val="20"/>
        </w:rPr>
        <w:t>em:</w:t>
      </w:r>
    </w:p>
    <w:p w:rsidR="007259F2" w:rsidRDefault="007259F2">
      <w:pPr>
        <w:jc w:val="both"/>
        <w:rPr>
          <w:sz w:val="20"/>
        </w:rPr>
        <w:sectPr w:rsidR="007259F2">
          <w:pgSz w:w="11910" w:h="16840"/>
          <w:pgMar w:top="1600" w:right="708" w:bottom="1020" w:left="992" w:header="0" w:footer="820" w:gutter="0"/>
          <w:cols w:space="720"/>
        </w:sectPr>
      </w:pPr>
    </w:p>
    <w:p w:rsidR="007259F2" w:rsidRDefault="00E655B4">
      <w:pPr>
        <w:pStyle w:val="Corpodetexto"/>
        <w:spacing w:before="75"/>
        <w:ind w:right="420" w:firstLine="0"/>
      </w:pPr>
      <w:r>
        <w:lastRenderedPageBreak/>
        <w:t>omissão estatal na efetivação do direito a moradia digna, muitas destas pessoas veem-se na necessidade de funcionalizar a propriedade pública não utilizada. Consumada a ocupação do bem público e perpetuada por considerável lapso de tempo, realizam tais cidadãos inequívoca interpretação do preceito constitucional que proíbe a aquisição de bens públicos por particulares, relativizando-o em benefício do acesso à moradia. Vislumbra-se claramente o preenchimento do critério da necessidade.</w:t>
      </w:r>
    </w:p>
    <w:p w:rsidR="007259F2" w:rsidRDefault="00E655B4">
      <w:pPr>
        <w:pStyle w:val="Corpodetexto"/>
        <w:ind w:right="423"/>
      </w:pPr>
      <w:r>
        <w:t>A partir da constatação da necessidade de regularizar-se juridicamente essa questão é que os poderes públicos são chamados para atuar. Por meio da atuação do Congresso Nacional, poder regularmente constituído, elabora-se a norma que, acolhendo as críticas tecidas contra a concessão especial de uso para fins de moradia, busca</w:t>
      </w:r>
      <w:r>
        <w:rPr>
          <w:spacing w:val="40"/>
        </w:rPr>
        <w:t xml:space="preserve"> </w:t>
      </w:r>
      <w:r>
        <w:t xml:space="preserve">criar instituto jurídico que, embora faça parte da política nacional de reurbanização, poderá ser mais bem disciplinado de acordo com as características locais de cada ente, permitindo assim o regular desempenho de suas competências federativas. Eis que surge a legitimação fundiária, elaborada de acordo com o processo constitucional vigente. Preenche-se o critério da </w:t>
      </w:r>
      <w:r>
        <w:rPr>
          <w:spacing w:val="-2"/>
        </w:rPr>
        <w:t>adequação.</w:t>
      </w:r>
    </w:p>
    <w:p w:rsidR="007259F2" w:rsidRDefault="00E655B4">
      <w:pPr>
        <w:pStyle w:val="Corpodetexto"/>
        <w:spacing w:before="1"/>
        <w:ind w:right="422"/>
      </w:pPr>
      <w:r>
        <w:t>Por fim, pondera-se os benefícios e malefícios trazidos pela medida. Alega-se que o instituto criado pode configurar grave desfalque patrimonial aos entes federados. Desconsidera-se, todavia, a máxima da impessoalidade constante no caput do art. 37 da constituição vigente, dado que</w:t>
      </w:r>
      <w:r>
        <w:rPr>
          <w:spacing w:val="-1"/>
        </w:rPr>
        <w:t xml:space="preserve"> </w:t>
      </w:r>
      <w:r>
        <w:t>o aparelho estatal deve</w:t>
      </w:r>
      <w:r>
        <w:rPr>
          <w:spacing w:val="-1"/>
        </w:rPr>
        <w:t xml:space="preserve"> </w:t>
      </w:r>
      <w:r>
        <w:t>ser</w:t>
      </w:r>
      <w:r>
        <w:rPr>
          <w:spacing w:val="-1"/>
        </w:rPr>
        <w:t xml:space="preserve"> </w:t>
      </w:r>
      <w:r>
        <w:t>utilizado para a consecução</w:t>
      </w:r>
      <w:r>
        <w:rPr>
          <w:spacing w:val="40"/>
        </w:rPr>
        <w:t xml:space="preserve"> </w:t>
      </w:r>
      <w:r>
        <w:t>do bem comum, e jamais ao ponto de defender-se o interesse da administração pública enquanto ente próprio. Não obstante, importa relembrar as rígidas condições estabelecidas em lei para que a legitimação fundiária seja</w:t>
      </w:r>
      <w:r>
        <w:rPr>
          <w:spacing w:val="-1"/>
        </w:rPr>
        <w:t xml:space="preserve"> </w:t>
      </w:r>
      <w:r>
        <w:t>aplicada, quais sejam a data limite</w:t>
      </w:r>
      <w:r>
        <w:rPr>
          <w:spacing w:val="-1"/>
        </w:rPr>
        <w:t xml:space="preserve"> </w:t>
      </w:r>
      <w:r>
        <w:t>de</w:t>
      </w:r>
      <w:r>
        <w:rPr>
          <w:spacing w:val="-1"/>
        </w:rPr>
        <w:t xml:space="preserve"> </w:t>
      </w:r>
      <w:r>
        <w:t>22 de dezembro de 2016 para aferição de quais núcleos urbanos informais possam ser considerados como de natureza consolidada;</w:t>
      </w:r>
      <w:r>
        <w:rPr>
          <w:spacing w:val="-1"/>
        </w:rPr>
        <w:t xml:space="preserve"> </w:t>
      </w:r>
      <w:r>
        <w:t>a</w:t>
      </w:r>
      <w:r>
        <w:rPr>
          <w:spacing w:val="-2"/>
        </w:rPr>
        <w:t xml:space="preserve"> </w:t>
      </w:r>
      <w:r>
        <w:t>necessidade</w:t>
      </w:r>
      <w:r>
        <w:rPr>
          <w:spacing w:val="-2"/>
        </w:rPr>
        <w:t xml:space="preserve"> </w:t>
      </w:r>
      <w:r>
        <w:t>de</w:t>
      </w:r>
      <w:r>
        <w:rPr>
          <w:spacing w:val="-2"/>
        </w:rPr>
        <w:t xml:space="preserve"> </w:t>
      </w:r>
      <w:r>
        <w:t>preenchimento</w:t>
      </w:r>
      <w:r>
        <w:rPr>
          <w:spacing w:val="-1"/>
        </w:rPr>
        <w:t xml:space="preserve"> </w:t>
      </w:r>
      <w:r>
        <w:t>dos requisitos</w:t>
      </w:r>
      <w:r>
        <w:rPr>
          <w:spacing w:val="-1"/>
        </w:rPr>
        <w:t xml:space="preserve"> </w:t>
      </w:r>
      <w:r>
        <w:t>constantes</w:t>
      </w:r>
      <w:r>
        <w:rPr>
          <w:spacing w:val="-2"/>
        </w:rPr>
        <w:t xml:space="preserve"> </w:t>
      </w:r>
      <w:r>
        <w:t>do</w:t>
      </w:r>
      <w:r>
        <w:rPr>
          <w:spacing w:val="-1"/>
        </w:rPr>
        <w:t xml:space="preserve"> </w:t>
      </w:r>
      <w:r>
        <w:t>§1º</w:t>
      </w:r>
      <w:r>
        <w:rPr>
          <w:spacing w:val="-1"/>
        </w:rPr>
        <w:t xml:space="preserve"> </w:t>
      </w:r>
      <w:r>
        <w:t>do</w:t>
      </w:r>
      <w:r>
        <w:rPr>
          <w:spacing w:val="-1"/>
        </w:rPr>
        <w:t xml:space="preserve"> </w:t>
      </w:r>
      <w:r>
        <w:t>art.</w:t>
      </w:r>
      <w:r>
        <w:rPr>
          <w:spacing w:val="-2"/>
        </w:rPr>
        <w:t xml:space="preserve"> </w:t>
      </w:r>
      <w:r>
        <w:t>23</w:t>
      </w:r>
      <w:r>
        <w:rPr>
          <w:spacing w:val="-1"/>
        </w:rPr>
        <w:t xml:space="preserve"> </w:t>
      </w:r>
      <w:r>
        <w:t>da lei nº</w:t>
      </w:r>
      <w:r>
        <w:rPr>
          <w:spacing w:val="-2"/>
        </w:rPr>
        <w:t xml:space="preserve"> </w:t>
      </w:r>
      <w:r>
        <w:t>13.465;</w:t>
      </w:r>
      <w:r>
        <w:rPr>
          <w:spacing w:val="-2"/>
        </w:rPr>
        <w:t xml:space="preserve"> </w:t>
      </w:r>
      <w:r>
        <w:t>a</w:t>
      </w:r>
      <w:r>
        <w:rPr>
          <w:spacing w:val="-1"/>
        </w:rPr>
        <w:t xml:space="preserve"> </w:t>
      </w:r>
      <w:r>
        <w:t>restrição</w:t>
      </w:r>
      <w:r>
        <w:rPr>
          <w:spacing w:val="-2"/>
        </w:rPr>
        <w:t xml:space="preserve"> </w:t>
      </w:r>
      <w:r>
        <w:t>da aplicação</w:t>
      </w:r>
      <w:r>
        <w:rPr>
          <w:spacing w:val="-2"/>
        </w:rPr>
        <w:t xml:space="preserve"> </w:t>
      </w:r>
      <w:r>
        <w:t>do</w:t>
      </w:r>
      <w:r>
        <w:rPr>
          <w:spacing w:val="-2"/>
        </w:rPr>
        <w:t xml:space="preserve"> </w:t>
      </w:r>
      <w:r>
        <w:t>instituto</w:t>
      </w:r>
      <w:r>
        <w:rPr>
          <w:spacing w:val="-2"/>
        </w:rPr>
        <w:t xml:space="preserve"> </w:t>
      </w:r>
      <w:r>
        <w:t>para</w:t>
      </w:r>
      <w:r>
        <w:rPr>
          <w:spacing w:val="-3"/>
        </w:rPr>
        <w:t xml:space="preserve"> </w:t>
      </w:r>
      <w:r>
        <w:t>somente no âmbito</w:t>
      </w:r>
      <w:r>
        <w:rPr>
          <w:spacing w:val="-2"/>
        </w:rPr>
        <w:t xml:space="preserve"> </w:t>
      </w:r>
      <w:r>
        <w:t>da REURB-S,</w:t>
      </w:r>
      <w:r>
        <w:rPr>
          <w:spacing w:val="-2"/>
        </w:rPr>
        <w:t xml:space="preserve"> </w:t>
      </w:r>
      <w:r>
        <w:t>a</w:t>
      </w:r>
      <w:r>
        <w:rPr>
          <w:spacing w:val="-3"/>
        </w:rPr>
        <w:t xml:space="preserve"> </w:t>
      </w:r>
      <w:r>
        <w:t>fim</w:t>
      </w:r>
      <w:r>
        <w:rPr>
          <w:spacing w:val="-2"/>
        </w:rPr>
        <w:t xml:space="preserve"> </w:t>
      </w:r>
      <w:r>
        <w:t>de que se mantenha a congruência para com sua finalidade social. Constata-se, portanto, que existem regras adequadas para</w:t>
      </w:r>
      <w:r>
        <w:rPr>
          <w:spacing w:val="-1"/>
        </w:rPr>
        <w:t xml:space="preserve"> </w:t>
      </w:r>
      <w:r>
        <w:t>reger a aplicação deste instrumento, de maneira que se mitigue ao máximo os malefícios trazidos por sua aplicação. A proporcionalidade em sentido estrito, portanto, também resta preenchida.</w:t>
      </w:r>
    </w:p>
    <w:p w:rsidR="007259F2" w:rsidRDefault="00E655B4">
      <w:pPr>
        <w:pStyle w:val="Corpodetexto"/>
        <w:ind w:right="417"/>
      </w:pPr>
      <w:r>
        <w:t>Toda a argumentação tecida no desenvolvimento deste trabalho remete à importância da garantia do direito à moradia. Como ponto central de onde decorrem outros direitos como privacidade,</w:t>
      </w:r>
      <w:r>
        <w:rPr>
          <w:spacing w:val="-2"/>
        </w:rPr>
        <w:t xml:space="preserve"> </w:t>
      </w:r>
      <w:r>
        <w:t>intimidade</w:t>
      </w:r>
      <w:r>
        <w:rPr>
          <w:spacing w:val="-4"/>
        </w:rPr>
        <w:t xml:space="preserve"> </w:t>
      </w:r>
      <w:r>
        <w:t>e</w:t>
      </w:r>
      <w:r>
        <w:rPr>
          <w:spacing w:val="-1"/>
        </w:rPr>
        <w:t xml:space="preserve"> </w:t>
      </w:r>
      <w:r>
        <w:t>lazer,</w:t>
      </w:r>
      <w:r>
        <w:rPr>
          <w:spacing w:val="-2"/>
        </w:rPr>
        <w:t xml:space="preserve"> </w:t>
      </w:r>
      <w:r>
        <w:t>vislumbra-se</w:t>
      </w:r>
      <w:r>
        <w:rPr>
          <w:spacing w:val="-3"/>
        </w:rPr>
        <w:t xml:space="preserve"> </w:t>
      </w:r>
      <w:r>
        <w:t>que</w:t>
      </w:r>
      <w:r>
        <w:rPr>
          <w:spacing w:val="-3"/>
        </w:rPr>
        <w:t xml:space="preserve"> </w:t>
      </w:r>
      <w:r>
        <w:t>sua</w:t>
      </w:r>
      <w:r>
        <w:rPr>
          <w:spacing w:val="-3"/>
        </w:rPr>
        <w:t xml:space="preserve"> </w:t>
      </w:r>
      <w:r>
        <w:t>concretização</w:t>
      </w:r>
      <w:r>
        <w:rPr>
          <w:spacing w:val="-2"/>
        </w:rPr>
        <w:t xml:space="preserve"> </w:t>
      </w:r>
      <w:r>
        <w:t>faz</w:t>
      </w:r>
      <w:r>
        <w:rPr>
          <w:spacing w:val="-1"/>
        </w:rPr>
        <w:t xml:space="preserve"> </w:t>
      </w:r>
      <w:r>
        <w:t>com</w:t>
      </w:r>
      <w:r>
        <w:rPr>
          <w:spacing w:val="-2"/>
        </w:rPr>
        <w:t xml:space="preserve"> </w:t>
      </w:r>
      <w:r>
        <w:t>que</w:t>
      </w:r>
      <w:r>
        <w:rPr>
          <w:spacing w:val="-3"/>
        </w:rPr>
        <w:t xml:space="preserve"> </w:t>
      </w:r>
      <w:r>
        <w:t>os</w:t>
      </w:r>
      <w:r>
        <w:rPr>
          <w:spacing w:val="-2"/>
        </w:rPr>
        <w:t xml:space="preserve"> </w:t>
      </w:r>
      <w:r>
        <w:t>indivíduos sejam inseridos em um meio social e político, de maneira que se tornem efetivamente cidadãos. Não se busca afirmar que desta garantia emergirá verdadeiramente a felicidade humana, haja vista a complexidade que circunda este sentimento humano. Enumeradas as certezas negativas e positivas acerca do tema, objetivou-se desbravar pequena zona cinzenta sobre a aplicação do conceito quando da discussão sobreo direito à moradia como possibilidade</w:t>
      </w:r>
      <w:r>
        <w:rPr>
          <w:spacing w:val="-3"/>
        </w:rPr>
        <w:t xml:space="preserve"> </w:t>
      </w:r>
      <w:r>
        <w:t>de</w:t>
      </w:r>
      <w:r>
        <w:rPr>
          <w:spacing w:val="-2"/>
        </w:rPr>
        <w:t xml:space="preserve"> </w:t>
      </w:r>
      <w:r>
        <w:t>concretização</w:t>
      </w:r>
      <w:r>
        <w:rPr>
          <w:spacing w:val="-1"/>
        </w:rPr>
        <w:t xml:space="preserve"> </w:t>
      </w:r>
      <w:r>
        <w:t>da</w:t>
      </w:r>
      <w:r>
        <w:rPr>
          <w:spacing w:val="-2"/>
        </w:rPr>
        <w:t xml:space="preserve"> </w:t>
      </w:r>
      <w:r>
        <w:t>dignidade</w:t>
      </w:r>
      <w:r>
        <w:rPr>
          <w:spacing w:val="-2"/>
        </w:rPr>
        <w:t xml:space="preserve"> </w:t>
      </w:r>
      <w:r>
        <w:t>humana.</w:t>
      </w:r>
      <w:r>
        <w:rPr>
          <w:spacing w:val="-1"/>
        </w:rPr>
        <w:t xml:space="preserve"> </w:t>
      </w:r>
      <w:r>
        <w:t>Chegou-se à conclusão que a efetivação do direito pode ensejar um estado de felicidade, e que este poderá ser</w:t>
      </w:r>
      <w:r>
        <w:rPr>
          <w:spacing w:val="-2"/>
        </w:rPr>
        <w:t xml:space="preserve"> </w:t>
      </w:r>
      <w:r>
        <w:t>resguardado através da concretização</w:t>
      </w:r>
      <w:r>
        <w:rPr>
          <w:spacing w:val="-1"/>
        </w:rPr>
        <w:t xml:space="preserve"> </w:t>
      </w:r>
      <w:r>
        <w:t>de</w:t>
      </w:r>
      <w:r>
        <w:rPr>
          <w:spacing w:val="-3"/>
        </w:rPr>
        <w:t xml:space="preserve"> </w:t>
      </w:r>
      <w:r>
        <w:t>suas</w:t>
      </w:r>
      <w:r>
        <w:rPr>
          <w:spacing w:val="-3"/>
        </w:rPr>
        <w:t xml:space="preserve"> </w:t>
      </w:r>
      <w:r>
        <w:t>inúmeras</w:t>
      </w:r>
      <w:r>
        <w:rPr>
          <w:spacing w:val="-1"/>
        </w:rPr>
        <w:t xml:space="preserve"> </w:t>
      </w:r>
      <w:r>
        <w:t>ramificações,</w:t>
      </w:r>
      <w:r>
        <w:rPr>
          <w:spacing w:val="-1"/>
        </w:rPr>
        <w:t xml:space="preserve"> </w:t>
      </w:r>
      <w:r>
        <w:t>tanto</w:t>
      </w:r>
      <w:r>
        <w:rPr>
          <w:spacing w:val="-1"/>
        </w:rPr>
        <w:t xml:space="preserve"> </w:t>
      </w:r>
      <w:r>
        <w:t>pela</w:t>
      </w:r>
      <w:r>
        <w:rPr>
          <w:spacing w:val="-2"/>
        </w:rPr>
        <w:t xml:space="preserve"> </w:t>
      </w:r>
      <w:r>
        <w:t>elaboração</w:t>
      </w:r>
      <w:r>
        <w:rPr>
          <w:spacing w:val="-1"/>
        </w:rPr>
        <w:t xml:space="preserve"> </w:t>
      </w:r>
      <w:r>
        <w:t>de</w:t>
      </w:r>
      <w:r>
        <w:rPr>
          <w:spacing w:val="-2"/>
        </w:rPr>
        <w:t xml:space="preserve"> </w:t>
      </w:r>
      <w:r>
        <w:t>normas</w:t>
      </w:r>
      <w:r>
        <w:rPr>
          <w:spacing w:val="-2"/>
        </w:rPr>
        <w:t xml:space="preserve"> </w:t>
      </w:r>
      <w:r>
        <w:t>jurídicas,</w:t>
      </w:r>
      <w:r>
        <w:rPr>
          <w:spacing w:val="-1"/>
        </w:rPr>
        <w:t xml:space="preserve"> </w:t>
      </w:r>
      <w:r>
        <w:t>como a própria lei nº 13.465/2017, como através do controle social sobre a atuação do Poder Público, a fim de que se evite eventuais omissões sobre o tema.</w:t>
      </w:r>
    </w:p>
    <w:p w:rsidR="007259F2" w:rsidRDefault="007259F2">
      <w:pPr>
        <w:pStyle w:val="Corpodetexto"/>
        <w:ind w:left="0" w:firstLine="0"/>
        <w:jc w:val="left"/>
        <w:rPr>
          <w:sz w:val="20"/>
        </w:rPr>
      </w:pPr>
    </w:p>
    <w:p w:rsidR="007259F2" w:rsidRDefault="007259F2">
      <w:pPr>
        <w:pStyle w:val="Corpodetexto"/>
        <w:ind w:left="0" w:firstLine="0"/>
        <w:jc w:val="left"/>
        <w:rPr>
          <w:sz w:val="20"/>
        </w:rPr>
      </w:pPr>
    </w:p>
    <w:p w:rsidR="007259F2" w:rsidRDefault="007259F2">
      <w:pPr>
        <w:pStyle w:val="Corpodetexto"/>
        <w:ind w:left="0" w:firstLine="0"/>
        <w:jc w:val="left"/>
        <w:rPr>
          <w:sz w:val="20"/>
        </w:rPr>
      </w:pPr>
    </w:p>
    <w:p w:rsidR="007259F2" w:rsidRDefault="00DE6B1C">
      <w:pPr>
        <w:pStyle w:val="Corpodetexto"/>
        <w:spacing w:before="191"/>
        <w:ind w:left="0" w:firstLine="0"/>
        <w:jc w:val="left"/>
        <w:rPr>
          <w:sz w:val="20"/>
        </w:rPr>
      </w:pPr>
      <w:r w:rsidRPr="00DE6B1C">
        <w:rPr>
          <w:sz w:val="20"/>
        </w:rPr>
        <w:pict>
          <v:rect id="docshape160" o:spid="_x0000_s1067" style="position:absolute;margin-left:85.1pt;margin-top:22.3pt;width:453.65pt;height:.7pt;z-index:-15656960;mso-wrap-distance-left:0;mso-wrap-distance-right:0;mso-position-horizontal-relative:page" fillcolor="black" stroked="f">
            <w10:wrap type="topAndBottom" anchorx="page"/>
          </v:rect>
        </w:pict>
      </w:r>
    </w:p>
    <w:p w:rsidR="007259F2" w:rsidRDefault="00E655B4">
      <w:pPr>
        <w:spacing w:before="94"/>
        <w:ind w:left="710" w:right="728"/>
        <w:rPr>
          <w:sz w:val="20"/>
        </w:rPr>
      </w:pPr>
      <w:r>
        <w:rPr>
          <w:spacing w:val="-2"/>
          <w:sz w:val="20"/>
        </w:rPr>
        <w:t xml:space="preserve">https://oglobo.globo.com/economia/noticia/2024/01/17/concentracao-de-renda-no-topo-cresce-e-os-5percent- </w:t>
      </w:r>
      <w:r>
        <w:rPr>
          <w:sz w:val="20"/>
        </w:rPr>
        <w:t>mais-ricos-ja-detem-40percent-da-renda-nacional.ghtml. Acesso em: 18 jun. 2024.</w:t>
      </w:r>
    </w:p>
    <w:p w:rsidR="007259F2" w:rsidRDefault="007259F2">
      <w:pPr>
        <w:rPr>
          <w:sz w:val="20"/>
        </w:rPr>
        <w:sectPr w:rsidR="007259F2">
          <w:pgSz w:w="11910" w:h="16840"/>
          <w:pgMar w:top="1600" w:right="708" w:bottom="1020" w:left="992" w:header="0" w:footer="820" w:gutter="0"/>
          <w:cols w:space="720"/>
        </w:sectPr>
      </w:pPr>
    </w:p>
    <w:p w:rsidR="007259F2" w:rsidRDefault="00E655B4">
      <w:pPr>
        <w:pStyle w:val="Heading1"/>
        <w:spacing w:before="60"/>
      </w:pPr>
      <w:r>
        <w:rPr>
          <w:spacing w:val="-2"/>
        </w:rPr>
        <w:lastRenderedPageBreak/>
        <w:t>REFERÊNCIAS</w:t>
      </w:r>
    </w:p>
    <w:p w:rsidR="007259F2" w:rsidRDefault="00E655B4">
      <w:pPr>
        <w:pStyle w:val="Corpodetexto"/>
        <w:spacing w:before="127"/>
        <w:ind w:right="556" w:firstLine="0"/>
      </w:pPr>
      <w:r>
        <w:t>ALEXY, Robert.</w:t>
      </w:r>
      <w:r>
        <w:rPr>
          <w:spacing w:val="40"/>
        </w:rPr>
        <w:t xml:space="preserve"> </w:t>
      </w:r>
      <w:r>
        <w:t>Colisão de direitos fundamentais e a realização de direitos fundamentais</w:t>
      </w:r>
      <w:r>
        <w:rPr>
          <w:spacing w:val="40"/>
        </w:rPr>
        <w:t xml:space="preserve"> </w:t>
      </w:r>
      <w:r>
        <w:t xml:space="preserve">no Estado de Direito democrático. </w:t>
      </w:r>
      <w:r>
        <w:rPr>
          <w:b/>
        </w:rPr>
        <w:t>Revista de Direito Administrativo</w:t>
      </w:r>
      <w:r>
        <w:t>, [s.l.] v. 217, p. 67- 79, 1999.</w:t>
      </w:r>
    </w:p>
    <w:p w:rsidR="007259F2" w:rsidRDefault="00E655B4">
      <w:pPr>
        <w:pStyle w:val="Corpodetexto"/>
        <w:spacing w:before="118"/>
        <w:ind w:right="555" w:firstLine="0"/>
        <w:jc w:val="left"/>
      </w:pPr>
      <w:r>
        <w:t>ALMEIDA,</w:t>
      </w:r>
      <w:r>
        <w:rPr>
          <w:spacing w:val="23"/>
        </w:rPr>
        <w:t xml:space="preserve"> </w:t>
      </w:r>
      <w:r>
        <w:t>Cássia.</w:t>
      </w:r>
      <w:r>
        <w:rPr>
          <w:spacing w:val="21"/>
        </w:rPr>
        <w:t xml:space="preserve"> </w:t>
      </w:r>
      <w:r>
        <w:t>Concentração</w:t>
      </w:r>
      <w:r>
        <w:rPr>
          <w:spacing w:val="23"/>
        </w:rPr>
        <w:t xml:space="preserve"> </w:t>
      </w:r>
      <w:r>
        <w:t>de</w:t>
      </w:r>
      <w:r>
        <w:rPr>
          <w:spacing w:val="23"/>
        </w:rPr>
        <w:t xml:space="preserve"> </w:t>
      </w:r>
      <w:r>
        <w:t>renda</w:t>
      </w:r>
      <w:r>
        <w:rPr>
          <w:spacing w:val="20"/>
        </w:rPr>
        <w:t xml:space="preserve"> </w:t>
      </w:r>
      <w:r>
        <w:t>no</w:t>
      </w:r>
      <w:r>
        <w:rPr>
          <w:spacing w:val="23"/>
        </w:rPr>
        <w:t xml:space="preserve"> </w:t>
      </w:r>
      <w:r>
        <w:t>topo</w:t>
      </w:r>
      <w:r>
        <w:rPr>
          <w:spacing w:val="22"/>
        </w:rPr>
        <w:t xml:space="preserve"> </w:t>
      </w:r>
      <w:r>
        <w:t>cresce,</w:t>
      </w:r>
      <w:r>
        <w:rPr>
          <w:spacing w:val="30"/>
        </w:rPr>
        <w:t xml:space="preserve"> </w:t>
      </w:r>
      <w:r>
        <w:t>e</w:t>
      </w:r>
      <w:r>
        <w:rPr>
          <w:spacing w:val="22"/>
        </w:rPr>
        <w:t xml:space="preserve"> </w:t>
      </w:r>
      <w:r>
        <w:t>os</w:t>
      </w:r>
      <w:r>
        <w:rPr>
          <w:spacing w:val="22"/>
        </w:rPr>
        <w:t xml:space="preserve"> </w:t>
      </w:r>
      <w:r>
        <w:t>5%</w:t>
      </w:r>
      <w:r>
        <w:rPr>
          <w:spacing w:val="23"/>
        </w:rPr>
        <w:t xml:space="preserve"> </w:t>
      </w:r>
      <w:r>
        <w:t>mais</w:t>
      </w:r>
      <w:r>
        <w:rPr>
          <w:spacing w:val="24"/>
        </w:rPr>
        <w:t xml:space="preserve"> </w:t>
      </w:r>
      <w:r>
        <w:t>ricos</w:t>
      </w:r>
      <w:r>
        <w:rPr>
          <w:spacing w:val="22"/>
        </w:rPr>
        <w:t xml:space="preserve"> </w:t>
      </w:r>
      <w:r>
        <w:t>já</w:t>
      </w:r>
      <w:r>
        <w:rPr>
          <w:spacing w:val="20"/>
        </w:rPr>
        <w:t xml:space="preserve"> </w:t>
      </w:r>
      <w:r>
        <w:t>de-</w:t>
      </w:r>
      <w:r>
        <w:rPr>
          <w:spacing w:val="21"/>
        </w:rPr>
        <w:t xml:space="preserve"> </w:t>
      </w:r>
      <w:r>
        <w:t>têm 40%</w:t>
      </w:r>
      <w:r>
        <w:rPr>
          <w:spacing w:val="-2"/>
        </w:rPr>
        <w:t xml:space="preserve"> </w:t>
      </w:r>
      <w:r>
        <w:t>da</w:t>
      </w:r>
      <w:r>
        <w:rPr>
          <w:spacing w:val="-2"/>
        </w:rPr>
        <w:t xml:space="preserve"> </w:t>
      </w:r>
      <w:r>
        <w:t>renda</w:t>
      </w:r>
      <w:r>
        <w:rPr>
          <w:spacing w:val="-2"/>
        </w:rPr>
        <w:t xml:space="preserve"> </w:t>
      </w:r>
      <w:r>
        <w:t>nacional. Estudo</w:t>
      </w:r>
      <w:r>
        <w:rPr>
          <w:spacing w:val="-1"/>
        </w:rPr>
        <w:t xml:space="preserve"> </w:t>
      </w:r>
      <w:r>
        <w:t>da</w:t>
      </w:r>
      <w:r>
        <w:rPr>
          <w:spacing w:val="-2"/>
        </w:rPr>
        <w:t xml:space="preserve"> </w:t>
      </w:r>
      <w:r>
        <w:t>Fundação</w:t>
      </w:r>
      <w:r>
        <w:rPr>
          <w:spacing w:val="-1"/>
        </w:rPr>
        <w:t xml:space="preserve"> </w:t>
      </w:r>
      <w:r>
        <w:t>Getúlio</w:t>
      </w:r>
      <w:r>
        <w:rPr>
          <w:spacing w:val="-1"/>
        </w:rPr>
        <w:t xml:space="preserve"> </w:t>
      </w:r>
      <w:r>
        <w:t>Vargas,</w:t>
      </w:r>
      <w:r>
        <w:rPr>
          <w:spacing w:val="-1"/>
        </w:rPr>
        <w:t xml:space="preserve"> </w:t>
      </w:r>
      <w:r>
        <w:t>com</w:t>
      </w:r>
      <w:r>
        <w:rPr>
          <w:spacing w:val="-1"/>
        </w:rPr>
        <w:t xml:space="preserve"> </w:t>
      </w:r>
      <w:r>
        <w:t>base</w:t>
      </w:r>
      <w:r>
        <w:rPr>
          <w:spacing w:val="-2"/>
        </w:rPr>
        <w:t xml:space="preserve"> </w:t>
      </w:r>
      <w:r>
        <w:t>em</w:t>
      </w:r>
      <w:r>
        <w:rPr>
          <w:spacing w:val="-1"/>
        </w:rPr>
        <w:t xml:space="preserve"> </w:t>
      </w:r>
      <w:r>
        <w:t>dados</w:t>
      </w:r>
      <w:r>
        <w:rPr>
          <w:spacing w:val="-1"/>
        </w:rPr>
        <w:t xml:space="preserve"> </w:t>
      </w:r>
      <w:r>
        <w:t>do</w:t>
      </w:r>
      <w:r>
        <w:rPr>
          <w:spacing w:val="-1"/>
        </w:rPr>
        <w:t xml:space="preserve"> </w:t>
      </w:r>
      <w:r>
        <w:t>Imposto de</w:t>
      </w:r>
      <w:r>
        <w:rPr>
          <w:spacing w:val="20"/>
        </w:rPr>
        <w:t xml:space="preserve"> </w:t>
      </w:r>
      <w:r>
        <w:t>Renda,</w:t>
      </w:r>
      <w:r>
        <w:rPr>
          <w:spacing w:val="21"/>
        </w:rPr>
        <w:t xml:space="preserve"> </w:t>
      </w:r>
      <w:r>
        <w:t>mostra</w:t>
      </w:r>
      <w:r>
        <w:rPr>
          <w:spacing w:val="20"/>
        </w:rPr>
        <w:t xml:space="preserve"> </w:t>
      </w:r>
      <w:r>
        <w:t>também</w:t>
      </w:r>
      <w:r>
        <w:rPr>
          <w:spacing w:val="22"/>
        </w:rPr>
        <w:t xml:space="preserve"> </w:t>
      </w:r>
      <w:r>
        <w:t>que</w:t>
      </w:r>
      <w:r>
        <w:rPr>
          <w:spacing w:val="20"/>
        </w:rPr>
        <w:t xml:space="preserve"> </w:t>
      </w:r>
      <w:r>
        <w:t>o</w:t>
      </w:r>
      <w:r>
        <w:rPr>
          <w:spacing w:val="21"/>
        </w:rPr>
        <w:t xml:space="preserve"> </w:t>
      </w:r>
      <w:r>
        <w:t>0,01%</w:t>
      </w:r>
      <w:r>
        <w:rPr>
          <w:spacing w:val="21"/>
        </w:rPr>
        <w:t xml:space="preserve"> </w:t>
      </w:r>
      <w:r>
        <w:t>mais</w:t>
      </w:r>
      <w:r>
        <w:rPr>
          <w:spacing w:val="22"/>
        </w:rPr>
        <w:t xml:space="preserve"> </w:t>
      </w:r>
      <w:r>
        <w:t>rico,</w:t>
      </w:r>
      <w:r>
        <w:rPr>
          <w:spacing w:val="21"/>
        </w:rPr>
        <w:t xml:space="preserve"> </w:t>
      </w:r>
      <w:r>
        <w:t>que</w:t>
      </w:r>
      <w:r>
        <w:rPr>
          <w:spacing w:val="20"/>
        </w:rPr>
        <w:t xml:space="preserve"> </w:t>
      </w:r>
      <w:r>
        <w:t>corresponde</w:t>
      </w:r>
      <w:r>
        <w:rPr>
          <w:spacing w:val="21"/>
        </w:rPr>
        <w:t xml:space="preserve"> </w:t>
      </w:r>
      <w:r>
        <w:t>a</w:t>
      </w:r>
      <w:r>
        <w:rPr>
          <w:spacing w:val="20"/>
        </w:rPr>
        <w:t xml:space="preserve"> </w:t>
      </w:r>
      <w:r>
        <w:t>15</w:t>
      </w:r>
      <w:r>
        <w:rPr>
          <w:spacing w:val="23"/>
        </w:rPr>
        <w:t xml:space="preserve"> </w:t>
      </w:r>
      <w:r>
        <w:t>mil</w:t>
      </w:r>
      <w:r>
        <w:rPr>
          <w:spacing w:val="22"/>
        </w:rPr>
        <w:t xml:space="preserve"> </w:t>
      </w:r>
      <w:r>
        <w:t>pessoas,</w:t>
      </w:r>
      <w:r>
        <w:rPr>
          <w:spacing w:val="21"/>
        </w:rPr>
        <w:t xml:space="preserve"> </w:t>
      </w:r>
      <w:r>
        <w:t>teve aumento</w:t>
      </w:r>
      <w:r>
        <w:rPr>
          <w:spacing w:val="33"/>
        </w:rPr>
        <w:t xml:space="preserve"> </w:t>
      </w:r>
      <w:r>
        <w:t>de</w:t>
      </w:r>
      <w:r>
        <w:rPr>
          <w:spacing w:val="32"/>
        </w:rPr>
        <w:t xml:space="preserve"> </w:t>
      </w:r>
      <w:r>
        <w:t>96%</w:t>
      </w:r>
      <w:r>
        <w:rPr>
          <w:spacing w:val="33"/>
        </w:rPr>
        <w:t xml:space="preserve"> </w:t>
      </w:r>
      <w:r>
        <w:t>nos</w:t>
      </w:r>
      <w:r>
        <w:rPr>
          <w:spacing w:val="36"/>
        </w:rPr>
        <w:t xml:space="preserve"> </w:t>
      </w:r>
      <w:r>
        <w:t>rendimentos</w:t>
      </w:r>
      <w:r>
        <w:rPr>
          <w:spacing w:val="34"/>
        </w:rPr>
        <w:t xml:space="preserve"> </w:t>
      </w:r>
      <w:r>
        <w:t>de</w:t>
      </w:r>
      <w:r>
        <w:rPr>
          <w:spacing w:val="32"/>
        </w:rPr>
        <w:t xml:space="preserve"> </w:t>
      </w:r>
      <w:r>
        <w:t>2017</w:t>
      </w:r>
      <w:r>
        <w:rPr>
          <w:spacing w:val="33"/>
        </w:rPr>
        <w:t xml:space="preserve"> </w:t>
      </w:r>
      <w:r>
        <w:t>a</w:t>
      </w:r>
      <w:r>
        <w:rPr>
          <w:spacing w:val="32"/>
        </w:rPr>
        <w:t xml:space="preserve"> </w:t>
      </w:r>
      <w:r>
        <w:t>2022.</w:t>
      </w:r>
      <w:r>
        <w:rPr>
          <w:spacing w:val="37"/>
        </w:rPr>
        <w:t xml:space="preserve"> </w:t>
      </w:r>
      <w:r>
        <w:rPr>
          <w:b/>
        </w:rPr>
        <w:t>O</w:t>
      </w:r>
      <w:r>
        <w:rPr>
          <w:b/>
          <w:spacing w:val="34"/>
        </w:rPr>
        <w:t xml:space="preserve"> </w:t>
      </w:r>
      <w:r>
        <w:rPr>
          <w:b/>
        </w:rPr>
        <w:t>Globo</w:t>
      </w:r>
      <w:r>
        <w:rPr>
          <w:b/>
          <w:spacing w:val="33"/>
        </w:rPr>
        <w:t xml:space="preserve"> </w:t>
      </w:r>
      <w:r>
        <w:rPr>
          <w:b/>
        </w:rPr>
        <w:t>Economia,</w:t>
      </w:r>
      <w:r>
        <w:rPr>
          <w:b/>
          <w:spacing w:val="35"/>
        </w:rPr>
        <w:t xml:space="preserve"> </w:t>
      </w:r>
      <w:r>
        <w:t>Rio</w:t>
      </w:r>
      <w:r>
        <w:rPr>
          <w:spacing w:val="34"/>
        </w:rPr>
        <w:t xml:space="preserve"> </w:t>
      </w:r>
      <w:r>
        <w:t>de</w:t>
      </w:r>
      <w:r>
        <w:rPr>
          <w:spacing w:val="31"/>
        </w:rPr>
        <w:t xml:space="preserve"> </w:t>
      </w:r>
      <w:r>
        <w:t>Janeiro, 2024.</w:t>
      </w:r>
      <w:r>
        <w:rPr>
          <w:spacing w:val="21"/>
        </w:rPr>
        <w:t xml:space="preserve"> </w:t>
      </w:r>
      <w:r>
        <w:t>Disponível</w:t>
      </w:r>
      <w:r>
        <w:rPr>
          <w:spacing w:val="22"/>
        </w:rPr>
        <w:t xml:space="preserve"> </w:t>
      </w:r>
      <w:r>
        <w:t>em:</w:t>
      </w:r>
      <w:r>
        <w:rPr>
          <w:spacing w:val="22"/>
        </w:rPr>
        <w:t xml:space="preserve"> </w:t>
      </w:r>
      <w:r>
        <w:t xml:space="preserve">https://oglobo.globo.com/economia/noticia/2024/01/17/concentracao- </w:t>
      </w:r>
      <w:r>
        <w:rPr>
          <w:spacing w:val="-2"/>
        </w:rPr>
        <w:t xml:space="preserve">de-renda-no-topo-cresce-e-os-5percent-mais-ricos-ja-detem-40percent-da- </w:t>
      </w:r>
      <w:r>
        <w:t>rendanacional.ghtml. Acesso em: 18 jun. 2024.</w:t>
      </w:r>
    </w:p>
    <w:p w:rsidR="007259F2" w:rsidRDefault="00E655B4">
      <w:pPr>
        <w:pStyle w:val="Corpodetexto"/>
        <w:spacing w:before="121"/>
        <w:ind w:right="567" w:firstLine="0"/>
      </w:pPr>
      <w:r>
        <w:t xml:space="preserve">ALVARENGA, Luiz Carlos. A concessão de uso especial para fins de moradia como instrumento de regularização fundiária e acesso à moradia. </w:t>
      </w:r>
      <w:r>
        <w:rPr>
          <w:b/>
        </w:rPr>
        <w:t>Revista de Direito Imobiliário</w:t>
      </w:r>
      <w:r>
        <w:t>, São</w:t>
      </w:r>
      <w:r>
        <w:rPr>
          <w:spacing w:val="20"/>
        </w:rPr>
        <w:t xml:space="preserve"> </w:t>
      </w:r>
      <w:r>
        <w:t>Paulo,</w:t>
      </w:r>
      <w:r>
        <w:rPr>
          <w:spacing w:val="20"/>
        </w:rPr>
        <w:t xml:space="preserve"> </w:t>
      </w:r>
      <w:r>
        <w:t>vol.</w:t>
      </w:r>
      <w:r>
        <w:rPr>
          <w:spacing w:val="21"/>
        </w:rPr>
        <w:t xml:space="preserve"> </w:t>
      </w:r>
      <w:r>
        <w:t>65,</w:t>
      </w:r>
      <w:r>
        <w:rPr>
          <w:spacing w:val="20"/>
        </w:rPr>
        <w:t xml:space="preserve"> </w:t>
      </w:r>
      <w:r>
        <w:t>p.</w:t>
      </w:r>
      <w:r>
        <w:rPr>
          <w:spacing w:val="21"/>
        </w:rPr>
        <w:t xml:space="preserve"> </w:t>
      </w:r>
      <w:r>
        <w:t>61,</w:t>
      </w:r>
      <w:r>
        <w:rPr>
          <w:spacing w:val="20"/>
        </w:rPr>
        <w:t xml:space="preserve"> </w:t>
      </w:r>
      <w:r>
        <w:t>jul.</w:t>
      </w:r>
      <w:r>
        <w:rPr>
          <w:spacing w:val="21"/>
        </w:rPr>
        <w:t xml:space="preserve"> </w:t>
      </w:r>
      <w:r>
        <w:t>2008;</w:t>
      </w:r>
      <w:r>
        <w:rPr>
          <w:spacing w:val="20"/>
        </w:rPr>
        <w:t xml:space="preserve"> </w:t>
      </w:r>
      <w:r>
        <w:t>Doutrinas</w:t>
      </w:r>
      <w:r>
        <w:rPr>
          <w:spacing w:val="75"/>
          <w:w w:val="150"/>
        </w:rPr>
        <w:t xml:space="preserve"> </w:t>
      </w:r>
      <w:r>
        <w:t>Essenciais</w:t>
      </w:r>
      <w:r>
        <w:rPr>
          <w:spacing w:val="70"/>
          <w:w w:val="150"/>
        </w:rPr>
        <w:t xml:space="preserve"> </w:t>
      </w:r>
      <w:r>
        <w:t>de</w:t>
      </w:r>
      <w:r>
        <w:rPr>
          <w:spacing w:val="71"/>
          <w:w w:val="150"/>
        </w:rPr>
        <w:t xml:space="preserve"> </w:t>
      </w:r>
      <w:r>
        <w:t>Direito</w:t>
      </w:r>
      <w:r>
        <w:rPr>
          <w:spacing w:val="72"/>
          <w:w w:val="150"/>
        </w:rPr>
        <w:t xml:space="preserve"> </w:t>
      </w:r>
      <w:r>
        <w:t>Registral,</w:t>
      </w:r>
      <w:r>
        <w:rPr>
          <w:spacing w:val="73"/>
          <w:w w:val="150"/>
        </w:rPr>
        <w:t xml:space="preserve"> </w:t>
      </w:r>
      <w:r>
        <w:t>vol.</w:t>
      </w:r>
      <w:r>
        <w:rPr>
          <w:spacing w:val="70"/>
          <w:w w:val="150"/>
        </w:rPr>
        <w:t xml:space="preserve"> </w:t>
      </w:r>
      <w:r>
        <w:rPr>
          <w:spacing w:val="-5"/>
        </w:rPr>
        <w:t>5,</w:t>
      </w:r>
    </w:p>
    <w:p w:rsidR="007259F2" w:rsidRDefault="00E655B4">
      <w:pPr>
        <w:pStyle w:val="Corpodetexto"/>
        <w:ind w:right="569" w:firstLine="0"/>
      </w:pPr>
      <w:r>
        <w:t>p.</w:t>
      </w:r>
      <w:r>
        <w:rPr>
          <w:spacing w:val="40"/>
        </w:rPr>
        <w:t xml:space="preserve"> </w:t>
      </w:r>
      <w:r>
        <w:t>1.265,</w:t>
      </w:r>
      <w:r>
        <w:rPr>
          <w:spacing w:val="40"/>
        </w:rPr>
        <w:t xml:space="preserve"> </w:t>
      </w:r>
      <w:r>
        <w:t>dez.</w:t>
      </w:r>
      <w:r>
        <w:rPr>
          <w:spacing w:val="40"/>
        </w:rPr>
        <w:t xml:space="preserve"> </w:t>
      </w:r>
      <w:r>
        <w:t>2011.</w:t>
      </w:r>
      <w:r>
        <w:rPr>
          <w:spacing w:val="40"/>
        </w:rPr>
        <w:t xml:space="preserve"> </w:t>
      </w:r>
      <w:r>
        <w:t>Disponível em: https:/</w:t>
      </w:r>
      <w:hyperlink r:id="rId209">
        <w:r>
          <w:t>/www.cjf.jus.br/caju/FUNDIARIA-2.pdf.</w:t>
        </w:r>
      </w:hyperlink>
      <w:r>
        <w:t xml:space="preserve"> Acesso em: 25 maio 2024.</w:t>
      </w:r>
    </w:p>
    <w:p w:rsidR="007259F2" w:rsidRDefault="00E655B4">
      <w:pPr>
        <w:spacing w:before="120"/>
        <w:ind w:left="710" w:right="554"/>
        <w:jc w:val="both"/>
        <w:rPr>
          <w:sz w:val="24"/>
        </w:rPr>
      </w:pPr>
      <w:r>
        <w:rPr>
          <w:sz w:val="24"/>
        </w:rPr>
        <w:t xml:space="preserve">BAPTISTA, Isabelle de. </w:t>
      </w:r>
      <w:r>
        <w:rPr>
          <w:b/>
          <w:sz w:val="24"/>
        </w:rPr>
        <w:t>A desconstrução do princípio da supremacia do interesse público sobre o privado como resgate dos direitos fundamentais</w:t>
      </w:r>
      <w:r>
        <w:rPr>
          <w:sz w:val="24"/>
        </w:rPr>
        <w:t>. 2010. Dissertação (Mestrado em Direitos e Garantias Fundamentais). Faculdade de Direito de Vitória, Espírito Santo, 2010.</w:t>
      </w:r>
    </w:p>
    <w:p w:rsidR="007259F2" w:rsidRDefault="00E655B4">
      <w:pPr>
        <w:pStyle w:val="Corpodetexto"/>
        <w:tabs>
          <w:tab w:val="left" w:pos="2302"/>
        </w:tabs>
        <w:spacing w:before="120"/>
        <w:ind w:right="559" w:firstLine="0"/>
      </w:pPr>
      <w:r>
        <w:t xml:space="preserve">BARROS, Felipe Maciel P.. Da (in)constitucionalidade da legitimação fundiária. A legi- timação fundiária é um instrumento adequado para regularização fundiária de áreas núcleos urbanos consolidados em áreas de domínio público, de maneira que deve ser afastada qualquer discussão quanto à sua constitucionalidade. </w:t>
      </w:r>
      <w:r>
        <w:rPr>
          <w:b/>
        </w:rPr>
        <w:t>Migalhas De Peso</w:t>
      </w:r>
      <w:r>
        <w:t xml:space="preserve">, 2019. Disponível </w:t>
      </w:r>
      <w:r>
        <w:rPr>
          <w:spacing w:val="-4"/>
        </w:rPr>
        <w:t>em:</w:t>
      </w:r>
      <w:r>
        <w:tab/>
      </w:r>
      <w:r>
        <w:rPr>
          <w:spacing w:val="-2"/>
        </w:rPr>
        <w:t>https:/</w:t>
      </w:r>
      <w:hyperlink r:id="rId210">
        <w:r>
          <w:rPr>
            <w:spacing w:val="-2"/>
          </w:rPr>
          <w:t>/www.migalhas.com.br/depeso/287119/da--in-</w:t>
        </w:r>
      </w:hyperlink>
      <w:r>
        <w:rPr>
          <w:spacing w:val="-2"/>
        </w:rPr>
        <w:t xml:space="preserve">constitucionalidade-da- </w:t>
      </w:r>
      <w:r>
        <w:t>legitimacao-fundiaria. Acesso em: 11 jul. 2024.</w:t>
      </w:r>
    </w:p>
    <w:p w:rsidR="007259F2" w:rsidRDefault="00E655B4">
      <w:pPr>
        <w:spacing w:before="120"/>
        <w:ind w:left="710" w:right="421"/>
        <w:jc w:val="both"/>
        <w:rPr>
          <w:sz w:val="24"/>
        </w:rPr>
      </w:pPr>
      <w:r>
        <w:rPr>
          <w:sz w:val="24"/>
        </w:rPr>
        <w:t>BRASIL.</w:t>
      </w:r>
      <w:r>
        <w:rPr>
          <w:spacing w:val="80"/>
          <w:sz w:val="24"/>
        </w:rPr>
        <w:t xml:space="preserve">  </w:t>
      </w:r>
      <w:r>
        <w:rPr>
          <w:b/>
          <w:sz w:val="24"/>
        </w:rPr>
        <w:t>Tradução</w:t>
      </w:r>
      <w:r>
        <w:rPr>
          <w:b/>
          <w:spacing w:val="80"/>
          <w:sz w:val="24"/>
        </w:rPr>
        <w:t xml:space="preserve">  </w:t>
      </w:r>
      <w:r>
        <w:rPr>
          <w:b/>
          <w:sz w:val="24"/>
        </w:rPr>
        <w:t>da</w:t>
      </w:r>
      <w:r>
        <w:rPr>
          <w:b/>
          <w:spacing w:val="80"/>
          <w:sz w:val="24"/>
        </w:rPr>
        <w:t xml:space="preserve">  </w:t>
      </w:r>
      <w:r>
        <w:rPr>
          <w:b/>
          <w:sz w:val="24"/>
        </w:rPr>
        <w:t>declaração</w:t>
      </w:r>
      <w:r>
        <w:rPr>
          <w:b/>
          <w:spacing w:val="80"/>
          <w:sz w:val="24"/>
        </w:rPr>
        <w:t xml:space="preserve">  </w:t>
      </w:r>
      <w:r>
        <w:rPr>
          <w:b/>
          <w:sz w:val="24"/>
        </w:rPr>
        <w:t>de</w:t>
      </w:r>
      <w:r>
        <w:rPr>
          <w:b/>
          <w:spacing w:val="80"/>
          <w:sz w:val="24"/>
        </w:rPr>
        <w:t xml:space="preserve">  </w:t>
      </w:r>
      <w:r>
        <w:rPr>
          <w:b/>
          <w:sz w:val="24"/>
        </w:rPr>
        <w:t>direitos</w:t>
      </w:r>
      <w:r>
        <w:rPr>
          <w:b/>
          <w:spacing w:val="80"/>
          <w:sz w:val="24"/>
        </w:rPr>
        <w:t xml:space="preserve">  </w:t>
      </w:r>
      <w:r>
        <w:rPr>
          <w:b/>
          <w:sz w:val="24"/>
        </w:rPr>
        <w:t>de</w:t>
      </w:r>
      <w:r>
        <w:rPr>
          <w:b/>
          <w:spacing w:val="80"/>
          <w:sz w:val="24"/>
        </w:rPr>
        <w:t xml:space="preserve">  </w:t>
      </w:r>
      <w:r>
        <w:rPr>
          <w:b/>
          <w:sz w:val="24"/>
        </w:rPr>
        <w:t>Virgínia</w:t>
      </w:r>
      <w:r>
        <w:rPr>
          <w:sz w:val="24"/>
        </w:rPr>
        <w:t>.</w:t>
      </w:r>
      <w:r>
        <w:rPr>
          <w:spacing w:val="80"/>
          <w:sz w:val="24"/>
        </w:rPr>
        <w:t xml:space="preserve">  </w:t>
      </w:r>
      <w:r>
        <w:rPr>
          <w:sz w:val="24"/>
        </w:rPr>
        <w:t>Disponível em: https://www3.al.sp.gov.br/repositorio/ilp/anexos/1788/YY2014MM11DD18HH14MM 7SS42-Declara</w:t>
      </w:r>
      <w:r>
        <w:rPr>
          <w:spacing w:val="80"/>
          <w:w w:val="150"/>
          <w:sz w:val="24"/>
          <w:u w:val="single"/>
        </w:rPr>
        <w:t xml:space="preserve"> </w:t>
      </w:r>
      <w:r>
        <w:rPr>
          <w:sz w:val="24"/>
        </w:rPr>
        <w:t>o%20da%20Virginia.pdf. Acesso em: 07 jul. 2024.</w:t>
      </w:r>
    </w:p>
    <w:p w:rsidR="007259F2" w:rsidRDefault="00E655B4">
      <w:pPr>
        <w:spacing w:before="121"/>
        <w:ind w:left="710" w:right="559"/>
        <w:jc w:val="both"/>
        <w:rPr>
          <w:sz w:val="24"/>
        </w:rPr>
      </w:pPr>
      <w:r>
        <w:rPr>
          <w:sz w:val="24"/>
        </w:rPr>
        <w:t xml:space="preserve">BRASIL. Embaixada da França no Brasil. </w:t>
      </w:r>
      <w:r>
        <w:rPr>
          <w:b/>
          <w:sz w:val="24"/>
        </w:rPr>
        <w:t>A Declaração dos Direitos do Homem e do Ci- dadão</w:t>
      </w:r>
      <w:r>
        <w:rPr>
          <w:sz w:val="24"/>
        </w:rPr>
        <w:t>. 2017. Disponível em: https://br.ambafrance.org/A-Declaracao-dos-Direitos-do- Homem-e-do-Cidadao. Acesso em: 01 jul. 2024.</w:t>
      </w:r>
    </w:p>
    <w:p w:rsidR="007259F2" w:rsidRDefault="00E655B4">
      <w:pPr>
        <w:pStyle w:val="Corpodetexto"/>
        <w:spacing w:before="120"/>
        <w:ind w:right="557" w:firstLine="0"/>
      </w:pPr>
      <w:r>
        <w:t xml:space="preserve">CAMPOS, Ana Cristina. Brasil registra déficit habitacional de 6 milhões de domicílios. Houve aumento de cerca de 4,2% na comparação com 2019. </w:t>
      </w:r>
      <w:r>
        <w:rPr>
          <w:b/>
        </w:rPr>
        <w:t>Agência Brasil</w:t>
      </w:r>
      <w:r>
        <w:t>, 2024. Disponível em: https://agenciabrasil.ebc.com.br/geral/noticia/2024-04/brasil-registra-deficit- habitacional-de-6-milhoes-de-domicilios. Acesso em: 15 jul. 2024.</w:t>
      </w:r>
    </w:p>
    <w:p w:rsidR="007259F2" w:rsidRDefault="00E655B4">
      <w:pPr>
        <w:pStyle w:val="Corpodetexto"/>
        <w:spacing w:before="120"/>
        <w:ind w:right="556" w:firstLine="0"/>
      </w:pPr>
      <w:r>
        <w:t xml:space="preserve">CARMONA, Paulo Afonso Cavichioli; ZAGO, Fábio Bragança; SOUZA, Oriane Graciani de. Legitimação Fundiária na Promoção do Direito Fundamental à Moradia. </w:t>
      </w:r>
      <w:r>
        <w:rPr>
          <w:b/>
        </w:rPr>
        <w:t>Revista Magister de Direito Ambiental e Urbanístico</w:t>
      </w:r>
      <w:r>
        <w:t>, Porto Alegre, Ano XV, nº 89, abr./maio 2020. Disponível em: https:/</w:t>
      </w:r>
      <w:hyperlink r:id="rId211">
        <w:r>
          <w:t>/www.mpgo.mp.br/boletimdompgo/2020/07-jul/artigos/</w:t>
        </w:r>
      </w:hyperlink>
      <w:r>
        <w:t xml:space="preserve"> artigo- paulo-fabio-oriane.pdf. Acesso em: 14 jun. 2024.</w:t>
      </w:r>
    </w:p>
    <w:p w:rsidR="007259F2" w:rsidRDefault="00E655B4">
      <w:pPr>
        <w:pStyle w:val="Corpodetexto"/>
        <w:spacing w:before="120"/>
        <w:ind w:right="559" w:firstLine="0"/>
      </w:pPr>
      <w:r>
        <w:t xml:space="preserve">CONCENTRAÇÃO de renda para os mais riscos bate recorde histórico no Brasil, diz pesquisa. </w:t>
      </w:r>
      <w:r>
        <w:rPr>
          <w:b/>
        </w:rPr>
        <w:t>UOL Economia</w:t>
      </w:r>
      <w:r>
        <w:t>, Agência Brasil, 17 jan. 2024. Disponível em: https://economia.uol.com.br/noticias/agencia-brasil/2024/01/17/concentracao-de-renda bate- recorde-historico-no-brasil-diz- pesquisa.htm. Acesso em: 23 jul. 2024.</w:t>
      </w:r>
    </w:p>
    <w:p w:rsidR="007259F2" w:rsidRDefault="007259F2">
      <w:pPr>
        <w:pStyle w:val="Corpodetexto"/>
        <w:sectPr w:rsidR="007259F2">
          <w:pgSz w:w="11910" w:h="16840"/>
          <w:pgMar w:top="1620" w:right="708" w:bottom="1020" w:left="992" w:header="0" w:footer="820" w:gutter="0"/>
          <w:cols w:space="720"/>
        </w:sectPr>
      </w:pPr>
    </w:p>
    <w:p w:rsidR="007259F2" w:rsidRDefault="00E655B4">
      <w:pPr>
        <w:pStyle w:val="Corpodetexto"/>
        <w:spacing w:before="75"/>
        <w:ind w:firstLine="0"/>
        <w:jc w:val="left"/>
      </w:pPr>
      <w:r>
        <w:lastRenderedPageBreak/>
        <w:t>DI</w:t>
      </w:r>
      <w:r>
        <w:rPr>
          <w:spacing w:val="29"/>
        </w:rPr>
        <w:t xml:space="preserve"> </w:t>
      </w:r>
      <w:r>
        <w:t>PIETRO,</w:t>
      </w:r>
      <w:r>
        <w:rPr>
          <w:spacing w:val="30"/>
        </w:rPr>
        <w:t xml:space="preserve"> </w:t>
      </w:r>
      <w:r>
        <w:t>Maria</w:t>
      </w:r>
      <w:r>
        <w:rPr>
          <w:spacing w:val="29"/>
        </w:rPr>
        <w:t xml:space="preserve"> </w:t>
      </w:r>
      <w:r>
        <w:t>Sylvia</w:t>
      </w:r>
      <w:r>
        <w:rPr>
          <w:spacing w:val="33"/>
        </w:rPr>
        <w:t xml:space="preserve"> </w:t>
      </w:r>
      <w:r>
        <w:t>Zanella.</w:t>
      </w:r>
      <w:r>
        <w:rPr>
          <w:spacing w:val="33"/>
        </w:rPr>
        <w:t xml:space="preserve"> </w:t>
      </w:r>
      <w:r>
        <w:rPr>
          <w:b/>
        </w:rPr>
        <w:t>Direito Administrativo</w:t>
      </w:r>
      <w:r>
        <w:t>.</w:t>
      </w:r>
      <w:r>
        <w:rPr>
          <w:spacing w:val="30"/>
        </w:rPr>
        <w:t xml:space="preserve"> </w:t>
      </w:r>
      <w:r>
        <w:t>31.</w:t>
      </w:r>
      <w:r>
        <w:rPr>
          <w:spacing w:val="30"/>
        </w:rPr>
        <w:t xml:space="preserve"> </w:t>
      </w:r>
      <w:r>
        <w:t>ed. Revista,</w:t>
      </w:r>
      <w:r>
        <w:rPr>
          <w:spacing w:val="35"/>
        </w:rPr>
        <w:t xml:space="preserve"> </w:t>
      </w:r>
      <w:r>
        <w:t>atualizada</w:t>
      </w:r>
      <w:r>
        <w:rPr>
          <w:spacing w:val="34"/>
        </w:rPr>
        <w:t xml:space="preserve"> </w:t>
      </w:r>
      <w:r>
        <w:t>e ampliada. Rio de Janeiro: Forense, 2018, p. 872.</w:t>
      </w:r>
    </w:p>
    <w:p w:rsidR="007259F2" w:rsidRDefault="00E655B4">
      <w:pPr>
        <w:spacing w:before="120"/>
        <w:ind w:left="710" w:right="557"/>
        <w:jc w:val="both"/>
        <w:rPr>
          <w:sz w:val="24"/>
        </w:rPr>
      </w:pPr>
      <w:r>
        <w:rPr>
          <w:sz w:val="24"/>
        </w:rPr>
        <w:t xml:space="preserve">FRANÇA, Vanessa Chalegre de Andrade; FERREIRA, Allan Ramalho; LIMA, Rafael Negreiros Dantas de. </w:t>
      </w:r>
      <w:r>
        <w:rPr>
          <w:b/>
          <w:sz w:val="24"/>
        </w:rPr>
        <w:t>A regularização fundiária urbana de interesse social (REURB-S) como solução jurisdicional prioritária</w:t>
      </w:r>
      <w:r>
        <w:rPr>
          <w:sz w:val="24"/>
        </w:rPr>
        <w:t xml:space="preserve">: uma diretriz para a atuação da Defensoria Pública na figura do </w:t>
      </w:r>
      <w:r>
        <w:rPr>
          <w:i/>
          <w:sz w:val="24"/>
        </w:rPr>
        <w:t xml:space="preserve">custus vulnerabilis </w:t>
      </w:r>
      <w:r>
        <w:rPr>
          <w:sz w:val="24"/>
        </w:rPr>
        <w:t>nos litígios coletivos possessórios urbanos. Décimo quarto congresso nacional da Defensoria Pública. Rio de</w:t>
      </w:r>
      <w:r>
        <w:rPr>
          <w:spacing w:val="40"/>
          <w:sz w:val="24"/>
        </w:rPr>
        <w:t xml:space="preserve"> </w:t>
      </w:r>
      <w:r>
        <w:rPr>
          <w:sz w:val="24"/>
        </w:rPr>
        <w:t>Janeiro, 2019. Disponível em: https:/</w:t>
      </w:r>
      <w:hyperlink r:id="rId212">
        <w:r>
          <w:rPr>
            <w:sz w:val="24"/>
          </w:rPr>
          <w:t>/www.anadep.org.br/wtk/pagina/materia?id=425</w:t>
        </w:r>
      </w:hyperlink>
      <w:r>
        <w:rPr>
          <w:sz w:val="24"/>
        </w:rPr>
        <w:t xml:space="preserve"> 26. Acesso em: 29 jun. 2024.</w:t>
      </w:r>
    </w:p>
    <w:p w:rsidR="007259F2" w:rsidRDefault="00E655B4">
      <w:pPr>
        <w:spacing w:before="120"/>
        <w:ind w:left="710" w:right="552"/>
        <w:jc w:val="both"/>
        <w:rPr>
          <w:sz w:val="24"/>
        </w:rPr>
      </w:pPr>
      <w:r>
        <w:rPr>
          <w:sz w:val="24"/>
        </w:rPr>
        <w:t xml:space="preserve">FRANCO, Marcos Roberto. </w:t>
      </w:r>
      <w:r>
        <w:rPr>
          <w:b/>
          <w:sz w:val="24"/>
        </w:rPr>
        <w:t>A flexibilização do princípio da supremacia do interesse público diante da democracia participativa</w:t>
      </w:r>
      <w:r>
        <w:rPr>
          <w:sz w:val="24"/>
        </w:rPr>
        <w:t>. Tese de Doutorado (Programa de Pós- Graduação em Direito do Estado), Faculdade de Direito, Universidade de São Paulo, 2018. Disponível em: https:/</w:t>
      </w:r>
      <w:hyperlink r:id="rId213">
        <w:r>
          <w:rPr>
            <w:sz w:val="24"/>
          </w:rPr>
          <w:t>/www.teses.usp.br/teses/disponiveis/2/2134/tde-06112020-150207/pt-</w:t>
        </w:r>
      </w:hyperlink>
      <w:r>
        <w:rPr>
          <w:sz w:val="24"/>
        </w:rPr>
        <w:t xml:space="preserve"> br.php. Acesso em 23 jun. 2024.</w:t>
      </w:r>
    </w:p>
    <w:p w:rsidR="007259F2" w:rsidRDefault="00E655B4">
      <w:pPr>
        <w:pStyle w:val="Corpodetexto"/>
        <w:spacing w:before="121"/>
        <w:ind w:right="558" w:firstLine="0"/>
      </w:pPr>
      <w:r>
        <w:t>GABARDO, Emerson; REZENDE, Maurício Corrêa de Moura.</w:t>
      </w:r>
      <w:r>
        <w:rPr>
          <w:spacing w:val="40"/>
        </w:rPr>
        <w:t xml:space="preserve"> </w:t>
      </w:r>
      <w:r>
        <w:t xml:space="preserve">O conceito de interesse público no direito administrativo brasileiro. </w:t>
      </w:r>
      <w:r>
        <w:rPr>
          <w:b/>
        </w:rPr>
        <w:t>Revista Brasileira de Estudos Políticos</w:t>
      </w:r>
      <w:r>
        <w:t>, Belo Horizonte, n. 115, pp. 267-318, jul./dez. 2017. Disponível em: https://pos.direito.ufmg.br/rbep/index.php/rbep/article/view/516.</w:t>
      </w:r>
      <w:r>
        <w:rPr>
          <w:spacing w:val="40"/>
        </w:rPr>
        <w:t xml:space="preserve"> </w:t>
      </w:r>
      <w:r>
        <w:t>Acesso</w:t>
      </w:r>
      <w:r>
        <w:rPr>
          <w:spacing w:val="40"/>
        </w:rPr>
        <w:t xml:space="preserve"> </w:t>
      </w:r>
      <w:r>
        <w:t>em:</w:t>
      </w:r>
      <w:r>
        <w:rPr>
          <w:spacing w:val="40"/>
        </w:rPr>
        <w:t xml:space="preserve"> </w:t>
      </w:r>
      <w:r>
        <w:t>29</w:t>
      </w:r>
      <w:r>
        <w:rPr>
          <w:spacing w:val="40"/>
        </w:rPr>
        <w:t xml:space="preserve"> </w:t>
      </w:r>
      <w:r>
        <w:t>m</w:t>
      </w:r>
      <w:r>
        <w:rPr>
          <w:spacing w:val="-15"/>
        </w:rPr>
        <w:t xml:space="preserve"> </w:t>
      </w:r>
      <w:r>
        <w:t>a</w:t>
      </w:r>
      <w:r>
        <w:rPr>
          <w:spacing w:val="-15"/>
        </w:rPr>
        <w:t xml:space="preserve"> </w:t>
      </w:r>
      <w:r>
        <w:t>i</w:t>
      </w:r>
      <w:r>
        <w:rPr>
          <w:spacing w:val="-15"/>
        </w:rPr>
        <w:t xml:space="preserve"> </w:t>
      </w:r>
      <w:r>
        <w:t xml:space="preserve">o </w:t>
      </w:r>
      <w:r>
        <w:rPr>
          <w:spacing w:val="-2"/>
        </w:rPr>
        <w:t>2024.</w:t>
      </w:r>
    </w:p>
    <w:p w:rsidR="007259F2" w:rsidRDefault="00E655B4">
      <w:pPr>
        <w:spacing w:before="120"/>
        <w:ind w:left="710" w:right="569"/>
        <w:jc w:val="both"/>
        <w:rPr>
          <w:sz w:val="24"/>
        </w:rPr>
      </w:pPr>
      <w:r>
        <w:rPr>
          <w:sz w:val="24"/>
        </w:rPr>
        <w:t xml:space="preserve">GONÇALVES, Carlos Alberto. </w:t>
      </w:r>
      <w:r>
        <w:rPr>
          <w:b/>
          <w:sz w:val="24"/>
        </w:rPr>
        <w:t xml:space="preserve">Direito civil brasileiro, vol. 5: </w:t>
      </w:r>
      <w:r>
        <w:rPr>
          <w:sz w:val="24"/>
        </w:rPr>
        <w:t>direito das coisas. 14 ed., São Paulo: Saraiva Educação, 2019.</w:t>
      </w:r>
    </w:p>
    <w:p w:rsidR="007259F2" w:rsidRDefault="00E655B4">
      <w:pPr>
        <w:pStyle w:val="Corpodetexto"/>
        <w:spacing w:before="120"/>
        <w:ind w:right="566" w:firstLine="0"/>
      </w:pPr>
      <w:r>
        <w:t xml:space="preserve">HÄBERLE, Peter. </w:t>
      </w:r>
      <w:r>
        <w:rPr>
          <w:b/>
        </w:rPr>
        <w:t xml:space="preserve">Hermenêutica Constitucional: </w:t>
      </w:r>
      <w:r>
        <w:t>a sociedade aberta dos intérpretes da Constituição – contribuição para a interpretação pluralista e procedimental da Constituição. Tradução de Gilmar Ferreira Mendes. Porto Alegre: Fabris, 1997.</w:t>
      </w:r>
    </w:p>
    <w:p w:rsidR="007259F2" w:rsidRDefault="00E655B4">
      <w:pPr>
        <w:tabs>
          <w:tab w:val="left" w:pos="1799"/>
          <w:tab w:val="left" w:pos="2888"/>
          <w:tab w:val="left" w:pos="4098"/>
          <w:tab w:val="left" w:pos="5861"/>
          <w:tab w:val="left" w:pos="7310"/>
          <w:tab w:val="left" w:pos="9273"/>
        </w:tabs>
        <w:spacing w:before="121"/>
        <w:ind w:left="710" w:right="565"/>
        <w:jc w:val="both"/>
        <w:rPr>
          <w:sz w:val="24"/>
        </w:rPr>
      </w:pPr>
      <w:r>
        <w:rPr>
          <w:sz w:val="24"/>
        </w:rPr>
        <w:t>HACHEM, Daniel Wunder. A dupla noção jurídica de interesse público em Direito Administrativo</w:t>
      </w:r>
      <w:r>
        <w:rPr>
          <w:b/>
          <w:sz w:val="24"/>
        </w:rPr>
        <w:t>.</w:t>
      </w:r>
      <w:r>
        <w:rPr>
          <w:b/>
          <w:spacing w:val="-1"/>
          <w:sz w:val="24"/>
        </w:rPr>
        <w:t xml:space="preserve"> </w:t>
      </w:r>
      <w:r>
        <w:rPr>
          <w:b/>
          <w:sz w:val="24"/>
        </w:rPr>
        <w:t>Revista</w:t>
      </w:r>
      <w:r>
        <w:rPr>
          <w:b/>
          <w:spacing w:val="-1"/>
          <w:sz w:val="24"/>
        </w:rPr>
        <w:t xml:space="preserve"> </w:t>
      </w:r>
      <w:r>
        <w:rPr>
          <w:b/>
          <w:sz w:val="24"/>
        </w:rPr>
        <w:t>de</w:t>
      </w:r>
      <w:r>
        <w:rPr>
          <w:b/>
          <w:spacing w:val="-2"/>
          <w:sz w:val="24"/>
        </w:rPr>
        <w:t xml:space="preserve"> </w:t>
      </w:r>
      <w:r>
        <w:rPr>
          <w:b/>
          <w:sz w:val="24"/>
        </w:rPr>
        <w:t>Direito</w:t>
      </w:r>
      <w:r>
        <w:rPr>
          <w:b/>
          <w:spacing w:val="-2"/>
          <w:sz w:val="24"/>
        </w:rPr>
        <w:t xml:space="preserve"> </w:t>
      </w:r>
      <w:r>
        <w:rPr>
          <w:b/>
          <w:sz w:val="24"/>
        </w:rPr>
        <w:t>Administrativo</w:t>
      </w:r>
      <w:r>
        <w:rPr>
          <w:b/>
          <w:spacing w:val="-1"/>
          <w:sz w:val="24"/>
        </w:rPr>
        <w:t xml:space="preserve"> </w:t>
      </w:r>
      <w:r>
        <w:rPr>
          <w:b/>
          <w:sz w:val="24"/>
        </w:rPr>
        <w:t>&amp;</w:t>
      </w:r>
      <w:r>
        <w:rPr>
          <w:b/>
          <w:spacing w:val="-2"/>
          <w:sz w:val="24"/>
        </w:rPr>
        <w:t xml:space="preserve"> </w:t>
      </w:r>
      <w:r>
        <w:rPr>
          <w:b/>
          <w:sz w:val="24"/>
        </w:rPr>
        <w:t>Constitucional</w:t>
      </w:r>
      <w:r>
        <w:rPr>
          <w:sz w:val="24"/>
        </w:rPr>
        <w:t>,</w:t>
      </w:r>
      <w:r>
        <w:rPr>
          <w:spacing w:val="-1"/>
          <w:sz w:val="24"/>
        </w:rPr>
        <w:t xml:space="preserve"> </w:t>
      </w:r>
      <w:r>
        <w:rPr>
          <w:sz w:val="24"/>
        </w:rPr>
        <w:t>Belo Horizonte,</w:t>
      </w:r>
      <w:r>
        <w:rPr>
          <w:spacing w:val="-2"/>
          <w:sz w:val="24"/>
        </w:rPr>
        <w:t xml:space="preserve"> </w:t>
      </w:r>
      <w:r>
        <w:rPr>
          <w:sz w:val="24"/>
        </w:rPr>
        <w:t xml:space="preserve">ano </w:t>
      </w:r>
      <w:r>
        <w:rPr>
          <w:spacing w:val="-5"/>
          <w:sz w:val="24"/>
        </w:rPr>
        <w:t>3,</w:t>
      </w:r>
      <w:r>
        <w:rPr>
          <w:sz w:val="24"/>
        </w:rPr>
        <w:tab/>
      </w:r>
      <w:r>
        <w:rPr>
          <w:spacing w:val="-5"/>
          <w:sz w:val="24"/>
        </w:rPr>
        <w:t>n.</w:t>
      </w:r>
      <w:r>
        <w:rPr>
          <w:sz w:val="24"/>
        </w:rPr>
        <w:tab/>
      </w:r>
      <w:r>
        <w:rPr>
          <w:spacing w:val="-5"/>
          <w:sz w:val="24"/>
        </w:rPr>
        <w:t>11,</w:t>
      </w:r>
      <w:r>
        <w:rPr>
          <w:sz w:val="24"/>
        </w:rPr>
        <w:tab/>
      </w:r>
      <w:r>
        <w:rPr>
          <w:spacing w:val="-2"/>
          <w:sz w:val="24"/>
        </w:rPr>
        <w:t>jan./mar.</w:t>
      </w:r>
      <w:r>
        <w:rPr>
          <w:sz w:val="24"/>
        </w:rPr>
        <w:tab/>
      </w:r>
      <w:r>
        <w:rPr>
          <w:spacing w:val="-2"/>
          <w:sz w:val="24"/>
        </w:rPr>
        <w:t>2003.</w:t>
      </w:r>
      <w:r>
        <w:rPr>
          <w:sz w:val="24"/>
        </w:rPr>
        <w:tab/>
      </w:r>
      <w:r>
        <w:rPr>
          <w:spacing w:val="-2"/>
          <w:sz w:val="24"/>
        </w:rPr>
        <w:t>Disponível</w:t>
      </w:r>
      <w:r>
        <w:rPr>
          <w:sz w:val="24"/>
        </w:rPr>
        <w:tab/>
      </w:r>
      <w:r>
        <w:rPr>
          <w:spacing w:val="-5"/>
          <w:sz w:val="24"/>
        </w:rPr>
        <w:t>em:</w:t>
      </w:r>
    </w:p>
    <w:p w:rsidR="007259F2" w:rsidRDefault="00E655B4">
      <w:pPr>
        <w:pStyle w:val="Corpodetexto"/>
        <w:spacing w:line="274" w:lineRule="exact"/>
        <w:ind w:firstLine="0"/>
      </w:pPr>
      <w:r>
        <w:t>https://revistaaec.com/index.php/revistaaec/article/view/220.</w:t>
      </w:r>
      <w:r>
        <w:rPr>
          <w:spacing w:val="-6"/>
        </w:rPr>
        <w:t xml:space="preserve"> </w:t>
      </w:r>
      <w:r>
        <w:t>Acesso</w:t>
      </w:r>
      <w:r>
        <w:rPr>
          <w:spacing w:val="-2"/>
        </w:rPr>
        <w:t xml:space="preserve"> </w:t>
      </w:r>
      <w:r>
        <w:t>em</w:t>
      </w:r>
      <w:r>
        <w:rPr>
          <w:spacing w:val="-4"/>
        </w:rPr>
        <w:t xml:space="preserve"> </w:t>
      </w:r>
      <w:r>
        <w:t>26</w:t>
      </w:r>
      <w:r>
        <w:rPr>
          <w:spacing w:val="-4"/>
        </w:rPr>
        <w:t xml:space="preserve"> </w:t>
      </w:r>
      <w:r>
        <w:t>jul.</w:t>
      </w:r>
      <w:r>
        <w:rPr>
          <w:spacing w:val="-3"/>
        </w:rPr>
        <w:t xml:space="preserve"> </w:t>
      </w:r>
      <w:r>
        <w:rPr>
          <w:spacing w:val="-2"/>
        </w:rPr>
        <w:t>2024.</w:t>
      </w:r>
    </w:p>
    <w:p w:rsidR="007259F2" w:rsidRDefault="00E655B4">
      <w:pPr>
        <w:spacing w:before="120"/>
        <w:ind w:left="710" w:right="564"/>
        <w:jc w:val="both"/>
        <w:rPr>
          <w:sz w:val="24"/>
        </w:rPr>
      </w:pPr>
      <w:r>
        <w:rPr>
          <w:sz w:val="24"/>
        </w:rPr>
        <w:t xml:space="preserve">LISBOA, José Herbert Luna, </w:t>
      </w:r>
      <w:r>
        <w:rPr>
          <w:i/>
          <w:sz w:val="24"/>
        </w:rPr>
        <w:t>et. Al.</w:t>
      </w:r>
      <w:r>
        <w:rPr>
          <w:b/>
          <w:sz w:val="24"/>
        </w:rPr>
        <w:t xml:space="preserve">20 anos do Estatuto da Cidade: </w:t>
      </w:r>
      <w:r>
        <w:rPr>
          <w:sz w:val="24"/>
        </w:rPr>
        <w:t>experiências e re- flexões</w:t>
      </w:r>
      <w:r>
        <w:rPr>
          <w:b/>
          <w:sz w:val="24"/>
        </w:rPr>
        <w:t xml:space="preserve">. </w:t>
      </w:r>
      <w:r>
        <w:rPr>
          <w:sz w:val="24"/>
        </w:rPr>
        <w:t>Organização de Edésio Fernandes. Belo Horizonte: Gaia Cultural, Cultura e Meio Ambiente, 2021.</w:t>
      </w:r>
    </w:p>
    <w:p w:rsidR="007259F2" w:rsidRDefault="00E655B4">
      <w:pPr>
        <w:spacing w:before="120"/>
        <w:ind w:left="710" w:right="565"/>
        <w:jc w:val="both"/>
        <w:rPr>
          <w:sz w:val="24"/>
        </w:rPr>
      </w:pPr>
      <w:r>
        <w:rPr>
          <w:sz w:val="24"/>
        </w:rPr>
        <w:t xml:space="preserve">LISBOA, José Herbert Luna. </w:t>
      </w:r>
      <w:r>
        <w:rPr>
          <w:b/>
          <w:sz w:val="24"/>
        </w:rPr>
        <w:t xml:space="preserve">A Concessão de Uso Especial para Fins de Moradia e a Regularização Fundiária: </w:t>
      </w:r>
      <w:r>
        <w:rPr>
          <w:sz w:val="24"/>
        </w:rPr>
        <w:t>Institutos Jurídicos da Política Urbana, nos termos da</w:t>
      </w:r>
      <w:r>
        <w:rPr>
          <w:spacing w:val="40"/>
          <w:sz w:val="24"/>
        </w:rPr>
        <w:t xml:space="preserve"> </w:t>
      </w:r>
      <w:r>
        <w:rPr>
          <w:sz w:val="24"/>
        </w:rPr>
        <w:t>lei nº 13.465/2017. São Paulo: Editora Dialética, 2022.</w:t>
      </w:r>
    </w:p>
    <w:p w:rsidR="007259F2" w:rsidRDefault="00E655B4">
      <w:pPr>
        <w:pStyle w:val="Corpodetexto"/>
        <w:spacing w:before="121"/>
        <w:ind w:right="422" w:firstLine="0"/>
        <w:jc w:val="left"/>
      </w:pPr>
      <w:r>
        <w:t>MORAES,</w:t>
      </w:r>
      <w:r>
        <w:rPr>
          <w:spacing w:val="29"/>
        </w:rPr>
        <w:t xml:space="preserve"> </w:t>
      </w:r>
      <w:r>
        <w:t>Alexandre de.</w:t>
      </w:r>
      <w:r>
        <w:rPr>
          <w:spacing w:val="32"/>
        </w:rPr>
        <w:t xml:space="preserve"> </w:t>
      </w:r>
      <w:r>
        <w:rPr>
          <w:b/>
        </w:rPr>
        <w:t>Direito</w:t>
      </w:r>
      <w:r>
        <w:rPr>
          <w:b/>
          <w:spacing w:val="29"/>
        </w:rPr>
        <w:t xml:space="preserve"> </w:t>
      </w:r>
      <w:r>
        <w:rPr>
          <w:b/>
        </w:rPr>
        <w:t>Constitucional</w:t>
      </w:r>
      <w:r>
        <w:t>,</w:t>
      </w:r>
      <w:r>
        <w:rPr>
          <w:spacing w:val="27"/>
        </w:rPr>
        <w:t xml:space="preserve"> </w:t>
      </w:r>
      <w:r>
        <w:t>32.</w:t>
      </w:r>
      <w:r>
        <w:rPr>
          <w:spacing w:val="27"/>
        </w:rPr>
        <w:t xml:space="preserve"> </w:t>
      </w:r>
      <w:r>
        <w:t>Revista e atualizada de acordo com a EC</w:t>
      </w:r>
      <w:r>
        <w:rPr>
          <w:spacing w:val="40"/>
        </w:rPr>
        <w:t xml:space="preserve"> </w:t>
      </w:r>
      <w:r>
        <w:t>nº</w:t>
      </w:r>
      <w:r>
        <w:rPr>
          <w:spacing w:val="38"/>
        </w:rPr>
        <w:t xml:space="preserve"> </w:t>
      </w:r>
      <w:r>
        <w:t>91, de 18 de fevereiro de 2016 . São Paulo: Atlas, 2016.</w:t>
      </w:r>
    </w:p>
    <w:p w:rsidR="007259F2" w:rsidRDefault="00E655B4">
      <w:pPr>
        <w:pStyle w:val="Corpodetexto"/>
        <w:tabs>
          <w:tab w:val="left" w:pos="1261"/>
          <w:tab w:val="left" w:pos="1737"/>
          <w:tab w:val="left" w:pos="2673"/>
          <w:tab w:val="left" w:pos="3506"/>
          <w:tab w:val="left" w:pos="3993"/>
          <w:tab w:val="left" w:pos="4615"/>
          <w:tab w:val="left" w:pos="5510"/>
          <w:tab w:val="left" w:pos="6239"/>
          <w:tab w:val="left" w:pos="7334"/>
          <w:tab w:val="left" w:pos="8120"/>
          <w:tab w:val="left" w:pos="9421"/>
        </w:tabs>
        <w:spacing w:before="120"/>
        <w:ind w:right="419" w:firstLine="0"/>
        <w:jc w:val="left"/>
      </w:pPr>
      <w:r>
        <w:t>PETROCILO, Carlos. São Paulo tem quase 590 mil imóveis vazios, 18 vezes a população</w:t>
      </w:r>
      <w:r>
        <w:rPr>
          <w:spacing w:val="40"/>
        </w:rPr>
        <w:t xml:space="preserve"> </w:t>
      </w:r>
      <w:r>
        <w:t xml:space="preserve">de </w:t>
      </w:r>
      <w:r>
        <w:rPr>
          <w:spacing w:val="-4"/>
        </w:rPr>
        <w:t>rua</w:t>
      </w:r>
      <w:r>
        <w:tab/>
      </w:r>
      <w:r>
        <w:rPr>
          <w:spacing w:val="-6"/>
        </w:rPr>
        <w:t>da</w:t>
      </w:r>
      <w:r>
        <w:tab/>
      </w:r>
      <w:r>
        <w:rPr>
          <w:spacing w:val="-2"/>
        </w:rPr>
        <w:t>cidade.</w:t>
      </w:r>
      <w:r>
        <w:tab/>
      </w:r>
      <w:r>
        <w:rPr>
          <w:b/>
          <w:spacing w:val="-4"/>
        </w:rPr>
        <w:t>Folha</w:t>
      </w:r>
      <w:r>
        <w:rPr>
          <w:b/>
        </w:rPr>
        <w:tab/>
      </w:r>
      <w:r>
        <w:rPr>
          <w:b/>
          <w:spacing w:val="-6"/>
        </w:rPr>
        <w:t>de</w:t>
      </w:r>
      <w:r>
        <w:rPr>
          <w:b/>
        </w:rPr>
        <w:tab/>
      </w:r>
      <w:r>
        <w:rPr>
          <w:b/>
          <w:spacing w:val="-4"/>
        </w:rPr>
        <w:t>São</w:t>
      </w:r>
      <w:r>
        <w:rPr>
          <w:b/>
        </w:rPr>
        <w:tab/>
      </w:r>
      <w:r>
        <w:rPr>
          <w:b/>
          <w:spacing w:val="-2"/>
        </w:rPr>
        <w:t>Paulo</w:t>
      </w:r>
      <w:r>
        <w:rPr>
          <w:spacing w:val="-2"/>
        </w:rPr>
        <w:t>,</w:t>
      </w:r>
      <w:r>
        <w:tab/>
        <w:t>S ã</w:t>
      </w:r>
      <w:r>
        <w:rPr>
          <w:spacing w:val="-2"/>
        </w:rPr>
        <w:t xml:space="preserve"> </w:t>
      </w:r>
      <w:r>
        <w:t>o</w:t>
      </w:r>
      <w:r>
        <w:tab/>
        <w:t>P a u l o ,</w:t>
      </w:r>
      <w:r>
        <w:tab/>
      </w:r>
      <w:r>
        <w:rPr>
          <w:spacing w:val="-2"/>
        </w:rPr>
        <w:t>2023.</w:t>
      </w:r>
      <w:r>
        <w:tab/>
      </w:r>
      <w:r>
        <w:rPr>
          <w:spacing w:val="-2"/>
        </w:rPr>
        <w:t>Disponível</w:t>
      </w:r>
      <w:r>
        <w:tab/>
      </w:r>
      <w:r>
        <w:rPr>
          <w:spacing w:val="-4"/>
        </w:rPr>
        <w:t xml:space="preserve">em: </w:t>
      </w:r>
      <w:r>
        <w:rPr>
          <w:spacing w:val="-2"/>
        </w:rPr>
        <w:t xml:space="preserve">https://www1.folha.uol.com.br/cotidiano/2023/07/sao-paulo-tem-quase-590-mil-imoveis- </w:t>
      </w:r>
      <w:r>
        <w:t>vazios-18-vezes-a-populacao-de-rua-da-cidade.shtml. Acesso em: 14 jan. 2024.</w:t>
      </w:r>
    </w:p>
    <w:p w:rsidR="007259F2" w:rsidRDefault="00E655B4">
      <w:pPr>
        <w:pStyle w:val="Corpodetexto"/>
        <w:spacing w:before="120"/>
        <w:ind w:right="421" w:firstLine="0"/>
      </w:pPr>
      <w:r>
        <w:t xml:space="preserve">SANTOS, Jordan Espíndola dos; SOUZA, Carlos Eduardo Silva e. Direito à felicidade: do reconhecimento como direito fundamental às possíveis implicações. </w:t>
      </w:r>
      <w:r>
        <w:rPr>
          <w:b/>
        </w:rPr>
        <w:t>Revista Pensamento Jurídico</w:t>
      </w:r>
      <w:r>
        <w:t xml:space="preserve">, São Paulo , vol. 13 nº 2, jul./dez. 2019. Disponível </w:t>
      </w:r>
      <w:r>
        <w:rPr>
          <w:spacing w:val="-2"/>
        </w:rPr>
        <w:t>em:</w:t>
      </w:r>
      <w:hyperlink r:id="rId214">
        <w:r>
          <w:rPr>
            <w:color w:val="467885"/>
            <w:spacing w:val="-2"/>
            <w:u w:val="single" w:color="467885"/>
          </w:rPr>
          <w:t>https://www.mpsp.mp.br/portal/page/portal/documen</w:t>
        </w:r>
      </w:hyperlink>
      <w:r>
        <w:rPr>
          <w:spacing w:val="-2"/>
        </w:rPr>
        <w:t>tacao_e_divulgacao/doc_biblioteca/bi bli_servicos_produtos/bibli_informativo/bibli_inf_2006/RPensam-Jur_v.13_n.2.06.pdf&gt;.</w:t>
      </w:r>
    </w:p>
    <w:p w:rsidR="007259F2" w:rsidRDefault="00E655B4">
      <w:pPr>
        <w:pStyle w:val="Corpodetexto"/>
        <w:ind w:firstLine="0"/>
      </w:pPr>
      <w:r>
        <w:t>Acesso</w:t>
      </w:r>
      <w:r>
        <w:rPr>
          <w:spacing w:val="-1"/>
        </w:rPr>
        <w:t xml:space="preserve"> </w:t>
      </w:r>
      <w:r>
        <w:t>em</w:t>
      </w:r>
      <w:r>
        <w:rPr>
          <w:spacing w:val="-1"/>
        </w:rPr>
        <w:t xml:space="preserve"> </w:t>
      </w:r>
      <w:r>
        <w:t>25</w:t>
      </w:r>
      <w:r>
        <w:rPr>
          <w:spacing w:val="-1"/>
        </w:rPr>
        <w:t xml:space="preserve"> </w:t>
      </w:r>
      <w:r>
        <w:t>maio</w:t>
      </w:r>
      <w:r>
        <w:rPr>
          <w:spacing w:val="-1"/>
        </w:rPr>
        <w:t xml:space="preserve"> </w:t>
      </w:r>
      <w:r>
        <w:rPr>
          <w:spacing w:val="-2"/>
        </w:rPr>
        <w:t>2024.</w:t>
      </w:r>
    </w:p>
    <w:p w:rsidR="007259F2" w:rsidRDefault="007259F2">
      <w:pPr>
        <w:pStyle w:val="Corpodetexto"/>
        <w:sectPr w:rsidR="007259F2">
          <w:pgSz w:w="11910" w:h="16840"/>
          <w:pgMar w:top="1600" w:right="708" w:bottom="1020" w:left="992" w:header="0" w:footer="820" w:gutter="0"/>
          <w:cols w:space="720"/>
        </w:sectPr>
      </w:pPr>
    </w:p>
    <w:p w:rsidR="007259F2" w:rsidRDefault="00E655B4">
      <w:pPr>
        <w:pStyle w:val="Corpodetexto"/>
        <w:tabs>
          <w:tab w:val="left" w:pos="4785"/>
          <w:tab w:val="left" w:pos="7478"/>
        </w:tabs>
        <w:spacing w:before="75"/>
        <w:ind w:right="559" w:firstLine="0"/>
      </w:pPr>
      <w:r>
        <w:lastRenderedPageBreak/>
        <w:t>SÃO</w:t>
      </w:r>
      <w:r>
        <w:rPr>
          <w:spacing w:val="-2"/>
        </w:rPr>
        <w:t xml:space="preserve"> </w:t>
      </w:r>
      <w:r>
        <w:t>PAULO</w:t>
      </w:r>
      <w:r>
        <w:rPr>
          <w:spacing w:val="-2"/>
        </w:rPr>
        <w:t xml:space="preserve"> </w:t>
      </w:r>
      <w:r>
        <w:t>(SP).</w:t>
      </w:r>
      <w:r>
        <w:rPr>
          <w:spacing w:val="-1"/>
        </w:rPr>
        <w:t xml:space="preserve"> </w:t>
      </w:r>
      <w:r>
        <w:rPr>
          <w:b/>
        </w:rPr>
        <w:t>Situação</w:t>
      </w:r>
      <w:r>
        <w:rPr>
          <w:b/>
          <w:spacing w:val="-2"/>
        </w:rPr>
        <w:t xml:space="preserve"> </w:t>
      </w:r>
      <w:r>
        <w:rPr>
          <w:b/>
        </w:rPr>
        <w:t>das</w:t>
      </w:r>
      <w:r>
        <w:rPr>
          <w:b/>
          <w:spacing w:val="-1"/>
        </w:rPr>
        <w:t xml:space="preserve"> </w:t>
      </w:r>
      <w:r>
        <w:rPr>
          <w:b/>
        </w:rPr>
        <w:t>ocupações</w:t>
      </w:r>
      <w:r>
        <w:rPr>
          <w:b/>
          <w:spacing w:val="-1"/>
        </w:rPr>
        <w:t xml:space="preserve"> </w:t>
      </w:r>
      <w:r>
        <w:rPr>
          <w:b/>
        </w:rPr>
        <w:t>na</w:t>
      </w:r>
      <w:r>
        <w:rPr>
          <w:b/>
          <w:spacing w:val="-3"/>
        </w:rPr>
        <w:t xml:space="preserve"> </w:t>
      </w:r>
      <w:r>
        <w:rPr>
          <w:b/>
        </w:rPr>
        <w:t>cidade</w:t>
      </w:r>
      <w:r>
        <w:rPr>
          <w:b/>
          <w:spacing w:val="-2"/>
        </w:rPr>
        <w:t xml:space="preserve"> </w:t>
      </w:r>
      <w:r>
        <w:rPr>
          <w:b/>
        </w:rPr>
        <w:t>de</w:t>
      </w:r>
      <w:r>
        <w:rPr>
          <w:b/>
          <w:spacing w:val="-2"/>
        </w:rPr>
        <w:t xml:space="preserve"> </w:t>
      </w:r>
      <w:r>
        <w:rPr>
          <w:b/>
        </w:rPr>
        <w:t>São</w:t>
      </w:r>
      <w:r>
        <w:rPr>
          <w:b/>
          <w:spacing w:val="-1"/>
        </w:rPr>
        <w:t xml:space="preserve"> </w:t>
      </w:r>
      <w:r>
        <w:rPr>
          <w:b/>
        </w:rPr>
        <w:t xml:space="preserve">Paulo. </w:t>
      </w:r>
      <w:r>
        <w:t>São</w:t>
      </w:r>
      <w:r>
        <w:rPr>
          <w:spacing w:val="-1"/>
        </w:rPr>
        <w:t xml:space="preserve"> </w:t>
      </w:r>
      <w:r>
        <w:t>Paulo,</w:t>
      </w:r>
      <w:r>
        <w:rPr>
          <w:spacing w:val="-1"/>
        </w:rPr>
        <w:t xml:space="preserve"> </w:t>
      </w:r>
      <w:r>
        <w:t>Prefeitura de São Paulo, 2018. Disponível</w:t>
      </w:r>
      <w:r>
        <w:tab/>
      </w:r>
      <w:r>
        <w:rPr>
          <w:spacing w:val="-4"/>
        </w:rPr>
        <w:t>em:</w:t>
      </w:r>
      <w:r>
        <w:tab/>
      </w:r>
      <w:r>
        <w:rPr>
          <w:spacing w:val="-4"/>
        </w:rPr>
        <w:t xml:space="preserve">https://polis.org.br/wp- </w:t>
      </w:r>
      <w:r>
        <w:t>content/uploads/2021/06/Situacao-das-ocupacoes-na-cidade-de-Sao-Paulo.pdf. Acesso em</w:t>
      </w:r>
      <w:r>
        <w:rPr>
          <w:spacing w:val="40"/>
        </w:rPr>
        <w:t xml:space="preserve"> </w:t>
      </w:r>
      <w:r>
        <w:t>24 jul. 2024.</w:t>
      </w:r>
    </w:p>
    <w:p w:rsidR="007259F2" w:rsidRDefault="00E655B4">
      <w:pPr>
        <w:pStyle w:val="Corpodetexto"/>
        <w:spacing w:before="120"/>
        <w:ind w:right="559" w:firstLine="0"/>
        <w:jc w:val="left"/>
      </w:pPr>
      <w:r>
        <w:t>STABILE, Arthur. Censo 2022: imóveis desocupados representam 12 vezes a população de rua</w:t>
      </w:r>
      <w:r>
        <w:rPr>
          <w:spacing w:val="40"/>
        </w:rPr>
        <w:t xml:space="preserve"> </w:t>
      </w:r>
      <w:r>
        <w:t>da</w:t>
      </w:r>
      <w:r>
        <w:rPr>
          <w:spacing w:val="40"/>
        </w:rPr>
        <w:t xml:space="preserve"> </w:t>
      </w:r>
      <w:r>
        <w:t>cidade</w:t>
      </w:r>
      <w:r>
        <w:rPr>
          <w:spacing w:val="40"/>
        </w:rPr>
        <w:t xml:space="preserve"> </w:t>
      </w:r>
      <w:r>
        <w:t>de</w:t>
      </w:r>
      <w:r>
        <w:rPr>
          <w:spacing w:val="40"/>
        </w:rPr>
        <w:t xml:space="preserve"> </w:t>
      </w:r>
      <w:r>
        <w:t>SP.</w:t>
      </w:r>
      <w:r>
        <w:rPr>
          <w:spacing w:val="40"/>
        </w:rPr>
        <w:t xml:space="preserve"> </w:t>
      </w:r>
      <w:r>
        <w:rPr>
          <w:b/>
        </w:rPr>
        <w:t>G1</w:t>
      </w:r>
      <w:r>
        <w:t>,</w:t>
      </w:r>
      <w:r>
        <w:rPr>
          <w:spacing w:val="40"/>
        </w:rPr>
        <w:t xml:space="preserve"> </w:t>
      </w:r>
      <w:r>
        <w:t>São</w:t>
      </w:r>
      <w:r>
        <w:rPr>
          <w:spacing w:val="40"/>
        </w:rPr>
        <w:t xml:space="preserve"> </w:t>
      </w:r>
      <w:r>
        <w:t>Paulo,</w:t>
      </w:r>
      <w:r>
        <w:rPr>
          <w:spacing w:val="40"/>
        </w:rPr>
        <w:t xml:space="preserve"> </w:t>
      </w:r>
      <w:r>
        <w:t>2023.</w:t>
      </w:r>
      <w:r>
        <w:rPr>
          <w:spacing w:val="40"/>
        </w:rPr>
        <w:t xml:space="preserve"> </w:t>
      </w:r>
      <w:r>
        <w:t>Disponível</w:t>
      </w:r>
      <w:r>
        <w:rPr>
          <w:spacing w:val="40"/>
        </w:rPr>
        <w:t xml:space="preserve"> </w:t>
      </w:r>
      <w:r>
        <w:t>em:</w:t>
      </w:r>
      <w:r>
        <w:rPr>
          <w:spacing w:val="40"/>
        </w:rPr>
        <w:t xml:space="preserve"> </w:t>
      </w:r>
      <w:r>
        <w:t xml:space="preserve">https://g1.globo.com/sp/sao- </w:t>
      </w:r>
      <w:r>
        <w:rPr>
          <w:spacing w:val="-2"/>
        </w:rPr>
        <w:t xml:space="preserve">paulo/noticia/2023/07/01/censo-2022-imoveis-desocupados-representam-12-vezes-a- </w:t>
      </w:r>
      <w:r>
        <w:t>populacao-de-rua-da-cidade-de-sp.ghtml. Acesso em: 14 jan. 2024.</w:t>
      </w:r>
    </w:p>
    <w:p w:rsidR="007259F2" w:rsidRDefault="00E655B4">
      <w:pPr>
        <w:pStyle w:val="Corpodetexto"/>
        <w:spacing w:before="120"/>
        <w:ind w:right="561" w:firstLine="0"/>
      </w:pPr>
      <w:r>
        <w:t xml:space="preserve">SOUZA, Erik Almeida Rodrigues de; RAMOS, Zélia Maria Xavier; CORDEIRO, Chirley Vanuyre Vianna. Direito à felicidade: Análise principiológica e desdobramentos no ordenamento jurídico brasileiro. </w:t>
      </w:r>
      <w:r>
        <w:rPr>
          <w:b/>
        </w:rPr>
        <w:t>Revista do Direito Público</w:t>
      </w:r>
      <w:r>
        <w:t>, Londrina, v.13, n.2, p.100- 137, ago.2018. Disponível em: https://ojs.uel.br/revistas/uel/index.php/direitop ub/article/view/29986. Acesso em 15 maio 2024.</w:t>
      </w:r>
    </w:p>
    <w:p w:rsidR="007259F2" w:rsidRDefault="00E655B4">
      <w:pPr>
        <w:pStyle w:val="Corpodetexto"/>
        <w:spacing w:before="121"/>
        <w:ind w:right="560" w:firstLine="0"/>
      </w:pPr>
      <w:r>
        <w:t xml:space="preserve">TAVOLARI, Bianca. Direito à cidade: uma trajetória conceitual. </w:t>
      </w:r>
      <w:r>
        <w:rPr>
          <w:b/>
        </w:rPr>
        <w:t>Novos estudos CEBRAP</w:t>
      </w:r>
      <w:r>
        <w:t>, São</w:t>
      </w:r>
      <w:r>
        <w:rPr>
          <w:spacing w:val="-11"/>
        </w:rPr>
        <w:t xml:space="preserve"> </w:t>
      </w:r>
      <w:r>
        <w:t>Paulo,</w:t>
      </w:r>
      <w:r>
        <w:rPr>
          <w:spacing w:val="-11"/>
        </w:rPr>
        <w:t xml:space="preserve"> </w:t>
      </w:r>
      <w:r>
        <w:t>v.</w:t>
      </w:r>
      <w:r>
        <w:rPr>
          <w:spacing w:val="-11"/>
        </w:rPr>
        <w:t xml:space="preserve"> </w:t>
      </w:r>
      <w:r>
        <w:t>35,</w:t>
      </w:r>
      <w:r>
        <w:rPr>
          <w:spacing w:val="-11"/>
        </w:rPr>
        <w:t xml:space="preserve"> </w:t>
      </w:r>
      <w:r>
        <w:t>n.</w:t>
      </w:r>
      <w:r>
        <w:rPr>
          <w:spacing w:val="-11"/>
        </w:rPr>
        <w:t xml:space="preserve"> </w:t>
      </w:r>
      <w:r>
        <w:t>1,</w:t>
      </w:r>
      <w:r>
        <w:rPr>
          <w:spacing w:val="-11"/>
        </w:rPr>
        <w:t xml:space="preserve"> </w:t>
      </w:r>
      <w:r>
        <w:t>mar.</w:t>
      </w:r>
      <w:r>
        <w:rPr>
          <w:spacing w:val="-5"/>
        </w:rPr>
        <w:t xml:space="preserve"> </w:t>
      </w:r>
      <w:r>
        <w:t>2016.</w:t>
      </w:r>
      <w:r>
        <w:rPr>
          <w:spacing w:val="-7"/>
        </w:rPr>
        <w:t xml:space="preserve"> </w:t>
      </w:r>
      <w:r>
        <w:t>Disponível</w:t>
      </w:r>
      <w:r>
        <w:rPr>
          <w:spacing w:val="-7"/>
        </w:rPr>
        <w:t xml:space="preserve"> </w:t>
      </w:r>
      <w:r>
        <w:t>em:</w:t>
      </w:r>
      <w:r>
        <w:rPr>
          <w:spacing w:val="28"/>
        </w:rPr>
        <w:t xml:space="preserve"> </w:t>
      </w:r>
      <w:r>
        <w:t>https:/</w:t>
      </w:r>
      <w:hyperlink r:id="rId215">
        <w:r>
          <w:t>/www.scielo.br/j/nec/a/hdLsr4FXMp</w:t>
        </w:r>
      </w:hyperlink>
      <w:r>
        <w:t xml:space="preserve"> VZWPJ7XswRRbj/#. Acesso em 15 jun. 2024.</w:t>
      </w:r>
    </w:p>
    <w:p w:rsidR="007259F2" w:rsidRDefault="00E655B4">
      <w:pPr>
        <w:pStyle w:val="Corpodetexto"/>
        <w:spacing w:before="120"/>
        <w:ind w:right="558" w:firstLine="0"/>
      </w:pPr>
      <w:r>
        <w:t xml:space="preserve">TITO, Maíra. Poder constituinte e poder constituído: os conceitos de Antonio Negri aplicados às alterações constitucionais em Portugal e no Brasil. </w:t>
      </w:r>
      <w:r>
        <w:rPr>
          <w:b/>
        </w:rPr>
        <w:t>Lugar Comum</w:t>
      </w:r>
      <w:r>
        <w:t>, nº 29, p. 205-226. Disponível em: https://revistas.ufrj.br/index.php/lc/article/view/54332/29693. Acesso em 23 maio 2024.</w:t>
      </w:r>
    </w:p>
    <w:p w:rsidR="007259F2" w:rsidRDefault="007259F2">
      <w:pPr>
        <w:pStyle w:val="Corpodetexto"/>
        <w:spacing w:before="248"/>
        <w:ind w:left="0" w:firstLine="0"/>
        <w:jc w:val="left"/>
      </w:pPr>
    </w:p>
    <w:p w:rsidR="007259F2" w:rsidRDefault="00E655B4">
      <w:pPr>
        <w:ind w:left="710"/>
        <w:jc w:val="both"/>
        <w:rPr>
          <w:b/>
          <w:sz w:val="24"/>
        </w:rPr>
      </w:pPr>
      <w:r>
        <w:rPr>
          <w:b/>
          <w:sz w:val="24"/>
          <w:u w:val="single"/>
        </w:rPr>
        <w:t>Legislação</w:t>
      </w:r>
      <w:r>
        <w:rPr>
          <w:b/>
          <w:spacing w:val="-4"/>
          <w:sz w:val="24"/>
          <w:u w:val="single"/>
        </w:rPr>
        <w:t xml:space="preserve"> </w:t>
      </w:r>
      <w:r>
        <w:rPr>
          <w:b/>
          <w:spacing w:val="-2"/>
          <w:sz w:val="24"/>
          <w:u w:val="single"/>
        </w:rPr>
        <w:t>utilizada</w:t>
      </w:r>
    </w:p>
    <w:p w:rsidR="007259F2" w:rsidRDefault="00E655B4">
      <w:pPr>
        <w:pStyle w:val="Corpodetexto"/>
        <w:spacing w:before="233"/>
        <w:ind w:right="557" w:firstLine="0"/>
      </w:pPr>
      <w:r>
        <w:t xml:space="preserve">BRASIL. </w:t>
      </w:r>
      <w:r>
        <w:rPr>
          <w:b/>
        </w:rPr>
        <w:t>Lei</w:t>
      </w:r>
      <w:r>
        <w:rPr>
          <w:b/>
          <w:spacing w:val="30"/>
        </w:rPr>
        <w:t xml:space="preserve"> </w:t>
      </w:r>
      <w:r>
        <w:rPr>
          <w:b/>
        </w:rPr>
        <w:t>nº 11.481, de 31 de maio de 2007</w:t>
      </w:r>
      <w:r>
        <w:t>. Dá nova redação a dispositivos das Leis nos 9.636, de 15 de maio de 1998, 8.666, de 21 de junho de 1993, [...]; prevê medidas voltadas à regularização fundiária de interesse social em imóveis da União; e dá outras providências. Brasília,DF: Presidência da República, 2007</w:t>
      </w:r>
      <w:r>
        <w:rPr>
          <w:b/>
        </w:rPr>
        <w:t>.</w:t>
      </w:r>
      <w:r>
        <w:rPr>
          <w:b/>
          <w:spacing w:val="40"/>
        </w:rPr>
        <w:t xml:space="preserve"> </w:t>
      </w:r>
      <w:r>
        <w:t>Disponível em: https:/</w:t>
      </w:r>
      <w:hyperlink r:id="rId216">
        <w:r>
          <w:t>/www.planalto.g</w:t>
        </w:r>
      </w:hyperlink>
      <w:r>
        <w:rPr>
          <w:spacing w:val="-3"/>
        </w:rPr>
        <w:t xml:space="preserve"> </w:t>
      </w:r>
      <w:r>
        <w:t>ov.br/ccivil_03/_ato2007-2010/2007/lei/l11481.htm. Acesso em: 01 jun.</w:t>
      </w:r>
      <w:r>
        <w:rPr>
          <w:spacing w:val="80"/>
        </w:rPr>
        <w:t xml:space="preserve"> </w:t>
      </w:r>
      <w:r>
        <w:t>2024.</w:t>
      </w:r>
    </w:p>
    <w:p w:rsidR="007259F2" w:rsidRDefault="00E655B4">
      <w:pPr>
        <w:pStyle w:val="Corpodetexto"/>
        <w:spacing w:before="120"/>
        <w:ind w:right="555" w:firstLine="0"/>
      </w:pPr>
      <w:r>
        <w:t xml:space="preserve">BRASIL. </w:t>
      </w:r>
      <w:r>
        <w:rPr>
          <w:b/>
        </w:rPr>
        <w:t>Lei nº 13.465, de 11 de julho de 2017</w:t>
      </w:r>
      <w:r>
        <w:t>. Dispõe sobre a regularização fundiária rural e</w:t>
      </w:r>
      <w:r>
        <w:rPr>
          <w:spacing w:val="-1"/>
        </w:rPr>
        <w:t xml:space="preserve"> </w:t>
      </w:r>
      <w:r>
        <w:t>urbana, sobre</w:t>
      </w:r>
      <w:r>
        <w:rPr>
          <w:spacing w:val="-2"/>
        </w:rPr>
        <w:t xml:space="preserve"> </w:t>
      </w:r>
      <w:r>
        <w:t>a</w:t>
      </w:r>
      <w:r>
        <w:rPr>
          <w:spacing w:val="-1"/>
        </w:rPr>
        <w:t xml:space="preserve"> </w:t>
      </w:r>
      <w:r>
        <w:t>liquidação de</w:t>
      </w:r>
      <w:r>
        <w:rPr>
          <w:spacing w:val="-1"/>
        </w:rPr>
        <w:t xml:space="preserve"> </w:t>
      </w:r>
      <w:r>
        <w:t>créditos concedidos aos assentados da</w:t>
      </w:r>
      <w:r>
        <w:rPr>
          <w:spacing w:val="-1"/>
        </w:rPr>
        <w:t xml:space="preserve"> </w:t>
      </w:r>
      <w:r>
        <w:t>reforma</w:t>
      </w:r>
      <w:r>
        <w:rPr>
          <w:spacing w:val="-1"/>
        </w:rPr>
        <w:t xml:space="preserve"> </w:t>
      </w:r>
      <w:r>
        <w:t>agrária</w:t>
      </w:r>
      <w:r>
        <w:rPr>
          <w:spacing w:val="-2"/>
        </w:rPr>
        <w:t xml:space="preserve"> </w:t>
      </w:r>
      <w:r>
        <w:t>e sobre a regularização fundiária no âmbito da Amazônia Legal; institui mecanismos para aprimorar a eficiência dos procedimentos de alienação de imóveis da União; altera as Leis n os 8.629, de 25 de fevereiro de 1993, [...] Brasília, DF: Presidência da República, 2017. Disponível em: https:/</w:t>
      </w:r>
      <w:hyperlink r:id="rId217">
        <w:r>
          <w:t>/www.planalto.g</w:t>
        </w:r>
      </w:hyperlink>
      <w:r>
        <w:t xml:space="preserve"> ov.br/ccivil_03/_ato2015-2018/2017/lei/l13465.htm. Acesso em 22 jun. 2024.</w:t>
      </w:r>
    </w:p>
    <w:p w:rsidR="007259F2" w:rsidRDefault="00E655B4">
      <w:pPr>
        <w:pStyle w:val="Corpodetexto"/>
        <w:tabs>
          <w:tab w:val="left" w:pos="2605"/>
          <w:tab w:val="left" w:pos="3624"/>
          <w:tab w:val="left" w:pos="5447"/>
          <w:tab w:val="left" w:pos="7571"/>
          <w:tab w:val="left" w:pos="9416"/>
        </w:tabs>
        <w:spacing w:before="121"/>
        <w:ind w:right="423" w:firstLine="0"/>
      </w:pPr>
      <w:r>
        <w:t xml:space="preserve">BRASIL. </w:t>
      </w:r>
      <w:r>
        <w:rPr>
          <w:b/>
        </w:rPr>
        <w:t>Lei nº 10.406, de 10 de janeiro de 2002</w:t>
      </w:r>
      <w:r>
        <w:t xml:space="preserve">. Institui o Código Civil. Brasília, DF: </w:t>
      </w:r>
      <w:r>
        <w:rPr>
          <w:spacing w:val="-2"/>
        </w:rPr>
        <w:t>Presidência</w:t>
      </w:r>
      <w:r>
        <w:tab/>
      </w:r>
      <w:r>
        <w:rPr>
          <w:spacing w:val="-6"/>
        </w:rPr>
        <w:t>da</w:t>
      </w:r>
      <w:r>
        <w:tab/>
      </w:r>
      <w:r>
        <w:rPr>
          <w:spacing w:val="-2"/>
        </w:rPr>
        <w:t>República,</w:t>
      </w:r>
      <w:r>
        <w:tab/>
      </w:r>
      <w:r>
        <w:rPr>
          <w:spacing w:val="-2"/>
        </w:rPr>
        <w:t>2002.</w:t>
      </w:r>
      <w:r>
        <w:tab/>
      </w:r>
      <w:r>
        <w:rPr>
          <w:spacing w:val="-2"/>
        </w:rPr>
        <w:t>Disponível</w:t>
      </w:r>
      <w:r>
        <w:tab/>
      </w:r>
      <w:r>
        <w:rPr>
          <w:spacing w:val="-4"/>
        </w:rPr>
        <w:t xml:space="preserve">em: </w:t>
      </w:r>
      <w:r>
        <w:t>https:/</w:t>
      </w:r>
      <w:hyperlink r:id="rId218">
        <w:r>
          <w:t>/www.planalto.gov.br</w:t>
        </w:r>
      </w:hyperlink>
      <w:r>
        <w:t xml:space="preserve">/ccivil_03/leis/2002/l10406compilada.htm. Acesso em: 11 abr. </w:t>
      </w:r>
      <w:r>
        <w:rPr>
          <w:spacing w:val="-2"/>
        </w:rPr>
        <w:t>2024.</w:t>
      </w:r>
    </w:p>
    <w:p w:rsidR="007259F2" w:rsidRDefault="00E655B4">
      <w:pPr>
        <w:tabs>
          <w:tab w:val="left" w:pos="2763"/>
          <w:tab w:val="left" w:pos="3941"/>
          <w:tab w:val="left" w:pos="5923"/>
          <w:tab w:val="left" w:pos="7413"/>
          <w:tab w:val="left" w:pos="9416"/>
        </w:tabs>
        <w:spacing w:before="120"/>
        <w:ind w:left="710" w:right="424"/>
        <w:jc w:val="both"/>
        <w:rPr>
          <w:sz w:val="24"/>
        </w:rPr>
      </w:pPr>
      <w:r>
        <w:rPr>
          <w:sz w:val="24"/>
        </w:rPr>
        <w:t xml:space="preserve">BRASIL. </w:t>
      </w:r>
      <w:r>
        <w:rPr>
          <w:b/>
          <w:sz w:val="24"/>
        </w:rPr>
        <w:t>Constituição da República Federativa do Brasil de 1988</w:t>
      </w:r>
      <w:r>
        <w:rPr>
          <w:sz w:val="24"/>
        </w:rPr>
        <w:t xml:space="preserve">. Brasília, DF: </w:t>
      </w:r>
      <w:r>
        <w:rPr>
          <w:spacing w:val="-2"/>
          <w:sz w:val="24"/>
        </w:rPr>
        <w:t>Presidência</w:t>
      </w:r>
      <w:r>
        <w:rPr>
          <w:sz w:val="24"/>
        </w:rPr>
        <w:tab/>
      </w:r>
      <w:r>
        <w:rPr>
          <w:spacing w:val="-6"/>
          <w:sz w:val="24"/>
        </w:rPr>
        <w:t>da</w:t>
      </w:r>
      <w:r>
        <w:rPr>
          <w:sz w:val="24"/>
        </w:rPr>
        <w:tab/>
      </w:r>
      <w:r>
        <w:rPr>
          <w:spacing w:val="-2"/>
          <w:sz w:val="24"/>
        </w:rPr>
        <w:t>República,</w:t>
      </w:r>
      <w:r>
        <w:rPr>
          <w:sz w:val="24"/>
        </w:rPr>
        <w:tab/>
      </w:r>
      <w:r>
        <w:rPr>
          <w:spacing w:val="-2"/>
          <w:sz w:val="24"/>
        </w:rPr>
        <w:t>1988.</w:t>
      </w:r>
      <w:r>
        <w:rPr>
          <w:sz w:val="24"/>
        </w:rPr>
        <w:tab/>
      </w:r>
      <w:r>
        <w:rPr>
          <w:spacing w:val="-2"/>
          <w:sz w:val="24"/>
        </w:rPr>
        <w:t>Disponível</w:t>
      </w:r>
      <w:r>
        <w:rPr>
          <w:sz w:val="24"/>
        </w:rPr>
        <w:tab/>
      </w:r>
      <w:r>
        <w:rPr>
          <w:spacing w:val="-4"/>
          <w:sz w:val="24"/>
        </w:rPr>
        <w:t xml:space="preserve">em: </w:t>
      </w:r>
      <w:r>
        <w:rPr>
          <w:sz w:val="24"/>
        </w:rPr>
        <w:t>https://planalto.gov.br/ccivil_03/constituicao/constituicao.htm. Acesso em: 19 abr. 2024.</w:t>
      </w:r>
    </w:p>
    <w:p w:rsidR="007259F2" w:rsidRDefault="00E655B4">
      <w:pPr>
        <w:spacing w:before="120"/>
        <w:ind w:left="710" w:right="556"/>
        <w:jc w:val="both"/>
        <w:rPr>
          <w:sz w:val="24"/>
        </w:rPr>
      </w:pPr>
      <w:r>
        <w:rPr>
          <w:sz w:val="24"/>
        </w:rPr>
        <w:t xml:space="preserve">SÃO PAULO (SP). Assembleia Constituinte do Município de São Paulo. </w:t>
      </w:r>
      <w:r>
        <w:rPr>
          <w:b/>
          <w:sz w:val="24"/>
        </w:rPr>
        <w:t>Lei orgânica do Município de São Paulo (com suas alterações)</w:t>
      </w:r>
      <w:r>
        <w:rPr>
          <w:sz w:val="24"/>
        </w:rPr>
        <w:t>. São Paulo, 1990. Disponível em https:/</w:t>
      </w:r>
      <w:hyperlink r:id="rId219">
        <w:r>
          <w:rPr>
            <w:sz w:val="24"/>
          </w:rPr>
          <w:t>/www.prefeitura.sp.gov.br/cidade/secretarias/upload/LOM.pdf.</w:t>
        </w:r>
      </w:hyperlink>
      <w:r>
        <w:rPr>
          <w:spacing w:val="58"/>
          <w:w w:val="150"/>
          <w:sz w:val="24"/>
        </w:rPr>
        <w:t xml:space="preserve"> </w:t>
      </w:r>
      <w:r>
        <w:rPr>
          <w:sz w:val="24"/>
        </w:rPr>
        <w:t>Acesso</w:t>
      </w:r>
      <w:r>
        <w:rPr>
          <w:spacing w:val="60"/>
          <w:w w:val="150"/>
          <w:sz w:val="24"/>
        </w:rPr>
        <w:t xml:space="preserve"> </w:t>
      </w:r>
      <w:r>
        <w:rPr>
          <w:sz w:val="24"/>
        </w:rPr>
        <w:t>em:</w:t>
      </w:r>
      <w:r>
        <w:rPr>
          <w:spacing w:val="61"/>
          <w:w w:val="150"/>
          <w:sz w:val="24"/>
        </w:rPr>
        <w:t xml:space="preserve"> </w:t>
      </w:r>
      <w:r>
        <w:rPr>
          <w:sz w:val="24"/>
        </w:rPr>
        <w:t>09</w:t>
      </w:r>
      <w:r>
        <w:rPr>
          <w:spacing w:val="60"/>
          <w:w w:val="150"/>
          <w:sz w:val="24"/>
        </w:rPr>
        <w:t xml:space="preserve"> </w:t>
      </w:r>
      <w:r>
        <w:rPr>
          <w:spacing w:val="-4"/>
          <w:sz w:val="24"/>
        </w:rPr>
        <w:t>jun.</w:t>
      </w:r>
    </w:p>
    <w:p w:rsidR="007259F2" w:rsidRDefault="007259F2">
      <w:pPr>
        <w:jc w:val="both"/>
        <w:rPr>
          <w:sz w:val="24"/>
        </w:rPr>
        <w:sectPr w:rsidR="007259F2">
          <w:pgSz w:w="11910" w:h="16840"/>
          <w:pgMar w:top="1600" w:right="708" w:bottom="1020" w:left="992" w:header="0" w:footer="820" w:gutter="0"/>
          <w:cols w:space="720"/>
        </w:sectPr>
      </w:pPr>
    </w:p>
    <w:p w:rsidR="007259F2" w:rsidRDefault="00E655B4">
      <w:pPr>
        <w:pStyle w:val="Corpodetexto"/>
        <w:spacing w:before="75"/>
        <w:ind w:firstLine="0"/>
        <w:jc w:val="left"/>
      </w:pPr>
      <w:r>
        <w:rPr>
          <w:spacing w:val="-2"/>
        </w:rPr>
        <w:lastRenderedPageBreak/>
        <w:t>2024.</w:t>
      </w:r>
    </w:p>
    <w:p w:rsidR="007259F2" w:rsidRDefault="007259F2">
      <w:pPr>
        <w:pStyle w:val="Corpodetexto"/>
        <w:spacing w:before="127"/>
        <w:ind w:left="0" w:firstLine="0"/>
        <w:jc w:val="left"/>
      </w:pPr>
    </w:p>
    <w:p w:rsidR="007259F2" w:rsidRDefault="00E655B4">
      <w:pPr>
        <w:ind w:left="710"/>
        <w:rPr>
          <w:b/>
          <w:sz w:val="24"/>
        </w:rPr>
      </w:pPr>
      <w:r>
        <w:rPr>
          <w:b/>
          <w:sz w:val="24"/>
          <w:u w:val="single"/>
        </w:rPr>
        <w:t>Jurisprudência</w:t>
      </w:r>
      <w:r>
        <w:rPr>
          <w:b/>
          <w:spacing w:val="-4"/>
          <w:sz w:val="24"/>
          <w:u w:val="single"/>
        </w:rPr>
        <w:t xml:space="preserve"> </w:t>
      </w:r>
      <w:r>
        <w:rPr>
          <w:b/>
          <w:spacing w:val="-2"/>
          <w:sz w:val="24"/>
          <w:u w:val="single"/>
        </w:rPr>
        <w:t>utilizada</w:t>
      </w:r>
    </w:p>
    <w:p w:rsidR="007259F2" w:rsidRDefault="00E655B4">
      <w:pPr>
        <w:pStyle w:val="Corpodetexto"/>
        <w:spacing w:before="233"/>
        <w:ind w:right="424" w:firstLine="0"/>
        <w:jc w:val="left"/>
      </w:pPr>
      <w:r>
        <w:t>BRASIL.</w:t>
      </w:r>
      <w:r>
        <w:rPr>
          <w:spacing w:val="40"/>
        </w:rPr>
        <w:t xml:space="preserve"> </w:t>
      </w:r>
      <w:r>
        <w:t xml:space="preserve">Superior Tribunal de Justiça. </w:t>
      </w:r>
      <w:r>
        <w:rPr>
          <w:b/>
        </w:rPr>
        <w:t>Recurso Especial nº 1.777.404</w:t>
      </w:r>
      <w:r>
        <w:t>. Recorrentes: Ge-</w:t>
      </w:r>
      <w:r>
        <w:rPr>
          <w:spacing w:val="80"/>
        </w:rPr>
        <w:t xml:space="preserve"> </w:t>
      </w:r>
      <w:r>
        <w:t>raldo</w:t>
      </w:r>
      <w:r>
        <w:rPr>
          <w:spacing w:val="72"/>
        </w:rPr>
        <w:t xml:space="preserve"> </w:t>
      </w:r>
      <w:r>
        <w:t>Gilmar</w:t>
      </w:r>
      <w:r>
        <w:rPr>
          <w:spacing w:val="71"/>
        </w:rPr>
        <w:t xml:space="preserve"> </w:t>
      </w:r>
      <w:r>
        <w:t>Rafael</w:t>
      </w:r>
      <w:r>
        <w:rPr>
          <w:spacing w:val="75"/>
        </w:rPr>
        <w:t xml:space="preserve"> </w:t>
      </w:r>
      <w:r>
        <w:t>e</w:t>
      </w:r>
      <w:r>
        <w:rPr>
          <w:spacing w:val="75"/>
        </w:rPr>
        <w:t xml:space="preserve"> </w:t>
      </w:r>
      <w:r>
        <w:t>Margareth</w:t>
      </w:r>
      <w:r>
        <w:rPr>
          <w:spacing w:val="75"/>
        </w:rPr>
        <w:t xml:space="preserve"> </w:t>
      </w:r>
      <w:r>
        <w:t>Brandão</w:t>
      </w:r>
      <w:r>
        <w:rPr>
          <w:spacing w:val="74"/>
        </w:rPr>
        <w:t xml:space="preserve"> </w:t>
      </w:r>
      <w:r>
        <w:t>da</w:t>
      </w:r>
      <w:r>
        <w:rPr>
          <w:spacing w:val="73"/>
        </w:rPr>
        <w:t xml:space="preserve"> </w:t>
      </w:r>
      <w:r>
        <w:t>Silva</w:t>
      </w:r>
      <w:r>
        <w:rPr>
          <w:spacing w:val="71"/>
        </w:rPr>
        <w:t xml:space="preserve"> </w:t>
      </w:r>
      <w:r>
        <w:t>Rafael.</w:t>
      </w:r>
      <w:r>
        <w:rPr>
          <w:spacing w:val="75"/>
        </w:rPr>
        <w:t xml:space="preserve"> </w:t>
      </w:r>
      <w:r>
        <w:t>Recorridos:</w:t>
      </w:r>
      <w:r>
        <w:rPr>
          <w:spacing w:val="73"/>
        </w:rPr>
        <w:t xml:space="preserve"> </w:t>
      </w:r>
      <w:r>
        <w:t>Joana</w:t>
      </w:r>
      <w:r>
        <w:rPr>
          <w:spacing w:val="73"/>
        </w:rPr>
        <w:t xml:space="preserve"> </w:t>
      </w:r>
      <w:r>
        <w:t xml:space="preserve">Baum, Romeu Baum. Relatora: Ministra Nancy Andrighi. 18 de fevereiro de 2020. Disponível em: </w:t>
      </w:r>
      <w:r>
        <w:rPr>
          <w:spacing w:val="-2"/>
        </w:rPr>
        <w:t xml:space="preserve">https://processo.stj.jus.br/processo/pesquisa/?aplicacao=processos.ea&amp;tipoPesquisa=tipoPes </w:t>
      </w:r>
      <w:r>
        <w:t>quisaGenerica&amp;termo=REsp%201777404. Acesso em: 03 jun. 2024.</w:t>
      </w:r>
    </w:p>
    <w:p w:rsidR="007259F2" w:rsidRDefault="00E655B4">
      <w:pPr>
        <w:spacing w:before="135"/>
        <w:ind w:left="710"/>
        <w:rPr>
          <w:sz w:val="24"/>
        </w:rPr>
      </w:pPr>
      <w:r>
        <w:rPr>
          <w:sz w:val="24"/>
        </w:rPr>
        <w:t>BRASIL.</w:t>
      </w:r>
      <w:r>
        <w:rPr>
          <w:spacing w:val="26"/>
          <w:sz w:val="24"/>
        </w:rPr>
        <w:t xml:space="preserve"> </w:t>
      </w:r>
      <w:r>
        <w:rPr>
          <w:sz w:val="24"/>
        </w:rPr>
        <w:t>Supremo</w:t>
      </w:r>
      <w:r>
        <w:rPr>
          <w:spacing w:val="14"/>
          <w:sz w:val="24"/>
        </w:rPr>
        <w:t xml:space="preserve"> </w:t>
      </w:r>
      <w:r>
        <w:rPr>
          <w:sz w:val="24"/>
        </w:rPr>
        <w:t>Tribunal</w:t>
      </w:r>
      <w:r>
        <w:rPr>
          <w:spacing w:val="13"/>
          <w:sz w:val="24"/>
        </w:rPr>
        <w:t xml:space="preserve"> </w:t>
      </w:r>
      <w:r>
        <w:rPr>
          <w:sz w:val="24"/>
        </w:rPr>
        <w:t>Federal.</w:t>
      </w:r>
      <w:r>
        <w:rPr>
          <w:spacing w:val="15"/>
          <w:sz w:val="24"/>
        </w:rPr>
        <w:t xml:space="preserve"> </w:t>
      </w:r>
      <w:r>
        <w:rPr>
          <w:b/>
          <w:sz w:val="24"/>
        </w:rPr>
        <w:t>Recurso</w:t>
      </w:r>
      <w:r>
        <w:rPr>
          <w:b/>
          <w:spacing w:val="13"/>
          <w:sz w:val="24"/>
        </w:rPr>
        <w:t xml:space="preserve"> </w:t>
      </w:r>
      <w:r>
        <w:rPr>
          <w:b/>
          <w:sz w:val="24"/>
        </w:rPr>
        <w:t>Extraordinário898.060</w:t>
      </w:r>
      <w:r>
        <w:rPr>
          <w:b/>
          <w:spacing w:val="16"/>
          <w:sz w:val="24"/>
        </w:rPr>
        <w:t xml:space="preserve"> </w:t>
      </w:r>
      <w:r>
        <w:rPr>
          <w:b/>
          <w:sz w:val="24"/>
        </w:rPr>
        <w:t>–</w:t>
      </w:r>
      <w:r>
        <w:rPr>
          <w:b/>
          <w:spacing w:val="13"/>
          <w:sz w:val="24"/>
        </w:rPr>
        <w:t xml:space="preserve"> </w:t>
      </w:r>
      <w:r>
        <w:rPr>
          <w:b/>
          <w:sz w:val="24"/>
        </w:rPr>
        <w:t>SC</w:t>
      </w:r>
      <w:r>
        <w:rPr>
          <w:sz w:val="24"/>
        </w:rPr>
        <w:t>.</w:t>
      </w:r>
      <w:r>
        <w:rPr>
          <w:spacing w:val="13"/>
          <w:sz w:val="24"/>
        </w:rPr>
        <w:t xml:space="preserve"> </w:t>
      </w:r>
      <w:r>
        <w:rPr>
          <w:spacing w:val="-2"/>
          <w:sz w:val="24"/>
        </w:rPr>
        <w:t>Recorrente:</w:t>
      </w:r>
    </w:p>
    <w:p w:rsidR="007259F2" w:rsidRDefault="00E655B4">
      <w:pPr>
        <w:pStyle w:val="Corpodetexto"/>
        <w:ind w:right="424" w:firstLine="0"/>
        <w:jc w:val="left"/>
      </w:pPr>
      <w:r>
        <w:t>A.N.</w:t>
      </w:r>
      <w:r>
        <w:rPr>
          <w:spacing w:val="80"/>
        </w:rPr>
        <w:t xml:space="preserve"> </w:t>
      </w:r>
      <w:r>
        <w:t>Recorrido:</w:t>
      </w:r>
      <w:r>
        <w:rPr>
          <w:spacing w:val="80"/>
        </w:rPr>
        <w:t xml:space="preserve"> </w:t>
      </w:r>
      <w:r>
        <w:t>F.G..</w:t>
      </w:r>
      <w:r>
        <w:rPr>
          <w:spacing w:val="80"/>
        </w:rPr>
        <w:t xml:space="preserve"> </w:t>
      </w:r>
      <w:r>
        <w:t>Relator:</w:t>
      </w:r>
      <w:r>
        <w:rPr>
          <w:spacing w:val="80"/>
        </w:rPr>
        <w:t xml:space="preserve"> </w:t>
      </w:r>
      <w:r>
        <w:t>Min.</w:t>
      </w:r>
      <w:r>
        <w:rPr>
          <w:spacing w:val="80"/>
        </w:rPr>
        <w:t xml:space="preserve"> </w:t>
      </w:r>
      <w:r>
        <w:t>Luiz</w:t>
      </w:r>
      <w:r>
        <w:rPr>
          <w:spacing w:val="80"/>
        </w:rPr>
        <w:t xml:space="preserve"> </w:t>
      </w:r>
      <w:r>
        <w:t>Fux,</w:t>
      </w:r>
      <w:r>
        <w:rPr>
          <w:spacing w:val="80"/>
        </w:rPr>
        <w:t xml:space="preserve"> </w:t>
      </w:r>
      <w:r>
        <w:t>24</w:t>
      </w:r>
      <w:r>
        <w:rPr>
          <w:spacing w:val="80"/>
        </w:rPr>
        <w:t xml:space="preserve"> </w:t>
      </w:r>
      <w:r>
        <w:t>de</w:t>
      </w:r>
      <w:r>
        <w:rPr>
          <w:spacing w:val="80"/>
        </w:rPr>
        <w:t xml:space="preserve"> </w:t>
      </w:r>
      <w:r>
        <w:t>agosto</w:t>
      </w:r>
      <w:r>
        <w:rPr>
          <w:spacing w:val="80"/>
        </w:rPr>
        <w:t xml:space="preserve"> </w:t>
      </w:r>
      <w:r>
        <w:t>de</w:t>
      </w:r>
      <w:r>
        <w:rPr>
          <w:spacing w:val="80"/>
        </w:rPr>
        <w:t xml:space="preserve"> </w:t>
      </w:r>
      <w:r>
        <w:t>2017.</w:t>
      </w:r>
      <w:r>
        <w:rPr>
          <w:spacing w:val="80"/>
        </w:rPr>
        <w:t xml:space="preserve"> </w:t>
      </w:r>
      <w:r>
        <w:t>Disponível</w:t>
      </w:r>
      <w:r>
        <w:rPr>
          <w:spacing w:val="40"/>
        </w:rPr>
        <w:t xml:space="preserve"> </w:t>
      </w:r>
      <w:r>
        <w:t>em:https://jurisprudencia.stf.jus.br/pages/search/sjur371896/false. Acesso em: 29 jun. 2024.</w:t>
      </w:r>
    </w:p>
    <w:p w:rsidR="007259F2" w:rsidRDefault="00E655B4">
      <w:pPr>
        <w:tabs>
          <w:tab w:val="left" w:pos="1873"/>
          <w:tab w:val="left" w:pos="3023"/>
          <w:tab w:val="left" w:pos="4695"/>
          <w:tab w:val="left" w:pos="5846"/>
          <w:tab w:val="left" w:pos="7312"/>
          <w:tab w:val="left" w:pos="9293"/>
        </w:tabs>
        <w:spacing w:before="120"/>
        <w:ind w:left="710" w:right="555"/>
        <w:jc w:val="both"/>
        <w:rPr>
          <w:sz w:val="24"/>
        </w:rPr>
      </w:pPr>
      <w:r>
        <w:rPr>
          <w:sz w:val="24"/>
        </w:rPr>
        <w:t xml:space="preserve">BRASIL. Supremo Tribunal Federal. </w:t>
      </w:r>
      <w:r>
        <w:rPr>
          <w:b/>
          <w:sz w:val="24"/>
        </w:rPr>
        <w:t xml:space="preserve">Ação Declaratória de Inconstitucionalidade por Omissão nº 26– DF. </w:t>
      </w:r>
      <w:r>
        <w:rPr>
          <w:sz w:val="24"/>
        </w:rPr>
        <w:t xml:space="preserve">Requerente: Partido Popular Socialista. Relator: Min. Celso de Mello, </w:t>
      </w:r>
      <w:r>
        <w:rPr>
          <w:spacing w:val="-6"/>
          <w:sz w:val="24"/>
        </w:rPr>
        <w:t>06</w:t>
      </w:r>
      <w:r>
        <w:rPr>
          <w:sz w:val="24"/>
        </w:rPr>
        <w:tab/>
      </w:r>
      <w:r>
        <w:rPr>
          <w:spacing w:val="-6"/>
          <w:sz w:val="24"/>
        </w:rPr>
        <w:t>de</w:t>
      </w:r>
      <w:r>
        <w:rPr>
          <w:sz w:val="24"/>
        </w:rPr>
        <w:tab/>
      </w:r>
      <w:r>
        <w:rPr>
          <w:spacing w:val="-2"/>
          <w:sz w:val="24"/>
        </w:rPr>
        <w:t>outubro</w:t>
      </w:r>
      <w:r>
        <w:rPr>
          <w:sz w:val="24"/>
        </w:rPr>
        <w:tab/>
      </w:r>
      <w:r>
        <w:rPr>
          <w:spacing w:val="-6"/>
          <w:sz w:val="24"/>
        </w:rPr>
        <w:t>de</w:t>
      </w:r>
      <w:r>
        <w:rPr>
          <w:sz w:val="24"/>
        </w:rPr>
        <w:tab/>
      </w:r>
      <w:r>
        <w:rPr>
          <w:spacing w:val="-2"/>
          <w:sz w:val="24"/>
        </w:rPr>
        <w:t>2020.</w:t>
      </w:r>
      <w:r>
        <w:rPr>
          <w:sz w:val="24"/>
        </w:rPr>
        <w:tab/>
      </w:r>
      <w:r>
        <w:rPr>
          <w:spacing w:val="-2"/>
          <w:sz w:val="24"/>
        </w:rPr>
        <w:t>Disponível</w:t>
      </w:r>
      <w:r>
        <w:rPr>
          <w:sz w:val="24"/>
        </w:rPr>
        <w:tab/>
      </w:r>
      <w:r>
        <w:rPr>
          <w:spacing w:val="-4"/>
          <w:sz w:val="24"/>
        </w:rPr>
        <w:t xml:space="preserve">em: </w:t>
      </w:r>
      <w:r>
        <w:rPr>
          <w:spacing w:val="-2"/>
          <w:sz w:val="24"/>
        </w:rPr>
        <w:t>https://jurisprudencia.stf.jus.br/pages/search/sjur433180/false.</w:t>
      </w:r>
    </w:p>
    <w:p w:rsidR="007259F2" w:rsidRDefault="00E655B4">
      <w:pPr>
        <w:spacing w:before="121"/>
        <w:ind w:left="710"/>
        <w:jc w:val="both"/>
        <w:rPr>
          <w:b/>
          <w:sz w:val="24"/>
        </w:rPr>
      </w:pPr>
      <w:r>
        <w:rPr>
          <w:sz w:val="24"/>
        </w:rPr>
        <w:t>BRASIL.</w:t>
      </w:r>
      <w:r>
        <w:rPr>
          <w:spacing w:val="27"/>
          <w:sz w:val="24"/>
        </w:rPr>
        <w:t xml:space="preserve"> </w:t>
      </w:r>
      <w:r>
        <w:rPr>
          <w:sz w:val="24"/>
        </w:rPr>
        <w:t>Supremo</w:t>
      </w:r>
      <w:r>
        <w:rPr>
          <w:spacing w:val="51"/>
          <w:sz w:val="24"/>
        </w:rPr>
        <w:t xml:space="preserve"> </w:t>
      </w:r>
      <w:r>
        <w:rPr>
          <w:sz w:val="24"/>
        </w:rPr>
        <w:t>Tribunal</w:t>
      </w:r>
      <w:r>
        <w:rPr>
          <w:spacing w:val="50"/>
          <w:sz w:val="24"/>
        </w:rPr>
        <w:t xml:space="preserve"> </w:t>
      </w:r>
      <w:r>
        <w:rPr>
          <w:sz w:val="24"/>
        </w:rPr>
        <w:t>Federal.</w:t>
      </w:r>
      <w:r>
        <w:rPr>
          <w:spacing w:val="54"/>
          <w:sz w:val="24"/>
        </w:rPr>
        <w:t xml:space="preserve"> </w:t>
      </w:r>
      <w:r>
        <w:rPr>
          <w:b/>
          <w:sz w:val="24"/>
        </w:rPr>
        <w:t>Ação</w:t>
      </w:r>
      <w:r>
        <w:rPr>
          <w:b/>
          <w:spacing w:val="53"/>
          <w:sz w:val="24"/>
        </w:rPr>
        <w:t xml:space="preserve"> </w:t>
      </w:r>
      <w:r>
        <w:rPr>
          <w:b/>
          <w:sz w:val="24"/>
        </w:rPr>
        <w:t>Declaratória</w:t>
      </w:r>
      <w:r>
        <w:rPr>
          <w:b/>
          <w:spacing w:val="52"/>
          <w:sz w:val="24"/>
        </w:rPr>
        <w:t xml:space="preserve"> </w:t>
      </w:r>
      <w:r>
        <w:rPr>
          <w:b/>
          <w:sz w:val="24"/>
        </w:rPr>
        <w:t>de</w:t>
      </w:r>
      <w:r>
        <w:rPr>
          <w:b/>
          <w:spacing w:val="47"/>
          <w:sz w:val="24"/>
        </w:rPr>
        <w:t xml:space="preserve"> </w:t>
      </w:r>
      <w:r>
        <w:rPr>
          <w:b/>
          <w:sz w:val="24"/>
        </w:rPr>
        <w:t>Inconstitucionalidade</w:t>
      </w:r>
      <w:r>
        <w:rPr>
          <w:b/>
          <w:spacing w:val="49"/>
          <w:sz w:val="24"/>
        </w:rPr>
        <w:t xml:space="preserve"> </w:t>
      </w:r>
      <w:r>
        <w:rPr>
          <w:b/>
          <w:spacing w:val="-5"/>
          <w:sz w:val="24"/>
        </w:rPr>
        <w:t>nº</w:t>
      </w:r>
    </w:p>
    <w:p w:rsidR="007259F2" w:rsidRDefault="00E655B4">
      <w:pPr>
        <w:pStyle w:val="Corpodetexto"/>
        <w:tabs>
          <w:tab w:val="left" w:pos="2995"/>
          <w:tab w:val="left" w:pos="4759"/>
          <w:tab w:val="left" w:pos="6830"/>
          <w:tab w:val="left" w:pos="9422"/>
        </w:tabs>
        <w:spacing w:before="120"/>
        <w:ind w:right="422" w:firstLine="0"/>
      </w:pPr>
      <w:r>
        <w:rPr>
          <w:b/>
        </w:rPr>
        <w:t xml:space="preserve">4.277 – DF. </w:t>
      </w:r>
      <w:r>
        <w:t xml:space="preserve">Requerente: Procuradora-geral da República. Relator: Min. Ayres Britto, 14 de </w:t>
      </w:r>
      <w:r>
        <w:rPr>
          <w:spacing w:val="-2"/>
        </w:rPr>
        <w:t>outubro</w:t>
      </w:r>
      <w:r>
        <w:tab/>
      </w:r>
      <w:r>
        <w:rPr>
          <w:spacing w:val="-6"/>
        </w:rPr>
        <w:t>de</w:t>
      </w:r>
      <w:r>
        <w:tab/>
      </w:r>
      <w:r>
        <w:rPr>
          <w:spacing w:val="-4"/>
        </w:rPr>
        <w:t>2011.</w:t>
      </w:r>
      <w:r>
        <w:tab/>
      </w:r>
      <w:r>
        <w:rPr>
          <w:spacing w:val="-2"/>
        </w:rPr>
        <w:t>Disponível</w:t>
      </w:r>
      <w:r>
        <w:tab/>
      </w:r>
      <w:r>
        <w:rPr>
          <w:spacing w:val="-4"/>
        </w:rPr>
        <w:t xml:space="preserve">em: </w:t>
      </w:r>
      <w:r>
        <w:rPr>
          <w:spacing w:val="-2"/>
        </w:rPr>
        <w:t>https://jurisprudencia.stf.jus.br/pages/search/sjur200017/false.</w:t>
      </w:r>
    </w:p>
    <w:p w:rsidR="007259F2" w:rsidRDefault="00E655B4">
      <w:pPr>
        <w:spacing w:before="120"/>
        <w:ind w:left="710" w:right="423"/>
        <w:jc w:val="both"/>
        <w:rPr>
          <w:sz w:val="24"/>
        </w:rPr>
      </w:pPr>
      <w:r>
        <w:rPr>
          <w:sz w:val="24"/>
        </w:rPr>
        <w:t xml:space="preserve">BRASIL. Supremo Tribunal Federal. </w:t>
      </w:r>
      <w:r>
        <w:rPr>
          <w:b/>
          <w:sz w:val="24"/>
        </w:rPr>
        <w:t>Arguição de Descumprimento de Preceito Fundamental nº 132 – RJ</w:t>
      </w:r>
      <w:r>
        <w:rPr>
          <w:sz w:val="24"/>
        </w:rPr>
        <w:t>. Requerente: Governador do Estado do Rio de Janeiro. Relator: Min. Ayres Britto, 14 de outubro de 2011. Disponível em: https://jurisprudencia.stf.jus.br/pages/search/sjur200015/false. Acesso em 01 jun. 2024.</w:t>
      </w:r>
    </w:p>
    <w:p w:rsidR="007259F2" w:rsidRDefault="00E655B4">
      <w:pPr>
        <w:pStyle w:val="Corpodetexto"/>
        <w:spacing w:before="120"/>
        <w:ind w:right="559" w:firstLine="0"/>
      </w:pPr>
      <w:r>
        <w:t xml:space="preserve">BRASIL. Supremo Tribunal Federal. </w:t>
      </w:r>
      <w:r>
        <w:rPr>
          <w:b/>
        </w:rPr>
        <w:t>Recurso Extraordinário nº 670.422 – RS</w:t>
      </w:r>
      <w:r>
        <w:t>. Recor- rente: S.T.C., Recorrido: Oitava Câmara Cível do Tribunal de Justiça do Estado do Rio Grande do Sul. Relator: Min. Dias Toffoli, 10 de março de 2020. Disponível em: https://jurisprudencia.stf.jus.br/pages/search/sjur420306/false. Acesso em 05 maio 2024.</w:t>
      </w:r>
    </w:p>
    <w:p w:rsidR="007259F2" w:rsidRDefault="00E655B4">
      <w:pPr>
        <w:pStyle w:val="Corpodetexto"/>
        <w:spacing w:before="118"/>
        <w:ind w:right="546" w:firstLine="0"/>
        <w:jc w:val="left"/>
      </w:pPr>
      <w:r>
        <w:t>SÃO PAULO. Tribunal</w:t>
      </w:r>
      <w:r>
        <w:rPr>
          <w:spacing w:val="40"/>
        </w:rPr>
        <w:t xml:space="preserve"> </w:t>
      </w:r>
      <w:r>
        <w:t>de</w:t>
      </w:r>
      <w:r>
        <w:rPr>
          <w:spacing w:val="38"/>
        </w:rPr>
        <w:t xml:space="preserve"> </w:t>
      </w:r>
      <w:r>
        <w:t>Justiça</w:t>
      </w:r>
      <w:r>
        <w:rPr>
          <w:spacing w:val="36"/>
        </w:rPr>
        <w:t xml:space="preserve"> </w:t>
      </w:r>
      <w:r>
        <w:t>do</w:t>
      </w:r>
      <w:r>
        <w:rPr>
          <w:spacing w:val="40"/>
        </w:rPr>
        <w:t xml:space="preserve"> </w:t>
      </w:r>
      <w:r>
        <w:t xml:space="preserve">Estado. </w:t>
      </w:r>
      <w:r>
        <w:rPr>
          <w:b/>
        </w:rPr>
        <w:t>AC:</w:t>
      </w:r>
      <w:r>
        <w:rPr>
          <w:b/>
          <w:spacing w:val="38"/>
        </w:rPr>
        <w:t xml:space="preserve"> </w:t>
      </w:r>
      <w:r>
        <w:rPr>
          <w:b/>
        </w:rPr>
        <w:t>1003310-42.2017.8.26.0053</w:t>
      </w:r>
      <w:r>
        <w:t>. Apelante: Estado de São Paulo. Apelada: Gildete Felisberto Santos. Relator: Coimbra</w:t>
      </w:r>
      <w:r>
        <w:rPr>
          <w:spacing w:val="80"/>
        </w:rPr>
        <w:t xml:space="preserve"> </w:t>
      </w:r>
      <w:r>
        <w:t>Schmidt, Data de</w:t>
      </w:r>
      <w:r>
        <w:rPr>
          <w:spacing w:val="39"/>
        </w:rPr>
        <w:t xml:space="preserve"> </w:t>
      </w:r>
      <w:r>
        <w:t>Julgamento:</w:t>
      </w:r>
      <w:r>
        <w:rPr>
          <w:spacing w:val="40"/>
        </w:rPr>
        <w:t xml:space="preserve"> </w:t>
      </w:r>
      <w:r>
        <w:t>19/02/2020,</w:t>
      </w:r>
      <w:r>
        <w:rPr>
          <w:spacing w:val="39"/>
        </w:rPr>
        <w:t xml:space="preserve"> </w:t>
      </w:r>
      <w:r>
        <w:t>7ª</w:t>
      </w:r>
      <w:r>
        <w:rPr>
          <w:spacing w:val="40"/>
        </w:rPr>
        <w:t xml:space="preserve"> </w:t>
      </w:r>
      <w:r>
        <w:t>Câmara</w:t>
      </w:r>
      <w:r>
        <w:rPr>
          <w:spacing w:val="39"/>
        </w:rPr>
        <w:t xml:space="preserve"> </w:t>
      </w:r>
      <w:r>
        <w:t>de</w:t>
      </w:r>
      <w:r>
        <w:rPr>
          <w:spacing w:val="39"/>
        </w:rPr>
        <w:t xml:space="preserve"> </w:t>
      </w:r>
      <w:r>
        <w:t>Direito</w:t>
      </w:r>
      <w:r>
        <w:rPr>
          <w:spacing w:val="39"/>
        </w:rPr>
        <w:t xml:space="preserve"> </w:t>
      </w:r>
      <w:r>
        <w:t>Público,</w:t>
      </w:r>
      <w:r>
        <w:rPr>
          <w:spacing w:val="39"/>
        </w:rPr>
        <w:t xml:space="preserve"> </w:t>
      </w:r>
      <w:r>
        <w:t>19/02/2020.</w:t>
      </w:r>
      <w:r>
        <w:rPr>
          <w:spacing w:val="80"/>
        </w:rPr>
        <w:t xml:space="preserve"> </w:t>
      </w:r>
      <w:r>
        <w:t>Disponível</w:t>
      </w:r>
      <w:r>
        <w:rPr>
          <w:spacing w:val="80"/>
        </w:rPr>
        <w:t xml:space="preserve"> </w:t>
      </w:r>
      <w:r>
        <w:t xml:space="preserve">em: </w:t>
      </w:r>
      <w:r>
        <w:rPr>
          <w:spacing w:val="-2"/>
        </w:rPr>
        <w:t>https://jurisprudencia.s3.amazonaws.com/TJSP/attachments/TJSP_AC_10033104220178260 053_d2be1.pdf?AWSAccessKeyId=AKIARMMD5JEAO67SMCVA&amp;Expires=1722565603 &amp;Signature=S2V5PwW2RAMPeb9djxKCMBpMzY4%3DSP_AC_10033104220178260053_</w:t>
      </w:r>
    </w:p>
    <w:p w:rsidR="007259F2" w:rsidRDefault="00E655B4">
      <w:pPr>
        <w:pStyle w:val="Corpodetexto"/>
        <w:spacing w:before="1"/>
        <w:ind w:right="566" w:firstLine="0"/>
      </w:pPr>
      <w:r>
        <w:rPr>
          <w:spacing w:val="-4"/>
        </w:rPr>
        <w:t xml:space="preserve">d2be1.pdf?AWSAccessKeyId=AKIARMMD5JEAO67SMCVA&amp;Expires=1722565603&amp;Sign </w:t>
      </w:r>
      <w:r>
        <w:t>ature=S2V5PwW2R AMPeb9djxKCMBpMzY4%3D. Acesso em 03 jul. 2024.</w:t>
      </w:r>
    </w:p>
    <w:p w:rsidR="007259F2" w:rsidRDefault="00E655B4">
      <w:pPr>
        <w:pStyle w:val="Corpodetexto"/>
        <w:tabs>
          <w:tab w:val="left" w:pos="3579"/>
          <w:tab w:val="left" w:pos="6483"/>
          <w:tab w:val="left" w:pos="9286"/>
        </w:tabs>
        <w:spacing w:before="120"/>
        <w:ind w:right="557" w:firstLine="0"/>
      </w:pPr>
      <w:r>
        <w:t>SÃO</w:t>
      </w:r>
      <w:r>
        <w:rPr>
          <w:spacing w:val="40"/>
        </w:rPr>
        <w:t xml:space="preserve"> </w:t>
      </w:r>
      <w:r>
        <w:t>PAULO.</w:t>
      </w:r>
      <w:r>
        <w:rPr>
          <w:spacing w:val="40"/>
        </w:rPr>
        <w:t xml:space="preserve"> </w:t>
      </w:r>
      <w:r>
        <w:t>Tribunal</w:t>
      </w:r>
      <w:r>
        <w:rPr>
          <w:spacing w:val="40"/>
        </w:rPr>
        <w:t xml:space="preserve"> </w:t>
      </w:r>
      <w:r>
        <w:t>de</w:t>
      </w:r>
      <w:r>
        <w:rPr>
          <w:spacing w:val="40"/>
        </w:rPr>
        <w:t xml:space="preserve"> </w:t>
      </w:r>
      <w:r>
        <w:t>Justiça</w:t>
      </w:r>
      <w:r>
        <w:rPr>
          <w:spacing w:val="40"/>
        </w:rPr>
        <w:t xml:space="preserve"> </w:t>
      </w:r>
      <w:r>
        <w:t>do</w:t>
      </w:r>
      <w:r>
        <w:rPr>
          <w:spacing w:val="40"/>
        </w:rPr>
        <w:t xml:space="preserve"> </w:t>
      </w:r>
      <w:r>
        <w:t>Estado.</w:t>
      </w:r>
      <w:r>
        <w:rPr>
          <w:spacing w:val="40"/>
        </w:rPr>
        <w:t xml:space="preserve"> </w:t>
      </w:r>
      <w:r>
        <w:rPr>
          <w:b/>
        </w:rPr>
        <w:t>APL:</w:t>
      </w:r>
      <w:r>
        <w:rPr>
          <w:b/>
          <w:spacing w:val="40"/>
        </w:rPr>
        <w:t xml:space="preserve"> </w:t>
      </w:r>
      <w:r>
        <w:rPr>
          <w:b/>
        </w:rPr>
        <w:t>0127285-36.2008.8.26.0053</w:t>
      </w:r>
      <w:r>
        <w:t>. Apelante: Prefeitura Municipal de São Paulo. Apelada: Maria Julia Pinheiro. Relator: Evaristo</w:t>
      </w:r>
      <w:r>
        <w:rPr>
          <w:spacing w:val="-3"/>
        </w:rPr>
        <w:t xml:space="preserve"> </w:t>
      </w:r>
      <w:r>
        <w:t>dos</w:t>
      </w:r>
      <w:r>
        <w:rPr>
          <w:spacing w:val="-3"/>
        </w:rPr>
        <w:t xml:space="preserve"> </w:t>
      </w:r>
      <w:r>
        <w:t>Santos,</w:t>
      </w:r>
      <w:r>
        <w:rPr>
          <w:spacing w:val="-3"/>
        </w:rPr>
        <w:t xml:space="preserve"> </w:t>
      </w:r>
      <w:r>
        <w:t>Data</w:t>
      </w:r>
      <w:r>
        <w:rPr>
          <w:spacing w:val="-4"/>
        </w:rPr>
        <w:t xml:space="preserve"> </w:t>
      </w:r>
      <w:r>
        <w:t>de</w:t>
      </w:r>
      <w:r>
        <w:rPr>
          <w:spacing w:val="-4"/>
        </w:rPr>
        <w:t xml:space="preserve"> </w:t>
      </w:r>
      <w:r>
        <w:t>Julgamento:</w:t>
      </w:r>
      <w:r>
        <w:rPr>
          <w:spacing w:val="-3"/>
        </w:rPr>
        <w:t xml:space="preserve"> </w:t>
      </w:r>
      <w:r>
        <w:t>26/11/2012, 6ª</w:t>
      </w:r>
      <w:r>
        <w:rPr>
          <w:spacing w:val="-3"/>
        </w:rPr>
        <w:t xml:space="preserve"> </w:t>
      </w:r>
      <w:r>
        <w:t>Câmara</w:t>
      </w:r>
      <w:r>
        <w:rPr>
          <w:spacing w:val="-4"/>
        </w:rPr>
        <w:t xml:space="preserve"> </w:t>
      </w:r>
      <w:r>
        <w:t>de</w:t>
      </w:r>
      <w:r>
        <w:rPr>
          <w:spacing w:val="-2"/>
        </w:rPr>
        <w:t xml:space="preserve"> </w:t>
      </w:r>
      <w:r>
        <w:t>Direito</w:t>
      </w:r>
      <w:r>
        <w:rPr>
          <w:spacing w:val="-3"/>
        </w:rPr>
        <w:t xml:space="preserve"> </w:t>
      </w:r>
      <w:r>
        <w:t>Público,</w:t>
      </w:r>
      <w:r>
        <w:rPr>
          <w:spacing w:val="-3"/>
        </w:rPr>
        <w:t xml:space="preserve"> </w:t>
      </w:r>
      <w:r>
        <w:t>Data</w:t>
      </w:r>
      <w:r>
        <w:rPr>
          <w:spacing w:val="-3"/>
        </w:rPr>
        <w:t xml:space="preserve"> </w:t>
      </w:r>
      <w:r>
        <w:t xml:space="preserve">de </w:t>
      </w:r>
      <w:r>
        <w:rPr>
          <w:spacing w:val="-2"/>
        </w:rPr>
        <w:t>Publicação:</w:t>
      </w:r>
      <w:r>
        <w:tab/>
      </w:r>
      <w:r>
        <w:rPr>
          <w:spacing w:val="-2"/>
        </w:rPr>
        <w:t>01/12/2012.</w:t>
      </w:r>
      <w:r>
        <w:tab/>
      </w:r>
      <w:r>
        <w:rPr>
          <w:spacing w:val="-2"/>
        </w:rPr>
        <w:t>Disponível</w:t>
      </w:r>
      <w:r>
        <w:tab/>
      </w:r>
      <w:r>
        <w:rPr>
          <w:spacing w:val="-4"/>
        </w:rPr>
        <w:t xml:space="preserve">em: </w:t>
      </w:r>
      <w:r>
        <w:rPr>
          <w:spacing w:val="-2"/>
        </w:rPr>
        <w:t>https://jurisprudencia.s3.amazonaws.com/TJSP/IT/APL_1272853620088260053_SP_135444 1417328.pdf?AWSAccessKeyId=AKIARMMD5JEAO67SMCVA&amp;Expires=1722565716&amp;S</w:t>
      </w:r>
    </w:p>
    <w:p w:rsidR="007259F2" w:rsidRDefault="00E655B4">
      <w:pPr>
        <w:pStyle w:val="Corpodetexto"/>
        <w:ind w:firstLine="0"/>
      </w:pPr>
      <w:r>
        <w:t>ignature=4e5EOJnngzJwZz</w:t>
      </w:r>
      <w:r>
        <w:rPr>
          <w:spacing w:val="-14"/>
        </w:rPr>
        <w:t xml:space="preserve"> </w:t>
      </w:r>
      <w:r>
        <w:t>KXPYV9mFrxft8%3D.</w:t>
      </w:r>
      <w:r>
        <w:rPr>
          <w:spacing w:val="-10"/>
        </w:rPr>
        <w:t xml:space="preserve"> </w:t>
      </w:r>
      <w:r>
        <w:t>Acesso</w:t>
      </w:r>
      <w:r>
        <w:rPr>
          <w:spacing w:val="-9"/>
        </w:rPr>
        <w:t xml:space="preserve"> </w:t>
      </w:r>
      <w:r>
        <w:t>em</w:t>
      </w:r>
      <w:r>
        <w:rPr>
          <w:spacing w:val="-10"/>
        </w:rPr>
        <w:t xml:space="preserve"> </w:t>
      </w:r>
      <w:r>
        <w:t>25</w:t>
      </w:r>
      <w:r>
        <w:rPr>
          <w:spacing w:val="-9"/>
        </w:rPr>
        <w:t xml:space="preserve"> </w:t>
      </w:r>
      <w:r>
        <w:t>maio</w:t>
      </w:r>
      <w:r>
        <w:rPr>
          <w:spacing w:val="-9"/>
        </w:rPr>
        <w:t xml:space="preserve"> </w:t>
      </w:r>
      <w:r>
        <w:rPr>
          <w:spacing w:val="-2"/>
        </w:rPr>
        <w:t>2024.</w:t>
      </w:r>
    </w:p>
    <w:p w:rsidR="007259F2" w:rsidRDefault="00E655B4">
      <w:pPr>
        <w:pStyle w:val="Corpodetexto"/>
        <w:spacing w:before="120"/>
        <w:ind w:right="560" w:firstLine="0"/>
      </w:pPr>
      <w:r>
        <w:t xml:space="preserve">SÃO PAULO. Tribunal de Justiça do Estado. </w:t>
      </w:r>
      <w:r>
        <w:rPr>
          <w:b/>
        </w:rPr>
        <w:t>APL: 0004358-03.2010.8.26.0246</w:t>
      </w:r>
      <w:r>
        <w:t>, Relator: Ana Liarte, Data de Julgamento: 04/02/2019, 4ª Câmara de Direito Público, Data de Publicação: 08/02/2019.</w:t>
      </w:r>
    </w:p>
    <w:p w:rsidR="007259F2" w:rsidRDefault="007259F2">
      <w:pPr>
        <w:pStyle w:val="Corpodetexto"/>
        <w:sectPr w:rsidR="007259F2">
          <w:pgSz w:w="11910" w:h="16840"/>
          <w:pgMar w:top="1600" w:right="708" w:bottom="1020" w:left="992" w:header="0" w:footer="820" w:gutter="0"/>
          <w:cols w:space="720"/>
        </w:sectPr>
      </w:pPr>
    </w:p>
    <w:p w:rsidR="007259F2" w:rsidRDefault="00E655B4">
      <w:pPr>
        <w:pStyle w:val="Corpodetexto"/>
        <w:tabs>
          <w:tab w:val="left" w:pos="2535"/>
          <w:tab w:val="left" w:pos="4260"/>
          <w:tab w:val="left" w:pos="5292"/>
        </w:tabs>
        <w:spacing w:before="75"/>
        <w:ind w:right="554" w:firstLine="0"/>
        <w:jc w:val="left"/>
      </w:pPr>
      <w:r>
        <w:lastRenderedPageBreak/>
        <w:t>SÃO PAULO. Tribunal</w:t>
      </w:r>
      <w:r>
        <w:rPr>
          <w:spacing w:val="40"/>
        </w:rPr>
        <w:t xml:space="preserve"> </w:t>
      </w:r>
      <w:r>
        <w:t>de</w:t>
      </w:r>
      <w:r>
        <w:rPr>
          <w:spacing w:val="40"/>
        </w:rPr>
        <w:t xml:space="preserve"> </w:t>
      </w:r>
      <w:r>
        <w:t>Justiça</w:t>
      </w:r>
      <w:r>
        <w:rPr>
          <w:spacing w:val="40"/>
        </w:rPr>
        <w:t xml:space="preserve"> </w:t>
      </w:r>
      <w:r>
        <w:t>do</w:t>
      </w:r>
      <w:r>
        <w:rPr>
          <w:spacing w:val="40"/>
        </w:rPr>
        <w:t xml:space="preserve"> </w:t>
      </w:r>
      <w:r>
        <w:t xml:space="preserve">Estado. </w:t>
      </w:r>
      <w:r>
        <w:rPr>
          <w:b/>
        </w:rPr>
        <w:t>AC: 1003357-16.2017.8.26.0053</w:t>
      </w:r>
      <w:r>
        <w:t>. Apelante: Estado</w:t>
      </w:r>
      <w:r>
        <w:rPr>
          <w:spacing w:val="30"/>
        </w:rPr>
        <w:t xml:space="preserve"> </w:t>
      </w:r>
      <w:r>
        <w:t>de</w:t>
      </w:r>
      <w:r>
        <w:rPr>
          <w:spacing w:val="30"/>
        </w:rPr>
        <w:t xml:space="preserve"> </w:t>
      </w:r>
      <w:r>
        <w:t>São</w:t>
      </w:r>
      <w:r>
        <w:rPr>
          <w:spacing w:val="31"/>
        </w:rPr>
        <w:t xml:space="preserve"> </w:t>
      </w:r>
      <w:r>
        <w:t>Paulo.</w:t>
      </w:r>
      <w:r>
        <w:rPr>
          <w:spacing w:val="31"/>
        </w:rPr>
        <w:t xml:space="preserve"> </w:t>
      </w:r>
      <w:r>
        <w:t>Apelada:</w:t>
      </w:r>
      <w:r>
        <w:rPr>
          <w:spacing w:val="31"/>
        </w:rPr>
        <w:t xml:space="preserve"> </w:t>
      </w:r>
      <w:r>
        <w:t>Amaro</w:t>
      </w:r>
      <w:r>
        <w:rPr>
          <w:spacing w:val="30"/>
        </w:rPr>
        <w:t xml:space="preserve"> </w:t>
      </w:r>
      <w:r>
        <w:t>Gomes</w:t>
      </w:r>
      <w:r>
        <w:rPr>
          <w:spacing w:val="31"/>
        </w:rPr>
        <w:t xml:space="preserve"> </w:t>
      </w:r>
      <w:r>
        <w:t>Barbosa.</w:t>
      </w:r>
      <w:r>
        <w:rPr>
          <w:spacing w:val="31"/>
        </w:rPr>
        <w:t xml:space="preserve"> </w:t>
      </w:r>
      <w:r>
        <w:t>Relatora:</w:t>
      </w:r>
      <w:r>
        <w:rPr>
          <w:spacing w:val="31"/>
        </w:rPr>
        <w:t xml:space="preserve"> </w:t>
      </w:r>
      <w:r>
        <w:t>Maria</w:t>
      </w:r>
      <w:r>
        <w:rPr>
          <w:spacing w:val="32"/>
        </w:rPr>
        <w:t xml:space="preserve"> </w:t>
      </w:r>
      <w:r>
        <w:t>Lau-</w:t>
      </w:r>
      <w:r>
        <w:rPr>
          <w:spacing w:val="30"/>
        </w:rPr>
        <w:t xml:space="preserve"> </w:t>
      </w:r>
      <w:r>
        <w:t>ra</w:t>
      </w:r>
      <w:r>
        <w:rPr>
          <w:spacing w:val="30"/>
        </w:rPr>
        <w:t xml:space="preserve"> </w:t>
      </w:r>
      <w:r>
        <w:t>Tavares, Data</w:t>
      </w:r>
      <w:r>
        <w:rPr>
          <w:spacing w:val="73"/>
        </w:rPr>
        <w:t xml:space="preserve"> </w:t>
      </w:r>
      <w:r>
        <w:t>de</w:t>
      </w:r>
      <w:r>
        <w:rPr>
          <w:spacing w:val="72"/>
        </w:rPr>
        <w:t xml:space="preserve"> </w:t>
      </w:r>
      <w:r>
        <w:t>Julgamento:</w:t>
      </w:r>
      <w:r>
        <w:rPr>
          <w:spacing w:val="74"/>
        </w:rPr>
        <w:t xml:space="preserve"> </w:t>
      </w:r>
      <w:r>
        <w:t>12/08/2019,</w:t>
      </w:r>
      <w:r>
        <w:rPr>
          <w:spacing w:val="73"/>
        </w:rPr>
        <w:t xml:space="preserve"> </w:t>
      </w:r>
      <w:r>
        <w:t>5ª</w:t>
      </w:r>
      <w:r>
        <w:rPr>
          <w:spacing w:val="71"/>
        </w:rPr>
        <w:t xml:space="preserve"> </w:t>
      </w:r>
      <w:r>
        <w:t>Câmara</w:t>
      </w:r>
      <w:r>
        <w:rPr>
          <w:spacing w:val="72"/>
        </w:rPr>
        <w:t xml:space="preserve"> </w:t>
      </w:r>
      <w:r>
        <w:t>de</w:t>
      </w:r>
      <w:r>
        <w:rPr>
          <w:spacing w:val="72"/>
        </w:rPr>
        <w:t xml:space="preserve"> </w:t>
      </w:r>
      <w:r>
        <w:t>Direito</w:t>
      </w:r>
      <w:r>
        <w:rPr>
          <w:spacing w:val="73"/>
        </w:rPr>
        <w:t xml:space="preserve"> </w:t>
      </w:r>
      <w:r>
        <w:t>Público,</w:t>
      </w:r>
      <w:r>
        <w:rPr>
          <w:spacing w:val="73"/>
        </w:rPr>
        <w:t xml:space="preserve"> </w:t>
      </w:r>
      <w:r>
        <w:t>Data</w:t>
      </w:r>
      <w:r>
        <w:rPr>
          <w:spacing w:val="73"/>
        </w:rPr>
        <w:t xml:space="preserve"> </w:t>
      </w:r>
      <w:r>
        <w:t>de</w:t>
      </w:r>
      <w:r>
        <w:rPr>
          <w:spacing w:val="72"/>
        </w:rPr>
        <w:t xml:space="preserve"> </w:t>
      </w:r>
      <w:r>
        <w:t xml:space="preserve">Publicação: </w:t>
      </w:r>
      <w:r>
        <w:rPr>
          <w:spacing w:val="-2"/>
        </w:rPr>
        <w:t>15/08/2019.</w:t>
      </w:r>
      <w:r>
        <w:tab/>
      </w:r>
      <w:r>
        <w:rPr>
          <w:spacing w:val="-2"/>
        </w:rPr>
        <w:t>Disponível</w:t>
      </w:r>
      <w:r>
        <w:tab/>
      </w:r>
      <w:r>
        <w:rPr>
          <w:spacing w:val="-4"/>
        </w:rPr>
        <w:t>em:</w:t>
      </w:r>
      <w:r>
        <w:tab/>
      </w:r>
      <w:r>
        <w:rPr>
          <w:spacing w:val="-2"/>
        </w:rPr>
        <w:t xml:space="preserve">https://jurisprudencia.s3.amazonaws.com/TJ- SP/attachments/TJSP_AC_10033571620178260053_22a0a.pdf?AWSAccessKeyId=AKIAR MMD5JEAO67SMCVA&amp;Expires=1722565882&amp;Signature=RhkWeo77ceGBsoN5 </w:t>
      </w:r>
      <w:r>
        <w:t>QtsJza0FBH8%3D. Acesso em 27 jun. 2024.</w:t>
      </w:r>
    </w:p>
    <w:p w:rsidR="007259F2" w:rsidRDefault="00E655B4">
      <w:pPr>
        <w:pStyle w:val="Corpodetexto"/>
        <w:tabs>
          <w:tab w:val="left" w:pos="1835"/>
          <w:tab w:val="left" w:pos="3172"/>
          <w:tab w:val="left" w:pos="3458"/>
          <w:tab w:val="left" w:pos="3900"/>
          <w:tab w:val="left" w:pos="4168"/>
          <w:tab w:val="left" w:pos="4768"/>
          <w:tab w:val="left" w:pos="5227"/>
          <w:tab w:val="left" w:pos="6600"/>
          <w:tab w:val="left" w:pos="8305"/>
        </w:tabs>
        <w:spacing w:before="120"/>
        <w:ind w:right="561" w:firstLine="0"/>
        <w:jc w:val="left"/>
      </w:pPr>
      <w:r>
        <w:t>SÃO</w:t>
      </w:r>
      <w:r>
        <w:rPr>
          <w:spacing w:val="80"/>
        </w:rPr>
        <w:t xml:space="preserve"> </w:t>
      </w:r>
      <w:r>
        <w:t>PAULO.</w:t>
      </w:r>
      <w:r>
        <w:rPr>
          <w:spacing w:val="80"/>
        </w:rPr>
        <w:t xml:space="preserve"> </w:t>
      </w:r>
      <w:r>
        <w:t>Tribunal</w:t>
      </w:r>
      <w:r>
        <w:tab/>
      </w:r>
      <w:r>
        <w:tab/>
      </w:r>
      <w:r>
        <w:rPr>
          <w:spacing w:val="-6"/>
        </w:rPr>
        <w:t>de</w:t>
      </w:r>
      <w:r>
        <w:tab/>
      </w:r>
      <w:r>
        <w:rPr>
          <w:spacing w:val="-2"/>
        </w:rPr>
        <w:t>Justiça</w:t>
      </w:r>
      <w:r>
        <w:tab/>
      </w:r>
      <w:r>
        <w:rPr>
          <w:spacing w:val="-6"/>
        </w:rPr>
        <w:t>do</w:t>
      </w:r>
      <w:r>
        <w:tab/>
        <w:t>Estado.</w:t>
      </w:r>
      <w:r>
        <w:rPr>
          <w:spacing w:val="80"/>
        </w:rPr>
        <w:t xml:space="preserve"> </w:t>
      </w:r>
      <w:r>
        <w:rPr>
          <w:b/>
        </w:rPr>
        <w:t>APL:</w:t>
      </w:r>
      <w:r>
        <w:rPr>
          <w:b/>
          <w:spacing w:val="80"/>
        </w:rPr>
        <w:t xml:space="preserve"> </w:t>
      </w:r>
      <w:r>
        <w:rPr>
          <w:b/>
        </w:rPr>
        <w:t>1006553-96.2014.8.26.0053</w:t>
      </w:r>
      <w:r>
        <w:t>. Apelante:</w:t>
      </w:r>
      <w:r>
        <w:rPr>
          <w:spacing w:val="75"/>
        </w:rPr>
        <w:t xml:space="preserve"> </w:t>
      </w:r>
      <w:r>
        <w:t>Maria</w:t>
      </w:r>
      <w:r>
        <w:rPr>
          <w:spacing w:val="76"/>
        </w:rPr>
        <w:t xml:space="preserve"> </w:t>
      </w:r>
      <w:r>
        <w:t>Lucia</w:t>
      </w:r>
      <w:r>
        <w:rPr>
          <w:spacing w:val="75"/>
        </w:rPr>
        <w:t xml:space="preserve"> </w:t>
      </w:r>
      <w:r>
        <w:t>Siqueira</w:t>
      </w:r>
      <w:r>
        <w:rPr>
          <w:spacing w:val="72"/>
        </w:rPr>
        <w:t xml:space="preserve"> </w:t>
      </w:r>
      <w:r>
        <w:t>Raimundo.</w:t>
      </w:r>
      <w:r>
        <w:rPr>
          <w:spacing w:val="75"/>
        </w:rPr>
        <w:t xml:space="preserve"> </w:t>
      </w:r>
      <w:r>
        <w:t>Apelada:</w:t>
      </w:r>
      <w:r>
        <w:rPr>
          <w:spacing w:val="76"/>
        </w:rPr>
        <w:t xml:space="preserve"> </w:t>
      </w:r>
      <w:r>
        <w:t>Prefeitura</w:t>
      </w:r>
      <w:r>
        <w:rPr>
          <w:spacing w:val="72"/>
        </w:rPr>
        <w:t xml:space="preserve"> </w:t>
      </w:r>
      <w:r>
        <w:t>do</w:t>
      </w:r>
      <w:r>
        <w:rPr>
          <w:spacing w:val="77"/>
        </w:rPr>
        <w:t xml:space="preserve"> </w:t>
      </w:r>
      <w:r>
        <w:t>Município</w:t>
      </w:r>
      <w:r>
        <w:rPr>
          <w:spacing w:val="76"/>
        </w:rPr>
        <w:t xml:space="preserve"> </w:t>
      </w:r>
      <w:r>
        <w:t>de</w:t>
      </w:r>
      <w:r>
        <w:rPr>
          <w:spacing w:val="71"/>
        </w:rPr>
        <w:t xml:space="preserve"> </w:t>
      </w:r>
      <w:r>
        <w:t>São Paulo. Relator: Luciana Bresciani, Data de Julgamento: 07/02/2017, 2ª Câmara de Direito</w:t>
      </w:r>
      <w:r>
        <w:rPr>
          <w:spacing w:val="80"/>
        </w:rPr>
        <w:t xml:space="preserve"> </w:t>
      </w:r>
      <w:r>
        <w:rPr>
          <w:spacing w:val="-2"/>
        </w:rPr>
        <w:t>Público,</w:t>
      </w:r>
      <w:r>
        <w:tab/>
      </w:r>
      <w:r>
        <w:rPr>
          <w:spacing w:val="-4"/>
        </w:rPr>
        <w:t>Data</w:t>
      </w:r>
      <w:r>
        <w:tab/>
      </w:r>
      <w:r>
        <w:rPr>
          <w:spacing w:val="-6"/>
        </w:rPr>
        <w:t>de</w:t>
      </w:r>
      <w:r>
        <w:tab/>
      </w:r>
      <w:r>
        <w:tab/>
      </w:r>
      <w:r>
        <w:tab/>
      </w:r>
      <w:r>
        <w:rPr>
          <w:spacing w:val="-2"/>
        </w:rPr>
        <w:t>Publicação:</w:t>
      </w:r>
      <w:r>
        <w:tab/>
      </w:r>
      <w:r>
        <w:rPr>
          <w:spacing w:val="-2"/>
        </w:rPr>
        <w:t>08/02/2017.</w:t>
      </w:r>
      <w:r>
        <w:tab/>
      </w:r>
      <w:r>
        <w:rPr>
          <w:spacing w:val="-2"/>
        </w:rPr>
        <w:t xml:space="preserve">Disponível em: https://jurisprudencia.s3.amazonaws.com/TJ-SP/attachments/TJ- SP_APL_10065539620 148260053_450ed.pdf?AWSAccessKeyId=AKIARMMD5JEAO67SMCVA&amp;Expires=17225 </w:t>
      </w:r>
      <w:r>
        <w:t>66149&amp;Signature=JllJWRhYiKWoQNOD7cKBZNDZnkY%3D. Acesso em 26 jun. 2024.</w:t>
      </w:r>
    </w:p>
    <w:p w:rsidR="007259F2" w:rsidRDefault="007259F2">
      <w:pPr>
        <w:pStyle w:val="Corpodetexto"/>
        <w:jc w:val="left"/>
        <w:sectPr w:rsidR="007259F2">
          <w:pgSz w:w="11910" w:h="16840"/>
          <w:pgMar w:top="1600" w:right="708" w:bottom="1020" w:left="992" w:header="0" w:footer="820" w:gutter="0"/>
          <w:cols w:space="720"/>
        </w:sectPr>
      </w:pPr>
    </w:p>
    <w:p w:rsidR="007259F2" w:rsidRDefault="00E655B4">
      <w:pPr>
        <w:pStyle w:val="Heading2"/>
        <w:spacing w:before="60"/>
      </w:pPr>
      <w:bookmarkStart w:id="16" w:name="_bookmark16"/>
      <w:bookmarkEnd w:id="16"/>
      <w:r>
        <w:lastRenderedPageBreak/>
        <w:t>Por</w:t>
      </w:r>
      <w:r>
        <w:rPr>
          <w:spacing w:val="-2"/>
        </w:rPr>
        <w:t xml:space="preserve"> </w:t>
      </w:r>
      <w:r>
        <w:t>dentro</w:t>
      </w:r>
      <w:r>
        <w:rPr>
          <w:spacing w:val="-1"/>
        </w:rPr>
        <w:t xml:space="preserve"> </w:t>
      </w:r>
      <w:r>
        <w:t>da</w:t>
      </w:r>
      <w:r>
        <w:rPr>
          <w:spacing w:val="-1"/>
        </w:rPr>
        <w:t xml:space="preserve"> </w:t>
      </w:r>
      <w:r>
        <w:t>Casa</w:t>
      </w:r>
      <w:r>
        <w:rPr>
          <w:spacing w:val="-1"/>
        </w:rPr>
        <w:t xml:space="preserve"> </w:t>
      </w:r>
      <w:r>
        <w:t>Civil/ATL:</w:t>
      </w:r>
      <w:r>
        <w:rPr>
          <w:spacing w:val="-1"/>
        </w:rPr>
        <w:t xml:space="preserve"> </w:t>
      </w:r>
      <w:r>
        <w:t>fica autorizada</w:t>
      </w:r>
      <w:r>
        <w:rPr>
          <w:spacing w:val="-1"/>
        </w:rPr>
        <w:t xml:space="preserve"> </w:t>
      </w:r>
      <w:r>
        <w:t>uma</w:t>
      </w:r>
      <w:r>
        <w:rPr>
          <w:spacing w:val="-1"/>
        </w:rPr>
        <w:t xml:space="preserve"> </w:t>
      </w:r>
      <w:r>
        <w:t>análise</w:t>
      </w:r>
      <w:r>
        <w:rPr>
          <w:spacing w:val="-2"/>
        </w:rPr>
        <w:t xml:space="preserve"> </w:t>
      </w:r>
      <w:r>
        <w:t>linguística</w:t>
      </w:r>
      <w:r>
        <w:rPr>
          <w:spacing w:val="-4"/>
        </w:rPr>
        <w:t xml:space="preserve"> </w:t>
      </w:r>
      <w:r>
        <w:t xml:space="preserve">do </w:t>
      </w:r>
      <w:r>
        <w:rPr>
          <w:spacing w:val="-2"/>
        </w:rPr>
        <w:t>Direito</w:t>
      </w:r>
    </w:p>
    <w:p w:rsidR="007259F2" w:rsidRDefault="007259F2">
      <w:pPr>
        <w:pStyle w:val="Corpodetexto"/>
        <w:spacing w:before="2"/>
        <w:ind w:left="0" w:firstLine="0"/>
        <w:jc w:val="left"/>
        <w:rPr>
          <w:b/>
        </w:rPr>
      </w:pPr>
    </w:p>
    <w:p w:rsidR="007259F2" w:rsidRDefault="00E655B4">
      <w:pPr>
        <w:spacing w:line="448" w:lineRule="auto"/>
        <w:ind w:left="710" w:right="2802"/>
        <w:jc w:val="both"/>
        <w:rPr>
          <w:b/>
          <w:sz w:val="24"/>
        </w:rPr>
      </w:pPr>
      <w:r>
        <w:rPr>
          <w:b/>
          <w:sz w:val="24"/>
        </w:rPr>
        <w:t>Inside</w:t>
      </w:r>
      <w:r>
        <w:rPr>
          <w:b/>
          <w:spacing w:val="-5"/>
          <w:sz w:val="24"/>
        </w:rPr>
        <w:t xml:space="preserve"> </w:t>
      </w:r>
      <w:r>
        <w:rPr>
          <w:b/>
          <w:sz w:val="24"/>
        </w:rPr>
        <w:t>the</w:t>
      </w:r>
      <w:r>
        <w:rPr>
          <w:b/>
          <w:spacing w:val="-5"/>
          <w:sz w:val="24"/>
        </w:rPr>
        <w:t xml:space="preserve"> </w:t>
      </w:r>
      <w:r>
        <w:rPr>
          <w:b/>
          <w:sz w:val="24"/>
        </w:rPr>
        <w:t>Civil/ATL:</w:t>
      </w:r>
      <w:r>
        <w:rPr>
          <w:b/>
          <w:spacing w:val="-4"/>
          <w:sz w:val="24"/>
        </w:rPr>
        <w:t xml:space="preserve"> </w:t>
      </w:r>
      <w:r>
        <w:rPr>
          <w:b/>
          <w:sz w:val="24"/>
        </w:rPr>
        <w:t>a</w:t>
      </w:r>
      <w:r>
        <w:rPr>
          <w:b/>
          <w:spacing w:val="-8"/>
          <w:sz w:val="24"/>
        </w:rPr>
        <w:t xml:space="preserve"> </w:t>
      </w:r>
      <w:r>
        <w:rPr>
          <w:b/>
          <w:sz w:val="24"/>
        </w:rPr>
        <w:t>linguistic</w:t>
      </w:r>
      <w:r>
        <w:rPr>
          <w:b/>
          <w:spacing w:val="-4"/>
          <w:sz w:val="24"/>
        </w:rPr>
        <w:t xml:space="preserve"> </w:t>
      </w:r>
      <w:r>
        <w:rPr>
          <w:b/>
          <w:sz w:val="24"/>
        </w:rPr>
        <w:t>analysis</w:t>
      </w:r>
      <w:r>
        <w:rPr>
          <w:b/>
          <w:spacing w:val="-4"/>
          <w:sz w:val="24"/>
        </w:rPr>
        <w:t xml:space="preserve"> </w:t>
      </w:r>
      <w:r>
        <w:rPr>
          <w:b/>
          <w:sz w:val="24"/>
        </w:rPr>
        <w:t>of</w:t>
      </w:r>
      <w:r>
        <w:rPr>
          <w:b/>
          <w:spacing w:val="-3"/>
          <w:sz w:val="24"/>
        </w:rPr>
        <w:t xml:space="preserve"> </w:t>
      </w:r>
      <w:r>
        <w:rPr>
          <w:b/>
          <w:sz w:val="24"/>
        </w:rPr>
        <w:t>the</w:t>
      </w:r>
      <w:r>
        <w:rPr>
          <w:b/>
          <w:spacing w:val="-5"/>
          <w:sz w:val="24"/>
        </w:rPr>
        <w:t xml:space="preserve"> </w:t>
      </w:r>
      <w:r>
        <w:rPr>
          <w:b/>
          <w:sz w:val="24"/>
        </w:rPr>
        <w:t>law</w:t>
      </w:r>
      <w:r>
        <w:rPr>
          <w:b/>
          <w:spacing w:val="-2"/>
          <w:sz w:val="24"/>
        </w:rPr>
        <w:t xml:space="preserve"> </w:t>
      </w:r>
      <w:r>
        <w:rPr>
          <w:b/>
          <w:sz w:val="24"/>
        </w:rPr>
        <w:t>is</w:t>
      </w:r>
      <w:r>
        <w:rPr>
          <w:b/>
          <w:spacing w:val="-4"/>
          <w:sz w:val="24"/>
        </w:rPr>
        <w:t xml:space="preserve"> </w:t>
      </w:r>
      <w:r>
        <w:rPr>
          <w:b/>
          <w:sz w:val="24"/>
        </w:rPr>
        <w:t>authorized Renata de Moraes Rosa Santana</w:t>
      </w:r>
      <w:r>
        <w:rPr>
          <w:b/>
          <w:sz w:val="24"/>
          <w:vertAlign w:val="superscript"/>
        </w:rPr>
        <w:t>1</w:t>
      </w:r>
    </w:p>
    <w:p w:rsidR="007259F2" w:rsidRDefault="007259F2">
      <w:pPr>
        <w:pStyle w:val="Corpodetexto"/>
        <w:spacing w:before="264"/>
        <w:ind w:left="0" w:firstLine="0"/>
        <w:jc w:val="left"/>
        <w:rPr>
          <w:b/>
        </w:rPr>
      </w:pPr>
    </w:p>
    <w:p w:rsidR="007259F2" w:rsidRDefault="00E655B4">
      <w:pPr>
        <w:pStyle w:val="Heading1"/>
      </w:pPr>
      <w:r>
        <w:rPr>
          <w:spacing w:val="-2"/>
        </w:rPr>
        <w:t>RESUMO</w:t>
      </w:r>
    </w:p>
    <w:p w:rsidR="007259F2" w:rsidRDefault="00E655B4">
      <w:pPr>
        <w:pStyle w:val="Corpodetexto"/>
        <w:spacing w:before="154"/>
        <w:ind w:right="421" w:firstLine="0"/>
      </w:pPr>
      <w:r>
        <w:t>O presente artigo objetiva apurar a possível conexão entre Linguística e Legística, sobretudo no que se refere ao uso dos verbos e às predileções textuais do redator normativo. Almeja-se, outrossim, analisar a possibilidade de encontrar o padrão linguístico mais abundante e, se existente,</w:t>
      </w:r>
      <w:r>
        <w:rPr>
          <w:spacing w:val="-3"/>
        </w:rPr>
        <w:t xml:space="preserve"> </w:t>
      </w:r>
      <w:r>
        <w:t>verificar,</w:t>
      </w:r>
      <w:r>
        <w:rPr>
          <w:spacing w:val="-4"/>
        </w:rPr>
        <w:t xml:space="preserve"> </w:t>
      </w:r>
      <w:r>
        <w:t>por</w:t>
      </w:r>
      <w:r>
        <w:rPr>
          <w:spacing w:val="-1"/>
        </w:rPr>
        <w:t xml:space="preserve"> </w:t>
      </w:r>
      <w:r>
        <w:t>meio</w:t>
      </w:r>
      <w:r>
        <w:rPr>
          <w:spacing w:val="-3"/>
        </w:rPr>
        <w:t xml:space="preserve"> </w:t>
      </w:r>
      <w:r>
        <w:t>da</w:t>
      </w:r>
      <w:r>
        <w:rPr>
          <w:spacing w:val="-4"/>
        </w:rPr>
        <w:t xml:space="preserve"> </w:t>
      </w:r>
      <w:r>
        <w:t>observação</w:t>
      </w:r>
      <w:r>
        <w:rPr>
          <w:spacing w:val="-3"/>
        </w:rPr>
        <w:t xml:space="preserve"> </w:t>
      </w:r>
      <w:r>
        <w:t>do</w:t>
      </w:r>
      <w:r>
        <w:rPr>
          <w:spacing w:val="-3"/>
        </w:rPr>
        <w:t xml:space="preserve"> </w:t>
      </w:r>
      <w:r>
        <w:t xml:space="preserve">paradigma mais recorrente nas leis municipais da cidade de São Paulo publicadas no ano de 2022, de que maneira a predileção do redator normativo se coaduna com os valores semânticos presentes na expressão verbal escolhida. Para tanto, por meio do </w:t>
      </w:r>
      <w:r>
        <w:rPr>
          <w:i/>
        </w:rPr>
        <w:t xml:space="preserve">site </w:t>
      </w:r>
      <w:r>
        <w:t>“Catálogo de Legislação Municipal”</w:t>
      </w:r>
      <w:r>
        <w:rPr>
          <w:vertAlign w:val="superscript"/>
        </w:rPr>
        <w:t>2</w:t>
      </w:r>
      <w:r>
        <w:t xml:space="preserve"> foram coletadas todas as 153</w:t>
      </w:r>
      <w:r>
        <w:rPr>
          <w:spacing w:val="-2"/>
        </w:rPr>
        <w:t xml:space="preserve"> </w:t>
      </w:r>
      <w:r>
        <w:t>(cento e</w:t>
      </w:r>
      <w:r>
        <w:rPr>
          <w:spacing w:val="-1"/>
        </w:rPr>
        <w:t xml:space="preserve"> </w:t>
      </w:r>
      <w:r>
        <w:t>cinquenta</w:t>
      </w:r>
      <w:r>
        <w:rPr>
          <w:spacing w:val="-1"/>
        </w:rPr>
        <w:t xml:space="preserve"> </w:t>
      </w:r>
      <w:r>
        <w:t>e</w:t>
      </w:r>
      <w:r>
        <w:rPr>
          <w:spacing w:val="-1"/>
        </w:rPr>
        <w:t xml:space="preserve"> </w:t>
      </w:r>
      <w:r>
        <w:t>três)</w:t>
      </w:r>
      <w:r>
        <w:rPr>
          <w:spacing w:val="-2"/>
        </w:rPr>
        <w:t xml:space="preserve"> </w:t>
      </w:r>
      <w:r>
        <w:t>leis</w:t>
      </w:r>
      <w:r>
        <w:rPr>
          <w:spacing w:val="-2"/>
        </w:rPr>
        <w:t xml:space="preserve"> </w:t>
      </w:r>
      <w:r>
        <w:t>municipais publicadas em</w:t>
      </w:r>
      <w:r>
        <w:rPr>
          <w:spacing w:val="-2"/>
        </w:rPr>
        <w:t xml:space="preserve"> </w:t>
      </w:r>
      <w:r>
        <w:t>2022</w:t>
      </w:r>
      <w:r>
        <w:rPr>
          <w:spacing w:val="-2"/>
        </w:rPr>
        <w:t xml:space="preserve"> </w:t>
      </w:r>
      <w:r>
        <w:t>na</w:t>
      </w:r>
      <w:r>
        <w:rPr>
          <w:spacing w:val="-3"/>
        </w:rPr>
        <w:t xml:space="preserve"> </w:t>
      </w:r>
      <w:r>
        <w:t>cidade</w:t>
      </w:r>
      <w:r>
        <w:rPr>
          <w:spacing w:val="-3"/>
        </w:rPr>
        <w:t xml:space="preserve"> </w:t>
      </w:r>
      <w:r>
        <w:t>de</w:t>
      </w:r>
      <w:r>
        <w:rPr>
          <w:spacing w:val="-3"/>
        </w:rPr>
        <w:t xml:space="preserve"> </w:t>
      </w:r>
      <w:r>
        <w:t>São</w:t>
      </w:r>
      <w:r>
        <w:rPr>
          <w:spacing w:val="-2"/>
        </w:rPr>
        <w:t xml:space="preserve"> </w:t>
      </w:r>
      <w:r>
        <w:t>Paulo.</w:t>
      </w:r>
      <w:r>
        <w:rPr>
          <w:spacing w:val="-2"/>
        </w:rPr>
        <w:t xml:space="preserve"> </w:t>
      </w:r>
      <w:r>
        <w:t xml:space="preserve">Em seguida, foram destacados os verbos de comando das ementas e aqueles do </w:t>
      </w:r>
      <w:r>
        <w:rPr>
          <w:i/>
        </w:rPr>
        <w:t xml:space="preserve">caput </w:t>
      </w:r>
      <w:r>
        <w:t xml:space="preserve">do artigo 1º das referidas leis. Por fim, foram cotejadas as supracitadas leis a fim de analisar a possibilidade da existência (ou não) de um padrão linguístico na exibição dos verbos de comando presentes no </w:t>
      </w:r>
      <w:r>
        <w:rPr>
          <w:i/>
        </w:rPr>
        <w:t xml:space="preserve">caput </w:t>
      </w:r>
      <w:r>
        <w:t>do artigo 1º.</w:t>
      </w:r>
    </w:p>
    <w:p w:rsidR="007259F2" w:rsidRDefault="00E655B4">
      <w:pPr>
        <w:spacing w:before="123"/>
        <w:ind w:left="710"/>
        <w:jc w:val="both"/>
        <w:rPr>
          <w:sz w:val="24"/>
        </w:rPr>
      </w:pPr>
      <w:r>
        <w:rPr>
          <w:b/>
          <w:sz w:val="24"/>
        </w:rPr>
        <w:t>Palavras-chave:</w:t>
      </w:r>
      <w:r>
        <w:rPr>
          <w:b/>
          <w:spacing w:val="-5"/>
          <w:sz w:val="24"/>
        </w:rPr>
        <w:t xml:space="preserve"> </w:t>
      </w:r>
      <w:r>
        <w:rPr>
          <w:sz w:val="24"/>
        </w:rPr>
        <w:t>linguística;</w:t>
      </w:r>
      <w:r>
        <w:rPr>
          <w:spacing w:val="-6"/>
          <w:sz w:val="24"/>
        </w:rPr>
        <w:t xml:space="preserve"> </w:t>
      </w:r>
      <w:r>
        <w:rPr>
          <w:sz w:val="24"/>
        </w:rPr>
        <w:t>legística;</w:t>
      </w:r>
      <w:r>
        <w:rPr>
          <w:spacing w:val="-11"/>
          <w:sz w:val="24"/>
        </w:rPr>
        <w:t xml:space="preserve"> </w:t>
      </w:r>
      <w:r>
        <w:rPr>
          <w:sz w:val="24"/>
        </w:rPr>
        <w:t>técnica</w:t>
      </w:r>
      <w:r>
        <w:rPr>
          <w:spacing w:val="-6"/>
          <w:sz w:val="24"/>
        </w:rPr>
        <w:t xml:space="preserve"> </w:t>
      </w:r>
      <w:r>
        <w:rPr>
          <w:spacing w:val="-2"/>
          <w:sz w:val="24"/>
        </w:rPr>
        <w:t>legislativa.</w:t>
      </w:r>
    </w:p>
    <w:p w:rsidR="007259F2" w:rsidRDefault="007259F2">
      <w:pPr>
        <w:pStyle w:val="Corpodetexto"/>
        <w:spacing w:before="166"/>
        <w:ind w:left="0" w:firstLine="0"/>
        <w:jc w:val="left"/>
      </w:pPr>
    </w:p>
    <w:p w:rsidR="007259F2" w:rsidRDefault="00E655B4">
      <w:pPr>
        <w:pStyle w:val="Heading1"/>
      </w:pPr>
      <w:r>
        <w:rPr>
          <w:spacing w:val="-2"/>
        </w:rPr>
        <w:t>ABSTRACT</w:t>
      </w:r>
    </w:p>
    <w:p w:rsidR="007259F2" w:rsidRDefault="00E655B4">
      <w:pPr>
        <w:pStyle w:val="Corpodetexto"/>
        <w:spacing w:before="154"/>
        <w:ind w:right="419" w:firstLine="0"/>
      </w:pPr>
      <w:r>
        <w:t>This article aims to investigate the possible connection between Linguistics and Legistics, especially</w:t>
      </w:r>
      <w:r>
        <w:rPr>
          <w:spacing w:val="-5"/>
        </w:rPr>
        <w:t xml:space="preserve"> </w:t>
      </w:r>
      <w:r>
        <w:t>with regard</w:t>
      </w:r>
      <w:r>
        <w:rPr>
          <w:spacing w:val="-1"/>
        </w:rPr>
        <w:t xml:space="preserve"> </w:t>
      </w:r>
      <w:r>
        <w:t>to the</w:t>
      </w:r>
      <w:r>
        <w:rPr>
          <w:spacing w:val="-1"/>
        </w:rPr>
        <w:t xml:space="preserve"> </w:t>
      </w:r>
      <w:r>
        <w:t>use</w:t>
      </w:r>
      <w:r>
        <w:rPr>
          <w:spacing w:val="-1"/>
        </w:rPr>
        <w:t xml:space="preserve"> </w:t>
      </w:r>
      <w:r>
        <w:t>of</w:t>
      </w:r>
      <w:r>
        <w:rPr>
          <w:spacing w:val="-1"/>
        </w:rPr>
        <w:t xml:space="preserve"> </w:t>
      </w:r>
      <w:r>
        <w:t>verbs</w:t>
      </w:r>
      <w:r>
        <w:rPr>
          <w:spacing w:val="-1"/>
        </w:rPr>
        <w:t xml:space="preserve"> </w:t>
      </w:r>
      <w:r>
        <w:t>and the</w:t>
      </w:r>
      <w:r>
        <w:rPr>
          <w:spacing w:val="-1"/>
        </w:rPr>
        <w:t xml:space="preserve"> </w:t>
      </w:r>
      <w:r>
        <w:t>textual predilections of</w:t>
      </w:r>
      <w:r>
        <w:rPr>
          <w:spacing w:val="-1"/>
        </w:rPr>
        <w:t xml:space="preserve"> </w:t>
      </w:r>
      <w:r>
        <w:t>the</w:t>
      </w:r>
      <w:r>
        <w:rPr>
          <w:spacing w:val="-1"/>
        </w:rPr>
        <w:t xml:space="preserve"> </w:t>
      </w:r>
      <w:r>
        <w:t>normative</w:t>
      </w:r>
      <w:r>
        <w:rPr>
          <w:spacing w:val="-1"/>
        </w:rPr>
        <w:t xml:space="preserve"> </w:t>
      </w:r>
      <w:r>
        <w:t>writer. The aim is, moreover, to analyze the possibility of finding the most abundant linguistic</w:t>
      </w:r>
      <w:r>
        <w:rPr>
          <w:spacing w:val="80"/>
        </w:rPr>
        <w:t xml:space="preserve"> </w:t>
      </w:r>
      <w:r>
        <w:t>pattern and, if it exists, to verify, through observation of the most recurrent paradigm in the municipal laws of the city of São Paulo published in the year 2022, in what way the predilection of the normative writer is consistent with the semantic values present in the chosen verbal expression. To this end, through the website named “Catálogo de Legislação Municipal”,</w:t>
      </w:r>
      <w:r>
        <w:rPr>
          <w:spacing w:val="-7"/>
        </w:rPr>
        <w:t xml:space="preserve"> </w:t>
      </w:r>
      <w:r>
        <w:t>all</w:t>
      </w:r>
      <w:r>
        <w:rPr>
          <w:spacing w:val="-6"/>
        </w:rPr>
        <w:t xml:space="preserve"> </w:t>
      </w:r>
      <w:r>
        <w:t>153</w:t>
      </w:r>
      <w:r>
        <w:rPr>
          <w:spacing w:val="-7"/>
        </w:rPr>
        <w:t xml:space="preserve"> </w:t>
      </w:r>
      <w:r>
        <w:t>(one</w:t>
      </w:r>
      <w:r>
        <w:rPr>
          <w:spacing w:val="-4"/>
        </w:rPr>
        <w:t xml:space="preserve"> </w:t>
      </w:r>
      <w:r>
        <w:t>hundred</w:t>
      </w:r>
      <w:r>
        <w:rPr>
          <w:spacing w:val="-7"/>
        </w:rPr>
        <w:t xml:space="preserve"> </w:t>
      </w:r>
      <w:r>
        <w:t>and</w:t>
      </w:r>
      <w:r>
        <w:rPr>
          <w:spacing w:val="-5"/>
        </w:rPr>
        <w:t xml:space="preserve"> </w:t>
      </w:r>
      <w:r>
        <w:t>fifty-three)</w:t>
      </w:r>
      <w:r>
        <w:rPr>
          <w:spacing w:val="-5"/>
        </w:rPr>
        <w:t xml:space="preserve"> </w:t>
      </w:r>
      <w:r>
        <w:t>municipal</w:t>
      </w:r>
      <w:r>
        <w:rPr>
          <w:spacing w:val="-7"/>
        </w:rPr>
        <w:t xml:space="preserve"> </w:t>
      </w:r>
      <w:r>
        <w:t>laws published in 2022 in the city of São Paulo were collected. Next, the command verbs of the menus and those in the caput of first article of the aforementioned laws were highlighted. Finally, the aforementioned laws were compared in order to analyze the possibility of the existence (or not) of a linguistic pattern</w:t>
      </w:r>
      <w:r>
        <w:rPr>
          <w:spacing w:val="-4"/>
        </w:rPr>
        <w:t xml:space="preserve"> </w:t>
      </w:r>
      <w:r>
        <w:t>in</w:t>
      </w:r>
      <w:r>
        <w:rPr>
          <w:spacing w:val="-3"/>
        </w:rPr>
        <w:t xml:space="preserve"> </w:t>
      </w:r>
      <w:r>
        <w:t>the</w:t>
      </w:r>
      <w:r>
        <w:rPr>
          <w:spacing w:val="-1"/>
        </w:rPr>
        <w:t xml:space="preserve"> </w:t>
      </w:r>
      <w:r>
        <w:t>display</w:t>
      </w:r>
      <w:r>
        <w:rPr>
          <w:spacing w:val="-11"/>
        </w:rPr>
        <w:t xml:space="preserve"> </w:t>
      </w:r>
      <w:r>
        <w:t>of</w:t>
      </w:r>
      <w:r>
        <w:rPr>
          <w:spacing w:val="-4"/>
        </w:rPr>
        <w:t xml:space="preserve"> </w:t>
      </w:r>
      <w:r>
        <w:t>command verbs present in the caput of the first article.</w:t>
      </w:r>
    </w:p>
    <w:p w:rsidR="007259F2" w:rsidRDefault="00E655B4">
      <w:pPr>
        <w:pStyle w:val="Corpodetexto"/>
        <w:spacing w:before="123"/>
        <w:ind w:firstLine="0"/>
      </w:pPr>
      <w:r>
        <w:rPr>
          <w:b/>
        </w:rPr>
        <w:t>Keywords:</w:t>
      </w:r>
      <w:r>
        <w:rPr>
          <w:b/>
          <w:spacing w:val="-8"/>
        </w:rPr>
        <w:t xml:space="preserve"> </w:t>
      </w:r>
      <w:r>
        <w:t>linguistic,</w:t>
      </w:r>
      <w:r>
        <w:rPr>
          <w:spacing w:val="-7"/>
        </w:rPr>
        <w:t xml:space="preserve"> </w:t>
      </w:r>
      <w:r>
        <w:t>lesgistic,</w:t>
      </w:r>
      <w:r>
        <w:rPr>
          <w:spacing w:val="-6"/>
        </w:rPr>
        <w:t xml:space="preserve"> </w:t>
      </w:r>
      <w:r>
        <w:t>legislative</w:t>
      </w:r>
      <w:r>
        <w:rPr>
          <w:spacing w:val="-14"/>
        </w:rPr>
        <w:t xml:space="preserve"> </w:t>
      </w:r>
      <w:r>
        <w:rPr>
          <w:spacing w:val="-2"/>
        </w:rPr>
        <w:t>technique.</w:t>
      </w:r>
    </w:p>
    <w:p w:rsidR="007259F2" w:rsidRDefault="007259F2">
      <w:pPr>
        <w:pStyle w:val="Corpodetexto"/>
        <w:ind w:left="0" w:firstLine="0"/>
        <w:jc w:val="left"/>
        <w:rPr>
          <w:sz w:val="20"/>
        </w:rPr>
      </w:pPr>
    </w:p>
    <w:p w:rsidR="007259F2" w:rsidRDefault="007259F2">
      <w:pPr>
        <w:pStyle w:val="Corpodetexto"/>
        <w:ind w:left="0" w:firstLine="0"/>
        <w:jc w:val="left"/>
        <w:rPr>
          <w:sz w:val="20"/>
        </w:rPr>
      </w:pPr>
    </w:p>
    <w:p w:rsidR="007259F2" w:rsidRDefault="007259F2">
      <w:pPr>
        <w:pStyle w:val="Corpodetexto"/>
        <w:ind w:left="0" w:firstLine="0"/>
        <w:jc w:val="left"/>
        <w:rPr>
          <w:sz w:val="20"/>
        </w:rPr>
      </w:pPr>
    </w:p>
    <w:p w:rsidR="007259F2" w:rsidRDefault="007259F2">
      <w:pPr>
        <w:pStyle w:val="Corpodetexto"/>
        <w:ind w:left="0" w:firstLine="0"/>
        <w:jc w:val="left"/>
        <w:rPr>
          <w:sz w:val="20"/>
        </w:rPr>
      </w:pPr>
    </w:p>
    <w:p w:rsidR="007259F2" w:rsidRDefault="007259F2">
      <w:pPr>
        <w:pStyle w:val="Corpodetexto"/>
        <w:ind w:left="0" w:firstLine="0"/>
        <w:jc w:val="left"/>
        <w:rPr>
          <w:sz w:val="20"/>
        </w:rPr>
      </w:pPr>
    </w:p>
    <w:p w:rsidR="007259F2" w:rsidRDefault="007259F2">
      <w:pPr>
        <w:pStyle w:val="Corpodetexto"/>
        <w:ind w:left="0" w:firstLine="0"/>
        <w:jc w:val="left"/>
        <w:rPr>
          <w:sz w:val="20"/>
        </w:rPr>
      </w:pPr>
    </w:p>
    <w:p w:rsidR="007259F2" w:rsidRDefault="007259F2">
      <w:pPr>
        <w:pStyle w:val="Corpodetexto"/>
        <w:ind w:left="0" w:firstLine="0"/>
        <w:jc w:val="left"/>
        <w:rPr>
          <w:sz w:val="20"/>
        </w:rPr>
      </w:pPr>
    </w:p>
    <w:p w:rsidR="007259F2" w:rsidRDefault="007259F2">
      <w:pPr>
        <w:pStyle w:val="Corpodetexto"/>
        <w:ind w:left="0" w:firstLine="0"/>
        <w:jc w:val="left"/>
        <w:rPr>
          <w:sz w:val="20"/>
        </w:rPr>
      </w:pPr>
    </w:p>
    <w:p w:rsidR="007259F2" w:rsidRDefault="00DE6B1C">
      <w:pPr>
        <w:pStyle w:val="Corpodetexto"/>
        <w:spacing w:before="26"/>
        <w:ind w:left="0" w:firstLine="0"/>
        <w:jc w:val="left"/>
        <w:rPr>
          <w:sz w:val="20"/>
        </w:rPr>
      </w:pPr>
      <w:r w:rsidRPr="00DE6B1C">
        <w:rPr>
          <w:sz w:val="20"/>
        </w:rPr>
        <w:pict>
          <v:rect id="docshape161" o:spid="_x0000_s1066" style="position:absolute;margin-left:85.1pt;margin-top:14.05pt;width:2in;height:.7pt;z-index:-15656448;mso-wrap-distance-left:0;mso-wrap-distance-right:0;mso-position-horizontal-relative:page" fillcolor="black" stroked="f">
            <w10:wrap type="topAndBottom" anchorx="page"/>
          </v:rect>
        </w:pict>
      </w:r>
    </w:p>
    <w:p w:rsidR="007259F2" w:rsidRDefault="00E655B4">
      <w:pPr>
        <w:spacing w:before="97"/>
        <w:ind w:left="710"/>
        <w:rPr>
          <w:sz w:val="20"/>
        </w:rPr>
      </w:pPr>
      <w:r>
        <w:rPr>
          <w:sz w:val="20"/>
          <w:vertAlign w:val="superscript"/>
        </w:rPr>
        <w:t>1</w:t>
      </w:r>
      <w:r>
        <w:rPr>
          <w:spacing w:val="28"/>
          <w:sz w:val="20"/>
        </w:rPr>
        <w:t xml:space="preserve"> </w:t>
      </w:r>
      <w:r>
        <w:rPr>
          <w:sz w:val="20"/>
        </w:rPr>
        <w:t>Residente</w:t>
      </w:r>
      <w:r>
        <w:rPr>
          <w:spacing w:val="28"/>
          <w:sz w:val="20"/>
        </w:rPr>
        <w:t xml:space="preserve"> </w:t>
      </w:r>
      <w:r>
        <w:rPr>
          <w:sz w:val="20"/>
        </w:rPr>
        <w:t>Jurídica</w:t>
      </w:r>
      <w:r>
        <w:rPr>
          <w:spacing w:val="28"/>
          <w:sz w:val="20"/>
        </w:rPr>
        <w:t xml:space="preserve"> </w:t>
      </w:r>
      <w:r>
        <w:rPr>
          <w:sz w:val="20"/>
        </w:rPr>
        <w:t>do</w:t>
      </w:r>
      <w:r>
        <w:rPr>
          <w:spacing w:val="30"/>
          <w:sz w:val="20"/>
        </w:rPr>
        <w:t xml:space="preserve"> </w:t>
      </w:r>
      <w:r>
        <w:rPr>
          <w:sz w:val="20"/>
        </w:rPr>
        <w:t>Programa</w:t>
      </w:r>
      <w:r>
        <w:rPr>
          <w:spacing w:val="28"/>
          <w:sz w:val="20"/>
        </w:rPr>
        <w:t xml:space="preserve"> </w:t>
      </w:r>
      <w:r>
        <w:rPr>
          <w:sz w:val="20"/>
        </w:rPr>
        <w:t>de</w:t>
      </w:r>
      <w:r>
        <w:rPr>
          <w:spacing w:val="28"/>
          <w:sz w:val="20"/>
        </w:rPr>
        <w:t xml:space="preserve"> </w:t>
      </w:r>
      <w:r>
        <w:rPr>
          <w:sz w:val="20"/>
        </w:rPr>
        <w:t>Residência</w:t>
      </w:r>
      <w:r>
        <w:rPr>
          <w:spacing w:val="28"/>
          <w:sz w:val="20"/>
        </w:rPr>
        <w:t xml:space="preserve"> </w:t>
      </w:r>
      <w:r>
        <w:rPr>
          <w:sz w:val="20"/>
        </w:rPr>
        <w:t>Jurídica</w:t>
      </w:r>
      <w:r>
        <w:rPr>
          <w:spacing w:val="28"/>
          <w:sz w:val="20"/>
        </w:rPr>
        <w:t xml:space="preserve"> </w:t>
      </w:r>
      <w:r>
        <w:rPr>
          <w:sz w:val="20"/>
        </w:rPr>
        <w:t>da</w:t>
      </w:r>
      <w:r>
        <w:rPr>
          <w:spacing w:val="28"/>
          <w:sz w:val="20"/>
        </w:rPr>
        <w:t xml:space="preserve"> </w:t>
      </w:r>
      <w:r>
        <w:rPr>
          <w:sz w:val="20"/>
        </w:rPr>
        <w:t>Procuradoria</w:t>
      </w:r>
      <w:r>
        <w:rPr>
          <w:spacing w:val="28"/>
          <w:sz w:val="20"/>
        </w:rPr>
        <w:t xml:space="preserve"> </w:t>
      </w:r>
      <w:r>
        <w:rPr>
          <w:sz w:val="20"/>
        </w:rPr>
        <w:t>Geral</w:t>
      </w:r>
      <w:r>
        <w:rPr>
          <w:spacing w:val="26"/>
          <w:sz w:val="20"/>
        </w:rPr>
        <w:t xml:space="preserve"> </w:t>
      </w:r>
      <w:r>
        <w:rPr>
          <w:sz w:val="20"/>
        </w:rPr>
        <w:t>do</w:t>
      </w:r>
      <w:r>
        <w:rPr>
          <w:spacing w:val="28"/>
          <w:sz w:val="20"/>
        </w:rPr>
        <w:t xml:space="preserve"> </w:t>
      </w:r>
      <w:r>
        <w:rPr>
          <w:sz w:val="20"/>
        </w:rPr>
        <w:t>Município</w:t>
      </w:r>
      <w:r>
        <w:rPr>
          <w:spacing w:val="28"/>
          <w:sz w:val="20"/>
        </w:rPr>
        <w:t xml:space="preserve"> </w:t>
      </w:r>
      <w:r>
        <w:rPr>
          <w:sz w:val="20"/>
        </w:rPr>
        <w:t>de</w:t>
      </w:r>
      <w:r>
        <w:rPr>
          <w:spacing w:val="34"/>
          <w:sz w:val="20"/>
        </w:rPr>
        <w:t xml:space="preserve"> </w:t>
      </w:r>
      <w:r>
        <w:rPr>
          <w:sz w:val="20"/>
        </w:rPr>
        <w:t>São</w:t>
      </w:r>
      <w:r>
        <w:rPr>
          <w:spacing w:val="28"/>
          <w:sz w:val="20"/>
        </w:rPr>
        <w:t xml:space="preserve"> </w:t>
      </w:r>
      <w:r>
        <w:rPr>
          <w:sz w:val="20"/>
        </w:rPr>
        <w:t>Paulo, alocada na Casa Civil/Assessoria Técnico-Legislativa – CC/ATL</w:t>
      </w:r>
      <w:r>
        <w:rPr>
          <w:spacing w:val="80"/>
          <w:sz w:val="20"/>
        </w:rPr>
        <w:t xml:space="preserve"> </w:t>
      </w:r>
      <w:r>
        <w:rPr>
          <w:sz w:val="20"/>
        </w:rPr>
        <w:t xml:space="preserve">(2022-2025). Email: </w:t>
      </w:r>
      <w:hyperlink r:id="rId220">
        <w:r>
          <w:rPr>
            <w:color w:val="0000FF"/>
            <w:sz w:val="20"/>
            <w:u w:val="single" w:color="0000FF"/>
          </w:rPr>
          <w:t>rentemr@gmail.com</w:t>
        </w:r>
      </w:hyperlink>
    </w:p>
    <w:p w:rsidR="007259F2" w:rsidRDefault="00E655B4">
      <w:pPr>
        <w:ind w:left="710"/>
        <w:rPr>
          <w:sz w:val="20"/>
        </w:rPr>
      </w:pPr>
      <w:r>
        <w:rPr>
          <w:sz w:val="20"/>
          <w:vertAlign w:val="superscript"/>
        </w:rPr>
        <w:t>2</w:t>
      </w:r>
      <w:r>
        <w:rPr>
          <w:spacing w:val="-1"/>
          <w:sz w:val="20"/>
        </w:rPr>
        <w:t xml:space="preserve"> </w:t>
      </w:r>
      <w:hyperlink r:id="rId221">
        <w:r>
          <w:rPr>
            <w:color w:val="0000FF"/>
            <w:spacing w:val="-2"/>
            <w:sz w:val="20"/>
            <w:u w:val="single" w:color="0000FF"/>
          </w:rPr>
          <w:t>https://legislacao.prefeitura.sp.gov.br/</w:t>
        </w:r>
      </w:hyperlink>
    </w:p>
    <w:p w:rsidR="007259F2" w:rsidRDefault="007259F2">
      <w:pPr>
        <w:rPr>
          <w:sz w:val="20"/>
        </w:rPr>
        <w:sectPr w:rsidR="007259F2">
          <w:pgSz w:w="11910" w:h="16840"/>
          <w:pgMar w:top="1620" w:right="708" w:bottom="1020" w:left="992" w:header="0" w:footer="820" w:gutter="0"/>
          <w:cols w:space="720"/>
        </w:sectPr>
      </w:pPr>
    </w:p>
    <w:p w:rsidR="007259F2" w:rsidRDefault="00E655B4">
      <w:pPr>
        <w:pStyle w:val="Heading2"/>
        <w:numPr>
          <w:ilvl w:val="0"/>
          <w:numId w:val="20"/>
        </w:numPr>
        <w:tabs>
          <w:tab w:val="left" w:pos="930"/>
        </w:tabs>
        <w:spacing w:before="60"/>
        <w:jc w:val="left"/>
      </w:pPr>
      <w:r>
        <w:rPr>
          <w:spacing w:val="-2"/>
        </w:rPr>
        <w:lastRenderedPageBreak/>
        <w:t>Introdução</w:t>
      </w:r>
    </w:p>
    <w:p w:rsidR="007259F2" w:rsidRDefault="007259F2">
      <w:pPr>
        <w:pStyle w:val="Corpodetexto"/>
        <w:spacing w:before="42"/>
        <w:ind w:left="0" w:firstLine="0"/>
        <w:jc w:val="left"/>
        <w:rPr>
          <w:b/>
          <w:sz w:val="20"/>
        </w:rPr>
      </w:pPr>
    </w:p>
    <w:p w:rsidR="007259F2" w:rsidRDefault="00E655B4">
      <w:pPr>
        <w:spacing w:before="1"/>
        <w:ind w:left="4680" w:right="425"/>
        <w:jc w:val="both"/>
        <w:rPr>
          <w:i/>
          <w:sz w:val="20"/>
        </w:rPr>
      </w:pPr>
      <w:r>
        <w:rPr>
          <w:i/>
          <w:sz w:val="20"/>
        </w:rPr>
        <w:t>Era, ainda, a primeira vez que se confiava a redação de um código civil, seara até aqui exclusiva de jurisperitos, ao tribunal singular de um linguista”.</w:t>
      </w:r>
      <w:r>
        <w:rPr>
          <w:i/>
          <w:sz w:val="20"/>
          <w:vertAlign w:val="superscript"/>
        </w:rPr>
        <w:t>3</w:t>
      </w:r>
    </w:p>
    <w:p w:rsidR="007259F2" w:rsidRDefault="007259F2">
      <w:pPr>
        <w:pStyle w:val="Corpodetexto"/>
        <w:spacing w:before="43"/>
        <w:ind w:left="0" w:firstLine="0"/>
        <w:jc w:val="left"/>
        <w:rPr>
          <w:i/>
          <w:sz w:val="20"/>
        </w:rPr>
      </w:pPr>
    </w:p>
    <w:p w:rsidR="007259F2" w:rsidRDefault="00E655B4">
      <w:pPr>
        <w:pStyle w:val="Corpodetexto"/>
        <w:ind w:left="1478" w:firstLine="0"/>
      </w:pPr>
      <w:r>
        <w:t>“Ok,</w:t>
      </w:r>
      <w:r>
        <w:rPr>
          <w:spacing w:val="-5"/>
        </w:rPr>
        <w:t xml:space="preserve"> </w:t>
      </w:r>
      <w:r>
        <w:rPr>
          <w:i/>
        </w:rPr>
        <w:t>google</w:t>
      </w:r>
      <w:r>
        <w:t>:</w:t>
      </w:r>
      <w:r>
        <w:rPr>
          <w:spacing w:val="-3"/>
        </w:rPr>
        <w:t xml:space="preserve"> </w:t>
      </w:r>
      <w:r>
        <w:t>como</w:t>
      </w:r>
      <w:r>
        <w:rPr>
          <w:spacing w:val="1"/>
        </w:rPr>
        <w:t xml:space="preserve"> </w:t>
      </w:r>
      <w:r>
        <w:t>são</w:t>
      </w:r>
      <w:r>
        <w:rPr>
          <w:spacing w:val="-4"/>
        </w:rPr>
        <w:t xml:space="preserve"> </w:t>
      </w:r>
      <w:r>
        <w:t>elaboradas</w:t>
      </w:r>
      <w:r>
        <w:rPr>
          <w:spacing w:val="-3"/>
        </w:rPr>
        <w:t xml:space="preserve"> </w:t>
      </w:r>
      <w:r>
        <w:t>as</w:t>
      </w:r>
      <w:r>
        <w:rPr>
          <w:spacing w:val="-1"/>
        </w:rPr>
        <w:t xml:space="preserve"> </w:t>
      </w:r>
      <w:r>
        <w:rPr>
          <w:spacing w:val="-2"/>
        </w:rPr>
        <w:t>leis?”</w:t>
      </w:r>
    </w:p>
    <w:p w:rsidR="007259F2" w:rsidRDefault="00E655B4">
      <w:pPr>
        <w:pStyle w:val="Corpodetexto"/>
        <w:ind w:right="423"/>
      </w:pPr>
      <w:r>
        <w:t xml:space="preserve">Pode-se apostar, quase a totalidade das respostas do </w:t>
      </w:r>
      <w:r>
        <w:rPr>
          <w:i/>
        </w:rPr>
        <w:t>Google Assistent</w:t>
      </w:r>
      <w:r>
        <w:t>, assistente de</w:t>
      </w:r>
      <w:r>
        <w:rPr>
          <w:spacing w:val="40"/>
        </w:rPr>
        <w:t xml:space="preserve"> </w:t>
      </w:r>
      <w:r>
        <w:t xml:space="preserve">voz da famosa multiplataforma de pesquisa digital, estará atrelada às etapas do processo </w:t>
      </w:r>
      <w:r>
        <w:rPr>
          <w:spacing w:val="-2"/>
        </w:rPr>
        <w:t>legislativo.</w:t>
      </w:r>
    </w:p>
    <w:p w:rsidR="007259F2" w:rsidRDefault="00E655B4">
      <w:pPr>
        <w:pStyle w:val="Corpodetexto"/>
        <w:ind w:right="425"/>
      </w:pPr>
      <w:r>
        <w:t>E mais,</w:t>
      </w:r>
      <w:r>
        <w:rPr>
          <w:spacing w:val="40"/>
        </w:rPr>
        <w:t xml:space="preserve"> </w:t>
      </w:r>
      <w:r>
        <w:t>nos cinco</w:t>
      </w:r>
      <w:r>
        <w:rPr>
          <w:spacing w:val="40"/>
        </w:rPr>
        <w:t xml:space="preserve"> </w:t>
      </w:r>
      <w:r>
        <w:t>anos da Faculdade de Direito, estuda-se,</w:t>
      </w:r>
      <w:r>
        <w:rPr>
          <w:spacing w:val="40"/>
        </w:rPr>
        <w:t xml:space="preserve"> </w:t>
      </w:r>
      <w:r>
        <w:rPr>
          <w:i/>
        </w:rPr>
        <w:t xml:space="preserve">en passant, </w:t>
      </w:r>
      <w:r>
        <w:t>apenas sobre as fases da criação de leis, ou seja, fases preliminar, constitutiva e complementar.</w:t>
      </w:r>
      <w:r>
        <w:rPr>
          <w:vertAlign w:val="superscript"/>
        </w:rPr>
        <w:t>4</w:t>
      </w:r>
    </w:p>
    <w:p w:rsidR="007259F2" w:rsidRDefault="00E655B4">
      <w:pPr>
        <w:pStyle w:val="Corpodetexto"/>
        <w:spacing w:before="1"/>
        <w:ind w:right="423"/>
        <w:rPr>
          <w:i/>
        </w:rPr>
      </w:pPr>
      <w:r>
        <w:t xml:space="preserve">Em outros termos, por conta do modo como o processo legislativo é apresentado (e pouco estudado), parece existir apenas uma abordagem possível à indagação de </w:t>
      </w:r>
      <w:r>
        <w:rPr>
          <w:i/>
        </w:rPr>
        <w:t>como são feitas as leis?</w:t>
      </w:r>
    </w:p>
    <w:p w:rsidR="007259F2" w:rsidRDefault="00E655B4">
      <w:pPr>
        <w:pStyle w:val="Corpodetexto"/>
        <w:ind w:right="423"/>
      </w:pPr>
      <w:r>
        <w:t xml:space="preserve">Ocorre que há, no estudo da elaboração das leis, outros vieses a serem observados. </w:t>
      </w:r>
      <w:r>
        <w:rPr>
          <w:i/>
        </w:rPr>
        <w:t>Como são feitas as leis?</w:t>
      </w:r>
      <w:r>
        <w:t>, evidentemente, refere-se ao seu modo de tramitação, mas o entendimento de como se escreve uma lei, de quem é o responsável por sua redação, de quais termos devem/não devem constar em uma norma etc é primordial.</w:t>
      </w:r>
    </w:p>
    <w:p w:rsidR="007259F2" w:rsidRDefault="00E655B4">
      <w:pPr>
        <w:pStyle w:val="Corpodetexto"/>
        <w:ind w:right="422"/>
      </w:pPr>
      <w:r>
        <w:t xml:space="preserve">A priori, o conhecimento acerca da importância da Legística formal parece restrito às monografias dos cursos de especialização em processo legislativo, às dissertações de mestrado, às teses de doutorado e aos (valorosos) profissionais das assessorias técnicas e </w:t>
      </w:r>
      <w:r>
        <w:rPr>
          <w:spacing w:val="-2"/>
        </w:rPr>
        <w:t>legislativas.</w:t>
      </w:r>
    </w:p>
    <w:p w:rsidR="007259F2" w:rsidRDefault="00E655B4">
      <w:pPr>
        <w:pStyle w:val="Corpodetexto"/>
        <w:ind w:right="428"/>
      </w:pPr>
      <w:r>
        <w:t>Fazendo referência a Carlos Blanco de Morais, Rizek Jr. (2009) assevera, com razão, que a temática ainda é “quase virgem”.</w:t>
      </w:r>
      <w:r>
        <w:rPr>
          <w:vertAlign w:val="superscript"/>
        </w:rPr>
        <w:t>5</w:t>
      </w:r>
    </w:p>
    <w:p w:rsidR="007259F2" w:rsidRDefault="00E655B4">
      <w:pPr>
        <w:pStyle w:val="Corpodetexto"/>
        <w:spacing w:before="1"/>
        <w:ind w:right="425"/>
      </w:pPr>
      <w:r>
        <w:t>Logo, como se nota, a primeira tarefa é quebrar esse círculo vicioso e expandir a compreensão de ramo tão caro.</w:t>
      </w:r>
    </w:p>
    <w:p w:rsidR="007259F2" w:rsidRDefault="00E655B4">
      <w:pPr>
        <w:pStyle w:val="Corpodetexto"/>
        <w:ind w:right="428"/>
      </w:pPr>
      <w:r>
        <w:t>Ao adentrar à referida seara, qual seja a análise das técnicas de elaboração e redação das leis, fica patente a imprescindibilidade de uma abordagem linguística do Direito. E aí mora outro “problema”.</w:t>
      </w:r>
    </w:p>
    <w:p w:rsidR="007259F2" w:rsidRDefault="00E655B4">
      <w:pPr>
        <w:pStyle w:val="Corpodetexto"/>
        <w:ind w:right="419"/>
      </w:pPr>
      <w:r>
        <w:t>O Direito não é SOMENTE um fenômeno linguístico, por suposto. E, por isso, parece haver relutância de certos grupos em fazer uso de subsídios advindos diretamente da Linguística para analisá-lo. Ousa-se pontuar, inclusive, que o (pretenso) desinteresse no</w:t>
      </w:r>
      <w:r>
        <w:rPr>
          <w:spacing w:val="40"/>
        </w:rPr>
        <w:t xml:space="preserve"> </w:t>
      </w:r>
      <w:r>
        <w:t xml:space="preserve">estudo de algumas das propedêuticas esteja atrelado a essa falta de intimidade com a </w:t>
      </w:r>
      <w:r>
        <w:rPr>
          <w:spacing w:val="-2"/>
        </w:rPr>
        <w:t>Linguística.</w:t>
      </w:r>
    </w:p>
    <w:p w:rsidR="007259F2" w:rsidRDefault="007259F2">
      <w:pPr>
        <w:pStyle w:val="Corpodetexto"/>
        <w:ind w:left="0" w:firstLine="0"/>
        <w:jc w:val="left"/>
        <w:rPr>
          <w:sz w:val="20"/>
        </w:rPr>
      </w:pPr>
    </w:p>
    <w:p w:rsidR="007259F2" w:rsidRDefault="00DE6B1C">
      <w:pPr>
        <w:pStyle w:val="Corpodetexto"/>
        <w:spacing w:before="170"/>
        <w:ind w:left="0" w:firstLine="0"/>
        <w:jc w:val="left"/>
        <w:rPr>
          <w:sz w:val="20"/>
        </w:rPr>
      </w:pPr>
      <w:r w:rsidRPr="00DE6B1C">
        <w:rPr>
          <w:sz w:val="20"/>
        </w:rPr>
        <w:pict>
          <v:rect id="docshape162" o:spid="_x0000_s1065" style="position:absolute;margin-left:85.1pt;margin-top:21.2pt;width:2in;height:.7pt;z-index:-15655936;mso-wrap-distance-left:0;mso-wrap-distance-right:0;mso-position-horizontal-relative:page" fillcolor="black" stroked="f">
            <w10:wrap type="topAndBottom" anchorx="page"/>
          </v:rect>
        </w:pict>
      </w:r>
    </w:p>
    <w:p w:rsidR="007259F2" w:rsidRDefault="00E655B4">
      <w:pPr>
        <w:spacing w:before="96"/>
        <w:ind w:left="710" w:right="420"/>
        <w:jc w:val="both"/>
        <w:rPr>
          <w:sz w:val="20"/>
        </w:rPr>
      </w:pPr>
      <w:r>
        <w:rPr>
          <w:sz w:val="20"/>
          <w:vertAlign w:val="superscript"/>
        </w:rPr>
        <w:t>3</w:t>
      </w:r>
      <w:r>
        <w:rPr>
          <w:sz w:val="20"/>
        </w:rPr>
        <w:t xml:space="preserve"> No artigo “Problema de técnica legislativa”, Leal (1945) faz a seguinte referência à participação de um</w:t>
      </w:r>
      <w:r>
        <w:rPr>
          <w:spacing w:val="40"/>
          <w:sz w:val="20"/>
        </w:rPr>
        <w:t xml:space="preserve"> </w:t>
      </w:r>
      <w:r>
        <w:rPr>
          <w:sz w:val="20"/>
        </w:rPr>
        <w:t>linguista na elaboração do projeto do Código Civil Brasileiro: “</w:t>
      </w:r>
      <w:r>
        <w:rPr>
          <w:rFonts w:ascii="Calibri" w:hAnsi="Calibri"/>
        </w:rPr>
        <w:t xml:space="preserve">[...] </w:t>
      </w:r>
      <w:r>
        <w:rPr>
          <w:sz w:val="20"/>
        </w:rPr>
        <w:t>Na elaboração dos nossos recentes códigos pediu</w:t>
      </w:r>
      <w:r>
        <w:rPr>
          <w:spacing w:val="-1"/>
          <w:sz w:val="20"/>
        </w:rPr>
        <w:t xml:space="preserve"> </w:t>
      </w:r>
      <w:r>
        <w:rPr>
          <w:sz w:val="20"/>
        </w:rPr>
        <w:t>o governo, como é sabido, as sugestões do Sr. Agar Renault, que acompanhou</w:t>
      </w:r>
      <w:r>
        <w:rPr>
          <w:spacing w:val="-3"/>
          <w:sz w:val="20"/>
        </w:rPr>
        <w:t xml:space="preserve"> </w:t>
      </w:r>
      <w:r>
        <w:rPr>
          <w:sz w:val="20"/>
        </w:rPr>
        <w:t>os</w:t>
      </w:r>
      <w:r>
        <w:rPr>
          <w:spacing w:val="-1"/>
          <w:sz w:val="20"/>
        </w:rPr>
        <w:t xml:space="preserve"> </w:t>
      </w:r>
      <w:r>
        <w:rPr>
          <w:sz w:val="20"/>
        </w:rPr>
        <w:t>trabalhos</w:t>
      </w:r>
      <w:r>
        <w:rPr>
          <w:spacing w:val="-3"/>
          <w:sz w:val="20"/>
        </w:rPr>
        <w:t xml:space="preserve"> </w:t>
      </w:r>
      <w:r>
        <w:rPr>
          <w:sz w:val="20"/>
        </w:rPr>
        <w:t>de</w:t>
      </w:r>
      <w:r>
        <w:rPr>
          <w:spacing w:val="-2"/>
          <w:sz w:val="20"/>
        </w:rPr>
        <w:t xml:space="preserve"> </w:t>
      </w:r>
      <w:r>
        <w:rPr>
          <w:sz w:val="20"/>
        </w:rPr>
        <w:t>revisão final dos projetos. Da comissão que se incumbiu da última redação do atual código de processo civil italiano também participou um filólogo, cuja atuação foi muito louvada pelo prof. Calamandrei, igualmente membro daquela comissão. A necessidade dessa espécie de colaboração é hoje tão evidente que dificilmente alguém subscreveria agora estas palavras em que Rui Barbosa, na Réplica, estranhou a intervenção do prof. Carneiro Ribeiro na revisão do projeto do Código Civil Brasileiro: ‘Era a primeira vez que se descontinuava a lucubração</w:t>
      </w:r>
      <w:r>
        <w:rPr>
          <w:spacing w:val="40"/>
          <w:sz w:val="20"/>
        </w:rPr>
        <w:t xml:space="preserve"> </w:t>
      </w:r>
      <w:r>
        <w:rPr>
          <w:sz w:val="20"/>
        </w:rPr>
        <w:t>parlamentar de uma lei, para se entregar fora da assembleia onde se estivesse fazendo ao arbitramento literário</w:t>
      </w:r>
      <w:r>
        <w:rPr>
          <w:spacing w:val="80"/>
          <w:sz w:val="20"/>
        </w:rPr>
        <w:t xml:space="preserve"> </w:t>
      </w:r>
      <w:r>
        <w:rPr>
          <w:sz w:val="20"/>
        </w:rPr>
        <w:t>de estranhos. Era, ainda, a primeira vez que se confiava a redação de</w:t>
      </w:r>
      <w:r>
        <w:rPr>
          <w:spacing w:val="-2"/>
          <w:sz w:val="20"/>
        </w:rPr>
        <w:t xml:space="preserve"> </w:t>
      </w:r>
      <w:r>
        <w:rPr>
          <w:sz w:val="20"/>
        </w:rPr>
        <w:t>um</w:t>
      </w:r>
      <w:r>
        <w:rPr>
          <w:spacing w:val="-4"/>
          <w:sz w:val="20"/>
        </w:rPr>
        <w:t xml:space="preserve"> </w:t>
      </w:r>
      <w:r>
        <w:rPr>
          <w:sz w:val="20"/>
        </w:rPr>
        <w:t>código civil, seara até aqui exclusiva de jurisperitos, ao tribunal singular de um linguista’”.</w:t>
      </w:r>
    </w:p>
    <w:p w:rsidR="007259F2" w:rsidRDefault="00E655B4">
      <w:pPr>
        <w:ind w:left="710" w:right="425"/>
        <w:jc w:val="both"/>
        <w:rPr>
          <w:sz w:val="20"/>
        </w:rPr>
      </w:pPr>
      <w:r>
        <w:rPr>
          <w:sz w:val="20"/>
          <w:vertAlign w:val="superscript"/>
        </w:rPr>
        <w:t>4</w:t>
      </w:r>
      <w:r>
        <w:rPr>
          <w:sz w:val="20"/>
        </w:rPr>
        <w:t xml:space="preserve"> Na obra “Técnica legislativa como arte de redigir leis” (LEAL, 1985), há a seguinte menção à ausência do ensino de técnica legislativa nas Universidades: “É indispensável a boa feitura e redação dos textos legais. No país, não existe nenhuma cátedra especial nas Faculdades de Direito sobre técnica legislativa, nem mesmo capítulo sobre tão importante matéria nas cátedras de Direito Civil e de Introdução à Ciência do Direito.”</w:t>
      </w:r>
    </w:p>
    <w:p w:rsidR="007259F2" w:rsidRDefault="00E655B4">
      <w:pPr>
        <w:spacing w:before="2"/>
        <w:ind w:left="710"/>
        <w:rPr>
          <w:sz w:val="20"/>
        </w:rPr>
      </w:pPr>
      <w:r>
        <w:rPr>
          <w:sz w:val="20"/>
          <w:vertAlign w:val="superscript"/>
        </w:rPr>
        <w:t>5</w:t>
      </w:r>
      <w:r>
        <w:rPr>
          <w:spacing w:val="-5"/>
          <w:sz w:val="20"/>
        </w:rPr>
        <w:t xml:space="preserve"> </w:t>
      </w:r>
      <w:r>
        <w:rPr>
          <w:sz w:val="20"/>
        </w:rPr>
        <w:t>MORAIS,</w:t>
      </w:r>
      <w:r>
        <w:rPr>
          <w:spacing w:val="-5"/>
          <w:sz w:val="20"/>
        </w:rPr>
        <w:t xml:space="preserve"> </w:t>
      </w:r>
      <w:r>
        <w:rPr>
          <w:sz w:val="20"/>
        </w:rPr>
        <w:t>2007</w:t>
      </w:r>
      <w:r>
        <w:rPr>
          <w:spacing w:val="-2"/>
          <w:sz w:val="20"/>
        </w:rPr>
        <w:t xml:space="preserve"> </w:t>
      </w:r>
      <w:r>
        <w:rPr>
          <w:i/>
          <w:sz w:val="20"/>
        </w:rPr>
        <w:t>apud</w:t>
      </w:r>
      <w:r>
        <w:rPr>
          <w:i/>
          <w:spacing w:val="-3"/>
          <w:sz w:val="20"/>
        </w:rPr>
        <w:t xml:space="preserve"> </w:t>
      </w:r>
      <w:r>
        <w:rPr>
          <w:sz w:val="20"/>
        </w:rPr>
        <w:t>RIZEK</w:t>
      </w:r>
      <w:r>
        <w:rPr>
          <w:spacing w:val="-5"/>
          <w:sz w:val="20"/>
        </w:rPr>
        <w:t xml:space="preserve"> </w:t>
      </w:r>
      <w:r>
        <w:rPr>
          <w:sz w:val="20"/>
        </w:rPr>
        <w:t>JR.,</w:t>
      </w:r>
      <w:r>
        <w:rPr>
          <w:spacing w:val="-4"/>
          <w:sz w:val="20"/>
        </w:rPr>
        <w:t xml:space="preserve"> 2009.</w:t>
      </w:r>
    </w:p>
    <w:p w:rsidR="007259F2" w:rsidRDefault="007259F2">
      <w:pPr>
        <w:rPr>
          <w:sz w:val="20"/>
        </w:rPr>
        <w:sectPr w:rsidR="007259F2">
          <w:pgSz w:w="11910" w:h="16840"/>
          <w:pgMar w:top="1620" w:right="708" w:bottom="1020" w:left="992" w:header="0" w:footer="820" w:gutter="0"/>
          <w:cols w:space="720"/>
        </w:sectPr>
      </w:pPr>
    </w:p>
    <w:p w:rsidR="007259F2" w:rsidRDefault="00E655B4">
      <w:pPr>
        <w:pStyle w:val="Corpodetexto"/>
        <w:spacing w:before="75"/>
        <w:ind w:right="423"/>
      </w:pPr>
      <w:r>
        <w:lastRenderedPageBreak/>
        <w:t xml:space="preserve">Em seu artigo “Problemas de técnica legislativa”, Vitor Nunes Leal conta, (quase) em forma de anedota, o espanto do brilhante Rui Barbosa ao ser informado de que a redação do Código Civil Brasileiro seria passada pelo escrutínio, não de um jurisperito, mas, sim, de um </w:t>
      </w:r>
      <w:r>
        <w:rPr>
          <w:spacing w:val="-2"/>
        </w:rPr>
        <w:t>linguista.</w:t>
      </w:r>
      <w:r>
        <w:rPr>
          <w:spacing w:val="-2"/>
          <w:vertAlign w:val="superscript"/>
        </w:rPr>
        <w:t>6</w:t>
      </w:r>
    </w:p>
    <w:p w:rsidR="007259F2" w:rsidRDefault="00E655B4">
      <w:pPr>
        <w:pStyle w:val="Corpodetexto"/>
        <w:ind w:left="1418" w:firstLine="0"/>
      </w:pPr>
      <w:r>
        <w:t>Vê-se,</w:t>
      </w:r>
      <w:r>
        <w:rPr>
          <w:spacing w:val="-2"/>
        </w:rPr>
        <w:t xml:space="preserve"> </w:t>
      </w:r>
      <w:r>
        <w:t>embora</w:t>
      </w:r>
      <w:r>
        <w:rPr>
          <w:spacing w:val="-1"/>
        </w:rPr>
        <w:t xml:space="preserve"> </w:t>
      </w:r>
      <w:r>
        <w:t>gradativamente</w:t>
      </w:r>
      <w:r>
        <w:rPr>
          <w:spacing w:val="-2"/>
        </w:rPr>
        <w:t xml:space="preserve"> </w:t>
      </w:r>
      <w:r>
        <w:t>venha</w:t>
      </w:r>
      <w:r>
        <w:rPr>
          <w:spacing w:val="-3"/>
        </w:rPr>
        <w:t xml:space="preserve"> </w:t>
      </w:r>
      <w:r>
        <w:t>diminuindo,</w:t>
      </w:r>
      <w:r>
        <w:rPr>
          <w:spacing w:val="-1"/>
        </w:rPr>
        <w:t xml:space="preserve"> </w:t>
      </w:r>
      <w:r>
        <w:t>essa</w:t>
      </w:r>
      <w:r>
        <w:rPr>
          <w:spacing w:val="-1"/>
        </w:rPr>
        <w:t xml:space="preserve"> </w:t>
      </w:r>
      <w:r>
        <w:t>hesitação</w:t>
      </w:r>
      <w:r>
        <w:rPr>
          <w:spacing w:val="-2"/>
        </w:rPr>
        <w:t xml:space="preserve"> </w:t>
      </w:r>
      <w:r>
        <w:t>existe</w:t>
      </w:r>
      <w:r>
        <w:rPr>
          <w:spacing w:val="-2"/>
        </w:rPr>
        <w:t xml:space="preserve"> </w:t>
      </w:r>
      <w:r>
        <w:t>há</w:t>
      </w:r>
      <w:r>
        <w:rPr>
          <w:spacing w:val="3"/>
        </w:rPr>
        <w:t xml:space="preserve"> </w:t>
      </w:r>
      <w:r>
        <w:rPr>
          <w:spacing w:val="-2"/>
        </w:rPr>
        <w:t>tempos.</w:t>
      </w:r>
    </w:p>
    <w:p w:rsidR="007259F2" w:rsidRDefault="00E655B4">
      <w:pPr>
        <w:pStyle w:val="Corpodetexto"/>
        <w:ind w:right="422"/>
      </w:pPr>
      <w:r>
        <w:t>A questão é que o raso diálogo entre o Direito e a Linguística, sobretudo no que tange às escolhas do redator normativo, causa sérios danos, afinal, como assevera Streck (2014), “o Direito brasileiro vem sofrendo os influxos de seus predadores exógenos (política, moral e economia) através do desrespeito com os limites semânticos dos textos jurídicos”.</w:t>
      </w:r>
      <w:r>
        <w:rPr>
          <w:vertAlign w:val="superscript"/>
        </w:rPr>
        <w:t>7</w:t>
      </w:r>
    </w:p>
    <w:p w:rsidR="007259F2" w:rsidRDefault="00E655B4">
      <w:pPr>
        <w:pStyle w:val="Corpodetexto"/>
        <w:ind w:right="423"/>
      </w:pPr>
      <w:r>
        <w:t>Claro, não se olvidam os excelentes trabalhos atrelados à (boa) redação do texto jurídico, mas, como aponta Maciel</w:t>
      </w:r>
      <w:r>
        <w:rPr>
          <w:spacing w:val="-3"/>
        </w:rPr>
        <w:t xml:space="preserve"> </w:t>
      </w:r>
      <w:r>
        <w:t>(2001), de</w:t>
      </w:r>
      <w:r>
        <w:rPr>
          <w:spacing w:val="-2"/>
        </w:rPr>
        <w:t xml:space="preserve"> </w:t>
      </w:r>
      <w:r>
        <w:t>maneira geral, são</w:t>
      </w:r>
      <w:r>
        <w:rPr>
          <w:spacing w:val="-1"/>
        </w:rPr>
        <w:t xml:space="preserve"> </w:t>
      </w:r>
      <w:r>
        <w:t>obras voltadas à solução dos erros mais frequentes relacionados à ortografia e à sintaxe.</w:t>
      </w:r>
      <w:r>
        <w:rPr>
          <w:vertAlign w:val="superscript"/>
        </w:rPr>
        <w:t>8</w:t>
      </w:r>
    </w:p>
    <w:p w:rsidR="007259F2" w:rsidRDefault="00E655B4">
      <w:pPr>
        <w:pStyle w:val="Corpodetexto"/>
        <w:spacing w:before="1"/>
        <w:ind w:right="423"/>
      </w:pPr>
      <w:r>
        <w:t xml:space="preserve">É preciso mencionar que há alguns (importantíssimos) estudos acerca dos limites da semântica e sua importância, mas com uma abordagem totalmente voltada à análise </w:t>
      </w:r>
      <w:r>
        <w:rPr>
          <w:spacing w:val="-2"/>
        </w:rPr>
        <w:t>hermenêutica.</w:t>
      </w:r>
    </w:p>
    <w:p w:rsidR="007259F2" w:rsidRDefault="00E655B4">
      <w:pPr>
        <w:pStyle w:val="Corpodetexto"/>
        <w:ind w:right="420"/>
      </w:pPr>
      <w:r>
        <w:t>No</w:t>
      </w:r>
      <w:r>
        <w:rPr>
          <w:spacing w:val="-2"/>
        </w:rPr>
        <w:t xml:space="preserve"> </w:t>
      </w:r>
      <w:r>
        <w:t>que</w:t>
      </w:r>
      <w:r>
        <w:rPr>
          <w:spacing w:val="-2"/>
        </w:rPr>
        <w:t xml:space="preserve"> </w:t>
      </w:r>
      <w:r>
        <w:t>se</w:t>
      </w:r>
      <w:r>
        <w:rPr>
          <w:spacing w:val="-2"/>
        </w:rPr>
        <w:t xml:space="preserve"> </w:t>
      </w:r>
      <w:r>
        <w:t>refere</w:t>
      </w:r>
      <w:r>
        <w:rPr>
          <w:spacing w:val="-2"/>
        </w:rPr>
        <w:t xml:space="preserve"> </w:t>
      </w:r>
      <w:r>
        <w:t>à</w:t>
      </w:r>
      <w:r>
        <w:rPr>
          <w:spacing w:val="-2"/>
        </w:rPr>
        <w:t xml:space="preserve"> </w:t>
      </w:r>
      <w:r>
        <w:t>técnica</w:t>
      </w:r>
      <w:r>
        <w:rPr>
          <w:spacing w:val="-2"/>
        </w:rPr>
        <w:t xml:space="preserve"> </w:t>
      </w:r>
      <w:r>
        <w:t>legislativa,</w:t>
      </w:r>
      <w:r>
        <w:rPr>
          <w:spacing w:val="-1"/>
        </w:rPr>
        <w:t xml:space="preserve"> </w:t>
      </w:r>
      <w:r>
        <w:t>nos</w:t>
      </w:r>
      <w:r>
        <w:rPr>
          <w:spacing w:val="-1"/>
        </w:rPr>
        <w:t xml:space="preserve"> </w:t>
      </w:r>
      <w:r>
        <w:t>compêndios</w:t>
      </w:r>
      <w:r>
        <w:rPr>
          <w:spacing w:val="-1"/>
        </w:rPr>
        <w:t xml:space="preserve"> </w:t>
      </w:r>
      <w:r>
        <w:t>de</w:t>
      </w:r>
      <w:r>
        <w:rPr>
          <w:spacing w:val="-2"/>
        </w:rPr>
        <w:t xml:space="preserve"> </w:t>
      </w:r>
      <w:r>
        <w:t>redação</w:t>
      </w:r>
      <w:r>
        <w:rPr>
          <w:spacing w:val="-1"/>
        </w:rPr>
        <w:t xml:space="preserve"> </w:t>
      </w:r>
      <w:r>
        <w:t>forense, há</w:t>
      </w:r>
      <w:r>
        <w:rPr>
          <w:spacing w:val="-2"/>
        </w:rPr>
        <w:t xml:space="preserve"> </w:t>
      </w:r>
      <w:r>
        <w:t>sempre</w:t>
      </w:r>
      <w:r>
        <w:rPr>
          <w:spacing w:val="-3"/>
        </w:rPr>
        <w:t xml:space="preserve"> </w:t>
      </w:r>
      <w:r>
        <w:t>o apelo à clareza, concisão e objetividade do texto.</w:t>
      </w:r>
      <w:r>
        <w:rPr>
          <w:vertAlign w:val="superscript"/>
        </w:rPr>
        <w:t>9</w:t>
      </w:r>
      <w:r>
        <w:t xml:space="preserve"> Por vezes, demanda-se “elegância da linguagem”</w:t>
      </w:r>
      <w:r>
        <w:rPr>
          <w:vertAlign w:val="superscript"/>
        </w:rPr>
        <w:t>10</w:t>
      </w:r>
      <w:r>
        <w:t xml:space="preserve"> ao redator normativo.</w:t>
      </w:r>
    </w:p>
    <w:p w:rsidR="007259F2" w:rsidRDefault="00E655B4">
      <w:pPr>
        <w:pStyle w:val="Corpodetexto"/>
        <w:ind w:right="421"/>
      </w:pPr>
      <w:r>
        <w:t>Na obra “Técnica Legislativa - Legística Formal”, Carvalho (2014) cataloga regras para “apresentação formal, material e técnica do emprego dos artigos”.</w:t>
      </w:r>
      <w:r>
        <w:rPr>
          <w:vertAlign w:val="superscript"/>
        </w:rPr>
        <w:t>11</w:t>
      </w:r>
      <w:r>
        <w:t xml:space="preserve"> Na 12ª regra, o referido autor indica que é preferível uma forma menos rebuscada, porém tecnicamente mais correta pela indicação imediata daquilo que o artigo contém. Assim, ao invés de escrever </w:t>
      </w:r>
      <w:r>
        <w:rPr>
          <w:u w:val="single"/>
        </w:rPr>
        <w:t>“extingue-se a presente lei”</w:t>
      </w:r>
      <w:r>
        <w:t>, o redator deve optar pela expressão “</w:t>
      </w:r>
      <w:r>
        <w:rPr>
          <w:u w:val="single"/>
        </w:rPr>
        <w:t>ficam extintos...”.</w:t>
      </w:r>
    </w:p>
    <w:p w:rsidR="007259F2" w:rsidRDefault="00E655B4">
      <w:pPr>
        <w:pStyle w:val="Corpodetexto"/>
        <w:spacing w:before="1"/>
        <w:ind w:right="419"/>
      </w:pPr>
      <w:r>
        <w:t xml:space="preserve">Por exemplo, o excerto da ementa da Lei Municipal nº 17.880, de 30 de dezembro de 2022, da cidade de São Paulo, é: </w:t>
      </w:r>
      <w:r>
        <w:rPr>
          <w:u w:val="single"/>
        </w:rPr>
        <w:t>“Autoriza o Poder Executivo a instituir...”.</w:t>
      </w:r>
      <w:r>
        <w:t xml:space="preserve"> Como é possível inferir, tendo em vista o objetivo da lei, o redator normativo poderia ter escrito o art.1º da seguinte maneira: </w:t>
      </w:r>
      <w:r>
        <w:rPr>
          <w:u w:val="single"/>
        </w:rPr>
        <w:t xml:space="preserve">“Esta Lei autoriza o Poder Executivo a instituir...”. </w:t>
      </w:r>
      <w:r>
        <w:t>No entanto, o redator</w:t>
      </w:r>
      <w:r>
        <w:rPr>
          <w:spacing w:val="40"/>
        </w:rPr>
        <w:t xml:space="preserve"> </w:t>
      </w:r>
      <w:r>
        <w:t>fez outra opção. Quando o redator da Lei Municipal nº 17.880 escolhe a</w:t>
      </w:r>
      <w:r>
        <w:rPr>
          <w:spacing w:val="40"/>
        </w:rPr>
        <w:t xml:space="preserve"> </w:t>
      </w:r>
      <w:r>
        <w:t>seguinte</w:t>
      </w:r>
      <w:r>
        <w:rPr>
          <w:spacing w:val="40"/>
        </w:rPr>
        <w:t xml:space="preserve"> </w:t>
      </w:r>
      <w:r>
        <w:t xml:space="preserve">redação para o artigo 1º: </w:t>
      </w:r>
      <w:r>
        <w:rPr>
          <w:u w:val="single"/>
        </w:rPr>
        <w:t>“Fica o Poder Executivo autorizado a instituir...”</w:t>
      </w:r>
      <w:r>
        <w:t>, aqui, há indícios de que suas escolhas textuais ficaram a cargo das indicações dos autores de obras consagradas, de questões de estilo e de suas intenções.</w:t>
      </w:r>
    </w:p>
    <w:p w:rsidR="007259F2" w:rsidRDefault="007259F2">
      <w:pPr>
        <w:pStyle w:val="Corpodetexto"/>
        <w:ind w:left="0" w:firstLine="0"/>
        <w:jc w:val="left"/>
        <w:rPr>
          <w:sz w:val="20"/>
        </w:rPr>
      </w:pPr>
    </w:p>
    <w:p w:rsidR="007259F2" w:rsidRDefault="00DE6B1C">
      <w:pPr>
        <w:pStyle w:val="Corpodetexto"/>
        <w:spacing w:before="23"/>
        <w:ind w:left="0" w:firstLine="0"/>
        <w:jc w:val="left"/>
        <w:rPr>
          <w:sz w:val="20"/>
        </w:rPr>
      </w:pPr>
      <w:r w:rsidRPr="00DE6B1C">
        <w:rPr>
          <w:sz w:val="20"/>
        </w:rPr>
        <w:pict>
          <v:rect id="docshape163" o:spid="_x0000_s1064" style="position:absolute;margin-left:85.1pt;margin-top:13.9pt;width:2in;height:.7pt;z-index:-15655424;mso-wrap-distance-left:0;mso-wrap-distance-right:0;mso-position-horizontal-relative:page" fillcolor="black" stroked="f">
            <w10:wrap type="topAndBottom" anchorx="page"/>
          </v:rect>
        </w:pict>
      </w:r>
    </w:p>
    <w:p w:rsidR="007259F2" w:rsidRDefault="00E655B4">
      <w:pPr>
        <w:spacing w:before="96"/>
        <w:ind w:left="710" w:right="416"/>
        <w:jc w:val="both"/>
        <w:rPr>
          <w:sz w:val="20"/>
        </w:rPr>
      </w:pPr>
      <w:r>
        <w:rPr>
          <w:sz w:val="20"/>
          <w:vertAlign w:val="superscript"/>
        </w:rPr>
        <w:t>6</w:t>
      </w:r>
      <w:r>
        <w:rPr>
          <w:sz w:val="20"/>
        </w:rPr>
        <w:t xml:space="preserve"> LEAL, VITOR</w:t>
      </w:r>
      <w:r>
        <w:rPr>
          <w:spacing w:val="-3"/>
          <w:sz w:val="20"/>
        </w:rPr>
        <w:t xml:space="preserve"> </w:t>
      </w:r>
      <w:r>
        <w:rPr>
          <w:sz w:val="20"/>
        </w:rPr>
        <w:t xml:space="preserve">NUNES. Técnica legislativa como a arte de redigir leis. </w:t>
      </w:r>
      <w:r>
        <w:rPr>
          <w:b/>
          <w:sz w:val="20"/>
        </w:rPr>
        <w:t>Revista de informação legislativa</w:t>
      </w:r>
      <w:r>
        <w:rPr>
          <w:sz w:val="20"/>
        </w:rPr>
        <w:t xml:space="preserve">, v. 23, n. 89, p. 169-198, jan./mar. 1986 | </w:t>
      </w:r>
      <w:r>
        <w:rPr>
          <w:b/>
          <w:sz w:val="20"/>
        </w:rPr>
        <w:t>Revista da Faculdade de Direito de Pernambuco</w:t>
      </w:r>
      <w:r>
        <w:rPr>
          <w:sz w:val="20"/>
        </w:rPr>
        <w:t>, v. 1, n. 1, p. 47-78, 1985 |</w:t>
      </w:r>
      <w:r>
        <w:rPr>
          <w:spacing w:val="-4"/>
          <w:sz w:val="20"/>
        </w:rPr>
        <w:t xml:space="preserve"> </w:t>
      </w:r>
      <w:r>
        <w:rPr>
          <w:b/>
          <w:sz w:val="20"/>
        </w:rPr>
        <w:t>Revista da Academia Brasileira de Letras Jurídicas</w:t>
      </w:r>
      <w:r>
        <w:rPr>
          <w:sz w:val="20"/>
        </w:rPr>
        <w:t>, v. 1,</w:t>
      </w:r>
      <w:r>
        <w:rPr>
          <w:spacing w:val="-2"/>
          <w:sz w:val="20"/>
        </w:rPr>
        <w:t xml:space="preserve"> </w:t>
      </w:r>
      <w:r>
        <w:rPr>
          <w:sz w:val="20"/>
        </w:rPr>
        <w:t>n. 1, p. 222-255, jan. /jun. 1985.</w:t>
      </w:r>
    </w:p>
    <w:p w:rsidR="007259F2" w:rsidRDefault="00E655B4">
      <w:pPr>
        <w:ind w:left="710" w:right="425"/>
        <w:jc w:val="both"/>
        <w:rPr>
          <w:sz w:val="20"/>
        </w:rPr>
      </w:pPr>
      <w:r>
        <w:rPr>
          <w:sz w:val="20"/>
          <w:vertAlign w:val="superscript"/>
        </w:rPr>
        <w:t>7</w:t>
      </w:r>
      <w:r>
        <w:rPr>
          <w:sz w:val="20"/>
        </w:rPr>
        <w:t xml:space="preserve"> STRECK, L.L. Os limites semânticos e sua importância na e</w:t>
      </w:r>
      <w:r>
        <w:rPr>
          <w:spacing w:val="-5"/>
          <w:sz w:val="20"/>
        </w:rPr>
        <w:t xml:space="preserve"> </w:t>
      </w:r>
      <w:r>
        <w:rPr>
          <w:sz w:val="20"/>
        </w:rPr>
        <w:t xml:space="preserve">para a democracia. </w:t>
      </w:r>
      <w:r>
        <w:rPr>
          <w:b/>
          <w:sz w:val="20"/>
        </w:rPr>
        <w:t>Revista da AJURIS</w:t>
      </w:r>
      <w:r>
        <w:rPr>
          <w:sz w:val="20"/>
        </w:rPr>
        <w:t>, v. 41, n. 135, Set. 2014.</w:t>
      </w:r>
    </w:p>
    <w:p w:rsidR="007259F2" w:rsidRDefault="00E655B4">
      <w:pPr>
        <w:ind w:left="710" w:right="421"/>
        <w:jc w:val="both"/>
        <w:rPr>
          <w:sz w:val="20"/>
        </w:rPr>
      </w:pPr>
      <w:r>
        <w:rPr>
          <w:sz w:val="20"/>
          <w:vertAlign w:val="superscript"/>
        </w:rPr>
        <w:t>8</w:t>
      </w:r>
      <w:r>
        <w:rPr>
          <w:sz w:val="20"/>
        </w:rPr>
        <w:t xml:space="preserve"> Maciel (2001) elenca os compêndios de NASCIMENTO, Edmundo Dantes Linguagem forense: a língua portuguesa aplicada á linguagem do foro. São Paulo: Saraiva, 1995;</w:t>
      </w:r>
      <w:r>
        <w:rPr>
          <w:spacing w:val="40"/>
          <w:sz w:val="20"/>
        </w:rPr>
        <w:t xml:space="preserve"> </w:t>
      </w:r>
      <w:r>
        <w:rPr>
          <w:sz w:val="20"/>
        </w:rPr>
        <w:t>HENRIQUES, Antonio; ANDRADE, M. Margarida. (1996) Dicionário de verbos jurídicos. São Paulo: Atlas, 1996; HENRIQUES, Antonio. Prática da linguagem jurídica: solução de dificuldades. Expressões latinas. São Paulo: Atlas, 1998; KASPARY, Adalberto. O Verbo na linguagem jurídica: acepções e regimes. Porto Alegre: Livraria do Advogado, 1996; KASPARY, Adalberto. Habeas verba: português para juristas. Porto Alegre: Livraria do Advogado, 1998 e XAVIER, Ronaldo Caldeira. Português no Direito: linguagem forense. Rio de Janeiro: Editora Forense, 1998.</w:t>
      </w:r>
    </w:p>
    <w:p w:rsidR="007259F2" w:rsidRDefault="00E655B4">
      <w:pPr>
        <w:spacing w:before="1"/>
        <w:ind w:left="710" w:right="426"/>
        <w:jc w:val="both"/>
        <w:rPr>
          <w:sz w:val="20"/>
        </w:rPr>
      </w:pPr>
      <w:r>
        <w:rPr>
          <w:sz w:val="20"/>
          <w:vertAlign w:val="superscript"/>
        </w:rPr>
        <w:t>9</w:t>
      </w:r>
      <w:r>
        <w:rPr>
          <w:sz w:val="20"/>
        </w:rPr>
        <w:t xml:space="preserve"> CARVALHO, G.K. </w:t>
      </w:r>
      <w:r>
        <w:rPr>
          <w:b/>
          <w:sz w:val="20"/>
        </w:rPr>
        <w:t xml:space="preserve">Técnica Legislativa </w:t>
      </w:r>
      <w:r>
        <w:rPr>
          <w:sz w:val="20"/>
        </w:rPr>
        <w:t>(Legística Formal). 6ª ed. rev. atual. e ampl.. Belo Horizonte: Del Rey, 2014.</w:t>
      </w:r>
    </w:p>
    <w:p w:rsidR="007259F2" w:rsidRDefault="00E655B4">
      <w:pPr>
        <w:spacing w:before="1"/>
        <w:ind w:left="710" w:right="421"/>
        <w:jc w:val="both"/>
        <w:rPr>
          <w:sz w:val="20"/>
        </w:rPr>
      </w:pPr>
      <w:r>
        <w:rPr>
          <w:sz w:val="20"/>
          <w:vertAlign w:val="superscript"/>
        </w:rPr>
        <w:t>10</w:t>
      </w:r>
      <w:r>
        <w:rPr>
          <w:sz w:val="20"/>
        </w:rPr>
        <w:t xml:space="preserve"> Em “Problemas de técnica legislativa” (LEAL, 1945), há a seguinte referência ao apelo à elegância da linguagem: “a correção do texto, do ponto de vista filológico, é da maior importância. Nem sempre é o jurista, que faz a lei, um bom conhecedor da língua, nem se lhe exige, para ser um jurista, que tenha estilo elegante e sóbrio. A lei destina-se a ser entendida pelo maior número de pessoas. Há de se, pois, concisa, clara, simples, escrita tanto quanto possível no estilo direto. Se a sua leitura não pode ser agradável (é sempre enfadonho ler</w:t>
      </w:r>
      <w:r>
        <w:rPr>
          <w:spacing w:val="40"/>
          <w:sz w:val="20"/>
        </w:rPr>
        <w:t xml:space="preserve"> </w:t>
      </w:r>
      <w:r>
        <w:rPr>
          <w:sz w:val="20"/>
        </w:rPr>
        <w:t>uma lei), que seja o menos desagradável possível, pela elegância da sua linguagem [...]”.</w:t>
      </w:r>
    </w:p>
    <w:p w:rsidR="007259F2" w:rsidRDefault="00E655B4">
      <w:pPr>
        <w:ind w:left="710"/>
        <w:jc w:val="both"/>
        <w:rPr>
          <w:sz w:val="20"/>
        </w:rPr>
      </w:pPr>
      <w:r>
        <w:rPr>
          <w:sz w:val="20"/>
          <w:vertAlign w:val="superscript"/>
        </w:rPr>
        <w:t>11</w:t>
      </w:r>
      <w:r>
        <w:rPr>
          <w:spacing w:val="-4"/>
          <w:sz w:val="20"/>
        </w:rPr>
        <w:t xml:space="preserve"> </w:t>
      </w:r>
      <w:r>
        <w:rPr>
          <w:sz w:val="20"/>
        </w:rPr>
        <w:t>CARVALHO,</w:t>
      </w:r>
      <w:r>
        <w:rPr>
          <w:spacing w:val="-5"/>
          <w:sz w:val="20"/>
        </w:rPr>
        <w:t xml:space="preserve"> </w:t>
      </w:r>
      <w:r>
        <w:rPr>
          <w:i/>
          <w:sz w:val="20"/>
        </w:rPr>
        <w:t>op.</w:t>
      </w:r>
      <w:r>
        <w:rPr>
          <w:i/>
          <w:spacing w:val="-4"/>
          <w:sz w:val="20"/>
        </w:rPr>
        <w:t xml:space="preserve"> </w:t>
      </w:r>
      <w:r>
        <w:rPr>
          <w:i/>
          <w:sz w:val="20"/>
        </w:rPr>
        <w:t>cit</w:t>
      </w:r>
      <w:r>
        <w:rPr>
          <w:sz w:val="20"/>
        </w:rPr>
        <w:t>.,</w:t>
      </w:r>
      <w:r>
        <w:rPr>
          <w:spacing w:val="-7"/>
          <w:sz w:val="20"/>
        </w:rPr>
        <w:t xml:space="preserve"> </w:t>
      </w:r>
      <w:r>
        <w:rPr>
          <w:sz w:val="20"/>
        </w:rPr>
        <w:t>p.</w:t>
      </w:r>
      <w:r>
        <w:rPr>
          <w:spacing w:val="-9"/>
          <w:sz w:val="20"/>
        </w:rPr>
        <w:t xml:space="preserve"> </w:t>
      </w:r>
      <w:r>
        <w:rPr>
          <w:spacing w:val="-5"/>
          <w:sz w:val="20"/>
        </w:rPr>
        <w:t>159</w:t>
      </w:r>
    </w:p>
    <w:p w:rsidR="007259F2" w:rsidRDefault="007259F2">
      <w:pPr>
        <w:jc w:val="both"/>
        <w:rPr>
          <w:sz w:val="20"/>
        </w:rPr>
        <w:sectPr w:rsidR="007259F2">
          <w:pgSz w:w="11910" w:h="16840"/>
          <w:pgMar w:top="1600" w:right="708" w:bottom="1020" w:left="992" w:header="0" w:footer="820" w:gutter="0"/>
          <w:cols w:space="720"/>
        </w:sectPr>
      </w:pPr>
    </w:p>
    <w:p w:rsidR="007259F2" w:rsidRDefault="00E655B4">
      <w:pPr>
        <w:pStyle w:val="Corpodetexto"/>
        <w:spacing w:before="75"/>
        <w:ind w:right="432"/>
        <w:rPr>
          <w:i/>
        </w:rPr>
      </w:pPr>
      <w:r>
        <w:lastRenderedPageBreak/>
        <w:t xml:space="preserve">À luz de uma análise linguística, parece haver, no exemplo analisado, uma predileção pela locução verbal cujo auxiliar é o verbo </w:t>
      </w:r>
      <w:r>
        <w:rPr>
          <w:i/>
        </w:rPr>
        <w:t>ficar.</w:t>
      </w:r>
    </w:p>
    <w:p w:rsidR="007259F2" w:rsidRDefault="00E655B4">
      <w:pPr>
        <w:pStyle w:val="Corpodetexto"/>
        <w:ind w:left="1418" w:firstLine="0"/>
      </w:pPr>
      <w:r>
        <w:t>Para</w:t>
      </w:r>
      <w:r>
        <w:rPr>
          <w:spacing w:val="-10"/>
        </w:rPr>
        <w:t xml:space="preserve"> </w:t>
      </w:r>
      <w:r>
        <w:t>a</w:t>
      </w:r>
      <w:r>
        <w:rPr>
          <w:spacing w:val="-2"/>
        </w:rPr>
        <w:t xml:space="preserve"> </w:t>
      </w:r>
      <w:r>
        <w:t>prolífica observação</w:t>
      </w:r>
      <w:r>
        <w:rPr>
          <w:spacing w:val="1"/>
        </w:rPr>
        <w:t xml:space="preserve"> </w:t>
      </w:r>
      <w:r>
        <w:t>de</w:t>
      </w:r>
      <w:r>
        <w:rPr>
          <w:spacing w:val="-2"/>
        </w:rPr>
        <w:t xml:space="preserve"> </w:t>
      </w:r>
      <w:r>
        <w:t>um</w:t>
      </w:r>
      <w:r>
        <w:rPr>
          <w:spacing w:val="-10"/>
        </w:rPr>
        <w:t xml:space="preserve"> </w:t>
      </w:r>
      <w:r>
        <w:t>objeto</w:t>
      </w:r>
      <w:r>
        <w:rPr>
          <w:spacing w:val="4"/>
        </w:rPr>
        <w:t xml:space="preserve"> </w:t>
      </w:r>
      <w:r>
        <w:t>deve-se</w:t>
      </w:r>
      <w:r>
        <w:rPr>
          <w:spacing w:val="-2"/>
        </w:rPr>
        <w:t xml:space="preserve"> </w:t>
      </w:r>
      <w:r>
        <w:t>eleger</w:t>
      </w:r>
      <w:r>
        <w:rPr>
          <w:spacing w:val="1"/>
        </w:rPr>
        <w:t xml:space="preserve"> </w:t>
      </w:r>
      <w:r>
        <w:t>um</w:t>
      </w:r>
      <w:r>
        <w:rPr>
          <w:spacing w:val="-10"/>
        </w:rPr>
        <w:t xml:space="preserve"> </w:t>
      </w:r>
      <w:r>
        <w:t>tipo</w:t>
      </w:r>
      <w:r>
        <w:rPr>
          <w:spacing w:val="4"/>
        </w:rPr>
        <w:t xml:space="preserve"> </w:t>
      </w:r>
      <w:r>
        <w:t>de</w:t>
      </w:r>
      <w:r>
        <w:rPr>
          <w:spacing w:val="-1"/>
        </w:rPr>
        <w:t xml:space="preserve"> </w:t>
      </w:r>
      <w:r>
        <w:rPr>
          <w:spacing w:val="-2"/>
        </w:rPr>
        <w:t>abordagem.</w:t>
      </w:r>
    </w:p>
    <w:p w:rsidR="007259F2" w:rsidRDefault="00E655B4">
      <w:pPr>
        <w:pStyle w:val="Corpodetexto"/>
        <w:ind w:right="423"/>
      </w:pPr>
      <w:r>
        <w:t>No caso, a análise da língua surgiu a partir de uma abordagem na qual haveria um sistema central que determinaria os outros sistemas.</w:t>
      </w:r>
    </w:p>
    <w:p w:rsidR="007259F2" w:rsidRDefault="00E655B4">
      <w:pPr>
        <w:pStyle w:val="Corpodetexto"/>
        <w:ind w:right="423"/>
      </w:pPr>
      <w:r>
        <w:t>Segundo a abordagem clássica, por exemplo, nos estudos de gramaticalização, os elementos lexicais passam a desempenhar funções gramaticais. Essa noção de sistema central daria a entender que a língua funciona linearmente.</w:t>
      </w:r>
    </w:p>
    <w:p w:rsidR="007259F2" w:rsidRDefault="00E655B4">
      <w:pPr>
        <w:pStyle w:val="Corpodetexto"/>
        <w:ind w:right="418"/>
      </w:pPr>
      <w:r>
        <w:t>Essa perpeção da língua como sistema unidimencional implicaria no entendimento de que nossa mente funcionaria apenas por impulsos sequenciais e isso, para Castilho (2007)</w:t>
      </w:r>
      <w:r>
        <w:rPr>
          <w:vertAlign w:val="superscript"/>
        </w:rPr>
        <w:t>12</w:t>
      </w:r>
      <w:r>
        <w:t>, eliminaria a possibilidade de construções linguísticas criativas. Sem nenhuma complexidade,</w:t>
      </w:r>
      <w:r>
        <w:rPr>
          <w:spacing w:val="40"/>
        </w:rPr>
        <w:t xml:space="preserve"> </w:t>
      </w:r>
      <w:r>
        <w:t>a língua seria apenas um amontoado de palavras ordenado em classes gramaticais.</w:t>
      </w:r>
    </w:p>
    <w:p w:rsidR="007259F2" w:rsidRDefault="00E655B4">
      <w:pPr>
        <w:pStyle w:val="Corpodetexto"/>
        <w:spacing w:before="21" w:line="218" w:lineRule="auto"/>
        <w:ind w:right="429"/>
        <w:rPr>
          <w:position w:val="18"/>
          <w:sz w:val="16"/>
        </w:rPr>
      </w:pPr>
      <w:r>
        <w:t>Em contraposição à abordagem clássica, há, hodiernamente, nos estudos de Língua Portuguesa do Brasil, um apelo a uma abordagem multissistêmica</w:t>
      </w:r>
      <w:r>
        <w:rPr>
          <w:position w:val="7"/>
        </w:rPr>
        <w:t>.</w:t>
      </w:r>
      <w:r>
        <w:rPr>
          <w:position w:val="18"/>
          <w:sz w:val="16"/>
        </w:rPr>
        <w:t>13</w:t>
      </w:r>
    </w:p>
    <w:p w:rsidR="007259F2" w:rsidRDefault="00E655B4">
      <w:pPr>
        <w:pStyle w:val="Corpodetexto"/>
        <w:ind w:right="422"/>
      </w:pPr>
      <w:r>
        <w:t>Em linhas gerais, nessa abordagem, há 4 sistemas autônomos : (i) o Léxico, que representa as palavras ordenadas em classes; (ii) a Semântica, que faz referência aos significados e às significações; (iii) o Discurso, que indica a interação linguística entre os falantes e, por fim, (iv) a Gramática, que concerne à estrutura da língua ordenada em subsistemas (morfologia - estudo das classes das palavras; fonologia - estudo dos sons das palavras e suas relações e sintaxe - a ordem das palavras em uma sentença)</w:t>
      </w:r>
      <w:r>
        <w:rPr>
          <w:vertAlign w:val="superscript"/>
        </w:rPr>
        <w:t>.14</w:t>
      </w:r>
    </w:p>
    <w:p w:rsidR="007259F2" w:rsidRDefault="00E655B4">
      <w:pPr>
        <w:pStyle w:val="Corpodetexto"/>
        <w:ind w:right="420"/>
      </w:pPr>
      <w:r>
        <w:t>E, ao contrário da abordagem clássica, na epistemologia dos sistemas complexos, as características lexicais, discursivas, semânticas e gramaticais de um</w:t>
      </w:r>
      <w:r>
        <w:rPr>
          <w:spacing w:val="-2"/>
        </w:rPr>
        <w:t xml:space="preserve"> </w:t>
      </w:r>
      <w:r>
        <w:t>termo existem ao mesmo tempo, uma vez que a língua representa “um sistema complexo e dinâmico”.</w:t>
      </w:r>
      <w:r>
        <w:rPr>
          <w:vertAlign w:val="superscript"/>
        </w:rPr>
        <w:t>15</w:t>
      </w:r>
      <w:r>
        <w:t>.</w:t>
      </w:r>
    </w:p>
    <w:p w:rsidR="007259F2" w:rsidRDefault="00E655B4">
      <w:pPr>
        <w:pStyle w:val="Corpodetexto"/>
        <w:ind w:left="1418" w:firstLine="0"/>
      </w:pPr>
      <w:r>
        <w:t>Pois</w:t>
      </w:r>
      <w:r>
        <w:rPr>
          <w:spacing w:val="-2"/>
        </w:rPr>
        <w:t xml:space="preserve"> </w:t>
      </w:r>
      <w:r>
        <w:rPr>
          <w:spacing w:val="-4"/>
        </w:rPr>
        <w:t>bem.</w:t>
      </w:r>
    </w:p>
    <w:p w:rsidR="007259F2" w:rsidRDefault="00E655B4">
      <w:pPr>
        <w:pStyle w:val="Corpodetexto"/>
        <w:ind w:right="422"/>
      </w:pPr>
      <w:r>
        <w:t>Por meio da análise de alguns desses termos, mais especificamente os verbos, poder- se-á observar o comportamento “desse sistema complexo e dinâmico” quando imbricado ao mundo não menos multifacetado do Direito.</w:t>
      </w:r>
    </w:p>
    <w:p w:rsidR="007259F2" w:rsidRDefault="00E655B4">
      <w:pPr>
        <w:pStyle w:val="Corpodetexto"/>
        <w:ind w:right="429"/>
      </w:pPr>
      <w:r>
        <w:t>Como dito acima, pois, há, na busca pela suposta “redação normativa perfeita”, uma série de exigências a serem cumpridas.</w:t>
      </w:r>
    </w:p>
    <w:p w:rsidR="007259F2" w:rsidRDefault="00E655B4">
      <w:pPr>
        <w:pStyle w:val="Corpodetexto"/>
        <w:ind w:right="419"/>
      </w:pPr>
      <w:r>
        <w:t>O que</w:t>
      </w:r>
      <w:r>
        <w:rPr>
          <w:spacing w:val="-1"/>
        </w:rPr>
        <w:t xml:space="preserve"> </w:t>
      </w:r>
      <w:r>
        <w:t>se</w:t>
      </w:r>
      <w:r>
        <w:rPr>
          <w:spacing w:val="-1"/>
        </w:rPr>
        <w:t xml:space="preserve"> </w:t>
      </w:r>
      <w:r>
        <w:t>propõe nesse estudo, portanto, é averiguar, ainda que</w:t>
      </w:r>
      <w:r>
        <w:rPr>
          <w:spacing w:val="-1"/>
        </w:rPr>
        <w:t xml:space="preserve"> </w:t>
      </w:r>
      <w:r>
        <w:t>de maneira tímida, se o conhecimento acerca das características lexicais, discursivas, semânticas e gramaticais dos verbos para o Direito (e principalmente para a Legística Formal) guarda relação com o cumprimento</w:t>
      </w:r>
      <w:r>
        <w:rPr>
          <w:spacing w:val="-10"/>
        </w:rPr>
        <w:t xml:space="preserve"> </w:t>
      </w:r>
      <w:r>
        <w:t>da</w:t>
      </w:r>
      <w:r>
        <w:rPr>
          <w:spacing w:val="-11"/>
        </w:rPr>
        <w:t xml:space="preserve"> </w:t>
      </w:r>
      <w:r>
        <w:t>exigência</w:t>
      </w:r>
      <w:r>
        <w:rPr>
          <w:spacing w:val="-10"/>
        </w:rPr>
        <w:t xml:space="preserve"> </w:t>
      </w:r>
      <w:r>
        <w:t>da</w:t>
      </w:r>
      <w:r>
        <w:rPr>
          <w:spacing w:val="-11"/>
        </w:rPr>
        <w:t xml:space="preserve"> </w:t>
      </w:r>
      <w:r>
        <w:t>clareza,</w:t>
      </w:r>
      <w:r>
        <w:rPr>
          <w:spacing w:val="-8"/>
        </w:rPr>
        <w:t xml:space="preserve"> </w:t>
      </w:r>
      <w:r>
        <w:t>concisão,</w:t>
      </w:r>
      <w:r>
        <w:rPr>
          <w:spacing w:val="-8"/>
        </w:rPr>
        <w:t xml:space="preserve"> </w:t>
      </w:r>
      <w:r>
        <w:t>objetividade</w:t>
      </w:r>
      <w:r>
        <w:rPr>
          <w:spacing w:val="-10"/>
        </w:rPr>
        <w:t xml:space="preserve"> </w:t>
      </w:r>
      <w:r>
        <w:t>e</w:t>
      </w:r>
      <w:r>
        <w:rPr>
          <w:spacing w:val="-7"/>
        </w:rPr>
        <w:t xml:space="preserve"> </w:t>
      </w:r>
      <w:r>
        <w:t>“elegância” na redação das leis.</w:t>
      </w:r>
    </w:p>
    <w:p w:rsidR="007259F2" w:rsidRDefault="007259F2">
      <w:pPr>
        <w:pStyle w:val="Corpodetexto"/>
        <w:ind w:left="0" w:firstLine="0"/>
        <w:jc w:val="left"/>
        <w:rPr>
          <w:sz w:val="20"/>
        </w:rPr>
      </w:pPr>
    </w:p>
    <w:p w:rsidR="007259F2" w:rsidRDefault="00DE6B1C">
      <w:pPr>
        <w:pStyle w:val="Corpodetexto"/>
        <w:spacing w:before="73"/>
        <w:ind w:left="0" w:firstLine="0"/>
        <w:jc w:val="left"/>
        <w:rPr>
          <w:sz w:val="20"/>
        </w:rPr>
      </w:pPr>
      <w:r w:rsidRPr="00DE6B1C">
        <w:rPr>
          <w:sz w:val="20"/>
        </w:rPr>
        <w:pict>
          <v:rect id="docshape164" o:spid="_x0000_s1063" style="position:absolute;margin-left:85.1pt;margin-top:16.4pt;width:2in;height:.75pt;z-index:-15654912;mso-wrap-distance-left:0;mso-wrap-distance-right:0;mso-position-horizontal-relative:page" fillcolor="black" stroked="f">
            <w10:wrap type="topAndBottom" anchorx="page"/>
          </v:rect>
        </w:pict>
      </w:r>
    </w:p>
    <w:p w:rsidR="007259F2" w:rsidRDefault="00E655B4">
      <w:pPr>
        <w:spacing w:before="96"/>
        <w:ind w:left="710" w:right="421"/>
        <w:jc w:val="both"/>
        <w:rPr>
          <w:sz w:val="20"/>
        </w:rPr>
      </w:pPr>
      <w:r>
        <w:rPr>
          <w:sz w:val="20"/>
          <w:vertAlign w:val="superscript"/>
        </w:rPr>
        <w:t>12</w:t>
      </w:r>
      <w:r>
        <w:rPr>
          <w:sz w:val="20"/>
        </w:rPr>
        <w:t xml:space="preserve"> CASTILHO,</w:t>
      </w:r>
      <w:r>
        <w:rPr>
          <w:spacing w:val="40"/>
          <w:sz w:val="20"/>
        </w:rPr>
        <w:t xml:space="preserve"> </w:t>
      </w:r>
      <w:r>
        <w:rPr>
          <w:sz w:val="20"/>
        </w:rPr>
        <w:t>A.</w:t>
      </w:r>
      <w:r>
        <w:rPr>
          <w:spacing w:val="40"/>
          <w:sz w:val="20"/>
        </w:rPr>
        <w:t xml:space="preserve"> </w:t>
      </w:r>
      <w:r>
        <w:rPr>
          <w:sz w:val="20"/>
        </w:rPr>
        <w:t>Abordagem</w:t>
      </w:r>
      <w:r>
        <w:rPr>
          <w:spacing w:val="40"/>
          <w:sz w:val="20"/>
        </w:rPr>
        <w:t xml:space="preserve"> </w:t>
      </w:r>
      <w:r>
        <w:rPr>
          <w:sz w:val="20"/>
        </w:rPr>
        <w:t>da</w:t>
      </w:r>
      <w:r>
        <w:rPr>
          <w:spacing w:val="40"/>
          <w:sz w:val="20"/>
        </w:rPr>
        <w:t xml:space="preserve"> </w:t>
      </w:r>
      <w:r>
        <w:rPr>
          <w:sz w:val="20"/>
        </w:rPr>
        <w:t>língua</w:t>
      </w:r>
      <w:r>
        <w:rPr>
          <w:spacing w:val="40"/>
          <w:sz w:val="20"/>
        </w:rPr>
        <w:t xml:space="preserve"> </w:t>
      </w:r>
      <w:r>
        <w:rPr>
          <w:sz w:val="20"/>
        </w:rPr>
        <w:t>como</w:t>
      </w:r>
      <w:r>
        <w:rPr>
          <w:spacing w:val="40"/>
          <w:sz w:val="20"/>
        </w:rPr>
        <w:t xml:space="preserve"> </w:t>
      </w:r>
      <w:r>
        <w:rPr>
          <w:sz w:val="20"/>
        </w:rPr>
        <w:t>um</w:t>
      </w:r>
      <w:r>
        <w:rPr>
          <w:spacing w:val="40"/>
          <w:sz w:val="20"/>
        </w:rPr>
        <w:t xml:space="preserve"> </w:t>
      </w:r>
      <w:r>
        <w:rPr>
          <w:sz w:val="20"/>
        </w:rPr>
        <w:t>sistema</w:t>
      </w:r>
      <w:r>
        <w:rPr>
          <w:spacing w:val="40"/>
          <w:sz w:val="20"/>
        </w:rPr>
        <w:t xml:space="preserve"> </w:t>
      </w:r>
      <w:r>
        <w:rPr>
          <w:sz w:val="20"/>
        </w:rPr>
        <w:t>complexo:</w:t>
      </w:r>
      <w:r>
        <w:rPr>
          <w:spacing w:val="40"/>
          <w:sz w:val="20"/>
        </w:rPr>
        <w:t xml:space="preserve"> </w:t>
      </w:r>
      <w:r>
        <w:rPr>
          <w:sz w:val="20"/>
        </w:rPr>
        <w:t>contribuições</w:t>
      </w:r>
      <w:r>
        <w:rPr>
          <w:spacing w:val="40"/>
          <w:sz w:val="20"/>
        </w:rPr>
        <w:t xml:space="preserve"> </w:t>
      </w:r>
      <w:r>
        <w:rPr>
          <w:sz w:val="20"/>
        </w:rPr>
        <w:t>para</w:t>
      </w:r>
      <w:r>
        <w:rPr>
          <w:spacing w:val="40"/>
          <w:sz w:val="20"/>
        </w:rPr>
        <w:t xml:space="preserve"> </w:t>
      </w:r>
      <w:r>
        <w:rPr>
          <w:sz w:val="20"/>
        </w:rPr>
        <w:t>uma</w:t>
      </w:r>
      <w:r>
        <w:rPr>
          <w:spacing w:val="40"/>
          <w:sz w:val="20"/>
        </w:rPr>
        <w:t xml:space="preserve"> </w:t>
      </w:r>
      <w:r>
        <w:rPr>
          <w:sz w:val="20"/>
        </w:rPr>
        <w:t>nova Lingüística</w:t>
      </w:r>
      <w:r>
        <w:rPr>
          <w:spacing w:val="40"/>
          <w:sz w:val="20"/>
        </w:rPr>
        <w:t xml:space="preserve"> </w:t>
      </w:r>
      <w:r>
        <w:rPr>
          <w:sz w:val="20"/>
        </w:rPr>
        <w:t>Histórica.</w:t>
      </w:r>
      <w:r>
        <w:rPr>
          <w:spacing w:val="40"/>
          <w:sz w:val="20"/>
        </w:rPr>
        <w:t xml:space="preserve"> </w:t>
      </w:r>
      <w:r>
        <w:rPr>
          <w:i/>
          <w:sz w:val="20"/>
        </w:rPr>
        <w:t>In</w:t>
      </w:r>
      <w:r>
        <w:rPr>
          <w:sz w:val="20"/>
        </w:rPr>
        <w:t>:</w:t>
      </w:r>
      <w:r>
        <w:rPr>
          <w:spacing w:val="37"/>
          <w:sz w:val="20"/>
        </w:rPr>
        <w:t xml:space="preserve"> </w:t>
      </w:r>
      <w:r>
        <w:rPr>
          <w:sz w:val="20"/>
        </w:rPr>
        <w:t>CASTILHO,</w:t>
      </w:r>
      <w:r>
        <w:rPr>
          <w:spacing w:val="40"/>
          <w:sz w:val="20"/>
        </w:rPr>
        <w:t xml:space="preserve"> </w:t>
      </w:r>
      <w:r>
        <w:rPr>
          <w:sz w:val="20"/>
        </w:rPr>
        <w:t>A.T.</w:t>
      </w:r>
      <w:r>
        <w:rPr>
          <w:spacing w:val="40"/>
          <w:sz w:val="20"/>
        </w:rPr>
        <w:t xml:space="preserve"> </w:t>
      </w:r>
      <w:r>
        <w:rPr>
          <w:sz w:val="20"/>
        </w:rPr>
        <w:t>de;</w:t>
      </w:r>
      <w:r>
        <w:rPr>
          <w:spacing w:val="34"/>
          <w:sz w:val="20"/>
        </w:rPr>
        <w:t xml:space="preserve"> </w:t>
      </w:r>
      <w:r>
        <w:rPr>
          <w:sz w:val="20"/>
        </w:rPr>
        <w:t>TORRES</w:t>
      </w:r>
      <w:r>
        <w:rPr>
          <w:spacing w:val="40"/>
          <w:sz w:val="20"/>
        </w:rPr>
        <w:t xml:space="preserve"> </w:t>
      </w:r>
      <w:r>
        <w:rPr>
          <w:sz w:val="20"/>
        </w:rPr>
        <w:t>DE</w:t>
      </w:r>
      <w:r>
        <w:rPr>
          <w:spacing w:val="40"/>
          <w:sz w:val="20"/>
        </w:rPr>
        <w:t xml:space="preserve"> </w:t>
      </w:r>
      <w:r>
        <w:rPr>
          <w:sz w:val="20"/>
        </w:rPr>
        <w:t>MORAIS,</w:t>
      </w:r>
      <w:r>
        <w:rPr>
          <w:spacing w:val="40"/>
          <w:sz w:val="20"/>
        </w:rPr>
        <w:t xml:space="preserve"> </w:t>
      </w:r>
      <w:r>
        <w:rPr>
          <w:sz w:val="20"/>
        </w:rPr>
        <w:t>M.</w:t>
      </w:r>
      <w:r>
        <w:rPr>
          <w:spacing w:val="40"/>
          <w:sz w:val="20"/>
        </w:rPr>
        <w:t xml:space="preserve"> </w:t>
      </w:r>
      <w:r>
        <w:rPr>
          <w:sz w:val="20"/>
        </w:rPr>
        <w:t>A.</w:t>
      </w:r>
      <w:r>
        <w:rPr>
          <w:spacing w:val="40"/>
          <w:sz w:val="20"/>
        </w:rPr>
        <w:t xml:space="preserve"> </w:t>
      </w:r>
      <w:r>
        <w:rPr>
          <w:sz w:val="20"/>
        </w:rPr>
        <w:t>C.;</w:t>
      </w:r>
      <w:r>
        <w:rPr>
          <w:spacing w:val="37"/>
          <w:sz w:val="20"/>
        </w:rPr>
        <w:t xml:space="preserve"> </w:t>
      </w:r>
      <w:r>
        <w:rPr>
          <w:sz w:val="20"/>
        </w:rPr>
        <w:t>LOPES,</w:t>
      </w:r>
      <w:r>
        <w:rPr>
          <w:spacing w:val="40"/>
          <w:sz w:val="20"/>
        </w:rPr>
        <w:t xml:space="preserve"> </w:t>
      </w:r>
      <w:r>
        <w:rPr>
          <w:sz w:val="20"/>
        </w:rPr>
        <w:t>R.E.V.;</w:t>
      </w:r>
    </w:p>
    <w:p w:rsidR="007259F2" w:rsidRDefault="00E655B4">
      <w:pPr>
        <w:ind w:left="710" w:right="424"/>
        <w:jc w:val="both"/>
        <w:rPr>
          <w:sz w:val="20"/>
        </w:rPr>
      </w:pPr>
      <w:r>
        <w:rPr>
          <w:sz w:val="20"/>
        </w:rPr>
        <w:t xml:space="preserve">CYRINO, S.M.L. (Orgs.). </w:t>
      </w:r>
      <w:r>
        <w:rPr>
          <w:b/>
          <w:sz w:val="20"/>
        </w:rPr>
        <w:t>Descrição, História e Aquisição do Português Brasileiro</w:t>
      </w:r>
      <w:r>
        <w:rPr>
          <w:sz w:val="20"/>
        </w:rPr>
        <w:t>. Campinas:</w:t>
      </w:r>
      <w:r>
        <w:rPr>
          <w:spacing w:val="40"/>
          <w:sz w:val="20"/>
        </w:rPr>
        <w:t xml:space="preserve"> </w:t>
      </w:r>
      <w:r>
        <w:rPr>
          <w:sz w:val="20"/>
        </w:rPr>
        <w:t>Pontes/Fapesp, 2007. p. 329-360.</w:t>
      </w:r>
    </w:p>
    <w:p w:rsidR="007259F2" w:rsidRDefault="00E655B4">
      <w:pPr>
        <w:ind w:left="710" w:right="423"/>
        <w:jc w:val="both"/>
        <w:rPr>
          <w:sz w:val="20"/>
        </w:rPr>
      </w:pPr>
      <w:r>
        <w:rPr>
          <w:sz w:val="20"/>
          <w:vertAlign w:val="superscript"/>
        </w:rPr>
        <w:t>13</w:t>
      </w:r>
      <w:r>
        <w:rPr>
          <w:sz w:val="20"/>
        </w:rPr>
        <w:t xml:space="preserve"> CASTILHO </w:t>
      </w:r>
      <w:r>
        <w:rPr>
          <w:i/>
          <w:sz w:val="20"/>
        </w:rPr>
        <w:t>et al</w:t>
      </w:r>
      <w:r>
        <w:rPr>
          <w:sz w:val="20"/>
        </w:rPr>
        <w:t>. Analisando multissistemicamente o verbo ficar na história do português paulista</w:t>
      </w:r>
      <w:r>
        <w:rPr>
          <w:b/>
          <w:sz w:val="20"/>
        </w:rPr>
        <w:t>. Estudos Linguísticos</w:t>
      </w:r>
      <w:r>
        <w:rPr>
          <w:sz w:val="20"/>
        </w:rPr>
        <w:t>, São Paulo, 41 (2): p. 602-615, maio-ago. 2012.</w:t>
      </w:r>
    </w:p>
    <w:p w:rsidR="007259F2" w:rsidRDefault="00E655B4">
      <w:pPr>
        <w:spacing w:line="229" w:lineRule="exact"/>
        <w:ind w:left="710"/>
        <w:jc w:val="both"/>
        <w:rPr>
          <w:sz w:val="20"/>
        </w:rPr>
      </w:pPr>
      <w:r>
        <w:rPr>
          <w:sz w:val="20"/>
          <w:vertAlign w:val="superscript"/>
        </w:rPr>
        <w:t>14</w:t>
      </w:r>
      <w:r>
        <w:rPr>
          <w:spacing w:val="-2"/>
          <w:sz w:val="20"/>
        </w:rPr>
        <w:t xml:space="preserve"> </w:t>
      </w:r>
      <w:r>
        <w:rPr>
          <w:i/>
          <w:spacing w:val="-2"/>
          <w:sz w:val="20"/>
        </w:rPr>
        <w:t>Idem</w:t>
      </w:r>
      <w:r>
        <w:rPr>
          <w:spacing w:val="-2"/>
          <w:sz w:val="20"/>
        </w:rPr>
        <w:t>.</w:t>
      </w:r>
    </w:p>
    <w:p w:rsidR="007259F2" w:rsidRDefault="00E655B4">
      <w:pPr>
        <w:ind w:left="710" w:right="423"/>
        <w:jc w:val="both"/>
        <w:rPr>
          <w:sz w:val="20"/>
        </w:rPr>
      </w:pPr>
      <w:r>
        <w:rPr>
          <w:sz w:val="20"/>
          <w:vertAlign w:val="superscript"/>
        </w:rPr>
        <w:t>15</w:t>
      </w:r>
      <w:r>
        <w:rPr>
          <w:sz w:val="20"/>
        </w:rPr>
        <w:t xml:space="preserve"> Castilho (2012) retoma seu trabalho acerca da abordagem multissistêmica da língua a fim de analisar o verbo </w:t>
      </w:r>
      <w:r>
        <w:rPr>
          <w:i/>
          <w:sz w:val="20"/>
        </w:rPr>
        <w:t xml:space="preserve">ficar </w:t>
      </w:r>
      <w:r>
        <w:rPr>
          <w:sz w:val="20"/>
        </w:rPr>
        <w:t>na história do português paulista. De maneira geral, a abordagem multissistêmica diferencia-se da ciência clássica.</w:t>
      </w:r>
      <w:r>
        <w:rPr>
          <w:spacing w:val="-2"/>
          <w:sz w:val="20"/>
        </w:rPr>
        <w:t xml:space="preserve"> </w:t>
      </w:r>
      <w:r>
        <w:rPr>
          <w:sz w:val="20"/>
        </w:rPr>
        <w:t>Nesta</w:t>
      </w:r>
      <w:r>
        <w:rPr>
          <w:spacing w:val="-1"/>
          <w:sz w:val="20"/>
        </w:rPr>
        <w:t xml:space="preserve"> </w:t>
      </w:r>
      <w:r>
        <w:rPr>
          <w:sz w:val="20"/>
        </w:rPr>
        <w:t>última,</w:t>
      </w:r>
      <w:r>
        <w:rPr>
          <w:spacing w:val="-2"/>
          <w:sz w:val="20"/>
        </w:rPr>
        <w:t xml:space="preserve"> </w:t>
      </w:r>
      <w:r>
        <w:rPr>
          <w:sz w:val="20"/>
        </w:rPr>
        <w:t>os</w:t>
      </w:r>
      <w:r>
        <w:rPr>
          <w:spacing w:val="-4"/>
          <w:sz w:val="20"/>
        </w:rPr>
        <w:t xml:space="preserve"> </w:t>
      </w:r>
      <w:r>
        <w:rPr>
          <w:sz w:val="20"/>
        </w:rPr>
        <w:t>processos</w:t>
      </w:r>
      <w:r>
        <w:rPr>
          <w:spacing w:val="-4"/>
          <w:sz w:val="20"/>
        </w:rPr>
        <w:t xml:space="preserve"> </w:t>
      </w:r>
      <w:r>
        <w:rPr>
          <w:sz w:val="20"/>
        </w:rPr>
        <w:t>linguísticos</w:t>
      </w:r>
      <w:r>
        <w:rPr>
          <w:spacing w:val="-1"/>
          <w:sz w:val="20"/>
        </w:rPr>
        <w:t xml:space="preserve"> </w:t>
      </w:r>
      <w:r>
        <w:rPr>
          <w:sz w:val="20"/>
        </w:rPr>
        <w:t>são</w:t>
      </w:r>
      <w:r>
        <w:rPr>
          <w:spacing w:val="-3"/>
          <w:sz w:val="20"/>
        </w:rPr>
        <w:t xml:space="preserve"> </w:t>
      </w:r>
      <w:r>
        <w:rPr>
          <w:sz w:val="20"/>
        </w:rPr>
        <w:t>unilaterais</w:t>
      </w:r>
      <w:r>
        <w:rPr>
          <w:spacing w:val="-4"/>
          <w:sz w:val="20"/>
        </w:rPr>
        <w:t xml:space="preserve"> </w:t>
      </w:r>
      <w:r>
        <w:rPr>
          <w:sz w:val="20"/>
        </w:rPr>
        <w:t>e</w:t>
      </w:r>
      <w:r>
        <w:rPr>
          <w:spacing w:val="-4"/>
          <w:sz w:val="20"/>
        </w:rPr>
        <w:t xml:space="preserve"> </w:t>
      </w:r>
      <w:r>
        <w:rPr>
          <w:sz w:val="20"/>
        </w:rPr>
        <w:t>envolvem</w:t>
      </w:r>
      <w:r>
        <w:rPr>
          <w:spacing w:val="-7"/>
          <w:sz w:val="20"/>
        </w:rPr>
        <w:t xml:space="preserve"> </w:t>
      </w:r>
      <w:r>
        <w:rPr>
          <w:sz w:val="20"/>
        </w:rPr>
        <w:t>apenas</w:t>
      </w:r>
      <w:r>
        <w:rPr>
          <w:spacing w:val="-4"/>
          <w:sz w:val="20"/>
        </w:rPr>
        <w:t xml:space="preserve"> </w:t>
      </w:r>
      <w:r>
        <w:rPr>
          <w:sz w:val="20"/>
        </w:rPr>
        <w:t>o</w:t>
      </w:r>
      <w:r>
        <w:rPr>
          <w:spacing w:val="-5"/>
          <w:sz w:val="20"/>
        </w:rPr>
        <w:t xml:space="preserve"> </w:t>
      </w:r>
      <w:r>
        <w:rPr>
          <w:sz w:val="20"/>
        </w:rPr>
        <w:t>aspecto</w:t>
      </w:r>
      <w:r>
        <w:rPr>
          <w:spacing w:val="-6"/>
          <w:sz w:val="20"/>
        </w:rPr>
        <w:t xml:space="preserve"> </w:t>
      </w:r>
      <w:r>
        <w:rPr>
          <w:sz w:val="20"/>
        </w:rPr>
        <w:t>da</w:t>
      </w:r>
      <w:r>
        <w:rPr>
          <w:spacing w:val="-3"/>
          <w:sz w:val="20"/>
        </w:rPr>
        <w:t xml:space="preserve"> </w:t>
      </w:r>
      <w:r>
        <w:rPr>
          <w:sz w:val="20"/>
        </w:rPr>
        <w:t xml:space="preserve">gramaticalização. Na abordagem multissistêmica, as expressões assumem características de quatro subsistemas. </w:t>
      </w:r>
      <w:r>
        <w:rPr>
          <w:i/>
          <w:sz w:val="20"/>
        </w:rPr>
        <w:t>“</w:t>
      </w:r>
      <w:r>
        <w:rPr>
          <w:sz w:val="20"/>
        </w:rPr>
        <w:t>Esse ponto de vista</w:t>
      </w:r>
      <w:r>
        <w:rPr>
          <w:spacing w:val="14"/>
          <w:sz w:val="20"/>
        </w:rPr>
        <w:t xml:space="preserve"> </w:t>
      </w:r>
      <w:r>
        <w:rPr>
          <w:sz w:val="20"/>
        </w:rPr>
        <w:t>focaliza</w:t>
      </w:r>
      <w:r>
        <w:rPr>
          <w:spacing w:val="12"/>
          <w:sz w:val="20"/>
        </w:rPr>
        <w:t xml:space="preserve"> </w:t>
      </w:r>
      <w:r>
        <w:rPr>
          <w:sz w:val="20"/>
        </w:rPr>
        <w:t>os</w:t>
      </w:r>
      <w:r>
        <w:rPr>
          <w:spacing w:val="11"/>
          <w:sz w:val="20"/>
        </w:rPr>
        <w:t xml:space="preserve"> </w:t>
      </w:r>
      <w:r>
        <w:rPr>
          <w:sz w:val="20"/>
        </w:rPr>
        <w:t>processos</w:t>
      </w:r>
      <w:r>
        <w:rPr>
          <w:spacing w:val="11"/>
          <w:sz w:val="20"/>
        </w:rPr>
        <w:t xml:space="preserve"> </w:t>
      </w:r>
      <w:r>
        <w:rPr>
          <w:sz w:val="20"/>
        </w:rPr>
        <w:t>e</w:t>
      </w:r>
      <w:r>
        <w:rPr>
          <w:spacing w:val="14"/>
          <w:sz w:val="20"/>
        </w:rPr>
        <w:t xml:space="preserve"> </w:t>
      </w:r>
      <w:r>
        <w:rPr>
          <w:sz w:val="20"/>
        </w:rPr>
        <w:t>os</w:t>
      </w:r>
      <w:r>
        <w:rPr>
          <w:spacing w:val="12"/>
          <w:sz w:val="20"/>
        </w:rPr>
        <w:t xml:space="preserve"> </w:t>
      </w:r>
      <w:r>
        <w:rPr>
          <w:sz w:val="20"/>
        </w:rPr>
        <w:t>produtos</w:t>
      </w:r>
      <w:r>
        <w:rPr>
          <w:spacing w:val="11"/>
          <w:sz w:val="20"/>
        </w:rPr>
        <w:t xml:space="preserve"> </w:t>
      </w:r>
      <w:r>
        <w:rPr>
          <w:sz w:val="20"/>
        </w:rPr>
        <w:t>linguísticos,</w:t>
      </w:r>
      <w:r>
        <w:rPr>
          <w:spacing w:val="12"/>
          <w:sz w:val="20"/>
        </w:rPr>
        <w:t xml:space="preserve"> </w:t>
      </w:r>
      <w:r>
        <w:rPr>
          <w:sz w:val="20"/>
        </w:rPr>
        <w:t>organizados</w:t>
      </w:r>
      <w:r>
        <w:rPr>
          <w:spacing w:val="12"/>
          <w:sz w:val="20"/>
        </w:rPr>
        <w:t xml:space="preserve"> </w:t>
      </w:r>
      <w:r>
        <w:rPr>
          <w:sz w:val="20"/>
        </w:rPr>
        <w:t>em</w:t>
      </w:r>
      <w:r>
        <w:rPr>
          <w:spacing w:val="8"/>
          <w:sz w:val="20"/>
        </w:rPr>
        <w:t xml:space="preserve"> </w:t>
      </w:r>
      <w:r>
        <w:rPr>
          <w:sz w:val="20"/>
        </w:rPr>
        <w:t>quatro</w:t>
      </w:r>
      <w:r>
        <w:rPr>
          <w:spacing w:val="12"/>
          <w:sz w:val="20"/>
        </w:rPr>
        <w:t xml:space="preserve"> </w:t>
      </w:r>
      <w:r>
        <w:rPr>
          <w:sz w:val="20"/>
        </w:rPr>
        <w:t>blocos:</w:t>
      </w:r>
      <w:r>
        <w:rPr>
          <w:spacing w:val="12"/>
          <w:sz w:val="20"/>
        </w:rPr>
        <w:t xml:space="preserve"> </w:t>
      </w:r>
      <w:r>
        <w:rPr>
          <w:sz w:val="20"/>
        </w:rPr>
        <w:t>(i)</w:t>
      </w:r>
      <w:r>
        <w:rPr>
          <w:spacing w:val="12"/>
          <w:sz w:val="20"/>
        </w:rPr>
        <w:t xml:space="preserve"> </w:t>
      </w:r>
      <w:r>
        <w:rPr>
          <w:sz w:val="20"/>
        </w:rPr>
        <w:t>lexicalização</w:t>
      </w:r>
      <w:r>
        <w:rPr>
          <w:spacing w:val="12"/>
          <w:sz w:val="20"/>
        </w:rPr>
        <w:t xml:space="preserve"> </w:t>
      </w:r>
      <w:r>
        <w:rPr>
          <w:sz w:val="20"/>
        </w:rPr>
        <w:t>e</w:t>
      </w:r>
      <w:r>
        <w:rPr>
          <w:spacing w:val="12"/>
          <w:sz w:val="20"/>
        </w:rPr>
        <w:t xml:space="preserve"> </w:t>
      </w:r>
      <w:r>
        <w:rPr>
          <w:spacing w:val="-2"/>
          <w:sz w:val="20"/>
        </w:rPr>
        <w:t>léxico,</w:t>
      </w:r>
    </w:p>
    <w:p w:rsidR="007259F2" w:rsidRDefault="00E655B4">
      <w:pPr>
        <w:ind w:left="710" w:right="429"/>
        <w:jc w:val="both"/>
        <w:rPr>
          <w:sz w:val="20"/>
        </w:rPr>
      </w:pPr>
      <w:r>
        <w:rPr>
          <w:sz w:val="20"/>
        </w:rPr>
        <w:t>(ii) semanticização e semântica, (iii) discursivização e texto, (iv) gramaticalização e gramática. Diferentemente do</w:t>
      </w:r>
      <w:r>
        <w:rPr>
          <w:spacing w:val="4"/>
          <w:sz w:val="20"/>
        </w:rPr>
        <w:t xml:space="preserve"> </w:t>
      </w:r>
      <w:r>
        <w:rPr>
          <w:sz w:val="20"/>
        </w:rPr>
        <w:t>que</w:t>
      </w:r>
      <w:r>
        <w:rPr>
          <w:spacing w:val="3"/>
          <w:sz w:val="20"/>
        </w:rPr>
        <w:t xml:space="preserve"> </w:t>
      </w:r>
      <w:r>
        <w:rPr>
          <w:sz w:val="20"/>
        </w:rPr>
        <w:t>se</w:t>
      </w:r>
      <w:r>
        <w:rPr>
          <w:spacing w:val="3"/>
          <w:sz w:val="20"/>
        </w:rPr>
        <w:t xml:space="preserve"> </w:t>
      </w:r>
      <w:r>
        <w:rPr>
          <w:sz w:val="20"/>
        </w:rPr>
        <w:t>admite</w:t>
      </w:r>
      <w:r>
        <w:rPr>
          <w:spacing w:val="5"/>
          <w:sz w:val="20"/>
        </w:rPr>
        <w:t xml:space="preserve"> </w:t>
      </w:r>
      <w:r>
        <w:rPr>
          <w:sz w:val="20"/>
        </w:rPr>
        <w:t>na</w:t>
      </w:r>
      <w:r>
        <w:rPr>
          <w:spacing w:val="3"/>
          <w:sz w:val="20"/>
        </w:rPr>
        <w:t xml:space="preserve"> </w:t>
      </w:r>
      <w:r>
        <w:rPr>
          <w:sz w:val="20"/>
        </w:rPr>
        <w:t>ciência</w:t>
      </w:r>
      <w:r>
        <w:rPr>
          <w:spacing w:val="6"/>
          <w:sz w:val="20"/>
        </w:rPr>
        <w:t xml:space="preserve"> </w:t>
      </w:r>
      <w:r>
        <w:rPr>
          <w:sz w:val="20"/>
        </w:rPr>
        <w:t>clássica,</w:t>
      </w:r>
      <w:r>
        <w:rPr>
          <w:spacing w:val="5"/>
          <w:sz w:val="20"/>
        </w:rPr>
        <w:t xml:space="preserve"> </w:t>
      </w:r>
      <w:r>
        <w:rPr>
          <w:sz w:val="20"/>
        </w:rPr>
        <w:t>em</w:t>
      </w:r>
      <w:r>
        <w:rPr>
          <w:spacing w:val="1"/>
          <w:sz w:val="20"/>
        </w:rPr>
        <w:t xml:space="preserve"> </w:t>
      </w:r>
      <w:r>
        <w:rPr>
          <w:sz w:val="20"/>
        </w:rPr>
        <w:t>que</w:t>
      </w:r>
      <w:r>
        <w:rPr>
          <w:spacing w:val="3"/>
          <w:sz w:val="20"/>
        </w:rPr>
        <w:t xml:space="preserve"> </w:t>
      </w:r>
      <w:r>
        <w:rPr>
          <w:sz w:val="20"/>
        </w:rPr>
        <w:t>trajetórias</w:t>
      </w:r>
      <w:r>
        <w:rPr>
          <w:spacing w:val="2"/>
          <w:sz w:val="20"/>
        </w:rPr>
        <w:t xml:space="preserve"> </w:t>
      </w:r>
      <w:r>
        <w:rPr>
          <w:sz w:val="20"/>
        </w:rPr>
        <w:t>lineares</w:t>
      </w:r>
      <w:r>
        <w:rPr>
          <w:spacing w:val="3"/>
          <w:sz w:val="20"/>
        </w:rPr>
        <w:t xml:space="preserve"> </w:t>
      </w:r>
      <w:r>
        <w:rPr>
          <w:sz w:val="20"/>
        </w:rPr>
        <w:t>e</w:t>
      </w:r>
      <w:r>
        <w:rPr>
          <w:spacing w:val="6"/>
          <w:sz w:val="20"/>
        </w:rPr>
        <w:t xml:space="preserve"> </w:t>
      </w:r>
      <w:r>
        <w:rPr>
          <w:sz w:val="20"/>
        </w:rPr>
        <w:t>unidirecionais</w:t>
      </w:r>
      <w:r>
        <w:rPr>
          <w:spacing w:val="2"/>
          <w:sz w:val="20"/>
        </w:rPr>
        <w:t xml:space="preserve"> </w:t>
      </w:r>
      <w:r>
        <w:rPr>
          <w:sz w:val="20"/>
        </w:rPr>
        <w:t>representam a</w:t>
      </w:r>
      <w:r>
        <w:rPr>
          <w:spacing w:val="5"/>
          <w:sz w:val="20"/>
        </w:rPr>
        <w:t xml:space="preserve"> </w:t>
      </w:r>
      <w:r>
        <w:rPr>
          <w:sz w:val="20"/>
        </w:rPr>
        <w:t>passagem</w:t>
      </w:r>
      <w:r>
        <w:rPr>
          <w:spacing w:val="1"/>
          <w:sz w:val="20"/>
        </w:rPr>
        <w:t xml:space="preserve"> </w:t>
      </w:r>
      <w:r>
        <w:rPr>
          <w:spacing w:val="-2"/>
          <w:sz w:val="20"/>
        </w:rPr>
        <w:t>léxico</w:t>
      </w:r>
    </w:p>
    <w:p w:rsidR="007259F2" w:rsidRDefault="00E655B4">
      <w:pPr>
        <w:ind w:left="710" w:right="421"/>
        <w:jc w:val="both"/>
        <w:rPr>
          <w:sz w:val="20"/>
        </w:rPr>
      </w:pPr>
      <w:r>
        <w:rPr>
          <w:sz w:val="20"/>
        </w:rPr>
        <w:t>&gt; gramática, a ciência dos sistemas complexos considera os quatro subsistemas da língua autônomos uns em relação aos outros, ou seja, “qualquer expressão linguística exibe ao mesmo tempo características lexicais, discursivas, semânticas, gramaticais” (CASTILHO, 2007, p. 18).</w:t>
      </w:r>
    </w:p>
    <w:p w:rsidR="007259F2" w:rsidRDefault="007259F2">
      <w:pPr>
        <w:jc w:val="both"/>
        <w:rPr>
          <w:sz w:val="20"/>
        </w:rPr>
        <w:sectPr w:rsidR="007259F2">
          <w:pgSz w:w="11910" w:h="16840"/>
          <w:pgMar w:top="1600" w:right="708" w:bottom="1020" w:left="992" w:header="0" w:footer="820" w:gutter="0"/>
          <w:cols w:space="720"/>
        </w:sectPr>
      </w:pPr>
    </w:p>
    <w:p w:rsidR="007259F2" w:rsidRDefault="00E655B4">
      <w:pPr>
        <w:pStyle w:val="Corpodetexto"/>
        <w:spacing w:before="75"/>
        <w:ind w:right="431"/>
      </w:pPr>
      <w:r>
        <w:lastRenderedPageBreak/>
        <w:t>Em</w:t>
      </w:r>
      <w:r>
        <w:rPr>
          <w:spacing w:val="-2"/>
        </w:rPr>
        <w:t xml:space="preserve"> </w:t>
      </w:r>
      <w:r>
        <w:t>síntese,</w:t>
      </w:r>
      <w:r>
        <w:rPr>
          <w:spacing w:val="-2"/>
        </w:rPr>
        <w:t xml:space="preserve"> </w:t>
      </w:r>
      <w:r>
        <w:t>o</w:t>
      </w:r>
      <w:r>
        <w:rPr>
          <w:spacing w:val="-2"/>
        </w:rPr>
        <w:t xml:space="preserve"> </w:t>
      </w:r>
      <w:r>
        <w:t>que</w:t>
      </w:r>
      <w:r>
        <w:rPr>
          <w:spacing w:val="-3"/>
        </w:rPr>
        <w:t xml:space="preserve"> </w:t>
      </w:r>
      <w:r>
        <w:t>se</w:t>
      </w:r>
      <w:r>
        <w:rPr>
          <w:spacing w:val="-3"/>
        </w:rPr>
        <w:t xml:space="preserve"> </w:t>
      </w:r>
      <w:r>
        <w:t>objetiva</w:t>
      </w:r>
      <w:r>
        <w:rPr>
          <w:spacing w:val="-3"/>
        </w:rPr>
        <w:t xml:space="preserve"> </w:t>
      </w:r>
      <w:r>
        <w:t>é</w:t>
      </w:r>
      <w:r>
        <w:rPr>
          <w:spacing w:val="-3"/>
        </w:rPr>
        <w:t xml:space="preserve"> </w:t>
      </w:r>
      <w:r>
        <w:t>apurar</w:t>
      </w:r>
      <w:r>
        <w:rPr>
          <w:spacing w:val="-3"/>
        </w:rPr>
        <w:t xml:space="preserve"> </w:t>
      </w:r>
      <w:r>
        <w:t>a</w:t>
      </w:r>
      <w:r>
        <w:rPr>
          <w:spacing w:val="-3"/>
        </w:rPr>
        <w:t xml:space="preserve"> </w:t>
      </w:r>
      <w:r>
        <w:t>possível</w:t>
      </w:r>
      <w:r>
        <w:rPr>
          <w:spacing w:val="-2"/>
        </w:rPr>
        <w:t xml:space="preserve"> </w:t>
      </w:r>
      <w:r>
        <w:t>conexão</w:t>
      </w:r>
      <w:r>
        <w:rPr>
          <w:spacing w:val="-2"/>
        </w:rPr>
        <w:t xml:space="preserve"> </w:t>
      </w:r>
      <w:r>
        <w:t>entre</w:t>
      </w:r>
      <w:r>
        <w:rPr>
          <w:spacing w:val="-1"/>
        </w:rPr>
        <w:t xml:space="preserve"> </w:t>
      </w:r>
      <w:r>
        <w:t>Linguística</w:t>
      </w:r>
      <w:r>
        <w:rPr>
          <w:spacing w:val="-4"/>
        </w:rPr>
        <w:t xml:space="preserve"> </w:t>
      </w:r>
      <w:r>
        <w:t>e</w:t>
      </w:r>
      <w:r>
        <w:rPr>
          <w:spacing w:val="-1"/>
        </w:rPr>
        <w:t xml:space="preserve"> </w:t>
      </w:r>
      <w:r>
        <w:t>Legística, sobretudo no que se refere ao uso dos verbos e às predileções textuais do redator normativo.</w:t>
      </w:r>
    </w:p>
    <w:p w:rsidR="007259F2" w:rsidRDefault="00E655B4">
      <w:pPr>
        <w:pStyle w:val="Corpodetexto"/>
        <w:ind w:right="422"/>
      </w:pPr>
      <w:r>
        <w:t>Almeja-se, outrossim, analisar a possibilidade de encontrar o padrão linguístico mais abundante e, se existente, verificar, por meio da observação do paradigma mais recorrente nas leis municipais da cidade de São Paulo publicadas no ano de 2022, de que maneira a predileção do redator normativo se coaduna com os valores semânticos presentes na</w:t>
      </w:r>
      <w:r>
        <w:rPr>
          <w:spacing w:val="80"/>
        </w:rPr>
        <w:t xml:space="preserve"> </w:t>
      </w:r>
      <w:r>
        <w:t>expressão verbal escolhida.</w:t>
      </w:r>
    </w:p>
    <w:p w:rsidR="007259F2" w:rsidRDefault="00E655B4">
      <w:pPr>
        <w:pStyle w:val="Corpodetexto"/>
        <w:ind w:right="421"/>
      </w:pPr>
      <w:r>
        <w:t>Para</w:t>
      </w:r>
      <w:r>
        <w:rPr>
          <w:spacing w:val="-15"/>
        </w:rPr>
        <w:t xml:space="preserve"> </w:t>
      </w:r>
      <w:r>
        <w:t>tanto,</w:t>
      </w:r>
      <w:r>
        <w:rPr>
          <w:spacing w:val="-15"/>
        </w:rPr>
        <w:t xml:space="preserve"> </w:t>
      </w:r>
      <w:r>
        <w:t>por</w:t>
      </w:r>
      <w:r>
        <w:rPr>
          <w:spacing w:val="-15"/>
        </w:rPr>
        <w:t xml:space="preserve"> </w:t>
      </w:r>
      <w:r>
        <w:t>meio</w:t>
      </w:r>
      <w:r>
        <w:rPr>
          <w:spacing w:val="-15"/>
        </w:rPr>
        <w:t xml:space="preserve"> </w:t>
      </w:r>
      <w:r>
        <w:t>do</w:t>
      </w:r>
      <w:r>
        <w:rPr>
          <w:spacing w:val="-15"/>
        </w:rPr>
        <w:t xml:space="preserve"> </w:t>
      </w:r>
      <w:r>
        <w:t>site</w:t>
      </w:r>
      <w:r>
        <w:rPr>
          <w:spacing w:val="-15"/>
        </w:rPr>
        <w:t xml:space="preserve"> </w:t>
      </w:r>
      <w:r>
        <w:t>“Catálogo</w:t>
      </w:r>
      <w:r>
        <w:rPr>
          <w:spacing w:val="-15"/>
        </w:rPr>
        <w:t xml:space="preserve"> </w:t>
      </w:r>
      <w:r>
        <w:t>de</w:t>
      </w:r>
      <w:r>
        <w:rPr>
          <w:spacing w:val="-15"/>
        </w:rPr>
        <w:t xml:space="preserve"> </w:t>
      </w:r>
      <w:r>
        <w:t>Legislação</w:t>
      </w:r>
      <w:r>
        <w:rPr>
          <w:spacing w:val="-15"/>
        </w:rPr>
        <w:t xml:space="preserve"> </w:t>
      </w:r>
      <w:r>
        <w:t>Municipal”</w:t>
      </w:r>
      <w:r>
        <w:rPr>
          <w:vertAlign w:val="superscript"/>
        </w:rPr>
        <w:t>16</w:t>
      </w:r>
      <w:r>
        <w:rPr>
          <w:spacing w:val="-15"/>
        </w:rPr>
        <w:t xml:space="preserve"> </w:t>
      </w:r>
      <w:r>
        <w:t>foram</w:t>
      </w:r>
      <w:r>
        <w:rPr>
          <w:spacing w:val="-15"/>
        </w:rPr>
        <w:t xml:space="preserve"> </w:t>
      </w:r>
      <w:r>
        <w:t>coletadas</w:t>
      </w:r>
      <w:r>
        <w:rPr>
          <w:spacing w:val="-15"/>
        </w:rPr>
        <w:t xml:space="preserve"> </w:t>
      </w:r>
      <w:r>
        <w:t xml:space="preserve">todas as 153 (cento e cinquenta e três) leis municipais publicadas em 2022 na cidade de São Paulo. Em seguida, foram destacados os verbos de comando das ementas e aqueles do </w:t>
      </w:r>
      <w:r>
        <w:rPr>
          <w:i/>
        </w:rPr>
        <w:t xml:space="preserve">caput </w:t>
      </w:r>
      <w:r>
        <w:t>do</w:t>
      </w:r>
      <w:r>
        <w:rPr>
          <w:spacing w:val="40"/>
        </w:rPr>
        <w:t xml:space="preserve"> </w:t>
      </w:r>
      <w:r>
        <w:t>artigo 1º das referidas leis.</w:t>
      </w:r>
    </w:p>
    <w:p w:rsidR="007259F2" w:rsidRDefault="00E655B4">
      <w:pPr>
        <w:pStyle w:val="Corpodetexto"/>
        <w:spacing w:before="1"/>
        <w:ind w:right="423"/>
      </w:pPr>
      <w:r>
        <w:t xml:space="preserve">Por fim, foram cotejadas as supracitadas leis a fim de analisar a possibilidade da existência (ou não) de um padrão linguístico na exibição dos verbos de comando presentes no </w:t>
      </w:r>
      <w:r>
        <w:rPr>
          <w:i/>
        </w:rPr>
        <w:t xml:space="preserve">caput </w:t>
      </w:r>
      <w:r>
        <w:t>do artigo 1º.</w:t>
      </w:r>
    </w:p>
    <w:p w:rsidR="007259F2" w:rsidRDefault="00E655B4">
      <w:pPr>
        <w:pStyle w:val="Heading2"/>
        <w:numPr>
          <w:ilvl w:val="0"/>
          <w:numId w:val="20"/>
        </w:numPr>
        <w:tabs>
          <w:tab w:val="left" w:pos="930"/>
        </w:tabs>
        <w:ind w:hanging="357"/>
        <w:jc w:val="both"/>
      </w:pPr>
      <w:r>
        <w:t>Direito</w:t>
      </w:r>
      <w:r>
        <w:rPr>
          <w:spacing w:val="-3"/>
        </w:rPr>
        <w:t xml:space="preserve"> </w:t>
      </w:r>
      <w:r>
        <w:t>como</w:t>
      </w:r>
      <w:r>
        <w:rPr>
          <w:spacing w:val="-1"/>
        </w:rPr>
        <w:t xml:space="preserve"> </w:t>
      </w:r>
      <w:r>
        <w:t>objeto</w:t>
      </w:r>
      <w:r>
        <w:rPr>
          <w:spacing w:val="-1"/>
        </w:rPr>
        <w:t xml:space="preserve"> </w:t>
      </w:r>
      <w:r>
        <w:t>de</w:t>
      </w:r>
      <w:r>
        <w:rPr>
          <w:spacing w:val="-1"/>
        </w:rPr>
        <w:t xml:space="preserve"> </w:t>
      </w:r>
      <w:r>
        <w:t>análise</w:t>
      </w:r>
      <w:r>
        <w:rPr>
          <w:spacing w:val="-1"/>
        </w:rPr>
        <w:t xml:space="preserve"> </w:t>
      </w:r>
      <w:r>
        <w:rPr>
          <w:spacing w:val="-2"/>
        </w:rPr>
        <w:t>linguística</w:t>
      </w:r>
    </w:p>
    <w:p w:rsidR="007259F2" w:rsidRDefault="00E655B4">
      <w:pPr>
        <w:pStyle w:val="PargrafodaLista"/>
        <w:numPr>
          <w:ilvl w:val="1"/>
          <w:numId w:val="20"/>
        </w:numPr>
        <w:tabs>
          <w:tab w:val="left" w:pos="1069"/>
        </w:tabs>
        <w:spacing w:before="117"/>
        <w:ind w:left="1069" w:hanging="357"/>
        <w:jc w:val="both"/>
        <w:rPr>
          <w:b/>
          <w:sz w:val="24"/>
        </w:rPr>
      </w:pPr>
      <w:r>
        <w:rPr>
          <w:b/>
          <w:sz w:val="24"/>
        </w:rPr>
        <w:t>Linguística,</w:t>
      </w:r>
      <w:r>
        <w:rPr>
          <w:b/>
          <w:spacing w:val="-4"/>
          <w:sz w:val="24"/>
        </w:rPr>
        <w:t xml:space="preserve"> </w:t>
      </w:r>
      <w:r>
        <w:rPr>
          <w:b/>
          <w:sz w:val="24"/>
        </w:rPr>
        <w:t>linguista</w:t>
      </w:r>
      <w:r>
        <w:rPr>
          <w:b/>
          <w:spacing w:val="-5"/>
          <w:sz w:val="24"/>
        </w:rPr>
        <w:t xml:space="preserve"> </w:t>
      </w:r>
      <w:r>
        <w:rPr>
          <w:b/>
          <w:sz w:val="24"/>
        </w:rPr>
        <w:t>e</w:t>
      </w:r>
      <w:r>
        <w:rPr>
          <w:b/>
          <w:spacing w:val="-12"/>
          <w:sz w:val="24"/>
        </w:rPr>
        <w:t xml:space="preserve"> </w:t>
      </w:r>
      <w:r>
        <w:rPr>
          <w:b/>
          <w:sz w:val="24"/>
        </w:rPr>
        <w:t>postura</w:t>
      </w:r>
      <w:r>
        <w:rPr>
          <w:b/>
          <w:spacing w:val="-4"/>
          <w:sz w:val="24"/>
        </w:rPr>
        <w:t xml:space="preserve"> </w:t>
      </w:r>
      <w:r>
        <w:rPr>
          <w:b/>
          <w:sz w:val="24"/>
        </w:rPr>
        <w:t>teórico-</w:t>
      </w:r>
      <w:r>
        <w:rPr>
          <w:b/>
          <w:spacing w:val="-2"/>
          <w:sz w:val="24"/>
        </w:rPr>
        <w:t>metodológica</w:t>
      </w:r>
    </w:p>
    <w:p w:rsidR="007259F2" w:rsidRDefault="00E655B4">
      <w:pPr>
        <w:pStyle w:val="Corpodetexto"/>
        <w:spacing w:before="115"/>
        <w:ind w:right="422"/>
      </w:pPr>
      <w:r>
        <w:t>De acordo com o renomado professor Evanildo Bechara (2009), “entende-se por linguagem qualquer sistema de signos simbólicos empregados na intercomunicação social</w:t>
      </w:r>
      <w:r>
        <w:rPr>
          <w:spacing w:val="40"/>
        </w:rPr>
        <w:t xml:space="preserve"> </w:t>
      </w:r>
      <w:r>
        <w:t>para expressar e comunicar sentimentos, isto é, conteúdos de consciência.”</w:t>
      </w:r>
      <w:r>
        <w:rPr>
          <w:vertAlign w:val="superscript"/>
        </w:rPr>
        <w:t>17</w:t>
      </w:r>
    </w:p>
    <w:p w:rsidR="007259F2" w:rsidRDefault="00E655B4">
      <w:pPr>
        <w:pStyle w:val="Corpodetexto"/>
        <w:ind w:right="421"/>
      </w:pPr>
      <w:r>
        <w:t>Nesse mesmo diapasão, o Dicionário Houaiss da Língua Portuguesa (2009) define linguagem como “faculdade que têm as pessoas de se comunicar umas com as outras, exprimindo pensamentos e sentimentos por palavras, que podem ser escritas, quando necessário”</w:t>
      </w:r>
      <w:r>
        <w:rPr>
          <w:vertAlign w:val="superscript"/>
        </w:rPr>
        <w:t>18</w:t>
      </w:r>
      <w:r>
        <w:t xml:space="preserve">, ou seja, a linguagem é função que permite ao ser humano simbolizar seu </w:t>
      </w:r>
      <w:r>
        <w:rPr>
          <w:spacing w:val="-2"/>
        </w:rPr>
        <w:t>pensamento.</w:t>
      </w:r>
    </w:p>
    <w:p w:rsidR="007259F2" w:rsidRDefault="00E655B4">
      <w:pPr>
        <w:pStyle w:val="Corpodetexto"/>
        <w:spacing w:before="1"/>
        <w:ind w:right="423"/>
      </w:pPr>
      <w:r>
        <w:t>Dada à importância da linguagem, portanto, seria preciso que ela fosse objeto de investigação científica.</w:t>
      </w:r>
    </w:p>
    <w:p w:rsidR="007259F2" w:rsidRDefault="00E655B4">
      <w:pPr>
        <w:pStyle w:val="Corpodetexto"/>
        <w:ind w:right="421"/>
      </w:pPr>
      <w:r>
        <w:t>Em 1916, então, a partir dos estudos do filósofo suíço Ferdinand de Saussure, é lançada a obra “Curso de Linguística Geral”.</w:t>
      </w:r>
      <w:r>
        <w:rPr>
          <w:vertAlign w:val="superscript"/>
        </w:rPr>
        <w:t>19</w:t>
      </w:r>
      <w:r>
        <w:t xml:space="preserve"> No livro, Saussure apresenta elucubrações teóricas a fim dar à Linguística </w:t>
      </w:r>
      <w:r>
        <w:rPr>
          <w:i/>
        </w:rPr>
        <w:t xml:space="preserve">status </w:t>
      </w:r>
      <w:r>
        <w:t>de ciência autônoma.</w:t>
      </w:r>
    </w:p>
    <w:p w:rsidR="007259F2" w:rsidRDefault="00E655B4">
      <w:pPr>
        <w:pStyle w:val="Corpodetexto"/>
        <w:ind w:right="422"/>
      </w:pPr>
      <w:r>
        <w:t>Em sumaríssima síntese, para o linguista suíço, há diferença clara entre língua e linguagem. Descrita como parte unificada e suscetível de classificação da linguagem, a língua é, essencialmente, um sistema de signos. Assim, na teoria saussuriana, signo é a relação entre significante e significado. Em outras palavras, signo é a correspondência entre uma imagem acústica e um conceito. E, da análise dessa relação entre significante e significado, pode-se presumir que a língua é princípio de classificação, isto é, a língua determina as coisas do mundo e não é uma mera nomenclatura.</w:t>
      </w:r>
      <w:r>
        <w:rPr>
          <w:vertAlign w:val="superscript"/>
        </w:rPr>
        <w:t>20</w:t>
      </w:r>
    </w:p>
    <w:p w:rsidR="007259F2" w:rsidRDefault="00E655B4">
      <w:pPr>
        <w:pStyle w:val="Corpodetexto"/>
        <w:spacing w:before="1"/>
        <w:ind w:right="421"/>
      </w:pPr>
      <w:r>
        <w:t xml:space="preserve">Deste modo, ao buscar saber o </w:t>
      </w:r>
      <w:r>
        <w:rPr>
          <w:i/>
        </w:rPr>
        <w:t xml:space="preserve">significado </w:t>
      </w:r>
      <w:r>
        <w:t xml:space="preserve">de algum termo, é preciso lembrar, primeiro, que a língua não é uma lista de palavras. E, depois, que significado é um dos componentes do signo linguístico. Então, na verdade, o que se busca é a significação de uma </w:t>
      </w:r>
      <w:r>
        <w:rPr>
          <w:spacing w:val="-2"/>
        </w:rPr>
        <w:t>expressão.</w:t>
      </w:r>
    </w:p>
    <w:p w:rsidR="007259F2" w:rsidRDefault="007259F2">
      <w:pPr>
        <w:pStyle w:val="Corpodetexto"/>
        <w:ind w:left="0" w:firstLine="0"/>
        <w:jc w:val="left"/>
        <w:rPr>
          <w:sz w:val="20"/>
        </w:rPr>
      </w:pPr>
    </w:p>
    <w:p w:rsidR="007259F2" w:rsidRDefault="00DE6B1C">
      <w:pPr>
        <w:pStyle w:val="Corpodetexto"/>
        <w:spacing w:before="90"/>
        <w:ind w:left="0" w:firstLine="0"/>
        <w:jc w:val="left"/>
        <w:rPr>
          <w:sz w:val="20"/>
        </w:rPr>
      </w:pPr>
      <w:r w:rsidRPr="00DE6B1C">
        <w:rPr>
          <w:sz w:val="20"/>
        </w:rPr>
        <w:pict>
          <v:rect id="docshape165" o:spid="_x0000_s1062" style="position:absolute;margin-left:85.1pt;margin-top:17.25pt;width:2in;height:.7pt;z-index:-15654400;mso-wrap-distance-left:0;mso-wrap-distance-right:0;mso-position-horizontal-relative:page" fillcolor="black" stroked="f">
            <w10:wrap type="topAndBottom" anchorx="page"/>
          </v:rect>
        </w:pict>
      </w:r>
    </w:p>
    <w:p w:rsidR="007259F2" w:rsidRDefault="00E655B4">
      <w:pPr>
        <w:spacing w:before="96"/>
        <w:ind w:left="710"/>
        <w:rPr>
          <w:sz w:val="20"/>
        </w:rPr>
      </w:pPr>
      <w:r>
        <w:rPr>
          <w:sz w:val="20"/>
          <w:vertAlign w:val="superscript"/>
        </w:rPr>
        <w:t>16</w:t>
      </w:r>
      <w:r>
        <w:rPr>
          <w:spacing w:val="-2"/>
          <w:sz w:val="20"/>
        </w:rPr>
        <w:t xml:space="preserve"> https://legislacao.prefeitura.sp.gov.br/</w:t>
      </w:r>
    </w:p>
    <w:p w:rsidR="007259F2" w:rsidRDefault="00E655B4">
      <w:pPr>
        <w:spacing w:before="1"/>
        <w:ind w:left="710"/>
        <w:rPr>
          <w:sz w:val="20"/>
        </w:rPr>
      </w:pPr>
      <w:r>
        <w:rPr>
          <w:sz w:val="20"/>
          <w:vertAlign w:val="superscript"/>
        </w:rPr>
        <w:t>17</w:t>
      </w:r>
      <w:r>
        <w:rPr>
          <w:spacing w:val="40"/>
          <w:sz w:val="20"/>
        </w:rPr>
        <w:t xml:space="preserve"> </w:t>
      </w:r>
      <w:r>
        <w:rPr>
          <w:sz w:val="20"/>
        </w:rPr>
        <w:t>BECHARA,</w:t>
      </w:r>
      <w:r>
        <w:rPr>
          <w:spacing w:val="40"/>
          <w:sz w:val="20"/>
        </w:rPr>
        <w:t xml:space="preserve"> </w:t>
      </w:r>
      <w:r>
        <w:rPr>
          <w:sz w:val="20"/>
        </w:rPr>
        <w:t>E.</w:t>
      </w:r>
      <w:r>
        <w:rPr>
          <w:spacing w:val="38"/>
          <w:sz w:val="20"/>
        </w:rPr>
        <w:t xml:space="preserve"> </w:t>
      </w:r>
      <w:r>
        <w:rPr>
          <w:b/>
          <w:sz w:val="20"/>
        </w:rPr>
        <w:t>Moderna</w:t>
      </w:r>
      <w:r>
        <w:rPr>
          <w:b/>
          <w:spacing w:val="40"/>
          <w:sz w:val="20"/>
        </w:rPr>
        <w:t xml:space="preserve"> </w:t>
      </w:r>
      <w:r>
        <w:rPr>
          <w:b/>
          <w:sz w:val="20"/>
        </w:rPr>
        <w:t>gramática</w:t>
      </w:r>
      <w:r>
        <w:rPr>
          <w:b/>
          <w:spacing w:val="40"/>
          <w:sz w:val="20"/>
        </w:rPr>
        <w:t xml:space="preserve"> </w:t>
      </w:r>
      <w:r>
        <w:rPr>
          <w:b/>
          <w:sz w:val="20"/>
        </w:rPr>
        <w:t>portuguesa</w:t>
      </w:r>
      <w:r>
        <w:rPr>
          <w:sz w:val="20"/>
        </w:rPr>
        <w:t>.</w:t>
      </w:r>
      <w:r>
        <w:rPr>
          <w:spacing w:val="26"/>
          <w:sz w:val="20"/>
        </w:rPr>
        <w:t xml:space="preserve"> </w:t>
      </w:r>
      <w:r>
        <w:rPr>
          <w:sz w:val="20"/>
        </w:rPr>
        <w:t>37.</w:t>
      </w:r>
      <w:r>
        <w:rPr>
          <w:spacing w:val="39"/>
          <w:sz w:val="20"/>
        </w:rPr>
        <w:t xml:space="preserve"> </w:t>
      </w:r>
      <w:r>
        <w:rPr>
          <w:sz w:val="20"/>
        </w:rPr>
        <w:t>ed.</w:t>
      </w:r>
      <w:r>
        <w:rPr>
          <w:spacing w:val="39"/>
          <w:sz w:val="20"/>
        </w:rPr>
        <w:t xml:space="preserve"> </w:t>
      </w:r>
      <w:r>
        <w:rPr>
          <w:sz w:val="20"/>
        </w:rPr>
        <w:t>rev.,</w:t>
      </w:r>
      <w:r>
        <w:rPr>
          <w:spacing w:val="39"/>
          <w:sz w:val="20"/>
        </w:rPr>
        <w:t xml:space="preserve"> </w:t>
      </w:r>
      <w:r>
        <w:rPr>
          <w:sz w:val="20"/>
        </w:rPr>
        <w:t>ampl.</w:t>
      </w:r>
      <w:r>
        <w:rPr>
          <w:spacing w:val="38"/>
          <w:sz w:val="20"/>
        </w:rPr>
        <w:t xml:space="preserve"> </w:t>
      </w:r>
      <w:r>
        <w:rPr>
          <w:sz w:val="20"/>
        </w:rPr>
        <w:t>e</w:t>
      </w:r>
      <w:r>
        <w:rPr>
          <w:spacing w:val="38"/>
          <w:sz w:val="20"/>
        </w:rPr>
        <w:t xml:space="preserve"> </w:t>
      </w:r>
      <w:r>
        <w:rPr>
          <w:sz w:val="20"/>
        </w:rPr>
        <w:t>atual.</w:t>
      </w:r>
      <w:r>
        <w:rPr>
          <w:spacing w:val="39"/>
          <w:sz w:val="20"/>
        </w:rPr>
        <w:t xml:space="preserve"> </w:t>
      </w:r>
      <w:r>
        <w:rPr>
          <w:sz w:val="20"/>
        </w:rPr>
        <w:t>conforme</w:t>
      </w:r>
      <w:r>
        <w:rPr>
          <w:spacing w:val="40"/>
          <w:sz w:val="20"/>
        </w:rPr>
        <w:t xml:space="preserve"> </w:t>
      </w:r>
      <w:r>
        <w:rPr>
          <w:sz w:val="20"/>
        </w:rPr>
        <w:t>o</w:t>
      </w:r>
      <w:r>
        <w:rPr>
          <w:spacing w:val="40"/>
          <w:sz w:val="20"/>
        </w:rPr>
        <w:t xml:space="preserve"> </w:t>
      </w:r>
      <w:r>
        <w:rPr>
          <w:sz w:val="20"/>
        </w:rPr>
        <w:t>novo</w:t>
      </w:r>
      <w:r>
        <w:rPr>
          <w:spacing w:val="40"/>
          <w:sz w:val="20"/>
        </w:rPr>
        <w:t xml:space="preserve"> </w:t>
      </w:r>
      <w:r>
        <w:rPr>
          <w:sz w:val="20"/>
        </w:rPr>
        <w:t>Acordo Ortográfico. Rio de Janeiro: Nova Fronteira, 2009, p. 28.</w:t>
      </w:r>
    </w:p>
    <w:p w:rsidR="007259F2" w:rsidRDefault="00E655B4">
      <w:pPr>
        <w:ind w:left="710"/>
        <w:rPr>
          <w:sz w:val="20"/>
        </w:rPr>
      </w:pPr>
      <w:r>
        <w:rPr>
          <w:sz w:val="20"/>
          <w:vertAlign w:val="superscript"/>
        </w:rPr>
        <w:t>18</w:t>
      </w:r>
      <w:r>
        <w:rPr>
          <w:spacing w:val="31"/>
          <w:sz w:val="20"/>
        </w:rPr>
        <w:t xml:space="preserve"> </w:t>
      </w:r>
      <w:r>
        <w:rPr>
          <w:sz w:val="20"/>
        </w:rPr>
        <w:t>HOUAISS,</w:t>
      </w:r>
      <w:r>
        <w:rPr>
          <w:spacing w:val="33"/>
          <w:sz w:val="20"/>
        </w:rPr>
        <w:t xml:space="preserve"> </w:t>
      </w:r>
      <w:r>
        <w:rPr>
          <w:sz w:val="20"/>
        </w:rPr>
        <w:t>A.</w:t>
      </w:r>
      <w:r>
        <w:rPr>
          <w:spacing w:val="31"/>
          <w:sz w:val="20"/>
        </w:rPr>
        <w:t xml:space="preserve"> </w:t>
      </w:r>
      <w:r>
        <w:rPr>
          <w:sz w:val="20"/>
        </w:rPr>
        <w:t>e</w:t>
      </w:r>
      <w:r>
        <w:rPr>
          <w:spacing w:val="33"/>
          <w:sz w:val="20"/>
        </w:rPr>
        <w:t xml:space="preserve"> </w:t>
      </w:r>
      <w:r>
        <w:rPr>
          <w:sz w:val="20"/>
        </w:rPr>
        <w:t>VILLAR,</w:t>
      </w:r>
      <w:r>
        <w:rPr>
          <w:spacing w:val="33"/>
          <w:sz w:val="20"/>
        </w:rPr>
        <w:t xml:space="preserve"> </w:t>
      </w:r>
      <w:r>
        <w:rPr>
          <w:sz w:val="20"/>
        </w:rPr>
        <w:t>M.</w:t>
      </w:r>
      <w:r>
        <w:rPr>
          <w:spacing w:val="31"/>
          <w:sz w:val="20"/>
        </w:rPr>
        <w:t xml:space="preserve"> </w:t>
      </w:r>
      <w:r>
        <w:rPr>
          <w:sz w:val="20"/>
        </w:rPr>
        <w:t>de</w:t>
      </w:r>
      <w:r>
        <w:rPr>
          <w:spacing w:val="31"/>
          <w:sz w:val="20"/>
        </w:rPr>
        <w:t xml:space="preserve"> </w:t>
      </w:r>
      <w:r>
        <w:rPr>
          <w:sz w:val="20"/>
        </w:rPr>
        <w:t>S.</w:t>
      </w:r>
      <w:r>
        <w:rPr>
          <w:spacing w:val="34"/>
          <w:sz w:val="20"/>
        </w:rPr>
        <w:t xml:space="preserve"> </w:t>
      </w:r>
      <w:r>
        <w:rPr>
          <w:b/>
          <w:sz w:val="20"/>
        </w:rPr>
        <w:t>Dicionário</w:t>
      </w:r>
      <w:r>
        <w:rPr>
          <w:b/>
          <w:spacing w:val="32"/>
          <w:sz w:val="20"/>
        </w:rPr>
        <w:t xml:space="preserve"> </w:t>
      </w:r>
      <w:r>
        <w:rPr>
          <w:b/>
          <w:sz w:val="20"/>
        </w:rPr>
        <w:t>Houaiss</w:t>
      </w:r>
      <w:r>
        <w:rPr>
          <w:b/>
          <w:spacing w:val="30"/>
          <w:sz w:val="20"/>
        </w:rPr>
        <w:t xml:space="preserve"> </w:t>
      </w:r>
      <w:r>
        <w:rPr>
          <w:b/>
          <w:sz w:val="20"/>
        </w:rPr>
        <w:t>da</w:t>
      </w:r>
      <w:r>
        <w:rPr>
          <w:b/>
          <w:spacing w:val="33"/>
          <w:sz w:val="20"/>
        </w:rPr>
        <w:t xml:space="preserve"> </w:t>
      </w:r>
      <w:r>
        <w:rPr>
          <w:b/>
          <w:sz w:val="20"/>
        </w:rPr>
        <w:t>Língua</w:t>
      </w:r>
      <w:r>
        <w:rPr>
          <w:b/>
          <w:spacing w:val="31"/>
          <w:sz w:val="20"/>
        </w:rPr>
        <w:t xml:space="preserve"> </w:t>
      </w:r>
      <w:r>
        <w:rPr>
          <w:b/>
          <w:sz w:val="20"/>
        </w:rPr>
        <w:t>Portuguesa</w:t>
      </w:r>
      <w:r>
        <w:rPr>
          <w:sz w:val="20"/>
        </w:rPr>
        <w:t>.</w:t>
      </w:r>
      <w:r>
        <w:rPr>
          <w:spacing w:val="31"/>
          <w:sz w:val="20"/>
        </w:rPr>
        <w:t xml:space="preserve"> </w:t>
      </w:r>
      <w:r>
        <w:rPr>
          <w:sz w:val="20"/>
        </w:rPr>
        <w:t>Elaborado</w:t>
      </w:r>
      <w:r>
        <w:rPr>
          <w:spacing w:val="31"/>
          <w:sz w:val="20"/>
        </w:rPr>
        <w:t xml:space="preserve"> </w:t>
      </w:r>
      <w:r>
        <w:rPr>
          <w:sz w:val="20"/>
        </w:rPr>
        <w:t>no</w:t>
      </w:r>
      <w:r>
        <w:rPr>
          <w:spacing w:val="31"/>
          <w:sz w:val="20"/>
        </w:rPr>
        <w:t xml:space="preserve"> </w:t>
      </w:r>
      <w:r>
        <w:rPr>
          <w:sz w:val="20"/>
        </w:rPr>
        <w:t>Instituto Antonio Houaiss de Lexicografia e Banco de Dados da Portuguesa. Rio de Janeiro: Objetiva, 2009.</w:t>
      </w:r>
    </w:p>
    <w:p w:rsidR="007259F2" w:rsidRDefault="00E655B4">
      <w:pPr>
        <w:ind w:left="710" w:right="424"/>
        <w:rPr>
          <w:sz w:val="20"/>
        </w:rPr>
      </w:pPr>
      <w:r>
        <w:rPr>
          <w:sz w:val="20"/>
          <w:vertAlign w:val="superscript"/>
        </w:rPr>
        <w:t>19</w:t>
      </w:r>
      <w:r>
        <w:rPr>
          <w:sz w:val="20"/>
        </w:rPr>
        <w:t xml:space="preserve"> Em</w:t>
      </w:r>
      <w:r>
        <w:rPr>
          <w:spacing w:val="-1"/>
          <w:sz w:val="20"/>
        </w:rPr>
        <w:t xml:space="preserve"> </w:t>
      </w:r>
      <w:r>
        <w:rPr>
          <w:sz w:val="20"/>
        </w:rPr>
        <w:t>1916, por meio de anotações de aulas, foi lançada obra póstuma do linguista e filósofo suíço Ferdinand de Saussure. No livro “Curso de Linguística Geral”, Saussure</w:t>
      </w:r>
      <w:r>
        <w:rPr>
          <w:spacing w:val="-3"/>
          <w:sz w:val="20"/>
        </w:rPr>
        <w:t xml:space="preserve"> </w:t>
      </w:r>
      <w:r>
        <w:rPr>
          <w:sz w:val="20"/>
        </w:rPr>
        <w:t>apresenta a linguista como ciência autônoma.</w:t>
      </w:r>
    </w:p>
    <w:p w:rsidR="007259F2" w:rsidRDefault="00E655B4">
      <w:pPr>
        <w:ind w:left="710"/>
        <w:rPr>
          <w:sz w:val="20"/>
        </w:rPr>
      </w:pPr>
      <w:r>
        <w:rPr>
          <w:sz w:val="20"/>
          <w:vertAlign w:val="superscript"/>
        </w:rPr>
        <w:t>20</w:t>
      </w:r>
      <w:r>
        <w:rPr>
          <w:spacing w:val="-12"/>
          <w:sz w:val="20"/>
        </w:rPr>
        <w:t xml:space="preserve"> </w:t>
      </w:r>
      <w:r>
        <w:rPr>
          <w:sz w:val="20"/>
        </w:rPr>
        <w:t>FIORIN,</w:t>
      </w:r>
      <w:r>
        <w:rPr>
          <w:spacing w:val="-7"/>
          <w:sz w:val="20"/>
        </w:rPr>
        <w:t xml:space="preserve"> </w:t>
      </w:r>
      <w:r>
        <w:rPr>
          <w:sz w:val="20"/>
        </w:rPr>
        <w:t>J.L</w:t>
      </w:r>
      <w:r>
        <w:rPr>
          <w:spacing w:val="-13"/>
          <w:sz w:val="20"/>
        </w:rPr>
        <w:t xml:space="preserve"> </w:t>
      </w:r>
      <w:r>
        <w:rPr>
          <w:sz w:val="20"/>
        </w:rPr>
        <w:t>(org.).</w:t>
      </w:r>
      <w:r>
        <w:rPr>
          <w:spacing w:val="-10"/>
          <w:sz w:val="20"/>
        </w:rPr>
        <w:t xml:space="preserve"> </w:t>
      </w:r>
      <w:r>
        <w:rPr>
          <w:b/>
          <w:sz w:val="20"/>
        </w:rPr>
        <w:t>Introdução</w:t>
      </w:r>
      <w:r>
        <w:rPr>
          <w:b/>
          <w:spacing w:val="-12"/>
          <w:sz w:val="20"/>
        </w:rPr>
        <w:t xml:space="preserve"> </w:t>
      </w:r>
      <w:r>
        <w:rPr>
          <w:b/>
          <w:sz w:val="20"/>
        </w:rPr>
        <w:t>à</w:t>
      </w:r>
      <w:r>
        <w:rPr>
          <w:b/>
          <w:spacing w:val="-7"/>
          <w:sz w:val="20"/>
        </w:rPr>
        <w:t xml:space="preserve"> </w:t>
      </w:r>
      <w:r>
        <w:rPr>
          <w:b/>
          <w:sz w:val="20"/>
        </w:rPr>
        <w:t>Linguística</w:t>
      </w:r>
      <w:r>
        <w:rPr>
          <w:sz w:val="20"/>
        </w:rPr>
        <w:t>,</w:t>
      </w:r>
      <w:r>
        <w:rPr>
          <w:spacing w:val="-12"/>
          <w:sz w:val="20"/>
        </w:rPr>
        <w:t xml:space="preserve"> </w:t>
      </w:r>
      <w:r>
        <w:rPr>
          <w:sz w:val="20"/>
        </w:rPr>
        <w:t>São</w:t>
      </w:r>
      <w:r>
        <w:rPr>
          <w:spacing w:val="-13"/>
          <w:sz w:val="20"/>
        </w:rPr>
        <w:t xml:space="preserve"> </w:t>
      </w:r>
      <w:r>
        <w:rPr>
          <w:sz w:val="20"/>
        </w:rPr>
        <w:t>Paulo:</w:t>
      </w:r>
      <w:r>
        <w:rPr>
          <w:spacing w:val="-7"/>
          <w:sz w:val="20"/>
        </w:rPr>
        <w:t xml:space="preserve"> </w:t>
      </w:r>
      <w:r>
        <w:rPr>
          <w:sz w:val="20"/>
        </w:rPr>
        <w:t>Contexto,</w:t>
      </w:r>
      <w:r>
        <w:rPr>
          <w:spacing w:val="-6"/>
          <w:sz w:val="20"/>
        </w:rPr>
        <w:t xml:space="preserve"> </w:t>
      </w:r>
      <w:r>
        <w:rPr>
          <w:spacing w:val="-2"/>
          <w:sz w:val="20"/>
        </w:rPr>
        <w:t>2007.</w:t>
      </w:r>
    </w:p>
    <w:p w:rsidR="007259F2" w:rsidRDefault="007259F2">
      <w:pPr>
        <w:rPr>
          <w:sz w:val="20"/>
        </w:rPr>
        <w:sectPr w:rsidR="007259F2">
          <w:pgSz w:w="11910" w:h="16840"/>
          <w:pgMar w:top="1600" w:right="708" w:bottom="1020" w:left="992" w:header="0" w:footer="820" w:gutter="0"/>
          <w:cols w:space="720"/>
        </w:sectPr>
      </w:pPr>
    </w:p>
    <w:p w:rsidR="007259F2" w:rsidRDefault="00E655B4">
      <w:pPr>
        <w:pStyle w:val="Corpodetexto"/>
        <w:spacing w:before="75"/>
        <w:ind w:right="419"/>
      </w:pPr>
      <w:r>
        <w:lastRenderedPageBreak/>
        <w:t xml:space="preserve">Reitera-se, signo linguístico é a correspondência entre a imagem acústica e o seu conceito. Para a Linguística, </w:t>
      </w:r>
      <w:r>
        <w:rPr>
          <w:i/>
        </w:rPr>
        <w:t xml:space="preserve">designação </w:t>
      </w:r>
      <w:r>
        <w:t xml:space="preserve">significa relacionar o signo (o conjunto entre significante e significado) e o que este signo representa, ou seja, o seu tema. Já </w:t>
      </w:r>
      <w:r>
        <w:rPr>
          <w:i/>
        </w:rPr>
        <w:t xml:space="preserve">significação </w:t>
      </w:r>
      <w:r>
        <w:t>refere-se</w:t>
      </w:r>
      <w:r>
        <w:rPr>
          <w:spacing w:val="-12"/>
        </w:rPr>
        <w:t xml:space="preserve"> </w:t>
      </w:r>
      <w:r>
        <w:t>à</w:t>
      </w:r>
      <w:r>
        <w:rPr>
          <w:spacing w:val="-11"/>
        </w:rPr>
        <w:t xml:space="preserve"> </w:t>
      </w:r>
      <w:r>
        <w:t>relação</w:t>
      </w:r>
      <w:r>
        <w:rPr>
          <w:spacing w:val="-5"/>
        </w:rPr>
        <w:t xml:space="preserve"> </w:t>
      </w:r>
      <w:r>
        <w:t>entre</w:t>
      </w:r>
      <w:r>
        <w:rPr>
          <w:spacing w:val="-10"/>
        </w:rPr>
        <w:t xml:space="preserve"> </w:t>
      </w:r>
      <w:r>
        <w:t>significados,</w:t>
      </w:r>
      <w:r>
        <w:rPr>
          <w:spacing w:val="-8"/>
        </w:rPr>
        <w:t xml:space="preserve"> </w:t>
      </w:r>
      <w:r>
        <w:t>isto</w:t>
      </w:r>
      <w:r>
        <w:rPr>
          <w:spacing w:val="-10"/>
        </w:rPr>
        <w:t xml:space="preserve"> </w:t>
      </w:r>
      <w:r>
        <w:t>é,</w:t>
      </w:r>
      <w:r>
        <w:rPr>
          <w:spacing w:val="-10"/>
        </w:rPr>
        <w:t xml:space="preserve"> </w:t>
      </w:r>
      <w:r>
        <w:t>a</w:t>
      </w:r>
      <w:r>
        <w:rPr>
          <w:spacing w:val="-15"/>
        </w:rPr>
        <w:t xml:space="preserve"> </w:t>
      </w:r>
      <w:r>
        <w:t>relação</w:t>
      </w:r>
      <w:r>
        <w:rPr>
          <w:spacing w:val="-5"/>
        </w:rPr>
        <w:t xml:space="preserve"> </w:t>
      </w:r>
      <w:r>
        <w:t>entre</w:t>
      </w:r>
      <w:r>
        <w:rPr>
          <w:spacing w:val="-15"/>
        </w:rPr>
        <w:t xml:space="preserve"> </w:t>
      </w:r>
      <w:r>
        <w:t>os</w:t>
      </w:r>
      <w:r>
        <w:rPr>
          <w:spacing w:val="-14"/>
        </w:rPr>
        <w:t xml:space="preserve"> </w:t>
      </w:r>
      <w:r>
        <w:t>conteúdos.</w:t>
      </w:r>
      <w:r>
        <w:rPr>
          <w:spacing w:val="-12"/>
        </w:rPr>
        <w:t xml:space="preserve"> </w:t>
      </w:r>
      <w:r>
        <w:t>As questões</w:t>
      </w:r>
      <w:r>
        <w:rPr>
          <w:spacing w:val="-1"/>
        </w:rPr>
        <w:t xml:space="preserve"> </w:t>
      </w:r>
      <w:r>
        <w:t>atreladas à significação são semânticas.</w:t>
      </w:r>
    </w:p>
    <w:p w:rsidR="007259F2" w:rsidRDefault="007259F2">
      <w:pPr>
        <w:pStyle w:val="Corpodetexto"/>
        <w:spacing w:before="2"/>
        <w:ind w:left="0" w:firstLine="0"/>
        <w:jc w:val="left"/>
      </w:pPr>
    </w:p>
    <w:p w:rsidR="007259F2" w:rsidRDefault="00E655B4">
      <w:pPr>
        <w:ind w:left="2978" w:right="421"/>
        <w:jc w:val="both"/>
        <w:rPr>
          <w:sz w:val="20"/>
        </w:rPr>
      </w:pPr>
      <w:r>
        <w:rPr>
          <w:sz w:val="20"/>
        </w:rPr>
        <w:t>Para evitar confusões que perturbam tal estudo, convém distinguir as relações de significação das relações de designação. As relações de significação são relações entre significados dos signos linguísticos, enquanto as relações de designação são relações entre signos linguísticos inteiros e os “objetos”, isto é, as realidades extralinguísticas por eles designados e representados no discurso. Só as relações de significação são estruturáveis. Um</w:t>
      </w:r>
      <w:r>
        <w:rPr>
          <w:spacing w:val="-2"/>
          <w:sz w:val="20"/>
        </w:rPr>
        <w:t xml:space="preserve"> </w:t>
      </w:r>
      <w:r>
        <w:rPr>
          <w:sz w:val="20"/>
        </w:rPr>
        <w:t>exemplo para</w:t>
      </w:r>
      <w:r>
        <w:rPr>
          <w:spacing w:val="-1"/>
          <w:sz w:val="20"/>
        </w:rPr>
        <w:t xml:space="preserve"> </w:t>
      </w:r>
      <w:r>
        <w:rPr>
          <w:sz w:val="20"/>
        </w:rPr>
        <w:t>clarear a</w:t>
      </w:r>
      <w:r>
        <w:rPr>
          <w:spacing w:val="-1"/>
          <w:sz w:val="20"/>
        </w:rPr>
        <w:t xml:space="preserve"> </w:t>
      </w:r>
      <w:r>
        <w:rPr>
          <w:sz w:val="20"/>
        </w:rPr>
        <w:t>distinção: a</w:t>
      </w:r>
      <w:r>
        <w:rPr>
          <w:spacing w:val="-1"/>
          <w:sz w:val="20"/>
        </w:rPr>
        <w:t xml:space="preserve"> </w:t>
      </w:r>
      <w:r>
        <w:rPr>
          <w:sz w:val="20"/>
        </w:rPr>
        <w:t>designação de dois signos pode ser a mesma sem que seus significados sejam idênticos. Coseriu exemplifica</w:t>
      </w:r>
      <w:r>
        <w:rPr>
          <w:spacing w:val="-6"/>
          <w:sz w:val="20"/>
        </w:rPr>
        <w:t xml:space="preserve"> </w:t>
      </w:r>
      <w:r>
        <w:rPr>
          <w:sz w:val="20"/>
        </w:rPr>
        <w:t>com</w:t>
      </w:r>
      <w:r>
        <w:rPr>
          <w:spacing w:val="-9"/>
          <w:sz w:val="20"/>
        </w:rPr>
        <w:t xml:space="preserve"> </w:t>
      </w:r>
      <w:r>
        <w:rPr>
          <w:sz w:val="20"/>
        </w:rPr>
        <w:t>os</w:t>
      </w:r>
      <w:r>
        <w:rPr>
          <w:spacing w:val="-9"/>
          <w:sz w:val="20"/>
        </w:rPr>
        <w:t xml:space="preserve"> </w:t>
      </w:r>
      <w:r>
        <w:rPr>
          <w:sz w:val="20"/>
        </w:rPr>
        <w:t>termos</w:t>
      </w:r>
      <w:r>
        <w:rPr>
          <w:spacing w:val="-6"/>
          <w:sz w:val="20"/>
        </w:rPr>
        <w:t xml:space="preserve"> </w:t>
      </w:r>
      <w:r>
        <w:rPr>
          <w:sz w:val="20"/>
        </w:rPr>
        <w:t>gregos</w:t>
      </w:r>
      <w:r>
        <w:rPr>
          <w:spacing w:val="-8"/>
          <w:sz w:val="20"/>
        </w:rPr>
        <w:t xml:space="preserve"> </w:t>
      </w:r>
      <w:r>
        <w:rPr>
          <w:sz w:val="20"/>
        </w:rPr>
        <w:t>brotós e ánthropos, que designam a mesma classe de objetos (os homens), mas não têm</w:t>
      </w:r>
      <w:r>
        <w:rPr>
          <w:spacing w:val="-2"/>
          <w:sz w:val="20"/>
        </w:rPr>
        <w:t xml:space="preserve"> </w:t>
      </w:r>
      <w:r>
        <w:rPr>
          <w:sz w:val="20"/>
        </w:rPr>
        <w:t>o mesmo significado, isto é, não significam “o mesmo”: brotós significa “homem como não deus” e ánthropos significa “homem como não animal”.</w:t>
      </w:r>
      <w:r>
        <w:rPr>
          <w:sz w:val="20"/>
          <w:vertAlign w:val="superscript"/>
        </w:rPr>
        <w:t>21</w:t>
      </w:r>
    </w:p>
    <w:p w:rsidR="007259F2" w:rsidRDefault="007259F2">
      <w:pPr>
        <w:pStyle w:val="Corpodetexto"/>
        <w:spacing w:before="45"/>
        <w:ind w:left="0" w:firstLine="0"/>
        <w:jc w:val="left"/>
        <w:rPr>
          <w:sz w:val="20"/>
        </w:rPr>
      </w:pPr>
    </w:p>
    <w:p w:rsidR="007259F2" w:rsidRDefault="00E655B4">
      <w:pPr>
        <w:pStyle w:val="Corpodetexto"/>
        <w:ind w:right="422"/>
      </w:pPr>
      <w:r>
        <w:t>A Semântica é o ramo da Linguística que estuda o sentido das palavras. Por apreço à clareza, faz-se indispensável</w:t>
      </w:r>
      <w:r>
        <w:rPr>
          <w:spacing w:val="-2"/>
        </w:rPr>
        <w:t xml:space="preserve"> </w:t>
      </w:r>
      <w:r>
        <w:t>o bom</w:t>
      </w:r>
      <w:r>
        <w:rPr>
          <w:spacing w:val="-6"/>
        </w:rPr>
        <w:t xml:space="preserve"> </w:t>
      </w:r>
      <w:r>
        <w:t>emprego dos termos</w:t>
      </w:r>
      <w:r>
        <w:rPr>
          <w:spacing w:val="-1"/>
        </w:rPr>
        <w:t xml:space="preserve"> </w:t>
      </w:r>
      <w:r>
        <w:t>no processo de elaboração das leis.</w:t>
      </w:r>
    </w:p>
    <w:p w:rsidR="007259F2" w:rsidRDefault="007259F2">
      <w:pPr>
        <w:pStyle w:val="Corpodetexto"/>
        <w:spacing w:before="1"/>
        <w:ind w:left="0" w:firstLine="0"/>
        <w:jc w:val="left"/>
      </w:pPr>
    </w:p>
    <w:p w:rsidR="007259F2" w:rsidRDefault="00E655B4">
      <w:pPr>
        <w:ind w:left="2978" w:right="419"/>
        <w:jc w:val="both"/>
        <w:rPr>
          <w:sz w:val="20"/>
        </w:rPr>
      </w:pPr>
      <w:r>
        <w:rPr>
          <w:sz w:val="20"/>
        </w:rPr>
        <w:t>A</w:t>
      </w:r>
      <w:r>
        <w:rPr>
          <w:spacing w:val="-1"/>
          <w:sz w:val="20"/>
        </w:rPr>
        <w:t xml:space="preserve"> </w:t>
      </w:r>
      <w:r>
        <w:rPr>
          <w:sz w:val="20"/>
        </w:rPr>
        <w:t>Semântica estuda o sentido das palavras, expressões, frases e unidades maiores da comunicação verbal, os significados que lhe são atribuídos. Ao considerarmos o significado de determinada palavra, levamos em conta sua história, sua estrutura (radical, prefixos, sufixos que participam da sua forma) e, por fim, o contexto em</w:t>
      </w:r>
      <w:r>
        <w:rPr>
          <w:spacing w:val="40"/>
          <w:sz w:val="20"/>
        </w:rPr>
        <w:t xml:space="preserve"> </w:t>
      </w:r>
      <w:r>
        <w:rPr>
          <w:sz w:val="20"/>
        </w:rPr>
        <w:t>que se apresenta. Sendo a clareza um dos requisitos fundamentais de todo texto oficial, deve-se atentar para a tradição no emprego de determinada expressão com determinado sentido. O emprego de expressões ditas de uso consagrado confere uniformidade e transparência ao sentido do texto. Mas isso não quer dizer que os textos oficiais devam limitar-se à repetição de chavões e de clichês. Verifique</w:t>
      </w:r>
      <w:r>
        <w:rPr>
          <w:spacing w:val="40"/>
          <w:sz w:val="20"/>
        </w:rPr>
        <w:t xml:space="preserve"> </w:t>
      </w:r>
      <w:r>
        <w:rPr>
          <w:sz w:val="20"/>
        </w:rPr>
        <w:t>sempre o contexto em que as palavras estão sendo utilizadas. Certifique-se de que não há repetições desnecessárias ou redundâncias. Procure sinônimos ou termos</w:t>
      </w:r>
      <w:r>
        <w:rPr>
          <w:spacing w:val="40"/>
          <w:sz w:val="20"/>
        </w:rPr>
        <w:t xml:space="preserve"> </w:t>
      </w:r>
      <w:r>
        <w:rPr>
          <w:sz w:val="20"/>
        </w:rPr>
        <w:t>mais precisos para as palavras repetidas; mas se sua substituição for comprometer o sentido do texto, tornando-o ambíguo ou menos claro, não hesite em deixar o texto como está. É</w:t>
      </w:r>
      <w:r>
        <w:rPr>
          <w:spacing w:val="-1"/>
          <w:sz w:val="20"/>
        </w:rPr>
        <w:t xml:space="preserve"> </w:t>
      </w:r>
      <w:r>
        <w:rPr>
          <w:sz w:val="20"/>
        </w:rPr>
        <w:t>importante</w:t>
      </w:r>
      <w:r>
        <w:rPr>
          <w:spacing w:val="-1"/>
          <w:sz w:val="20"/>
        </w:rPr>
        <w:t xml:space="preserve"> </w:t>
      </w:r>
      <w:r>
        <w:rPr>
          <w:sz w:val="20"/>
        </w:rPr>
        <w:t>lembrar que</w:t>
      </w:r>
      <w:r>
        <w:rPr>
          <w:spacing w:val="-1"/>
          <w:sz w:val="20"/>
        </w:rPr>
        <w:t xml:space="preserve"> </w:t>
      </w:r>
      <w:r>
        <w:rPr>
          <w:sz w:val="20"/>
        </w:rPr>
        <w:t>o idioma</w:t>
      </w:r>
      <w:r>
        <w:rPr>
          <w:spacing w:val="-1"/>
          <w:sz w:val="20"/>
        </w:rPr>
        <w:t xml:space="preserve"> </w:t>
      </w:r>
      <w:r>
        <w:rPr>
          <w:sz w:val="20"/>
        </w:rPr>
        <w:t>está</w:t>
      </w:r>
      <w:r>
        <w:rPr>
          <w:spacing w:val="-1"/>
          <w:sz w:val="20"/>
        </w:rPr>
        <w:t xml:space="preserve"> </w:t>
      </w:r>
      <w:r>
        <w:rPr>
          <w:sz w:val="20"/>
        </w:rPr>
        <w:t>em</w:t>
      </w:r>
      <w:r>
        <w:rPr>
          <w:spacing w:val="-2"/>
          <w:sz w:val="20"/>
        </w:rPr>
        <w:t xml:space="preserve"> </w:t>
      </w:r>
      <w:r>
        <w:rPr>
          <w:sz w:val="20"/>
        </w:rPr>
        <w:t>constante mutação.</w:t>
      </w:r>
      <w:r>
        <w:rPr>
          <w:spacing w:val="-1"/>
          <w:sz w:val="20"/>
        </w:rPr>
        <w:t xml:space="preserve"> </w:t>
      </w:r>
      <w:r>
        <w:rPr>
          <w:sz w:val="20"/>
        </w:rPr>
        <w:t>A</w:t>
      </w:r>
      <w:r>
        <w:rPr>
          <w:spacing w:val="-2"/>
          <w:sz w:val="20"/>
        </w:rPr>
        <w:t xml:space="preserve"> </w:t>
      </w:r>
      <w:r>
        <w:rPr>
          <w:sz w:val="20"/>
        </w:rPr>
        <w:t>própria evolução dos costumes, das</w:t>
      </w:r>
      <w:r>
        <w:rPr>
          <w:spacing w:val="-1"/>
          <w:sz w:val="20"/>
        </w:rPr>
        <w:t xml:space="preserve"> </w:t>
      </w:r>
      <w:r>
        <w:rPr>
          <w:sz w:val="20"/>
        </w:rPr>
        <w:t>ideias, das ciências, da</w:t>
      </w:r>
      <w:r>
        <w:rPr>
          <w:spacing w:val="-3"/>
          <w:sz w:val="20"/>
        </w:rPr>
        <w:t xml:space="preserve"> </w:t>
      </w:r>
      <w:r>
        <w:rPr>
          <w:sz w:val="20"/>
        </w:rPr>
        <w:t>política, enfim da vida</w:t>
      </w:r>
      <w:r>
        <w:rPr>
          <w:spacing w:val="-5"/>
          <w:sz w:val="20"/>
        </w:rPr>
        <w:t xml:space="preserve"> </w:t>
      </w:r>
      <w:r>
        <w:rPr>
          <w:sz w:val="20"/>
        </w:rPr>
        <w:t>social em geral, impõe a criação de</w:t>
      </w:r>
      <w:r>
        <w:rPr>
          <w:spacing w:val="-2"/>
          <w:sz w:val="20"/>
        </w:rPr>
        <w:t xml:space="preserve"> </w:t>
      </w:r>
      <w:r>
        <w:rPr>
          <w:sz w:val="20"/>
        </w:rPr>
        <w:t>novas palavras</w:t>
      </w:r>
      <w:r>
        <w:rPr>
          <w:spacing w:val="-2"/>
          <w:sz w:val="20"/>
        </w:rPr>
        <w:t xml:space="preserve"> </w:t>
      </w:r>
      <w:r>
        <w:rPr>
          <w:sz w:val="20"/>
        </w:rPr>
        <w:t>e de formas</w:t>
      </w:r>
      <w:r>
        <w:rPr>
          <w:spacing w:val="-2"/>
          <w:sz w:val="20"/>
        </w:rPr>
        <w:t xml:space="preserve"> </w:t>
      </w:r>
      <w:r>
        <w:rPr>
          <w:sz w:val="20"/>
        </w:rPr>
        <w:t>de dizer.</w:t>
      </w:r>
      <w:r>
        <w:rPr>
          <w:sz w:val="20"/>
          <w:vertAlign w:val="superscript"/>
        </w:rPr>
        <w:t>22</w:t>
      </w:r>
    </w:p>
    <w:p w:rsidR="007259F2" w:rsidRDefault="007259F2">
      <w:pPr>
        <w:pStyle w:val="Corpodetexto"/>
        <w:ind w:left="0" w:firstLine="0"/>
        <w:jc w:val="left"/>
        <w:rPr>
          <w:sz w:val="20"/>
        </w:rPr>
      </w:pPr>
    </w:p>
    <w:p w:rsidR="007259F2" w:rsidRDefault="007259F2">
      <w:pPr>
        <w:pStyle w:val="Corpodetexto"/>
        <w:spacing w:before="19"/>
        <w:ind w:left="0" w:firstLine="0"/>
        <w:jc w:val="left"/>
        <w:rPr>
          <w:sz w:val="20"/>
        </w:rPr>
      </w:pPr>
    </w:p>
    <w:p w:rsidR="007259F2" w:rsidRDefault="00E655B4">
      <w:pPr>
        <w:pStyle w:val="Corpodetexto"/>
        <w:ind w:right="427"/>
      </w:pPr>
      <w:r>
        <w:t>Outra indispensável observação acerca da abordagem acadêmica dos signos linguísticos é a sua crucial diferença entre o estudo tradicional da gramática.</w:t>
      </w:r>
    </w:p>
    <w:p w:rsidR="007259F2" w:rsidRDefault="00E655B4">
      <w:pPr>
        <w:pStyle w:val="Corpodetexto"/>
        <w:ind w:right="423"/>
      </w:pPr>
      <w:r>
        <w:t>Em linhas gerais, o escopo do estudo tradicional da gramática é a oferta de juízos de valor rígidos atrelados à congruência, correção e adequação de um texto.</w:t>
      </w:r>
      <w:r>
        <w:rPr>
          <w:vertAlign w:val="superscript"/>
        </w:rPr>
        <w:t>23</w:t>
      </w:r>
    </w:p>
    <w:p w:rsidR="007259F2" w:rsidRDefault="00E655B4">
      <w:pPr>
        <w:pStyle w:val="Corpodetexto"/>
        <w:spacing w:before="1"/>
        <w:ind w:right="424"/>
      </w:pPr>
      <w:r>
        <w:t>E</w:t>
      </w:r>
      <w:r>
        <w:rPr>
          <w:spacing w:val="-3"/>
        </w:rPr>
        <w:t xml:space="preserve"> </w:t>
      </w:r>
      <w:r>
        <w:t>mais, ao apontar</w:t>
      </w:r>
      <w:r>
        <w:rPr>
          <w:spacing w:val="-2"/>
        </w:rPr>
        <w:t xml:space="preserve"> </w:t>
      </w:r>
      <w:r>
        <w:t>“como se</w:t>
      </w:r>
      <w:r>
        <w:rPr>
          <w:spacing w:val="-1"/>
        </w:rPr>
        <w:t xml:space="preserve"> </w:t>
      </w:r>
      <w:r>
        <w:t>deve</w:t>
      </w:r>
      <w:r>
        <w:rPr>
          <w:spacing w:val="-1"/>
        </w:rPr>
        <w:t xml:space="preserve"> </w:t>
      </w:r>
      <w:r>
        <w:t>escrever”</w:t>
      </w:r>
      <w:r>
        <w:rPr>
          <w:spacing w:val="-1"/>
        </w:rPr>
        <w:t xml:space="preserve"> </w:t>
      </w:r>
      <w:r>
        <w:t>ou</w:t>
      </w:r>
      <w:r>
        <w:rPr>
          <w:spacing w:val="-2"/>
        </w:rPr>
        <w:t xml:space="preserve"> </w:t>
      </w:r>
      <w:r>
        <w:t>o que</w:t>
      </w:r>
      <w:r>
        <w:rPr>
          <w:spacing w:val="-1"/>
        </w:rPr>
        <w:t xml:space="preserve"> </w:t>
      </w:r>
      <w:r>
        <w:t>é</w:t>
      </w:r>
      <w:r>
        <w:rPr>
          <w:spacing w:val="-1"/>
        </w:rPr>
        <w:t xml:space="preserve"> </w:t>
      </w:r>
      <w:r>
        <w:t>“mais</w:t>
      </w:r>
      <w:r>
        <w:rPr>
          <w:spacing w:val="-2"/>
        </w:rPr>
        <w:t xml:space="preserve"> </w:t>
      </w:r>
      <w:r>
        <w:t>ou</w:t>
      </w:r>
      <w:r>
        <w:rPr>
          <w:spacing w:val="-2"/>
        </w:rPr>
        <w:t xml:space="preserve"> </w:t>
      </w:r>
      <w:r>
        <w:t>menos</w:t>
      </w:r>
      <w:r>
        <w:rPr>
          <w:spacing w:val="-2"/>
        </w:rPr>
        <w:t xml:space="preserve"> </w:t>
      </w:r>
      <w:r>
        <w:t>adequado” em um texto, faz-se referência à gramática normativa e não à descritiva, posto que esta última opera como ciência.</w:t>
      </w:r>
    </w:p>
    <w:p w:rsidR="007259F2" w:rsidRDefault="00E655B4">
      <w:pPr>
        <w:spacing w:before="1"/>
        <w:ind w:left="2978" w:right="432"/>
        <w:jc w:val="both"/>
        <w:rPr>
          <w:sz w:val="20"/>
        </w:rPr>
      </w:pPr>
      <w:r>
        <w:rPr>
          <w:sz w:val="20"/>
        </w:rPr>
        <w:t>A gramática descritiva se reveste de várias formas segundo o que examina mediante uma metodologia empregada, formas que não cabe aqui explicitar, mas tão somente enumerar:</w:t>
      </w:r>
      <w:r>
        <w:rPr>
          <w:spacing w:val="22"/>
          <w:sz w:val="20"/>
        </w:rPr>
        <w:t xml:space="preserve"> </w:t>
      </w:r>
      <w:r>
        <w:rPr>
          <w:sz w:val="20"/>
        </w:rPr>
        <w:t>estrutural,</w:t>
      </w:r>
      <w:r>
        <w:rPr>
          <w:spacing w:val="26"/>
          <w:sz w:val="20"/>
        </w:rPr>
        <w:t xml:space="preserve"> </w:t>
      </w:r>
      <w:r>
        <w:rPr>
          <w:sz w:val="20"/>
        </w:rPr>
        <w:t>funcional,</w:t>
      </w:r>
      <w:r>
        <w:rPr>
          <w:spacing w:val="24"/>
          <w:sz w:val="20"/>
        </w:rPr>
        <w:t xml:space="preserve"> </w:t>
      </w:r>
      <w:r>
        <w:rPr>
          <w:sz w:val="20"/>
        </w:rPr>
        <w:t>estrutural</w:t>
      </w:r>
      <w:r>
        <w:rPr>
          <w:spacing w:val="23"/>
          <w:sz w:val="20"/>
        </w:rPr>
        <w:t xml:space="preserve"> </w:t>
      </w:r>
      <w:r>
        <w:rPr>
          <w:sz w:val="20"/>
        </w:rPr>
        <w:t>e</w:t>
      </w:r>
      <w:r>
        <w:rPr>
          <w:spacing w:val="27"/>
          <w:sz w:val="20"/>
        </w:rPr>
        <w:t xml:space="preserve"> </w:t>
      </w:r>
      <w:r>
        <w:rPr>
          <w:sz w:val="20"/>
        </w:rPr>
        <w:t>funcional,</w:t>
      </w:r>
      <w:r>
        <w:rPr>
          <w:spacing w:val="23"/>
          <w:sz w:val="20"/>
        </w:rPr>
        <w:t xml:space="preserve"> </w:t>
      </w:r>
      <w:r>
        <w:rPr>
          <w:sz w:val="20"/>
        </w:rPr>
        <w:t>constrastiva,</w:t>
      </w:r>
      <w:r>
        <w:rPr>
          <w:spacing w:val="26"/>
          <w:sz w:val="20"/>
        </w:rPr>
        <w:t xml:space="preserve"> </w:t>
      </w:r>
      <w:r>
        <w:rPr>
          <w:spacing w:val="-2"/>
          <w:sz w:val="20"/>
        </w:rPr>
        <w:t>distribucional,</w:t>
      </w:r>
    </w:p>
    <w:p w:rsidR="007259F2" w:rsidRDefault="00DE6B1C">
      <w:pPr>
        <w:pStyle w:val="Corpodetexto"/>
        <w:spacing w:before="4"/>
        <w:ind w:left="0" w:firstLine="0"/>
        <w:jc w:val="left"/>
        <w:rPr>
          <w:sz w:val="16"/>
        </w:rPr>
      </w:pPr>
      <w:r w:rsidRPr="00DE6B1C">
        <w:rPr>
          <w:sz w:val="16"/>
        </w:rPr>
        <w:pict>
          <v:rect id="docshape166" o:spid="_x0000_s1061" style="position:absolute;margin-left:85.1pt;margin-top:10.6pt;width:2in;height:.7pt;z-index:-15653888;mso-wrap-distance-left:0;mso-wrap-distance-right:0;mso-position-horizontal-relative:page" fillcolor="black" stroked="f">
            <w10:wrap type="topAndBottom" anchorx="page"/>
          </v:rect>
        </w:pict>
      </w:r>
    </w:p>
    <w:p w:rsidR="007259F2" w:rsidRDefault="00E655B4">
      <w:pPr>
        <w:spacing w:before="96" w:line="229" w:lineRule="exact"/>
        <w:ind w:left="710"/>
        <w:jc w:val="both"/>
        <w:rPr>
          <w:sz w:val="20"/>
        </w:rPr>
      </w:pPr>
      <w:r>
        <w:rPr>
          <w:sz w:val="20"/>
          <w:vertAlign w:val="superscript"/>
        </w:rPr>
        <w:t>21</w:t>
      </w:r>
      <w:r>
        <w:rPr>
          <w:spacing w:val="-4"/>
          <w:sz w:val="20"/>
        </w:rPr>
        <w:t xml:space="preserve"> </w:t>
      </w:r>
      <w:r>
        <w:rPr>
          <w:sz w:val="20"/>
        </w:rPr>
        <w:t>BECHARA,</w:t>
      </w:r>
      <w:r>
        <w:rPr>
          <w:spacing w:val="-3"/>
          <w:sz w:val="20"/>
        </w:rPr>
        <w:t xml:space="preserve"> </w:t>
      </w:r>
      <w:r>
        <w:rPr>
          <w:sz w:val="20"/>
        </w:rPr>
        <w:t>2009,</w:t>
      </w:r>
      <w:r>
        <w:rPr>
          <w:spacing w:val="-7"/>
          <w:sz w:val="20"/>
        </w:rPr>
        <w:t xml:space="preserve"> </w:t>
      </w:r>
      <w:r>
        <w:rPr>
          <w:sz w:val="20"/>
        </w:rPr>
        <w:t>p.</w:t>
      </w:r>
      <w:r>
        <w:rPr>
          <w:spacing w:val="-8"/>
          <w:sz w:val="20"/>
        </w:rPr>
        <w:t xml:space="preserve"> </w:t>
      </w:r>
      <w:r>
        <w:rPr>
          <w:spacing w:val="-4"/>
          <w:sz w:val="20"/>
        </w:rPr>
        <w:t>470.</w:t>
      </w:r>
    </w:p>
    <w:p w:rsidR="007259F2" w:rsidRDefault="00E655B4">
      <w:pPr>
        <w:spacing w:line="229" w:lineRule="exact"/>
        <w:ind w:left="710"/>
        <w:jc w:val="both"/>
        <w:rPr>
          <w:sz w:val="20"/>
        </w:rPr>
      </w:pPr>
      <w:r>
        <w:rPr>
          <w:sz w:val="20"/>
          <w:vertAlign w:val="superscript"/>
        </w:rPr>
        <w:t>22</w:t>
      </w:r>
      <w:r>
        <w:rPr>
          <w:spacing w:val="-8"/>
          <w:sz w:val="20"/>
        </w:rPr>
        <w:t xml:space="preserve"> </w:t>
      </w:r>
      <w:r>
        <w:rPr>
          <w:sz w:val="20"/>
        </w:rPr>
        <w:t>BRASIL.</w:t>
      </w:r>
      <w:r>
        <w:rPr>
          <w:spacing w:val="-6"/>
          <w:sz w:val="20"/>
        </w:rPr>
        <w:t xml:space="preserve"> </w:t>
      </w:r>
      <w:r>
        <w:rPr>
          <w:b/>
          <w:sz w:val="20"/>
        </w:rPr>
        <w:t>Manual</w:t>
      </w:r>
      <w:r>
        <w:rPr>
          <w:b/>
          <w:spacing w:val="-11"/>
          <w:sz w:val="20"/>
        </w:rPr>
        <w:t xml:space="preserve"> </w:t>
      </w:r>
      <w:r>
        <w:rPr>
          <w:b/>
          <w:sz w:val="20"/>
        </w:rPr>
        <w:t>de</w:t>
      </w:r>
      <w:r>
        <w:rPr>
          <w:b/>
          <w:spacing w:val="-12"/>
          <w:sz w:val="20"/>
        </w:rPr>
        <w:t xml:space="preserve"> </w:t>
      </w:r>
      <w:r>
        <w:rPr>
          <w:b/>
          <w:sz w:val="20"/>
        </w:rPr>
        <w:t>redação</w:t>
      </w:r>
      <w:r>
        <w:rPr>
          <w:b/>
          <w:spacing w:val="-9"/>
          <w:sz w:val="20"/>
        </w:rPr>
        <w:t xml:space="preserve"> </w:t>
      </w:r>
      <w:r>
        <w:rPr>
          <w:b/>
          <w:sz w:val="20"/>
        </w:rPr>
        <w:t>da</w:t>
      </w:r>
      <w:r>
        <w:rPr>
          <w:b/>
          <w:spacing w:val="-10"/>
          <w:sz w:val="20"/>
        </w:rPr>
        <w:t xml:space="preserve"> </w:t>
      </w:r>
      <w:r>
        <w:rPr>
          <w:b/>
          <w:sz w:val="20"/>
        </w:rPr>
        <w:t>Presidência</w:t>
      </w:r>
      <w:r>
        <w:rPr>
          <w:b/>
          <w:spacing w:val="-5"/>
          <w:sz w:val="20"/>
        </w:rPr>
        <w:t xml:space="preserve"> </w:t>
      </w:r>
      <w:r>
        <w:rPr>
          <w:b/>
          <w:sz w:val="20"/>
        </w:rPr>
        <w:t>da</w:t>
      </w:r>
      <w:r>
        <w:rPr>
          <w:b/>
          <w:spacing w:val="-6"/>
          <w:sz w:val="20"/>
        </w:rPr>
        <w:t xml:space="preserve"> </w:t>
      </w:r>
      <w:r>
        <w:rPr>
          <w:b/>
          <w:sz w:val="20"/>
        </w:rPr>
        <w:t>República</w:t>
      </w:r>
      <w:r>
        <w:rPr>
          <w:sz w:val="20"/>
        </w:rPr>
        <w:t>,</w:t>
      </w:r>
      <w:r>
        <w:rPr>
          <w:spacing w:val="-10"/>
          <w:sz w:val="20"/>
        </w:rPr>
        <w:t xml:space="preserve"> </w:t>
      </w:r>
      <w:r>
        <w:rPr>
          <w:sz w:val="20"/>
        </w:rPr>
        <w:t>2018,</w:t>
      </w:r>
      <w:r>
        <w:rPr>
          <w:spacing w:val="34"/>
          <w:sz w:val="20"/>
        </w:rPr>
        <w:t xml:space="preserve"> </w:t>
      </w:r>
      <w:r>
        <w:rPr>
          <w:sz w:val="20"/>
        </w:rPr>
        <w:t>p.</w:t>
      </w:r>
      <w:r>
        <w:rPr>
          <w:spacing w:val="-11"/>
          <w:sz w:val="20"/>
        </w:rPr>
        <w:t xml:space="preserve"> </w:t>
      </w:r>
      <w:r>
        <w:rPr>
          <w:spacing w:val="-5"/>
          <w:sz w:val="20"/>
        </w:rPr>
        <w:t>83.</w:t>
      </w:r>
    </w:p>
    <w:p w:rsidR="007259F2" w:rsidRDefault="00E655B4">
      <w:pPr>
        <w:spacing w:before="1"/>
        <w:ind w:left="710" w:right="422"/>
        <w:jc w:val="both"/>
        <w:rPr>
          <w:sz w:val="20"/>
        </w:rPr>
      </w:pPr>
      <w:r>
        <w:rPr>
          <w:sz w:val="20"/>
          <w:vertAlign w:val="superscript"/>
        </w:rPr>
        <w:t>23</w:t>
      </w:r>
      <w:r>
        <w:rPr>
          <w:sz w:val="20"/>
        </w:rPr>
        <w:t xml:space="preserve"> Para Bechara (2009), norma de congruência (saber elocutivo) são procedimentos em consonância com os princípios do pensar que se referem ao texto. Norma de correção, ou seja, o juízo de valor relacionado ao saber idiomático, representa a conformidade de falar (escrever) em uma língua particular segundo as normas de falar (escrever) historicamente determinado e corrente na comunidade que o pratica. Norma de adequação (saber expressivo)</w:t>
      </w:r>
      <w:r>
        <w:rPr>
          <w:spacing w:val="-5"/>
          <w:sz w:val="20"/>
        </w:rPr>
        <w:t xml:space="preserve"> </w:t>
      </w:r>
      <w:r>
        <w:rPr>
          <w:sz w:val="20"/>
        </w:rPr>
        <w:t>versa</w:t>
      </w:r>
      <w:r>
        <w:rPr>
          <w:spacing w:val="-7"/>
          <w:sz w:val="20"/>
        </w:rPr>
        <w:t xml:space="preserve"> </w:t>
      </w:r>
      <w:r>
        <w:rPr>
          <w:sz w:val="20"/>
        </w:rPr>
        <w:t>sobre</w:t>
      </w:r>
      <w:r>
        <w:rPr>
          <w:spacing w:val="-6"/>
          <w:sz w:val="20"/>
        </w:rPr>
        <w:t xml:space="preserve"> </w:t>
      </w:r>
      <w:r>
        <w:rPr>
          <w:sz w:val="20"/>
        </w:rPr>
        <w:t>a</w:t>
      </w:r>
      <w:r>
        <w:rPr>
          <w:spacing w:val="-7"/>
          <w:sz w:val="20"/>
        </w:rPr>
        <w:t xml:space="preserve"> </w:t>
      </w:r>
      <w:r>
        <w:rPr>
          <w:sz w:val="20"/>
        </w:rPr>
        <w:t>constituição</w:t>
      </w:r>
      <w:r>
        <w:rPr>
          <w:spacing w:val="-4"/>
          <w:sz w:val="20"/>
        </w:rPr>
        <w:t xml:space="preserve"> </w:t>
      </w:r>
      <w:r>
        <w:rPr>
          <w:sz w:val="20"/>
        </w:rPr>
        <w:t>de</w:t>
      </w:r>
      <w:r>
        <w:rPr>
          <w:spacing w:val="-7"/>
          <w:sz w:val="20"/>
        </w:rPr>
        <w:t xml:space="preserve"> </w:t>
      </w:r>
      <w:r>
        <w:rPr>
          <w:sz w:val="20"/>
        </w:rPr>
        <w:t>textos</w:t>
      </w:r>
      <w:r>
        <w:rPr>
          <w:spacing w:val="-8"/>
          <w:sz w:val="20"/>
        </w:rPr>
        <w:t xml:space="preserve"> </w:t>
      </w:r>
      <w:r>
        <w:rPr>
          <w:sz w:val="20"/>
        </w:rPr>
        <w:t>levando</w:t>
      </w:r>
      <w:r>
        <w:rPr>
          <w:spacing w:val="-5"/>
          <w:sz w:val="20"/>
        </w:rPr>
        <w:t xml:space="preserve"> </w:t>
      </w:r>
      <w:r>
        <w:rPr>
          <w:sz w:val="20"/>
        </w:rPr>
        <w:t>em</w:t>
      </w:r>
      <w:r>
        <w:rPr>
          <w:spacing w:val="-11"/>
          <w:sz w:val="20"/>
        </w:rPr>
        <w:t xml:space="preserve"> </w:t>
      </w:r>
      <w:r>
        <w:rPr>
          <w:sz w:val="20"/>
        </w:rPr>
        <w:t>conta</w:t>
      </w:r>
      <w:r>
        <w:rPr>
          <w:spacing w:val="-7"/>
          <w:sz w:val="20"/>
        </w:rPr>
        <w:t xml:space="preserve"> </w:t>
      </w:r>
      <w:r>
        <w:rPr>
          <w:sz w:val="20"/>
        </w:rPr>
        <w:t>o</w:t>
      </w:r>
      <w:r>
        <w:rPr>
          <w:spacing w:val="-6"/>
          <w:sz w:val="20"/>
        </w:rPr>
        <w:t xml:space="preserve"> </w:t>
      </w:r>
      <w:r>
        <w:rPr>
          <w:sz w:val="20"/>
        </w:rPr>
        <w:t>falante,</w:t>
      </w:r>
      <w:r>
        <w:rPr>
          <w:spacing w:val="-6"/>
          <w:sz w:val="20"/>
        </w:rPr>
        <w:t xml:space="preserve"> </w:t>
      </w:r>
      <w:r>
        <w:rPr>
          <w:sz w:val="20"/>
        </w:rPr>
        <w:t>o</w:t>
      </w:r>
      <w:r>
        <w:rPr>
          <w:spacing w:val="-6"/>
          <w:sz w:val="20"/>
        </w:rPr>
        <w:t xml:space="preserve"> </w:t>
      </w:r>
      <w:r>
        <w:rPr>
          <w:sz w:val="20"/>
        </w:rPr>
        <w:t>destinatário, o objeto ou a situação.</w:t>
      </w:r>
    </w:p>
    <w:p w:rsidR="007259F2" w:rsidRDefault="007259F2">
      <w:pPr>
        <w:jc w:val="both"/>
        <w:rPr>
          <w:sz w:val="20"/>
        </w:rPr>
        <w:sectPr w:rsidR="007259F2">
          <w:pgSz w:w="11910" w:h="16840"/>
          <w:pgMar w:top="1600" w:right="708" w:bottom="1020" w:left="992" w:header="0" w:footer="820" w:gutter="0"/>
          <w:cols w:space="720"/>
        </w:sectPr>
      </w:pPr>
    </w:p>
    <w:p w:rsidR="007259F2" w:rsidRDefault="00E655B4">
      <w:pPr>
        <w:spacing w:before="77"/>
        <w:ind w:left="2978" w:right="414"/>
        <w:jc w:val="both"/>
        <w:rPr>
          <w:sz w:val="20"/>
        </w:rPr>
      </w:pPr>
      <w:r>
        <w:rPr>
          <w:sz w:val="20"/>
        </w:rPr>
        <w:lastRenderedPageBreak/>
        <w:t>gerativa, transformacional, estratificacional, de dependências, de valências, de usos, etc. A gramática estrutural funcional concebida por E. Coseriu aplica-se à</w:t>
      </w:r>
      <w:r>
        <w:rPr>
          <w:spacing w:val="40"/>
          <w:sz w:val="20"/>
        </w:rPr>
        <w:t xml:space="preserve"> </w:t>
      </w:r>
      <w:r>
        <w:rPr>
          <w:sz w:val="20"/>
        </w:rPr>
        <w:t>depreensão e descrição dos paradigmas do significado gramatical, das estruturas gramaticais de uma língua particular. Cabe à gramática normativa, que não é uma disciplina</w:t>
      </w:r>
      <w:r>
        <w:rPr>
          <w:spacing w:val="-3"/>
          <w:sz w:val="20"/>
        </w:rPr>
        <w:t xml:space="preserve"> </w:t>
      </w:r>
      <w:r>
        <w:rPr>
          <w:sz w:val="20"/>
        </w:rPr>
        <w:t>com</w:t>
      </w:r>
      <w:r>
        <w:rPr>
          <w:spacing w:val="-5"/>
          <w:sz w:val="20"/>
        </w:rPr>
        <w:t xml:space="preserve"> </w:t>
      </w:r>
      <w:r>
        <w:rPr>
          <w:sz w:val="20"/>
        </w:rPr>
        <w:t>finalidade</w:t>
      </w:r>
      <w:r>
        <w:rPr>
          <w:spacing w:val="-3"/>
          <w:sz w:val="20"/>
        </w:rPr>
        <w:t xml:space="preserve"> </w:t>
      </w:r>
      <w:r>
        <w:rPr>
          <w:sz w:val="20"/>
        </w:rPr>
        <w:t>científica</w:t>
      </w:r>
      <w:r>
        <w:rPr>
          <w:spacing w:val="-3"/>
          <w:sz w:val="20"/>
        </w:rPr>
        <w:t xml:space="preserve"> </w:t>
      </w:r>
      <w:r>
        <w:rPr>
          <w:sz w:val="20"/>
        </w:rPr>
        <w:t>e</w:t>
      </w:r>
      <w:r>
        <w:rPr>
          <w:spacing w:val="-3"/>
          <w:sz w:val="20"/>
        </w:rPr>
        <w:t xml:space="preserve"> </w:t>
      </w:r>
      <w:r>
        <w:rPr>
          <w:sz w:val="20"/>
        </w:rPr>
        <w:t>sim</w:t>
      </w:r>
      <w:r>
        <w:rPr>
          <w:spacing w:val="-5"/>
          <w:sz w:val="20"/>
        </w:rPr>
        <w:t xml:space="preserve"> </w:t>
      </w:r>
      <w:r>
        <w:rPr>
          <w:sz w:val="20"/>
        </w:rPr>
        <w:t>pedagógica,</w:t>
      </w:r>
      <w:r>
        <w:rPr>
          <w:spacing w:val="-2"/>
          <w:sz w:val="20"/>
        </w:rPr>
        <w:t xml:space="preserve"> </w:t>
      </w:r>
      <w:r>
        <w:rPr>
          <w:sz w:val="20"/>
        </w:rPr>
        <w:t>elencar</w:t>
      </w:r>
      <w:r>
        <w:rPr>
          <w:spacing w:val="-2"/>
          <w:sz w:val="20"/>
        </w:rPr>
        <w:t xml:space="preserve"> </w:t>
      </w:r>
      <w:r>
        <w:rPr>
          <w:sz w:val="20"/>
        </w:rPr>
        <w:t>os</w:t>
      </w:r>
      <w:r>
        <w:rPr>
          <w:spacing w:val="-4"/>
          <w:sz w:val="20"/>
        </w:rPr>
        <w:t xml:space="preserve"> </w:t>
      </w:r>
      <w:r>
        <w:rPr>
          <w:sz w:val="20"/>
        </w:rPr>
        <w:t>fatos</w:t>
      </w:r>
      <w:r>
        <w:rPr>
          <w:spacing w:val="-4"/>
          <w:sz w:val="20"/>
        </w:rPr>
        <w:t xml:space="preserve"> </w:t>
      </w:r>
      <w:r>
        <w:rPr>
          <w:sz w:val="20"/>
        </w:rPr>
        <w:t>recomendados como modelares da exemplaridade idiomática para serem utilizados em circunstâncias</w:t>
      </w:r>
      <w:r>
        <w:rPr>
          <w:spacing w:val="-13"/>
          <w:sz w:val="20"/>
        </w:rPr>
        <w:t xml:space="preserve"> </w:t>
      </w:r>
      <w:r>
        <w:rPr>
          <w:sz w:val="20"/>
        </w:rPr>
        <w:t>especiais</w:t>
      </w:r>
      <w:r>
        <w:rPr>
          <w:spacing w:val="-2"/>
          <w:sz w:val="20"/>
        </w:rPr>
        <w:t xml:space="preserve"> </w:t>
      </w:r>
      <w:r>
        <w:rPr>
          <w:sz w:val="20"/>
        </w:rPr>
        <w:t>do convívio social. A</w:t>
      </w:r>
      <w:r>
        <w:rPr>
          <w:spacing w:val="-1"/>
          <w:sz w:val="20"/>
        </w:rPr>
        <w:t xml:space="preserve"> </w:t>
      </w:r>
      <w:r>
        <w:rPr>
          <w:sz w:val="20"/>
        </w:rPr>
        <w:t>gramática normativa</w:t>
      </w:r>
      <w:r>
        <w:rPr>
          <w:spacing w:val="-1"/>
          <w:sz w:val="20"/>
        </w:rPr>
        <w:t xml:space="preserve"> </w:t>
      </w:r>
      <w:r>
        <w:rPr>
          <w:sz w:val="20"/>
        </w:rPr>
        <w:t>recomenda</w:t>
      </w:r>
      <w:r>
        <w:rPr>
          <w:spacing w:val="-1"/>
          <w:sz w:val="20"/>
        </w:rPr>
        <w:t xml:space="preserve"> </w:t>
      </w:r>
      <w:r>
        <w:rPr>
          <w:sz w:val="20"/>
        </w:rPr>
        <w:t>como se deve falar e escrever segundo o uso e a autoridade dos escritores corretos e dos gramáticos e dicionaristas esclarecidos.</w:t>
      </w:r>
      <w:r>
        <w:rPr>
          <w:sz w:val="20"/>
          <w:vertAlign w:val="superscript"/>
        </w:rPr>
        <w:t>24</w:t>
      </w:r>
    </w:p>
    <w:p w:rsidR="007259F2" w:rsidRDefault="00E655B4">
      <w:pPr>
        <w:pStyle w:val="Corpodetexto"/>
        <w:spacing w:before="228"/>
        <w:ind w:right="420"/>
      </w:pPr>
      <w:r>
        <w:t>Com bem ponderam ilustríssimos linguistas da Universidade de São Paulo</w:t>
      </w:r>
      <w:r>
        <w:rPr>
          <w:vertAlign w:val="superscript"/>
        </w:rPr>
        <w:t>25</w:t>
      </w:r>
      <w:r>
        <w:t>, cabe à Linguística a função de descrever a língua sem reduzir seu uso, por exemplo, àquilo que é “certo” ou “errado”.</w:t>
      </w:r>
    </w:p>
    <w:p w:rsidR="007259F2" w:rsidRDefault="00E655B4">
      <w:pPr>
        <w:spacing w:before="2"/>
        <w:ind w:left="2978" w:right="422"/>
        <w:jc w:val="both"/>
        <w:rPr>
          <w:sz w:val="20"/>
        </w:rPr>
      </w:pPr>
      <w:r>
        <w:rPr>
          <w:sz w:val="20"/>
        </w:rPr>
        <w:t>A Linguística não se compara ao estudo tradicional da gramática; ao observar a língua em uso o linguista procura descrever e explicar os fatos: os padrões sonoros, gramaticais e lexicais que estão sendo usados, sem avaliar aquele uso em termos de um outro padrão: moral, estético ou crítico.</w:t>
      </w:r>
      <w:r>
        <w:rPr>
          <w:sz w:val="20"/>
          <w:vertAlign w:val="superscript"/>
        </w:rPr>
        <w:t>26</w:t>
      </w:r>
    </w:p>
    <w:p w:rsidR="007259F2" w:rsidRDefault="00E655B4">
      <w:pPr>
        <w:ind w:left="2978" w:right="418"/>
        <w:jc w:val="both"/>
        <w:rPr>
          <w:sz w:val="20"/>
        </w:rPr>
      </w:pPr>
      <w:r>
        <w:rPr>
          <w:sz w:val="20"/>
        </w:rPr>
        <w:t>A tarefa do gramático se desdobra em dizer o que é a língua, descrevê-la, e ao privilegiar alguns usos, dizer como deve ser a língua. Na verdade, a conjunção do descritivo e do normativo efetuada pela gramática tradicional opera uma redução do objeto de análise que, de intrinsecamente heterogêneo, assume uma só forma: a do uso considerado correto da língua. Na maioria dos casos, é esse uso o único que vai ser</w:t>
      </w:r>
      <w:r>
        <w:rPr>
          <w:spacing w:val="-7"/>
          <w:sz w:val="20"/>
        </w:rPr>
        <w:t xml:space="preserve"> </w:t>
      </w:r>
      <w:r>
        <w:rPr>
          <w:sz w:val="20"/>
        </w:rPr>
        <w:t>estudado</w:t>
      </w:r>
      <w:r>
        <w:rPr>
          <w:spacing w:val="-6"/>
          <w:sz w:val="20"/>
        </w:rPr>
        <w:t xml:space="preserve"> </w:t>
      </w:r>
      <w:r>
        <w:rPr>
          <w:sz w:val="20"/>
        </w:rPr>
        <w:t>e</w:t>
      </w:r>
      <w:r>
        <w:rPr>
          <w:spacing w:val="-8"/>
          <w:sz w:val="20"/>
        </w:rPr>
        <w:t xml:space="preserve"> </w:t>
      </w:r>
      <w:r>
        <w:rPr>
          <w:sz w:val="20"/>
        </w:rPr>
        <w:t>difundido</w:t>
      </w:r>
      <w:r>
        <w:rPr>
          <w:spacing w:val="-6"/>
          <w:sz w:val="20"/>
        </w:rPr>
        <w:t xml:space="preserve"> </w:t>
      </w:r>
      <w:r>
        <w:rPr>
          <w:sz w:val="20"/>
        </w:rPr>
        <w:t>pela</w:t>
      </w:r>
      <w:r>
        <w:rPr>
          <w:spacing w:val="-7"/>
          <w:sz w:val="20"/>
        </w:rPr>
        <w:t xml:space="preserve"> </w:t>
      </w:r>
      <w:r>
        <w:rPr>
          <w:sz w:val="20"/>
        </w:rPr>
        <w:t>escola,</w:t>
      </w:r>
      <w:r>
        <w:rPr>
          <w:spacing w:val="-1"/>
          <w:sz w:val="20"/>
        </w:rPr>
        <w:t xml:space="preserve"> </w:t>
      </w:r>
      <w:r>
        <w:rPr>
          <w:sz w:val="20"/>
        </w:rPr>
        <w:t>em</w:t>
      </w:r>
      <w:r>
        <w:rPr>
          <w:spacing w:val="-13"/>
          <w:sz w:val="20"/>
        </w:rPr>
        <w:t xml:space="preserve"> </w:t>
      </w:r>
      <w:r>
        <w:rPr>
          <w:sz w:val="20"/>
        </w:rPr>
        <w:t>detrimento</w:t>
      </w:r>
      <w:r>
        <w:rPr>
          <w:spacing w:val="-6"/>
          <w:sz w:val="20"/>
        </w:rPr>
        <w:t xml:space="preserve"> </w:t>
      </w:r>
      <w:r>
        <w:rPr>
          <w:sz w:val="20"/>
        </w:rPr>
        <w:t>de</w:t>
      </w:r>
      <w:r>
        <w:rPr>
          <w:spacing w:val="-12"/>
          <w:sz w:val="20"/>
        </w:rPr>
        <w:t xml:space="preserve"> </w:t>
      </w:r>
      <w:r>
        <w:rPr>
          <w:sz w:val="20"/>
        </w:rPr>
        <w:t>um</w:t>
      </w:r>
      <w:r>
        <w:rPr>
          <w:spacing w:val="-5"/>
          <w:sz w:val="20"/>
        </w:rPr>
        <w:t xml:space="preserve"> </w:t>
      </w:r>
      <w:r>
        <w:rPr>
          <w:sz w:val="20"/>
        </w:rPr>
        <w:t>conhecimento</w:t>
      </w:r>
      <w:r>
        <w:rPr>
          <w:spacing w:val="-2"/>
          <w:sz w:val="20"/>
        </w:rPr>
        <w:t xml:space="preserve"> </w:t>
      </w:r>
      <w:r>
        <w:rPr>
          <w:sz w:val="20"/>
        </w:rPr>
        <w:t>mais</w:t>
      </w:r>
      <w:r>
        <w:rPr>
          <w:spacing w:val="-6"/>
          <w:sz w:val="20"/>
        </w:rPr>
        <w:t xml:space="preserve"> </w:t>
      </w:r>
      <w:r>
        <w:rPr>
          <w:sz w:val="20"/>
        </w:rPr>
        <w:t>amplo da diversidade e variedade dos usos linguísticos.</w:t>
      </w:r>
      <w:r>
        <w:rPr>
          <w:sz w:val="20"/>
          <w:vertAlign w:val="superscript"/>
        </w:rPr>
        <w:t>27</w:t>
      </w:r>
    </w:p>
    <w:p w:rsidR="007259F2" w:rsidRDefault="007259F2">
      <w:pPr>
        <w:pStyle w:val="Corpodetexto"/>
        <w:spacing w:before="44"/>
        <w:ind w:left="0" w:firstLine="0"/>
        <w:jc w:val="left"/>
        <w:rPr>
          <w:sz w:val="20"/>
        </w:rPr>
      </w:pPr>
    </w:p>
    <w:p w:rsidR="007259F2" w:rsidRDefault="00E655B4">
      <w:pPr>
        <w:pStyle w:val="Corpodetexto"/>
        <w:ind w:right="421"/>
      </w:pPr>
      <w:r>
        <w:t>O papel do linguista é “estudar toda e qualquer expressão Linguística como um fato merecedor</w:t>
      </w:r>
      <w:r>
        <w:rPr>
          <w:spacing w:val="-4"/>
        </w:rPr>
        <w:t xml:space="preserve"> </w:t>
      </w:r>
      <w:r>
        <w:t>de</w:t>
      </w:r>
      <w:r>
        <w:rPr>
          <w:spacing w:val="-5"/>
        </w:rPr>
        <w:t xml:space="preserve"> </w:t>
      </w:r>
      <w:r>
        <w:t>descrição</w:t>
      </w:r>
      <w:r>
        <w:rPr>
          <w:spacing w:val="-4"/>
        </w:rPr>
        <w:t xml:space="preserve"> </w:t>
      </w:r>
      <w:r>
        <w:t>e</w:t>
      </w:r>
      <w:r>
        <w:rPr>
          <w:spacing w:val="-3"/>
        </w:rPr>
        <w:t xml:space="preserve"> </w:t>
      </w:r>
      <w:r>
        <w:t>explicação</w:t>
      </w:r>
      <w:r>
        <w:rPr>
          <w:spacing w:val="-4"/>
        </w:rPr>
        <w:t xml:space="preserve"> </w:t>
      </w:r>
      <w:r>
        <w:t>dentro</w:t>
      </w:r>
      <w:r>
        <w:rPr>
          <w:spacing w:val="-4"/>
        </w:rPr>
        <w:t xml:space="preserve"> </w:t>
      </w:r>
      <w:r>
        <w:t>de</w:t>
      </w:r>
      <w:r>
        <w:rPr>
          <w:spacing w:val="-5"/>
        </w:rPr>
        <w:t xml:space="preserve"> </w:t>
      </w:r>
      <w:r>
        <w:t>um</w:t>
      </w:r>
      <w:r>
        <w:rPr>
          <w:spacing w:val="-1"/>
        </w:rPr>
        <w:t xml:space="preserve"> </w:t>
      </w:r>
      <w:r>
        <w:t>quadro</w:t>
      </w:r>
      <w:r>
        <w:rPr>
          <w:spacing w:val="-4"/>
        </w:rPr>
        <w:t xml:space="preserve"> </w:t>
      </w:r>
      <w:r>
        <w:t>científico</w:t>
      </w:r>
      <w:r>
        <w:rPr>
          <w:spacing w:val="-2"/>
        </w:rPr>
        <w:t xml:space="preserve"> </w:t>
      </w:r>
      <w:r>
        <w:t>adequado.”</w:t>
      </w:r>
      <w:r>
        <w:rPr>
          <w:vertAlign w:val="superscript"/>
        </w:rPr>
        <w:t>28</w:t>
      </w:r>
      <w:r>
        <w:rPr>
          <w:spacing w:val="-1"/>
        </w:rPr>
        <w:t xml:space="preserve"> </w:t>
      </w:r>
      <w:r>
        <w:t>Isso</w:t>
      </w:r>
      <w:r>
        <w:rPr>
          <w:spacing w:val="-4"/>
        </w:rPr>
        <w:t xml:space="preserve"> </w:t>
      </w:r>
      <w:r>
        <w:t>implica dizer que se exige do pesquisador uma postura teórico-metodológica adequada às características particulares da ciência em apreço. Nesse sentido:</w:t>
      </w:r>
    </w:p>
    <w:p w:rsidR="007259F2" w:rsidRDefault="007259F2">
      <w:pPr>
        <w:pStyle w:val="Corpodetexto"/>
        <w:spacing w:before="2"/>
        <w:ind w:left="0" w:firstLine="0"/>
        <w:jc w:val="left"/>
      </w:pPr>
    </w:p>
    <w:p w:rsidR="007259F2" w:rsidRDefault="00E655B4">
      <w:pPr>
        <w:ind w:left="2978" w:right="423"/>
        <w:jc w:val="both"/>
        <w:rPr>
          <w:sz w:val="20"/>
        </w:rPr>
      </w:pPr>
      <w:r>
        <w:rPr>
          <w:sz w:val="20"/>
        </w:rPr>
        <w:t>A Linguística é empírica porque trabalha com dados verificáveis por meio de observação; é objetiva porque examina a língua de forma independente, livre de preconceitos sociais ou culturais associados a uma visão leiga da linguagem.</w:t>
      </w:r>
      <w:r>
        <w:rPr>
          <w:sz w:val="20"/>
          <w:vertAlign w:val="superscript"/>
        </w:rPr>
        <w:t>29</w:t>
      </w:r>
    </w:p>
    <w:p w:rsidR="007259F2" w:rsidRDefault="00E655B4">
      <w:pPr>
        <w:pStyle w:val="Corpodetexto"/>
        <w:spacing w:before="228"/>
        <w:ind w:right="430"/>
      </w:pPr>
      <w:r>
        <w:t>Logo, uma analise linguística do Direito descreverá seu objeto como ele é e não especulará e nem fará afirmações sobre como a língua deveria ser.</w:t>
      </w:r>
      <w:r>
        <w:rPr>
          <w:vertAlign w:val="superscript"/>
        </w:rPr>
        <w:t>30</w:t>
      </w:r>
    </w:p>
    <w:p w:rsidR="007259F2" w:rsidRDefault="00E655B4">
      <w:pPr>
        <w:pStyle w:val="Corpodetexto"/>
        <w:ind w:right="427"/>
      </w:pPr>
      <w:r>
        <w:t>Repisa-se, no caso deste estudo, o objeto é observação da possível conexão entre Linguística e Legística, sobretudo no que se refere ao uso dos verbos e às predileções textuais do redator normativo.</w:t>
      </w:r>
    </w:p>
    <w:p w:rsidR="007259F2" w:rsidRDefault="00E655B4">
      <w:pPr>
        <w:pStyle w:val="Heading2"/>
        <w:numPr>
          <w:ilvl w:val="1"/>
          <w:numId w:val="20"/>
        </w:numPr>
        <w:tabs>
          <w:tab w:val="left" w:pos="1081"/>
        </w:tabs>
        <w:ind w:left="1081" w:hanging="355"/>
        <w:jc w:val="left"/>
      </w:pPr>
      <w:r>
        <w:t>Legística</w:t>
      </w:r>
      <w:r>
        <w:rPr>
          <w:spacing w:val="-2"/>
        </w:rPr>
        <w:t xml:space="preserve"> </w:t>
      </w:r>
      <w:r>
        <w:t>e</w:t>
      </w:r>
      <w:r>
        <w:rPr>
          <w:spacing w:val="-2"/>
        </w:rPr>
        <w:t xml:space="preserve"> </w:t>
      </w:r>
      <w:r>
        <w:t>Técnica</w:t>
      </w:r>
      <w:r>
        <w:rPr>
          <w:spacing w:val="2"/>
        </w:rPr>
        <w:t xml:space="preserve"> </w:t>
      </w:r>
      <w:r>
        <w:rPr>
          <w:spacing w:val="-2"/>
        </w:rPr>
        <w:t>Legislativa</w:t>
      </w:r>
    </w:p>
    <w:p w:rsidR="007259F2" w:rsidRDefault="00E655B4">
      <w:pPr>
        <w:pStyle w:val="Corpodetexto"/>
        <w:spacing w:before="115"/>
        <w:jc w:val="left"/>
      </w:pPr>
      <w:r>
        <w:t>Como</w:t>
      </w:r>
      <w:r>
        <w:rPr>
          <w:spacing w:val="40"/>
        </w:rPr>
        <w:t xml:space="preserve"> </w:t>
      </w:r>
      <w:r>
        <w:t>já</w:t>
      </w:r>
      <w:r>
        <w:rPr>
          <w:spacing w:val="40"/>
        </w:rPr>
        <w:t xml:space="preserve"> </w:t>
      </w:r>
      <w:r>
        <w:t>aludido,</w:t>
      </w:r>
      <w:r>
        <w:rPr>
          <w:spacing w:val="39"/>
        </w:rPr>
        <w:t xml:space="preserve"> </w:t>
      </w:r>
      <w:r>
        <w:t>o</w:t>
      </w:r>
      <w:r>
        <w:rPr>
          <w:spacing w:val="40"/>
        </w:rPr>
        <w:t xml:space="preserve"> </w:t>
      </w:r>
      <w:r>
        <w:t>estudo</w:t>
      </w:r>
      <w:r>
        <w:rPr>
          <w:spacing w:val="40"/>
        </w:rPr>
        <w:t xml:space="preserve"> </w:t>
      </w:r>
      <w:r>
        <w:t>acerca</w:t>
      </w:r>
      <w:r>
        <w:rPr>
          <w:spacing w:val="40"/>
        </w:rPr>
        <w:t xml:space="preserve"> </w:t>
      </w:r>
      <w:r>
        <w:t>da</w:t>
      </w:r>
      <w:r>
        <w:rPr>
          <w:spacing w:val="40"/>
        </w:rPr>
        <w:t xml:space="preserve"> </w:t>
      </w:r>
      <w:r>
        <w:t>elaboração</w:t>
      </w:r>
      <w:r>
        <w:rPr>
          <w:spacing w:val="40"/>
        </w:rPr>
        <w:t xml:space="preserve"> </w:t>
      </w:r>
      <w:r>
        <w:t>das</w:t>
      </w:r>
      <w:r>
        <w:rPr>
          <w:spacing w:val="40"/>
        </w:rPr>
        <w:t xml:space="preserve"> </w:t>
      </w:r>
      <w:r>
        <w:t>leis</w:t>
      </w:r>
      <w:r>
        <w:rPr>
          <w:spacing w:val="40"/>
        </w:rPr>
        <w:t xml:space="preserve"> </w:t>
      </w:r>
      <w:r>
        <w:t>é,</w:t>
      </w:r>
      <w:r>
        <w:rPr>
          <w:spacing w:val="40"/>
        </w:rPr>
        <w:t xml:space="preserve"> </w:t>
      </w:r>
      <w:r>
        <w:t>por</w:t>
      </w:r>
      <w:r>
        <w:rPr>
          <w:spacing w:val="40"/>
        </w:rPr>
        <w:t xml:space="preserve"> </w:t>
      </w:r>
      <w:r>
        <w:t>vezes,</w:t>
      </w:r>
      <w:r>
        <w:rPr>
          <w:spacing w:val="40"/>
        </w:rPr>
        <w:t xml:space="preserve"> </w:t>
      </w:r>
      <w:r>
        <w:t>restrito</w:t>
      </w:r>
      <w:r>
        <w:rPr>
          <w:spacing w:val="40"/>
        </w:rPr>
        <w:t xml:space="preserve"> </w:t>
      </w:r>
      <w:r>
        <w:t>aos órgãos legiferantes e à pesquisa dos profissionais ligados à área.</w:t>
      </w:r>
    </w:p>
    <w:p w:rsidR="007259F2" w:rsidRDefault="00E655B4">
      <w:pPr>
        <w:pStyle w:val="Corpodetexto"/>
        <w:ind w:left="1418" w:firstLine="0"/>
        <w:jc w:val="left"/>
      </w:pPr>
      <w:r>
        <w:t>Aqui,</w:t>
      </w:r>
      <w:r>
        <w:rPr>
          <w:spacing w:val="-3"/>
        </w:rPr>
        <w:t xml:space="preserve"> </w:t>
      </w:r>
      <w:r>
        <w:t>uma importante</w:t>
      </w:r>
      <w:r>
        <w:rPr>
          <w:spacing w:val="-1"/>
        </w:rPr>
        <w:t xml:space="preserve"> </w:t>
      </w:r>
      <w:r>
        <w:t>perquirição faz-se</w:t>
      </w:r>
      <w:r>
        <w:rPr>
          <w:spacing w:val="-2"/>
        </w:rPr>
        <w:t xml:space="preserve"> </w:t>
      </w:r>
      <w:r>
        <w:t>necessária: na</w:t>
      </w:r>
      <w:r>
        <w:rPr>
          <w:spacing w:val="-1"/>
        </w:rPr>
        <w:t xml:space="preserve"> </w:t>
      </w:r>
      <w:r>
        <w:t>seara</w:t>
      </w:r>
      <w:r>
        <w:rPr>
          <w:spacing w:val="-2"/>
        </w:rPr>
        <w:t xml:space="preserve"> </w:t>
      </w:r>
      <w:r>
        <w:t>jurídica,</w:t>
      </w:r>
      <w:r>
        <w:rPr>
          <w:spacing w:val="-1"/>
        </w:rPr>
        <w:t xml:space="preserve"> </w:t>
      </w:r>
      <w:r>
        <w:t xml:space="preserve">o papel </w:t>
      </w:r>
      <w:r>
        <w:rPr>
          <w:spacing w:val="-5"/>
        </w:rPr>
        <w:t>dos</w:t>
      </w:r>
    </w:p>
    <w:p w:rsidR="007259F2" w:rsidRDefault="007259F2">
      <w:pPr>
        <w:pStyle w:val="Corpodetexto"/>
        <w:ind w:left="0" w:firstLine="0"/>
        <w:jc w:val="left"/>
        <w:rPr>
          <w:sz w:val="20"/>
        </w:rPr>
      </w:pPr>
    </w:p>
    <w:p w:rsidR="007259F2" w:rsidRDefault="007259F2">
      <w:pPr>
        <w:pStyle w:val="Corpodetexto"/>
        <w:ind w:left="0" w:firstLine="0"/>
        <w:jc w:val="left"/>
        <w:rPr>
          <w:sz w:val="20"/>
        </w:rPr>
      </w:pPr>
    </w:p>
    <w:p w:rsidR="007259F2" w:rsidRDefault="00DE6B1C">
      <w:pPr>
        <w:pStyle w:val="Corpodetexto"/>
        <w:spacing w:before="72"/>
        <w:ind w:left="0" w:firstLine="0"/>
        <w:jc w:val="left"/>
        <w:rPr>
          <w:sz w:val="20"/>
        </w:rPr>
      </w:pPr>
      <w:r w:rsidRPr="00DE6B1C">
        <w:rPr>
          <w:sz w:val="20"/>
        </w:rPr>
        <w:pict>
          <v:rect id="docshape167" o:spid="_x0000_s1060" style="position:absolute;margin-left:85.1pt;margin-top:16.3pt;width:2in;height:.7pt;z-index:-15653376;mso-wrap-distance-left:0;mso-wrap-distance-right:0;mso-position-horizontal-relative:page" fillcolor="black" stroked="f">
            <w10:wrap type="topAndBottom" anchorx="page"/>
          </v:rect>
        </w:pict>
      </w:r>
    </w:p>
    <w:p w:rsidR="007259F2" w:rsidRDefault="00E655B4">
      <w:pPr>
        <w:spacing w:before="96"/>
        <w:ind w:left="710"/>
        <w:jc w:val="both"/>
        <w:rPr>
          <w:sz w:val="20"/>
        </w:rPr>
      </w:pPr>
      <w:r>
        <w:rPr>
          <w:sz w:val="20"/>
          <w:vertAlign w:val="superscript"/>
        </w:rPr>
        <w:t>24</w:t>
      </w:r>
      <w:r>
        <w:rPr>
          <w:spacing w:val="-4"/>
          <w:sz w:val="20"/>
        </w:rPr>
        <w:t xml:space="preserve"> </w:t>
      </w:r>
      <w:r>
        <w:rPr>
          <w:sz w:val="20"/>
        </w:rPr>
        <w:t>BECHARA,</w:t>
      </w:r>
      <w:r>
        <w:rPr>
          <w:spacing w:val="-4"/>
          <w:sz w:val="20"/>
        </w:rPr>
        <w:t xml:space="preserve"> </w:t>
      </w:r>
      <w:r>
        <w:rPr>
          <w:sz w:val="20"/>
        </w:rPr>
        <w:t>2009,</w:t>
      </w:r>
      <w:r>
        <w:rPr>
          <w:spacing w:val="-3"/>
          <w:sz w:val="20"/>
        </w:rPr>
        <w:t xml:space="preserve"> </w:t>
      </w:r>
      <w:r>
        <w:rPr>
          <w:sz w:val="20"/>
        </w:rPr>
        <w:t>p.</w:t>
      </w:r>
      <w:r>
        <w:rPr>
          <w:spacing w:val="-8"/>
          <w:sz w:val="20"/>
        </w:rPr>
        <w:t xml:space="preserve"> </w:t>
      </w:r>
      <w:r>
        <w:rPr>
          <w:spacing w:val="-5"/>
          <w:sz w:val="20"/>
        </w:rPr>
        <w:t>50.</w:t>
      </w:r>
    </w:p>
    <w:p w:rsidR="007259F2" w:rsidRDefault="00E655B4">
      <w:pPr>
        <w:spacing w:before="1"/>
        <w:ind w:left="710" w:right="425"/>
        <w:jc w:val="both"/>
        <w:rPr>
          <w:sz w:val="20"/>
        </w:rPr>
      </w:pPr>
      <w:r>
        <w:rPr>
          <w:sz w:val="20"/>
          <w:vertAlign w:val="superscript"/>
        </w:rPr>
        <w:t>25</w:t>
      </w:r>
      <w:r>
        <w:rPr>
          <w:sz w:val="20"/>
        </w:rPr>
        <w:t xml:space="preserve"> A fim</w:t>
      </w:r>
      <w:r>
        <w:rPr>
          <w:spacing w:val="-1"/>
          <w:sz w:val="20"/>
        </w:rPr>
        <w:t xml:space="preserve"> </w:t>
      </w:r>
      <w:r>
        <w:rPr>
          <w:sz w:val="20"/>
        </w:rPr>
        <w:t>de possibilitar uma maior apreensão das principais características da Linguística aos alunos do primeiro ano do ciclo básico do curso de Letras, os professores da Faculdade de Filosofia, Letras e Ciências Humanas da Universidade de São Paulo lançaram dois volumes da obra “Introdução à Linguística”.</w:t>
      </w:r>
    </w:p>
    <w:p w:rsidR="007259F2" w:rsidRDefault="00E655B4">
      <w:pPr>
        <w:spacing w:line="229" w:lineRule="exact"/>
        <w:ind w:left="710"/>
        <w:jc w:val="both"/>
        <w:rPr>
          <w:sz w:val="20"/>
        </w:rPr>
      </w:pPr>
      <w:r>
        <w:rPr>
          <w:sz w:val="20"/>
          <w:vertAlign w:val="superscript"/>
        </w:rPr>
        <w:t>26</w:t>
      </w:r>
      <w:r>
        <w:rPr>
          <w:spacing w:val="-3"/>
          <w:sz w:val="20"/>
        </w:rPr>
        <w:t xml:space="preserve"> </w:t>
      </w:r>
      <w:r>
        <w:rPr>
          <w:sz w:val="20"/>
        </w:rPr>
        <w:t>FIORIN,</w:t>
      </w:r>
      <w:r>
        <w:rPr>
          <w:spacing w:val="-7"/>
          <w:sz w:val="20"/>
        </w:rPr>
        <w:t xml:space="preserve"> </w:t>
      </w:r>
      <w:r>
        <w:rPr>
          <w:sz w:val="20"/>
        </w:rPr>
        <w:t>2007,</w:t>
      </w:r>
      <w:r>
        <w:rPr>
          <w:spacing w:val="-2"/>
          <w:sz w:val="20"/>
        </w:rPr>
        <w:t xml:space="preserve"> </w:t>
      </w:r>
      <w:r>
        <w:rPr>
          <w:sz w:val="20"/>
        </w:rPr>
        <w:t>p.</w:t>
      </w:r>
      <w:r>
        <w:rPr>
          <w:spacing w:val="-8"/>
          <w:sz w:val="20"/>
        </w:rPr>
        <w:t xml:space="preserve"> </w:t>
      </w:r>
      <w:r>
        <w:rPr>
          <w:spacing w:val="-5"/>
          <w:sz w:val="20"/>
        </w:rPr>
        <w:t>15.</w:t>
      </w:r>
    </w:p>
    <w:p w:rsidR="007259F2" w:rsidRDefault="00E655B4">
      <w:pPr>
        <w:ind w:left="710"/>
        <w:rPr>
          <w:i/>
          <w:sz w:val="20"/>
        </w:rPr>
      </w:pPr>
      <w:r>
        <w:rPr>
          <w:sz w:val="20"/>
          <w:vertAlign w:val="superscript"/>
        </w:rPr>
        <w:t>27</w:t>
      </w:r>
      <w:r>
        <w:rPr>
          <w:spacing w:val="-2"/>
          <w:sz w:val="20"/>
        </w:rPr>
        <w:t xml:space="preserve"> </w:t>
      </w:r>
      <w:r>
        <w:rPr>
          <w:i/>
          <w:spacing w:val="-2"/>
          <w:sz w:val="20"/>
        </w:rPr>
        <w:t>Idem.</w:t>
      </w:r>
    </w:p>
    <w:p w:rsidR="007259F2" w:rsidRDefault="00E655B4">
      <w:pPr>
        <w:ind w:left="710"/>
        <w:rPr>
          <w:i/>
          <w:sz w:val="20"/>
        </w:rPr>
      </w:pPr>
      <w:r>
        <w:rPr>
          <w:sz w:val="20"/>
          <w:vertAlign w:val="superscript"/>
        </w:rPr>
        <w:t>28</w:t>
      </w:r>
      <w:r>
        <w:rPr>
          <w:spacing w:val="-2"/>
          <w:sz w:val="20"/>
        </w:rPr>
        <w:t xml:space="preserve"> </w:t>
      </w:r>
      <w:r>
        <w:rPr>
          <w:i/>
          <w:spacing w:val="-2"/>
          <w:sz w:val="20"/>
        </w:rPr>
        <w:t>Ibidem.</w:t>
      </w:r>
    </w:p>
    <w:p w:rsidR="007259F2" w:rsidRDefault="00E655B4">
      <w:pPr>
        <w:spacing w:before="1"/>
        <w:ind w:left="710"/>
        <w:rPr>
          <w:sz w:val="20"/>
        </w:rPr>
      </w:pPr>
      <w:r>
        <w:rPr>
          <w:sz w:val="20"/>
          <w:vertAlign w:val="superscript"/>
        </w:rPr>
        <w:t>29</w:t>
      </w:r>
      <w:r>
        <w:rPr>
          <w:spacing w:val="-2"/>
          <w:sz w:val="20"/>
        </w:rPr>
        <w:t xml:space="preserve"> </w:t>
      </w:r>
      <w:r>
        <w:rPr>
          <w:i/>
          <w:sz w:val="20"/>
        </w:rPr>
        <w:t>Idem,</w:t>
      </w:r>
      <w:r>
        <w:rPr>
          <w:i/>
          <w:spacing w:val="-1"/>
          <w:sz w:val="20"/>
        </w:rPr>
        <w:t xml:space="preserve"> </w:t>
      </w:r>
      <w:r>
        <w:rPr>
          <w:sz w:val="20"/>
        </w:rPr>
        <w:t>p.</w:t>
      </w:r>
      <w:r>
        <w:rPr>
          <w:spacing w:val="-9"/>
          <w:sz w:val="20"/>
        </w:rPr>
        <w:t xml:space="preserve"> </w:t>
      </w:r>
      <w:r>
        <w:rPr>
          <w:spacing w:val="-5"/>
          <w:sz w:val="20"/>
        </w:rPr>
        <w:t>21.</w:t>
      </w:r>
    </w:p>
    <w:p w:rsidR="007259F2" w:rsidRDefault="00E655B4">
      <w:pPr>
        <w:ind w:left="710"/>
        <w:rPr>
          <w:sz w:val="20"/>
        </w:rPr>
      </w:pPr>
      <w:r>
        <w:rPr>
          <w:sz w:val="20"/>
          <w:vertAlign w:val="superscript"/>
        </w:rPr>
        <w:t>30</w:t>
      </w:r>
      <w:r>
        <w:rPr>
          <w:spacing w:val="-2"/>
          <w:sz w:val="20"/>
        </w:rPr>
        <w:t xml:space="preserve"> </w:t>
      </w:r>
      <w:r>
        <w:rPr>
          <w:i/>
          <w:spacing w:val="-2"/>
          <w:sz w:val="20"/>
        </w:rPr>
        <w:t>Ibidem</w:t>
      </w:r>
      <w:r>
        <w:rPr>
          <w:spacing w:val="-2"/>
          <w:sz w:val="20"/>
        </w:rPr>
        <w:t>.</w:t>
      </w:r>
    </w:p>
    <w:p w:rsidR="007259F2" w:rsidRDefault="007259F2">
      <w:pPr>
        <w:rPr>
          <w:sz w:val="20"/>
        </w:rPr>
        <w:sectPr w:rsidR="007259F2">
          <w:pgSz w:w="11910" w:h="16840"/>
          <w:pgMar w:top="1600" w:right="708" w:bottom="1020" w:left="992" w:header="0" w:footer="820" w:gutter="0"/>
          <w:cols w:space="720"/>
        </w:sectPr>
      </w:pPr>
    </w:p>
    <w:p w:rsidR="007259F2" w:rsidRDefault="00E655B4">
      <w:pPr>
        <w:pStyle w:val="Corpodetexto"/>
        <w:spacing w:before="115"/>
        <w:ind w:firstLine="0"/>
      </w:pPr>
      <w:r>
        <w:lastRenderedPageBreak/>
        <w:t>juristas</w:t>
      </w:r>
      <w:r>
        <w:rPr>
          <w:spacing w:val="-3"/>
        </w:rPr>
        <w:t xml:space="preserve"> </w:t>
      </w:r>
      <w:r>
        <w:t>é</w:t>
      </w:r>
      <w:r>
        <w:rPr>
          <w:spacing w:val="-1"/>
        </w:rPr>
        <w:t xml:space="preserve"> </w:t>
      </w:r>
      <w:r>
        <w:t>interpretar</w:t>
      </w:r>
      <w:r>
        <w:rPr>
          <w:spacing w:val="-1"/>
        </w:rPr>
        <w:t xml:space="preserve"> </w:t>
      </w:r>
      <w:r>
        <w:t>e</w:t>
      </w:r>
      <w:r>
        <w:rPr>
          <w:spacing w:val="-1"/>
        </w:rPr>
        <w:t xml:space="preserve"> </w:t>
      </w:r>
      <w:r>
        <w:t>aplicar</w:t>
      </w:r>
      <w:r>
        <w:rPr>
          <w:spacing w:val="-1"/>
        </w:rPr>
        <w:t xml:space="preserve"> </w:t>
      </w:r>
      <w:r>
        <w:t>a</w:t>
      </w:r>
      <w:r>
        <w:rPr>
          <w:spacing w:val="-3"/>
        </w:rPr>
        <w:t xml:space="preserve"> </w:t>
      </w:r>
      <w:r>
        <w:t>lei,</w:t>
      </w:r>
      <w:r>
        <w:rPr>
          <w:spacing w:val="1"/>
        </w:rPr>
        <w:t xml:space="preserve"> </w:t>
      </w:r>
      <w:r>
        <w:t>a</w:t>
      </w:r>
      <w:r>
        <w:rPr>
          <w:spacing w:val="-2"/>
        </w:rPr>
        <w:t xml:space="preserve"> </w:t>
      </w:r>
      <w:r>
        <w:t>quem,</w:t>
      </w:r>
      <w:r>
        <w:rPr>
          <w:spacing w:val="-1"/>
        </w:rPr>
        <w:t xml:space="preserve"> </w:t>
      </w:r>
      <w:r>
        <w:t>portanto,</w:t>
      </w:r>
      <w:r>
        <w:rPr>
          <w:spacing w:val="-1"/>
        </w:rPr>
        <w:t xml:space="preserve"> </w:t>
      </w:r>
      <w:r>
        <w:t>caberia</w:t>
      </w:r>
      <w:r>
        <w:rPr>
          <w:spacing w:val="-2"/>
        </w:rPr>
        <w:t xml:space="preserve"> </w:t>
      </w:r>
      <w:r>
        <w:t>criar</w:t>
      </w:r>
      <w:r>
        <w:rPr>
          <w:spacing w:val="-1"/>
        </w:rPr>
        <w:t xml:space="preserve"> </w:t>
      </w:r>
      <w:r>
        <w:t xml:space="preserve">as </w:t>
      </w:r>
      <w:r>
        <w:rPr>
          <w:spacing w:val="-2"/>
        </w:rPr>
        <w:t>leis?</w:t>
      </w:r>
      <w:r>
        <w:rPr>
          <w:spacing w:val="-2"/>
          <w:vertAlign w:val="superscript"/>
        </w:rPr>
        <w:t>31</w:t>
      </w:r>
    </w:p>
    <w:p w:rsidR="007259F2" w:rsidRDefault="00E655B4">
      <w:pPr>
        <w:pStyle w:val="Corpodetexto"/>
        <w:ind w:right="418"/>
      </w:pPr>
      <w:r>
        <w:t>Ao contrário do que possa parecer, a resposta a essa indagação não é simples, sobretudo porque “antes de redigir uma lei, é preciso pensá-la”</w:t>
      </w:r>
      <w:r>
        <w:rPr>
          <w:vertAlign w:val="superscript"/>
        </w:rPr>
        <w:t>32</w:t>
      </w:r>
      <w:r>
        <w:t>. O que leva a um outro questionamento: há uma epistemologia envolvida na elaboração das leis?</w:t>
      </w:r>
    </w:p>
    <w:p w:rsidR="007259F2" w:rsidRDefault="00E655B4">
      <w:pPr>
        <w:pStyle w:val="Corpodetexto"/>
        <w:ind w:right="422"/>
      </w:pPr>
      <w:r>
        <w:t>Com efeito, os primeiros a construir hipóteses a respeito da possível epistemologia atrelada à criação das leis foram suíços e franceses.</w:t>
      </w:r>
      <w:r>
        <w:rPr>
          <w:vertAlign w:val="superscript"/>
        </w:rPr>
        <w:t>33</w:t>
      </w:r>
      <w:r>
        <w:rPr>
          <w:spacing w:val="40"/>
        </w:rPr>
        <w:t xml:space="preserve"> </w:t>
      </w:r>
      <w:r>
        <w:t xml:space="preserve">Esse interesse científico pela legislação deu origem à </w:t>
      </w:r>
      <w:r>
        <w:rPr>
          <w:i/>
        </w:rPr>
        <w:t xml:space="preserve">Legística. </w:t>
      </w:r>
      <w:r>
        <w:t xml:space="preserve">Definida, </w:t>
      </w:r>
      <w:r>
        <w:rPr>
          <w:i/>
        </w:rPr>
        <w:t xml:space="preserve">a priori </w:t>
      </w:r>
      <w:r>
        <w:t>e genericamente, como “ciência aplicada da legislação, que procura determinar as melhores modalidades de elaboração, redação, edição e aplicação das normas”</w:t>
      </w:r>
      <w:r>
        <w:rPr>
          <w:vertAlign w:val="superscript"/>
        </w:rPr>
        <w:t>34</w:t>
      </w:r>
    </w:p>
    <w:p w:rsidR="007259F2" w:rsidRDefault="00E655B4">
      <w:pPr>
        <w:pStyle w:val="Corpodetexto"/>
        <w:ind w:right="421"/>
      </w:pPr>
      <w:r>
        <w:t>Em inventário semântico proposto por Guimarães e Braga (2011), destancam-se os seguintes conceitos de Legistíca:</w:t>
      </w:r>
    </w:p>
    <w:p w:rsidR="007259F2" w:rsidRDefault="007259F2">
      <w:pPr>
        <w:pStyle w:val="Corpodetexto"/>
        <w:spacing w:before="2"/>
        <w:ind w:left="0" w:firstLine="0"/>
        <w:jc w:val="left"/>
      </w:pPr>
    </w:p>
    <w:p w:rsidR="007259F2" w:rsidRDefault="00E655B4">
      <w:pPr>
        <w:ind w:left="2978" w:right="424"/>
        <w:jc w:val="both"/>
        <w:rPr>
          <w:sz w:val="20"/>
        </w:rPr>
      </w:pPr>
      <w:r>
        <w:rPr>
          <w:sz w:val="20"/>
        </w:rPr>
        <w:t>Legística é</w:t>
      </w:r>
      <w:r>
        <w:rPr>
          <w:spacing w:val="-3"/>
          <w:sz w:val="20"/>
        </w:rPr>
        <w:t xml:space="preserve"> </w:t>
      </w:r>
      <w:r>
        <w:rPr>
          <w:sz w:val="20"/>
        </w:rPr>
        <w:t>o</w:t>
      </w:r>
      <w:r>
        <w:rPr>
          <w:spacing w:val="-5"/>
          <w:sz w:val="20"/>
        </w:rPr>
        <w:t xml:space="preserve"> </w:t>
      </w:r>
      <w:r>
        <w:rPr>
          <w:sz w:val="20"/>
        </w:rPr>
        <w:t>interesse</w:t>
      </w:r>
      <w:r>
        <w:rPr>
          <w:spacing w:val="-3"/>
          <w:sz w:val="20"/>
        </w:rPr>
        <w:t xml:space="preserve"> </w:t>
      </w:r>
      <w:r>
        <w:rPr>
          <w:sz w:val="20"/>
        </w:rPr>
        <w:t>científico</w:t>
      </w:r>
      <w:r>
        <w:rPr>
          <w:spacing w:val="-4"/>
          <w:sz w:val="20"/>
        </w:rPr>
        <w:t xml:space="preserve"> </w:t>
      </w:r>
      <w:r>
        <w:rPr>
          <w:sz w:val="20"/>
        </w:rPr>
        <w:t>pela</w:t>
      </w:r>
      <w:r>
        <w:rPr>
          <w:spacing w:val="-1"/>
          <w:sz w:val="20"/>
        </w:rPr>
        <w:t xml:space="preserve"> </w:t>
      </w:r>
      <w:r>
        <w:rPr>
          <w:sz w:val="20"/>
        </w:rPr>
        <w:t>legislação,</w:t>
      </w:r>
      <w:r>
        <w:rPr>
          <w:spacing w:val="-2"/>
          <w:sz w:val="20"/>
        </w:rPr>
        <w:t xml:space="preserve"> </w:t>
      </w:r>
      <w:r>
        <w:rPr>
          <w:sz w:val="20"/>
        </w:rPr>
        <w:t>com</w:t>
      </w:r>
      <w:r>
        <w:rPr>
          <w:spacing w:val="-3"/>
          <w:sz w:val="20"/>
        </w:rPr>
        <w:t xml:space="preserve"> </w:t>
      </w:r>
      <w:r>
        <w:rPr>
          <w:sz w:val="20"/>
        </w:rPr>
        <w:t>ênfase</w:t>
      </w:r>
      <w:r>
        <w:rPr>
          <w:spacing w:val="-4"/>
          <w:sz w:val="20"/>
        </w:rPr>
        <w:t xml:space="preserve"> </w:t>
      </w:r>
      <w:r>
        <w:rPr>
          <w:sz w:val="20"/>
        </w:rPr>
        <w:t>nos</w:t>
      </w:r>
      <w:r>
        <w:rPr>
          <w:spacing w:val="-2"/>
          <w:sz w:val="20"/>
        </w:rPr>
        <w:t xml:space="preserve"> </w:t>
      </w:r>
      <w:r>
        <w:rPr>
          <w:sz w:val="20"/>
        </w:rPr>
        <w:t>impactos</w:t>
      </w:r>
      <w:r>
        <w:rPr>
          <w:spacing w:val="-1"/>
          <w:sz w:val="20"/>
        </w:rPr>
        <w:t xml:space="preserve"> </w:t>
      </w:r>
      <w:r>
        <w:rPr>
          <w:sz w:val="20"/>
        </w:rPr>
        <w:t>das</w:t>
      </w:r>
      <w:r>
        <w:rPr>
          <w:spacing w:val="-2"/>
          <w:sz w:val="20"/>
        </w:rPr>
        <w:t xml:space="preserve"> </w:t>
      </w:r>
      <w:r>
        <w:rPr>
          <w:sz w:val="20"/>
        </w:rPr>
        <w:t>leis</w:t>
      </w:r>
      <w:r>
        <w:rPr>
          <w:spacing w:val="-10"/>
          <w:sz w:val="20"/>
        </w:rPr>
        <w:t xml:space="preserve"> </w:t>
      </w:r>
      <w:r>
        <w:rPr>
          <w:sz w:val="20"/>
        </w:rPr>
        <w:t>na sociedade,</w:t>
      </w:r>
      <w:r>
        <w:rPr>
          <w:spacing w:val="-10"/>
          <w:sz w:val="20"/>
        </w:rPr>
        <w:t xml:space="preserve"> </w:t>
      </w:r>
      <w:r>
        <w:rPr>
          <w:sz w:val="20"/>
        </w:rPr>
        <w:t>expandindo-se</w:t>
      </w:r>
      <w:r>
        <w:rPr>
          <w:spacing w:val="-9"/>
          <w:sz w:val="20"/>
        </w:rPr>
        <w:t xml:space="preserve"> </w:t>
      </w:r>
      <w:r>
        <w:rPr>
          <w:sz w:val="20"/>
        </w:rPr>
        <w:t>a</w:t>
      </w:r>
      <w:r>
        <w:rPr>
          <w:spacing w:val="-11"/>
          <w:sz w:val="20"/>
        </w:rPr>
        <w:t xml:space="preserve"> </w:t>
      </w:r>
      <w:r>
        <w:rPr>
          <w:sz w:val="20"/>
        </w:rPr>
        <w:t>perspectiva</w:t>
      </w:r>
      <w:r>
        <w:rPr>
          <w:spacing w:val="-7"/>
          <w:sz w:val="20"/>
        </w:rPr>
        <w:t xml:space="preserve"> </w:t>
      </w:r>
      <w:r>
        <w:rPr>
          <w:sz w:val="20"/>
        </w:rPr>
        <w:t>jurídica</w:t>
      </w:r>
      <w:r>
        <w:rPr>
          <w:spacing w:val="-10"/>
          <w:sz w:val="20"/>
        </w:rPr>
        <w:t xml:space="preserve"> </w:t>
      </w:r>
      <w:r>
        <w:rPr>
          <w:sz w:val="20"/>
        </w:rPr>
        <w:t>do</w:t>
      </w:r>
      <w:r>
        <w:rPr>
          <w:spacing w:val="-8"/>
          <w:sz w:val="20"/>
        </w:rPr>
        <w:t xml:space="preserve"> </w:t>
      </w:r>
      <w:r>
        <w:rPr>
          <w:sz w:val="20"/>
        </w:rPr>
        <w:t>tema</w:t>
      </w:r>
      <w:r>
        <w:rPr>
          <w:spacing w:val="-11"/>
          <w:sz w:val="20"/>
        </w:rPr>
        <w:t xml:space="preserve"> </w:t>
      </w:r>
      <w:r>
        <w:rPr>
          <w:sz w:val="20"/>
        </w:rPr>
        <w:t>para</w:t>
      </w:r>
      <w:r>
        <w:rPr>
          <w:spacing w:val="-5"/>
          <w:sz w:val="20"/>
        </w:rPr>
        <w:t xml:space="preserve"> </w:t>
      </w:r>
      <w:r>
        <w:rPr>
          <w:sz w:val="20"/>
        </w:rPr>
        <w:t>incorporar outras áreas, como a ciência política, a ciência administrativa, a economia, a lingüística, a psicologia, entre outras.</w:t>
      </w:r>
      <w:r>
        <w:rPr>
          <w:sz w:val="20"/>
          <w:vertAlign w:val="superscript"/>
        </w:rPr>
        <w:t>35</w:t>
      </w:r>
    </w:p>
    <w:p w:rsidR="007259F2" w:rsidRDefault="007259F2">
      <w:pPr>
        <w:pStyle w:val="Corpodetexto"/>
        <w:ind w:left="0" w:firstLine="0"/>
        <w:jc w:val="left"/>
        <w:rPr>
          <w:sz w:val="20"/>
        </w:rPr>
      </w:pPr>
    </w:p>
    <w:p w:rsidR="007259F2" w:rsidRDefault="00E655B4">
      <w:pPr>
        <w:ind w:left="2978" w:right="422"/>
        <w:jc w:val="both"/>
        <w:rPr>
          <w:sz w:val="20"/>
        </w:rPr>
      </w:pPr>
      <w:r>
        <w:rPr>
          <w:sz w:val="20"/>
        </w:rPr>
        <w:t>Área do conhecimento que</w:t>
      </w:r>
      <w:r>
        <w:rPr>
          <w:spacing w:val="-1"/>
          <w:sz w:val="20"/>
        </w:rPr>
        <w:t xml:space="preserve"> </w:t>
      </w:r>
      <w:r>
        <w:rPr>
          <w:sz w:val="20"/>
        </w:rPr>
        <w:t>estuda</w:t>
      </w:r>
      <w:r>
        <w:rPr>
          <w:spacing w:val="-1"/>
          <w:sz w:val="20"/>
        </w:rPr>
        <w:t xml:space="preserve"> </w:t>
      </w:r>
      <w:r>
        <w:rPr>
          <w:sz w:val="20"/>
        </w:rPr>
        <w:t>e</w:t>
      </w:r>
      <w:r>
        <w:rPr>
          <w:spacing w:val="-1"/>
          <w:sz w:val="20"/>
        </w:rPr>
        <w:t xml:space="preserve"> </w:t>
      </w:r>
      <w:r>
        <w:rPr>
          <w:sz w:val="20"/>
        </w:rPr>
        <w:t>se</w:t>
      </w:r>
      <w:r>
        <w:rPr>
          <w:spacing w:val="-1"/>
          <w:sz w:val="20"/>
        </w:rPr>
        <w:t xml:space="preserve"> </w:t>
      </w:r>
      <w:r>
        <w:rPr>
          <w:sz w:val="20"/>
        </w:rPr>
        <w:t>ocupa</w:t>
      </w:r>
      <w:r>
        <w:rPr>
          <w:spacing w:val="-1"/>
          <w:sz w:val="20"/>
        </w:rPr>
        <w:t xml:space="preserve"> </w:t>
      </w:r>
      <w:r>
        <w:rPr>
          <w:sz w:val="20"/>
        </w:rPr>
        <w:t>de</w:t>
      </w:r>
      <w:r>
        <w:rPr>
          <w:spacing w:val="-1"/>
          <w:sz w:val="20"/>
        </w:rPr>
        <w:t xml:space="preserve"> </w:t>
      </w:r>
      <w:r>
        <w:rPr>
          <w:sz w:val="20"/>
        </w:rPr>
        <w:t>como fazer normas,</w:t>
      </w:r>
      <w:r>
        <w:rPr>
          <w:spacing w:val="-1"/>
          <w:sz w:val="20"/>
        </w:rPr>
        <w:t xml:space="preserve"> </w:t>
      </w:r>
      <w:r>
        <w:rPr>
          <w:sz w:val="20"/>
        </w:rPr>
        <w:t>envolvendo sua concepção e redação, de forma metódica e sistemática, consubstanciada num conjunto de regras que visam contribuir com a adequada elaboração e o aprimoramento da qualidade de atos normativos.</w:t>
      </w:r>
      <w:r>
        <w:rPr>
          <w:sz w:val="20"/>
          <w:vertAlign w:val="superscript"/>
        </w:rPr>
        <w:t>36</w:t>
      </w:r>
    </w:p>
    <w:p w:rsidR="007259F2" w:rsidRDefault="007259F2">
      <w:pPr>
        <w:pStyle w:val="Corpodetexto"/>
        <w:ind w:left="0" w:firstLine="0"/>
        <w:jc w:val="left"/>
        <w:rPr>
          <w:sz w:val="20"/>
        </w:rPr>
      </w:pPr>
    </w:p>
    <w:p w:rsidR="007259F2" w:rsidRDefault="00E655B4">
      <w:pPr>
        <w:ind w:left="2978" w:right="417"/>
        <w:jc w:val="both"/>
        <w:rPr>
          <w:sz w:val="20"/>
        </w:rPr>
      </w:pPr>
      <w:r>
        <w:rPr>
          <w:sz w:val="20"/>
        </w:rPr>
        <w:t xml:space="preserve">Ramo do saber que visa estudar os modos de concepção e de redação dos atos </w:t>
      </w:r>
      <w:r>
        <w:rPr>
          <w:spacing w:val="-2"/>
          <w:sz w:val="20"/>
        </w:rPr>
        <w:t>normativos.</w:t>
      </w:r>
      <w:r>
        <w:rPr>
          <w:spacing w:val="-2"/>
          <w:sz w:val="20"/>
          <w:vertAlign w:val="superscript"/>
        </w:rPr>
        <w:t>37</w:t>
      </w:r>
    </w:p>
    <w:p w:rsidR="007259F2" w:rsidRDefault="00E655B4">
      <w:pPr>
        <w:spacing w:before="229"/>
        <w:ind w:left="2978" w:right="425"/>
        <w:jc w:val="both"/>
        <w:rPr>
          <w:sz w:val="20"/>
        </w:rPr>
      </w:pPr>
      <w:r>
        <w:rPr>
          <w:sz w:val="20"/>
        </w:rPr>
        <w:t>A legística se ocupa do processo de elaboração das leis, com o objetivo de produzir normas de melhor qualidade, mais eficazes e menos onerosas, o que resulta em</w:t>
      </w:r>
      <w:r>
        <w:rPr>
          <w:spacing w:val="40"/>
          <w:sz w:val="20"/>
        </w:rPr>
        <w:t xml:space="preserve"> </w:t>
      </w:r>
      <w:r>
        <w:rPr>
          <w:sz w:val="20"/>
        </w:rPr>
        <w:t xml:space="preserve">maior confiança na legislação e nos legisladores. Assembleia Legislativa de Minas </w:t>
      </w:r>
      <w:r>
        <w:rPr>
          <w:spacing w:val="-2"/>
          <w:sz w:val="20"/>
        </w:rPr>
        <w:t>Gerais.</w:t>
      </w:r>
      <w:r>
        <w:rPr>
          <w:spacing w:val="-2"/>
          <w:sz w:val="20"/>
          <w:vertAlign w:val="superscript"/>
        </w:rPr>
        <w:t>38</w:t>
      </w:r>
    </w:p>
    <w:p w:rsidR="007259F2" w:rsidRDefault="007259F2">
      <w:pPr>
        <w:pStyle w:val="Corpodetexto"/>
        <w:ind w:left="0" w:firstLine="0"/>
        <w:jc w:val="left"/>
        <w:rPr>
          <w:sz w:val="20"/>
        </w:rPr>
      </w:pPr>
    </w:p>
    <w:p w:rsidR="007259F2" w:rsidRDefault="00E655B4">
      <w:pPr>
        <w:ind w:left="2978" w:right="428"/>
        <w:jc w:val="both"/>
        <w:rPr>
          <w:sz w:val="20"/>
        </w:rPr>
      </w:pPr>
      <w:r>
        <w:rPr>
          <w:sz w:val="20"/>
        </w:rPr>
        <w:t>Uma ciência interdisciplinar que tem um objeto claro – o estudo de todo o circuito</w:t>
      </w:r>
      <w:r>
        <w:rPr>
          <w:spacing w:val="40"/>
          <w:sz w:val="20"/>
        </w:rPr>
        <w:t xml:space="preserve"> </w:t>
      </w:r>
      <w:r>
        <w:rPr>
          <w:sz w:val="20"/>
        </w:rPr>
        <w:t>da produção das normas – e para a qual convergem vários métodos</w:t>
      </w:r>
    </w:p>
    <w:p w:rsidR="007259F2" w:rsidRDefault="00E655B4">
      <w:pPr>
        <w:spacing w:before="1"/>
        <w:ind w:left="2978" w:right="422"/>
        <w:jc w:val="both"/>
        <w:rPr>
          <w:sz w:val="20"/>
        </w:rPr>
      </w:pPr>
      <w:r>
        <w:rPr>
          <w:sz w:val="20"/>
        </w:rPr>
        <w:t>e diferentes conhecimentos científicos. Trata-se de uma ‘ciência normativa’, mas também de uma ‘ciência de ação’, que nos permite analisar o comportamento dos órgãos legiferantes e as características dos fatos legislativos e identificar instrumentos úteis para a prática legislativa.</w:t>
      </w:r>
      <w:r>
        <w:rPr>
          <w:sz w:val="20"/>
          <w:vertAlign w:val="superscript"/>
        </w:rPr>
        <w:t>39</w:t>
      </w:r>
    </w:p>
    <w:p w:rsidR="007259F2" w:rsidRDefault="00E655B4">
      <w:pPr>
        <w:spacing w:before="229"/>
        <w:ind w:left="2978" w:right="421"/>
        <w:jc w:val="both"/>
        <w:rPr>
          <w:sz w:val="20"/>
        </w:rPr>
      </w:pPr>
      <w:r>
        <w:rPr>
          <w:sz w:val="20"/>
        </w:rPr>
        <w:t>Legística ou ciência da legislação é a área de conhecimento que se ocupa planejamento, da concepção, da elaboração e da avaliação das leis, de forma metódica e sistemática, valendo-se de premissas técnico-científicas como coadjuvantes</w:t>
      </w:r>
      <w:r>
        <w:rPr>
          <w:spacing w:val="54"/>
          <w:sz w:val="20"/>
        </w:rPr>
        <w:t xml:space="preserve"> </w:t>
      </w:r>
      <w:r>
        <w:rPr>
          <w:sz w:val="20"/>
        </w:rPr>
        <w:t>da</w:t>
      </w:r>
      <w:r>
        <w:rPr>
          <w:spacing w:val="56"/>
          <w:sz w:val="20"/>
        </w:rPr>
        <w:t xml:space="preserve"> </w:t>
      </w:r>
      <w:r>
        <w:rPr>
          <w:sz w:val="20"/>
        </w:rPr>
        <w:t>decisão</w:t>
      </w:r>
      <w:r>
        <w:rPr>
          <w:spacing w:val="57"/>
          <w:sz w:val="20"/>
        </w:rPr>
        <w:t xml:space="preserve"> </w:t>
      </w:r>
      <w:r>
        <w:rPr>
          <w:sz w:val="20"/>
        </w:rPr>
        <w:t>política</w:t>
      </w:r>
      <w:r>
        <w:rPr>
          <w:spacing w:val="55"/>
          <w:sz w:val="20"/>
        </w:rPr>
        <w:t xml:space="preserve"> </w:t>
      </w:r>
      <w:r>
        <w:rPr>
          <w:sz w:val="20"/>
        </w:rPr>
        <w:t>de</w:t>
      </w:r>
      <w:r>
        <w:rPr>
          <w:spacing w:val="56"/>
          <w:sz w:val="20"/>
        </w:rPr>
        <w:t xml:space="preserve"> </w:t>
      </w:r>
      <w:r>
        <w:rPr>
          <w:sz w:val="20"/>
        </w:rPr>
        <w:t>escolha</w:t>
      </w:r>
      <w:r>
        <w:rPr>
          <w:spacing w:val="56"/>
          <w:sz w:val="20"/>
        </w:rPr>
        <w:t xml:space="preserve"> </w:t>
      </w:r>
      <w:r>
        <w:rPr>
          <w:sz w:val="20"/>
        </w:rPr>
        <w:t>da</w:t>
      </w:r>
      <w:r>
        <w:rPr>
          <w:spacing w:val="55"/>
          <w:sz w:val="20"/>
        </w:rPr>
        <w:t xml:space="preserve"> </w:t>
      </w:r>
      <w:r>
        <w:rPr>
          <w:sz w:val="20"/>
        </w:rPr>
        <w:t>oportunidade</w:t>
      </w:r>
      <w:r>
        <w:rPr>
          <w:spacing w:val="56"/>
          <w:sz w:val="20"/>
        </w:rPr>
        <w:t xml:space="preserve"> </w:t>
      </w:r>
      <w:r>
        <w:rPr>
          <w:sz w:val="20"/>
        </w:rPr>
        <w:t>de</w:t>
      </w:r>
      <w:r>
        <w:rPr>
          <w:spacing w:val="54"/>
          <w:sz w:val="20"/>
        </w:rPr>
        <w:t xml:space="preserve"> </w:t>
      </w:r>
      <w:r>
        <w:rPr>
          <w:sz w:val="20"/>
        </w:rPr>
        <w:t>legislar</w:t>
      </w:r>
      <w:r>
        <w:rPr>
          <w:spacing w:val="57"/>
          <w:sz w:val="20"/>
        </w:rPr>
        <w:t xml:space="preserve"> </w:t>
      </w:r>
      <w:r>
        <w:rPr>
          <w:sz w:val="20"/>
        </w:rPr>
        <w:t>e</w:t>
      </w:r>
      <w:r>
        <w:rPr>
          <w:spacing w:val="55"/>
          <w:sz w:val="20"/>
        </w:rPr>
        <w:t xml:space="preserve"> </w:t>
      </w:r>
      <w:r>
        <w:rPr>
          <w:spacing w:val="-5"/>
          <w:sz w:val="20"/>
        </w:rPr>
        <w:t>das</w:t>
      </w:r>
    </w:p>
    <w:p w:rsidR="007259F2" w:rsidRDefault="00DE6B1C">
      <w:pPr>
        <w:pStyle w:val="Corpodetexto"/>
        <w:spacing w:before="1"/>
        <w:ind w:left="0" w:firstLine="0"/>
        <w:jc w:val="left"/>
        <w:rPr>
          <w:sz w:val="18"/>
        </w:rPr>
      </w:pPr>
      <w:r w:rsidRPr="00DE6B1C">
        <w:rPr>
          <w:sz w:val="18"/>
        </w:rPr>
        <w:pict>
          <v:rect id="docshape168" o:spid="_x0000_s1059" style="position:absolute;margin-left:85.1pt;margin-top:11.65pt;width:2in;height:.7pt;z-index:-15652864;mso-wrap-distance-left:0;mso-wrap-distance-right:0;mso-position-horizontal-relative:page" fillcolor="black" stroked="f">
            <w10:wrap type="topAndBottom" anchorx="page"/>
          </v:rect>
        </w:pict>
      </w:r>
    </w:p>
    <w:p w:rsidR="007259F2" w:rsidRDefault="00E655B4">
      <w:pPr>
        <w:spacing w:before="96"/>
        <w:ind w:left="710" w:right="418"/>
        <w:jc w:val="both"/>
        <w:rPr>
          <w:sz w:val="20"/>
        </w:rPr>
      </w:pPr>
      <w:r>
        <w:rPr>
          <w:sz w:val="20"/>
          <w:vertAlign w:val="superscript"/>
        </w:rPr>
        <w:t>31</w:t>
      </w:r>
      <w:r>
        <w:rPr>
          <w:sz w:val="20"/>
        </w:rPr>
        <w:t xml:space="preserve"> SOARES, Fabiana Menezes; KAITEL, Christiane Silva; PRETE, Esther Külkamp (org.). </w:t>
      </w:r>
      <w:r>
        <w:rPr>
          <w:b/>
          <w:sz w:val="20"/>
        </w:rPr>
        <w:t>Estudos em Legística</w:t>
      </w:r>
      <w:r>
        <w:rPr>
          <w:sz w:val="20"/>
        </w:rPr>
        <w:t>. Florianópolis/SC: Tribo da Ilha, 2019.</w:t>
      </w:r>
    </w:p>
    <w:p w:rsidR="007259F2" w:rsidRDefault="00E655B4">
      <w:pPr>
        <w:spacing w:before="1"/>
        <w:ind w:left="710"/>
        <w:rPr>
          <w:sz w:val="20"/>
        </w:rPr>
      </w:pPr>
      <w:r>
        <w:rPr>
          <w:sz w:val="20"/>
          <w:vertAlign w:val="superscript"/>
        </w:rPr>
        <w:t>31</w:t>
      </w:r>
      <w:r>
        <w:rPr>
          <w:spacing w:val="-12"/>
          <w:sz w:val="20"/>
        </w:rPr>
        <w:t xml:space="preserve"> </w:t>
      </w:r>
      <w:r>
        <w:rPr>
          <w:sz w:val="20"/>
        </w:rPr>
        <w:t>DISTRITO</w:t>
      </w:r>
      <w:r>
        <w:rPr>
          <w:spacing w:val="-13"/>
          <w:sz w:val="20"/>
        </w:rPr>
        <w:t xml:space="preserve"> </w:t>
      </w:r>
      <w:r>
        <w:rPr>
          <w:sz w:val="20"/>
        </w:rPr>
        <w:t>FEDERAL,</w:t>
      </w:r>
      <w:r>
        <w:rPr>
          <w:spacing w:val="-9"/>
          <w:sz w:val="20"/>
        </w:rPr>
        <w:t xml:space="preserve"> </w:t>
      </w:r>
      <w:r>
        <w:rPr>
          <w:spacing w:val="-2"/>
          <w:sz w:val="20"/>
        </w:rPr>
        <w:t>2017.</w:t>
      </w:r>
    </w:p>
    <w:p w:rsidR="007259F2" w:rsidRDefault="00E655B4">
      <w:pPr>
        <w:spacing w:line="229" w:lineRule="exact"/>
        <w:ind w:left="710"/>
        <w:rPr>
          <w:sz w:val="20"/>
        </w:rPr>
      </w:pPr>
      <w:r>
        <w:rPr>
          <w:sz w:val="20"/>
          <w:vertAlign w:val="superscript"/>
        </w:rPr>
        <w:t>32</w:t>
      </w:r>
      <w:r>
        <w:rPr>
          <w:spacing w:val="-6"/>
          <w:sz w:val="20"/>
        </w:rPr>
        <w:t xml:space="preserve"> </w:t>
      </w:r>
      <w:r>
        <w:rPr>
          <w:sz w:val="20"/>
        </w:rPr>
        <w:t>DELLEY,</w:t>
      </w:r>
      <w:r>
        <w:rPr>
          <w:spacing w:val="-6"/>
          <w:sz w:val="20"/>
        </w:rPr>
        <w:t xml:space="preserve"> </w:t>
      </w:r>
      <w:r>
        <w:rPr>
          <w:sz w:val="20"/>
        </w:rPr>
        <w:t>J.D.,</w:t>
      </w:r>
      <w:r>
        <w:rPr>
          <w:spacing w:val="-6"/>
          <w:sz w:val="20"/>
        </w:rPr>
        <w:t xml:space="preserve"> </w:t>
      </w:r>
      <w:r>
        <w:rPr>
          <w:sz w:val="20"/>
        </w:rPr>
        <w:t>2004</w:t>
      </w:r>
      <w:r>
        <w:rPr>
          <w:spacing w:val="-10"/>
          <w:sz w:val="20"/>
        </w:rPr>
        <w:t xml:space="preserve"> </w:t>
      </w:r>
      <w:r>
        <w:rPr>
          <w:i/>
          <w:sz w:val="20"/>
        </w:rPr>
        <w:t>apud</w:t>
      </w:r>
      <w:r>
        <w:rPr>
          <w:i/>
          <w:spacing w:val="-8"/>
          <w:sz w:val="20"/>
        </w:rPr>
        <w:t xml:space="preserve"> </w:t>
      </w:r>
      <w:r>
        <w:rPr>
          <w:sz w:val="20"/>
        </w:rPr>
        <w:t>SOARES,</w:t>
      </w:r>
      <w:r>
        <w:rPr>
          <w:spacing w:val="-9"/>
          <w:sz w:val="20"/>
        </w:rPr>
        <w:t xml:space="preserve"> </w:t>
      </w:r>
      <w:r>
        <w:rPr>
          <w:sz w:val="20"/>
        </w:rPr>
        <w:t>F.M</w:t>
      </w:r>
      <w:r>
        <w:rPr>
          <w:spacing w:val="-13"/>
          <w:sz w:val="20"/>
        </w:rPr>
        <w:t xml:space="preserve"> </w:t>
      </w:r>
      <w:r>
        <w:rPr>
          <w:i/>
          <w:sz w:val="20"/>
        </w:rPr>
        <w:t>et</w:t>
      </w:r>
      <w:r>
        <w:rPr>
          <w:i/>
          <w:spacing w:val="-9"/>
          <w:sz w:val="20"/>
        </w:rPr>
        <w:t xml:space="preserve"> </w:t>
      </w:r>
      <w:r>
        <w:rPr>
          <w:i/>
          <w:sz w:val="20"/>
        </w:rPr>
        <w:t>al</w:t>
      </w:r>
      <w:r>
        <w:rPr>
          <w:sz w:val="20"/>
        </w:rPr>
        <w:t>.,</w:t>
      </w:r>
      <w:r>
        <w:rPr>
          <w:spacing w:val="-11"/>
          <w:sz w:val="20"/>
        </w:rPr>
        <w:t xml:space="preserve"> </w:t>
      </w:r>
      <w:r>
        <w:rPr>
          <w:spacing w:val="-2"/>
          <w:sz w:val="20"/>
        </w:rPr>
        <w:t>2019.</w:t>
      </w:r>
    </w:p>
    <w:p w:rsidR="007259F2" w:rsidRDefault="00E655B4">
      <w:pPr>
        <w:ind w:left="710" w:right="427"/>
        <w:jc w:val="both"/>
        <w:rPr>
          <w:sz w:val="20"/>
        </w:rPr>
      </w:pPr>
      <w:r>
        <w:rPr>
          <w:sz w:val="20"/>
          <w:vertAlign w:val="superscript"/>
        </w:rPr>
        <w:t>33</w:t>
      </w:r>
      <w:r>
        <w:rPr>
          <w:sz w:val="20"/>
        </w:rPr>
        <w:t xml:space="preserve"> Mader (2009) indica que a primeira referência a esse ramo de estudo foi encontrada na obra do suíco Peter</w:t>
      </w:r>
      <w:r>
        <w:rPr>
          <w:spacing w:val="40"/>
          <w:sz w:val="20"/>
        </w:rPr>
        <w:t xml:space="preserve"> </w:t>
      </w:r>
      <w:r>
        <w:rPr>
          <w:sz w:val="20"/>
        </w:rPr>
        <w:t xml:space="preserve">Noll (1973). Ele sugeriu o nome de </w:t>
      </w:r>
      <w:r>
        <w:rPr>
          <w:i/>
          <w:sz w:val="20"/>
        </w:rPr>
        <w:t xml:space="preserve">Gesetzgebun-gslehre </w:t>
      </w:r>
      <w:r>
        <w:rPr>
          <w:sz w:val="20"/>
        </w:rPr>
        <w:t xml:space="preserve">ou legisprudência. Essa expressão foi traduzida para o francês como </w:t>
      </w:r>
      <w:r>
        <w:rPr>
          <w:i/>
          <w:sz w:val="20"/>
        </w:rPr>
        <w:t xml:space="preserve">Méthode Législative </w:t>
      </w:r>
      <w:r>
        <w:rPr>
          <w:sz w:val="20"/>
        </w:rPr>
        <w:t>(Método Legislativo).</w:t>
      </w:r>
    </w:p>
    <w:p w:rsidR="007259F2" w:rsidRDefault="00E655B4">
      <w:pPr>
        <w:spacing w:before="1"/>
        <w:ind w:left="710" w:right="424"/>
        <w:jc w:val="both"/>
        <w:rPr>
          <w:sz w:val="20"/>
        </w:rPr>
      </w:pPr>
      <w:r>
        <w:rPr>
          <w:sz w:val="20"/>
          <w:vertAlign w:val="superscript"/>
        </w:rPr>
        <w:t>34</w:t>
      </w:r>
      <w:r>
        <w:rPr>
          <w:sz w:val="20"/>
        </w:rPr>
        <w:t xml:space="preserve"> Em inventário semântico, Guimarães e Braga (2011) informam que Chevalier (1995) foi o primeiro a definir </w:t>
      </w:r>
      <w:r>
        <w:rPr>
          <w:spacing w:val="-2"/>
          <w:sz w:val="20"/>
        </w:rPr>
        <w:t>Legísitca.</w:t>
      </w:r>
    </w:p>
    <w:p w:rsidR="007259F2" w:rsidRDefault="00E655B4">
      <w:pPr>
        <w:spacing w:before="1"/>
        <w:ind w:left="710" w:right="420"/>
        <w:jc w:val="both"/>
        <w:rPr>
          <w:sz w:val="20"/>
        </w:rPr>
      </w:pPr>
      <w:r>
        <w:rPr>
          <w:sz w:val="20"/>
          <w:vertAlign w:val="superscript"/>
        </w:rPr>
        <w:t>35</w:t>
      </w:r>
      <w:r>
        <w:rPr>
          <w:sz w:val="20"/>
        </w:rPr>
        <w:t xml:space="preserve"> MADER, Luzius. Legística: história e objeto; fronteiras e perspectivas. </w:t>
      </w:r>
      <w:r>
        <w:rPr>
          <w:i/>
          <w:sz w:val="20"/>
        </w:rPr>
        <w:t>In</w:t>
      </w:r>
      <w:r>
        <w:rPr>
          <w:sz w:val="20"/>
        </w:rPr>
        <w:t xml:space="preserve">: Congresso Internacional de Legística: Qualidade da Lei e Desenvolvimento, 2007, Belo Horizonte. </w:t>
      </w:r>
      <w:r>
        <w:rPr>
          <w:b/>
          <w:sz w:val="20"/>
        </w:rPr>
        <w:t>Legística</w:t>
      </w:r>
      <w:r>
        <w:rPr>
          <w:sz w:val="20"/>
        </w:rPr>
        <w:t>: qualidade da lei e desenvolvimento. Belo Horizonte: Assembléia Legislativa do Estado de Minas Gerais, 2009.</w:t>
      </w:r>
    </w:p>
    <w:p w:rsidR="007259F2" w:rsidRDefault="00E655B4">
      <w:pPr>
        <w:spacing w:line="229" w:lineRule="exact"/>
        <w:ind w:left="710"/>
        <w:rPr>
          <w:sz w:val="20"/>
        </w:rPr>
      </w:pPr>
      <w:r>
        <w:rPr>
          <w:sz w:val="20"/>
          <w:vertAlign w:val="superscript"/>
        </w:rPr>
        <w:t>36</w:t>
      </w:r>
      <w:r>
        <w:rPr>
          <w:spacing w:val="-7"/>
          <w:sz w:val="20"/>
        </w:rPr>
        <w:t xml:space="preserve"> </w:t>
      </w:r>
      <w:r>
        <w:rPr>
          <w:sz w:val="20"/>
        </w:rPr>
        <w:t>SOUZA,</w:t>
      </w:r>
      <w:r>
        <w:rPr>
          <w:spacing w:val="-7"/>
          <w:sz w:val="20"/>
        </w:rPr>
        <w:t xml:space="preserve"> </w:t>
      </w:r>
      <w:r>
        <w:rPr>
          <w:sz w:val="20"/>
        </w:rPr>
        <w:t>2009</w:t>
      </w:r>
      <w:r>
        <w:rPr>
          <w:spacing w:val="-10"/>
          <w:sz w:val="20"/>
        </w:rPr>
        <w:t xml:space="preserve"> </w:t>
      </w:r>
      <w:r>
        <w:rPr>
          <w:i/>
          <w:sz w:val="20"/>
        </w:rPr>
        <w:t>apud</w:t>
      </w:r>
      <w:r>
        <w:rPr>
          <w:i/>
          <w:spacing w:val="-9"/>
          <w:sz w:val="20"/>
        </w:rPr>
        <w:t xml:space="preserve"> </w:t>
      </w:r>
      <w:r>
        <w:rPr>
          <w:sz w:val="20"/>
        </w:rPr>
        <w:t>GUIMARES</w:t>
      </w:r>
      <w:r>
        <w:rPr>
          <w:spacing w:val="-12"/>
          <w:sz w:val="20"/>
        </w:rPr>
        <w:t xml:space="preserve"> </w:t>
      </w:r>
      <w:r>
        <w:rPr>
          <w:sz w:val="20"/>
        </w:rPr>
        <w:t>e</w:t>
      </w:r>
      <w:r>
        <w:rPr>
          <w:spacing w:val="-12"/>
          <w:sz w:val="20"/>
        </w:rPr>
        <w:t xml:space="preserve"> </w:t>
      </w:r>
      <w:r>
        <w:rPr>
          <w:sz w:val="20"/>
        </w:rPr>
        <w:t>BRAGA,</w:t>
      </w:r>
      <w:r>
        <w:rPr>
          <w:spacing w:val="-10"/>
          <w:sz w:val="20"/>
        </w:rPr>
        <w:t xml:space="preserve"> </w:t>
      </w:r>
      <w:r>
        <w:rPr>
          <w:spacing w:val="-2"/>
          <w:sz w:val="20"/>
        </w:rPr>
        <w:t>2011.</w:t>
      </w:r>
    </w:p>
    <w:p w:rsidR="007259F2" w:rsidRDefault="00E655B4">
      <w:pPr>
        <w:ind w:left="710"/>
        <w:rPr>
          <w:sz w:val="20"/>
        </w:rPr>
      </w:pPr>
      <w:r>
        <w:rPr>
          <w:sz w:val="20"/>
          <w:vertAlign w:val="superscript"/>
        </w:rPr>
        <w:t>37</w:t>
      </w:r>
      <w:r>
        <w:rPr>
          <w:spacing w:val="-6"/>
          <w:sz w:val="20"/>
        </w:rPr>
        <w:t xml:space="preserve"> </w:t>
      </w:r>
      <w:r>
        <w:rPr>
          <w:sz w:val="20"/>
        </w:rPr>
        <w:t>CRISTAS,</w:t>
      </w:r>
      <w:r>
        <w:rPr>
          <w:spacing w:val="-12"/>
          <w:sz w:val="20"/>
        </w:rPr>
        <w:t xml:space="preserve"> </w:t>
      </w:r>
      <w:r>
        <w:rPr>
          <w:sz w:val="20"/>
        </w:rPr>
        <w:t>2006</w:t>
      </w:r>
      <w:r>
        <w:rPr>
          <w:spacing w:val="-12"/>
          <w:sz w:val="20"/>
        </w:rPr>
        <w:t xml:space="preserve"> </w:t>
      </w:r>
      <w:r>
        <w:rPr>
          <w:i/>
          <w:sz w:val="20"/>
        </w:rPr>
        <w:t>apud</w:t>
      </w:r>
      <w:r>
        <w:rPr>
          <w:i/>
          <w:spacing w:val="-11"/>
          <w:sz w:val="20"/>
        </w:rPr>
        <w:t xml:space="preserve"> </w:t>
      </w:r>
      <w:r>
        <w:rPr>
          <w:sz w:val="20"/>
        </w:rPr>
        <w:t>GUIMARES</w:t>
      </w:r>
      <w:r>
        <w:rPr>
          <w:spacing w:val="-9"/>
          <w:sz w:val="20"/>
        </w:rPr>
        <w:t xml:space="preserve"> </w:t>
      </w:r>
      <w:r>
        <w:rPr>
          <w:sz w:val="20"/>
        </w:rPr>
        <w:t>e</w:t>
      </w:r>
      <w:r>
        <w:rPr>
          <w:spacing w:val="-11"/>
          <w:sz w:val="20"/>
        </w:rPr>
        <w:t xml:space="preserve"> </w:t>
      </w:r>
      <w:r>
        <w:rPr>
          <w:sz w:val="20"/>
        </w:rPr>
        <w:t>BRAGA,</w:t>
      </w:r>
      <w:r>
        <w:rPr>
          <w:spacing w:val="-7"/>
          <w:sz w:val="20"/>
        </w:rPr>
        <w:t xml:space="preserve"> </w:t>
      </w:r>
      <w:r>
        <w:rPr>
          <w:spacing w:val="-2"/>
          <w:sz w:val="20"/>
        </w:rPr>
        <w:t>2011.</w:t>
      </w:r>
    </w:p>
    <w:p w:rsidR="007259F2" w:rsidRDefault="00E655B4">
      <w:pPr>
        <w:ind w:left="710"/>
        <w:rPr>
          <w:sz w:val="20"/>
        </w:rPr>
      </w:pPr>
      <w:r>
        <w:rPr>
          <w:sz w:val="20"/>
          <w:vertAlign w:val="superscript"/>
        </w:rPr>
        <w:t>38</w:t>
      </w:r>
      <w:r>
        <w:rPr>
          <w:spacing w:val="-8"/>
          <w:sz w:val="20"/>
        </w:rPr>
        <w:t xml:space="preserve"> </w:t>
      </w:r>
      <w:r>
        <w:rPr>
          <w:sz w:val="20"/>
        </w:rPr>
        <w:t>LEGÍSTICA,</w:t>
      </w:r>
      <w:r>
        <w:rPr>
          <w:spacing w:val="-12"/>
          <w:sz w:val="20"/>
        </w:rPr>
        <w:t xml:space="preserve"> </w:t>
      </w:r>
      <w:r>
        <w:rPr>
          <w:sz w:val="20"/>
        </w:rPr>
        <w:t>2009</w:t>
      </w:r>
      <w:r>
        <w:rPr>
          <w:spacing w:val="-12"/>
          <w:sz w:val="20"/>
        </w:rPr>
        <w:t xml:space="preserve"> </w:t>
      </w:r>
      <w:r>
        <w:rPr>
          <w:i/>
          <w:sz w:val="20"/>
        </w:rPr>
        <w:t>apud</w:t>
      </w:r>
      <w:r>
        <w:rPr>
          <w:i/>
          <w:spacing w:val="-9"/>
          <w:sz w:val="20"/>
        </w:rPr>
        <w:t xml:space="preserve"> </w:t>
      </w:r>
      <w:r>
        <w:rPr>
          <w:sz w:val="20"/>
        </w:rPr>
        <w:t>GUIMARES</w:t>
      </w:r>
      <w:r>
        <w:rPr>
          <w:spacing w:val="-13"/>
          <w:sz w:val="20"/>
        </w:rPr>
        <w:t xml:space="preserve"> </w:t>
      </w:r>
      <w:r>
        <w:rPr>
          <w:sz w:val="20"/>
        </w:rPr>
        <w:t>e</w:t>
      </w:r>
      <w:r>
        <w:rPr>
          <w:spacing w:val="-12"/>
          <w:sz w:val="20"/>
        </w:rPr>
        <w:t xml:space="preserve"> </w:t>
      </w:r>
      <w:r>
        <w:rPr>
          <w:sz w:val="20"/>
        </w:rPr>
        <w:t>BRAGA,</w:t>
      </w:r>
      <w:r>
        <w:rPr>
          <w:spacing w:val="-10"/>
          <w:sz w:val="20"/>
        </w:rPr>
        <w:t xml:space="preserve"> </w:t>
      </w:r>
      <w:r>
        <w:rPr>
          <w:spacing w:val="-2"/>
          <w:sz w:val="20"/>
        </w:rPr>
        <w:t>2011.</w:t>
      </w:r>
    </w:p>
    <w:p w:rsidR="007259F2" w:rsidRDefault="00E655B4">
      <w:pPr>
        <w:spacing w:before="1"/>
        <w:ind w:left="710"/>
        <w:rPr>
          <w:sz w:val="20"/>
        </w:rPr>
      </w:pPr>
      <w:r>
        <w:rPr>
          <w:sz w:val="20"/>
          <w:vertAlign w:val="superscript"/>
        </w:rPr>
        <w:t>39</w:t>
      </w:r>
      <w:r>
        <w:rPr>
          <w:spacing w:val="-7"/>
          <w:sz w:val="20"/>
        </w:rPr>
        <w:t xml:space="preserve"> </w:t>
      </w:r>
      <w:r>
        <w:rPr>
          <w:sz w:val="20"/>
        </w:rPr>
        <w:t>ALMEIDA,</w:t>
      </w:r>
      <w:r>
        <w:rPr>
          <w:spacing w:val="-12"/>
          <w:sz w:val="20"/>
        </w:rPr>
        <w:t xml:space="preserve"> </w:t>
      </w:r>
      <w:r>
        <w:rPr>
          <w:sz w:val="20"/>
        </w:rPr>
        <w:t>2009</w:t>
      </w:r>
      <w:r>
        <w:rPr>
          <w:spacing w:val="-12"/>
          <w:sz w:val="20"/>
        </w:rPr>
        <w:t xml:space="preserve"> </w:t>
      </w:r>
      <w:r>
        <w:rPr>
          <w:sz w:val="20"/>
        </w:rPr>
        <w:t>apud</w:t>
      </w:r>
      <w:r>
        <w:rPr>
          <w:spacing w:val="-12"/>
          <w:sz w:val="20"/>
        </w:rPr>
        <w:t xml:space="preserve"> </w:t>
      </w:r>
      <w:r>
        <w:rPr>
          <w:sz w:val="20"/>
        </w:rPr>
        <w:t>GUIMARES</w:t>
      </w:r>
      <w:r>
        <w:rPr>
          <w:spacing w:val="-10"/>
          <w:sz w:val="20"/>
        </w:rPr>
        <w:t xml:space="preserve"> </w:t>
      </w:r>
      <w:r>
        <w:rPr>
          <w:sz w:val="20"/>
        </w:rPr>
        <w:t>e</w:t>
      </w:r>
      <w:r>
        <w:rPr>
          <w:spacing w:val="-13"/>
          <w:sz w:val="20"/>
        </w:rPr>
        <w:t xml:space="preserve"> </w:t>
      </w:r>
      <w:r>
        <w:rPr>
          <w:sz w:val="20"/>
        </w:rPr>
        <w:t>BRAGA,</w:t>
      </w:r>
      <w:r>
        <w:rPr>
          <w:spacing w:val="-8"/>
          <w:sz w:val="20"/>
        </w:rPr>
        <w:t xml:space="preserve"> </w:t>
      </w:r>
      <w:r>
        <w:rPr>
          <w:spacing w:val="-2"/>
          <w:sz w:val="20"/>
        </w:rPr>
        <w:t>2011.</w:t>
      </w:r>
    </w:p>
    <w:p w:rsidR="007259F2" w:rsidRDefault="007259F2">
      <w:pPr>
        <w:rPr>
          <w:sz w:val="20"/>
        </w:rPr>
        <w:sectPr w:rsidR="007259F2">
          <w:pgSz w:w="11910" w:h="16840"/>
          <w:pgMar w:top="1560" w:right="708" w:bottom="1020" w:left="992" w:header="0" w:footer="820" w:gutter="0"/>
          <w:cols w:space="720"/>
        </w:sectPr>
      </w:pPr>
    </w:p>
    <w:p w:rsidR="007259F2" w:rsidRDefault="00E655B4">
      <w:pPr>
        <w:spacing w:before="77"/>
        <w:ind w:left="2978" w:right="412"/>
        <w:jc w:val="both"/>
        <w:rPr>
          <w:sz w:val="20"/>
        </w:rPr>
      </w:pPr>
      <w:r>
        <w:rPr>
          <w:sz w:val="20"/>
        </w:rPr>
        <w:lastRenderedPageBreak/>
        <w:t>soluções</w:t>
      </w:r>
      <w:r>
        <w:rPr>
          <w:spacing w:val="40"/>
          <w:sz w:val="20"/>
        </w:rPr>
        <w:t xml:space="preserve"> </w:t>
      </w:r>
      <w:r>
        <w:rPr>
          <w:sz w:val="20"/>
        </w:rPr>
        <w:t>regulativas;</w:t>
      </w:r>
      <w:r>
        <w:rPr>
          <w:spacing w:val="40"/>
          <w:sz w:val="20"/>
        </w:rPr>
        <w:t xml:space="preserve"> </w:t>
      </w:r>
      <w:r>
        <w:rPr>
          <w:sz w:val="20"/>
        </w:rPr>
        <w:t>da</w:t>
      </w:r>
      <w:r>
        <w:rPr>
          <w:spacing w:val="40"/>
          <w:sz w:val="20"/>
        </w:rPr>
        <w:t xml:space="preserve"> </w:t>
      </w:r>
      <w:r>
        <w:rPr>
          <w:sz w:val="20"/>
        </w:rPr>
        <w:t>função</w:t>
      </w:r>
      <w:r>
        <w:rPr>
          <w:spacing w:val="40"/>
          <w:sz w:val="20"/>
        </w:rPr>
        <w:t xml:space="preserve"> </w:t>
      </w:r>
      <w:r>
        <w:rPr>
          <w:sz w:val="20"/>
        </w:rPr>
        <w:t>redacional</w:t>
      </w:r>
      <w:r>
        <w:rPr>
          <w:spacing w:val="40"/>
          <w:sz w:val="20"/>
        </w:rPr>
        <w:t xml:space="preserve"> </w:t>
      </w:r>
      <w:r>
        <w:rPr>
          <w:sz w:val="20"/>
        </w:rPr>
        <w:t>destinada</w:t>
      </w:r>
      <w:r>
        <w:rPr>
          <w:spacing w:val="40"/>
          <w:sz w:val="20"/>
        </w:rPr>
        <w:t xml:space="preserve"> </w:t>
      </w:r>
      <w:r>
        <w:rPr>
          <w:sz w:val="20"/>
        </w:rPr>
        <w:t>à</w:t>
      </w:r>
      <w:r>
        <w:rPr>
          <w:spacing w:val="40"/>
          <w:sz w:val="20"/>
        </w:rPr>
        <w:t xml:space="preserve"> </w:t>
      </w:r>
      <w:r>
        <w:rPr>
          <w:sz w:val="20"/>
        </w:rPr>
        <w:t>apropriação</w:t>
      </w:r>
      <w:r>
        <w:rPr>
          <w:spacing w:val="40"/>
          <w:sz w:val="20"/>
        </w:rPr>
        <w:t xml:space="preserve"> </w:t>
      </w:r>
      <w:r>
        <w:rPr>
          <w:sz w:val="20"/>
        </w:rPr>
        <w:t>dos</w:t>
      </w:r>
      <w:r>
        <w:rPr>
          <w:spacing w:val="40"/>
          <w:sz w:val="20"/>
        </w:rPr>
        <w:t xml:space="preserve"> </w:t>
      </w:r>
      <w:r>
        <w:rPr>
          <w:sz w:val="20"/>
        </w:rPr>
        <w:t>comandos</w:t>
      </w:r>
      <w:r>
        <w:rPr>
          <w:spacing w:val="-4"/>
          <w:sz w:val="20"/>
        </w:rPr>
        <w:t xml:space="preserve"> </w:t>
      </w:r>
      <w:r>
        <w:rPr>
          <w:sz w:val="20"/>
        </w:rPr>
        <w:t>definidos; e das</w:t>
      </w:r>
      <w:r>
        <w:rPr>
          <w:spacing w:val="-4"/>
          <w:sz w:val="20"/>
        </w:rPr>
        <w:t xml:space="preserve"> </w:t>
      </w:r>
      <w:r>
        <w:rPr>
          <w:sz w:val="20"/>
        </w:rPr>
        <w:t>ações de controle</w:t>
      </w:r>
      <w:r>
        <w:rPr>
          <w:spacing w:val="-2"/>
          <w:sz w:val="20"/>
        </w:rPr>
        <w:t xml:space="preserve"> </w:t>
      </w:r>
      <w:r>
        <w:rPr>
          <w:sz w:val="20"/>
        </w:rPr>
        <w:t>dos impactos ou</w:t>
      </w:r>
      <w:r>
        <w:rPr>
          <w:spacing w:val="-5"/>
          <w:sz w:val="20"/>
        </w:rPr>
        <w:t xml:space="preserve"> </w:t>
      </w:r>
      <w:r>
        <w:rPr>
          <w:sz w:val="20"/>
        </w:rPr>
        <w:t>da efetividade da lei.</w:t>
      </w:r>
      <w:r>
        <w:rPr>
          <w:sz w:val="20"/>
          <w:vertAlign w:val="superscript"/>
        </w:rPr>
        <w:t>40</w:t>
      </w:r>
    </w:p>
    <w:p w:rsidR="007259F2" w:rsidRDefault="00E655B4">
      <w:pPr>
        <w:pStyle w:val="Corpodetexto"/>
        <w:spacing w:before="227"/>
        <w:ind w:right="422"/>
      </w:pPr>
      <w:r>
        <w:t>Mader (2009) elenca oito campos de interesses da Legística: (i) a metodologia legislativa, também chamada de Legística material; (ii) a técnica legislativa ou Legística formal; (iii) a redação legislativa e seus aspectos linguísticos; (iv) as atividades relacionadas</w:t>
      </w:r>
      <w:r>
        <w:rPr>
          <w:spacing w:val="-4"/>
        </w:rPr>
        <w:t xml:space="preserve"> </w:t>
      </w:r>
      <w:r>
        <w:t>à informação</w:t>
      </w:r>
      <w:r>
        <w:rPr>
          <w:spacing w:val="-4"/>
        </w:rPr>
        <w:t xml:space="preserve"> </w:t>
      </w:r>
      <w:r>
        <w:t>e</w:t>
      </w:r>
      <w:r>
        <w:rPr>
          <w:spacing w:val="-9"/>
        </w:rPr>
        <w:t xml:space="preserve"> </w:t>
      </w:r>
      <w:r>
        <w:t>comunicação</w:t>
      </w:r>
      <w:r>
        <w:rPr>
          <w:spacing w:val="-5"/>
        </w:rPr>
        <w:t xml:space="preserve"> </w:t>
      </w:r>
      <w:r>
        <w:t>legislativa;</w:t>
      </w:r>
      <w:r>
        <w:rPr>
          <w:spacing w:val="-12"/>
        </w:rPr>
        <w:t xml:space="preserve"> </w:t>
      </w:r>
      <w:r>
        <w:t>(v)</w:t>
      </w:r>
      <w:r>
        <w:rPr>
          <w:spacing w:val="-10"/>
        </w:rPr>
        <w:t xml:space="preserve"> </w:t>
      </w:r>
      <w:r>
        <w:t>o</w:t>
      </w:r>
      <w:r>
        <w:rPr>
          <w:spacing w:val="-4"/>
        </w:rPr>
        <w:t xml:space="preserve"> </w:t>
      </w:r>
      <w:r>
        <w:t>procedimento</w:t>
      </w:r>
      <w:r>
        <w:rPr>
          <w:spacing w:val="-4"/>
        </w:rPr>
        <w:t xml:space="preserve"> </w:t>
      </w:r>
      <w:r>
        <w:t>legislativo;</w:t>
      </w:r>
      <w:r>
        <w:rPr>
          <w:spacing w:val="-12"/>
        </w:rPr>
        <w:t xml:space="preserve"> </w:t>
      </w:r>
      <w:r>
        <w:t>(vi) a gestão de</w:t>
      </w:r>
      <w:r>
        <w:rPr>
          <w:spacing w:val="-1"/>
        </w:rPr>
        <w:t xml:space="preserve"> </w:t>
      </w:r>
      <w:r>
        <w:t>projetos legislativos; (vii) a sociologia jurídica emperíca e, por fim, (viii) a teoria da legislação.</w:t>
      </w:r>
    </w:p>
    <w:p w:rsidR="007259F2" w:rsidRDefault="00E655B4">
      <w:pPr>
        <w:pStyle w:val="Corpodetexto"/>
        <w:ind w:left="1418" w:firstLine="0"/>
      </w:pPr>
      <w:r>
        <w:t>A</w:t>
      </w:r>
      <w:r>
        <w:rPr>
          <w:spacing w:val="-14"/>
        </w:rPr>
        <w:t xml:space="preserve"> </w:t>
      </w:r>
      <w:r>
        <w:t>ténica</w:t>
      </w:r>
      <w:r>
        <w:rPr>
          <w:spacing w:val="1"/>
        </w:rPr>
        <w:t xml:space="preserve"> </w:t>
      </w:r>
      <w:r>
        <w:t>legislativa</w:t>
      </w:r>
      <w:r>
        <w:rPr>
          <w:spacing w:val="-3"/>
        </w:rPr>
        <w:t xml:space="preserve"> </w:t>
      </w:r>
      <w:r>
        <w:t>assume</w:t>
      </w:r>
      <w:r>
        <w:rPr>
          <w:spacing w:val="-3"/>
        </w:rPr>
        <w:t xml:space="preserve"> </w:t>
      </w:r>
      <w:r>
        <w:t>posição</w:t>
      </w:r>
      <w:r>
        <w:rPr>
          <w:spacing w:val="1"/>
        </w:rPr>
        <w:t xml:space="preserve"> </w:t>
      </w:r>
      <w:r>
        <w:t>de</w:t>
      </w:r>
      <w:r>
        <w:rPr>
          <w:spacing w:val="-4"/>
        </w:rPr>
        <w:t xml:space="preserve"> </w:t>
      </w:r>
      <w:r>
        <w:t>destaque</w:t>
      </w:r>
      <w:r>
        <w:rPr>
          <w:spacing w:val="-5"/>
        </w:rPr>
        <w:t xml:space="preserve"> </w:t>
      </w:r>
      <w:r>
        <w:t>na</w:t>
      </w:r>
      <w:r>
        <w:rPr>
          <w:spacing w:val="1"/>
        </w:rPr>
        <w:t xml:space="preserve"> </w:t>
      </w:r>
      <w:r>
        <w:rPr>
          <w:spacing w:val="-2"/>
        </w:rPr>
        <w:t>Legística.</w:t>
      </w:r>
    </w:p>
    <w:p w:rsidR="007259F2" w:rsidRDefault="00E655B4">
      <w:pPr>
        <w:pStyle w:val="Corpodetexto"/>
        <w:ind w:right="419"/>
      </w:pPr>
      <w:r>
        <w:t>A redação da lei deve seguir determinados princípios como os da objetividade, da clareza e da concisão, contemplando os elementos constitutivos da estrutura da lei, tais quais os descritos no art. 3º, Lei Complementar nº 95, de 26 de fevereiro de 1998</w:t>
      </w:r>
      <w:r>
        <w:rPr>
          <w:vertAlign w:val="superscript"/>
        </w:rPr>
        <w:t>41</w:t>
      </w:r>
      <w:r>
        <w:t xml:space="preserve"> e art. 5º, do Decreto nº 9191, de 1° de novembro de 2017.</w:t>
      </w:r>
      <w:r>
        <w:rPr>
          <w:vertAlign w:val="superscript"/>
        </w:rPr>
        <w:t>42</w:t>
      </w:r>
    </w:p>
    <w:p w:rsidR="007259F2" w:rsidRDefault="00E655B4">
      <w:pPr>
        <w:pStyle w:val="Corpodetexto"/>
        <w:spacing w:before="1"/>
        <w:ind w:right="422"/>
      </w:pPr>
      <w:r>
        <w:t>O texto legal deve ser norteado pelas regras de técnica legislativa. Assim, para a composição das leis, exige-se destreza do redator normativo. Com o objetivo de satisfazer tal exigência, os prestigiosos manuais esmiúçam os métodos a serem seguidos.</w:t>
      </w:r>
    </w:p>
    <w:p w:rsidR="007259F2" w:rsidRDefault="00E655B4">
      <w:pPr>
        <w:pStyle w:val="Corpodetexto"/>
        <w:ind w:right="423"/>
      </w:pPr>
      <w:r>
        <w:t>Acontece</w:t>
      </w:r>
      <w:r>
        <w:rPr>
          <w:spacing w:val="-15"/>
        </w:rPr>
        <w:t xml:space="preserve"> </w:t>
      </w:r>
      <w:r>
        <w:t>que</w:t>
      </w:r>
      <w:r>
        <w:rPr>
          <w:spacing w:val="-15"/>
        </w:rPr>
        <w:t xml:space="preserve"> </w:t>
      </w:r>
      <w:r>
        <w:t>também</w:t>
      </w:r>
      <w:r>
        <w:rPr>
          <w:spacing w:val="-15"/>
        </w:rPr>
        <w:t xml:space="preserve"> </w:t>
      </w:r>
      <w:r>
        <w:t>se</w:t>
      </w:r>
      <w:r>
        <w:rPr>
          <w:spacing w:val="-15"/>
        </w:rPr>
        <w:t xml:space="preserve"> </w:t>
      </w:r>
      <w:r>
        <w:t>reivindica</w:t>
      </w:r>
      <w:r>
        <w:rPr>
          <w:spacing w:val="-15"/>
        </w:rPr>
        <w:t xml:space="preserve"> </w:t>
      </w:r>
      <w:r>
        <w:t>do</w:t>
      </w:r>
      <w:r>
        <w:rPr>
          <w:spacing w:val="-15"/>
        </w:rPr>
        <w:t xml:space="preserve"> </w:t>
      </w:r>
      <w:r>
        <w:t>redator</w:t>
      </w:r>
      <w:r>
        <w:rPr>
          <w:spacing w:val="-15"/>
        </w:rPr>
        <w:t xml:space="preserve"> </w:t>
      </w:r>
      <w:r>
        <w:t>talento,</w:t>
      </w:r>
      <w:r>
        <w:rPr>
          <w:spacing w:val="-15"/>
        </w:rPr>
        <w:t xml:space="preserve"> </w:t>
      </w:r>
      <w:r>
        <w:t>engenhosidade,</w:t>
      </w:r>
      <w:r>
        <w:rPr>
          <w:spacing w:val="-15"/>
        </w:rPr>
        <w:t xml:space="preserve"> </w:t>
      </w:r>
      <w:r>
        <w:t>habilidade</w:t>
      </w:r>
      <w:r>
        <w:rPr>
          <w:spacing w:val="-15"/>
        </w:rPr>
        <w:t xml:space="preserve"> </w:t>
      </w:r>
      <w:r>
        <w:t>e</w:t>
      </w:r>
      <w:r>
        <w:rPr>
          <w:spacing w:val="-4"/>
        </w:rPr>
        <w:t xml:space="preserve"> </w:t>
      </w:r>
      <w:r>
        <w:t>uma espécie de capacidade extraordinária relacionada à “beleza do texto”.</w:t>
      </w:r>
    </w:p>
    <w:p w:rsidR="007259F2" w:rsidRDefault="007259F2">
      <w:pPr>
        <w:pStyle w:val="Corpodetexto"/>
        <w:spacing w:before="1"/>
        <w:ind w:left="0" w:firstLine="0"/>
        <w:jc w:val="left"/>
      </w:pPr>
    </w:p>
    <w:p w:rsidR="007259F2" w:rsidRDefault="00E655B4">
      <w:pPr>
        <w:ind w:left="2978" w:right="421"/>
        <w:jc w:val="both"/>
        <w:rPr>
          <w:sz w:val="20"/>
        </w:rPr>
      </w:pPr>
      <w:r>
        <w:rPr>
          <w:sz w:val="20"/>
        </w:rPr>
        <w:t>A técnica legislativa é a arte de redigir leis. O direito anglo-americano a denomina “legislative</w:t>
      </w:r>
      <w:r>
        <w:rPr>
          <w:spacing w:val="-13"/>
          <w:sz w:val="20"/>
        </w:rPr>
        <w:t xml:space="preserve"> </w:t>
      </w:r>
      <w:r>
        <w:rPr>
          <w:sz w:val="20"/>
        </w:rPr>
        <w:t>drafting”.</w:t>
      </w:r>
      <w:r>
        <w:rPr>
          <w:spacing w:val="-8"/>
          <w:sz w:val="20"/>
        </w:rPr>
        <w:t xml:space="preserve"> </w:t>
      </w:r>
      <w:r>
        <w:rPr>
          <w:sz w:val="20"/>
        </w:rPr>
        <w:t>As</w:t>
      </w:r>
      <w:r>
        <w:rPr>
          <w:spacing w:val="-13"/>
          <w:sz w:val="20"/>
        </w:rPr>
        <w:t xml:space="preserve"> </w:t>
      </w:r>
      <w:r>
        <w:rPr>
          <w:sz w:val="20"/>
        </w:rPr>
        <w:t>leis</w:t>
      </w:r>
      <w:r>
        <w:rPr>
          <w:spacing w:val="-12"/>
          <w:sz w:val="20"/>
        </w:rPr>
        <w:t xml:space="preserve"> </w:t>
      </w:r>
      <w:r>
        <w:rPr>
          <w:sz w:val="20"/>
        </w:rPr>
        <w:t>devem</w:t>
      </w:r>
      <w:r>
        <w:rPr>
          <w:spacing w:val="-11"/>
          <w:sz w:val="20"/>
        </w:rPr>
        <w:t xml:space="preserve"> </w:t>
      </w:r>
      <w:r>
        <w:rPr>
          <w:sz w:val="20"/>
        </w:rPr>
        <w:t>ter</w:t>
      </w:r>
      <w:r>
        <w:rPr>
          <w:spacing w:val="-12"/>
          <w:sz w:val="20"/>
        </w:rPr>
        <w:t xml:space="preserve"> </w:t>
      </w:r>
      <w:r>
        <w:rPr>
          <w:sz w:val="20"/>
        </w:rPr>
        <w:t>o</w:t>
      </w:r>
      <w:r>
        <w:rPr>
          <w:spacing w:val="-13"/>
          <w:sz w:val="20"/>
        </w:rPr>
        <w:t xml:space="preserve"> </w:t>
      </w:r>
      <w:r>
        <w:rPr>
          <w:sz w:val="20"/>
        </w:rPr>
        <w:t>seu</w:t>
      </w:r>
      <w:r>
        <w:rPr>
          <w:spacing w:val="-11"/>
          <w:sz w:val="20"/>
        </w:rPr>
        <w:t xml:space="preserve"> </w:t>
      </w:r>
      <w:r>
        <w:rPr>
          <w:sz w:val="20"/>
        </w:rPr>
        <w:t>estilo.</w:t>
      </w:r>
      <w:r>
        <w:rPr>
          <w:spacing w:val="-9"/>
          <w:sz w:val="20"/>
        </w:rPr>
        <w:t xml:space="preserve"> </w:t>
      </w:r>
      <w:r>
        <w:rPr>
          <w:sz w:val="20"/>
        </w:rPr>
        <w:t>O</w:t>
      </w:r>
      <w:r>
        <w:rPr>
          <w:spacing w:val="-13"/>
          <w:sz w:val="20"/>
        </w:rPr>
        <w:t xml:space="preserve"> </w:t>
      </w:r>
      <w:r>
        <w:rPr>
          <w:sz w:val="20"/>
        </w:rPr>
        <w:t>estilo</w:t>
      </w:r>
      <w:r>
        <w:rPr>
          <w:spacing w:val="-11"/>
          <w:sz w:val="20"/>
        </w:rPr>
        <w:t xml:space="preserve"> </w:t>
      </w:r>
      <w:r>
        <w:rPr>
          <w:sz w:val="20"/>
        </w:rPr>
        <w:t>das</w:t>
      </w:r>
      <w:r>
        <w:rPr>
          <w:spacing w:val="-12"/>
          <w:sz w:val="20"/>
        </w:rPr>
        <w:t xml:space="preserve"> </w:t>
      </w:r>
      <w:r>
        <w:rPr>
          <w:sz w:val="20"/>
        </w:rPr>
        <w:t>leis</w:t>
      </w:r>
      <w:r>
        <w:rPr>
          <w:spacing w:val="-4"/>
          <w:sz w:val="20"/>
        </w:rPr>
        <w:t xml:space="preserve"> </w:t>
      </w:r>
      <w:r>
        <w:rPr>
          <w:sz w:val="20"/>
        </w:rPr>
        <w:t>deve</w:t>
      </w:r>
      <w:r>
        <w:rPr>
          <w:spacing w:val="-10"/>
          <w:sz w:val="20"/>
        </w:rPr>
        <w:t xml:space="preserve"> </w:t>
      </w:r>
      <w:r>
        <w:rPr>
          <w:sz w:val="20"/>
        </w:rPr>
        <w:t>ser</w:t>
      </w:r>
      <w:r>
        <w:rPr>
          <w:spacing w:val="-3"/>
          <w:sz w:val="20"/>
        </w:rPr>
        <w:t xml:space="preserve"> </w:t>
      </w:r>
      <w:r>
        <w:rPr>
          <w:sz w:val="20"/>
        </w:rPr>
        <w:t>simples, como relembra Montesquieu, a expressão direta devendo ser preferida, pois nada é melhor</w:t>
      </w:r>
      <w:r>
        <w:rPr>
          <w:spacing w:val="-1"/>
          <w:sz w:val="20"/>
        </w:rPr>
        <w:t xml:space="preserve"> </w:t>
      </w:r>
      <w:r>
        <w:rPr>
          <w:sz w:val="20"/>
        </w:rPr>
        <w:t>do</w:t>
      </w:r>
      <w:r>
        <w:rPr>
          <w:spacing w:val="-4"/>
          <w:sz w:val="20"/>
        </w:rPr>
        <w:t xml:space="preserve"> </w:t>
      </w:r>
      <w:r>
        <w:rPr>
          <w:sz w:val="20"/>
        </w:rPr>
        <w:t>que</w:t>
      </w:r>
      <w:r>
        <w:rPr>
          <w:spacing w:val="-7"/>
          <w:sz w:val="20"/>
        </w:rPr>
        <w:t xml:space="preserve"> </w:t>
      </w:r>
      <w:r>
        <w:rPr>
          <w:sz w:val="20"/>
        </w:rPr>
        <w:t>apreender</w:t>
      </w:r>
      <w:r>
        <w:rPr>
          <w:spacing w:val="-1"/>
          <w:sz w:val="20"/>
        </w:rPr>
        <w:t xml:space="preserve"> </w:t>
      </w:r>
      <w:r>
        <w:rPr>
          <w:sz w:val="20"/>
        </w:rPr>
        <w:t>diretamente</w:t>
      </w:r>
      <w:r>
        <w:rPr>
          <w:spacing w:val="-1"/>
          <w:sz w:val="20"/>
        </w:rPr>
        <w:t xml:space="preserve"> </w:t>
      </w:r>
      <w:r>
        <w:rPr>
          <w:sz w:val="20"/>
        </w:rPr>
        <w:t>o</w:t>
      </w:r>
      <w:r>
        <w:rPr>
          <w:spacing w:val="-5"/>
          <w:sz w:val="20"/>
        </w:rPr>
        <w:t xml:space="preserve"> </w:t>
      </w:r>
      <w:r>
        <w:rPr>
          <w:sz w:val="20"/>
        </w:rPr>
        <w:t>sentido</w:t>
      </w:r>
      <w:r>
        <w:rPr>
          <w:spacing w:val="-5"/>
          <w:sz w:val="20"/>
        </w:rPr>
        <w:t xml:space="preserve"> </w:t>
      </w:r>
      <w:r>
        <w:rPr>
          <w:sz w:val="20"/>
        </w:rPr>
        <w:t>das</w:t>
      </w:r>
      <w:r>
        <w:rPr>
          <w:spacing w:val="-7"/>
          <w:sz w:val="20"/>
        </w:rPr>
        <w:t xml:space="preserve"> </w:t>
      </w:r>
      <w:r>
        <w:rPr>
          <w:sz w:val="20"/>
        </w:rPr>
        <w:t>leis.</w:t>
      </w:r>
      <w:r>
        <w:rPr>
          <w:spacing w:val="-2"/>
          <w:sz w:val="20"/>
        </w:rPr>
        <w:t xml:space="preserve"> </w:t>
      </w:r>
      <w:r>
        <w:rPr>
          <w:sz w:val="20"/>
        </w:rPr>
        <w:t>É</w:t>
      </w:r>
      <w:r>
        <w:rPr>
          <w:spacing w:val="-11"/>
          <w:sz w:val="20"/>
        </w:rPr>
        <w:t xml:space="preserve"> </w:t>
      </w:r>
      <w:r>
        <w:rPr>
          <w:sz w:val="20"/>
        </w:rPr>
        <w:t>o</w:t>
      </w:r>
      <w:r>
        <w:rPr>
          <w:spacing w:val="-11"/>
          <w:sz w:val="20"/>
        </w:rPr>
        <w:t xml:space="preserve"> </w:t>
      </w:r>
      <w:r>
        <w:rPr>
          <w:sz w:val="20"/>
        </w:rPr>
        <w:t>mesmo</w:t>
      </w:r>
      <w:r>
        <w:rPr>
          <w:spacing w:val="-11"/>
          <w:sz w:val="20"/>
        </w:rPr>
        <w:t xml:space="preserve"> </w:t>
      </w:r>
      <w:r>
        <w:rPr>
          <w:sz w:val="20"/>
        </w:rPr>
        <w:t>Montesquieu</w:t>
      </w:r>
      <w:r>
        <w:rPr>
          <w:spacing w:val="-13"/>
          <w:sz w:val="20"/>
        </w:rPr>
        <w:t xml:space="preserve"> </w:t>
      </w:r>
      <w:r>
        <w:rPr>
          <w:sz w:val="20"/>
        </w:rPr>
        <w:t>que acentua tal estilo legislativo, que deve ser simples e queria conciso como o das leis das 12 tábuas (Les duodecim tabularum) do direito romano, por ele considerado como “um modelo de perfeição”</w:t>
      </w:r>
      <w:r>
        <w:rPr>
          <w:sz w:val="20"/>
          <w:vertAlign w:val="superscript"/>
        </w:rPr>
        <w:t>43</w:t>
      </w:r>
    </w:p>
    <w:p w:rsidR="007259F2" w:rsidRDefault="007259F2">
      <w:pPr>
        <w:pStyle w:val="Corpodetexto"/>
        <w:spacing w:before="2"/>
        <w:ind w:left="0" w:firstLine="0"/>
        <w:jc w:val="left"/>
        <w:rPr>
          <w:sz w:val="20"/>
        </w:rPr>
      </w:pPr>
    </w:p>
    <w:p w:rsidR="007259F2" w:rsidRDefault="00E655B4">
      <w:pPr>
        <w:ind w:left="2978" w:right="420"/>
        <w:jc w:val="both"/>
        <w:rPr>
          <w:sz w:val="20"/>
        </w:rPr>
      </w:pPr>
      <w:r>
        <w:rPr>
          <w:sz w:val="20"/>
        </w:rPr>
        <w:t>O direito deve ser elaborado atendendo não só a sua necessidade social e o ideário</w:t>
      </w:r>
      <w:r>
        <w:rPr>
          <w:spacing w:val="40"/>
          <w:sz w:val="20"/>
        </w:rPr>
        <w:t xml:space="preserve"> </w:t>
      </w:r>
      <w:r>
        <w:rPr>
          <w:sz w:val="20"/>
        </w:rPr>
        <w:t>de justiça, mas ainda quanto à beleza de sua redação. É o que Ihering denominava a estética</w:t>
      </w:r>
      <w:r>
        <w:rPr>
          <w:spacing w:val="-3"/>
          <w:sz w:val="20"/>
        </w:rPr>
        <w:t xml:space="preserve"> </w:t>
      </w:r>
      <w:r>
        <w:rPr>
          <w:sz w:val="20"/>
        </w:rPr>
        <w:t>do</w:t>
      </w:r>
      <w:r>
        <w:rPr>
          <w:spacing w:val="-2"/>
          <w:sz w:val="20"/>
        </w:rPr>
        <w:t xml:space="preserve"> </w:t>
      </w:r>
      <w:r>
        <w:rPr>
          <w:sz w:val="20"/>
        </w:rPr>
        <w:t>direito,</w:t>
      </w:r>
      <w:r>
        <w:rPr>
          <w:spacing w:val="-3"/>
          <w:sz w:val="20"/>
        </w:rPr>
        <w:t xml:space="preserve"> </w:t>
      </w:r>
      <w:r>
        <w:rPr>
          <w:sz w:val="20"/>
        </w:rPr>
        <w:t>ou</w:t>
      </w:r>
      <w:r>
        <w:rPr>
          <w:spacing w:val="-4"/>
          <w:sz w:val="20"/>
        </w:rPr>
        <w:t xml:space="preserve"> </w:t>
      </w:r>
      <w:r>
        <w:rPr>
          <w:sz w:val="20"/>
        </w:rPr>
        <w:t>que</w:t>
      </w:r>
      <w:r>
        <w:rPr>
          <w:spacing w:val="-1"/>
          <w:sz w:val="20"/>
        </w:rPr>
        <w:t xml:space="preserve"> </w:t>
      </w:r>
      <w:r>
        <w:rPr>
          <w:sz w:val="20"/>
        </w:rPr>
        <w:t>os</w:t>
      </w:r>
      <w:r>
        <w:rPr>
          <w:spacing w:val="-4"/>
          <w:sz w:val="20"/>
        </w:rPr>
        <w:t xml:space="preserve"> </w:t>
      </w:r>
      <w:r>
        <w:rPr>
          <w:sz w:val="20"/>
        </w:rPr>
        <w:t>juristas</w:t>
      </w:r>
      <w:r>
        <w:rPr>
          <w:spacing w:val="-4"/>
          <w:sz w:val="20"/>
        </w:rPr>
        <w:t xml:space="preserve"> </w:t>
      </w:r>
      <w:r>
        <w:rPr>
          <w:sz w:val="20"/>
        </w:rPr>
        <w:t>romanos</w:t>
      </w:r>
      <w:r>
        <w:rPr>
          <w:spacing w:val="-4"/>
          <w:sz w:val="20"/>
        </w:rPr>
        <w:t xml:space="preserve"> </w:t>
      </w:r>
      <w:r>
        <w:rPr>
          <w:sz w:val="20"/>
        </w:rPr>
        <w:t>chamavam</w:t>
      </w:r>
      <w:r>
        <w:rPr>
          <w:spacing w:val="-5"/>
          <w:sz w:val="20"/>
        </w:rPr>
        <w:t xml:space="preserve"> </w:t>
      </w:r>
      <w:r>
        <w:rPr>
          <w:sz w:val="20"/>
        </w:rPr>
        <w:t>elegantia juris,</w:t>
      </w:r>
      <w:r>
        <w:rPr>
          <w:spacing w:val="-9"/>
          <w:sz w:val="20"/>
        </w:rPr>
        <w:t xml:space="preserve"> </w:t>
      </w:r>
      <w:r>
        <w:rPr>
          <w:sz w:val="20"/>
        </w:rPr>
        <w:t>necessária</w:t>
      </w:r>
      <w:r>
        <w:rPr>
          <w:spacing w:val="-9"/>
          <w:sz w:val="20"/>
        </w:rPr>
        <w:t xml:space="preserve"> </w:t>
      </w:r>
      <w:r>
        <w:rPr>
          <w:sz w:val="20"/>
        </w:rPr>
        <w:t>à lei, segundo</w:t>
      </w:r>
      <w:r>
        <w:rPr>
          <w:spacing w:val="-1"/>
          <w:sz w:val="20"/>
        </w:rPr>
        <w:t xml:space="preserve"> </w:t>
      </w:r>
      <w:r>
        <w:rPr>
          <w:sz w:val="20"/>
        </w:rPr>
        <w:t>Gaio”. (...)</w:t>
      </w:r>
      <w:r>
        <w:rPr>
          <w:spacing w:val="-1"/>
          <w:sz w:val="20"/>
        </w:rPr>
        <w:t xml:space="preserve"> </w:t>
      </w:r>
      <w:r>
        <w:rPr>
          <w:sz w:val="20"/>
        </w:rPr>
        <w:t>Na</w:t>
      </w:r>
      <w:r>
        <w:rPr>
          <w:spacing w:val="-5"/>
          <w:sz w:val="20"/>
        </w:rPr>
        <w:t xml:space="preserve"> </w:t>
      </w:r>
      <w:r>
        <w:rPr>
          <w:sz w:val="20"/>
        </w:rPr>
        <w:t>linguagem</w:t>
      </w:r>
      <w:r>
        <w:rPr>
          <w:spacing w:val="-1"/>
          <w:sz w:val="20"/>
        </w:rPr>
        <w:t xml:space="preserve"> </w:t>
      </w:r>
      <w:r>
        <w:rPr>
          <w:sz w:val="20"/>
        </w:rPr>
        <w:t>forense dos advogados e nas dos legisladores, devem ser adotados períodos curtos, evitando-se trechos longos e extensos, ou mesclados de</w:t>
      </w:r>
      <w:r>
        <w:rPr>
          <w:spacing w:val="-6"/>
          <w:sz w:val="20"/>
        </w:rPr>
        <w:t xml:space="preserve"> </w:t>
      </w:r>
      <w:r>
        <w:rPr>
          <w:sz w:val="20"/>
        </w:rPr>
        <w:t>orações subordinadas, relativos, conjunções, gerando obscuridade. Tal linguagem exige clareza, concisão, limpidez, precisão, complementada pelo espírito lógico e do bom senso”.</w:t>
      </w:r>
      <w:r>
        <w:rPr>
          <w:sz w:val="20"/>
          <w:vertAlign w:val="superscript"/>
        </w:rPr>
        <w:t>44</w:t>
      </w:r>
    </w:p>
    <w:p w:rsidR="007259F2" w:rsidRDefault="00E655B4">
      <w:pPr>
        <w:pStyle w:val="Corpodetexto"/>
        <w:spacing w:before="227"/>
        <w:ind w:right="424"/>
      </w:pPr>
      <w:r>
        <w:t>E, então, uma tarefa que já é árdua, torna-se, por vezes, hercúlea. Nem sempre justos, mas permanentes e rígidos juízos de valor são lançados às leis elaboradas.</w:t>
      </w:r>
    </w:p>
    <w:p w:rsidR="007259F2" w:rsidRDefault="00E655B4">
      <w:pPr>
        <w:pStyle w:val="Corpodetexto"/>
        <w:spacing w:before="1"/>
        <w:ind w:right="423"/>
      </w:pPr>
      <w:r>
        <w:t>Como dito acima, no que se refere à elaboração de leis, há um procedimento. São descritas normas claras a serem obedecidas.</w:t>
      </w:r>
    </w:p>
    <w:p w:rsidR="007259F2" w:rsidRDefault="00DE6B1C">
      <w:pPr>
        <w:pStyle w:val="Corpodetexto"/>
        <w:spacing w:before="71"/>
        <w:ind w:left="0" w:firstLine="0"/>
        <w:jc w:val="left"/>
        <w:rPr>
          <w:sz w:val="20"/>
        </w:rPr>
      </w:pPr>
      <w:r w:rsidRPr="00DE6B1C">
        <w:rPr>
          <w:sz w:val="20"/>
        </w:rPr>
        <w:pict>
          <v:rect id="docshape169" o:spid="_x0000_s1058" style="position:absolute;margin-left:85.1pt;margin-top:16.25pt;width:2in;height:.7pt;z-index:-15652352;mso-wrap-distance-left:0;mso-wrap-distance-right:0;mso-position-horizontal-relative:page" fillcolor="black" stroked="f">
            <w10:wrap type="topAndBottom" anchorx="page"/>
          </v:rect>
        </w:pict>
      </w:r>
    </w:p>
    <w:p w:rsidR="007259F2" w:rsidRDefault="00E655B4">
      <w:pPr>
        <w:spacing w:before="96"/>
        <w:ind w:left="710"/>
        <w:jc w:val="both"/>
        <w:rPr>
          <w:sz w:val="20"/>
        </w:rPr>
      </w:pPr>
      <w:r>
        <w:rPr>
          <w:sz w:val="20"/>
          <w:vertAlign w:val="superscript"/>
        </w:rPr>
        <w:t>40</w:t>
      </w:r>
      <w:r>
        <w:rPr>
          <w:spacing w:val="-7"/>
          <w:sz w:val="20"/>
        </w:rPr>
        <w:t xml:space="preserve"> </w:t>
      </w:r>
      <w:r>
        <w:rPr>
          <w:sz w:val="20"/>
        </w:rPr>
        <w:t>PIRES,</w:t>
      </w:r>
      <w:r>
        <w:rPr>
          <w:spacing w:val="-7"/>
          <w:sz w:val="20"/>
        </w:rPr>
        <w:t xml:space="preserve"> </w:t>
      </w:r>
      <w:r>
        <w:rPr>
          <w:sz w:val="20"/>
        </w:rPr>
        <w:t>2009</w:t>
      </w:r>
      <w:r>
        <w:rPr>
          <w:spacing w:val="-13"/>
          <w:sz w:val="20"/>
        </w:rPr>
        <w:t xml:space="preserve"> </w:t>
      </w:r>
      <w:r>
        <w:rPr>
          <w:sz w:val="20"/>
        </w:rPr>
        <w:t>apud</w:t>
      </w:r>
      <w:r>
        <w:rPr>
          <w:spacing w:val="-9"/>
          <w:sz w:val="20"/>
        </w:rPr>
        <w:t xml:space="preserve"> </w:t>
      </w:r>
      <w:r>
        <w:rPr>
          <w:sz w:val="20"/>
        </w:rPr>
        <w:t>GUIMARES</w:t>
      </w:r>
      <w:r>
        <w:rPr>
          <w:spacing w:val="-9"/>
          <w:sz w:val="20"/>
        </w:rPr>
        <w:t xml:space="preserve"> </w:t>
      </w:r>
      <w:r>
        <w:rPr>
          <w:sz w:val="20"/>
        </w:rPr>
        <w:t>e</w:t>
      </w:r>
      <w:r>
        <w:rPr>
          <w:spacing w:val="-12"/>
          <w:sz w:val="20"/>
        </w:rPr>
        <w:t xml:space="preserve"> </w:t>
      </w:r>
      <w:r>
        <w:rPr>
          <w:sz w:val="20"/>
        </w:rPr>
        <w:t>BRAGA,</w:t>
      </w:r>
      <w:r>
        <w:rPr>
          <w:spacing w:val="-7"/>
          <w:sz w:val="20"/>
        </w:rPr>
        <w:t xml:space="preserve"> </w:t>
      </w:r>
      <w:r>
        <w:rPr>
          <w:spacing w:val="-2"/>
          <w:sz w:val="20"/>
        </w:rPr>
        <w:t>2011.</w:t>
      </w:r>
    </w:p>
    <w:p w:rsidR="007259F2" w:rsidRDefault="00E655B4">
      <w:pPr>
        <w:spacing w:before="1"/>
        <w:ind w:left="710" w:right="416"/>
        <w:jc w:val="both"/>
        <w:rPr>
          <w:sz w:val="20"/>
        </w:rPr>
      </w:pPr>
      <w:r>
        <w:rPr>
          <w:sz w:val="20"/>
          <w:vertAlign w:val="superscript"/>
        </w:rPr>
        <w:t>41</w:t>
      </w:r>
      <w:r>
        <w:rPr>
          <w:sz w:val="20"/>
        </w:rPr>
        <w:t xml:space="preserve"> Art. 3</w:t>
      </w:r>
      <w:r>
        <w:rPr>
          <w:b/>
          <w:sz w:val="20"/>
          <w:vertAlign w:val="superscript"/>
        </w:rPr>
        <w:t>o</w:t>
      </w:r>
      <w:r>
        <w:rPr>
          <w:b/>
          <w:sz w:val="20"/>
        </w:rPr>
        <w:t xml:space="preserve"> </w:t>
      </w:r>
      <w:r>
        <w:rPr>
          <w:sz w:val="20"/>
        </w:rPr>
        <w:t>A lei será estruturada em três partes básicas: I</w:t>
      </w:r>
      <w:r>
        <w:rPr>
          <w:spacing w:val="12"/>
          <w:sz w:val="20"/>
        </w:rPr>
        <w:t xml:space="preserve"> </w:t>
      </w:r>
      <w:r>
        <w:rPr>
          <w:sz w:val="20"/>
        </w:rPr>
        <w:t>- parte preliminar, compreendendo a epígrafe, a ementa, o preâmbulo, o enunciado do objeto e a indicação do âmbito de aplicação das disposições normativas; II - parte normativa,</w:t>
      </w:r>
      <w:r>
        <w:rPr>
          <w:spacing w:val="-2"/>
          <w:sz w:val="20"/>
        </w:rPr>
        <w:t xml:space="preserve"> </w:t>
      </w:r>
      <w:r>
        <w:rPr>
          <w:sz w:val="20"/>
        </w:rPr>
        <w:t>compreendendo</w:t>
      </w:r>
      <w:r>
        <w:rPr>
          <w:spacing w:val="-2"/>
          <w:sz w:val="20"/>
        </w:rPr>
        <w:t xml:space="preserve"> </w:t>
      </w:r>
      <w:r>
        <w:rPr>
          <w:sz w:val="20"/>
        </w:rPr>
        <w:t>o</w:t>
      </w:r>
      <w:r>
        <w:rPr>
          <w:spacing w:val="-9"/>
          <w:sz w:val="20"/>
        </w:rPr>
        <w:t xml:space="preserve"> </w:t>
      </w:r>
      <w:r>
        <w:rPr>
          <w:sz w:val="20"/>
        </w:rPr>
        <w:t>texto</w:t>
      </w:r>
      <w:r>
        <w:rPr>
          <w:spacing w:val="-4"/>
          <w:sz w:val="20"/>
        </w:rPr>
        <w:t xml:space="preserve"> </w:t>
      </w:r>
      <w:r>
        <w:rPr>
          <w:sz w:val="20"/>
        </w:rPr>
        <w:t>das</w:t>
      </w:r>
      <w:r>
        <w:rPr>
          <w:spacing w:val="-13"/>
          <w:sz w:val="20"/>
        </w:rPr>
        <w:t xml:space="preserve"> </w:t>
      </w:r>
      <w:r>
        <w:rPr>
          <w:sz w:val="20"/>
        </w:rPr>
        <w:t>normas</w:t>
      </w:r>
      <w:r>
        <w:rPr>
          <w:spacing w:val="-4"/>
          <w:sz w:val="20"/>
        </w:rPr>
        <w:t xml:space="preserve"> </w:t>
      </w:r>
      <w:r>
        <w:rPr>
          <w:sz w:val="20"/>
        </w:rPr>
        <w:t>de</w:t>
      </w:r>
      <w:r>
        <w:rPr>
          <w:spacing w:val="-7"/>
          <w:sz w:val="20"/>
        </w:rPr>
        <w:t xml:space="preserve"> </w:t>
      </w:r>
      <w:r>
        <w:rPr>
          <w:sz w:val="20"/>
        </w:rPr>
        <w:t>conteúdo</w:t>
      </w:r>
      <w:r>
        <w:rPr>
          <w:spacing w:val="-3"/>
          <w:sz w:val="20"/>
        </w:rPr>
        <w:t xml:space="preserve"> </w:t>
      </w:r>
      <w:r>
        <w:rPr>
          <w:sz w:val="20"/>
        </w:rPr>
        <w:t>substantivo</w:t>
      </w:r>
      <w:r>
        <w:rPr>
          <w:spacing w:val="-4"/>
          <w:sz w:val="20"/>
        </w:rPr>
        <w:t xml:space="preserve"> </w:t>
      </w:r>
      <w:r>
        <w:rPr>
          <w:sz w:val="20"/>
        </w:rPr>
        <w:t>relacionadas</w:t>
      </w:r>
      <w:r>
        <w:rPr>
          <w:spacing w:val="-4"/>
          <w:sz w:val="20"/>
        </w:rPr>
        <w:t xml:space="preserve"> </w:t>
      </w:r>
      <w:r>
        <w:rPr>
          <w:sz w:val="20"/>
        </w:rPr>
        <w:t>com</w:t>
      </w:r>
      <w:r>
        <w:rPr>
          <w:spacing w:val="-7"/>
          <w:sz w:val="20"/>
        </w:rPr>
        <w:t xml:space="preserve"> </w:t>
      </w:r>
      <w:r>
        <w:rPr>
          <w:sz w:val="20"/>
        </w:rPr>
        <w:t>a matéria</w:t>
      </w:r>
      <w:r>
        <w:rPr>
          <w:spacing w:val="-10"/>
          <w:sz w:val="20"/>
        </w:rPr>
        <w:t xml:space="preserve"> </w:t>
      </w:r>
      <w:r>
        <w:rPr>
          <w:sz w:val="20"/>
        </w:rPr>
        <w:t>regulada;</w:t>
      </w:r>
      <w:r>
        <w:rPr>
          <w:spacing w:val="-5"/>
          <w:sz w:val="20"/>
        </w:rPr>
        <w:t xml:space="preserve"> </w:t>
      </w:r>
      <w:r>
        <w:rPr>
          <w:sz w:val="20"/>
        </w:rPr>
        <w:t>III</w:t>
      </w:r>
      <w:r>
        <w:rPr>
          <w:spacing w:val="-7"/>
          <w:sz w:val="20"/>
        </w:rPr>
        <w:t xml:space="preserve"> </w:t>
      </w:r>
      <w:r>
        <w:rPr>
          <w:sz w:val="20"/>
        </w:rPr>
        <w:t>- parte final, compreendendo as disposições pertinentes às medidas necessárias à implementação das normas de conteúdo</w:t>
      </w:r>
      <w:r>
        <w:rPr>
          <w:spacing w:val="-1"/>
          <w:sz w:val="20"/>
        </w:rPr>
        <w:t xml:space="preserve"> </w:t>
      </w:r>
      <w:r>
        <w:rPr>
          <w:sz w:val="20"/>
        </w:rPr>
        <w:t>substantivo, às disposições transitórias, se for o caso, a cláusula de vigência e a cláusula de revogação, quando couber.</w:t>
      </w:r>
    </w:p>
    <w:p w:rsidR="007259F2" w:rsidRDefault="00E655B4">
      <w:pPr>
        <w:ind w:left="710" w:right="418"/>
        <w:jc w:val="both"/>
        <w:rPr>
          <w:sz w:val="20"/>
        </w:rPr>
      </w:pPr>
      <w:r>
        <w:rPr>
          <w:sz w:val="20"/>
          <w:vertAlign w:val="superscript"/>
        </w:rPr>
        <w:t>42</w:t>
      </w:r>
      <w:r>
        <w:rPr>
          <w:sz w:val="20"/>
        </w:rPr>
        <w:t xml:space="preserve"> Art. 5º O ato normativo será estruturado em três partes básicas:I - parte preliminar, com: a) a ementa; e b) o preâmbulo, com: 1. a autoria; 2. o fundamento de validade; e 3. quando couber, a ordem de execução, o enunciado do objeto e a indicação do âmbito de aplicação da norma; II - parte</w:t>
      </w:r>
      <w:r>
        <w:rPr>
          <w:spacing w:val="-1"/>
          <w:sz w:val="20"/>
        </w:rPr>
        <w:t xml:space="preserve"> </w:t>
      </w:r>
      <w:r>
        <w:rPr>
          <w:sz w:val="20"/>
        </w:rPr>
        <w:t>normativa, que conterá as normas que regulam o objeto; e</w:t>
      </w:r>
      <w:r>
        <w:rPr>
          <w:spacing w:val="40"/>
          <w:sz w:val="20"/>
        </w:rPr>
        <w:t xml:space="preserve"> </w:t>
      </w:r>
      <w:r>
        <w:rPr>
          <w:sz w:val="20"/>
        </w:rPr>
        <w:t>III - parte final, com: a) as disposições sobre medidas necessárias à implementação das normas constantes da parte normativa; b) as disposições transitórias; c) a cláusula de revogação, quando couber; e, d) a cláusula de vigência.</w:t>
      </w:r>
    </w:p>
    <w:p w:rsidR="007259F2" w:rsidRDefault="00E655B4">
      <w:pPr>
        <w:ind w:left="710"/>
        <w:jc w:val="both"/>
        <w:rPr>
          <w:sz w:val="20"/>
        </w:rPr>
      </w:pPr>
      <w:r>
        <w:rPr>
          <w:sz w:val="20"/>
          <w:vertAlign w:val="superscript"/>
        </w:rPr>
        <w:t>43</w:t>
      </w:r>
      <w:r>
        <w:rPr>
          <w:spacing w:val="-5"/>
          <w:sz w:val="20"/>
        </w:rPr>
        <w:t xml:space="preserve"> </w:t>
      </w:r>
      <w:r>
        <w:rPr>
          <w:sz w:val="20"/>
        </w:rPr>
        <w:t>LEAL,</w:t>
      </w:r>
      <w:r>
        <w:rPr>
          <w:spacing w:val="-3"/>
          <w:sz w:val="20"/>
        </w:rPr>
        <w:t xml:space="preserve"> </w:t>
      </w:r>
      <w:r>
        <w:rPr>
          <w:spacing w:val="-4"/>
          <w:sz w:val="20"/>
        </w:rPr>
        <w:t>1985.</w:t>
      </w:r>
    </w:p>
    <w:p w:rsidR="007259F2" w:rsidRDefault="00E655B4">
      <w:pPr>
        <w:spacing w:before="1"/>
        <w:ind w:left="710"/>
        <w:jc w:val="both"/>
        <w:rPr>
          <w:i/>
          <w:sz w:val="20"/>
        </w:rPr>
      </w:pPr>
      <w:r>
        <w:rPr>
          <w:sz w:val="20"/>
          <w:vertAlign w:val="superscript"/>
        </w:rPr>
        <w:t>44</w:t>
      </w:r>
      <w:r>
        <w:rPr>
          <w:spacing w:val="-2"/>
          <w:sz w:val="20"/>
        </w:rPr>
        <w:t xml:space="preserve"> </w:t>
      </w:r>
      <w:r>
        <w:rPr>
          <w:i/>
          <w:spacing w:val="-2"/>
          <w:sz w:val="20"/>
        </w:rPr>
        <w:t>Idem.</w:t>
      </w:r>
    </w:p>
    <w:p w:rsidR="007259F2" w:rsidRDefault="007259F2">
      <w:pPr>
        <w:jc w:val="both"/>
        <w:rPr>
          <w:i/>
          <w:sz w:val="20"/>
        </w:rPr>
        <w:sectPr w:rsidR="007259F2">
          <w:pgSz w:w="11910" w:h="16840"/>
          <w:pgMar w:top="1600" w:right="708" w:bottom="1020" w:left="992" w:header="0" w:footer="820" w:gutter="0"/>
          <w:cols w:space="720"/>
        </w:sectPr>
      </w:pPr>
    </w:p>
    <w:p w:rsidR="007259F2" w:rsidRDefault="00E655B4">
      <w:pPr>
        <w:pStyle w:val="Heading2"/>
        <w:numPr>
          <w:ilvl w:val="1"/>
          <w:numId w:val="20"/>
        </w:numPr>
        <w:tabs>
          <w:tab w:val="left" w:pos="1068"/>
        </w:tabs>
        <w:spacing w:before="60"/>
        <w:ind w:left="1068"/>
        <w:jc w:val="left"/>
      </w:pPr>
      <w:r>
        <w:lastRenderedPageBreak/>
        <w:t>Perífrases</w:t>
      </w:r>
      <w:r>
        <w:rPr>
          <w:spacing w:val="-6"/>
        </w:rPr>
        <w:t xml:space="preserve"> </w:t>
      </w:r>
      <w:r>
        <w:t>e</w:t>
      </w:r>
      <w:r>
        <w:rPr>
          <w:spacing w:val="-6"/>
        </w:rPr>
        <w:t xml:space="preserve"> </w:t>
      </w:r>
      <w:r>
        <w:t>predileções</w:t>
      </w:r>
      <w:r>
        <w:rPr>
          <w:spacing w:val="-1"/>
        </w:rPr>
        <w:t xml:space="preserve"> </w:t>
      </w:r>
      <w:r>
        <w:t>do</w:t>
      </w:r>
      <w:r>
        <w:rPr>
          <w:spacing w:val="-3"/>
        </w:rPr>
        <w:t xml:space="preserve"> </w:t>
      </w:r>
      <w:r>
        <w:t>redator</w:t>
      </w:r>
      <w:r>
        <w:rPr>
          <w:spacing w:val="-10"/>
        </w:rPr>
        <w:t xml:space="preserve"> </w:t>
      </w:r>
      <w:r>
        <w:rPr>
          <w:spacing w:val="-2"/>
        </w:rPr>
        <w:t>normativo</w:t>
      </w:r>
    </w:p>
    <w:p w:rsidR="007259F2" w:rsidRDefault="00DE6B1C">
      <w:pPr>
        <w:pStyle w:val="Corpodetexto"/>
        <w:spacing w:before="115"/>
        <w:ind w:right="422"/>
        <w:jc w:val="left"/>
      </w:pPr>
      <w:r w:rsidRPr="00DE6B1C">
        <w:pict>
          <v:rect id="docshape170" o:spid="_x0000_s1057" style="position:absolute;left:0;text-align:left;margin-left:123.65pt;margin-top:12.15pt;width:3.1pt;height:.7pt;z-index:15805952;mso-position-horizontal-relative:page" fillcolor="black" stroked="f">
            <w10:wrap anchorx="page"/>
          </v:rect>
        </w:pict>
      </w:r>
      <w:r w:rsidR="00E655B4">
        <w:t>Um grande exemplo do procedimento supracitado é a Lei Complementar nº 95, de 26 de fevereiro de 1998, que “Dispõe sobre a elaboração, redação, a alteração e a consolidação</w:t>
      </w:r>
      <w:r w:rsidR="00E655B4">
        <w:rPr>
          <w:spacing w:val="40"/>
        </w:rPr>
        <w:t xml:space="preserve"> </w:t>
      </w:r>
      <w:r w:rsidR="00E655B4">
        <w:t>das</w:t>
      </w:r>
      <w:r w:rsidR="00E655B4">
        <w:rPr>
          <w:spacing w:val="74"/>
        </w:rPr>
        <w:t xml:space="preserve"> </w:t>
      </w:r>
      <w:r w:rsidR="00E655B4">
        <w:t>leis,</w:t>
      </w:r>
      <w:r w:rsidR="00E655B4">
        <w:rPr>
          <w:spacing w:val="74"/>
        </w:rPr>
        <w:t xml:space="preserve"> </w:t>
      </w:r>
      <w:r w:rsidR="00E655B4">
        <w:t>conforme</w:t>
      </w:r>
      <w:r w:rsidR="00E655B4">
        <w:rPr>
          <w:spacing w:val="73"/>
        </w:rPr>
        <w:t xml:space="preserve"> </w:t>
      </w:r>
      <w:r w:rsidR="00E655B4">
        <w:t>determina</w:t>
      </w:r>
      <w:r w:rsidR="00E655B4">
        <w:rPr>
          <w:spacing w:val="73"/>
        </w:rPr>
        <w:t xml:space="preserve"> </w:t>
      </w:r>
      <w:r w:rsidR="00E655B4">
        <w:t>o</w:t>
      </w:r>
      <w:r w:rsidR="00E655B4">
        <w:rPr>
          <w:spacing w:val="74"/>
        </w:rPr>
        <w:t xml:space="preserve"> </w:t>
      </w:r>
      <w:r w:rsidR="00E655B4">
        <w:t>parágrafo</w:t>
      </w:r>
      <w:r w:rsidR="00E655B4">
        <w:rPr>
          <w:spacing w:val="73"/>
        </w:rPr>
        <w:t xml:space="preserve"> </w:t>
      </w:r>
      <w:r w:rsidR="00E655B4">
        <w:t>único</w:t>
      </w:r>
      <w:r w:rsidR="00E655B4">
        <w:rPr>
          <w:spacing w:val="74"/>
        </w:rPr>
        <w:t xml:space="preserve"> </w:t>
      </w:r>
      <w:r w:rsidR="00E655B4">
        <w:t>do</w:t>
      </w:r>
      <w:r w:rsidR="00E655B4">
        <w:rPr>
          <w:spacing w:val="74"/>
        </w:rPr>
        <w:t xml:space="preserve"> </w:t>
      </w:r>
      <w:r w:rsidR="00E655B4">
        <w:t>art.</w:t>
      </w:r>
      <w:r w:rsidR="00E655B4">
        <w:rPr>
          <w:spacing w:val="74"/>
        </w:rPr>
        <w:t xml:space="preserve"> </w:t>
      </w:r>
      <w:r w:rsidR="00E655B4">
        <w:t>59</w:t>
      </w:r>
      <w:r w:rsidR="00E655B4">
        <w:rPr>
          <w:spacing w:val="76"/>
        </w:rPr>
        <w:t xml:space="preserve"> </w:t>
      </w:r>
      <w:r w:rsidR="00E655B4">
        <w:t>da</w:t>
      </w:r>
      <w:r w:rsidR="00E655B4">
        <w:rPr>
          <w:spacing w:val="73"/>
        </w:rPr>
        <w:t xml:space="preserve"> </w:t>
      </w:r>
      <w:r w:rsidR="00E655B4">
        <w:t>Constituição</w:t>
      </w:r>
      <w:r w:rsidR="00E655B4">
        <w:rPr>
          <w:spacing w:val="74"/>
        </w:rPr>
        <w:t xml:space="preserve"> </w:t>
      </w:r>
      <w:r w:rsidR="00E655B4">
        <w:t>Federal,</w:t>
      </w:r>
      <w:r w:rsidR="00E655B4">
        <w:rPr>
          <w:spacing w:val="75"/>
        </w:rPr>
        <w:t xml:space="preserve"> </w:t>
      </w:r>
      <w:r w:rsidR="00E655B4">
        <w:t>e estabelece normas para a consolidação dos atos normativos que menciona”.</w:t>
      </w:r>
    </w:p>
    <w:p w:rsidR="007259F2" w:rsidRDefault="00E655B4">
      <w:pPr>
        <w:pStyle w:val="Corpodetexto"/>
        <w:ind w:right="427"/>
      </w:pPr>
      <w:r>
        <w:t>E, com fulcro nos grandes manuais e na supracitada lei complementar, alguns órgãos legiferantes elaboraram guia detalhado, no qual é definido, por exemplo, que “A ementa deverá ser iniciada por verbo na 3ª pessoa do singular”.</w:t>
      </w:r>
      <w:r>
        <w:rPr>
          <w:vertAlign w:val="superscript"/>
        </w:rPr>
        <w:t>45</w:t>
      </w:r>
    </w:p>
    <w:p w:rsidR="007259F2" w:rsidRDefault="00E655B4">
      <w:pPr>
        <w:pStyle w:val="Corpodetexto"/>
        <w:ind w:right="423"/>
      </w:pPr>
      <w:r>
        <w:t>No que tange à redação do artigo 1º, como já mencionado na “Introdução” deste estudo,</w:t>
      </w:r>
      <w:r>
        <w:rPr>
          <w:spacing w:val="-8"/>
        </w:rPr>
        <w:t xml:space="preserve"> </w:t>
      </w:r>
      <w:r>
        <w:t>os</w:t>
      </w:r>
      <w:r>
        <w:rPr>
          <w:spacing w:val="-3"/>
        </w:rPr>
        <w:t xml:space="preserve"> </w:t>
      </w:r>
      <w:r>
        <w:t>grandes</w:t>
      </w:r>
      <w:r>
        <w:rPr>
          <w:spacing w:val="-3"/>
        </w:rPr>
        <w:t xml:space="preserve"> </w:t>
      </w:r>
      <w:r>
        <w:t>compêndios</w:t>
      </w:r>
      <w:r>
        <w:rPr>
          <w:spacing w:val="-2"/>
        </w:rPr>
        <w:t xml:space="preserve"> </w:t>
      </w:r>
      <w:r>
        <w:t>de</w:t>
      </w:r>
      <w:r>
        <w:rPr>
          <w:spacing w:val="-2"/>
        </w:rPr>
        <w:t xml:space="preserve"> </w:t>
      </w:r>
      <w:r>
        <w:t>Legística</w:t>
      </w:r>
      <w:r>
        <w:rPr>
          <w:spacing w:val="-4"/>
        </w:rPr>
        <w:t xml:space="preserve"> </w:t>
      </w:r>
      <w:r>
        <w:t>Formal</w:t>
      </w:r>
      <w:r>
        <w:rPr>
          <w:spacing w:val="-8"/>
        </w:rPr>
        <w:t xml:space="preserve"> </w:t>
      </w:r>
      <w:r>
        <w:t>indicam</w:t>
      </w:r>
      <w:r>
        <w:rPr>
          <w:spacing w:val="-10"/>
        </w:rPr>
        <w:t xml:space="preserve"> </w:t>
      </w:r>
      <w:r>
        <w:t>que,</w:t>
      </w:r>
      <w:r>
        <w:rPr>
          <w:spacing w:val="-1"/>
        </w:rPr>
        <w:t xml:space="preserve"> </w:t>
      </w:r>
      <w:r>
        <w:t>a</w:t>
      </w:r>
      <w:r>
        <w:rPr>
          <w:spacing w:val="-9"/>
        </w:rPr>
        <w:t xml:space="preserve"> </w:t>
      </w:r>
      <w:r>
        <w:t>título</w:t>
      </w:r>
      <w:r>
        <w:rPr>
          <w:spacing w:val="-1"/>
        </w:rPr>
        <w:t xml:space="preserve"> </w:t>
      </w:r>
      <w:r>
        <w:t>de</w:t>
      </w:r>
      <w:r>
        <w:rPr>
          <w:spacing w:val="-3"/>
        </w:rPr>
        <w:t xml:space="preserve"> </w:t>
      </w:r>
      <w:r>
        <w:t>exemplo,</w:t>
      </w:r>
      <w:r>
        <w:rPr>
          <w:spacing w:val="-1"/>
        </w:rPr>
        <w:t xml:space="preserve"> </w:t>
      </w:r>
      <w:r>
        <w:t>ao</w:t>
      </w:r>
      <w:r>
        <w:rPr>
          <w:spacing w:val="-1"/>
        </w:rPr>
        <w:t xml:space="preserve"> </w:t>
      </w:r>
      <w:r>
        <w:t xml:space="preserve">invés de escrever </w:t>
      </w:r>
      <w:r>
        <w:rPr>
          <w:u w:val="single"/>
        </w:rPr>
        <w:t>“extingue-se a presente lei”</w:t>
      </w:r>
      <w:r>
        <w:t>, o redator deve optar pela expressão “</w:t>
      </w:r>
      <w:r>
        <w:rPr>
          <w:u w:val="single"/>
        </w:rPr>
        <w:t>ficam</w:t>
      </w:r>
      <w:r>
        <w:t xml:space="preserve"> extintos...”</w:t>
      </w:r>
      <w:r>
        <w:rPr>
          <w:vertAlign w:val="superscript"/>
        </w:rPr>
        <w:t>.46</w:t>
      </w:r>
      <w:r>
        <w:rPr>
          <w:spacing w:val="40"/>
        </w:rPr>
        <w:t xml:space="preserve"> </w:t>
      </w:r>
      <w:r>
        <w:t>Segundo a referida regra, o uso da perífrase verbal é tecnicamente mais correto, pois oferece indicação imediata daquilo que o artigo contém.</w:t>
      </w:r>
    </w:p>
    <w:p w:rsidR="007259F2" w:rsidRDefault="00E655B4">
      <w:pPr>
        <w:pStyle w:val="Corpodetexto"/>
        <w:spacing w:before="1"/>
        <w:ind w:left="1418" w:firstLine="0"/>
      </w:pPr>
      <w:r>
        <w:t>Pelo</w:t>
      </w:r>
      <w:r>
        <w:rPr>
          <w:spacing w:val="11"/>
        </w:rPr>
        <w:t xml:space="preserve"> </w:t>
      </w:r>
      <w:r>
        <w:t>viés</w:t>
      </w:r>
      <w:r>
        <w:rPr>
          <w:spacing w:val="12"/>
        </w:rPr>
        <w:t xml:space="preserve"> </w:t>
      </w:r>
      <w:r>
        <w:t>da</w:t>
      </w:r>
      <w:r>
        <w:rPr>
          <w:spacing w:val="13"/>
        </w:rPr>
        <w:t xml:space="preserve"> </w:t>
      </w:r>
      <w:r>
        <w:t>análise</w:t>
      </w:r>
      <w:r>
        <w:rPr>
          <w:spacing w:val="12"/>
        </w:rPr>
        <w:t xml:space="preserve"> </w:t>
      </w:r>
      <w:r>
        <w:t>linguística,</w:t>
      </w:r>
      <w:r>
        <w:rPr>
          <w:spacing w:val="13"/>
        </w:rPr>
        <w:t xml:space="preserve"> </w:t>
      </w:r>
      <w:r>
        <w:t>a</w:t>
      </w:r>
      <w:r>
        <w:rPr>
          <w:spacing w:val="13"/>
        </w:rPr>
        <w:t xml:space="preserve"> </w:t>
      </w:r>
      <w:r>
        <w:t>predileção</w:t>
      </w:r>
      <w:r>
        <w:rPr>
          <w:spacing w:val="13"/>
        </w:rPr>
        <w:t xml:space="preserve"> </w:t>
      </w:r>
      <w:r>
        <w:t>pela</w:t>
      </w:r>
      <w:r>
        <w:rPr>
          <w:spacing w:val="15"/>
        </w:rPr>
        <w:t xml:space="preserve"> </w:t>
      </w:r>
      <w:r>
        <w:t>perífrase</w:t>
      </w:r>
      <w:r>
        <w:rPr>
          <w:spacing w:val="12"/>
        </w:rPr>
        <w:t xml:space="preserve"> </w:t>
      </w:r>
      <w:r>
        <w:t>de</w:t>
      </w:r>
      <w:r>
        <w:rPr>
          <w:spacing w:val="21"/>
        </w:rPr>
        <w:t xml:space="preserve"> </w:t>
      </w:r>
      <w:r>
        <w:rPr>
          <w:i/>
        </w:rPr>
        <w:t>ficar</w:t>
      </w:r>
      <w:r>
        <w:rPr>
          <w:i/>
          <w:spacing w:val="15"/>
        </w:rPr>
        <w:t xml:space="preserve"> </w:t>
      </w:r>
      <w:r>
        <w:t>engloba</w:t>
      </w:r>
      <w:r>
        <w:rPr>
          <w:spacing w:val="12"/>
        </w:rPr>
        <w:t xml:space="preserve"> </w:t>
      </w:r>
      <w:r>
        <w:t>o</w:t>
      </w:r>
      <w:r>
        <w:rPr>
          <w:spacing w:val="14"/>
        </w:rPr>
        <w:t xml:space="preserve"> </w:t>
      </w:r>
      <w:r>
        <w:rPr>
          <w:spacing w:val="-2"/>
        </w:rPr>
        <w:t>aspecto</w:t>
      </w:r>
    </w:p>
    <w:p w:rsidR="007259F2" w:rsidRDefault="00E655B4">
      <w:pPr>
        <w:pStyle w:val="Corpodetexto"/>
        <w:ind w:firstLine="0"/>
        <w:jc w:val="left"/>
      </w:pPr>
      <w:r>
        <w:rPr>
          <w:spacing w:val="-2"/>
        </w:rPr>
        <w:t>verbal.</w:t>
      </w:r>
    </w:p>
    <w:p w:rsidR="007259F2" w:rsidRDefault="00E655B4">
      <w:pPr>
        <w:pStyle w:val="Corpodetexto"/>
        <w:ind w:left="1418" w:firstLine="0"/>
        <w:jc w:val="left"/>
      </w:pPr>
      <w:r>
        <w:t>De</w:t>
      </w:r>
      <w:r>
        <w:rPr>
          <w:spacing w:val="4"/>
        </w:rPr>
        <w:t xml:space="preserve"> </w:t>
      </w:r>
      <w:r>
        <w:t>antemão,</w:t>
      </w:r>
      <w:r>
        <w:rPr>
          <w:spacing w:val="8"/>
        </w:rPr>
        <w:t xml:space="preserve"> </w:t>
      </w:r>
      <w:r>
        <w:t>ressalta-se</w:t>
      </w:r>
      <w:r>
        <w:rPr>
          <w:spacing w:val="8"/>
        </w:rPr>
        <w:t xml:space="preserve"> </w:t>
      </w:r>
      <w:r>
        <w:t>que,</w:t>
      </w:r>
      <w:r>
        <w:rPr>
          <w:spacing w:val="5"/>
        </w:rPr>
        <w:t xml:space="preserve"> </w:t>
      </w:r>
      <w:r>
        <w:t>na</w:t>
      </w:r>
      <w:r>
        <w:rPr>
          <w:spacing w:val="6"/>
        </w:rPr>
        <w:t xml:space="preserve"> </w:t>
      </w:r>
      <w:r>
        <w:t>esteira</w:t>
      </w:r>
      <w:r>
        <w:rPr>
          <w:spacing w:val="5"/>
        </w:rPr>
        <w:t xml:space="preserve"> </w:t>
      </w:r>
      <w:r>
        <w:t>do</w:t>
      </w:r>
      <w:r>
        <w:rPr>
          <w:spacing w:val="5"/>
        </w:rPr>
        <w:t xml:space="preserve"> </w:t>
      </w:r>
      <w:r>
        <w:t>notável</w:t>
      </w:r>
      <w:r>
        <w:rPr>
          <w:spacing w:val="7"/>
        </w:rPr>
        <w:t xml:space="preserve"> </w:t>
      </w:r>
      <w:r>
        <w:t>trabalho</w:t>
      </w:r>
      <w:r>
        <w:rPr>
          <w:spacing w:val="6"/>
        </w:rPr>
        <w:t xml:space="preserve"> </w:t>
      </w:r>
      <w:r>
        <w:t>de</w:t>
      </w:r>
      <w:r>
        <w:rPr>
          <w:spacing w:val="6"/>
        </w:rPr>
        <w:t xml:space="preserve"> </w:t>
      </w:r>
      <w:r>
        <w:t>Travaglia</w:t>
      </w:r>
      <w:r>
        <w:rPr>
          <w:spacing w:val="5"/>
        </w:rPr>
        <w:t xml:space="preserve"> </w:t>
      </w:r>
      <w:r>
        <w:t>(2016),</w:t>
      </w:r>
      <w:r>
        <w:rPr>
          <w:spacing w:val="6"/>
        </w:rPr>
        <w:t xml:space="preserve"> </w:t>
      </w:r>
      <w:r>
        <w:t>dá-</w:t>
      </w:r>
      <w:r>
        <w:rPr>
          <w:spacing w:val="-5"/>
        </w:rPr>
        <w:t>se,</w:t>
      </w:r>
    </w:p>
    <w:p w:rsidR="007259F2" w:rsidRDefault="00E655B4">
      <w:pPr>
        <w:pStyle w:val="Corpodetexto"/>
        <w:ind w:right="424" w:firstLine="0"/>
        <w:jc w:val="left"/>
      </w:pPr>
      <w:r>
        <w:t>neste</w:t>
      </w:r>
      <w:r>
        <w:rPr>
          <w:spacing w:val="27"/>
        </w:rPr>
        <w:t xml:space="preserve"> </w:t>
      </w:r>
      <w:r>
        <w:t>estudo,</w:t>
      </w:r>
      <w:r>
        <w:rPr>
          <w:spacing w:val="27"/>
        </w:rPr>
        <w:t xml:space="preserve"> </w:t>
      </w:r>
      <w:r>
        <w:t>o</w:t>
      </w:r>
      <w:r>
        <w:rPr>
          <w:spacing w:val="27"/>
        </w:rPr>
        <w:t xml:space="preserve"> </w:t>
      </w:r>
      <w:r>
        <w:t>nome</w:t>
      </w:r>
      <w:r>
        <w:rPr>
          <w:spacing w:val="27"/>
        </w:rPr>
        <w:t xml:space="preserve"> </w:t>
      </w:r>
      <w:r>
        <w:t>de</w:t>
      </w:r>
      <w:r>
        <w:rPr>
          <w:spacing w:val="27"/>
        </w:rPr>
        <w:t xml:space="preserve"> </w:t>
      </w:r>
      <w:r>
        <w:t>perífrase</w:t>
      </w:r>
      <w:r>
        <w:rPr>
          <w:spacing w:val="27"/>
        </w:rPr>
        <w:t xml:space="preserve"> </w:t>
      </w:r>
      <w:r>
        <w:t>a</w:t>
      </w:r>
      <w:r>
        <w:rPr>
          <w:spacing w:val="27"/>
        </w:rPr>
        <w:t xml:space="preserve"> </w:t>
      </w:r>
      <w:r>
        <w:t>qualquer</w:t>
      </w:r>
      <w:r>
        <w:rPr>
          <w:spacing w:val="26"/>
        </w:rPr>
        <w:t xml:space="preserve"> </w:t>
      </w:r>
      <w:r>
        <w:t>conjunto</w:t>
      </w:r>
      <w:r>
        <w:rPr>
          <w:spacing w:val="27"/>
        </w:rPr>
        <w:t xml:space="preserve"> </w:t>
      </w:r>
      <w:r>
        <w:t>verbal</w:t>
      </w:r>
      <w:r>
        <w:rPr>
          <w:spacing w:val="28"/>
        </w:rPr>
        <w:t xml:space="preserve"> </w:t>
      </w:r>
      <w:r>
        <w:t>formado</w:t>
      </w:r>
      <w:r>
        <w:rPr>
          <w:spacing w:val="27"/>
        </w:rPr>
        <w:t xml:space="preserve"> </w:t>
      </w:r>
      <w:r>
        <w:t>por</w:t>
      </w:r>
      <w:r>
        <w:rPr>
          <w:spacing w:val="27"/>
        </w:rPr>
        <w:t xml:space="preserve"> </w:t>
      </w:r>
      <w:r>
        <w:t>verbo</w:t>
      </w:r>
      <w:r>
        <w:rPr>
          <w:spacing w:val="27"/>
        </w:rPr>
        <w:t xml:space="preserve"> </w:t>
      </w:r>
      <w:r>
        <w:t>auxiliar</w:t>
      </w:r>
      <w:r>
        <w:rPr>
          <w:spacing w:val="26"/>
        </w:rPr>
        <w:t xml:space="preserve"> </w:t>
      </w:r>
      <w:r>
        <w:t>e verbo principal em sua forma nominal.</w:t>
      </w:r>
    </w:p>
    <w:p w:rsidR="007259F2" w:rsidRDefault="007259F2">
      <w:pPr>
        <w:pStyle w:val="Corpodetexto"/>
        <w:spacing w:before="1"/>
        <w:ind w:left="0" w:firstLine="0"/>
        <w:jc w:val="left"/>
      </w:pPr>
    </w:p>
    <w:p w:rsidR="007259F2" w:rsidRDefault="00E655B4">
      <w:pPr>
        <w:spacing w:before="1"/>
        <w:ind w:left="2978" w:right="420"/>
        <w:jc w:val="both"/>
        <w:rPr>
          <w:sz w:val="20"/>
        </w:rPr>
      </w:pPr>
      <w:r>
        <w:rPr>
          <w:sz w:val="20"/>
        </w:rPr>
        <w:t>Inicialmente é preciso esclarecer que estaremos chamando de perífrase qualquer aglomerado verbal em que tenhamos um verbo (denominado auxiliar) ao lado de outro verbo em uma das formas nominais (denominado principal), e com uma</w:t>
      </w:r>
      <w:r>
        <w:rPr>
          <w:spacing w:val="40"/>
          <w:sz w:val="20"/>
        </w:rPr>
        <w:t xml:space="preserve"> </w:t>
      </w:r>
      <w:r>
        <w:rPr>
          <w:sz w:val="20"/>
        </w:rPr>
        <w:t>função determinada de marcar uma categoria gramatical ou uma noção semântica qualquer.</w:t>
      </w:r>
      <w:r>
        <w:rPr>
          <w:spacing w:val="-1"/>
          <w:sz w:val="20"/>
        </w:rPr>
        <w:t xml:space="preserve"> </w:t>
      </w:r>
      <w:r>
        <w:rPr>
          <w:sz w:val="20"/>
        </w:rPr>
        <w:t>Não vamos</w:t>
      </w:r>
      <w:r>
        <w:rPr>
          <w:spacing w:val="-1"/>
          <w:sz w:val="20"/>
        </w:rPr>
        <w:t xml:space="preserve"> </w:t>
      </w:r>
      <w:r>
        <w:rPr>
          <w:sz w:val="20"/>
        </w:rPr>
        <w:t>discutir aqui</w:t>
      </w:r>
      <w:r>
        <w:rPr>
          <w:spacing w:val="-1"/>
          <w:sz w:val="20"/>
        </w:rPr>
        <w:t xml:space="preserve"> </w:t>
      </w:r>
      <w:r>
        <w:rPr>
          <w:sz w:val="20"/>
        </w:rPr>
        <w:t>o conceito de</w:t>
      </w:r>
      <w:r>
        <w:rPr>
          <w:spacing w:val="-1"/>
          <w:sz w:val="20"/>
        </w:rPr>
        <w:t xml:space="preserve"> </w:t>
      </w:r>
      <w:r>
        <w:rPr>
          <w:sz w:val="20"/>
        </w:rPr>
        <w:t>auxiliaridade. Primeiro porque</w:t>
      </w:r>
      <w:r>
        <w:rPr>
          <w:spacing w:val="-1"/>
          <w:sz w:val="20"/>
        </w:rPr>
        <w:t xml:space="preserve"> </w:t>
      </w:r>
      <w:r>
        <w:rPr>
          <w:sz w:val="20"/>
        </w:rPr>
        <w:t>foge a nossos objetivos e, segundo, porque se temos ou não auxiliares reais isso não afeta grandemente o problema da expressão do aspecto.</w:t>
      </w:r>
      <w:r>
        <w:rPr>
          <w:sz w:val="20"/>
          <w:vertAlign w:val="superscript"/>
        </w:rPr>
        <w:t>47</w:t>
      </w:r>
    </w:p>
    <w:p w:rsidR="007259F2" w:rsidRDefault="007259F2">
      <w:pPr>
        <w:pStyle w:val="Corpodetexto"/>
        <w:ind w:left="0" w:firstLine="0"/>
        <w:jc w:val="left"/>
        <w:rPr>
          <w:sz w:val="20"/>
        </w:rPr>
      </w:pPr>
    </w:p>
    <w:p w:rsidR="007259F2" w:rsidRDefault="007259F2">
      <w:pPr>
        <w:pStyle w:val="Corpodetexto"/>
        <w:spacing w:before="19"/>
        <w:ind w:left="0" w:firstLine="0"/>
        <w:jc w:val="left"/>
        <w:rPr>
          <w:sz w:val="20"/>
        </w:rPr>
      </w:pPr>
    </w:p>
    <w:p w:rsidR="007259F2" w:rsidRDefault="00E655B4">
      <w:pPr>
        <w:pStyle w:val="Corpodetexto"/>
        <w:ind w:right="422"/>
      </w:pPr>
      <w:r>
        <w:t>Como se sabe, verbo é uma categoria gramatical que indica, semanticamente, noções de ação, estado etc. De maneira geral, estudam-se as seguintes flexões do verbo: (i) pessoa e número (primeira, segunda e terceira pessoa do singular e do plural); (ii) modo (indicativo, subjuntivo</w:t>
      </w:r>
      <w:r>
        <w:rPr>
          <w:spacing w:val="1"/>
        </w:rPr>
        <w:t xml:space="preserve"> </w:t>
      </w:r>
      <w:r>
        <w:t>e</w:t>
      </w:r>
      <w:r>
        <w:rPr>
          <w:spacing w:val="1"/>
        </w:rPr>
        <w:t xml:space="preserve"> </w:t>
      </w:r>
      <w:r>
        <w:t>imperativo); (iii)</w:t>
      </w:r>
      <w:r>
        <w:rPr>
          <w:spacing w:val="2"/>
        </w:rPr>
        <w:t xml:space="preserve"> </w:t>
      </w:r>
      <w:r>
        <w:t>voz</w:t>
      </w:r>
      <w:r>
        <w:rPr>
          <w:spacing w:val="3"/>
        </w:rPr>
        <w:t xml:space="preserve"> </w:t>
      </w:r>
      <w:r>
        <w:t>(ativa e</w:t>
      </w:r>
      <w:r>
        <w:rPr>
          <w:spacing w:val="1"/>
        </w:rPr>
        <w:t xml:space="preserve"> </w:t>
      </w:r>
      <w:r>
        <w:t>passiva);</w:t>
      </w:r>
      <w:r>
        <w:rPr>
          <w:spacing w:val="1"/>
        </w:rPr>
        <w:t xml:space="preserve"> </w:t>
      </w:r>
      <w:r>
        <w:t>(iv) tempo</w:t>
      </w:r>
      <w:r>
        <w:rPr>
          <w:spacing w:val="2"/>
        </w:rPr>
        <w:t xml:space="preserve"> </w:t>
      </w:r>
      <w:r>
        <w:t>(presente,</w:t>
      </w:r>
      <w:r>
        <w:rPr>
          <w:spacing w:val="3"/>
        </w:rPr>
        <w:t xml:space="preserve"> </w:t>
      </w:r>
      <w:r>
        <w:t>passado e</w:t>
      </w:r>
      <w:r>
        <w:rPr>
          <w:spacing w:val="-7"/>
        </w:rPr>
        <w:t xml:space="preserve"> </w:t>
      </w:r>
      <w:r>
        <w:t>futuro)</w:t>
      </w:r>
      <w:r>
        <w:rPr>
          <w:spacing w:val="1"/>
        </w:rPr>
        <w:t xml:space="preserve"> </w:t>
      </w:r>
      <w:r>
        <w:t>e</w:t>
      </w:r>
      <w:r>
        <w:rPr>
          <w:spacing w:val="-13"/>
        </w:rPr>
        <w:t xml:space="preserve"> </w:t>
      </w:r>
      <w:r>
        <w:rPr>
          <w:spacing w:val="-10"/>
        </w:rPr>
        <w:t>o</w:t>
      </w:r>
    </w:p>
    <w:p w:rsidR="007259F2" w:rsidRDefault="00E655B4">
      <w:pPr>
        <w:pStyle w:val="Corpodetexto"/>
        <w:ind w:right="424" w:firstLine="0"/>
      </w:pPr>
      <w:r>
        <w:t>(v) aspecto (perfeito ou imperfeito e suas subcategorias). Estudam-se ainda as formas nominais do verbo (infinitivo gerúndio e particípio).</w:t>
      </w:r>
    </w:p>
    <w:p w:rsidR="007259F2" w:rsidRDefault="00E655B4">
      <w:pPr>
        <w:pStyle w:val="Corpodetexto"/>
        <w:ind w:right="422"/>
      </w:pPr>
      <w:r>
        <w:t xml:space="preserve">A questão é que, no estudo da expressão do aspecto pelas perífrases do verbo </w:t>
      </w:r>
      <w:r>
        <w:rPr>
          <w:i/>
        </w:rPr>
        <w:t>ficar</w:t>
      </w:r>
      <w:r>
        <w:t>,</w:t>
      </w:r>
      <w:r>
        <w:rPr>
          <w:spacing w:val="-2"/>
        </w:rPr>
        <w:t xml:space="preserve"> </w:t>
      </w:r>
      <w:r>
        <w:t>é preciso considerar três possibilidades de emprego do abordado verbo: (i) o sentido de permanecer; (ii) o sentido de tornar-se (estado) e (iii) na condição de auxiliar, marca a reiteração (iteração) da situação.</w:t>
      </w:r>
      <w:r>
        <w:rPr>
          <w:vertAlign w:val="superscript"/>
        </w:rPr>
        <w:t>48</w:t>
      </w:r>
    </w:p>
    <w:p w:rsidR="007259F2" w:rsidRDefault="007259F2">
      <w:pPr>
        <w:pStyle w:val="Corpodetexto"/>
        <w:spacing w:before="2"/>
        <w:ind w:left="0" w:firstLine="0"/>
        <w:jc w:val="left"/>
      </w:pPr>
    </w:p>
    <w:p w:rsidR="007259F2" w:rsidRDefault="00E655B4">
      <w:pPr>
        <w:ind w:left="2978" w:right="421"/>
        <w:jc w:val="both"/>
        <w:rPr>
          <w:sz w:val="20"/>
        </w:rPr>
      </w:pPr>
      <w:r>
        <w:rPr>
          <w:sz w:val="20"/>
        </w:rPr>
        <w:t>(...) Quando o verbo “ficar” se apresenta com o primeiro significado, a perífrase marca o aspecto durativo principalmente</w:t>
      </w:r>
      <w:r>
        <w:rPr>
          <w:spacing w:val="-1"/>
          <w:sz w:val="20"/>
        </w:rPr>
        <w:t xml:space="preserve"> </w:t>
      </w:r>
      <w:r>
        <w:rPr>
          <w:sz w:val="20"/>
        </w:rPr>
        <w:t>se temos explícito,</w:t>
      </w:r>
      <w:r>
        <w:rPr>
          <w:spacing w:val="-1"/>
          <w:sz w:val="20"/>
        </w:rPr>
        <w:t xml:space="preserve"> </w:t>
      </w:r>
      <w:r>
        <w:rPr>
          <w:sz w:val="20"/>
        </w:rPr>
        <w:t>na frase</w:t>
      </w:r>
      <w:r>
        <w:rPr>
          <w:spacing w:val="-1"/>
          <w:sz w:val="20"/>
        </w:rPr>
        <w:t xml:space="preserve"> </w:t>
      </w:r>
      <w:r>
        <w:rPr>
          <w:sz w:val="20"/>
        </w:rPr>
        <w:t>ou no contexto, o</w:t>
      </w:r>
      <w:r>
        <w:rPr>
          <w:spacing w:val="-2"/>
          <w:sz w:val="20"/>
        </w:rPr>
        <w:t xml:space="preserve"> </w:t>
      </w:r>
      <w:r>
        <w:rPr>
          <w:sz w:val="20"/>
        </w:rPr>
        <w:t>período</w:t>
      </w:r>
      <w:r>
        <w:rPr>
          <w:spacing w:val="-2"/>
          <w:sz w:val="20"/>
        </w:rPr>
        <w:t xml:space="preserve"> </w:t>
      </w:r>
      <w:r>
        <w:rPr>
          <w:sz w:val="20"/>
        </w:rPr>
        <w:t>de</w:t>
      </w:r>
      <w:r>
        <w:rPr>
          <w:spacing w:val="-3"/>
          <w:sz w:val="20"/>
        </w:rPr>
        <w:t xml:space="preserve"> </w:t>
      </w:r>
      <w:r>
        <w:rPr>
          <w:sz w:val="20"/>
        </w:rPr>
        <w:t>tempo</w:t>
      </w:r>
      <w:r>
        <w:rPr>
          <w:spacing w:val="-2"/>
          <w:sz w:val="20"/>
        </w:rPr>
        <w:t xml:space="preserve"> </w:t>
      </w:r>
      <w:r>
        <w:rPr>
          <w:sz w:val="20"/>
        </w:rPr>
        <w:t>em</w:t>
      </w:r>
      <w:r>
        <w:rPr>
          <w:spacing w:val="-5"/>
          <w:sz w:val="20"/>
        </w:rPr>
        <w:t xml:space="preserve"> </w:t>
      </w:r>
      <w:r>
        <w:rPr>
          <w:sz w:val="20"/>
        </w:rPr>
        <w:t>que</w:t>
      </w:r>
      <w:r>
        <w:rPr>
          <w:spacing w:val="-1"/>
          <w:sz w:val="20"/>
        </w:rPr>
        <w:t xml:space="preserve"> </w:t>
      </w:r>
      <w:r>
        <w:rPr>
          <w:sz w:val="20"/>
        </w:rPr>
        <w:t>se</w:t>
      </w:r>
      <w:r>
        <w:rPr>
          <w:spacing w:val="-1"/>
          <w:sz w:val="20"/>
        </w:rPr>
        <w:t xml:space="preserve"> </w:t>
      </w:r>
      <w:r>
        <w:rPr>
          <w:sz w:val="20"/>
        </w:rPr>
        <w:t>permaneceu</w:t>
      </w:r>
      <w:r>
        <w:rPr>
          <w:spacing w:val="-4"/>
          <w:sz w:val="20"/>
        </w:rPr>
        <w:t xml:space="preserve"> </w:t>
      </w:r>
      <w:r>
        <w:rPr>
          <w:sz w:val="20"/>
        </w:rPr>
        <w:t>ou</w:t>
      </w:r>
      <w:r>
        <w:rPr>
          <w:spacing w:val="-4"/>
          <w:sz w:val="20"/>
        </w:rPr>
        <w:t xml:space="preserve"> </w:t>
      </w:r>
      <w:r>
        <w:rPr>
          <w:sz w:val="20"/>
        </w:rPr>
        <w:t>permanecerá</w:t>
      </w:r>
      <w:r>
        <w:rPr>
          <w:spacing w:val="-1"/>
          <w:sz w:val="20"/>
        </w:rPr>
        <w:t xml:space="preserve"> </w:t>
      </w:r>
      <w:r>
        <w:rPr>
          <w:sz w:val="20"/>
        </w:rPr>
        <w:t>na</w:t>
      </w:r>
      <w:r>
        <w:rPr>
          <w:spacing w:val="-3"/>
          <w:sz w:val="20"/>
        </w:rPr>
        <w:t xml:space="preserve"> </w:t>
      </w:r>
      <w:r>
        <w:rPr>
          <w:sz w:val="20"/>
        </w:rPr>
        <w:t>situação</w:t>
      </w:r>
      <w:r>
        <w:rPr>
          <w:spacing w:val="-2"/>
          <w:sz w:val="20"/>
        </w:rPr>
        <w:t xml:space="preserve"> </w:t>
      </w:r>
      <w:r>
        <w:rPr>
          <w:sz w:val="20"/>
        </w:rPr>
        <w:t>indicada.</w:t>
      </w:r>
      <w:r>
        <w:rPr>
          <w:spacing w:val="-2"/>
          <w:sz w:val="20"/>
        </w:rPr>
        <w:t xml:space="preserve"> </w:t>
      </w:r>
      <w:r>
        <w:rPr>
          <w:sz w:val="20"/>
        </w:rPr>
        <w:t>(...) Quando o verbo “ficar” apresenta o segundo significado (tornar-se, vir a estar em determinada situação), o aspecto indicado nada tem</w:t>
      </w:r>
      <w:r>
        <w:rPr>
          <w:spacing w:val="-1"/>
          <w:sz w:val="20"/>
        </w:rPr>
        <w:t xml:space="preserve"> </w:t>
      </w:r>
      <w:r>
        <w:rPr>
          <w:sz w:val="20"/>
        </w:rPr>
        <w:t>a ver com</w:t>
      </w:r>
      <w:r>
        <w:rPr>
          <w:spacing w:val="-1"/>
          <w:sz w:val="20"/>
        </w:rPr>
        <w:t xml:space="preserve"> </w:t>
      </w:r>
      <w:r>
        <w:rPr>
          <w:sz w:val="20"/>
        </w:rPr>
        <w:t>a perífrase em si, mas se deve à flexão temporal e à influência de outros elementos, principalmente os adjuntos e orações adverbiais de tempo. O verbo ficar apresenta este segundo</w:t>
      </w:r>
      <w:r>
        <w:rPr>
          <w:spacing w:val="40"/>
          <w:sz w:val="20"/>
        </w:rPr>
        <w:t xml:space="preserve"> </w:t>
      </w:r>
      <w:r>
        <w:rPr>
          <w:sz w:val="20"/>
        </w:rPr>
        <w:t>sentido</w:t>
      </w:r>
      <w:r>
        <w:rPr>
          <w:spacing w:val="36"/>
          <w:sz w:val="20"/>
        </w:rPr>
        <w:t xml:space="preserve"> </w:t>
      </w:r>
      <w:r>
        <w:rPr>
          <w:sz w:val="20"/>
        </w:rPr>
        <w:t>quase</w:t>
      </w:r>
      <w:r>
        <w:rPr>
          <w:spacing w:val="38"/>
          <w:sz w:val="20"/>
        </w:rPr>
        <w:t xml:space="preserve"> </w:t>
      </w:r>
      <w:r>
        <w:rPr>
          <w:sz w:val="20"/>
        </w:rPr>
        <w:t>só</w:t>
      </w:r>
      <w:r>
        <w:rPr>
          <w:spacing w:val="38"/>
          <w:sz w:val="20"/>
        </w:rPr>
        <w:t xml:space="preserve"> </w:t>
      </w:r>
      <w:r>
        <w:rPr>
          <w:sz w:val="20"/>
        </w:rPr>
        <w:t>na</w:t>
      </w:r>
      <w:r>
        <w:rPr>
          <w:spacing w:val="38"/>
          <w:sz w:val="20"/>
        </w:rPr>
        <w:t xml:space="preserve"> </w:t>
      </w:r>
      <w:r>
        <w:rPr>
          <w:sz w:val="20"/>
        </w:rPr>
        <w:t>perífrase</w:t>
      </w:r>
      <w:r>
        <w:rPr>
          <w:spacing w:val="37"/>
          <w:sz w:val="20"/>
        </w:rPr>
        <w:t xml:space="preserve"> </w:t>
      </w:r>
      <w:r>
        <w:rPr>
          <w:sz w:val="20"/>
        </w:rPr>
        <w:t>FICAR</w:t>
      </w:r>
      <w:r>
        <w:rPr>
          <w:spacing w:val="37"/>
          <w:sz w:val="20"/>
        </w:rPr>
        <w:t xml:space="preserve"> </w:t>
      </w:r>
      <w:r>
        <w:rPr>
          <w:sz w:val="20"/>
        </w:rPr>
        <w:t>+</w:t>
      </w:r>
      <w:r>
        <w:rPr>
          <w:spacing w:val="38"/>
          <w:sz w:val="20"/>
        </w:rPr>
        <w:t xml:space="preserve"> </w:t>
      </w:r>
      <w:r>
        <w:rPr>
          <w:sz w:val="20"/>
        </w:rPr>
        <w:t>PARTICÍPIO.</w:t>
      </w:r>
      <w:r>
        <w:rPr>
          <w:spacing w:val="38"/>
          <w:sz w:val="20"/>
        </w:rPr>
        <w:t xml:space="preserve"> </w:t>
      </w:r>
      <w:r>
        <w:rPr>
          <w:sz w:val="20"/>
        </w:rPr>
        <w:t>(...)</w:t>
      </w:r>
      <w:r>
        <w:rPr>
          <w:spacing w:val="39"/>
          <w:sz w:val="20"/>
        </w:rPr>
        <w:t xml:space="preserve"> </w:t>
      </w:r>
      <w:r>
        <w:rPr>
          <w:sz w:val="20"/>
        </w:rPr>
        <w:t>O</w:t>
      </w:r>
      <w:r>
        <w:rPr>
          <w:spacing w:val="38"/>
          <w:sz w:val="20"/>
        </w:rPr>
        <w:t xml:space="preserve"> </w:t>
      </w:r>
      <w:r>
        <w:rPr>
          <w:sz w:val="20"/>
        </w:rPr>
        <w:t>verbo</w:t>
      </w:r>
      <w:r>
        <w:rPr>
          <w:spacing w:val="38"/>
          <w:sz w:val="20"/>
        </w:rPr>
        <w:t xml:space="preserve"> </w:t>
      </w:r>
      <w:r>
        <w:rPr>
          <w:sz w:val="20"/>
        </w:rPr>
        <w:t>ficar</w:t>
      </w:r>
      <w:r>
        <w:rPr>
          <w:spacing w:val="39"/>
          <w:sz w:val="20"/>
        </w:rPr>
        <w:t xml:space="preserve"> </w:t>
      </w:r>
      <w:r>
        <w:rPr>
          <w:sz w:val="20"/>
        </w:rPr>
        <w:t>tem</w:t>
      </w:r>
      <w:r>
        <w:rPr>
          <w:spacing w:val="34"/>
          <w:sz w:val="20"/>
        </w:rPr>
        <w:t xml:space="preserve"> </w:t>
      </w:r>
      <w:r>
        <w:rPr>
          <w:spacing w:val="-10"/>
          <w:sz w:val="20"/>
        </w:rPr>
        <w:t>o</w:t>
      </w:r>
    </w:p>
    <w:p w:rsidR="007259F2" w:rsidRDefault="00DE6B1C">
      <w:pPr>
        <w:pStyle w:val="Corpodetexto"/>
        <w:spacing w:before="7"/>
        <w:ind w:left="0" w:firstLine="0"/>
        <w:jc w:val="left"/>
        <w:rPr>
          <w:sz w:val="12"/>
        </w:rPr>
      </w:pPr>
      <w:r w:rsidRPr="00DE6B1C">
        <w:rPr>
          <w:sz w:val="12"/>
        </w:rPr>
        <w:pict>
          <v:rect id="docshape171" o:spid="_x0000_s1056" style="position:absolute;margin-left:85.1pt;margin-top:8.45pt;width:2in;height:.7pt;z-index:-15651840;mso-wrap-distance-left:0;mso-wrap-distance-right:0;mso-position-horizontal-relative:page" fillcolor="black" stroked="f">
            <w10:wrap type="topAndBottom" anchorx="page"/>
          </v:rect>
        </w:pict>
      </w:r>
    </w:p>
    <w:p w:rsidR="007259F2" w:rsidRDefault="00E655B4">
      <w:pPr>
        <w:spacing w:before="94"/>
        <w:ind w:left="710"/>
        <w:rPr>
          <w:sz w:val="20"/>
        </w:rPr>
      </w:pPr>
      <w:r>
        <w:rPr>
          <w:sz w:val="20"/>
          <w:vertAlign w:val="superscript"/>
        </w:rPr>
        <w:t>45</w:t>
      </w:r>
      <w:r>
        <w:rPr>
          <w:spacing w:val="-10"/>
          <w:sz w:val="20"/>
        </w:rPr>
        <w:t xml:space="preserve"> </w:t>
      </w:r>
      <w:r>
        <w:rPr>
          <w:sz w:val="20"/>
        </w:rPr>
        <w:t>DISTRITO</w:t>
      </w:r>
      <w:r>
        <w:rPr>
          <w:spacing w:val="-12"/>
          <w:sz w:val="20"/>
        </w:rPr>
        <w:t xml:space="preserve"> </w:t>
      </w:r>
      <w:r>
        <w:rPr>
          <w:sz w:val="20"/>
        </w:rPr>
        <w:t>FEDERAL,</w:t>
      </w:r>
      <w:r>
        <w:rPr>
          <w:spacing w:val="-10"/>
          <w:sz w:val="20"/>
        </w:rPr>
        <w:t xml:space="preserve"> </w:t>
      </w:r>
      <w:r>
        <w:rPr>
          <w:spacing w:val="-2"/>
          <w:sz w:val="20"/>
        </w:rPr>
        <w:t>2017.</w:t>
      </w:r>
    </w:p>
    <w:p w:rsidR="007259F2" w:rsidRDefault="00E655B4">
      <w:pPr>
        <w:spacing w:before="1"/>
        <w:ind w:left="710"/>
        <w:rPr>
          <w:sz w:val="20"/>
        </w:rPr>
      </w:pPr>
      <w:r>
        <w:rPr>
          <w:sz w:val="20"/>
          <w:vertAlign w:val="superscript"/>
        </w:rPr>
        <w:t>46</w:t>
      </w:r>
      <w:r>
        <w:rPr>
          <w:spacing w:val="-6"/>
          <w:sz w:val="20"/>
        </w:rPr>
        <w:t xml:space="preserve"> </w:t>
      </w:r>
      <w:r>
        <w:rPr>
          <w:sz w:val="20"/>
        </w:rPr>
        <w:t>CARVALHO,</w:t>
      </w:r>
      <w:r>
        <w:rPr>
          <w:spacing w:val="-4"/>
          <w:sz w:val="20"/>
        </w:rPr>
        <w:t xml:space="preserve"> </w:t>
      </w:r>
      <w:r>
        <w:rPr>
          <w:sz w:val="20"/>
        </w:rPr>
        <w:t>2014.</w:t>
      </w:r>
      <w:r>
        <w:rPr>
          <w:spacing w:val="-5"/>
          <w:sz w:val="20"/>
        </w:rPr>
        <w:t xml:space="preserve"> </w:t>
      </w:r>
      <w:r>
        <w:rPr>
          <w:sz w:val="20"/>
        </w:rPr>
        <w:t>Regra</w:t>
      </w:r>
      <w:r>
        <w:rPr>
          <w:spacing w:val="-6"/>
          <w:sz w:val="20"/>
        </w:rPr>
        <w:t xml:space="preserve"> </w:t>
      </w:r>
      <w:r>
        <w:rPr>
          <w:spacing w:val="-5"/>
          <w:sz w:val="20"/>
        </w:rPr>
        <w:t>12</w:t>
      </w:r>
    </w:p>
    <w:p w:rsidR="007259F2" w:rsidRDefault="00E655B4">
      <w:pPr>
        <w:ind w:left="710" w:right="424"/>
        <w:rPr>
          <w:sz w:val="20"/>
        </w:rPr>
      </w:pPr>
      <w:r>
        <w:rPr>
          <w:sz w:val="20"/>
          <w:vertAlign w:val="superscript"/>
        </w:rPr>
        <w:t>47</w:t>
      </w:r>
      <w:r>
        <w:rPr>
          <w:sz w:val="20"/>
        </w:rPr>
        <w:t xml:space="preserve"> TRAVAGLIA,</w:t>
      </w:r>
      <w:r>
        <w:rPr>
          <w:spacing w:val="-2"/>
          <w:sz w:val="20"/>
        </w:rPr>
        <w:t xml:space="preserve"> </w:t>
      </w:r>
      <w:r>
        <w:rPr>
          <w:sz w:val="20"/>
        </w:rPr>
        <w:t>L.</w:t>
      </w:r>
      <w:r>
        <w:rPr>
          <w:spacing w:val="-5"/>
          <w:sz w:val="20"/>
        </w:rPr>
        <w:t xml:space="preserve"> </w:t>
      </w:r>
      <w:r>
        <w:rPr>
          <w:sz w:val="20"/>
        </w:rPr>
        <w:t>C.</w:t>
      </w:r>
      <w:r>
        <w:rPr>
          <w:spacing w:val="-2"/>
          <w:sz w:val="20"/>
        </w:rPr>
        <w:t xml:space="preserve"> </w:t>
      </w:r>
      <w:r>
        <w:rPr>
          <w:b/>
          <w:sz w:val="20"/>
        </w:rPr>
        <w:t>O</w:t>
      </w:r>
      <w:r>
        <w:rPr>
          <w:b/>
          <w:spacing w:val="-6"/>
          <w:sz w:val="20"/>
        </w:rPr>
        <w:t xml:space="preserve"> </w:t>
      </w:r>
      <w:r>
        <w:rPr>
          <w:b/>
          <w:sz w:val="20"/>
        </w:rPr>
        <w:t>aspecto</w:t>
      </w:r>
      <w:r>
        <w:rPr>
          <w:b/>
          <w:spacing w:val="-4"/>
          <w:sz w:val="20"/>
        </w:rPr>
        <w:t xml:space="preserve"> </w:t>
      </w:r>
      <w:r>
        <w:rPr>
          <w:b/>
          <w:sz w:val="20"/>
        </w:rPr>
        <w:t>verbal</w:t>
      </w:r>
      <w:r>
        <w:rPr>
          <w:b/>
          <w:spacing w:val="-5"/>
          <w:sz w:val="20"/>
        </w:rPr>
        <w:t xml:space="preserve"> </w:t>
      </w:r>
      <w:r>
        <w:rPr>
          <w:b/>
          <w:sz w:val="20"/>
        </w:rPr>
        <w:t>no</w:t>
      </w:r>
      <w:r>
        <w:rPr>
          <w:b/>
          <w:spacing w:val="-7"/>
          <w:sz w:val="20"/>
        </w:rPr>
        <w:t xml:space="preserve"> </w:t>
      </w:r>
      <w:r>
        <w:rPr>
          <w:b/>
          <w:sz w:val="20"/>
        </w:rPr>
        <w:t>português</w:t>
      </w:r>
      <w:r>
        <w:rPr>
          <w:sz w:val="20"/>
        </w:rPr>
        <w:t>:</w:t>
      </w:r>
      <w:r>
        <w:rPr>
          <w:spacing w:val="-6"/>
          <w:sz w:val="20"/>
        </w:rPr>
        <w:t xml:space="preserve"> </w:t>
      </w:r>
      <w:r>
        <w:rPr>
          <w:sz w:val="20"/>
        </w:rPr>
        <w:t>a</w:t>
      </w:r>
      <w:r>
        <w:rPr>
          <w:spacing w:val="-5"/>
          <w:sz w:val="20"/>
        </w:rPr>
        <w:t xml:space="preserve"> </w:t>
      </w:r>
      <w:r>
        <w:rPr>
          <w:sz w:val="20"/>
        </w:rPr>
        <w:t>categoria</w:t>
      </w:r>
      <w:r>
        <w:rPr>
          <w:spacing w:val="-5"/>
          <w:sz w:val="20"/>
        </w:rPr>
        <w:t xml:space="preserve"> </w:t>
      </w:r>
      <w:r>
        <w:rPr>
          <w:sz w:val="20"/>
        </w:rPr>
        <w:t>e</w:t>
      </w:r>
      <w:r>
        <w:rPr>
          <w:spacing w:val="-8"/>
          <w:sz w:val="20"/>
        </w:rPr>
        <w:t xml:space="preserve"> </w:t>
      </w:r>
      <w:r>
        <w:rPr>
          <w:sz w:val="20"/>
        </w:rPr>
        <w:t>sua</w:t>
      </w:r>
      <w:r>
        <w:rPr>
          <w:spacing w:val="-5"/>
          <w:sz w:val="20"/>
        </w:rPr>
        <w:t xml:space="preserve"> </w:t>
      </w:r>
      <w:r>
        <w:rPr>
          <w:sz w:val="20"/>
        </w:rPr>
        <w:t>expressão.5. ed. Uberlândia :</w:t>
      </w:r>
      <w:r>
        <w:rPr>
          <w:spacing w:val="-1"/>
          <w:sz w:val="20"/>
        </w:rPr>
        <w:t xml:space="preserve"> </w:t>
      </w:r>
      <w:r>
        <w:rPr>
          <w:sz w:val="20"/>
        </w:rPr>
        <w:t xml:space="preserve">EDUFU, </w:t>
      </w:r>
      <w:r>
        <w:rPr>
          <w:spacing w:val="-2"/>
          <w:sz w:val="20"/>
        </w:rPr>
        <w:t>2016.</w:t>
      </w:r>
    </w:p>
    <w:p w:rsidR="007259F2" w:rsidRDefault="00E655B4">
      <w:pPr>
        <w:spacing w:before="1"/>
        <w:ind w:left="710"/>
        <w:rPr>
          <w:i/>
          <w:sz w:val="20"/>
        </w:rPr>
      </w:pPr>
      <w:r>
        <w:rPr>
          <w:sz w:val="20"/>
          <w:vertAlign w:val="superscript"/>
        </w:rPr>
        <w:t>48</w:t>
      </w:r>
      <w:r>
        <w:rPr>
          <w:spacing w:val="-2"/>
          <w:sz w:val="20"/>
        </w:rPr>
        <w:t xml:space="preserve"> </w:t>
      </w:r>
      <w:r>
        <w:rPr>
          <w:i/>
          <w:spacing w:val="-2"/>
          <w:sz w:val="20"/>
        </w:rPr>
        <w:t>Idem.</w:t>
      </w:r>
    </w:p>
    <w:p w:rsidR="007259F2" w:rsidRDefault="007259F2">
      <w:pPr>
        <w:rPr>
          <w:i/>
          <w:sz w:val="20"/>
        </w:rPr>
        <w:sectPr w:rsidR="007259F2">
          <w:pgSz w:w="11910" w:h="16840"/>
          <w:pgMar w:top="1620" w:right="708" w:bottom="1020" w:left="992" w:header="0" w:footer="820" w:gutter="0"/>
          <w:cols w:space="720"/>
        </w:sectPr>
      </w:pPr>
    </w:p>
    <w:p w:rsidR="007259F2" w:rsidRDefault="00E655B4">
      <w:pPr>
        <w:spacing w:before="77"/>
        <w:ind w:left="2978" w:right="424"/>
        <w:rPr>
          <w:sz w:val="20"/>
        </w:rPr>
      </w:pPr>
      <w:r>
        <w:rPr>
          <w:sz w:val="20"/>
        </w:rPr>
        <w:lastRenderedPageBreak/>
        <w:t>terceiro significado apenas com a perífrase FICAR + GERÚNDIO que, neste caso, marca</w:t>
      </w:r>
      <w:r>
        <w:rPr>
          <w:spacing w:val="-2"/>
          <w:sz w:val="20"/>
        </w:rPr>
        <w:t xml:space="preserve"> </w:t>
      </w:r>
      <w:r>
        <w:rPr>
          <w:sz w:val="20"/>
        </w:rPr>
        <w:t>o</w:t>
      </w:r>
      <w:r>
        <w:rPr>
          <w:spacing w:val="-2"/>
          <w:sz w:val="20"/>
        </w:rPr>
        <w:t xml:space="preserve"> </w:t>
      </w:r>
      <w:r>
        <w:rPr>
          <w:sz w:val="20"/>
        </w:rPr>
        <w:t>aspecto</w:t>
      </w:r>
      <w:r>
        <w:rPr>
          <w:spacing w:val="-2"/>
          <w:sz w:val="20"/>
        </w:rPr>
        <w:t xml:space="preserve"> </w:t>
      </w:r>
      <w:r>
        <w:rPr>
          <w:sz w:val="20"/>
        </w:rPr>
        <w:t>iterativo</w:t>
      </w:r>
      <w:r>
        <w:rPr>
          <w:spacing w:val="-1"/>
          <w:sz w:val="20"/>
        </w:rPr>
        <w:t xml:space="preserve"> </w:t>
      </w:r>
      <w:r>
        <w:rPr>
          <w:sz w:val="20"/>
        </w:rPr>
        <w:t xml:space="preserve">com qualquer flexão temporal em que seja possível. </w:t>
      </w:r>
      <w:r>
        <w:rPr>
          <w:sz w:val="20"/>
          <w:vertAlign w:val="superscript"/>
        </w:rPr>
        <w:t>49</w:t>
      </w:r>
    </w:p>
    <w:p w:rsidR="007259F2" w:rsidRDefault="00E655B4">
      <w:pPr>
        <w:pStyle w:val="Corpodetexto"/>
        <w:spacing w:before="198"/>
        <w:ind w:right="422"/>
      </w:pPr>
      <w:r>
        <w:t>Ora, a preferência pela perífrase verbal FICAR + PARTICÍPIO implica mais do que oferecer</w:t>
      </w:r>
      <w:r>
        <w:rPr>
          <w:spacing w:val="-1"/>
        </w:rPr>
        <w:t xml:space="preserve"> </w:t>
      </w:r>
      <w:r>
        <w:t>indicação imediata</w:t>
      </w:r>
      <w:r>
        <w:rPr>
          <w:spacing w:val="-3"/>
        </w:rPr>
        <w:t xml:space="preserve"> </w:t>
      </w:r>
      <w:r>
        <w:t>daquilo</w:t>
      </w:r>
      <w:r>
        <w:rPr>
          <w:spacing w:val="-2"/>
        </w:rPr>
        <w:t xml:space="preserve"> </w:t>
      </w:r>
      <w:r>
        <w:t>que</w:t>
      </w:r>
      <w:r>
        <w:rPr>
          <w:spacing w:val="-3"/>
        </w:rPr>
        <w:t xml:space="preserve"> </w:t>
      </w:r>
      <w:r>
        <w:t>o artigo contém.</w:t>
      </w:r>
      <w:r>
        <w:rPr>
          <w:spacing w:val="-2"/>
        </w:rPr>
        <w:t xml:space="preserve"> </w:t>
      </w:r>
      <w:r>
        <w:t>Em</w:t>
      </w:r>
      <w:r>
        <w:rPr>
          <w:spacing w:val="-2"/>
        </w:rPr>
        <w:t xml:space="preserve"> </w:t>
      </w:r>
      <w:r>
        <w:t>termos</w:t>
      </w:r>
      <w:r>
        <w:rPr>
          <w:spacing w:val="-2"/>
        </w:rPr>
        <w:t xml:space="preserve"> </w:t>
      </w:r>
      <w:r>
        <w:t>semânticos,</w:t>
      </w:r>
      <w:r>
        <w:rPr>
          <w:spacing w:val="-2"/>
        </w:rPr>
        <w:t xml:space="preserve"> </w:t>
      </w:r>
      <w:r>
        <w:t>ao</w:t>
      </w:r>
      <w:r>
        <w:rPr>
          <w:spacing w:val="-3"/>
        </w:rPr>
        <w:t xml:space="preserve"> </w:t>
      </w:r>
      <w:r>
        <w:t>optar</w:t>
      </w:r>
      <w:r>
        <w:rPr>
          <w:spacing w:val="-2"/>
        </w:rPr>
        <w:t xml:space="preserve"> </w:t>
      </w:r>
      <w:r>
        <w:t xml:space="preserve">pela perífrase verbal FICAR + PARTICÍPIO, o redator indica que o sentido do verbo </w:t>
      </w:r>
      <w:r>
        <w:rPr>
          <w:i/>
        </w:rPr>
        <w:t xml:space="preserve">ficar </w:t>
      </w:r>
      <w:r>
        <w:t xml:space="preserve">é o de </w:t>
      </w:r>
      <w:r>
        <w:rPr>
          <w:u w:val="single"/>
        </w:rPr>
        <w:t>tornar-se</w:t>
      </w:r>
      <w:r>
        <w:t>. Passar de uma condição à outra.</w:t>
      </w:r>
    </w:p>
    <w:p w:rsidR="007259F2" w:rsidRDefault="00E655B4">
      <w:pPr>
        <w:pStyle w:val="Heading2"/>
        <w:numPr>
          <w:ilvl w:val="1"/>
          <w:numId w:val="20"/>
        </w:numPr>
        <w:tabs>
          <w:tab w:val="left" w:pos="882"/>
        </w:tabs>
        <w:ind w:left="882" w:hanging="360"/>
        <w:jc w:val="both"/>
      </w:pPr>
      <w:r>
        <w:rPr>
          <w:i/>
        </w:rPr>
        <w:t>Corpus</w:t>
      </w:r>
      <w:r>
        <w:t>,</w:t>
      </w:r>
      <w:r>
        <w:rPr>
          <w:spacing w:val="-3"/>
        </w:rPr>
        <w:t xml:space="preserve"> </w:t>
      </w:r>
      <w:r>
        <w:t>padrões</w:t>
      </w:r>
      <w:r>
        <w:rPr>
          <w:spacing w:val="-7"/>
        </w:rPr>
        <w:t xml:space="preserve"> </w:t>
      </w:r>
      <w:r>
        <w:t>e</w:t>
      </w:r>
      <w:r>
        <w:rPr>
          <w:spacing w:val="-6"/>
        </w:rPr>
        <w:t xml:space="preserve"> </w:t>
      </w:r>
      <w:r>
        <w:t>paradigma</w:t>
      </w:r>
      <w:r>
        <w:rPr>
          <w:spacing w:val="3"/>
        </w:rPr>
        <w:t xml:space="preserve"> </w:t>
      </w:r>
      <w:r>
        <w:rPr>
          <w:spacing w:val="-2"/>
        </w:rPr>
        <w:t>recorrente</w:t>
      </w:r>
    </w:p>
    <w:p w:rsidR="007259F2" w:rsidRDefault="00E655B4">
      <w:pPr>
        <w:pStyle w:val="Corpodetexto"/>
        <w:spacing w:before="113"/>
        <w:ind w:right="420"/>
      </w:pPr>
      <w:r>
        <w:t>Por meio do site “Catálogo de Legislação Municipal”</w:t>
      </w:r>
      <w:r>
        <w:rPr>
          <w:vertAlign w:val="superscript"/>
        </w:rPr>
        <w:t>50</w:t>
      </w:r>
      <w:r>
        <w:t xml:space="preserve"> foram coletadas todas as 153 (cento e cinquenta e três) leis municipais publicadas em 2022 na cidade de São Paulo. Em seguida, foram</w:t>
      </w:r>
      <w:r>
        <w:rPr>
          <w:spacing w:val="-3"/>
        </w:rPr>
        <w:t xml:space="preserve"> </w:t>
      </w:r>
      <w:r>
        <w:t xml:space="preserve">destacados os verbos de comando das ementas e aqueles do </w:t>
      </w:r>
      <w:r>
        <w:rPr>
          <w:i/>
        </w:rPr>
        <w:t xml:space="preserve">caput </w:t>
      </w:r>
      <w:r>
        <w:t>do artigo 1º das referidas leis.</w:t>
      </w:r>
    </w:p>
    <w:p w:rsidR="007259F2" w:rsidRDefault="00E655B4">
      <w:pPr>
        <w:pStyle w:val="Corpodetexto"/>
        <w:ind w:right="420"/>
      </w:pPr>
      <w:r>
        <w:t>Por fim, foram cotejadas as supracitadas leis a fim de analisar a possibilidade da existência (ou não) de um</w:t>
      </w:r>
      <w:r>
        <w:rPr>
          <w:spacing w:val="-1"/>
        </w:rPr>
        <w:t xml:space="preserve"> </w:t>
      </w:r>
      <w:r>
        <w:t>padrão linguístico na</w:t>
      </w:r>
      <w:r>
        <w:rPr>
          <w:spacing w:val="-1"/>
        </w:rPr>
        <w:t xml:space="preserve"> </w:t>
      </w:r>
      <w:r>
        <w:t>exibição dos</w:t>
      </w:r>
      <w:r>
        <w:rPr>
          <w:spacing w:val="-1"/>
        </w:rPr>
        <w:t xml:space="preserve"> </w:t>
      </w:r>
      <w:r>
        <w:t>verbos</w:t>
      </w:r>
      <w:r>
        <w:rPr>
          <w:spacing w:val="-1"/>
        </w:rPr>
        <w:t xml:space="preserve"> </w:t>
      </w:r>
      <w:r>
        <w:t xml:space="preserve">de comando presentes no </w:t>
      </w:r>
      <w:r>
        <w:rPr>
          <w:i/>
        </w:rPr>
        <w:t xml:space="preserve">caput </w:t>
      </w:r>
      <w:r>
        <w:t>do artigo 1º.</w:t>
      </w:r>
    </w:p>
    <w:p w:rsidR="007259F2" w:rsidRDefault="00E655B4">
      <w:pPr>
        <w:pStyle w:val="Corpodetexto"/>
        <w:ind w:right="426"/>
      </w:pPr>
      <w:r>
        <w:t>Como já exposto, a lei tem uma estrutura cujo tripé é representado pela (i) parte preliminar; (ii) parte normativa e (iii) parte final.</w:t>
      </w:r>
    </w:p>
    <w:p w:rsidR="007259F2" w:rsidRDefault="00E655B4">
      <w:pPr>
        <w:pStyle w:val="Corpodetexto"/>
        <w:ind w:right="425"/>
      </w:pPr>
      <w:r>
        <w:t xml:space="preserve">No caso deste estudo, optou-se por fazer um recorte que abarcasse dois aspectos da parte preliminar, representada pela ementa e o 1º artigo da norma, observando o uso do verbo no </w:t>
      </w:r>
      <w:r>
        <w:rPr>
          <w:i/>
        </w:rPr>
        <w:t xml:space="preserve">caput </w:t>
      </w:r>
      <w:r>
        <w:t>do artigo 1º.</w:t>
      </w:r>
    </w:p>
    <w:p w:rsidR="007259F2" w:rsidRDefault="00E655B4">
      <w:pPr>
        <w:pStyle w:val="Corpodetexto"/>
        <w:ind w:right="422"/>
      </w:pPr>
      <w:r>
        <w:t>A ementa corresponde ao resumo da lei e, por isso, “a redação da ementa deve ser concisa, precisa em seus termos, clara e real.”</w:t>
      </w:r>
      <w:r>
        <w:rPr>
          <w:vertAlign w:val="superscript"/>
        </w:rPr>
        <w:t>51</w:t>
      </w:r>
      <w:r>
        <w:t xml:space="preserve"> Ainda, dispõe o art. 5º da Lei Complementar nº 95, de 98 que “a ementa será grafada por meio de caracteres que a realcem e explicitará, de modo conciso e sob a forma de título, o objeto da lei”.</w:t>
      </w:r>
      <w:r>
        <w:rPr>
          <w:vertAlign w:val="superscript"/>
        </w:rPr>
        <w:t>52</w:t>
      </w:r>
    </w:p>
    <w:p w:rsidR="007259F2" w:rsidRDefault="00DE6B1C">
      <w:pPr>
        <w:pStyle w:val="Corpodetexto"/>
        <w:spacing w:before="1"/>
        <w:ind w:right="421"/>
      </w:pPr>
      <w:r w:rsidRPr="00DE6B1C">
        <w:pict>
          <v:rect id="docshape174" o:spid="_x0000_s1055" style="position:absolute;left:0;text-align:left;margin-left:312.35pt;margin-top:49.35pt;width:3.85pt;height:.7pt;z-index:-19401216;mso-position-horizontal-relative:page" fillcolor="black" stroked="f">
            <w10:wrap anchorx="page"/>
          </v:rect>
        </w:pict>
      </w:r>
      <w:r w:rsidR="00E655B4">
        <w:t>Já o artigo é elemento central da lei e, por ser “a unidade básica para a apresentação, divisão ou agrupamento dos assuntos do texto legal”</w:t>
      </w:r>
      <w:r w:rsidR="00E655B4">
        <w:rPr>
          <w:vertAlign w:val="superscript"/>
        </w:rPr>
        <w:t>53</w:t>
      </w:r>
      <w:r w:rsidR="00E655B4">
        <w:t xml:space="preserve">, conjectura-se que deve ser bem ordenado. E mais, o </w:t>
      </w:r>
      <w:r w:rsidR="00E655B4">
        <w:rPr>
          <w:i/>
        </w:rPr>
        <w:t xml:space="preserve">caput </w:t>
      </w:r>
      <w:r w:rsidR="00E655B4">
        <w:t>do art. 7</w:t>
      </w:r>
      <w:r w:rsidR="00E655B4">
        <w:rPr>
          <w:b/>
          <w:vertAlign w:val="superscript"/>
        </w:rPr>
        <w:t>o</w:t>
      </w:r>
      <w:r w:rsidR="00E655B4">
        <w:rPr>
          <w:b/>
        </w:rPr>
        <w:t xml:space="preserve"> </w:t>
      </w:r>
      <w:r w:rsidR="00E655B4">
        <w:t>da LC 95, de 98 assinala que o “primeiro artigo do texto indicará o objeto da lei e o respectivo âmbito de aplicação”.</w:t>
      </w:r>
      <w:r w:rsidR="00E655B4">
        <w:rPr>
          <w:vertAlign w:val="superscript"/>
        </w:rPr>
        <w:t>54</w:t>
      </w:r>
      <w:r w:rsidR="00E655B4">
        <w:t xml:space="preserve"> Isso significa que, do texto do artigo primeiro, presumir-se-á o objeto da lei e seu âmbito de aplicação.</w:t>
      </w:r>
    </w:p>
    <w:p w:rsidR="007259F2" w:rsidRDefault="00E655B4">
      <w:pPr>
        <w:pStyle w:val="Corpodetexto"/>
        <w:ind w:right="424"/>
      </w:pPr>
      <w:r>
        <w:t>Para o objetivo deste trabalho, a análise do verbo, suas flexões e locuções escolhidos para</w:t>
      </w:r>
      <w:r>
        <w:rPr>
          <w:spacing w:val="-7"/>
        </w:rPr>
        <w:t xml:space="preserve"> </w:t>
      </w:r>
      <w:r>
        <w:t>iniciar</w:t>
      </w:r>
      <w:r>
        <w:rPr>
          <w:spacing w:val="-5"/>
        </w:rPr>
        <w:t xml:space="preserve"> </w:t>
      </w:r>
      <w:r>
        <w:t>a</w:t>
      </w:r>
      <w:r>
        <w:rPr>
          <w:spacing w:val="-8"/>
        </w:rPr>
        <w:t xml:space="preserve"> </w:t>
      </w:r>
      <w:r>
        <w:t>ementa</w:t>
      </w:r>
      <w:r>
        <w:rPr>
          <w:spacing w:val="-6"/>
        </w:rPr>
        <w:t xml:space="preserve"> </w:t>
      </w:r>
      <w:r>
        <w:t>e</w:t>
      </w:r>
      <w:r>
        <w:rPr>
          <w:spacing w:val="-8"/>
        </w:rPr>
        <w:t xml:space="preserve"> </w:t>
      </w:r>
      <w:r>
        <w:t>o</w:t>
      </w:r>
      <w:r>
        <w:rPr>
          <w:spacing w:val="-2"/>
        </w:rPr>
        <w:t xml:space="preserve"> </w:t>
      </w:r>
      <w:r>
        <w:rPr>
          <w:i/>
        </w:rPr>
        <w:t>caput</w:t>
      </w:r>
      <w:r>
        <w:rPr>
          <w:i/>
          <w:spacing w:val="-7"/>
        </w:rPr>
        <w:t xml:space="preserve"> </w:t>
      </w:r>
      <w:r>
        <w:t>do</w:t>
      </w:r>
      <w:r>
        <w:rPr>
          <w:spacing w:val="-2"/>
        </w:rPr>
        <w:t xml:space="preserve"> </w:t>
      </w:r>
      <w:r>
        <w:t>artigo</w:t>
      </w:r>
      <w:r>
        <w:rPr>
          <w:spacing w:val="-2"/>
        </w:rPr>
        <w:t xml:space="preserve"> </w:t>
      </w:r>
      <w:r>
        <w:t>1º</w:t>
      </w:r>
      <w:r>
        <w:rPr>
          <w:spacing w:val="-3"/>
        </w:rPr>
        <w:t xml:space="preserve"> </w:t>
      </w:r>
      <w:r>
        <w:t>é</w:t>
      </w:r>
      <w:r>
        <w:rPr>
          <w:spacing w:val="-11"/>
        </w:rPr>
        <w:t xml:space="preserve"> </w:t>
      </w:r>
      <w:r>
        <w:t>determinante,</w:t>
      </w:r>
      <w:r>
        <w:rPr>
          <w:spacing w:val="-4"/>
        </w:rPr>
        <w:t xml:space="preserve"> </w:t>
      </w:r>
      <w:r>
        <w:t>na</w:t>
      </w:r>
      <w:r>
        <w:rPr>
          <w:spacing w:val="-6"/>
        </w:rPr>
        <w:t xml:space="preserve"> </w:t>
      </w:r>
      <w:r>
        <w:t>medida</w:t>
      </w:r>
      <w:r>
        <w:rPr>
          <w:spacing w:val="-8"/>
        </w:rPr>
        <w:t xml:space="preserve"> </w:t>
      </w:r>
      <w:r>
        <w:t>em</w:t>
      </w:r>
      <w:r>
        <w:rPr>
          <w:spacing w:val="-12"/>
        </w:rPr>
        <w:t xml:space="preserve"> </w:t>
      </w:r>
      <w:r>
        <w:t>que</w:t>
      </w:r>
      <w:r>
        <w:rPr>
          <w:spacing w:val="-3"/>
        </w:rPr>
        <w:t xml:space="preserve"> </w:t>
      </w:r>
      <w:r>
        <w:t>indica, primeiro, o assunto da lei e, mais importante, qual ordem deve ser obedecida.</w:t>
      </w:r>
    </w:p>
    <w:p w:rsidR="007259F2" w:rsidRDefault="00E655B4">
      <w:pPr>
        <w:pStyle w:val="Corpodetexto"/>
        <w:ind w:right="422"/>
      </w:pPr>
      <w:r>
        <w:t xml:space="preserve">Em breve análise das 153 leis municipais publicadas no ano de 2022, excetuando as duas leis cujo </w:t>
      </w:r>
      <w:r>
        <w:rPr>
          <w:i/>
        </w:rPr>
        <w:t xml:space="preserve">caput </w:t>
      </w:r>
      <w:r>
        <w:t xml:space="preserve">do art. 1º foi vetado ou a lei que teve sua eficácia suspensa, cruzando os verbos presentes nas ementas e no </w:t>
      </w:r>
      <w:r>
        <w:rPr>
          <w:i/>
        </w:rPr>
        <w:t xml:space="preserve">caput </w:t>
      </w:r>
      <w:r>
        <w:t>do art. 1º, há 06 (seis) tipos ou padrões, a saber:</w:t>
      </w:r>
    </w:p>
    <w:p w:rsidR="007259F2" w:rsidRDefault="007259F2">
      <w:pPr>
        <w:pStyle w:val="Corpodetexto"/>
        <w:spacing w:before="1"/>
        <w:ind w:left="0" w:firstLine="0"/>
        <w:jc w:val="left"/>
      </w:pPr>
    </w:p>
    <w:p w:rsidR="007259F2" w:rsidRDefault="00E655B4">
      <w:pPr>
        <w:pStyle w:val="PargrafodaLista"/>
        <w:numPr>
          <w:ilvl w:val="2"/>
          <w:numId w:val="20"/>
        </w:numPr>
        <w:tabs>
          <w:tab w:val="left" w:pos="2267"/>
        </w:tabs>
        <w:ind w:right="420" w:firstLine="707"/>
        <w:jc w:val="both"/>
        <w:rPr>
          <w:sz w:val="24"/>
        </w:rPr>
      </w:pPr>
      <w:r>
        <w:rPr>
          <w:sz w:val="24"/>
        </w:rPr>
        <w:t xml:space="preserve">Ementa com verbo na 3ª pessoa do singular e </w:t>
      </w:r>
      <w:r>
        <w:rPr>
          <w:i/>
          <w:sz w:val="24"/>
        </w:rPr>
        <w:t xml:space="preserve">caput </w:t>
      </w:r>
      <w:r>
        <w:rPr>
          <w:sz w:val="24"/>
        </w:rPr>
        <w:t>do art. 1º com locução verbal</w:t>
      </w:r>
      <w:r>
        <w:rPr>
          <w:spacing w:val="-3"/>
          <w:sz w:val="24"/>
        </w:rPr>
        <w:t xml:space="preserve"> </w:t>
      </w:r>
      <w:r>
        <w:rPr>
          <w:sz w:val="24"/>
        </w:rPr>
        <w:t>(verbo auxiliar ficar + verbo no particípio) -</w:t>
      </w:r>
      <w:r>
        <w:rPr>
          <w:spacing w:val="40"/>
          <w:sz w:val="24"/>
        </w:rPr>
        <w:t xml:space="preserve"> </w:t>
      </w:r>
      <w:r>
        <w:rPr>
          <w:sz w:val="24"/>
        </w:rPr>
        <w:t>como no exemplo da Lei nº 17.879, de 30 de dezembro de 2022.</w:t>
      </w:r>
    </w:p>
    <w:p w:rsidR="007259F2" w:rsidRDefault="00E655B4">
      <w:pPr>
        <w:spacing w:before="1"/>
        <w:ind w:left="2978" w:right="419"/>
        <w:jc w:val="both"/>
        <w:rPr>
          <w:sz w:val="20"/>
        </w:rPr>
      </w:pPr>
      <w:r>
        <w:rPr>
          <w:sz w:val="20"/>
        </w:rPr>
        <w:t>Ementa - Regulamenta no âmbito do Município de São Paulo a instituição de ambientes experimentais de inovação científica, tecnológica e empreendedora – Programa SAMPA SANDBOX, sob o formato de Bancos de Testes Regulatórios e Tecnológicos no modelo Sandbox, nos termos do art. 11 da Lei Complementar Federal nº 182, de 1º de junho de 2021.</w:t>
      </w:r>
    </w:p>
    <w:p w:rsidR="007259F2" w:rsidRDefault="00E655B4">
      <w:pPr>
        <w:spacing w:line="230" w:lineRule="exact"/>
        <w:ind w:left="2978"/>
        <w:jc w:val="both"/>
        <w:rPr>
          <w:sz w:val="20"/>
        </w:rPr>
      </w:pPr>
      <w:r>
        <w:rPr>
          <w:sz w:val="20"/>
        </w:rPr>
        <w:t>Art.</w:t>
      </w:r>
      <w:r>
        <w:rPr>
          <w:spacing w:val="11"/>
          <w:sz w:val="20"/>
        </w:rPr>
        <w:t xml:space="preserve"> </w:t>
      </w:r>
      <w:r>
        <w:rPr>
          <w:sz w:val="20"/>
        </w:rPr>
        <w:t>1º</w:t>
      </w:r>
      <w:r>
        <w:rPr>
          <w:spacing w:val="13"/>
          <w:sz w:val="20"/>
        </w:rPr>
        <w:t xml:space="preserve"> </w:t>
      </w:r>
      <w:r>
        <w:rPr>
          <w:sz w:val="20"/>
        </w:rPr>
        <w:t>Fica</w:t>
      </w:r>
      <w:r>
        <w:rPr>
          <w:spacing w:val="9"/>
          <w:sz w:val="20"/>
        </w:rPr>
        <w:t xml:space="preserve"> </w:t>
      </w:r>
      <w:r>
        <w:rPr>
          <w:sz w:val="20"/>
        </w:rPr>
        <w:t>regulamentada,</w:t>
      </w:r>
      <w:r>
        <w:rPr>
          <w:spacing w:val="11"/>
          <w:sz w:val="20"/>
        </w:rPr>
        <w:t xml:space="preserve"> </w:t>
      </w:r>
      <w:r>
        <w:rPr>
          <w:sz w:val="20"/>
        </w:rPr>
        <w:t>no</w:t>
      </w:r>
      <w:r>
        <w:rPr>
          <w:spacing w:val="12"/>
          <w:sz w:val="20"/>
        </w:rPr>
        <w:t xml:space="preserve"> </w:t>
      </w:r>
      <w:r>
        <w:rPr>
          <w:sz w:val="20"/>
        </w:rPr>
        <w:t>âmbito</w:t>
      </w:r>
      <w:r>
        <w:rPr>
          <w:spacing w:val="11"/>
          <w:sz w:val="20"/>
        </w:rPr>
        <w:t xml:space="preserve"> </w:t>
      </w:r>
      <w:r>
        <w:rPr>
          <w:sz w:val="20"/>
        </w:rPr>
        <w:t>do</w:t>
      </w:r>
      <w:r>
        <w:rPr>
          <w:spacing w:val="11"/>
          <w:sz w:val="20"/>
        </w:rPr>
        <w:t xml:space="preserve"> </w:t>
      </w:r>
      <w:r>
        <w:rPr>
          <w:sz w:val="20"/>
        </w:rPr>
        <w:t>Município</w:t>
      </w:r>
      <w:r>
        <w:rPr>
          <w:spacing w:val="12"/>
          <w:sz w:val="20"/>
        </w:rPr>
        <w:t xml:space="preserve"> </w:t>
      </w:r>
      <w:r>
        <w:rPr>
          <w:sz w:val="20"/>
        </w:rPr>
        <w:t>de</w:t>
      </w:r>
      <w:r>
        <w:rPr>
          <w:spacing w:val="11"/>
          <w:sz w:val="20"/>
        </w:rPr>
        <w:t xml:space="preserve"> </w:t>
      </w:r>
      <w:r>
        <w:rPr>
          <w:sz w:val="20"/>
        </w:rPr>
        <w:t>São</w:t>
      </w:r>
      <w:r>
        <w:rPr>
          <w:spacing w:val="12"/>
          <w:sz w:val="20"/>
        </w:rPr>
        <w:t xml:space="preserve"> </w:t>
      </w:r>
      <w:r>
        <w:rPr>
          <w:sz w:val="20"/>
        </w:rPr>
        <w:t>Paulo,</w:t>
      </w:r>
      <w:r>
        <w:rPr>
          <w:spacing w:val="9"/>
          <w:sz w:val="20"/>
        </w:rPr>
        <w:t xml:space="preserve"> </w:t>
      </w:r>
      <w:r>
        <w:rPr>
          <w:sz w:val="20"/>
        </w:rPr>
        <w:t>a</w:t>
      </w:r>
      <w:r>
        <w:rPr>
          <w:spacing w:val="12"/>
          <w:sz w:val="20"/>
        </w:rPr>
        <w:t xml:space="preserve"> </w:t>
      </w:r>
      <w:r>
        <w:rPr>
          <w:sz w:val="20"/>
        </w:rPr>
        <w:t>instituição</w:t>
      </w:r>
      <w:r>
        <w:rPr>
          <w:spacing w:val="12"/>
          <w:sz w:val="20"/>
        </w:rPr>
        <w:t xml:space="preserve"> </w:t>
      </w:r>
      <w:r>
        <w:rPr>
          <w:spacing w:val="-5"/>
          <w:sz w:val="20"/>
        </w:rPr>
        <w:t>de</w:t>
      </w:r>
    </w:p>
    <w:p w:rsidR="007259F2" w:rsidRDefault="00DE6B1C">
      <w:pPr>
        <w:pStyle w:val="Corpodetexto"/>
        <w:spacing w:before="8"/>
        <w:ind w:left="0" w:firstLine="0"/>
        <w:jc w:val="left"/>
        <w:rPr>
          <w:sz w:val="16"/>
        </w:rPr>
      </w:pPr>
      <w:r w:rsidRPr="00DE6B1C">
        <w:rPr>
          <w:sz w:val="16"/>
        </w:rPr>
        <w:pict>
          <v:rect id="docshape175" o:spid="_x0000_s1054" style="position:absolute;margin-left:85.1pt;margin-top:10.85pt;width:2in;height:.7pt;z-index:-15650816;mso-wrap-distance-left:0;mso-wrap-distance-right:0;mso-position-horizontal-relative:page" fillcolor="black" stroked="f">
            <w10:wrap type="topAndBottom" anchorx="page"/>
          </v:rect>
        </w:pict>
      </w:r>
    </w:p>
    <w:p w:rsidR="007259F2" w:rsidRDefault="00E655B4">
      <w:pPr>
        <w:spacing w:before="96"/>
        <w:ind w:left="710"/>
        <w:rPr>
          <w:sz w:val="20"/>
        </w:rPr>
      </w:pPr>
      <w:r>
        <w:rPr>
          <w:sz w:val="20"/>
          <w:vertAlign w:val="superscript"/>
        </w:rPr>
        <w:t>49</w:t>
      </w:r>
      <w:r>
        <w:rPr>
          <w:spacing w:val="-2"/>
          <w:sz w:val="20"/>
        </w:rPr>
        <w:t xml:space="preserve"> </w:t>
      </w:r>
      <w:r>
        <w:rPr>
          <w:i/>
          <w:spacing w:val="-2"/>
          <w:sz w:val="20"/>
        </w:rPr>
        <w:t>Idem</w:t>
      </w:r>
      <w:r>
        <w:rPr>
          <w:spacing w:val="-2"/>
          <w:sz w:val="20"/>
        </w:rPr>
        <w:t>.</w:t>
      </w:r>
    </w:p>
    <w:p w:rsidR="007259F2" w:rsidRDefault="00E655B4">
      <w:pPr>
        <w:spacing w:before="1"/>
        <w:ind w:left="710"/>
        <w:rPr>
          <w:sz w:val="20"/>
        </w:rPr>
      </w:pPr>
      <w:r>
        <w:rPr>
          <w:sz w:val="20"/>
          <w:vertAlign w:val="superscript"/>
        </w:rPr>
        <w:t>50</w:t>
      </w:r>
      <w:r>
        <w:rPr>
          <w:spacing w:val="-2"/>
          <w:sz w:val="20"/>
        </w:rPr>
        <w:t xml:space="preserve"> https://legislacao.prefeitura.sp.gov.br/</w:t>
      </w:r>
    </w:p>
    <w:p w:rsidR="007259F2" w:rsidRDefault="00E655B4">
      <w:pPr>
        <w:ind w:left="710"/>
        <w:rPr>
          <w:sz w:val="20"/>
        </w:rPr>
      </w:pPr>
      <w:r>
        <w:rPr>
          <w:sz w:val="20"/>
          <w:vertAlign w:val="superscript"/>
        </w:rPr>
        <w:t>51</w:t>
      </w:r>
      <w:r>
        <w:rPr>
          <w:spacing w:val="-4"/>
          <w:sz w:val="20"/>
        </w:rPr>
        <w:t xml:space="preserve"> </w:t>
      </w:r>
      <w:r>
        <w:rPr>
          <w:sz w:val="20"/>
        </w:rPr>
        <w:t>CARVALHO,</w:t>
      </w:r>
      <w:r>
        <w:rPr>
          <w:spacing w:val="-5"/>
          <w:sz w:val="20"/>
        </w:rPr>
        <w:t xml:space="preserve"> </w:t>
      </w:r>
      <w:r>
        <w:rPr>
          <w:sz w:val="20"/>
        </w:rPr>
        <w:t>2014,</w:t>
      </w:r>
      <w:r>
        <w:rPr>
          <w:spacing w:val="-8"/>
          <w:sz w:val="20"/>
        </w:rPr>
        <w:t xml:space="preserve"> </w:t>
      </w:r>
      <w:r>
        <w:rPr>
          <w:sz w:val="20"/>
        </w:rPr>
        <w:t>p.</w:t>
      </w:r>
      <w:r>
        <w:rPr>
          <w:spacing w:val="-10"/>
          <w:sz w:val="20"/>
        </w:rPr>
        <w:t xml:space="preserve"> </w:t>
      </w:r>
      <w:r>
        <w:rPr>
          <w:spacing w:val="-2"/>
          <w:sz w:val="20"/>
        </w:rPr>
        <w:t>153/155.</w:t>
      </w:r>
    </w:p>
    <w:p w:rsidR="007259F2" w:rsidRDefault="00E655B4">
      <w:pPr>
        <w:spacing w:before="1"/>
        <w:ind w:left="710"/>
        <w:rPr>
          <w:sz w:val="20"/>
        </w:rPr>
      </w:pPr>
      <w:r>
        <w:rPr>
          <w:sz w:val="20"/>
          <w:vertAlign w:val="superscript"/>
        </w:rPr>
        <w:t>52</w:t>
      </w:r>
      <w:r>
        <w:rPr>
          <w:spacing w:val="-6"/>
          <w:sz w:val="20"/>
        </w:rPr>
        <w:t xml:space="preserve"> </w:t>
      </w:r>
      <w:r>
        <w:rPr>
          <w:sz w:val="20"/>
        </w:rPr>
        <w:t>BRASIL,</w:t>
      </w:r>
      <w:r>
        <w:rPr>
          <w:spacing w:val="-5"/>
          <w:sz w:val="20"/>
        </w:rPr>
        <w:t xml:space="preserve"> </w:t>
      </w:r>
      <w:r>
        <w:rPr>
          <w:spacing w:val="-2"/>
          <w:sz w:val="20"/>
        </w:rPr>
        <w:t>1998.</w:t>
      </w:r>
    </w:p>
    <w:p w:rsidR="007259F2" w:rsidRDefault="00E655B4">
      <w:pPr>
        <w:ind w:left="710"/>
        <w:rPr>
          <w:sz w:val="20"/>
        </w:rPr>
      </w:pPr>
      <w:r>
        <w:rPr>
          <w:sz w:val="20"/>
          <w:vertAlign w:val="superscript"/>
        </w:rPr>
        <w:t>53</w:t>
      </w:r>
      <w:r>
        <w:rPr>
          <w:spacing w:val="-5"/>
          <w:sz w:val="20"/>
        </w:rPr>
        <w:t xml:space="preserve"> </w:t>
      </w:r>
      <w:r>
        <w:rPr>
          <w:sz w:val="20"/>
        </w:rPr>
        <w:t>LEAL,</w:t>
      </w:r>
      <w:r>
        <w:rPr>
          <w:spacing w:val="-3"/>
          <w:sz w:val="20"/>
        </w:rPr>
        <w:t xml:space="preserve"> </w:t>
      </w:r>
      <w:r>
        <w:rPr>
          <w:spacing w:val="-4"/>
          <w:sz w:val="20"/>
        </w:rPr>
        <w:t>1985.</w:t>
      </w:r>
    </w:p>
    <w:p w:rsidR="007259F2" w:rsidRDefault="00E655B4">
      <w:pPr>
        <w:spacing w:before="1"/>
        <w:ind w:left="710"/>
        <w:rPr>
          <w:sz w:val="20"/>
        </w:rPr>
      </w:pPr>
      <w:r>
        <w:rPr>
          <w:sz w:val="20"/>
          <w:vertAlign w:val="superscript"/>
        </w:rPr>
        <w:t>54</w:t>
      </w:r>
      <w:r>
        <w:rPr>
          <w:spacing w:val="-6"/>
          <w:sz w:val="20"/>
        </w:rPr>
        <w:t xml:space="preserve"> </w:t>
      </w:r>
      <w:r>
        <w:rPr>
          <w:sz w:val="20"/>
        </w:rPr>
        <w:t>BRASIL,</w:t>
      </w:r>
      <w:r>
        <w:rPr>
          <w:spacing w:val="-5"/>
          <w:sz w:val="20"/>
        </w:rPr>
        <w:t xml:space="preserve"> </w:t>
      </w:r>
      <w:r>
        <w:rPr>
          <w:spacing w:val="-2"/>
          <w:sz w:val="20"/>
        </w:rPr>
        <w:t>1998.</w:t>
      </w:r>
    </w:p>
    <w:p w:rsidR="007259F2" w:rsidRDefault="007259F2">
      <w:pPr>
        <w:rPr>
          <w:sz w:val="20"/>
        </w:rPr>
        <w:sectPr w:rsidR="007259F2">
          <w:footerReference w:type="default" r:id="rId222"/>
          <w:pgSz w:w="11910" w:h="16840"/>
          <w:pgMar w:top="1600" w:right="708" w:bottom="1020" w:left="992" w:header="0" w:footer="820" w:gutter="0"/>
          <w:cols w:space="720"/>
        </w:sectPr>
      </w:pPr>
    </w:p>
    <w:p w:rsidR="007259F2" w:rsidRDefault="00E655B4">
      <w:pPr>
        <w:spacing w:before="77"/>
        <w:ind w:left="2978" w:right="427"/>
        <w:jc w:val="both"/>
        <w:rPr>
          <w:sz w:val="20"/>
        </w:rPr>
      </w:pPr>
      <w:r>
        <w:rPr>
          <w:sz w:val="20"/>
        </w:rPr>
        <w:lastRenderedPageBreak/>
        <w:t>ambientes experimentais de inovação científica, tecnológica e empreendedora no modelo Sandbox Regulatório, através do Programa SAMPA SANDBOX.</w:t>
      </w:r>
      <w:r>
        <w:rPr>
          <w:sz w:val="20"/>
          <w:vertAlign w:val="superscript"/>
        </w:rPr>
        <w:t>55</w:t>
      </w:r>
    </w:p>
    <w:p w:rsidR="007259F2" w:rsidRDefault="00E655B4">
      <w:pPr>
        <w:pStyle w:val="PargrafodaLista"/>
        <w:numPr>
          <w:ilvl w:val="2"/>
          <w:numId w:val="20"/>
        </w:numPr>
        <w:tabs>
          <w:tab w:val="left" w:pos="2267"/>
        </w:tabs>
        <w:spacing w:before="227"/>
        <w:ind w:right="419" w:firstLine="707"/>
        <w:jc w:val="both"/>
        <w:rPr>
          <w:sz w:val="24"/>
        </w:rPr>
      </w:pPr>
      <w:r>
        <w:rPr>
          <w:sz w:val="24"/>
        </w:rPr>
        <w:t xml:space="preserve">Ementa com verbo na 3ª pessoa do singular do presente do indicativo e </w:t>
      </w:r>
      <w:r>
        <w:rPr>
          <w:i/>
          <w:sz w:val="24"/>
        </w:rPr>
        <w:t xml:space="preserve">caput </w:t>
      </w:r>
      <w:r>
        <w:rPr>
          <w:sz w:val="24"/>
        </w:rPr>
        <w:t>do art. 1º com locução verbal (outros verbos auxiliares = verbo no particípio) - como no exemplo da Lei nº 17.878, de 29 de dezembro de 2022.</w:t>
      </w:r>
    </w:p>
    <w:p w:rsidR="007259F2" w:rsidRDefault="007259F2">
      <w:pPr>
        <w:pStyle w:val="Corpodetexto"/>
        <w:spacing w:before="1"/>
        <w:ind w:left="0" w:firstLine="0"/>
        <w:jc w:val="left"/>
      </w:pPr>
    </w:p>
    <w:p w:rsidR="007259F2" w:rsidRDefault="00E655B4">
      <w:pPr>
        <w:spacing w:before="1"/>
        <w:ind w:left="2978" w:right="423"/>
        <w:jc w:val="both"/>
        <w:rPr>
          <w:sz w:val="20"/>
        </w:rPr>
      </w:pPr>
      <w:r>
        <w:rPr>
          <w:sz w:val="20"/>
        </w:rPr>
        <w:t>Ementa -</w:t>
      </w:r>
      <w:r>
        <w:rPr>
          <w:spacing w:val="-1"/>
          <w:sz w:val="20"/>
          <w:u w:val="single"/>
        </w:rPr>
        <w:t xml:space="preserve"> </w:t>
      </w:r>
      <w:r>
        <w:rPr>
          <w:sz w:val="20"/>
          <w:u w:val="single"/>
        </w:rPr>
        <w:t>Dispõe</w:t>
      </w:r>
      <w:r>
        <w:rPr>
          <w:spacing w:val="-3"/>
          <w:sz w:val="20"/>
          <w:u w:val="single"/>
        </w:rPr>
        <w:t xml:space="preserve"> </w:t>
      </w:r>
      <w:r>
        <w:rPr>
          <w:sz w:val="20"/>
          <w:u w:val="single"/>
        </w:rPr>
        <w:t>sobre</w:t>
      </w:r>
      <w:r>
        <w:rPr>
          <w:spacing w:val="-3"/>
          <w:sz w:val="20"/>
          <w:u w:val="single"/>
        </w:rPr>
        <w:t xml:space="preserve"> </w:t>
      </w:r>
      <w:r>
        <w:rPr>
          <w:sz w:val="20"/>
          <w:u w:val="single"/>
        </w:rPr>
        <w:t>a</w:t>
      </w:r>
      <w:r>
        <w:rPr>
          <w:spacing w:val="-4"/>
          <w:sz w:val="20"/>
          <w:u w:val="single"/>
        </w:rPr>
        <w:t xml:space="preserve"> </w:t>
      </w:r>
      <w:r>
        <w:rPr>
          <w:sz w:val="20"/>
          <w:u w:val="single"/>
        </w:rPr>
        <w:t>cassação</w:t>
      </w:r>
      <w:r>
        <w:rPr>
          <w:spacing w:val="-2"/>
          <w:sz w:val="20"/>
        </w:rPr>
        <w:t xml:space="preserve"> </w:t>
      </w:r>
      <w:r>
        <w:rPr>
          <w:sz w:val="20"/>
        </w:rPr>
        <w:t>da</w:t>
      </w:r>
      <w:r>
        <w:rPr>
          <w:spacing w:val="-4"/>
          <w:sz w:val="20"/>
        </w:rPr>
        <w:t xml:space="preserve"> </w:t>
      </w:r>
      <w:r>
        <w:rPr>
          <w:sz w:val="20"/>
        </w:rPr>
        <w:t>licença</w:t>
      </w:r>
      <w:r>
        <w:rPr>
          <w:spacing w:val="-1"/>
          <w:sz w:val="20"/>
        </w:rPr>
        <w:t xml:space="preserve"> </w:t>
      </w:r>
      <w:r>
        <w:rPr>
          <w:sz w:val="20"/>
        </w:rPr>
        <w:t>de</w:t>
      </w:r>
      <w:r>
        <w:rPr>
          <w:spacing w:val="-3"/>
          <w:sz w:val="20"/>
        </w:rPr>
        <w:t xml:space="preserve"> </w:t>
      </w:r>
      <w:r>
        <w:rPr>
          <w:sz w:val="20"/>
        </w:rPr>
        <w:t>funcionamento</w:t>
      </w:r>
      <w:r>
        <w:rPr>
          <w:spacing w:val="-4"/>
          <w:sz w:val="20"/>
        </w:rPr>
        <w:t xml:space="preserve"> </w:t>
      </w:r>
      <w:r>
        <w:rPr>
          <w:sz w:val="20"/>
        </w:rPr>
        <w:t>de</w:t>
      </w:r>
      <w:r>
        <w:rPr>
          <w:spacing w:val="-4"/>
          <w:sz w:val="20"/>
        </w:rPr>
        <w:t xml:space="preserve"> </w:t>
      </w:r>
      <w:r>
        <w:rPr>
          <w:sz w:val="20"/>
        </w:rPr>
        <w:t>empresas</w:t>
      </w:r>
      <w:r>
        <w:rPr>
          <w:spacing w:val="-2"/>
          <w:sz w:val="20"/>
        </w:rPr>
        <w:t xml:space="preserve"> </w:t>
      </w:r>
      <w:r>
        <w:rPr>
          <w:sz w:val="20"/>
        </w:rPr>
        <w:t>e</w:t>
      </w:r>
      <w:r>
        <w:rPr>
          <w:spacing w:val="-2"/>
          <w:sz w:val="20"/>
        </w:rPr>
        <w:t xml:space="preserve"> </w:t>
      </w:r>
      <w:r>
        <w:rPr>
          <w:sz w:val="20"/>
        </w:rPr>
        <w:t>postos de combustíveis condenados pela prática de cartel.</w:t>
      </w:r>
    </w:p>
    <w:p w:rsidR="007259F2" w:rsidRDefault="00E655B4">
      <w:pPr>
        <w:ind w:left="2978" w:right="424"/>
        <w:jc w:val="both"/>
        <w:rPr>
          <w:sz w:val="20"/>
        </w:rPr>
      </w:pPr>
      <w:r>
        <w:rPr>
          <w:sz w:val="20"/>
        </w:rPr>
        <w:t xml:space="preserve">Art. 1º </w:t>
      </w:r>
      <w:r>
        <w:rPr>
          <w:sz w:val="20"/>
          <w:u w:val="single"/>
        </w:rPr>
        <w:t>Será cassada</w:t>
      </w:r>
      <w:r>
        <w:rPr>
          <w:sz w:val="20"/>
        </w:rPr>
        <w:t xml:space="preserve"> a licença de funcionamento dos postos e empresas de combustíveis atuantes na revenda de combustíveis ou na operação de bombas de abastecimento que forem condenados pela prática de cartel.</w:t>
      </w:r>
      <w:r>
        <w:rPr>
          <w:sz w:val="20"/>
          <w:vertAlign w:val="superscript"/>
        </w:rPr>
        <w:t>56</w:t>
      </w:r>
    </w:p>
    <w:p w:rsidR="007259F2" w:rsidRDefault="007259F2">
      <w:pPr>
        <w:pStyle w:val="Corpodetexto"/>
        <w:spacing w:before="181"/>
        <w:ind w:left="0" w:firstLine="0"/>
        <w:jc w:val="left"/>
        <w:rPr>
          <w:sz w:val="20"/>
        </w:rPr>
      </w:pPr>
    </w:p>
    <w:p w:rsidR="007259F2" w:rsidRDefault="00E655B4">
      <w:pPr>
        <w:pStyle w:val="PargrafodaLista"/>
        <w:numPr>
          <w:ilvl w:val="2"/>
          <w:numId w:val="20"/>
        </w:numPr>
        <w:tabs>
          <w:tab w:val="left" w:pos="2263"/>
        </w:tabs>
        <w:ind w:right="418" w:firstLine="707"/>
        <w:jc w:val="both"/>
        <w:rPr>
          <w:sz w:val="24"/>
        </w:rPr>
      </w:pPr>
      <w:r>
        <w:rPr>
          <w:sz w:val="24"/>
        </w:rPr>
        <w:t xml:space="preserve">Ementa com verbo na 3ª pessoa do singular e </w:t>
      </w:r>
      <w:r>
        <w:rPr>
          <w:i/>
          <w:sz w:val="24"/>
        </w:rPr>
        <w:t xml:space="preserve">caput </w:t>
      </w:r>
      <w:r>
        <w:rPr>
          <w:sz w:val="24"/>
        </w:rPr>
        <w:t>do art. 1º com ordem direita SUJEITO – VERBO no presente do indicativo – PREDICADO – SVP - como no exemplo da Lei nº 17.876, de 29 de dezembro de 2022.</w:t>
      </w:r>
    </w:p>
    <w:p w:rsidR="007259F2" w:rsidRDefault="007259F2">
      <w:pPr>
        <w:pStyle w:val="Corpodetexto"/>
        <w:spacing w:before="2"/>
        <w:ind w:left="0" w:firstLine="0"/>
        <w:jc w:val="left"/>
      </w:pPr>
    </w:p>
    <w:p w:rsidR="007259F2" w:rsidRDefault="00E655B4">
      <w:pPr>
        <w:ind w:left="2978" w:right="429"/>
        <w:jc w:val="both"/>
        <w:rPr>
          <w:sz w:val="20"/>
        </w:rPr>
      </w:pPr>
      <w:r>
        <w:rPr>
          <w:sz w:val="20"/>
        </w:rPr>
        <w:t xml:space="preserve">Ementa - </w:t>
      </w:r>
      <w:r>
        <w:rPr>
          <w:sz w:val="20"/>
          <w:u w:val="single"/>
        </w:rPr>
        <w:t>Estima</w:t>
      </w:r>
      <w:r>
        <w:rPr>
          <w:sz w:val="20"/>
        </w:rPr>
        <w:t xml:space="preserve"> a receita e fixa a despesa do Município de São Paulo para o exercício de 2023.</w:t>
      </w:r>
    </w:p>
    <w:p w:rsidR="007259F2" w:rsidRDefault="00E655B4">
      <w:pPr>
        <w:ind w:left="2978" w:right="419"/>
        <w:jc w:val="both"/>
        <w:rPr>
          <w:sz w:val="20"/>
        </w:rPr>
      </w:pPr>
      <w:r>
        <w:rPr>
          <w:sz w:val="20"/>
        </w:rPr>
        <w:t xml:space="preserve">Art. 1º </w:t>
      </w:r>
      <w:r>
        <w:rPr>
          <w:sz w:val="20"/>
          <w:u w:val="single"/>
        </w:rPr>
        <w:t>Esta Lei estima</w:t>
      </w:r>
      <w:r>
        <w:rPr>
          <w:sz w:val="20"/>
        </w:rPr>
        <w:t xml:space="preserve"> a receita e fixa a despesa do Município de São Paulo para o exercício</w:t>
      </w:r>
      <w:r>
        <w:rPr>
          <w:spacing w:val="-8"/>
          <w:sz w:val="20"/>
        </w:rPr>
        <w:t xml:space="preserve"> </w:t>
      </w:r>
      <w:r>
        <w:rPr>
          <w:sz w:val="20"/>
        </w:rPr>
        <w:t>de</w:t>
      </w:r>
      <w:r>
        <w:rPr>
          <w:spacing w:val="-10"/>
          <w:sz w:val="20"/>
        </w:rPr>
        <w:t xml:space="preserve"> </w:t>
      </w:r>
      <w:r>
        <w:rPr>
          <w:sz w:val="20"/>
        </w:rPr>
        <w:t>2023,</w:t>
      </w:r>
      <w:r>
        <w:rPr>
          <w:spacing w:val="-9"/>
          <w:sz w:val="20"/>
        </w:rPr>
        <w:t xml:space="preserve"> </w:t>
      </w:r>
      <w:r>
        <w:rPr>
          <w:sz w:val="20"/>
        </w:rPr>
        <w:t>compreendendo,</w:t>
      </w:r>
      <w:r>
        <w:rPr>
          <w:spacing w:val="-8"/>
          <w:sz w:val="20"/>
        </w:rPr>
        <w:t xml:space="preserve"> </w:t>
      </w:r>
      <w:r>
        <w:rPr>
          <w:sz w:val="20"/>
        </w:rPr>
        <w:t>nos</w:t>
      </w:r>
      <w:r>
        <w:rPr>
          <w:spacing w:val="-11"/>
          <w:sz w:val="20"/>
        </w:rPr>
        <w:t xml:space="preserve"> </w:t>
      </w:r>
      <w:r>
        <w:rPr>
          <w:sz w:val="20"/>
        </w:rPr>
        <w:t>termos</w:t>
      </w:r>
      <w:r>
        <w:rPr>
          <w:spacing w:val="-10"/>
          <w:sz w:val="20"/>
        </w:rPr>
        <w:t xml:space="preserve"> </w:t>
      </w:r>
      <w:r>
        <w:rPr>
          <w:sz w:val="20"/>
        </w:rPr>
        <w:t>do</w:t>
      </w:r>
      <w:r>
        <w:rPr>
          <w:spacing w:val="-9"/>
          <w:sz w:val="20"/>
        </w:rPr>
        <w:t xml:space="preserve"> </w:t>
      </w:r>
      <w:r>
        <w:rPr>
          <w:sz w:val="20"/>
        </w:rPr>
        <w:t>§</w:t>
      </w:r>
      <w:r>
        <w:rPr>
          <w:spacing w:val="-9"/>
          <w:sz w:val="20"/>
        </w:rPr>
        <w:t xml:space="preserve"> </w:t>
      </w:r>
      <w:r>
        <w:rPr>
          <w:sz w:val="20"/>
        </w:rPr>
        <w:t>5º</w:t>
      </w:r>
      <w:r>
        <w:rPr>
          <w:spacing w:val="-7"/>
          <w:sz w:val="20"/>
        </w:rPr>
        <w:t xml:space="preserve"> </w:t>
      </w:r>
      <w:r>
        <w:rPr>
          <w:sz w:val="20"/>
        </w:rPr>
        <w:t>do</w:t>
      </w:r>
      <w:r>
        <w:rPr>
          <w:spacing w:val="-9"/>
          <w:sz w:val="20"/>
        </w:rPr>
        <w:t xml:space="preserve"> </w:t>
      </w:r>
      <w:r>
        <w:rPr>
          <w:sz w:val="20"/>
        </w:rPr>
        <w:t>art.</w:t>
      </w:r>
      <w:r>
        <w:rPr>
          <w:spacing w:val="-9"/>
          <w:sz w:val="20"/>
        </w:rPr>
        <w:t xml:space="preserve"> </w:t>
      </w:r>
      <w:r>
        <w:rPr>
          <w:sz w:val="20"/>
        </w:rPr>
        <w:t>137</w:t>
      </w:r>
      <w:r>
        <w:rPr>
          <w:spacing w:val="-9"/>
          <w:sz w:val="20"/>
        </w:rPr>
        <w:t xml:space="preserve"> </w:t>
      </w:r>
      <w:r>
        <w:rPr>
          <w:sz w:val="20"/>
        </w:rPr>
        <w:t>da</w:t>
      </w:r>
      <w:r>
        <w:rPr>
          <w:spacing w:val="-8"/>
          <w:sz w:val="20"/>
        </w:rPr>
        <w:t xml:space="preserve"> </w:t>
      </w:r>
      <w:hyperlink r:id="rId223">
        <w:r>
          <w:rPr>
            <w:sz w:val="20"/>
          </w:rPr>
          <w:t>Lei</w:t>
        </w:r>
      </w:hyperlink>
      <w:r>
        <w:rPr>
          <w:sz w:val="20"/>
        </w:rPr>
        <w:t xml:space="preserve"> </w:t>
      </w:r>
      <w:hyperlink r:id="rId224">
        <w:r>
          <w:rPr>
            <w:sz w:val="20"/>
          </w:rPr>
          <w:t>Orgânica do</w:t>
        </w:r>
      </w:hyperlink>
      <w:r>
        <w:rPr>
          <w:sz w:val="20"/>
        </w:rPr>
        <w:t xml:space="preserve"> </w:t>
      </w:r>
      <w:hyperlink r:id="rId225">
        <w:r>
          <w:rPr>
            <w:sz w:val="20"/>
          </w:rPr>
          <w:t>Município de São Paulo:</w:t>
        </w:r>
      </w:hyperlink>
      <w:r>
        <w:rPr>
          <w:sz w:val="20"/>
          <w:vertAlign w:val="superscript"/>
        </w:rPr>
        <w:t>57</w:t>
      </w:r>
    </w:p>
    <w:p w:rsidR="007259F2" w:rsidRDefault="007259F2">
      <w:pPr>
        <w:pStyle w:val="Corpodetexto"/>
        <w:ind w:left="0" w:firstLine="0"/>
        <w:jc w:val="left"/>
        <w:rPr>
          <w:sz w:val="20"/>
        </w:rPr>
      </w:pPr>
    </w:p>
    <w:p w:rsidR="007259F2" w:rsidRDefault="007259F2">
      <w:pPr>
        <w:pStyle w:val="Corpodetexto"/>
        <w:spacing w:before="18"/>
        <w:ind w:left="0" w:firstLine="0"/>
        <w:jc w:val="left"/>
        <w:rPr>
          <w:sz w:val="20"/>
        </w:rPr>
      </w:pPr>
    </w:p>
    <w:p w:rsidR="007259F2" w:rsidRDefault="00E655B4">
      <w:pPr>
        <w:pStyle w:val="PargrafodaLista"/>
        <w:numPr>
          <w:ilvl w:val="2"/>
          <w:numId w:val="20"/>
        </w:numPr>
        <w:tabs>
          <w:tab w:val="left" w:pos="2264"/>
        </w:tabs>
        <w:ind w:right="420" w:firstLine="707"/>
        <w:jc w:val="both"/>
        <w:rPr>
          <w:sz w:val="24"/>
        </w:rPr>
      </w:pPr>
      <w:r>
        <w:rPr>
          <w:sz w:val="24"/>
        </w:rPr>
        <w:t xml:space="preserve">Ementa com locução verbal (verbo auxiliar ficar + verbo no particípio) e </w:t>
      </w:r>
      <w:r>
        <w:rPr>
          <w:i/>
          <w:sz w:val="24"/>
        </w:rPr>
        <w:t xml:space="preserve">caput </w:t>
      </w:r>
      <w:r>
        <w:rPr>
          <w:sz w:val="24"/>
        </w:rPr>
        <w:t>do art.1º com locução verbal (verbo auxiliar ficar + verbo no particípio) - como no exemplo da Lei nº 17.855, de 2 de dezembro de 2022.</w:t>
      </w:r>
    </w:p>
    <w:p w:rsidR="007259F2" w:rsidRDefault="007259F2">
      <w:pPr>
        <w:pStyle w:val="Corpodetexto"/>
        <w:spacing w:before="4"/>
        <w:ind w:left="0" w:firstLine="0"/>
        <w:jc w:val="left"/>
      </w:pPr>
    </w:p>
    <w:p w:rsidR="007259F2" w:rsidRDefault="00E655B4">
      <w:pPr>
        <w:ind w:left="2978" w:right="424"/>
        <w:jc w:val="both"/>
        <w:rPr>
          <w:sz w:val="20"/>
        </w:rPr>
      </w:pPr>
      <w:r>
        <w:rPr>
          <w:sz w:val="20"/>
        </w:rPr>
        <w:t xml:space="preserve">Ementa - </w:t>
      </w:r>
      <w:r>
        <w:rPr>
          <w:sz w:val="20"/>
          <w:u w:val="single"/>
        </w:rPr>
        <w:t>Fica alterada</w:t>
      </w:r>
      <w:r>
        <w:rPr>
          <w:sz w:val="20"/>
        </w:rPr>
        <w:t xml:space="preserve"> a denominação do Viaduto São Carlos para Viaduto São Carlos</w:t>
      </w:r>
      <w:r>
        <w:rPr>
          <w:spacing w:val="-12"/>
          <w:sz w:val="20"/>
        </w:rPr>
        <w:t xml:space="preserve"> </w:t>
      </w:r>
      <w:r>
        <w:rPr>
          <w:sz w:val="20"/>
        </w:rPr>
        <w:t>–</w:t>
      </w:r>
      <w:r>
        <w:rPr>
          <w:spacing w:val="-6"/>
          <w:sz w:val="20"/>
        </w:rPr>
        <w:t xml:space="preserve"> </w:t>
      </w:r>
      <w:r>
        <w:rPr>
          <w:sz w:val="20"/>
        </w:rPr>
        <w:t>Mario</w:t>
      </w:r>
      <w:r>
        <w:rPr>
          <w:spacing w:val="-10"/>
          <w:sz w:val="20"/>
        </w:rPr>
        <w:t xml:space="preserve"> </w:t>
      </w:r>
      <w:r>
        <w:rPr>
          <w:sz w:val="20"/>
        </w:rPr>
        <w:t>Previato,</w:t>
      </w:r>
      <w:r>
        <w:rPr>
          <w:spacing w:val="-4"/>
          <w:sz w:val="20"/>
        </w:rPr>
        <w:t xml:space="preserve"> </w:t>
      </w:r>
      <w:r>
        <w:rPr>
          <w:sz w:val="20"/>
        </w:rPr>
        <w:t>localizado</w:t>
      </w:r>
      <w:r>
        <w:rPr>
          <w:spacing w:val="-9"/>
          <w:sz w:val="20"/>
        </w:rPr>
        <w:t xml:space="preserve"> </w:t>
      </w:r>
      <w:r>
        <w:rPr>
          <w:sz w:val="20"/>
        </w:rPr>
        <w:t>no</w:t>
      </w:r>
      <w:r>
        <w:rPr>
          <w:spacing w:val="-10"/>
          <w:sz w:val="20"/>
        </w:rPr>
        <w:t xml:space="preserve"> </w:t>
      </w:r>
      <w:r>
        <w:rPr>
          <w:sz w:val="20"/>
        </w:rPr>
        <w:t>Distrito</w:t>
      </w:r>
      <w:r>
        <w:rPr>
          <w:spacing w:val="-10"/>
          <w:sz w:val="20"/>
        </w:rPr>
        <w:t xml:space="preserve"> </w:t>
      </w:r>
      <w:r>
        <w:rPr>
          <w:sz w:val="20"/>
        </w:rPr>
        <w:t>Cambuci,</w:t>
      </w:r>
      <w:r>
        <w:rPr>
          <w:spacing w:val="-8"/>
          <w:sz w:val="20"/>
        </w:rPr>
        <w:t xml:space="preserve"> </w:t>
      </w:r>
      <w:r>
        <w:rPr>
          <w:sz w:val="20"/>
        </w:rPr>
        <w:t>Subprefeitura</w:t>
      </w:r>
      <w:r>
        <w:rPr>
          <w:spacing w:val="-7"/>
          <w:sz w:val="20"/>
        </w:rPr>
        <w:t xml:space="preserve"> </w:t>
      </w:r>
      <w:r>
        <w:rPr>
          <w:sz w:val="20"/>
        </w:rPr>
        <w:t>da Sé</w:t>
      </w:r>
      <w:r>
        <w:rPr>
          <w:spacing w:val="-8"/>
          <w:sz w:val="20"/>
        </w:rPr>
        <w:t xml:space="preserve"> </w:t>
      </w:r>
      <w:r>
        <w:rPr>
          <w:sz w:val="20"/>
        </w:rPr>
        <w:t>(início) e Distrito da Mooca, Subprefeitura da Mooca (término), e dá outras providências.</w:t>
      </w:r>
    </w:p>
    <w:p w:rsidR="007259F2" w:rsidRDefault="00E655B4">
      <w:pPr>
        <w:ind w:left="2978" w:right="422"/>
        <w:jc w:val="both"/>
        <w:rPr>
          <w:sz w:val="20"/>
        </w:rPr>
      </w:pPr>
      <w:r>
        <w:rPr>
          <w:sz w:val="20"/>
        </w:rPr>
        <w:t xml:space="preserve">Art. 1º </w:t>
      </w:r>
      <w:r>
        <w:rPr>
          <w:sz w:val="20"/>
          <w:u w:val="single"/>
        </w:rPr>
        <w:t>Fica denominado</w:t>
      </w:r>
      <w:r>
        <w:rPr>
          <w:sz w:val="20"/>
        </w:rPr>
        <w:t xml:space="preserve"> Viaduto São Carlos – Mario Previato o atual Viaduto São Carlos, codlog 04.297-8, com início na Avenida Presidente Wilson e término na confluência das ruas Sarapuí e Borges de Figueiredo, situado no Setor 32, Quadras 104 e 105 e Setor 28, Quadra 46, localizado no Distrito de Cambuci, Subprefeitura da Sé (início) e Distrito da Mooca, Subprefeitura da Mooca (término).</w:t>
      </w:r>
      <w:r>
        <w:rPr>
          <w:sz w:val="20"/>
          <w:vertAlign w:val="superscript"/>
        </w:rPr>
        <w:t>58</w:t>
      </w:r>
    </w:p>
    <w:p w:rsidR="007259F2" w:rsidRDefault="00E655B4">
      <w:pPr>
        <w:pStyle w:val="PargrafodaLista"/>
        <w:numPr>
          <w:ilvl w:val="2"/>
          <w:numId w:val="20"/>
        </w:numPr>
        <w:tabs>
          <w:tab w:val="left" w:pos="2267"/>
        </w:tabs>
        <w:spacing w:before="228"/>
        <w:ind w:right="421" w:firstLine="707"/>
        <w:jc w:val="both"/>
        <w:rPr>
          <w:sz w:val="24"/>
        </w:rPr>
      </w:pPr>
      <w:r>
        <w:rPr>
          <w:sz w:val="24"/>
        </w:rPr>
        <w:t>Ementa com verbo na 3ª</w:t>
      </w:r>
      <w:r>
        <w:rPr>
          <w:spacing w:val="19"/>
          <w:sz w:val="24"/>
        </w:rPr>
        <w:t xml:space="preserve"> </w:t>
      </w:r>
      <w:r>
        <w:rPr>
          <w:sz w:val="24"/>
        </w:rPr>
        <w:t>pessoa do singular e</w:t>
      </w:r>
      <w:r>
        <w:rPr>
          <w:spacing w:val="18"/>
          <w:sz w:val="24"/>
        </w:rPr>
        <w:t xml:space="preserve"> </w:t>
      </w:r>
      <w:r>
        <w:rPr>
          <w:i/>
          <w:sz w:val="24"/>
        </w:rPr>
        <w:t xml:space="preserve">caput </w:t>
      </w:r>
      <w:r>
        <w:rPr>
          <w:sz w:val="24"/>
        </w:rPr>
        <w:t>do art. 1º com verbo na</w:t>
      </w:r>
      <w:r>
        <w:rPr>
          <w:spacing w:val="80"/>
          <w:sz w:val="24"/>
        </w:rPr>
        <w:t xml:space="preserve"> </w:t>
      </w:r>
      <w:r>
        <w:rPr>
          <w:sz w:val="24"/>
        </w:rPr>
        <w:t>3ª</w:t>
      </w:r>
      <w:r>
        <w:rPr>
          <w:spacing w:val="40"/>
          <w:sz w:val="24"/>
        </w:rPr>
        <w:t xml:space="preserve">  </w:t>
      </w:r>
      <w:r>
        <w:rPr>
          <w:sz w:val="24"/>
        </w:rPr>
        <w:t>pessoa</w:t>
      </w:r>
      <w:r>
        <w:rPr>
          <w:spacing w:val="40"/>
          <w:sz w:val="24"/>
        </w:rPr>
        <w:t xml:space="preserve">  </w:t>
      </w:r>
      <w:r>
        <w:rPr>
          <w:sz w:val="24"/>
        </w:rPr>
        <w:t>do</w:t>
      </w:r>
      <w:r>
        <w:rPr>
          <w:spacing w:val="40"/>
          <w:sz w:val="24"/>
        </w:rPr>
        <w:t xml:space="preserve">  </w:t>
      </w:r>
      <w:r>
        <w:rPr>
          <w:sz w:val="24"/>
        </w:rPr>
        <w:t>singular</w:t>
      </w:r>
      <w:r>
        <w:rPr>
          <w:spacing w:val="40"/>
          <w:sz w:val="24"/>
        </w:rPr>
        <w:t xml:space="preserve">  </w:t>
      </w:r>
      <w:r>
        <w:rPr>
          <w:sz w:val="24"/>
        </w:rPr>
        <w:t>-</w:t>
      </w:r>
      <w:r>
        <w:rPr>
          <w:spacing w:val="40"/>
          <w:sz w:val="24"/>
        </w:rPr>
        <w:t xml:space="preserve">  </w:t>
      </w:r>
      <w:r>
        <w:rPr>
          <w:sz w:val="24"/>
        </w:rPr>
        <w:t>como</w:t>
      </w:r>
      <w:r>
        <w:rPr>
          <w:spacing w:val="40"/>
          <w:sz w:val="24"/>
        </w:rPr>
        <w:t xml:space="preserve">  </w:t>
      </w:r>
      <w:r>
        <w:rPr>
          <w:sz w:val="24"/>
        </w:rPr>
        <w:t>no</w:t>
      </w:r>
      <w:r>
        <w:rPr>
          <w:spacing w:val="40"/>
          <w:sz w:val="24"/>
        </w:rPr>
        <w:t xml:space="preserve">  </w:t>
      </w:r>
      <w:r>
        <w:rPr>
          <w:sz w:val="24"/>
        </w:rPr>
        <w:t>exemplo</w:t>
      </w:r>
      <w:r>
        <w:rPr>
          <w:spacing w:val="40"/>
          <w:sz w:val="24"/>
        </w:rPr>
        <w:t xml:space="preserve">  </w:t>
      </w:r>
      <w:r>
        <w:rPr>
          <w:sz w:val="24"/>
        </w:rPr>
        <w:t>da</w:t>
      </w:r>
      <w:r>
        <w:rPr>
          <w:spacing w:val="40"/>
          <w:sz w:val="24"/>
        </w:rPr>
        <w:t xml:space="preserve">  </w:t>
      </w:r>
      <w:r>
        <w:rPr>
          <w:sz w:val="24"/>
        </w:rPr>
        <w:t>Lei</w:t>
      </w:r>
      <w:r>
        <w:rPr>
          <w:spacing w:val="80"/>
          <w:sz w:val="24"/>
        </w:rPr>
        <w:t xml:space="preserve">  </w:t>
      </w:r>
      <w:r>
        <w:rPr>
          <w:sz w:val="24"/>
        </w:rPr>
        <w:t>nº</w:t>
      </w:r>
      <w:r>
        <w:rPr>
          <w:spacing w:val="40"/>
          <w:sz w:val="24"/>
        </w:rPr>
        <w:t xml:space="preserve">  </w:t>
      </w:r>
      <w:r>
        <w:rPr>
          <w:sz w:val="24"/>
        </w:rPr>
        <w:t>17.877, de</w:t>
      </w:r>
      <w:r>
        <w:rPr>
          <w:spacing w:val="40"/>
          <w:sz w:val="24"/>
        </w:rPr>
        <w:t xml:space="preserve"> </w:t>
      </w:r>
      <w:r>
        <w:rPr>
          <w:sz w:val="24"/>
        </w:rPr>
        <w:t>29</w:t>
      </w:r>
      <w:r>
        <w:rPr>
          <w:spacing w:val="40"/>
          <w:sz w:val="24"/>
        </w:rPr>
        <w:t xml:space="preserve"> </w:t>
      </w:r>
      <w:r>
        <w:rPr>
          <w:sz w:val="24"/>
        </w:rPr>
        <w:t>de dezembro</w:t>
      </w:r>
      <w:r>
        <w:rPr>
          <w:spacing w:val="40"/>
          <w:sz w:val="24"/>
        </w:rPr>
        <w:t xml:space="preserve"> </w:t>
      </w:r>
      <w:r>
        <w:rPr>
          <w:sz w:val="24"/>
        </w:rPr>
        <w:t>de</w:t>
      </w:r>
      <w:r>
        <w:rPr>
          <w:spacing w:val="40"/>
          <w:sz w:val="24"/>
        </w:rPr>
        <w:t xml:space="preserve"> </w:t>
      </w:r>
      <w:r>
        <w:rPr>
          <w:sz w:val="24"/>
        </w:rPr>
        <w:t>2022.</w:t>
      </w:r>
    </w:p>
    <w:p w:rsidR="007259F2" w:rsidRDefault="007259F2">
      <w:pPr>
        <w:pStyle w:val="Corpodetexto"/>
        <w:spacing w:before="2"/>
        <w:ind w:left="0" w:firstLine="0"/>
        <w:jc w:val="left"/>
      </w:pPr>
    </w:p>
    <w:p w:rsidR="007259F2" w:rsidRDefault="00E655B4">
      <w:pPr>
        <w:ind w:left="2978" w:right="422"/>
        <w:jc w:val="both"/>
        <w:rPr>
          <w:sz w:val="20"/>
        </w:rPr>
      </w:pPr>
      <w:r>
        <w:rPr>
          <w:sz w:val="20"/>
        </w:rPr>
        <w:t xml:space="preserve">Ementa - </w:t>
      </w:r>
      <w:r>
        <w:rPr>
          <w:sz w:val="20"/>
          <w:u w:val="single"/>
        </w:rPr>
        <w:t>Autoriza</w:t>
      </w:r>
      <w:r>
        <w:rPr>
          <w:sz w:val="20"/>
        </w:rPr>
        <w:t xml:space="preserve"> a instituição de Fomento ao Samba na Cidade de São Paulo com base na aplicação da </w:t>
      </w:r>
      <w:hyperlink r:id="rId226">
        <w:r>
          <w:rPr>
            <w:sz w:val="20"/>
          </w:rPr>
          <w:t>Lei Federal nº 13.019, de 2014,</w:t>
        </w:r>
      </w:hyperlink>
      <w:r>
        <w:rPr>
          <w:sz w:val="20"/>
        </w:rPr>
        <w:t xml:space="preserve"> alterada pela </w:t>
      </w:r>
      <w:hyperlink r:id="rId227">
        <w:r>
          <w:rPr>
            <w:sz w:val="20"/>
          </w:rPr>
          <w:t>Lei nº</w:t>
        </w:r>
      </w:hyperlink>
      <w:r>
        <w:rPr>
          <w:sz w:val="20"/>
        </w:rPr>
        <w:t xml:space="preserve"> </w:t>
      </w:r>
      <w:hyperlink r:id="rId228">
        <w:r>
          <w:rPr>
            <w:sz w:val="20"/>
          </w:rPr>
          <w:t>13.204, de</w:t>
        </w:r>
      </w:hyperlink>
      <w:r>
        <w:rPr>
          <w:sz w:val="20"/>
        </w:rPr>
        <w:t xml:space="preserve"> </w:t>
      </w:r>
      <w:hyperlink r:id="rId229">
        <w:r>
          <w:rPr>
            <w:sz w:val="20"/>
          </w:rPr>
          <w:t>2015,</w:t>
        </w:r>
      </w:hyperlink>
      <w:r>
        <w:rPr>
          <w:sz w:val="20"/>
        </w:rPr>
        <w:t xml:space="preserve"> e dá outras providências.</w:t>
      </w:r>
    </w:p>
    <w:p w:rsidR="007259F2" w:rsidRDefault="00E655B4">
      <w:pPr>
        <w:spacing w:before="1"/>
        <w:ind w:left="2978" w:right="431"/>
        <w:jc w:val="both"/>
        <w:rPr>
          <w:sz w:val="20"/>
        </w:rPr>
      </w:pPr>
      <w:r>
        <w:rPr>
          <w:sz w:val="20"/>
        </w:rPr>
        <w:t xml:space="preserve">Art. 1º </w:t>
      </w:r>
      <w:r>
        <w:rPr>
          <w:sz w:val="20"/>
          <w:u w:val="single"/>
        </w:rPr>
        <w:t>Autoriza</w:t>
      </w:r>
      <w:r>
        <w:rPr>
          <w:sz w:val="20"/>
        </w:rPr>
        <w:t xml:space="preserve"> o Executivo a instituir no âmbito da Secretaria Municipal de</w:t>
      </w:r>
      <w:r>
        <w:rPr>
          <w:spacing w:val="40"/>
          <w:sz w:val="20"/>
        </w:rPr>
        <w:t xml:space="preserve"> </w:t>
      </w:r>
      <w:r>
        <w:rPr>
          <w:sz w:val="20"/>
        </w:rPr>
        <w:t xml:space="preserve">Cultura o Programa de Fomento ao Samba na Cidade de São Paulo, com base na aplicação da </w:t>
      </w:r>
      <w:hyperlink r:id="rId230">
        <w:r>
          <w:rPr>
            <w:sz w:val="20"/>
          </w:rPr>
          <w:t>Lei Federal nº 13.019, de 2014,</w:t>
        </w:r>
      </w:hyperlink>
      <w:r>
        <w:rPr>
          <w:sz w:val="20"/>
        </w:rPr>
        <w:t xml:space="preserve"> alterada pela </w:t>
      </w:r>
      <w:hyperlink r:id="rId231">
        <w:r>
          <w:rPr>
            <w:sz w:val="20"/>
          </w:rPr>
          <w:t>Lei nº 13.204, de</w:t>
        </w:r>
      </w:hyperlink>
      <w:r>
        <w:rPr>
          <w:sz w:val="20"/>
        </w:rPr>
        <w:t xml:space="preserve"> </w:t>
      </w:r>
      <w:hyperlink r:id="rId232">
        <w:r>
          <w:rPr>
            <w:sz w:val="20"/>
          </w:rPr>
          <w:t>2015.</w:t>
        </w:r>
      </w:hyperlink>
      <w:r>
        <w:rPr>
          <w:sz w:val="20"/>
          <w:vertAlign w:val="superscript"/>
        </w:rPr>
        <w:t>59</w:t>
      </w:r>
    </w:p>
    <w:p w:rsidR="007259F2" w:rsidRDefault="007259F2">
      <w:pPr>
        <w:pStyle w:val="Corpodetexto"/>
        <w:ind w:left="0" w:firstLine="0"/>
        <w:jc w:val="left"/>
        <w:rPr>
          <w:sz w:val="20"/>
        </w:rPr>
      </w:pPr>
    </w:p>
    <w:p w:rsidR="007259F2" w:rsidRDefault="007259F2">
      <w:pPr>
        <w:pStyle w:val="Corpodetexto"/>
        <w:ind w:left="0" w:firstLine="0"/>
        <w:jc w:val="left"/>
        <w:rPr>
          <w:sz w:val="20"/>
        </w:rPr>
      </w:pPr>
    </w:p>
    <w:p w:rsidR="007259F2" w:rsidRDefault="007259F2">
      <w:pPr>
        <w:pStyle w:val="Corpodetexto"/>
        <w:ind w:left="0" w:firstLine="0"/>
        <w:jc w:val="left"/>
        <w:rPr>
          <w:sz w:val="20"/>
        </w:rPr>
      </w:pPr>
    </w:p>
    <w:p w:rsidR="007259F2" w:rsidRDefault="00DE6B1C">
      <w:pPr>
        <w:pStyle w:val="Corpodetexto"/>
        <w:spacing w:before="48"/>
        <w:ind w:left="0" w:firstLine="0"/>
        <w:jc w:val="left"/>
        <w:rPr>
          <w:sz w:val="20"/>
        </w:rPr>
      </w:pPr>
      <w:r w:rsidRPr="00DE6B1C">
        <w:rPr>
          <w:sz w:val="20"/>
        </w:rPr>
        <w:pict>
          <v:rect id="docshape176" o:spid="_x0000_s1053" style="position:absolute;margin-left:85.1pt;margin-top:15.15pt;width:2in;height:.7pt;z-index:-15649792;mso-wrap-distance-left:0;mso-wrap-distance-right:0;mso-position-horizontal-relative:page" fillcolor="black" stroked="f">
            <w10:wrap type="topAndBottom" anchorx="page"/>
          </v:rect>
        </w:pict>
      </w:r>
    </w:p>
    <w:p w:rsidR="007259F2" w:rsidRDefault="00E655B4">
      <w:pPr>
        <w:spacing w:before="97"/>
        <w:ind w:left="710"/>
        <w:rPr>
          <w:sz w:val="20"/>
        </w:rPr>
      </w:pPr>
      <w:r>
        <w:rPr>
          <w:sz w:val="20"/>
          <w:vertAlign w:val="superscript"/>
        </w:rPr>
        <w:t>55</w:t>
      </w:r>
      <w:r>
        <w:rPr>
          <w:spacing w:val="-9"/>
          <w:sz w:val="20"/>
        </w:rPr>
        <w:t xml:space="preserve"> </w:t>
      </w:r>
      <w:r>
        <w:rPr>
          <w:sz w:val="20"/>
        </w:rPr>
        <w:t>Grifos</w:t>
      </w:r>
      <w:r>
        <w:rPr>
          <w:spacing w:val="-9"/>
          <w:sz w:val="20"/>
        </w:rPr>
        <w:t xml:space="preserve"> </w:t>
      </w:r>
      <w:r>
        <w:rPr>
          <w:spacing w:val="-2"/>
          <w:sz w:val="20"/>
        </w:rPr>
        <w:t>nossos</w:t>
      </w:r>
    </w:p>
    <w:p w:rsidR="007259F2" w:rsidRDefault="00E655B4">
      <w:pPr>
        <w:ind w:left="710"/>
        <w:rPr>
          <w:sz w:val="20"/>
        </w:rPr>
      </w:pPr>
      <w:r>
        <w:rPr>
          <w:sz w:val="20"/>
          <w:vertAlign w:val="superscript"/>
        </w:rPr>
        <w:t>56</w:t>
      </w:r>
      <w:r>
        <w:rPr>
          <w:spacing w:val="-9"/>
          <w:sz w:val="20"/>
        </w:rPr>
        <w:t xml:space="preserve"> </w:t>
      </w:r>
      <w:r>
        <w:rPr>
          <w:sz w:val="20"/>
        </w:rPr>
        <w:t>Grifos</w:t>
      </w:r>
      <w:r>
        <w:rPr>
          <w:spacing w:val="-9"/>
          <w:sz w:val="20"/>
        </w:rPr>
        <w:t xml:space="preserve"> </w:t>
      </w:r>
      <w:r>
        <w:rPr>
          <w:spacing w:val="-2"/>
          <w:sz w:val="20"/>
        </w:rPr>
        <w:t>nossos.</w:t>
      </w:r>
    </w:p>
    <w:p w:rsidR="007259F2" w:rsidRDefault="00E655B4">
      <w:pPr>
        <w:ind w:left="710"/>
        <w:rPr>
          <w:sz w:val="20"/>
        </w:rPr>
      </w:pPr>
      <w:r>
        <w:rPr>
          <w:sz w:val="20"/>
          <w:vertAlign w:val="superscript"/>
        </w:rPr>
        <w:t>57</w:t>
      </w:r>
      <w:r>
        <w:rPr>
          <w:spacing w:val="-9"/>
          <w:sz w:val="20"/>
        </w:rPr>
        <w:t xml:space="preserve"> </w:t>
      </w:r>
      <w:r>
        <w:rPr>
          <w:sz w:val="20"/>
        </w:rPr>
        <w:t>Grifos</w:t>
      </w:r>
      <w:r>
        <w:rPr>
          <w:spacing w:val="-9"/>
          <w:sz w:val="20"/>
        </w:rPr>
        <w:t xml:space="preserve"> </w:t>
      </w:r>
      <w:r>
        <w:rPr>
          <w:spacing w:val="-2"/>
          <w:sz w:val="20"/>
        </w:rPr>
        <w:t>nossos.</w:t>
      </w:r>
    </w:p>
    <w:p w:rsidR="007259F2" w:rsidRDefault="00E655B4">
      <w:pPr>
        <w:spacing w:before="1"/>
        <w:ind w:left="710"/>
        <w:rPr>
          <w:sz w:val="20"/>
        </w:rPr>
      </w:pPr>
      <w:r>
        <w:rPr>
          <w:sz w:val="20"/>
          <w:vertAlign w:val="superscript"/>
        </w:rPr>
        <w:t>58</w:t>
      </w:r>
      <w:r>
        <w:rPr>
          <w:spacing w:val="-9"/>
          <w:sz w:val="20"/>
        </w:rPr>
        <w:t xml:space="preserve"> </w:t>
      </w:r>
      <w:r>
        <w:rPr>
          <w:sz w:val="20"/>
        </w:rPr>
        <w:t>Grifos</w:t>
      </w:r>
      <w:r>
        <w:rPr>
          <w:spacing w:val="-9"/>
          <w:sz w:val="20"/>
        </w:rPr>
        <w:t xml:space="preserve"> </w:t>
      </w:r>
      <w:r>
        <w:rPr>
          <w:spacing w:val="-2"/>
          <w:sz w:val="20"/>
        </w:rPr>
        <w:t>nossos.</w:t>
      </w:r>
    </w:p>
    <w:p w:rsidR="007259F2" w:rsidRDefault="00E655B4">
      <w:pPr>
        <w:ind w:left="710"/>
        <w:rPr>
          <w:sz w:val="20"/>
        </w:rPr>
      </w:pPr>
      <w:r>
        <w:rPr>
          <w:sz w:val="20"/>
          <w:vertAlign w:val="superscript"/>
        </w:rPr>
        <w:t>59</w:t>
      </w:r>
      <w:r>
        <w:rPr>
          <w:spacing w:val="-9"/>
          <w:sz w:val="20"/>
        </w:rPr>
        <w:t xml:space="preserve"> </w:t>
      </w:r>
      <w:r>
        <w:rPr>
          <w:sz w:val="20"/>
        </w:rPr>
        <w:t>Grifos</w:t>
      </w:r>
      <w:r>
        <w:rPr>
          <w:spacing w:val="-9"/>
          <w:sz w:val="20"/>
        </w:rPr>
        <w:t xml:space="preserve"> </w:t>
      </w:r>
      <w:r>
        <w:rPr>
          <w:spacing w:val="-2"/>
          <w:sz w:val="20"/>
        </w:rPr>
        <w:t>nossos.</w:t>
      </w:r>
    </w:p>
    <w:p w:rsidR="007259F2" w:rsidRDefault="007259F2">
      <w:pPr>
        <w:rPr>
          <w:sz w:val="20"/>
        </w:rPr>
        <w:sectPr w:rsidR="007259F2">
          <w:pgSz w:w="11910" w:h="16840"/>
          <w:pgMar w:top="1600" w:right="708" w:bottom="1020" w:left="992" w:header="0" w:footer="820" w:gutter="0"/>
          <w:cols w:space="720"/>
        </w:sectPr>
      </w:pPr>
    </w:p>
    <w:p w:rsidR="007259F2" w:rsidRDefault="00E655B4">
      <w:pPr>
        <w:pStyle w:val="PargrafodaLista"/>
        <w:numPr>
          <w:ilvl w:val="2"/>
          <w:numId w:val="20"/>
        </w:numPr>
        <w:tabs>
          <w:tab w:val="left" w:pos="2264"/>
        </w:tabs>
        <w:spacing w:before="75"/>
        <w:ind w:right="420" w:firstLine="707"/>
        <w:jc w:val="both"/>
        <w:rPr>
          <w:sz w:val="24"/>
        </w:rPr>
      </w:pPr>
      <w:r>
        <w:rPr>
          <w:sz w:val="24"/>
        </w:rPr>
        <w:lastRenderedPageBreak/>
        <w:t xml:space="preserve">Ementa com verbo na 3ª pessoa do singular e </w:t>
      </w:r>
      <w:r>
        <w:rPr>
          <w:i/>
          <w:sz w:val="24"/>
        </w:rPr>
        <w:t xml:space="preserve">caput </w:t>
      </w:r>
      <w:r>
        <w:rPr>
          <w:sz w:val="24"/>
        </w:rPr>
        <w:t>do art.1º como sendo a descrição do objeto da lei de forma imediata e concisa (uso de verbos de ligação) - como no exemplo da Lei nº 17.827, de 7 de julho de 2022.</w:t>
      </w:r>
    </w:p>
    <w:p w:rsidR="007259F2" w:rsidRDefault="007259F2">
      <w:pPr>
        <w:pStyle w:val="Corpodetexto"/>
        <w:spacing w:before="1"/>
        <w:ind w:left="0" w:firstLine="0"/>
        <w:jc w:val="left"/>
      </w:pPr>
    </w:p>
    <w:p w:rsidR="007259F2" w:rsidRDefault="00E655B4">
      <w:pPr>
        <w:spacing w:before="1"/>
        <w:ind w:left="2978" w:right="432"/>
        <w:jc w:val="both"/>
        <w:rPr>
          <w:sz w:val="20"/>
        </w:rPr>
      </w:pPr>
      <w:r>
        <w:rPr>
          <w:sz w:val="20"/>
          <w:u w:val="single"/>
        </w:rPr>
        <w:t>Dispõe</w:t>
      </w:r>
      <w:r>
        <w:rPr>
          <w:sz w:val="20"/>
        </w:rPr>
        <w:t xml:space="preserve"> sobre a estrutura, organização e funcionamento dos Conselhos Tutelares no Munícipio de São Paulo, e dá outras providências.</w:t>
      </w:r>
    </w:p>
    <w:p w:rsidR="007259F2" w:rsidRDefault="00E655B4">
      <w:pPr>
        <w:ind w:left="2978" w:right="422"/>
        <w:jc w:val="both"/>
        <w:rPr>
          <w:sz w:val="20"/>
        </w:rPr>
      </w:pPr>
      <w:r>
        <w:rPr>
          <w:sz w:val="20"/>
        </w:rPr>
        <w:t xml:space="preserve">Art. 1º O Conselho Tutelar é órgão permanente e autônomo, não jurisdicional, encarregado pela sociedade de zelar pelo cumprimento dos direitos da criança e do adolescente, previstos na </w:t>
      </w:r>
      <w:hyperlink r:id="rId233">
        <w:r>
          <w:rPr>
            <w:sz w:val="20"/>
          </w:rPr>
          <w:t>Lei Federal nº 8.069, de 13 de julho de 1990 –</w:t>
        </w:r>
      </w:hyperlink>
      <w:r>
        <w:rPr>
          <w:sz w:val="20"/>
        </w:rPr>
        <w:t xml:space="preserve"> </w:t>
      </w:r>
      <w:hyperlink r:id="rId234">
        <w:r>
          <w:rPr>
            <w:sz w:val="20"/>
          </w:rPr>
          <w:t>Estatuto da</w:t>
        </w:r>
      </w:hyperlink>
      <w:r>
        <w:rPr>
          <w:sz w:val="20"/>
        </w:rPr>
        <w:t xml:space="preserve"> </w:t>
      </w:r>
      <w:hyperlink r:id="rId235">
        <w:r>
          <w:rPr>
            <w:sz w:val="20"/>
          </w:rPr>
          <w:t>Criança e do Adolescente.</w:t>
        </w:r>
      </w:hyperlink>
      <w:r>
        <w:rPr>
          <w:sz w:val="20"/>
          <w:vertAlign w:val="superscript"/>
        </w:rPr>
        <w:t>60</w:t>
      </w:r>
    </w:p>
    <w:p w:rsidR="007259F2" w:rsidRDefault="00E655B4">
      <w:pPr>
        <w:pStyle w:val="Corpodetexto"/>
        <w:spacing w:before="226"/>
        <w:ind w:right="425"/>
      </w:pPr>
      <w:r>
        <w:t>Da observação desses padrões, pode-se supor que as ementas são elaboradas de modo</w:t>
      </w:r>
      <w:r>
        <w:rPr>
          <w:spacing w:val="40"/>
        </w:rPr>
        <w:t xml:space="preserve"> </w:t>
      </w:r>
      <w:r>
        <w:t>a apresentar o verbo de comando na terceira pessoa do singular do presente do indicativo.</w:t>
      </w:r>
    </w:p>
    <w:p w:rsidR="007259F2" w:rsidRDefault="00E655B4">
      <w:pPr>
        <w:pStyle w:val="Corpodetexto"/>
        <w:spacing w:before="1"/>
        <w:ind w:right="425"/>
      </w:pPr>
      <w:r>
        <w:t xml:space="preserve">No Estado do Paraná, por exemplo, existe determinação legal para que o verbo presente na ementa seja redigido verbo na terceira pessoa do singular do presente do </w:t>
      </w:r>
      <w:r>
        <w:rPr>
          <w:spacing w:val="-2"/>
        </w:rPr>
        <w:t>indicativo.</w:t>
      </w:r>
      <w:r>
        <w:rPr>
          <w:spacing w:val="-2"/>
          <w:vertAlign w:val="superscript"/>
        </w:rPr>
        <w:t>61</w:t>
      </w:r>
    </w:p>
    <w:p w:rsidR="007259F2" w:rsidRDefault="00E655B4">
      <w:pPr>
        <w:pStyle w:val="Corpodetexto"/>
        <w:ind w:right="431"/>
      </w:pPr>
      <w:r>
        <w:t>Na elaboração de suas leis, a Câmara Legislativa do Distrito Federal também segue o mesmo comando:</w:t>
      </w:r>
    </w:p>
    <w:p w:rsidR="007259F2" w:rsidRDefault="00E655B4">
      <w:pPr>
        <w:spacing w:before="2"/>
        <w:ind w:left="2978" w:right="429"/>
        <w:jc w:val="both"/>
        <w:rPr>
          <w:sz w:val="20"/>
        </w:rPr>
      </w:pPr>
      <w:r>
        <w:rPr>
          <w:sz w:val="20"/>
        </w:rPr>
        <w:t xml:space="preserve">Utilizar, sempre que possível, os verbos no presente do indicativo, já que a matéria legislada pertence ao momento em que é lida, e não somente àquele em que é </w:t>
      </w:r>
      <w:r>
        <w:rPr>
          <w:spacing w:val="-2"/>
          <w:sz w:val="20"/>
        </w:rPr>
        <w:t>promulgada;</w:t>
      </w:r>
    </w:p>
    <w:p w:rsidR="007259F2" w:rsidRDefault="00E655B4">
      <w:pPr>
        <w:spacing w:before="1"/>
        <w:ind w:left="2978"/>
        <w:jc w:val="both"/>
        <w:rPr>
          <w:sz w:val="20"/>
        </w:rPr>
      </w:pPr>
      <w:r>
        <w:rPr>
          <w:sz w:val="20"/>
        </w:rPr>
        <w:t>A</w:t>
      </w:r>
      <w:r>
        <w:rPr>
          <w:spacing w:val="-13"/>
          <w:sz w:val="20"/>
        </w:rPr>
        <w:t xml:space="preserve"> </w:t>
      </w:r>
      <w:r>
        <w:rPr>
          <w:sz w:val="20"/>
        </w:rPr>
        <w:t>ementa</w:t>
      </w:r>
      <w:r>
        <w:rPr>
          <w:spacing w:val="-11"/>
          <w:sz w:val="20"/>
        </w:rPr>
        <w:t xml:space="preserve"> </w:t>
      </w:r>
      <w:r>
        <w:rPr>
          <w:sz w:val="20"/>
        </w:rPr>
        <w:t>deverá</w:t>
      </w:r>
      <w:r>
        <w:rPr>
          <w:spacing w:val="-6"/>
          <w:sz w:val="20"/>
        </w:rPr>
        <w:t xml:space="preserve"> </w:t>
      </w:r>
      <w:r>
        <w:rPr>
          <w:sz w:val="20"/>
        </w:rPr>
        <w:t>ser</w:t>
      </w:r>
      <w:r>
        <w:rPr>
          <w:spacing w:val="-8"/>
          <w:sz w:val="20"/>
        </w:rPr>
        <w:t xml:space="preserve"> </w:t>
      </w:r>
      <w:r>
        <w:rPr>
          <w:sz w:val="20"/>
        </w:rPr>
        <w:t>iniciada</w:t>
      </w:r>
      <w:r>
        <w:rPr>
          <w:spacing w:val="-6"/>
          <w:sz w:val="20"/>
        </w:rPr>
        <w:t xml:space="preserve"> </w:t>
      </w:r>
      <w:r>
        <w:rPr>
          <w:sz w:val="20"/>
        </w:rPr>
        <w:t>por</w:t>
      </w:r>
      <w:r>
        <w:rPr>
          <w:spacing w:val="-4"/>
          <w:sz w:val="20"/>
        </w:rPr>
        <w:t xml:space="preserve"> </w:t>
      </w:r>
      <w:r>
        <w:rPr>
          <w:sz w:val="20"/>
        </w:rPr>
        <w:t>verbo</w:t>
      </w:r>
      <w:r>
        <w:rPr>
          <w:spacing w:val="-11"/>
          <w:sz w:val="20"/>
        </w:rPr>
        <w:t xml:space="preserve"> </w:t>
      </w:r>
      <w:r>
        <w:rPr>
          <w:sz w:val="20"/>
        </w:rPr>
        <w:t>na</w:t>
      </w:r>
      <w:r>
        <w:rPr>
          <w:spacing w:val="-6"/>
          <w:sz w:val="20"/>
        </w:rPr>
        <w:t xml:space="preserve"> </w:t>
      </w:r>
      <w:r>
        <w:rPr>
          <w:sz w:val="20"/>
        </w:rPr>
        <w:t>3ª</w:t>
      </w:r>
      <w:r>
        <w:rPr>
          <w:spacing w:val="-12"/>
          <w:sz w:val="20"/>
        </w:rPr>
        <w:t xml:space="preserve"> </w:t>
      </w:r>
      <w:r>
        <w:rPr>
          <w:sz w:val="20"/>
        </w:rPr>
        <w:t>pessoa</w:t>
      </w:r>
      <w:r>
        <w:rPr>
          <w:spacing w:val="-6"/>
          <w:sz w:val="20"/>
        </w:rPr>
        <w:t xml:space="preserve"> </w:t>
      </w:r>
      <w:r>
        <w:rPr>
          <w:sz w:val="20"/>
        </w:rPr>
        <w:t>do</w:t>
      </w:r>
      <w:r>
        <w:rPr>
          <w:spacing w:val="-12"/>
          <w:sz w:val="20"/>
        </w:rPr>
        <w:t xml:space="preserve"> </w:t>
      </w:r>
      <w:r>
        <w:rPr>
          <w:sz w:val="20"/>
        </w:rPr>
        <w:t>singular.</w:t>
      </w:r>
      <w:r>
        <w:rPr>
          <w:spacing w:val="-5"/>
          <w:sz w:val="20"/>
        </w:rPr>
        <w:t xml:space="preserve"> </w:t>
      </w:r>
      <w:r>
        <w:rPr>
          <w:spacing w:val="-5"/>
          <w:sz w:val="20"/>
          <w:vertAlign w:val="superscript"/>
        </w:rPr>
        <w:t>62</w:t>
      </w:r>
    </w:p>
    <w:p w:rsidR="007259F2" w:rsidRDefault="007259F2">
      <w:pPr>
        <w:pStyle w:val="Corpodetexto"/>
        <w:spacing w:before="45"/>
        <w:ind w:left="0" w:firstLine="0"/>
        <w:jc w:val="left"/>
        <w:rPr>
          <w:sz w:val="20"/>
        </w:rPr>
      </w:pPr>
    </w:p>
    <w:p w:rsidR="007259F2" w:rsidRDefault="00E655B4">
      <w:pPr>
        <w:pStyle w:val="Corpodetexto"/>
        <w:ind w:right="422"/>
      </w:pPr>
      <w:r>
        <w:t>A despeito de não possuir legislação específica para a elaboração de leis, a Câmara Municipal de São Paulo fornece manual e exibe modelos por meio dos quais se pode observar o padrão de que o verbo presente na ementa seja redigido verbo na terceira pessoa do singular do presente do indicativo.</w:t>
      </w:r>
    </w:p>
    <w:p w:rsidR="007259F2" w:rsidRDefault="007259F2">
      <w:pPr>
        <w:pStyle w:val="Corpodetexto"/>
        <w:spacing w:before="2"/>
        <w:ind w:left="0" w:firstLine="0"/>
        <w:jc w:val="left"/>
      </w:pPr>
    </w:p>
    <w:p w:rsidR="007259F2" w:rsidRDefault="00E655B4">
      <w:pPr>
        <w:ind w:left="2978"/>
        <w:jc w:val="both"/>
        <w:rPr>
          <w:sz w:val="20"/>
        </w:rPr>
      </w:pPr>
      <w:r>
        <w:rPr>
          <w:sz w:val="20"/>
        </w:rPr>
        <w:t>PROJETO</w:t>
      </w:r>
      <w:r>
        <w:rPr>
          <w:spacing w:val="-12"/>
          <w:sz w:val="20"/>
        </w:rPr>
        <w:t xml:space="preserve"> </w:t>
      </w:r>
      <w:r>
        <w:rPr>
          <w:sz w:val="20"/>
        </w:rPr>
        <w:t>DE</w:t>
      </w:r>
      <w:r>
        <w:rPr>
          <w:spacing w:val="-3"/>
          <w:sz w:val="20"/>
        </w:rPr>
        <w:t xml:space="preserve"> </w:t>
      </w:r>
      <w:r>
        <w:rPr>
          <w:sz w:val="20"/>
        </w:rPr>
        <w:t>LEI</w:t>
      </w:r>
      <w:r>
        <w:rPr>
          <w:spacing w:val="-9"/>
          <w:sz w:val="20"/>
        </w:rPr>
        <w:t xml:space="preserve"> </w:t>
      </w:r>
      <w:r>
        <w:rPr>
          <w:sz w:val="20"/>
        </w:rPr>
        <w:t>Nº</w:t>
      </w:r>
      <w:r>
        <w:rPr>
          <w:spacing w:val="-8"/>
          <w:sz w:val="20"/>
        </w:rPr>
        <w:t xml:space="preserve"> </w:t>
      </w:r>
      <w:r>
        <w:rPr>
          <w:spacing w:val="-4"/>
          <w:sz w:val="20"/>
        </w:rPr>
        <w:t>/2021</w:t>
      </w:r>
    </w:p>
    <w:p w:rsidR="007259F2" w:rsidRDefault="00E655B4">
      <w:pPr>
        <w:ind w:left="2978" w:right="423"/>
        <w:jc w:val="both"/>
        <w:rPr>
          <w:sz w:val="20"/>
        </w:rPr>
      </w:pPr>
      <w:r>
        <w:rPr>
          <w:sz w:val="20"/>
          <w:u w:val="single"/>
        </w:rPr>
        <w:t>Denomina</w:t>
      </w:r>
      <w:r>
        <w:rPr>
          <w:sz w:val="20"/>
        </w:rPr>
        <w:t xml:space="preserve"> Denominação Escolhida o logradouro que especifica, localizado no Distrito de Tal, Subprefeitura de Tanto.</w:t>
      </w:r>
    </w:p>
    <w:p w:rsidR="007259F2" w:rsidRDefault="00E655B4">
      <w:pPr>
        <w:spacing w:before="1" w:line="229" w:lineRule="exact"/>
        <w:ind w:left="2978"/>
        <w:jc w:val="both"/>
        <w:rPr>
          <w:sz w:val="20"/>
        </w:rPr>
      </w:pPr>
      <w:r>
        <w:rPr>
          <w:sz w:val="20"/>
        </w:rPr>
        <w:t>A</w:t>
      </w:r>
      <w:r>
        <w:rPr>
          <w:spacing w:val="-10"/>
          <w:sz w:val="20"/>
        </w:rPr>
        <w:t xml:space="preserve"> </w:t>
      </w:r>
      <w:r>
        <w:rPr>
          <w:sz w:val="20"/>
        </w:rPr>
        <w:t>Câmara</w:t>
      </w:r>
      <w:r>
        <w:rPr>
          <w:spacing w:val="-8"/>
          <w:sz w:val="20"/>
        </w:rPr>
        <w:t xml:space="preserve"> </w:t>
      </w:r>
      <w:r>
        <w:rPr>
          <w:sz w:val="20"/>
        </w:rPr>
        <w:t>Municipal</w:t>
      </w:r>
      <w:r>
        <w:rPr>
          <w:spacing w:val="-8"/>
          <w:sz w:val="20"/>
        </w:rPr>
        <w:t xml:space="preserve"> </w:t>
      </w:r>
      <w:r>
        <w:rPr>
          <w:sz w:val="20"/>
        </w:rPr>
        <w:t>de</w:t>
      </w:r>
      <w:r>
        <w:rPr>
          <w:spacing w:val="-9"/>
          <w:sz w:val="20"/>
        </w:rPr>
        <w:t xml:space="preserve"> </w:t>
      </w:r>
      <w:r>
        <w:rPr>
          <w:sz w:val="20"/>
        </w:rPr>
        <w:t>São</w:t>
      </w:r>
      <w:r>
        <w:rPr>
          <w:spacing w:val="-10"/>
          <w:sz w:val="20"/>
        </w:rPr>
        <w:t xml:space="preserve"> </w:t>
      </w:r>
      <w:r>
        <w:rPr>
          <w:sz w:val="20"/>
        </w:rPr>
        <w:t>Paulo</w:t>
      </w:r>
      <w:r>
        <w:rPr>
          <w:spacing w:val="-10"/>
          <w:sz w:val="20"/>
        </w:rPr>
        <w:t xml:space="preserve"> </w:t>
      </w:r>
      <w:r>
        <w:rPr>
          <w:spacing w:val="-2"/>
          <w:sz w:val="20"/>
        </w:rPr>
        <w:t>DECRETA:</w:t>
      </w:r>
    </w:p>
    <w:p w:rsidR="007259F2" w:rsidRDefault="00E655B4">
      <w:pPr>
        <w:ind w:left="2978" w:right="424"/>
        <w:jc w:val="both"/>
        <w:rPr>
          <w:sz w:val="20"/>
        </w:rPr>
      </w:pPr>
      <w:r>
        <w:rPr>
          <w:sz w:val="20"/>
        </w:rPr>
        <w:t xml:space="preserve">Art. 1° </w:t>
      </w:r>
      <w:r>
        <w:rPr>
          <w:sz w:val="20"/>
          <w:u w:val="single"/>
        </w:rPr>
        <w:t>Fica denominado</w:t>
      </w:r>
      <w:r>
        <w:rPr>
          <w:sz w:val="20"/>
        </w:rPr>
        <w:t xml:space="preserve"> Denominação Escolhida o logradouro localizado em XX, delimitado pelas especificar delimitações, situado no Distrito de Tal, Subprefeitura de Tanto.</w:t>
      </w:r>
    </w:p>
    <w:p w:rsidR="007259F2" w:rsidRDefault="00E655B4">
      <w:pPr>
        <w:ind w:left="2978" w:right="426"/>
        <w:jc w:val="both"/>
        <w:rPr>
          <w:sz w:val="20"/>
        </w:rPr>
      </w:pPr>
      <w:r>
        <w:rPr>
          <w:sz w:val="20"/>
        </w:rPr>
        <w:t>Art. 2° As despesas decorrentes da execução desta lei correrão por conta das dotações orçamentárias próprias, suplementadas se necessário.</w:t>
      </w:r>
    </w:p>
    <w:p w:rsidR="007259F2" w:rsidRDefault="00E655B4">
      <w:pPr>
        <w:spacing w:before="1"/>
        <w:ind w:left="2978"/>
        <w:jc w:val="both"/>
        <w:rPr>
          <w:sz w:val="20"/>
        </w:rPr>
      </w:pPr>
      <w:r>
        <w:rPr>
          <w:sz w:val="20"/>
        </w:rPr>
        <w:t>Art.</w:t>
      </w:r>
      <w:r>
        <w:rPr>
          <w:spacing w:val="-8"/>
          <w:sz w:val="20"/>
        </w:rPr>
        <w:t xml:space="preserve"> </w:t>
      </w:r>
      <w:r>
        <w:rPr>
          <w:sz w:val="20"/>
        </w:rPr>
        <w:t>3°</w:t>
      </w:r>
      <w:r>
        <w:rPr>
          <w:spacing w:val="-11"/>
          <w:sz w:val="20"/>
        </w:rPr>
        <w:t xml:space="preserve"> </w:t>
      </w:r>
      <w:r>
        <w:rPr>
          <w:sz w:val="20"/>
        </w:rPr>
        <w:t>Esta</w:t>
      </w:r>
      <w:r>
        <w:rPr>
          <w:spacing w:val="-6"/>
          <w:sz w:val="20"/>
        </w:rPr>
        <w:t xml:space="preserve"> </w:t>
      </w:r>
      <w:r>
        <w:rPr>
          <w:sz w:val="20"/>
        </w:rPr>
        <w:t>Lei</w:t>
      </w:r>
      <w:r>
        <w:rPr>
          <w:spacing w:val="-4"/>
          <w:sz w:val="20"/>
        </w:rPr>
        <w:t xml:space="preserve"> </w:t>
      </w:r>
      <w:r>
        <w:rPr>
          <w:sz w:val="20"/>
        </w:rPr>
        <w:t>entra</w:t>
      </w:r>
      <w:r>
        <w:rPr>
          <w:spacing w:val="-7"/>
          <w:sz w:val="20"/>
        </w:rPr>
        <w:t xml:space="preserve"> </w:t>
      </w:r>
      <w:r>
        <w:rPr>
          <w:sz w:val="20"/>
        </w:rPr>
        <w:t>em</w:t>
      </w:r>
      <w:r>
        <w:rPr>
          <w:spacing w:val="-10"/>
          <w:sz w:val="20"/>
        </w:rPr>
        <w:t xml:space="preserve"> </w:t>
      </w:r>
      <w:r>
        <w:rPr>
          <w:sz w:val="20"/>
        </w:rPr>
        <w:t>vigor</w:t>
      </w:r>
      <w:r>
        <w:rPr>
          <w:spacing w:val="-4"/>
          <w:sz w:val="20"/>
        </w:rPr>
        <w:t xml:space="preserve"> </w:t>
      </w:r>
      <w:r>
        <w:rPr>
          <w:sz w:val="20"/>
        </w:rPr>
        <w:t>na</w:t>
      </w:r>
      <w:r>
        <w:rPr>
          <w:spacing w:val="-9"/>
          <w:sz w:val="20"/>
        </w:rPr>
        <w:t xml:space="preserve"> </w:t>
      </w:r>
      <w:r>
        <w:rPr>
          <w:sz w:val="20"/>
        </w:rPr>
        <w:t>data</w:t>
      </w:r>
      <w:r>
        <w:rPr>
          <w:spacing w:val="-7"/>
          <w:sz w:val="20"/>
        </w:rPr>
        <w:t xml:space="preserve"> </w:t>
      </w:r>
      <w:r>
        <w:rPr>
          <w:sz w:val="20"/>
        </w:rPr>
        <w:t>de</w:t>
      </w:r>
      <w:r>
        <w:rPr>
          <w:spacing w:val="-9"/>
          <w:sz w:val="20"/>
        </w:rPr>
        <w:t xml:space="preserve"> </w:t>
      </w:r>
      <w:r>
        <w:rPr>
          <w:sz w:val="20"/>
        </w:rPr>
        <w:t>sua</w:t>
      </w:r>
      <w:r>
        <w:rPr>
          <w:spacing w:val="-4"/>
          <w:sz w:val="20"/>
        </w:rPr>
        <w:t xml:space="preserve"> </w:t>
      </w:r>
      <w:r>
        <w:rPr>
          <w:sz w:val="20"/>
        </w:rPr>
        <w:t>publicação.</w:t>
      </w:r>
      <w:r>
        <w:rPr>
          <w:spacing w:val="-4"/>
          <w:sz w:val="20"/>
        </w:rPr>
        <w:t xml:space="preserve"> </w:t>
      </w:r>
      <w:r>
        <w:rPr>
          <w:sz w:val="20"/>
        </w:rPr>
        <w:t>Sala</w:t>
      </w:r>
      <w:r>
        <w:rPr>
          <w:spacing w:val="-4"/>
          <w:sz w:val="20"/>
        </w:rPr>
        <w:t xml:space="preserve"> </w:t>
      </w:r>
      <w:r>
        <w:rPr>
          <w:sz w:val="20"/>
        </w:rPr>
        <w:t>das</w:t>
      </w:r>
      <w:r>
        <w:rPr>
          <w:spacing w:val="-4"/>
          <w:sz w:val="20"/>
        </w:rPr>
        <w:t xml:space="preserve"> </w:t>
      </w:r>
      <w:r>
        <w:rPr>
          <w:spacing w:val="-2"/>
          <w:sz w:val="20"/>
        </w:rPr>
        <w:t>Sessões</w:t>
      </w:r>
      <w:r>
        <w:rPr>
          <w:spacing w:val="-2"/>
          <w:sz w:val="20"/>
          <w:vertAlign w:val="superscript"/>
        </w:rPr>
        <w:t>.63</w:t>
      </w:r>
    </w:p>
    <w:p w:rsidR="007259F2" w:rsidRDefault="00E655B4">
      <w:pPr>
        <w:pStyle w:val="Corpodetexto"/>
        <w:spacing w:before="228"/>
        <w:ind w:right="430"/>
      </w:pPr>
      <w:r>
        <w:t>Deduz-se,</w:t>
      </w:r>
      <w:r>
        <w:rPr>
          <w:spacing w:val="-1"/>
        </w:rPr>
        <w:t xml:space="preserve"> </w:t>
      </w:r>
      <w:r>
        <w:t>então,</w:t>
      </w:r>
      <w:r>
        <w:rPr>
          <w:spacing w:val="-1"/>
        </w:rPr>
        <w:t xml:space="preserve"> </w:t>
      </w:r>
      <w:r>
        <w:t>que,</w:t>
      </w:r>
      <w:r>
        <w:rPr>
          <w:spacing w:val="-1"/>
        </w:rPr>
        <w:t xml:space="preserve"> </w:t>
      </w:r>
      <w:r>
        <w:t>em se</w:t>
      </w:r>
      <w:r>
        <w:rPr>
          <w:spacing w:val="-1"/>
        </w:rPr>
        <w:t xml:space="preserve"> </w:t>
      </w:r>
      <w:r>
        <w:t>tratando</w:t>
      </w:r>
      <w:r>
        <w:rPr>
          <w:spacing w:val="-1"/>
        </w:rPr>
        <w:t xml:space="preserve"> </w:t>
      </w:r>
      <w:r>
        <w:t>dos</w:t>
      </w:r>
      <w:r>
        <w:rPr>
          <w:spacing w:val="-1"/>
        </w:rPr>
        <w:t xml:space="preserve"> </w:t>
      </w:r>
      <w:r>
        <w:t>verbos</w:t>
      </w:r>
      <w:r>
        <w:rPr>
          <w:spacing w:val="-1"/>
        </w:rPr>
        <w:t xml:space="preserve"> </w:t>
      </w:r>
      <w:r>
        <w:t>principais</w:t>
      </w:r>
      <w:r>
        <w:rPr>
          <w:spacing w:val="-1"/>
        </w:rPr>
        <w:t xml:space="preserve"> </w:t>
      </w:r>
      <w:r>
        <w:t>das</w:t>
      </w:r>
      <w:r>
        <w:rPr>
          <w:spacing w:val="-1"/>
        </w:rPr>
        <w:t xml:space="preserve"> </w:t>
      </w:r>
      <w:r>
        <w:t>ementas,</w:t>
      </w:r>
      <w:r>
        <w:rPr>
          <w:spacing w:val="-1"/>
        </w:rPr>
        <w:t xml:space="preserve"> </w:t>
      </w:r>
      <w:r>
        <w:t>não</w:t>
      </w:r>
      <w:r>
        <w:rPr>
          <w:spacing w:val="-1"/>
        </w:rPr>
        <w:t xml:space="preserve"> </w:t>
      </w:r>
      <w:r>
        <w:t>há</w:t>
      </w:r>
      <w:r>
        <w:rPr>
          <w:spacing w:val="-2"/>
        </w:rPr>
        <w:t xml:space="preserve"> </w:t>
      </w:r>
      <w:r>
        <w:t>espaço para as escolhas do redator normativo, afinal a legislação e os compêndios de técnica legislativa são claros no sentido de impor a terceira pessoa do singular do modo indicativo.</w:t>
      </w:r>
    </w:p>
    <w:p w:rsidR="007259F2" w:rsidRDefault="00E655B4">
      <w:pPr>
        <w:pStyle w:val="Corpodetexto"/>
        <w:ind w:left="1418" w:firstLine="0"/>
      </w:pPr>
      <w:r>
        <w:t>Com</w:t>
      </w:r>
      <w:r>
        <w:rPr>
          <w:spacing w:val="5"/>
        </w:rPr>
        <w:t xml:space="preserve"> </w:t>
      </w:r>
      <w:r>
        <w:t>relação</w:t>
      </w:r>
      <w:r>
        <w:rPr>
          <w:spacing w:val="8"/>
        </w:rPr>
        <w:t xml:space="preserve"> </w:t>
      </w:r>
      <w:r>
        <w:t>à</w:t>
      </w:r>
      <w:r>
        <w:rPr>
          <w:spacing w:val="9"/>
        </w:rPr>
        <w:t xml:space="preserve"> </w:t>
      </w:r>
      <w:r>
        <w:t>apresentação</w:t>
      </w:r>
      <w:r>
        <w:rPr>
          <w:spacing w:val="8"/>
        </w:rPr>
        <w:t xml:space="preserve"> </w:t>
      </w:r>
      <w:r>
        <w:t>dos</w:t>
      </w:r>
      <w:r>
        <w:rPr>
          <w:spacing w:val="8"/>
        </w:rPr>
        <w:t xml:space="preserve"> </w:t>
      </w:r>
      <w:r>
        <w:t>verbos</w:t>
      </w:r>
      <w:r>
        <w:rPr>
          <w:spacing w:val="7"/>
        </w:rPr>
        <w:t xml:space="preserve"> </w:t>
      </w:r>
      <w:r>
        <w:t>do</w:t>
      </w:r>
      <w:r>
        <w:rPr>
          <w:spacing w:val="12"/>
        </w:rPr>
        <w:t xml:space="preserve"> </w:t>
      </w:r>
      <w:r>
        <w:rPr>
          <w:i/>
        </w:rPr>
        <w:t>caput</w:t>
      </w:r>
      <w:r>
        <w:rPr>
          <w:i/>
          <w:spacing w:val="11"/>
        </w:rPr>
        <w:t xml:space="preserve"> </w:t>
      </w:r>
      <w:r>
        <w:t>do</w:t>
      </w:r>
      <w:r>
        <w:rPr>
          <w:spacing w:val="8"/>
        </w:rPr>
        <w:t xml:space="preserve"> </w:t>
      </w:r>
      <w:r>
        <w:t>artigo</w:t>
      </w:r>
      <w:r>
        <w:rPr>
          <w:spacing w:val="8"/>
        </w:rPr>
        <w:t xml:space="preserve"> </w:t>
      </w:r>
      <w:r>
        <w:t>1º,</w:t>
      </w:r>
      <w:r>
        <w:rPr>
          <w:spacing w:val="8"/>
        </w:rPr>
        <w:t xml:space="preserve"> </w:t>
      </w:r>
      <w:r>
        <w:t>a</w:t>
      </w:r>
      <w:r>
        <w:rPr>
          <w:spacing w:val="9"/>
        </w:rPr>
        <w:t xml:space="preserve"> </w:t>
      </w:r>
      <w:r>
        <w:t>constatação</w:t>
      </w:r>
      <w:r>
        <w:rPr>
          <w:spacing w:val="8"/>
        </w:rPr>
        <w:t xml:space="preserve"> </w:t>
      </w:r>
      <w:r>
        <w:t>é</w:t>
      </w:r>
      <w:r>
        <w:rPr>
          <w:spacing w:val="7"/>
        </w:rPr>
        <w:t xml:space="preserve"> </w:t>
      </w:r>
      <w:r>
        <w:rPr>
          <w:spacing w:val="-2"/>
        </w:rPr>
        <w:t>diversa.</w:t>
      </w:r>
    </w:p>
    <w:p w:rsidR="007259F2" w:rsidRDefault="00E655B4">
      <w:pPr>
        <w:pStyle w:val="Corpodetexto"/>
        <w:ind w:firstLine="0"/>
      </w:pPr>
      <w:r>
        <w:t>O</w:t>
      </w:r>
      <w:r>
        <w:rPr>
          <w:spacing w:val="-3"/>
        </w:rPr>
        <w:t xml:space="preserve"> </w:t>
      </w:r>
      <w:r>
        <w:t>redator</w:t>
      </w:r>
      <w:r>
        <w:rPr>
          <w:spacing w:val="-1"/>
        </w:rPr>
        <w:t xml:space="preserve"> </w:t>
      </w:r>
      <w:r>
        <w:t>normativo</w:t>
      </w:r>
      <w:r>
        <w:rPr>
          <w:spacing w:val="-1"/>
        </w:rPr>
        <w:t xml:space="preserve"> </w:t>
      </w:r>
      <w:r>
        <w:t>pode</w:t>
      </w:r>
      <w:r>
        <w:rPr>
          <w:spacing w:val="-2"/>
        </w:rPr>
        <w:t xml:space="preserve"> </w:t>
      </w:r>
      <w:r>
        <w:t>optar</w:t>
      </w:r>
      <w:r>
        <w:rPr>
          <w:spacing w:val="-3"/>
        </w:rPr>
        <w:t xml:space="preserve"> </w:t>
      </w:r>
      <w:r>
        <w:t>por</w:t>
      </w:r>
      <w:r>
        <w:rPr>
          <w:spacing w:val="-1"/>
        </w:rPr>
        <w:t xml:space="preserve"> </w:t>
      </w:r>
      <w:r>
        <w:t>utilizar</w:t>
      </w:r>
      <w:r>
        <w:rPr>
          <w:spacing w:val="-1"/>
        </w:rPr>
        <w:t xml:space="preserve"> </w:t>
      </w:r>
      <w:r>
        <w:t>ou</w:t>
      </w:r>
      <w:r>
        <w:rPr>
          <w:spacing w:val="-1"/>
        </w:rPr>
        <w:t xml:space="preserve"> </w:t>
      </w:r>
      <w:r>
        <w:t>não</w:t>
      </w:r>
      <w:r>
        <w:rPr>
          <w:spacing w:val="-1"/>
        </w:rPr>
        <w:t xml:space="preserve"> </w:t>
      </w:r>
      <w:r>
        <w:t xml:space="preserve">perífrases </w:t>
      </w:r>
      <w:r>
        <w:rPr>
          <w:spacing w:val="-2"/>
        </w:rPr>
        <w:t>verbais.</w:t>
      </w:r>
    </w:p>
    <w:p w:rsidR="007259F2" w:rsidRDefault="00E655B4">
      <w:pPr>
        <w:pStyle w:val="Corpodetexto"/>
        <w:ind w:right="426"/>
      </w:pPr>
      <w:r>
        <w:t>No caso das leis municipais publicadas pela Prefeitura de São Paulo, há uma predileção pelo uso da perífrase verbal FICAR + PARTICÍPIO.</w:t>
      </w:r>
    </w:p>
    <w:p w:rsidR="007259F2" w:rsidRDefault="00E655B4">
      <w:pPr>
        <w:pStyle w:val="Corpodetexto"/>
        <w:ind w:right="423"/>
      </w:pPr>
      <w:r>
        <w:t>Dentre as 153 (cento e cinquenta e três) leis municipais promulgadas, 116 (cento e dezesseis), ou seja, em 75,8% (setenta e cinco vírgula oito por cento) delas, o redator normativo fez uso da perífrase verbal FICAR + PARTICÍPIO.</w:t>
      </w:r>
    </w:p>
    <w:p w:rsidR="007259F2" w:rsidRDefault="00DE6B1C">
      <w:pPr>
        <w:pStyle w:val="Corpodetexto"/>
        <w:spacing w:before="9"/>
        <w:ind w:left="0" w:firstLine="0"/>
        <w:jc w:val="left"/>
        <w:rPr>
          <w:sz w:val="16"/>
        </w:rPr>
      </w:pPr>
      <w:r w:rsidRPr="00DE6B1C">
        <w:rPr>
          <w:sz w:val="16"/>
        </w:rPr>
        <w:pict>
          <v:rect id="docshape177" o:spid="_x0000_s1052" style="position:absolute;margin-left:85.1pt;margin-top:10.85pt;width:2in;height:.7pt;z-index:-15649280;mso-wrap-distance-left:0;mso-wrap-distance-right:0;mso-position-horizontal-relative:page" fillcolor="black" stroked="f">
            <w10:wrap type="topAndBottom" anchorx="page"/>
          </v:rect>
        </w:pict>
      </w:r>
    </w:p>
    <w:p w:rsidR="007259F2" w:rsidRDefault="00E655B4">
      <w:pPr>
        <w:spacing w:before="97"/>
        <w:ind w:left="710"/>
        <w:rPr>
          <w:sz w:val="20"/>
        </w:rPr>
      </w:pPr>
      <w:r>
        <w:rPr>
          <w:sz w:val="20"/>
          <w:vertAlign w:val="superscript"/>
        </w:rPr>
        <w:t>60</w:t>
      </w:r>
      <w:r>
        <w:rPr>
          <w:spacing w:val="-4"/>
          <w:sz w:val="20"/>
        </w:rPr>
        <w:t xml:space="preserve"> </w:t>
      </w:r>
      <w:r>
        <w:rPr>
          <w:sz w:val="20"/>
        </w:rPr>
        <w:t>Grifos</w:t>
      </w:r>
      <w:r>
        <w:rPr>
          <w:spacing w:val="-9"/>
          <w:sz w:val="20"/>
        </w:rPr>
        <w:t xml:space="preserve"> </w:t>
      </w:r>
      <w:r>
        <w:rPr>
          <w:spacing w:val="-2"/>
          <w:sz w:val="20"/>
        </w:rPr>
        <w:t>nossos.</w:t>
      </w:r>
    </w:p>
    <w:p w:rsidR="007259F2" w:rsidRDefault="00E655B4">
      <w:pPr>
        <w:ind w:left="710"/>
        <w:rPr>
          <w:sz w:val="20"/>
        </w:rPr>
      </w:pPr>
      <w:r>
        <w:rPr>
          <w:sz w:val="20"/>
          <w:vertAlign w:val="superscript"/>
        </w:rPr>
        <w:t>61</w:t>
      </w:r>
      <w:r>
        <w:rPr>
          <w:spacing w:val="-5"/>
          <w:sz w:val="20"/>
        </w:rPr>
        <w:t xml:space="preserve"> </w:t>
      </w:r>
      <w:r>
        <w:rPr>
          <w:sz w:val="20"/>
        </w:rPr>
        <w:t>PARANÁ.</w:t>
      </w:r>
      <w:r>
        <w:rPr>
          <w:spacing w:val="-4"/>
          <w:sz w:val="20"/>
        </w:rPr>
        <w:t xml:space="preserve"> </w:t>
      </w:r>
      <w:r>
        <w:rPr>
          <w:sz w:val="20"/>
        </w:rPr>
        <w:t>art.</w:t>
      </w:r>
      <w:r>
        <w:rPr>
          <w:spacing w:val="-8"/>
          <w:sz w:val="20"/>
        </w:rPr>
        <w:t xml:space="preserve"> </w:t>
      </w:r>
      <w:r>
        <w:rPr>
          <w:sz w:val="20"/>
        </w:rPr>
        <w:t>5º,</w:t>
      </w:r>
      <w:r>
        <w:rPr>
          <w:spacing w:val="-5"/>
          <w:sz w:val="20"/>
        </w:rPr>
        <w:t xml:space="preserve"> </w:t>
      </w:r>
      <w:r>
        <w:rPr>
          <w:sz w:val="20"/>
        </w:rPr>
        <w:t>I,</w:t>
      </w:r>
      <w:r>
        <w:rPr>
          <w:spacing w:val="-10"/>
          <w:sz w:val="20"/>
        </w:rPr>
        <w:t xml:space="preserve"> </w:t>
      </w:r>
      <w:r>
        <w:rPr>
          <w:sz w:val="20"/>
        </w:rPr>
        <w:t>da</w:t>
      </w:r>
      <w:r>
        <w:rPr>
          <w:spacing w:val="-11"/>
          <w:sz w:val="20"/>
        </w:rPr>
        <w:t xml:space="preserve"> </w:t>
      </w:r>
      <w:r>
        <w:rPr>
          <w:b/>
          <w:sz w:val="20"/>
        </w:rPr>
        <w:t>Lei</w:t>
      </w:r>
      <w:r>
        <w:rPr>
          <w:b/>
          <w:spacing w:val="-6"/>
          <w:sz w:val="20"/>
        </w:rPr>
        <w:t xml:space="preserve"> </w:t>
      </w:r>
      <w:r>
        <w:rPr>
          <w:b/>
          <w:sz w:val="20"/>
        </w:rPr>
        <w:t>Complementar</w:t>
      </w:r>
      <w:r>
        <w:rPr>
          <w:b/>
          <w:spacing w:val="-8"/>
          <w:sz w:val="20"/>
        </w:rPr>
        <w:t xml:space="preserve"> </w:t>
      </w:r>
      <w:r>
        <w:rPr>
          <w:b/>
          <w:sz w:val="20"/>
        </w:rPr>
        <w:t>nº</w:t>
      </w:r>
      <w:r>
        <w:rPr>
          <w:b/>
          <w:spacing w:val="-12"/>
          <w:sz w:val="20"/>
        </w:rPr>
        <w:t xml:space="preserve"> </w:t>
      </w:r>
      <w:r>
        <w:rPr>
          <w:b/>
          <w:spacing w:val="-2"/>
          <w:sz w:val="20"/>
        </w:rPr>
        <w:t>176/14</w:t>
      </w:r>
      <w:r>
        <w:rPr>
          <w:spacing w:val="-2"/>
          <w:sz w:val="20"/>
        </w:rPr>
        <w:t>.</w:t>
      </w:r>
    </w:p>
    <w:p w:rsidR="007259F2" w:rsidRDefault="00E655B4">
      <w:pPr>
        <w:ind w:left="710"/>
        <w:rPr>
          <w:sz w:val="20"/>
        </w:rPr>
      </w:pPr>
      <w:r>
        <w:rPr>
          <w:sz w:val="20"/>
          <w:vertAlign w:val="superscript"/>
        </w:rPr>
        <w:t>62</w:t>
      </w:r>
      <w:r>
        <w:rPr>
          <w:spacing w:val="-7"/>
          <w:sz w:val="20"/>
        </w:rPr>
        <w:t xml:space="preserve"> </w:t>
      </w:r>
      <w:r>
        <w:rPr>
          <w:sz w:val="20"/>
        </w:rPr>
        <w:t>DISTRITO</w:t>
      </w:r>
      <w:r>
        <w:rPr>
          <w:spacing w:val="-13"/>
          <w:sz w:val="20"/>
        </w:rPr>
        <w:t xml:space="preserve"> </w:t>
      </w:r>
      <w:r>
        <w:rPr>
          <w:sz w:val="20"/>
        </w:rPr>
        <w:t>FEDERAL,</w:t>
      </w:r>
      <w:r>
        <w:rPr>
          <w:spacing w:val="-7"/>
          <w:sz w:val="20"/>
        </w:rPr>
        <w:t xml:space="preserve"> </w:t>
      </w:r>
      <w:r>
        <w:rPr>
          <w:spacing w:val="-2"/>
          <w:sz w:val="20"/>
        </w:rPr>
        <w:t>2017.</w:t>
      </w:r>
    </w:p>
    <w:p w:rsidR="007259F2" w:rsidRDefault="00E655B4">
      <w:pPr>
        <w:spacing w:before="1" w:line="247" w:lineRule="auto"/>
        <w:ind w:left="710" w:right="422"/>
        <w:rPr>
          <w:rFonts w:ascii="Calibri" w:hAnsi="Calibri"/>
          <w:sz w:val="20"/>
        </w:rPr>
      </w:pPr>
      <w:r>
        <w:rPr>
          <w:sz w:val="20"/>
          <w:vertAlign w:val="superscript"/>
        </w:rPr>
        <w:t>63</w:t>
      </w:r>
      <w:r>
        <w:rPr>
          <w:spacing w:val="27"/>
          <w:sz w:val="20"/>
        </w:rPr>
        <w:t xml:space="preserve"> </w:t>
      </w:r>
      <w:r>
        <w:rPr>
          <w:sz w:val="20"/>
        </w:rPr>
        <w:t>SÃO</w:t>
      </w:r>
      <w:r>
        <w:rPr>
          <w:spacing w:val="26"/>
          <w:sz w:val="20"/>
        </w:rPr>
        <w:t xml:space="preserve"> </w:t>
      </w:r>
      <w:r>
        <w:rPr>
          <w:sz w:val="20"/>
        </w:rPr>
        <w:t>PAULO</w:t>
      </w:r>
      <w:r>
        <w:rPr>
          <w:spacing w:val="24"/>
          <w:sz w:val="20"/>
        </w:rPr>
        <w:t xml:space="preserve"> </w:t>
      </w:r>
      <w:r>
        <w:rPr>
          <w:sz w:val="20"/>
        </w:rPr>
        <w:t>(SP).</w:t>
      </w:r>
      <w:r>
        <w:rPr>
          <w:spacing w:val="25"/>
          <w:sz w:val="20"/>
        </w:rPr>
        <w:t xml:space="preserve"> </w:t>
      </w:r>
      <w:r>
        <w:rPr>
          <w:sz w:val="20"/>
        </w:rPr>
        <w:t>Procuradoria</w:t>
      </w:r>
      <w:r>
        <w:rPr>
          <w:spacing w:val="23"/>
          <w:sz w:val="20"/>
        </w:rPr>
        <w:t xml:space="preserve"> </w:t>
      </w:r>
      <w:r>
        <w:rPr>
          <w:sz w:val="20"/>
        </w:rPr>
        <w:t>da</w:t>
      </w:r>
      <w:r>
        <w:rPr>
          <w:spacing w:val="24"/>
          <w:sz w:val="20"/>
        </w:rPr>
        <w:t xml:space="preserve"> </w:t>
      </w:r>
      <w:r>
        <w:rPr>
          <w:sz w:val="20"/>
        </w:rPr>
        <w:t>Câmara</w:t>
      </w:r>
      <w:r>
        <w:rPr>
          <w:spacing w:val="24"/>
          <w:sz w:val="20"/>
        </w:rPr>
        <w:t xml:space="preserve"> </w:t>
      </w:r>
      <w:r>
        <w:rPr>
          <w:sz w:val="20"/>
        </w:rPr>
        <w:t>Municipal</w:t>
      </w:r>
      <w:r>
        <w:rPr>
          <w:spacing w:val="24"/>
          <w:sz w:val="20"/>
        </w:rPr>
        <w:t xml:space="preserve"> </w:t>
      </w:r>
      <w:r>
        <w:rPr>
          <w:sz w:val="20"/>
        </w:rPr>
        <w:t>de São</w:t>
      </w:r>
      <w:r>
        <w:rPr>
          <w:spacing w:val="22"/>
          <w:sz w:val="20"/>
        </w:rPr>
        <w:t xml:space="preserve"> </w:t>
      </w:r>
      <w:r>
        <w:rPr>
          <w:sz w:val="20"/>
        </w:rPr>
        <w:t>Paulo.</w:t>
      </w:r>
      <w:r>
        <w:rPr>
          <w:spacing w:val="26"/>
          <w:sz w:val="20"/>
        </w:rPr>
        <w:t xml:space="preserve"> </w:t>
      </w:r>
      <w:r>
        <w:rPr>
          <w:b/>
          <w:sz w:val="20"/>
        </w:rPr>
        <w:t>Manual</w:t>
      </w:r>
      <w:r>
        <w:rPr>
          <w:b/>
          <w:spacing w:val="24"/>
          <w:sz w:val="20"/>
        </w:rPr>
        <w:t xml:space="preserve"> </w:t>
      </w:r>
      <w:r>
        <w:rPr>
          <w:b/>
          <w:sz w:val="20"/>
        </w:rPr>
        <w:t>de Elaboração</w:t>
      </w:r>
      <w:r>
        <w:rPr>
          <w:b/>
          <w:spacing w:val="24"/>
          <w:sz w:val="20"/>
        </w:rPr>
        <w:t xml:space="preserve"> </w:t>
      </w:r>
      <w:r>
        <w:rPr>
          <w:b/>
          <w:sz w:val="20"/>
        </w:rPr>
        <w:t>legislativa</w:t>
      </w:r>
      <w:r>
        <w:rPr>
          <w:sz w:val="20"/>
        </w:rPr>
        <w:t>, 2021. Grifos nossos</w:t>
      </w:r>
      <w:r>
        <w:rPr>
          <w:rFonts w:ascii="Calibri" w:hAnsi="Calibri"/>
          <w:sz w:val="20"/>
        </w:rPr>
        <w:t>.</w:t>
      </w:r>
    </w:p>
    <w:p w:rsidR="007259F2" w:rsidRDefault="007259F2">
      <w:pPr>
        <w:spacing w:line="247" w:lineRule="auto"/>
        <w:rPr>
          <w:rFonts w:ascii="Calibri" w:hAnsi="Calibri"/>
          <w:sz w:val="20"/>
        </w:rPr>
        <w:sectPr w:rsidR="007259F2">
          <w:pgSz w:w="11910" w:h="16840"/>
          <w:pgMar w:top="1600" w:right="708" w:bottom="1020" w:left="992" w:header="0" w:footer="820" w:gutter="0"/>
          <w:cols w:space="720"/>
        </w:sectPr>
      </w:pPr>
    </w:p>
    <w:p w:rsidR="007259F2" w:rsidRDefault="00E655B4">
      <w:pPr>
        <w:pStyle w:val="Heading2"/>
        <w:numPr>
          <w:ilvl w:val="0"/>
          <w:numId w:val="20"/>
        </w:numPr>
        <w:tabs>
          <w:tab w:val="left" w:pos="1093"/>
        </w:tabs>
        <w:spacing w:before="60"/>
        <w:ind w:left="1093" w:hanging="359"/>
        <w:jc w:val="both"/>
      </w:pPr>
      <w:r>
        <w:lastRenderedPageBreak/>
        <w:t>Considerações</w:t>
      </w:r>
      <w:r>
        <w:rPr>
          <w:spacing w:val="-3"/>
        </w:rPr>
        <w:t xml:space="preserve"> </w:t>
      </w:r>
      <w:r>
        <w:rPr>
          <w:spacing w:val="-2"/>
        </w:rPr>
        <w:t>finais</w:t>
      </w:r>
    </w:p>
    <w:p w:rsidR="007259F2" w:rsidRDefault="00E655B4">
      <w:pPr>
        <w:pStyle w:val="Corpodetexto"/>
        <w:spacing w:before="115"/>
        <w:ind w:right="422"/>
      </w:pPr>
      <w:r>
        <w:t>A premissa de que a intervenção na esfera individual deve ser autorizada por lei é aclamada e repetida à exaustão por todos os operadores do Direito. E, com razão, afinal a garantia ao respeito ao princípio da segurança jurídica é um dos elementos que diferencia as sociedades civilizadas das bárbaras.</w:t>
      </w:r>
    </w:p>
    <w:p w:rsidR="007259F2" w:rsidRDefault="00E655B4">
      <w:pPr>
        <w:spacing w:line="244" w:lineRule="auto"/>
        <w:ind w:left="710" w:right="425" w:firstLine="707"/>
        <w:jc w:val="both"/>
        <w:rPr>
          <w:b/>
          <w:sz w:val="24"/>
        </w:rPr>
      </w:pPr>
      <w:r>
        <w:rPr>
          <w:sz w:val="24"/>
        </w:rPr>
        <w:t>Com</w:t>
      </w:r>
      <w:r>
        <w:rPr>
          <w:spacing w:val="-2"/>
          <w:sz w:val="24"/>
        </w:rPr>
        <w:t xml:space="preserve"> </w:t>
      </w:r>
      <w:r>
        <w:rPr>
          <w:sz w:val="24"/>
        </w:rPr>
        <w:t>efeito,</w:t>
      </w:r>
      <w:r>
        <w:rPr>
          <w:spacing w:val="-2"/>
          <w:sz w:val="24"/>
        </w:rPr>
        <w:t xml:space="preserve"> </w:t>
      </w:r>
      <w:r>
        <w:rPr>
          <w:sz w:val="24"/>
        </w:rPr>
        <w:t>a</w:t>
      </w:r>
      <w:r>
        <w:rPr>
          <w:spacing w:val="-1"/>
          <w:sz w:val="24"/>
        </w:rPr>
        <w:t xml:space="preserve"> </w:t>
      </w:r>
      <w:r>
        <w:rPr>
          <w:sz w:val="24"/>
        </w:rPr>
        <w:t>norma</w:t>
      </w:r>
      <w:r>
        <w:rPr>
          <w:spacing w:val="-4"/>
          <w:sz w:val="24"/>
        </w:rPr>
        <w:t xml:space="preserve"> </w:t>
      </w:r>
      <w:r>
        <w:rPr>
          <w:sz w:val="24"/>
        </w:rPr>
        <w:t>jurídica</w:t>
      </w:r>
      <w:r>
        <w:rPr>
          <w:spacing w:val="-4"/>
          <w:sz w:val="24"/>
        </w:rPr>
        <w:t xml:space="preserve"> </w:t>
      </w:r>
      <w:r>
        <w:rPr>
          <w:sz w:val="24"/>
        </w:rPr>
        <w:t>traduz</w:t>
      </w:r>
      <w:r>
        <w:rPr>
          <w:spacing w:val="-1"/>
          <w:sz w:val="24"/>
        </w:rPr>
        <w:t xml:space="preserve"> </w:t>
      </w:r>
      <w:r>
        <w:rPr>
          <w:sz w:val="24"/>
        </w:rPr>
        <w:t>um</w:t>
      </w:r>
      <w:r>
        <w:rPr>
          <w:spacing w:val="-1"/>
          <w:sz w:val="24"/>
        </w:rPr>
        <w:t xml:space="preserve"> </w:t>
      </w:r>
      <w:r>
        <w:rPr>
          <w:sz w:val="24"/>
        </w:rPr>
        <w:t>comando,</w:t>
      </w:r>
      <w:r>
        <w:rPr>
          <w:spacing w:val="-1"/>
          <w:sz w:val="24"/>
        </w:rPr>
        <w:t xml:space="preserve"> </w:t>
      </w:r>
      <w:r>
        <w:rPr>
          <w:sz w:val="24"/>
        </w:rPr>
        <w:t>vez</w:t>
      </w:r>
      <w:r>
        <w:rPr>
          <w:spacing w:val="-1"/>
          <w:sz w:val="24"/>
        </w:rPr>
        <w:t xml:space="preserve"> </w:t>
      </w:r>
      <w:r>
        <w:rPr>
          <w:sz w:val="24"/>
        </w:rPr>
        <w:t>que</w:t>
      </w:r>
      <w:r>
        <w:rPr>
          <w:spacing w:val="-1"/>
          <w:sz w:val="24"/>
        </w:rPr>
        <w:t xml:space="preserve"> </w:t>
      </w:r>
      <w:r>
        <w:rPr>
          <w:b/>
          <w:sz w:val="24"/>
        </w:rPr>
        <w:t>“Ninguém</w:t>
      </w:r>
      <w:r>
        <w:rPr>
          <w:b/>
          <w:spacing w:val="-6"/>
          <w:sz w:val="24"/>
        </w:rPr>
        <w:t xml:space="preserve"> </w:t>
      </w:r>
      <w:r>
        <w:rPr>
          <w:b/>
          <w:sz w:val="24"/>
        </w:rPr>
        <w:t>será</w:t>
      </w:r>
      <w:r>
        <w:rPr>
          <w:b/>
          <w:spacing w:val="-1"/>
          <w:sz w:val="24"/>
        </w:rPr>
        <w:t xml:space="preserve"> </w:t>
      </w:r>
      <w:r>
        <w:rPr>
          <w:b/>
          <w:sz w:val="24"/>
        </w:rPr>
        <w:t>obrigado</w:t>
      </w:r>
      <w:r>
        <w:rPr>
          <w:b/>
          <w:spacing w:val="-2"/>
          <w:sz w:val="24"/>
        </w:rPr>
        <w:t xml:space="preserve"> </w:t>
      </w:r>
      <w:r>
        <w:rPr>
          <w:b/>
          <w:sz w:val="24"/>
        </w:rPr>
        <w:t>a fazer ou deixar de fazer alguma coisa senão em virtude de lei”.</w:t>
      </w:r>
      <w:r>
        <w:rPr>
          <w:b/>
          <w:sz w:val="24"/>
          <w:vertAlign w:val="superscript"/>
        </w:rPr>
        <w:t>64</w:t>
      </w:r>
    </w:p>
    <w:p w:rsidR="007259F2" w:rsidRDefault="00E655B4">
      <w:pPr>
        <w:pStyle w:val="Corpodetexto"/>
        <w:ind w:right="423"/>
      </w:pPr>
      <w:r>
        <w:t>O princípio da reserva legal é delineado pelas escolhas do redator normativo.</w:t>
      </w:r>
      <w:r>
        <w:rPr>
          <w:spacing w:val="40"/>
        </w:rPr>
        <w:t xml:space="preserve"> </w:t>
      </w:r>
      <w:r>
        <w:t>Isso significa dizer que, evidentemente, a precisão, a clareza e a objetividade do texto da lei têm mais a</w:t>
      </w:r>
      <w:r>
        <w:rPr>
          <w:spacing w:val="-1"/>
        </w:rPr>
        <w:t xml:space="preserve"> </w:t>
      </w:r>
      <w:r>
        <w:t>ver com</w:t>
      </w:r>
      <w:r>
        <w:rPr>
          <w:spacing w:val="-7"/>
        </w:rPr>
        <w:t xml:space="preserve"> </w:t>
      </w:r>
      <w:r>
        <w:t>o princípio da</w:t>
      </w:r>
      <w:r>
        <w:rPr>
          <w:spacing w:val="-1"/>
        </w:rPr>
        <w:t xml:space="preserve"> </w:t>
      </w:r>
      <w:r>
        <w:t>segurança jurídica do que</w:t>
      </w:r>
      <w:r>
        <w:rPr>
          <w:spacing w:val="-6"/>
        </w:rPr>
        <w:t xml:space="preserve"> </w:t>
      </w:r>
      <w:r>
        <w:t>com</w:t>
      </w:r>
      <w:r>
        <w:rPr>
          <w:spacing w:val="-7"/>
        </w:rPr>
        <w:t xml:space="preserve"> </w:t>
      </w:r>
      <w:r>
        <w:t>a</w:t>
      </w:r>
      <w:r>
        <w:rPr>
          <w:spacing w:val="-1"/>
        </w:rPr>
        <w:t xml:space="preserve"> </w:t>
      </w:r>
      <w:r>
        <w:t>busca pela “beleza do texto”.</w:t>
      </w:r>
    </w:p>
    <w:p w:rsidR="007259F2" w:rsidRDefault="00E655B4">
      <w:pPr>
        <w:pStyle w:val="Corpodetexto"/>
        <w:ind w:right="428"/>
      </w:pPr>
      <w:r>
        <w:t>Em se tratando de Direito, o uso da perífrase FICAR + PARTICÍPIO tem uma consequência ainda maior, afinal de acordo com o Ministro Gilmar Mendes, princípios constitucionais balizam a formulação das normas.</w:t>
      </w:r>
      <w:r>
        <w:rPr>
          <w:vertAlign w:val="superscript"/>
        </w:rPr>
        <w:t>65</w:t>
      </w:r>
    </w:p>
    <w:p w:rsidR="007259F2" w:rsidRDefault="00E655B4">
      <w:pPr>
        <w:pStyle w:val="Corpodetexto"/>
        <w:ind w:right="422"/>
      </w:pPr>
      <w:r>
        <w:t xml:space="preserve">Com fulcro nos ensinamentos de Carlos Maximiliano, o Excelentíssimo Ministro assinala que, a depender do uso ou não de perífrases verbais, a lei pode ser considerada </w:t>
      </w:r>
      <w:r>
        <w:rPr>
          <w:spacing w:val="-2"/>
        </w:rPr>
        <w:t>inconstitucional:</w:t>
      </w:r>
    </w:p>
    <w:p w:rsidR="007259F2" w:rsidRDefault="00E655B4">
      <w:pPr>
        <w:ind w:left="2978" w:right="425"/>
        <w:jc w:val="both"/>
        <w:rPr>
          <w:sz w:val="20"/>
        </w:rPr>
      </w:pPr>
      <w:r>
        <w:rPr>
          <w:sz w:val="20"/>
        </w:rPr>
        <w:t>Embora considerasse nulas as autorizações legislativas incondicionais ou de caráter demissório, a doutrina dominante sempre entendeu legítimas as autorizações fundadas no enunciado da lei formal, desde que do ato legislativo contassem os “standards”, isto é, “os princípios jurídicos inerentes à espécie legislativa”. Esforçando-se por sintetizar esse entendimento, afirma Carlos Maximiliano que seriam inconstitucionais as leis cujo conteúdo cingisse ao seguinte enunciado:</w:t>
      </w:r>
    </w:p>
    <w:p w:rsidR="007259F2" w:rsidRDefault="00E655B4">
      <w:pPr>
        <w:ind w:left="2978" w:right="1621"/>
        <w:jc w:val="both"/>
        <w:rPr>
          <w:sz w:val="20"/>
        </w:rPr>
      </w:pPr>
      <w:r>
        <w:rPr>
          <w:sz w:val="20"/>
        </w:rPr>
        <w:t>“O</w:t>
      </w:r>
      <w:r>
        <w:rPr>
          <w:spacing w:val="-5"/>
          <w:sz w:val="20"/>
        </w:rPr>
        <w:t xml:space="preserve"> </w:t>
      </w:r>
      <w:r>
        <w:rPr>
          <w:sz w:val="20"/>
        </w:rPr>
        <w:t>Poder</w:t>
      </w:r>
      <w:r>
        <w:rPr>
          <w:spacing w:val="-4"/>
          <w:sz w:val="20"/>
        </w:rPr>
        <w:t xml:space="preserve"> </w:t>
      </w:r>
      <w:r>
        <w:rPr>
          <w:sz w:val="20"/>
        </w:rPr>
        <w:t>Executivo</w:t>
      </w:r>
      <w:r>
        <w:rPr>
          <w:spacing w:val="-4"/>
          <w:sz w:val="20"/>
        </w:rPr>
        <w:t xml:space="preserve"> </w:t>
      </w:r>
      <w:r>
        <w:rPr>
          <w:sz w:val="20"/>
        </w:rPr>
        <w:t>é</w:t>
      </w:r>
      <w:r>
        <w:rPr>
          <w:spacing w:val="-5"/>
          <w:sz w:val="20"/>
        </w:rPr>
        <w:t xml:space="preserve"> </w:t>
      </w:r>
      <w:r>
        <w:rPr>
          <w:sz w:val="20"/>
        </w:rPr>
        <w:t>autorizado</w:t>
      </w:r>
      <w:r>
        <w:rPr>
          <w:spacing w:val="-4"/>
          <w:sz w:val="20"/>
        </w:rPr>
        <w:t xml:space="preserve"> </w:t>
      </w:r>
      <w:r>
        <w:rPr>
          <w:sz w:val="20"/>
        </w:rPr>
        <w:t>a</w:t>
      </w:r>
      <w:r>
        <w:rPr>
          <w:spacing w:val="-5"/>
          <w:sz w:val="20"/>
        </w:rPr>
        <w:t xml:space="preserve"> </w:t>
      </w:r>
      <w:r>
        <w:rPr>
          <w:sz w:val="20"/>
        </w:rPr>
        <w:t>reorganizar</w:t>
      </w:r>
      <w:r>
        <w:rPr>
          <w:spacing w:val="-4"/>
          <w:sz w:val="20"/>
        </w:rPr>
        <w:t xml:space="preserve"> </w:t>
      </w:r>
      <w:r>
        <w:rPr>
          <w:sz w:val="20"/>
        </w:rPr>
        <w:t>o</w:t>
      </w:r>
      <w:r>
        <w:rPr>
          <w:spacing w:val="-4"/>
          <w:sz w:val="20"/>
        </w:rPr>
        <w:t xml:space="preserve"> </w:t>
      </w:r>
      <w:r>
        <w:rPr>
          <w:sz w:val="20"/>
        </w:rPr>
        <w:t>Tribunal</w:t>
      </w:r>
      <w:r>
        <w:rPr>
          <w:spacing w:val="-5"/>
          <w:sz w:val="20"/>
        </w:rPr>
        <w:t xml:space="preserve"> </w:t>
      </w:r>
      <w:r>
        <w:rPr>
          <w:sz w:val="20"/>
        </w:rPr>
        <w:t>de</w:t>
      </w:r>
      <w:r>
        <w:rPr>
          <w:spacing w:val="-5"/>
          <w:sz w:val="20"/>
        </w:rPr>
        <w:t xml:space="preserve"> </w:t>
      </w:r>
      <w:r>
        <w:rPr>
          <w:sz w:val="20"/>
        </w:rPr>
        <w:t>Contas”. Aceitam-se, porém, como legítimas as fórmulas que enunciem, v.g.:</w:t>
      </w:r>
    </w:p>
    <w:p w:rsidR="007259F2" w:rsidRDefault="00E655B4">
      <w:pPr>
        <w:ind w:left="2978" w:right="428"/>
        <w:jc w:val="both"/>
        <w:rPr>
          <w:sz w:val="20"/>
        </w:rPr>
      </w:pPr>
      <w:r>
        <w:rPr>
          <w:sz w:val="20"/>
        </w:rPr>
        <w:t>“Fica o Poder Executivo autorizado a reorganizar o Ensino Superior, sobre as seguintes bases: 1) só obtém a matrícula os bacharéis em letras diplomados por ginásios oficiais; 2) (...)</w:t>
      </w:r>
    </w:p>
    <w:p w:rsidR="007259F2" w:rsidRDefault="00E655B4">
      <w:pPr>
        <w:ind w:left="2978" w:right="421"/>
        <w:jc w:val="both"/>
        <w:rPr>
          <w:sz w:val="20"/>
        </w:rPr>
      </w:pPr>
      <w:r>
        <w:rPr>
          <w:sz w:val="20"/>
        </w:rPr>
        <w:t>Na elaboração da lei devem ser evitadas as autorizações legislativas puras ou incondicionadas, de nítido e inconfundível caráter renunciativo. Elas representam inequívoca deserção da obrigação de deliberar politicamente e podem caracterizar afronta ao princípio da reserva legal. Assim, os órgãos incumbidos de elaborar projetos de lei, bem como aqueles competentes para exercer o controle de juridicidade dessas disposições, devem verificar se as proposições formuladas contêm os elementos essenciais que permitam identificar não só a sua finalidade,</w:t>
      </w:r>
      <w:r>
        <w:rPr>
          <w:spacing w:val="40"/>
          <w:sz w:val="20"/>
        </w:rPr>
        <w:t xml:space="preserve"> </w:t>
      </w:r>
      <w:r>
        <w:rPr>
          <w:sz w:val="20"/>
        </w:rPr>
        <w:t>mas também o próprio conteúdo da decisão para o caso concreto.</w:t>
      </w:r>
      <w:r>
        <w:rPr>
          <w:sz w:val="20"/>
          <w:vertAlign w:val="superscript"/>
        </w:rPr>
        <w:t>66</w:t>
      </w:r>
    </w:p>
    <w:p w:rsidR="007259F2" w:rsidRDefault="00E655B4">
      <w:pPr>
        <w:pStyle w:val="Corpodetexto"/>
        <w:spacing w:before="219"/>
        <w:ind w:right="424"/>
      </w:pPr>
      <w:r>
        <w:t>Segundo a potente observação do ilustre professor Fiorin, “a atividade Lingüística é uma atividade simbólica, o que significa que as palavras criam conceitos e esses conceitos ordenam a realidade, categorizam o mundo”.</w:t>
      </w:r>
      <w:r>
        <w:rPr>
          <w:vertAlign w:val="superscript"/>
        </w:rPr>
        <w:t>67</w:t>
      </w:r>
    </w:p>
    <w:p w:rsidR="007259F2" w:rsidRDefault="00E655B4">
      <w:pPr>
        <w:pStyle w:val="Corpodetexto"/>
        <w:spacing w:before="1"/>
        <w:ind w:right="422"/>
      </w:pPr>
      <w:r>
        <w:t xml:space="preserve">Assim, como dito alhures, semanticamente, ao eleger perífrase verbal FICAR + PARTICÍPIO, o redator indica que o sentido do verbo </w:t>
      </w:r>
      <w:r>
        <w:rPr>
          <w:i/>
        </w:rPr>
        <w:t xml:space="preserve">ficar </w:t>
      </w:r>
      <w:r>
        <w:t>é o de passar de uma condição à outra. Este não é um comando simples, afinal, a partir do momento em que a lei é publicada, ela</w:t>
      </w:r>
      <w:r>
        <w:rPr>
          <w:spacing w:val="-13"/>
        </w:rPr>
        <w:t xml:space="preserve"> </w:t>
      </w:r>
      <w:r>
        <w:rPr>
          <w:u w:val="single"/>
        </w:rPr>
        <w:t>torna-se</w:t>
      </w:r>
      <w:r>
        <w:rPr>
          <w:spacing w:val="-13"/>
        </w:rPr>
        <w:t xml:space="preserve"> </w:t>
      </w:r>
      <w:r>
        <w:t>urgente,</w:t>
      </w:r>
      <w:r>
        <w:rPr>
          <w:spacing w:val="-12"/>
        </w:rPr>
        <w:t xml:space="preserve"> </w:t>
      </w:r>
      <w:r>
        <w:t>e</w:t>
      </w:r>
      <w:r>
        <w:rPr>
          <w:spacing w:val="-10"/>
        </w:rPr>
        <w:t xml:space="preserve"> </w:t>
      </w:r>
      <w:r>
        <w:t>alguém</w:t>
      </w:r>
      <w:r>
        <w:rPr>
          <w:spacing w:val="-12"/>
        </w:rPr>
        <w:t xml:space="preserve"> </w:t>
      </w:r>
      <w:r>
        <w:rPr>
          <w:u w:val="single"/>
        </w:rPr>
        <w:t>se</w:t>
      </w:r>
      <w:r>
        <w:rPr>
          <w:spacing w:val="-13"/>
          <w:u w:val="single"/>
        </w:rPr>
        <w:t xml:space="preserve"> </w:t>
      </w:r>
      <w:r>
        <w:rPr>
          <w:u w:val="single"/>
        </w:rPr>
        <w:t>torna</w:t>
      </w:r>
      <w:r>
        <w:rPr>
          <w:spacing w:val="-13"/>
        </w:rPr>
        <w:t xml:space="preserve"> </w:t>
      </w:r>
      <w:r>
        <w:t>obrigado</w:t>
      </w:r>
      <w:r>
        <w:rPr>
          <w:spacing w:val="-7"/>
        </w:rPr>
        <w:t xml:space="preserve"> </w:t>
      </w:r>
      <w:r>
        <w:t>a</w:t>
      </w:r>
      <w:r>
        <w:rPr>
          <w:spacing w:val="-13"/>
        </w:rPr>
        <w:t xml:space="preserve"> </w:t>
      </w:r>
      <w:r>
        <w:t>fazer</w:t>
      </w:r>
      <w:r>
        <w:rPr>
          <w:spacing w:val="-12"/>
        </w:rPr>
        <w:t xml:space="preserve"> </w:t>
      </w:r>
      <w:r>
        <w:t>ou</w:t>
      </w:r>
      <w:r>
        <w:rPr>
          <w:spacing w:val="-12"/>
        </w:rPr>
        <w:t xml:space="preserve"> </w:t>
      </w:r>
      <w:r>
        <w:t>deixar</w:t>
      </w:r>
      <w:r>
        <w:rPr>
          <w:spacing w:val="-12"/>
        </w:rPr>
        <w:t xml:space="preserve"> </w:t>
      </w:r>
      <w:r>
        <w:t>de</w:t>
      </w:r>
      <w:r>
        <w:rPr>
          <w:spacing w:val="-11"/>
        </w:rPr>
        <w:t xml:space="preserve"> </w:t>
      </w:r>
      <w:r>
        <w:t>fazer</w:t>
      </w:r>
      <w:r>
        <w:rPr>
          <w:spacing w:val="-12"/>
        </w:rPr>
        <w:t xml:space="preserve"> </w:t>
      </w:r>
      <w:r>
        <w:t>algo. Essa é a síntese do princípio da legalidade.</w:t>
      </w:r>
    </w:p>
    <w:p w:rsidR="007259F2" w:rsidRDefault="00E655B4">
      <w:pPr>
        <w:pStyle w:val="Corpodetexto"/>
        <w:ind w:right="422"/>
      </w:pPr>
      <w:r>
        <w:t>Em outras palavras, neste caso, reafirma-se, o uso da perífrase verbal FICAR + PARTICÍPIO não é apenas “tecnicamente mais correto, pois oferece indicação imediata daquilo que o artigo contém”.</w:t>
      </w:r>
      <w:r>
        <w:rPr>
          <w:position w:val="9"/>
          <w:sz w:val="13"/>
        </w:rPr>
        <w:t>68</w:t>
      </w:r>
      <w:r>
        <w:rPr>
          <w:spacing w:val="40"/>
          <w:position w:val="9"/>
          <w:sz w:val="13"/>
        </w:rPr>
        <w:t xml:space="preserve"> </w:t>
      </w:r>
      <w:r>
        <w:t>A utilização da referida perífrase é, na verdade, respeito à segurança jurídica.</w:t>
      </w:r>
    </w:p>
    <w:p w:rsidR="007259F2" w:rsidRDefault="00DE6B1C">
      <w:pPr>
        <w:pStyle w:val="Corpodetexto"/>
        <w:spacing w:before="42"/>
        <w:ind w:left="0" w:firstLine="0"/>
        <w:jc w:val="left"/>
        <w:rPr>
          <w:sz w:val="20"/>
        </w:rPr>
      </w:pPr>
      <w:r w:rsidRPr="00DE6B1C">
        <w:rPr>
          <w:sz w:val="20"/>
        </w:rPr>
        <w:pict>
          <v:rect id="docshape178" o:spid="_x0000_s1051" style="position:absolute;margin-left:85.1pt;margin-top:14.85pt;width:2in;height:.7pt;z-index:-15648768;mso-wrap-distance-left:0;mso-wrap-distance-right:0;mso-position-horizontal-relative:page" fillcolor="black" stroked="f">
            <w10:wrap type="topAndBottom" anchorx="page"/>
          </v:rect>
        </w:pict>
      </w:r>
    </w:p>
    <w:p w:rsidR="007259F2" w:rsidRDefault="00E655B4">
      <w:pPr>
        <w:spacing w:before="97"/>
        <w:ind w:left="710"/>
        <w:rPr>
          <w:b/>
          <w:sz w:val="20"/>
        </w:rPr>
      </w:pPr>
      <w:r>
        <w:rPr>
          <w:sz w:val="20"/>
          <w:vertAlign w:val="superscript"/>
        </w:rPr>
        <w:t>64</w:t>
      </w:r>
      <w:r>
        <w:rPr>
          <w:spacing w:val="-10"/>
          <w:sz w:val="20"/>
        </w:rPr>
        <w:t xml:space="preserve"> </w:t>
      </w:r>
      <w:r>
        <w:rPr>
          <w:sz w:val="20"/>
        </w:rPr>
        <w:t>BRASIL.</w:t>
      </w:r>
      <w:r>
        <w:rPr>
          <w:spacing w:val="-4"/>
          <w:sz w:val="20"/>
        </w:rPr>
        <w:t xml:space="preserve"> </w:t>
      </w:r>
      <w:r>
        <w:rPr>
          <w:sz w:val="20"/>
        </w:rPr>
        <w:t>Art.</w:t>
      </w:r>
      <w:r>
        <w:rPr>
          <w:spacing w:val="-7"/>
          <w:sz w:val="20"/>
        </w:rPr>
        <w:t xml:space="preserve"> </w:t>
      </w:r>
      <w:r>
        <w:rPr>
          <w:sz w:val="20"/>
        </w:rPr>
        <w:t>5º,</w:t>
      </w:r>
      <w:r>
        <w:rPr>
          <w:spacing w:val="-10"/>
          <w:sz w:val="20"/>
        </w:rPr>
        <w:t xml:space="preserve"> </w:t>
      </w:r>
      <w:r>
        <w:rPr>
          <w:sz w:val="20"/>
        </w:rPr>
        <w:t>II,</w:t>
      </w:r>
      <w:r>
        <w:rPr>
          <w:spacing w:val="-7"/>
          <w:sz w:val="20"/>
        </w:rPr>
        <w:t xml:space="preserve"> </w:t>
      </w:r>
      <w:r>
        <w:rPr>
          <w:sz w:val="20"/>
        </w:rPr>
        <w:t>da</w:t>
      </w:r>
      <w:r>
        <w:rPr>
          <w:spacing w:val="-11"/>
          <w:sz w:val="20"/>
        </w:rPr>
        <w:t xml:space="preserve"> </w:t>
      </w:r>
      <w:r>
        <w:rPr>
          <w:b/>
          <w:sz w:val="20"/>
        </w:rPr>
        <w:t>Constituição</w:t>
      </w:r>
      <w:r>
        <w:rPr>
          <w:b/>
          <w:spacing w:val="-11"/>
          <w:sz w:val="20"/>
        </w:rPr>
        <w:t xml:space="preserve"> </w:t>
      </w:r>
      <w:r>
        <w:rPr>
          <w:b/>
          <w:sz w:val="20"/>
        </w:rPr>
        <w:t>Federal</w:t>
      </w:r>
      <w:r>
        <w:rPr>
          <w:b/>
          <w:spacing w:val="-11"/>
          <w:sz w:val="20"/>
        </w:rPr>
        <w:t xml:space="preserve"> </w:t>
      </w:r>
      <w:r>
        <w:rPr>
          <w:b/>
          <w:sz w:val="20"/>
        </w:rPr>
        <w:t>de</w:t>
      </w:r>
      <w:r>
        <w:rPr>
          <w:b/>
          <w:spacing w:val="-12"/>
          <w:sz w:val="20"/>
        </w:rPr>
        <w:t xml:space="preserve"> </w:t>
      </w:r>
      <w:r>
        <w:rPr>
          <w:b/>
          <w:spacing w:val="-4"/>
          <w:sz w:val="20"/>
        </w:rPr>
        <w:t>1988</w:t>
      </w:r>
    </w:p>
    <w:p w:rsidR="007259F2" w:rsidRDefault="00E655B4">
      <w:pPr>
        <w:ind w:left="710"/>
        <w:rPr>
          <w:sz w:val="20"/>
        </w:rPr>
      </w:pPr>
      <w:r>
        <w:rPr>
          <w:sz w:val="20"/>
          <w:vertAlign w:val="superscript"/>
        </w:rPr>
        <w:t>65</w:t>
      </w:r>
      <w:r>
        <w:rPr>
          <w:spacing w:val="-5"/>
          <w:sz w:val="20"/>
        </w:rPr>
        <w:t xml:space="preserve"> </w:t>
      </w:r>
      <w:r>
        <w:rPr>
          <w:sz w:val="20"/>
        </w:rPr>
        <w:t>MENDES,</w:t>
      </w:r>
      <w:r>
        <w:rPr>
          <w:spacing w:val="-9"/>
          <w:sz w:val="20"/>
        </w:rPr>
        <w:t xml:space="preserve"> </w:t>
      </w:r>
      <w:r>
        <w:rPr>
          <w:spacing w:val="-4"/>
          <w:sz w:val="20"/>
        </w:rPr>
        <w:t>2007</w:t>
      </w:r>
    </w:p>
    <w:p w:rsidR="007259F2" w:rsidRDefault="00E655B4">
      <w:pPr>
        <w:ind w:left="710"/>
        <w:rPr>
          <w:sz w:val="20"/>
        </w:rPr>
      </w:pPr>
      <w:r>
        <w:rPr>
          <w:sz w:val="20"/>
          <w:vertAlign w:val="superscript"/>
        </w:rPr>
        <w:t>66</w:t>
      </w:r>
      <w:r>
        <w:rPr>
          <w:spacing w:val="-2"/>
          <w:sz w:val="20"/>
        </w:rPr>
        <w:t xml:space="preserve"> </w:t>
      </w:r>
      <w:r>
        <w:rPr>
          <w:i/>
          <w:spacing w:val="-2"/>
          <w:sz w:val="20"/>
        </w:rPr>
        <w:t>Idem</w:t>
      </w:r>
      <w:r>
        <w:rPr>
          <w:spacing w:val="-2"/>
          <w:sz w:val="20"/>
        </w:rPr>
        <w:t>.</w:t>
      </w:r>
    </w:p>
    <w:p w:rsidR="007259F2" w:rsidRDefault="00E655B4">
      <w:pPr>
        <w:spacing w:before="1"/>
        <w:ind w:left="710"/>
        <w:rPr>
          <w:sz w:val="20"/>
        </w:rPr>
      </w:pPr>
      <w:r>
        <w:rPr>
          <w:sz w:val="20"/>
          <w:vertAlign w:val="superscript"/>
        </w:rPr>
        <w:t>67</w:t>
      </w:r>
      <w:r>
        <w:rPr>
          <w:spacing w:val="-3"/>
          <w:sz w:val="20"/>
        </w:rPr>
        <w:t xml:space="preserve"> </w:t>
      </w:r>
      <w:r>
        <w:rPr>
          <w:sz w:val="20"/>
        </w:rPr>
        <w:t>FIORIN,</w:t>
      </w:r>
      <w:r>
        <w:rPr>
          <w:spacing w:val="-2"/>
          <w:sz w:val="20"/>
        </w:rPr>
        <w:t xml:space="preserve"> </w:t>
      </w:r>
      <w:r>
        <w:rPr>
          <w:sz w:val="20"/>
        </w:rPr>
        <w:t>2007,</w:t>
      </w:r>
      <w:r>
        <w:rPr>
          <w:spacing w:val="-6"/>
          <w:sz w:val="20"/>
        </w:rPr>
        <w:t xml:space="preserve"> </w:t>
      </w:r>
      <w:r>
        <w:rPr>
          <w:sz w:val="20"/>
        </w:rPr>
        <w:t>p.</w:t>
      </w:r>
      <w:r>
        <w:rPr>
          <w:spacing w:val="-7"/>
          <w:sz w:val="20"/>
        </w:rPr>
        <w:t xml:space="preserve"> </w:t>
      </w:r>
      <w:r>
        <w:rPr>
          <w:spacing w:val="-5"/>
          <w:sz w:val="20"/>
        </w:rPr>
        <w:t>69.</w:t>
      </w:r>
    </w:p>
    <w:p w:rsidR="007259F2" w:rsidRDefault="00E655B4">
      <w:pPr>
        <w:ind w:left="710"/>
        <w:rPr>
          <w:sz w:val="20"/>
        </w:rPr>
      </w:pPr>
      <w:r>
        <w:rPr>
          <w:sz w:val="20"/>
          <w:vertAlign w:val="superscript"/>
        </w:rPr>
        <w:t>68</w:t>
      </w:r>
      <w:r>
        <w:rPr>
          <w:spacing w:val="-7"/>
          <w:sz w:val="20"/>
        </w:rPr>
        <w:t xml:space="preserve"> </w:t>
      </w:r>
      <w:r>
        <w:rPr>
          <w:sz w:val="20"/>
        </w:rPr>
        <w:t>CARVALHO,</w:t>
      </w:r>
      <w:r>
        <w:rPr>
          <w:spacing w:val="-6"/>
          <w:sz w:val="20"/>
        </w:rPr>
        <w:t xml:space="preserve"> </w:t>
      </w:r>
      <w:r>
        <w:rPr>
          <w:spacing w:val="-2"/>
          <w:sz w:val="20"/>
        </w:rPr>
        <w:t>2014.</w:t>
      </w:r>
    </w:p>
    <w:p w:rsidR="007259F2" w:rsidRDefault="007259F2">
      <w:pPr>
        <w:rPr>
          <w:sz w:val="20"/>
        </w:rPr>
        <w:sectPr w:rsidR="007259F2">
          <w:pgSz w:w="11910" w:h="16840"/>
          <w:pgMar w:top="1620" w:right="708" w:bottom="1020" w:left="992" w:header="0" w:footer="820" w:gutter="0"/>
          <w:cols w:space="720"/>
        </w:sectPr>
      </w:pPr>
    </w:p>
    <w:p w:rsidR="007259F2" w:rsidRDefault="00E655B4">
      <w:pPr>
        <w:pStyle w:val="Corpodetexto"/>
        <w:spacing w:before="75"/>
        <w:ind w:right="422"/>
      </w:pPr>
      <w:r>
        <w:lastRenderedPageBreak/>
        <w:t xml:space="preserve">Dessarte, no caso concreto, o padrão linguístico mais abundante escolhido para a elaboração do </w:t>
      </w:r>
      <w:r>
        <w:rPr>
          <w:i/>
        </w:rPr>
        <w:t xml:space="preserve">caput </w:t>
      </w:r>
      <w:r>
        <w:t>do artigo 1ª das leis municipais da cidade de São Paulo publicadas em 2022 é a perífrase verbal FICAR + PARTICÍPIO.</w:t>
      </w:r>
    </w:p>
    <w:p w:rsidR="007259F2" w:rsidRDefault="00E655B4">
      <w:pPr>
        <w:pStyle w:val="Corpodetexto"/>
        <w:ind w:right="422"/>
      </w:pPr>
      <w:r>
        <w:t>Diante de todo o exposto, pode-se concluir, portanto, que a utilização da citada perífrase indica que as predileções textuais do redator normativo da Assessoria Técnica e Legislativa da Prefeitura de São Paulo não só se coadunam com os valores semânticos presentes na expressão verbal escolhida como demonstram haver, por parte de tão valiosa Assessoria, o esperado apreço ao caro princípio da segurança jurídica.</w:t>
      </w:r>
    </w:p>
    <w:p w:rsidR="007259F2" w:rsidRDefault="00E655B4">
      <w:pPr>
        <w:pStyle w:val="Heading1"/>
        <w:spacing w:before="207"/>
      </w:pPr>
      <w:r>
        <w:rPr>
          <w:spacing w:val="-2"/>
        </w:rPr>
        <w:t>REFERÊNCIAS</w:t>
      </w:r>
    </w:p>
    <w:p w:rsidR="007259F2" w:rsidRDefault="00E655B4">
      <w:pPr>
        <w:spacing w:before="199"/>
        <w:ind w:left="710"/>
        <w:jc w:val="both"/>
        <w:rPr>
          <w:b/>
        </w:rPr>
      </w:pPr>
      <w:r>
        <w:rPr>
          <w:b/>
          <w:u w:val="single"/>
        </w:rPr>
        <w:t>Artigos,</w:t>
      </w:r>
      <w:r>
        <w:rPr>
          <w:b/>
          <w:spacing w:val="-3"/>
          <w:u w:val="single"/>
        </w:rPr>
        <w:t xml:space="preserve"> </w:t>
      </w:r>
      <w:r>
        <w:rPr>
          <w:b/>
          <w:u w:val="single"/>
        </w:rPr>
        <w:t>livros</w:t>
      </w:r>
      <w:r>
        <w:rPr>
          <w:b/>
          <w:spacing w:val="-2"/>
          <w:u w:val="single"/>
        </w:rPr>
        <w:t xml:space="preserve"> </w:t>
      </w:r>
      <w:r>
        <w:rPr>
          <w:b/>
          <w:u w:val="single"/>
        </w:rPr>
        <w:t>e</w:t>
      </w:r>
      <w:r>
        <w:rPr>
          <w:b/>
          <w:spacing w:val="-4"/>
          <w:u w:val="single"/>
        </w:rPr>
        <w:t xml:space="preserve"> </w:t>
      </w:r>
      <w:r>
        <w:rPr>
          <w:b/>
          <w:u w:val="single"/>
        </w:rPr>
        <w:t>capítulos</w:t>
      </w:r>
      <w:r>
        <w:rPr>
          <w:b/>
          <w:spacing w:val="-4"/>
          <w:u w:val="single"/>
        </w:rPr>
        <w:t xml:space="preserve"> </w:t>
      </w:r>
      <w:r>
        <w:rPr>
          <w:b/>
          <w:u w:val="single"/>
        </w:rPr>
        <w:t>de</w:t>
      </w:r>
      <w:r>
        <w:rPr>
          <w:b/>
          <w:spacing w:val="-2"/>
          <w:u w:val="single"/>
        </w:rPr>
        <w:t xml:space="preserve"> livros</w:t>
      </w:r>
    </w:p>
    <w:p w:rsidR="007259F2" w:rsidRDefault="00E655B4">
      <w:pPr>
        <w:spacing w:before="117"/>
        <w:ind w:left="710" w:right="421"/>
        <w:jc w:val="both"/>
      </w:pPr>
      <w:r>
        <w:t xml:space="preserve">ALMEIDA, Marta Tavares de. </w:t>
      </w:r>
      <w:r>
        <w:rPr>
          <w:b/>
        </w:rPr>
        <w:t>A contribuição da Legística para uma política de legislação</w:t>
      </w:r>
      <w:r>
        <w:t xml:space="preserve">: concepções, métodos e técnicas. </w:t>
      </w:r>
      <w:r>
        <w:rPr>
          <w:i/>
        </w:rPr>
        <w:t>In</w:t>
      </w:r>
      <w:r>
        <w:t>: Congresso Internacional De Legística: Qualidade Da Lei E Desenvolvimento, 2007, Belo Horizonte. Legística: qualidade da lei e desenvolvimento. Belo Horizonte: Assembléia Legislativa do Estado de Minas Gerais, 2009.</w:t>
      </w:r>
    </w:p>
    <w:p w:rsidR="007259F2" w:rsidRDefault="00E655B4">
      <w:pPr>
        <w:spacing w:before="118"/>
        <w:ind w:left="710" w:right="420"/>
        <w:jc w:val="both"/>
      </w:pPr>
      <w:r>
        <w:t xml:space="preserve">BECHARA, E. </w:t>
      </w:r>
      <w:r>
        <w:rPr>
          <w:b/>
        </w:rPr>
        <w:t>Moderna</w:t>
      </w:r>
      <w:r>
        <w:rPr>
          <w:b/>
          <w:spacing w:val="-3"/>
        </w:rPr>
        <w:t xml:space="preserve"> </w:t>
      </w:r>
      <w:r>
        <w:rPr>
          <w:b/>
        </w:rPr>
        <w:t>gramática portuguesa</w:t>
      </w:r>
      <w:r>
        <w:t>.</w:t>
      </w:r>
      <w:r>
        <w:rPr>
          <w:spacing w:val="-3"/>
        </w:rPr>
        <w:t xml:space="preserve"> </w:t>
      </w:r>
      <w:r>
        <w:t>37.</w:t>
      </w:r>
      <w:r>
        <w:rPr>
          <w:spacing w:val="-2"/>
        </w:rPr>
        <w:t xml:space="preserve"> </w:t>
      </w:r>
      <w:r>
        <w:t>ed. rev., ampl. e</w:t>
      </w:r>
      <w:r>
        <w:rPr>
          <w:spacing w:val="-2"/>
        </w:rPr>
        <w:t xml:space="preserve"> </w:t>
      </w:r>
      <w:r>
        <w:t>atual.</w:t>
      </w:r>
      <w:r>
        <w:rPr>
          <w:spacing w:val="-3"/>
        </w:rPr>
        <w:t xml:space="preserve"> </w:t>
      </w:r>
      <w:r>
        <w:t>conforme o novo Acordo Ortográfico. Rio de Janeiro: Nova Fronteira, 2009.</w:t>
      </w:r>
    </w:p>
    <w:p w:rsidR="007259F2" w:rsidRDefault="00E655B4">
      <w:pPr>
        <w:spacing w:before="121"/>
        <w:ind w:left="710" w:right="425"/>
        <w:jc w:val="both"/>
      </w:pPr>
      <w:r>
        <w:t xml:space="preserve">CARVALHO, G.K. </w:t>
      </w:r>
      <w:r>
        <w:rPr>
          <w:b/>
        </w:rPr>
        <w:t>Técnica Legislativa</w:t>
      </w:r>
      <w:r>
        <w:t>, (Legística Formal), 6ª ed. rev. atual. e ampl. Belo</w:t>
      </w:r>
      <w:r>
        <w:rPr>
          <w:spacing w:val="40"/>
        </w:rPr>
        <w:t xml:space="preserve"> </w:t>
      </w:r>
      <w:r>
        <w:t>Horizonte: Del Rey, 2014.</w:t>
      </w:r>
    </w:p>
    <w:p w:rsidR="007259F2" w:rsidRDefault="00E655B4">
      <w:pPr>
        <w:spacing w:before="120"/>
        <w:ind w:left="710" w:right="424"/>
        <w:jc w:val="both"/>
      </w:pPr>
      <w:r>
        <w:t>CASTILHO, A. Abordagem da língua como um sistema complexo: contribuições para uma nova Lingüística</w:t>
      </w:r>
      <w:r>
        <w:rPr>
          <w:spacing w:val="17"/>
        </w:rPr>
        <w:t xml:space="preserve"> </w:t>
      </w:r>
      <w:r>
        <w:t>Histórica.</w:t>
      </w:r>
      <w:r>
        <w:rPr>
          <w:spacing w:val="20"/>
        </w:rPr>
        <w:t xml:space="preserve"> </w:t>
      </w:r>
      <w:r>
        <w:rPr>
          <w:i/>
        </w:rPr>
        <w:t>In</w:t>
      </w:r>
      <w:r>
        <w:t>:</w:t>
      </w:r>
      <w:r>
        <w:rPr>
          <w:spacing w:val="16"/>
        </w:rPr>
        <w:t xml:space="preserve"> </w:t>
      </w:r>
      <w:r>
        <w:t>CASTILHO,</w:t>
      </w:r>
      <w:r>
        <w:rPr>
          <w:spacing w:val="18"/>
        </w:rPr>
        <w:t xml:space="preserve"> </w:t>
      </w:r>
      <w:r>
        <w:t>A.T.</w:t>
      </w:r>
      <w:r>
        <w:rPr>
          <w:spacing w:val="17"/>
        </w:rPr>
        <w:t xml:space="preserve"> </w:t>
      </w:r>
      <w:r>
        <w:t>de;</w:t>
      </w:r>
      <w:r>
        <w:rPr>
          <w:spacing w:val="17"/>
        </w:rPr>
        <w:t xml:space="preserve"> </w:t>
      </w:r>
      <w:r>
        <w:t>TORRES</w:t>
      </w:r>
      <w:r>
        <w:rPr>
          <w:spacing w:val="16"/>
        </w:rPr>
        <w:t xml:space="preserve"> </w:t>
      </w:r>
      <w:r>
        <w:t>DE</w:t>
      </w:r>
      <w:r>
        <w:rPr>
          <w:spacing w:val="18"/>
        </w:rPr>
        <w:t xml:space="preserve"> </w:t>
      </w:r>
      <w:r>
        <w:t>MORAIS,</w:t>
      </w:r>
      <w:r>
        <w:rPr>
          <w:spacing w:val="17"/>
        </w:rPr>
        <w:t xml:space="preserve"> </w:t>
      </w:r>
      <w:r>
        <w:t>M.</w:t>
      </w:r>
      <w:r>
        <w:rPr>
          <w:spacing w:val="19"/>
        </w:rPr>
        <w:t xml:space="preserve"> </w:t>
      </w:r>
      <w:r>
        <w:t>A.</w:t>
      </w:r>
      <w:r>
        <w:rPr>
          <w:spacing w:val="17"/>
        </w:rPr>
        <w:t xml:space="preserve"> </w:t>
      </w:r>
      <w:r>
        <w:t>C.;</w:t>
      </w:r>
      <w:r>
        <w:rPr>
          <w:spacing w:val="19"/>
        </w:rPr>
        <w:t xml:space="preserve"> </w:t>
      </w:r>
      <w:r>
        <w:t>LOPES,</w:t>
      </w:r>
      <w:r>
        <w:rPr>
          <w:spacing w:val="18"/>
        </w:rPr>
        <w:t xml:space="preserve"> </w:t>
      </w:r>
      <w:r>
        <w:rPr>
          <w:spacing w:val="-2"/>
        </w:rPr>
        <w:t>R.E.V.;</w:t>
      </w:r>
    </w:p>
    <w:p w:rsidR="007259F2" w:rsidRDefault="00E655B4">
      <w:pPr>
        <w:spacing w:before="1"/>
        <w:ind w:left="710" w:right="424"/>
      </w:pPr>
      <w:r>
        <w:t>CYRINO,</w:t>
      </w:r>
      <w:r>
        <w:rPr>
          <w:spacing w:val="40"/>
        </w:rPr>
        <w:t xml:space="preserve"> </w:t>
      </w:r>
      <w:r>
        <w:t>S.M.L.(Orgs.).</w:t>
      </w:r>
      <w:r>
        <w:rPr>
          <w:spacing w:val="40"/>
        </w:rPr>
        <w:t xml:space="preserve"> </w:t>
      </w:r>
      <w:r>
        <w:rPr>
          <w:b/>
        </w:rPr>
        <w:t>Descrição,</w:t>
      </w:r>
      <w:r>
        <w:rPr>
          <w:b/>
          <w:spacing w:val="40"/>
        </w:rPr>
        <w:t xml:space="preserve"> </w:t>
      </w:r>
      <w:r>
        <w:rPr>
          <w:b/>
        </w:rPr>
        <w:t>História</w:t>
      </w:r>
      <w:r>
        <w:rPr>
          <w:b/>
          <w:spacing w:val="40"/>
        </w:rPr>
        <w:t xml:space="preserve"> </w:t>
      </w:r>
      <w:r>
        <w:rPr>
          <w:b/>
        </w:rPr>
        <w:t>e</w:t>
      </w:r>
      <w:r>
        <w:rPr>
          <w:b/>
          <w:spacing w:val="40"/>
        </w:rPr>
        <w:t xml:space="preserve"> </w:t>
      </w:r>
      <w:r>
        <w:rPr>
          <w:b/>
        </w:rPr>
        <w:t>Aquisição</w:t>
      </w:r>
      <w:r>
        <w:rPr>
          <w:b/>
          <w:spacing w:val="40"/>
        </w:rPr>
        <w:t xml:space="preserve"> </w:t>
      </w:r>
      <w:r>
        <w:rPr>
          <w:b/>
        </w:rPr>
        <w:t>do</w:t>
      </w:r>
      <w:r>
        <w:rPr>
          <w:b/>
          <w:spacing w:val="40"/>
        </w:rPr>
        <w:t xml:space="preserve"> </w:t>
      </w:r>
      <w:r>
        <w:rPr>
          <w:b/>
        </w:rPr>
        <w:t>Português</w:t>
      </w:r>
      <w:r>
        <w:rPr>
          <w:b/>
          <w:spacing w:val="40"/>
        </w:rPr>
        <w:t xml:space="preserve"> </w:t>
      </w:r>
      <w:r>
        <w:rPr>
          <w:b/>
        </w:rPr>
        <w:t>Brasileiro</w:t>
      </w:r>
      <w:r>
        <w:t>.</w:t>
      </w:r>
      <w:r>
        <w:rPr>
          <w:spacing w:val="40"/>
        </w:rPr>
        <w:t xml:space="preserve"> </w:t>
      </w:r>
      <w:r>
        <w:t>Campinas: Pontes/Fapesp, 2007. p. 329-360.</w:t>
      </w:r>
    </w:p>
    <w:p w:rsidR="007259F2" w:rsidRDefault="00E655B4">
      <w:pPr>
        <w:spacing w:before="120" w:line="252" w:lineRule="exact"/>
        <w:ind w:left="710"/>
      </w:pPr>
      <w:r>
        <w:t>CASTILHO</w:t>
      </w:r>
      <w:r>
        <w:rPr>
          <w:spacing w:val="16"/>
        </w:rPr>
        <w:t xml:space="preserve"> </w:t>
      </w:r>
      <w:r>
        <w:t>et</w:t>
      </w:r>
      <w:r>
        <w:rPr>
          <w:spacing w:val="18"/>
        </w:rPr>
        <w:t xml:space="preserve"> </w:t>
      </w:r>
      <w:r>
        <w:t>al.</w:t>
      </w:r>
      <w:r>
        <w:rPr>
          <w:spacing w:val="18"/>
        </w:rPr>
        <w:t xml:space="preserve"> </w:t>
      </w:r>
      <w:r>
        <w:t>Analisando</w:t>
      </w:r>
      <w:r>
        <w:rPr>
          <w:spacing w:val="17"/>
        </w:rPr>
        <w:t xml:space="preserve"> </w:t>
      </w:r>
      <w:r>
        <w:t>multissistemicamente</w:t>
      </w:r>
      <w:r>
        <w:rPr>
          <w:spacing w:val="16"/>
        </w:rPr>
        <w:t xml:space="preserve"> </w:t>
      </w:r>
      <w:r>
        <w:t>o</w:t>
      </w:r>
      <w:r>
        <w:rPr>
          <w:spacing w:val="17"/>
        </w:rPr>
        <w:t xml:space="preserve"> </w:t>
      </w:r>
      <w:r>
        <w:t>verbo</w:t>
      </w:r>
      <w:r>
        <w:rPr>
          <w:spacing w:val="18"/>
        </w:rPr>
        <w:t xml:space="preserve"> </w:t>
      </w:r>
      <w:r>
        <w:t>ficar</w:t>
      </w:r>
      <w:r>
        <w:rPr>
          <w:spacing w:val="18"/>
        </w:rPr>
        <w:t xml:space="preserve"> </w:t>
      </w:r>
      <w:r>
        <w:t>na</w:t>
      </w:r>
      <w:r>
        <w:rPr>
          <w:spacing w:val="16"/>
        </w:rPr>
        <w:t xml:space="preserve"> </w:t>
      </w:r>
      <w:r>
        <w:t>história</w:t>
      </w:r>
      <w:r>
        <w:rPr>
          <w:spacing w:val="17"/>
        </w:rPr>
        <w:t xml:space="preserve"> </w:t>
      </w:r>
      <w:r>
        <w:t>do</w:t>
      </w:r>
      <w:r>
        <w:rPr>
          <w:spacing w:val="18"/>
        </w:rPr>
        <w:t xml:space="preserve"> </w:t>
      </w:r>
      <w:r>
        <w:t>português</w:t>
      </w:r>
      <w:r>
        <w:rPr>
          <w:spacing w:val="63"/>
          <w:w w:val="150"/>
        </w:rPr>
        <w:t xml:space="preserve"> </w:t>
      </w:r>
      <w:r>
        <w:rPr>
          <w:spacing w:val="-2"/>
        </w:rPr>
        <w:t>paulista.</w:t>
      </w:r>
    </w:p>
    <w:p w:rsidR="007259F2" w:rsidRDefault="00E655B4">
      <w:pPr>
        <w:spacing w:line="252" w:lineRule="exact"/>
        <w:ind w:left="710"/>
      </w:pPr>
      <w:r>
        <w:rPr>
          <w:b/>
        </w:rPr>
        <w:t>Estudos</w:t>
      </w:r>
      <w:r>
        <w:rPr>
          <w:b/>
          <w:spacing w:val="-3"/>
        </w:rPr>
        <w:t xml:space="preserve"> </w:t>
      </w:r>
      <w:r>
        <w:rPr>
          <w:b/>
        </w:rPr>
        <w:t>Linguísticos</w:t>
      </w:r>
      <w:r>
        <w:t>,</w:t>
      </w:r>
      <w:r>
        <w:rPr>
          <w:spacing w:val="-3"/>
        </w:rPr>
        <w:t xml:space="preserve"> </w:t>
      </w:r>
      <w:r>
        <w:t>São</w:t>
      </w:r>
      <w:r>
        <w:rPr>
          <w:spacing w:val="-5"/>
        </w:rPr>
        <w:t xml:space="preserve"> </w:t>
      </w:r>
      <w:r>
        <w:t>Paulo,</w:t>
      </w:r>
      <w:r>
        <w:rPr>
          <w:spacing w:val="-6"/>
        </w:rPr>
        <w:t xml:space="preserve"> </w:t>
      </w:r>
      <w:r>
        <w:t>41</w:t>
      </w:r>
      <w:r>
        <w:rPr>
          <w:spacing w:val="-2"/>
        </w:rPr>
        <w:t xml:space="preserve"> </w:t>
      </w:r>
      <w:r>
        <w:t>(2):</w:t>
      </w:r>
      <w:r>
        <w:rPr>
          <w:spacing w:val="-5"/>
        </w:rPr>
        <w:t xml:space="preserve"> </w:t>
      </w:r>
      <w:r>
        <w:t>p.</w:t>
      </w:r>
      <w:r>
        <w:rPr>
          <w:spacing w:val="-2"/>
        </w:rPr>
        <w:t xml:space="preserve"> </w:t>
      </w:r>
      <w:r>
        <w:t>602-615,</w:t>
      </w:r>
      <w:r>
        <w:rPr>
          <w:spacing w:val="-3"/>
        </w:rPr>
        <w:t xml:space="preserve"> </w:t>
      </w:r>
      <w:r>
        <w:t>maio-ago.</w:t>
      </w:r>
      <w:r>
        <w:rPr>
          <w:spacing w:val="-2"/>
        </w:rPr>
        <w:t xml:space="preserve"> 2012.</w:t>
      </w:r>
    </w:p>
    <w:p w:rsidR="007259F2" w:rsidRDefault="00E655B4">
      <w:pPr>
        <w:spacing w:before="119"/>
        <w:ind w:left="710" w:right="419"/>
        <w:jc w:val="both"/>
      </w:pPr>
      <w:r>
        <w:t>CHEVALIER, Jacques. L’évaluation</w:t>
      </w:r>
      <w:r>
        <w:rPr>
          <w:spacing w:val="-1"/>
        </w:rPr>
        <w:t xml:space="preserve"> </w:t>
      </w:r>
      <w:r>
        <w:t xml:space="preserve">législative: un enjeu politique. </w:t>
      </w:r>
      <w:r>
        <w:rPr>
          <w:i/>
        </w:rPr>
        <w:t>In</w:t>
      </w:r>
      <w:r>
        <w:t xml:space="preserve">: DELCAMP, Alain; BERGEL, JeanLouis; DUPAS, Alain. Contrôle parlementaire et evaluation. Paris: La Documentation française, 1995 </w:t>
      </w:r>
      <w:r>
        <w:rPr>
          <w:i/>
        </w:rPr>
        <w:t xml:space="preserve">In </w:t>
      </w:r>
      <w:r>
        <w:t xml:space="preserve">GUIMARÃES. A.S. e BRAGA, J.R.. </w:t>
      </w:r>
      <w:r>
        <w:rPr>
          <w:b/>
        </w:rPr>
        <w:t>Revista de Informação Legislativa</w:t>
      </w:r>
      <w:r>
        <w:t>, Brasília a. 48 n. 191 jul./set. 2015.</w:t>
      </w:r>
    </w:p>
    <w:p w:rsidR="007259F2" w:rsidRDefault="00E655B4">
      <w:pPr>
        <w:spacing w:before="121"/>
        <w:ind w:left="710" w:right="424"/>
        <w:jc w:val="both"/>
      </w:pPr>
      <w:r>
        <w:t xml:space="preserve">CRISTAS, Assunção. </w:t>
      </w:r>
      <w:r>
        <w:rPr>
          <w:b/>
        </w:rPr>
        <w:t>Processo Legislativo</w:t>
      </w:r>
      <w:r>
        <w:t>: Legística ou a arte de bem fazer leis. Revista CEJ, Brasília, n. 33, p. 78-82, abr./jun. 2006</w:t>
      </w:r>
    </w:p>
    <w:p w:rsidR="007259F2" w:rsidRDefault="00E655B4">
      <w:pPr>
        <w:spacing w:before="121"/>
        <w:ind w:left="710" w:right="420"/>
        <w:jc w:val="both"/>
      </w:pPr>
      <w:r>
        <w:t xml:space="preserve">DELLEY, Jean-Daniel. Pensar a lei: a elaboração legislativa. </w:t>
      </w:r>
      <w:r>
        <w:rPr>
          <w:b/>
        </w:rPr>
        <w:t>Cadernos da Escola do legislativo</w:t>
      </w:r>
      <w:r>
        <w:t>,</w:t>
      </w:r>
      <w:r>
        <w:rPr>
          <w:spacing w:val="40"/>
        </w:rPr>
        <w:t xml:space="preserve"> </w:t>
      </w:r>
      <w:r>
        <w:t>Belo Horizonte, v.7, n.12, p. 101-144, jan./jun. 2004.</w:t>
      </w:r>
    </w:p>
    <w:p w:rsidR="007259F2" w:rsidRDefault="00E655B4">
      <w:pPr>
        <w:spacing w:before="121"/>
        <w:ind w:left="710"/>
        <w:jc w:val="both"/>
      </w:pPr>
      <w:r>
        <w:t>FIORIN,</w:t>
      </w:r>
      <w:r>
        <w:rPr>
          <w:spacing w:val="-6"/>
        </w:rPr>
        <w:t xml:space="preserve"> </w:t>
      </w:r>
      <w:r>
        <w:t>J.L</w:t>
      </w:r>
      <w:r>
        <w:rPr>
          <w:spacing w:val="-7"/>
        </w:rPr>
        <w:t xml:space="preserve"> </w:t>
      </w:r>
      <w:r>
        <w:t>(org.).</w:t>
      </w:r>
      <w:r>
        <w:rPr>
          <w:spacing w:val="-3"/>
        </w:rPr>
        <w:t xml:space="preserve"> </w:t>
      </w:r>
      <w:r>
        <w:rPr>
          <w:b/>
        </w:rPr>
        <w:t>Introdução</w:t>
      </w:r>
      <w:r>
        <w:rPr>
          <w:b/>
          <w:spacing w:val="-4"/>
        </w:rPr>
        <w:t xml:space="preserve"> </w:t>
      </w:r>
      <w:r>
        <w:rPr>
          <w:b/>
        </w:rPr>
        <w:t>à</w:t>
      </w:r>
      <w:r>
        <w:rPr>
          <w:b/>
          <w:spacing w:val="-4"/>
        </w:rPr>
        <w:t xml:space="preserve"> </w:t>
      </w:r>
      <w:r>
        <w:rPr>
          <w:b/>
        </w:rPr>
        <w:t>Linguística</w:t>
      </w:r>
      <w:r>
        <w:t>,</w:t>
      </w:r>
      <w:r>
        <w:rPr>
          <w:spacing w:val="-4"/>
        </w:rPr>
        <w:t xml:space="preserve"> </w:t>
      </w:r>
      <w:r>
        <w:t>São</w:t>
      </w:r>
      <w:r>
        <w:rPr>
          <w:spacing w:val="-4"/>
        </w:rPr>
        <w:t xml:space="preserve"> </w:t>
      </w:r>
      <w:r>
        <w:t>Paulo:</w:t>
      </w:r>
      <w:r>
        <w:rPr>
          <w:spacing w:val="-3"/>
        </w:rPr>
        <w:t xml:space="preserve"> </w:t>
      </w:r>
      <w:r>
        <w:t>Contexto,</w:t>
      </w:r>
      <w:r>
        <w:rPr>
          <w:spacing w:val="-6"/>
        </w:rPr>
        <w:t xml:space="preserve"> </w:t>
      </w:r>
      <w:r>
        <w:rPr>
          <w:spacing w:val="-2"/>
        </w:rPr>
        <w:t>2007.</w:t>
      </w:r>
    </w:p>
    <w:p w:rsidR="007259F2" w:rsidRDefault="00E655B4">
      <w:pPr>
        <w:spacing w:before="119"/>
        <w:ind w:left="710" w:right="424"/>
        <w:jc w:val="both"/>
      </w:pPr>
      <w:r>
        <w:t xml:space="preserve">GUIMARÃES. A.S. e BRAGA, J.R. Legística: inventário semântico e teste de estresse do conceito </w:t>
      </w:r>
      <w:r>
        <w:rPr>
          <w:b/>
        </w:rPr>
        <w:t>Revista de Informação Legislativa</w:t>
      </w:r>
      <w:r>
        <w:t>, Brasília a. 48 n. 191 jul./set. 2011. Disponível em https://www2.senado.leg.br/bdsf/handle/id/242910. Acesso em: 10 dez. 2023.</w:t>
      </w:r>
    </w:p>
    <w:p w:rsidR="007259F2" w:rsidRDefault="00E655B4">
      <w:pPr>
        <w:spacing w:before="119"/>
        <w:ind w:left="710" w:right="420"/>
        <w:jc w:val="both"/>
      </w:pPr>
      <w:r>
        <w:t xml:space="preserve">HENRIQUES, Antonio; ANDRADE, M. Margarida. </w:t>
      </w:r>
      <w:r>
        <w:rPr>
          <w:b/>
        </w:rPr>
        <w:t>Dicionário de verbos jurídicos</w:t>
      </w:r>
      <w:r>
        <w:t>. São Paulo: Atlas, 1996.</w:t>
      </w:r>
    </w:p>
    <w:p w:rsidR="007259F2" w:rsidRDefault="00E655B4">
      <w:pPr>
        <w:spacing w:before="121"/>
        <w:ind w:left="710" w:right="423"/>
        <w:jc w:val="both"/>
      </w:pPr>
      <w:r>
        <w:t xml:space="preserve">HENRIQUES, Antonio. </w:t>
      </w:r>
      <w:r>
        <w:rPr>
          <w:b/>
        </w:rPr>
        <w:t>Prática da linguagem jurídica</w:t>
      </w:r>
      <w:r>
        <w:t>: solução de dificuldades. Expressões latinas. São Paulo: Atlas, 1998.</w:t>
      </w:r>
    </w:p>
    <w:p w:rsidR="007259F2" w:rsidRDefault="00E655B4">
      <w:pPr>
        <w:spacing w:before="120"/>
        <w:ind w:left="710" w:right="421"/>
        <w:jc w:val="both"/>
      </w:pPr>
      <w:r>
        <w:t xml:space="preserve">HOUAISS, A. e VILLAR, M. de S. </w:t>
      </w:r>
      <w:r>
        <w:rPr>
          <w:b/>
        </w:rPr>
        <w:t>Dicionário Houaiss da Língua Portuguesa</w:t>
      </w:r>
      <w:r>
        <w:t xml:space="preserve">. Elaborado no Instituto Antonio Houaiss de Lexicografia e Banco de Dados da Portuguesa. Rio de Janeiro: Objetiva, </w:t>
      </w:r>
      <w:r>
        <w:rPr>
          <w:spacing w:val="-2"/>
        </w:rPr>
        <w:t>2009.</w:t>
      </w:r>
    </w:p>
    <w:p w:rsidR="007259F2" w:rsidRDefault="00E655B4">
      <w:pPr>
        <w:spacing w:before="120"/>
        <w:ind w:left="710" w:right="422"/>
        <w:jc w:val="both"/>
      </w:pPr>
      <w:r>
        <w:t xml:space="preserve">KASPARY, Adalberto. </w:t>
      </w:r>
      <w:r>
        <w:rPr>
          <w:b/>
        </w:rPr>
        <w:t>O Verbo na linguagem jurídica</w:t>
      </w:r>
      <w:r>
        <w:t>: acepções e regimes. Porto Alegre: Livraria do Advogado, 1996.</w:t>
      </w:r>
    </w:p>
    <w:p w:rsidR="007259F2" w:rsidRDefault="007259F2">
      <w:pPr>
        <w:jc w:val="both"/>
        <w:sectPr w:rsidR="007259F2">
          <w:pgSz w:w="11910" w:h="16840"/>
          <w:pgMar w:top="1600" w:right="708" w:bottom="1020" w:left="992" w:header="0" w:footer="820" w:gutter="0"/>
          <w:cols w:space="720"/>
        </w:sectPr>
      </w:pPr>
    </w:p>
    <w:p w:rsidR="007259F2" w:rsidRDefault="00E655B4">
      <w:pPr>
        <w:spacing w:before="77"/>
        <w:ind w:left="710" w:right="427"/>
        <w:jc w:val="both"/>
      </w:pPr>
      <w:r>
        <w:lastRenderedPageBreak/>
        <w:t xml:space="preserve">KASPARY, Adalberto. </w:t>
      </w:r>
      <w:r>
        <w:rPr>
          <w:b/>
        </w:rPr>
        <w:t>Habeas verba</w:t>
      </w:r>
      <w:r>
        <w:t xml:space="preserve">: português para juristas. Porto Alegre: Livraria do Advogado, </w:t>
      </w:r>
      <w:r>
        <w:rPr>
          <w:spacing w:val="-2"/>
        </w:rPr>
        <w:t>1998.</w:t>
      </w:r>
    </w:p>
    <w:p w:rsidR="007259F2" w:rsidRDefault="00E655B4">
      <w:pPr>
        <w:spacing w:before="121" w:line="252" w:lineRule="exact"/>
        <w:ind w:left="710"/>
        <w:jc w:val="both"/>
      </w:pPr>
      <w:r>
        <w:t>LEAL,</w:t>
      </w:r>
      <w:r>
        <w:rPr>
          <w:spacing w:val="8"/>
        </w:rPr>
        <w:t xml:space="preserve"> </w:t>
      </w:r>
      <w:r>
        <w:t>V.</w:t>
      </w:r>
      <w:r>
        <w:rPr>
          <w:spacing w:val="8"/>
        </w:rPr>
        <w:t xml:space="preserve"> </w:t>
      </w:r>
      <w:r>
        <w:t>N.</w:t>
      </w:r>
      <w:r>
        <w:rPr>
          <w:spacing w:val="8"/>
        </w:rPr>
        <w:t xml:space="preserve"> </w:t>
      </w:r>
      <w:r>
        <w:t>Problemas</w:t>
      </w:r>
      <w:r>
        <w:rPr>
          <w:spacing w:val="9"/>
        </w:rPr>
        <w:t xml:space="preserve"> </w:t>
      </w:r>
      <w:r>
        <w:t>de</w:t>
      </w:r>
      <w:r>
        <w:rPr>
          <w:spacing w:val="6"/>
        </w:rPr>
        <w:t xml:space="preserve"> </w:t>
      </w:r>
      <w:r>
        <w:t>Técnica</w:t>
      </w:r>
      <w:r>
        <w:rPr>
          <w:spacing w:val="9"/>
        </w:rPr>
        <w:t xml:space="preserve"> </w:t>
      </w:r>
      <w:r>
        <w:t>Legislativa.</w:t>
      </w:r>
      <w:r>
        <w:rPr>
          <w:spacing w:val="14"/>
        </w:rPr>
        <w:t xml:space="preserve"> </w:t>
      </w:r>
      <w:r>
        <w:rPr>
          <w:b/>
        </w:rPr>
        <w:t>Revista</w:t>
      </w:r>
      <w:r>
        <w:rPr>
          <w:b/>
          <w:spacing w:val="8"/>
        </w:rPr>
        <w:t xml:space="preserve"> </w:t>
      </w:r>
      <w:r>
        <w:rPr>
          <w:b/>
        </w:rPr>
        <w:t>de</w:t>
      </w:r>
      <w:r>
        <w:rPr>
          <w:b/>
          <w:spacing w:val="8"/>
        </w:rPr>
        <w:t xml:space="preserve"> </w:t>
      </w:r>
      <w:r>
        <w:rPr>
          <w:b/>
        </w:rPr>
        <w:t>Direito</w:t>
      </w:r>
      <w:r>
        <w:rPr>
          <w:b/>
          <w:spacing w:val="8"/>
        </w:rPr>
        <w:t xml:space="preserve"> </w:t>
      </w:r>
      <w:r>
        <w:rPr>
          <w:b/>
        </w:rPr>
        <w:t>Administrativo</w:t>
      </w:r>
      <w:r>
        <w:t>,</w:t>
      </w:r>
      <w:r>
        <w:rPr>
          <w:spacing w:val="8"/>
        </w:rPr>
        <w:t xml:space="preserve"> </w:t>
      </w:r>
      <w:r>
        <w:t>Rio</w:t>
      </w:r>
      <w:r>
        <w:rPr>
          <w:spacing w:val="8"/>
        </w:rPr>
        <w:t xml:space="preserve"> </w:t>
      </w:r>
      <w:r>
        <w:t>de</w:t>
      </w:r>
      <w:r>
        <w:rPr>
          <w:spacing w:val="7"/>
        </w:rPr>
        <w:t xml:space="preserve"> </w:t>
      </w:r>
      <w:r>
        <w:rPr>
          <w:spacing w:val="-2"/>
        </w:rPr>
        <w:t>Janeiro,</w:t>
      </w:r>
    </w:p>
    <w:p w:rsidR="007259F2" w:rsidRDefault="00E655B4">
      <w:pPr>
        <w:spacing w:line="252" w:lineRule="exact"/>
        <w:ind w:left="710"/>
        <w:jc w:val="both"/>
      </w:pPr>
      <w:r>
        <w:t>v.</w:t>
      </w:r>
      <w:r>
        <w:rPr>
          <w:spacing w:val="-2"/>
        </w:rPr>
        <w:t xml:space="preserve"> </w:t>
      </w:r>
      <w:r>
        <w:t>2,</w:t>
      </w:r>
      <w:r>
        <w:rPr>
          <w:spacing w:val="-1"/>
        </w:rPr>
        <w:t xml:space="preserve"> </w:t>
      </w:r>
      <w:r>
        <w:t>nº</w:t>
      </w:r>
      <w:r>
        <w:rPr>
          <w:spacing w:val="-1"/>
        </w:rPr>
        <w:t xml:space="preserve"> </w:t>
      </w:r>
      <w:r>
        <w:t>1,</w:t>
      </w:r>
      <w:r>
        <w:rPr>
          <w:spacing w:val="-1"/>
        </w:rPr>
        <w:t xml:space="preserve"> </w:t>
      </w:r>
      <w:r>
        <w:t>1945,</w:t>
      </w:r>
      <w:r>
        <w:rPr>
          <w:spacing w:val="-1"/>
        </w:rPr>
        <w:t xml:space="preserve"> </w:t>
      </w:r>
      <w:r>
        <w:t>p.</w:t>
      </w:r>
      <w:r>
        <w:rPr>
          <w:spacing w:val="-2"/>
        </w:rPr>
        <w:t xml:space="preserve"> </w:t>
      </w:r>
      <w:r>
        <w:t>429-446,</w:t>
      </w:r>
      <w:r>
        <w:rPr>
          <w:spacing w:val="-1"/>
        </w:rPr>
        <w:t xml:space="preserve"> </w:t>
      </w:r>
      <w:r>
        <w:t>p.</w:t>
      </w:r>
      <w:r>
        <w:rPr>
          <w:spacing w:val="-1"/>
        </w:rPr>
        <w:t xml:space="preserve"> </w:t>
      </w:r>
      <w:r>
        <w:rPr>
          <w:spacing w:val="-4"/>
        </w:rPr>
        <w:t>430.</w:t>
      </w:r>
    </w:p>
    <w:p w:rsidR="007259F2" w:rsidRDefault="00E655B4">
      <w:pPr>
        <w:spacing w:before="119"/>
        <w:ind w:left="710"/>
        <w:jc w:val="both"/>
      </w:pPr>
      <w:r>
        <w:t>LEAL,</w:t>
      </w:r>
      <w:r>
        <w:rPr>
          <w:spacing w:val="2"/>
        </w:rPr>
        <w:t xml:space="preserve"> </w:t>
      </w:r>
      <w:r>
        <w:t>V.N. Técnica</w:t>
      </w:r>
      <w:r>
        <w:rPr>
          <w:spacing w:val="1"/>
        </w:rPr>
        <w:t xml:space="preserve"> </w:t>
      </w:r>
      <w:r>
        <w:t>legislativa</w:t>
      </w:r>
      <w:r>
        <w:rPr>
          <w:spacing w:val="3"/>
        </w:rPr>
        <w:t xml:space="preserve"> </w:t>
      </w:r>
      <w:r>
        <w:t>como</w:t>
      </w:r>
      <w:r>
        <w:rPr>
          <w:spacing w:val="3"/>
        </w:rPr>
        <w:t xml:space="preserve"> </w:t>
      </w:r>
      <w:r>
        <w:t>a</w:t>
      </w:r>
      <w:r>
        <w:rPr>
          <w:spacing w:val="3"/>
        </w:rPr>
        <w:t xml:space="preserve"> </w:t>
      </w:r>
      <w:r>
        <w:t>arte</w:t>
      </w:r>
      <w:r>
        <w:rPr>
          <w:spacing w:val="3"/>
        </w:rPr>
        <w:t xml:space="preserve"> </w:t>
      </w:r>
      <w:r>
        <w:t>de</w:t>
      </w:r>
      <w:r>
        <w:rPr>
          <w:spacing w:val="3"/>
        </w:rPr>
        <w:t xml:space="preserve"> </w:t>
      </w:r>
      <w:r>
        <w:t>redigir</w:t>
      </w:r>
      <w:r>
        <w:rPr>
          <w:spacing w:val="2"/>
        </w:rPr>
        <w:t xml:space="preserve"> </w:t>
      </w:r>
      <w:r>
        <w:t>leis.</w:t>
      </w:r>
      <w:r>
        <w:rPr>
          <w:spacing w:val="9"/>
        </w:rPr>
        <w:t xml:space="preserve"> </w:t>
      </w:r>
      <w:r>
        <w:rPr>
          <w:b/>
        </w:rPr>
        <w:t>Revista</w:t>
      </w:r>
      <w:r>
        <w:rPr>
          <w:b/>
          <w:spacing w:val="3"/>
        </w:rPr>
        <w:t xml:space="preserve"> </w:t>
      </w:r>
      <w:r>
        <w:rPr>
          <w:b/>
        </w:rPr>
        <w:t>de</w:t>
      </w:r>
      <w:r>
        <w:rPr>
          <w:b/>
          <w:spacing w:val="3"/>
        </w:rPr>
        <w:t xml:space="preserve"> </w:t>
      </w:r>
      <w:r>
        <w:rPr>
          <w:b/>
        </w:rPr>
        <w:t>informação</w:t>
      </w:r>
      <w:r>
        <w:rPr>
          <w:b/>
          <w:spacing w:val="3"/>
        </w:rPr>
        <w:t xml:space="preserve"> </w:t>
      </w:r>
      <w:r>
        <w:rPr>
          <w:b/>
        </w:rPr>
        <w:t>legislativa</w:t>
      </w:r>
      <w:r>
        <w:t>,</w:t>
      </w:r>
      <w:r>
        <w:rPr>
          <w:spacing w:val="3"/>
        </w:rPr>
        <w:t xml:space="preserve"> </w:t>
      </w:r>
      <w:r>
        <w:t>v.</w:t>
      </w:r>
      <w:r>
        <w:rPr>
          <w:spacing w:val="4"/>
        </w:rPr>
        <w:t xml:space="preserve"> </w:t>
      </w:r>
      <w:r>
        <w:rPr>
          <w:spacing w:val="-5"/>
        </w:rPr>
        <w:t>23,</w:t>
      </w:r>
    </w:p>
    <w:p w:rsidR="007259F2" w:rsidRDefault="00E655B4">
      <w:pPr>
        <w:spacing w:before="1"/>
        <w:ind w:left="710" w:right="419"/>
        <w:jc w:val="both"/>
      </w:pPr>
      <w:r>
        <w:t xml:space="preserve">n. 89, p. 169-198, jan./mar. 1986 | </w:t>
      </w:r>
      <w:r>
        <w:rPr>
          <w:b/>
        </w:rPr>
        <w:t>Revista da Faculdade de Direito de Pernambuco</w:t>
      </w:r>
      <w:r>
        <w:t>, v. 1, n. 1, p.</w:t>
      </w:r>
      <w:r>
        <w:rPr>
          <w:spacing w:val="40"/>
        </w:rPr>
        <w:t xml:space="preserve"> </w:t>
      </w:r>
      <w:r>
        <w:t xml:space="preserve">47-78 1985 | </w:t>
      </w:r>
      <w:r>
        <w:rPr>
          <w:b/>
        </w:rPr>
        <w:t>Revista da Academia Brasileira de Letras Jurídicas</w:t>
      </w:r>
      <w:r>
        <w:t>, v. 1, n. 1, p. 222-255, jan. /jun. 1985. Disponível em: https://www2.senado.leg.br/bdsf/item/id/181674. Acesso em: 26 jan.2023.</w:t>
      </w:r>
    </w:p>
    <w:p w:rsidR="007259F2" w:rsidRDefault="00E655B4">
      <w:pPr>
        <w:spacing w:before="119"/>
        <w:ind w:left="710" w:right="418"/>
        <w:jc w:val="both"/>
      </w:pPr>
      <w:r>
        <w:rPr>
          <w:b/>
        </w:rPr>
        <w:t>LEGÍSTICA</w:t>
      </w:r>
      <w:r>
        <w:t>: qualidade na elaboração e eficácia na aplicação das leis: Debate Público. Belo Horizonte: Assembléia Legislativa do Estado de Minas Gerais, 2009.</w:t>
      </w:r>
    </w:p>
    <w:p w:rsidR="007259F2" w:rsidRDefault="00E655B4">
      <w:pPr>
        <w:spacing w:before="122"/>
        <w:ind w:left="710" w:right="421"/>
        <w:jc w:val="both"/>
      </w:pPr>
      <w:r>
        <w:t xml:space="preserve">MACIEL, A.M. B. </w:t>
      </w:r>
      <w:r>
        <w:rPr>
          <w:b/>
        </w:rPr>
        <w:t>Para o reconhecimento da especificidade do termo jurídico</w:t>
      </w:r>
      <w:r>
        <w:t>.2001. Tese (Doutorado em Estudos da Linguagem), Universidade Federal do Rio Grande do Sul, Porto Alegre, 2001. Disponível em https://</w:t>
      </w:r>
      <w:hyperlink r:id="rId236">
        <w:r>
          <w:t>www.leffa.pro.br/tela2/trabalhos/teses/separadas/maciel.pdf.</w:t>
        </w:r>
      </w:hyperlink>
      <w:r>
        <w:t xml:space="preserve"> Acesso em: 28 jan. 2023.</w:t>
      </w:r>
    </w:p>
    <w:p w:rsidR="007259F2" w:rsidRDefault="00E655B4">
      <w:pPr>
        <w:spacing w:before="118"/>
        <w:ind w:left="710" w:right="421"/>
        <w:jc w:val="both"/>
      </w:pPr>
      <w:r>
        <w:t xml:space="preserve">MADER, Luzius. Legística: história e objeto; fronteiras e perspectivas. </w:t>
      </w:r>
      <w:r>
        <w:rPr>
          <w:i/>
        </w:rPr>
        <w:t>In</w:t>
      </w:r>
      <w:r>
        <w:t xml:space="preserve">: </w:t>
      </w:r>
      <w:r>
        <w:rPr>
          <w:b/>
        </w:rPr>
        <w:t>Congresso Internacional De Legística: Qualidade Da Lei E Desenvolvimento</w:t>
      </w:r>
      <w:r>
        <w:t>, 2007, Belo Horizonte, Assembléia Legislativa do Estado de Minas Gerais, 2009. p. 43-54. Disponível em: https://dspace.almg.gov.br/handle/11037/392. Acesso em 10 dez. 2023.</w:t>
      </w:r>
    </w:p>
    <w:p w:rsidR="007259F2" w:rsidRDefault="00E655B4">
      <w:pPr>
        <w:spacing w:before="121"/>
        <w:ind w:left="710" w:right="418"/>
        <w:jc w:val="both"/>
      </w:pPr>
      <w:r>
        <w:t>MENDES, G. Questões fundamentais de técnica legislativa. Revista Eletrônica sobre</w:t>
      </w:r>
      <w:r>
        <w:rPr>
          <w:spacing w:val="40"/>
        </w:rPr>
        <w:t xml:space="preserve"> </w:t>
      </w:r>
      <w:r>
        <w:t>a</w:t>
      </w:r>
      <w:r>
        <w:rPr>
          <w:spacing w:val="40"/>
        </w:rPr>
        <w:t xml:space="preserve"> </w:t>
      </w:r>
      <w:r>
        <w:t>Reforma</w:t>
      </w:r>
      <w:r>
        <w:rPr>
          <w:spacing w:val="40"/>
        </w:rPr>
        <w:t xml:space="preserve"> </w:t>
      </w:r>
      <w:r>
        <w:t>do Estado, , Salvador (BA), nº 11, Set./Out./Nov. 2007. Disponível em: https://</w:t>
      </w:r>
      <w:hyperlink r:id="rId237">
        <w:r>
          <w:t>www.al.sp.gov.br/StaticFile/ilp/questoes_fundam_de_tecn_legis_-</w:t>
        </w:r>
      </w:hyperlink>
      <w:hyperlink r:id="rId238">
        <w:r>
          <w:rPr>
            <w:u w:val="single"/>
          </w:rPr>
          <w:t>_gilmar_mendes.pdf.</w:t>
        </w:r>
      </w:hyperlink>
      <w:r>
        <w:t xml:space="preserve"> Acesso em: 28 jan.2023.</w:t>
      </w:r>
    </w:p>
    <w:p w:rsidR="007259F2" w:rsidRDefault="00E655B4">
      <w:pPr>
        <w:spacing w:before="121"/>
        <w:ind w:left="710" w:right="421"/>
        <w:jc w:val="both"/>
      </w:pPr>
      <w:r>
        <w:t xml:space="preserve">MORAIS, C.B. Manual de legística: critérios científicos e técnicos para legislar melhor. Lisboa: Verbo, 2007. p. 36 </w:t>
      </w:r>
      <w:r>
        <w:rPr>
          <w:i/>
        </w:rPr>
        <w:t xml:space="preserve">In </w:t>
      </w:r>
      <w:r>
        <w:t xml:space="preserve">RISEK Jr, R.N. </w:t>
      </w:r>
      <w:r>
        <w:rPr>
          <w:b/>
        </w:rPr>
        <w:t>O processo de consolidação e organização legislativa</w:t>
      </w:r>
      <w:r>
        <w:t xml:space="preserve">. 2009. Tese (Doutorado em Direito) Faculdade de Direito, Universidade de São Paulo, São Paulo, 2009. Disponível em </w:t>
      </w:r>
      <w:hyperlink r:id="rId239">
        <w:r>
          <w:rPr>
            <w:u w:val="single"/>
          </w:rPr>
          <w:t>Rubens_Naman_Rizek_Junior_Tese.pdf</w:t>
        </w:r>
      </w:hyperlink>
      <w:r>
        <w:t>. Acesso em 26 jan.2023.</w:t>
      </w:r>
    </w:p>
    <w:p w:rsidR="007259F2" w:rsidRDefault="00E655B4">
      <w:pPr>
        <w:spacing w:before="119"/>
        <w:ind w:left="710" w:right="427"/>
        <w:jc w:val="both"/>
      </w:pPr>
      <w:r>
        <w:t xml:space="preserve">NASCIMENTO, Edmundo Dantes </w:t>
      </w:r>
      <w:r>
        <w:rPr>
          <w:b/>
        </w:rPr>
        <w:t>Linguagem forense</w:t>
      </w:r>
      <w:r>
        <w:t>. a língua portuguesa aplicada à linguagem do foro. São Paulo: Saraiva, 1995.</w:t>
      </w:r>
    </w:p>
    <w:p w:rsidR="007259F2" w:rsidRDefault="00E655B4">
      <w:pPr>
        <w:tabs>
          <w:tab w:val="left" w:pos="4029"/>
        </w:tabs>
        <w:spacing w:before="120"/>
        <w:ind w:left="710" w:right="419"/>
        <w:jc w:val="both"/>
      </w:pPr>
      <w:r>
        <w:t xml:space="preserve">RIZEK JR, R.N. </w:t>
      </w:r>
      <w:r>
        <w:rPr>
          <w:b/>
        </w:rPr>
        <w:t>O processo de consolidação e organização normativa</w:t>
      </w:r>
      <w:r>
        <w:t>. 2009. Tese (Doutorado em Direito) Faculdade</w:t>
      </w:r>
      <w:r>
        <w:rPr>
          <w:spacing w:val="-2"/>
        </w:rPr>
        <w:t xml:space="preserve"> </w:t>
      </w:r>
      <w:r>
        <w:t>de</w:t>
      </w:r>
      <w:r>
        <w:rPr>
          <w:spacing w:val="-2"/>
        </w:rPr>
        <w:t xml:space="preserve"> </w:t>
      </w:r>
      <w:r>
        <w:t>Direito, Universidade</w:t>
      </w:r>
      <w:r>
        <w:rPr>
          <w:spacing w:val="-2"/>
        </w:rPr>
        <w:t xml:space="preserve"> </w:t>
      </w:r>
      <w:r>
        <w:t>de</w:t>
      </w:r>
      <w:r>
        <w:rPr>
          <w:spacing w:val="-2"/>
        </w:rPr>
        <w:t xml:space="preserve"> </w:t>
      </w:r>
      <w:r>
        <w:t>São Paulo, São Paulo,</w:t>
      </w:r>
      <w:r>
        <w:rPr>
          <w:spacing w:val="-3"/>
        </w:rPr>
        <w:t xml:space="preserve"> </w:t>
      </w:r>
      <w:r>
        <w:t>2009. Disponível</w:t>
      </w:r>
      <w:r>
        <w:rPr>
          <w:spacing w:val="-1"/>
        </w:rPr>
        <w:t xml:space="preserve"> </w:t>
      </w:r>
      <w:r>
        <w:t>em</w:t>
      </w:r>
      <w:r>
        <w:rPr>
          <w:spacing w:val="-3"/>
        </w:rPr>
        <w:t xml:space="preserve"> </w:t>
      </w:r>
      <w:r>
        <w:t xml:space="preserve">Disponível </w:t>
      </w:r>
      <w:r>
        <w:rPr>
          <w:spacing w:val="-4"/>
        </w:rPr>
        <w:t>em:</w:t>
      </w:r>
      <w:r>
        <w:tab/>
      </w:r>
      <w:r>
        <w:rPr>
          <w:spacing w:val="-2"/>
        </w:rPr>
        <w:t>https:/</w:t>
      </w:r>
      <w:hyperlink r:id="rId240">
        <w:r>
          <w:rPr>
            <w:spacing w:val="-2"/>
          </w:rPr>
          <w:t>/</w:t>
        </w:r>
        <w:r>
          <w:rPr>
            <w:spacing w:val="-2"/>
            <w:u w:val="single"/>
          </w:rPr>
          <w:t>www.teses.usp.br/teses/disponiveis/2/2134/tde-26052010-</w:t>
        </w:r>
      </w:hyperlink>
      <w:r>
        <w:rPr>
          <w:spacing w:val="-2"/>
        </w:rPr>
        <w:t xml:space="preserve"> </w:t>
      </w:r>
      <w:r>
        <w:t>160859/publico/Rubens_Naman_Rizek_Junior_Tese.pdf. Acesso em 28 jan.2023.</w:t>
      </w:r>
    </w:p>
    <w:p w:rsidR="007259F2" w:rsidRDefault="00E655B4">
      <w:pPr>
        <w:spacing w:before="121"/>
        <w:ind w:left="710" w:right="423"/>
        <w:jc w:val="both"/>
      </w:pPr>
      <w:r>
        <w:t>SOARES, Fabiana de Menezes. Legística e desenvolvimento: a qualidade da lei no quadro da otimização</w:t>
      </w:r>
      <w:r>
        <w:rPr>
          <w:spacing w:val="-2"/>
        </w:rPr>
        <w:t xml:space="preserve"> </w:t>
      </w:r>
      <w:r>
        <w:t>de</w:t>
      </w:r>
      <w:r>
        <w:rPr>
          <w:spacing w:val="-1"/>
        </w:rPr>
        <w:t xml:space="preserve"> </w:t>
      </w:r>
      <w:r>
        <w:t>uma</w:t>
      </w:r>
      <w:r>
        <w:rPr>
          <w:spacing w:val="-1"/>
        </w:rPr>
        <w:t xml:space="preserve"> </w:t>
      </w:r>
      <w:r>
        <w:t>melhor</w:t>
      </w:r>
      <w:r>
        <w:rPr>
          <w:spacing w:val="-3"/>
        </w:rPr>
        <w:t xml:space="preserve"> </w:t>
      </w:r>
      <w:r>
        <w:t>legislação.</w:t>
      </w:r>
      <w:r>
        <w:rPr>
          <w:spacing w:val="2"/>
        </w:rPr>
        <w:t xml:space="preserve"> </w:t>
      </w:r>
      <w:r>
        <w:rPr>
          <w:b/>
        </w:rPr>
        <w:t>Cadernos</w:t>
      </w:r>
      <w:r>
        <w:rPr>
          <w:b/>
          <w:spacing w:val="-1"/>
        </w:rPr>
        <w:t xml:space="preserve"> </w:t>
      </w:r>
      <w:r>
        <w:rPr>
          <w:b/>
        </w:rPr>
        <w:t>da</w:t>
      </w:r>
      <w:r>
        <w:rPr>
          <w:b/>
          <w:spacing w:val="-2"/>
        </w:rPr>
        <w:t xml:space="preserve"> </w:t>
      </w:r>
      <w:r>
        <w:rPr>
          <w:b/>
        </w:rPr>
        <w:t>Escola</w:t>
      </w:r>
      <w:r>
        <w:rPr>
          <w:b/>
          <w:spacing w:val="-1"/>
        </w:rPr>
        <w:t xml:space="preserve"> </w:t>
      </w:r>
      <w:r>
        <w:rPr>
          <w:b/>
        </w:rPr>
        <w:t>do</w:t>
      </w:r>
      <w:r>
        <w:rPr>
          <w:b/>
          <w:spacing w:val="-1"/>
        </w:rPr>
        <w:t xml:space="preserve"> </w:t>
      </w:r>
      <w:r>
        <w:rPr>
          <w:b/>
        </w:rPr>
        <w:t>legislativo</w:t>
      </w:r>
      <w:r>
        <w:t>,</w:t>
      </w:r>
      <w:r>
        <w:rPr>
          <w:spacing w:val="-1"/>
        </w:rPr>
        <w:t xml:space="preserve"> </w:t>
      </w:r>
      <w:r>
        <w:t>Belo</w:t>
      </w:r>
      <w:r>
        <w:rPr>
          <w:spacing w:val="-3"/>
        </w:rPr>
        <w:t xml:space="preserve"> </w:t>
      </w:r>
      <w:r>
        <w:t>Horizonte,</w:t>
      </w:r>
      <w:r>
        <w:rPr>
          <w:spacing w:val="-1"/>
        </w:rPr>
        <w:t xml:space="preserve"> </w:t>
      </w:r>
      <w:r>
        <w:t>v.</w:t>
      </w:r>
      <w:r>
        <w:rPr>
          <w:spacing w:val="-1"/>
        </w:rPr>
        <w:t xml:space="preserve"> </w:t>
      </w:r>
      <w:r>
        <w:t>9,</w:t>
      </w:r>
      <w:r>
        <w:rPr>
          <w:spacing w:val="-1"/>
        </w:rPr>
        <w:t xml:space="preserve"> </w:t>
      </w:r>
      <w:r>
        <w:t>n.</w:t>
      </w:r>
      <w:r>
        <w:rPr>
          <w:spacing w:val="-1"/>
        </w:rPr>
        <w:t xml:space="preserve"> </w:t>
      </w:r>
      <w:r>
        <w:rPr>
          <w:spacing w:val="-5"/>
        </w:rPr>
        <w:t>14,</w:t>
      </w:r>
    </w:p>
    <w:p w:rsidR="007259F2" w:rsidRDefault="00E655B4">
      <w:pPr>
        <w:tabs>
          <w:tab w:val="left" w:pos="2058"/>
          <w:tab w:val="left" w:pos="3695"/>
          <w:tab w:val="left" w:pos="5624"/>
          <w:tab w:val="left" w:pos="7301"/>
          <w:tab w:val="left" w:pos="9448"/>
        </w:tabs>
        <w:spacing w:before="1"/>
        <w:ind w:left="710" w:right="427"/>
        <w:jc w:val="both"/>
      </w:pPr>
      <w:r>
        <w:rPr>
          <w:spacing w:val="-6"/>
        </w:rPr>
        <w:t>p.</w:t>
      </w:r>
      <w:r>
        <w:tab/>
      </w:r>
      <w:r>
        <w:rPr>
          <w:spacing w:val="-4"/>
        </w:rPr>
        <w:t>7-34,</w:t>
      </w:r>
      <w:r>
        <w:tab/>
      </w:r>
      <w:r>
        <w:rPr>
          <w:spacing w:val="-2"/>
        </w:rPr>
        <w:t>jan./dez.</w:t>
      </w:r>
      <w:r>
        <w:tab/>
      </w:r>
      <w:r>
        <w:rPr>
          <w:spacing w:val="-2"/>
        </w:rPr>
        <w:t>2007.</w:t>
      </w:r>
      <w:r>
        <w:tab/>
      </w:r>
      <w:r>
        <w:rPr>
          <w:spacing w:val="-2"/>
        </w:rPr>
        <w:t>Disponível</w:t>
      </w:r>
      <w:r>
        <w:tab/>
      </w:r>
      <w:r>
        <w:rPr>
          <w:spacing w:val="-4"/>
        </w:rPr>
        <w:t xml:space="preserve">em: </w:t>
      </w:r>
      <w:hyperlink r:id="rId241">
        <w:r>
          <w:rPr>
            <w:u w:val="single"/>
          </w:rPr>
          <w:t>https://www.direito.ufmg.br/revista/index.php/revista/article/view/31.</w:t>
        </w:r>
      </w:hyperlink>
      <w:r>
        <w:t xml:space="preserve"> Acesso em: 10 dez.2023.</w:t>
      </w:r>
    </w:p>
    <w:p w:rsidR="007259F2" w:rsidRDefault="00E655B4">
      <w:pPr>
        <w:spacing w:before="118"/>
        <w:ind w:left="710"/>
      </w:pPr>
      <w:r>
        <w:t xml:space="preserve">SOARES, Fabiana Menezes; KAITEL, Christiane Silva; PRETE, Esther Külkamp (org.). </w:t>
      </w:r>
      <w:r>
        <w:rPr>
          <w:b/>
        </w:rPr>
        <w:t>Estudos em Legística</w:t>
      </w:r>
      <w:r>
        <w:t>. Florianópolis/SC: Tribo da Ilha, 2019.</w:t>
      </w:r>
    </w:p>
    <w:p w:rsidR="007259F2" w:rsidRDefault="00E655B4">
      <w:pPr>
        <w:spacing w:before="121"/>
        <w:ind w:left="710" w:right="561"/>
      </w:pPr>
      <w:r>
        <w:t xml:space="preserve">SOUZA, Ricardo da Silva. </w:t>
      </w:r>
      <w:r>
        <w:rPr>
          <w:b/>
        </w:rPr>
        <w:t>A ciência da legislação</w:t>
      </w:r>
      <w:r>
        <w:t>: os elementos da legística aplicados à elaboração de normas. Brasília: Lunix Consultoria, 2009.</w:t>
      </w:r>
    </w:p>
    <w:p w:rsidR="007259F2" w:rsidRDefault="00E655B4">
      <w:pPr>
        <w:spacing w:before="120" w:line="252" w:lineRule="exact"/>
        <w:ind w:left="710"/>
      </w:pPr>
      <w:r>
        <w:t>STRECK,</w:t>
      </w:r>
      <w:r>
        <w:rPr>
          <w:spacing w:val="-2"/>
        </w:rPr>
        <w:t xml:space="preserve"> </w:t>
      </w:r>
      <w:r>
        <w:t>L.L.</w:t>
      </w:r>
      <w:r>
        <w:rPr>
          <w:spacing w:val="-4"/>
        </w:rPr>
        <w:t xml:space="preserve"> </w:t>
      </w:r>
      <w:r>
        <w:t>Os</w:t>
      </w:r>
      <w:r>
        <w:rPr>
          <w:spacing w:val="-3"/>
        </w:rPr>
        <w:t xml:space="preserve"> </w:t>
      </w:r>
      <w:r>
        <w:t>limites</w:t>
      </w:r>
      <w:r>
        <w:rPr>
          <w:spacing w:val="-3"/>
        </w:rPr>
        <w:t xml:space="preserve"> </w:t>
      </w:r>
      <w:r>
        <w:t>semânticos</w:t>
      </w:r>
      <w:r>
        <w:rPr>
          <w:spacing w:val="-3"/>
        </w:rPr>
        <w:t xml:space="preserve"> </w:t>
      </w:r>
      <w:r>
        <w:t>e</w:t>
      </w:r>
      <w:r>
        <w:rPr>
          <w:spacing w:val="-4"/>
        </w:rPr>
        <w:t xml:space="preserve"> </w:t>
      </w:r>
      <w:r>
        <w:t>sua</w:t>
      </w:r>
      <w:r>
        <w:rPr>
          <w:spacing w:val="-3"/>
        </w:rPr>
        <w:t xml:space="preserve"> </w:t>
      </w:r>
      <w:r>
        <w:t>importância</w:t>
      </w:r>
      <w:r>
        <w:rPr>
          <w:spacing w:val="-1"/>
        </w:rPr>
        <w:t xml:space="preserve"> </w:t>
      </w:r>
      <w:r>
        <w:t>na</w:t>
      </w:r>
      <w:r>
        <w:rPr>
          <w:spacing w:val="-3"/>
        </w:rPr>
        <w:t xml:space="preserve"> </w:t>
      </w:r>
      <w:r>
        <w:t>e</w:t>
      </w:r>
      <w:r>
        <w:rPr>
          <w:spacing w:val="-4"/>
        </w:rPr>
        <w:t xml:space="preserve"> </w:t>
      </w:r>
      <w:r>
        <w:t>para</w:t>
      </w:r>
      <w:r>
        <w:rPr>
          <w:spacing w:val="-3"/>
        </w:rPr>
        <w:t xml:space="preserve"> </w:t>
      </w:r>
      <w:r>
        <w:t>a</w:t>
      </w:r>
      <w:r>
        <w:rPr>
          <w:spacing w:val="-1"/>
        </w:rPr>
        <w:t xml:space="preserve"> </w:t>
      </w:r>
      <w:r>
        <w:t>democracia.</w:t>
      </w:r>
      <w:r>
        <w:rPr>
          <w:spacing w:val="4"/>
        </w:rPr>
        <w:t xml:space="preserve"> </w:t>
      </w:r>
      <w:r>
        <w:rPr>
          <w:b/>
        </w:rPr>
        <w:t>Revista</w:t>
      </w:r>
      <w:r>
        <w:rPr>
          <w:b/>
          <w:spacing w:val="-1"/>
        </w:rPr>
        <w:t xml:space="preserve"> </w:t>
      </w:r>
      <w:r>
        <w:rPr>
          <w:b/>
        </w:rPr>
        <w:t>da</w:t>
      </w:r>
      <w:r>
        <w:rPr>
          <w:b/>
          <w:spacing w:val="-1"/>
        </w:rPr>
        <w:t xml:space="preserve"> </w:t>
      </w:r>
      <w:r>
        <w:rPr>
          <w:b/>
        </w:rPr>
        <w:t>AJURIS</w:t>
      </w:r>
      <w:r>
        <w:rPr>
          <w:b/>
          <w:spacing w:val="-2"/>
        </w:rPr>
        <w:t xml:space="preserve"> </w:t>
      </w:r>
      <w:r>
        <w:rPr>
          <w:spacing w:val="-10"/>
        </w:rPr>
        <w:t>,</w:t>
      </w:r>
    </w:p>
    <w:p w:rsidR="007259F2" w:rsidRDefault="00E655B4">
      <w:pPr>
        <w:spacing w:line="252" w:lineRule="exact"/>
        <w:ind w:left="710"/>
      </w:pPr>
      <w:r>
        <w:t>v.</w:t>
      </w:r>
      <w:r>
        <w:rPr>
          <w:spacing w:val="-4"/>
        </w:rPr>
        <w:t xml:space="preserve"> </w:t>
      </w:r>
      <w:r>
        <w:t>41,</w:t>
      </w:r>
      <w:r>
        <w:rPr>
          <w:spacing w:val="-1"/>
        </w:rPr>
        <w:t xml:space="preserve"> </w:t>
      </w:r>
      <w:r>
        <w:t>n.</w:t>
      </w:r>
      <w:r>
        <w:rPr>
          <w:spacing w:val="-1"/>
        </w:rPr>
        <w:t xml:space="preserve"> </w:t>
      </w:r>
      <w:r>
        <w:t>135,</w:t>
      </w:r>
      <w:r>
        <w:rPr>
          <w:spacing w:val="-1"/>
        </w:rPr>
        <w:t xml:space="preserve"> </w:t>
      </w:r>
      <w:r>
        <w:t>Set.</w:t>
      </w:r>
      <w:r>
        <w:rPr>
          <w:spacing w:val="-1"/>
        </w:rPr>
        <w:t xml:space="preserve"> </w:t>
      </w:r>
      <w:r>
        <w:rPr>
          <w:spacing w:val="-4"/>
        </w:rPr>
        <w:t>2014.</w:t>
      </w:r>
    </w:p>
    <w:p w:rsidR="007259F2" w:rsidRDefault="00E655B4">
      <w:pPr>
        <w:spacing w:before="121"/>
        <w:ind w:left="710"/>
      </w:pPr>
      <w:r>
        <w:t>TRAVAGLIA,</w:t>
      </w:r>
      <w:r>
        <w:rPr>
          <w:spacing w:val="38"/>
        </w:rPr>
        <w:t xml:space="preserve"> </w:t>
      </w:r>
      <w:r>
        <w:t>Luiz</w:t>
      </w:r>
      <w:r>
        <w:rPr>
          <w:spacing w:val="37"/>
        </w:rPr>
        <w:t xml:space="preserve"> </w:t>
      </w:r>
      <w:r>
        <w:t>Carlos.</w:t>
      </w:r>
      <w:r>
        <w:rPr>
          <w:spacing w:val="40"/>
        </w:rPr>
        <w:t xml:space="preserve"> </w:t>
      </w:r>
      <w:r>
        <w:rPr>
          <w:b/>
        </w:rPr>
        <w:t>O</w:t>
      </w:r>
      <w:r>
        <w:rPr>
          <w:b/>
          <w:spacing w:val="39"/>
        </w:rPr>
        <w:t xml:space="preserve"> </w:t>
      </w:r>
      <w:r>
        <w:rPr>
          <w:b/>
        </w:rPr>
        <w:t>aspecto</w:t>
      </w:r>
      <w:r>
        <w:rPr>
          <w:b/>
          <w:spacing w:val="38"/>
        </w:rPr>
        <w:t xml:space="preserve"> </w:t>
      </w:r>
      <w:r>
        <w:rPr>
          <w:b/>
        </w:rPr>
        <w:t>verbal</w:t>
      </w:r>
      <w:r>
        <w:rPr>
          <w:b/>
          <w:spacing w:val="37"/>
        </w:rPr>
        <w:t xml:space="preserve"> </w:t>
      </w:r>
      <w:r>
        <w:rPr>
          <w:b/>
        </w:rPr>
        <w:t>no</w:t>
      </w:r>
      <w:r>
        <w:rPr>
          <w:b/>
          <w:spacing w:val="38"/>
        </w:rPr>
        <w:t xml:space="preserve"> </w:t>
      </w:r>
      <w:r>
        <w:rPr>
          <w:b/>
        </w:rPr>
        <w:t>português:</w:t>
      </w:r>
      <w:r>
        <w:rPr>
          <w:b/>
          <w:spacing w:val="39"/>
        </w:rPr>
        <w:t xml:space="preserve"> </w:t>
      </w:r>
      <w:r>
        <w:t>a</w:t>
      </w:r>
      <w:r>
        <w:rPr>
          <w:spacing w:val="39"/>
        </w:rPr>
        <w:t xml:space="preserve"> </w:t>
      </w:r>
      <w:r>
        <w:t>categoria</w:t>
      </w:r>
      <w:r>
        <w:rPr>
          <w:spacing w:val="39"/>
        </w:rPr>
        <w:t xml:space="preserve"> </w:t>
      </w:r>
      <w:r>
        <w:t>e</w:t>
      </w:r>
      <w:r>
        <w:rPr>
          <w:spacing w:val="39"/>
        </w:rPr>
        <w:t xml:space="preserve"> </w:t>
      </w:r>
      <w:r>
        <w:t>sua</w:t>
      </w:r>
      <w:r>
        <w:rPr>
          <w:spacing w:val="39"/>
        </w:rPr>
        <w:t xml:space="preserve"> </w:t>
      </w:r>
      <w:r>
        <w:t>expressão,</w:t>
      </w:r>
      <w:r>
        <w:rPr>
          <w:spacing w:val="38"/>
        </w:rPr>
        <w:t xml:space="preserve"> </w:t>
      </w:r>
      <w:r>
        <w:t>5.</w:t>
      </w:r>
      <w:r>
        <w:rPr>
          <w:spacing w:val="36"/>
        </w:rPr>
        <w:t xml:space="preserve"> </w:t>
      </w:r>
      <w:r>
        <w:t>ed. Uberlândia : EDUFU, 2016. , pp. 181-252.</w:t>
      </w:r>
    </w:p>
    <w:p w:rsidR="007259F2" w:rsidRDefault="00E655B4">
      <w:pPr>
        <w:spacing w:before="121"/>
        <w:ind w:left="710"/>
      </w:pPr>
      <w:r>
        <w:t>XAVIER,</w:t>
      </w:r>
      <w:r>
        <w:rPr>
          <w:spacing w:val="40"/>
        </w:rPr>
        <w:t xml:space="preserve"> </w:t>
      </w:r>
      <w:r>
        <w:t>Ronaldo</w:t>
      </w:r>
      <w:r>
        <w:rPr>
          <w:spacing w:val="40"/>
        </w:rPr>
        <w:t xml:space="preserve"> </w:t>
      </w:r>
      <w:r>
        <w:t>Caldeira.</w:t>
      </w:r>
      <w:r>
        <w:rPr>
          <w:spacing w:val="40"/>
        </w:rPr>
        <w:t xml:space="preserve"> </w:t>
      </w:r>
      <w:r>
        <w:rPr>
          <w:b/>
        </w:rPr>
        <w:t>Português</w:t>
      </w:r>
      <w:r>
        <w:rPr>
          <w:b/>
          <w:spacing w:val="40"/>
        </w:rPr>
        <w:t xml:space="preserve"> </w:t>
      </w:r>
      <w:r>
        <w:rPr>
          <w:b/>
        </w:rPr>
        <w:t>no</w:t>
      </w:r>
      <w:r>
        <w:rPr>
          <w:b/>
          <w:spacing w:val="40"/>
        </w:rPr>
        <w:t xml:space="preserve"> </w:t>
      </w:r>
      <w:r>
        <w:rPr>
          <w:b/>
        </w:rPr>
        <w:t>Direito</w:t>
      </w:r>
      <w:r>
        <w:t>:</w:t>
      </w:r>
      <w:r>
        <w:rPr>
          <w:spacing w:val="40"/>
        </w:rPr>
        <w:t xml:space="preserve"> </w:t>
      </w:r>
      <w:r>
        <w:t>linguagem</w:t>
      </w:r>
      <w:r>
        <w:rPr>
          <w:spacing w:val="40"/>
        </w:rPr>
        <w:t xml:space="preserve"> </w:t>
      </w:r>
      <w:r>
        <w:t>forense.</w:t>
      </w:r>
      <w:r>
        <w:rPr>
          <w:spacing w:val="40"/>
        </w:rPr>
        <w:t xml:space="preserve"> </w:t>
      </w:r>
      <w:r>
        <w:t>Rio</w:t>
      </w:r>
      <w:r>
        <w:rPr>
          <w:spacing w:val="40"/>
        </w:rPr>
        <w:t xml:space="preserve"> </w:t>
      </w:r>
      <w:r>
        <w:t>de</w:t>
      </w:r>
      <w:r>
        <w:rPr>
          <w:spacing w:val="40"/>
        </w:rPr>
        <w:t xml:space="preserve"> </w:t>
      </w:r>
      <w:r>
        <w:t>Janeiro:</w:t>
      </w:r>
      <w:r>
        <w:rPr>
          <w:spacing w:val="40"/>
        </w:rPr>
        <w:t xml:space="preserve"> </w:t>
      </w:r>
      <w:r>
        <w:t>Editora Forense, 1998.</w:t>
      </w:r>
    </w:p>
    <w:p w:rsidR="007259F2" w:rsidRDefault="007259F2">
      <w:pPr>
        <w:sectPr w:rsidR="007259F2">
          <w:pgSz w:w="11910" w:h="16840"/>
          <w:pgMar w:top="1600" w:right="708" w:bottom="1020" w:left="992" w:header="0" w:footer="820" w:gutter="0"/>
          <w:cols w:space="720"/>
        </w:sectPr>
      </w:pPr>
    </w:p>
    <w:p w:rsidR="007259F2" w:rsidRDefault="00E655B4">
      <w:pPr>
        <w:spacing w:before="62"/>
        <w:ind w:left="710"/>
        <w:rPr>
          <w:b/>
        </w:rPr>
      </w:pPr>
      <w:r>
        <w:rPr>
          <w:b/>
          <w:u w:val="single"/>
        </w:rPr>
        <w:lastRenderedPageBreak/>
        <w:t>Legislação</w:t>
      </w:r>
      <w:r>
        <w:rPr>
          <w:b/>
          <w:spacing w:val="-2"/>
          <w:u w:val="single"/>
        </w:rPr>
        <w:t xml:space="preserve"> </w:t>
      </w:r>
      <w:r>
        <w:rPr>
          <w:b/>
          <w:u w:val="single"/>
        </w:rPr>
        <w:t>e</w:t>
      </w:r>
      <w:r>
        <w:rPr>
          <w:b/>
          <w:spacing w:val="-2"/>
          <w:u w:val="single"/>
        </w:rPr>
        <w:t xml:space="preserve"> Manuais</w:t>
      </w:r>
    </w:p>
    <w:p w:rsidR="007259F2" w:rsidRDefault="00E655B4">
      <w:pPr>
        <w:spacing w:before="114"/>
        <w:ind w:left="710"/>
      </w:pPr>
      <w:r>
        <w:t>BRASIL.</w:t>
      </w:r>
      <w:r>
        <w:rPr>
          <w:spacing w:val="-6"/>
        </w:rPr>
        <w:t xml:space="preserve"> </w:t>
      </w:r>
      <w:r>
        <w:rPr>
          <w:b/>
        </w:rPr>
        <w:t>Constituição</w:t>
      </w:r>
      <w:r>
        <w:rPr>
          <w:b/>
          <w:spacing w:val="-5"/>
        </w:rPr>
        <w:t xml:space="preserve"> </w:t>
      </w:r>
      <w:r>
        <w:rPr>
          <w:b/>
        </w:rPr>
        <w:t>Federal,</w:t>
      </w:r>
      <w:r>
        <w:rPr>
          <w:b/>
          <w:spacing w:val="-7"/>
        </w:rPr>
        <w:t xml:space="preserve"> </w:t>
      </w:r>
      <w:r>
        <w:rPr>
          <w:b/>
        </w:rPr>
        <w:t>1988</w:t>
      </w:r>
      <w:r>
        <w:t>.</w:t>
      </w:r>
      <w:r>
        <w:rPr>
          <w:spacing w:val="-3"/>
        </w:rPr>
        <w:t xml:space="preserve"> </w:t>
      </w:r>
      <w:r>
        <w:t>Diário</w:t>
      </w:r>
      <w:r>
        <w:rPr>
          <w:spacing w:val="-4"/>
        </w:rPr>
        <w:t xml:space="preserve"> </w:t>
      </w:r>
      <w:r>
        <w:t>Oficial</w:t>
      </w:r>
      <w:r>
        <w:rPr>
          <w:spacing w:val="-5"/>
        </w:rPr>
        <w:t xml:space="preserve"> </w:t>
      </w:r>
      <w:r>
        <w:t>da</w:t>
      </w:r>
      <w:r>
        <w:rPr>
          <w:spacing w:val="-4"/>
        </w:rPr>
        <w:t xml:space="preserve"> </w:t>
      </w:r>
      <w:r>
        <w:t>União,</w:t>
      </w:r>
      <w:r>
        <w:rPr>
          <w:spacing w:val="-3"/>
        </w:rPr>
        <w:t xml:space="preserve"> </w:t>
      </w:r>
      <w:r>
        <w:rPr>
          <w:spacing w:val="-2"/>
        </w:rPr>
        <w:t>1988.</w:t>
      </w:r>
    </w:p>
    <w:p w:rsidR="007259F2" w:rsidRDefault="00E655B4">
      <w:pPr>
        <w:spacing w:before="122"/>
        <w:ind w:left="710" w:right="424"/>
      </w:pPr>
      <w:r>
        <w:t>BRASIL.</w:t>
      </w:r>
      <w:r>
        <w:rPr>
          <w:spacing w:val="40"/>
        </w:rPr>
        <w:t xml:space="preserve"> </w:t>
      </w:r>
      <w:r>
        <w:rPr>
          <w:b/>
        </w:rPr>
        <w:t>Lei</w:t>
      </w:r>
      <w:r>
        <w:rPr>
          <w:b/>
          <w:spacing w:val="40"/>
        </w:rPr>
        <w:t xml:space="preserve"> </w:t>
      </w:r>
      <w:r>
        <w:rPr>
          <w:b/>
        </w:rPr>
        <w:t>Complementar</w:t>
      </w:r>
      <w:r>
        <w:rPr>
          <w:b/>
          <w:spacing w:val="40"/>
        </w:rPr>
        <w:t xml:space="preserve"> </w:t>
      </w:r>
      <w:r>
        <w:rPr>
          <w:b/>
        </w:rPr>
        <w:t>nº</w:t>
      </w:r>
      <w:r>
        <w:rPr>
          <w:b/>
          <w:spacing w:val="40"/>
        </w:rPr>
        <w:t xml:space="preserve"> </w:t>
      </w:r>
      <w:r>
        <w:rPr>
          <w:b/>
        </w:rPr>
        <w:t>95,</w:t>
      </w:r>
      <w:r>
        <w:rPr>
          <w:b/>
          <w:spacing w:val="40"/>
        </w:rPr>
        <w:t xml:space="preserve"> </w:t>
      </w:r>
      <w:r>
        <w:rPr>
          <w:b/>
        </w:rPr>
        <w:t>de</w:t>
      </w:r>
      <w:r>
        <w:rPr>
          <w:b/>
          <w:spacing w:val="40"/>
        </w:rPr>
        <w:t xml:space="preserve"> </w:t>
      </w:r>
      <w:r>
        <w:rPr>
          <w:b/>
        </w:rPr>
        <w:t>26</w:t>
      </w:r>
      <w:r>
        <w:rPr>
          <w:b/>
          <w:spacing w:val="40"/>
        </w:rPr>
        <w:t xml:space="preserve"> </w:t>
      </w:r>
      <w:r>
        <w:rPr>
          <w:b/>
        </w:rPr>
        <w:t>de</w:t>
      </w:r>
      <w:r>
        <w:rPr>
          <w:b/>
          <w:spacing w:val="40"/>
        </w:rPr>
        <w:t xml:space="preserve"> </w:t>
      </w:r>
      <w:r>
        <w:rPr>
          <w:b/>
        </w:rPr>
        <w:t>fevereiro</w:t>
      </w:r>
      <w:r>
        <w:rPr>
          <w:b/>
          <w:spacing w:val="40"/>
        </w:rPr>
        <w:t xml:space="preserve"> </w:t>
      </w:r>
      <w:r>
        <w:rPr>
          <w:b/>
        </w:rPr>
        <w:t>de</w:t>
      </w:r>
      <w:r>
        <w:rPr>
          <w:b/>
          <w:spacing w:val="40"/>
        </w:rPr>
        <w:t xml:space="preserve"> </w:t>
      </w:r>
      <w:r>
        <w:rPr>
          <w:b/>
        </w:rPr>
        <w:t>1998</w:t>
      </w:r>
      <w:r>
        <w:t>.</w:t>
      </w:r>
      <w:r>
        <w:rPr>
          <w:spacing w:val="40"/>
        </w:rPr>
        <w:t xml:space="preserve"> </w:t>
      </w:r>
      <w:r>
        <w:t>Dispõe</w:t>
      </w:r>
      <w:r>
        <w:rPr>
          <w:spacing w:val="40"/>
        </w:rPr>
        <w:t xml:space="preserve"> </w:t>
      </w:r>
      <w:r>
        <w:t>sobre</w:t>
      </w:r>
      <w:r>
        <w:rPr>
          <w:spacing w:val="40"/>
        </w:rPr>
        <w:t xml:space="preserve"> </w:t>
      </w:r>
      <w:r>
        <w:t>a</w:t>
      </w:r>
      <w:r>
        <w:rPr>
          <w:spacing w:val="40"/>
        </w:rPr>
        <w:t xml:space="preserve"> </w:t>
      </w:r>
      <w:r>
        <w:t>elaboração,</w:t>
      </w:r>
      <w:r>
        <w:rPr>
          <w:spacing w:val="40"/>
        </w:rPr>
        <w:t xml:space="preserve"> </w:t>
      </w:r>
      <w:r>
        <w:t>a redação, a alteração e a consolidação das leis [...], DF: Diário Oficial da União, 1998.</w:t>
      </w:r>
    </w:p>
    <w:p w:rsidR="007259F2" w:rsidRDefault="00E655B4">
      <w:pPr>
        <w:spacing w:before="118"/>
        <w:ind w:left="710" w:right="422"/>
        <w:jc w:val="both"/>
      </w:pPr>
      <w:r>
        <w:t xml:space="preserve">BRASIL. </w:t>
      </w:r>
      <w:r>
        <w:rPr>
          <w:b/>
        </w:rPr>
        <w:t>Decreto nº 9191, de 1º de novembro de 2017</w:t>
      </w:r>
      <w:r>
        <w:t>. Estabelece as normas e as diretrizes para elaboração [...] de propostas de atos normativos ao Presidente da República pelos</w:t>
      </w:r>
      <w:r>
        <w:rPr>
          <w:spacing w:val="-2"/>
        </w:rPr>
        <w:t xml:space="preserve"> </w:t>
      </w:r>
      <w:r>
        <w:t>Ministros de Estado. DF: Diário Oficial da União, 2017.</w:t>
      </w:r>
    </w:p>
    <w:p w:rsidR="007259F2" w:rsidRDefault="00E655B4">
      <w:pPr>
        <w:spacing w:before="121"/>
        <w:ind w:left="710" w:right="421"/>
        <w:jc w:val="both"/>
      </w:pPr>
      <w:r>
        <w:t xml:space="preserve">BRASIL. Presidência da República. Casa Civil </w:t>
      </w:r>
      <w:r>
        <w:rPr>
          <w:b/>
        </w:rPr>
        <w:t xml:space="preserve">Manual de redação da Presidência da República </w:t>
      </w:r>
      <w:r>
        <w:t>Coordenação de Gilmar Ferreira Mendes, Nestor José Forster Júnior [et al.]. 3. ed., rev., atual. e ampl. Brasília: Presidência da República, 2018.</w:t>
      </w:r>
    </w:p>
    <w:p w:rsidR="007259F2" w:rsidRDefault="00E655B4">
      <w:pPr>
        <w:spacing w:before="121"/>
        <w:ind w:left="710"/>
      </w:pPr>
      <w:r>
        <w:t>CATÁLOGO</w:t>
      </w:r>
      <w:r>
        <w:rPr>
          <w:spacing w:val="80"/>
        </w:rPr>
        <w:t xml:space="preserve"> </w:t>
      </w:r>
      <w:r>
        <w:t>DE</w:t>
      </w:r>
      <w:r>
        <w:rPr>
          <w:spacing w:val="80"/>
        </w:rPr>
        <w:t xml:space="preserve"> </w:t>
      </w:r>
      <w:r>
        <w:t>LEGISLAÇÃO</w:t>
      </w:r>
      <w:r>
        <w:rPr>
          <w:spacing w:val="80"/>
        </w:rPr>
        <w:t xml:space="preserve"> </w:t>
      </w:r>
      <w:r>
        <w:t>MUNICIPAL.</w:t>
      </w:r>
      <w:r>
        <w:rPr>
          <w:spacing w:val="80"/>
        </w:rPr>
        <w:t xml:space="preserve"> </w:t>
      </w:r>
      <w:r>
        <w:rPr>
          <w:b/>
        </w:rPr>
        <w:t>Catálogo</w:t>
      </w:r>
      <w:r>
        <w:rPr>
          <w:b/>
          <w:spacing w:val="80"/>
        </w:rPr>
        <w:t xml:space="preserve"> </w:t>
      </w:r>
      <w:r>
        <w:rPr>
          <w:b/>
        </w:rPr>
        <w:t>de</w:t>
      </w:r>
      <w:r>
        <w:rPr>
          <w:b/>
          <w:spacing w:val="80"/>
        </w:rPr>
        <w:t xml:space="preserve"> </w:t>
      </w:r>
      <w:r>
        <w:rPr>
          <w:b/>
        </w:rPr>
        <w:t>Legislação</w:t>
      </w:r>
      <w:r>
        <w:rPr>
          <w:b/>
          <w:spacing w:val="80"/>
        </w:rPr>
        <w:t xml:space="preserve"> </w:t>
      </w:r>
      <w:r>
        <w:rPr>
          <w:b/>
        </w:rPr>
        <w:t>Municipal</w:t>
      </w:r>
      <w:r>
        <w:t>.</w:t>
      </w:r>
      <w:r>
        <w:rPr>
          <w:spacing w:val="80"/>
        </w:rPr>
        <w:t xml:space="preserve"> </w:t>
      </w:r>
      <w:r>
        <w:t>2016.</w:t>
      </w:r>
      <w:r>
        <w:rPr>
          <w:spacing w:val="40"/>
        </w:rPr>
        <w:t xml:space="preserve"> </w:t>
      </w:r>
      <w:r>
        <w:t xml:space="preserve">Disponível em: </w:t>
      </w:r>
      <w:hyperlink r:id="rId242">
        <w:r>
          <w:rPr>
            <w:u w:val="single"/>
          </w:rPr>
          <w:t>https://legislacao.prefeitura.sp.gov.br/.</w:t>
        </w:r>
      </w:hyperlink>
      <w:r>
        <w:t xml:space="preserve"> Acesso em: 26 jan.de 2023.</w:t>
      </w:r>
    </w:p>
    <w:p w:rsidR="007259F2" w:rsidRDefault="00E655B4">
      <w:pPr>
        <w:spacing w:before="120"/>
        <w:ind w:left="710" w:right="424"/>
      </w:pPr>
      <w:r>
        <w:t xml:space="preserve">DISTRITO FEDERAL. </w:t>
      </w:r>
      <w:r>
        <w:rPr>
          <w:b/>
        </w:rPr>
        <w:t>Elaboração de</w:t>
      </w:r>
      <w:r>
        <w:rPr>
          <w:b/>
          <w:spacing w:val="-1"/>
        </w:rPr>
        <w:t xml:space="preserve"> </w:t>
      </w:r>
      <w:r>
        <w:rPr>
          <w:b/>
        </w:rPr>
        <w:t>textos legislativos</w:t>
      </w:r>
      <w:r>
        <w:t>: fundamentos, modelos e regras práticas 4. ed.Brasília: Câmara Legislativa do Distrito Federal, 2017.</w:t>
      </w:r>
    </w:p>
    <w:p w:rsidR="007259F2" w:rsidRDefault="00E655B4">
      <w:pPr>
        <w:spacing w:before="118"/>
        <w:ind w:left="710"/>
      </w:pPr>
      <w:r>
        <w:t>PARANÁ.</w:t>
      </w:r>
      <w:r>
        <w:rPr>
          <w:spacing w:val="40"/>
        </w:rPr>
        <w:t xml:space="preserve"> </w:t>
      </w:r>
      <w:r>
        <w:rPr>
          <w:b/>
        </w:rPr>
        <w:t>Lei</w:t>
      </w:r>
      <w:r>
        <w:rPr>
          <w:b/>
          <w:spacing w:val="40"/>
        </w:rPr>
        <w:t xml:space="preserve"> </w:t>
      </w:r>
      <w:r>
        <w:rPr>
          <w:b/>
        </w:rPr>
        <w:t>Complementar</w:t>
      </w:r>
      <w:r>
        <w:rPr>
          <w:b/>
          <w:spacing w:val="40"/>
        </w:rPr>
        <w:t xml:space="preserve"> </w:t>
      </w:r>
      <w:r>
        <w:rPr>
          <w:b/>
        </w:rPr>
        <w:t>nº</w:t>
      </w:r>
      <w:r>
        <w:rPr>
          <w:b/>
          <w:spacing w:val="40"/>
        </w:rPr>
        <w:t xml:space="preserve"> </w:t>
      </w:r>
      <w:r>
        <w:rPr>
          <w:b/>
        </w:rPr>
        <w:t>176,</w:t>
      </w:r>
      <w:r>
        <w:rPr>
          <w:b/>
          <w:spacing w:val="40"/>
        </w:rPr>
        <w:t xml:space="preserve"> </w:t>
      </w:r>
      <w:r>
        <w:rPr>
          <w:b/>
        </w:rPr>
        <w:t>de</w:t>
      </w:r>
      <w:r>
        <w:rPr>
          <w:b/>
          <w:spacing w:val="40"/>
        </w:rPr>
        <w:t xml:space="preserve"> </w:t>
      </w:r>
      <w:r>
        <w:rPr>
          <w:b/>
        </w:rPr>
        <w:t>14</w:t>
      </w:r>
      <w:r>
        <w:rPr>
          <w:b/>
          <w:spacing w:val="40"/>
        </w:rPr>
        <w:t xml:space="preserve"> </w:t>
      </w:r>
      <w:r>
        <w:rPr>
          <w:b/>
        </w:rPr>
        <w:t>de</w:t>
      </w:r>
      <w:r>
        <w:rPr>
          <w:b/>
          <w:spacing w:val="40"/>
        </w:rPr>
        <w:t xml:space="preserve"> </w:t>
      </w:r>
      <w:r>
        <w:rPr>
          <w:b/>
        </w:rPr>
        <w:t>julho</w:t>
      </w:r>
      <w:r>
        <w:rPr>
          <w:b/>
          <w:spacing w:val="40"/>
        </w:rPr>
        <w:t xml:space="preserve"> </w:t>
      </w:r>
      <w:r>
        <w:rPr>
          <w:b/>
        </w:rPr>
        <w:t>de</w:t>
      </w:r>
      <w:r>
        <w:rPr>
          <w:b/>
          <w:spacing w:val="40"/>
        </w:rPr>
        <w:t xml:space="preserve"> </w:t>
      </w:r>
      <w:r>
        <w:rPr>
          <w:b/>
        </w:rPr>
        <w:t>20114</w:t>
      </w:r>
      <w:r>
        <w:t>.</w:t>
      </w:r>
      <w:r>
        <w:rPr>
          <w:spacing w:val="40"/>
        </w:rPr>
        <w:t xml:space="preserve"> </w:t>
      </w:r>
      <w:r>
        <w:t>Dispõe</w:t>
      </w:r>
      <w:r>
        <w:rPr>
          <w:spacing w:val="40"/>
        </w:rPr>
        <w:t xml:space="preserve"> </w:t>
      </w:r>
      <w:r>
        <w:t>sobre</w:t>
      </w:r>
      <w:r>
        <w:rPr>
          <w:spacing w:val="40"/>
        </w:rPr>
        <w:t xml:space="preserve"> </w:t>
      </w:r>
      <w:r>
        <w:t>a</w:t>
      </w:r>
      <w:r>
        <w:rPr>
          <w:spacing w:val="40"/>
        </w:rPr>
        <w:t xml:space="preserve"> </w:t>
      </w:r>
      <w:r>
        <w:t>elaboração,</w:t>
      </w:r>
      <w:r>
        <w:rPr>
          <w:spacing w:val="40"/>
        </w:rPr>
        <w:t xml:space="preserve"> </w:t>
      </w:r>
      <w:r>
        <w:t>a redação, a alteração e a consolidação das leis estaduais. Diário Oficial do Paraná, 2014.</w:t>
      </w:r>
    </w:p>
    <w:p w:rsidR="007259F2" w:rsidRDefault="00E655B4">
      <w:pPr>
        <w:spacing w:before="120"/>
        <w:ind w:left="710"/>
      </w:pPr>
      <w:r>
        <w:t>SÃO</w:t>
      </w:r>
      <w:r>
        <w:rPr>
          <w:spacing w:val="40"/>
        </w:rPr>
        <w:t xml:space="preserve"> </w:t>
      </w:r>
      <w:r>
        <w:t>PAULO</w:t>
      </w:r>
      <w:r>
        <w:rPr>
          <w:spacing w:val="40"/>
        </w:rPr>
        <w:t xml:space="preserve"> </w:t>
      </w:r>
      <w:r>
        <w:t>(SP).</w:t>
      </w:r>
      <w:r>
        <w:rPr>
          <w:spacing w:val="40"/>
        </w:rPr>
        <w:t xml:space="preserve"> </w:t>
      </w:r>
      <w:r>
        <w:t>Procuradoria</w:t>
      </w:r>
      <w:r>
        <w:rPr>
          <w:spacing w:val="40"/>
        </w:rPr>
        <w:t xml:space="preserve"> </w:t>
      </w:r>
      <w:r>
        <w:t>da</w:t>
      </w:r>
      <w:r>
        <w:rPr>
          <w:spacing w:val="40"/>
        </w:rPr>
        <w:t xml:space="preserve"> </w:t>
      </w:r>
      <w:r>
        <w:t>Câmara</w:t>
      </w:r>
      <w:r>
        <w:rPr>
          <w:spacing w:val="40"/>
        </w:rPr>
        <w:t xml:space="preserve"> </w:t>
      </w:r>
      <w:r>
        <w:t>Municipal</w:t>
      </w:r>
      <w:r>
        <w:rPr>
          <w:spacing w:val="40"/>
        </w:rPr>
        <w:t xml:space="preserve"> </w:t>
      </w:r>
      <w:r>
        <w:t>de</w:t>
      </w:r>
      <w:r>
        <w:rPr>
          <w:spacing w:val="40"/>
        </w:rPr>
        <w:t xml:space="preserve"> </w:t>
      </w:r>
      <w:r>
        <w:t>São</w:t>
      </w:r>
      <w:r>
        <w:rPr>
          <w:spacing w:val="40"/>
        </w:rPr>
        <w:t xml:space="preserve"> </w:t>
      </w:r>
      <w:r>
        <w:t>Paulo.</w:t>
      </w:r>
      <w:r>
        <w:rPr>
          <w:spacing w:val="40"/>
        </w:rPr>
        <w:t xml:space="preserve"> </w:t>
      </w:r>
      <w:r>
        <w:rPr>
          <w:b/>
        </w:rPr>
        <w:t>Manual</w:t>
      </w:r>
      <w:r>
        <w:rPr>
          <w:b/>
          <w:spacing w:val="40"/>
        </w:rPr>
        <w:t xml:space="preserve"> </w:t>
      </w:r>
      <w:r>
        <w:rPr>
          <w:b/>
        </w:rPr>
        <w:t>de</w:t>
      </w:r>
      <w:r>
        <w:rPr>
          <w:b/>
          <w:spacing w:val="40"/>
        </w:rPr>
        <w:t xml:space="preserve"> </w:t>
      </w:r>
      <w:r>
        <w:rPr>
          <w:b/>
        </w:rPr>
        <w:t>Elaboração</w:t>
      </w:r>
      <w:r>
        <w:rPr>
          <w:b/>
          <w:spacing w:val="40"/>
        </w:rPr>
        <w:t xml:space="preserve"> </w:t>
      </w:r>
      <w:r>
        <w:rPr>
          <w:b/>
        </w:rPr>
        <w:t>legislativa</w:t>
      </w:r>
      <w:r>
        <w:t>, 2021.</w:t>
      </w:r>
    </w:p>
    <w:p w:rsidR="007259F2" w:rsidRDefault="00E655B4">
      <w:pPr>
        <w:spacing w:before="121"/>
        <w:ind w:left="710" w:right="420"/>
        <w:jc w:val="both"/>
      </w:pPr>
      <w:r>
        <w:t>SÃO</w:t>
      </w:r>
      <w:r>
        <w:rPr>
          <w:spacing w:val="-3"/>
        </w:rPr>
        <w:t xml:space="preserve"> </w:t>
      </w:r>
      <w:r>
        <w:t>PAULO</w:t>
      </w:r>
      <w:r>
        <w:rPr>
          <w:spacing w:val="-4"/>
        </w:rPr>
        <w:t xml:space="preserve"> </w:t>
      </w:r>
      <w:r>
        <w:t>(SP).</w:t>
      </w:r>
      <w:r>
        <w:rPr>
          <w:spacing w:val="-2"/>
        </w:rPr>
        <w:t xml:space="preserve"> </w:t>
      </w:r>
      <w:r>
        <w:rPr>
          <w:b/>
        </w:rPr>
        <w:t>LEI</w:t>
      </w:r>
      <w:r>
        <w:rPr>
          <w:b/>
          <w:spacing w:val="-2"/>
        </w:rPr>
        <w:t xml:space="preserve"> </w:t>
      </w:r>
      <w:r>
        <w:rPr>
          <w:b/>
        </w:rPr>
        <w:t>Nº</w:t>
      </w:r>
      <w:r>
        <w:rPr>
          <w:b/>
          <w:spacing w:val="-4"/>
        </w:rPr>
        <w:t xml:space="preserve"> </w:t>
      </w:r>
      <w:r>
        <w:rPr>
          <w:b/>
        </w:rPr>
        <w:t>17.880,</w:t>
      </w:r>
      <w:r>
        <w:rPr>
          <w:b/>
          <w:spacing w:val="-2"/>
        </w:rPr>
        <w:t xml:space="preserve"> </w:t>
      </w:r>
      <w:r>
        <w:rPr>
          <w:b/>
        </w:rPr>
        <w:t>DE</w:t>
      </w:r>
      <w:r>
        <w:rPr>
          <w:b/>
          <w:spacing w:val="-3"/>
        </w:rPr>
        <w:t xml:space="preserve"> </w:t>
      </w:r>
      <w:r>
        <w:rPr>
          <w:b/>
        </w:rPr>
        <w:t>30</w:t>
      </w:r>
      <w:r>
        <w:rPr>
          <w:b/>
          <w:spacing w:val="-2"/>
        </w:rPr>
        <w:t xml:space="preserve"> </w:t>
      </w:r>
      <w:r>
        <w:rPr>
          <w:b/>
        </w:rPr>
        <w:t>DE</w:t>
      </w:r>
      <w:r>
        <w:rPr>
          <w:b/>
          <w:spacing w:val="-3"/>
        </w:rPr>
        <w:t xml:space="preserve"> </w:t>
      </w:r>
      <w:r>
        <w:rPr>
          <w:b/>
        </w:rPr>
        <w:t>DEZEMBRO</w:t>
      </w:r>
      <w:r>
        <w:rPr>
          <w:b/>
          <w:spacing w:val="-1"/>
        </w:rPr>
        <w:t xml:space="preserve"> </w:t>
      </w:r>
      <w:r>
        <w:rPr>
          <w:b/>
        </w:rPr>
        <w:t>DE</w:t>
      </w:r>
      <w:r>
        <w:rPr>
          <w:b/>
          <w:spacing w:val="-3"/>
        </w:rPr>
        <w:t xml:space="preserve"> </w:t>
      </w:r>
      <w:r>
        <w:rPr>
          <w:b/>
        </w:rPr>
        <w:t>2022</w:t>
      </w:r>
      <w:r>
        <w:t>.</w:t>
      </w:r>
      <w:r>
        <w:rPr>
          <w:spacing w:val="-2"/>
        </w:rPr>
        <w:t xml:space="preserve"> </w:t>
      </w:r>
      <w:r>
        <w:t>Autoriza</w:t>
      </w:r>
      <w:r>
        <w:rPr>
          <w:spacing w:val="-2"/>
        </w:rPr>
        <w:t xml:space="preserve"> </w:t>
      </w:r>
      <w:r>
        <w:t>o</w:t>
      </w:r>
      <w:r>
        <w:rPr>
          <w:spacing w:val="-2"/>
        </w:rPr>
        <w:t xml:space="preserve"> </w:t>
      </w:r>
      <w:r>
        <w:t>Poder</w:t>
      </w:r>
      <w:r>
        <w:rPr>
          <w:spacing w:val="-1"/>
        </w:rPr>
        <w:t xml:space="preserve"> </w:t>
      </w:r>
      <w:r>
        <w:t>Executivo</w:t>
      </w:r>
      <w:r>
        <w:rPr>
          <w:spacing w:val="-2"/>
        </w:rPr>
        <w:t xml:space="preserve"> </w:t>
      </w:r>
      <w:r>
        <w:t>a instituir o Programa de Incentivo e Visibilidade ao Acolhimento Familiar [...] (SP): Diário Oficial do Município, 2022.</w:t>
      </w:r>
    </w:p>
    <w:p w:rsidR="007259F2" w:rsidRDefault="00E655B4">
      <w:pPr>
        <w:spacing w:before="120"/>
        <w:ind w:left="710" w:right="420"/>
        <w:jc w:val="both"/>
      </w:pPr>
      <w:r>
        <w:t xml:space="preserve">SÃO PAULO (SP). </w:t>
      </w:r>
      <w:r>
        <w:rPr>
          <w:b/>
        </w:rPr>
        <w:t>LEI Nº 17.879, DE 30 DE DEZEMBRO DE 2022</w:t>
      </w:r>
      <w:r>
        <w:t>. Regulamenta no âmbito do Município de São Paulo a instituição de ambientes experimentais de inovação [...] São Paulo (SP): Diário Oficial do Município, 2022.</w:t>
      </w:r>
    </w:p>
    <w:p w:rsidR="007259F2" w:rsidRDefault="00E655B4">
      <w:pPr>
        <w:spacing w:before="122"/>
        <w:ind w:left="710" w:right="421"/>
        <w:jc w:val="both"/>
      </w:pPr>
      <w:r>
        <w:t xml:space="preserve">SÃO PAULO (SP). </w:t>
      </w:r>
      <w:r>
        <w:rPr>
          <w:b/>
        </w:rPr>
        <w:t>LEI Nº 17.878, DE 29 DE DEZEMBRO DE 2022</w:t>
      </w:r>
      <w:r>
        <w:t>. Dispõe sobre a cassação da licença de funcionamento [...] São Paulo (SP): Diário Oficial do Município, 2022.</w:t>
      </w:r>
    </w:p>
    <w:p w:rsidR="007259F2" w:rsidRDefault="00E655B4">
      <w:pPr>
        <w:spacing w:before="118"/>
        <w:ind w:left="710" w:right="422"/>
        <w:jc w:val="both"/>
      </w:pPr>
      <w:r>
        <w:t xml:space="preserve">SÃO PAULO (SP). </w:t>
      </w:r>
      <w:r>
        <w:rPr>
          <w:b/>
        </w:rPr>
        <w:t>LEI Nº 17.877, DE 29 DE DEZEMBRO DE 2022</w:t>
      </w:r>
      <w:r>
        <w:t>. Autoriza a instituição de Fomento [...] São Paulo (SP): Diário Oficial do Município, 2022.</w:t>
      </w:r>
    </w:p>
    <w:p w:rsidR="007259F2" w:rsidRDefault="00E655B4">
      <w:pPr>
        <w:spacing w:before="120"/>
        <w:ind w:left="710" w:right="422"/>
        <w:jc w:val="both"/>
      </w:pPr>
      <w:r>
        <w:t xml:space="preserve">SÃO PAULO (SP). </w:t>
      </w:r>
      <w:r>
        <w:rPr>
          <w:b/>
        </w:rPr>
        <w:t>LEI Nº 17.876, DE 29 DE DEZEMBRO DE 2022</w:t>
      </w:r>
      <w:r>
        <w:t>. Estima a receita e fixa a despesa do Município de São Paulo para o exercício de 2023. São Paulo (SP): Diário Oficial do Município, 2022.</w:t>
      </w:r>
    </w:p>
    <w:p w:rsidR="007259F2" w:rsidRDefault="00E655B4">
      <w:pPr>
        <w:spacing w:before="120"/>
        <w:ind w:left="710"/>
      </w:pPr>
      <w:r>
        <w:t>SÃO</w:t>
      </w:r>
      <w:r>
        <w:rPr>
          <w:spacing w:val="-2"/>
        </w:rPr>
        <w:t xml:space="preserve"> </w:t>
      </w:r>
      <w:r>
        <w:t>PAULO</w:t>
      </w:r>
      <w:r>
        <w:rPr>
          <w:spacing w:val="-3"/>
        </w:rPr>
        <w:t xml:space="preserve"> </w:t>
      </w:r>
      <w:r>
        <w:t xml:space="preserve">(SP). </w:t>
      </w:r>
      <w:r>
        <w:rPr>
          <w:b/>
        </w:rPr>
        <w:t>LEI Nº</w:t>
      </w:r>
      <w:r>
        <w:rPr>
          <w:b/>
          <w:spacing w:val="-2"/>
        </w:rPr>
        <w:t xml:space="preserve"> </w:t>
      </w:r>
      <w:r>
        <w:rPr>
          <w:b/>
        </w:rPr>
        <w:t>17.875</w:t>
      </w:r>
      <w:r>
        <w:rPr>
          <w:b/>
          <w:spacing w:val="-1"/>
        </w:rPr>
        <w:t xml:space="preserve"> </w:t>
      </w:r>
      <w:r>
        <w:rPr>
          <w:b/>
        </w:rPr>
        <w:t>DE</w:t>
      </w:r>
      <w:r>
        <w:rPr>
          <w:b/>
          <w:spacing w:val="-1"/>
        </w:rPr>
        <w:t xml:space="preserve"> </w:t>
      </w:r>
      <w:r>
        <w:rPr>
          <w:b/>
        </w:rPr>
        <w:t>29</w:t>
      </w:r>
      <w:r>
        <w:rPr>
          <w:b/>
          <w:spacing w:val="-1"/>
        </w:rPr>
        <w:t xml:space="preserve"> </w:t>
      </w:r>
      <w:r>
        <w:rPr>
          <w:b/>
        </w:rPr>
        <w:t>DE</w:t>
      </w:r>
      <w:r>
        <w:rPr>
          <w:b/>
          <w:spacing w:val="-2"/>
        </w:rPr>
        <w:t xml:space="preserve"> </w:t>
      </w:r>
      <w:r>
        <w:rPr>
          <w:b/>
        </w:rPr>
        <w:t>DEZEMBRO</w:t>
      </w:r>
      <w:r>
        <w:rPr>
          <w:b/>
          <w:spacing w:val="1"/>
        </w:rPr>
        <w:t xml:space="preserve"> </w:t>
      </w:r>
      <w:r>
        <w:rPr>
          <w:b/>
        </w:rPr>
        <w:t>DE</w:t>
      </w:r>
      <w:r>
        <w:rPr>
          <w:b/>
          <w:spacing w:val="-2"/>
        </w:rPr>
        <w:t xml:space="preserve"> </w:t>
      </w:r>
      <w:r>
        <w:rPr>
          <w:b/>
        </w:rPr>
        <w:t>2022</w:t>
      </w:r>
      <w:r>
        <w:t>.</w:t>
      </w:r>
      <w:r>
        <w:rPr>
          <w:spacing w:val="-1"/>
        </w:rPr>
        <w:t xml:space="preserve"> </w:t>
      </w:r>
      <w:r>
        <w:t>Remite</w:t>
      </w:r>
      <w:r>
        <w:rPr>
          <w:spacing w:val="-2"/>
        </w:rPr>
        <w:t xml:space="preserve"> </w:t>
      </w:r>
      <w:r>
        <w:t>créditos</w:t>
      </w:r>
      <w:r>
        <w:rPr>
          <w:spacing w:val="-3"/>
        </w:rPr>
        <w:t xml:space="preserve"> </w:t>
      </w:r>
      <w:r>
        <w:t>de</w:t>
      </w:r>
      <w:r>
        <w:rPr>
          <w:spacing w:val="-1"/>
        </w:rPr>
        <w:t xml:space="preserve"> </w:t>
      </w:r>
      <w:r>
        <w:t>IPTU</w:t>
      </w:r>
      <w:r>
        <w:rPr>
          <w:spacing w:val="-1"/>
        </w:rPr>
        <w:t xml:space="preserve"> </w:t>
      </w:r>
      <w:r>
        <w:rPr>
          <w:spacing w:val="-4"/>
        </w:rPr>
        <w:t>para</w:t>
      </w:r>
    </w:p>
    <w:p w:rsidR="007259F2" w:rsidRDefault="00E655B4">
      <w:pPr>
        <w:spacing w:before="2"/>
        <w:ind w:left="710"/>
        <w:jc w:val="both"/>
      </w:pPr>
      <w:r>
        <w:t>os</w:t>
      </w:r>
      <w:r>
        <w:rPr>
          <w:spacing w:val="-5"/>
        </w:rPr>
        <w:t xml:space="preserve"> </w:t>
      </w:r>
      <w:r>
        <w:t>imóveis</w:t>
      </w:r>
      <w:r>
        <w:rPr>
          <w:spacing w:val="-3"/>
        </w:rPr>
        <w:t xml:space="preserve"> </w:t>
      </w:r>
      <w:r>
        <w:t>que</w:t>
      </w:r>
      <w:r>
        <w:rPr>
          <w:spacing w:val="-3"/>
        </w:rPr>
        <w:t xml:space="preserve"> </w:t>
      </w:r>
      <w:r>
        <w:t>especifica</w:t>
      </w:r>
      <w:r>
        <w:rPr>
          <w:spacing w:val="-3"/>
        </w:rPr>
        <w:t xml:space="preserve"> </w:t>
      </w:r>
      <w:r>
        <w:t>[...]</w:t>
      </w:r>
      <w:r>
        <w:rPr>
          <w:spacing w:val="-3"/>
        </w:rPr>
        <w:t xml:space="preserve"> </w:t>
      </w:r>
      <w:r>
        <w:t>São</w:t>
      </w:r>
      <w:r>
        <w:rPr>
          <w:spacing w:val="-3"/>
        </w:rPr>
        <w:t xml:space="preserve"> </w:t>
      </w:r>
      <w:r>
        <w:t>Paulo</w:t>
      </w:r>
      <w:r>
        <w:rPr>
          <w:spacing w:val="-5"/>
        </w:rPr>
        <w:t xml:space="preserve"> </w:t>
      </w:r>
      <w:r>
        <w:t>(SP):</w:t>
      </w:r>
      <w:r>
        <w:rPr>
          <w:spacing w:val="-2"/>
        </w:rPr>
        <w:t xml:space="preserve"> </w:t>
      </w:r>
      <w:r>
        <w:t>Diário</w:t>
      </w:r>
      <w:r>
        <w:rPr>
          <w:spacing w:val="-6"/>
        </w:rPr>
        <w:t xml:space="preserve"> </w:t>
      </w:r>
      <w:r>
        <w:t>Oficial</w:t>
      </w:r>
      <w:r>
        <w:rPr>
          <w:spacing w:val="-4"/>
        </w:rPr>
        <w:t xml:space="preserve"> </w:t>
      </w:r>
      <w:r>
        <w:t>do</w:t>
      </w:r>
      <w:r>
        <w:rPr>
          <w:spacing w:val="-3"/>
        </w:rPr>
        <w:t xml:space="preserve"> </w:t>
      </w:r>
      <w:r>
        <w:t>Município,</w:t>
      </w:r>
      <w:r>
        <w:rPr>
          <w:spacing w:val="-2"/>
        </w:rPr>
        <w:t xml:space="preserve"> 2022.</w:t>
      </w:r>
    </w:p>
    <w:p w:rsidR="007259F2" w:rsidRDefault="00E655B4">
      <w:pPr>
        <w:spacing w:before="119"/>
        <w:ind w:left="710"/>
      </w:pPr>
      <w:r>
        <w:t>SÃO</w:t>
      </w:r>
      <w:r>
        <w:rPr>
          <w:spacing w:val="41"/>
        </w:rPr>
        <w:t xml:space="preserve"> </w:t>
      </w:r>
      <w:r>
        <w:t>PAULO</w:t>
      </w:r>
      <w:r>
        <w:rPr>
          <w:spacing w:val="44"/>
        </w:rPr>
        <w:t xml:space="preserve"> </w:t>
      </w:r>
      <w:r>
        <w:t>(SP).</w:t>
      </w:r>
      <w:r>
        <w:rPr>
          <w:spacing w:val="45"/>
        </w:rPr>
        <w:t xml:space="preserve"> </w:t>
      </w:r>
      <w:r>
        <w:rPr>
          <w:b/>
        </w:rPr>
        <w:t>LEI</w:t>
      </w:r>
      <w:r>
        <w:rPr>
          <w:b/>
          <w:spacing w:val="44"/>
        </w:rPr>
        <w:t xml:space="preserve"> </w:t>
      </w:r>
      <w:r>
        <w:rPr>
          <w:b/>
        </w:rPr>
        <w:t>Nº</w:t>
      </w:r>
      <w:r>
        <w:rPr>
          <w:b/>
          <w:spacing w:val="44"/>
        </w:rPr>
        <w:t xml:space="preserve"> </w:t>
      </w:r>
      <w:r>
        <w:rPr>
          <w:b/>
        </w:rPr>
        <w:t>17.874,</w:t>
      </w:r>
      <w:r>
        <w:rPr>
          <w:b/>
          <w:spacing w:val="45"/>
        </w:rPr>
        <w:t xml:space="preserve"> </w:t>
      </w:r>
      <w:r>
        <w:rPr>
          <w:b/>
        </w:rPr>
        <w:t>DE</w:t>
      </w:r>
      <w:r>
        <w:rPr>
          <w:b/>
          <w:spacing w:val="44"/>
        </w:rPr>
        <w:t xml:space="preserve"> </w:t>
      </w:r>
      <w:r>
        <w:rPr>
          <w:b/>
        </w:rPr>
        <w:t>28</w:t>
      </w:r>
      <w:r>
        <w:rPr>
          <w:b/>
          <w:spacing w:val="45"/>
        </w:rPr>
        <w:t xml:space="preserve"> </w:t>
      </w:r>
      <w:r>
        <w:rPr>
          <w:b/>
        </w:rPr>
        <w:t>DE</w:t>
      </w:r>
      <w:r>
        <w:rPr>
          <w:b/>
          <w:spacing w:val="44"/>
        </w:rPr>
        <w:t xml:space="preserve"> </w:t>
      </w:r>
      <w:r>
        <w:rPr>
          <w:b/>
        </w:rPr>
        <w:t>DEZEMBRO</w:t>
      </w:r>
      <w:r>
        <w:rPr>
          <w:b/>
          <w:spacing w:val="46"/>
        </w:rPr>
        <w:t xml:space="preserve"> </w:t>
      </w:r>
      <w:r>
        <w:rPr>
          <w:b/>
        </w:rPr>
        <w:t>DE</w:t>
      </w:r>
      <w:r>
        <w:rPr>
          <w:b/>
          <w:spacing w:val="44"/>
        </w:rPr>
        <w:t xml:space="preserve"> </w:t>
      </w:r>
      <w:r>
        <w:rPr>
          <w:b/>
        </w:rPr>
        <w:t>2022</w:t>
      </w:r>
      <w:r>
        <w:t>.</w:t>
      </w:r>
      <w:r>
        <w:rPr>
          <w:spacing w:val="45"/>
        </w:rPr>
        <w:t xml:space="preserve"> </w:t>
      </w:r>
      <w:r>
        <w:t>Autoriza</w:t>
      </w:r>
      <w:r>
        <w:rPr>
          <w:spacing w:val="45"/>
        </w:rPr>
        <w:t xml:space="preserve"> </w:t>
      </w:r>
      <w:r>
        <w:t>a</w:t>
      </w:r>
      <w:r>
        <w:rPr>
          <w:spacing w:val="46"/>
        </w:rPr>
        <w:t xml:space="preserve"> </w:t>
      </w:r>
      <w:r>
        <w:t>criação</w:t>
      </w:r>
      <w:r>
        <w:rPr>
          <w:spacing w:val="43"/>
        </w:rPr>
        <w:t xml:space="preserve"> </w:t>
      </w:r>
      <w:r>
        <w:rPr>
          <w:spacing w:val="-5"/>
        </w:rPr>
        <w:t>do</w:t>
      </w:r>
    </w:p>
    <w:p w:rsidR="007259F2" w:rsidRDefault="00E655B4">
      <w:pPr>
        <w:spacing w:before="1"/>
        <w:ind w:left="710"/>
        <w:jc w:val="both"/>
      </w:pPr>
      <w:r>
        <w:t>Circuito</w:t>
      </w:r>
      <w:r>
        <w:rPr>
          <w:spacing w:val="-6"/>
        </w:rPr>
        <w:t xml:space="preserve"> </w:t>
      </w:r>
      <w:r>
        <w:t>Cultural,</w:t>
      </w:r>
      <w:r>
        <w:rPr>
          <w:spacing w:val="-4"/>
        </w:rPr>
        <w:t xml:space="preserve"> </w:t>
      </w:r>
      <w:r>
        <w:t>Gastronômico</w:t>
      </w:r>
      <w:r>
        <w:rPr>
          <w:spacing w:val="-4"/>
        </w:rPr>
        <w:t xml:space="preserve"> </w:t>
      </w:r>
      <w:r>
        <w:t>e</w:t>
      </w:r>
      <w:r>
        <w:rPr>
          <w:spacing w:val="-4"/>
        </w:rPr>
        <w:t xml:space="preserve"> </w:t>
      </w:r>
      <w:r>
        <w:t>[...]</w:t>
      </w:r>
      <w:r>
        <w:rPr>
          <w:spacing w:val="-4"/>
        </w:rPr>
        <w:t xml:space="preserve"> </w:t>
      </w:r>
      <w:r>
        <w:t>São</w:t>
      </w:r>
      <w:r>
        <w:rPr>
          <w:spacing w:val="-4"/>
        </w:rPr>
        <w:t xml:space="preserve"> </w:t>
      </w:r>
      <w:r>
        <w:t>Paulo</w:t>
      </w:r>
      <w:r>
        <w:rPr>
          <w:spacing w:val="-7"/>
        </w:rPr>
        <w:t xml:space="preserve"> </w:t>
      </w:r>
      <w:r>
        <w:t>(SP):</w:t>
      </w:r>
      <w:r>
        <w:rPr>
          <w:spacing w:val="-6"/>
        </w:rPr>
        <w:t xml:space="preserve"> </w:t>
      </w:r>
      <w:r>
        <w:t>Diário</w:t>
      </w:r>
      <w:r>
        <w:rPr>
          <w:spacing w:val="-4"/>
        </w:rPr>
        <w:t xml:space="preserve"> </w:t>
      </w:r>
      <w:r>
        <w:t>Oficial</w:t>
      </w:r>
      <w:r>
        <w:rPr>
          <w:spacing w:val="-5"/>
        </w:rPr>
        <w:t xml:space="preserve"> </w:t>
      </w:r>
      <w:r>
        <w:t>do</w:t>
      </w:r>
      <w:r>
        <w:rPr>
          <w:spacing w:val="-4"/>
        </w:rPr>
        <w:t xml:space="preserve"> </w:t>
      </w:r>
      <w:r>
        <w:t>Município,</w:t>
      </w:r>
      <w:r>
        <w:rPr>
          <w:spacing w:val="-3"/>
        </w:rPr>
        <w:t xml:space="preserve"> </w:t>
      </w:r>
      <w:r>
        <w:rPr>
          <w:spacing w:val="-2"/>
        </w:rPr>
        <w:t>2022.</w:t>
      </w:r>
    </w:p>
    <w:p w:rsidR="007259F2" w:rsidRDefault="00E655B4">
      <w:pPr>
        <w:spacing w:before="119"/>
        <w:ind w:left="710" w:right="422"/>
      </w:pPr>
      <w:r>
        <w:t xml:space="preserve">SÃO PAULO (SP). </w:t>
      </w:r>
      <w:r>
        <w:rPr>
          <w:b/>
        </w:rPr>
        <w:t>LEI Nº 17.873, DE 28 DE DEZEMBRO DE 2022</w:t>
      </w:r>
      <w:r>
        <w:t>. Dispõe sobre a concessão de uso da área pública [...] São Paulo (SP): Diário Oficial do Município, 2022.</w:t>
      </w:r>
    </w:p>
    <w:p w:rsidR="007259F2" w:rsidRDefault="00E655B4">
      <w:pPr>
        <w:spacing w:before="121" w:line="252" w:lineRule="exact"/>
        <w:ind w:left="710"/>
      </w:pPr>
      <w:r>
        <w:t>SÃO</w:t>
      </w:r>
      <w:r>
        <w:rPr>
          <w:spacing w:val="39"/>
        </w:rPr>
        <w:t xml:space="preserve"> </w:t>
      </w:r>
      <w:r>
        <w:t>PAULO</w:t>
      </w:r>
      <w:r>
        <w:rPr>
          <w:spacing w:val="38"/>
        </w:rPr>
        <w:t xml:space="preserve"> </w:t>
      </w:r>
      <w:r>
        <w:t>(SP).</w:t>
      </w:r>
      <w:r>
        <w:rPr>
          <w:spacing w:val="40"/>
        </w:rPr>
        <w:t xml:space="preserve"> </w:t>
      </w:r>
      <w:r>
        <w:rPr>
          <w:b/>
        </w:rPr>
        <w:t>LEI</w:t>
      </w:r>
      <w:r>
        <w:rPr>
          <w:b/>
          <w:spacing w:val="38"/>
        </w:rPr>
        <w:t xml:space="preserve"> </w:t>
      </w:r>
      <w:r>
        <w:rPr>
          <w:b/>
        </w:rPr>
        <w:t>Nº</w:t>
      </w:r>
      <w:r>
        <w:rPr>
          <w:b/>
          <w:spacing w:val="39"/>
        </w:rPr>
        <w:t xml:space="preserve"> </w:t>
      </w:r>
      <w:r>
        <w:rPr>
          <w:b/>
        </w:rPr>
        <w:t>17.872,</w:t>
      </w:r>
      <w:r>
        <w:rPr>
          <w:b/>
          <w:spacing w:val="40"/>
        </w:rPr>
        <w:t xml:space="preserve"> </w:t>
      </w:r>
      <w:r>
        <w:rPr>
          <w:b/>
        </w:rPr>
        <w:t>DE</w:t>
      </w:r>
      <w:r>
        <w:rPr>
          <w:b/>
          <w:spacing w:val="39"/>
        </w:rPr>
        <w:t xml:space="preserve"> </w:t>
      </w:r>
      <w:r>
        <w:rPr>
          <w:b/>
        </w:rPr>
        <w:t>28</w:t>
      </w:r>
      <w:r>
        <w:rPr>
          <w:b/>
          <w:spacing w:val="40"/>
        </w:rPr>
        <w:t xml:space="preserve"> </w:t>
      </w:r>
      <w:r>
        <w:rPr>
          <w:b/>
        </w:rPr>
        <w:t>DE</w:t>
      </w:r>
      <w:r>
        <w:rPr>
          <w:b/>
          <w:spacing w:val="39"/>
        </w:rPr>
        <w:t xml:space="preserve"> </w:t>
      </w:r>
      <w:r>
        <w:rPr>
          <w:b/>
        </w:rPr>
        <w:t>DEZEMBRO</w:t>
      </w:r>
      <w:r>
        <w:rPr>
          <w:b/>
          <w:spacing w:val="41"/>
        </w:rPr>
        <w:t xml:space="preserve"> </w:t>
      </w:r>
      <w:r>
        <w:rPr>
          <w:b/>
        </w:rPr>
        <w:t>DE</w:t>
      </w:r>
      <w:r>
        <w:rPr>
          <w:b/>
          <w:spacing w:val="39"/>
        </w:rPr>
        <w:t xml:space="preserve"> </w:t>
      </w:r>
      <w:r>
        <w:rPr>
          <w:b/>
        </w:rPr>
        <w:t>2022</w:t>
      </w:r>
      <w:r>
        <w:t>.</w:t>
      </w:r>
      <w:r>
        <w:rPr>
          <w:spacing w:val="40"/>
        </w:rPr>
        <w:t xml:space="preserve"> </w:t>
      </w:r>
      <w:r>
        <w:t>Institui</w:t>
      </w:r>
      <w:r>
        <w:rPr>
          <w:spacing w:val="41"/>
        </w:rPr>
        <w:t xml:space="preserve"> </w:t>
      </w:r>
      <w:r>
        <w:t>o</w:t>
      </w:r>
      <w:r>
        <w:rPr>
          <w:spacing w:val="40"/>
        </w:rPr>
        <w:t xml:space="preserve"> </w:t>
      </w:r>
      <w:r>
        <w:t>Programa</w:t>
      </w:r>
      <w:r>
        <w:rPr>
          <w:spacing w:val="41"/>
        </w:rPr>
        <w:t xml:space="preserve"> </w:t>
      </w:r>
      <w:r>
        <w:rPr>
          <w:spacing w:val="-5"/>
        </w:rPr>
        <w:t>de</w:t>
      </w:r>
    </w:p>
    <w:p w:rsidR="007259F2" w:rsidRDefault="00E655B4">
      <w:pPr>
        <w:spacing w:line="252" w:lineRule="exact"/>
        <w:ind w:left="710"/>
      </w:pPr>
      <w:r>
        <w:t>Atendimento</w:t>
      </w:r>
      <w:r>
        <w:rPr>
          <w:spacing w:val="-6"/>
        </w:rPr>
        <w:t xml:space="preserve"> </w:t>
      </w:r>
      <w:r>
        <w:t>Educacional</w:t>
      </w:r>
      <w:r>
        <w:rPr>
          <w:spacing w:val="-5"/>
        </w:rPr>
        <w:t xml:space="preserve"> </w:t>
      </w:r>
      <w:r>
        <w:t>[...].</w:t>
      </w:r>
      <w:r>
        <w:rPr>
          <w:spacing w:val="-4"/>
        </w:rPr>
        <w:t xml:space="preserve"> </w:t>
      </w:r>
      <w:r>
        <w:t>São</w:t>
      </w:r>
      <w:r>
        <w:rPr>
          <w:spacing w:val="-3"/>
        </w:rPr>
        <w:t xml:space="preserve"> </w:t>
      </w:r>
      <w:r>
        <w:t>Paulo</w:t>
      </w:r>
      <w:r>
        <w:rPr>
          <w:spacing w:val="-4"/>
        </w:rPr>
        <w:t xml:space="preserve"> </w:t>
      </w:r>
      <w:r>
        <w:t>(SP):</w:t>
      </w:r>
      <w:r>
        <w:rPr>
          <w:spacing w:val="-2"/>
        </w:rPr>
        <w:t xml:space="preserve"> </w:t>
      </w:r>
      <w:r>
        <w:t>Diário</w:t>
      </w:r>
      <w:r>
        <w:rPr>
          <w:spacing w:val="-6"/>
        </w:rPr>
        <w:t xml:space="preserve"> </w:t>
      </w:r>
      <w:r>
        <w:t>Oficial</w:t>
      </w:r>
      <w:r>
        <w:rPr>
          <w:spacing w:val="-6"/>
        </w:rPr>
        <w:t xml:space="preserve"> </w:t>
      </w:r>
      <w:r>
        <w:t>do</w:t>
      </w:r>
      <w:r>
        <w:rPr>
          <w:spacing w:val="-3"/>
        </w:rPr>
        <w:t xml:space="preserve"> </w:t>
      </w:r>
      <w:r>
        <w:t>Município,</w:t>
      </w:r>
      <w:r>
        <w:rPr>
          <w:spacing w:val="-3"/>
        </w:rPr>
        <w:t xml:space="preserve"> </w:t>
      </w:r>
      <w:r>
        <w:rPr>
          <w:spacing w:val="-2"/>
        </w:rPr>
        <w:t>2022.</w:t>
      </w:r>
    </w:p>
    <w:p w:rsidR="007259F2" w:rsidRDefault="00E655B4">
      <w:pPr>
        <w:spacing w:before="121" w:line="252" w:lineRule="exact"/>
        <w:ind w:left="710"/>
      </w:pPr>
      <w:r>
        <w:t>SÃO PAULO</w:t>
      </w:r>
      <w:r>
        <w:rPr>
          <w:spacing w:val="1"/>
        </w:rPr>
        <w:t xml:space="preserve"> </w:t>
      </w:r>
      <w:r>
        <w:t>(SP).</w:t>
      </w:r>
      <w:r>
        <w:rPr>
          <w:spacing w:val="1"/>
        </w:rPr>
        <w:t xml:space="preserve"> </w:t>
      </w:r>
      <w:r>
        <w:rPr>
          <w:b/>
        </w:rPr>
        <w:t>LEI</w:t>
      </w:r>
      <w:r>
        <w:rPr>
          <w:b/>
          <w:spacing w:val="3"/>
        </w:rPr>
        <w:t xml:space="preserve"> </w:t>
      </w:r>
      <w:r>
        <w:rPr>
          <w:b/>
        </w:rPr>
        <w:t>Nº</w:t>
      </w:r>
      <w:r>
        <w:rPr>
          <w:b/>
          <w:spacing w:val="1"/>
        </w:rPr>
        <w:t xml:space="preserve"> </w:t>
      </w:r>
      <w:r>
        <w:rPr>
          <w:b/>
        </w:rPr>
        <w:t>17.871, DE</w:t>
      </w:r>
      <w:r>
        <w:rPr>
          <w:b/>
          <w:spacing w:val="1"/>
        </w:rPr>
        <w:t xml:space="preserve"> </w:t>
      </w:r>
      <w:r>
        <w:rPr>
          <w:b/>
        </w:rPr>
        <w:t>27 DE</w:t>
      </w:r>
      <w:r>
        <w:rPr>
          <w:b/>
          <w:spacing w:val="1"/>
        </w:rPr>
        <w:t xml:space="preserve"> </w:t>
      </w:r>
      <w:r>
        <w:rPr>
          <w:b/>
        </w:rPr>
        <w:t>DEZEMBRO</w:t>
      </w:r>
      <w:r>
        <w:rPr>
          <w:b/>
          <w:spacing w:val="3"/>
        </w:rPr>
        <w:t xml:space="preserve"> </w:t>
      </w:r>
      <w:r>
        <w:rPr>
          <w:b/>
        </w:rPr>
        <w:t>DE</w:t>
      </w:r>
      <w:r>
        <w:rPr>
          <w:b/>
          <w:spacing w:val="1"/>
        </w:rPr>
        <w:t xml:space="preserve"> </w:t>
      </w:r>
      <w:r>
        <w:rPr>
          <w:b/>
        </w:rPr>
        <w:t>2022</w:t>
      </w:r>
      <w:r>
        <w:t>. Altera</w:t>
      </w:r>
      <w:r>
        <w:rPr>
          <w:spacing w:val="-2"/>
        </w:rPr>
        <w:t xml:space="preserve"> </w:t>
      </w:r>
      <w:r>
        <w:t>a</w:t>
      </w:r>
      <w:r>
        <w:rPr>
          <w:spacing w:val="4"/>
        </w:rPr>
        <w:t xml:space="preserve"> </w:t>
      </w:r>
      <w:hyperlink r:id="rId243">
        <w:r>
          <w:rPr>
            <w:u w:val="single"/>
          </w:rPr>
          <w:t>Lei</w:t>
        </w:r>
        <w:r>
          <w:rPr>
            <w:spacing w:val="3"/>
            <w:u w:val="single"/>
          </w:rPr>
          <w:t xml:space="preserve"> </w:t>
        </w:r>
        <w:r>
          <w:rPr>
            <w:u w:val="single"/>
          </w:rPr>
          <w:t>nº</w:t>
        </w:r>
        <w:r>
          <w:rPr>
            <w:spacing w:val="1"/>
            <w:u w:val="single"/>
          </w:rPr>
          <w:t xml:space="preserve"> </w:t>
        </w:r>
        <w:r>
          <w:rPr>
            <w:u w:val="single"/>
          </w:rPr>
          <w:t xml:space="preserve">14.485, de </w:t>
        </w:r>
        <w:r>
          <w:rPr>
            <w:spacing w:val="-5"/>
            <w:u w:val="single"/>
          </w:rPr>
          <w:t>19</w:t>
        </w:r>
      </w:hyperlink>
    </w:p>
    <w:p w:rsidR="007259F2" w:rsidRDefault="00DE6B1C">
      <w:pPr>
        <w:spacing w:line="252" w:lineRule="exact"/>
        <w:ind w:left="710"/>
      </w:pPr>
      <w:hyperlink r:id="rId244">
        <w:r w:rsidR="00E655B4">
          <w:rPr>
            <w:u w:val="single"/>
          </w:rPr>
          <w:t>de</w:t>
        </w:r>
        <w:r w:rsidR="00E655B4">
          <w:rPr>
            <w:spacing w:val="-5"/>
            <w:u w:val="single"/>
          </w:rPr>
          <w:t xml:space="preserve"> </w:t>
        </w:r>
        <w:r w:rsidR="00E655B4">
          <w:rPr>
            <w:u w:val="single"/>
          </w:rPr>
          <w:t>julho</w:t>
        </w:r>
        <w:r w:rsidR="00E655B4">
          <w:rPr>
            <w:spacing w:val="-2"/>
            <w:u w:val="single"/>
          </w:rPr>
          <w:t xml:space="preserve"> </w:t>
        </w:r>
        <w:r w:rsidR="00E655B4">
          <w:rPr>
            <w:u w:val="single"/>
          </w:rPr>
          <w:t>de</w:t>
        </w:r>
        <w:r w:rsidR="00E655B4">
          <w:rPr>
            <w:spacing w:val="-2"/>
            <w:u w:val="single"/>
          </w:rPr>
          <w:t xml:space="preserve"> </w:t>
        </w:r>
        <w:r w:rsidR="00E655B4">
          <w:rPr>
            <w:u w:val="single"/>
          </w:rPr>
          <w:t>2007,</w:t>
        </w:r>
      </w:hyperlink>
      <w:r w:rsidR="00E655B4">
        <w:rPr>
          <w:spacing w:val="-4"/>
        </w:rPr>
        <w:t xml:space="preserve"> </w:t>
      </w:r>
      <w:r w:rsidR="00E655B4">
        <w:t>[...]</w:t>
      </w:r>
      <w:r w:rsidR="00E655B4">
        <w:rPr>
          <w:spacing w:val="-2"/>
        </w:rPr>
        <w:t xml:space="preserve"> </w:t>
      </w:r>
      <w:r w:rsidR="00E655B4">
        <w:t>São</w:t>
      </w:r>
      <w:r w:rsidR="00E655B4">
        <w:rPr>
          <w:spacing w:val="-5"/>
        </w:rPr>
        <w:t xml:space="preserve"> </w:t>
      </w:r>
      <w:r w:rsidR="00E655B4">
        <w:t>Paulo</w:t>
      </w:r>
      <w:r w:rsidR="00E655B4">
        <w:rPr>
          <w:spacing w:val="-6"/>
        </w:rPr>
        <w:t xml:space="preserve"> </w:t>
      </w:r>
      <w:r w:rsidR="00E655B4">
        <w:t>(SP):</w:t>
      </w:r>
      <w:r w:rsidR="00E655B4">
        <w:rPr>
          <w:spacing w:val="-1"/>
        </w:rPr>
        <w:t xml:space="preserve"> </w:t>
      </w:r>
      <w:r w:rsidR="00E655B4">
        <w:t>Diário</w:t>
      </w:r>
      <w:r w:rsidR="00E655B4">
        <w:rPr>
          <w:spacing w:val="-2"/>
        </w:rPr>
        <w:t xml:space="preserve"> </w:t>
      </w:r>
      <w:r w:rsidR="00E655B4">
        <w:t>Oficial</w:t>
      </w:r>
      <w:r w:rsidR="00E655B4">
        <w:rPr>
          <w:spacing w:val="-4"/>
        </w:rPr>
        <w:t xml:space="preserve"> </w:t>
      </w:r>
      <w:r w:rsidR="00E655B4">
        <w:t>do</w:t>
      </w:r>
      <w:r w:rsidR="00E655B4">
        <w:rPr>
          <w:spacing w:val="-2"/>
        </w:rPr>
        <w:t xml:space="preserve"> </w:t>
      </w:r>
      <w:r w:rsidR="00E655B4">
        <w:t>Município,</w:t>
      </w:r>
      <w:r w:rsidR="00E655B4">
        <w:rPr>
          <w:spacing w:val="-2"/>
        </w:rPr>
        <w:t xml:space="preserve"> 2022.</w:t>
      </w:r>
    </w:p>
    <w:p w:rsidR="007259F2" w:rsidRDefault="00E655B4">
      <w:pPr>
        <w:spacing w:before="119"/>
        <w:ind w:left="710" w:right="424"/>
      </w:pPr>
      <w:r>
        <w:t xml:space="preserve">SÃO PAULO (SP). </w:t>
      </w:r>
      <w:r>
        <w:rPr>
          <w:b/>
        </w:rPr>
        <w:t>LEI Nº 17.870, DE 27 DE DEZEMBRO DE 2022</w:t>
      </w:r>
      <w:r>
        <w:t xml:space="preserve">. Acrescenta inciso no art. 7º da </w:t>
      </w:r>
      <w:hyperlink r:id="rId245">
        <w:r>
          <w:rPr>
            <w:u w:val="single"/>
          </w:rPr>
          <w:t>Lei nº 14.485, de 19 de julho de 2007,</w:t>
        </w:r>
      </w:hyperlink>
      <w:r>
        <w:t xml:space="preserve"> [...] São Paulo (SP): Diário Oficial do Município, 2022.</w:t>
      </w:r>
    </w:p>
    <w:p w:rsidR="007259F2" w:rsidRDefault="00E655B4">
      <w:pPr>
        <w:spacing w:before="121"/>
        <w:ind w:left="710"/>
        <w:jc w:val="both"/>
      </w:pPr>
      <w:r>
        <w:t>SÃO PAULO</w:t>
      </w:r>
      <w:r>
        <w:rPr>
          <w:spacing w:val="1"/>
        </w:rPr>
        <w:t xml:space="preserve"> </w:t>
      </w:r>
      <w:r>
        <w:t>(SP).</w:t>
      </w:r>
      <w:r>
        <w:rPr>
          <w:spacing w:val="1"/>
        </w:rPr>
        <w:t xml:space="preserve"> </w:t>
      </w:r>
      <w:r>
        <w:rPr>
          <w:b/>
        </w:rPr>
        <w:t>LEI</w:t>
      </w:r>
      <w:r>
        <w:rPr>
          <w:b/>
          <w:spacing w:val="3"/>
        </w:rPr>
        <w:t xml:space="preserve"> </w:t>
      </w:r>
      <w:r>
        <w:rPr>
          <w:b/>
        </w:rPr>
        <w:t>Nº</w:t>
      </w:r>
      <w:r>
        <w:rPr>
          <w:b/>
          <w:spacing w:val="1"/>
        </w:rPr>
        <w:t xml:space="preserve"> </w:t>
      </w:r>
      <w:r>
        <w:rPr>
          <w:b/>
        </w:rPr>
        <w:t>17.869, DE 27 DE</w:t>
      </w:r>
      <w:r>
        <w:rPr>
          <w:b/>
          <w:spacing w:val="1"/>
        </w:rPr>
        <w:t xml:space="preserve"> </w:t>
      </w:r>
      <w:r>
        <w:rPr>
          <w:b/>
        </w:rPr>
        <w:t>DEZEMBRO</w:t>
      </w:r>
      <w:r>
        <w:rPr>
          <w:b/>
          <w:spacing w:val="3"/>
        </w:rPr>
        <w:t xml:space="preserve"> </w:t>
      </w:r>
      <w:r>
        <w:rPr>
          <w:b/>
        </w:rPr>
        <w:t>DE</w:t>
      </w:r>
      <w:r>
        <w:rPr>
          <w:b/>
          <w:spacing w:val="1"/>
        </w:rPr>
        <w:t xml:space="preserve"> </w:t>
      </w:r>
      <w:r>
        <w:rPr>
          <w:b/>
        </w:rPr>
        <w:t>2022.</w:t>
      </w:r>
      <w:r>
        <w:rPr>
          <w:b/>
          <w:spacing w:val="2"/>
        </w:rPr>
        <w:t xml:space="preserve"> </w:t>
      </w:r>
      <w:r>
        <w:t>Altera</w:t>
      </w:r>
      <w:r>
        <w:rPr>
          <w:spacing w:val="-2"/>
        </w:rPr>
        <w:t xml:space="preserve"> </w:t>
      </w:r>
      <w:r>
        <w:t>a</w:t>
      </w:r>
      <w:r>
        <w:rPr>
          <w:spacing w:val="4"/>
        </w:rPr>
        <w:t xml:space="preserve"> </w:t>
      </w:r>
      <w:hyperlink r:id="rId246">
        <w:r>
          <w:rPr>
            <w:u w:val="single"/>
          </w:rPr>
          <w:t>Lei</w:t>
        </w:r>
        <w:r>
          <w:rPr>
            <w:spacing w:val="3"/>
            <w:u w:val="single"/>
          </w:rPr>
          <w:t xml:space="preserve"> </w:t>
        </w:r>
        <w:r>
          <w:rPr>
            <w:u w:val="single"/>
          </w:rPr>
          <w:t>nº</w:t>
        </w:r>
        <w:r>
          <w:rPr>
            <w:spacing w:val="1"/>
            <w:u w:val="single"/>
          </w:rPr>
          <w:t xml:space="preserve"> </w:t>
        </w:r>
        <w:r>
          <w:rPr>
            <w:u w:val="single"/>
          </w:rPr>
          <w:t xml:space="preserve">14.485, de </w:t>
        </w:r>
        <w:r>
          <w:rPr>
            <w:spacing w:val="-5"/>
            <w:u w:val="single"/>
          </w:rPr>
          <w:t>19</w:t>
        </w:r>
      </w:hyperlink>
    </w:p>
    <w:p w:rsidR="007259F2" w:rsidRDefault="00DE6B1C">
      <w:pPr>
        <w:spacing w:before="1"/>
        <w:ind w:left="710"/>
      </w:pPr>
      <w:hyperlink r:id="rId247">
        <w:r w:rsidR="00E655B4">
          <w:rPr>
            <w:u w:val="single"/>
          </w:rPr>
          <w:t>de</w:t>
        </w:r>
        <w:r w:rsidR="00E655B4">
          <w:rPr>
            <w:spacing w:val="-5"/>
            <w:u w:val="single"/>
          </w:rPr>
          <w:t xml:space="preserve"> </w:t>
        </w:r>
        <w:r w:rsidR="00E655B4">
          <w:rPr>
            <w:u w:val="single"/>
          </w:rPr>
          <w:t>julho</w:t>
        </w:r>
        <w:r w:rsidR="00E655B4">
          <w:rPr>
            <w:spacing w:val="-2"/>
            <w:u w:val="single"/>
          </w:rPr>
          <w:t xml:space="preserve"> </w:t>
        </w:r>
        <w:r w:rsidR="00E655B4">
          <w:rPr>
            <w:u w:val="single"/>
          </w:rPr>
          <w:t>de</w:t>
        </w:r>
        <w:r w:rsidR="00E655B4">
          <w:rPr>
            <w:spacing w:val="-3"/>
            <w:u w:val="single"/>
          </w:rPr>
          <w:t xml:space="preserve"> </w:t>
        </w:r>
        <w:r w:rsidR="00E655B4">
          <w:rPr>
            <w:u w:val="single"/>
          </w:rPr>
          <w:t>2007,</w:t>
        </w:r>
      </w:hyperlink>
      <w:r w:rsidR="00E655B4">
        <w:rPr>
          <w:spacing w:val="-4"/>
        </w:rPr>
        <w:t xml:space="preserve"> </w:t>
      </w:r>
      <w:r w:rsidR="00E655B4">
        <w:t>[...]</w:t>
      </w:r>
      <w:r w:rsidR="00E655B4">
        <w:rPr>
          <w:spacing w:val="-1"/>
        </w:rPr>
        <w:t xml:space="preserve"> </w:t>
      </w:r>
      <w:r w:rsidR="00E655B4">
        <w:t>São</w:t>
      </w:r>
      <w:r w:rsidR="00E655B4">
        <w:rPr>
          <w:spacing w:val="-5"/>
        </w:rPr>
        <w:t xml:space="preserve"> </w:t>
      </w:r>
      <w:r w:rsidR="00E655B4">
        <w:t>Paulo</w:t>
      </w:r>
      <w:r w:rsidR="00E655B4">
        <w:rPr>
          <w:spacing w:val="-6"/>
        </w:rPr>
        <w:t xml:space="preserve"> </w:t>
      </w:r>
      <w:r w:rsidR="00E655B4">
        <w:t>(SP):</w:t>
      </w:r>
      <w:r w:rsidR="00E655B4">
        <w:rPr>
          <w:spacing w:val="-1"/>
        </w:rPr>
        <w:t xml:space="preserve"> </w:t>
      </w:r>
      <w:r w:rsidR="00E655B4">
        <w:t>Diário</w:t>
      </w:r>
      <w:r w:rsidR="00E655B4">
        <w:rPr>
          <w:spacing w:val="-2"/>
        </w:rPr>
        <w:t xml:space="preserve"> </w:t>
      </w:r>
      <w:r w:rsidR="00E655B4">
        <w:t>Oficial</w:t>
      </w:r>
      <w:r w:rsidR="00E655B4">
        <w:rPr>
          <w:spacing w:val="-5"/>
        </w:rPr>
        <w:t xml:space="preserve"> </w:t>
      </w:r>
      <w:r w:rsidR="00E655B4">
        <w:t>do</w:t>
      </w:r>
      <w:r w:rsidR="00E655B4">
        <w:rPr>
          <w:spacing w:val="-2"/>
        </w:rPr>
        <w:t xml:space="preserve"> </w:t>
      </w:r>
      <w:r w:rsidR="00E655B4">
        <w:t>Município,</w:t>
      </w:r>
      <w:r w:rsidR="00E655B4">
        <w:rPr>
          <w:spacing w:val="-2"/>
        </w:rPr>
        <w:t xml:space="preserve"> 2022.</w:t>
      </w:r>
    </w:p>
    <w:p w:rsidR="007259F2" w:rsidRDefault="007259F2">
      <w:pPr>
        <w:sectPr w:rsidR="007259F2">
          <w:pgSz w:w="11910" w:h="16840"/>
          <w:pgMar w:top="1620" w:right="708" w:bottom="1020" w:left="992" w:header="0" w:footer="820" w:gutter="0"/>
          <w:cols w:space="720"/>
        </w:sectPr>
      </w:pPr>
    </w:p>
    <w:p w:rsidR="007259F2" w:rsidRDefault="00E655B4">
      <w:pPr>
        <w:spacing w:before="77" w:line="252" w:lineRule="exact"/>
        <w:ind w:left="710"/>
      </w:pPr>
      <w:r>
        <w:lastRenderedPageBreak/>
        <w:t>SÃO PAULO</w:t>
      </w:r>
      <w:r>
        <w:rPr>
          <w:spacing w:val="1"/>
        </w:rPr>
        <w:t xml:space="preserve"> </w:t>
      </w:r>
      <w:r>
        <w:t>(SP).</w:t>
      </w:r>
      <w:r>
        <w:rPr>
          <w:spacing w:val="1"/>
        </w:rPr>
        <w:t xml:space="preserve"> </w:t>
      </w:r>
      <w:r>
        <w:rPr>
          <w:b/>
        </w:rPr>
        <w:t>LEI</w:t>
      </w:r>
      <w:r>
        <w:rPr>
          <w:b/>
          <w:spacing w:val="3"/>
        </w:rPr>
        <w:t xml:space="preserve"> </w:t>
      </w:r>
      <w:r>
        <w:rPr>
          <w:b/>
        </w:rPr>
        <w:t>Nº</w:t>
      </w:r>
      <w:r>
        <w:rPr>
          <w:b/>
          <w:spacing w:val="1"/>
        </w:rPr>
        <w:t xml:space="preserve"> </w:t>
      </w:r>
      <w:r>
        <w:rPr>
          <w:b/>
        </w:rPr>
        <w:t>17.868, DE 27 DE</w:t>
      </w:r>
      <w:r>
        <w:rPr>
          <w:b/>
          <w:spacing w:val="1"/>
        </w:rPr>
        <w:t xml:space="preserve"> </w:t>
      </w:r>
      <w:r>
        <w:rPr>
          <w:b/>
        </w:rPr>
        <w:t>DEZEMBRO</w:t>
      </w:r>
      <w:r>
        <w:rPr>
          <w:b/>
          <w:spacing w:val="3"/>
        </w:rPr>
        <w:t xml:space="preserve"> </w:t>
      </w:r>
      <w:r>
        <w:rPr>
          <w:b/>
        </w:rPr>
        <w:t>DE</w:t>
      </w:r>
      <w:r>
        <w:rPr>
          <w:b/>
          <w:spacing w:val="1"/>
        </w:rPr>
        <w:t xml:space="preserve"> </w:t>
      </w:r>
      <w:r>
        <w:rPr>
          <w:b/>
        </w:rPr>
        <w:t>2022.</w:t>
      </w:r>
      <w:r>
        <w:rPr>
          <w:b/>
          <w:spacing w:val="2"/>
        </w:rPr>
        <w:t xml:space="preserve"> </w:t>
      </w:r>
      <w:r>
        <w:t>Altera</w:t>
      </w:r>
      <w:r>
        <w:rPr>
          <w:spacing w:val="-2"/>
        </w:rPr>
        <w:t xml:space="preserve"> </w:t>
      </w:r>
      <w:r>
        <w:t>a</w:t>
      </w:r>
      <w:r>
        <w:rPr>
          <w:spacing w:val="4"/>
        </w:rPr>
        <w:t xml:space="preserve"> </w:t>
      </w:r>
      <w:hyperlink r:id="rId248">
        <w:r>
          <w:rPr>
            <w:u w:val="single"/>
          </w:rPr>
          <w:t>Lei</w:t>
        </w:r>
        <w:r>
          <w:rPr>
            <w:spacing w:val="3"/>
            <w:u w:val="single"/>
          </w:rPr>
          <w:t xml:space="preserve"> </w:t>
        </w:r>
        <w:r>
          <w:rPr>
            <w:u w:val="single"/>
          </w:rPr>
          <w:t>nº</w:t>
        </w:r>
        <w:r>
          <w:rPr>
            <w:spacing w:val="1"/>
            <w:u w:val="single"/>
          </w:rPr>
          <w:t xml:space="preserve"> </w:t>
        </w:r>
        <w:r>
          <w:rPr>
            <w:u w:val="single"/>
          </w:rPr>
          <w:t xml:space="preserve">14.485, de </w:t>
        </w:r>
        <w:r>
          <w:rPr>
            <w:spacing w:val="-5"/>
            <w:u w:val="single"/>
          </w:rPr>
          <w:t>19</w:t>
        </w:r>
      </w:hyperlink>
    </w:p>
    <w:p w:rsidR="007259F2" w:rsidRDefault="00DE6B1C">
      <w:pPr>
        <w:spacing w:line="252" w:lineRule="exact"/>
        <w:ind w:left="710"/>
      </w:pPr>
      <w:hyperlink r:id="rId249">
        <w:r w:rsidR="00E655B4">
          <w:rPr>
            <w:u w:val="single"/>
          </w:rPr>
          <w:t>de</w:t>
        </w:r>
        <w:r w:rsidR="00E655B4">
          <w:rPr>
            <w:spacing w:val="-5"/>
            <w:u w:val="single"/>
          </w:rPr>
          <w:t xml:space="preserve"> </w:t>
        </w:r>
        <w:r w:rsidR="00E655B4">
          <w:rPr>
            <w:u w:val="single"/>
          </w:rPr>
          <w:t>julho</w:t>
        </w:r>
        <w:r w:rsidR="00E655B4">
          <w:rPr>
            <w:spacing w:val="-2"/>
            <w:u w:val="single"/>
          </w:rPr>
          <w:t xml:space="preserve"> </w:t>
        </w:r>
        <w:r w:rsidR="00E655B4">
          <w:rPr>
            <w:u w:val="single"/>
          </w:rPr>
          <w:t>de</w:t>
        </w:r>
        <w:r w:rsidR="00E655B4">
          <w:rPr>
            <w:spacing w:val="-3"/>
            <w:u w:val="single"/>
          </w:rPr>
          <w:t xml:space="preserve"> </w:t>
        </w:r>
        <w:r w:rsidR="00E655B4">
          <w:rPr>
            <w:u w:val="single"/>
          </w:rPr>
          <w:t>2007,</w:t>
        </w:r>
      </w:hyperlink>
      <w:r w:rsidR="00E655B4">
        <w:rPr>
          <w:spacing w:val="-4"/>
        </w:rPr>
        <w:t xml:space="preserve"> </w:t>
      </w:r>
      <w:r w:rsidR="00E655B4">
        <w:t>[...]</w:t>
      </w:r>
      <w:r w:rsidR="00E655B4">
        <w:rPr>
          <w:spacing w:val="-2"/>
        </w:rPr>
        <w:t xml:space="preserve"> </w:t>
      </w:r>
      <w:r w:rsidR="00E655B4">
        <w:t>São</w:t>
      </w:r>
      <w:r w:rsidR="00E655B4">
        <w:rPr>
          <w:spacing w:val="-5"/>
        </w:rPr>
        <w:t xml:space="preserve"> </w:t>
      </w:r>
      <w:r w:rsidR="00E655B4">
        <w:t>Paulo</w:t>
      </w:r>
      <w:r w:rsidR="00E655B4">
        <w:rPr>
          <w:spacing w:val="-6"/>
        </w:rPr>
        <w:t xml:space="preserve"> </w:t>
      </w:r>
      <w:r w:rsidR="00E655B4">
        <w:t>(SP):</w:t>
      </w:r>
      <w:r w:rsidR="00E655B4">
        <w:rPr>
          <w:spacing w:val="-1"/>
        </w:rPr>
        <w:t xml:space="preserve"> </w:t>
      </w:r>
      <w:r w:rsidR="00E655B4">
        <w:t>Diário</w:t>
      </w:r>
      <w:r w:rsidR="00E655B4">
        <w:rPr>
          <w:spacing w:val="-2"/>
        </w:rPr>
        <w:t xml:space="preserve"> </w:t>
      </w:r>
      <w:r w:rsidR="00E655B4">
        <w:t>Oficial</w:t>
      </w:r>
      <w:r w:rsidR="00E655B4">
        <w:rPr>
          <w:spacing w:val="-5"/>
        </w:rPr>
        <w:t xml:space="preserve"> </w:t>
      </w:r>
      <w:r w:rsidR="00E655B4">
        <w:t>do</w:t>
      </w:r>
      <w:r w:rsidR="00E655B4">
        <w:rPr>
          <w:spacing w:val="-2"/>
        </w:rPr>
        <w:t xml:space="preserve"> </w:t>
      </w:r>
      <w:r w:rsidR="00E655B4">
        <w:t>Município,</w:t>
      </w:r>
      <w:r w:rsidR="00E655B4">
        <w:rPr>
          <w:spacing w:val="-2"/>
        </w:rPr>
        <w:t xml:space="preserve"> 2022.</w:t>
      </w:r>
    </w:p>
    <w:p w:rsidR="007259F2" w:rsidRDefault="00E655B4">
      <w:pPr>
        <w:spacing w:before="122" w:line="252" w:lineRule="exact"/>
        <w:ind w:left="710"/>
      </w:pPr>
      <w:r>
        <w:t>SÃO PAULO</w:t>
      </w:r>
      <w:r>
        <w:rPr>
          <w:spacing w:val="1"/>
        </w:rPr>
        <w:t xml:space="preserve"> </w:t>
      </w:r>
      <w:r>
        <w:t>(SP).</w:t>
      </w:r>
      <w:r>
        <w:rPr>
          <w:spacing w:val="1"/>
        </w:rPr>
        <w:t xml:space="preserve"> </w:t>
      </w:r>
      <w:r>
        <w:rPr>
          <w:b/>
        </w:rPr>
        <w:t>LEI</w:t>
      </w:r>
      <w:r>
        <w:rPr>
          <w:b/>
          <w:spacing w:val="3"/>
        </w:rPr>
        <w:t xml:space="preserve"> </w:t>
      </w:r>
      <w:r>
        <w:rPr>
          <w:b/>
        </w:rPr>
        <w:t>Nº</w:t>
      </w:r>
      <w:r>
        <w:rPr>
          <w:b/>
          <w:spacing w:val="1"/>
        </w:rPr>
        <w:t xml:space="preserve"> </w:t>
      </w:r>
      <w:r>
        <w:rPr>
          <w:b/>
        </w:rPr>
        <w:t>17.867, DE</w:t>
      </w:r>
      <w:r>
        <w:rPr>
          <w:b/>
          <w:spacing w:val="1"/>
        </w:rPr>
        <w:t xml:space="preserve"> </w:t>
      </w:r>
      <w:r>
        <w:rPr>
          <w:b/>
        </w:rPr>
        <w:t>27 DE</w:t>
      </w:r>
      <w:r>
        <w:rPr>
          <w:b/>
          <w:spacing w:val="1"/>
        </w:rPr>
        <w:t xml:space="preserve"> </w:t>
      </w:r>
      <w:r>
        <w:rPr>
          <w:b/>
        </w:rPr>
        <w:t>DEZEMBRO</w:t>
      </w:r>
      <w:r>
        <w:rPr>
          <w:b/>
          <w:spacing w:val="3"/>
        </w:rPr>
        <w:t xml:space="preserve"> </w:t>
      </w:r>
      <w:r>
        <w:rPr>
          <w:b/>
        </w:rPr>
        <w:t>DE</w:t>
      </w:r>
      <w:r>
        <w:rPr>
          <w:b/>
          <w:spacing w:val="1"/>
        </w:rPr>
        <w:t xml:space="preserve"> </w:t>
      </w:r>
      <w:r>
        <w:rPr>
          <w:b/>
        </w:rPr>
        <w:t>2022</w:t>
      </w:r>
      <w:r>
        <w:t>. Altera</w:t>
      </w:r>
      <w:r>
        <w:rPr>
          <w:spacing w:val="-2"/>
        </w:rPr>
        <w:t xml:space="preserve"> </w:t>
      </w:r>
      <w:r>
        <w:t>a</w:t>
      </w:r>
      <w:r>
        <w:rPr>
          <w:spacing w:val="4"/>
        </w:rPr>
        <w:t xml:space="preserve"> </w:t>
      </w:r>
      <w:hyperlink r:id="rId250">
        <w:r>
          <w:rPr>
            <w:u w:val="single"/>
          </w:rPr>
          <w:t>Lei</w:t>
        </w:r>
        <w:r>
          <w:rPr>
            <w:spacing w:val="3"/>
            <w:u w:val="single"/>
          </w:rPr>
          <w:t xml:space="preserve"> </w:t>
        </w:r>
        <w:r>
          <w:rPr>
            <w:u w:val="single"/>
          </w:rPr>
          <w:t>nº</w:t>
        </w:r>
        <w:r>
          <w:rPr>
            <w:spacing w:val="1"/>
            <w:u w:val="single"/>
          </w:rPr>
          <w:t xml:space="preserve"> </w:t>
        </w:r>
        <w:r>
          <w:rPr>
            <w:u w:val="single"/>
          </w:rPr>
          <w:t xml:space="preserve">14.485, de </w:t>
        </w:r>
        <w:r>
          <w:rPr>
            <w:spacing w:val="-5"/>
            <w:u w:val="single"/>
          </w:rPr>
          <w:t>19</w:t>
        </w:r>
      </w:hyperlink>
    </w:p>
    <w:p w:rsidR="007259F2" w:rsidRDefault="00DE6B1C">
      <w:pPr>
        <w:spacing w:line="252" w:lineRule="exact"/>
        <w:ind w:left="710"/>
      </w:pPr>
      <w:hyperlink r:id="rId251">
        <w:r w:rsidR="00E655B4">
          <w:rPr>
            <w:u w:val="single"/>
          </w:rPr>
          <w:t>de</w:t>
        </w:r>
        <w:r w:rsidR="00E655B4">
          <w:rPr>
            <w:spacing w:val="-5"/>
            <w:u w:val="single"/>
          </w:rPr>
          <w:t xml:space="preserve"> </w:t>
        </w:r>
        <w:r w:rsidR="00E655B4">
          <w:rPr>
            <w:u w:val="single"/>
          </w:rPr>
          <w:t>julho</w:t>
        </w:r>
        <w:r w:rsidR="00E655B4">
          <w:rPr>
            <w:spacing w:val="-2"/>
            <w:u w:val="single"/>
          </w:rPr>
          <w:t xml:space="preserve"> </w:t>
        </w:r>
        <w:r w:rsidR="00E655B4">
          <w:rPr>
            <w:u w:val="single"/>
          </w:rPr>
          <w:t>de</w:t>
        </w:r>
        <w:r w:rsidR="00E655B4">
          <w:rPr>
            <w:spacing w:val="-3"/>
            <w:u w:val="single"/>
          </w:rPr>
          <w:t xml:space="preserve"> </w:t>
        </w:r>
        <w:r w:rsidR="00E655B4">
          <w:rPr>
            <w:u w:val="single"/>
          </w:rPr>
          <w:t>2007,</w:t>
        </w:r>
      </w:hyperlink>
      <w:r w:rsidR="00E655B4">
        <w:rPr>
          <w:spacing w:val="-4"/>
        </w:rPr>
        <w:t xml:space="preserve"> </w:t>
      </w:r>
      <w:r w:rsidR="00E655B4">
        <w:t>[...]</w:t>
      </w:r>
      <w:r w:rsidR="00E655B4">
        <w:rPr>
          <w:spacing w:val="-2"/>
        </w:rPr>
        <w:t xml:space="preserve"> </w:t>
      </w:r>
      <w:r w:rsidR="00E655B4">
        <w:t>São</w:t>
      </w:r>
      <w:r w:rsidR="00E655B4">
        <w:rPr>
          <w:spacing w:val="-5"/>
        </w:rPr>
        <w:t xml:space="preserve"> </w:t>
      </w:r>
      <w:r w:rsidR="00E655B4">
        <w:t>Paulo</w:t>
      </w:r>
      <w:r w:rsidR="00E655B4">
        <w:rPr>
          <w:spacing w:val="-6"/>
        </w:rPr>
        <w:t xml:space="preserve"> </w:t>
      </w:r>
      <w:r w:rsidR="00E655B4">
        <w:t>(SP):</w:t>
      </w:r>
      <w:r w:rsidR="00E655B4">
        <w:rPr>
          <w:spacing w:val="-1"/>
        </w:rPr>
        <w:t xml:space="preserve"> </w:t>
      </w:r>
      <w:r w:rsidR="00E655B4">
        <w:t>Diário</w:t>
      </w:r>
      <w:r w:rsidR="00E655B4">
        <w:rPr>
          <w:spacing w:val="-2"/>
        </w:rPr>
        <w:t xml:space="preserve"> </w:t>
      </w:r>
      <w:r w:rsidR="00E655B4">
        <w:t>Oficial</w:t>
      </w:r>
      <w:r w:rsidR="00E655B4">
        <w:rPr>
          <w:spacing w:val="-5"/>
        </w:rPr>
        <w:t xml:space="preserve"> </w:t>
      </w:r>
      <w:r w:rsidR="00E655B4">
        <w:t>do</w:t>
      </w:r>
      <w:r w:rsidR="00E655B4">
        <w:rPr>
          <w:spacing w:val="-2"/>
        </w:rPr>
        <w:t xml:space="preserve"> </w:t>
      </w:r>
      <w:r w:rsidR="00E655B4">
        <w:t>Município,</w:t>
      </w:r>
      <w:r w:rsidR="00E655B4">
        <w:rPr>
          <w:spacing w:val="-2"/>
        </w:rPr>
        <w:t xml:space="preserve"> 2022.</w:t>
      </w:r>
    </w:p>
    <w:p w:rsidR="007259F2" w:rsidRDefault="00E655B4">
      <w:pPr>
        <w:spacing w:before="119"/>
        <w:ind w:left="710"/>
      </w:pPr>
      <w:r>
        <w:t>SÃO PAULO</w:t>
      </w:r>
      <w:r>
        <w:rPr>
          <w:spacing w:val="1"/>
        </w:rPr>
        <w:t xml:space="preserve"> </w:t>
      </w:r>
      <w:r>
        <w:t>(SP).</w:t>
      </w:r>
      <w:r>
        <w:rPr>
          <w:spacing w:val="1"/>
        </w:rPr>
        <w:t xml:space="preserve"> </w:t>
      </w:r>
      <w:r>
        <w:rPr>
          <w:b/>
        </w:rPr>
        <w:t>LEI</w:t>
      </w:r>
      <w:r>
        <w:rPr>
          <w:b/>
          <w:spacing w:val="4"/>
        </w:rPr>
        <w:t xml:space="preserve"> </w:t>
      </w:r>
      <w:r>
        <w:rPr>
          <w:b/>
        </w:rPr>
        <w:t>Nº</w:t>
      </w:r>
      <w:r>
        <w:rPr>
          <w:b/>
          <w:spacing w:val="1"/>
        </w:rPr>
        <w:t xml:space="preserve"> </w:t>
      </w:r>
      <w:r>
        <w:rPr>
          <w:b/>
        </w:rPr>
        <w:t>17.866, DE</w:t>
      </w:r>
      <w:r>
        <w:rPr>
          <w:b/>
          <w:spacing w:val="1"/>
        </w:rPr>
        <w:t xml:space="preserve"> </w:t>
      </w:r>
      <w:r>
        <w:rPr>
          <w:b/>
        </w:rPr>
        <w:t>27 DE</w:t>
      </w:r>
      <w:r>
        <w:rPr>
          <w:b/>
          <w:spacing w:val="1"/>
        </w:rPr>
        <w:t xml:space="preserve"> </w:t>
      </w:r>
      <w:r>
        <w:rPr>
          <w:b/>
        </w:rPr>
        <w:t>DEZEMBRO</w:t>
      </w:r>
      <w:r>
        <w:rPr>
          <w:b/>
          <w:spacing w:val="2"/>
        </w:rPr>
        <w:t xml:space="preserve"> </w:t>
      </w:r>
      <w:r>
        <w:rPr>
          <w:b/>
        </w:rPr>
        <w:t>DE</w:t>
      </w:r>
      <w:r>
        <w:rPr>
          <w:b/>
          <w:spacing w:val="1"/>
        </w:rPr>
        <w:t xml:space="preserve"> </w:t>
      </w:r>
      <w:r>
        <w:rPr>
          <w:b/>
        </w:rPr>
        <w:t>2022</w:t>
      </w:r>
      <w:r>
        <w:t>. Altera</w:t>
      </w:r>
      <w:r>
        <w:rPr>
          <w:spacing w:val="-2"/>
        </w:rPr>
        <w:t xml:space="preserve"> </w:t>
      </w:r>
      <w:r>
        <w:t>a</w:t>
      </w:r>
      <w:r>
        <w:rPr>
          <w:spacing w:val="4"/>
        </w:rPr>
        <w:t xml:space="preserve"> </w:t>
      </w:r>
      <w:hyperlink r:id="rId252">
        <w:r>
          <w:rPr>
            <w:u w:val="single"/>
          </w:rPr>
          <w:t>Lei</w:t>
        </w:r>
        <w:r>
          <w:rPr>
            <w:spacing w:val="3"/>
            <w:u w:val="single"/>
          </w:rPr>
          <w:t xml:space="preserve"> </w:t>
        </w:r>
        <w:r>
          <w:rPr>
            <w:u w:val="single"/>
          </w:rPr>
          <w:t>nº</w:t>
        </w:r>
        <w:r>
          <w:rPr>
            <w:spacing w:val="1"/>
            <w:u w:val="single"/>
          </w:rPr>
          <w:t xml:space="preserve"> </w:t>
        </w:r>
        <w:r>
          <w:rPr>
            <w:u w:val="single"/>
          </w:rPr>
          <w:t xml:space="preserve">14.485, de </w:t>
        </w:r>
        <w:r>
          <w:rPr>
            <w:spacing w:val="-5"/>
            <w:u w:val="single"/>
          </w:rPr>
          <w:t>19</w:t>
        </w:r>
      </w:hyperlink>
    </w:p>
    <w:p w:rsidR="007259F2" w:rsidRDefault="00DE6B1C">
      <w:pPr>
        <w:spacing w:before="1"/>
        <w:ind w:left="710"/>
      </w:pPr>
      <w:hyperlink r:id="rId253">
        <w:r w:rsidR="00E655B4">
          <w:rPr>
            <w:u w:val="single"/>
          </w:rPr>
          <w:t>de</w:t>
        </w:r>
        <w:r w:rsidR="00E655B4">
          <w:rPr>
            <w:spacing w:val="-5"/>
            <w:u w:val="single"/>
          </w:rPr>
          <w:t xml:space="preserve"> </w:t>
        </w:r>
        <w:r w:rsidR="00E655B4">
          <w:rPr>
            <w:u w:val="single"/>
          </w:rPr>
          <w:t>julho</w:t>
        </w:r>
        <w:r w:rsidR="00E655B4">
          <w:rPr>
            <w:spacing w:val="-2"/>
            <w:u w:val="single"/>
          </w:rPr>
          <w:t xml:space="preserve"> </w:t>
        </w:r>
        <w:r w:rsidR="00E655B4">
          <w:rPr>
            <w:u w:val="single"/>
          </w:rPr>
          <w:t>de</w:t>
        </w:r>
        <w:r w:rsidR="00E655B4">
          <w:rPr>
            <w:spacing w:val="-3"/>
            <w:u w:val="single"/>
          </w:rPr>
          <w:t xml:space="preserve"> </w:t>
        </w:r>
        <w:r w:rsidR="00E655B4">
          <w:rPr>
            <w:u w:val="single"/>
          </w:rPr>
          <w:t>2007,</w:t>
        </w:r>
      </w:hyperlink>
      <w:r w:rsidR="00E655B4">
        <w:rPr>
          <w:spacing w:val="-5"/>
        </w:rPr>
        <w:t xml:space="preserve"> </w:t>
      </w:r>
      <w:r w:rsidR="00E655B4">
        <w:t>[...]</w:t>
      </w:r>
      <w:r w:rsidR="00E655B4">
        <w:rPr>
          <w:spacing w:val="-2"/>
        </w:rPr>
        <w:t xml:space="preserve"> </w:t>
      </w:r>
      <w:r w:rsidR="00E655B4">
        <w:t>São</w:t>
      </w:r>
      <w:r w:rsidR="00E655B4">
        <w:rPr>
          <w:spacing w:val="-5"/>
        </w:rPr>
        <w:t xml:space="preserve"> </w:t>
      </w:r>
      <w:r w:rsidR="00E655B4">
        <w:t>Paulo</w:t>
      </w:r>
      <w:r w:rsidR="00E655B4">
        <w:rPr>
          <w:spacing w:val="-6"/>
        </w:rPr>
        <w:t xml:space="preserve"> </w:t>
      </w:r>
      <w:r w:rsidR="00E655B4">
        <w:t>(SP):</w:t>
      </w:r>
      <w:r w:rsidR="00E655B4">
        <w:rPr>
          <w:spacing w:val="-1"/>
        </w:rPr>
        <w:t xml:space="preserve"> </w:t>
      </w:r>
      <w:r w:rsidR="00E655B4">
        <w:t>Diário</w:t>
      </w:r>
      <w:r w:rsidR="00E655B4">
        <w:rPr>
          <w:spacing w:val="-2"/>
        </w:rPr>
        <w:t xml:space="preserve"> </w:t>
      </w:r>
      <w:r w:rsidR="00E655B4">
        <w:t>Oficial</w:t>
      </w:r>
      <w:r w:rsidR="00E655B4">
        <w:rPr>
          <w:spacing w:val="-5"/>
        </w:rPr>
        <w:t xml:space="preserve"> </w:t>
      </w:r>
      <w:r w:rsidR="00E655B4">
        <w:t>do</w:t>
      </w:r>
      <w:r w:rsidR="00E655B4">
        <w:rPr>
          <w:spacing w:val="-2"/>
        </w:rPr>
        <w:t xml:space="preserve"> </w:t>
      </w:r>
      <w:r w:rsidR="00E655B4">
        <w:t>Município,</w:t>
      </w:r>
      <w:r w:rsidR="00E655B4">
        <w:rPr>
          <w:spacing w:val="-2"/>
        </w:rPr>
        <w:t xml:space="preserve"> 2022.</w:t>
      </w:r>
    </w:p>
    <w:p w:rsidR="007259F2" w:rsidRDefault="00E655B4">
      <w:pPr>
        <w:spacing w:before="119"/>
        <w:ind w:left="710"/>
      </w:pPr>
      <w:r>
        <w:t>SÃO</w:t>
      </w:r>
      <w:r>
        <w:rPr>
          <w:spacing w:val="3"/>
        </w:rPr>
        <w:t xml:space="preserve"> </w:t>
      </w:r>
      <w:r>
        <w:t>PAULO</w:t>
      </w:r>
      <w:r>
        <w:rPr>
          <w:spacing w:val="3"/>
        </w:rPr>
        <w:t xml:space="preserve"> </w:t>
      </w:r>
      <w:r>
        <w:t>(SP).</w:t>
      </w:r>
      <w:r>
        <w:rPr>
          <w:spacing w:val="5"/>
        </w:rPr>
        <w:t xml:space="preserve"> </w:t>
      </w:r>
      <w:r>
        <w:rPr>
          <w:b/>
        </w:rPr>
        <w:t>LEI</w:t>
      </w:r>
      <w:r>
        <w:rPr>
          <w:b/>
          <w:spacing w:val="4"/>
        </w:rPr>
        <w:t xml:space="preserve"> </w:t>
      </w:r>
      <w:r>
        <w:rPr>
          <w:b/>
        </w:rPr>
        <w:t>Nº</w:t>
      </w:r>
      <w:r>
        <w:rPr>
          <w:b/>
          <w:spacing w:val="4"/>
        </w:rPr>
        <w:t xml:space="preserve"> </w:t>
      </w:r>
      <w:r>
        <w:rPr>
          <w:b/>
        </w:rPr>
        <w:t>17.864,</w:t>
      </w:r>
      <w:r>
        <w:rPr>
          <w:b/>
          <w:spacing w:val="4"/>
        </w:rPr>
        <w:t xml:space="preserve"> </w:t>
      </w:r>
      <w:r>
        <w:rPr>
          <w:b/>
        </w:rPr>
        <w:t>DE</w:t>
      </w:r>
      <w:r>
        <w:rPr>
          <w:b/>
          <w:spacing w:val="4"/>
        </w:rPr>
        <w:t xml:space="preserve"> </w:t>
      </w:r>
      <w:r>
        <w:rPr>
          <w:b/>
        </w:rPr>
        <w:t>23</w:t>
      </w:r>
      <w:r>
        <w:rPr>
          <w:b/>
          <w:spacing w:val="5"/>
        </w:rPr>
        <w:t xml:space="preserve"> </w:t>
      </w:r>
      <w:r>
        <w:rPr>
          <w:b/>
        </w:rPr>
        <w:t>DE</w:t>
      </w:r>
      <w:r>
        <w:rPr>
          <w:b/>
          <w:spacing w:val="3"/>
        </w:rPr>
        <w:t xml:space="preserve"> </w:t>
      </w:r>
      <w:r>
        <w:rPr>
          <w:b/>
        </w:rPr>
        <w:t>DEZEMBRO</w:t>
      </w:r>
      <w:r>
        <w:rPr>
          <w:b/>
          <w:spacing w:val="6"/>
        </w:rPr>
        <w:t xml:space="preserve"> </w:t>
      </w:r>
      <w:r>
        <w:rPr>
          <w:b/>
        </w:rPr>
        <w:t>DE</w:t>
      </w:r>
      <w:r>
        <w:rPr>
          <w:b/>
          <w:spacing w:val="4"/>
        </w:rPr>
        <w:t xml:space="preserve"> </w:t>
      </w:r>
      <w:r>
        <w:rPr>
          <w:b/>
        </w:rPr>
        <w:t>2022.</w:t>
      </w:r>
      <w:r>
        <w:rPr>
          <w:b/>
          <w:spacing w:val="4"/>
        </w:rPr>
        <w:t xml:space="preserve"> </w:t>
      </w:r>
      <w:r>
        <w:t>Prorroga</w:t>
      </w:r>
      <w:r>
        <w:rPr>
          <w:spacing w:val="5"/>
        </w:rPr>
        <w:t xml:space="preserve"> </w:t>
      </w:r>
      <w:r>
        <w:t>até</w:t>
      </w:r>
      <w:r>
        <w:rPr>
          <w:spacing w:val="5"/>
        </w:rPr>
        <w:t xml:space="preserve"> </w:t>
      </w:r>
      <w:r>
        <w:t>31</w:t>
      </w:r>
      <w:r>
        <w:rPr>
          <w:spacing w:val="1"/>
        </w:rPr>
        <w:t xml:space="preserve"> </w:t>
      </w:r>
      <w:r>
        <w:t>de</w:t>
      </w:r>
      <w:r>
        <w:rPr>
          <w:spacing w:val="5"/>
        </w:rPr>
        <w:t xml:space="preserve"> </w:t>
      </w:r>
      <w:r>
        <w:t>março</w:t>
      </w:r>
      <w:r>
        <w:rPr>
          <w:spacing w:val="5"/>
        </w:rPr>
        <w:t xml:space="preserve"> </w:t>
      </w:r>
      <w:r>
        <w:rPr>
          <w:spacing w:val="-5"/>
        </w:rPr>
        <w:t>de</w:t>
      </w:r>
    </w:p>
    <w:p w:rsidR="007259F2" w:rsidRDefault="00E655B4">
      <w:pPr>
        <w:spacing w:before="1"/>
        <w:ind w:left="710"/>
      </w:pPr>
      <w:r>
        <w:t>2023</w:t>
      </w:r>
      <w:r>
        <w:rPr>
          <w:spacing w:val="-3"/>
        </w:rPr>
        <w:t xml:space="preserve"> </w:t>
      </w:r>
      <w:r>
        <w:t>o</w:t>
      </w:r>
      <w:r>
        <w:rPr>
          <w:spacing w:val="-3"/>
        </w:rPr>
        <w:t xml:space="preserve"> </w:t>
      </w:r>
      <w:r>
        <w:t>prazo</w:t>
      </w:r>
      <w:r>
        <w:rPr>
          <w:spacing w:val="-3"/>
        </w:rPr>
        <w:t xml:space="preserve"> </w:t>
      </w:r>
      <w:r>
        <w:t>previsto</w:t>
      </w:r>
      <w:r>
        <w:rPr>
          <w:spacing w:val="-6"/>
        </w:rPr>
        <w:t xml:space="preserve"> </w:t>
      </w:r>
      <w:r>
        <w:t>[...].</w:t>
      </w:r>
      <w:r>
        <w:rPr>
          <w:spacing w:val="-7"/>
        </w:rPr>
        <w:t xml:space="preserve"> </w:t>
      </w:r>
      <w:r>
        <w:t>São</w:t>
      </w:r>
      <w:r>
        <w:rPr>
          <w:spacing w:val="-3"/>
        </w:rPr>
        <w:t xml:space="preserve"> </w:t>
      </w:r>
      <w:r>
        <w:t>Paulo</w:t>
      </w:r>
      <w:r>
        <w:rPr>
          <w:spacing w:val="-3"/>
        </w:rPr>
        <w:t xml:space="preserve"> </w:t>
      </w:r>
      <w:r>
        <w:t>(SP):</w:t>
      </w:r>
      <w:r>
        <w:rPr>
          <w:spacing w:val="-2"/>
        </w:rPr>
        <w:t xml:space="preserve"> </w:t>
      </w:r>
      <w:r>
        <w:t>Diário</w:t>
      </w:r>
      <w:r>
        <w:rPr>
          <w:spacing w:val="-2"/>
        </w:rPr>
        <w:t xml:space="preserve"> </w:t>
      </w:r>
      <w:r>
        <w:t>Oficial</w:t>
      </w:r>
      <w:r>
        <w:rPr>
          <w:spacing w:val="-2"/>
        </w:rPr>
        <w:t xml:space="preserve"> </w:t>
      </w:r>
      <w:r>
        <w:t>do</w:t>
      </w:r>
      <w:r>
        <w:rPr>
          <w:spacing w:val="-6"/>
        </w:rPr>
        <w:t xml:space="preserve"> </w:t>
      </w:r>
      <w:r>
        <w:t>Município,</w:t>
      </w:r>
      <w:r>
        <w:rPr>
          <w:spacing w:val="-5"/>
        </w:rPr>
        <w:t xml:space="preserve"> </w:t>
      </w:r>
      <w:r>
        <w:rPr>
          <w:spacing w:val="-2"/>
        </w:rPr>
        <w:t>2022.</w:t>
      </w:r>
    </w:p>
    <w:p w:rsidR="007259F2" w:rsidRDefault="00E655B4">
      <w:pPr>
        <w:spacing w:before="119" w:line="252" w:lineRule="exact"/>
        <w:ind w:left="710"/>
      </w:pPr>
      <w:r>
        <w:t>SÃO</w:t>
      </w:r>
      <w:r>
        <w:rPr>
          <w:spacing w:val="17"/>
        </w:rPr>
        <w:t xml:space="preserve"> </w:t>
      </w:r>
      <w:r>
        <w:t>PAULO</w:t>
      </w:r>
      <w:r>
        <w:rPr>
          <w:spacing w:val="20"/>
        </w:rPr>
        <w:t xml:space="preserve"> </w:t>
      </w:r>
      <w:r>
        <w:t>(SP).</w:t>
      </w:r>
      <w:r>
        <w:rPr>
          <w:spacing w:val="22"/>
        </w:rPr>
        <w:t xml:space="preserve"> </w:t>
      </w:r>
      <w:r>
        <w:rPr>
          <w:b/>
        </w:rPr>
        <w:t>LEI</w:t>
      </w:r>
      <w:r>
        <w:rPr>
          <w:b/>
          <w:spacing w:val="23"/>
        </w:rPr>
        <w:t xml:space="preserve"> </w:t>
      </w:r>
      <w:r>
        <w:rPr>
          <w:b/>
        </w:rPr>
        <w:t>Nº</w:t>
      </w:r>
      <w:r>
        <w:rPr>
          <w:b/>
          <w:spacing w:val="21"/>
        </w:rPr>
        <w:t xml:space="preserve"> </w:t>
      </w:r>
      <w:r>
        <w:rPr>
          <w:b/>
        </w:rPr>
        <w:t>17.863,</w:t>
      </w:r>
      <w:r>
        <w:rPr>
          <w:b/>
          <w:spacing w:val="23"/>
        </w:rPr>
        <w:t xml:space="preserve"> </w:t>
      </w:r>
      <w:r>
        <w:rPr>
          <w:b/>
        </w:rPr>
        <w:t>DE</w:t>
      </w:r>
      <w:r>
        <w:rPr>
          <w:b/>
          <w:spacing w:val="21"/>
        </w:rPr>
        <w:t xml:space="preserve"> </w:t>
      </w:r>
      <w:r>
        <w:rPr>
          <w:b/>
        </w:rPr>
        <w:t>21</w:t>
      </w:r>
      <w:r>
        <w:rPr>
          <w:b/>
          <w:spacing w:val="21"/>
        </w:rPr>
        <w:t xml:space="preserve"> </w:t>
      </w:r>
      <w:r>
        <w:rPr>
          <w:b/>
        </w:rPr>
        <w:t>DE</w:t>
      </w:r>
      <w:r>
        <w:rPr>
          <w:b/>
          <w:spacing w:val="21"/>
        </w:rPr>
        <w:t xml:space="preserve"> </w:t>
      </w:r>
      <w:r>
        <w:rPr>
          <w:b/>
        </w:rPr>
        <w:t>DEZEMBRO</w:t>
      </w:r>
      <w:r>
        <w:rPr>
          <w:b/>
          <w:spacing w:val="22"/>
        </w:rPr>
        <w:t xml:space="preserve"> </w:t>
      </w:r>
      <w:r>
        <w:rPr>
          <w:b/>
        </w:rPr>
        <w:t>DE</w:t>
      </w:r>
      <w:r>
        <w:rPr>
          <w:b/>
          <w:spacing w:val="20"/>
        </w:rPr>
        <w:t xml:space="preserve"> </w:t>
      </w:r>
      <w:r>
        <w:rPr>
          <w:b/>
        </w:rPr>
        <w:t>2022.</w:t>
      </w:r>
      <w:r>
        <w:rPr>
          <w:b/>
          <w:spacing w:val="24"/>
        </w:rPr>
        <w:t xml:space="preserve"> </w:t>
      </w:r>
      <w:r>
        <w:t>Denomina</w:t>
      </w:r>
      <w:r>
        <w:rPr>
          <w:spacing w:val="22"/>
        </w:rPr>
        <w:t xml:space="preserve"> </w:t>
      </w:r>
      <w:r>
        <w:t>Praça</w:t>
      </w:r>
      <w:r>
        <w:rPr>
          <w:spacing w:val="22"/>
        </w:rPr>
        <w:t xml:space="preserve"> </w:t>
      </w:r>
      <w:r>
        <w:rPr>
          <w:spacing w:val="-2"/>
        </w:rPr>
        <w:t>Amanda</w:t>
      </w:r>
    </w:p>
    <w:p w:rsidR="007259F2" w:rsidRDefault="00E655B4">
      <w:pPr>
        <w:spacing w:line="252" w:lineRule="exact"/>
        <w:ind w:left="710"/>
      </w:pPr>
      <w:r>
        <w:t>Marfree</w:t>
      </w:r>
      <w:r>
        <w:rPr>
          <w:spacing w:val="-6"/>
        </w:rPr>
        <w:t xml:space="preserve"> </w:t>
      </w:r>
      <w:r>
        <w:t>[...].</w:t>
      </w:r>
      <w:r>
        <w:rPr>
          <w:spacing w:val="-4"/>
        </w:rPr>
        <w:t xml:space="preserve"> </w:t>
      </w:r>
      <w:r>
        <w:t>São</w:t>
      </w:r>
      <w:r>
        <w:rPr>
          <w:spacing w:val="-4"/>
        </w:rPr>
        <w:t xml:space="preserve"> </w:t>
      </w:r>
      <w:r>
        <w:t>Paulo</w:t>
      </w:r>
      <w:r>
        <w:rPr>
          <w:spacing w:val="-6"/>
        </w:rPr>
        <w:t xml:space="preserve"> </w:t>
      </w:r>
      <w:r>
        <w:t>(SP):</w:t>
      </w:r>
      <w:r>
        <w:rPr>
          <w:spacing w:val="-3"/>
        </w:rPr>
        <w:t xml:space="preserve"> </w:t>
      </w:r>
      <w:r>
        <w:t>Diário</w:t>
      </w:r>
      <w:r>
        <w:rPr>
          <w:spacing w:val="-4"/>
        </w:rPr>
        <w:t xml:space="preserve"> </w:t>
      </w:r>
      <w:r>
        <w:t>Oficial</w:t>
      </w:r>
      <w:r>
        <w:rPr>
          <w:spacing w:val="-5"/>
        </w:rPr>
        <w:t xml:space="preserve"> </w:t>
      </w:r>
      <w:r>
        <w:t>do</w:t>
      </w:r>
      <w:r>
        <w:rPr>
          <w:spacing w:val="-4"/>
        </w:rPr>
        <w:t xml:space="preserve"> </w:t>
      </w:r>
      <w:r>
        <w:t>Município,</w:t>
      </w:r>
      <w:r>
        <w:rPr>
          <w:spacing w:val="-3"/>
        </w:rPr>
        <w:t xml:space="preserve"> </w:t>
      </w:r>
      <w:r>
        <w:rPr>
          <w:spacing w:val="-2"/>
        </w:rPr>
        <w:t>2022.</w:t>
      </w:r>
    </w:p>
    <w:p w:rsidR="007259F2" w:rsidRDefault="00E655B4">
      <w:pPr>
        <w:spacing w:before="122" w:line="252" w:lineRule="exact"/>
        <w:ind w:left="710"/>
      </w:pPr>
      <w:r>
        <w:t>SÃO</w:t>
      </w:r>
      <w:r>
        <w:rPr>
          <w:spacing w:val="4"/>
        </w:rPr>
        <w:t xml:space="preserve"> </w:t>
      </w:r>
      <w:r>
        <w:t>PAULO</w:t>
      </w:r>
      <w:r>
        <w:rPr>
          <w:spacing w:val="5"/>
        </w:rPr>
        <w:t xml:space="preserve"> </w:t>
      </w:r>
      <w:r>
        <w:t>(SP).</w:t>
      </w:r>
      <w:r>
        <w:rPr>
          <w:spacing w:val="8"/>
        </w:rPr>
        <w:t xml:space="preserve"> </w:t>
      </w:r>
      <w:r>
        <w:rPr>
          <w:b/>
        </w:rPr>
        <w:t>LEI</w:t>
      </w:r>
      <w:r>
        <w:rPr>
          <w:b/>
          <w:spacing w:val="8"/>
        </w:rPr>
        <w:t xml:space="preserve"> </w:t>
      </w:r>
      <w:r>
        <w:rPr>
          <w:b/>
        </w:rPr>
        <w:t>Nº</w:t>
      </w:r>
      <w:r>
        <w:rPr>
          <w:b/>
          <w:spacing w:val="7"/>
        </w:rPr>
        <w:t xml:space="preserve"> </w:t>
      </w:r>
      <w:r>
        <w:rPr>
          <w:b/>
        </w:rPr>
        <w:t>17.862,</w:t>
      </w:r>
      <w:r>
        <w:rPr>
          <w:b/>
          <w:spacing w:val="7"/>
        </w:rPr>
        <w:t xml:space="preserve"> </w:t>
      </w:r>
      <w:r>
        <w:rPr>
          <w:b/>
        </w:rPr>
        <w:t>DE</w:t>
      </w:r>
      <w:r>
        <w:rPr>
          <w:b/>
          <w:spacing w:val="6"/>
        </w:rPr>
        <w:t xml:space="preserve"> </w:t>
      </w:r>
      <w:r>
        <w:rPr>
          <w:b/>
        </w:rPr>
        <w:t>21</w:t>
      </w:r>
      <w:r>
        <w:rPr>
          <w:b/>
          <w:spacing w:val="7"/>
        </w:rPr>
        <w:t xml:space="preserve"> </w:t>
      </w:r>
      <w:r>
        <w:rPr>
          <w:b/>
        </w:rPr>
        <w:t>DE</w:t>
      </w:r>
      <w:r>
        <w:rPr>
          <w:b/>
          <w:spacing w:val="6"/>
        </w:rPr>
        <w:t xml:space="preserve"> </w:t>
      </w:r>
      <w:r>
        <w:rPr>
          <w:b/>
        </w:rPr>
        <w:t>DEZEMBRO</w:t>
      </w:r>
      <w:r>
        <w:rPr>
          <w:b/>
          <w:spacing w:val="8"/>
        </w:rPr>
        <w:t xml:space="preserve"> </w:t>
      </w:r>
      <w:r>
        <w:rPr>
          <w:b/>
        </w:rPr>
        <w:t>DE</w:t>
      </w:r>
      <w:r>
        <w:rPr>
          <w:b/>
          <w:spacing w:val="7"/>
        </w:rPr>
        <w:t xml:space="preserve"> </w:t>
      </w:r>
      <w:r>
        <w:rPr>
          <w:b/>
        </w:rPr>
        <w:t>2022</w:t>
      </w:r>
      <w:r>
        <w:t>.</w:t>
      </w:r>
      <w:r>
        <w:rPr>
          <w:spacing w:val="7"/>
        </w:rPr>
        <w:t xml:space="preserve"> </w:t>
      </w:r>
      <w:r>
        <w:t>Denomina</w:t>
      </w:r>
      <w:r>
        <w:rPr>
          <w:spacing w:val="7"/>
        </w:rPr>
        <w:t xml:space="preserve"> </w:t>
      </w:r>
      <w:r>
        <w:t>Travessa</w:t>
      </w:r>
      <w:r>
        <w:rPr>
          <w:spacing w:val="5"/>
        </w:rPr>
        <w:t xml:space="preserve"> </w:t>
      </w:r>
      <w:r>
        <w:t>José</w:t>
      </w:r>
      <w:r>
        <w:rPr>
          <w:spacing w:val="8"/>
        </w:rPr>
        <w:t xml:space="preserve"> </w:t>
      </w:r>
      <w:r>
        <w:rPr>
          <w:spacing w:val="-5"/>
        </w:rPr>
        <w:t>da</w:t>
      </w:r>
    </w:p>
    <w:p w:rsidR="007259F2" w:rsidRDefault="00E655B4">
      <w:pPr>
        <w:spacing w:line="252" w:lineRule="exact"/>
        <w:ind w:left="710"/>
      </w:pPr>
      <w:r>
        <w:t>Luz</w:t>
      </w:r>
      <w:r>
        <w:rPr>
          <w:spacing w:val="-6"/>
        </w:rPr>
        <w:t xml:space="preserve"> </w:t>
      </w:r>
      <w:r>
        <w:t>Firme</w:t>
      </w:r>
      <w:r>
        <w:rPr>
          <w:spacing w:val="-2"/>
        </w:rPr>
        <w:t xml:space="preserve"> </w:t>
      </w:r>
      <w:r>
        <w:t>[...]</w:t>
      </w:r>
      <w:r>
        <w:rPr>
          <w:spacing w:val="-2"/>
        </w:rPr>
        <w:t xml:space="preserve"> </w:t>
      </w:r>
      <w:r>
        <w:t>São</w:t>
      </w:r>
      <w:r>
        <w:rPr>
          <w:spacing w:val="-6"/>
        </w:rPr>
        <w:t xml:space="preserve"> </w:t>
      </w:r>
      <w:r>
        <w:t>Paulo</w:t>
      </w:r>
      <w:r>
        <w:rPr>
          <w:spacing w:val="-2"/>
        </w:rPr>
        <w:t xml:space="preserve"> </w:t>
      </w:r>
      <w:r>
        <w:t>(SP):</w:t>
      </w:r>
      <w:r>
        <w:rPr>
          <w:spacing w:val="-1"/>
        </w:rPr>
        <w:t xml:space="preserve"> </w:t>
      </w:r>
      <w:r>
        <w:t>Diário</w:t>
      </w:r>
      <w:r>
        <w:rPr>
          <w:spacing w:val="-3"/>
        </w:rPr>
        <w:t xml:space="preserve"> </w:t>
      </w:r>
      <w:r>
        <w:t>Oficial</w:t>
      </w:r>
      <w:r>
        <w:rPr>
          <w:spacing w:val="-3"/>
        </w:rPr>
        <w:t xml:space="preserve"> </w:t>
      </w:r>
      <w:r>
        <w:t>do</w:t>
      </w:r>
      <w:r>
        <w:rPr>
          <w:spacing w:val="-2"/>
        </w:rPr>
        <w:t xml:space="preserve"> </w:t>
      </w:r>
      <w:r>
        <w:t>Município,</w:t>
      </w:r>
      <w:r>
        <w:rPr>
          <w:spacing w:val="-5"/>
        </w:rPr>
        <w:t xml:space="preserve"> </w:t>
      </w:r>
      <w:r>
        <w:rPr>
          <w:spacing w:val="-2"/>
        </w:rPr>
        <w:t>2022.</w:t>
      </w:r>
    </w:p>
    <w:p w:rsidR="007259F2" w:rsidRDefault="00E655B4">
      <w:pPr>
        <w:spacing w:before="122" w:line="252" w:lineRule="exact"/>
        <w:ind w:left="710"/>
      </w:pPr>
      <w:r>
        <w:t>SÃO</w:t>
      </w:r>
      <w:r>
        <w:rPr>
          <w:spacing w:val="6"/>
        </w:rPr>
        <w:t xml:space="preserve"> </w:t>
      </w:r>
      <w:r>
        <w:t>PAULO</w:t>
      </w:r>
      <w:r>
        <w:rPr>
          <w:spacing w:val="5"/>
        </w:rPr>
        <w:t xml:space="preserve"> </w:t>
      </w:r>
      <w:r>
        <w:t>(SP).</w:t>
      </w:r>
      <w:r>
        <w:rPr>
          <w:spacing w:val="8"/>
        </w:rPr>
        <w:t xml:space="preserve"> </w:t>
      </w:r>
      <w:r>
        <w:rPr>
          <w:b/>
        </w:rPr>
        <w:t>LEI</w:t>
      </w:r>
      <w:r>
        <w:rPr>
          <w:b/>
          <w:spacing w:val="8"/>
        </w:rPr>
        <w:t xml:space="preserve"> </w:t>
      </w:r>
      <w:r>
        <w:rPr>
          <w:b/>
        </w:rPr>
        <w:t>Nº</w:t>
      </w:r>
      <w:r>
        <w:rPr>
          <w:b/>
          <w:spacing w:val="6"/>
        </w:rPr>
        <w:t xml:space="preserve"> </w:t>
      </w:r>
      <w:r>
        <w:rPr>
          <w:b/>
        </w:rPr>
        <w:t>17.861,</w:t>
      </w:r>
      <w:r>
        <w:rPr>
          <w:b/>
          <w:spacing w:val="7"/>
        </w:rPr>
        <w:t xml:space="preserve"> </w:t>
      </w:r>
      <w:r>
        <w:rPr>
          <w:b/>
        </w:rPr>
        <w:t>DE</w:t>
      </w:r>
      <w:r>
        <w:rPr>
          <w:b/>
          <w:spacing w:val="6"/>
        </w:rPr>
        <w:t xml:space="preserve"> </w:t>
      </w:r>
      <w:r>
        <w:rPr>
          <w:b/>
        </w:rPr>
        <w:t>21</w:t>
      </w:r>
      <w:r>
        <w:rPr>
          <w:b/>
          <w:spacing w:val="7"/>
        </w:rPr>
        <w:t xml:space="preserve"> </w:t>
      </w:r>
      <w:r>
        <w:rPr>
          <w:b/>
        </w:rPr>
        <w:t>DE</w:t>
      </w:r>
      <w:r>
        <w:rPr>
          <w:b/>
          <w:spacing w:val="7"/>
        </w:rPr>
        <w:t xml:space="preserve"> </w:t>
      </w:r>
      <w:r>
        <w:rPr>
          <w:b/>
        </w:rPr>
        <w:t>DEZEMBRO</w:t>
      </w:r>
      <w:r>
        <w:rPr>
          <w:b/>
          <w:spacing w:val="8"/>
        </w:rPr>
        <w:t xml:space="preserve"> </w:t>
      </w:r>
      <w:r>
        <w:rPr>
          <w:b/>
        </w:rPr>
        <w:t>DE</w:t>
      </w:r>
      <w:r>
        <w:rPr>
          <w:b/>
          <w:spacing w:val="6"/>
        </w:rPr>
        <w:t xml:space="preserve"> </w:t>
      </w:r>
      <w:r>
        <w:rPr>
          <w:b/>
        </w:rPr>
        <w:t>2022</w:t>
      </w:r>
      <w:r>
        <w:t>.</w:t>
      </w:r>
      <w:r>
        <w:rPr>
          <w:spacing w:val="7"/>
        </w:rPr>
        <w:t xml:space="preserve"> </w:t>
      </w:r>
      <w:r>
        <w:t>Altera</w:t>
      </w:r>
      <w:r>
        <w:rPr>
          <w:spacing w:val="5"/>
        </w:rPr>
        <w:t xml:space="preserve"> </w:t>
      </w:r>
      <w:r>
        <w:t>a</w:t>
      </w:r>
      <w:r>
        <w:rPr>
          <w:spacing w:val="7"/>
        </w:rPr>
        <w:t xml:space="preserve"> </w:t>
      </w:r>
      <w:r>
        <w:t>Lei</w:t>
      </w:r>
      <w:r>
        <w:rPr>
          <w:spacing w:val="8"/>
        </w:rPr>
        <w:t xml:space="preserve"> </w:t>
      </w:r>
      <w:r>
        <w:t>nº</w:t>
      </w:r>
      <w:r>
        <w:rPr>
          <w:spacing w:val="8"/>
        </w:rPr>
        <w:t xml:space="preserve"> </w:t>
      </w:r>
      <w:r>
        <w:t>16.703,</w:t>
      </w:r>
      <w:r>
        <w:rPr>
          <w:spacing w:val="7"/>
        </w:rPr>
        <w:t xml:space="preserve"> </w:t>
      </w:r>
      <w:r>
        <w:t>de</w:t>
      </w:r>
      <w:r>
        <w:rPr>
          <w:spacing w:val="8"/>
        </w:rPr>
        <w:t xml:space="preserve"> </w:t>
      </w:r>
      <w:r>
        <w:rPr>
          <w:spacing w:val="-10"/>
        </w:rPr>
        <w:t>4</w:t>
      </w:r>
    </w:p>
    <w:p w:rsidR="007259F2" w:rsidRDefault="00E655B4">
      <w:pPr>
        <w:spacing w:line="252" w:lineRule="exact"/>
        <w:ind w:left="710"/>
      </w:pPr>
      <w:r>
        <w:t>de</w:t>
      </w:r>
      <w:r>
        <w:rPr>
          <w:spacing w:val="-3"/>
        </w:rPr>
        <w:t xml:space="preserve"> </w:t>
      </w:r>
      <w:r>
        <w:t>outubro</w:t>
      </w:r>
      <w:r>
        <w:rPr>
          <w:spacing w:val="-6"/>
        </w:rPr>
        <w:t xml:space="preserve"> </w:t>
      </w:r>
      <w:r>
        <w:t>de</w:t>
      </w:r>
      <w:r>
        <w:rPr>
          <w:spacing w:val="-2"/>
        </w:rPr>
        <w:t xml:space="preserve"> </w:t>
      </w:r>
      <w:r>
        <w:t>2017</w:t>
      </w:r>
      <w:r>
        <w:rPr>
          <w:spacing w:val="-3"/>
        </w:rPr>
        <w:t xml:space="preserve"> </w:t>
      </w:r>
      <w:r>
        <w:t>[...]</w:t>
      </w:r>
      <w:r>
        <w:rPr>
          <w:spacing w:val="-3"/>
        </w:rPr>
        <w:t xml:space="preserve"> </w:t>
      </w:r>
      <w:r>
        <w:t>São</w:t>
      </w:r>
      <w:r>
        <w:rPr>
          <w:spacing w:val="-5"/>
        </w:rPr>
        <w:t xml:space="preserve"> </w:t>
      </w:r>
      <w:r>
        <w:t>Paulo</w:t>
      </w:r>
      <w:r>
        <w:rPr>
          <w:spacing w:val="-6"/>
        </w:rPr>
        <w:t xml:space="preserve"> </w:t>
      </w:r>
      <w:r>
        <w:t>(SP):</w:t>
      </w:r>
      <w:r>
        <w:rPr>
          <w:spacing w:val="-2"/>
        </w:rPr>
        <w:t xml:space="preserve"> </w:t>
      </w:r>
      <w:r>
        <w:t>Diário</w:t>
      </w:r>
      <w:r>
        <w:rPr>
          <w:spacing w:val="-2"/>
        </w:rPr>
        <w:t xml:space="preserve"> </w:t>
      </w:r>
      <w:r>
        <w:t>Oficial</w:t>
      </w:r>
      <w:r>
        <w:rPr>
          <w:spacing w:val="-5"/>
        </w:rPr>
        <w:t xml:space="preserve"> </w:t>
      </w:r>
      <w:r>
        <w:t>do</w:t>
      </w:r>
      <w:r>
        <w:rPr>
          <w:spacing w:val="-3"/>
        </w:rPr>
        <w:t xml:space="preserve"> </w:t>
      </w:r>
      <w:r>
        <w:t>Município,</w:t>
      </w:r>
      <w:r>
        <w:rPr>
          <w:spacing w:val="-2"/>
        </w:rPr>
        <w:t xml:space="preserve"> 2022.</w:t>
      </w:r>
    </w:p>
    <w:p w:rsidR="007259F2" w:rsidRDefault="00E655B4">
      <w:pPr>
        <w:spacing w:before="119"/>
        <w:ind w:left="710"/>
      </w:pPr>
      <w:r>
        <w:t>SÃO</w:t>
      </w:r>
      <w:r>
        <w:rPr>
          <w:spacing w:val="9"/>
        </w:rPr>
        <w:t xml:space="preserve"> </w:t>
      </w:r>
      <w:r>
        <w:t>PAULO</w:t>
      </w:r>
      <w:r>
        <w:rPr>
          <w:spacing w:val="9"/>
        </w:rPr>
        <w:t xml:space="preserve"> </w:t>
      </w:r>
      <w:r>
        <w:t>(SP).</w:t>
      </w:r>
      <w:r>
        <w:rPr>
          <w:spacing w:val="12"/>
        </w:rPr>
        <w:t xml:space="preserve"> </w:t>
      </w:r>
      <w:r>
        <w:rPr>
          <w:b/>
        </w:rPr>
        <w:t>LEI</w:t>
      </w:r>
      <w:r>
        <w:rPr>
          <w:b/>
          <w:spacing w:val="9"/>
        </w:rPr>
        <w:t xml:space="preserve"> </w:t>
      </w:r>
      <w:r>
        <w:rPr>
          <w:b/>
        </w:rPr>
        <w:t>Nº</w:t>
      </w:r>
      <w:r>
        <w:rPr>
          <w:b/>
          <w:spacing w:val="10"/>
        </w:rPr>
        <w:t xml:space="preserve"> </w:t>
      </w:r>
      <w:r>
        <w:rPr>
          <w:b/>
        </w:rPr>
        <w:t>17.860,</w:t>
      </w:r>
      <w:r>
        <w:rPr>
          <w:b/>
          <w:spacing w:val="8"/>
        </w:rPr>
        <w:t xml:space="preserve"> </w:t>
      </w:r>
      <w:r>
        <w:rPr>
          <w:b/>
        </w:rPr>
        <w:t>DE</w:t>
      </w:r>
      <w:r>
        <w:rPr>
          <w:b/>
          <w:spacing w:val="10"/>
        </w:rPr>
        <w:t xml:space="preserve"> </w:t>
      </w:r>
      <w:r>
        <w:rPr>
          <w:b/>
        </w:rPr>
        <w:t>19</w:t>
      </w:r>
      <w:r>
        <w:rPr>
          <w:b/>
          <w:spacing w:val="11"/>
        </w:rPr>
        <w:t xml:space="preserve"> </w:t>
      </w:r>
      <w:r>
        <w:rPr>
          <w:b/>
        </w:rPr>
        <w:t>DE</w:t>
      </w:r>
      <w:r>
        <w:rPr>
          <w:b/>
          <w:spacing w:val="10"/>
        </w:rPr>
        <w:t xml:space="preserve"> </w:t>
      </w:r>
      <w:r>
        <w:rPr>
          <w:b/>
        </w:rPr>
        <w:t>DEZEMBRO</w:t>
      </w:r>
      <w:r>
        <w:rPr>
          <w:b/>
          <w:spacing w:val="12"/>
        </w:rPr>
        <w:t xml:space="preserve"> </w:t>
      </w:r>
      <w:r>
        <w:rPr>
          <w:b/>
        </w:rPr>
        <w:t>DE</w:t>
      </w:r>
      <w:r>
        <w:rPr>
          <w:b/>
          <w:spacing w:val="10"/>
        </w:rPr>
        <w:t xml:space="preserve"> </w:t>
      </w:r>
      <w:r>
        <w:rPr>
          <w:b/>
        </w:rPr>
        <w:t>2022.</w:t>
      </w:r>
      <w:r>
        <w:rPr>
          <w:b/>
          <w:spacing w:val="15"/>
        </w:rPr>
        <w:t xml:space="preserve"> </w:t>
      </w:r>
      <w:r>
        <w:t>Denomina</w:t>
      </w:r>
      <w:r>
        <w:rPr>
          <w:spacing w:val="11"/>
        </w:rPr>
        <w:t xml:space="preserve"> </w:t>
      </w:r>
      <w:r>
        <w:t>Praça</w:t>
      </w:r>
      <w:r>
        <w:rPr>
          <w:spacing w:val="11"/>
        </w:rPr>
        <w:t xml:space="preserve"> </w:t>
      </w:r>
      <w:r>
        <w:t>Nena</w:t>
      </w:r>
      <w:r>
        <w:rPr>
          <w:spacing w:val="9"/>
        </w:rPr>
        <w:t xml:space="preserve"> </w:t>
      </w:r>
      <w:r>
        <w:rPr>
          <w:spacing w:val="-4"/>
        </w:rPr>
        <w:t>Lira</w:t>
      </w:r>
    </w:p>
    <w:p w:rsidR="007259F2" w:rsidRDefault="00E655B4">
      <w:pPr>
        <w:spacing w:before="1"/>
        <w:ind w:left="710"/>
      </w:pPr>
      <w:r>
        <w:t>[...]</w:t>
      </w:r>
      <w:r>
        <w:rPr>
          <w:spacing w:val="-3"/>
        </w:rPr>
        <w:t xml:space="preserve"> </w:t>
      </w:r>
      <w:r>
        <w:t>São</w:t>
      </w:r>
      <w:r>
        <w:rPr>
          <w:spacing w:val="-3"/>
        </w:rPr>
        <w:t xml:space="preserve"> </w:t>
      </w:r>
      <w:r>
        <w:t>Paulo</w:t>
      </w:r>
      <w:r>
        <w:rPr>
          <w:spacing w:val="-6"/>
        </w:rPr>
        <w:t xml:space="preserve"> </w:t>
      </w:r>
      <w:r>
        <w:t>(SP):</w:t>
      </w:r>
      <w:r>
        <w:rPr>
          <w:spacing w:val="-2"/>
        </w:rPr>
        <w:t xml:space="preserve"> </w:t>
      </w:r>
      <w:r>
        <w:t>Diário</w:t>
      </w:r>
      <w:r>
        <w:rPr>
          <w:spacing w:val="-7"/>
        </w:rPr>
        <w:t xml:space="preserve"> </w:t>
      </w:r>
      <w:r>
        <w:t>Oficial</w:t>
      </w:r>
      <w:r>
        <w:rPr>
          <w:spacing w:val="-4"/>
        </w:rPr>
        <w:t xml:space="preserve"> </w:t>
      </w:r>
      <w:r>
        <w:t>do</w:t>
      </w:r>
      <w:r>
        <w:rPr>
          <w:spacing w:val="-3"/>
        </w:rPr>
        <w:t xml:space="preserve"> </w:t>
      </w:r>
      <w:r>
        <w:t>Município,</w:t>
      </w:r>
      <w:r>
        <w:rPr>
          <w:spacing w:val="-2"/>
        </w:rPr>
        <w:t xml:space="preserve"> 2022.</w:t>
      </w:r>
    </w:p>
    <w:p w:rsidR="007259F2" w:rsidRDefault="00E655B4">
      <w:pPr>
        <w:spacing w:before="119"/>
        <w:ind w:left="710"/>
      </w:pPr>
      <w:r>
        <w:t xml:space="preserve">SÃO PAULO (SP). </w:t>
      </w:r>
      <w:r>
        <w:rPr>
          <w:b/>
        </w:rPr>
        <w:t xml:space="preserve">LEI Nº 17.859, DE 16 DE DEZEMBRO DE 2022. </w:t>
      </w:r>
      <w:r>
        <w:t>Dispõe sobre a regularização fundiária [...] São Paulo (SP): Diário Oficial do Município, 2022.</w:t>
      </w:r>
    </w:p>
    <w:p w:rsidR="007259F2" w:rsidRDefault="00E655B4">
      <w:pPr>
        <w:spacing w:before="121"/>
        <w:ind w:left="710" w:right="561"/>
      </w:pPr>
      <w:r>
        <w:t xml:space="preserve">SÃO PAULO (SP). </w:t>
      </w:r>
      <w:r>
        <w:rPr>
          <w:b/>
        </w:rPr>
        <w:t>LEI Nº 17.858, DE 8 DE DEZEMBRO DE 2022</w:t>
      </w:r>
      <w:r>
        <w:t>. Dispõe sobre a aplicação do</w:t>
      </w:r>
      <w:r>
        <w:rPr>
          <w:spacing w:val="40"/>
        </w:rPr>
        <w:t xml:space="preserve"> </w:t>
      </w:r>
      <w:r>
        <w:t>art. 1º São Paulo (SP): Diário Oficial do Município, 2022.</w:t>
      </w:r>
    </w:p>
    <w:p w:rsidR="007259F2" w:rsidRDefault="00E655B4">
      <w:pPr>
        <w:spacing w:before="120"/>
        <w:ind w:left="710" w:right="561"/>
      </w:pPr>
      <w:r>
        <w:t xml:space="preserve">SÃO PAULO (SP). </w:t>
      </w:r>
      <w:r>
        <w:rPr>
          <w:b/>
        </w:rPr>
        <w:t>LEI Nº 17.857, DE 8 DE DEZEMBRO DE 2022</w:t>
      </w:r>
      <w:r>
        <w:t>. Dispõe sobre a aplicação do</w:t>
      </w:r>
      <w:r>
        <w:rPr>
          <w:spacing w:val="40"/>
        </w:rPr>
        <w:t xml:space="preserve"> </w:t>
      </w:r>
      <w:r>
        <w:t>art. 1º [...] São Paulo (SP): Diário Oficial do Município, 2022.</w:t>
      </w:r>
    </w:p>
    <w:p w:rsidR="007259F2" w:rsidRDefault="00E655B4">
      <w:pPr>
        <w:spacing w:before="121" w:line="252" w:lineRule="exact"/>
        <w:ind w:left="710"/>
      </w:pPr>
      <w:r>
        <w:t>SÃO</w:t>
      </w:r>
      <w:r>
        <w:rPr>
          <w:spacing w:val="4"/>
        </w:rPr>
        <w:t xml:space="preserve"> </w:t>
      </w:r>
      <w:r>
        <w:t>PAULO</w:t>
      </w:r>
      <w:r>
        <w:rPr>
          <w:spacing w:val="5"/>
        </w:rPr>
        <w:t xml:space="preserve"> </w:t>
      </w:r>
      <w:r>
        <w:t>(SP).</w:t>
      </w:r>
      <w:r>
        <w:rPr>
          <w:spacing w:val="8"/>
        </w:rPr>
        <w:t xml:space="preserve"> </w:t>
      </w:r>
      <w:r>
        <w:rPr>
          <w:b/>
        </w:rPr>
        <w:t>LEI</w:t>
      </w:r>
      <w:r>
        <w:rPr>
          <w:b/>
          <w:spacing w:val="8"/>
        </w:rPr>
        <w:t xml:space="preserve"> </w:t>
      </w:r>
      <w:r>
        <w:rPr>
          <w:b/>
        </w:rPr>
        <w:t>Nº</w:t>
      </w:r>
      <w:r>
        <w:rPr>
          <w:b/>
          <w:spacing w:val="6"/>
        </w:rPr>
        <w:t xml:space="preserve"> </w:t>
      </w:r>
      <w:r>
        <w:rPr>
          <w:b/>
        </w:rPr>
        <w:t>17.856,</w:t>
      </w:r>
      <w:r>
        <w:rPr>
          <w:b/>
          <w:spacing w:val="8"/>
        </w:rPr>
        <w:t xml:space="preserve"> </w:t>
      </w:r>
      <w:r>
        <w:rPr>
          <w:b/>
        </w:rPr>
        <w:t>DE</w:t>
      </w:r>
      <w:r>
        <w:rPr>
          <w:b/>
          <w:spacing w:val="6"/>
        </w:rPr>
        <w:t xml:space="preserve"> </w:t>
      </w:r>
      <w:r>
        <w:rPr>
          <w:b/>
        </w:rPr>
        <w:t>5</w:t>
      </w:r>
      <w:r>
        <w:rPr>
          <w:b/>
          <w:spacing w:val="7"/>
        </w:rPr>
        <w:t xml:space="preserve"> </w:t>
      </w:r>
      <w:r>
        <w:rPr>
          <w:b/>
        </w:rPr>
        <w:t>DE</w:t>
      </w:r>
      <w:r>
        <w:rPr>
          <w:b/>
          <w:spacing w:val="6"/>
        </w:rPr>
        <w:t xml:space="preserve"> </w:t>
      </w:r>
      <w:r>
        <w:rPr>
          <w:b/>
        </w:rPr>
        <w:t>DEZEMBRO</w:t>
      </w:r>
      <w:r>
        <w:rPr>
          <w:b/>
          <w:spacing w:val="8"/>
        </w:rPr>
        <w:t xml:space="preserve"> </w:t>
      </w:r>
      <w:r>
        <w:rPr>
          <w:b/>
        </w:rPr>
        <w:t>DE</w:t>
      </w:r>
      <w:r>
        <w:rPr>
          <w:b/>
          <w:spacing w:val="6"/>
        </w:rPr>
        <w:t xml:space="preserve"> </w:t>
      </w:r>
      <w:r>
        <w:rPr>
          <w:b/>
        </w:rPr>
        <w:t>2022.</w:t>
      </w:r>
      <w:r>
        <w:rPr>
          <w:b/>
          <w:spacing w:val="13"/>
        </w:rPr>
        <w:t xml:space="preserve"> </w:t>
      </w:r>
      <w:r>
        <w:t>Altera</w:t>
      </w:r>
      <w:r>
        <w:rPr>
          <w:spacing w:val="7"/>
        </w:rPr>
        <w:t xml:space="preserve"> </w:t>
      </w:r>
      <w:r>
        <w:t>a</w:t>
      </w:r>
      <w:r>
        <w:rPr>
          <w:spacing w:val="7"/>
        </w:rPr>
        <w:t xml:space="preserve"> </w:t>
      </w:r>
      <w:hyperlink r:id="rId254">
        <w:r>
          <w:rPr>
            <w:u w:val="single"/>
          </w:rPr>
          <w:t>Lei</w:t>
        </w:r>
        <w:r>
          <w:rPr>
            <w:spacing w:val="8"/>
            <w:u w:val="single"/>
          </w:rPr>
          <w:t xml:space="preserve"> </w:t>
        </w:r>
        <w:r>
          <w:rPr>
            <w:u w:val="single"/>
          </w:rPr>
          <w:t>nº</w:t>
        </w:r>
        <w:r>
          <w:rPr>
            <w:spacing w:val="6"/>
            <w:u w:val="single"/>
          </w:rPr>
          <w:t xml:space="preserve"> </w:t>
        </w:r>
        <w:r>
          <w:rPr>
            <w:u w:val="single"/>
          </w:rPr>
          <w:t>14.485,</w:t>
        </w:r>
        <w:r>
          <w:rPr>
            <w:spacing w:val="7"/>
            <w:u w:val="single"/>
          </w:rPr>
          <w:t xml:space="preserve"> </w:t>
        </w:r>
        <w:r>
          <w:rPr>
            <w:u w:val="single"/>
          </w:rPr>
          <w:t>de</w:t>
        </w:r>
        <w:r>
          <w:rPr>
            <w:spacing w:val="8"/>
            <w:u w:val="single"/>
          </w:rPr>
          <w:t xml:space="preserve"> </w:t>
        </w:r>
        <w:r>
          <w:rPr>
            <w:spacing w:val="-5"/>
            <w:u w:val="single"/>
          </w:rPr>
          <w:t>19</w:t>
        </w:r>
      </w:hyperlink>
    </w:p>
    <w:p w:rsidR="007259F2" w:rsidRDefault="00DE6B1C">
      <w:pPr>
        <w:spacing w:line="252" w:lineRule="exact"/>
        <w:ind w:left="710"/>
      </w:pPr>
      <w:hyperlink r:id="rId255">
        <w:r w:rsidR="00E655B4">
          <w:rPr>
            <w:u w:val="single"/>
          </w:rPr>
          <w:t>de</w:t>
        </w:r>
        <w:r w:rsidR="00E655B4">
          <w:rPr>
            <w:spacing w:val="-5"/>
            <w:u w:val="single"/>
          </w:rPr>
          <w:t xml:space="preserve"> </w:t>
        </w:r>
        <w:r w:rsidR="00E655B4">
          <w:rPr>
            <w:u w:val="single"/>
          </w:rPr>
          <w:t>julho</w:t>
        </w:r>
        <w:r w:rsidR="00E655B4">
          <w:rPr>
            <w:spacing w:val="-2"/>
            <w:u w:val="single"/>
          </w:rPr>
          <w:t xml:space="preserve"> </w:t>
        </w:r>
        <w:r w:rsidR="00E655B4">
          <w:rPr>
            <w:u w:val="single"/>
          </w:rPr>
          <w:t>de</w:t>
        </w:r>
        <w:r w:rsidR="00E655B4">
          <w:rPr>
            <w:spacing w:val="-3"/>
            <w:u w:val="single"/>
          </w:rPr>
          <w:t xml:space="preserve"> </w:t>
        </w:r>
        <w:r w:rsidR="00E655B4">
          <w:rPr>
            <w:u w:val="single"/>
          </w:rPr>
          <w:t>2007,</w:t>
        </w:r>
      </w:hyperlink>
      <w:r w:rsidR="00E655B4">
        <w:rPr>
          <w:spacing w:val="-4"/>
        </w:rPr>
        <w:t xml:space="preserve"> </w:t>
      </w:r>
      <w:r w:rsidR="00E655B4">
        <w:t>[...]</w:t>
      </w:r>
      <w:r w:rsidR="00E655B4">
        <w:rPr>
          <w:spacing w:val="-2"/>
        </w:rPr>
        <w:t xml:space="preserve"> </w:t>
      </w:r>
      <w:r w:rsidR="00E655B4">
        <w:t>São</w:t>
      </w:r>
      <w:r w:rsidR="00E655B4">
        <w:rPr>
          <w:spacing w:val="-5"/>
        </w:rPr>
        <w:t xml:space="preserve"> </w:t>
      </w:r>
      <w:r w:rsidR="00E655B4">
        <w:t>Paulo</w:t>
      </w:r>
      <w:r w:rsidR="00E655B4">
        <w:rPr>
          <w:spacing w:val="-6"/>
        </w:rPr>
        <w:t xml:space="preserve"> </w:t>
      </w:r>
      <w:r w:rsidR="00E655B4">
        <w:t>(SP):</w:t>
      </w:r>
      <w:r w:rsidR="00E655B4">
        <w:rPr>
          <w:spacing w:val="-1"/>
        </w:rPr>
        <w:t xml:space="preserve"> </w:t>
      </w:r>
      <w:r w:rsidR="00E655B4">
        <w:t>Diário</w:t>
      </w:r>
      <w:r w:rsidR="00E655B4">
        <w:rPr>
          <w:spacing w:val="-2"/>
        </w:rPr>
        <w:t xml:space="preserve"> </w:t>
      </w:r>
      <w:r w:rsidR="00E655B4">
        <w:t>Oficial</w:t>
      </w:r>
      <w:r w:rsidR="00E655B4">
        <w:rPr>
          <w:spacing w:val="-5"/>
        </w:rPr>
        <w:t xml:space="preserve"> </w:t>
      </w:r>
      <w:r w:rsidR="00E655B4">
        <w:t>do</w:t>
      </w:r>
      <w:r w:rsidR="00E655B4">
        <w:rPr>
          <w:spacing w:val="-2"/>
        </w:rPr>
        <w:t xml:space="preserve"> </w:t>
      </w:r>
      <w:r w:rsidR="00E655B4">
        <w:t>Município,</w:t>
      </w:r>
      <w:r w:rsidR="00E655B4">
        <w:rPr>
          <w:spacing w:val="-2"/>
        </w:rPr>
        <w:t xml:space="preserve"> 2022.</w:t>
      </w:r>
    </w:p>
    <w:p w:rsidR="007259F2" w:rsidRDefault="00E655B4">
      <w:pPr>
        <w:spacing w:before="121"/>
        <w:ind w:left="710" w:right="561"/>
      </w:pPr>
      <w:r>
        <w:t xml:space="preserve">SÃO PAULO (SP). </w:t>
      </w:r>
      <w:r>
        <w:rPr>
          <w:b/>
        </w:rPr>
        <w:t xml:space="preserve">LEI Nº 17.855, DE 2 DE DEZEMBRO DE 2022. </w:t>
      </w:r>
      <w:r>
        <w:t>Fica alterada a denominação do Viaduto São Carlos [...] São Paulo (SP): Diário Oficial do Município, 2022.</w:t>
      </w:r>
    </w:p>
    <w:p w:rsidR="007259F2" w:rsidRDefault="00E655B4">
      <w:pPr>
        <w:spacing w:before="119"/>
        <w:ind w:left="710"/>
      </w:pPr>
      <w:r>
        <w:t>SÃO</w:t>
      </w:r>
      <w:r>
        <w:rPr>
          <w:spacing w:val="20"/>
        </w:rPr>
        <w:t xml:space="preserve"> </w:t>
      </w:r>
      <w:r>
        <w:t>PAULO</w:t>
      </w:r>
      <w:r>
        <w:rPr>
          <w:spacing w:val="20"/>
        </w:rPr>
        <w:t xml:space="preserve"> </w:t>
      </w:r>
      <w:r>
        <w:t>(SP).</w:t>
      </w:r>
      <w:r>
        <w:rPr>
          <w:spacing w:val="22"/>
        </w:rPr>
        <w:t xml:space="preserve"> </w:t>
      </w:r>
      <w:r>
        <w:rPr>
          <w:b/>
        </w:rPr>
        <w:t>LEI</w:t>
      </w:r>
      <w:r>
        <w:rPr>
          <w:b/>
          <w:spacing w:val="22"/>
        </w:rPr>
        <w:t xml:space="preserve"> </w:t>
      </w:r>
      <w:r>
        <w:rPr>
          <w:b/>
        </w:rPr>
        <w:t>Nº</w:t>
      </w:r>
      <w:r>
        <w:rPr>
          <w:b/>
          <w:spacing w:val="21"/>
        </w:rPr>
        <w:t xml:space="preserve"> </w:t>
      </w:r>
      <w:r>
        <w:rPr>
          <w:b/>
        </w:rPr>
        <w:t>17.854,</w:t>
      </w:r>
      <w:r>
        <w:rPr>
          <w:b/>
          <w:spacing w:val="22"/>
        </w:rPr>
        <w:t xml:space="preserve"> </w:t>
      </w:r>
      <w:r>
        <w:rPr>
          <w:b/>
        </w:rPr>
        <w:t>DE</w:t>
      </w:r>
      <w:r>
        <w:rPr>
          <w:b/>
          <w:spacing w:val="21"/>
        </w:rPr>
        <w:t xml:space="preserve"> </w:t>
      </w:r>
      <w:r>
        <w:rPr>
          <w:b/>
        </w:rPr>
        <w:t>2</w:t>
      </w:r>
      <w:r>
        <w:rPr>
          <w:b/>
          <w:spacing w:val="22"/>
        </w:rPr>
        <w:t xml:space="preserve"> </w:t>
      </w:r>
      <w:r>
        <w:rPr>
          <w:b/>
        </w:rPr>
        <w:t>DE</w:t>
      </w:r>
      <w:r>
        <w:rPr>
          <w:b/>
          <w:spacing w:val="21"/>
        </w:rPr>
        <w:t xml:space="preserve"> </w:t>
      </w:r>
      <w:r>
        <w:rPr>
          <w:b/>
        </w:rPr>
        <w:t>DEZEMBRO</w:t>
      </w:r>
      <w:r>
        <w:rPr>
          <w:b/>
          <w:spacing w:val="22"/>
        </w:rPr>
        <w:t xml:space="preserve"> </w:t>
      </w:r>
      <w:r>
        <w:rPr>
          <w:b/>
        </w:rPr>
        <w:t>DE</w:t>
      </w:r>
      <w:r>
        <w:rPr>
          <w:b/>
          <w:spacing w:val="21"/>
        </w:rPr>
        <w:t xml:space="preserve"> </w:t>
      </w:r>
      <w:r>
        <w:rPr>
          <w:b/>
        </w:rPr>
        <w:t>2022.</w:t>
      </w:r>
      <w:r>
        <w:rPr>
          <w:b/>
          <w:spacing w:val="25"/>
        </w:rPr>
        <w:t xml:space="preserve"> </w:t>
      </w:r>
      <w:r>
        <w:t>Dispõe</w:t>
      </w:r>
      <w:r>
        <w:rPr>
          <w:spacing w:val="22"/>
        </w:rPr>
        <w:t xml:space="preserve"> </w:t>
      </w:r>
      <w:r>
        <w:t>sobre</w:t>
      </w:r>
      <w:r>
        <w:rPr>
          <w:spacing w:val="22"/>
        </w:rPr>
        <w:t xml:space="preserve"> </w:t>
      </w:r>
      <w:r>
        <w:t>a</w:t>
      </w:r>
      <w:r>
        <w:rPr>
          <w:spacing w:val="22"/>
        </w:rPr>
        <w:t xml:space="preserve"> </w:t>
      </w:r>
      <w:r>
        <w:t>criação,</w:t>
      </w:r>
      <w:r>
        <w:rPr>
          <w:spacing w:val="22"/>
        </w:rPr>
        <w:t xml:space="preserve"> </w:t>
      </w:r>
      <w:r>
        <w:t>no Quadro do Magistério Municipal [...]. São Paulo (SP): Diário Oficial do Município, 2022.</w:t>
      </w:r>
    </w:p>
    <w:p w:rsidR="007259F2" w:rsidRDefault="00E655B4">
      <w:pPr>
        <w:spacing w:before="120"/>
        <w:ind w:left="710" w:right="432"/>
      </w:pPr>
      <w:r>
        <w:t xml:space="preserve">SÃO PAULO (SP). </w:t>
      </w:r>
      <w:r>
        <w:rPr>
          <w:b/>
        </w:rPr>
        <w:t xml:space="preserve">LEI Nº 17.853, DE 29 DE NOVEMBRO DE 2022. </w:t>
      </w:r>
      <w:r>
        <w:t>Estabelece regras aplicáveis a estabelecimentos [...] São Paulo (SP): Diário Oficial do Município, 2022.</w:t>
      </w:r>
    </w:p>
    <w:p w:rsidR="007259F2" w:rsidRDefault="00E655B4">
      <w:pPr>
        <w:spacing w:before="120" w:line="253" w:lineRule="exact"/>
        <w:ind w:left="710"/>
      </w:pPr>
      <w:r>
        <w:t>SÃO</w:t>
      </w:r>
      <w:r>
        <w:rPr>
          <w:spacing w:val="55"/>
          <w:w w:val="150"/>
        </w:rPr>
        <w:t xml:space="preserve"> </w:t>
      </w:r>
      <w:r>
        <w:t>PAULO</w:t>
      </w:r>
      <w:r>
        <w:rPr>
          <w:spacing w:val="57"/>
          <w:w w:val="150"/>
        </w:rPr>
        <w:t xml:space="preserve"> </w:t>
      </w:r>
      <w:r>
        <w:t>(SP).</w:t>
      </w:r>
      <w:r>
        <w:rPr>
          <w:spacing w:val="60"/>
          <w:w w:val="150"/>
        </w:rPr>
        <w:t xml:space="preserve"> </w:t>
      </w:r>
      <w:r>
        <w:rPr>
          <w:b/>
        </w:rPr>
        <w:t>LEI</w:t>
      </w:r>
      <w:r>
        <w:rPr>
          <w:b/>
          <w:spacing w:val="59"/>
          <w:w w:val="150"/>
        </w:rPr>
        <w:t xml:space="preserve"> </w:t>
      </w:r>
      <w:r>
        <w:rPr>
          <w:b/>
        </w:rPr>
        <w:t>Nº</w:t>
      </w:r>
      <w:r>
        <w:rPr>
          <w:b/>
          <w:spacing w:val="58"/>
          <w:w w:val="150"/>
        </w:rPr>
        <w:t xml:space="preserve"> </w:t>
      </w:r>
      <w:r>
        <w:rPr>
          <w:b/>
        </w:rPr>
        <w:t>17.852,</w:t>
      </w:r>
      <w:r>
        <w:rPr>
          <w:b/>
          <w:spacing w:val="58"/>
          <w:w w:val="150"/>
        </w:rPr>
        <w:t xml:space="preserve"> </w:t>
      </w:r>
      <w:r>
        <w:rPr>
          <w:b/>
        </w:rPr>
        <w:t>DE</w:t>
      </w:r>
      <w:r>
        <w:rPr>
          <w:b/>
          <w:spacing w:val="58"/>
          <w:w w:val="150"/>
        </w:rPr>
        <w:t xml:space="preserve"> </w:t>
      </w:r>
      <w:r>
        <w:rPr>
          <w:b/>
        </w:rPr>
        <w:t>22</w:t>
      </w:r>
      <w:r>
        <w:rPr>
          <w:b/>
          <w:spacing w:val="58"/>
          <w:w w:val="150"/>
        </w:rPr>
        <w:t xml:space="preserve"> </w:t>
      </w:r>
      <w:r>
        <w:rPr>
          <w:b/>
        </w:rPr>
        <w:t>DE</w:t>
      </w:r>
      <w:r>
        <w:rPr>
          <w:b/>
          <w:spacing w:val="57"/>
          <w:w w:val="150"/>
        </w:rPr>
        <w:t xml:space="preserve"> </w:t>
      </w:r>
      <w:r>
        <w:rPr>
          <w:b/>
        </w:rPr>
        <w:t>NOVEMBRO</w:t>
      </w:r>
      <w:r>
        <w:rPr>
          <w:b/>
          <w:spacing w:val="60"/>
          <w:w w:val="150"/>
        </w:rPr>
        <w:t xml:space="preserve"> </w:t>
      </w:r>
      <w:r>
        <w:rPr>
          <w:b/>
        </w:rPr>
        <w:t>DE</w:t>
      </w:r>
      <w:r>
        <w:rPr>
          <w:b/>
          <w:spacing w:val="57"/>
          <w:w w:val="150"/>
        </w:rPr>
        <w:t xml:space="preserve"> </w:t>
      </w:r>
      <w:r>
        <w:rPr>
          <w:b/>
        </w:rPr>
        <w:t>2022</w:t>
      </w:r>
      <w:r>
        <w:t>.</w:t>
      </w:r>
      <w:r>
        <w:rPr>
          <w:spacing w:val="59"/>
          <w:w w:val="150"/>
        </w:rPr>
        <w:t xml:space="preserve"> </w:t>
      </w:r>
      <w:r>
        <w:t>Dispõe</w:t>
      </w:r>
      <w:r>
        <w:rPr>
          <w:spacing w:val="56"/>
          <w:w w:val="150"/>
        </w:rPr>
        <w:t xml:space="preserve"> </w:t>
      </w:r>
      <w:r>
        <w:t>sobre</w:t>
      </w:r>
      <w:r>
        <w:rPr>
          <w:spacing w:val="60"/>
          <w:w w:val="150"/>
        </w:rPr>
        <w:t xml:space="preserve"> </w:t>
      </w:r>
      <w:r>
        <w:rPr>
          <w:spacing w:val="-10"/>
        </w:rPr>
        <w:t>o</w:t>
      </w:r>
    </w:p>
    <w:p w:rsidR="007259F2" w:rsidRDefault="00E655B4">
      <w:pPr>
        <w:ind w:left="710"/>
      </w:pPr>
      <w:r>
        <w:t>aperfeiçoamento</w:t>
      </w:r>
      <w:r>
        <w:rPr>
          <w:spacing w:val="-7"/>
        </w:rPr>
        <w:t xml:space="preserve"> </w:t>
      </w:r>
      <w:r>
        <w:t>da</w:t>
      </w:r>
      <w:r>
        <w:rPr>
          <w:spacing w:val="-4"/>
        </w:rPr>
        <w:t xml:space="preserve"> </w:t>
      </w:r>
      <w:r>
        <w:t>estrutura</w:t>
      </w:r>
      <w:r>
        <w:rPr>
          <w:spacing w:val="-4"/>
        </w:rPr>
        <w:t xml:space="preserve"> </w:t>
      </w:r>
      <w:r>
        <w:t>[...]</w:t>
      </w:r>
      <w:r>
        <w:rPr>
          <w:spacing w:val="-4"/>
        </w:rPr>
        <w:t xml:space="preserve"> </w:t>
      </w:r>
      <w:r>
        <w:t>São</w:t>
      </w:r>
      <w:r>
        <w:rPr>
          <w:spacing w:val="-4"/>
        </w:rPr>
        <w:t xml:space="preserve"> </w:t>
      </w:r>
      <w:r>
        <w:t>Paulo</w:t>
      </w:r>
      <w:r>
        <w:rPr>
          <w:spacing w:val="-7"/>
        </w:rPr>
        <w:t xml:space="preserve"> </w:t>
      </w:r>
      <w:r>
        <w:t>(SP):</w:t>
      </w:r>
      <w:r>
        <w:rPr>
          <w:spacing w:val="-3"/>
        </w:rPr>
        <w:t xml:space="preserve"> </w:t>
      </w:r>
      <w:r>
        <w:t>Diário</w:t>
      </w:r>
      <w:r>
        <w:rPr>
          <w:spacing w:val="-4"/>
        </w:rPr>
        <w:t xml:space="preserve"> </w:t>
      </w:r>
      <w:r>
        <w:t>Oficial</w:t>
      </w:r>
      <w:r>
        <w:rPr>
          <w:spacing w:val="-3"/>
        </w:rPr>
        <w:t xml:space="preserve"> </w:t>
      </w:r>
      <w:r>
        <w:t>do</w:t>
      </w:r>
      <w:r>
        <w:rPr>
          <w:spacing w:val="-7"/>
        </w:rPr>
        <w:t xml:space="preserve"> </w:t>
      </w:r>
      <w:r>
        <w:t>Município,</w:t>
      </w:r>
      <w:r>
        <w:rPr>
          <w:spacing w:val="-6"/>
        </w:rPr>
        <w:t xml:space="preserve"> </w:t>
      </w:r>
      <w:r>
        <w:rPr>
          <w:spacing w:val="-2"/>
        </w:rPr>
        <w:t>2022.</w:t>
      </w:r>
    </w:p>
    <w:p w:rsidR="007259F2" w:rsidRDefault="00E655B4">
      <w:pPr>
        <w:spacing w:before="122"/>
        <w:ind w:left="710"/>
      </w:pPr>
      <w:r>
        <w:t xml:space="preserve">SÃO PAULO (SP). </w:t>
      </w:r>
      <w:r>
        <w:rPr>
          <w:b/>
        </w:rPr>
        <w:t>LEI Nº 17.851, DE 27 DE OUTUBRO DE 2022</w:t>
      </w:r>
      <w:r>
        <w:t>. Autoriza a criação do Auxílio Ampara [...]. São Paulo (SP): Diário Oficial do Município, 2022.</w:t>
      </w:r>
    </w:p>
    <w:p w:rsidR="007259F2" w:rsidRDefault="00E655B4">
      <w:pPr>
        <w:spacing w:before="120" w:line="252" w:lineRule="exact"/>
        <w:ind w:left="710"/>
      </w:pPr>
      <w:r>
        <w:t>SÃO</w:t>
      </w:r>
      <w:r>
        <w:rPr>
          <w:spacing w:val="30"/>
        </w:rPr>
        <w:t xml:space="preserve"> </w:t>
      </w:r>
      <w:r>
        <w:t>PAULO</w:t>
      </w:r>
      <w:r>
        <w:rPr>
          <w:spacing w:val="34"/>
        </w:rPr>
        <w:t xml:space="preserve"> </w:t>
      </w:r>
      <w:r>
        <w:t>(SP).</w:t>
      </w:r>
      <w:r>
        <w:rPr>
          <w:spacing w:val="34"/>
        </w:rPr>
        <w:t xml:space="preserve"> </w:t>
      </w:r>
      <w:r>
        <w:rPr>
          <w:b/>
        </w:rPr>
        <w:t>LEI</w:t>
      </w:r>
      <w:r>
        <w:rPr>
          <w:b/>
          <w:spacing w:val="34"/>
        </w:rPr>
        <w:t xml:space="preserve"> </w:t>
      </w:r>
      <w:r>
        <w:rPr>
          <w:b/>
        </w:rPr>
        <w:t>Nº</w:t>
      </w:r>
      <w:r>
        <w:rPr>
          <w:b/>
          <w:spacing w:val="33"/>
        </w:rPr>
        <w:t xml:space="preserve"> </w:t>
      </w:r>
      <w:r>
        <w:rPr>
          <w:b/>
        </w:rPr>
        <w:t>17.850,</w:t>
      </w:r>
      <w:r>
        <w:rPr>
          <w:b/>
          <w:spacing w:val="33"/>
        </w:rPr>
        <w:t xml:space="preserve"> </w:t>
      </w:r>
      <w:r>
        <w:rPr>
          <w:b/>
        </w:rPr>
        <w:t>DE</w:t>
      </w:r>
      <w:r>
        <w:rPr>
          <w:b/>
          <w:spacing w:val="33"/>
        </w:rPr>
        <w:t xml:space="preserve"> </w:t>
      </w:r>
      <w:r>
        <w:rPr>
          <w:b/>
        </w:rPr>
        <w:t>19</w:t>
      </w:r>
      <w:r>
        <w:rPr>
          <w:b/>
          <w:spacing w:val="33"/>
        </w:rPr>
        <w:t xml:space="preserve"> </w:t>
      </w:r>
      <w:r>
        <w:rPr>
          <w:b/>
        </w:rPr>
        <w:t>DE</w:t>
      </w:r>
      <w:r>
        <w:rPr>
          <w:b/>
          <w:spacing w:val="33"/>
        </w:rPr>
        <w:t xml:space="preserve"> </w:t>
      </w:r>
      <w:r>
        <w:rPr>
          <w:b/>
        </w:rPr>
        <w:t>OUTUBRO</w:t>
      </w:r>
      <w:r>
        <w:rPr>
          <w:b/>
          <w:spacing w:val="34"/>
        </w:rPr>
        <w:t xml:space="preserve"> </w:t>
      </w:r>
      <w:r>
        <w:rPr>
          <w:b/>
        </w:rPr>
        <w:t>DE</w:t>
      </w:r>
      <w:r>
        <w:rPr>
          <w:b/>
          <w:spacing w:val="33"/>
        </w:rPr>
        <w:t xml:space="preserve"> </w:t>
      </w:r>
      <w:r>
        <w:rPr>
          <w:b/>
        </w:rPr>
        <w:t>2022.</w:t>
      </w:r>
      <w:r>
        <w:rPr>
          <w:b/>
          <w:spacing w:val="38"/>
        </w:rPr>
        <w:t xml:space="preserve"> </w:t>
      </w:r>
      <w:r>
        <w:t>Denomina</w:t>
      </w:r>
      <w:r>
        <w:rPr>
          <w:spacing w:val="34"/>
        </w:rPr>
        <w:t xml:space="preserve"> </w:t>
      </w:r>
      <w:r>
        <w:t>Praça</w:t>
      </w:r>
      <w:r>
        <w:rPr>
          <w:spacing w:val="34"/>
        </w:rPr>
        <w:t xml:space="preserve"> </w:t>
      </w:r>
      <w:r>
        <w:rPr>
          <w:spacing w:val="-2"/>
        </w:rPr>
        <w:t>Hermiro</w:t>
      </w:r>
    </w:p>
    <w:p w:rsidR="007259F2" w:rsidRDefault="00E655B4">
      <w:pPr>
        <w:spacing w:line="252" w:lineRule="exact"/>
        <w:ind w:left="710"/>
      </w:pPr>
      <w:r>
        <w:t>Ferreira</w:t>
      </w:r>
      <w:r>
        <w:rPr>
          <w:spacing w:val="-3"/>
        </w:rPr>
        <w:t xml:space="preserve"> </w:t>
      </w:r>
      <w:r>
        <w:t>da</w:t>
      </w:r>
      <w:r>
        <w:rPr>
          <w:spacing w:val="-5"/>
        </w:rPr>
        <w:t xml:space="preserve"> </w:t>
      </w:r>
      <w:r>
        <w:t>Fonseca</w:t>
      </w:r>
      <w:r>
        <w:rPr>
          <w:spacing w:val="-5"/>
        </w:rPr>
        <w:t xml:space="preserve"> </w:t>
      </w:r>
      <w:r>
        <w:t>[...]</w:t>
      </w:r>
      <w:r>
        <w:rPr>
          <w:spacing w:val="-3"/>
        </w:rPr>
        <w:t xml:space="preserve"> </w:t>
      </w:r>
      <w:r>
        <w:t>São</w:t>
      </w:r>
      <w:r>
        <w:rPr>
          <w:spacing w:val="-3"/>
        </w:rPr>
        <w:t xml:space="preserve"> </w:t>
      </w:r>
      <w:r>
        <w:t>Paulo</w:t>
      </w:r>
      <w:r>
        <w:rPr>
          <w:spacing w:val="-6"/>
        </w:rPr>
        <w:t xml:space="preserve"> </w:t>
      </w:r>
      <w:r>
        <w:t>(SP):</w:t>
      </w:r>
      <w:r>
        <w:rPr>
          <w:spacing w:val="-2"/>
        </w:rPr>
        <w:t xml:space="preserve"> </w:t>
      </w:r>
      <w:r>
        <w:t>Diário</w:t>
      </w:r>
      <w:r>
        <w:rPr>
          <w:spacing w:val="-3"/>
        </w:rPr>
        <w:t xml:space="preserve"> </w:t>
      </w:r>
      <w:r>
        <w:t>Oficial</w:t>
      </w:r>
      <w:r>
        <w:rPr>
          <w:spacing w:val="-2"/>
        </w:rPr>
        <w:t xml:space="preserve"> </w:t>
      </w:r>
      <w:r>
        <w:t>do</w:t>
      </w:r>
      <w:r>
        <w:rPr>
          <w:spacing w:val="-6"/>
        </w:rPr>
        <w:t xml:space="preserve"> </w:t>
      </w:r>
      <w:r>
        <w:t>Município,</w:t>
      </w:r>
      <w:r>
        <w:rPr>
          <w:spacing w:val="-2"/>
        </w:rPr>
        <w:t xml:space="preserve"> 2022.</w:t>
      </w:r>
    </w:p>
    <w:p w:rsidR="007259F2" w:rsidRDefault="00E655B4">
      <w:pPr>
        <w:spacing w:before="119"/>
        <w:ind w:left="710"/>
      </w:pPr>
      <w:r>
        <w:t>SÃO</w:t>
      </w:r>
      <w:r>
        <w:rPr>
          <w:spacing w:val="1"/>
        </w:rPr>
        <w:t xml:space="preserve"> </w:t>
      </w:r>
      <w:r>
        <w:t>PAULO</w:t>
      </w:r>
      <w:r>
        <w:rPr>
          <w:spacing w:val="4"/>
        </w:rPr>
        <w:t xml:space="preserve"> </w:t>
      </w:r>
      <w:r>
        <w:t>(SP).</w:t>
      </w:r>
      <w:r>
        <w:rPr>
          <w:spacing w:val="4"/>
        </w:rPr>
        <w:t xml:space="preserve"> </w:t>
      </w:r>
      <w:r>
        <w:rPr>
          <w:b/>
        </w:rPr>
        <w:t>LEI</w:t>
      </w:r>
      <w:r>
        <w:rPr>
          <w:b/>
          <w:spacing w:val="4"/>
        </w:rPr>
        <w:t xml:space="preserve"> </w:t>
      </w:r>
      <w:r>
        <w:rPr>
          <w:b/>
        </w:rPr>
        <w:t>Nº</w:t>
      </w:r>
      <w:r>
        <w:rPr>
          <w:b/>
          <w:spacing w:val="2"/>
        </w:rPr>
        <w:t xml:space="preserve"> </w:t>
      </w:r>
      <w:r>
        <w:rPr>
          <w:b/>
        </w:rPr>
        <w:t>17.849,</w:t>
      </w:r>
      <w:r>
        <w:rPr>
          <w:b/>
          <w:spacing w:val="3"/>
        </w:rPr>
        <w:t xml:space="preserve"> </w:t>
      </w:r>
      <w:r>
        <w:rPr>
          <w:b/>
        </w:rPr>
        <w:t>DE</w:t>
      </w:r>
      <w:r>
        <w:rPr>
          <w:b/>
          <w:spacing w:val="2"/>
        </w:rPr>
        <w:t xml:space="preserve"> </w:t>
      </w:r>
      <w:r>
        <w:rPr>
          <w:b/>
        </w:rPr>
        <w:t>30</w:t>
      </w:r>
      <w:r>
        <w:rPr>
          <w:b/>
          <w:spacing w:val="3"/>
        </w:rPr>
        <w:t xml:space="preserve"> </w:t>
      </w:r>
      <w:r>
        <w:rPr>
          <w:b/>
        </w:rPr>
        <w:t>DE</w:t>
      </w:r>
      <w:r>
        <w:rPr>
          <w:b/>
          <w:spacing w:val="2"/>
        </w:rPr>
        <w:t xml:space="preserve"> </w:t>
      </w:r>
      <w:r>
        <w:rPr>
          <w:b/>
        </w:rPr>
        <w:t>SETEMBRO</w:t>
      </w:r>
      <w:r>
        <w:rPr>
          <w:b/>
          <w:spacing w:val="3"/>
        </w:rPr>
        <w:t xml:space="preserve"> </w:t>
      </w:r>
      <w:r>
        <w:rPr>
          <w:b/>
        </w:rPr>
        <w:t>DE</w:t>
      </w:r>
      <w:r>
        <w:rPr>
          <w:b/>
          <w:spacing w:val="2"/>
        </w:rPr>
        <w:t xml:space="preserve"> </w:t>
      </w:r>
      <w:r>
        <w:rPr>
          <w:b/>
        </w:rPr>
        <w:t>2022</w:t>
      </w:r>
      <w:r>
        <w:t>.</w:t>
      </w:r>
      <w:r>
        <w:rPr>
          <w:spacing w:val="3"/>
        </w:rPr>
        <w:t xml:space="preserve"> </w:t>
      </w:r>
      <w:r>
        <w:t>Altera</w:t>
      </w:r>
      <w:r>
        <w:rPr>
          <w:spacing w:val="4"/>
        </w:rPr>
        <w:t xml:space="preserve"> </w:t>
      </w:r>
      <w:r>
        <w:t>a</w:t>
      </w:r>
      <w:r>
        <w:rPr>
          <w:spacing w:val="3"/>
        </w:rPr>
        <w:t xml:space="preserve"> </w:t>
      </w:r>
      <w:hyperlink r:id="rId256">
        <w:r>
          <w:rPr>
            <w:u w:val="single"/>
          </w:rPr>
          <w:t>Lei</w:t>
        </w:r>
        <w:r>
          <w:rPr>
            <w:spacing w:val="4"/>
            <w:u w:val="single"/>
          </w:rPr>
          <w:t xml:space="preserve"> </w:t>
        </w:r>
        <w:r>
          <w:rPr>
            <w:u w:val="single"/>
          </w:rPr>
          <w:t>nº</w:t>
        </w:r>
        <w:r>
          <w:rPr>
            <w:spacing w:val="4"/>
            <w:u w:val="single"/>
          </w:rPr>
          <w:t xml:space="preserve"> </w:t>
        </w:r>
        <w:r>
          <w:rPr>
            <w:u w:val="single"/>
          </w:rPr>
          <w:t>14.485,</w:t>
        </w:r>
        <w:r>
          <w:rPr>
            <w:spacing w:val="3"/>
            <w:u w:val="single"/>
          </w:rPr>
          <w:t xml:space="preserve"> </w:t>
        </w:r>
        <w:r>
          <w:rPr>
            <w:u w:val="single"/>
          </w:rPr>
          <w:t>de</w:t>
        </w:r>
        <w:r>
          <w:rPr>
            <w:spacing w:val="4"/>
            <w:u w:val="single"/>
          </w:rPr>
          <w:t xml:space="preserve"> </w:t>
        </w:r>
        <w:r>
          <w:rPr>
            <w:spacing w:val="-5"/>
            <w:u w:val="single"/>
          </w:rPr>
          <w:t>19</w:t>
        </w:r>
      </w:hyperlink>
    </w:p>
    <w:p w:rsidR="007259F2" w:rsidRDefault="00DE6B1C">
      <w:pPr>
        <w:spacing w:before="2"/>
        <w:ind w:left="710"/>
      </w:pPr>
      <w:hyperlink r:id="rId257">
        <w:r w:rsidR="00E655B4">
          <w:rPr>
            <w:u w:val="single"/>
          </w:rPr>
          <w:t>de</w:t>
        </w:r>
        <w:r w:rsidR="00E655B4">
          <w:rPr>
            <w:spacing w:val="-5"/>
            <w:u w:val="single"/>
          </w:rPr>
          <w:t xml:space="preserve"> </w:t>
        </w:r>
        <w:r w:rsidR="00E655B4">
          <w:rPr>
            <w:u w:val="single"/>
          </w:rPr>
          <w:t>julho</w:t>
        </w:r>
        <w:r w:rsidR="00E655B4">
          <w:rPr>
            <w:spacing w:val="-2"/>
            <w:u w:val="single"/>
          </w:rPr>
          <w:t xml:space="preserve"> </w:t>
        </w:r>
        <w:r w:rsidR="00E655B4">
          <w:rPr>
            <w:u w:val="single"/>
          </w:rPr>
          <w:t>de</w:t>
        </w:r>
        <w:r w:rsidR="00E655B4">
          <w:rPr>
            <w:spacing w:val="-3"/>
            <w:u w:val="single"/>
          </w:rPr>
          <w:t xml:space="preserve"> </w:t>
        </w:r>
        <w:r w:rsidR="00E655B4">
          <w:rPr>
            <w:u w:val="single"/>
          </w:rPr>
          <w:t>2007,</w:t>
        </w:r>
      </w:hyperlink>
      <w:r w:rsidR="00E655B4">
        <w:rPr>
          <w:spacing w:val="-4"/>
        </w:rPr>
        <w:t xml:space="preserve"> </w:t>
      </w:r>
      <w:r w:rsidR="00E655B4">
        <w:t>[...]</w:t>
      </w:r>
      <w:r w:rsidR="00E655B4">
        <w:rPr>
          <w:spacing w:val="-2"/>
        </w:rPr>
        <w:t xml:space="preserve"> </w:t>
      </w:r>
      <w:r w:rsidR="00E655B4">
        <w:t>São</w:t>
      </w:r>
      <w:r w:rsidR="00E655B4">
        <w:rPr>
          <w:spacing w:val="-5"/>
        </w:rPr>
        <w:t xml:space="preserve"> </w:t>
      </w:r>
      <w:r w:rsidR="00E655B4">
        <w:t>Paulo</w:t>
      </w:r>
      <w:r w:rsidR="00E655B4">
        <w:rPr>
          <w:spacing w:val="-6"/>
        </w:rPr>
        <w:t xml:space="preserve"> </w:t>
      </w:r>
      <w:r w:rsidR="00E655B4">
        <w:t>(SP):</w:t>
      </w:r>
      <w:r w:rsidR="00E655B4">
        <w:rPr>
          <w:spacing w:val="-1"/>
        </w:rPr>
        <w:t xml:space="preserve"> </w:t>
      </w:r>
      <w:r w:rsidR="00E655B4">
        <w:t>Diário</w:t>
      </w:r>
      <w:r w:rsidR="00E655B4">
        <w:rPr>
          <w:spacing w:val="-2"/>
        </w:rPr>
        <w:t xml:space="preserve"> </w:t>
      </w:r>
      <w:r w:rsidR="00E655B4">
        <w:t>Oficial</w:t>
      </w:r>
      <w:r w:rsidR="00E655B4">
        <w:rPr>
          <w:spacing w:val="-5"/>
        </w:rPr>
        <w:t xml:space="preserve"> </w:t>
      </w:r>
      <w:r w:rsidR="00E655B4">
        <w:t>do</w:t>
      </w:r>
      <w:r w:rsidR="00E655B4">
        <w:rPr>
          <w:spacing w:val="-2"/>
        </w:rPr>
        <w:t xml:space="preserve"> </w:t>
      </w:r>
      <w:r w:rsidR="00E655B4">
        <w:t>Município,</w:t>
      </w:r>
      <w:r w:rsidR="00E655B4">
        <w:rPr>
          <w:spacing w:val="-2"/>
        </w:rPr>
        <w:t xml:space="preserve"> 2022.</w:t>
      </w:r>
    </w:p>
    <w:p w:rsidR="007259F2" w:rsidRDefault="00E655B4">
      <w:pPr>
        <w:spacing w:before="119"/>
        <w:ind w:left="710"/>
      </w:pPr>
      <w:r>
        <w:t>SÃO</w:t>
      </w:r>
      <w:r>
        <w:rPr>
          <w:spacing w:val="1"/>
        </w:rPr>
        <w:t xml:space="preserve"> </w:t>
      </w:r>
      <w:r>
        <w:t>PAULO</w:t>
      </w:r>
      <w:r>
        <w:rPr>
          <w:spacing w:val="4"/>
        </w:rPr>
        <w:t xml:space="preserve"> </w:t>
      </w:r>
      <w:r>
        <w:t>(SP).</w:t>
      </w:r>
      <w:r>
        <w:rPr>
          <w:spacing w:val="4"/>
        </w:rPr>
        <w:t xml:space="preserve"> </w:t>
      </w:r>
      <w:r>
        <w:rPr>
          <w:b/>
        </w:rPr>
        <w:t>LEI</w:t>
      </w:r>
      <w:r>
        <w:rPr>
          <w:b/>
          <w:spacing w:val="4"/>
        </w:rPr>
        <w:t xml:space="preserve"> </w:t>
      </w:r>
      <w:r>
        <w:rPr>
          <w:b/>
        </w:rPr>
        <w:t>Nº</w:t>
      </w:r>
      <w:r>
        <w:rPr>
          <w:b/>
          <w:spacing w:val="2"/>
        </w:rPr>
        <w:t xml:space="preserve"> </w:t>
      </w:r>
      <w:r>
        <w:rPr>
          <w:b/>
        </w:rPr>
        <w:t>17.848,</w:t>
      </w:r>
      <w:r>
        <w:rPr>
          <w:b/>
          <w:spacing w:val="3"/>
        </w:rPr>
        <w:t xml:space="preserve"> </w:t>
      </w:r>
      <w:r>
        <w:rPr>
          <w:b/>
        </w:rPr>
        <w:t>DE</w:t>
      </w:r>
      <w:r>
        <w:rPr>
          <w:b/>
          <w:spacing w:val="2"/>
        </w:rPr>
        <w:t xml:space="preserve"> </w:t>
      </w:r>
      <w:r>
        <w:rPr>
          <w:b/>
        </w:rPr>
        <w:t>29</w:t>
      </w:r>
      <w:r>
        <w:rPr>
          <w:b/>
          <w:spacing w:val="3"/>
        </w:rPr>
        <w:t xml:space="preserve"> </w:t>
      </w:r>
      <w:r>
        <w:rPr>
          <w:b/>
        </w:rPr>
        <w:t>DE</w:t>
      </w:r>
      <w:r>
        <w:rPr>
          <w:b/>
          <w:spacing w:val="2"/>
        </w:rPr>
        <w:t xml:space="preserve"> </w:t>
      </w:r>
      <w:r>
        <w:rPr>
          <w:b/>
        </w:rPr>
        <w:t>SETEMBRO</w:t>
      </w:r>
      <w:r>
        <w:rPr>
          <w:b/>
          <w:spacing w:val="3"/>
        </w:rPr>
        <w:t xml:space="preserve"> </w:t>
      </w:r>
      <w:r>
        <w:rPr>
          <w:b/>
        </w:rPr>
        <w:t>DE</w:t>
      </w:r>
      <w:r>
        <w:rPr>
          <w:b/>
          <w:spacing w:val="2"/>
        </w:rPr>
        <w:t xml:space="preserve"> </w:t>
      </w:r>
      <w:r>
        <w:rPr>
          <w:b/>
        </w:rPr>
        <w:t>2022</w:t>
      </w:r>
      <w:r>
        <w:t>.</w:t>
      </w:r>
      <w:r>
        <w:rPr>
          <w:spacing w:val="3"/>
        </w:rPr>
        <w:t xml:space="preserve"> </w:t>
      </w:r>
      <w:r>
        <w:t>Altera</w:t>
      </w:r>
      <w:r>
        <w:rPr>
          <w:spacing w:val="4"/>
        </w:rPr>
        <w:t xml:space="preserve"> </w:t>
      </w:r>
      <w:r>
        <w:t>a</w:t>
      </w:r>
      <w:r>
        <w:rPr>
          <w:spacing w:val="1"/>
        </w:rPr>
        <w:t xml:space="preserve"> </w:t>
      </w:r>
      <w:r>
        <w:t>Lei</w:t>
      </w:r>
      <w:r>
        <w:rPr>
          <w:spacing w:val="4"/>
        </w:rPr>
        <w:t xml:space="preserve"> </w:t>
      </w:r>
      <w:r>
        <w:t>nº</w:t>
      </w:r>
      <w:r>
        <w:rPr>
          <w:spacing w:val="4"/>
        </w:rPr>
        <w:t xml:space="preserve"> </w:t>
      </w:r>
      <w:r>
        <w:t>13.392,</w:t>
      </w:r>
      <w:r>
        <w:rPr>
          <w:spacing w:val="3"/>
        </w:rPr>
        <w:t xml:space="preserve"> </w:t>
      </w:r>
      <w:r>
        <w:t>de</w:t>
      </w:r>
      <w:r>
        <w:rPr>
          <w:spacing w:val="4"/>
        </w:rPr>
        <w:t xml:space="preserve"> </w:t>
      </w:r>
      <w:r>
        <w:rPr>
          <w:spacing w:val="-5"/>
        </w:rPr>
        <w:t>17</w:t>
      </w:r>
    </w:p>
    <w:p w:rsidR="007259F2" w:rsidRDefault="00E655B4">
      <w:pPr>
        <w:spacing w:before="1"/>
        <w:ind w:left="710"/>
      </w:pPr>
      <w:r>
        <w:t>de</w:t>
      </w:r>
      <w:r>
        <w:rPr>
          <w:spacing w:val="-5"/>
        </w:rPr>
        <w:t xml:space="preserve"> </w:t>
      </w:r>
      <w:r>
        <w:t>julho</w:t>
      </w:r>
      <w:r>
        <w:rPr>
          <w:spacing w:val="-2"/>
        </w:rPr>
        <w:t xml:space="preserve"> </w:t>
      </w:r>
      <w:r>
        <w:t>de</w:t>
      </w:r>
      <w:r>
        <w:rPr>
          <w:spacing w:val="-3"/>
        </w:rPr>
        <w:t xml:space="preserve"> </w:t>
      </w:r>
      <w:r>
        <w:t>2002</w:t>
      </w:r>
      <w:r>
        <w:rPr>
          <w:spacing w:val="-4"/>
        </w:rPr>
        <w:t xml:space="preserve"> </w:t>
      </w:r>
      <w:r>
        <w:t>[...].</w:t>
      </w:r>
      <w:r>
        <w:rPr>
          <w:spacing w:val="-2"/>
        </w:rPr>
        <w:t xml:space="preserve"> </w:t>
      </w:r>
      <w:r>
        <w:t>São</w:t>
      </w:r>
      <w:r>
        <w:rPr>
          <w:spacing w:val="-5"/>
        </w:rPr>
        <w:t xml:space="preserve"> </w:t>
      </w:r>
      <w:r>
        <w:t>Paulo</w:t>
      </w:r>
      <w:r>
        <w:rPr>
          <w:spacing w:val="-6"/>
        </w:rPr>
        <w:t xml:space="preserve"> </w:t>
      </w:r>
      <w:r>
        <w:t>(SP):</w:t>
      </w:r>
      <w:r>
        <w:rPr>
          <w:spacing w:val="-1"/>
        </w:rPr>
        <w:t xml:space="preserve"> </w:t>
      </w:r>
      <w:r>
        <w:t>Diário</w:t>
      </w:r>
      <w:r>
        <w:rPr>
          <w:spacing w:val="-2"/>
        </w:rPr>
        <w:t xml:space="preserve"> </w:t>
      </w:r>
      <w:r>
        <w:t>Oficial</w:t>
      </w:r>
      <w:r>
        <w:rPr>
          <w:spacing w:val="-5"/>
        </w:rPr>
        <w:t xml:space="preserve"> </w:t>
      </w:r>
      <w:r>
        <w:t>do</w:t>
      </w:r>
      <w:r>
        <w:rPr>
          <w:spacing w:val="-2"/>
        </w:rPr>
        <w:t xml:space="preserve"> </w:t>
      </w:r>
      <w:r>
        <w:t>Município,</w:t>
      </w:r>
      <w:r>
        <w:rPr>
          <w:spacing w:val="-2"/>
        </w:rPr>
        <w:t xml:space="preserve"> 2022.</w:t>
      </w:r>
    </w:p>
    <w:p w:rsidR="007259F2" w:rsidRDefault="00E655B4">
      <w:pPr>
        <w:spacing w:before="119" w:line="252" w:lineRule="exact"/>
        <w:ind w:left="710"/>
      </w:pPr>
      <w:r>
        <w:t>SÃO</w:t>
      </w:r>
      <w:r>
        <w:rPr>
          <w:spacing w:val="1"/>
        </w:rPr>
        <w:t xml:space="preserve"> </w:t>
      </w:r>
      <w:r>
        <w:t>PAULO</w:t>
      </w:r>
      <w:r>
        <w:rPr>
          <w:spacing w:val="4"/>
        </w:rPr>
        <w:t xml:space="preserve"> </w:t>
      </w:r>
      <w:r>
        <w:t>(SP).</w:t>
      </w:r>
      <w:r>
        <w:rPr>
          <w:spacing w:val="4"/>
        </w:rPr>
        <w:t xml:space="preserve"> </w:t>
      </w:r>
      <w:r>
        <w:rPr>
          <w:b/>
        </w:rPr>
        <w:t>LEI</w:t>
      </w:r>
      <w:r>
        <w:rPr>
          <w:b/>
          <w:spacing w:val="3"/>
        </w:rPr>
        <w:t xml:space="preserve"> </w:t>
      </w:r>
      <w:r>
        <w:rPr>
          <w:b/>
        </w:rPr>
        <w:t>Nº</w:t>
      </w:r>
      <w:r>
        <w:rPr>
          <w:b/>
          <w:spacing w:val="2"/>
        </w:rPr>
        <w:t xml:space="preserve"> </w:t>
      </w:r>
      <w:r>
        <w:rPr>
          <w:b/>
        </w:rPr>
        <w:t>17.847,</w:t>
      </w:r>
      <w:r>
        <w:rPr>
          <w:b/>
          <w:spacing w:val="3"/>
        </w:rPr>
        <w:t xml:space="preserve"> </w:t>
      </w:r>
      <w:r>
        <w:rPr>
          <w:b/>
        </w:rPr>
        <w:t>DE</w:t>
      </w:r>
      <w:r>
        <w:rPr>
          <w:b/>
          <w:spacing w:val="1"/>
        </w:rPr>
        <w:t xml:space="preserve"> </w:t>
      </w:r>
      <w:r>
        <w:rPr>
          <w:b/>
        </w:rPr>
        <w:t>27</w:t>
      </w:r>
      <w:r>
        <w:rPr>
          <w:b/>
          <w:spacing w:val="3"/>
        </w:rPr>
        <w:t xml:space="preserve"> </w:t>
      </w:r>
      <w:r>
        <w:rPr>
          <w:b/>
        </w:rPr>
        <w:t>DE</w:t>
      </w:r>
      <w:r>
        <w:rPr>
          <w:b/>
          <w:spacing w:val="2"/>
        </w:rPr>
        <w:t xml:space="preserve"> </w:t>
      </w:r>
      <w:r>
        <w:rPr>
          <w:b/>
        </w:rPr>
        <w:t>SETEMBRO</w:t>
      </w:r>
      <w:r>
        <w:rPr>
          <w:b/>
          <w:spacing w:val="3"/>
        </w:rPr>
        <w:t xml:space="preserve"> </w:t>
      </w:r>
      <w:r>
        <w:rPr>
          <w:b/>
        </w:rPr>
        <w:t>DE</w:t>
      </w:r>
      <w:r>
        <w:rPr>
          <w:b/>
          <w:spacing w:val="2"/>
        </w:rPr>
        <w:t xml:space="preserve"> </w:t>
      </w:r>
      <w:r>
        <w:rPr>
          <w:b/>
        </w:rPr>
        <w:t>2022.</w:t>
      </w:r>
      <w:r>
        <w:rPr>
          <w:b/>
          <w:spacing w:val="7"/>
        </w:rPr>
        <w:t xml:space="preserve"> </w:t>
      </w:r>
      <w:r>
        <w:t>Altera</w:t>
      </w:r>
      <w:r>
        <w:rPr>
          <w:spacing w:val="3"/>
        </w:rPr>
        <w:t xml:space="preserve"> </w:t>
      </w:r>
      <w:r>
        <w:t>a</w:t>
      </w:r>
      <w:r>
        <w:rPr>
          <w:spacing w:val="3"/>
        </w:rPr>
        <w:t xml:space="preserve"> </w:t>
      </w:r>
      <w:hyperlink r:id="rId258">
        <w:r>
          <w:rPr>
            <w:u w:val="single"/>
          </w:rPr>
          <w:t>Lei</w:t>
        </w:r>
        <w:r>
          <w:rPr>
            <w:spacing w:val="4"/>
            <w:u w:val="single"/>
          </w:rPr>
          <w:t xml:space="preserve"> </w:t>
        </w:r>
        <w:r>
          <w:rPr>
            <w:u w:val="single"/>
          </w:rPr>
          <w:t>nº</w:t>
        </w:r>
        <w:r>
          <w:rPr>
            <w:spacing w:val="3"/>
            <w:u w:val="single"/>
          </w:rPr>
          <w:t xml:space="preserve"> </w:t>
        </w:r>
        <w:r>
          <w:rPr>
            <w:u w:val="single"/>
          </w:rPr>
          <w:t>14.485,</w:t>
        </w:r>
        <w:r>
          <w:rPr>
            <w:spacing w:val="3"/>
            <w:u w:val="single"/>
          </w:rPr>
          <w:t xml:space="preserve"> </w:t>
        </w:r>
        <w:r>
          <w:rPr>
            <w:u w:val="single"/>
          </w:rPr>
          <w:t>de</w:t>
        </w:r>
        <w:r>
          <w:rPr>
            <w:spacing w:val="4"/>
            <w:u w:val="single"/>
          </w:rPr>
          <w:t xml:space="preserve"> </w:t>
        </w:r>
        <w:r>
          <w:rPr>
            <w:spacing w:val="-5"/>
            <w:u w:val="single"/>
          </w:rPr>
          <w:t>19</w:t>
        </w:r>
      </w:hyperlink>
    </w:p>
    <w:p w:rsidR="007259F2" w:rsidRDefault="00DE6B1C">
      <w:pPr>
        <w:spacing w:line="252" w:lineRule="exact"/>
        <w:ind w:left="710"/>
      </w:pPr>
      <w:hyperlink r:id="rId259">
        <w:r w:rsidR="00E655B4">
          <w:rPr>
            <w:u w:val="single"/>
          </w:rPr>
          <w:t>de</w:t>
        </w:r>
        <w:r w:rsidR="00E655B4">
          <w:rPr>
            <w:spacing w:val="-5"/>
            <w:u w:val="single"/>
          </w:rPr>
          <w:t xml:space="preserve"> </w:t>
        </w:r>
        <w:r w:rsidR="00E655B4">
          <w:rPr>
            <w:u w:val="single"/>
          </w:rPr>
          <w:t>julho</w:t>
        </w:r>
        <w:r w:rsidR="00E655B4">
          <w:rPr>
            <w:spacing w:val="-2"/>
            <w:u w:val="single"/>
          </w:rPr>
          <w:t xml:space="preserve"> </w:t>
        </w:r>
        <w:r w:rsidR="00E655B4">
          <w:rPr>
            <w:u w:val="single"/>
          </w:rPr>
          <w:t>de</w:t>
        </w:r>
        <w:r w:rsidR="00E655B4">
          <w:rPr>
            <w:spacing w:val="-3"/>
            <w:u w:val="single"/>
          </w:rPr>
          <w:t xml:space="preserve"> </w:t>
        </w:r>
        <w:r w:rsidR="00E655B4">
          <w:rPr>
            <w:u w:val="single"/>
          </w:rPr>
          <w:t>2007,</w:t>
        </w:r>
      </w:hyperlink>
      <w:r w:rsidR="00E655B4">
        <w:rPr>
          <w:spacing w:val="-4"/>
        </w:rPr>
        <w:t xml:space="preserve"> </w:t>
      </w:r>
      <w:r w:rsidR="00E655B4">
        <w:t>[...]</w:t>
      </w:r>
      <w:r w:rsidR="00E655B4">
        <w:rPr>
          <w:spacing w:val="-2"/>
        </w:rPr>
        <w:t xml:space="preserve"> </w:t>
      </w:r>
      <w:r w:rsidR="00E655B4">
        <w:t>São</w:t>
      </w:r>
      <w:r w:rsidR="00E655B4">
        <w:rPr>
          <w:spacing w:val="-5"/>
        </w:rPr>
        <w:t xml:space="preserve"> </w:t>
      </w:r>
      <w:r w:rsidR="00E655B4">
        <w:t>Paulo</w:t>
      </w:r>
      <w:r w:rsidR="00E655B4">
        <w:rPr>
          <w:spacing w:val="-6"/>
        </w:rPr>
        <w:t xml:space="preserve"> </w:t>
      </w:r>
      <w:r w:rsidR="00E655B4">
        <w:t>(SP):</w:t>
      </w:r>
      <w:r w:rsidR="00E655B4">
        <w:rPr>
          <w:spacing w:val="-1"/>
        </w:rPr>
        <w:t xml:space="preserve"> </w:t>
      </w:r>
      <w:r w:rsidR="00E655B4">
        <w:t>Diário</w:t>
      </w:r>
      <w:r w:rsidR="00E655B4">
        <w:rPr>
          <w:spacing w:val="-2"/>
        </w:rPr>
        <w:t xml:space="preserve"> </w:t>
      </w:r>
      <w:r w:rsidR="00E655B4">
        <w:t>Oficial</w:t>
      </w:r>
      <w:r w:rsidR="00E655B4">
        <w:rPr>
          <w:spacing w:val="-5"/>
        </w:rPr>
        <w:t xml:space="preserve"> </w:t>
      </w:r>
      <w:r w:rsidR="00E655B4">
        <w:t>do</w:t>
      </w:r>
      <w:r w:rsidR="00E655B4">
        <w:rPr>
          <w:spacing w:val="-2"/>
        </w:rPr>
        <w:t xml:space="preserve"> </w:t>
      </w:r>
      <w:r w:rsidR="00E655B4">
        <w:t>Município,</w:t>
      </w:r>
      <w:r w:rsidR="00E655B4">
        <w:rPr>
          <w:spacing w:val="-2"/>
        </w:rPr>
        <w:t xml:space="preserve"> 2022.</w:t>
      </w:r>
    </w:p>
    <w:p w:rsidR="007259F2" w:rsidRDefault="00E655B4">
      <w:pPr>
        <w:spacing w:before="122" w:line="252" w:lineRule="exact"/>
        <w:ind w:left="710"/>
      </w:pPr>
      <w:r>
        <w:t>SÃO</w:t>
      </w:r>
      <w:r>
        <w:rPr>
          <w:spacing w:val="7"/>
        </w:rPr>
        <w:t xml:space="preserve"> </w:t>
      </w:r>
      <w:r>
        <w:t>PAULO</w:t>
      </w:r>
      <w:r>
        <w:rPr>
          <w:spacing w:val="8"/>
        </w:rPr>
        <w:t xml:space="preserve"> </w:t>
      </w:r>
      <w:r>
        <w:t>(SP).</w:t>
      </w:r>
      <w:r>
        <w:rPr>
          <w:spacing w:val="9"/>
        </w:rPr>
        <w:t xml:space="preserve"> </w:t>
      </w:r>
      <w:r>
        <w:rPr>
          <w:b/>
        </w:rPr>
        <w:t>LEI</w:t>
      </w:r>
      <w:r>
        <w:rPr>
          <w:b/>
          <w:spacing w:val="10"/>
        </w:rPr>
        <w:t xml:space="preserve"> </w:t>
      </w:r>
      <w:r>
        <w:rPr>
          <w:b/>
        </w:rPr>
        <w:t>Nº</w:t>
      </w:r>
      <w:r>
        <w:rPr>
          <w:b/>
          <w:spacing w:val="8"/>
        </w:rPr>
        <w:t xml:space="preserve"> </w:t>
      </w:r>
      <w:r>
        <w:rPr>
          <w:b/>
        </w:rPr>
        <w:t>17.846,</w:t>
      </w:r>
      <w:r>
        <w:rPr>
          <w:b/>
          <w:spacing w:val="9"/>
        </w:rPr>
        <w:t xml:space="preserve"> </w:t>
      </w:r>
      <w:r>
        <w:rPr>
          <w:b/>
        </w:rPr>
        <w:t>DE</w:t>
      </w:r>
      <w:r>
        <w:rPr>
          <w:b/>
          <w:spacing w:val="9"/>
        </w:rPr>
        <w:t xml:space="preserve"> </w:t>
      </w:r>
      <w:r>
        <w:rPr>
          <w:b/>
        </w:rPr>
        <w:t>27</w:t>
      </w:r>
      <w:r>
        <w:rPr>
          <w:b/>
          <w:spacing w:val="6"/>
        </w:rPr>
        <w:t xml:space="preserve"> </w:t>
      </w:r>
      <w:r>
        <w:rPr>
          <w:b/>
        </w:rPr>
        <w:t>DE</w:t>
      </w:r>
      <w:r>
        <w:rPr>
          <w:b/>
          <w:spacing w:val="9"/>
        </w:rPr>
        <w:t xml:space="preserve"> </w:t>
      </w:r>
      <w:r>
        <w:rPr>
          <w:b/>
        </w:rPr>
        <w:t>SETEMBRO</w:t>
      </w:r>
      <w:r>
        <w:rPr>
          <w:b/>
          <w:spacing w:val="9"/>
        </w:rPr>
        <w:t xml:space="preserve"> </w:t>
      </w:r>
      <w:r>
        <w:rPr>
          <w:b/>
        </w:rPr>
        <w:t>DE</w:t>
      </w:r>
      <w:r>
        <w:rPr>
          <w:b/>
          <w:spacing w:val="9"/>
        </w:rPr>
        <w:t xml:space="preserve"> </w:t>
      </w:r>
      <w:r>
        <w:rPr>
          <w:b/>
        </w:rPr>
        <w:t>2022</w:t>
      </w:r>
      <w:r>
        <w:t>.</w:t>
      </w:r>
      <w:r>
        <w:rPr>
          <w:spacing w:val="9"/>
        </w:rPr>
        <w:t xml:space="preserve"> </w:t>
      </w:r>
      <w:r>
        <w:t>Denomina</w:t>
      </w:r>
      <w:r>
        <w:rPr>
          <w:spacing w:val="9"/>
        </w:rPr>
        <w:t xml:space="preserve"> </w:t>
      </w:r>
      <w:r>
        <w:t>Praça</w:t>
      </w:r>
      <w:r>
        <w:rPr>
          <w:spacing w:val="8"/>
        </w:rPr>
        <w:t xml:space="preserve"> </w:t>
      </w:r>
      <w:r>
        <w:t>Coraci</w:t>
      </w:r>
      <w:r>
        <w:rPr>
          <w:spacing w:val="8"/>
        </w:rPr>
        <w:t xml:space="preserve"> </w:t>
      </w:r>
      <w:r>
        <w:rPr>
          <w:spacing w:val="-2"/>
        </w:rPr>
        <w:t>[...]</w:t>
      </w:r>
    </w:p>
    <w:p w:rsidR="007259F2" w:rsidRDefault="00E655B4">
      <w:pPr>
        <w:spacing w:line="252" w:lineRule="exact"/>
        <w:ind w:left="710"/>
      </w:pPr>
      <w:r>
        <w:t>São</w:t>
      </w:r>
      <w:r>
        <w:rPr>
          <w:spacing w:val="-4"/>
        </w:rPr>
        <w:t xml:space="preserve"> </w:t>
      </w:r>
      <w:r>
        <w:t>Paulo</w:t>
      </w:r>
      <w:r>
        <w:rPr>
          <w:spacing w:val="-3"/>
        </w:rPr>
        <w:t xml:space="preserve"> </w:t>
      </w:r>
      <w:r>
        <w:t>(SP):</w:t>
      </w:r>
      <w:r>
        <w:rPr>
          <w:spacing w:val="-3"/>
        </w:rPr>
        <w:t xml:space="preserve"> </w:t>
      </w:r>
      <w:r>
        <w:t>Diário</w:t>
      </w:r>
      <w:r>
        <w:rPr>
          <w:spacing w:val="-3"/>
        </w:rPr>
        <w:t xml:space="preserve"> </w:t>
      </w:r>
      <w:r>
        <w:t>Oficial</w:t>
      </w:r>
      <w:r>
        <w:rPr>
          <w:spacing w:val="-3"/>
        </w:rPr>
        <w:t xml:space="preserve"> </w:t>
      </w:r>
      <w:r>
        <w:t>do</w:t>
      </w:r>
      <w:r>
        <w:rPr>
          <w:spacing w:val="-6"/>
        </w:rPr>
        <w:t xml:space="preserve"> </w:t>
      </w:r>
      <w:r>
        <w:t>Município,</w:t>
      </w:r>
      <w:r>
        <w:rPr>
          <w:spacing w:val="-6"/>
        </w:rPr>
        <w:t xml:space="preserve"> </w:t>
      </w:r>
      <w:r>
        <w:rPr>
          <w:spacing w:val="-2"/>
        </w:rPr>
        <w:t>2022.</w:t>
      </w:r>
    </w:p>
    <w:p w:rsidR="007259F2" w:rsidRDefault="007259F2">
      <w:pPr>
        <w:spacing w:line="252" w:lineRule="exact"/>
        <w:sectPr w:rsidR="007259F2">
          <w:pgSz w:w="11910" w:h="16840"/>
          <w:pgMar w:top="1600" w:right="708" w:bottom="1020" w:left="992" w:header="0" w:footer="820" w:gutter="0"/>
          <w:cols w:space="720"/>
        </w:sectPr>
      </w:pPr>
    </w:p>
    <w:p w:rsidR="007259F2" w:rsidRDefault="00E655B4">
      <w:pPr>
        <w:spacing w:before="77"/>
        <w:ind w:left="710"/>
      </w:pPr>
      <w:r>
        <w:lastRenderedPageBreak/>
        <w:t xml:space="preserve">SÃO PAULO (SP). </w:t>
      </w:r>
      <w:r>
        <w:rPr>
          <w:b/>
        </w:rPr>
        <w:t xml:space="preserve">LEI Nº 17.845, DE 22 DE SETEMBRO DE 2022. </w:t>
      </w:r>
      <w:r>
        <w:t>Dispõe sobre a alteração da nomenclatura dos cargos [...] São Paulo (SP): Diário Oficial do Município, 2022.</w:t>
      </w:r>
    </w:p>
    <w:p w:rsidR="007259F2" w:rsidRDefault="00E655B4">
      <w:pPr>
        <w:spacing w:before="121" w:line="252" w:lineRule="exact"/>
        <w:ind w:left="710"/>
      </w:pPr>
      <w:r>
        <w:t>SÃO</w:t>
      </w:r>
      <w:r>
        <w:rPr>
          <w:spacing w:val="53"/>
        </w:rPr>
        <w:t xml:space="preserve"> </w:t>
      </w:r>
      <w:r>
        <w:t>PAULO</w:t>
      </w:r>
      <w:r>
        <w:rPr>
          <w:spacing w:val="53"/>
        </w:rPr>
        <w:t xml:space="preserve"> </w:t>
      </w:r>
      <w:r>
        <w:t>(SP).</w:t>
      </w:r>
      <w:r>
        <w:rPr>
          <w:spacing w:val="56"/>
        </w:rPr>
        <w:t xml:space="preserve"> </w:t>
      </w:r>
      <w:r>
        <w:rPr>
          <w:b/>
        </w:rPr>
        <w:t>LEI</w:t>
      </w:r>
      <w:r>
        <w:rPr>
          <w:b/>
          <w:spacing w:val="55"/>
        </w:rPr>
        <w:t xml:space="preserve"> </w:t>
      </w:r>
      <w:r>
        <w:rPr>
          <w:b/>
        </w:rPr>
        <w:t>Nº</w:t>
      </w:r>
      <w:r>
        <w:rPr>
          <w:b/>
          <w:spacing w:val="54"/>
        </w:rPr>
        <w:t xml:space="preserve"> </w:t>
      </w:r>
      <w:r>
        <w:rPr>
          <w:b/>
        </w:rPr>
        <w:t>17.844,</w:t>
      </w:r>
      <w:r>
        <w:rPr>
          <w:b/>
          <w:spacing w:val="54"/>
        </w:rPr>
        <w:t xml:space="preserve"> </w:t>
      </w:r>
      <w:r>
        <w:rPr>
          <w:b/>
        </w:rPr>
        <w:t>DE</w:t>
      </w:r>
      <w:r>
        <w:rPr>
          <w:b/>
          <w:spacing w:val="54"/>
        </w:rPr>
        <w:t xml:space="preserve"> </w:t>
      </w:r>
      <w:r>
        <w:rPr>
          <w:b/>
        </w:rPr>
        <w:t>14</w:t>
      </w:r>
      <w:r>
        <w:rPr>
          <w:b/>
          <w:spacing w:val="54"/>
        </w:rPr>
        <w:t xml:space="preserve"> </w:t>
      </w:r>
      <w:r>
        <w:rPr>
          <w:b/>
        </w:rPr>
        <w:t>DE</w:t>
      </w:r>
      <w:r>
        <w:rPr>
          <w:b/>
          <w:spacing w:val="54"/>
        </w:rPr>
        <w:t xml:space="preserve"> </w:t>
      </w:r>
      <w:r>
        <w:rPr>
          <w:b/>
        </w:rPr>
        <w:t>SETEMBRO</w:t>
      </w:r>
      <w:r>
        <w:rPr>
          <w:b/>
          <w:spacing w:val="55"/>
        </w:rPr>
        <w:t xml:space="preserve"> </w:t>
      </w:r>
      <w:r>
        <w:rPr>
          <w:b/>
        </w:rPr>
        <w:t>DE</w:t>
      </w:r>
      <w:r>
        <w:rPr>
          <w:b/>
          <w:spacing w:val="54"/>
        </w:rPr>
        <w:t xml:space="preserve"> </w:t>
      </w:r>
      <w:r>
        <w:rPr>
          <w:b/>
        </w:rPr>
        <w:t>2022.</w:t>
      </w:r>
      <w:r>
        <w:rPr>
          <w:b/>
          <w:spacing w:val="58"/>
        </w:rPr>
        <w:t xml:space="preserve"> </w:t>
      </w:r>
      <w:r>
        <w:t>Aprova</w:t>
      </w:r>
      <w:r>
        <w:rPr>
          <w:spacing w:val="56"/>
        </w:rPr>
        <w:t xml:space="preserve"> </w:t>
      </w:r>
      <w:r>
        <w:t>o</w:t>
      </w:r>
      <w:r>
        <w:rPr>
          <w:spacing w:val="54"/>
        </w:rPr>
        <w:t xml:space="preserve"> </w:t>
      </w:r>
      <w:r>
        <w:t>Projeto</w:t>
      </w:r>
      <w:r>
        <w:rPr>
          <w:spacing w:val="55"/>
        </w:rPr>
        <w:t xml:space="preserve"> </w:t>
      </w:r>
      <w:r>
        <w:rPr>
          <w:spacing w:val="-5"/>
        </w:rPr>
        <w:t>de</w:t>
      </w:r>
    </w:p>
    <w:p w:rsidR="007259F2" w:rsidRDefault="00E655B4">
      <w:pPr>
        <w:spacing w:line="252" w:lineRule="exact"/>
        <w:ind w:left="710"/>
      </w:pPr>
      <w:r>
        <w:t>Intervenção</w:t>
      </w:r>
      <w:r>
        <w:rPr>
          <w:spacing w:val="-3"/>
        </w:rPr>
        <w:t xml:space="preserve"> </w:t>
      </w:r>
      <w:r>
        <w:t>Urbana</w:t>
      </w:r>
      <w:r>
        <w:rPr>
          <w:spacing w:val="-4"/>
        </w:rPr>
        <w:t xml:space="preserve"> </w:t>
      </w:r>
      <w:r>
        <w:t>[...]</w:t>
      </w:r>
      <w:r>
        <w:rPr>
          <w:spacing w:val="-3"/>
        </w:rPr>
        <w:t xml:space="preserve"> </w:t>
      </w:r>
      <w:r>
        <w:t>São</w:t>
      </w:r>
      <w:r>
        <w:rPr>
          <w:spacing w:val="-4"/>
        </w:rPr>
        <w:t xml:space="preserve"> </w:t>
      </w:r>
      <w:r>
        <w:t>Paulo</w:t>
      </w:r>
      <w:r>
        <w:rPr>
          <w:spacing w:val="-6"/>
        </w:rPr>
        <w:t xml:space="preserve"> </w:t>
      </w:r>
      <w:r>
        <w:t>(SP):</w:t>
      </w:r>
      <w:r>
        <w:rPr>
          <w:spacing w:val="-3"/>
        </w:rPr>
        <w:t xml:space="preserve"> </w:t>
      </w:r>
      <w:r>
        <w:t>Diário</w:t>
      </w:r>
      <w:r>
        <w:rPr>
          <w:spacing w:val="-3"/>
        </w:rPr>
        <w:t xml:space="preserve"> </w:t>
      </w:r>
      <w:r>
        <w:t>Oficial</w:t>
      </w:r>
      <w:r>
        <w:rPr>
          <w:spacing w:val="-3"/>
        </w:rPr>
        <w:t xml:space="preserve"> </w:t>
      </w:r>
      <w:r>
        <w:t>do</w:t>
      </w:r>
      <w:r>
        <w:rPr>
          <w:spacing w:val="-6"/>
        </w:rPr>
        <w:t xml:space="preserve"> </w:t>
      </w:r>
      <w:r>
        <w:t>Município,</w:t>
      </w:r>
      <w:r>
        <w:rPr>
          <w:spacing w:val="-3"/>
        </w:rPr>
        <w:t xml:space="preserve"> </w:t>
      </w:r>
      <w:r>
        <w:rPr>
          <w:spacing w:val="-2"/>
        </w:rPr>
        <w:t>2022.</w:t>
      </w:r>
    </w:p>
    <w:p w:rsidR="007259F2" w:rsidRDefault="00E655B4">
      <w:pPr>
        <w:spacing w:before="119"/>
        <w:ind w:left="710"/>
      </w:pPr>
      <w:r>
        <w:t>SÃO</w:t>
      </w:r>
      <w:r>
        <w:rPr>
          <w:spacing w:val="10"/>
        </w:rPr>
        <w:t xml:space="preserve"> </w:t>
      </w:r>
      <w:r>
        <w:t>PAULO</w:t>
      </w:r>
      <w:r>
        <w:rPr>
          <w:spacing w:val="9"/>
        </w:rPr>
        <w:t xml:space="preserve"> </w:t>
      </w:r>
      <w:r>
        <w:t>(SP).</w:t>
      </w:r>
      <w:r>
        <w:rPr>
          <w:spacing w:val="12"/>
        </w:rPr>
        <w:t xml:space="preserve"> </w:t>
      </w:r>
      <w:r>
        <w:rPr>
          <w:b/>
        </w:rPr>
        <w:t>LEI</w:t>
      </w:r>
      <w:r>
        <w:rPr>
          <w:b/>
          <w:spacing w:val="9"/>
        </w:rPr>
        <w:t xml:space="preserve"> </w:t>
      </w:r>
      <w:r>
        <w:rPr>
          <w:b/>
        </w:rPr>
        <w:t>Nº</w:t>
      </w:r>
      <w:r>
        <w:rPr>
          <w:b/>
          <w:spacing w:val="10"/>
        </w:rPr>
        <w:t xml:space="preserve"> </w:t>
      </w:r>
      <w:r>
        <w:rPr>
          <w:b/>
        </w:rPr>
        <w:t>17.843,</w:t>
      </w:r>
      <w:r>
        <w:rPr>
          <w:b/>
          <w:spacing w:val="8"/>
        </w:rPr>
        <w:t xml:space="preserve"> </w:t>
      </w:r>
      <w:r>
        <w:rPr>
          <w:b/>
        </w:rPr>
        <w:t>DE</w:t>
      </w:r>
      <w:r>
        <w:rPr>
          <w:b/>
          <w:spacing w:val="10"/>
        </w:rPr>
        <w:t xml:space="preserve"> </w:t>
      </w:r>
      <w:r>
        <w:rPr>
          <w:b/>
        </w:rPr>
        <w:t>23</w:t>
      </w:r>
      <w:r>
        <w:rPr>
          <w:b/>
          <w:spacing w:val="11"/>
        </w:rPr>
        <w:t xml:space="preserve"> </w:t>
      </w:r>
      <w:r>
        <w:rPr>
          <w:b/>
        </w:rPr>
        <w:t>DE</w:t>
      </w:r>
      <w:r>
        <w:rPr>
          <w:b/>
          <w:spacing w:val="8"/>
        </w:rPr>
        <w:t xml:space="preserve"> </w:t>
      </w:r>
      <w:r>
        <w:rPr>
          <w:b/>
        </w:rPr>
        <w:t>AGOSTO</w:t>
      </w:r>
      <w:r>
        <w:rPr>
          <w:b/>
          <w:spacing w:val="12"/>
        </w:rPr>
        <w:t xml:space="preserve"> </w:t>
      </w:r>
      <w:r>
        <w:rPr>
          <w:b/>
        </w:rPr>
        <w:t>DE</w:t>
      </w:r>
      <w:r>
        <w:rPr>
          <w:b/>
          <w:spacing w:val="10"/>
        </w:rPr>
        <w:t xml:space="preserve"> </w:t>
      </w:r>
      <w:r>
        <w:rPr>
          <w:b/>
        </w:rPr>
        <w:t>2022.</w:t>
      </w:r>
      <w:r>
        <w:rPr>
          <w:b/>
          <w:spacing w:val="15"/>
        </w:rPr>
        <w:t xml:space="preserve"> </w:t>
      </w:r>
      <w:r>
        <w:t>Denomina</w:t>
      </w:r>
      <w:r>
        <w:rPr>
          <w:spacing w:val="9"/>
        </w:rPr>
        <w:t xml:space="preserve"> </w:t>
      </w:r>
      <w:r>
        <w:t>Praça</w:t>
      </w:r>
      <w:r>
        <w:rPr>
          <w:spacing w:val="9"/>
        </w:rPr>
        <w:t xml:space="preserve"> </w:t>
      </w:r>
      <w:r>
        <w:t>das</w:t>
      </w:r>
      <w:r>
        <w:rPr>
          <w:spacing w:val="12"/>
        </w:rPr>
        <w:t xml:space="preserve"> </w:t>
      </w:r>
      <w:r>
        <w:t>Irmãs</w:t>
      </w:r>
      <w:r>
        <w:rPr>
          <w:spacing w:val="12"/>
        </w:rPr>
        <w:t xml:space="preserve"> </w:t>
      </w:r>
      <w:r>
        <w:rPr>
          <w:spacing w:val="-2"/>
        </w:rPr>
        <w:t>[...]</w:t>
      </w:r>
    </w:p>
    <w:p w:rsidR="007259F2" w:rsidRDefault="00E655B4">
      <w:pPr>
        <w:spacing w:before="1"/>
        <w:ind w:left="710"/>
      </w:pPr>
      <w:r>
        <w:t>São</w:t>
      </w:r>
      <w:r>
        <w:rPr>
          <w:spacing w:val="-4"/>
        </w:rPr>
        <w:t xml:space="preserve"> </w:t>
      </w:r>
      <w:r>
        <w:t>Paulo</w:t>
      </w:r>
      <w:r>
        <w:rPr>
          <w:spacing w:val="-3"/>
        </w:rPr>
        <w:t xml:space="preserve"> </w:t>
      </w:r>
      <w:r>
        <w:t>(SP):</w:t>
      </w:r>
      <w:r>
        <w:rPr>
          <w:spacing w:val="-3"/>
        </w:rPr>
        <w:t xml:space="preserve"> </w:t>
      </w:r>
      <w:r>
        <w:t>Diário</w:t>
      </w:r>
      <w:r>
        <w:rPr>
          <w:spacing w:val="-3"/>
        </w:rPr>
        <w:t xml:space="preserve"> </w:t>
      </w:r>
      <w:r>
        <w:t>Oficial</w:t>
      </w:r>
      <w:r>
        <w:rPr>
          <w:spacing w:val="-3"/>
        </w:rPr>
        <w:t xml:space="preserve"> </w:t>
      </w:r>
      <w:r>
        <w:t>do</w:t>
      </w:r>
      <w:r>
        <w:rPr>
          <w:spacing w:val="-6"/>
        </w:rPr>
        <w:t xml:space="preserve"> </w:t>
      </w:r>
      <w:r>
        <w:t>Município,</w:t>
      </w:r>
      <w:r>
        <w:rPr>
          <w:spacing w:val="-6"/>
        </w:rPr>
        <w:t xml:space="preserve"> </w:t>
      </w:r>
      <w:r>
        <w:rPr>
          <w:spacing w:val="-2"/>
        </w:rPr>
        <w:t>2022.</w:t>
      </w:r>
    </w:p>
    <w:p w:rsidR="007259F2" w:rsidRDefault="00E655B4">
      <w:pPr>
        <w:spacing w:before="119"/>
        <w:ind w:left="710" w:right="422"/>
      </w:pPr>
      <w:r>
        <w:t xml:space="preserve">SÃO PAULO (SP). </w:t>
      </w:r>
      <w:r>
        <w:rPr>
          <w:b/>
        </w:rPr>
        <w:t xml:space="preserve">LEI Nº 17.842, DE 23 DE AGOSTO DE 2022. </w:t>
      </w:r>
      <w:r>
        <w:t>Denomina Escola Municipal de Ensino Infantil [...] São Paulo (SP): Diário Oficial do Município, 2022.</w:t>
      </w:r>
    </w:p>
    <w:p w:rsidR="007259F2" w:rsidRDefault="00E655B4">
      <w:pPr>
        <w:spacing w:before="120"/>
        <w:ind w:left="710"/>
      </w:pPr>
      <w:r>
        <w:t>SÃO</w:t>
      </w:r>
      <w:r>
        <w:rPr>
          <w:spacing w:val="40"/>
        </w:rPr>
        <w:t xml:space="preserve"> </w:t>
      </w:r>
      <w:r>
        <w:t>PAULO</w:t>
      </w:r>
      <w:r>
        <w:rPr>
          <w:spacing w:val="40"/>
        </w:rPr>
        <w:t xml:space="preserve"> </w:t>
      </w:r>
      <w:r>
        <w:t>(SP).</w:t>
      </w:r>
      <w:r>
        <w:rPr>
          <w:spacing w:val="40"/>
        </w:rPr>
        <w:t xml:space="preserve"> </w:t>
      </w:r>
      <w:r>
        <w:rPr>
          <w:b/>
        </w:rPr>
        <w:t>LEI</w:t>
      </w:r>
      <w:r>
        <w:rPr>
          <w:b/>
          <w:spacing w:val="40"/>
        </w:rPr>
        <w:t xml:space="preserve"> </w:t>
      </w:r>
      <w:r>
        <w:rPr>
          <w:b/>
        </w:rPr>
        <w:t>Nº</w:t>
      </w:r>
      <w:r>
        <w:rPr>
          <w:b/>
          <w:spacing w:val="40"/>
        </w:rPr>
        <w:t xml:space="preserve"> </w:t>
      </w:r>
      <w:r>
        <w:rPr>
          <w:b/>
        </w:rPr>
        <w:t>17.841,</w:t>
      </w:r>
      <w:r>
        <w:rPr>
          <w:b/>
          <w:spacing w:val="40"/>
        </w:rPr>
        <w:t xml:space="preserve"> </w:t>
      </w:r>
      <w:r>
        <w:rPr>
          <w:b/>
        </w:rPr>
        <w:t>DE</w:t>
      </w:r>
      <w:r>
        <w:rPr>
          <w:b/>
          <w:spacing w:val="40"/>
        </w:rPr>
        <w:t xml:space="preserve"> </w:t>
      </w:r>
      <w:r>
        <w:rPr>
          <w:b/>
        </w:rPr>
        <w:t>19</w:t>
      </w:r>
      <w:r>
        <w:rPr>
          <w:b/>
          <w:spacing w:val="40"/>
        </w:rPr>
        <w:t xml:space="preserve"> </w:t>
      </w:r>
      <w:r>
        <w:rPr>
          <w:b/>
        </w:rPr>
        <w:t>DE</w:t>
      </w:r>
      <w:r>
        <w:rPr>
          <w:b/>
          <w:spacing w:val="40"/>
        </w:rPr>
        <w:t xml:space="preserve"> </w:t>
      </w:r>
      <w:r>
        <w:rPr>
          <w:b/>
        </w:rPr>
        <w:t>AGOSTO</w:t>
      </w:r>
      <w:r>
        <w:rPr>
          <w:b/>
          <w:spacing w:val="40"/>
        </w:rPr>
        <w:t xml:space="preserve"> </w:t>
      </w:r>
      <w:r>
        <w:rPr>
          <w:b/>
        </w:rPr>
        <w:t>DE</w:t>
      </w:r>
      <w:r>
        <w:rPr>
          <w:b/>
          <w:spacing w:val="40"/>
        </w:rPr>
        <w:t xml:space="preserve"> </w:t>
      </w:r>
      <w:r>
        <w:rPr>
          <w:b/>
        </w:rPr>
        <w:t>2022</w:t>
      </w:r>
      <w:r>
        <w:t>.</w:t>
      </w:r>
      <w:r>
        <w:rPr>
          <w:spacing w:val="40"/>
        </w:rPr>
        <w:t xml:space="preserve"> </w:t>
      </w:r>
      <w:r>
        <w:t>Dispõe</w:t>
      </w:r>
      <w:r>
        <w:rPr>
          <w:spacing w:val="40"/>
        </w:rPr>
        <w:t xml:space="preserve"> </w:t>
      </w:r>
      <w:r>
        <w:t>sobre</w:t>
      </w:r>
      <w:r>
        <w:rPr>
          <w:spacing w:val="40"/>
        </w:rPr>
        <w:t xml:space="preserve"> </w:t>
      </w:r>
      <w:r>
        <w:t>a</w:t>
      </w:r>
      <w:r>
        <w:rPr>
          <w:spacing w:val="40"/>
        </w:rPr>
        <w:t xml:space="preserve"> </w:t>
      </w:r>
      <w:r>
        <w:t>adoção</w:t>
      </w:r>
      <w:r>
        <w:rPr>
          <w:spacing w:val="40"/>
        </w:rPr>
        <w:t xml:space="preserve"> </w:t>
      </w:r>
      <w:r>
        <w:t>de medidas [...] São Paulo (SP): Diário Oficial do Município, 2022.</w:t>
      </w:r>
    </w:p>
    <w:p w:rsidR="007259F2" w:rsidRDefault="00E655B4">
      <w:pPr>
        <w:spacing w:before="122"/>
        <w:ind w:left="710"/>
      </w:pPr>
      <w:r>
        <w:t xml:space="preserve">SÃO PAULO (SP). </w:t>
      </w:r>
      <w:r>
        <w:rPr>
          <w:b/>
        </w:rPr>
        <w:t>LEI Nº 17.840, DE 27 DE JULHO DE 2022</w:t>
      </w:r>
      <w:r>
        <w:t>. Dispõe sobre a obrigatoriedade da fixação de placas [...] São Paulo (SP): Diário Oficial do Município, 2022.</w:t>
      </w:r>
    </w:p>
    <w:p w:rsidR="007259F2" w:rsidRDefault="00E655B4">
      <w:pPr>
        <w:spacing w:before="120"/>
        <w:ind w:left="710"/>
      </w:pPr>
      <w:r>
        <w:t>SÃO</w:t>
      </w:r>
      <w:r>
        <w:rPr>
          <w:spacing w:val="40"/>
        </w:rPr>
        <w:t xml:space="preserve"> </w:t>
      </w:r>
      <w:r>
        <w:t>PAULO</w:t>
      </w:r>
      <w:r>
        <w:rPr>
          <w:spacing w:val="40"/>
        </w:rPr>
        <w:t xml:space="preserve"> </w:t>
      </w:r>
      <w:r>
        <w:t>(SP).</w:t>
      </w:r>
      <w:r>
        <w:rPr>
          <w:spacing w:val="40"/>
        </w:rPr>
        <w:t xml:space="preserve"> </w:t>
      </w:r>
      <w:r>
        <w:rPr>
          <w:b/>
        </w:rPr>
        <w:t>LEI</w:t>
      </w:r>
      <w:r>
        <w:rPr>
          <w:b/>
          <w:spacing w:val="40"/>
        </w:rPr>
        <w:t xml:space="preserve"> </w:t>
      </w:r>
      <w:r>
        <w:rPr>
          <w:b/>
        </w:rPr>
        <w:t>Nº</w:t>
      </w:r>
      <w:r>
        <w:rPr>
          <w:b/>
          <w:spacing w:val="40"/>
        </w:rPr>
        <w:t xml:space="preserve"> </w:t>
      </w:r>
      <w:r>
        <w:rPr>
          <w:b/>
        </w:rPr>
        <w:t>17.839,</w:t>
      </w:r>
      <w:r>
        <w:rPr>
          <w:b/>
          <w:spacing w:val="40"/>
        </w:rPr>
        <w:t xml:space="preserve"> </w:t>
      </w:r>
      <w:r>
        <w:rPr>
          <w:b/>
        </w:rPr>
        <w:t>DE</w:t>
      </w:r>
      <w:r>
        <w:rPr>
          <w:b/>
          <w:spacing w:val="40"/>
        </w:rPr>
        <w:t xml:space="preserve"> </w:t>
      </w:r>
      <w:r>
        <w:rPr>
          <w:b/>
        </w:rPr>
        <w:t>20</w:t>
      </w:r>
      <w:r>
        <w:rPr>
          <w:b/>
          <w:spacing w:val="40"/>
        </w:rPr>
        <w:t xml:space="preserve"> </w:t>
      </w:r>
      <w:r>
        <w:rPr>
          <w:b/>
        </w:rPr>
        <w:t>DE</w:t>
      </w:r>
      <w:r>
        <w:rPr>
          <w:b/>
          <w:spacing w:val="40"/>
        </w:rPr>
        <w:t xml:space="preserve"> </w:t>
      </w:r>
      <w:r>
        <w:rPr>
          <w:b/>
        </w:rPr>
        <w:t>JULHO</w:t>
      </w:r>
      <w:r>
        <w:rPr>
          <w:b/>
          <w:spacing w:val="40"/>
        </w:rPr>
        <w:t xml:space="preserve"> </w:t>
      </w:r>
      <w:r>
        <w:rPr>
          <w:b/>
        </w:rPr>
        <w:t>DE</w:t>
      </w:r>
      <w:r>
        <w:rPr>
          <w:b/>
          <w:spacing w:val="40"/>
        </w:rPr>
        <w:t xml:space="preserve"> </w:t>
      </w:r>
      <w:r>
        <w:rPr>
          <w:b/>
        </w:rPr>
        <w:t>2022</w:t>
      </w:r>
      <w:r>
        <w:t>.</w:t>
      </w:r>
      <w:r>
        <w:rPr>
          <w:spacing w:val="40"/>
        </w:rPr>
        <w:t xml:space="preserve"> </w:t>
      </w:r>
      <w:r>
        <w:t>Dispõe</w:t>
      </w:r>
      <w:r>
        <w:rPr>
          <w:spacing w:val="40"/>
        </w:rPr>
        <w:t xml:space="preserve"> </w:t>
      </w:r>
      <w:r>
        <w:t>sobre</w:t>
      </w:r>
      <w:r>
        <w:rPr>
          <w:spacing w:val="40"/>
        </w:rPr>
        <w:t xml:space="preserve"> </w:t>
      </w:r>
      <w:r>
        <w:t>as</w:t>
      </w:r>
      <w:r>
        <w:rPr>
          <w:spacing w:val="40"/>
        </w:rPr>
        <w:t xml:space="preserve"> </w:t>
      </w:r>
      <w:r>
        <w:t>diretrizes</w:t>
      </w:r>
      <w:r>
        <w:rPr>
          <w:spacing w:val="40"/>
        </w:rPr>
        <w:t xml:space="preserve"> </w:t>
      </w:r>
      <w:r>
        <w:t>orçamentárias para o exercício de 2023. São Paulo (SP): Diário Oficial do Município, 2022.</w:t>
      </w:r>
    </w:p>
    <w:p w:rsidR="007259F2" w:rsidRDefault="00E655B4">
      <w:pPr>
        <w:spacing w:before="118"/>
        <w:ind w:left="710"/>
      </w:pPr>
      <w:r>
        <w:t>SÃO</w:t>
      </w:r>
      <w:r>
        <w:rPr>
          <w:spacing w:val="-2"/>
        </w:rPr>
        <w:t xml:space="preserve"> </w:t>
      </w:r>
      <w:r>
        <w:t>PAULO (SP).</w:t>
      </w:r>
      <w:r>
        <w:rPr>
          <w:spacing w:val="2"/>
        </w:rPr>
        <w:t xml:space="preserve"> </w:t>
      </w:r>
      <w:r>
        <w:rPr>
          <w:b/>
        </w:rPr>
        <w:t>LEI</w:t>
      </w:r>
      <w:r>
        <w:rPr>
          <w:b/>
          <w:spacing w:val="1"/>
        </w:rPr>
        <w:t xml:space="preserve"> </w:t>
      </w:r>
      <w:r>
        <w:rPr>
          <w:b/>
        </w:rPr>
        <w:t>Nº</w:t>
      </w:r>
      <w:r>
        <w:rPr>
          <w:b/>
          <w:spacing w:val="1"/>
        </w:rPr>
        <w:t xml:space="preserve"> </w:t>
      </w:r>
      <w:r>
        <w:rPr>
          <w:b/>
        </w:rPr>
        <w:t>17.838, DE</w:t>
      </w:r>
      <w:r>
        <w:rPr>
          <w:b/>
          <w:spacing w:val="1"/>
        </w:rPr>
        <w:t xml:space="preserve"> </w:t>
      </w:r>
      <w:r>
        <w:rPr>
          <w:b/>
        </w:rPr>
        <w:t>18</w:t>
      </w:r>
      <w:r>
        <w:rPr>
          <w:b/>
          <w:spacing w:val="1"/>
        </w:rPr>
        <w:t xml:space="preserve"> </w:t>
      </w:r>
      <w:r>
        <w:rPr>
          <w:b/>
        </w:rPr>
        <w:t>DE JULHO</w:t>
      </w:r>
      <w:r>
        <w:rPr>
          <w:b/>
          <w:spacing w:val="2"/>
        </w:rPr>
        <w:t xml:space="preserve"> </w:t>
      </w:r>
      <w:r>
        <w:rPr>
          <w:b/>
        </w:rPr>
        <w:t>DE 2022</w:t>
      </w:r>
      <w:r>
        <w:t>.</w:t>
      </w:r>
      <w:r>
        <w:rPr>
          <w:spacing w:val="1"/>
        </w:rPr>
        <w:t xml:space="preserve"> </w:t>
      </w:r>
      <w:r>
        <w:t>Denomina</w:t>
      </w:r>
      <w:r>
        <w:rPr>
          <w:spacing w:val="1"/>
        </w:rPr>
        <w:t xml:space="preserve"> </w:t>
      </w:r>
      <w:r>
        <w:t>Praça</w:t>
      </w:r>
      <w:r>
        <w:rPr>
          <w:spacing w:val="2"/>
        </w:rPr>
        <w:t xml:space="preserve"> </w:t>
      </w:r>
      <w:r>
        <w:t xml:space="preserve">Brasil-Coreia </w:t>
      </w:r>
      <w:r>
        <w:rPr>
          <w:spacing w:val="-2"/>
        </w:rPr>
        <w:t>[...]</w:t>
      </w:r>
    </w:p>
    <w:p w:rsidR="007259F2" w:rsidRDefault="00E655B4">
      <w:pPr>
        <w:spacing w:before="1"/>
        <w:ind w:left="710"/>
      </w:pPr>
      <w:r>
        <w:t>São</w:t>
      </w:r>
      <w:r>
        <w:rPr>
          <w:spacing w:val="-4"/>
        </w:rPr>
        <w:t xml:space="preserve"> </w:t>
      </w:r>
      <w:r>
        <w:t>Paulo</w:t>
      </w:r>
      <w:r>
        <w:rPr>
          <w:spacing w:val="-3"/>
        </w:rPr>
        <w:t xml:space="preserve"> </w:t>
      </w:r>
      <w:r>
        <w:t>(SP):</w:t>
      </w:r>
      <w:r>
        <w:rPr>
          <w:spacing w:val="-3"/>
        </w:rPr>
        <w:t xml:space="preserve"> </w:t>
      </w:r>
      <w:r>
        <w:t>Diário</w:t>
      </w:r>
      <w:r>
        <w:rPr>
          <w:spacing w:val="-3"/>
        </w:rPr>
        <w:t xml:space="preserve"> </w:t>
      </w:r>
      <w:r>
        <w:t>Oficial</w:t>
      </w:r>
      <w:r>
        <w:rPr>
          <w:spacing w:val="-3"/>
        </w:rPr>
        <w:t xml:space="preserve"> </w:t>
      </w:r>
      <w:r>
        <w:t>do</w:t>
      </w:r>
      <w:r>
        <w:rPr>
          <w:spacing w:val="-6"/>
        </w:rPr>
        <w:t xml:space="preserve"> </w:t>
      </w:r>
      <w:r>
        <w:t>Município,</w:t>
      </w:r>
      <w:r>
        <w:rPr>
          <w:spacing w:val="-6"/>
        </w:rPr>
        <w:t xml:space="preserve"> </w:t>
      </w:r>
      <w:r>
        <w:rPr>
          <w:spacing w:val="-2"/>
        </w:rPr>
        <w:t>2022.</w:t>
      </w:r>
    </w:p>
    <w:p w:rsidR="007259F2" w:rsidRDefault="00E655B4">
      <w:pPr>
        <w:spacing w:before="119"/>
        <w:ind w:left="710"/>
      </w:pPr>
      <w:r>
        <w:t>SÃO</w:t>
      </w:r>
      <w:r>
        <w:rPr>
          <w:spacing w:val="13"/>
        </w:rPr>
        <w:t xml:space="preserve"> </w:t>
      </w:r>
      <w:r>
        <w:t>PAULO</w:t>
      </w:r>
      <w:r>
        <w:rPr>
          <w:spacing w:val="14"/>
        </w:rPr>
        <w:t xml:space="preserve"> </w:t>
      </w:r>
      <w:r>
        <w:t>(SP).</w:t>
      </w:r>
      <w:r>
        <w:rPr>
          <w:spacing w:val="15"/>
        </w:rPr>
        <w:t xml:space="preserve"> </w:t>
      </w:r>
      <w:r>
        <w:rPr>
          <w:b/>
        </w:rPr>
        <w:t>LEI</w:t>
      </w:r>
      <w:r>
        <w:rPr>
          <w:b/>
          <w:spacing w:val="16"/>
        </w:rPr>
        <w:t xml:space="preserve"> </w:t>
      </w:r>
      <w:r>
        <w:rPr>
          <w:b/>
        </w:rPr>
        <w:t>Nº</w:t>
      </w:r>
      <w:r>
        <w:rPr>
          <w:b/>
          <w:spacing w:val="13"/>
        </w:rPr>
        <w:t xml:space="preserve"> </w:t>
      </w:r>
      <w:r>
        <w:rPr>
          <w:b/>
        </w:rPr>
        <w:t>17.837,</w:t>
      </w:r>
      <w:r>
        <w:rPr>
          <w:b/>
          <w:spacing w:val="15"/>
        </w:rPr>
        <w:t xml:space="preserve"> </w:t>
      </w:r>
      <w:r>
        <w:rPr>
          <w:b/>
        </w:rPr>
        <w:t>DE</w:t>
      </w:r>
      <w:r>
        <w:rPr>
          <w:b/>
          <w:spacing w:val="14"/>
        </w:rPr>
        <w:t xml:space="preserve"> </w:t>
      </w:r>
      <w:r>
        <w:rPr>
          <w:b/>
        </w:rPr>
        <w:t>18</w:t>
      </w:r>
      <w:r>
        <w:rPr>
          <w:b/>
          <w:spacing w:val="14"/>
        </w:rPr>
        <w:t xml:space="preserve"> </w:t>
      </w:r>
      <w:r>
        <w:rPr>
          <w:b/>
        </w:rPr>
        <w:t>DE</w:t>
      </w:r>
      <w:r>
        <w:rPr>
          <w:b/>
          <w:spacing w:val="17"/>
        </w:rPr>
        <w:t xml:space="preserve"> </w:t>
      </w:r>
      <w:r>
        <w:rPr>
          <w:b/>
        </w:rPr>
        <w:t>JULHO</w:t>
      </w:r>
      <w:r>
        <w:rPr>
          <w:b/>
          <w:spacing w:val="15"/>
        </w:rPr>
        <w:t xml:space="preserve"> </w:t>
      </w:r>
      <w:r>
        <w:rPr>
          <w:b/>
        </w:rPr>
        <w:t>DE</w:t>
      </w:r>
      <w:r>
        <w:rPr>
          <w:b/>
          <w:spacing w:val="14"/>
        </w:rPr>
        <w:t xml:space="preserve"> </w:t>
      </w:r>
      <w:r>
        <w:rPr>
          <w:b/>
        </w:rPr>
        <w:t>2022.</w:t>
      </w:r>
      <w:r>
        <w:rPr>
          <w:b/>
          <w:spacing w:val="16"/>
        </w:rPr>
        <w:t xml:space="preserve"> </w:t>
      </w:r>
      <w:r>
        <w:t>Altera</w:t>
      </w:r>
      <w:r>
        <w:rPr>
          <w:spacing w:val="16"/>
        </w:rPr>
        <w:t xml:space="preserve"> </w:t>
      </w:r>
      <w:r>
        <w:t>a</w:t>
      </w:r>
      <w:r>
        <w:rPr>
          <w:spacing w:val="16"/>
        </w:rPr>
        <w:t xml:space="preserve"> </w:t>
      </w:r>
      <w:r>
        <w:t>Lei</w:t>
      </w:r>
      <w:r>
        <w:rPr>
          <w:spacing w:val="13"/>
        </w:rPr>
        <w:t xml:space="preserve"> </w:t>
      </w:r>
      <w:r>
        <w:t>nº</w:t>
      </w:r>
      <w:r>
        <w:rPr>
          <w:spacing w:val="16"/>
        </w:rPr>
        <w:t xml:space="preserve"> </w:t>
      </w:r>
      <w:r>
        <w:t>16.050,</w:t>
      </w:r>
      <w:r>
        <w:rPr>
          <w:spacing w:val="14"/>
        </w:rPr>
        <w:t xml:space="preserve"> </w:t>
      </w:r>
      <w:r>
        <w:t>de</w:t>
      </w:r>
      <w:r>
        <w:rPr>
          <w:spacing w:val="16"/>
        </w:rPr>
        <w:t xml:space="preserve"> </w:t>
      </w:r>
      <w:r>
        <w:t>31</w:t>
      </w:r>
      <w:r>
        <w:rPr>
          <w:spacing w:val="15"/>
        </w:rPr>
        <w:t xml:space="preserve"> </w:t>
      </w:r>
      <w:r>
        <w:rPr>
          <w:spacing w:val="-5"/>
        </w:rPr>
        <w:t>de</w:t>
      </w:r>
    </w:p>
    <w:p w:rsidR="007259F2" w:rsidRDefault="00E655B4">
      <w:pPr>
        <w:spacing w:before="2"/>
        <w:ind w:left="710"/>
      </w:pPr>
      <w:r>
        <w:t>julho</w:t>
      </w:r>
      <w:r>
        <w:rPr>
          <w:spacing w:val="-4"/>
        </w:rPr>
        <w:t xml:space="preserve"> </w:t>
      </w:r>
      <w:r>
        <w:t>de</w:t>
      </w:r>
      <w:r>
        <w:rPr>
          <w:spacing w:val="-4"/>
        </w:rPr>
        <w:t xml:space="preserve"> </w:t>
      </w:r>
      <w:r>
        <w:t>2014</w:t>
      </w:r>
      <w:r>
        <w:rPr>
          <w:spacing w:val="-3"/>
        </w:rPr>
        <w:t xml:space="preserve"> </w:t>
      </w:r>
      <w:r>
        <w:t>[...]</w:t>
      </w:r>
      <w:r>
        <w:rPr>
          <w:spacing w:val="-4"/>
        </w:rPr>
        <w:t xml:space="preserve"> </w:t>
      </w:r>
      <w:r>
        <w:t>São</w:t>
      </w:r>
      <w:r>
        <w:rPr>
          <w:spacing w:val="-3"/>
        </w:rPr>
        <w:t xml:space="preserve"> </w:t>
      </w:r>
      <w:r>
        <w:t>Paulo</w:t>
      </w:r>
      <w:r>
        <w:rPr>
          <w:spacing w:val="-4"/>
        </w:rPr>
        <w:t xml:space="preserve"> </w:t>
      </w:r>
      <w:r>
        <w:t>(SP):</w:t>
      </w:r>
      <w:r>
        <w:rPr>
          <w:spacing w:val="-2"/>
        </w:rPr>
        <w:t xml:space="preserve"> </w:t>
      </w:r>
      <w:r>
        <w:t>Diário</w:t>
      </w:r>
      <w:r>
        <w:rPr>
          <w:spacing w:val="-4"/>
        </w:rPr>
        <w:t xml:space="preserve"> </w:t>
      </w:r>
      <w:r>
        <w:t>Oficial</w:t>
      </w:r>
      <w:r>
        <w:rPr>
          <w:spacing w:val="-2"/>
        </w:rPr>
        <w:t xml:space="preserve"> </w:t>
      </w:r>
      <w:r>
        <w:t>do</w:t>
      </w:r>
      <w:r>
        <w:rPr>
          <w:spacing w:val="-4"/>
        </w:rPr>
        <w:t xml:space="preserve"> </w:t>
      </w:r>
      <w:r>
        <w:t>Município,</w:t>
      </w:r>
      <w:r>
        <w:rPr>
          <w:spacing w:val="-3"/>
        </w:rPr>
        <w:t xml:space="preserve"> </w:t>
      </w:r>
      <w:r>
        <w:rPr>
          <w:spacing w:val="-2"/>
        </w:rPr>
        <w:t>2022.</w:t>
      </w:r>
    </w:p>
    <w:p w:rsidR="007259F2" w:rsidRDefault="00E655B4">
      <w:pPr>
        <w:spacing w:before="119" w:line="252" w:lineRule="exact"/>
        <w:ind w:left="710"/>
      </w:pPr>
      <w:r>
        <w:t>SÃO</w:t>
      </w:r>
      <w:r>
        <w:rPr>
          <w:spacing w:val="13"/>
        </w:rPr>
        <w:t xml:space="preserve"> </w:t>
      </w:r>
      <w:r>
        <w:t>PAULO</w:t>
      </w:r>
      <w:r>
        <w:rPr>
          <w:spacing w:val="14"/>
        </w:rPr>
        <w:t xml:space="preserve"> </w:t>
      </w:r>
      <w:r>
        <w:t>(SP).</w:t>
      </w:r>
      <w:r>
        <w:rPr>
          <w:spacing w:val="16"/>
        </w:rPr>
        <w:t xml:space="preserve"> </w:t>
      </w:r>
      <w:r>
        <w:rPr>
          <w:b/>
        </w:rPr>
        <w:t>LEI</w:t>
      </w:r>
      <w:r>
        <w:rPr>
          <w:b/>
          <w:spacing w:val="16"/>
        </w:rPr>
        <w:t xml:space="preserve"> </w:t>
      </w:r>
      <w:r>
        <w:rPr>
          <w:b/>
        </w:rPr>
        <w:t>Nº</w:t>
      </w:r>
      <w:r>
        <w:rPr>
          <w:b/>
          <w:spacing w:val="13"/>
        </w:rPr>
        <w:t xml:space="preserve"> </w:t>
      </w:r>
      <w:r>
        <w:rPr>
          <w:b/>
        </w:rPr>
        <w:t>17.836,</w:t>
      </w:r>
      <w:r>
        <w:rPr>
          <w:b/>
          <w:spacing w:val="15"/>
        </w:rPr>
        <w:t xml:space="preserve"> </w:t>
      </w:r>
      <w:r>
        <w:rPr>
          <w:b/>
        </w:rPr>
        <w:t>DE</w:t>
      </w:r>
      <w:r>
        <w:rPr>
          <w:b/>
          <w:spacing w:val="14"/>
        </w:rPr>
        <w:t xml:space="preserve"> </w:t>
      </w:r>
      <w:r>
        <w:rPr>
          <w:b/>
        </w:rPr>
        <w:t>12</w:t>
      </w:r>
      <w:r>
        <w:rPr>
          <w:b/>
          <w:spacing w:val="15"/>
        </w:rPr>
        <w:t xml:space="preserve"> </w:t>
      </w:r>
      <w:r>
        <w:rPr>
          <w:b/>
        </w:rPr>
        <w:t>DE</w:t>
      </w:r>
      <w:r>
        <w:rPr>
          <w:b/>
          <w:spacing w:val="14"/>
        </w:rPr>
        <w:t xml:space="preserve"> </w:t>
      </w:r>
      <w:r>
        <w:rPr>
          <w:b/>
        </w:rPr>
        <w:t>JULHO</w:t>
      </w:r>
      <w:r>
        <w:rPr>
          <w:b/>
          <w:spacing w:val="15"/>
        </w:rPr>
        <w:t xml:space="preserve"> </w:t>
      </w:r>
      <w:r>
        <w:rPr>
          <w:b/>
        </w:rPr>
        <w:t>DE</w:t>
      </w:r>
      <w:r>
        <w:rPr>
          <w:b/>
          <w:spacing w:val="14"/>
        </w:rPr>
        <w:t xml:space="preserve"> </w:t>
      </w:r>
      <w:r>
        <w:rPr>
          <w:b/>
        </w:rPr>
        <w:t>2022</w:t>
      </w:r>
      <w:r>
        <w:t>.</w:t>
      </w:r>
      <w:r>
        <w:rPr>
          <w:spacing w:val="15"/>
        </w:rPr>
        <w:t xml:space="preserve"> </w:t>
      </w:r>
      <w:r>
        <w:t>Altera</w:t>
      </w:r>
      <w:r>
        <w:rPr>
          <w:spacing w:val="16"/>
        </w:rPr>
        <w:t xml:space="preserve"> </w:t>
      </w:r>
      <w:r>
        <w:t>a</w:t>
      </w:r>
      <w:r>
        <w:rPr>
          <w:spacing w:val="17"/>
        </w:rPr>
        <w:t xml:space="preserve"> </w:t>
      </w:r>
      <w:hyperlink r:id="rId260">
        <w:r>
          <w:rPr>
            <w:u w:val="single"/>
          </w:rPr>
          <w:t>Lei</w:t>
        </w:r>
        <w:r>
          <w:rPr>
            <w:spacing w:val="13"/>
            <w:u w:val="single"/>
          </w:rPr>
          <w:t xml:space="preserve"> </w:t>
        </w:r>
        <w:r>
          <w:rPr>
            <w:u w:val="single"/>
          </w:rPr>
          <w:t>nº</w:t>
        </w:r>
        <w:r>
          <w:rPr>
            <w:spacing w:val="16"/>
            <w:u w:val="single"/>
          </w:rPr>
          <w:t xml:space="preserve"> </w:t>
        </w:r>
        <w:r>
          <w:rPr>
            <w:u w:val="single"/>
          </w:rPr>
          <w:t>14.485,</w:t>
        </w:r>
        <w:r>
          <w:rPr>
            <w:spacing w:val="15"/>
            <w:u w:val="single"/>
          </w:rPr>
          <w:t xml:space="preserve"> </w:t>
        </w:r>
        <w:r>
          <w:rPr>
            <w:u w:val="single"/>
          </w:rPr>
          <w:t>de</w:t>
        </w:r>
        <w:r>
          <w:rPr>
            <w:spacing w:val="16"/>
            <w:u w:val="single"/>
          </w:rPr>
          <w:t xml:space="preserve"> </w:t>
        </w:r>
        <w:r>
          <w:rPr>
            <w:u w:val="single"/>
          </w:rPr>
          <w:t>19</w:t>
        </w:r>
        <w:r>
          <w:rPr>
            <w:spacing w:val="15"/>
            <w:u w:val="single"/>
          </w:rPr>
          <w:t xml:space="preserve"> </w:t>
        </w:r>
        <w:r>
          <w:rPr>
            <w:spacing w:val="-7"/>
            <w:u w:val="single"/>
          </w:rPr>
          <w:t>de</w:t>
        </w:r>
      </w:hyperlink>
    </w:p>
    <w:p w:rsidR="007259F2" w:rsidRDefault="00DE6B1C">
      <w:pPr>
        <w:spacing w:line="252" w:lineRule="exact"/>
        <w:ind w:left="710"/>
      </w:pPr>
      <w:hyperlink r:id="rId261">
        <w:r w:rsidR="00E655B4">
          <w:rPr>
            <w:u w:val="single"/>
          </w:rPr>
          <w:t>julho</w:t>
        </w:r>
        <w:r w:rsidR="00E655B4">
          <w:rPr>
            <w:spacing w:val="-3"/>
            <w:u w:val="single"/>
          </w:rPr>
          <w:t xml:space="preserve"> </w:t>
        </w:r>
        <w:r w:rsidR="00E655B4">
          <w:rPr>
            <w:u w:val="single"/>
          </w:rPr>
          <w:t>de</w:t>
        </w:r>
        <w:r w:rsidR="00E655B4">
          <w:rPr>
            <w:spacing w:val="-3"/>
            <w:u w:val="single"/>
          </w:rPr>
          <w:t xml:space="preserve"> </w:t>
        </w:r>
        <w:r w:rsidR="00E655B4">
          <w:rPr>
            <w:u w:val="single"/>
          </w:rPr>
          <w:t>2007,</w:t>
        </w:r>
      </w:hyperlink>
      <w:r w:rsidR="00E655B4">
        <w:rPr>
          <w:spacing w:val="-4"/>
        </w:rPr>
        <w:t xml:space="preserve"> </w:t>
      </w:r>
      <w:r w:rsidR="00E655B4">
        <w:t>[...]</w:t>
      </w:r>
      <w:r w:rsidR="00E655B4">
        <w:rPr>
          <w:spacing w:val="-3"/>
        </w:rPr>
        <w:t xml:space="preserve"> </w:t>
      </w:r>
      <w:r w:rsidR="00E655B4">
        <w:t>São</w:t>
      </w:r>
      <w:r w:rsidR="00E655B4">
        <w:rPr>
          <w:spacing w:val="-3"/>
        </w:rPr>
        <w:t xml:space="preserve"> </w:t>
      </w:r>
      <w:r w:rsidR="00E655B4">
        <w:t>Paulo</w:t>
      </w:r>
      <w:r w:rsidR="00E655B4">
        <w:rPr>
          <w:spacing w:val="-3"/>
        </w:rPr>
        <w:t xml:space="preserve"> </w:t>
      </w:r>
      <w:r w:rsidR="00E655B4">
        <w:t>(SP):</w:t>
      </w:r>
      <w:r w:rsidR="00E655B4">
        <w:rPr>
          <w:spacing w:val="-2"/>
        </w:rPr>
        <w:t xml:space="preserve"> </w:t>
      </w:r>
      <w:r w:rsidR="00E655B4">
        <w:t>Diário</w:t>
      </w:r>
      <w:r w:rsidR="00E655B4">
        <w:rPr>
          <w:spacing w:val="-3"/>
        </w:rPr>
        <w:t xml:space="preserve"> </w:t>
      </w:r>
      <w:r w:rsidR="00E655B4">
        <w:t>Oficial</w:t>
      </w:r>
      <w:r w:rsidR="00E655B4">
        <w:rPr>
          <w:spacing w:val="-2"/>
        </w:rPr>
        <w:t xml:space="preserve"> </w:t>
      </w:r>
      <w:r w:rsidR="00E655B4">
        <w:t>do</w:t>
      </w:r>
      <w:r w:rsidR="00E655B4">
        <w:rPr>
          <w:spacing w:val="-5"/>
        </w:rPr>
        <w:t xml:space="preserve"> </w:t>
      </w:r>
      <w:r w:rsidR="00E655B4">
        <w:t>Município,</w:t>
      </w:r>
      <w:r w:rsidR="00E655B4">
        <w:rPr>
          <w:spacing w:val="-3"/>
        </w:rPr>
        <w:t xml:space="preserve"> </w:t>
      </w:r>
      <w:r w:rsidR="00E655B4">
        <w:rPr>
          <w:spacing w:val="-2"/>
        </w:rPr>
        <w:t>2022.</w:t>
      </w:r>
    </w:p>
    <w:p w:rsidR="007259F2" w:rsidRDefault="00E655B4">
      <w:pPr>
        <w:spacing w:before="121"/>
        <w:ind w:left="710" w:right="422"/>
      </w:pPr>
      <w:r>
        <w:t xml:space="preserve">SÃO PAULO (SP). </w:t>
      </w:r>
      <w:r>
        <w:rPr>
          <w:b/>
        </w:rPr>
        <w:t>LEI Nº 17.835, DE 11 DE JULHO DE 2022</w:t>
      </w:r>
      <w:r>
        <w:t>. Oficializa a Bandeira da Freguesia do Ó, e dá outras providências. São Paulo (SP): Diário Oficial do Município, 2022.</w:t>
      </w:r>
    </w:p>
    <w:p w:rsidR="007259F2" w:rsidRDefault="00E655B4">
      <w:pPr>
        <w:spacing w:before="121" w:line="252" w:lineRule="exact"/>
        <w:ind w:left="710"/>
      </w:pPr>
      <w:r>
        <w:t>SÃO</w:t>
      </w:r>
      <w:r>
        <w:rPr>
          <w:spacing w:val="19"/>
        </w:rPr>
        <w:t xml:space="preserve"> </w:t>
      </w:r>
      <w:r>
        <w:t>PAULO</w:t>
      </w:r>
      <w:r>
        <w:rPr>
          <w:spacing w:val="20"/>
        </w:rPr>
        <w:t xml:space="preserve"> </w:t>
      </w:r>
      <w:r>
        <w:t>(SP).</w:t>
      </w:r>
      <w:r>
        <w:rPr>
          <w:spacing w:val="22"/>
        </w:rPr>
        <w:t xml:space="preserve"> </w:t>
      </w:r>
      <w:r>
        <w:rPr>
          <w:b/>
        </w:rPr>
        <w:t>LEI</w:t>
      </w:r>
      <w:r>
        <w:rPr>
          <w:b/>
          <w:spacing w:val="17"/>
        </w:rPr>
        <w:t xml:space="preserve"> </w:t>
      </w:r>
      <w:r>
        <w:rPr>
          <w:b/>
        </w:rPr>
        <w:t>Nº</w:t>
      </w:r>
      <w:r>
        <w:rPr>
          <w:b/>
          <w:spacing w:val="21"/>
        </w:rPr>
        <w:t xml:space="preserve"> </w:t>
      </w:r>
      <w:r>
        <w:rPr>
          <w:b/>
        </w:rPr>
        <w:t>17.834,</w:t>
      </w:r>
      <w:r>
        <w:rPr>
          <w:b/>
          <w:spacing w:val="22"/>
        </w:rPr>
        <w:t xml:space="preserve"> </w:t>
      </w:r>
      <w:r>
        <w:rPr>
          <w:b/>
        </w:rPr>
        <w:t>DE</w:t>
      </w:r>
      <w:r>
        <w:rPr>
          <w:b/>
          <w:spacing w:val="20"/>
        </w:rPr>
        <w:t xml:space="preserve"> </w:t>
      </w:r>
      <w:r>
        <w:rPr>
          <w:b/>
        </w:rPr>
        <w:t>8</w:t>
      </w:r>
      <w:r>
        <w:rPr>
          <w:b/>
          <w:spacing w:val="19"/>
        </w:rPr>
        <w:t xml:space="preserve"> </w:t>
      </w:r>
      <w:r>
        <w:rPr>
          <w:b/>
        </w:rPr>
        <w:t>DE</w:t>
      </w:r>
      <w:r>
        <w:rPr>
          <w:b/>
          <w:spacing w:val="21"/>
        </w:rPr>
        <w:t xml:space="preserve"> </w:t>
      </w:r>
      <w:r>
        <w:rPr>
          <w:b/>
        </w:rPr>
        <w:t>JULHO</w:t>
      </w:r>
      <w:r>
        <w:rPr>
          <w:b/>
          <w:spacing w:val="20"/>
        </w:rPr>
        <w:t xml:space="preserve"> </w:t>
      </w:r>
      <w:r>
        <w:rPr>
          <w:b/>
        </w:rPr>
        <w:t>DE</w:t>
      </w:r>
      <w:r>
        <w:rPr>
          <w:b/>
          <w:spacing w:val="21"/>
        </w:rPr>
        <w:t xml:space="preserve"> </w:t>
      </w:r>
      <w:r>
        <w:rPr>
          <w:b/>
        </w:rPr>
        <w:t>2022</w:t>
      </w:r>
      <w:r>
        <w:t>.</w:t>
      </w:r>
      <w:r>
        <w:rPr>
          <w:spacing w:val="22"/>
        </w:rPr>
        <w:t xml:space="preserve"> </w:t>
      </w:r>
      <w:r>
        <w:t>Altera</w:t>
      </w:r>
      <w:r>
        <w:rPr>
          <w:spacing w:val="19"/>
        </w:rPr>
        <w:t xml:space="preserve"> </w:t>
      </w:r>
      <w:r>
        <w:t>a</w:t>
      </w:r>
      <w:r>
        <w:rPr>
          <w:spacing w:val="22"/>
        </w:rPr>
        <w:t xml:space="preserve"> </w:t>
      </w:r>
      <w:hyperlink r:id="rId262">
        <w:r>
          <w:rPr>
            <w:u w:val="single"/>
          </w:rPr>
          <w:t>Lei</w:t>
        </w:r>
        <w:r>
          <w:rPr>
            <w:spacing w:val="22"/>
            <w:u w:val="single"/>
          </w:rPr>
          <w:t xml:space="preserve"> </w:t>
        </w:r>
        <w:r>
          <w:rPr>
            <w:u w:val="single"/>
          </w:rPr>
          <w:t>nº</w:t>
        </w:r>
        <w:r>
          <w:rPr>
            <w:spacing w:val="22"/>
            <w:u w:val="single"/>
          </w:rPr>
          <w:t xml:space="preserve"> </w:t>
        </w:r>
        <w:r>
          <w:rPr>
            <w:u w:val="single"/>
          </w:rPr>
          <w:t>14.485,</w:t>
        </w:r>
        <w:r>
          <w:rPr>
            <w:spacing w:val="19"/>
            <w:u w:val="single"/>
          </w:rPr>
          <w:t xml:space="preserve"> </w:t>
        </w:r>
        <w:r>
          <w:rPr>
            <w:u w:val="single"/>
          </w:rPr>
          <w:t>de</w:t>
        </w:r>
        <w:r>
          <w:rPr>
            <w:spacing w:val="22"/>
            <w:u w:val="single"/>
          </w:rPr>
          <w:t xml:space="preserve"> </w:t>
        </w:r>
        <w:r>
          <w:rPr>
            <w:u w:val="single"/>
          </w:rPr>
          <w:t>19</w:t>
        </w:r>
        <w:r>
          <w:rPr>
            <w:spacing w:val="22"/>
            <w:u w:val="single"/>
          </w:rPr>
          <w:t xml:space="preserve"> </w:t>
        </w:r>
        <w:r>
          <w:rPr>
            <w:spacing w:val="-5"/>
            <w:u w:val="single"/>
          </w:rPr>
          <w:t>de</w:t>
        </w:r>
      </w:hyperlink>
    </w:p>
    <w:p w:rsidR="007259F2" w:rsidRDefault="00DE6B1C">
      <w:pPr>
        <w:spacing w:line="252" w:lineRule="exact"/>
        <w:ind w:left="710"/>
      </w:pPr>
      <w:hyperlink r:id="rId263">
        <w:r w:rsidR="00E655B4">
          <w:rPr>
            <w:u w:val="single"/>
          </w:rPr>
          <w:t>julho</w:t>
        </w:r>
        <w:r w:rsidR="00E655B4">
          <w:rPr>
            <w:spacing w:val="-3"/>
            <w:u w:val="single"/>
          </w:rPr>
          <w:t xml:space="preserve"> </w:t>
        </w:r>
        <w:r w:rsidR="00E655B4">
          <w:rPr>
            <w:u w:val="single"/>
          </w:rPr>
          <w:t>de</w:t>
        </w:r>
        <w:r w:rsidR="00E655B4">
          <w:rPr>
            <w:spacing w:val="-3"/>
            <w:u w:val="single"/>
          </w:rPr>
          <w:t xml:space="preserve"> </w:t>
        </w:r>
        <w:r w:rsidR="00E655B4">
          <w:rPr>
            <w:u w:val="single"/>
          </w:rPr>
          <w:t>2007,</w:t>
        </w:r>
      </w:hyperlink>
      <w:r w:rsidR="00E655B4">
        <w:rPr>
          <w:spacing w:val="-3"/>
        </w:rPr>
        <w:t xml:space="preserve"> </w:t>
      </w:r>
      <w:r w:rsidR="00E655B4">
        <w:t>[...]</w:t>
      </w:r>
      <w:r w:rsidR="00E655B4">
        <w:rPr>
          <w:spacing w:val="-3"/>
        </w:rPr>
        <w:t xml:space="preserve"> </w:t>
      </w:r>
      <w:r w:rsidR="00E655B4">
        <w:t>São</w:t>
      </w:r>
      <w:r w:rsidR="00E655B4">
        <w:rPr>
          <w:spacing w:val="-3"/>
        </w:rPr>
        <w:t xml:space="preserve"> </w:t>
      </w:r>
      <w:r w:rsidR="00E655B4">
        <w:t>Paulo</w:t>
      </w:r>
      <w:r w:rsidR="00E655B4">
        <w:rPr>
          <w:spacing w:val="-2"/>
        </w:rPr>
        <w:t xml:space="preserve"> </w:t>
      </w:r>
      <w:r w:rsidR="00E655B4">
        <w:t>(SP):</w:t>
      </w:r>
      <w:r w:rsidR="00E655B4">
        <w:rPr>
          <w:spacing w:val="-2"/>
        </w:rPr>
        <w:t xml:space="preserve"> </w:t>
      </w:r>
      <w:r w:rsidR="00E655B4">
        <w:t>Diário</w:t>
      </w:r>
      <w:r w:rsidR="00E655B4">
        <w:rPr>
          <w:spacing w:val="-3"/>
        </w:rPr>
        <w:t xml:space="preserve"> </w:t>
      </w:r>
      <w:r w:rsidR="00E655B4">
        <w:t>Oficial</w:t>
      </w:r>
      <w:r w:rsidR="00E655B4">
        <w:rPr>
          <w:spacing w:val="-2"/>
        </w:rPr>
        <w:t xml:space="preserve"> </w:t>
      </w:r>
      <w:r w:rsidR="00E655B4">
        <w:t>do</w:t>
      </w:r>
      <w:r w:rsidR="00E655B4">
        <w:rPr>
          <w:spacing w:val="-6"/>
        </w:rPr>
        <w:t xml:space="preserve"> </w:t>
      </w:r>
      <w:r w:rsidR="00E655B4">
        <w:t>Município,</w:t>
      </w:r>
      <w:r w:rsidR="00E655B4">
        <w:rPr>
          <w:spacing w:val="-2"/>
        </w:rPr>
        <w:t xml:space="preserve"> 2022.</w:t>
      </w:r>
    </w:p>
    <w:p w:rsidR="007259F2" w:rsidRDefault="00E655B4">
      <w:pPr>
        <w:spacing w:before="122" w:line="252" w:lineRule="exact"/>
        <w:ind w:left="710"/>
      </w:pPr>
      <w:r>
        <w:t>SÃO</w:t>
      </w:r>
      <w:r>
        <w:rPr>
          <w:spacing w:val="23"/>
        </w:rPr>
        <w:t xml:space="preserve"> </w:t>
      </w:r>
      <w:r>
        <w:t>PAULO</w:t>
      </w:r>
      <w:r>
        <w:rPr>
          <w:spacing w:val="25"/>
        </w:rPr>
        <w:t xml:space="preserve"> </w:t>
      </w:r>
      <w:r>
        <w:t>(SP).</w:t>
      </w:r>
      <w:r>
        <w:rPr>
          <w:spacing w:val="27"/>
        </w:rPr>
        <w:t xml:space="preserve"> </w:t>
      </w:r>
      <w:r>
        <w:rPr>
          <w:b/>
        </w:rPr>
        <w:t>LEI</w:t>
      </w:r>
      <w:r>
        <w:rPr>
          <w:b/>
          <w:spacing w:val="27"/>
        </w:rPr>
        <w:t xml:space="preserve"> </w:t>
      </w:r>
      <w:r>
        <w:rPr>
          <w:b/>
        </w:rPr>
        <w:t>Nº</w:t>
      </w:r>
      <w:r>
        <w:rPr>
          <w:b/>
          <w:spacing w:val="26"/>
        </w:rPr>
        <w:t xml:space="preserve"> </w:t>
      </w:r>
      <w:r>
        <w:rPr>
          <w:b/>
        </w:rPr>
        <w:t>17.833,</w:t>
      </w:r>
      <w:r>
        <w:rPr>
          <w:b/>
          <w:spacing w:val="26"/>
        </w:rPr>
        <w:t xml:space="preserve"> </w:t>
      </w:r>
      <w:r>
        <w:rPr>
          <w:b/>
        </w:rPr>
        <w:t>DE</w:t>
      </w:r>
      <w:r>
        <w:rPr>
          <w:b/>
          <w:spacing w:val="25"/>
        </w:rPr>
        <w:t xml:space="preserve"> </w:t>
      </w:r>
      <w:r>
        <w:rPr>
          <w:b/>
        </w:rPr>
        <w:t>8</w:t>
      </w:r>
      <w:r>
        <w:rPr>
          <w:b/>
          <w:spacing w:val="26"/>
        </w:rPr>
        <w:t xml:space="preserve"> </w:t>
      </w:r>
      <w:r>
        <w:rPr>
          <w:b/>
        </w:rPr>
        <w:t>DE</w:t>
      </w:r>
      <w:r>
        <w:rPr>
          <w:b/>
          <w:spacing w:val="25"/>
        </w:rPr>
        <w:t xml:space="preserve"> </w:t>
      </w:r>
      <w:r>
        <w:rPr>
          <w:b/>
        </w:rPr>
        <w:t>JULHO</w:t>
      </w:r>
      <w:r>
        <w:rPr>
          <w:b/>
          <w:spacing w:val="28"/>
        </w:rPr>
        <w:t xml:space="preserve"> </w:t>
      </w:r>
      <w:r>
        <w:rPr>
          <w:b/>
        </w:rPr>
        <w:t>DE</w:t>
      </w:r>
      <w:r>
        <w:rPr>
          <w:b/>
          <w:spacing w:val="25"/>
        </w:rPr>
        <w:t xml:space="preserve"> </w:t>
      </w:r>
      <w:r>
        <w:rPr>
          <w:b/>
        </w:rPr>
        <w:t>2022</w:t>
      </w:r>
      <w:r>
        <w:t>.</w:t>
      </w:r>
      <w:r>
        <w:rPr>
          <w:spacing w:val="26"/>
        </w:rPr>
        <w:t xml:space="preserve"> </w:t>
      </w:r>
      <w:r>
        <w:t>Altera</w:t>
      </w:r>
      <w:r>
        <w:rPr>
          <w:spacing w:val="27"/>
        </w:rPr>
        <w:t xml:space="preserve"> </w:t>
      </w:r>
      <w:r>
        <w:t>a</w:t>
      </w:r>
      <w:r>
        <w:rPr>
          <w:spacing w:val="29"/>
        </w:rPr>
        <w:t xml:space="preserve"> </w:t>
      </w:r>
      <w:hyperlink r:id="rId264">
        <w:r>
          <w:rPr>
            <w:u w:val="single"/>
          </w:rPr>
          <w:t>Lei</w:t>
        </w:r>
        <w:r>
          <w:rPr>
            <w:spacing w:val="27"/>
            <w:u w:val="single"/>
          </w:rPr>
          <w:t xml:space="preserve"> </w:t>
        </w:r>
        <w:r>
          <w:rPr>
            <w:u w:val="single"/>
          </w:rPr>
          <w:t>nº</w:t>
        </w:r>
        <w:r>
          <w:rPr>
            <w:spacing w:val="27"/>
            <w:u w:val="single"/>
          </w:rPr>
          <w:t xml:space="preserve"> </w:t>
        </w:r>
        <w:r>
          <w:rPr>
            <w:u w:val="single"/>
          </w:rPr>
          <w:t>17.502,</w:t>
        </w:r>
        <w:r>
          <w:rPr>
            <w:spacing w:val="26"/>
            <w:u w:val="single"/>
          </w:rPr>
          <w:t xml:space="preserve"> </w:t>
        </w:r>
        <w:r>
          <w:rPr>
            <w:u w:val="single"/>
          </w:rPr>
          <w:t>de</w:t>
        </w:r>
        <w:r>
          <w:rPr>
            <w:spacing w:val="27"/>
            <w:u w:val="single"/>
          </w:rPr>
          <w:t xml:space="preserve"> </w:t>
        </w:r>
        <w:r>
          <w:rPr>
            <w:u w:val="single"/>
          </w:rPr>
          <w:t>3</w:t>
        </w:r>
        <w:r>
          <w:rPr>
            <w:spacing w:val="27"/>
            <w:u w:val="single"/>
          </w:rPr>
          <w:t xml:space="preserve"> </w:t>
        </w:r>
        <w:r>
          <w:rPr>
            <w:spacing w:val="-5"/>
            <w:u w:val="single"/>
          </w:rPr>
          <w:t>de</w:t>
        </w:r>
      </w:hyperlink>
    </w:p>
    <w:p w:rsidR="007259F2" w:rsidRDefault="00DE6B1C">
      <w:pPr>
        <w:spacing w:line="252" w:lineRule="exact"/>
        <w:ind w:left="710"/>
      </w:pPr>
      <w:hyperlink r:id="rId265">
        <w:r w:rsidR="00E655B4">
          <w:rPr>
            <w:u w:val="single"/>
          </w:rPr>
          <w:t>novembro</w:t>
        </w:r>
        <w:r w:rsidR="00E655B4">
          <w:rPr>
            <w:spacing w:val="-3"/>
            <w:u w:val="single"/>
          </w:rPr>
          <w:t xml:space="preserve"> </w:t>
        </w:r>
        <w:r w:rsidR="00E655B4">
          <w:rPr>
            <w:u w:val="single"/>
          </w:rPr>
          <w:t>de</w:t>
        </w:r>
        <w:r w:rsidR="00E655B4">
          <w:rPr>
            <w:spacing w:val="-3"/>
            <w:u w:val="single"/>
          </w:rPr>
          <w:t xml:space="preserve"> </w:t>
        </w:r>
        <w:r w:rsidR="00E655B4">
          <w:rPr>
            <w:u w:val="single"/>
          </w:rPr>
          <w:t>2020,</w:t>
        </w:r>
      </w:hyperlink>
      <w:r w:rsidR="00E655B4">
        <w:rPr>
          <w:spacing w:val="-3"/>
        </w:rPr>
        <w:t xml:space="preserve"> </w:t>
      </w:r>
      <w:r w:rsidR="00E655B4">
        <w:t>[...].</w:t>
      </w:r>
      <w:r w:rsidR="00E655B4">
        <w:rPr>
          <w:spacing w:val="-3"/>
        </w:rPr>
        <w:t xml:space="preserve"> </w:t>
      </w:r>
      <w:r w:rsidR="00E655B4">
        <w:t>São</w:t>
      </w:r>
      <w:r w:rsidR="00E655B4">
        <w:rPr>
          <w:spacing w:val="-3"/>
        </w:rPr>
        <w:t xml:space="preserve"> </w:t>
      </w:r>
      <w:r w:rsidR="00E655B4">
        <w:t>Paulo</w:t>
      </w:r>
      <w:r w:rsidR="00E655B4">
        <w:rPr>
          <w:spacing w:val="-6"/>
        </w:rPr>
        <w:t xml:space="preserve"> </w:t>
      </w:r>
      <w:r w:rsidR="00E655B4">
        <w:t>(SP):</w:t>
      </w:r>
      <w:r w:rsidR="00E655B4">
        <w:rPr>
          <w:spacing w:val="-2"/>
        </w:rPr>
        <w:t xml:space="preserve"> </w:t>
      </w:r>
      <w:r w:rsidR="00E655B4">
        <w:t>Diário</w:t>
      </w:r>
      <w:r w:rsidR="00E655B4">
        <w:rPr>
          <w:spacing w:val="-3"/>
        </w:rPr>
        <w:t xml:space="preserve"> </w:t>
      </w:r>
      <w:r w:rsidR="00E655B4">
        <w:t>Oficial</w:t>
      </w:r>
      <w:r w:rsidR="00E655B4">
        <w:rPr>
          <w:spacing w:val="-2"/>
        </w:rPr>
        <w:t xml:space="preserve"> </w:t>
      </w:r>
      <w:r w:rsidR="00E655B4">
        <w:t>do</w:t>
      </w:r>
      <w:r w:rsidR="00E655B4">
        <w:rPr>
          <w:spacing w:val="-6"/>
        </w:rPr>
        <w:t xml:space="preserve"> </w:t>
      </w:r>
      <w:r w:rsidR="00E655B4">
        <w:t>Município,</w:t>
      </w:r>
      <w:r w:rsidR="00E655B4">
        <w:rPr>
          <w:spacing w:val="-2"/>
        </w:rPr>
        <w:t xml:space="preserve"> 2022.</w:t>
      </w:r>
    </w:p>
    <w:p w:rsidR="007259F2" w:rsidRDefault="00E655B4">
      <w:pPr>
        <w:spacing w:before="119"/>
        <w:ind w:left="710"/>
      </w:pPr>
      <w:r>
        <w:t>SÃO</w:t>
      </w:r>
      <w:r>
        <w:rPr>
          <w:spacing w:val="18"/>
        </w:rPr>
        <w:t xml:space="preserve"> </w:t>
      </w:r>
      <w:r>
        <w:t>PAULO</w:t>
      </w:r>
      <w:r>
        <w:rPr>
          <w:spacing w:val="20"/>
        </w:rPr>
        <w:t xml:space="preserve"> </w:t>
      </w:r>
      <w:r>
        <w:t>(SP).</w:t>
      </w:r>
      <w:r>
        <w:rPr>
          <w:spacing w:val="22"/>
        </w:rPr>
        <w:t xml:space="preserve"> </w:t>
      </w:r>
      <w:r>
        <w:rPr>
          <w:b/>
        </w:rPr>
        <w:t>LEI</w:t>
      </w:r>
      <w:r>
        <w:rPr>
          <w:b/>
          <w:spacing w:val="21"/>
        </w:rPr>
        <w:t xml:space="preserve"> </w:t>
      </w:r>
      <w:r>
        <w:rPr>
          <w:b/>
        </w:rPr>
        <w:t>Nº</w:t>
      </w:r>
      <w:r>
        <w:rPr>
          <w:b/>
          <w:spacing w:val="21"/>
        </w:rPr>
        <w:t xml:space="preserve"> </w:t>
      </w:r>
      <w:r>
        <w:rPr>
          <w:b/>
        </w:rPr>
        <w:t>17.832,</w:t>
      </w:r>
      <w:r>
        <w:rPr>
          <w:b/>
          <w:spacing w:val="22"/>
        </w:rPr>
        <w:t xml:space="preserve"> </w:t>
      </w:r>
      <w:r>
        <w:rPr>
          <w:b/>
        </w:rPr>
        <w:t>DE</w:t>
      </w:r>
      <w:r>
        <w:rPr>
          <w:b/>
          <w:spacing w:val="21"/>
        </w:rPr>
        <w:t xml:space="preserve"> </w:t>
      </w:r>
      <w:r>
        <w:rPr>
          <w:b/>
        </w:rPr>
        <w:t>8</w:t>
      </w:r>
      <w:r>
        <w:rPr>
          <w:b/>
          <w:spacing w:val="20"/>
        </w:rPr>
        <w:t xml:space="preserve"> </w:t>
      </w:r>
      <w:r>
        <w:rPr>
          <w:b/>
        </w:rPr>
        <w:t>DE</w:t>
      </w:r>
      <w:r>
        <w:rPr>
          <w:b/>
          <w:spacing w:val="21"/>
        </w:rPr>
        <w:t xml:space="preserve"> </w:t>
      </w:r>
      <w:r>
        <w:rPr>
          <w:b/>
        </w:rPr>
        <w:t>JULHO</w:t>
      </w:r>
      <w:r>
        <w:rPr>
          <w:b/>
          <w:spacing w:val="20"/>
        </w:rPr>
        <w:t xml:space="preserve"> </w:t>
      </w:r>
      <w:r>
        <w:rPr>
          <w:b/>
        </w:rPr>
        <w:t>DE</w:t>
      </w:r>
      <w:r>
        <w:rPr>
          <w:b/>
          <w:spacing w:val="21"/>
        </w:rPr>
        <w:t xml:space="preserve"> </w:t>
      </w:r>
      <w:r>
        <w:rPr>
          <w:b/>
        </w:rPr>
        <w:t>2022</w:t>
      </w:r>
      <w:r>
        <w:t>.</w:t>
      </w:r>
      <w:r>
        <w:rPr>
          <w:spacing w:val="20"/>
        </w:rPr>
        <w:t xml:space="preserve"> </w:t>
      </w:r>
      <w:r>
        <w:t>Denomina</w:t>
      </w:r>
      <w:r>
        <w:rPr>
          <w:spacing w:val="19"/>
        </w:rPr>
        <w:t xml:space="preserve"> </w:t>
      </w:r>
      <w:r>
        <w:t>CEC</w:t>
      </w:r>
      <w:r>
        <w:rPr>
          <w:spacing w:val="20"/>
        </w:rPr>
        <w:t xml:space="preserve"> </w:t>
      </w:r>
      <w:r>
        <w:t>Eliane</w:t>
      </w:r>
      <w:r>
        <w:rPr>
          <w:spacing w:val="20"/>
        </w:rPr>
        <w:t xml:space="preserve"> </w:t>
      </w:r>
      <w:r>
        <w:rPr>
          <w:spacing w:val="-2"/>
        </w:rPr>
        <w:t>Machado</w:t>
      </w:r>
    </w:p>
    <w:p w:rsidR="007259F2" w:rsidRDefault="00E655B4">
      <w:pPr>
        <w:spacing w:before="1"/>
        <w:ind w:left="710"/>
      </w:pPr>
      <w:r>
        <w:t>[...]</w:t>
      </w:r>
      <w:r>
        <w:rPr>
          <w:spacing w:val="-3"/>
        </w:rPr>
        <w:t xml:space="preserve"> </w:t>
      </w:r>
      <w:r>
        <w:t>São</w:t>
      </w:r>
      <w:r>
        <w:rPr>
          <w:spacing w:val="-3"/>
        </w:rPr>
        <w:t xml:space="preserve"> </w:t>
      </w:r>
      <w:r>
        <w:t>Paulo</w:t>
      </w:r>
      <w:r>
        <w:rPr>
          <w:spacing w:val="-6"/>
        </w:rPr>
        <w:t xml:space="preserve"> </w:t>
      </w:r>
      <w:r>
        <w:t>(SP):</w:t>
      </w:r>
      <w:r>
        <w:rPr>
          <w:spacing w:val="-2"/>
        </w:rPr>
        <w:t xml:space="preserve"> </w:t>
      </w:r>
      <w:r>
        <w:t>Diário</w:t>
      </w:r>
      <w:r>
        <w:rPr>
          <w:spacing w:val="-7"/>
        </w:rPr>
        <w:t xml:space="preserve"> </w:t>
      </w:r>
      <w:r>
        <w:t>Oficial</w:t>
      </w:r>
      <w:r>
        <w:rPr>
          <w:spacing w:val="-4"/>
        </w:rPr>
        <w:t xml:space="preserve"> </w:t>
      </w:r>
      <w:r>
        <w:t>do</w:t>
      </w:r>
      <w:r>
        <w:rPr>
          <w:spacing w:val="-3"/>
        </w:rPr>
        <w:t xml:space="preserve"> </w:t>
      </w:r>
      <w:r>
        <w:t>Município,</w:t>
      </w:r>
      <w:r>
        <w:rPr>
          <w:spacing w:val="-2"/>
        </w:rPr>
        <w:t xml:space="preserve"> 2022.</w:t>
      </w:r>
    </w:p>
    <w:p w:rsidR="007259F2" w:rsidRDefault="00E655B4">
      <w:pPr>
        <w:spacing w:before="119"/>
        <w:ind w:left="710"/>
      </w:pPr>
      <w:r>
        <w:t>SÃO</w:t>
      </w:r>
      <w:r>
        <w:rPr>
          <w:spacing w:val="35"/>
        </w:rPr>
        <w:t xml:space="preserve"> </w:t>
      </w:r>
      <w:r>
        <w:t>PAULO</w:t>
      </w:r>
      <w:r>
        <w:rPr>
          <w:spacing w:val="34"/>
        </w:rPr>
        <w:t xml:space="preserve"> </w:t>
      </w:r>
      <w:r>
        <w:t>(SP).</w:t>
      </w:r>
      <w:r>
        <w:rPr>
          <w:spacing w:val="37"/>
        </w:rPr>
        <w:t xml:space="preserve"> </w:t>
      </w:r>
      <w:r>
        <w:rPr>
          <w:b/>
        </w:rPr>
        <w:t>LEI</w:t>
      </w:r>
      <w:r>
        <w:rPr>
          <w:b/>
          <w:spacing w:val="31"/>
        </w:rPr>
        <w:t xml:space="preserve"> </w:t>
      </w:r>
      <w:r>
        <w:rPr>
          <w:b/>
        </w:rPr>
        <w:t>Nº</w:t>
      </w:r>
      <w:r>
        <w:rPr>
          <w:b/>
          <w:spacing w:val="35"/>
        </w:rPr>
        <w:t xml:space="preserve"> </w:t>
      </w:r>
      <w:r>
        <w:rPr>
          <w:b/>
        </w:rPr>
        <w:t>17.831,</w:t>
      </w:r>
      <w:r>
        <w:rPr>
          <w:b/>
          <w:spacing w:val="36"/>
        </w:rPr>
        <w:t xml:space="preserve"> </w:t>
      </w:r>
      <w:r>
        <w:rPr>
          <w:b/>
        </w:rPr>
        <w:t>DE</w:t>
      </w:r>
      <w:r>
        <w:rPr>
          <w:b/>
          <w:spacing w:val="33"/>
        </w:rPr>
        <w:t xml:space="preserve"> </w:t>
      </w:r>
      <w:r>
        <w:rPr>
          <w:b/>
        </w:rPr>
        <w:t>8</w:t>
      </w:r>
      <w:r>
        <w:rPr>
          <w:b/>
          <w:spacing w:val="36"/>
        </w:rPr>
        <w:t xml:space="preserve"> </w:t>
      </w:r>
      <w:r>
        <w:rPr>
          <w:b/>
        </w:rPr>
        <w:t>DE</w:t>
      </w:r>
      <w:r>
        <w:rPr>
          <w:b/>
          <w:spacing w:val="35"/>
        </w:rPr>
        <w:t xml:space="preserve"> </w:t>
      </w:r>
      <w:r>
        <w:rPr>
          <w:b/>
        </w:rPr>
        <w:t>JULHO</w:t>
      </w:r>
      <w:r>
        <w:rPr>
          <w:b/>
          <w:spacing w:val="35"/>
        </w:rPr>
        <w:t xml:space="preserve"> </w:t>
      </w:r>
      <w:r>
        <w:rPr>
          <w:b/>
        </w:rPr>
        <w:t>DE</w:t>
      </w:r>
      <w:r>
        <w:rPr>
          <w:b/>
          <w:spacing w:val="35"/>
        </w:rPr>
        <w:t xml:space="preserve"> </w:t>
      </w:r>
      <w:r>
        <w:rPr>
          <w:b/>
        </w:rPr>
        <w:t>2022</w:t>
      </w:r>
      <w:r>
        <w:t>.</w:t>
      </w:r>
      <w:r>
        <w:rPr>
          <w:spacing w:val="33"/>
        </w:rPr>
        <w:t xml:space="preserve"> </w:t>
      </w:r>
      <w:r>
        <w:t>Denomina</w:t>
      </w:r>
      <w:r>
        <w:rPr>
          <w:spacing w:val="36"/>
        </w:rPr>
        <w:t xml:space="preserve"> </w:t>
      </w:r>
      <w:r>
        <w:t>Casa</w:t>
      </w:r>
      <w:r>
        <w:rPr>
          <w:spacing w:val="36"/>
        </w:rPr>
        <w:t xml:space="preserve"> </w:t>
      </w:r>
      <w:r>
        <w:t>de</w:t>
      </w:r>
      <w:r>
        <w:rPr>
          <w:spacing w:val="34"/>
        </w:rPr>
        <w:t xml:space="preserve"> </w:t>
      </w:r>
      <w:r>
        <w:t>Cultura</w:t>
      </w:r>
      <w:r>
        <w:rPr>
          <w:spacing w:val="36"/>
        </w:rPr>
        <w:t xml:space="preserve"> </w:t>
      </w:r>
      <w:r>
        <w:t>de Campo Limpo [...] São Paulo (SP): Diário Oficial do Município, 2022.</w:t>
      </w:r>
    </w:p>
    <w:p w:rsidR="007259F2" w:rsidRDefault="00E655B4">
      <w:pPr>
        <w:spacing w:before="120"/>
        <w:ind w:left="710"/>
      </w:pPr>
      <w:r>
        <w:t>SÃO</w:t>
      </w:r>
      <w:r>
        <w:rPr>
          <w:spacing w:val="-5"/>
        </w:rPr>
        <w:t xml:space="preserve"> </w:t>
      </w:r>
      <w:r>
        <w:t>PAULO</w:t>
      </w:r>
      <w:r>
        <w:rPr>
          <w:spacing w:val="-4"/>
        </w:rPr>
        <w:t xml:space="preserve"> </w:t>
      </w:r>
      <w:r>
        <w:t>(SP).</w:t>
      </w:r>
      <w:r>
        <w:rPr>
          <w:spacing w:val="-2"/>
        </w:rPr>
        <w:t xml:space="preserve"> </w:t>
      </w:r>
      <w:r>
        <w:rPr>
          <w:b/>
        </w:rPr>
        <w:t>LEI</w:t>
      </w:r>
      <w:r>
        <w:rPr>
          <w:b/>
          <w:spacing w:val="-2"/>
        </w:rPr>
        <w:t xml:space="preserve"> </w:t>
      </w:r>
      <w:r>
        <w:rPr>
          <w:b/>
        </w:rPr>
        <w:t>Nº</w:t>
      </w:r>
      <w:r>
        <w:rPr>
          <w:b/>
          <w:spacing w:val="-4"/>
        </w:rPr>
        <w:t xml:space="preserve"> </w:t>
      </w:r>
      <w:r>
        <w:rPr>
          <w:b/>
        </w:rPr>
        <w:t>17.830,</w:t>
      </w:r>
      <w:r>
        <w:rPr>
          <w:b/>
          <w:spacing w:val="-2"/>
        </w:rPr>
        <w:t xml:space="preserve"> </w:t>
      </w:r>
      <w:r>
        <w:rPr>
          <w:b/>
        </w:rPr>
        <w:t>DE</w:t>
      </w:r>
      <w:r>
        <w:rPr>
          <w:b/>
          <w:spacing w:val="-2"/>
        </w:rPr>
        <w:t xml:space="preserve"> </w:t>
      </w:r>
      <w:r>
        <w:rPr>
          <w:b/>
        </w:rPr>
        <w:t>8</w:t>
      </w:r>
      <w:r>
        <w:rPr>
          <w:b/>
          <w:spacing w:val="-2"/>
        </w:rPr>
        <w:t xml:space="preserve"> </w:t>
      </w:r>
      <w:r>
        <w:rPr>
          <w:b/>
        </w:rPr>
        <w:t>DE</w:t>
      </w:r>
      <w:r>
        <w:rPr>
          <w:b/>
          <w:spacing w:val="-3"/>
        </w:rPr>
        <w:t xml:space="preserve"> </w:t>
      </w:r>
      <w:r>
        <w:rPr>
          <w:b/>
        </w:rPr>
        <w:t>JULHO</w:t>
      </w:r>
      <w:r>
        <w:rPr>
          <w:b/>
          <w:spacing w:val="-4"/>
        </w:rPr>
        <w:t xml:space="preserve"> </w:t>
      </w:r>
      <w:r>
        <w:rPr>
          <w:b/>
        </w:rPr>
        <w:t>DE</w:t>
      </w:r>
      <w:r>
        <w:rPr>
          <w:b/>
          <w:spacing w:val="-3"/>
        </w:rPr>
        <w:t xml:space="preserve"> </w:t>
      </w:r>
      <w:r>
        <w:rPr>
          <w:b/>
        </w:rPr>
        <w:t>2022</w:t>
      </w:r>
      <w:r>
        <w:rPr>
          <w:b/>
          <w:spacing w:val="-1"/>
        </w:rPr>
        <w:t xml:space="preserve"> </w:t>
      </w:r>
      <w:r>
        <w:t>–</w:t>
      </w:r>
      <w:r>
        <w:rPr>
          <w:spacing w:val="-2"/>
        </w:rPr>
        <w:t xml:space="preserve"> </w:t>
      </w:r>
      <w:r>
        <w:t>eficácia</w:t>
      </w:r>
      <w:r>
        <w:rPr>
          <w:spacing w:val="-1"/>
        </w:rPr>
        <w:t xml:space="preserve"> </w:t>
      </w:r>
      <w:r>
        <w:rPr>
          <w:spacing w:val="-2"/>
        </w:rPr>
        <w:t>suspensa</w:t>
      </w:r>
    </w:p>
    <w:p w:rsidR="007259F2" w:rsidRDefault="00E655B4">
      <w:pPr>
        <w:spacing w:before="120"/>
        <w:ind w:left="710"/>
      </w:pPr>
      <w:r>
        <w:t>SÃO</w:t>
      </w:r>
      <w:r>
        <w:rPr>
          <w:spacing w:val="19"/>
        </w:rPr>
        <w:t xml:space="preserve"> </w:t>
      </w:r>
      <w:r>
        <w:t>PAULO</w:t>
      </w:r>
      <w:r>
        <w:rPr>
          <w:spacing w:val="20"/>
        </w:rPr>
        <w:t xml:space="preserve"> </w:t>
      </w:r>
      <w:r>
        <w:t>(SP).</w:t>
      </w:r>
      <w:r>
        <w:rPr>
          <w:spacing w:val="22"/>
        </w:rPr>
        <w:t xml:space="preserve"> </w:t>
      </w:r>
      <w:r>
        <w:rPr>
          <w:b/>
        </w:rPr>
        <w:t>LEI</w:t>
      </w:r>
      <w:r>
        <w:rPr>
          <w:b/>
          <w:spacing w:val="17"/>
        </w:rPr>
        <w:t xml:space="preserve"> </w:t>
      </w:r>
      <w:r>
        <w:rPr>
          <w:b/>
        </w:rPr>
        <w:t>Nº</w:t>
      </w:r>
      <w:r>
        <w:rPr>
          <w:b/>
          <w:spacing w:val="21"/>
        </w:rPr>
        <w:t xml:space="preserve"> </w:t>
      </w:r>
      <w:r>
        <w:rPr>
          <w:b/>
        </w:rPr>
        <w:t>17.829,</w:t>
      </w:r>
      <w:r>
        <w:rPr>
          <w:b/>
          <w:spacing w:val="22"/>
        </w:rPr>
        <w:t xml:space="preserve"> </w:t>
      </w:r>
      <w:r>
        <w:rPr>
          <w:b/>
        </w:rPr>
        <w:t>DE</w:t>
      </w:r>
      <w:r>
        <w:rPr>
          <w:b/>
          <w:spacing w:val="20"/>
        </w:rPr>
        <w:t xml:space="preserve"> </w:t>
      </w:r>
      <w:r>
        <w:rPr>
          <w:b/>
        </w:rPr>
        <w:t>8</w:t>
      </w:r>
      <w:r>
        <w:rPr>
          <w:b/>
          <w:spacing w:val="19"/>
        </w:rPr>
        <w:t xml:space="preserve"> </w:t>
      </w:r>
      <w:r>
        <w:rPr>
          <w:b/>
        </w:rPr>
        <w:t>DE</w:t>
      </w:r>
      <w:r>
        <w:rPr>
          <w:b/>
          <w:spacing w:val="21"/>
        </w:rPr>
        <w:t xml:space="preserve"> </w:t>
      </w:r>
      <w:r>
        <w:rPr>
          <w:b/>
        </w:rPr>
        <w:t>JULHO</w:t>
      </w:r>
      <w:r>
        <w:rPr>
          <w:b/>
          <w:spacing w:val="20"/>
        </w:rPr>
        <w:t xml:space="preserve"> </w:t>
      </w:r>
      <w:r>
        <w:rPr>
          <w:b/>
        </w:rPr>
        <w:t>DE</w:t>
      </w:r>
      <w:r>
        <w:rPr>
          <w:b/>
          <w:spacing w:val="21"/>
        </w:rPr>
        <w:t xml:space="preserve"> </w:t>
      </w:r>
      <w:r>
        <w:rPr>
          <w:b/>
        </w:rPr>
        <w:t>2022</w:t>
      </w:r>
      <w:r>
        <w:t>.</w:t>
      </w:r>
      <w:r>
        <w:rPr>
          <w:spacing w:val="22"/>
        </w:rPr>
        <w:t xml:space="preserve"> </w:t>
      </w:r>
      <w:r>
        <w:t>Altera</w:t>
      </w:r>
      <w:r>
        <w:rPr>
          <w:spacing w:val="19"/>
        </w:rPr>
        <w:t xml:space="preserve"> </w:t>
      </w:r>
      <w:r>
        <w:t>a</w:t>
      </w:r>
      <w:r>
        <w:rPr>
          <w:spacing w:val="22"/>
        </w:rPr>
        <w:t xml:space="preserve"> </w:t>
      </w:r>
      <w:hyperlink r:id="rId266">
        <w:r>
          <w:rPr>
            <w:u w:val="single"/>
          </w:rPr>
          <w:t>Lei</w:t>
        </w:r>
        <w:r>
          <w:rPr>
            <w:spacing w:val="22"/>
            <w:u w:val="single"/>
          </w:rPr>
          <w:t xml:space="preserve"> </w:t>
        </w:r>
        <w:r>
          <w:rPr>
            <w:u w:val="single"/>
          </w:rPr>
          <w:t>nº</w:t>
        </w:r>
        <w:r>
          <w:rPr>
            <w:spacing w:val="22"/>
            <w:u w:val="single"/>
          </w:rPr>
          <w:t xml:space="preserve"> </w:t>
        </w:r>
        <w:r>
          <w:rPr>
            <w:u w:val="single"/>
          </w:rPr>
          <w:t>14.485,</w:t>
        </w:r>
        <w:r>
          <w:rPr>
            <w:spacing w:val="19"/>
            <w:u w:val="single"/>
          </w:rPr>
          <w:t xml:space="preserve"> </w:t>
        </w:r>
        <w:r>
          <w:rPr>
            <w:u w:val="single"/>
          </w:rPr>
          <w:t>de</w:t>
        </w:r>
        <w:r>
          <w:rPr>
            <w:spacing w:val="22"/>
            <w:u w:val="single"/>
          </w:rPr>
          <w:t xml:space="preserve"> </w:t>
        </w:r>
        <w:r>
          <w:rPr>
            <w:u w:val="single"/>
          </w:rPr>
          <w:t>19</w:t>
        </w:r>
        <w:r>
          <w:rPr>
            <w:spacing w:val="22"/>
            <w:u w:val="single"/>
          </w:rPr>
          <w:t xml:space="preserve"> </w:t>
        </w:r>
        <w:r>
          <w:rPr>
            <w:spacing w:val="-5"/>
            <w:u w:val="single"/>
          </w:rPr>
          <w:t>de</w:t>
        </w:r>
      </w:hyperlink>
    </w:p>
    <w:p w:rsidR="007259F2" w:rsidRDefault="00DE6B1C">
      <w:pPr>
        <w:spacing w:before="2"/>
        <w:ind w:left="710"/>
      </w:pPr>
      <w:hyperlink r:id="rId267">
        <w:r w:rsidR="00E655B4">
          <w:rPr>
            <w:u w:val="single"/>
          </w:rPr>
          <w:t>julho</w:t>
        </w:r>
        <w:r w:rsidR="00E655B4">
          <w:rPr>
            <w:spacing w:val="-3"/>
            <w:u w:val="single"/>
          </w:rPr>
          <w:t xml:space="preserve"> </w:t>
        </w:r>
        <w:r w:rsidR="00E655B4">
          <w:rPr>
            <w:u w:val="single"/>
          </w:rPr>
          <w:t>de</w:t>
        </w:r>
        <w:r w:rsidR="00E655B4">
          <w:rPr>
            <w:spacing w:val="-3"/>
            <w:u w:val="single"/>
          </w:rPr>
          <w:t xml:space="preserve"> </w:t>
        </w:r>
        <w:r w:rsidR="00E655B4">
          <w:rPr>
            <w:u w:val="single"/>
          </w:rPr>
          <w:t>2007,</w:t>
        </w:r>
      </w:hyperlink>
      <w:r w:rsidR="00E655B4">
        <w:rPr>
          <w:spacing w:val="-4"/>
        </w:rPr>
        <w:t xml:space="preserve"> </w:t>
      </w:r>
      <w:r w:rsidR="00E655B4">
        <w:t>[...]</w:t>
      </w:r>
      <w:r w:rsidR="00E655B4">
        <w:rPr>
          <w:spacing w:val="-3"/>
        </w:rPr>
        <w:t xml:space="preserve"> </w:t>
      </w:r>
      <w:r w:rsidR="00E655B4">
        <w:t>São</w:t>
      </w:r>
      <w:r w:rsidR="00E655B4">
        <w:rPr>
          <w:spacing w:val="-3"/>
        </w:rPr>
        <w:t xml:space="preserve"> </w:t>
      </w:r>
      <w:r w:rsidR="00E655B4">
        <w:t>Paulo</w:t>
      </w:r>
      <w:r w:rsidR="00E655B4">
        <w:rPr>
          <w:spacing w:val="-3"/>
        </w:rPr>
        <w:t xml:space="preserve"> </w:t>
      </w:r>
      <w:r w:rsidR="00E655B4">
        <w:t>(SP):</w:t>
      </w:r>
      <w:r w:rsidR="00E655B4">
        <w:rPr>
          <w:spacing w:val="-2"/>
        </w:rPr>
        <w:t xml:space="preserve"> </w:t>
      </w:r>
      <w:r w:rsidR="00E655B4">
        <w:t>Diário</w:t>
      </w:r>
      <w:r w:rsidR="00E655B4">
        <w:rPr>
          <w:spacing w:val="-3"/>
        </w:rPr>
        <w:t xml:space="preserve"> </w:t>
      </w:r>
      <w:r w:rsidR="00E655B4">
        <w:t>Oficial</w:t>
      </w:r>
      <w:r w:rsidR="00E655B4">
        <w:rPr>
          <w:spacing w:val="-2"/>
        </w:rPr>
        <w:t xml:space="preserve"> </w:t>
      </w:r>
      <w:r w:rsidR="00E655B4">
        <w:t>do</w:t>
      </w:r>
      <w:r w:rsidR="00E655B4">
        <w:rPr>
          <w:spacing w:val="-5"/>
        </w:rPr>
        <w:t xml:space="preserve"> </w:t>
      </w:r>
      <w:r w:rsidR="00E655B4">
        <w:t>Município,</w:t>
      </w:r>
      <w:r w:rsidR="00E655B4">
        <w:rPr>
          <w:spacing w:val="-3"/>
        </w:rPr>
        <w:t xml:space="preserve"> </w:t>
      </w:r>
      <w:r w:rsidR="00E655B4">
        <w:rPr>
          <w:spacing w:val="-2"/>
        </w:rPr>
        <w:t>2022.</w:t>
      </w:r>
    </w:p>
    <w:p w:rsidR="007259F2" w:rsidRDefault="00E655B4">
      <w:pPr>
        <w:spacing w:before="119"/>
        <w:ind w:left="710"/>
      </w:pPr>
      <w:r>
        <w:t>SÃO</w:t>
      </w:r>
      <w:r>
        <w:rPr>
          <w:spacing w:val="-3"/>
        </w:rPr>
        <w:t xml:space="preserve"> </w:t>
      </w:r>
      <w:r>
        <w:t>PAULO</w:t>
      </w:r>
      <w:r>
        <w:rPr>
          <w:spacing w:val="2"/>
        </w:rPr>
        <w:t xml:space="preserve"> </w:t>
      </w:r>
      <w:r>
        <w:t>(SP).</w:t>
      </w:r>
      <w:r>
        <w:rPr>
          <w:spacing w:val="2"/>
        </w:rPr>
        <w:t xml:space="preserve"> </w:t>
      </w:r>
      <w:r>
        <w:rPr>
          <w:b/>
        </w:rPr>
        <w:t>LEI</w:t>
      </w:r>
      <w:r>
        <w:rPr>
          <w:b/>
          <w:spacing w:val="1"/>
        </w:rPr>
        <w:t xml:space="preserve"> </w:t>
      </w:r>
      <w:r>
        <w:rPr>
          <w:b/>
        </w:rPr>
        <w:t>Nº 17.828,</w:t>
      </w:r>
      <w:r>
        <w:rPr>
          <w:b/>
          <w:spacing w:val="1"/>
        </w:rPr>
        <w:t xml:space="preserve"> </w:t>
      </w:r>
      <w:r>
        <w:rPr>
          <w:b/>
        </w:rPr>
        <w:t>DE 8</w:t>
      </w:r>
      <w:r>
        <w:rPr>
          <w:b/>
          <w:spacing w:val="1"/>
        </w:rPr>
        <w:t xml:space="preserve"> </w:t>
      </w:r>
      <w:r>
        <w:rPr>
          <w:b/>
        </w:rPr>
        <w:t>DE JULHO</w:t>
      </w:r>
      <w:r>
        <w:rPr>
          <w:b/>
          <w:spacing w:val="1"/>
        </w:rPr>
        <w:t xml:space="preserve"> </w:t>
      </w:r>
      <w:r>
        <w:rPr>
          <w:b/>
        </w:rPr>
        <w:t>DE 2022</w:t>
      </w:r>
      <w:r>
        <w:t>.</w:t>
      </w:r>
      <w:r>
        <w:rPr>
          <w:spacing w:val="1"/>
        </w:rPr>
        <w:t xml:space="preserve"> </w:t>
      </w:r>
      <w:r>
        <w:t>Altera</w:t>
      </w:r>
      <w:r>
        <w:rPr>
          <w:spacing w:val="1"/>
        </w:rPr>
        <w:t xml:space="preserve"> </w:t>
      </w:r>
      <w:r>
        <w:t>a</w:t>
      </w:r>
      <w:r>
        <w:rPr>
          <w:spacing w:val="2"/>
        </w:rPr>
        <w:t xml:space="preserve"> </w:t>
      </w:r>
      <w:hyperlink r:id="rId268">
        <w:r>
          <w:rPr>
            <w:u w:val="single"/>
          </w:rPr>
          <w:t>Lei</w:t>
        </w:r>
        <w:r>
          <w:rPr>
            <w:spacing w:val="2"/>
            <w:u w:val="single"/>
          </w:rPr>
          <w:t xml:space="preserve"> </w:t>
        </w:r>
        <w:r>
          <w:rPr>
            <w:u w:val="single"/>
          </w:rPr>
          <w:t>nº 17.585,</w:t>
        </w:r>
        <w:r>
          <w:rPr>
            <w:spacing w:val="1"/>
            <w:u w:val="single"/>
          </w:rPr>
          <w:t xml:space="preserve"> </w:t>
        </w:r>
        <w:r>
          <w:rPr>
            <w:u w:val="single"/>
          </w:rPr>
          <w:t>de</w:t>
        </w:r>
        <w:r>
          <w:rPr>
            <w:spacing w:val="1"/>
            <w:u w:val="single"/>
          </w:rPr>
          <w:t xml:space="preserve"> </w:t>
        </w:r>
        <w:r>
          <w:rPr>
            <w:u w:val="single"/>
          </w:rPr>
          <w:t>2021,</w:t>
        </w:r>
      </w:hyperlink>
      <w:r>
        <w:rPr>
          <w:spacing w:val="3"/>
        </w:rPr>
        <w:t xml:space="preserve"> </w:t>
      </w:r>
      <w:r>
        <w:rPr>
          <w:spacing w:val="-2"/>
        </w:rPr>
        <w:t>[...]</w:t>
      </w:r>
    </w:p>
    <w:p w:rsidR="007259F2" w:rsidRDefault="00E655B4">
      <w:pPr>
        <w:spacing w:before="1"/>
        <w:ind w:left="710"/>
      </w:pPr>
      <w:r>
        <w:t>São</w:t>
      </w:r>
      <w:r>
        <w:rPr>
          <w:spacing w:val="-4"/>
        </w:rPr>
        <w:t xml:space="preserve"> </w:t>
      </w:r>
      <w:r>
        <w:t>Paulo</w:t>
      </w:r>
      <w:r>
        <w:rPr>
          <w:spacing w:val="-3"/>
        </w:rPr>
        <w:t xml:space="preserve"> </w:t>
      </w:r>
      <w:r>
        <w:t>(SP):</w:t>
      </w:r>
      <w:r>
        <w:rPr>
          <w:spacing w:val="-3"/>
        </w:rPr>
        <w:t xml:space="preserve"> </w:t>
      </w:r>
      <w:r>
        <w:t>Diário</w:t>
      </w:r>
      <w:r>
        <w:rPr>
          <w:spacing w:val="-3"/>
        </w:rPr>
        <w:t xml:space="preserve"> </w:t>
      </w:r>
      <w:r>
        <w:t>Oficial</w:t>
      </w:r>
      <w:r>
        <w:rPr>
          <w:spacing w:val="-3"/>
        </w:rPr>
        <w:t xml:space="preserve"> </w:t>
      </w:r>
      <w:r>
        <w:t>do</w:t>
      </w:r>
      <w:r>
        <w:rPr>
          <w:spacing w:val="-6"/>
        </w:rPr>
        <w:t xml:space="preserve"> </w:t>
      </w:r>
      <w:r>
        <w:t>Município,</w:t>
      </w:r>
      <w:r>
        <w:rPr>
          <w:spacing w:val="-6"/>
        </w:rPr>
        <w:t xml:space="preserve"> </w:t>
      </w:r>
      <w:r>
        <w:rPr>
          <w:spacing w:val="-2"/>
        </w:rPr>
        <w:t>2022.</w:t>
      </w:r>
    </w:p>
    <w:p w:rsidR="007259F2" w:rsidRDefault="00E655B4">
      <w:pPr>
        <w:spacing w:before="119"/>
        <w:ind w:left="710"/>
      </w:pPr>
      <w:r>
        <w:t>SÃO</w:t>
      </w:r>
      <w:r>
        <w:rPr>
          <w:spacing w:val="67"/>
        </w:rPr>
        <w:t xml:space="preserve"> </w:t>
      </w:r>
      <w:r>
        <w:t>PAULO</w:t>
      </w:r>
      <w:r>
        <w:rPr>
          <w:spacing w:val="66"/>
        </w:rPr>
        <w:t xml:space="preserve"> </w:t>
      </w:r>
      <w:r>
        <w:t>(SP).</w:t>
      </w:r>
      <w:r>
        <w:rPr>
          <w:spacing w:val="69"/>
        </w:rPr>
        <w:t xml:space="preserve"> </w:t>
      </w:r>
      <w:r>
        <w:rPr>
          <w:b/>
        </w:rPr>
        <w:t>LEI</w:t>
      </w:r>
      <w:r>
        <w:rPr>
          <w:b/>
          <w:spacing w:val="69"/>
        </w:rPr>
        <w:t xml:space="preserve"> </w:t>
      </w:r>
      <w:r>
        <w:rPr>
          <w:b/>
        </w:rPr>
        <w:t>Nº</w:t>
      </w:r>
      <w:r>
        <w:rPr>
          <w:b/>
          <w:spacing w:val="67"/>
        </w:rPr>
        <w:t xml:space="preserve"> </w:t>
      </w:r>
      <w:r>
        <w:rPr>
          <w:b/>
        </w:rPr>
        <w:t>17.827,</w:t>
      </w:r>
      <w:r>
        <w:rPr>
          <w:b/>
          <w:spacing w:val="68"/>
        </w:rPr>
        <w:t xml:space="preserve"> </w:t>
      </w:r>
      <w:r>
        <w:rPr>
          <w:b/>
        </w:rPr>
        <w:t>DE</w:t>
      </w:r>
      <w:r>
        <w:rPr>
          <w:b/>
          <w:spacing w:val="67"/>
        </w:rPr>
        <w:t xml:space="preserve"> </w:t>
      </w:r>
      <w:r>
        <w:rPr>
          <w:b/>
        </w:rPr>
        <w:t>7</w:t>
      </w:r>
      <w:r>
        <w:rPr>
          <w:b/>
          <w:spacing w:val="68"/>
        </w:rPr>
        <w:t xml:space="preserve"> </w:t>
      </w:r>
      <w:r>
        <w:rPr>
          <w:b/>
        </w:rPr>
        <w:t>DE</w:t>
      </w:r>
      <w:r>
        <w:rPr>
          <w:b/>
          <w:spacing w:val="70"/>
        </w:rPr>
        <w:t xml:space="preserve"> </w:t>
      </w:r>
      <w:r>
        <w:rPr>
          <w:b/>
        </w:rPr>
        <w:t>JULHO</w:t>
      </w:r>
      <w:r>
        <w:rPr>
          <w:b/>
          <w:spacing w:val="69"/>
        </w:rPr>
        <w:t xml:space="preserve"> </w:t>
      </w:r>
      <w:r>
        <w:rPr>
          <w:b/>
        </w:rPr>
        <w:t>DE</w:t>
      </w:r>
      <w:r>
        <w:rPr>
          <w:b/>
          <w:spacing w:val="67"/>
        </w:rPr>
        <w:t xml:space="preserve"> </w:t>
      </w:r>
      <w:r>
        <w:rPr>
          <w:b/>
        </w:rPr>
        <w:t>2022</w:t>
      </w:r>
      <w:r>
        <w:t>.</w:t>
      </w:r>
      <w:r>
        <w:rPr>
          <w:spacing w:val="68"/>
        </w:rPr>
        <w:t xml:space="preserve"> </w:t>
      </w:r>
      <w:r>
        <w:t>Dispõe</w:t>
      </w:r>
      <w:r>
        <w:rPr>
          <w:spacing w:val="68"/>
        </w:rPr>
        <w:t xml:space="preserve"> </w:t>
      </w:r>
      <w:r>
        <w:t>sobre</w:t>
      </w:r>
      <w:r>
        <w:rPr>
          <w:spacing w:val="68"/>
        </w:rPr>
        <w:t xml:space="preserve"> </w:t>
      </w:r>
      <w:r>
        <w:t>a</w:t>
      </w:r>
      <w:r>
        <w:rPr>
          <w:spacing w:val="68"/>
        </w:rPr>
        <w:t xml:space="preserve"> </w:t>
      </w:r>
      <w:r>
        <w:t>estrutura, organização e funcionamento [...] São Paulo (SP): Diário Oficial do Município, 2022.</w:t>
      </w:r>
    </w:p>
    <w:p w:rsidR="007259F2" w:rsidRDefault="00E655B4">
      <w:pPr>
        <w:spacing w:before="120" w:line="252" w:lineRule="exact"/>
        <w:ind w:left="710"/>
      </w:pPr>
      <w:r>
        <w:t>SÃO</w:t>
      </w:r>
      <w:r>
        <w:rPr>
          <w:spacing w:val="19"/>
        </w:rPr>
        <w:t xml:space="preserve"> </w:t>
      </w:r>
      <w:r>
        <w:t>PAULO</w:t>
      </w:r>
      <w:r>
        <w:rPr>
          <w:spacing w:val="20"/>
        </w:rPr>
        <w:t xml:space="preserve"> </w:t>
      </w:r>
      <w:r>
        <w:t>(SP).</w:t>
      </w:r>
      <w:r>
        <w:rPr>
          <w:spacing w:val="22"/>
        </w:rPr>
        <w:t xml:space="preserve"> </w:t>
      </w:r>
      <w:r>
        <w:rPr>
          <w:b/>
        </w:rPr>
        <w:t>LEI</w:t>
      </w:r>
      <w:r>
        <w:rPr>
          <w:b/>
          <w:spacing w:val="20"/>
        </w:rPr>
        <w:t xml:space="preserve"> </w:t>
      </w:r>
      <w:r>
        <w:rPr>
          <w:b/>
        </w:rPr>
        <w:t>Nº</w:t>
      </w:r>
      <w:r>
        <w:rPr>
          <w:b/>
          <w:spacing w:val="21"/>
        </w:rPr>
        <w:t xml:space="preserve"> </w:t>
      </w:r>
      <w:r>
        <w:rPr>
          <w:b/>
        </w:rPr>
        <w:t>17.826,</w:t>
      </w:r>
      <w:r>
        <w:rPr>
          <w:b/>
          <w:spacing w:val="22"/>
        </w:rPr>
        <w:t xml:space="preserve"> </w:t>
      </w:r>
      <w:r>
        <w:rPr>
          <w:b/>
        </w:rPr>
        <w:t>DE</w:t>
      </w:r>
      <w:r>
        <w:rPr>
          <w:b/>
          <w:spacing w:val="21"/>
        </w:rPr>
        <w:t xml:space="preserve"> </w:t>
      </w:r>
      <w:r>
        <w:rPr>
          <w:b/>
        </w:rPr>
        <w:t>4</w:t>
      </w:r>
      <w:r>
        <w:rPr>
          <w:b/>
          <w:spacing w:val="19"/>
        </w:rPr>
        <w:t xml:space="preserve"> </w:t>
      </w:r>
      <w:r>
        <w:rPr>
          <w:b/>
        </w:rPr>
        <w:t>DE</w:t>
      </w:r>
      <w:r>
        <w:rPr>
          <w:b/>
          <w:spacing w:val="21"/>
        </w:rPr>
        <w:t xml:space="preserve"> </w:t>
      </w:r>
      <w:r>
        <w:rPr>
          <w:b/>
        </w:rPr>
        <w:t>JULHO</w:t>
      </w:r>
      <w:r>
        <w:rPr>
          <w:b/>
          <w:spacing w:val="20"/>
        </w:rPr>
        <w:t xml:space="preserve"> </w:t>
      </w:r>
      <w:r>
        <w:rPr>
          <w:b/>
        </w:rPr>
        <w:t>DE</w:t>
      </w:r>
      <w:r>
        <w:rPr>
          <w:b/>
          <w:spacing w:val="21"/>
        </w:rPr>
        <w:t xml:space="preserve"> </w:t>
      </w:r>
      <w:r>
        <w:rPr>
          <w:b/>
        </w:rPr>
        <w:t>2022</w:t>
      </w:r>
      <w:r>
        <w:t>.</w:t>
      </w:r>
      <w:r>
        <w:rPr>
          <w:spacing w:val="19"/>
        </w:rPr>
        <w:t xml:space="preserve"> </w:t>
      </w:r>
      <w:r>
        <w:t>Denomina</w:t>
      </w:r>
      <w:r>
        <w:rPr>
          <w:spacing w:val="19"/>
        </w:rPr>
        <w:t xml:space="preserve"> </w:t>
      </w:r>
      <w:r>
        <w:t>Praça</w:t>
      </w:r>
      <w:r>
        <w:rPr>
          <w:spacing w:val="20"/>
        </w:rPr>
        <w:t xml:space="preserve"> </w:t>
      </w:r>
      <w:r>
        <w:t>Gil</w:t>
      </w:r>
      <w:r>
        <w:rPr>
          <w:spacing w:val="22"/>
        </w:rPr>
        <w:t xml:space="preserve"> </w:t>
      </w:r>
      <w:r>
        <w:t>Camilo</w:t>
      </w:r>
      <w:r>
        <w:rPr>
          <w:spacing w:val="19"/>
        </w:rPr>
        <w:t xml:space="preserve"> </w:t>
      </w:r>
      <w:r>
        <w:rPr>
          <w:spacing w:val="-2"/>
        </w:rPr>
        <w:t>[...]</w:t>
      </w:r>
    </w:p>
    <w:p w:rsidR="007259F2" w:rsidRDefault="00E655B4">
      <w:pPr>
        <w:spacing w:line="252" w:lineRule="exact"/>
        <w:ind w:left="710"/>
      </w:pPr>
      <w:r>
        <w:t>São</w:t>
      </w:r>
      <w:r>
        <w:rPr>
          <w:spacing w:val="-4"/>
        </w:rPr>
        <w:t xml:space="preserve"> </w:t>
      </w:r>
      <w:r>
        <w:t>Paulo</w:t>
      </w:r>
      <w:r>
        <w:rPr>
          <w:spacing w:val="-3"/>
        </w:rPr>
        <w:t xml:space="preserve"> </w:t>
      </w:r>
      <w:r>
        <w:t>(SP):</w:t>
      </w:r>
      <w:r>
        <w:rPr>
          <w:spacing w:val="-3"/>
        </w:rPr>
        <w:t xml:space="preserve"> </w:t>
      </w:r>
      <w:r>
        <w:t>Diário</w:t>
      </w:r>
      <w:r>
        <w:rPr>
          <w:spacing w:val="-3"/>
        </w:rPr>
        <w:t xml:space="preserve"> </w:t>
      </w:r>
      <w:r>
        <w:t>Oficial</w:t>
      </w:r>
      <w:r>
        <w:rPr>
          <w:spacing w:val="-3"/>
        </w:rPr>
        <w:t xml:space="preserve"> </w:t>
      </w:r>
      <w:r>
        <w:t>do</w:t>
      </w:r>
      <w:r>
        <w:rPr>
          <w:spacing w:val="-6"/>
        </w:rPr>
        <w:t xml:space="preserve"> </w:t>
      </w:r>
      <w:r>
        <w:t>Município,</w:t>
      </w:r>
      <w:r>
        <w:rPr>
          <w:spacing w:val="-6"/>
        </w:rPr>
        <w:t xml:space="preserve"> </w:t>
      </w:r>
      <w:r>
        <w:rPr>
          <w:spacing w:val="-2"/>
        </w:rPr>
        <w:t>2022.</w:t>
      </w:r>
    </w:p>
    <w:p w:rsidR="007259F2" w:rsidRDefault="00E655B4">
      <w:pPr>
        <w:spacing w:before="122"/>
        <w:ind w:left="710" w:right="561"/>
      </w:pPr>
      <w:r>
        <w:t>SÃO PAULO (SP).</w:t>
      </w:r>
      <w:r>
        <w:rPr>
          <w:spacing w:val="19"/>
        </w:rPr>
        <w:t xml:space="preserve"> </w:t>
      </w:r>
      <w:r>
        <w:rPr>
          <w:b/>
        </w:rPr>
        <w:t>LEI Nº 17.825, DE 4 DE JULHO</w:t>
      </w:r>
      <w:r>
        <w:rPr>
          <w:b/>
          <w:spacing w:val="19"/>
        </w:rPr>
        <w:t xml:space="preserve"> </w:t>
      </w:r>
      <w:r>
        <w:rPr>
          <w:b/>
        </w:rPr>
        <w:t>DE 2022</w:t>
      </w:r>
      <w:r>
        <w:t>. Denomina Praça Angelo Di</w:t>
      </w:r>
      <w:r>
        <w:rPr>
          <w:spacing w:val="19"/>
        </w:rPr>
        <w:t xml:space="preserve"> </w:t>
      </w:r>
      <w:r>
        <w:t>Stasi</w:t>
      </w:r>
      <w:r>
        <w:rPr>
          <w:spacing w:val="40"/>
        </w:rPr>
        <w:t xml:space="preserve"> </w:t>
      </w:r>
      <w:r>
        <w:t>[...] São Paulo (SP): Diário Oficial do Município, 2022.</w:t>
      </w:r>
    </w:p>
    <w:p w:rsidR="007259F2" w:rsidRDefault="00E655B4">
      <w:pPr>
        <w:spacing w:before="118"/>
        <w:ind w:left="710" w:right="422"/>
      </w:pPr>
      <w:r>
        <w:t xml:space="preserve">SÃO PAULO (SP). </w:t>
      </w:r>
      <w:r>
        <w:rPr>
          <w:b/>
        </w:rPr>
        <w:t>LEI Nº 17.824, DE 4 DE JULHO DE 2022</w:t>
      </w:r>
      <w:r>
        <w:t>. Denomina Praça Pedro Nunes Filho [...] São Paulo (SP): Diário Oficial do Município, 2022.</w:t>
      </w:r>
    </w:p>
    <w:p w:rsidR="007259F2" w:rsidRDefault="007259F2">
      <w:pPr>
        <w:sectPr w:rsidR="007259F2">
          <w:pgSz w:w="11910" w:h="16840"/>
          <w:pgMar w:top="1600" w:right="708" w:bottom="1020" w:left="992" w:header="0" w:footer="820" w:gutter="0"/>
          <w:cols w:space="720"/>
        </w:sectPr>
      </w:pPr>
    </w:p>
    <w:p w:rsidR="007259F2" w:rsidRDefault="00E655B4">
      <w:pPr>
        <w:spacing w:before="77"/>
        <w:ind w:left="710" w:right="421"/>
        <w:jc w:val="both"/>
      </w:pPr>
      <w:r>
        <w:lastRenderedPageBreak/>
        <w:t xml:space="preserve">SÃO PAULO (SP). </w:t>
      </w:r>
      <w:r>
        <w:rPr>
          <w:b/>
        </w:rPr>
        <w:t>LEI Nº 17.823, DE 4 DE JULHO DE 2022</w:t>
      </w:r>
      <w:r>
        <w:t>. Inclui no Calendário de Eventos da Cidade</w:t>
      </w:r>
      <w:r>
        <w:rPr>
          <w:spacing w:val="-2"/>
        </w:rPr>
        <w:t xml:space="preserve"> </w:t>
      </w:r>
      <w:r>
        <w:t>de São Paulo a</w:t>
      </w:r>
      <w:r>
        <w:rPr>
          <w:spacing w:val="-2"/>
        </w:rPr>
        <w:t xml:space="preserve"> </w:t>
      </w:r>
      <w:r>
        <w:t>Semana de</w:t>
      </w:r>
      <w:r>
        <w:rPr>
          <w:spacing w:val="-2"/>
        </w:rPr>
        <w:t xml:space="preserve"> </w:t>
      </w:r>
      <w:r>
        <w:t>Reflexão sobre Questões Raciais</w:t>
      </w:r>
      <w:r>
        <w:rPr>
          <w:spacing w:val="-2"/>
        </w:rPr>
        <w:t xml:space="preserve"> </w:t>
      </w:r>
      <w:r>
        <w:t>[...]</w:t>
      </w:r>
      <w:r>
        <w:rPr>
          <w:spacing w:val="-2"/>
        </w:rPr>
        <w:t xml:space="preserve"> </w:t>
      </w:r>
      <w:r>
        <w:t>São Paulo (SP): Diário Oficial do Município, 2022.</w:t>
      </w:r>
    </w:p>
    <w:p w:rsidR="007259F2" w:rsidRDefault="00E655B4">
      <w:pPr>
        <w:spacing w:before="120" w:line="252" w:lineRule="exact"/>
        <w:ind w:left="710"/>
      </w:pPr>
      <w:r>
        <w:t>SÃO</w:t>
      </w:r>
      <w:r>
        <w:rPr>
          <w:spacing w:val="19"/>
        </w:rPr>
        <w:t xml:space="preserve"> </w:t>
      </w:r>
      <w:r>
        <w:t>PAULO</w:t>
      </w:r>
      <w:r>
        <w:rPr>
          <w:spacing w:val="20"/>
        </w:rPr>
        <w:t xml:space="preserve"> </w:t>
      </w:r>
      <w:r>
        <w:t>(SP).</w:t>
      </w:r>
      <w:r>
        <w:rPr>
          <w:spacing w:val="22"/>
        </w:rPr>
        <w:t xml:space="preserve"> </w:t>
      </w:r>
      <w:r>
        <w:rPr>
          <w:b/>
        </w:rPr>
        <w:t>LEI</w:t>
      </w:r>
      <w:r>
        <w:rPr>
          <w:b/>
          <w:spacing w:val="17"/>
        </w:rPr>
        <w:t xml:space="preserve"> </w:t>
      </w:r>
      <w:r>
        <w:rPr>
          <w:b/>
        </w:rPr>
        <w:t>Nº</w:t>
      </w:r>
      <w:r>
        <w:rPr>
          <w:b/>
          <w:spacing w:val="21"/>
        </w:rPr>
        <w:t xml:space="preserve"> </w:t>
      </w:r>
      <w:r>
        <w:rPr>
          <w:b/>
        </w:rPr>
        <w:t>17.822,</w:t>
      </w:r>
      <w:r>
        <w:rPr>
          <w:b/>
          <w:spacing w:val="22"/>
        </w:rPr>
        <w:t xml:space="preserve"> </w:t>
      </w:r>
      <w:r>
        <w:rPr>
          <w:b/>
        </w:rPr>
        <w:t>DE</w:t>
      </w:r>
      <w:r>
        <w:rPr>
          <w:b/>
          <w:spacing w:val="20"/>
        </w:rPr>
        <w:t xml:space="preserve"> </w:t>
      </w:r>
      <w:r>
        <w:rPr>
          <w:b/>
        </w:rPr>
        <w:t>4</w:t>
      </w:r>
      <w:r>
        <w:rPr>
          <w:b/>
          <w:spacing w:val="19"/>
        </w:rPr>
        <w:t xml:space="preserve"> </w:t>
      </w:r>
      <w:r>
        <w:rPr>
          <w:b/>
        </w:rPr>
        <w:t>DE</w:t>
      </w:r>
      <w:r>
        <w:rPr>
          <w:b/>
          <w:spacing w:val="21"/>
        </w:rPr>
        <w:t xml:space="preserve"> </w:t>
      </w:r>
      <w:r>
        <w:rPr>
          <w:b/>
        </w:rPr>
        <w:t>JULHO</w:t>
      </w:r>
      <w:r>
        <w:rPr>
          <w:b/>
          <w:spacing w:val="20"/>
        </w:rPr>
        <w:t xml:space="preserve"> </w:t>
      </w:r>
      <w:r>
        <w:rPr>
          <w:b/>
        </w:rPr>
        <w:t>DE</w:t>
      </w:r>
      <w:r>
        <w:rPr>
          <w:b/>
          <w:spacing w:val="21"/>
        </w:rPr>
        <w:t xml:space="preserve"> </w:t>
      </w:r>
      <w:r>
        <w:rPr>
          <w:b/>
        </w:rPr>
        <w:t>2022</w:t>
      </w:r>
      <w:r>
        <w:t>.</w:t>
      </w:r>
      <w:r>
        <w:rPr>
          <w:spacing w:val="22"/>
        </w:rPr>
        <w:t xml:space="preserve"> </w:t>
      </w:r>
      <w:r>
        <w:t>Altera</w:t>
      </w:r>
      <w:r>
        <w:rPr>
          <w:spacing w:val="19"/>
        </w:rPr>
        <w:t xml:space="preserve"> </w:t>
      </w:r>
      <w:r>
        <w:t>a</w:t>
      </w:r>
      <w:r>
        <w:rPr>
          <w:spacing w:val="22"/>
        </w:rPr>
        <w:t xml:space="preserve"> </w:t>
      </w:r>
      <w:hyperlink r:id="rId269">
        <w:r>
          <w:rPr>
            <w:u w:val="single"/>
          </w:rPr>
          <w:t>Lei</w:t>
        </w:r>
        <w:r>
          <w:rPr>
            <w:spacing w:val="22"/>
            <w:u w:val="single"/>
          </w:rPr>
          <w:t xml:space="preserve"> </w:t>
        </w:r>
        <w:r>
          <w:rPr>
            <w:u w:val="single"/>
          </w:rPr>
          <w:t>nº</w:t>
        </w:r>
        <w:r>
          <w:rPr>
            <w:spacing w:val="22"/>
            <w:u w:val="single"/>
          </w:rPr>
          <w:t xml:space="preserve"> </w:t>
        </w:r>
        <w:r>
          <w:rPr>
            <w:u w:val="single"/>
          </w:rPr>
          <w:t>14.485,</w:t>
        </w:r>
        <w:r>
          <w:rPr>
            <w:spacing w:val="19"/>
            <w:u w:val="single"/>
          </w:rPr>
          <w:t xml:space="preserve"> </w:t>
        </w:r>
        <w:r>
          <w:rPr>
            <w:u w:val="single"/>
          </w:rPr>
          <w:t>de</w:t>
        </w:r>
        <w:r>
          <w:rPr>
            <w:spacing w:val="22"/>
            <w:u w:val="single"/>
          </w:rPr>
          <w:t xml:space="preserve"> </w:t>
        </w:r>
        <w:r>
          <w:rPr>
            <w:u w:val="single"/>
          </w:rPr>
          <w:t>19</w:t>
        </w:r>
        <w:r>
          <w:rPr>
            <w:spacing w:val="22"/>
            <w:u w:val="single"/>
          </w:rPr>
          <w:t xml:space="preserve"> </w:t>
        </w:r>
        <w:r>
          <w:rPr>
            <w:spacing w:val="-5"/>
            <w:u w:val="single"/>
          </w:rPr>
          <w:t>de</w:t>
        </w:r>
      </w:hyperlink>
    </w:p>
    <w:p w:rsidR="007259F2" w:rsidRDefault="00DE6B1C">
      <w:pPr>
        <w:spacing w:line="252" w:lineRule="exact"/>
        <w:ind w:left="710"/>
      </w:pPr>
      <w:hyperlink r:id="rId270">
        <w:r w:rsidR="00E655B4">
          <w:rPr>
            <w:u w:val="single"/>
          </w:rPr>
          <w:t>julho</w:t>
        </w:r>
        <w:r w:rsidR="00E655B4">
          <w:rPr>
            <w:spacing w:val="-4"/>
            <w:u w:val="single"/>
          </w:rPr>
          <w:t xml:space="preserve"> </w:t>
        </w:r>
        <w:r w:rsidR="00E655B4">
          <w:rPr>
            <w:u w:val="single"/>
          </w:rPr>
          <w:t>de</w:t>
        </w:r>
        <w:r w:rsidR="00E655B4">
          <w:rPr>
            <w:spacing w:val="-4"/>
            <w:u w:val="single"/>
          </w:rPr>
          <w:t xml:space="preserve"> </w:t>
        </w:r>
        <w:r w:rsidR="00E655B4">
          <w:rPr>
            <w:u w:val="single"/>
          </w:rPr>
          <w:t>2007,</w:t>
        </w:r>
      </w:hyperlink>
      <w:r w:rsidR="00E655B4">
        <w:rPr>
          <w:spacing w:val="-4"/>
        </w:rPr>
        <w:t xml:space="preserve"> </w:t>
      </w:r>
      <w:r w:rsidR="00E655B4">
        <w:t>[...]São</w:t>
      </w:r>
      <w:r w:rsidR="00E655B4">
        <w:rPr>
          <w:spacing w:val="-4"/>
        </w:rPr>
        <w:t xml:space="preserve"> </w:t>
      </w:r>
      <w:r w:rsidR="00E655B4">
        <w:t>Paulo</w:t>
      </w:r>
      <w:r w:rsidR="00E655B4">
        <w:rPr>
          <w:spacing w:val="-3"/>
        </w:rPr>
        <w:t xml:space="preserve"> </w:t>
      </w:r>
      <w:r w:rsidR="00E655B4">
        <w:t>(SP):</w:t>
      </w:r>
      <w:r w:rsidR="00E655B4">
        <w:rPr>
          <w:spacing w:val="-3"/>
        </w:rPr>
        <w:t xml:space="preserve"> </w:t>
      </w:r>
      <w:r w:rsidR="00E655B4">
        <w:t>Diário</w:t>
      </w:r>
      <w:r w:rsidR="00E655B4">
        <w:rPr>
          <w:spacing w:val="-4"/>
        </w:rPr>
        <w:t xml:space="preserve"> </w:t>
      </w:r>
      <w:r w:rsidR="00E655B4">
        <w:t>Oficial</w:t>
      </w:r>
      <w:r w:rsidR="00E655B4">
        <w:rPr>
          <w:spacing w:val="-3"/>
        </w:rPr>
        <w:t xml:space="preserve"> </w:t>
      </w:r>
      <w:r w:rsidR="00E655B4">
        <w:t>do</w:t>
      </w:r>
      <w:r w:rsidR="00E655B4">
        <w:rPr>
          <w:spacing w:val="-4"/>
        </w:rPr>
        <w:t xml:space="preserve"> </w:t>
      </w:r>
      <w:r w:rsidR="00E655B4">
        <w:t>Município,</w:t>
      </w:r>
      <w:r w:rsidR="00E655B4">
        <w:rPr>
          <w:spacing w:val="-3"/>
        </w:rPr>
        <w:t xml:space="preserve"> </w:t>
      </w:r>
      <w:r w:rsidR="00E655B4">
        <w:rPr>
          <w:spacing w:val="-2"/>
        </w:rPr>
        <w:t>2022.</w:t>
      </w:r>
    </w:p>
    <w:p w:rsidR="007259F2" w:rsidRDefault="00E655B4">
      <w:pPr>
        <w:spacing w:before="121"/>
        <w:ind w:left="710"/>
      </w:pPr>
      <w:r>
        <w:t>SÃO</w:t>
      </w:r>
      <w:r>
        <w:rPr>
          <w:spacing w:val="19"/>
        </w:rPr>
        <w:t xml:space="preserve"> </w:t>
      </w:r>
      <w:r>
        <w:t>PAULO</w:t>
      </w:r>
      <w:r>
        <w:rPr>
          <w:spacing w:val="19"/>
        </w:rPr>
        <w:t xml:space="preserve"> </w:t>
      </w:r>
      <w:r>
        <w:t>(SP).</w:t>
      </w:r>
      <w:r>
        <w:rPr>
          <w:spacing w:val="21"/>
        </w:rPr>
        <w:t xml:space="preserve"> </w:t>
      </w:r>
      <w:r>
        <w:rPr>
          <w:b/>
        </w:rPr>
        <w:t>LEI</w:t>
      </w:r>
      <w:r>
        <w:rPr>
          <w:b/>
          <w:spacing w:val="18"/>
        </w:rPr>
        <w:t xml:space="preserve"> </w:t>
      </w:r>
      <w:r>
        <w:rPr>
          <w:b/>
        </w:rPr>
        <w:t>Nº</w:t>
      </w:r>
      <w:r>
        <w:rPr>
          <w:b/>
          <w:spacing w:val="19"/>
        </w:rPr>
        <w:t xml:space="preserve"> </w:t>
      </w:r>
      <w:r>
        <w:rPr>
          <w:b/>
        </w:rPr>
        <w:t>17.821,</w:t>
      </w:r>
      <w:r>
        <w:rPr>
          <w:b/>
          <w:spacing w:val="20"/>
        </w:rPr>
        <w:t xml:space="preserve"> </w:t>
      </w:r>
      <w:r>
        <w:rPr>
          <w:b/>
        </w:rPr>
        <w:t>DE</w:t>
      </w:r>
      <w:r>
        <w:rPr>
          <w:b/>
          <w:spacing w:val="19"/>
        </w:rPr>
        <w:t xml:space="preserve"> </w:t>
      </w:r>
      <w:r>
        <w:rPr>
          <w:b/>
        </w:rPr>
        <w:t>4</w:t>
      </w:r>
      <w:r>
        <w:rPr>
          <w:b/>
          <w:spacing w:val="20"/>
        </w:rPr>
        <w:t xml:space="preserve"> </w:t>
      </w:r>
      <w:r>
        <w:rPr>
          <w:b/>
        </w:rPr>
        <w:t>DE</w:t>
      </w:r>
      <w:r>
        <w:rPr>
          <w:b/>
          <w:spacing w:val="19"/>
        </w:rPr>
        <w:t xml:space="preserve"> </w:t>
      </w:r>
      <w:r>
        <w:rPr>
          <w:b/>
        </w:rPr>
        <w:t>JULHO</w:t>
      </w:r>
      <w:r>
        <w:rPr>
          <w:b/>
          <w:spacing w:val="19"/>
        </w:rPr>
        <w:t xml:space="preserve"> </w:t>
      </w:r>
      <w:r>
        <w:rPr>
          <w:b/>
        </w:rPr>
        <w:t>DE</w:t>
      </w:r>
      <w:r>
        <w:rPr>
          <w:b/>
          <w:spacing w:val="19"/>
        </w:rPr>
        <w:t xml:space="preserve"> </w:t>
      </w:r>
      <w:r>
        <w:rPr>
          <w:b/>
        </w:rPr>
        <w:t>2022</w:t>
      </w:r>
      <w:r>
        <w:t>.</w:t>
      </w:r>
      <w:r>
        <w:rPr>
          <w:spacing w:val="20"/>
        </w:rPr>
        <w:t xml:space="preserve"> </w:t>
      </w:r>
      <w:r>
        <w:t>Dispõe</w:t>
      </w:r>
      <w:r>
        <w:rPr>
          <w:spacing w:val="20"/>
        </w:rPr>
        <w:t xml:space="preserve"> </w:t>
      </w:r>
      <w:r>
        <w:t>sobre</w:t>
      </w:r>
      <w:r>
        <w:rPr>
          <w:spacing w:val="20"/>
        </w:rPr>
        <w:t xml:space="preserve"> </w:t>
      </w:r>
      <w:r>
        <w:t>o</w:t>
      </w:r>
      <w:r>
        <w:rPr>
          <w:spacing w:val="21"/>
        </w:rPr>
        <w:t xml:space="preserve"> </w:t>
      </w:r>
      <w:r>
        <w:t>evento</w:t>
      </w:r>
      <w:r>
        <w:rPr>
          <w:spacing w:val="18"/>
        </w:rPr>
        <w:t xml:space="preserve"> </w:t>
      </w:r>
      <w:r>
        <w:t>Virada</w:t>
      </w:r>
      <w:r>
        <w:rPr>
          <w:spacing w:val="18"/>
        </w:rPr>
        <w:t xml:space="preserve"> </w:t>
      </w:r>
      <w:r>
        <w:t>da Castração [...]</w:t>
      </w:r>
      <w:r>
        <w:rPr>
          <w:spacing w:val="40"/>
        </w:rPr>
        <w:t xml:space="preserve"> </w:t>
      </w:r>
      <w:r>
        <w:t>São Paulo (SP): Diário Oficial do Município, 2022.</w:t>
      </w:r>
    </w:p>
    <w:p w:rsidR="007259F2" w:rsidRDefault="00E655B4">
      <w:pPr>
        <w:spacing w:before="120"/>
        <w:ind w:left="710" w:right="561"/>
      </w:pPr>
      <w:r>
        <w:t xml:space="preserve">SÃO PAULO (SP). </w:t>
      </w:r>
      <w:r>
        <w:rPr>
          <w:b/>
        </w:rPr>
        <w:t>LEI Nº 17.820, DE 4 DE JULHO DE 2022</w:t>
      </w:r>
      <w:r>
        <w:t>. Denomina Praça Ricardo da Silva</w:t>
      </w:r>
      <w:r>
        <w:rPr>
          <w:spacing w:val="40"/>
        </w:rPr>
        <w:t xml:space="preserve"> </w:t>
      </w:r>
      <w:r>
        <w:t>[...] São Paulo (SP): Diário Oficial do Município, 2022.</w:t>
      </w:r>
    </w:p>
    <w:p w:rsidR="007259F2" w:rsidRDefault="00E655B4">
      <w:pPr>
        <w:spacing w:before="118" w:line="242" w:lineRule="auto"/>
        <w:ind w:left="710"/>
      </w:pPr>
      <w:r>
        <w:t>SÃO</w:t>
      </w:r>
      <w:r>
        <w:rPr>
          <w:spacing w:val="36"/>
        </w:rPr>
        <w:t xml:space="preserve"> </w:t>
      </w:r>
      <w:r>
        <w:t>PAULO</w:t>
      </w:r>
      <w:r>
        <w:rPr>
          <w:spacing w:val="35"/>
        </w:rPr>
        <w:t xml:space="preserve"> </w:t>
      </w:r>
      <w:r>
        <w:t>(SP).</w:t>
      </w:r>
      <w:r>
        <w:rPr>
          <w:spacing w:val="38"/>
        </w:rPr>
        <w:t xml:space="preserve"> </w:t>
      </w:r>
      <w:r>
        <w:rPr>
          <w:b/>
        </w:rPr>
        <w:t>LEI</w:t>
      </w:r>
      <w:r>
        <w:rPr>
          <w:b/>
          <w:spacing w:val="40"/>
        </w:rPr>
        <w:t xml:space="preserve"> </w:t>
      </w:r>
      <w:r>
        <w:rPr>
          <w:b/>
        </w:rPr>
        <w:t>Nº</w:t>
      </w:r>
      <w:r>
        <w:rPr>
          <w:b/>
          <w:spacing w:val="36"/>
        </w:rPr>
        <w:t xml:space="preserve"> </w:t>
      </w:r>
      <w:r>
        <w:rPr>
          <w:b/>
        </w:rPr>
        <w:t>17.819,</w:t>
      </w:r>
      <w:r>
        <w:rPr>
          <w:b/>
          <w:spacing w:val="37"/>
        </w:rPr>
        <w:t xml:space="preserve"> </w:t>
      </w:r>
      <w:r>
        <w:rPr>
          <w:b/>
        </w:rPr>
        <w:t>DE</w:t>
      </w:r>
      <w:r>
        <w:rPr>
          <w:b/>
          <w:spacing w:val="36"/>
        </w:rPr>
        <w:t xml:space="preserve"> </w:t>
      </w:r>
      <w:r>
        <w:rPr>
          <w:b/>
        </w:rPr>
        <w:t>29</w:t>
      </w:r>
      <w:r>
        <w:rPr>
          <w:b/>
          <w:spacing w:val="37"/>
        </w:rPr>
        <w:t xml:space="preserve"> </w:t>
      </w:r>
      <w:r>
        <w:rPr>
          <w:b/>
        </w:rPr>
        <w:t>DE</w:t>
      </w:r>
      <w:r>
        <w:rPr>
          <w:b/>
          <w:spacing w:val="36"/>
        </w:rPr>
        <w:t xml:space="preserve"> </w:t>
      </w:r>
      <w:r>
        <w:rPr>
          <w:b/>
        </w:rPr>
        <w:t>JUNHO</w:t>
      </w:r>
      <w:r>
        <w:rPr>
          <w:b/>
          <w:spacing w:val="38"/>
        </w:rPr>
        <w:t xml:space="preserve"> </w:t>
      </w:r>
      <w:r>
        <w:rPr>
          <w:b/>
        </w:rPr>
        <w:t>DE</w:t>
      </w:r>
      <w:r>
        <w:rPr>
          <w:b/>
          <w:spacing w:val="36"/>
        </w:rPr>
        <w:t xml:space="preserve"> </w:t>
      </w:r>
      <w:r>
        <w:rPr>
          <w:b/>
        </w:rPr>
        <w:t>2022</w:t>
      </w:r>
      <w:r>
        <w:t>.</w:t>
      </w:r>
      <w:r>
        <w:rPr>
          <w:spacing w:val="37"/>
        </w:rPr>
        <w:t xml:space="preserve"> </w:t>
      </w:r>
      <w:r>
        <w:t>Dispõe</w:t>
      </w:r>
      <w:r>
        <w:rPr>
          <w:spacing w:val="35"/>
        </w:rPr>
        <w:t xml:space="preserve"> </w:t>
      </w:r>
      <w:r>
        <w:t>sobre</w:t>
      </w:r>
      <w:r>
        <w:rPr>
          <w:spacing w:val="37"/>
        </w:rPr>
        <w:t xml:space="preserve"> </w:t>
      </w:r>
      <w:r>
        <w:t>o</w:t>
      </w:r>
      <w:r>
        <w:rPr>
          <w:spacing w:val="37"/>
        </w:rPr>
        <w:t xml:space="preserve"> </w:t>
      </w:r>
      <w:r>
        <w:t>Programa</w:t>
      </w:r>
      <w:r>
        <w:rPr>
          <w:spacing w:val="37"/>
        </w:rPr>
        <w:t xml:space="preserve"> </w:t>
      </w:r>
      <w:r>
        <w:t>de Segurança Alimentar e Nutricional [...] São Paulo (SP): Diário Oficial do Município, 2022.</w:t>
      </w:r>
    </w:p>
    <w:p w:rsidR="007259F2" w:rsidRDefault="00E655B4">
      <w:pPr>
        <w:spacing w:before="116"/>
        <w:ind w:left="710"/>
      </w:pPr>
      <w:r>
        <w:t>SÃO</w:t>
      </w:r>
      <w:r>
        <w:rPr>
          <w:spacing w:val="40"/>
        </w:rPr>
        <w:t xml:space="preserve"> </w:t>
      </w:r>
      <w:r>
        <w:t>PAULO</w:t>
      </w:r>
      <w:r>
        <w:rPr>
          <w:spacing w:val="39"/>
        </w:rPr>
        <w:t xml:space="preserve"> </w:t>
      </w:r>
      <w:r>
        <w:t>(SP).</w:t>
      </w:r>
      <w:r>
        <w:rPr>
          <w:spacing w:val="40"/>
        </w:rPr>
        <w:t xml:space="preserve"> </w:t>
      </w:r>
      <w:r>
        <w:rPr>
          <w:b/>
        </w:rPr>
        <w:t>LEI</w:t>
      </w:r>
      <w:r>
        <w:rPr>
          <w:b/>
          <w:spacing w:val="39"/>
        </w:rPr>
        <w:t xml:space="preserve"> </w:t>
      </w:r>
      <w:r>
        <w:rPr>
          <w:b/>
        </w:rPr>
        <w:t>Nº</w:t>
      </w:r>
      <w:r>
        <w:rPr>
          <w:b/>
          <w:spacing w:val="40"/>
        </w:rPr>
        <w:t xml:space="preserve"> </w:t>
      </w:r>
      <w:r>
        <w:rPr>
          <w:b/>
        </w:rPr>
        <w:t>17.818,</w:t>
      </w:r>
      <w:r>
        <w:rPr>
          <w:b/>
          <w:spacing w:val="40"/>
        </w:rPr>
        <w:t xml:space="preserve"> </w:t>
      </w:r>
      <w:r>
        <w:rPr>
          <w:b/>
        </w:rPr>
        <w:t>DE</w:t>
      </w:r>
      <w:r>
        <w:rPr>
          <w:b/>
          <w:spacing w:val="40"/>
        </w:rPr>
        <w:t xml:space="preserve"> </w:t>
      </w:r>
      <w:r>
        <w:rPr>
          <w:b/>
        </w:rPr>
        <w:t>22</w:t>
      </w:r>
      <w:r>
        <w:rPr>
          <w:b/>
          <w:spacing w:val="40"/>
        </w:rPr>
        <w:t xml:space="preserve"> </w:t>
      </w:r>
      <w:r>
        <w:rPr>
          <w:b/>
        </w:rPr>
        <w:t>DE</w:t>
      </w:r>
      <w:r>
        <w:rPr>
          <w:b/>
          <w:spacing w:val="40"/>
        </w:rPr>
        <w:t xml:space="preserve"> </w:t>
      </w:r>
      <w:r>
        <w:rPr>
          <w:b/>
        </w:rPr>
        <w:t>JUNHO</w:t>
      </w:r>
      <w:r>
        <w:rPr>
          <w:b/>
          <w:spacing w:val="40"/>
        </w:rPr>
        <w:t xml:space="preserve"> </w:t>
      </w:r>
      <w:r>
        <w:rPr>
          <w:b/>
        </w:rPr>
        <w:t>DE</w:t>
      </w:r>
      <w:r>
        <w:rPr>
          <w:b/>
          <w:spacing w:val="40"/>
        </w:rPr>
        <w:t xml:space="preserve"> </w:t>
      </w:r>
      <w:r>
        <w:rPr>
          <w:b/>
        </w:rPr>
        <w:t>2022</w:t>
      </w:r>
      <w:r>
        <w:t>.</w:t>
      </w:r>
      <w:r>
        <w:rPr>
          <w:spacing w:val="40"/>
        </w:rPr>
        <w:t xml:space="preserve"> </w:t>
      </w:r>
      <w:r>
        <w:t>Denomina</w:t>
      </w:r>
      <w:r>
        <w:rPr>
          <w:spacing w:val="40"/>
        </w:rPr>
        <w:t xml:space="preserve"> </w:t>
      </w:r>
      <w:r>
        <w:t>Escadaria</w:t>
      </w:r>
      <w:r>
        <w:rPr>
          <w:spacing w:val="40"/>
        </w:rPr>
        <w:t xml:space="preserve"> </w:t>
      </w:r>
      <w:r>
        <w:t>Rabino Henry I. Sobel [...] São Paulo (SP): Diário Oficial do Município, 2022.</w:t>
      </w:r>
    </w:p>
    <w:p w:rsidR="007259F2" w:rsidRDefault="00E655B4">
      <w:pPr>
        <w:spacing w:before="121" w:line="252" w:lineRule="exact"/>
        <w:ind w:left="710"/>
      </w:pPr>
      <w:r>
        <w:t>SÃO</w:t>
      </w:r>
      <w:r>
        <w:rPr>
          <w:spacing w:val="7"/>
        </w:rPr>
        <w:t xml:space="preserve"> </w:t>
      </w:r>
      <w:r>
        <w:t>PAULO</w:t>
      </w:r>
      <w:r>
        <w:rPr>
          <w:spacing w:val="8"/>
        </w:rPr>
        <w:t xml:space="preserve"> </w:t>
      </w:r>
      <w:r>
        <w:t>(SP).</w:t>
      </w:r>
      <w:r>
        <w:rPr>
          <w:spacing w:val="10"/>
        </w:rPr>
        <w:t xml:space="preserve"> </w:t>
      </w:r>
      <w:r>
        <w:rPr>
          <w:b/>
        </w:rPr>
        <w:t>LEI</w:t>
      </w:r>
      <w:r>
        <w:rPr>
          <w:b/>
          <w:spacing w:val="7"/>
        </w:rPr>
        <w:t xml:space="preserve"> </w:t>
      </w:r>
      <w:r>
        <w:rPr>
          <w:b/>
        </w:rPr>
        <w:t>Nº</w:t>
      </w:r>
      <w:r>
        <w:rPr>
          <w:b/>
          <w:spacing w:val="9"/>
        </w:rPr>
        <w:t xml:space="preserve"> </w:t>
      </w:r>
      <w:r>
        <w:rPr>
          <w:b/>
        </w:rPr>
        <w:t>17.817,</w:t>
      </w:r>
      <w:r>
        <w:rPr>
          <w:b/>
          <w:spacing w:val="9"/>
        </w:rPr>
        <w:t xml:space="preserve"> </w:t>
      </w:r>
      <w:r>
        <w:rPr>
          <w:b/>
        </w:rPr>
        <w:t>DE</w:t>
      </w:r>
      <w:r>
        <w:rPr>
          <w:b/>
          <w:spacing w:val="6"/>
        </w:rPr>
        <w:t xml:space="preserve"> </w:t>
      </w:r>
      <w:r>
        <w:rPr>
          <w:b/>
        </w:rPr>
        <w:t>22</w:t>
      </w:r>
      <w:r>
        <w:rPr>
          <w:b/>
          <w:spacing w:val="9"/>
        </w:rPr>
        <w:t xml:space="preserve"> </w:t>
      </w:r>
      <w:r>
        <w:rPr>
          <w:b/>
        </w:rPr>
        <w:t>DE</w:t>
      </w:r>
      <w:r>
        <w:rPr>
          <w:b/>
          <w:spacing w:val="8"/>
        </w:rPr>
        <w:t xml:space="preserve"> </w:t>
      </w:r>
      <w:r>
        <w:rPr>
          <w:b/>
        </w:rPr>
        <w:t>JUNHO</w:t>
      </w:r>
      <w:r>
        <w:rPr>
          <w:b/>
          <w:spacing w:val="8"/>
        </w:rPr>
        <w:t xml:space="preserve"> </w:t>
      </w:r>
      <w:r>
        <w:rPr>
          <w:b/>
        </w:rPr>
        <w:t>DE</w:t>
      </w:r>
      <w:r>
        <w:rPr>
          <w:b/>
          <w:spacing w:val="9"/>
        </w:rPr>
        <w:t xml:space="preserve"> </w:t>
      </w:r>
      <w:r>
        <w:rPr>
          <w:b/>
        </w:rPr>
        <w:t>2022.</w:t>
      </w:r>
      <w:r>
        <w:rPr>
          <w:b/>
          <w:spacing w:val="11"/>
        </w:rPr>
        <w:t xml:space="preserve"> </w:t>
      </w:r>
      <w:r>
        <w:t>Denomina</w:t>
      </w:r>
      <w:r>
        <w:rPr>
          <w:spacing w:val="7"/>
        </w:rPr>
        <w:t xml:space="preserve"> </w:t>
      </w:r>
      <w:r>
        <w:t>CER</w:t>
      </w:r>
      <w:r>
        <w:rPr>
          <w:spacing w:val="8"/>
        </w:rPr>
        <w:t xml:space="preserve"> </w:t>
      </w:r>
      <w:r>
        <w:t>III</w:t>
      </w:r>
      <w:r>
        <w:rPr>
          <w:spacing w:val="5"/>
        </w:rPr>
        <w:t xml:space="preserve"> </w:t>
      </w:r>
      <w:r>
        <w:t>Vila</w:t>
      </w:r>
      <w:r>
        <w:rPr>
          <w:spacing w:val="10"/>
        </w:rPr>
        <w:t xml:space="preserve"> </w:t>
      </w:r>
      <w:r>
        <w:t>Carrão</w:t>
      </w:r>
      <w:r>
        <w:rPr>
          <w:spacing w:val="11"/>
        </w:rPr>
        <w:t xml:space="preserve"> </w:t>
      </w:r>
      <w:r>
        <w:rPr>
          <w:spacing w:val="-10"/>
        </w:rPr>
        <w:t>–</w:t>
      </w:r>
    </w:p>
    <w:p w:rsidR="007259F2" w:rsidRDefault="00E655B4">
      <w:pPr>
        <w:spacing w:line="252" w:lineRule="exact"/>
        <w:ind w:left="710"/>
      </w:pPr>
      <w:r>
        <w:t>Ives</w:t>
      </w:r>
      <w:r>
        <w:rPr>
          <w:spacing w:val="-6"/>
        </w:rPr>
        <w:t xml:space="preserve"> </w:t>
      </w:r>
      <w:r>
        <w:t>Ota</w:t>
      </w:r>
      <w:r>
        <w:rPr>
          <w:spacing w:val="-3"/>
        </w:rPr>
        <w:t xml:space="preserve"> </w:t>
      </w:r>
      <w:r>
        <w:t>[...]</w:t>
      </w:r>
      <w:r>
        <w:rPr>
          <w:spacing w:val="-3"/>
        </w:rPr>
        <w:t xml:space="preserve"> </w:t>
      </w:r>
      <w:r>
        <w:t>São</w:t>
      </w:r>
      <w:r>
        <w:rPr>
          <w:spacing w:val="-4"/>
        </w:rPr>
        <w:t xml:space="preserve"> </w:t>
      </w:r>
      <w:r>
        <w:t>Paulo</w:t>
      </w:r>
      <w:r>
        <w:rPr>
          <w:spacing w:val="-6"/>
        </w:rPr>
        <w:t xml:space="preserve"> </w:t>
      </w:r>
      <w:r>
        <w:t>(SP):</w:t>
      </w:r>
      <w:r>
        <w:rPr>
          <w:spacing w:val="-2"/>
        </w:rPr>
        <w:t xml:space="preserve"> </w:t>
      </w:r>
      <w:r>
        <w:t>Diário</w:t>
      </w:r>
      <w:r>
        <w:rPr>
          <w:spacing w:val="-4"/>
        </w:rPr>
        <w:t xml:space="preserve"> </w:t>
      </w:r>
      <w:r>
        <w:t>Oficial</w:t>
      </w:r>
      <w:r>
        <w:rPr>
          <w:spacing w:val="-4"/>
        </w:rPr>
        <w:t xml:space="preserve"> </w:t>
      </w:r>
      <w:r>
        <w:t>do</w:t>
      </w:r>
      <w:r>
        <w:rPr>
          <w:spacing w:val="-3"/>
        </w:rPr>
        <w:t xml:space="preserve"> </w:t>
      </w:r>
      <w:r>
        <w:t>Município,</w:t>
      </w:r>
      <w:r>
        <w:rPr>
          <w:spacing w:val="-3"/>
        </w:rPr>
        <w:t xml:space="preserve"> </w:t>
      </w:r>
      <w:r>
        <w:rPr>
          <w:spacing w:val="-2"/>
        </w:rPr>
        <w:t>2022.</w:t>
      </w:r>
    </w:p>
    <w:p w:rsidR="007259F2" w:rsidRDefault="00E655B4">
      <w:pPr>
        <w:spacing w:before="121"/>
        <w:ind w:left="710" w:right="559"/>
      </w:pPr>
      <w:r>
        <w:t xml:space="preserve">SÃO PAULO (SP). </w:t>
      </w:r>
      <w:r>
        <w:rPr>
          <w:b/>
        </w:rPr>
        <w:t>LEI Nº 17.816, DE 16 DE JUNHO DE 2022</w:t>
      </w:r>
      <w:r>
        <w:t xml:space="preserve">. Dá cumprimento ao art. 1º da </w:t>
      </w:r>
      <w:hyperlink r:id="rId271">
        <w:r>
          <w:rPr>
            <w:u w:val="single"/>
          </w:rPr>
          <w:t>Lei</w:t>
        </w:r>
      </w:hyperlink>
      <w:r>
        <w:rPr>
          <w:spacing w:val="40"/>
        </w:rPr>
        <w:t xml:space="preserve"> </w:t>
      </w:r>
      <w:hyperlink r:id="rId272">
        <w:r>
          <w:rPr>
            <w:u w:val="single"/>
          </w:rPr>
          <w:t>nº 14.889, de 20 de janeiro de 2009.</w:t>
        </w:r>
      </w:hyperlink>
      <w:r>
        <w:t xml:space="preserve"> São Paulo (SP): Diário Oficial do Município, 2022.</w:t>
      </w:r>
    </w:p>
    <w:p w:rsidR="007259F2" w:rsidRDefault="00E655B4">
      <w:pPr>
        <w:spacing w:before="121"/>
        <w:ind w:left="710" w:right="422"/>
      </w:pPr>
      <w:r>
        <w:t>SÃO</w:t>
      </w:r>
      <w:r>
        <w:rPr>
          <w:spacing w:val="-2"/>
        </w:rPr>
        <w:t xml:space="preserve"> </w:t>
      </w:r>
      <w:r>
        <w:t>PAULO</w:t>
      </w:r>
      <w:r>
        <w:rPr>
          <w:spacing w:val="-2"/>
        </w:rPr>
        <w:t xml:space="preserve"> </w:t>
      </w:r>
      <w:r>
        <w:t>(SP).</w:t>
      </w:r>
      <w:r>
        <w:rPr>
          <w:spacing w:val="-2"/>
        </w:rPr>
        <w:t xml:space="preserve"> </w:t>
      </w:r>
      <w:r>
        <w:rPr>
          <w:b/>
        </w:rPr>
        <w:t>LEI</w:t>
      </w:r>
      <w:r>
        <w:rPr>
          <w:b/>
          <w:spacing w:val="-2"/>
        </w:rPr>
        <w:t xml:space="preserve"> </w:t>
      </w:r>
      <w:r>
        <w:rPr>
          <w:b/>
        </w:rPr>
        <w:t>Nº</w:t>
      </w:r>
      <w:r>
        <w:rPr>
          <w:b/>
          <w:spacing w:val="-1"/>
        </w:rPr>
        <w:t xml:space="preserve"> </w:t>
      </w:r>
      <w:r>
        <w:rPr>
          <w:b/>
        </w:rPr>
        <w:t>17.815,</w:t>
      </w:r>
      <w:r>
        <w:rPr>
          <w:b/>
          <w:spacing w:val="-2"/>
        </w:rPr>
        <w:t xml:space="preserve"> </w:t>
      </w:r>
      <w:r>
        <w:rPr>
          <w:b/>
        </w:rPr>
        <w:t>DE</w:t>
      </w:r>
      <w:r>
        <w:rPr>
          <w:b/>
          <w:spacing w:val="-2"/>
        </w:rPr>
        <w:t xml:space="preserve"> </w:t>
      </w:r>
      <w:r>
        <w:rPr>
          <w:b/>
        </w:rPr>
        <w:t>14</w:t>
      </w:r>
      <w:r>
        <w:rPr>
          <w:b/>
          <w:spacing w:val="-2"/>
        </w:rPr>
        <w:t xml:space="preserve"> </w:t>
      </w:r>
      <w:r>
        <w:rPr>
          <w:b/>
        </w:rPr>
        <w:t>DE</w:t>
      </w:r>
      <w:r>
        <w:rPr>
          <w:b/>
          <w:spacing w:val="-2"/>
        </w:rPr>
        <w:t xml:space="preserve"> </w:t>
      </w:r>
      <w:r>
        <w:rPr>
          <w:b/>
        </w:rPr>
        <w:t>JUNHO</w:t>
      </w:r>
      <w:r>
        <w:rPr>
          <w:b/>
          <w:spacing w:val="-1"/>
        </w:rPr>
        <w:t xml:space="preserve"> </w:t>
      </w:r>
      <w:r>
        <w:rPr>
          <w:b/>
        </w:rPr>
        <w:t>DE</w:t>
      </w:r>
      <w:r>
        <w:rPr>
          <w:b/>
          <w:spacing w:val="-2"/>
        </w:rPr>
        <w:t xml:space="preserve"> </w:t>
      </w:r>
      <w:r>
        <w:rPr>
          <w:b/>
        </w:rPr>
        <w:t>2022</w:t>
      </w:r>
      <w:r>
        <w:t>.</w:t>
      </w:r>
      <w:r>
        <w:rPr>
          <w:spacing w:val="-2"/>
        </w:rPr>
        <w:t xml:space="preserve"> </w:t>
      </w:r>
      <w:r>
        <w:t>Transforma</w:t>
      </w:r>
      <w:r>
        <w:rPr>
          <w:spacing w:val="-2"/>
        </w:rPr>
        <w:t xml:space="preserve"> </w:t>
      </w:r>
      <w:r>
        <w:t>a</w:t>
      </w:r>
      <w:r>
        <w:rPr>
          <w:spacing w:val="-2"/>
        </w:rPr>
        <w:t xml:space="preserve"> </w:t>
      </w:r>
      <w:r>
        <w:t>Praça</w:t>
      </w:r>
      <w:r>
        <w:rPr>
          <w:spacing w:val="-2"/>
        </w:rPr>
        <w:t xml:space="preserve"> </w:t>
      </w:r>
      <w:r>
        <w:t>Princesa</w:t>
      </w:r>
      <w:r>
        <w:rPr>
          <w:spacing w:val="-2"/>
        </w:rPr>
        <w:t xml:space="preserve"> </w:t>
      </w:r>
      <w:r>
        <w:t>Isabel em Parque Municipal [...]. São Paulo (SP): Diário Oficial do Município, 2022.</w:t>
      </w:r>
    </w:p>
    <w:p w:rsidR="007259F2" w:rsidRDefault="00E655B4">
      <w:pPr>
        <w:spacing w:before="118"/>
        <w:ind w:left="710"/>
      </w:pPr>
      <w:r>
        <w:t>SÃO</w:t>
      </w:r>
      <w:r>
        <w:rPr>
          <w:spacing w:val="36"/>
        </w:rPr>
        <w:t xml:space="preserve"> </w:t>
      </w:r>
      <w:r>
        <w:t>PAULO</w:t>
      </w:r>
      <w:r>
        <w:rPr>
          <w:spacing w:val="35"/>
        </w:rPr>
        <w:t xml:space="preserve"> </w:t>
      </w:r>
      <w:r>
        <w:t>(SP).</w:t>
      </w:r>
      <w:r>
        <w:rPr>
          <w:spacing w:val="38"/>
        </w:rPr>
        <w:t xml:space="preserve"> </w:t>
      </w:r>
      <w:r>
        <w:rPr>
          <w:b/>
        </w:rPr>
        <w:t>LEI</w:t>
      </w:r>
      <w:r>
        <w:rPr>
          <w:b/>
          <w:spacing w:val="37"/>
        </w:rPr>
        <w:t xml:space="preserve"> </w:t>
      </w:r>
      <w:r>
        <w:rPr>
          <w:b/>
        </w:rPr>
        <w:t>Nº</w:t>
      </w:r>
      <w:r>
        <w:rPr>
          <w:b/>
          <w:spacing w:val="36"/>
        </w:rPr>
        <w:t xml:space="preserve"> </w:t>
      </w:r>
      <w:r>
        <w:rPr>
          <w:b/>
        </w:rPr>
        <w:t>17.814,</w:t>
      </w:r>
      <w:r>
        <w:rPr>
          <w:b/>
          <w:spacing w:val="37"/>
        </w:rPr>
        <w:t xml:space="preserve"> </w:t>
      </w:r>
      <w:r>
        <w:rPr>
          <w:b/>
        </w:rPr>
        <w:t>DE</w:t>
      </w:r>
      <w:r>
        <w:rPr>
          <w:b/>
          <w:spacing w:val="36"/>
        </w:rPr>
        <w:t xml:space="preserve"> </w:t>
      </w:r>
      <w:r>
        <w:rPr>
          <w:b/>
        </w:rPr>
        <w:t>13</w:t>
      </w:r>
      <w:r>
        <w:rPr>
          <w:b/>
          <w:spacing w:val="37"/>
        </w:rPr>
        <w:t xml:space="preserve"> </w:t>
      </w:r>
      <w:r>
        <w:rPr>
          <w:b/>
        </w:rPr>
        <w:t>DE</w:t>
      </w:r>
      <w:r>
        <w:rPr>
          <w:b/>
          <w:spacing w:val="36"/>
        </w:rPr>
        <w:t xml:space="preserve"> </w:t>
      </w:r>
      <w:r>
        <w:rPr>
          <w:b/>
        </w:rPr>
        <w:t>JUNHO</w:t>
      </w:r>
      <w:r>
        <w:rPr>
          <w:b/>
          <w:spacing w:val="38"/>
        </w:rPr>
        <w:t xml:space="preserve"> </w:t>
      </w:r>
      <w:r>
        <w:rPr>
          <w:b/>
        </w:rPr>
        <w:t>DE</w:t>
      </w:r>
      <w:r>
        <w:rPr>
          <w:b/>
          <w:spacing w:val="36"/>
        </w:rPr>
        <w:t xml:space="preserve"> </w:t>
      </w:r>
      <w:r>
        <w:rPr>
          <w:b/>
        </w:rPr>
        <w:t>2022</w:t>
      </w:r>
      <w:r>
        <w:t>.</w:t>
      </w:r>
      <w:r>
        <w:rPr>
          <w:spacing w:val="37"/>
        </w:rPr>
        <w:t xml:space="preserve"> </w:t>
      </w:r>
      <w:r>
        <w:t>Dispõe</w:t>
      </w:r>
      <w:r>
        <w:rPr>
          <w:spacing w:val="35"/>
        </w:rPr>
        <w:t xml:space="preserve"> </w:t>
      </w:r>
      <w:r>
        <w:t>sobre</w:t>
      </w:r>
      <w:r>
        <w:rPr>
          <w:spacing w:val="37"/>
        </w:rPr>
        <w:t xml:space="preserve"> </w:t>
      </w:r>
      <w:r>
        <w:t>a</w:t>
      </w:r>
      <w:r>
        <w:rPr>
          <w:spacing w:val="35"/>
        </w:rPr>
        <w:t xml:space="preserve"> </w:t>
      </w:r>
      <w:r>
        <w:t>concordância prévia e expressa [...] São Paulo (SP): Diário Oficial do Município, 2022.</w:t>
      </w:r>
    </w:p>
    <w:p w:rsidR="007259F2" w:rsidRDefault="00E655B4">
      <w:pPr>
        <w:spacing w:before="121"/>
        <w:ind w:left="710" w:right="422"/>
      </w:pPr>
      <w:r>
        <w:t xml:space="preserve">SÃO PAULO (SP). </w:t>
      </w:r>
      <w:r>
        <w:rPr>
          <w:b/>
        </w:rPr>
        <w:t>LEI Nº 17.813, DE 10 DE JUNHO DE 2022</w:t>
      </w:r>
      <w:r>
        <w:t>. Desincorpora da classe de bens de uso comum do povo [...] São Paulo (SP): Diário Oficial do Município, 2022.</w:t>
      </w:r>
    </w:p>
    <w:p w:rsidR="007259F2" w:rsidRDefault="00E655B4">
      <w:pPr>
        <w:spacing w:before="120"/>
        <w:ind w:left="710" w:right="561"/>
      </w:pPr>
      <w:r>
        <w:t xml:space="preserve">SÃO PAULO (SP). </w:t>
      </w:r>
      <w:r>
        <w:rPr>
          <w:b/>
        </w:rPr>
        <w:t>LEI Nº 17.812, DE 9 DE JUNHO DE 2022</w:t>
      </w:r>
      <w:r>
        <w:t>. Dispõe sobre a remuneração pelo</w:t>
      </w:r>
      <w:r>
        <w:rPr>
          <w:spacing w:val="80"/>
        </w:rPr>
        <w:t xml:space="preserve"> </w:t>
      </w:r>
      <w:r>
        <w:t>regime de subsídio [...] São Paulo (SP): Diário Oficial do Município, 2022.</w:t>
      </w:r>
    </w:p>
    <w:p w:rsidR="007259F2" w:rsidRDefault="00E655B4">
      <w:pPr>
        <w:spacing w:before="121"/>
        <w:ind w:left="710"/>
      </w:pPr>
      <w:r>
        <w:t xml:space="preserve">SÃO PAULO (SP). </w:t>
      </w:r>
      <w:r>
        <w:rPr>
          <w:b/>
        </w:rPr>
        <w:t>LEI Nº 17.811, DE 3 DE JUNHO DE 2022</w:t>
      </w:r>
      <w:r>
        <w:t>. Dispõe sobre a obrigatoriedade dos hospitais [...] São Paulo (SP): Diário Oficial do Município, 2022.</w:t>
      </w:r>
    </w:p>
    <w:p w:rsidR="007259F2" w:rsidRDefault="00E655B4">
      <w:pPr>
        <w:spacing w:before="120" w:line="252" w:lineRule="exact"/>
        <w:ind w:left="710"/>
      </w:pPr>
      <w:r>
        <w:t>SÃO</w:t>
      </w:r>
      <w:r>
        <w:rPr>
          <w:spacing w:val="18"/>
        </w:rPr>
        <w:t xml:space="preserve"> </w:t>
      </w:r>
      <w:r>
        <w:t>PAULO</w:t>
      </w:r>
      <w:r>
        <w:rPr>
          <w:spacing w:val="20"/>
        </w:rPr>
        <w:t xml:space="preserve"> </w:t>
      </w:r>
      <w:r>
        <w:t>(SP).</w:t>
      </w:r>
      <w:r>
        <w:rPr>
          <w:spacing w:val="23"/>
        </w:rPr>
        <w:t xml:space="preserve"> </w:t>
      </w:r>
      <w:r>
        <w:rPr>
          <w:b/>
        </w:rPr>
        <w:t>LEI</w:t>
      </w:r>
      <w:r>
        <w:rPr>
          <w:b/>
          <w:spacing w:val="24"/>
        </w:rPr>
        <w:t xml:space="preserve"> </w:t>
      </w:r>
      <w:r>
        <w:rPr>
          <w:b/>
        </w:rPr>
        <w:t>Nº</w:t>
      </w:r>
      <w:r>
        <w:rPr>
          <w:b/>
          <w:spacing w:val="22"/>
        </w:rPr>
        <w:t xml:space="preserve"> </w:t>
      </w:r>
      <w:r>
        <w:rPr>
          <w:b/>
        </w:rPr>
        <w:t>17.810,</w:t>
      </w:r>
      <w:r>
        <w:rPr>
          <w:b/>
          <w:spacing w:val="22"/>
        </w:rPr>
        <w:t xml:space="preserve"> </w:t>
      </w:r>
      <w:r>
        <w:rPr>
          <w:b/>
        </w:rPr>
        <w:t>DE</w:t>
      </w:r>
      <w:r>
        <w:rPr>
          <w:b/>
          <w:spacing w:val="22"/>
        </w:rPr>
        <w:t xml:space="preserve"> </w:t>
      </w:r>
      <w:r>
        <w:rPr>
          <w:b/>
        </w:rPr>
        <w:t>17</w:t>
      </w:r>
      <w:r>
        <w:rPr>
          <w:b/>
          <w:spacing w:val="22"/>
        </w:rPr>
        <w:t xml:space="preserve"> </w:t>
      </w:r>
      <w:r>
        <w:rPr>
          <w:b/>
        </w:rPr>
        <w:t>DE</w:t>
      </w:r>
      <w:r>
        <w:rPr>
          <w:b/>
          <w:spacing w:val="21"/>
        </w:rPr>
        <w:t xml:space="preserve"> </w:t>
      </w:r>
      <w:r>
        <w:rPr>
          <w:b/>
        </w:rPr>
        <w:t>MAIO</w:t>
      </w:r>
      <w:r>
        <w:rPr>
          <w:b/>
          <w:spacing w:val="23"/>
        </w:rPr>
        <w:t xml:space="preserve"> </w:t>
      </w:r>
      <w:r>
        <w:rPr>
          <w:b/>
        </w:rPr>
        <w:t>DE</w:t>
      </w:r>
      <w:r>
        <w:rPr>
          <w:b/>
          <w:spacing w:val="21"/>
        </w:rPr>
        <w:t xml:space="preserve"> </w:t>
      </w:r>
      <w:r>
        <w:rPr>
          <w:b/>
        </w:rPr>
        <w:t>2022</w:t>
      </w:r>
      <w:r>
        <w:t>.</w:t>
      </w:r>
      <w:r>
        <w:rPr>
          <w:spacing w:val="23"/>
        </w:rPr>
        <w:t xml:space="preserve"> </w:t>
      </w:r>
      <w:r>
        <w:t>Altera</w:t>
      </w:r>
      <w:r>
        <w:rPr>
          <w:spacing w:val="22"/>
        </w:rPr>
        <w:t xml:space="preserve"> </w:t>
      </w:r>
      <w:r>
        <w:t>a</w:t>
      </w:r>
      <w:r>
        <w:rPr>
          <w:spacing w:val="23"/>
        </w:rPr>
        <w:t xml:space="preserve"> </w:t>
      </w:r>
      <w:hyperlink r:id="rId273">
        <w:r>
          <w:rPr>
            <w:u w:val="single"/>
          </w:rPr>
          <w:t>Lei</w:t>
        </w:r>
        <w:r>
          <w:rPr>
            <w:spacing w:val="24"/>
            <w:u w:val="single"/>
          </w:rPr>
          <w:t xml:space="preserve"> </w:t>
        </w:r>
        <w:r>
          <w:rPr>
            <w:u w:val="single"/>
          </w:rPr>
          <w:t>nº</w:t>
        </w:r>
        <w:r>
          <w:rPr>
            <w:spacing w:val="22"/>
            <w:u w:val="single"/>
          </w:rPr>
          <w:t xml:space="preserve"> </w:t>
        </w:r>
        <w:r>
          <w:rPr>
            <w:u w:val="single"/>
          </w:rPr>
          <w:t>14.485,</w:t>
        </w:r>
        <w:r>
          <w:rPr>
            <w:spacing w:val="23"/>
            <w:u w:val="single"/>
          </w:rPr>
          <w:t xml:space="preserve"> </w:t>
        </w:r>
        <w:r>
          <w:rPr>
            <w:u w:val="single"/>
          </w:rPr>
          <w:t>de</w:t>
        </w:r>
        <w:r>
          <w:rPr>
            <w:spacing w:val="22"/>
            <w:u w:val="single"/>
          </w:rPr>
          <w:t xml:space="preserve"> </w:t>
        </w:r>
        <w:r>
          <w:rPr>
            <w:u w:val="single"/>
          </w:rPr>
          <w:t>19</w:t>
        </w:r>
        <w:r>
          <w:rPr>
            <w:spacing w:val="23"/>
            <w:u w:val="single"/>
          </w:rPr>
          <w:t xml:space="preserve"> </w:t>
        </w:r>
        <w:r>
          <w:rPr>
            <w:spacing w:val="-5"/>
            <w:u w:val="single"/>
          </w:rPr>
          <w:t>de</w:t>
        </w:r>
      </w:hyperlink>
    </w:p>
    <w:p w:rsidR="007259F2" w:rsidRDefault="00DE6B1C">
      <w:pPr>
        <w:spacing w:line="252" w:lineRule="exact"/>
        <w:ind w:left="710"/>
      </w:pPr>
      <w:hyperlink r:id="rId274">
        <w:r w:rsidR="00E655B4">
          <w:rPr>
            <w:u w:val="single"/>
          </w:rPr>
          <w:t>julho</w:t>
        </w:r>
        <w:r w:rsidR="00E655B4">
          <w:rPr>
            <w:spacing w:val="-3"/>
            <w:u w:val="single"/>
          </w:rPr>
          <w:t xml:space="preserve"> </w:t>
        </w:r>
        <w:r w:rsidR="00E655B4">
          <w:rPr>
            <w:u w:val="single"/>
          </w:rPr>
          <w:t>de</w:t>
        </w:r>
        <w:r w:rsidR="00E655B4">
          <w:rPr>
            <w:spacing w:val="-3"/>
            <w:u w:val="single"/>
          </w:rPr>
          <w:t xml:space="preserve"> </w:t>
        </w:r>
        <w:r w:rsidR="00E655B4">
          <w:rPr>
            <w:u w:val="single"/>
          </w:rPr>
          <w:t>2007,</w:t>
        </w:r>
      </w:hyperlink>
      <w:r w:rsidR="00E655B4">
        <w:rPr>
          <w:spacing w:val="-4"/>
        </w:rPr>
        <w:t xml:space="preserve"> </w:t>
      </w:r>
      <w:r w:rsidR="00E655B4">
        <w:t>[...]</w:t>
      </w:r>
      <w:r w:rsidR="00E655B4">
        <w:rPr>
          <w:spacing w:val="-3"/>
        </w:rPr>
        <w:t xml:space="preserve"> </w:t>
      </w:r>
      <w:r w:rsidR="00E655B4">
        <w:t>São</w:t>
      </w:r>
      <w:r w:rsidR="00E655B4">
        <w:rPr>
          <w:spacing w:val="-3"/>
        </w:rPr>
        <w:t xml:space="preserve"> </w:t>
      </w:r>
      <w:r w:rsidR="00E655B4">
        <w:t>Paulo</w:t>
      </w:r>
      <w:r w:rsidR="00E655B4">
        <w:rPr>
          <w:spacing w:val="-3"/>
        </w:rPr>
        <w:t xml:space="preserve"> </w:t>
      </w:r>
      <w:r w:rsidR="00E655B4">
        <w:t>(SP):</w:t>
      </w:r>
      <w:r w:rsidR="00E655B4">
        <w:rPr>
          <w:spacing w:val="-2"/>
        </w:rPr>
        <w:t xml:space="preserve"> </w:t>
      </w:r>
      <w:r w:rsidR="00E655B4">
        <w:t>Diário</w:t>
      </w:r>
      <w:r w:rsidR="00E655B4">
        <w:rPr>
          <w:spacing w:val="-3"/>
        </w:rPr>
        <w:t xml:space="preserve"> </w:t>
      </w:r>
      <w:r w:rsidR="00E655B4">
        <w:t>Oficial</w:t>
      </w:r>
      <w:r w:rsidR="00E655B4">
        <w:rPr>
          <w:spacing w:val="-2"/>
        </w:rPr>
        <w:t xml:space="preserve"> </w:t>
      </w:r>
      <w:r w:rsidR="00E655B4">
        <w:t>do</w:t>
      </w:r>
      <w:r w:rsidR="00E655B4">
        <w:rPr>
          <w:spacing w:val="-5"/>
        </w:rPr>
        <w:t xml:space="preserve"> </w:t>
      </w:r>
      <w:r w:rsidR="00E655B4">
        <w:t>Município,</w:t>
      </w:r>
      <w:r w:rsidR="00E655B4">
        <w:rPr>
          <w:spacing w:val="-3"/>
        </w:rPr>
        <w:t xml:space="preserve"> </w:t>
      </w:r>
      <w:r w:rsidR="00E655B4">
        <w:rPr>
          <w:spacing w:val="-2"/>
        </w:rPr>
        <w:t>2022.</w:t>
      </w:r>
    </w:p>
    <w:p w:rsidR="007259F2" w:rsidRDefault="00E655B4">
      <w:pPr>
        <w:spacing w:before="121" w:line="252" w:lineRule="exact"/>
        <w:ind w:left="710"/>
      </w:pPr>
      <w:r>
        <w:t>SÃO</w:t>
      </w:r>
      <w:r>
        <w:rPr>
          <w:spacing w:val="20"/>
        </w:rPr>
        <w:t xml:space="preserve"> </w:t>
      </w:r>
      <w:r>
        <w:t>PAULO</w:t>
      </w:r>
      <w:r>
        <w:rPr>
          <w:spacing w:val="20"/>
        </w:rPr>
        <w:t xml:space="preserve"> </w:t>
      </w:r>
      <w:r>
        <w:t>(SP).</w:t>
      </w:r>
      <w:r>
        <w:rPr>
          <w:spacing w:val="23"/>
        </w:rPr>
        <w:t xml:space="preserve"> </w:t>
      </w:r>
      <w:r>
        <w:rPr>
          <w:b/>
        </w:rPr>
        <w:t>LEI</w:t>
      </w:r>
      <w:r>
        <w:rPr>
          <w:b/>
          <w:spacing w:val="24"/>
        </w:rPr>
        <w:t xml:space="preserve"> </w:t>
      </w:r>
      <w:r>
        <w:rPr>
          <w:b/>
        </w:rPr>
        <w:t>Nº</w:t>
      </w:r>
      <w:r>
        <w:rPr>
          <w:b/>
          <w:spacing w:val="21"/>
        </w:rPr>
        <w:t xml:space="preserve"> </w:t>
      </w:r>
      <w:r>
        <w:rPr>
          <w:b/>
        </w:rPr>
        <w:t>17.809,</w:t>
      </w:r>
      <w:r>
        <w:rPr>
          <w:b/>
          <w:spacing w:val="22"/>
        </w:rPr>
        <w:t xml:space="preserve"> </w:t>
      </w:r>
      <w:r>
        <w:rPr>
          <w:b/>
        </w:rPr>
        <w:t>DE</w:t>
      </w:r>
      <w:r>
        <w:rPr>
          <w:b/>
          <w:spacing w:val="22"/>
        </w:rPr>
        <w:t xml:space="preserve"> </w:t>
      </w:r>
      <w:r>
        <w:rPr>
          <w:b/>
        </w:rPr>
        <w:t>12</w:t>
      </w:r>
      <w:r>
        <w:rPr>
          <w:b/>
          <w:spacing w:val="22"/>
        </w:rPr>
        <w:t xml:space="preserve"> </w:t>
      </w:r>
      <w:r>
        <w:rPr>
          <w:b/>
        </w:rPr>
        <w:t>DE</w:t>
      </w:r>
      <w:r>
        <w:rPr>
          <w:b/>
          <w:spacing w:val="21"/>
        </w:rPr>
        <w:t xml:space="preserve"> </w:t>
      </w:r>
      <w:r>
        <w:rPr>
          <w:b/>
        </w:rPr>
        <w:t>MAIO</w:t>
      </w:r>
      <w:r>
        <w:rPr>
          <w:b/>
          <w:spacing w:val="23"/>
        </w:rPr>
        <w:t xml:space="preserve"> </w:t>
      </w:r>
      <w:r>
        <w:rPr>
          <w:b/>
        </w:rPr>
        <w:t>DE</w:t>
      </w:r>
      <w:r>
        <w:rPr>
          <w:b/>
          <w:spacing w:val="21"/>
        </w:rPr>
        <w:t xml:space="preserve"> </w:t>
      </w:r>
      <w:r>
        <w:rPr>
          <w:b/>
        </w:rPr>
        <w:t>2022.</w:t>
      </w:r>
      <w:r>
        <w:rPr>
          <w:b/>
          <w:spacing w:val="24"/>
        </w:rPr>
        <w:t xml:space="preserve"> </w:t>
      </w:r>
      <w:r>
        <w:t>Altera</w:t>
      </w:r>
      <w:r>
        <w:rPr>
          <w:spacing w:val="23"/>
        </w:rPr>
        <w:t xml:space="preserve"> </w:t>
      </w:r>
      <w:r>
        <w:t>a</w:t>
      </w:r>
      <w:r>
        <w:rPr>
          <w:spacing w:val="23"/>
        </w:rPr>
        <w:t xml:space="preserve"> </w:t>
      </w:r>
      <w:hyperlink r:id="rId275">
        <w:r>
          <w:rPr>
            <w:u w:val="single"/>
          </w:rPr>
          <w:t>Lei</w:t>
        </w:r>
        <w:r>
          <w:rPr>
            <w:spacing w:val="23"/>
            <w:u w:val="single"/>
          </w:rPr>
          <w:t xml:space="preserve"> </w:t>
        </w:r>
        <w:r>
          <w:rPr>
            <w:u w:val="single"/>
          </w:rPr>
          <w:t>nº</w:t>
        </w:r>
        <w:r>
          <w:rPr>
            <w:spacing w:val="23"/>
            <w:u w:val="single"/>
          </w:rPr>
          <w:t xml:space="preserve"> </w:t>
        </w:r>
        <w:r>
          <w:rPr>
            <w:u w:val="single"/>
          </w:rPr>
          <w:t>14.485,</w:t>
        </w:r>
        <w:r>
          <w:rPr>
            <w:spacing w:val="22"/>
            <w:u w:val="single"/>
          </w:rPr>
          <w:t xml:space="preserve"> </w:t>
        </w:r>
        <w:r>
          <w:rPr>
            <w:u w:val="single"/>
          </w:rPr>
          <w:t>de</w:t>
        </w:r>
        <w:r>
          <w:rPr>
            <w:spacing w:val="22"/>
            <w:u w:val="single"/>
          </w:rPr>
          <w:t xml:space="preserve"> </w:t>
        </w:r>
        <w:r>
          <w:rPr>
            <w:u w:val="single"/>
          </w:rPr>
          <w:t>19</w:t>
        </w:r>
        <w:r>
          <w:rPr>
            <w:spacing w:val="23"/>
            <w:u w:val="single"/>
          </w:rPr>
          <w:t xml:space="preserve"> </w:t>
        </w:r>
        <w:r>
          <w:rPr>
            <w:spacing w:val="-5"/>
            <w:u w:val="single"/>
          </w:rPr>
          <w:t>de</w:t>
        </w:r>
      </w:hyperlink>
    </w:p>
    <w:p w:rsidR="007259F2" w:rsidRDefault="00DE6B1C">
      <w:pPr>
        <w:spacing w:line="252" w:lineRule="exact"/>
        <w:ind w:left="710"/>
      </w:pPr>
      <w:hyperlink r:id="rId276">
        <w:r w:rsidR="00E655B4">
          <w:rPr>
            <w:u w:val="single"/>
          </w:rPr>
          <w:t>julho</w:t>
        </w:r>
        <w:r w:rsidR="00E655B4">
          <w:rPr>
            <w:spacing w:val="-4"/>
            <w:u w:val="single"/>
          </w:rPr>
          <w:t xml:space="preserve"> </w:t>
        </w:r>
        <w:r w:rsidR="00E655B4">
          <w:rPr>
            <w:u w:val="single"/>
          </w:rPr>
          <w:t>de</w:t>
        </w:r>
        <w:r w:rsidR="00E655B4">
          <w:rPr>
            <w:spacing w:val="-4"/>
            <w:u w:val="single"/>
          </w:rPr>
          <w:t xml:space="preserve"> </w:t>
        </w:r>
        <w:r w:rsidR="00E655B4">
          <w:rPr>
            <w:u w:val="single"/>
          </w:rPr>
          <w:t>2007,</w:t>
        </w:r>
      </w:hyperlink>
      <w:r w:rsidR="00E655B4">
        <w:rPr>
          <w:spacing w:val="-4"/>
        </w:rPr>
        <w:t xml:space="preserve"> </w:t>
      </w:r>
      <w:r w:rsidR="00E655B4">
        <w:t>[...]São</w:t>
      </w:r>
      <w:r w:rsidR="00E655B4">
        <w:rPr>
          <w:spacing w:val="-4"/>
        </w:rPr>
        <w:t xml:space="preserve"> </w:t>
      </w:r>
      <w:r w:rsidR="00E655B4">
        <w:t>Paulo</w:t>
      </w:r>
      <w:r w:rsidR="00E655B4">
        <w:rPr>
          <w:spacing w:val="-3"/>
        </w:rPr>
        <w:t xml:space="preserve"> </w:t>
      </w:r>
      <w:r w:rsidR="00E655B4">
        <w:t>(SP):</w:t>
      </w:r>
      <w:r w:rsidR="00E655B4">
        <w:rPr>
          <w:spacing w:val="-3"/>
        </w:rPr>
        <w:t xml:space="preserve"> </w:t>
      </w:r>
      <w:r w:rsidR="00E655B4">
        <w:t>Diário</w:t>
      </w:r>
      <w:r w:rsidR="00E655B4">
        <w:rPr>
          <w:spacing w:val="-4"/>
        </w:rPr>
        <w:t xml:space="preserve"> </w:t>
      </w:r>
      <w:r w:rsidR="00E655B4">
        <w:t>Oficial</w:t>
      </w:r>
      <w:r w:rsidR="00E655B4">
        <w:rPr>
          <w:spacing w:val="-3"/>
        </w:rPr>
        <w:t xml:space="preserve"> </w:t>
      </w:r>
      <w:r w:rsidR="00E655B4">
        <w:t>do</w:t>
      </w:r>
      <w:r w:rsidR="00E655B4">
        <w:rPr>
          <w:spacing w:val="-4"/>
        </w:rPr>
        <w:t xml:space="preserve"> </w:t>
      </w:r>
      <w:r w:rsidR="00E655B4">
        <w:t>Município,</w:t>
      </w:r>
      <w:r w:rsidR="00E655B4">
        <w:rPr>
          <w:spacing w:val="-3"/>
        </w:rPr>
        <w:t xml:space="preserve"> </w:t>
      </w:r>
      <w:r w:rsidR="00E655B4">
        <w:rPr>
          <w:spacing w:val="-2"/>
        </w:rPr>
        <w:t>2022.</w:t>
      </w:r>
    </w:p>
    <w:p w:rsidR="007259F2" w:rsidRDefault="00E655B4">
      <w:pPr>
        <w:spacing w:before="120"/>
        <w:ind w:left="710"/>
      </w:pPr>
      <w:r>
        <w:t>SÃO PAULO (SP).</w:t>
      </w:r>
      <w:r>
        <w:rPr>
          <w:spacing w:val="18"/>
        </w:rPr>
        <w:t xml:space="preserve"> </w:t>
      </w:r>
      <w:r>
        <w:rPr>
          <w:b/>
        </w:rPr>
        <w:t>LEI</w:t>
      </w:r>
      <w:r>
        <w:rPr>
          <w:b/>
          <w:spacing w:val="17"/>
        </w:rPr>
        <w:t xml:space="preserve"> </w:t>
      </w:r>
      <w:r>
        <w:rPr>
          <w:b/>
        </w:rPr>
        <w:t>Nº 17.808,</w:t>
      </w:r>
      <w:r>
        <w:rPr>
          <w:b/>
          <w:spacing w:val="17"/>
        </w:rPr>
        <w:t xml:space="preserve"> </w:t>
      </w:r>
      <w:r>
        <w:rPr>
          <w:b/>
        </w:rPr>
        <w:t>DE 9</w:t>
      </w:r>
      <w:r>
        <w:rPr>
          <w:b/>
          <w:spacing w:val="17"/>
        </w:rPr>
        <w:t xml:space="preserve"> </w:t>
      </w:r>
      <w:r>
        <w:rPr>
          <w:b/>
        </w:rPr>
        <w:t>DE MAIO DE 2022</w:t>
      </w:r>
      <w:r>
        <w:t>.</w:t>
      </w:r>
      <w:r>
        <w:rPr>
          <w:spacing w:val="17"/>
        </w:rPr>
        <w:t xml:space="preserve"> </w:t>
      </w:r>
      <w:r>
        <w:t>Altera</w:t>
      </w:r>
      <w:r>
        <w:rPr>
          <w:spacing w:val="17"/>
        </w:rPr>
        <w:t xml:space="preserve"> </w:t>
      </w:r>
      <w:r>
        <w:t>a</w:t>
      </w:r>
      <w:r>
        <w:rPr>
          <w:spacing w:val="17"/>
        </w:rPr>
        <w:t xml:space="preserve"> </w:t>
      </w:r>
      <w:r>
        <w:t>denominação</w:t>
      </w:r>
      <w:r>
        <w:rPr>
          <w:spacing w:val="17"/>
        </w:rPr>
        <w:t xml:space="preserve"> </w:t>
      </w:r>
      <w:r>
        <w:t>da</w:t>
      </w:r>
      <w:r>
        <w:rPr>
          <w:spacing w:val="17"/>
        </w:rPr>
        <w:t xml:space="preserve"> </w:t>
      </w:r>
      <w:r>
        <w:t>UBS que especifica [...] São Paulo (SP): Diário Oficial do Município, 2022.</w:t>
      </w:r>
    </w:p>
    <w:p w:rsidR="007259F2" w:rsidRDefault="00E655B4">
      <w:pPr>
        <w:spacing w:before="120"/>
        <w:ind w:left="710" w:right="422"/>
      </w:pPr>
      <w:r>
        <w:t xml:space="preserve">SÃO PAULO (SP). </w:t>
      </w:r>
      <w:r>
        <w:rPr>
          <w:b/>
        </w:rPr>
        <w:t>LEI Nº 17.807, DE 9 DE MAIO DE 2022</w:t>
      </w:r>
      <w:r>
        <w:t>. Denomina Praça Botina Amarela [...] São Paulo (SP): Diário Oficial do Município, 2022.</w:t>
      </w:r>
    </w:p>
    <w:p w:rsidR="007259F2" w:rsidRDefault="00E655B4">
      <w:pPr>
        <w:spacing w:before="121"/>
        <w:ind w:left="710" w:right="424"/>
      </w:pPr>
      <w:r>
        <w:t>SÃO</w:t>
      </w:r>
      <w:r>
        <w:rPr>
          <w:spacing w:val="28"/>
        </w:rPr>
        <w:t xml:space="preserve"> </w:t>
      </w:r>
      <w:r>
        <w:t>PAULO</w:t>
      </w:r>
      <w:r>
        <w:rPr>
          <w:spacing w:val="27"/>
        </w:rPr>
        <w:t xml:space="preserve"> </w:t>
      </w:r>
      <w:r>
        <w:t>(SP).</w:t>
      </w:r>
      <w:r>
        <w:rPr>
          <w:spacing w:val="30"/>
        </w:rPr>
        <w:t xml:space="preserve"> </w:t>
      </w:r>
      <w:r>
        <w:rPr>
          <w:b/>
        </w:rPr>
        <w:t>LEI</w:t>
      </w:r>
      <w:r>
        <w:rPr>
          <w:b/>
          <w:spacing w:val="27"/>
        </w:rPr>
        <w:t xml:space="preserve"> </w:t>
      </w:r>
      <w:r>
        <w:rPr>
          <w:b/>
        </w:rPr>
        <w:t>Nº</w:t>
      </w:r>
      <w:r>
        <w:rPr>
          <w:b/>
          <w:spacing w:val="28"/>
        </w:rPr>
        <w:t xml:space="preserve"> </w:t>
      </w:r>
      <w:r>
        <w:rPr>
          <w:b/>
        </w:rPr>
        <w:t>17.806,</w:t>
      </w:r>
      <w:r>
        <w:rPr>
          <w:b/>
          <w:spacing w:val="29"/>
        </w:rPr>
        <w:t xml:space="preserve"> </w:t>
      </w:r>
      <w:r>
        <w:rPr>
          <w:b/>
        </w:rPr>
        <w:t>DE</w:t>
      </w:r>
      <w:r>
        <w:rPr>
          <w:b/>
          <w:spacing w:val="28"/>
        </w:rPr>
        <w:t xml:space="preserve"> </w:t>
      </w:r>
      <w:r>
        <w:rPr>
          <w:b/>
        </w:rPr>
        <w:t>9</w:t>
      </w:r>
      <w:r>
        <w:rPr>
          <w:b/>
          <w:spacing w:val="29"/>
        </w:rPr>
        <w:t xml:space="preserve"> </w:t>
      </w:r>
      <w:r>
        <w:rPr>
          <w:b/>
        </w:rPr>
        <w:t>DE</w:t>
      </w:r>
      <w:r>
        <w:rPr>
          <w:b/>
          <w:spacing w:val="25"/>
        </w:rPr>
        <w:t xml:space="preserve"> </w:t>
      </w:r>
      <w:r>
        <w:rPr>
          <w:b/>
        </w:rPr>
        <w:t>MAIO</w:t>
      </w:r>
      <w:r>
        <w:rPr>
          <w:b/>
          <w:spacing w:val="30"/>
        </w:rPr>
        <w:t xml:space="preserve"> </w:t>
      </w:r>
      <w:r>
        <w:rPr>
          <w:b/>
        </w:rPr>
        <w:t>DE</w:t>
      </w:r>
      <w:r>
        <w:rPr>
          <w:b/>
          <w:spacing w:val="28"/>
        </w:rPr>
        <w:t xml:space="preserve"> </w:t>
      </w:r>
      <w:r>
        <w:rPr>
          <w:b/>
        </w:rPr>
        <w:t>2022</w:t>
      </w:r>
      <w:r>
        <w:t>.</w:t>
      </w:r>
      <w:r>
        <w:rPr>
          <w:spacing w:val="29"/>
        </w:rPr>
        <w:t xml:space="preserve"> </w:t>
      </w:r>
      <w:r>
        <w:t>Denomina</w:t>
      </w:r>
      <w:r>
        <w:rPr>
          <w:spacing w:val="29"/>
        </w:rPr>
        <w:t xml:space="preserve"> </w:t>
      </w:r>
      <w:r>
        <w:t>Praça</w:t>
      </w:r>
      <w:r>
        <w:rPr>
          <w:spacing w:val="27"/>
        </w:rPr>
        <w:t xml:space="preserve"> </w:t>
      </w:r>
      <w:r>
        <w:t>Michel</w:t>
      </w:r>
      <w:r>
        <w:rPr>
          <w:spacing w:val="30"/>
        </w:rPr>
        <w:t xml:space="preserve"> </w:t>
      </w:r>
      <w:r>
        <w:t>Antonio Farah [...] São Paulo (SP): Diário Oficial do Município, 2022.</w:t>
      </w:r>
    </w:p>
    <w:p w:rsidR="007259F2" w:rsidRDefault="00E655B4">
      <w:pPr>
        <w:spacing w:before="120"/>
        <w:ind w:left="710" w:right="424"/>
      </w:pPr>
      <w:r>
        <w:t>SÃO</w:t>
      </w:r>
      <w:r>
        <w:rPr>
          <w:spacing w:val="40"/>
        </w:rPr>
        <w:t xml:space="preserve"> </w:t>
      </w:r>
      <w:r>
        <w:t>PAULO</w:t>
      </w:r>
      <w:r>
        <w:rPr>
          <w:spacing w:val="40"/>
        </w:rPr>
        <w:t xml:space="preserve"> </w:t>
      </w:r>
      <w:r>
        <w:t>(SP).</w:t>
      </w:r>
      <w:r>
        <w:rPr>
          <w:spacing w:val="40"/>
        </w:rPr>
        <w:t xml:space="preserve"> </w:t>
      </w:r>
      <w:r>
        <w:rPr>
          <w:b/>
        </w:rPr>
        <w:t>LEI</w:t>
      </w:r>
      <w:r>
        <w:rPr>
          <w:b/>
          <w:spacing w:val="40"/>
        </w:rPr>
        <w:t xml:space="preserve"> </w:t>
      </w:r>
      <w:r>
        <w:rPr>
          <w:b/>
        </w:rPr>
        <w:t>Nº</w:t>
      </w:r>
      <w:r>
        <w:rPr>
          <w:b/>
          <w:spacing w:val="40"/>
        </w:rPr>
        <w:t xml:space="preserve"> </w:t>
      </w:r>
      <w:r>
        <w:rPr>
          <w:b/>
        </w:rPr>
        <w:t>17.805,</w:t>
      </w:r>
      <w:r>
        <w:rPr>
          <w:b/>
          <w:spacing w:val="40"/>
        </w:rPr>
        <w:t xml:space="preserve"> </w:t>
      </w:r>
      <w:r>
        <w:rPr>
          <w:b/>
        </w:rPr>
        <w:t>DE</w:t>
      </w:r>
      <w:r>
        <w:rPr>
          <w:b/>
          <w:spacing w:val="40"/>
        </w:rPr>
        <w:t xml:space="preserve"> </w:t>
      </w:r>
      <w:r>
        <w:rPr>
          <w:b/>
        </w:rPr>
        <w:t>9</w:t>
      </w:r>
      <w:r>
        <w:rPr>
          <w:b/>
          <w:spacing w:val="40"/>
        </w:rPr>
        <w:t xml:space="preserve"> </w:t>
      </w:r>
      <w:r>
        <w:rPr>
          <w:b/>
        </w:rPr>
        <w:t>DE</w:t>
      </w:r>
      <w:r>
        <w:rPr>
          <w:b/>
          <w:spacing w:val="40"/>
        </w:rPr>
        <w:t xml:space="preserve"> </w:t>
      </w:r>
      <w:r>
        <w:rPr>
          <w:b/>
        </w:rPr>
        <w:t>MAIO</w:t>
      </w:r>
      <w:r>
        <w:rPr>
          <w:b/>
          <w:spacing w:val="40"/>
        </w:rPr>
        <w:t xml:space="preserve"> </w:t>
      </w:r>
      <w:r>
        <w:rPr>
          <w:b/>
        </w:rPr>
        <w:t>DE</w:t>
      </w:r>
      <w:r>
        <w:rPr>
          <w:b/>
          <w:spacing w:val="40"/>
        </w:rPr>
        <w:t xml:space="preserve"> </w:t>
      </w:r>
      <w:r>
        <w:rPr>
          <w:b/>
        </w:rPr>
        <w:t>2022</w:t>
      </w:r>
      <w:r>
        <w:t>.</w:t>
      </w:r>
      <w:r>
        <w:rPr>
          <w:spacing w:val="40"/>
        </w:rPr>
        <w:t xml:space="preserve"> </w:t>
      </w:r>
      <w:r>
        <w:t>Cria</w:t>
      </w:r>
      <w:r>
        <w:rPr>
          <w:spacing w:val="40"/>
        </w:rPr>
        <w:t xml:space="preserve"> </w:t>
      </w:r>
      <w:r>
        <w:t>o</w:t>
      </w:r>
      <w:r>
        <w:rPr>
          <w:spacing w:val="40"/>
        </w:rPr>
        <w:t xml:space="preserve"> </w:t>
      </w:r>
      <w:r>
        <w:t>Programa</w:t>
      </w:r>
      <w:r>
        <w:rPr>
          <w:spacing w:val="40"/>
        </w:rPr>
        <w:t xml:space="preserve"> </w:t>
      </w:r>
      <w:r>
        <w:t>Municipal</w:t>
      </w:r>
      <w:r>
        <w:rPr>
          <w:spacing w:val="40"/>
        </w:rPr>
        <w:t xml:space="preserve"> </w:t>
      </w:r>
      <w:r>
        <w:t>de Fomento [...] São Paulo (SP): Diário Oficial do Município, 2022.</w:t>
      </w:r>
    </w:p>
    <w:p w:rsidR="007259F2" w:rsidRDefault="00E655B4">
      <w:pPr>
        <w:spacing w:before="121"/>
        <w:ind w:left="710"/>
      </w:pPr>
      <w:r>
        <w:t>SÃO</w:t>
      </w:r>
      <w:r>
        <w:rPr>
          <w:spacing w:val="21"/>
        </w:rPr>
        <w:t xml:space="preserve"> </w:t>
      </w:r>
      <w:r>
        <w:t>PAULO</w:t>
      </w:r>
      <w:r>
        <w:rPr>
          <w:spacing w:val="23"/>
        </w:rPr>
        <w:t xml:space="preserve"> </w:t>
      </w:r>
      <w:r>
        <w:t>(SP).</w:t>
      </w:r>
      <w:r>
        <w:rPr>
          <w:spacing w:val="23"/>
        </w:rPr>
        <w:t xml:space="preserve"> </w:t>
      </w:r>
      <w:r>
        <w:rPr>
          <w:b/>
        </w:rPr>
        <w:t>LEI</w:t>
      </w:r>
      <w:r>
        <w:rPr>
          <w:b/>
          <w:spacing w:val="23"/>
        </w:rPr>
        <w:t xml:space="preserve"> </w:t>
      </w:r>
      <w:r>
        <w:rPr>
          <w:b/>
        </w:rPr>
        <w:t>Nº</w:t>
      </w:r>
      <w:r>
        <w:rPr>
          <w:b/>
          <w:spacing w:val="22"/>
        </w:rPr>
        <w:t xml:space="preserve"> </w:t>
      </w:r>
      <w:r>
        <w:rPr>
          <w:b/>
        </w:rPr>
        <w:t>17.804,</w:t>
      </w:r>
      <w:r>
        <w:rPr>
          <w:b/>
          <w:spacing w:val="23"/>
        </w:rPr>
        <w:t xml:space="preserve"> </w:t>
      </w:r>
      <w:r>
        <w:rPr>
          <w:b/>
        </w:rPr>
        <w:t>DE</w:t>
      </w:r>
      <w:r>
        <w:rPr>
          <w:b/>
          <w:spacing w:val="22"/>
        </w:rPr>
        <w:t xml:space="preserve"> </w:t>
      </w:r>
      <w:r>
        <w:rPr>
          <w:b/>
        </w:rPr>
        <w:t>9</w:t>
      </w:r>
      <w:r>
        <w:rPr>
          <w:b/>
          <w:spacing w:val="23"/>
        </w:rPr>
        <w:t xml:space="preserve"> </w:t>
      </w:r>
      <w:r>
        <w:rPr>
          <w:b/>
        </w:rPr>
        <w:t>DE</w:t>
      </w:r>
      <w:r>
        <w:rPr>
          <w:b/>
          <w:spacing w:val="24"/>
        </w:rPr>
        <w:t xml:space="preserve"> </w:t>
      </w:r>
      <w:r>
        <w:rPr>
          <w:b/>
        </w:rPr>
        <w:t>MAIO</w:t>
      </w:r>
      <w:r>
        <w:rPr>
          <w:b/>
          <w:spacing w:val="24"/>
        </w:rPr>
        <w:t xml:space="preserve"> </w:t>
      </w:r>
      <w:r>
        <w:rPr>
          <w:b/>
        </w:rPr>
        <w:t>DE</w:t>
      </w:r>
      <w:r>
        <w:rPr>
          <w:b/>
          <w:spacing w:val="22"/>
        </w:rPr>
        <w:t xml:space="preserve"> </w:t>
      </w:r>
      <w:r>
        <w:rPr>
          <w:b/>
        </w:rPr>
        <w:t>2022</w:t>
      </w:r>
      <w:r>
        <w:t>.</w:t>
      </w:r>
      <w:r>
        <w:rPr>
          <w:spacing w:val="23"/>
        </w:rPr>
        <w:t xml:space="preserve"> </w:t>
      </w:r>
      <w:r>
        <w:t>Denomina</w:t>
      </w:r>
      <w:r>
        <w:rPr>
          <w:spacing w:val="23"/>
        </w:rPr>
        <w:t xml:space="preserve"> </w:t>
      </w:r>
      <w:r>
        <w:t>Viela</w:t>
      </w:r>
      <w:r>
        <w:rPr>
          <w:spacing w:val="23"/>
        </w:rPr>
        <w:t xml:space="preserve"> </w:t>
      </w:r>
      <w:r>
        <w:t>Orlando</w:t>
      </w:r>
      <w:r>
        <w:rPr>
          <w:spacing w:val="23"/>
        </w:rPr>
        <w:t xml:space="preserve"> </w:t>
      </w:r>
      <w:r>
        <w:t>Oliveira Moura [...]. São Paulo (SP): Diário Oficial do Município, 2022.</w:t>
      </w:r>
    </w:p>
    <w:p w:rsidR="007259F2" w:rsidRDefault="00E655B4">
      <w:pPr>
        <w:spacing w:before="118"/>
        <w:ind w:left="710" w:right="561"/>
      </w:pPr>
      <w:r>
        <w:t xml:space="preserve">SÃO PAULO (SP). </w:t>
      </w:r>
      <w:r>
        <w:rPr>
          <w:b/>
        </w:rPr>
        <w:t>LEI Nº 17.803, DE 9 DE MAIO DE 2022</w:t>
      </w:r>
      <w:r>
        <w:t>. Dispõe sobre a responsabilidade de</w:t>
      </w:r>
      <w:r>
        <w:rPr>
          <w:spacing w:val="40"/>
        </w:rPr>
        <w:t xml:space="preserve"> </w:t>
      </w:r>
      <w:r>
        <w:t>[...] São Paulo (SP): Diário Oficial do Município, 2022.</w:t>
      </w:r>
    </w:p>
    <w:p w:rsidR="007259F2" w:rsidRDefault="00E655B4">
      <w:pPr>
        <w:spacing w:before="121"/>
        <w:ind w:left="710"/>
      </w:pPr>
      <w:r>
        <w:t>SÃO</w:t>
      </w:r>
      <w:r>
        <w:rPr>
          <w:spacing w:val="28"/>
        </w:rPr>
        <w:t xml:space="preserve"> </w:t>
      </w:r>
      <w:r>
        <w:t>PAULO</w:t>
      </w:r>
      <w:r>
        <w:rPr>
          <w:spacing w:val="28"/>
        </w:rPr>
        <w:t xml:space="preserve"> </w:t>
      </w:r>
      <w:r>
        <w:t>(SP).</w:t>
      </w:r>
      <w:r>
        <w:rPr>
          <w:spacing w:val="30"/>
        </w:rPr>
        <w:t xml:space="preserve"> </w:t>
      </w:r>
      <w:r>
        <w:rPr>
          <w:b/>
        </w:rPr>
        <w:t>LEI</w:t>
      </w:r>
      <w:r>
        <w:rPr>
          <w:b/>
          <w:spacing w:val="25"/>
        </w:rPr>
        <w:t xml:space="preserve"> </w:t>
      </w:r>
      <w:r>
        <w:rPr>
          <w:b/>
        </w:rPr>
        <w:t>Nº</w:t>
      </w:r>
      <w:r>
        <w:rPr>
          <w:b/>
          <w:spacing w:val="29"/>
        </w:rPr>
        <w:t xml:space="preserve"> </w:t>
      </w:r>
      <w:r>
        <w:rPr>
          <w:b/>
        </w:rPr>
        <w:t>17.802,</w:t>
      </w:r>
      <w:r>
        <w:rPr>
          <w:b/>
          <w:spacing w:val="29"/>
        </w:rPr>
        <w:t xml:space="preserve"> </w:t>
      </w:r>
      <w:r>
        <w:rPr>
          <w:b/>
        </w:rPr>
        <w:t>DE</w:t>
      </w:r>
      <w:r>
        <w:rPr>
          <w:b/>
          <w:spacing w:val="26"/>
        </w:rPr>
        <w:t xml:space="preserve"> </w:t>
      </w:r>
      <w:r>
        <w:rPr>
          <w:b/>
        </w:rPr>
        <w:t>3</w:t>
      </w:r>
      <w:r>
        <w:rPr>
          <w:b/>
          <w:spacing w:val="30"/>
        </w:rPr>
        <w:t xml:space="preserve"> </w:t>
      </w:r>
      <w:r>
        <w:rPr>
          <w:b/>
        </w:rPr>
        <w:t>DE</w:t>
      </w:r>
      <w:r>
        <w:rPr>
          <w:b/>
          <w:spacing w:val="25"/>
        </w:rPr>
        <w:t xml:space="preserve"> </w:t>
      </w:r>
      <w:r>
        <w:rPr>
          <w:b/>
        </w:rPr>
        <w:t>MAIO</w:t>
      </w:r>
      <w:r>
        <w:rPr>
          <w:b/>
          <w:spacing w:val="30"/>
        </w:rPr>
        <w:t xml:space="preserve"> </w:t>
      </w:r>
      <w:r>
        <w:rPr>
          <w:b/>
        </w:rPr>
        <w:t>DE</w:t>
      </w:r>
      <w:r>
        <w:rPr>
          <w:b/>
          <w:spacing w:val="25"/>
        </w:rPr>
        <w:t xml:space="preserve"> </w:t>
      </w:r>
      <w:r>
        <w:rPr>
          <w:b/>
        </w:rPr>
        <w:t>2022</w:t>
      </w:r>
      <w:r>
        <w:t>.</w:t>
      </w:r>
      <w:r>
        <w:rPr>
          <w:spacing w:val="27"/>
        </w:rPr>
        <w:t xml:space="preserve"> </w:t>
      </w:r>
      <w:r>
        <w:t>Altera</w:t>
      </w:r>
      <w:r>
        <w:rPr>
          <w:spacing w:val="30"/>
        </w:rPr>
        <w:t xml:space="preserve"> </w:t>
      </w:r>
      <w:r>
        <w:t>a</w:t>
      </w:r>
      <w:r>
        <w:rPr>
          <w:spacing w:val="28"/>
        </w:rPr>
        <w:t xml:space="preserve"> </w:t>
      </w:r>
      <w:hyperlink r:id="rId277">
        <w:r>
          <w:rPr>
            <w:u w:val="single"/>
          </w:rPr>
          <w:t>Lei</w:t>
        </w:r>
      </w:hyperlink>
      <w:r>
        <w:rPr>
          <w:spacing w:val="29"/>
        </w:rPr>
        <w:t xml:space="preserve"> </w:t>
      </w:r>
      <w:r>
        <w:t>nº</w:t>
      </w:r>
      <w:r>
        <w:rPr>
          <w:spacing w:val="28"/>
        </w:rPr>
        <w:t xml:space="preserve"> </w:t>
      </w:r>
      <w:r>
        <w:t>14.977,</w:t>
      </w:r>
      <w:r>
        <w:rPr>
          <w:spacing w:val="29"/>
        </w:rPr>
        <w:t xml:space="preserve"> </w:t>
      </w:r>
      <w:r>
        <w:t>de</w:t>
      </w:r>
      <w:r>
        <w:rPr>
          <w:spacing w:val="28"/>
        </w:rPr>
        <w:t xml:space="preserve"> </w:t>
      </w:r>
      <w:r>
        <w:t>11</w:t>
      </w:r>
      <w:r>
        <w:rPr>
          <w:spacing w:val="27"/>
        </w:rPr>
        <w:t xml:space="preserve"> </w:t>
      </w:r>
      <w:r>
        <w:rPr>
          <w:spacing w:val="-5"/>
        </w:rPr>
        <w:t>de</w:t>
      </w:r>
    </w:p>
    <w:p w:rsidR="007259F2" w:rsidRDefault="00E655B4">
      <w:pPr>
        <w:spacing w:before="1"/>
        <w:ind w:left="710"/>
      </w:pPr>
      <w:r>
        <w:t>setembro</w:t>
      </w:r>
      <w:r>
        <w:rPr>
          <w:spacing w:val="-3"/>
        </w:rPr>
        <w:t xml:space="preserve"> </w:t>
      </w:r>
      <w:r>
        <w:t>de</w:t>
      </w:r>
      <w:r>
        <w:rPr>
          <w:spacing w:val="-3"/>
        </w:rPr>
        <w:t xml:space="preserve"> </w:t>
      </w:r>
      <w:r>
        <w:t>2009</w:t>
      </w:r>
      <w:r>
        <w:rPr>
          <w:spacing w:val="-5"/>
        </w:rPr>
        <w:t xml:space="preserve"> </w:t>
      </w:r>
      <w:r>
        <w:t>[...]</w:t>
      </w:r>
      <w:r>
        <w:rPr>
          <w:spacing w:val="-3"/>
        </w:rPr>
        <w:t xml:space="preserve"> </w:t>
      </w:r>
      <w:r>
        <w:t>São</w:t>
      </w:r>
      <w:r>
        <w:rPr>
          <w:spacing w:val="-6"/>
        </w:rPr>
        <w:t xml:space="preserve"> </w:t>
      </w:r>
      <w:r>
        <w:t>Paulo</w:t>
      </w:r>
      <w:r>
        <w:rPr>
          <w:spacing w:val="-6"/>
        </w:rPr>
        <w:t xml:space="preserve"> </w:t>
      </w:r>
      <w:r>
        <w:t>(SP):</w:t>
      </w:r>
      <w:r>
        <w:rPr>
          <w:spacing w:val="-2"/>
        </w:rPr>
        <w:t xml:space="preserve"> </w:t>
      </w:r>
      <w:r>
        <w:t>Diário</w:t>
      </w:r>
      <w:r>
        <w:rPr>
          <w:spacing w:val="-3"/>
        </w:rPr>
        <w:t xml:space="preserve"> </w:t>
      </w:r>
      <w:r>
        <w:t>Oficial</w:t>
      </w:r>
      <w:r>
        <w:rPr>
          <w:spacing w:val="-5"/>
        </w:rPr>
        <w:t xml:space="preserve"> </w:t>
      </w:r>
      <w:r>
        <w:t>do</w:t>
      </w:r>
      <w:r>
        <w:rPr>
          <w:spacing w:val="-3"/>
        </w:rPr>
        <w:t xml:space="preserve"> </w:t>
      </w:r>
      <w:r>
        <w:t>Município,</w:t>
      </w:r>
      <w:r>
        <w:rPr>
          <w:spacing w:val="-2"/>
        </w:rPr>
        <w:t xml:space="preserve"> 2022.</w:t>
      </w:r>
    </w:p>
    <w:p w:rsidR="007259F2" w:rsidRDefault="007259F2">
      <w:pPr>
        <w:sectPr w:rsidR="007259F2">
          <w:pgSz w:w="11910" w:h="16840"/>
          <w:pgMar w:top="1600" w:right="708" w:bottom="1020" w:left="992" w:header="0" w:footer="820" w:gutter="0"/>
          <w:cols w:space="720"/>
        </w:sectPr>
      </w:pPr>
    </w:p>
    <w:p w:rsidR="007259F2" w:rsidRDefault="00E655B4">
      <w:pPr>
        <w:spacing w:before="77"/>
        <w:ind w:left="710" w:right="561"/>
      </w:pPr>
      <w:r>
        <w:lastRenderedPageBreak/>
        <w:t xml:space="preserve">SÃO PAULO (SP). </w:t>
      </w:r>
      <w:r>
        <w:rPr>
          <w:b/>
        </w:rPr>
        <w:t>LEI Nº 17.801, DE 3 DE MAIO DE 2022</w:t>
      </w:r>
      <w:r>
        <w:t>. Denomina Rua Armando Gardenghi [...] São Paulo (SP): Diário Oficial do Município, 2022.</w:t>
      </w:r>
    </w:p>
    <w:p w:rsidR="007259F2" w:rsidRDefault="00E655B4">
      <w:pPr>
        <w:spacing w:before="121" w:line="252" w:lineRule="exact"/>
        <w:ind w:left="710"/>
      </w:pPr>
      <w:r>
        <w:t>SÃO</w:t>
      </w:r>
      <w:r>
        <w:rPr>
          <w:spacing w:val="-2"/>
        </w:rPr>
        <w:t xml:space="preserve"> </w:t>
      </w:r>
      <w:r>
        <w:t>PAULO</w:t>
      </w:r>
      <w:r>
        <w:rPr>
          <w:spacing w:val="2"/>
        </w:rPr>
        <w:t xml:space="preserve"> </w:t>
      </w:r>
      <w:r>
        <w:t>(SP).</w:t>
      </w:r>
      <w:r>
        <w:rPr>
          <w:spacing w:val="2"/>
        </w:rPr>
        <w:t xml:space="preserve"> </w:t>
      </w:r>
      <w:r>
        <w:rPr>
          <w:b/>
        </w:rPr>
        <w:t>LEI</w:t>
      </w:r>
      <w:r>
        <w:rPr>
          <w:b/>
          <w:spacing w:val="1"/>
        </w:rPr>
        <w:t xml:space="preserve"> </w:t>
      </w:r>
      <w:r>
        <w:rPr>
          <w:b/>
        </w:rPr>
        <w:t>Nº 17.800,</w:t>
      </w:r>
      <w:r>
        <w:rPr>
          <w:b/>
          <w:spacing w:val="1"/>
        </w:rPr>
        <w:t xml:space="preserve"> </w:t>
      </w:r>
      <w:r>
        <w:rPr>
          <w:b/>
        </w:rPr>
        <w:t>DE 3</w:t>
      </w:r>
      <w:r>
        <w:rPr>
          <w:b/>
          <w:spacing w:val="1"/>
        </w:rPr>
        <w:t xml:space="preserve"> </w:t>
      </w:r>
      <w:r>
        <w:rPr>
          <w:b/>
        </w:rPr>
        <w:t>DE</w:t>
      </w:r>
      <w:r>
        <w:rPr>
          <w:b/>
          <w:spacing w:val="2"/>
        </w:rPr>
        <w:t xml:space="preserve"> </w:t>
      </w:r>
      <w:r>
        <w:rPr>
          <w:b/>
        </w:rPr>
        <w:t>MAIO</w:t>
      </w:r>
      <w:r>
        <w:rPr>
          <w:b/>
          <w:spacing w:val="2"/>
        </w:rPr>
        <w:t xml:space="preserve"> </w:t>
      </w:r>
      <w:r>
        <w:rPr>
          <w:b/>
        </w:rPr>
        <w:t>DE 2022</w:t>
      </w:r>
      <w:r>
        <w:t>.</w:t>
      </w:r>
      <w:r>
        <w:rPr>
          <w:spacing w:val="1"/>
        </w:rPr>
        <w:t xml:space="preserve"> </w:t>
      </w:r>
      <w:r>
        <w:t>Altera</w:t>
      </w:r>
      <w:r>
        <w:rPr>
          <w:spacing w:val="1"/>
        </w:rPr>
        <w:t xml:space="preserve"> </w:t>
      </w:r>
      <w:r>
        <w:t>a</w:t>
      </w:r>
      <w:r>
        <w:rPr>
          <w:spacing w:val="2"/>
        </w:rPr>
        <w:t xml:space="preserve"> </w:t>
      </w:r>
      <w:hyperlink r:id="rId278">
        <w:r>
          <w:rPr>
            <w:u w:val="single"/>
          </w:rPr>
          <w:t>Lei</w:t>
        </w:r>
      </w:hyperlink>
      <w:r>
        <w:rPr>
          <w:spacing w:val="2"/>
          <w:u w:val="single"/>
        </w:rPr>
        <w:t xml:space="preserve"> </w:t>
      </w:r>
      <w:hyperlink r:id="rId279">
        <w:r>
          <w:rPr>
            <w:u w:val="single"/>
          </w:rPr>
          <w:t>nº</w:t>
        </w:r>
        <w:r>
          <w:rPr>
            <w:spacing w:val="2"/>
            <w:u w:val="single"/>
          </w:rPr>
          <w:t xml:space="preserve"> </w:t>
        </w:r>
        <w:r>
          <w:rPr>
            <w:u w:val="single"/>
          </w:rPr>
          <w:t>14.485,</w:t>
        </w:r>
        <w:r>
          <w:rPr>
            <w:spacing w:val="1"/>
            <w:u w:val="single"/>
          </w:rPr>
          <w:t xml:space="preserve"> </w:t>
        </w:r>
        <w:r>
          <w:rPr>
            <w:u w:val="single"/>
          </w:rPr>
          <w:t>de</w:t>
        </w:r>
        <w:r>
          <w:rPr>
            <w:spacing w:val="1"/>
            <w:u w:val="single"/>
          </w:rPr>
          <w:t xml:space="preserve"> </w:t>
        </w:r>
        <w:r>
          <w:rPr>
            <w:u w:val="single"/>
          </w:rPr>
          <w:t>19</w:t>
        </w:r>
        <w:r>
          <w:rPr>
            <w:spacing w:val="1"/>
            <w:u w:val="single"/>
          </w:rPr>
          <w:t xml:space="preserve"> </w:t>
        </w:r>
        <w:r>
          <w:rPr>
            <w:u w:val="single"/>
          </w:rPr>
          <w:t xml:space="preserve">de </w:t>
        </w:r>
        <w:r>
          <w:rPr>
            <w:spacing w:val="-2"/>
            <w:u w:val="single"/>
          </w:rPr>
          <w:t>julho</w:t>
        </w:r>
      </w:hyperlink>
    </w:p>
    <w:p w:rsidR="007259F2" w:rsidRDefault="00DE6B1C">
      <w:pPr>
        <w:spacing w:line="252" w:lineRule="exact"/>
        <w:ind w:left="710"/>
      </w:pPr>
      <w:hyperlink r:id="rId280">
        <w:r w:rsidR="00E655B4">
          <w:rPr>
            <w:u w:val="single"/>
          </w:rPr>
          <w:t>de</w:t>
        </w:r>
        <w:r w:rsidR="00E655B4">
          <w:rPr>
            <w:spacing w:val="-3"/>
            <w:u w:val="single"/>
          </w:rPr>
          <w:t xml:space="preserve"> </w:t>
        </w:r>
        <w:r w:rsidR="00E655B4">
          <w:rPr>
            <w:u w:val="single"/>
          </w:rPr>
          <w:t>2007,</w:t>
        </w:r>
      </w:hyperlink>
      <w:r w:rsidR="00E655B4">
        <w:rPr>
          <w:spacing w:val="-5"/>
        </w:rPr>
        <w:t xml:space="preserve"> </w:t>
      </w:r>
      <w:r w:rsidR="00E655B4">
        <w:t>[...]</w:t>
      </w:r>
      <w:r w:rsidR="00E655B4">
        <w:rPr>
          <w:spacing w:val="-3"/>
        </w:rPr>
        <w:t xml:space="preserve"> </w:t>
      </w:r>
      <w:r w:rsidR="00E655B4">
        <w:t>São</w:t>
      </w:r>
      <w:r w:rsidR="00E655B4">
        <w:rPr>
          <w:spacing w:val="-2"/>
        </w:rPr>
        <w:t xml:space="preserve"> </w:t>
      </w:r>
      <w:r w:rsidR="00E655B4">
        <w:t>Paulo</w:t>
      </w:r>
      <w:r w:rsidR="00E655B4">
        <w:rPr>
          <w:spacing w:val="-6"/>
        </w:rPr>
        <w:t xml:space="preserve"> </w:t>
      </w:r>
      <w:r w:rsidR="00E655B4">
        <w:t>(SP):</w:t>
      </w:r>
      <w:r w:rsidR="00E655B4">
        <w:rPr>
          <w:spacing w:val="-2"/>
        </w:rPr>
        <w:t xml:space="preserve"> </w:t>
      </w:r>
      <w:r w:rsidR="00E655B4">
        <w:t>Diário</w:t>
      </w:r>
      <w:r w:rsidR="00E655B4">
        <w:rPr>
          <w:spacing w:val="-2"/>
        </w:rPr>
        <w:t xml:space="preserve"> </w:t>
      </w:r>
      <w:r w:rsidR="00E655B4">
        <w:t>Oficial</w:t>
      </w:r>
      <w:r w:rsidR="00E655B4">
        <w:rPr>
          <w:spacing w:val="-4"/>
        </w:rPr>
        <w:t xml:space="preserve"> </w:t>
      </w:r>
      <w:r w:rsidR="00E655B4">
        <w:t>do</w:t>
      </w:r>
      <w:r w:rsidR="00E655B4">
        <w:rPr>
          <w:spacing w:val="-3"/>
        </w:rPr>
        <w:t xml:space="preserve"> </w:t>
      </w:r>
      <w:r w:rsidR="00E655B4">
        <w:t>Município,</w:t>
      </w:r>
      <w:r w:rsidR="00E655B4">
        <w:rPr>
          <w:spacing w:val="-2"/>
        </w:rPr>
        <w:t xml:space="preserve"> 2022.</w:t>
      </w:r>
    </w:p>
    <w:p w:rsidR="007259F2" w:rsidRDefault="00E655B4">
      <w:pPr>
        <w:spacing w:before="119"/>
        <w:ind w:left="710"/>
      </w:pPr>
      <w:r>
        <w:t>SÃO</w:t>
      </w:r>
      <w:r>
        <w:rPr>
          <w:spacing w:val="-2"/>
        </w:rPr>
        <w:t xml:space="preserve"> </w:t>
      </w:r>
      <w:r>
        <w:t>PAULO</w:t>
      </w:r>
      <w:r>
        <w:rPr>
          <w:spacing w:val="2"/>
        </w:rPr>
        <w:t xml:space="preserve"> </w:t>
      </w:r>
      <w:r>
        <w:t>(SP).</w:t>
      </w:r>
      <w:r>
        <w:rPr>
          <w:spacing w:val="2"/>
        </w:rPr>
        <w:t xml:space="preserve"> </w:t>
      </w:r>
      <w:r>
        <w:rPr>
          <w:b/>
        </w:rPr>
        <w:t>LEI</w:t>
      </w:r>
      <w:r>
        <w:rPr>
          <w:b/>
          <w:spacing w:val="1"/>
        </w:rPr>
        <w:t xml:space="preserve"> </w:t>
      </w:r>
      <w:r>
        <w:rPr>
          <w:b/>
        </w:rPr>
        <w:t>Nº 17.799,</w:t>
      </w:r>
      <w:r>
        <w:rPr>
          <w:b/>
          <w:spacing w:val="1"/>
        </w:rPr>
        <w:t xml:space="preserve"> </w:t>
      </w:r>
      <w:r>
        <w:rPr>
          <w:b/>
        </w:rPr>
        <w:t>DE 3</w:t>
      </w:r>
      <w:r>
        <w:rPr>
          <w:b/>
          <w:spacing w:val="1"/>
        </w:rPr>
        <w:t xml:space="preserve"> </w:t>
      </w:r>
      <w:r>
        <w:rPr>
          <w:b/>
        </w:rPr>
        <w:t>DE</w:t>
      </w:r>
      <w:r>
        <w:rPr>
          <w:b/>
          <w:spacing w:val="2"/>
        </w:rPr>
        <w:t xml:space="preserve"> </w:t>
      </w:r>
      <w:r>
        <w:rPr>
          <w:b/>
        </w:rPr>
        <w:t>MAIO</w:t>
      </w:r>
      <w:r>
        <w:rPr>
          <w:b/>
          <w:spacing w:val="3"/>
        </w:rPr>
        <w:t xml:space="preserve"> </w:t>
      </w:r>
      <w:r>
        <w:rPr>
          <w:b/>
        </w:rPr>
        <w:t>DE 2022</w:t>
      </w:r>
      <w:r>
        <w:t>.</w:t>
      </w:r>
      <w:r>
        <w:rPr>
          <w:spacing w:val="1"/>
        </w:rPr>
        <w:t xml:space="preserve"> </w:t>
      </w:r>
      <w:r>
        <w:t>Altera</w:t>
      </w:r>
      <w:r>
        <w:rPr>
          <w:spacing w:val="1"/>
        </w:rPr>
        <w:t xml:space="preserve"> </w:t>
      </w:r>
      <w:r>
        <w:t>a</w:t>
      </w:r>
      <w:r>
        <w:rPr>
          <w:spacing w:val="2"/>
        </w:rPr>
        <w:t xml:space="preserve"> </w:t>
      </w:r>
      <w:hyperlink r:id="rId281">
        <w:r>
          <w:rPr>
            <w:u w:val="single"/>
          </w:rPr>
          <w:t>Lei</w:t>
        </w:r>
      </w:hyperlink>
      <w:r>
        <w:rPr>
          <w:spacing w:val="2"/>
          <w:u w:val="single"/>
        </w:rPr>
        <w:t xml:space="preserve"> </w:t>
      </w:r>
      <w:hyperlink r:id="rId282">
        <w:r>
          <w:rPr>
            <w:u w:val="single"/>
          </w:rPr>
          <w:t>nº</w:t>
        </w:r>
        <w:r>
          <w:rPr>
            <w:spacing w:val="2"/>
            <w:u w:val="single"/>
          </w:rPr>
          <w:t xml:space="preserve"> </w:t>
        </w:r>
        <w:r>
          <w:rPr>
            <w:u w:val="single"/>
          </w:rPr>
          <w:t>14.485,</w:t>
        </w:r>
        <w:r>
          <w:rPr>
            <w:spacing w:val="1"/>
            <w:u w:val="single"/>
          </w:rPr>
          <w:t xml:space="preserve"> </w:t>
        </w:r>
        <w:r>
          <w:rPr>
            <w:u w:val="single"/>
          </w:rPr>
          <w:t>de</w:t>
        </w:r>
        <w:r>
          <w:rPr>
            <w:spacing w:val="1"/>
            <w:u w:val="single"/>
          </w:rPr>
          <w:t xml:space="preserve"> </w:t>
        </w:r>
        <w:r>
          <w:rPr>
            <w:u w:val="single"/>
          </w:rPr>
          <w:t>19</w:t>
        </w:r>
        <w:r>
          <w:rPr>
            <w:spacing w:val="1"/>
            <w:u w:val="single"/>
          </w:rPr>
          <w:t xml:space="preserve"> </w:t>
        </w:r>
        <w:r>
          <w:rPr>
            <w:u w:val="single"/>
          </w:rPr>
          <w:t xml:space="preserve">de </w:t>
        </w:r>
        <w:r>
          <w:rPr>
            <w:spacing w:val="-2"/>
            <w:u w:val="single"/>
          </w:rPr>
          <w:t>julho</w:t>
        </w:r>
      </w:hyperlink>
    </w:p>
    <w:p w:rsidR="007259F2" w:rsidRDefault="00DE6B1C">
      <w:pPr>
        <w:spacing w:before="1"/>
        <w:ind w:left="710"/>
      </w:pPr>
      <w:hyperlink r:id="rId283">
        <w:r w:rsidR="00E655B4">
          <w:rPr>
            <w:u w:val="single"/>
          </w:rPr>
          <w:t>de</w:t>
        </w:r>
        <w:r w:rsidR="00E655B4">
          <w:rPr>
            <w:spacing w:val="-3"/>
            <w:u w:val="single"/>
          </w:rPr>
          <w:t xml:space="preserve"> </w:t>
        </w:r>
        <w:r w:rsidR="00E655B4">
          <w:rPr>
            <w:u w:val="single"/>
          </w:rPr>
          <w:t>2007,</w:t>
        </w:r>
      </w:hyperlink>
      <w:r w:rsidR="00E655B4">
        <w:rPr>
          <w:spacing w:val="-5"/>
        </w:rPr>
        <w:t xml:space="preserve"> </w:t>
      </w:r>
      <w:r w:rsidR="00E655B4">
        <w:t>[...]</w:t>
      </w:r>
      <w:r w:rsidR="00E655B4">
        <w:rPr>
          <w:spacing w:val="-3"/>
        </w:rPr>
        <w:t xml:space="preserve"> </w:t>
      </w:r>
      <w:r w:rsidR="00E655B4">
        <w:t>São</w:t>
      </w:r>
      <w:r w:rsidR="00E655B4">
        <w:rPr>
          <w:spacing w:val="-2"/>
        </w:rPr>
        <w:t xml:space="preserve"> </w:t>
      </w:r>
      <w:r w:rsidR="00E655B4">
        <w:t>Paulo</w:t>
      </w:r>
      <w:r w:rsidR="00E655B4">
        <w:rPr>
          <w:spacing w:val="-6"/>
        </w:rPr>
        <w:t xml:space="preserve"> </w:t>
      </w:r>
      <w:r w:rsidR="00E655B4">
        <w:t>(SP):</w:t>
      </w:r>
      <w:r w:rsidR="00E655B4">
        <w:rPr>
          <w:spacing w:val="-2"/>
        </w:rPr>
        <w:t xml:space="preserve"> </w:t>
      </w:r>
      <w:r w:rsidR="00E655B4">
        <w:t>Diário</w:t>
      </w:r>
      <w:r w:rsidR="00E655B4">
        <w:rPr>
          <w:spacing w:val="-2"/>
        </w:rPr>
        <w:t xml:space="preserve"> </w:t>
      </w:r>
      <w:r w:rsidR="00E655B4">
        <w:t>Oficial</w:t>
      </w:r>
      <w:r w:rsidR="00E655B4">
        <w:rPr>
          <w:spacing w:val="-4"/>
        </w:rPr>
        <w:t xml:space="preserve"> </w:t>
      </w:r>
      <w:r w:rsidR="00E655B4">
        <w:t>do</w:t>
      </w:r>
      <w:r w:rsidR="00E655B4">
        <w:rPr>
          <w:spacing w:val="-3"/>
        </w:rPr>
        <w:t xml:space="preserve"> </w:t>
      </w:r>
      <w:r w:rsidR="00E655B4">
        <w:t>Município,</w:t>
      </w:r>
      <w:r w:rsidR="00E655B4">
        <w:rPr>
          <w:spacing w:val="-2"/>
        </w:rPr>
        <w:t xml:space="preserve"> 2022.</w:t>
      </w:r>
    </w:p>
    <w:p w:rsidR="007259F2" w:rsidRDefault="00E655B4">
      <w:pPr>
        <w:spacing w:before="119"/>
        <w:ind w:left="710"/>
      </w:pPr>
      <w:r>
        <w:t>SÃO</w:t>
      </w:r>
      <w:r>
        <w:rPr>
          <w:spacing w:val="-2"/>
        </w:rPr>
        <w:t xml:space="preserve"> </w:t>
      </w:r>
      <w:r>
        <w:t>PAULO</w:t>
      </w:r>
      <w:r>
        <w:rPr>
          <w:spacing w:val="2"/>
        </w:rPr>
        <w:t xml:space="preserve"> </w:t>
      </w:r>
      <w:r>
        <w:t>(SP).</w:t>
      </w:r>
      <w:r>
        <w:rPr>
          <w:spacing w:val="2"/>
        </w:rPr>
        <w:t xml:space="preserve"> </w:t>
      </w:r>
      <w:r>
        <w:rPr>
          <w:b/>
        </w:rPr>
        <w:t>LEI</w:t>
      </w:r>
      <w:r>
        <w:rPr>
          <w:b/>
          <w:spacing w:val="1"/>
        </w:rPr>
        <w:t xml:space="preserve"> </w:t>
      </w:r>
      <w:r>
        <w:rPr>
          <w:b/>
        </w:rPr>
        <w:t>Nº 17.798,</w:t>
      </w:r>
      <w:r>
        <w:rPr>
          <w:b/>
          <w:spacing w:val="1"/>
        </w:rPr>
        <w:t xml:space="preserve"> </w:t>
      </w:r>
      <w:r>
        <w:rPr>
          <w:b/>
        </w:rPr>
        <w:t>DE 3</w:t>
      </w:r>
      <w:r>
        <w:rPr>
          <w:b/>
          <w:spacing w:val="1"/>
        </w:rPr>
        <w:t xml:space="preserve"> </w:t>
      </w:r>
      <w:r>
        <w:rPr>
          <w:b/>
        </w:rPr>
        <w:t>DE</w:t>
      </w:r>
      <w:r>
        <w:rPr>
          <w:b/>
          <w:spacing w:val="2"/>
        </w:rPr>
        <w:t xml:space="preserve"> </w:t>
      </w:r>
      <w:r>
        <w:rPr>
          <w:b/>
        </w:rPr>
        <w:t>MAIO</w:t>
      </w:r>
      <w:r>
        <w:rPr>
          <w:b/>
          <w:spacing w:val="3"/>
        </w:rPr>
        <w:t xml:space="preserve"> </w:t>
      </w:r>
      <w:r>
        <w:rPr>
          <w:b/>
        </w:rPr>
        <w:t>DE 2022</w:t>
      </w:r>
      <w:r>
        <w:t>.</w:t>
      </w:r>
      <w:r>
        <w:rPr>
          <w:spacing w:val="1"/>
        </w:rPr>
        <w:t xml:space="preserve"> </w:t>
      </w:r>
      <w:r>
        <w:t>Altera</w:t>
      </w:r>
      <w:r>
        <w:rPr>
          <w:spacing w:val="1"/>
        </w:rPr>
        <w:t xml:space="preserve"> </w:t>
      </w:r>
      <w:r>
        <w:t>a</w:t>
      </w:r>
      <w:r>
        <w:rPr>
          <w:spacing w:val="2"/>
        </w:rPr>
        <w:t xml:space="preserve"> </w:t>
      </w:r>
      <w:hyperlink r:id="rId284">
        <w:r>
          <w:rPr>
            <w:u w:val="single"/>
          </w:rPr>
          <w:t>Lei</w:t>
        </w:r>
      </w:hyperlink>
      <w:r>
        <w:rPr>
          <w:spacing w:val="2"/>
          <w:u w:val="single"/>
        </w:rPr>
        <w:t xml:space="preserve"> </w:t>
      </w:r>
      <w:hyperlink r:id="rId285">
        <w:r>
          <w:rPr>
            <w:u w:val="single"/>
          </w:rPr>
          <w:t>nº</w:t>
        </w:r>
        <w:r>
          <w:rPr>
            <w:spacing w:val="2"/>
            <w:u w:val="single"/>
          </w:rPr>
          <w:t xml:space="preserve"> </w:t>
        </w:r>
        <w:r>
          <w:rPr>
            <w:u w:val="single"/>
          </w:rPr>
          <w:t>14.485,</w:t>
        </w:r>
        <w:r>
          <w:rPr>
            <w:spacing w:val="1"/>
            <w:u w:val="single"/>
          </w:rPr>
          <w:t xml:space="preserve"> </w:t>
        </w:r>
        <w:r>
          <w:rPr>
            <w:u w:val="single"/>
          </w:rPr>
          <w:t>de</w:t>
        </w:r>
        <w:r>
          <w:rPr>
            <w:spacing w:val="1"/>
            <w:u w:val="single"/>
          </w:rPr>
          <w:t xml:space="preserve"> </w:t>
        </w:r>
        <w:r>
          <w:rPr>
            <w:u w:val="single"/>
          </w:rPr>
          <w:t>19</w:t>
        </w:r>
        <w:r>
          <w:rPr>
            <w:spacing w:val="1"/>
            <w:u w:val="single"/>
          </w:rPr>
          <w:t xml:space="preserve"> </w:t>
        </w:r>
        <w:r>
          <w:rPr>
            <w:u w:val="single"/>
          </w:rPr>
          <w:t xml:space="preserve">de </w:t>
        </w:r>
        <w:r>
          <w:rPr>
            <w:spacing w:val="-2"/>
            <w:u w:val="single"/>
          </w:rPr>
          <w:t>julho</w:t>
        </w:r>
      </w:hyperlink>
    </w:p>
    <w:p w:rsidR="007259F2" w:rsidRDefault="00DE6B1C">
      <w:pPr>
        <w:spacing w:before="1"/>
        <w:ind w:left="710"/>
      </w:pPr>
      <w:hyperlink r:id="rId286">
        <w:r w:rsidR="00E655B4">
          <w:rPr>
            <w:u w:val="single"/>
          </w:rPr>
          <w:t>de</w:t>
        </w:r>
        <w:r w:rsidR="00E655B4">
          <w:rPr>
            <w:spacing w:val="-3"/>
            <w:u w:val="single"/>
          </w:rPr>
          <w:t xml:space="preserve"> </w:t>
        </w:r>
        <w:r w:rsidR="00E655B4">
          <w:rPr>
            <w:u w:val="single"/>
          </w:rPr>
          <w:t>2007,</w:t>
        </w:r>
      </w:hyperlink>
      <w:r w:rsidR="00E655B4">
        <w:rPr>
          <w:spacing w:val="-5"/>
        </w:rPr>
        <w:t xml:space="preserve"> </w:t>
      </w:r>
      <w:r w:rsidR="00E655B4">
        <w:t>[...]</w:t>
      </w:r>
      <w:r w:rsidR="00E655B4">
        <w:rPr>
          <w:spacing w:val="-3"/>
        </w:rPr>
        <w:t xml:space="preserve"> </w:t>
      </w:r>
      <w:r w:rsidR="00E655B4">
        <w:t>São</w:t>
      </w:r>
      <w:r w:rsidR="00E655B4">
        <w:rPr>
          <w:spacing w:val="-2"/>
        </w:rPr>
        <w:t xml:space="preserve"> </w:t>
      </w:r>
      <w:r w:rsidR="00E655B4">
        <w:t>Paulo</w:t>
      </w:r>
      <w:r w:rsidR="00E655B4">
        <w:rPr>
          <w:spacing w:val="-6"/>
        </w:rPr>
        <w:t xml:space="preserve"> </w:t>
      </w:r>
      <w:r w:rsidR="00E655B4">
        <w:t>(SP):</w:t>
      </w:r>
      <w:r w:rsidR="00E655B4">
        <w:rPr>
          <w:spacing w:val="-2"/>
        </w:rPr>
        <w:t xml:space="preserve"> </w:t>
      </w:r>
      <w:r w:rsidR="00E655B4">
        <w:t>Diário</w:t>
      </w:r>
      <w:r w:rsidR="00E655B4">
        <w:rPr>
          <w:spacing w:val="-2"/>
        </w:rPr>
        <w:t xml:space="preserve"> </w:t>
      </w:r>
      <w:r w:rsidR="00E655B4">
        <w:t>Oficial</w:t>
      </w:r>
      <w:r w:rsidR="00E655B4">
        <w:rPr>
          <w:spacing w:val="-2"/>
        </w:rPr>
        <w:t xml:space="preserve"> </w:t>
      </w:r>
      <w:r w:rsidR="00E655B4">
        <w:t>do</w:t>
      </w:r>
      <w:r w:rsidR="00E655B4">
        <w:rPr>
          <w:spacing w:val="-3"/>
        </w:rPr>
        <w:t xml:space="preserve"> </w:t>
      </w:r>
      <w:r w:rsidR="00E655B4">
        <w:t>Município,</w:t>
      </w:r>
      <w:r w:rsidR="00E655B4">
        <w:rPr>
          <w:spacing w:val="-2"/>
        </w:rPr>
        <w:t xml:space="preserve"> 2022.</w:t>
      </w:r>
    </w:p>
    <w:p w:rsidR="007259F2" w:rsidRDefault="00E655B4">
      <w:pPr>
        <w:spacing w:before="119"/>
        <w:ind w:left="710" w:right="422"/>
      </w:pPr>
      <w:r>
        <w:t>SÃO</w:t>
      </w:r>
      <w:r>
        <w:rPr>
          <w:spacing w:val="23"/>
        </w:rPr>
        <w:t xml:space="preserve"> </w:t>
      </w:r>
      <w:r>
        <w:t>PAULO</w:t>
      </w:r>
      <w:r>
        <w:rPr>
          <w:spacing w:val="22"/>
        </w:rPr>
        <w:t xml:space="preserve"> </w:t>
      </w:r>
      <w:r>
        <w:t>(SP).</w:t>
      </w:r>
      <w:r>
        <w:rPr>
          <w:spacing w:val="22"/>
        </w:rPr>
        <w:t xml:space="preserve"> </w:t>
      </w:r>
      <w:r>
        <w:rPr>
          <w:b/>
        </w:rPr>
        <w:t>LEI</w:t>
      </w:r>
      <w:r>
        <w:rPr>
          <w:b/>
          <w:spacing w:val="22"/>
        </w:rPr>
        <w:t xml:space="preserve"> </w:t>
      </w:r>
      <w:r>
        <w:rPr>
          <w:b/>
        </w:rPr>
        <w:t>Nº</w:t>
      </w:r>
      <w:r>
        <w:rPr>
          <w:b/>
          <w:spacing w:val="23"/>
        </w:rPr>
        <w:t xml:space="preserve"> </w:t>
      </w:r>
      <w:r>
        <w:rPr>
          <w:b/>
        </w:rPr>
        <w:t>17.797,</w:t>
      </w:r>
      <w:r>
        <w:rPr>
          <w:b/>
          <w:spacing w:val="24"/>
        </w:rPr>
        <w:t xml:space="preserve"> </w:t>
      </w:r>
      <w:r>
        <w:rPr>
          <w:b/>
        </w:rPr>
        <w:t>DE</w:t>
      </w:r>
      <w:r>
        <w:rPr>
          <w:b/>
          <w:spacing w:val="21"/>
        </w:rPr>
        <w:t xml:space="preserve"> </w:t>
      </w:r>
      <w:r>
        <w:rPr>
          <w:b/>
        </w:rPr>
        <w:t>3</w:t>
      </w:r>
      <w:r>
        <w:rPr>
          <w:b/>
          <w:spacing w:val="24"/>
        </w:rPr>
        <w:t xml:space="preserve"> </w:t>
      </w:r>
      <w:r>
        <w:rPr>
          <w:b/>
        </w:rPr>
        <w:t>DE</w:t>
      </w:r>
      <w:r>
        <w:rPr>
          <w:b/>
          <w:spacing w:val="21"/>
        </w:rPr>
        <w:t xml:space="preserve"> </w:t>
      </w:r>
      <w:r>
        <w:rPr>
          <w:b/>
        </w:rPr>
        <w:t>MAIO</w:t>
      </w:r>
      <w:r>
        <w:rPr>
          <w:b/>
          <w:spacing w:val="23"/>
        </w:rPr>
        <w:t xml:space="preserve"> </w:t>
      </w:r>
      <w:r>
        <w:rPr>
          <w:b/>
        </w:rPr>
        <w:t>DE</w:t>
      </w:r>
      <w:r>
        <w:rPr>
          <w:b/>
          <w:spacing w:val="23"/>
        </w:rPr>
        <w:t xml:space="preserve"> </w:t>
      </w:r>
      <w:r>
        <w:rPr>
          <w:b/>
        </w:rPr>
        <w:t>2022</w:t>
      </w:r>
      <w:r>
        <w:t>.</w:t>
      </w:r>
      <w:r>
        <w:rPr>
          <w:spacing w:val="22"/>
        </w:rPr>
        <w:t xml:space="preserve"> </w:t>
      </w:r>
      <w:r>
        <w:t>Altera</w:t>
      </w:r>
      <w:r>
        <w:rPr>
          <w:spacing w:val="22"/>
        </w:rPr>
        <w:t xml:space="preserve"> </w:t>
      </w:r>
      <w:r>
        <w:t>a</w:t>
      </w:r>
      <w:r>
        <w:rPr>
          <w:spacing w:val="24"/>
        </w:rPr>
        <w:t xml:space="preserve"> </w:t>
      </w:r>
      <w:r>
        <w:t>denominação</w:t>
      </w:r>
      <w:r>
        <w:rPr>
          <w:spacing w:val="24"/>
        </w:rPr>
        <w:t xml:space="preserve"> </w:t>
      </w:r>
      <w:r>
        <w:t>do</w:t>
      </w:r>
      <w:r>
        <w:rPr>
          <w:spacing w:val="19"/>
        </w:rPr>
        <w:t xml:space="preserve"> </w:t>
      </w:r>
      <w:r>
        <w:t>Viaduto Pires do Rio [...] São Paulo (SP): Diário Oficial do Município, 2022.</w:t>
      </w:r>
    </w:p>
    <w:p w:rsidR="007259F2" w:rsidRDefault="00E655B4">
      <w:pPr>
        <w:spacing w:before="122"/>
        <w:ind w:left="710" w:right="424"/>
      </w:pPr>
      <w:r>
        <w:t xml:space="preserve">SÃO PAULO (SP). </w:t>
      </w:r>
      <w:r>
        <w:rPr>
          <w:b/>
        </w:rPr>
        <w:t>LEI Nº 17.796, DE 3 DE MAIO DE 2022</w:t>
      </w:r>
      <w:r>
        <w:t>. Altera para Praça Capital João Freire D´Avila Neto [...] São Paulo (SP): Diário Oficial do Município, 2022.</w:t>
      </w:r>
    </w:p>
    <w:p w:rsidR="007259F2" w:rsidRDefault="00E655B4">
      <w:pPr>
        <w:spacing w:before="120"/>
        <w:ind w:left="710" w:right="424"/>
      </w:pPr>
      <w:r>
        <w:t>SÃO</w:t>
      </w:r>
      <w:r>
        <w:rPr>
          <w:spacing w:val="33"/>
        </w:rPr>
        <w:t xml:space="preserve"> </w:t>
      </w:r>
      <w:r>
        <w:t>PAULO</w:t>
      </w:r>
      <w:r>
        <w:rPr>
          <w:spacing w:val="33"/>
        </w:rPr>
        <w:t xml:space="preserve"> </w:t>
      </w:r>
      <w:r>
        <w:t>(SP).</w:t>
      </w:r>
      <w:r>
        <w:rPr>
          <w:spacing w:val="35"/>
        </w:rPr>
        <w:t xml:space="preserve"> </w:t>
      </w:r>
      <w:r>
        <w:rPr>
          <w:b/>
        </w:rPr>
        <w:t>LEI</w:t>
      </w:r>
      <w:r>
        <w:rPr>
          <w:b/>
          <w:spacing w:val="35"/>
        </w:rPr>
        <w:t xml:space="preserve"> </w:t>
      </w:r>
      <w:r>
        <w:rPr>
          <w:b/>
        </w:rPr>
        <w:t>Nº</w:t>
      </w:r>
      <w:r>
        <w:rPr>
          <w:b/>
          <w:spacing w:val="34"/>
        </w:rPr>
        <w:t xml:space="preserve"> </w:t>
      </w:r>
      <w:r>
        <w:rPr>
          <w:b/>
        </w:rPr>
        <w:t>17.795,</w:t>
      </w:r>
      <w:r>
        <w:rPr>
          <w:b/>
          <w:spacing w:val="34"/>
        </w:rPr>
        <w:t xml:space="preserve"> </w:t>
      </w:r>
      <w:r>
        <w:rPr>
          <w:b/>
        </w:rPr>
        <w:t>DE</w:t>
      </w:r>
      <w:r>
        <w:rPr>
          <w:b/>
          <w:spacing w:val="34"/>
        </w:rPr>
        <w:t xml:space="preserve"> </w:t>
      </w:r>
      <w:r>
        <w:rPr>
          <w:b/>
        </w:rPr>
        <w:t>3</w:t>
      </w:r>
      <w:r>
        <w:rPr>
          <w:b/>
          <w:spacing w:val="34"/>
        </w:rPr>
        <w:t xml:space="preserve"> </w:t>
      </w:r>
      <w:r>
        <w:rPr>
          <w:b/>
        </w:rPr>
        <w:t>DE</w:t>
      </w:r>
      <w:r>
        <w:rPr>
          <w:b/>
          <w:spacing w:val="34"/>
        </w:rPr>
        <w:t xml:space="preserve"> </w:t>
      </w:r>
      <w:r>
        <w:rPr>
          <w:b/>
        </w:rPr>
        <w:t>MAIO</w:t>
      </w:r>
      <w:r>
        <w:rPr>
          <w:b/>
          <w:spacing w:val="35"/>
        </w:rPr>
        <w:t xml:space="preserve"> </w:t>
      </w:r>
      <w:r>
        <w:rPr>
          <w:b/>
        </w:rPr>
        <w:t>DE</w:t>
      </w:r>
      <w:r>
        <w:rPr>
          <w:b/>
          <w:spacing w:val="34"/>
        </w:rPr>
        <w:t xml:space="preserve"> </w:t>
      </w:r>
      <w:r>
        <w:rPr>
          <w:b/>
        </w:rPr>
        <w:t>2022</w:t>
      </w:r>
      <w:r>
        <w:t>.</w:t>
      </w:r>
      <w:r>
        <w:rPr>
          <w:spacing w:val="34"/>
        </w:rPr>
        <w:t xml:space="preserve"> </w:t>
      </w:r>
      <w:r>
        <w:t>Denomina</w:t>
      </w:r>
      <w:r>
        <w:rPr>
          <w:spacing w:val="32"/>
        </w:rPr>
        <w:t xml:space="preserve"> </w:t>
      </w:r>
      <w:r>
        <w:t>Praça</w:t>
      </w:r>
      <w:r>
        <w:rPr>
          <w:spacing w:val="32"/>
        </w:rPr>
        <w:t xml:space="preserve"> </w:t>
      </w:r>
      <w:r>
        <w:t>Marcelo</w:t>
      </w:r>
      <w:r>
        <w:rPr>
          <w:spacing w:val="34"/>
        </w:rPr>
        <w:t xml:space="preserve"> </w:t>
      </w:r>
      <w:r>
        <w:t>Meira Amaral Bogaciovas [...] São Paulo (SP): Diário Oficial do Município, 2022.</w:t>
      </w:r>
    </w:p>
    <w:p w:rsidR="007259F2" w:rsidRDefault="00E655B4">
      <w:pPr>
        <w:spacing w:before="118"/>
        <w:ind w:left="710"/>
      </w:pPr>
      <w:r>
        <w:t>SÃO</w:t>
      </w:r>
      <w:r>
        <w:rPr>
          <w:spacing w:val="24"/>
        </w:rPr>
        <w:t xml:space="preserve"> </w:t>
      </w:r>
      <w:r>
        <w:t>PAULO</w:t>
      </w:r>
      <w:r>
        <w:rPr>
          <w:spacing w:val="23"/>
        </w:rPr>
        <w:t xml:space="preserve"> </w:t>
      </w:r>
      <w:r>
        <w:t>(SP).</w:t>
      </w:r>
      <w:r>
        <w:rPr>
          <w:spacing w:val="25"/>
        </w:rPr>
        <w:t xml:space="preserve"> </w:t>
      </w:r>
      <w:r>
        <w:rPr>
          <w:b/>
        </w:rPr>
        <w:t>LEI</w:t>
      </w:r>
      <w:r>
        <w:rPr>
          <w:b/>
          <w:spacing w:val="25"/>
        </w:rPr>
        <w:t xml:space="preserve"> </w:t>
      </w:r>
      <w:r>
        <w:rPr>
          <w:b/>
        </w:rPr>
        <w:t>Nº</w:t>
      </w:r>
      <w:r>
        <w:rPr>
          <w:b/>
          <w:spacing w:val="24"/>
        </w:rPr>
        <w:t xml:space="preserve"> </w:t>
      </w:r>
      <w:r>
        <w:rPr>
          <w:b/>
        </w:rPr>
        <w:t>17.794,</w:t>
      </w:r>
      <w:r>
        <w:rPr>
          <w:b/>
          <w:spacing w:val="25"/>
        </w:rPr>
        <w:t xml:space="preserve"> </w:t>
      </w:r>
      <w:r>
        <w:rPr>
          <w:b/>
        </w:rPr>
        <w:t>DE</w:t>
      </w:r>
      <w:r>
        <w:rPr>
          <w:b/>
          <w:spacing w:val="24"/>
        </w:rPr>
        <w:t xml:space="preserve"> </w:t>
      </w:r>
      <w:r>
        <w:rPr>
          <w:b/>
        </w:rPr>
        <w:t>27</w:t>
      </w:r>
      <w:r>
        <w:rPr>
          <w:b/>
          <w:spacing w:val="25"/>
        </w:rPr>
        <w:t xml:space="preserve"> </w:t>
      </w:r>
      <w:r>
        <w:rPr>
          <w:b/>
        </w:rPr>
        <w:t>DE</w:t>
      </w:r>
      <w:r>
        <w:rPr>
          <w:b/>
          <w:spacing w:val="24"/>
        </w:rPr>
        <w:t xml:space="preserve"> </w:t>
      </w:r>
      <w:r>
        <w:rPr>
          <w:b/>
        </w:rPr>
        <w:t>ABRIL</w:t>
      </w:r>
      <w:r>
        <w:rPr>
          <w:b/>
          <w:spacing w:val="25"/>
        </w:rPr>
        <w:t xml:space="preserve"> </w:t>
      </w:r>
      <w:r>
        <w:rPr>
          <w:b/>
        </w:rPr>
        <w:t>DE</w:t>
      </w:r>
      <w:r>
        <w:rPr>
          <w:b/>
          <w:spacing w:val="24"/>
        </w:rPr>
        <w:t xml:space="preserve"> </w:t>
      </w:r>
      <w:r>
        <w:rPr>
          <w:b/>
        </w:rPr>
        <w:t>2022</w:t>
      </w:r>
      <w:r>
        <w:t>.</w:t>
      </w:r>
      <w:r>
        <w:rPr>
          <w:spacing w:val="25"/>
        </w:rPr>
        <w:t xml:space="preserve"> </w:t>
      </w:r>
      <w:r>
        <w:t>Disciplina</w:t>
      </w:r>
      <w:r>
        <w:rPr>
          <w:spacing w:val="23"/>
        </w:rPr>
        <w:t xml:space="preserve"> </w:t>
      </w:r>
      <w:r>
        <w:t>a</w:t>
      </w:r>
      <w:r>
        <w:rPr>
          <w:spacing w:val="25"/>
        </w:rPr>
        <w:t xml:space="preserve"> </w:t>
      </w:r>
      <w:r>
        <w:t>arborização</w:t>
      </w:r>
      <w:r>
        <w:rPr>
          <w:spacing w:val="25"/>
        </w:rPr>
        <w:t xml:space="preserve"> </w:t>
      </w:r>
      <w:r>
        <w:t>urbana [...]São Paulo (SP): Diário Oficial do Município, 2022.</w:t>
      </w:r>
    </w:p>
    <w:p w:rsidR="007259F2" w:rsidRDefault="00E655B4">
      <w:pPr>
        <w:spacing w:before="120"/>
        <w:ind w:left="710" w:right="424"/>
      </w:pPr>
      <w:r>
        <w:t>SÃO</w:t>
      </w:r>
      <w:r>
        <w:rPr>
          <w:spacing w:val="-1"/>
        </w:rPr>
        <w:t xml:space="preserve"> </w:t>
      </w:r>
      <w:r>
        <w:t>PAULO</w:t>
      </w:r>
      <w:r>
        <w:rPr>
          <w:spacing w:val="-2"/>
        </w:rPr>
        <w:t xml:space="preserve"> </w:t>
      </w:r>
      <w:r>
        <w:t xml:space="preserve">(SP). </w:t>
      </w:r>
      <w:r>
        <w:rPr>
          <w:b/>
        </w:rPr>
        <w:t>LEI</w:t>
      </w:r>
      <w:r>
        <w:rPr>
          <w:b/>
          <w:spacing w:val="-2"/>
        </w:rPr>
        <w:t xml:space="preserve"> </w:t>
      </w:r>
      <w:r>
        <w:rPr>
          <w:b/>
        </w:rPr>
        <w:t>Nº</w:t>
      </w:r>
      <w:r>
        <w:rPr>
          <w:b/>
          <w:spacing w:val="-1"/>
        </w:rPr>
        <w:t xml:space="preserve"> </w:t>
      </w:r>
      <w:r>
        <w:rPr>
          <w:b/>
        </w:rPr>
        <w:t>17.793, DE</w:t>
      </w:r>
      <w:r>
        <w:rPr>
          <w:b/>
          <w:spacing w:val="-3"/>
        </w:rPr>
        <w:t xml:space="preserve"> </w:t>
      </w:r>
      <w:r>
        <w:rPr>
          <w:b/>
        </w:rPr>
        <w:t>26 DE</w:t>
      </w:r>
      <w:r>
        <w:rPr>
          <w:b/>
          <w:spacing w:val="-1"/>
        </w:rPr>
        <w:t xml:space="preserve"> </w:t>
      </w:r>
      <w:r>
        <w:rPr>
          <w:b/>
        </w:rPr>
        <w:t>ABRIL</w:t>
      </w:r>
      <w:r>
        <w:rPr>
          <w:b/>
          <w:spacing w:val="-1"/>
        </w:rPr>
        <w:t xml:space="preserve"> </w:t>
      </w:r>
      <w:r>
        <w:rPr>
          <w:b/>
        </w:rPr>
        <w:t>DE</w:t>
      </w:r>
      <w:r>
        <w:rPr>
          <w:b/>
          <w:spacing w:val="-1"/>
        </w:rPr>
        <w:t xml:space="preserve"> </w:t>
      </w:r>
      <w:r>
        <w:rPr>
          <w:b/>
        </w:rPr>
        <w:t>2022</w:t>
      </w:r>
      <w:r>
        <w:t>. Denomina Praça Igor Rocha Ramos [...] São Paulo (SP): Diário Oficial do Município, 2022.</w:t>
      </w:r>
    </w:p>
    <w:p w:rsidR="007259F2" w:rsidRDefault="00E655B4">
      <w:pPr>
        <w:spacing w:before="121" w:line="252" w:lineRule="exact"/>
        <w:ind w:left="710"/>
      </w:pPr>
      <w:r>
        <w:t>SÃO</w:t>
      </w:r>
      <w:r>
        <w:rPr>
          <w:spacing w:val="18"/>
        </w:rPr>
        <w:t xml:space="preserve"> </w:t>
      </w:r>
      <w:r>
        <w:t>PAULO</w:t>
      </w:r>
      <w:r>
        <w:rPr>
          <w:spacing w:val="18"/>
        </w:rPr>
        <w:t xml:space="preserve"> </w:t>
      </w:r>
      <w:r>
        <w:t>(SP).</w:t>
      </w:r>
      <w:r>
        <w:rPr>
          <w:spacing w:val="20"/>
        </w:rPr>
        <w:t xml:space="preserve"> </w:t>
      </w:r>
      <w:r>
        <w:rPr>
          <w:b/>
        </w:rPr>
        <w:t>LEI</w:t>
      </w:r>
      <w:r>
        <w:rPr>
          <w:b/>
          <w:spacing w:val="15"/>
        </w:rPr>
        <w:t xml:space="preserve"> </w:t>
      </w:r>
      <w:r>
        <w:rPr>
          <w:b/>
        </w:rPr>
        <w:t>Nº</w:t>
      </w:r>
      <w:r>
        <w:rPr>
          <w:b/>
          <w:spacing w:val="18"/>
        </w:rPr>
        <w:t xml:space="preserve"> </w:t>
      </w:r>
      <w:r>
        <w:rPr>
          <w:b/>
        </w:rPr>
        <w:t>17.792,</w:t>
      </w:r>
      <w:r>
        <w:rPr>
          <w:b/>
          <w:spacing w:val="19"/>
        </w:rPr>
        <w:t xml:space="preserve"> </w:t>
      </w:r>
      <w:r>
        <w:rPr>
          <w:b/>
        </w:rPr>
        <w:t>DE</w:t>
      </w:r>
      <w:r>
        <w:rPr>
          <w:b/>
          <w:spacing w:val="16"/>
        </w:rPr>
        <w:t xml:space="preserve"> </w:t>
      </w:r>
      <w:r>
        <w:rPr>
          <w:b/>
        </w:rPr>
        <w:t>26</w:t>
      </w:r>
      <w:r>
        <w:rPr>
          <w:b/>
          <w:spacing w:val="19"/>
        </w:rPr>
        <w:t xml:space="preserve"> </w:t>
      </w:r>
      <w:r>
        <w:rPr>
          <w:b/>
        </w:rPr>
        <w:t>DE</w:t>
      </w:r>
      <w:r>
        <w:rPr>
          <w:b/>
          <w:spacing w:val="18"/>
        </w:rPr>
        <w:t xml:space="preserve"> </w:t>
      </w:r>
      <w:r>
        <w:rPr>
          <w:b/>
        </w:rPr>
        <w:t>ABRIL</w:t>
      </w:r>
      <w:r>
        <w:rPr>
          <w:b/>
          <w:spacing w:val="19"/>
        </w:rPr>
        <w:t xml:space="preserve"> </w:t>
      </w:r>
      <w:r>
        <w:rPr>
          <w:b/>
        </w:rPr>
        <w:t>DE</w:t>
      </w:r>
      <w:r>
        <w:rPr>
          <w:b/>
          <w:spacing w:val="18"/>
        </w:rPr>
        <w:t xml:space="preserve"> </w:t>
      </w:r>
      <w:r>
        <w:rPr>
          <w:b/>
        </w:rPr>
        <w:t>2022</w:t>
      </w:r>
      <w:r>
        <w:t>.</w:t>
      </w:r>
      <w:r>
        <w:rPr>
          <w:spacing w:val="17"/>
        </w:rPr>
        <w:t xml:space="preserve"> </w:t>
      </w:r>
      <w:r>
        <w:t>Altera</w:t>
      </w:r>
      <w:r>
        <w:rPr>
          <w:spacing w:val="19"/>
        </w:rPr>
        <w:t xml:space="preserve"> </w:t>
      </w:r>
      <w:r>
        <w:t>a</w:t>
      </w:r>
      <w:r>
        <w:rPr>
          <w:spacing w:val="18"/>
        </w:rPr>
        <w:t xml:space="preserve"> </w:t>
      </w:r>
      <w:hyperlink r:id="rId287">
        <w:r>
          <w:rPr>
            <w:u w:val="single"/>
          </w:rPr>
          <w:t>Lei</w:t>
        </w:r>
        <w:r>
          <w:rPr>
            <w:spacing w:val="20"/>
            <w:u w:val="single"/>
          </w:rPr>
          <w:t xml:space="preserve"> </w:t>
        </w:r>
        <w:r>
          <w:rPr>
            <w:u w:val="single"/>
          </w:rPr>
          <w:t>nº</w:t>
        </w:r>
        <w:r>
          <w:rPr>
            <w:spacing w:val="20"/>
            <w:u w:val="single"/>
          </w:rPr>
          <w:t xml:space="preserve"> </w:t>
        </w:r>
        <w:r>
          <w:rPr>
            <w:u w:val="single"/>
          </w:rPr>
          <w:t>14.485,</w:t>
        </w:r>
        <w:r>
          <w:rPr>
            <w:spacing w:val="17"/>
            <w:u w:val="single"/>
          </w:rPr>
          <w:t xml:space="preserve"> </w:t>
        </w:r>
        <w:r>
          <w:rPr>
            <w:u w:val="single"/>
          </w:rPr>
          <w:t>de</w:t>
        </w:r>
        <w:r>
          <w:rPr>
            <w:spacing w:val="17"/>
            <w:u w:val="single"/>
          </w:rPr>
          <w:t xml:space="preserve"> </w:t>
        </w:r>
        <w:r>
          <w:rPr>
            <w:u w:val="single"/>
          </w:rPr>
          <w:t>19</w:t>
        </w:r>
        <w:r>
          <w:rPr>
            <w:spacing w:val="18"/>
            <w:u w:val="single"/>
          </w:rPr>
          <w:t xml:space="preserve"> </w:t>
        </w:r>
        <w:r>
          <w:rPr>
            <w:spacing w:val="-5"/>
            <w:u w:val="single"/>
          </w:rPr>
          <w:t>de</w:t>
        </w:r>
      </w:hyperlink>
    </w:p>
    <w:p w:rsidR="007259F2" w:rsidRDefault="00DE6B1C">
      <w:pPr>
        <w:spacing w:line="252" w:lineRule="exact"/>
        <w:ind w:left="710"/>
      </w:pPr>
      <w:hyperlink r:id="rId288">
        <w:r w:rsidR="00E655B4">
          <w:rPr>
            <w:u w:val="single"/>
          </w:rPr>
          <w:t>julho</w:t>
        </w:r>
        <w:r w:rsidR="00E655B4">
          <w:rPr>
            <w:spacing w:val="-4"/>
            <w:u w:val="single"/>
          </w:rPr>
          <w:t xml:space="preserve"> </w:t>
        </w:r>
        <w:r w:rsidR="00E655B4">
          <w:rPr>
            <w:u w:val="single"/>
          </w:rPr>
          <w:t>de</w:t>
        </w:r>
        <w:r w:rsidR="00E655B4">
          <w:rPr>
            <w:spacing w:val="-3"/>
            <w:u w:val="single"/>
          </w:rPr>
          <w:t xml:space="preserve"> </w:t>
        </w:r>
        <w:r w:rsidR="00E655B4">
          <w:rPr>
            <w:u w:val="single"/>
          </w:rPr>
          <w:t>2007,</w:t>
        </w:r>
      </w:hyperlink>
      <w:r w:rsidR="00E655B4">
        <w:rPr>
          <w:spacing w:val="-3"/>
        </w:rPr>
        <w:t xml:space="preserve"> </w:t>
      </w:r>
      <w:r w:rsidR="00E655B4">
        <w:t>São</w:t>
      </w:r>
      <w:r w:rsidR="00E655B4">
        <w:rPr>
          <w:spacing w:val="-5"/>
        </w:rPr>
        <w:t xml:space="preserve"> </w:t>
      </w:r>
      <w:r w:rsidR="00E655B4">
        <w:t>Paulo</w:t>
      </w:r>
      <w:r w:rsidR="00E655B4">
        <w:rPr>
          <w:spacing w:val="-3"/>
        </w:rPr>
        <w:t xml:space="preserve"> </w:t>
      </w:r>
      <w:r w:rsidR="00E655B4">
        <w:t>(SP):</w:t>
      </w:r>
      <w:r w:rsidR="00E655B4">
        <w:rPr>
          <w:spacing w:val="-2"/>
        </w:rPr>
        <w:t xml:space="preserve"> </w:t>
      </w:r>
      <w:r w:rsidR="00E655B4">
        <w:t>Diário</w:t>
      </w:r>
      <w:r w:rsidR="00E655B4">
        <w:rPr>
          <w:spacing w:val="-3"/>
        </w:rPr>
        <w:t xml:space="preserve"> </w:t>
      </w:r>
      <w:r w:rsidR="00E655B4">
        <w:t>Oficial</w:t>
      </w:r>
      <w:r w:rsidR="00E655B4">
        <w:rPr>
          <w:spacing w:val="-4"/>
        </w:rPr>
        <w:t xml:space="preserve"> </w:t>
      </w:r>
      <w:r w:rsidR="00E655B4">
        <w:t>do</w:t>
      </w:r>
      <w:r w:rsidR="00E655B4">
        <w:rPr>
          <w:spacing w:val="-3"/>
        </w:rPr>
        <w:t xml:space="preserve"> </w:t>
      </w:r>
      <w:r w:rsidR="00E655B4">
        <w:t>Município,</w:t>
      </w:r>
      <w:r w:rsidR="00E655B4">
        <w:rPr>
          <w:spacing w:val="-3"/>
        </w:rPr>
        <w:t xml:space="preserve"> </w:t>
      </w:r>
      <w:r w:rsidR="00E655B4">
        <w:rPr>
          <w:spacing w:val="-2"/>
        </w:rPr>
        <w:t>2022.</w:t>
      </w:r>
    </w:p>
    <w:p w:rsidR="007259F2" w:rsidRDefault="00E655B4">
      <w:pPr>
        <w:spacing w:before="121" w:line="253" w:lineRule="exact"/>
        <w:ind w:left="710"/>
      </w:pPr>
      <w:r>
        <w:t>SÃO</w:t>
      </w:r>
      <w:r>
        <w:rPr>
          <w:spacing w:val="50"/>
        </w:rPr>
        <w:t xml:space="preserve"> </w:t>
      </w:r>
      <w:r>
        <w:t>PAULO</w:t>
      </w:r>
      <w:r>
        <w:rPr>
          <w:spacing w:val="52"/>
        </w:rPr>
        <w:t xml:space="preserve"> </w:t>
      </w:r>
      <w:r>
        <w:t>(SP).</w:t>
      </w:r>
      <w:r>
        <w:rPr>
          <w:spacing w:val="53"/>
        </w:rPr>
        <w:t xml:space="preserve"> </w:t>
      </w:r>
      <w:r>
        <w:rPr>
          <w:b/>
        </w:rPr>
        <w:t>LEI</w:t>
      </w:r>
      <w:r>
        <w:rPr>
          <w:b/>
          <w:spacing w:val="57"/>
        </w:rPr>
        <w:t xml:space="preserve"> </w:t>
      </w:r>
      <w:r>
        <w:rPr>
          <w:b/>
        </w:rPr>
        <w:t>Nº</w:t>
      </w:r>
      <w:r>
        <w:rPr>
          <w:b/>
          <w:spacing w:val="52"/>
        </w:rPr>
        <w:t xml:space="preserve"> </w:t>
      </w:r>
      <w:r>
        <w:rPr>
          <w:b/>
        </w:rPr>
        <w:t>17.791,</w:t>
      </w:r>
      <w:r>
        <w:rPr>
          <w:b/>
          <w:spacing w:val="54"/>
        </w:rPr>
        <w:t xml:space="preserve"> </w:t>
      </w:r>
      <w:r>
        <w:rPr>
          <w:b/>
        </w:rPr>
        <w:t>DE</w:t>
      </w:r>
      <w:r>
        <w:rPr>
          <w:b/>
          <w:spacing w:val="52"/>
        </w:rPr>
        <w:t xml:space="preserve"> </w:t>
      </w:r>
      <w:r>
        <w:rPr>
          <w:b/>
        </w:rPr>
        <w:t>26</w:t>
      </w:r>
      <w:r>
        <w:rPr>
          <w:b/>
          <w:spacing w:val="54"/>
        </w:rPr>
        <w:t xml:space="preserve"> </w:t>
      </w:r>
      <w:r>
        <w:rPr>
          <w:b/>
        </w:rPr>
        <w:t>DE</w:t>
      </w:r>
      <w:r>
        <w:rPr>
          <w:b/>
          <w:spacing w:val="52"/>
        </w:rPr>
        <w:t xml:space="preserve"> </w:t>
      </w:r>
      <w:r>
        <w:rPr>
          <w:b/>
        </w:rPr>
        <w:t>ABRIL</w:t>
      </w:r>
      <w:r>
        <w:rPr>
          <w:b/>
          <w:spacing w:val="53"/>
        </w:rPr>
        <w:t xml:space="preserve"> </w:t>
      </w:r>
      <w:r>
        <w:rPr>
          <w:b/>
        </w:rPr>
        <w:t>DE</w:t>
      </w:r>
      <w:r>
        <w:rPr>
          <w:b/>
          <w:spacing w:val="52"/>
        </w:rPr>
        <w:t xml:space="preserve"> </w:t>
      </w:r>
      <w:r>
        <w:rPr>
          <w:b/>
        </w:rPr>
        <w:t>2022</w:t>
      </w:r>
      <w:r>
        <w:t>.</w:t>
      </w:r>
      <w:r>
        <w:rPr>
          <w:spacing w:val="54"/>
        </w:rPr>
        <w:t xml:space="preserve"> </w:t>
      </w:r>
      <w:r>
        <w:t>Denomina</w:t>
      </w:r>
      <w:r>
        <w:rPr>
          <w:spacing w:val="53"/>
        </w:rPr>
        <w:t xml:space="preserve"> </w:t>
      </w:r>
      <w:r>
        <w:t>Via</w:t>
      </w:r>
      <w:r>
        <w:rPr>
          <w:spacing w:val="54"/>
        </w:rPr>
        <w:t xml:space="preserve"> </w:t>
      </w:r>
      <w:r>
        <w:t>de</w:t>
      </w:r>
      <w:r>
        <w:rPr>
          <w:spacing w:val="54"/>
        </w:rPr>
        <w:t xml:space="preserve"> </w:t>
      </w:r>
      <w:r>
        <w:rPr>
          <w:spacing w:val="-2"/>
        </w:rPr>
        <w:t>Pedestre</w:t>
      </w:r>
    </w:p>
    <w:p w:rsidR="007259F2" w:rsidRDefault="00E655B4">
      <w:pPr>
        <w:spacing w:line="253" w:lineRule="exact"/>
        <w:ind w:left="710"/>
      </w:pPr>
      <w:r>
        <w:t>Embaixador</w:t>
      </w:r>
      <w:r>
        <w:rPr>
          <w:spacing w:val="-5"/>
        </w:rPr>
        <w:t xml:space="preserve"> </w:t>
      </w:r>
      <w:r>
        <w:t>Edmundo</w:t>
      </w:r>
      <w:r>
        <w:rPr>
          <w:spacing w:val="-4"/>
        </w:rPr>
        <w:t xml:space="preserve"> </w:t>
      </w:r>
      <w:r>
        <w:t>Sussumu</w:t>
      </w:r>
      <w:r>
        <w:rPr>
          <w:spacing w:val="-3"/>
        </w:rPr>
        <w:t xml:space="preserve"> </w:t>
      </w:r>
      <w:r>
        <w:t>[...].</w:t>
      </w:r>
      <w:r>
        <w:rPr>
          <w:spacing w:val="-4"/>
        </w:rPr>
        <w:t xml:space="preserve"> </w:t>
      </w:r>
      <w:r>
        <w:t>São</w:t>
      </w:r>
      <w:r>
        <w:rPr>
          <w:spacing w:val="-3"/>
        </w:rPr>
        <w:t xml:space="preserve"> </w:t>
      </w:r>
      <w:r>
        <w:t>Paulo</w:t>
      </w:r>
      <w:r>
        <w:rPr>
          <w:spacing w:val="-7"/>
        </w:rPr>
        <w:t xml:space="preserve"> </w:t>
      </w:r>
      <w:r>
        <w:t>(SP):</w:t>
      </w:r>
      <w:r>
        <w:rPr>
          <w:spacing w:val="-5"/>
        </w:rPr>
        <w:t xml:space="preserve"> </w:t>
      </w:r>
      <w:r>
        <w:t>Diário</w:t>
      </w:r>
      <w:r>
        <w:rPr>
          <w:spacing w:val="-4"/>
        </w:rPr>
        <w:t xml:space="preserve"> </w:t>
      </w:r>
      <w:r>
        <w:t>Oficial</w:t>
      </w:r>
      <w:r>
        <w:rPr>
          <w:spacing w:val="-5"/>
        </w:rPr>
        <w:t xml:space="preserve"> </w:t>
      </w:r>
      <w:r>
        <w:t>do</w:t>
      </w:r>
      <w:r>
        <w:rPr>
          <w:spacing w:val="-4"/>
        </w:rPr>
        <w:t xml:space="preserve"> </w:t>
      </w:r>
      <w:r>
        <w:t>Município,</w:t>
      </w:r>
      <w:r>
        <w:rPr>
          <w:spacing w:val="-3"/>
        </w:rPr>
        <w:t xml:space="preserve"> </w:t>
      </w:r>
      <w:r>
        <w:rPr>
          <w:spacing w:val="-2"/>
        </w:rPr>
        <w:t>2022.</w:t>
      </w:r>
    </w:p>
    <w:p w:rsidR="007259F2" w:rsidRDefault="00E655B4">
      <w:pPr>
        <w:spacing w:before="122" w:line="252" w:lineRule="exact"/>
        <w:ind w:left="710"/>
      </w:pPr>
      <w:r>
        <w:t>SÃO</w:t>
      </w:r>
      <w:r>
        <w:rPr>
          <w:spacing w:val="18"/>
        </w:rPr>
        <w:t xml:space="preserve"> </w:t>
      </w:r>
      <w:r>
        <w:t>PAULO</w:t>
      </w:r>
      <w:r>
        <w:rPr>
          <w:spacing w:val="18"/>
        </w:rPr>
        <w:t xml:space="preserve"> </w:t>
      </w:r>
      <w:r>
        <w:t>(SP).</w:t>
      </w:r>
      <w:r>
        <w:rPr>
          <w:spacing w:val="20"/>
        </w:rPr>
        <w:t xml:space="preserve"> </w:t>
      </w:r>
      <w:r>
        <w:rPr>
          <w:b/>
        </w:rPr>
        <w:t>LEI</w:t>
      </w:r>
      <w:r>
        <w:rPr>
          <w:b/>
          <w:spacing w:val="15"/>
        </w:rPr>
        <w:t xml:space="preserve"> </w:t>
      </w:r>
      <w:r>
        <w:rPr>
          <w:b/>
        </w:rPr>
        <w:t>Nº</w:t>
      </w:r>
      <w:r>
        <w:rPr>
          <w:b/>
          <w:spacing w:val="18"/>
        </w:rPr>
        <w:t xml:space="preserve"> </w:t>
      </w:r>
      <w:r>
        <w:rPr>
          <w:b/>
        </w:rPr>
        <w:t>17.790,</w:t>
      </w:r>
      <w:r>
        <w:rPr>
          <w:b/>
          <w:spacing w:val="19"/>
        </w:rPr>
        <w:t xml:space="preserve"> </w:t>
      </w:r>
      <w:r>
        <w:rPr>
          <w:b/>
        </w:rPr>
        <w:t>DE</w:t>
      </w:r>
      <w:r>
        <w:rPr>
          <w:b/>
          <w:spacing w:val="16"/>
        </w:rPr>
        <w:t xml:space="preserve"> </w:t>
      </w:r>
      <w:r>
        <w:rPr>
          <w:b/>
        </w:rPr>
        <w:t>26</w:t>
      </w:r>
      <w:r>
        <w:rPr>
          <w:b/>
          <w:spacing w:val="19"/>
        </w:rPr>
        <w:t xml:space="preserve"> </w:t>
      </w:r>
      <w:r>
        <w:rPr>
          <w:b/>
        </w:rPr>
        <w:t>DE</w:t>
      </w:r>
      <w:r>
        <w:rPr>
          <w:b/>
          <w:spacing w:val="18"/>
        </w:rPr>
        <w:t xml:space="preserve"> </w:t>
      </w:r>
      <w:r>
        <w:rPr>
          <w:b/>
        </w:rPr>
        <w:t>ABRIL</w:t>
      </w:r>
      <w:r>
        <w:rPr>
          <w:b/>
          <w:spacing w:val="19"/>
        </w:rPr>
        <w:t xml:space="preserve"> </w:t>
      </w:r>
      <w:r>
        <w:rPr>
          <w:b/>
        </w:rPr>
        <w:t>DE</w:t>
      </w:r>
      <w:r>
        <w:rPr>
          <w:b/>
          <w:spacing w:val="18"/>
        </w:rPr>
        <w:t xml:space="preserve"> </w:t>
      </w:r>
      <w:r>
        <w:rPr>
          <w:b/>
        </w:rPr>
        <w:t>2022</w:t>
      </w:r>
      <w:r>
        <w:t>.</w:t>
      </w:r>
      <w:r>
        <w:rPr>
          <w:spacing w:val="17"/>
        </w:rPr>
        <w:t xml:space="preserve"> </w:t>
      </w:r>
      <w:r>
        <w:t>Altera</w:t>
      </w:r>
      <w:r>
        <w:rPr>
          <w:spacing w:val="19"/>
        </w:rPr>
        <w:t xml:space="preserve"> </w:t>
      </w:r>
      <w:r>
        <w:t>a</w:t>
      </w:r>
      <w:r>
        <w:rPr>
          <w:spacing w:val="18"/>
        </w:rPr>
        <w:t xml:space="preserve"> </w:t>
      </w:r>
      <w:hyperlink r:id="rId289">
        <w:r>
          <w:rPr>
            <w:u w:val="single"/>
          </w:rPr>
          <w:t>Lei</w:t>
        </w:r>
        <w:r>
          <w:rPr>
            <w:spacing w:val="20"/>
            <w:u w:val="single"/>
          </w:rPr>
          <w:t xml:space="preserve"> </w:t>
        </w:r>
        <w:r>
          <w:rPr>
            <w:u w:val="single"/>
          </w:rPr>
          <w:t>nº</w:t>
        </w:r>
        <w:r>
          <w:rPr>
            <w:spacing w:val="20"/>
            <w:u w:val="single"/>
          </w:rPr>
          <w:t xml:space="preserve"> </w:t>
        </w:r>
        <w:r>
          <w:rPr>
            <w:u w:val="single"/>
          </w:rPr>
          <w:t>14.485,</w:t>
        </w:r>
        <w:r>
          <w:rPr>
            <w:spacing w:val="17"/>
            <w:u w:val="single"/>
          </w:rPr>
          <w:t xml:space="preserve"> </w:t>
        </w:r>
        <w:r>
          <w:rPr>
            <w:u w:val="single"/>
          </w:rPr>
          <w:t>de</w:t>
        </w:r>
        <w:r>
          <w:rPr>
            <w:spacing w:val="17"/>
            <w:u w:val="single"/>
          </w:rPr>
          <w:t xml:space="preserve"> </w:t>
        </w:r>
        <w:r>
          <w:rPr>
            <w:u w:val="single"/>
          </w:rPr>
          <w:t>19</w:t>
        </w:r>
        <w:r>
          <w:rPr>
            <w:spacing w:val="18"/>
            <w:u w:val="single"/>
          </w:rPr>
          <w:t xml:space="preserve"> </w:t>
        </w:r>
        <w:r>
          <w:rPr>
            <w:spacing w:val="-5"/>
            <w:u w:val="single"/>
          </w:rPr>
          <w:t>de</w:t>
        </w:r>
      </w:hyperlink>
    </w:p>
    <w:p w:rsidR="007259F2" w:rsidRDefault="00DE6B1C">
      <w:pPr>
        <w:spacing w:line="252" w:lineRule="exact"/>
        <w:ind w:left="710"/>
      </w:pPr>
      <w:hyperlink r:id="rId290">
        <w:r w:rsidR="00E655B4">
          <w:rPr>
            <w:u w:val="single"/>
          </w:rPr>
          <w:t>julho</w:t>
        </w:r>
        <w:r w:rsidR="00E655B4">
          <w:rPr>
            <w:spacing w:val="-3"/>
            <w:u w:val="single"/>
          </w:rPr>
          <w:t xml:space="preserve"> </w:t>
        </w:r>
        <w:r w:rsidR="00E655B4">
          <w:rPr>
            <w:u w:val="single"/>
          </w:rPr>
          <w:t>de</w:t>
        </w:r>
        <w:r w:rsidR="00E655B4">
          <w:rPr>
            <w:spacing w:val="-3"/>
            <w:u w:val="single"/>
          </w:rPr>
          <w:t xml:space="preserve"> </w:t>
        </w:r>
        <w:r w:rsidR="00E655B4">
          <w:rPr>
            <w:u w:val="single"/>
          </w:rPr>
          <w:t>2007,</w:t>
        </w:r>
      </w:hyperlink>
      <w:r w:rsidR="00E655B4">
        <w:rPr>
          <w:spacing w:val="-4"/>
        </w:rPr>
        <w:t xml:space="preserve"> </w:t>
      </w:r>
      <w:r w:rsidR="00E655B4">
        <w:t>[...]</w:t>
      </w:r>
      <w:r w:rsidR="00E655B4">
        <w:rPr>
          <w:spacing w:val="-3"/>
        </w:rPr>
        <w:t xml:space="preserve"> </w:t>
      </w:r>
      <w:r w:rsidR="00E655B4">
        <w:t>São</w:t>
      </w:r>
      <w:r w:rsidR="00E655B4">
        <w:rPr>
          <w:spacing w:val="-3"/>
        </w:rPr>
        <w:t xml:space="preserve"> </w:t>
      </w:r>
      <w:r w:rsidR="00E655B4">
        <w:t>Paulo</w:t>
      </w:r>
      <w:r w:rsidR="00E655B4">
        <w:rPr>
          <w:spacing w:val="-3"/>
        </w:rPr>
        <w:t xml:space="preserve"> </w:t>
      </w:r>
      <w:r w:rsidR="00E655B4">
        <w:t>(SP):</w:t>
      </w:r>
      <w:r w:rsidR="00E655B4">
        <w:rPr>
          <w:spacing w:val="-2"/>
        </w:rPr>
        <w:t xml:space="preserve"> </w:t>
      </w:r>
      <w:r w:rsidR="00E655B4">
        <w:t>Diário</w:t>
      </w:r>
      <w:r w:rsidR="00E655B4">
        <w:rPr>
          <w:spacing w:val="-3"/>
        </w:rPr>
        <w:t xml:space="preserve"> </w:t>
      </w:r>
      <w:r w:rsidR="00E655B4">
        <w:t>Oficial</w:t>
      </w:r>
      <w:r w:rsidR="00E655B4">
        <w:rPr>
          <w:spacing w:val="-2"/>
        </w:rPr>
        <w:t xml:space="preserve"> </w:t>
      </w:r>
      <w:r w:rsidR="00E655B4">
        <w:t>do</w:t>
      </w:r>
      <w:r w:rsidR="00E655B4">
        <w:rPr>
          <w:spacing w:val="-5"/>
        </w:rPr>
        <w:t xml:space="preserve"> </w:t>
      </w:r>
      <w:r w:rsidR="00E655B4">
        <w:t>Município,</w:t>
      </w:r>
      <w:r w:rsidR="00E655B4">
        <w:rPr>
          <w:spacing w:val="-3"/>
        </w:rPr>
        <w:t xml:space="preserve"> </w:t>
      </w:r>
      <w:r w:rsidR="00E655B4">
        <w:rPr>
          <w:spacing w:val="-2"/>
        </w:rPr>
        <w:t>2022.</w:t>
      </w:r>
    </w:p>
    <w:p w:rsidR="007259F2" w:rsidRDefault="00E655B4">
      <w:pPr>
        <w:spacing w:before="121"/>
        <w:ind w:left="710"/>
      </w:pPr>
      <w:r>
        <w:t>SÃO</w:t>
      </w:r>
      <w:r>
        <w:rPr>
          <w:spacing w:val="25"/>
        </w:rPr>
        <w:t xml:space="preserve"> </w:t>
      </w:r>
      <w:r>
        <w:t>PAULO</w:t>
      </w:r>
      <w:r>
        <w:rPr>
          <w:spacing w:val="25"/>
        </w:rPr>
        <w:t xml:space="preserve"> </w:t>
      </w:r>
      <w:r>
        <w:t>(SP).</w:t>
      </w:r>
      <w:r>
        <w:rPr>
          <w:spacing w:val="27"/>
        </w:rPr>
        <w:t xml:space="preserve"> </w:t>
      </w:r>
      <w:r>
        <w:rPr>
          <w:b/>
        </w:rPr>
        <w:t>LEI</w:t>
      </w:r>
      <w:r>
        <w:rPr>
          <w:b/>
          <w:spacing w:val="27"/>
        </w:rPr>
        <w:t xml:space="preserve"> </w:t>
      </w:r>
      <w:r>
        <w:rPr>
          <w:b/>
        </w:rPr>
        <w:t>Nº</w:t>
      </w:r>
      <w:r>
        <w:rPr>
          <w:b/>
          <w:spacing w:val="25"/>
        </w:rPr>
        <w:t xml:space="preserve"> </w:t>
      </w:r>
      <w:r>
        <w:rPr>
          <w:b/>
        </w:rPr>
        <w:t>17.789,</w:t>
      </w:r>
      <w:r>
        <w:rPr>
          <w:b/>
          <w:spacing w:val="26"/>
        </w:rPr>
        <w:t xml:space="preserve"> </w:t>
      </w:r>
      <w:r>
        <w:rPr>
          <w:b/>
        </w:rPr>
        <w:t>DE</w:t>
      </w:r>
      <w:r>
        <w:rPr>
          <w:b/>
          <w:spacing w:val="25"/>
        </w:rPr>
        <w:t xml:space="preserve"> </w:t>
      </w:r>
      <w:r>
        <w:rPr>
          <w:b/>
        </w:rPr>
        <w:t>26</w:t>
      </w:r>
      <w:r>
        <w:rPr>
          <w:b/>
          <w:spacing w:val="26"/>
        </w:rPr>
        <w:t xml:space="preserve"> </w:t>
      </w:r>
      <w:r>
        <w:rPr>
          <w:b/>
        </w:rPr>
        <w:t>DE</w:t>
      </w:r>
      <w:r>
        <w:rPr>
          <w:b/>
          <w:spacing w:val="25"/>
        </w:rPr>
        <w:t xml:space="preserve"> </w:t>
      </w:r>
      <w:r>
        <w:rPr>
          <w:b/>
        </w:rPr>
        <w:t>ABRIL</w:t>
      </w:r>
      <w:r>
        <w:rPr>
          <w:b/>
          <w:spacing w:val="26"/>
        </w:rPr>
        <w:t xml:space="preserve"> </w:t>
      </w:r>
      <w:r>
        <w:rPr>
          <w:b/>
        </w:rPr>
        <w:t>DE</w:t>
      </w:r>
      <w:r>
        <w:rPr>
          <w:b/>
          <w:spacing w:val="25"/>
        </w:rPr>
        <w:t xml:space="preserve"> </w:t>
      </w:r>
      <w:r>
        <w:rPr>
          <w:b/>
        </w:rPr>
        <w:t>2022</w:t>
      </w:r>
      <w:r>
        <w:t>.</w:t>
      </w:r>
      <w:r>
        <w:rPr>
          <w:spacing w:val="26"/>
        </w:rPr>
        <w:t xml:space="preserve"> </w:t>
      </w:r>
      <w:r>
        <w:t>Denomina</w:t>
      </w:r>
      <w:r>
        <w:rPr>
          <w:spacing w:val="27"/>
        </w:rPr>
        <w:t xml:space="preserve"> </w:t>
      </w:r>
      <w:r>
        <w:t>Passarela</w:t>
      </w:r>
      <w:r>
        <w:rPr>
          <w:spacing w:val="27"/>
        </w:rPr>
        <w:t xml:space="preserve"> </w:t>
      </w:r>
      <w:r>
        <w:t>Guilherme Teodoro Mendes [...] São Paulo (SP): Diário Oficial do Município, 2022.</w:t>
      </w:r>
    </w:p>
    <w:p w:rsidR="007259F2" w:rsidRDefault="00E655B4">
      <w:pPr>
        <w:spacing w:before="118"/>
        <w:ind w:left="710"/>
      </w:pPr>
      <w:r>
        <w:t>SÃO</w:t>
      </w:r>
      <w:r>
        <w:rPr>
          <w:spacing w:val="36"/>
        </w:rPr>
        <w:t xml:space="preserve"> </w:t>
      </w:r>
      <w:r>
        <w:t>PAULO</w:t>
      </w:r>
      <w:r>
        <w:rPr>
          <w:spacing w:val="35"/>
        </w:rPr>
        <w:t xml:space="preserve"> </w:t>
      </w:r>
      <w:r>
        <w:t>(SP).</w:t>
      </w:r>
      <w:r>
        <w:rPr>
          <w:spacing w:val="38"/>
        </w:rPr>
        <w:t xml:space="preserve"> </w:t>
      </w:r>
      <w:r>
        <w:rPr>
          <w:b/>
        </w:rPr>
        <w:t>LEI</w:t>
      </w:r>
      <w:r>
        <w:rPr>
          <w:b/>
          <w:spacing w:val="37"/>
        </w:rPr>
        <w:t xml:space="preserve"> </w:t>
      </w:r>
      <w:r>
        <w:rPr>
          <w:b/>
        </w:rPr>
        <w:t>Nº</w:t>
      </w:r>
      <w:r>
        <w:rPr>
          <w:b/>
          <w:spacing w:val="36"/>
        </w:rPr>
        <w:t xml:space="preserve"> </w:t>
      </w:r>
      <w:r>
        <w:rPr>
          <w:b/>
        </w:rPr>
        <w:t>17.788,</w:t>
      </w:r>
      <w:r>
        <w:rPr>
          <w:b/>
          <w:spacing w:val="37"/>
        </w:rPr>
        <w:t xml:space="preserve"> </w:t>
      </w:r>
      <w:r>
        <w:rPr>
          <w:b/>
        </w:rPr>
        <w:t>DE</w:t>
      </w:r>
      <w:r>
        <w:rPr>
          <w:b/>
          <w:spacing w:val="36"/>
        </w:rPr>
        <w:t xml:space="preserve"> </w:t>
      </w:r>
      <w:r>
        <w:rPr>
          <w:b/>
        </w:rPr>
        <w:t>26</w:t>
      </w:r>
      <w:r>
        <w:rPr>
          <w:b/>
          <w:spacing w:val="37"/>
        </w:rPr>
        <w:t xml:space="preserve"> </w:t>
      </w:r>
      <w:r>
        <w:rPr>
          <w:b/>
        </w:rPr>
        <w:t>DE</w:t>
      </w:r>
      <w:r>
        <w:rPr>
          <w:b/>
          <w:spacing w:val="36"/>
        </w:rPr>
        <w:t xml:space="preserve"> </w:t>
      </w:r>
      <w:r>
        <w:rPr>
          <w:b/>
        </w:rPr>
        <w:t>ABRIL</w:t>
      </w:r>
      <w:r>
        <w:rPr>
          <w:b/>
          <w:spacing w:val="36"/>
        </w:rPr>
        <w:t xml:space="preserve"> </w:t>
      </w:r>
      <w:r>
        <w:rPr>
          <w:b/>
        </w:rPr>
        <w:t>DE</w:t>
      </w:r>
      <w:r>
        <w:rPr>
          <w:b/>
          <w:spacing w:val="36"/>
        </w:rPr>
        <w:t xml:space="preserve"> </w:t>
      </w:r>
      <w:r>
        <w:rPr>
          <w:b/>
        </w:rPr>
        <w:t>2022</w:t>
      </w:r>
      <w:r>
        <w:t>.</w:t>
      </w:r>
      <w:r>
        <w:rPr>
          <w:spacing w:val="37"/>
        </w:rPr>
        <w:t xml:space="preserve"> </w:t>
      </w:r>
      <w:r>
        <w:t>Dispõe</w:t>
      </w:r>
      <w:r>
        <w:rPr>
          <w:spacing w:val="37"/>
        </w:rPr>
        <w:t xml:space="preserve"> </w:t>
      </w:r>
      <w:r>
        <w:t>sobre</w:t>
      </w:r>
      <w:r>
        <w:rPr>
          <w:spacing w:val="35"/>
        </w:rPr>
        <w:t xml:space="preserve"> </w:t>
      </w:r>
      <w:r>
        <w:t>a</w:t>
      </w:r>
      <w:r>
        <w:rPr>
          <w:spacing w:val="37"/>
        </w:rPr>
        <w:t xml:space="preserve"> </w:t>
      </w:r>
      <w:r>
        <w:t>organização</w:t>
      </w:r>
      <w:r>
        <w:rPr>
          <w:spacing w:val="35"/>
        </w:rPr>
        <w:t xml:space="preserve"> </w:t>
      </w:r>
      <w:r>
        <w:t>e implementação [...] São Paulo (SP): Diário Oficial do Município, 2022.</w:t>
      </w:r>
    </w:p>
    <w:p w:rsidR="007259F2" w:rsidRDefault="00E655B4">
      <w:pPr>
        <w:spacing w:before="121"/>
        <w:ind w:left="710"/>
      </w:pPr>
      <w:r>
        <w:t>SÃO</w:t>
      </w:r>
      <w:r>
        <w:rPr>
          <w:spacing w:val="40"/>
        </w:rPr>
        <w:t xml:space="preserve"> </w:t>
      </w:r>
      <w:r>
        <w:t>PAULO</w:t>
      </w:r>
      <w:r>
        <w:rPr>
          <w:spacing w:val="40"/>
        </w:rPr>
        <w:t xml:space="preserve"> </w:t>
      </w:r>
      <w:r>
        <w:t>(SP).</w:t>
      </w:r>
      <w:r>
        <w:rPr>
          <w:spacing w:val="40"/>
        </w:rPr>
        <w:t xml:space="preserve"> </w:t>
      </w:r>
      <w:r>
        <w:rPr>
          <w:b/>
        </w:rPr>
        <w:t>LEI</w:t>
      </w:r>
      <w:r>
        <w:rPr>
          <w:b/>
          <w:spacing w:val="40"/>
        </w:rPr>
        <w:t xml:space="preserve"> </w:t>
      </w:r>
      <w:r>
        <w:rPr>
          <w:b/>
        </w:rPr>
        <w:t>Nº</w:t>
      </w:r>
      <w:r>
        <w:rPr>
          <w:b/>
          <w:spacing w:val="40"/>
        </w:rPr>
        <w:t xml:space="preserve"> </w:t>
      </w:r>
      <w:r>
        <w:rPr>
          <w:b/>
        </w:rPr>
        <w:t>17.787,</w:t>
      </w:r>
      <w:r>
        <w:rPr>
          <w:b/>
          <w:spacing w:val="40"/>
        </w:rPr>
        <w:t xml:space="preserve"> </w:t>
      </w:r>
      <w:r>
        <w:rPr>
          <w:b/>
        </w:rPr>
        <w:t>DE</w:t>
      </w:r>
      <w:r>
        <w:rPr>
          <w:b/>
          <w:spacing w:val="40"/>
        </w:rPr>
        <w:t xml:space="preserve"> </w:t>
      </w:r>
      <w:r>
        <w:rPr>
          <w:b/>
        </w:rPr>
        <w:t>26</w:t>
      </w:r>
      <w:r>
        <w:rPr>
          <w:b/>
          <w:spacing w:val="40"/>
        </w:rPr>
        <w:t xml:space="preserve"> </w:t>
      </w:r>
      <w:r>
        <w:rPr>
          <w:b/>
        </w:rPr>
        <w:t>DE</w:t>
      </w:r>
      <w:r>
        <w:rPr>
          <w:b/>
          <w:spacing w:val="40"/>
        </w:rPr>
        <w:t xml:space="preserve"> </w:t>
      </w:r>
      <w:r>
        <w:rPr>
          <w:b/>
        </w:rPr>
        <w:t>ABRIL</w:t>
      </w:r>
      <w:r>
        <w:rPr>
          <w:b/>
          <w:spacing w:val="40"/>
        </w:rPr>
        <w:t xml:space="preserve"> </w:t>
      </w:r>
      <w:r>
        <w:rPr>
          <w:b/>
        </w:rPr>
        <w:t>DE</w:t>
      </w:r>
      <w:r>
        <w:rPr>
          <w:b/>
          <w:spacing w:val="40"/>
        </w:rPr>
        <w:t xml:space="preserve"> </w:t>
      </w:r>
      <w:r>
        <w:rPr>
          <w:b/>
        </w:rPr>
        <w:t>2022</w:t>
      </w:r>
      <w:r>
        <w:t>.</w:t>
      </w:r>
      <w:r>
        <w:rPr>
          <w:spacing w:val="40"/>
        </w:rPr>
        <w:t xml:space="preserve"> </w:t>
      </w:r>
      <w:r>
        <w:t>Dispõe</w:t>
      </w:r>
      <w:r>
        <w:rPr>
          <w:spacing w:val="40"/>
        </w:rPr>
        <w:t xml:space="preserve"> </w:t>
      </w:r>
      <w:r>
        <w:t>sobre</w:t>
      </w:r>
      <w:r>
        <w:rPr>
          <w:spacing w:val="40"/>
        </w:rPr>
        <w:t xml:space="preserve"> </w:t>
      </w:r>
      <w:r>
        <w:t>as</w:t>
      </w:r>
      <w:r>
        <w:rPr>
          <w:spacing w:val="40"/>
        </w:rPr>
        <w:t xml:space="preserve"> </w:t>
      </w:r>
      <w:r>
        <w:t>medidas</w:t>
      </w:r>
      <w:r>
        <w:rPr>
          <w:spacing w:val="40"/>
        </w:rPr>
        <w:t xml:space="preserve"> </w:t>
      </w:r>
      <w:r>
        <w:t>de conscientização no projeto [...] São Paulo (SP): Diário Oficial do Município, 2022.</w:t>
      </w:r>
    </w:p>
    <w:p w:rsidR="007259F2" w:rsidRDefault="00E655B4">
      <w:pPr>
        <w:spacing w:before="120"/>
        <w:ind w:left="710" w:right="561"/>
      </w:pPr>
      <w:r>
        <w:t>SÃO PAULO (SP). LEI Nº 17.786, DE 26 DE ABRIL DE 2022. Dispõe sobre a alteração da</w:t>
      </w:r>
      <w:r>
        <w:rPr>
          <w:spacing w:val="23"/>
        </w:rPr>
        <w:t xml:space="preserve"> </w:t>
      </w:r>
      <w:hyperlink r:id="rId291">
        <w:r>
          <w:rPr>
            <w:u w:val="single"/>
          </w:rPr>
          <w:t>Lei nº</w:t>
        </w:r>
      </w:hyperlink>
      <w:r>
        <w:rPr>
          <w:spacing w:val="80"/>
        </w:rPr>
        <w:t xml:space="preserve"> </w:t>
      </w:r>
      <w:hyperlink r:id="rId292">
        <w:r>
          <w:rPr>
            <w:u w:val="single"/>
          </w:rPr>
          <w:t>14.485, de 19 de julho de 2007,</w:t>
        </w:r>
      </w:hyperlink>
      <w:r>
        <w:t xml:space="preserve"> [...] São Paulo (SP): Diário Oficial do Município, 2022.</w:t>
      </w:r>
    </w:p>
    <w:p w:rsidR="007259F2" w:rsidRDefault="00E655B4">
      <w:pPr>
        <w:spacing w:before="121"/>
        <w:ind w:left="710"/>
      </w:pPr>
      <w:r>
        <w:t>SÃO</w:t>
      </w:r>
      <w:r>
        <w:rPr>
          <w:spacing w:val="26"/>
        </w:rPr>
        <w:t xml:space="preserve"> </w:t>
      </w:r>
      <w:r>
        <w:t>PAULO</w:t>
      </w:r>
      <w:r>
        <w:rPr>
          <w:spacing w:val="26"/>
        </w:rPr>
        <w:t xml:space="preserve"> </w:t>
      </w:r>
      <w:r>
        <w:t>(SP).</w:t>
      </w:r>
      <w:r>
        <w:rPr>
          <w:spacing w:val="28"/>
        </w:rPr>
        <w:t xml:space="preserve"> </w:t>
      </w:r>
      <w:r>
        <w:rPr>
          <w:b/>
        </w:rPr>
        <w:t>LEI</w:t>
      </w:r>
      <w:r>
        <w:rPr>
          <w:b/>
          <w:spacing w:val="25"/>
        </w:rPr>
        <w:t xml:space="preserve"> </w:t>
      </w:r>
      <w:r>
        <w:rPr>
          <w:b/>
        </w:rPr>
        <w:t>Nº</w:t>
      </w:r>
      <w:r>
        <w:rPr>
          <w:b/>
          <w:spacing w:val="26"/>
        </w:rPr>
        <w:t xml:space="preserve"> </w:t>
      </w:r>
      <w:r>
        <w:rPr>
          <w:b/>
        </w:rPr>
        <w:t>17.785,</w:t>
      </w:r>
      <w:r>
        <w:rPr>
          <w:b/>
          <w:spacing w:val="27"/>
        </w:rPr>
        <w:t xml:space="preserve"> </w:t>
      </w:r>
      <w:r>
        <w:rPr>
          <w:b/>
        </w:rPr>
        <w:t>DE</w:t>
      </w:r>
      <w:r>
        <w:rPr>
          <w:b/>
          <w:spacing w:val="26"/>
        </w:rPr>
        <w:t xml:space="preserve"> </w:t>
      </w:r>
      <w:r>
        <w:rPr>
          <w:b/>
        </w:rPr>
        <w:t>19</w:t>
      </w:r>
      <w:r>
        <w:rPr>
          <w:b/>
          <w:spacing w:val="25"/>
        </w:rPr>
        <w:t xml:space="preserve"> </w:t>
      </w:r>
      <w:r>
        <w:rPr>
          <w:b/>
        </w:rPr>
        <w:t>DE</w:t>
      </w:r>
      <w:r>
        <w:rPr>
          <w:b/>
          <w:spacing w:val="26"/>
        </w:rPr>
        <w:t xml:space="preserve"> </w:t>
      </w:r>
      <w:r>
        <w:rPr>
          <w:b/>
        </w:rPr>
        <w:t>ABRIL</w:t>
      </w:r>
      <w:r>
        <w:rPr>
          <w:b/>
          <w:spacing w:val="27"/>
        </w:rPr>
        <w:t xml:space="preserve"> </w:t>
      </w:r>
      <w:r>
        <w:rPr>
          <w:b/>
        </w:rPr>
        <w:t>DE</w:t>
      </w:r>
      <w:r>
        <w:rPr>
          <w:b/>
          <w:spacing w:val="26"/>
        </w:rPr>
        <w:t xml:space="preserve"> </w:t>
      </w:r>
      <w:r>
        <w:rPr>
          <w:b/>
        </w:rPr>
        <w:t>2022</w:t>
      </w:r>
      <w:r>
        <w:t>.</w:t>
      </w:r>
      <w:r>
        <w:rPr>
          <w:spacing w:val="27"/>
        </w:rPr>
        <w:t xml:space="preserve"> </w:t>
      </w:r>
      <w:r>
        <w:t>Denomina</w:t>
      </w:r>
      <w:r>
        <w:rPr>
          <w:spacing w:val="25"/>
        </w:rPr>
        <w:t xml:space="preserve"> </w:t>
      </w:r>
      <w:r>
        <w:t>Praça</w:t>
      </w:r>
      <w:r>
        <w:rPr>
          <w:spacing w:val="23"/>
        </w:rPr>
        <w:t xml:space="preserve"> </w:t>
      </w:r>
      <w:r>
        <w:t>João</w:t>
      </w:r>
      <w:r>
        <w:rPr>
          <w:spacing w:val="28"/>
        </w:rPr>
        <w:t xml:space="preserve"> </w:t>
      </w:r>
      <w:r>
        <w:t>Benedito Galdino Filho [...] São Paulo (SP): Diário Oficial do Município, 2022.</w:t>
      </w:r>
    </w:p>
    <w:p w:rsidR="007259F2" w:rsidRDefault="00E655B4">
      <w:pPr>
        <w:spacing w:before="121"/>
        <w:ind w:left="710"/>
      </w:pPr>
      <w:r>
        <w:t>SÃO</w:t>
      </w:r>
      <w:r>
        <w:rPr>
          <w:spacing w:val="31"/>
        </w:rPr>
        <w:t xml:space="preserve"> </w:t>
      </w:r>
      <w:r>
        <w:t>PAULO</w:t>
      </w:r>
      <w:r>
        <w:rPr>
          <w:spacing w:val="33"/>
        </w:rPr>
        <w:t xml:space="preserve"> </w:t>
      </w:r>
      <w:r>
        <w:t>(SP).</w:t>
      </w:r>
      <w:r>
        <w:rPr>
          <w:spacing w:val="33"/>
        </w:rPr>
        <w:t xml:space="preserve"> </w:t>
      </w:r>
      <w:r>
        <w:rPr>
          <w:b/>
        </w:rPr>
        <w:t>LEI</w:t>
      </w:r>
      <w:r>
        <w:rPr>
          <w:b/>
          <w:spacing w:val="35"/>
        </w:rPr>
        <w:t xml:space="preserve"> </w:t>
      </w:r>
      <w:r>
        <w:rPr>
          <w:b/>
        </w:rPr>
        <w:t>Nº</w:t>
      </w:r>
      <w:r>
        <w:rPr>
          <w:b/>
          <w:spacing w:val="31"/>
        </w:rPr>
        <w:t xml:space="preserve"> </w:t>
      </w:r>
      <w:r>
        <w:rPr>
          <w:b/>
        </w:rPr>
        <w:t>17.784,</w:t>
      </w:r>
      <w:r>
        <w:rPr>
          <w:b/>
          <w:spacing w:val="32"/>
        </w:rPr>
        <w:t xml:space="preserve"> </w:t>
      </w:r>
      <w:r>
        <w:rPr>
          <w:b/>
        </w:rPr>
        <w:t>DE</w:t>
      </w:r>
      <w:r>
        <w:rPr>
          <w:b/>
          <w:spacing w:val="31"/>
        </w:rPr>
        <w:t xml:space="preserve"> </w:t>
      </w:r>
      <w:r>
        <w:rPr>
          <w:b/>
        </w:rPr>
        <w:t>19</w:t>
      </w:r>
      <w:r>
        <w:rPr>
          <w:b/>
          <w:spacing w:val="32"/>
        </w:rPr>
        <w:t xml:space="preserve"> </w:t>
      </w:r>
      <w:r>
        <w:rPr>
          <w:b/>
        </w:rPr>
        <w:t>DE</w:t>
      </w:r>
      <w:r>
        <w:rPr>
          <w:b/>
          <w:spacing w:val="31"/>
        </w:rPr>
        <w:t xml:space="preserve"> </w:t>
      </w:r>
      <w:r>
        <w:rPr>
          <w:b/>
        </w:rPr>
        <w:t>ABRIL</w:t>
      </w:r>
      <w:r>
        <w:rPr>
          <w:b/>
          <w:spacing w:val="32"/>
        </w:rPr>
        <w:t xml:space="preserve"> </w:t>
      </w:r>
      <w:r>
        <w:rPr>
          <w:b/>
        </w:rPr>
        <w:t>DE</w:t>
      </w:r>
      <w:r>
        <w:rPr>
          <w:b/>
          <w:spacing w:val="31"/>
        </w:rPr>
        <w:t xml:space="preserve"> </w:t>
      </w:r>
      <w:r>
        <w:rPr>
          <w:b/>
        </w:rPr>
        <w:t>2022</w:t>
      </w:r>
      <w:r>
        <w:t>.</w:t>
      </w:r>
      <w:r>
        <w:rPr>
          <w:spacing w:val="32"/>
        </w:rPr>
        <w:t xml:space="preserve"> </w:t>
      </w:r>
      <w:r>
        <w:t>Denomina</w:t>
      </w:r>
      <w:r>
        <w:rPr>
          <w:spacing w:val="32"/>
        </w:rPr>
        <w:t xml:space="preserve"> </w:t>
      </w:r>
      <w:r>
        <w:t>Sala</w:t>
      </w:r>
      <w:r>
        <w:rPr>
          <w:spacing w:val="32"/>
        </w:rPr>
        <w:t xml:space="preserve"> </w:t>
      </w:r>
      <w:r>
        <w:t>de</w:t>
      </w:r>
      <w:r>
        <w:rPr>
          <w:spacing w:val="32"/>
        </w:rPr>
        <w:t xml:space="preserve"> </w:t>
      </w:r>
      <w:r>
        <w:t>Exposições Beatriz Franco do Amaral [...] Diário Oficial do Município, 2022.</w:t>
      </w:r>
    </w:p>
    <w:p w:rsidR="007259F2" w:rsidRDefault="00E655B4">
      <w:pPr>
        <w:spacing w:before="118"/>
        <w:ind w:left="710"/>
      </w:pPr>
      <w:r>
        <w:t>SÃO</w:t>
      </w:r>
      <w:r>
        <w:rPr>
          <w:spacing w:val="18"/>
        </w:rPr>
        <w:t xml:space="preserve"> </w:t>
      </w:r>
      <w:r>
        <w:t>PAULO</w:t>
      </w:r>
      <w:r>
        <w:rPr>
          <w:spacing w:val="18"/>
        </w:rPr>
        <w:t xml:space="preserve"> </w:t>
      </w:r>
      <w:r>
        <w:t>(SP).</w:t>
      </w:r>
      <w:r>
        <w:rPr>
          <w:spacing w:val="20"/>
        </w:rPr>
        <w:t xml:space="preserve"> </w:t>
      </w:r>
      <w:r>
        <w:rPr>
          <w:b/>
        </w:rPr>
        <w:t>LEI</w:t>
      </w:r>
      <w:r>
        <w:rPr>
          <w:b/>
          <w:spacing w:val="15"/>
        </w:rPr>
        <w:t xml:space="preserve"> </w:t>
      </w:r>
      <w:r>
        <w:rPr>
          <w:b/>
        </w:rPr>
        <w:t>Nº</w:t>
      </w:r>
      <w:r>
        <w:rPr>
          <w:b/>
          <w:spacing w:val="18"/>
        </w:rPr>
        <w:t xml:space="preserve"> </w:t>
      </w:r>
      <w:r>
        <w:rPr>
          <w:b/>
        </w:rPr>
        <w:t>17.783,</w:t>
      </w:r>
      <w:r>
        <w:rPr>
          <w:b/>
          <w:spacing w:val="19"/>
        </w:rPr>
        <w:t xml:space="preserve"> </w:t>
      </w:r>
      <w:r>
        <w:rPr>
          <w:b/>
        </w:rPr>
        <w:t>DE</w:t>
      </w:r>
      <w:r>
        <w:rPr>
          <w:b/>
          <w:spacing w:val="16"/>
        </w:rPr>
        <w:t xml:space="preserve"> </w:t>
      </w:r>
      <w:r>
        <w:rPr>
          <w:b/>
        </w:rPr>
        <w:t>19</w:t>
      </w:r>
      <w:r>
        <w:rPr>
          <w:b/>
          <w:spacing w:val="19"/>
        </w:rPr>
        <w:t xml:space="preserve"> </w:t>
      </w:r>
      <w:r>
        <w:rPr>
          <w:b/>
        </w:rPr>
        <w:t>DE</w:t>
      </w:r>
      <w:r>
        <w:rPr>
          <w:b/>
          <w:spacing w:val="18"/>
        </w:rPr>
        <w:t xml:space="preserve"> </w:t>
      </w:r>
      <w:r>
        <w:rPr>
          <w:b/>
        </w:rPr>
        <w:t>ABRIL</w:t>
      </w:r>
      <w:r>
        <w:rPr>
          <w:b/>
          <w:spacing w:val="19"/>
        </w:rPr>
        <w:t xml:space="preserve"> </w:t>
      </w:r>
      <w:r>
        <w:rPr>
          <w:b/>
        </w:rPr>
        <w:t>DE</w:t>
      </w:r>
      <w:r>
        <w:rPr>
          <w:b/>
          <w:spacing w:val="18"/>
        </w:rPr>
        <w:t xml:space="preserve"> </w:t>
      </w:r>
      <w:r>
        <w:rPr>
          <w:b/>
        </w:rPr>
        <w:t>2022</w:t>
      </w:r>
      <w:r>
        <w:t>.</w:t>
      </w:r>
      <w:r>
        <w:rPr>
          <w:spacing w:val="17"/>
        </w:rPr>
        <w:t xml:space="preserve"> </w:t>
      </w:r>
      <w:r>
        <w:t>Altera</w:t>
      </w:r>
      <w:r>
        <w:rPr>
          <w:spacing w:val="19"/>
        </w:rPr>
        <w:t xml:space="preserve"> </w:t>
      </w:r>
      <w:r>
        <w:t>a</w:t>
      </w:r>
      <w:r>
        <w:rPr>
          <w:spacing w:val="18"/>
        </w:rPr>
        <w:t xml:space="preserve"> </w:t>
      </w:r>
      <w:hyperlink r:id="rId293">
        <w:r>
          <w:rPr>
            <w:u w:val="single"/>
          </w:rPr>
          <w:t>Lei</w:t>
        </w:r>
        <w:r>
          <w:rPr>
            <w:spacing w:val="20"/>
            <w:u w:val="single"/>
          </w:rPr>
          <w:t xml:space="preserve"> </w:t>
        </w:r>
        <w:r>
          <w:rPr>
            <w:u w:val="single"/>
          </w:rPr>
          <w:t>nº</w:t>
        </w:r>
        <w:r>
          <w:rPr>
            <w:spacing w:val="20"/>
            <w:u w:val="single"/>
          </w:rPr>
          <w:t xml:space="preserve"> </w:t>
        </w:r>
        <w:r>
          <w:rPr>
            <w:u w:val="single"/>
          </w:rPr>
          <w:t>14.485,</w:t>
        </w:r>
        <w:r>
          <w:rPr>
            <w:spacing w:val="17"/>
            <w:u w:val="single"/>
          </w:rPr>
          <w:t xml:space="preserve"> </w:t>
        </w:r>
        <w:r>
          <w:rPr>
            <w:u w:val="single"/>
          </w:rPr>
          <w:t>de</w:t>
        </w:r>
        <w:r>
          <w:rPr>
            <w:spacing w:val="17"/>
            <w:u w:val="single"/>
          </w:rPr>
          <w:t xml:space="preserve"> </w:t>
        </w:r>
        <w:r>
          <w:rPr>
            <w:u w:val="single"/>
          </w:rPr>
          <w:t>19</w:t>
        </w:r>
        <w:r>
          <w:rPr>
            <w:spacing w:val="18"/>
            <w:u w:val="single"/>
          </w:rPr>
          <w:t xml:space="preserve"> </w:t>
        </w:r>
        <w:r>
          <w:rPr>
            <w:spacing w:val="-5"/>
            <w:u w:val="single"/>
          </w:rPr>
          <w:t>de</w:t>
        </w:r>
      </w:hyperlink>
    </w:p>
    <w:p w:rsidR="007259F2" w:rsidRDefault="00DE6B1C">
      <w:pPr>
        <w:spacing w:before="1"/>
        <w:ind w:left="710"/>
      </w:pPr>
      <w:hyperlink r:id="rId294">
        <w:r w:rsidR="00E655B4">
          <w:rPr>
            <w:u w:val="single"/>
          </w:rPr>
          <w:t>julho</w:t>
        </w:r>
        <w:r w:rsidR="00E655B4">
          <w:rPr>
            <w:spacing w:val="-3"/>
            <w:u w:val="single"/>
          </w:rPr>
          <w:t xml:space="preserve"> </w:t>
        </w:r>
        <w:r w:rsidR="00E655B4">
          <w:rPr>
            <w:u w:val="single"/>
          </w:rPr>
          <w:t>de</w:t>
        </w:r>
        <w:r w:rsidR="00E655B4">
          <w:rPr>
            <w:spacing w:val="-3"/>
            <w:u w:val="single"/>
          </w:rPr>
          <w:t xml:space="preserve"> </w:t>
        </w:r>
        <w:r w:rsidR="00E655B4">
          <w:rPr>
            <w:u w:val="single"/>
          </w:rPr>
          <w:t>2007,</w:t>
        </w:r>
      </w:hyperlink>
      <w:r w:rsidR="00E655B4">
        <w:rPr>
          <w:spacing w:val="-4"/>
        </w:rPr>
        <w:t xml:space="preserve"> </w:t>
      </w:r>
      <w:r w:rsidR="00E655B4">
        <w:t>[...]</w:t>
      </w:r>
      <w:r w:rsidR="00E655B4">
        <w:rPr>
          <w:spacing w:val="-3"/>
        </w:rPr>
        <w:t xml:space="preserve"> </w:t>
      </w:r>
      <w:r w:rsidR="00E655B4">
        <w:t>São</w:t>
      </w:r>
      <w:r w:rsidR="00E655B4">
        <w:rPr>
          <w:spacing w:val="-3"/>
        </w:rPr>
        <w:t xml:space="preserve"> </w:t>
      </w:r>
      <w:r w:rsidR="00E655B4">
        <w:t>Paulo</w:t>
      </w:r>
      <w:r w:rsidR="00E655B4">
        <w:rPr>
          <w:spacing w:val="-3"/>
        </w:rPr>
        <w:t xml:space="preserve"> </w:t>
      </w:r>
      <w:r w:rsidR="00E655B4">
        <w:t>(SP):</w:t>
      </w:r>
      <w:r w:rsidR="00E655B4">
        <w:rPr>
          <w:spacing w:val="-2"/>
        </w:rPr>
        <w:t xml:space="preserve"> </w:t>
      </w:r>
      <w:r w:rsidR="00E655B4">
        <w:t>Diário</w:t>
      </w:r>
      <w:r w:rsidR="00E655B4">
        <w:rPr>
          <w:spacing w:val="-3"/>
        </w:rPr>
        <w:t xml:space="preserve"> </w:t>
      </w:r>
      <w:r w:rsidR="00E655B4">
        <w:t>Oficial</w:t>
      </w:r>
      <w:r w:rsidR="00E655B4">
        <w:rPr>
          <w:spacing w:val="-2"/>
        </w:rPr>
        <w:t xml:space="preserve"> </w:t>
      </w:r>
      <w:r w:rsidR="00E655B4">
        <w:t>do</w:t>
      </w:r>
      <w:r w:rsidR="00E655B4">
        <w:rPr>
          <w:spacing w:val="-5"/>
        </w:rPr>
        <w:t xml:space="preserve"> </w:t>
      </w:r>
      <w:r w:rsidR="00E655B4">
        <w:t>Município,</w:t>
      </w:r>
      <w:r w:rsidR="00E655B4">
        <w:rPr>
          <w:spacing w:val="-3"/>
        </w:rPr>
        <w:t xml:space="preserve"> </w:t>
      </w:r>
      <w:r w:rsidR="00E655B4">
        <w:rPr>
          <w:spacing w:val="-2"/>
        </w:rPr>
        <w:t>2022.</w:t>
      </w:r>
    </w:p>
    <w:p w:rsidR="007259F2" w:rsidRDefault="00E655B4">
      <w:pPr>
        <w:spacing w:before="119"/>
        <w:ind w:left="710"/>
      </w:pPr>
      <w:r>
        <w:t>SÃO</w:t>
      </w:r>
      <w:r>
        <w:rPr>
          <w:spacing w:val="18"/>
        </w:rPr>
        <w:t xml:space="preserve"> </w:t>
      </w:r>
      <w:r>
        <w:t>PAULO</w:t>
      </w:r>
      <w:r>
        <w:rPr>
          <w:spacing w:val="18"/>
        </w:rPr>
        <w:t xml:space="preserve"> </w:t>
      </w:r>
      <w:r>
        <w:t>(SP).</w:t>
      </w:r>
      <w:r>
        <w:rPr>
          <w:spacing w:val="20"/>
        </w:rPr>
        <w:t xml:space="preserve"> </w:t>
      </w:r>
      <w:r>
        <w:rPr>
          <w:b/>
        </w:rPr>
        <w:t>LEI</w:t>
      </w:r>
      <w:r>
        <w:rPr>
          <w:b/>
          <w:spacing w:val="15"/>
        </w:rPr>
        <w:t xml:space="preserve"> </w:t>
      </w:r>
      <w:r>
        <w:rPr>
          <w:b/>
        </w:rPr>
        <w:t>Nº</w:t>
      </w:r>
      <w:r>
        <w:rPr>
          <w:b/>
          <w:spacing w:val="18"/>
        </w:rPr>
        <w:t xml:space="preserve"> </w:t>
      </w:r>
      <w:r>
        <w:rPr>
          <w:b/>
        </w:rPr>
        <w:t>17.782,</w:t>
      </w:r>
      <w:r>
        <w:rPr>
          <w:b/>
          <w:spacing w:val="19"/>
        </w:rPr>
        <w:t xml:space="preserve"> </w:t>
      </w:r>
      <w:r>
        <w:rPr>
          <w:b/>
        </w:rPr>
        <w:t>DE</w:t>
      </w:r>
      <w:r>
        <w:rPr>
          <w:b/>
          <w:spacing w:val="16"/>
        </w:rPr>
        <w:t xml:space="preserve"> </w:t>
      </w:r>
      <w:r>
        <w:rPr>
          <w:b/>
        </w:rPr>
        <w:t>19</w:t>
      </w:r>
      <w:r>
        <w:rPr>
          <w:b/>
          <w:spacing w:val="19"/>
        </w:rPr>
        <w:t xml:space="preserve"> </w:t>
      </w:r>
      <w:r>
        <w:rPr>
          <w:b/>
        </w:rPr>
        <w:t>DE</w:t>
      </w:r>
      <w:r>
        <w:rPr>
          <w:b/>
          <w:spacing w:val="18"/>
        </w:rPr>
        <w:t xml:space="preserve"> </w:t>
      </w:r>
      <w:r>
        <w:rPr>
          <w:b/>
        </w:rPr>
        <w:t>ABRIL</w:t>
      </w:r>
      <w:r>
        <w:rPr>
          <w:b/>
          <w:spacing w:val="19"/>
        </w:rPr>
        <w:t xml:space="preserve"> </w:t>
      </w:r>
      <w:r>
        <w:rPr>
          <w:b/>
        </w:rPr>
        <w:t>DE</w:t>
      </w:r>
      <w:r>
        <w:rPr>
          <w:b/>
          <w:spacing w:val="18"/>
        </w:rPr>
        <w:t xml:space="preserve"> </w:t>
      </w:r>
      <w:r>
        <w:rPr>
          <w:b/>
        </w:rPr>
        <w:t>2022</w:t>
      </w:r>
      <w:r>
        <w:t>.</w:t>
      </w:r>
      <w:r>
        <w:rPr>
          <w:spacing w:val="17"/>
        </w:rPr>
        <w:t xml:space="preserve"> </w:t>
      </w:r>
      <w:r>
        <w:t>Altera</w:t>
      </w:r>
      <w:r>
        <w:rPr>
          <w:spacing w:val="19"/>
        </w:rPr>
        <w:t xml:space="preserve"> </w:t>
      </w:r>
      <w:r>
        <w:t>a</w:t>
      </w:r>
      <w:r>
        <w:rPr>
          <w:spacing w:val="18"/>
        </w:rPr>
        <w:t xml:space="preserve"> </w:t>
      </w:r>
      <w:hyperlink r:id="rId295">
        <w:r>
          <w:rPr>
            <w:u w:val="single"/>
          </w:rPr>
          <w:t>Lei</w:t>
        </w:r>
        <w:r>
          <w:rPr>
            <w:spacing w:val="20"/>
            <w:u w:val="single"/>
          </w:rPr>
          <w:t xml:space="preserve"> </w:t>
        </w:r>
        <w:r>
          <w:rPr>
            <w:u w:val="single"/>
          </w:rPr>
          <w:t>nº</w:t>
        </w:r>
        <w:r>
          <w:rPr>
            <w:spacing w:val="20"/>
            <w:u w:val="single"/>
          </w:rPr>
          <w:t xml:space="preserve"> </w:t>
        </w:r>
        <w:r>
          <w:rPr>
            <w:u w:val="single"/>
          </w:rPr>
          <w:t>14.485,</w:t>
        </w:r>
        <w:r>
          <w:rPr>
            <w:spacing w:val="17"/>
            <w:u w:val="single"/>
          </w:rPr>
          <w:t xml:space="preserve"> </w:t>
        </w:r>
        <w:r>
          <w:rPr>
            <w:u w:val="single"/>
          </w:rPr>
          <w:t>de</w:t>
        </w:r>
        <w:r>
          <w:rPr>
            <w:spacing w:val="17"/>
            <w:u w:val="single"/>
          </w:rPr>
          <w:t xml:space="preserve"> </w:t>
        </w:r>
        <w:r>
          <w:rPr>
            <w:u w:val="single"/>
          </w:rPr>
          <w:t>19</w:t>
        </w:r>
        <w:r>
          <w:rPr>
            <w:spacing w:val="18"/>
            <w:u w:val="single"/>
          </w:rPr>
          <w:t xml:space="preserve"> </w:t>
        </w:r>
        <w:r>
          <w:rPr>
            <w:spacing w:val="-5"/>
            <w:u w:val="single"/>
          </w:rPr>
          <w:t>de</w:t>
        </w:r>
      </w:hyperlink>
    </w:p>
    <w:p w:rsidR="007259F2" w:rsidRDefault="00DE6B1C">
      <w:pPr>
        <w:spacing w:before="1"/>
        <w:ind w:left="710"/>
      </w:pPr>
      <w:hyperlink r:id="rId296">
        <w:r w:rsidR="00E655B4">
          <w:rPr>
            <w:u w:val="single"/>
          </w:rPr>
          <w:t>julho</w:t>
        </w:r>
        <w:r w:rsidR="00E655B4">
          <w:rPr>
            <w:spacing w:val="-3"/>
            <w:u w:val="single"/>
          </w:rPr>
          <w:t xml:space="preserve"> </w:t>
        </w:r>
        <w:r w:rsidR="00E655B4">
          <w:rPr>
            <w:u w:val="single"/>
          </w:rPr>
          <w:t>de</w:t>
        </w:r>
        <w:r w:rsidR="00E655B4">
          <w:rPr>
            <w:spacing w:val="-3"/>
            <w:u w:val="single"/>
          </w:rPr>
          <w:t xml:space="preserve"> </w:t>
        </w:r>
        <w:r w:rsidR="00E655B4">
          <w:rPr>
            <w:u w:val="single"/>
          </w:rPr>
          <w:t>2007,</w:t>
        </w:r>
      </w:hyperlink>
      <w:r w:rsidR="00E655B4">
        <w:rPr>
          <w:spacing w:val="-3"/>
        </w:rPr>
        <w:t xml:space="preserve"> </w:t>
      </w:r>
      <w:r w:rsidR="00E655B4">
        <w:t>[...]</w:t>
      </w:r>
      <w:r w:rsidR="00E655B4">
        <w:rPr>
          <w:spacing w:val="-3"/>
        </w:rPr>
        <w:t xml:space="preserve"> </w:t>
      </w:r>
      <w:r w:rsidR="00E655B4">
        <w:t>Diário</w:t>
      </w:r>
      <w:r w:rsidR="00E655B4">
        <w:rPr>
          <w:spacing w:val="-6"/>
        </w:rPr>
        <w:t xml:space="preserve"> </w:t>
      </w:r>
      <w:r w:rsidR="00E655B4">
        <w:t>Oficial</w:t>
      </w:r>
      <w:r w:rsidR="00E655B4">
        <w:rPr>
          <w:spacing w:val="-4"/>
        </w:rPr>
        <w:t xml:space="preserve"> </w:t>
      </w:r>
      <w:r w:rsidR="00E655B4">
        <w:t>do</w:t>
      </w:r>
      <w:r w:rsidR="00E655B4">
        <w:rPr>
          <w:spacing w:val="-3"/>
        </w:rPr>
        <w:t xml:space="preserve"> </w:t>
      </w:r>
      <w:r w:rsidR="00E655B4">
        <w:t>Município,</w:t>
      </w:r>
      <w:r w:rsidR="00E655B4">
        <w:rPr>
          <w:spacing w:val="-2"/>
        </w:rPr>
        <w:t xml:space="preserve"> 2022.</w:t>
      </w:r>
    </w:p>
    <w:p w:rsidR="007259F2" w:rsidRDefault="00E655B4">
      <w:pPr>
        <w:spacing w:before="119"/>
        <w:ind w:left="710" w:right="424"/>
      </w:pPr>
      <w:r>
        <w:t xml:space="preserve">SÃO PAULO (SP). </w:t>
      </w:r>
      <w:r>
        <w:rPr>
          <w:b/>
        </w:rPr>
        <w:t>LEI Nº 17.781, DE 19 DE ABRIL DE 2022</w:t>
      </w:r>
      <w:r>
        <w:t>. Denomina Praça Gilberto Lopes de Barros [...] São Paulo (SP): Diário Oficial do Município, 2022.</w:t>
      </w:r>
    </w:p>
    <w:p w:rsidR="007259F2" w:rsidRDefault="00E655B4">
      <w:pPr>
        <w:spacing w:before="121" w:line="252" w:lineRule="exact"/>
        <w:ind w:left="710"/>
      </w:pPr>
      <w:r>
        <w:t>SÃO</w:t>
      </w:r>
      <w:r>
        <w:rPr>
          <w:spacing w:val="18"/>
        </w:rPr>
        <w:t xml:space="preserve"> </w:t>
      </w:r>
      <w:r>
        <w:t>PAULO</w:t>
      </w:r>
      <w:r>
        <w:rPr>
          <w:spacing w:val="18"/>
        </w:rPr>
        <w:t xml:space="preserve"> </w:t>
      </w:r>
      <w:r>
        <w:t>(SP).</w:t>
      </w:r>
      <w:r>
        <w:rPr>
          <w:spacing w:val="20"/>
        </w:rPr>
        <w:t xml:space="preserve"> </w:t>
      </w:r>
      <w:r>
        <w:rPr>
          <w:b/>
        </w:rPr>
        <w:t>LEI</w:t>
      </w:r>
      <w:r>
        <w:rPr>
          <w:b/>
          <w:spacing w:val="15"/>
        </w:rPr>
        <w:t xml:space="preserve"> </w:t>
      </w:r>
      <w:r>
        <w:rPr>
          <w:b/>
        </w:rPr>
        <w:t>Nº</w:t>
      </w:r>
      <w:r>
        <w:rPr>
          <w:b/>
          <w:spacing w:val="18"/>
        </w:rPr>
        <w:t xml:space="preserve"> </w:t>
      </w:r>
      <w:r>
        <w:rPr>
          <w:b/>
        </w:rPr>
        <w:t>17.780,</w:t>
      </w:r>
      <w:r>
        <w:rPr>
          <w:b/>
          <w:spacing w:val="19"/>
        </w:rPr>
        <w:t xml:space="preserve"> </w:t>
      </w:r>
      <w:r>
        <w:rPr>
          <w:b/>
        </w:rPr>
        <w:t>DE</w:t>
      </w:r>
      <w:r>
        <w:rPr>
          <w:b/>
          <w:spacing w:val="16"/>
        </w:rPr>
        <w:t xml:space="preserve"> </w:t>
      </w:r>
      <w:r>
        <w:rPr>
          <w:b/>
        </w:rPr>
        <w:t>19</w:t>
      </w:r>
      <w:r>
        <w:rPr>
          <w:b/>
          <w:spacing w:val="19"/>
        </w:rPr>
        <w:t xml:space="preserve"> </w:t>
      </w:r>
      <w:r>
        <w:rPr>
          <w:b/>
        </w:rPr>
        <w:t>DE</w:t>
      </w:r>
      <w:r>
        <w:rPr>
          <w:b/>
          <w:spacing w:val="18"/>
        </w:rPr>
        <w:t xml:space="preserve"> </w:t>
      </w:r>
      <w:r>
        <w:rPr>
          <w:b/>
        </w:rPr>
        <w:t>ABRIL</w:t>
      </w:r>
      <w:r>
        <w:rPr>
          <w:b/>
          <w:spacing w:val="19"/>
        </w:rPr>
        <w:t xml:space="preserve"> </w:t>
      </w:r>
      <w:r>
        <w:rPr>
          <w:b/>
        </w:rPr>
        <w:t>DE</w:t>
      </w:r>
      <w:r>
        <w:rPr>
          <w:b/>
          <w:spacing w:val="18"/>
        </w:rPr>
        <w:t xml:space="preserve"> </w:t>
      </w:r>
      <w:r>
        <w:rPr>
          <w:b/>
        </w:rPr>
        <w:t>2022</w:t>
      </w:r>
      <w:r>
        <w:t>.</w:t>
      </w:r>
      <w:r>
        <w:rPr>
          <w:spacing w:val="17"/>
        </w:rPr>
        <w:t xml:space="preserve"> </w:t>
      </w:r>
      <w:r>
        <w:t>Altera</w:t>
      </w:r>
      <w:r>
        <w:rPr>
          <w:spacing w:val="19"/>
        </w:rPr>
        <w:t xml:space="preserve"> </w:t>
      </w:r>
      <w:r>
        <w:t>a</w:t>
      </w:r>
      <w:r>
        <w:rPr>
          <w:spacing w:val="18"/>
        </w:rPr>
        <w:t xml:space="preserve"> </w:t>
      </w:r>
      <w:hyperlink r:id="rId297">
        <w:r>
          <w:rPr>
            <w:u w:val="single"/>
          </w:rPr>
          <w:t>Lei</w:t>
        </w:r>
        <w:r>
          <w:rPr>
            <w:spacing w:val="20"/>
            <w:u w:val="single"/>
          </w:rPr>
          <w:t xml:space="preserve"> </w:t>
        </w:r>
        <w:r>
          <w:rPr>
            <w:u w:val="single"/>
          </w:rPr>
          <w:t>nº</w:t>
        </w:r>
        <w:r>
          <w:rPr>
            <w:spacing w:val="20"/>
            <w:u w:val="single"/>
          </w:rPr>
          <w:t xml:space="preserve"> </w:t>
        </w:r>
        <w:r>
          <w:rPr>
            <w:u w:val="single"/>
          </w:rPr>
          <w:t>14.485,</w:t>
        </w:r>
        <w:r>
          <w:rPr>
            <w:spacing w:val="19"/>
            <w:u w:val="single"/>
          </w:rPr>
          <w:t xml:space="preserve"> </w:t>
        </w:r>
        <w:r>
          <w:rPr>
            <w:u w:val="single"/>
          </w:rPr>
          <w:t>de</w:t>
        </w:r>
        <w:r>
          <w:rPr>
            <w:spacing w:val="17"/>
            <w:u w:val="single"/>
          </w:rPr>
          <w:t xml:space="preserve"> </w:t>
        </w:r>
        <w:r>
          <w:rPr>
            <w:u w:val="single"/>
          </w:rPr>
          <w:t>19</w:t>
        </w:r>
        <w:r>
          <w:rPr>
            <w:spacing w:val="18"/>
            <w:u w:val="single"/>
          </w:rPr>
          <w:t xml:space="preserve"> </w:t>
        </w:r>
        <w:r>
          <w:rPr>
            <w:spacing w:val="-5"/>
            <w:u w:val="single"/>
          </w:rPr>
          <w:t>de</w:t>
        </w:r>
      </w:hyperlink>
    </w:p>
    <w:p w:rsidR="007259F2" w:rsidRDefault="00DE6B1C">
      <w:pPr>
        <w:spacing w:line="252" w:lineRule="exact"/>
        <w:ind w:left="710"/>
      </w:pPr>
      <w:hyperlink r:id="rId298">
        <w:r w:rsidR="00E655B4">
          <w:rPr>
            <w:u w:val="single"/>
          </w:rPr>
          <w:t>julho</w:t>
        </w:r>
        <w:r w:rsidR="00E655B4">
          <w:rPr>
            <w:spacing w:val="-4"/>
            <w:u w:val="single"/>
          </w:rPr>
          <w:t xml:space="preserve"> </w:t>
        </w:r>
        <w:r w:rsidR="00E655B4">
          <w:rPr>
            <w:u w:val="single"/>
          </w:rPr>
          <w:t>de</w:t>
        </w:r>
        <w:r w:rsidR="00E655B4">
          <w:rPr>
            <w:spacing w:val="-3"/>
            <w:u w:val="single"/>
          </w:rPr>
          <w:t xml:space="preserve"> </w:t>
        </w:r>
        <w:r w:rsidR="00E655B4">
          <w:rPr>
            <w:u w:val="single"/>
          </w:rPr>
          <w:t>2007,</w:t>
        </w:r>
      </w:hyperlink>
      <w:r w:rsidR="00E655B4">
        <w:rPr>
          <w:spacing w:val="-3"/>
        </w:rPr>
        <w:t xml:space="preserve"> </w:t>
      </w:r>
      <w:r w:rsidR="00E655B4">
        <w:t>São</w:t>
      </w:r>
      <w:r w:rsidR="00E655B4">
        <w:rPr>
          <w:spacing w:val="-5"/>
        </w:rPr>
        <w:t xml:space="preserve"> </w:t>
      </w:r>
      <w:r w:rsidR="00E655B4">
        <w:t>Paulo</w:t>
      </w:r>
      <w:r w:rsidR="00E655B4">
        <w:rPr>
          <w:spacing w:val="-3"/>
        </w:rPr>
        <w:t xml:space="preserve"> </w:t>
      </w:r>
      <w:r w:rsidR="00E655B4">
        <w:t>(SP):</w:t>
      </w:r>
      <w:r w:rsidR="00E655B4">
        <w:rPr>
          <w:spacing w:val="-3"/>
        </w:rPr>
        <w:t xml:space="preserve"> </w:t>
      </w:r>
      <w:r w:rsidR="00E655B4">
        <w:t>Diário</w:t>
      </w:r>
      <w:r w:rsidR="00E655B4">
        <w:rPr>
          <w:spacing w:val="-3"/>
        </w:rPr>
        <w:t xml:space="preserve"> </w:t>
      </w:r>
      <w:r w:rsidR="00E655B4">
        <w:t>Oficial</w:t>
      </w:r>
      <w:r w:rsidR="00E655B4">
        <w:rPr>
          <w:spacing w:val="-4"/>
        </w:rPr>
        <w:t xml:space="preserve"> </w:t>
      </w:r>
      <w:r w:rsidR="00E655B4">
        <w:t>do</w:t>
      </w:r>
      <w:r w:rsidR="00E655B4">
        <w:rPr>
          <w:spacing w:val="-3"/>
        </w:rPr>
        <w:t xml:space="preserve"> </w:t>
      </w:r>
      <w:r w:rsidR="00E655B4">
        <w:t>Município,</w:t>
      </w:r>
      <w:r w:rsidR="00E655B4">
        <w:rPr>
          <w:spacing w:val="-5"/>
        </w:rPr>
        <w:t xml:space="preserve"> </w:t>
      </w:r>
      <w:r w:rsidR="00E655B4">
        <w:rPr>
          <w:spacing w:val="-2"/>
        </w:rPr>
        <w:t>2022.</w:t>
      </w:r>
    </w:p>
    <w:p w:rsidR="007259F2" w:rsidRDefault="007259F2">
      <w:pPr>
        <w:spacing w:line="252" w:lineRule="exact"/>
        <w:sectPr w:rsidR="007259F2">
          <w:pgSz w:w="11910" w:h="16840"/>
          <w:pgMar w:top="1600" w:right="708" w:bottom="1020" w:left="992" w:header="0" w:footer="820" w:gutter="0"/>
          <w:cols w:space="720"/>
        </w:sectPr>
      </w:pPr>
    </w:p>
    <w:p w:rsidR="007259F2" w:rsidRDefault="00E655B4">
      <w:pPr>
        <w:spacing w:before="77"/>
        <w:ind w:left="710"/>
      </w:pPr>
      <w:r>
        <w:lastRenderedPageBreak/>
        <w:t>SÃO</w:t>
      </w:r>
      <w:r>
        <w:rPr>
          <w:spacing w:val="19"/>
        </w:rPr>
        <w:t xml:space="preserve"> </w:t>
      </w:r>
      <w:r>
        <w:t>PAULO</w:t>
      </w:r>
      <w:r>
        <w:rPr>
          <w:spacing w:val="19"/>
        </w:rPr>
        <w:t xml:space="preserve"> </w:t>
      </w:r>
      <w:r>
        <w:t>(SP).</w:t>
      </w:r>
      <w:r>
        <w:rPr>
          <w:spacing w:val="21"/>
        </w:rPr>
        <w:t xml:space="preserve"> </w:t>
      </w:r>
      <w:r>
        <w:rPr>
          <w:b/>
        </w:rPr>
        <w:t>LEI</w:t>
      </w:r>
      <w:r>
        <w:rPr>
          <w:b/>
          <w:spacing w:val="23"/>
        </w:rPr>
        <w:t xml:space="preserve"> </w:t>
      </w:r>
      <w:r>
        <w:rPr>
          <w:b/>
        </w:rPr>
        <w:t>Nº</w:t>
      </w:r>
      <w:r>
        <w:rPr>
          <w:b/>
          <w:spacing w:val="19"/>
        </w:rPr>
        <w:t xml:space="preserve"> </w:t>
      </w:r>
      <w:r>
        <w:rPr>
          <w:b/>
        </w:rPr>
        <w:t>17.779,</w:t>
      </w:r>
      <w:r>
        <w:rPr>
          <w:b/>
          <w:spacing w:val="20"/>
        </w:rPr>
        <w:t xml:space="preserve"> </w:t>
      </w:r>
      <w:r>
        <w:rPr>
          <w:b/>
        </w:rPr>
        <w:t>DE</w:t>
      </w:r>
      <w:r>
        <w:rPr>
          <w:b/>
          <w:spacing w:val="19"/>
        </w:rPr>
        <w:t xml:space="preserve"> </w:t>
      </w:r>
      <w:r>
        <w:rPr>
          <w:b/>
        </w:rPr>
        <w:t>19</w:t>
      </w:r>
      <w:r>
        <w:rPr>
          <w:b/>
          <w:spacing w:val="20"/>
        </w:rPr>
        <w:t xml:space="preserve"> </w:t>
      </w:r>
      <w:r>
        <w:rPr>
          <w:b/>
        </w:rPr>
        <w:t>DE</w:t>
      </w:r>
      <w:r>
        <w:rPr>
          <w:b/>
          <w:spacing w:val="19"/>
        </w:rPr>
        <w:t xml:space="preserve"> </w:t>
      </w:r>
      <w:r>
        <w:rPr>
          <w:b/>
        </w:rPr>
        <w:t>ABRIL</w:t>
      </w:r>
      <w:r>
        <w:rPr>
          <w:b/>
          <w:spacing w:val="20"/>
        </w:rPr>
        <w:t xml:space="preserve"> </w:t>
      </w:r>
      <w:r>
        <w:rPr>
          <w:b/>
        </w:rPr>
        <w:t>DE</w:t>
      </w:r>
      <w:r>
        <w:rPr>
          <w:b/>
          <w:spacing w:val="19"/>
        </w:rPr>
        <w:t xml:space="preserve"> </w:t>
      </w:r>
      <w:r>
        <w:rPr>
          <w:b/>
        </w:rPr>
        <w:t>2022.</w:t>
      </w:r>
      <w:r>
        <w:rPr>
          <w:b/>
          <w:spacing w:val="23"/>
        </w:rPr>
        <w:t xml:space="preserve"> </w:t>
      </w:r>
      <w:r>
        <w:t>Denomina</w:t>
      </w:r>
      <w:r>
        <w:rPr>
          <w:spacing w:val="20"/>
        </w:rPr>
        <w:t xml:space="preserve"> </w:t>
      </w:r>
      <w:r>
        <w:t>Batting Cage</w:t>
      </w:r>
      <w:r>
        <w:rPr>
          <w:spacing w:val="23"/>
        </w:rPr>
        <w:t xml:space="preserve"> </w:t>
      </w:r>
      <w:r>
        <w:t>–</w:t>
      </w:r>
      <w:r>
        <w:rPr>
          <w:spacing w:val="20"/>
        </w:rPr>
        <w:t xml:space="preserve"> </w:t>
      </w:r>
      <w:r>
        <w:t>Helio Hashida [...] São Paulo (SP): Diário Oficial do Município, 2022.</w:t>
      </w:r>
    </w:p>
    <w:p w:rsidR="007259F2" w:rsidRDefault="00E655B4">
      <w:pPr>
        <w:spacing w:before="121" w:line="252" w:lineRule="exact"/>
        <w:ind w:left="710"/>
      </w:pPr>
      <w:r>
        <w:t>SÃO</w:t>
      </w:r>
      <w:r>
        <w:rPr>
          <w:spacing w:val="18"/>
        </w:rPr>
        <w:t xml:space="preserve"> </w:t>
      </w:r>
      <w:r>
        <w:t>PAULO</w:t>
      </w:r>
      <w:r>
        <w:rPr>
          <w:spacing w:val="18"/>
        </w:rPr>
        <w:t xml:space="preserve"> </w:t>
      </w:r>
      <w:r>
        <w:t>(SP).</w:t>
      </w:r>
      <w:r>
        <w:rPr>
          <w:spacing w:val="19"/>
        </w:rPr>
        <w:t xml:space="preserve"> </w:t>
      </w:r>
      <w:r>
        <w:rPr>
          <w:b/>
        </w:rPr>
        <w:t>LEI</w:t>
      </w:r>
      <w:r>
        <w:rPr>
          <w:b/>
          <w:spacing w:val="16"/>
        </w:rPr>
        <w:t xml:space="preserve"> </w:t>
      </w:r>
      <w:r>
        <w:rPr>
          <w:b/>
        </w:rPr>
        <w:t>Nº</w:t>
      </w:r>
      <w:r>
        <w:rPr>
          <w:b/>
          <w:spacing w:val="18"/>
        </w:rPr>
        <w:t xml:space="preserve"> </w:t>
      </w:r>
      <w:r>
        <w:rPr>
          <w:b/>
        </w:rPr>
        <w:t>17.778,</w:t>
      </w:r>
      <w:r>
        <w:rPr>
          <w:b/>
          <w:spacing w:val="20"/>
        </w:rPr>
        <w:t xml:space="preserve"> </w:t>
      </w:r>
      <w:r>
        <w:rPr>
          <w:b/>
        </w:rPr>
        <w:t>DE</w:t>
      </w:r>
      <w:r>
        <w:rPr>
          <w:b/>
          <w:spacing w:val="16"/>
        </w:rPr>
        <w:t xml:space="preserve"> </w:t>
      </w:r>
      <w:r>
        <w:rPr>
          <w:b/>
        </w:rPr>
        <w:t>19</w:t>
      </w:r>
      <w:r>
        <w:rPr>
          <w:b/>
          <w:spacing w:val="19"/>
        </w:rPr>
        <w:t xml:space="preserve"> </w:t>
      </w:r>
      <w:r>
        <w:rPr>
          <w:b/>
        </w:rPr>
        <w:t>DE</w:t>
      </w:r>
      <w:r>
        <w:rPr>
          <w:b/>
          <w:spacing w:val="18"/>
        </w:rPr>
        <w:t xml:space="preserve"> </w:t>
      </w:r>
      <w:r>
        <w:rPr>
          <w:b/>
        </w:rPr>
        <w:t>ABRIL</w:t>
      </w:r>
      <w:r>
        <w:rPr>
          <w:b/>
          <w:spacing w:val="19"/>
        </w:rPr>
        <w:t xml:space="preserve"> </w:t>
      </w:r>
      <w:r>
        <w:rPr>
          <w:b/>
        </w:rPr>
        <w:t>DE</w:t>
      </w:r>
      <w:r>
        <w:rPr>
          <w:b/>
          <w:spacing w:val="18"/>
        </w:rPr>
        <w:t xml:space="preserve"> </w:t>
      </w:r>
      <w:r>
        <w:rPr>
          <w:b/>
        </w:rPr>
        <w:t>2022</w:t>
      </w:r>
      <w:r>
        <w:t>.</w:t>
      </w:r>
      <w:r>
        <w:rPr>
          <w:spacing w:val="17"/>
        </w:rPr>
        <w:t xml:space="preserve"> </w:t>
      </w:r>
      <w:r>
        <w:t>Altera</w:t>
      </w:r>
      <w:r>
        <w:rPr>
          <w:spacing w:val="19"/>
        </w:rPr>
        <w:t xml:space="preserve"> </w:t>
      </w:r>
      <w:r>
        <w:t>a</w:t>
      </w:r>
      <w:r>
        <w:rPr>
          <w:spacing w:val="18"/>
        </w:rPr>
        <w:t xml:space="preserve"> </w:t>
      </w:r>
      <w:hyperlink r:id="rId299">
        <w:r>
          <w:rPr>
            <w:u w:val="single"/>
          </w:rPr>
          <w:t>Lei</w:t>
        </w:r>
        <w:r>
          <w:rPr>
            <w:spacing w:val="19"/>
            <w:u w:val="single"/>
          </w:rPr>
          <w:t xml:space="preserve"> </w:t>
        </w:r>
        <w:r>
          <w:rPr>
            <w:u w:val="single"/>
          </w:rPr>
          <w:t>nº</w:t>
        </w:r>
        <w:r>
          <w:rPr>
            <w:spacing w:val="20"/>
            <w:u w:val="single"/>
          </w:rPr>
          <w:t xml:space="preserve"> </w:t>
        </w:r>
        <w:r>
          <w:rPr>
            <w:u w:val="single"/>
          </w:rPr>
          <w:t>14.485,</w:t>
        </w:r>
        <w:r>
          <w:rPr>
            <w:spacing w:val="17"/>
            <w:u w:val="single"/>
          </w:rPr>
          <w:t xml:space="preserve"> </w:t>
        </w:r>
        <w:r>
          <w:rPr>
            <w:u w:val="single"/>
          </w:rPr>
          <w:t>de</w:t>
        </w:r>
        <w:r>
          <w:rPr>
            <w:spacing w:val="17"/>
            <w:u w:val="single"/>
          </w:rPr>
          <w:t xml:space="preserve"> </w:t>
        </w:r>
        <w:r>
          <w:rPr>
            <w:u w:val="single"/>
          </w:rPr>
          <w:t>19</w:t>
        </w:r>
        <w:r>
          <w:rPr>
            <w:spacing w:val="18"/>
            <w:u w:val="single"/>
          </w:rPr>
          <w:t xml:space="preserve"> </w:t>
        </w:r>
        <w:r>
          <w:rPr>
            <w:spacing w:val="-5"/>
            <w:u w:val="single"/>
          </w:rPr>
          <w:t>de</w:t>
        </w:r>
      </w:hyperlink>
    </w:p>
    <w:p w:rsidR="007259F2" w:rsidRDefault="00DE6B1C">
      <w:pPr>
        <w:spacing w:line="252" w:lineRule="exact"/>
        <w:ind w:left="710"/>
      </w:pPr>
      <w:hyperlink r:id="rId300">
        <w:r w:rsidR="00E655B4">
          <w:rPr>
            <w:u w:val="single"/>
          </w:rPr>
          <w:t>julho</w:t>
        </w:r>
        <w:r w:rsidR="00E655B4">
          <w:rPr>
            <w:spacing w:val="-4"/>
            <w:u w:val="single"/>
          </w:rPr>
          <w:t xml:space="preserve"> </w:t>
        </w:r>
        <w:r w:rsidR="00E655B4">
          <w:rPr>
            <w:u w:val="single"/>
          </w:rPr>
          <w:t>de</w:t>
        </w:r>
        <w:r w:rsidR="00E655B4">
          <w:rPr>
            <w:spacing w:val="-3"/>
            <w:u w:val="single"/>
          </w:rPr>
          <w:t xml:space="preserve"> </w:t>
        </w:r>
        <w:r w:rsidR="00E655B4">
          <w:rPr>
            <w:u w:val="single"/>
          </w:rPr>
          <w:t>2007,</w:t>
        </w:r>
      </w:hyperlink>
      <w:r w:rsidR="00E655B4">
        <w:rPr>
          <w:spacing w:val="-3"/>
        </w:rPr>
        <w:t xml:space="preserve"> </w:t>
      </w:r>
      <w:r w:rsidR="00E655B4">
        <w:t>São</w:t>
      </w:r>
      <w:r w:rsidR="00E655B4">
        <w:rPr>
          <w:spacing w:val="-5"/>
        </w:rPr>
        <w:t xml:space="preserve"> </w:t>
      </w:r>
      <w:r w:rsidR="00E655B4">
        <w:t>Paulo</w:t>
      </w:r>
      <w:r w:rsidR="00E655B4">
        <w:rPr>
          <w:spacing w:val="-3"/>
        </w:rPr>
        <w:t xml:space="preserve"> </w:t>
      </w:r>
      <w:r w:rsidR="00E655B4">
        <w:t>(SP):</w:t>
      </w:r>
      <w:r w:rsidR="00E655B4">
        <w:rPr>
          <w:spacing w:val="-3"/>
        </w:rPr>
        <w:t xml:space="preserve"> </w:t>
      </w:r>
      <w:r w:rsidR="00E655B4">
        <w:t>Diário</w:t>
      </w:r>
      <w:r w:rsidR="00E655B4">
        <w:rPr>
          <w:spacing w:val="-3"/>
        </w:rPr>
        <w:t xml:space="preserve"> </w:t>
      </w:r>
      <w:r w:rsidR="00E655B4">
        <w:t>Oficial</w:t>
      </w:r>
      <w:r w:rsidR="00E655B4">
        <w:rPr>
          <w:spacing w:val="-4"/>
        </w:rPr>
        <w:t xml:space="preserve"> </w:t>
      </w:r>
      <w:r w:rsidR="00E655B4">
        <w:t>do</w:t>
      </w:r>
      <w:r w:rsidR="00E655B4">
        <w:rPr>
          <w:spacing w:val="-3"/>
        </w:rPr>
        <w:t xml:space="preserve"> </w:t>
      </w:r>
      <w:r w:rsidR="00E655B4">
        <w:t>Município,</w:t>
      </w:r>
      <w:r w:rsidR="00E655B4">
        <w:rPr>
          <w:spacing w:val="-5"/>
        </w:rPr>
        <w:t xml:space="preserve"> </w:t>
      </w:r>
      <w:r w:rsidR="00E655B4">
        <w:rPr>
          <w:spacing w:val="-2"/>
        </w:rPr>
        <w:t>2022.</w:t>
      </w:r>
    </w:p>
    <w:p w:rsidR="007259F2" w:rsidRDefault="00E655B4">
      <w:pPr>
        <w:spacing w:before="119"/>
        <w:ind w:left="710"/>
      </w:pPr>
      <w:r>
        <w:t>SÃO</w:t>
      </w:r>
      <w:r>
        <w:rPr>
          <w:spacing w:val="40"/>
        </w:rPr>
        <w:t xml:space="preserve"> </w:t>
      </w:r>
      <w:r>
        <w:t>PAULO</w:t>
      </w:r>
      <w:r>
        <w:rPr>
          <w:spacing w:val="40"/>
        </w:rPr>
        <w:t xml:space="preserve"> </w:t>
      </w:r>
      <w:r>
        <w:t>(SP).</w:t>
      </w:r>
      <w:r>
        <w:rPr>
          <w:spacing w:val="40"/>
        </w:rPr>
        <w:t xml:space="preserve"> </w:t>
      </w:r>
      <w:r>
        <w:rPr>
          <w:b/>
        </w:rPr>
        <w:t>LEI</w:t>
      </w:r>
      <w:r>
        <w:rPr>
          <w:b/>
          <w:spacing w:val="40"/>
        </w:rPr>
        <w:t xml:space="preserve"> </w:t>
      </w:r>
      <w:r>
        <w:rPr>
          <w:b/>
        </w:rPr>
        <w:t>Nº</w:t>
      </w:r>
      <w:r>
        <w:rPr>
          <w:b/>
          <w:spacing w:val="40"/>
        </w:rPr>
        <w:t xml:space="preserve"> </w:t>
      </w:r>
      <w:r>
        <w:rPr>
          <w:b/>
        </w:rPr>
        <w:t>17.777,</w:t>
      </w:r>
      <w:r>
        <w:rPr>
          <w:b/>
          <w:spacing w:val="40"/>
        </w:rPr>
        <w:t xml:space="preserve"> </w:t>
      </w:r>
      <w:r>
        <w:rPr>
          <w:b/>
        </w:rPr>
        <w:t>DE</w:t>
      </w:r>
      <w:r>
        <w:rPr>
          <w:b/>
          <w:spacing w:val="40"/>
        </w:rPr>
        <w:t xml:space="preserve"> </w:t>
      </w:r>
      <w:r>
        <w:rPr>
          <w:b/>
        </w:rPr>
        <w:t>19</w:t>
      </w:r>
      <w:r>
        <w:rPr>
          <w:b/>
          <w:spacing w:val="40"/>
        </w:rPr>
        <w:t xml:space="preserve"> </w:t>
      </w:r>
      <w:r>
        <w:rPr>
          <w:b/>
        </w:rPr>
        <w:t>DE</w:t>
      </w:r>
      <w:r>
        <w:rPr>
          <w:b/>
          <w:spacing w:val="40"/>
        </w:rPr>
        <w:t xml:space="preserve"> </w:t>
      </w:r>
      <w:r>
        <w:rPr>
          <w:b/>
        </w:rPr>
        <w:t>ABRIL</w:t>
      </w:r>
      <w:r>
        <w:rPr>
          <w:b/>
          <w:spacing w:val="40"/>
        </w:rPr>
        <w:t xml:space="preserve"> </w:t>
      </w:r>
      <w:r>
        <w:rPr>
          <w:b/>
        </w:rPr>
        <w:t>DE</w:t>
      </w:r>
      <w:r>
        <w:rPr>
          <w:b/>
          <w:spacing w:val="40"/>
        </w:rPr>
        <w:t xml:space="preserve"> </w:t>
      </w:r>
      <w:r>
        <w:rPr>
          <w:b/>
        </w:rPr>
        <w:t>2022</w:t>
      </w:r>
      <w:r>
        <w:t>.</w:t>
      </w:r>
      <w:r>
        <w:rPr>
          <w:spacing w:val="40"/>
        </w:rPr>
        <w:t xml:space="preserve"> </w:t>
      </w:r>
      <w:r>
        <w:t>Disciplina</w:t>
      </w:r>
      <w:r>
        <w:rPr>
          <w:spacing w:val="40"/>
        </w:rPr>
        <w:t xml:space="preserve"> </w:t>
      </w:r>
      <w:r>
        <w:t>o</w:t>
      </w:r>
      <w:r>
        <w:rPr>
          <w:spacing w:val="40"/>
        </w:rPr>
        <w:t xml:space="preserve"> </w:t>
      </w:r>
      <w:r>
        <w:t>procedimento</w:t>
      </w:r>
      <w:r>
        <w:rPr>
          <w:spacing w:val="80"/>
        </w:rPr>
        <w:t xml:space="preserve"> </w:t>
      </w:r>
      <w:r>
        <w:t>administrativo de avaliação [...] São Paulo (SP): Diário Oficial do Município, 2022.</w:t>
      </w:r>
    </w:p>
    <w:p w:rsidR="007259F2" w:rsidRDefault="00E655B4">
      <w:pPr>
        <w:spacing w:before="120"/>
        <w:ind w:left="710"/>
      </w:pPr>
      <w:r>
        <w:t>SÃO</w:t>
      </w:r>
      <w:r>
        <w:rPr>
          <w:spacing w:val="-1"/>
        </w:rPr>
        <w:t xml:space="preserve"> </w:t>
      </w:r>
      <w:r>
        <w:t>PAULO</w:t>
      </w:r>
      <w:r>
        <w:rPr>
          <w:spacing w:val="-2"/>
        </w:rPr>
        <w:t xml:space="preserve"> </w:t>
      </w:r>
      <w:r>
        <w:t xml:space="preserve">(SP). </w:t>
      </w:r>
      <w:r>
        <w:rPr>
          <w:b/>
        </w:rPr>
        <w:t>LEI</w:t>
      </w:r>
      <w:r>
        <w:rPr>
          <w:b/>
          <w:spacing w:val="-2"/>
        </w:rPr>
        <w:t xml:space="preserve"> </w:t>
      </w:r>
      <w:r>
        <w:rPr>
          <w:b/>
        </w:rPr>
        <w:t>Nº</w:t>
      </w:r>
      <w:r>
        <w:rPr>
          <w:b/>
          <w:spacing w:val="-1"/>
        </w:rPr>
        <w:t xml:space="preserve"> </w:t>
      </w:r>
      <w:r>
        <w:rPr>
          <w:b/>
        </w:rPr>
        <w:t>17.776, DE</w:t>
      </w:r>
      <w:r>
        <w:rPr>
          <w:b/>
          <w:spacing w:val="-3"/>
        </w:rPr>
        <w:t xml:space="preserve"> </w:t>
      </w:r>
      <w:r>
        <w:rPr>
          <w:b/>
        </w:rPr>
        <w:t>13 DE</w:t>
      </w:r>
      <w:r>
        <w:rPr>
          <w:b/>
          <w:spacing w:val="-1"/>
        </w:rPr>
        <w:t xml:space="preserve"> </w:t>
      </w:r>
      <w:r>
        <w:rPr>
          <w:b/>
        </w:rPr>
        <w:t>ABRIL</w:t>
      </w:r>
      <w:r>
        <w:rPr>
          <w:b/>
          <w:spacing w:val="-1"/>
        </w:rPr>
        <w:t xml:space="preserve"> </w:t>
      </w:r>
      <w:r>
        <w:rPr>
          <w:b/>
        </w:rPr>
        <w:t>DE</w:t>
      </w:r>
      <w:r>
        <w:rPr>
          <w:b/>
          <w:spacing w:val="-1"/>
        </w:rPr>
        <w:t xml:space="preserve"> </w:t>
      </w:r>
      <w:r>
        <w:rPr>
          <w:b/>
        </w:rPr>
        <w:t>2022</w:t>
      </w:r>
      <w:r>
        <w:t>. Dispõe sobre a</w:t>
      </w:r>
      <w:r>
        <w:rPr>
          <w:spacing w:val="-2"/>
        </w:rPr>
        <w:t xml:space="preserve"> </w:t>
      </w:r>
      <w:r>
        <w:t>criação,</w:t>
      </w:r>
      <w:r>
        <w:rPr>
          <w:spacing w:val="-2"/>
        </w:rPr>
        <w:t xml:space="preserve"> </w:t>
      </w:r>
      <w:r>
        <w:t>alteração de denominação e extinção [...] São Paulo (SP): Diário Oficial do Município, 2022.</w:t>
      </w:r>
    </w:p>
    <w:p w:rsidR="007259F2" w:rsidRDefault="00E655B4">
      <w:pPr>
        <w:spacing w:before="120"/>
        <w:ind w:left="710" w:right="422"/>
      </w:pPr>
      <w:r>
        <w:t xml:space="preserve">SÃO PAULO (SP). </w:t>
      </w:r>
      <w:r>
        <w:rPr>
          <w:b/>
        </w:rPr>
        <w:t>LEI Nº 17.775, DE 8 DE ABRIL DE 2022</w:t>
      </w:r>
      <w:r>
        <w:t>. Denomina Praça Tarcísio Meira [...] São Paulo (SP): Diário Oficial do Município, 2022.</w:t>
      </w:r>
    </w:p>
    <w:p w:rsidR="007259F2" w:rsidRDefault="00E655B4">
      <w:pPr>
        <w:spacing w:before="122" w:line="252" w:lineRule="exact"/>
        <w:ind w:left="710"/>
      </w:pPr>
      <w:r>
        <w:t>SÃO</w:t>
      </w:r>
      <w:r>
        <w:rPr>
          <w:spacing w:val="23"/>
        </w:rPr>
        <w:t xml:space="preserve"> </w:t>
      </w:r>
      <w:r>
        <w:t>PAULO</w:t>
      </w:r>
      <w:r>
        <w:rPr>
          <w:spacing w:val="25"/>
        </w:rPr>
        <w:t xml:space="preserve"> </w:t>
      </w:r>
      <w:r>
        <w:t>(SP).</w:t>
      </w:r>
      <w:r>
        <w:rPr>
          <w:spacing w:val="27"/>
        </w:rPr>
        <w:t xml:space="preserve"> </w:t>
      </w:r>
      <w:r>
        <w:rPr>
          <w:b/>
        </w:rPr>
        <w:t>LEI</w:t>
      </w:r>
      <w:r>
        <w:rPr>
          <w:b/>
          <w:spacing w:val="27"/>
        </w:rPr>
        <w:t xml:space="preserve"> </w:t>
      </w:r>
      <w:r>
        <w:rPr>
          <w:b/>
        </w:rPr>
        <w:t>Nº</w:t>
      </w:r>
      <w:r>
        <w:rPr>
          <w:b/>
          <w:spacing w:val="26"/>
        </w:rPr>
        <w:t xml:space="preserve"> </w:t>
      </w:r>
      <w:r>
        <w:rPr>
          <w:b/>
        </w:rPr>
        <w:t>17.774,</w:t>
      </w:r>
      <w:r>
        <w:rPr>
          <w:b/>
          <w:spacing w:val="26"/>
        </w:rPr>
        <w:t xml:space="preserve"> </w:t>
      </w:r>
      <w:r>
        <w:rPr>
          <w:b/>
        </w:rPr>
        <w:t>DE</w:t>
      </w:r>
      <w:r>
        <w:rPr>
          <w:b/>
          <w:spacing w:val="25"/>
        </w:rPr>
        <w:t xml:space="preserve"> </w:t>
      </w:r>
      <w:r>
        <w:rPr>
          <w:b/>
        </w:rPr>
        <w:t>8</w:t>
      </w:r>
      <w:r>
        <w:rPr>
          <w:b/>
          <w:spacing w:val="27"/>
        </w:rPr>
        <w:t xml:space="preserve"> </w:t>
      </w:r>
      <w:r>
        <w:rPr>
          <w:b/>
        </w:rPr>
        <w:t>DE</w:t>
      </w:r>
      <w:r>
        <w:rPr>
          <w:b/>
          <w:spacing w:val="25"/>
        </w:rPr>
        <w:t xml:space="preserve"> </w:t>
      </w:r>
      <w:r>
        <w:rPr>
          <w:b/>
        </w:rPr>
        <w:t>ABRIL</w:t>
      </w:r>
      <w:r>
        <w:rPr>
          <w:b/>
          <w:spacing w:val="26"/>
        </w:rPr>
        <w:t xml:space="preserve"> </w:t>
      </w:r>
      <w:r>
        <w:rPr>
          <w:b/>
        </w:rPr>
        <w:t>DE</w:t>
      </w:r>
      <w:r>
        <w:rPr>
          <w:b/>
          <w:spacing w:val="25"/>
        </w:rPr>
        <w:t xml:space="preserve"> </w:t>
      </w:r>
      <w:r>
        <w:rPr>
          <w:b/>
        </w:rPr>
        <w:t>2022</w:t>
      </w:r>
      <w:r>
        <w:t>.</w:t>
      </w:r>
      <w:r>
        <w:rPr>
          <w:spacing w:val="27"/>
        </w:rPr>
        <w:t xml:space="preserve"> </w:t>
      </w:r>
      <w:r>
        <w:t>Denomina</w:t>
      </w:r>
      <w:r>
        <w:rPr>
          <w:spacing w:val="27"/>
        </w:rPr>
        <w:t xml:space="preserve"> </w:t>
      </w:r>
      <w:r>
        <w:t>Túnel</w:t>
      </w:r>
      <w:r>
        <w:rPr>
          <w:spacing w:val="27"/>
        </w:rPr>
        <w:t xml:space="preserve"> </w:t>
      </w:r>
      <w:r>
        <w:t>Dep.</w:t>
      </w:r>
      <w:r>
        <w:rPr>
          <w:spacing w:val="26"/>
        </w:rPr>
        <w:t xml:space="preserve"> </w:t>
      </w:r>
      <w:r>
        <w:t>Fed.</w:t>
      </w:r>
      <w:r>
        <w:rPr>
          <w:spacing w:val="25"/>
        </w:rPr>
        <w:t xml:space="preserve"> </w:t>
      </w:r>
      <w:r>
        <w:rPr>
          <w:spacing w:val="-4"/>
        </w:rPr>
        <w:t>José</w:t>
      </w:r>
    </w:p>
    <w:p w:rsidR="007259F2" w:rsidRDefault="00E655B4">
      <w:pPr>
        <w:spacing w:line="252" w:lineRule="exact"/>
        <w:ind w:left="710"/>
      </w:pPr>
      <w:r>
        <w:t>Mentor</w:t>
      </w:r>
      <w:r>
        <w:rPr>
          <w:spacing w:val="-6"/>
        </w:rPr>
        <w:t xml:space="preserve"> </w:t>
      </w:r>
      <w:r>
        <w:t>[...]</w:t>
      </w:r>
      <w:r>
        <w:rPr>
          <w:spacing w:val="-3"/>
        </w:rPr>
        <w:t xml:space="preserve"> </w:t>
      </w:r>
      <w:r>
        <w:t>São</w:t>
      </w:r>
      <w:r>
        <w:rPr>
          <w:spacing w:val="-3"/>
        </w:rPr>
        <w:t xml:space="preserve"> </w:t>
      </w:r>
      <w:r>
        <w:t>Paulo</w:t>
      </w:r>
      <w:r>
        <w:rPr>
          <w:spacing w:val="-6"/>
        </w:rPr>
        <w:t xml:space="preserve"> </w:t>
      </w:r>
      <w:r>
        <w:t>(SP):</w:t>
      </w:r>
      <w:r>
        <w:rPr>
          <w:spacing w:val="-2"/>
        </w:rPr>
        <w:t xml:space="preserve"> </w:t>
      </w:r>
      <w:r>
        <w:t>Diário</w:t>
      </w:r>
      <w:r>
        <w:rPr>
          <w:spacing w:val="-3"/>
        </w:rPr>
        <w:t xml:space="preserve"> </w:t>
      </w:r>
      <w:r>
        <w:t>Oficial</w:t>
      </w:r>
      <w:r>
        <w:rPr>
          <w:spacing w:val="-2"/>
        </w:rPr>
        <w:t xml:space="preserve"> </w:t>
      </w:r>
      <w:r>
        <w:t>do</w:t>
      </w:r>
      <w:r>
        <w:rPr>
          <w:spacing w:val="-6"/>
        </w:rPr>
        <w:t xml:space="preserve"> </w:t>
      </w:r>
      <w:r>
        <w:t>Município,</w:t>
      </w:r>
      <w:r>
        <w:rPr>
          <w:spacing w:val="-3"/>
        </w:rPr>
        <w:t xml:space="preserve"> </w:t>
      </w:r>
      <w:r>
        <w:rPr>
          <w:spacing w:val="-2"/>
        </w:rPr>
        <w:t>2022.</w:t>
      </w:r>
    </w:p>
    <w:p w:rsidR="007259F2" w:rsidRDefault="00E655B4">
      <w:pPr>
        <w:spacing w:before="121"/>
        <w:ind w:left="710" w:right="422"/>
      </w:pPr>
      <w:r>
        <w:t xml:space="preserve">SÃO PAULO (SP). </w:t>
      </w:r>
      <w:r>
        <w:rPr>
          <w:b/>
        </w:rPr>
        <w:t>LEI Nº 17.773, DE 8 DE ABRIL DE 2022</w:t>
      </w:r>
      <w:r>
        <w:t>. Denomina Praça Luiz Carlos Paludo [...] São Paulo (SP): Diário Oficial do Município, 2022.</w:t>
      </w:r>
    </w:p>
    <w:p w:rsidR="007259F2" w:rsidRDefault="00E655B4">
      <w:pPr>
        <w:spacing w:before="118"/>
        <w:ind w:left="710" w:right="561"/>
      </w:pPr>
      <w:r>
        <w:t xml:space="preserve">SÃO PAULO (SP). </w:t>
      </w:r>
      <w:r>
        <w:rPr>
          <w:b/>
        </w:rPr>
        <w:t>LEI Nº 17.772, DE 8 DE ABRIL DE 2022</w:t>
      </w:r>
      <w:r>
        <w:t>. Altera a denominação da Unidade</w:t>
      </w:r>
      <w:r>
        <w:rPr>
          <w:spacing w:val="80"/>
        </w:rPr>
        <w:t xml:space="preserve"> </w:t>
      </w:r>
      <w:r>
        <w:t>Básica de Saúde Iguaçu [...] São Paulo (SP): Diário Oficial do Município, 2022.</w:t>
      </w:r>
    </w:p>
    <w:p w:rsidR="007259F2" w:rsidRDefault="00E655B4">
      <w:pPr>
        <w:spacing w:before="120"/>
        <w:ind w:left="710" w:right="422"/>
      </w:pPr>
      <w:r>
        <w:t xml:space="preserve">SÃO PAULO (SP). </w:t>
      </w:r>
      <w:r>
        <w:rPr>
          <w:b/>
        </w:rPr>
        <w:t>LEI Nº 17.771, DE 28 DE MARÇO DE 2022</w:t>
      </w:r>
      <w:r>
        <w:t>. Altera a redação do art. 22 da Lei [...] São Paulo (SP): Diário Oficial do Município, 2022.</w:t>
      </w:r>
    </w:p>
    <w:p w:rsidR="007259F2" w:rsidRDefault="00E655B4">
      <w:pPr>
        <w:spacing w:before="121" w:line="252" w:lineRule="exact"/>
        <w:ind w:left="710"/>
      </w:pPr>
      <w:r>
        <w:t>SÃO</w:t>
      </w:r>
      <w:r>
        <w:rPr>
          <w:spacing w:val="8"/>
        </w:rPr>
        <w:t xml:space="preserve"> </w:t>
      </w:r>
      <w:r>
        <w:t>PAULO</w:t>
      </w:r>
      <w:r>
        <w:rPr>
          <w:spacing w:val="8"/>
        </w:rPr>
        <w:t xml:space="preserve"> </w:t>
      </w:r>
      <w:r>
        <w:t>(SP).</w:t>
      </w:r>
      <w:r>
        <w:rPr>
          <w:spacing w:val="11"/>
        </w:rPr>
        <w:t xml:space="preserve"> </w:t>
      </w:r>
      <w:r>
        <w:rPr>
          <w:b/>
        </w:rPr>
        <w:t>LEI</w:t>
      </w:r>
      <w:r>
        <w:rPr>
          <w:b/>
          <w:spacing w:val="10"/>
        </w:rPr>
        <w:t xml:space="preserve"> </w:t>
      </w:r>
      <w:r>
        <w:rPr>
          <w:b/>
        </w:rPr>
        <w:t>Nº</w:t>
      </w:r>
      <w:r>
        <w:rPr>
          <w:b/>
          <w:spacing w:val="10"/>
        </w:rPr>
        <w:t xml:space="preserve"> </w:t>
      </w:r>
      <w:r>
        <w:rPr>
          <w:b/>
        </w:rPr>
        <w:t>17.770,</w:t>
      </w:r>
      <w:r>
        <w:rPr>
          <w:b/>
          <w:spacing w:val="9"/>
        </w:rPr>
        <w:t xml:space="preserve"> </w:t>
      </w:r>
      <w:r>
        <w:rPr>
          <w:b/>
        </w:rPr>
        <w:t>DE</w:t>
      </w:r>
      <w:r>
        <w:rPr>
          <w:b/>
          <w:spacing w:val="10"/>
        </w:rPr>
        <w:t xml:space="preserve"> </w:t>
      </w:r>
      <w:r>
        <w:rPr>
          <w:b/>
        </w:rPr>
        <w:t>23</w:t>
      </w:r>
      <w:r>
        <w:rPr>
          <w:b/>
          <w:spacing w:val="9"/>
        </w:rPr>
        <w:t xml:space="preserve"> </w:t>
      </w:r>
      <w:r>
        <w:rPr>
          <w:b/>
        </w:rPr>
        <w:t>DE</w:t>
      </w:r>
      <w:r>
        <w:rPr>
          <w:b/>
          <w:spacing w:val="9"/>
        </w:rPr>
        <w:t xml:space="preserve"> </w:t>
      </w:r>
      <w:r>
        <w:rPr>
          <w:b/>
        </w:rPr>
        <w:t>MARÇO</w:t>
      </w:r>
      <w:r>
        <w:rPr>
          <w:b/>
          <w:spacing w:val="11"/>
        </w:rPr>
        <w:t xml:space="preserve"> </w:t>
      </w:r>
      <w:r>
        <w:rPr>
          <w:b/>
        </w:rPr>
        <w:t>DE</w:t>
      </w:r>
      <w:r>
        <w:rPr>
          <w:b/>
          <w:spacing w:val="9"/>
        </w:rPr>
        <w:t xml:space="preserve"> </w:t>
      </w:r>
      <w:r>
        <w:rPr>
          <w:b/>
        </w:rPr>
        <w:t>2022</w:t>
      </w:r>
      <w:r>
        <w:t>.</w:t>
      </w:r>
      <w:r>
        <w:rPr>
          <w:spacing w:val="10"/>
        </w:rPr>
        <w:t xml:space="preserve"> </w:t>
      </w:r>
      <w:r>
        <w:t>Altera</w:t>
      </w:r>
      <w:r>
        <w:rPr>
          <w:spacing w:val="10"/>
        </w:rPr>
        <w:t xml:space="preserve"> </w:t>
      </w:r>
      <w:r>
        <w:t>a</w:t>
      </w:r>
      <w:r>
        <w:rPr>
          <w:spacing w:val="11"/>
        </w:rPr>
        <w:t xml:space="preserve"> </w:t>
      </w:r>
      <w:hyperlink r:id="rId301">
        <w:r>
          <w:rPr>
            <w:u w:val="single"/>
          </w:rPr>
          <w:t>Lei</w:t>
        </w:r>
        <w:r>
          <w:rPr>
            <w:spacing w:val="9"/>
            <w:u w:val="single"/>
          </w:rPr>
          <w:t xml:space="preserve"> </w:t>
        </w:r>
        <w:r>
          <w:rPr>
            <w:u w:val="single"/>
          </w:rPr>
          <w:t>nº</w:t>
        </w:r>
        <w:r>
          <w:rPr>
            <w:spacing w:val="10"/>
            <w:u w:val="single"/>
          </w:rPr>
          <w:t xml:space="preserve"> </w:t>
        </w:r>
        <w:r>
          <w:rPr>
            <w:u w:val="single"/>
          </w:rPr>
          <w:t>14.485,</w:t>
        </w:r>
        <w:r>
          <w:rPr>
            <w:spacing w:val="10"/>
            <w:u w:val="single"/>
          </w:rPr>
          <w:t xml:space="preserve"> </w:t>
        </w:r>
        <w:r>
          <w:rPr>
            <w:u w:val="single"/>
          </w:rPr>
          <w:t>de</w:t>
        </w:r>
        <w:r>
          <w:rPr>
            <w:spacing w:val="10"/>
            <w:u w:val="single"/>
          </w:rPr>
          <w:t xml:space="preserve"> </w:t>
        </w:r>
        <w:r>
          <w:rPr>
            <w:u w:val="single"/>
          </w:rPr>
          <w:t>19</w:t>
        </w:r>
        <w:r>
          <w:rPr>
            <w:spacing w:val="10"/>
            <w:u w:val="single"/>
          </w:rPr>
          <w:t xml:space="preserve"> </w:t>
        </w:r>
        <w:r>
          <w:rPr>
            <w:spacing w:val="-5"/>
            <w:u w:val="single"/>
          </w:rPr>
          <w:t>de</w:t>
        </w:r>
      </w:hyperlink>
    </w:p>
    <w:p w:rsidR="007259F2" w:rsidRDefault="00DE6B1C">
      <w:pPr>
        <w:spacing w:line="252" w:lineRule="exact"/>
        <w:ind w:left="710"/>
      </w:pPr>
      <w:hyperlink r:id="rId302">
        <w:r w:rsidR="00E655B4">
          <w:rPr>
            <w:u w:val="single"/>
          </w:rPr>
          <w:t>julho</w:t>
        </w:r>
        <w:r w:rsidR="00E655B4">
          <w:rPr>
            <w:spacing w:val="-3"/>
            <w:u w:val="single"/>
          </w:rPr>
          <w:t xml:space="preserve"> </w:t>
        </w:r>
        <w:r w:rsidR="00E655B4">
          <w:rPr>
            <w:u w:val="single"/>
          </w:rPr>
          <w:t>de</w:t>
        </w:r>
        <w:r w:rsidR="00E655B4">
          <w:rPr>
            <w:spacing w:val="-3"/>
            <w:u w:val="single"/>
          </w:rPr>
          <w:t xml:space="preserve"> </w:t>
        </w:r>
        <w:r w:rsidR="00E655B4">
          <w:rPr>
            <w:u w:val="single"/>
          </w:rPr>
          <w:t>2007,</w:t>
        </w:r>
      </w:hyperlink>
      <w:r w:rsidR="00E655B4">
        <w:rPr>
          <w:spacing w:val="-3"/>
        </w:rPr>
        <w:t xml:space="preserve"> </w:t>
      </w:r>
      <w:r w:rsidR="00E655B4">
        <w:t>São</w:t>
      </w:r>
      <w:r w:rsidR="00E655B4">
        <w:rPr>
          <w:spacing w:val="-6"/>
        </w:rPr>
        <w:t xml:space="preserve"> </w:t>
      </w:r>
      <w:r w:rsidR="00E655B4">
        <w:t>Paulo</w:t>
      </w:r>
      <w:r w:rsidR="00E655B4">
        <w:rPr>
          <w:spacing w:val="-3"/>
        </w:rPr>
        <w:t xml:space="preserve"> </w:t>
      </w:r>
      <w:r w:rsidR="00E655B4">
        <w:t>(SP):</w:t>
      </w:r>
      <w:r w:rsidR="00E655B4">
        <w:rPr>
          <w:spacing w:val="-2"/>
        </w:rPr>
        <w:t xml:space="preserve"> </w:t>
      </w:r>
      <w:r w:rsidR="00E655B4">
        <w:t>Diário</w:t>
      </w:r>
      <w:r w:rsidR="00E655B4">
        <w:rPr>
          <w:spacing w:val="-3"/>
        </w:rPr>
        <w:t xml:space="preserve"> </w:t>
      </w:r>
      <w:r w:rsidR="00E655B4">
        <w:t>Oficial</w:t>
      </w:r>
      <w:r w:rsidR="00E655B4">
        <w:rPr>
          <w:spacing w:val="-4"/>
        </w:rPr>
        <w:t xml:space="preserve"> </w:t>
      </w:r>
      <w:r w:rsidR="00E655B4">
        <w:t>do</w:t>
      </w:r>
      <w:r w:rsidR="00E655B4">
        <w:rPr>
          <w:spacing w:val="-3"/>
        </w:rPr>
        <w:t xml:space="preserve"> </w:t>
      </w:r>
      <w:r w:rsidR="00E655B4">
        <w:t>Município,</w:t>
      </w:r>
      <w:r w:rsidR="00E655B4">
        <w:rPr>
          <w:spacing w:val="-5"/>
        </w:rPr>
        <w:t xml:space="preserve"> </w:t>
      </w:r>
      <w:r w:rsidR="00E655B4">
        <w:rPr>
          <w:spacing w:val="-2"/>
        </w:rPr>
        <w:t>2022.</w:t>
      </w:r>
    </w:p>
    <w:p w:rsidR="007259F2" w:rsidRDefault="00E655B4">
      <w:pPr>
        <w:spacing w:before="121" w:line="253" w:lineRule="exact"/>
        <w:ind w:left="710"/>
      </w:pPr>
      <w:r>
        <w:t>SÃO</w:t>
      </w:r>
      <w:r>
        <w:rPr>
          <w:spacing w:val="9"/>
        </w:rPr>
        <w:t xml:space="preserve"> </w:t>
      </w:r>
      <w:r>
        <w:t>PAULO</w:t>
      </w:r>
      <w:r>
        <w:rPr>
          <w:spacing w:val="11"/>
        </w:rPr>
        <w:t xml:space="preserve"> </w:t>
      </w:r>
      <w:r>
        <w:t>(SP).</w:t>
      </w:r>
      <w:r>
        <w:rPr>
          <w:spacing w:val="13"/>
        </w:rPr>
        <w:t xml:space="preserve"> </w:t>
      </w:r>
      <w:r>
        <w:rPr>
          <w:b/>
        </w:rPr>
        <w:t>LEI</w:t>
      </w:r>
      <w:r>
        <w:rPr>
          <w:b/>
          <w:spacing w:val="14"/>
        </w:rPr>
        <w:t xml:space="preserve"> </w:t>
      </w:r>
      <w:r>
        <w:rPr>
          <w:b/>
        </w:rPr>
        <w:t>Nº</w:t>
      </w:r>
      <w:r>
        <w:rPr>
          <w:b/>
          <w:spacing w:val="11"/>
        </w:rPr>
        <w:t xml:space="preserve"> </w:t>
      </w:r>
      <w:r>
        <w:rPr>
          <w:b/>
        </w:rPr>
        <w:t>17.769,</w:t>
      </w:r>
      <w:r>
        <w:rPr>
          <w:b/>
          <w:spacing w:val="13"/>
        </w:rPr>
        <w:t xml:space="preserve"> </w:t>
      </w:r>
      <w:r>
        <w:rPr>
          <w:b/>
        </w:rPr>
        <w:t>DE</w:t>
      </w:r>
      <w:r>
        <w:rPr>
          <w:b/>
          <w:spacing w:val="12"/>
        </w:rPr>
        <w:t xml:space="preserve"> </w:t>
      </w:r>
      <w:r>
        <w:rPr>
          <w:b/>
        </w:rPr>
        <w:t>23</w:t>
      </w:r>
      <w:r>
        <w:rPr>
          <w:b/>
          <w:spacing w:val="12"/>
        </w:rPr>
        <w:t xml:space="preserve"> </w:t>
      </w:r>
      <w:r>
        <w:rPr>
          <w:b/>
        </w:rPr>
        <w:t>DE</w:t>
      </w:r>
      <w:r>
        <w:rPr>
          <w:b/>
          <w:spacing w:val="12"/>
        </w:rPr>
        <w:t xml:space="preserve"> </w:t>
      </w:r>
      <w:r>
        <w:rPr>
          <w:b/>
        </w:rPr>
        <w:t>MARÇO</w:t>
      </w:r>
      <w:r>
        <w:rPr>
          <w:b/>
          <w:spacing w:val="13"/>
        </w:rPr>
        <w:t xml:space="preserve"> </w:t>
      </w:r>
      <w:r>
        <w:rPr>
          <w:b/>
        </w:rPr>
        <w:t>DE</w:t>
      </w:r>
      <w:r>
        <w:rPr>
          <w:b/>
          <w:spacing w:val="12"/>
        </w:rPr>
        <w:t xml:space="preserve"> </w:t>
      </w:r>
      <w:r>
        <w:rPr>
          <w:b/>
        </w:rPr>
        <w:t>2022</w:t>
      </w:r>
      <w:r>
        <w:t>.</w:t>
      </w:r>
      <w:r>
        <w:rPr>
          <w:spacing w:val="13"/>
        </w:rPr>
        <w:t xml:space="preserve"> </w:t>
      </w:r>
      <w:r>
        <w:t>Altera</w:t>
      </w:r>
      <w:r>
        <w:rPr>
          <w:spacing w:val="12"/>
        </w:rPr>
        <w:t xml:space="preserve"> </w:t>
      </w:r>
      <w:r>
        <w:t>o</w:t>
      </w:r>
      <w:r>
        <w:rPr>
          <w:spacing w:val="13"/>
        </w:rPr>
        <w:t xml:space="preserve"> </w:t>
      </w:r>
      <w:r>
        <w:t>art.</w:t>
      </w:r>
      <w:r>
        <w:rPr>
          <w:spacing w:val="9"/>
        </w:rPr>
        <w:t xml:space="preserve"> </w:t>
      </w:r>
      <w:r>
        <w:t>7º,</w:t>
      </w:r>
      <w:r>
        <w:rPr>
          <w:spacing w:val="13"/>
        </w:rPr>
        <w:t xml:space="preserve"> </w:t>
      </w:r>
      <w:r>
        <w:t>CCX,</w:t>
      </w:r>
      <w:r>
        <w:rPr>
          <w:spacing w:val="12"/>
        </w:rPr>
        <w:t xml:space="preserve"> </w:t>
      </w:r>
      <w:r>
        <w:t>da</w:t>
      </w:r>
      <w:r>
        <w:rPr>
          <w:spacing w:val="17"/>
        </w:rPr>
        <w:t xml:space="preserve"> </w:t>
      </w:r>
      <w:hyperlink r:id="rId303">
        <w:r>
          <w:rPr>
            <w:u w:val="single"/>
          </w:rPr>
          <w:t>Lei</w:t>
        </w:r>
        <w:r>
          <w:rPr>
            <w:spacing w:val="14"/>
            <w:u w:val="single"/>
          </w:rPr>
          <w:t xml:space="preserve"> </w:t>
        </w:r>
        <w:r>
          <w:rPr>
            <w:spacing w:val="-5"/>
            <w:u w:val="single"/>
          </w:rPr>
          <w:t>nº</w:t>
        </w:r>
      </w:hyperlink>
    </w:p>
    <w:p w:rsidR="007259F2" w:rsidRDefault="00DE6B1C">
      <w:pPr>
        <w:spacing w:line="253" w:lineRule="exact"/>
        <w:ind w:left="710"/>
      </w:pPr>
      <w:hyperlink r:id="rId304">
        <w:r w:rsidR="00E655B4">
          <w:rPr>
            <w:u w:val="single"/>
          </w:rPr>
          <w:t>14.485,</w:t>
        </w:r>
        <w:r w:rsidR="00E655B4">
          <w:rPr>
            <w:spacing w:val="-3"/>
            <w:u w:val="single"/>
          </w:rPr>
          <w:t xml:space="preserve"> </w:t>
        </w:r>
        <w:r w:rsidR="00E655B4">
          <w:rPr>
            <w:u w:val="single"/>
          </w:rPr>
          <w:t>de</w:t>
        </w:r>
        <w:r w:rsidR="00E655B4">
          <w:rPr>
            <w:spacing w:val="-2"/>
            <w:u w:val="single"/>
          </w:rPr>
          <w:t xml:space="preserve"> </w:t>
        </w:r>
        <w:r w:rsidR="00E655B4">
          <w:rPr>
            <w:u w:val="single"/>
          </w:rPr>
          <w:t>19</w:t>
        </w:r>
        <w:r w:rsidR="00E655B4">
          <w:rPr>
            <w:spacing w:val="-2"/>
            <w:u w:val="single"/>
          </w:rPr>
          <w:t xml:space="preserve"> </w:t>
        </w:r>
        <w:r w:rsidR="00E655B4">
          <w:rPr>
            <w:u w:val="single"/>
          </w:rPr>
          <w:t>de</w:t>
        </w:r>
        <w:r w:rsidR="00E655B4">
          <w:rPr>
            <w:spacing w:val="-7"/>
            <w:u w:val="single"/>
          </w:rPr>
          <w:t xml:space="preserve"> </w:t>
        </w:r>
        <w:r w:rsidR="00E655B4">
          <w:rPr>
            <w:u w:val="single"/>
          </w:rPr>
          <w:t>julho</w:t>
        </w:r>
        <w:r w:rsidR="00E655B4">
          <w:rPr>
            <w:spacing w:val="-2"/>
            <w:u w:val="single"/>
          </w:rPr>
          <w:t xml:space="preserve"> </w:t>
        </w:r>
        <w:r w:rsidR="00E655B4">
          <w:rPr>
            <w:u w:val="single"/>
          </w:rPr>
          <w:t>de</w:t>
        </w:r>
        <w:r w:rsidR="00E655B4">
          <w:rPr>
            <w:spacing w:val="-2"/>
            <w:u w:val="single"/>
          </w:rPr>
          <w:t xml:space="preserve"> </w:t>
        </w:r>
        <w:r w:rsidR="00E655B4">
          <w:rPr>
            <w:u w:val="single"/>
          </w:rPr>
          <w:t>2007,</w:t>
        </w:r>
      </w:hyperlink>
      <w:r w:rsidR="00E655B4">
        <w:rPr>
          <w:spacing w:val="-1"/>
        </w:rPr>
        <w:t xml:space="preserve"> </w:t>
      </w:r>
      <w:r w:rsidR="00E655B4">
        <w:t>[...]</w:t>
      </w:r>
      <w:r w:rsidR="00E655B4">
        <w:rPr>
          <w:spacing w:val="-3"/>
        </w:rPr>
        <w:t xml:space="preserve"> </w:t>
      </w:r>
      <w:r w:rsidR="00E655B4">
        <w:t>São</w:t>
      </w:r>
      <w:r w:rsidR="00E655B4">
        <w:rPr>
          <w:spacing w:val="-5"/>
        </w:rPr>
        <w:t xml:space="preserve"> </w:t>
      </w:r>
      <w:r w:rsidR="00E655B4">
        <w:t>Paulo</w:t>
      </w:r>
      <w:r w:rsidR="00E655B4">
        <w:rPr>
          <w:spacing w:val="-2"/>
        </w:rPr>
        <w:t xml:space="preserve"> </w:t>
      </w:r>
      <w:r w:rsidR="00E655B4">
        <w:t>(SP):</w:t>
      </w:r>
      <w:r w:rsidR="00E655B4">
        <w:rPr>
          <w:spacing w:val="-2"/>
        </w:rPr>
        <w:t xml:space="preserve"> </w:t>
      </w:r>
      <w:r w:rsidR="00E655B4">
        <w:t>Diário</w:t>
      </w:r>
      <w:r w:rsidR="00E655B4">
        <w:rPr>
          <w:spacing w:val="-2"/>
        </w:rPr>
        <w:t xml:space="preserve"> </w:t>
      </w:r>
      <w:r w:rsidR="00E655B4">
        <w:t>Oficial</w:t>
      </w:r>
      <w:r w:rsidR="00E655B4">
        <w:rPr>
          <w:spacing w:val="-1"/>
        </w:rPr>
        <w:t xml:space="preserve"> </w:t>
      </w:r>
      <w:r w:rsidR="00E655B4">
        <w:t>do</w:t>
      </w:r>
      <w:r w:rsidR="00E655B4">
        <w:rPr>
          <w:spacing w:val="-5"/>
        </w:rPr>
        <w:t xml:space="preserve"> </w:t>
      </w:r>
      <w:r w:rsidR="00E655B4">
        <w:t>Município,</w:t>
      </w:r>
      <w:r w:rsidR="00E655B4">
        <w:rPr>
          <w:spacing w:val="-5"/>
        </w:rPr>
        <w:t xml:space="preserve"> </w:t>
      </w:r>
      <w:r w:rsidR="00E655B4">
        <w:rPr>
          <w:spacing w:val="-2"/>
        </w:rPr>
        <w:t>2022.</w:t>
      </w:r>
    </w:p>
    <w:p w:rsidR="007259F2" w:rsidRDefault="00E655B4">
      <w:pPr>
        <w:spacing w:before="122" w:line="252" w:lineRule="exact"/>
        <w:ind w:left="710"/>
      </w:pPr>
      <w:r>
        <w:t>SÃO</w:t>
      </w:r>
      <w:r>
        <w:rPr>
          <w:spacing w:val="68"/>
        </w:rPr>
        <w:t xml:space="preserve"> </w:t>
      </w:r>
      <w:r>
        <w:t>PAULO</w:t>
      </w:r>
      <w:r>
        <w:rPr>
          <w:spacing w:val="68"/>
        </w:rPr>
        <w:t xml:space="preserve"> </w:t>
      </w:r>
      <w:r>
        <w:t>(SP).</w:t>
      </w:r>
      <w:r>
        <w:rPr>
          <w:spacing w:val="70"/>
        </w:rPr>
        <w:t xml:space="preserve"> </w:t>
      </w:r>
      <w:r>
        <w:rPr>
          <w:b/>
        </w:rPr>
        <w:t>LEI</w:t>
      </w:r>
      <w:r>
        <w:rPr>
          <w:b/>
          <w:spacing w:val="70"/>
        </w:rPr>
        <w:t xml:space="preserve"> </w:t>
      </w:r>
      <w:r>
        <w:rPr>
          <w:b/>
        </w:rPr>
        <w:t>Nº</w:t>
      </w:r>
      <w:r>
        <w:rPr>
          <w:b/>
          <w:spacing w:val="70"/>
        </w:rPr>
        <w:t xml:space="preserve"> </w:t>
      </w:r>
      <w:r>
        <w:rPr>
          <w:b/>
        </w:rPr>
        <w:t>17.768,</w:t>
      </w:r>
      <w:r>
        <w:rPr>
          <w:b/>
          <w:spacing w:val="69"/>
        </w:rPr>
        <w:t xml:space="preserve"> </w:t>
      </w:r>
      <w:r>
        <w:rPr>
          <w:b/>
        </w:rPr>
        <w:t>DE</w:t>
      </w:r>
      <w:r>
        <w:rPr>
          <w:b/>
          <w:spacing w:val="69"/>
        </w:rPr>
        <w:t xml:space="preserve"> </w:t>
      </w:r>
      <w:r>
        <w:rPr>
          <w:b/>
        </w:rPr>
        <w:t>23</w:t>
      </w:r>
      <w:r>
        <w:rPr>
          <w:b/>
          <w:spacing w:val="69"/>
        </w:rPr>
        <w:t xml:space="preserve"> </w:t>
      </w:r>
      <w:r>
        <w:rPr>
          <w:b/>
        </w:rPr>
        <w:t>DE</w:t>
      </w:r>
      <w:r>
        <w:rPr>
          <w:b/>
          <w:spacing w:val="71"/>
        </w:rPr>
        <w:t xml:space="preserve"> </w:t>
      </w:r>
      <w:r>
        <w:rPr>
          <w:b/>
        </w:rPr>
        <w:t>MARÇO</w:t>
      </w:r>
      <w:r>
        <w:rPr>
          <w:b/>
          <w:spacing w:val="71"/>
        </w:rPr>
        <w:t xml:space="preserve"> </w:t>
      </w:r>
      <w:r>
        <w:rPr>
          <w:b/>
        </w:rPr>
        <w:t>DE</w:t>
      </w:r>
      <w:r>
        <w:rPr>
          <w:b/>
          <w:spacing w:val="69"/>
        </w:rPr>
        <w:t xml:space="preserve"> </w:t>
      </w:r>
      <w:r>
        <w:rPr>
          <w:b/>
        </w:rPr>
        <w:t>2022</w:t>
      </w:r>
      <w:r>
        <w:t>.</w:t>
      </w:r>
      <w:r>
        <w:rPr>
          <w:spacing w:val="69"/>
        </w:rPr>
        <w:t xml:space="preserve"> </w:t>
      </w:r>
      <w:r>
        <w:t>Denomina</w:t>
      </w:r>
      <w:r>
        <w:rPr>
          <w:spacing w:val="70"/>
        </w:rPr>
        <w:t xml:space="preserve"> </w:t>
      </w:r>
      <w:r>
        <w:t>Viela</w:t>
      </w:r>
      <w:r>
        <w:rPr>
          <w:spacing w:val="71"/>
        </w:rPr>
        <w:t xml:space="preserve"> </w:t>
      </w:r>
      <w:r>
        <w:rPr>
          <w:spacing w:val="-2"/>
        </w:rPr>
        <w:t>Pedro</w:t>
      </w:r>
    </w:p>
    <w:p w:rsidR="007259F2" w:rsidRDefault="00E655B4">
      <w:pPr>
        <w:spacing w:line="252" w:lineRule="exact"/>
        <w:ind w:left="710"/>
      </w:pPr>
      <w:r>
        <w:t>Schiavinato</w:t>
      </w:r>
      <w:r>
        <w:rPr>
          <w:spacing w:val="-6"/>
        </w:rPr>
        <w:t xml:space="preserve"> </w:t>
      </w:r>
      <w:r>
        <w:t>[...]</w:t>
      </w:r>
      <w:r>
        <w:rPr>
          <w:spacing w:val="-5"/>
        </w:rPr>
        <w:t xml:space="preserve"> </w:t>
      </w:r>
      <w:r>
        <w:t>São</w:t>
      </w:r>
      <w:r>
        <w:rPr>
          <w:spacing w:val="-3"/>
        </w:rPr>
        <w:t xml:space="preserve"> </w:t>
      </w:r>
      <w:r>
        <w:t>Paulo</w:t>
      </w:r>
      <w:r>
        <w:rPr>
          <w:spacing w:val="-5"/>
        </w:rPr>
        <w:t xml:space="preserve"> </w:t>
      </w:r>
      <w:r>
        <w:t>(SP):</w:t>
      </w:r>
      <w:r>
        <w:rPr>
          <w:spacing w:val="-2"/>
        </w:rPr>
        <w:t xml:space="preserve"> </w:t>
      </w:r>
      <w:r>
        <w:t>Diário</w:t>
      </w:r>
      <w:r>
        <w:rPr>
          <w:spacing w:val="-3"/>
        </w:rPr>
        <w:t xml:space="preserve"> </w:t>
      </w:r>
      <w:r>
        <w:t>Oficial</w:t>
      </w:r>
      <w:r>
        <w:rPr>
          <w:spacing w:val="-2"/>
        </w:rPr>
        <w:t xml:space="preserve"> </w:t>
      </w:r>
      <w:r>
        <w:t>do</w:t>
      </w:r>
      <w:r>
        <w:rPr>
          <w:spacing w:val="-6"/>
        </w:rPr>
        <w:t xml:space="preserve"> </w:t>
      </w:r>
      <w:r>
        <w:t>Município,</w:t>
      </w:r>
      <w:r>
        <w:rPr>
          <w:spacing w:val="-5"/>
        </w:rPr>
        <w:t xml:space="preserve"> </w:t>
      </w:r>
      <w:r>
        <w:rPr>
          <w:spacing w:val="-2"/>
        </w:rPr>
        <w:t>2022.</w:t>
      </w:r>
    </w:p>
    <w:p w:rsidR="007259F2" w:rsidRDefault="00E655B4">
      <w:pPr>
        <w:spacing w:before="121"/>
        <w:ind w:left="710" w:right="424"/>
      </w:pPr>
      <w:r>
        <w:t>SÃO</w:t>
      </w:r>
      <w:r>
        <w:rPr>
          <w:spacing w:val="23"/>
        </w:rPr>
        <w:t xml:space="preserve"> </w:t>
      </w:r>
      <w:r>
        <w:t>PAULO</w:t>
      </w:r>
      <w:r>
        <w:rPr>
          <w:spacing w:val="22"/>
        </w:rPr>
        <w:t xml:space="preserve"> </w:t>
      </w:r>
      <w:r>
        <w:t>(SP).</w:t>
      </w:r>
      <w:r>
        <w:rPr>
          <w:spacing w:val="24"/>
        </w:rPr>
        <w:t xml:space="preserve"> </w:t>
      </w:r>
      <w:r>
        <w:rPr>
          <w:b/>
        </w:rPr>
        <w:t>LEI</w:t>
      </w:r>
      <w:r>
        <w:rPr>
          <w:b/>
          <w:spacing w:val="24"/>
        </w:rPr>
        <w:t xml:space="preserve"> </w:t>
      </w:r>
      <w:r>
        <w:rPr>
          <w:b/>
        </w:rPr>
        <w:t>Nº</w:t>
      </w:r>
      <w:r>
        <w:rPr>
          <w:b/>
          <w:spacing w:val="23"/>
        </w:rPr>
        <w:t xml:space="preserve"> </w:t>
      </w:r>
      <w:r>
        <w:rPr>
          <w:b/>
        </w:rPr>
        <w:t>17.767,</w:t>
      </w:r>
      <w:r>
        <w:rPr>
          <w:b/>
          <w:spacing w:val="24"/>
        </w:rPr>
        <w:t xml:space="preserve"> </w:t>
      </w:r>
      <w:r>
        <w:rPr>
          <w:b/>
        </w:rPr>
        <w:t>DE</w:t>
      </w:r>
      <w:r>
        <w:rPr>
          <w:b/>
          <w:spacing w:val="23"/>
        </w:rPr>
        <w:t xml:space="preserve"> </w:t>
      </w:r>
      <w:r>
        <w:rPr>
          <w:b/>
        </w:rPr>
        <w:t>23</w:t>
      </w:r>
      <w:r>
        <w:rPr>
          <w:b/>
          <w:spacing w:val="24"/>
        </w:rPr>
        <w:t xml:space="preserve"> </w:t>
      </w:r>
      <w:r>
        <w:rPr>
          <w:b/>
        </w:rPr>
        <w:t>DE</w:t>
      </w:r>
      <w:r>
        <w:rPr>
          <w:b/>
          <w:spacing w:val="23"/>
        </w:rPr>
        <w:t xml:space="preserve"> </w:t>
      </w:r>
      <w:r>
        <w:rPr>
          <w:b/>
        </w:rPr>
        <w:t>MARÇO</w:t>
      </w:r>
      <w:r>
        <w:rPr>
          <w:b/>
          <w:spacing w:val="25"/>
        </w:rPr>
        <w:t xml:space="preserve"> </w:t>
      </w:r>
      <w:r>
        <w:rPr>
          <w:b/>
        </w:rPr>
        <w:t>DE</w:t>
      </w:r>
      <w:r>
        <w:rPr>
          <w:b/>
          <w:spacing w:val="23"/>
        </w:rPr>
        <w:t xml:space="preserve"> </w:t>
      </w:r>
      <w:r>
        <w:rPr>
          <w:b/>
        </w:rPr>
        <w:t>2022</w:t>
      </w:r>
      <w:r>
        <w:t>.</w:t>
      </w:r>
      <w:r>
        <w:rPr>
          <w:spacing w:val="24"/>
        </w:rPr>
        <w:t xml:space="preserve"> </w:t>
      </w:r>
      <w:r>
        <w:t>Denomina</w:t>
      </w:r>
      <w:r>
        <w:rPr>
          <w:spacing w:val="24"/>
        </w:rPr>
        <w:t xml:space="preserve"> </w:t>
      </w:r>
      <w:r>
        <w:t>Veronica</w:t>
      </w:r>
      <w:r>
        <w:rPr>
          <w:spacing w:val="22"/>
        </w:rPr>
        <w:t xml:space="preserve"> </w:t>
      </w:r>
      <w:r>
        <w:t>Tazinassi Gavioli [...] São Paulo (SP): Diário Oficial do Município, 2022.</w:t>
      </w:r>
    </w:p>
    <w:p w:rsidR="007259F2" w:rsidRDefault="00E655B4">
      <w:pPr>
        <w:spacing w:before="118"/>
        <w:ind w:left="710"/>
      </w:pPr>
      <w:r>
        <w:t>SÃO</w:t>
      </w:r>
      <w:r>
        <w:rPr>
          <w:spacing w:val="8"/>
        </w:rPr>
        <w:t xml:space="preserve"> </w:t>
      </w:r>
      <w:r>
        <w:t>PAULO</w:t>
      </w:r>
      <w:r>
        <w:rPr>
          <w:spacing w:val="8"/>
        </w:rPr>
        <w:t xml:space="preserve"> </w:t>
      </w:r>
      <w:r>
        <w:t>(SP).</w:t>
      </w:r>
      <w:r>
        <w:rPr>
          <w:spacing w:val="11"/>
        </w:rPr>
        <w:t xml:space="preserve"> </w:t>
      </w:r>
      <w:r>
        <w:rPr>
          <w:b/>
        </w:rPr>
        <w:t>LEI</w:t>
      </w:r>
      <w:r>
        <w:rPr>
          <w:b/>
          <w:spacing w:val="10"/>
        </w:rPr>
        <w:t xml:space="preserve"> </w:t>
      </w:r>
      <w:r>
        <w:rPr>
          <w:b/>
        </w:rPr>
        <w:t>Nº</w:t>
      </w:r>
      <w:r>
        <w:rPr>
          <w:b/>
          <w:spacing w:val="10"/>
        </w:rPr>
        <w:t xml:space="preserve"> </w:t>
      </w:r>
      <w:r>
        <w:rPr>
          <w:b/>
        </w:rPr>
        <w:t>17.766,</w:t>
      </w:r>
      <w:r>
        <w:rPr>
          <w:b/>
          <w:spacing w:val="9"/>
        </w:rPr>
        <w:t xml:space="preserve"> </w:t>
      </w:r>
      <w:r>
        <w:rPr>
          <w:b/>
        </w:rPr>
        <w:t>DE</w:t>
      </w:r>
      <w:r>
        <w:rPr>
          <w:b/>
          <w:spacing w:val="10"/>
        </w:rPr>
        <w:t xml:space="preserve"> </w:t>
      </w:r>
      <w:r>
        <w:rPr>
          <w:b/>
        </w:rPr>
        <w:t>23</w:t>
      </w:r>
      <w:r>
        <w:rPr>
          <w:b/>
          <w:spacing w:val="9"/>
        </w:rPr>
        <w:t xml:space="preserve"> </w:t>
      </w:r>
      <w:r>
        <w:rPr>
          <w:b/>
        </w:rPr>
        <w:t>DE</w:t>
      </w:r>
      <w:r>
        <w:rPr>
          <w:b/>
          <w:spacing w:val="9"/>
        </w:rPr>
        <w:t xml:space="preserve"> </w:t>
      </w:r>
      <w:r>
        <w:rPr>
          <w:b/>
        </w:rPr>
        <w:t>MARÇO</w:t>
      </w:r>
      <w:r>
        <w:rPr>
          <w:b/>
          <w:spacing w:val="11"/>
        </w:rPr>
        <w:t xml:space="preserve"> </w:t>
      </w:r>
      <w:r>
        <w:rPr>
          <w:b/>
        </w:rPr>
        <w:t>DE</w:t>
      </w:r>
      <w:r>
        <w:rPr>
          <w:b/>
          <w:spacing w:val="9"/>
        </w:rPr>
        <w:t xml:space="preserve"> </w:t>
      </w:r>
      <w:r>
        <w:rPr>
          <w:b/>
        </w:rPr>
        <w:t>2022</w:t>
      </w:r>
      <w:r>
        <w:t>.</w:t>
      </w:r>
      <w:r>
        <w:rPr>
          <w:spacing w:val="10"/>
        </w:rPr>
        <w:t xml:space="preserve"> </w:t>
      </w:r>
      <w:r>
        <w:t>Altera</w:t>
      </w:r>
      <w:r>
        <w:rPr>
          <w:spacing w:val="10"/>
        </w:rPr>
        <w:t xml:space="preserve"> </w:t>
      </w:r>
      <w:r>
        <w:t>a</w:t>
      </w:r>
      <w:r>
        <w:rPr>
          <w:spacing w:val="11"/>
        </w:rPr>
        <w:t xml:space="preserve"> </w:t>
      </w:r>
      <w:hyperlink r:id="rId305">
        <w:r>
          <w:rPr>
            <w:u w:val="single"/>
          </w:rPr>
          <w:t>Lei</w:t>
        </w:r>
        <w:r>
          <w:rPr>
            <w:spacing w:val="9"/>
            <w:u w:val="single"/>
          </w:rPr>
          <w:t xml:space="preserve"> </w:t>
        </w:r>
        <w:r>
          <w:rPr>
            <w:u w:val="single"/>
          </w:rPr>
          <w:t>nº</w:t>
        </w:r>
        <w:r>
          <w:rPr>
            <w:spacing w:val="10"/>
            <w:u w:val="single"/>
          </w:rPr>
          <w:t xml:space="preserve"> </w:t>
        </w:r>
        <w:r>
          <w:rPr>
            <w:u w:val="single"/>
          </w:rPr>
          <w:t>14.485,</w:t>
        </w:r>
        <w:r>
          <w:rPr>
            <w:spacing w:val="10"/>
            <w:u w:val="single"/>
          </w:rPr>
          <w:t xml:space="preserve"> </w:t>
        </w:r>
        <w:r>
          <w:rPr>
            <w:u w:val="single"/>
          </w:rPr>
          <w:t>de</w:t>
        </w:r>
        <w:r>
          <w:rPr>
            <w:spacing w:val="10"/>
            <w:u w:val="single"/>
          </w:rPr>
          <w:t xml:space="preserve"> </w:t>
        </w:r>
        <w:r>
          <w:rPr>
            <w:u w:val="single"/>
          </w:rPr>
          <w:t>19</w:t>
        </w:r>
        <w:r>
          <w:rPr>
            <w:spacing w:val="10"/>
            <w:u w:val="single"/>
          </w:rPr>
          <w:t xml:space="preserve"> </w:t>
        </w:r>
        <w:r>
          <w:rPr>
            <w:spacing w:val="-5"/>
            <w:u w:val="single"/>
          </w:rPr>
          <w:t>de</w:t>
        </w:r>
      </w:hyperlink>
    </w:p>
    <w:p w:rsidR="007259F2" w:rsidRDefault="00DE6B1C">
      <w:pPr>
        <w:spacing w:before="2"/>
        <w:ind w:left="710"/>
      </w:pPr>
      <w:hyperlink r:id="rId306">
        <w:r w:rsidR="00E655B4">
          <w:rPr>
            <w:u w:val="single"/>
          </w:rPr>
          <w:t>julho</w:t>
        </w:r>
        <w:r w:rsidR="00E655B4">
          <w:rPr>
            <w:spacing w:val="-3"/>
            <w:u w:val="single"/>
          </w:rPr>
          <w:t xml:space="preserve"> </w:t>
        </w:r>
        <w:r w:rsidR="00E655B4">
          <w:rPr>
            <w:u w:val="single"/>
          </w:rPr>
          <w:t>de</w:t>
        </w:r>
        <w:r w:rsidR="00E655B4">
          <w:rPr>
            <w:spacing w:val="-3"/>
            <w:u w:val="single"/>
          </w:rPr>
          <w:t xml:space="preserve"> </w:t>
        </w:r>
        <w:r w:rsidR="00E655B4">
          <w:rPr>
            <w:u w:val="single"/>
          </w:rPr>
          <w:t>2007,</w:t>
        </w:r>
      </w:hyperlink>
      <w:r w:rsidR="00E655B4">
        <w:rPr>
          <w:spacing w:val="-4"/>
        </w:rPr>
        <w:t xml:space="preserve"> </w:t>
      </w:r>
      <w:r w:rsidR="00E655B4">
        <w:t>[...]</w:t>
      </w:r>
      <w:r w:rsidR="00E655B4">
        <w:rPr>
          <w:spacing w:val="-3"/>
        </w:rPr>
        <w:t xml:space="preserve"> </w:t>
      </w:r>
      <w:r w:rsidR="00E655B4">
        <w:t>São</w:t>
      </w:r>
      <w:r w:rsidR="00E655B4">
        <w:rPr>
          <w:spacing w:val="-3"/>
        </w:rPr>
        <w:t xml:space="preserve"> </w:t>
      </w:r>
      <w:r w:rsidR="00E655B4">
        <w:t>Paulo</w:t>
      </w:r>
      <w:r w:rsidR="00E655B4">
        <w:rPr>
          <w:spacing w:val="-3"/>
        </w:rPr>
        <w:t xml:space="preserve"> </w:t>
      </w:r>
      <w:r w:rsidR="00E655B4">
        <w:t>(SP):</w:t>
      </w:r>
      <w:r w:rsidR="00E655B4">
        <w:rPr>
          <w:spacing w:val="-2"/>
        </w:rPr>
        <w:t xml:space="preserve"> </w:t>
      </w:r>
      <w:r w:rsidR="00E655B4">
        <w:t>Diário</w:t>
      </w:r>
      <w:r w:rsidR="00E655B4">
        <w:rPr>
          <w:spacing w:val="-3"/>
        </w:rPr>
        <w:t xml:space="preserve"> </w:t>
      </w:r>
      <w:r w:rsidR="00E655B4">
        <w:t>Oficial</w:t>
      </w:r>
      <w:r w:rsidR="00E655B4">
        <w:rPr>
          <w:spacing w:val="-2"/>
        </w:rPr>
        <w:t xml:space="preserve"> </w:t>
      </w:r>
      <w:r w:rsidR="00E655B4">
        <w:t>do</w:t>
      </w:r>
      <w:r w:rsidR="00E655B4">
        <w:rPr>
          <w:spacing w:val="-5"/>
        </w:rPr>
        <w:t xml:space="preserve"> </w:t>
      </w:r>
      <w:r w:rsidR="00E655B4">
        <w:t>Município,</w:t>
      </w:r>
      <w:r w:rsidR="00E655B4">
        <w:rPr>
          <w:spacing w:val="-3"/>
        </w:rPr>
        <w:t xml:space="preserve"> </w:t>
      </w:r>
      <w:r w:rsidR="00E655B4">
        <w:rPr>
          <w:spacing w:val="-2"/>
        </w:rPr>
        <w:t>2022.</w:t>
      </w:r>
    </w:p>
    <w:p w:rsidR="007259F2" w:rsidRDefault="00E655B4">
      <w:pPr>
        <w:spacing w:before="119"/>
        <w:ind w:left="710"/>
      </w:pPr>
      <w:r>
        <w:t xml:space="preserve">SÃO PAULO (SP). </w:t>
      </w:r>
      <w:r>
        <w:rPr>
          <w:b/>
        </w:rPr>
        <w:t>LEI Nº 17.765, DE 23 DE MARÇO DE 2022</w:t>
      </w:r>
      <w:r>
        <w:t>. Denomina Praça Padre Francisco Aparecido da Silveira [...] São Paulo (SP): Diário Oficial do Município, 2022.</w:t>
      </w:r>
    </w:p>
    <w:p w:rsidR="007259F2" w:rsidRDefault="00E655B4">
      <w:pPr>
        <w:spacing w:before="120" w:line="253" w:lineRule="exact"/>
        <w:ind w:left="710"/>
      </w:pPr>
      <w:r>
        <w:t>SÃO</w:t>
      </w:r>
      <w:r>
        <w:rPr>
          <w:spacing w:val="8"/>
        </w:rPr>
        <w:t xml:space="preserve"> </w:t>
      </w:r>
      <w:r>
        <w:t>PAULO</w:t>
      </w:r>
      <w:r>
        <w:rPr>
          <w:spacing w:val="8"/>
        </w:rPr>
        <w:t xml:space="preserve"> </w:t>
      </w:r>
      <w:r>
        <w:t>(SP).</w:t>
      </w:r>
      <w:r>
        <w:rPr>
          <w:spacing w:val="11"/>
        </w:rPr>
        <w:t xml:space="preserve"> </w:t>
      </w:r>
      <w:r>
        <w:rPr>
          <w:b/>
        </w:rPr>
        <w:t>LEI</w:t>
      </w:r>
      <w:r>
        <w:rPr>
          <w:b/>
          <w:spacing w:val="10"/>
        </w:rPr>
        <w:t xml:space="preserve"> </w:t>
      </w:r>
      <w:r>
        <w:rPr>
          <w:b/>
        </w:rPr>
        <w:t>Nº</w:t>
      </w:r>
      <w:r>
        <w:rPr>
          <w:b/>
          <w:spacing w:val="10"/>
        </w:rPr>
        <w:t xml:space="preserve"> </w:t>
      </w:r>
      <w:r>
        <w:rPr>
          <w:b/>
        </w:rPr>
        <w:t>17.764,</w:t>
      </w:r>
      <w:r>
        <w:rPr>
          <w:b/>
          <w:spacing w:val="10"/>
        </w:rPr>
        <w:t xml:space="preserve"> </w:t>
      </w:r>
      <w:r>
        <w:rPr>
          <w:b/>
        </w:rPr>
        <w:t>DE</w:t>
      </w:r>
      <w:r>
        <w:rPr>
          <w:b/>
          <w:spacing w:val="9"/>
        </w:rPr>
        <w:t xml:space="preserve"> </w:t>
      </w:r>
      <w:r>
        <w:rPr>
          <w:b/>
        </w:rPr>
        <w:t>23</w:t>
      </w:r>
      <w:r>
        <w:rPr>
          <w:b/>
          <w:spacing w:val="9"/>
        </w:rPr>
        <w:t xml:space="preserve"> </w:t>
      </w:r>
      <w:r>
        <w:rPr>
          <w:b/>
        </w:rPr>
        <w:t>DE</w:t>
      </w:r>
      <w:r>
        <w:rPr>
          <w:b/>
          <w:spacing w:val="10"/>
        </w:rPr>
        <w:t xml:space="preserve"> </w:t>
      </w:r>
      <w:r>
        <w:rPr>
          <w:b/>
        </w:rPr>
        <w:t>MARÇO</w:t>
      </w:r>
      <w:r>
        <w:rPr>
          <w:b/>
          <w:spacing w:val="10"/>
        </w:rPr>
        <w:t xml:space="preserve"> </w:t>
      </w:r>
      <w:r>
        <w:rPr>
          <w:b/>
        </w:rPr>
        <w:t>DE</w:t>
      </w:r>
      <w:r>
        <w:rPr>
          <w:b/>
          <w:spacing w:val="10"/>
        </w:rPr>
        <w:t xml:space="preserve"> </w:t>
      </w:r>
      <w:r>
        <w:rPr>
          <w:b/>
        </w:rPr>
        <w:t>2022</w:t>
      </w:r>
      <w:r>
        <w:t>.</w:t>
      </w:r>
      <w:r>
        <w:rPr>
          <w:spacing w:val="9"/>
        </w:rPr>
        <w:t xml:space="preserve"> </w:t>
      </w:r>
      <w:r>
        <w:t>Altera</w:t>
      </w:r>
      <w:r>
        <w:rPr>
          <w:spacing w:val="10"/>
        </w:rPr>
        <w:t xml:space="preserve"> </w:t>
      </w:r>
      <w:r>
        <w:t>a</w:t>
      </w:r>
      <w:r>
        <w:rPr>
          <w:spacing w:val="12"/>
        </w:rPr>
        <w:t xml:space="preserve"> </w:t>
      </w:r>
      <w:hyperlink r:id="rId307">
        <w:r>
          <w:rPr>
            <w:u w:val="single"/>
          </w:rPr>
          <w:t>Lei</w:t>
        </w:r>
        <w:r>
          <w:rPr>
            <w:spacing w:val="8"/>
            <w:u w:val="single"/>
          </w:rPr>
          <w:t xml:space="preserve"> </w:t>
        </w:r>
        <w:r>
          <w:rPr>
            <w:u w:val="single"/>
          </w:rPr>
          <w:t>nº</w:t>
        </w:r>
        <w:r>
          <w:rPr>
            <w:spacing w:val="10"/>
            <w:u w:val="single"/>
          </w:rPr>
          <w:t xml:space="preserve"> </w:t>
        </w:r>
        <w:r>
          <w:rPr>
            <w:u w:val="single"/>
          </w:rPr>
          <w:t>14.485,</w:t>
        </w:r>
        <w:r>
          <w:rPr>
            <w:spacing w:val="10"/>
            <w:u w:val="single"/>
          </w:rPr>
          <w:t xml:space="preserve"> </w:t>
        </w:r>
        <w:r>
          <w:rPr>
            <w:u w:val="single"/>
          </w:rPr>
          <w:t>de</w:t>
        </w:r>
        <w:r>
          <w:rPr>
            <w:spacing w:val="10"/>
            <w:u w:val="single"/>
          </w:rPr>
          <w:t xml:space="preserve"> </w:t>
        </w:r>
        <w:r>
          <w:rPr>
            <w:u w:val="single"/>
          </w:rPr>
          <w:t>19</w:t>
        </w:r>
        <w:r>
          <w:rPr>
            <w:spacing w:val="10"/>
            <w:u w:val="single"/>
          </w:rPr>
          <w:t xml:space="preserve"> </w:t>
        </w:r>
        <w:r>
          <w:rPr>
            <w:spacing w:val="-7"/>
            <w:u w:val="single"/>
          </w:rPr>
          <w:t>de</w:t>
        </w:r>
      </w:hyperlink>
    </w:p>
    <w:p w:rsidR="007259F2" w:rsidRDefault="00DE6B1C">
      <w:pPr>
        <w:ind w:left="710"/>
      </w:pPr>
      <w:hyperlink r:id="rId308">
        <w:r w:rsidR="00E655B4">
          <w:rPr>
            <w:u w:val="single"/>
          </w:rPr>
          <w:t>julho</w:t>
        </w:r>
        <w:r w:rsidR="00E655B4">
          <w:rPr>
            <w:spacing w:val="-3"/>
            <w:u w:val="single"/>
          </w:rPr>
          <w:t xml:space="preserve"> </w:t>
        </w:r>
        <w:r w:rsidR="00E655B4">
          <w:rPr>
            <w:u w:val="single"/>
          </w:rPr>
          <w:t>de</w:t>
        </w:r>
        <w:r w:rsidR="00E655B4">
          <w:rPr>
            <w:spacing w:val="-3"/>
            <w:u w:val="single"/>
          </w:rPr>
          <w:t xml:space="preserve"> </w:t>
        </w:r>
        <w:r w:rsidR="00E655B4">
          <w:rPr>
            <w:u w:val="single"/>
          </w:rPr>
          <w:t>2007,</w:t>
        </w:r>
      </w:hyperlink>
      <w:r w:rsidR="00E655B4">
        <w:rPr>
          <w:spacing w:val="-4"/>
        </w:rPr>
        <w:t xml:space="preserve"> </w:t>
      </w:r>
      <w:r w:rsidR="00E655B4">
        <w:t>[...]</w:t>
      </w:r>
      <w:r w:rsidR="00E655B4">
        <w:rPr>
          <w:spacing w:val="-3"/>
        </w:rPr>
        <w:t xml:space="preserve"> </w:t>
      </w:r>
      <w:r w:rsidR="00E655B4">
        <w:t>São</w:t>
      </w:r>
      <w:r w:rsidR="00E655B4">
        <w:rPr>
          <w:spacing w:val="-3"/>
        </w:rPr>
        <w:t xml:space="preserve"> </w:t>
      </w:r>
      <w:r w:rsidR="00E655B4">
        <w:t>Paulo</w:t>
      </w:r>
      <w:r w:rsidR="00E655B4">
        <w:rPr>
          <w:spacing w:val="-3"/>
        </w:rPr>
        <w:t xml:space="preserve"> </w:t>
      </w:r>
      <w:r w:rsidR="00E655B4">
        <w:t>(SP):</w:t>
      </w:r>
      <w:r w:rsidR="00E655B4">
        <w:rPr>
          <w:spacing w:val="-2"/>
        </w:rPr>
        <w:t xml:space="preserve"> </w:t>
      </w:r>
      <w:r w:rsidR="00E655B4">
        <w:t>Diário</w:t>
      </w:r>
      <w:r w:rsidR="00E655B4">
        <w:rPr>
          <w:spacing w:val="-3"/>
        </w:rPr>
        <w:t xml:space="preserve"> </w:t>
      </w:r>
      <w:r w:rsidR="00E655B4">
        <w:t>Oficial</w:t>
      </w:r>
      <w:r w:rsidR="00E655B4">
        <w:rPr>
          <w:spacing w:val="-2"/>
        </w:rPr>
        <w:t xml:space="preserve"> </w:t>
      </w:r>
      <w:r w:rsidR="00E655B4">
        <w:t>do</w:t>
      </w:r>
      <w:r w:rsidR="00E655B4">
        <w:rPr>
          <w:spacing w:val="-5"/>
        </w:rPr>
        <w:t xml:space="preserve"> </w:t>
      </w:r>
      <w:r w:rsidR="00E655B4">
        <w:t>Município,</w:t>
      </w:r>
      <w:r w:rsidR="00E655B4">
        <w:rPr>
          <w:spacing w:val="-3"/>
        </w:rPr>
        <w:t xml:space="preserve"> </w:t>
      </w:r>
      <w:r w:rsidR="00E655B4">
        <w:rPr>
          <w:spacing w:val="-2"/>
        </w:rPr>
        <w:t>2022.</w:t>
      </w:r>
    </w:p>
    <w:p w:rsidR="007259F2" w:rsidRDefault="00E655B4">
      <w:pPr>
        <w:spacing w:before="121" w:line="252" w:lineRule="exact"/>
        <w:ind w:left="710"/>
      </w:pPr>
      <w:r>
        <w:t>SÃO</w:t>
      </w:r>
      <w:r>
        <w:rPr>
          <w:spacing w:val="8"/>
        </w:rPr>
        <w:t xml:space="preserve"> </w:t>
      </w:r>
      <w:r>
        <w:t>PAULO</w:t>
      </w:r>
      <w:r>
        <w:rPr>
          <w:spacing w:val="8"/>
        </w:rPr>
        <w:t xml:space="preserve"> </w:t>
      </w:r>
      <w:r>
        <w:t>(SP).</w:t>
      </w:r>
      <w:r>
        <w:rPr>
          <w:spacing w:val="11"/>
        </w:rPr>
        <w:t xml:space="preserve"> </w:t>
      </w:r>
      <w:r>
        <w:rPr>
          <w:b/>
        </w:rPr>
        <w:t>LEI</w:t>
      </w:r>
      <w:r>
        <w:rPr>
          <w:b/>
          <w:spacing w:val="10"/>
        </w:rPr>
        <w:t xml:space="preserve"> </w:t>
      </w:r>
      <w:r>
        <w:rPr>
          <w:b/>
        </w:rPr>
        <w:t>Nº</w:t>
      </w:r>
      <w:r>
        <w:rPr>
          <w:b/>
          <w:spacing w:val="10"/>
        </w:rPr>
        <w:t xml:space="preserve"> </w:t>
      </w:r>
      <w:r>
        <w:rPr>
          <w:b/>
        </w:rPr>
        <w:t>17.763,</w:t>
      </w:r>
      <w:r>
        <w:rPr>
          <w:b/>
          <w:spacing w:val="9"/>
        </w:rPr>
        <w:t xml:space="preserve"> </w:t>
      </w:r>
      <w:r>
        <w:rPr>
          <w:b/>
        </w:rPr>
        <w:t>DE</w:t>
      </w:r>
      <w:r>
        <w:rPr>
          <w:b/>
          <w:spacing w:val="10"/>
        </w:rPr>
        <w:t xml:space="preserve"> </w:t>
      </w:r>
      <w:r>
        <w:rPr>
          <w:b/>
        </w:rPr>
        <w:t>23</w:t>
      </w:r>
      <w:r>
        <w:rPr>
          <w:b/>
          <w:spacing w:val="9"/>
        </w:rPr>
        <w:t xml:space="preserve"> </w:t>
      </w:r>
      <w:r>
        <w:rPr>
          <w:b/>
        </w:rPr>
        <w:t>DE</w:t>
      </w:r>
      <w:r>
        <w:rPr>
          <w:b/>
          <w:spacing w:val="9"/>
        </w:rPr>
        <w:t xml:space="preserve"> </w:t>
      </w:r>
      <w:r>
        <w:rPr>
          <w:b/>
        </w:rPr>
        <w:t>MARÇO</w:t>
      </w:r>
      <w:r>
        <w:rPr>
          <w:b/>
          <w:spacing w:val="11"/>
        </w:rPr>
        <w:t xml:space="preserve"> </w:t>
      </w:r>
      <w:r>
        <w:rPr>
          <w:b/>
        </w:rPr>
        <w:t>DE</w:t>
      </w:r>
      <w:r>
        <w:rPr>
          <w:b/>
          <w:spacing w:val="9"/>
        </w:rPr>
        <w:t xml:space="preserve"> </w:t>
      </w:r>
      <w:r>
        <w:rPr>
          <w:b/>
        </w:rPr>
        <w:t>2022</w:t>
      </w:r>
      <w:r>
        <w:t>.</w:t>
      </w:r>
      <w:r>
        <w:rPr>
          <w:spacing w:val="10"/>
        </w:rPr>
        <w:t xml:space="preserve"> </w:t>
      </w:r>
      <w:r>
        <w:t>Altera</w:t>
      </w:r>
      <w:r>
        <w:rPr>
          <w:spacing w:val="10"/>
        </w:rPr>
        <w:t xml:space="preserve"> </w:t>
      </w:r>
      <w:r>
        <w:t>a</w:t>
      </w:r>
      <w:r>
        <w:rPr>
          <w:spacing w:val="11"/>
        </w:rPr>
        <w:t xml:space="preserve"> </w:t>
      </w:r>
      <w:hyperlink r:id="rId309">
        <w:r>
          <w:rPr>
            <w:u w:val="single"/>
          </w:rPr>
          <w:t>Lei</w:t>
        </w:r>
        <w:r>
          <w:rPr>
            <w:spacing w:val="9"/>
            <w:u w:val="single"/>
          </w:rPr>
          <w:t xml:space="preserve"> </w:t>
        </w:r>
        <w:r>
          <w:rPr>
            <w:u w:val="single"/>
          </w:rPr>
          <w:t>nº</w:t>
        </w:r>
        <w:r>
          <w:rPr>
            <w:spacing w:val="10"/>
            <w:u w:val="single"/>
          </w:rPr>
          <w:t xml:space="preserve"> </w:t>
        </w:r>
        <w:r>
          <w:rPr>
            <w:u w:val="single"/>
          </w:rPr>
          <w:t>14.485,</w:t>
        </w:r>
        <w:r>
          <w:rPr>
            <w:spacing w:val="10"/>
            <w:u w:val="single"/>
          </w:rPr>
          <w:t xml:space="preserve"> </w:t>
        </w:r>
        <w:r>
          <w:rPr>
            <w:u w:val="single"/>
          </w:rPr>
          <w:t>de</w:t>
        </w:r>
        <w:r>
          <w:rPr>
            <w:spacing w:val="10"/>
            <w:u w:val="single"/>
          </w:rPr>
          <w:t xml:space="preserve"> </w:t>
        </w:r>
        <w:r>
          <w:rPr>
            <w:u w:val="single"/>
          </w:rPr>
          <w:t>19</w:t>
        </w:r>
        <w:r>
          <w:rPr>
            <w:spacing w:val="10"/>
            <w:u w:val="single"/>
          </w:rPr>
          <w:t xml:space="preserve"> </w:t>
        </w:r>
        <w:r>
          <w:rPr>
            <w:spacing w:val="-5"/>
            <w:u w:val="single"/>
          </w:rPr>
          <w:t>de</w:t>
        </w:r>
      </w:hyperlink>
    </w:p>
    <w:p w:rsidR="007259F2" w:rsidRDefault="00DE6B1C">
      <w:pPr>
        <w:spacing w:line="252" w:lineRule="exact"/>
        <w:ind w:left="710"/>
      </w:pPr>
      <w:hyperlink r:id="rId310">
        <w:r w:rsidR="00E655B4">
          <w:rPr>
            <w:u w:val="single"/>
          </w:rPr>
          <w:t>julho</w:t>
        </w:r>
        <w:r w:rsidR="00E655B4">
          <w:rPr>
            <w:spacing w:val="-3"/>
            <w:u w:val="single"/>
          </w:rPr>
          <w:t xml:space="preserve"> </w:t>
        </w:r>
        <w:r w:rsidR="00E655B4">
          <w:rPr>
            <w:u w:val="single"/>
          </w:rPr>
          <w:t>de</w:t>
        </w:r>
        <w:r w:rsidR="00E655B4">
          <w:rPr>
            <w:spacing w:val="-3"/>
            <w:u w:val="single"/>
          </w:rPr>
          <w:t xml:space="preserve"> </w:t>
        </w:r>
        <w:r w:rsidR="00E655B4">
          <w:rPr>
            <w:u w:val="single"/>
          </w:rPr>
          <w:t>2007,</w:t>
        </w:r>
      </w:hyperlink>
      <w:r w:rsidR="00E655B4">
        <w:rPr>
          <w:spacing w:val="-4"/>
        </w:rPr>
        <w:t xml:space="preserve"> </w:t>
      </w:r>
      <w:r w:rsidR="00E655B4">
        <w:t>[...]</w:t>
      </w:r>
      <w:r w:rsidR="00E655B4">
        <w:rPr>
          <w:spacing w:val="-3"/>
        </w:rPr>
        <w:t xml:space="preserve"> </w:t>
      </w:r>
      <w:r w:rsidR="00E655B4">
        <w:t>São</w:t>
      </w:r>
      <w:r w:rsidR="00E655B4">
        <w:rPr>
          <w:spacing w:val="-3"/>
        </w:rPr>
        <w:t xml:space="preserve"> </w:t>
      </w:r>
      <w:r w:rsidR="00E655B4">
        <w:t>Paulo</w:t>
      </w:r>
      <w:r w:rsidR="00E655B4">
        <w:rPr>
          <w:spacing w:val="-3"/>
        </w:rPr>
        <w:t xml:space="preserve"> </w:t>
      </w:r>
      <w:r w:rsidR="00E655B4">
        <w:t>(SP):</w:t>
      </w:r>
      <w:r w:rsidR="00E655B4">
        <w:rPr>
          <w:spacing w:val="-2"/>
        </w:rPr>
        <w:t xml:space="preserve"> </w:t>
      </w:r>
      <w:r w:rsidR="00E655B4">
        <w:t>Diário</w:t>
      </w:r>
      <w:r w:rsidR="00E655B4">
        <w:rPr>
          <w:spacing w:val="-3"/>
        </w:rPr>
        <w:t xml:space="preserve"> </w:t>
      </w:r>
      <w:r w:rsidR="00E655B4">
        <w:t>Oficial</w:t>
      </w:r>
      <w:r w:rsidR="00E655B4">
        <w:rPr>
          <w:spacing w:val="-2"/>
        </w:rPr>
        <w:t xml:space="preserve"> </w:t>
      </w:r>
      <w:r w:rsidR="00E655B4">
        <w:t>do</w:t>
      </w:r>
      <w:r w:rsidR="00E655B4">
        <w:rPr>
          <w:spacing w:val="-5"/>
        </w:rPr>
        <w:t xml:space="preserve"> </w:t>
      </w:r>
      <w:r w:rsidR="00E655B4">
        <w:t>Município,</w:t>
      </w:r>
      <w:r w:rsidR="00E655B4">
        <w:rPr>
          <w:spacing w:val="-3"/>
        </w:rPr>
        <w:t xml:space="preserve"> </w:t>
      </w:r>
      <w:r w:rsidR="00E655B4">
        <w:rPr>
          <w:spacing w:val="-2"/>
        </w:rPr>
        <w:t>2022.</w:t>
      </w:r>
    </w:p>
    <w:p w:rsidR="007259F2" w:rsidRDefault="00E655B4">
      <w:pPr>
        <w:spacing w:before="122" w:line="252" w:lineRule="exact"/>
        <w:ind w:left="710"/>
      </w:pPr>
      <w:r>
        <w:t>SÃO</w:t>
      </w:r>
      <w:r>
        <w:rPr>
          <w:spacing w:val="8"/>
        </w:rPr>
        <w:t xml:space="preserve"> </w:t>
      </w:r>
      <w:r>
        <w:t>PAULO</w:t>
      </w:r>
      <w:r>
        <w:rPr>
          <w:spacing w:val="8"/>
        </w:rPr>
        <w:t xml:space="preserve"> </w:t>
      </w:r>
      <w:r>
        <w:t>(SP</w:t>
      </w:r>
      <w:r>
        <w:rPr>
          <w:b/>
        </w:rPr>
        <w:t>).</w:t>
      </w:r>
      <w:r>
        <w:rPr>
          <w:b/>
          <w:spacing w:val="10"/>
        </w:rPr>
        <w:t xml:space="preserve"> </w:t>
      </w:r>
      <w:r>
        <w:rPr>
          <w:b/>
        </w:rPr>
        <w:t>LEI</w:t>
      </w:r>
      <w:r>
        <w:rPr>
          <w:b/>
          <w:spacing w:val="10"/>
        </w:rPr>
        <w:t xml:space="preserve"> </w:t>
      </w:r>
      <w:r>
        <w:rPr>
          <w:b/>
        </w:rPr>
        <w:t>Nº</w:t>
      </w:r>
      <w:r>
        <w:rPr>
          <w:b/>
          <w:spacing w:val="10"/>
        </w:rPr>
        <w:t xml:space="preserve"> </w:t>
      </w:r>
      <w:r>
        <w:rPr>
          <w:b/>
        </w:rPr>
        <w:t>17.762,</w:t>
      </w:r>
      <w:r>
        <w:rPr>
          <w:b/>
          <w:spacing w:val="9"/>
        </w:rPr>
        <w:t xml:space="preserve"> </w:t>
      </w:r>
      <w:r>
        <w:rPr>
          <w:b/>
        </w:rPr>
        <w:t>DE</w:t>
      </w:r>
      <w:r>
        <w:rPr>
          <w:b/>
          <w:spacing w:val="10"/>
        </w:rPr>
        <w:t xml:space="preserve"> </w:t>
      </w:r>
      <w:r>
        <w:rPr>
          <w:b/>
        </w:rPr>
        <w:t>23</w:t>
      </w:r>
      <w:r>
        <w:rPr>
          <w:b/>
          <w:spacing w:val="9"/>
        </w:rPr>
        <w:t xml:space="preserve"> </w:t>
      </w:r>
      <w:r>
        <w:rPr>
          <w:b/>
        </w:rPr>
        <w:t>DE</w:t>
      </w:r>
      <w:r>
        <w:rPr>
          <w:b/>
          <w:spacing w:val="9"/>
        </w:rPr>
        <w:t xml:space="preserve"> </w:t>
      </w:r>
      <w:r>
        <w:rPr>
          <w:b/>
        </w:rPr>
        <w:t>MARÇO</w:t>
      </w:r>
      <w:r>
        <w:rPr>
          <w:b/>
          <w:spacing w:val="11"/>
        </w:rPr>
        <w:t xml:space="preserve"> </w:t>
      </w:r>
      <w:r>
        <w:rPr>
          <w:b/>
        </w:rPr>
        <w:t>DE</w:t>
      </w:r>
      <w:r>
        <w:rPr>
          <w:b/>
          <w:spacing w:val="9"/>
        </w:rPr>
        <w:t xml:space="preserve"> </w:t>
      </w:r>
      <w:r>
        <w:rPr>
          <w:b/>
        </w:rPr>
        <w:t>2022</w:t>
      </w:r>
      <w:r>
        <w:t>.</w:t>
      </w:r>
      <w:r>
        <w:rPr>
          <w:spacing w:val="10"/>
        </w:rPr>
        <w:t xml:space="preserve"> </w:t>
      </w:r>
      <w:r>
        <w:t>Altera</w:t>
      </w:r>
      <w:r>
        <w:rPr>
          <w:spacing w:val="10"/>
        </w:rPr>
        <w:t xml:space="preserve"> </w:t>
      </w:r>
      <w:r>
        <w:t>a</w:t>
      </w:r>
      <w:r>
        <w:rPr>
          <w:spacing w:val="11"/>
        </w:rPr>
        <w:t xml:space="preserve"> </w:t>
      </w:r>
      <w:hyperlink r:id="rId311">
        <w:r>
          <w:rPr>
            <w:u w:val="single"/>
          </w:rPr>
          <w:t>Lei</w:t>
        </w:r>
        <w:r>
          <w:rPr>
            <w:spacing w:val="9"/>
            <w:u w:val="single"/>
          </w:rPr>
          <w:t xml:space="preserve"> </w:t>
        </w:r>
        <w:r>
          <w:rPr>
            <w:u w:val="single"/>
          </w:rPr>
          <w:t>nº</w:t>
        </w:r>
        <w:r>
          <w:rPr>
            <w:spacing w:val="10"/>
            <w:u w:val="single"/>
          </w:rPr>
          <w:t xml:space="preserve"> </w:t>
        </w:r>
        <w:r>
          <w:rPr>
            <w:u w:val="single"/>
          </w:rPr>
          <w:t>14.485,</w:t>
        </w:r>
        <w:r>
          <w:rPr>
            <w:spacing w:val="10"/>
            <w:u w:val="single"/>
          </w:rPr>
          <w:t xml:space="preserve"> </w:t>
        </w:r>
        <w:r>
          <w:rPr>
            <w:u w:val="single"/>
          </w:rPr>
          <w:t>de</w:t>
        </w:r>
        <w:r>
          <w:rPr>
            <w:spacing w:val="10"/>
            <w:u w:val="single"/>
          </w:rPr>
          <w:t xml:space="preserve"> </w:t>
        </w:r>
        <w:r>
          <w:rPr>
            <w:u w:val="single"/>
          </w:rPr>
          <w:t>19</w:t>
        </w:r>
        <w:r>
          <w:rPr>
            <w:spacing w:val="10"/>
            <w:u w:val="single"/>
          </w:rPr>
          <w:t xml:space="preserve"> </w:t>
        </w:r>
        <w:r>
          <w:rPr>
            <w:spacing w:val="-7"/>
            <w:u w:val="single"/>
          </w:rPr>
          <w:t>de</w:t>
        </w:r>
      </w:hyperlink>
    </w:p>
    <w:p w:rsidR="007259F2" w:rsidRDefault="00DE6B1C">
      <w:pPr>
        <w:spacing w:line="252" w:lineRule="exact"/>
        <w:ind w:left="710"/>
      </w:pPr>
      <w:hyperlink r:id="rId312">
        <w:r w:rsidR="00E655B4">
          <w:rPr>
            <w:u w:val="single"/>
          </w:rPr>
          <w:t>julho</w:t>
        </w:r>
        <w:r w:rsidR="00E655B4">
          <w:rPr>
            <w:spacing w:val="-3"/>
            <w:u w:val="single"/>
          </w:rPr>
          <w:t xml:space="preserve"> </w:t>
        </w:r>
        <w:r w:rsidR="00E655B4">
          <w:rPr>
            <w:u w:val="single"/>
          </w:rPr>
          <w:t>de</w:t>
        </w:r>
        <w:r w:rsidR="00E655B4">
          <w:rPr>
            <w:spacing w:val="-3"/>
            <w:u w:val="single"/>
          </w:rPr>
          <w:t xml:space="preserve"> </w:t>
        </w:r>
        <w:r w:rsidR="00E655B4">
          <w:rPr>
            <w:u w:val="single"/>
          </w:rPr>
          <w:t>2007,</w:t>
        </w:r>
      </w:hyperlink>
      <w:r w:rsidR="00E655B4">
        <w:rPr>
          <w:spacing w:val="-4"/>
        </w:rPr>
        <w:t xml:space="preserve"> </w:t>
      </w:r>
      <w:r w:rsidR="00E655B4">
        <w:t>[...]</w:t>
      </w:r>
      <w:r w:rsidR="00E655B4">
        <w:rPr>
          <w:spacing w:val="-3"/>
        </w:rPr>
        <w:t xml:space="preserve"> </w:t>
      </w:r>
      <w:r w:rsidR="00E655B4">
        <w:t>São</w:t>
      </w:r>
      <w:r w:rsidR="00E655B4">
        <w:rPr>
          <w:spacing w:val="-3"/>
        </w:rPr>
        <w:t xml:space="preserve"> </w:t>
      </w:r>
      <w:r w:rsidR="00E655B4">
        <w:t>Paulo</w:t>
      </w:r>
      <w:r w:rsidR="00E655B4">
        <w:rPr>
          <w:spacing w:val="-3"/>
        </w:rPr>
        <w:t xml:space="preserve"> </w:t>
      </w:r>
      <w:r w:rsidR="00E655B4">
        <w:t>(SP):</w:t>
      </w:r>
      <w:r w:rsidR="00E655B4">
        <w:rPr>
          <w:spacing w:val="-2"/>
        </w:rPr>
        <w:t xml:space="preserve"> </w:t>
      </w:r>
      <w:r w:rsidR="00E655B4">
        <w:t>Diário</w:t>
      </w:r>
      <w:r w:rsidR="00E655B4">
        <w:rPr>
          <w:spacing w:val="-3"/>
        </w:rPr>
        <w:t xml:space="preserve"> </w:t>
      </w:r>
      <w:r w:rsidR="00E655B4">
        <w:t>Oficial</w:t>
      </w:r>
      <w:r w:rsidR="00E655B4">
        <w:rPr>
          <w:spacing w:val="-2"/>
        </w:rPr>
        <w:t xml:space="preserve"> </w:t>
      </w:r>
      <w:r w:rsidR="00E655B4">
        <w:t>do</w:t>
      </w:r>
      <w:r w:rsidR="00E655B4">
        <w:rPr>
          <w:spacing w:val="-5"/>
        </w:rPr>
        <w:t xml:space="preserve"> </w:t>
      </w:r>
      <w:r w:rsidR="00E655B4">
        <w:t>Município,</w:t>
      </w:r>
      <w:r w:rsidR="00E655B4">
        <w:rPr>
          <w:spacing w:val="-3"/>
        </w:rPr>
        <w:t xml:space="preserve"> </w:t>
      </w:r>
      <w:r w:rsidR="00E655B4">
        <w:rPr>
          <w:spacing w:val="-2"/>
        </w:rPr>
        <w:t>2022.</w:t>
      </w:r>
    </w:p>
    <w:p w:rsidR="007259F2" w:rsidRDefault="00E655B4">
      <w:pPr>
        <w:spacing w:before="119"/>
        <w:ind w:left="710"/>
      </w:pPr>
      <w:r>
        <w:t>SÃO</w:t>
      </w:r>
      <w:r>
        <w:rPr>
          <w:spacing w:val="8"/>
        </w:rPr>
        <w:t xml:space="preserve"> </w:t>
      </w:r>
      <w:r>
        <w:t>PAULO</w:t>
      </w:r>
      <w:r>
        <w:rPr>
          <w:spacing w:val="8"/>
        </w:rPr>
        <w:t xml:space="preserve"> </w:t>
      </w:r>
      <w:r>
        <w:t>(SP).</w:t>
      </w:r>
      <w:r>
        <w:rPr>
          <w:spacing w:val="11"/>
        </w:rPr>
        <w:t xml:space="preserve"> </w:t>
      </w:r>
      <w:r>
        <w:rPr>
          <w:b/>
        </w:rPr>
        <w:t>LEI</w:t>
      </w:r>
      <w:r>
        <w:rPr>
          <w:b/>
          <w:spacing w:val="10"/>
        </w:rPr>
        <w:t xml:space="preserve"> </w:t>
      </w:r>
      <w:r>
        <w:rPr>
          <w:b/>
        </w:rPr>
        <w:t>Nº</w:t>
      </w:r>
      <w:r>
        <w:rPr>
          <w:b/>
          <w:spacing w:val="10"/>
        </w:rPr>
        <w:t xml:space="preserve"> </w:t>
      </w:r>
      <w:r>
        <w:rPr>
          <w:b/>
        </w:rPr>
        <w:t>17.761,</w:t>
      </w:r>
      <w:r>
        <w:rPr>
          <w:b/>
          <w:spacing w:val="10"/>
        </w:rPr>
        <w:t xml:space="preserve"> </w:t>
      </w:r>
      <w:r>
        <w:rPr>
          <w:b/>
        </w:rPr>
        <w:t>DE</w:t>
      </w:r>
      <w:r>
        <w:rPr>
          <w:b/>
          <w:spacing w:val="9"/>
        </w:rPr>
        <w:t xml:space="preserve"> </w:t>
      </w:r>
      <w:r>
        <w:rPr>
          <w:b/>
        </w:rPr>
        <w:t>23</w:t>
      </w:r>
      <w:r>
        <w:rPr>
          <w:b/>
          <w:spacing w:val="9"/>
        </w:rPr>
        <w:t xml:space="preserve"> </w:t>
      </w:r>
      <w:r>
        <w:rPr>
          <w:b/>
        </w:rPr>
        <w:t>DE</w:t>
      </w:r>
      <w:r>
        <w:rPr>
          <w:b/>
          <w:spacing w:val="10"/>
        </w:rPr>
        <w:t xml:space="preserve"> </w:t>
      </w:r>
      <w:r>
        <w:rPr>
          <w:b/>
        </w:rPr>
        <w:t>MARÇO</w:t>
      </w:r>
      <w:r>
        <w:rPr>
          <w:b/>
          <w:spacing w:val="10"/>
        </w:rPr>
        <w:t xml:space="preserve"> </w:t>
      </w:r>
      <w:r>
        <w:rPr>
          <w:b/>
        </w:rPr>
        <w:t>DE</w:t>
      </w:r>
      <w:r>
        <w:rPr>
          <w:b/>
          <w:spacing w:val="10"/>
        </w:rPr>
        <w:t xml:space="preserve"> </w:t>
      </w:r>
      <w:r>
        <w:rPr>
          <w:b/>
        </w:rPr>
        <w:t>2022</w:t>
      </w:r>
      <w:r>
        <w:t>.</w:t>
      </w:r>
      <w:r>
        <w:rPr>
          <w:spacing w:val="9"/>
        </w:rPr>
        <w:t xml:space="preserve"> </w:t>
      </w:r>
      <w:r>
        <w:t>Altera</w:t>
      </w:r>
      <w:r>
        <w:rPr>
          <w:spacing w:val="10"/>
        </w:rPr>
        <w:t xml:space="preserve"> </w:t>
      </w:r>
      <w:r>
        <w:t>a</w:t>
      </w:r>
      <w:r>
        <w:rPr>
          <w:spacing w:val="12"/>
        </w:rPr>
        <w:t xml:space="preserve"> </w:t>
      </w:r>
      <w:hyperlink r:id="rId313">
        <w:r>
          <w:rPr>
            <w:u w:val="single"/>
          </w:rPr>
          <w:t>Lei</w:t>
        </w:r>
        <w:r>
          <w:rPr>
            <w:spacing w:val="8"/>
            <w:u w:val="single"/>
          </w:rPr>
          <w:t xml:space="preserve"> </w:t>
        </w:r>
        <w:r>
          <w:rPr>
            <w:u w:val="single"/>
          </w:rPr>
          <w:t>nº</w:t>
        </w:r>
        <w:r>
          <w:rPr>
            <w:spacing w:val="10"/>
            <w:u w:val="single"/>
          </w:rPr>
          <w:t xml:space="preserve"> </w:t>
        </w:r>
        <w:r>
          <w:rPr>
            <w:u w:val="single"/>
          </w:rPr>
          <w:t>14.485,</w:t>
        </w:r>
        <w:r>
          <w:rPr>
            <w:spacing w:val="10"/>
            <w:u w:val="single"/>
          </w:rPr>
          <w:t xml:space="preserve"> </w:t>
        </w:r>
        <w:r>
          <w:rPr>
            <w:u w:val="single"/>
          </w:rPr>
          <w:t>de</w:t>
        </w:r>
        <w:r>
          <w:rPr>
            <w:spacing w:val="10"/>
            <w:u w:val="single"/>
          </w:rPr>
          <w:t xml:space="preserve"> </w:t>
        </w:r>
        <w:r>
          <w:rPr>
            <w:u w:val="single"/>
          </w:rPr>
          <w:t>19</w:t>
        </w:r>
        <w:r>
          <w:rPr>
            <w:spacing w:val="10"/>
            <w:u w:val="single"/>
          </w:rPr>
          <w:t xml:space="preserve"> </w:t>
        </w:r>
        <w:r>
          <w:rPr>
            <w:spacing w:val="-7"/>
            <w:u w:val="single"/>
          </w:rPr>
          <w:t>de</w:t>
        </w:r>
      </w:hyperlink>
    </w:p>
    <w:p w:rsidR="007259F2" w:rsidRDefault="00DE6B1C">
      <w:pPr>
        <w:spacing w:before="1"/>
        <w:ind w:left="710"/>
      </w:pPr>
      <w:hyperlink r:id="rId314">
        <w:r w:rsidR="00E655B4">
          <w:rPr>
            <w:u w:val="single"/>
          </w:rPr>
          <w:t>julho</w:t>
        </w:r>
        <w:r w:rsidR="00E655B4">
          <w:rPr>
            <w:spacing w:val="-4"/>
            <w:u w:val="single"/>
          </w:rPr>
          <w:t xml:space="preserve"> </w:t>
        </w:r>
        <w:r w:rsidR="00E655B4">
          <w:rPr>
            <w:u w:val="single"/>
          </w:rPr>
          <w:t>de</w:t>
        </w:r>
        <w:r w:rsidR="00E655B4">
          <w:rPr>
            <w:spacing w:val="-3"/>
            <w:u w:val="single"/>
          </w:rPr>
          <w:t xml:space="preserve"> </w:t>
        </w:r>
        <w:r w:rsidR="00E655B4">
          <w:rPr>
            <w:u w:val="single"/>
          </w:rPr>
          <w:t>2007,</w:t>
        </w:r>
      </w:hyperlink>
      <w:r w:rsidR="00E655B4">
        <w:rPr>
          <w:spacing w:val="-3"/>
        </w:rPr>
        <w:t xml:space="preserve"> </w:t>
      </w:r>
      <w:r w:rsidR="00E655B4">
        <w:t>São</w:t>
      </w:r>
      <w:r w:rsidR="00E655B4">
        <w:rPr>
          <w:spacing w:val="-5"/>
        </w:rPr>
        <w:t xml:space="preserve"> </w:t>
      </w:r>
      <w:r w:rsidR="00E655B4">
        <w:t>Paulo</w:t>
      </w:r>
      <w:r w:rsidR="00E655B4">
        <w:rPr>
          <w:spacing w:val="-3"/>
        </w:rPr>
        <w:t xml:space="preserve"> </w:t>
      </w:r>
      <w:r w:rsidR="00E655B4">
        <w:t>(SP):</w:t>
      </w:r>
      <w:r w:rsidR="00E655B4">
        <w:rPr>
          <w:spacing w:val="-3"/>
        </w:rPr>
        <w:t xml:space="preserve"> </w:t>
      </w:r>
      <w:r w:rsidR="00E655B4">
        <w:t>Diário</w:t>
      </w:r>
      <w:r w:rsidR="00E655B4">
        <w:rPr>
          <w:spacing w:val="-3"/>
        </w:rPr>
        <w:t xml:space="preserve"> </w:t>
      </w:r>
      <w:r w:rsidR="00E655B4">
        <w:t>Oficial</w:t>
      </w:r>
      <w:r w:rsidR="00E655B4">
        <w:rPr>
          <w:spacing w:val="-4"/>
        </w:rPr>
        <w:t xml:space="preserve"> </w:t>
      </w:r>
      <w:r w:rsidR="00E655B4">
        <w:t>do</w:t>
      </w:r>
      <w:r w:rsidR="00E655B4">
        <w:rPr>
          <w:spacing w:val="-3"/>
        </w:rPr>
        <w:t xml:space="preserve"> </w:t>
      </w:r>
      <w:r w:rsidR="00E655B4">
        <w:t>Município,</w:t>
      </w:r>
      <w:r w:rsidR="00E655B4">
        <w:rPr>
          <w:spacing w:val="-5"/>
        </w:rPr>
        <w:t xml:space="preserve"> </w:t>
      </w:r>
      <w:r w:rsidR="00E655B4">
        <w:rPr>
          <w:spacing w:val="-2"/>
        </w:rPr>
        <w:t>2022.</w:t>
      </w:r>
    </w:p>
    <w:p w:rsidR="007259F2" w:rsidRDefault="00E655B4">
      <w:pPr>
        <w:spacing w:before="119"/>
        <w:ind w:left="710"/>
      </w:pPr>
      <w:r>
        <w:t>SÃO</w:t>
      </w:r>
      <w:r>
        <w:rPr>
          <w:spacing w:val="17"/>
        </w:rPr>
        <w:t xml:space="preserve"> </w:t>
      </w:r>
      <w:r>
        <w:t>PAULO</w:t>
      </w:r>
      <w:r>
        <w:rPr>
          <w:spacing w:val="18"/>
        </w:rPr>
        <w:t xml:space="preserve"> </w:t>
      </w:r>
      <w:r>
        <w:t>(SP).</w:t>
      </w:r>
      <w:r>
        <w:rPr>
          <w:spacing w:val="19"/>
        </w:rPr>
        <w:t xml:space="preserve"> </w:t>
      </w:r>
      <w:r>
        <w:rPr>
          <w:b/>
        </w:rPr>
        <w:t>LEI</w:t>
      </w:r>
      <w:r>
        <w:rPr>
          <w:b/>
          <w:spacing w:val="17"/>
        </w:rPr>
        <w:t xml:space="preserve"> </w:t>
      </w:r>
      <w:r>
        <w:rPr>
          <w:b/>
        </w:rPr>
        <w:t>Nº</w:t>
      </w:r>
      <w:r>
        <w:rPr>
          <w:b/>
          <w:spacing w:val="17"/>
        </w:rPr>
        <w:t xml:space="preserve"> </w:t>
      </w:r>
      <w:r>
        <w:rPr>
          <w:b/>
        </w:rPr>
        <w:t>17.760,</w:t>
      </w:r>
      <w:r>
        <w:rPr>
          <w:b/>
          <w:spacing w:val="20"/>
        </w:rPr>
        <w:t xml:space="preserve"> </w:t>
      </w:r>
      <w:r>
        <w:rPr>
          <w:b/>
        </w:rPr>
        <w:t>DE</w:t>
      </w:r>
      <w:r>
        <w:rPr>
          <w:b/>
          <w:spacing w:val="17"/>
        </w:rPr>
        <w:t xml:space="preserve"> </w:t>
      </w:r>
      <w:r>
        <w:rPr>
          <w:b/>
        </w:rPr>
        <w:t>22</w:t>
      </w:r>
      <w:r>
        <w:rPr>
          <w:b/>
          <w:spacing w:val="19"/>
        </w:rPr>
        <w:t xml:space="preserve"> </w:t>
      </w:r>
      <w:r>
        <w:rPr>
          <w:b/>
        </w:rPr>
        <w:t>DE</w:t>
      </w:r>
      <w:r>
        <w:rPr>
          <w:b/>
          <w:spacing w:val="16"/>
        </w:rPr>
        <w:t xml:space="preserve"> </w:t>
      </w:r>
      <w:r>
        <w:rPr>
          <w:b/>
        </w:rPr>
        <w:t>MARÇO</w:t>
      </w:r>
      <w:r>
        <w:rPr>
          <w:b/>
          <w:spacing w:val="19"/>
        </w:rPr>
        <w:t xml:space="preserve"> </w:t>
      </w:r>
      <w:r>
        <w:rPr>
          <w:b/>
        </w:rPr>
        <w:t>DE</w:t>
      </w:r>
      <w:r>
        <w:rPr>
          <w:b/>
          <w:spacing w:val="18"/>
        </w:rPr>
        <w:t xml:space="preserve"> </w:t>
      </w:r>
      <w:r>
        <w:rPr>
          <w:b/>
        </w:rPr>
        <w:t>2022</w:t>
      </w:r>
      <w:r>
        <w:t>.</w:t>
      </w:r>
      <w:r>
        <w:rPr>
          <w:spacing w:val="18"/>
        </w:rPr>
        <w:t xml:space="preserve"> </w:t>
      </w:r>
      <w:r>
        <w:t>Acrescenta</w:t>
      </w:r>
      <w:r>
        <w:rPr>
          <w:spacing w:val="19"/>
        </w:rPr>
        <w:t xml:space="preserve"> </w:t>
      </w:r>
      <w:r>
        <w:t>o</w:t>
      </w:r>
      <w:r>
        <w:rPr>
          <w:spacing w:val="16"/>
        </w:rPr>
        <w:t xml:space="preserve"> </w:t>
      </w:r>
      <w:r>
        <w:t>nome</w:t>
      </w:r>
      <w:r>
        <w:rPr>
          <w:spacing w:val="19"/>
        </w:rPr>
        <w:t xml:space="preserve"> </w:t>
      </w:r>
      <w:r>
        <w:t>Coreia</w:t>
      </w:r>
      <w:r>
        <w:rPr>
          <w:spacing w:val="17"/>
        </w:rPr>
        <w:t xml:space="preserve"> </w:t>
      </w:r>
      <w:r>
        <w:rPr>
          <w:spacing w:val="-2"/>
        </w:rPr>
        <w:t>[...]</w:t>
      </w:r>
    </w:p>
    <w:p w:rsidR="007259F2" w:rsidRDefault="00E655B4">
      <w:pPr>
        <w:spacing w:before="2"/>
        <w:ind w:left="710"/>
      </w:pPr>
      <w:r>
        <w:t>São</w:t>
      </w:r>
      <w:r>
        <w:rPr>
          <w:spacing w:val="-4"/>
        </w:rPr>
        <w:t xml:space="preserve"> </w:t>
      </w:r>
      <w:r>
        <w:t>Paulo</w:t>
      </w:r>
      <w:r>
        <w:rPr>
          <w:spacing w:val="-3"/>
        </w:rPr>
        <w:t xml:space="preserve"> </w:t>
      </w:r>
      <w:r>
        <w:t>(SP):</w:t>
      </w:r>
      <w:r>
        <w:rPr>
          <w:spacing w:val="-3"/>
        </w:rPr>
        <w:t xml:space="preserve"> </w:t>
      </w:r>
      <w:r>
        <w:t>Diário</w:t>
      </w:r>
      <w:r>
        <w:rPr>
          <w:spacing w:val="-3"/>
        </w:rPr>
        <w:t xml:space="preserve"> </w:t>
      </w:r>
      <w:r>
        <w:t>Oficial</w:t>
      </w:r>
      <w:r>
        <w:rPr>
          <w:spacing w:val="-3"/>
        </w:rPr>
        <w:t xml:space="preserve"> </w:t>
      </w:r>
      <w:r>
        <w:t>do</w:t>
      </w:r>
      <w:r>
        <w:rPr>
          <w:spacing w:val="-6"/>
        </w:rPr>
        <w:t xml:space="preserve"> </w:t>
      </w:r>
      <w:r>
        <w:t>Município,</w:t>
      </w:r>
      <w:r>
        <w:rPr>
          <w:spacing w:val="-6"/>
        </w:rPr>
        <w:t xml:space="preserve"> </w:t>
      </w:r>
      <w:r>
        <w:rPr>
          <w:spacing w:val="-2"/>
        </w:rPr>
        <w:t>2022.</w:t>
      </w:r>
    </w:p>
    <w:p w:rsidR="007259F2" w:rsidRDefault="00E655B4">
      <w:pPr>
        <w:spacing w:before="119" w:line="252" w:lineRule="exact"/>
        <w:ind w:left="710"/>
      </w:pPr>
      <w:r>
        <w:t>SÃO</w:t>
      </w:r>
      <w:r>
        <w:rPr>
          <w:spacing w:val="5"/>
        </w:rPr>
        <w:t xml:space="preserve"> </w:t>
      </w:r>
      <w:r>
        <w:t>PAULO</w:t>
      </w:r>
      <w:r>
        <w:rPr>
          <w:spacing w:val="5"/>
        </w:rPr>
        <w:t xml:space="preserve"> </w:t>
      </w:r>
      <w:r>
        <w:t>(SP).</w:t>
      </w:r>
      <w:r>
        <w:rPr>
          <w:spacing w:val="8"/>
        </w:rPr>
        <w:t xml:space="preserve"> </w:t>
      </w:r>
      <w:r>
        <w:rPr>
          <w:b/>
        </w:rPr>
        <w:t>LEI</w:t>
      </w:r>
      <w:r>
        <w:rPr>
          <w:b/>
          <w:spacing w:val="8"/>
        </w:rPr>
        <w:t xml:space="preserve"> </w:t>
      </w:r>
      <w:r>
        <w:rPr>
          <w:b/>
        </w:rPr>
        <w:t>Nº</w:t>
      </w:r>
      <w:r>
        <w:rPr>
          <w:b/>
          <w:spacing w:val="5"/>
        </w:rPr>
        <w:t xml:space="preserve"> </w:t>
      </w:r>
      <w:r>
        <w:rPr>
          <w:b/>
        </w:rPr>
        <w:t>17.759,</w:t>
      </w:r>
      <w:r>
        <w:rPr>
          <w:b/>
          <w:spacing w:val="7"/>
        </w:rPr>
        <w:t xml:space="preserve"> </w:t>
      </w:r>
      <w:r>
        <w:rPr>
          <w:b/>
        </w:rPr>
        <w:t>DE</w:t>
      </w:r>
      <w:r>
        <w:rPr>
          <w:b/>
          <w:spacing w:val="6"/>
        </w:rPr>
        <w:t xml:space="preserve"> </w:t>
      </w:r>
      <w:r>
        <w:rPr>
          <w:b/>
        </w:rPr>
        <w:t>15</w:t>
      </w:r>
      <w:r>
        <w:rPr>
          <w:b/>
          <w:spacing w:val="7"/>
        </w:rPr>
        <w:t xml:space="preserve"> </w:t>
      </w:r>
      <w:r>
        <w:rPr>
          <w:b/>
        </w:rPr>
        <w:t>DE</w:t>
      </w:r>
      <w:r>
        <w:rPr>
          <w:b/>
          <w:spacing w:val="6"/>
        </w:rPr>
        <w:t xml:space="preserve"> </w:t>
      </w:r>
      <w:r>
        <w:rPr>
          <w:b/>
        </w:rPr>
        <w:t>MARÇO</w:t>
      </w:r>
      <w:r>
        <w:rPr>
          <w:b/>
          <w:spacing w:val="7"/>
        </w:rPr>
        <w:t xml:space="preserve"> </w:t>
      </w:r>
      <w:r>
        <w:rPr>
          <w:b/>
        </w:rPr>
        <w:t>DE</w:t>
      </w:r>
      <w:r>
        <w:rPr>
          <w:b/>
          <w:spacing w:val="6"/>
        </w:rPr>
        <w:t xml:space="preserve"> </w:t>
      </w:r>
      <w:r>
        <w:rPr>
          <w:b/>
        </w:rPr>
        <w:t>2022</w:t>
      </w:r>
      <w:r>
        <w:t>.</w:t>
      </w:r>
      <w:r>
        <w:rPr>
          <w:spacing w:val="5"/>
        </w:rPr>
        <w:t xml:space="preserve"> </w:t>
      </w:r>
      <w:r>
        <w:t>Altera</w:t>
      </w:r>
      <w:r>
        <w:rPr>
          <w:spacing w:val="7"/>
        </w:rPr>
        <w:t xml:space="preserve"> </w:t>
      </w:r>
      <w:r>
        <w:t>as</w:t>
      </w:r>
      <w:r>
        <w:rPr>
          <w:spacing w:val="8"/>
        </w:rPr>
        <w:t xml:space="preserve"> </w:t>
      </w:r>
      <w:r>
        <w:t>Leis</w:t>
      </w:r>
      <w:r>
        <w:rPr>
          <w:spacing w:val="9"/>
        </w:rPr>
        <w:t xml:space="preserve"> </w:t>
      </w:r>
      <w:hyperlink r:id="rId315">
        <w:r>
          <w:rPr>
            <w:u w:val="single"/>
          </w:rPr>
          <w:t>nº</w:t>
        </w:r>
        <w:r>
          <w:rPr>
            <w:spacing w:val="8"/>
            <w:u w:val="single"/>
          </w:rPr>
          <w:t xml:space="preserve"> </w:t>
        </w:r>
        <w:r>
          <w:rPr>
            <w:u w:val="single"/>
          </w:rPr>
          <w:t>14.493,</w:t>
        </w:r>
        <w:r>
          <w:rPr>
            <w:spacing w:val="5"/>
            <w:u w:val="single"/>
          </w:rPr>
          <w:t xml:space="preserve"> </w:t>
        </w:r>
        <w:r>
          <w:rPr>
            <w:u w:val="single"/>
          </w:rPr>
          <w:t>de</w:t>
        </w:r>
        <w:r>
          <w:rPr>
            <w:spacing w:val="7"/>
            <w:u w:val="single"/>
          </w:rPr>
          <w:t xml:space="preserve"> </w:t>
        </w:r>
        <w:r>
          <w:rPr>
            <w:u w:val="single"/>
          </w:rPr>
          <w:t>9</w:t>
        </w:r>
        <w:r>
          <w:rPr>
            <w:spacing w:val="5"/>
            <w:u w:val="single"/>
          </w:rPr>
          <w:t xml:space="preserve"> </w:t>
        </w:r>
        <w:r>
          <w:rPr>
            <w:spacing w:val="-7"/>
            <w:u w:val="single"/>
          </w:rPr>
          <w:t>de</w:t>
        </w:r>
      </w:hyperlink>
    </w:p>
    <w:p w:rsidR="007259F2" w:rsidRDefault="00DE6B1C">
      <w:pPr>
        <w:spacing w:line="252" w:lineRule="exact"/>
        <w:ind w:left="710"/>
      </w:pPr>
      <w:hyperlink r:id="rId316">
        <w:r w:rsidR="00E655B4">
          <w:rPr>
            <w:u w:val="single"/>
          </w:rPr>
          <w:t>agosto</w:t>
        </w:r>
        <w:r w:rsidR="00E655B4">
          <w:rPr>
            <w:spacing w:val="-3"/>
            <w:u w:val="single"/>
          </w:rPr>
          <w:t xml:space="preserve"> </w:t>
        </w:r>
        <w:r w:rsidR="00E655B4">
          <w:rPr>
            <w:u w:val="single"/>
          </w:rPr>
          <w:t>de</w:t>
        </w:r>
        <w:r w:rsidR="00E655B4">
          <w:rPr>
            <w:spacing w:val="-2"/>
            <w:u w:val="single"/>
          </w:rPr>
          <w:t xml:space="preserve"> </w:t>
        </w:r>
        <w:r w:rsidR="00E655B4">
          <w:rPr>
            <w:u w:val="single"/>
          </w:rPr>
          <w:t>2007,</w:t>
        </w:r>
      </w:hyperlink>
      <w:r w:rsidR="00E655B4">
        <w:rPr>
          <w:spacing w:val="-6"/>
        </w:rPr>
        <w:t xml:space="preserve"> </w:t>
      </w:r>
      <w:r w:rsidR="00E655B4">
        <w:t>[...]</w:t>
      </w:r>
      <w:r w:rsidR="00E655B4">
        <w:rPr>
          <w:spacing w:val="-2"/>
        </w:rPr>
        <w:t xml:space="preserve"> </w:t>
      </w:r>
      <w:r w:rsidR="00E655B4">
        <w:t>São</w:t>
      </w:r>
      <w:r w:rsidR="00E655B4">
        <w:rPr>
          <w:spacing w:val="-2"/>
        </w:rPr>
        <w:t xml:space="preserve"> </w:t>
      </w:r>
      <w:r w:rsidR="00E655B4">
        <w:t>Paulo</w:t>
      </w:r>
      <w:r w:rsidR="00E655B4">
        <w:rPr>
          <w:spacing w:val="-3"/>
        </w:rPr>
        <w:t xml:space="preserve"> </w:t>
      </w:r>
      <w:r w:rsidR="00E655B4">
        <w:t>(SP):</w:t>
      </w:r>
      <w:r w:rsidR="00E655B4">
        <w:rPr>
          <w:spacing w:val="-4"/>
        </w:rPr>
        <w:t xml:space="preserve"> </w:t>
      </w:r>
      <w:r w:rsidR="00E655B4">
        <w:t>Diário</w:t>
      </w:r>
      <w:r w:rsidR="00E655B4">
        <w:rPr>
          <w:spacing w:val="-2"/>
        </w:rPr>
        <w:t xml:space="preserve"> </w:t>
      </w:r>
      <w:r w:rsidR="00E655B4">
        <w:t>Oficial</w:t>
      </w:r>
      <w:r w:rsidR="00E655B4">
        <w:rPr>
          <w:spacing w:val="-2"/>
        </w:rPr>
        <w:t xml:space="preserve"> </w:t>
      </w:r>
      <w:r w:rsidR="00E655B4">
        <w:t>do</w:t>
      </w:r>
      <w:r w:rsidR="00E655B4">
        <w:rPr>
          <w:spacing w:val="-5"/>
        </w:rPr>
        <w:t xml:space="preserve"> </w:t>
      </w:r>
      <w:r w:rsidR="00E655B4">
        <w:t>Município,</w:t>
      </w:r>
      <w:r w:rsidR="00E655B4">
        <w:rPr>
          <w:spacing w:val="-2"/>
        </w:rPr>
        <w:t xml:space="preserve"> 2022.</w:t>
      </w:r>
    </w:p>
    <w:p w:rsidR="007259F2" w:rsidRDefault="00E655B4">
      <w:pPr>
        <w:spacing w:before="121" w:line="252" w:lineRule="exact"/>
        <w:ind w:left="710"/>
      </w:pPr>
      <w:r>
        <w:t>SÃO</w:t>
      </w:r>
      <w:r>
        <w:rPr>
          <w:spacing w:val="14"/>
        </w:rPr>
        <w:t xml:space="preserve"> </w:t>
      </w:r>
      <w:r>
        <w:t>PAULO</w:t>
      </w:r>
      <w:r>
        <w:rPr>
          <w:spacing w:val="16"/>
        </w:rPr>
        <w:t xml:space="preserve"> </w:t>
      </w:r>
      <w:r>
        <w:t>(SP).</w:t>
      </w:r>
      <w:r>
        <w:rPr>
          <w:spacing w:val="16"/>
        </w:rPr>
        <w:t xml:space="preserve"> </w:t>
      </w:r>
      <w:r>
        <w:rPr>
          <w:b/>
        </w:rPr>
        <w:t>LEI</w:t>
      </w:r>
      <w:r>
        <w:rPr>
          <w:b/>
          <w:spacing w:val="16"/>
        </w:rPr>
        <w:t xml:space="preserve"> </w:t>
      </w:r>
      <w:r>
        <w:rPr>
          <w:b/>
        </w:rPr>
        <w:t>Nº</w:t>
      </w:r>
      <w:r>
        <w:rPr>
          <w:b/>
          <w:spacing w:val="14"/>
        </w:rPr>
        <w:t xml:space="preserve"> </w:t>
      </w:r>
      <w:r>
        <w:rPr>
          <w:b/>
        </w:rPr>
        <w:t>17.758,</w:t>
      </w:r>
      <w:r>
        <w:rPr>
          <w:b/>
          <w:spacing w:val="15"/>
        </w:rPr>
        <w:t xml:space="preserve"> </w:t>
      </w:r>
      <w:r>
        <w:rPr>
          <w:b/>
        </w:rPr>
        <w:t>DE</w:t>
      </w:r>
      <w:r>
        <w:rPr>
          <w:b/>
          <w:spacing w:val="14"/>
        </w:rPr>
        <w:t xml:space="preserve"> </w:t>
      </w:r>
      <w:r>
        <w:rPr>
          <w:b/>
        </w:rPr>
        <w:t>4</w:t>
      </w:r>
      <w:r>
        <w:rPr>
          <w:b/>
          <w:spacing w:val="18"/>
        </w:rPr>
        <w:t xml:space="preserve"> </w:t>
      </w:r>
      <w:r>
        <w:rPr>
          <w:b/>
        </w:rPr>
        <w:t>DE</w:t>
      </w:r>
      <w:r>
        <w:rPr>
          <w:b/>
          <w:spacing w:val="14"/>
        </w:rPr>
        <w:t xml:space="preserve"> </w:t>
      </w:r>
      <w:r>
        <w:rPr>
          <w:b/>
        </w:rPr>
        <w:t>MARÇO</w:t>
      </w:r>
      <w:r>
        <w:rPr>
          <w:b/>
          <w:spacing w:val="17"/>
        </w:rPr>
        <w:t xml:space="preserve"> </w:t>
      </w:r>
      <w:r>
        <w:rPr>
          <w:b/>
        </w:rPr>
        <w:t>DE</w:t>
      </w:r>
      <w:r>
        <w:rPr>
          <w:b/>
          <w:spacing w:val="14"/>
        </w:rPr>
        <w:t xml:space="preserve"> </w:t>
      </w:r>
      <w:r>
        <w:rPr>
          <w:b/>
        </w:rPr>
        <w:t>2022</w:t>
      </w:r>
      <w:r>
        <w:t>.</w:t>
      </w:r>
      <w:r>
        <w:rPr>
          <w:spacing w:val="15"/>
        </w:rPr>
        <w:t xml:space="preserve"> </w:t>
      </w:r>
      <w:r>
        <w:t>Altera</w:t>
      </w:r>
      <w:r>
        <w:rPr>
          <w:spacing w:val="16"/>
        </w:rPr>
        <w:t xml:space="preserve"> </w:t>
      </w:r>
      <w:r>
        <w:t>a</w:t>
      </w:r>
      <w:r>
        <w:rPr>
          <w:spacing w:val="17"/>
        </w:rPr>
        <w:t xml:space="preserve"> </w:t>
      </w:r>
      <w:hyperlink r:id="rId317">
        <w:r>
          <w:rPr>
            <w:u w:val="single"/>
          </w:rPr>
          <w:t>Lei</w:t>
        </w:r>
        <w:r>
          <w:rPr>
            <w:spacing w:val="14"/>
            <w:u w:val="single"/>
          </w:rPr>
          <w:t xml:space="preserve"> </w:t>
        </w:r>
        <w:r>
          <w:rPr>
            <w:u w:val="single"/>
          </w:rPr>
          <w:t>nº</w:t>
        </w:r>
        <w:r>
          <w:rPr>
            <w:spacing w:val="16"/>
            <w:u w:val="single"/>
          </w:rPr>
          <w:t xml:space="preserve"> </w:t>
        </w:r>
        <w:r>
          <w:rPr>
            <w:u w:val="single"/>
          </w:rPr>
          <w:t>14.485,</w:t>
        </w:r>
        <w:r>
          <w:rPr>
            <w:spacing w:val="15"/>
            <w:u w:val="single"/>
          </w:rPr>
          <w:t xml:space="preserve"> </w:t>
        </w:r>
        <w:r>
          <w:rPr>
            <w:u w:val="single"/>
          </w:rPr>
          <w:t>de</w:t>
        </w:r>
        <w:r>
          <w:rPr>
            <w:spacing w:val="16"/>
            <w:u w:val="single"/>
          </w:rPr>
          <w:t xml:space="preserve"> </w:t>
        </w:r>
        <w:r>
          <w:rPr>
            <w:u w:val="single"/>
          </w:rPr>
          <w:t>19</w:t>
        </w:r>
        <w:r>
          <w:rPr>
            <w:spacing w:val="16"/>
            <w:u w:val="single"/>
          </w:rPr>
          <w:t xml:space="preserve"> </w:t>
        </w:r>
        <w:r>
          <w:rPr>
            <w:spacing w:val="-7"/>
            <w:u w:val="single"/>
          </w:rPr>
          <w:t>de</w:t>
        </w:r>
      </w:hyperlink>
    </w:p>
    <w:p w:rsidR="007259F2" w:rsidRDefault="00DE6B1C">
      <w:pPr>
        <w:spacing w:line="252" w:lineRule="exact"/>
        <w:ind w:left="710"/>
      </w:pPr>
      <w:hyperlink r:id="rId318">
        <w:r w:rsidR="00E655B4">
          <w:rPr>
            <w:u w:val="single"/>
          </w:rPr>
          <w:t>julho</w:t>
        </w:r>
        <w:r w:rsidR="00E655B4">
          <w:rPr>
            <w:spacing w:val="-4"/>
            <w:u w:val="single"/>
          </w:rPr>
          <w:t xml:space="preserve"> </w:t>
        </w:r>
        <w:r w:rsidR="00E655B4">
          <w:rPr>
            <w:u w:val="single"/>
          </w:rPr>
          <w:t>de</w:t>
        </w:r>
        <w:r w:rsidR="00E655B4">
          <w:rPr>
            <w:spacing w:val="-3"/>
            <w:u w:val="single"/>
          </w:rPr>
          <w:t xml:space="preserve"> </w:t>
        </w:r>
        <w:r w:rsidR="00E655B4">
          <w:rPr>
            <w:u w:val="single"/>
          </w:rPr>
          <w:t>2007,</w:t>
        </w:r>
      </w:hyperlink>
      <w:r w:rsidR="00E655B4">
        <w:rPr>
          <w:spacing w:val="-3"/>
        </w:rPr>
        <w:t xml:space="preserve"> </w:t>
      </w:r>
      <w:r w:rsidR="00E655B4">
        <w:t>São</w:t>
      </w:r>
      <w:r w:rsidR="00E655B4">
        <w:rPr>
          <w:spacing w:val="-5"/>
        </w:rPr>
        <w:t xml:space="preserve"> </w:t>
      </w:r>
      <w:r w:rsidR="00E655B4">
        <w:t>Paulo</w:t>
      </w:r>
      <w:r w:rsidR="00E655B4">
        <w:rPr>
          <w:spacing w:val="-3"/>
        </w:rPr>
        <w:t xml:space="preserve"> </w:t>
      </w:r>
      <w:r w:rsidR="00E655B4">
        <w:t>(SP):</w:t>
      </w:r>
      <w:r w:rsidR="00E655B4">
        <w:rPr>
          <w:spacing w:val="-3"/>
        </w:rPr>
        <w:t xml:space="preserve"> </w:t>
      </w:r>
      <w:r w:rsidR="00E655B4">
        <w:t>Diário</w:t>
      </w:r>
      <w:r w:rsidR="00E655B4">
        <w:rPr>
          <w:spacing w:val="-3"/>
        </w:rPr>
        <w:t xml:space="preserve"> </w:t>
      </w:r>
      <w:r w:rsidR="00E655B4">
        <w:t>Oficial</w:t>
      </w:r>
      <w:r w:rsidR="00E655B4">
        <w:rPr>
          <w:spacing w:val="-4"/>
        </w:rPr>
        <w:t xml:space="preserve"> </w:t>
      </w:r>
      <w:r w:rsidR="00E655B4">
        <w:t>do</w:t>
      </w:r>
      <w:r w:rsidR="00E655B4">
        <w:rPr>
          <w:spacing w:val="-3"/>
        </w:rPr>
        <w:t xml:space="preserve"> </w:t>
      </w:r>
      <w:r w:rsidR="00E655B4">
        <w:t>Município,</w:t>
      </w:r>
      <w:r w:rsidR="00E655B4">
        <w:rPr>
          <w:spacing w:val="-5"/>
        </w:rPr>
        <w:t xml:space="preserve"> </w:t>
      </w:r>
      <w:r w:rsidR="00E655B4">
        <w:rPr>
          <w:spacing w:val="-2"/>
        </w:rPr>
        <w:t>2022.</w:t>
      </w:r>
    </w:p>
    <w:p w:rsidR="007259F2" w:rsidRDefault="007259F2">
      <w:pPr>
        <w:spacing w:line="252" w:lineRule="exact"/>
        <w:sectPr w:rsidR="007259F2">
          <w:pgSz w:w="11910" w:h="16840"/>
          <w:pgMar w:top="1600" w:right="708" w:bottom="1020" w:left="992" w:header="0" w:footer="820" w:gutter="0"/>
          <w:cols w:space="720"/>
        </w:sectPr>
      </w:pPr>
    </w:p>
    <w:p w:rsidR="007259F2" w:rsidRDefault="00E655B4">
      <w:pPr>
        <w:spacing w:before="77" w:line="252" w:lineRule="exact"/>
        <w:ind w:left="710"/>
      </w:pPr>
      <w:r>
        <w:lastRenderedPageBreak/>
        <w:t>SÃO</w:t>
      </w:r>
      <w:r>
        <w:rPr>
          <w:spacing w:val="14"/>
        </w:rPr>
        <w:t xml:space="preserve"> </w:t>
      </w:r>
      <w:r>
        <w:t>PAULO</w:t>
      </w:r>
      <w:r>
        <w:rPr>
          <w:spacing w:val="16"/>
        </w:rPr>
        <w:t xml:space="preserve"> </w:t>
      </w:r>
      <w:r>
        <w:t>(SP).</w:t>
      </w:r>
      <w:r>
        <w:rPr>
          <w:spacing w:val="16"/>
        </w:rPr>
        <w:t xml:space="preserve"> </w:t>
      </w:r>
      <w:r>
        <w:rPr>
          <w:b/>
        </w:rPr>
        <w:t>LEI</w:t>
      </w:r>
      <w:r>
        <w:rPr>
          <w:b/>
          <w:spacing w:val="16"/>
        </w:rPr>
        <w:t xml:space="preserve"> </w:t>
      </w:r>
      <w:r>
        <w:rPr>
          <w:b/>
        </w:rPr>
        <w:t>Nº</w:t>
      </w:r>
      <w:r>
        <w:rPr>
          <w:b/>
          <w:spacing w:val="14"/>
        </w:rPr>
        <w:t xml:space="preserve"> </w:t>
      </w:r>
      <w:r>
        <w:rPr>
          <w:b/>
        </w:rPr>
        <w:t>17.757,</w:t>
      </w:r>
      <w:r>
        <w:rPr>
          <w:b/>
          <w:spacing w:val="15"/>
        </w:rPr>
        <w:t xml:space="preserve"> </w:t>
      </w:r>
      <w:r>
        <w:rPr>
          <w:b/>
        </w:rPr>
        <w:t>DE</w:t>
      </w:r>
      <w:r>
        <w:rPr>
          <w:b/>
          <w:spacing w:val="14"/>
        </w:rPr>
        <w:t xml:space="preserve"> </w:t>
      </w:r>
      <w:r>
        <w:rPr>
          <w:b/>
        </w:rPr>
        <w:t>4</w:t>
      </w:r>
      <w:r>
        <w:rPr>
          <w:b/>
          <w:spacing w:val="18"/>
        </w:rPr>
        <w:t xml:space="preserve"> </w:t>
      </w:r>
      <w:r>
        <w:rPr>
          <w:b/>
        </w:rPr>
        <w:t>DE</w:t>
      </w:r>
      <w:r>
        <w:rPr>
          <w:b/>
          <w:spacing w:val="14"/>
        </w:rPr>
        <w:t xml:space="preserve"> </w:t>
      </w:r>
      <w:r>
        <w:rPr>
          <w:b/>
        </w:rPr>
        <w:t>MARÇO</w:t>
      </w:r>
      <w:r>
        <w:rPr>
          <w:b/>
          <w:spacing w:val="17"/>
        </w:rPr>
        <w:t xml:space="preserve"> </w:t>
      </w:r>
      <w:r>
        <w:rPr>
          <w:b/>
        </w:rPr>
        <w:t>DE</w:t>
      </w:r>
      <w:r>
        <w:rPr>
          <w:b/>
          <w:spacing w:val="14"/>
        </w:rPr>
        <w:t xml:space="preserve"> </w:t>
      </w:r>
      <w:r>
        <w:rPr>
          <w:b/>
        </w:rPr>
        <w:t>2022</w:t>
      </w:r>
      <w:r>
        <w:t>.</w:t>
      </w:r>
      <w:r>
        <w:rPr>
          <w:spacing w:val="15"/>
        </w:rPr>
        <w:t xml:space="preserve"> </w:t>
      </w:r>
      <w:r>
        <w:t>Altera</w:t>
      </w:r>
      <w:r>
        <w:rPr>
          <w:spacing w:val="16"/>
        </w:rPr>
        <w:t xml:space="preserve"> </w:t>
      </w:r>
      <w:r>
        <w:t>a</w:t>
      </w:r>
      <w:r>
        <w:rPr>
          <w:spacing w:val="17"/>
        </w:rPr>
        <w:t xml:space="preserve"> </w:t>
      </w:r>
      <w:hyperlink r:id="rId319">
        <w:r>
          <w:rPr>
            <w:u w:val="single"/>
          </w:rPr>
          <w:t>Lei</w:t>
        </w:r>
        <w:r>
          <w:rPr>
            <w:spacing w:val="14"/>
            <w:u w:val="single"/>
          </w:rPr>
          <w:t xml:space="preserve"> </w:t>
        </w:r>
        <w:r>
          <w:rPr>
            <w:u w:val="single"/>
          </w:rPr>
          <w:t>nº</w:t>
        </w:r>
        <w:r>
          <w:rPr>
            <w:spacing w:val="16"/>
            <w:u w:val="single"/>
          </w:rPr>
          <w:t xml:space="preserve"> </w:t>
        </w:r>
        <w:r>
          <w:rPr>
            <w:u w:val="single"/>
          </w:rPr>
          <w:t>14.485,</w:t>
        </w:r>
        <w:r>
          <w:rPr>
            <w:spacing w:val="15"/>
            <w:u w:val="single"/>
          </w:rPr>
          <w:t xml:space="preserve"> </w:t>
        </w:r>
        <w:r>
          <w:rPr>
            <w:u w:val="single"/>
          </w:rPr>
          <w:t>de</w:t>
        </w:r>
        <w:r>
          <w:rPr>
            <w:spacing w:val="16"/>
            <w:u w:val="single"/>
          </w:rPr>
          <w:t xml:space="preserve"> </w:t>
        </w:r>
        <w:r>
          <w:rPr>
            <w:u w:val="single"/>
          </w:rPr>
          <w:t>19</w:t>
        </w:r>
        <w:r>
          <w:rPr>
            <w:spacing w:val="16"/>
            <w:u w:val="single"/>
          </w:rPr>
          <w:t xml:space="preserve"> </w:t>
        </w:r>
        <w:r>
          <w:rPr>
            <w:spacing w:val="-7"/>
            <w:u w:val="single"/>
          </w:rPr>
          <w:t>de</w:t>
        </w:r>
      </w:hyperlink>
    </w:p>
    <w:p w:rsidR="007259F2" w:rsidRDefault="00DE6B1C">
      <w:pPr>
        <w:spacing w:line="252" w:lineRule="exact"/>
        <w:ind w:left="710"/>
      </w:pPr>
      <w:hyperlink r:id="rId320">
        <w:r w:rsidR="00E655B4">
          <w:rPr>
            <w:u w:val="single"/>
          </w:rPr>
          <w:t>julho</w:t>
        </w:r>
        <w:r w:rsidR="00E655B4">
          <w:rPr>
            <w:spacing w:val="-3"/>
            <w:u w:val="single"/>
          </w:rPr>
          <w:t xml:space="preserve"> </w:t>
        </w:r>
        <w:r w:rsidR="00E655B4">
          <w:rPr>
            <w:u w:val="single"/>
          </w:rPr>
          <w:t>de</w:t>
        </w:r>
        <w:r w:rsidR="00E655B4">
          <w:rPr>
            <w:spacing w:val="-3"/>
            <w:u w:val="single"/>
          </w:rPr>
          <w:t xml:space="preserve"> </w:t>
        </w:r>
        <w:r w:rsidR="00E655B4">
          <w:rPr>
            <w:u w:val="single"/>
          </w:rPr>
          <w:t>2007.</w:t>
        </w:r>
      </w:hyperlink>
      <w:r w:rsidR="00E655B4">
        <w:rPr>
          <w:spacing w:val="-4"/>
        </w:rPr>
        <w:t xml:space="preserve"> </w:t>
      </w:r>
      <w:r w:rsidR="00E655B4">
        <w:t>[...]</w:t>
      </w:r>
      <w:r w:rsidR="00E655B4">
        <w:rPr>
          <w:spacing w:val="-3"/>
        </w:rPr>
        <w:t xml:space="preserve"> </w:t>
      </w:r>
      <w:r w:rsidR="00E655B4">
        <w:t>São</w:t>
      </w:r>
      <w:r w:rsidR="00E655B4">
        <w:rPr>
          <w:spacing w:val="-3"/>
        </w:rPr>
        <w:t xml:space="preserve"> </w:t>
      </w:r>
      <w:r w:rsidR="00E655B4">
        <w:t>Paulo</w:t>
      </w:r>
      <w:r w:rsidR="00E655B4">
        <w:rPr>
          <w:spacing w:val="-3"/>
        </w:rPr>
        <w:t xml:space="preserve"> </w:t>
      </w:r>
      <w:r w:rsidR="00E655B4">
        <w:t>(SP):</w:t>
      </w:r>
      <w:r w:rsidR="00E655B4">
        <w:rPr>
          <w:spacing w:val="-2"/>
        </w:rPr>
        <w:t xml:space="preserve"> </w:t>
      </w:r>
      <w:r w:rsidR="00E655B4">
        <w:t>Diário</w:t>
      </w:r>
      <w:r w:rsidR="00E655B4">
        <w:rPr>
          <w:spacing w:val="-3"/>
        </w:rPr>
        <w:t xml:space="preserve"> </w:t>
      </w:r>
      <w:r w:rsidR="00E655B4">
        <w:t>Oficial</w:t>
      </w:r>
      <w:r w:rsidR="00E655B4">
        <w:rPr>
          <w:spacing w:val="-2"/>
        </w:rPr>
        <w:t xml:space="preserve"> </w:t>
      </w:r>
      <w:r w:rsidR="00E655B4">
        <w:t>do</w:t>
      </w:r>
      <w:r w:rsidR="00E655B4">
        <w:rPr>
          <w:spacing w:val="-5"/>
        </w:rPr>
        <w:t xml:space="preserve"> </w:t>
      </w:r>
      <w:r w:rsidR="00E655B4">
        <w:t>Município,</w:t>
      </w:r>
      <w:r w:rsidR="00E655B4">
        <w:rPr>
          <w:spacing w:val="-3"/>
        </w:rPr>
        <w:t xml:space="preserve"> </w:t>
      </w:r>
      <w:r w:rsidR="00E655B4">
        <w:rPr>
          <w:spacing w:val="-2"/>
        </w:rPr>
        <w:t>2022.</w:t>
      </w:r>
    </w:p>
    <w:p w:rsidR="007259F2" w:rsidRDefault="00E655B4">
      <w:pPr>
        <w:spacing w:before="122"/>
        <w:ind w:left="710"/>
      </w:pPr>
      <w:r>
        <w:t>SÃO</w:t>
      </w:r>
      <w:r>
        <w:rPr>
          <w:spacing w:val="19"/>
        </w:rPr>
        <w:t xml:space="preserve"> </w:t>
      </w:r>
      <w:r>
        <w:t>PAULO</w:t>
      </w:r>
      <w:r>
        <w:rPr>
          <w:spacing w:val="19"/>
        </w:rPr>
        <w:t xml:space="preserve"> </w:t>
      </w:r>
      <w:r>
        <w:t>(SP).</w:t>
      </w:r>
      <w:r>
        <w:rPr>
          <w:spacing w:val="21"/>
        </w:rPr>
        <w:t xml:space="preserve"> </w:t>
      </w:r>
      <w:r>
        <w:rPr>
          <w:b/>
        </w:rPr>
        <w:t>LEI</w:t>
      </w:r>
      <w:r>
        <w:rPr>
          <w:b/>
          <w:spacing w:val="21"/>
        </w:rPr>
        <w:t xml:space="preserve"> </w:t>
      </w:r>
      <w:r>
        <w:rPr>
          <w:b/>
        </w:rPr>
        <w:t>Nº</w:t>
      </w:r>
      <w:r>
        <w:rPr>
          <w:b/>
          <w:spacing w:val="19"/>
        </w:rPr>
        <w:t xml:space="preserve"> </w:t>
      </w:r>
      <w:r>
        <w:rPr>
          <w:b/>
        </w:rPr>
        <w:t>17.756,</w:t>
      </w:r>
      <w:r>
        <w:rPr>
          <w:b/>
          <w:spacing w:val="20"/>
        </w:rPr>
        <w:t xml:space="preserve"> </w:t>
      </w:r>
      <w:r>
        <w:rPr>
          <w:b/>
        </w:rPr>
        <w:t>DE</w:t>
      </w:r>
      <w:r>
        <w:rPr>
          <w:b/>
          <w:spacing w:val="19"/>
        </w:rPr>
        <w:t xml:space="preserve"> </w:t>
      </w:r>
      <w:r>
        <w:rPr>
          <w:b/>
        </w:rPr>
        <w:t>4</w:t>
      </w:r>
      <w:r>
        <w:rPr>
          <w:b/>
          <w:spacing w:val="20"/>
        </w:rPr>
        <w:t xml:space="preserve"> </w:t>
      </w:r>
      <w:r>
        <w:rPr>
          <w:b/>
        </w:rPr>
        <w:t>DE</w:t>
      </w:r>
      <w:r>
        <w:rPr>
          <w:b/>
          <w:spacing w:val="19"/>
        </w:rPr>
        <w:t xml:space="preserve"> </w:t>
      </w:r>
      <w:r>
        <w:rPr>
          <w:b/>
        </w:rPr>
        <w:t>MARÇO</w:t>
      </w:r>
      <w:r>
        <w:rPr>
          <w:b/>
          <w:spacing w:val="21"/>
        </w:rPr>
        <w:t xml:space="preserve"> </w:t>
      </w:r>
      <w:r>
        <w:rPr>
          <w:b/>
        </w:rPr>
        <w:t>DE</w:t>
      </w:r>
      <w:r>
        <w:rPr>
          <w:b/>
          <w:spacing w:val="19"/>
        </w:rPr>
        <w:t xml:space="preserve"> </w:t>
      </w:r>
      <w:r>
        <w:rPr>
          <w:b/>
        </w:rPr>
        <w:t>2022</w:t>
      </w:r>
      <w:r>
        <w:t>.</w:t>
      </w:r>
      <w:r>
        <w:rPr>
          <w:spacing w:val="20"/>
        </w:rPr>
        <w:t xml:space="preserve"> </w:t>
      </w:r>
      <w:r>
        <w:t>Dispõe</w:t>
      </w:r>
      <w:r>
        <w:rPr>
          <w:spacing w:val="20"/>
        </w:rPr>
        <w:t xml:space="preserve"> </w:t>
      </w:r>
      <w:r>
        <w:t>que,</w:t>
      </w:r>
      <w:r>
        <w:rPr>
          <w:spacing w:val="20"/>
        </w:rPr>
        <w:t xml:space="preserve"> </w:t>
      </w:r>
      <w:r>
        <w:t>para</w:t>
      </w:r>
      <w:r>
        <w:rPr>
          <w:spacing w:val="20"/>
        </w:rPr>
        <w:t xml:space="preserve"> </w:t>
      </w:r>
      <w:r>
        <w:t>o</w:t>
      </w:r>
      <w:r>
        <w:rPr>
          <w:spacing w:val="20"/>
        </w:rPr>
        <w:t xml:space="preserve"> </w:t>
      </w:r>
      <w:r>
        <w:t>exercício</w:t>
      </w:r>
      <w:r>
        <w:rPr>
          <w:spacing w:val="20"/>
        </w:rPr>
        <w:t xml:space="preserve"> </w:t>
      </w:r>
      <w:r>
        <w:t>de 2021, os dias [...] São Paulo (SP): Diário Oficial do Município, 2022.</w:t>
      </w:r>
    </w:p>
    <w:p w:rsidR="007259F2" w:rsidRDefault="00E655B4">
      <w:pPr>
        <w:spacing w:before="118"/>
        <w:ind w:left="710"/>
      </w:pPr>
      <w:r>
        <w:t>SÃO</w:t>
      </w:r>
      <w:r>
        <w:rPr>
          <w:spacing w:val="37"/>
        </w:rPr>
        <w:t xml:space="preserve"> </w:t>
      </w:r>
      <w:r>
        <w:t>PAULO</w:t>
      </w:r>
      <w:r>
        <w:rPr>
          <w:spacing w:val="37"/>
        </w:rPr>
        <w:t xml:space="preserve"> </w:t>
      </w:r>
      <w:r>
        <w:t>(SP).</w:t>
      </w:r>
      <w:r>
        <w:rPr>
          <w:spacing w:val="39"/>
        </w:rPr>
        <w:t xml:space="preserve"> </w:t>
      </w:r>
      <w:r>
        <w:rPr>
          <w:b/>
        </w:rPr>
        <w:t>LEI</w:t>
      </w:r>
      <w:r>
        <w:rPr>
          <w:b/>
          <w:spacing w:val="36"/>
        </w:rPr>
        <w:t xml:space="preserve"> </w:t>
      </w:r>
      <w:r>
        <w:rPr>
          <w:b/>
        </w:rPr>
        <w:t>Nº</w:t>
      </w:r>
      <w:r>
        <w:rPr>
          <w:b/>
          <w:spacing w:val="37"/>
        </w:rPr>
        <w:t xml:space="preserve"> </w:t>
      </w:r>
      <w:r>
        <w:rPr>
          <w:b/>
        </w:rPr>
        <w:t>17.755,</w:t>
      </w:r>
      <w:r>
        <w:rPr>
          <w:b/>
          <w:spacing w:val="38"/>
        </w:rPr>
        <w:t xml:space="preserve"> </w:t>
      </w:r>
      <w:r>
        <w:rPr>
          <w:b/>
        </w:rPr>
        <w:t>DE</w:t>
      </w:r>
      <w:r>
        <w:rPr>
          <w:b/>
          <w:spacing w:val="37"/>
        </w:rPr>
        <w:t xml:space="preserve"> </w:t>
      </w:r>
      <w:r>
        <w:rPr>
          <w:b/>
        </w:rPr>
        <w:t>24</w:t>
      </w:r>
      <w:r>
        <w:rPr>
          <w:b/>
          <w:spacing w:val="38"/>
        </w:rPr>
        <w:t xml:space="preserve"> </w:t>
      </w:r>
      <w:r>
        <w:rPr>
          <w:b/>
        </w:rPr>
        <w:t>DE</w:t>
      </w:r>
      <w:r>
        <w:rPr>
          <w:b/>
          <w:spacing w:val="37"/>
        </w:rPr>
        <w:t xml:space="preserve"> </w:t>
      </w:r>
      <w:r>
        <w:rPr>
          <w:b/>
        </w:rPr>
        <w:t>JANEIRO</w:t>
      </w:r>
      <w:r>
        <w:rPr>
          <w:b/>
          <w:spacing w:val="39"/>
        </w:rPr>
        <w:t xml:space="preserve"> </w:t>
      </w:r>
      <w:r>
        <w:rPr>
          <w:b/>
        </w:rPr>
        <w:t>DE</w:t>
      </w:r>
      <w:r>
        <w:rPr>
          <w:b/>
          <w:spacing w:val="37"/>
        </w:rPr>
        <w:t xml:space="preserve"> </w:t>
      </w:r>
      <w:r>
        <w:rPr>
          <w:b/>
        </w:rPr>
        <w:t>2022</w:t>
      </w:r>
      <w:r>
        <w:t>.</w:t>
      </w:r>
      <w:r>
        <w:rPr>
          <w:spacing w:val="38"/>
        </w:rPr>
        <w:t xml:space="preserve"> </w:t>
      </w:r>
      <w:r>
        <w:t>Dispõe</w:t>
      </w:r>
      <w:r>
        <w:rPr>
          <w:spacing w:val="39"/>
        </w:rPr>
        <w:t xml:space="preserve"> </w:t>
      </w:r>
      <w:r>
        <w:t>sobre</w:t>
      </w:r>
      <w:r>
        <w:rPr>
          <w:spacing w:val="39"/>
        </w:rPr>
        <w:t xml:space="preserve"> </w:t>
      </w:r>
      <w:r>
        <w:t>a</w:t>
      </w:r>
      <w:r>
        <w:rPr>
          <w:spacing w:val="36"/>
        </w:rPr>
        <w:t xml:space="preserve"> </w:t>
      </w:r>
      <w:r>
        <w:t>doação</w:t>
      </w:r>
      <w:r>
        <w:rPr>
          <w:spacing w:val="38"/>
        </w:rPr>
        <w:t xml:space="preserve"> </w:t>
      </w:r>
      <w:r>
        <w:t>de excedentes de alimentos [...] São Paulo (SP): Diário Oficial do Município, 2022.</w:t>
      </w:r>
    </w:p>
    <w:p w:rsidR="007259F2" w:rsidRDefault="00E655B4">
      <w:pPr>
        <w:spacing w:before="120"/>
        <w:ind w:left="710"/>
      </w:pPr>
      <w:r>
        <w:t>SÃO</w:t>
      </w:r>
      <w:r>
        <w:rPr>
          <w:spacing w:val="40"/>
        </w:rPr>
        <w:t xml:space="preserve"> </w:t>
      </w:r>
      <w:r>
        <w:t>PAULO</w:t>
      </w:r>
      <w:r>
        <w:rPr>
          <w:spacing w:val="40"/>
        </w:rPr>
        <w:t xml:space="preserve"> </w:t>
      </w:r>
      <w:r>
        <w:t>(SP).</w:t>
      </w:r>
      <w:r>
        <w:rPr>
          <w:spacing w:val="40"/>
        </w:rPr>
        <w:t xml:space="preserve"> </w:t>
      </w:r>
      <w:r>
        <w:rPr>
          <w:b/>
        </w:rPr>
        <w:t>LEI</w:t>
      </w:r>
      <w:r>
        <w:rPr>
          <w:b/>
          <w:spacing w:val="40"/>
        </w:rPr>
        <w:t xml:space="preserve"> </w:t>
      </w:r>
      <w:r>
        <w:rPr>
          <w:b/>
        </w:rPr>
        <w:t>Nº</w:t>
      </w:r>
      <w:r>
        <w:rPr>
          <w:b/>
          <w:spacing w:val="40"/>
        </w:rPr>
        <w:t xml:space="preserve"> </w:t>
      </w:r>
      <w:r>
        <w:rPr>
          <w:b/>
        </w:rPr>
        <w:t>17.754,</w:t>
      </w:r>
      <w:r>
        <w:rPr>
          <w:b/>
          <w:spacing w:val="40"/>
        </w:rPr>
        <w:t xml:space="preserve"> </w:t>
      </w:r>
      <w:r>
        <w:rPr>
          <w:b/>
        </w:rPr>
        <w:t>DE</w:t>
      </w:r>
      <w:r>
        <w:rPr>
          <w:b/>
          <w:spacing w:val="40"/>
        </w:rPr>
        <w:t xml:space="preserve"> </w:t>
      </w:r>
      <w:r>
        <w:rPr>
          <w:b/>
        </w:rPr>
        <w:t>24</w:t>
      </w:r>
      <w:r>
        <w:rPr>
          <w:b/>
          <w:spacing w:val="40"/>
        </w:rPr>
        <w:t xml:space="preserve"> </w:t>
      </w:r>
      <w:r>
        <w:rPr>
          <w:b/>
        </w:rPr>
        <w:t>DE</w:t>
      </w:r>
      <w:r>
        <w:rPr>
          <w:b/>
          <w:spacing w:val="40"/>
        </w:rPr>
        <w:t xml:space="preserve"> </w:t>
      </w:r>
      <w:r>
        <w:rPr>
          <w:b/>
        </w:rPr>
        <w:t>JANEIRO</w:t>
      </w:r>
      <w:r>
        <w:rPr>
          <w:b/>
          <w:spacing w:val="40"/>
        </w:rPr>
        <w:t xml:space="preserve"> </w:t>
      </w:r>
      <w:r>
        <w:rPr>
          <w:b/>
        </w:rPr>
        <w:t>DE</w:t>
      </w:r>
      <w:r>
        <w:rPr>
          <w:b/>
          <w:spacing w:val="40"/>
        </w:rPr>
        <w:t xml:space="preserve"> </w:t>
      </w:r>
      <w:r>
        <w:rPr>
          <w:b/>
        </w:rPr>
        <w:t>2022.</w:t>
      </w:r>
      <w:r>
        <w:rPr>
          <w:b/>
          <w:spacing w:val="40"/>
        </w:rPr>
        <w:t xml:space="preserve"> </w:t>
      </w:r>
      <w:r>
        <w:t>Assegura</w:t>
      </w:r>
      <w:r>
        <w:rPr>
          <w:spacing w:val="40"/>
        </w:rPr>
        <w:t xml:space="preserve"> </w:t>
      </w:r>
      <w:r>
        <w:t>às</w:t>
      </w:r>
      <w:r>
        <w:rPr>
          <w:spacing w:val="40"/>
        </w:rPr>
        <w:t xml:space="preserve"> </w:t>
      </w:r>
      <w:r>
        <w:t>pessoas</w:t>
      </w:r>
      <w:r>
        <w:rPr>
          <w:spacing w:val="40"/>
        </w:rPr>
        <w:t xml:space="preserve"> </w:t>
      </w:r>
      <w:r>
        <w:t>com deficiência auditiva ou surdas [...] São Paulo (SP): Diário Oficial do Município, 2022.</w:t>
      </w:r>
    </w:p>
    <w:p w:rsidR="007259F2" w:rsidRDefault="00E655B4">
      <w:pPr>
        <w:spacing w:before="120"/>
        <w:ind w:left="710"/>
      </w:pPr>
      <w:r>
        <w:t xml:space="preserve">SÃO PAULO (SP). </w:t>
      </w:r>
      <w:r>
        <w:rPr>
          <w:b/>
        </w:rPr>
        <w:t>LEI Nº 17.753, DE 24 DE JANEIRO DE 2022</w:t>
      </w:r>
      <w:r>
        <w:t>. Dispõe sobre a criação de um</w:t>
      </w:r>
      <w:r>
        <w:rPr>
          <w:spacing w:val="80"/>
        </w:rPr>
        <w:t xml:space="preserve"> </w:t>
      </w:r>
      <w:r>
        <w:t>complexo de referência [...] São Paulo (SP): Diário Oficial do Município, 2022.</w:t>
      </w:r>
    </w:p>
    <w:p w:rsidR="007259F2" w:rsidRDefault="00E655B4">
      <w:pPr>
        <w:spacing w:before="122"/>
        <w:ind w:left="710"/>
      </w:pPr>
      <w:r>
        <w:t xml:space="preserve">SÃO PAULO (SP). </w:t>
      </w:r>
      <w:r>
        <w:rPr>
          <w:b/>
        </w:rPr>
        <w:t>LEI Nº 17.752, DE 24 DE JANEIRO DE 2022</w:t>
      </w:r>
      <w:r>
        <w:t>. Institui o Fundo Municipal de</w:t>
      </w:r>
      <w:r>
        <w:rPr>
          <w:spacing w:val="40"/>
        </w:rPr>
        <w:t xml:space="preserve"> </w:t>
      </w:r>
      <w:r>
        <w:t>Combate à Fome [...] São Paulo (SP): Diário Oficial do Município, 2022.</w:t>
      </w:r>
    </w:p>
    <w:p w:rsidR="007259F2" w:rsidRDefault="00E655B4">
      <w:pPr>
        <w:spacing w:before="120"/>
        <w:ind w:left="710"/>
      </w:pPr>
      <w:r>
        <w:t>SÃO</w:t>
      </w:r>
      <w:r>
        <w:rPr>
          <w:spacing w:val="18"/>
        </w:rPr>
        <w:t xml:space="preserve"> </w:t>
      </w:r>
      <w:r>
        <w:t>PAULO</w:t>
      </w:r>
      <w:r>
        <w:rPr>
          <w:spacing w:val="18"/>
        </w:rPr>
        <w:t xml:space="preserve"> </w:t>
      </w:r>
      <w:r>
        <w:t>(SP).</w:t>
      </w:r>
      <w:r>
        <w:rPr>
          <w:spacing w:val="20"/>
        </w:rPr>
        <w:t xml:space="preserve"> </w:t>
      </w:r>
      <w:r>
        <w:rPr>
          <w:b/>
        </w:rPr>
        <w:t>LEI Nº</w:t>
      </w:r>
      <w:r>
        <w:rPr>
          <w:b/>
          <w:spacing w:val="18"/>
        </w:rPr>
        <w:t xml:space="preserve"> </w:t>
      </w:r>
      <w:r>
        <w:rPr>
          <w:b/>
        </w:rPr>
        <w:t>17.751,</w:t>
      </w:r>
      <w:r>
        <w:rPr>
          <w:b/>
          <w:spacing w:val="19"/>
        </w:rPr>
        <w:t xml:space="preserve"> </w:t>
      </w:r>
      <w:r>
        <w:rPr>
          <w:b/>
        </w:rPr>
        <w:t>DE 24</w:t>
      </w:r>
      <w:r>
        <w:rPr>
          <w:b/>
          <w:spacing w:val="19"/>
        </w:rPr>
        <w:t xml:space="preserve"> </w:t>
      </w:r>
      <w:r>
        <w:rPr>
          <w:b/>
        </w:rPr>
        <w:t>DE</w:t>
      </w:r>
      <w:r>
        <w:rPr>
          <w:b/>
          <w:spacing w:val="18"/>
        </w:rPr>
        <w:t xml:space="preserve"> </w:t>
      </w:r>
      <w:r>
        <w:rPr>
          <w:b/>
        </w:rPr>
        <w:t>JANEIRO</w:t>
      </w:r>
      <w:r>
        <w:rPr>
          <w:b/>
          <w:spacing w:val="20"/>
        </w:rPr>
        <w:t xml:space="preserve"> </w:t>
      </w:r>
      <w:r>
        <w:rPr>
          <w:b/>
        </w:rPr>
        <w:t>DE</w:t>
      </w:r>
      <w:r>
        <w:rPr>
          <w:b/>
          <w:spacing w:val="18"/>
        </w:rPr>
        <w:t xml:space="preserve"> </w:t>
      </w:r>
      <w:r>
        <w:rPr>
          <w:b/>
        </w:rPr>
        <w:t>2022</w:t>
      </w:r>
      <w:r>
        <w:t>.</w:t>
      </w:r>
      <w:r>
        <w:rPr>
          <w:spacing w:val="19"/>
        </w:rPr>
        <w:t xml:space="preserve"> </w:t>
      </w:r>
      <w:r>
        <w:t>Dispõe sobre a Campanha</w:t>
      </w:r>
      <w:r>
        <w:rPr>
          <w:spacing w:val="20"/>
        </w:rPr>
        <w:t xml:space="preserve"> </w:t>
      </w:r>
      <w:r>
        <w:t>de Conscientização [...] São Paulo (SP): Diário Oficial do Município, 2022.</w:t>
      </w:r>
    </w:p>
    <w:p w:rsidR="007259F2" w:rsidRDefault="00E655B4">
      <w:pPr>
        <w:spacing w:before="118"/>
        <w:ind w:left="710" w:right="424"/>
      </w:pPr>
      <w:r>
        <w:t>SÃO</w:t>
      </w:r>
      <w:r>
        <w:rPr>
          <w:spacing w:val="26"/>
        </w:rPr>
        <w:t xml:space="preserve"> </w:t>
      </w:r>
      <w:r>
        <w:t>PAULO</w:t>
      </w:r>
      <w:r>
        <w:rPr>
          <w:spacing w:val="28"/>
        </w:rPr>
        <w:t xml:space="preserve"> </w:t>
      </w:r>
      <w:r>
        <w:t>(SP).</w:t>
      </w:r>
      <w:r>
        <w:rPr>
          <w:spacing w:val="28"/>
        </w:rPr>
        <w:t xml:space="preserve"> </w:t>
      </w:r>
      <w:r>
        <w:rPr>
          <w:b/>
        </w:rPr>
        <w:t>LEI</w:t>
      </w:r>
      <w:r>
        <w:rPr>
          <w:b/>
          <w:spacing w:val="28"/>
        </w:rPr>
        <w:t xml:space="preserve"> </w:t>
      </w:r>
      <w:r>
        <w:rPr>
          <w:b/>
        </w:rPr>
        <w:t>Nº</w:t>
      </w:r>
      <w:r>
        <w:rPr>
          <w:b/>
          <w:spacing w:val="26"/>
        </w:rPr>
        <w:t xml:space="preserve"> </w:t>
      </w:r>
      <w:r>
        <w:rPr>
          <w:b/>
        </w:rPr>
        <w:t>17.750,</w:t>
      </w:r>
      <w:r>
        <w:rPr>
          <w:b/>
          <w:spacing w:val="27"/>
        </w:rPr>
        <w:t xml:space="preserve"> </w:t>
      </w:r>
      <w:r>
        <w:rPr>
          <w:b/>
        </w:rPr>
        <w:t>DE</w:t>
      </w:r>
      <w:r>
        <w:rPr>
          <w:b/>
          <w:spacing w:val="26"/>
        </w:rPr>
        <w:t xml:space="preserve"> </w:t>
      </w:r>
      <w:r>
        <w:rPr>
          <w:b/>
        </w:rPr>
        <w:t>24</w:t>
      </w:r>
      <w:r>
        <w:rPr>
          <w:b/>
          <w:spacing w:val="27"/>
        </w:rPr>
        <w:t xml:space="preserve"> </w:t>
      </w:r>
      <w:r>
        <w:rPr>
          <w:b/>
        </w:rPr>
        <w:t>DE</w:t>
      </w:r>
      <w:r>
        <w:rPr>
          <w:b/>
          <w:spacing w:val="29"/>
        </w:rPr>
        <w:t xml:space="preserve"> </w:t>
      </w:r>
      <w:r>
        <w:rPr>
          <w:b/>
        </w:rPr>
        <w:t>JANEIRO</w:t>
      </w:r>
      <w:r>
        <w:rPr>
          <w:b/>
          <w:spacing w:val="28"/>
        </w:rPr>
        <w:t xml:space="preserve"> </w:t>
      </w:r>
      <w:r>
        <w:rPr>
          <w:b/>
        </w:rPr>
        <w:t>DE</w:t>
      </w:r>
      <w:r>
        <w:rPr>
          <w:b/>
          <w:spacing w:val="26"/>
        </w:rPr>
        <w:t xml:space="preserve"> </w:t>
      </w:r>
      <w:r>
        <w:rPr>
          <w:b/>
        </w:rPr>
        <w:t>2022</w:t>
      </w:r>
      <w:r>
        <w:t>.</w:t>
      </w:r>
      <w:r>
        <w:rPr>
          <w:spacing w:val="27"/>
        </w:rPr>
        <w:t xml:space="preserve"> </w:t>
      </w:r>
      <w:r>
        <w:t>Disciplina</w:t>
      </w:r>
      <w:r>
        <w:rPr>
          <w:spacing w:val="28"/>
        </w:rPr>
        <w:t xml:space="preserve"> </w:t>
      </w:r>
      <w:r>
        <w:t>a</w:t>
      </w:r>
      <w:r>
        <w:rPr>
          <w:spacing w:val="28"/>
        </w:rPr>
        <w:t xml:space="preserve"> </w:t>
      </w:r>
      <w:r>
        <w:t>implantação</w:t>
      </w:r>
      <w:r>
        <w:rPr>
          <w:spacing w:val="27"/>
        </w:rPr>
        <w:t xml:space="preserve"> </w:t>
      </w:r>
      <w:r>
        <w:t>de crematório [...] São Paulo (SP): Diário Oficial do Município, 2022.</w:t>
      </w:r>
    </w:p>
    <w:p w:rsidR="007259F2" w:rsidRDefault="00E655B4">
      <w:pPr>
        <w:spacing w:before="120"/>
        <w:ind w:left="710"/>
      </w:pPr>
      <w:r>
        <w:t>SÃO</w:t>
      </w:r>
      <w:r>
        <w:rPr>
          <w:spacing w:val="7"/>
        </w:rPr>
        <w:t xml:space="preserve"> </w:t>
      </w:r>
      <w:r>
        <w:t>PAULO</w:t>
      </w:r>
      <w:r>
        <w:rPr>
          <w:spacing w:val="9"/>
        </w:rPr>
        <w:t xml:space="preserve"> </w:t>
      </w:r>
      <w:r>
        <w:t>(SP).</w:t>
      </w:r>
      <w:r>
        <w:rPr>
          <w:spacing w:val="12"/>
        </w:rPr>
        <w:t xml:space="preserve"> </w:t>
      </w:r>
      <w:r>
        <w:rPr>
          <w:b/>
        </w:rPr>
        <w:t>LEI</w:t>
      </w:r>
      <w:r>
        <w:rPr>
          <w:b/>
          <w:spacing w:val="12"/>
        </w:rPr>
        <w:t xml:space="preserve"> </w:t>
      </w:r>
      <w:r>
        <w:rPr>
          <w:b/>
        </w:rPr>
        <w:t>Nº</w:t>
      </w:r>
      <w:r>
        <w:rPr>
          <w:b/>
          <w:spacing w:val="10"/>
        </w:rPr>
        <w:t xml:space="preserve"> </w:t>
      </w:r>
      <w:r>
        <w:rPr>
          <w:b/>
        </w:rPr>
        <w:t>17.749,</w:t>
      </w:r>
      <w:r>
        <w:rPr>
          <w:b/>
          <w:spacing w:val="11"/>
        </w:rPr>
        <w:t xml:space="preserve"> </w:t>
      </w:r>
      <w:r>
        <w:rPr>
          <w:b/>
        </w:rPr>
        <w:t>DE</w:t>
      </w:r>
      <w:r>
        <w:rPr>
          <w:b/>
          <w:spacing w:val="10"/>
        </w:rPr>
        <w:t xml:space="preserve"> </w:t>
      </w:r>
      <w:r>
        <w:rPr>
          <w:b/>
        </w:rPr>
        <w:t>17</w:t>
      </w:r>
      <w:r>
        <w:rPr>
          <w:b/>
          <w:spacing w:val="11"/>
        </w:rPr>
        <w:t xml:space="preserve"> </w:t>
      </w:r>
      <w:r>
        <w:rPr>
          <w:b/>
        </w:rPr>
        <w:t>DE</w:t>
      </w:r>
      <w:r>
        <w:rPr>
          <w:b/>
          <w:spacing w:val="9"/>
        </w:rPr>
        <w:t xml:space="preserve"> </w:t>
      </w:r>
      <w:r>
        <w:rPr>
          <w:b/>
        </w:rPr>
        <w:t>JANEIRO</w:t>
      </w:r>
      <w:r>
        <w:rPr>
          <w:b/>
          <w:spacing w:val="12"/>
        </w:rPr>
        <w:t xml:space="preserve"> </w:t>
      </w:r>
      <w:r>
        <w:rPr>
          <w:b/>
        </w:rPr>
        <w:t>DE</w:t>
      </w:r>
      <w:r>
        <w:rPr>
          <w:b/>
          <w:spacing w:val="10"/>
        </w:rPr>
        <w:t xml:space="preserve"> </w:t>
      </w:r>
      <w:r>
        <w:rPr>
          <w:b/>
        </w:rPr>
        <w:t>2022.</w:t>
      </w:r>
      <w:r>
        <w:rPr>
          <w:b/>
          <w:spacing w:val="14"/>
        </w:rPr>
        <w:t xml:space="preserve"> </w:t>
      </w:r>
      <w:r>
        <w:t>Denomina</w:t>
      </w:r>
      <w:r>
        <w:rPr>
          <w:spacing w:val="11"/>
        </w:rPr>
        <w:t xml:space="preserve"> </w:t>
      </w:r>
      <w:r>
        <w:t>UBS</w:t>
      </w:r>
      <w:r>
        <w:rPr>
          <w:spacing w:val="11"/>
        </w:rPr>
        <w:t xml:space="preserve"> </w:t>
      </w:r>
      <w:r>
        <w:t>Elisa</w:t>
      </w:r>
      <w:r>
        <w:rPr>
          <w:spacing w:val="9"/>
        </w:rPr>
        <w:t xml:space="preserve"> </w:t>
      </w:r>
      <w:r>
        <w:t>Maria</w:t>
      </w:r>
      <w:r>
        <w:rPr>
          <w:spacing w:val="11"/>
        </w:rPr>
        <w:t xml:space="preserve"> </w:t>
      </w:r>
      <w:r>
        <w:rPr>
          <w:spacing w:val="-5"/>
        </w:rPr>
        <w:t>II</w:t>
      </w:r>
    </w:p>
    <w:p w:rsidR="007259F2" w:rsidRDefault="00E655B4">
      <w:pPr>
        <w:spacing w:before="2"/>
        <w:ind w:left="710"/>
      </w:pPr>
      <w:r>
        <w:t>[...]São</w:t>
      </w:r>
      <w:r>
        <w:rPr>
          <w:spacing w:val="-4"/>
        </w:rPr>
        <w:t xml:space="preserve"> </w:t>
      </w:r>
      <w:r>
        <w:t>Paulo</w:t>
      </w:r>
      <w:r>
        <w:rPr>
          <w:spacing w:val="-3"/>
        </w:rPr>
        <w:t xml:space="preserve"> </w:t>
      </w:r>
      <w:r>
        <w:t>(SP):</w:t>
      </w:r>
      <w:r>
        <w:rPr>
          <w:spacing w:val="-3"/>
        </w:rPr>
        <w:t xml:space="preserve"> </w:t>
      </w:r>
      <w:r>
        <w:t>Diário</w:t>
      </w:r>
      <w:r>
        <w:rPr>
          <w:spacing w:val="-6"/>
        </w:rPr>
        <w:t xml:space="preserve"> </w:t>
      </w:r>
      <w:r>
        <w:t>Oficial</w:t>
      </w:r>
      <w:r>
        <w:rPr>
          <w:spacing w:val="-5"/>
        </w:rPr>
        <w:t xml:space="preserve"> </w:t>
      </w:r>
      <w:r>
        <w:t>do</w:t>
      </w:r>
      <w:r>
        <w:rPr>
          <w:spacing w:val="-3"/>
        </w:rPr>
        <w:t xml:space="preserve"> </w:t>
      </w:r>
      <w:r>
        <w:t>Município,</w:t>
      </w:r>
      <w:r>
        <w:rPr>
          <w:spacing w:val="-3"/>
        </w:rPr>
        <w:t xml:space="preserve"> </w:t>
      </w:r>
      <w:r>
        <w:rPr>
          <w:spacing w:val="-4"/>
        </w:rPr>
        <w:t>2022.</w:t>
      </w:r>
    </w:p>
    <w:p w:rsidR="007259F2" w:rsidRDefault="00E655B4">
      <w:pPr>
        <w:spacing w:before="119" w:line="252" w:lineRule="exact"/>
        <w:ind w:left="710"/>
      </w:pPr>
      <w:r>
        <w:t>SÃO</w:t>
      </w:r>
      <w:r>
        <w:rPr>
          <w:spacing w:val="8"/>
        </w:rPr>
        <w:t xml:space="preserve"> </w:t>
      </w:r>
      <w:r>
        <w:t>PAULO</w:t>
      </w:r>
      <w:r>
        <w:rPr>
          <w:spacing w:val="10"/>
        </w:rPr>
        <w:t xml:space="preserve"> </w:t>
      </w:r>
      <w:r>
        <w:t>(SP).</w:t>
      </w:r>
      <w:r>
        <w:rPr>
          <w:spacing w:val="13"/>
        </w:rPr>
        <w:t xml:space="preserve"> </w:t>
      </w:r>
      <w:r>
        <w:rPr>
          <w:b/>
        </w:rPr>
        <w:t>LEI</w:t>
      </w:r>
      <w:r>
        <w:rPr>
          <w:b/>
          <w:spacing w:val="13"/>
        </w:rPr>
        <w:t xml:space="preserve"> </w:t>
      </w:r>
      <w:r>
        <w:rPr>
          <w:b/>
        </w:rPr>
        <w:t>Nº</w:t>
      </w:r>
      <w:r>
        <w:rPr>
          <w:b/>
          <w:spacing w:val="11"/>
        </w:rPr>
        <w:t xml:space="preserve"> </w:t>
      </w:r>
      <w:r>
        <w:rPr>
          <w:b/>
        </w:rPr>
        <w:t>17.748,</w:t>
      </w:r>
      <w:r>
        <w:rPr>
          <w:b/>
          <w:spacing w:val="12"/>
        </w:rPr>
        <w:t xml:space="preserve"> </w:t>
      </w:r>
      <w:r>
        <w:rPr>
          <w:b/>
        </w:rPr>
        <w:t>DE</w:t>
      </w:r>
      <w:r>
        <w:rPr>
          <w:b/>
          <w:spacing w:val="9"/>
        </w:rPr>
        <w:t xml:space="preserve"> </w:t>
      </w:r>
      <w:r>
        <w:rPr>
          <w:b/>
        </w:rPr>
        <w:t>14</w:t>
      </w:r>
      <w:r>
        <w:rPr>
          <w:b/>
          <w:spacing w:val="12"/>
        </w:rPr>
        <w:t xml:space="preserve"> </w:t>
      </w:r>
      <w:r>
        <w:rPr>
          <w:b/>
        </w:rPr>
        <w:t>DE</w:t>
      </w:r>
      <w:r>
        <w:rPr>
          <w:b/>
          <w:spacing w:val="10"/>
        </w:rPr>
        <w:t xml:space="preserve"> </w:t>
      </w:r>
      <w:r>
        <w:rPr>
          <w:b/>
        </w:rPr>
        <w:t>JANEIRO</w:t>
      </w:r>
      <w:r>
        <w:rPr>
          <w:b/>
          <w:spacing w:val="13"/>
        </w:rPr>
        <w:t xml:space="preserve"> </w:t>
      </w:r>
      <w:r>
        <w:rPr>
          <w:b/>
        </w:rPr>
        <w:t>DE</w:t>
      </w:r>
      <w:r>
        <w:rPr>
          <w:b/>
          <w:spacing w:val="11"/>
        </w:rPr>
        <w:t xml:space="preserve"> </w:t>
      </w:r>
      <w:r>
        <w:rPr>
          <w:b/>
        </w:rPr>
        <w:t>2022</w:t>
      </w:r>
      <w:r>
        <w:t>.</w:t>
      </w:r>
      <w:r>
        <w:rPr>
          <w:spacing w:val="12"/>
        </w:rPr>
        <w:t xml:space="preserve"> </w:t>
      </w:r>
      <w:r>
        <w:t>Cria</w:t>
      </w:r>
      <w:r>
        <w:rPr>
          <w:spacing w:val="10"/>
        </w:rPr>
        <w:t xml:space="preserve"> </w:t>
      </w:r>
      <w:r>
        <w:t>o</w:t>
      </w:r>
      <w:r>
        <w:rPr>
          <w:spacing w:val="12"/>
        </w:rPr>
        <w:t xml:space="preserve"> </w:t>
      </w:r>
      <w:r>
        <w:t>Sisverde</w:t>
      </w:r>
      <w:r>
        <w:rPr>
          <w:spacing w:val="10"/>
        </w:rPr>
        <w:t xml:space="preserve"> </w:t>
      </w:r>
      <w:r>
        <w:t>[...]</w:t>
      </w:r>
      <w:r>
        <w:rPr>
          <w:spacing w:val="10"/>
        </w:rPr>
        <w:t xml:space="preserve"> </w:t>
      </w:r>
      <w:r>
        <w:t>São</w:t>
      </w:r>
      <w:r>
        <w:rPr>
          <w:spacing w:val="12"/>
        </w:rPr>
        <w:t xml:space="preserve"> </w:t>
      </w:r>
      <w:r>
        <w:rPr>
          <w:spacing w:val="-2"/>
        </w:rPr>
        <w:t>Paulo</w:t>
      </w:r>
    </w:p>
    <w:p w:rsidR="007259F2" w:rsidRDefault="00E655B4">
      <w:pPr>
        <w:spacing w:line="252" w:lineRule="exact"/>
        <w:ind w:left="710"/>
      </w:pPr>
      <w:r>
        <w:t>(SP):</w:t>
      </w:r>
      <w:r>
        <w:rPr>
          <w:spacing w:val="-3"/>
        </w:rPr>
        <w:t xml:space="preserve"> </w:t>
      </w:r>
      <w:r>
        <w:t>Diário</w:t>
      </w:r>
      <w:r>
        <w:rPr>
          <w:spacing w:val="-4"/>
        </w:rPr>
        <w:t xml:space="preserve"> </w:t>
      </w:r>
      <w:r>
        <w:t>Oficial</w:t>
      </w:r>
      <w:r>
        <w:rPr>
          <w:spacing w:val="-3"/>
        </w:rPr>
        <w:t xml:space="preserve"> </w:t>
      </w:r>
      <w:r>
        <w:t>do</w:t>
      </w:r>
      <w:r>
        <w:rPr>
          <w:spacing w:val="-6"/>
        </w:rPr>
        <w:t xml:space="preserve"> </w:t>
      </w:r>
      <w:r>
        <w:t>Município,</w:t>
      </w:r>
      <w:r>
        <w:rPr>
          <w:spacing w:val="-6"/>
        </w:rPr>
        <w:t xml:space="preserve"> </w:t>
      </w:r>
      <w:r>
        <w:rPr>
          <w:spacing w:val="-2"/>
        </w:rPr>
        <w:t>2022.</w:t>
      </w:r>
    </w:p>
    <w:p w:rsidR="007259F2" w:rsidRDefault="00E655B4">
      <w:pPr>
        <w:spacing w:before="121"/>
        <w:ind w:left="710"/>
      </w:pPr>
      <w:r>
        <w:t xml:space="preserve">SÃO PAULO (SP). </w:t>
      </w:r>
      <w:r>
        <w:rPr>
          <w:b/>
        </w:rPr>
        <w:t>LEI Nº 17.747, DE 12 DE JANEIRO DE 2022</w:t>
      </w:r>
      <w:r>
        <w:t>. Denomina Praça Cesar Alex de Azevedo [...] São Paulo (SP): Diário Oficial do Município, 2022.</w:t>
      </w:r>
    </w:p>
    <w:p w:rsidR="007259F2" w:rsidRDefault="00E655B4">
      <w:pPr>
        <w:spacing w:before="121" w:line="252" w:lineRule="exact"/>
        <w:ind w:left="710"/>
      </w:pPr>
      <w:r>
        <w:t>SÃO</w:t>
      </w:r>
      <w:r>
        <w:rPr>
          <w:spacing w:val="55"/>
        </w:rPr>
        <w:t xml:space="preserve"> </w:t>
      </w:r>
      <w:r>
        <w:t>PAULO</w:t>
      </w:r>
      <w:r>
        <w:rPr>
          <w:spacing w:val="56"/>
        </w:rPr>
        <w:t xml:space="preserve"> </w:t>
      </w:r>
      <w:r>
        <w:t>(SP).</w:t>
      </w:r>
      <w:r>
        <w:rPr>
          <w:spacing w:val="58"/>
        </w:rPr>
        <w:t xml:space="preserve"> </w:t>
      </w:r>
      <w:r>
        <w:rPr>
          <w:b/>
        </w:rPr>
        <w:t>LEI</w:t>
      </w:r>
      <w:r>
        <w:rPr>
          <w:b/>
          <w:spacing w:val="56"/>
        </w:rPr>
        <w:t xml:space="preserve"> </w:t>
      </w:r>
      <w:r>
        <w:rPr>
          <w:b/>
        </w:rPr>
        <w:t>Nº</w:t>
      </w:r>
      <w:r>
        <w:rPr>
          <w:b/>
          <w:spacing w:val="57"/>
        </w:rPr>
        <w:t xml:space="preserve"> </w:t>
      </w:r>
      <w:r>
        <w:rPr>
          <w:b/>
        </w:rPr>
        <w:t>17.746,</w:t>
      </w:r>
      <w:r>
        <w:rPr>
          <w:b/>
          <w:spacing w:val="58"/>
        </w:rPr>
        <w:t xml:space="preserve"> </w:t>
      </w:r>
      <w:r>
        <w:rPr>
          <w:b/>
        </w:rPr>
        <w:t>DE</w:t>
      </w:r>
      <w:r>
        <w:rPr>
          <w:b/>
          <w:spacing w:val="57"/>
        </w:rPr>
        <w:t xml:space="preserve"> </w:t>
      </w:r>
      <w:r>
        <w:rPr>
          <w:b/>
        </w:rPr>
        <w:t>12</w:t>
      </w:r>
      <w:r>
        <w:rPr>
          <w:b/>
          <w:spacing w:val="58"/>
        </w:rPr>
        <w:t xml:space="preserve"> </w:t>
      </w:r>
      <w:r>
        <w:rPr>
          <w:b/>
        </w:rPr>
        <w:t>DE</w:t>
      </w:r>
      <w:r>
        <w:rPr>
          <w:b/>
          <w:spacing w:val="54"/>
        </w:rPr>
        <w:t xml:space="preserve"> </w:t>
      </w:r>
      <w:r>
        <w:rPr>
          <w:b/>
        </w:rPr>
        <w:t>JANEIRO</w:t>
      </w:r>
      <w:r>
        <w:rPr>
          <w:b/>
          <w:spacing w:val="58"/>
        </w:rPr>
        <w:t xml:space="preserve"> </w:t>
      </w:r>
      <w:r>
        <w:rPr>
          <w:b/>
        </w:rPr>
        <w:t>DE</w:t>
      </w:r>
      <w:r>
        <w:rPr>
          <w:b/>
          <w:spacing w:val="57"/>
        </w:rPr>
        <w:t xml:space="preserve"> </w:t>
      </w:r>
      <w:r>
        <w:rPr>
          <w:b/>
        </w:rPr>
        <w:t>2022</w:t>
      </w:r>
      <w:r>
        <w:t>.</w:t>
      </w:r>
      <w:r>
        <w:rPr>
          <w:spacing w:val="55"/>
        </w:rPr>
        <w:t xml:space="preserve"> </w:t>
      </w:r>
      <w:r>
        <w:t>Fica</w:t>
      </w:r>
      <w:r>
        <w:rPr>
          <w:spacing w:val="58"/>
        </w:rPr>
        <w:t xml:space="preserve"> </w:t>
      </w:r>
      <w:r>
        <w:t>denominado</w:t>
      </w:r>
      <w:r>
        <w:rPr>
          <w:spacing w:val="56"/>
        </w:rPr>
        <w:t xml:space="preserve"> </w:t>
      </w:r>
      <w:r>
        <w:rPr>
          <w:spacing w:val="-2"/>
        </w:rPr>
        <w:t>Praça</w:t>
      </w:r>
    </w:p>
    <w:p w:rsidR="007259F2" w:rsidRDefault="00E655B4">
      <w:pPr>
        <w:spacing w:line="252" w:lineRule="exact"/>
        <w:ind w:left="710"/>
      </w:pPr>
      <w:r>
        <w:t>Valdemar</w:t>
      </w:r>
      <w:r>
        <w:rPr>
          <w:spacing w:val="-5"/>
        </w:rPr>
        <w:t xml:space="preserve"> </w:t>
      </w:r>
      <w:r>
        <w:t>Lopes</w:t>
      </w:r>
      <w:r>
        <w:rPr>
          <w:spacing w:val="-3"/>
        </w:rPr>
        <w:t xml:space="preserve"> </w:t>
      </w:r>
      <w:r>
        <w:t>Armesto</w:t>
      </w:r>
      <w:r>
        <w:rPr>
          <w:spacing w:val="-6"/>
        </w:rPr>
        <w:t xml:space="preserve"> </w:t>
      </w:r>
      <w:r>
        <w:t>[...]</w:t>
      </w:r>
      <w:r>
        <w:rPr>
          <w:spacing w:val="-3"/>
        </w:rPr>
        <w:t xml:space="preserve"> </w:t>
      </w:r>
      <w:r>
        <w:t>São</w:t>
      </w:r>
      <w:r>
        <w:rPr>
          <w:spacing w:val="-3"/>
        </w:rPr>
        <w:t xml:space="preserve"> </w:t>
      </w:r>
      <w:r>
        <w:t>Paulo</w:t>
      </w:r>
      <w:r>
        <w:rPr>
          <w:spacing w:val="-6"/>
        </w:rPr>
        <w:t xml:space="preserve"> </w:t>
      </w:r>
      <w:r>
        <w:t>(SP):</w:t>
      </w:r>
      <w:r>
        <w:rPr>
          <w:spacing w:val="-2"/>
        </w:rPr>
        <w:t xml:space="preserve"> </w:t>
      </w:r>
      <w:r>
        <w:t>Diário</w:t>
      </w:r>
      <w:r>
        <w:rPr>
          <w:spacing w:val="-6"/>
        </w:rPr>
        <w:t xml:space="preserve"> </w:t>
      </w:r>
      <w:r>
        <w:t>Oficial</w:t>
      </w:r>
      <w:r>
        <w:rPr>
          <w:spacing w:val="-4"/>
        </w:rPr>
        <w:t xml:space="preserve"> </w:t>
      </w:r>
      <w:r>
        <w:t>do</w:t>
      </w:r>
      <w:r>
        <w:rPr>
          <w:spacing w:val="-3"/>
        </w:rPr>
        <w:t xml:space="preserve"> </w:t>
      </w:r>
      <w:r>
        <w:t>Município,</w:t>
      </w:r>
      <w:r>
        <w:rPr>
          <w:spacing w:val="-3"/>
        </w:rPr>
        <w:t xml:space="preserve"> </w:t>
      </w:r>
      <w:r>
        <w:rPr>
          <w:spacing w:val="-2"/>
        </w:rPr>
        <w:t>2022.</w:t>
      </w:r>
    </w:p>
    <w:p w:rsidR="007259F2" w:rsidRDefault="00E655B4">
      <w:pPr>
        <w:spacing w:before="122"/>
        <w:ind w:left="710" w:right="424"/>
      </w:pPr>
      <w:r>
        <w:t xml:space="preserve">SÃO PAULO (SP). </w:t>
      </w:r>
      <w:r>
        <w:rPr>
          <w:b/>
        </w:rPr>
        <w:t>LEI Nº 17.745, DE 12 DE JANEIRO DE 2022</w:t>
      </w:r>
      <w:r>
        <w:t xml:space="preserve">. Dispõe sobre a alteração da </w:t>
      </w:r>
      <w:hyperlink r:id="rId321">
        <w:r>
          <w:rPr>
            <w:u w:val="single"/>
          </w:rPr>
          <w:t>Lei</w:t>
        </w:r>
      </w:hyperlink>
      <w:r>
        <w:t xml:space="preserve"> </w:t>
      </w:r>
      <w:hyperlink r:id="rId322">
        <w:r>
          <w:rPr>
            <w:u w:val="single"/>
          </w:rPr>
          <w:t>nº 14.485, de 19 de julho de 2007,</w:t>
        </w:r>
      </w:hyperlink>
      <w:r>
        <w:t xml:space="preserve"> [...] São Paulo (SP): Diário Oficial do Município, 2022.</w:t>
      </w:r>
    </w:p>
    <w:p w:rsidR="007259F2" w:rsidRDefault="00E655B4">
      <w:pPr>
        <w:spacing w:before="118"/>
        <w:ind w:left="710"/>
      </w:pPr>
      <w:r>
        <w:t>SÃO</w:t>
      </w:r>
      <w:r>
        <w:rPr>
          <w:spacing w:val="13"/>
        </w:rPr>
        <w:t xml:space="preserve"> </w:t>
      </w:r>
      <w:r>
        <w:t>PAULO</w:t>
      </w:r>
      <w:r>
        <w:rPr>
          <w:spacing w:val="16"/>
        </w:rPr>
        <w:t xml:space="preserve"> </w:t>
      </w:r>
      <w:r>
        <w:t>(SP).</w:t>
      </w:r>
      <w:r>
        <w:rPr>
          <w:spacing w:val="16"/>
        </w:rPr>
        <w:t xml:space="preserve"> </w:t>
      </w:r>
      <w:r>
        <w:rPr>
          <w:b/>
        </w:rPr>
        <w:t>LEI</w:t>
      </w:r>
      <w:r>
        <w:rPr>
          <w:b/>
          <w:spacing w:val="15"/>
        </w:rPr>
        <w:t xml:space="preserve"> </w:t>
      </w:r>
      <w:r>
        <w:rPr>
          <w:b/>
        </w:rPr>
        <w:t>Nº</w:t>
      </w:r>
      <w:r>
        <w:rPr>
          <w:b/>
          <w:spacing w:val="14"/>
        </w:rPr>
        <w:t xml:space="preserve"> </w:t>
      </w:r>
      <w:r>
        <w:rPr>
          <w:b/>
        </w:rPr>
        <w:t>17.744,</w:t>
      </w:r>
      <w:r>
        <w:rPr>
          <w:b/>
          <w:spacing w:val="15"/>
        </w:rPr>
        <w:t xml:space="preserve"> </w:t>
      </w:r>
      <w:r>
        <w:rPr>
          <w:b/>
        </w:rPr>
        <w:t>DE</w:t>
      </w:r>
      <w:r>
        <w:rPr>
          <w:b/>
          <w:spacing w:val="13"/>
        </w:rPr>
        <w:t xml:space="preserve"> </w:t>
      </w:r>
      <w:r>
        <w:rPr>
          <w:b/>
        </w:rPr>
        <w:t>12</w:t>
      </w:r>
      <w:r>
        <w:rPr>
          <w:b/>
          <w:spacing w:val="15"/>
        </w:rPr>
        <w:t xml:space="preserve"> </w:t>
      </w:r>
      <w:r>
        <w:rPr>
          <w:b/>
        </w:rPr>
        <w:t>DE</w:t>
      </w:r>
      <w:r>
        <w:rPr>
          <w:b/>
          <w:spacing w:val="14"/>
        </w:rPr>
        <w:t xml:space="preserve"> </w:t>
      </w:r>
      <w:r>
        <w:rPr>
          <w:b/>
        </w:rPr>
        <w:t>JANEIRO</w:t>
      </w:r>
      <w:r>
        <w:rPr>
          <w:b/>
          <w:spacing w:val="15"/>
        </w:rPr>
        <w:t xml:space="preserve"> </w:t>
      </w:r>
      <w:r>
        <w:rPr>
          <w:b/>
        </w:rPr>
        <w:t>DE</w:t>
      </w:r>
      <w:r>
        <w:rPr>
          <w:b/>
          <w:spacing w:val="14"/>
        </w:rPr>
        <w:t xml:space="preserve"> </w:t>
      </w:r>
      <w:r>
        <w:rPr>
          <w:b/>
        </w:rPr>
        <w:t>2022</w:t>
      </w:r>
      <w:r>
        <w:t>.</w:t>
      </w:r>
      <w:r>
        <w:rPr>
          <w:spacing w:val="15"/>
        </w:rPr>
        <w:t xml:space="preserve"> </w:t>
      </w:r>
      <w:r>
        <w:t>Altera</w:t>
      </w:r>
      <w:r>
        <w:rPr>
          <w:spacing w:val="15"/>
        </w:rPr>
        <w:t xml:space="preserve"> </w:t>
      </w:r>
      <w:r>
        <w:t>a</w:t>
      </w:r>
      <w:r>
        <w:rPr>
          <w:spacing w:val="13"/>
        </w:rPr>
        <w:t xml:space="preserve"> </w:t>
      </w:r>
      <w:r>
        <w:t>denominação</w:t>
      </w:r>
      <w:r>
        <w:rPr>
          <w:spacing w:val="16"/>
        </w:rPr>
        <w:t xml:space="preserve"> </w:t>
      </w:r>
      <w:r>
        <w:t>do</w:t>
      </w:r>
      <w:r>
        <w:rPr>
          <w:spacing w:val="15"/>
        </w:rPr>
        <w:t xml:space="preserve"> </w:t>
      </w:r>
      <w:r>
        <w:rPr>
          <w:spacing w:val="-5"/>
        </w:rPr>
        <w:t>CEI</w:t>
      </w:r>
    </w:p>
    <w:p w:rsidR="007259F2" w:rsidRDefault="00E655B4">
      <w:pPr>
        <w:spacing w:before="1"/>
        <w:ind w:left="710"/>
      </w:pPr>
      <w:r>
        <w:t>Shangri-lá</w:t>
      </w:r>
      <w:r>
        <w:rPr>
          <w:spacing w:val="-4"/>
        </w:rPr>
        <w:t xml:space="preserve"> </w:t>
      </w:r>
      <w:r>
        <w:t>[...]</w:t>
      </w:r>
      <w:r>
        <w:rPr>
          <w:spacing w:val="-4"/>
        </w:rPr>
        <w:t xml:space="preserve"> </w:t>
      </w:r>
      <w:r>
        <w:t>São</w:t>
      </w:r>
      <w:r>
        <w:rPr>
          <w:spacing w:val="-3"/>
        </w:rPr>
        <w:t xml:space="preserve"> </w:t>
      </w:r>
      <w:r>
        <w:t>Paulo</w:t>
      </w:r>
      <w:r>
        <w:rPr>
          <w:spacing w:val="-7"/>
        </w:rPr>
        <w:t xml:space="preserve"> </w:t>
      </w:r>
      <w:r>
        <w:t>(SP):</w:t>
      </w:r>
      <w:r>
        <w:rPr>
          <w:spacing w:val="-2"/>
        </w:rPr>
        <w:t xml:space="preserve"> </w:t>
      </w:r>
      <w:r>
        <w:t>Diário</w:t>
      </w:r>
      <w:r>
        <w:rPr>
          <w:spacing w:val="-4"/>
        </w:rPr>
        <w:t xml:space="preserve"> </w:t>
      </w:r>
      <w:r>
        <w:t>Oficial</w:t>
      </w:r>
      <w:r>
        <w:rPr>
          <w:spacing w:val="-4"/>
        </w:rPr>
        <w:t xml:space="preserve"> </w:t>
      </w:r>
      <w:r>
        <w:t>do</w:t>
      </w:r>
      <w:r>
        <w:rPr>
          <w:spacing w:val="-4"/>
        </w:rPr>
        <w:t xml:space="preserve"> </w:t>
      </w:r>
      <w:r>
        <w:t>Município,</w:t>
      </w:r>
      <w:r>
        <w:rPr>
          <w:spacing w:val="-6"/>
        </w:rPr>
        <w:t xml:space="preserve"> </w:t>
      </w:r>
      <w:r>
        <w:rPr>
          <w:spacing w:val="-2"/>
        </w:rPr>
        <w:t>2022.</w:t>
      </w:r>
    </w:p>
    <w:p w:rsidR="007259F2" w:rsidRDefault="00E655B4">
      <w:pPr>
        <w:spacing w:before="119"/>
        <w:ind w:left="710"/>
      </w:pPr>
      <w:r>
        <w:t>SÃO</w:t>
      </w:r>
      <w:r>
        <w:rPr>
          <w:spacing w:val="1"/>
        </w:rPr>
        <w:t xml:space="preserve"> </w:t>
      </w:r>
      <w:r>
        <w:t>PAULO</w:t>
      </w:r>
      <w:r>
        <w:rPr>
          <w:spacing w:val="2"/>
        </w:rPr>
        <w:t xml:space="preserve"> </w:t>
      </w:r>
      <w:r>
        <w:t>(SP).</w:t>
      </w:r>
      <w:r>
        <w:rPr>
          <w:spacing w:val="3"/>
        </w:rPr>
        <w:t xml:space="preserve"> </w:t>
      </w:r>
      <w:r>
        <w:rPr>
          <w:b/>
        </w:rPr>
        <w:t>LEI</w:t>
      </w:r>
      <w:r>
        <w:rPr>
          <w:b/>
          <w:spacing w:val="4"/>
        </w:rPr>
        <w:t xml:space="preserve"> </w:t>
      </w:r>
      <w:r>
        <w:rPr>
          <w:b/>
        </w:rPr>
        <w:t>Nº</w:t>
      </w:r>
      <w:r>
        <w:rPr>
          <w:b/>
          <w:spacing w:val="1"/>
        </w:rPr>
        <w:t xml:space="preserve"> </w:t>
      </w:r>
      <w:r>
        <w:rPr>
          <w:b/>
        </w:rPr>
        <w:t>17.743,</w:t>
      </w:r>
      <w:r>
        <w:rPr>
          <w:b/>
          <w:spacing w:val="3"/>
        </w:rPr>
        <w:t xml:space="preserve"> </w:t>
      </w:r>
      <w:r>
        <w:rPr>
          <w:b/>
        </w:rPr>
        <w:t>DE</w:t>
      </w:r>
      <w:r>
        <w:rPr>
          <w:b/>
          <w:spacing w:val="2"/>
        </w:rPr>
        <w:t xml:space="preserve"> </w:t>
      </w:r>
      <w:r>
        <w:rPr>
          <w:b/>
        </w:rPr>
        <w:t>12</w:t>
      </w:r>
      <w:r>
        <w:rPr>
          <w:b/>
          <w:spacing w:val="2"/>
        </w:rPr>
        <w:t xml:space="preserve"> </w:t>
      </w:r>
      <w:r>
        <w:rPr>
          <w:b/>
        </w:rPr>
        <w:t>DE</w:t>
      </w:r>
      <w:r>
        <w:rPr>
          <w:b/>
          <w:spacing w:val="2"/>
        </w:rPr>
        <w:t xml:space="preserve"> </w:t>
      </w:r>
      <w:r>
        <w:rPr>
          <w:b/>
        </w:rPr>
        <w:t>JANEIRO</w:t>
      </w:r>
      <w:r>
        <w:rPr>
          <w:b/>
          <w:spacing w:val="3"/>
        </w:rPr>
        <w:t xml:space="preserve"> </w:t>
      </w:r>
      <w:r>
        <w:rPr>
          <w:b/>
        </w:rPr>
        <w:t>DE</w:t>
      </w:r>
      <w:r>
        <w:rPr>
          <w:b/>
          <w:spacing w:val="2"/>
        </w:rPr>
        <w:t xml:space="preserve"> </w:t>
      </w:r>
      <w:r>
        <w:rPr>
          <w:b/>
        </w:rPr>
        <w:t>2022</w:t>
      </w:r>
      <w:r>
        <w:t>.</w:t>
      </w:r>
      <w:r>
        <w:rPr>
          <w:spacing w:val="3"/>
        </w:rPr>
        <w:t xml:space="preserve"> </w:t>
      </w:r>
      <w:r>
        <w:t>Altera</w:t>
      </w:r>
      <w:r>
        <w:rPr>
          <w:spacing w:val="3"/>
        </w:rPr>
        <w:t xml:space="preserve"> </w:t>
      </w:r>
      <w:r>
        <w:t>a</w:t>
      </w:r>
      <w:r>
        <w:rPr>
          <w:spacing w:val="4"/>
        </w:rPr>
        <w:t xml:space="preserve"> </w:t>
      </w:r>
      <w:r>
        <w:t>Lei</w:t>
      </w:r>
      <w:r>
        <w:rPr>
          <w:spacing w:val="3"/>
        </w:rPr>
        <w:t xml:space="preserve"> </w:t>
      </w:r>
      <w:r>
        <w:t>nº</w:t>
      </w:r>
      <w:r>
        <w:rPr>
          <w:spacing w:val="4"/>
        </w:rPr>
        <w:t xml:space="preserve"> </w:t>
      </w:r>
      <w:r>
        <w:t>14.485,</w:t>
      </w:r>
      <w:r>
        <w:rPr>
          <w:spacing w:val="2"/>
        </w:rPr>
        <w:t xml:space="preserve"> </w:t>
      </w:r>
      <w:r>
        <w:t>de</w:t>
      </w:r>
      <w:r>
        <w:rPr>
          <w:spacing w:val="4"/>
        </w:rPr>
        <w:t xml:space="preserve"> </w:t>
      </w:r>
      <w:r>
        <w:t>19</w:t>
      </w:r>
      <w:r>
        <w:rPr>
          <w:spacing w:val="3"/>
        </w:rPr>
        <w:t xml:space="preserve"> </w:t>
      </w:r>
      <w:r>
        <w:rPr>
          <w:spacing w:val="-5"/>
        </w:rPr>
        <w:t>de</w:t>
      </w:r>
    </w:p>
    <w:p w:rsidR="007259F2" w:rsidRDefault="00E655B4">
      <w:pPr>
        <w:spacing w:before="1"/>
        <w:ind w:left="710"/>
      </w:pPr>
      <w:r>
        <w:t>julho</w:t>
      </w:r>
      <w:r>
        <w:rPr>
          <w:spacing w:val="-4"/>
        </w:rPr>
        <w:t xml:space="preserve"> </w:t>
      </w:r>
      <w:r>
        <w:t>de</w:t>
      </w:r>
      <w:r>
        <w:rPr>
          <w:spacing w:val="-4"/>
        </w:rPr>
        <w:t xml:space="preserve"> </w:t>
      </w:r>
      <w:r>
        <w:t>2007</w:t>
      </w:r>
      <w:r>
        <w:rPr>
          <w:spacing w:val="-3"/>
        </w:rPr>
        <w:t xml:space="preserve"> </w:t>
      </w:r>
      <w:r>
        <w:t>[...]</w:t>
      </w:r>
      <w:r>
        <w:rPr>
          <w:spacing w:val="-4"/>
        </w:rPr>
        <w:t xml:space="preserve"> </w:t>
      </w:r>
      <w:r>
        <w:t>São</w:t>
      </w:r>
      <w:r>
        <w:rPr>
          <w:spacing w:val="-3"/>
        </w:rPr>
        <w:t xml:space="preserve"> </w:t>
      </w:r>
      <w:r>
        <w:t>Paulo</w:t>
      </w:r>
      <w:r>
        <w:rPr>
          <w:spacing w:val="-4"/>
        </w:rPr>
        <w:t xml:space="preserve"> </w:t>
      </w:r>
      <w:r>
        <w:t>(SP):</w:t>
      </w:r>
      <w:r>
        <w:rPr>
          <w:spacing w:val="-2"/>
        </w:rPr>
        <w:t xml:space="preserve"> </w:t>
      </w:r>
      <w:r>
        <w:t>Diário</w:t>
      </w:r>
      <w:r>
        <w:rPr>
          <w:spacing w:val="-4"/>
        </w:rPr>
        <w:t xml:space="preserve"> </w:t>
      </w:r>
      <w:r>
        <w:t>Oficial</w:t>
      </w:r>
      <w:r>
        <w:rPr>
          <w:spacing w:val="-2"/>
        </w:rPr>
        <w:t xml:space="preserve"> </w:t>
      </w:r>
      <w:r>
        <w:t>do</w:t>
      </w:r>
      <w:r>
        <w:rPr>
          <w:spacing w:val="-4"/>
        </w:rPr>
        <w:t xml:space="preserve"> </w:t>
      </w:r>
      <w:r>
        <w:t>Município,</w:t>
      </w:r>
      <w:r>
        <w:rPr>
          <w:spacing w:val="-3"/>
        </w:rPr>
        <w:t xml:space="preserve"> </w:t>
      </w:r>
      <w:r>
        <w:rPr>
          <w:spacing w:val="-2"/>
        </w:rPr>
        <w:t>2022.</w:t>
      </w:r>
    </w:p>
    <w:p w:rsidR="007259F2" w:rsidRDefault="00E655B4">
      <w:pPr>
        <w:spacing w:before="119" w:line="253" w:lineRule="exact"/>
        <w:ind w:left="710"/>
      </w:pPr>
      <w:r>
        <w:t>SÃO</w:t>
      </w:r>
      <w:r>
        <w:rPr>
          <w:spacing w:val="1"/>
        </w:rPr>
        <w:t xml:space="preserve"> </w:t>
      </w:r>
      <w:r>
        <w:t>PAULO</w:t>
      </w:r>
      <w:r>
        <w:rPr>
          <w:spacing w:val="2"/>
        </w:rPr>
        <w:t xml:space="preserve"> </w:t>
      </w:r>
      <w:r>
        <w:t>(SP).</w:t>
      </w:r>
      <w:r>
        <w:rPr>
          <w:spacing w:val="3"/>
        </w:rPr>
        <w:t xml:space="preserve"> </w:t>
      </w:r>
      <w:r>
        <w:rPr>
          <w:b/>
        </w:rPr>
        <w:t>LEI</w:t>
      </w:r>
      <w:r>
        <w:rPr>
          <w:b/>
          <w:spacing w:val="3"/>
        </w:rPr>
        <w:t xml:space="preserve"> </w:t>
      </w:r>
      <w:r>
        <w:rPr>
          <w:b/>
        </w:rPr>
        <w:t>Nº</w:t>
      </w:r>
      <w:r>
        <w:rPr>
          <w:b/>
          <w:spacing w:val="2"/>
        </w:rPr>
        <w:t xml:space="preserve"> </w:t>
      </w:r>
      <w:r>
        <w:rPr>
          <w:b/>
        </w:rPr>
        <w:t>17.742,</w:t>
      </w:r>
      <w:r>
        <w:rPr>
          <w:b/>
          <w:spacing w:val="2"/>
        </w:rPr>
        <w:t xml:space="preserve"> </w:t>
      </w:r>
      <w:r>
        <w:rPr>
          <w:b/>
        </w:rPr>
        <w:t>DE</w:t>
      </w:r>
      <w:r>
        <w:rPr>
          <w:b/>
          <w:spacing w:val="2"/>
        </w:rPr>
        <w:t xml:space="preserve"> </w:t>
      </w:r>
      <w:r>
        <w:rPr>
          <w:b/>
        </w:rPr>
        <w:t>12</w:t>
      </w:r>
      <w:r>
        <w:rPr>
          <w:b/>
          <w:spacing w:val="2"/>
        </w:rPr>
        <w:t xml:space="preserve"> </w:t>
      </w:r>
      <w:r>
        <w:rPr>
          <w:b/>
        </w:rPr>
        <w:t>DE</w:t>
      </w:r>
      <w:r>
        <w:rPr>
          <w:b/>
          <w:spacing w:val="2"/>
        </w:rPr>
        <w:t xml:space="preserve"> </w:t>
      </w:r>
      <w:r>
        <w:rPr>
          <w:b/>
        </w:rPr>
        <w:t>JANEIRO</w:t>
      </w:r>
      <w:r>
        <w:rPr>
          <w:b/>
          <w:spacing w:val="3"/>
        </w:rPr>
        <w:t xml:space="preserve"> </w:t>
      </w:r>
      <w:r>
        <w:rPr>
          <w:b/>
        </w:rPr>
        <w:t>DE</w:t>
      </w:r>
      <w:r>
        <w:rPr>
          <w:b/>
          <w:spacing w:val="2"/>
        </w:rPr>
        <w:t xml:space="preserve"> </w:t>
      </w:r>
      <w:r>
        <w:rPr>
          <w:b/>
        </w:rPr>
        <w:t>2022</w:t>
      </w:r>
      <w:r>
        <w:t>.</w:t>
      </w:r>
      <w:r>
        <w:rPr>
          <w:spacing w:val="2"/>
        </w:rPr>
        <w:t xml:space="preserve"> </w:t>
      </w:r>
      <w:r>
        <w:t>Altera</w:t>
      </w:r>
      <w:r>
        <w:rPr>
          <w:spacing w:val="4"/>
        </w:rPr>
        <w:t xml:space="preserve"> </w:t>
      </w:r>
      <w:r>
        <w:t>a</w:t>
      </w:r>
      <w:r>
        <w:rPr>
          <w:spacing w:val="3"/>
        </w:rPr>
        <w:t xml:space="preserve"> </w:t>
      </w:r>
      <w:r>
        <w:t>Lei</w:t>
      </w:r>
      <w:r>
        <w:rPr>
          <w:spacing w:val="4"/>
        </w:rPr>
        <w:t xml:space="preserve"> </w:t>
      </w:r>
      <w:r>
        <w:t>nº</w:t>
      </w:r>
      <w:r>
        <w:rPr>
          <w:spacing w:val="3"/>
        </w:rPr>
        <w:t xml:space="preserve"> </w:t>
      </w:r>
      <w:r>
        <w:t>14.485,</w:t>
      </w:r>
      <w:r>
        <w:rPr>
          <w:spacing w:val="3"/>
        </w:rPr>
        <w:t xml:space="preserve"> </w:t>
      </w:r>
      <w:r>
        <w:t>de</w:t>
      </w:r>
      <w:r>
        <w:rPr>
          <w:spacing w:val="3"/>
        </w:rPr>
        <w:t xml:space="preserve"> </w:t>
      </w:r>
      <w:r>
        <w:t>19</w:t>
      </w:r>
      <w:r>
        <w:rPr>
          <w:spacing w:val="3"/>
        </w:rPr>
        <w:t xml:space="preserve"> </w:t>
      </w:r>
      <w:r>
        <w:rPr>
          <w:spacing w:val="-5"/>
        </w:rPr>
        <w:t>de</w:t>
      </w:r>
    </w:p>
    <w:p w:rsidR="007259F2" w:rsidRDefault="00E655B4">
      <w:pPr>
        <w:ind w:left="710"/>
      </w:pPr>
      <w:r>
        <w:t>julho</w:t>
      </w:r>
      <w:r>
        <w:rPr>
          <w:spacing w:val="-4"/>
        </w:rPr>
        <w:t xml:space="preserve"> </w:t>
      </w:r>
      <w:r>
        <w:t>de</w:t>
      </w:r>
      <w:r>
        <w:rPr>
          <w:spacing w:val="-4"/>
        </w:rPr>
        <w:t xml:space="preserve"> </w:t>
      </w:r>
      <w:r>
        <w:t>2007</w:t>
      </w:r>
      <w:r>
        <w:rPr>
          <w:spacing w:val="-3"/>
        </w:rPr>
        <w:t xml:space="preserve"> </w:t>
      </w:r>
      <w:r>
        <w:t>[...]</w:t>
      </w:r>
      <w:r>
        <w:rPr>
          <w:spacing w:val="-4"/>
        </w:rPr>
        <w:t xml:space="preserve"> </w:t>
      </w:r>
      <w:r>
        <w:t>São</w:t>
      </w:r>
      <w:r>
        <w:rPr>
          <w:spacing w:val="-3"/>
        </w:rPr>
        <w:t xml:space="preserve"> </w:t>
      </w:r>
      <w:r>
        <w:t>Paulo</w:t>
      </w:r>
      <w:r>
        <w:rPr>
          <w:spacing w:val="-4"/>
        </w:rPr>
        <w:t xml:space="preserve"> </w:t>
      </w:r>
      <w:r>
        <w:t>(SP):</w:t>
      </w:r>
      <w:r>
        <w:rPr>
          <w:spacing w:val="-2"/>
        </w:rPr>
        <w:t xml:space="preserve"> </w:t>
      </w:r>
      <w:r>
        <w:t>Diário</w:t>
      </w:r>
      <w:r>
        <w:rPr>
          <w:spacing w:val="-4"/>
        </w:rPr>
        <w:t xml:space="preserve"> </w:t>
      </w:r>
      <w:r>
        <w:t>Oficial</w:t>
      </w:r>
      <w:r>
        <w:rPr>
          <w:spacing w:val="-2"/>
        </w:rPr>
        <w:t xml:space="preserve"> </w:t>
      </w:r>
      <w:r>
        <w:t>do</w:t>
      </w:r>
      <w:r>
        <w:rPr>
          <w:spacing w:val="-4"/>
        </w:rPr>
        <w:t xml:space="preserve"> </w:t>
      </w:r>
      <w:r>
        <w:t>Município,</w:t>
      </w:r>
      <w:r>
        <w:rPr>
          <w:spacing w:val="-3"/>
        </w:rPr>
        <w:t xml:space="preserve"> </w:t>
      </w:r>
      <w:r>
        <w:rPr>
          <w:spacing w:val="-2"/>
        </w:rPr>
        <w:t>2022.</w:t>
      </w:r>
    </w:p>
    <w:p w:rsidR="007259F2" w:rsidRDefault="00E655B4">
      <w:pPr>
        <w:spacing w:before="122" w:line="252" w:lineRule="exact"/>
        <w:ind w:left="710"/>
      </w:pPr>
      <w:r>
        <w:t>SÃO</w:t>
      </w:r>
      <w:r>
        <w:rPr>
          <w:spacing w:val="1"/>
        </w:rPr>
        <w:t xml:space="preserve"> </w:t>
      </w:r>
      <w:r>
        <w:t>PAULO</w:t>
      </w:r>
      <w:r>
        <w:rPr>
          <w:spacing w:val="1"/>
        </w:rPr>
        <w:t xml:space="preserve"> </w:t>
      </w:r>
      <w:r>
        <w:t>(SP).</w:t>
      </w:r>
      <w:r>
        <w:rPr>
          <w:spacing w:val="4"/>
        </w:rPr>
        <w:t xml:space="preserve"> </w:t>
      </w:r>
      <w:r>
        <w:rPr>
          <w:b/>
        </w:rPr>
        <w:t>LEI</w:t>
      </w:r>
      <w:r>
        <w:rPr>
          <w:b/>
          <w:spacing w:val="3"/>
        </w:rPr>
        <w:t xml:space="preserve"> </w:t>
      </w:r>
      <w:r>
        <w:rPr>
          <w:b/>
        </w:rPr>
        <w:t>Nº</w:t>
      </w:r>
      <w:r>
        <w:rPr>
          <w:b/>
          <w:spacing w:val="2"/>
        </w:rPr>
        <w:t xml:space="preserve"> </w:t>
      </w:r>
      <w:r>
        <w:rPr>
          <w:b/>
        </w:rPr>
        <w:t>17.741,</w:t>
      </w:r>
      <w:r>
        <w:rPr>
          <w:b/>
          <w:spacing w:val="2"/>
        </w:rPr>
        <w:t xml:space="preserve"> </w:t>
      </w:r>
      <w:r>
        <w:rPr>
          <w:b/>
        </w:rPr>
        <w:t>DE</w:t>
      </w:r>
      <w:r>
        <w:rPr>
          <w:b/>
          <w:spacing w:val="2"/>
        </w:rPr>
        <w:t xml:space="preserve"> </w:t>
      </w:r>
      <w:r>
        <w:rPr>
          <w:b/>
        </w:rPr>
        <w:t>12</w:t>
      </w:r>
      <w:r>
        <w:rPr>
          <w:b/>
          <w:spacing w:val="2"/>
        </w:rPr>
        <w:t xml:space="preserve"> </w:t>
      </w:r>
      <w:r>
        <w:rPr>
          <w:b/>
        </w:rPr>
        <w:t>DE</w:t>
      </w:r>
      <w:r>
        <w:rPr>
          <w:b/>
          <w:spacing w:val="1"/>
        </w:rPr>
        <w:t xml:space="preserve"> </w:t>
      </w:r>
      <w:r>
        <w:rPr>
          <w:b/>
        </w:rPr>
        <w:t>JANEIRO</w:t>
      </w:r>
      <w:r>
        <w:rPr>
          <w:b/>
          <w:spacing w:val="4"/>
        </w:rPr>
        <w:t xml:space="preserve"> </w:t>
      </w:r>
      <w:r>
        <w:rPr>
          <w:b/>
        </w:rPr>
        <w:t>DE</w:t>
      </w:r>
      <w:r>
        <w:rPr>
          <w:b/>
          <w:spacing w:val="1"/>
        </w:rPr>
        <w:t xml:space="preserve"> </w:t>
      </w:r>
      <w:r>
        <w:rPr>
          <w:b/>
        </w:rPr>
        <w:t>2022</w:t>
      </w:r>
      <w:r>
        <w:t>.</w:t>
      </w:r>
      <w:r>
        <w:rPr>
          <w:spacing w:val="3"/>
        </w:rPr>
        <w:t xml:space="preserve"> </w:t>
      </w:r>
      <w:r>
        <w:t>Altera</w:t>
      </w:r>
      <w:r>
        <w:rPr>
          <w:spacing w:val="3"/>
        </w:rPr>
        <w:t xml:space="preserve"> </w:t>
      </w:r>
      <w:r>
        <w:t>a</w:t>
      </w:r>
      <w:r>
        <w:rPr>
          <w:spacing w:val="4"/>
        </w:rPr>
        <w:t xml:space="preserve"> </w:t>
      </w:r>
      <w:hyperlink r:id="rId323">
        <w:r>
          <w:rPr>
            <w:u w:val="single"/>
          </w:rPr>
          <w:t>Lei</w:t>
        </w:r>
        <w:r>
          <w:rPr>
            <w:spacing w:val="4"/>
            <w:u w:val="single"/>
          </w:rPr>
          <w:t xml:space="preserve"> </w:t>
        </w:r>
        <w:r>
          <w:rPr>
            <w:u w:val="single"/>
          </w:rPr>
          <w:t>nº</w:t>
        </w:r>
        <w:r>
          <w:rPr>
            <w:spacing w:val="3"/>
            <w:u w:val="single"/>
          </w:rPr>
          <w:t xml:space="preserve"> </w:t>
        </w:r>
        <w:r>
          <w:rPr>
            <w:u w:val="single"/>
          </w:rPr>
          <w:t>14.485,</w:t>
        </w:r>
        <w:r>
          <w:rPr>
            <w:spacing w:val="3"/>
            <w:u w:val="single"/>
          </w:rPr>
          <w:t xml:space="preserve"> </w:t>
        </w:r>
        <w:r>
          <w:rPr>
            <w:u w:val="single"/>
          </w:rPr>
          <w:t>de</w:t>
        </w:r>
        <w:r>
          <w:rPr>
            <w:spacing w:val="3"/>
            <w:u w:val="single"/>
          </w:rPr>
          <w:t xml:space="preserve"> </w:t>
        </w:r>
        <w:r>
          <w:rPr>
            <w:u w:val="single"/>
          </w:rPr>
          <w:t>19</w:t>
        </w:r>
        <w:r>
          <w:rPr>
            <w:spacing w:val="3"/>
            <w:u w:val="single"/>
          </w:rPr>
          <w:t xml:space="preserve"> </w:t>
        </w:r>
        <w:r>
          <w:rPr>
            <w:spacing w:val="-5"/>
            <w:u w:val="single"/>
          </w:rPr>
          <w:t>de</w:t>
        </w:r>
      </w:hyperlink>
    </w:p>
    <w:p w:rsidR="007259F2" w:rsidRDefault="00DE6B1C">
      <w:pPr>
        <w:spacing w:line="252" w:lineRule="exact"/>
        <w:ind w:left="710"/>
      </w:pPr>
      <w:hyperlink r:id="rId324">
        <w:r w:rsidR="00E655B4">
          <w:rPr>
            <w:u w:val="single"/>
          </w:rPr>
          <w:t>julho</w:t>
        </w:r>
        <w:r w:rsidR="00E655B4">
          <w:rPr>
            <w:spacing w:val="-3"/>
            <w:u w:val="single"/>
          </w:rPr>
          <w:t xml:space="preserve"> </w:t>
        </w:r>
        <w:r w:rsidR="00E655B4">
          <w:rPr>
            <w:u w:val="single"/>
          </w:rPr>
          <w:t>de</w:t>
        </w:r>
        <w:r w:rsidR="00E655B4">
          <w:rPr>
            <w:spacing w:val="-3"/>
            <w:u w:val="single"/>
          </w:rPr>
          <w:t xml:space="preserve"> </w:t>
        </w:r>
        <w:r w:rsidR="00E655B4">
          <w:rPr>
            <w:u w:val="single"/>
          </w:rPr>
          <w:t>2007,</w:t>
        </w:r>
      </w:hyperlink>
      <w:r w:rsidR="00E655B4">
        <w:rPr>
          <w:spacing w:val="-4"/>
        </w:rPr>
        <w:t xml:space="preserve"> </w:t>
      </w:r>
      <w:r w:rsidR="00E655B4">
        <w:t>[...]</w:t>
      </w:r>
      <w:r w:rsidR="00E655B4">
        <w:rPr>
          <w:spacing w:val="-3"/>
        </w:rPr>
        <w:t xml:space="preserve"> </w:t>
      </w:r>
      <w:r w:rsidR="00E655B4">
        <w:t>São</w:t>
      </w:r>
      <w:r w:rsidR="00E655B4">
        <w:rPr>
          <w:spacing w:val="-3"/>
        </w:rPr>
        <w:t xml:space="preserve"> </w:t>
      </w:r>
      <w:r w:rsidR="00E655B4">
        <w:t>Paulo</w:t>
      </w:r>
      <w:r w:rsidR="00E655B4">
        <w:rPr>
          <w:spacing w:val="-3"/>
        </w:rPr>
        <w:t xml:space="preserve"> </w:t>
      </w:r>
      <w:r w:rsidR="00E655B4">
        <w:t>(SP):</w:t>
      </w:r>
      <w:r w:rsidR="00E655B4">
        <w:rPr>
          <w:spacing w:val="-2"/>
        </w:rPr>
        <w:t xml:space="preserve"> </w:t>
      </w:r>
      <w:r w:rsidR="00E655B4">
        <w:t>Diário</w:t>
      </w:r>
      <w:r w:rsidR="00E655B4">
        <w:rPr>
          <w:spacing w:val="-3"/>
        </w:rPr>
        <w:t xml:space="preserve"> </w:t>
      </w:r>
      <w:r w:rsidR="00E655B4">
        <w:t>Oficial</w:t>
      </w:r>
      <w:r w:rsidR="00E655B4">
        <w:rPr>
          <w:spacing w:val="-2"/>
        </w:rPr>
        <w:t xml:space="preserve"> </w:t>
      </w:r>
      <w:r w:rsidR="00E655B4">
        <w:t>do</w:t>
      </w:r>
      <w:r w:rsidR="00E655B4">
        <w:rPr>
          <w:spacing w:val="-5"/>
        </w:rPr>
        <w:t xml:space="preserve"> </w:t>
      </w:r>
      <w:r w:rsidR="00E655B4">
        <w:t>Município,</w:t>
      </w:r>
      <w:r w:rsidR="00E655B4">
        <w:rPr>
          <w:spacing w:val="-3"/>
        </w:rPr>
        <w:t xml:space="preserve"> </w:t>
      </w:r>
      <w:r w:rsidR="00E655B4">
        <w:rPr>
          <w:spacing w:val="-2"/>
        </w:rPr>
        <w:t>2022.</w:t>
      </w:r>
    </w:p>
    <w:p w:rsidR="007259F2" w:rsidRDefault="00E655B4">
      <w:pPr>
        <w:spacing w:before="121"/>
        <w:ind w:left="710" w:right="424"/>
      </w:pPr>
      <w:r>
        <w:t xml:space="preserve">SÃO PAULO (SP). </w:t>
      </w:r>
      <w:r>
        <w:rPr>
          <w:b/>
        </w:rPr>
        <w:t>LEI Nº 17.740, DE 12 DE JANEIRO DE 2022</w:t>
      </w:r>
      <w:r>
        <w:t>. Denomina Passarela Waldemar Stiel [...] São Paulo (SP): Diário Oficial do Município, 2022.</w:t>
      </w:r>
    </w:p>
    <w:p w:rsidR="007259F2" w:rsidRDefault="00E655B4">
      <w:pPr>
        <w:spacing w:before="118"/>
        <w:ind w:left="710"/>
      </w:pPr>
      <w:r>
        <w:t>SÃO</w:t>
      </w:r>
      <w:r>
        <w:rPr>
          <w:spacing w:val="35"/>
        </w:rPr>
        <w:t xml:space="preserve"> </w:t>
      </w:r>
      <w:r>
        <w:t>PAULO</w:t>
      </w:r>
      <w:r>
        <w:rPr>
          <w:spacing w:val="39"/>
        </w:rPr>
        <w:t xml:space="preserve"> </w:t>
      </w:r>
      <w:r>
        <w:t>(SP).</w:t>
      </w:r>
      <w:r>
        <w:rPr>
          <w:spacing w:val="39"/>
        </w:rPr>
        <w:t xml:space="preserve"> </w:t>
      </w:r>
      <w:r>
        <w:rPr>
          <w:b/>
        </w:rPr>
        <w:t>LEI</w:t>
      </w:r>
      <w:r>
        <w:rPr>
          <w:b/>
          <w:spacing w:val="41"/>
        </w:rPr>
        <w:t xml:space="preserve"> </w:t>
      </w:r>
      <w:r>
        <w:rPr>
          <w:b/>
        </w:rPr>
        <w:t>Nº</w:t>
      </w:r>
      <w:r>
        <w:rPr>
          <w:b/>
          <w:spacing w:val="37"/>
        </w:rPr>
        <w:t xml:space="preserve"> </w:t>
      </w:r>
      <w:r>
        <w:rPr>
          <w:b/>
        </w:rPr>
        <w:t>17.739,</w:t>
      </w:r>
      <w:r>
        <w:rPr>
          <w:b/>
          <w:spacing w:val="38"/>
        </w:rPr>
        <w:t xml:space="preserve"> </w:t>
      </w:r>
      <w:r>
        <w:rPr>
          <w:b/>
        </w:rPr>
        <w:t>DE</w:t>
      </w:r>
      <w:r>
        <w:rPr>
          <w:b/>
          <w:spacing w:val="38"/>
        </w:rPr>
        <w:t xml:space="preserve"> </w:t>
      </w:r>
      <w:r>
        <w:rPr>
          <w:b/>
        </w:rPr>
        <w:t>12</w:t>
      </w:r>
      <w:r>
        <w:rPr>
          <w:b/>
          <w:spacing w:val="41"/>
        </w:rPr>
        <w:t xml:space="preserve"> </w:t>
      </w:r>
      <w:r>
        <w:rPr>
          <w:b/>
        </w:rPr>
        <w:t>DE</w:t>
      </w:r>
      <w:r>
        <w:rPr>
          <w:b/>
          <w:spacing w:val="37"/>
        </w:rPr>
        <w:t xml:space="preserve"> </w:t>
      </w:r>
      <w:r>
        <w:rPr>
          <w:b/>
        </w:rPr>
        <w:t>JANEIRO</w:t>
      </w:r>
      <w:r>
        <w:rPr>
          <w:b/>
          <w:spacing w:val="39"/>
        </w:rPr>
        <w:t xml:space="preserve"> </w:t>
      </w:r>
      <w:r>
        <w:rPr>
          <w:b/>
        </w:rPr>
        <w:t>DE</w:t>
      </w:r>
      <w:r>
        <w:rPr>
          <w:b/>
          <w:spacing w:val="37"/>
        </w:rPr>
        <w:t xml:space="preserve"> </w:t>
      </w:r>
      <w:r>
        <w:rPr>
          <w:b/>
        </w:rPr>
        <w:t>2022.</w:t>
      </w:r>
      <w:r>
        <w:rPr>
          <w:b/>
          <w:spacing w:val="41"/>
        </w:rPr>
        <w:t xml:space="preserve"> </w:t>
      </w:r>
      <w:r>
        <w:t>Denomina</w:t>
      </w:r>
      <w:r>
        <w:rPr>
          <w:spacing w:val="39"/>
        </w:rPr>
        <w:t xml:space="preserve"> </w:t>
      </w:r>
      <w:r>
        <w:t>CEMEI</w:t>
      </w:r>
      <w:r>
        <w:rPr>
          <w:spacing w:val="35"/>
        </w:rPr>
        <w:t xml:space="preserve"> </w:t>
      </w:r>
      <w:r>
        <w:rPr>
          <w:spacing w:val="-2"/>
        </w:rPr>
        <w:t>Jardim</w:t>
      </w:r>
    </w:p>
    <w:p w:rsidR="007259F2" w:rsidRDefault="00E655B4">
      <w:pPr>
        <w:spacing w:before="2"/>
        <w:ind w:left="710"/>
      </w:pPr>
      <w:r>
        <w:t>Tremembé</w:t>
      </w:r>
      <w:r>
        <w:rPr>
          <w:spacing w:val="-4"/>
        </w:rPr>
        <w:t xml:space="preserve"> </w:t>
      </w:r>
      <w:r>
        <w:t>[...]</w:t>
      </w:r>
      <w:r>
        <w:rPr>
          <w:spacing w:val="-4"/>
        </w:rPr>
        <w:t xml:space="preserve"> </w:t>
      </w:r>
      <w:r>
        <w:t>São</w:t>
      </w:r>
      <w:r>
        <w:rPr>
          <w:spacing w:val="-4"/>
        </w:rPr>
        <w:t xml:space="preserve"> </w:t>
      </w:r>
      <w:r>
        <w:t>Paulo</w:t>
      </w:r>
      <w:r>
        <w:rPr>
          <w:spacing w:val="-6"/>
        </w:rPr>
        <w:t xml:space="preserve"> </w:t>
      </w:r>
      <w:r>
        <w:t>(SP):</w:t>
      </w:r>
      <w:r>
        <w:rPr>
          <w:spacing w:val="-3"/>
        </w:rPr>
        <w:t xml:space="preserve"> </w:t>
      </w:r>
      <w:r>
        <w:t>Diário</w:t>
      </w:r>
      <w:r>
        <w:rPr>
          <w:spacing w:val="-4"/>
        </w:rPr>
        <w:t xml:space="preserve"> </w:t>
      </w:r>
      <w:r>
        <w:t>Oficial</w:t>
      </w:r>
      <w:r>
        <w:rPr>
          <w:spacing w:val="-4"/>
        </w:rPr>
        <w:t xml:space="preserve"> </w:t>
      </w:r>
      <w:r>
        <w:t>do</w:t>
      </w:r>
      <w:r>
        <w:rPr>
          <w:spacing w:val="-4"/>
        </w:rPr>
        <w:t xml:space="preserve"> </w:t>
      </w:r>
      <w:r>
        <w:t>Município,</w:t>
      </w:r>
      <w:r>
        <w:rPr>
          <w:spacing w:val="-6"/>
        </w:rPr>
        <w:t xml:space="preserve"> </w:t>
      </w:r>
      <w:r>
        <w:rPr>
          <w:spacing w:val="-2"/>
        </w:rPr>
        <w:t>2022.</w:t>
      </w:r>
    </w:p>
    <w:p w:rsidR="007259F2" w:rsidRDefault="00E655B4">
      <w:pPr>
        <w:spacing w:before="119"/>
        <w:ind w:left="710"/>
      </w:pPr>
      <w:r>
        <w:t>SÃO</w:t>
      </w:r>
      <w:r>
        <w:rPr>
          <w:spacing w:val="1"/>
        </w:rPr>
        <w:t xml:space="preserve"> </w:t>
      </w:r>
      <w:r>
        <w:t>PAULO</w:t>
      </w:r>
      <w:r>
        <w:rPr>
          <w:spacing w:val="2"/>
        </w:rPr>
        <w:t xml:space="preserve"> </w:t>
      </w:r>
      <w:r>
        <w:t>(SP).</w:t>
      </w:r>
      <w:r>
        <w:rPr>
          <w:spacing w:val="3"/>
        </w:rPr>
        <w:t xml:space="preserve"> </w:t>
      </w:r>
      <w:r>
        <w:rPr>
          <w:b/>
        </w:rPr>
        <w:t>LEI</w:t>
      </w:r>
      <w:r>
        <w:rPr>
          <w:b/>
          <w:spacing w:val="3"/>
        </w:rPr>
        <w:t xml:space="preserve"> </w:t>
      </w:r>
      <w:r>
        <w:rPr>
          <w:b/>
        </w:rPr>
        <w:t>Nº</w:t>
      </w:r>
      <w:r>
        <w:rPr>
          <w:b/>
          <w:spacing w:val="2"/>
        </w:rPr>
        <w:t xml:space="preserve"> </w:t>
      </w:r>
      <w:r>
        <w:rPr>
          <w:b/>
        </w:rPr>
        <w:t>17.738,</w:t>
      </w:r>
      <w:r>
        <w:rPr>
          <w:b/>
          <w:spacing w:val="2"/>
        </w:rPr>
        <w:t xml:space="preserve"> </w:t>
      </w:r>
      <w:r>
        <w:rPr>
          <w:b/>
        </w:rPr>
        <w:t>DE</w:t>
      </w:r>
      <w:r>
        <w:rPr>
          <w:b/>
          <w:spacing w:val="2"/>
        </w:rPr>
        <w:t xml:space="preserve"> </w:t>
      </w:r>
      <w:r>
        <w:rPr>
          <w:b/>
        </w:rPr>
        <w:t>12</w:t>
      </w:r>
      <w:r>
        <w:rPr>
          <w:b/>
          <w:spacing w:val="2"/>
        </w:rPr>
        <w:t xml:space="preserve"> </w:t>
      </w:r>
      <w:r>
        <w:rPr>
          <w:b/>
        </w:rPr>
        <w:t>DE</w:t>
      </w:r>
      <w:r>
        <w:rPr>
          <w:b/>
          <w:spacing w:val="2"/>
        </w:rPr>
        <w:t xml:space="preserve"> </w:t>
      </w:r>
      <w:r>
        <w:rPr>
          <w:b/>
        </w:rPr>
        <w:t>JANEIRO</w:t>
      </w:r>
      <w:r>
        <w:rPr>
          <w:b/>
          <w:spacing w:val="3"/>
        </w:rPr>
        <w:t xml:space="preserve"> </w:t>
      </w:r>
      <w:r>
        <w:rPr>
          <w:b/>
        </w:rPr>
        <w:t>DE</w:t>
      </w:r>
      <w:r>
        <w:rPr>
          <w:b/>
          <w:spacing w:val="2"/>
        </w:rPr>
        <w:t xml:space="preserve"> </w:t>
      </w:r>
      <w:r>
        <w:rPr>
          <w:b/>
        </w:rPr>
        <w:t>2022</w:t>
      </w:r>
      <w:r>
        <w:t>.</w:t>
      </w:r>
      <w:r>
        <w:rPr>
          <w:spacing w:val="2"/>
        </w:rPr>
        <w:t xml:space="preserve"> </w:t>
      </w:r>
      <w:r>
        <w:t>Altera</w:t>
      </w:r>
      <w:r>
        <w:rPr>
          <w:spacing w:val="4"/>
        </w:rPr>
        <w:t xml:space="preserve"> </w:t>
      </w:r>
      <w:r>
        <w:t>a</w:t>
      </w:r>
      <w:r>
        <w:rPr>
          <w:spacing w:val="3"/>
        </w:rPr>
        <w:t xml:space="preserve"> </w:t>
      </w:r>
      <w:r>
        <w:t>Lei</w:t>
      </w:r>
      <w:r>
        <w:rPr>
          <w:spacing w:val="4"/>
        </w:rPr>
        <w:t xml:space="preserve"> </w:t>
      </w:r>
      <w:r>
        <w:t>nº</w:t>
      </w:r>
      <w:r>
        <w:rPr>
          <w:spacing w:val="3"/>
        </w:rPr>
        <w:t xml:space="preserve"> </w:t>
      </w:r>
      <w:r>
        <w:t>14.485,</w:t>
      </w:r>
      <w:r>
        <w:rPr>
          <w:spacing w:val="3"/>
        </w:rPr>
        <w:t xml:space="preserve"> </w:t>
      </w:r>
      <w:r>
        <w:t>de</w:t>
      </w:r>
      <w:r>
        <w:rPr>
          <w:spacing w:val="3"/>
        </w:rPr>
        <w:t xml:space="preserve"> </w:t>
      </w:r>
      <w:r>
        <w:t>19</w:t>
      </w:r>
      <w:r>
        <w:rPr>
          <w:spacing w:val="3"/>
        </w:rPr>
        <w:t xml:space="preserve"> </w:t>
      </w:r>
      <w:r>
        <w:rPr>
          <w:spacing w:val="-5"/>
        </w:rPr>
        <w:t>de</w:t>
      </w:r>
    </w:p>
    <w:p w:rsidR="007259F2" w:rsidRDefault="00E655B4">
      <w:pPr>
        <w:spacing w:before="1"/>
        <w:ind w:left="710"/>
      </w:pPr>
      <w:r>
        <w:t>julho</w:t>
      </w:r>
      <w:r>
        <w:rPr>
          <w:spacing w:val="-4"/>
        </w:rPr>
        <w:t xml:space="preserve"> </w:t>
      </w:r>
      <w:r>
        <w:t>de</w:t>
      </w:r>
      <w:r>
        <w:rPr>
          <w:spacing w:val="-4"/>
        </w:rPr>
        <w:t xml:space="preserve"> </w:t>
      </w:r>
      <w:r>
        <w:t>2007</w:t>
      </w:r>
      <w:r>
        <w:rPr>
          <w:spacing w:val="-3"/>
        </w:rPr>
        <w:t xml:space="preserve"> </w:t>
      </w:r>
      <w:r>
        <w:t>[...]</w:t>
      </w:r>
      <w:r>
        <w:rPr>
          <w:spacing w:val="-4"/>
        </w:rPr>
        <w:t xml:space="preserve"> </w:t>
      </w:r>
      <w:r>
        <w:t>São</w:t>
      </w:r>
      <w:r>
        <w:rPr>
          <w:spacing w:val="-3"/>
        </w:rPr>
        <w:t xml:space="preserve"> </w:t>
      </w:r>
      <w:r>
        <w:t>Paulo</w:t>
      </w:r>
      <w:r>
        <w:rPr>
          <w:spacing w:val="-4"/>
        </w:rPr>
        <w:t xml:space="preserve"> </w:t>
      </w:r>
      <w:r>
        <w:t>(SP):</w:t>
      </w:r>
      <w:r>
        <w:rPr>
          <w:spacing w:val="-2"/>
        </w:rPr>
        <w:t xml:space="preserve"> </w:t>
      </w:r>
      <w:r>
        <w:t>Diário</w:t>
      </w:r>
      <w:r>
        <w:rPr>
          <w:spacing w:val="-4"/>
        </w:rPr>
        <w:t xml:space="preserve"> </w:t>
      </w:r>
      <w:r>
        <w:t>Oficial</w:t>
      </w:r>
      <w:r>
        <w:rPr>
          <w:spacing w:val="-2"/>
        </w:rPr>
        <w:t xml:space="preserve"> </w:t>
      </w:r>
      <w:r>
        <w:t>do</w:t>
      </w:r>
      <w:r>
        <w:rPr>
          <w:spacing w:val="-4"/>
        </w:rPr>
        <w:t xml:space="preserve"> </w:t>
      </w:r>
      <w:r>
        <w:t>Município,</w:t>
      </w:r>
      <w:r>
        <w:rPr>
          <w:spacing w:val="-3"/>
        </w:rPr>
        <w:t xml:space="preserve"> </w:t>
      </w:r>
      <w:r>
        <w:rPr>
          <w:spacing w:val="-2"/>
        </w:rPr>
        <w:t>2022.</w:t>
      </w:r>
    </w:p>
    <w:p w:rsidR="007259F2" w:rsidRDefault="00E655B4">
      <w:pPr>
        <w:spacing w:before="119" w:line="252" w:lineRule="exact"/>
        <w:ind w:left="710"/>
      </w:pPr>
      <w:r>
        <w:t>SÃO</w:t>
      </w:r>
      <w:r>
        <w:rPr>
          <w:spacing w:val="1"/>
        </w:rPr>
        <w:t xml:space="preserve"> </w:t>
      </w:r>
      <w:r>
        <w:t>PAULO</w:t>
      </w:r>
      <w:r>
        <w:rPr>
          <w:spacing w:val="2"/>
        </w:rPr>
        <w:t xml:space="preserve"> </w:t>
      </w:r>
      <w:r>
        <w:t>(SP).</w:t>
      </w:r>
      <w:r>
        <w:rPr>
          <w:spacing w:val="3"/>
        </w:rPr>
        <w:t xml:space="preserve"> </w:t>
      </w:r>
      <w:r>
        <w:rPr>
          <w:b/>
        </w:rPr>
        <w:t>LEI</w:t>
      </w:r>
      <w:r>
        <w:rPr>
          <w:b/>
          <w:spacing w:val="3"/>
        </w:rPr>
        <w:t xml:space="preserve"> </w:t>
      </w:r>
      <w:r>
        <w:rPr>
          <w:b/>
        </w:rPr>
        <w:t>Nº</w:t>
      </w:r>
      <w:r>
        <w:rPr>
          <w:b/>
          <w:spacing w:val="2"/>
        </w:rPr>
        <w:t xml:space="preserve"> </w:t>
      </w:r>
      <w:r>
        <w:rPr>
          <w:b/>
        </w:rPr>
        <w:t>17.737,</w:t>
      </w:r>
      <w:r>
        <w:rPr>
          <w:b/>
          <w:spacing w:val="2"/>
        </w:rPr>
        <w:t xml:space="preserve"> </w:t>
      </w:r>
      <w:r>
        <w:rPr>
          <w:b/>
        </w:rPr>
        <w:t>DE</w:t>
      </w:r>
      <w:r>
        <w:rPr>
          <w:b/>
          <w:spacing w:val="2"/>
        </w:rPr>
        <w:t xml:space="preserve"> </w:t>
      </w:r>
      <w:r>
        <w:rPr>
          <w:b/>
        </w:rPr>
        <w:t>12</w:t>
      </w:r>
      <w:r>
        <w:rPr>
          <w:b/>
          <w:spacing w:val="2"/>
        </w:rPr>
        <w:t xml:space="preserve"> </w:t>
      </w:r>
      <w:r>
        <w:rPr>
          <w:b/>
        </w:rPr>
        <w:t>DE</w:t>
      </w:r>
      <w:r>
        <w:rPr>
          <w:b/>
          <w:spacing w:val="2"/>
        </w:rPr>
        <w:t xml:space="preserve"> </w:t>
      </w:r>
      <w:r>
        <w:rPr>
          <w:b/>
        </w:rPr>
        <w:t>JANEIRO</w:t>
      </w:r>
      <w:r>
        <w:rPr>
          <w:b/>
          <w:spacing w:val="3"/>
        </w:rPr>
        <w:t xml:space="preserve"> </w:t>
      </w:r>
      <w:r>
        <w:rPr>
          <w:b/>
        </w:rPr>
        <w:t>DE</w:t>
      </w:r>
      <w:r>
        <w:rPr>
          <w:b/>
          <w:spacing w:val="2"/>
        </w:rPr>
        <w:t xml:space="preserve"> </w:t>
      </w:r>
      <w:r>
        <w:rPr>
          <w:b/>
        </w:rPr>
        <w:t>2022</w:t>
      </w:r>
      <w:r>
        <w:t>.</w:t>
      </w:r>
      <w:r>
        <w:rPr>
          <w:spacing w:val="2"/>
        </w:rPr>
        <w:t xml:space="preserve"> </w:t>
      </w:r>
      <w:r>
        <w:t>Altera</w:t>
      </w:r>
      <w:r>
        <w:rPr>
          <w:spacing w:val="4"/>
        </w:rPr>
        <w:t xml:space="preserve"> </w:t>
      </w:r>
      <w:r>
        <w:t>a</w:t>
      </w:r>
      <w:r>
        <w:rPr>
          <w:spacing w:val="4"/>
        </w:rPr>
        <w:t xml:space="preserve"> </w:t>
      </w:r>
      <w:hyperlink r:id="rId325">
        <w:r>
          <w:rPr>
            <w:u w:val="single"/>
          </w:rPr>
          <w:t>Lei</w:t>
        </w:r>
        <w:r>
          <w:rPr>
            <w:spacing w:val="4"/>
            <w:u w:val="single"/>
          </w:rPr>
          <w:t xml:space="preserve"> </w:t>
        </w:r>
        <w:r>
          <w:rPr>
            <w:u w:val="single"/>
          </w:rPr>
          <w:t>nº</w:t>
        </w:r>
        <w:r>
          <w:rPr>
            <w:spacing w:val="3"/>
            <w:u w:val="single"/>
          </w:rPr>
          <w:t xml:space="preserve"> </w:t>
        </w:r>
        <w:r>
          <w:rPr>
            <w:u w:val="single"/>
          </w:rPr>
          <w:t>14.485,</w:t>
        </w:r>
        <w:r>
          <w:rPr>
            <w:spacing w:val="3"/>
            <w:u w:val="single"/>
          </w:rPr>
          <w:t xml:space="preserve"> </w:t>
        </w:r>
        <w:r>
          <w:rPr>
            <w:u w:val="single"/>
          </w:rPr>
          <w:t>de</w:t>
        </w:r>
        <w:r>
          <w:rPr>
            <w:spacing w:val="3"/>
            <w:u w:val="single"/>
          </w:rPr>
          <w:t xml:space="preserve"> </w:t>
        </w:r>
        <w:r>
          <w:rPr>
            <w:u w:val="single"/>
          </w:rPr>
          <w:t>19</w:t>
        </w:r>
        <w:r>
          <w:rPr>
            <w:spacing w:val="3"/>
            <w:u w:val="single"/>
          </w:rPr>
          <w:t xml:space="preserve"> </w:t>
        </w:r>
        <w:r>
          <w:rPr>
            <w:spacing w:val="-5"/>
            <w:u w:val="single"/>
          </w:rPr>
          <w:t>de</w:t>
        </w:r>
      </w:hyperlink>
    </w:p>
    <w:p w:rsidR="007259F2" w:rsidRDefault="00DE6B1C">
      <w:pPr>
        <w:spacing w:line="252" w:lineRule="exact"/>
        <w:ind w:left="710"/>
      </w:pPr>
      <w:hyperlink r:id="rId326">
        <w:r w:rsidR="00E655B4">
          <w:rPr>
            <w:u w:val="single"/>
          </w:rPr>
          <w:t>julho</w:t>
        </w:r>
        <w:r w:rsidR="00E655B4">
          <w:rPr>
            <w:spacing w:val="-3"/>
            <w:u w:val="single"/>
          </w:rPr>
          <w:t xml:space="preserve"> </w:t>
        </w:r>
        <w:r w:rsidR="00E655B4">
          <w:rPr>
            <w:u w:val="single"/>
          </w:rPr>
          <w:t>de</w:t>
        </w:r>
        <w:r w:rsidR="00E655B4">
          <w:rPr>
            <w:spacing w:val="-3"/>
            <w:u w:val="single"/>
          </w:rPr>
          <w:t xml:space="preserve"> </w:t>
        </w:r>
        <w:r w:rsidR="00E655B4">
          <w:rPr>
            <w:u w:val="single"/>
          </w:rPr>
          <w:t>2007,</w:t>
        </w:r>
      </w:hyperlink>
      <w:r w:rsidR="00E655B4">
        <w:rPr>
          <w:spacing w:val="-2"/>
        </w:rPr>
        <w:t xml:space="preserve"> </w:t>
      </w:r>
      <w:r w:rsidR="00E655B4">
        <w:t>[...]</w:t>
      </w:r>
      <w:r w:rsidR="00E655B4">
        <w:rPr>
          <w:spacing w:val="51"/>
        </w:rPr>
        <w:t xml:space="preserve"> </w:t>
      </w:r>
      <w:r w:rsidR="00E655B4">
        <w:t>São</w:t>
      </w:r>
      <w:r w:rsidR="00E655B4">
        <w:rPr>
          <w:spacing w:val="-3"/>
        </w:rPr>
        <w:t xml:space="preserve"> </w:t>
      </w:r>
      <w:r w:rsidR="00E655B4">
        <w:t>Paulo</w:t>
      </w:r>
      <w:r w:rsidR="00E655B4">
        <w:rPr>
          <w:spacing w:val="-2"/>
        </w:rPr>
        <w:t xml:space="preserve"> </w:t>
      </w:r>
      <w:r w:rsidR="00E655B4">
        <w:t>(SP):</w:t>
      </w:r>
      <w:r w:rsidR="00E655B4">
        <w:rPr>
          <w:spacing w:val="-5"/>
        </w:rPr>
        <w:t xml:space="preserve"> </w:t>
      </w:r>
      <w:r w:rsidR="00E655B4">
        <w:t>Diário</w:t>
      </w:r>
      <w:r w:rsidR="00E655B4">
        <w:rPr>
          <w:spacing w:val="-2"/>
        </w:rPr>
        <w:t xml:space="preserve"> </w:t>
      </w:r>
      <w:r w:rsidR="00E655B4">
        <w:t>Oficial</w:t>
      </w:r>
      <w:r w:rsidR="00E655B4">
        <w:rPr>
          <w:spacing w:val="-2"/>
        </w:rPr>
        <w:t xml:space="preserve"> </w:t>
      </w:r>
      <w:r w:rsidR="00E655B4">
        <w:t>do</w:t>
      </w:r>
      <w:r w:rsidR="00E655B4">
        <w:rPr>
          <w:spacing w:val="-5"/>
        </w:rPr>
        <w:t xml:space="preserve"> </w:t>
      </w:r>
      <w:r w:rsidR="00E655B4">
        <w:t>Município,</w:t>
      </w:r>
      <w:r w:rsidR="00E655B4">
        <w:rPr>
          <w:spacing w:val="-2"/>
        </w:rPr>
        <w:t xml:space="preserve"> 2022.</w:t>
      </w:r>
    </w:p>
    <w:p w:rsidR="007259F2" w:rsidRDefault="00E655B4">
      <w:pPr>
        <w:spacing w:before="122" w:line="252" w:lineRule="exact"/>
        <w:ind w:left="710"/>
      </w:pPr>
      <w:r>
        <w:t>SÃO</w:t>
      </w:r>
      <w:r>
        <w:rPr>
          <w:spacing w:val="4"/>
        </w:rPr>
        <w:t xml:space="preserve"> </w:t>
      </w:r>
      <w:r>
        <w:t>PAULO</w:t>
      </w:r>
      <w:r>
        <w:rPr>
          <w:spacing w:val="6"/>
        </w:rPr>
        <w:t xml:space="preserve"> </w:t>
      </w:r>
      <w:r>
        <w:t>(SP).</w:t>
      </w:r>
      <w:r>
        <w:rPr>
          <w:spacing w:val="6"/>
        </w:rPr>
        <w:t xml:space="preserve"> </w:t>
      </w:r>
      <w:r>
        <w:rPr>
          <w:b/>
        </w:rPr>
        <w:t>LEI</w:t>
      </w:r>
      <w:r>
        <w:rPr>
          <w:b/>
          <w:spacing w:val="5"/>
        </w:rPr>
        <w:t xml:space="preserve"> </w:t>
      </w:r>
      <w:r>
        <w:rPr>
          <w:b/>
        </w:rPr>
        <w:t>Nº</w:t>
      </w:r>
      <w:r>
        <w:rPr>
          <w:b/>
          <w:spacing w:val="5"/>
        </w:rPr>
        <w:t xml:space="preserve"> </w:t>
      </w:r>
      <w:r>
        <w:rPr>
          <w:b/>
        </w:rPr>
        <w:t>17.736</w:t>
      </w:r>
      <w:r>
        <w:rPr>
          <w:b/>
          <w:spacing w:val="6"/>
        </w:rPr>
        <w:t xml:space="preserve"> </w:t>
      </w:r>
      <w:r>
        <w:rPr>
          <w:b/>
        </w:rPr>
        <w:t>DE</w:t>
      </w:r>
      <w:r>
        <w:rPr>
          <w:b/>
          <w:spacing w:val="4"/>
        </w:rPr>
        <w:t xml:space="preserve"> </w:t>
      </w:r>
      <w:r>
        <w:rPr>
          <w:b/>
        </w:rPr>
        <w:t>12</w:t>
      </w:r>
      <w:r>
        <w:rPr>
          <w:b/>
          <w:spacing w:val="6"/>
        </w:rPr>
        <w:t xml:space="preserve"> </w:t>
      </w:r>
      <w:r>
        <w:rPr>
          <w:b/>
        </w:rPr>
        <w:t>DE</w:t>
      </w:r>
      <w:r>
        <w:rPr>
          <w:b/>
          <w:spacing w:val="5"/>
        </w:rPr>
        <w:t xml:space="preserve"> </w:t>
      </w:r>
      <w:r>
        <w:rPr>
          <w:b/>
        </w:rPr>
        <w:t>JANEIRO</w:t>
      </w:r>
      <w:r>
        <w:rPr>
          <w:b/>
          <w:spacing w:val="5"/>
        </w:rPr>
        <w:t xml:space="preserve"> </w:t>
      </w:r>
      <w:r>
        <w:rPr>
          <w:b/>
        </w:rPr>
        <w:t>DE</w:t>
      </w:r>
      <w:r>
        <w:rPr>
          <w:b/>
          <w:spacing w:val="5"/>
        </w:rPr>
        <w:t xml:space="preserve"> </w:t>
      </w:r>
      <w:r>
        <w:rPr>
          <w:b/>
        </w:rPr>
        <w:t>2022</w:t>
      </w:r>
      <w:r>
        <w:t>.</w:t>
      </w:r>
      <w:r>
        <w:rPr>
          <w:spacing w:val="6"/>
        </w:rPr>
        <w:t xml:space="preserve"> </w:t>
      </w:r>
      <w:r>
        <w:t>Altera</w:t>
      </w:r>
      <w:r>
        <w:rPr>
          <w:spacing w:val="5"/>
        </w:rPr>
        <w:t xml:space="preserve"> </w:t>
      </w:r>
      <w:r>
        <w:t>a</w:t>
      </w:r>
      <w:r>
        <w:rPr>
          <w:spacing w:val="7"/>
        </w:rPr>
        <w:t xml:space="preserve"> </w:t>
      </w:r>
      <w:hyperlink r:id="rId327">
        <w:r>
          <w:rPr>
            <w:u w:val="single"/>
          </w:rPr>
          <w:t>Lei</w:t>
        </w:r>
        <w:r>
          <w:rPr>
            <w:spacing w:val="7"/>
            <w:u w:val="single"/>
          </w:rPr>
          <w:t xml:space="preserve"> </w:t>
        </w:r>
        <w:r>
          <w:rPr>
            <w:u w:val="single"/>
          </w:rPr>
          <w:t>nº</w:t>
        </w:r>
        <w:r>
          <w:rPr>
            <w:spacing w:val="6"/>
            <w:u w:val="single"/>
          </w:rPr>
          <w:t xml:space="preserve"> </w:t>
        </w:r>
        <w:r>
          <w:rPr>
            <w:u w:val="single"/>
          </w:rPr>
          <w:t>14.485,</w:t>
        </w:r>
        <w:r>
          <w:rPr>
            <w:spacing w:val="6"/>
            <w:u w:val="single"/>
          </w:rPr>
          <w:t xml:space="preserve"> </w:t>
        </w:r>
        <w:r>
          <w:rPr>
            <w:u w:val="single"/>
          </w:rPr>
          <w:t>de</w:t>
        </w:r>
        <w:r>
          <w:rPr>
            <w:spacing w:val="6"/>
            <w:u w:val="single"/>
          </w:rPr>
          <w:t xml:space="preserve"> </w:t>
        </w:r>
        <w:r>
          <w:rPr>
            <w:u w:val="single"/>
          </w:rPr>
          <w:t>19</w:t>
        </w:r>
        <w:r>
          <w:rPr>
            <w:spacing w:val="6"/>
            <w:u w:val="single"/>
          </w:rPr>
          <w:t xml:space="preserve"> </w:t>
        </w:r>
        <w:r>
          <w:rPr>
            <w:spacing w:val="-5"/>
            <w:u w:val="single"/>
          </w:rPr>
          <w:t>de</w:t>
        </w:r>
      </w:hyperlink>
    </w:p>
    <w:p w:rsidR="007259F2" w:rsidRDefault="00DE6B1C">
      <w:pPr>
        <w:spacing w:line="252" w:lineRule="exact"/>
        <w:ind w:left="710"/>
      </w:pPr>
      <w:hyperlink r:id="rId328">
        <w:r w:rsidR="00E655B4">
          <w:rPr>
            <w:u w:val="single"/>
          </w:rPr>
          <w:t>julho</w:t>
        </w:r>
        <w:r w:rsidR="00E655B4">
          <w:rPr>
            <w:spacing w:val="-3"/>
            <w:u w:val="single"/>
          </w:rPr>
          <w:t xml:space="preserve"> </w:t>
        </w:r>
        <w:r w:rsidR="00E655B4">
          <w:rPr>
            <w:u w:val="single"/>
          </w:rPr>
          <w:t>de</w:t>
        </w:r>
        <w:r w:rsidR="00E655B4">
          <w:rPr>
            <w:spacing w:val="-3"/>
            <w:u w:val="single"/>
          </w:rPr>
          <w:t xml:space="preserve"> </w:t>
        </w:r>
        <w:r w:rsidR="00E655B4">
          <w:rPr>
            <w:u w:val="single"/>
          </w:rPr>
          <w:t>2007,</w:t>
        </w:r>
      </w:hyperlink>
      <w:r w:rsidR="00E655B4">
        <w:rPr>
          <w:spacing w:val="-4"/>
        </w:rPr>
        <w:t xml:space="preserve"> </w:t>
      </w:r>
      <w:r w:rsidR="00E655B4">
        <w:t>[...]</w:t>
      </w:r>
      <w:r w:rsidR="00E655B4">
        <w:rPr>
          <w:spacing w:val="-3"/>
        </w:rPr>
        <w:t xml:space="preserve"> </w:t>
      </w:r>
      <w:r w:rsidR="00E655B4">
        <w:t>São</w:t>
      </w:r>
      <w:r w:rsidR="00E655B4">
        <w:rPr>
          <w:spacing w:val="-3"/>
        </w:rPr>
        <w:t xml:space="preserve"> </w:t>
      </w:r>
      <w:r w:rsidR="00E655B4">
        <w:t>Paulo</w:t>
      </w:r>
      <w:r w:rsidR="00E655B4">
        <w:rPr>
          <w:spacing w:val="-3"/>
        </w:rPr>
        <w:t xml:space="preserve"> </w:t>
      </w:r>
      <w:r w:rsidR="00E655B4">
        <w:t>(SP):</w:t>
      </w:r>
      <w:r w:rsidR="00E655B4">
        <w:rPr>
          <w:spacing w:val="-2"/>
        </w:rPr>
        <w:t xml:space="preserve"> </w:t>
      </w:r>
      <w:r w:rsidR="00E655B4">
        <w:t>Diário</w:t>
      </w:r>
      <w:r w:rsidR="00E655B4">
        <w:rPr>
          <w:spacing w:val="-3"/>
        </w:rPr>
        <w:t xml:space="preserve"> </w:t>
      </w:r>
      <w:r w:rsidR="00E655B4">
        <w:t>Oficial</w:t>
      </w:r>
      <w:r w:rsidR="00E655B4">
        <w:rPr>
          <w:spacing w:val="-2"/>
        </w:rPr>
        <w:t xml:space="preserve"> </w:t>
      </w:r>
      <w:r w:rsidR="00E655B4">
        <w:t>do</w:t>
      </w:r>
      <w:r w:rsidR="00E655B4">
        <w:rPr>
          <w:spacing w:val="-5"/>
        </w:rPr>
        <w:t xml:space="preserve"> </w:t>
      </w:r>
      <w:r w:rsidR="00E655B4">
        <w:t>Município,</w:t>
      </w:r>
      <w:r w:rsidR="00E655B4">
        <w:rPr>
          <w:spacing w:val="-3"/>
        </w:rPr>
        <w:t xml:space="preserve"> </w:t>
      </w:r>
      <w:r w:rsidR="00E655B4">
        <w:rPr>
          <w:spacing w:val="-2"/>
        </w:rPr>
        <w:t>2022.</w:t>
      </w:r>
    </w:p>
    <w:p w:rsidR="007259F2" w:rsidRDefault="007259F2">
      <w:pPr>
        <w:spacing w:line="252" w:lineRule="exact"/>
        <w:sectPr w:rsidR="007259F2">
          <w:pgSz w:w="11910" w:h="16840"/>
          <w:pgMar w:top="1600" w:right="708" w:bottom="1020" w:left="992" w:header="0" w:footer="820" w:gutter="0"/>
          <w:cols w:space="720"/>
        </w:sectPr>
      </w:pPr>
    </w:p>
    <w:p w:rsidR="007259F2" w:rsidRDefault="00E655B4">
      <w:pPr>
        <w:spacing w:before="77" w:line="252" w:lineRule="exact"/>
        <w:ind w:left="710"/>
      </w:pPr>
      <w:r>
        <w:lastRenderedPageBreak/>
        <w:t>SÃO</w:t>
      </w:r>
      <w:r>
        <w:rPr>
          <w:spacing w:val="69"/>
        </w:rPr>
        <w:t xml:space="preserve"> </w:t>
      </w:r>
      <w:r>
        <w:t>PAULO</w:t>
      </w:r>
      <w:r>
        <w:rPr>
          <w:spacing w:val="70"/>
        </w:rPr>
        <w:t xml:space="preserve"> </w:t>
      </w:r>
      <w:r>
        <w:t>(SP).</w:t>
      </w:r>
      <w:r>
        <w:rPr>
          <w:spacing w:val="73"/>
        </w:rPr>
        <w:t xml:space="preserve"> </w:t>
      </w:r>
      <w:r>
        <w:rPr>
          <w:b/>
        </w:rPr>
        <w:t>LEI</w:t>
      </w:r>
      <w:r>
        <w:rPr>
          <w:b/>
          <w:spacing w:val="70"/>
        </w:rPr>
        <w:t xml:space="preserve"> </w:t>
      </w:r>
      <w:r>
        <w:rPr>
          <w:b/>
        </w:rPr>
        <w:t>Nº</w:t>
      </w:r>
      <w:r>
        <w:rPr>
          <w:b/>
          <w:spacing w:val="72"/>
        </w:rPr>
        <w:t xml:space="preserve"> </w:t>
      </w:r>
      <w:r>
        <w:rPr>
          <w:b/>
        </w:rPr>
        <w:t>17.735,</w:t>
      </w:r>
      <w:r>
        <w:rPr>
          <w:b/>
          <w:spacing w:val="69"/>
        </w:rPr>
        <w:t xml:space="preserve"> </w:t>
      </w:r>
      <w:r>
        <w:rPr>
          <w:b/>
        </w:rPr>
        <w:t>DE</w:t>
      </w:r>
      <w:r>
        <w:rPr>
          <w:b/>
          <w:spacing w:val="71"/>
        </w:rPr>
        <w:t xml:space="preserve"> </w:t>
      </w:r>
      <w:r>
        <w:rPr>
          <w:b/>
        </w:rPr>
        <w:t>11</w:t>
      </w:r>
      <w:r>
        <w:rPr>
          <w:b/>
          <w:spacing w:val="69"/>
        </w:rPr>
        <w:t xml:space="preserve"> </w:t>
      </w:r>
      <w:r>
        <w:rPr>
          <w:b/>
        </w:rPr>
        <w:t>DE</w:t>
      </w:r>
      <w:r>
        <w:rPr>
          <w:b/>
          <w:spacing w:val="71"/>
        </w:rPr>
        <w:t xml:space="preserve"> </w:t>
      </w:r>
      <w:r>
        <w:rPr>
          <w:b/>
        </w:rPr>
        <w:t>JANEIRO</w:t>
      </w:r>
      <w:r>
        <w:rPr>
          <w:b/>
          <w:spacing w:val="73"/>
        </w:rPr>
        <w:t xml:space="preserve"> </w:t>
      </w:r>
      <w:r>
        <w:rPr>
          <w:b/>
        </w:rPr>
        <w:t>DE</w:t>
      </w:r>
      <w:r>
        <w:rPr>
          <w:b/>
          <w:spacing w:val="69"/>
        </w:rPr>
        <w:t xml:space="preserve"> </w:t>
      </w:r>
      <w:r>
        <w:rPr>
          <w:b/>
        </w:rPr>
        <w:t>2022</w:t>
      </w:r>
      <w:r>
        <w:t>.</w:t>
      </w:r>
      <w:r>
        <w:rPr>
          <w:spacing w:val="67"/>
        </w:rPr>
        <w:t xml:space="preserve"> </w:t>
      </w:r>
      <w:r>
        <w:t>Autoriza</w:t>
      </w:r>
      <w:r>
        <w:rPr>
          <w:spacing w:val="72"/>
        </w:rPr>
        <w:t xml:space="preserve"> </w:t>
      </w:r>
      <w:r>
        <w:t>a</w:t>
      </w:r>
      <w:r>
        <w:rPr>
          <w:spacing w:val="71"/>
        </w:rPr>
        <w:t xml:space="preserve"> </w:t>
      </w:r>
      <w:r>
        <w:rPr>
          <w:spacing w:val="-2"/>
        </w:rPr>
        <w:t>concessão</w:t>
      </w:r>
    </w:p>
    <w:p w:rsidR="007259F2" w:rsidRDefault="00E655B4">
      <w:pPr>
        <w:spacing w:line="252" w:lineRule="exact"/>
        <w:ind w:left="710"/>
      </w:pPr>
      <w:r>
        <w:t>administrativa</w:t>
      </w:r>
      <w:r>
        <w:rPr>
          <w:spacing w:val="-5"/>
        </w:rPr>
        <w:t xml:space="preserve"> </w:t>
      </w:r>
      <w:r>
        <w:t>[...]</w:t>
      </w:r>
      <w:r>
        <w:rPr>
          <w:spacing w:val="-5"/>
        </w:rPr>
        <w:t xml:space="preserve"> </w:t>
      </w:r>
      <w:r>
        <w:t>São</w:t>
      </w:r>
      <w:r>
        <w:rPr>
          <w:spacing w:val="-5"/>
        </w:rPr>
        <w:t xml:space="preserve"> </w:t>
      </w:r>
      <w:r>
        <w:t>Paulo</w:t>
      </w:r>
      <w:r>
        <w:rPr>
          <w:spacing w:val="-5"/>
        </w:rPr>
        <w:t xml:space="preserve"> </w:t>
      </w:r>
      <w:r>
        <w:t>(SP):</w:t>
      </w:r>
      <w:r>
        <w:rPr>
          <w:spacing w:val="-3"/>
        </w:rPr>
        <w:t xml:space="preserve"> </w:t>
      </w:r>
      <w:r>
        <w:t>Diário</w:t>
      </w:r>
      <w:r>
        <w:rPr>
          <w:spacing w:val="-5"/>
        </w:rPr>
        <w:t xml:space="preserve"> </w:t>
      </w:r>
      <w:r>
        <w:t>Oficial</w:t>
      </w:r>
      <w:r>
        <w:rPr>
          <w:spacing w:val="-4"/>
        </w:rPr>
        <w:t xml:space="preserve"> </w:t>
      </w:r>
      <w:r>
        <w:t>do</w:t>
      </w:r>
      <w:r>
        <w:rPr>
          <w:spacing w:val="-5"/>
        </w:rPr>
        <w:t xml:space="preserve"> </w:t>
      </w:r>
      <w:r>
        <w:t>Município,</w:t>
      </w:r>
      <w:r>
        <w:rPr>
          <w:spacing w:val="-4"/>
        </w:rPr>
        <w:t xml:space="preserve"> </w:t>
      </w:r>
      <w:r>
        <w:rPr>
          <w:spacing w:val="-2"/>
        </w:rPr>
        <w:t>2022.</w:t>
      </w:r>
    </w:p>
    <w:p w:rsidR="007259F2" w:rsidRDefault="00E655B4">
      <w:pPr>
        <w:spacing w:before="122"/>
        <w:ind w:left="710"/>
      </w:pPr>
      <w:r>
        <w:t>SÃO</w:t>
      </w:r>
      <w:r>
        <w:rPr>
          <w:spacing w:val="28"/>
        </w:rPr>
        <w:t xml:space="preserve"> </w:t>
      </w:r>
      <w:r>
        <w:t>PAULO</w:t>
      </w:r>
      <w:r>
        <w:rPr>
          <w:spacing w:val="27"/>
        </w:rPr>
        <w:t xml:space="preserve"> </w:t>
      </w:r>
      <w:r>
        <w:t>(SP).</w:t>
      </w:r>
      <w:r>
        <w:rPr>
          <w:spacing w:val="30"/>
        </w:rPr>
        <w:t xml:space="preserve"> </w:t>
      </w:r>
      <w:r>
        <w:rPr>
          <w:b/>
        </w:rPr>
        <w:t>LEI</w:t>
      </w:r>
      <w:r>
        <w:rPr>
          <w:b/>
          <w:spacing w:val="27"/>
        </w:rPr>
        <w:t xml:space="preserve"> </w:t>
      </w:r>
      <w:r>
        <w:rPr>
          <w:b/>
        </w:rPr>
        <w:t>Nº</w:t>
      </w:r>
      <w:r>
        <w:rPr>
          <w:b/>
          <w:spacing w:val="28"/>
        </w:rPr>
        <w:t xml:space="preserve"> </w:t>
      </w:r>
      <w:r>
        <w:rPr>
          <w:b/>
        </w:rPr>
        <w:t>17.734,</w:t>
      </w:r>
      <w:r>
        <w:rPr>
          <w:b/>
          <w:spacing w:val="29"/>
        </w:rPr>
        <w:t xml:space="preserve"> </w:t>
      </w:r>
      <w:r>
        <w:rPr>
          <w:b/>
        </w:rPr>
        <w:t>DE</w:t>
      </w:r>
      <w:r>
        <w:rPr>
          <w:b/>
          <w:spacing w:val="28"/>
        </w:rPr>
        <w:t xml:space="preserve"> </w:t>
      </w:r>
      <w:r>
        <w:rPr>
          <w:b/>
        </w:rPr>
        <w:t>11</w:t>
      </w:r>
      <w:r>
        <w:rPr>
          <w:b/>
          <w:spacing w:val="29"/>
        </w:rPr>
        <w:t xml:space="preserve"> </w:t>
      </w:r>
      <w:r>
        <w:rPr>
          <w:b/>
        </w:rPr>
        <w:t>DE</w:t>
      </w:r>
      <w:r>
        <w:rPr>
          <w:b/>
          <w:spacing w:val="28"/>
        </w:rPr>
        <w:t xml:space="preserve"> </w:t>
      </w:r>
      <w:r>
        <w:rPr>
          <w:b/>
        </w:rPr>
        <w:t>JANEIRO</w:t>
      </w:r>
      <w:r>
        <w:rPr>
          <w:b/>
          <w:spacing w:val="29"/>
        </w:rPr>
        <w:t xml:space="preserve"> </w:t>
      </w:r>
      <w:r>
        <w:rPr>
          <w:b/>
        </w:rPr>
        <w:t>DE</w:t>
      </w:r>
      <w:r>
        <w:rPr>
          <w:b/>
          <w:spacing w:val="28"/>
        </w:rPr>
        <w:t xml:space="preserve"> </w:t>
      </w:r>
      <w:r>
        <w:rPr>
          <w:b/>
        </w:rPr>
        <w:t>2022</w:t>
      </w:r>
      <w:r>
        <w:t>.</w:t>
      </w:r>
      <w:r>
        <w:rPr>
          <w:spacing w:val="29"/>
        </w:rPr>
        <w:t xml:space="preserve"> </w:t>
      </w:r>
      <w:r>
        <w:t>Regulamenta,</w:t>
      </w:r>
      <w:r>
        <w:rPr>
          <w:spacing w:val="29"/>
        </w:rPr>
        <w:t xml:space="preserve"> </w:t>
      </w:r>
      <w:r>
        <w:t>no</w:t>
      </w:r>
      <w:r>
        <w:rPr>
          <w:spacing w:val="29"/>
        </w:rPr>
        <w:t xml:space="preserve"> </w:t>
      </w:r>
      <w:r>
        <w:t>âmbito</w:t>
      </w:r>
      <w:r>
        <w:rPr>
          <w:spacing w:val="29"/>
        </w:rPr>
        <w:t xml:space="preserve"> </w:t>
      </w:r>
      <w:r>
        <w:t>do Município de São Paulo, [...] São Paulo (SP): Diário Oficial do Município, 2022.</w:t>
      </w:r>
    </w:p>
    <w:p w:rsidR="007259F2" w:rsidRDefault="00E655B4">
      <w:pPr>
        <w:spacing w:before="118"/>
        <w:ind w:left="710" w:right="561"/>
      </w:pPr>
      <w:r>
        <w:t xml:space="preserve">SÃO PAULO (SP). </w:t>
      </w:r>
      <w:r>
        <w:rPr>
          <w:b/>
        </w:rPr>
        <w:t>LEI Nº 17.733, DE 11 DE JANEIRO DE 2022</w:t>
      </w:r>
      <w:r>
        <w:t>. Dispõe sobre a implantação de estação rádio-base, [...] São Paulo (SP): Diário Oficial do Município, 2022.</w:t>
      </w:r>
    </w:p>
    <w:p w:rsidR="007259F2" w:rsidRDefault="00E655B4">
      <w:pPr>
        <w:spacing w:before="120"/>
        <w:ind w:left="710"/>
      </w:pPr>
      <w:r>
        <w:t xml:space="preserve">SÃO PAULO (SP). </w:t>
      </w:r>
      <w:r>
        <w:rPr>
          <w:b/>
        </w:rPr>
        <w:t>LEI Nº 17.732, DE 11</w:t>
      </w:r>
      <w:r>
        <w:rPr>
          <w:b/>
          <w:spacing w:val="19"/>
        </w:rPr>
        <w:t xml:space="preserve"> </w:t>
      </w:r>
      <w:r>
        <w:rPr>
          <w:b/>
        </w:rPr>
        <w:t>DE JANEIRO DE 2022</w:t>
      </w:r>
      <w:r>
        <w:t>. Altera a denominação da Rua</w:t>
      </w:r>
      <w:r>
        <w:rPr>
          <w:spacing w:val="80"/>
        </w:rPr>
        <w:t xml:space="preserve"> </w:t>
      </w:r>
      <w:r>
        <w:t>Inhaúma, [...] São Paulo (SP): Diário Oficial do Município, 2022.</w:t>
      </w:r>
    </w:p>
    <w:p w:rsidR="007259F2" w:rsidRDefault="00E655B4">
      <w:pPr>
        <w:spacing w:before="120"/>
        <w:ind w:left="710" w:right="561"/>
      </w:pPr>
      <w:r>
        <w:t>SÃO PAULO (SP).</w:t>
      </w:r>
      <w:r>
        <w:rPr>
          <w:spacing w:val="80"/>
        </w:rPr>
        <w:t xml:space="preserve"> </w:t>
      </w:r>
      <w:r>
        <w:rPr>
          <w:b/>
        </w:rPr>
        <w:t>LEI Nº 17.731, DE 6 DE JANEIRO DE 2022</w:t>
      </w:r>
      <w:r>
        <w:t>. Estabelece as diretrizes gerais</w:t>
      </w:r>
      <w:r>
        <w:rPr>
          <w:spacing w:val="80"/>
        </w:rPr>
        <w:t xml:space="preserve"> </w:t>
      </w:r>
      <w:r>
        <w:t>para a prorrogação e relicitação [...] São Paulo (SP): Diário Oficial do Município, 2022.</w:t>
      </w:r>
    </w:p>
    <w:p w:rsidR="007259F2" w:rsidRDefault="00E655B4">
      <w:pPr>
        <w:spacing w:before="122"/>
        <w:ind w:left="710"/>
      </w:pPr>
      <w:r>
        <w:t>PAULO (SP).</w:t>
      </w:r>
      <w:r>
        <w:rPr>
          <w:spacing w:val="40"/>
        </w:rPr>
        <w:t xml:space="preserve"> </w:t>
      </w:r>
      <w:r>
        <w:rPr>
          <w:b/>
        </w:rPr>
        <w:t>LEI Nº 17.891, DE 4 DE JANEIRO DE 2023</w:t>
      </w:r>
      <w:r>
        <w:t>. Denomina Praça Jorge Rosa da Silva [...].São Paulo (SP): Diário Oficial do Município, 2022.</w:t>
      </w:r>
    </w:p>
    <w:p w:rsidR="007259F2" w:rsidRDefault="00E655B4">
      <w:pPr>
        <w:spacing w:before="120"/>
        <w:ind w:left="710" w:right="424"/>
      </w:pPr>
      <w:r>
        <w:t>SÃO PAULO (SP).</w:t>
      </w:r>
      <w:r>
        <w:rPr>
          <w:spacing w:val="40"/>
        </w:rPr>
        <w:t xml:space="preserve"> </w:t>
      </w:r>
      <w:r>
        <w:rPr>
          <w:b/>
        </w:rPr>
        <w:t xml:space="preserve">LEI Nº 17.892, DE 4 DE JANEIRO DE 2023. </w:t>
      </w:r>
      <w:r>
        <w:t>Denomina Praça Padre Eduardo Ramos [...] São Paulo (SP): Diário Oficial do Município, 2022.</w:t>
      </w:r>
    </w:p>
    <w:p w:rsidR="007259F2" w:rsidRDefault="00E655B4">
      <w:pPr>
        <w:spacing w:before="116"/>
        <w:ind w:left="710"/>
      </w:pPr>
      <w:r>
        <w:rPr>
          <w:sz w:val="24"/>
        </w:rPr>
        <w:t xml:space="preserve">SÃO PAULO (SP). </w:t>
      </w:r>
      <w:r>
        <w:rPr>
          <w:b/>
          <w:sz w:val="24"/>
        </w:rPr>
        <w:t xml:space="preserve">LEI Nº 17.893, DE 6 DE JANEIRO DE 2023 </w:t>
      </w:r>
      <w:r>
        <w:t>Autoriza a celebração de convênio [...] São Paulo (SP): Diário Oficial do Município, 2022</w:t>
      </w:r>
    </w:p>
    <w:p w:rsidR="007259F2" w:rsidRDefault="007259F2">
      <w:pPr>
        <w:sectPr w:rsidR="007259F2">
          <w:pgSz w:w="11910" w:h="16840"/>
          <w:pgMar w:top="1600" w:right="708" w:bottom="1020" w:left="992" w:header="0" w:footer="820" w:gutter="0"/>
          <w:cols w:space="720"/>
        </w:sectPr>
      </w:pPr>
    </w:p>
    <w:p w:rsidR="007259F2" w:rsidRDefault="00E655B4">
      <w:pPr>
        <w:spacing w:before="60" w:line="415" w:lineRule="auto"/>
        <w:ind w:left="710" w:right="2069"/>
        <w:rPr>
          <w:b/>
          <w:sz w:val="24"/>
        </w:rPr>
      </w:pPr>
      <w:bookmarkStart w:id="17" w:name="_bookmark17"/>
      <w:bookmarkEnd w:id="17"/>
      <w:r>
        <w:rPr>
          <w:b/>
          <w:sz w:val="24"/>
        </w:rPr>
        <w:lastRenderedPageBreak/>
        <w:t>O</w:t>
      </w:r>
      <w:r>
        <w:rPr>
          <w:b/>
          <w:spacing w:val="-5"/>
          <w:sz w:val="24"/>
        </w:rPr>
        <w:t xml:space="preserve"> </w:t>
      </w:r>
      <w:r>
        <w:rPr>
          <w:b/>
          <w:sz w:val="24"/>
        </w:rPr>
        <w:t>impacto</w:t>
      </w:r>
      <w:r>
        <w:rPr>
          <w:b/>
          <w:spacing w:val="-5"/>
          <w:sz w:val="24"/>
        </w:rPr>
        <w:t xml:space="preserve"> </w:t>
      </w:r>
      <w:r>
        <w:rPr>
          <w:b/>
          <w:sz w:val="24"/>
        </w:rPr>
        <w:t>da</w:t>
      </w:r>
      <w:r>
        <w:rPr>
          <w:b/>
          <w:spacing w:val="-5"/>
          <w:sz w:val="24"/>
        </w:rPr>
        <w:t xml:space="preserve"> </w:t>
      </w:r>
      <w:r>
        <w:rPr>
          <w:b/>
          <w:sz w:val="24"/>
        </w:rPr>
        <w:t>inserção</w:t>
      </w:r>
      <w:r>
        <w:rPr>
          <w:b/>
          <w:spacing w:val="-3"/>
          <w:sz w:val="24"/>
        </w:rPr>
        <w:t xml:space="preserve"> </w:t>
      </w:r>
      <w:r>
        <w:rPr>
          <w:b/>
          <w:sz w:val="24"/>
        </w:rPr>
        <w:t>do</w:t>
      </w:r>
      <w:r>
        <w:rPr>
          <w:b/>
          <w:spacing w:val="-5"/>
          <w:sz w:val="24"/>
        </w:rPr>
        <w:t xml:space="preserve"> </w:t>
      </w:r>
      <w:r>
        <w:rPr>
          <w:b/>
          <w:sz w:val="24"/>
        </w:rPr>
        <w:t>diálogo</w:t>
      </w:r>
      <w:r>
        <w:rPr>
          <w:b/>
          <w:spacing w:val="-5"/>
          <w:sz w:val="24"/>
        </w:rPr>
        <w:t xml:space="preserve"> </w:t>
      </w:r>
      <w:r>
        <w:rPr>
          <w:b/>
          <w:sz w:val="24"/>
        </w:rPr>
        <w:t>competitivo</w:t>
      </w:r>
      <w:r>
        <w:rPr>
          <w:b/>
          <w:spacing w:val="-3"/>
          <w:sz w:val="24"/>
        </w:rPr>
        <w:t xml:space="preserve"> </w:t>
      </w:r>
      <w:r>
        <w:rPr>
          <w:b/>
          <w:sz w:val="24"/>
        </w:rPr>
        <w:t>nas</w:t>
      </w:r>
      <w:r>
        <w:rPr>
          <w:b/>
          <w:spacing w:val="-5"/>
          <w:sz w:val="24"/>
        </w:rPr>
        <w:t xml:space="preserve"> </w:t>
      </w:r>
      <w:r>
        <w:rPr>
          <w:b/>
          <w:sz w:val="24"/>
        </w:rPr>
        <w:t>contratações</w:t>
      </w:r>
      <w:r>
        <w:rPr>
          <w:b/>
          <w:spacing w:val="-5"/>
          <w:sz w:val="24"/>
        </w:rPr>
        <w:t xml:space="preserve"> </w:t>
      </w:r>
      <w:r>
        <w:rPr>
          <w:b/>
          <w:sz w:val="24"/>
        </w:rPr>
        <w:t>públicas The impact of inserting competitive dialogue in public contracts</w:t>
      </w:r>
    </w:p>
    <w:p w:rsidR="007259F2" w:rsidRDefault="00E655B4">
      <w:pPr>
        <w:spacing w:line="274" w:lineRule="exact"/>
        <w:ind w:left="710"/>
        <w:rPr>
          <w:b/>
          <w:sz w:val="24"/>
        </w:rPr>
      </w:pPr>
      <w:r>
        <w:rPr>
          <w:b/>
          <w:sz w:val="24"/>
        </w:rPr>
        <w:t>Renato</w:t>
      </w:r>
      <w:r>
        <w:rPr>
          <w:b/>
          <w:spacing w:val="-1"/>
          <w:sz w:val="24"/>
        </w:rPr>
        <w:t xml:space="preserve"> </w:t>
      </w:r>
      <w:r>
        <w:rPr>
          <w:b/>
          <w:sz w:val="24"/>
        </w:rPr>
        <w:t>Santos</w:t>
      </w:r>
      <w:r>
        <w:rPr>
          <w:b/>
          <w:spacing w:val="-1"/>
          <w:sz w:val="24"/>
        </w:rPr>
        <w:t xml:space="preserve"> </w:t>
      </w:r>
      <w:r>
        <w:rPr>
          <w:b/>
          <w:sz w:val="24"/>
        </w:rPr>
        <w:t>de</w:t>
      </w:r>
      <w:r>
        <w:rPr>
          <w:b/>
          <w:spacing w:val="-1"/>
          <w:sz w:val="24"/>
        </w:rPr>
        <w:t xml:space="preserve"> </w:t>
      </w:r>
      <w:r>
        <w:rPr>
          <w:b/>
          <w:spacing w:val="-2"/>
          <w:sz w:val="24"/>
        </w:rPr>
        <w:t>Oliveira</w:t>
      </w:r>
      <w:r>
        <w:rPr>
          <w:b/>
          <w:spacing w:val="-2"/>
          <w:sz w:val="24"/>
          <w:vertAlign w:val="superscript"/>
        </w:rPr>
        <w:t>1</w:t>
      </w:r>
    </w:p>
    <w:p w:rsidR="007259F2" w:rsidRDefault="007259F2">
      <w:pPr>
        <w:pStyle w:val="Corpodetexto"/>
        <w:spacing w:before="201"/>
        <w:ind w:left="0" w:firstLine="0"/>
        <w:jc w:val="left"/>
        <w:rPr>
          <w:b/>
        </w:rPr>
      </w:pPr>
    </w:p>
    <w:p w:rsidR="007259F2" w:rsidRDefault="00E655B4">
      <w:pPr>
        <w:pStyle w:val="Heading1"/>
        <w:spacing w:before="1"/>
      </w:pPr>
      <w:r>
        <w:rPr>
          <w:spacing w:val="-2"/>
        </w:rPr>
        <w:t>RESUMO</w:t>
      </w:r>
    </w:p>
    <w:p w:rsidR="007259F2" w:rsidRDefault="00E655B4">
      <w:pPr>
        <w:pStyle w:val="Corpodetexto"/>
        <w:spacing w:before="153"/>
        <w:ind w:right="554" w:firstLine="0"/>
      </w:pPr>
      <w:r>
        <w:t>A Nova de Licitações e Contratos Públicos, Lei 14.33/21, trouxe importantes inovações em relação à sua predecessora, a Lei 8.666/93, dentre elas a junção e regulação num único instrumento normativo de todos as modalidades de licitação, tal qual o pregão eletrônico, bem como inaugura a figura do “dialogo competitivo”, utilização para contratação de obras, serviços e compras. Por meio desta nova modalidade licitatória, a Administração Pública estabelece um diálogo com os participantes, previamente selecionados, com o objetivo de desenvolverem alternativas capazes de atender às suas necessidades. O presente artigo científico busca destrinchar esta nova modalidade de licitação, seus pontos positivos, suas inovações e como isto pode reverberar nas contratações públicas.</w:t>
      </w:r>
    </w:p>
    <w:p w:rsidR="007259F2" w:rsidRDefault="00E655B4">
      <w:pPr>
        <w:spacing w:before="121"/>
        <w:ind w:left="710"/>
        <w:jc w:val="both"/>
        <w:rPr>
          <w:sz w:val="24"/>
        </w:rPr>
      </w:pPr>
      <w:r>
        <w:rPr>
          <w:b/>
          <w:sz w:val="24"/>
        </w:rPr>
        <w:t>Palavras-chave:</w:t>
      </w:r>
      <w:r>
        <w:rPr>
          <w:b/>
          <w:spacing w:val="-7"/>
          <w:sz w:val="24"/>
        </w:rPr>
        <w:t xml:space="preserve"> </w:t>
      </w:r>
      <w:r>
        <w:rPr>
          <w:sz w:val="24"/>
        </w:rPr>
        <w:t>diálogo</w:t>
      </w:r>
      <w:r>
        <w:rPr>
          <w:spacing w:val="1"/>
          <w:sz w:val="24"/>
        </w:rPr>
        <w:t xml:space="preserve"> </w:t>
      </w:r>
      <w:r>
        <w:rPr>
          <w:sz w:val="24"/>
        </w:rPr>
        <w:t>competitivo;</w:t>
      </w:r>
      <w:r>
        <w:rPr>
          <w:spacing w:val="8"/>
          <w:sz w:val="24"/>
        </w:rPr>
        <w:t xml:space="preserve"> </w:t>
      </w:r>
      <w:r>
        <w:rPr>
          <w:sz w:val="24"/>
        </w:rPr>
        <w:t>licitação</w:t>
      </w:r>
      <w:r>
        <w:rPr>
          <w:spacing w:val="-3"/>
          <w:sz w:val="24"/>
        </w:rPr>
        <w:t xml:space="preserve"> </w:t>
      </w:r>
      <w:r>
        <w:rPr>
          <w:sz w:val="24"/>
        </w:rPr>
        <w:t>e</w:t>
      </w:r>
      <w:r>
        <w:rPr>
          <w:spacing w:val="-5"/>
          <w:sz w:val="24"/>
        </w:rPr>
        <w:t xml:space="preserve"> </w:t>
      </w:r>
      <w:r>
        <w:rPr>
          <w:sz w:val="24"/>
        </w:rPr>
        <w:t>contratos;</w:t>
      </w:r>
      <w:r>
        <w:rPr>
          <w:spacing w:val="-6"/>
          <w:sz w:val="24"/>
        </w:rPr>
        <w:t xml:space="preserve"> </w:t>
      </w:r>
      <w:r>
        <w:rPr>
          <w:sz w:val="24"/>
        </w:rPr>
        <w:t>lei</w:t>
      </w:r>
      <w:r>
        <w:rPr>
          <w:spacing w:val="-13"/>
          <w:sz w:val="24"/>
        </w:rPr>
        <w:t xml:space="preserve"> </w:t>
      </w:r>
      <w:r>
        <w:rPr>
          <w:sz w:val="24"/>
        </w:rPr>
        <w:t>nº</w:t>
      </w:r>
      <w:r>
        <w:rPr>
          <w:spacing w:val="-2"/>
          <w:sz w:val="24"/>
        </w:rPr>
        <w:t xml:space="preserve"> 14.133/2021.</w:t>
      </w:r>
    </w:p>
    <w:p w:rsidR="007259F2" w:rsidRDefault="007259F2">
      <w:pPr>
        <w:pStyle w:val="Corpodetexto"/>
        <w:spacing w:before="274"/>
        <w:ind w:left="0" w:firstLine="0"/>
        <w:jc w:val="left"/>
      </w:pPr>
    </w:p>
    <w:p w:rsidR="007259F2" w:rsidRDefault="00E655B4">
      <w:pPr>
        <w:pStyle w:val="Heading1"/>
      </w:pPr>
      <w:r>
        <w:rPr>
          <w:spacing w:val="-2"/>
        </w:rPr>
        <w:t>ABSTRACT</w:t>
      </w:r>
    </w:p>
    <w:p w:rsidR="007259F2" w:rsidRDefault="00E655B4">
      <w:pPr>
        <w:pStyle w:val="Corpodetexto"/>
        <w:spacing w:before="153"/>
        <w:ind w:right="563" w:firstLine="0"/>
      </w:pPr>
      <w:r>
        <w:t>The New Public Tenders and Contracts, Law 14.33/21, brought important innovations in relation to its predecessor, Law 8.666/93, including the joining and regulation of all bidding modalities into a single normative instrument, such as the electronic auction. , as well as inaugurating the figure of “competitive dialogue”, used for contracting works, services and purchases. Through this new bidding modality, the Public Administration establishes a dialogue with previously selected participants, with the aim of developing alternatives capable of meeting their needs. This scientific article seeks to unravel this new type of bidding, its positive points, its innovations and how this can reverberate in public</w:t>
      </w:r>
      <w:r>
        <w:rPr>
          <w:spacing w:val="40"/>
        </w:rPr>
        <w:t xml:space="preserve"> </w:t>
      </w:r>
      <w:r>
        <w:rPr>
          <w:spacing w:val="-2"/>
        </w:rPr>
        <w:t>contracting.</w:t>
      </w:r>
    </w:p>
    <w:p w:rsidR="007259F2" w:rsidRDefault="00E655B4">
      <w:pPr>
        <w:pStyle w:val="Corpodetexto"/>
        <w:spacing w:before="121"/>
        <w:ind w:firstLine="0"/>
      </w:pPr>
      <w:r>
        <w:rPr>
          <w:b/>
        </w:rPr>
        <w:t>Keywords:</w:t>
      </w:r>
      <w:r>
        <w:rPr>
          <w:b/>
          <w:spacing w:val="-4"/>
        </w:rPr>
        <w:t xml:space="preserve"> </w:t>
      </w:r>
      <w:r>
        <w:t>competitive</w:t>
      </w:r>
      <w:r>
        <w:rPr>
          <w:spacing w:val="-4"/>
        </w:rPr>
        <w:t xml:space="preserve"> </w:t>
      </w:r>
      <w:r>
        <w:t>dialogue;</w:t>
      </w:r>
      <w:r>
        <w:rPr>
          <w:spacing w:val="-1"/>
        </w:rPr>
        <w:t xml:space="preserve"> </w:t>
      </w:r>
      <w:r>
        <w:t>bidding</w:t>
      </w:r>
      <w:r>
        <w:rPr>
          <w:spacing w:val="-6"/>
        </w:rPr>
        <w:t xml:space="preserve"> </w:t>
      </w:r>
      <w:r>
        <w:t>and</w:t>
      </w:r>
      <w:r>
        <w:rPr>
          <w:spacing w:val="-1"/>
        </w:rPr>
        <w:t xml:space="preserve"> </w:t>
      </w:r>
      <w:r>
        <w:t>contracts;</w:t>
      </w:r>
      <w:r>
        <w:rPr>
          <w:spacing w:val="-1"/>
        </w:rPr>
        <w:t xml:space="preserve"> </w:t>
      </w:r>
      <w:r>
        <w:t>law</w:t>
      </w:r>
      <w:r>
        <w:rPr>
          <w:spacing w:val="-5"/>
        </w:rPr>
        <w:t xml:space="preserve"> </w:t>
      </w:r>
      <w:r>
        <w:t xml:space="preserve">n. </w:t>
      </w:r>
      <w:r>
        <w:rPr>
          <w:spacing w:val="-2"/>
        </w:rPr>
        <w:t>14.133/2021.</w:t>
      </w:r>
    </w:p>
    <w:p w:rsidR="007259F2" w:rsidRDefault="007259F2">
      <w:pPr>
        <w:pStyle w:val="Corpodetexto"/>
        <w:spacing w:before="201"/>
        <w:ind w:left="0" w:firstLine="0"/>
        <w:jc w:val="left"/>
      </w:pPr>
    </w:p>
    <w:p w:rsidR="007259F2" w:rsidRDefault="00E655B4">
      <w:pPr>
        <w:pStyle w:val="Heading2"/>
        <w:numPr>
          <w:ilvl w:val="0"/>
          <w:numId w:val="19"/>
        </w:numPr>
        <w:tabs>
          <w:tab w:val="left" w:pos="942"/>
        </w:tabs>
        <w:spacing w:before="1"/>
        <w:ind w:hanging="232"/>
        <w:jc w:val="both"/>
      </w:pPr>
      <w:r>
        <w:rPr>
          <w:spacing w:val="-2"/>
        </w:rPr>
        <w:t>Introdução</w:t>
      </w:r>
    </w:p>
    <w:p w:rsidR="007259F2" w:rsidRDefault="00E655B4">
      <w:pPr>
        <w:pStyle w:val="Corpodetexto"/>
        <w:spacing w:before="115"/>
        <w:ind w:right="427"/>
      </w:pPr>
      <w:r>
        <w:t xml:space="preserve">O Estado é o responsável pela execução das políticas públicas necessárias ao sadio exercício das liberdades individuais e coletivas. Para a execução dessas políticas, muitas vezes, é necessário a realização de contratações com empresas, em sua maioria, particulares e </w:t>
      </w:r>
      <w:r>
        <w:rPr>
          <w:spacing w:val="-2"/>
        </w:rPr>
        <w:t>públicas.</w:t>
      </w:r>
    </w:p>
    <w:p w:rsidR="007259F2" w:rsidRDefault="00E655B4">
      <w:pPr>
        <w:pStyle w:val="Corpodetexto"/>
        <w:spacing w:before="1"/>
        <w:ind w:right="420"/>
      </w:pPr>
      <w:r>
        <w:t>Essas contratações, no entanto, não podem ser realizadas de maneira indiscriminada pelo ente federativo responsável por sua tramitação, na medida que a Administração Pública se encontra pautada pelos princípios da legalidade, impessoalidade, moralidade, publicidade e eficiência, consoante disposto no art. 37, caput, da CRFB/88.</w:t>
      </w:r>
    </w:p>
    <w:p w:rsidR="007259F2" w:rsidRDefault="00E655B4">
      <w:pPr>
        <w:pStyle w:val="Corpodetexto"/>
        <w:ind w:right="428"/>
      </w:pPr>
      <w:r>
        <w:t>Vale salientar que tais princípios vinculam a Administração como um todo, na esfera municipal,</w:t>
      </w:r>
      <w:r>
        <w:rPr>
          <w:spacing w:val="-2"/>
        </w:rPr>
        <w:t xml:space="preserve"> </w:t>
      </w:r>
      <w:r>
        <w:t>estadual</w:t>
      </w:r>
      <w:r>
        <w:rPr>
          <w:spacing w:val="-2"/>
        </w:rPr>
        <w:t xml:space="preserve"> </w:t>
      </w:r>
      <w:r>
        <w:t>e</w:t>
      </w:r>
      <w:r>
        <w:rPr>
          <w:spacing w:val="-3"/>
        </w:rPr>
        <w:t xml:space="preserve"> </w:t>
      </w:r>
      <w:r>
        <w:t>federal,</w:t>
      </w:r>
      <w:r>
        <w:rPr>
          <w:spacing w:val="-2"/>
        </w:rPr>
        <w:t xml:space="preserve"> </w:t>
      </w:r>
      <w:r>
        <w:t>bem</w:t>
      </w:r>
      <w:r>
        <w:rPr>
          <w:spacing w:val="-2"/>
        </w:rPr>
        <w:t xml:space="preserve"> </w:t>
      </w:r>
      <w:r>
        <w:t>como</w:t>
      </w:r>
      <w:r>
        <w:rPr>
          <w:spacing w:val="-2"/>
        </w:rPr>
        <w:t xml:space="preserve"> </w:t>
      </w:r>
      <w:r>
        <w:t>vincula</w:t>
      </w:r>
      <w:r>
        <w:rPr>
          <w:spacing w:val="-3"/>
        </w:rPr>
        <w:t xml:space="preserve"> </w:t>
      </w:r>
      <w:r>
        <w:t>os</w:t>
      </w:r>
      <w:r>
        <w:rPr>
          <w:spacing w:val="-2"/>
        </w:rPr>
        <w:t xml:space="preserve"> </w:t>
      </w:r>
      <w:r>
        <w:t>poderes</w:t>
      </w:r>
      <w:r>
        <w:rPr>
          <w:spacing w:val="-2"/>
        </w:rPr>
        <w:t xml:space="preserve"> </w:t>
      </w:r>
      <w:r>
        <w:t>legislativo,</w:t>
      </w:r>
      <w:r>
        <w:rPr>
          <w:spacing w:val="-2"/>
        </w:rPr>
        <w:t xml:space="preserve"> </w:t>
      </w:r>
      <w:r>
        <w:t>judiciário</w:t>
      </w:r>
      <w:r>
        <w:rPr>
          <w:spacing w:val="-2"/>
        </w:rPr>
        <w:t xml:space="preserve"> </w:t>
      </w:r>
      <w:r>
        <w:t>e</w:t>
      </w:r>
      <w:r>
        <w:rPr>
          <w:spacing w:val="-3"/>
        </w:rPr>
        <w:t xml:space="preserve"> </w:t>
      </w:r>
      <w:r>
        <w:t>executivo. Dá-se</w:t>
      </w:r>
      <w:r>
        <w:rPr>
          <w:spacing w:val="3"/>
        </w:rPr>
        <w:t xml:space="preserve"> </w:t>
      </w:r>
      <w:r>
        <w:t>ênfase</w:t>
      </w:r>
      <w:r>
        <w:rPr>
          <w:spacing w:val="6"/>
        </w:rPr>
        <w:t xml:space="preserve"> </w:t>
      </w:r>
      <w:r>
        <w:t>ao</w:t>
      </w:r>
      <w:r>
        <w:rPr>
          <w:spacing w:val="4"/>
        </w:rPr>
        <w:t xml:space="preserve"> </w:t>
      </w:r>
      <w:r>
        <w:t>Poder</w:t>
      </w:r>
      <w:r>
        <w:rPr>
          <w:spacing w:val="3"/>
        </w:rPr>
        <w:t xml:space="preserve"> </w:t>
      </w:r>
      <w:r>
        <w:t>Executivo,</w:t>
      </w:r>
      <w:r>
        <w:rPr>
          <w:spacing w:val="4"/>
        </w:rPr>
        <w:t xml:space="preserve"> </w:t>
      </w:r>
      <w:r>
        <w:t>na</w:t>
      </w:r>
      <w:r>
        <w:rPr>
          <w:spacing w:val="3"/>
        </w:rPr>
        <w:t xml:space="preserve"> </w:t>
      </w:r>
      <w:r>
        <w:t>medida</w:t>
      </w:r>
      <w:r>
        <w:rPr>
          <w:spacing w:val="3"/>
        </w:rPr>
        <w:t xml:space="preserve"> </w:t>
      </w:r>
      <w:r>
        <w:t>que</w:t>
      </w:r>
      <w:r>
        <w:rPr>
          <w:spacing w:val="6"/>
        </w:rPr>
        <w:t xml:space="preserve"> </w:t>
      </w:r>
      <w:r>
        <w:t>este</w:t>
      </w:r>
      <w:r>
        <w:rPr>
          <w:spacing w:val="4"/>
        </w:rPr>
        <w:t xml:space="preserve"> </w:t>
      </w:r>
      <w:r>
        <w:t>é</w:t>
      </w:r>
      <w:r>
        <w:rPr>
          <w:spacing w:val="5"/>
        </w:rPr>
        <w:t xml:space="preserve"> </w:t>
      </w:r>
      <w:r>
        <w:t>o</w:t>
      </w:r>
      <w:r>
        <w:rPr>
          <w:spacing w:val="4"/>
        </w:rPr>
        <w:t xml:space="preserve"> </w:t>
      </w:r>
      <w:r>
        <w:t>principal</w:t>
      </w:r>
      <w:r>
        <w:rPr>
          <w:spacing w:val="4"/>
        </w:rPr>
        <w:t xml:space="preserve"> </w:t>
      </w:r>
      <w:r>
        <w:t>responsável</w:t>
      </w:r>
      <w:r>
        <w:rPr>
          <w:spacing w:val="5"/>
        </w:rPr>
        <w:t xml:space="preserve"> </w:t>
      </w:r>
      <w:r>
        <w:t>pela</w:t>
      </w:r>
      <w:r>
        <w:rPr>
          <w:spacing w:val="3"/>
        </w:rPr>
        <w:t xml:space="preserve"> </w:t>
      </w:r>
      <w:r>
        <w:rPr>
          <w:spacing w:val="-2"/>
        </w:rPr>
        <w:t>execução</w:t>
      </w:r>
    </w:p>
    <w:p w:rsidR="007259F2" w:rsidRDefault="00DE6B1C">
      <w:pPr>
        <w:pStyle w:val="Corpodetexto"/>
        <w:spacing w:before="164"/>
        <w:ind w:left="0" w:firstLine="0"/>
        <w:jc w:val="left"/>
        <w:rPr>
          <w:sz w:val="20"/>
        </w:rPr>
      </w:pPr>
      <w:r w:rsidRPr="00DE6B1C">
        <w:rPr>
          <w:sz w:val="20"/>
        </w:rPr>
        <w:pict>
          <v:rect id="docshape179" o:spid="_x0000_s1050" style="position:absolute;margin-left:85.1pt;margin-top:20.95pt;width:2in;height:.7pt;z-index:-15648256;mso-wrap-distance-left:0;mso-wrap-distance-right:0;mso-position-horizontal-relative:page" fillcolor="black" stroked="f">
            <w10:wrap type="topAndBottom" anchorx="page"/>
          </v:rect>
        </w:pict>
      </w:r>
    </w:p>
    <w:p w:rsidR="007259F2" w:rsidRDefault="00E655B4">
      <w:pPr>
        <w:spacing w:before="96"/>
        <w:ind w:left="710" w:right="423"/>
        <w:jc w:val="both"/>
        <w:rPr>
          <w:sz w:val="20"/>
        </w:rPr>
      </w:pPr>
      <w:r>
        <w:rPr>
          <w:sz w:val="20"/>
          <w:vertAlign w:val="superscript"/>
        </w:rPr>
        <w:t>1</w:t>
      </w:r>
      <w:r>
        <w:rPr>
          <w:sz w:val="20"/>
        </w:rPr>
        <w:t xml:space="preserve"> Residente Jurídico do Programa de Residência Jurídica da Procuradoria Geral do Município de São Paulo, alocado na Secretaria Municipal do Verde e do Meio Ambiente - SVMA</w:t>
      </w:r>
      <w:r>
        <w:rPr>
          <w:spacing w:val="80"/>
          <w:sz w:val="20"/>
        </w:rPr>
        <w:t xml:space="preserve"> </w:t>
      </w:r>
      <w:r>
        <w:rPr>
          <w:sz w:val="20"/>
        </w:rPr>
        <w:t xml:space="preserve">(2022-2025). Email: </w:t>
      </w:r>
      <w:hyperlink r:id="rId329">
        <w:r>
          <w:rPr>
            <w:spacing w:val="-2"/>
            <w:sz w:val="20"/>
          </w:rPr>
          <w:t>renato.s.oliveira.br@gmail.com</w:t>
        </w:r>
      </w:hyperlink>
    </w:p>
    <w:p w:rsidR="007259F2" w:rsidRDefault="007259F2">
      <w:pPr>
        <w:jc w:val="both"/>
        <w:rPr>
          <w:sz w:val="20"/>
        </w:rPr>
        <w:sectPr w:rsidR="007259F2">
          <w:pgSz w:w="11910" w:h="16840"/>
          <w:pgMar w:top="1620" w:right="708" w:bottom="1020" w:left="992" w:header="0" w:footer="820" w:gutter="0"/>
          <w:cols w:space="720"/>
        </w:sectPr>
      </w:pPr>
    </w:p>
    <w:p w:rsidR="007259F2" w:rsidRDefault="00E655B4">
      <w:pPr>
        <w:pStyle w:val="Corpodetexto"/>
        <w:spacing w:before="75"/>
        <w:ind w:right="423" w:firstLine="0"/>
      </w:pPr>
      <w:r>
        <w:lastRenderedPageBreak/>
        <w:t>de políticas públicas, pois sobre ele recai o dever de construção de moradias, parques, fornecimento de infraestrutura de estradas, construção de escolas, etc.</w:t>
      </w:r>
    </w:p>
    <w:p w:rsidR="007259F2" w:rsidRDefault="00E655B4">
      <w:pPr>
        <w:pStyle w:val="Corpodetexto"/>
        <w:ind w:right="421"/>
      </w:pPr>
      <w:r>
        <w:t>Nesse sentido, a fim de evitar a contratação realizada sem critério e com desperdício</w:t>
      </w:r>
      <w:r>
        <w:rPr>
          <w:spacing w:val="40"/>
        </w:rPr>
        <w:t xml:space="preserve"> </w:t>
      </w:r>
      <w:r>
        <w:t>de dinheiro público, a Constituição Federal estabelece em seu art. 22, XXVII, que a União é a responsável pela edição normas gerais de licitação e contratação, em todas as modalidades, para</w:t>
      </w:r>
      <w:r>
        <w:rPr>
          <w:spacing w:val="-3"/>
        </w:rPr>
        <w:t xml:space="preserve"> </w:t>
      </w:r>
      <w:r>
        <w:t>as</w:t>
      </w:r>
      <w:r>
        <w:rPr>
          <w:spacing w:val="-1"/>
        </w:rPr>
        <w:t xml:space="preserve"> </w:t>
      </w:r>
      <w:r>
        <w:t>administrações</w:t>
      </w:r>
      <w:r>
        <w:rPr>
          <w:spacing w:val="-1"/>
        </w:rPr>
        <w:t xml:space="preserve"> </w:t>
      </w:r>
      <w:r>
        <w:t>públicas</w:t>
      </w:r>
      <w:r>
        <w:rPr>
          <w:spacing w:val="-1"/>
        </w:rPr>
        <w:t xml:space="preserve"> </w:t>
      </w:r>
      <w:r>
        <w:t>diretas,</w:t>
      </w:r>
      <w:r>
        <w:rPr>
          <w:spacing w:val="-2"/>
        </w:rPr>
        <w:t xml:space="preserve"> </w:t>
      </w:r>
      <w:r>
        <w:t>autárquicas</w:t>
      </w:r>
      <w:r>
        <w:rPr>
          <w:spacing w:val="-1"/>
        </w:rPr>
        <w:t xml:space="preserve"> </w:t>
      </w:r>
      <w:r>
        <w:t>e</w:t>
      </w:r>
      <w:r>
        <w:rPr>
          <w:spacing w:val="-2"/>
        </w:rPr>
        <w:t xml:space="preserve"> </w:t>
      </w:r>
      <w:r>
        <w:t>fundacionais</w:t>
      </w:r>
      <w:r>
        <w:rPr>
          <w:spacing w:val="-1"/>
        </w:rPr>
        <w:t xml:space="preserve"> </w:t>
      </w:r>
      <w:r>
        <w:t>da</w:t>
      </w:r>
      <w:r>
        <w:rPr>
          <w:spacing w:val="-2"/>
        </w:rPr>
        <w:t xml:space="preserve"> </w:t>
      </w:r>
      <w:r>
        <w:t>União,</w:t>
      </w:r>
      <w:r>
        <w:rPr>
          <w:spacing w:val="-1"/>
        </w:rPr>
        <w:t xml:space="preserve"> </w:t>
      </w:r>
      <w:r>
        <w:t>Estados,</w:t>
      </w:r>
      <w:r>
        <w:rPr>
          <w:spacing w:val="-2"/>
        </w:rPr>
        <w:t xml:space="preserve"> </w:t>
      </w:r>
      <w:r>
        <w:t>Distrito Federal e Municípios, estabelecendo aí a necessidade da existência de um procedimento para as compras públicas.</w:t>
      </w:r>
    </w:p>
    <w:p w:rsidR="007259F2" w:rsidRDefault="00E655B4">
      <w:pPr>
        <w:pStyle w:val="Corpodetexto"/>
        <w:ind w:right="429"/>
      </w:pPr>
      <w:r>
        <w:t>Como</w:t>
      </w:r>
      <w:r>
        <w:rPr>
          <w:spacing w:val="-3"/>
        </w:rPr>
        <w:t xml:space="preserve"> </w:t>
      </w:r>
      <w:r>
        <w:t>norma</w:t>
      </w:r>
      <w:r>
        <w:rPr>
          <w:spacing w:val="-4"/>
        </w:rPr>
        <w:t xml:space="preserve"> </w:t>
      </w:r>
      <w:r>
        <w:t>constitucional</w:t>
      </w:r>
      <w:r>
        <w:rPr>
          <w:spacing w:val="-3"/>
        </w:rPr>
        <w:t xml:space="preserve"> </w:t>
      </w:r>
      <w:r>
        <w:t>de</w:t>
      </w:r>
      <w:r>
        <w:rPr>
          <w:spacing w:val="-2"/>
        </w:rPr>
        <w:t xml:space="preserve"> </w:t>
      </w:r>
      <w:r>
        <w:t>eficácia</w:t>
      </w:r>
      <w:r>
        <w:rPr>
          <w:spacing w:val="-2"/>
        </w:rPr>
        <w:t xml:space="preserve"> </w:t>
      </w:r>
      <w:r>
        <w:t>limitada</w:t>
      </w:r>
      <w:r>
        <w:rPr>
          <w:spacing w:val="-5"/>
        </w:rPr>
        <w:t xml:space="preserve"> </w:t>
      </w:r>
      <w:r>
        <w:t>de</w:t>
      </w:r>
      <w:r>
        <w:rPr>
          <w:spacing w:val="-4"/>
        </w:rPr>
        <w:t xml:space="preserve"> </w:t>
      </w:r>
      <w:r>
        <w:t>princípio</w:t>
      </w:r>
      <w:r>
        <w:rPr>
          <w:spacing w:val="-3"/>
        </w:rPr>
        <w:t xml:space="preserve"> </w:t>
      </w:r>
      <w:r>
        <w:t>institutivo,</w:t>
      </w:r>
      <w:r>
        <w:rPr>
          <w:spacing w:val="-3"/>
        </w:rPr>
        <w:t xml:space="preserve"> </w:t>
      </w:r>
      <w:r>
        <w:t>uma</w:t>
      </w:r>
      <w:r>
        <w:rPr>
          <w:spacing w:val="-3"/>
        </w:rPr>
        <w:t xml:space="preserve"> </w:t>
      </w:r>
      <w:r>
        <w:t>vez</w:t>
      </w:r>
      <w:r>
        <w:rPr>
          <w:spacing w:val="-2"/>
        </w:rPr>
        <w:t xml:space="preserve"> </w:t>
      </w:r>
      <w:r>
        <w:t>que</w:t>
      </w:r>
      <w:r>
        <w:rPr>
          <w:spacing w:val="-2"/>
        </w:rPr>
        <w:t xml:space="preserve"> </w:t>
      </w:r>
      <w:r>
        <w:t>a norma constitucional não é suficiente para garantir a aplicabilidade do direito em si, dependendo de uma atuação do legislador infraconstitucional, é que foi criada a Lei 8.666/93, que estabeleceu as regras gerais a serem observadas por todos os entes federados.</w:t>
      </w:r>
    </w:p>
    <w:p w:rsidR="007259F2" w:rsidRDefault="00E655B4">
      <w:pPr>
        <w:pStyle w:val="Corpodetexto"/>
        <w:spacing w:before="1"/>
        <w:ind w:right="422"/>
      </w:pPr>
      <w:r>
        <w:t>Criaram-se, ainda, a Lei 10.520/2022, que estabeleceu o pregão como modalidade licitatória, Lei 12.462/2011 (Regime Diferenciado de Contratações – RDC), mais especificamente seus artigos 1º a 47-A, a Lei 8.987/95, que cuida do regime de concessões e permissões de serviços públicos, Lei 11.079/2004 (parcerias público-privadas), a Le 12.232/10, que estabelece a contratação dos serviços relacionados à publicidade e a Lei 13.303/2016, que cuida das contratações feitas por empresas públicas, as sociedades de economia mista e as suas subsidiárias.</w:t>
      </w:r>
    </w:p>
    <w:p w:rsidR="007259F2" w:rsidRDefault="00E655B4">
      <w:pPr>
        <w:pStyle w:val="Corpodetexto"/>
        <w:ind w:right="422"/>
      </w:pPr>
      <w:r>
        <w:t>A Lei 8.666/93 ficou em vigor por 28 anos e estabeleceu as diretrizes a serem observadas no procedimento licitatório, sendo substituída pela atual lei 14.133/21, que também revogou a Lei 10.520/2022 e a Lei 12.462/2011.</w:t>
      </w:r>
    </w:p>
    <w:p w:rsidR="007259F2" w:rsidRDefault="00E655B4">
      <w:pPr>
        <w:pStyle w:val="Corpodetexto"/>
        <w:ind w:right="428"/>
      </w:pPr>
      <w:r>
        <w:t>Vale destacar que no que tange às Leis 8.987/95, 11.079/04 e 12.232/10, consoante</w:t>
      </w:r>
      <w:r>
        <w:rPr>
          <w:spacing w:val="80"/>
        </w:rPr>
        <w:t xml:space="preserve"> </w:t>
      </w:r>
      <w:r>
        <w:t>art. 186, a Lei 14.133/21 aplica-se subsidiariamente e não é aplicada, ressalvada a hipótese do art. 178, à Lei 13.303/2016.</w:t>
      </w:r>
    </w:p>
    <w:p w:rsidR="007259F2" w:rsidRDefault="00E655B4">
      <w:pPr>
        <w:pStyle w:val="Corpodetexto"/>
        <w:spacing w:before="1"/>
        <w:ind w:right="425"/>
      </w:pPr>
      <w:r>
        <w:t>É fundamental que as contratações públicas sejam feitas de forma igualitária, sem o estabelecimento de condições discriminatórias que inviabilizem a justa competição entre os interessados em contratar com a Administração, em respeito ao princípio da igualdade entre</w:t>
      </w:r>
      <w:r>
        <w:rPr>
          <w:spacing w:val="40"/>
        </w:rPr>
        <w:t xml:space="preserve"> </w:t>
      </w:r>
      <w:r>
        <w:t>os licitantes, aliado aos princípios da moralidade e da economicidade, na medida que a licitação tem como finalidade a obtenção da proposta mais vantajosa.</w:t>
      </w:r>
    </w:p>
    <w:p w:rsidR="007259F2" w:rsidRDefault="00E655B4">
      <w:pPr>
        <w:pStyle w:val="Corpodetexto"/>
        <w:ind w:right="421"/>
      </w:pPr>
      <w:r>
        <w:t>Em atendimento ao princípio da publicidade, a Administração dá amplo</w:t>
      </w:r>
      <w:r>
        <w:rPr>
          <w:spacing w:val="80"/>
        </w:rPr>
        <w:t xml:space="preserve"> </w:t>
      </w:r>
      <w:r>
        <w:t>conhecimento, através da publicação em diário oficial, da abertura de certame licitatório para que aqueles que preencham os requisitos mínimos de qualificação técnica possam, caso queiram, participar.</w:t>
      </w:r>
    </w:p>
    <w:p w:rsidR="007259F2" w:rsidRDefault="00E655B4">
      <w:pPr>
        <w:pStyle w:val="Corpodetexto"/>
        <w:ind w:right="427"/>
      </w:pPr>
      <w:r>
        <w:t>A</w:t>
      </w:r>
      <w:r>
        <w:rPr>
          <w:spacing w:val="-11"/>
        </w:rPr>
        <w:t xml:space="preserve"> </w:t>
      </w:r>
      <w:r>
        <w:t>Lei 14.133/21 inaugurou uma nova</w:t>
      </w:r>
      <w:r>
        <w:rPr>
          <w:spacing w:val="-1"/>
        </w:rPr>
        <w:t xml:space="preserve"> </w:t>
      </w:r>
      <w:r>
        <w:t>disciplina no que</w:t>
      </w:r>
      <w:r>
        <w:rPr>
          <w:spacing w:val="-1"/>
        </w:rPr>
        <w:t xml:space="preserve"> </w:t>
      </w:r>
      <w:r>
        <w:t>tange</w:t>
      </w:r>
      <w:r>
        <w:rPr>
          <w:spacing w:val="-1"/>
        </w:rPr>
        <w:t xml:space="preserve"> </w:t>
      </w:r>
      <w:r>
        <w:t>às contratações públicas, introduzindo o “Diálogo competitivo” como uma nova modalidade de licitação, fortemente norteada pelo consenso e pela participação dos particulares na tomada de decisões.</w:t>
      </w:r>
    </w:p>
    <w:p w:rsidR="007259F2" w:rsidRDefault="00E655B4">
      <w:pPr>
        <w:pStyle w:val="Corpodetexto"/>
        <w:ind w:right="429"/>
      </w:pPr>
      <w:r>
        <w:t>Para melhor entender o instituto, iniciaremos com uma abordagem histórica de sua criação advinda do direito internacional.</w:t>
      </w:r>
    </w:p>
    <w:p w:rsidR="007259F2" w:rsidRDefault="00E655B4">
      <w:pPr>
        <w:pStyle w:val="Heading2"/>
        <w:numPr>
          <w:ilvl w:val="0"/>
          <w:numId w:val="19"/>
        </w:numPr>
        <w:tabs>
          <w:tab w:val="left" w:pos="1093"/>
        </w:tabs>
        <w:spacing w:before="205"/>
        <w:ind w:left="1093" w:hanging="244"/>
        <w:jc w:val="both"/>
      </w:pPr>
      <w:r>
        <w:t>Evolução</w:t>
      </w:r>
      <w:r>
        <w:rPr>
          <w:spacing w:val="-7"/>
        </w:rPr>
        <w:t xml:space="preserve"> </w:t>
      </w:r>
      <w:r>
        <w:rPr>
          <w:spacing w:val="-2"/>
        </w:rPr>
        <w:t>Histórica</w:t>
      </w:r>
    </w:p>
    <w:p w:rsidR="007259F2" w:rsidRDefault="00E655B4">
      <w:pPr>
        <w:pStyle w:val="Corpodetexto"/>
        <w:spacing w:before="115"/>
        <w:ind w:right="420"/>
      </w:pPr>
      <w:r>
        <w:t>Não</w:t>
      </w:r>
      <w:r>
        <w:rPr>
          <w:spacing w:val="-2"/>
        </w:rPr>
        <w:t xml:space="preserve"> </w:t>
      </w:r>
      <w:r>
        <w:t>um</w:t>
      </w:r>
      <w:r>
        <w:rPr>
          <w:spacing w:val="-12"/>
        </w:rPr>
        <w:t xml:space="preserve"> </w:t>
      </w:r>
      <w:r>
        <w:t>código</w:t>
      </w:r>
      <w:r>
        <w:rPr>
          <w:spacing w:val="-2"/>
        </w:rPr>
        <w:t xml:space="preserve"> </w:t>
      </w:r>
      <w:r>
        <w:t>propriamente</w:t>
      </w:r>
      <w:r>
        <w:rPr>
          <w:spacing w:val="-4"/>
        </w:rPr>
        <w:t xml:space="preserve"> </w:t>
      </w:r>
      <w:r>
        <w:t>dito</w:t>
      </w:r>
      <w:r>
        <w:rPr>
          <w:spacing w:val="-5"/>
        </w:rPr>
        <w:t xml:space="preserve"> </w:t>
      </w:r>
      <w:r>
        <w:t>de</w:t>
      </w:r>
      <w:r>
        <w:rPr>
          <w:spacing w:val="-6"/>
        </w:rPr>
        <w:t xml:space="preserve"> </w:t>
      </w:r>
      <w:r>
        <w:t>Direito</w:t>
      </w:r>
      <w:r>
        <w:rPr>
          <w:spacing w:val="-2"/>
        </w:rPr>
        <w:t xml:space="preserve"> </w:t>
      </w:r>
      <w:r>
        <w:t>Administrativo,</w:t>
      </w:r>
      <w:r>
        <w:rPr>
          <w:spacing w:val="-1"/>
        </w:rPr>
        <w:t xml:space="preserve"> </w:t>
      </w:r>
      <w:r>
        <w:t>como</w:t>
      </w:r>
      <w:r>
        <w:rPr>
          <w:spacing w:val="-2"/>
        </w:rPr>
        <w:t xml:space="preserve"> </w:t>
      </w:r>
      <w:r>
        <w:t>há</w:t>
      </w:r>
      <w:r>
        <w:rPr>
          <w:spacing w:val="-2"/>
        </w:rPr>
        <w:t xml:space="preserve"> </w:t>
      </w:r>
      <w:r>
        <w:t>no</w:t>
      </w:r>
      <w:r>
        <w:rPr>
          <w:spacing w:val="-2"/>
        </w:rPr>
        <w:t xml:space="preserve"> </w:t>
      </w:r>
      <w:r>
        <w:t>direito</w:t>
      </w:r>
      <w:r>
        <w:rPr>
          <w:spacing w:val="-2"/>
        </w:rPr>
        <w:t xml:space="preserve"> </w:t>
      </w:r>
      <w:r>
        <w:t>civil e no direito penal, ao invés disso o direito administrativo é formado por um compilado de leis esparsas</w:t>
      </w:r>
      <w:r>
        <w:rPr>
          <w:spacing w:val="-10"/>
        </w:rPr>
        <w:t xml:space="preserve"> </w:t>
      </w:r>
      <w:r>
        <w:t>que</w:t>
      </w:r>
      <w:r>
        <w:rPr>
          <w:spacing w:val="-8"/>
        </w:rPr>
        <w:t xml:space="preserve"> </w:t>
      </w:r>
      <w:r>
        <w:t>formam</w:t>
      </w:r>
      <w:r>
        <w:rPr>
          <w:spacing w:val="-15"/>
        </w:rPr>
        <w:t xml:space="preserve"> </w:t>
      </w:r>
      <w:r>
        <w:t>um</w:t>
      </w:r>
      <w:r>
        <w:rPr>
          <w:spacing w:val="-8"/>
        </w:rPr>
        <w:t xml:space="preserve"> </w:t>
      </w:r>
      <w:r>
        <w:t>microssistema</w:t>
      </w:r>
      <w:r>
        <w:rPr>
          <w:spacing w:val="-9"/>
        </w:rPr>
        <w:t xml:space="preserve"> </w:t>
      </w:r>
      <w:r>
        <w:t>de</w:t>
      </w:r>
      <w:r>
        <w:rPr>
          <w:spacing w:val="-10"/>
        </w:rPr>
        <w:t xml:space="preserve"> </w:t>
      </w:r>
      <w:r>
        <w:t>direito</w:t>
      </w:r>
      <w:r>
        <w:rPr>
          <w:spacing w:val="-6"/>
        </w:rPr>
        <w:t xml:space="preserve"> </w:t>
      </w:r>
      <w:r>
        <w:t>administrativo,</w:t>
      </w:r>
      <w:r>
        <w:rPr>
          <w:spacing w:val="-6"/>
        </w:rPr>
        <w:t xml:space="preserve"> </w:t>
      </w:r>
      <w:r>
        <w:t>contendo</w:t>
      </w:r>
      <w:r>
        <w:rPr>
          <w:spacing w:val="-7"/>
        </w:rPr>
        <w:t xml:space="preserve"> </w:t>
      </w:r>
      <w:r>
        <w:t>princípios</w:t>
      </w:r>
      <w:r>
        <w:rPr>
          <w:spacing w:val="-8"/>
        </w:rPr>
        <w:t xml:space="preserve"> </w:t>
      </w:r>
      <w:r>
        <w:t>próprios voltados ao exercício da função pública.</w:t>
      </w:r>
    </w:p>
    <w:p w:rsidR="007259F2" w:rsidRDefault="00E655B4">
      <w:pPr>
        <w:pStyle w:val="Corpodetexto"/>
        <w:ind w:right="425"/>
      </w:pPr>
      <w:r>
        <w:t>Nesse sentido, a fim de que gerar coesão a esse microssistema de leis, a regulamentação do direito administrativo vale-se de fontes de saber.</w:t>
      </w:r>
    </w:p>
    <w:p w:rsidR="007259F2" w:rsidRDefault="00E655B4">
      <w:pPr>
        <w:pStyle w:val="Corpodetexto"/>
        <w:spacing w:before="1"/>
        <w:ind w:right="423"/>
      </w:pPr>
      <w:r>
        <w:t>O Direito Administrativo nacional sofreu grande influência do direito internacional, tais</w:t>
      </w:r>
      <w:r>
        <w:rPr>
          <w:spacing w:val="-6"/>
        </w:rPr>
        <w:t xml:space="preserve"> </w:t>
      </w:r>
      <w:r>
        <w:t>quais</w:t>
      </w:r>
      <w:r>
        <w:rPr>
          <w:spacing w:val="-5"/>
        </w:rPr>
        <w:t xml:space="preserve"> </w:t>
      </w:r>
      <w:r>
        <w:t>o</w:t>
      </w:r>
      <w:r>
        <w:rPr>
          <w:spacing w:val="-6"/>
        </w:rPr>
        <w:t xml:space="preserve"> </w:t>
      </w:r>
      <w:r>
        <w:t>direito</w:t>
      </w:r>
      <w:r>
        <w:rPr>
          <w:spacing w:val="-1"/>
        </w:rPr>
        <w:t xml:space="preserve"> </w:t>
      </w:r>
      <w:r>
        <w:t>francês,</w:t>
      </w:r>
      <w:r>
        <w:rPr>
          <w:spacing w:val="-2"/>
        </w:rPr>
        <w:t xml:space="preserve"> </w:t>
      </w:r>
      <w:r>
        <w:t>alemão,</w:t>
      </w:r>
      <w:r>
        <w:rPr>
          <w:spacing w:val="-3"/>
        </w:rPr>
        <w:t xml:space="preserve"> </w:t>
      </w:r>
      <w:r>
        <w:t>italiano e</w:t>
      </w:r>
      <w:r>
        <w:rPr>
          <w:spacing w:val="-11"/>
        </w:rPr>
        <w:t xml:space="preserve"> </w:t>
      </w:r>
      <w:r>
        <w:t>anglo-americano</w:t>
      </w:r>
      <w:r>
        <w:rPr>
          <w:spacing w:val="-1"/>
        </w:rPr>
        <w:t xml:space="preserve"> </w:t>
      </w:r>
      <w:r>
        <w:t>em</w:t>
      </w:r>
      <w:r>
        <w:rPr>
          <w:spacing w:val="-12"/>
        </w:rPr>
        <w:t xml:space="preserve"> </w:t>
      </w:r>
      <w:r>
        <w:t>sua formação,</w:t>
      </w:r>
      <w:r>
        <w:rPr>
          <w:spacing w:val="-5"/>
        </w:rPr>
        <w:t xml:space="preserve"> </w:t>
      </w:r>
      <w:r>
        <w:t>além</w:t>
      </w:r>
      <w:r>
        <w:rPr>
          <w:spacing w:val="-13"/>
        </w:rPr>
        <w:t xml:space="preserve"> </w:t>
      </w:r>
      <w:r>
        <w:t xml:space="preserve">de forte influência do direito consuetudinário, o </w:t>
      </w:r>
      <w:r>
        <w:rPr>
          <w:i/>
        </w:rPr>
        <w:t>comon-law</w:t>
      </w:r>
      <w:r>
        <w:t>.</w:t>
      </w:r>
    </w:p>
    <w:p w:rsidR="007259F2" w:rsidRDefault="007259F2">
      <w:pPr>
        <w:pStyle w:val="Corpodetexto"/>
        <w:sectPr w:rsidR="007259F2">
          <w:pgSz w:w="11910" w:h="16840"/>
          <w:pgMar w:top="1600" w:right="708" w:bottom="1020" w:left="992" w:header="0" w:footer="820" w:gutter="0"/>
          <w:cols w:space="720"/>
        </w:sectPr>
      </w:pPr>
    </w:p>
    <w:p w:rsidR="007259F2" w:rsidRDefault="00E655B4">
      <w:pPr>
        <w:pStyle w:val="Corpodetexto"/>
        <w:spacing w:before="75"/>
        <w:ind w:left="427" w:right="753" w:firstLine="0"/>
        <w:jc w:val="center"/>
      </w:pPr>
      <w:r>
        <w:lastRenderedPageBreak/>
        <w:t>Em</w:t>
      </w:r>
      <w:r>
        <w:rPr>
          <w:spacing w:val="-14"/>
        </w:rPr>
        <w:t xml:space="preserve"> </w:t>
      </w:r>
      <w:r>
        <w:t>seu</w:t>
      </w:r>
      <w:r>
        <w:rPr>
          <w:spacing w:val="-1"/>
        </w:rPr>
        <w:t xml:space="preserve"> </w:t>
      </w:r>
      <w:r>
        <w:t>livro</w:t>
      </w:r>
      <w:r>
        <w:rPr>
          <w:spacing w:val="-1"/>
        </w:rPr>
        <w:t xml:space="preserve"> </w:t>
      </w:r>
      <w:r>
        <w:t>“Direito</w:t>
      </w:r>
      <w:r>
        <w:rPr>
          <w:spacing w:val="-2"/>
        </w:rPr>
        <w:t xml:space="preserve"> </w:t>
      </w:r>
      <w:r>
        <w:t>Administrativo”,</w:t>
      </w:r>
      <w:r>
        <w:rPr>
          <w:spacing w:val="-4"/>
        </w:rPr>
        <w:t xml:space="preserve"> </w:t>
      </w:r>
      <w:r>
        <w:t>Maria</w:t>
      </w:r>
      <w:r>
        <w:rPr>
          <w:spacing w:val="-6"/>
        </w:rPr>
        <w:t xml:space="preserve"> </w:t>
      </w:r>
      <w:r>
        <w:t>Sylvia</w:t>
      </w:r>
      <w:r>
        <w:rPr>
          <w:spacing w:val="-7"/>
        </w:rPr>
        <w:t xml:space="preserve"> </w:t>
      </w:r>
      <w:r>
        <w:t>Zanella,</w:t>
      </w:r>
      <w:r>
        <w:rPr>
          <w:spacing w:val="-3"/>
        </w:rPr>
        <w:t xml:space="preserve"> </w:t>
      </w:r>
      <w:r>
        <w:t>pontua</w:t>
      </w:r>
      <w:r>
        <w:rPr>
          <w:spacing w:val="-4"/>
        </w:rPr>
        <w:t xml:space="preserve"> que:</w:t>
      </w:r>
    </w:p>
    <w:p w:rsidR="007259F2" w:rsidRDefault="007259F2">
      <w:pPr>
        <w:pStyle w:val="Corpodetexto"/>
        <w:spacing w:before="1"/>
        <w:ind w:left="0" w:firstLine="0"/>
        <w:jc w:val="left"/>
      </w:pPr>
    </w:p>
    <w:p w:rsidR="007259F2" w:rsidRDefault="00E655B4">
      <w:pPr>
        <w:spacing w:before="1"/>
        <w:ind w:left="2978" w:right="426"/>
        <w:jc w:val="both"/>
        <w:rPr>
          <w:sz w:val="20"/>
        </w:rPr>
      </w:pPr>
      <w:r>
        <w:rPr>
          <w:sz w:val="20"/>
        </w:rPr>
        <w:t>Embora</w:t>
      </w:r>
      <w:r>
        <w:rPr>
          <w:spacing w:val="-3"/>
          <w:sz w:val="20"/>
        </w:rPr>
        <w:t xml:space="preserve"> </w:t>
      </w:r>
      <w:r>
        <w:rPr>
          <w:sz w:val="20"/>
        </w:rPr>
        <w:t>sob</w:t>
      </w:r>
      <w:r>
        <w:rPr>
          <w:spacing w:val="-2"/>
          <w:sz w:val="20"/>
        </w:rPr>
        <w:t xml:space="preserve"> </w:t>
      </w:r>
      <w:r>
        <w:rPr>
          <w:sz w:val="20"/>
        </w:rPr>
        <w:t>influência</w:t>
      </w:r>
      <w:r>
        <w:rPr>
          <w:spacing w:val="-3"/>
          <w:sz w:val="20"/>
        </w:rPr>
        <w:t xml:space="preserve"> </w:t>
      </w:r>
      <w:r>
        <w:rPr>
          <w:sz w:val="20"/>
        </w:rPr>
        <w:t>do</w:t>
      </w:r>
      <w:r>
        <w:rPr>
          <w:spacing w:val="-2"/>
          <w:sz w:val="20"/>
        </w:rPr>
        <w:t xml:space="preserve"> </w:t>
      </w:r>
      <w:r>
        <w:rPr>
          <w:sz w:val="20"/>
        </w:rPr>
        <w:t>direito</w:t>
      </w:r>
      <w:r>
        <w:rPr>
          <w:spacing w:val="-2"/>
          <w:sz w:val="20"/>
        </w:rPr>
        <w:t xml:space="preserve"> </w:t>
      </w:r>
      <w:r>
        <w:rPr>
          <w:sz w:val="20"/>
        </w:rPr>
        <w:t>francês</w:t>
      </w:r>
      <w:r>
        <w:rPr>
          <w:spacing w:val="-4"/>
          <w:sz w:val="20"/>
        </w:rPr>
        <w:t xml:space="preserve"> </w:t>
      </w:r>
      <w:r>
        <w:rPr>
          <w:sz w:val="20"/>
        </w:rPr>
        <w:t>e</w:t>
      </w:r>
      <w:r>
        <w:rPr>
          <w:spacing w:val="-3"/>
          <w:sz w:val="20"/>
        </w:rPr>
        <w:t xml:space="preserve"> </w:t>
      </w:r>
      <w:r>
        <w:rPr>
          <w:sz w:val="20"/>
        </w:rPr>
        <w:t>de</w:t>
      </w:r>
      <w:r>
        <w:rPr>
          <w:spacing w:val="-3"/>
          <w:sz w:val="20"/>
        </w:rPr>
        <w:t xml:space="preserve"> </w:t>
      </w:r>
      <w:r>
        <w:rPr>
          <w:sz w:val="20"/>
        </w:rPr>
        <w:t>outros</w:t>
      </w:r>
      <w:r>
        <w:rPr>
          <w:spacing w:val="-4"/>
          <w:sz w:val="20"/>
        </w:rPr>
        <w:t xml:space="preserve"> </w:t>
      </w:r>
      <w:r>
        <w:rPr>
          <w:sz w:val="20"/>
        </w:rPr>
        <w:t>direitos</w:t>
      </w:r>
      <w:r>
        <w:rPr>
          <w:spacing w:val="-2"/>
          <w:sz w:val="20"/>
        </w:rPr>
        <w:t xml:space="preserve"> </w:t>
      </w:r>
      <w:r>
        <w:rPr>
          <w:sz w:val="20"/>
        </w:rPr>
        <w:t>enquadrados</w:t>
      </w:r>
      <w:r>
        <w:rPr>
          <w:spacing w:val="-4"/>
          <w:sz w:val="20"/>
        </w:rPr>
        <w:t xml:space="preserve"> </w:t>
      </w:r>
      <w:r>
        <w:rPr>
          <w:sz w:val="20"/>
        </w:rPr>
        <w:t>no</w:t>
      </w:r>
      <w:r>
        <w:rPr>
          <w:spacing w:val="-2"/>
          <w:sz w:val="20"/>
        </w:rPr>
        <w:t xml:space="preserve"> </w:t>
      </w:r>
      <w:r>
        <w:rPr>
          <w:sz w:val="20"/>
        </w:rPr>
        <w:t>sistema de base romanística (direito italiano, alemão, espanhol, português, etc), o regime administrativo, no Brasil, também sofreu alguma influência do sistema do common law, especialmente do direito norte-americano. Mais recentemente, também vem sofrendo influência do direito comunitário europeu, emanado da União Europeia.</w:t>
      </w:r>
    </w:p>
    <w:p w:rsidR="007259F2" w:rsidRDefault="00E655B4">
      <w:pPr>
        <w:ind w:left="2978" w:right="428"/>
        <w:jc w:val="both"/>
        <w:rPr>
          <w:sz w:val="20"/>
        </w:rPr>
      </w:pPr>
      <w:r>
        <w:rPr>
          <w:sz w:val="20"/>
        </w:rPr>
        <w:t>No Brasil-Colônia, aplicavam-se as leis portuguesas, especialmente as Ordenações do Reino. (DI PIETRO, 2018, p.26)</w:t>
      </w:r>
    </w:p>
    <w:p w:rsidR="007259F2" w:rsidRDefault="007259F2">
      <w:pPr>
        <w:pStyle w:val="Corpodetexto"/>
        <w:spacing w:before="47"/>
        <w:ind w:left="0" w:firstLine="0"/>
        <w:jc w:val="left"/>
        <w:rPr>
          <w:sz w:val="20"/>
        </w:rPr>
      </w:pPr>
    </w:p>
    <w:p w:rsidR="007259F2" w:rsidRDefault="00E655B4">
      <w:pPr>
        <w:pStyle w:val="Corpodetexto"/>
        <w:ind w:right="419"/>
      </w:pPr>
      <w:r>
        <w:t>Conforme podemos verificar, desde sua formação, a tônica do direito administrativo brasileiro vem fortemente influenciada pelo direito estrangeiro, desde de sua formação.</w:t>
      </w:r>
    </w:p>
    <w:p w:rsidR="007259F2" w:rsidRDefault="00E655B4">
      <w:pPr>
        <w:pStyle w:val="Corpodetexto"/>
        <w:spacing w:before="1"/>
        <w:ind w:right="424"/>
      </w:pPr>
      <w:r>
        <w:t>Tendo por base essa historicidade na utilização do direito estrangeiro, a incorporação de institutos advindos internacionais, ainda na atualidade, não é algo que foge do padrão.</w:t>
      </w:r>
    </w:p>
    <w:p w:rsidR="007259F2" w:rsidRDefault="00E655B4">
      <w:pPr>
        <w:pStyle w:val="Corpodetexto"/>
        <w:ind w:right="428"/>
      </w:pPr>
      <w:r>
        <w:t>O dialógico competitivo tem suas origens no direito internacional, mais especificamente adotado na União Europeia.</w:t>
      </w:r>
    </w:p>
    <w:p w:rsidR="007259F2" w:rsidRDefault="00E655B4">
      <w:pPr>
        <w:pStyle w:val="Corpodetexto"/>
        <w:ind w:right="424"/>
      </w:pPr>
      <w:r>
        <w:t>Antes de sua absorção pelo direito pátrio, através da nova lei de licitações e contratos públicos, o legislador internacional já havia estabelecido a definição do diálogo competitivo, nele cunhado, também, como “diálogo referencial”, através da Diretiva 2004/18/CE do Parlamento Europeu.</w:t>
      </w:r>
    </w:p>
    <w:p w:rsidR="007259F2" w:rsidRDefault="00E655B4">
      <w:pPr>
        <w:pStyle w:val="Corpodetexto"/>
        <w:ind w:right="421"/>
      </w:pPr>
      <w:r>
        <w:t>De</w:t>
      </w:r>
      <w:r>
        <w:rPr>
          <w:spacing w:val="-2"/>
        </w:rPr>
        <w:t xml:space="preserve"> </w:t>
      </w:r>
      <w:r>
        <w:t>acordo com</w:t>
      </w:r>
      <w:r>
        <w:rPr>
          <w:spacing w:val="-2"/>
        </w:rPr>
        <w:t xml:space="preserve"> </w:t>
      </w:r>
      <w:r>
        <w:t>a Diretiva 2004/18/CE, o diálogo concorrencial</w:t>
      </w:r>
      <w:r>
        <w:rPr>
          <w:spacing w:val="-1"/>
        </w:rPr>
        <w:t xml:space="preserve"> </w:t>
      </w:r>
      <w:r>
        <w:t>é, de acordo com</w:t>
      </w:r>
      <w:r>
        <w:rPr>
          <w:spacing w:val="-3"/>
        </w:rPr>
        <w:t xml:space="preserve"> </w:t>
      </w:r>
      <w:r>
        <w:t>o art 11, “c”:</w:t>
      </w:r>
    </w:p>
    <w:p w:rsidR="007259F2" w:rsidRDefault="00E655B4">
      <w:pPr>
        <w:spacing w:before="1"/>
        <w:ind w:left="2978" w:right="422"/>
        <w:jc w:val="both"/>
        <w:rPr>
          <w:sz w:val="20"/>
        </w:rPr>
      </w:pPr>
      <w:r>
        <w:rPr>
          <w:sz w:val="20"/>
        </w:rPr>
        <w:t>c)“Diálogo concorrencial” é o procedimento em que qualquer operador económico pode solicitar participar e em que a entidade adjudicante conduz um diálogo com os candidatos</w:t>
      </w:r>
      <w:r>
        <w:rPr>
          <w:spacing w:val="-2"/>
          <w:sz w:val="20"/>
        </w:rPr>
        <w:t xml:space="preserve"> </w:t>
      </w:r>
      <w:r>
        <w:rPr>
          <w:sz w:val="20"/>
        </w:rPr>
        <w:t>admitidos</w:t>
      </w:r>
      <w:r>
        <w:rPr>
          <w:spacing w:val="-2"/>
          <w:sz w:val="20"/>
        </w:rPr>
        <w:t xml:space="preserve"> </w:t>
      </w:r>
      <w:r>
        <w:rPr>
          <w:sz w:val="20"/>
        </w:rPr>
        <w:t>nesse</w:t>
      </w:r>
      <w:r>
        <w:rPr>
          <w:spacing w:val="-4"/>
          <w:sz w:val="20"/>
        </w:rPr>
        <w:t xml:space="preserve"> </w:t>
      </w:r>
      <w:r>
        <w:rPr>
          <w:sz w:val="20"/>
        </w:rPr>
        <w:t>procedimento,</w:t>
      </w:r>
      <w:r>
        <w:rPr>
          <w:spacing w:val="-1"/>
          <w:sz w:val="20"/>
        </w:rPr>
        <w:t xml:space="preserve"> </w:t>
      </w:r>
      <w:r>
        <w:rPr>
          <w:sz w:val="20"/>
        </w:rPr>
        <w:t>tendo</w:t>
      </w:r>
      <w:r>
        <w:rPr>
          <w:spacing w:val="-5"/>
          <w:sz w:val="20"/>
        </w:rPr>
        <w:t xml:space="preserve"> </w:t>
      </w:r>
      <w:r>
        <w:rPr>
          <w:sz w:val="20"/>
        </w:rPr>
        <w:t>em</w:t>
      </w:r>
      <w:r>
        <w:rPr>
          <w:spacing w:val="-3"/>
          <w:sz w:val="20"/>
        </w:rPr>
        <w:t xml:space="preserve"> </w:t>
      </w:r>
      <w:r>
        <w:rPr>
          <w:sz w:val="20"/>
        </w:rPr>
        <w:t>vista desenvolver uma</w:t>
      </w:r>
      <w:r>
        <w:rPr>
          <w:spacing w:val="-1"/>
          <w:sz w:val="20"/>
        </w:rPr>
        <w:t xml:space="preserve"> </w:t>
      </w:r>
      <w:r>
        <w:rPr>
          <w:sz w:val="20"/>
        </w:rPr>
        <w:t>ou várias soluções aptas a</w:t>
      </w:r>
      <w:r>
        <w:rPr>
          <w:spacing w:val="-3"/>
          <w:sz w:val="20"/>
        </w:rPr>
        <w:t xml:space="preserve"> </w:t>
      </w:r>
      <w:r>
        <w:rPr>
          <w:sz w:val="20"/>
        </w:rPr>
        <w:t>responder às suas</w:t>
      </w:r>
      <w:r>
        <w:rPr>
          <w:spacing w:val="-4"/>
          <w:sz w:val="20"/>
        </w:rPr>
        <w:t xml:space="preserve"> </w:t>
      </w:r>
      <w:r>
        <w:rPr>
          <w:sz w:val="20"/>
        </w:rPr>
        <w:t>necessidades e com</w:t>
      </w:r>
      <w:r>
        <w:rPr>
          <w:spacing w:val="-2"/>
          <w:sz w:val="20"/>
        </w:rPr>
        <w:t xml:space="preserve"> </w:t>
      </w:r>
      <w:r>
        <w:rPr>
          <w:sz w:val="20"/>
        </w:rPr>
        <w:t>base na qual, ou</w:t>
      </w:r>
      <w:r>
        <w:rPr>
          <w:spacing w:val="-3"/>
          <w:sz w:val="20"/>
        </w:rPr>
        <w:t xml:space="preserve"> </w:t>
      </w:r>
      <w:r>
        <w:rPr>
          <w:sz w:val="20"/>
        </w:rPr>
        <w:t>nas</w:t>
      </w:r>
      <w:r>
        <w:rPr>
          <w:spacing w:val="-1"/>
          <w:sz w:val="20"/>
        </w:rPr>
        <w:t xml:space="preserve"> </w:t>
      </w:r>
      <w:r>
        <w:rPr>
          <w:sz w:val="20"/>
        </w:rPr>
        <w:t>quais, os candidatos seleccionados serão convidados a apresentar uma proposta.</w:t>
      </w:r>
    </w:p>
    <w:p w:rsidR="007259F2" w:rsidRDefault="00E655B4">
      <w:pPr>
        <w:pStyle w:val="Corpodetexto"/>
        <w:spacing w:before="230"/>
        <w:ind w:right="421"/>
      </w:pPr>
      <w:r>
        <w:t>De análise do texto original, podemos perceber que a inserção do diálogo competitivo ao ordenamento pátrio conservou as características do instituto originário.</w:t>
      </w:r>
    </w:p>
    <w:p w:rsidR="007259F2" w:rsidRDefault="00E655B4">
      <w:pPr>
        <w:pStyle w:val="Corpodetexto"/>
        <w:ind w:right="422"/>
      </w:pPr>
      <w:r>
        <w:t>Sua adoção se deu em diversos países da Europa, como Portugal, França e Espanha, percebendo-se</w:t>
      </w:r>
      <w:r>
        <w:rPr>
          <w:spacing w:val="-14"/>
        </w:rPr>
        <w:t xml:space="preserve"> </w:t>
      </w:r>
      <w:r>
        <w:t>a</w:t>
      </w:r>
      <w:r>
        <w:rPr>
          <w:spacing w:val="-10"/>
        </w:rPr>
        <w:t xml:space="preserve"> </w:t>
      </w:r>
      <w:r>
        <w:t>forte</w:t>
      </w:r>
      <w:r>
        <w:rPr>
          <w:spacing w:val="-14"/>
        </w:rPr>
        <w:t xml:space="preserve"> </w:t>
      </w:r>
      <w:r>
        <w:t>influência</w:t>
      </w:r>
      <w:r>
        <w:rPr>
          <w:spacing w:val="-13"/>
        </w:rPr>
        <w:t xml:space="preserve"> </w:t>
      </w:r>
      <w:r>
        <w:t>desse</w:t>
      </w:r>
      <w:r>
        <w:rPr>
          <w:spacing w:val="-10"/>
        </w:rPr>
        <w:t xml:space="preserve"> </w:t>
      </w:r>
      <w:r>
        <w:t>instituto</w:t>
      </w:r>
      <w:r>
        <w:rPr>
          <w:spacing w:val="-8"/>
        </w:rPr>
        <w:t xml:space="preserve"> </w:t>
      </w:r>
      <w:r>
        <w:t>no</w:t>
      </w:r>
      <w:r>
        <w:rPr>
          <w:spacing w:val="-15"/>
        </w:rPr>
        <w:t xml:space="preserve"> </w:t>
      </w:r>
      <w:r>
        <w:t>ordenamento</w:t>
      </w:r>
      <w:r>
        <w:rPr>
          <w:spacing w:val="-9"/>
        </w:rPr>
        <w:t xml:space="preserve"> </w:t>
      </w:r>
      <w:r>
        <w:t>jurídico</w:t>
      </w:r>
      <w:r>
        <w:rPr>
          <w:spacing w:val="-9"/>
        </w:rPr>
        <w:t xml:space="preserve"> </w:t>
      </w:r>
      <w:r>
        <w:t>nacional</w:t>
      </w:r>
      <w:r>
        <w:rPr>
          <w:spacing w:val="-14"/>
        </w:rPr>
        <w:t xml:space="preserve"> </w:t>
      </w:r>
      <w:r>
        <w:t>decorrente</w:t>
      </w:r>
      <w:r>
        <w:rPr>
          <w:spacing w:val="-13"/>
        </w:rPr>
        <w:t xml:space="preserve"> </w:t>
      </w:r>
      <w:r>
        <w:t xml:space="preserve">de forte influência do direito europeu, conforme apontado por Rafael Carvalho Vicente de </w:t>
      </w:r>
      <w:r>
        <w:rPr>
          <w:spacing w:val="-2"/>
        </w:rPr>
        <w:t>Oliveira:</w:t>
      </w:r>
    </w:p>
    <w:p w:rsidR="007259F2" w:rsidRDefault="00E655B4">
      <w:pPr>
        <w:spacing w:before="1"/>
        <w:ind w:left="2978" w:right="420"/>
        <w:jc w:val="both"/>
        <w:rPr>
          <w:sz w:val="20"/>
        </w:rPr>
      </w:pPr>
      <w:r>
        <w:rPr>
          <w:sz w:val="20"/>
        </w:rPr>
        <w:t>Nesse contexto, diversos países europeus incorporaram em seus ordenamentos jurídicos</w:t>
      </w:r>
      <w:r>
        <w:rPr>
          <w:spacing w:val="-13"/>
          <w:sz w:val="20"/>
        </w:rPr>
        <w:t xml:space="preserve"> </w:t>
      </w:r>
      <w:r>
        <w:rPr>
          <w:sz w:val="20"/>
        </w:rPr>
        <w:t>nacionais</w:t>
      </w:r>
      <w:r>
        <w:rPr>
          <w:spacing w:val="-12"/>
          <w:sz w:val="20"/>
        </w:rPr>
        <w:t xml:space="preserve"> </w:t>
      </w:r>
      <w:r>
        <w:rPr>
          <w:sz w:val="20"/>
        </w:rPr>
        <w:t>a</w:t>
      </w:r>
      <w:r>
        <w:rPr>
          <w:spacing w:val="-10"/>
          <w:sz w:val="20"/>
        </w:rPr>
        <w:t xml:space="preserve"> </w:t>
      </w:r>
      <w:r>
        <w:rPr>
          <w:sz w:val="20"/>
        </w:rPr>
        <w:t>previsão</w:t>
      </w:r>
      <w:r>
        <w:rPr>
          <w:spacing w:val="-11"/>
          <w:sz w:val="20"/>
        </w:rPr>
        <w:t xml:space="preserve"> </w:t>
      </w:r>
      <w:r>
        <w:rPr>
          <w:sz w:val="20"/>
        </w:rPr>
        <w:t>do</w:t>
      </w:r>
      <w:r>
        <w:rPr>
          <w:spacing w:val="-12"/>
          <w:sz w:val="20"/>
        </w:rPr>
        <w:t xml:space="preserve"> </w:t>
      </w:r>
      <w:r>
        <w:rPr>
          <w:sz w:val="20"/>
        </w:rPr>
        <w:t>diálogo</w:t>
      </w:r>
      <w:r>
        <w:rPr>
          <w:spacing w:val="-12"/>
          <w:sz w:val="20"/>
        </w:rPr>
        <w:t xml:space="preserve"> </w:t>
      </w:r>
      <w:r>
        <w:rPr>
          <w:sz w:val="20"/>
        </w:rPr>
        <w:t>concorrencial,</w:t>
      </w:r>
      <w:r>
        <w:rPr>
          <w:spacing w:val="-9"/>
          <w:sz w:val="20"/>
        </w:rPr>
        <w:t xml:space="preserve"> </w:t>
      </w:r>
      <w:r>
        <w:rPr>
          <w:sz w:val="20"/>
        </w:rPr>
        <w:t>tais</w:t>
      </w:r>
      <w:r>
        <w:rPr>
          <w:spacing w:val="-12"/>
          <w:sz w:val="20"/>
        </w:rPr>
        <w:t xml:space="preserve"> </w:t>
      </w:r>
      <w:r>
        <w:rPr>
          <w:sz w:val="20"/>
        </w:rPr>
        <w:t>como:</w:t>
      </w:r>
      <w:r>
        <w:rPr>
          <w:spacing w:val="-8"/>
          <w:sz w:val="20"/>
        </w:rPr>
        <w:t xml:space="preserve"> </w:t>
      </w:r>
      <w:r>
        <w:rPr>
          <w:sz w:val="20"/>
        </w:rPr>
        <w:t>Portugal</w:t>
      </w:r>
      <w:r>
        <w:rPr>
          <w:spacing w:val="-8"/>
          <w:sz w:val="20"/>
        </w:rPr>
        <w:t xml:space="preserve"> </w:t>
      </w:r>
      <w:r>
        <w:rPr>
          <w:sz w:val="20"/>
        </w:rPr>
        <w:t>(arts.</w:t>
      </w:r>
      <w:r>
        <w:rPr>
          <w:spacing w:val="-8"/>
          <w:sz w:val="20"/>
        </w:rPr>
        <w:t xml:space="preserve"> </w:t>
      </w:r>
      <w:r>
        <w:rPr>
          <w:sz w:val="20"/>
        </w:rPr>
        <w:t>30.º e</w:t>
      </w:r>
      <w:r>
        <w:rPr>
          <w:spacing w:val="-13"/>
          <w:sz w:val="20"/>
        </w:rPr>
        <w:t xml:space="preserve"> </w:t>
      </w:r>
      <w:r>
        <w:rPr>
          <w:sz w:val="20"/>
        </w:rPr>
        <w:t>204.º</w:t>
      </w:r>
      <w:r>
        <w:rPr>
          <w:spacing w:val="-10"/>
          <w:sz w:val="20"/>
        </w:rPr>
        <w:t xml:space="preserve"> </w:t>
      </w:r>
      <w:r>
        <w:rPr>
          <w:sz w:val="20"/>
        </w:rPr>
        <w:t>do</w:t>
      </w:r>
      <w:r>
        <w:rPr>
          <w:spacing w:val="-9"/>
          <w:sz w:val="20"/>
        </w:rPr>
        <w:t xml:space="preserve"> </w:t>
      </w:r>
      <w:r>
        <w:rPr>
          <w:sz w:val="20"/>
        </w:rPr>
        <w:t>Código</w:t>
      </w:r>
      <w:r>
        <w:rPr>
          <w:spacing w:val="-9"/>
          <w:sz w:val="20"/>
        </w:rPr>
        <w:t xml:space="preserve"> </w:t>
      </w:r>
      <w:r>
        <w:rPr>
          <w:sz w:val="20"/>
        </w:rPr>
        <w:t>de</w:t>
      </w:r>
      <w:r>
        <w:rPr>
          <w:spacing w:val="-13"/>
          <w:sz w:val="20"/>
        </w:rPr>
        <w:t xml:space="preserve"> </w:t>
      </w:r>
      <w:r>
        <w:rPr>
          <w:sz w:val="20"/>
        </w:rPr>
        <w:t>Contratos</w:t>
      </w:r>
      <w:r>
        <w:rPr>
          <w:spacing w:val="-8"/>
          <w:sz w:val="20"/>
        </w:rPr>
        <w:t xml:space="preserve"> </w:t>
      </w:r>
      <w:r>
        <w:rPr>
          <w:sz w:val="20"/>
        </w:rPr>
        <w:t>Públicos),</w:t>
      </w:r>
      <w:r>
        <w:rPr>
          <w:spacing w:val="-3"/>
          <w:sz w:val="20"/>
        </w:rPr>
        <w:t xml:space="preserve"> </w:t>
      </w:r>
      <w:r>
        <w:rPr>
          <w:sz w:val="20"/>
        </w:rPr>
        <w:t>França</w:t>
      </w:r>
      <w:r>
        <w:rPr>
          <w:spacing w:val="-9"/>
          <w:sz w:val="20"/>
        </w:rPr>
        <w:t xml:space="preserve"> </w:t>
      </w:r>
      <w:r>
        <w:rPr>
          <w:sz w:val="20"/>
        </w:rPr>
        <w:t>(</w:t>
      </w:r>
      <w:r>
        <w:rPr>
          <w:i/>
          <w:sz w:val="20"/>
        </w:rPr>
        <w:t>Dialogue</w:t>
      </w:r>
      <w:r>
        <w:rPr>
          <w:i/>
          <w:spacing w:val="-11"/>
          <w:sz w:val="20"/>
        </w:rPr>
        <w:t xml:space="preserve"> </w:t>
      </w:r>
      <w:r>
        <w:rPr>
          <w:i/>
          <w:sz w:val="20"/>
        </w:rPr>
        <w:t>compétitif</w:t>
      </w:r>
      <w:r>
        <w:rPr>
          <w:sz w:val="20"/>
        </w:rPr>
        <w:t>:</w:t>
      </w:r>
      <w:r>
        <w:rPr>
          <w:spacing w:val="-13"/>
          <w:sz w:val="20"/>
        </w:rPr>
        <w:t xml:space="preserve"> </w:t>
      </w:r>
      <w:r>
        <w:rPr>
          <w:sz w:val="20"/>
        </w:rPr>
        <w:t>arts.</w:t>
      </w:r>
      <w:r>
        <w:rPr>
          <w:spacing w:val="-7"/>
          <w:sz w:val="20"/>
        </w:rPr>
        <w:t xml:space="preserve"> </w:t>
      </w:r>
      <w:r>
        <w:rPr>
          <w:sz w:val="20"/>
        </w:rPr>
        <w:t>26,</w:t>
      </w:r>
      <w:r>
        <w:rPr>
          <w:spacing w:val="-7"/>
          <w:sz w:val="20"/>
        </w:rPr>
        <w:t xml:space="preserve"> </w:t>
      </w:r>
      <w:r>
        <w:rPr>
          <w:sz w:val="20"/>
        </w:rPr>
        <w:t>I,</w:t>
      </w:r>
      <w:r>
        <w:rPr>
          <w:spacing w:val="-10"/>
          <w:sz w:val="20"/>
        </w:rPr>
        <w:t xml:space="preserve"> </w:t>
      </w:r>
      <w:r>
        <w:rPr>
          <w:sz w:val="20"/>
        </w:rPr>
        <w:t>3.º, 36</w:t>
      </w:r>
      <w:r>
        <w:rPr>
          <w:spacing w:val="-12"/>
          <w:sz w:val="20"/>
        </w:rPr>
        <w:t xml:space="preserve"> </w:t>
      </w:r>
      <w:r>
        <w:rPr>
          <w:sz w:val="20"/>
        </w:rPr>
        <w:t>e</w:t>
      </w:r>
      <w:r>
        <w:rPr>
          <w:spacing w:val="-12"/>
          <w:sz w:val="20"/>
        </w:rPr>
        <w:t xml:space="preserve"> </w:t>
      </w:r>
      <w:r>
        <w:rPr>
          <w:sz w:val="20"/>
        </w:rPr>
        <w:t>67</w:t>
      </w:r>
      <w:r>
        <w:rPr>
          <w:spacing w:val="-11"/>
          <w:sz w:val="20"/>
        </w:rPr>
        <w:t xml:space="preserve"> </w:t>
      </w:r>
      <w:r>
        <w:rPr>
          <w:sz w:val="20"/>
        </w:rPr>
        <w:t>do</w:t>
      </w:r>
      <w:r>
        <w:rPr>
          <w:spacing w:val="-13"/>
          <w:sz w:val="20"/>
        </w:rPr>
        <w:t xml:space="preserve"> </w:t>
      </w:r>
      <w:r>
        <w:rPr>
          <w:i/>
          <w:sz w:val="20"/>
        </w:rPr>
        <w:t>Code</w:t>
      </w:r>
      <w:r>
        <w:rPr>
          <w:i/>
          <w:spacing w:val="-9"/>
          <w:sz w:val="20"/>
        </w:rPr>
        <w:t xml:space="preserve"> </w:t>
      </w:r>
      <w:r>
        <w:rPr>
          <w:i/>
          <w:sz w:val="20"/>
        </w:rPr>
        <w:t>des</w:t>
      </w:r>
      <w:r>
        <w:rPr>
          <w:i/>
          <w:spacing w:val="-13"/>
          <w:sz w:val="20"/>
        </w:rPr>
        <w:t xml:space="preserve"> </w:t>
      </w:r>
      <w:r>
        <w:rPr>
          <w:i/>
          <w:sz w:val="20"/>
        </w:rPr>
        <w:t>marches</w:t>
      </w:r>
      <w:r>
        <w:rPr>
          <w:i/>
          <w:spacing w:val="-12"/>
          <w:sz w:val="20"/>
        </w:rPr>
        <w:t xml:space="preserve"> </w:t>
      </w:r>
      <w:r>
        <w:rPr>
          <w:i/>
          <w:sz w:val="20"/>
        </w:rPr>
        <w:t>publics</w:t>
      </w:r>
      <w:r>
        <w:rPr>
          <w:sz w:val="20"/>
        </w:rPr>
        <w:t>),</w:t>
      </w:r>
      <w:r>
        <w:rPr>
          <w:spacing w:val="-12"/>
          <w:sz w:val="20"/>
        </w:rPr>
        <w:t xml:space="preserve"> </w:t>
      </w:r>
      <w:r>
        <w:rPr>
          <w:sz w:val="20"/>
        </w:rPr>
        <w:t>Espanha</w:t>
      </w:r>
      <w:r>
        <w:rPr>
          <w:spacing w:val="-10"/>
          <w:sz w:val="20"/>
        </w:rPr>
        <w:t xml:space="preserve"> </w:t>
      </w:r>
      <w:r>
        <w:rPr>
          <w:sz w:val="20"/>
        </w:rPr>
        <w:t>(Diálogo</w:t>
      </w:r>
      <w:r>
        <w:rPr>
          <w:spacing w:val="-13"/>
          <w:sz w:val="20"/>
        </w:rPr>
        <w:t xml:space="preserve"> </w:t>
      </w:r>
      <w:r>
        <w:rPr>
          <w:sz w:val="20"/>
        </w:rPr>
        <w:t>Competitivo:</w:t>
      </w:r>
      <w:r>
        <w:rPr>
          <w:spacing w:val="-8"/>
          <w:sz w:val="20"/>
        </w:rPr>
        <w:t xml:space="preserve"> </w:t>
      </w:r>
      <w:r>
        <w:rPr>
          <w:sz w:val="20"/>
        </w:rPr>
        <w:t>arts.</w:t>
      </w:r>
      <w:r>
        <w:rPr>
          <w:spacing w:val="-7"/>
          <w:sz w:val="20"/>
        </w:rPr>
        <w:t xml:space="preserve"> </w:t>
      </w:r>
      <w:r>
        <w:rPr>
          <w:sz w:val="20"/>
        </w:rPr>
        <w:t>163</w:t>
      </w:r>
      <w:r>
        <w:rPr>
          <w:spacing w:val="-13"/>
          <w:sz w:val="20"/>
        </w:rPr>
        <w:t xml:space="preserve"> </w:t>
      </w:r>
      <w:r>
        <w:rPr>
          <w:sz w:val="20"/>
        </w:rPr>
        <w:t>a</w:t>
      </w:r>
      <w:r>
        <w:rPr>
          <w:spacing w:val="-11"/>
          <w:sz w:val="20"/>
        </w:rPr>
        <w:t xml:space="preserve"> </w:t>
      </w:r>
      <w:r>
        <w:rPr>
          <w:sz w:val="20"/>
        </w:rPr>
        <w:t xml:space="preserve">167 da Lei 30/2007 – </w:t>
      </w:r>
      <w:r>
        <w:rPr>
          <w:i/>
          <w:sz w:val="20"/>
        </w:rPr>
        <w:t>Contratos del Sector Público</w:t>
      </w:r>
      <w:r>
        <w:rPr>
          <w:sz w:val="20"/>
        </w:rPr>
        <w:t>) etc. (OLIVEIRA, Rafael Carvalho Rezende, 2022, p. 142)</w:t>
      </w:r>
    </w:p>
    <w:p w:rsidR="007259F2" w:rsidRDefault="007259F2">
      <w:pPr>
        <w:pStyle w:val="Corpodetexto"/>
        <w:ind w:left="0" w:firstLine="0"/>
        <w:jc w:val="left"/>
        <w:rPr>
          <w:sz w:val="20"/>
        </w:rPr>
      </w:pPr>
    </w:p>
    <w:p w:rsidR="007259F2" w:rsidRDefault="00E655B4">
      <w:pPr>
        <w:pStyle w:val="Corpodetexto"/>
        <w:ind w:right="423"/>
      </w:pPr>
      <w:r>
        <w:t>Em nova atualização legislativa do Parlamento Europeu, procedeu-se a revogação da Diretiva 2004/18, que instituiu o diálogo competitivo, nele denominado “diálogo concorrencial”, através da publicação da Diretiva 2014/24, trazendo a tônica pela qual o instrumento normativo em voga é visto pelos seus idealizadores:</w:t>
      </w:r>
    </w:p>
    <w:p w:rsidR="007259F2" w:rsidRDefault="007259F2">
      <w:pPr>
        <w:pStyle w:val="Corpodetexto"/>
        <w:spacing w:before="1"/>
        <w:ind w:left="0" w:firstLine="0"/>
        <w:jc w:val="left"/>
      </w:pPr>
    </w:p>
    <w:p w:rsidR="007259F2" w:rsidRDefault="00E655B4">
      <w:pPr>
        <w:ind w:left="2978" w:right="420"/>
        <w:jc w:val="both"/>
        <w:rPr>
          <w:sz w:val="20"/>
        </w:rPr>
      </w:pPr>
      <w:r>
        <w:rPr>
          <w:sz w:val="20"/>
        </w:rPr>
        <w:t>(42) É muito importante que as autoridades adjudicantes disponham de maior flexibilidade</w:t>
      </w:r>
      <w:r>
        <w:rPr>
          <w:spacing w:val="-13"/>
          <w:sz w:val="20"/>
        </w:rPr>
        <w:t xml:space="preserve"> </w:t>
      </w:r>
      <w:r>
        <w:rPr>
          <w:sz w:val="20"/>
        </w:rPr>
        <w:t>para</w:t>
      </w:r>
      <w:r>
        <w:rPr>
          <w:spacing w:val="-12"/>
          <w:sz w:val="20"/>
        </w:rPr>
        <w:t xml:space="preserve"> </w:t>
      </w:r>
      <w:r>
        <w:rPr>
          <w:sz w:val="20"/>
        </w:rPr>
        <w:t>escolher</w:t>
      </w:r>
      <w:r>
        <w:rPr>
          <w:spacing w:val="-13"/>
          <w:sz w:val="20"/>
        </w:rPr>
        <w:t xml:space="preserve"> </w:t>
      </w:r>
      <w:r>
        <w:rPr>
          <w:sz w:val="20"/>
        </w:rPr>
        <w:t>um</w:t>
      </w:r>
      <w:r>
        <w:rPr>
          <w:spacing w:val="-12"/>
          <w:sz w:val="20"/>
        </w:rPr>
        <w:t xml:space="preserve"> </w:t>
      </w:r>
      <w:r>
        <w:rPr>
          <w:sz w:val="20"/>
        </w:rPr>
        <w:t>procedimento</w:t>
      </w:r>
      <w:r>
        <w:rPr>
          <w:spacing w:val="-13"/>
          <w:sz w:val="20"/>
        </w:rPr>
        <w:t xml:space="preserve"> </w:t>
      </w:r>
      <w:r>
        <w:rPr>
          <w:sz w:val="20"/>
        </w:rPr>
        <w:t>de</w:t>
      </w:r>
      <w:r>
        <w:rPr>
          <w:spacing w:val="-12"/>
          <w:sz w:val="20"/>
        </w:rPr>
        <w:t xml:space="preserve"> </w:t>
      </w:r>
      <w:r>
        <w:rPr>
          <w:sz w:val="20"/>
        </w:rPr>
        <w:t>contratação</w:t>
      </w:r>
      <w:r>
        <w:rPr>
          <w:spacing w:val="-13"/>
          <w:sz w:val="20"/>
        </w:rPr>
        <w:t xml:space="preserve"> </w:t>
      </w:r>
      <w:r>
        <w:rPr>
          <w:sz w:val="20"/>
        </w:rPr>
        <w:t>que</w:t>
      </w:r>
      <w:r>
        <w:rPr>
          <w:spacing w:val="-12"/>
          <w:sz w:val="20"/>
        </w:rPr>
        <w:t xml:space="preserve"> </w:t>
      </w:r>
      <w:r>
        <w:rPr>
          <w:sz w:val="20"/>
        </w:rPr>
        <w:t>preveja</w:t>
      </w:r>
      <w:r>
        <w:rPr>
          <w:spacing w:val="-13"/>
          <w:sz w:val="20"/>
        </w:rPr>
        <w:t xml:space="preserve"> </w:t>
      </w:r>
      <w:r>
        <w:rPr>
          <w:sz w:val="20"/>
        </w:rPr>
        <w:t>a</w:t>
      </w:r>
      <w:r>
        <w:rPr>
          <w:spacing w:val="-12"/>
          <w:sz w:val="20"/>
        </w:rPr>
        <w:t xml:space="preserve"> </w:t>
      </w:r>
      <w:r>
        <w:rPr>
          <w:sz w:val="20"/>
        </w:rPr>
        <w:t>negociação. A maior utilização desses procedimentos deverá também intensificar o comércio transfronteiras, pois a avaliação demonstrou que os contratos adjudicados através de um</w:t>
      </w:r>
      <w:r>
        <w:rPr>
          <w:spacing w:val="-13"/>
          <w:sz w:val="20"/>
        </w:rPr>
        <w:t xml:space="preserve"> </w:t>
      </w:r>
      <w:r>
        <w:rPr>
          <w:sz w:val="20"/>
        </w:rPr>
        <w:t>procedimento</w:t>
      </w:r>
      <w:r>
        <w:rPr>
          <w:spacing w:val="-12"/>
          <w:sz w:val="20"/>
        </w:rPr>
        <w:t xml:space="preserve"> </w:t>
      </w:r>
      <w:r>
        <w:rPr>
          <w:sz w:val="20"/>
        </w:rPr>
        <w:t>por</w:t>
      </w:r>
      <w:r>
        <w:rPr>
          <w:spacing w:val="-13"/>
          <w:sz w:val="20"/>
        </w:rPr>
        <w:t xml:space="preserve"> </w:t>
      </w:r>
      <w:r>
        <w:rPr>
          <w:sz w:val="20"/>
        </w:rPr>
        <w:t>negociação,</w:t>
      </w:r>
      <w:r>
        <w:rPr>
          <w:spacing w:val="-12"/>
          <w:sz w:val="20"/>
        </w:rPr>
        <w:t xml:space="preserve"> </w:t>
      </w:r>
      <w:r>
        <w:rPr>
          <w:sz w:val="20"/>
        </w:rPr>
        <w:t>com</w:t>
      </w:r>
      <w:r>
        <w:rPr>
          <w:spacing w:val="-13"/>
          <w:sz w:val="20"/>
        </w:rPr>
        <w:t xml:space="preserve"> </w:t>
      </w:r>
      <w:r>
        <w:rPr>
          <w:sz w:val="20"/>
        </w:rPr>
        <w:t>publicação</w:t>
      </w:r>
      <w:r>
        <w:rPr>
          <w:spacing w:val="-12"/>
          <w:sz w:val="20"/>
        </w:rPr>
        <w:t xml:space="preserve"> </w:t>
      </w:r>
      <w:r>
        <w:rPr>
          <w:sz w:val="20"/>
        </w:rPr>
        <w:t>prévia</w:t>
      </w:r>
      <w:r>
        <w:rPr>
          <w:spacing w:val="-13"/>
          <w:sz w:val="20"/>
        </w:rPr>
        <w:t xml:space="preserve"> </w:t>
      </w:r>
      <w:r>
        <w:rPr>
          <w:sz w:val="20"/>
        </w:rPr>
        <w:t>de</w:t>
      </w:r>
      <w:r>
        <w:rPr>
          <w:spacing w:val="-12"/>
          <w:sz w:val="20"/>
        </w:rPr>
        <w:t xml:space="preserve"> </w:t>
      </w:r>
      <w:r>
        <w:rPr>
          <w:sz w:val="20"/>
        </w:rPr>
        <w:t>anúncio,</w:t>
      </w:r>
      <w:r>
        <w:rPr>
          <w:spacing w:val="-13"/>
          <w:sz w:val="20"/>
        </w:rPr>
        <w:t xml:space="preserve"> </w:t>
      </w:r>
      <w:r>
        <w:rPr>
          <w:sz w:val="20"/>
        </w:rPr>
        <w:t>apresentam</w:t>
      </w:r>
      <w:r>
        <w:rPr>
          <w:spacing w:val="-12"/>
          <w:sz w:val="20"/>
        </w:rPr>
        <w:t xml:space="preserve"> </w:t>
      </w:r>
      <w:r>
        <w:rPr>
          <w:sz w:val="20"/>
        </w:rPr>
        <w:t>uma taxa de sucesso particularmente elevada das propostas transfronteiras. Os Estados- Membros deverão poder prever o recurso ao procedimento concorrencial com negociação</w:t>
      </w:r>
      <w:r>
        <w:rPr>
          <w:spacing w:val="-2"/>
          <w:sz w:val="20"/>
        </w:rPr>
        <w:t xml:space="preserve"> </w:t>
      </w:r>
      <w:r>
        <w:rPr>
          <w:sz w:val="20"/>
        </w:rPr>
        <w:t>ou</w:t>
      </w:r>
      <w:r>
        <w:rPr>
          <w:spacing w:val="-1"/>
          <w:sz w:val="20"/>
        </w:rPr>
        <w:t xml:space="preserve"> </w:t>
      </w:r>
      <w:r>
        <w:rPr>
          <w:sz w:val="20"/>
        </w:rPr>
        <w:t>ao</w:t>
      </w:r>
      <w:r>
        <w:rPr>
          <w:spacing w:val="-2"/>
          <w:sz w:val="20"/>
        </w:rPr>
        <w:t xml:space="preserve"> </w:t>
      </w:r>
      <w:r>
        <w:rPr>
          <w:sz w:val="20"/>
        </w:rPr>
        <w:t>diálogo</w:t>
      </w:r>
      <w:r>
        <w:rPr>
          <w:spacing w:val="-2"/>
          <w:sz w:val="20"/>
        </w:rPr>
        <w:t xml:space="preserve"> </w:t>
      </w:r>
      <w:r>
        <w:rPr>
          <w:sz w:val="20"/>
        </w:rPr>
        <w:t>concorrencial</w:t>
      </w:r>
      <w:r>
        <w:rPr>
          <w:spacing w:val="-5"/>
          <w:sz w:val="20"/>
        </w:rPr>
        <w:t xml:space="preserve"> </w:t>
      </w:r>
      <w:r>
        <w:rPr>
          <w:sz w:val="20"/>
        </w:rPr>
        <w:t>nas situações em</w:t>
      </w:r>
      <w:r>
        <w:rPr>
          <w:spacing w:val="-3"/>
          <w:sz w:val="20"/>
        </w:rPr>
        <w:t xml:space="preserve"> </w:t>
      </w:r>
      <w:r>
        <w:rPr>
          <w:sz w:val="20"/>
        </w:rPr>
        <w:t>que</w:t>
      </w:r>
      <w:r>
        <w:rPr>
          <w:spacing w:val="-1"/>
          <w:sz w:val="20"/>
        </w:rPr>
        <w:t xml:space="preserve"> </w:t>
      </w:r>
      <w:r>
        <w:rPr>
          <w:sz w:val="20"/>
        </w:rPr>
        <w:t>um</w:t>
      </w:r>
      <w:r>
        <w:rPr>
          <w:spacing w:val="-1"/>
          <w:sz w:val="20"/>
        </w:rPr>
        <w:t xml:space="preserve"> </w:t>
      </w:r>
      <w:r>
        <w:rPr>
          <w:sz w:val="20"/>
        </w:rPr>
        <w:t>concurso</w:t>
      </w:r>
      <w:r>
        <w:rPr>
          <w:spacing w:val="-2"/>
          <w:sz w:val="20"/>
        </w:rPr>
        <w:t xml:space="preserve"> </w:t>
      </w:r>
      <w:r>
        <w:rPr>
          <w:sz w:val="20"/>
        </w:rPr>
        <w:t>aberto</w:t>
      </w:r>
      <w:r>
        <w:rPr>
          <w:spacing w:val="-5"/>
          <w:sz w:val="20"/>
        </w:rPr>
        <w:t xml:space="preserve"> </w:t>
      </w:r>
      <w:r>
        <w:rPr>
          <w:sz w:val="20"/>
        </w:rPr>
        <w:t>ou limitado</w:t>
      </w:r>
      <w:r>
        <w:rPr>
          <w:spacing w:val="-13"/>
          <w:sz w:val="20"/>
        </w:rPr>
        <w:t xml:space="preserve"> </w:t>
      </w:r>
      <w:r>
        <w:rPr>
          <w:sz w:val="20"/>
        </w:rPr>
        <w:t>sem</w:t>
      </w:r>
      <w:r>
        <w:rPr>
          <w:spacing w:val="-12"/>
          <w:sz w:val="20"/>
        </w:rPr>
        <w:t xml:space="preserve"> </w:t>
      </w:r>
      <w:r>
        <w:rPr>
          <w:sz w:val="20"/>
        </w:rPr>
        <w:t>negociação</w:t>
      </w:r>
      <w:r>
        <w:rPr>
          <w:spacing w:val="-12"/>
          <w:sz w:val="20"/>
        </w:rPr>
        <w:t xml:space="preserve"> </w:t>
      </w:r>
      <w:r>
        <w:rPr>
          <w:sz w:val="20"/>
        </w:rPr>
        <w:t>não</w:t>
      </w:r>
      <w:r>
        <w:rPr>
          <w:spacing w:val="-11"/>
          <w:sz w:val="20"/>
        </w:rPr>
        <w:t xml:space="preserve"> </w:t>
      </w:r>
      <w:r>
        <w:rPr>
          <w:sz w:val="20"/>
        </w:rPr>
        <w:t>seja</w:t>
      </w:r>
      <w:r>
        <w:rPr>
          <w:spacing w:val="-7"/>
          <w:sz w:val="20"/>
        </w:rPr>
        <w:t xml:space="preserve"> </w:t>
      </w:r>
      <w:r>
        <w:rPr>
          <w:sz w:val="20"/>
        </w:rPr>
        <w:t>passível</w:t>
      </w:r>
      <w:r>
        <w:rPr>
          <w:spacing w:val="-8"/>
          <w:sz w:val="20"/>
        </w:rPr>
        <w:t xml:space="preserve"> </w:t>
      </w:r>
      <w:r>
        <w:rPr>
          <w:sz w:val="20"/>
        </w:rPr>
        <w:t>de</w:t>
      </w:r>
      <w:r>
        <w:rPr>
          <w:spacing w:val="-12"/>
          <w:sz w:val="20"/>
        </w:rPr>
        <w:t xml:space="preserve"> </w:t>
      </w:r>
      <w:r>
        <w:rPr>
          <w:sz w:val="20"/>
        </w:rPr>
        <w:t>gerar</w:t>
      </w:r>
      <w:r>
        <w:rPr>
          <w:spacing w:val="-12"/>
          <w:sz w:val="20"/>
        </w:rPr>
        <w:t xml:space="preserve"> </w:t>
      </w:r>
      <w:r>
        <w:rPr>
          <w:sz w:val="20"/>
        </w:rPr>
        <w:t>resultados</w:t>
      </w:r>
      <w:r>
        <w:rPr>
          <w:spacing w:val="-5"/>
          <w:sz w:val="20"/>
        </w:rPr>
        <w:t xml:space="preserve"> </w:t>
      </w:r>
      <w:r>
        <w:rPr>
          <w:sz w:val="20"/>
        </w:rPr>
        <w:t>satisfatórios</w:t>
      </w:r>
      <w:r>
        <w:rPr>
          <w:spacing w:val="-12"/>
          <w:sz w:val="20"/>
        </w:rPr>
        <w:t xml:space="preserve"> </w:t>
      </w:r>
      <w:r>
        <w:rPr>
          <w:sz w:val="20"/>
        </w:rPr>
        <w:t>na</w:t>
      </w:r>
      <w:r>
        <w:rPr>
          <w:spacing w:val="-12"/>
          <w:sz w:val="20"/>
        </w:rPr>
        <w:t xml:space="preserve"> </w:t>
      </w:r>
      <w:r>
        <w:rPr>
          <w:sz w:val="20"/>
        </w:rPr>
        <w:t>ótica</w:t>
      </w:r>
      <w:r>
        <w:rPr>
          <w:spacing w:val="-12"/>
          <w:sz w:val="20"/>
        </w:rPr>
        <w:t xml:space="preserve"> </w:t>
      </w:r>
      <w:r>
        <w:rPr>
          <w:spacing w:val="-5"/>
          <w:sz w:val="20"/>
        </w:rPr>
        <w:t>da</w:t>
      </w:r>
    </w:p>
    <w:p w:rsidR="007259F2" w:rsidRDefault="007259F2">
      <w:pPr>
        <w:jc w:val="both"/>
        <w:rPr>
          <w:sz w:val="20"/>
        </w:rPr>
        <w:sectPr w:rsidR="007259F2">
          <w:pgSz w:w="11910" w:h="16840"/>
          <w:pgMar w:top="1600" w:right="708" w:bottom="1020" w:left="992" w:header="0" w:footer="820" w:gutter="0"/>
          <w:cols w:space="720"/>
        </w:sectPr>
      </w:pPr>
    </w:p>
    <w:p w:rsidR="007259F2" w:rsidRDefault="00E655B4">
      <w:pPr>
        <w:spacing w:before="77"/>
        <w:ind w:left="2978" w:right="422"/>
        <w:jc w:val="both"/>
        <w:rPr>
          <w:sz w:val="20"/>
        </w:rPr>
      </w:pPr>
      <w:r>
        <w:rPr>
          <w:sz w:val="20"/>
        </w:rPr>
        <w:lastRenderedPageBreak/>
        <w:t>contratação pública. Importa recordar que o recurso ao diálogo concorrencial aumentou significativamente, em termos de valores dos contratos, nos últimos anos. Revelou-se útil</w:t>
      </w:r>
      <w:r>
        <w:rPr>
          <w:spacing w:val="-3"/>
          <w:sz w:val="20"/>
        </w:rPr>
        <w:t xml:space="preserve"> </w:t>
      </w:r>
      <w:r>
        <w:rPr>
          <w:sz w:val="20"/>
        </w:rPr>
        <w:t>nos casos em</w:t>
      </w:r>
      <w:r>
        <w:rPr>
          <w:spacing w:val="-1"/>
          <w:sz w:val="20"/>
        </w:rPr>
        <w:t xml:space="preserve"> </w:t>
      </w:r>
      <w:r>
        <w:rPr>
          <w:sz w:val="20"/>
        </w:rPr>
        <w:t>que</w:t>
      </w:r>
      <w:r>
        <w:rPr>
          <w:spacing w:val="-1"/>
          <w:sz w:val="20"/>
        </w:rPr>
        <w:t xml:space="preserve"> </w:t>
      </w:r>
      <w:r>
        <w:rPr>
          <w:sz w:val="20"/>
        </w:rPr>
        <w:t>as</w:t>
      </w:r>
      <w:r>
        <w:rPr>
          <w:spacing w:val="-1"/>
          <w:sz w:val="20"/>
        </w:rPr>
        <w:t xml:space="preserve"> </w:t>
      </w:r>
      <w:r>
        <w:rPr>
          <w:sz w:val="20"/>
        </w:rPr>
        <w:t>autoridades adjudicantes não</w:t>
      </w:r>
      <w:r>
        <w:rPr>
          <w:spacing w:val="-2"/>
          <w:sz w:val="20"/>
        </w:rPr>
        <w:t xml:space="preserve"> </w:t>
      </w:r>
      <w:r>
        <w:rPr>
          <w:sz w:val="20"/>
        </w:rPr>
        <w:t>conseguem</w:t>
      </w:r>
      <w:r>
        <w:rPr>
          <w:spacing w:val="-1"/>
          <w:sz w:val="20"/>
        </w:rPr>
        <w:t xml:space="preserve"> </w:t>
      </w:r>
      <w:r>
        <w:rPr>
          <w:sz w:val="20"/>
        </w:rPr>
        <w:t>definir as</w:t>
      </w:r>
      <w:r>
        <w:rPr>
          <w:spacing w:val="-13"/>
          <w:sz w:val="20"/>
        </w:rPr>
        <w:t xml:space="preserve"> </w:t>
      </w:r>
      <w:r>
        <w:rPr>
          <w:sz w:val="20"/>
        </w:rPr>
        <w:t>formas</w:t>
      </w:r>
      <w:r>
        <w:rPr>
          <w:spacing w:val="-10"/>
          <w:sz w:val="20"/>
        </w:rPr>
        <w:t xml:space="preserve"> </w:t>
      </w:r>
      <w:r>
        <w:rPr>
          <w:sz w:val="20"/>
        </w:rPr>
        <w:t>de</w:t>
      </w:r>
      <w:r>
        <w:rPr>
          <w:spacing w:val="-8"/>
          <w:sz w:val="20"/>
        </w:rPr>
        <w:t xml:space="preserve"> </w:t>
      </w:r>
      <w:r>
        <w:rPr>
          <w:sz w:val="20"/>
        </w:rPr>
        <w:t>satisfazer</w:t>
      </w:r>
      <w:r>
        <w:rPr>
          <w:spacing w:val="-4"/>
          <w:sz w:val="20"/>
        </w:rPr>
        <w:t xml:space="preserve"> </w:t>
      </w:r>
      <w:r>
        <w:rPr>
          <w:sz w:val="20"/>
        </w:rPr>
        <w:t>as</w:t>
      </w:r>
      <w:r>
        <w:rPr>
          <w:spacing w:val="-11"/>
          <w:sz w:val="20"/>
        </w:rPr>
        <w:t xml:space="preserve"> </w:t>
      </w:r>
      <w:r>
        <w:rPr>
          <w:sz w:val="20"/>
        </w:rPr>
        <w:t>suas</w:t>
      </w:r>
      <w:r>
        <w:rPr>
          <w:spacing w:val="-8"/>
          <w:sz w:val="20"/>
        </w:rPr>
        <w:t xml:space="preserve"> </w:t>
      </w:r>
      <w:r>
        <w:rPr>
          <w:sz w:val="20"/>
        </w:rPr>
        <w:t>necessidades</w:t>
      </w:r>
      <w:r>
        <w:rPr>
          <w:spacing w:val="-7"/>
          <w:sz w:val="20"/>
        </w:rPr>
        <w:t xml:space="preserve"> </w:t>
      </w:r>
      <w:r>
        <w:rPr>
          <w:sz w:val="20"/>
        </w:rPr>
        <w:t>ou</w:t>
      </w:r>
      <w:r>
        <w:rPr>
          <w:spacing w:val="-7"/>
          <w:sz w:val="20"/>
        </w:rPr>
        <w:t xml:space="preserve"> </w:t>
      </w:r>
      <w:r>
        <w:rPr>
          <w:sz w:val="20"/>
        </w:rPr>
        <w:t>avaliar</w:t>
      </w:r>
      <w:r>
        <w:rPr>
          <w:spacing w:val="-1"/>
          <w:sz w:val="20"/>
        </w:rPr>
        <w:t xml:space="preserve"> </w:t>
      </w:r>
      <w:r>
        <w:rPr>
          <w:sz w:val="20"/>
        </w:rPr>
        <w:t>o</w:t>
      </w:r>
      <w:r>
        <w:rPr>
          <w:spacing w:val="-6"/>
          <w:sz w:val="20"/>
        </w:rPr>
        <w:t xml:space="preserve"> </w:t>
      </w:r>
      <w:r>
        <w:rPr>
          <w:sz w:val="20"/>
        </w:rPr>
        <w:t>que</w:t>
      </w:r>
      <w:r>
        <w:rPr>
          <w:spacing w:val="-13"/>
          <w:sz w:val="20"/>
        </w:rPr>
        <w:t xml:space="preserve"> </w:t>
      </w:r>
      <w:r>
        <w:rPr>
          <w:sz w:val="20"/>
        </w:rPr>
        <w:t>o</w:t>
      </w:r>
      <w:r>
        <w:rPr>
          <w:spacing w:val="-6"/>
          <w:sz w:val="20"/>
        </w:rPr>
        <w:t xml:space="preserve"> </w:t>
      </w:r>
      <w:r>
        <w:rPr>
          <w:sz w:val="20"/>
        </w:rPr>
        <w:t>mercado</w:t>
      </w:r>
      <w:r>
        <w:rPr>
          <w:spacing w:val="-6"/>
          <w:sz w:val="20"/>
        </w:rPr>
        <w:t xml:space="preserve"> </w:t>
      </w:r>
      <w:r>
        <w:rPr>
          <w:sz w:val="20"/>
        </w:rPr>
        <w:t>pode</w:t>
      </w:r>
      <w:r>
        <w:rPr>
          <w:spacing w:val="-10"/>
          <w:sz w:val="20"/>
        </w:rPr>
        <w:t xml:space="preserve"> </w:t>
      </w:r>
      <w:r>
        <w:rPr>
          <w:sz w:val="20"/>
        </w:rPr>
        <w:t>oferecer em termos de soluções técnicas, financeiras ou jurídicas. Tal pode, nomeadamente, verificar-se quando se trata de projetos inovadores, da execução de projetos de infraestruturas de transportes integrados em larga escala, de grandes redes informáticas</w:t>
      </w:r>
      <w:r>
        <w:rPr>
          <w:spacing w:val="-13"/>
          <w:sz w:val="20"/>
        </w:rPr>
        <w:t xml:space="preserve"> </w:t>
      </w:r>
      <w:r>
        <w:rPr>
          <w:sz w:val="20"/>
        </w:rPr>
        <w:t>ou</w:t>
      </w:r>
      <w:r>
        <w:rPr>
          <w:spacing w:val="-11"/>
          <w:sz w:val="20"/>
        </w:rPr>
        <w:t xml:space="preserve"> </w:t>
      </w:r>
      <w:r>
        <w:rPr>
          <w:sz w:val="20"/>
        </w:rPr>
        <w:t>de</w:t>
      </w:r>
      <w:r>
        <w:rPr>
          <w:spacing w:val="-13"/>
          <w:sz w:val="20"/>
        </w:rPr>
        <w:t xml:space="preserve"> </w:t>
      </w:r>
      <w:r>
        <w:rPr>
          <w:sz w:val="20"/>
        </w:rPr>
        <w:t>projetos</w:t>
      </w:r>
      <w:r>
        <w:rPr>
          <w:spacing w:val="-10"/>
          <w:sz w:val="20"/>
        </w:rPr>
        <w:t xml:space="preserve"> </w:t>
      </w:r>
      <w:r>
        <w:rPr>
          <w:sz w:val="20"/>
        </w:rPr>
        <w:t>que</w:t>
      </w:r>
      <w:r>
        <w:rPr>
          <w:spacing w:val="-13"/>
          <w:sz w:val="20"/>
        </w:rPr>
        <w:t xml:space="preserve"> </w:t>
      </w:r>
      <w:r>
        <w:rPr>
          <w:sz w:val="20"/>
        </w:rPr>
        <w:t>obriguem</w:t>
      </w:r>
      <w:r>
        <w:rPr>
          <w:spacing w:val="-12"/>
          <w:sz w:val="20"/>
        </w:rPr>
        <w:t xml:space="preserve"> </w:t>
      </w:r>
      <w:r>
        <w:rPr>
          <w:sz w:val="20"/>
        </w:rPr>
        <w:t>a</w:t>
      </w:r>
      <w:r>
        <w:rPr>
          <w:spacing w:val="-9"/>
          <w:sz w:val="20"/>
        </w:rPr>
        <w:t xml:space="preserve"> </w:t>
      </w:r>
      <w:r>
        <w:rPr>
          <w:sz w:val="20"/>
        </w:rPr>
        <w:t>financiamentos</w:t>
      </w:r>
      <w:r>
        <w:rPr>
          <w:spacing w:val="-13"/>
          <w:sz w:val="20"/>
        </w:rPr>
        <w:t xml:space="preserve"> </w:t>
      </w:r>
      <w:r>
        <w:rPr>
          <w:sz w:val="20"/>
        </w:rPr>
        <w:t>complexos</w:t>
      </w:r>
      <w:r>
        <w:rPr>
          <w:spacing w:val="-12"/>
          <w:sz w:val="20"/>
        </w:rPr>
        <w:t xml:space="preserve"> </w:t>
      </w:r>
      <w:r>
        <w:rPr>
          <w:sz w:val="20"/>
        </w:rPr>
        <w:t>e</w:t>
      </w:r>
      <w:r>
        <w:rPr>
          <w:spacing w:val="-9"/>
          <w:sz w:val="20"/>
        </w:rPr>
        <w:t xml:space="preserve"> </w:t>
      </w:r>
      <w:r>
        <w:rPr>
          <w:sz w:val="20"/>
        </w:rPr>
        <w:t>estruturados. Sempre</w:t>
      </w:r>
      <w:r>
        <w:rPr>
          <w:spacing w:val="-13"/>
          <w:sz w:val="20"/>
        </w:rPr>
        <w:t xml:space="preserve"> </w:t>
      </w:r>
      <w:r>
        <w:rPr>
          <w:sz w:val="20"/>
        </w:rPr>
        <w:t>que</w:t>
      </w:r>
      <w:r>
        <w:rPr>
          <w:spacing w:val="-12"/>
          <w:sz w:val="20"/>
        </w:rPr>
        <w:t xml:space="preserve"> </w:t>
      </w:r>
      <w:r>
        <w:rPr>
          <w:sz w:val="20"/>
        </w:rPr>
        <w:t>pertinente,</w:t>
      </w:r>
      <w:r>
        <w:rPr>
          <w:spacing w:val="-13"/>
          <w:sz w:val="20"/>
        </w:rPr>
        <w:t xml:space="preserve"> </w:t>
      </w:r>
      <w:r>
        <w:rPr>
          <w:sz w:val="20"/>
        </w:rPr>
        <w:t>as</w:t>
      </w:r>
      <w:r>
        <w:rPr>
          <w:spacing w:val="-12"/>
          <w:sz w:val="20"/>
        </w:rPr>
        <w:t xml:space="preserve"> </w:t>
      </w:r>
      <w:r>
        <w:rPr>
          <w:sz w:val="20"/>
        </w:rPr>
        <w:t>autoridades</w:t>
      </w:r>
      <w:r>
        <w:rPr>
          <w:spacing w:val="-13"/>
          <w:sz w:val="20"/>
        </w:rPr>
        <w:t xml:space="preserve"> </w:t>
      </w:r>
      <w:r>
        <w:rPr>
          <w:sz w:val="20"/>
        </w:rPr>
        <w:t>adjudicantes</w:t>
      </w:r>
      <w:r>
        <w:rPr>
          <w:spacing w:val="-12"/>
          <w:sz w:val="20"/>
        </w:rPr>
        <w:t xml:space="preserve"> </w:t>
      </w:r>
      <w:r>
        <w:rPr>
          <w:sz w:val="20"/>
        </w:rPr>
        <w:t>deverão</w:t>
      </w:r>
      <w:r>
        <w:rPr>
          <w:spacing w:val="-13"/>
          <w:sz w:val="20"/>
        </w:rPr>
        <w:t xml:space="preserve"> </w:t>
      </w:r>
      <w:r>
        <w:rPr>
          <w:sz w:val="20"/>
        </w:rPr>
        <w:t>ser</w:t>
      </w:r>
      <w:r>
        <w:rPr>
          <w:spacing w:val="-11"/>
          <w:sz w:val="20"/>
        </w:rPr>
        <w:t xml:space="preserve"> </w:t>
      </w:r>
      <w:r>
        <w:rPr>
          <w:sz w:val="20"/>
        </w:rPr>
        <w:t>incentivadas</w:t>
      </w:r>
      <w:r>
        <w:rPr>
          <w:spacing w:val="-12"/>
          <w:sz w:val="20"/>
        </w:rPr>
        <w:t xml:space="preserve"> </w:t>
      </w:r>
      <w:r>
        <w:rPr>
          <w:sz w:val="20"/>
        </w:rPr>
        <w:t>a</w:t>
      </w:r>
      <w:r>
        <w:rPr>
          <w:spacing w:val="-11"/>
          <w:sz w:val="20"/>
        </w:rPr>
        <w:t xml:space="preserve"> </w:t>
      </w:r>
      <w:r>
        <w:rPr>
          <w:sz w:val="20"/>
        </w:rPr>
        <w:t>nomear um</w:t>
      </w:r>
      <w:r>
        <w:rPr>
          <w:spacing w:val="-7"/>
          <w:sz w:val="20"/>
        </w:rPr>
        <w:t xml:space="preserve"> </w:t>
      </w:r>
      <w:r>
        <w:rPr>
          <w:sz w:val="20"/>
        </w:rPr>
        <w:t>chefe</w:t>
      </w:r>
      <w:r>
        <w:rPr>
          <w:spacing w:val="-7"/>
          <w:sz w:val="20"/>
        </w:rPr>
        <w:t xml:space="preserve"> </w:t>
      </w:r>
      <w:r>
        <w:rPr>
          <w:sz w:val="20"/>
        </w:rPr>
        <w:t>de</w:t>
      </w:r>
      <w:r>
        <w:rPr>
          <w:spacing w:val="-8"/>
          <w:sz w:val="20"/>
        </w:rPr>
        <w:t xml:space="preserve"> </w:t>
      </w:r>
      <w:r>
        <w:rPr>
          <w:sz w:val="20"/>
        </w:rPr>
        <w:t>projeto</w:t>
      </w:r>
      <w:r>
        <w:rPr>
          <w:spacing w:val="-8"/>
          <w:sz w:val="20"/>
        </w:rPr>
        <w:t xml:space="preserve"> </w:t>
      </w:r>
      <w:r>
        <w:rPr>
          <w:sz w:val="20"/>
        </w:rPr>
        <w:t>para</w:t>
      </w:r>
      <w:r>
        <w:rPr>
          <w:spacing w:val="-5"/>
          <w:sz w:val="20"/>
        </w:rPr>
        <w:t xml:space="preserve"> </w:t>
      </w:r>
      <w:r>
        <w:rPr>
          <w:sz w:val="20"/>
        </w:rPr>
        <w:t>garantir</w:t>
      </w:r>
      <w:r>
        <w:rPr>
          <w:spacing w:val="-4"/>
          <w:sz w:val="20"/>
        </w:rPr>
        <w:t xml:space="preserve"> </w:t>
      </w:r>
      <w:r>
        <w:rPr>
          <w:sz w:val="20"/>
        </w:rPr>
        <w:t>a</w:t>
      </w:r>
      <w:r>
        <w:rPr>
          <w:spacing w:val="-8"/>
          <w:sz w:val="20"/>
        </w:rPr>
        <w:t xml:space="preserve"> </w:t>
      </w:r>
      <w:r>
        <w:rPr>
          <w:sz w:val="20"/>
        </w:rPr>
        <w:t>boa</w:t>
      </w:r>
      <w:r>
        <w:rPr>
          <w:spacing w:val="-5"/>
          <w:sz w:val="20"/>
        </w:rPr>
        <w:t xml:space="preserve"> </w:t>
      </w:r>
      <w:r>
        <w:rPr>
          <w:sz w:val="20"/>
        </w:rPr>
        <w:t>cooperação</w:t>
      </w:r>
      <w:r>
        <w:rPr>
          <w:spacing w:val="-8"/>
          <w:sz w:val="20"/>
        </w:rPr>
        <w:t xml:space="preserve"> </w:t>
      </w:r>
      <w:r>
        <w:rPr>
          <w:sz w:val="20"/>
        </w:rPr>
        <w:t>entre</w:t>
      </w:r>
      <w:r>
        <w:rPr>
          <w:spacing w:val="-7"/>
          <w:sz w:val="20"/>
        </w:rPr>
        <w:t xml:space="preserve"> </w:t>
      </w:r>
      <w:r>
        <w:rPr>
          <w:sz w:val="20"/>
        </w:rPr>
        <w:t>os</w:t>
      </w:r>
      <w:r>
        <w:rPr>
          <w:spacing w:val="-9"/>
          <w:sz w:val="20"/>
        </w:rPr>
        <w:t xml:space="preserve"> </w:t>
      </w:r>
      <w:r>
        <w:rPr>
          <w:sz w:val="20"/>
        </w:rPr>
        <w:t>operadores</w:t>
      </w:r>
      <w:r>
        <w:rPr>
          <w:spacing w:val="-7"/>
          <w:sz w:val="20"/>
        </w:rPr>
        <w:t xml:space="preserve"> </w:t>
      </w:r>
      <w:r>
        <w:rPr>
          <w:sz w:val="20"/>
        </w:rPr>
        <w:t>económicos</w:t>
      </w:r>
      <w:r>
        <w:rPr>
          <w:spacing w:val="-1"/>
          <w:sz w:val="20"/>
        </w:rPr>
        <w:t xml:space="preserve"> </w:t>
      </w:r>
      <w:r>
        <w:rPr>
          <w:sz w:val="20"/>
        </w:rPr>
        <w:t>e a autoridade adjudicante durante o procedimento de adjudicação.</w:t>
      </w:r>
    </w:p>
    <w:p w:rsidR="007259F2" w:rsidRDefault="00E655B4">
      <w:pPr>
        <w:pStyle w:val="Corpodetexto"/>
        <w:spacing w:before="200"/>
        <w:ind w:right="423"/>
      </w:pPr>
      <w:r>
        <w:t>Ao utilizar tabelas e figuras (fotografias, desenhos, diagramas, gráficos), elas devem estar no corpo do texto, centralizadas e próximas ao parágrafo a que se referem. As legendas devem ser inseridas centralizadas abaixo da figura.</w:t>
      </w:r>
    </w:p>
    <w:p w:rsidR="007259F2" w:rsidRDefault="00E655B4">
      <w:pPr>
        <w:pStyle w:val="Heading2"/>
        <w:numPr>
          <w:ilvl w:val="0"/>
          <w:numId w:val="19"/>
        </w:numPr>
        <w:tabs>
          <w:tab w:val="left" w:pos="1093"/>
        </w:tabs>
        <w:spacing w:before="204"/>
        <w:ind w:left="1093" w:hanging="244"/>
        <w:jc w:val="both"/>
      </w:pPr>
      <w:r>
        <w:t>O</w:t>
      </w:r>
      <w:r>
        <w:rPr>
          <w:spacing w:val="-14"/>
        </w:rPr>
        <w:t xml:space="preserve"> </w:t>
      </w:r>
      <w:r>
        <w:t>diálogo</w:t>
      </w:r>
      <w:r>
        <w:rPr>
          <w:spacing w:val="-3"/>
        </w:rPr>
        <w:t xml:space="preserve"> </w:t>
      </w:r>
      <w:r>
        <w:t>como</w:t>
      </w:r>
      <w:r>
        <w:rPr>
          <w:spacing w:val="-4"/>
        </w:rPr>
        <w:t xml:space="preserve"> </w:t>
      </w:r>
      <w:r>
        <w:t>forma</w:t>
      </w:r>
      <w:r>
        <w:rPr>
          <w:spacing w:val="1"/>
        </w:rPr>
        <w:t xml:space="preserve"> </w:t>
      </w:r>
      <w:r>
        <w:t>de</w:t>
      </w:r>
      <w:r>
        <w:rPr>
          <w:spacing w:val="-5"/>
        </w:rPr>
        <w:t xml:space="preserve"> </w:t>
      </w:r>
      <w:r>
        <w:t>satisfação</w:t>
      </w:r>
      <w:r>
        <w:rPr>
          <w:spacing w:val="-4"/>
        </w:rPr>
        <w:t xml:space="preserve"> </w:t>
      </w:r>
      <w:r>
        <w:t>do</w:t>
      </w:r>
      <w:r>
        <w:rPr>
          <w:spacing w:val="-4"/>
        </w:rPr>
        <w:t xml:space="preserve"> </w:t>
      </w:r>
      <w:r>
        <w:t>interesse</w:t>
      </w:r>
      <w:r>
        <w:rPr>
          <w:spacing w:val="-4"/>
        </w:rPr>
        <w:t xml:space="preserve"> </w:t>
      </w:r>
      <w:r>
        <w:rPr>
          <w:spacing w:val="-2"/>
        </w:rPr>
        <w:t>público</w:t>
      </w:r>
    </w:p>
    <w:p w:rsidR="007259F2" w:rsidRDefault="00E655B4">
      <w:pPr>
        <w:pStyle w:val="Corpodetexto"/>
        <w:spacing w:before="113"/>
        <w:ind w:right="424"/>
      </w:pPr>
      <w:r>
        <w:t>A Licitação é em si um procedimento em que a Administração Pública previamente estabelece o objeto e os critérios de participação dos interessados em licitar, de modo que o particular não pode opinar sobre o procedimento, cabendo-lhe, no entanto, o direito de fiscalização e de impugnação.</w:t>
      </w:r>
    </w:p>
    <w:p w:rsidR="007259F2" w:rsidRDefault="00E655B4">
      <w:pPr>
        <w:pStyle w:val="Corpodetexto"/>
        <w:ind w:right="424"/>
      </w:pPr>
      <w:r>
        <w:t>A licitação representa uma limitação ao poder de contratação do Estado, na medida</w:t>
      </w:r>
      <w:r>
        <w:rPr>
          <w:spacing w:val="40"/>
        </w:rPr>
        <w:t xml:space="preserve"> </w:t>
      </w:r>
      <w:r>
        <w:t xml:space="preserve">que busca obter a proposta mais vantajosa para a Administração, segundo critérios objetivos, tendo como um dos princípios norteadores da contratação pública a vinculação das partes ao edital, consoante disposição contida no art. 5º, </w:t>
      </w:r>
      <w:r>
        <w:rPr>
          <w:i/>
        </w:rPr>
        <w:t xml:space="preserve">caput, </w:t>
      </w:r>
      <w:r>
        <w:t>da Lei 14.133/21, vejamos:</w:t>
      </w:r>
    </w:p>
    <w:p w:rsidR="007259F2" w:rsidRDefault="007259F2">
      <w:pPr>
        <w:pStyle w:val="Corpodetexto"/>
        <w:spacing w:before="2"/>
        <w:ind w:left="0" w:firstLine="0"/>
        <w:jc w:val="left"/>
      </w:pPr>
    </w:p>
    <w:p w:rsidR="007259F2" w:rsidRDefault="00E655B4">
      <w:pPr>
        <w:ind w:left="2978" w:right="418"/>
        <w:jc w:val="both"/>
        <w:rPr>
          <w:sz w:val="20"/>
        </w:rPr>
      </w:pPr>
      <w:r>
        <w:rPr>
          <w:sz w:val="20"/>
        </w:rPr>
        <w:t>Art. 5º Na aplicação desta Lei, serão observados os princípios da legalidade, da impessoalidade,</w:t>
      </w:r>
      <w:r>
        <w:rPr>
          <w:spacing w:val="-5"/>
          <w:sz w:val="20"/>
        </w:rPr>
        <w:t xml:space="preserve"> </w:t>
      </w:r>
      <w:r>
        <w:rPr>
          <w:sz w:val="20"/>
        </w:rPr>
        <w:t>da</w:t>
      </w:r>
      <w:r>
        <w:rPr>
          <w:spacing w:val="-11"/>
          <w:sz w:val="20"/>
        </w:rPr>
        <w:t xml:space="preserve"> </w:t>
      </w:r>
      <w:r>
        <w:rPr>
          <w:sz w:val="20"/>
        </w:rPr>
        <w:t>moralidade,</w:t>
      </w:r>
      <w:r>
        <w:rPr>
          <w:spacing w:val="-5"/>
          <w:sz w:val="20"/>
        </w:rPr>
        <w:t xml:space="preserve"> </w:t>
      </w:r>
      <w:r>
        <w:rPr>
          <w:sz w:val="20"/>
        </w:rPr>
        <w:t>da</w:t>
      </w:r>
      <w:r>
        <w:rPr>
          <w:spacing w:val="-9"/>
          <w:sz w:val="20"/>
        </w:rPr>
        <w:t xml:space="preserve"> </w:t>
      </w:r>
      <w:r>
        <w:rPr>
          <w:sz w:val="20"/>
        </w:rPr>
        <w:t>publicidade,</w:t>
      </w:r>
      <w:r>
        <w:rPr>
          <w:spacing w:val="-6"/>
          <w:sz w:val="20"/>
        </w:rPr>
        <w:t xml:space="preserve"> </w:t>
      </w:r>
      <w:r>
        <w:rPr>
          <w:sz w:val="20"/>
        </w:rPr>
        <w:t>da</w:t>
      </w:r>
      <w:r>
        <w:rPr>
          <w:spacing w:val="-7"/>
          <w:sz w:val="20"/>
        </w:rPr>
        <w:t xml:space="preserve"> </w:t>
      </w:r>
      <w:r>
        <w:rPr>
          <w:sz w:val="20"/>
        </w:rPr>
        <w:t>eficiência,</w:t>
      </w:r>
      <w:r>
        <w:rPr>
          <w:spacing w:val="-9"/>
          <w:sz w:val="20"/>
        </w:rPr>
        <w:t xml:space="preserve"> </w:t>
      </w:r>
      <w:r>
        <w:rPr>
          <w:sz w:val="20"/>
        </w:rPr>
        <w:t>do</w:t>
      </w:r>
      <w:r>
        <w:rPr>
          <w:spacing w:val="-10"/>
          <w:sz w:val="20"/>
        </w:rPr>
        <w:t xml:space="preserve"> </w:t>
      </w:r>
      <w:r>
        <w:rPr>
          <w:sz w:val="20"/>
        </w:rPr>
        <w:t>interesse</w:t>
      </w:r>
      <w:r>
        <w:rPr>
          <w:spacing w:val="-11"/>
          <w:sz w:val="20"/>
        </w:rPr>
        <w:t xml:space="preserve"> </w:t>
      </w:r>
      <w:r>
        <w:rPr>
          <w:sz w:val="20"/>
        </w:rPr>
        <w:t>público,</w:t>
      </w:r>
      <w:r>
        <w:rPr>
          <w:spacing w:val="-6"/>
          <w:sz w:val="20"/>
        </w:rPr>
        <w:t xml:space="preserve"> </w:t>
      </w:r>
      <w:r>
        <w:rPr>
          <w:sz w:val="20"/>
        </w:rPr>
        <w:t xml:space="preserve">da probidade administrativa, da igualdade, do planejamento, da transparência, da eficácia, da segregação de funções, da motivação, da </w:t>
      </w:r>
      <w:r>
        <w:rPr>
          <w:b/>
          <w:sz w:val="20"/>
        </w:rPr>
        <w:t>vinculação ao edital</w:t>
      </w:r>
      <w:r>
        <w:rPr>
          <w:sz w:val="20"/>
        </w:rPr>
        <w:t>, do julgamento objetivo, da segurança jurídica, da razoabilidade, da competitividade, da proporcionalidade, da celeridade, da economicidade e do desenvolvimento nacional sustentável,</w:t>
      </w:r>
      <w:r>
        <w:rPr>
          <w:spacing w:val="-2"/>
          <w:sz w:val="20"/>
        </w:rPr>
        <w:t xml:space="preserve"> </w:t>
      </w:r>
      <w:r>
        <w:rPr>
          <w:sz w:val="20"/>
        </w:rPr>
        <w:t>assim</w:t>
      </w:r>
      <w:r>
        <w:rPr>
          <w:spacing w:val="-4"/>
          <w:sz w:val="20"/>
        </w:rPr>
        <w:t xml:space="preserve"> </w:t>
      </w:r>
      <w:r>
        <w:rPr>
          <w:sz w:val="20"/>
        </w:rPr>
        <w:t>como</w:t>
      </w:r>
      <w:r>
        <w:rPr>
          <w:spacing w:val="-4"/>
          <w:sz w:val="20"/>
        </w:rPr>
        <w:t xml:space="preserve"> </w:t>
      </w:r>
      <w:r>
        <w:rPr>
          <w:sz w:val="20"/>
        </w:rPr>
        <w:t>as</w:t>
      </w:r>
      <w:r>
        <w:rPr>
          <w:spacing w:val="-1"/>
          <w:sz w:val="20"/>
        </w:rPr>
        <w:t xml:space="preserve"> </w:t>
      </w:r>
      <w:r>
        <w:rPr>
          <w:sz w:val="20"/>
        </w:rPr>
        <w:t>disposições do</w:t>
      </w:r>
      <w:r>
        <w:rPr>
          <w:spacing w:val="-4"/>
          <w:sz w:val="20"/>
        </w:rPr>
        <w:t xml:space="preserve"> </w:t>
      </w:r>
      <w:r>
        <w:rPr>
          <w:sz w:val="20"/>
        </w:rPr>
        <w:t>Decreto-Lei</w:t>
      </w:r>
      <w:r>
        <w:rPr>
          <w:spacing w:val="-1"/>
          <w:sz w:val="20"/>
        </w:rPr>
        <w:t xml:space="preserve"> </w:t>
      </w:r>
      <w:r>
        <w:rPr>
          <w:sz w:val="20"/>
        </w:rPr>
        <w:t>nº</w:t>
      </w:r>
      <w:r>
        <w:rPr>
          <w:spacing w:val="-2"/>
          <w:sz w:val="20"/>
        </w:rPr>
        <w:t xml:space="preserve"> </w:t>
      </w:r>
      <w:r>
        <w:rPr>
          <w:sz w:val="20"/>
        </w:rPr>
        <w:t>4.657,</w:t>
      </w:r>
      <w:r>
        <w:rPr>
          <w:spacing w:val="-1"/>
          <w:sz w:val="20"/>
        </w:rPr>
        <w:t xml:space="preserve"> </w:t>
      </w:r>
      <w:r>
        <w:rPr>
          <w:sz w:val="20"/>
        </w:rPr>
        <w:t>de</w:t>
      </w:r>
      <w:r>
        <w:rPr>
          <w:spacing w:val="-5"/>
          <w:sz w:val="20"/>
        </w:rPr>
        <w:t xml:space="preserve"> </w:t>
      </w:r>
      <w:r>
        <w:rPr>
          <w:sz w:val="20"/>
        </w:rPr>
        <w:t>4</w:t>
      </w:r>
      <w:r>
        <w:rPr>
          <w:spacing w:val="-4"/>
          <w:sz w:val="20"/>
        </w:rPr>
        <w:t xml:space="preserve"> </w:t>
      </w:r>
      <w:r>
        <w:rPr>
          <w:sz w:val="20"/>
        </w:rPr>
        <w:t>de</w:t>
      </w:r>
      <w:r>
        <w:rPr>
          <w:spacing w:val="-3"/>
          <w:sz w:val="20"/>
        </w:rPr>
        <w:t xml:space="preserve"> </w:t>
      </w:r>
      <w:r>
        <w:rPr>
          <w:sz w:val="20"/>
        </w:rPr>
        <w:t>setembro</w:t>
      </w:r>
      <w:r>
        <w:rPr>
          <w:spacing w:val="-4"/>
          <w:sz w:val="20"/>
        </w:rPr>
        <w:t xml:space="preserve"> </w:t>
      </w:r>
      <w:r>
        <w:rPr>
          <w:sz w:val="20"/>
        </w:rPr>
        <w:t>de 1942 (Lei de Introdução às Normas do Direito Brasileiro).</w:t>
      </w:r>
    </w:p>
    <w:p w:rsidR="007259F2" w:rsidRDefault="007259F2">
      <w:pPr>
        <w:pStyle w:val="Corpodetexto"/>
        <w:ind w:left="0" w:firstLine="0"/>
        <w:jc w:val="left"/>
        <w:rPr>
          <w:sz w:val="20"/>
        </w:rPr>
      </w:pPr>
    </w:p>
    <w:p w:rsidR="007259F2" w:rsidRDefault="00E655B4">
      <w:pPr>
        <w:pStyle w:val="Corpodetexto"/>
        <w:ind w:right="423"/>
      </w:pPr>
      <w:r>
        <w:t>Nessa esteira, uma vez publicado o edital, a Administração não pode exigir mais do que</w:t>
      </w:r>
      <w:r>
        <w:rPr>
          <w:spacing w:val="-9"/>
        </w:rPr>
        <w:t xml:space="preserve"> </w:t>
      </w:r>
      <w:r>
        <w:t>aquilo</w:t>
      </w:r>
      <w:r>
        <w:rPr>
          <w:spacing w:val="-3"/>
        </w:rPr>
        <w:t xml:space="preserve"> </w:t>
      </w:r>
      <w:r>
        <w:t>que</w:t>
      </w:r>
      <w:r>
        <w:rPr>
          <w:spacing w:val="-4"/>
        </w:rPr>
        <w:t xml:space="preserve"> </w:t>
      </w:r>
      <w:r>
        <w:t>foi</w:t>
      </w:r>
      <w:r>
        <w:rPr>
          <w:spacing w:val="-15"/>
        </w:rPr>
        <w:t xml:space="preserve"> </w:t>
      </w:r>
      <w:r>
        <w:t>estipulado</w:t>
      </w:r>
      <w:r>
        <w:rPr>
          <w:spacing w:val="-3"/>
        </w:rPr>
        <w:t xml:space="preserve"> </w:t>
      </w:r>
      <w:r>
        <w:t>no</w:t>
      </w:r>
      <w:r>
        <w:rPr>
          <w:spacing w:val="-3"/>
        </w:rPr>
        <w:t xml:space="preserve"> </w:t>
      </w:r>
      <w:r>
        <w:t>documento</w:t>
      </w:r>
      <w:r>
        <w:rPr>
          <w:spacing w:val="-6"/>
        </w:rPr>
        <w:t xml:space="preserve"> </w:t>
      </w:r>
      <w:r>
        <w:t>edilício</w:t>
      </w:r>
      <w:r>
        <w:rPr>
          <w:spacing w:val="-3"/>
        </w:rPr>
        <w:t xml:space="preserve"> </w:t>
      </w:r>
      <w:r>
        <w:t>e</w:t>
      </w:r>
      <w:r>
        <w:rPr>
          <w:spacing w:val="-13"/>
        </w:rPr>
        <w:t xml:space="preserve"> </w:t>
      </w:r>
      <w:r>
        <w:t>o</w:t>
      </w:r>
      <w:r>
        <w:rPr>
          <w:spacing w:val="-3"/>
        </w:rPr>
        <w:t xml:space="preserve"> </w:t>
      </w:r>
      <w:r>
        <w:t>particular,</w:t>
      </w:r>
      <w:r>
        <w:rPr>
          <w:spacing w:val="-6"/>
        </w:rPr>
        <w:t xml:space="preserve"> </w:t>
      </w:r>
      <w:r>
        <w:t>uma</w:t>
      </w:r>
      <w:r>
        <w:rPr>
          <w:spacing w:val="-4"/>
        </w:rPr>
        <w:t xml:space="preserve"> </w:t>
      </w:r>
      <w:r>
        <w:t>vez</w:t>
      </w:r>
      <w:r>
        <w:rPr>
          <w:spacing w:val="-6"/>
        </w:rPr>
        <w:t xml:space="preserve"> </w:t>
      </w:r>
      <w:r>
        <w:t>que</w:t>
      </w:r>
      <w:r>
        <w:rPr>
          <w:spacing w:val="-4"/>
        </w:rPr>
        <w:t xml:space="preserve"> </w:t>
      </w:r>
      <w:r>
        <w:t>lhe</w:t>
      </w:r>
      <w:r>
        <w:rPr>
          <w:spacing w:val="-9"/>
        </w:rPr>
        <w:t xml:space="preserve"> </w:t>
      </w:r>
      <w:r>
        <w:t>adjudicado o objeto da licitação, não pode fornecer menos do que o estipulado.</w:t>
      </w:r>
    </w:p>
    <w:p w:rsidR="007259F2" w:rsidRDefault="00E655B4">
      <w:pPr>
        <w:pStyle w:val="Corpodetexto"/>
        <w:spacing w:before="1"/>
        <w:ind w:right="425"/>
      </w:pPr>
      <w:r>
        <w:t>Correlaciona-se diretamente ao princípio da indisponibilidade do interesse público e</w:t>
      </w:r>
      <w:r>
        <w:rPr>
          <w:spacing w:val="40"/>
        </w:rPr>
        <w:t xml:space="preserve"> </w:t>
      </w:r>
      <w:r>
        <w:t>da motivação dos atos administrativos.</w:t>
      </w:r>
    </w:p>
    <w:p w:rsidR="007259F2" w:rsidRDefault="00E655B4">
      <w:pPr>
        <w:pStyle w:val="Corpodetexto"/>
        <w:ind w:right="426"/>
      </w:pPr>
      <w:r>
        <w:t>Conforme é possível observar, a licitação destina-se à escolha, entre os diversos interessados, do particular que apresenta a proposta mais vantajosa para atender às suas necessidades, demonstrando a existência de seu caráter impositivo em relação ao particular.</w:t>
      </w:r>
    </w:p>
    <w:p w:rsidR="007259F2" w:rsidRDefault="00E655B4">
      <w:pPr>
        <w:pStyle w:val="Corpodetexto"/>
        <w:ind w:right="420"/>
      </w:pPr>
      <w:r>
        <w:t>Difere-se das contratações particulares, no sentido em que, respeitados os limites impostos pela função social do contrato e da boa-fé, pode-se estipular livremente o objeto contratual,</w:t>
      </w:r>
      <w:r>
        <w:rPr>
          <w:spacing w:val="-1"/>
        </w:rPr>
        <w:t xml:space="preserve"> </w:t>
      </w:r>
      <w:r>
        <w:t>até</w:t>
      </w:r>
      <w:r>
        <w:rPr>
          <w:spacing w:val="-6"/>
        </w:rPr>
        <w:t xml:space="preserve"> </w:t>
      </w:r>
      <w:r>
        <w:t>porque</w:t>
      </w:r>
      <w:r>
        <w:rPr>
          <w:spacing w:val="-6"/>
        </w:rPr>
        <w:t xml:space="preserve"> </w:t>
      </w:r>
      <w:r>
        <w:t>estes</w:t>
      </w:r>
      <w:r>
        <w:rPr>
          <w:spacing w:val="-5"/>
        </w:rPr>
        <w:t xml:space="preserve"> </w:t>
      </w:r>
      <w:r>
        <w:t>estão</w:t>
      </w:r>
      <w:r>
        <w:rPr>
          <w:spacing w:val="-2"/>
        </w:rPr>
        <w:t xml:space="preserve"> </w:t>
      </w:r>
      <w:r>
        <w:t>vinculados, dentro</w:t>
      </w:r>
      <w:r>
        <w:rPr>
          <w:spacing w:val="-2"/>
        </w:rPr>
        <w:t xml:space="preserve"> </w:t>
      </w:r>
      <w:r>
        <w:t>de</w:t>
      </w:r>
      <w:r>
        <w:rPr>
          <w:spacing w:val="-8"/>
        </w:rPr>
        <w:t xml:space="preserve"> </w:t>
      </w:r>
      <w:r>
        <w:t>uma</w:t>
      </w:r>
      <w:r>
        <w:rPr>
          <w:spacing w:val="-6"/>
        </w:rPr>
        <w:t xml:space="preserve"> </w:t>
      </w:r>
      <w:r>
        <w:t>relação</w:t>
      </w:r>
      <w:r>
        <w:rPr>
          <w:spacing w:val="-1"/>
        </w:rPr>
        <w:t xml:space="preserve"> </w:t>
      </w:r>
      <w:r>
        <w:t>verticalizada,</w:t>
      </w:r>
      <w:r>
        <w:rPr>
          <w:spacing w:val="-1"/>
        </w:rPr>
        <w:t xml:space="preserve"> </w:t>
      </w:r>
      <w:r>
        <w:t>ao</w:t>
      </w:r>
      <w:r>
        <w:rPr>
          <w:spacing w:val="-1"/>
        </w:rPr>
        <w:t xml:space="preserve"> </w:t>
      </w:r>
      <w:r>
        <w:t>princípio da autonomia da vontade, e a Administração, por sua vez, ao da legalidade estrita.</w:t>
      </w:r>
    </w:p>
    <w:p w:rsidR="007259F2" w:rsidRDefault="00E655B4">
      <w:pPr>
        <w:pStyle w:val="Corpodetexto"/>
        <w:ind w:right="419"/>
      </w:pPr>
      <w:r>
        <w:t>Maria Sylvia Zanella (2018, pág.91), aduz que: “Segundo o princípio da legalidade, a Administração Pública só pode fazer o que a lei permite. No âmbito das relações entre particulares, o princípio aplicável é o da autonomia da vontade, que lhes permite fazer tudo o que a lei não proíbe.”.</w:t>
      </w:r>
    </w:p>
    <w:p w:rsidR="007259F2" w:rsidRDefault="00E655B4">
      <w:pPr>
        <w:pStyle w:val="Corpodetexto"/>
        <w:spacing w:before="1"/>
        <w:ind w:right="425"/>
      </w:pPr>
      <w:r>
        <w:t>Daí é possível extrair que os atos administrativos devem ser praticados segundo uma esteira normativa preexistente, cujo intuito é mitigar o caráter discricionários das decisões.</w:t>
      </w:r>
    </w:p>
    <w:p w:rsidR="007259F2" w:rsidRDefault="007259F2">
      <w:pPr>
        <w:pStyle w:val="Corpodetexto"/>
        <w:sectPr w:rsidR="007259F2">
          <w:pgSz w:w="11910" w:h="16840"/>
          <w:pgMar w:top="1600" w:right="708" w:bottom="1020" w:left="992" w:header="0" w:footer="820" w:gutter="0"/>
          <w:cols w:space="720"/>
        </w:sectPr>
      </w:pPr>
    </w:p>
    <w:p w:rsidR="007259F2" w:rsidRDefault="00E655B4">
      <w:pPr>
        <w:pStyle w:val="Corpodetexto"/>
        <w:spacing w:before="75"/>
        <w:ind w:right="421"/>
      </w:pPr>
      <w:r>
        <w:lastRenderedPageBreak/>
        <w:t>Salienta-se, por oportuno, que a discricionariedade não é um vilão a ser combatido, uma</w:t>
      </w:r>
      <w:r>
        <w:rPr>
          <w:spacing w:val="-15"/>
        </w:rPr>
        <w:t xml:space="preserve"> </w:t>
      </w:r>
      <w:r>
        <w:t>vez</w:t>
      </w:r>
      <w:r>
        <w:rPr>
          <w:spacing w:val="-15"/>
        </w:rPr>
        <w:t xml:space="preserve"> </w:t>
      </w:r>
      <w:r>
        <w:t>que</w:t>
      </w:r>
      <w:r>
        <w:rPr>
          <w:spacing w:val="-15"/>
        </w:rPr>
        <w:t xml:space="preserve"> </w:t>
      </w:r>
      <w:r>
        <w:t>o</w:t>
      </w:r>
      <w:r>
        <w:rPr>
          <w:spacing w:val="-15"/>
        </w:rPr>
        <w:t xml:space="preserve"> </w:t>
      </w:r>
      <w:r>
        <w:t>regramento</w:t>
      </w:r>
      <w:r>
        <w:rPr>
          <w:spacing w:val="-15"/>
        </w:rPr>
        <w:t xml:space="preserve"> </w:t>
      </w:r>
      <w:r>
        <w:t>não</w:t>
      </w:r>
      <w:r>
        <w:rPr>
          <w:spacing w:val="-15"/>
        </w:rPr>
        <w:t xml:space="preserve"> </w:t>
      </w:r>
      <w:r>
        <w:t>é</w:t>
      </w:r>
      <w:r>
        <w:rPr>
          <w:spacing w:val="-15"/>
        </w:rPr>
        <w:t xml:space="preserve"> </w:t>
      </w:r>
      <w:r>
        <w:t>capaz</w:t>
      </w:r>
      <w:r>
        <w:rPr>
          <w:spacing w:val="-14"/>
        </w:rPr>
        <w:t xml:space="preserve"> </w:t>
      </w:r>
      <w:r>
        <w:t>de</w:t>
      </w:r>
      <w:r>
        <w:rPr>
          <w:spacing w:val="-15"/>
        </w:rPr>
        <w:t xml:space="preserve"> </w:t>
      </w:r>
      <w:r>
        <w:t>atingir</w:t>
      </w:r>
      <w:r>
        <w:rPr>
          <w:spacing w:val="-15"/>
        </w:rPr>
        <w:t xml:space="preserve"> </w:t>
      </w:r>
      <w:r>
        <w:t>todos</w:t>
      </w:r>
      <w:r>
        <w:rPr>
          <w:spacing w:val="-15"/>
        </w:rPr>
        <w:t xml:space="preserve"> </w:t>
      </w:r>
      <w:r>
        <w:t>os</w:t>
      </w:r>
      <w:r>
        <w:rPr>
          <w:spacing w:val="-15"/>
        </w:rPr>
        <w:t xml:space="preserve"> </w:t>
      </w:r>
      <w:r>
        <w:t>aspectos</w:t>
      </w:r>
      <w:r>
        <w:rPr>
          <w:spacing w:val="-15"/>
        </w:rPr>
        <w:t xml:space="preserve"> </w:t>
      </w:r>
      <w:r>
        <w:t>da</w:t>
      </w:r>
      <w:r>
        <w:rPr>
          <w:spacing w:val="-15"/>
        </w:rPr>
        <w:t xml:space="preserve"> </w:t>
      </w:r>
      <w:r>
        <w:t>atuação</w:t>
      </w:r>
      <w:r>
        <w:rPr>
          <w:spacing w:val="-12"/>
        </w:rPr>
        <w:t xml:space="preserve"> </w:t>
      </w:r>
      <w:r>
        <w:t>pública,</w:t>
      </w:r>
      <w:r>
        <w:rPr>
          <w:spacing w:val="-13"/>
        </w:rPr>
        <w:t xml:space="preserve"> </w:t>
      </w:r>
      <w:r>
        <w:t>deixando a lei certa margem de liberdade para o Administrador adotar decisões discricionárias, observados os critérios de conveniência e oportunidade.</w:t>
      </w:r>
    </w:p>
    <w:p w:rsidR="007259F2" w:rsidRDefault="00E655B4">
      <w:pPr>
        <w:pStyle w:val="Corpodetexto"/>
        <w:ind w:right="422"/>
      </w:pPr>
      <w:r>
        <w:t>Previamente a inserção do dialogo competitivo, mas fora dos regramentos dados por quaisquer leis esparsas atinentes ao procedimento licitatório, é importante fazer um breve apontamento</w:t>
      </w:r>
      <w:r>
        <w:rPr>
          <w:spacing w:val="-3"/>
        </w:rPr>
        <w:t xml:space="preserve"> </w:t>
      </w:r>
      <w:r>
        <w:t>a</w:t>
      </w:r>
      <w:r>
        <w:rPr>
          <w:spacing w:val="-15"/>
        </w:rPr>
        <w:t xml:space="preserve"> </w:t>
      </w:r>
      <w:r>
        <w:t>respeito</w:t>
      </w:r>
      <w:r>
        <w:rPr>
          <w:spacing w:val="-2"/>
        </w:rPr>
        <w:t xml:space="preserve"> </w:t>
      </w:r>
      <w:r>
        <w:t>do</w:t>
      </w:r>
      <w:r>
        <w:rPr>
          <w:spacing w:val="-8"/>
        </w:rPr>
        <w:t xml:space="preserve"> </w:t>
      </w:r>
      <w:r>
        <w:t>Enunciado</w:t>
      </w:r>
      <w:r>
        <w:rPr>
          <w:spacing w:val="-4"/>
        </w:rPr>
        <w:t xml:space="preserve"> </w:t>
      </w:r>
      <w:r>
        <w:t>29</w:t>
      </w:r>
      <w:r>
        <w:rPr>
          <w:spacing w:val="-13"/>
        </w:rPr>
        <w:t xml:space="preserve"> </w:t>
      </w:r>
      <w:r>
        <w:t>da</w:t>
      </w:r>
      <w:r>
        <w:rPr>
          <w:spacing w:val="-9"/>
        </w:rPr>
        <w:t xml:space="preserve"> </w:t>
      </w:r>
      <w:r>
        <w:t>I</w:t>
      </w:r>
      <w:r>
        <w:rPr>
          <w:spacing w:val="-15"/>
        </w:rPr>
        <w:t xml:space="preserve"> </w:t>
      </w:r>
      <w:r>
        <w:t>Jornada</w:t>
      </w:r>
      <w:r>
        <w:rPr>
          <w:spacing w:val="-11"/>
        </w:rPr>
        <w:t xml:space="preserve"> </w:t>
      </w:r>
      <w:r>
        <w:t>de</w:t>
      </w:r>
      <w:r>
        <w:rPr>
          <w:spacing w:val="-9"/>
        </w:rPr>
        <w:t xml:space="preserve"> </w:t>
      </w:r>
      <w:r>
        <w:t>Direito</w:t>
      </w:r>
      <w:r>
        <w:rPr>
          <w:spacing w:val="-3"/>
        </w:rPr>
        <w:t xml:space="preserve"> </w:t>
      </w:r>
      <w:r>
        <w:t>Administrativo,</w:t>
      </w:r>
      <w:r>
        <w:rPr>
          <w:spacing w:val="-9"/>
        </w:rPr>
        <w:t xml:space="preserve"> </w:t>
      </w:r>
      <w:r>
        <w:t>realizada</w:t>
      </w:r>
      <w:r>
        <w:rPr>
          <w:spacing w:val="-11"/>
        </w:rPr>
        <w:t xml:space="preserve"> </w:t>
      </w:r>
      <w:r>
        <w:t>pelo Conselho de Justiça Nacional – CNJ, em que dispõe sobre a possibilidade de diálogo entre a Administração Públicas e os particulares, que poderia ocorrer na fase de planejamento da licitação, a saber:</w:t>
      </w:r>
    </w:p>
    <w:p w:rsidR="007259F2" w:rsidRDefault="00E655B4">
      <w:pPr>
        <w:spacing w:before="2"/>
        <w:ind w:left="2978" w:right="420"/>
        <w:jc w:val="both"/>
        <w:rPr>
          <w:sz w:val="20"/>
        </w:rPr>
      </w:pPr>
      <w:r>
        <w:rPr>
          <w:sz w:val="20"/>
        </w:rPr>
        <w:t>A Administração Pública pode promover comunicações formais com potenciais interessados</w:t>
      </w:r>
      <w:r>
        <w:rPr>
          <w:spacing w:val="-13"/>
          <w:sz w:val="20"/>
        </w:rPr>
        <w:t xml:space="preserve"> </w:t>
      </w:r>
      <w:r>
        <w:rPr>
          <w:sz w:val="20"/>
        </w:rPr>
        <w:t>durante</w:t>
      </w:r>
      <w:r>
        <w:rPr>
          <w:spacing w:val="-12"/>
          <w:sz w:val="20"/>
        </w:rPr>
        <w:t xml:space="preserve"> </w:t>
      </w:r>
      <w:r>
        <w:rPr>
          <w:sz w:val="20"/>
        </w:rPr>
        <w:t>a</w:t>
      </w:r>
      <w:r>
        <w:rPr>
          <w:spacing w:val="-12"/>
          <w:sz w:val="20"/>
        </w:rPr>
        <w:t xml:space="preserve"> </w:t>
      </w:r>
      <w:r>
        <w:rPr>
          <w:sz w:val="20"/>
        </w:rPr>
        <w:t>fase</w:t>
      </w:r>
      <w:r>
        <w:rPr>
          <w:spacing w:val="-11"/>
          <w:sz w:val="20"/>
        </w:rPr>
        <w:t xml:space="preserve"> </w:t>
      </w:r>
      <w:r>
        <w:rPr>
          <w:sz w:val="20"/>
        </w:rPr>
        <w:t>de</w:t>
      </w:r>
      <w:r>
        <w:rPr>
          <w:spacing w:val="-11"/>
          <w:sz w:val="20"/>
        </w:rPr>
        <w:t xml:space="preserve"> </w:t>
      </w:r>
      <w:r>
        <w:rPr>
          <w:sz w:val="20"/>
        </w:rPr>
        <w:t>planejamento</w:t>
      </w:r>
      <w:r>
        <w:rPr>
          <w:spacing w:val="-12"/>
          <w:sz w:val="20"/>
        </w:rPr>
        <w:t xml:space="preserve"> </w:t>
      </w:r>
      <w:r>
        <w:rPr>
          <w:sz w:val="20"/>
        </w:rPr>
        <w:t>das</w:t>
      </w:r>
      <w:r>
        <w:rPr>
          <w:spacing w:val="-11"/>
          <w:sz w:val="20"/>
        </w:rPr>
        <w:t xml:space="preserve"> </w:t>
      </w:r>
      <w:r>
        <w:rPr>
          <w:sz w:val="20"/>
        </w:rPr>
        <w:t>contratações</w:t>
      </w:r>
      <w:r>
        <w:rPr>
          <w:spacing w:val="-8"/>
          <w:sz w:val="20"/>
        </w:rPr>
        <w:t xml:space="preserve"> </w:t>
      </w:r>
      <w:r>
        <w:rPr>
          <w:sz w:val="20"/>
        </w:rPr>
        <w:t>públicas</w:t>
      </w:r>
      <w:r>
        <w:rPr>
          <w:spacing w:val="-11"/>
          <w:sz w:val="20"/>
        </w:rPr>
        <w:t xml:space="preserve"> </w:t>
      </w:r>
      <w:r>
        <w:rPr>
          <w:sz w:val="20"/>
        </w:rPr>
        <w:t>para</w:t>
      </w:r>
      <w:r>
        <w:rPr>
          <w:spacing w:val="-13"/>
          <w:sz w:val="20"/>
        </w:rPr>
        <w:t xml:space="preserve"> </w:t>
      </w:r>
      <w:r>
        <w:rPr>
          <w:sz w:val="20"/>
        </w:rPr>
        <w:t>a</w:t>
      </w:r>
      <w:r>
        <w:rPr>
          <w:spacing w:val="-9"/>
          <w:sz w:val="20"/>
        </w:rPr>
        <w:t xml:space="preserve"> </w:t>
      </w:r>
      <w:r>
        <w:rPr>
          <w:sz w:val="20"/>
        </w:rPr>
        <w:t>obtenção de</w:t>
      </w:r>
      <w:r>
        <w:rPr>
          <w:spacing w:val="-13"/>
          <w:sz w:val="20"/>
        </w:rPr>
        <w:t xml:space="preserve"> </w:t>
      </w:r>
      <w:r>
        <w:rPr>
          <w:sz w:val="20"/>
        </w:rPr>
        <w:t>informações</w:t>
      </w:r>
      <w:r>
        <w:rPr>
          <w:spacing w:val="-7"/>
          <w:sz w:val="20"/>
        </w:rPr>
        <w:t xml:space="preserve"> </w:t>
      </w:r>
      <w:r>
        <w:rPr>
          <w:sz w:val="20"/>
        </w:rPr>
        <w:t>técnicas</w:t>
      </w:r>
      <w:r>
        <w:rPr>
          <w:spacing w:val="-8"/>
          <w:sz w:val="20"/>
        </w:rPr>
        <w:t xml:space="preserve"> </w:t>
      </w:r>
      <w:r>
        <w:rPr>
          <w:sz w:val="20"/>
        </w:rPr>
        <w:t>e</w:t>
      </w:r>
      <w:r>
        <w:rPr>
          <w:spacing w:val="-8"/>
          <w:sz w:val="20"/>
        </w:rPr>
        <w:t xml:space="preserve"> </w:t>
      </w:r>
      <w:r>
        <w:rPr>
          <w:sz w:val="20"/>
        </w:rPr>
        <w:t>comerciais</w:t>
      </w:r>
      <w:r>
        <w:rPr>
          <w:spacing w:val="-13"/>
          <w:sz w:val="20"/>
        </w:rPr>
        <w:t xml:space="preserve"> </w:t>
      </w:r>
      <w:r>
        <w:rPr>
          <w:sz w:val="20"/>
        </w:rPr>
        <w:t>relevantes</w:t>
      </w:r>
      <w:r>
        <w:rPr>
          <w:spacing w:val="-8"/>
          <w:sz w:val="20"/>
        </w:rPr>
        <w:t xml:space="preserve"> </w:t>
      </w:r>
      <w:r>
        <w:rPr>
          <w:sz w:val="20"/>
        </w:rPr>
        <w:t>à</w:t>
      </w:r>
      <w:r>
        <w:rPr>
          <w:spacing w:val="-8"/>
          <w:sz w:val="20"/>
        </w:rPr>
        <w:t xml:space="preserve"> </w:t>
      </w:r>
      <w:r>
        <w:rPr>
          <w:sz w:val="20"/>
        </w:rPr>
        <w:t>definição</w:t>
      </w:r>
      <w:r>
        <w:rPr>
          <w:spacing w:val="-8"/>
          <w:sz w:val="20"/>
        </w:rPr>
        <w:t xml:space="preserve"> </w:t>
      </w:r>
      <w:r>
        <w:rPr>
          <w:sz w:val="20"/>
        </w:rPr>
        <w:t>do</w:t>
      </w:r>
      <w:r>
        <w:rPr>
          <w:spacing w:val="-8"/>
          <w:sz w:val="20"/>
        </w:rPr>
        <w:t xml:space="preserve"> </w:t>
      </w:r>
      <w:r>
        <w:rPr>
          <w:sz w:val="20"/>
        </w:rPr>
        <w:t>objeto</w:t>
      </w:r>
      <w:r>
        <w:rPr>
          <w:spacing w:val="-8"/>
          <w:sz w:val="20"/>
        </w:rPr>
        <w:t xml:space="preserve"> </w:t>
      </w:r>
      <w:r>
        <w:rPr>
          <w:sz w:val="20"/>
        </w:rPr>
        <w:t>e</w:t>
      </w:r>
      <w:r>
        <w:rPr>
          <w:spacing w:val="-8"/>
          <w:sz w:val="20"/>
        </w:rPr>
        <w:t xml:space="preserve"> </w:t>
      </w:r>
      <w:r>
        <w:rPr>
          <w:sz w:val="20"/>
        </w:rPr>
        <w:t>elaboração</w:t>
      </w:r>
      <w:r>
        <w:rPr>
          <w:spacing w:val="-8"/>
          <w:sz w:val="20"/>
        </w:rPr>
        <w:t xml:space="preserve"> </w:t>
      </w:r>
      <w:r>
        <w:rPr>
          <w:sz w:val="20"/>
        </w:rPr>
        <w:t>do projeto básico ou termo de referência, sendo que este diálogo público-privado deve ser registrado no processo administrativo e não impede o particular colaborador de participar em</w:t>
      </w:r>
      <w:r>
        <w:rPr>
          <w:spacing w:val="-5"/>
          <w:sz w:val="20"/>
        </w:rPr>
        <w:t xml:space="preserve"> </w:t>
      </w:r>
      <w:r>
        <w:rPr>
          <w:sz w:val="20"/>
        </w:rPr>
        <w:t>eventual licitação</w:t>
      </w:r>
      <w:r>
        <w:rPr>
          <w:spacing w:val="-4"/>
          <w:sz w:val="20"/>
        </w:rPr>
        <w:t xml:space="preserve"> </w:t>
      </w:r>
      <w:r>
        <w:rPr>
          <w:sz w:val="20"/>
        </w:rPr>
        <w:t>pública, ou mesmo</w:t>
      </w:r>
      <w:r>
        <w:rPr>
          <w:spacing w:val="-3"/>
          <w:sz w:val="20"/>
        </w:rPr>
        <w:t xml:space="preserve"> </w:t>
      </w:r>
      <w:r>
        <w:rPr>
          <w:sz w:val="20"/>
        </w:rPr>
        <w:t>de</w:t>
      </w:r>
      <w:r>
        <w:rPr>
          <w:spacing w:val="-3"/>
          <w:sz w:val="20"/>
        </w:rPr>
        <w:t xml:space="preserve"> </w:t>
      </w:r>
      <w:r>
        <w:rPr>
          <w:sz w:val="20"/>
        </w:rPr>
        <w:t>celebrar o</w:t>
      </w:r>
      <w:r>
        <w:rPr>
          <w:spacing w:val="-5"/>
          <w:sz w:val="20"/>
        </w:rPr>
        <w:t xml:space="preserve"> </w:t>
      </w:r>
      <w:r>
        <w:rPr>
          <w:sz w:val="20"/>
        </w:rPr>
        <w:t>respectivo</w:t>
      </w:r>
      <w:r>
        <w:rPr>
          <w:spacing w:val="-3"/>
          <w:sz w:val="20"/>
        </w:rPr>
        <w:t xml:space="preserve"> </w:t>
      </w:r>
      <w:r>
        <w:rPr>
          <w:sz w:val="20"/>
        </w:rPr>
        <w:t>contrato, tampouco lhe confere a autoria do projeto básico ou termo de referência.</w:t>
      </w:r>
    </w:p>
    <w:p w:rsidR="007259F2" w:rsidRDefault="00E655B4">
      <w:pPr>
        <w:pStyle w:val="Corpodetexto"/>
        <w:spacing w:before="228"/>
        <w:ind w:right="424"/>
      </w:pPr>
      <w:r>
        <w:t>O dialogo competitivo aqui tratado está previsto no inciso V, do art. 28, da lei de licitações, e</w:t>
      </w:r>
      <w:r>
        <w:rPr>
          <w:spacing w:val="-2"/>
        </w:rPr>
        <w:t xml:space="preserve"> </w:t>
      </w:r>
      <w:r>
        <w:t>representa</w:t>
      </w:r>
      <w:r>
        <w:rPr>
          <w:spacing w:val="-3"/>
        </w:rPr>
        <w:t xml:space="preserve"> </w:t>
      </w:r>
      <w:r>
        <w:t>uma</w:t>
      </w:r>
      <w:r>
        <w:rPr>
          <w:spacing w:val="-4"/>
        </w:rPr>
        <w:t xml:space="preserve"> </w:t>
      </w:r>
      <w:r>
        <w:t>cisão com</w:t>
      </w:r>
      <w:r>
        <w:rPr>
          <w:spacing w:val="-10"/>
        </w:rPr>
        <w:t xml:space="preserve"> </w:t>
      </w:r>
      <w:r>
        <w:t>o caráter</w:t>
      </w:r>
      <w:r>
        <w:rPr>
          <w:spacing w:val="-1"/>
        </w:rPr>
        <w:t xml:space="preserve"> </w:t>
      </w:r>
      <w:r>
        <w:t xml:space="preserve">impositivo do procedimento licitatório padrão ao estabelecer um canal de diálogo com os participantes do certame público, consoante conceituação dada no inciso XLII, do art. 6º, da Lei 14.133/21, </w:t>
      </w:r>
      <w:r>
        <w:rPr>
          <w:i/>
        </w:rPr>
        <w:t>in verbis</w:t>
      </w:r>
      <w:r>
        <w:t>:</w:t>
      </w:r>
    </w:p>
    <w:p w:rsidR="007259F2" w:rsidRDefault="007259F2">
      <w:pPr>
        <w:pStyle w:val="Corpodetexto"/>
        <w:spacing w:before="1"/>
        <w:ind w:left="0" w:firstLine="0"/>
        <w:jc w:val="left"/>
      </w:pPr>
    </w:p>
    <w:p w:rsidR="007259F2" w:rsidRDefault="00E655B4">
      <w:pPr>
        <w:ind w:left="2978" w:right="421"/>
        <w:jc w:val="both"/>
        <w:rPr>
          <w:sz w:val="20"/>
        </w:rPr>
      </w:pPr>
      <w:r>
        <w:rPr>
          <w:sz w:val="20"/>
        </w:rPr>
        <w:t>XLII - diálogo competitivo: modalidade de licitação para contratação de obras, serviços</w:t>
      </w:r>
      <w:r>
        <w:rPr>
          <w:spacing w:val="-13"/>
          <w:sz w:val="20"/>
        </w:rPr>
        <w:t xml:space="preserve"> </w:t>
      </w:r>
      <w:r>
        <w:rPr>
          <w:sz w:val="20"/>
        </w:rPr>
        <w:t>e</w:t>
      </w:r>
      <w:r>
        <w:rPr>
          <w:spacing w:val="-12"/>
          <w:sz w:val="20"/>
        </w:rPr>
        <w:t xml:space="preserve"> </w:t>
      </w:r>
      <w:r>
        <w:rPr>
          <w:sz w:val="20"/>
        </w:rPr>
        <w:t>compras</w:t>
      </w:r>
      <w:r>
        <w:rPr>
          <w:spacing w:val="-13"/>
          <w:sz w:val="20"/>
        </w:rPr>
        <w:t xml:space="preserve"> </w:t>
      </w:r>
      <w:r>
        <w:rPr>
          <w:sz w:val="20"/>
        </w:rPr>
        <w:t>em</w:t>
      </w:r>
      <w:r>
        <w:rPr>
          <w:spacing w:val="-12"/>
          <w:sz w:val="20"/>
        </w:rPr>
        <w:t xml:space="preserve"> </w:t>
      </w:r>
      <w:r>
        <w:rPr>
          <w:sz w:val="20"/>
        </w:rPr>
        <w:t>que</w:t>
      </w:r>
      <w:r>
        <w:rPr>
          <w:spacing w:val="-13"/>
          <w:sz w:val="20"/>
        </w:rPr>
        <w:t xml:space="preserve"> </w:t>
      </w:r>
      <w:r>
        <w:rPr>
          <w:sz w:val="20"/>
        </w:rPr>
        <w:t>a</w:t>
      </w:r>
      <w:r>
        <w:rPr>
          <w:spacing w:val="-12"/>
          <w:sz w:val="20"/>
        </w:rPr>
        <w:t xml:space="preserve"> </w:t>
      </w:r>
      <w:r>
        <w:rPr>
          <w:b/>
          <w:sz w:val="20"/>
        </w:rPr>
        <w:t>Administração</w:t>
      </w:r>
      <w:r>
        <w:rPr>
          <w:b/>
          <w:spacing w:val="-13"/>
          <w:sz w:val="20"/>
        </w:rPr>
        <w:t xml:space="preserve"> </w:t>
      </w:r>
      <w:r>
        <w:rPr>
          <w:b/>
          <w:sz w:val="20"/>
        </w:rPr>
        <w:t>Pública</w:t>
      </w:r>
      <w:r>
        <w:rPr>
          <w:b/>
          <w:spacing w:val="-12"/>
          <w:sz w:val="20"/>
        </w:rPr>
        <w:t xml:space="preserve"> </w:t>
      </w:r>
      <w:r>
        <w:rPr>
          <w:b/>
          <w:sz w:val="20"/>
        </w:rPr>
        <w:t>realiza</w:t>
      </w:r>
      <w:r>
        <w:rPr>
          <w:b/>
          <w:spacing w:val="-12"/>
          <w:sz w:val="20"/>
        </w:rPr>
        <w:t xml:space="preserve"> </w:t>
      </w:r>
      <w:r>
        <w:rPr>
          <w:b/>
          <w:sz w:val="20"/>
        </w:rPr>
        <w:t>diálogos</w:t>
      </w:r>
      <w:r>
        <w:rPr>
          <w:b/>
          <w:spacing w:val="-9"/>
          <w:sz w:val="20"/>
        </w:rPr>
        <w:t xml:space="preserve"> </w:t>
      </w:r>
      <w:r>
        <w:rPr>
          <w:b/>
          <w:sz w:val="20"/>
        </w:rPr>
        <w:t>com</w:t>
      </w:r>
      <w:r>
        <w:rPr>
          <w:b/>
          <w:spacing w:val="-13"/>
          <w:sz w:val="20"/>
        </w:rPr>
        <w:t xml:space="preserve"> </w:t>
      </w:r>
      <w:r>
        <w:rPr>
          <w:b/>
          <w:sz w:val="20"/>
        </w:rPr>
        <w:t xml:space="preserve">licitantes </w:t>
      </w:r>
      <w:r>
        <w:rPr>
          <w:sz w:val="20"/>
        </w:rPr>
        <w:t>previamente selecionados mediante critérios objetivos, com</w:t>
      </w:r>
      <w:r>
        <w:rPr>
          <w:spacing w:val="-1"/>
          <w:sz w:val="20"/>
        </w:rPr>
        <w:t xml:space="preserve"> </w:t>
      </w:r>
      <w:r>
        <w:rPr>
          <w:sz w:val="20"/>
        </w:rPr>
        <w:t>o intuito de desenvolver uma ou mais alternativas capazes de atender às suas necessidades, devendo os licitantes apresentar proposta final após o encerramento dos diálogos;</w:t>
      </w:r>
    </w:p>
    <w:p w:rsidR="007259F2" w:rsidRDefault="00E655B4">
      <w:pPr>
        <w:pStyle w:val="Corpodetexto"/>
        <w:spacing w:before="229"/>
        <w:ind w:right="423"/>
      </w:pPr>
      <w:r>
        <w:t>A existência desse diálogo pressupõe que a Administração não sabe qual a melhor alternativa para a</w:t>
      </w:r>
      <w:r>
        <w:rPr>
          <w:spacing w:val="-3"/>
        </w:rPr>
        <w:t xml:space="preserve"> </w:t>
      </w:r>
      <w:r>
        <w:t>consecução do interesse público que visa satisfazer, hipótese em</w:t>
      </w:r>
      <w:r>
        <w:rPr>
          <w:spacing w:val="-2"/>
        </w:rPr>
        <w:t xml:space="preserve"> </w:t>
      </w:r>
      <w:r>
        <w:t>que recorre ao auxílio da iniciativa privada para, então, encontrar a melhor alternativa.</w:t>
      </w:r>
    </w:p>
    <w:p w:rsidR="007259F2" w:rsidRDefault="00E655B4">
      <w:pPr>
        <w:pStyle w:val="Corpodetexto"/>
        <w:ind w:right="422"/>
      </w:pPr>
      <w:r>
        <w:t>Verifica-se,</w:t>
      </w:r>
      <w:r>
        <w:rPr>
          <w:spacing w:val="-15"/>
        </w:rPr>
        <w:t xml:space="preserve"> </w:t>
      </w:r>
      <w:r>
        <w:t>assim,</w:t>
      </w:r>
      <w:r>
        <w:rPr>
          <w:spacing w:val="-9"/>
        </w:rPr>
        <w:t xml:space="preserve"> </w:t>
      </w:r>
      <w:r>
        <w:t>uma</w:t>
      </w:r>
      <w:r>
        <w:rPr>
          <w:spacing w:val="-11"/>
        </w:rPr>
        <w:t xml:space="preserve"> </w:t>
      </w:r>
      <w:r>
        <w:t>verdadeira</w:t>
      </w:r>
      <w:r>
        <w:rPr>
          <w:spacing w:val="-9"/>
        </w:rPr>
        <w:t xml:space="preserve"> </w:t>
      </w:r>
      <w:r>
        <w:t>inversão</w:t>
      </w:r>
      <w:r>
        <w:rPr>
          <w:spacing w:val="-8"/>
        </w:rPr>
        <w:t xml:space="preserve"> </w:t>
      </w:r>
      <w:r>
        <w:t>do</w:t>
      </w:r>
      <w:r>
        <w:rPr>
          <w:spacing w:val="-11"/>
        </w:rPr>
        <w:t xml:space="preserve"> </w:t>
      </w:r>
      <w:r>
        <w:t>caráter</w:t>
      </w:r>
      <w:r>
        <w:rPr>
          <w:spacing w:val="-15"/>
        </w:rPr>
        <w:t xml:space="preserve"> </w:t>
      </w:r>
      <w:r>
        <w:t>impositivo</w:t>
      </w:r>
      <w:r>
        <w:rPr>
          <w:spacing w:val="-7"/>
        </w:rPr>
        <w:t xml:space="preserve"> </w:t>
      </w:r>
      <w:r>
        <w:t>da</w:t>
      </w:r>
      <w:r>
        <w:rPr>
          <w:spacing w:val="-13"/>
        </w:rPr>
        <w:t xml:space="preserve"> </w:t>
      </w:r>
      <w:r>
        <w:t>licitação,</w:t>
      </w:r>
      <w:r>
        <w:rPr>
          <w:spacing w:val="-12"/>
        </w:rPr>
        <w:t xml:space="preserve"> </w:t>
      </w:r>
      <w:r>
        <w:t>em</w:t>
      </w:r>
      <w:r>
        <w:rPr>
          <w:spacing w:val="-15"/>
        </w:rPr>
        <w:t xml:space="preserve"> </w:t>
      </w:r>
      <w:r>
        <w:t>que</w:t>
      </w:r>
      <w:r>
        <w:rPr>
          <w:spacing w:val="-3"/>
        </w:rPr>
        <w:t xml:space="preserve"> </w:t>
      </w:r>
      <w:r>
        <w:t>a Administração já tem delimitado todos os aspectos da demanda que visa atender, para um caráter deliberativo.</w:t>
      </w:r>
    </w:p>
    <w:p w:rsidR="007259F2" w:rsidRDefault="00E655B4">
      <w:pPr>
        <w:pStyle w:val="Corpodetexto"/>
        <w:ind w:right="426"/>
      </w:pPr>
      <w:r>
        <w:t>Nesta toada, pode-se chegar à constatação de que a modalidade de licitação aqui tratada não deve ser utilizada para qualquer contratação pretendida pela Administração, mas deve observar o caso concreto, na medida que o chamamento de particulares para o desenvolvimento de uma ou mais alternativas pressupõe a aplicação de técnicas que a Administração não possui.</w:t>
      </w:r>
    </w:p>
    <w:p w:rsidR="007259F2" w:rsidRDefault="00E655B4">
      <w:pPr>
        <w:pStyle w:val="Corpodetexto"/>
        <w:spacing w:before="1"/>
        <w:ind w:right="421"/>
      </w:pPr>
      <w:r>
        <w:t>Importante,</w:t>
      </w:r>
      <w:r>
        <w:rPr>
          <w:spacing w:val="-4"/>
        </w:rPr>
        <w:t xml:space="preserve"> </w:t>
      </w:r>
      <w:r>
        <w:t>neste</w:t>
      </w:r>
      <w:r>
        <w:rPr>
          <w:spacing w:val="-1"/>
        </w:rPr>
        <w:t xml:space="preserve"> </w:t>
      </w:r>
      <w:r>
        <w:t>ponto,</w:t>
      </w:r>
      <w:r>
        <w:rPr>
          <w:spacing w:val="-1"/>
        </w:rPr>
        <w:t xml:space="preserve"> </w:t>
      </w:r>
      <w:r>
        <w:t>trazer</w:t>
      </w:r>
      <w:r>
        <w:rPr>
          <w:spacing w:val="-4"/>
        </w:rPr>
        <w:t xml:space="preserve"> </w:t>
      </w:r>
      <w:r>
        <w:t>à</w:t>
      </w:r>
      <w:r>
        <w:rPr>
          <w:spacing w:val="-4"/>
        </w:rPr>
        <w:t xml:space="preserve"> </w:t>
      </w:r>
      <w:r>
        <w:t>baila</w:t>
      </w:r>
      <w:r>
        <w:rPr>
          <w:spacing w:val="-4"/>
        </w:rPr>
        <w:t xml:space="preserve"> </w:t>
      </w:r>
      <w:r>
        <w:t>conceituação doutrinária</w:t>
      </w:r>
      <w:r>
        <w:rPr>
          <w:spacing w:val="-2"/>
        </w:rPr>
        <w:t xml:space="preserve"> </w:t>
      </w:r>
      <w:r>
        <w:t>acerca</w:t>
      </w:r>
      <w:r>
        <w:rPr>
          <w:spacing w:val="-3"/>
        </w:rPr>
        <w:t xml:space="preserve"> </w:t>
      </w:r>
      <w:r>
        <w:t>do</w:t>
      </w:r>
      <w:r>
        <w:rPr>
          <w:spacing w:val="-1"/>
        </w:rPr>
        <w:t xml:space="preserve"> </w:t>
      </w:r>
      <w:r>
        <w:t>instituto aqui tratado, consoante publicação realizada no “Livro Nova Lei de licitações e contratos [recurso eletrônico]:</w:t>
      </w:r>
      <w:r>
        <w:rPr>
          <w:spacing w:val="-12"/>
        </w:rPr>
        <w:t xml:space="preserve"> </w:t>
      </w:r>
      <w:r>
        <w:t>Lei</w:t>
      </w:r>
      <w:r>
        <w:rPr>
          <w:spacing w:val="-15"/>
        </w:rPr>
        <w:t xml:space="preserve"> </w:t>
      </w:r>
      <w:r>
        <w:t>nº</w:t>
      </w:r>
      <w:r>
        <w:rPr>
          <w:spacing w:val="-12"/>
        </w:rPr>
        <w:t xml:space="preserve"> </w:t>
      </w:r>
      <w:r>
        <w:t>14.133/2021:</w:t>
      </w:r>
      <w:r>
        <w:rPr>
          <w:spacing w:val="-12"/>
        </w:rPr>
        <w:t xml:space="preserve"> </w:t>
      </w:r>
      <w:r>
        <w:t>debates,</w:t>
      </w:r>
      <w:r>
        <w:rPr>
          <w:spacing w:val="-12"/>
        </w:rPr>
        <w:t xml:space="preserve"> </w:t>
      </w:r>
      <w:r>
        <w:t>perspectivas</w:t>
      </w:r>
      <w:r>
        <w:rPr>
          <w:spacing w:val="-14"/>
        </w:rPr>
        <w:t xml:space="preserve"> </w:t>
      </w:r>
      <w:r>
        <w:t>e</w:t>
      </w:r>
      <w:r>
        <w:rPr>
          <w:spacing w:val="-15"/>
        </w:rPr>
        <w:t xml:space="preserve"> </w:t>
      </w:r>
      <w:r>
        <w:t>desafios”,</w:t>
      </w:r>
      <w:r>
        <w:rPr>
          <w:spacing w:val="-12"/>
        </w:rPr>
        <w:t xml:space="preserve"> </w:t>
      </w:r>
      <w:r>
        <w:t>engendrado</w:t>
      </w:r>
      <w:r>
        <w:rPr>
          <w:spacing w:val="-11"/>
        </w:rPr>
        <w:t xml:space="preserve"> </w:t>
      </w:r>
      <w:r>
        <w:t>pela</w:t>
      </w:r>
      <w:r>
        <w:rPr>
          <w:spacing w:val="-15"/>
        </w:rPr>
        <w:t xml:space="preserve"> </w:t>
      </w:r>
      <w:r>
        <w:t>Câmara</w:t>
      </w:r>
      <w:r>
        <w:rPr>
          <w:spacing w:val="-14"/>
        </w:rPr>
        <w:t xml:space="preserve"> </w:t>
      </w:r>
      <w:r>
        <w:t xml:space="preserve">dos </w:t>
      </w:r>
      <w:r>
        <w:rPr>
          <w:spacing w:val="-2"/>
        </w:rPr>
        <w:t>Deputados:</w:t>
      </w:r>
    </w:p>
    <w:p w:rsidR="007259F2" w:rsidRDefault="00E655B4">
      <w:pPr>
        <w:spacing w:before="2"/>
        <w:ind w:left="2978" w:right="421"/>
        <w:jc w:val="both"/>
        <w:rPr>
          <w:sz w:val="20"/>
        </w:rPr>
      </w:pPr>
      <w:r>
        <w:rPr>
          <w:sz w:val="20"/>
        </w:rPr>
        <w:t>Seu objetivo é atender às necessidades de obras, serviços e compras em que o poder público</w:t>
      </w:r>
      <w:r>
        <w:rPr>
          <w:spacing w:val="-7"/>
          <w:sz w:val="20"/>
        </w:rPr>
        <w:t xml:space="preserve"> </w:t>
      </w:r>
      <w:r>
        <w:rPr>
          <w:sz w:val="20"/>
        </w:rPr>
        <w:t>sabe</w:t>
      </w:r>
      <w:r>
        <w:rPr>
          <w:spacing w:val="-8"/>
          <w:sz w:val="20"/>
        </w:rPr>
        <w:t xml:space="preserve"> </w:t>
      </w:r>
      <w:r>
        <w:rPr>
          <w:sz w:val="20"/>
        </w:rPr>
        <w:t>de</w:t>
      </w:r>
      <w:r>
        <w:rPr>
          <w:spacing w:val="-9"/>
          <w:sz w:val="20"/>
        </w:rPr>
        <w:t xml:space="preserve"> </w:t>
      </w:r>
      <w:r>
        <w:rPr>
          <w:sz w:val="20"/>
        </w:rPr>
        <w:t>suas</w:t>
      </w:r>
      <w:r>
        <w:rPr>
          <w:spacing w:val="-11"/>
          <w:sz w:val="20"/>
        </w:rPr>
        <w:t xml:space="preserve"> </w:t>
      </w:r>
      <w:r>
        <w:rPr>
          <w:sz w:val="20"/>
        </w:rPr>
        <w:t>necessidades, mas</w:t>
      </w:r>
      <w:r>
        <w:rPr>
          <w:spacing w:val="-11"/>
          <w:sz w:val="20"/>
        </w:rPr>
        <w:t xml:space="preserve"> </w:t>
      </w:r>
      <w:r>
        <w:rPr>
          <w:sz w:val="20"/>
        </w:rPr>
        <w:t>não</w:t>
      </w:r>
      <w:r>
        <w:rPr>
          <w:spacing w:val="-7"/>
          <w:sz w:val="20"/>
        </w:rPr>
        <w:t xml:space="preserve"> </w:t>
      </w:r>
      <w:r>
        <w:rPr>
          <w:sz w:val="20"/>
        </w:rPr>
        <w:t>sabe,</w:t>
      </w:r>
      <w:r>
        <w:rPr>
          <w:spacing w:val="-1"/>
          <w:sz w:val="20"/>
        </w:rPr>
        <w:t xml:space="preserve"> </w:t>
      </w:r>
      <w:r>
        <w:rPr>
          <w:sz w:val="20"/>
        </w:rPr>
        <w:t>diante</w:t>
      </w:r>
      <w:r>
        <w:rPr>
          <w:spacing w:val="-8"/>
          <w:sz w:val="20"/>
        </w:rPr>
        <w:t xml:space="preserve"> </w:t>
      </w:r>
      <w:r>
        <w:rPr>
          <w:sz w:val="20"/>
        </w:rPr>
        <w:t>da</w:t>
      </w:r>
      <w:r>
        <w:rPr>
          <w:spacing w:val="-4"/>
          <w:sz w:val="20"/>
        </w:rPr>
        <w:t xml:space="preserve"> </w:t>
      </w:r>
      <w:r>
        <w:rPr>
          <w:sz w:val="20"/>
        </w:rPr>
        <w:t>variabilidade</w:t>
      </w:r>
      <w:r>
        <w:rPr>
          <w:spacing w:val="-7"/>
          <w:sz w:val="20"/>
        </w:rPr>
        <w:t xml:space="preserve"> </w:t>
      </w:r>
      <w:r>
        <w:rPr>
          <w:sz w:val="20"/>
        </w:rPr>
        <w:t>do</w:t>
      </w:r>
      <w:r>
        <w:rPr>
          <w:spacing w:val="-10"/>
          <w:sz w:val="20"/>
        </w:rPr>
        <w:t xml:space="preserve"> </w:t>
      </w:r>
      <w:r>
        <w:rPr>
          <w:sz w:val="20"/>
        </w:rPr>
        <w:t>mercado, como melhor supri-las. Nessa perspectiva, trata-se de instituto que se assemelha, no objetivo, ao Procedimento de Manifestação de Interesse (PMI), pois se intenta provocar o mercado a compartilhar de sua expertise para que o poder público tenha condições</w:t>
      </w:r>
      <w:r>
        <w:rPr>
          <w:spacing w:val="-13"/>
          <w:sz w:val="20"/>
        </w:rPr>
        <w:t xml:space="preserve"> </w:t>
      </w:r>
      <w:r>
        <w:rPr>
          <w:sz w:val="20"/>
        </w:rPr>
        <w:t>de</w:t>
      </w:r>
      <w:r>
        <w:rPr>
          <w:spacing w:val="-12"/>
          <w:sz w:val="20"/>
        </w:rPr>
        <w:t xml:space="preserve"> </w:t>
      </w:r>
      <w:r>
        <w:rPr>
          <w:sz w:val="20"/>
        </w:rPr>
        <w:t>engendrar</w:t>
      </w:r>
      <w:r>
        <w:rPr>
          <w:spacing w:val="-7"/>
          <w:sz w:val="20"/>
        </w:rPr>
        <w:t xml:space="preserve"> </w:t>
      </w:r>
      <w:r>
        <w:rPr>
          <w:sz w:val="20"/>
        </w:rPr>
        <w:t>contratações</w:t>
      </w:r>
      <w:r>
        <w:rPr>
          <w:spacing w:val="-9"/>
          <w:sz w:val="20"/>
        </w:rPr>
        <w:t xml:space="preserve"> </w:t>
      </w:r>
      <w:r>
        <w:rPr>
          <w:sz w:val="20"/>
        </w:rPr>
        <w:t>mais</w:t>
      </w:r>
      <w:r>
        <w:rPr>
          <w:spacing w:val="-12"/>
          <w:sz w:val="20"/>
        </w:rPr>
        <w:t xml:space="preserve"> </w:t>
      </w:r>
      <w:r>
        <w:rPr>
          <w:sz w:val="20"/>
        </w:rPr>
        <w:t>ajustadas</w:t>
      </w:r>
      <w:r>
        <w:rPr>
          <w:spacing w:val="-11"/>
          <w:sz w:val="20"/>
        </w:rPr>
        <w:t xml:space="preserve"> </w:t>
      </w:r>
      <w:r>
        <w:rPr>
          <w:sz w:val="20"/>
        </w:rPr>
        <w:t>às</w:t>
      </w:r>
      <w:r>
        <w:rPr>
          <w:spacing w:val="-12"/>
          <w:sz w:val="20"/>
        </w:rPr>
        <w:t xml:space="preserve"> </w:t>
      </w:r>
      <w:r>
        <w:rPr>
          <w:sz w:val="20"/>
        </w:rPr>
        <w:t>suas</w:t>
      </w:r>
      <w:r>
        <w:rPr>
          <w:spacing w:val="-13"/>
          <w:sz w:val="20"/>
        </w:rPr>
        <w:t xml:space="preserve"> </w:t>
      </w:r>
      <w:r>
        <w:rPr>
          <w:sz w:val="20"/>
        </w:rPr>
        <w:t>necessidades.</w:t>
      </w:r>
      <w:r>
        <w:rPr>
          <w:spacing w:val="-5"/>
          <w:sz w:val="20"/>
        </w:rPr>
        <w:t xml:space="preserve"> </w:t>
      </w:r>
      <w:r>
        <w:rPr>
          <w:sz w:val="20"/>
        </w:rPr>
        <w:t>No</w:t>
      </w:r>
      <w:r>
        <w:rPr>
          <w:spacing w:val="-13"/>
          <w:sz w:val="20"/>
        </w:rPr>
        <w:t xml:space="preserve"> </w:t>
      </w:r>
      <w:r>
        <w:rPr>
          <w:sz w:val="20"/>
        </w:rPr>
        <w:t>entanto, enquanto o PMI se realiza antes da licitação, o diálogo competitivo abrirá a interlocução, ou seja, o debate (sobre possibilidades técnicas e de inovação) com os licitantes</w:t>
      </w:r>
      <w:r>
        <w:rPr>
          <w:spacing w:val="-8"/>
          <w:sz w:val="20"/>
        </w:rPr>
        <w:t xml:space="preserve"> </w:t>
      </w:r>
      <w:r>
        <w:rPr>
          <w:sz w:val="20"/>
        </w:rPr>
        <w:t>que</w:t>
      </w:r>
      <w:r>
        <w:rPr>
          <w:spacing w:val="-7"/>
          <w:sz w:val="20"/>
        </w:rPr>
        <w:t xml:space="preserve"> </w:t>
      </w:r>
      <w:r>
        <w:rPr>
          <w:sz w:val="20"/>
        </w:rPr>
        <w:t>já</w:t>
      </w:r>
      <w:r>
        <w:rPr>
          <w:spacing w:val="-7"/>
          <w:sz w:val="20"/>
        </w:rPr>
        <w:t xml:space="preserve"> </w:t>
      </w:r>
      <w:r>
        <w:rPr>
          <w:sz w:val="20"/>
        </w:rPr>
        <w:t>participam</w:t>
      </w:r>
      <w:r>
        <w:rPr>
          <w:spacing w:val="-6"/>
          <w:sz w:val="20"/>
        </w:rPr>
        <w:t xml:space="preserve"> </w:t>
      </w:r>
      <w:r>
        <w:rPr>
          <w:sz w:val="20"/>
        </w:rPr>
        <w:t>da</w:t>
      </w:r>
      <w:r>
        <w:rPr>
          <w:spacing w:val="-7"/>
          <w:sz w:val="20"/>
        </w:rPr>
        <w:t xml:space="preserve"> </w:t>
      </w:r>
      <w:r>
        <w:rPr>
          <w:sz w:val="20"/>
        </w:rPr>
        <w:t>licitação,</w:t>
      </w:r>
      <w:r>
        <w:rPr>
          <w:spacing w:val="-7"/>
          <w:sz w:val="20"/>
        </w:rPr>
        <w:t xml:space="preserve"> </w:t>
      </w:r>
      <w:r>
        <w:rPr>
          <w:sz w:val="20"/>
        </w:rPr>
        <w:t>isto</w:t>
      </w:r>
      <w:r>
        <w:rPr>
          <w:spacing w:val="-5"/>
          <w:sz w:val="20"/>
        </w:rPr>
        <w:t xml:space="preserve"> </w:t>
      </w:r>
      <w:r>
        <w:rPr>
          <w:sz w:val="20"/>
        </w:rPr>
        <w:t>é,</w:t>
      </w:r>
      <w:r>
        <w:rPr>
          <w:spacing w:val="-2"/>
          <w:sz w:val="20"/>
        </w:rPr>
        <w:t xml:space="preserve"> </w:t>
      </w:r>
      <w:r>
        <w:rPr>
          <w:sz w:val="20"/>
        </w:rPr>
        <w:t>já</w:t>
      </w:r>
      <w:r>
        <w:rPr>
          <w:spacing w:val="-12"/>
          <w:sz w:val="20"/>
        </w:rPr>
        <w:t xml:space="preserve"> </w:t>
      </w:r>
      <w:r>
        <w:rPr>
          <w:sz w:val="20"/>
        </w:rPr>
        <w:t>há</w:t>
      </w:r>
      <w:r>
        <w:rPr>
          <w:spacing w:val="-8"/>
          <w:sz w:val="20"/>
        </w:rPr>
        <w:t xml:space="preserve"> </w:t>
      </w:r>
      <w:r>
        <w:rPr>
          <w:sz w:val="20"/>
        </w:rPr>
        <w:t>uma</w:t>
      </w:r>
      <w:r>
        <w:rPr>
          <w:spacing w:val="-7"/>
          <w:sz w:val="20"/>
        </w:rPr>
        <w:t xml:space="preserve"> </w:t>
      </w:r>
      <w:r>
        <w:rPr>
          <w:sz w:val="20"/>
        </w:rPr>
        <w:t>situação</w:t>
      </w:r>
      <w:r>
        <w:rPr>
          <w:spacing w:val="-8"/>
          <w:sz w:val="20"/>
        </w:rPr>
        <w:t xml:space="preserve"> </w:t>
      </w:r>
      <w:r>
        <w:rPr>
          <w:sz w:val="20"/>
        </w:rPr>
        <w:t>de</w:t>
      </w:r>
      <w:r>
        <w:rPr>
          <w:spacing w:val="-8"/>
          <w:sz w:val="20"/>
        </w:rPr>
        <w:t xml:space="preserve"> </w:t>
      </w:r>
      <w:r>
        <w:rPr>
          <w:sz w:val="20"/>
        </w:rPr>
        <w:t>interesses</w:t>
      </w:r>
      <w:r>
        <w:rPr>
          <w:spacing w:val="-8"/>
          <w:sz w:val="20"/>
        </w:rPr>
        <w:t xml:space="preserve"> </w:t>
      </w:r>
      <w:r>
        <w:rPr>
          <w:sz w:val="20"/>
        </w:rPr>
        <w:t>postos na mesa, com uma provável futura contratação.</w:t>
      </w:r>
    </w:p>
    <w:p w:rsidR="007259F2" w:rsidRDefault="007259F2">
      <w:pPr>
        <w:jc w:val="both"/>
        <w:rPr>
          <w:sz w:val="20"/>
        </w:rPr>
        <w:sectPr w:rsidR="007259F2">
          <w:pgSz w:w="11910" w:h="16840"/>
          <w:pgMar w:top="1600" w:right="708" w:bottom="1020" w:left="992" w:header="0" w:footer="820" w:gutter="0"/>
          <w:cols w:space="720"/>
        </w:sectPr>
      </w:pPr>
    </w:p>
    <w:p w:rsidR="007259F2" w:rsidRDefault="00E655B4">
      <w:pPr>
        <w:spacing w:before="77"/>
        <w:ind w:left="2978" w:right="421"/>
        <w:jc w:val="both"/>
        <w:rPr>
          <w:sz w:val="20"/>
        </w:rPr>
      </w:pPr>
      <w:r>
        <w:rPr>
          <w:sz w:val="20"/>
        </w:rPr>
        <w:lastRenderedPageBreak/>
        <w:t>O diálogo competitivo é, portanto, modalidade que apresenta suas flexibilidades, tendo em vista que abre margem para a administração estabelecer, no curso do certame, a</w:t>
      </w:r>
      <w:r>
        <w:rPr>
          <w:spacing w:val="-8"/>
          <w:sz w:val="20"/>
        </w:rPr>
        <w:t xml:space="preserve"> </w:t>
      </w:r>
      <w:r>
        <w:rPr>
          <w:sz w:val="20"/>
        </w:rPr>
        <w:t>solução</w:t>
      </w:r>
      <w:r>
        <w:rPr>
          <w:spacing w:val="-9"/>
          <w:sz w:val="20"/>
        </w:rPr>
        <w:t xml:space="preserve"> </w:t>
      </w:r>
      <w:r>
        <w:rPr>
          <w:sz w:val="20"/>
        </w:rPr>
        <w:t>que</w:t>
      </w:r>
      <w:r>
        <w:rPr>
          <w:spacing w:val="-6"/>
          <w:sz w:val="20"/>
        </w:rPr>
        <w:t xml:space="preserve"> </w:t>
      </w:r>
      <w:r>
        <w:rPr>
          <w:sz w:val="20"/>
        </w:rPr>
        <w:t>melhor</w:t>
      </w:r>
      <w:r>
        <w:rPr>
          <w:spacing w:val="-1"/>
          <w:sz w:val="20"/>
        </w:rPr>
        <w:t xml:space="preserve"> </w:t>
      </w:r>
      <w:r>
        <w:rPr>
          <w:sz w:val="20"/>
        </w:rPr>
        <w:t>atenda</w:t>
      </w:r>
      <w:r>
        <w:rPr>
          <w:spacing w:val="-7"/>
          <w:sz w:val="20"/>
        </w:rPr>
        <w:t xml:space="preserve"> </w:t>
      </w:r>
      <w:r>
        <w:rPr>
          <w:sz w:val="20"/>
        </w:rPr>
        <w:t>a</w:t>
      </w:r>
      <w:r>
        <w:rPr>
          <w:spacing w:val="-4"/>
          <w:sz w:val="20"/>
        </w:rPr>
        <w:t xml:space="preserve"> </w:t>
      </w:r>
      <w:r>
        <w:rPr>
          <w:sz w:val="20"/>
        </w:rPr>
        <w:t>suas</w:t>
      </w:r>
      <w:r>
        <w:rPr>
          <w:spacing w:val="-11"/>
          <w:sz w:val="20"/>
        </w:rPr>
        <w:t xml:space="preserve"> </w:t>
      </w:r>
      <w:r>
        <w:rPr>
          <w:sz w:val="20"/>
        </w:rPr>
        <w:t>necessidades</w:t>
      </w:r>
      <w:r>
        <w:rPr>
          <w:spacing w:val="-6"/>
          <w:sz w:val="20"/>
        </w:rPr>
        <w:t xml:space="preserve"> </w:t>
      </w:r>
      <w:r>
        <w:rPr>
          <w:sz w:val="20"/>
        </w:rPr>
        <w:t>(após</w:t>
      </w:r>
      <w:r>
        <w:rPr>
          <w:spacing w:val="-1"/>
          <w:sz w:val="20"/>
        </w:rPr>
        <w:t xml:space="preserve"> </w:t>
      </w:r>
      <w:r>
        <w:rPr>
          <w:sz w:val="20"/>
        </w:rPr>
        <w:t>o</w:t>
      </w:r>
      <w:r>
        <w:rPr>
          <w:spacing w:val="-9"/>
          <w:sz w:val="20"/>
        </w:rPr>
        <w:t xml:space="preserve"> </w:t>
      </w:r>
      <w:r>
        <w:rPr>
          <w:sz w:val="20"/>
        </w:rPr>
        <w:t>diálogo</w:t>
      </w:r>
      <w:r>
        <w:rPr>
          <w:spacing w:val="-9"/>
          <w:sz w:val="20"/>
        </w:rPr>
        <w:t xml:space="preserve"> </w:t>
      </w:r>
      <w:r>
        <w:rPr>
          <w:sz w:val="20"/>
        </w:rPr>
        <w:t>estimulado dentro do procedimento licitatório), daí, em fase subsequente, competitiva, os licitantes</w:t>
      </w:r>
      <w:r>
        <w:rPr>
          <w:spacing w:val="-9"/>
          <w:sz w:val="20"/>
        </w:rPr>
        <w:t xml:space="preserve"> </w:t>
      </w:r>
      <w:r>
        <w:rPr>
          <w:sz w:val="20"/>
        </w:rPr>
        <w:t>terão</w:t>
      </w:r>
      <w:r>
        <w:rPr>
          <w:spacing w:val="-5"/>
          <w:sz w:val="20"/>
        </w:rPr>
        <w:t xml:space="preserve"> </w:t>
      </w:r>
      <w:r>
        <w:rPr>
          <w:sz w:val="20"/>
        </w:rPr>
        <w:t>oportunidade</w:t>
      </w:r>
      <w:r>
        <w:rPr>
          <w:spacing w:val="-7"/>
          <w:sz w:val="20"/>
        </w:rPr>
        <w:t xml:space="preserve"> </w:t>
      </w:r>
      <w:r>
        <w:rPr>
          <w:sz w:val="20"/>
        </w:rPr>
        <w:t>de</w:t>
      </w:r>
      <w:r>
        <w:rPr>
          <w:spacing w:val="-8"/>
          <w:sz w:val="20"/>
        </w:rPr>
        <w:t xml:space="preserve"> </w:t>
      </w:r>
      <w:r>
        <w:rPr>
          <w:sz w:val="20"/>
        </w:rPr>
        <w:t>apresentar propostas</w:t>
      </w:r>
      <w:r>
        <w:rPr>
          <w:spacing w:val="-4"/>
          <w:sz w:val="20"/>
        </w:rPr>
        <w:t xml:space="preserve"> </w:t>
      </w:r>
      <w:r>
        <w:rPr>
          <w:sz w:val="20"/>
        </w:rPr>
        <w:t>com</w:t>
      </w:r>
      <w:r>
        <w:rPr>
          <w:spacing w:val="-3"/>
          <w:sz w:val="20"/>
        </w:rPr>
        <w:t xml:space="preserve"> </w:t>
      </w:r>
      <w:r>
        <w:rPr>
          <w:sz w:val="20"/>
        </w:rPr>
        <w:t>base</w:t>
      </w:r>
      <w:r>
        <w:rPr>
          <w:spacing w:val="-3"/>
          <w:sz w:val="20"/>
        </w:rPr>
        <w:t xml:space="preserve"> </w:t>
      </w:r>
      <w:r>
        <w:rPr>
          <w:sz w:val="20"/>
        </w:rPr>
        <w:t>nessa</w:t>
      </w:r>
      <w:r>
        <w:rPr>
          <w:spacing w:val="-4"/>
          <w:sz w:val="20"/>
        </w:rPr>
        <w:t xml:space="preserve"> </w:t>
      </w:r>
      <w:r>
        <w:rPr>
          <w:sz w:val="20"/>
        </w:rPr>
        <w:t>solução. Assim, a ideia é que se aprende dialogando, abertura que permite que haja o alinhamento</w:t>
      </w:r>
      <w:r>
        <w:rPr>
          <w:spacing w:val="-1"/>
          <w:sz w:val="20"/>
        </w:rPr>
        <w:t xml:space="preserve"> </w:t>
      </w:r>
      <w:r>
        <w:rPr>
          <w:sz w:val="20"/>
        </w:rPr>
        <w:t>de interesses e expectativas, dado que muitos modelos de negócio apresentam suas complexidades. (MATOS; ALVES; AMORIM, 2021, p.204)</w:t>
      </w:r>
    </w:p>
    <w:p w:rsidR="007259F2" w:rsidRDefault="00E655B4">
      <w:pPr>
        <w:pStyle w:val="Heading2"/>
        <w:numPr>
          <w:ilvl w:val="0"/>
          <w:numId w:val="19"/>
        </w:numPr>
        <w:tabs>
          <w:tab w:val="left" w:pos="1093"/>
        </w:tabs>
        <w:spacing w:before="203"/>
        <w:ind w:left="1093" w:hanging="244"/>
        <w:jc w:val="both"/>
      </w:pPr>
      <w:r>
        <w:t>Normatização</w:t>
      </w:r>
      <w:r>
        <w:rPr>
          <w:spacing w:val="-6"/>
        </w:rPr>
        <w:t xml:space="preserve"> </w:t>
      </w:r>
      <w:r>
        <w:t>do</w:t>
      </w:r>
      <w:r>
        <w:rPr>
          <w:spacing w:val="-3"/>
        </w:rPr>
        <w:t xml:space="preserve"> </w:t>
      </w:r>
      <w:r>
        <w:t>Diálogo</w:t>
      </w:r>
      <w:r>
        <w:rPr>
          <w:spacing w:val="-4"/>
        </w:rPr>
        <w:t xml:space="preserve"> </w:t>
      </w:r>
      <w:r>
        <w:rPr>
          <w:spacing w:val="-2"/>
        </w:rPr>
        <w:t>Competitivo</w:t>
      </w:r>
    </w:p>
    <w:p w:rsidR="007259F2" w:rsidRDefault="00E655B4">
      <w:pPr>
        <w:pStyle w:val="Corpodetexto"/>
        <w:spacing w:before="115"/>
        <w:ind w:right="421"/>
      </w:pPr>
      <w:r>
        <w:t>Conforme já mencionado, o diálogo competitivo foi inserido no ordenamento jurídico através da Lei 14.133/21, estando previsto no art. 28, inciso V.</w:t>
      </w:r>
    </w:p>
    <w:p w:rsidR="007259F2" w:rsidRDefault="00E655B4">
      <w:pPr>
        <w:pStyle w:val="Corpodetexto"/>
        <w:spacing w:before="1"/>
        <w:ind w:right="427"/>
      </w:pPr>
      <w:r>
        <w:t>Caracteriza-se como o chamamento de particulares, previamente selecionados, através de critérios objetos, para elaboração conjunta com a Administração de alternativa ou alternativas para atendimento de uma determinada demanda pública.</w:t>
      </w:r>
    </w:p>
    <w:p w:rsidR="007259F2" w:rsidRDefault="00E655B4">
      <w:pPr>
        <w:pStyle w:val="Corpodetexto"/>
        <w:ind w:right="424"/>
      </w:pPr>
      <w:r>
        <w:t>O dialogo competitivo não pode ser utilizado indiscriminadamente pela</w:t>
      </w:r>
      <w:r>
        <w:rPr>
          <w:spacing w:val="40"/>
        </w:rPr>
        <w:t xml:space="preserve"> </w:t>
      </w:r>
      <w:r>
        <w:t>Administração, na medida que a própria Lei de Licitações apresenta um rol de hipóteses em que esta modalidade poderá ser adotada.</w:t>
      </w:r>
    </w:p>
    <w:p w:rsidR="007259F2" w:rsidRDefault="00E655B4">
      <w:pPr>
        <w:pStyle w:val="Corpodetexto"/>
        <w:ind w:right="422"/>
      </w:pPr>
      <w:r>
        <w:t>Consoante disposto no art. 32, da Lei de Licitações, o dialogo competitivo poderá ser adotado nas seguintes hipóteses:</w:t>
      </w:r>
    </w:p>
    <w:p w:rsidR="007259F2" w:rsidRDefault="007259F2">
      <w:pPr>
        <w:pStyle w:val="Corpodetexto"/>
        <w:spacing w:before="1"/>
        <w:ind w:left="0" w:firstLine="0"/>
        <w:jc w:val="left"/>
      </w:pPr>
    </w:p>
    <w:p w:rsidR="007259F2" w:rsidRDefault="00E655B4">
      <w:pPr>
        <w:spacing w:before="1"/>
        <w:ind w:left="2978"/>
        <w:rPr>
          <w:sz w:val="20"/>
        </w:rPr>
      </w:pPr>
      <w:r>
        <w:rPr>
          <w:sz w:val="20"/>
        </w:rPr>
        <w:t>Art.</w:t>
      </w:r>
      <w:r>
        <w:rPr>
          <w:spacing w:val="40"/>
          <w:sz w:val="20"/>
        </w:rPr>
        <w:t xml:space="preserve"> </w:t>
      </w:r>
      <w:r>
        <w:rPr>
          <w:sz w:val="20"/>
        </w:rPr>
        <w:t>32.</w:t>
      </w:r>
      <w:r>
        <w:rPr>
          <w:spacing w:val="40"/>
          <w:sz w:val="20"/>
        </w:rPr>
        <w:t xml:space="preserve"> </w:t>
      </w:r>
      <w:r>
        <w:rPr>
          <w:sz w:val="20"/>
        </w:rPr>
        <w:t>A</w:t>
      </w:r>
      <w:r>
        <w:rPr>
          <w:spacing w:val="40"/>
          <w:sz w:val="20"/>
        </w:rPr>
        <w:t xml:space="preserve"> </w:t>
      </w:r>
      <w:r>
        <w:rPr>
          <w:sz w:val="20"/>
        </w:rPr>
        <w:t>modalidade</w:t>
      </w:r>
      <w:r>
        <w:rPr>
          <w:spacing w:val="40"/>
          <w:sz w:val="20"/>
        </w:rPr>
        <w:t xml:space="preserve"> </w:t>
      </w:r>
      <w:r>
        <w:rPr>
          <w:sz w:val="20"/>
        </w:rPr>
        <w:t>diálogo</w:t>
      </w:r>
      <w:r>
        <w:rPr>
          <w:spacing w:val="40"/>
          <w:sz w:val="20"/>
        </w:rPr>
        <w:t xml:space="preserve"> </w:t>
      </w:r>
      <w:r>
        <w:rPr>
          <w:sz w:val="20"/>
        </w:rPr>
        <w:t>competitivo</w:t>
      </w:r>
      <w:r>
        <w:rPr>
          <w:spacing w:val="40"/>
          <w:sz w:val="20"/>
        </w:rPr>
        <w:t xml:space="preserve"> </w:t>
      </w:r>
      <w:r>
        <w:rPr>
          <w:sz w:val="20"/>
        </w:rPr>
        <w:t>é</w:t>
      </w:r>
      <w:r>
        <w:rPr>
          <w:spacing w:val="40"/>
          <w:sz w:val="20"/>
        </w:rPr>
        <w:t xml:space="preserve"> </w:t>
      </w:r>
      <w:r>
        <w:rPr>
          <w:sz w:val="20"/>
        </w:rPr>
        <w:t>restrita</w:t>
      </w:r>
      <w:r>
        <w:rPr>
          <w:spacing w:val="40"/>
          <w:sz w:val="20"/>
        </w:rPr>
        <w:t xml:space="preserve"> </w:t>
      </w:r>
      <w:r>
        <w:rPr>
          <w:sz w:val="20"/>
        </w:rPr>
        <w:t>a</w:t>
      </w:r>
      <w:r>
        <w:rPr>
          <w:spacing w:val="40"/>
          <w:sz w:val="20"/>
        </w:rPr>
        <w:t xml:space="preserve"> </w:t>
      </w:r>
      <w:r>
        <w:rPr>
          <w:sz w:val="20"/>
        </w:rPr>
        <w:t>contratações</w:t>
      </w:r>
      <w:r>
        <w:rPr>
          <w:spacing w:val="40"/>
          <w:sz w:val="20"/>
        </w:rPr>
        <w:t xml:space="preserve"> </w:t>
      </w:r>
      <w:r>
        <w:rPr>
          <w:sz w:val="20"/>
        </w:rPr>
        <w:t>em</w:t>
      </w:r>
      <w:r>
        <w:rPr>
          <w:spacing w:val="40"/>
          <w:sz w:val="20"/>
        </w:rPr>
        <w:t xml:space="preserve"> </w:t>
      </w:r>
      <w:r>
        <w:rPr>
          <w:sz w:val="20"/>
        </w:rPr>
        <w:t>que</w:t>
      </w:r>
      <w:r>
        <w:rPr>
          <w:spacing w:val="40"/>
          <w:sz w:val="20"/>
        </w:rPr>
        <w:t xml:space="preserve"> </w:t>
      </w:r>
      <w:r>
        <w:rPr>
          <w:sz w:val="20"/>
        </w:rPr>
        <w:t xml:space="preserve">a </w:t>
      </w:r>
      <w:r>
        <w:rPr>
          <w:spacing w:val="-2"/>
          <w:sz w:val="20"/>
        </w:rPr>
        <w:t>Administração:</w:t>
      </w:r>
    </w:p>
    <w:p w:rsidR="007259F2" w:rsidRDefault="00E655B4">
      <w:pPr>
        <w:pStyle w:val="PargrafodaLista"/>
        <w:numPr>
          <w:ilvl w:val="0"/>
          <w:numId w:val="4"/>
        </w:numPr>
        <w:tabs>
          <w:tab w:val="left" w:pos="3698"/>
        </w:tabs>
        <w:spacing w:line="228" w:lineRule="exact"/>
        <w:rPr>
          <w:sz w:val="20"/>
        </w:rPr>
      </w:pPr>
      <w:r>
        <w:rPr>
          <w:sz w:val="20"/>
        </w:rPr>
        <w:t>vise</w:t>
      </w:r>
      <w:r>
        <w:rPr>
          <w:spacing w:val="-5"/>
          <w:sz w:val="20"/>
        </w:rPr>
        <w:t xml:space="preserve"> </w:t>
      </w:r>
      <w:r>
        <w:rPr>
          <w:sz w:val="20"/>
        </w:rPr>
        <w:t>a</w:t>
      </w:r>
      <w:r>
        <w:rPr>
          <w:spacing w:val="-5"/>
          <w:sz w:val="20"/>
        </w:rPr>
        <w:t xml:space="preserve"> </w:t>
      </w:r>
      <w:r>
        <w:rPr>
          <w:sz w:val="20"/>
        </w:rPr>
        <w:t>contratar</w:t>
      </w:r>
      <w:r>
        <w:rPr>
          <w:spacing w:val="-3"/>
          <w:sz w:val="20"/>
        </w:rPr>
        <w:t xml:space="preserve"> </w:t>
      </w:r>
      <w:r>
        <w:rPr>
          <w:sz w:val="20"/>
        </w:rPr>
        <w:t>objeto</w:t>
      </w:r>
      <w:r>
        <w:rPr>
          <w:spacing w:val="-4"/>
          <w:sz w:val="20"/>
        </w:rPr>
        <w:t xml:space="preserve"> </w:t>
      </w:r>
      <w:r>
        <w:rPr>
          <w:sz w:val="20"/>
        </w:rPr>
        <w:t>que</w:t>
      </w:r>
      <w:r>
        <w:rPr>
          <w:spacing w:val="-5"/>
          <w:sz w:val="20"/>
        </w:rPr>
        <w:t xml:space="preserve"> </w:t>
      </w:r>
      <w:r>
        <w:rPr>
          <w:sz w:val="20"/>
        </w:rPr>
        <w:t>envolva</w:t>
      </w:r>
      <w:r>
        <w:rPr>
          <w:spacing w:val="-4"/>
          <w:sz w:val="20"/>
        </w:rPr>
        <w:t xml:space="preserve"> </w:t>
      </w:r>
      <w:r>
        <w:rPr>
          <w:sz w:val="20"/>
        </w:rPr>
        <w:t>as</w:t>
      </w:r>
      <w:r>
        <w:rPr>
          <w:spacing w:val="-6"/>
          <w:sz w:val="20"/>
        </w:rPr>
        <w:t xml:space="preserve"> </w:t>
      </w:r>
      <w:r>
        <w:rPr>
          <w:sz w:val="20"/>
        </w:rPr>
        <w:t>seguintes</w:t>
      </w:r>
      <w:r>
        <w:rPr>
          <w:spacing w:val="-5"/>
          <w:sz w:val="20"/>
        </w:rPr>
        <w:t xml:space="preserve"> </w:t>
      </w:r>
      <w:r>
        <w:rPr>
          <w:spacing w:val="-2"/>
          <w:sz w:val="20"/>
        </w:rPr>
        <w:t>condições:</w:t>
      </w:r>
    </w:p>
    <w:p w:rsidR="007259F2" w:rsidRDefault="00E655B4">
      <w:pPr>
        <w:pStyle w:val="PargrafodaLista"/>
        <w:numPr>
          <w:ilvl w:val="1"/>
          <w:numId w:val="4"/>
        </w:numPr>
        <w:tabs>
          <w:tab w:val="left" w:pos="3338"/>
        </w:tabs>
        <w:rPr>
          <w:sz w:val="20"/>
        </w:rPr>
      </w:pPr>
      <w:r>
        <w:rPr>
          <w:sz w:val="20"/>
        </w:rPr>
        <w:t>inovação</w:t>
      </w:r>
      <w:r>
        <w:rPr>
          <w:spacing w:val="-6"/>
          <w:sz w:val="20"/>
        </w:rPr>
        <w:t xml:space="preserve"> </w:t>
      </w:r>
      <w:r>
        <w:rPr>
          <w:sz w:val="20"/>
        </w:rPr>
        <w:t>tecnológica</w:t>
      </w:r>
      <w:r>
        <w:rPr>
          <w:spacing w:val="-7"/>
          <w:sz w:val="20"/>
        </w:rPr>
        <w:t xml:space="preserve"> </w:t>
      </w:r>
      <w:r>
        <w:rPr>
          <w:sz w:val="20"/>
        </w:rPr>
        <w:t>ou</w:t>
      </w:r>
      <w:r>
        <w:rPr>
          <w:spacing w:val="-7"/>
          <w:sz w:val="20"/>
        </w:rPr>
        <w:t xml:space="preserve"> </w:t>
      </w:r>
      <w:r>
        <w:rPr>
          <w:spacing w:val="-2"/>
          <w:sz w:val="20"/>
        </w:rPr>
        <w:t>técnica;</w:t>
      </w:r>
    </w:p>
    <w:p w:rsidR="007259F2" w:rsidRDefault="00E655B4">
      <w:pPr>
        <w:pStyle w:val="PargrafodaLista"/>
        <w:numPr>
          <w:ilvl w:val="1"/>
          <w:numId w:val="4"/>
        </w:numPr>
        <w:tabs>
          <w:tab w:val="left" w:pos="3336"/>
          <w:tab w:val="left" w:pos="3338"/>
        </w:tabs>
        <w:spacing w:before="1"/>
        <w:ind w:right="425"/>
        <w:rPr>
          <w:sz w:val="20"/>
        </w:rPr>
      </w:pPr>
      <w:r>
        <w:rPr>
          <w:sz w:val="20"/>
        </w:rPr>
        <w:t>impossibilidade</w:t>
      </w:r>
      <w:r>
        <w:rPr>
          <w:spacing w:val="38"/>
          <w:sz w:val="20"/>
        </w:rPr>
        <w:t xml:space="preserve"> </w:t>
      </w:r>
      <w:r>
        <w:rPr>
          <w:sz w:val="20"/>
        </w:rPr>
        <w:t>de</w:t>
      </w:r>
      <w:r>
        <w:rPr>
          <w:spacing w:val="38"/>
          <w:sz w:val="20"/>
        </w:rPr>
        <w:t xml:space="preserve"> </w:t>
      </w:r>
      <w:r>
        <w:rPr>
          <w:sz w:val="20"/>
        </w:rPr>
        <w:t>o</w:t>
      </w:r>
      <w:r>
        <w:rPr>
          <w:spacing w:val="38"/>
          <w:sz w:val="20"/>
        </w:rPr>
        <w:t xml:space="preserve"> </w:t>
      </w:r>
      <w:r>
        <w:rPr>
          <w:sz w:val="20"/>
        </w:rPr>
        <w:t>órgão</w:t>
      </w:r>
      <w:r>
        <w:rPr>
          <w:spacing w:val="37"/>
          <w:sz w:val="20"/>
        </w:rPr>
        <w:t xml:space="preserve"> </w:t>
      </w:r>
      <w:r>
        <w:rPr>
          <w:sz w:val="20"/>
        </w:rPr>
        <w:t>ou</w:t>
      </w:r>
      <w:r>
        <w:rPr>
          <w:spacing w:val="36"/>
          <w:sz w:val="20"/>
        </w:rPr>
        <w:t xml:space="preserve"> </w:t>
      </w:r>
      <w:r>
        <w:rPr>
          <w:sz w:val="20"/>
        </w:rPr>
        <w:t>entidade</w:t>
      </w:r>
      <w:r>
        <w:rPr>
          <w:spacing w:val="38"/>
          <w:sz w:val="20"/>
        </w:rPr>
        <w:t xml:space="preserve"> </w:t>
      </w:r>
      <w:r>
        <w:rPr>
          <w:sz w:val="20"/>
        </w:rPr>
        <w:t>ter</w:t>
      </w:r>
      <w:r>
        <w:rPr>
          <w:spacing w:val="38"/>
          <w:sz w:val="20"/>
        </w:rPr>
        <w:t xml:space="preserve"> </w:t>
      </w:r>
      <w:r>
        <w:rPr>
          <w:sz w:val="20"/>
        </w:rPr>
        <w:t>sua</w:t>
      </w:r>
      <w:r>
        <w:rPr>
          <w:spacing w:val="39"/>
          <w:sz w:val="20"/>
        </w:rPr>
        <w:t xml:space="preserve"> </w:t>
      </w:r>
      <w:r>
        <w:rPr>
          <w:sz w:val="20"/>
        </w:rPr>
        <w:t>necessidade</w:t>
      </w:r>
      <w:r>
        <w:rPr>
          <w:spacing w:val="38"/>
          <w:sz w:val="20"/>
        </w:rPr>
        <w:t xml:space="preserve"> </w:t>
      </w:r>
      <w:r>
        <w:rPr>
          <w:sz w:val="20"/>
        </w:rPr>
        <w:t>satisfeita</w:t>
      </w:r>
      <w:r>
        <w:rPr>
          <w:spacing w:val="38"/>
          <w:sz w:val="20"/>
        </w:rPr>
        <w:t xml:space="preserve"> </w:t>
      </w:r>
      <w:r>
        <w:rPr>
          <w:sz w:val="20"/>
        </w:rPr>
        <w:t>sem</w:t>
      </w:r>
      <w:r>
        <w:rPr>
          <w:spacing w:val="36"/>
          <w:sz w:val="20"/>
        </w:rPr>
        <w:t xml:space="preserve"> </w:t>
      </w:r>
      <w:r>
        <w:rPr>
          <w:sz w:val="20"/>
        </w:rPr>
        <w:t>a adaptação de soluções disponíveis no mercado; e</w:t>
      </w:r>
    </w:p>
    <w:p w:rsidR="007259F2" w:rsidRDefault="00E655B4">
      <w:pPr>
        <w:pStyle w:val="PargrafodaLista"/>
        <w:numPr>
          <w:ilvl w:val="1"/>
          <w:numId w:val="4"/>
        </w:numPr>
        <w:tabs>
          <w:tab w:val="left" w:pos="3336"/>
        </w:tabs>
        <w:spacing w:before="1"/>
        <w:ind w:left="2978" w:right="430" w:firstLine="0"/>
        <w:rPr>
          <w:sz w:val="20"/>
        </w:rPr>
      </w:pPr>
      <w:r>
        <w:rPr>
          <w:sz w:val="20"/>
        </w:rPr>
        <w:t>impossibilidade</w:t>
      </w:r>
      <w:r>
        <w:rPr>
          <w:spacing w:val="40"/>
          <w:sz w:val="20"/>
        </w:rPr>
        <w:t xml:space="preserve"> </w:t>
      </w:r>
      <w:r>
        <w:rPr>
          <w:sz w:val="20"/>
        </w:rPr>
        <w:t>de</w:t>
      </w:r>
      <w:r>
        <w:rPr>
          <w:spacing w:val="40"/>
          <w:sz w:val="20"/>
        </w:rPr>
        <w:t xml:space="preserve"> </w:t>
      </w:r>
      <w:r>
        <w:rPr>
          <w:sz w:val="20"/>
        </w:rPr>
        <w:t>as</w:t>
      </w:r>
      <w:r>
        <w:rPr>
          <w:spacing w:val="40"/>
          <w:sz w:val="20"/>
        </w:rPr>
        <w:t xml:space="preserve"> </w:t>
      </w:r>
      <w:r>
        <w:rPr>
          <w:sz w:val="20"/>
        </w:rPr>
        <w:t>especificações</w:t>
      </w:r>
      <w:r>
        <w:rPr>
          <w:spacing w:val="40"/>
          <w:sz w:val="20"/>
        </w:rPr>
        <w:t xml:space="preserve"> </w:t>
      </w:r>
      <w:r>
        <w:rPr>
          <w:sz w:val="20"/>
        </w:rPr>
        <w:t>técnicas</w:t>
      </w:r>
      <w:r>
        <w:rPr>
          <w:spacing w:val="40"/>
          <w:sz w:val="20"/>
        </w:rPr>
        <w:t xml:space="preserve"> </w:t>
      </w:r>
      <w:r>
        <w:rPr>
          <w:sz w:val="20"/>
        </w:rPr>
        <w:t>serem</w:t>
      </w:r>
      <w:r>
        <w:rPr>
          <w:spacing w:val="40"/>
          <w:sz w:val="20"/>
        </w:rPr>
        <w:t xml:space="preserve"> </w:t>
      </w:r>
      <w:r>
        <w:rPr>
          <w:sz w:val="20"/>
        </w:rPr>
        <w:t>definidas</w:t>
      </w:r>
      <w:r>
        <w:rPr>
          <w:spacing w:val="40"/>
          <w:sz w:val="20"/>
        </w:rPr>
        <w:t xml:space="preserve"> </w:t>
      </w:r>
      <w:r>
        <w:rPr>
          <w:sz w:val="20"/>
        </w:rPr>
        <w:t>com</w:t>
      </w:r>
      <w:r>
        <w:rPr>
          <w:spacing w:val="40"/>
          <w:sz w:val="20"/>
        </w:rPr>
        <w:t xml:space="preserve"> </w:t>
      </w:r>
      <w:r>
        <w:rPr>
          <w:sz w:val="20"/>
        </w:rPr>
        <w:t>precisão suficiente pela Administração;</w:t>
      </w:r>
    </w:p>
    <w:p w:rsidR="007259F2" w:rsidRDefault="00E655B4">
      <w:pPr>
        <w:ind w:left="2978" w:right="424"/>
        <w:rPr>
          <w:sz w:val="20"/>
        </w:rPr>
      </w:pPr>
      <w:r>
        <w:rPr>
          <w:sz w:val="20"/>
        </w:rPr>
        <w:t>II</w:t>
      </w:r>
      <w:r>
        <w:rPr>
          <w:spacing w:val="25"/>
          <w:sz w:val="20"/>
        </w:rPr>
        <w:t xml:space="preserve"> </w:t>
      </w:r>
      <w:r>
        <w:rPr>
          <w:sz w:val="20"/>
        </w:rPr>
        <w:t>-</w:t>
      </w:r>
      <w:r>
        <w:rPr>
          <w:spacing w:val="23"/>
          <w:sz w:val="20"/>
        </w:rPr>
        <w:t xml:space="preserve"> </w:t>
      </w:r>
      <w:r>
        <w:rPr>
          <w:sz w:val="20"/>
        </w:rPr>
        <w:t>verifique</w:t>
      </w:r>
      <w:r>
        <w:rPr>
          <w:spacing w:val="24"/>
          <w:sz w:val="20"/>
        </w:rPr>
        <w:t xml:space="preserve"> </w:t>
      </w:r>
      <w:r>
        <w:rPr>
          <w:sz w:val="20"/>
        </w:rPr>
        <w:t>a</w:t>
      </w:r>
      <w:r>
        <w:rPr>
          <w:spacing w:val="27"/>
          <w:sz w:val="20"/>
        </w:rPr>
        <w:t xml:space="preserve"> </w:t>
      </w:r>
      <w:r>
        <w:rPr>
          <w:sz w:val="20"/>
        </w:rPr>
        <w:t>necessidade</w:t>
      </w:r>
      <w:r>
        <w:rPr>
          <w:spacing w:val="24"/>
          <w:sz w:val="20"/>
        </w:rPr>
        <w:t xml:space="preserve"> </w:t>
      </w:r>
      <w:r>
        <w:rPr>
          <w:sz w:val="20"/>
        </w:rPr>
        <w:t>de</w:t>
      </w:r>
      <w:r>
        <w:rPr>
          <w:spacing w:val="24"/>
          <w:sz w:val="20"/>
        </w:rPr>
        <w:t xml:space="preserve"> </w:t>
      </w:r>
      <w:r>
        <w:rPr>
          <w:sz w:val="20"/>
        </w:rPr>
        <w:t>definir</w:t>
      </w:r>
      <w:r>
        <w:rPr>
          <w:spacing w:val="25"/>
          <w:sz w:val="20"/>
        </w:rPr>
        <w:t xml:space="preserve"> </w:t>
      </w:r>
      <w:r>
        <w:rPr>
          <w:sz w:val="20"/>
        </w:rPr>
        <w:t>e</w:t>
      </w:r>
      <w:r>
        <w:rPr>
          <w:spacing w:val="24"/>
          <w:sz w:val="20"/>
        </w:rPr>
        <w:t xml:space="preserve"> </w:t>
      </w:r>
      <w:r>
        <w:rPr>
          <w:sz w:val="20"/>
        </w:rPr>
        <w:t>identificar</w:t>
      </w:r>
      <w:r>
        <w:rPr>
          <w:spacing w:val="25"/>
          <w:sz w:val="20"/>
        </w:rPr>
        <w:t xml:space="preserve"> </w:t>
      </w:r>
      <w:r>
        <w:rPr>
          <w:sz w:val="20"/>
        </w:rPr>
        <w:t>os</w:t>
      </w:r>
      <w:r>
        <w:rPr>
          <w:spacing w:val="26"/>
          <w:sz w:val="20"/>
        </w:rPr>
        <w:t xml:space="preserve"> </w:t>
      </w:r>
      <w:r>
        <w:rPr>
          <w:sz w:val="20"/>
        </w:rPr>
        <w:t>meios</w:t>
      </w:r>
      <w:r>
        <w:rPr>
          <w:spacing w:val="24"/>
          <w:sz w:val="20"/>
        </w:rPr>
        <w:t xml:space="preserve"> </w:t>
      </w:r>
      <w:r>
        <w:rPr>
          <w:sz w:val="20"/>
        </w:rPr>
        <w:t>e</w:t>
      </w:r>
      <w:r>
        <w:rPr>
          <w:spacing w:val="24"/>
          <w:sz w:val="20"/>
        </w:rPr>
        <w:t xml:space="preserve"> </w:t>
      </w:r>
      <w:r>
        <w:rPr>
          <w:sz w:val="20"/>
        </w:rPr>
        <w:t>as</w:t>
      </w:r>
      <w:r>
        <w:rPr>
          <w:spacing w:val="24"/>
          <w:sz w:val="20"/>
        </w:rPr>
        <w:t xml:space="preserve"> </w:t>
      </w:r>
      <w:r>
        <w:rPr>
          <w:sz w:val="20"/>
        </w:rPr>
        <w:t>alternativas</w:t>
      </w:r>
      <w:r>
        <w:rPr>
          <w:spacing w:val="26"/>
          <w:sz w:val="20"/>
        </w:rPr>
        <w:t xml:space="preserve"> </w:t>
      </w:r>
      <w:r>
        <w:rPr>
          <w:sz w:val="20"/>
        </w:rPr>
        <w:t>que possam satisfazer suas necessidades, com destaque para os seguintes aspectos:</w:t>
      </w:r>
    </w:p>
    <w:p w:rsidR="007259F2" w:rsidRDefault="00E655B4">
      <w:pPr>
        <w:pStyle w:val="PargrafodaLista"/>
        <w:numPr>
          <w:ilvl w:val="0"/>
          <w:numId w:val="3"/>
        </w:numPr>
        <w:tabs>
          <w:tab w:val="left" w:pos="3338"/>
        </w:tabs>
        <w:rPr>
          <w:sz w:val="20"/>
        </w:rPr>
      </w:pPr>
      <w:r>
        <w:rPr>
          <w:sz w:val="20"/>
        </w:rPr>
        <w:t>a</w:t>
      </w:r>
      <w:r>
        <w:rPr>
          <w:spacing w:val="-6"/>
          <w:sz w:val="20"/>
        </w:rPr>
        <w:t xml:space="preserve"> </w:t>
      </w:r>
      <w:r>
        <w:rPr>
          <w:sz w:val="20"/>
        </w:rPr>
        <w:t>solução</w:t>
      </w:r>
      <w:r>
        <w:rPr>
          <w:spacing w:val="-4"/>
          <w:sz w:val="20"/>
        </w:rPr>
        <w:t xml:space="preserve"> </w:t>
      </w:r>
      <w:r>
        <w:rPr>
          <w:sz w:val="20"/>
        </w:rPr>
        <w:t>técnica</w:t>
      </w:r>
      <w:r>
        <w:rPr>
          <w:spacing w:val="-3"/>
          <w:sz w:val="20"/>
        </w:rPr>
        <w:t xml:space="preserve"> </w:t>
      </w:r>
      <w:r>
        <w:rPr>
          <w:sz w:val="20"/>
        </w:rPr>
        <w:t>mais</w:t>
      </w:r>
      <w:r>
        <w:rPr>
          <w:spacing w:val="-6"/>
          <w:sz w:val="20"/>
        </w:rPr>
        <w:t xml:space="preserve"> </w:t>
      </w:r>
      <w:r>
        <w:rPr>
          <w:spacing w:val="-2"/>
          <w:sz w:val="20"/>
        </w:rPr>
        <w:t>adequada;</w:t>
      </w:r>
    </w:p>
    <w:p w:rsidR="007259F2" w:rsidRDefault="00E655B4">
      <w:pPr>
        <w:pStyle w:val="PargrafodaLista"/>
        <w:numPr>
          <w:ilvl w:val="0"/>
          <w:numId w:val="3"/>
        </w:numPr>
        <w:tabs>
          <w:tab w:val="left" w:pos="3336"/>
        </w:tabs>
        <w:spacing w:line="229" w:lineRule="exact"/>
        <w:ind w:left="3336" w:hanging="358"/>
        <w:rPr>
          <w:sz w:val="20"/>
        </w:rPr>
      </w:pPr>
      <w:r>
        <w:rPr>
          <w:sz w:val="20"/>
        </w:rPr>
        <w:t>os</w:t>
      </w:r>
      <w:r>
        <w:rPr>
          <w:spacing w:val="-6"/>
          <w:sz w:val="20"/>
        </w:rPr>
        <w:t xml:space="preserve"> </w:t>
      </w:r>
      <w:r>
        <w:rPr>
          <w:sz w:val="20"/>
        </w:rPr>
        <w:t>requisitos</w:t>
      </w:r>
      <w:r>
        <w:rPr>
          <w:spacing w:val="-5"/>
          <w:sz w:val="20"/>
        </w:rPr>
        <w:t xml:space="preserve"> </w:t>
      </w:r>
      <w:r>
        <w:rPr>
          <w:sz w:val="20"/>
        </w:rPr>
        <w:t>técnicos</w:t>
      </w:r>
      <w:r>
        <w:rPr>
          <w:spacing w:val="-5"/>
          <w:sz w:val="20"/>
        </w:rPr>
        <w:t xml:space="preserve"> </w:t>
      </w:r>
      <w:r>
        <w:rPr>
          <w:sz w:val="20"/>
        </w:rPr>
        <w:t>aptos</w:t>
      </w:r>
      <w:r>
        <w:rPr>
          <w:spacing w:val="-5"/>
          <w:sz w:val="20"/>
        </w:rPr>
        <w:t xml:space="preserve"> </w:t>
      </w:r>
      <w:r>
        <w:rPr>
          <w:sz w:val="20"/>
        </w:rPr>
        <w:t>a</w:t>
      </w:r>
      <w:r>
        <w:rPr>
          <w:spacing w:val="-4"/>
          <w:sz w:val="20"/>
        </w:rPr>
        <w:t xml:space="preserve"> </w:t>
      </w:r>
      <w:r>
        <w:rPr>
          <w:sz w:val="20"/>
        </w:rPr>
        <w:t>concretizar</w:t>
      </w:r>
      <w:r>
        <w:rPr>
          <w:spacing w:val="-4"/>
          <w:sz w:val="20"/>
        </w:rPr>
        <w:t xml:space="preserve"> </w:t>
      </w:r>
      <w:r>
        <w:rPr>
          <w:sz w:val="20"/>
        </w:rPr>
        <w:t>a</w:t>
      </w:r>
      <w:r>
        <w:rPr>
          <w:spacing w:val="-5"/>
          <w:sz w:val="20"/>
        </w:rPr>
        <w:t xml:space="preserve"> </w:t>
      </w:r>
      <w:r>
        <w:rPr>
          <w:sz w:val="20"/>
        </w:rPr>
        <w:t>solução</w:t>
      </w:r>
      <w:r>
        <w:rPr>
          <w:spacing w:val="-3"/>
          <w:sz w:val="20"/>
        </w:rPr>
        <w:t xml:space="preserve"> </w:t>
      </w:r>
      <w:r>
        <w:rPr>
          <w:sz w:val="20"/>
        </w:rPr>
        <w:t>já</w:t>
      </w:r>
      <w:r>
        <w:rPr>
          <w:spacing w:val="-4"/>
          <w:sz w:val="20"/>
        </w:rPr>
        <w:t xml:space="preserve"> </w:t>
      </w:r>
      <w:r>
        <w:rPr>
          <w:spacing w:val="-2"/>
          <w:sz w:val="20"/>
        </w:rPr>
        <w:t>definida;</w:t>
      </w:r>
    </w:p>
    <w:p w:rsidR="007259F2" w:rsidRDefault="00E655B4">
      <w:pPr>
        <w:pStyle w:val="PargrafodaLista"/>
        <w:numPr>
          <w:ilvl w:val="0"/>
          <w:numId w:val="3"/>
        </w:numPr>
        <w:tabs>
          <w:tab w:val="left" w:pos="3338"/>
        </w:tabs>
        <w:spacing w:line="229" w:lineRule="exact"/>
        <w:rPr>
          <w:sz w:val="20"/>
        </w:rPr>
      </w:pPr>
      <w:r>
        <w:rPr>
          <w:sz w:val="20"/>
        </w:rPr>
        <w:t>a</w:t>
      </w:r>
      <w:r>
        <w:rPr>
          <w:spacing w:val="-5"/>
          <w:sz w:val="20"/>
        </w:rPr>
        <w:t xml:space="preserve"> </w:t>
      </w:r>
      <w:r>
        <w:rPr>
          <w:sz w:val="20"/>
        </w:rPr>
        <w:t>estrutura</w:t>
      </w:r>
      <w:r>
        <w:rPr>
          <w:spacing w:val="-4"/>
          <w:sz w:val="20"/>
        </w:rPr>
        <w:t xml:space="preserve"> </w:t>
      </w:r>
      <w:r>
        <w:rPr>
          <w:sz w:val="20"/>
        </w:rPr>
        <w:t>jurídica</w:t>
      </w:r>
      <w:r>
        <w:rPr>
          <w:spacing w:val="-5"/>
          <w:sz w:val="20"/>
        </w:rPr>
        <w:t xml:space="preserve"> </w:t>
      </w:r>
      <w:r>
        <w:rPr>
          <w:sz w:val="20"/>
        </w:rPr>
        <w:t>ou</w:t>
      </w:r>
      <w:r>
        <w:rPr>
          <w:spacing w:val="-5"/>
          <w:sz w:val="20"/>
        </w:rPr>
        <w:t xml:space="preserve"> </w:t>
      </w:r>
      <w:r>
        <w:rPr>
          <w:sz w:val="20"/>
        </w:rPr>
        <w:t>financeira</w:t>
      </w:r>
      <w:r>
        <w:rPr>
          <w:spacing w:val="-5"/>
          <w:sz w:val="20"/>
        </w:rPr>
        <w:t xml:space="preserve"> </w:t>
      </w:r>
      <w:r>
        <w:rPr>
          <w:sz w:val="20"/>
        </w:rPr>
        <w:t>do</w:t>
      </w:r>
      <w:r>
        <w:rPr>
          <w:spacing w:val="-3"/>
          <w:sz w:val="20"/>
        </w:rPr>
        <w:t xml:space="preserve"> </w:t>
      </w:r>
      <w:r>
        <w:rPr>
          <w:spacing w:val="-2"/>
          <w:sz w:val="20"/>
        </w:rPr>
        <w:t>contrato;</w:t>
      </w:r>
    </w:p>
    <w:p w:rsidR="007259F2" w:rsidRDefault="00E655B4">
      <w:pPr>
        <w:pStyle w:val="Corpodetexto"/>
        <w:spacing w:before="229"/>
        <w:ind w:right="422"/>
      </w:pPr>
      <w:r>
        <w:t>Conforme podemos observar, a adoção do diálogo competitivo tem como ponto de partida</w:t>
      </w:r>
      <w:r>
        <w:rPr>
          <w:spacing w:val="-7"/>
        </w:rPr>
        <w:t xml:space="preserve"> </w:t>
      </w:r>
      <w:r>
        <w:t>uma</w:t>
      </w:r>
      <w:r>
        <w:rPr>
          <w:spacing w:val="-6"/>
        </w:rPr>
        <w:t xml:space="preserve"> </w:t>
      </w:r>
      <w:r>
        <w:t>necessidade</w:t>
      </w:r>
      <w:r>
        <w:rPr>
          <w:spacing w:val="-3"/>
        </w:rPr>
        <w:t xml:space="preserve"> </w:t>
      </w:r>
      <w:r>
        <w:t>que</w:t>
      </w:r>
      <w:r>
        <w:rPr>
          <w:spacing w:val="-7"/>
        </w:rPr>
        <w:t xml:space="preserve"> </w:t>
      </w:r>
      <w:r>
        <w:t>não</w:t>
      </w:r>
      <w:r>
        <w:rPr>
          <w:spacing w:val="-1"/>
        </w:rPr>
        <w:t xml:space="preserve"> </w:t>
      </w:r>
      <w:r>
        <w:t>pode</w:t>
      </w:r>
      <w:r>
        <w:rPr>
          <w:spacing w:val="-10"/>
        </w:rPr>
        <w:t xml:space="preserve"> </w:t>
      </w:r>
      <w:r>
        <w:t>ser</w:t>
      </w:r>
      <w:r>
        <w:rPr>
          <w:spacing w:val="-4"/>
        </w:rPr>
        <w:t xml:space="preserve"> </w:t>
      </w:r>
      <w:r>
        <w:t>suprida</w:t>
      </w:r>
      <w:r>
        <w:rPr>
          <w:spacing w:val="-4"/>
        </w:rPr>
        <w:t xml:space="preserve"> </w:t>
      </w:r>
      <w:r>
        <w:t>dentro</w:t>
      </w:r>
      <w:r>
        <w:rPr>
          <w:spacing w:val="-4"/>
        </w:rPr>
        <w:t xml:space="preserve"> </w:t>
      </w:r>
      <w:r>
        <w:t>da</w:t>
      </w:r>
      <w:r>
        <w:rPr>
          <w:spacing w:val="-11"/>
        </w:rPr>
        <w:t xml:space="preserve"> </w:t>
      </w:r>
      <w:r>
        <w:t>Administração Pública,</w:t>
      </w:r>
      <w:r>
        <w:rPr>
          <w:spacing w:val="-1"/>
        </w:rPr>
        <w:t xml:space="preserve"> </w:t>
      </w:r>
      <w:r>
        <w:t>através</w:t>
      </w:r>
      <w:r>
        <w:rPr>
          <w:spacing w:val="-5"/>
        </w:rPr>
        <w:t xml:space="preserve"> </w:t>
      </w:r>
      <w:r>
        <w:t>de mecanismos e técnicas próprias.</w:t>
      </w:r>
    </w:p>
    <w:p w:rsidR="007259F2" w:rsidRDefault="00E655B4">
      <w:pPr>
        <w:pStyle w:val="Corpodetexto"/>
        <w:spacing w:before="1"/>
        <w:ind w:right="423"/>
      </w:pPr>
      <w:r>
        <w:t>É importante traçar um paralelo com a legislação internacional que deu origem ao instrumento, a fim de que se evidencie de que não se trata apenas de uma importação de nomenclatura, mas o instituto em si preserva suas características originárias, as quais estão reguladas no art. 26 da Diretiva 2014/24:</w:t>
      </w:r>
    </w:p>
    <w:p w:rsidR="007259F2" w:rsidRDefault="007259F2">
      <w:pPr>
        <w:pStyle w:val="Corpodetexto"/>
        <w:spacing w:before="1"/>
        <w:ind w:left="0" w:firstLine="0"/>
        <w:jc w:val="left"/>
      </w:pPr>
    </w:p>
    <w:p w:rsidR="007259F2" w:rsidRDefault="00E655B4">
      <w:pPr>
        <w:pStyle w:val="PargrafodaLista"/>
        <w:numPr>
          <w:ilvl w:val="0"/>
          <w:numId w:val="20"/>
        </w:numPr>
        <w:tabs>
          <w:tab w:val="left" w:pos="3179"/>
        </w:tabs>
        <w:ind w:left="2978" w:right="425" w:firstLine="0"/>
        <w:jc w:val="both"/>
        <w:rPr>
          <w:sz w:val="20"/>
        </w:rPr>
      </w:pPr>
      <w:r>
        <w:rPr>
          <w:sz w:val="20"/>
        </w:rPr>
        <w:t>Os</w:t>
      </w:r>
      <w:r>
        <w:rPr>
          <w:spacing w:val="-4"/>
          <w:sz w:val="20"/>
        </w:rPr>
        <w:t xml:space="preserve"> </w:t>
      </w:r>
      <w:r>
        <w:rPr>
          <w:sz w:val="20"/>
        </w:rPr>
        <w:t>Estados-Membros</w:t>
      </w:r>
      <w:r>
        <w:rPr>
          <w:spacing w:val="-3"/>
          <w:sz w:val="20"/>
        </w:rPr>
        <w:t xml:space="preserve"> </w:t>
      </w:r>
      <w:r>
        <w:rPr>
          <w:sz w:val="20"/>
        </w:rPr>
        <w:t>devem</w:t>
      </w:r>
      <w:r>
        <w:rPr>
          <w:spacing w:val="-5"/>
          <w:sz w:val="20"/>
        </w:rPr>
        <w:t xml:space="preserve"> </w:t>
      </w:r>
      <w:r>
        <w:rPr>
          <w:sz w:val="20"/>
        </w:rPr>
        <w:t>prever</w:t>
      </w:r>
      <w:r>
        <w:rPr>
          <w:spacing w:val="-2"/>
          <w:sz w:val="20"/>
        </w:rPr>
        <w:t xml:space="preserve"> </w:t>
      </w:r>
      <w:r>
        <w:rPr>
          <w:sz w:val="20"/>
        </w:rPr>
        <w:t>a</w:t>
      </w:r>
      <w:r>
        <w:rPr>
          <w:spacing w:val="-3"/>
          <w:sz w:val="20"/>
        </w:rPr>
        <w:t xml:space="preserve"> </w:t>
      </w:r>
      <w:r>
        <w:rPr>
          <w:sz w:val="20"/>
        </w:rPr>
        <w:t>possibilidade</w:t>
      </w:r>
      <w:r>
        <w:rPr>
          <w:spacing w:val="-3"/>
          <w:sz w:val="20"/>
        </w:rPr>
        <w:t xml:space="preserve"> </w:t>
      </w:r>
      <w:r>
        <w:rPr>
          <w:sz w:val="20"/>
        </w:rPr>
        <w:t>de</w:t>
      </w:r>
      <w:r>
        <w:rPr>
          <w:spacing w:val="-3"/>
          <w:sz w:val="20"/>
        </w:rPr>
        <w:t xml:space="preserve"> </w:t>
      </w:r>
      <w:r>
        <w:rPr>
          <w:sz w:val="20"/>
        </w:rPr>
        <w:t>as</w:t>
      </w:r>
      <w:r>
        <w:rPr>
          <w:spacing w:val="-1"/>
          <w:sz w:val="20"/>
        </w:rPr>
        <w:t xml:space="preserve"> </w:t>
      </w:r>
      <w:r>
        <w:rPr>
          <w:sz w:val="20"/>
        </w:rPr>
        <w:t>autoridades</w:t>
      </w:r>
      <w:r>
        <w:rPr>
          <w:spacing w:val="-4"/>
          <w:sz w:val="20"/>
        </w:rPr>
        <w:t xml:space="preserve"> </w:t>
      </w:r>
      <w:r>
        <w:rPr>
          <w:sz w:val="20"/>
        </w:rPr>
        <w:t>adjudicantes utilizarem um procedimento concorrencial com negociação ou um diálogo concorrencial nas seguintes situações:</w:t>
      </w:r>
    </w:p>
    <w:p w:rsidR="007259F2" w:rsidRDefault="00E655B4">
      <w:pPr>
        <w:pStyle w:val="PargrafodaLista"/>
        <w:numPr>
          <w:ilvl w:val="0"/>
          <w:numId w:val="18"/>
        </w:numPr>
        <w:tabs>
          <w:tab w:val="left" w:pos="2978"/>
        </w:tabs>
        <w:spacing w:before="119"/>
        <w:ind w:right="567"/>
        <w:rPr>
          <w:sz w:val="20"/>
        </w:rPr>
      </w:pPr>
      <w:r>
        <w:rPr>
          <w:sz w:val="20"/>
        </w:rPr>
        <w:t>No</w:t>
      </w:r>
      <w:r>
        <w:rPr>
          <w:spacing w:val="29"/>
          <w:sz w:val="20"/>
        </w:rPr>
        <w:t xml:space="preserve"> </w:t>
      </w:r>
      <w:r>
        <w:rPr>
          <w:sz w:val="20"/>
        </w:rPr>
        <w:t>que</w:t>
      </w:r>
      <w:r>
        <w:rPr>
          <w:spacing w:val="28"/>
          <w:sz w:val="20"/>
        </w:rPr>
        <w:t xml:space="preserve"> </w:t>
      </w:r>
      <w:r>
        <w:rPr>
          <w:sz w:val="20"/>
        </w:rPr>
        <w:t>diz</w:t>
      </w:r>
      <w:r>
        <w:rPr>
          <w:spacing w:val="28"/>
          <w:sz w:val="20"/>
        </w:rPr>
        <w:t xml:space="preserve"> </w:t>
      </w:r>
      <w:r>
        <w:rPr>
          <w:sz w:val="20"/>
        </w:rPr>
        <w:t>respeito</w:t>
      </w:r>
      <w:r>
        <w:rPr>
          <w:spacing w:val="31"/>
          <w:sz w:val="20"/>
        </w:rPr>
        <w:t xml:space="preserve"> </w:t>
      </w:r>
      <w:r>
        <w:rPr>
          <w:sz w:val="20"/>
        </w:rPr>
        <w:t>às</w:t>
      </w:r>
      <w:r>
        <w:rPr>
          <w:spacing w:val="28"/>
          <w:sz w:val="20"/>
        </w:rPr>
        <w:t xml:space="preserve"> </w:t>
      </w:r>
      <w:r>
        <w:rPr>
          <w:sz w:val="20"/>
        </w:rPr>
        <w:t>obras,</w:t>
      </w:r>
      <w:r>
        <w:rPr>
          <w:spacing w:val="28"/>
          <w:sz w:val="20"/>
        </w:rPr>
        <w:t xml:space="preserve"> </w:t>
      </w:r>
      <w:r>
        <w:rPr>
          <w:sz w:val="20"/>
        </w:rPr>
        <w:t>fornecimentos</w:t>
      </w:r>
      <w:r>
        <w:rPr>
          <w:spacing w:val="27"/>
          <w:sz w:val="20"/>
        </w:rPr>
        <w:t xml:space="preserve"> </w:t>
      </w:r>
      <w:r>
        <w:rPr>
          <w:sz w:val="20"/>
        </w:rPr>
        <w:t>ou</w:t>
      </w:r>
      <w:r>
        <w:rPr>
          <w:spacing w:val="29"/>
          <w:sz w:val="20"/>
        </w:rPr>
        <w:t xml:space="preserve"> </w:t>
      </w:r>
      <w:r>
        <w:rPr>
          <w:sz w:val="20"/>
        </w:rPr>
        <w:t>serviços</w:t>
      </w:r>
      <w:r>
        <w:rPr>
          <w:spacing w:val="30"/>
          <w:sz w:val="20"/>
        </w:rPr>
        <w:t xml:space="preserve"> </w:t>
      </w:r>
      <w:r>
        <w:rPr>
          <w:sz w:val="20"/>
        </w:rPr>
        <w:t>que</w:t>
      </w:r>
      <w:r>
        <w:rPr>
          <w:spacing w:val="28"/>
          <w:sz w:val="20"/>
        </w:rPr>
        <w:t xml:space="preserve"> </w:t>
      </w:r>
      <w:r>
        <w:rPr>
          <w:sz w:val="20"/>
        </w:rPr>
        <w:t>preencham</w:t>
      </w:r>
      <w:r>
        <w:rPr>
          <w:spacing w:val="29"/>
          <w:sz w:val="20"/>
        </w:rPr>
        <w:t xml:space="preserve"> </w:t>
      </w:r>
      <w:r>
        <w:rPr>
          <w:sz w:val="20"/>
        </w:rPr>
        <w:t>um</w:t>
      </w:r>
      <w:r>
        <w:rPr>
          <w:spacing w:val="27"/>
          <w:sz w:val="20"/>
        </w:rPr>
        <w:t xml:space="preserve"> </w:t>
      </w:r>
      <w:r>
        <w:rPr>
          <w:sz w:val="20"/>
        </w:rPr>
        <w:t>ou mais dos seguintes critérios:</w:t>
      </w:r>
    </w:p>
    <w:p w:rsidR="007259F2" w:rsidRDefault="00E655B4">
      <w:pPr>
        <w:pStyle w:val="PargrafodaLista"/>
        <w:numPr>
          <w:ilvl w:val="1"/>
          <w:numId w:val="18"/>
        </w:numPr>
        <w:tabs>
          <w:tab w:val="left" w:pos="2978"/>
        </w:tabs>
        <w:spacing w:before="1"/>
        <w:ind w:right="566"/>
        <w:rPr>
          <w:sz w:val="20"/>
        </w:rPr>
      </w:pPr>
      <w:r>
        <w:rPr>
          <w:sz w:val="20"/>
        </w:rPr>
        <w:t>as</w:t>
      </w:r>
      <w:r>
        <w:rPr>
          <w:spacing w:val="70"/>
          <w:sz w:val="20"/>
        </w:rPr>
        <w:t xml:space="preserve"> </w:t>
      </w:r>
      <w:r>
        <w:rPr>
          <w:sz w:val="20"/>
        </w:rPr>
        <w:t>necessidades</w:t>
      </w:r>
      <w:r>
        <w:rPr>
          <w:spacing w:val="70"/>
          <w:sz w:val="20"/>
        </w:rPr>
        <w:t xml:space="preserve"> </w:t>
      </w:r>
      <w:r>
        <w:rPr>
          <w:sz w:val="20"/>
        </w:rPr>
        <w:t>da</w:t>
      </w:r>
      <w:r>
        <w:rPr>
          <w:spacing w:val="70"/>
          <w:sz w:val="20"/>
        </w:rPr>
        <w:t xml:space="preserve"> </w:t>
      </w:r>
      <w:r>
        <w:rPr>
          <w:sz w:val="20"/>
        </w:rPr>
        <w:t>autoridade</w:t>
      </w:r>
      <w:r>
        <w:rPr>
          <w:spacing w:val="70"/>
          <w:sz w:val="20"/>
        </w:rPr>
        <w:t xml:space="preserve"> </w:t>
      </w:r>
      <w:r>
        <w:rPr>
          <w:sz w:val="20"/>
        </w:rPr>
        <w:t>adjudicante</w:t>
      </w:r>
      <w:r>
        <w:rPr>
          <w:spacing w:val="70"/>
          <w:sz w:val="20"/>
        </w:rPr>
        <w:t xml:space="preserve"> </w:t>
      </w:r>
      <w:r>
        <w:rPr>
          <w:sz w:val="20"/>
        </w:rPr>
        <w:t>não</w:t>
      </w:r>
      <w:r>
        <w:rPr>
          <w:spacing w:val="72"/>
          <w:sz w:val="20"/>
        </w:rPr>
        <w:t xml:space="preserve"> </w:t>
      </w:r>
      <w:r>
        <w:rPr>
          <w:sz w:val="20"/>
        </w:rPr>
        <w:t>podem</w:t>
      </w:r>
      <w:r>
        <w:rPr>
          <w:spacing w:val="69"/>
          <w:sz w:val="20"/>
        </w:rPr>
        <w:t xml:space="preserve"> </w:t>
      </w:r>
      <w:r>
        <w:rPr>
          <w:sz w:val="20"/>
        </w:rPr>
        <w:t>ser</w:t>
      </w:r>
      <w:r>
        <w:rPr>
          <w:spacing w:val="71"/>
          <w:sz w:val="20"/>
        </w:rPr>
        <w:t xml:space="preserve"> </w:t>
      </w:r>
      <w:r>
        <w:rPr>
          <w:sz w:val="20"/>
        </w:rPr>
        <w:t>satisfeitas</w:t>
      </w:r>
      <w:r>
        <w:rPr>
          <w:spacing w:val="70"/>
          <w:sz w:val="20"/>
        </w:rPr>
        <w:t xml:space="preserve"> </w:t>
      </w:r>
      <w:r>
        <w:rPr>
          <w:sz w:val="20"/>
        </w:rPr>
        <w:t>sem</w:t>
      </w:r>
      <w:r>
        <w:rPr>
          <w:spacing w:val="69"/>
          <w:sz w:val="20"/>
        </w:rPr>
        <w:t xml:space="preserve"> </w:t>
      </w:r>
      <w:r>
        <w:rPr>
          <w:sz w:val="20"/>
        </w:rPr>
        <w:t>a adaptação de soluções facilmente disponíveis,</w:t>
      </w:r>
    </w:p>
    <w:p w:rsidR="007259F2" w:rsidRDefault="00E655B4">
      <w:pPr>
        <w:pStyle w:val="PargrafodaLista"/>
        <w:numPr>
          <w:ilvl w:val="1"/>
          <w:numId w:val="18"/>
        </w:numPr>
        <w:tabs>
          <w:tab w:val="left" w:pos="2978"/>
        </w:tabs>
        <w:spacing w:before="1"/>
        <w:ind w:hanging="706"/>
        <w:rPr>
          <w:sz w:val="20"/>
        </w:rPr>
      </w:pPr>
      <w:r>
        <w:rPr>
          <w:sz w:val="20"/>
        </w:rPr>
        <w:t>os</w:t>
      </w:r>
      <w:r>
        <w:rPr>
          <w:spacing w:val="-13"/>
          <w:sz w:val="20"/>
        </w:rPr>
        <w:t xml:space="preserve"> </w:t>
      </w:r>
      <w:r>
        <w:rPr>
          <w:sz w:val="20"/>
        </w:rPr>
        <w:t>produtos</w:t>
      </w:r>
      <w:r>
        <w:rPr>
          <w:spacing w:val="-11"/>
          <w:sz w:val="20"/>
        </w:rPr>
        <w:t xml:space="preserve"> </w:t>
      </w:r>
      <w:r>
        <w:rPr>
          <w:sz w:val="20"/>
        </w:rPr>
        <w:t>ou</w:t>
      </w:r>
      <w:r>
        <w:rPr>
          <w:spacing w:val="-10"/>
          <w:sz w:val="20"/>
        </w:rPr>
        <w:t xml:space="preserve"> </w:t>
      </w:r>
      <w:r>
        <w:rPr>
          <w:sz w:val="20"/>
        </w:rPr>
        <w:t>serviços</w:t>
      </w:r>
      <w:r>
        <w:rPr>
          <w:spacing w:val="-10"/>
          <w:sz w:val="20"/>
        </w:rPr>
        <w:t xml:space="preserve"> </w:t>
      </w:r>
      <w:r>
        <w:rPr>
          <w:sz w:val="20"/>
        </w:rPr>
        <w:t>incluem</w:t>
      </w:r>
      <w:r>
        <w:rPr>
          <w:spacing w:val="-12"/>
          <w:sz w:val="20"/>
        </w:rPr>
        <w:t xml:space="preserve"> </w:t>
      </w:r>
      <w:r>
        <w:rPr>
          <w:sz w:val="20"/>
        </w:rPr>
        <w:t>a</w:t>
      </w:r>
      <w:r>
        <w:rPr>
          <w:spacing w:val="-11"/>
          <w:sz w:val="20"/>
        </w:rPr>
        <w:t xml:space="preserve"> </w:t>
      </w:r>
      <w:r>
        <w:rPr>
          <w:sz w:val="20"/>
        </w:rPr>
        <w:t>conceção</w:t>
      </w:r>
      <w:r>
        <w:rPr>
          <w:spacing w:val="-12"/>
          <w:sz w:val="20"/>
        </w:rPr>
        <w:t xml:space="preserve"> </w:t>
      </w:r>
      <w:r>
        <w:rPr>
          <w:sz w:val="20"/>
        </w:rPr>
        <w:t>ou</w:t>
      </w:r>
      <w:r>
        <w:rPr>
          <w:spacing w:val="-12"/>
          <w:sz w:val="20"/>
        </w:rPr>
        <w:t xml:space="preserve"> </w:t>
      </w:r>
      <w:r>
        <w:rPr>
          <w:sz w:val="20"/>
        </w:rPr>
        <w:t>soluções</w:t>
      </w:r>
      <w:r>
        <w:rPr>
          <w:spacing w:val="-9"/>
          <w:sz w:val="20"/>
        </w:rPr>
        <w:t xml:space="preserve"> </w:t>
      </w:r>
      <w:r>
        <w:rPr>
          <w:spacing w:val="-2"/>
          <w:sz w:val="20"/>
        </w:rPr>
        <w:t>inovadoras,</w:t>
      </w:r>
    </w:p>
    <w:p w:rsidR="007259F2" w:rsidRDefault="00E655B4">
      <w:pPr>
        <w:pStyle w:val="PargrafodaLista"/>
        <w:numPr>
          <w:ilvl w:val="1"/>
          <w:numId w:val="18"/>
        </w:numPr>
        <w:tabs>
          <w:tab w:val="left" w:pos="2974"/>
          <w:tab w:val="left" w:pos="2978"/>
        </w:tabs>
        <w:ind w:right="567"/>
        <w:jc w:val="both"/>
        <w:rPr>
          <w:sz w:val="20"/>
        </w:rPr>
      </w:pPr>
      <w:r>
        <w:rPr>
          <w:sz w:val="20"/>
        </w:rPr>
        <w:t>o contrato não pode ser adjudicado sem negociações prévias devido a circunstâncias específicas relacionadas com a natureza, a complexidade ou a montagem jurídica e financeira ou devido aos riscos a elas associadas,</w:t>
      </w:r>
    </w:p>
    <w:p w:rsidR="007259F2" w:rsidRDefault="00E655B4">
      <w:pPr>
        <w:pStyle w:val="PargrafodaLista"/>
        <w:numPr>
          <w:ilvl w:val="1"/>
          <w:numId w:val="18"/>
        </w:numPr>
        <w:tabs>
          <w:tab w:val="left" w:pos="2977"/>
        </w:tabs>
        <w:spacing w:before="2"/>
        <w:ind w:left="2977" w:hanging="707"/>
        <w:jc w:val="both"/>
        <w:rPr>
          <w:sz w:val="20"/>
        </w:rPr>
      </w:pPr>
      <w:r>
        <w:rPr>
          <w:sz w:val="20"/>
        </w:rPr>
        <w:t>as</w:t>
      </w:r>
      <w:r>
        <w:rPr>
          <w:spacing w:val="21"/>
          <w:sz w:val="20"/>
        </w:rPr>
        <w:t xml:space="preserve"> </w:t>
      </w:r>
      <w:r>
        <w:rPr>
          <w:sz w:val="20"/>
        </w:rPr>
        <w:t>especificações</w:t>
      </w:r>
      <w:r>
        <w:rPr>
          <w:spacing w:val="22"/>
          <w:sz w:val="20"/>
        </w:rPr>
        <w:t xml:space="preserve"> </w:t>
      </w:r>
      <w:r>
        <w:rPr>
          <w:sz w:val="20"/>
        </w:rPr>
        <w:t>técnicas</w:t>
      </w:r>
      <w:r>
        <w:rPr>
          <w:spacing w:val="23"/>
          <w:sz w:val="20"/>
        </w:rPr>
        <w:t xml:space="preserve"> </w:t>
      </w:r>
      <w:r>
        <w:rPr>
          <w:sz w:val="20"/>
        </w:rPr>
        <w:t>não</w:t>
      </w:r>
      <w:r>
        <w:rPr>
          <w:spacing w:val="22"/>
          <w:sz w:val="20"/>
        </w:rPr>
        <w:t xml:space="preserve"> </w:t>
      </w:r>
      <w:r>
        <w:rPr>
          <w:sz w:val="20"/>
        </w:rPr>
        <w:t>podem</w:t>
      </w:r>
      <w:r>
        <w:rPr>
          <w:spacing w:val="20"/>
          <w:sz w:val="20"/>
        </w:rPr>
        <w:t xml:space="preserve"> </w:t>
      </w:r>
      <w:r>
        <w:rPr>
          <w:sz w:val="20"/>
        </w:rPr>
        <w:t>ser</w:t>
      </w:r>
      <w:r>
        <w:rPr>
          <w:spacing w:val="22"/>
          <w:sz w:val="20"/>
        </w:rPr>
        <w:t xml:space="preserve"> </w:t>
      </w:r>
      <w:r>
        <w:rPr>
          <w:sz w:val="20"/>
        </w:rPr>
        <w:t>definidas</w:t>
      </w:r>
      <w:r>
        <w:rPr>
          <w:spacing w:val="23"/>
          <w:sz w:val="20"/>
        </w:rPr>
        <w:t xml:space="preserve"> </w:t>
      </w:r>
      <w:r>
        <w:rPr>
          <w:sz w:val="20"/>
        </w:rPr>
        <w:t>com</w:t>
      </w:r>
      <w:r>
        <w:rPr>
          <w:spacing w:val="20"/>
          <w:sz w:val="20"/>
        </w:rPr>
        <w:t xml:space="preserve"> </w:t>
      </w:r>
      <w:r>
        <w:rPr>
          <w:sz w:val="20"/>
        </w:rPr>
        <w:t>precisão</w:t>
      </w:r>
      <w:r>
        <w:rPr>
          <w:spacing w:val="23"/>
          <w:sz w:val="20"/>
        </w:rPr>
        <w:t xml:space="preserve"> </w:t>
      </w:r>
      <w:r>
        <w:rPr>
          <w:sz w:val="20"/>
        </w:rPr>
        <w:t>suficiente</w:t>
      </w:r>
      <w:r>
        <w:rPr>
          <w:spacing w:val="24"/>
          <w:sz w:val="20"/>
        </w:rPr>
        <w:t xml:space="preserve"> </w:t>
      </w:r>
      <w:r>
        <w:rPr>
          <w:spacing w:val="-4"/>
          <w:sz w:val="20"/>
        </w:rPr>
        <w:t>pela</w:t>
      </w:r>
    </w:p>
    <w:p w:rsidR="007259F2" w:rsidRDefault="007259F2">
      <w:pPr>
        <w:pStyle w:val="PargrafodaLista"/>
        <w:rPr>
          <w:sz w:val="20"/>
        </w:rPr>
        <w:sectPr w:rsidR="007259F2">
          <w:pgSz w:w="11910" w:h="16840"/>
          <w:pgMar w:top="1600" w:right="708" w:bottom="1020" w:left="992" w:header="0" w:footer="820" w:gutter="0"/>
          <w:cols w:space="720"/>
        </w:sectPr>
      </w:pPr>
    </w:p>
    <w:p w:rsidR="007259F2" w:rsidRDefault="00E655B4">
      <w:pPr>
        <w:spacing w:before="77"/>
        <w:ind w:left="2978" w:right="567"/>
        <w:jc w:val="both"/>
        <w:rPr>
          <w:sz w:val="20"/>
        </w:rPr>
      </w:pPr>
      <w:r>
        <w:rPr>
          <w:sz w:val="20"/>
        </w:rPr>
        <w:lastRenderedPageBreak/>
        <w:t>autoridade</w:t>
      </w:r>
      <w:r>
        <w:rPr>
          <w:spacing w:val="-5"/>
          <w:sz w:val="20"/>
        </w:rPr>
        <w:t xml:space="preserve"> </w:t>
      </w:r>
      <w:r>
        <w:rPr>
          <w:sz w:val="20"/>
        </w:rPr>
        <w:t>adjudicante</w:t>
      </w:r>
      <w:r>
        <w:rPr>
          <w:spacing w:val="-5"/>
          <w:sz w:val="20"/>
        </w:rPr>
        <w:t xml:space="preserve"> </w:t>
      </w:r>
      <w:r>
        <w:rPr>
          <w:sz w:val="20"/>
        </w:rPr>
        <w:t>por</w:t>
      </w:r>
      <w:r>
        <w:rPr>
          <w:spacing w:val="-5"/>
          <w:sz w:val="20"/>
        </w:rPr>
        <w:t xml:space="preserve"> </w:t>
      </w:r>
      <w:r>
        <w:rPr>
          <w:sz w:val="20"/>
        </w:rPr>
        <w:t>referência</w:t>
      </w:r>
      <w:r>
        <w:rPr>
          <w:spacing w:val="-5"/>
          <w:sz w:val="20"/>
        </w:rPr>
        <w:t xml:space="preserve"> </w:t>
      </w:r>
      <w:r>
        <w:rPr>
          <w:sz w:val="20"/>
        </w:rPr>
        <w:t>a</w:t>
      </w:r>
      <w:r>
        <w:rPr>
          <w:spacing w:val="-5"/>
          <w:sz w:val="20"/>
        </w:rPr>
        <w:t xml:space="preserve"> </w:t>
      </w:r>
      <w:r>
        <w:rPr>
          <w:sz w:val="20"/>
        </w:rPr>
        <w:t>uma</w:t>
      </w:r>
      <w:r>
        <w:rPr>
          <w:spacing w:val="-3"/>
          <w:sz w:val="20"/>
        </w:rPr>
        <w:t xml:space="preserve"> </w:t>
      </w:r>
      <w:r>
        <w:rPr>
          <w:sz w:val="20"/>
        </w:rPr>
        <w:t>norma,</w:t>
      </w:r>
      <w:r>
        <w:rPr>
          <w:spacing w:val="-2"/>
          <w:sz w:val="20"/>
        </w:rPr>
        <w:t xml:space="preserve"> </w:t>
      </w:r>
      <w:r>
        <w:rPr>
          <w:sz w:val="20"/>
        </w:rPr>
        <w:t>homologação</w:t>
      </w:r>
      <w:r>
        <w:rPr>
          <w:spacing w:val="-4"/>
          <w:sz w:val="20"/>
        </w:rPr>
        <w:t xml:space="preserve"> </w:t>
      </w:r>
      <w:r>
        <w:rPr>
          <w:sz w:val="20"/>
        </w:rPr>
        <w:t>técnica</w:t>
      </w:r>
      <w:r>
        <w:rPr>
          <w:spacing w:val="-5"/>
          <w:sz w:val="20"/>
        </w:rPr>
        <w:t xml:space="preserve"> </w:t>
      </w:r>
      <w:r>
        <w:rPr>
          <w:sz w:val="20"/>
        </w:rPr>
        <w:t>europeia, especificações técnicas comuns ou referência técnica, na aceção dos pontos 2 a 5 do Anexo VII;</w:t>
      </w:r>
    </w:p>
    <w:p w:rsidR="007259F2" w:rsidRDefault="00E655B4">
      <w:pPr>
        <w:pStyle w:val="Corpodetexto"/>
        <w:spacing w:before="227"/>
        <w:ind w:right="421"/>
      </w:pPr>
      <w:r>
        <w:t>Revolvendo aos elementos dispostos no art. 32, a verificação das condições de sua utilização,</w:t>
      </w:r>
      <w:r>
        <w:rPr>
          <w:spacing w:val="-9"/>
        </w:rPr>
        <w:t xml:space="preserve"> </w:t>
      </w:r>
      <w:r>
        <w:t>portanto,</w:t>
      </w:r>
      <w:r>
        <w:rPr>
          <w:spacing w:val="-6"/>
        </w:rPr>
        <w:t xml:space="preserve"> </w:t>
      </w:r>
      <w:r>
        <w:t>demandam</w:t>
      </w:r>
      <w:r>
        <w:rPr>
          <w:spacing w:val="-14"/>
        </w:rPr>
        <w:t xml:space="preserve"> </w:t>
      </w:r>
      <w:r>
        <w:t>uma</w:t>
      </w:r>
      <w:r>
        <w:rPr>
          <w:spacing w:val="-10"/>
        </w:rPr>
        <w:t xml:space="preserve"> </w:t>
      </w:r>
      <w:r>
        <w:t>análise</w:t>
      </w:r>
      <w:r>
        <w:rPr>
          <w:spacing w:val="-10"/>
        </w:rPr>
        <w:t xml:space="preserve"> </w:t>
      </w:r>
      <w:r>
        <w:t>criteriosa</w:t>
      </w:r>
      <w:r>
        <w:rPr>
          <w:spacing w:val="-9"/>
        </w:rPr>
        <w:t xml:space="preserve"> </w:t>
      </w:r>
      <w:r>
        <w:t>da</w:t>
      </w:r>
      <w:r>
        <w:rPr>
          <w:spacing w:val="-10"/>
        </w:rPr>
        <w:t xml:space="preserve"> </w:t>
      </w:r>
      <w:r>
        <w:t>Administração,</w:t>
      </w:r>
      <w:r>
        <w:rPr>
          <w:spacing w:val="-6"/>
        </w:rPr>
        <w:t xml:space="preserve"> </w:t>
      </w:r>
      <w:r>
        <w:t>avaliando</w:t>
      </w:r>
      <w:r>
        <w:rPr>
          <w:spacing w:val="-3"/>
        </w:rPr>
        <w:t xml:space="preserve"> </w:t>
      </w:r>
      <w:r>
        <w:t>caso</w:t>
      </w:r>
      <w:r>
        <w:rPr>
          <w:spacing w:val="-4"/>
        </w:rPr>
        <w:t xml:space="preserve"> </w:t>
      </w:r>
      <w:r>
        <w:t>a</w:t>
      </w:r>
      <w:r>
        <w:rPr>
          <w:spacing w:val="-15"/>
        </w:rPr>
        <w:t xml:space="preserve"> </w:t>
      </w:r>
      <w:r>
        <w:t>caso e exarando decisão fundamentada, a fim de evidenciar a necessidade de sua utilização.</w:t>
      </w:r>
    </w:p>
    <w:p w:rsidR="007259F2" w:rsidRDefault="00E655B4">
      <w:pPr>
        <w:pStyle w:val="Corpodetexto"/>
        <w:spacing w:before="1"/>
        <w:ind w:right="422"/>
      </w:pPr>
      <w:r>
        <w:t>Nesta</w:t>
      </w:r>
      <w:r>
        <w:rPr>
          <w:spacing w:val="-15"/>
        </w:rPr>
        <w:t xml:space="preserve"> </w:t>
      </w:r>
      <w:r>
        <w:t>toada,</w:t>
      </w:r>
      <w:r>
        <w:rPr>
          <w:spacing w:val="-15"/>
        </w:rPr>
        <w:t xml:space="preserve"> </w:t>
      </w:r>
      <w:r>
        <w:t>o</w:t>
      </w:r>
      <w:r>
        <w:rPr>
          <w:spacing w:val="-15"/>
        </w:rPr>
        <w:t xml:space="preserve"> </w:t>
      </w:r>
      <w:r>
        <w:t>inciso</w:t>
      </w:r>
      <w:r>
        <w:rPr>
          <w:spacing w:val="-15"/>
        </w:rPr>
        <w:t xml:space="preserve"> </w:t>
      </w:r>
      <w:r>
        <w:t>“a”,</w:t>
      </w:r>
      <w:r>
        <w:rPr>
          <w:spacing w:val="-15"/>
        </w:rPr>
        <w:t xml:space="preserve"> </w:t>
      </w:r>
      <w:r>
        <w:t>do</w:t>
      </w:r>
      <w:r>
        <w:rPr>
          <w:spacing w:val="-15"/>
        </w:rPr>
        <w:t xml:space="preserve"> </w:t>
      </w:r>
      <w:r>
        <w:t>art.</w:t>
      </w:r>
      <w:r>
        <w:rPr>
          <w:spacing w:val="-15"/>
        </w:rPr>
        <w:t xml:space="preserve"> </w:t>
      </w:r>
      <w:r>
        <w:t>32,</w:t>
      </w:r>
      <w:r>
        <w:rPr>
          <w:spacing w:val="-15"/>
        </w:rPr>
        <w:t xml:space="preserve"> </w:t>
      </w:r>
      <w:r>
        <w:t>traz</w:t>
      </w:r>
      <w:r>
        <w:rPr>
          <w:spacing w:val="-15"/>
        </w:rPr>
        <w:t xml:space="preserve"> </w:t>
      </w:r>
      <w:r>
        <w:t>a</w:t>
      </w:r>
      <w:r>
        <w:rPr>
          <w:spacing w:val="-15"/>
        </w:rPr>
        <w:t xml:space="preserve"> </w:t>
      </w:r>
      <w:r>
        <w:t>hipótese</w:t>
      </w:r>
      <w:r>
        <w:rPr>
          <w:spacing w:val="-15"/>
        </w:rPr>
        <w:t xml:space="preserve"> </w:t>
      </w:r>
      <w:r>
        <w:t>de</w:t>
      </w:r>
      <w:r>
        <w:rPr>
          <w:spacing w:val="-15"/>
        </w:rPr>
        <w:t xml:space="preserve"> </w:t>
      </w:r>
      <w:r>
        <w:t>contratação</w:t>
      </w:r>
      <w:r>
        <w:rPr>
          <w:spacing w:val="-12"/>
        </w:rPr>
        <w:t xml:space="preserve"> </w:t>
      </w:r>
      <w:r>
        <w:t>que</w:t>
      </w:r>
      <w:r>
        <w:rPr>
          <w:spacing w:val="-15"/>
        </w:rPr>
        <w:t xml:space="preserve"> </w:t>
      </w:r>
      <w:r>
        <w:t>tenha</w:t>
      </w:r>
      <w:r>
        <w:rPr>
          <w:spacing w:val="-13"/>
        </w:rPr>
        <w:t xml:space="preserve"> </w:t>
      </w:r>
      <w:r>
        <w:t>por</w:t>
      </w:r>
      <w:r>
        <w:rPr>
          <w:spacing w:val="-15"/>
        </w:rPr>
        <w:t xml:space="preserve"> </w:t>
      </w:r>
      <w:r>
        <w:t>objeto a inovação tecnológica ou técnica, que se fundamenta na esteira do ineditismo tecnológico, da qual a Administração dependa ou queira implementar para fomento ou manutenção da atualidade dos serviços por ela fornecidos à população.</w:t>
      </w:r>
    </w:p>
    <w:p w:rsidR="007259F2" w:rsidRDefault="00E655B4">
      <w:pPr>
        <w:pStyle w:val="Corpodetexto"/>
        <w:ind w:right="423"/>
      </w:pPr>
      <w:r>
        <w:t>Na contratação com fundamento no inciso “b” e “c”, por suas vezes, podemos vislumbrar</w:t>
      </w:r>
      <w:r>
        <w:rPr>
          <w:spacing w:val="-4"/>
        </w:rPr>
        <w:t xml:space="preserve"> </w:t>
      </w:r>
      <w:r>
        <w:t>que</w:t>
      </w:r>
      <w:r>
        <w:rPr>
          <w:spacing w:val="-4"/>
        </w:rPr>
        <w:t xml:space="preserve"> </w:t>
      </w:r>
      <w:r>
        <w:t>a</w:t>
      </w:r>
      <w:r>
        <w:rPr>
          <w:spacing w:val="-7"/>
        </w:rPr>
        <w:t xml:space="preserve"> </w:t>
      </w:r>
      <w:r>
        <w:t>Administração</w:t>
      </w:r>
      <w:r>
        <w:rPr>
          <w:spacing w:val="-2"/>
        </w:rPr>
        <w:t xml:space="preserve"> </w:t>
      </w:r>
      <w:r>
        <w:t>possui</w:t>
      </w:r>
      <w:r>
        <w:rPr>
          <w:spacing w:val="-10"/>
        </w:rPr>
        <w:t xml:space="preserve"> </w:t>
      </w:r>
      <w:r>
        <w:t>certo conhecimento</w:t>
      </w:r>
      <w:r>
        <w:rPr>
          <w:spacing w:val="-2"/>
        </w:rPr>
        <w:t xml:space="preserve"> </w:t>
      </w:r>
      <w:r>
        <w:t>de</w:t>
      </w:r>
      <w:r>
        <w:rPr>
          <w:spacing w:val="-7"/>
        </w:rPr>
        <w:t xml:space="preserve"> </w:t>
      </w:r>
      <w:r>
        <w:t>suas</w:t>
      </w:r>
      <w:r>
        <w:rPr>
          <w:spacing w:val="-5"/>
        </w:rPr>
        <w:t xml:space="preserve"> </w:t>
      </w:r>
      <w:r>
        <w:t>necessidades, mas</w:t>
      </w:r>
      <w:r>
        <w:rPr>
          <w:spacing w:val="-6"/>
        </w:rPr>
        <w:t xml:space="preserve"> </w:t>
      </w:r>
      <w:r>
        <w:t>que</w:t>
      </w:r>
      <w:r>
        <w:rPr>
          <w:spacing w:val="-7"/>
        </w:rPr>
        <w:t xml:space="preserve"> </w:t>
      </w:r>
      <w:r>
        <w:t xml:space="preserve">não é suficiente, de per si, para consecução plena do interesse público que visa atingir, momento em que se vê a necessidade de recorrer ao setor privado para o preenchimento dessa lacuna </w:t>
      </w:r>
      <w:r>
        <w:rPr>
          <w:spacing w:val="-2"/>
        </w:rPr>
        <w:t>técnica.</w:t>
      </w:r>
    </w:p>
    <w:p w:rsidR="007259F2" w:rsidRDefault="00E655B4">
      <w:pPr>
        <w:pStyle w:val="Corpodetexto"/>
        <w:ind w:right="421"/>
      </w:pPr>
      <w:r>
        <w:t>Percebemos, assim, em comparação às demais modalidade licitatórias, adotadas mais corriqueiramente, sua peculiaridade em relação a elas, uma vez que vislumbramos um certo grau de indefinição, seja do objeto, seja da técnica, seja da tecnologia, no sentido de que a Administração vislumbra o atingimento de uma meta, mas desconhece, ou tem</w:t>
      </w:r>
      <w:r>
        <w:rPr>
          <w:spacing w:val="-3"/>
        </w:rPr>
        <w:t xml:space="preserve"> </w:t>
      </w:r>
      <w:r>
        <w:t>dúvidas, sobre qual</w:t>
      </w:r>
      <w:r>
        <w:rPr>
          <w:spacing w:val="-15"/>
        </w:rPr>
        <w:t xml:space="preserve"> </w:t>
      </w:r>
      <w:r>
        <w:t>o</w:t>
      </w:r>
      <w:r>
        <w:rPr>
          <w:spacing w:val="-15"/>
        </w:rPr>
        <w:t xml:space="preserve"> </w:t>
      </w:r>
      <w:r>
        <w:t>melhor</w:t>
      </w:r>
      <w:r>
        <w:rPr>
          <w:spacing w:val="-15"/>
        </w:rPr>
        <w:t xml:space="preserve"> </w:t>
      </w:r>
      <w:r>
        <w:t>caminho</w:t>
      </w:r>
      <w:r>
        <w:rPr>
          <w:spacing w:val="-15"/>
        </w:rPr>
        <w:t xml:space="preserve"> </w:t>
      </w:r>
      <w:r>
        <w:t>a</w:t>
      </w:r>
      <w:r>
        <w:rPr>
          <w:spacing w:val="-15"/>
        </w:rPr>
        <w:t xml:space="preserve"> </w:t>
      </w:r>
      <w:r>
        <w:t>ser</w:t>
      </w:r>
      <w:r>
        <w:rPr>
          <w:spacing w:val="-15"/>
        </w:rPr>
        <w:t xml:space="preserve"> </w:t>
      </w:r>
      <w:r>
        <w:t>tomado</w:t>
      </w:r>
      <w:r>
        <w:rPr>
          <w:spacing w:val="-15"/>
        </w:rPr>
        <w:t xml:space="preserve"> </w:t>
      </w:r>
      <w:r>
        <w:t>para</w:t>
      </w:r>
      <w:r>
        <w:rPr>
          <w:spacing w:val="-15"/>
        </w:rPr>
        <w:t xml:space="preserve"> </w:t>
      </w:r>
      <w:r>
        <w:t>atingir</w:t>
      </w:r>
      <w:r>
        <w:rPr>
          <w:spacing w:val="-15"/>
        </w:rPr>
        <w:t xml:space="preserve"> </w:t>
      </w:r>
      <w:r>
        <w:t>o</w:t>
      </w:r>
      <w:r>
        <w:rPr>
          <w:spacing w:val="-15"/>
        </w:rPr>
        <w:t xml:space="preserve"> </w:t>
      </w:r>
      <w:r>
        <w:t>objeto</w:t>
      </w:r>
      <w:r>
        <w:rPr>
          <w:spacing w:val="-15"/>
        </w:rPr>
        <w:t xml:space="preserve"> </w:t>
      </w:r>
      <w:r>
        <w:t>almejado,</w:t>
      </w:r>
      <w:r>
        <w:rPr>
          <w:spacing w:val="-15"/>
        </w:rPr>
        <w:t xml:space="preserve"> </w:t>
      </w:r>
      <w:r>
        <w:t>o</w:t>
      </w:r>
      <w:r>
        <w:rPr>
          <w:spacing w:val="-13"/>
        </w:rPr>
        <w:t xml:space="preserve"> </w:t>
      </w:r>
      <w:r>
        <w:t>que</w:t>
      </w:r>
      <w:r>
        <w:rPr>
          <w:spacing w:val="-15"/>
        </w:rPr>
        <w:t xml:space="preserve"> </w:t>
      </w:r>
      <w:r>
        <w:t>não</w:t>
      </w:r>
      <w:r>
        <w:rPr>
          <w:spacing w:val="-15"/>
        </w:rPr>
        <w:t xml:space="preserve"> </w:t>
      </w:r>
      <w:r>
        <w:t>ocorre</w:t>
      </w:r>
      <w:r>
        <w:rPr>
          <w:spacing w:val="-15"/>
        </w:rPr>
        <w:t xml:space="preserve"> </w:t>
      </w:r>
      <w:r>
        <w:t>nas</w:t>
      </w:r>
      <w:r>
        <w:rPr>
          <w:spacing w:val="-15"/>
        </w:rPr>
        <w:t xml:space="preserve"> </w:t>
      </w:r>
      <w:r>
        <w:t>demais modalidades licitatórias, em que o objeto do certame encontra-se plenamente definido e os requisitos e qualificação técnica estão previamente delimitados, cabendo aos particulares interessados em concorrer ao certame a verificação de conformidade aos termos do edital.</w:t>
      </w:r>
    </w:p>
    <w:p w:rsidR="007259F2" w:rsidRDefault="00E655B4">
      <w:pPr>
        <w:pStyle w:val="Corpodetexto"/>
        <w:spacing w:before="1"/>
        <w:ind w:right="422"/>
      </w:pPr>
      <w:r>
        <w:t>O diálogo competitivo é, assim, por suas próprias características, uma modalidade de contratação que se dá em caráter excepcional.</w:t>
      </w:r>
    </w:p>
    <w:p w:rsidR="007259F2" w:rsidRDefault="00E655B4">
      <w:pPr>
        <w:pStyle w:val="Heading2"/>
        <w:numPr>
          <w:ilvl w:val="0"/>
          <w:numId w:val="19"/>
        </w:numPr>
        <w:tabs>
          <w:tab w:val="left" w:pos="950"/>
        </w:tabs>
        <w:spacing w:before="206"/>
        <w:ind w:left="950" w:hanging="240"/>
        <w:jc w:val="left"/>
      </w:pPr>
      <w:r>
        <w:t>Etapas</w:t>
      </w:r>
      <w:r>
        <w:rPr>
          <w:spacing w:val="-4"/>
        </w:rPr>
        <w:t xml:space="preserve"> </w:t>
      </w:r>
      <w:r>
        <w:t>de</w:t>
      </w:r>
      <w:r>
        <w:rPr>
          <w:spacing w:val="-10"/>
        </w:rPr>
        <w:t xml:space="preserve"> </w:t>
      </w:r>
      <w:r>
        <w:t>realização do</w:t>
      </w:r>
      <w:r>
        <w:rPr>
          <w:spacing w:val="-2"/>
        </w:rPr>
        <w:t xml:space="preserve"> </w:t>
      </w:r>
      <w:r>
        <w:t>diálogo</w:t>
      </w:r>
      <w:r>
        <w:rPr>
          <w:spacing w:val="-1"/>
        </w:rPr>
        <w:t xml:space="preserve"> </w:t>
      </w:r>
      <w:r>
        <w:rPr>
          <w:spacing w:val="-2"/>
        </w:rPr>
        <w:t>competitivo</w:t>
      </w:r>
    </w:p>
    <w:p w:rsidR="007259F2" w:rsidRDefault="00E655B4">
      <w:pPr>
        <w:pStyle w:val="Corpodetexto"/>
        <w:spacing w:before="116"/>
        <w:ind w:right="425"/>
      </w:pPr>
      <w:r>
        <w:t>O procedimento a ser adotado no diálogo competitivo encontra-se disposto no §1º do art. 32, conforme segue:</w:t>
      </w:r>
    </w:p>
    <w:p w:rsidR="007259F2" w:rsidRDefault="00E655B4">
      <w:pPr>
        <w:spacing w:before="123"/>
        <w:ind w:left="2978"/>
        <w:jc w:val="both"/>
        <w:rPr>
          <w:sz w:val="20"/>
        </w:rPr>
      </w:pPr>
      <w:r>
        <w:rPr>
          <w:sz w:val="20"/>
        </w:rPr>
        <w:t>§</w:t>
      </w:r>
      <w:r>
        <w:rPr>
          <w:spacing w:val="-13"/>
          <w:sz w:val="20"/>
        </w:rPr>
        <w:t xml:space="preserve"> </w:t>
      </w:r>
      <w:r>
        <w:rPr>
          <w:sz w:val="20"/>
        </w:rPr>
        <w:t>1º</w:t>
      </w:r>
      <w:r>
        <w:rPr>
          <w:spacing w:val="-12"/>
          <w:sz w:val="20"/>
        </w:rPr>
        <w:t xml:space="preserve"> </w:t>
      </w:r>
      <w:r>
        <w:rPr>
          <w:sz w:val="20"/>
        </w:rPr>
        <w:t>Na</w:t>
      </w:r>
      <w:r>
        <w:rPr>
          <w:spacing w:val="-13"/>
          <w:sz w:val="20"/>
        </w:rPr>
        <w:t xml:space="preserve"> </w:t>
      </w:r>
      <w:r>
        <w:rPr>
          <w:sz w:val="20"/>
        </w:rPr>
        <w:t>modalidade</w:t>
      </w:r>
      <w:r>
        <w:rPr>
          <w:spacing w:val="-12"/>
          <w:sz w:val="20"/>
        </w:rPr>
        <w:t xml:space="preserve"> </w:t>
      </w:r>
      <w:r>
        <w:rPr>
          <w:sz w:val="20"/>
        </w:rPr>
        <w:t>diálogo</w:t>
      </w:r>
      <w:r>
        <w:rPr>
          <w:spacing w:val="-13"/>
          <w:sz w:val="20"/>
        </w:rPr>
        <w:t xml:space="preserve"> </w:t>
      </w:r>
      <w:r>
        <w:rPr>
          <w:sz w:val="20"/>
        </w:rPr>
        <w:t>competitivo,</w:t>
      </w:r>
      <w:r>
        <w:rPr>
          <w:spacing w:val="-8"/>
          <w:sz w:val="20"/>
        </w:rPr>
        <w:t xml:space="preserve"> </w:t>
      </w:r>
      <w:r>
        <w:rPr>
          <w:sz w:val="20"/>
        </w:rPr>
        <w:t>serão</w:t>
      </w:r>
      <w:r>
        <w:rPr>
          <w:spacing w:val="-11"/>
          <w:sz w:val="20"/>
        </w:rPr>
        <w:t xml:space="preserve"> </w:t>
      </w:r>
      <w:r>
        <w:rPr>
          <w:sz w:val="20"/>
        </w:rPr>
        <w:t>observadas</w:t>
      </w:r>
      <w:r>
        <w:rPr>
          <w:spacing w:val="-13"/>
          <w:sz w:val="20"/>
        </w:rPr>
        <w:t xml:space="preserve"> </w:t>
      </w:r>
      <w:r>
        <w:rPr>
          <w:sz w:val="20"/>
        </w:rPr>
        <w:t>as</w:t>
      </w:r>
      <w:r>
        <w:rPr>
          <w:spacing w:val="-12"/>
          <w:sz w:val="20"/>
        </w:rPr>
        <w:t xml:space="preserve"> </w:t>
      </w:r>
      <w:r>
        <w:rPr>
          <w:sz w:val="20"/>
        </w:rPr>
        <w:t>seguintes</w:t>
      </w:r>
      <w:r>
        <w:rPr>
          <w:spacing w:val="-10"/>
          <w:sz w:val="20"/>
        </w:rPr>
        <w:t xml:space="preserve"> </w:t>
      </w:r>
      <w:r>
        <w:rPr>
          <w:spacing w:val="-2"/>
          <w:sz w:val="20"/>
        </w:rPr>
        <w:t>disposições:</w:t>
      </w:r>
    </w:p>
    <w:p w:rsidR="007259F2" w:rsidRDefault="007259F2">
      <w:pPr>
        <w:pStyle w:val="Corpodetexto"/>
        <w:spacing w:before="1"/>
        <w:ind w:left="0" w:firstLine="0"/>
        <w:jc w:val="left"/>
        <w:rPr>
          <w:sz w:val="20"/>
        </w:rPr>
      </w:pPr>
    </w:p>
    <w:p w:rsidR="007259F2" w:rsidRDefault="00E655B4">
      <w:pPr>
        <w:pStyle w:val="PargrafodaLista"/>
        <w:numPr>
          <w:ilvl w:val="0"/>
          <w:numId w:val="17"/>
        </w:numPr>
        <w:tabs>
          <w:tab w:val="left" w:pos="3294"/>
        </w:tabs>
        <w:ind w:right="561" w:firstLine="0"/>
        <w:jc w:val="both"/>
        <w:rPr>
          <w:sz w:val="20"/>
        </w:rPr>
      </w:pPr>
      <w:r>
        <w:rPr>
          <w:sz w:val="20"/>
        </w:rPr>
        <w:t>- a Administração apresentará, por ocasião da divulgação do edital em sítio eletrônico oficial, suas necessidades e as exigências já definidas e estabelecerá prazo mínimo de 25 (vinte e cinco) dias úteis para manifestação de interesse na participação da licitação;</w:t>
      </w:r>
    </w:p>
    <w:p w:rsidR="007259F2" w:rsidRDefault="00E655B4">
      <w:pPr>
        <w:pStyle w:val="PargrafodaLista"/>
        <w:numPr>
          <w:ilvl w:val="0"/>
          <w:numId w:val="17"/>
        </w:numPr>
        <w:tabs>
          <w:tab w:val="left" w:pos="3312"/>
        </w:tabs>
        <w:spacing w:before="123"/>
        <w:ind w:right="564" w:firstLine="0"/>
        <w:jc w:val="both"/>
        <w:rPr>
          <w:sz w:val="20"/>
        </w:rPr>
      </w:pPr>
      <w:r>
        <w:rPr>
          <w:sz w:val="20"/>
        </w:rPr>
        <w:t>- os critérios empregados para pré-seleção dos licitantes deverão ser previstos em edital, e serão admitidos todos os interessados que preencherem os requisitos objetivos estabelecidos;</w:t>
      </w:r>
    </w:p>
    <w:p w:rsidR="007259F2" w:rsidRDefault="00E655B4">
      <w:pPr>
        <w:pStyle w:val="PargrafodaLista"/>
        <w:numPr>
          <w:ilvl w:val="0"/>
          <w:numId w:val="17"/>
        </w:numPr>
        <w:tabs>
          <w:tab w:val="left" w:pos="3420"/>
        </w:tabs>
        <w:spacing w:before="118"/>
        <w:ind w:right="579" w:firstLine="0"/>
        <w:jc w:val="both"/>
        <w:rPr>
          <w:sz w:val="20"/>
        </w:rPr>
      </w:pPr>
      <w:r>
        <w:rPr>
          <w:sz w:val="20"/>
        </w:rPr>
        <w:t>- a divulgação de informações de modo discriminatório que possa implicar vantagem para algum licitante será vedada;</w:t>
      </w:r>
    </w:p>
    <w:p w:rsidR="007259F2" w:rsidRDefault="00E655B4">
      <w:pPr>
        <w:pStyle w:val="PargrafodaLista"/>
        <w:numPr>
          <w:ilvl w:val="0"/>
          <w:numId w:val="17"/>
        </w:numPr>
        <w:tabs>
          <w:tab w:val="left" w:pos="3384"/>
        </w:tabs>
        <w:spacing w:before="121"/>
        <w:ind w:right="567" w:firstLine="0"/>
        <w:jc w:val="both"/>
        <w:rPr>
          <w:sz w:val="20"/>
        </w:rPr>
      </w:pPr>
      <w:r>
        <w:rPr>
          <w:sz w:val="20"/>
        </w:rPr>
        <w:t>- a Administração não poderá</w:t>
      </w:r>
      <w:r>
        <w:rPr>
          <w:spacing w:val="-1"/>
          <w:sz w:val="20"/>
        </w:rPr>
        <w:t xml:space="preserve"> </w:t>
      </w:r>
      <w:r>
        <w:rPr>
          <w:sz w:val="20"/>
        </w:rPr>
        <w:t>revelar a outros licitantes as soluções propostas ou as informações sigilosas comunicadas por um licitante sem o seu</w:t>
      </w:r>
      <w:r>
        <w:rPr>
          <w:spacing w:val="40"/>
          <w:sz w:val="20"/>
        </w:rPr>
        <w:t xml:space="preserve"> </w:t>
      </w:r>
      <w:r>
        <w:rPr>
          <w:spacing w:val="-2"/>
          <w:sz w:val="20"/>
        </w:rPr>
        <w:t>consentimento;</w:t>
      </w:r>
    </w:p>
    <w:p w:rsidR="007259F2" w:rsidRDefault="00E655B4">
      <w:pPr>
        <w:pStyle w:val="PargrafodaLista"/>
        <w:numPr>
          <w:ilvl w:val="0"/>
          <w:numId w:val="17"/>
        </w:numPr>
        <w:tabs>
          <w:tab w:val="left" w:pos="3356"/>
        </w:tabs>
        <w:spacing w:before="121"/>
        <w:ind w:right="566" w:firstLine="0"/>
        <w:jc w:val="both"/>
        <w:rPr>
          <w:sz w:val="20"/>
        </w:rPr>
      </w:pPr>
      <w:r>
        <w:rPr>
          <w:sz w:val="20"/>
        </w:rPr>
        <w:t xml:space="preserve">- a fase de diálogo poderá ser mantida até que a Administração, em decisão fundamentada, identifique a solução ou as soluções que atendam às suas </w:t>
      </w:r>
      <w:r>
        <w:rPr>
          <w:spacing w:val="-2"/>
          <w:sz w:val="20"/>
        </w:rPr>
        <w:t>necessidades;</w:t>
      </w:r>
    </w:p>
    <w:p w:rsidR="007259F2" w:rsidRDefault="00E655B4">
      <w:pPr>
        <w:pStyle w:val="PargrafodaLista"/>
        <w:numPr>
          <w:ilvl w:val="0"/>
          <w:numId w:val="17"/>
        </w:numPr>
        <w:tabs>
          <w:tab w:val="left" w:pos="3368"/>
        </w:tabs>
        <w:spacing w:before="122"/>
        <w:ind w:right="560" w:firstLine="0"/>
        <w:jc w:val="both"/>
        <w:rPr>
          <w:sz w:val="20"/>
        </w:rPr>
      </w:pPr>
      <w:r>
        <w:rPr>
          <w:sz w:val="20"/>
        </w:rPr>
        <w:t>- as reuniões com os licitantes pré-selecionados serão registradas em ata e gravadas mediante utilização de recursos tecnológicos de áudio e vídeo;</w:t>
      </w:r>
    </w:p>
    <w:p w:rsidR="007259F2" w:rsidRDefault="00E655B4">
      <w:pPr>
        <w:pStyle w:val="PargrafodaLista"/>
        <w:numPr>
          <w:ilvl w:val="0"/>
          <w:numId w:val="17"/>
        </w:numPr>
        <w:tabs>
          <w:tab w:val="left" w:pos="3454"/>
        </w:tabs>
        <w:spacing w:before="121"/>
        <w:ind w:right="568" w:firstLine="0"/>
        <w:jc w:val="both"/>
        <w:rPr>
          <w:sz w:val="20"/>
        </w:rPr>
      </w:pPr>
      <w:r>
        <w:rPr>
          <w:sz w:val="20"/>
        </w:rPr>
        <w:t>- o edital poderá prever a realização de fases sucessivas, caso em que cada fase poderá restringir as soluções ou as propostas a serem discutidas;</w:t>
      </w:r>
    </w:p>
    <w:p w:rsidR="007259F2" w:rsidRDefault="007259F2">
      <w:pPr>
        <w:pStyle w:val="PargrafodaLista"/>
        <w:rPr>
          <w:sz w:val="20"/>
        </w:rPr>
        <w:sectPr w:rsidR="007259F2">
          <w:pgSz w:w="11910" w:h="16840"/>
          <w:pgMar w:top="1600" w:right="708" w:bottom="1020" w:left="992" w:header="0" w:footer="820" w:gutter="0"/>
          <w:cols w:space="720"/>
        </w:sectPr>
      </w:pPr>
    </w:p>
    <w:p w:rsidR="007259F2" w:rsidRDefault="00E655B4">
      <w:pPr>
        <w:pStyle w:val="PargrafodaLista"/>
        <w:numPr>
          <w:ilvl w:val="0"/>
          <w:numId w:val="17"/>
        </w:numPr>
        <w:tabs>
          <w:tab w:val="left" w:pos="3532"/>
        </w:tabs>
        <w:spacing w:before="77"/>
        <w:ind w:right="560" w:firstLine="0"/>
        <w:jc w:val="both"/>
        <w:rPr>
          <w:sz w:val="20"/>
        </w:rPr>
      </w:pPr>
      <w:r>
        <w:rPr>
          <w:sz w:val="20"/>
        </w:rPr>
        <w:lastRenderedPageBreak/>
        <w:t>- a Administração deverá, ao declarar que o diálogo foi concluído, juntar</w:t>
      </w:r>
      <w:r>
        <w:rPr>
          <w:spacing w:val="40"/>
          <w:sz w:val="20"/>
        </w:rPr>
        <w:t xml:space="preserve"> </w:t>
      </w:r>
      <w:r>
        <w:rPr>
          <w:sz w:val="20"/>
        </w:rPr>
        <w:t>aos autos do processo licitatório os registros e as gravações da fase de diálogo, iniciar a fase competitiva com a divulgação de edital contendo a especificação da solução que atenda às suas necessidades e os critérios objetivos a serem utilizados para seleção da proposta mais vantajosa e abrir prazo, não inferior a 60 (sessenta) dias úteis, para todos os licitantes pré-selecionados na forma do inciso II deste parágrafo apresentarem suas propostas, que deverão conter os elementos necessários para a realização do projeto;</w:t>
      </w:r>
    </w:p>
    <w:p w:rsidR="007259F2" w:rsidRDefault="00E655B4">
      <w:pPr>
        <w:pStyle w:val="PargrafodaLista"/>
        <w:numPr>
          <w:ilvl w:val="0"/>
          <w:numId w:val="17"/>
        </w:numPr>
        <w:tabs>
          <w:tab w:val="left" w:pos="3440"/>
        </w:tabs>
        <w:spacing w:before="118"/>
        <w:ind w:right="567" w:firstLine="0"/>
        <w:jc w:val="both"/>
        <w:rPr>
          <w:sz w:val="20"/>
        </w:rPr>
      </w:pPr>
      <w:r>
        <w:rPr>
          <w:sz w:val="20"/>
        </w:rPr>
        <w:t>- a Administração poderá solicitar esclarecimentos ou ajustes às propostas apresentadas, desde que não impliquem discriminação nem distorçam a concorrência entre as propostas;</w:t>
      </w:r>
    </w:p>
    <w:p w:rsidR="007259F2" w:rsidRDefault="00E655B4">
      <w:pPr>
        <w:pStyle w:val="PargrafodaLista"/>
        <w:numPr>
          <w:ilvl w:val="0"/>
          <w:numId w:val="17"/>
        </w:numPr>
        <w:tabs>
          <w:tab w:val="left" w:pos="3301"/>
        </w:tabs>
        <w:spacing w:before="121"/>
        <w:ind w:right="515" w:firstLine="0"/>
        <w:jc w:val="both"/>
        <w:rPr>
          <w:sz w:val="20"/>
        </w:rPr>
      </w:pPr>
      <w:r>
        <w:rPr>
          <w:sz w:val="20"/>
        </w:rPr>
        <w:t>- a Administração definirá a proposta vencedora de acordo com critérios divulgados no início da fase competitiva, assegurada a contratação mais vantajosa como</w:t>
      </w:r>
      <w:r>
        <w:rPr>
          <w:spacing w:val="-13"/>
          <w:sz w:val="20"/>
        </w:rPr>
        <w:t xml:space="preserve"> </w:t>
      </w:r>
      <w:r>
        <w:rPr>
          <w:sz w:val="20"/>
        </w:rPr>
        <w:t>resultado;</w:t>
      </w:r>
    </w:p>
    <w:p w:rsidR="007259F2" w:rsidRDefault="00E655B4">
      <w:pPr>
        <w:pStyle w:val="PargrafodaLista"/>
        <w:numPr>
          <w:ilvl w:val="0"/>
          <w:numId w:val="17"/>
        </w:numPr>
        <w:tabs>
          <w:tab w:val="left" w:pos="3383"/>
        </w:tabs>
        <w:spacing w:before="117"/>
        <w:ind w:right="563" w:firstLine="0"/>
        <w:jc w:val="both"/>
        <w:rPr>
          <w:sz w:val="20"/>
        </w:rPr>
      </w:pPr>
      <w:r>
        <w:rPr>
          <w:sz w:val="20"/>
        </w:rPr>
        <w:t>-</w:t>
      </w:r>
      <w:r>
        <w:rPr>
          <w:spacing w:val="-8"/>
          <w:sz w:val="20"/>
        </w:rPr>
        <w:t xml:space="preserve"> </w:t>
      </w:r>
      <w:r>
        <w:rPr>
          <w:sz w:val="20"/>
        </w:rPr>
        <w:t>o</w:t>
      </w:r>
      <w:r>
        <w:rPr>
          <w:spacing w:val="-5"/>
          <w:sz w:val="20"/>
        </w:rPr>
        <w:t xml:space="preserve"> </w:t>
      </w:r>
      <w:r>
        <w:rPr>
          <w:sz w:val="20"/>
        </w:rPr>
        <w:t>diálogo</w:t>
      </w:r>
      <w:r>
        <w:rPr>
          <w:spacing w:val="-5"/>
          <w:sz w:val="20"/>
        </w:rPr>
        <w:t xml:space="preserve"> </w:t>
      </w:r>
      <w:r>
        <w:rPr>
          <w:sz w:val="20"/>
        </w:rPr>
        <w:t>competitivo</w:t>
      </w:r>
      <w:r>
        <w:rPr>
          <w:spacing w:val="-4"/>
          <w:sz w:val="20"/>
        </w:rPr>
        <w:t xml:space="preserve"> </w:t>
      </w:r>
      <w:r>
        <w:rPr>
          <w:sz w:val="20"/>
        </w:rPr>
        <w:t>será</w:t>
      </w:r>
      <w:r>
        <w:rPr>
          <w:spacing w:val="-4"/>
          <w:sz w:val="20"/>
        </w:rPr>
        <w:t xml:space="preserve"> </w:t>
      </w:r>
      <w:r>
        <w:rPr>
          <w:sz w:val="20"/>
        </w:rPr>
        <w:t>conduzido</w:t>
      </w:r>
      <w:r>
        <w:rPr>
          <w:spacing w:val="-4"/>
          <w:sz w:val="20"/>
        </w:rPr>
        <w:t xml:space="preserve"> </w:t>
      </w:r>
      <w:r>
        <w:rPr>
          <w:sz w:val="20"/>
        </w:rPr>
        <w:t>por</w:t>
      </w:r>
      <w:r>
        <w:rPr>
          <w:spacing w:val="-4"/>
          <w:sz w:val="20"/>
        </w:rPr>
        <w:t xml:space="preserve"> </w:t>
      </w:r>
      <w:r>
        <w:rPr>
          <w:sz w:val="20"/>
        </w:rPr>
        <w:t>comissão</w:t>
      </w:r>
      <w:r>
        <w:rPr>
          <w:spacing w:val="-4"/>
          <w:sz w:val="20"/>
        </w:rPr>
        <w:t xml:space="preserve"> </w:t>
      </w:r>
      <w:r>
        <w:rPr>
          <w:sz w:val="20"/>
        </w:rPr>
        <w:t>de</w:t>
      </w:r>
      <w:r>
        <w:rPr>
          <w:spacing w:val="-4"/>
          <w:sz w:val="20"/>
        </w:rPr>
        <w:t xml:space="preserve"> </w:t>
      </w:r>
      <w:r>
        <w:rPr>
          <w:sz w:val="20"/>
        </w:rPr>
        <w:t>contratação</w:t>
      </w:r>
      <w:r>
        <w:rPr>
          <w:spacing w:val="-3"/>
          <w:sz w:val="20"/>
        </w:rPr>
        <w:t xml:space="preserve"> </w:t>
      </w:r>
      <w:r>
        <w:rPr>
          <w:sz w:val="20"/>
        </w:rPr>
        <w:t>composta de pelo menos 3 (três) servidores efetivos ou empregados públicos pertencentes</w:t>
      </w:r>
      <w:r>
        <w:rPr>
          <w:spacing w:val="40"/>
          <w:sz w:val="20"/>
        </w:rPr>
        <w:t xml:space="preserve"> </w:t>
      </w:r>
      <w:r>
        <w:rPr>
          <w:sz w:val="20"/>
        </w:rPr>
        <w:t>aos quadros permanentes da Administração, admitida a contratação de</w:t>
      </w:r>
      <w:r>
        <w:rPr>
          <w:spacing w:val="40"/>
          <w:sz w:val="20"/>
        </w:rPr>
        <w:t xml:space="preserve"> </w:t>
      </w:r>
      <w:r>
        <w:rPr>
          <w:sz w:val="20"/>
        </w:rPr>
        <w:t>profissionais para assessoramento técnico da comissão;</w:t>
      </w:r>
    </w:p>
    <w:p w:rsidR="007259F2" w:rsidRDefault="00E655B4">
      <w:pPr>
        <w:spacing w:before="2"/>
        <w:ind w:left="2978" w:right="561"/>
        <w:jc w:val="both"/>
        <w:rPr>
          <w:sz w:val="20"/>
        </w:rPr>
      </w:pPr>
      <w:r>
        <w:rPr>
          <w:sz w:val="20"/>
        </w:rPr>
        <w:t>§ 2º Os profissionais contratados para os fins do inciso XI do § 1º deste artigo assinarão termo de confidencialidade e abster-se-ão de atividades que possam configurar conflito de interesses.</w:t>
      </w:r>
    </w:p>
    <w:p w:rsidR="007259F2" w:rsidRDefault="00E655B4">
      <w:pPr>
        <w:pStyle w:val="Corpodetexto"/>
        <w:spacing w:before="199"/>
        <w:ind w:right="424"/>
      </w:pPr>
      <w:r>
        <w:t>Diante dessa nova modalidade licitatório, foi desenvolvido um fluxograma pelo Tribunal</w:t>
      </w:r>
      <w:r>
        <w:rPr>
          <w:spacing w:val="-15"/>
        </w:rPr>
        <w:t xml:space="preserve"> </w:t>
      </w:r>
      <w:r>
        <w:t>de</w:t>
      </w:r>
      <w:r>
        <w:rPr>
          <w:spacing w:val="-15"/>
        </w:rPr>
        <w:t xml:space="preserve"> </w:t>
      </w:r>
      <w:r>
        <w:t>Contas</w:t>
      </w:r>
      <w:r>
        <w:rPr>
          <w:spacing w:val="-15"/>
        </w:rPr>
        <w:t xml:space="preserve"> </w:t>
      </w:r>
      <w:r>
        <w:t>da</w:t>
      </w:r>
      <w:r>
        <w:rPr>
          <w:spacing w:val="-15"/>
        </w:rPr>
        <w:t xml:space="preserve"> </w:t>
      </w:r>
      <w:r>
        <w:t>União</w:t>
      </w:r>
      <w:r>
        <w:rPr>
          <w:spacing w:val="-15"/>
        </w:rPr>
        <w:t xml:space="preserve"> </w:t>
      </w:r>
      <w:r>
        <w:t>–</w:t>
      </w:r>
      <w:r>
        <w:rPr>
          <w:spacing w:val="-15"/>
        </w:rPr>
        <w:t xml:space="preserve"> </w:t>
      </w:r>
      <w:r>
        <w:t>TCU,</w:t>
      </w:r>
      <w:r>
        <w:rPr>
          <w:spacing w:val="-15"/>
        </w:rPr>
        <w:t xml:space="preserve"> </w:t>
      </w:r>
      <w:r>
        <w:t>a</w:t>
      </w:r>
      <w:r>
        <w:rPr>
          <w:spacing w:val="-15"/>
        </w:rPr>
        <w:t xml:space="preserve"> </w:t>
      </w:r>
      <w:r>
        <w:t>fim</w:t>
      </w:r>
      <w:r>
        <w:rPr>
          <w:spacing w:val="-15"/>
        </w:rPr>
        <w:t xml:space="preserve"> </w:t>
      </w:r>
      <w:r>
        <w:t>de</w:t>
      </w:r>
      <w:r>
        <w:rPr>
          <w:spacing w:val="-15"/>
        </w:rPr>
        <w:t xml:space="preserve"> </w:t>
      </w:r>
      <w:r>
        <w:t>auxiliar</w:t>
      </w:r>
      <w:r>
        <w:rPr>
          <w:spacing w:val="-15"/>
        </w:rPr>
        <w:t xml:space="preserve"> </w:t>
      </w:r>
      <w:r>
        <w:t>os</w:t>
      </w:r>
      <w:r>
        <w:rPr>
          <w:spacing w:val="-15"/>
        </w:rPr>
        <w:t xml:space="preserve"> </w:t>
      </w:r>
      <w:r>
        <w:t>administradores</w:t>
      </w:r>
      <w:r>
        <w:rPr>
          <w:spacing w:val="-12"/>
        </w:rPr>
        <w:t xml:space="preserve"> </w:t>
      </w:r>
      <w:r>
        <w:t>públicos</w:t>
      </w:r>
      <w:r>
        <w:rPr>
          <w:spacing w:val="-14"/>
        </w:rPr>
        <w:t xml:space="preserve"> </w:t>
      </w:r>
      <w:r>
        <w:t>na</w:t>
      </w:r>
      <w:r>
        <w:rPr>
          <w:spacing w:val="-14"/>
        </w:rPr>
        <w:t xml:space="preserve"> </w:t>
      </w:r>
      <w:r>
        <w:t>realização desta modalidade de licitação, conforme quadro abaixo:</w:t>
      </w:r>
    </w:p>
    <w:p w:rsidR="007259F2" w:rsidRDefault="00E655B4">
      <w:pPr>
        <w:pStyle w:val="Corpodetexto"/>
        <w:ind w:left="0" w:firstLine="0"/>
        <w:jc w:val="left"/>
        <w:rPr>
          <w:sz w:val="14"/>
        </w:rPr>
      </w:pPr>
      <w:r>
        <w:rPr>
          <w:noProof/>
          <w:sz w:val="14"/>
          <w:lang w:val="pt-BR" w:eastAsia="pt-BR"/>
        </w:rPr>
        <w:drawing>
          <wp:anchor distT="0" distB="0" distL="0" distR="0" simplePos="0" relativeHeight="487668736" behindDoc="1" locked="0" layoutInCell="1" allowOverlap="1">
            <wp:simplePos x="0" y="0"/>
            <wp:positionH relativeFrom="page">
              <wp:posOffset>1076325</wp:posOffset>
            </wp:positionH>
            <wp:positionV relativeFrom="paragraph">
              <wp:posOffset>117526</wp:posOffset>
            </wp:positionV>
            <wp:extent cx="5747774" cy="2560701"/>
            <wp:effectExtent l="0" t="0" r="0" b="0"/>
            <wp:wrapTopAndBottom/>
            <wp:docPr id="184" name="Image 1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4" name="Image 184"/>
                    <pic:cNvPicPr/>
                  </pic:nvPicPr>
                  <pic:blipFill>
                    <a:blip r:embed="rId330" cstate="print"/>
                    <a:stretch>
                      <a:fillRect/>
                    </a:stretch>
                  </pic:blipFill>
                  <pic:spPr>
                    <a:xfrm>
                      <a:off x="0" y="0"/>
                      <a:ext cx="5747774" cy="2560701"/>
                    </a:xfrm>
                    <a:prstGeom prst="rect">
                      <a:avLst/>
                    </a:prstGeom>
                  </pic:spPr>
                </pic:pic>
              </a:graphicData>
            </a:graphic>
          </wp:anchor>
        </w:drawing>
      </w:r>
    </w:p>
    <w:p w:rsidR="007259F2" w:rsidRDefault="00E655B4">
      <w:pPr>
        <w:ind w:left="665" w:right="326"/>
        <w:jc w:val="center"/>
      </w:pPr>
      <w:r>
        <w:t>FIGURA</w:t>
      </w:r>
      <w:r>
        <w:rPr>
          <w:spacing w:val="-4"/>
        </w:rPr>
        <w:t xml:space="preserve"> </w:t>
      </w:r>
      <w:r>
        <w:t>I</w:t>
      </w:r>
      <w:r>
        <w:rPr>
          <w:spacing w:val="-5"/>
        </w:rPr>
        <w:t xml:space="preserve"> </w:t>
      </w:r>
      <w:r>
        <w:t>-</w:t>
      </w:r>
      <w:r>
        <w:rPr>
          <w:spacing w:val="-11"/>
        </w:rPr>
        <w:t xml:space="preserve"> </w:t>
      </w:r>
      <w:r>
        <w:t>TCU</w:t>
      </w:r>
      <w:r>
        <w:rPr>
          <w:spacing w:val="-4"/>
        </w:rPr>
        <w:t xml:space="preserve"> </w:t>
      </w:r>
      <w:r>
        <w:t>-</w:t>
      </w:r>
      <w:r>
        <w:rPr>
          <w:spacing w:val="-12"/>
        </w:rPr>
        <w:t xml:space="preserve"> </w:t>
      </w:r>
      <w:r>
        <w:t>TRILHA</w:t>
      </w:r>
      <w:r>
        <w:rPr>
          <w:spacing w:val="-4"/>
        </w:rPr>
        <w:t xml:space="preserve"> </w:t>
      </w:r>
      <w:r>
        <w:t>DIÁLOGO</w:t>
      </w:r>
      <w:r>
        <w:rPr>
          <w:spacing w:val="-8"/>
        </w:rPr>
        <w:t xml:space="preserve"> </w:t>
      </w:r>
      <w:r>
        <w:rPr>
          <w:spacing w:val="-2"/>
        </w:rPr>
        <w:t>COMPETITIVO</w:t>
      </w:r>
    </w:p>
    <w:p w:rsidR="007259F2" w:rsidRDefault="00E655B4">
      <w:pPr>
        <w:pStyle w:val="Corpodetexto"/>
        <w:spacing w:before="235"/>
        <w:ind w:right="421"/>
      </w:pPr>
      <w:r>
        <w:t>Verificamos que o procedimento do diálogo competitivo abarca uma fase pré- licitatória, que consiste em uma atuação interna da Administração, que busca entender os desafios</w:t>
      </w:r>
      <w:r>
        <w:rPr>
          <w:spacing w:val="-15"/>
        </w:rPr>
        <w:t xml:space="preserve"> </w:t>
      </w:r>
      <w:r>
        <w:t>a</w:t>
      </w:r>
      <w:r>
        <w:rPr>
          <w:spacing w:val="-15"/>
        </w:rPr>
        <w:t xml:space="preserve"> </w:t>
      </w:r>
      <w:r>
        <w:t>serem</w:t>
      </w:r>
      <w:r>
        <w:rPr>
          <w:spacing w:val="-15"/>
        </w:rPr>
        <w:t xml:space="preserve"> </w:t>
      </w:r>
      <w:r>
        <w:t>superados</w:t>
      </w:r>
      <w:r>
        <w:rPr>
          <w:spacing w:val="-15"/>
        </w:rPr>
        <w:t xml:space="preserve"> </w:t>
      </w:r>
      <w:r>
        <w:t>na</w:t>
      </w:r>
      <w:r>
        <w:rPr>
          <w:spacing w:val="-15"/>
        </w:rPr>
        <w:t xml:space="preserve"> </w:t>
      </w:r>
      <w:r>
        <w:t>consecução</w:t>
      </w:r>
      <w:r>
        <w:rPr>
          <w:spacing w:val="-15"/>
        </w:rPr>
        <w:t xml:space="preserve"> </w:t>
      </w:r>
      <w:r>
        <w:t>do</w:t>
      </w:r>
      <w:r>
        <w:rPr>
          <w:spacing w:val="-13"/>
        </w:rPr>
        <w:t xml:space="preserve"> </w:t>
      </w:r>
      <w:r>
        <w:t>interesse</w:t>
      </w:r>
      <w:r>
        <w:rPr>
          <w:spacing w:val="-15"/>
        </w:rPr>
        <w:t xml:space="preserve"> </w:t>
      </w:r>
      <w:r>
        <w:t>público,</w:t>
      </w:r>
      <w:r>
        <w:rPr>
          <w:spacing w:val="-13"/>
        </w:rPr>
        <w:t xml:space="preserve"> </w:t>
      </w:r>
      <w:r>
        <w:t>sejam</w:t>
      </w:r>
      <w:r>
        <w:rPr>
          <w:spacing w:val="-15"/>
        </w:rPr>
        <w:t xml:space="preserve"> </w:t>
      </w:r>
      <w:r>
        <w:t>eles</w:t>
      </w:r>
      <w:r>
        <w:rPr>
          <w:spacing w:val="-11"/>
        </w:rPr>
        <w:t xml:space="preserve"> </w:t>
      </w:r>
      <w:r>
        <w:t>internos</w:t>
      </w:r>
      <w:r>
        <w:rPr>
          <w:spacing w:val="-15"/>
        </w:rPr>
        <w:t xml:space="preserve"> </w:t>
      </w:r>
      <w:r>
        <w:t>ou</w:t>
      </w:r>
      <w:r>
        <w:rPr>
          <w:spacing w:val="-11"/>
        </w:rPr>
        <w:t xml:space="preserve"> </w:t>
      </w:r>
      <w:r>
        <w:t>externos, bem como os fatores que comprometem, ou podem comprometer, a efetividade do serviço público que se almeja prestar.</w:t>
      </w:r>
    </w:p>
    <w:p w:rsidR="007259F2" w:rsidRDefault="00E655B4">
      <w:pPr>
        <w:pStyle w:val="Heading2"/>
        <w:numPr>
          <w:ilvl w:val="1"/>
          <w:numId w:val="19"/>
        </w:numPr>
        <w:tabs>
          <w:tab w:val="left" w:pos="1208"/>
        </w:tabs>
        <w:spacing w:before="206"/>
        <w:ind w:left="1208" w:hanging="359"/>
        <w:jc w:val="both"/>
      </w:pPr>
      <w:r>
        <w:t>Trilha</w:t>
      </w:r>
      <w:r>
        <w:rPr>
          <w:spacing w:val="-8"/>
        </w:rPr>
        <w:t xml:space="preserve"> </w:t>
      </w:r>
      <w:r>
        <w:rPr>
          <w:spacing w:val="-2"/>
        </w:rPr>
        <w:t>Comum</w:t>
      </w:r>
    </w:p>
    <w:p w:rsidR="007259F2" w:rsidRDefault="00E655B4">
      <w:pPr>
        <w:pStyle w:val="Corpodetexto"/>
        <w:spacing w:before="113"/>
        <w:ind w:right="422"/>
      </w:pPr>
      <w:r>
        <w:t>Esta etapa se destina a definir o objeto da licitação e qual a melhor modalidade a ser utilizada.</w:t>
      </w:r>
      <w:r>
        <w:rPr>
          <w:spacing w:val="-15"/>
        </w:rPr>
        <w:t xml:space="preserve"> </w:t>
      </w:r>
      <w:r>
        <w:t>Veja-se</w:t>
      </w:r>
      <w:r>
        <w:rPr>
          <w:spacing w:val="-15"/>
        </w:rPr>
        <w:t xml:space="preserve"> </w:t>
      </w:r>
      <w:r>
        <w:t>que</w:t>
      </w:r>
      <w:r>
        <w:rPr>
          <w:spacing w:val="-15"/>
        </w:rPr>
        <w:t xml:space="preserve"> </w:t>
      </w:r>
      <w:r>
        <w:t>neste</w:t>
      </w:r>
      <w:r>
        <w:rPr>
          <w:spacing w:val="-15"/>
        </w:rPr>
        <w:t xml:space="preserve"> </w:t>
      </w:r>
      <w:r>
        <w:t>momento,</w:t>
      </w:r>
      <w:r>
        <w:rPr>
          <w:spacing w:val="-15"/>
        </w:rPr>
        <w:t xml:space="preserve"> </w:t>
      </w:r>
      <w:r>
        <w:t>assim</w:t>
      </w:r>
      <w:r>
        <w:rPr>
          <w:spacing w:val="-15"/>
        </w:rPr>
        <w:t xml:space="preserve"> </w:t>
      </w:r>
      <w:r>
        <w:t>estabelecido</w:t>
      </w:r>
      <w:r>
        <w:rPr>
          <w:spacing w:val="-15"/>
        </w:rPr>
        <w:t xml:space="preserve"> </w:t>
      </w:r>
      <w:r>
        <w:t>como</w:t>
      </w:r>
      <w:r>
        <w:rPr>
          <w:spacing w:val="-15"/>
        </w:rPr>
        <w:t xml:space="preserve"> </w:t>
      </w:r>
      <w:r>
        <w:t>“Trilha</w:t>
      </w:r>
      <w:r>
        <w:rPr>
          <w:spacing w:val="-15"/>
        </w:rPr>
        <w:t xml:space="preserve"> </w:t>
      </w:r>
      <w:r>
        <w:t>Comum”,</w:t>
      </w:r>
      <w:r>
        <w:rPr>
          <w:spacing w:val="-15"/>
        </w:rPr>
        <w:t xml:space="preserve"> </w:t>
      </w:r>
      <w:r>
        <w:t>a</w:t>
      </w:r>
      <w:r>
        <w:rPr>
          <w:spacing w:val="-15"/>
        </w:rPr>
        <w:t xml:space="preserve"> </w:t>
      </w:r>
      <w:r>
        <w:t>modalidade de</w:t>
      </w:r>
      <w:r>
        <w:rPr>
          <w:spacing w:val="-14"/>
        </w:rPr>
        <w:t xml:space="preserve"> </w:t>
      </w:r>
      <w:r>
        <w:t>licitação</w:t>
      </w:r>
      <w:r>
        <w:rPr>
          <w:spacing w:val="-5"/>
        </w:rPr>
        <w:t xml:space="preserve"> </w:t>
      </w:r>
      <w:r>
        <w:t>ainda</w:t>
      </w:r>
      <w:r>
        <w:rPr>
          <w:spacing w:val="-9"/>
        </w:rPr>
        <w:t xml:space="preserve"> </w:t>
      </w:r>
      <w:r>
        <w:t>não</w:t>
      </w:r>
      <w:r>
        <w:rPr>
          <w:spacing w:val="-5"/>
        </w:rPr>
        <w:t xml:space="preserve"> </w:t>
      </w:r>
      <w:r>
        <w:t>foi</w:t>
      </w:r>
      <w:r>
        <w:rPr>
          <w:spacing w:val="-13"/>
        </w:rPr>
        <w:t xml:space="preserve"> </w:t>
      </w:r>
      <w:r>
        <w:t>definida,</w:t>
      </w:r>
      <w:r>
        <w:rPr>
          <w:spacing w:val="-11"/>
        </w:rPr>
        <w:t xml:space="preserve"> </w:t>
      </w:r>
      <w:r>
        <w:t>de</w:t>
      </w:r>
      <w:r>
        <w:rPr>
          <w:spacing w:val="-9"/>
        </w:rPr>
        <w:t xml:space="preserve"> </w:t>
      </w:r>
      <w:r>
        <w:t>maneira</w:t>
      </w:r>
      <w:r>
        <w:rPr>
          <w:spacing w:val="-14"/>
        </w:rPr>
        <w:t xml:space="preserve"> </w:t>
      </w:r>
      <w:r>
        <w:t>que</w:t>
      </w:r>
      <w:r>
        <w:rPr>
          <w:spacing w:val="-6"/>
        </w:rPr>
        <w:t xml:space="preserve"> </w:t>
      </w:r>
      <w:r>
        <w:t>podemos</w:t>
      </w:r>
      <w:r>
        <w:rPr>
          <w:spacing w:val="-12"/>
        </w:rPr>
        <w:t xml:space="preserve"> </w:t>
      </w:r>
      <w:r>
        <w:t>entendê-la</w:t>
      </w:r>
      <w:r>
        <w:rPr>
          <w:spacing w:val="-12"/>
        </w:rPr>
        <w:t xml:space="preserve"> </w:t>
      </w:r>
      <w:r>
        <w:t>como</w:t>
      </w:r>
      <w:r>
        <w:rPr>
          <w:spacing w:val="-7"/>
        </w:rPr>
        <w:t xml:space="preserve"> </w:t>
      </w:r>
      <w:r>
        <w:t>um</w:t>
      </w:r>
      <w:r>
        <w:rPr>
          <w:spacing w:val="-15"/>
        </w:rPr>
        <w:t xml:space="preserve"> </w:t>
      </w:r>
      <w:r>
        <w:t>caminho</w:t>
      </w:r>
      <w:r>
        <w:rPr>
          <w:spacing w:val="-8"/>
        </w:rPr>
        <w:t xml:space="preserve"> </w:t>
      </w:r>
      <w:r>
        <w:t>a</w:t>
      </w:r>
      <w:r>
        <w:rPr>
          <w:spacing w:val="-14"/>
        </w:rPr>
        <w:t xml:space="preserve"> </w:t>
      </w:r>
      <w:r>
        <w:t>ser percorrido</w:t>
      </w:r>
      <w:r>
        <w:rPr>
          <w:spacing w:val="37"/>
        </w:rPr>
        <w:t xml:space="preserve"> </w:t>
      </w:r>
      <w:r>
        <w:t>na</w:t>
      </w:r>
      <w:r>
        <w:rPr>
          <w:spacing w:val="38"/>
        </w:rPr>
        <w:t xml:space="preserve"> </w:t>
      </w:r>
      <w:r>
        <w:t>fase</w:t>
      </w:r>
      <w:r>
        <w:rPr>
          <w:spacing w:val="38"/>
        </w:rPr>
        <w:t xml:space="preserve"> </w:t>
      </w:r>
      <w:r>
        <w:t>de</w:t>
      </w:r>
      <w:r>
        <w:rPr>
          <w:spacing w:val="39"/>
        </w:rPr>
        <w:t xml:space="preserve"> </w:t>
      </w:r>
      <w:r>
        <w:t>planejamento</w:t>
      </w:r>
      <w:r>
        <w:rPr>
          <w:spacing w:val="40"/>
        </w:rPr>
        <w:t xml:space="preserve"> </w:t>
      </w:r>
      <w:r>
        <w:t>licitatório</w:t>
      </w:r>
      <w:r>
        <w:rPr>
          <w:spacing w:val="39"/>
        </w:rPr>
        <w:t xml:space="preserve"> </w:t>
      </w:r>
      <w:r>
        <w:t>e</w:t>
      </w:r>
      <w:r>
        <w:rPr>
          <w:spacing w:val="41"/>
        </w:rPr>
        <w:t xml:space="preserve"> </w:t>
      </w:r>
      <w:r>
        <w:t>comum</w:t>
      </w:r>
      <w:r>
        <w:rPr>
          <w:spacing w:val="41"/>
        </w:rPr>
        <w:t xml:space="preserve"> </w:t>
      </w:r>
      <w:r>
        <w:t>a</w:t>
      </w:r>
      <w:r>
        <w:rPr>
          <w:spacing w:val="38"/>
        </w:rPr>
        <w:t xml:space="preserve"> </w:t>
      </w:r>
      <w:r>
        <w:t>todos</w:t>
      </w:r>
      <w:r>
        <w:rPr>
          <w:spacing w:val="40"/>
        </w:rPr>
        <w:t xml:space="preserve"> </w:t>
      </w:r>
      <w:r>
        <w:t>as</w:t>
      </w:r>
      <w:r>
        <w:rPr>
          <w:spacing w:val="39"/>
        </w:rPr>
        <w:t xml:space="preserve"> </w:t>
      </w:r>
      <w:r>
        <w:t>modalidades,</w:t>
      </w:r>
      <w:r>
        <w:rPr>
          <w:spacing w:val="40"/>
        </w:rPr>
        <w:t xml:space="preserve"> </w:t>
      </w:r>
      <w:r>
        <w:rPr>
          <w:spacing w:val="-2"/>
        </w:rPr>
        <w:t>havendo,</w:t>
      </w:r>
    </w:p>
    <w:p w:rsidR="007259F2" w:rsidRDefault="007259F2">
      <w:pPr>
        <w:pStyle w:val="Corpodetexto"/>
        <w:sectPr w:rsidR="007259F2">
          <w:pgSz w:w="11910" w:h="16840"/>
          <w:pgMar w:top="1600" w:right="708" w:bottom="1020" w:left="992" w:header="0" w:footer="820" w:gutter="0"/>
          <w:cols w:space="720"/>
        </w:sectPr>
      </w:pPr>
    </w:p>
    <w:p w:rsidR="007259F2" w:rsidRDefault="00E655B4">
      <w:pPr>
        <w:pStyle w:val="Corpodetexto"/>
        <w:spacing w:before="75"/>
        <w:ind w:right="422" w:firstLine="0"/>
        <w:jc w:val="left"/>
      </w:pPr>
      <w:r>
        <w:lastRenderedPageBreak/>
        <w:t>inclusive,</w:t>
      </w:r>
      <w:r>
        <w:rPr>
          <w:spacing w:val="-15"/>
        </w:rPr>
        <w:t xml:space="preserve"> </w:t>
      </w:r>
      <w:r>
        <w:t>a</w:t>
      </w:r>
      <w:r>
        <w:rPr>
          <w:spacing w:val="-15"/>
        </w:rPr>
        <w:t xml:space="preserve"> </w:t>
      </w:r>
      <w:r>
        <w:t>possibilidade</w:t>
      </w:r>
      <w:r>
        <w:rPr>
          <w:spacing w:val="-15"/>
        </w:rPr>
        <w:t xml:space="preserve"> </w:t>
      </w:r>
      <w:r>
        <w:t>de</w:t>
      </w:r>
      <w:r>
        <w:rPr>
          <w:spacing w:val="-15"/>
        </w:rPr>
        <w:t xml:space="preserve"> </w:t>
      </w:r>
      <w:r>
        <w:t>sequer</w:t>
      </w:r>
      <w:r>
        <w:rPr>
          <w:spacing w:val="-15"/>
        </w:rPr>
        <w:t xml:space="preserve"> </w:t>
      </w:r>
      <w:r>
        <w:t>ter-se</w:t>
      </w:r>
      <w:r>
        <w:rPr>
          <w:spacing w:val="-15"/>
        </w:rPr>
        <w:t xml:space="preserve"> </w:t>
      </w:r>
      <w:r>
        <w:t>iniciado</w:t>
      </w:r>
      <w:r>
        <w:rPr>
          <w:spacing w:val="-15"/>
        </w:rPr>
        <w:t xml:space="preserve"> </w:t>
      </w:r>
      <w:r>
        <w:t>qualquer</w:t>
      </w:r>
      <w:r>
        <w:rPr>
          <w:spacing w:val="-15"/>
        </w:rPr>
        <w:t xml:space="preserve"> </w:t>
      </w:r>
      <w:r>
        <w:t>procedimento</w:t>
      </w:r>
      <w:r>
        <w:rPr>
          <w:spacing w:val="-15"/>
        </w:rPr>
        <w:t xml:space="preserve"> </w:t>
      </w:r>
      <w:r>
        <w:t>licitatório,</w:t>
      </w:r>
      <w:r>
        <w:rPr>
          <w:spacing w:val="-15"/>
        </w:rPr>
        <w:t xml:space="preserve"> </w:t>
      </w:r>
      <w:r>
        <w:t>na</w:t>
      </w:r>
      <w:r>
        <w:rPr>
          <w:spacing w:val="-15"/>
        </w:rPr>
        <w:t xml:space="preserve"> </w:t>
      </w:r>
      <w:r>
        <w:t>medida que poderá optar-se por não licitar.</w:t>
      </w:r>
    </w:p>
    <w:p w:rsidR="007259F2" w:rsidRDefault="00E655B4">
      <w:pPr>
        <w:pStyle w:val="Corpodetexto"/>
        <w:ind w:right="423"/>
      </w:pPr>
      <w:r>
        <w:t>A</w:t>
      </w:r>
      <w:r>
        <w:rPr>
          <w:spacing w:val="-1"/>
        </w:rPr>
        <w:t xml:space="preserve"> </w:t>
      </w:r>
      <w:r>
        <w:t>diferenciação se dará quando houver a definição da modalidade que melhor atende aos interesses públicos.</w:t>
      </w:r>
    </w:p>
    <w:p w:rsidR="007259F2" w:rsidRDefault="00E655B4">
      <w:pPr>
        <w:pStyle w:val="Heading2"/>
        <w:numPr>
          <w:ilvl w:val="1"/>
          <w:numId w:val="19"/>
        </w:numPr>
        <w:tabs>
          <w:tab w:val="left" w:pos="1208"/>
        </w:tabs>
        <w:ind w:left="1208" w:hanging="359"/>
        <w:jc w:val="both"/>
      </w:pPr>
      <w:r>
        <w:t>Preparação</w:t>
      </w:r>
      <w:r>
        <w:rPr>
          <w:spacing w:val="-12"/>
        </w:rPr>
        <w:t xml:space="preserve"> </w:t>
      </w:r>
      <w:r>
        <w:rPr>
          <w:spacing w:val="-2"/>
        </w:rPr>
        <w:t>Interna</w:t>
      </w:r>
    </w:p>
    <w:p w:rsidR="007259F2" w:rsidRDefault="00E655B4">
      <w:pPr>
        <w:pStyle w:val="Corpodetexto"/>
        <w:spacing w:before="113"/>
        <w:ind w:right="421"/>
      </w:pPr>
      <w:r>
        <w:t>Nesta etapa são definidas as regras da licitação e os critérios de pré-seleção para divulgação do certame, bem como designam-se os servidores que irão compor a comissão de contratação que, de acordo com inciso XI, do §1º</w:t>
      </w:r>
      <w:r>
        <w:rPr>
          <w:spacing w:val="-2"/>
        </w:rPr>
        <w:t xml:space="preserve"> </w:t>
      </w:r>
      <w:r>
        <w:t>do art. 32, será composta por três servidores efetivos ou empregados públicos pertencentes aos quadros permanentes da Administração, sendo facultada, ainda, a contratação de assessoramento técnico para auxiliar a comissão.</w:t>
      </w:r>
    </w:p>
    <w:p w:rsidR="007259F2" w:rsidRDefault="00E655B4">
      <w:pPr>
        <w:pStyle w:val="Corpodetexto"/>
        <w:ind w:right="419"/>
      </w:pPr>
      <w:r>
        <w:t>Em todo o caso, os profissionais contratados para o assessoramento técnico assinarão termo</w:t>
      </w:r>
      <w:r>
        <w:rPr>
          <w:spacing w:val="-2"/>
        </w:rPr>
        <w:t xml:space="preserve"> </w:t>
      </w:r>
      <w:r>
        <w:t>de</w:t>
      </w:r>
      <w:r>
        <w:rPr>
          <w:spacing w:val="-2"/>
        </w:rPr>
        <w:t xml:space="preserve"> </w:t>
      </w:r>
      <w:r>
        <w:t>confidencialidade,</w:t>
      </w:r>
      <w:r>
        <w:rPr>
          <w:spacing w:val="-8"/>
        </w:rPr>
        <w:t xml:space="preserve"> </w:t>
      </w:r>
      <w:r>
        <w:t>isto</w:t>
      </w:r>
      <w:r>
        <w:rPr>
          <w:spacing w:val="-15"/>
        </w:rPr>
        <w:t xml:space="preserve"> </w:t>
      </w:r>
      <w:r>
        <w:t>para</w:t>
      </w:r>
      <w:r>
        <w:rPr>
          <w:spacing w:val="-14"/>
        </w:rPr>
        <w:t xml:space="preserve"> </w:t>
      </w:r>
      <w:r>
        <w:t>garantir</w:t>
      </w:r>
      <w:r>
        <w:rPr>
          <w:spacing w:val="-13"/>
        </w:rPr>
        <w:t xml:space="preserve"> </w:t>
      </w:r>
      <w:r>
        <w:t>o</w:t>
      </w:r>
      <w:r>
        <w:rPr>
          <w:spacing w:val="-11"/>
        </w:rPr>
        <w:t xml:space="preserve"> </w:t>
      </w:r>
      <w:r>
        <w:t>sigilo</w:t>
      </w:r>
      <w:r>
        <w:rPr>
          <w:spacing w:val="-10"/>
        </w:rPr>
        <w:t xml:space="preserve"> </w:t>
      </w:r>
      <w:r>
        <w:t>das</w:t>
      </w:r>
      <w:r>
        <w:rPr>
          <w:spacing w:val="-15"/>
        </w:rPr>
        <w:t xml:space="preserve"> </w:t>
      </w:r>
      <w:r>
        <w:t>propostas</w:t>
      </w:r>
      <w:r>
        <w:rPr>
          <w:spacing w:val="-15"/>
        </w:rPr>
        <w:t xml:space="preserve"> </w:t>
      </w:r>
      <w:r>
        <w:t>comerciais</w:t>
      </w:r>
      <w:r>
        <w:rPr>
          <w:spacing w:val="-14"/>
        </w:rPr>
        <w:t xml:space="preserve"> </w:t>
      </w:r>
      <w:r>
        <w:t>apresentadas</w:t>
      </w:r>
      <w:r>
        <w:rPr>
          <w:spacing w:val="-10"/>
        </w:rPr>
        <w:t xml:space="preserve"> </w:t>
      </w:r>
      <w:r>
        <w:t>na fase de diálogo.</w:t>
      </w:r>
    </w:p>
    <w:p w:rsidR="007259F2" w:rsidRDefault="00E655B4">
      <w:pPr>
        <w:pStyle w:val="Corpodetexto"/>
        <w:ind w:right="424"/>
      </w:pPr>
      <w:r>
        <w:t>Após a delimitação do objeto e critérios de pré-seleção, iniciam-se os atos licitatórios propriamente</w:t>
      </w:r>
      <w:r>
        <w:rPr>
          <w:spacing w:val="-4"/>
        </w:rPr>
        <w:t xml:space="preserve"> </w:t>
      </w:r>
      <w:r>
        <w:t>ditos,</w:t>
      </w:r>
      <w:r>
        <w:rPr>
          <w:spacing w:val="-1"/>
        </w:rPr>
        <w:t xml:space="preserve"> </w:t>
      </w:r>
      <w:r>
        <w:t>publicando-se</w:t>
      </w:r>
      <w:r>
        <w:rPr>
          <w:spacing w:val="-4"/>
        </w:rPr>
        <w:t xml:space="preserve"> </w:t>
      </w:r>
      <w:r>
        <w:t>o primeiro</w:t>
      </w:r>
      <w:r>
        <w:rPr>
          <w:spacing w:val="-2"/>
        </w:rPr>
        <w:t xml:space="preserve"> </w:t>
      </w:r>
      <w:r>
        <w:t>edital,</w:t>
      </w:r>
      <w:r>
        <w:rPr>
          <w:spacing w:val="-1"/>
        </w:rPr>
        <w:t xml:space="preserve"> </w:t>
      </w:r>
      <w:r>
        <w:t>que</w:t>
      </w:r>
      <w:r>
        <w:rPr>
          <w:spacing w:val="-2"/>
        </w:rPr>
        <w:t xml:space="preserve"> </w:t>
      </w:r>
      <w:r>
        <w:t>se</w:t>
      </w:r>
      <w:r>
        <w:rPr>
          <w:spacing w:val="-4"/>
        </w:rPr>
        <w:t xml:space="preserve"> </w:t>
      </w:r>
      <w:r>
        <w:t>destina</w:t>
      </w:r>
      <w:r>
        <w:rPr>
          <w:spacing w:val="-4"/>
        </w:rPr>
        <w:t xml:space="preserve"> </w:t>
      </w:r>
      <w:r>
        <w:t>a</w:t>
      </w:r>
      <w:r>
        <w:rPr>
          <w:spacing w:val="-4"/>
        </w:rPr>
        <w:t xml:space="preserve"> </w:t>
      </w:r>
      <w:r>
        <w:t>realizar a</w:t>
      </w:r>
      <w:r>
        <w:rPr>
          <w:spacing w:val="-4"/>
        </w:rPr>
        <w:t xml:space="preserve"> </w:t>
      </w:r>
      <w:r>
        <w:t>pré-seleção</w:t>
      </w:r>
      <w:r>
        <w:rPr>
          <w:spacing w:val="-1"/>
        </w:rPr>
        <w:t xml:space="preserve"> </w:t>
      </w:r>
      <w:r>
        <w:t>dos candidatos interessados.</w:t>
      </w:r>
    </w:p>
    <w:p w:rsidR="007259F2" w:rsidRDefault="00E655B4">
      <w:pPr>
        <w:pStyle w:val="Corpodetexto"/>
        <w:ind w:right="418"/>
      </w:pPr>
      <w:r>
        <w:t>Consoante suas disposições, podemos verificar que</w:t>
      </w:r>
      <w:r>
        <w:rPr>
          <w:spacing w:val="-2"/>
        </w:rPr>
        <w:t xml:space="preserve"> </w:t>
      </w:r>
      <w:r>
        <w:t>o diálogo competitivo é divido em três fazes: i) pré-qualificação; ii) diálogo; e iii) competitiva.</w:t>
      </w:r>
    </w:p>
    <w:p w:rsidR="007259F2" w:rsidRDefault="00E655B4">
      <w:pPr>
        <w:pStyle w:val="Heading2"/>
        <w:numPr>
          <w:ilvl w:val="1"/>
          <w:numId w:val="19"/>
        </w:numPr>
        <w:tabs>
          <w:tab w:val="left" w:pos="1208"/>
        </w:tabs>
        <w:ind w:left="1208" w:hanging="359"/>
        <w:jc w:val="both"/>
      </w:pPr>
      <w:r>
        <w:t>Seleção</w:t>
      </w:r>
      <w:r>
        <w:rPr>
          <w:spacing w:val="-8"/>
        </w:rPr>
        <w:t xml:space="preserve"> </w:t>
      </w:r>
      <w:r>
        <w:rPr>
          <w:spacing w:val="-2"/>
        </w:rPr>
        <w:t>Prévia</w:t>
      </w:r>
    </w:p>
    <w:p w:rsidR="007259F2" w:rsidRDefault="00E655B4">
      <w:pPr>
        <w:pStyle w:val="Corpodetexto"/>
        <w:spacing w:before="113"/>
        <w:ind w:right="429"/>
      </w:pPr>
      <w:r>
        <w:t>Na fase inaugural do procedimento, a Administração delimita e apresenta suas necessidades e exigências aos potenciais interessados, através de edital publicado no diário oficial, com prazo mínimo de 25 (vinte e cinco) dias para manifestação.</w:t>
      </w:r>
    </w:p>
    <w:p w:rsidR="007259F2" w:rsidRDefault="00E655B4">
      <w:pPr>
        <w:pStyle w:val="Corpodetexto"/>
        <w:ind w:right="423"/>
      </w:pPr>
      <w:r>
        <w:t>Pois</w:t>
      </w:r>
      <w:r>
        <w:rPr>
          <w:spacing w:val="-3"/>
        </w:rPr>
        <w:t xml:space="preserve"> </w:t>
      </w:r>
      <w:r>
        <w:t>bem.</w:t>
      </w:r>
      <w:r>
        <w:rPr>
          <w:spacing w:val="-3"/>
        </w:rPr>
        <w:t xml:space="preserve"> </w:t>
      </w:r>
      <w:r>
        <w:t>Delimitado</w:t>
      </w:r>
      <w:r>
        <w:rPr>
          <w:spacing w:val="-3"/>
        </w:rPr>
        <w:t xml:space="preserve"> </w:t>
      </w:r>
      <w:r>
        <w:t>o</w:t>
      </w:r>
      <w:r>
        <w:rPr>
          <w:spacing w:val="-3"/>
        </w:rPr>
        <w:t xml:space="preserve"> </w:t>
      </w:r>
      <w:r>
        <w:t>objeto,</w:t>
      </w:r>
      <w:r>
        <w:rPr>
          <w:spacing w:val="-3"/>
        </w:rPr>
        <w:t xml:space="preserve"> </w:t>
      </w:r>
      <w:r>
        <w:t>os</w:t>
      </w:r>
      <w:r>
        <w:rPr>
          <w:spacing w:val="-3"/>
        </w:rPr>
        <w:t xml:space="preserve"> </w:t>
      </w:r>
      <w:r>
        <w:t>requisitos</w:t>
      </w:r>
      <w:r>
        <w:rPr>
          <w:spacing w:val="-3"/>
        </w:rPr>
        <w:t xml:space="preserve"> </w:t>
      </w:r>
      <w:r>
        <w:t>e</w:t>
      </w:r>
      <w:r>
        <w:rPr>
          <w:spacing w:val="-3"/>
        </w:rPr>
        <w:t xml:space="preserve"> </w:t>
      </w:r>
      <w:r>
        <w:t>qualificação</w:t>
      </w:r>
      <w:r>
        <w:rPr>
          <w:spacing w:val="-1"/>
        </w:rPr>
        <w:t xml:space="preserve"> </w:t>
      </w:r>
      <w:r>
        <w:t>técnica,</w:t>
      </w:r>
      <w:r>
        <w:rPr>
          <w:spacing w:val="-3"/>
        </w:rPr>
        <w:t xml:space="preserve"> </w:t>
      </w:r>
      <w:r>
        <w:t>segue-se</w:t>
      </w:r>
      <w:r>
        <w:rPr>
          <w:spacing w:val="-2"/>
        </w:rPr>
        <w:t xml:space="preserve"> </w:t>
      </w:r>
      <w:r>
        <w:t>à</w:t>
      </w:r>
      <w:r>
        <w:rPr>
          <w:spacing w:val="-4"/>
        </w:rPr>
        <w:t xml:space="preserve"> </w:t>
      </w:r>
      <w:r>
        <w:t>etapa</w:t>
      </w:r>
      <w:r>
        <w:rPr>
          <w:spacing w:val="-4"/>
        </w:rPr>
        <w:t xml:space="preserve"> </w:t>
      </w:r>
      <w:r>
        <w:t>de pré-seleção dos candidatos que preencherem os requisitos mínimos para participação.</w:t>
      </w:r>
    </w:p>
    <w:p w:rsidR="007259F2" w:rsidRDefault="00E655B4">
      <w:pPr>
        <w:pStyle w:val="Corpodetexto"/>
        <w:ind w:right="423"/>
      </w:pPr>
      <w:r>
        <w:t>Trata-se de uma fase existente apenas nesta modalidade licitatória, uma vez que o rito adotado nas demais modalidades segue as disposições do art. 17 da Lei de Licitações:</w:t>
      </w:r>
    </w:p>
    <w:p w:rsidR="007259F2" w:rsidRDefault="007259F2">
      <w:pPr>
        <w:pStyle w:val="Corpodetexto"/>
        <w:spacing w:before="9"/>
        <w:ind w:left="0" w:firstLine="0"/>
        <w:jc w:val="left"/>
      </w:pPr>
    </w:p>
    <w:p w:rsidR="007259F2" w:rsidRDefault="00E655B4">
      <w:pPr>
        <w:ind w:left="2978"/>
        <w:rPr>
          <w:sz w:val="20"/>
        </w:rPr>
      </w:pPr>
      <w:r>
        <w:rPr>
          <w:sz w:val="20"/>
        </w:rPr>
        <w:t>Art.</w:t>
      </w:r>
      <w:r>
        <w:rPr>
          <w:spacing w:val="-13"/>
          <w:sz w:val="20"/>
        </w:rPr>
        <w:t xml:space="preserve"> </w:t>
      </w:r>
      <w:r>
        <w:rPr>
          <w:sz w:val="20"/>
        </w:rPr>
        <w:t>17.</w:t>
      </w:r>
      <w:r>
        <w:rPr>
          <w:spacing w:val="-8"/>
          <w:sz w:val="20"/>
        </w:rPr>
        <w:t xml:space="preserve"> </w:t>
      </w:r>
      <w:r>
        <w:rPr>
          <w:sz w:val="20"/>
        </w:rPr>
        <w:t>O</w:t>
      </w:r>
      <w:r>
        <w:rPr>
          <w:spacing w:val="-12"/>
          <w:sz w:val="20"/>
        </w:rPr>
        <w:t xml:space="preserve"> </w:t>
      </w:r>
      <w:r>
        <w:rPr>
          <w:sz w:val="20"/>
        </w:rPr>
        <w:t>processo</w:t>
      </w:r>
      <w:r>
        <w:rPr>
          <w:spacing w:val="-10"/>
          <w:sz w:val="20"/>
        </w:rPr>
        <w:t xml:space="preserve"> </w:t>
      </w:r>
      <w:r>
        <w:rPr>
          <w:sz w:val="20"/>
        </w:rPr>
        <w:t>de</w:t>
      </w:r>
      <w:r>
        <w:rPr>
          <w:spacing w:val="-11"/>
          <w:sz w:val="20"/>
        </w:rPr>
        <w:t xml:space="preserve"> </w:t>
      </w:r>
      <w:r>
        <w:rPr>
          <w:sz w:val="20"/>
        </w:rPr>
        <w:t>licitação</w:t>
      </w:r>
      <w:r>
        <w:rPr>
          <w:spacing w:val="-9"/>
          <w:sz w:val="20"/>
        </w:rPr>
        <w:t xml:space="preserve"> </w:t>
      </w:r>
      <w:r>
        <w:rPr>
          <w:sz w:val="20"/>
        </w:rPr>
        <w:t>observará</w:t>
      </w:r>
      <w:r>
        <w:rPr>
          <w:spacing w:val="-10"/>
          <w:sz w:val="20"/>
        </w:rPr>
        <w:t xml:space="preserve"> </w:t>
      </w:r>
      <w:r>
        <w:rPr>
          <w:sz w:val="20"/>
        </w:rPr>
        <w:t>as</w:t>
      </w:r>
      <w:r>
        <w:rPr>
          <w:spacing w:val="-13"/>
          <w:sz w:val="20"/>
        </w:rPr>
        <w:t xml:space="preserve"> </w:t>
      </w:r>
      <w:r>
        <w:rPr>
          <w:sz w:val="20"/>
        </w:rPr>
        <w:t>seguintes</w:t>
      </w:r>
      <w:r>
        <w:rPr>
          <w:spacing w:val="-7"/>
          <w:sz w:val="20"/>
        </w:rPr>
        <w:t xml:space="preserve"> </w:t>
      </w:r>
      <w:r>
        <w:rPr>
          <w:sz w:val="20"/>
        </w:rPr>
        <w:t>fases,</w:t>
      </w:r>
      <w:r>
        <w:rPr>
          <w:spacing w:val="-9"/>
          <w:sz w:val="20"/>
        </w:rPr>
        <w:t xml:space="preserve"> </w:t>
      </w:r>
      <w:r>
        <w:rPr>
          <w:sz w:val="20"/>
        </w:rPr>
        <w:t>em</w:t>
      </w:r>
      <w:r>
        <w:rPr>
          <w:spacing w:val="-7"/>
          <w:sz w:val="20"/>
        </w:rPr>
        <w:t xml:space="preserve"> </w:t>
      </w:r>
      <w:r>
        <w:rPr>
          <w:spacing w:val="-2"/>
          <w:sz w:val="20"/>
        </w:rPr>
        <w:t>sequência:</w:t>
      </w:r>
    </w:p>
    <w:p w:rsidR="007259F2" w:rsidRDefault="00E655B4">
      <w:pPr>
        <w:pStyle w:val="PargrafodaLista"/>
        <w:numPr>
          <w:ilvl w:val="2"/>
          <w:numId w:val="19"/>
        </w:numPr>
        <w:tabs>
          <w:tab w:val="left" w:pos="3698"/>
        </w:tabs>
        <w:ind w:hanging="477"/>
        <w:jc w:val="left"/>
        <w:rPr>
          <w:sz w:val="20"/>
        </w:rPr>
      </w:pPr>
      <w:r>
        <w:rPr>
          <w:spacing w:val="-2"/>
          <w:sz w:val="20"/>
        </w:rPr>
        <w:t>preparatória;</w:t>
      </w:r>
    </w:p>
    <w:p w:rsidR="007259F2" w:rsidRDefault="00E655B4">
      <w:pPr>
        <w:pStyle w:val="PargrafodaLista"/>
        <w:numPr>
          <w:ilvl w:val="2"/>
          <w:numId w:val="19"/>
        </w:numPr>
        <w:tabs>
          <w:tab w:val="left" w:pos="3698"/>
        </w:tabs>
        <w:spacing w:before="1"/>
        <w:ind w:hanging="542"/>
        <w:jc w:val="left"/>
        <w:rPr>
          <w:sz w:val="20"/>
        </w:rPr>
      </w:pPr>
      <w:r>
        <w:rPr>
          <w:sz w:val="20"/>
        </w:rPr>
        <w:t>de</w:t>
      </w:r>
      <w:r>
        <w:rPr>
          <w:spacing w:val="-4"/>
          <w:sz w:val="20"/>
        </w:rPr>
        <w:t xml:space="preserve"> </w:t>
      </w:r>
      <w:r>
        <w:rPr>
          <w:sz w:val="20"/>
        </w:rPr>
        <w:t>divulgação</w:t>
      </w:r>
      <w:r>
        <w:rPr>
          <w:spacing w:val="-4"/>
          <w:sz w:val="20"/>
        </w:rPr>
        <w:t xml:space="preserve"> </w:t>
      </w:r>
      <w:r>
        <w:rPr>
          <w:sz w:val="20"/>
        </w:rPr>
        <w:t>do</w:t>
      </w:r>
      <w:r>
        <w:rPr>
          <w:spacing w:val="-3"/>
          <w:sz w:val="20"/>
        </w:rPr>
        <w:t xml:space="preserve"> </w:t>
      </w:r>
      <w:r>
        <w:rPr>
          <w:sz w:val="20"/>
        </w:rPr>
        <w:t>edital</w:t>
      </w:r>
      <w:r>
        <w:rPr>
          <w:spacing w:val="-4"/>
          <w:sz w:val="20"/>
        </w:rPr>
        <w:t xml:space="preserve"> </w:t>
      </w:r>
      <w:r>
        <w:rPr>
          <w:sz w:val="20"/>
        </w:rPr>
        <w:t>de</w:t>
      </w:r>
      <w:r>
        <w:rPr>
          <w:spacing w:val="-4"/>
          <w:sz w:val="20"/>
        </w:rPr>
        <w:t xml:space="preserve"> </w:t>
      </w:r>
      <w:r>
        <w:rPr>
          <w:spacing w:val="-2"/>
          <w:sz w:val="20"/>
        </w:rPr>
        <w:t>licitação;</w:t>
      </w:r>
    </w:p>
    <w:p w:rsidR="007259F2" w:rsidRDefault="00E655B4">
      <w:pPr>
        <w:pStyle w:val="PargrafodaLista"/>
        <w:numPr>
          <w:ilvl w:val="2"/>
          <w:numId w:val="19"/>
        </w:numPr>
        <w:tabs>
          <w:tab w:val="left" w:pos="3698"/>
        </w:tabs>
        <w:spacing w:line="229" w:lineRule="exact"/>
        <w:ind w:hanging="609"/>
        <w:jc w:val="left"/>
        <w:rPr>
          <w:sz w:val="20"/>
        </w:rPr>
      </w:pPr>
      <w:r>
        <w:rPr>
          <w:sz w:val="20"/>
        </w:rPr>
        <w:t>de</w:t>
      </w:r>
      <w:r>
        <w:rPr>
          <w:spacing w:val="-5"/>
          <w:sz w:val="20"/>
        </w:rPr>
        <w:t xml:space="preserve"> </w:t>
      </w:r>
      <w:r>
        <w:rPr>
          <w:sz w:val="20"/>
        </w:rPr>
        <w:t>apresentação</w:t>
      </w:r>
      <w:r>
        <w:rPr>
          <w:spacing w:val="-3"/>
          <w:sz w:val="20"/>
        </w:rPr>
        <w:t xml:space="preserve"> </w:t>
      </w:r>
      <w:r>
        <w:rPr>
          <w:sz w:val="20"/>
        </w:rPr>
        <w:t>de</w:t>
      </w:r>
      <w:r>
        <w:rPr>
          <w:spacing w:val="-4"/>
          <w:sz w:val="20"/>
        </w:rPr>
        <w:t xml:space="preserve"> </w:t>
      </w:r>
      <w:r>
        <w:rPr>
          <w:sz w:val="20"/>
        </w:rPr>
        <w:t>propostas</w:t>
      </w:r>
      <w:r>
        <w:rPr>
          <w:spacing w:val="-7"/>
          <w:sz w:val="20"/>
        </w:rPr>
        <w:t xml:space="preserve"> </w:t>
      </w:r>
      <w:r>
        <w:rPr>
          <w:sz w:val="20"/>
        </w:rPr>
        <w:t>e</w:t>
      </w:r>
      <w:r>
        <w:rPr>
          <w:spacing w:val="-4"/>
          <w:sz w:val="20"/>
        </w:rPr>
        <w:t xml:space="preserve"> </w:t>
      </w:r>
      <w:r>
        <w:rPr>
          <w:sz w:val="20"/>
        </w:rPr>
        <w:t>lances,</w:t>
      </w:r>
      <w:r>
        <w:rPr>
          <w:spacing w:val="-5"/>
          <w:sz w:val="20"/>
        </w:rPr>
        <w:t xml:space="preserve"> </w:t>
      </w:r>
      <w:r>
        <w:rPr>
          <w:sz w:val="20"/>
        </w:rPr>
        <w:t>quando</w:t>
      </w:r>
      <w:r>
        <w:rPr>
          <w:spacing w:val="-3"/>
          <w:sz w:val="20"/>
        </w:rPr>
        <w:t xml:space="preserve"> </w:t>
      </w:r>
      <w:r>
        <w:rPr>
          <w:sz w:val="20"/>
        </w:rPr>
        <w:t>for</w:t>
      </w:r>
      <w:r>
        <w:rPr>
          <w:spacing w:val="-4"/>
          <w:sz w:val="20"/>
        </w:rPr>
        <w:t xml:space="preserve"> </w:t>
      </w:r>
      <w:r>
        <w:rPr>
          <w:sz w:val="20"/>
        </w:rPr>
        <w:t>o</w:t>
      </w:r>
      <w:r>
        <w:rPr>
          <w:spacing w:val="2"/>
          <w:sz w:val="20"/>
        </w:rPr>
        <w:t xml:space="preserve"> </w:t>
      </w:r>
      <w:r>
        <w:rPr>
          <w:spacing w:val="-4"/>
          <w:sz w:val="20"/>
        </w:rPr>
        <w:t>caso;</w:t>
      </w:r>
    </w:p>
    <w:p w:rsidR="007259F2" w:rsidRDefault="00E655B4">
      <w:pPr>
        <w:pStyle w:val="PargrafodaLista"/>
        <w:numPr>
          <w:ilvl w:val="2"/>
          <w:numId w:val="19"/>
        </w:numPr>
        <w:tabs>
          <w:tab w:val="left" w:pos="3698"/>
        </w:tabs>
        <w:spacing w:line="229" w:lineRule="exact"/>
        <w:ind w:hanging="621"/>
        <w:jc w:val="left"/>
        <w:rPr>
          <w:sz w:val="20"/>
        </w:rPr>
      </w:pPr>
      <w:r>
        <w:rPr>
          <w:sz w:val="20"/>
        </w:rPr>
        <w:t>de</w:t>
      </w:r>
      <w:r>
        <w:rPr>
          <w:spacing w:val="-1"/>
          <w:sz w:val="20"/>
        </w:rPr>
        <w:t xml:space="preserve"> </w:t>
      </w:r>
      <w:r>
        <w:rPr>
          <w:spacing w:val="-2"/>
          <w:sz w:val="20"/>
        </w:rPr>
        <w:t>julgamento;</w:t>
      </w:r>
    </w:p>
    <w:p w:rsidR="007259F2" w:rsidRDefault="00E655B4">
      <w:pPr>
        <w:pStyle w:val="PargrafodaLista"/>
        <w:numPr>
          <w:ilvl w:val="2"/>
          <w:numId w:val="19"/>
        </w:numPr>
        <w:tabs>
          <w:tab w:val="left" w:pos="3698"/>
        </w:tabs>
        <w:ind w:hanging="554"/>
        <w:jc w:val="left"/>
        <w:rPr>
          <w:sz w:val="20"/>
        </w:rPr>
      </w:pPr>
      <w:r>
        <w:rPr>
          <w:sz w:val="20"/>
        </w:rPr>
        <w:t>de</w:t>
      </w:r>
      <w:r>
        <w:rPr>
          <w:spacing w:val="-1"/>
          <w:sz w:val="20"/>
        </w:rPr>
        <w:t xml:space="preserve"> </w:t>
      </w:r>
      <w:r>
        <w:rPr>
          <w:spacing w:val="-2"/>
          <w:sz w:val="20"/>
        </w:rPr>
        <w:t>habilitação;</w:t>
      </w:r>
    </w:p>
    <w:p w:rsidR="007259F2" w:rsidRDefault="00E655B4">
      <w:pPr>
        <w:pStyle w:val="PargrafodaLista"/>
        <w:numPr>
          <w:ilvl w:val="2"/>
          <w:numId w:val="19"/>
        </w:numPr>
        <w:tabs>
          <w:tab w:val="left" w:pos="3698"/>
        </w:tabs>
        <w:spacing w:before="1"/>
        <w:ind w:hanging="621"/>
        <w:jc w:val="left"/>
        <w:rPr>
          <w:sz w:val="20"/>
        </w:rPr>
      </w:pPr>
      <w:r>
        <w:rPr>
          <w:spacing w:val="-2"/>
          <w:sz w:val="20"/>
        </w:rPr>
        <w:t>recursal;</w:t>
      </w:r>
    </w:p>
    <w:p w:rsidR="007259F2" w:rsidRDefault="00E655B4">
      <w:pPr>
        <w:pStyle w:val="PargrafodaLista"/>
        <w:numPr>
          <w:ilvl w:val="2"/>
          <w:numId w:val="19"/>
        </w:numPr>
        <w:tabs>
          <w:tab w:val="left" w:pos="3698"/>
        </w:tabs>
        <w:spacing w:before="1"/>
        <w:ind w:hanging="689"/>
        <w:jc w:val="left"/>
        <w:rPr>
          <w:sz w:val="20"/>
        </w:rPr>
      </w:pPr>
      <w:r>
        <w:rPr>
          <w:sz w:val="20"/>
        </w:rPr>
        <w:t>de</w:t>
      </w:r>
      <w:r>
        <w:rPr>
          <w:spacing w:val="-1"/>
          <w:sz w:val="20"/>
        </w:rPr>
        <w:t xml:space="preserve"> </w:t>
      </w:r>
      <w:r>
        <w:rPr>
          <w:spacing w:val="-2"/>
          <w:sz w:val="20"/>
        </w:rPr>
        <w:t>homologação</w:t>
      </w:r>
    </w:p>
    <w:p w:rsidR="007259F2" w:rsidRDefault="00E655B4">
      <w:pPr>
        <w:pStyle w:val="Corpodetexto"/>
        <w:spacing w:before="227"/>
        <w:ind w:right="429"/>
      </w:pPr>
      <w:r>
        <w:t>Vale salientar que esta fase extra contida no dialogo competitivo não afasta a necessidade de que os interessados preencham os requisitos mínimos de qualificação técnica exigidos para contratação comum a todos os tipos de licitação.</w:t>
      </w:r>
    </w:p>
    <w:p w:rsidR="007259F2" w:rsidRDefault="00E655B4">
      <w:pPr>
        <w:pStyle w:val="Corpodetexto"/>
        <w:ind w:right="423"/>
      </w:pPr>
      <w:r>
        <w:t>A fase de pré-qualificação tem</w:t>
      </w:r>
      <w:r>
        <w:rPr>
          <w:spacing w:val="-3"/>
        </w:rPr>
        <w:t xml:space="preserve"> </w:t>
      </w:r>
      <w:r>
        <w:t>por escopo, além</w:t>
      </w:r>
      <w:r>
        <w:rPr>
          <w:spacing w:val="-3"/>
        </w:rPr>
        <w:t xml:space="preserve"> </w:t>
      </w:r>
      <w:r>
        <w:t>da delimitação do objeto, estabelecer os critérios de seleção para os potenciais interessados.</w:t>
      </w:r>
    </w:p>
    <w:p w:rsidR="007259F2" w:rsidRDefault="00E655B4">
      <w:pPr>
        <w:pStyle w:val="Corpodetexto"/>
        <w:ind w:right="422"/>
      </w:pPr>
      <w:r>
        <w:t>Nota-se, aqui, um caráter eminentemente discricionário do Administrador, na medida que a ele caberá o estabelecimento dos critérios a serem observados, sem que isto importe, contudo, em um alargamento demasiado dessa discricionariedade, porquanto os critérios a serem estabelecidos devem estar correlacionados ao objeto e objetivo que a Administração busca atingir por meio da realização do certame.</w:t>
      </w:r>
    </w:p>
    <w:p w:rsidR="007259F2" w:rsidRDefault="00E655B4">
      <w:pPr>
        <w:pStyle w:val="Corpodetexto"/>
        <w:spacing w:before="1"/>
        <w:ind w:right="430"/>
      </w:pPr>
      <w:r>
        <w:t>Conforme já discorrido, é princípio da competitividade é um dos princípios norteadores da licitação e está inserido no caput do art. 5º da Lei.</w:t>
      </w:r>
    </w:p>
    <w:p w:rsidR="007259F2" w:rsidRDefault="007259F2">
      <w:pPr>
        <w:pStyle w:val="Corpodetexto"/>
        <w:sectPr w:rsidR="007259F2">
          <w:pgSz w:w="11910" w:h="16840"/>
          <w:pgMar w:top="1600" w:right="708" w:bottom="1020" w:left="992" w:header="0" w:footer="820" w:gutter="0"/>
          <w:cols w:space="720"/>
        </w:sectPr>
      </w:pPr>
    </w:p>
    <w:p w:rsidR="007259F2" w:rsidRDefault="00E655B4">
      <w:pPr>
        <w:pStyle w:val="Corpodetexto"/>
        <w:spacing w:before="75"/>
        <w:ind w:right="421"/>
      </w:pPr>
      <w:r>
        <w:lastRenderedPageBreak/>
        <w:t>O caráter competitivo das licitações busca impossibilitar a realização de contratações sem critérios pelo Administrador, daí porque, também, o legislador previu expressamente a proibição</w:t>
      </w:r>
      <w:r>
        <w:rPr>
          <w:spacing w:val="-15"/>
        </w:rPr>
        <w:t xml:space="preserve"> </w:t>
      </w:r>
      <w:r>
        <w:t>da</w:t>
      </w:r>
      <w:r>
        <w:rPr>
          <w:spacing w:val="-15"/>
        </w:rPr>
        <w:t xml:space="preserve"> </w:t>
      </w:r>
      <w:r>
        <w:t>“divulgação</w:t>
      </w:r>
      <w:r>
        <w:rPr>
          <w:spacing w:val="-15"/>
        </w:rPr>
        <w:t xml:space="preserve"> </w:t>
      </w:r>
      <w:r>
        <w:t>de</w:t>
      </w:r>
      <w:r>
        <w:rPr>
          <w:spacing w:val="-15"/>
        </w:rPr>
        <w:t xml:space="preserve"> </w:t>
      </w:r>
      <w:r>
        <w:t>informações</w:t>
      </w:r>
      <w:r>
        <w:rPr>
          <w:spacing w:val="-15"/>
        </w:rPr>
        <w:t xml:space="preserve"> </w:t>
      </w:r>
      <w:r>
        <w:t>de</w:t>
      </w:r>
      <w:r>
        <w:rPr>
          <w:spacing w:val="-15"/>
        </w:rPr>
        <w:t xml:space="preserve"> </w:t>
      </w:r>
      <w:r>
        <w:t>modo</w:t>
      </w:r>
      <w:r>
        <w:rPr>
          <w:spacing w:val="-15"/>
        </w:rPr>
        <w:t xml:space="preserve"> </w:t>
      </w:r>
      <w:r>
        <w:t>discriminatório</w:t>
      </w:r>
      <w:r>
        <w:rPr>
          <w:spacing w:val="-15"/>
        </w:rPr>
        <w:t xml:space="preserve"> </w:t>
      </w:r>
      <w:r>
        <w:t>que</w:t>
      </w:r>
      <w:r>
        <w:rPr>
          <w:spacing w:val="-15"/>
        </w:rPr>
        <w:t xml:space="preserve"> </w:t>
      </w:r>
      <w:r>
        <w:t>possa</w:t>
      </w:r>
      <w:r>
        <w:rPr>
          <w:spacing w:val="-15"/>
        </w:rPr>
        <w:t xml:space="preserve"> </w:t>
      </w:r>
      <w:r>
        <w:t>implicar</w:t>
      </w:r>
      <w:r>
        <w:rPr>
          <w:spacing w:val="-15"/>
        </w:rPr>
        <w:t xml:space="preserve"> </w:t>
      </w:r>
      <w:r>
        <w:t>vantagem para algum licitante será vedada”, justamente para evitar que se frustre o caráter competitivo da licitação e, consequentemente, a realização de uma contratação com desvio de finalidade.</w:t>
      </w:r>
    </w:p>
    <w:p w:rsidR="007259F2" w:rsidRDefault="00E655B4">
      <w:pPr>
        <w:pStyle w:val="Corpodetexto"/>
        <w:ind w:right="420"/>
      </w:pPr>
      <w:r>
        <w:t>Como um ato administrativo, a finalidade é elemento de validade do ato a ser praticado, de maneira que sua ausência importará em ilegalidade, por desvio de poder (DI PIETRO, 2017).</w:t>
      </w:r>
    </w:p>
    <w:p w:rsidR="007259F2" w:rsidRDefault="00E655B4">
      <w:pPr>
        <w:pStyle w:val="Corpodetexto"/>
        <w:ind w:right="423"/>
      </w:pPr>
      <w:r>
        <w:t xml:space="preserve">A teoria dos atos administrativos estabelece que são cinco os elementos, quais sejam: elemento, forma, objeto, motivo e </w:t>
      </w:r>
      <w:r>
        <w:rPr>
          <w:b/>
        </w:rPr>
        <w:t xml:space="preserve">finalidade </w:t>
      </w:r>
      <w:r>
        <w:t>(DI PIETRO, 2017).</w:t>
      </w:r>
    </w:p>
    <w:p w:rsidR="007259F2" w:rsidRDefault="00E655B4">
      <w:pPr>
        <w:pStyle w:val="Corpodetexto"/>
        <w:ind w:right="421"/>
        <w:jc w:val="right"/>
      </w:pPr>
      <w:r>
        <w:t>Verifica-se que há um certo caráter mais amplo na pré-seleção, na medida que o texto legal</w:t>
      </w:r>
      <w:r>
        <w:rPr>
          <w:spacing w:val="38"/>
        </w:rPr>
        <w:t xml:space="preserve"> </w:t>
      </w:r>
      <w:r>
        <w:t>apresenta</w:t>
      </w:r>
      <w:r>
        <w:rPr>
          <w:spacing w:val="36"/>
        </w:rPr>
        <w:t xml:space="preserve"> </w:t>
      </w:r>
      <w:r>
        <w:t>a</w:t>
      </w:r>
      <w:r>
        <w:rPr>
          <w:spacing w:val="36"/>
        </w:rPr>
        <w:t xml:space="preserve"> </w:t>
      </w:r>
      <w:r>
        <w:t>terminologia</w:t>
      </w:r>
      <w:r>
        <w:rPr>
          <w:spacing w:val="37"/>
        </w:rPr>
        <w:t xml:space="preserve"> </w:t>
      </w:r>
      <w:r>
        <w:t>“serão</w:t>
      </w:r>
      <w:r>
        <w:rPr>
          <w:spacing w:val="37"/>
        </w:rPr>
        <w:t xml:space="preserve"> </w:t>
      </w:r>
      <w:r>
        <w:t>admitidos</w:t>
      </w:r>
      <w:r>
        <w:rPr>
          <w:spacing w:val="37"/>
        </w:rPr>
        <w:t xml:space="preserve"> </w:t>
      </w:r>
      <w:r>
        <w:t>todos</w:t>
      </w:r>
      <w:r>
        <w:rPr>
          <w:spacing w:val="38"/>
        </w:rPr>
        <w:t xml:space="preserve"> </w:t>
      </w:r>
      <w:r>
        <w:t>os</w:t>
      </w:r>
      <w:r>
        <w:rPr>
          <w:spacing w:val="35"/>
        </w:rPr>
        <w:t xml:space="preserve"> </w:t>
      </w:r>
      <w:r>
        <w:t>interessados</w:t>
      </w:r>
      <w:r>
        <w:rPr>
          <w:spacing w:val="37"/>
        </w:rPr>
        <w:t xml:space="preserve"> </w:t>
      </w:r>
      <w:r>
        <w:t>que</w:t>
      </w:r>
      <w:r>
        <w:rPr>
          <w:spacing w:val="36"/>
        </w:rPr>
        <w:t xml:space="preserve"> </w:t>
      </w:r>
      <w:r>
        <w:t>preencherem</w:t>
      </w:r>
      <w:r>
        <w:rPr>
          <w:spacing w:val="38"/>
        </w:rPr>
        <w:t xml:space="preserve"> </w:t>
      </w:r>
      <w:r>
        <w:t>os requisitos</w:t>
      </w:r>
      <w:r>
        <w:rPr>
          <w:spacing w:val="-4"/>
        </w:rPr>
        <w:t xml:space="preserve"> </w:t>
      </w:r>
      <w:r>
        <w:t>objetivos</w:t>
      </w:r>
      <w:r>
        <w:rPr>
          <w:spacing w:val="-4"/>
        </w:rPr>
        <w:t xml:space="preserve"> </w:t>
      </w:r>
      <w:r>
        <w:t>estabelecidos”, de</w:t>
      </w:r>
      <w:r>
        <w:rPr>
          <w:spacing w:val="-1"/>
        </w:rPr>
        <w:t xml:space="preserve"> </w:t>
      </w:r>
      <w:r>
        <w:t>acordo com</w:t>
      </w:r>
      <w:r>
        <w:rPr>
          <w:spacing w:val="-6"/>
        </w:rPr>
        <w:t xml:space="preserve"> </w:t>
      </w:r>
      <w:r>
        <w:t>as</w:t>
      </w:r>
      <w:r>
        <w:rPr>
          <w:spacing w:val="-5"/>
        </w:rPr>
        <w:t xml:space="preserve"> </w:t>
      </w:r>
      <w:r>
        <w:t>previsões</w:t>
      </w:r>
      <w:r>
        <w:rPr>
          <w:spacing w:val="-3"/>
        </w:rPr>
        <w:t xml:space="preserve"> </w:t>
      </w:r>
      <w:r>
        <w:t>contidas no edital de licitação.</w:t>
      </w:r>
    </w:p>
    <w:p w:rsidR="007259F2" w:rsidRDefault="00E655B4">
      <w:pPr>
        <w:pStyle w:val="Corpodetexto"/>
        <w:spacing w:before="1"/>
        <w:ind w:right="422"/>
      </w:pPr>
      <w:r>
        <w:t>A</w:t>
      </w:r>
      <w:r>
        <w:rPr>
          <w:spacing w:val="-4"/>
        </w:rPr>
        <w:t xml:space="preserve"> </w:t>
      </w:r>
      <w:r>
        <w:t>decodificação do instituto estrangeiro para</w:t>
      </w:r>
      <w:r>
        <w:rPr>
          <w:spacing w:val="-5"/>
        </w:rPr>
        <w:t xml:space="preserve"> </w:t>
      </w:r>
      <w:r>
        <w:t>o arcabouço jurídico nacional não se deu em</w:t>
      </w:r>
      <w:r>
        <w:rPr>
          <w:spacing w:val="-10"/>
        </w:rPr>
        <w:t xml:space="preserve"> </w:t>
      </w:r>
      <w:r>
        <w:t>sua</w:t>
      </w:r>
      <w:r>
        <w:rPr>
          <w:spacing w:val="-2"/>
        </w:rPr>
        <w:t xml:space="preserve"> </w:t>
      </w:r>
      <w:r>
        <w:t>integralidade. A</w:t>
      </w:r>
      <w:r>
        <w:rPr>
          <w:spacing w:val="-6"/>
        </w:rPr>
        <w:t xml:space="preserve"> </w:t>
      </w:r>
      <w:r>
        <w:t>nova Lei</w:t>
      </w:r>
      <w:r>
        <w:rPr>
          <w:spacing w:val="-10"/>
        </w:rPr>
        <w:t xml:space="preserve"> </w:t>
      </w:r>
      <w:r>
        <w:t>de Licitações</w:t>
      </w:r>
      <w:r>
        <w:rPr>
          <w:spacing w:val="-3"/>
        </w:rPr>
        <w:t xml:space="preserve"> </w:t>
      </w:r>
      <w:r>
        <w:t>não</w:t>
      </w:r>
      <w:r>
        <w:rPr>
          <w:spacing w:val="-1"/>
        </w:rPr>
        <w:t xml:space="preserve"> </w:t>
      </w:r>
      <w:r>
        <w:t>estabeleceu um</w:t>
      </w:r>
      <w:r>
        <w:rPr>
          <w:spacing w:val="-5"/>
        </w:rPr>
        <w:t xml:space="preserve"> </w:t>
      </w:r>
      <w:r>
        <w:t>limite</w:t>
      </w:r>
      <w:r>
        <w:rPr>
          <w:spacing w:val="-2"/>
        </w:rPr>
        <w:t xml:space="preserve"> </w:t>
      </w:r>
      <w:r>
        <w:t>para</w:t>
      </w:r>
      <w:r>
        <w:rPr>
          <w:spacing w:val="-2"/>
        </w:rPr>
        <w:t xml:space="preserve"> </w:t>
      </w:r>
      <w:r>
        <w:t>participação de candidatos,</w:t>
      </w:r>
      <w:r>
        <w:rPr>
          <w:spacing w:val="-15"/>
        </w:rPr>
        <w:t xml:space="preserve"> </w:t>
      </w:r>
      <w:r>
        <w:t>prevendo</w:t>
      </w:r>
      <w:r>
        <w:rPr>
          <w:spacing w:val="-10"/>
        </w:rPr>
        <w:t xml:space="preserve"> </w:t>
      </w:r>
      <w:r>
        <w:t>que</w:t>
      </w:r>
      <w:r>
        <w:rPr>
          <w:spacing w:val="-12"/>
        </w:rPr>
        <w:t xml:space="preserve"> </w:t>
      </w:r>
      <w:r>
        <w:t>serão</w:t>
      </w:r>
      <w:r>
        <w:rPr>
          <w:spacing w:val="-14"/>
        </w:rPr>
        <w:t xml:space="preserve"> </w:t>
      </w:r>
      <w:r>
        <w:t>“admitidos</w:t>
      </w:r>
      <w:r>
        <w:rPr>
          <w:spacing w:val="-15"/>
        </w:rPr>
        <w:t xml:space="preserve"> </w:t>
      </w:r>
      <w:r>
        <w:t>todos</w:t>
      </w:r>
      <w:r>
        <w:rPr>
          <w:spacing w:val="-15"/>
        </w:rPr>
        <w:t xml:space="preserve"> </w:t>
      </w:r>
      <w:r>
        <w:t>os</w:t>
      </w:r>
      <w:r>
        <w:rPr>
          <w:spacing w:val="-11"/>
        </w:rPr>
        <w:t xml:space="preserve"> </w:t>
      </w:r>
      <w:r>
        <w:t>interessados</w:t>
      </w:r>
      <w:r>
        <w:rPr>
          <w:spacing w:val="-15"/>
        </w:rPr>
        <w:t xml:space="preserve"> </w:t>
      </w:r>
      <w:r>
        <w:t>que</w:t>
      </w:r>
      <w:r>
        <w:rPr>
          <w:spacing w:val="-15"/>
        </w:rPr>
        <w:t xml:space="preserve"> </w:t>
      </w:r>
      <w:r>
        <w:t>preencherem</w:t>
      </w:r>
      <w:r>
        <w:rPr>
          <w:spacing w:val="-14"/>
        </w:rPr>
        <w:t xml:space="preserve"> </w:t>
      </w:r>
      <w:r>
        <w:t>os</w:t>
      </w:r>
      <w:r>
        <w:rPr>
          <w:spacing w:val="-15"/>
        </w:rPr>
        <w:t xml:space="preserve"> </w:t>
      </w:r>
      <w:r>
        <w:t>requisitos objetivos estabelecidos”.</w:t>
      </w:r>
    </w:p>
    <w:p w:rsidR="007259F2" w:rsidRDefault="00E655B4">
      <w:pPr>
        <w:pStyle w:val="Corpodetexto"/>
        <w:ind w:left="1418" w:firstLine="0"/>
      </w:pPr>
      <w:r>
        <w:t>Já</w:t>
      </w:r>
      <w:r>
        <w:rPr>
          <w:spacing w:val="-9"/>
        </w:rPr>
        <w:t xml:space="preserve"> </w:t>
      </w:r>
      <w:r>
        <w:t>a</w:t>
      </w:r>
      <w:r>
        <w:rPr>
          <w:spacing w:val="-5"/>
        </w:rPr>
        <w:t xml:space="preserve"> </w:t>
      </w:r>
      <w:r>
        <w:t>Diretiva</w:t>
      </w:r>
      <w:r>
        <w:rPr>
          <w:spacing w:val="-3"/>
        </w:rPr>
        <w:t xml:space="preserve"> </w:t>
      </w:r>
      <w:r>
        <w:t>2024/18</w:t>
      </w:r>
      <w:r>
        <w:rPr>
          <w:spacing w:val="-3"/>
        </w:rPr>
        <w:t xml:space="preserve"> </w:t>
      </w:r>
      <w:r>
        <w:t>prevê</w:t>
      </w:r>
      <w:r>
        <w:rPr>
          <w:spacing w:val="-4"/>
        </w:rPr>
        <w:t xml:space="preserve"> </w:t>
      </w:r>
      <w:r>
        <w:t>a</w:t>
      </w:r>
      <w:r>
        <w:rPr>
          <w:spacing w:val="-5"/>
        </w:rPr>
        <w:t xml:space="preserve"> </w:t>
      </w:r>
      <w:r>
        <w:t>possibilidade</w:t>
      </w:r>
      <w:r>
        <w:rPr>
          <w:spacing w:val="-3"/>
        </w:rPr>
        <w:t xml:space="preserve"> </w:t>
      </w:r>
      <w:r>
        <w:t>de limitação</w:t>
      </w:r>
      <w:r>
        <w:rPr>
          <w:spacing w:val="1"/>
        </w:rPr>
        <w:t xml:space="preserve"> </w:t>
      </w:r>
      <w:r>
        <w:t>do</w:t>
      </w:r>
      <w:r>
        <w:rPr>
          <w:spacing w:val="-3"/>
        </w:rPr>
        <w:t xml:space="preserve"> </w:t>
      </w:r>
      <w:r>
        <w:t>número</w:t>
      </w:r>
      <w:r>
        <w:rPr>
          <w:spacing w:val="2"/>
        </w:rPr>
        <w:t xml:space="preserve"> </w:t>
      </w:r>
      <w:r>
        <w:t>de</w:t>
      </w:r>
      <w:r>
        <w:rPr>
          <w:spacing w:val="-9"/>
        </w:rPr>
        <w:t xml:space="preserve"> </w:t>
      </w:r>
      <w:r>
        <w:rPr>
          <w:spacing w:val="-2"/>
        </w:rPr>
        <w:t>candidatos:</w:t>
      </w:r>
    </w:p>
    <w:p w:rsidR="007259F2" w:rsidRDefault="007259F2">
      <w:pPr>
        <w:pStyle w:val="Corpodetexto"/>
        <w:spacing w:before="1"/>
        <w:ind w:left="0" w:firstLine="0"/>
        <w:jc w:val="left"/>
      </w:pPr>
    </w:p>
    <w:p w:rsidR="007259F2" w:rsidRDefault="00E655B4">
      <w:pPr>
        <w:spacing w:before="1"/>
        <w:ind w:left="2978" w:right="422"/>
        <w:jc w:val="both"/>
        <w:rPr>
          <w:sz w:val="20"/>
        </w:rPr>
      </w:pPr>
      <w:r>
        <w:rPr>
          <w:sz w:val="20"/>
        </w:rPr>
        <w:t>Só</w:t>
      </w:r>
      <w:r>
        <w:rPr>
          <w:spacing w:val="-13"/>
          <w:sz w:val="20"/>
        </w:rPr>
        <w:t xml:space="preserve"> </w:t>
      </w:r>
      <w:r>
        <w:rPr>
          <w:sz w:val="20"/>
        </w:rPr>
        <w:t>podem</w:t>
      </w:r>
      <w:r>
        <w:rPr>
          <w:spacing w:val="-12"/>
          <w:sz w:val="20"/>
        </w:rPr>
        <w:t xml:space="preserve"> </w:t>
      </w:r>
      <w:r>
        <w:rPr>
          <w:sz w:val="20"/>
        </w:rPr>
        <w:t>participar</w:t>
      </w:r>
      <w:r>
        <w:rPr>
          <w:spacing w:val="-13"/>
          <w:sz w:val="20"/>
        </w:rPr>
        <w:t xml:space="preserve"> </w:t>
      </w:r>
      <w:r>
        <w:rPr>
          <w:sz w:val="20"/>
        </w:rPr>
        <w:t>no</w:t>
      </w:r>
      <w:r>
        <w:rPr>
          <w:spacing w:val="-12"/>
          <w:sz w:val="20"/>
        </w:rPr>
        <w:t xml:space="preserve"> </w:t>
      </w:r>
      <w:r>
        <w:rPr>
          <w:sz w:val="20"/>
        </w:rPr>
        <w:t>diálogo</w:t>
      </w:r>
      <w:r>
        <w:rPr>
          <w:spacing w:val="-13"/>
          <w:sz w:val="20"/>
        </w:rPr>
        <w:t xml:space="preserve"> </w:t>
      </w:r>
      <w:r>
        <w:rPr>
          <w:sz w:val="20"/>
        </w:rPr>
        <w:t>os</w:t>
      </w:r>
      <w:r>
        <w:rPr>
          <w:spacing w:val="-12"/>
          <w:sz w:val="20"/>
        </w:rPr>
        <w:t xml:space="preserve"> </w:t>
      </w:r>
      <w:r>
        <w:rPr>
          <w:sz w:val="20"/>
        </w:rPr>
        <w:t>operadores</w:t>
      </w:r>
      <w:r>
        <w:rPr>
          <w:spacing w:val="-13"/>
          <w:sz w:val="20"/>
        </w:rPr>
        <w:t xml:space="preserve"> </w:t>
      </w:r>
      <w:r>
        <w:rPr>
          <w:sz w:val="20"/>
        </w:rPr>
        <w:t>económicos</w:t>
      </w:r>
      <w:r>
        <w:rPr>
          <w:spacing w:val="-12"/>
          <w:sz w:val="20"/>
        </w:rPr>
        <w:t xml:space="preserve"> </w:t>
      </w:r>
      <w:r>
        <w:rPr>
          <w:sz w:val="20"/>
        </w:rPr>
        <w:t>convidados</w:t>
      </w:r>
      <w:r>
        <w:rPr>
          <w:spacing w:val="-13"/>
          <w:sz w:val="20"/>
        </w:rPr>
        <w:t xml:space="preserve"> </w:t>
      </w:r>
      <w:r>
        <w:rPr>
          <w:sz w:val="20"/>
        </w:rPr>
        <w:t>pela</w:t>
      </w:r>
      <w:r>
        <w:rPr>
          <w:spacing w:val="-12"/>
          <w:sz w:val="20"/>
        </w:rPr>
        <w:t xml:space="preserve"> </w:t>
      </w:r>
      <w:r>
        <w:rPr>
          <w:sz w:val="20"/>
        </w:rPr>
        <w:t>autoridade adjudicante</w:t>
      </w:r>
      <w:r>
        <w:rPr>
          <w:spacing w:val="-3"/>
          <w:sz w:val="20"/>
        </w:rPr>
        <w:t xml:space="preserve"> </w:t>
      </w:r>
      <w:r>
        <w:rPr>
          <w:sz w:val="20"/>
        </w:rPr>
        <w:t>após</w:t>
      </w:r>
      <w:r>
        <w:rPr>
          <w:spacing w:val="-1"/>
          <w:sz w:val="20"/>
        </w:rPr>
        <w:t xml:space="preserve"> </w:t>
      </w:r>
      <w:r>
        <w:rPr>
          <w:sz w:val="20"/>
        </w:rPr>
        <w:t>a avaliação das</w:t>
      </w:r>
      <w:r>
        <w:rPr>
          <w:spacing w:val="-4"/>
          <w:sz w:val="20"/>
        </w:rPr>
        <w:t xml:space="preserve"> </w:t>
      </w:r>
      <w:r>
        <w:rPr>
          <w:sz w:val="20"/>
        </w:rPr>
        <w:t>informações</w:t>
      </w:r>
      <w:r>
        <w:rPr>
          <w:spacing w:val="-1"/>
          <w:sz w:val="20"/>
        </w:rPr>
        <w:t xml:space="preserve"> </w:t>
      </w:r>
      <w:r>
        <w:rPr>
          <w:sz w:val="20"/>
        </w:rPr>
        <w:t>prestadas. As</w:t>
      </w:r>
      <w:r>
        <w:rPr>
          <w:spacing w:val="-1"/>
          <w:sz w:val="20"/>
        </w:rPr>
        <w:t xml:space="preserve"> </w:t>
      </w:r>
      <w:r>
        <w:rPr>
          <w:sz w:val="20"/>
        </w:rPr>
        <w:t>autoridades</w:t>
      </w:r>
      <w:r>
        <w:rPr>
          <w:spacing w:val="-1"/>
          <w:sz w:val="20"/>
        </w:rPr>
        <w:t xml:space="preserve"> </w:t>
      </w:r>
      <w:r>
        <w:rPr>
          <w:sz w:val="20"/>
        </w:rPr>
        <w:t>adjudicantes podem limitar o número de candidatos convidados a participar no procedimento nos termos do artigo 65.o. Os contratos são adjudicados exclusivamente com base no critério</w:t>
      </w:r>
      <w:r>
        <w:rPr>
          <w:spacing w:val="-10"/>
          <w:sz w:val="20"/>
        </w:rPr>
        <w:t xml:space="preserve"> </w:t>
      </w:r>
      <w:r>
        <w:rPr>
          <w:sz w:val="20"/>
        </w:rPr>
        <w:t>da</w:t>
      </w:r>
      <w:r>
        <w:rPr>
          <w:spacing w:val="-6"/>
          <w:sz w:val="20"/>
        </w:rPr>
        <w:t xml:space="preserve"> </w:t>
      </w:r>
      <w:r>
        <w:rPr>
          <w:sz w:val="20"/>
        </w:rPr>
        <w:t>proposta</w:t>
      </w:r>
      <w:r>
        <w:rPr>
          <w:spacing w:val="-5"/>
          <w:sz w:val="20"/>
        </w:rPr>
        <w:t xml:space="preserve"> </w:t>
      </w:r>
      <w:r>
        <w:rPr>
          <w:sz w:val="20"/>
        </w:rPr>
        <w:t>economicamente</w:t>
      </w:r>
      <w:r>
        <w:rPr>
          <w:spacing w:val="-9"/>
          <w:sz w:val="20"/>
        </w:rPr>
        <w:t xml:space="preserve"> </w:t>
      </w:r>
      <w:r>
        <w:rPr>
          <w:sz w:val="20"/>
        </w:rPr>
        <w:t>mais</w:t>
      </w:r>
      <w:r>
        <w:rPr>
          <w:spacing w:val="-7"/>
          <w:sz w:val="20"/>
        </w:rPr>
        <w:t xml:space="preserve"> </w:t>
      </w:r>
      <w:r>
        <w:rPr>
          <w:sz w:val="20"/>
        </w:rPr>
        <w:t>vantajosa</w:t>
      </w:r>
      <w:r>
        <w:rPr>
          <w:spacing w:val="-6"/>
          <w:sz w:val="20"/>
        </w:rPr>
        <w:t xml:space="preserve"> </w:t>
      </w:r>
      <w:r>
        <w:rPr>
          <w:sz w:val="20"/>
        </w:rPr>
        <w:t>tendo</w:t>
      </w:r>
      <w:r>
        <w:rPr>
          <w:spacing w:val="-10"/>
          <w:sz w:val="20"/>
        </w:rPr>
        <w:t xml:space="preserve"> </w:t>
      </w:r>
      <w:r>
        <w:rPr>
          <w:sz w:val="20"/>
        </w:rPr>
        <w:t>em</w:t>
      </w:r>
      <w:r>
        <w:rPr>
          <w:spacing w:val="-7"/>
          <w:sz w:val="20"/>
        </w:rPr>
        <w:t xml:space="preserve"> </w:t>
      </w:r>
      <w:r>
        <w:rPr>
          <w:sz w:val="20"/>
        </w:rPr>
        <w:t>conta</w:t>
      </w:r>
      <w:r>
        <w:rPr>
          <w:spacing w:val="-8"/>
          <w:sz w:val="20"/>
        </w:rPr>
        <w:t xml:space="preserve"> </w:t>
      </w:r>
      <w:r>
        <w:rPr>
          <w:sz w:val="20"/>
        </w:rPr>
        <w:t>a</w:t>
      </w:r>
      <w:r>
        <w:rPr>
          <w:spacing w:val="-6"/>
          <w:sz w:val="20"/>
        </w:rPr>
        <w:t xml:space="preserve"> </w:t>
      </w:r>
      <w:r>
        <w:rPr>
          <w:sz w:val="20"/>
        </w:rPr>
        <w:t>melhor</w:t>
      </w:r>
      <w:r>
        <w:rPr>
          <w:spacing w:val="-10"/>
          <w:sz w:val="20"/>
        </w:rPr>
        <w:t xml:space="preserve"> </w:t>
      </w:r>
      <w:r>
        <w:rPr>
          <w:sz w:val="20"/>
        </w:rPr>
        <w:t>relação qualidade/preço nos termos do artigo 67.o, n.o 2.</w:t>
      </w:r>
    </w:p>
    <w:p w:rsidR="007259F2" w:rsidRDefault="00E655B4">
      <w:pPr>
        <w:pStyle w:val="Corpodetexto"/>
        <w:spacing w:before="200"/>
        <w:ind w:left="1418" w:firstLine="0"/>
      </w:pPr>
      <w:r>
        <w:t>A</w:t>
      </w:r>
      <w:r>
        <w:rPr>
          <w:spacing w:val="-11"/>
        </w:rPr>
        <w:t xml:space="preserve"> </w:t>
      </w:r>
      <w:r>
        <w:t>finalização</w:t>
      </w:r>
      <w:r>
        <w:rPr>
          <w:spacing w:val="-1"/>
        </w:rPr>
        <w:t xml:space="preserve"> </w:t>
      </w:r>
      <w:r>
        <w:t>dessa</w:t>
      </w:r>
      <w:r>
        <w:rPr>
          <w:spacing w:val="-1"/>
        </w:rPr>
        <w:t xml:space="preserve"> </w:t>
      </w:r>
      <w:r>
        <w:t>fase</w:t>
      </w:r>
      <w:r>
        <w:rPr>
          <w:spacing w:val="-5"/>
        </w:rPr>
        <w:t xml:space="preserve"> </w:t>
      </w:r>
      <w:r>
        <w:t>culmina no</w:t>
      </w:r>
      <w:r>
        <w:rPr>
          <w:spacing w:val="-1"/>
        </w:rPr>
        <w:t xml:space="preserve"> </w:t>
      </w:r>
      <w:r>
        <w:t>início</w:t>
      </w:r>
      <w:r>
        <w:rPr>
          <w:spacing w:val="-1"/>
        </w:rPr>
        <w:t xml:space="preserve"> </w:t>
      </w:r>
      <w:r>
        <w:t>da</w:t>
      </w:r>
      <w:r>
        <w:rPr>
          <w:spacing w:val="-1"/>
        </w:rPr>
        <w:t xml:space="preserve"> </w:t>
      </w:r>
      <w:r>
        <w:t>fase</w:t>
      </w:r>
      <w:r>
        <w:rPr>
          <w:spacing w:val="-4"/>
        </w:rPr>
        <w:t xml:space="preserve"> </w:t>
      </w:r>
      <w:r>
        <w:t>de</w:t>
      </w:r>
      <w:r>
        <w:rPr>
          <w:spacing w:val="-6"/>
        </w:rPr>
        <w:t xml:space="preserve"> </w:t>
      </w:r>
      <w:r>
        <w:rPr>
          <w:spacing w:val="-2"/>
        </w:rPr>
        <w:t>diálogo.</w:t>
      </w:r>
    </w:p>
    <w:p w:rsidR="007259F2" w:rsidRDefault="00E655B4">
      <w:pPr>
        <w:pStyle w:val="Heading2"/>
        <w:numPr>
          <w:ilvl w:val="1"/>
          <w:numId w:val="19"/>
        </w:numPr>
        <w:tabs>
          <w:tab w:val="left" w:pos="1208"/>
        </w:tabs>
        <w:spacing w:before="204"/>
        <w:ind w:left="1208" w:hanging="359"/>
        <w:jc w:val="both"/>
      </w:pPr>
      <w:r>
        <w:rPr>
          <w:spacing w:val="-2"/>
        </w:rPr>
        <w:t>Diálogo</w:t>
      </w:r>
    </w:p>
    <w:p w:rsidR="007259F2" w:rsidRDefault="00E655B4">
      <w:pPr>
        <w:pStyle w:val="Corpodetexto"/>
        <w:spacing w:before="113"/>
        <w:ind w:right="424"/>
      </w:pPr>
      <w:r>
        <w:t>A fase de diálogo é a fase em que é o diálogo competitivo realmente se evidencia, momento em que a Administração se reúne com os licitantes pré-qualificados para buscar alternativas de mercado com vistas a atender a demanda.</w:t>
      </w:r>
    </w:p>
    <w:p w:rsidR="007259F2" w:rsidRDefault="00E655B4">
      <w:pPr>
        <w:pStyle w:val="Corpodetexto"/>
        <w:ind w:right="423"/>
      </w:pPr>
      <w:r>
        <w:t>Nesta fase é possível, ainda, desde que haja previsão no edital do diálogo, a realização de fases sucessivas, na medida em que, ao longo do diálogo com os interessados, as soluções de mercado vão ganhando tons mais claros e concretos, hipótese em que poderia haver a dispensa daquelas alternativas que não se amoldarem ao objetivo licitatório, restringindo-se, assim, a discussão de propostas irrelevantes.</w:t>
      </w:r>
    </w:p>
    <w:p w:rsidR="007259F2" w:rsidRDefault="00E655B4">
      <w:pPr>
        <w:pStyle w:val="Corpodetexto"/>
        <w:spacing w:before="1"/>
        <w:ind w:right="423"/>
      </w:pPr>
      <w:r>
        <w:t>Verifica-se, assim, a possibilidade de realização de um verdadeiro afunilamento das propostas</w:t>
      </w:r>
      <w:r>
        <w:rPr>
          <w:spacing w:val="-5"/>
        </w:rPr>
        <w:t xml:space="preserve"> </w:t>
      </w:r>
      <w:r>
        <w:t>que</w:t>
      </w:r>
      <w:r>
        <w:rPr>
          <w:spacing w:val="-4"/>
        </w:rPr>
        <w:t xml:space="preserve"> </w:t>
      </w:r>
      <w:r>
        <w:t>serão apreciadas</w:t>
      </w:r>
      <w:r>
        <w:rPr>
          <w:spacing w:val="-4"/>
        </w:rPr>
        <w:t xml:space="preserve"> </w:t>
      </w:r>
      <w:r>
        <w:t>pela</w:t>
      </w:r>
      <w:r>
        <w:rPr>
          <w:spacing w:val="-4"/>
        </w:rPr>
        <w:t xml:space="preserve"> </w:t>
      </w:r>
      <w:r>
        <w:t>Administração, na</w:t>
      </w:r>
      <w:r>
        <w:rPr>
          <w:spacing w:val="-2"/>
        </w:rPr>
        <w:t xml:space="preserve"> </w:t>
      </w:r>
      <w:r>
        <w:t>medida</w:t>
      </w:r>
      <w:r>
        <w:rPr>
          <w:spacing w:val="-4"/>
        </w:rPr>
        <w:t xml:space="preserve"> </w:t>
      </w:r>
      <w:r>
        <w:t>que</w:t>
      </w:r>
      <w:r>
        <w:rPr>
          <w:spacing w:val="-4"/>
        </w:rPr>
        <w:t xml:space="preserve"> </w:t>
      </w:r>
      <w:r>
        <w:t>o</w:t>
      </w:r>
      <w:r>
        <w:rPr>
          <w:spacing w:val="-1"/>
        </w:rPr>
        <w:t xml:space="preserve"> </w:t>
      </w:r>
      <w:r>
        <w:t>inciso</w:t>
      </w:r>
      <w:r>
        <w:rPr>
          <w:spacing w:val="-1"/>
        </w:rPr>
        <w:t xml:space="preserve"> </w:t>
      </w:r>
      <w:r>
        <w:t>VII</w:t>
      </w:r>
      <w:r>
        <w:rPr>
          <w:spacing w:val="-8"/>
        </w:rPr>
        <w:t xml:space="preserve"> </w:t>
      </w:r>
      <w:r>
        <w:t>dispõe</w:t>
      </w:r>
      <w:r>
        <w:rPr>
          <w:spacing w:val="-4"/>
        </w:rPr>
        <w:t xml:space="preserve"> </w:t>
      </w:r>
      <w:r>
        <w:t>que:</w:t>
      </w:r>
      <w:r>
        <w:rPr>
          <w:spacing w:val="-3"/>
        </w:rPr>
        <w:t xml:space="preserve"> </w:t>
      </w:r>
      <w:r>
        <w:t>“o edital poderá prever a realização de fases sucessivas, caso em que cada fase poderá restringir as soluções ou as propostas a serem discutidas”.</w:t>
      </w:r>
    </w:p>
    <w:p w:rsidR="007259F2" w:rsidRDefault="00E655B4">
      <w:pPr>
        <w:pStyle w:val="Corpodetexto"/>
        <w:ind w:right="423"/>
      </w:pPr>
      <w:r>
        <w:t>É possível notar que, em que pese ser um procedimento público, na medida que as propostas de soluções apresentadas têm relevância comercial e fazem parte das técnicas adotadas</w:t>
      </w:r>
      <w:r>
        <w:rPr>
          <w:spacing w:val="-15"/>
        </w:rPr>
        <w:t xml:space="preserve"> </w:t>
      </w:r>
      <w:r>
        <w:t>pelos</w:t>
      </w:r>
      <w:r>
        <w:rPr>
          <w:spacing w:val="-15"/>
        </w:rPr>
        <w:t xml:space="preserve"> </w:t>
      </w:r>
      <w:r>
        <w:t>interessados-proponentes,</w:t>
      </w:r>
      <w:r>
        <w:rPr>
          <w:spacing w:val="-15"/>
        </w:rPr>
        <w:t xml:space="preserve"> </w:t>
      </w:r>
      <w:r>
        <w:t>subiste</w:t>
      </w:r>
      <w:r>
        <w:rPr>
          <w:spacing w:val="-15"/>
        </w:rPr>
        <w:t xml:space="preserve"> </w:t>
      </w:r>
      <w:r>
        <w:t>o</w:t>
      </w:r>
      <w:r>
        <w:rPr>
          <w:spacing w:val="-15"/>
        </w:rPr>
        <w:t xml:space="preserve"> </w:t>
      </w:r>
      <w:r>
        <w:t>dever</w:t>
      </w:r>
      <w:r>
        <w:rPr>
          <w:spacing w:val="-15"/>
        </w:rPr>
        <w:t xml:space="preserve"> </w:t>
      </w:r>
      <w:r>
        <w:t>de</w:t>
      </w:r>
      <w:r>
        <w:rPr>
          <w:spacing w:val="-15"/>
        </w:rPr>
        <w:t xml:space="preserve"> </w:t>
      </w:r>
      <w:r>
        <w:t>sigilo</w:t>
      </w:r>
      <w:r>
        <w:rPr>
          <w:spacing w:val="-15"/>
        </w:rPr>
        <w:t xml:space="preserve"> </w:t>
      </w:r>
      <w:r>
        <w:t>quanto</w:t>
      </w:r>
      <w:r>
        <w:rPr>
          <w:spacing w:val="-15"/>
        </w:rPr>
        <w:t xml:space="preserve"> </w:t>
      </w:r>
      <w:r>
        <w:t>às</w:t>
      </w:r>
      <w:r>
        <w:rPr>
          <w:spacing w:val="-15"/>
        </w:rPr>
        <w:t xml:space="preserve"> </w:t>
      </w:r>
      <w:r>
        <w:t>propostas,</w:t>
      </w:r>
      <w:r>
        <w:rPr>
          <w:spacing w:val="-15"/>
        </w:rPr>
        <w:t xml:space="preserve"> </w:t>
      </w:r>
      <w:r>
        <w:t>de</w:t>
      </w:r>
      <w:r>
        <w:rPr>
          <w:spacing w:val="-15"/>
        </w:rPr>
        <w:t xml:space="preserve"> </w:t>
      </w:r>
      <w:r>
        <w:t>modo que, sem o consentimento do particular, a proposta feita não será divulgada aos demais participantes do certame.</w:t>
      </w:r>
    </w:p>
    <w:p w:rsidR="007259F2" w:rsidRDefault="00E655B4">
      <w:pPr>
        <w:pStyle w:val="Corpodetexto"/>
        <w:ind w:right="420"/>
      </w:pPr>
      <w:r>
        <w:t>Outro ponto que chama a atenção é o fato de que a Lei de Licitações não trouxe um período</w:t>
      </w:r>
      <w:r>
        <w:rPr>
          <w:spacing w:val="-3"/>
        </w:rPr>
        <w:t xml:space="preserve"> </w:t>
      </w:r>
      <w:r>
        <w:t>máximo de</w:t>
      </w:r>
      <w:r>
        <w:rPr>
          <w:spacing w:val="-5"/>
        </w:rPr>
        <w:t xml:space="preserve"> </w:t>
      </w:r>
      <w:r>
        <w:t>duração dessa</w:t>
      </w:r>
      <w:r>
        <w:rPr>
          <w:spacing w:val="-1"/>
        </w:rPr>
        <w:t xml:space="preserve"> </w:t>
      </w:r>
      <w:r>
        <w:t>fase, normatizando quanto à</w:t>
      </w:r>
      <w:r>
        <w:rPr>
          <w:spacing w:val="-6"/>
        </w:rPr>
        <w:t xml:space="preserve"> </w:t>
      </w:r>
      <w:r>
        <w:t>sua</w:t>
      </w:r>
      <w:r>
        <w:rPr>
          <w:spacing w:val="-6"/>
        </w:rPr>
        <w:t xml:space="preserve"> </w:t>
      </w:r>
      <w:r>
        <w:t>duração apenas</w:t>
      </w:r>
      <w:r>
        <w:rPr>
          <w:spacing w:val="-5"/>
        </w:rPr>
        <w:t xml:space="preserve"> </w:t>
      </w:r>
      <w:r>
        <w:t>que</w:t>
      </w:r>
      <w:r>
        <w:rPr>
          <w:spacing w:val="-6"/>
        </w:rPr>
        <w:t xml:space="preserve"> </w:t>
      </w:r>
      <w:r>
        <w:t>poderá ser</w:t>
      </w:r>
      <w:r>
        <w:rPr>
          <w:spacing w:val="-6"/>
        </w:rPr>
        <w:t xml:space="preserve"> </w:t>
      </w:r>
      <w:r>
        <w:t>mantida</w:t>
      </w:r>
      <w:r>
        <w:rPr>
          <w:spacing w:val="-5"/>
        </w:rPr>
        <w:t xml:space="preserve"> </w:t>
      </w:r>
      <w:r>
        <w:t>até</w:t>
      </w:r>
      <w:r>
        <w:rPr>
          <w:spacing w:val="-5"/>
        </w:rPr>
        <w:t xml:space="preserve"> </w:t>
      </w:r>
      <w:r>
        <w:t>que</w:t>
      </w:r>
      <w:r>
        <w:rPr>
          <w:spacing w:val="-6"/>
        </w:rPr>
        <w:t xml:space="preserve"> </w:t>
      </w:r>
      <w:r>
        <w:t>a</w:t>
      </w:r>
      <w:r>
        <w:rPr>
          <w:spacing w:val="-15"/>
        </w:rPr>
        <w:t xml:space="preserve"> </w:t>
      </w:r>
      <w:r>
        <w:t>Administração “identifique</w:t>
      </w:r>
      <w:r>
        <w:rPr>
          <w:spacing w:val="-3"/>
        </w:rPr>
        <w:t xml:space="preserve"> </w:t>
      </w:r>
      <w:r>
        <w:t>a</w:t>
      </w:r>
      <w:r>
        <w:rPr>
          <w:spacing w:val="-8"/>
        </w:rPr>
        <w:t xml:space="preserve"> </w:t>
      </w:r>
      <w:r>
        <w:t>solução</w:t>
      </w:r>
      <w:r>
        <w:rPr>
          <w:spacing w:val="-5"/>
        </w:rPr>
        <w:t xml:space="preserve"> </w:t>
      </w:r>
      <w:r>
        <w:t>ou</w:t>
      </w:r>
      <w:r>
        <w:rPr>
          <w:spacing w:val="-2"/>
        </w:rPr>
        <w:t xml:space="preserve"> </w:t>
      </w:r>
      <w:r>
        <w:t>as</w:t>
      </w:r>
      <w:r>
        <w:rPr>
          <w:spacing w:val="-7"/>
        </w:rPr>
        <w:t xml:space="preserve"> </w:t>
      </w:r>
      <w:r>
        <w:t>soluções</w:t>
      </w:r>
      <w:r>
        <w:rPr>
          <w:spacing w:val="-4"/>
        </w:rPr>
        <w:t xml:space="preserve"> </w:t>
      </w:r>
      <w:r>
        <w:t>que</w:t>
      </w:r>
      <w:r>
        <w:rPr>
          <w:spacing w:val="-8"/>
        </w:rPr>
        <w:t xml:space="preserve"> </w:t>
      </w:r>
      <w:r>
        <w:t>atendam</w:t>
      </w:r>
      <w:r>
        <w:rPr>
          <w:spacing w:val="-6"/>
        </w:rPr>
        <w:t xml:space="preserve"> </w:t>
      </w:r>
      <w:r>
        <w:t>às</w:t>
      </w:r>
      <w:r>
        <w:rPr>
          <w:spacing w:val="-7"/>
        </w:rPr>
        <w:t xml:space="preserve"> </w:t>
      </w:r>
      <w:r>
        <w:t>suas necessidades”, por meio de decisão fundamentada. Fato é que, uma vez encerrado, inicia-se a fase competitiva.</w:t>
      </w:r>
    </w:p>
    <w:p w:rsidR="007259F2" w:rsidRDefault="007259F2">
      <w:pPr>
        <w:pStyle w:val="Corpodetexto"/>
        <w:sectPr w:rsidR="007259F2">
          <w:pgSz w:w="11910" w:h="16840"/>
          <w:pgMar w:top="1600" w:right="708" w:bottom="1020" w:left="992" w:header="0" w:footer="820" w:gutter="0"/>
          <w:cols w:space="720"/>
        </w:sectPr>
      </w:pPr>
    </w:p>
    <w:p w:rsidR="007259F2" w:rsidRDefault="00E655B4">
      <w:pPr>
        <w:pStyle w:val="Heading2"/>
        <w:numPr>
          <w:ilvl w:val="1"/>
          <w:numId w:val="19"/>
        </w:numPr>
        <w:tabs>
          <w:tab w:val="left" w:pos="1208"/>
        </w:tabs>
        <w:spacing w:before="60"/>
        <w:ind w:left="1208" w:hanging="359"/>
        <w:jc w:val="both"/>
      </w:pPr>
      <w:r>
        <w:rPr>
          <w:spacing w:val="-2"/>
        </w:rPr>
        <w:lastRenderedPageBreak/>
        <w:t>Competitiva</w:t>
      </w:r>
    </w:p>
    <w:p w:rsidR="007259F2" w:rsidRDefault="00E655B4">
      <w:pPr>
        <w:pStyle w:val="Corpodetexto"/>
        <w:spacing w:before="115"/>
        <w:ind w:right="421"/>
      </w:pPr>
      <w:r>
        <w:t>A fase competitiva é iniciada através da publicação de um novo edital. Neste novo edital</w:t>
      </w:r>
      <w:r>
        <w:rPr>
          <w:spacing w:val="-7"/>
        </w:rPr>
        <w:t xml:space="preserve"> </w:t>
      </w:r>
      <w:r>
        <w:t>estarão contidos todos os</w:t>
      </w:r>
      <w:r>
        <w:rPr>
          <w:spacing w:val="-1"/>
        </w:rPr>
        <w:t xml:space="preserve"> </w:t>
      </w:r>
      <w:r>
        <w:t>elementos estabelecidos na</w:t>
      </w:r>
      <w:r>
        <w:rPr>
          <w:spacing w:val="-2"/>
        </w:rPr>
        <w:t xml:space="preserve"> </w:t>
      </w:r>
      <w:r>
        <w:t>fase</w:t>
      </w:r>
      <w:r>
        <w:rPr>
          <w:spacing w:val="-2"/>
        </w:rPr>
        <w:t xml:space="preserve"> </w:t>
      </w:r>
      <w:r>
        <w:t>de</w:t>
      </w:r>
      <w:r>
        <w:rPr>
          <w:spacing w:val="-2"/>
        </w:rPr>
        <w:t xml:space="preserve"> </w:t>
      </w:r>
      <w:r>
        <w:t>diálogo,</w:t>
      </w:r>
      <w:r>
        <w:rPr>
          <w:spacing w:val="-1"/>
        </w:rPr>
        <w:t xml:space="preserve"> </w:t>
      </w:r>
      <w:r>
        <w:t>quando</w:t>
      </w:r>
      <w:r>
        <w:rPr>
          <w:spacing w:val="-1"/>
        </w:rPr>
        <w:t xml:space="preserve"> </w:t>
      </w:r>
      <w:r>
        <w:t>da fixação da</w:t>
      </w:r>
      <w:r>
        <w:rPr>
          <w:spacing w:val="-7"/>
        </w:rPr>
        <w:t xml:space="preserve"> </w:t>
      </w:r>
      <w:r>
        <w:t>solução,</w:t>
      </w:r>
      <w:r>
        <w:rPr>
          <w:spacing w:val="-8"/>
        </w:rPr>
        <w:t xml:space="preserve"> </w:t>
      </w:r>
      <w:r>
        <w:t>ou</w:t>
      </w:r>
      <w:r>
        <w:rPr>
          <w:spacing w:val="-6"/>
        </w:rPr>
        <w:t xml:space="preserve"> </w:t>
      </w:r>
      <w:r>
        <w:t>soluções,</w:t>
      </w:r>
      <w:r>
        <w:rPr>
          <w:spacing w:val="-3"/>
        </w:rPr>
        <w:t xml:space="preserve"> </w:t>
      </w:r>
      <w:r>
        <w:t>encontradas,</w:t>
      </w:r>
      <w:r>
        <w:rPr>
          <w:spacing w:val="-3"/>
        </w:rPr>
        <w:t xml:space="preserve"> </w:t>
      </w:r>
      <w:r>
        <w:t>bem</w:t>
      </w:r>
      <w:r>
        <w:rPr>
          <w:spacing w:val="-15"/>
        </w:rPr>
        <w:t xml:space="preserve"> </w:t>
      </w:r>
      <w:r>
        <w:t>como</w:t>
      </w:r>
      <w:r>
        <w:rPr>
          <w:spacing w:val="-5"/>
        </w:rPr>
        <w:t xml:space="preserve"> </w:t>
      </w:r>
      <w:r>
        <w:t>os</w:t>
      </w:r>
      <w:r>
        <w:rPr>
          <w:spacing w:val="-8"/>
        </w:rPr>
        <w:t xml:space="preserve"> </w:t>
      </w:r>
      <w:r>
        <w:t>critérios</w:t>
      </w:r>
      <w:r>
        <w:rPr>
          <w:spacing w:val="-7"/>
        </w:rPr>
        <w:t xml:space="preserve"> </w:t>
      </w:r>
      <w:r>
        <w:t>objetivos</w:t>
      </w:r>
      <w:r>
        <w:rPr>
          <w:spacing w:val="-7"/>
        </w:rPr>
        <w:t xml:space="preserve"> </w:t>
      </w:r>
      <w:r>
        <w:t>a</w:t>
      </w:r>
      <w:r>
        <w:rPr>
          <w:spacing w:val="-7"/>
        </w:rPr>
        <w:t xml:space="preserve"> </w:t>
      </w:r>
      <w:r>
        <w:t>serem</w:t>
      </w:r>
      <w:r>
        <w:rPr>
          <w:spacing w:val="-14"/>
        </w:rPr>
        <w:t xml:space="preserve"> </w:t>
      </w:r>
      <w:r>
        <w:t>observados</w:t>
      </w:r>
      <w:r>
        <w:rPr>
          <w:spacing w:val="-8"/>
        </w:rPr>
        <w:t xml:space="preserve"> </w:t>
      </w:r>
      <w:r>
        <w:t>para aferição objetiva da proposta mais vantajosa.</w:t>
      </w:r>
    </w:p>
    <w:p w:rsidR="007259F2" w:rsidRDefault="00E655B4">
      <w:pPr>
        <w:pStyle w:val="Corpodetexto"/>
        <w:ind w:right="426"/>
      </w:pPr>
      <w:r>
        <w:t>Neste ponto em diante podemos notar a conciliação desta modalidade licitatória com</w:t>
      </w:r>
      <w:r>
        <w:rPr>
          <w:spacing w:val="40"/>
        </w:rPr>
        <w:t xml:space="preserve"> </w:t>
      </w:r>
      <w:r>
        <w:t>as demais existentes no ordenamento jurídico nacional, ainda que com algumas especificidades voltadas exclusivamente para ela.</w:t>
      </w:r>
    </w:p>
    <w:p w:rsidR="007259F2" w:rsidRDefault="00E655B4">
      <w:pPr>
        <w:pStyle w:val="Corpodetexto"/>
        <w:ind w:right="423"/>
      </w:pPr>
      <w:r>
        <w:t>Dentre essas especificidades, está a disposição contida no inciso VIII, em que os candidatos pré-selecionados terão o prazo de 60 (sessenta) dias úteis para apresentem suas propostas,</w:t>
      </w:r>
      <w:r>
        <w:rPr>
          <w:spacing w:val="-15"/>
        </w:rPr>
        <w:t xml:space="preserve"> </w:t>
      </w:r>
      <w:r>
        <w:t>que</w:t>
      </w:r>
      <w:r>
        <w:rPr>
          <w:spacing w:val="-15"/>
        </w:rPr>
        <w:t xml:space="preserve"> </w:t>
      </w:r>
      <w:r>
        <w:t>deverão</w:t>
      </w:r>
      <w:r>
        <w:rPr>
          <w:spacing w:val="-10"/>
        </w:rPr>
        <w:t xml:space="preserve"> </w:t>
      </w:r>
      <w:r>
        <w:t>ser</w:t>
      </w:r>
      <w:r>
        <w:rPr>
          <w:spacing w:val="-15"/>
        </w:rPr>
        <w:t xml:space="preserve"> </w:t>
      </w:r>
      <w:r>
        <w:t>realizadas</w:t>
      </w:r>
      <w:r>
        <w:rPr>
          <w:spacing w:val="-12"/>
        </w:rPr>
        <w:t xml:space="preserve"> </w:t>
      </w:r>
      <w:r>
        <w:t>tendo</w:t>
      </w:r>
      <w:r>
        <w:rPr>
          <w:spacing w:val="-9"/>
        </w:rPr>
        <w:t xml:space="preserve"> </w:t>
      </w:r>
      <w:r>
        <w:t>por</w:t>
      </w:r>
      <w:r>
        <w:rPr>
          <w:spacing w:val="-9"/>
        </w:rPr>
        <w:t xml:space="preserve"> </w:t>
      </w:r>
      <w:r>
        <w:t>base</w:t>
      </w:r>
      <w:r>
        <w:rPr>
          <w:spacing w:val="-13"/>
        </w:rPr>
        <w:t xml:space="preserve"> </w:t>
      </w:r>
      <w:r>
        <w:t>os</w:t>
      </w:r>
      <w:r>
        <w:rPr>
          <w:spacing w:val="-15"/>
        </w:rPr>
        <w:t xml:space="preserve"> </w:t>
      </w:r>
      <w:r>
        <w:t>requisitos</w:t>
      </w:r>
      <w:r>
        <w:rPr>
          <w:spacing w:val="-12"/>
        </w:rPr>
        <w:t xml:space="preserve"> </w:t>
      </w:r>
      <w:r>
        <w:t>dispostos</w:t>
      </w:r>
      <w:r>
        <w:rPr>
          <w:spacing w:val="-11"/>
        </w:rPr>
        <w:t xml:space="preserve"> </w:t>
      </w:r>
      <w:r>
        <w:t>em</w:t>
      </w:r>
      <w:r>
        <w:rPr>
          <w:spacing w:val="-15"/>
        </w:rPr>
        <w:t xml:space="preserve"> </w:t>
      </w:r>
      <w:r>
        <w:t>edital</w:t>
      </w:r>
      <w:r>
        <w:rPr>
          <w:spacing w:val="-15"/>
        </w:rPr>
        <w:t xml:space="preserve"> </w:t>
      </w:r>
      <w:r>
        <w:t>publicado após o encerramento da fase de diálogo, com as soluções encontradas naquela fase.</w:t>
      </w:r>
    </w:p>
    <w:p w:rsidR="007259F2" w:rsidRDefault="00E655B4">
      <w:pPr>
        <w:pStyle w:val="Corpodetexto"/>
        <w:spacing w:before="1"/>
        <w:ind w:right="423"/>
      </w:pPr>
      <w:r>
        <w:t>A proposta vencedora, em atendimento ao princípio da vinculação ao instrumento convocatório,</w:t>
      </w:r>
      <w:r>
        <w:rPr>
          <w:spacing w:val="-10"/>
        </w:rPr>
        <w:t xml:space="preserve"> </w:t>
      </w:r>
      <w:r>
        <w:t>art.</w:t>
      </w:r>
      <w:r>
        <w:rPr>
          <w:spacing w:val="-11"/>
        </w:rPr>
        <w:t xml:space="preserve"> </w:t>
      </w:r>
      <w:r>
        <w:t>5º,</w:t>
      </w:r>
      <w:r>
        <w:rPr>
          <w:spacing w:val="-8"/>
        </w:rPr>
        <w:t xml:space="preserve"> </w:t>
      </w:r>
      <w:r>
        <w:rPr>
          <w:i/>
        </w:rPr>
        <w:t>caput</w:t>
      </w:r>
      <w:r>
        <w:t>,</w:t>
      </w:r>
      <w:r>
        <w:rPr>
          <w:spacing w:val="-11"/>
        </w:rPr>
        <w:t xml:space="preserve"> </w:t>
      </w:r>
      <w:r>
        <w:t>da</w:t>
      </w:r>
      <w:r>
        <w:rPr>
          <w:spacing w:val="-9"/>
        </w:rPr>
        <w:t xml:space="preserve"> </w:t>
      </w:r>
      <w:r>
        <w:t>Lei</w:t>
      </w:r>
      <w:r>
        <w:rPr>
          <w:spacing w:val="-15"/>
        </w:rPr>
        <w:t xml:space="preserve"> </w:t>
      </w:r>
      <w:r>
        <w:t>de</w:t>
      </w:r>
      <w:r>
        <w:rPr>
          <w:spacing w:val="-9"/>
        </w:rPr>
        <w:t xml:space="preserve"> </w:t>
      </w:r>
      <w:r>
        <w:t>Licitações,</w:t>
      </w:r>
      <w:r>
        <w:rPr>
          <w:spacing w:val="-5"/>
        </w:rPr>
        <w:t xml:space="preserve"> </w:t>
      </w:r>
      <w:r>
        <w:t>será</w:t>
      </w:r>
      <w:r>
        <w:rPr>
          <w:spacing w:val="-12"/>
        </w:rPr>
        <w:t xml:space="preserve"> </w:t>
      </w:r>
      <w:r>
        <w:t>declarada</w:t>
      </w:r>
      <w:r>
        <w:rPr>
          <w:spacing w:val="-11"/>
        </w:rPr>
        <w:t xml:space="preserve"> </w:t>
      </w:r>
      <w:r>
        <w:t>tendo</w:t>
      </w:r>
      <w:r>
        <w:rPr>
          <w:spacing w:val="-6"/>
        </w:rPr>
        <w:t xml:space="preserve"> </w:t>
      </w:r>
      <w:r>
        <w:t>por</w:t>
      </w:r>
      <w:r>
        <w:rPr>
          <w:spacing w:val="-14"/>
        </w:rPr>
        <w:t xml:space="preserve"> </w:t>
      </w:r>
      <w:r>
        <w:t>base</w:t>
      </w:r>
      <w:r>
        <w:rPr>
          <w:spacing w:val="-11"/>
        </w:rPr>
        <w:t xml:space="preserve"> </w:t>
      </w:r>
      <w:r>
        <w:t>sua</w:t>
      </w:r>
      <w:r>
        <w:rPr>
          <w:spacing w:val="-9"/>
        </w:rPr>
        <w:t xml:space="preserve"> </w:t>
      </w:r>
      <w:r>
        <w:t>análise</w:t>
      </w:r>
      <w:r>
        <w:rPr>
          <w:spacing w:val="-11"/>
        </w:rPr>
        <w:t xml:space="preserve"> </w:t>
      </w:r>
      <w:r>
        <w:t>com base nos termos constantes do edital.</w:t>
      </w:r>
    </w:p>
    <w:p w:rsidR="007259F2" w:rsidRDefault="00E655B4">
      <w:pPr>
        <w:pStyle w:val="Corpodetexto"/>
        <w:ind w:right="424"/>
      </w:pPr>
      <w:r>
        <w:t>Há aqui, também, uma cisão quanto à observância do rito procedimental adotado nas demais modalidades licitatórias, que seguem o disposto no art. 17 da Lei de Licitações.</w:t>
      </w:r>
    </w:p>
    <w:p w:rsidR="007259F2" w:rsidRDefault="00E655B4">
      <w:pPr>
        <w:pStyle w:val="Corpodetexto"/>
        <w:ind w:right="423"/>
      </w:pPr>
      <w:r>
        <w:t>Perceba-se que a existência de um diálogo entre a Administração Pública e os particulares</w:t>
      </w:r>
      <w:r>
        <w:rPr>
          <w:spacing w:val="-5"/>
        </w:rPr>
        <w:t xml:space="preserve"> </w:t>
      </w:r>
      <w:r>
        <w:t>não</w:t>
      </w:r>
      <w:r>
        <w:rPr>
          <w:spacing w:val="-1"/>
        </w:rPr>
        <w:t xml:space="preserve"> </w:t>
      </w:r>
      <w:r>
        <w:t>importa</w:t>
      </w:r>
      <w:r>
        <w:rPr>
          <w:spacing w:val="-8"/>
        </w:rPr>
        <w:t xml:space="preserve"> </w:t>
      </w:r>
      <w:r>
        <w:t>em</w:t>
      </w:r>
      <w:r>
        <w:rPr>
          <w:spacing w:val="-13"/>
        </w:rPr>
        <w:t xml:space="preserve"> </w:t>
      </w:r>
      <w:r>
        <w:t>violação</w:t>
      </w:r>
      <w:r>
        <w:rPr>
          <w:spacing w:val="-3"/>
        </w:rPr>
        <w:t xml:space="preserve"> </w:t>
      </w:r>
      <w:r>
        <w:t>ao</w:t>
      </w:r>
      <w:r>
        <w:rPr>
          <w:spacing w:val="-3"/>
        </w:rPr>
        <w:t xml:space="preserve"> </w:t>
      </w:r>
      <w:r>
        <w:t>princípio</w:t>
      </w:r>
      <w:r>
        <w:rPr>
          <w:spacing w:val="-2"/>
        </w:rPr>
        <w:t xml:space="preserve"> </w:t>
      </w:r>
      <w:r>
        <w:t>da</w:t>
      </w:r>
      <w:r>
        <w:rPr>
          <w:spacing w:val="-12"/>
        </w:rPr>
        <w:t xml:space="preserve"> </w:t>
      </w:r>
      <w:r>
        <w:t>competitividade,</w:t>
      </w:r>
      <w:r>
        <w:rPr>
          <w:spacing w:val="-7"/>
        </w:rPr>
        <w:t xml:space="preserve"> </w:t>
      </w:r>
      <w:r>
        <w:t>na</w:t>
      </w:r>
      <w:r>
        <w:rPr>
          <w:spacing w:val="-7"/>
        </w:rPr>
        <w:t xml:space="preserve"> </w:t>
      </w:r>
      <w:r>
        <w:t>medida</w:t>
      </w:r>
      <w:r>
        <w:rPr>
          <w:spacing w:val="-10"/>
        </w:rPr>
        <w:t xml:space="preserve"> </w:t>
      </w:r>
      <w:r>
        <w:t>que</w:t>
      </w:r>
      <w:r>
        <w:rPr>
          <w:spacing w:val="-9"/>
        </w:rPr>
        <w:t xml:space="preserve"> </w:t>
      </w:r>
      <w:r>
        <w:t>a</w:t>
      </w:r>
      <w:r>
        <w:rPr>
          <w:spacing w:val="-7"/>
        </w:rPr>
        <w:t xml:space="preserve"> </w:t>
      </w:r>
      <w:r>
        <w:t>seleção da</w:t>
      </w:r>
      <w:r>
        <w:rPr>
          <w:spacing w:val="-9"/>
        </w:rPr>
        <w:t xml:space="preserve"> </w:t>
      </w:r>
      <w:r>
        <w:t>proposta</w:t>
      </w:r>
      <w:r>
        <w:rPr>
          <w:spacing w:val="-9"/>
        </w:rPr>
        <w:t xml:space="preserve"> </w:t>
      </w:r>
      <w:r>
        <w:t>mais</w:t>
      </w:r>
      <w:r>
        <w:rPr>
          <w:spacing w:val="-3"/>
        </w:rPr>
        <w:t xml:space="preserve"> </w:t>
      </w:r>
      <w:r>
        <w:t>vantajosa</w:t>
      </w:r>
      <w:r>
        <w:rPr>
          <w:spacing w:val="-8"/>
        </w:rPr>
        <w:t xml:space="preserve"> </w:t>
      </w:r>
      <w:r>
        <w:t>terá</w:t>
      </w:r>
      <w:r>
        <w:rPr>
          <w:spacing w:val="-9"/>
        </w:rPr>
        <w:t xml:space="preserve"> </w:t>
      </w:r>
      <w:r>
        <w:t>por</w:t>
      </w:r>
      <w:r>
        <w:rPr>
          <w:spacing w:val="-6"/>
        </w:rPr>
        <w:t xml:space="preserve"> </w:t>
      </w:r>
      <w:r>
        <w:t>base</w:t>
      </w:r>
      <w:r>
        <w:rPr>
          <w:spacing w:val="-7"/>
        </w:rPr>
        <w:t xml:space="preserve"> </w:t>
      </w:r>
      <w:r>
        <w:t>a</w:t>
      </w:r>
      <w:r>
        <w:rPr>
          <w:spacing w:val="-9"/>
        </w:rPr>
        <w:t xml:space="preserve"> </w:t>
      </w:r>
      <w:r>
        <w:t>análise</w:t>
      </w:r>
      <w:r>
        <w:rPr>
          <w:spacing w:val="-1"/>
        </w:rPr>
        <w:t xml:space="preserve"> </w:t>
      </w:r>
      <w:r>
        <w:t>de</w:t>
      </w:r>
      <w:r>
        <w:rPr>
          <w:spacing w:val="-9"/>
        </w:rPr>
        <w:t xml:space="preserve"> </w:t>
      </w:r>
      <w:r>
        <w:t>critérios</w:t>
      </w:r>
      <w:r>
        <w:rPr>
          <w:spacing w:val="-7"/>
        </w:rPr>
        <w:t xml:space="preserve"> </w:t>
      </w:r>
      <w:r>
        <w:t>objetivos</w:t>
      </w:r>
      <w:r>
        <w:rPr>
          <w:spacing w:val="-7"/>
        </w:rPr>
        <w:t xml:space="preserve"> </w:t>
      </w:r>
      <w:r>
        <w:t>que</w:t>
      </w:r>
      <w:r>
        <w:rPr>
          <w:spacing w:val="-4"/>
        </w:rPr>
        <w:t xml:space="preserve"> </w:t>
      </w:r>
      <w:r>
        <w:t>foram</w:t>
      </w:r>
      <w:r>
        <w:rPr>
          <w:spacing w:val="-14"/>
        </w:rPr>
        <w:t xml:space="preserve"> </w:t>
      </w:r>
      <w:r>
        <w:t>previamente definidos ao final da fase de diálogo.</w:t>
      </w:r>
    </w:p>
    <w:p w:rsidR="007259F2" w:rsidRDefault="00E655B4">
      <w:pPr>
        <w:pStyle w:val="Corpodetexto"/>
        <w:ind w:right="426"/>
      </w:pPr>
      <w:r>
        <w:t>Caso fosse o caso de mitigação do princípio da competitividade, estaríamos defronte</w:t>
      </w:r>
      <w:r>
        <w:rPr>
          <w:spacing w:val="40"/>
        </w:rPr>
        <w:t xml:space="preserve"> </w:t>
      </w:r>
      <w:r>
        <w:t>de uma hipótese normativa de contratação direta não inserida no rol do art. 74, que cuida das hipóteses de inexigibilidade do procedimento licitatório, e do 75, que trata das hipóteses de dispensa de licitação.</w:t>
      </w:r>
    </w:p>
    <w:p w:rsidR="007259F2" w:rsidRDefault="00E655B4">
      <w:pPr>
        <w:pStyle w:val="Corpodetexto"/>
        <w:spacing w:before="1"/>
        <w:ind w:right="427"/>
      </w:pPr>
      <w:r>
        <w:t>Conforme podemos perceber, de análise das fases existentes no procedimento licitatório, a existência de um “diálogo” entre a</w:t>
      </w:r>
      <w:r>
        <w:rPr>
          <w:spacing w:val="-2"/>
        </w:rPr>
        <w:t xml:space="preserve"> </w:t>
      </w:r>
      <w:r>
        <w:t>Administração e os particulares não pode ser visto como algo lúdico, uma vez que a tônica que lhe nomeia ocorre na segunda fase, apenas, momento em que o diálogo é estabelecido com os pré-selecionados da etapa anterior.</w:t>
      </w:r>
    </w:p>
    <w:p w:rsidR="007259F2" w:rsidRDefault="00E655B4">
      <w:pPr>
        <w:pStyle w:val="Corpodetexto"/>
        <w:ind w:right="426"/>
      </w:pPr>
      <w:r>
        <w:t>Finalizada a fase de diálogo, a licitação retoma seu rumo, e o caráter impositivo é prevalece, porquanto a proposta vencedora terá por fundamento critérios objetivos que embasaram a análise objetiva de vantajosidade da proposta a ser sagrada vencedora.</w:t>
      </w:r>
    </w:p>
    <w:p w:rsidR="007259F2" w:rsidRDefault="00E655B4">
      <w:pPr>
        <w:pStyle w:val="Heading2"/>
        <w:spacing w:before="204"/>
        <w:ind w:left="849"/>
      </w:pPr>
      <w:r>
        <w:t>6</w:t>
      </w:r>
      <w:r>
        <w:rPr>
          <w:spacing w:val="59"/>
        </w:rPr>
        <w:t xml:space="preserve"> </w:t>
      </w:r>
      <w:r>
        <w:t>Da</w:t>
      </w:r>
      <w:r>
        <w:rPr>
          <w:spacing w:val="-4"/>
        </w:rPr>
        <w:t xml:space="preserve"> </w:t>
      </w:r>
      <w:r>
        <w:t>compatibilidade</w:t>
      </w:r>
      <w:r>
        <w:rPr>
          <w:spacing w:val="-3"/>
        </w:rPr>
        <w:t xml:space="preserve"> </w:t>
      </w:r>
      <w:r>
        <w:t>com</w:t>
      </w:r>
      <w:r>
        <w:rPr>
          <w:spacing w:val="-9"/>
        </w:rPr>
        <w:t xml:space="preserve"> </w:t>
      </w:r>
      <w:r>
        <w:t>os</w:t>
      </w:r>
      <w:r>
        <w:rPr>
          <w:spacing w:val="-4"/>
        </w:rPr>
        <w:t xml:space="preserve"> </w:t>
      </w:r>
      <w:r>
        <w:t>demais</w:t>
      </w:r>
      <w:r>
        <w:rPr>
          <w:spacing w:val="-3"/>
        </w:rPr>
        <w:t xml:space="preserve"> </w:t>
      </w:r>
      <w:r>
        <w:t>tipos</w:t>
      </w:r>
      <w:r>
        <w:rPr>
          <w:spacing w:val="-5"/>
        </w:rPr>
        <w:t xml:space="preserve"> </w:t>
      </w:r>
      <w:r>
        <w:t>de</w:t>
      </w:r>
      <w:r>
        <w:rPr>
          <w:spacing w:val="-4"/>
        </w:rPr>
        <w:t xml:space="preserve"> </w:t>
      </w:r>
      <w:r>
        <w:t>contratações</w:t>
      </w:r>
      <w:r>
        <w:rPr>
          <w:spacing w:val="-3"/>
        </w:rPr>
        <w:t xml:space="preserve"> </w:t>
      </w:r>
      <w:r>
        <w:rPr>
          <w:spacing w:val="-2"/>
        </w:rPr>
        <w:t>públicas</w:t>
      </w:r>
    </w:p>
    <w:p w:rsidR="007259F2" w:rsidRDefault="00E655B4">
      <w:pPr>
        <w:pStyle w:val="Corpodetexto"/>
        <w:spacing w:before="116"/>
        <w:ind w:right="419"/>
      </w:pPr>
      <w:r>
        <w:t>Mormente</w:t>
      </w:r>
      <w:r>
        <w:rPr>
          <w:spacing w:val="-9"/>
        </w:rPr>
        <w:t xml:space="preserve"> </w:t>
      </w:r>
      <w:r>
        <w:t>a</w:t>
      </w:r>
      <w:r>
        <w:rPr>
          <w:spacing w:val="-9"/>
        </w:rPr>
        <w:t xml:space="preserve"> </w:t>
      </w:r>
      <w:r>
        <w:t>inserção</w:t>
      </w:r>
      <w:r>
        <w:rPr>
          <w:spacing w:val="-2"/>
        </w:rPr>
        <w:t xml:space="preserve"> </w:t>
      </w:r>
      <w:r>
        <w:t>deste</w:t>
      </w:r>
      <w:r>
        <w:rPr>
          <w:spacing w:val="-14"/>
        </w:rPr>
        <w:t xml:space="preserve"> </w:t>
      </w:r>
      <w:r>
        <w:t>novo</w:t>
      </w:r>
      <w:r>
        <w:rPr>
          <w:spacing w:val="-2"/>
        </w:rPr>
        <w:t xml:space="preserve"> </w:t>
      </w:r>
      <w:r>
        <w:t>modelo</w:t>
      </w:r>
      <w:r>
        <w:rPr>
          <w:spacing w:val="-2"/>
        </w:rPr>
        <w:t xml:space="preserve"> </w:t>
      </w:r>
      <w:r>
        <w:t>licitatório</w:t>
      </w:r>
      <w:r>
        <w:rPr>
          <w:spacing w:val="-2"/>
        </w:rPr>
        <w:t xml:space="preserve"> </w:t>
      </w:r>
      <w:r>
        <w:t>no</w:t>
      </w:r>
      <w:r>
        <w:rPr>
          <w:spacing w:val="-2"/>
        </w:rPr>
        <w:t xml:space="preserve"> </w:t>
      </w:r>
      <w:r>
        <w:t>arcabouço</w:t>
      </w:r>
      <w:r>
        <w:rPr>
          <w:spacing w:val="-4"/>
        </w:rPr>
        <w:t xml:space="preserve"> </w:t>
      </w:r>
      <w:r>
        <w:t>legislativo,</w:t>
      </w:r>
      <w:r>
        <w:rPr>
          <w:spacing w:val="-9"/>
        </w:rPr>
        <w:t xml:space="preserve"> </w:t>
      </w:r>
      <w:r>
        <w:t>o</w:t>
      </w:r>
      <w:r>
        <w:rPr>
          <w:spacing w:val="-2"/>
        </w:rPr>
        <w:t xml:space="preserve"> </w:t>
      </w:r>
      <w:r>
        <w:t>instituto aqui tratado aplica-se, também, às modalidades de contratações previstas em outros regramentos jurídicos, haja vista a previsão contida 179 e 180 da Lei de licitações:</w:t>
      </w:r>
    </w:p>
    <w:p w:rsidR="007259F2" w:rsidRDefault="00E655B4">
      <w:pPr>
        <w:spacing w:before="121"/>
        <w:ind w:left="2978" w:right="422"/>
        <w:jc w:val="both"/>
        <w:rPr>
          <w:sz w:val="20"/>
        </w:rPr>
      </w:pPr>
      <w:r>
        <w:rPr>
          <w:sz w:val="20"/>
        </w:rPr>
        <w:t>Art. 179. Os incisos II e III do caput do art. 2º da Lei nº 8.987, de 13 de fevereiro de 1995, passam a vigorar com a seguinte redação:</w:t>
      </w:r>
    </w:p>
    <w:p w:rsidR="007259F2" w:rsidRDefault="00E655B4">
      <w:pPr>
        <w:spacing w:line="228" w:lineRule="exact"/>
        <w:ind w:left="2978"/>
        <w:jc w:val="both"/>
        <w:rPr>
          <w:sz w:val="20"/>
        </w:rPr>
      </w:pPr>
      <w:r>
        <w:rPr>
          <w:sz w:val="20"/>
        </w:rPr>
        <w:t>“Art.</w:t>
      </w:r>
      <w:r>
        <w:rPr>
          <w:spacing w:val="-7"/>
          <w:sz w:val="20"/>
        </w:rPr>
        <w:t xml:space="preserve"> </w:t>
      </w:r>
      <w:r>
        <w:rPr>
          <w:spacing w:val="-5"/>
          <w:sz w:val="20"/>
        </w:rPr>
        <w:t>2º</w:t>
      </w:r>
    </w:p>
    <w:p w:rsidR="007259F2" w:rsidRDefault="00E655B4">
      <w:pPr>
        <w:spacing w:before="1"/>
        <w:ind w:left="2978" w:right="422"/>
        <w:jc w:val="both"/>
        <w:rPr>
          <w:sz w:val="20"/>
        </w:rPr>
      </w:pPr>
      <w:r>
        <w:rPr>
          <w:sz w:val="20"/>
        </w:rPr>
        <w:t>II - concessão de serviço público: a delegação de sua prestação, feita pelo poder concedente, mediante</w:t>
      </w:r>
      <w:r>
        <w:rPr>
          <w:spacing w:val="-1"/>
          <w:sz w:val="20"/>
        </w:rPr>
        <w:t xml:space="preserve"> </w:t>
      </w:r>
      <w:r>
        <w:rPr>
          <w:sz w:val="20"/>
        </w:rPr>
        <w:t>licitação,</w:t>
      </w:r>
      <w:r>
        <w:rPr>
          <w:spacing w:val="-1"/>
          <w:sz w:val="20"/>
        </w:rPr>
        <w:t xml:space="preserve"> </w:t>
      </w:r>
      <w:r>
        <w:rPr>
          <w:sz w:val="20"/>
        </w:rPr>
        <w:t>na modalidade</w:t>
      </w:r>
      <w:r>
        <w:rPr>
          <w:spacing w:val="-1"/>
          <w:sz w:val="20"/>
        </w:rPr>
        <w:t xml:space="preserve"> </w:t>
      </w:r>
      <w:r>
        <w:rPr>
          <w:sz w:val="20"/>
        </w:rPr>
        <w:t>concorrência ou</w:t>
      </w:r>
      <w:r>
        <w:rPr>
          <w:spacing w:val="-3"/>
          <w:sz w:val="20"/>
        </w:rPr>
        <w:t xml:space="preserve"> </w:t>
      </w:r>
      <w:r>
        <w:rPr>
          <w:sz w:val="20"/>
        </w:rPr>
        <w:t>diálogo</w:t>
      </w:r>
      <w:r>
        <w:rPr>
          <w:spacing w:val="-1"/>
          <w:sz w:val="20"/>
        </w:rPr>
        <w:t xml:space="preserve"> </w:t>
      </w:r>
      <w:r>
        <w:rPr>
          <w:sz w:val="20"/>
        </w:rPr>
        <w:t>competitivo, a pessoa jurídica ou consórcio de empresas que demonstre capacidade para seu desempenho, por sua conta e risco e por prazo determinado;</w:t>
      </w:r>
    </w:p>
    <w:p w:rsidR="007259F2" w:rsidRDefault="00E655B4">
      <w:pPr>
        <w:spacing w:before="1"/>
        <w:ind w:left="2978" w:right="421"/>
        <w:jc w:val="both"/>
        <w:rPr>
          <w:sz w:val="20"/>
        </w:rPr>
      </w:pPr>
      <w:r>
        <w:rPr>
          <w:sz w:val="20"/>
        </w:rPr>
        <w:t>III - concessão de serviço público precedida da execução de obra pública: a construção, total ou parcial, conservação, reforma, ampliação ou melhoramento de quaisquer obras de interesse público, delegados pelo poder concedente, mediante licitação, na modalidade concorrência ou diálogo competitivo, a pessoa jurídica ou consórcio</w:t>
      </w:r>
      <w:r>
        <w:rPr>
          <w:spacing w:val="-8"/>
          <w:sz w:val="20"/>
        </w:rPr>
        <w:t xml:space="preserve"> </w:t>
      </w:r>
      <w:r>
        <w:rPr>
          <w:sz w:val="20"/>
        </w:rPr>
        <w:t>de</w:t>
      </w:r>
      <w:r>
        <w:rPr>
          <w:spacing w:val="-8"/>
          <w:sz w:val="20"/>
        </w:rPr>
        <w:t xml:space="preserve"> </w:t>
      </w:r>
      <w:r>
        <w:rPr>
          <w:sz w:val="20"/>
        </w:rPr>
        <w:t>empresas</w:t>
      </w:r>
      <w:r>
        <w:rPr>
          <w:spacing w:val="-6"/>
          <w:sz w:val="20"/>
        </w:rPr>
        <w:t xml:space="preserve"> </w:t>
      </w:r>
      <w:r>
        <w:rPr>
          <w:sz w:val="20"/>
        </w:rPr>
        <w:t>que</w:t>
      </w:r>
      <w:r>
        <w:rPr>
          <w:spacing w:val="-6"/>
          <w:sz w:val="20"/>
        </w:rPr>
        <w:t xml:space="preserve"> </w:t>
      </w:r>
      <w:r>
        <w:rPr>
          <w:sz w:val="20"/>
        </w:rPr>
        <w:t>demonstre</w:t>
      </w:r>
      <w:r>
        <w:rPr>
          <w:spacing w:val="-7"/>
          <w:sz w:val="20"/>
        </w:rPr>
        <w:t xml:space="preserve"> </w:t>
      </w:r>
      <w:r>
        <w:rPr>
          <w:sz w:val="20"/>
        </w:rPr>
        <w:t>capacidade</w:t>
      </w:r>
      <w:r>
        <w:rPr>
          <w:spacing w:val="-7"/>
          <w:sz w:val="20"/>
        </w:rPr>
        <w:t xml:space="preserve"> </w:t>
      </w:r>
      <w:r>
        <w:rPr>
          <w:sz w:val="20"/>
        </w:rPr>
        <w:t>para</w:t>
      </w:r>
      <w:r>
        <w:rPr>
          <w:spacing w:val="-7"/>
          <w:sz w:val="20"/>
        </w:rPr>
        <w:t xml:space="preserve"> </w:t>
      </w:r>
      <w:r>
        <w:rPr>
          <w:sz w:val="20"/>
        </w:rPr>
        <w:t>a</w:t>
      </w:r>
      <w:r>
        <w:rPr>
          <w:spacing w:val="-8"/>
          <w:sz w:val="20"/>
        </w:rPr>
        <w:t xml:space="preserve"> </w:t>
      </w:r>
      <w:r>
        <w:rPr>
          <w:sz w:val="20"/>
        </w:rPr>
        <w:t>sua</w:t>
      </w:r>
      <w:r>
        <w:rPr>
          <w:spacing w:val="-8"/>
          <w:sz w:val="20"/>
        </w:rPr>
        <w:t xml:space="preserve"> </w:t>
      </w:r>
      <w:r>
        <w:rPr>
          <w:sz w:val="20"/>
        </w:rPr>
        <w:t>realização,</w:t>
      </w:r>
      <w:r>
        <w:rPr>
          <w:spacing w:val="-2"/>
          <w:sz w:val="20"/>
        </w:rPr>
        <w:t xml:space="preserve"> </w:t>
      </w:r>
      <w:r>
        <w:rPr>
          <w:sz w:val="20"/>
        </w:rPr>
        <w:t>por</w:t>
      </w:r>
      <w:r>
        <w:rPr>
          <w:spacing w:val="-6"/>
          <w:sz w:val="20"/>
        </w:rPr>
        <w:t xml:space="preserve"> </w:t>
      </w:r>
      <w:r>
        <w:rPr>
          <w:sz w:val="20"/>
        </w:rPr>
        <w:t>sua</w:t>
      </w:r>
      <w:r>
        <w:rPr>
          <w:spacing w:val="-8"/>
          <w:sz w:val="20"/>
        </w:rPr>
        <w:t xml:space="preserve"> </w:t>
      </w:r>
      <w:r>
        <w:rPr>
          <w:sz w:val="20"/>
        </w:rPr>
        <w:t>conta e</w:t>
      </w:r>
      <w:r>
        <w:rPr>
          <w:spacing w:val="-9"/>
          <w:sz w:val="20"/>
        </w:rPr>
        <w:t xml:space="preserve"> </w:t>
      </w:r>
      <w:r>
        <w:rPr>
          <w:sz w:val="20"/>
        </w:rPr>
        <w:t>risco,</w:t>
      </w:r>
      <w:r>
        <w:rPr>
          <w:spacing w:val="-1"/>
          <w:sz w:val="20"/>
        </w:rPr>
        <w:t xml:space="preserve"> </w:t>
      </w:r>
      <w:r>
        <w:rPr>
          <w:sz w:val="20"/>
        </w:rPr>
        <w:t>de</w:t>
      </w:r>
      <w:r>
        <w:rPr>
          <w:spacing w:val="-9"/>
          <w:sz w:val="20"/>
        </w:rPr>
        <w:t xml:space="preserve"> </w:t>
      </w:r>
      <w:r>
        <w:rPr>
          <w:sz w:val="20"/>
        </w:rPr>
        <w:t>forma</w:t>
      </w:r>
      <w:r>
        <w:rPr>
          <w:spacing w:val="-3"/>
          <w:sz w:val="20"/>
        </w:rPr>
        <w:t xml:space="preserve"> </w:t>
      </w:r>
      <w:r>
        <w:rPr>
          <w:sz w:val="20"/>
        </w:rPr>
        <w:t>que</w:t>
      </w:r>
      <w:r>
        <w:rPr>
          <w:spacing w:val="-8"/>
          <w:sz w:val="20"/>
        </w:rPr>
        <w:t xml:space="preserve"> </w:t>
      </w:r>
      <w:r>
        <w:rPr>
          <w:sz w:val="20"/>
        </w:rPr>
        <w:t>o</w:t>
      </w:r>
      <w:r>
        <w:rPr>
          <w:spacing w:val="-8"/>
          <w:sz w:val="20"/>
        </w:rPr>
        <w:t xml:space="preserve"> </w:t>
      </w:r>
      <w:r>
        <w:rPr>
          <w:sz w:val="20"/>
        </w:rPr>
        <w:t>investimento</w:t>
      </w:r>
      <w:r>
        <w:rPr>
          <w:spacing w:val="-7"/>
          <w:sz w:val="20"/>
        </w:rPr>
        <w:t xml:space="preserve"> </w:t>
      </w:r>
      <w:r>
        <w:rPr>
          <w:sz w:val="20"/>
        </w:rPr>
        <w:t>da</w:t>
      </w:r>
      <w:r>
        <w:rPr>
          <w:spacing w:val="-4"/>
          <w:sz w:val="20"/>
        </w:rPr>
        <w:t xml:space="preserve"> </w:t>
      </w:r>
      <w:r>
        <w:rPr>
          <w:sz w:val="20"/>
        </w:rPr>
        <w:t>concessionária</w:t>
      </w:r>
      <w:r>
        <w:rPr>
          <w:spacing w:val="-1"/>
          <w:sz w:val="20"/>
        </w:rPr>
        <w:t xml:space="preserve"> </w:t>
      </w:r>
      <w:r>
        <w:rPr>
          <w:sz w:val="20"/>
        </w:rPr>
        <w:t>seja</w:t>
      </w:r>
      <w:r>
        <w:rPr>
          <w:spacing w:val="-8"/>
          <w:sz w:val="20"/>
        </w:rPr>
        <w:t xml:space="preserve"> </w:t>
      </w:r>
      <w:r>
        <w:rPr>
          <w:sz w:val="20"/>
        </w:rPr>
        <w:t>remunerado</w:t>
      </w:r>
      <w:r>
        <w:rPr>
          <w:spacing w:val="-6"/>
          <w:sz w:val="20"/>
        </w:rPr>
        <w:t xml:space="preserve"> </w:t>
      </w:r>
      <w:r>
        <w:rPr>
          <w:sz w:val="20"/>
        </w:rPr>
        <w:t>e</w:t>
      </w:r>
      <w:r>
        <w:rPr>
          <w:spacing w:val="-9"/>
          <w:sz w:val="20"/>
        </w:rPr>
        <w:t xml:space="preserve"> </w:t>
      </w:r>
      <w:r>
        <w:rPr>
          <w:sz w:val="20"/>
        </w:rPr>
        <w:t>amortizado mediante a exploração do serviço ou da obra por prazo determinado;</w:t>
      </w:r>
    </w:p>
    <w:p w:rsidR="007259F2" w:rsidRDefault="00E655B4">
      <w:pPr>
        <w:spacing w:line="229" w:lineRule="exact"/>
        <w:ind w:left="2978"/>
        <w:jc w:val="both"/>
        <w:rPr>
          <w:sz w:val="20"/>
        </w:rPr>
      </w:pPr>
      <w:r>
        <w:rPr>
          <w:sz w:val="20"/>
        </w:rPr>
        <w:t>Art.</w:t>
      </w:r>
      <w:r>
        <w:rPr>
          <w:spacing w:val="10"/>
          <w:sz w:val="20"/>
        </w:rPr>
        <w:t xml:space="preserve"> </w:t>
      </w:r>
      <w:r>
        <w:rPr>
          <w:sz w:val="20"/>
        </w:rPr>
        <w:t>180.</w:t>
      </w:r>
      <w:r>
        <w:rPr>
          <w:spacing w:val="11"/>
          <w:sz w:val="20"/>
        </w:rPr>
        <w:t xml:space="preserve"> </w:t>
      </w:r>
      <w:r>
        <w:rPr>
          <w:sz w:val="20"/>
        </w:rPr>
        <w:t>O</w:t>
      </w:r>
      <w:r>
        <w:rPr>
          <w:spacing w:val="11"/>
          <w:sz w:val="20"/>
        </w:rPr>
        <w:t xml:space="preserve"> </w:t>
      </w:r>
      <w:r>
        <w:rPr>
          <w:sz w:val="20"/>
        </w:rPr>
        <w:t>caput</w:t>
      </w:r>
      <w:r>
        <w:rPr>
          <w:spacing w:val="11"/>
          <w:sz w:val="20"/>
        </w:rPr>
        <w:t xml:space="preserve"> </w:t>
      </w:r>
      <w:r>
        <w:rPr>
          <w:sz w:val="20"/>
        </w:rPr>
        <w:t>do</w:t>
      </w:r>
      <w:r>
        <w:rPr>
          <w:spacing w:val="10"/>
          <w:sz w:val="20"/>
        </w:rPr>
        <w:t xml:space="preserve"> </w:t>
      </w:r>
      <w:r>
        <w:rPr>
          <w:sz w:val="20"/>
        </w:rPr>
        <w:t>art.</w:t>
      </w:r>
      <w:r>
        <w:rPr>
          <w:spacing w:val="9"/>
          <w:sz w:val="20"/>
        </w:rPr>
        <w:t xml:space="preserve"> </w:t>
      </w:r>
      <w:r>
        <w:rPr>
          <w:sz w:val="20"/>
        </w:rPr>
        <w:t>10</w:t>
      </w:r>
      <w:r>
        <w:rPr>
          <w:spacing w:val="12"/>
          <w:sz w:val="20"/>
        </w:rPr>
        <w:t xml:space="preserve"> </w:t>
      </w:r>
      <w:r>
        <w:rPr>
          <w:sz w:val="20"/>
        </w:rPr>
        <w:t>da</w:t>
      </w:r>
      <w:r>
        <w:rPr>
          <w:spacing w:val="11"/>
          <w:sz w:val="20"/>
        </w:rPr>
        <w:t xml:space="preserve"> </w:t>
      </w:r>
      <w:r>
        <w:rPr>
          <w:sz w:val="20"/>
        </w:rPr>
        <w:t>Lei</w:t>
      </w:r>
      <w:r>
        <w:rPr>
          <w:spacing w:val="11"/>
          <w:sz w:val="20"/>
        </w:rPr>
        <w:t xml:space="preserve"> </w:t>
      </w:r>
      <w:r>
        <w:rPr>
          <w:sz w:val="20"/>
        </w:rPr>
        <w:t>nº</w:t>
      </w:r>
      <w:r>
        <w:rPr>
          <w:spacing w:val="14"/>
          <w:sz w:val="20"/>
        </w:rPr>
        <w:t xml:space="preserve"> </w:t>
      </w:r>
      <w:r>
        <w:rPr>
          <w:sz w:val="20"/>
        </w:rPr>
        <w:t>11.079,</w:t>
      </w:r>
      <w:r>
        <w:rPr>
          <w:spacing w:val="9"/>
          <w:sz w:val="20"/>
        </w:rPr>
        <w:t xml:space="preserve"> </w:t>
      </w:r>
      <w:r>
        <w:rPr>
          <w:sz w:val="20"/>
        </w:rPr>
        <w:t>de</w:t>
      </w:r>
      <w:r>
        <w:rPr>
          <w:spacing w:val="9"/>
          <w:sz w:val="20"/>
        </w:rPr>
        <w:t xml:space="preserve"> </w:t>
      </w:r>
      <w:r>
        <w:rPr>
          <w:sz w:val="20"/>
        </w:rPr>
        <w:t>30</w:t>
      </w:r>
      <w:r>
        <w:rPr>
          <w:spacing w:val="12"/>
          <w:sz w:val="20"/>
        </w:rPr>
        <w:t xml:space="preserve"> </w:t>
      </w:r>
      <w:r>
        <w:rPr>
          <w:sz w:val="20"/>
        </w:rPr>
        <w:t>de</w:t>
      </w:r>
      <w:r>
        <w:rPr>
          <w:spacing w:val="9"/>
          <w:sz w:val="20"/>
        </w:rPr>
        <w:t xml:space="preserve"> </w:t>
      </w:r>
      <w:r>
        <w:rPr>
          <w:sz w:val="20"/>
        </w:rPr>
        <w:t>dezembro</w:t>
      </w:r>
      <w:r>
        <w:rPr>
          <w:spacing w:val="12"/>
          <w:sz w:val="20"/>
        </w:rPr>
        <w:t xml:space="preserve"> </w:t>
      </w:r>
      <w:r>
        <w:rPr>
          <w:sz w:val="20"/>
        </w:rPr>
        <w:t>de</w:t>
      </w:r>
      <w:r>
        <w:rPr>
          <w:spacing w:val="11"/>
          <w:sz w:val="20"/>
        </w:rPr>
        <w:t xml:space="preserve"> </w:t>
      </w:r>
      <w:r>
        <w:rPr>
          <w:sz w:val="20"/>
        </w:rPr>
        <w:t>2004,</w:t>
      </w:r>
      <w:r>
        <w:rPr>
          <w:spacing w:val="9"/>
          <w:sz w:val="20"/>
        </w:rPr>
        <w:t xml:space="preserve"> </w:t>
      </w:r>
      <w:r>
        <w:rPr>
          <w:sz w:val="20"/>
        </w:rPr>
        <w:t>passa</w:t>
      </w:r>
      <w:r>
        <w:rPr>
          <w:spacing w:val="11"/>
          <w:sz w:val="20"/>
        </w:rPr>
        <w:t xml:space="preserve"> </w:t>
      </w:r>
      <w:r>
        <w:rPr>
          <w:spacing w:val="-10"/>
          <w:sz w:val="20"/>
        </w:rPr>
        <w:t>a</w:t>
      </w:r>
    </w:p>
    <w:p w:rsidR="007259F2" w:rsidRDefault="007259F2">
      <w:pPr>
        <w:spacing w:line="229" w:lineRule="exact"/>
        <w:jc w:val="both"/>
        <w:rPr>
          <w:sz w:val="20"/>
        </w:rPr>
        <w:sectPr w:rsidR="007259F2">
          <w:pgSz w:w="11910" w:h="16840"/>
          <w:pgMar w:top="1620" w:right="708" w:bottom="1020" w:left="992" w:header="0" w:footer="820" w:gutter="0"/>
          <w:cols w:space="720"/>
        </w:sectPr>
      </w:pPr>
    </w:p>
    <w:p w:rsidR="007259F2" w:rsidRDefault="00E655B4">
      <w:pPr>
        <w:spacing w:before="77"/>
        <w:ind w:left="2978"/>
        <w:jc w:val="both"/>
        <w:rPr>
          <w:sz w:val="20"/>
        </w:rPr>
      </w:pPr>
      <w:r>
        <w:rPr>
          <w:sz w:val="20"/>
        </w:rPr>
        <w:lastRenderedPageBreak/>
        <w:t>vigorar</w:t>
      </w:r>
      <w:r>
        <w:rPr>
          <w:spacing w:val="-4"/>
          <w:sz w:val="20"/>
        </w:rPr>
        <w:t xml:space="preserve"> </w:t>
      </w:r>
      <w:r>
        <w:rPr>
          <w:sz w:val="20"/>
        </w:rPr>
        <w:t>com</w:t>
      </w:r>
      <w:r>
        <w:rPr>
          <w:spacing w:val="-9"/>
          <w:sz w:val="20"/>
        </w:rPr>
        <w:t xml:space="preserve"> </w:t>
      </w:r>
      <w:r>
        <w:rPr>
          <w:sz w:val="20"/>
        </w:rPr>
        <w:t>a</w:t>
      </w:r>
      <w:r>
        <w:rPr>
          <w:spacing w:val="-4"/>
          <w:sz w:val="20"/>
        </w:rPr>
        <w:t xml:space="preserve"> </w:t>
      </w:r>
      <w:r>
        <w:rPr>
          <w:sz w:val="20"/>
        </w:rPr>
        <w:t>seguinte</w:t>
      </w:r>
      <w:r>
        <w:rPr>
          <w:spacing w:val="-5"/>
          <w:sz w:val="20"/>
        </w:rPr>
        <w:t xml:space="preserve"> </w:t>
      </w:r>
      <w:r>
        <w:rPr>
          <w:spacing w:val="-2"/>
          <w:sz w:val="20"/>
        </w:rPr>
        <w:t>redação:</w:t>
      </w:r>
    </w:p>
    <w:p w:rsidR="007259F2" w:rsidRDefault="00E655B4">
      <w:pPr>
        <w:ind w:left="2978" w:right="425"/>
        <w:jc w:val="both"/>
        <w:rPr>
          <w:sz w:val="20"/>
        </w:rPr>
      </w:pPr>
      <w:r>
        <w:rPr>
          <w:sz w:val="20"/>
        </w:rPr>
        <w:t>“Art. 10. A contratação de parceria público-privada será precedida de licitação na modalidade concorrência ou diálogo competitivo, estando a abertura do processo licitatório condicionada a: (...)</w:t>
      </w:r>
    </w:p>
    <w:p w:rsidR="007259F2" w:rsidRDefault="00E655B4">
      <w:pPr>
        <w:pStyle w:val="Corpodetexto"/>
        <w:spacing w:before="228"/>
        <w:ind w:right="423"/>
      </w:pPr>
      <w:r>
        <w:t xml:space="preserve">Para tanto, discorrer-se-á brevemente sobre L KLM NJo regime de contratação disposto na Lei 8.987/1995, que cuida do regime de concessão e permissão dos serviços </w:t>
      </w:r>
      <w:r>
        <w:rPr>
          <w:spacing w:val="-2"/>
        </w:rPr>
        <w:t>públicos.</w:t>
      </w:r>
    </w:p>
    <w:p w:rsidR="007259F2" w:rsidRDefault="00E655B4">
      <w:pPr>
        <w:pStyle w:val="Corpodetexto"/>
        <w:ind w:right="421"/>
      </w:pPr>
      <w:r>
        <w:t>A concessão do serviço público está prevista no art. 175 da Constituição Federal, consoante texto normativo apresentado:</w:t>
      </w:r>
    </w:p>
    <w:p w:rsidR="007259F2" w:rsidRDefault="007259F2">
      <w:pPr>
        <w:pStyle w:val="Corpodetexto"/>
        <w:spacing w:before="1"/>
        <w:ind w:left="0" w:firstLine="0"/>
        <w:jc w:val="left"/>
      </w:pPr>
    </w:p>
    <w:p w:rsidR="007259F2" w:rsidRDefault="00E655B4">
      <w:pPr>
        <w:ind w:left="2978" w:right="418"/>
        <w:jc w:val="both"/>
        <w:rPr>
          <w:sz w:val="20"/>
        </w:rPr>
      </w:pPr>
      <w:r>
        <w:rPr>
          <w:sz w:val="20"/>
        </w:rPr>
        <w:t>Art. 175. Incumbe ao Poder</w:t>
      </w:r>
      <w:r>
        <w:rPr>
          <w:spacing w:val="29"/>
          <w:sz w:val="20"/>
        </w:rPr>
        <w:t xml:space="preserve"> </w:t>
      </w:r>
      <w:r>
        <w:rPr>
          <w:sz w:val="20"/>
        </w:rPr>
        <w:t xml:space="preserve">Público, na forma da lei, diretamente ou sob regime de concessão ou permissão, sempre através de licitação, a prestação de serviços </w:t>
      </w:r>
      <w:r>
        <w:rPr>
          <w:spacing w:val="-2"/>
          <w:sz w:val="20"/>
        </w:rPr>
        <w:t>públicos.</w:t>
      </w:r>
    </w:p>
    <w:p w:rsidR="007259F2" w:rsidRDefault="007259F2">
      <w:pPr>
        <w:pStyle w:val="Corpodetexto"/>
        <w:spacing w:before="40"/>
        <w:ind w:left="0" w:firstLine="0"/>
        <w:jc w:val="left"/>
        <w:rPr>
          <w:sz w:val="20"/>
        </w:rPr>
      </w:pPr>
    </w:p>
    <w:p w:rsidR="007259F2" w:rsidRDefault="00E655B4">
      <w:pPr>
        <w:pStyle w:val="Corpodetexto"/>
        <w:ind w:right="422"/>
      </w:pPr>
      <w:r>
        <w:t>O</w:t>
      </w:r>
      <w:r>
        <w:rPr>
          <w:spacing w:val="-3"/>
        </w:rPr>
        <w:t xml:space="preserve"> </w:t>
      </w:r>
      <w:r>
        <w:t>texto normativo supra</w:t>
      </w:r>
      <w:r>
        <w:rPr>
          <w:spacing w:val="-2"/>
        </w:rPr>
        <w:t xml:space="preserve"> </w:t>
      </w:r>
      <w:r>
        <w:t>demonstra</w:t>
      </w:r>
      <w:r>
        <w:rPr>
          <w:spacing w:val="-1"/>
        </w:rPr>
        <w:t xml:space="preserve"> </w:t>
      </w:r>
      <w:r>
        <w:t>a existência de</w:t>
      </w:r>
      <w:r>
        <w:rPr>
          <w:spacing w:val="-3"/>
        </w:rPr>
        <w:t xml:space="preserve"> </w:t>
      </w:r>
      <w:r>
        <w:t>mais de</w:t>
      </w:r>
      <w:r>
        <w:rPr>
          <w:spacing w:val="-1"/>
        </w:rPr>
        <w:t xml:space="preserve"> </w:t>
      </w:r>
      <w:r>
        <w:t>um</w:t>
      </w:r>
      <w:r>
        <w:rPr>
          <w:spacing w:val="-4"/>
        </w:rPr>
        <w:t xml:space="preserve"> </w:t>
      </w:r>
      <w:r>
        <w:t xml:space="preserve">regime de prestação de serviço público, geralmente, é prestado diretamente pelo Estado, através de seus órgãos e autarquias, hipótese em que a execução do serviço público é realizada diretamente pelo ente </w:t>
      </w:r>
      <w:r>
        <w:rPr>
          <w:spacing w:val="-2"/>
        </w:rPr>
        <w:t>estatal.</w:t>
      </w:r>
    </w:p>
    <w:p w:rsidR="007259F2" w:rsidRDefault="00E655B4">
      <w:pPr>
        <w:pStyle w:val="Corpodetexto"/>
        <w:ind w:right="422"/>
      </w:pPr>
      <w:r>
        <w:t>O</w:t>
      </w:r>
      <w:r>
        <w:rPr>
          <w:spacing w:val="-3"/>
        </w:rPr>
        <w:t xml:space="preserve"> </w:t>
      </w:r>
      <w:r>
        <w:t>texto normativo supra demonstra a existência de</w:t>
      </w:r>
      <w:r>
        <w:rPr>
          <w:spacing w:val="-3"/>
        </w:rPr>
        <w:t xml:space="preserve"> </w:t>
      </w:r>
      <w:r>
        <w:t>mais de um</w:t>
      </w:r>
      <w:r>
        <w:rPr>
          <w:spacing w:val="-4"/>
        </w:rPr>
        <w:t xml:space="preserve"> </w:t>
      </w:r>
      <w:r>
        <w:t xml:space="preserve">regime de prestação de serviço público, geralmente é prestado diretamente pelo Estado, através de seus órgãos e autarquias, hipótese em que a execução do serviço público é realizada diretamente pelo ente </w:t>
      </w:r>
      <w:r>
        <w:rPr>
          <w:spacing w:val="-2"/>
        </w:rPr>
        <w:t>estatal.</w:t>
      </w:r>
    </w:p>
    <w:p w:rsidR="007259F2" w:rsidRDefault="00E655B4">
      <w:pPr>
        <w:pStyle w:val="Corpodetexto"/>
        <w:ind w:right="422"/>
      </w:pPr>
      <w:r>
        <w:t>Na</w:t>
      </w:r>
      <w:r>
        <w:rPr>
          <w:spacing w:val="-3"/>
        </w:rPr>
        <w:t xml:space="preserve"> </w:t>
      </w:r>
      <w:r>
        <w:t>concessão, por</w:t>
      </w:r>
      <w:r>
        <w:rPr>
          <w:spacing w:val="-5"/>
        </w:rPr>
        <w:t xml:space="preserve"> </w:t>
      </w:r>
      <w:r>
        <w:t>sua</w:t>
      </w:r>
      <w:r>
        <w:rPr>
          <w:spacing w:val="-3"/>
        </w:rPr>
        <w:t xml:space="preserve"> </w:t>
      </w:r>
      <w:r>
        <w:t>vez, a</w:t>
      </w:r>
      <w:r>
        <w:rPr>
          <w:spacing w:val="-3"/>
        </w:rPr>
        <w:t xml:space="preserve"> </w:t>
      </w:r>
      <w:r>
        <w:t>execução do serviço é</w:t>
      </w:r>
      <w:r>
        <w:rPr>
          <w:spacing w:val="-3"/>
        </w:rPr>
        <w:t xml:space="preserve"> </w:t>
      </w:r>
      <w:r>
        <w:t>repassada</w:t>
      </w:r>
      <w:r>
        <w:rPr>
          <w:spacing w:val="-4"/>
        </w:rPr>
        <w:t xml:space="preserve"> </w:t>
      </w:r>
      <w:r>
        <w:t>para</w:t>
      </w:r>
      <w:r>
        <w:rPr>
          <w:spacing w:val="-3"/>
        </w:rPr>
        <w:t xml:space="preserve"> </w:t>
      </w:r>
      <w:r>
        <w:t>terceira</w:t>
      </w:r>
      <w:r>
        <w:rPr>
          <w:spacing w:val="-1"/>
        </w:rPr>
        <w:t xml:space="preserve"> </w:t>
      </w:r>
      <w:r>
        <w:t>pessoa,</w:t>
      </w:r>
      <w:r>
        <w:rPr>
          <w:spacing w:val="-1"/>
        </w:rPr>
        <w:t xml:space="preserve"> </w:t>
      </w:r>
      <w:r>
        <w:t>que fica por ela responsável diretamente, é o caso, por exemplo, das concessionárias de serviços públicos ligadas a manutenção das rodovias federais, também aquelas responsáveis pela construção de moradias.</w:t>
      </w:r>
    </w:p>
    <w:p w:rsidR="007259F2" w:rsidRDefault="00E655B4">
      <w:pPr>
        <w:pStyle w:val="Corpodetexto"/>
        <w:ind w:right="422"/>
      </w:pPr>
      <w:r>
        <w:t>Neste</w:t>
      </w:r>
      <w:r>
        <w:rPr>
          <w:spacing w:val="-15"/>
        </w:rPr>
        <w:t xml:space="preserve"> </w:t>
      </w:r>
      <w:r>
        <w:t>caso,</w:t>
      </w:r>
      <w:r>
        <w:rPr>
          <w:spacing w:val="-15"/>
        </w:rPr>
        <w:t xml:space="preserve"> </w:t>
      </w:r>
      <w:r>
        <w:t>poderia</w:t>
      </w:r>
      <w:r>
        <w:rPr>
          <w:spacing w:val="-15"/>
        </w:rPr>
        <w:t xml:space="preserve"> </w:t>
      </w:r>
      <w:r>
        <w:t>se</w:t>
      </w:r>
      <w:r>
        <w:rPr>
          <w:spacing w:val="-15"/>
        </w:rPr>
        <w:t xml:space="preserve"> </w:t>
      </w:r>
      <w:r>
        <w:t>chegar</w:t>
      </w:r>
      <w:r>
        <w:rPr>
          <w:spacing w:val="-15"/>
        </w:rPr>
        <w:t xml:space="preserve"> </w:t>
      </w:r>
      <w:r>
        <w:t>à</w:t>
      </w:r>
      <w:r>
        <w:rPr>
          <w:spacing w:val="-15"/>
        </w:rPr>
        <w:t xml:space="preserve"> </w:t>
      </w:r>
      <w:r>
        <w:t>conclusão</w:t>
      </w:r>
      <w:r>
        <w:rPr>
          <w:spacing w:val="-15"/>
        </w:rPr>
        <w:t xml:space="preserve"> </w:t>
      </w:r>
      <w:r>
        <w:t>de</w:t>
      </w:r>
      <w:r>
        <w:rPr>
          <w:spacing w:val="-15"/>
        </w:rPr>
        <w:t xml:space="preserve"> </w:t>
      </w:r>
      <w:r>
        <w:t>que</w:t>
      </w:r>
      <w:r>
        <w:rPr>
          <w:spacing w:val="-15"/>
        </w:rPr>
        <w:t xml:space="preserve"> </w:t>
      </w:r>
      <w:r>
        <w:t>o</w:t>
      </w:r>
      <w:r>
        <w:rPr>
          <w:spacing w:val="-15"/>
        </w:rPr>
        <w:t xml:space="preserve"> </w:t>
      </w:r>
      <w:r>
        <w:t>responsável</w:t>
      </w:r>
      <w:r>
        <w:rPr>
          <w:spacing w:val="-15"/>
        </w:rPr>
        <w:t xml:space="preserve"> </w:t>
      </w:r>
      <w:r>
        <w:t>por</w:t>
      </w:r>
      <w:r>
        <w:rPr>
          <w:spacing w:val="-15"/>
        </w:rPr>
        <w:t xml:space="preserve"> </w:t>
      </w:r>
      <w:r>
        <w:t>sua</w:t>
      </w:r>
      <w:r>
        <w:rPr>
          <w:spacing w:val="-15"/>
        </w:rPr>
        <w:t xml:space="preserve"> </w:t>
      </w:r>
      <w:r>
        <w:t>execução</w:t>
      </w:r>
      <w:r>
        <w:rPr>
          <w:spacing w:val="-15"/>
        </w:rPr>
        <w:t xml:space="preserve"> </w:t>
      </w:r>
      <w:r>
        <w:t>passa</w:t>
      </w:r>
      <w:r>
        <w:rPr>
          <w:spacing w:val="-3"/>
        </w:rPr>
        <w:t xml:space="preserve"> </w:t>
      </w:r>
      <w:r>
        <w:t>a ser o titular do serviço em si, mas não é o caso. O ente estatal remanesce como titular do serviço justamente em razão da indisponibilidade da coisa pública, transfere-se, apenas, a responsabilidade pela sua implementação na esfera material.</w:t>
      </w:r>
    </w:p>
    <w:p w:rsidR="007259F2" w:rsidRDefault="00E655B4">
      <w:pPr>
        <w:pStyle w:val="Corpodetexto"/>
        <w:spacing w:before="1"/>
        <w:ind w:right="423"/>
      </w:pPr>
      <w:r>
        <w:t>Daí porque remanesce, nos casos de concessão, a responsabilidade estatal pelo fato danoso ao administrado decorrente da atuação da concessionária, ainda que esta tenha atuado dentro</w:t>
      </w:r>
      <w:r>
        <w:rPr>
          <w:spacing w:val="-4"/>
        </w:rPr>
        <w:t xml:space="preserve"> </w:t>
      </w:r>
      <w:r>
        <w:t>dos</w:t>
      </w:r>
      <w:r>
        <w:rPr>
          <w:spacing w:val="-6"/>
        </w:rPr>
        <w:t xml:space="preserve"> </w:t>
      </w:r>
      <w:r>
        <w:t>limites</w:t>
      </w:r>
      <w:r>
        <w:rPr>
          <w:spacing w:val="-1"/>
        </w:rPr>
        <w:t xml:space="preserve"> </w:t>
      </w:r>
      <w:r>
        <w:t>legais. Ao passo,</w:t>
      </w:r>
      <w:r>
        <w:rPr>
          <w:spacing w:val="-4"/>
        </w:rPr>
        <w:t xml:space="preserve"> </w:t>
      </w:r>
      <w:r>
        <w:t>temos</w:t>
      </w:r>
      <w:r>
        <w:rPr>
          <w:spacing w:val="-6"/>
        </w:rPr>
        <w:t xml:space="preserve"> </w:t>
      </w:r>
      <w:r>
        <w:t>que</w:t>
      </w:r>
      <w:r>
        <w:rPr>
          <w:spacing w:val="-4"/>
        </w:rPr>
        <w:t xml:space="preserve"> </w:t>
      </w:r>
      <w:r>
        <w:t>a</w:t>
      </w:r>
      <w:r>
        <w:rPr>
          <w:spacing w:val="-9"/>
        </w:rPr>
        <w:t xml:space="preserve"> </w:t>
      </w:r>
      <w:r>
        <w:t>responsabilidade</w:t>
      </w:r>
      <w:r>
        <w:rPr>
          <w:spacing w:val="-4"/>
        </w:rPr>
        <w:t xml:space="preserve"> </w:t>
      </w:r>
      <w:r>
        <w:t>estatal</w:t>
      </w:r>
      <w:r>
        <w:rPr>
          <w:spacing w:val="-10"/>
        </w:rPr>
        <w:t xml:space="preserve"> </w:t>
      </w:r>
      <w:r>
        <w:t>será</w:t>
      </w:r>
      <w:r>
        <w:rPr>
          <w:spacing w:val="-7"/>
        </w:rPr>
        <w:t xml:space="preserve"> </w:t>
      </w:r>
      <w:r>
        <w:t>subsidiária,</w:t>
      </w:r>
      <w:r>
        <w:rPr>
          <w:spacing w:val="-1"/>
        </w:rPr>
        <w:t xml:space="preserve"> </w:t>
      </w:r>
      <w:r>
        <w:t>pois, como titular do serviço público, o Estado tem o chamado dever de cuidado e o dever de fiscalização sobre os serviços executados pela concessionária contratada.</w:t>
      </w:r>
    </w:p>
    <w:p w:rsidR="007259F2" w:rsidRDefault="00E655B4">
      <w:pPr>
        <w:pStyle w:val="Corpodetexto"/>
        <w:ind w:right="423"/>
      </w:pPr>
      <w:r>
        <w:t>Necessariamente, aí decorrente de uma vontade do legislador infraconstitucional, há uma restrição quanto às modalidades de licitação que podem ser utilizadas para realização da concessão pública, podendo ser utilizada, antes da entrada em vigor da Lei 14.133/21, apenas a modalidade de concorrência, com a entrada em vigor da nova Lei de Licitações, no entanto, somou-se a ela a possibilidade da utilização do diálogo competitivo.</w:t>
      </w:r>
    </w:p>
    <w:p w:rsidR="007259F2" w:rsidRDefault="00E655B4">
      <w:pPr>
        <w:pStyle w:val="Corpodetexto"/>
        <w:ind w:right="432"/>
      </w:pPr>
      <w:r>
        <w:t>A hipótese prevista no inciso II cuida da contratação realizada sem a realização pretérita de obra pública, já no caso do inciso III.</w:t>
      </w:r>
    </w:p>
    <w:p w:rsidR="007259F2" w:rsidRDefault="00E655B4">
      <w:pPr>
        <w:pStyle w:val="Corpodetexto"/>
        <w:ind w:right="420"/>
      </w:pPr>
      <w:r>
        <w:t>Conforme disposição legal inserida na Lei 8.987/1995, decorrente da introdução dada na</w:t>
      </w:r>
      <w:r>
        <w:rPr>
          <w:spacing w:val="-7"/>
        </w:rPr>
        <w:t xml:space="preserve"> </w:t>
      </w:r>
      <w:r>
        <w:t>nova</w:t>
      </w:r>
      <w:r>
        <w:rPr>
          <w:spacing w:val="-7"/>
        </w:rPr>
        <w:t xml:space="preserve"> </w:t>
      </w:r>
      <w:r>
        <w:t>Lei</w:t>
      </w:r>
      <w:r>
        <w:rPr>
          <w:spacing w:val="-12"/>
        </w:rPr>
        <w:t xml:space="preserve"> </w:t>
      </w:r>
      <w:r>
        <w:t>de</w:t>
      </w:r>
      <w:r>
        <w:rPr>
          <w:spacing w:val="-7"/>
        </w:rPr>
        <w:t xml:space="preserve"> </w:t>
      </w:r>
      <w:r>
        <w:t>Licitações</w:t>
      </w:r>
      <w:r>
        <w:rPr>
          <w:spacing w:val="-2"/>
        </w:rPr>
        <w:t xml:space="preserve"> </w:t>
      </w:r>
      <w:r>
        <w:t>no</w:t>
      </w:r>
      <w:r>
        <w:rPr>
          <w:spacing w:val="-3"/>
        </w:rPr>
        <w:t xml:space="preserve"> </w:t>
      </w:r>
      <w:r>
        <w:t>art.</w:t>
      </w:r>
      <w:r>
        <w:rPr>
          <w:spacing w:val="-6"/>
        </w:rPr>
        <w:t xml:space="preserve"> </w:t>
      </w:r>
      <w:r>
        <w:t>179,</w:t>
      </w:r>
      <w:r>
        <w:rPr>
          <w:spacing w:val="-15"/>
        </w:rPr>
        <w:t xml:space="preserve"> </w:t>
      </w:r>
      <w:r>
        <w:t>o</w:t>
      </w:r>
      <w:r>
        <w:rPr>
          <w:spacing w:val="-3"/>
        </w:rPr>
        <w:t xml:space="preserve"> </w:t>
      </w:r>
      <w:r>
        <w:t>diálogo</w:t>
      </w:r>
      <w:r>
        <w:rPr>
          <w:spacing w:val="-3"/>
        </w:rPr>
        <w:t xml:space="preserve"> </w:t>
      </w:r>
      <w:r>
        <w:t>competitivo</w:t>
      </w:r>
      <w:r>
        <w:rPr>
          <w:spacing w:val="-2"/>
        </w:rPr>
        <w:t xml:space="preserve"> </w:t>
      </w:r>
      <w:r>
        <w:t>foi</w:t>
      </w:r>
      <w:r>
        <w:rPr>
          <w:spacing w:val="-13"/>
        </w:rPr>
        <w:t xml:space="preserve"> </w:t>
      </w:r>
      <w:r>
        <w:t>inserido,</w:t>
      </w:r>
      <w:r>
        <w:rPr>
          <w:spacing w:val="-8"/>
        </w:rPr>
        <w:t xml:space="preserve"> </w:t>
      </w:r>
      <w:r>
        <w:t>expressamente,</w:t>
      </w:r>
      <w:r>
        <w:rPr>
          <w:spacing w:val="-6"/>
        </w:rPr>
        <w:t xml:space="preserve"> </w:t>
      </w:r>
      <w:r>
        <w:t>como modalidade licitatória apenas às hipóteses de realização de concessão de serviço público, quedando-se</w:t>
      </w:r>
      <w:r>
        <w:rPr>
          <w:spacing w:val="-13"/>
        </w:rPr>
        <w:t xml:space="preserve"> </w:t>
      </w:r>
      <w:r>
        <w:t>silente</w:t>
      </w:r>
      <w:r>
        <w:rPr>
          <w:spacing w:val="-12"/>
        </w:rPr>
        <w:t xml:space="preserve"> </w:t>
      </w:r>
      <w:r>
        <w:t>quanto</w:t>
      </w:r>
      <w:r>
        <w:rPr>
          <w:spacing w:val="-6"/>
        </w:rPr>
        <w:t xml:space="preserve"> </w:t>
      </w:r>
      <w:r>
        <w:t>às</w:t>
      </w:r>
      <w:r>
        <w:rPr>
          <w:spacing w:val="-12"/>
        </w:rPr>
        <w:t xml:space="preserve"> </w:t>
      </w:r>
      <w:r>
        <w:t>permissões</w:t>
      </w:r>
      <w:r>
        <w:rPr>
          <w:spacing w:val="-12"/>
        </w:rPr>
        <w:t xml:space="preserve"> </w:t>
      </w:r>
      <w:r>
        <w:t>de</w:t>
      </w:r>
      <w:r>
        <w:rPr>
          <w:spacing w:val="-13"/>
        </w:rPr>
        <w:t xml:space="preserve"> </w:t>
      </w:r>
      <w:r>
        <w:t>serviço</w:t>
      </w:r>
      <w:r>
        <w:rPr>
          <w:spacing w:val="-7"/>
        </w:rPr>
        <w:t xml:space="preserve"> </w:t>
      </w:r>
      <w:r>
        <w:t>público,</w:t>
      </w:r>
      <w:r>
        <w:rPr>
          <w:spacing w:val="-9"/>
        </w:rPr>
        <w:t xml:space="preserve"> </w:t>
      </w:r>
      <w:r>
        <w:t>na</w:t>
      </w:r>
      <w:r>
        <w:rPr>
          <w:spacing w:val="-6"/>
        </w:rPr>
        <w:t xml:space="preserve"> </w:t>
      </w:r>
      <w:r>
        <w:t>medida</w:t>
      </w:r>
      <w:r>
        <w:rPr>
          <w:spacing w:val="-13"/>
        </w:rPr>
        <w:t xml:space="preserve"> </w:t>
      </w:r>
      <w:r>
        <w:t>que</w:t>
      </w:r>
      <w:r>
        <w:rPr>
          <w:spacing w:val="-12"/>
        </w:rPr>
        <w:t xml:space="preserve"> </w:t>
      </w:r>
      <w:r>
        <w:t>assim</w:t>
      </w:r>
      <w:r>
        <w:rPr>
          <w:spacing w:val="-14"/>
        </w:rPr>
        <w:t xml:space="preserve"> </w:t>
      </w:r>
      <w:r>
        <w:t>dispõe</w:t>
      </w:r>
      <w:r>
        <w:rPr>
          <w:spacing w:val="-13"/>
        </w:rPr>
        <w:t xml:space="preserve"> </w:t>
      </w:r>
      <w:r>
        <w:t>o</w:t>
      </w:r>
      <w:r>
        <w:rPr>
          <w:spacing w:val="-7"/>
        </w:rPr>
        <w:t xml:space="preserve"> </w:t>
      </w:r>
      <w:r>
        <w:t>art. 2º, inciso IV da Lei 8.987/1995:</w:t>
      </w:r>
    </w:p>
    <w:p w:rsidR="007259F2" w:rsidRDefault="00E655B4">
      <w:pPr>
        <w:spacing w:before="127"/>
        <w:ind w:left="2978" w:right="566"/>
        <w:jc w:val="both"/>
        <w:rPr>
          <w:sz w:val="20"/>
        </w:rPr>
      </w:pPr>
      <w:r>
        <w:rPr>
          <w:sz w:val="20"/>
        </w:rPr>
        <w:t>II</w:t>
      </w:r>
      <w:r>
        <w:rPr>
          <w:spacing w:val="80"/>
          <w:sz w:val="20"/>
        </w:rPr>
        <w:t xml:space="preserve"> </w:t>
      </w:r>
      <w:r>
        <w:rPr>
          <w:sz w:val="20"/>
        </w:rPr>
        <w:t xml:space="preserve">- permissão de serviço público: a delegação, a título precário, mediante licitação, da prestação de serviços públicos, feita pelo poder concedente à pessoa física ou jurídica que demonstre capacidade para seu desempenho, por sua conta e </w:t>
      </w:r>
      <w:r>
        <w:rPr>
          <w:spacing w:val="-2"/>
          <w:sz w:val="20"/>
        </w:rPr>
        <w:t>risco.</w:t>
      </w:r>
    </w:p>
    <w:p w:rsidR="007259F2" w:rsidRDefault="007259F2">
      <w:pPr>
        <w:jc w:val="both"/>
        <w:rPr>
          <w:sz w:val="20"/>
        </w:rPr>
        <w:sectPr w:rsidR="007259F2">
          <w:pgSz w:w="11910" w:h="16840"/>
          <w:pgMar w:top="1600" w:right="708" w:bottom="1020" w:left="992" w:header="0" w:footer="820" w:gutter="0"/>
          <w:cols w:space="720"/>
        </w:sectPr>
      </w:pPr>
    </w:p>
    <w:p w:rsidR="007259F2" w:rsidRDefault="00E655B4">
      <w:pPr>
        <w:pStyle w:val="Corpodetexto"/>
        <w:spacing w:before="75"/>
        <w:ind w:right="424"/>
      </w:pPr>
      <w:r>
        <w:lastRenderedPageBreak/>
        <w:t>Da leitura de seu texto extrai-se que também é cabível a utilização do diálogo competitivo, na medida que o texto de lei menciona apenas “mediante licitação”, por estes termos vê-se necessário remeter aos termos da Lei 14.133/21, que estabelece as modalidades de licitação existentes, isto em seu art. 28, e o rito a ser adotado, de modo que não seria necessário consignar expressamente uma chancela uma normativa para sua utilização.</w:t>
      </w:r>
    </w:p>
    <w:p w:rsidR="007259F2" w:rsidRDefault="00E655B4">
      <w:pPr>
        <w:pStyle w:val="Corpodetexto"/>
        <w:ind w:right="430"/>
      </w:pPr>
      <w:r>
        <w:t>Já a Lei 11.079/2004 dá o regramento das contratações decorrentes das parcerias público-privadas (PPP´s).</w:t>
      </w:r>
    </w:p>
    <w:p w:rsidR="007259F2" w:rsidRDefault="00E655B4">
      <w:pPr>
        <w:pStyle w:val="Heading2"/>
        <w:numPr>
          <w:ilvl w:val="0"/>
          <w:numId w:val="16"/>
        </w:numPr>
        <w:tabs>
          <w:tab w:val="left" w:pos="1093"/>
        </w:tabs>
        <w:ind w:left="1093" w:hanging="244"/>
        <w:jc w:val="both"/>
      </w:pPr>
      <w:r>
        <w:t>Dos</w:t>
      </w:r>
      <w:r>
        <w:rPr>
          <w:spacing w:val="-7"/>
        </w:rPr>
        <w:t xml:space="preserve"> </w:t>
      </w:r>
      <w:r>
        <w:t>desafios</w:t>
      </w:r>
      <w:r>
        <w:rPr>
          <w:spacing w:val="-4"/>
        </w:rPr>
        <w:t xml:space="preserve"> </w:t>
      </w:r>
      <w:r>
        <w:t>a serem</w:t>
      </w:r>
      <w:r>
        <w:rPr>
          <w:spacing w:val="-8"/>
        </w:rPr>
        <w:t xml:space="preserve"> </w:t>
      </w:r>
      <w:r>
        <w:rPr>
          <w:spacing w:val="-2"/>
        </w:rPr>
        <w:t>superados</w:t>
      </w:r>
    </w:p>
    <w:p w:rsidR="007259F2" w:rsidRDefault="00E655B4">
      <w:pPr>
        <w:pStyle w:val="Corpodetexto"/>
        <w:spacing w:before="113"/>
        <w:ind w:right="423"/>
      </w:pPr>
      <w:r>
        <w:t>Ao longo de todo este trabalho, buscou-se evidenciar as peculiaridades próprias desta modalidade de licitação.</w:t>
      </w:r>
    </w:p>
    <w:p w:rsidR="007259F2" w:rsidRDefault="00E655B4">
      <w:pPr>
        <w:pStyle w:val="Corpodetexto"/>
        <w:ind w:right="422"/>
      </w:pPr>
      <w:r>
        <w:t>Pôde-se perceber que detém um elevado grau de discricionariedade, na medida que caberá</w:t>
      </w:r>
      <w:r>
        <w:rPr>
          <w:spacing w:val="-2"/>
        </w:rPr>
        <w:t xml:space="preserve"> </w:t>
      </w:r>
      <w:r>
        <w:t>ao caberá</w:t>
      </w:r>
      <w:r>
        <w:rPr>
          <w:spacing w:val="-2"/>
        </w:rPr>
        <w:t xml:space="preserve"> </w:t>
      </w:r>
      <w:r>
        <w:t>à</w:t>
      </w:r>
      <w:r>
        <w:rPr>
          <w:spacing w:val="-2"/>
        </w:rPr>
        <w:t xml:space="preserve"> </w:t>
      </w:r>
      <w:r>
        <w:t>comissão de licitação estipular a</w:t>
      </w:r>
      <w:r>
        <w:rPr>
          <w:spacing w:val="-1"/>
        </w:rPr>
        <w:t xml:space="preserve"> </w:t>
      </w:r>
      <w:r>
        <w:t>necessidade</w:t>
      </w:r>
      <w:r>
        <w:rPr>
          <w:spacing w:val="-1"/>
        </w:rPr>
        <w:t xml:space="preserve"> </w:t>
      </w:r>
      <w:r>
        <w:t>e</w:t>
      </w:r>
      <w:r>
        <w:rPr>
          <w:spacing w:val="-4"/>
        </w:rPr>
        <w:t xml:space="preserve"> </w:t>
      </w:r>
      <w:r>
        <w:t>os</w:t>
      </w:r>
      <w:r>
        <w:rPr>
          <w:spacing w:val="-3"/>
        </w:rPr>
        <w:t xml:space="preserve"> </w:t>
      </w:r>
      <w:r>
        <w:t>pontos de</w:t>
      </w:r>
      <w:r>
        <w:rPr>
          <w:spacing w:val="-4"/>
        </w:rPr>
        <w:t xml:space="preserve"> </w:t>
      </w:r>
      <w:r>
        <w:t>interesse sobre os quais recairão os elementos objetivos a serem utilizados na realização do certame, etapa de pré-seleção dos candidatos e, posteriormente, fixação dos pontos de relevo sobre os quais deverão serem analisadas as propostas de soluções dos licitantes.</w:t>
      </w:r>
    </w:p>
    <w:p w:rsidR="007259F2" w:rsidRDefault="00E655B4">
      <w:pPr>
        <w:pStyle w:val="Corpodetexto"/>
        <w:ind w:right="424"/>
      </w:pPr>
      <w:r>
        <w:t>A necessidade de estabelecimento desses pontos demanda um trabalho mais minucioso,</w:t>
      </w:r>
      <w:r>
        <w:rPr>
          <w:spacing w:val="-4"/>
        </w:rPr>
        <w:t xml:space="preserve"> </w:t>
      </w:r>
      <w:r>
        <w:t>o que</w:t>
      </w:r>
      <w:r>
        <w:rPr>
          <w:spacing w:val="-8"/>
        </w:rPr>
        <w:t xml:space="preserve"> </w:t>
      </w:r>
      <w:r>
        <w:t>pode</w:t>
      </w:r>
      <w:r>
        <w:rPr>
          <w:spacing w:val="-5"/>
        </w:rPr>
        <w:t xml:space="preserve"> </w:t>
      </w:r>
      <w:r>
        <w:t>ser</w:t>
      </w:r>
      <w:r>
        <w:rPr>
          <w:spacing w:val="-3"/>
        </w:rPr>
        <w:t xml:space="preserve"> </w:t>
      </w:r>
      <w:r>
        <w:t>desestimulante, na</w:t>
      </w:r>
      <w:r>
        <w:rPr>
          <w:spacing w:val="-1"/>
        </w:rPr>
        <w:t xml:space="preserve"> </w:t>
      </w:r>
      <w:r>
        <w:t>medida</w:t>
      </w:r>
      <w:r>
        <w:rPr>
          <w:spacing w:val="-4"/>
        </w:rPr>
        <w:t xml:space="preserve"> </w:t>
      </w:r>
      <w:r>
        <w:t>que</w:t>
      </w:r>
      <w:r>
        <w:rPr>
          <w:spacing w:val="-6"/>
        </w:rPr>
        <w:t xml:space="preserve"> </w:t>
      </w:r>
      <w:r>
        <w:t>demanda maior</w:t>
      </w:r>
      <w:r>
        <w:rPr>
          <w:spacing w:val="-2"/>
        </w:rPr>
        <w:t xml:space="preserve"> </w:t>
      </w:r>
      <w:r>
        <w:t>cautela</w:t>
      </w:r>
      <w:r>
        <w:rPr>
          <w:spacing w:val="-5"/>
        </w:rPr>
        <w:t xml:space="preserve"> </w:t>
      </w:r>
      <w:r>
        <w:t xml:space="preserve">no momento de sua tramitação e, assim como toda contratação pública, está sujeita ao crivo dos órgãos de </w:t>
      </w:r>
      <w:r>
        <w:rPr>
          <w:spacing w:val="-2"/>
        </w:rPr>
        <w:t>controle.</w:t>
      </w:r>
    </w:p>
    <w:p w:rsidR="007259F2" w:rsidRDefault="00E655B4">
      <w:pPr>
        <w:pStyle w:val="Corpodetexto"/>
        <w:ind w:right="424"/>
      </w:pPr>
      <w:r>
        <w:t>A adoção dessa modalidade deve ser bem fundamentada com elementos robustos de sua necessidade, uma vez que é modalidade licitatória que se destina a fins específicos que devem ser muito bem delimitados pelo corpo de servidores que compõem a comissão de licitação, podendo, em razão disso, tornar-se um procedimento moroso.</w:t>
      </w:r>
    </w:p>
    <w:p w:rsidR="007259F2" w:rsidRDefault="00E655B4">
      <w:pPr>
        <w:pStyle w:val="Corpodetexto"/>
        <w:spacing w:before="1"/>
        <w:ind w:right="422"/>
      </w:pPr>
      <w:r>
        <w:t>A existência de três fases em sua realização já demanda um tempo maior, perceba-se que haverá, necessariamente, a publicação de dois editais ao longo de todo o seu tramite, (i) o primeiro</w:t>
      </w:r>
      <w:r>
        <w:rPr>
          <w:spacing w:val="-2"/>
        </w:rPr>
        <w:t xml:space="preserve"> </w:t>
      </w:r>
      <w:r>
        <w:t>edital</w:t>
      </w:r>
      <w:r>
        <w:rPr>
          <w:spacing w:val="-8"/>
        </w:rPr>
        <w:t xml:space="preserve"> </w:t>
      </w:r>
      <w:r>
        <w:t>será</w:t>
      </w:r>
      <w:r>
        <w:rPr>
          <w:spacing w:val="-5"/>
        </w:rPr>
        <w:t xml:space="preserve"> </w:t>
      </w:r>
      <w:r>
        <w:t>publicado</w:t>
      </w:r>
      <w:r>
        <w:rPr>
          <w:spacing w:val="-1"/>
        </w:rPr>
        <w:t xml:space="preserve"> </w:t>
      </w:r>
      <w:r>
        <w:t>após</w:t>
      </w:r>
      <w:r>
        <w:rPr>
          <w:spacing w:val="-11"/>
        </w:rPr>
        <w:t xml:space="preserve"> </w:t>
      </w:r>
      <w:r>
        <w:t>o</w:t>
      </w:r>
      <w:r>
        <w:rPr>
          <w:spacing w:val="-1"/>
        </w:rPr>
        <w:t xml:space="preserve"> </w:t>
      </w:r>
      <w:r>
        <w:t>estabelecimento</w:t>
      </w:r>
      <w:r>
        <w:rPr>
          <w:spacing w:val="-1"/>
        </w:rPr>
        <w:t xml:space="preserve"> </w:t>
      </w:r>
      <w:r>
        <w:t>do</w:t>
      </w:r>
      <w:r>
        <w:rPr>
          <w:spacing w:val="-7"/>
        </w:rPr>
        <w:t xml:space="preserve"> </w:t>
      </w:r>
      <w:r>
        <w:t>objeto</w:t>
      </w:r>
      <w:r>
        <w:rPr>
          <w:spacing w:val="-3"/>
        </w:rPr>
        <w:t xml:space="preserve"> </w:t>
      </w:r>
      <w:r>
        <w:t>da</w:t>
      </w:r>
      <w:r>
        <w:rPr>
          <w:spacing w:val="-4"/>
        </w:rPr>
        <w:t xml:space="preserve"> </w:t>
      </w:r>
      <w:r>
        <w:t>licitatório</w:t>
      </w:r>
      <w:r>
        <w:rPr>
          <w:spacing w:val="-1"/>
        </w:rPr>
        <w:t xml:space="preserve"> </w:t>
      </w:r>
      <w:r>
        <w:t>e</w:t>
      </w:r>
      <w:r>
        <w:rPr>
          <w:spacing w:val="-3"/>
        </w:rPr>
        <w:t xml:space="preserve"> </w:t>
      </w:r>
      <w:r>
        <w:t>dos</w:t>
      </w:r>
      <w:r>
        <w:rPr>
          <w:spacing w:val="-9"/>
        </w:rPr>
        <w:t xml:space="preserve"> </w:t>
      </w:r>
      <w:r>
        <w:t>critérios</w:t>
      </w:r>
      <w:r>
        <w:rPr>
          <w:spacing w:val="-5"/>
        </w:rPr>
        <w:t xml:space="preserve"> </w:t>
      </w:r>
      <w:r>
        <w:t>de pré-seleção dos</w:t>
      </w:r>
      <w:r>
        <w:rPr>
          <w:spacing w:val="-3"/>
        </w:rPr>
        <w:t xml:space="preserve"> </w:t>
      </w:r>
      <w:r>
        <w:t>interessados em</w:t>
      </w:r>
      <w:r>
        <w:rPr>
          <w:spacing w:val="-5"/>
        </w:rPr>
        <w:t xml:space="preserve"> </w:t>
      </w:r>
      <w:r>
        <w:t>participar do certame, com</w:t>
      </w:r>
      <w:r>
        <w:rPr>
          <w:spacing w:val="-3"/>
        </w:rPr>
        <w:t xml:space="preserve"> </w:t>
      </w:r>
      <w:r>
        <w:t>prazo de</w:t>
      </w:r>
      <w:r>
        <w:rPr>
          <w:spacing w:val="-1"/>
        </w:rPr>
        <w:t xml:space="preserve"> </w:t>
      </w:r>
      <w:r>
        <w:t>publicação não inferior a 25 (vinte e cinco) dias úteis para manifestação dos interessados (art. 32, §1º, inciso I); (ii) o segundo edital</w:t>
      </w:r>
      <w:r>
        <w:rPr>
          <w:spacing w:val="-4"/>
        </w:rPr>
        <w:t xml:space="preserve"> </w:t>
      </w:r>
      <w:r>
        <w:t>será</w:t>
      </w:r>
      <w:r>
        <w:rPr>
          <w:spacing w:val="-1"/>
        </w:rPr>
        <w:t xml:space="preserve"> </w:t>
      </w:r>
      <w:r>
        <w:t>publicado ao fim da fase de diálogo com</w:t>
      </w:r>
      <w:r>
        <w:rPr>
          <w:spacing w:val="-2"/>
        </w:rPr>
        <w:t xml:space="preserve"> </w:t>
      </w:r>
      <w:r>
        <w:t>os</w:t>
      </w:r>
      <w:r>
        <w:rPr>
          <w:spacing w:val="-1"/>
        </w:rPr>
        <w:t xml:space="preserve"> </w:t>
      </w:r>
      <w:r>
        <w:t>pré-selecionados, hipótese em que</w:t>
      </w:r>
      <w:r>
        <w:rPr>
          <w:spacing w:val="-3"/>
        </w:rPr>
        <w:t xml:space="preserve"> </w:t>
      </w:r>
      <w:r>
        <w:t>restaram</w:t>
      </w:r>
      <w:r>
        <w:rPr>
          <w:spacing w:val="-6"/>
        </w:rPr>
        <w:t xml:space="preserve"> </w:t>
      </w:r>
      <w:r>
        <w:t>fixados</w:t>
      </w:r>
      <w:r>
        <w:rPr>
          <w:spacing w:val="-9"/>
        </w:rPr>
        <w:t xml:space="preserve"> </w:t>
      </w:r>
      <w:r>
        <w:t>os</w:t>
      </w:r>
      <w:r>
        <w:rPr>
          <w:spacing w:val="-4"/>
        </w:rPr>
        <w:t xml:space="preserve"> </w:t>
      </w:r>
      <w:r>
        <w:t>critérios</w:t>
      </w:r>
      <w:r>
        <w:rPr>
          <w:spacing w:val="-4"/>
        </w:rPr>
        <w:t xml:space="preserve"> </w:t>
      </w:r>
      <w:r>
        <w:t>para</w:t>
      </w:r>
      <w:r>
        <w:rPr>
          <w:spacing w:val="-3"/>
        </w:rPr>
        <w:t xml:space="preserve"> </w:t>
      </w:r>
      <w:r>
        <w:t>elaboração das</w:t>
      </w:r>
      <w:r>
        <w:rPr>
          <w:spacing w:val="-3"/>
        </w:rPr>
        <w:t xml:space="preserve"> </w:t>
      </w:r>
      <w:r>
        <w:t>propostas</w:t>
      </w:r>
      <w:r>
        <w:rPr>
          <w:spacing w:val="-2"/>
        </w:rPr>
        <w:t xml:space="preserve"> </w:t>
      </w:r>
      <w:r>
        <w:t>e</w:t>
      </w:r>
      <w:r>
        <w:rPr>
          <w:spacing w:val="-8"/>
        </w:rPr>
        <w:t xml:space="preserve"> </w:t>
      </w:r>
      <w:r>
        <w:t>cujo prazo</w:t>
      </w:r>
      <w:r>
        <w:rPr>
          <w:spacing w:val="-1"/>
        </w:rPr>
        <w:t xml:space="preserve"> </w:t>
      </w:r>
      <w:r>
        <w:t>será</w:t>
      </w:r>
      <w:r>
        <w:rPr>
          <w:spacing w:val="-4"/>
        </w:rPr>
        <w:t xml:space="preserve"> </w:t>
      </w:r>
      <w:r>
        <w:t>não inferior a 60 (sessenta) dias úteis para os candidatos pré-selecionados apresentarem suas propostas (art. 32, §1º, inciso VIII).</w:t>
      </w:r>
    </w:p>
    <w:p w:rsidR="007259F2" w:rsidRDefault="00E655B4">
      <w:pPr>
        <w:pStyle w:val="Corpodetexto"/>
        <w:ind w:right="428"/>
      </w:pPr>
      <w:r>
        <w:t>Logo, haverá um prazo mínimo de tramitação do feito não inferior a 85 dias úteis entrea fase de pré-seleção e a fase competitiva.</w:t>
      </w:r>
    </w:p>
    <w:p w:rsidR="007259F2" w:rsidRDefault="00E655B4">
      <w:pPr>
        <w:pStyle w:val="Corpodetexto"/>
        <w:spacing w:before="1"/>
        <w:ind w:right="422"/>
      </w:pPr>
      <w:r>
        <w:t>Conforme já discorrido anteriormente, não há prazo legal estabelecido para a duração da</w:t>
      </w:r>
      <w:r>
        <w:rPr>
          <w:spacing w:val="-8"/>
        </w:rPr>
        <w:t xml:space="preserve"> </w:t>
      </w:r>
      <w:r>
        <w:t>fase</w:t>
      </w:r>
      <w:r>
        <w:rPr>
          <w:spacing w:val="-8"/>
        </w:rPr>
        <w:t xml:space="preserve"> </w:t>
      </w:r>
      <w:r>
        <w:t>de</w:t>
      </w:r>
      <w:r>
        <w:rPr>
          <w:spacing w:val="-8"/>
        </w:rPr>
        <w:t xml:space="preserve"> </w:t>
      </w:r>
      <w:r>
        <w:t>diálogo,</w:t>
      </w:r>
      <w:r>
        <w:rPr>
          <w:spacing w:val="-2"/>
        </w:rPr>
        <w:t xml:space="preserve"> </w:t>
      </w:r>
      <w:r>
        <w:t>podendo</w:t>
      </w:r>
      <w:r>
        <w:rPr>
          <w:spacing w:val="-6"/>
        </w:rPr>
        <w:t xml:space="preserve"> </w:t>
      </w:r>
      <w:r>
        <w:t>ocorrer</w:t>
      </w:r>
      <w:r>
        <w:rPr>
          <w:spacing w:val="-5"/>
        </w:rPr>
        <w:t xml:space="preserve"> </w:t>
      </w:r>
      <w:r>
        <w:t>diversas</w:t>
      </w:r>
      <w:r>
        <w:rPr>
          <w:spacing w:val="-2"/>
        </w:rPr>
        <w:t xml:space="preserve"> </w:t>
      </w:r>
      <w:r>
        <w:t>vezes</w:t>
      </w:r>
      <w:r>
        <w:rPr>
          <w:spacing w:val="-2"/>
        </w:rPr>
        <w:t xml:space="preserve"> </w:t>
      </w:r>
      <w:r>
        <w:t>até</w:t>
      </w:r>
      <w:r>
        <w:rPr>
          <w:spacing w:val="-8"/>
        </w:rPr>
        <w:t xml:space="preserve"> </w:t>
      </w:r>
      <w:r>
        <w:t>que</w:t>
      </w:r>
      <w:r>
        <w:rPr>
          <w:spacing w:val="-8"/>
        </w:rPr>
        <w:t xml:space="preserve"> </w:t>
      </w:r>
      <w:r>
        <w:t>se</w:t>
      </w:r>
      <w:r>
        <w:rPr>
          <w:spacing w:val="-13"/>
        </w:rPr>
        <w:t xml:space="preserve"> </w:t>
      </w:r>
      <w:r>
        <w:t>obtenha</w:t>
      </w:r>
      <w:r>
        <w:rPr>
          <w:spacing w:val="-9"/>
        </w:rPr>
        <w:t xml:space="preserve"> </w:t>
      </w:r>
      <w:r>
        <w:t>a</w:t>
      </w:r>
      <w:r>
        <w:rPr>
          <w:spacing w:val="-8"/>
        </w:rPr>
        <w:t xml:space="preserve"> </w:t>
      </w:r>
      <w:r>
        <w:t>solução</w:t>
      </w:r>
      <w:r>
        <w:rPr>
          <w:spacing w:val="-2"/>
        </w:rPr>
        <w:t xml:space="preserve"> </w:t>
      </w:r>
      <w:r>
        <w:t>ou</w:t>
      </w:r>
      <w:r>
        <w:rPr>
          <w:spacing w:val="-7"/>
        </w:rPr>
        <w:t xml:space="preserve"> </w:t>
      </w:r>
      <w:r>
        <w:t>soluções</w:t>
      </w:r>
      <w:r>
        <w:rPr>
          <w:spacing w:val="-9"/>
        </w:rPr>
        <w:t xml:space="preserve"> </w:t>
      </w:r>
      <w:r>
        <w:t>de mercado mais favoráveis, assim entendidas pela Administração através de critérios objetivos.</w:t>
      </w:r>
    </w:p>
    <w:p w:rsidR="007259F2" w:rsidRDefault="00E655B4">
      <w:pPr>
        <w:pStyle w:val="Corpodetexto"/>
        <w:ind w:right="422"/>
      </w:pPr>
      <w:r>
        <w:t>Também, em muitos aspectos, as disposições contidas no art. 32, não tem</w:t>
      </w:r>
      <w:r>
        <w:rPr>
          <w:spacing w:val="-4"/>
        </w:rPr>
        <w:t xml:space="preserve"> </w:t>
      </w:r>
      <w:r>
        <w:t>o condão de afastar</w:t>
      </w:r>
      <w:r>
        <w:rPr>
          <w:spacing w:val="-2"/>
        </w:rPr>
        <w:t xml:space="preserve"> </w:t>
      </w:r>
      <w:r>
        <w:t>a</w:t>
      </w:r>
      <w:r>
        <w:rPr>
          <w:spacing w:val="-4"/>
        </w:rPr>
        <w:t xml:space="preserve"> </w:t>
      </w:r>
      <w:r>
        <w:t>plausibilidade</w:t>
      </w:r>
      <w:r>
        <w:rPr>
          <w:spacing w:val="-3"/>
        </w:rPr>
        <w:t xml:space="preserve"> </w:t>
      </w:r>
      <w:r>
        <w:t>da</w:t>
      </w:r>
      <w:r>
        <w:rPr>
          <w:spacing w:val="-4"/>
        </w:rPr>
        <w:t xml:space="preserve"> </w:t>
      </w:r>
      <w:r>
        <w:t>utilização</w:t>
      </w:r>
      <w:r>
        <w:rPr>
          <w:spacing w:val="-1"/>
        </w:rPr>
        <w:t xml:space="preserve"> </w:t>
      </w:r>
      <w:r>
        <w:t>da</w:t>
      </w:r>
      <w:r>
        <w:rPr>
          <w:spacing w:val="-3"/>
        </w:rPr>
        <w:t xml:space="preserve"> </w:t>
      </w:r>
      <w:r>
        <w:t>modalidade</w:t>
      </w:r>
      <w:r>
        <w:rPr>
          <w:spacing w:val="-4"/>
        </w:rPr>
        <w:t xml:space="preserve"> </w:t>
      </w:r>
      <w:r>
        <w:t>de</w:t>
      </w:r>
      <w:r>
        <w:rPr>
          <w:spacing w:val="-4"/>
        </w:rPr>
        <w:t xml:space="preserve"> </w:t>
      </w:r>
      <w:r>
        <w:t>concorrência,</w:t>
      </w:r>
      <w:r>
        <w:rPr>
          <w:spacing w:val="-2"/>
        </w:rPr>
        <w:t xml:space="preserve"> </w:t>
      </w:r>
      <w:r>
        <w:t>o</w:t>
      </w:r>
      <w:r>
        <w:rPr>
          <w:spacing w:val="-1"/>
        </w:rPr>
        <w:t xml:space="preserve"> </w:t>
      </w:r>
      <w:r>
        <w:t>que</w:t>
      </w:r>
      <w:r>
        <w:rPr>
          <w:spacing w:val="-6"/>
        </w:rPr>
        <w:t xml:space="preserve"> </w:t>
      </w:r>
      <w:r>
        <w:t>pode</w:t>
      </w:r>
      <w:r>
        <w:rPr>
          <w:spacing w:val="-4"/>
        </w:rPr>
        <w:t xml:space="preserve"> </w:t>
      </w:r>
      <w:r>
        <w:t>fazer</w:t>
      </w:r>
      <w:r>
        <w:rPr>
          <w:spacing w:val="-1"/>
        </w:rPr>
        <w:t xml:space="preserve"> </w:t>
      </w:r>
      <w:r>
        <w:t>com</w:t>
      </w:r>
      <w:r>
        <w:rPr>
          <w:spacing w:val="-12"/>
        </w:rPr>
        <w:t xml:space="preserve"> </w:t>
      </w:r>
      <w:r>
        <w:t>o a Administração opte pela utilização das modalidades mais tradicionais já existentes e que vêm sendo utilizadas e instituídas na Lei 8.666/93 e demais leis esparças existentes no arcabouço administrativo</w:t>
      </w:r>
      <w:r>
        <w:rPr>
          <w:spacing w:val="-8"/>
        </w:rPr>
        <w:t xml:space="preserve"> </w:t>
      </w:r>
      <w:r>
        <w:t>das</w:t>
      </w:r>
      <w:r>
        <w:rPr>
          <w:spacing w:val="-10"/>
        </w:rPr>
        <w:t xml:space="preserve"> </w:t>
      </w:r>
      <w:r>
        <w:t>licitações,</w:t>
      </w:r>
      <w:r>
        <w:rPr>
          <w:spacing w:val="-8"/>
        </w:rPr>
        <w:t xml:space="preserve"> </w:t>
      </w:r>
      <w:r>
        <w:t>que</w:t>
      </w:r>
      <w:r>
        <w:rPr>
          <w:spacing w:val="-15"/>
        </w:rPr>
        <w:t xml:space="preserve"> </w:t>
      </w:r>
      <w:r>
        <w:t>contam,</w:t>
      </w:r>
      <w:r>
        <w:rPr>
          <w:spacing w:val="-13"/>
        </w:rPr>
        <w:t xml:space="preserve"> </w:t>
      </w:r>
      <w:r>
        <w:t>também,</w:t>
      </w:r>
      <w:r>
        <w:rPr>
          <w:spacing w:val="-4"/>
        </w:rPr>
        <w:t xml:space="preserve"> </w:t>
      </w:r>
      <w:r>
        <w:t>com</w:t>
      </w:r>
      <w:r>
        <w:rPr>
          <w:spacing w:val="-15"/>
        </w:rPr>
        <w:t xml:space="preserve"> </w:t>
      </w:r>
      <w:r>
        <w:t>vasto</w:t>
      </w:r>
      <w:r>
        <w:rPr>
          <w:spacing w:val="-10"/>
        </w:rPr>
        <w:t xml:space="preserve"> </w:t>
      </w:r>
      <w:r>
        <w:t>acervo</w:t>
      </w:r>
      <w:r>
        <w:rPr>
          <w:spacing w:val="-9"/>
        </w:rPr>
        <w:t xml:space="preserve"> </w:t>
      </w:r>
      <w:r>
        <w:t>doutrinário</w:t>
      </w:r>
      <w:r>
        <w:rPr>
          <w:spacing w:val="-6"/>
        </w:rPr>
        <w:t xml:space="preserve"> </w:t>
      </w:r>
      <w:r>
        <w:t>decorrente</w:t>
      </w:r>
      <w:r>
        <w:rPr>
          <w:spacing w:val="-11"/>
        </w:rPr>
        <w:t xml:space="preserve"> </w:t>
      </w:r>
      <w:r>
        <w:t xml:space="preserve">de inúmeras produções acadêmicas e uma jurisprudência robusta, ao contrário do diálogo </w:t>
      </w:r>
      <w:r>
        <w:rPr>
          <w:spacing w:val="-2"/>
        </w:rPr>
        <w:t>competitivo.</w:t>
      </w:r>
    </w:p>
    <w:p w:rsidR="007259F2" w:rsidRDefault="00E655B4">
      <w:pPr>
        <w:pStyle w:val="Corpodetexto"/>
        <w:ind w:left="1418" w:firstLine="0"/>
      </w:pPr>
      <w:r>
        <w:t>É</w:t>
      </w:r>
      <w:r>
        <w:rPr>
          <w:spacing w:val="-5"/>
        </w:rPr>
        <w:t xml:space="preserve"> </w:t>
      </w:r>
      <w:r>
        <w:t>o</w:t>
      </w:r>
      <w:r>
        <w:rPr>
          <w:spacing w:val="2"/>
        </w:rPr>
        <w:t xml:space="preserve"> </w:t>
      </w:r>
      <w:r>
        <w:t>que</w:t>
      </w:r>
      <w:r>
        <w:rPr>
          <w:spacing w:val="-9"/>
        </w:rPr>
        <w:t xml:space="preserve"> </w:t>
      </w:r>
      <w:r>
        <w:t>fortemente</w:t>
      </w:r>
      <w:r>
        <w:rPr>
          <w:spacing w:val="-3"/>
        </w:rPr>
        <w:t xml:space="preserve"> </w:t>
      </w:r>
      <w:r>
        <w:t>sustenta</w:t>
      </w:r>
      <w:r>
        <w:rPr>
          <w:spacing w:val="-3"/>
        </w:rPr>
        <w:t xml:space="preserve"> </w:t>
      </w:r>
      <w:r>
        <w:t>José</w:t>
      </w:r>
      <w:r>
        <w:rPr>
          <w:spacing w:val="-3"/>
        </w:rPr>
        <w:t xml:space="preserve"> </w:t>
      </w:r>
      <w:r>
        <w:t>Júnior</w:t>
      </w:r>
      <w:r>
        <w:rPr>
          <w:spacing w:val="1"/>
        </w:rPr>
        <w:t xml:space="preserve"> </w:t>
      </w:r>
      <w:r>
        <w:rPr>
          <w:spacing w:val="-2"/>
        </w:rPr>
        <w:t>Calasans:</w:t>
      </w:r>
    </w:p>
    <w:p w:rsidR="007259F2" w:rsidRDefault="007259F2">
      <w:pPr>
        <w:pStyle w:val="Corpodetexto"/>
        <w:spacing w:before="2"/>
        <w:ind w:left="0" w:firstLine="0"/>
        <w:jc w:val="left"/>
      </w:pPr>
    </w:p>
    <w:p w:rsidR="007259F2" w:rsidRDefault="00E655B4">
      <w:pPr>
        <w:ind w:left="2978" w:right="426"/>
        <w:jc w:val="both"/>
        <w:rPr>
          <w:sz w:val="20"/>
        </w:rPr>
      </w:pPr>
      <w:r>
        <w:rPr>
          <w:sz w:val="20"/>
        </w:rPr>
        <w:t>A desnecessidade dessa inovação é fácil de explicar: as especificidades do objeto a ser contratado, indicadas nos incisos do art. 32, não são de ordem a afastar a concorrência, como modalidade adequada para o procedimento licitatório; bem ao contrário,</w:t>
      </w:r>
      <w:r>
        <w:rPr>
          <w:spacing w:val="19"/>
          <w:sz w:val="20"/>
        </w:rPr>
        <w:t xml:space="preserve"> </w:t>
      </w:r>
      <w:r>
        <w:rPr>
          <w:sz w:val="20"/>
        </w:rPr>
        <w:t>até</w:t>
      </w:r>
      <w:r>
        <w:rPr>
          <w:spacing w:val="20"/>
          <w:sz w:val="20"/>
        </w:rPr>
        <w:t xml:space="preserve"> </w:t>
      </w:r>
      <w:r>
        <w:rPr>
          <w:sz w:val="20"/>
        </w:rPr>
        <w:t>a</w:t>
      </w:r>
      <w:r>
        <w:rPr>
          <w:spacing w:val="19"/>
          <w:sz w:val="20"/>
        </w:rPr>
        <w:t xml:space="preserve"> </w:t>
      </w:r>
      <w:r>
        <w:rPr>
          <w:sz w:val="20"/>
        </w:rPr>
        <w:t>recomendam,</w:t>
      </w:r>
      <w:r>
        <w:rPr>
          <w:spacing w:val="22"/>
          <w:sz w:val="20"/>
        </w:rPr>
        <w:t xml:space="preserve"> </w:t>
      </w:r>
      <w:r>
        <w:rPr>
          <w:sz w:val="20"/>
        </w:rPr>
        <w:t>com</w:t>
      </w:r>
      <w:r>
        <w:rPr>
          <w:spacing w:val="16"/>
          <w:sz w:val="20"/>
        </w:rPr>
        <w:t xml:space="preserve"> </w:t>
      </w:r>
      <w:r>
        <w:rPr>
          <w:sz w:val="20"/>
        </w:rPr>
        <w:t>o</w:t>
      </w:r>
      <w:r>
        <w:rPr>
          <w:spacing w:val="22"/>
          <w:sz w:val="20"/>
        </w:rPr>
        <w:t xml:space="preserve"> </w:t>
      </w:r>
      <w:r>
        <w:rPr>
          <w:sz w:val="20"/>
        </w:rPr>
        <w:t>critério</w:t>
      </w:r>
      <w:r>
        <w:rPr>
          <w:spacing w:val="20"/>
          <w:sz w:val="20"/>
        </w:rPr>
        <w:t xml:space="preserve"> </w:t>
      </w:r>
      <w:r>
        <w:rPr>
          <w:sz w:val="20"/>
        </w:rPr>
        <w:t>de</w:t>
      </w:r>
      <w:r>
        <w:rPr>
          <w:spacing w:val="19"/>
          <w:sz w:val="20"/>
        </w:rPr>
        <w:t xml:space="preserve"> </w:t>
      </w:r>
      <w:r>
        <w:rPr>
          <w:sz w:val="20"/>
        </w:rPr>
        <w:t>julgamento</w:t>
      </w:r>
      <w:r>
        <w:rPr>
          <w:spacing w:val="21"/>
          <w:sz w:val="20"/>
        </w:rPr>
        <w:t xml:space="preserve"> </w:t>
      </w:r>
      <w:r>
        <w:rPr>
          <w:sz w:val="20"/>
        </w:rPr>
        <w:t>de</w:t>
      </w:r>
      <w:r>
        <w:rPr>
          <w:spacing w:val="19"/>
          <w:sz w:val="20"/>
        </w:rPr>
        <w:t xml:space="preserve"> </w:t>
      </w:r>
      <w:r>
        <w:rPr>
          <w:sz w:val="20"/>
        </w:rPr>
        <w:t>“melhor</w:t>
      </w:r>
      <w:r>
        <w:rPr>
          <w:spacing w:val="20"/>
          <w:sz w:val="20"/>
        </w:rPr>
        <w:t xml:space="preserve"> </w:t>
      </w:r>
      <w:r>
        <w:rPr>
          <w:sz w:val="20"/>
        </w:rPr>
        <w:t>técnica</w:t>
      </w:r>
      <w:r>
        <w:rPr>
          <w:spacing w:val="20"/>
          <w:sz w:val="20"/>
        </w:rPr>
        <w:t xml:space="preserve"> </w:t>
      </w:r>
      <w:r>
        <w:rPr>
          <w:spacing w:val="-5"/>
          <w:sz w:val="20"/>
        </w:rPr>
        <w:t>ou</w:t>
      </w:r>
    </w:p>
    <w:p w:rsidR="007259F2" w:rsidRDefault="007259F2">
      <w:pPr>
        <w:jc w:val="both"/>
        <w:rPr>
          <w:sz w:val="20"/>
        </w:rPr>
        <w:sectPr w:rsidR="007259F2">
          <w:pgSz w:w="11910" w:h="16840"/>
          <w:pgMar w:top="1600" w:right="708" w:bottom="1020" w:left="992" w:header="0" w:footer="820" w:gutter="0"/>
          <w:cols w:space="720"/>
        </w:sectPr>
      </w:pPr>
    </w:p>
    <w:p w:rsidR="007259F2" w:rsidRDefault="00E655B4">
      <w:pPr>
        <w:spacing w:before="77"/>
        <w:ind w:left="2978" w:right="422"/>
        <w:jc w:val="both"/>
        <w:rPr>
          <w:sz w:val="20"/>
        </w:rPr>
      </w:pPr>
      <w:r>
        <w:rPr>
          <w:sz w:val="20"/>
        </w:rPr>
        <w:lastRenderedPageBreak/>
        <w:t>conteúdo artístico”, previsto no inciso III do art. 33 da Lei 14.133/2021. Dispondo o nosso ordenamento jurídico de instrumento adequado para contratação de objetos especiais,</w:t>
      </w:r>
      <w:r>
        <w:rPr>
          <w:spacing w:val="-8"/>
          <w:sz w:val="20"/>
        </w:rPr>
        <w:t xml:space="preserve"> </w:t>
      </w:r>
      <w:r>
        <w:rPr>
          <w:sz w:val="20"/>
        </w:rPr>
        <w:t>que</w:t>
      </w:r>
      <w:r>
        <w:rPr>
          <w:spacing w:val="-8"/>
          <w:sz w:val="20"/>
        </w:rPr>
        <w:t xml:space="preserve"> </w:t>
      </w:r>
      <w:r>
        <w:rPr>
          <w:sz w:val="20"/>
        </w:rPr>
        <w:t>permitem</w:t>
      </w:r>
      <w:r>
        <w:rPr>
          <w:spacing w:val="-5"/>
          <w:sz w:val="20"/>
        </w:rPr>
        <w:t xml:space="preserve"> </w:t>
      </w:r>
      <w:r>
        <w:rPr>
          <w:sz w:val="20"/>
        </w:rPr>
        <w:t>escolher,</w:t>
      </w:r>
      <w:r>
        <w:rPr>
          <w:spacing w:val="-7"/>
          <w:sz w:val="20"/>
        </w:rPr>
        <w:t xml:space="preserve"> </w:t>
      </w:r>
      <w:r>
        <w:rPr>
          <w:sz w:val="20"/>
        </w:rPr>
        <w:t>com</w:t>
      </w:r>
      <w:r>
        <w:rPr>
          <w:spacing w:val="-8"/>
          <w:sz w:val="20"/>
        </w:rPr>
        <w:t xml:space="preserve"> </w:t>
      </w:r>
      <w:r>
        <w:rPr>
          <w:sz w:val="20"/>
        </w:rPr>
        <w:t>segurança,</w:t>
      </w:r>
      <w:r>
        <w:rPr>
          <w:spacing w:val="-8"/>
          <w:sz w:val="20"/>
        </w:rPr>
        <w:t xml:space="preserve"> </w:t>
      </w:r>
      <w:r>
        <w:rPr>
          <w:sz w:val="20"/>
        </w:rPr>
        <w:t>as</w:t>
      </w:r>
      <w:r>
        <w:rPr>
          <w:spacing w:val="-7"/>
          <w:sz w:val="20"/>
        </w:rPr>
        <w:t xml:space="preserve"> </w:t>
      </w:r>
      <w:r>
        <w:rPr>
          <w:sz w:val="20"/>
        </w:rPr>
        <w:t>soluções</w:t>
      </w:r>
      <w:r>
        <w:rPr>
          <w:spacing w:val="-8"/>
          <w:sz w:val="20"/>
        </w:rPr>
        <w:t xml:space="preserve"> </w:t>
      </w:r>
      <w:r>
        <w:rPr>
          <w:sz w:val="20"/>
        </w:rPr>
        <w:t>que</w:t>
      </w:r>
      <w:r>
        <w:rPr>
          <w:spacing w:val="-6"/>
          <w:sz w:val="20"/>
        </w:rPr>
        <w:t xml:space="preserve"> </w:t>
      </w:r>
      <w:r>
        <w:rPr>
          <w:sz w:val="20"/>
        </w:rPr>
        <w:t>melhor</w:t>
      </w:r>
      <w:r>
        <w:rPr>
          <w:spacing w:val="-5"/>
          <w:sz w:val="20"/>
        </w:rPr>
        <w:t xml:space="preserve"> </w:t>
      </w:r>
      <w:r>
        <w:rPr>
          <w:sz w:val="20"/>
        </w:rPr>
        <w:t>atendam</w:t>
      </w:r>
      <w:r>
        <w:rPr>
          <w:spacing w:val="-11"/>
          <w:sz w:val="20"/>
        </w:rPr>
        <w:t xml:space="preserve"> </w:t>
      </w:r>
      <w:r>
        <w:rPr>
          <w:sz w:val="20"/>
        </w:rPr>
        <w:t>às necessidades da Administração, não já justificativa para importar modalidades procedimentais que podem não corresponder às peculiaridades da nossa cultura jurídica. (CALASANS, 2021, p. 83)</w:t>
      </w:r>
    </w:p>
    <w:p w:rsidR="007259F2" w:rsidRDefault="00E655B4">
      <w:pPr>
        <w:pStyle w:val="Corpodetexto"/>
        <w:spacing w:before="229"/>
        <w:ind w:left="1418" w:firstLine="0"/>
        <w:jc w:val="left"/>
      </w:pPr>
      <w:r>
        <w:t>Outro</w:t>
      </w:r>
      <w:r>
        <w:rPr>
          <w:spacing w:val="5"/>
        </w:rPr>
        <w:t xml:space="preserve"> </w:t>
      </w:r>
      <w:r>
        <w:t>ponto</w:t>
      </w:r>
      <w:r>
        <w:rPr>
          <w:spacing w:val="7"/>
        </w:rPr>
        <w:t xml:space="preserve"> </w:t>
      </w:r>
      <w:r>
        <w:t>que</w:t>
      </w:r>
      <w:r>
        <w:rPr>
          <w:spacing w:val="7"/>
        </w:rPr>
        <w:t xml:space="preserve"> </w:t>
      </w:r>
      <w:r>
        <w:t>impacta</w:t>
      </w:r>
      <w:r>
        <w:rPr>
          <w:spacing w:val="8"/>
        </w:rPr>
        <w:t xml:space="preserve"> </w:t>
      </w:r>
      <w:r>
        <w:t>na</w:t>
      </w:r>
      <w:r>
        <w:rPr>
          <w:spacing w:val="6"/>
        </w:rPr>
        <w:t xml:space="preserve"> </w:t>
      </w:r>
      <w:r>
        <w:t>adoção</w:t>
      </w:r>
      <w:r>
        <w:rPr>
          <w:spacing w:val="8"/>
        </w:rPr>
        <w:t xml:space="preserve"> </w:t>
      </w:r>
      <w:r>
        <w:t>deste</w:t>
      </w:r>
      <w:r>
        <w:rPr>
          <w:spacing w:val="6"/>
        </w:rPr>
        <w:t xml:space="preserve"> </w:t>
      </w:r>
      <w:r>
        <w:t>procedimento,</w:t>
      </w:r>
      <w:r>
        <w:rPr>
          <w:spacing w:val="6"/>
        </w:rPr>
        <w:t xml:space="preserve"> </w:t>
      </w:r>
      <w:r>
        <w:t>é</w:t>
      </w:r>
      <w:r>
        <w:rPr>
          <w:spacing w:val="6"/>
        </w:rPr>
        <w:t xml:space="preserve"> </w:t>
      </w:r>
      <w:r>
        <w:t>a</w:t>
      </w:r>
      <w:r>
        <w:rPr>
          <w:spacing w:val="8"/>
        </w:rPr>
        <w:t xml:space="preserve"> </w:t>
      </w:r>
      <w:r>
        <w:t>disposição</w:t>
      </w:r>
      <w:r>
        <w:rPr>
          <w:spacing w:val="8"/>
        </w:rPr>
        <w:t xml:space="preserve"> </w:t>
      </w:r>
      <w:r>
        <w:t>contida</w:t>
      </w:r>
      <w:r>
        <w:rPr>
          <w:spacing w:val="6"/>
        </w:rPr>
        <w:t xml:space="preserve"> </w:t>
      </w:r>
      <w:r>
        <w:t>no</w:t>
      </w:r>
      <w:r>
        <w:rPr>
          <w:spacing w:val="6"/>
        </w:rPr>
        <w:t xml:space="preserve"> </w:t>
      </w:r>
      <w:r>
        <w:rPr>
          <w:spacing w:val="-4"/>
        </w:rPr>
        <w:t>art.</w:t>
      </w:r>
    </w:p>
    <w:p w:rsidR="007259F2" w:rsidRDefault="00E655B4">
      <w:pPr>
        <w:pStyle w:val="Corpodetexto"/>
        <w:ind w:left="1418" w:hanging="708"/>
        <w:jc w:val="left"/>
      </w:pPr>
      <w:r>
        <w:t>81,</w:t>
      </w:r>
      <w:r>
        <w:rPr>
          <w:spacing w:val="-3"/>
        </w:rPr>
        <w:t xml:space="preserve"> </w:t>
      </w:r>
      <w:r>
        <w:t>da</w:t>
      </w:r>
      <w:r>
        <w:rPr>
          <w:spacing w:val="-2"/>
        </w:rPr>
        <w:t xml:space="preserve"> </w:t>
      </w:r>
      <w:r>
        <w:t>Lei</w:t>
      </w:r>
      <w:r>
        <w:rPr>
          <w:spacing w:val="-3"/>
        </w:rPr>
        <w:t xml:space="preserve"> </w:t>
      </w:r>
      <w:r>
        <w:t>de</w:t>
      </w:r>
      <w:r>
        <w:rPr>
          <w:spacing w:val="-2"/>
        </w:rPr>
        <w:t xml:space="preserve"> </w:t>
      </w:r>
      <w:r>
        <w:t>Licitações,</w:t>
      </w:r>
      <w:r>
        <w:rPr>
          <w:spacing w:val="-1"/>
        </w:rPr>
        <w:t xml:space="preserve"> </w:t>
      </w:r>
      <w:r>
        <w:t>que</w:t>
      </w:r>
      <w:r>
        <w:rPr>
          <w:spacing w:val="-4"/>
        </w:rPr>
        <w:t xml:space="preserve"> </w:t>
      </w:r>
      <w:r>
        <w:t>inaugura</w:t>
      </w:r>
      <w:r>
        <w:rPr>
          <w:spacing w:val="-4"/>
        </w:rPr>
        <w:t xml:space="preserve"> </w:t>
      </w:r>
      <w:r>
        <w:t>o</w:t>
      </w:r>
      <w:r>
        <w:rPr>
          <w:spacing w:val="-3"/>
        </w:rPr>
        <w:t xml:space="preserve"> </w:t>
      </w:r>
      <w:r>
        <w:t>Procedimento</w:t>
      </w:r>
      <w:r>
        <w:rPr>
          <w:spacing w:val="-3"/>
        </w:rPr>
        <w:t xml:space="preserve"> </w:t>
      </w:r>
      <w:r>
        <w:t>de</w:t>
      </w:r>
      <w:r>
        <w:rPr>
          <w:spacing w:val="-3"/>
        </w:rPr>
        <w:t xml:space="preserve"> </w:t>
      </w:r>
      <w:r>
        <w:t>Manifestação</w:t>
      </w:r>
      <w:r>
        <w:rPr>
          <w:spacing w:val="-3"/>
        </w:rPr>
        <w:t xml:space="preserve"> </w:t>
      </w:r>
      <w:r>
        <w:t>de</w:t>
      </w:r>
      <w:r>
        <w:rPr>
          <w:spacing w:val="-2"/>
        </w:rPr>
        <w:t xml:space="preserve"> </w:t>
      </w:r>
      <w:r>
        <w:t>Interesse</w:t>
      </w:r>
      <w:r>
        <w:rPr>
          <w:spacing w:val="-3"/>
        </w:rPr>
        <w:t xml:space="preserve"> </w:t>
      </w:r>
      <w:r>
        <w:t>PMI. Novamente, nas palavras do doutrinador José Júnior Calasans:</w:t>
      </w:r>
    </w:p>
    <w:p w:rsidR="007259F2" w:rsidRDefault="00E655B4">
      <w:pPr>
        <w:spacing w:before="229"/>
        <w:ind w:left="2978" w:right="422"/>
        <w:jc w:val="both"/>
        <w:rPr>
          <w:sz w:val="20"/>
        </w:rPr>
      </w:pPr>
      <w:r>
        <w:rPr>
          <w:sz w:val="20"/>
        </w:rPr>
        <w:t>A desnecessidade do diálogo competitivo como modalidade de licitação resulta, também, da existência, na Lei 14.133/2021, de procedimento específico para promover</w:t>
      </w:r>
      <w:r>
        <w:rPr>
          <w:spacing w:val="-1"/>
          <w:sz w:val="20"/>
        </w:rPr>
        <w:t xml:space="preserve"> </w:t>
      </w:r>
      <w:r>
        <w:rPr>
          <w:sz w:val="20"/>
        </w:rPr>
        <w:t>a</w:t>
      </w:r>
      <w:r>
        <w:rPr>
          <w:spacing w:val="-2"/>
          <w:sz w:val="20"/>
        </w:rPr>
        <w:t xml:space="preserve"> </w:t>
      </w:r>
      <w:r>
        <w:rPr>
          <w:sz w:val="20"/>
        </w:rPr>
        <w:t>interação</w:t>
      </w:r>
      <w:r>
        <w:rPr>
          <w:spacing w:val="-9"/>
          <w:sz w:val="20"/>
        </w:rPr>
        <w:t xml:space="preserve"> </w:t>
      </w:r>
      <w:r>
        <w:rPr>
          <w:sz w:val="20"/>
        </w:rPr>
        <w:t>entre</w:t>
      </w:r>
      <w:r>
        <w:rPr>
          <w:spacing w:val="-12"/>
          <w:sz w:val="20"/>
        </w:rPr>
        <w:t xml:space="preserve"> </w:t>
      </w:r>
      <w:r>
        <w:rPr>
          <w:sz w:val="20"/>
        </w:rPr>
        <w:t>a</w:t>
      </w:r>
      <w:r>
        <w:rPr>
          <w:spacing w:val="-4"/>
          <w:sz w:val="20"/>
        </w:rPr>
        <w:t xml:space="preserve"> </w:t>
      </w:r>
      <w:r>
        <w:rPr>
          <w:sz w:val="20"/>
        </w:rPr>
        <w:t>Administração</w:t>
      </w:r>
      <w:r>
        <w:rPr>
          <w:spacing w:val="-8"/>
          <w:sz w:val="20"/>
        </w:rPr>
        <w:t xml:space="preserve"> </w:t>
      </w:r>
      <w:r>
        <w:rPr>
          <w:sz w:val="20"/>
        </w:rPr>
        <w:t>Pública</w:t>
      </w:r>
      <w:r>
        <w:rPr>
          <w:spacing w:val="-6"/>
          <w:sz w:val="20"/>
        </w:rPr>
        <w:t xml:space="preserve"> </w:t>
      </w:r>
      <w:r>
        <w:rPr>
          <w:sz w:val="20"/>
        </w:rPr>
        <w:t>e</w:t>
      </w:r>
      <w:r>
        <w:rPr>
          <w:spacing w:val="-9"/>
          <w:sz w:val="20"/>
        </w:rPr>
        <w:t xml:space="preserve"> </w:t>
      </w:r>
      <w:r>
        <w:rPr>
          <w:sz w:val="20"/>
        </w:rPr>
        <w:t>a</w:t>
      </w:r>
      <w:r>
        <w:rPr>
          <w:spacing w:val="-4"/>
          <w:sz w:val="20"/>
        </w:rPr>
        <w:t xml:space="preserve"> </w:t>
      </w:r>
      <w:r>
        <w:rPr>
          <w:sz w:val="20"/>
        </w:rPr>
        <w:t>iniciativa</w:t>
      </w:r>
      <w:r>
        <w:rPr>
          <w:spacing w:val="-2"/>
          <w:sz w:val="20"/>
        </w:rPr>
        <w:t xml:space="preserve"> </w:t>
      </w:r>
      <w:r>
        <w:rPr>
          <w:sz w:val="20"/>
        </w:rPr>
        <w:t>privada,</w:t>
      </w:r>
      <w:r>
        <w:rPr>
          <w:spacing w:val="-7"/>
          <w:sz w:val="20"/>
        </w:rPr>
        <w:t xml:space="preserve"> </w:t>
      </w:r>
      <w:r>
        <w:rPr>
          <w:sz w:val="20"/>
        </w:rPr>
        <w:t>com</w:t>
      </w:r>
      <w:r>
        <w:rPr>
          <w:spacing w:val="-8"/>
          <w:sz w:val="20"/>
        </w:rPr>
        <w:t xml:space="preserve"> </w:t>
      </w:r>
      <w:r>
        <w:rPr>
          <w:sz w:val="20"/>
        </w:rPr>
        <w:t>vistas à</w:t>
      </w:r>
      <w:r>
        <w:rPr>
          <w:spacing w:val="-6"/>
          <w:sz w:val="20"/>
        </w:rPr>
        <w:t xml:space="preserve"> </w:t>
      </w:r>
      <w:r>
        <w:rPr>
          <w:sz w:val="20"/>
        </w:rPr>
        <w:t>obtenção</w:t>
      </w:r>
      <w:r>
        <w:rPr>
          <w:spacing w:val="-7"/>
          <w:sz w:val="20"/>
        </w:rPr>
        <w:t xml:space="preserve"> </w:t>
      </w:r>
      <w:r>
        <w:rPr>
          <w:sz w:val="20"/>
        </w:rPr>
        <w:t>de</w:t>
      </w:r>
      <w:r>
        <w:rPr>
          <w:spacing w:val="-6"/>
          <w:sz w:val="20"/>
        </w:rPr>
        <w:t xml:space="preserve"> </w:t>
      </w:r>
      <w:r>
        <w:rPr>
          <w:sz w:val="20"/>
        </w:rPr>
        <w:t>contribuições</w:t>
      </w:r>
      <w:r>
        <w:rPr>
          <w:spacing w:val="-3"/>
          <w:sz w:val="20"/>
        </w:rPr>
        <w:t xml:space="preserve"> </w:t>
      </w:r>
      <w:r>
        <w:rPr>
          <w:sz w:val="20"/>
        </w:rPr>
        <w:t>para</w:t>
      </w:r>
      <w:r>
        <w:rPr>
          <w:spacing w:val="-5"/>
          <w:sz w:val="20"/>
        </w:rPr>
        <w:t xml:space="preserve"> </w:t>
      </w:r>
      <w:r>
        <w:rPr>
          <w:sz w:val="20"/>
        </w:rPr>
        <w:t>atendimento</w:t>
      </w:r>
      <w:r>
        <w:rPr>
          <w:spacing w:val="-7"/>
          <w:sz w:val="20"/>
        </w:rPr>
        <w:t xml:space="preserve"> </w:t>
      </w:r>
      <w:r>
        <w:rPr>
          <w:sz w:val="20"/>
        </w:rPr>
        <w:t>de</w:t>
      </w:r>
      <w:r>
        <w:rPr>
          <w:spacing w:val="-12"/>
          <w:sz w:val="20"/>
        </w:rPr>
        <w:t xml:space="preserve"> </w:t>
      </w:r>
      <w:r>
        <w:rPr>
          <w:sz w:val="20"/>
        </w:rPr>
        <w:t>necessidades</w:t>
      </w:r>
      <w:r>
        <w:rPr>
          <w:spacing w:val="-3"/>
          <w:sz w:val="20"/>
        </w:rPr>
        <w:t xml:space="preserve"> </w:t>
      </w:r>
      <w:r>
        <w:rPr>
          <w:sz w:val="20"/>
        </w:rPr>
        <w:t>coletivas,</w:t>
      </w:r>
      <w:r>
        <w:rPr>
          <w:spacing w:val="-1"/>
          <w:sz w:val="20"/>
        </w:rPr>
        <w:t xml:space="preserve"> </w:t>
      </w:r>
      <w:r>
        <w:rPr>
          <w:sz w:val="20"/>
        </w:rPr>
        <w:t>em</w:t>
      </w:r>
      <w:r>
        <w:rPr>
          <w:spacing w:val="-10"/>
          <w:sz w:val="20"/>
        </w:rPr>
        <w:t xml:space="preserve"> </w:t>
      </w:r>
      <w:r>
        <w:rPr>
          <w:sz w:val="20"/>
        </w:rPr>
        <w:t>questões de</w:t>
      </w:r>
      <w:r>
        <w:rPr>
          <w:spacing w:val="-13"/>
          <w:sz w:val="20"/>
        </w:rPr>
        <w:t xml:space="preserve"> </w:t>
      </w:r>
      <w:r>
        <w:rPr>
          <w:sz w:val="20"/>
        </w:rPr>
        <w:t>relevância.</w:t>
      </w:r>
      <w:r>
        <w:rPr>
          <w:spacing w:val="-12"/>
          <w:sz w:val="20"/>
        </w:rPr>
        <w:t xml:space="preserve"> </w:t>
      </w:r>
      <w:r>
        <w:rPr>
          <w:sz w:val="20"/>
        </w:rPr>
        <w:t>Trata-se</w:t>
      </w:r>
      <w:r>
        <w:rPr>
          <w:spacing w:val="-13"/>
          <w:sz w:val="20"/>
        </w:rPr>
        <w:t xml:space="preserve"> </w:t>
      </w:r>
      <w:r>
        <w:rPr>
          <w:sz w:val="20"/>
        </w:rPr>
        <w:t>do</w:t>
      </w:r>
      <w:r>
        <w:rPr>
          <w:spacing w:val="-12"/>
          <w:sz w:val="20"/>
        </w:rPr>
        <w:t xml:space="preserve"> </w:t>
      </w:r>
      <w:r>
        <w:rPr>
          <w:sz w:val="20"/>
        </w:rPr>
        <w:t>Procedimento</w:t>
      </w:r>
      <w:r>
        <w:rPr>
          <w:spacing w:val="-13"/>
          <w:sz w:val="20"/>
        </w:rPr>
        <w:t xml:space="preserve"> </w:t>
      </w:r>
      <w:r>
        <w:rPr>
          <w:sz w:val="20"/>
        </w:rPr>
        <w:t>de</w:t>
      </w:r>
      <w:r>
        <w:rPr>
          <w:spacing w:val="-12"/>
          <w:sz w:val="20"/>
        </w:rPr>
        <w:t xml:space="preserve"> </w:t>
      </w:r>
      <w:r>
        <w:rPr>
          <w:sz w:val="20"/>
        </w:rPr>
        <w:t>Manifestação</w:t>
      </w:r>
      <w:r>
        <w:rPr>
          <w:spacing w:val="-13"/>
          <w:sz w:val="20"/>
        </w:rPr>
        <w:t xml:space="preserve"> </w:t>
      </w:r>
      <w:r>
        <w:rPr>
          <w:sz w:val="20"/>
        </w:rPr>
        <w:t>de</w:t>
      </w:r>
      <w:r>
        <w:rPr>
          <w:spacing w:val="-12"/>
          <w:sz w:val="20"/>
        </w:rPr>
        <w:t xml:space="preserve"> </w:t>
      </w:r>
      <w:r>
        <w:rPr>
          <w:sz w:val="20"/>
        </w:rPr>
        <w:t>Interesse,</w:t>
      </w:r>
      <w:r>
        <w:rPr>
          <w:spacing w:val="-13"/>
          <w:sz w:val="20"/>
        </w:rPr>
        <w:t xml:space="preserve"> </w:t>
      </w:r>
      <w:r>
        <w:rPr>
          <w:sz w:val="20"/>
        </w:rPr>
        <w:t>assim</w:t>
      </w:r>
      <w:r>
        <w:rPr>
          <w:spacing w:val="-12"/>
          <w:sz w:val="20"/>
        </w:rPr>
        <w:t xml:space="preserve"> </w:t>
      </w:r>
      <w:r>
        <w:rPr>
          <w:sz w:val="20"/>
        </w:rPr>
        <w:t>regulado no art. 81 da Lei 14.133/2021:</w:t>
      </w:r>
    </w:p>
    <w:p w:rsidR="007259F2" w:rsidRDefault="00E655B4">
      <w:pPr>
        <w:spacing w:before="1"/>
        <w:ind w:left="2978" w:right="418"/>
        <w:jc w:val="both"/>
        <w:rPr>
          <w:sz w:val="20"/>
        </w:rPr>
      </w:pPr>
      <w:r>
        <w:rPr>
          <w:sz w:val="20"/>
        </w:rPr>
        <w:t>“Art. 81. A Administração poderá solicitar à iniciativa privada, mediante procedimento</w:t>
      </w:r>
      <w:r>
        <w:rPr>
          <w:spacing w:val="-2"/>
          <w:sz w:val="20"/>
        </w:rPr>
        <w:t xml:space="preserve"> </w:t>
      </w:r>
      <w:r>
        <w:rPr>
          <w:sz w:val="20"/>
        </w:rPr>
        <w:t>aberto</w:t>
      </w:r>
      <w:r>
        <w:rPr>
          <w:spacing w:val="-5"/>
          <w:sz w:val="20"/>
        </w:rPr>
        <w:t xml:space="preserve"> </w:t>
      </w:r>
      <w:r>
        <w:rPr>
          <w:sz w:val="20"/>
        </w:rPr>
        <w:t>de</w:t>
      </w:r>
      <w:r>
        <w:rPr>
          <w:spacing w:val="-4"/>
          <w:sz w:val="20"/>
        </w:rPr>
        <w:t xml:space="preserve"> </w:t>
      </w:r>
      <w:r>
        <w:rPr>
          <w:sz w:val="20"/>
        </w:rPr>
        <w:t>manifestação</w:t>
      </w:r>
      <w:r>
        <w:rPr>
          <w:spacing w:val="-1"/>
          <w:sz w:val="20"/>
        </w:rPr>
        <w:t xml:space="preserve"> </w:t>
      </w:r>
      <w:r>
        <w:rPr>
          <w:sz w:val="20"/>
        </w:rPr>
        <w:t>de</w:t>
      </w:r>
      <w:r>
        <w:rPr>
          <w:spacing w:val="-4"/>
          <w:sz w:val="20"/>
        </w:rPr>
        <w:t xml:space="preserve"> </w:t>
      </w:r>
      <w:r>
        <w:rPr>
          <w:sz w:val="20"/>
        </w:rPr>
        <w:t>interesse</w:t>
      </w:r>
      <w:r>
        <w:rPr>
          <w:spacing w:val="-1"/>
          <w:sz w:val="20"/>
        </w:rPr>
        <w:t xml:space="preserve"> </w:t>
      </w:r>
      <w:r>
        <w:rPr>
          <w:sz w:val="20"/>
        </w:rPr>
        <w:t>a ser iniciado</w:t>
      </w:r>
      <w:r>
        <w:rPr>
          <w:spacing w:val="-1"/>
          <w:sz w:val="20"/>
        </w:rPr>
        <w:t xml:space="preserve"> </w:t>
      </w:r>
      <w:r>
        <w:rPr>
          <w:sz w:val="20"/>
        </w:rPr>
        <w:t>com</w:t>
      </w:r>
      <w:r>
        <w:rPr>
          <w:spacing w:val="-3"/>
          <w:sz w:val="20"/>
        </w:rPr>
        <w:t xml:space="preserve"> </w:t>
      </w:r>
      <w:r>
        <w:rPr>
          <w:sz w:val="20"/>
        </w:rPr>
        <w:t>a publicação</w:t>
      </w:r>
      <w:r>
        <w:rPr>
          <w:spacing w:val="-1"/>
          <w:sz w:val="20"/>
        </w:rPr>
        <w:t xml:space="preserve"> </w:t>
      </w:r>
      <w:r>
        <w:rPr>
          <w:sz w:val="20"/>
        </w:rPr>
        <w:t>de edital</w:t>
      </w:r>
      <w:r>
        <w:rPr>
          <w:spacing w:val="-3"/>
          <w:sz w:val="20"/>
        </w:rPr>
        <w:t xml:space="preserve"> </w:t>
      </w:r>
      <w:r>
        <w:rPr>
          <w:sz w:val="20"/>
        </w:rPr>
        <w:t>de</w:t>
      </w:r>
      <w:r>
        <w:rPr>
          <w:spacing w:val="-8"/>
          <w:sz w:val="20"/>
        </w:rPr>
        <w:t xml:space="preserve"> </w:t>
      </w:r>
      <w:r>
        <w:rPr>
          <w:sz w:val="20"/>
        </w:rPr>
        <w:t>chamamento</w:t>
      </w:r>
      <w:r>
        <w:rPr>
          <w:spacing w:val="-4"/>
          <w:sz w:val="20"/>
        </w:rPr>
        <w:t xml:space="preserve"> </w:t>
      </w:r>
      <w:r>
        <w:rPr>
          <w:sz w:val="20"/>
        </w:rPr>
        <w:t>público,</w:t>
      </w:r>
      <w:r>
        <w:rPr>
          <w:spacing w:val="-2"/>
          <w:sz w:val="20"/>
        </w:rPr>
        <w:t xml:space="preserve"> </w:t>
      </w:r>
      <w:r>
        <w:rPr>
          <w:sz w:val="20"/>
        </w:rPr>
        <w:t>a</w:t>
      </w:r>
      <w:r>
        <w:rPr>
          <w:spacing w:val="-2"/>
          <w:sz w:val="20"/>
        </w:rPr>
        <w:t xml:space="preserve"> </w:t>
      </w:r>
      <w:r>
        <w:rPr>
          <w:sz w:val="20"/>
        </w:rPr>
        <w:t>propositura</w:t>
      </w:r>
      <w:r>
        <w:rPr>
          <w:spacing w:val="-2"/>
          <w:sz w:val="20"/>
        </w:rPr>
        <w:t xml:space="preserve"> </w:t>
      </w:r>
      <w:r>
        <w:rPr>
          <w:sz w:val="20"/>
        </w:rPr>
        <w:t>e</w:t>
      </w:r>
      <w:r>
        <w:rPr>
          <w:spacing w:val="-8"/>
          <w:sz w:val="20"/>
        </w:rPr>
        <w:t xml:space="preserve"> </w:t>
      </w:r>
      <w:r>
        <w:rPr>
          <w:sz w:val="20"/>
        </w:rPr>
        <w:t>a</w:t>
      </w:r>
      <w:r>
        <w:rPr>
          <w:spacing w:val="-3"/>
          <w:sz w:val="20"/>
        </w:rPr>
        <w:t xml:space="preserve"> </w:t>
      </w:r>
      <w:r>
        <w:rPr>
          <w:sz w:val="20"/>
        </w:rPr>
        <w:t>realização</w:t>
      </w:r>
      <w:r>
        <w:rPr>
          <w:spacing w:val="-3"/>
          <w:sz w:val="20"/>
        </w:rPr>
        <w:t xml:space="preserve"> </w:t>
      </w:r>
      <w:r>
        <w:rPr>
          <w:sz w:val="20"/>
        </w:rPr>
        <w:t>de</w:t>
      </w:r>
      <w:r>
        <w:rPr>
          <w:spacing w:val="-2"/>
          <w:sz w:val="20"/>
        </w:rPr>
        <w:t xml:space="preserve"> </w:t>
      </w:r>
      <w:r>
        <w:rPr>
          <w:sz w:val="20"/>
        </w:rPr>
        <w:t>estudos,</w:t>
      </w:r>
      <w:r>
        <w:rPr>
          <w:spacing w:val="-2"/>
          <w:sz w:val="20"/>
        </w:rPr>
        <w:t xml:space="preserve"> </w:t>
      </w:r>
      <w:r>
        <w:rPr>
          <w:sz w:val="20"/>
        </w:rPr>
        <w:t>investigações, levantamentos e projetos de soluções inovadoras que contribuam com questões de relevância pública, na forma de regulamento.(...)</w:t>
      </w:r>
    </w:p>
    <w:p w:rsidR="007259F2" w:rsidRDefault="00E655B4">
      <w:pPr>
        <w:ind w:left="2978" w:right="421"/>
        <w:jc w:val="both"/>
        <w:rPr>
          <w:sz w:val="20"/>
        </w:rPr>
      </w:pPr>
      <w:r>
        <w:rPr>
          <w:sz w:val="20"/>
        </w:rPr>
        <w:t>§ 3º Para aceitação dos produtos e serviços de que trata o caput deste artigo, a Administração deverá elaborar parecer fundamentado com a demonstração de que o produto</w:t>
      </w:r>
      <w:r>
        <w:rPr>
          <w:spacing w:val="-5"/>
          <w:sz w:val="20"/>
        </w:rPr>
        <w:t xml:space="preserve"> </w:t>
      </w:r>
      <w:r>
        <w:rPr>
          <w:sz w:val="20"/>
        </w:rPr>
        <w:t>ou</w:t>
      </w:r>
      <w:r>
        <w:rPr>
          <w:spacing w:val="-7"/>
          <w:sz w:val="20"/>
        </w:rPr>
        <w:t xml:space="preserve"> </w:t>
      </w:r>
      <w:r>
        <w:rPr>
          <w:sz w:val="20"/>
        </w:rPr>
        <w:t>serviço</w:t>
      </w:r>
      <w:r>
        <w:rPr>
          <w:spacing w:val="-5"/>
          <w:sz w:val="20"/>
        </w:rPr>
        <w:t xml:space="preserve"> </w:t>
      </w:r>
      <w:r>
        <w:rPr>
          <w:sz w:val="20"/>
        </w:rPr>
        <w:t>entregue</w:t>
      </w:r>
      <w:r>
        <w:rPr>
          <w:spacing w:val="-3"/>
          <w:sz w:val="20"/>
        </w:rPr>
        <w:t xml:space="preserve"> </w:t>
      </w:r>
      <w:r>
        <w:rPr>
          <w:sz w:val="20"/>
        </w:rPr>
        <w:t>é</w:t>
      </w:r>
      <w:r>
        <w:rPr>
          <w:spacing w:val="-7"/>
          <w:sz w:val="20"/>
        </w:rPr>
        <w:t xml:space="preserve"> </w:t>
      </w:r>
      <w:r>
        <w:rPr>
          <w:sz w:val="20"/>
        </w:rPr>
        <w:t>adequado</w:t>
      </w:r>
      <w:r>
        <w:rPr>
          <w:spacing w:val="-5"/>
          <w:sz w:val="20"/>
        </w:rPr>
        <w:t xml:space="preserve"> </w:t>
      </w:r>
      <w:r>
        <w:rPr>
          <w:sz w:val="20"/>
        </w:rPr>
        <w:t>e</w:t>
      </w:r>
      <w:r>
        <w:rPr>
          <w:spacing w:val="-8"/>
          <w:sz w:val="20"/>
        </w:rPr>
        <w:t xml:space="preserve"> </w:t>
      </w:r>
      <w:r>
        <w:rPr>
          <w:sz w:val="20"/>
        </w:rPr>
        <w:t>suficiente</w:t>
      </w:r>
      <w:r>
        <w:rPr>
          <w:spacing w:val="-7"/>
          <w:sz w:val="20"/>
        </w:rPr>
        <w:t xml:space="preserve"> </w:t>
      </w:r>
      <w:r>
        <w:rPr>
          <w:sz w:val="20"/>
        </w:rPr>
        <w:t>à</w:t>
      </w:r>
      <w:r>
        <w:rPr>
          <w:spacing w:val="-4"/>
          <w:sz w:val="20"/>
        </w:rPr>
        <w:t xml:space="preserve"> </w:t>
      </w:r>
      <w:r>
        <w:rPr>
          <w:sz w:val="20"/>
        </w:rPr>
        <w:t>compreensão</w:t>
      </w:r>
      <w:r>
        <w:rPr>
          <w:spacing w:val="-4"/>
          <w:sz w:val="20"/>
        </w:rPr>
        <w:t xml:space="preserve"> </w:t>
      </w:r>
      <w:r>
        <w:rPr>
          <w:sz w:val="20"/>
        </w:rPr>
        <w:t>do</w:t>
      </w:r>
      <w:r>
        <w:rPr>
          <w:spacing w:val="-5"/>
          <w:sz w:val="20"/>
        </w:rPr>
        <w:t xml:space="preserve"> </w:t>
      </w:r>
      <w:r>
        <w:rPr>
          <w:sz w:val="20"/>
        </w:rPr>
        <w:t>objeto,</w:t>
      </w:r>
      <w:r>
        <w:rPr>
          <w:spacing w:val="-2"/>
          <w:sz w:val="20"/>
        </w:rPr>
        <w:t xml:space="preserve"> </w:t>
      </w:r>
      <w:r>
        <w:rPr>
          <w:sz w:val="20"/>
        </w:rPr>
        <w:t>de</w:t>
      </w:r>
      <w:r>
        <w:rPr>
          <w:spacing w:val="-5"/>
          <w:sz w:val="20"/>
        </w:rPr>
        <w:t xml:space="preserve"> </w:t>
      </w:r>
      <w:r>
        <w:rPr>
          <w:sz w:val="20"/>
        </w:rPr>
        <w:t>que as</w:t>
      </w:r>
      <w:r>
        <w:rPr>
          <w:spacing w:val="-1"/>
          <w:sz w:val="20"/>
        </w:rPr>
        <w:t xml:space="preserve"> </w:t>
      </w:r>
      <w:r>
        <w:rPr>
          <w:sz w:val="20"/>
        </w:rPr>
        <w:t>premissas</w:t>
      </w:r>
      <w:r>
        <w:rPr>
          <w:spacing w:val="-5"/>
          <w:sz w:val="20"/>
        </w:rPr>
        <w:t xml:space="preserve"> </w:t>
      </w:r>
      <w:r>
        <w:rPr>
          <w:sz w:val="20"/>
        </w:rPr>
        <w:t>adotadas</w:t>
      </w:r>
      <w:r>
        <w:rPr>
          <w:spacing w:val="-5"/>
          <w:sz w:val="20"/>
        </w:rPr>
        <w:t xml:space="preserve"> </w:t>
      </w:r>
      <w:r>
        <w:rPr>
          <w:sz w:val="20"/>
        </w:rPr>
        <w:t>são</w:t>
      </w:r>
      <w:r>
        <w:rPr>
          <w:spacing w:val="-4"/>
          <w:sz w:val="20"/>
        </w:rPr>
        <w:t xml:space="preserve"> </w:t>
      </w:r>
      <w:r>
        <w:rPr>
          <w:sz w:val="20"/>
        </w:rPr>
        <w:t>compatíveis</w:t>
      </w:r>
      <w:r>
        <w:rPr>
          <w:spacing w:val="-2"/>
          <w:sz w:val="20"/>
        </w:rPr>
        <w:t xml:space="preserve"> </w:t>
      </w:r>
      <w:r>
        <w:rPr>
          <w:sz w:val="20"/>
        </w:rPr>
        <w:t>com</w:t>
      </w:r>
      <w:r>
        <w:rPr>
          <w:spacing w:val="-2"/>
          <w:sz w:val="20"/>
        </w:rPr>
        <w:t xml:space="preserve"> </w:t>
      </w:r>
      <w:r>
        <w:rPr>
          <w:sz w:val="20"/>
        </w:rPr>
        <w:t>as</w:t>
      </w:r>
      <w:r>
        <w:rPr>
          <w:spacing w:val="-8"/>
          <w:sz w:val="20"/>
        </w:rPr>
        <w:t xml:space="preserve"> </w:t>
      </w:r>
      <w:r>
        <w:rPr>
          <w:sz w:val="20"/>
        </w:rPr>
        <w:t>reais</w:t>
      </w:r>
      <w:r>
        <w:rPr>
          <w:spacing w:val="-8"/>
          <w:sz w:val="20"/>
        </w:rPr>
        <w:t xml:space="preserve"> </w:t>
      </w:r>
      <w:r>
        <w:rPr>
          <w:sz w:val="20"/>
        </w:rPr>
        <w:t>necessidades</w:t>
      </w:r>
      <w:r>
        <w:rPr>
          <w:spacing w:val="-1"/>
          <w:sz w:val="20"/>
        </w:rPr>
        <w:t xml:space="preserve"> </w:t>
      </w:r>
      <w:r>
        <w:rPr>
          <w:sz w:val="20"/>
        </w:rPr>
        <w:t>do</w:t>
      </w:r>
      <w:r>
        <w:rPr>
          <w:spacing w:val="-2"/>
          <w:sz w:val="20"/>
        </w:rPr>
        <w:t xml:space="preserve"> </w:t>
      </w:r>
      <w:r>
        <w:rPr>
          <w:sz w:val="20"/>
        </w:rPr>
        <w:t>órgão</w:t>
      </w:r>
      <w:r>
        <w:rPr>
          <w:spacing w:val="-3"/>
          <w:sz w:val="20"/>
        </w:rPr>
        <w:t xml:space="preserve"> </w:t>
      </w:r>
      <w:r>
        <w:rPr>
          <w:sz w:val="20"/>
        </w:rPr>
        <w:t>e</w:t>
      </w:r>
      <w:r>
        <w:rPr>
          <w:spacing w:val="-3"/>
          <w:sz w:val="20"/>
        </w:rPr>
        <w:t xml:space="preserve"> </w:t>
      </w:r>
      <w:r>
        <w:rPr>
          <w:sz w:val="20"/>
        </w:rPr>
        <w:t>de</w:t>
      </w:r>
      <w:r>
        <w:rPr>
          <w:spacing w:val="-8"/>
          <w:sz w:val="20"/>
        </w:rPr>
        <w:t xml:space="preserve"> </w:t>
      </w:r>
      <w:r>
        <w:rPr>
          <w:sz w:val="20"/>
        </w:rPr>
        <w:t>que</w:t>
      </w:r>
      <w:r>
        <w:rPr>
          <w:spacing w:val="-7"/>
          <w:sz w:val="20"/>
        </w:rPr>
        <w:t xml:space="preserve"> </w:t>
      </w:r>
      <w:r>
        <w:rPr>
          <w:sz w:val="20"/>
        </w:rPr>
        <w:t>a metodologia proposta é a que propicia maior economia e vantagem entre as demais possíveis”. (CALASANS, 2021, p. 83)</w:t>
      </w:r>
    </w:p>
    <w:p w:rsidR="007259F2" w:rsidRDefault="00E655B4">
      <w:pPr>
        <w:pStyle w:val="Corpodetexto"/>
        <w:spacing w:before="229"/>
        <w:ind w:right="422"/>
      </w:pPr>
      <w:r>
        <w:t>Todavia,</w:t>
      </w:r>
      <w:r>
        <w:rPr>
          <w:spacing w:val="-6"/>
        </w:rPr>
        <w:t xml:space="preserve"> </w:t>
      </w:r>
      <w:r>
        <w:t>em</w:t>
      </w:r>
      <w:r>
        <w:rPr>
          <w:spacing w:val="-5"/>
        </w:rPr>
        <w:t xml:space="preserve"> </w:t>
      </w:r>
      <w:r>
        <w:t>que</w:t>
      </w:r>
      <w:r>
        <w:rPr>
          <w:spacing w:val="-6"/>
        </w:rPr>
        <w:t xml:space="preserve"> </w:t>
      </w:r>
      <w:r>
        <w:t>pese</w:t>
      </w:r>
      <w:r>
        <w:rPr>
          <w:spacing w:val="-6"/>
        </w:rPr>
        <w:t xml:space="preserve"> </w:t>
      </w:r>
      <w:r>
        <w:t>a</w:t>
      </w:r>
      <w:r>
        <w:rPr>
          <w:spacing w:val="-4"/>
        </w:rPr>
        <w:t xml:space="preserve"> </w:t>
      </w:r>
      <w:r>
        <w:t>previsão da</w:t>
      </w:r>
      <w:r>
        <w:rPr>
          <w:spacing w:val="-7"/>
        </w:rPr>
        <w:t xml:space="preserve"> </w:t>
      </w:r>
      <w:r>
        <w:t>PMI</w:t>
      </w:r>
      <w:r>
        <w:rPr>
          <w:spacing w:val="-3"/>
        </w:rPr>
        <w:t xml:space="preserve"> </w:t>
      </w:r>
      <w:r>
        <w:t>na</w:t>
      </w:r>
      <w:r>
        <w:rPr>
          <w:spacing w:val="-4"/>
        </w:rPr>
        <w:t xml:space="preserve"> </w:t>
      </w:r>
      <w:r>
        <w:t>atual</w:t>
      </w:r>
      <w:r>
        <w:rPr>
          <w:spacing w:val="-6"/>
        </w:rPr>
        <w:t xml:space="preserve"> </w:t>
      </w:r>
      <w:r>
        <w:t>lei</w:t>
      </w:r>
      <w:r>
        <w:rPr>
          <w:spacing w:val="-5"/>
        </w:rPr>
        <w:t xml:space="preserve"> </w:t>
      </w:r>
      <w:r>
        <w:t>de licitações, esta</w:t>
      </w:r>
      <w:r>
        <w:rPr>
          <w:spacing w:val="-4"/>
        </w:rPr>
        <w:t xml:space="preserve"> </w:t>
      </w:r>
      <w:r>
        <w:t>não</w:t>
      </w:r>
      <w:r>
        <w:rPr>
          <w:spacing w:val="-1"/>
        </w:rPr>
        <w:t xml:space="preserve"> </w:t>
      </w:r>
      <w:r>
        <w:t>se</w:t>
      </w:r>
      <w:r>
        <w:rPr>
          <w:spacing w:val="-4"/>
        </w:rPr>
        <w:t xml:space="preserve"> </w:t>
      </w:r>
      <w:r>
        <w:t>confunde com o diálogo competitivo, uma vez que o diálogo, no diálogo competitivo, é uma das fases que integra o procedimento licitatório, já no caso do PMI, este equivaleria, por sua natureza instrutória,</w:t>
      </w:r>
      <w:r>
        <w:rPr>
          <w:spacing w:val="-8"/>
        </w:rPr>
        <w:t xml:space="preserve"> </w:t>
      </w:r>
      <w:r>
        <w:t>à</w:t>
      </w:r>
      <w:r>
        <w:rPr>
          <w:spacing w:val="-11"/>
        </w:rPr>
        <w:t xml:space="preserve"> </w:t>
      </w:r>
      <w:r>
        <w:t>jurisprudência</w:t>
      </w:r>
      <w:r>
        <w:rPr>
          <w:spacing w:val="-5"/>
        </w:rPr>
        <w:t xml:space="preserve"> </w:t>
      </w:r>
      <w:r>
        <w:t>insculpida</w:t>
      </w:r>
      <w:r>
        <w:rPr>
          <w:spacing w:val="-10"/>
        </w:rPr>
        <w:t xml:space="preserve"> </w:t>
      </w:r>
      <w:r>
        <w:t>no</w:t>
      </w:r>
      <w:r>
        <w:rPr>
          <w:spacing w:val="-3"/>
        </w:rPr>
        <w:t xml:space="preserve"> </w:t>
      </w:r>
      <w:r>
        <w:t>Enunciado</w:t>
      </w:r>
      <w:r>
        <w:rPr>
          <w:spacing w:val="-6"/>
        </w:rPr>
        <w:t xml:space="preserve"> </w:t>
      </w:r>
      <w:r>
        <w:t>26</w:t>
      </w:r>
      <w:r>
        <w:rPr>
          <w:spacing w:val="-12"/>
        </w:rPr>
        <w:t xml:space="preserve"> </w:t>
      </w:r>
      <w:r>
        <w:t>da</w:t>
      </w:r>
      <w:r>
        <w:rPr>
          <w:spacing w:val="-11"/>
        </w:rPr>
        <w:t xml:space="preserve"> </w:t>
      </w:r>
      <w:r>
        <w:t>I</w:t>
      </w:r>
      <w:r>
        <w:rPr>
          <w:spacing w:val="-15"/>
        </w:rPr>
        <w:t xml:space="preserve"> </w:t>
      </w:r>
      <w:r>
        <w:t>Jornada</w:t>
      </w:r>
      <w:r>
        <w:rPr>
          <w:spacing w:val="-10"/>
        </w:rPr>
        <w:t xml:space="preserve"> </w:t>
      </w:r>
      <w:r>
        <w:t>de</w:t>
      </w:r>
      <w:r>
        <w:rPr>
          <w:spacing w:val="-11"/>
        </w:rPr>
        <w:t xml:space="preserve"> </w:t>
      </w:r>
      <w:r>
        <w:t>Direito</w:t>
      </w:r>
      <w:r>
        <w:rPr>
          <w:spacing w:val="-15"/>
        </w:rPr>
        <w:t xml:space="preserve"> </w:t>
      </w:r>
      <w:r>
        <w:t>Administrativo do Conselho de Justiça Nacional – CNJ.</w:t>
      </w:r>
    </w:p>
    <w:p w:rsidR="007259F2" w:rsidRDefault="00E655B4">
      <w:pPr>
        <w:pStyle w:val="Corpodetexto"/>
        <w:ind w:right="424"/>
      </w:pPr>
      <w:r>
        <w:t>Outrossim, em que</w:t>
      </w:r>
      <w:r>
        <w:rPr>
          <w:spacing w:val="-1"/>
        </w:rPr>
        <w:t xml:space="preserve"> </w:t>
      </w:r>
      <w:r>
        <w:t>pese a possibilidade</w:t>
      </w:r>
      <w:r>
        <w:rPr>
          <w:spacing w:val="-2"/>
        </w:rPr>
        <w:t xml:space="preserve"> </w:t>
      </w:r>
      <w:r>
        <w:t>de</w:t>
      </w:r>
      <w:r>
        <w:rPr>
          <w:spacing w:val="-1"/>
        </w:rPr>
        <w:t xml:space="preserve"> </w:t>
      </w:r>
      <w:r>
        <w:t>adoção da</w:t>
      </w:r>
      <w:r>
        <w:rPr>
          <w:spacing w:val="-1"/>
        </w:rPr>
        <w:t xml:space="preserve"> </w:t>
      </w:r>
      <w:r>
        <w:t>PMI, conforme</w:t>
      </w:r>
      <w:r>
        <w:rPr>
          <w:spacing w:val="-2"/>
        </w:rPr>
        <w:t xml:space="preserve"> </w:t>
      </w:r>
      <w:r>
        <w:t>já</w:t>
      </w:r>
      <w:r>
        <w:rPr>
          <w:spacing w:val="-1"/>
        </w:rPr>
        <w:t xml:space="preserve"> </w:t>
      </w:r>
      <w:r>
        <w:t>dito, apesar</w:t>
      </w:r>
      <w:r>
        <w:rPr>
          <w:spacing w:val="-1"/>
        </w:rPr>
        <w:t xml:space="preserve"> </w:t>
      </w:r>
      <w:r>
        <w:t>de sua natureza instrutória, na medida que expõe à</w:t>
      </w:r>
      <w:r>
        <w:rPr>
          <w:spacing w:val="-3"/>
        </w:rPr>
        <w:t xml:space="preserve"> </w:t>
      </w:r>
      <w:r>
        <w:t>Administração levantamentos e pareceres de relevo em determinadas matérias, a entrega desse material pelo setor privado não vincula a ocorrência de uma licitação, diferindo-se, assim, do diálogo competitivo.</w:t>
      </w:r>
    </w:p>
    <w:p w:rsidR="007259F2" w:rsidRDefault="00E655B4">
      <w:pPr>
        <w:pStyle w:val="Heading2"/>
        <w:numPr>
          <w:ilvl w:val="0"/>
          <w:numId w:val="16"/>
        </w:numPr>
        <w:tabs>
          <w:tab w:val="left" w:pos="1093"/>
        </w:tabs>
        <w:ind w:left="1093" w:hanging="244"/>
        <w:jc w:val="both"/>
      </w:pPr>
      <w:r>
        <w:t>Das</w:t>
      </w:r>
      <w:r>
        <w:rPr>
          <w:spacing w:val="-9"/>
        </w:rPr>
        <w:t xml:space="preserve"> </w:t>
      </w:r>
      <w:r>
        <w:t>soluções</w:t>
      </w:r>
      <w:r>
        <w:rPr>
          <w:spacing w:val="-5"/>
        </w:rPr>
        <w:t xml:space="preserve"> </w:t>
      </w:r>
      <w:r>
        <w:rPr>
          <w:spacing w:val="-2"/>
        </w:rPr>
        <w:t>possíveis</w:t>
      </w:r>
    </w:p>
    <w:p w:rsidR="007259F2" w:rsidRDefault="00E655B4">
      <w:pPr>
        <w:pStyle w:val="Corpodetexto"/>
        <w:spacing w:before="113"/>
        <w:ind w:right="420"/>
      </w:pPr>
      <w:r>
        <w:t>A União, por disposição constitucional, cabe a regulação das disposições legislativas atinentes às licitações e contratações públicas, em caráter geral, conforme aponta o inciso art. 22, XXVII, da CRFB/88.</w:t>
      </w:r>
    </w:p>
    <w:p w:rsidR="007259F2" w:rsidRDefault="00E655B4">
      <w:pPr>
        <w:pStyle w:val="Corpodetexto"/>
        <w:ind w:right="430"/>
      </w:pPr>
      <w:r>
        <w:t>Nesta esteira, cabe a suplementação dos demais entes federativos das normas licitatórias de caráter específico.</w:t>
      </w:r>
    </w:p>
    <w:p w:rsidR="007259F2" w:rsidRDefault="00E655B4">
      <w:pPr>
        <w:pStyle w:val="Corpodetexto"/>
        <w:ind w:right="430"/>
      </w:pPr>
      <w:r>
        <w:t>Nesse aspecto, a solução legislativa desse instituto, no âmbito de cada esfera federal, poderia suprir lacunas e estimular a adoção do diálogo competitivo, no sentido, por exemplo, de fixar prazos para a abertura e encerramento de suas fases, o que pode contribuir para celeridade do procedimento como um todo.</w:t>
      </w:r>
    </w:p>
    <w:p w:rsidR="007259F2" w:rsidRDefault="00E655B4">
      <w:pPr>
        <w:pStyle w:val="Heading2"/>
        <w:numPr>
          <w:ilvl w:val="0"/>
          <w:numId w:val="16"/>
        </w:numPr>
        <w:tabs>
          <w:tab w:val="left" w:pos="1093"/>
        </w:tabs>
        <w:ind w:left="1093" w:hanging="244"/>
        <w:jc w:val="both"/>
      </w:pPr>
      <w:r>
        <w:t>Dos</w:t>
      </w:r>
      <w:r>
        <w:rPr>
          <w:spacing w:val="-7"/>
        </w:rPr>
        <w:t xml:space="preserve"> </w:t>
      </w:r>
      <w:r>
        <w:t>impactos</w:t>
      </w:r>
      <w:r>
        <w:rPr>
          <w:spacing w:val="-4"/>
        </w:rPr>
        <w:t xml:space="preserve"> </w:t>
      </w:r>
      <w:r>
        <w:t>positivos</w:t>
      </w:r>
      <w:r>
        <w:rPr>
          <w:spacing w:val="-2"/>
        </w:rPr>
        <w:t xml:space="preserve"> </w:t>
      </w:r>
      <w:r>
        <w:t>para</w:t>
      </w:r>
      <w:r>
        <w:rPr>
          <w:spacing w:val="-1"/>
        </w:rPr>
        <w:t xml:space="preserve"> </w:t>
      </w:r>
      <w:r>
        <w:t xml:space="preserve">a </w:t>
      </w:r>
      <w:r>
        <w:rPr>
          <w:spacing w:val="-2"/>
        </w:rPr>
        <w:t>Administração</w:t>
      </w:r>
    </w:p>
    <w:p w:rsidR="007259F2" w:rsidRDefault="00E655B4">
      <w:pPr>
        <w:pStyle w:val="Corpodetexto"/>
        <w:spacing w:before="115"/>
        <w:ind w:right="420"/>
      </w:pPr>
      <w:r>
        <w:t>A realização de contratações na Administração Pública é uma constante, nas mais diversas</w:t>
      </w:r>
      <w:r>
        <w:rPr>
          <w:spacing w:val="-7"/>
        </w:rPr>
        <w:t xml:space="preserve"> </w:t>
      </w:r>
      <w:r>
        <w:t>áreas, falando especificamente</w:t>
      </w:r>
      <w:r>
        <w:rPr>
          <w:spacing w:val="-7"/>
        </w:rPr>
        <w:t xml:space="preserve"> </w:t>
      </w:r>
      <w:r>
        <w:t>do</w:t>
      </w:r>
      <w:r>
        <w:rPr>
          <w:spacing w:val="-2"/>
        </w:rPr>
        <w:t xml:space="preserve"> </w:t>
      </w:r>
      <w:r>
        <w:t>setor</w:t>
      </w:r>
      <w:r>
        <w:rPr>
          <w:spacing w:val="-2"/>
        </w:rPr>
        <w:t xml:space="preserve"> </w:t>
      </w:r>
      <w:r>
        <w:t>ambiental,</w:t>
      </w:r>
      <w:r>
        <w:rPr>
          <w:spacing w:val="-4"/>
        </w:rPr>
        <w:t xml:space="preserve"> </w:t>
      </w:r>
      <w:r>
        <w:t>dentro</w:t>
      </w:r>
      <w:r>
        <w:rPr>
          <w:spacing w:val="-5"/>
        </w:rPr>
        <w:t xml:space="preserve"> </w:t>
      </w:r>
      <w:r>
        <w:t>do âmbito municipal,</w:t>
      </w:r>
      <w:r>
        <w:rPr>
          <w:spacing w:val="-4"/>
        </w:rPr>
        <w:t xml:space="preserve"> </w:t>
      </w:r>
      <w:r>
        <w:t>pode- se</w:t>
      </w:r>
      <w:r>
        <w:rPr>
          <w:spacing w:val="66"/>
        </w:rPr>
        <w:t xml:space="preserve"> </w:t>
      </w:r>
      <w:r>
        <w:t>concluir</w:t>
      </w:r>
      <w:r>
        <w:rPr>
          <w:spacing w:val="68"/>
        </w:rPr>
        <w:t xml:space="preserve"> </w:t>
      </w:r>
      <w:r>
        <w:t>que</w:t>
      </w:r>
      <w:r>
        <w:rPr>
          <w:spacing w:val="68"/>
        </w:rPr>
        <w:t xml:space="preserve"> </w:t>
      </w:r>
      <w:r>
        <w:t>os</w:t>
      </w:r>
      <w:r>
        <w:rPr>
          <w:spacing w:val="69"/>
        </w:rPr>
        <w:t xml:space="preserve"> </w:t>
      </w:r>
      <w:r>
        <w:t>serviços</w:t>
      </w:r>
      <w:r>
        <w:rPr>
          <w:spacing w:val="69"/>
        </w:rPr>
        <w:t xml:space="preserve"> </w:t>
      </w:r>
      <w:r>
        <w:t>por</w:t>
      </w:r>
      <w:r>
        <w:rPr>
          <w:spacing w:val="68"/>
        </w:rPr>
        <w:t xml:space="preserve"> </w:t>
      </w:r>
      <w:r>
        <w:t>ela</w:t>
      </w:r>
      <w:r>
        <w:rPr>
          <w:spacing w:val="68"/>
        </w:rPr>
        <w:t xml:space="preserve"> </w:t>
      </w:r>
      <w:r>
        <w:t>prestados</w:t>
      </w:r>
      <w:r>
        <w:rPr>
          <w:spacing w:val="71"/>
        </w:rPr>
        <w:t xml:space="preserve"> </w:t>
      </w:r>
      <w:r>
        <w:t>a</w:t>
      </w:r>
      <w:r>
        <w:rPr>
          <w:spacing w:val="68"/>
        </w:rPr>
        <w:t xml:space="preserve"> </w:t>
      </w:r>
      <w:r>
        <w:t>municipalidade</w:t>
      </w:r>
      <w:r>
        <w:rPr>
          <w:spacing w:val="67"/>
        </w:rPr>
        <w:t xml:space="preserve"> </w:t>
      </w:r>
      <w:r>
        <w:t>demanda</w:t>
      </w:r>
      <w:r>
        <w:rPr>
          <w:spacing w:val="67"/>
        </w:rPr>
        <w:t xml:space="preserve"> </w:t>
      </w:r>
      <w:r>
        <w:t>uma</w:t>
      </w:r>
      <w:r>
        <w:rPr>
          <w:spacing w:val="68"/>
        </w:rPr>
        <w:t xml:space="preserve"> </w:t>
      </w:r>
      <w:r>
        <w:t>série</w:t>
      </w:r>
      <w:r>
        <w:rPr>
          <w:spacing w:val="68"/>
        </w:rPr>
        <w:t xml:space="preserve"> </w:t>
      </w:r>
      <w:r>
        <w:rPr>
          <w:spacing w:val="-5"/>
        </w:rPr>
        <w:t>de</w:t>
      </w:r>
    </w:p>
    <w:p w:rsidR="007259F2" w:rsidRDefault="007259F2">
      <w:pPr>
        <w:pStyle w:val="Corpodetexto"/>
        <w:sectPr w:rsidR="007259F2">
          <w:pgSz w:w="11910" w:h="16840"/>
          <w:pgMar w:top="1600" w:right="708" w:bottom="1020" w:left="992" w:header="0" w:footer="820" w:gutter="0"/>
          <w:cols w:space="720"/>
        </w:sectPr>
      </w:pPr>
    </w:p>
    <w:p w:rsidR="007259F2" w:rsidRDefault="00E655B4">
      <w:pPr>
        <w:pStyle w:val="Corpodetexto"/>
        <w:spacing w:before="75"/>
        <w:ind w:right="429" w:firstLine="0"/>
      </w:pPr>
      <w:r>
        <w:lastRenderedPageBreak/>
        <w:t>profissionais capacitados, nas mais diversas áreas de conhecimento, biologia, geologia, arquitetura, engenharia, química etc.</w:t>
      </w:r>
    </w:p>
    <w:p w:rsidR="007259F2" w:rsidRDefault="00E655B4">
      <w:pPr>
        <w:pStyle w:val="Corpodetexto"/>
        <w:ind w:right="424"/>
      </w:pPr>
      <w:r>
        <w:t>A</w:t>
      </w:r>
      <w:r>
        <w:rPr>
          <w:spacing w:val="-3"/>
        </w:rPr>
        <w:t xml:space="preserve"> </w:t>
      </w:r>
      <w:r>
        <w:t>proteção</w:t>
      </w:r>
      <w:r>
        <w:rPr>
          <w:spacing w:val="-3"/>
        </w:rPr>
        <w:t xml:space="preserve"> </w:t>
      </w:r>
      <w:r>
        <w:t>do</w:t>
      </w:r>
      <w:r>
        <w:rPr>
          <w:spacing w:val="-3"/>
        </w:rPr>
        <w:t xml:space="preserve"> </w:t>
      </w:r>
      <w:r>
        <w:t>meio</w:t>
      </w:r>
      <w:r>
        <w:rPr>
          <w:spacing w:val="-3"/>
        </w:rPr>
        <w:t xml:space="preserve"> </w:t>
      </w:r>
      <w:r>
        <w:t>ambiente</w:t>
      </w:r>
      <w:r>
        <w:rPr>
          <w:spacing w:val="-3"/>
        </w:rPr>
        <w:t xml:space="preserve"> </w:t>
      </w:r>
      <w:r>
        <w:t>é</w:t>
      </w:r>
      <w:r>
        <w:rPr>
          <w:spacing w:val="-4"/>
        </w:rPr>
        <w:t xml:space="preserve"> </w:t>
      </w:r>
      <w:r>
        <w:t>uma</w:t>
      </w:r>
      <w:r>
        <w:rPr>
          <w:spacing w:val="-2"/>
        </w:rPr>
        <w:t xml:space="preserve"> </w:t>
      </w:r>
      <w:r>
        <w:t>imposição</w:t>
      </w:r>
      <w:r>
        <w:rPr>
          <w:spacing w:val="-3"/>
        </w:rPr>
        <w:t xml:space="preserve"> </w:t>
      </w:r>
      <w:r>
        <w:t>constitucional,</w:t>
      </w:r>
      <w:r>
        <w:rPr>
          <w:spacing w:val="-3"/>
        </w:rPr>
        <w:t xml:space="preserve"> </w:t>
      </w:r>
      <w:r>
        <w:t>que</w:t>
      </w:r>
      <w:r>
        <w:rPr>
          <w:spacing w:val="-3"/>
        </w:rPr>
        <w:t xml:space="preserve"> </w:t>
      </w:r>
      <w:r>
        <w:t>recai</w:t>
      </w:r>
      <w:r>
        <w:rPr>
          <w:spacing w:val="-3"/>
        </w:rPr>
        <w:t xml:space="preserve"> </w:t>
      </w:r>
      <w:r>
        <w:t>sobre</w:t>
      </w:r>
      <w:r>
        <w:rPr>
          <w:spacing w:val="-4"/>
        </w:rPr>
        <w:t xml:space="preserve"> </w:t>
      </w:r>
      <w:r>
        <w:t>todos</w:t>
      </w:r>
      <w:r>
        <w:rPr>
          <w:spacing w:val="-3"/>
        </w:rPr>
        <w:t xml:space="preserve"> </w:t>
      </w:r>
      <w:r>
        <w:t>os entes que compõem a federação, União, Estados, Distrito Federal e Municípios, consoante disposto no art. 23, VI, da CRFB/88:</w:t>
      </w:r>
    </w:p>
    <w:p w:rsidR="007259F2" w:rsidRDefault="00E655B4">
      <w:pPr>
        <w:spacing w:before="232"/>
        <w:ind w:left="2978"/>
        <w:rPr>
          <w:sz w:val="20"/>
        </w:rPr>
      </w:pPr>
      <w:r>
        <w:rPr>
          <w:sz w:val="20"/>
        </w:rPr>
        <w:t>Art.</w:t>
      </w:r>
      <w:r>
        <w:rPr>
          <w:spacing w:val="28"/>
          <w:sz w:val="20"/>
        </w:rPr>
        <w:t xml:space="preserve"> </w:t>
      </w:r>
      <w:r>
        <w:rPr>
          <w:sz w:val="20"/>
        </w:rPr>
        <w:t>23.</w:t>
      </w:r>
      <w:r>
        <w:rPr>
          <w:spacing w:val="28"/>
          <w:sz w:val="20"/>
        </w:rPr>
        <w:t xml:space="preserve"> </w:t>
      </w:r>
      <w:r>
        <w:rPr>
          <w:sz w:val="20"/>
        </w:rPr>
        <w:t>É</w:t>
      </w:r>
      <w:r>
        <w:rPr>
          <w:spacing w:val="28"/>
          <w:sz w:val="20"/>
        </w:rPr>
        <w:t xml:space="preserve"> </w:t>
      </w:r>
      <w:r>
        <w:rPr>
          <w:sz w:val="20"/>
        </w:rPr>
        <w:t>competência</w:t>
      </w:r>
      <w:r>
        <w:rPr>
          <w:spacing w:val="28"/>
          <w:sz w:val="20"/>
        </w:rPr>
        <w:t xml:space="preserve"> </w:t>
      </w:r>
      <w:r>
        <w:rPr>
          <w:sz w:val="20"/>
        </w:rPr>
        <w:t>comum</w:t>
      </w:r>
      <w:r>
        <w:rPr>
          <w:spacing w:val="24"/>
          <w:sz w:val="20"/>
        </w:rPr>
        <w:t xml:space="preserve"> </w:t>
      </w:r>
      <w:r>
        <w:rPr>
          <w:sz w:val="20"/>
        </w:rPr>
        <w:t>da</w:t>
      </w:r>
      <w:r>
        <w:rPr>
          <w:spacing w:val="28"/>
          <w:sz w:val="20"/>
        </w:rPr>
        <w:t xml:space="preserve"> </w:t>
      </w:r>
      <w:r>
        <w:rPr>
          <w:sz w:val="20"/>
        </w:rPr>
        <w:t>União,</w:t>
      </w:r>
      <w:r>
        <w:rPr>
          <w:spacing w:val="28"/>
          <w:sz w:val="20"/>
        </w:rPr>
        <w:t xml:space="preserve"> </w:t>
      </w:r>
      <w:r>
        <w:rPr>
          <w:sz w:val="20"/>
        </w:rPr>
        <w:t>dos</w:t>
      </w:r>
      <w:r>
        <w:rPr>
          <w:spacing w:val="27"/>
          <w:sz w:val="20"/>
        </w:rPr>
        <w:t xml:space="preserve"> </w:t>
      </w:r>
      <w:r>
        <w:rPr>
          <w:sz w:val="20"/>
        </w:rPr>
        <w:t>Estados,</w:t>
      </w:r>
      <w:r>
        <w:rPr>
          <w:spacing w:val="28"/>
          <w:sz w:val="20"/>
        </w:rPr>
        <w:t xml:space="preserve"> </w:t>
      </w:r>
      <w:r>
        <w:rPr>
          <w:sz w:val="20"/>
        </w:rPr>
        <w:t>do</w:t>
      </w:r>
      <w:r>
        <w:rPr>
          <w:spacing w:val="29"/>
          <w:sz w:val="20"/>
        </w:rPr>
        <w:t xml:space="preserve"> </w:t>
      </w:r>
      <w:r>
        <w:rPr>
          <w:sz w:val="20"/>
        </w:rPr>
        <w:t>Distrito</w:t>
      </w:r>
      <w:r>
        <w:rPr>
          <w:spacing w:val="29"/>
          <w:sz w:val="20"/>
        </w:rPr>
        <w:t xml:space="preserve"> </w:t>
      </w:r>
      <w:r>
        <w:rPr>
          <w:sz w:val="20"/>
        </w:rPr>
        <w:t>Federal</w:t>
      </w:r>
      <w:r>
        <w:rPr>
          <w:spacing w:val="28"/>
          <w:sz w:val="20"/>
        </w:rPr>
        <w:t xml:space="preserve"> </w:t>
      </w:r>
      <w:r>
        <w:rPr>
          <w:sz w:val="20"/>
        </w:rPr>
        <w:t>e</w:t>
      </w:r>
      <w:r>
        <w:rPr>
          <w:spacing w:val="26"/>
          <w:sz w:val="20"/>
        </w:rPr>
        <w:t xml:space="preserve"> </w:t>
      </w:r>
      <w:r>
        <w:rPr>
          <w:sz w:val="20"/>
        </w:rPr>
        <w:t xml:space="preserve">dos </w:t>
      </w:r>
      <w:r>
        <w:rPr>
          <w:spacing w:val="-2"/>
          <w:sz w:val="20"/>
        </w:rPr>
        <w:t>Municípios:</w:t>
      </w:r>
    </w:p>
    <w:p w:rsidR="007259F2" w:rsidRDefault="00E655B4">
      <w:pPr>
        <w:spacing w:line="228" w:lineRule="exact"/>
        <w:ind w:left="2978"/>
        <w:rPr>
          <w:sz w:val="20"/>
        </w:rPr>
      </w:pPr>
      <w:r>
        <w:rPr>
          <w:sz w:val="20"/>
        </w:rPr>
        <w:t>VI</w:t>
      </w:r>
      <w:r>
        <w:rPr>
          <w:spacing w:val="-4"/>
          <w:sz w:val="20"/>
        </w:rPr>
        <w:t xml:space="preserve"> </w:t>
      </w:r>
      <w:r>
        <w:rPr>
          <w:sz w:val="20"/>
        </w:rPr>
        <w:t>-</w:t>
      </w:r>
      <w:r>
        <w:rPr>
          <w:spacing w:val="-6"/>
          <w:sz w:val="20"/>
        </w:rPr>
        <w:t xml:space="preserve"> </w:t>
      </w:r>
      <w:r>
        <w:rPr>
          <w:sz w:val="20"/>
        </w:rPr>
        <w:t>proteger</w:t>
      </w:r>
      <w:r>
        <w:rPr>
          <w:spacing w:val="-3"/>
          <w:sz w:val="20"/>
        </w:rPr>
        <w:t xml:space="preserve"> </w:t>
      </w:r>
      <w:r>
        <w:rPr>
          <w:sz w:val="20"/>
        </w:rPr>
        <w:t>o</w:t>
      </w:r>
      <w:r>
        <w:rPr>
          <w:spacing w:val="-3"/>
          <w:sz w:val="20"/>
        </w:rPr>
        <w:t xml:space="preserve"> </w:t>
      </w:r>
      <w:r>
        <w:rPr>
          <w:sz w:val="20"/>
        </w:rPr>
        <w:t>meio</w:t>
      </w:r>
      <w:r>
        <w:rPr>
          <w:spacing w:val="-4"/>
          <w:sz w:val="20"/>
        </w:rPr>
        <w:t xml:space="preserve"> </w:t>
      </w:r>
      <w:r>
        <w:rPr>
          <w:sz w:val="20"/>
        </w:rPr>
        <w:t>ambiente</w:t>
      </w:r>
      <w:r>
        <w:rPr>
          <w:spacing w:val="-2"/>
          <w:sz w:val="20"/>
        </w:rPr>
        <w:t xml:space="preserve"> </w:t>
      </w:r>
      <w:r>
        <w:rPr>
          <w:sz w:val="20"/>
        </w:rPr>
        <w:t>e</w:t>
      </w:r>
      <w:r>
        <w:rPr>
          <w:spacing w:val="-4"/>
          <w:sz w:val="20"/>
        </w:rPr>
        <w:t xml:space="preserve"> </w:t>
      </w:r>
      <w:r>
        <w:rPr>
          <w:sz w:val="20"/>
        </w:rPr>
        <w:t>combater</w:t>
      </w:r>
      <w:r>
        <w:rPr>
          <w:spacing w:val="-4"/>
          <w:sz w:val="20"/>
        </w:rPr>
        <w:t xml:space="preserve"> </w:t>
      </w:r>
      <w:r>
        <w:rPr>
          <w:sz w:val="20"/>
        </w:rPr>
        <w:t>a</w:t>
      </w:r>
      <w:r>
        <w:rPr>
          <w:spacing w:val="-4"/>
          <w:sz w:val="20"/>
        </w:rPr>
        <w:t xml:space="preserve"> </w:t>
      </w:r>
      <w:r>
        <w:rPr>
          <w:sz w:val="20"/>
        </w:rPr>
        <w:t>poluição</w:t>
      </w:r>
      <w:r>
        <w:rPr>
          <w:spacing w:val="-3"/>
          <w:sz w:val="20"/>
        </w:rPr>
        <w:t xml:space="preserve"> </w:t>
      </w:r>
      <w:r>
        <w:rPr>
          <w:sz w:val="20"/>
        </w:rPr>
        <w:t>em</w:t>
      </w:r>
      <w:r>
        <w:rPr>
          <w:spacing w:val="-8"/>
          <w:sz w:val="20"/>
        </w:rPr>
        <w:t xml:space="preserve"> </w:t>
      </w:r>
      <w:r>
        <w:rPr>
          <w:sz w:val="20"/>
        </w:rPr>
        <w:t>qualquer</w:t>
      </w:r>
      <w:r>
        <w:rPr>
          <w:spacing w:val="-4"/>
          <w:sz w:val="20"/>
        </w:rPr>
        <w:t xml:space="preserve"> </w:t>
      </w:r>
      <w:r>
        <w:rPr>
          <w:sz w:val="20"/>
        </w:rPr>
        <w:t>de</w:t>
      </w:r>
      <w:r>
        <w:rPr>
          <w:spacing w:val="-4"/>
          <w:sz w:val="20"/>
        </w:rPr>
        <w:t xml:space="preserve"> </w:t>
      </w:r>
      <w:r>
        <w:rPr>
          <w:sz w:val="20"/>
        </w:rPr>
        <w:t>suas</w:t>
      </w:r>
      <w:r>
        <w:rPr>
          <w:spacing w:val="-2"/>
          <w:sz w:val="20"/>
        </w:rPr>
        <w:t xml:space="preserve"> formas;</w:t>
      </w:r>
    </w:p>
    <w:p w:rsidR="007259F2" w:rsidRDefault="007259F2">
      <w:pPr>
        <w:pStyle w:val="Corpodetexto"/>
        <w:spacing w:before="45"/>
        <w:ind w:left="0" w:firstLine="0"/>
        <w:jc w:val="left"/>
        <w:rPr>
          <w:sz w:val="20"/>
        </w:rPr>
      </w:pPr>
    </w:p>
    <w:p w:rsidR="007259F2" w:rsidRDefault="00E655B4">
      <w:pPr>
        <w:pStyle w:val="Corpodetexto"/>
        <w:ind w:right="430"/>
      </w:pPr>
      <w:r>
        <w:t>Corriqueiramente há a necessidade de realizar manutenções nos parques municipais, desapropriações de parques públicos, a fim de garantir a utilização plena dos bens de uso comum do povo.</w:t>
      </w:r>
    </w:p>
    <w:p w:rsidR="007259F2" w:rsidRDefault="00E655B4">
      <w:pPr>
        <w:pStyle w:val="Corpodetexto"/>
        <w:spacing w:before="1"/>
        <w:ind w:right="421"/>
      </w:pPr>
      <w:r>
        <w:t>A implantação de suas políticas pública demanda a atualização de suas técnicas, a fim de que o serviço por ela prestado permaneça atual e refletindo as constantes mudanças das técnicas utilizadas no manejo de exemplares arbóreos, no cuidado com a fauna e flora locais,na implantação de parques municipais, dentre outras atribuições que lhe competem, decorrentes dos avanços das pesquisas cientificas.</w:t>
      </w:r>
    </w:p>
    <w:p w:rsidR="007259F2" w:rsidRDefault="00E655B4">
      <w:pPr>
        <w:pStyle w:val="Corpodetexto"/>
        <w:ind w:right="425"/>
      </w:pPr>
      <w:r>
        <w:t>Atualmente está em vigor o Plano de Metas 2021-2024, nele contemplada meta 63,</w:t>
      </w:r>
      <w:r>
        <w:rPr>
          <w:spacing w:val="40"/>
        </w:rPr>
        <w:t xml:space="preserve"> </w:t>
      </w:r>
      <w:r>
        <w:t>que cuida da implantação de duas unidades de conservação, tendo por iniciativas:</w:t>
      </w:r>
    </w:p>
    <w:p w:rsidR="007259F2" w:rsidRDefault="00E655B4">
      <w:pPr>
        <w:pStyle w:val="PargrafodaLista"/>
        <w:numPr>
          <w:ilvl w:val="1"/>
          <w:numId w:val="16"/>
        </w:numPr>
        <w:tabs>
          <w:tab w:val="left" w:pos="3369"/>
        </w:tabs>
        <w:spacing w:before="275"/>
        <w:rPr>
          <w:sz w:val="20"/>
        </w:rPr>
      </w:pPr>
      <w:r>
        <w:rPr>
          <w:sz w:val="20"/>
        </w:rPr>
        <w:t>Implantar</w:t>
      </w:r>
      <w:r>
        <w:rPr>
          <w:spacing w:val="-13"/>
          <w:sz w:val="20"/>
        </w:rPr>
        <w:t xml:space="preserve"> </w:t>
      </w:r>
      <w:r>
        <w:rPr>
          <w:sz w:val="20"/>
        </w:rPr>
        <w:t>duas</w:t>
      </w:r>
      <w:r>
        <w:rPr>
          <w:spacing w:val="-10"/>
          <w:sz w:val="20"/>
        </w:rPr>
        <w:t xml:space="preserve"> </w:t>
      </w:r>
      <w:r>
        <w:rPr>
          <w:sz w:val="20"/>
        </w:rPr>
        <w:t>Unidades</w:t>
      </w:r>
      <w:r>
        <w:rPr>
          <w:spacing w:val="-12"/>
          <w:sz w:val="20"/>
        </w:rPr>
        <w:t xml:space="preserve"> </w:t>
      </w:r>
      <w:r>
        <w:rPr>
          <w:sz w:val="20"/>
        </w:rPr>
        <w:t>de</w:t>
      </w:r>
      <w:r>
        <w:rPr>
          <w:spacing w:val="-12"/>
          <w:sz w:val="20"/>
        </w:rPr>
        <w:t xml:space="preserve"> </w:t>
      </w:r>
      <w:r>
        <w:rPr>
          <w:spacing w:val="-2"/>
          <w:sz w:val="20"/>
        </w:rPr>
        <w:t>Conservação;</w:t>
      </w:r>
    </w:p>
    <w:p w:rsidR="007259F2" w:rsidRDefault="00E655B4">
      <w:pPr>
        <w:pStyle w:val="PargrafodaLista"/>
        <w:numPr>
          <w:ilvl w:val="1"/>
          <w:numId w:val="16"/>
        </w:numPr>
        <w:tabs>
          <w:tab w:val="left" w:pos="3367"/>
          <w:tab w:val="left" w:pos="3369"/>
          <w:tab w:val="left" w:pos="4041"/>
          <w:tab w:val="left" w:pos="4526"/>
          <w:tab w:val="left" w:pos="5265"/>
          <w:tab w:val="left" w:pos="6120"/>
          <w:tab w:val="left" w:pos="6792"/>
          <w:tab w:val="left" w:pos="7656"/>
          <w:tab w:val="left" w:pos="8530"/>
          <w:tab w:val="left" w:pos="9591"/>
        </w:tabs>
        <w:ind w:right="422"/>
        <w:rPr>
          <w:sz w:val="20"/>
        </w:rPr>
      </w:pPr>
      <w:r>
        <w:rPr>
          <w:spacing w:val="-2"/>
          <w:sz w:val="20"/>
        </w:rPr>
        <w:t>Abrir</w:t>
      </w:r>
      <w:r>
        <w:rPr>
          <w:sz w:val="20"/>
        </w:rPr>
        <w:tab/>
      </w:r>
      <w:r>
        <w:rPr>
          <w:spacing w:val="-6"/>
          <w:sz w:val="20"/>
        </w:rPr>
        <w:t>em</w:t>
      </w:r>
      <w:r>
        <w:rPr>
          <w:sz w:val="20"/>
        </w:rPr>
        <w:tab/>
      </w:r>
      <w:r>
        <w:rPr>
          <w:spacing w:val="-4"/>
          <w:sz w:val="20"/>
        </w:rPr>
        <w:t>tempo</w:t>
      </w:r>
      <w:r>
        <w:rPr>
          <w:sz w:val="20"/>
        </w:rPr>
        <w:tab/>
      </w:r>
      <w:r>
        <w:rPr>
          <w:spacing w:val="-2"/>
          <w:sz w:val="20"/>
        </w:rPr>
        <w:t>integral</w:t>
      </w:r>
      <w:r>
        <w:rPr>
          <w:sz w:val="20"/>
        </w:rPr>
        <w:tab/>
      </w:r>
      <w:r>
        <w:rPr>
          <w:spacing w:val="-4"/>
          <w:sz w:val="20"/>
        </w:rPr>
        <w:t>cinco</w:t>
      </w:r>
      <w:r>
        <w:rPr>
          <w:sz w:val="20"/>
        </w:rPr>
        <w:tab/>
      </w:r>
      <w:r>
        <w:rPr>
          <w:spacing w:val="-2"/>
          <w:sz w:val="20"/>
        </w:rPr>
        <w:t>parques</w:t>
      </w:r>
      <w:r>
        <w:rPr>
          <w:sz w:val="20"/>
        </w:rPr>
        <w:tab/>
      </w:r>
      <w:r>
        <w:rPr>
          <w:spacing w:val="-2"/>
          <w:sz w:val="20"/>
        </w:rPr>
        <w:t>naturais</w:t>
      </w:r>
      <w:r>
        <w:rPr>
          <w:sz w:val="20"/>
        </w:rPr>
        <w:tab/>
      </w:r>
      <w:r>
        <w:rPr>
          <w:spacing w:val="-2"/>
          <w:sz w:val="20"/>
        </w:rPr>
        <w:t>(Unidades</w:t>
      </w:r>
      <w:r>
        <w:rPr>
          <w:sz w:val="20"/>
        </w:rPr>
        <w:tab/>
      </w:r>
      <w:r>
        <w:rPr>
          <w:spacing w:val="-6"/>
          <w:sz w:val="20"/>
        </w:rPr>
        <w:t xml:space="preserve">de </w:t>
      </w:r>
      <w:r>
        <w:rPr>
          <w:spacing w:val="-2"/>
          <w:sz w:val="20"/>
        </w:rPr>
        <w:t>Conservação);</w:t>
      </w:r>
    </w:p>
    <w:p w:rsidR="007259F2" w:rsidRDefault="00E655B4">
      <w:pPr>
        <w:pStyle w:val="PargrafodaLista"/>
        <w:numPr>
          <w:ilvl w:val="1"/>
          <w:numId w:val="16"/>
        </w:numPr>
        <w:tabs>
          <w:tab w:val="left" w:pos="3369"/>
        </w:tabs>
        <w:spacing w:before="2"/>
        <w:ind w:right="425"/>
        <w:rPr>
          <w:sz w:val="20"/>
        </w:rPr>
      </w:pPr>
      <w:r>
        <w:rPr>
          <w:sz w:val="20"/>
        </w:rPr>
        <w:t>Revisar</w:t>
      </w:r>
      <w:r>
        <w:rPr>
          <w:spacing w:val="40"/>
          <w:sz w:val="20"/>
        </w:rPr>
        <w:t xml:space="preserve"> </w:t>
      </w:r>
      <w:r>
        <w:rPr>
          <w:sz w:val="20"/>
        </w:rPr>
        <w:t>e/ou</w:t>
      </w:r>
      <w:r>
        <w:rPr>
          <w:spacing w:val="40"/>
          <w:sz w:val="20"/>
        </w:rPr>
        <w:t xml:space="preserve"> </w:t>
      </w:r>
      <w:r>
        <w:rPr>
          <w:sz w:val="20"/>
        </w:rPr>
        <w:t>elaborar</w:t>
      </w:r>
      <w:r>
        <w:rPr>
          <w:spacing w:val="40"/>
          <w:sz w:val="20"/>
        </w:rPr>
        <w:t xml:space="preserve"> </w:t>
      </w:r>
      <w:r>
        <w:rPr>
          <w:sz w:val="20"/>
        </w:rPr>
        <w:t>os</w:t>
      </w:r>
      <w:r>
        <w:rPr>
          <w:spacing w:val="40"/>
          <w:sz w:val="20"/>
        </w:rPr>
        <w:t xml:space="preserve"> </w:t>
      </w:r>
      <w:r>
        <w:rPr>
          <w:sz w:val="20"/>
        </w:rPr>
        <w:t>Planos</w:t>
      </w:r>
      <w:r>
        <w:rPr>
          <w:spacing w:val="40"/>
          <w:sz w:val="20"/>
        </w:rPr>
        <w:t xml:space="preserve"> </w:t>
      </w:r>
      <w:r>
        <w:rPr>
          <w:sz w:val="20"/>
        </w:rPr>
        <w:t>de</w:t>
      </w:r>
      <w:r>
        <w:rPr>
          <w:spacing w:val="40"/>
          <w:sz w:val="20"/>
        </w:rPr>
        <w:t xml:space="preserve"> </w:t>
      </w:r>
      <w:r>
        <w:rPr>
          <w:sz w:val="20"/>
        </w:rPr>
        <w:t>Manejo</w:t>
      </w:r>
      <w:r>
        <w:rPr>
          <w:spacing w:val="40"/>
          <w:sz w:val="20"/>
        </w:rPr>
        <w:t xml:space="preserve"> </w:t>
      </w:r>
      <w:r>
        <w:rPr>
          <w:sz w:val="20"/>
        </w:rPr>
        <w:t>das</w:t>
      </w:r>
      <w:r>
        <w:rPr>
          <w:spacing w:val="40"/>
          <w:sz w:val="20"/>
        </w:rPr>
        <w:t xml:space="preserve"> </w:t>
      </w:r>
      <w:r>
        <w:rPr>
          <w:sz w:val="20"/>
        </w:rPr>
        <w:t>Unidades</w:t>
      </w:r>
      <w:r>
        <w:rPr>
          <w:spacing w:val="40"/>
          <w:sz w:val="20"/>
        </w:rPr>
        <w:t xml:space="preserve"> </w:t>
      </w:r>
      <w:r>
        <w:rPr>
          <w:sz w:val="20"/>
        </w:rPr>
        <w:t>de</w:t>
      </w:r>
      <w:r>
        <w:rPr>
          <w:spacing w:val="40"/>
          <w:sz w:val="20"/>
        </w:rPr>
        <w:t xml:space="preserve"> </w:t>
      </w:r>
      <w:r>
        <w:rPr>
          <w:sz w:val="20"/>
        </w:rPr>
        <w:t>Conservação (PDM, 2021, p. 94)</w:t>
      </w:r>
    </w:p>
    <w:p w:rsidR="007259F2" w:rsidRDefault="00E655B4">
      <w:pPr>
        <w:pStyle w:val="Corpodetexto"/>
        <w:spacing w:before="227"/>
        <w:ind w:right="420"/>
      </w:pPr>
      <w:r>
        <w:t>Seu objetivo estratégico é: “Proteger, recuperar e aprimorar a qualidade ambiental do Município e promover a utilização sustentável do espaço público.”</w:t>
      </w:r>
    </w:p>
    <w:p w:rsidR="007259F2" w:rsidRDefault="00E655B4">
      <w:pPr>
        <w:pStyle w:val="Corpodetexto"/>
        <w:ind w:right="423"/>
      </w:pPr>
      <w:r>
        <w:t>Nesse sentido, visando contratações futuras, o diálogo competitivo pode encontrar sua aplicabilidade,</w:t>
      </w:r>
      <w:r>
        <w:rPr>
          <w:spacing w:val="-4"/>
        </w:rPr>
        <w:t xml:space="preserve"> </w:t>
      </w:r>
      <w:r>
        <w:t>na</w:t>
      </w:r>
      <w:r>
        <w:rPr>
          <w:spacing w:val="-9"/>
        </w:rPr>
        <w:t xml:space="preserve"> </w:t>
      </w:r>
      <w:r>
        <w:t>medida</w:t>
      </w:r>
      <w:r>
        <w:rPr>
          <w:spacing w:val="-10"/>
        </w:rPr>
        <w:t xml:space="preserve"> </w:t>
      </w:r>
      <w:r>
        <w:t>que,</w:t>
      </w:r>
      <w:r>
        <w:rPr>
          <w:spacing w:val="-9"/>
        </w:rPr>
        <w:t xml:space="preserve"> </w:t>
      </w:r>
      <w:r>
        <w:t>observados</w:t>
      </w:r>
      <w:r>
        <w:rPr>
          <w:spacing w:val="-13"/>
        </w:rPr>
        <w:t xml:space="preserve"> </w:t>
      </w:r>
      <w:r>
        <w:t>os</w:t>
      </w:r>
      <w:r>
        <w:rPr>
          <w:spacing w:val="-13"/>
        </w:rPr>
        <w:t xml:space="preserve"> </w:t>
      </w:r>
      <w:r>
        <w:t>requisitos</w:t>
      </w:r>
      <w:r>
        <w:rPr>
          <w:spacing w:val="-12"/>
        </w:rPr>
        <w:t xml:space="preserve"> </w:t>
      </w:r>
      <w:r>
        <w:t>e</w:t>
      </w:r>
      <w:r>
        <w:rPr>
          <w:spacing w:val="-14"/>
        </w:rPr>
        <w:t xml:space="preserve"> </w:t>
      </w:r>
      <w:r>
        <w:t>elementos</w:t>
      </w:r>
      <w:r>
        <w:rPr>
          <w:spacing w:val="-12"/>
        </w:rPr>
        <w:t xml:space="preserve"> </w:t>
      </w:r>
      <w:r>
        <w:t>próprios</w:t>
      </w:r>
      <w:r>
        <w:rPr>
          <w:spacing w:val="-12"/>
        </w:rPr>
        <w:t xml:space="preserve"> </w:t>
      </w:r>
      <w:r>
        <w:t>dessa</w:t>
      </w:r>
      <w:r>
        <w:rPr>
          <w:spacing w:val="-9"/>
        </w:rPr>
        <w:t xml:space="preserve"> </w:t>
      </w:r>
      <w:r>
        <w:t>modalidade licitatória,</w:t>
      </w:r>
      <w:r>
        <w:rPr>
          <w:spacing w:val="-1"/>
        </w:rPr>
        <w:t xml:space="preserve"> </w:t>
      </w:r>
      <w:r>
        <w:t>a</w:t>
      </w:r>
      <w:r>
        <w:rPr>
          <w:spacing w:val="-3"/>
        </w:rPr>
        <w:t xml:space="preserve"> </w:t>
      </w:r>
      <w:r>
        <w:t>inovação tecnológica</w:t>
      </w:r>
      <w:r>
        <w:rPr>
          <w:spacing w:val="-2"/>
        </w:rPr>
        <w:t xml:space="preserve"> </w:t>
      </w:r>
      <w:r>
        <w:t>ou</w:t>
      </w:r>
      <w:r>
        <w:rPr>
          <w:spacing w:val="-8"/>
        </w:rPr>
        <w:t xml:space="preserve"> </w:t>
      </w:r>
      <w:r>
        <w:t>técnica</w:t>
      </w:r>
      <w:r>
        <w:rPr>
          <w:spacing w:val="-2"/>
        </w:rPr>
        <w:t xml:space="preserve"> </w:t>
      </w:r>
      <w:r>
        <w:t>evidenciada,</w:t>
      </w:r>
      <w:r>
        <w:rPr>
          <w:spacing w:val="-1"/>
        </w:rPr>
        <w:t xml:space="preserve"> </w:t>
      </w:r>
      <w:r>
        <w:t>da</w:t>
      </w:r>
      <w:r>
        <w:rPr>
          <w:spacing w:val="-3"/>
        </w:rPr>
        <w:t xml:space="preserve"> </w:t>
      </w:r>
      <w:r>
        <w:t>qual</w:t>
      </w:r>
      <w:r>
        <w:rPr>
          <w:spacing w:val="-10"/>
        </w:rPr>
        <w:t xml:space="preserve"> </w:t>
      </w:r>
      <w:r>
        <w:t>a Administração não</w:t>
      </w:r>
      <w:r>
        <w:rPr>
          <w:spacing w:val="-1"/>
        </w:rPr>
        <w:t xml:space="preserve"> </w:t>
      </w:r>
      <w:r>
        <w:t>possua o satisfatório conhecimento, pode ser utilizada como meio de viabilizar planos de fomento e cumprimento de suas metas institucionais, que, em muitos aspectos dependerão de um aprimoramento das técnicas utilizadas, as quais, nem sempre, estarão dentro da esfera de expertise da Administração.</w:t>
      </w:r>
    </w:p>
    <w:p w:rsidR="007259F2" w:rsidRDefault="00E655B4">
      <w:pPr>
        <w:pStyle w:val="Corpodetexto"/>
        <w:ind w:right="420"/>
      </w:pPr>
      <w:r>
        <w:t>Para tanto, o Decreto Municipal 62.100/21, que regulamenta a aplicação da Lei 14.133/21</w:t>
      </w:r>
      <w:r>
        <w:rPr>
          <w:spacing w:val="-13"/>
        </w:rPr>
        <w:t xml:space="preserve"> </w:t>
      </w:r>
      <w:r>
        <w:t>no</w:t>
      </w:r>
      <w:r>
        <w:rPr>
          <w:spacing w:val="-8"/>
        </w:rPr>
        <w:t xml:space="preserve"> </w:t>
      </w:r>
      <w:r>
        <w:t>âmbito</w:t>
      </w:r>
      <w:r>
        <w:rPr>
          <w:spacing w:val="-7"/>
        </w:rPr>
        <w:t xml:space="preserve"> </w:t>
      </w:r>
      <w:r>
        <w:t>municipal,</w:t>
      </w:r>
      <w:r>
        <w:rPr>
          <w:spacing w:val="-12"/>
        </w:rPr>
        <w:t xml:space="preserve"> </w:t>
      </w:r>
      <w:r>
        <w:t>ainda</w:t>
      </w:r>
      <w:r>
        <w:rPr>
          <w:spacing w:val="-15"/>
        </w:rPr>
        <w:t xml:space="preserve"> </w:t>
      </w:r>
      <w:r>
        <w:t>que</w:t>
      </w:r>
      <w:r>
        <w:rPr>
          <w:spacing w:val="-15"/>
        </w:rPr>
        <w:t xml:space="preserve"> </w:t>
      </w:r>
      <w:r>
        <w:t>não</w:t>
      </w:r>
      <w:r>
        <w:rPr>
          <w:spacing w:val="-8"/>
        </w:rPr>
        <w:t xml:space="preserve"> </w:t>
      </w:r>
      <w:r>
        <w:t>chegue</w:t>
      </w:r>
      <w:r>
        <w:rPr>
          <w:spacing w:val="-15"/>
        </w:rPr>
        <w:t xml:space="preserve"> </w:t>
      </w:r>
      <w:r>
        <w:t>a</w:t>
      </w:r>
      <w:r>
        <w:rPr>
          <w:spacing w:val="-14"/>
        </w:rPr>
        <w:t xml:space="preserve"> </w:t>
      </w:r>
      <w:r>
        <w:t>regular</w:t>
      </w:r>
      <w:r>
        <w:rPr>
          <w:spacing w:val="-13"/>
        </w:rPr>
        <w:t xml:space="preserve"> </w:t>
      </w:r>
      <w:r>
        <w:t>o</w:t>
      </w:r>
      <w:r>
        <w:rPr>
          <w:spacing w:val="-8"/>
        </w:rPr>
        <w:t xml:space="preserve"> </w:t>
      </w:r>
      <w:r>
        <w:t>diálogo</w:t>
      </w:r>
      <w:r>
        <w:rPr>
          <w:spacing w:val="-8"/>
        </w:rPr>
        <w:t xml:space="preserve"> </w:t>
      </w:r>
      <w:r>
        <w:t>competitivo,</w:t>
      </w:r>
      <w:r>
        <w:rPr>
          <w:spacing w:val="-14"/>
        </w:rPr>
        <w:t xml:space="preserve"> </w:t>
      </w:r>
      <w:r>
        <w:t>o</w:t>
      </w:r>
      <w:r>
        <w:rPr>
          <w:spacing w:val="-8"/>
        </w:rPr>
        <w:t xml:space="preserve"> </w:t>
      </w:r>
      <w:r>
        <w:t>elenca como uma das modalidades de licitação, conforme inserto no inciso V, do art. 37 do Decreto Municipal em comento.</w:t>
      </w:r>
    </w:p>
    <w:p w:rsidR="007259F2" w:rsidRDefault="00E655B4">
      <w:pPr>
        <w:pStyle w:val="Corpodetexto"/>
        <w:spacing w:before="1"/>
        <w:ind w:right="422"/>
      </w:pPr>
      <w:r>
        <w:t>De</w:t>
      </w:r>
      <w:r>
        <w:rPr>
          <w:spacing w:val="-3"/>
        </w:rPr>
        <w:t xml:space="preserve"> </w:t>
      </w:r>
      <w:r>
        <w:t>tal</w:t>
      </w:r>
      <w:r>
        <w:rPr>
          <w:spacing w:val="-3"/>
        </w:rPr>
        <w:t xml:space="preserve"> </w:t>
      </w:r>
      <w:r>
        <w:t>sorte, dentro das atribuições materiais e legislativas do ente municipal, verifica- se que o diálogo competitivo pode se tornar uma realidade.</w:t>
      </w:r>
    </w:p>
    <w:p w:rsidR="007259F2" w:rsidRDefault="00E655B4">
      <w:pPr>
        <w:pStyle w:val="Heading2"/>
        <w:numPr>
          <w:ilvl w:val="0"/>
          <w:numId w:val="16"/>
        </w:numPr>
        <w:tabs>
          <w:tab w:val="left" w:pos="1208"/>
        </w:tabs>
        <w:spacing w:before="206"/>
        <w:ind w:left="1208" w:hanging="359"/>
        <w:jc w:val="both"/>
      </w:pPr>
      <w:r>
        <w:rPr>
          <w:spacing w:val="-2"/>
        </w:rPr>
        <w:t>Conclusão</w:t>
      </w:r>
    </w:p>
    <w:p w:rsidR="007259F2" w:rsidRDefault="00E655B4">
      <w:pPr>
        <w:pStyle w:val="Corpodetexto"/>
        <w:spacing w:before="116"/>
        <w:ind w:right="419"/>
      </w:pPr>
      <w:r>
        <w:t>Ao longo dos estudos feitos, constatou-se que o instituto em voga pode ser muito útil no fomento de novas técnicas e tecnologias pela Administração Pública.</w:t>
      </w:r>
    </w:p>
    <w:p w:rsidR="007259F2" w:rsidRDefault="00E655B4">
      <w:pPr>
        <w:pStyle w:val="Corpodetexto"/>
        <w:ind w:right="429"/>
      </w:pPr>
      <w:r>
        <w:t>Há, no entanto, desafios a serem superados a fim de estimular a adoção desse novo instituto para as compras e contratações a serem realizadas pela Administração, tais quais a possível morosidade procedimental decorrente das fases de sua tramitação, especialmente na fase de diálogo, a qual poderá ocorrer sucessivamente até que a Administração obtenha a solução, ou soluções de mercado que melhor atendam suas expectativas.</w:t>
      </w:r>
    </w:p>
    <w:p w:rsidR="007259F2" w:rsidRDefault="007259F2">
      <w:pPr>
        <w:pStyle w:val="Corpodetexto"/>
        <w:sectPr w:rsidR="007259F2">
          <w:pgSz w:w="11910" w:h="16840"/>
          <w:pgMar w:top="1600" w:right="708" w:bottom="1020" w:left="992" w:header="0" w:footer="820" w:gutter="0"/>
          <w:cols w:space="720"/>
        </w:sectPr>
      </w:pPr>
    </w:p>
    <w:p w:rsidR="007259F2" w:rsidRDefault="00E655B4">
      <w:pPr>
        <w:pStyle w:val="Corpodetexto"/>
        <w:spacing w:before="75"/>
        <w:ind w:right="421"/>
      </w:pPr>
      <w:r>
        <w:lastRenderedPageBreak/>
        <w:t>O instituto necessita, ainda, de maior regulamentação, na medida que as diretrizes dadas</w:t>
      </w:r>
      <w:r>
        <w:rPr>
          <w:spacing w:val="-15"/>
        </w:rPr>
        <w:t xml:space="preserve"> </w:t>
      </w:r>
      <w:r>
        <w:t>na</w:t>
      </w:r>
      <w:r>
        <w:rPr>
          <w:spacing w:val="-15"/>
        </w:rPr>
        <w:t xml:space="preserve"> </w:t>
      </w:r>
      <w:r>
        <w:t>Lei</w:t>
      </w:r>
      <w:r>
        <w:rPr>
          <w:spacing w:val="-15"/>
        </w:rPr>
        <w:t xml:space="preserve"> </w:t>
      </w:r>
      <w:r>
        <w:t>14.133/21</w:t>
      </w:r>
      <w:r>
        <w:rPr>
          <w:spacing w:val="-15"/>
        </w:rPr>
        <w:t xml:space="preserve"> </w:t>
      </w:r>
      <w:r>
        <w:t>carecem</w:t>
      </w:r>
      <w:r>
        <w:rPr>
          <w:spacing w:val="-15"/>
        </w:rPr>
        <w:t xml:space="preserve"> </w:t>
      </w:r>
      <w:r>
        <w:t>de</w:t>
      </w:r>
      <w:r>
        <w:rPr>
          <w:spacing w:val="-15"/>
        </w:rPr>
        <w:t xml:space="preserve"> </w:t>
      </w:r>
      <w:r>
        <w:t>implemento</w:t>
      </w:r>
      <w:r>
        <w:rPr>
          <w:spacing w:val="-15"/>
        </w:rPr>
        <w:t xml:space="preserve"> </w:t>
      </w:r>
      <w:r>
        <w:t>para</w:t>
      </w:r>
      <w:r>
        <w:rPr>
          <w:spacing w:val="-15"/>
        </w:rPr>
        <w:t xml:space="preserve"> </w:t>
      </w:r>
      <w:r>
        <w:t>melhor</w:t>
      </w:r>
      <w:r>
        <w:rPr>
          <w:spacing w:val="-15"/>
        </w:rPr>
        <w:t xml:space="preserve"> </w:t>
      </w:r>
      <w:r>
        <w:t>compatibilização</w:t>
      </w:r>
      <w:r>
        <w:rPr>
          <w:spacing w:val="-15"/>
        </w:rPr>
        <w:t xml:space="preserve"> </w:t>
      </w:r>
      <w:r>
        <w:t>e</w:t>
      </w:r>
      <w:r>
        <w:rPr>
          <w:spacing w:val="-15"/>
        </w:rPr>
        <w:t xml:space="preserve"> </w:t>
      </w:r>
      <w:r>
        <w:t>utilização</w:t>
      </w:r>
      <w:r>
        <w:rPr>
          <w:spacing w:val="-15"/>
        </w:rPr>
        <w:t xml:space="preserve"> </w:t>
      </w:r>
      <w:r>
        <w:t>pelos setores</w:t>
      </w:r>
      <w:r>
        <w:rPr>
          <w:spacing w:val="-8"/>
        </w:rPr>
        <w:t xml:space="preserve"> </w:t>
      </w:r>
      <w:r>
        <w:t>públicos,</w:t>
      </w:r>
      <w:r>
        <w:rPr>
          <w:spacing w:val="-3"/>
        </w:rPr>
        <w:t xml:space="preserve"> </w:t>
      </w:r>
      <w:r>
        <w:t>o</w:t>
      </w:r>
      <w:r>
        <w:rPr>
          <w:spacing w:val="-1"/>
        </w:rPr>
        <w:t xml:space="preserve"> </w:t>
      </w:r>
      <w:r>
        <w:t>que</w:t>
      </w:r>
      <w:r>
        <w:rPr>
          <w:spacing w:val="-11"/>
        </w:rPr>
        <w:t xml:space="preserve"> </w:t>
      </w:r>
      <w:r>
        <w:t>pode</w:t>
      </w:r>
      <w:r>
        <w:rPr>
          <w:spacing w:val="-7"/>
        </w:rPr>
        <w:t xml:space="preserve"> </w:t>
      </w:r>
      <w:r>
        <w:t>gerar</w:t>
      </w:r>
      <w:r>
        <w:rPr>
          <w:spacing w:val="-6"/>
        </w:rPr>
        <w:t xml:space="preserve"> </w:t>
      </w:r>
      <w:r>
        <w:t>certo</w:t>
      </w:r>
      <w:r>
        <w:rPr>
          <w:spacing w:val="-6"/>
        </w:rPr>
        <w:t xml:space="preserve"> </w:t>
      </w:r>
      <w:r>
        <w:t>temor</w:t>
      </w:r>
      <w:r>
        <w:rPr>
          <w:spacing w:val="-4"/>
        </w:rPr>
        <w:t xml:space="preserve"> </w:t>
      </w:r>
      <w:r>
        <w:t>dos</w:t>
      </w:r>
      <w:r>
        <w:rPr>
          <w:spacing w:val="-10"/>
        </w:rPr>
        <w:t xml:space="preserve"> </w:t>
      </w:r>
      <w:r>
        <w:t>administradores</w:t>
      </w:r>
      <w:r>
        <w:rPr>
          <w:spacing w:val="-5"/>
        </w:rPr>
        <w:t xml:space="preserve"> </w:t>
      </w:r>
      <w:r>
        <w:t>em</w:t>
      </w:r>
      <w:r>
        <w:rPr>
          <w:spacing w:val="-15"/>
        </w:rPr>
        <w:t xml:space="preserve"> </w:t>
      </w:r>
      <w:r>
        <w:t>adotá-lo,</w:t>
      </w:r>
      <w:r>
        <w:rPr>
          <w:spacing w:val="-8"/>
        </w:rPr>
        <w:t xml:space="preserve"> </w:t>
      </w:r>
      <w:r>
        <w:t>tendo</w:t>
      </w:r>
      <w:r>
        <w:rPr>
          <w:spacing w:val="-6"/>
        </w:rPr>
        <w:t xml:space="preserve"> </w:t>
      </w:r>
      <w:r>
        <w:t>em</w:t>
      </w:r>
      <w:r>
        <w:rPr>
          <w:spacing w:val="-10"/>
        </w:rPr>
        <w:t xml:space="preserve"> </w:t>
      </w:r>
      <w:r>
        <w:t>vista a fiscalização exercida pelos órgãos de contas.</w:t>
      </w:r>
    </w:p>
    <w:p w:rsidR="007259F2" w:rsidRDefault="00E655B4">
      <w:pPr>
        <w:pStyle w:val="Corpodetexto"/>
        <w:ind w:right="419"/>
      </w:pPr>
      <w:r>
        <w:t>Possíveis soluções poderiam de dar por meio da atuação legislativa de cada ente federativo,</w:t>
      </w:r>
      <w:r>
        <w:rPr>
          <w:spacing w:val="-5"/>
        </w:rPr>
        <w:t xml:space="preserve"> </w:t>
      </w:r>
      <w:r>
        <w:t>através</w:t>
      </w:r>
      <w:r>
        <w:rPr>
          <w:spacing w:val="-5"/>
        </w:rPr>
        <w:t xml:space="preserve"> </w:t>
      </w:r>
      <w:r>
        <w:t>da</w:t>
      </w:r>
      <w:r>
        <w:rPr>
          <w:spacing w:val="-3"/>
        </w:rPr>
        <w:t xml:space="preserve"> </w:t>
      </w:r>
      <w:r>
        <w:t>expedição de</w:t>
      </w:r>
      <w:r>
        <w:rPr>
          <w:spacing w:val="-6"/>
        </w:rPr>
        <w:t xml:space="preserve"> </w:t>
      </w:r>
      <w:r>
        <w:t>normas</w:t>
      </w:r>
      <w:r>
        <w:rPr>
          <w:spacing w:val="-5"/>
        </w:rPr>
        <w:t xml:space="preserve"> </w:t>
      </w:r>
      <w:r>
        <w:t>regulamentadoras</w:t>
      </w:r>
      <w:r>
        <w:rPr>
          <w:spacing w:val="-2"/>
        </w:rPr>
        <w:t xml:space="preserve"> </w:t>
      </w:r>
      <w:r>
        <w:t>e</w:t>
      </w:r>
      <w:r>
        <w:rPr>
          <w:spacing w:val="-6"/>
        </w:rPr>
        <w:t xml:space="preserve"> </w:t>
      </w:r>
      <w:r>
        <w:t>suplementares</w:t>
      </w:r>
      <w:r>
        <w:rPr>
          <w:spacing w:val="-4"/>
        </w:rPr>
        <w:t xml:space="preserve"> </w:t>
      </w:r>
      <w:r>
        <w:t>do instituto que propiciem maior segurança em sua utilização, bem como possam contribuir para a celeridade do procedimento.</w:t>
      </w:r>
    </w:p>
    <w:p w:rsidR="007259F2" w:rsidRDefault="00E655B4">
      <w:pPr>
        <w:pStyle w:val="Corpodetexto"/>
        <w:ind w:right="422"/>
      </w:pPr>
      <w:r>
        <w:t>Fato é que representa um avanço no modo pela qual as contratações públicas podem ser</w:t>
      </w:r>
      <w:r>
        <w:rPr>
          <w:spacing w:val="-15"/>
        </w:rPr>
        <w:t xml:space="preserve"> </w:t>
      </w:r>
      <w:r>
        <w:t>realizadas,</w:t>
      </w:r>
      <w:r>
        <w:rPr>
          <w:spacing w:val="-15"/>
        </w:rPr>
        <w:t xml:space="preserve"> </w:t>
      </w:r>
      <w:r>
        <w:t>tendo</w:t>
      </w:r>
      <w:r>
        <w:rPr>
          <w:spacing w:val="-9"/>
        </w:rPr>
        <w:t xml:space="preserve"> </w:t>
      </w:r>
      <w:r>
        <w:t>em</w:t>
      </w:r>
      <w:r>
        <w:rPr>
          <w:spacing w:val="-14"/>
        </w:rPr>
        <w:t xml:space="preserve"> </w:t>
      </w:r>
      <w:r>
        <w:t>vista</w:t>
      </w:r>
      <w:r>
        <w:rPr>
          <w:spacing w:val="-15"/>
        </w:rPr>
        <w:t xml:space="preserve"> </w:t>
      </w:r>
      <w:r>
        <w:t>que</w:t>
      </w:r>
      <w:r>
        <w:rPr>
          <w:spacing w:val="-15"/>
        </w:rPr>
        <w:t xml:space="preserve"> </w:t>
      </w:r>
      <w:r>
        <w:t>pode</w:t>
      </w:r>
      <w:r>
        <w:rPr>
          <w:spacing w:val="-15"/>
        </w:rPr>
        <w:t xml:space="preserve"> </w:t>
      </w:r>
      <w:r>
        <w:t>ser</w:t>
      </w:r>
      <w:r>
        <w:rPr>
          <w:spacing w:val="-11"/>
        </w:rPr>
        <w:t xml:space="preserve"> </w:t>
      </w:r>
      <w:r>
        <w:t>um</w:t>
      </w:r>
      <w:r>
        <w:rPr>
          <w:spacing w:val="-15"/>
        </w:rPr>
        <w:t xml:space="preserve"> </w:t>
      </w:r>
      <w:r>
        <w:t>instrumento</w:t>
      </w:r>
      <w:r>
        <w:rPr>
          <w:spacing w:val="-12"/>
        </w:rPr>
        <w:t xml:space="preserve"> </w:t>
      </w:r>
      <w:r>
        <w:t>jurídico</w:t>
      </w:r>
      <w:r>
        <w:rPr>
          <w:spacing w:val="-8"/>
        </w:rPr>
        <w:t xml:space="preserve"> </w:t>
      </w:r>
      <w:r>
        <w:t>a</w:t>
      </w:r>
      <w:r>
        <w:rPr>
          <w:spacing w:val="-15"/>
        </w:rPr>
        <w:t xml:space="preserve"> </w:t>
      </w:r>
      <w:r>
        <w:t>ser</w:t>
      </w:r>
      <w:r>
        <w:rPr>
          <w:spacing w:val="-15"/>
        </w:rPr>
        <w:t xml:space="preserve"> </w:t>
      </w:r>
      <w:r>
        <w:t>utilizado</w:t>
      </w:r>
      <w:r>
        <w:rPr>
          <w:spacing w:val="-1"/>
        </w:rPr>
        <w:t xml:space="preserve"> </w:t>
      </w:r>
      <w:r>
        <w:t>na</w:t>
      </w:r>
      <w:r>
        <w:rPr>
          <w:spacing w:val="-15"/>
        </w:rPr>
        <w:t xml:space="preserve"> </w:t>
      </w:r>
      <w:r>
        <w:t>vanguarda daquilo</w:t>
      </w:r>
      <w:r>
        <w:rPr>
          <w:spacing w:val="-1"/>
        </w:rPr>
        <w:t xml:space="preserve"> </w:t>
      </w:r>
      <w:r>
        <w:t>que</w:t>
      </w:r>
      <w:r>
        <w:rPr>
          <w:spacing w:val="-2"/>
        </w:rPr>
        <w:t xml:space="preserve"> </w:t>
      </w:r>
      <w:r>
        <w:t>mais</w:t>
      </w:r>
      <w:r>
        <w:rPr>
          <w:spacing w:val="-1"/>
        </w:rPr>
        <w:t xml:space="preserve"> </w:t>
      </w:r>
      <w:r>
        <w:t>houver de</w:t>
      </w:r>
      <w:r>
        <w:rPr>
          <w:spacing w:val="-4"/>
        </w:rPr>
        <w:t xml:space="preserve"> </w:t>
      </w:r>
      <w:r>
        <w:t>novo</w:t>
      </w:r>
      <w:r>
        <w:rPr>
          <w:spacing w:val="-1"/>
        </w:rPr>
        <w:t xml:space="preserve"> </w:t>
      </w:r>
      <w:r>
        <w:t>em</w:t>
      </w:r>
      <w:r>
        <w:rPr>
          <w:spacing w:val="-9"/>
        </w:rPr>
        <w:t xml:space="preserve"> </w:t>
      </w:r>
      <w:r>
        <w:t>termos</w:t>
      </w:r>
      <w:r>
        <w:rPr>
          <w:spacing w:val="-3"/>
        </w:rPr>
        <w:t xml:space="preserve"> </w:t>
      </w:r>
      <w:r>
        <w:t>de</w:t>
      </w:r>
      <w:r>
        <w:rPr>
          <w:spacing w:val="-4"/>
        </w:rPr>
        <w:t xml:space="preserve"> </w:t>
      </w:r>
      <w:r>
        <w:t>tecnologias</w:t>
      </w:r>
      <w:r>
        <w:rPr>
          <w:spacing w:val="-3"/>
        </w:rPr>
        <w:t xml:space="preserve"> </w:t>
      </w:r>
      <w:r>
        <w:t>e</w:t>
      </w:r>
      <w:r>
        <w:rPr>
          <w:spacing w:val="-4"/>
        </w:rPr>
        <w:t xml:space="preserve"> </w:t>
      </w:r>
      <w:r>
        <w:t>técnicas</w:t>
      </w:r>
      <w:r>
        <w:rPr>
          <w:spacing w:val="-3"/>
        </w:rPr>
        <w:t xml:space="preserve"> </w:t>
      </w:r>
      <w:r>
        <w:t>úteis na</w:t>
      </w:r>
      <w:r>
        <w:rPr>
          <w:spacing w:val="-3"/>
        </w:rPr>
        <w:t xml:space="preserve"> </w:t>
      </w:r>
      <w:r>
        <w:t>consecução dos objetivos primários e secundários da Administração.</w:t>
      </w:r>
    </w:p>
    <w:p w:rsidR="007259F2" w:rsidRDefault="00E655B4">
      <w:pPr>
        <w:pStyle w:val="Corpodetexto"/>
        <w:spacing w:before="1"/>
        <w:ind w:right="424"/>
      </w:pPr>
      <w:r>
        <w:t>Pode ser utilizada para contratações públicas de procedimentos licitatórios decorrentes de concessões públicas e permissões previstas na Lei 8.987/1995, bem como as concessões públicas previstas no âmbito da Lei 11.079/2004, que cuida das contratações decorrentes das parcerias público-privadas (PPP´s).</w:t>
      </w:r>
    </w:p>
    <w:p w:rsidR="007259F2" w:rsidRDefault="00E655B4">
      <w:pPr>
        <w:pStyle w:val="Corpodetexto"/>
        <w:ind w:right="419"/>
      </w:pPr>
      <w:r>
        <w:t>Fato</w:t>
      </w:r>
      <w:r>
        <w:rPr>
          <w:spacing w:val="-5"/>
        </w:rPr>
        <w:t xml:space="preserve"> </w:t>
      </w:r>
      <w:r>
        <w:t>é</w:t>
      </w:r>
      <w:r>
        <w:rPr>
          <w:spacing w:val="-7"/>
        </w:rPr>
        <w:t xml:space="preserve"> </w:t>
      </w:r>
      <w:r>
        <w:t>que</w:t>
      </w:r>
      <w:r>
        <w:rPr>
          <w:spacing w:val="-7"/>
        </w:rPr>
        <w:t xml:space="preserve"> </w:t>
      </w:r>
      <w:r>
        <w:t>o</w:t>
      </w:r>
      <w:r>
        <w:rPr>
          <w:spacing w:val="-6"/>
        </w:rPr>
        <w:t xml:space="preserve"> </w:t>
      </w:r>
      <w:r>
        <w:t>instituto</w:t>
      </w:r>
      <w:r>
        <w:rPr>
          <w:spacing w:val="-2"/>
        </w:rPr>
        <w:t xml:space="preserve"> </w:t>
      </w:r>
      <w:r>
        <w:t>ainda</w:t>
      </w:r>
      <w:r>
        <w:rPr>
          <w:spacing w:val="-4"/>
        </w:rPr>
        <w:t xml:space="preserve"> </w:t>
      </w:r>
      <w:r>
        <w:t>se</w:t>
      </w:r>
      <w:r>
        <w:rPr>
          <w:spacing w:val="-4"/>
        </w:rPr>
        <w:t xml:space="preserve"> </w:t>
      </w:r>
      <w:r>
        <w:t>encontra</w:t>
      </w:r>
      <w:r>
        <w:rPr>
          <w:spacing w:val="-5"/>
        </w:rPr>
        <w:t xml:space="preserve"> </w:t>
      </w:r>
      <w:r>
        <w:t>inédito, até</w:t>
      </w:r>
      <w:r>
        <w:rPr>
          <w:spacing w:val="-7"/>
        </w:rPr>
        <w:t xml:space="preserve"> </w:t>
      </w:r>
      <w:r>
        <w:t>a</w:t>
      </w:r>
      <w:r>
        <w:rPr>
          <w:spacing w:val="-4"/>
        </w:rPr>
        <w:t xml:space="preserve"> </w:t>
      </w:r>
      <w:r>
        <w:t>presente</w:t>
      </w:r>
      <w:r>
        <w:rPr>
          <w:spacing w:val="-4"/>
        </w:rPr>
        <w:t xml:space="preserve"> </w:t>
      </w:r>
      <w:r>
        <w:t>data,</w:t>
      </w:r>
      <w:r>
        <w:rPr>
          <w:spacing w:val="-1"/>
        </w:rPr>
        <w:t xml:space="preserve"> </w:t>
      </w:r>
      <w:r>
        <w:t>no</w:t>
      </w:r>
      <w:r>
        <w:rPr>
          <w:spacing w:val="-3"/>
        </w:rPr>
        <w:t xml:space="preserve"> </w:t>
      </w:r>
      <w:r>
        <w:t xml:space="preserve">país, muito pode ser em razão do seu caráter excepcional, que demanda uma atuação mais criteriosa do administrador quanto à devida fundamentação da necessidade de utilização do instituto frente às demais modalidades licitatórias já existentes e que têm um histórico consolidado de </w:t>
      </w:r>
      <w:r>
        <w:rPr>
          <w:spacing w:val="-2"/>
        </w:rPr>
        <w:t>utilização.</w:t>
      </w:r>
    </w:p>
    <w:p w:rsidR="007259F2" w:rsidRDefault="00E655B4">
      <w:pPr>
        <w:pStyle w:val="Heading1"/>
        <w:spacing w:before="207"/>
      </w:pPr>
      <w:r>
        <w:rPr>
          <w:spacing w:val="-2"/>
        </w:rPr>
        <w:t>REFERÊNCIAS</w:t>
      </w:r>
    </w:p>
    <w:p w:rsidR="007259F2" w:rsidRDefault="00E655B4">
      <w:pPr>
        <w:pStyle w:val="Corpodetexto"/>
        <w:tabs>
          <w:tab w:val="left" w:pos="2175"/>
          <w:tab w:val="left" w:pos="3934"/>
          <w:tab w:val="left" w:pos="4829"/>
          <w:tab w:val="left" w:pos="6516"/>
          <w:tab w:val="left" w:pos="7721"/>
          <w:tab w:val="left" w:pos="9424"/>
        </w:tabs>
        <w:spacing w:before="195"/>
        <w:ind w:right="422" w:firstLine="0"/>
      </w:pPr>
      <w:r>
        <w:t>BRASIL.</w:t>
      </w:r>
      <w:r>
        <w:rPr>
          <w:spacing w:val="-11"/>
        </w:rPr>
        <w:t xml:space="preserve"> </w:t>
      </w:r>
      <w:r>
        <w:rPr>
          <w:b/>
        </w:rPr>
        <w:t>Lei</w:t>
      </w:r>
      <w:r>
        <w:rPr>
          <w:b/>
          <w:spacing w:val="-12"/>
        </w:rPr>
        <w:t xml:space="preserve"> </w:t>
      </w:r>
      <w:r>
        <w:rPr>
          <w:b/>
        </w:rPr>
        <w:t>nº</w:t>
      </w:r>
      <w:r>
        <w:rPr>
          <w:b/>
          <w:spacing w:val="-11"/>
        </w:rPr>
        <w:t xml:space="preserve"> </w:t>
      </w:r>
      <w:r>
        <w:rPr>
          <w:b/>
        </w:rPr>
        <w:t>14.133,</w:t>
      </w:r>
      <w:r>
        <w:rPr>
          <w:b/>
          <w:spacing w:val="-11"/>
        </w:rPr>
        <w:t xml:space="preserve"> </w:t>
      </w:r>
      <w:r>
        <w:rPr>
          <w:b/>
        </w:rPr>
        <w:t>de</w:t>
      </w:r>
      <w:r>
        <w:rPr>
          <w:b/>
          <w:spacing w:val="-14"/>
        </w:rPr>
        <w:t xml:space="preserve"> </w:t>
      </w:r>
      <w:r>
        <w:rPr>
          <w:b/>
        </w:rPr>
        <w:t>1º</w:t>
      </w:r>
      <w:r>
        <w:rPr>
          <w:b/>
          <w:spacing w:val="-12"/>
        </w:rPr>
        <w:t xml:space="preserve"> </w:t>
      </w:r>
      <w:r>
        <w:rPr>
          <w:b/>
        </w:rPr>
        <w:t>de</w:t>
      </w:r>
      <w:r>
        <w:rPr>
          <w:b/>
          <w:spacing w:val="-12"/>
        </w:rPr>
        <w:t xml:space="preserve"> </w:t>
      </w:r>
      <w:r>
        <w:rPr>
          <w:b/>
        </w:rPr>
        <w:t>abril</w:t>
      </w:r>
      <w:r>
        <w:rPr>
          <w:b/>
          <w:spacing w:val="-12"/>
        </w:rPr>
        <w:t xml:space="preserve"> </w:t>
      </w:r>
      <w:r>
        <w:rPr>
          <w:b/>
        </w:rPr>
        <w:t>de</w:t>
      </w:r>
      <w:r>
        <w:rPr>
          <w:b/>
          <w:spacing w:val="-13"/>
        </w:rPr>
        <w:t xml:space="preserve"> </w:t>
      </w:r>
      <w:r>
        <w:rPr>
          <w:b/>
        </w:rPr>
        <w:t>2021</w:t>
      </w:r>
      <w:r>
        <w:t>.</w:t>
      </w:r>
      <w:r>
        <w:rPr>
          <w:spacing w:val="-9"/>
        </w:rPr>
        <w:t xml:space="preserve"> </w:t>
      </w:r>
      <w:r>
        <w:t>Lei</w:t>
      </w:r>
      <w:r>
        <w:rPr>
          <w:spacing w:val="-12"/>
        </w:rPr>
        <w:t xml:space="preserve"> </w:t>
      </w:r>
      <w:r>
        <w:t>de</w:t>
      </w:r>
      <w:r>
        <w:rPr>
          <w:spacing w:val="-12"/>
        </w:rPr>
        <w:t xml:space="preserve"> </w:t>
      </w:r>
      <w:r>
        <w:t>Licitações</w:t>
      </w:r>
      <w:r>
        <w:rPr>
          <w:spacing w:val="-11"/>
        </w:rPr>
        <w:t xml:space="preserve"> </w:t>
      </w:r>
      <w:r>
        <w:t>e</w:t>
      </w:r>
      <w:r>
        <w:rPr>
          <w:spacing w:val="-14"/>
        </w:rPr>
        <w:t xml:space="preserve"> </w:t>
      </w:r>
      <w:r>
        <w:t>Contratos</w:t>
      </w:r>
      <w:r>
        <w:rPr>
          <w:spacing w:val="-13"/>
        </w:rPr>
        <w:t xml:space="preserve"> </w:t>
      </w:r>
      <w:r>
        <w:t xml:space="preserve">Administrativos. </w:t>
      </w:r>
      <w:r>
        <w:rPr>
          <w:spacing w:val="-2"/>
        </w:rPr>
        <w:t>Brasília:</w:t>
      </w:r>
      <w:r>
        <w:tab/>
      </w:r>
      <w:r>
        <w:rPr>
          <w:spacing w:val="-2"/>
        </w:rPr>
        <w:t>Presidência</w:t>
      </w:r>
      <w:r>
        <w:tab/>
      </w:r>
      <w:r>
        <w:rPr>
          <w:spacing w:val="-6"/>
        </w:rPr>
        <w:t>da</w:t>
      </w:r>
      <w:r>
        <w:tab/>
      </w:r>
      <w:r>
        <w:rPr>
          <w:spacing w:val="-2"/>
        </w:rPr>
        <w:t>República,</w:t>
      </w:r>
      <w:r>
        <w:tab/>
      </w:r>
      <w:r>
        <w:rPr>
          <w:spacing w:val="-2"/>
        </w:rPr>
        <w:t>2021.</w:t>
      </w:r>
      <w:r>
        <w:tab/>
      </w:r>
      <w:r>
        <w:rPr>
          <w:spacing w:val="-2"/>
        </w:rPr>
        <w:t>Disponível</w:t>
      </w:r>
      <w:r>
        <w:tab/>
      </w:r>
      <w:r>
        <w:rPr>
          <w:spacing w:val="-4"/>
        </w:rPr>
        <w:t xml:space="preserve">em: </w:t>
      </w:r>
      <w:r>
        <w:rPr>
          <w:spacing w:val="-2"/>
        </w:rPr>
        <w:t>https://</w:t>
      </w:r>
      <w:hyperlink r:id="rId331">
        <w:r>
          <w:rPr>
            <w:spacing w:val="-2"/>
          </w:rPr>
          <w:t>www.planalto.gov.br/ccivil_03/_ato2019-2022/2021/lei/l14133.htm</w:t>
        </w:r>
      </w:hyperlink>
    </w:p>
    <w:p w:rsidR="007259F2" w:rsidRDefault="00E655B4">
      <w:pPr>
        <w:pStyle w:val="Corpodetexto"/>
        <w:spacing w:before="201" w:line="237" w:lineRule="auto"/>
        <w:ind w:firstLine="0"/>
        <w:jc w:val="left"/>
      </w:pPr>
      <w:r>
        <w:t xml:space="preserve">BRASIL. CONSELHO DA JUSTIÇA FEDERAL. </w:t>
      </w:r>
      <w:r>
        <w:rPr>
          <w:b/>
        </w:rPr>
        <w:t>Consulta de enunciados</w:t>
      </w:r>
      <w:r>
        <w:t xml:space="preserve">. Disponível em: </w:t>
      </w:r>
      <w:hyperlink r:id="rId332">
        <w:r>
          <w:rPr>
            <w:color w:val="0000FF"/>
            <w:u w:val="single" w:color="0000FF"/>
          </w:rPr>
          <w:t>https://www.cjf.jus.br/enunciados/</w:t>
        </w:r>
      </w:hyperlink>
      <w:r>
        <w:rPr>
          <w:color w:val="0000FF"/>
        </w:rPr>
        <w:t xml:space="preserve"> </w:t>
      </w:r>
      <w:r>
        <w:t>Acesso em 09 nov. 2024</w:t>
      </w:r>
    </w:p>
    <w:p w:rsidR="007259F2" w:rsidRDefault="00E655B4">
      <w:pPr>
        <w:pStyle w:val="Corpodetexto"/>
        <w:spacing w:before="123" w:line="278" w:lineRule="auto"/>
        <w:ind w:right="425" w:firstLine="0"/>
        <w:jc w:val="left"/>
      </w:pPr>
      <w:r>
        <w:t>BRASIL.</w:t>
      </w:r>
      <w:r>
        <w:rPr>
          <w:spacing w:val="40"/>
        </w:rPr>
        <w:t xml:space="preserve"> </w:t>
      </w:r>
      <w:r>
        <w:t>TRIBUNAL</w:t>
      </w:r>
      <w:r>
        <w:rPr>
          <w:spacing w:val="40"/>
        </w:rPr>
        <w:t xml:space="preserve"> </w:t>
      </w:r>
      <w:r>
        <w:t>DE</w:t>
      </w:r>
      <w:r>
        <w:rPr>
          <w:spacing w:val="40"/>
        </w:rPr>
        <w:t xml:space="preserve"> </w:t>
      </w:r>
      <w:r>
        <w:t>CONTAS</w:t>
      </w:r>
      <w:r>
        <w:rPr>
          <w:spacing w:val="40"/>
        </w:rPr>
        <w:t xml:space="preserve"> </w:t>
      </w:r>
      <w:r>
        <w:t>DA</w:t>
      </w:r>
      <w:r>
        <w:rPr>
          <w:spacing w:val="40"/>
        </w:rPr>
        <w:t xml:space="preserve"> </w:t>
      </w:r>
      <w:r>
        <w:t>UNIÃO.</w:t>
      </w:r>
      <w:r>
        <w:rPr>
          <w:spacing w:val="40"/>
        </w:rPr>
        <w:t xml:space="preserve"> </w:t>
      </w:r>
      <w:r>
        <w:rPr>
          <w:b/>
        </w:rPr>
        <w:t>Diálogo</w:t>
      </w:r>
      <w:r>
        <w:rPr>
          <w:b/>
          <w:spacing w:val="40"/>
        </w:rPr>
        <w:t xml:space="preserve"> </w:t>
      </w:r>
      <w:r>
        <w:rPr>
          <w:b/>
        </w:rPr>
        <w:t>competitivo</w:t>
      </w:r>
      <w:r>
        <w:t>.</w:t>
      </w:r>
      <w:r>
        <w:rPr>
          <w:spacing w:val="40"/>
        </w:rPr>
        <w:t xml:space="preserve"> </w:t>
      </w:r>
      <w:r>
        <w:t>Disponível</w:t>
      </w:r>
      <w:r>
        <w:rPr>
          <w:spacing w:val="40"/>
        </w:rPr>
        <w:t xml:space="preserve"> </w:t>
      </w:r>
      <w:r>
        <w:t>em: https://licitacoesecontratos.tcu.gov.br/3-6-5-dialogo-competitivo-2/ Acesso em 12 dez.2023.</w:t>
      </w:r>
    </w:p>
    <w:p w:rsidR="007259F2" w:rsidRDefault="00E655B4">
      <w:pPr>
        <w:pStyle w:val="Corpodetexto"/>
        <w:spacing w:before="116" w:line="278" w:lineRule="auto"/>
        <w:ind w:right="561" w:firstLine="0"/>
        <w:jc w:val="left"/>
      </w:pPr>
      <w:r>
        <w:t>CALASANS</w:t>
      </w:r>
      <w:r>
        <w:rPr>
          <w:spacing w:val="28"/>
        </w:rPr>
        <w:t xml:space="preserve"> </w:t>
      </w:r>
      <w:r>
        <w:t>JUNIOR,</w:t>
      </w:r>
      <w:r>
        <w:rPr>
          <w:spacing w:val="22"/>
        </w:rPr>
        <w:t xml:space="preserve"> </w:t>
      </w:r>
      <w:r>
        <w:t>José.</w:t>
      </w:r>
      <w:r>
        <w:rPr>
          <w:spacing w:val="27"/>
        </w:rPr>
        <w:t xml:space="preserve"> </w:t>
      </w:r>
      <w:r>
        <w:rPr>
          <w:b/>
        </w:rPr>
        <w:t>Manual</w:t>
      </w:r>
      <w:r>
        <w:rPr>
          <w:b/>
          <w:spacing w:val="26"/>
        </w:rPr>
        <w:t xml:space="preserve"> </w:t>
      </w:r>
      <w:r>
        <w:rPr>
          <w:b/>
        </w:rPr>
        <w:t>da</w:t>
      </w:r>
      <w:r>
        <w:rPr>
          <w:b/>
          <w:spacing w:val="23"/>
        </w:rPr>
        <w:t xml:space="preserve"> </w:t>
      </w:r>
      <w:r>
        <w:rPr>
          <w:b/>
        </w:rPr>
        <w:t>Licitação</w:t>
      </w:r>
      <w:r>
        <w:t>:</w:t>
      </w:r>
      <w:r>
        <w:rPr>
          <w:spacing w:val="23"/>
        </w:rPr>
        <w:t xml:space="preserve"> </w:t>
      </w:r>
      <w:r>
        <w:t>com</w:t>
      </w:r>
      <w:r>
        <w:rPr>
          <w:spacing w:val="28"/>
        </w:rPr>
        <w:t xml:space="preserve"> </w:t>
      </w:r>
      <w:r>
        <w:t>base</w:t>
      </w:r>
      <w:r>
        <w:rPr>
          <w:spacing w:val="25"/>
        </w:rPr>
        <w:t xml:space="preserve"> </w:t>
      </w:r>
      <w:r>
        <w:t>na</w:t>
      </w:r>
      <w:r>
        <w:rPr>
          <w:spacing w:val="24"/>
        </w:rPr>
        <w:t xml:space="preserve"> </w:t>
      </w:r>
      <w:r>
        <w:t>Lei</w:t>
      </w:r>
      <w:r>
        <w:rPr>
          <w:spacing w:val="26"/>
        </w:rPr>
        <w:t xml:space="preserve"> </w:t>
      </w:r>
      <w:r>
        <w:t>nº</w:t>
      </w:r>
      <w:r>
        <w:rPr>
          <w:spacing w:val="28"/>
        </w:rPr>
        <w:t xml:space="preserve"> </w:t>
      </w:r>
      <w:r>
        <w:t>14.133,</w:t>
      </w:r>
      <w:r>
        <w:rPr>
          <w:spacing w:val="28"/>
        </w:rPr>
        <w:t xml:space="preserve"> </w:t>
      </w:r>
      <w:r>
        <w:t>de</w:t>
      </w:r>
      <w:r>
        <w:rPr>
          <w:spacing w:val="24"/>
        </w:rPr>
        <w:t xml:space="preserve"> </w:t>
      </w:r>
      <w:r>
        <w:t>1º</w:t>
      </w:r>
      <w:r>
        <w:rPr>
          <w:spacing w:val="25"/>
        </w:rPr>
        <w:t xml:space="preserve"> </w:t>
      </w:r>
      <w:r>
        <w:t>de abril de 2021. 3. ed. Barueri [SP]: Atlas, 2021, pág. 83.</w:t>
      </w:r>
    </w:p>
    <w:p w:rsidR="007259F2" w:rsidRDefault="00E655B4">
      <w:pPr>
        <w:pStyle w:val="Corpodetexto"/>
        <w:spacing w:before="116" w:line="276" w:lineRule="auto"/>
        <w:ind w:firstLine="0"/>
        <w:jc w:val="left"/>
      </w:pPr>
      <w:r>
        <w:t>DI</w:t>
      </w:r>
      <w:r>
        <w:rPr>
          <w:spacing w:val="-3"/>
        </w:rPr>
        <w:t xml:space="preserve"> </w:t>
      </w:r>
      <w:r>
        <w:t xml:space="preserve">PIETRO, Maria Sylvia Zanella. </w:t>
      </w:r>
      <w:r>
        <w:rPr>
          <w:b/>
        </w:rPr>
        <w:t xml:space="preserve">Direito administrativo </w:t>
      </w:r>
      <w:r>
        <w:t>31. Ed. rev. atual e ampl. Rio de Janeiro; Forense, 2018. p. 26, 91, 236, 243.</w:t>
      </w:r>
    </w:p>
    <w:p w:rsidR="007259F2" w:rsidRDefault="00E655B4">
      <w:pPr>
        <w:pStyle w:val="Corpodetexto"/>
        <w:spacing w:before="117" w:line="242" w:lineRule="auto"/>
        <w:ind w:right="562" w:firstLine="0"/>
      </w:pPr>
      <w:r>
        <w:t xml:space="preserve">MATOS, Marilene Carneiros, ALVES, Felipe Dalenogare, AMORIM, Rafael Amorim de (org.). </w:t>
      </w:r>
      <w:r>
        <w:rPr>
          <w:b/>
        </w:rPr>
        <w:t xml:space="preserve">Nova Lei de licitações e contratos </w:t>
      </w:r>
      <w:r>
        <w:t xml:space="preserve">- Lei nº 14.133/202: debates, perspectivas e desafios. Brasília: Câmara dos Deputados, Edições Câmara, 2023. p. 204. Disponível em : </w:t>
      </w:r>
      <w:hyperlink r:id="rId333">
        <w:r>
          <w:rPr>
            <w:color w:val="0000FF"/>
            <w:u w:val="single" w:color="0000FF"/>
          </w:rPr>
          <w:t>https://bd.camara.leg.br/bd/items/901987ea-1af4-4dcb-b9b7-9d617e6d5202</w:t>
        </w:r>
      </w:hyperlink>
      <w:r>
        <w:rPr>
          <w:color w:val="0000FF"/>
        </w:rPr>
        <w:t xml:space="preserve"> </w:t>
      </w:r>
      <w:r>
        <w:t>Acesso em 05 jan. 2024.</w:t>
      </w:r>
    </w:p>
    <w:p w:rsidR="007259F2" w:rsidRDefault="00E655B4">
      <w:pPr>
        <w:spacing w:before="121" w:line="276" w:lineRule="auto"/>
        <w:ind w:left="710" w:right="565"/>
        <w:jc w:val="both"/>
        <w:rPr>
          <w:sz w:val="24"/>
        </w:rPr>
      </w:pPr>
      <w:r>
        <w:rPr>
          <w:sz w:val="24"/>
        </w:rPr>
        <w:t xml:space="preserve">OLIVEIRA, Rafael Carvalho Rezende. </w:t>
      </w:r>
      <w:r>
        <w:rPr>
          <w:b/>
          <w:sz w:val="24"/>
        </w:rPr>
        <w:t>Nova lei de licitações e contratos administrativos comparada e comentada</w:t>
      </w:r>
      <w:r>
        <w:rPr>
          <w:sz w:val="24"/>
        </w:rPr>
        <w:t>. 3. ed. Rio de Janeiro: Forense, 2022.p.142.</w:t>
      </w:r>
    </w:p>
    <w:p w:rsidR="007259F2" w:rsidRDefault="00E655B4">
      <w:pPr>
        <w:pStyle w:val="Corpodetexto"/>
        <w:spacing w:before="121" w:line="276" w:lineRule="auto"/>
        <w:ind w:right="566" w:firstLine="0"/>
        <w:jc w:val="left"/>
      </w:pPr>
      <w:r>
        <w:t xml:space="preserve">SÃO PAULO (SP). </w:t>
      </w:r>
      <w:r>
        <w:rPr>
          <w:b/>
        </w:rPr>
        <w:t>Programa de Metas 21-24</w:t>
      </w:r>
      <w:r>
        <w:t xml:space="preserve">: Versão final participativa. Disponível em: </w:t>
      </w:r>
      <w:hyperlink r:id="rId334">
        <w:r>
          <w:rPr>
            <w:color w:val="0000FF"/>
            <w:spacing w:val="-2"/>
            <w:u w:val="single" w:color="0000FF"/>
          </w:rPr>
          <w:t>https://www.prefeitura.sp.gov.br/cidade/secretarias/upload/governo/SEPEP/arquivos/pdm-</w:t>
        </w:r>
      </w:hyperlink>
      <w:r>
        <w:rPr>
          <w:color w:val="0000FF"/>
          <w:spacing w:val="-2"/>
        </w:rPr>
        <w:t xml:space="preserve"> </w:t>
      </w:r>
      <w:hyperlink r:id="rId335">
        <w:r>
          <w:rPr>
            <w:color w:val="0000FF"/>
            <w:u w:val="single" w:color="0000FF"/>
          </w:rPr>
          <w:t>versao-final-participativa.pdf</w:t>
        </w:r>
      </w:hyperlink>
      <w:r>
        <w:rPr>
          <w:color w:val="0000FF"/>
          <w:spacing w:val="40"/>
        </w:rPr>
        <w:t xml:space="preserve"> </w:t>
      </w:r>
      <w:r>
        <w:t>Acesso em</w:t>
      </w:r>
      <w:r>
        <w:rPr>
          <w:spacing w:val="40"/>
        </w:rPr>
        <w:t xml:space="preserve"> </w:t>
      </w:r>
      <w:r>
        <w:t>11 jan. 2024.</w:t>
      </w:r>
    </w:p>
    <w:p w:rsidR="007259F2" w:rsidRDefault="007259F2">
      <w:pPr>
        <w:pStyle w:val="Corpodetexto"/>
        <w:spacing w:line="276" w:lineRule="auto"/>
        <w:jc w:val="left"/>
        <w:sectPr w:rsidR="007259F2">
          <w:pgSz w:w="11910" w:h="16840"/>
          <w:pgMar w:top="1600" w:right="708" w:bottom="1020" w:left="992" w:header="0" w:footer="820" w:gutter="0"/>
          <w:cols w:space="720"/>
        </w:sectPr>
      </w:pPr>
    </w:p>
    <w:p w:rsidR="007259F2" w:rsidRDefault="00E655B4">
      <w:pPr>
        <w:pStyle w:val="Corpodetexto"/>
        <w:spacing w:before="78" w:line="276" w:lineRule="auto"/>
        <w:ind w:right="559" w:firstLine="0"/>
      </w:pPr>
      <w:r>
        <w:lastRenderedPageBreak/>
        <w:t xml:space="preserve">UNIÃO EUROPÉIA. </w:t>
      </w:r>
      <w:r>
        <w:rPr>
          <w:b/>
        </w:rPr>
        <w:t>Directiva 2004/18/CE do Parlamento Europeu e do Conselho</w:t>
      </w:r>
      <w:r>
        <w:t xml:space="preserve">, de 31 de Março de 2004, relativa à coordenação dos processos de adjudicação dos contratos de empreitada de obras públicas, dos contratos públicos de fornecimento e dos contratos públicos de serviços. Disponível em: </w:t>
      </w:r>
      <w:hyperlink r:id="rId336">
        <w:r>
          <w:rPr>
            <w:color w:val="0000FF"/>
            <w:u w:val="single" w:color="0000FF"/>
          </w:rPr>
          <w:t>https://eur-lex.europa.eu/legal-</w:t>
        </w:r>
      </w:hyperlink>
      <w:r>
        <w:rPr>
          <w:color w:val="0000FF"/>
        </w:rPr>
        <w:t xml:space="preserve"> </w:t>
      </w:r>
      <w:hyperlink r:id="rId337">
        <w:r>
          <w:rPr>
            <w:color w:val="0000FF"/>
            <w:u w:val="single" w:color="0000FF"/>
          </w:rPr>
          <w:t>content/PT/TXT/?uri=celex%3A32004L0018</w:t>
        </w:r>
      </w:hyperlink>
      <w:r>
        <w:rPr>
          <w:color w:val="0000FF"/>
        </w:rPr>
        <w:t xml:space="preserve"> </w:t>
      </w:r>
      <w:r>
        <w:t>Acesso em 11 nov.2023.</w:t>
      </w:r>
    </w:p>
    <w:p w:rsidR="007259F2" w:rsidRDefault="00E655B4">
      <w:pPr>
        <w:pStyle w:val="Corpodetexto"/>
        <w:spacing w:before="117"/>
        <w:ind w:right="562" w:firstLine="0"/>
      </w:pPr>
      <w:r>
        <w:t>UNIÃO EUROPÉIA.</w:t>
      </w:r>
      <w:r>
        <w:rPr>
          <w:spacing w:val="33"/>
        </w:rPr>
        <w:t xml:space="preserve"> </w:t>
      </w:r>
      <w:r>
        <w:rPr>
          <w:b/>
        </w:rPr>
        <w:t>Diretiva 2014/24/UE do Parlamento Europeu e do Conselho</w:t>
      </w:r>
      <w:r>
        <w:t>, de</w:t>
      </w:r>
      <w:r>
        <w:rPr>
          <w:spacing w:val="80"/>
        </w:rPr>
        <w:t xml:space="preserve"> </w:t>
      </w:r>
      <w:r>
        <w:t>26</w:t>
      </w:r>
      <w:r>
        <w:rPr>
          <w:spacing w:val="-3"/>
        </w:rPr>
        <w:t xml:space="preserve"> </w:t>
      </w:r>
      <w:r>
        <w:t>de</w:t>
      </w:r>
      <w:r>
        <w:rPr>
          <w:spacing w:val="-1"/>
        </w:rPr>
        <w:t xml:space="preserve"> </w:t>
      </w:r>
      <w:r>
        <w:t>fevereiro</w:t>
      </w:r>
      <w:r>
        <w:rPr>
          <w:spacing w:val="-1"/>
        </w:rPr>
        <w:t xml:space="preserve"> </w:t>
      </w:r>
      <w:r>
        <w:t>de 2014, relativa aos contratos públicos e</w:t>
      </w:r>
      <w:r>
        <w:rPr>
          <w:spacing w:val="-1"/>
        </w:rPr>
        <w:t xml:space="preserve"> </w:t>
      </w:r>
      <w:r>
        <w:t>que revoga</w:t>
      </w:r>
      <w:r>
        <w:rPr>
          <w:spacing w:val="-1"/>
        </w:rPr>
        <w:t xml:space="preserve"> </w:t>
      </w:r>
      <w:r>
        <w:t>a Diretiva</w:t>
      </w:r>
      <w:r>
        <w:rPr>
          <w:spacing w:val="-1"/>
        </w:rPr>
        <w:t xml:space="preserve"> </w:t>
      </w:r>
      <w:r>
        <w:t>2004/18/CE. Disponível em: https://eur-lex.europa.eu/legal-content/pt/TXT/?uri=CELEX:32014L0024 Acesso em 01 dez.2023.</w:t>
      </w:r>
    </w:p>
    <w:p w:rsidR="007259F2" w:rsidRDefault="007259F2">
      <w:pPr>
        <w:pStyle w:val="Corpodetexto"/>
        <w:sectPr w:rsidR="007259F2">
          <w:pgSz w:w="11910" w:h="16840"/>
          <w:pgMar w:top="1600" w:right="708" w:bottom="1020" w:left="992" w:header="0" w:footer="820" w:gutter="0"/>
          <w:cols w:space="720"/>
        </w:sectPr>
      </w:pPr>
    </w:p>
    <w:p w:rsidR="007259F2" w:rsidRDefault="00E655B4">
      <w:pPr>
        <w:pStyle w:val="Heading2"/>
        <w:spacing w:before="60"/>
        <w:jc w:val="left"/>
      </w:pPr>
      <w:bookmarkStart w:id="18" w:name="_bookmark18"/>
      <w:bookmarkEnd w:id="18"/>
      <w:r>
        <w:lastRenderedPageBreak/>
        <w:t>A</w:t>
      </w:r>
      <w:r>
        <w:rPr>
          <w:spacing w:val="-8"/>
        </w:rPr>
        <w:t xml:space="preserve"> </w:t>
      </w:r>
      <w:r>
        <w:t>aplicação</w:t>
      </w:r>
      <w:r>
        <w:rPr>
          <w:spacing w:val="-1"/>
        </w:rPr>
        <w:t xml:space="preserve"> </w:t>
      </w:r>
      <w:r>
        <w:t>da</w:t>
      </w:r>
      <w:r>
        <w:rPr>
          <w:spacing w:val="-6"/>
        </w:rPr>
        <w:t xml:space="preserve"> </w:t>
      </w:r>
      <w:r>
        <w:t>teoria</w:t>
      </w:r>
      <w:r>
        <w:rPr>
          <w:spacing w:val="-2"/>
        </w:rPr>
        <w:t xml:space="preserve"> </w:t>
      </w:r>
      <w:r>
        <w:t>dos</w:t>
      </w:r>
      <w:r>
        <w:rPr>
          <w:spacing w:val="-3"/>
        </w:rPr>
        <w:t xml:space="preserve"> </w:t>
      </w:r>
      <w:r>
        <w:t>diálogos</w:t>
      </w:r>
      <w:r>
        <w:rPr>
          <w:spacing w:val="-3"/>
        </w:rPr>
        <w:t xml:space="preserve"> </w:t>
      </w:r>
      <w:r>
        <w:t>institucionais na</w:t>
      </w:r>
      <w:r>
        <w:rPr>
          <w:spacing w:val="-3"/>
        </w:rPr>
        <w:t xml:space="preserve"> </w:t>
      </w:r>
      <w:r>
        <w:t>discussão</w:t>
      </w:r>
      <w:r>
        <w:rPr>
          <w:spacing w:val="-3"/>
        </w:rPr>
        <w:t xml:space="preserve"> </w:t>
      </w:r>
      <w:r>
        <w:t>de</w:t>
      </w:r>
      <w:r>
        <w:rPr>
          <w:spacing w:val="-3"/>
        </w:rPr>
        <w:t xml:space="preserve"> </w:t>
      </w:r>
      <w:r>
        <w:t>projetos</w:t>
      </w:r>
      <w:r>
        <w:rPr>
          <w:spacing w:val="-2"/>
        </w:rPr>
        <w:t xml:space="preserve"> </w:t>
      </w:r>
      <w:r>
        <w:t>de</w:t>
      </w:r>
      <w:r>
        <w:rPr>
          <w:spacing w:val="-3"/>
        </w:rPr>
        <w:t xml:space="preserve"> </w:t>
      </w:r>
      <w:r>
        <w:t>lei</w:t>
      </w:r>
      <w:r>
        <w:rPr>
          <w:spacing w:val="-10"/>
        </w:rPr>
        <w:t xml:space="preserve"> </w:t>
      </w:r>
      <w:r>
        <w:t>dentro</w:t>
      </w:r>
      <w:r>
        <w:rPr>
          <w:spacing w:val="-3"/>
        </w:rPr>
        <w:t xml:space="preserve"> </w:t>
      </w:r>
      <w:r>
        <w:t>da administração municipal</w:t>
      </w:r>
    </w:p>
    <w:p w:rsidR="007259F2" w:rsidRDefault="00E655B4">
      <w:pPr>
        <w:spacing w:before="202"/>
        <w:ind w:left="710"/>
        <w:rPr>
          <w:b/>
          <w:sz w:val="24"/>
        </w:rPr>
      </w:pPr>
      <w:r>
        <w:rPr>
          <w:b/>
          <w:sz w:val="24"/>
        </w:rPr>
        <w:t>Romulo</w:t>
      </w:r>
      <w:r>
        <w:rPr>
          <w:b/>
          <w:spacing w:val="-7"/>
          <w:sz w:val="24"/>
        </w:rPr>
        <w:t xml:space="preserve"> </w:t>
      </w:r>
      <w:r>
        <w:rPr>
          <w:b/>
          <w:sz w:val="24"/>
        </w:rPr>
        <w:t>Oliveira</w:t>
      </w:r>
      <w:r>
        <w:rPr>
          <w:b/>
          <w:spacing w:val="-8"/>
          <w:sz w:val="24"/>
        </w:rPr>
        <w:t xml:space="preserve"> </w:t>
      </w:r>
      <w:r>
        <w:rPr>
          <w:b/>
          <w:spacing w:val="-2"/>
          <w:sz w:val="24"/>
        </w:rPr>
        <w:t>Redondo</w:t>
      </w:r>
      <w:r>
        <w:rPr>
          <w:b/>
          <w:spacing w:val="-2"/>
          <w:sz w:val="24"/>
          <w:vertAlign w:val="superscript"/>
        </w:rPr>
        <w:t>1</w:t>
      </w:r>
    </w:p>
    <w:p w:rsidR="007259F2" w:rsidRDefault="007259F2">
      <w:pPr>
        <w:pStyle w:val="Corpodetexto"/>
        <w:spacing w:before="271"/>
        <w:ind w:left="0" w:firstLine="0"/>
        <w:jc w:val="left"/>
        <w:rPr>
          <w:b/>
        </w:rPr>
      </w:pPr>
    </w:p>
    <w:p w:rsidR="007259F2" w:rsidRDefault="00E655B4">
      <w:pPr>
        <w:pStyle w:val="Heading1"/>
      </w:pPr>
      <w:r>
        <w:rPr>
          <w:spacing w:val="-2"/>
        </w:rPr>
        <w:t>RESUMO</w:t>
      </w:r>
    </w:p>
    <w:p w:rsidR="007259F2" w:rsidRDefault="00E655B4">
      <w:pPr>
        <w:pStyle w:val="Corpodetexto"/>
        <w:spacing w:before="115"/>
        <w:ind w:right="559" w:firstLine="0"/>
      </w:pPr>
      <w:r>
        <w:t>O presente trabalho busca desenvolver uma reflexão a respeito da aplicação prática da teoria dos diálogos institucionais dentro do contexto da relação entre o Poder Executivo e Legislativo da cidade de São Paulo, especificamente no tocante à fase que antecede a produção de novas leis pela Câmara Municipal.</w:t>
      </w:r>
    </w:p>
    <w:p w:rsidR="007259F2" w:rsidRDefault="00E655B4">
      <w:pPr>
        <w:pStyle w:val="Corpodetexto"/>
        <w:spacing w:before="121"/>
        <w:ind w:right="559" w:firstLine="0"/>
      </w:pPr>
      <w:r>
        <w:rPr>
          <w:b/>
        </w:rPr>
        <w:t xml:space="preserve">Palavras-chave: </w:t>
      </w:r>
      <w:r>
        <w:t xml:space="preserve">teoria dos diálogos institucionais; harmonia entre os poderes; solução de </w:t>
      </w:r>
      <w:r>
        <w:rPr>
          <w:spacing w:val="-2"/>
        </w:rPr>
        <w:t>conflitos.</w:t>
      </w:r>
    </w:p>
    <w:p w:rsidR="007259F2" w:rsidRDefault="007259F2">
      <w:pPr>
        <w:pStyle w:val="Corpodetexto"/>
        <w:spacing w:before="125"/>
        <w:ind w:left="0" w:firstLine="0"/>
        <w:jc w:val="left"/>
      </w:pPr>
    </w:p>
    <w:p w:rsidR="007259F2" w:rsidRDefault="00E655B4">
      <w:pPr>
        <w:pStyle w:val="Heading1"/>
      </w:pPr>
      <w:r>
        <w:rPr>
          <w:spacing w:val="-2"/>
        </w:rPr>
        <w:t>ABSTRACT</w:t>
      </w:r>
    </w:p>
    <w:p w:rsidR="007259F2" w:rsidRDefault="00E655B4">
      <w:pPr>
        <w:pStyle w:val="Corpodetexto"/>
        <w:spacing w:before="115"/>
        <w:ind w:right="556" w:firstLine="0"/>
      </w:pPr>
      <w:r>
        <w:t>The present work seeks to develop a reflection regarding the practical application of the theory</w:t>
      </w:r>
      <w:r>
        <w:rPr>
          <w:spacing w:val="-4"/>
        </w:rPr>
        <w:t xml:space="preserve"> </w:t>
      </w:r>
      <w:r>
        <w:t>of institutional dialogues within the context</w:t>
      </w:r>
      <w:r>
        <w:rPr>
          <w:spacing w:val="-1"/>
        </w:rPr>
        <w:t xml:space="preserve"> </w:t>
      </w:r>
      <w:r>
        <w:t>of the relationship between the Executive and Legislative Powers of the city of São Paulo, specifically regarding the phase that precedes the production of new laws by the City Council</w:t>
      </w:r>
    </w:p>
    <w:p w:rsidR="007259F2" w:rsidRDefault="00E655B4">
      <w:pPr>
        <w:pStyle w:val="Corpodetexto"/>
        <w:spacing w:before="120"/>
        <w:ind w:firstLine="0"/>
      </w:pPr>
      <w:r>
        <w:rPr>
          <w:b/>
        </w:rPr>
        <w:t>Keywords:</w:t>
      </w:r>
      <w:r>
        <w:rPr>
          <w:b/>
          <w:spacing w:val="45"/>
        </w:rPr>
        <w:t xml:space="preserve"> </w:t>
      </w:r>
      <w:r>
        <w:t>theory</w:t>
      </w:r>
      <w:r>
        <w:rPr>
          <w:spacing w:val="-17"/>
        </w:rPr>
        <w:t xml:space="preserve"> </w:t>
      </w:r>
      <w:r>
        <w:t>of</w:t>
      </w:r>
      <w:r>
        <w:rPr>
          <w:spacing w:val="-10"/>
        </w:rPr>
        <w:t xml:space="preserve"> </w:t>
      </w:r>
      <w:r>
        <w:t>institutional</w:t>
      </w:r>
      <w:r>
        <w:rPr>
          <w:spacing w:val="-9"/>
        </w:rPr>
        <w:t xml:space="preserve"> </w:t>
      </w:r>
      <w:r>
        <w:t>dialogues;</w:t>
      </w:r>
      <w:r>
        <w:rPr>
          <w:spacing w:val="-6"/>
        </w:rPr>
        <w:t xml:space="preserve"> </w:t>
      </w:r>
      <w:r>
        <w:t>harmony</w:t>
      </w:r>
      <w:r>
        <w:rPr>
          <w:spacing w:val="-6"/>
        </w:rPr>
        <w:t xml:space="preserve"> </w:t>
      </w:r>
      <w:r>
        <w:t>between</w:t>
      </w:r>
      <w:r>
        <w:rPr>
          <w:spacing w:val="-8"/>
        </w:rPr>
        <w:t xml:space="preserve"> </w:t>
      </w:r>
      <w:r>
        <w:t>powers;</w:t>
      </w:r>
      <w:r>
        <w:rPr>
          <w:spacing w:val="-7"/>
        </w:rPr>
        <w:t xml:space="preserve"> </w:t>
      </w:r>
      <w:r>
        <w:t>conflict</w:t>
      </w:r>
      <w:r>
        <w:rPr>
          <w:spacing w:val="5"/>
        </w:rPr>
        <w:t xml:space="preserve"> </w:t>
      </w:r>
      <w:r>
        <w:rPr>
          <w:spacing w:val="-2"/>
        </w:rPr>
        <w:t>resolution.</w:t>
      </w:r>
    </w:p>
    <w:p w:rsidR="007259F2" w:rsidRDefault="007259F2">
      <w:pPr>
        <w:pStyle w:val="Corpodetexto"/>
        <w:ind w:left="0" w:firstLine="0"/>
        <w:jc w:val="left"/>
      </w:pPr>
    </w:p>
    <w:p w:rsidR="007259F2" w:rsidRDefault="007259F2">
      <w:pPr>
        <w:pStyle w:val="Corpodetexto"/>
        <w:spacing w:before="132"/>
        <w:ind w:left="0" w:firstLine="0"/>
        <w:jc w:val="left"/>
      </w:pPr>
    </w:p>
    <w:p w:rsidR="007259F2" w:rsidRDefault="00E655B4">
      <w:pPr>
        <w:pStyle w:val="Heading2"/>
        <w:numPr>
          <w:ilvl w:val="0"/>
          <w:numId w:val="15"/>
        </w:numPr>
        <w:tabs>
          <w:tab w:val="left" w:pos="890"/>
        </w:tabs>
        <w:spacing w:before="1"/>
        <w:ind w:left="890" w:hanging="180"/>
      </w:pPr>
      <w:r>
        <w:rPr>
          <w:spacing w:val="-2"/>
        </w:rPr>
        <w:t>Introdução</w:t>
      </w:r>
    </w:p>
    <w:p w:rsidR="007259F2" w:rsidRDefault="00E655B4">
      <w:pPr>
        <w:pStyle w:val="Corpodetexto"/>
        <w:spacing w:before="115"/>
        <w:ind w:right="422"/>
      </w:pPr>
      <w:r>
        <w:t>Conforme preceitua a denominada Teoria dos Diálogos Institucionais, inexiste uma prevalência</w:t>
      </w:r>
      <w:r>
        <w:rPr>
          <w:spacing w:val="-4"/>
        </w:rPr>
        <w:t xml:space="preserve"> </w:t>
      </w:r>
      <w:r>
        <w:t>entre</w:t>
      </w:r>
      <w:r>
        <w:rPr>
          <w:spacing w:val="-9"/>
        </w:rPr>
        <w:t xml:space="preserve"> </w:t>
      </w:r>
      <w:r>
        <w:t>os</w:t>
      </w:r>
      <w:r>
        <w:rPr>
          <w:spacing w:val="-8"/>
        </w:rPr>
        <w:t xml:space="preserve"> </w:t>
      </w:r>
      <w:r>
        <w:t>Poderes</w:t>
      </w:r>
      <w:r>
        <w:rPr>
          <w:spacing w:val="-7"/>
        </w:rPr>
        <w:t xml:space="preserve"> </w:t>
      </w:r>
      <w:r>
        <w:t>Executivo,</w:t>
      </w:r>
      <w:r>
        <w:rPr>
          <w:spacing w:val="-3"/>
        </w:rPr>
        <w:t xml:space="preserve"> </w:t>
      </w:r>
      <w:r>
        <w:t>Legislativo e</w:t>
      </w:r>
      <w:r>
        <w:rPr>
          <w:spacing w:val="-4"/>
        </w:rPr>
        <w:t xml:space="preserve"> </w:t>
      </w:r>
      <w:r>
        <w:t>Judiciário,</w:t>
      </w:r>
      <w:r>
        <w:rPr>
          <w:spacing w:val="-2"/>
        </w:rPr>
        <w:t xml:space="preserve"> </w:t>
      </w:r>
      <w:r>
        <w:t>encontrando-se</w:t>
      </w:r>
      <w:r>
        <w:rPr>
          <w:spacing w:val="-4"/>
        </w:rPr>
        <w:t xml:space="preserve"> </w:t>
      </w:r>
      <w:r>
        <w:t>eles</w:t>
      </w:r>
      <w:r>
        <w:rPr>
          <w:spacing w:val="-4"/>
        </w:rPr>
        <w:t xml:space="preserve"> </w:t>
      </w:r>
      <w:r>
        <w:t>em</w:t>
      </w:r>
      <w:r>
        <w:rPr>
          <w:spacing w:val="-10"/>
        </w:rPr>
        <w:t xml:space="preserve"> </w:t>
      </w:r>
      <w:r>
        <w:t>pé</w:t>
      </w:r>
      <w:r>
        <w:rPr>
          <w:spacing w:val="-4"/>
        </w:rPr>
        <w:t xml:space="preserve"> </w:t>
      </w:r>
      <w:r>
        <w:t>de igualdade dentro do contexto de sua relação harmônica, prevista expressamente pela Constituição Federal. Dessa forma, considerando o sistema existente de freios e contrapesos, segundo a</w:t>
      </w:r>
      <w:r>
        <w:rPr>
          <w:spacing w:val="-1"/>
        </w:rPr>
        <w:t xml:space="preserve"> </w:t>
      </w:r>
      <w:r>
        <w:t>respectiva teoria,</w:t>
      </w:r>
      <w:r>
        <w:rPr>
          <w:spacing w:val="-1"/>
        </w:rPr>
        <w:t xml:space="preserve"> </w:t>
      </w:r>
      <w:r>
        <w:t>que um</w:t>
      </w:r>
      <w:r>
        <w:rPr>
          <w:spacing w:val="-9"/>
        </w:rPr>
        <w:t xml:space="preserve"> </w:t>
      </w:r>
      <w:r>
        <w:t>Poder pode exercer a sua</w:t>
      </w:r>
      <w:r>
        <w:rPr>
          <w:spacing w:val="-1"/>
        </w:rPr>
        <w:t xml:space="preserve"> </w:t>
      </w:r>
      <w:r>
        <w:t>função limitadora sobre</w:t>
      </w:r>
      <w:r>
        <w:rPr>
          <w:spacing w:val="-2"/>
        </w:rPr>
        <w:t xml:space="preserve"> </w:t>
      </w:r>
      <w:r>
        <w:t>o outro, em respeito às normas constitucionais, através de meios que envolvam a comunicação e a formação de entendimentos comuns.</w:t>
      </w:r>
    </w:p>
    <w:p w:rsidR="007259F2" w:rsidRDefault="00E655B4">
      <w:pPr>
        <w:pStyle w:val="Corpodetexto"/>
        <w:ind w:right="420"/>
      </w:pPr>
      <w:r>
        <w:t>Tendo em vista o contexto fático da Prefeitura do Município de São Paulo, verifica-se o desenvolvimento de um diálogo intenso entre suas diversas Pastas e Subpastas na formação da vontade do Poder Executivo, no tocante a questões de viabilidade ou inviabilidade da alteração, veto,</w:t>
      </w:r>
      <w:r>
        <w:rPr>
          <w:spacing w:val="-8"/>
        </w:rPr>
        <w:t xml:space="preserve"> </w:t>
      </w:r>
      <w:r>
        <w:t>ou</w:t>
      </w:r>
      <w:r>
        <w:rPr>
          <w:spacing w:val="-1"/>
        </w:rPr>
        <w:t xml:space="preserve"> </w:t>
      </w:r>
      <w:r>
        <w:t>aprovação de Projetos</w:t>
      </w:r>
      <w:r>
        <w:rPr>
          <w:spacing w:val="-2"/>
        </w:rPr>
        <w:t xml:space="preserve"> </w:t>
      </w:r>
      <w:r>
        <w:t>de Lei, sejam</w:t>
      </w:r>
      <w:r>
        <w:rPr>
          <w:spacing w:val="-6"/>
        </w:rPr>
        <w:t xml:space="preserve"> </w:t>
      </w:r>
      <w:r>
        <w:t>eles</w:t>
      </w:r>
      <w:r>
        <w:rPr>
          <w:spacing w:val="-4"/>
        </w:rPr>
        <w:t xml:space="preserve"> </w:t>
      </w:r>
      <w:r>
        <w:t>oriundos</w:t>
      </w:r>
      <w:r>
        <w:rPr>
          <w:spacing w:val="-3"/>
        </w:rPr>
        <w:t xml:space="preserve"> </w:t>
      </w:r>
      <w:r>
        <w:t>da</w:t>
      </w:r>
      <w:r>
        <w:rPr>
          <w:spacing w:val="-4"/>
        </w:rPr>
        <w:t xml:space="preserve"> </w:t>
      </w:r>
      <w:r>
        <w:t>Câmara</w:t>
      </w:r>
      <w:r>
        <w:rPr>
          <w:spacing w:val="-1"/>
        </w:rPr>
        <w:t xml:space="preserve"> </w:t>
      </w:r>
      <w:r>
        <w:t>ou</w:t>
      </w:r>
      <w:r>
        <w:rPr>
          <w:spacing w:val="-1"/>
        </w:rPr>
        <w:t xml:space="preserve"> </w:t>
      </w:r>
      <w:r>
        <w:t>da</w:t>
      </w:r>
      <w:r>
        <w:rPr>
          <w:spacing w:val="-2"/>
        </w:rPr>
        <w:t xml:space="preserve"> </w:t>
      </w:r>
      <w:r>
        <w:t xml:space="preserve">própria </w:t>
      </w:r>
      <w:r>
        <w:rPr>
          <w:spacing w:val="-2"/>
        </w:rPr>
        <w:t>Prefeitura.</w:t>
      </w:r>
    </w:p>
    <w:p w:rsidR="007259F2" w:rsidRDefault="00E655B4">
      <w:pPr>
        <w:pStyle w:val="Corpodetexto"/>
        <w:spacing w:before="1"/>
        <w:ind w:right="423"/>
      </w:pPr>
      <w:r>
        <w:t>Logo,</w:t>
      </w:r>
      <w:r>
        <w:rPr>
          <w:spacing w:val="-4"/>
        </w:rPr>
        <w:t xml:space="preserve"> </w:t>
      </w:r>
      <w:r>
        <w:t>revela-se</w:t>
      </w:r>
      <w:r>
        <w:rPr>
          <w:spacing w:val="-5"/>
        </w:rPr>
        <w:t xml:space="preserve"> </w:t>
      </w:r>
      <w:r>
        <w:t>pertinente</w:t>
      </w:r>
      <w:r>
        <w:rPr>
          <w:spacing w:val="-5"/>
        </w:rPr>
        <w:t xml:space="preserve"> </w:t>
      </w:r>
      <w:r>
        <w:t>analisar</w:t>
      </w:r>
      <w:r>
        <w:rPr>
          <w:spacing w:val="-2"/>
        </w:rPr>
        <w:t xml:space="preserve"> </w:t>
      </w:r>
      <w:r>
        <w:t>a</w:t>
      </w:r>
      <w:r>
        <w:rPr>
          <w:spacing w:val="-3"/>
        </w:rPr>
        <w:t xml:space="preserve"> </w:t>
      </w:r>
      <w:r>
        <w:t>aplicação dos</w:t>
      </w:r>
      <w:r>
        <w:rPr>
          <w:spacing w:val="-7"/>
        </w:rPr>
        <w:t xml:space="preserve"> </w:t>
      </w:r>
      <w:r>
        <w:t>Diálogos</w:t>
      </w:r>
      <w:r>
        <w:rPr>
          <w:spacing w:val="-2"/>
        </w:rPr>
        <w:t xml:space="preserve"> </w:t>
      </w:r>
      <w:r>
        <w:t>Institucionais</w:t>
      </w:r>
      <w:r>
        <w:rPr>
          <w:spacing w:val="-3"/>
        </w:rPr>
        <w:t xml:space="preserve"> </w:t>
      </w:r>
      <w:r>
        <w:t>como forma de resolução de controvérsias entre Poderes, em especial o Legislativo e o Executivo, desenvolvidos nas discussões que antecedem a própria aprovação de Leis. Trata-se assim de um</w:t>
      </w:r>
      <w:r>
        <w:rPr>
          <w:spacing w:val="-15"/>
        </w:rPr>
        <w:t xml:space="preserve"> </w:t>
      </w:r>
      <w:r>
        <w:t>trabalho</w:t>
      </w:r>
      <w:r>
        <w:rPr>
          <w:spacing w:val="-3"/>
        </w:rPr>
        <w:t xml:space="preserve"> </w:t>
      </w:r>
      <w:r>
        <w:t>preventivo,</w:t>
      </w:r>
      <w:r>
        <w:rPr>
          <w:spacing w:val="-5"/>
        </w:rPr>
        <w:t xml:space="preserve"> </w:t>
      </w:r>
      <w:r>
        <w:t>com</w:t>
      </w:r>
      <w:r>
        <w:rPr>
          <w:spacing w:val="-15"/>
        </w:rPr>
        <w:t xml:space="preserve"> </w:t>
      </w:r>
      <w:r>
        <w:t>ampla</w:t>
      </w:r>
      <w:r>
        <w:rPr>
          <w:spacing w:val="-9"/>
        </w:rPr>
        <w:t xml:space="preserve"> </w:t>
      </w:r>
      <w:r>
        <w:t>capacidade</w:t>
      </w:r>
      <w:r>
        <w:rPr>
          <w:spacing w:val="-9"/>
        </w:rPr>
        <w:t xml:space="preserve"> </w:t>
      </w:r>
      <w:r>
        <w:t>de</w:t>
      </w:r>
      <w:r>
        <w:rPr>
          <w:spacing w:val="-2"/>
        </w:rPr>
        <w:t xml:space="preserve"> </w:t>
      </w:r>
      <w:r>
        <w:t>evitar</w:t>
      </w:r>
      <w:r>
        <w:rPr>
          <w:spacing w:val="-6"/>
        </w:rPr>
        <w:t xml:space="preserve"> </w:t>
      </w:r>
      <w:r>
        <w:t>conflitos</w:t>
      </w:r>
      <w:r>
        <w:rPr>
          <w:spacing w:val="-9"/>
        </w:rPr>
        <w:t xml:space="preserve"> </w:t>
      </w:r>
      <w:r>
        <w:t>e</w:t>
      </w:r>
      <w:r>
        <w:rPr>
          <w:spacing w:val="-4"/>
        </w:rPr>
        <w:t xml:space="preserve"> </w:t>
      </w:r>
      <w:r>
        <w:t>insegurança</w:t>
      </w:r>
      <w:r>
        <w:rPr>
          <w:spacing w:val="-3"/>
        </w:rPr>
        <w:t xml:space="preserve"> </w:t>
      </w:r>
      <w:r>
        <w:t>jurídica,</w:t>
      </w:r>
      <w:r>
        <w:rPr>
          <w:spacing w:val="-5"/>
        </w:rPr>
        <w:t xml:space="preserve"> </w:t>
      </w:r>
      <w:r>
        <w:t xml:space="preserve">antes mesmo de acarretar em desgastes envolvendo ações judiciais ou mal-estar evidente entre os </w:t>
      </w:r>
      <w:r>
        <w:rPr>
          <w:spacing w:val="-2"/>
        </w:rPr>
        <w:t>Poderes.</w:t>
      </w:r>
    </w:p>
    <w:p w:rsidR="007259F2" w:rsidRDefault="00DE6B1C">
      <w:pPr>
        <w:pStyle w:val="Corpodetexto"/>
        <w:spacing w:before="162"/>
        <w:ind w:left="0" w:firstLine="0"/>
        <w:jc w:val="left"/>
        <w:rPr>
          <w:sz w:val="20"/>
        </w:rPr>
      </w:pPr>
      <w:r w:rsidRPr="00DE6B1C">
        <w:rPr>
          <w:sz w:val="20"/>
        </w:rPr>
        <w:pict>
          <v:rect id="docshape180" o:spid="_x0000_s1049" style="position:absolute;margin-left:85.1pt;margin-top:20.8pt;width:2in;height:.7pt;z-index:-15647232;mso-wrap-distance-left:0;mso-wrap-distance-right:0;mso-position-horizontal-relative:page" fillcolor="black" stroked="f">
            <w10:wrap type="topAndBottom" anchorx="page"/>
          </v:rect>
        </w:pict>
      </w:r>
    </w:p>
    <w:p w:rsidR="007259F2" w:rsidRDefault="00E655B4">
      <w:pPr>
        <w:spacing w:before="94"/>
        <w:ind w:left="710" w:right="422"/>
        <w:jc w:val="both"/>
        <w:rPr>
          <w:sz w:val="20"/>
        </w:rPr>
      </w:pPr>
      <w:r>
        <w:rPr>
          <w:sz w:val="20"/>
          <w:vertAlign w:val="superscript"/>
        </w:rPr>
        <w:t>1</w:t>
      </w:r>
      <w:r>
        <w:rPr>
          <w:sz w:val="20"/>
        </w:rPr>
        <w:t xml:space="preserve"> Residente Jurídico do Programa de Residência Jurídica da Procuradoria Geral do Município de São Paulo, alocado na Casa Civil/Assessoria Técnica e Legislativa – CC/ATL (2022-2025). Graduado em direito pela Pontifícia Universidade Católica de São Paulo. Possui experiências anteriores nas áreas do direito civil, penal e administrativo, com passagens pelo Escritório Modelo Dom Paulo Evaristo Arns, Ministério Público do Estado de São Paulo e Ministério Público Federal. E-mail: </w:t>
      </w:r>
      <w:hyperlink r:id="rId338">
        <w:r>
          <w:rPr>
            <w:sz w:val="20"/>
          </w:rPr>
          <w:t>romulo.redondo1@gmail.com</w:t>
        </w:r>
      </w:hyperlink>
    </w:p>
    <w:p w:rsidR="007259F2" w:rsidRDefault="007259F2">
      <w:pPr>
        <w:jc w:val="both"/>
        <w:rPr>
          <w:sz w:val="20"/>
        </w:rPr>
        <w:sectPr w:rsidR="007259F2">
          <w:pgSz w:w="11910" w:h="16840"/>
          <w:pgMar w:top="1620" w:right="708" w:bottom="1020" w:left="992" w:header="0" w:footer="820" w:gutter="0"/>
          <w:cols w:space="720"/>
        </w:sectPr>
      </w:pPr>
    </w:p>
    <w:p w:rsidR="007259F2" w:rsidRDefault="00E655B4">
      <w:pPr>
        <w:pStyle w:val="Heading2"/>
        <w:numPr>
          <w:ilvl w:val="0"/>
          <w:numId w:val="15"/>
        </w:numPr>
        <w:tabs>
          <w:tab w:val="left" w:pos="890"/>
        </w:tabs>
        <w:spacing w:before="60"/>
        <w:ind w:left="890" w:hanging="180"/>
        <w:jc w:val="both"/>
      </w:pPr>
      <w:r>
        <w:lastRenderedPageBreak/>
        <w:t>Teoria</w:t>
      </w:r>
      <w:r>
        <w:rPr>
          <w:spacing w:val="-3"/>
        </w:rPr>
        <w:t xml:space="preserve"> </w:t>
      </w:r>
      <w:r>
        <w:t>dos</w:t>
      </w:r>
      <w:r>
        <w:rPr>
          <w:spacing w:val="-6"/>
        </w:rPr>
        <w:t xml:space="preserve"> </w:t>
      </w:r>
      <w:r>
        <w:t>Diálogos</w:t>
      </w:r>
      <w:r>
        <w:rPr>
          <w:spacing w:val="-2"/>
        </w:rPr>
        <w:t xml:space="preserve"> </w:t>
      </w:r>
      <w:r>
        <w:t>Institucionais</w:t>
      </w:r>
      <w:r>
        <w:rPr>
          <w:spacing w:val="-1"/>
        </w:rPr>
        <w:t xml:space="preserve"> </w:t>
      </w:r>
      <w:r>
        <w:t>e</w:t>
      </w:r>
      <w:r>
        <w:rPr>
          <w:spacing w:val="-3"/>
        </w:rPr>
        <w:t xml:space="preserve"> </w:t>
      </w:r>
      <w:r>
        <w:t xml:space="preserve">seu </w:t>
      </w:r>
      <w:r>
        <w:rPr>
          <w:spacing w:val="-2"/>
        </w:rPr>
        <w:t>contexto</w:t>
      </w:r>
    </w:p>
    <w:p w:rsidR="007259F2" w:rsidRDefault="00E655B4">
      <w:pPr>
        <w:pStyle w:val="Corpodetexto"/>
        <w:spacing w:before="115"/>
        <w:ind w:right="423"/>
      </w:pPr>
      <w:r>
        <w:t>De</w:t>
      </w:r>
      <w:r>
        <w:rPr>
          <w:spacing w:val="-6"/>
        </w:rPr>
        <w:t xml:space="preserve"> </w:t>
      </w:r>
      <w:r>
        <w:t>modo</w:t>
      </w:r>
      <w:r>
        <w:rPr>
          <w:spacing w:val="-7"/>
        </w:rPr>
        <w:t xml:space="preserve"> </w:t>
      </w:r>
      <w:r>
        <w:t>a</w:t>
      </w:r>
      <w:r>
        <w:rPr>
          <w:spacing w:val="-8"/>
        </w:rPr>
        <w:t xml:space="preserve"> </w:t>
      </w:r>
      <w:r>
        <w:t>iniciar</w:t>
      </w:r>
      <w:r>
        <w:rPr>
          <w:spacing w:val="-5"/>
        </w:rPr>
        <w:t xml:space="preserve"> </w:t>
      </w:r>
      <w:r>
        <w:t>a</w:t>
      </w:r>
      <w:r>
        <w:rPr>
          <w:spacing w:val="-8"/>
        </w:rPr>
        <w:t xml:space="preserve"> </w:t>
      </w:r>
      <w:r>
        <w:t>reflexão,</w:t>
      </w:r>
      <w:r>
        <w:rPr>
          <w:spacing w:val="-9"/>
        </w:rPr>
        <w:t xml:space="preserve"> </w:t>
      </w:r>
      <w:r>
        <w:t>revela-se</w:t>
      </w:r>
      <w:r>
        <w:rPr>
          <w:spacing w:val="-8"/>
        </w:rPr>
        <w:t xml:space="preserve"> </w:t>
      </w:r>
      <w:r>
        <w:t>de</w:t>
      </w:r>
      <w:r>
        <w:rPr>
          <w:spacing w:val="-8"/>
        </w:rPr>
        <w:t xml:space="preserve"> </w:t>
      </w:r>
      <w:r>
        <w:t>vital</w:t>
      </w:r>
      <w:r>
        <w:rPr>
          <w:spacing w:val="-9"/>
        </w:rPr>
        <w:t xml:space="preserve"> </w:t>
      </w:r>
      <w:r>
        <w:t>importância</w:t>
      </w:r>
      <w:r>
        <w:rPr>
          <w:spacing w:val="-7"/>
        </w:rPr>
        <w:t xml:space="preserve"> </w:t>
      </w:r>
      <w:r>
        <w:t>examinar</w:t>
      </w:r>
      <w:r>
        <w:rPr>
          <w:spacing w:val="-6"/>
        </w:rPr>
        <w:t xml:space="preserve"> </w:t>
      </w:r>
      <w:r>
        <w:t>sobre</w:t>
      </w:r>
      <w:r>
        <w:rPr>
          <w:spacing w:val="-6"/>
        </w:rPr>
        <w:t xml:space="preserve"> </w:t>
      </w:r>
      <w:r>
        <w:t>quais</w:t>
      </w:r>
      <w:r>
        <w:rPr>
          <w:spacing w:val="-9"/>
        </w:rPr>
        <w:t xml:space="preserve"> </w:t>
      </w:r>
      <w:r>
        <w:t>temas se debruça a teoria dos diálogos institucionais. Em primeiro lugar, cabe destacar que tal tese não possui um autor único e originário, comportando-se muito mais como um fenômeno identificado do que como uma proposição doutrinária com limites claros e objetivos.</w:t>
      </w:r>
    </w:p>
    <w:p w:rsidR="007259F2" w:rsidRDefault="00E655B4">
      <w:pPr>
        <w:pStyle w:val="Corpodetexto"/>
        <w:ind w:right="421"/>
      </w:pPr>
      <w:r>
        <w:t>Conforme</w:t>
      </w:r>
      <w:r>
        <w:rPr>
          <w:spacing w:val="-3"/>
        </w:rPr>
        <w:t xml:space="preserve"> </w:t>
      </w:r>
      <w:r>
        <w:t>o</w:t>
      </w:r>
      <w:r>
        <w:rPr>
          <w:spacing w:val="-2"/>
        </w:rPr>
        <w:t xml:space="preserve"> </w:t>
      </w:r>
      <w:r>
        <w:t>estudo</w:t>
      </w:r>
      <w:r>
        <w:rPr>
          <w:spacing w:val="-2"/>
        </w:rPr>
        <w:t xml:space="preserve"> </w:t>
      </w:r>
      <w:r>
        <w:t>realizado</w:t>
      </w:r>
      <w:r>
        <w:rPr>
          <w:spacing w:val="-4"/>
        </w:rPr>
        <w:t xml:space="preserve"> </w:t>
      </w:r>
      <w:r>
        <w:t>por</w:t>
      </w:r>
      <w:r>
        <w:rPr>
          <w:spacing w:val="-9"/>
        </w:rPr>
        <w:t xml:space="preserve"> </w:t>
      </w:r>
      <w:r>
        <w:t>Clèmerson</w:t>
      </w:r>
      <w:r>
        <w:rPr>
          <w:spacing w:val="-15"/>
        </w:rPr>
        <w:t xml:space="preserve"> </w:t>
      </w:r>
      <w:r>
        <w:t>Merlin</w:t>
      </w:r>
      <w:r>
        <w:rPr>
          <w:spacing w:val="-15"/>
        </w:rPr>
        <w:t xml:space="preserve"> </w:t>
      </w:r>
      <w:r>
        <w:t>Clève</w:t>
      </w:r>
      <w:r>
        <w:rPr>
          <w:spacing w:val="-14"/>
        </w:rPr>
        <w:t xml:space="preserve"> </w:t>
      </w:r>
      <w:r>
        <w:t>e</w:t>
      </w:r>
      <w:r>
        <w:rPr>
          <w:spacing w:val="-12"/>
        </w:rPr>
        <w:t xml:space="preserve"> </w:t>
      </w:r>
      <w:r>
        <w:t>Bruno</w:t>
      </w:r>
      <w:r>
        <w:rPr>
          <w:spacing w:val="-7"/>
        </w:rPr>
        <w:t xml:space="preserve"> </w:t>
      </w:r>
      <w:r>
        <w:t>Meneses</w:t>
      </w:r>
      <w:r>
        <w:rPr>
          <w:spacing w:val="-8"/>
        </w:rPr>
        <w:t xml:space="preserve"> </w:t>
      </w:r>
      <w:r>
        <w:t>Lorenzetto (2015) no artigo Diálogos institucionais: estrutura e legitimidade:</w:t>
      </w:r>
    </w:p>
    <w:p w:rsidR="007259F2" w:rsidRDefault="007259F2">
      <w:pPr>
        <w:pStyle w:val="Corpodetexto"/>
        <w:spacing w:before="2"/>
        <w:ind w:left="0" w:firstLine="0"/>
        <w:jc w:val="left"/>
      </w:pPr>
    </w:p>
    <w:p w:rsidR="007259F2" w:rsidRDefault="00E655B4">
      <w:pPr>
        <w:ind w:left="2978" w:right="418"/>
        <w:jc w:val="both"/>
        <w:rPr>
          <w:sz w:val="20"/>
        </w:rPr>
      </w:pPr>
      <w:r>
        <w:rPr>
          <w:sz w:val="20"/>
        </w:rPr>
        <w:t>A</w:t>
      </w:r>
      <w:r>
        <w:rPr>
          <w:spacing w:val="-13"/>
          <w:sz w:val="20"/>
        </w:rPr>
        <w:t xml:space="preserve"> </w:t>
      </w:r>
      <w:r>
        <w:rPr>
          <w:sz w:val="20"/>
        </w:rPr>
        <w:t>proposta</w:t>
      </w:r>
      <w:r>
        <w:rPr>
          <w:spacing w:val="-6"/>
          <w:sz w:val="20"/>
        </w:rPr>
        <w:t xml:space="preserve"> </w:t>
      </w:r>
      <w:r>
        <w:rPr>
          <w:sz w:val="20"/>
        </w:rPr>
        <w:t>por</w:t>
      </w:r>
      <w:r>
        <w:rPr>
          <w:spacing w:val="-4"/>
          <w:sz w:val="20"/>
        </w:rPr>
        <w:t xml:space="preserve"> </w:t>
      </w:r>
      <w:r>
        <w:rPr>
          <w:sz w:val="20"/>
        </w:rPr>
        <w:t>diálogos</w:t>
      </w:r>
      <w:r>
        <w:rPr>
          <w:spacing w:val="-8"/>
          <w:sz w:val="20"/>
        </w:rPr>
        <w:t xml:space="preserve"> </w:t>
      </w:r>
      <w:r>
        <w:rPr>
          <w:sz w:val="20"/>
        </w:rPr>
        <w:t>tem</w:t>
      </w:r>
      <w:r>
        <w:rPr>
          <w:spacing w:val="-13"/>
          <w:sz w:val="20"/>
        </w:rPr>
        <w:t xml:space="preserve"> </w:t>
      </w:r>
      <w:r>
        <w:rPr>
          <w:sz w:val="20"/>
        </w:rPr>
        <w:t>seu</w:t>
      </w:r>
      <w:r>
        <w:rPr>
          <w:spacing w:val="-10"/>
          <w:sz w:val="20"/>
        </w:rPr>
        <w:t xml:space="preserve"> </w:t>
      </w:r>
      <w:r>
        <w:rPr>
          <w:sz w:val="20"/>
        </w:rPr>
        <w:t>início</w:t>
      </w:r>
      <w:r>
        <w:rPr>
          <w:spacing w:val="-9"/>
          <w:sz w:val="20"/>
        </w:rPr>
        <w:t xml:space="preserve"> </w:t>
      </w:r>
      <w:r>
        <w:rPr>
          <w:sz w:val="20"/>
        </w:rPr>
        <w:t>teórico</w:t>
      </w:r>
      <w:r>
        <w:rPr>
          <w:spacing w:val="-11"/>
          <w:sz w:val="20"/>
        </w:rPr>
        <w:t xml:space="preserve"> </w:t>
      </w:r>
      <w:r>
        <w:rPr>
          <w:sz w:val="20"/>
        </w:rPr>
        <w:t>na</w:t>
      </w:r>
      <w:r>
        <w:rPr>
          <w:spacing w:val="-10"/>
          <w:sz w:val="20"/>
        </w:rPr>
        <w:t xml:space="preserve"> </w:t>
      </w:r>
      <w:r>
        <w:rPr>
          <w:sz w:val="20"/>
        </w:rPr>
        <w:t>separação</w:t>
      </w:r>
      <w:r>
        <w:rPr>
          <w:spacing w:val="-12"/>
          <w:sz w:val="20"/>
        </w:rPr>
        <w:t xml:space="preserve"> </w:t>
      </w:r>
      <w:r>
        <w:rPr>
          <w:sz w:val="20"/>
        </w:rPr>
        <w:t>das</w:t>
      </w:r>
      <w:r>
        <w:rPr>
          <w:spacing w:val="-11"/>
          <w:sz w:val="20"/>
        </w:rPr>
        <w:t xml:space="preserve"> </w:t>
      </w:r>
      <w:r>
        <w:rPr>
          <w:sz w:val="20"/>
        </w:rPr>
        <w:t>atividades</w:t>
      </w:r>
      <w:r>
        <w:rPr>
          <w:spacing w:val="-11"/>
          <w:sz w:val="20"/>
        </w:rPr>
        <w:t xml:space="preserve"> </w:t>
      </w:r>
      <w:r>
        <w:rPr>
          <w:sz w:val="20"/>
        </w:rPr>
        <w:t>pertinentes a cada ramo do Poder. Sob influência dessa ideia, a cisão clássica entre direito e política foi articulada da seguinte maneira: a esfera política seria determinada pela soberania popular e pelo princípio majoritário, enquanto a esfera jurídica seria determinada</w:t>
      </w:r>
      <w:r>
        <w:rPr>
          <w:spacing w:val="-2"/>
          <w:sz w:val="20"/>
        </w:rPr>
        <w:t xml:space="preserve"> </w:t>
      </w:r>
      <w:r>
        <w:rPr>
          <w:sz w:val="20"/>
        </w:rPr>
        <w:t>pela ideia de</w:t>
      </w:r>
      <w:r>
        <w:rPr>
          <w:spacing w:val="-6"/>
          <w:sz w:val="20"/>
        </w:rPr>
        <w:t xml:space="preserve"> </w:t>
      </w:r>
      <w:r>
        <w:rPr>
          <w:sz w:val="20"/>
        </w:rPr>
        <w:t>rule of</w:t>
      </w:r>
      <w:r>
        <w:rPr>
          <w:spacing w:val="-4"/>
          <w:sz w:val="20"/>
        </w:rPr>
        <w:t xml:space="preserve"> </w:t>
      </w:r>
      <w:r>
        <w:rPr>
          <w:sz w:val="20"/>
        </w:rPr>
        <w:t>law</w:t>
      </w:r>
      <w:r>
        <w:rPr>
          <w:spacing w:val="-6"/>
          <w:sz w:val="20"/>
        </w:rPr>
        <w:t xml:space="preserve"> </w:t>
      </w:r>
      <w:r>
        <w:rPr>
          <w:sz w:val="20"/>
        </w:rPr>
        <w:t>(primado</w:t>
      </w:r>
      <w:r>
        <w:rPr>
          <w:spacing w:val="-1"/>
          <w:sz w:val="20"/>
        </w:rPr>
        <w:t xml:space="preserve"> </w:t>
      </w:r>
      <w:r>
        <w:rPr>
          <w:sz w:val="20"/>
        </w:rPr>
        <w:t>da</w:t>
      </w:r>
      <w:r>
        <w:rPr>
          <w:spacing w:val="-2"/>
          <w:sz w:val="20"/>
        </w:rPr>
        <w:t xml:space="preserve"> </w:t>
      </w:r>
      <w:r>
        <w:rPr>
          <w:sz w:val="20"/>
        </w:rPr>
        <w:t>lei)</w:t>
      </w:r>
      <w:r>
        <w:rPr>
          <w:spacing w:val="-2"/>
          <w:sz w:val="20"/>
        </w:rPr>
        <w:t xml:space="preserve"> </w:t>
      </w:r>
      <w:r>
        <w:rPr>
          <w:sz w:val="20"/>
        </w:rPr>
        <w:t>e</w:t>
      </w:r>
      <w:r>
        <w:rPr>
          <w:spacing w:val="-2"/>
          <w:sz w:val="20"/>
        </w:rPr>
        <w:t xml:space="preserve"> </w:t>
      </w:r>
      <w:r>
        <w:rPr>
          <w:sz w:val="20"/>
        </w:rPr>
        <w:t>pela</w:t>
      </w:r>
      <w:r>
        <w:rPr>
          <w:spacing w:val="-6"/>
          <w:sz w:val="20"/>
        </w:rPr>
        <w:t xml:space="preserve"> </w:t>
      </w:r>
      <w:r>
        <w:rPr>
          <w:sz w:val="20"/>
        </w:rPr>
        <w:t>observância aos</w:t>
      </w:r>
      <w:r>
        <w:rPr>
          <w:spacing w:val="-1"/>
          <w:sz w:val="20"/>
        </w:rPr>
        <w:t xml:space="preserve"> </w:t>
      </w:r>
      <w:r>
        <w:rPr>
          <w:sz w:val="20"/>
        </w:rPr>
        <w:t xml:space="preserve">direitos </w:t>
      </w:r>
      <w:r>
        <w:rPr>
          <w:spacing w:val="-2"/>
          <w:sz w:val="20"/>
        </w:rPr>
        <w:t>fundamentais.</w:t>
      </w:r>
    </w:p>
    <w:p w:rsidR="007259F2" w:rsidRDefault="00E655B4">
      <w:pPr>
        <w:pStyle w:val="Corpodetexto"/>
        <w:spacing w:before="227"/>
        <w:ind w:right="422"/>
      </w:pPr>
      <w:r>
        <w:t>Logo, percebe-se que a questão dos diálogos está intrinsecamente ligada à noção de separação dos poderes, na medida em que estes devem desenvolver uma relação harmônica entre si, estando, portanto, aptos a</w:t>
      </w:r>
      <w:r>
        <w:rPr>
          <w:spacing w:val="-4"/>
        </w:rPr>
        <w:t xml:space="preserve"> </w:t>
      </w:r>
      <w:r>
        <w:t>dialogarem, não se</w:t>
      </w:r>
      <w:r>
        <w:rPr>
          <w:spacing w:val="-3"/>
        </w:rPr>
        <w:t xml:space="preserve"> </w:t>
      </w:r>
      <w:r>
        <w:t>tratando de</w:t>
      </w:r>
      <w:r>
        <w:rPr>
          <w:spacing w:val="-2"/>
        </w:rPr>
        <w:t xml:space="preserve"> </w:t>
      </w:r>
      <w:r>
        <w:t>compartimentos estanques e isolados um do outro.</w:t>
      </w:r>
    </w:p>
    <w:p w:rsidR="007259F2" w:rsidRDefault="00E655B4">
      <w:pPr>
        <w:pStyle w:val="Corpodetexto"/>
        <w:ind w:right="422"/>
      </w:pPr>
      <w:r>
        <w:t>A tripartição dos poderes do Estado em Executivo, Legislativo e Judiciário tem como origem</w:t>
      </w:r>
      <w:r>
        <w:rPr>
          <w:spacing w:val="-2"/>
        </w:rPr>
        <w:t xml:space="preserve"> </w:t>
      </w:r>
      <w:r>
        <w:t>clássica</w:t>
      </w:r>
      <w:r>
        <w:rPr>
          <w:spacing w:val="-1"/>
        </w:rPr>
        <w:t xml:space="preserve"> </w:t>
      </w:r>
      <w:r>
        <w:t>a</w:t>
      </w:r>
      <w:r>
        <w:rPr>
          <w:spacing w:val="-3"/>
        </w:rPr>
        <w:t xml:space="preserve"> </w:t>
      </w:r>
      <w:r>
        <w:t>obra</w:t>
      </w:r>
      <w:r>
        <w:rPr>
          <w:spacing w:val="-1"/>
        </w:rPr>
        <w:t xml:space="preserve"> </w:t>
      </w:r>
      <w:r>
        <w:t>“O</w:t>
      </w:r>
      <w:r>
        <w:rPr>
          <w:spacing w:val="-3"/>
        </w:rPr>
        <w:t xml:space="preserve"> </w:t>
      </w:r>
      <w:r>
        <w:t>espírito das leis”</w:t>
      </w:r>
      <w:r>
        <w:rPr>
          <w:spacing w:val="-2"/>
        </w:rPr>
        <w:t xml:space="preserve"> </w:t>
      </w:r>
      <w:r>
        <w:t>de</w:t>
      </w:r>
      <w:r>
        <w:rPr>
          <w:spacing w:val="-3"/>
        </w:rPr>
        <w:t xml:space="preserve"> </w:t>
      </w:r>
      <w:r>
        <w:t>Montesquieu, na</w:t>
      </w:r>
      <w:r>
        <w:rPr>
          <w:spacing w:val="-2"/>
        </w:rPr>
        <w:t xml:space="preserve"> </w:t>
      </w:r>
      <w:r>
        <w:t>qual</w:t>
      </w:r>
      <w:r>
        <w:rPr>
          <w:spacing w:val="-4"/>
        </w:rPr>
        <w:t xml:space="preserve"> </w:t>
      </w:r>
      <w:r>
        <w:t>o filósofo</w:t>
      </w:r>
      <w:r>
        <w:rPr>
          <w:spacing w:val="-1"/>
        </w:rPr>
        <w:t xml:space="preserve"> </w:t>
      </w:r>
      <w:r>
        <w:t>defendeu que</w:t>
      </w:r>
      <w:r>
        <w:rPr>
          <w:spacing w:val="-1"/>
        </w:rPr>
        <w:t xml:space="preserve"> </w:t>
      </w:r>
      <w:r>
        <w:t>a distribuição</w:t>
      </w:r>
      <w:r>
        <w:rPr>
          <w:spacing w:val="-3"/>
        </w:rPr>
        <w:t xml:space="preserve"> </w:t>
      </w:r>
      <w:r>
        <w:t>das</w:t>
      </w:r>
      <w:r>
        <w:rPr>
          <w:spacing w:val="-10"/>
        </w:rPr>
        <w:t xml:space="preserve"> </w:t>
      </w:r>
      <w:r>
        <w:t>funções</w:t>
      </w:r>
      <w:r>
        <w:rPr>
          <w:spacing w:val="-7"/>
        </w:rPr>
        <w:t xml:space="preserve"> </w:t>
      </w:r>
      <w:r>
        <w:t>estatais</w:t>
      </w:r>
      <w:r>
        <w:rPr>
          <w:spacing w:val="-10"/>
        </w:rPr>
        <w:t xml:space="preserve"> </w:t>
      </w:r>
      <w:r>
        <w:t>a</w:t>
      </w:r>
      <w:r>
        <w:rPr>
          <w:spacing w:val="-9"/>
        </w:rPr>
        <w:t xml:space="preserve"> </w:t>
      </w:r>
      <w:r>
        <w:t>órgãos</w:t>
      </w:r>
      <w:r>
        <w:rPr>
          <w:spacing w:val="-8"/>
        </w:rPr>
        <w:t xml:space="preserve"> </w:t>
      </w:r>
      <w:r>
        <w:t>distintos</w:t>
      </w:r>
      <w:r>
        <w:rPr>
          <w:spacing w:val="-14"/>
        </w:rPr>
        <w:t xml:space="preserve"> </w:t>
      </w:r>
      <w:r>
        <w:t>seria</w:t>
      </w:r>
      <w:r>
        <w:rPr>
          <w:spacing w:val="-7"/>
        </w:rPr>
        <w:t xml:space="preserve"> </w:t>
      </w:r>
      <w:r>
        <w:t>necessária</w:t>
      </w:r>
      <w:r>
        <w:rPr>
          <w:spacing w:val="-6"/>
        </w:rPr>
        <w:t xml:space="preserve"> </w:t>
      </w:r>
      <w:r>
        <w:t>para</w:t>
      </w:r>
      <w:r>
        <w:rPr>
          <w:spacing w:val="-10"/>
        </w:rPr>
        <w:t xml:space="preserve"> </w:t>
      </w:r>
      <w:r>
        <w:t>assegurar</w:t>
      </w:r>
      <w:r>
        <w:rPr>
          <w:spacing w:val="-6"/>
        </w:rPr>
        <w:t xml:space="preserve"> </w:t>
      </w:r>
      <w:r>
        <w:t>as</w:t>
      </w:r>
      <w:r>
        <w:rPr>
          <w:spacing w:val="-6"/>
        </w:rPr>
        <w:t xml:space="preserve"> </w:t>
      </w:r>
      <w:r>
        <w:t>liberdades individuais. Todavia, tal divisão não ocorre de forma perfeita, exercendo os referidos poderes todas</w:t>
      </w:r>
      <w:r>
        <w:rPr>
          <w:spacing w:val="-15"/>
        </w:rPr>
        <w:t xml:space="preserve"> </w:t>
      </w:r>
      <w:r>
        <w:t>as</w:t>
      </w:r>
      <w:r>
        <w:rPr>
          <w:spacing w:val="-15"/>
        </w:rPr>
        <w:t xml:space="preserve"> </w:t>
      </w:r>
      <w:r>
        <w:t>funções,</w:t>
      </w:r>
      <w:r>
        <w:rPr>
          <w:spacing w:val="-15"/>
        </w:rPr>
        <w:t xml:space="preserve"> </w:t>
      </w:r>
      <w:r>
        <w:t>em</w:t>
      </w:r>
      <w:r>
        <w:rPr>
          <w:spacing w:val="-15"/>
        </w:rPr>
        <w:t xml:space="preserve"> </w:t>
      </w:r>
      <w:r>
        <w:t>maior</w:t>
      </w:r>
      <w:r>
        <w:rPr>
          <w:spacing w:val="-15"/>
        </w:rPr>
        <w:t xml:space="preserve"> </w:t>
      </w:r>
      <w:r>
        <w:t>ou</w:t>
      </w:r>
      <w:r>
        <w:rPr>
          <w:spacing w:val="-15"/>
        </w:rPr>
        <w:t xml:space="preserve"> </w:t>
      </w:r>
      <w:r>
        <w:t>menor</w:t>
      </w:r>
      <w:r>
        <w:rPr>
          <w:spacing w:val="-15"/>
        </w:rPr>
        <w:t xml:space="preserve"> </w:t>
      </w:r>
      <w:r>
        <w:t>grau,</w:t>
      </w:r>
      <w:r>
        <w:rPr>
          <w:spacing w:val="-13"/>
        </w:rPr>
        <w:t xml:space="preserve"> </w:t>
      </w:r>
      <w:r>
        <w:t>por</w:t>
      </w:r>
      <w:r>
        <w:rPr>
          <w:spacing w:val="-11"/>
        </w:rPr>
        <w:t xml:space="preserve"> </w:t>
      </w:r>
      <w:r>
        <w:t>questões</w:t>
      </w:r>
      <w:r>
        <w:rPr>
          <w:spacing w:val="-12"/>
        </w:rPr>
        <w:t xml:space="preserve"> </w:t>
      </w:r>
      <w:r>
        <w:t>de</w:t>
      </w:r>
      <w:r>
        <w:rPr>
          <w:spacing w:val="-15"/>
        </w:rPr>
        <w:t xml:space="preserve"> </w:t>
      </w:r>
      <w:r>
        <w:t>ordem</w:t>
      </w:r>
      <w:r>
        <w:rPr>
          <w:spacing w:val="-15"/>
        </w:rPr>
        <w:t xml:space="preserve"> </w:t>
      </w:r>
      <w:r>
        <w:t>prática</w:t>
      </w:r>
      <w:r>
        <w:rPr>
          <w:spacing w:val="-14"/>
        </w:rPr>
        <w:t xml:space="preserve"> </w:t>
      </w:r>
      <w:r>
        <w:t>e</w:t>
      </w:r>
      <w:r>
        <w:rPr>
          <w:spacing w:val="-15"/>
        </w:rPr>
        <w:t xml:space="preserve"> </w:t>
      </w:r>
      <w:r>
        <w:t>também</w:t>
      </w:r>
      <w:r>
        <w:rPr>
          <w:spacing w:val="-14"/>
        </w:rPr>
        <w:t xml:space="preserve"> </w:t>
      </w:r>
      <w:r>
        <w:t>de</w:t>
      </w:r>
      <w:r>
        <w:rPr>
          <w:spacing w:val="-14"/>
        </w:rPr>
        <w:t xml:space="preserve"> </w:t>
      </w:r>
      <w:r>
        <w:t>controle, sendo incabível pensar num poder completamente independente dos demais, que viesse a agir ilimitadamente. Consequentemente, temos hoje o consenso de que os poderes exercem primordialmente atividades típicas, e excepcionalmente atividades atípicas.</w:t>
      </w:r>
    </w:p>
    <w:p w:rsidR="007259F2" w:rsidRDefault="00E655B4">
      <w:pPr>
        <w:pStyle w:val="Corpodetexto"/>
        <w:spacing w:before="1"/>
        <w:ind w:right="420"/>
      </w:pPr>
      <w:r>
        <w:t>Tendo por</w:t>
      </w:r>
      <w:r>
        <w:rPr>
          <w:spacing w:val="-1"/>
        </w:rPr>
        <w:t xml:space="preserve"> </w:t>
      </w:r>
      <w:r>
        <w:t>base</w:t>
      </w:r>
      <w:r>
        <w:rPr>
          <w:spacing w:val="-4"/>
        </w:rPr>
        <w:t xml:space="preserve"> </w:t>
      </w:r>
      <w:r>
        <w:t>a</w:t>
      </w:r>
      <w:r>
        <w:rPr>
          <w:spacing w:val="-2"/>
        </w:rPr>
        <w:t xml:space="preserve"> </w:t>
      </w:r>
      <w:r>
        <w:t>conexão existente</w:t>
      </w:r>
      <w:r>
        <w:rPr>
          <w:spacing w:val="-2"/>
        </w:rPr>
        <w:t xml:space="preserve"> </w:t>
      </w:r>
      <w:r>
        <w:t>no relacionamento entre</w:t>
      </w:r>
      <w:r>
        <w:rPr>
          <w:spacing w:val="-3"/>
        </w:rPr>
        <w:t xml:space="preserve"> </w:t>
      </w:r>
      <w:r>
        <w:t>as</w:t>
      </w:r>
      <w:r>
        <w:rPr>
          <w:spacing w:val="-3"/>
        </w:rPr>
        <w:t xml:space="preserve"> </w:t>
      </w:r>
      <w:r>
        <w:t>três</w:t>
      </w:r>
      <w:r>
        <w:rPr>
          <w:spacing w:val="-3"/>
        </w:rPr>
        <w:t xml:space="preserve"> </w:t>
      </w:r>
      <w:r>
        <w:t>funções</w:t>
      </w:r>
      <w:r>
        <w:rPr>
          <w:spacing w:val="-3"/>
        </w:rPr>
        <w:t xml:space="preserve"> </w:t>
      </w:r>
      <w:r>
        <w:t>do Estado, a teoria dos diálogos institucionais ressalta que inexiste uma preponderância de um sobre os outros. Como consequência, surge a</w:t>
      </w:r>
      <w:r>
        <w:rPr>
          <w:spacing w:val="-1"/>
        </w:rPr>
        <w:t xml:space="preserve"> </w:t>
      </w:r>
      <w:r>
        <w:t>possibilidade destes</w:t>
      </w:r>
      <w:r>
        <w:rPr>
          <w:spacing w:val="-2"/>
        </w:rPr>
        <w:t xml:space="preserve"> </w:t>
      </w:r>
      <w:r>
        <w:t>discutirem</w:t>
      </w:r>
      <w:r>
        <w:rPr>
          <w:spacing w:val="-7"/>
        </w:rPr>
        <w:t xml:space="preserve"> </w:t>
      </w:r>
      <w:r>
        <w:t>conjuntamente soluções</w:t>
      </w:r>
      <w:r>
        <w:rPr>
          <w:spacing w:val="-2"/>
        </w:rPr>
        <w:t xml:space="preserve"> </w:t>
      </w:r>
      <w:r>
        <w:t>a casos complexos que envolvam a participação de um ou mais poderes, mantendo-se assim o equilíbrio entre eles.</w:t>
      </w:r>
    </w:p>
    <w:p w:rsidR="007259F2" w:rsidRDefault="00E655B4">
      <w:pPr>
        <w:pStyle w:val="Corpodetexto"/>
        <w:ind w:right="418"/>
      </w:pPr>
      <w:r>
        <w:t>Desse modo, tem-se como fundamental</w:t>
      </w:r>
      <w:r>
        <w:rPr>
          <w:spacing w:val="-2"/>
        </w:rPr>
        <w:t xml:space="preserve"> </w:t>
      </w:r>
      <w:r>
        <w:t>a noção de cooperação, havendo uma soma de esforços entre os Poderes para, de forma harmônica, contribuírem conjuntamente para a formulação de soluções estruturadas e coordenadas. O diálogo desempenha assim um papel importante</w:t>
      </w:r>
      <w:r>
        <w:rPr>
          <w:spacing w:val="-15"/>
        </w:rPr>
        <w:t xml:space="preserve"> </w:t>
      </w:r>
      <w:r>
        <w:t>na</w:t>
      </w:r>
      <w:r>
        <w:rPr>
          <w:spacing w:val="-15"/>
        </w:rPr>
        <w:t xml:space="preserve"> </w:t>
      </w:r>
      <w:r>
        <w:t>manutenção</w:t>
      </w:r>
      <w:r>
        <w:rPr>
          <w:spacing w:val="-15"/>
        </w:rPr>
        <w:t xml:space="preserve"> </w:t>
      </w:r>
      <w:r>
        <w:t>do</w:t>
      </w:r>
      <w:r>
        <w:rPr>
          <w:spacing w:val="-15"/>
        </w:rPr>
        <w:t xml:space="preserve"> </w:t>
      </w:r>
      <w:r>
        <w:t>equilíbrio</w:t>
      </w:r>
      <w:r>
        <w:rPr>
          <w:spacing w:val="-15"/>
        </w:rPr>
        <w:t xml:space="preserve"> </w:t>
      </w:r>
      <w:r>
        <w:t>das</w:t>
      </w:r>
      <w:r>
        <w:rPr>
          <w:spacing w:val="-15"/>
        </w:rPr>
        <w:t xml:space="preserve"> </w:t>
      </w:r>
      <w:r>
        <w:t>funções</w:t>
      </w:r>
      <w:r>
        <w:rPr>
          <w:spacing w:val="-15"/>
        </w:rPr>
        <w:t xml:space="preserve"> </w:t>
      </w:r>
      <w:r>
        <w:t>do</w:t>
      </w:r>
      <w:r>
        <w:rPr>
          <w:spacing w:val="-15"/>
        </w:rPr>
        <w:t xml:space="preserve"> </w:t>
      </w:r>
      <w:r>
        <w:t>Estado,</w:t>
      </w:r>
      <w:r>
        <w:rPr>
          <w:spacing w:val="-13"/>
        </w:rPr>
        <w:t xml:space="preserve"> </w:t>
      </w:r>
      <w:r>
        <w:t>na</w:t>
      </w:r>
      <w:r>
        <w:rPr>
          <w:spacing w:val="-14"/>
        </w:rPr>
        <w:t xml:space="preserve"> </w:t>
      </w:r>
      <w:r>
        <w:t>medida</w:t>
      </w:r>
      <w:r>
        <w:rPr>
          <w:spacing w:val="-15"/>
        </w:rPr>
        <w:t xml:space="preserve"> </w:t>
      </w:r>
      <w:r>
        <w:t>em</w:t>
      </w:r>
      <w:r>
        <w:rPr>
          <w:spacing w:val="-14"/>
        </w:rPr>
        <w:t xml:space="preserve"> </w:t>
      </w:r>
      <w:r>
        <w:t>que</w:t>
      </w:r>
      <w:r>
        <w:rPr>
          <w:spacing w:val="-14"/>
        </w:rPr>
        <w:t xml:space="preserve"> </w:t>
      </w:r>
      <w:r>
        <w:t>as</w:t>
      </w:r>
      <w:r>
        <w:rPr>
          <w:spacing w:val="-15"/>
        </w:rPr>
        <w:t xml:space="preserve"> </w:t>
      </w:r>
      <w:r>
        <w:t>discussões conjuntas e bem trabalhadas contribuem preventivamente ao surgimento de maiores conflitos, nos quais um Poder agiria de forma mais incisiva sobre o outro, possivelmente gerando desgastes de cunho político.</w:t>
      </w:r>
    </w:p>
    <w:p w:rsidR="007259F2" w:rsidRDefault="00E655B4">
      <w:pPr>
        <w:pStyle w:val="Corpodetexto"/>
        <w:spacing w:before="1"/>
        <w:ind w:right="426"/>
      </w:pPr>
      <w:r>
        <w:t>Os atritos entre os Poderes são inerentes à sua repartição. O controle mútuo destes exige a vigilância constante de um sobre o outro, sendo inevitável que em determinados momentos alguma função vá além de suas competências, necessitando da reprimenda proporcional nos ditames dos parâmetros previstos constitucionalmente. Entretanto, com a aplicação dos diálogos institucionais, surge a ênfase na constante troca de informações, ideias e sugestões, diminuindo assim os casos em que o controle repressivo precisa ser utilizado.</w:t>
      </w:r>
    </w:p>
    <w:p w:rsidR="007259F2" w:rsidRDefault="00E655B4">
      <w:pPr>
        <w:pStyle w:val="Heading2"/>
        <w:numPr>
          <w:ilvl w:val="1"/>
          <w:numId w:val="15"/>
        </w:numPr>
        <w:tabs>
          <w:tab w:val="left" w:pos="1069"/>
        </w:tabs>
        <w:spacing w:before="206"/>
        <w:ind w:left="1069" w:hanging="359"/>
        <w:jc w:val="both"/>
      </w:pPr>
      <w:r>
        <w:t>Diálogos</w:t>
      </w:r>
      <w:r>
        <w:rPr>
          <w:spacing w:val="-7"/>
        </w:rPr>
        <w:t xml:space="preserve"> </w:t>
      </w:r>
      <w:r>
        <w:t>institucionais</w:t>
      </w:r>
      <w:r>
        <w:rPr>
          <w:spacing w:val="-3"/>
        </w:rPr>
        <w:t xml:space="preserve"> </w:t>
      </w:r>
      <w:r>
        <w:t>entre</w:t>
      </w:r>
      <w:r>
        <w:rPr>
          <w:spacing w:val="-5"/>
        </w:rPr>
        <w:t xml:space="preserve"> </w:t>
      </w:r>
      <w:r>
        <w:t>os</w:t>
      </w:r>
      <w:r>
        <w:rPr>
          <w:spacing w:val="-5"/>
        </w:rPr>
        <w:t xml:space="preserve"> </w:t>
      </w:r>
      <w:r>
        <w:t>três</w:t>
      </w:r>
      <w:r>
        <w:rPr>
          <w:spacing w:val="-1"/>
        </w:rPr>
        <w:t xml:space="preserve"> </w:t>
      </w:r>
      <w:r>
        <w:rPr>
          <w:spacing w:val="-2"/>
        </w:rPr>
        <w:t>Poderes</w:t>
      </w:r>
    </w:p>
    <w:p w:rsidR="007259F2" w:rsidRDefault="00E655B4">
      <w:pPr>
        <w:pStyle w:val="Corpodetexto"/>
        <w:spacing w:before="195"/>
        <w:ind w:right="422"/>
      </w:pPr>
      <w:r>
        <w:t>Com o objetivo de melhor compreender a teoria objeto deste artigo, denota-se importante trazer exemplos práticos de sua aplicação, ilustrando assim a interação constante existente</w:t>
      </w:r>
      <w:r>
        <w:rPr>
          <w:spacing w:val="-15"/>
        </w:rPr>
        <w:t xml:space="preserve"> </w:t>
      </w:r>
      <w:r>
        <w:t>entre</w:t>
      </w:r>
      <w:r>
        <w:rPr>
          <w:spacing w:val="-15"/>
        </w:rPr>
        <w:t xml:space="preserve"> </w:t>
      </w:r>
      <w:r>
        <w:t>as</w:t>
      </w:r>
      <w:r>
        <w:rPr>
          <w:spacing w:val="-14"/>
        </w:rPr>
        <w:t xml:space="preserve"> </w:t>
      </w:r>
      <w:r>
        <w:t>funções</w:t>
      </w:r>
      <w:r>
        <w:rPr>
          <w:spacing w:val="-11"/>
        </w:rPr>
        <w:t xml:space="preserve"> </w:t>
      </w:r>
      <w:r>
        <w:t>estatais.</w:t>
      </w:r>
      <w:r>
        <w:rPr>
          <w:spacing w:val="-9"/>
        </w:rPr>
        <w:t xml:space="preserve"> </w:t>
      </w:r>
      <w:r>
        <w:t>Na</w:t>
      </w:r>
      <w:r>
        <w:rPr>
          <w:spacing w:val="-13"/>
        </w:rPr>
        <w:t xml:space="preserve"> </w:t>
      </w:r>
      <w:r>
        <w:t>medida</w:t>
      </w:r>
      <w:r>
        <w:rPr>
          <w:spacing w:val="-13"/>
        </w:rPr>
        <w:t xml:space="preserve"> </w:t>
      </w:r>
      <w:r>
        <w:t>em</w:t>
      </w:r>
      <w:r>
        <w:rPr>
          <w:spacing w:val="-14"/>
        </w:rPr>
        <w:t xml:space="preserve"> </w:t>
      </w:r>
      <w:r>
        <w:t>que</w:t>
      </w:r>
      <w:r>
        <w:rPr>
          <w:spacing w:val="-13"/>
        </w:rPr>
        <w:t xml:space="preserve"> </w:t>
      </w:r>
      <w:r>
        <w:t>o</w:t>
      </w:r>
      <w:r>
        <w:rPr>
          <w:spacing w:val="-12"/>
        </w:rPr>
        <w:t xml:space="preserve"> </w:t>
      </w:r>
      <w:r>
        <w:t>enfoque</w:t>
      </w:r>
      <w:r>
        <w:rPr>
          <w:spacing w:val="-13"/>
        </w:rPr>
        <w:t xml:space="preserve"> </w:t>
      </w:r>
      <w:r>
        <w:t>deste</w:t>
      </w:r>
      <w:r>
        <w:rPr>
          <w:spacing w:val="-15"/>
        </w:rPr>
        <w:t xml:space="preserve"> </w:t>
      </w:r>
      <w:r>
        <w:t>trabalho</w:t>
      </w:r>
      <w:r>
        <w:rPr>
          <w:spacing w:val="-6"/>
        </w:rPr>
        <w:t xml:space="preserve"> </w:t>
      </w:r>
      <w:r>
        <w:t>se</w:t>
      </w:r>
      <w:r>
        <w:rPr>
          <w:spacing w:val="-13"/>
        </w:rPr>
        <w:t xml:space="preserve"> </w:t>
      </w:r>
      <w:r>
        <w:t>debruça</w:t>
      </w:r>
      <w:r>
        <w:rPr>
          <w:spacing w:val="-13"/>
        </w:rPr>
        <w:t xml:space="preserve"> </w:t>
      </w:r>
      <w:r>
        <w:t>sobre as</w:t>
      </w:r>
      <w:r>
        <w:rPr>
          <w:spacing w:val="-7"/>
        </w:rPr>
        <w:t xml:space="preserve"> </w:t>
      </w:r>
      <w:r>
        <w:t>interações</w:t>
      </w:r>
      <w:r>
        <w:rPr>
          <w:spacing w:val="-8"/>
        </w:rPr>
        <w:t xml:space="preserve"> </w:t>
      </w:r>
      <w:r>
        <w:t>existentes</w:t>
      </w:r>
      <w:r>
        <w:rPr>
          <w:spacing w:val="-9"/>
        </w:rPr>
        <w:t xml:space="preserve"> </w:t>
      </w:r>
      <w:r>
        <w:t>no</w:t>
      </w:r>
      <w:r>
        <w:rPr>
          <w:spacing w:val="-1"/>
        </w:rPr>
        <w:t xml:space="preserve"> </w:t>
      </w:r>
      <w:r>
        <w:t>âmbito</w:t>
      </w:r>
      <w:r>
        <w:rPr>
          <w:spacing w:val="-2"/>
        </w:rPr>
        <w:t xml:space="preserve"> </w:t>
      </w:r>
      <w:r>
        <w:t>da</w:t>
      </w:r>
      <w:r>
        <w:rPr>
          <w:spacing w:val="-12"/>
        </w:rPr>
        <w:t xml:space="preserve"> </w:t>
      </w:r>
      <w:r>
        <w:t>administração</w:t>
      </w:r>
      <w:r>
        <w:rPr>
          <w:spacing w:val="-5"/>
        </w:rPr>
        <w:t xml:space="preserve"> </w:t>
      </w:r>
      <w:r>
        <w:t>municipal</w:t>
      </w:r>
      <w:r>
        <w:rPr>
          <w:spacing w:val="-12"/>
        </w:rPr>
        <w:t xml:space="preserve"> </w:t>
      </w:r>
      <w:r>
        <w:t>com</w:t>
      </w:r>
      <w:r>
        <w:rPr>
          <w:spacing w:val="-13"/>
        </w:rPr>
        <w:t xml:space="preserve"> </w:t>
      </w:r>
      <w:r>
        <w:t>a</w:t>
      </w:r>
      <w:r>
        <w:rPr>
          <w:spacing w:val="-7"/>
        </w:rPr>
        <w:t xml:space="preserve"> </w:t>
      </w:r>
      <w:r>
        <w:t>Câmara</w:t>
      </w:r>
      <w:r>
        <w:rPr>
          <w:spacing w:val="-7"/>
        </w:rPr>
        <w:t xml:space="preserve"> </w:t>
      </w:r>
      <w:r>
        <w:t>de</w:t>
      </w:r>
      <w:r>
        <w:rPr>
          <w:spacing w:val="-7"/>
        </w:rPr>
        <w:t xml:space="preserve"> </w:t>
      </w:r>
      <w:r>
        <w:t>Vereadores</w:t>
      </w:r>
      <w:r>
        <w:rPr>
          <w:spacing w:val="-8"/>
        </w:rPr>
        <w:t xml:space="preserve"> </w:t>
      </w:r>
      <w:r>
        <w:rPr>
          <w:spacing w:val="-5"/>
        </w:rPr>
        <w:t>na</w:t>
      </w:r>
    </w:p>
    <w:p w:rsidR="007259F2" w:rsidRDefault="007259F2">
      <w:pPr>
        <w:pStyle w:val="Corpodetexto"/>
        <w:sectPr w:rsidR="007259F2">
          <w:pgSz w:w="11910" w:h="16840"/>
          <w:pgMar w:top="1620" w:right="708" w:bottom="1020" w:left="992" w:header="0" w:footer="820" w:gutter="0"/>
          <w:cols w:space="720"/>
        </w:sectPr>
      </w:pPr>
    </w:p>
    <w:p w:rsidR="007259F2" w:rsidRDefault="00E655B4">
      <w:pPr>
        <w:pStyle w:val="Corpodetexto"/>
        <w:spacing w:before="75"/>
        <w:ind w:right="423" w:firstLine="0"/>
      </w:pPr>
      <w:r>
        <w:lastRenderedPageBreak/>
        <w:t>discussão de projetos de lei, passemos brevemente sobre diversas possibilidades da aplicação do</w:t>
      </w:r>
      <w:r>
        <w:rPr>
          <w:spacing w:val="-11"/>
        </w:rPr>
        <w:t xml:space="preserve"> </w:t>
      </w:r>
      <w:r>
        <w:t>diálogo</w:t>
      </w:r>
      <w:r>
        <w:rPr>
          <w:spacing w:val="-11"/>
        </w:rPr>
        <w:t xml:space="preserve"> </w:t>
      </w:r>
      <w:r>
        <w:t>também</w:t>
      </w:r>
      <w:r>
        <w:rPr>
          <w:spacing w:val="-15"/>
        </w:rPr>
        <w:t xml:space="preserve"> </w:t>
      </w:r>
      <w:r>
        <w:t>em</w:t>
      </w:r>
      <w:r>
        <w:rPr>
          <w:spacing w:val="-14"/>
        </w:rPr>
        <w:t xml:space="preserve"> </w:t>
      </w:r>
      <w:r>
        <w:t>outros</w:t>
      </w:r>
      <w:r>
        <w:rPr>
          <w:spacing w:val="-13"/>
        </w:rPr>
        <w:t xml:space="preserve"> </w:t>
      </w:r>
      <w:r>
        <w:t>contextos</w:t>
      </w:r>
      <w:r>
        <w:rPr>
          <w:spacing w:val="-12"/>
        </w:rPr>
        <w:t xml:space="preserve"> </w:t>
      </w:r>
      <w:r>
        <w:t>de</w:t>
      </w:r>
      <w:r>
        <w:rPr>
          <w:spacing w:val="-14"/>
        </w:rPr>
        <w:t xml:space="preserve"> </w:t>
      </w:r>
      <w:r>
        <w:t>relações</w:t>
      </w:r>
      <w:r>
        <w:rPr>
          <w:spacing w:val="-12"/>
        </w:rPr>
        <w:t xml:space="preserve"> </w:t>
      </w:r>
      <w:r>
        <w:t>entre</w:t>
      </w:r>
      <w:r>
        <w:rPr>
          <w:spacing w:val="-14"/>
        </w:rPr>
        <w:t xml:space="preserve"> </w:t>
      </w:r>
      <w:r>
        <w:t>funções,</w:t>
      </w:r>
      <w:r>
        <w:rPr>
          <w:spacing w:val="-9"/>
        </w:rPr>
        <w:t xml:space="preserve"> </w:t>
      </w:r>
      <w:r>
        <w:t>como</w:t>
      </w:r>
      <w:r>
        <w:rPr>
          <w:spacing w:val="-6"/>
        </w:rPr>
        <w:t xml:space="preserve"> </w:t>
      </w:r>
      <w:r>
        <w:t>modo</w:t>
      </w:r>
      <w:r>
        <w:rPr>
          <w:spacing w:val="-6"/>
        </w:rPr>
        <w:t xml:space="preserve"> </w:t>
      </w:r>
      <w:r>
        <w:t>de</w:t>
      </w:r>
      <w:r>
        <w:rPr>
          <w:spacing w:val="-14"/>
        </w:rPr>
        <w:t xml:space="preserve"> </w:t>
      </w:r>
      <w:r>
        <w:t>compreender sua importância em um contexto global, para posteriormente concentrar a análise nas especificidades do presente estudo.</w:t>
      </w:r>
    </w:p>
    <w:p w:rsidR="007259F2" w:rsidRDefault="00E655B4">
      <w:pPr>
        <w:pStyle w:val="Heading2"/>
        <w:numPr>
          <w:ilvl w:val="2"/>
          <w:numId w:val="15"/>
        </w:numPr>
        <w:tabs>
          <w:tab w:val="left" w:pos="1429"/>
        </w:tabs>
        <w:ind w:left="1429" w:hanging="719"/>
        <w:jc w:val="both"/>
      </w:pPr>
      <w:r>
        <w:t>Poder</w:t>
      </w:r>
      <w:r>
        <w:rPr>
          <w:spacing w:val="-8"/>
        </w:rPr>
        <w:t xml:space="preserve"> </w:t>
      </w:r>
      <w:r>
        <w:t>Legislativo</w:t>
      </w:r>
      <w:r>
        <w:rPr>
          <w:spacing w:val="-2"/>
        </w:rPr>
        <w:t xml:space="preserve"> </w:t>
      </w:r>
      <w:r>
        <w:t>e</w:t>
      </w:r>
      <w:r>
        <w:rPr>
          <w:spacing w:val="-2"/>
        </w:rPr>
        <w:t xml:space="preserve"> </w:t>
      </w:r>
      <w:r>
        <w:t>Poder</w:t>
      </w:r>
      <w:r>
        <w:rPr>
          <w:spacing w:val="-9"/>
        </w:rPr>
        <w:t xml:space="preserve"> </w:t>
      </w:r>
      <w:r>
        <w:rPr>
          <w:spacing w:val="-2"/>
        </w:rPr>
        <w:t>Judiciário</w:t>
      </w:r>
    </w:p>
    <w:p w:rsidR="007259F2" w:rsidRDefault="00E655B4">
      <w:pPr>
        <w:pStyle w:val="Corpodetexto"/>
        <w:spacing w:before="194"/>
        <w:ind w:right="419"/>
      </w:pPr>
      <w:r>
        <w:t>Uma</w:t>
      </w:r>
      <w:r>
        <w:rPr>
          <w:spacing w:val="-9"/>
        </w:rPr>
        <w:t xml:space="preserve"> </w:t>
      </w:r>
      <w:r>
        <w:t>das</w:t>
      </w:r>
      <w:r>
        <w:rPr>
          <w:spacing w:val="-6"/>
        </w:rPr>
        <w:t xml:space="preserve"> </w:t>
      </w:r>
      <w:r>
        <w:t>hipóteses</w:t>
      </w:r>
      <w:r>
        <w:rPr>
          <w:spacing w:val="-10"/>
        </w:rPr>
        <w:t xml:space="preserve"> </w:t>
      </w:r>
      <w:r>
        <w:t>mais</w:t>
      </w:r>
      <w:r>
        <w:rPr>
          <w:spacing w:val="-8"/>
        </w:rPr>
        <w:t xml:space="preserve"> </w:t>
      </w:r>
      <w:r>
        <w:t>palpáveis</w:t>
      </w:r>
      <w:r>
        <w:rPr>
          <w:spacing w:val="-5"/>
        </w:rPr>
        <w:t xml:space="preserve"> </w:t>
      </w:r>
      <w:r>
        <w:t>no</w:t>
      </w:r>
      <w:r>
        <w:rPr>
          <w:spacing w:val="-4"/>
        </w:rPr>
        <w:t xml:space="preserve"> </w:t>
      </w:r>
      <w:r>
        <w:t>contexto</w:t>
      </w:r>
      <w:r>
        <w:rPr>
          <w:spacing w:val="-3"/>
        </w:rPr>
        <w:t xml:space="preserve"> </w:t>
      </w:r>
      <w:r>
        <w:t>dos</w:t>
      </w:r>
      <w:r>
        <w:rPr>
          <w:spacing w:val="-13"/>
        </w:rPr>
        <w:t xml:space="preserve"> </w:t>
      </w:r>
      <w:r>
        <w:t>diálogos</w:t>
      </w:r>
      <w:r>
        <w:rPr>
          <w:spacing w:val="-6"/>
        </w:rPr>
        <w:t xml:space="preserve"> </w:t>
      </w:r>
      <w:r>
        <w:t>institucionais</w:t>
      </w:r>
      <w:r>
        <w:rPr>
          <w:spacing w:val="-9"/>
        </w:rPr>
        <w:t xml:space="preserve"> </w:t>
      </w:r>
      <w:r>
        <w:t>diz</w:t>
      </w:r>
      <w:r>
        <w:rPr>
          <w:spacing w:val="-6"/>
        </w:rPr>
        <w:t xml:space="preserve"> </w:t>
      </w:r>
      <w:r>
        <w:t>respeito</w:t>
      </w:r>
      <w:r>
        <w:rPr>
          <w:spacing w:val="-4"/>
        </w:rPr>
        <w:t xml:space="preserve"> </w:t>
      </w:r>
      <w:r>
        <w:t>à dinâmica que envolve a relação de freios e contrapesos entre o Judiciário e o Legislativo, consubstanciada no controle de constitucionalidade. Uma norma, antes mesmo de ser editada, muitas vezes já evoca questionamentos em sua fase de discussão quanto à compatibilidade ou incompatibilidade</w:t>
      </w:r>
      <w:r>
        <w:rPr>
          <w:spacing w:val="-7"/>
        </w:rPr>
        <w:t xml:space="preserve"> </w:t>
      </w:r>
      <w:r>
        <w:t>com</w:t>
      </w:r>
      <w:r>
        <w:rPr>
          <w:spacing w:val="-12"/>
        </w:rPr>
        <w:t xml:space="preserve"> </w:t>
      </w:r>
      <w:r>
        <w:t>a</w:t>
      </w:r>
      <w:r>
        <w:rPr>
          <w:spacing w:val="-7"/>
        </w:rPr>
        <w:t xml:space="preserve"> </w:t>
      </w:r>
      <w:r>
        <w:t>Constituição.</w:t>
      </w:r>
      <w:r>
        <w:rPr>
          <w:spacing w:val="-4"/>
        </w:rPr>
        <w:t xml:space="preserve"> </w:t>
      </w:r>
      <w:r>
        <w:t>Através</w:t>
      </w:r>
      <w:r>
        <w:rPr>
          <w:spacing w:val="-8"/>
        </w:rPr>
        <w:t xml:space="preserve"> </w:t>
      </w:r>
      <w:r>
        <w:t>de uma</w:t>
      </w:r>
      <w:r>
        <w:rPr>
          <w:spacing w:val="-6"/>
        </w:rPr>
        <w:t xml:space="preserve"> </w:t>
      </w:r>
      <w:r>
        <w:t>abordagem</w:t>
      </w:r>
      <w:r>
        <w:rPr>
          <w:spacing w:val="-12"/>
        </w:rPr>
        <w:t xml:space="preserve"> </w:t>
      </w:r>
      <w:r>
        <w:t>cooperativa,</w:t>
      </w:r>
      <w:r>
        <w:rPr>
          <w:spacing w:val="-4"/>
        </w:rPr>
        <w:t xml:space="preserve"> </w:t>
      </w:r>
      <w:r>
        <w:t>que</w:t>
      </w:r>
      <w:r>
        <w:rPr>
          <w:spacing w:val="-7"/>
        </w:rPr>
        <w:t xml:space="preserve"> </w:t>
      </w:r>
      <w:r>
        <w:t>antecede</w:t>
      </w:r>
      <w:r>
        <w:rPr>
          <w:spacing w:val="-6"/>
        </w:rPr>
        <w:t xml:space="preserve"> </w:t>
      </w:r>
      <w:r>
        <w:t>a tomada de decisões, torna-se possível que tais poderes evitem futuros desgastes.</w:t>
      </w:r>
    </w:p>
    <w:p w:rsidR="007259F2" w:rsidRDefault="00E655B4">
      <w:pPr>
        <w:pStyle w:val="Heading2"/>
        <w:numPr>
          <w:ilvl w:val="2"/>
          <w:numId w:val="15"/>
        </w:numPr>
        <w:tabs>
          <w:tab w:val="left" w:pos="1429"/>
        </w:tabs>
        <w:spacing w:before="205"/>
        <w:ind w:left="1429" w:hanging="719"/>
        <w:jc w:val="both"/>
      </w:pPr>
      <w:r>
        <w:t>Poder</w:t>
      </w:r>
      <w:r>
        <w:rPr>
          <w:spacing w:val="-8"/>
        </w:rPr>
        <w:t xml:space="preserve"> </w:t>
      </w:r>
      <w:r>
        <w:t>Executivo</w:t>
      </w:r>
      <w:r>
        <w:rPr>
          <w:spacing w:val="-2"/>
        </w:rPr>
        <w:t xml:space="preserve"> </w:t>
      </w:r>
      <w:r>
        <w:t>e</w:t>
      </w:r>
      <w:r>
        <w:rPr>
          <w:spacing w:val="-2"/>
        </w:rPr>
        <w:t xml:space="preserve"> </w:t>
      </w:r>
      <w:r>
        <w:t>Poder</w:t>
      </w:r>
      <w:r>
        <w:rPr>
          <w:spacing w:val="-7"/>
        </w:rPr>
        <w:t xml:space="preserve"> </w:t>
      </w:r>
      <w:r>
        <w:rPr>
          <w:spacing w:val="-2"/>
        </w:rPr>
        <w:t>Judiciário</w:t>
      </w:r>
    </w:p>
    <w:p w:rsidR="007259F2" w:rsidRDefault="00E655B4">
      <w:pPr>
        <w:pStyle w:val="Corpodetexto"/>
        <w:spacing w:before="115"/>
        <w:ind w:right="422"/>
      </w:pPr>
      <w:r>
        <w:t>No tocante à dinâmica desenvolvida entre o Executivo e o Judiciário, podemos identificar a coparticipação destes nos casos envolvendo decisões que atingem ou até mesmo determinam a realização de políticas públicas. A questão do ativismo judicial revela-se complexa e merece uma abordagem mais detalhada em trabalho próprio, sob o risco de simplificação exacerbada da questão. Todavia, em termos gerais, ocorrem casos em que o Judiciário age de forma ativa na concretização de políticas de responsabilidade do Executivo, não</w:t>
      </w:r>
      <w:r>
        <w:rPr>
          <w:spacing w:val="-1"/>
        </w:rPr>
        <w:t xml:space="preserve"> </w:t>
      </w:r>
      <w:r>
        <w:t>raramente</w:t>
      </w:r>
      <w:r>
        <w:rPr>
          <w:spacing w:val="-5"/>
        </w:rPr>
        <w:t xml:space="preserve"> </w:t>
      </w:r>
      <w:r>
        <w:t>por</w:t>
      </w:r>
      <w:r>
        <w:rPr>
          <w:spacing w:val="-6"/>
        </w:rPr>
        <w:t xml:space="preserve"> </w:t>
      </w:r>
      <w:r>
        <w:t>razões</w:t>
      </w:r>
      <w:r>
        <w:rPr>
          <w:spacing w:val="-6"/>
        </w:rPr>
        <w:t xml:space="preserve"> </w:t>
      </w:r>
      <w:r>
        <w:t>de</w:t>
      </w:r>
      <w:r>
        <w:rPr>
          <w:spacing w:val="-6"/>
        </w:rPr>
        <w:t xml:space="preserve"> </w:t>
      </w:r>
      <w:r>
        <w:t>ineficiência</w:t>
      </w:r>
      <w:r>
        <w:rPr>
          <w:spacing w:val="-5"/>
        </w:rPr>
        <w:t xml:space="preserve"> </w:t>
      </w:r>
      <w:r>
        <w:t>deste. Nesse</w:t>
      </w:r>
      <w:r>
        <w:rPr>
          <w:spacing w:val="-4"/>
        </w:rPr>
        <w:t xml:space="preserve"> </w:t>
      </w:r>
      <w:r>
        <w:t>contexto,</w:t>
      </w:r>
      <w:r>
        <w:rPr>
          <w:spacing w:val="-11"/>
        </w:rPr>
        <w:t xml:space="preserve"> </w:t>
      </w:r>
      <w:r>
        <w:t>o</w:t>
      </w:r>
      <w:r>
        <w:rPr>
          <w:spacing w:val="-1"/>
        </w:rPr>
        <w:t xml:space="preserve"> </w:t>
      </w:r>
      <w:r>
        <w:t>diálogo</w:t>
      </w:r>
      <w:r>
        <w:rPr>
          <w:spacing w:val="-1"/>
        </w:rPr>
        <w:t xml:space="preserve"> </w:t>
      </w:r>
      <w:r>
        <w:t>pode</w:t>
      </w:r>
      <w:r>
        <w:rPr>
          <w:spacing w:val="-10"/>
        </w:rPr>
        <w:t xml:space="preserve"> </w:t>
      </w:r>
      <w:r>
        <w:t>ser</w:t>
      </w:r>
      <w:r>
        <w:rPr>
          <w:spacing w:val="-3"/>
        </w:rPr>
        <w:t xml:space="preserve"> </w:t>
      </w:r>
      <w:r>
        <w:t xml:space="preserve">utilizado na execução de decisões, considerando que o Executivo possui limitações de ordem prática, devendo-se buscar conjuntamente o melhor meio para que a determinação judicial seja </w:t>
      </w:r>
      <w:r>
        <w:rPr>
          <w:spacing w:val="-2"/>
        </w:rPr>
        <w:t>executada.</w:t>
      </w:r>
    </w:p>
    <w:p w:rsidR="007259F2" w:rsidRDefault="00E655B4">
      <w:pPr>
        <w:pStyle w:val="Corpodetexto"/>
        <w:spacing w:before="1"/>
        <w:ind w:right="423"/>
      </w:pPr>
      <w:r>
        <w:t>Nesse mesmo sentido segue a Lei de introdução às normas do Direito Brasileiro (BRASIL, 1942):</w:t>
      </w:r>
    </w:p>
    <w:p w:rsidR="007259F2" w:rsidRDefault="00E655B4">
      <w:pPr>
        <w:spacing w:before="1"/>
        <w:ind w:left="2978" w:right="423"/>
        <w:jc w:val="both"/>
        <w:rPr>
          <w:sz w:val="20"/>
        </w:rPr>
      </w:pPr>
      <w:r>
        <w:rPr>
          <w:sz w:val="20"/>
        </w:rPr>
        <w:t>Art.</w:t>
      </w:r>
      <w:r>
        <w:rPr>
          <w:spacing w:val="-3"/>
          <w:sz w:val="20"/>
        </w:rPr>
        <w:t xml:space="preserve"> </w:t>
      </w:r>
      <w:r>
        <w:rPr>
          <w:sz w:val="20"/>
        </w:rPr>
        <w:t>20.</w:t>
      </w:r>
      <w:r>
        <w:rPr>
          <w:spacing w:val="38"/>
          <w:sz w:val="20"/>
        </w:rPr>
        <w:t xml:space="preserve"> </w:t>
      </w:r>
      <w:r>
        <w:rPr>
          <w:sz w:val="20"/>
        </w:rPr>
        <w:t>Nas</w:t>
      </w:r>
      <w:r>
        <w:rPr>
          <w:spacing w:val="-8"/>
          <w:sz w:val="20"/>
        </w:rPr>
        <w:t xml:space="preserve"> </w:t>
      </w:r>
      <w:r>
        <w:rPr>
          <w:sz w:val="20"/>
        </w:rPr>
        <w:t>esferas</w:t>
      </w:r>
      <w:r>
        <w:rPr>
          <w:spacing w:val="-5"/>
          <w:sz w:val="20"/>
        </w:rPr>
        <w:t xml:space="preserve"> </w:t>
      </w:r>
      <w:r>
        <w:rPr>
          <w:sz w:val="20"/>
        </w:rPr>
        <w:t>administrativa,</w:t>
      </w:r>
      <w:r>
        <w:rPr>
          <w:spacing w:val="-2"/>
          <w:sz w:val="20"/>
        </w:rPr>
        <w:t xml:space="preserve"> </w:t>
      </w:r>
      <w:r>
        <w:rPr>
          <w:sz w:val="20"/>
        </w:rPr>
        <w:t>controladora</w:t>
      </w:r>
      <w:r>
        <w:rPr>
          <w:spacing w:val="-2"/>
          <w:sz w:val="20"/>
        </w:rPr>
        <w:t xml:space="preserve"> </w:t>
      </w:r>
      <w:r>
        <w:rPr>
          <w:sz w:val="20"/>
        </w:rPr>
        <w:t>e</w:t>
      </w:r>
      <w:r>
        <w:rPr>
          <w:spacing w:val="-10"/>
          <w:sz w:val="20"/>
        </w:rPr>
        <w:t xml:space="preserve"> </w:t>
      </w:r>
      <w:r>
        <w:rPr>
          <w:sz w:val="20"/>
        </w:rPr>
        <w:t>judicial,</w:t>
      </w:r>
      <w:r>
        <w:rPr>
          <w:spacing w:val="-6"/>
          <w:sz w:val="20"/>
        </w:rPr>
        <w:t xml:space="preserve"> </w:t>
      </w:r>
      <w:r>
        <w:rPr>
          <w:sz w:val="20"/>
        </w:rPr>
        <w:t>não</w:t>
      </w:r>
      <w:r>
        <w:rPr>
          <w:spacing w:val="-3"/>
          <w:sz w:val="20"/>
        </w:rPr>
        <w:t xml:space="preserve"> </w:t>
      </w:r>
      <w:r>
        <w:rPr>
          <w:sz w:val="20"/>
        </w:rPr>
        <w:t>se</w:t>
      </w:r>
      <w:r>
        <w:rPr>
          <w:spacing w:val="-3"/>
          <w:sz w:val="20"/>
        </w:rPr>
        <w:t xml:space="preserve"> </w:t>
      </w:r>
      <w:r>
        <w:rPr>
          <w:sz w:val="20"/>
        </w:rPr>
        <w:t>decidirá</w:t>
      </w:r>
      <w:r>
        <w:rPr>
          <w:spacing w:val="-3"/>
          <w:sz w:val="20"/>
        </w:rPr>
        <w:t xml:space="preserve"> </w:t>
      </w:r>
      <w:r>
        <w:rPr>
          <w:sz w:val="20"/>
        </w:rPr>
        <w:t>com</w:t>
      </w:r>
      <w:r>
        <w:rPr>
          <w:spacing w:val="-5"/>
          <w:sz w:val="20"/>
        </w:rPr>
        <w:t xml:space="preserve"> </w:t>
      </w:r>
      <w:r>
        <w:rPr>
          <w:sz w:val="20"/>
        </w:rPr>
        <w:t>base em</w:t>
      </w:r>
      <w:r>
        <w:rPr>
          <w:spacing w:val="-2"/>
          <w:sz w:val="20"/>
        </w:rPr>
        <w:t xml:space="preserve"> </w:t>
      </w:r>
      <w:r>
        <w:rPr>
          <w:sz w:val="20"/>
        </w:rPr>
        <w:t>valores</w:t>
      </w:r>
      <w:r>
        <w:rPr>
          <w:spacing w:val="-2"/>
          <w:sz w:val="20"/>
        </w:rPr>
        <w:t xml:space="preserve"> </w:t>
      </w:r>
      <w:r>
        <w:rPr>
          <w:sz w:val="20"/>
        </w:rPr>
        <w:t>jurídicos</w:t>
      </w:r>
      <w:r>
        <w:rPr>
          <w:spacing w:val="-3"/>
          <w:sz w:val="20"/>
        </w:rPr>
        <w:t xml:space="preserve"> </w:t>
      </w:r>
      <w:r>
        <w:rPr>
          <w:sz w:val="20"/>
        </w:rPr>
        <w:t>abstratos sem</w:t>
      </w:r>
      <w:r>
        <w:rPr>
          <w:spacing w:val="-2"/>
          <w:sz w:val="20"/>
        </w:rPr>
        <w:t xml:space="preserve"> </w:t>
      </w:r>
      <w:r>
        <w:rPr>
          <w:sz w:val="20"/>
        </w:rPr>
        <w:t>que</w:t>
      </w:r>
      <w:r>
        <w:rPr>
          <w:spacing w:val="-2"/>
          <w:sz w:val="20"/>
        </w:rPr>
        <w:t xml:space="preserve"> </w:t>
      </w:r>
      <w:r>
        <w:rPr>
          <w:sz w:val="20"/>
        </w:rPr>
        <w:t>sejam</w:t>
      </w:r>
      <w:r>
        <w:rPr>
          <w:spacing w:val="-5"/>
          <w:sz w:val="20"/>
        </w:rPr>
        <w:t xml:space="preserve"> </w:t>
      </w:r>
      <w:r>
        <w:rPr>
          <w:sz w:val="20"/>
        </w:rPr>
        <w:t>consideradas</w:t>
      </w:r>
      <w:r>
        <w:rPr>
          <w:spacing w:val="-2"/>
          <w:sz w:val="20"/>
        </w:rPr>
        <w:t xml:space="preserve"> </w:t>
      </w:r>
      <w:r>
        <w:rPr>
          <w:sz w:val="20"/>
        </w:rPr>
        <w:t>as</w:t>
      </w:r>
      <w:r>
        <w:rPr>
          <w:spacing w:val="-3"/>
          <w:sz w:val="20"/>
        </w:rPr>
        <w:t xml:space="preserve"> </w:t>
      </w:r>
      <w:r>
        <w:rPr>
          <w:sz w:val="20"/>
        </w:rPr>
        <w:t>consequências</w:t>
      </w:r>
      <w:r>
        <w:rPr>
          <w:spacing w:val="-3"/>
          <w:sz w:val="20"/>
        </w:rPr>
        <w:t xml:space="preserve"> </w:t>
      </w:r>
      <w:r>
        <w:rPr>
          <w:sz w:val="20"/>
        </w:rPr>
        <w:t>práticas da decisão.</w:t>
      </w:r>
    </w:p>
    <w:p w:rsidR="007259F2" w:rsidRDefault="00E655B4">
      <w:pPr>
        <w:ind w:left="2978" w:right="425"/>
        <w:jc w:val="both"/>
        <w:rPr>
          <w:sz w:val="20"/>
        </w:rPr>
      </w:pPr>
      <w:r>
        <w:rPr>
          <w:sz w:val="20"/>
        </w:rPr>
        <w:t>Parágrafo único. A motivação demonstrará a necessidade e a adequação da medida imposta</w:t>
      </w:r>
      <w:r>
        <w:rPr>
          <w:spacing w:val="-6"/>
          <w:sz w:val="20"/>
        </w:rPr>
        <w:t xml:space="preserve"> </w:t>
      </w:r>
      <w:r>
        <w:rPr>
          <w:sz w:val="20"/>
        </w:rPr>
        <w:t>ou</w:t>
      </w:r>
      <w:r>
        <w:rPr>
          <w:spacing w:val="-3"/>
          <w:sz w:val="20"/>
        </w:rPr>
        <w:t xml:space="preserve"> </w:t>
      </w:r>
      <w:r>
        <w:rPr>
          <w:sz w:val="20"/>
        </w:rPr>
        <w:t>da</w:t>
      </w:r>
      <w:r>
        <w:rPr>
          <w:spacing w:val="-6"/>
          <w:sz w:val="20"/>
        </w:rPr>
        <w:t xml:space="preserve"> </w:t>
      </w:r>
      <w:r>
        <w:rPr>
          <w:sz w:val="20"/>
        </w:rPr>
        <w:t>invalidação</w:t>
      </w:r>
      <w:r>
        <w:rPr>
          <w:spacing w:val="-4"/>
          <w:sz w:val="20"/>
        </w:rPr>
        <w:t xml:space="preserve"> </w:t>
      </w:r>
      <w:r>
        <w:rPr>
          <w:sz w:val="20"/>
        </w:rPr>
        <w:t>de</w:t>
      </w:r>
      <w:r>
        <w:rPr>
          <w:spacing w:val="-6"/>
          <w:sz w:val="20"/>
        </w:rPr>
        <w:t xml:space="preserve"> </w:t>
      </w:r>
      <w:r>
        <w:rPr>
          <w:sz w:val="20"/>
        </w:rPr>
        <w:t>ato,</w:t>
      </w:r>
      <w:r>
        <w:rPr>
          <w:spacing w:val="-3"/>
          <w:sz w:val="20"/>
        </w:rPr>
        <w:t xml:space="preserve"> </w:t>
      </w:r>
      <w:r>
        <w:rPr>
          <w:sz w:val="20"/>
        </w:rPr>
        <w:t>contrato,</w:t>
      </w:r>
      <w:r>
        <w:rPr>
          <w:spacing w:val="-3"/>
          <w:sz w:val="20"/>
        </w:rPr>
        <w:t xml:space="preserve"> </w:t>
      </w:r>
      <w:r>
        <w:rPr>
          <w:sz w:val="20"/>
        </w:rPr>
        <w:t>ajuste,</w:t>
      </w:r>
      <w:r>
        <w:rPr>
          <w:spacing w:val="-1"/>
          <w:sz w:val="20"/>
        </w:rPr>
        <w:t xml:space="preserve"> </w:t>
      </w:r>
      <w:r>
        <w:rPr>
          <w:sz w:val="20"/>
        </w:rPr>
        <w:t>processo ou</w:t>
      </w:r>
      <w:r>
        <w:rPr>
          <w:spacing w:val="-7"/>
          <w:sz w:val="20"/>
        </w:rPr>
        <w:t xml:space="preserve"> </w:t>
      </w:r>
      <w:r>
        <w:rPr>
          <w:sz w:val="20"/>
        </w:rPr>
        <w:t>norma</w:t>
      </w:r>
      <w:r>
        <w:rPr>
          <w:spacing w:val="-6"/>
          <w:sz w:val="20"/>
        </w:rPr>
        <w:t xml:space="preserve"> </w:t>
      </w:r>
      <w:r>
        <w:rPr>
          <w:sz w:val="20"/>
        </w:rPr>
        <w:t>administrativa, inclusive em face das possíveis alternativas.</w:t>
      </w:r>
    </w:p>
    <w:p w:rsidR="007259F2" w:rsidRDefault="00E655B4">
      <w:pPr>
        <w:pStyle w:val="Heading2"/>
        <w:numPr>
          <w:ilvl w:val="2"/>
          <w:numId w:val="15"/>
        </w:numPr>
        <w:tabs>
          <w:tab w:val="left" w:pos="1429"/>
        </w:tabs>
        <w:spacing w:before="203"/>
        <w:ind w:left="1429" w:hanging="719"/>
      </w:pPr>
      <w:r>
        <w:t>Poder</w:t>
      </w:r>
      <w:r>
        <w:rPr>
          <w:spacing w:val="-8"/>
        </w:rPr>
        <w:t xml:space="preserve"> </w:t>
      </w:r>
      <w:r>
        <w:t>Legislativo</w:t>
      </w:r>
      <w:r>
        <w:rPr>
          <w:spacing w:val="-2"/>
        </w:rPr>
        <w:t xml:space="preserve"> </w:t>
      </w:r>
      <w:r>
        <w:t>e</w:t>
      </w:r>
      <w:r>
        <w:rPr>
          <w:spacing w:val="-2"/>
        </w:rPr>
        <w:t xml:space="preserve"> </w:t>
      </w:r>
      <w:r>
        <w:t>Poder</w:t>
      </w:r>
      <w:r>
        <w:rPr>
          <w:spacing w:val="-9"/>
        </w:rPr>
        <w:t xml:space="preserve"> </w:t>
      </w:r>
      <w:r>
        <w:rPr>
          <w:spacing w:val="-2"/>
        </w:rPr>
        <w:t>Executivo</w:t>
      </w:r>
    </w:p>
    <w:p w:rsidR="007259F2" w:rsidRDefault="00E655B4">
      <w:pPr>
        <w:pStyle w:val="Corpodetexto"/>
        <w:spacing w:before="197"/>
        <w:ind w:right="421"/>
      </w:pPr>
      <w:r>
        <w:t>Adentrando agora na dinâmica que mais interessa a este trabalho, destaca-se que o diálogo estabelecido entre o Legislativo e o Executivo, poderes esses com papéis eminentemente</w:t>
      </w:r>
      <w:r>
        <w:rPr>
          <w:spacing w:val="-15"/>
        </w:rPr>
        <w:t xml:space="preserve"> </w:t>
      </w:r>
      <w:r>
        <w:t>políticos,</w:t>
      </w:r>
      <w:r>
        <w:rPr>
          <w:spacing w:val="-14"/>
        </w:rPr>
        <w:t xml:space="preserve"> </w:t>
      </w:r>
      <w:r>
        <w:t>está</w:t>
      </w:r>
      <w:r>
        <w:rPr>
          <w:spacing w:val="-15"/>
        </w:rPr>
        <w:t xml:space="preserve"> </w:t>
      </w:r>
      <w:r>
        <w:t>intrinsecamente</w:t>
      </w:r>
      <w:r>
        <w:rPr>
          <w:spacing w:val="-11"/>
        </w:rPr>
        <w:t xml:space="preserve"> </w:t>
      </w:r>
      <w:r>
        <w:t>ligado</w:t>
      </w:r>
      <w:r>
        <w:rPr>
          <w:spacing w:val="-11"/>
        </w:rPr>
        <w:t xml:space="preserve"> </w:t>
      </w:r>
      <w:r>
        <w:t>ao</w:t>
      </w:r>
      <w:r>
        <w:rPr>
          <w:spacing w:val="-12"/>
        </w:rPr>
        <w:t xml:space="preserve"> </w:t>
      </w:r>
      <w:r>
        <w:t>próprio</w:t>
      </w:r>
      <w:r>
        <w:rPr>
          <w:spacing w:val="-12"/>
        </w:rPr>
        <w:t xml:space="preserve"> </w:t>
      </w:r>
      <w:r>
        <w:t>funcionamento</w:t>
      </w:r>
      <w:r>
        <w:rPr>
          <w:spacing w:val="-10"/>
        </w:rPr>
        <w:t xml:space="preserve"> </w:t>
      </w:r>
      <w:r>
        <w:t>da</w:t>
      </w:r>
      <w:r>
        <w:rPr>
          <w:spacing w:val="-15"/>
        </w:rPr>
        <w:t xml:space="preserve"> </w:t>
      </w:r>
      <w:r>
        <w:t>democracia, sendo o campo das negociações entre tais funções o palco dos maiores embates entre a realização</w:t>
      </w:r>
      <w:r>
        <w:rPr>
          <w:spacing w:val="-15"/>
        </w:rPr>
        <w:t xml:space="preserve"> </w:t>
      </w:r>
      <w:r>
        <w:t>de</w:t>
      </w:r>
      <w:r>
        <w:rPr>
          <w:spacing w:val="-15"/>
        </w:rPr>
        <w:t xml:space="preserve"> </w:t>
      </w:r>
      <w:r>
        <w:t>um</w:t>
      </w:r>
      <w:r>
        <w:rPr>
          <w:spacing w:val="-15"/>
        </w:rPr>
        <w:t xml:space="preserve"> </w:t>
      </w:r>
      <w:r>
        <w:t>programa</w:t>
      </w:r>
      <w:r>
        <w:rPr>
          <w:spacing w:val="-15"/>
        </w:rPr>
        <w:t xml:space="preserve"> </w:t>
      </w:r>
      <w:r>
        <w:t>de</w:t>
      </w:r>
      <w:r>
        <w:rPr>
          <w:spacing w:val="-15"/>
        </w:rPr>
        <w:t xml:space="preserve"> </w:t>
      </w:r>
      <w:r>
        <w:t>governo</w:t>
      </w:r>
      <w:r>
        <w:rPr>
          <w:spacing w:val="-15"/>
        </w:rPr>
        <w:t xml:space="preserve"> </w:t>
      </w:r>
      <w:r>
        <w:t>e</w:t>
      </w:r>
      <w:r>
        <w:rPr>
          <w:spacing w:val="-15"/>
        </w:rPr>
        <w:t xml:space="preserve"> </w:t>
      </w:r>
      <w:r>
        <w:t>a</w:t>
      </w:r>
      <w:r>
        <w:rPr>
          <w:spacing w:val="-15"/>
        </w:rPr>
        <w:t xml:space="preserve"> </w:t>
      </w:r>
      <w:r>
        <w:t>exposição</w:t>
      </w:r>
      <w:r>
        <w:rPr>
          <w:spacing w:val="-15"/>
        </w:rPr>
        <w:t xml:space="preserve"> </w:t>
      </w:r>
      <w:r>
        <w:t>de</w:t>
      </w:r>
      <w:r>
        <w:rPr>
          <w:spacing w:val="-15"/>
        </w:rPr>
        <w:t xml:space="preserve"> </w:t>
      </w:r>
      <w:r>
        <w:t>debates</w:t>
      </w:r>
      <w:r>
        <w:rPr>
          <w:spacing w:val="-15"/>
        </w:rPr>
        <w:t xml:space="preserve"> </w:t>
      </w:r>
      <w:r>
        <w:t>públicos</w:t>
      </w:r>
      <w:r>
        <w:rPr>
          <w:spacing w:val="-15"/>
        </w:rPr>
        <w:t xml:space="preserve"> </w:t>
      </w:r>
      <w:r>
        <w:t>sobre</w:t>
      </w:r>
      <w:r>
        <w:rPr>
          <w:spacing w:val="-15"/>
        </w:rPr>
        <w:t xml:space="preserve"> </w:t>
      </w:r>
      <w:r>
        <w:t>os</w:t>
      </w:r>
      <w:r>
        <w:rPr>
          <w:spacing w:val="-15"/>
        </w:rPr>
        <w:t xml:space="preserve"> </w:t>
      </w:r>
      <w:r>
        <w:t>mais</w:t>
      </w:r>
      <w:r>
        <w:rPr>
          <w:spacing w:val="-15"/>
        </w:rPr>
        <w:t xml:space="preserve"> </w:t>
      </w:r>
      <w:r>
        <w:t xml:space="preserve">variados </w:t>
      </w:r>
      <w:r>
        <w:rPr>
          <w:spacing w:val="-2"/>
        </w:rPr>
        <w:t>temas.</w:t>
      </w:r>
    </w:p>
    <w:p w:rsidR="007259F2" w:rsidRDefault="00E655B4">
      <w:pPr>
        <w:pStyle w:val="Heading2"/>
        <w:numPr>
          <w:ilvl w:val="1"/>
          <w:numId w:val="15"/>
        </w:numPr>
        <w:tabs>
          <w:tab w:val="left" w:pos="1070"/>
        </w:tabs>
        <w:spacing w:before="204"/>
      </w:pPr>
      <w:r>
        <w:t>Governança</w:t>
      </w:r>
      <w:r>
        <w:rPr>
          <w:spacing w:val="-4"/>
        </w:rPr>
        <w:t xml:space="preserve"> </w:t>
      </w:r>
      <w:r>
        <w:t>e</w:t>
      </w:r>
      <w:r>
        <w:rPr>
          <w:spacing w:val="-5"/>
        </w:rPr>
        <w:t xml:space="preserve"> </w:t>
      </w:r>
      <w:r>
        <w:rPr>
          <w:spacing w:val="-2"/>
        </w:rPr>
        <w:t>governabilidade</w:t>
      </w:r>
    </w:p>
    <w:p w:rsidR="007259F2" w:rsidRDefault="00E655B4">
      <w:pPr>
        <w:pStyle w:val="Corpodetexto"/>
        <w:spacing w:before="195"/>
        <w:ind w:right="428"/>
      </w:pPr>
      <w:r>
        <w:t>Assim sendo, importante destacar que a dinâmica envolvendo esses Poderes é indissociável das ideias de governança e governabilidade.</w:t>
      </w:r>
    </w:p>
    <w:p w:rsidR="007259F2" w:rsidRDefault="00E655B4">
      <w:pPr>
        <w:pStyle w:val="Heading2"/>
        <w:numPr>
          <w:ilvl w:val="2"/>
          <w:numId w:val="15"/>
        </w:numPr>
        <w:tabs>
          <w:tab w:val="left" w:pos="1429"/>
        </w:tabs>
        <w:spacing w:before="206"/>
        <w:ind w:left="1429" w:hanging="719"/>
      </w:pPr>
      <w:r>
        <w:rPr>
          <w:spacing w:val="-2"/>
        </w:rPr>
        <w:t>Governança</w:t>
      </w:r>
    </w:p>
    <w:p w:rsidR="007259F2" w:rsidRDefault="00E655B4">
      <w:pPr>
        <w:pStyle w:val="Corpodetexto"/>
        <w:spacing w:before="195"/>
        <w:ind w:right="423"/>
      </w:pPr>
      <w:r>
        <w:t>Conforme definição do Banco Mundial, o conceito de governança pode ser compreendido como “a maneira pela qual o poder é exercido na administração dos recursos sociais</w:t>
      </w:r>
      <w:r>
        <w:rPr>
          <w:spacing w:val="21"/>
        </w:rPr>
        <w:t xml:space="preserve"> </w:t>
      </w:r>
      <w:r>
        <w:t>e</w:t>
      </w:r>
      <w:r>
        <w:rPr>
          <w:spacing w:val="23"/>
        </w:rPr>
        <w:t xml:space="preserve"> </w:t>
      </w:r>
      <w:r>
        <w:t>econômicos</w:t>
      </w:r>
      <w:r>
        <w:rPr>
          <w:spacing w:val="26"/>
        </w:rPr>
        <w:t xml:space="preserve"> </w:t>
      </w:r>
      <w:r>
        <w:t>de</w:t>
      </w:r>
      <w:r>
        <w:rPr>
          <w:spacing w:val="23"/>
        </w:rPr>
        <w:t xml:space="preserve"> </w:t>
      </w:r>
      <w:r>
        <w:t>um</w:t>
      </w:r>
      <w:r>
        <w:rPr>
          <w:spacing w:val="26"/>
        </w:rPr>
        <w:t xml:space="preserve"> </w:t>
      </w:r>
      <w:r>
        <w:t>país</w:t>
      </w:r>
      <w:r>
        <w:rPr>
          <w:spacing w:val="23"/>
        </w:rPr>
        <w:t xml:space="preserve"> </w:t>
      </w:r>
      <w:r>
        <w:t>visando</w:t>
      </w:r>
      <w:r>
        <w:rPr>
          <w:spacing w:val="23"/>
        </w:rPr>
        <w:t xml:space="preserve"> </w:t>
      </w:r>
      <w:r>
        <w:t>o</w:t>
      </w:r>
      <w:r>
        <w:rPr>
          <w:spacing w:val="22"/>
        </w:rPr>
        <w:t xml:space="preserve"> </w:t>
      </w:r>
      <w:r>
        <w:t>desenvolvimento”</w:t>
      </w:r>
      <w:r>
        <w:rPr>
          <w:spacing w:val="22"/>
        </w:rPr>
        <w:t xml:space="preserve"> </w:t>
      </w:r>
      <w:r>
        <w:t>(WORLD</w:t>
      </w:r>
      <w:r>
        <w:rPr>
          <w:spacing w:val="26"/>
        </w:rPr>
        <w:t xml:space="preserve"> </w:t>
      </w:r>
      <w:r>
        <w:t>BANK,</w:t>
      </w:r>
      <w:r>
        <w:rPr>
          <w:spacing w:val="24"/>
        </w:rPr>
        <w:t xml:space="preserve"> </w:t>
      </w:r>
      <w:r>
        <w:t>1992).</w:t>
      </w:r>
      <w:r>
        <w:rPr>
          <w:spacing w:val="25"/>
        </w:rPr>
        <w:t xml:space="preserve"> </w:t>
      </w:r>
      <w:r>
        <w:rPr>
          <w:spacing w:val="-5"/>
        </w:rPr>
        <w:t>Ou</w:t>
      </w:r>
    </w:p>
    <w:p w:rsidR="007259F2" w:rsidRDefault="007259F2">
      <w:pPr>
        <w:pStyle w:val="Corpodetexto"/>
        <w:sectPr w:rsidR="007259F2">
          <w:pgSz w:w="11910" w:h="16840"/>
          <w:pgMar w:top="1600" w:right="708" w:bottom="1020" w:left="992" w:header="0" w:footer="820" w:gutter="0"/>
          <w:cols w:space="720"/>
        </w:sectPr>
      </w:pPr>
    </w:p>
    <w:p w:rsidR="007259F2" w:rsidRDefault="00E655B4">
      <w:pPr>
        <w:pStyle w:val="Corpodetexto"/>
        <w:spacing w:before="75"/>
        <w:ind w:right="419" w:firstLine="0"/>
      </w:pPr>
      <w:r>
        <w:lastRenderedPageBreak/>
        <w:t>seja, o termo se refere à competência da administração em empregar esforços para a persecução</w:t>
      </w:r>
      <w:r>
        <w:rPr>
          <w:spacing w:val="-15"/>
        </w:rPr>
        <w:t xml:space="preserve"> </w:t>
      </w:r>
      <w:r>
        <w:t>de</w:t>
      </w:r>
      <w:r>
        <w:rPr>
          <w:spacing w:val="-15"/>
        </w:rPr>
        <w:t xml:space="preserve"> </w:t>
      </w:r>
      <w:r>
        <w:t>seus</w:t>
      </w:r>
      <w:r>
        <w:rPr>
          <w:spacing w:val="-15"/>
        </w:rPr>
        <w:t xml:space="preserve"> </w:t>
      </w:r>
      <w:r>
        <w:t>objetivos.</w:t>
      </w:r>
      <w:r>
        <w:rPr>
          <w:spacing w:val="-15"/>
        </w:rPr>
        <w:t xml:space="preserve"> </w:t>
      </w:r>
      <w:r>
        <w:t>Tal</w:t>
      </w:r>
      <w:r>
        <w:rPr>
          <w:spacing w:val="-15"/>
        </w:rPr>
        <w:t xml:space="preserve"> </w:t>
      </w:r>
      <w:r>
        <w:t>empenho,</w:t>
      </w:r>
      <w:r>
        <w:rPr>
          <w:spacing w:val="-15"/>
        </w:rPr>
        <w:t xml:space="preserve"> </w:t>
      </w:r>
      <w:r>
        <w:t>embora</w:t>
      </w:r>
      <w:r>
        <w:rPr>
          <w:spacing w:val="-15"/>
        </w:rPr>
        <w:t xml:space="preserve"> </w:t>
      </w:r>
      <w:r>
        <w:t>de</w:t>
      </w:r>
      <w:r>
        <w:rPr>
          <w:spacing w:val="-15"/>
        </w:rPr>
        <w:t xml:space="preserve"> </w:t>
      </w:r>
      <w:r>
        <w:t>competência</w:t>
      </w:r>
      <w:r>
        <w:rPr>
          <w:spacing w:val="-15"/>
        </w:rPr>
        <w:t xml:space="preserve"> </w:t>
      </w:r>
      <w:r>
        <w:t>do</w:t>
      </w:r>
      <w:r>
        <w:rPr>
          <w:spacing w:val="-15"/>
        </w:rPr>
        <w:t xml:space="preserve"> </w:t>
      </w:r>
      <w:r>
        <w:t>Poder</w:t>
      </w:r>
      <w:r>
        <w:rPr>
          <w:spacing w:val="-15"/>
        </w:rPr>
        <w:t xml:space="preserve"> </w:t>
      </w:r>
      <w:r>
        <w:t>Executivo</w:t>
      </w:r>
      <w:r>
        <w:rPr>
          <w:spacing w:val="-10"/>
        </w:rPr>
        <w:t xml:space="preserve"> </w:t>
      </w:r>
      <w:r>
        <w:t>em</w:t>
      </w:r>
      <w:r>
        <w:rPr>
          <w:spacing w:val="-15"/>
        </w:rPr>
        <w:t xml:space="preserve"> </w:t>
      </w:r>
      <w:r>
        <w:t>sua obrigação de definir os rumos das políticas públicas, não se dá de maneira isolada, necessitando, portanto, da coordenação com o Legislativo, de modo a garantir rumos minimamente comuns no emprego dos recursos do Estado.</w:t>
      </w:r>
    </w:p>
    <w:p w:rsidR="007259F2" w:rsidRDefault="00E655B4">
      <w:pPr>
        <w:pStyle w:val="Heading2"/>
        <w:numPr>
          <w:ilvl w:val="2"/>
          <w:numId w:val="15"/>
        </w:numPr>
        <w:tabs>
          <w:tab w:val="left" w:pos="1429"/>
        </w:tabs>
        <w:ind w:left="1429" w:hanging="719"/>
        <w:jc w:val="both"/>
      </w:pPr>
      <w:r>
        <w:rPr>
          <w:spacing w:val="-2"/>
        </w:rPr>
        <w:t>Governabilidade</w:t>
      </w:r>
    </w:p>
    <w:p w:rsidR="007259F2" w:rsidRDefault="00E655B4">
      <w:pPr>
        <w:pStyle w:val="Corpodetexto"/>
        <w:spacing w:before="113"/>
        <w:ind w:left="1418" w:firstLine="0"/>
      </w:pPr>
      <w:r>
        <w:t>Já</w:t>
      </w:r>
      <w:r>
        <w:rPr>
          <w:spacing w:val="-9"/>
        </w:rPr>
        <w:t xml:space="preserve"> </w:t>
      </w:r>
      <w:r>
        <w:t>no</w:t>
      </w:r>
      <w:r>
        <w:rPr>
          <w:spacing w:val="1"/>
        </w:rPr>
        <w:t xml:space="preserve"> </w:t>
      </w:r>
      <w:r>
        <w:t>tocante</w:t>
      </w:r>
      <w:r>
        <w:rPr>
          <w:spacing w:val="-8"/>
        </w:rPr>
        <w:t xml:space="preserve"> </w:t>
      </w:r>
      <w:r>
        <w:t>à</w:t>
      </w:r>
      <w:r>
        <w:rPr>
          <w:spacing w:val="-4"/>
        </w:rPr>
        <w:t xml:space="preserve"> </w:t>
      </w:r>
      <w:r>
        <w:t>governabilidade, de</w:t>
      </w:r>
      <w:r>
        <w:rPr>
          <w:spacing w:val="-2"/>
        </w:rPr>
        <w:t xml:space="preserve"> </w:t>
      </w:r>
      <w:r>
        <w:t>acordo com</w:t>
      </w:r>
      <w:r>
        <w:rPr>
          <w:spacing w:val="-1"/>
        </w:rPr>
        <w:t xml:space="preserve"> </w:t>
      </w:r>
      <w:r>
        <w:t>Santos (1997),</w:t>
      </w:r>
      <w:r>
        <w:rPr>
          <w:spacing w:val="-1"/>
        </w:rPr>
        <w:t xml:space="preserve"> </w:t>
      </w:r>
      <w:r>
        <w:t>esta diz</w:t>
      </w:r>
      <w:r>
        <w:rPr>
          <w:spacing w:val="-2"/>
        </w:rPr>
        <w:t xml:space="preserve"> </w:t>
      </w:r>
      <w:r>
        <w:t>respeito</w:t>
      </w:r>
      <w:r>
        <w:rPr>
          <w:spacing w:val="3"/>
        </w:rPr>
        <w:t xml:space="preserve"> </w:t>
      </w:r>
      <w:r>
        <w:rPr>
          <w:spacing w:val="-5"/>
        </w:rPr>
        <w:t>às:</w:t>
      </w:r>
    </w:p>
    <w:p w:rsidR="007259F2" w:rsidRDefault="00E655B4">
      <w:pPr>
        <w:spacing w:before="121"/>
        <w:ind w:left="2978" w:right="420"/>
        <w:jc w:val="both"/>
        <w:rPr>
          <w:sz w:val="20"/>
        </w:rPr>
      </w:pPr>
      <w:r>
        <w:rPr>
          <w:sz w:val="20"/>
        </w:rPr>
        <w:t>[...] condições sistêmicas</w:t>
      </w:r>
      <w:r>
        <w:rPr>
          <w:spacing w:val="-1"/>
          <w:sz w:val="20"/>
        </w:rPr>
        <w:t xml:space="preserve"> </w:t>
      </w:r>
      <w:r>
        <w:rPr>
          <w:sz w:val="20"/>
        </w:rPr>
        <w:t>e</w:t>
      </w:r>
      <w:r>
        <w:rPr>
          <w:spacing w:val="-8"/>
          <w:sz w:val="20"/>
        </w:rPr>
        <w:t xml:space="preserve"> </w:t>
      </w:r>
      <w:r>
        <w:rPr>
          <w:sz w:val="20"/>
        </w:rPr>
        <w:t>institucionais</w:t>
      </w:r>
      <w:r>
        <w:rPr>
          <w:spacing w:val="-5"/>
          <w:sz w:val="20"/>
        </w:rPr>
        <w:t xml:space="preserve"> </w:t>
      </w:r>
      <w:r>
        <w:rPr>
          <w:sz w:val="20"/>
        </w:rPr>
        <w:t>sob</w:t>
      </w:r>
      <w:r>
        <w:rPr>
          <w:spacing w:val="-2"/>
          <w:sz w:val="20"/>
        </w:rPr>
        <w:t xml:space="preserve"> </w:t>
      </w:r>
      <w:r>
        <w:rPr>
          <w:sz w:val="20"/>
        </w:rPr>
        <w:t>as</w:t>
      </w:r>
      <w:r>
        <w:rPr>
          <w:spacing w:val="-1"/>
          <w:sz w:val="20"/>
        </w:rPr>
        <w:t xml:space="preserve"> </w:t>
      </w:r>
      <w:r>
        <w:rPr>
          <w:sz w:val="20"/>
        </w:rPr>
        <w:t>quais</w:t>
      </w:r>
      <w:r>
        <w:rPr>
          <w:spacing w:val="-6"/>
          <w:sz w:val="20"/>
        </w:rPr>
        <w:t xml:space="preserve"> </w:t>
      </w:r>
      <w:r>
        <w:rPr>
          <w:sz w:val="20"/>
        </w:rPr>
        <w:t>se</w:t>
      </w:r>
      <w:r>
        <w:rPr>
          <w:spacing w:val="-3"/>
          <w:sz w:val="20"/>
        </w:rPr>
        <w:t xml:space="preserve"> </w:t>
      </w:r>
      <w:r>
        <w:rPr>
          <w:sz w:val="20"/>
        </w:rPr>
        <w:t>dá o</w:t>
      </w:r>
      <w:r>
        <w:rPr>
          <w:spacing w:val="-6"/>
          <w:sz w:val="20"/>
        </w:rPr>
        <w:t xml:space="preserve"> </w:t>
      </w:r>
      <w:r>
        <w:rPr>
          <w:sz w:val="20"/>
        </w:rPr>
        <w:t>exercício</w:t>
      </w:r>
      <w:r>
        <w:rPr>
          <w:spacing w:val="-1"/>
          <w:sz w:val="20"/>
        </w:rPr>
        <w:t xml:space="preserve"> </w:t>
      </w:r>
      <w:r>
        <w:rPr>
          <w:sz w:val="20"/>
        </w:rPr>
        <w:t>do</w:t>
      </w:r>
      <w:r>
        <w:rPr>
          <w:spacing w:val="-4"/>
          <w:sz w:val="20"/>
        </w:rPr>
        <w:t xml:space="preserve"> </w:t>
      </w:r>
      <w:r>
        <w:rPr>
          <w:sz w:val="20"/>
        </w:rPr>
        <w:t>poder, tais como as características do sistema político, a forma de governo, as relações entre os Poderes, o sistema de intermediação de interesses</w:t>
      </w:r>
    </w:p>
    <w:p w:rsidR="007259F2" w:rsidRDefault="00E655B4">
      <w:pPr>
        <w:pStyle w:val="Corpodetexto"/>
        <w:spacing w:before="200"/>
        <w:ind w:right="417"/>
      </w:pPr>
      <w:r>
        <w:t>Logo, temos aqui a ideia de legitimidade do poder político em suas bases, sejam elas tanto a sociedade como com demais agentes que envolvam as decisões estatais. Assim, a governabilidade não pode ser separada da capacidade do Executivo de manter um grupo de apoio sólido no Legislativo, o que em muito depende da capacidade de diálogo e negociação nos moldes atuais da democracia brasileira.</w:t>
      </w:r>
    </w:p>
    <w:p w:rsidR="007259F2" w:rsidRDefault="00E655B4">
      <w:pPr>
        <w:pStyle w:val="Heading2"/>
        <w:numPr>
          <w:ilvl w:val="2"/>
          <w:numId w:val="15"/>
        </w:numPr>
        <w:tabs>
          <w:tab w:val="left" w:pos="1429"/>
        </w:tabs>
        <w:spacing w:before="206"/>
        <w:ind w:left="1429" w:hanging="719"/>
        <w:jc w:val="both"/>
      </w:pPr>
      <w:r>
        <w:t>Governo</w:t>
      </w:r>
      <w:r>
        <w:rPr>
          <w:spacing w:val="-4"/>
        </w:rPr>
        <w:t xml:space="preserve"> </w:t>
      </w:r>
      <w:r>
        <w:t>de</w:t>
      </w:r>
      <w:r>
        <w:rPr>
          <w:spacing w:val="-4"/>
        </w:rPr>
        <w:t xml:space="preserve"> </w:t>
      </w:r>
      <w:r>
        <w:rPr>
          <w:spacing w:val="-2"/>
        </w:rPr>
        <w:t>coalizão</w:t>
      </w:r>
    </w:p>
    <w:p w:rsidR="007259F2" w:rsidRDefault="00E655B4">
      <w:pPr>
        <w:pStyle w:val="Corpodetexto"/>
        <w:spacing w:before="113"/>
        <w:ind w:right="423"/>
      </w:pPr>
      <w:r>
        <w:t>Nesse diapasão, considerando a vital relevância da manutenção da comunicação constante</w:t>
      </w:r>
      <w:r>
        <w:rPr>
          <w:spacing w:val="-15"/>
        </w:rPr>
        <w:t xml:space="preserve"> </w:t>
      </w:r>
      <w:r>
        <w:t>entre</w:t>
      </w:r>
      <w:r>
        <w:rPr>
          <w:spacing w:val="-15"/>
        </w:rPr>
        <w:t xml:space="preserve"> </w:t>
      </w:r>
      <w:r>
        <w:t>o</w:t>
      </w:r>
      <w:r>
        <w:rPr>
          <w:spacing w:val="-15"/>
        </w:rPr>
        <w:t xml:space="preserve"> </w:t>
      </w:r>
      <w:r>
        <w:t>Executivo</w:t>
      </w:r>
      <w:r>
        <w:rPr>
          <w:spacing w:val="-15"/>
        </w:rPr>
        <w:t xml:space="preserve"> </w:t>
      </w:r>
      <w:r>
        <w:t>e</w:t>
      </w:r>
      <w:r>
        <w:rPr>
          <w:spacing w:val="-13"/>
        </w:rPr>
        <w:t xml:space="preserve"> </w:t>
      </w:r>
      <w:r>
        <w:t>Legislativo,</w:t>
      </w:r>
      <w:r>
        <w:rPr>
          <w:spacing w:val="-10"/>
        </w:rPr>
        <w:t xml:space="preserve"> </w:t>
      </w:r>
      <w:r>
        <w:t>é</w:t>
      </w:r>
      <w:r>
        <w:rPr>
          <w:spacing w:val="-15"/>
        </w:rPr>
        <w:t xml:space="preserve"> </w:t>
      </w:r>
      <w:r>
        <w:t>essencial</w:t>
      </w:r>
      <w:r>
        <w:rPr>
          <w:spacing w:val="-15"/>
        </w:rPr>
        <w:t xml:space="preserve"> </w:t>
      </w:r>
      <w:r>
        <w:t>tomar</w:t>
      </w:r>
      <w:r>
        <w:rPr>
          <w:spacing w:val="-11"/>
        </w:rPr>
        <w:t xml:space="preserve"> </w:t>
      </w:r>
      <w:r>
        <w:t>considerações</w:t>
      </w:r>
      <w:r>
        <w:rPr>
          <w:spacing w:val="-12"/>
        </w:rPr>
        <w:t xml:space="preserve"> </w:t>
      </w:r>
      <w:r>
        <w:t>a</w:t>
      </w:r>
      <w:r>
        <w:rPr>
          <w:spacing w:val="-13"/>
        </w:rPr>
        <w:t xml:space="preserve"> </w:t>
      </w:r>
      <w:r>
        <w:t>respeito</w:t>
      </w:r>
      <w:r>
        <w:rPr>
          <w:spacing w:val="-13"/>
        </w:rPr>
        <w:t xml:space="preserve"> </w:t>
      </w:r>
      <w:r>
        <w:t>do</w:t>
      </w:r>
      <w:r>
        <w:rPr>
          <w:spacing w:val="-13"/>
        </w:rPr>
        <w:t xml:space="preserve"> </w:t>
      </w:r>
      <w:r>
        <w:t>modelo de governo de coalizão, presente na realidade da política em diversos países, incluindo claramente o Brasil.</w:t>
      </w:r>
    </w:p>
    <w:p w:rsidR="007259F2" w:rsidRDefault="00E655B4">
      <w:pPr>
        <w:pStyle w:val="Corpodetexto"/>
        <w:ind w:left="1418" w:firstLine="0"/>
      </w:pPr>
      <w:r>
        <w:t>Conforme</w:t>
      </w:r>
      <w:r>
        <w:rPr>
          <w:spacing w:val="-8"/>
        </w:rPr>
        <w:t xml:space="preserve"> </w:t>
      </w:r>
      <w:r>
        <w:t>leciona</w:t>
      </w:r>
      <w:r>
        <w:rPr>
          <w:spacing w:val="-12"/>
        </w:rPr>
        <w:t xml:space="preserve"> </w:t>
      </w:r>
      <w:r>
        <w:t>Sérgio</w:t>
      </w:r>
      <w:r>
        <w:rPr>
          <w:spacing w:val="-6"/>
        </w:rPr>
        <w:t xml:space="preserve"> </w:t>
      </w:r>
      <w:r>
        <w:t>Abranches</w:t>
      </w:r>
      <w:r>
        <w:rPr>
          <w:spacing w:val="-12"/>
        </w:rPr>
        <w:t xml:space="preserve"> </w:t>
      </w:r>
      <w:r>
        <w:t>(2018,</w:t>
      </w:r>
      <w:r>
        <w:rPr>
          <w:spacing w:val="-10"/>
        </w:rPr>
        <w:t xml:space="preserve"> </w:t>
      </w:r>
      <w:r>
        <w:t>p.</w:t>
      </w:r>
      <w:r>
        <w:rPr>
          <w:spacing w:val="-12"/>
        </w:rPr>
        <w:t xml:space="preserve"> </w:t>
      </w:r>
      <w:r>
        <w:rPr>
          <w:spacing w:val="-4"/>
        </w:rPr>
        <w:t>79):</w:t>
      </w:r>
    </w:p>
    <w:p w:rsidR="007259F2" w:rsidRDefault="007259F2">
      <w:pPr>
        <w:pStyle w:val="Corpodetexto"/>
        <w:spacing w:before="9"/>
        <w:ind w:left="0" w:firstLine="0"/>
        <w:jc w:val="left"/>
      </w:pPr>
    </w:p>
    <w:p w:rsidR="007259F2" w:rsidRDefault="00E655B4">
      <w:pPr>
        <w:ind w:left="2978" w:right="423"/>
        <w:jc w:val="both"/>
        <w:rPr>
          <w:sz w:val="20"/>
        </w:rPr>
      </w:pPr>
      <w:r>
        <w:rPr>
          <w:sz w:val="20"/>
        </w:rPr>
        <w:t>O modelo se baseia numa aguda interdependência entre os poderes Executivo e Legislativo, porém com um viés de concentração de autoridade no primeiro. A capacidade de governança do presidente depende do apoio parlamentar para poder transformar</w:t>
      </w:r>
      <w:r>
        <w:rPr>
          <w:spacing w:val="-1"/>
          <w:sz w:val="20"/>
        </w:rPr>
        <w:t xml:space="preserve"> </w:t>
      </w:r>
      <w:r>
        <w:rPr>
          <w:sz w:val="20"/>
        </w:rPr>
        <w:t>em</w:t>
      </w:r>
      <w:r>
        <w:rPr>
          <w:spacing w:val="-12"/>
          <w:sz w:val="20"/>
        </w:rPr>
        <w:t xml:space="preserve"> </w:t>
      </w:r>
      <w:r>
        <w:rPr>
          <w:sz w:val="20"/>
        </w:rPr>
        <w:t>leis</w:t>
      </w:r>
      <w:r>
        <w:rPr>
          <w:spacing w:val="-8"/>
          <w:sz w:val="20"/>
        </w:rPr>
        <w:t xml:space="preserve"> </w:t>
      </w:r>
      <w:r>
        <w:rPr>
          <w:sz w:val="20"/>
        </w:rPr>
        <w:t>as</w:t>
      </w:r>
      <w:r>
        <w:rPr>
          <w:spacing w:val="-6"/>
          <w:sz w:val="20"/>
        </w:rPr>
        <w:t xml:space="preserve"> </w:t>
      </w:r>
      <w:r>
        <w:rPr>
          <w:sz w:val="20"/>
        </w:rPr>
        <w:t>suas</w:t>
      </w:r>
      <w:r>
        <w:rPr>
          <w:spacing w:val="-8"/>
          <w:sz w:val="20"/>
        </w:rPr>
        <w:t xml:space="preserve"> </w:t>
      </w:r>
      <w:r>
        <w:rPr>
          <w:sz w:val="20"/>
        </w:rPr>
        <w:t>principais</w:t>
      </w:r>
      <w:r>
        <w:rPr>
          <w:spacing w:val="-7"/>
          <w:sz w:val="20"/>
        </w:rPr>
        <w:t xml:space="preserve"> </w:t>
      </w:r>
      <w:r>
        <w:rPr>
          <w:sz w:val="20"/>
        </w:rPr>
        <w:t>escolhas</w:t>
      </w:r>
      <w:r>
        <w:rPr>
          <w:spacing w:val="-8"/>
          <w:sz w:val="20"/>
        </w:rPr>
        <w:t xml:space="preserve"> </w:t>
      </w:r>
      <w:r>
        <w:rPr>
          <w:sz w:val="20"/>
        </w:rPr>
        <w:t>de</w:t>
      </w:r>
      <w:r>
        <w:rPr>
          <w:spacing w:val="-10"/>
          <w:sz w:val="20"/>
        </w:rPr>
        <w:t xml:space="preserve"> </w:t>
      </w:r>
      <w:r>
        <w:rPr>
          <w:sz w:val="20"/>
        </w:rPr>
        <w:t>políticas</w:t>
      </w:r>
      <w:r>
        <w:rPr>
          <w:spacing w:val="-8"/>
          <w:sz w:val="20"/>
        </w:rPr>
        <w:t xml:space="preserve"> </w:t>
      </w:r>
      <w:r>
        <w:rPr>
          <w:sz w:val="20"/>
        </w:rPr>
        <w:t>públicas.</w:t>
      </w:r>
      <w:r>
        <w:rPr>
          <w:spacing w:val="-2"/>
          <w:sz w:val="20"/>
        </w:rPr>
        <w:t xml:space="preserve"> </w:t>
      </w:r>
      <w:r>
        <w:rPr>
          <w:sz w:val="20"/>
        </w:rPr>
        <w:t>Os</w:t>
      </w:r>
      <w:r>
        <w:rPr>
          <w:spacing w:val="-9"/>
          <w:sz w:val="20"/>
        </w:rPr>
        <w:t xml:space="preserve"> </w:t>
      </w:r>
      <w:r>
        <w:rPr>
          <w:sz w:val="20"/>
        </w:rPr>
        <w:t xml:space="preserve">congressistas dependem das decisões de gasto do Executivo, para atender às demandas de seu </w:t>
      </w:r>
      <w:r>
        <w:rPr>
          <w:spacing w:val="-2"/>
          <w:sz w:val="20"/>
        </w:rPr>
        <w:t>eleitorado.</w:t>
      </w:r>
    </w:p>
    <w:p w:rsidR="007259F2" w:rsidRDefault="00E655B4">
      <w:pPr>
        <w:pStyle w:val="Corpodetexto"/>
        <w:spacing w:before="200"/>
        <w:ind w:right="419"/>
      </w:pPr>
      <w:r>
        <w:t>Logo,</w:t>
      </w:r>
      <w:r>
        <w:rPr>
          <w:spacing w:val="-15"/>
        </w:rPr>
        <w:t xml:space="preserve"> </w:t>
      </w:r>
      <w:r>
        <w:t>temos</w:t>
      </w:r>
      <w:r>
        <w:rPr>
          <w:spacing w:val="-15"/>
        </w:rPr>
        <w:t xml:space="preserve"> </w:t>
      </w:r>
      <w:r>
        <w:t>que</w:t>
      </w:r>
      <w:r>
        <w:rPr>
          <w:spacing w:val="-15"/>
        </w:rPr>
        <w:t xml:space="preserve"> </w:t>
      </w:r>
      <w:r>
        <w:t>é</w:t>
      </w:r>
      <w:r>
        <w:rPr>
          <w:spacing w:val="-15"/>
        </w:rPr>
        <w:t xml:space="preserve"> </w:t>
      </w:r>
      <w:r>
        <w:t>extremamente</w:t>
      </w:r>
      <w:r>
        <w:rPr>
          <w:spacing w:val="-15"/>
        </w:rPr>
        <w:t xml:space="preserve"> </w:t>
      </w:r>
      <w:r>
        <w:t>difícil</w:t>
      </w:r>
      <w:r>
        <w:rPr>
          <w:spacing w:val="-15"/>
        </w:rPr>
        <w:t xml:space="preserve"> </w:t>
      </w:r>
      <w:r>
        <w:t>que</w:t>
      </w:r>
      <w:r>
        <w:rPr>
          <w:spacing w:val="-15"/>
        </w:rPr>
        <w:t xml:space="preserve"> </w:t>
      </w:r>
      <w:r>
        <w:t>o</w:t>
      </w:r>
      <w:r>
        <w:rPr>
          <w:spacing w:val="-15"/>
        </w:rPr>
        <w:t xml:space="preserve"> </w:t>
      </w:r>
      <w:r>
        <w:t>Executivo</w:t>
      </w:r>
      <w:r>
        <w:rPr>
          <w:spacing w:val="-15"/>
        </w:rPr>
        <w:t xml:space="preserve"> </w:t>
      </w:r>
      <w:r>
        <w:t>garanta</w:t>
      </w:r>
      <w:r>
        <w:rPr>
          <w:spacing w:val="-15"/>
        </w:rPr>
        <w:t xml:space="preserve"> </w:t>
      </w:r>
      <w:r>
        <w:t>que</w:t>
      </w:r>
      <w:r>
        <w:rPr>
          <w:spacing w:val="-15"/>
        </w:rPr>
        <w:t xml:space="preserve"> </w:t>
      </w:r>
      <w:r>
        <w:t>seu</w:t>
      </w:r>
      <w:r>
        <w:rPr>
          <w:spacing w:val="-15"/>
        </w:rPr>
        <w:t xml:space="preserve"> </w:t>
      </w:r>
      <w:r>
        <w:t>partido</w:t>
      </w:r>
      <w:r>
        <w:rPr>
          <w:spacing w:val="-15"/>
        </w:rPr>
        <w:t xml:space="preserve"> </w:t>
      </w:r>
      <w:r>
        <w:t>sozinho obtenha maioria no Legislativo, considerando a diversidade de interesses e a pluralidade partidária,</w:t>
      </w:r>
      <w:r>
        <w:rPr>
          <w:spacing w:val="-15"/>
        </w:rPr>
        <w:t xml:space="preserve"> </w:t>
      </w:r>
      <w:r>
        <w:t>o</w:t>
      </w:r>
      <w:r>
        <w:rPr>
          <w:spacing w:val="-14"/>
        </w:rPr>
        <w:t xml:space="preserve"> </w:t>
      </w:r>
      <w:r>
        <w:t>que</w:t>
      </w:r>
      <w:r>
        <w:rPr>
          <w:spacing w:val="-15"/>
        </w:rPr>
        <w:t xml:space="preserve"> </w:t>
      </w:r>
      <w:r>
        <w:t>demanda</w:t>
      </w:r>
      <w:r>
        <w:rPr>
          <w:spacing w:val="-13"/>
        </w:rPr>
        <w:t xml:space="preserve"> </w:t>
      </w:r>
      <w:r>
        <w:t>uma</w:t>
      </w:r>
      <w:r>
        <w:rPr>
          <w:spacing w:val="-13"/>
        </w:rPr>
        <w:t xml:space="preserve"> </w:t>
      </w:r>
      <w:r>
        <w:t>organização</w:t>
      </w:r>
      <w:r>
        <w:rPr>
          <w:spacing w:val="-8"/>
        </w:rPr>
        <w:t xml:space="preserve"> </w:t>
      </w:r>
      <w:r>
        <w:t>em</w:t>
      </w:r>
      <w:r>
        <w:rPr>
          <w:spacing w:val="-14"/>
        </w:rPr>
        <w:t xml:space="preserve"> </w:t>
      </w:r>
      <w:r>
        <w:t>torno</w:t>
      </w:r>
      <w:r>
        <w:rPr>
          <w:spacing w:val="-12"/>
        </w:rPr>
        <w:t xml:space="preserve"> </w:t>
      </w:r>
      <w:r>
        <w:t>de</w:t>
      </w:r>
      <w:r>
        <w:rPr>
          <w:spacing w:val="-14"/>
        </w:rPr>
        <w:t xml:space="preserve"> </w:t>
      </w:r>
      <w:r>
        <w:t>vários</w:t>
      </w:r>
      <w:r>
        <w:rPr>
          <w:spacing w:val="-14"/>
        </w:rPr>
        <w:t xml:space="preserve"> </w:t>
      </w:r>
      <w:r>
        <w:t>representantes</w:t>
      </w:r>
      <w:r>
        <w:rPr>
          <w:spacing w:val="-14"/>
        </w:rPr>
        <w:t xml:space="preserve"> </w:t>
      </w:r>
      <w:r>
        <w:t>para</w:t>
      </w:r>
      <w:r>
        <w:rPr>
          <w:spacing w:val="-14"/>
        </w:rPr>
        <w:t xml:space="preserve"> </w:t>
      </w:r>
      <w:r>
        <w:t>a</w:t>
      </w:r>
      <w:r>
        <w:rPr>
          <w:spacing w:val="-15"/>
        </w:rPr>
        <w:t xml:space="preserve"> </w:t>
      </w:r>
      <w:r>
        <w:t>construção de uma base parlamentar. A complexidade existente no sistema presidencialista é espelhada, especialmente em cidades complexas como São Paulo, cuja extensa população e desafios alcançam</w:t>
      </w:r>
      <w:r>
        <w:rPr>
          <w:spacing w:val="-15"/>
        </w:rPr>
        <w:t xml:space="preserve"> </w:t>
      </w:r>
      <w:r>
        <w:t>proporções</w:t>
      </w:r>
      <w:r>
        <w:rPr>
          <w:spacing w:val="-15"/>
        </w:rPr>
        <w:t xml:space="preserve"> </w:t>
      </w:r>
      <w:r>
        <w:t>que</w:t>
      </w:r>
      <w:r>
        <w:rPr>
          <w:spacing w:val="-11"/>
        </w:rPr>
        <w:t xml:space="preserve"> </w:t>
      </w:r>
      <w:r>
        <w:t>dificultam</w:t>
      </w:r>
      <w:r>
        <w:rPr>
          <w:spacing w:val="-15"/>
        </w:rPr>
        <w:t xml:space="preserve"> </w:t>
      </w:r>
      <w:r>
        <w:t>em</w:t>
      </w:r>
      <w:r>
        <w:rPr>
          <w:spacing w:val="-10"/>
        </w:rPr>
        <w:t xml:space="preserve"> </w:t>
      </w:r>
      <w:r>
        <w:t>muito</w:t>
      </w:r>
      <w:r>
        <w:rPr>
          <w:spacing w:val="-8"/>
        </w:rPr>
        <w:t xml:space="preserve"> </w:t>
      </w:r>
      <w:r>
        <w:t>uma</w:t>
      </w:r>
      <w:r>
        <w:rPr>
          <w:spacing w:val="-9"/>
        </w:rPr>
        <w:t xml:space="preserve"> </w:t>
      </w:r>
      <w:r>
        <w:t>distribuição</w:t>
      </w:r>
      <w:r>
        <w:rPr>
          <w:spacing w:val="-2"/>
        </w:rPr>
        <w:t xml:space="preserve"> </w:t>
      </w:r>
      <w:r>
        <w:t>simples</w:t>
      </w:r>
      <w:r>
        <w:rPr>
          <w:spacing w:val="-12"/>
        </w:rPr>
        <w:t xml:space="preserve"> </w:t>
      </w:r>
      <w:r>
        <w:t>de</w:t>
      </w:r>
      <w:r>
        <w:rPr>
          <w:spacing w:val="-13"/>
        </w:rPr>
        <w:t xml:space="preserve"> </w:t>
      </w:r>
      <w:r>
        <w:t>pleitos,</w:t>
      </w:r>
      <w:r>
        <w:rPr>
          <w:spacing w:val="-10"/>
        </w:rPr>
        <w:t xml:space="preserve"> </w:t>
      </w:r>
      <w:r>
        <w:t>culminando na representação legislativa de vários ramos da sociedade.</w:t>
      </w:r>
    </w:p>
    <w:p w:rsidR="007259F2" w:rsidRDefault="00E655B4">
      <w:pPr>
        <w:pStyle w:val="Heading2"/>
        <w:numPr>
          <w:ilvl w:val="1"/>
          <w:numId w:val="15"/>
        </w:numPr>
        <w:tabs>
          <w:tab w:val="left" w:pos="1070"/>
        </w:tabs>
        <w:spacing w:before="205"/>
        <w:jc w:val="both"/>
      </w:pPr>
      <w:r>
        <w:t>Teorias</w:t>
      </w:r>
      <w:r>
        <w:rPr>
          <w:spacing w:val="-6"/>
        </w:rPr>
        <w:t xml:space="preserve"> </w:t>
      </w:r>
      <w:r>
        <w:rPr>
          <w:spacing w:val="-2"/>
        </w:rPr>
        <w:t>Legislativas</w:t>
      </w:r>
    </w:p>
    <w:p w:rsidR="007259F2" w:rsidRDefault="00E655B4">
      <w:pPr>
        <w:pStyle w:val="Corpodetexto"/>
        <w:spacing w:before="195"/>
        <w:ind w:right="422"/>
      </w:pPr>
      <w:r>
        <w:t>De modo a melhor compreender a atuação do Executivo em suas dinâmicas com a Câmara de Vereadores, mostra-se pertinente considerar os modelos teóricos de organização legislativa, cujos estudos têm origem na análise de funcionamento do Congresso dos Estados Unidos da América.</w:t>
      </w:r>
    </w:p>
    <w:p w:rsidR="007259F2" w:rsidRDefault="00E655B4">
      <w:pPr>
        <w:pStyle w:val="Heading2"/>
        <w:numPr>
          <w:ilvl w:val="2"/>
          <w:numId w:val="15"/>
        </w:numPr>
        <w:tabs>
          <w:tab w:val="left" w:pos="1429"/>
        </w:tabs>
        <w:spacing w:before="206"/>
        <w:ind w:left="1429" w:hanging="719"/>
        <w:jc w:val="both"/>
      </w:pPr>
      <w:r>
        <w:t>Teoria</w:t>
      </w:r>
      <w:r>
        <w:rPr>
          <w:spacing w:val="-4"/>
        </w:rPr>
        <w:t xml:space="preserve"> </w:t>
      </w:r>
      <w:r>
        <w:rPr>
          <w:spacing w:val="-2"/>
        </w:rPr>
        <w:t>distributivista</w:t>
      </w:r>
    </w:p>
    <w:p w:rsidR="007259F2" w:rsidRDefault="00E655B4">
      <w:pPr>
        <w:pStyle w:val="Corpodetexto"/>
        <w:spacing w:before="195"/>
        <w:ind w:right="422"/>
      </w:pPr>
      <w:r>
        <w:t>Segundo essa abordagem, examinada pelos cientistas políticos Kenneth Shepsle e Barry Weingast, as negociações do processo legislativo tem como centro a possibilidade da obtenção de benefícios políticos, atuando os parlamentares de modo a maximizar os ganhos para</w:t>
      </w:r>
      <w:r>
        <w:rPr>
          <w:spacing w:val="36"/>
        </w:rPr>
        <w:t xml:space="preserve"> </w:t>
      </w:r>
      <w:r>
        <w:t>seus</w:t>
      </w:r>
      <w:r>
        <w:rPr>
          <w:spacing w:val="39"/>
        </w:rPr>
        <w:t xml:space="preserve"> </w:t>
      </w:r>
      <w:r>
        <w:t>próprios</w:t>
      </w:r>
      <w:r>
        <w:rPr>
          <w:spacing w:val="39"/>
        </w:rPr>
        <w:t xml:space="preserve"> </w:t>
      </w:r>
      <w:r>
        <w:t>interesses</w:t>
      </w:r>
      <w:r>
        <w:rPr>
          <w:spacing w:val="39"/>
        </w:rPr>
        <w:t xml:space="preserve"> </w:t>
      </w:r>
      <w:r>
        <w:t>e</w:t>
      </w:r>
      <w:r>
        <w:rPr>
          <w:spacing w:val="38"/>
        </w:rPr>
        <w:t xml:space="preserve"> </w:t>
      </w:r>
      <w:r>
        <w:t>de</w:t>
      </w:r>
      <w:r>
        <w:rPr>
          <w:spacing w:val="38"/>
        </w:rPr>
        <w:t xml:space="preserve"> </w:t>
      </w:r>
      <w:r>
        <w:t>seu</w:t>
      </w:r>
      <w:r>
        <w:rPr>
          <w:spacing w:val="38"/>
        </w:rPr>
        <w:t xml:space="preserve"> </w:t>
      </w:r>
      <w:r>
        <w:t>eleitorado.</w:t>
      </w:r>
      <w:r>
        <w:rPr>
          <w:spacing w:val="39"/>
        </w:rPr>
        <w:t xml:space="preserve"> </w:t>
      </w:r>
      <w:r>
        <w:t>Nesse</w:t>
      </w:r>
      <w:r>
        <w:rPr>
          <w:spacing w:val="39"/>
        </w:rPr>
        <w:t xml:space="preserve"> </w:t>
      </w:r>
      <w:r>
        <w:t>contexto,</w:t>
      </w:r>
      <w:r>
        <w:rPr>
          <w:spacing w:val="40"/>
        </w:rPr>
        <w:t xml:space="preserve"> </w:t>
      </w:r>
      <w:r>
        <w:t>os</w:t>
      </w:r>
      <w:r>
        <w:rPr>
          <w:spacing w:val="39"/>
        </w:rPr>
        <w:t xml:space="preserve"> </w:t>
      </w:r>
      <w:r>
        <w:t>legisladores</w:t>
      </w:r>
      <w:r>
        <w:rPr>
          <w:spacing w:val="39"/>
        </w:rPr>
        <w:t xml:space="preserve"> </w:t>
      </w:r>
      <w:r>
        <w:t>se</w:t>
      </w:r>
      <w:r>
        <w:rPr>
          <w:spacing w:val="38"/>
        </w:rPr>
        <w:t xml:space="preserve"> </w:t>
      </w:r>
      <w:r>
        <w:rPr>
          <w:spacing w:val="-4"/>
        </w:rPr>
        <w:t>veem</w:t>
      </w:r>
    </w:p>
    <w:p w:rsidR="007259F2" w:rsidRDefault="007259F2">
      <w:pPr>
        <w:pStyle w:val="Corpodetexto"/>
        <w:sectPr w:rsidR="007259F2">
          <w:pgSz w:w="11910" w:h="16840"/>
          <w:pgMar w:top="1600" w:right="708" w:bottom="1020" w:left="992" w:header="0" w:footer="820" w:gutter="0"/>
          <w:cols w:space="720"/>
        </w:sectPr>
      </w:pPr>
    </w:p>
    <w:p w:rsidR="007259F2" w:rsidRDefault="00E655B4">
      <w:pPr>
        <w:pStyle w:val="Corpodetexto"/>
        <w:spacing w:before="75"/>
        <w:ind w:right="419" w:firstLine="0"/>
      </w:pPr>
      <w:r>
        <w:lastRenderedPageBreak/>
        <w:t>obrigados a realizar concessões no tocante a matérias de menor relevância, com o objetivo de que</w:t>
      </w:r>
      <w:r>
        <w:rPr>
          <w:spacing w:val="-13"/>
        </w:rPr>
        <w:t xml:space="preserve"> </w:t>
      </w:r>
      <w:r>
        <w:t>tal</w:t>
      </w:r>
      <w:r>
        <w:rPr>
          <w:spacing w:val="-10"/>
        </w:rPr>
        <w:t xml:space="preserve"> </w:t>
      </w:r>
      <w:r>
        <w:t>“favor” fosse</w:t>
      </w:r>
      <w:r>
        <w:rPr>
          <w:spacing w:val="-11"/>
        </w:rPr>
        <w:t xml:space="preserve"> </w:t>
      </w:r>
      <w:r>
        <w:t>recompensado</w:t>
      </w:r>
      <w:r>
        <w:rPr>
          <w:spacing w:val="-11"/>
        </w:rPr>
        <w:t xml:space="preserve"> </w:t>
      </w:r>
      <w:r>
        <w:t>posteriormente</w:t>
      </w:r>
      <w:r>
        <w:rPr>
          <w:spacing w:val="-11"/>
        </w:rPr>
        <w:t xml:space="preserve"> </w:t>
      </w:r>
      <w:r>
        <w:t>por</w:t>
      </w:r>
      <w:r>
        <w:rPr>
          <w:spacing w:val="-13"/>
        </w:rPr>
        <w:t xml:space="preserve"> </w:t>
      </w:r>
      <w:r>
        <w:t>seus</w:t>
      </w:r>
      <w:r>
        <w:rPr>
          <w:spacing w:val="-12"/>
        </w:rPr>
        <w:t xml:space="preserve"> </w:t>
      </w:r>
      <w:r>
        <w:t>pares,</w:t>
      </w:r>
      <w:r>
        <w:rPr>
          <w:spacing w:val="-9"/>
        </w:rPr>
        <w:t xml:space="preserve"> </w:t>
      </w:r>
      <w:r>
        <w:t>com</w:t>
      </w:r>
      <w:r>
        <w:rPr>
          <w:spacing w:val="-12"/>
        </w:rPr>
        <w:t xml:space="preserve"> </w:t>
      </w:r>
      <w:r>
        <w:t>o</w:t>
      </w:r>
      <w:r>
        <w:rPr>
          <w:spacing w:val="-10"/>
        </w:rPr>
        <w:t xml:space="preserve"> </w:t>
      </w:r>
      <w:r>
        <w:t>apoio</w:t>
      </w:r>
      <w:r>
        <w:rPr>
          <w:spacing w:val="-11"/>
        </w:rPr>
        <w:t xml:space="preserve"> </w:t>
      </w:r>
      <w:r>
        <w:t>a</w:t>
      </w:r>
      <w:r>
        <w:rPr>
          <w:spacing w:val="-13"/>
        </w:rPr>
        <w:t xml:space="preserve"> </w:t>
      </w:r>
      <w:r>
        <w:t>projetos</w:t>
      </w:r>
      <w:r>
        <w:rPr>
          <w:spacing w:val="-9"/>
        </w:rPr>
        <w:t xml:space="preserve"> </w:t>
      </w:r>
      <w:r>
        <w:t>tidos por importantes para seus representados.</w:t>
      </w:r>
    </w:p>
    <w:p w:rsidR="007259F2" w:rsidRDefault="00E655B4">
      <w:pPr>
        <w:pStyle w:val="Heading2"/>
        <w:numPr>
          <w:ilvl w:val="2"/>
          <w:numId w:val="15"/>
        </w:numPr>
        <w:tabs>
          <w:tab w:val="left" w:pos="1429"/>
        </w:tabs>
        <w:ind w:left="1429" w:hanging="719"/>
        <w:jc w:val="both"/>
      </w:pPr>
      <w:r>
        <w:t>Teoria</w:t>
      </w:r>
      <w:r>
        <w:rPr>
          <w:spacing w:val="-4"/>
        </w:rPr>
        <w:t xml:space="preserve"> </w:t>
      </w:r>
      <w:r>
        <w:rPr>
          <w:spacing w:val="-2"/>
        </w:rPr>
        <w:t>informacional</w:t>
      </w:r>
    </w:p>
    <w:p w:rsidR="007259F2" w:rsidRDefault="00E655B4">
      <w:pPr>
        <w:pStyle w:val="Corpodetexto"/>
        <w:spacing w:before="113"/>
        <w:ind w:right="424"/>
      </w:pPr>
      <w:r>
        <w:t>Relacionada a essa compreensão, foi elaborada a noção informacional, examinada por Keith Krehbiel na obra “Information and Legislative Organization” de 1991. Como bem explicitado por marta Mendes da Rocha e Cássio Felipe Barbosa (2008) no artigo “Regras, incentivos e comportamento: as comissões parlamentares nos países do cone sul”:</w:t>
      </w:r>
    </w:p>
    <w:p w:rsidR="007259F2" w:rsidRDefault="00E655B4">
      <w:pPr>
        <w:spacing w:before="121"/>
        <w:ind w:left="2978" w:right="423"/>
        <w:jc w:val="both"/>
        <w:rPr>
          <w:sz w:val="20"/>
        </w:rPr>
      </w:pPr>
      <w:r>
        <w:rPr>
          <w:sz w:val="20"/>
        </w:rPr>
        <w:t>Um de seus postulados básicos é o da incerteza: o fato de que os parlamentares, ao tomarem</w:t>
      </w:r>
      <w:r>
        <w:rPr>
          <w:spacing w:val="-1"/>
          <w:sz w:val="20"/>
        </w:rPr>
        <w:t xml:space="preserve"> </w:t>
      </w:r>
      <w:r>
        <w:rPr>
          <w:sz w:val="20"/>
        </w:rPr>
        <w:t xml:space="preserve">suas decisões, não estão certos quanto à relação entre políticas e resultados e quanto aos resultados eleitorais de suas ações. Isso porque a informação e a especialização não são uniformemente distribuídas entre os atores do processo </w:t>
      </w:r>
      <w:r>
        <w:rPr>
          <w:spacing w:val="-2"/>
          <w:sz w:val="20"/>
        </w:rPr>
        <w:t>legislativo.</w:t>
      </w:r>
    </w:p>
    <w:p w:rsidR="007259F2" w:rsidRDefault="007259F2">
      <w:pPr>
        <w:pStyle w:val="Corpodetexto"/>
        <w:spacing w:before="64"/>
        <w:ind w:left="0" w:firstLine="0"/>
        <w:jc w:val="left"/>
        <w:rPr>
          <w:sz w:val="20"/>
        </w:rPr>
      </w:pPr>
    </w:p>
    <w:p w:rsidR="007259F2" w:rsidRDefault="00E655B4">
      <w:pPr>
        <w:pStyle w:val="Corpodetexto"/>
        <w:ind w:right="423"/>
      </w:pPr>
      <w:r>
        <w:t>Dessa forma, ter-se-ia um incentivo à especialização dos legisladores e à presença de especialistas</w:t>
      </w:r>
      <w:r>
        <w:rPr>
          <w:spacing w:val="-2"/>
        </w:rPr>
        <w:t xml:space="preserve"> </w:t>
      </w:r>
      <w:r>
        <w:t>em</w:t>
      </w:r>
      <w:r>
        <w:rPr>
          <w:spacing w:val="-7"/>
        </w:rPr>
        <w:t xml:space="preserve"> </w:t>
      </w:r>
      <w:r>
        <w:t>diversas matérias, o</w:t>
      </w:r>
      <w:r>
        <w:rPr>
          <w:spacing w:val="-1"/>
        </w:rPr>
        <w:t xml:space="preserve"> </w:t>
      </w:r>
      <w:r>
        <w:t>que</w:t>
      </w:r>
      <w:r>
        <w:rPr>
          <w:spacing w:val="-4"/>
        </w:rPr>
        <w:t xml:space="preserve"> </w:t>
      </w:r>
      <w:r>
        <w:t>fortaleceria</w:t>
      </w:r>
      <w:r>
        <w:rPr>
          <w:spacing w:val="-3"/>
        </w:rPr>
        <w:t xml:space="preserve"> </w:t>
      </w:r>
      <w:r>
        <w:t>a</w:t>
      </w:r>
      <w:r>
        <w:rPr>
          <w:spacing w:val="-4"/>
        </w:rPr>
        <w:t xml:space="preserve"> </w:t>
      </w:r>
      <w:r>
        <w:t>atuação</w:t>
      </w:r>
      <w:r>
        <w:rPr>
          <w:spacing w:val="-1"/>
        </w:rPr>
        <w:t xml:space="preserve"> </w:t>
      </w:r>
      <w:r>
        <w:t>do</w:t>
      </w:r>
      <w:r>
        <w:rPr>
          <w:spacing w:val="-1"/>
        </w:rPr>
        <w:t xml:space="preserve"> </w:t>
      </w:r>
      <w:r>
        <w:t>Poder Legislativo.</w:t>
      </w:r>
      <w:r>
        <w:rPr>
          <w:spacing w:val="-3"/>
        </w:rPr>
        <w:t xml:space="preserve"> </w:t>
      </w:r>
      <w:r>
        <w:t>Todavia, dado o contexto da realidade brasileira, e mais especificamente do Município de São Paulo, verifica-se que a Câmara dos Vereadores não possui a mesma capacidade de produção de informações</w:t>
      </w:r>
      <w:r>
        <w:rPr>
          <w:spacing w:val="-1"/>
        </w:rPr>
        <w:t xml:space="preserve"> </w:t>
      </w:r>
      <w:r>
        <w:t>que a Prefeitura. Nesse aspecto,</w:t>
      </w:r>
      <w:r>
        <w:rPr>
          <w:spacing w:val="-5"/>
        </w:rPr>
        <w:t xml:space="preserve"> </w:t>
      </w:r>
      <w:r>
        <w:t>o Executivo, por meio de suas</w:t>
      </w:r>
      <w:r>
        <w:rPr>
          <w:spacing w:val="-1"/>
        </w:rPr>
        <w:t xml:space="preserve"> </w:t>
      </w:r>
      <w:r>
        <w:t xml:space="preserve">secretarias, detém uma espécie de monopólio da produção de dados técnicos, possuindo uma moeda de troca importante dentro da aplicação da teoria informacional em conjunto com os diálogos </w:t>
      </w:r>
      <w:r>
        <w:rPr>
          <w:spacing w:val="-2"/>
        </w:rPr>
        <w:t>institucionais.</w:t>
      </w:r>
    </w:p>
    <w:p w:rsidR="007259F2" w:rsidRDefault="00E655B4">
      <w:pPr>
        <w:pStyle w:val="Corpodetexto"/>
        <w:spacing w:before="1"/>
        <w:ind w:right="426"/>
      </w:pPr>
      <w:r>
        <w:t>Conforme será analisado posteriormente neste trabalho, a Casa Civil atua como intermediário na prestação dessas informações, podendo assim influenciar a aprovação ou rejeição de uma propositura, ao possuir argumentos pela viabilidade ou inviabilidade de determinada matéria.</w:t>
      </w:r>
    </w:p>
    <w:p w:rsidR="007259F2" w:rsidRDefault="00E655B4">
      <w:pPr>
        <w:pStyle w:val="Heading2"/>
        <w:numPr>
          <w:ilvl w:val="2"/>
          <w:numId w:val="15"/>
        </w:numPr>
        <w:tabs>
          <w:tab w:val="left" w:pos="1429"/>
        </w:tabs>
        <w:spacing w:before="206"/>
        <w:ind w:left="1429" w:hanging="719"/>
        <w:jc w:val="both"/>
      </w:pPr>
      <w:r>
        <w:t>Teoria</w:t>
      </w:r>
      <w:r>
        <w:rPr>
          <w:spacing w:val="-4"/>
        </w:rPr>
        <w:t xml:space="preserve"> </w:t>
      </w:r>
      <w:r>
        <w:rPr>
          <w:spacing w:val="-2"/>
        </w:rPr>
        <w:t>partidária</w:t>
      </w:r>
    </w:p>
    <w:p w:rsidR="007259F2" w:rsidRDefault="00E655B4">
      <w:pPr>
        <w:pStyle w:val="Corpodetexto"/>
        <w:spacing w:before="195"/>
        <w:ind w:right="421"/>
      </w:pPr>
      <w:r>
        <w:t xml:space="preserve">Já a concepção partidária, segundo Gary Cox e Mathew McCubbins, atribuí um enfoque muito maior a tal organização, compreendendo as agremiações partidárias como os </w:t>
      </w:r>
      <w:r>
        <w:rPr>
          <w:spacing w:val="-2"/>
        </w:rPr>
        <w:t>protagonistas</w:t>
      </w:r>
      <w:r>
        <w:rPr>
          <w:spacing w:val="-4"/>
        </w:rPr>
        <w:t xml:space="preserve"> </w:t>
      </w:r>
      <w:r>
        <w:rPr>
          <w:spacing w:val="-2"/>
        </w:rPr>
        <w:t>do processo legislativo,</w:t>
      </w:r>
      <w:r>
        <w:rPr>
          <w:spacing w:val="-3"/>
        </w:rPr>
        <w:t xml:space="preserve"> </w:t>
      </w:r>
      <w:r>
        <w:rPr>
          <w:spacing w:val="-2"/>
        </w:rPr>
        <w:t>sendo os</w:t>
      </w:r>
      <w:r>
        <w:rPr>
          <w:spacing w:val="-6"/>
        </w:rPr>
        <w:t xml:space="preserve"> </w:t>
      </w:r>
      <w:r>
        <w:rPr>
          <w:spacing w:val="-2"/>
        </w:rPr>
        <w:t>seus</w:t>
      </w:r>
      <w:r>
        <w:rPr>
          <w:spacing w:val="-4"/>
        </w:rPr>
        <w:t xml:space="preserve"> </w:t>
      </w:r>
      <w:r>
        <w:rPr>
          <w:spacing w:val="-2"/>
        </w:rPr>
        <w:t>interesses</w:t>
      </w:r>
      <w:r>
        <w:rPr>
          <w:spacing w:val="-4"/>
        </w:rPr>
        <w:t xml:space="preserve"> </w:t>
      </w:r>
      <w:r>
        <w:rPr>
          <w:spacing w:val="-2"/>
        </w:rPr>
        <w:t>preponderantes</w:t>
      </w:r>
      <w:r>
        <w:rPr>
          <w:spacing w:val="-5"/>
        </w:rPr>
        <w:t xml:space="preserve"> </w:t>
      </w:r>
      <w:r>
        <w:rPr>
          <w:spacing w:val="-2"/>
        </w:rPr>
        <w:t>sobre</w:t>
      </w:r>
      <w:r>
        <w:rPr>
          <w:spacing w:val="-4"/>
        </w:rPr>
        <w:t xml:space="preserve"> </w:t>
      </w:r>
      <w:r>
        <w:rPr>
          <w:spacing w:val="-2"/>
        </w:rPr>
        <w:t>as</w:t>
      </w:r>
      <w:r>
        <w:rPr>
          <w:spacing w:val="-4"/>
        </w:rPr>
        <w:t xml:space="preserve"> </w:t>
      </w:r>
      <w:r>
        <w:rPr>
          <w:spacing w:val="-2"/>
        </w:rPr>
        <w:t xml:space="preserve">vontades </w:t>
      </w:r>
      <w:r>
        <w:t>individuais dos legisladores.</w:t>
      </w:r>
    </w:p>
    <w:p w:rsidR="007259F2" w:rsidRDefault="00E655B4">
      <w:pPr>
        <w:pStyle w:val="Heading2"/>
        <w:numPr>
          <w:ilvl w:val="1"/>
          <w:numId w:val="15"/>
        </w:numPr>
        <w:tabs>
          <w:tab w:val="left" w:pos="1070"/>
        </w:tabs>
        <w:spacing w:before="206"/>
        <w:jc w:val="both"/>
      </w:pPr>
      <w:r>
        <w:t>Processo</w:t>
      </w:r>
      <w:r>
        <w:rPr>
          <w:spacing w:val="-11"/>
        </w:rPr>
        <w:t xml:space="preserve"> </w:t>
      </w:r>
      <w:r>
        <w:rPr>
          <w:spacing w:val="-2"/>
        </w:rPr>
        <w:t>Legislativo</w:t>
      </w:r>
    </w:p>
    <w:p w:rsidR="007259F2" w:rsidRDefault="00E655B4">
      <w:pPr>
        <w:pStyle w:val="Corpodetexto"/>
        <w:spacing w:before="195"/>
        <w:ind w:right="421"/>
      </w:pPr>
      <w:r>
        <w:t>Adentramos assim, como consequência lógica, na atividade da própria elaboração das leis. Esse processo, embora reflita a própria identidade do Poder Legislativo, revela-se muito mais</w:t>
      </w:r>
      <w:r>
        <w:rPr>
          <w:spacing w:val="-8"/>
        </w:rPr>
        <w:t xml:space="preserve"> </w:t>
      </w:r>
      <w:r>
        <w:t>complexo do</w:t>
      </w:r>
      <w:r>
        <w:rPr>
          <w:spacing w:val="-4"/>
        </w:rPr>
        <w:t xml:space="preserve"> </w:t>
      </w:r>
      <w:r>
        <w:t>que</w:t>
      </w:r>
      <w:r>
        <w:rPr>
          <w:spacing w:val="-9"/>
        </w:rPr>
        <w:t xml:space="preserve"> </w:t>
      </w:r>
      <w:r>
        <w:t>aparenta</w:t>
      </w:r>
      <w:r>
        <w:rPr>
          <w:spacing w:val="-4"/>
        </w:rPr>
        <w:t xml:space="preserve"> </w:t>
      </w:r>
      <w:r>
        <w:t>ser</w:t>
      </w:r>
      <w:r>
        <w:rPr>
          <w:spacing w:val="-7"/>
        </w:rPr>
        <w:t xml:space="preserve"> </w:t>
      </w:r>
      <w:r>
        <w:t>em</w:t>
      </w:r>
      <w:r>
        <w:rPr>
          <w:spacing w:val="-11"/>
        </w:rPr>
        <w:t xml:space="preserve"> </w:t>
      </w:r>
      <w:r>
        <w:t>sua</w:t>
      </w:r>
      <w:r>
        <w:rPr>
          <w:spacing w:val="-5"/>
        </w:rPr>
        <w:t xml:space="preserve"> </w:t>
      </w:r>
      <w:r>
        <w:t>noção clássica</w:t>
      </w:r>
      <w:r>
        <w:rPr>
          <w:spacing w:val="-5"/>
        </w:rPr>
        <w:t xml:space="preserve"> </w:t>
      </w:r>
      <w:r>
        <w:t>de</w:t>
      </w:r>
      <w:r>
        <w:rPr>
          <w:spacing w:val="-5"/>
        </w:rPr>
        <w:t xml:space="preserve"> </w:t>
      </w:r>
      <w:r>
        <w:t>discussão entre</w:t>
      </w:r>
      <w:r>
        <w:rPr>
          <w:spacing w:val="-6"/>
        </w:rPr>
        <w:t xml:space="preserve"> </w:t>
      </w:r>
      <w:r>
        <w:t>os</w:t>
      </w:r>
      <w:r>
        <w:rPr>
          <w:spacing w:val="-1"/>
        </w:rPr>
        <w:t xml:space="preserve"> </w:t>
      </w:r>
      <w:r>
        <w:t>parlamentares.</w:t>
      </w:r>
    </w:p>
    <w:p w:rsidR="007259F2" w:rsidRDefault="00E655B4">
      <w:pPr>
        <w:pStyle w:val="Heading2"/>
        <w:numPr>
          <w:ilvl w:val="2"/>
          <w:numId w:val="15"/>
        </w:numPr>
        <w:tabs>
          <w:tab w:val="left" w:pos="1429"/>
        </w:tabs>
        <w:spacing w:before="204"/>
        <w:ind w:left="1429" w:hanging="719"/>
        <w:jc w:val="both"/>
      </w:pPr>
      <w:r>
        <w:t>Ideia</w:t>
      </w:r>
      <w:r>
        <w:rPr>
          <w:spacing w:val="-2"/>
        </w:rPr>
        <w:t xml:space="preserve"> </w:t>
      </w:r>
      <w:r>
        <w:t>de</w:t>
      </w:r>
      <w:r>
        <w:rPr>
          <w:spacing w:val="-3"/>
        </w:rPr>
        <w:t xml:space="preserve"> </w:t>
      </w:r>
      <w:r>
        <w:t>intenção</w:t>
      </w:r>
      <w:r>
        <w:rPr>
          <w:spacing w:val="-1"/>
        </w:rPr>
        <w:t xml:space="preserve"> </w:t>
      </w:r>
      <w:r>
        <w:t>do</w:t>
      </w:r>
      <w:r>
        <w:rPr>
          <w:spacing w:val="-5"/>
        </w:rPr>
        <w:t xml:space="preserve"> </w:t>
      </w:r>
      <w:r>
        <w:rPr>
          <w:spacing w:val="-2"/>
        </w:rPr>
        <w:t>legislador</w:t>
      </w:r>
    </w:p>
    <w:p w:rsidR="007259F2" w:rsidRDefault="00E655B4">
      <w:pPr>
        <w:pStyle w:val="Corpodetexto"/>
        <w:spacing w:before="113"/>
        <w:ind w:right="419"/>
      </w:pPr>
      <w:r>
        <w:t>Em um modelo estanque, tal função estatal se desenvolveria somente nas casas legislativas, estando, portanto, quase</w:t>
      </w:r>
      <w:r>
        <w:rPr>
          <w:spacing w:val="-5"/>
        </w:rPr>
        <w:t xml:space="preserve"> </w:t>
      </w:r>
      <w:r>
        <w:t>que</w:t>
      </w:r>
      <w:r>
        <w:rPr>
          <w:spacing w:val="-8"/>
        </w:rPr>
        <w:t xml:space="preserve"> </w:t>
      </w:r>
      <w:r>
        <w:t>totalmente</w:t>
      </w:r>
      <w:r>
        <w:rPr>
          <w:spacing w:val="-4"/>
        </w:rPr>
        <w:t xml:space="preserve"> </w:t>
      </w:r>
      <w:r>
        <w:t>restrita</w:t>
      </w:r>
      <w:r>
        <w:rPr>
          <w:spacing w:val="-5"/>
        </w:rPr>
        <w:t xml:space="preserve"> </w:t>
      </w:r>
      <w:r>
        <w:t>aos</w:t>
      </w:r>
      <w:r>
        <w:rPr>
          <w:spacing w:val="-7"/>
        </w:rPr>
        <w:t xml:space="preserve"> </w:t>
      </w:r>
      <w:r>
        <w:t>representantes</w:t>
      </w:r>
      <w:r>
        <w:rPr>
          <w:spacing w:val="-3"/>
        </w:rPr>
        <w:t xml:space="preserve"> </w:t>
      </w:r>
      <w:r>
        <w:t>do povo eleitos para o exercício de estipular novas leis. Dessa forma, teríamos uma suposta primazia do legislador,</w:t>
      </w:r>
      <w:r>
        <w:rPr>
          <w:spacing w:val="-7"/>
        </w:rPr>
        <w:t xml:space="preserve"> </w:t>
      </w:r>
      <w:r>
        <w:t>que</w:t>
      </w:r>
      <w:r>
        <w:rPr>
          <w:spacing w:val="-14"/>
        </w:rPr>
        <w:t xml:space="preserve"> </w:t>
      </w:r>
      <w:r>
        <w:t>de</w:t>
      </w:r>
      <w:r>
        <w:rPr>
          <w:spacing w:val="-9"/>
        </w:rPr>
        <w:t xml:space="preserve"> </w:t>
      </w:r>
      <w:r>
        <w:t>forma</w:t>
      </w:r>
      <w:r>
        <w:rPr>
          <w:spacing w:val="-5"/>
        </w:rPr>
        <w:t xml:space="preserve"> </w:t>
      </w:r>
      <w:r>
        <w:t>hermética</w:t>
      </w:r>
      <w:r>
        <w:rPr>
          <w:spacing w:val="-9"/>
        </w:rPr>
        <w:t xml:space="preserve"> </w:t>
      </w:r>
      <w:r>
        <w:t>debateria</w:t>
      </w:r>
      <w:r>
        <w:rPr>
          <w:spacing w:val="-8"/>
        </w:rPr>
        <w:t xml:space="preserve"> </w:t>
      </w:r>
      <w:r>
        <w:t>os</w:t>
      </w:r>
      <w:r>
        <w:rPr>
          <w:spacing w:val="-13"/>
        </w:rPr>
        <w:t xml:space="preserve"> </w:t>
      </w:r>
      <w:r>
        <w:t>termos</w:t>
      </w:r>
      <w:r>
        <w:rPr>
          <w:spacing w:val="-9"/>
        </w:rPr>
        <w:t xml:space="preserve"> </w:t>
      </w:r>
      <w:r>
        <w:t>das</w:t>
      </w:r>
      <w:r>
        <w:rPr>
          <w:spacing w:val="-7"/>
        </w:rPr>
        <w:t xml:space="preserve"> </w:t>
      </w:r>
      <w:r>
        <w:t>inovações</w:t>
      </w:r>
      <w:r>
        <w:rPr>
          <w:spacing w:val="-10"/>
        </w:rPr>
        <w:t xml:space="preserve"> </w:t>
      </w:r>
      <w:r>
        <w:t>no</w:t>
      </w:r>
      <w:r>
        <w:rPr>
          <w:spacing w:val="-8"/>
        </w:rPr>
        <w:t xml:space="preserve"> </w:t>
      </w:r>
      <w:r>
        <w:t>ordenamento</w:t>
      </w:r>
      <w:r>
        <w:rPr>
          <w:spacing w:val="-8"/>
        </w:rPr>
        <w:t xml:space="preserve"> </w:t>
      </w:r>
      <w:r>
        <w:t xml:space="preserve">jurídico, encontrando-se o debate limitado às votações internas das comissões e das casas como um </w:t>
      </w:r>
      <w:r>
        <w:rPr>
          <w:spacing w:val="-2"/>
        </w:rPr>
        <w:t>todo.</w:t>
      </w:r>
    </w:p>
    <w:p w:rsidR="007259F2" w:rsidRDefault="00E655B4">
      <w:pPr>
        <w:pStyle w:val="Corpodetexto"/>
        <w:spacing w:before="1"/>
        <w:ind w:right="422"/>
      </w:pPr>
      <w:r>
        <w:t>Todavia, a realidade impõe uma complexidade muito maior a esse processo.</w:t>
      </w:r>
      <w:r>
        <w:rPr>
          <w:spacing w:val="-3"/>
        </w:rPr>
        <w:t xml:space="preserve"> </w:t>
      </w:r>
      <w:r>
        <w:t>Tal Poder não está imune às pressões externas e às discussões informais que ultrapassam os trâmites necessários</w:t>
      </w:r>
      <w:r>
        <w:rPr>
          <w:spacing w:val="-10"/>
        </w:rPr>
        <w:t xml:space="preserve"> </w:t>
      </w:r>
      <w:r>
        <w:t>para</w:t>
      </w:r>
      <w:r>
        <w:rPr>
          <w:spacing w:val="-8"/>
        </w:rPr>
        <w:t xml:space="preserve"> </w:t>
      </w:r>
      <w:r>
        <w:t>a</w:t>
      </w:r>
      <w:r>
        <w:rPr>
          <w:spacing w:val="-7"/>
        </w:rPr>
        <w:t xml:space="preserve"> </w:t>
      </w:r>
      <w:r>
        <w:t>aprovação de</w:t>
      </w:r>
      <w:r>
        <w:rPr>
          <w:spacing w:val="-7"/>
        </w:rPr>
        <w:t xml:space="preserve"> </w:t>
      </w:r>
      <w:r>
        <w:t>uma</w:t>
      </w:r>
      <w:r>
        <w:rPr>
          <w:spacing w:val="-7"/>
        </w:rPr>
        <w:t xml:space="preserve"> </w:t>
      </w:r>
      <w:r>
        <w:t>propositura.</w:t>
      </w:r>
      <w:r>
        <w:rPr>
          <w:spacing w:val="-8"/>
        </w:rPr>
        <w:t xml:space="preserve"> </w:t>
      </w:r>
      <w:r>
        <w:t>Consideramos</w:t>
      </w:r>
      <w:r>
        <w:rPr>
          <w:spacing w:val="-7"/>
        </w:rPr>
        <w:t xml:space="preserve"> </w:t>
      </w:r>
      <w:r>
        <w:t>assim,</w:t>
      </w:r>
      <w:r>
        <w:rPr>
          <w:spacing w:val="-3"/>
        </w:rPr>
        <w:t xml:space="preserve"> </w:t>
      </w:r>
      <w:r>
        <w:t>a</w:t>
      </w:r>
      <w:r>
        <w:rPr>
          <w:spacing w:val="-2"/>
        </w:rPr>
        <w:t xml:space="preserve"> </w:t>
      </w:r>
      <w:r>
        <w:t>influência</w:t>
      </w:r>
      <w:r>
        <w:rPr>
          <w:spacing w:val="-6"/>
        </w:rPr>
        <w:t xml:space="preserve"> </w:t>
      </w:r>
      <w:r>
        <w:t>que</w:t>
      </w:r>
      <w:r>
        <w:rPr>
          <w:spacing w:val="-6"/>
        </w:rPr>
        <w:t xml:space="preserve"> </w:t>
      </w:r>
      <w:r>
        <w:rPr>
          <w:spacing w:val="-2"/>
        </w:rPr>
        <w:t>exerce</w:t>
      </w:r>
    </w:p>
    <w:p w:rsidR="007259F2" w:rsidRDefault="007259F2">
      <w:pPr>
        <w:pStyle w:val="Corpodetexto"/>
        <w:sectPr w:rsidR="007259F2">
          <w:pgSz w:w="11910" w:h="16840"/>
          <w:pgMar w:top="1600" w:right="708" w:bottom="1020" w:left="992" w:header="0" w:footer="820" w:gutter="0"/>
          <w:cols w:space="720"/>
        </w:sectPr>
      </w:pPr>
    </w:p>
    <w:p w:rsidR="007259F2" w:rsidRDefault="00E655B4">
      <w:pPr>
        <w:pStyle w:val="Corpodetexto"/>
        <w:spacing w:before="75"/>
        <w:ind w:right="426" w:firstLine="0"/>
      </w:pPr>
      <w:r>
        <w:lastRenderedPageBreak/>
        <w:t xml:space="preserve">o debate público que inclui os mais variados atores, sejam eles grupos organizados em movimentos sociais, representantes de setores da sociedade, juristas, economistas e entre </w:t>
      </w:r>
      <w:r>
        <w:rPr>
          <w:spacing w:val="-2"/>
        </w:rPr>
        <w:t>outros.</w:t>
      </w:r>
    </w:p>
    <w:p w:rsidR="007259F2" w:rsidRDefault="00E655B4">
      <w:pPr>
        <w:pStyle w:val="Corpodetexto"/>
        <w:ind w:right="422"/>
      </w:pPr>
      <w:r>
        <w:t>Consideremos</w:t>
      </w:r>
      <w:r>
        <w:rPr>
          <w:spacing w:val="-3"/>
        </w:rPr>
        <w:t xml:space="preserve"> </w:t>
      </w:r>
      <w:r>
        <w:t>assim</w:t>
      </w:r>
      <w:r>
        <w:rPr>
          <w:spacing w:val="-8"/>
        </w:rPr>
        <w:t xml:space="preserve"> </w:t>
      </w:r>
      <w:r>
        <w:t>a</w:t>
      </w:r>
      <w:r>
        <w:rPr>
          <w:spacing w:val="-4"/>
        </w:rPr>
        <w:t xml:space="preserve"> </w:t>
      </w:r>
      <w:r>
        <w:t>técnica legislativa</w:t>
      </w:r>
      <w:r>
        <w:rPr>
          <w:spacing w:val="-3"/>
        </w:rPr>
        <w:t xml:space="preserve"> </w:t>
      </w:r>
      <w:r>
        <w:t>da intenção do</w:t>
      </w:r>
      <w:r>
        <w:rPr>
          <w:spacing w:val="-3"/>
        </w:rPr>
        <w:t xml:space="preserve"> </w:t>
      </w:r>
      <w:r>
        <w:t>legislador.</w:t>
      </w:r>
      <w:r>
        <w:rPr>
          <w:spacing w:val="-3"/>
        </w:rPr>
        <w:t xml:space="preserve"> </w:t>
      </w:r>
      <w:r>
        <w:t>Nas</w:t>
      </w:r>
      <w:r>
        <w:rPr>
          <w:spacing w:val="-3"/>
        </w:rPr>
        <w:t xml:space="preserve"> </w:t>
      </w:r>
      <w:r>
        <w:t>explicações</w:t>
      </w:r>
      <w:r>
        <w:rPr>
          <w:spacing w:val="-3"/>
        </w:rPr>
        <w:t xml:space="preserve"> </w:t>
      </w:r>
      <w:r>
        <w:t>de Roberta Simões Nascimento (2021), em seu trabalho “O argumento da intenção do legislador. Anotações teóricas sobre uso e significado”:</w:t>
      </w:r>
    </w:p>
    <w:p w:rsidR="007259F2" w:rsidRDefault="00E655B4">
      <w:pPr>
        <w:spacing w:before="203"/>
        <w:ind w:left="2978" w:right="422"/>
        <w:jc w:val="both"/>
        <w:rPr>
          <w:sz w:val="20"/>
        </w:rPr>
      </w:pPr>
      <w:r>
        <w:rPr>
          <w:sz w:val="20"/>
        </w:rPr>
        <w:t>Verificou-se que, superada a identificação da intenção legislativa com o estado mental</w:t>
      </w:r>
      <w:r>
        <w:rPr>
          <w:spacing w:val="-13"/>
          <w:sz w:val="20"/>
        </w:rPr>
        <w:t xml:space="preserve"> </w:t>
      </w:r>
      <w:r>
        <w:rPr>
          <w:sz w:val="20"/>
        </w:rPr>
        <w:t>(ou</w:t>
      </w:r>
      <w:r>
        <w:rPr>
          <w:spacing w:val="-12"/>
          <w:sz w:val="20"/>
        </w:rPr>
        <w:t xml:space="preserve"> </w:t>
      </w:r>
      <w:r>
        <w:rPr>
          <w:sz w:val="20"/>
        </w:rPr>
        <w:t>psicológico)</w:t>
      </w:r>
      <w:r>
        <w:rPr>
          <w:spacing w:val="-13"/>
          <w:sz w:val="20"/>
        </w:rPr>
        <w:t xml:space="preserve"> </w:t>
      </w:r>
      <w:r>
        <w:rPr>
          <w:sz w:val="20"/>
        </w:rPr>
        <w:t>do</w:t>
      </w:r>
      <w:r>
        <w:rPr>
          <w:spacing w:val="-12"/>
          <w:sz w:val="20"/>
        </w:rPr>
        <w:t xml:space="preserve"> </w:t>
      </w:r>
      <w:r>
        <w:rPr>
          <w:sz w:val="20"/>
        </w:rPr>
        <w:t>legislador</w:t>
      </w:r>
      <w:r>
        <w:rPr>
          <w:spacing w:val="-13"/>
          <w:sz w:val="20"/>
        </w:rPr>
        <w:t xml:space="preserve"> </w:t>
      </w:r>
      <w:r>
        <w:rPr>
          <w:sz w:val="20"/>
        </w:rPr>
        <w:t>(ou</w:t>
      </w:r>
      <w:r>
        <w:rPr>
          <w:spacing w:val="-11"/>
          <w:sz w:val="20"/>
        </w:rPr>
        <w:t xml:space="preserve"> </w:t>
      </w:r>
      <w:r>
        <w:rPr>
          <w:sz w:val="20"/>
        </w:rPr>
        <w:t>suas</w:t>
      </w:r>
      <w:r>
        <w:rPr>
          <w:spacing w:val="-13"/>
          <w:sz w:val="20"/>
        </w:rPr>
        <w:t xml:space="preserve"> </w:t>
      </w:r>
      <w:r>
        <w:rPr>
          <w:sz w:val="20"/>
        </w:rPr>
        <w:t>esperanças</w:t>
      </w:r>
      <w:r>
        <w:rPr>
          <w:spacing w:val="-12"/>
          <w:sz w:val="20"/>
        </w:rPr>
        <w:t xml:space="preserve"> </w:t>
      </w:r>
      <w:r>
        <w:rPr>
          <w:sz w:val="20"/>
        </w:rPr>
        <w:t>ou</w:t>
      </w:r>
      <w:r>
        <w:rPr>
          <w:spacing w:val="-12"/>
          <w:sz w:val="20"/>
        </w:rPr>
        <w:t xml:space="preserve"> </w:t>
      </w:r>
      <w:r>
        <w:rPr>
          <w:sz w:val="20"/>
        </w:rPr>
        <w:t>expectativas</w:t>
      </w:r>
      <w:r>
        <w:rPr>
          <w:spacing w:val="-13"/>
          <w:sz w:val="20"/>
        </w:rPr>
        <w:t xml:space="preserve"> </w:t>
      </w:r>
      <w:r>
        <w:rPr>
          <w:sz w:val="20"/>
        </w:rPr>
        <w:t>individuais, exclusivamente privadas), a intenção legislativa que interessa para os fins da interpretação jurídica das leis é outra.”. (...) Desse modo, descobrir a intenção legislativa</w:t>
      </w:r>
      <w:r>
        <w:rPr>
          <w:spacing w:val="-13"/>
          <w:sz w:val="20"/>
        </w:rPr>
        <w:t xml:space="preserve"> </w:t>
      </w:r>
      <w:r>
        <w:rPr>
          <w:sz w:val="20"/>
        </w:rPr>
        <w:t>passaria</w:t>
      </w:r>
      <w:r>
        <w:rPr>
          <w:spacing w:val="-12"/>
          <w:sz w:val="20"/>
        </w:rPr>
        <w:t xml:space="preserve"> </w:t>
      </w:r>
      <w:r>
        <w:rPr>
          <w:sz w:val="20"/>
        </w:rPr>
        <w:t>por</w:t>
      </w:r>
      <w:r>
        <w:rPr>
          <w:spacing w:val="-13"/>
          <w:sz w:val="20"/>
        </w:rPr>
        <w:t xml:space="preserve"> </w:t>
      </w:r>
      <w:r>
        <w:rPr>
          <w:sz w:val="20"/>
        </w:rPr>
        <w:t>compreender</w:t>
      </w:r>
      <w:r>
        <w:rPr>
          <w:spacing w:val="-12"/>
          <w:sz w:val="20"/>
        </w:rPr>
        <w:t xml:space="preserve"> </w:t>
      </w:r>
      <w:r>
        <w:rPr>
          <w:sz w:val="20"/>
        </w:rPr>
        <w:t>a</w:t>
      </w:r>
      <w:r>
        <w:rPr>
          <w:spacing w:val="-13"/>
          <w:sz w:val="20"/>
        </w:rPr>
        <w:t xml:space="preserve"> </w:t>
      </w:r>
      <w:r>
        <w:rPr>
          <w:sz w:val="20"/>
        </w:rPr>
        <w:t>chamada</w:t>
      </w:r>
      <w:r>
        <w:rPr>
          <w:spacing w:val="-12"/>
          <w:sz w:val="20"/>
        </w:rPr>
        <w:t xml:space="preserve"> </w:t>
      </w:r>
      <w:r>
        <w:rPr>
          <w:sz w:val="20"/>
        </w:rPr>
        <w:t>occasio</w:t>
      </w:r>
      <w:r>
        <w:rPr>
          <w:spacing w:val="-13"/>
          <w:sz w:val="20"/>
        </w:rPr>
        <w:t xml:space="preserve"> </w:t>
      </w:r>
      <w:r>
        <w:rPr>
          <w:sz w:val="20"/>
        </w:rPr>
        <w:t>legis,</w:t>
      </w:r>
      <w:r>
        <w:rPr>
          <w:spacing w:val="-12"/>
          <w:sz w:val="20"/>
        </w:rPr>
        <w:t xml:space="preserve"> </w:t>
      </w:r>
      <w:r>
        <w:rPr>
          <w:sz w:val="20"/>
        </w:rPr>
        <w:t>o</w:t>
      </w:r>
      <w:r>
        <w:rPr>
          <w:spacing w:val="-13"/>
          <w:sz w:val="20"/>
        </w:rPr>
        <w:t xml:space="preserve"> </w:t>
      </w:r>
      <w:r>
        <w:rPr>
          <w:sz w:val="20"/>
        </w:rPr>
        <w:t>contexto</w:t>
      </w:r>
      <w:r>
        <w:rPr>
          <w:spacing w:val="-12"/>
          <w:sz w:val="20"/>
        </w:rPr>
        <w:t xml:space="preserve"> </w:t>
      </w:r>
      <w:r>
        <w:rPr>
          <w:sz w:val="20"/>
        </w:rPr>
        <w:t>que</w:t>
      </w:r>
      <w:r>
        <w:rPr>
          <w:spacing w:val="-13"/>
          <w:sz w:val="20"/>
        </w:rPr>
        <w:t xml:space="preserve"> </w:t>
      </w:r>
      <w:r>
        <w:rPr>
          <w:sz w:val="20"/>
        </w:rPr>
        <w:t>originou a lei. Para isso, claro que são relevantes as exposições de motivos, preâmbulos, justificativas, informes e pareceres produzidos nas comissões, atas taquigráficas e registros</w:t>
      </w:r>
      <w:r>
        <w:rPr>
          <w:spacing w:val="-13"/>
          <w:sz w:val="20"/>
        </w:rPr>
        <w:t xml:space="preserve"> </w:t>
      </w:r>
      <w:r>
        <w:rPr>
          <w:sz w:val="20"/>
        </w:rPr>
        <w:t>das</w:t>
      </w:r>
      <w:r>
        <w:rPr>
          <w:spacing w:val="-12"/>
          <w:sz w:val="20"/>
        </w:rPr>
        <w:t xml:space="preserve"> </w:t>
      </w:r>
      <w:r>
        <w:rPr>
          <w:sz w:val="20"/>
        </w:rPr>
        <w:t>sessões</w:t>
      </w:r>
      <w:r>
        <w:rPr>
          <w:spacing w:val="-13"/>
          <w:sz w:val="20"/>
        </w:rPr>
        <w:t xml:space="preserve"> </w:t>
      </w:r>
      <w:r>
        <w:rPr>
          <w:sz w:val="20"/>
        </w:rPr>
        <w:t>com</w:t>
      </w:r>
      <w:r>
        <w:rPr>
          <w:spacing w:val="-12"/>
          <w:sz w:val="20"/>
        </w:rPr>
        <w:t xml:space="preserve"> </w:t>
      </w:r>
      <w:r>
        <w:rPr>
          <w:sz w:val="20"/>
        </w:rPr>
        <w:t>os</w:t>
      </w:r>
      <w:r>
        <w:rPr>
          <w:spacing w:val="-13"/>
          <w:sz w:val="20"/>
        </w:rPr>
        <w:t xml:space="preserve"> </w:t>
      </w:r>
      <w:r>
        <w:rPr>
          <w:sz w:val="20"/>
        </w:rPr>
        <w:t>debates</w:t>
      </w:r>
      <w:r>
        <w:rPr>
          <w:spacing w:val="-12"/>
          <w:sz w:val="20"/>
        </w:rPr>
        <w:t xml:space="preserve"> </w:t>
      </w:r>
      <w:r>
        <w:rPr>
          <w:sz w:val="20"/>
        </w:rPr>
        <w:t>parlamentares,</w:t>
      </w:r>
      <w:r>
        <w:rPr>
          <w:spacing w:val="-13"/>
          <w:sz w:val="20"/>
        </w:rPr>
        <w:t xml:space="preserve"> </w:t>
      </w:r>
      <w:r>
        <w:rPr>
          <w:sz w:val="20"/>
        </w:rPr>
        <w:t>ou</w:t>
      </w:r>
      <w:r>
        <w:rPr>
          <w:spacing w:val="-12"/>
          <w:sz w:val="20"/>
        </w:rPr>
        <w:t xml:space="preserve"> </w:t>
      </w:r>
      <w:r>
        <w:rPr>
          <w:sz w:val="20"/>
        </w:rPr>
        <w:t>seja,</w:t>
      </w:r>
      <w:r>
        <w:rPr>
          <w:spacing w:val="-13"/>
          <w:sz w:val="20"/>
        </w:rPr>
        <w:t xml:space="preserve"> </w:t>
      </w:r>
      <w:r>
        <w:rPr>
          <w:sz w:val="20"/>
        </w:rPr>
        <w:t>tudo</w:t>
      </w:r>
      <w:r>
        <w:rPr>
          <w:spacing w:val="-12"/>
          <w:sz w:val="20"/>
        </w:rPr>
        <w:t xml:space="preserve"> </w:t>
      </w:r>
      <w:r>
        <w:rPr>
          <w:sz w:val="20"/>
        </w:rPr>
        <w:t>que</w:t>
      </w:r>
      <w:r>
        <w:rPr>
          <w:spacing w:val="-13"/>
          <w:sz w:val="20"/>
        </w:rPr>
        <w:t xml:space="preserve"> </w:t>
      </w:r>
      <w:r>
        <w:rPr>
          <w:sz w:val="20"/>
        </w:rPr>
        <w:t>permita</w:t>
      </w:r>
      <w:r>
        <w:rPr>
          <w:spacing w:val="-12"/>
          <w:sz w:val="20"/>
        </w:rPr>
        <w:t xml:space="preserve"> </w:t>
      </w:r>
      <w:r>
        <w:rPr>
          <w:sz w:val="20"/>
        </w:rPr>
        <w:t>alcançar a ambição ou a justificativa que possa adequadamente ser reconhecida como a intenção do Parlamento.</w:t>
      </w:r>
    </w:p>
    <w:p w:rsidR="007259F2" w:rsidRDefault="00E655B4">
      <w:pPr>
        <w:pStyle w:val="Heading2"/>
        <w:numPr>
          <w:ilvl w:val="2"/>
          <w:numId w:val="15"/>
        </w:numPr>
        <w:tabs>
          <w:tab w:val="left" w:pos="1250"/>
        </w:tabs>
        <w:spacing w:before="203"/>
        <w:ind w:left="1250" w:hanging="540"/>
        <w:jc w:val="both"/>
      </w:pPr>
      <w:r>
        <w:t>Capacidade</w:t>
      </w:r>
      <w:r>
        <w:rPr>
          <w:spacing w:val="-5"/>
        </w:rPr>
        <w:t xml:space="preserve"> </w:t>
      </w:r>
      <w:r>
        <w:t>de</w:t>
      </w:r>
      <w:r>
        <w:rPr>
          <w:spacing w:val="-10"/>
        </w:rPr>
        <w:t xml:space="preserve"> </w:t>
      </w:r>
      <w:r>
        <w:t>influência do</w:t>
      </w:r>
      <w:r>
        <w:rPr>
          <w:spacing w:val="-3"/>
        </w:rPr>
        <w:t xml:space="preserve"> </w:t>
      </w:r>
      <w:r>
        <w:t>Poder</w:t>
      </w:r>
      <w:r>
        <w:rPr>
          <w:spacing w:val="-9"/>
        </w:rPr>
        <w:t xml:space="preserve"> </w:t>
      </w:r>
      <w:r>
        <w:rPr>
          <w:spacing w:val="-2"/>
        </w:rPr>
        <w:t>Executivo</w:t>
      </w:r>
    </w:p>
    <w:p w:rsidR="007259F2" w:rsidRDefault="00E655B4">
      <w:pPr>
        <w:pStyle w:val="Corpodetexto"/>
        <w:spacing w:before="115"/>
        <w:ind w:right="424"/>
      </w:pPr>
      <w:r>
        <w:t>O Poder Executivo possui papel fundamental tanto na influência das decisões do Legislativo, quanto na própria elaboração dos projetos de lei. O exemplo mais claro desse fenômeno diz respeito à possibilidade do Executivo em introduzir proposituras. Porém, somando-se</w:t>
      </w:r>
      <w:r>
        <w:rPr>
          <w:spacing w:val="-15"/>
        </w:rPr>
        <w:t xml:space="preserve"> </w:t>
      </w:r>
      <w:r>
        <w:t>a</w:t>
      </w:r>
      <w:r>
        <w:rPr>
          <w:spacing w:val="-14"/>
        </w:rPr>
        <w:t xml:space="preserve"> </w:t>
      </w:r>
      <w:r>
        <w:t>isso,</w:t>
      </w:r>
      <w:r>
        <w:rPr>
          <w:spacing w:val="-13"/>
        </w:rPr>
        <w:t xml:space="preserve"> </w:t>
      </w:r>
      <w:r>
        <w:t>temos</w:t>
      </w:r>
      <w:r>
        <w:rPr>
          <w:spacing w:val="-14"/>
        </w:rPr>
        <w:t xml:space="preserve"> </w:t>
      </w:r>
      <w:r>
        <w:t>o</w:t>
      </w:r>
      <w:r>
        <w:rPr>
          <w:spacing w:val="-8"/>
        </w:rPr>
        <w:t xml:space="preserve"> </w:t>
      </w:r>
      <w:r>
        <w:t>diálogo</w:t>
      </w:r>
      <w:r>
        <w:rPr>
          <w:spacing w:val="-8"/>
        </w:rPr>
        <w:t xml:space="preserve"> </w:t>
      </w:r>
      <w:r>
        <w:t>desenvolvido</w:t>
      </w:r>
      <w:r>
        <w:rPr>
          <w:spacing w:val="-7"/>
        </w:rPr>
        <w:t xml:space="preserve"> </w:t>
      </w:r>
      <w:r>
        <w:t>por</w:t>
      </w:r>
      <w:r>
        <w:rPr>
          <w:spacing w:val="-15"/>
        </w:rPr>
        <w:t xml:space="preserve"> </w:t>
      </w:r>
      <w:r>
        <w:t>este</w:t>
      </w:r>
      <w:r>
        <w:rPr>
          <w:spacing w:val="-13"/>
        </w:rPr>
        <w:t xml:space="preserve"> </w:t>
      </w:r>
      <w:r>
        <w:t>com</w:t>
      </w:r>
      <w:r>
        <w:rPr>
          <w:spacing w:val="-14"/>
        </w:rPr>
        <w:t xml:space="preserve"> </w:t>
      </w:r>
      <w:r>
        <w:t>a</w:t>
      </w:r>
      <w:r>
        <w:rPr>
          <w:spacing w:val="-14"/>
        </w:rPr>
        <w:t xml:space="preserve"> </w:t>
      </w:r>
      <w:r>
        <w:t>sua</w:t>
      </w:r>
      <w:r>
        <w:rPr>
          <w:spacing w:val="-9"/>
        </w:rPr>
        <w:t xml:space="preserve"> </w:t>
      </w:r>
      <w:r>
        <w:t>base</w:t>
      </w:r>
      <w:r>
        <w:rPr>
          <w:spacing w:val="-14"/>
        </w:rPr>
        <w:t xml:space="preserve"> </w:t>
      </w:r>
      <w:r>
        <w:t>nas</w:t>
      </w:r>
      <w:r>
        <w:rPr>
          <w:spacing w:val="-12"/>
        </w:rPr>
        <w:t xml:space="preserve"> </w:t>
      </w:r>
      <w:r>
        <w:t>casas</w:t>
      </w:r>
      <w:r>
        <w:rPr>
          <w:spacing w:val="-8"/>
        </w:rPr>
        <w:t xml:space="preserve"> </w:t>
      </w:r>
      <w:r>
        <w:t>legislativas, o que por sua vez culmina em intervenções no decorrer do processo de criação das leis, seja com o esforço para a retirada de pautas que não são do interesse dos detentores do poder no momento, como também para a alteração no texto dos projetos, seja razões de ordem técnica, práticas ou políticas.</w:t>
      </w:r>
    </w:p>
    <w:p w:rsidR="007259F2" w:rsidRDefault="00E655B4">
      <w:pPr>
        <w:pStyle w:val="Corpodetexto"/>
        <w:spacing w:before="1"/>
        <w:ind w:right="429"/>
      </w:pPr>
      <w:r>
        <w:t>Tal intermediação entre o Executivo e o Legislativo se dá, por parte da administração pública, institucionalmente através de um órgão especificamente criado para esse fim, denominado em grande parte como Casa Civil.</w:t>
      </w:r>
    </w:p>
    <w:p w:rsidR="007259F2" w:rsidRDefault="00E655B4">
      <w:pPr>
        <w:pStyle w:val="Heading2"/>
        <w:numPr>
          <w:ilvl w:val="1"/>
          <w:numId w:val="15"/>
        </w:numPr>
        <w:tabs>
          <w:tab w:val="left" w:pos="1070"/>
        </w:tabs>
        <w:spacing w:before="204"/>
        <w:jc w:val="both"/>
      </w:pPr>
      <w:r>
        <w:t>Casa</w:t>
      </w:r>
      <w:r>
        <w:rPr>
          <w:spacing w:val="-3"/>
        </w:rPr>
        <w:t xml:space="preserve"> </w:t>
      </w:r>
      <w:r>
        <w:rPr>
          <w:spacing w:val="-2"/>
        </w:rPr>
        <w:t>Civil</w:t>
      </w:r>
    </w:p>
    <w:p w:rsidR="007259F2" w:rsidRDefault="00E655B4">
      <w:pPr>
        <w:pStyle w:val="Corpodetexto"/>
        <w:spacing w:before="115"/>
        <w:ind w:left="1418" w:firstLine="0"/>
        <w:jc w:val="left"/>
      </w:pPr>
      <w:r>
        <w:t>Conforme</w:t>
      </w:r>
      <w:r>
        <w:rPr>
          <w:spacing w:val="-11"/>
        </w:rPr>
        <w:t xml:space="preserve"> </w:t>
      </w:r>
      <w:r>
        <w:t>explicitado pela</w:t>
      </w:r>
      <w:r>
        <w:rPr>
          <w:spacing w:val="-7"/>
        </w:rPr>
        <w:t xml:space="preserve"> </w:t>
      </w:r>
      <w:r>
        <w:t>Prefeitura</w:t>
      </w:r>
      <w:r>
        <w:rPr>
          <w:spacing w:val="-6"/>
        </w:rPr>
        <w:t xml:space="preserve"> </w:t>
      </w:r>
      <w:r>
        <w:t>do</w:t>
      </w:r>
      <w:r>
        <w:rPr>
          <w:spacing w:val="1"/>
        </w:rPr>
        <w:t xml:space="preserve"> </w:t>
      </w:r>
      <w:r>
        <w:t>Município</w:t>
      </w:r>
      <w:r>
        <w:rPr>
          <w:spacing w:val="-2"/>
        </w:rPr>
        <w:t xml:space="preserve"> </w:t>
      </w:r>
      <w:r>
        <w:t>de</w:t>
      </w:r>
      <w:r>
        <w:rPr>
          <w:spacing w:val="-7"/>
        </w:rPr>
        <w:t xml:space="preserve"> </w:t>
      </w:r>
      <w:r>
        <w:t>São</w:t>
      </w:r>
      <w:r>
        <w:rPr>
          <w:spacing w:val="-4"/>
        </w:rPr>
        <w:t xml:space="preserve"> </w:t>
      </w:r>
      <w:r>
        <w:t>Paulo,</w:t>
      </w:r>
      <w:r>
        <w:rPr>
          <w:spacing w:val="-1"/>
        </w:rPr>
        <w:t xml:space="preserve"> </w:t>
      </w:r>
      <w:r>
        <w:t>a</w:t>
      </w:r>
      <w:r>
        <w:rPr>
          <w:spacing w:val="-11"/>
        </w:rPr>
        <w:t xml:space="preserve"> </w:t>
      </w:r>
      <w:r>
        <w:t>Casa</w:t>
      </w:r>
      <w:r>
        <w:rPr>
          <w:spacing w:val="-3"/>
        </w:rPr>
        <w:t xml:space="preserve"> </w:t>
      </w:r>
      <w:r>
        <w:rPr>
          <w:spacing w:val="-2"/>
        </w:rPr>
        <w:t>Civil:</w:t>
      </w:r>
    </w:p>
    <w:p w:rsidR="007259F2" w:rsidRDefault="00E655B4">
      <w:pPr>
        <w:spacing w:before="121"/>
        <w:ind w:left="2978" w:right="419"/>
        <w:jc w:val="both"/>
        <w:rPr>
          <w:sz w:val="20"/>
        </w:rPr>
      </w:pPr>
      <w:r>
        <w:rPr>
          <w:sz w:val="20"/>
        </w:rPr>
        <w:t>(...) tem por finalidade promover e articular as relações institucionais do Poder Executivo</w:t>
      </w:r>
      <w:r>
        <w:rPr>
          <w:spacing w:val="-6"/>
          <w:sz w:val="20"/>
        </w:rPr>
        <w:t xml:space="preserve"> </w:t>
      </w:r>
      <w:r>
        <w:rPr>
          <w:sz w:val="20"/>
        </w:rPr>
        <w:t>com</w:t>
      </w:r>
      <w:r>
        <w:rPr>
          <w:spacing w:val="-2"/>
          <w:sz w:val="20"/>
        </w:rPr>
        <w:t xml:space="preserve"> </w:t>
      </w:r>
      <w:r>
        <w:rPr>
          <w:sz w:val="20"/>
        </w:rPr>
        <w:t>o</w:t>
      </w:r>
      <w:r>
        <w:rPr>
          <w:spacing w:val="-6"/>
          <w:sz w:val="20"/>
        </w:rPr>
        <w:t xml:space="preserve"> </w:t>
      </w:r>
      <w:r>
        <w:rPr>
          <w:sz w:val="20"/>
        </w:rPr>
        <w:t>Poder Legislativo</w:t>
      </w:r>
      <w:r>
        <w:rPr>
          <w:spacing w:val="-5"/>
          <w:sz w:val="20"/>
        </w:rPr>
        <w:t xml:space="preserve"> </w:t>
      </w:r>
      <w:r>
        <w:rPr>
          <w:sz w:val="20"/>
        </w:rPr>
        <w:t>e</w:t>
      </w:r>
      <w:r>
        <w:rPr>
          <w:spacing w:val="-5"/>
          <w:sz w:val="20"/>
        </w:rPr>
        <w:t xml:space="preserve"> </w:t>
      </w:r>
      <w:r>
        <w:rPr>
          <w:sz w:val="20"/>
        </w:rPr>
        <w:t>com</w:t>
      </w:r>
      <w:r>
        <w:rPr>
          <w:spacing w:val="-2"/>
          <w:sz w:val="20"/>
        </w:rPr>
        <w:t xml:space="preserve"> </w:t>
      </w:r>
      <w:r>
        <w:rPr>
          <w:sz w:val="20"/>
        </w:rPr>
        <w:t>a sociedade</w:t>
      </w:r>
      <w:r>
        <w:rPr>
          <w:spacing w:val="-4"/>
          <w:sz w:val="20"/>
        </w:rPr>
        <w:t xml:space="preserve"> </w:t>
      </w:r>
      <w:r>
        <w:rPr>
          <w:sz w:val="20"/>
        </w:rPr>
        <w:t>civil organizada, estabelecer e fomentar a interlocução governamental no território, fornecer apoio técnico e legislativo nos assuntos pertinentes à elaboração das leis municipais, bem como promover e articular as relações interfederativas e metropolitanas, além de executar atividades compatíveis e</w:t>
      </w:r>
      <w:r>
        <w:rPr>
          <w:spacing w:val="-3"/>
          <w:sz w:val="20"/>
        </w:rPr>
        <w:t xml:space="preserve"> </w:t>
      </w:r>
      <w:r>
        <w:rPr>
          <w:sz w:val="20"/>
        </w:rPr>
        <w:t>correlatas</w:t>
      </w:r>
      <w:r>
        <w:rPr>
          <w:spacing w:val="-4"/>
          <w:sz w:val="20"/>
        </w:rPr>
        <w:t xml:space="preserve"> </w:t>
      </w:r>
      <w:r>
        <w:rPr>
          <w:sz w:val="20"/>
        </w:rPr>
        <w:t>com</w:t>
      </w:r>
      <w:r>
        <w:rPr>
          <w:spacing w:val="-2"/>
          <w:sz w:val="20"/>
        </w:rPr>
        <w:t xml:space="preserve"> </w:t>
      </w:r>
      <w:r>
        <w:rPr>
          <w:sz w:val="20"/>
        </w:rPr>
        <w:t>a sua</w:t>
      </w:r>
      <w:r>
        <w:rPr>
          <w:spacing w:val="-3"/>
          <w:sz w:val="20"/>
        </w:rPr>
        <w:t xml:space="preserve"> </w:t>
      </w:r>
      <w:r>
        <w:rPr>
          <w:sz w:val="20"/>
        </w:rPr>
        <w:t>área</w:t>
      </w:r>
      <w:r>
        <w:rPr>
          <w:spacing w:val="-2"/>
          <w:sz w:val="20"/>
        </w:rPr>
        <w:t xml:space="preserve"> </w:t>
      </w:r>
      <w:r>
        <w:rPr>
          <w:sz w:val="20"/>
        </w:rPr>
        <w:t>de</w:t>
      </w:r>
      <w:r>
        <w:rPr>
          <w:spacing w:val="-3"/>
          <w:sz w:val="20"/>
        </w:rPr>
        <w:t xml:space="preserve"> </w:t>
      </w:r>
      <w:r>
        <w:rPr>
          <w:sz w:val="20"/>
        </w:rPr>
        <w:t>atuação. (Acesso</w:t>
      </w:r>
      <w:r>
        <w:rPr>
          <w:spacing w:val="-2"/>
          <w:sz w:val="20"/>
        </w:rPr>
        <w:t xml:space="preserve"> </w:t>
      </w:r>
      <w:r>
        <w:rPr>
          <w:sz w:val="20"/>
        </w:rPr>
        <w:t>à Informação da Casa Civil da Cidade de São Paulo, 2023).</w:t>
      </w:r>
    </w:p>
    <w:p w:rsidR="007259F2" w:rsidRDefault="00E655B4">
      <w:pPr>
        <w:pStyle w:val="Corpodetexto"/>
        <w:spacing w:before="228"/>
        <w:ind w:right="422"/>
      </w:pPr>
      <w:r>
        <w:t>Dessa forma, ressalta-se a importância do desenvolvimento organizado do diálogo institucional,</w:t>
      </w:r>
      <w:r>
        <w:rPr>
          <w:spacing w:val="-15"/>
        </w:rPr>
        <w:t xml:space="preserve"> </w:t>
      </w:r>
      <w:r>
        <w:t>sendo</w:t>
      </w:r>
      <w:r>
        <w:rPr>
          <w:spacing w:val="-15"/>
        </w:rPr>
        <w:t xml:space="preserve"> </w:t>
      </w:r>
      <w:r>
        <w:t>necessária</w:t>
      </w:r>
      <w:r>
        <w:rPr>
          <w:spacing w:val="-15"/>
        </w:rPr>
        <w:t xml:space="preserve"> </w:t>
      </w:r>
      <w:r>
        <w:t>uma</w:t>
      </w:r>
      <w:r>
        <w:rPr>
          <w:spacing w:val="-15"/>
        </w:rPr>
        <w:t xml:space="preserve"> </w:t>
      </w:r>
      <w:r>
        <w:t>secretaria</w:t>
      </w:r>
      <w:r>
        <w:rPr>
          <w:spacing w:val="-15"/>
        </w:rPr>
        <w:t xml:space="preserve"> </w:t>
      </w:r>
      <w:r>
        <w:t>específica</w:t>
      </w:r>
      <w:r>
        <w:rPr>
          <w:spacing w:val="-15"/>
        </w:rPr>
        <w:t xml:space="preserve"> </w:t>
      </w:r>
      <w:r>
        <w:t>para</w:t>
      </w:r>
      <w:r>
        <w:rPr>
          <w:spacing w:val="-15"/>
        </w:rPr>
        <w:t xml:space="preserve"> </w:t>
      </w:r>
      <w:r>
        <w:t>a</w:t>
      </w:r>
      <w:r>
        <w:rPr>
          <w:spacing w:val="-15"/>
        </w:rPr>
        <w:t xml:space="preserve"> </w:t>
      </w:r>
      <w:r>
        <w:t>realização</w:t>
      </w:r>
      <w:r>
        <w:rPr>
          <w:spacing w:val="-15"/>
        </w:rPr>
        <w:t xml:space="preserve"> </w:t>
      </w:r>
      <w:r>
        <w:t>dessa</w:t>
      </w:r>
      <w:r>
        <w:rPr>
          <w:spacing w:val="-15"/>
        </w:rPr>
        <w:t xml:space="preserve"> </w:t>
      </w:r>
      <w:r>
        <w:t>função.</w:t>
      </w:r>
      <w:r>
        <w:rPr>
          <w:spacing w:val="-15"/>
        </w:rPr>
        <w:t xml:space="preserve"> </w:t>
      </w:r>
      <w:r>
        <w:t>Citando também o Decreto Municipal nº 61.928 de 25 de outubro de 2022, que trata da reorganização da Casa Civil (SÃO PAULO-SP, 2022), identificamos suas competências no artigo 3º do referido diploma legal, do qual destacamos os seguintes incisos:</w:t>
      </w:r>
    </w:p>
    <w:p w:rsidR="007259F2" w:rsidRDefault="00E655B4">
      <w:pPr>
        <w:spacing w:before="232"/>
        <w:ind w:left="2978" w:right="430"/>
        <w:jc w:val="both"/>
        <w:rPr>
          <w:sz w:val="20"/>
        </w:rPr>
      </w:pPr>
      <w:r>
        <w:rPr>
          <w:sz w:val="20"/>
        </w:rPr>
        <w:t xml:space="preserve">Art. 3º Para a consecução de suas finalidades, a Casa Civil tem as seguintes </w:t>
      </w:r>
      <w:r>
        <w:rPr>
          <w:spacing w:val="-2"/>
          <w:sz w:val="20"/>
        </w:rPr>
        <w:t>atribuições:</w:t>
      </w:r>
    </w:p>
    <w:p w:rsidR="007259F2" w:rsidRDefault="00E655B4">
      <w:pPr>
        <w:pStyle w:val="PargrafodaLista"/>
        <w:numPr>
          <w:ilvl w:val="0"/>
          <w:numId w:val="14"/>
        </w:numPr>
        <w:tabs>
          <w:tab w:val="left" w:pos="2976"/>
          <w:tab w:val="left" w:pos="2978"/>
        </w:tabs>
        <w:spacing w:before="1"/>
        <w:ind w:right="431"/>
        <w:jc w:val="both"/>
        <w:rPr>
          <w:sz w:val="20"/>
        </w:rPr>
      </w:pPr>
      <w:r>
        <w:rPr>
          <w:sz w:val="20"/>
        </w:rPr>
        <w:t>assessorar o Gabinete do Prefeito e todas as estruturas a ele vinculadas no desempenho de suas funções, no que concerne ao apoio técnico e legislativo no tratamento dos assuntos pertinentes à elaboração das leis municipais;</w:t>
      </w:r>
    </w:p>
    <w:p w:rsidR="007259F2" w:rsidRDefault="00E655B4">
      <w:pPr>
        <w:pStyle w:val="PargrafodaLista"/>
        <w:numPr>
          <w:ilvl w:val="0"/>
          <w:numId w:val="14"/>
        </w:numPr>
        <w:tabs>
          <w:tab w:val="left" w:pos="2975"/>
          <w:tab w:val="left" w:pos="2978"/>
        </w:tabs>
        <w:ind w:right="423" w:hanging="543"/>
        <w:jc w:val="both"/>
        <w:rPr>
          <w:sz w:val="20"/>
        </w:rPr>
      </w:pPr>
      <w:r>
        <w:rPr>
          <w:sz w:val="20"/>
        </w:rPr>
        <w:t xml:space="preserve">promover e articular agenda do Poder Executivo Municipal perante o Poder </w:t>
      </w:r>
      <w:r>
        <w:rPr>
          <w:spacing w:val="-2"/>
          <w:sz w:val="20"/>
        </w:rPr>
        <w:t>Legislativo;</w:t>
      </w:r>
    </w:p>
    <w:p w:rsidR="007259F2" w:rsidRDefault="007259F2">
      <w:pPr>
        <w:pStyle w:val="PargrafodaLista"/>
        <w:rPr>
          <w:sz w:val="20"/>
        </w:rPr>
        <w:sectPr w:rsidR="007259F2">
          <w:pgSz w:w="11910" w:h="16840"/>
          <w:pgMar w:top="1600" w:right="708" w:bottom="1020" w:left="992" w:header="0" w:footer="820" w:gutter="0"/>
          <w:cols w:space="720"/>
        </w:sectPr>
      </w:pPr>
    </w:p>
    <w:p w:rsidR="007259F2" w:rsidRDefault="00E655B4">
      <w:pPr>
        <w:pStyle w:val="PargrafodaLista"/>
        <w:numPr>
          <w:ilvl w:val="0"/>
          <w:numId w:val="14"/>
        </w:numPr>
        <w:tabs>
          <w:tab w:val="left" w:pos="2974"/>
        </w:tabs>
        <w:spacing w:before="77"/>
        <w:ind w:left="2974" w:hanging="606"/>
        <w:jc w:val="both"/>
        <w:rPr>
          <w:sz w:val="20"/>
        </w:rPr>
      </w:pPr>
      <w:r>
        <w:rPr>
          <w:sz w:val="20"/>
        </w:rPr>
        <w:lastRenderedPageBreak/>
        <w:t>estabelecer</w:t>
      </w:r>
      <w:r>
        <w:rPr>
          <w:spacing w:val="-5"/>
          <w:sz w:val="20"/>
        </w:rPr>
        <w:t xml:space="preserve"> </w:t>
      </w:r>
      <w:r>
        <w:rPr>
          <w:sz w:val="20"/>
        </w:rPr>
        <w:t>interação</w:t>
      </w:r>
      <w:r>
        <w:rPr>
          <w:spacing w:val="-5"/>
          <w:sz w:val="20"/>
        </w:rPr>
        <w:t xml:space="preserve"> </w:t>
      </w:r>
      <w:r>
        <w:rPr>
          <w:sz w:val="20"/>
        </w:rPr>
        <w:t>permanente</w:t>
      </w:r>
      <w:r>
        <w:rPr>
          <w:spacing w:val="-5"/>
          <w:sz w:val="20"/>
        </w:rPr>
        <w:t xml:space="preserve"> </w:t>
      </w:r>
      <w:r>
        <w:rPr>
          <w:sz w:val="20"/>
        </w:rPr>
        <w:t>com</w:t>
      </w:r>
      <w:r>
        <w:rPr>
          <w:spacing w:val="-9"/>
          <w:sz w:val="20"/>
        </w:rPr>
        <w:t xml:space="preserve"> </w:t>
      </w:r>
      <w:r>
        <w:rPr>
          <w:sz w:val="20"/>
        </w:rPr>
        <w:t>a</w:t>
      </w:r>
      <w:r>
        <w:rPr>
          <w:spacing w:val="-6"/>
          <w:sz w:val="20"/>
        </w:rPr>
        <w:t xml:space="preserve"> </w:t>
      </w:r>
      <w:r>
        <w:rPr>
          <w:sz w:val="20"/>
        </w:rPr>
        <w:t>Câmara</w:t>
      </w:r>
      <w:r>
        <w:rPr>
          <w:spacing w:val="-5"/>
          <w:sz w:val="20"/>
        </w:rPr>
        <w:t xml:space="preserve"> </w:t>
      </w:r>
      <w:r>
        <w:rPr>
          <w:sz w:val="20"/>
        </w:rPr>
        <w:t>Municipal</w:t>
      </w:r>
      <w:r>
        <w:rPr>
          <w:spacing w:val="-6"/>
          <w:sz w:val="20"/>
        </w:rPr>
        <w:t xml:space="preserve"> </w:t>
      </w:r>
      <w:r>
        <w:rPr>
          <w:sz w:val="20"/>
        </w:rPr>
        <w:t>de</w:t>
      </w:r>
      <w:r>
        <w:rPr>
          <w:spacing w:val="-5"/>
          <w:sz w:val="20"/>
        </w:rPr>
        <w:t xml:space="preserve"> </w:t>
      </w:r>
      <w:r>
        <w:rPr>
          <w:sz w:val="20"/>
        </w:rPr>
        <w:t>São</w:t>
      </w:r>
      <w:r>
        <w:rPr>
          <w:spacing w:val="-5"/>
          <w:sz w:val="20"/>
        </w:rPr>
        <w:t xml:space="preserve"> </w:t>
      </w:r>
      <w:r>
        <w:rPr>
          <w:spacing w:val="-2"/>
          <w:sz w:val="20"/>
        </w:rPr>
        <w:t>Paulo;</w:t>
      </w:r>
    </w:p>
    <w:p w:rsidR="007259F2" w:rsidRDefault="00E655B4">
      <w:pPr>
        <w:pStyle w:val="PargrafodaLista"/>
        <w:numPr>
          <w:ilvl w:val="0"/>
          <w:numId w:val="14"/>
        </w:numPr>
        <w:tabs>
          <w:tab w:val="left" w:pos="2977"/>
        </w:tabs>
        <w:spacing w:line="229" w:lineRule="exact"/>
        <w:ind w:left="2977" w:hanging="621"/>
        <w:jc w:val="both"/>
        <w:rPr>
          <w:sz w:val="20"/>
        </w:rPr>
      </w:pPr>
      <w:r>
        <w:rPr>
          <w:sz w:val="20"/>
        </w:rPr>
        <w:t>auxiliar</w:t>
      </w:r>
      <w:r>
        <w:rPr>
          <w:spacing w:val="-6"/>
          <w:sz w:val="20"/>
        </w:rPr>
        <w:t xml:space="preserve"> </w:t>
      </w:r>
      <w:r>
        <w:rPr>
          <w:sz w:val="20"/>
        </w:rPr>
        <w:t>na</w:t>
      </w:r>
      <w:r>
        <w:rPr>
          <w:spacing w:val="-6"/>
          <w:sz w:val="20"/>
        </w:rPr>
        <w:t xml:space="preserve"> </w:t>
      </w:r>
      <w:r>
        <w:rPr>
          <w:sz w:val="20"/>
        </w:rPr>
        <w:t>condução</w:t>
      </w:r>
      <w:r>
        <w:rPr>
          <w:spacing w:val="-5"/>
          <w:sz w:val="20"/>
        </w:rPr>
        <w:t xml:space="preserve"> </w:t>
      </w:r>
      <w:r>
        <w:rPr>
          <w:sz w:val="20"/>
        </w:rPr>
        <w:t>do</w:t>
      </w:r>
      <w:r>
        <w:rPr>
          <w:spacing w:val="-5"/>
          <w:sz w:val="20"/>
        </w:rPr>
        <w:t xml:space="preserve"> </w:t>
      </w:r>
      <w:r>
        <w:rPr>
          <w:sz w:val="20"/>
        </w:rPr>
        <w:t>relacionamento</w:t>
      </w:r>
      <w:r>
        <w:rPr>
          <w:spacing w:val="-5"/>
          <w:sz w:val="20"/>
        </w:rPr>
        <w:t xml:space="preserve"> </w:t>
      </w:r>
      <w:r>
        <w:rPr>
          <w:sz w:val="20"/>
        </w:rPr>
        <w:t>do</w:t>
      </w:r>
      <w:r>
        <w:rPr>
          <w:spacing w:val="-5"/>
          <w:sz w:val="20"/>
        </w:rPr>
        <w:t xml:space="preserve"> </w:t>
      </w:r>
      <w:r>
        <w:rPr>
          <w:sz w:val="20"/>
        </w:rPr>
        <w:t>Governo</w:t>
      </w:r>
      <w:r>
        <w:rPr>
          <w:spacing w:val="-4"/>
          <w:sz w:val="20"/>
        </w:rPr>
        <w:t xml:space="preserve"> </w:t>
      </w:r>
      <w:r>
        <w:rPr>
          <w:sz w:val="20"/>
        </w:rPr>
        <w:t>com</w:t>
      </w:r>
      <w:r>
        <w:rPr>
          <w:spacing w:val="-10"/>
          <w:sz w:val="20"/>
        </w:rPr>
        <w:t xml:space="preserve"> </w:t>
      </w:r>
      <w:r>
        <w:rPr>
          <w:sz w:val="20"/>
        </w:rPr>
        <w:t>partidos</w:t>
      </w:r>
      <w:r>
        <w:rPr>
          <w:spacing w:val="-6"/>
          <w:sz w:val="20"/>
        </w:rPr>
        <w:t xml:space="preserve"> </w:t>
      </w:r>
      <w:r>
        <w:rPr>
          <w:spacing w:val="-2"/>
          <w:sz w:val="20"/>
        </w:rPr>
        <w:t>políticos;</w:t>
      </w:r>
    </w:p>
    <w:p w:rsidR="007259F2" w:rsidRDefault="00E655B4">
      <w:pPr>
        <w:pStyle w:val="PargrafodaLista"/>
        <w:numPr>
          <w:ilvl w:val="0"/>
          <w:numId w:val="14"/>
        </w:numPr>
        <w:tabs>
          <w:tab w:val="left" w:pos="2978"/>
        </w:tabs>
        <w:ind w:right="420" w:hanging="555"/>
        <w:jc w:val="both"/>
        <w:rPr>
          <w:sz w:val="20"/>
        </w:rPr>
      </w:pPr>
      <w:r>
        <w:rPr>
          <w:sz w:val="20"/>
        </w:rPr>
        <w:t>coordenar as ações e assuntos de natureza parlamentar e de relacionamento com outras instâncias legislativas e prefeituras;</w:t>
      </w:r>
    </w:p>
    <w:p w:rsidR="007259F2" w:rsidRDefault="00E655B4">
      <w:pPr>
        <w:pStyle w:val="PargrafodaLista"/>
        <w:numPr>
          <w:ilvl w:val="0"/>
          <w:numId w:val="14"/>
        </w:numPr>
        <w:tabs>
          <w:tab w:val="left" w:pos="2976"/>
          <w:tab w:val="left" w:pos="2978"/>
        </w:tabs>
        <w:ind w:right="429" w:hanging="623"/>
        <w:jc w:val="both"/>
        <w:rPr>
          <w:sz w:val="20"/>
        </w:rPr>
      </w:pPr>
      <w:r>
        <w:rPr>
          <w:sz w:val="20"/>
        </w:rPr>
        <w:t>acompanhar assuntos de natureza parlamentar com a Câmara Municipal de São Paulo</w:t>
      </w:r>
      <w:r>
        <w:rPr>
          <w:spacing w:val="-2"/>
          <w:sz w:val="20"/>
        </w:rPr>
        <w:t xml:space="preserve"> </w:t>
      </w:r>
      <w:r>
        <w:rPr>
          <w:sz w:val="20"/>
        </w:rPr>
        <w:t>e</w:t>
      </w:r>
      <w:r>
        <w:rPr>
          <w:spacing w:val="-3"/>
          <w:sz w:val="20"/>
        </w:rPr>
        <w:t xml:space="preserve"> </w:t>
      </w:r>
      <w:r>
        <w:rPr>
          <w:sz w:val="20"/>
        </w:rPr>
        <w:t>com</w:t>
      </w:r>
      <w:r>
        <w:rPr>
          <w:spacing w:val="-5"/>
          <w:sz w:val="20"/>
        </w:rPr>
        <w:t xml:space="preserve"> </w:t>
      </w:r>
      <w:r>
        <w:rPr>
          <w:sz w:val="20"/>
        </w:rPr>
        <w:t>outras</w:t>
      </w:r>
      <w:r>
        <w:rPr>
          <w:spacing w:val="-1"/>
          <w:sz w:val="20"/>
        </w:rPr>
        <w:t xml:space="preserve"> </w:t>
      </w:r>
      <w:r>
        <w:rPr>
          <w:sz w:val="20"/>
        </w:rPr>
        <w:t>instâncias legislativas</w:t>
      </w:r>
      <w:r>
        <w:rPr>
          <w:spacing w:val="-4"/>
          <w:sz w:val="20"/>
        </w:rPr>
        <w:t xml:space="preserve"> </w:t>
      </w:r>
      <w:r>
        <w:rPr>
          <w:sz w:val="20"/>
        </w:rPr>
        <w:t>e</w:t>
      </w:r>
      <w:r>
        <w:rPr>
          <w:spacing w:val="-1"/>
          <w:sz w:val="20"/>
        </w:rPr>
        <w:t xml:space="preserve"> </w:t>
      </w:r>
      <w:r>
        <w:rPr>
          <w:sz w:val="20"/>
        </w:rPr>
        <w:t>prefeituras,</w:t>
      </w:r>
      <w:r>
        <w:rPr>
          <w:spacing w:val="-3"/>
          <w:sz w:val="20"/>
        </w:rPr>
        <w:t xml:space="preserve"> </w:t>
      </w:r>
      <w:r>
        <w:rPr>
          <w:sz w:val="20"/>
        </w:rPr>
        <w:t>relacionados</w:t>
      </w:r>
      <w:r>
        <w:rPr>
          <w:spacing w:val="-4"/>
          <w:sz w:val="20"/>
        </w:rPr>
        <w:t xml:space="preserve"> </w:t>
      </w:r>
      <w:r>
        <w:rPr>
          <w:sz w:val="20"/>
        </w:rPr>
        <w:t>com</w:t>
      </w:r>
      <w:r>
        <w:rPr>
          <w:spacing w:val="-5"/>
          <w:sz w:val="20"/>
        </w:rPr>
        <w:t xml:space="preserve"> </w:t>
      </w:r>
      <w:r>
        <w:rPr>
          <w:sz w:val="20"/>
        </w:rPr>
        <w:t>os</w:t>
      </w:r>
      <w:r>
        <w:rPr>
          <w:spacing w:val="-4"/>
          <w:sz w:val="20"/>
        </w:rPr>
        <w:t xml:space="preserve"> </w:t>
      </w:r>
      <w:r>
        <w:rPr>
          <w:sz w:val="20"/>
        </w:rPr>
        <w:t>projetos de leis de iniciativa dos parlamentares e emendas parlamentares;</w:t>
      </w:r>
    </w:p>
    <w:p w:rsidR="007259F2" w:rsidRDefault="00E655B4">
      <w:pPr>
        <w:pStyle w:val="PargrafodaLista"/>
        <w:numPr>
          <w:ilvl w:val="0"/>
          <w:numId w:val="14"/>
        </w:numPr>
        <w:tabs>
          <w:tab w:val="left" w:pos="2976"/>
        </w:tabs>
        <w:spacing w:before="1" w:line="229" w:lineRule="exact"/>
        <w:ind w:left="2976" w:hanging="682"/>
        <w:jc w:val="both"/>
        <w:rPr>
          <w:sz w:val="20"/>
        </w:rPr>
      </w:pPr>
      <w:r>
        <w:rPr>
          <w:sz w:val="20"/>
        </w:rPr>
        <w:t>acompanhar</w:t>
      </w:r>
      <w:r>
        <w:rPr>
          <w:spacing w:val="-5"/>
          <w:sz w:val="20"/>
        </w:rPr>
        <w:t xml:space="preserve"> </w:t>
      </w:r>
      <w:r>
        <w:rPr>
          <w:sz w:val="20"/>
        </w:rPr>
        <w:t>o</w:t>
      </w:r>
      <w:r>
        <w:rPr>
          <w:spacing w:val="-4"/>
          <w:sz w:val="20"/>
        </w:rPr>
        <w:t xml:space="preserve"> </w:t>
      </w:r>
      <w:r>
        <w:rPr>
          <w:sz w:val="20"/>
        </w:rPr>
        <w:t>andamento</w:t>
      </w:r>
      <w:r>
        <w:rPr>
          <w:spacing w:val="-5"/>
          <w:sz w:val="20"/>
        </w:rPr>
        <w:t xml:space="preserve"> </w:t>
      </w:r>
      <w:r>
        <w:rPr>
          <w:sz w:val="20"/>
        </w:rPr>
        <w:t>de</w:t>
      </w:r>
      <w:r>
        <w:rPr>
          <w:spacing w:val="-5"/>
          <w:sz w:val="20"/>
        </w:rPr>
        <w:t xml:space="preserve"> </w:t>
      </w:r>
      <w:r>
        <w:rPr>
          <w:sz w:val="20"/>
        </w:rPr>
        <w:t>projetos</w:t>
      </w:r>
      <w:r>
        <w:rPr>
          <w:spacing w:val="-6"/>
          <w:sz w:val="20"/>
        </w:rPr>
        <w:t xml:space="preserve"> </w:t>
      </w:r>
      <w:r>
        <w:rPr>
          <w:sz w:val="20"/>
        </w:rPr>
        <w:t>na</w:t>
      </w:r>
      <w:r>
        <w:rPr>
          <w:spacing w:val="-5"/>
          <w:sz w:val="20"/>
        </w:rPr>
        <w:t xml:space="preserve"> </w:t>
      </w:r>
      <w:r>
        <w:rPr>
          <w:sz w:val="20"/>
        </w:rPr>
        <w:t>Câmara</w:t>
      </w:r>
      <w:r>
        <w:rPr>
          <w:spacing w:val="-5"/>
          <w:sz w:val="20"/>
        </w:rPr>
        <w:t xml:space="preserve"> </w:t>
      </w:r>
      <w:r>
        <w:rPr>
          <w:sz w:val="20"/>
        </w:rPr>
        <w:t>Municipal</w:t>
      </w:r>
      <w:r>
        <w:rPr>
          <w:spacing w:val="-4"/>
          <w:sz w:val="20"/>
        </w:rPr>
        <w:t xml:space="preserve"> </w:t>
      </w:r>
      <w:r>
        <w:rPr>
          <w:sz w:val="20"/>
        </w:rPr>
        <w:t>de</w:t>
      </w:r>
      <w:r>
        <w:rPr>
          <w:spacing w:val="-5"/>
          <w:sz w:val="20"/>
        </w:rPr>
        <w:t xml:space="preserve"> </w:t>
      </w:r>
      <w:r>
        <w:rPr>
          <w:sz w:val="20"/>
        </w:rPr>
        <w:t>São</w:t>
      </w:r>
      <w:r>
        <w:rPr>
          <w:spacing w:val="-5"/>
          <w:sz w:val="20"/>
        </w:rPr>
        <w:t xml:space="preserve"> </w:t>
      </w:r>
      <w:r>
        <w:rPr>
          <w:spacing w:val="-2"/>
          <w:sz w:val="20"/>
        </w:rPr>
        <w:t>Paulo;</w:t>
      </w:r>
    </w:p>
    <w:p w:rsidR="007259F2" w:rsidRDefault="00E655B4">
      <w:pPr>
        <w:pStyle w:val="PargrafodaLista"/>
        <w:numPr>
          <w:ilvl w:val="0"/>
          <w:numId w:val="14"/>
        </w:numPr>
        <w:tabs>
          <w:tab w:val="left" w:pos="2975"/>
          <w:tab w:val="left" w:pos="2978"/>
        </w:tabs>
        <w:ind w:right="432" w:hanging="752"/>
        <w:jc w:val="both"/>
        <w:rPr>
          <w:sz w:val="20"/>
        </w:rPr>
      </w:pPr>
      <w:r>
        <w:rPr>
          <w:sz w:val="20"/>
        </w:rPr>
        <w:t>estabelecer e fomentar estrutura de interlocução governamental nos territórios da Cidade de São Paulo;</w:t>
      </w:r>
    </w:p>
    <w:p w:rsidR="007259F2" w:rsidRDefault="00E655B4">
      <w:pPr>
        <w:pStyle w:val="Heading2"/>
        <w:numPr>
          <w:ilvl w:val="2"/>
          <w:numId w:val="15"/>
        </w:numPr>
        <w:tabs>
          <w:tab w:val="left" w:pos="1429"/>
        </w:tabs>
        <w:spacing w:before="205"/>
        <w:ind w:left="1429" w:hanging="719"/>
      </w:pPr>
      <w:r>
        <w:t>Diálogos</w:t>
      </w:r>
      <w:r>
        <w:rPr>
          <w:spacing w:val="-4"/>
        </w:rPr>
        <w:t xml:space="preserve"> </w:t>
      </w:r>
      <w:r>
        <w:t>dentro da</w:t>
      </w:r>
      <w:r>
        <w:rPr>
          <w:spacing w:val="-3"/>
        </w:rPr>
        <w:t xml:space="preserve"> </w:t>
      </w:r>
      <w:r>
        <w:t>Prefeitura</w:t>
      </w:r>
      <w:r>
        <w:rPr>
          <w:spacing w:val="-1"/>
        </w:rPr>
        <w:t xml:space="preserve"> </w:t>
      </w:r>
      <w:r>
        <w:t>do</w:t>
      </w:r>
      <w:r>
        <w:rPr>
          <w:spacing w:val="-3"/>
        </w:rPr>
        <w:t xml:space="preserve"> </w:t>
      </w:r>
      <w:r>
        <w:t>Município</w:t>
      </w:r>
      <w:r>
        <w:rPr>
          <w:spacing w:val="-1"/>
        </w:rPr>
        <w:t xml:space="preserve"> </w:t>
      </w:r>
      <w:r>
        <w:t>de</w:t>
      </w:r>
      <w:r>
        <w:rPr>
          <w:spacing w:val="-15"/>
        </w:rPr>
        <w:t xml:space="preserve"> </w:t>
      </w:r>
      <w:r>
        <w:t>São</w:t>
      </w:r>
      <w:r>
        <w:rPr>
          <w:spacing w:val="-1"/>
        </w:rPr>
        <w:t xml:space="preserve"> </w:t>
      </w:r>
      <w:r>
        <w:rPr>
          <w:spacing w:val="-2"/>
        </w:rPr>
        <w:t>Paulo</w:t>
      </w:r>
    </w:p>
    <w:p w:rsidR="007259F2" w:rsidRDefault="00E655B4">
      <w:pPr>
        <w:pStyle w:val="Corpodetexto"/>
        <w:spacing w:before="194"/>
        <w:ind w:right="422"/>
      </w:pPr>
      <w:r>
        <w:t xml:space="preserve">Nesse diapasão, resta evidenciado que a Casa Civil organiza, de um modo geral, a interlocução da administração pública com a Câmara Municipal. Nesse ponto, a vivência do programa de residência jurídica pode proporcionar a verificação de como essa interação se desenvolve na prática, dando contornos mais claros à atuação do Executivo na atividade </w:t>
      </w:r>
      <w:r>
        <w:rPr>
          <w:spacing w:val="-2"/>
        </w:rPr>
        <w:t>legislativa.</w:t>
      </w:r>
    </w:p>
    <w:p w:rsidR="007259F2" w:rsidRDefault="00E655B4">
      <w:pPr>
        <w:pStyle w:val="Heading2"/>
        <w:numPr>
          <w:ilvl w:val="2"/>
          <w:numId w:val="15"/>
        </w:numPr>
        <w:tabs>
          <w:tab w:val="left" w:pos="1429"/>
        </w:tabs>
        <w:spacing w:before="208"/>
        <w:ind w:left="1429" w:hanging="719"/>
      </w:pPr>
      <w:r>
        <w:t>O</w:t>
      </w:r>
      <w:r>
        <w:rPr>
          <w:spacing w:val="-9"/>
        </w:rPr>
        <w:t xml:space="preserve"> </w:t>
      </w:r>
      <w:r>
        <w:t>processo</w:t>
      </w:r>
      <w:r>
        <w:rPr>
          <w:spacing w:val="-4"/>
        </w:rPr>
        <w:t xml:space="preserve"> </w:t>
      </w:r>
      <w:r>
        <w:t>administrativo</w:t>
      </w:r>
      <w:r>
        <w:rPr>
          <w:spacing w:val="-6"/>
        </w:rPr>
        <w:t xml:space="preserve"> </w:t>
      </w:r>
      <w:r>
        <w:t>dentro</w:t>
      </w:r>
      <w:r>
        <w:rPr>
          <w:spacing w:val="-4"/>
        </w:rPr>
        <w:t xml:space="preserve"> </w:t>
      </w:r>
      <w:r>
        <w:t>do</w:t>
      </w:r>
      <w:r>
        <w:rPr>
          <w:spacing w:val="-4"/>
        </w:rPr>
        <w:t xml:space="preserve"> </w:t>
      </w:r>
      <w:r>
        <w:t>Sistema</w:t>
      </w:r>
      <w:r>
        <w:rPr>
          <w:spacing w:val="-7"/>
        </w:rPr>
        <w:t xml:space="preserve"> </w:t>
      </w:r>
      <w:r>
        <w:t>Eletrônico</w:t>
      </w:r>
      <w:r>
        <w:rPr>
          <w:spacing w:val="-7"/>
        </w:rPr>
        <w:t xml:space="preserve"> </w:t>
      </w:r>
      <w:r>
        <w:t>de</w:t>
      </w:r>
      <w:r>
        <w:rPr>
          <w:spacing w:val="-6"/>
        </w:rPr>
        <w:t xml:space="preserve"> </w:t>
      </w:r>
      <w:r>
        <w:t>Informações</w:t>
      </w:r>
      <w:r>
        <w:rPr>
          <w:spacing w:val="-4"/>
        </w:rPr>
        <w:t xml:space="preserve"> </w:t>
      </w:r>
      <w:r>
        <w:rPr>
          <w:spacing w:val="-2"/>
        </w:rPr>
        <w:t>(SEI)</w:t>
      </w:r>
    </w:p>
    <w:p w:rsidR="007259F2" w:rsidRDefault="00E655B4">
      <w:pPr>
        <w:pStyle w:val="Corpodetexto"/>
        <w:spacing w:before="112" w:line="242" w:lineRule="auto"/>
        <w:ind w:right="429"/>
      </w:pPr>
      <w:r>
        <w:t>Segundo a definição de Marcelo Harger (2017), em sua contribuição para a Enciclopédia Jurídica da Pontifícia Universidade Católica de São Paulo:</w:t>
      </w:r>
    </w:p>
    <w:p w:rsidR="007259F2" w:rsidRDefault="00E655B4">
      <w:pPr>
        <w:spacing w:before="195"/>
        <w:ind w:left="2978" w:right="421"/>
        <w:jc w:val="both"/>
        <w:rPr>
          <w:sz w:val="20"/>
        </w:rPr>
      </w:pPr>
      <w:r>
        <w:rPr>
          <w:sz w:val="20"/>
        </w:rPr>
        <w:t>O processo é a forma de atuação do Estado. Atos estatais não surgem “do nada”. Sempre derivam de um processo decisório que, em um Estado de Direito, deve ser formalizado, por intermédio de atos que se sucedem no tempo, e que visam à edição de</w:t>
      </w:r>
      <w:r>
        <w:rPr>
          <w:spacing w:val="-8"/>
          <w:sz w:val="20"/>
        </w:rPr>
        <w:t xml:space="preserve"> </w:t>
      </w:r>
      <w:r>
        <w:rPr>
          <w:sz w:val="20"/>
        </w:rPr>
        <w:t>um</w:t>
      </w:r>
      <w:r>
        <w:rPr>
          <w:spacing w:val="-7"/>
          <w:sz w:val="20"/>
        </w:rPr>
        <w:t xml:space="preserve"> </w:t>
      </w:r>
      <w:r>
        <w:rPr>
          <w:sz w:val="20"/>
        </w:rPr>
        <w:t>ato</w:t>
      </w:r>
      <w:r>
        <w:rPr>
          <w:spacing w:val="-6"/>
          <w:sz w:val="20"/>
        </w:rPr>
        <w:t xml:space="preserve"> </w:t>
      </w:r>
      <w:r>
        <w:rPr>
          <w:sz w:val="20"/>
        </w:rPr>
        <w:t>final.</w:t>
      </w:r>
      <w:r>
        <w:rPr>
          <w:spacing w:val="-1"/>
          <w:sz w:val="20"/>
        </w:rPr>
        <w:t xml:space="preserve"> </w:t>
      </w:r>
      <w:r>
        <w:rPr>
          <w:sz w:val="20"/>
        </w:rPr>
        <w:t>Processo</w:t>
      </w:r>
      <w:r>
        <w:rPr>
          <w:spacing w:val="-8"/>
          <w:sz w:val="20"/>
        </w:rPr>
        <w:t xml:space="preserve"> </w:t>
      </w:r>
      <w:r>
        <w:rPr>
          <w:sz w:val="20"/>
        </w:rPr>
        <w:t>é,</w:t>
      </w:r>
      <w:r>
        <w:rPr>
          <w:spacing w:val="-2"/>
          <w:sz w:val="20"/>
        </w:rPr>
        <w:t xml:space="preserve"> </w:t>
      </w:r>
      <w:r>
        <w:rPr>
          <w:sz w:val="20"/>
        </w:rPr>
        <w:t>pois,</w:t>
      </w:r>
      <w:r>
        <w:rPr>
          <w:spacing w:val="-2"/>
          <w:sz w:val="20"/>
        </w:rPr>
        <w:t xml:space="preserve"> </w:t>
      </w:r>
      <w:r>
        <w:rPr>
          <w:sz w:val="20"/>
        </w:rPr>
        <w:t>o</w:t>
      </w:r>
      <w:r>
        <w:rPr>
          <w:spacing w:val="-7"/>
          <w:sz w:val="20"/>
        </w:rPr>
        <w:t xml:space="preserve"> </w:t>
      </w:r>
      <w:r>
        <w:rPr>
          <w:sz w:val="20"/>
        </w:rPr>
        <w:t>mecanismo</w:t>
      </w:r>
      <w:r>
        <w:rPr>
          <w:spacing w:val="-8"/>
          <w:sz w:val="20"/>
        </w:rPr>
        <w:t xml:space="preserve"> </w:t>
      </w:r>
      <w:r>
        <w:rPr>
          <w:sz w:val="20"/>
        </w:rPr>
        <w:t>por</w:t>
      </w:r>
      <w:r>
        <w:rPr>
          <w:spacing w:val="-1"/>
          <w:sz w:val="20"/>
        </w:rPr>
        <w:t xml:space="preserve"> </w:t>
      </w:r>
      <w:r>
        <w:rPr>
          <w:sz w:val="20"/>
        </w:rPr>
        <w:t>intermédio</w:t>
      </w:r>
      <w:r>
        <w:rPr>
          <w:spacing w:val="-7"/>
          <w:sz w:val="20"/>
        </w:rPr>
        <w:t xml:space="preserve"> </w:t>
      </w:r>
      <w:r>
        <w:rPr>
          <w:sz w:val="20"/>
        </w:rPr>
        <w:t>do</w:t>
      </w:r>
      <w:r>
        <w:rPr>
          <w:spacing w:val="-9"/>
          <w:sz w:val="20"/>
        </w:rPr>
        <w:t xml:space="preserve"> </w:t>
      </w:r>
      <w:r>
        <w:rPr>
          <w:sz w:val="20"/>
        </w:rPr>
        <w:t>qual</w:t>
      </w:r>
      <w:r>
        <w:rPr>
          <w:spacing w:val="-3"/>
          <w:sz w:val="20"/>
        </w:rPr>
        <w:t xml:space="preserve"> </w:t>
      </w:r>
      <w:r>
        <w:rPr>
          <w:sz w:val="20"/>
        </w:rPr>
        <w:t>o</w:t>
      </w:r>
      <w:r>
        <w:rPr>
          <w:spacing w:val="-9"/>
          <w:sz w:val="20"/>
        </w:rPr>
        <w:t xml:space="preserve"> </w:t>
      </w:r>
      <w:r>
        <w:rPr>
          <w:sz w:val="20"/>
        </w:rPr>
        <w:t>poder</w:t>
      </w:r>
      <w:r>
        <w:rPr>
          <w:spacing w:val="-1"/>
          <w:sz w:val="20"/>
        </w:rPr>
        <w:t xml:space="preserve"> </w:t>
      </w:r>
      <w:r>
        <w:rPr>
          <w:sz w:val="20"/>
        </w:rPr>
        <w:t>estatal se materializa em atos.</w:t>
      </w:r>
    </w:p>
    <w:p w:rsidR="007259F2" w:rsidRDefault="00E655B4">
      <w:pPr>
        <w:pStyle w:val="Corpodetexto"/>
        <w:spacing w:before="201"/>
        <w:ind w:right="430"/>
      </w:pPr>
      <w:r>
        <w:t>No âmbito da Prefeitura, e de muitos órgãos públicos, o processo administrativo é conduzido através do SEI, que possibilita o desenvolvimento e acompanhamento de diversas manifestações dos interessados no feito.</w:t>
      </w:r>
    </w:p>
    <w:p w:rsidR="007259F2" w:rsidRDefault="00E655B4">
      <w:pPr>
        <w:pStyle w:val="Corpodetexto"/>
        <w:ind w:right="421"/>
      </w:pPr>
      <w:r>
        <w:t>Assim</w:t>
      </w:r>
      <w:r>
        <w:rPr>
          <w:spacing w:val="-2"/>
        </w:rPr>
        <w:t xml:space="preserve"> </w:t>
      </w:r>
      <w:r>
        <w:t>sendo, o desenrolar do diálogo institucional inicia com</w:t>
      </w:r>
      <w:r>
        <w:rPr>
          <w:spacing w:val="-7"/>
        </w:rPr>
        <w:t xml:space="preserve"> </w:t>
      </w:r>
      <w:r>
        <w:t>a chegada</w:t>
      </w:r>
      <w:r>
        <w:rPr>
          <w:spacing w:val="-1"/>
        </w:rPr>
        <w:t xml:space="preserve"> </w:t>
      </w:r>
      <w:r>
        <w:t>de</w:t>
      </w:r>
      <w:r>
        <w:rPr>
          <w:spacing w:val="-1"/>
        </w:rPr>
        <w:t xml:space="preserve"> </w:t>
      </w:r>
      <w:r>
        <w:t>um</w:t>
      </w:r>
      <w:r>
        <w:rPr>
          <w:spacing w:val="-7"/>
        </w:rPr>
        <w:t xml:space="preserve"> </w:t>
      </w:r>
      <w:r>
        <w:t>projeto de</w:t>
      </w:r>
      <w:r>
        <w:rPr>
          <w:spacing w:val="-6"/>
        </w:rPr>
        <w:t xml:space="preserve"> </w:t>
      </w:r>
      <w:r>
        <w:t>lei, do</w:t>
      </w:r>
      <w:r>
        <w:rPr>
          <w:spacing w:val="-2"/>
        </w:rPr>
        <w:t xml:space="preserve"> </w:t>
      </w:r>
      <w:r>
        <w:t>qual</w:t>
      </w:r>
      <w:r>
        <w:rPr>
          <w:spacing w:val="-9"/>
        </w:rPr>
        <w:t xml:space="preserve"> </w:t>
      </w:r>
      <w:r>
        <w:t>a</w:t>
      </w:r>
      <w:r>
        <w:rPr>
          <w:spacing w:val="-6"/>
        </w:rPr>
        <w:t xml:space="preserve"> </w:t>
      </w:r>
      <w:r>
        <w:t>Prefeitura</w:t>
      </w:r>
      <w:r>
        <w:rPr>
          <w:spacing w:val="-9"/>
        </w:rPr>
        <w:t xml:space="preserve"> </w:t>
      </w:r>
      <w:r>
        <w:t>toma</w:t>
      </w:r>
      <w:r>
        <w:rPr>
          <w:spacing w:val="-3"/>
        </w:rPr>
        <w:t xml:space="preserve"> </w:t>
      </w:r>
      <w:r>
        <w:t>conhecimento,</w:t>
      </w:r>
      <w:r>
        <w:rPr>
          <w:spacing w:val="-4"/>
        </w:rPr>
        <w:t xml:space="preserve"> </w:t>
      </w:r>
      <w:r>
        <w:t>cabendo à</w:t>
      </w:r>
      <w:r>
        <w:rPr>
          <w:spacing w:val="-9"/>
        </w:rPr>
        <w:t xml:space="preserve"> </w:t>
      </w:r>
      <w:r>
        <w:t>Casa</w:t>
      </w:r>
      <w:r>
        <w:rPr>
          <w:spacing w:val="-5"/>
        </w:rPr>
        <w:t xml:space="preserve"> </w:t>
      </w:r>
      <w:r>
        <w:t>Civil</w:t>
      </w:r>
      <w:r>
        <w:rPr>
          <w:spacing w:val="-11"/>
        </w:rPr>
        <w:t xml:space="preserve"> </w:t>
      </w:r>
      <w:r>
        <w:t>o papel</w:t>
      </w:r>
      <w:r>
        <w:rPr>
          <w:spacing w:val="-10"/>
        </w:rPr>
        <w:t xml:space="preserve"> </w:t>
      </w:r>
      <w:r>
        <w:t>de</w:t>
      </w:r>
      <w:r>
        <w:rPr>
          <w:spacing w:val="-3"/>
        </w:rPr>
        <w:t xml:space="preserve"> </w:t>
      </w:r>
      <w:r>
        <w:t>verificar o</w:t>
      </w:r>
      <w:r>
        <w:rPr>
          <w:spacing w:val="-2"/>
        </w:rPr>
        <w:t xml:space="preserve"> </w:t>
      </w:r>
      <w:r>
        <w:t>seu conteúdo,</w:t>
      </w:r>
      <w:r>
        <w:rPr>
          <w:spacing w:val="-12"/>
        </w:rPr>
        <w:t xml:space="preserve"> </w:t>
      </w:r>
      <w:r>
        <w:t>encaminhando</w:t>
      </w:r>
      <w:r>
        <w:rPr>
          <w:spacing w:val="-7"/>
        </w:rPr>
        <w:t xml:space="preserve"> </w:t>
      </w:r>
      <w:r>
        <w:t>o</w:t>
      </w:r>
      <w:r>
        <w:rPr>
          <w:spacing w:val="-5"/>
        </w:rPr>
        <w:t xml:space="preserve"> </w:t>
      </w:r>
      <w:r>
        <w:t>processo</w:t>
      </w:r>
      <w:r>
        <w:rPr>
          <w:spacing w:val="-5"/>
        </w:rPr>
        <w:t xml:space="preserve"> </w:t>
      </w:r>
      <w:r>
        <w:t>às</w:t>
      </w:r>
      <w:r>
        <w:rPr>
          <w:spacing w:val="-11"/>
        </w:rPr>
        <w:t xml:space="preserve"> </w:t>
      </w:r>
      <w:r>
        <w:t>secretarias</w:t>
      </w:r>
      <w:r>
        <w:rPr>
          <w:spacing w:val="-9"/>
        </w:rPr>
        <w:t xml:space="preserve"> </w:t>
      </w:r>
      <w:r>
        <w:t>cujas</w:t>
      </w:r>
      <w:r>
        <w:rPr>
          <w:spacing w:val="-7"/>
        </w:rPr>
        <w:t xml:space="preserve"> </w:t>
      </w:r>
      <w:r>
        <w:t>funções</w:t>
      </w:r>
      <w:r>
        <w:rPr>
          <w:spacing w:val="-9"/>
        </w:rPr>
        <w:t xml:space="preserve"> </w:t>
      </w:r>
      <w:r>
        <w:t>estão</w:t>
      </w:r>
      <w:r>
        <w:rPr>
          <w:spacing w:val="-9"/>
        </w:rPr>
        <w:t xml:space="preserve"> </w:t>
      </w:r>
      <w:r>
        <w:t>relacionadas</w:t>
      </w:r>
      <w:r>
        <w:rPr>
          <w:spacing w:val="-10"/>
        </w:rPr>
        <w:t xml:space="preserve"> </w:t>
      </w:r>
      <w:r>
        <w:t>às</w:t>
      </w:r>
      <w:r>
        <w:rPr>
          <w:spacing w:val="-11"/>
        </w:rPr>
        <w:t xml:space="preserve"> </w:t>
      </w:r>
      <w:r>
        <w:t>questões abordadas na propositura, o que as torna interessadas na tomada de decisões.</w:t>
      </w:r>
    </w:p>
    <w:p w:rsidR="007259F2" w:rsidRDefault="00E655B4">
      <w:pPr>
        <w:pStyle w:val="Corpodetexto"/>
        <w:ind w:right="419"/>
      </w:pPr>
      <w:r>
        <w:t>Dessa forma, percebe-se que uma propositura passará, em regra, pelo crivo de uma análise</w:t>
      </w:r>
      <w:r>
        <w:rPr>
          <w:spacing w:val="-8"/>
        </w:rPr>
        <w:t xml:space="preserve"> </w:t>
      </w:r>
      <w:r>
        <w:t>tanto</w:t>
      </w:r>
      <w:r>
        <w:rPr>
          <w:spacing w:val="-2"/>
        </w:rPr>
        <w:t xml:space="preserve"> </w:t>
      </w:r>
      <w:r>
        <w:t>política</w:t>
      </w:r>
      <w:r>
        <w:rPr>
          <w:spacing w:val="-8"/>
        </w:rPr>
        <w:t xml:space="preserve"> </w:t>
      </w:r>
      <w:r>
        <w:t>quanto</w:t>
      </w:r>
      <w:r>
        <w:rPr>
          <w:spacing w:val="-6"/>
        </w:rPr>
        <w:t xml:space="preserve"> </w:t>
      </w:r>
      <w:r>
        <w:t>técnica</w:t>
      </w:r>
      <w:r>
        <w:rPr>
          <w:spacing w:val="-9"/>
        </w:rPr>
        <w:t xml:space="preserve"> </w:t>
      </w:r>
      <w:r>
        <w:t>das</w:t>
      </w:r>
      <w:r>
        <w:rPr>
          <w:spacing w:val="-9"/>
        </w:rPr>
        <w:t xml:space="preserve"> </w:t>
      </w:r>
      <w:r>
        <w:t>devidas</w:t>
      </w:r>
      <w:r>
        <w:rPr>
          <w:spacing w:val="-9"/>
        </w:rPr>
        <w:t xml:space="preserve"> </w:t>
      </w:r>
      <w:r>
        <w:t>pastas.</w:t>
      </w:r>
      <w:r>
        <w:rPr>
          <w:spacing w:val="-7"/>
        </w:rPr>
        <w:t xml:space="preserve"> </w:t>
      </w:r>
      <w:r>
        <w:t>De</w:t>
      </w:r>
      <w:r>
        <w:rPr>
          <w:spacing w:val="-8"/>
        </w:rPr>
        <w:t xml:space="preserve"> </w:t>
      </w:r>
      <w:r>
        <w:t>modo</w:t>
      </w:r>
      <w:r>
        <w:rPr>
          <w:spacing w:val="-2"/>
        </w:rPr>
        <w:t xml:space="preserve"> </w:t>
      </w:r>
      <w:r>
        <w:t>geral,</w:t>
      </w:r>
      <w:r>
        <w:rPr>
          <w:spacing w:val="-4"/>
        </w:rPr>
        <w:t xml:space="preserve"> </w:t>
      </w:r>
      <w:r>
        <w:t>após</w:t>
      </w:r>
      <w:r>
        <w:rPr>
          <w:spacing w:val="-9"/>
        </w:rPr>
        <w:t xml:space="preserve"> </w:t>
      </w:r>
      <w:r>
        <w:t>o</w:t>
      </w:r>
      <w:r>
        <w:rPr>
          <w:spacing w:val="-2"/>
        </w:rPr>
        <w:t xml:space="preserve"> </w:t>
      </w:r>
      <w:r>
        <w:t>envio inicial, as secretarias</w:t>
      </w:r>
      <w:r>
        <w:rPr>
          <w:spacing w:val="-4"/>
        </w:rPr>
        <w:t xml:space="preserve"> </w:t>
      </w:r>
      <w:r>
        <w:t>requisitam</w:t>
      </w:r>
      <w:r>
        <w:rPr>
          <w:spacing w:val="-11"/>
        </w:rPr>
        <w:t xml:space="preserve"> </w:t>
      </w:r>
      <w:r>
        <w:t>a manifestação das</w:t>
      </w:r>
      <w:r>
        <w:rPr>
          <w:spacing w:val="-3"/>
        </w:rPr>
        <w:t xml:space="preserve"> </w:t>
      </w:r>
      <w:r>
        <w:t>suas</w:t>
      </w:r>
      <w:r>
        <w:rPr>
          <w:spacing w:val="-5"/>
        </w:rPr>
        <w:t xml:space="preserve"> </w:t>
      </w:r>
      <w:r>
        <w:t>subpastas, envolvendo assim</w:t>
      </w:r>
      <w:r>
        <w:rPr>
          <w:spacing w:val="-5"/>
        </w:rPr>
        <w:t xml:space="preserve"> </w:t>
      </w:r>
      <w:r>
        <w:t>as</w:t>
      </w:r>
      <w:r>
        <w:rPr>
          <w:spacing w:val="-4"/>
        </w:rPr>
        <w:t xml:space="preserve"> </w:t>
      </w:r>
      <w:r>
        <w:t>áreas técnicas</w:t>
      </w:r>
      <w:r>
        <w:rPr>
          <w:spacing w:val="-4"/>
        </w:rPr>
        <w:t xml:space="preserve"> </w:t>
      </w:r>
      <w:r>
        <w:t xml:space="preserve">e </w:t>
      </w:r>
      <w:r>
        <w:rPr>
          <w:spacing w:val="-2"/>
        </w:rPr>
        <w:t>jurídicas.</w:t>
      </w:r>
    </w:p>
    <w:p w:rsidR="007259F2" w:rsidRDefault="00E655B4">
      <w:pPr>
        <w:pStyle w:val="Heading2"/>
        <w:numPr>
          <w:ilvl w:val="2"/>
          <w:numId w:val="15"/>
        </w:numPr>
        <w:tabs>
          <w:tab w:val="left" w:pos="1429"/>
        </w:tabs>
        <w:ind w:left="1429" w:hanging="719"/>
      </w:pPr>
      <w:r>
        <w:t>Das</w:t>
      </w:r>
      <w:r>
        <w:rPr>
          <w:spacing w:val="-7"/>
        </w:rPr>
        <w:t xml:space="preserve"> </w:t>
      </w:r>
      <w:r>
        <w:t>áreas</w:t>
      </w:r>
      <w:r>
        <w:rPr>
          <w:spacing w:val="-4"/>
        </w:rPr>
        <w:t xml:space="preserve"> </w:t>
      </w:r>
      <w:r>
        <w:rPr>
          <w:spacing w:val="-2"/>
        </w:rPr>
        <w:t>técnicas</w:t>
      </w:r>
    </w:p>
    <w:p w:rsidR="007259F2" w:rsidRDefault="00E655B4">
      <w:pPr>
        <w:pStyle w:val="Corpodetexto"/>
        <w:spacing w:before="194"/>
        <w:ind w:right="414"/>
      </w:pPr>
      <w:r>
        <w:t>No tocante ao estudo técnico, a verificação da proposta se dá por um viés muito mais prático</w:t>
      </w:r>
      <w:r>
        <w:rPr>
          <w:spacing w:val="-5"/>
        </w:rPr>
        <w:t xml:space="preserve"> </w:t>
      </w:r>
      <w:r>
        <w:t>e</w:t>
      </w:r>
      <w:r>
        <w:rPr>
          <w:spacing w:val="-11"/>
        </w:rPr>
        <w:t xml:space="preserve"> </w:t>
      </w:r>
      <w:r>
        <w:t>inerente</w:t>
      </w:r>
      <w:r>
        <w:rPr>
          <w:spacing w:val="-10"/>
        </w:rPr>
        <w:t xml:space="preserve"> </w:t>
      </w:r>
      <w:r>
        <w:t>à</w:t>
      </w:r>
      <w:r>
        <w:rPr>
          <w:spacing w:val="-11"/>
        </w:rPr>
        <w:t xml:space="preserve"> </w:t>
      </w:r>
      <w:r>
        <w:t>especialização</w:t>
      </w:r>
      <w:r>
        <w:rPr>
          <w:spacing w:val="-3"/>
        </w:rPr>
        <w:t xml:space="preserve"> </w:t>
      </w:r>
      <w:r>
        <w:t>do</w:t>
      </w:r>
      <w:r>
        <w:rPr>
          <w:spacing w:val="-7"/>
        </w:rPr>
        <w:t xml:space="preserve"> </w:t>
      </w:r>
      <w:r>
        <w:t>grupo</w:t>
      </w:r>
      <w:r>
        <w:rPr>
          <w:spacing w:val="-6"/>
        </w:rPr>
        <w:t xml:space="preserve"> </w:t>
      </w:r>
      <w:r>
        <w:t>instado</w:t>
      </w:r>
      <w:r>
        <w:rPr>
          <w:spacing w:val="-4"/>
        </w:rPr>
        <w:t xml:space="preserve"> </w:t>
      </w:r>
      <w:r>
        <w:t>a</w:t>
      </w:r>
      <w:r>
        <w:rPr>
          <w:spacing w:val="-15"/>
        </w:rPr>
        <w:t xml:space="preserve"> </w:t>
      </w:r>
      <w:r>
        <w:t>se</w:t>
      </w:r>
      <w:r>
        <w:rPr>
          <w:spacing w:val="-6"/>
        </w:rPr>
        <w:t xml:space="preserve"> </w:t>
      </w:r>
      <w:r>
        <w:t>manifestar.</w:t>
      </w:r>
      <w:r>
        <w:rPr>
          <w:spacing w:val="-1"/>
        </w:rPr>
        <w:t xml:space="preserve"> </w:t>
      </w:r>
      <w:r>
        <w:t>Podemos</w:t>
      </w:r>
      <w:r>
        <w:rPr>
          <w:spacing w:val="-5"/>
        </w:rPr>
        <w:t xml:space="preserve"> </w:t>
      </w:r>
      <w:r>
        <w:t>mencionar</w:t>
      </w:r>
      <w:r>
        <w:rPr>
          <w:spacing w:val="-6"/>
        </w:rPr>
        <w:t xml:space="preserve"> </w:t>
      </w:r>
      <w:r>
        <w:t>assim a</w:t>
      </w:r>
      <w:r>
        <w:rPr>
          <w:spacing w:val="-15"/>
        </w:rPr>
        <w:t xml:space="preserve"> </w:t>
      </w:r>
      <w:r>
        <w:t>que</w:t>
      </w:r>
      <w:r>
        <w:rPr>
          <w:spacing w:val="-15"/>
        </w:rPr>
        <w:t xml:space="preserve"> </w:t>
      </w:r>
      <w:r>
        <w:t>a</w:t>
      </w:r>
      <w:r>
        <w:rPr>
          <w:spacing w:val="-15"/>
        </w:rPr>
        <w:t xml:space="preserve"> </w:t>
      </w:r>
      <w:r>
        <w:t>contribuição</w:t>
      </w:r>
      <w:r>
        <w:rPr>
          <w:spacing w:val="-11"/>
        </w:rPr>
        <w:t xml:space="preserve"> </w:t>
      </w:r>
      <w:r>
        <w:t>incluiu</w:t>
      </w:r>
      <w:r>
        <w:rPr>
          <w:spacing w:val="-11"/>
        </w:rPr>
        <w:t xml:space="preserve"> </w:t>
      </w:r>
      <w:r>
        <w:t>questões</w:t>
      </w:r>
      <w:r>
        <w:rPr>
          <w:spacing w:val="-14"/>
        </w:rPr>
        <w:t xml:space="preserve"> </w:t>
      </w:r>
      <w:r>
        <w:t>como</w:t>
      </w:r>
      <w:r>
        <w:rPr>
          <w:spacing w:val="-9"/>
        </w:rPr>
        <w:t xml:space="preserve"> </w:t>
      </w:r>
      <w:r>
        <w:t>a</w:t>
      </w:r>
      <w:r>
        <w:rPr>
          <w:spacing w:val="-15"/>
        </w:rPr>
        <w:t xml:space="preserve"> </w:t>
      </w:r>
      <w:r>
        <w:t>existência</w:t>
      </w:r>
      <w:r>
        <w:rPr>
          <w:spacing w:val="-14"/>
        </w:rPr>
        <w:t xml:space="preserve"> </w:t>
      </w:r>
      <w:r>
        <w:t>ou</w:t>
      </w:r>
      <w:r>
        <w:rPr>
          <w:spacing w:val="-14"/>
        </w:rPr>
        <w:t xml:space="preserve"> </w:t>
      </w:r>
      <w:r>
        <w:t>inexistência</w:t>
      </w:r>
      <w:r>
        <w:rPr>
          <w:spacing w:val="-14"/>
        </w:rPr>
        <w:t xml:space="preserve"> </w:t>
      </w:r>
      <w:r>
        <w:t>de</w:t>
      </w:r>
      <w:r>
        <w:rPr>
          <w:spacing w:val="-11"/>
        </w:rPr>
        <w:t xml:space="preserve"> </w:t>
      </w:r>
      <w:r>
        <w:t>legislação</w:t>
      </w:r>
      <w:r>
        <w:rPr>
          <w:spacing w:val="-13"/>
        </w:rPr>
        <w:t xml:space="preserve"> </w:t>
      </w:r>
      <w:r>
        <w:t>ou</w:t>
      </w:r>
      <w:r>
        <w:rPr>
          <w:spacing w:val="-14"/>
        </w:rPr>
        <w:t xml:space="preserve"> </w:t>
      </w:r>
      <w:r>
        <w:t>política pública que abarque os objetos das proposituras; a factibilidade das ações previstas no projeto de</w:t>
      </w:r>
      <w:r>
        <w:rPr>
          <w:spacing w:val="-8"/>
        </w:rPr>
        <w:t xml:space="preserve"> </w:t>
      </w:r>
      <w:r>
        <w:t>lei;</w:t>
      </w:r>
      <w:r>
        <w:rPr>
          <w:spacing w:val="-12"/>
        </w:rPr>
        <w:t xml:space="preserve"> </w:t>
      </w:r>
      <w:r>
        <w:t>o</w:t>
      </w:r>
      <w:r>
        <w:rPr>
          <w:spacing w:val="-7"/>
        </w:rPr>
        <w:t xml:space="preserve"> </w:t>
      </w:r>
      <w:r>
        <w:t>preenchimento</w:t>
      </w:r>
      <w:r>
        <w:rPr>
          <w:spacing w:val="-6"/>
        </w:rPr>
        <w:t xml:space="preserve"> </w:t>
      </w:r>
      <w:r>
        <w:t>de</w:t>
      </w:r>
      <w:r>
        <w:rPr>
          <w:spacing w:val="-15"/>
        </w:rPr>
        <w:t xml:space="preserve"> </w:t>
      </w:r>
      <w:r>
        <w:t>requisitos</w:t>
      </w:r>
      <w:r>
        <w:rPr>
          <w:spacing w:val="-8"/>
        </w:rPr>
        <w:t xml:space="preserve"> </w:t>
      </w:r>
      <w:r>
        <w:t>específicos,</w:t>
      </w:r>
      <w:r>
        <w:rPr>
          <w:spacing w:val="-10"/>
        </w:rPr>
        <w:t xml:space="preserve"> </w:t>
      </w:r>
      <w:r>
        <w:t>como</w:t>
      </w:r>
      <w:r>
        <w:rPr>
          <w:spacing w:val="-6"/>
        </w:rPr>
        <w:t xml:space="preserve"> </w:t>
      </w:r>
      <w:r>
        <w:t>por</w:t>
      </w:r>
      <w:r>
        <w:rPr>
          <w:spacing w:val="-10"/>
        </w:rPr>
        <w:t xml:space="preserve"> </w:t>
      </w:r>
      <w:r>
        <w:t>exemplo</w:t>
      </w:r>
      <w:r>
        <w:rPr>
          <w:spacing w:val="-7"/>
        </w:rPr>
        <w:t xml:space="preserve"> </w:t>
      </w:r>
      <w:r>
        <w:t>e</w:t>
      </w:r>
      <w:r>
        <w:rPr>
          <w:spacing w:val="-15"/>
        </w:rPr>
        <w:t xml:space="preserve"> </w:t>
      </w:r>
      <w:r>
        <w:t>a</w:t>
      </w:r>
      <w:r>
        <w:rPr>
          <w:spacing w:val="-15"/>
        </w:rPr>
        <w:t xml:space="preserve"> </w:t>
      </w:r>
      <w:r>
        <w:t>observância</w:t>
      </w:r>
      <w:r>
        <w:rPr>
          <w:spacing w:val="-14"/>
        </w:rPr>
        <w:t xml:space="preserve"> </w:t>
      </w:r>
      <w:r>
        <w:t>de</w:t>
      </w:r>
      <w:r>
        <w:rPr>
          <w:spacing w:val="-8"/>
        </w:rPr>
        <w:t xml:space="preserve"> </w:t>
      </w:r>
      <w:r>
        <w:t>normas técnicas que regulam determinada atividade. Não é raro também que sejam realizados breves apontamentos</w:t>
      </w:r>
      <w:r>
        <w:rPr>
          <w:spacing w:val="-4"/>
        </w:rPr>
        <w:t xml:space="preserve"> </w:t>
      </w:r>
      <w:r>
        <w:t>a</w:t>
      </w:r>
      <w:r>
        <w:rPr>
          <w:spacing w:val="-5"/>
        </w:rPr>
        <w:t xml:space="preserve"> </w:t>
      </w:r>
      <w:r>
        <w:t>respeito da</w:t>
      </w:r>
      <w:r>
        <w:rPr>
          <w:spacing w:val="-3"/>
        </w:rPr>
        <w:t xml:space="preserve"> </w:t>
      </w:r>
      <w:r>
        <w:t>constitucionalidade das inovações legislativas, vez que isso, por si só, a tornaria inviável. Entretanto, cabe às Assessorias Jurídicas se debruçar sobre as questões legais pertinentes.</w:t>
      </w:r>
    </w:p>
    <w:p w:rsidR="007259F2" w:rsidRDefault="00E655B4">
      <w:pPr>
        <w:pStyle w:val="Heading2"/>
        <w:numPr>
          <w:ilvl w:val="2"/>
          <w:numId w:val="15"/>
        </w:numPr>
        <w:tabs>
          <w:tab w:val="left" w:pos="1429"/>
        </w:tabs>
        <w:spacing w:before="205"/>
        <w:ind w:left="1429" w:hanging="719"/>
      </w:pPr>
      <w:r>
        <w:t>Das</w:t>
      </w:r>
      <w:r>
        <w:rPr>
          <w:spacing w:val="-9"/>
        </w:rPr>
        <w:t xml:space="preserve"> </w:t>
      </w:r>
      <w:r>
        <w:t>assessorias</w:t>
      </w:r>
      <w:r>
        <w:rPr>
          <w:spacing w:val="-4"/>
        </w:rPr>
        <w:t xml:space="preserve"> </w:t>
      </w:r>
      <w:r>
        <w:rPr>
          <w:spacing w:val="-2"/>
        </w:rPr>
        <w:t>jurídicas</w:t>
      </w:r>
    </w:p>
    <w:p w:rsidR="007259F2" w:rsidRDefault="007259F2">
      <w:pPr>
        <w:pStyle w:val="Heading2"/>
        <w:jc w:val="left"/>
        <w:sectPr w:rsidR="007259F2">
          <w:pgSz w:w="11910" w:h="16840"/>
          <w:pgMar w:top="1600" w:right="708" w:bottom="1020" w:left="992" w:header="0" w:footer="820" w:gutter="0"/>
          <w:cols w:space="720"/>
        </w:sectPr>
      </w:pPr>
    </w:p>
    <w:p w:rsidR="007259F2" w:rsidRDefault="00E655B4">
      <w:pPr>
        <w:pStyle w:val="Corpodetexto"/>
        <w:spacing w:before="75"/>
        <w:ind w:right="430"/>
      </w:pPr>
      <w:r>
        <w:lastRenderedPageBreak/>
        <w:t>Frequentemente, são realizados pelas áreas técnicas breves apontamentos a respeito da constitucionalidade das inovações legislativas, vez que isso, por si só, as tornaria inviáveis. Entretanto, cabe às Assessorias Jurídicas se debruçar sobre as questões legais pertinentes.</w:t>
      </w:r>
    </w:p>
    <w:p w:rsidR="007259F2" w:rsidRDefault="00E655B4">
      <w:pPr>
        <w:pStyle w:val="Heading2"/>
        <w:numPr>
          <w:ilvl w:val="3"/>
          <w:numId w:val="15"/>
        </w:numPr>
        <w:tabs>
          <w:tab w:val="left" w:pos="1429"/>
        </w:tabs>
        <w:ind w:left="1429" w:hanging="719"/>
        <w:jc w:val="both"/>
      </w:pPr>
      <w:r>
        <w:t>Competência</w:t>
      </w:r>
      <w:r>
        <w:rPr>
          <w:spacing w:val="-6"/>
        </w:rPr>
        <w:t xml:space="preserve"> </w:t>
      </w:r>
      <w:r>
        <w:t>legislativa</w:t>
      </w:r>
      <w:r>
        <w:rPr>
          <w:spacing w:val="-3"/>
        </w:rPr>
        <w:t xml:space="preserve"> </w:t>
      </w:r>
      <w:r>
        <w:t>constitucional</w:t>
      </w:r>
      <w:r>
        <w:rPr>
          <w:spacing w:val="-8"/>
        </w:rPr>
        <w:t xml:space="preserve"> </w:t>
      </w:r>
      <w:r>
        <w:t>dos</w:t>
      </w:r>
      <w:r>
        <w:rPr>
          <w:spacing w:val="-7"/>
        </w:rPr>
        <w:t xml:space="preserve"> </w:t>
      </w:r>
      <w:r>
        <w:rPr>
          <w:spacing w:val="-2"/>
        </w:rPr>
        <w:t>municípios</w:t>
      </w:r>
    </w:p>
    <w:p w:rsidR="007259F2" w:rsidRDefault="00E655B4">
      <w:pPr>
        <w:pStyle w:val="Corpodetexto"/>
        <w:spacing w:before="113"/>
        <w:ind w:right="424"/>
      </w:pPr>
      <w:r>
        <w:t>A</w:t>
      </w:r>
      <w:r>
        <w:rPr>
          <w:spacing w:val="-14"/>
        </w:rPr>
        <w:t xml:space="preserve"> </w:t>
      </w:r>
      <w:r>
        <w:t>elaboração</w:t>
      </w:r>
      <w:r>
        <w:rPr>
          <w:spacing w:val="-4"/>
        </w:rPr>
        <w:t xml:space="preserve"> </w:t>
      </w:r>
      <w:r>
        <w:t>de</w:t>
      </w:r>
      <w:r>
        <w:rPr>
          <w:spacing w:val="-13"/>
        </w:rPr>
        <w:t xml:space="preserve"> </w:t>
      </w:r>
      <w:r>
        <w:t>pareceres</w:t>
      </w:r>
      <w:r>
        <w:rPr>
          <w:spacing w:val="-10"/>
        </w:rPr>
        <w:t xml:space="preserve"> </w:t>
      </w:r>
      <w:r>
        <w:t>pelos</w:t>
      </w:r>
      <w:r>
        <w:rPr>
          <w:spacing w:val="-10"/>
        </w:rPr>
        <w:t xml:space="preserve"> </w:t>
      </w:r>
      <w:r>
        <w:t>Procuradores</w:t>
      </w:r>
      <w:r>
        <w:rPr>
          <w:spacing w:val="-10"/>
        </w:rPr>
        <w:t xml:space="preserve"> </w:t>
      </w:r>
      <w:r>
        <w:t>do</w:t>
      </w:r>
      <w:r>
        <w:rPr>
          <w:spacing w:val="-11"/>
        </w:rPr>
        <w:t xml:space="preserve"> </w:t>
      </w:r>
      <w:r>
        <w:t>Município</w:t>
      </w:r>
      <w:r>
        <w:rPr>
          <w:spacing w:val="-4"/>
        </w:rPr>
        <w:t xml:space="preserve"> </w:t>
      </w:r>
      <w:r>
        <w:t>e</w:t>
      </w:r>
      <w:r>
        <w:rPr>
          <w:spacing w:val="-9"/>
        </w:rPr>
        <w:t xml:space="preserve"> </w:t>
      </w:r>
      <w:r>
        <w:t>suas</w:t>
      </w:r>
      <w:r>
        <w:rPr>
          <w:spacing w:val="-11"/>
        </w:rPr>
        <w:t xml:space="preserve"> </w:t>
      </w:r>
      <w:r>
        <w:t>equipes</w:t>
      </w:r>
      <w:r>
        <w:rPr>
          <w:spacing w:val="-10"/>
        </w:rPr>
        <w:t xml:space="preserve"> </w:t>
      </w:r>
      <w:r>
        <w:t xml:space="preserve">aprofundam os exames dos pontos relativos à constitucionalidade e ilegalidade. Por se tratar do âmbito municipal, as interrogações a respeito da compatibilidade dos projetos com a Constituição apresenta um contorno particular. Assim, a primeira questão a ser abordada diz respeito à observância das competências conferidas aos entes municipais, não podendo elas ser </w:t>
      </w:r>
      <w:r>
        <w:rPr>
          <w:spacing w:val="-2"/>
        </w:rPr>
        <w:t>extrapoladas.</w:t>
      </w:r>
    </w:p>
    <w:p w:rsidR="007259F2" w:rsidRDefault="00E655B4">
      <w:pPr>
        <w:pStyle w:val="Corpodetexto"/>
        <w:ind w:left="1418" w:firstLine="0"/>
      </w:pPr>
      <w:r>
        <w:t>Conforme</w:t>
      </w:r>
      <w:r>
        <w:rPr>
          <w:spacing w:val="-8"/>
        </w:rPr>
        <w:t xml:space="preserve"> </w:t>
      </w:r>
      <w:r>
        <w:t>determina</w:t>
      </w:r>
      <w:r>
        <w:rPr>
          <w:spacing w:val="-5"/>
        </w:rPr>
        <w:t xml:space="preserve"> </w:t>
      </w:r>
      <w:r>
        <w:t>a</w:t>
      </w:r>
      <w:r>
        <w:rPr>
          <w:spacing w:val="-3"/>
        </w:rPr>
        <w:t xml:space="preserve"> </w:t>
      </w:r>
      <w:r>
        <w:t>Constituição</w:t>
      </w:r>
      <w:r>
        <w:rPr>
          <w:spacing w:val="-2"/>
        </w:rPr>
        <w:t xml:space="preserve"> </w:t>
      </w:r>
      <w:r>
        <w:t>Federal</w:t>
      </w:r>
      <w:r>
        <w:rPr>
          <w:spacing w:val="-2"/>
        </w:rPr>
        <w:t xml:space="preserve"> </w:t>
      </w:r>
      <w:r>
        <w:t>(BRASIL,</w:t>
      </w:r>
      <w:r>
        <w:rPr>
          <w:spacing w:val="-2"/>
        </w:rPr>
        <w:t xml:space="preserve"> 1988):</w:t>
      </w:r>
    </w:p>
    <w:p w:rsidR="007259F2" w:rsidRDefault="00E655B4">
      <w:pPr>
        <w:spacing w:before="232"/>
        <w:ind w:left="2978"/>
        <w:rPr>
          <w:sz w:val="20"/>
        </w:rPr>
      </w:pPr>
      <w:r>
        <w:rPr>
          <w:sz w:val="20"/>
        </w:rPr>
        <w:t>Art.</w:t>
      </w:r>
      <w:r>
        <w:rPr>
          <w:spacing w:val="-5"/>
          <w:sz w:val="20"/>
        </w:rPr>
        <w:t xml:space="preserve"> </w:t>
      </w:r>
      <w:r>
        <w:rPr>
          <w:sz w:val="20"/>
        </w:rPr>
        <w:t>30.</w:t>
      </w:r>
      <w:r>
        <w:rPr>
          <w:spacing w:val="-4"/>
          <w:sz w:val="20"/>
        </w:rPr>
        <w:t xml:space="preserve"> </w:t>
      </w:r>
      <w:r>
        <w:rPr>
          <w:sz w:val="20"/>
        </w:rPr>
        <w:t>Compete</w:t>
      </w:r>
      <w:r>
        <w:rPr>
          <w:spacing w:val="-4"/>
          <w:sz w:val="20"/>
        </w:rPr>
        <w:t xml:space="preserve"> </w:t>
      </w:r>
      <w:r>
        <w:rPr>
          <w:sz w:val="20"/>
        </w:rPr>
        <w:t>aos</w:t>
      </w:r>
      <w:r>
        <w:rPr>
          <w:spacing w:val="-5"/>
          <w:sz w:val="20"/>
        </w:rPr>
        <w:t xml:space="preserve"> </w:t>
      </w:r>
      <w:r>
        <w:rPr>
          <w:spacing w:val="-2"/>
          <w:sz w:val="20"/>
        </w:rPr>
        <w:t>Municípios:</w:t>
      </w:r>
    </w:p>
    <w:p w:rsidR="007259F2" w:rsidRDefault="00E655B4">
      <w:pPr>
        <w:pStyle w:val="PargrafodaLista"/>
        <w:numPr>
          <w:ilvl w:val="4"/>
          <w:numId w:val="15"/>
        </w:numPr>
        <w:tabs>
          <w:tab w:val="left" w:pos="2978"/>
        </w:tabs>
        <w:spacing w:line="229" w:lineRule="exact"/>
        <w:ind w:hanging="478"/>
        <w:jc w:val="left"/>
        <w:rPr>
          <w:sz w:val="20"/>
        </w:rPr>
      </w:pPr>
      <w:r>
        <w:rPr>
          <w:sz w:val="20"/>
        </w:rPr>
        <w:t>legislar</w:t>
      </w:r>
      <w:r>
        <w:rPr>
          <w:spacing w:val="-5"/>
          <w:sz w:val="20"/>
        </w:rPr>
        <w:t xml:space="preserve"> </w:t>
      </w:r>
      <w:r>
        <w:rPr>
          <w:sz w:val="20"/>
        </w:rPr>
        <w:t>sobre</w:t>
      </w:r>
      <w:r>
        <w:rPr>
          <w:spacing w:val="-5"/>
          <w:sz w:val="20"/>
        </w:rPr>
        <w:t xml:space="preserve"> </w:t>
      </w:r>
      <w:r>
        <w:rPr>
          <w:sz w:val="20"/>
        </w:rPr>
        <w:t>assuntos</w:t>
      </w:r>
      <w:r>
        <w:rPr>
          <w:spacing w:val="-6"/>
          <w:sz w:val="20"/>
        </w:rPr>
        <w:t xml:space="preserve"> </w:t>
      </w:r>
      <w:r>
        <w:rPr>
          <w:sz w:val="20"/>
        </w:rPr>
        <w:t>de</w:t>
      </w:r>
      <w:r>
        <w:rPr>
          <w:spacing w:val="-5"/>
          <w:sz w:val="20"/>
        </w:rPr>
        <w:t xml:space="preserve"> </w:t>
      </w:r>
      <w:r>
        <w:rPr>
          <w:sz w:val="20"/>
        </w:rPr>
        <w:t>interesse</w:t>
      </w:r>
      <w:r>
        <w:rPr>
          <w:spacing w:val="-5"/>
          <w:sz w:val="20"/>
        </w:rPr>
        <w:t xml:space="preserve"> </w:t>
      </w:r>
      <w:r>
        <w:rPr>
          <w:spacing w:val="-2"/>
          <w:sz w:val="20"/>
        </w:rPr>
        <w:t>local;</w:t>
      </w:r>
    </w:p>
    <w:p w:rsidR="007259F2" w:rsidRDefault="00E655B4">
      <w:pPr>
        <w:pStyle w:val="PargrafodaLista"/>
        <w:numPr>
          <w:ilvl w:val="4"/>
          <w:numId w:val="15"/>
        </w:numPr>
        <w:tabs>
          <w:tab w:val="left" w:pos="2978"/>
          <w:tab w:val="left" w:pos="3129"/>
        </w:tabs>
        <w:ind w:left="3129" w:right="2440" w:hanging="695"/>
        <w:jc w:val="left"/>
        <w:rPr>
          <w:sz w:val="20"/>
        </w:rPr>
      </w:pPr>
      <w:r>
        <w:rPr>
          <w:sz w:val="20"/>
        </w:rPr>
        <w:t>suplementar</w:t>
      </w:r>
      <w:r>
        <w:rPr>
          <w:spacing w:val="-4"/>
          <w:sz w:val="20"/>
        </w:rPr>
        <w:t xml:space="preserve"> </w:t>
      </w:r>
      <w:r>
        <w:rPr>
          <w:sz w:val="20"/>
        </w:rPr>
        <w:t>a</w:t>
      </w:r>
      <w:r>
        <w:rPr>
          <w:spacing w:val="-5"/>
          <w:sz w:val="20"/>
        </w:rPr>
        <w:t xml:space="preserve"> </w:t>
      </w:r>
      <w:r>
        <w:rPr>
          <w:sz w:val="20"/>
        </w:rPr>
        <w:t>legislação</w:t>
      </w:r>
      <w:r>
        <w:rPr>
          <w:spacing w:val="-4"/>
          <w:sz w:val="20"/>
        </w:rPr>
        <w:t xml:space="preserve"> </w:t>
      </w:r>
      <w:r>
        <w:rPr>
          <w:sz w:val="20"/>
        </w:rPr>
        <w:t>federal</w:t>
      </w:r>
      <w:r>
        <w:rPr>
          <w:spacing w:val="-5"/>
          <w:sz w:val="20"/>
        </w:rPr>
        <w:t xml:space="preserve"> </w:t>
      </w:r>
      <w:r>
        <w:rPr>
          <w:sz w:val="20"/>
        </w:rPr>
        <w:t>e</w:t>
      </w:r>
      <w:r>
        <w:rPr>
          <w:spacing w:val="-5"/>
          <w:sz w:val="20"/>
        </w:rPr>
        <w:t xml:space="preserve"> </w:t>
      </w:r>
      <w:r>
        <w:rPr>
          <w:sz w:val="20"/>
        </w:rPr>
        <w:t>a</w:t>
      </w:r>
      <w:r>
        <w:rPr>
          <w:spacing w:val="-5"/>
          <w:sz w:val="20"/>
        </w:rPr>
        <w:t xml:space="preserve"> </w:t>
      </w:r>
      <w:r>
        <w:rPr>
          <w:sz w:val="20"/>
        </w:rPr>
        <w:t>estadual</w:t>
      </w:r>
      <w:r>
        <w:rPr>
          <w:spacing w:val="-5"/>
          <w:sz w:val="20"/>
        </w:rPr>
        <w:t xml:space="preserve"> </w:t>
      </w:r>
      <w:r>
        <w:rPr>
          <w:sz w:val="20"/>
        </w:rPr>
        <w:t>no</w:t>
      </w:r>
      <w:r>
        <w:rPr>
          <w:spacing w:val="-4"/>
          <w:sz w:val="20"/>
        </w:rPr>
        <w:t xml:space="preserve"> </w:t>
      </w:r>
      <w:r>
        <w:rPr>
          <w:sz w:val="20"/>
        </w:rPr>
        <w:t>que</w:t>
      </w:r>
      <w:r>
        <w:rPr>
          <w:spacing w:val="-5"/>
          <w:sz w:val="20"/>
        </w:rPr>
        <w:t xml:space="preserve"> </w:t>
      </w:r>
      <w:r>
        <w:rPr>
          <w:sz w:val="20"/>
        </w:rPr>
        <w:t xml:space="preserve">couber; </w:t>
      </w:r>
      <w:r>
        <w:rPr>
          <w:spacing w:val="-2"/>
          <w:sz w:val="20"/>
        </w:rPr>
        <w:t>(...)</w:t>
      </w:r>
    </w:p>
    <w:p w:rsidR="007259F2" w:rsidRDefault="00E655B4">
      <w:pPr>
        <w:pStyle w:val="Heading2"/>
        <w:numPr>
          <w:ilvl w:val="3"/>
          <w:numId w:val="15"/>
        </w:numPr>
        <w:tabs>
          <w:tab w:val="left" w:pos="1430"/>
        </w:tabs>
        <w:spacing w:before="205"/>
        <w:jc w:val="both"/>
      </w:pPr>
      <w:r>
        <w:rPr>
          <w:spacing w:val="-2"/>
        </w:rPr>
        <w:t>Interesse</w:t>
      </w:r>
      <w:r>
        <w:rPr>
          <w:spacing w:val="1"/>
        </w:rPr>
        <w:t xml:space="preserve"> </w:t>
      </w:r>
      <w:r>
        <w:rPr>
          <w:spacing w:val="-2"/>
        </w:rPr>
        <w:t>local</w:t>
      </w:r>
    </w:p>
    <w:p w:rsidR="007259F2" w:rsidRDefault="00E655B4">
      <w:pPr>
        <w:pStyle w:val="Corpodetexto"/>
        <w:spacing w:before="113"/>
        <w:ind w:right="422"/>
      </w:pPr>
      <w:r>
        <w:t>Percebe-se que a competência legislativa nesse caso, além de incidir sobre matérias de complementação</w:t>
      </w:r>
      <w:r>
        <w:rPr>
          <w:spacing w:val="-3"/>
        </w:rPr>
        <w:t xml:space="preserve"> </w:t>
      </w:r>
      <w:r>
        <w:t>de</w:t>
      </w:r>
      <w:r>
        <w:rPr>
          <w:spacing w:val="-4"/>
        </w:rPr>
        <w:t xml:space="preserve"> </w:t>
      </w:r>
      <w:r>
        <w:t>leis</w:t>
      </w:r>
      <w:r>
        <w:rPr>
          <w:spacing w:val="-3"/>
        </w:rPr>
        <w:t xml:space="preserve"> </w:t>
      </w:r>
      <w:r>
        <w:t>já</w:t>
      </w:r>
      <w:r>
        <w:rPr>
          <w:spacing w:val="-9"/>
        </w:rPr>
        <w:t xml:space="preserve"> </w:t>
      </w:r>
      <w:r>
        <w:t>existentes</w:t>
      </w:r>
      <w:r>
        <w:rPr>
          <w:spacing w:val="-10"/>
        </w:rPr>
        <w:t xml:space="preserve"> </w:t>
      </w:r>
      <w:r>
        <w:t>nas</w:t>
      </w:r>
      <w:r>
        <w:rPr>
          <w:spacing w:val="-10"/>
        </w:rPr>
        <w:t xml:space="preserve"> </w:t>
      </w:r>
      <w:r>
        <w:t>esferas</w:t>
      </w:r>
      <w:r>
        <w:rPr>
          <w:spacing w:val="-10"/>
        </w:rPr>
        <w:t xml:space="preserve"> </w:t>
      </w:r>
      <w:r>
        <w:t>estadual</w:t>
      </w:r>
      <w:r>
        <w:rPr>
          <w:spacing w:val="-14"/>
        </w:rPr>
        <w:t xml:space="preserve"> </w:t>
      </w:r>
      <w:r>
        <w:t>e</w:t>
      </w:r>
      <w:r>
        <w:rPr>
          <w:spacing w:val="-4"/>
        </w:rPr>
        <w:t xml:space="preserve"> </w:t>
      </w:r>
      <w:r>
        <w:t>federal,</w:t>
      </w:r>
      <w:r>
        <w:rPr>
          <w:spacing w:val="-5"/>
        </w:rPr>
        <w:t xml:space="preserve"> </w:t>
      </w:r>
      <w:r>
        <w:t>está</w:t>
      </w:r>
      <w:r>
        <w:rPr>
          <w:spacing w:val="-4"/>
        </w:rPr>
        <w:t xml:space="preserve"> </w:t>
      </w:r>
      <w:r>
        <w:t>intrinsecamente</w:t>
      </w:r>
      <w:r>
        <w:rPr>
          <w:spacing w:val="-3"/>
        </w:rPr>
        <w:t xml:space="preserve"> </w:t>
      </w:r>
      <w:r>
        <w:t>ligada à noção de interesse local. A definição desse termo, embora objeto de constante debate, é essencial para compreender a abrangência da capacidade legislativa. Para tanto, citamos o professor da Faculdade de Direito do Estado de São Paulo, José Levi Mello do Amaral</w:t>
      </w:r>
      <w:r>
        <w:rPr>
          <w:spacing w:val="-3"/>
        </w:rPr>
        <w:t xml:space="preserve"> </w:t>
      </w:r>
      <w:r>
        <w:t xml:space="preserve">Junior </w:t>
      </w:r>
      <w:r>
        <w:rPr>
          <w:spacing w:val="-2"/>
        </w:rPr>
        <w:t>(2023):</w:t>
      </w:r>
    </w:p>
    <w:p w:rsidR="007259F2" w:rsidRDefault="00E655B4">
      <w:pPr>
        <w:spacing w:before="204"/>
        <w:ind w:left="2978" w:right="420"/>
        <w:jc w:val="both"/>
        <w:rPr>
          <w:sz w:val="20"/>
        </w:rPr>
      </w:pPr>
      <w:r>
        <w:rPr>
          <w:sz w:val="20"/>
        </w:rPr>
        <w:t>Em</w:t>
      </w:r>
      <w:r>
        <w:rPr>
          <w:spacing w:val="-9"/>
          <w:sz w:val="20"/>
        </w:rPr>
        <w:t xml:space="preserve"> </w:t>
      </w:r>
      <w:r>
        <w:rPr>
          <w:sz w:val="20"/>
        </w:rPr>
        <w:t>síntese,</w:t>
      </w:r>
      <w:r>
        <w:rPr>
          <w:spacing w:val="-6"/>
          <w:sz w:val="20"/>
        </w:rPr>
        <w:t xml:space="preserve"> </w:t>
      </w:r>
      <w:r>
        <w:rPr>
          <w:sz w:val="20"/>
        </w:rPr>
        <w:t>o</w:t>
      </w:r>
      <w:r>
        <w:rPr>
          <w:spacing w:val="-5"/>
          <w:sz w:val="20"/>
        </w:rPr>
        <w:t xml:space="preserve"> </w:t>
      </w:r>
      <w:r>
        <w:rPr>
          <w:sz w:val="20"/>
        </w:rPr>
        <w:t>interesse</w:t>
      </w:r>
      <w:r>
        <w:rPr>
          <w:spacing w:val="-6"/>
          <w:sz w:val="20"/>
        </w:rPr>
        <w:t xml:space="preserve"> </w:t>
      </w:r>
      <w:r>
        <w:rPr>
          <w:sz w:val="20"/>
        </w:rPr>
        <w:t>local</w:t>
      </w:r>
      <w:r>
        <w:rPr>
          <w:spacing w:val="-4"/>
          <w:sz w:val="20"/>
        </w:rPr>
        <w:t xml:space="preserve"> </w:t>
      </w:r>
      <w:r>
        <w:rPr>
          <w:sz w:val="20"/>
        </w:rPr>
        <w:t>pode</w:t>
      </w:r>
      <w:r>
        <w:rPr>
          <w:spacing w:val="-7"/>
          <w:sz w:val="20"/>
        </w:rPr>
        <w:t xml:space="preserve"> </w:t>
      </w:r>
      <w:r>
        <w:rPr>
          <w:sz w:val="20"/>
        </w:rPr>
        <w:t>e</w:t>
      </w:r>
      <w:r>
        <w:rPr>
          <w:spacing w:val="-6"/>
          <w:sz w:val="20"/>
        </w:rPr>
        <w:t xml:space="preserve"> </w:t>
      </w:r>
      <w:r>
        <w:rPr>
          <w:sz w:val="20"/>
        </w:rPr>
        <w:t>deve</w:t>
      </w:r>
      <w:r>
        <w:rPr>
          <w:spacing w:val="-7"/>
          <w:sz w:val="20"/>
        </w:rPr>
        <w:t xml:space="preserve"> </w:t>
      </w:r>
      <w:r>
        <w:rPr>
          <w:sz w:val="20"/>
        </w:rPr>
        <w:t>ser compreendido</w:t>
      </w:r>
      <w:r>
        <w:rPr>
          <w:spacing w:val="-4"/>
          <w:sz w:val="20"/>
        </w:rPr>
        <w:t xml:space="preserve"> </w:t>
      </w:r>
      <w:r>
        <w:rPr>
          <w:sz w:val="20"/>
        </w:rPr>
        <w:t>como</w:t>
      </w:r>
      <w:r>
        <w:rPr>
          <w:spacing w:val="-4"/>
          <w:sz w:val="20"/>
        </w:rPr>
        <w:t xml:space="preserve"> </w:t>
      </w:r>
      <w:r>
        <w:rPr>
          <w:sz w:val="20"/>
        </w:rPr>
        <w:t>decorrência</w:t>
      </w:r>
      <w:r>
        <w:rPr>
          <w:spacing w:val="-5"/>
          <w:sz w:val="20"/>
        </w:rPr>
        <w:t xml:space="preserve"> </w:t>
      </w:r>
      <w:r>
        <w:rPr>
          <w:sz w:val="20"/>
        </w:rPr>
        <w:t>natural do</w:t>
      </w:r>
      <w:r>
        <w:rPr>
          <w:spacing w:val="-10"/>
          <w:sz w:val="20"/>
        </w:rPr>
        <w:t xml:space="preserve"> </w:t>
      </w:r>
      <w:r>
        <w:rPr>
          <w:sz w:val="20"/>
        </w:rPr>
        <w:t>princípio</w:t>
      </w:r>
      <w:r>
        <w:rPr>
          <w:spacing w:val="-9"/>
          <w:sz w:val="20"/>
        </w:rPr>
        <w:t xml:space="preserve"> </w:t>
      </w:r>
      <w:r>
        <w:rPr>
          <w:sz w:val="20"/>
        </w:rPr>
        <w:t>da</w:t>
      </w:r>
      <w:r>
        <w:rPr>
          <w:spacing w:val="-9"/>
          <w:sz w:val="20"/>
        </w:rPr>
        <w:t xml:space="preserve"> </w:t>
      </w:r>
      <w:r>
        <w:rPr>
          <w:sz w:val="20"/>
        </w:rPr>
        <w:t>subsidiariedade</w:t>
      </w:r>
      <w:r>
        <w:rPr>
          <w:spacing w:val="-7"/>
          <w:sz w:val="20"/>
        </w:rPr>
        <w:t xml:space="preserve"> </w:t>
      </w:r>
      <w:r>
        <w:rPr>
          <w:sz w:val="20"/>
        </w:rPr>
        <w:t>inerente</w:t>
      </w:r>
      <w:r>
        <w:rPr>
          <w:spacing w:val="-8"/>
          <w:sz w:val="20"/>
        </w:rPr>
        <w:t xml:space="preserve"> </w:t>
      </w:r>
      <w:r>
        <w:rPr>
          <w:sz w:val="20"/>
        </w:rPr>
        <w:t>ao</w:t>
      </w:r>
      <w:r>
        <w:rPr>
          <w:spacing w:val="-8"/>
          <w:sz w:val="20"/>
        </w:rPr>
        <w:t xml:space="preserve"> </w:t>
      </w:r>
      <w:r>
        <w:rPr>
          <w:sz w:val="20"/>
        </w:rPr>
        <w:t>federalismo</w:t>
      </w:r>
      <w:r>
        <w:rPr>
          <w:spacing w:val="-7"/>
          <w:sz w:val="20"/>
        </w:rPr>
        <w:t xml:space="preserve"> </w:t>
      </w:r>
      <w:r>
        <w:rPr>
          <w:sz w:val="20"/>
        </w:rPr>
        <w:t>democrático,</w:t>
      </w:r>
      <w:r>
        <w:rPr>
          <w:spacing w:val="-3"/>
          <w:sz w:val="20"/>
        </w:rPr>
        <w:t xml:space="preserve"> </w:t>
      </w:r>
      <w:r>
        <w:rPr>
          <w:sz w:val="20"/>
        </w:rPr>
        <w:t>ou</w:t>
      </w:r>
      <w:r>
        <w:rPr>
          <w:spacing w:val="-8"/>
          <w:sz w:val="20"/>
        </w:rPr>
        <w:t xml:space="preserve"> </w:t>
      </w:r>
      <w:r>
        <w:rPr>
          <w:sz w:val="20"/>
        </w:rPr>
        <w:t>seja,</w:t>
      </w:r>
      <w:r>
        <w:rPr>
          <w:spacing w:val="-4"/>
          <w:sz w:val="20"/>
        </w:rPr>
        <w:t xml:space="preserve"> </w:t>
      </w:r>
      <w:r>
        <w:rPr>
          <w:sz w:val="20"/>
        </w:rPr>
        <w:t>deve-se deixar o mais possível aos cuidados do ente local — e, portanto, da comunidade — tudo aquilo em que consiga bem desempenhar o seu papel.</w:t>
      </w:r>
    </w:p>
    <w:p w:rsidR="007259F2" w:rsidRDefault="00E655B4">
      <w:pPr>
        <w:pStyle w:val="Heading2"/>
        <w:numPr>
          <w:ilvl w:val="3"/>
          <w:numId w:val="15"/>
        </w:numPr>
        <w:tabs>
          <w:tab w:val="left" w:pos="1430"/>
        </w:tabs>
        <w:spacing w:before="204"/>
        <w:jc w:val="both"/>
      </w:pPr>
      <w:r>
        <w:t>Iniciativa</w:t>
      </w:r>
      <w:r>
        <w:rPr>
          <w:spacing w:val="-9"/>
        </w:rPr>
        <w:t xml:space="preserve"> </w:t>
      </w:r>
      <w:r>
        <w:t>do</w:t>
      </w:r>
      <w:r>
        <w:rPr>
          <w:spacing w:val="-4"/>
        </w:rPr>
        <w:t xml:space="preserve"> </w:t>
      </w:r>
      <w:r>
        <w:t>Poder</w:t>
      </w:r>
      <w:r>
        <w:rPr>
          <w:spacing w:val="-7"/>
        </w:rPr>
        <w:t xml:space="preserve"> </w:t>
      </w:r>
      <w:r>
        <w:t>Executivo</w:t>
      </w:r>
      <w:r>
        <w:rPr>
          <w:spacing w:val="-1"/>
        </w:rPr>
        <w:t xml:space="preserve"> </w:t>
      </w:r>
      <w:r>
        <w:t>e</w:t>
      </w:r>
      <w:r>
        <w:rPr>
          <w:spacing w:val="-5"/>
        </w:rPr>
        <w:t xml:space="preserve"> </w:t>
      </w:r>
      <w:r>
        <w:t>Legislativo</w:t>
      </w:r>
      <w:r>
        <w:rPr>
          <w:spacing w:val="1"/>
        </w:rPr>
        <w:t xml:space="preserve"> </w:t>
      </w:r>
      <w:r>
        <w:rPr>
          <w:spacing w:val="-2"/>
        </w:rPr>
        <w:t>Municipal</w:t>
      </w:r>
    </w:p>
    <w:p w:rsidR="007259F2" w:rsidRDefault="00E655B4">
      <w:pPr>
        <w:pStyle w:val="Corpodetexto"/>
        <w:spacing w:before="113"/>
        <w:ind w:right="421"/>
      </w:pPr>
      <w:r>
        <w:t>Superada essa análise, as assessorias jurídicas verificam outra questão formal, relacionada à possível existência de vício de iniciativa dentro dos ditames da Lei Orgânica do Município de São Paulo (LOMSP).</w:t>
      </w:r>
    </w:p>
    <w:p w:rsidR="007259F2" w:rsidRDefault="00E655B4">
      <w:pPr>
        <w:pStyle w:val="Corpodetexto"/>
        <w:ind w:right="423"/>
      </w:pPr>
      <w:r>
        <w:t>Em sintonia com a Constituição Federal, a LOMSP (SÃO PAULO-SP, 1990) determina que:</w:t>
      </w:r>
    </w:p>
    <w:p w:rsidR="007259F2" w:rsidRDefault="007259F2">
      <w:pPr>
        <w:pStyle w:val="Corpodetexto"/>
        <w:spacing w:before="2"/>
        <w:ind w:left="0" w:firstLine="0"/>
        <w:jc w:val="left"/>
      </w:pPr>
    </w:p>
    <w:p w:rsidR="007259F2" w:rsidRDefault="00E655B4">
      <w:pPr>
        <w:ind w:left="2978" w:right="427"/>
        <w:jc w:val="both"/>
        <w:rPr>
          <w:sz w:val="20"/>
        </w:rPr>
      </w:pPr>
      <w:r>
        <w:rPr>
          <w:sz w:val="20"/>
        </w:rPr>
        <w:t xml:space="preserve">Art. 13 - Cabe à Câmara, com sanção do Prefeito, não exigida esta para o especificado no artigo 14, dispor sobre as matérias de competência do Município, </w:t>
      </w:r>
      <w:r>
        <w:rPr>
          <w:spacing w:val="-2"/>
          <w:sz w:val="20"/>
        </w:rPr>
        <w:t>especialmente:</w:t>
      </w:r>
    </w:p>
    <w:p w:rsidR="007259F2" w:rsidRDefault="00E655B4">
      <w:pPr>
        <w:pStyle w:val="PargrafodaLista"/>
        <w:numPr>
          <w:ilvl w:val="4"/>
          <w:numId w:val="15"/>
        </w:numPr>
        <w:tabs>
          <w:tab w:val="left" w:pos="2977"/>
        </w:tabs>
        <w:spacing w:before="1"/>
        <w:ind w:left="2977" w:hanging="477"/>
        <w:jc w:val="both"/>
        <w:rPr>
          <w:sz w:val="20"/>
        </w:rPr>
      </w:pPr>
      <w:r>
        <w:rPr>
          <w:sz w:val="20"/>
        </w:rPr>
        <w:t>legislar</w:t>
      </w:r>
      <w:r>
        <w:rPr>
          <w:spacing w:val="-5"/>
          <w:sz w:val="20"/>
        </w:rPr>
        <w:t xml:space="preserve"> </w:t>
      </w:r>
      <w:r>
        <w:rPr>
          <w:sz w:val="20"/>
        </w:rPr>
        <w:t>sobre</w:t>
      </w:r>
      <w:r>
        <w:rPr>
          <w:spacing w:val="-5"/>
          <w:sz w:val="20"/>
        </w:rPr>
        <w:t xml:space="preserve"> </w:t>
      </w:r>
      <w:r>
        <w:rPr>
          <w:sz w:val="20"/>
        </w:rPr>
        <w:t>assuntos</w:t>
      </w:r>
      <w:r>
        <w:rPr>
          <w:spacing w:val="-6"/>
          <w:sz w:val="20"/>
        </w:rPr>
        <w:t xml:space="preserve"> </w:t>
      </w:r>
      <w:r>
        <w:rPr>
          <w:sz w:val="20"/>
        </w:rPr>
        <w:t>de</w:t>
      </w:r>
      <w:r>
        <w:rPr>
          <w:spacing w:val="-5"/>
          <w:sz w:val="20"/>
        </w:rPr>
        <w:t xml:space="preserve"> </w:t>
      </w:r>
      <w:r>
        <w:rPr>
          <w:sz w:val="20"/>
        </w:rPr>
        <w:t>interesse</w:t>
      </w:r>
      <w:r>
        <w:rPr>
          <w:spacing w:val="-5"/>
          <w:sz w:val="20"/>
        </w:rPr>
        <w:t xml:space="preserve"> </w:t>
      </w:r>
      <w:r>
        <w:rPr>
          <w:spacing w:val="-2"/>
          <w:sz w:val="20"/>
        </w:rPr>
        <w:t>local;</w:t>
      </w:r>
    </w:p>
    <w:p w:rsidR="007259F2" w:rsidRDefault="00E655B4">
      <w:pPr>
        <w:pStyle w:val="PargrafodaLista"/>
        <w:numPr>
          <w:ilvl w:val="4"/>
          <w:numId w:val="15"/>
        </w:numPr>
        <w:tabs>
          <w:tab w:val="left" w:pos="2975"/>
        </w:tabs>
        <w:spacing w:before="1"/>
        <w:ind w:left="2975" w:hanging="540"/>
        <w:jc w:val="both"/>
        <w:rPr>
          <w:sz w:val="20"/>
        </w:rPr>
      </w:pPr>
      <w:r>
        <w:rPr>
          <w:sz w:val="20"/>
        </w:rPr>
        <w:t>suplementar</w:t>
      </w:r>
      <w:r>
        <w:rPr>
          <w:spacing w:val="-5"/>
          <w:sz w:val="20"/>
        </w:rPr>
        <w:t xml:space="preserve"> </w:t>
      </w:r>
      <w:r>
        <w:rPr>
          <w:sz w:val="20"/>
        </w:rPr>
        <w:t>a</w:t>
      </w:r>
      <w:r>
        <w:rPr>
          <w:spacing w:val="-5"/>
          <w:sz w:val="20"/>
        </w:rPr>
        <w:t xml:space="preserve"> </w:t>
      </w:r>
      <w:r>
        <w:rPr>
          <w:sz w:val="20"/>
        </w:rPr>
        <w:t>legislação</w:t>
      </w:r>
      <w:r>
        <w:rPr>
          <w:spacing w:val="-5"/>
          <w:sz w:val="20"/>
        </w:rPr>
        <w:t xml:space="preserve"> </w:t>
      </w:r>
      <w:r>
        <w:rPr>
          <w:sz w:val="20"/>
        </w:rPr>
        <w:t>federal</w:t>
      </w:r>
      <w:r>
        <w:rPr>
          <w:spacing w:val="-5"/>
          <w:sz w:val="20"/>
        </w:rPr>
        <w:t xml:space="preserve"> </w:t>
      </w:r>
      <w:r>
        <w:rPr>
          <w:sz w:val="20"/>
        </w:rPr>
        <w:t>e</w:t>
      </w:r>
      <w:r>
        <w:rPr>
          <w:spacing w:val="-5"/>
          <w:sz w:val="20"/>
        </w:rPr>
        <w:t xml:space="preserve"> </w:t>
      </w:r>
      <w:r>
        <w:rPr>
          <w:sz w:val="20"/>
        </w:rPr>
        <w:t>estadual,</w:t>
      </w:r>
      <w:r>
        <w:rPr>
          <w:spacing w:val="-6"/>
          <w:sz w:val="20"/>
        </w:rPr>
        <w:t xml:space="preserve"> </w:t>
      </w:r>
      <w:r>
        <w:rPr>
          <w:sz w:val="20"/>
        </w:rPr>
        <w:t>no</w:t>
      </w:r>
      <w:r>
        <w:rPr>
          <w:spacing w:val="-4"/>
          <w:sz w:val="20"/>
        </w:rPr>
        <w:t xml:space="preserve"> </w:t>
      </w:r>
      <w:r>
        <w:rPr>
          <w:sz w:val="20"/>
        </w:rPr>
        <w:t>que</w:t>
      </w:r>
      <w:r>
        <w:rPr>
          <w:spacing w:val="-6"/>
          <w:sz w:val="20"/>
        </w:rPr>
        <w:t xml:space="preserve"> </w:t>
      </w:r>
      <w:r>
        <w:rPr>
          <w:spacing w:val="-2"/>
          <w:sz w:val="20"/>
        </w:rPr>
        <w:t>couber;</w:t>
      </w:r>
    </w:p>
    <w:p w:rsidR="007259F2" w:rsidRDefault="00E655B4">
      <w:pPr>
        <w:pStyle w:val="Corpodetexto"/>
        <w:spacing w:before="227"/>
        <w:ind w:right="431"/>
      </w:pPr>
      <w:r>
        <w:t>Simultaneamente, tais dispositivos devem ser lidos em conjunto com as atribuições conferidas ao Chefe do Poder Executivo Municipal no mesmo diploma, segundo o qual:</w:t>
      </w:r>
    </w:p>
    <w:p w:rsidR="007259F2" w:rsidRDefault="007259F2">
      <w:pPr>
        <w:pStyle w:val="Corpodetexto"/>
        <w:spacing w:before="1"/>
        <w:ind w:left="0" w:firstLine="0"/>
        <w:jc w:val="left"/>
      </w:pPr>
    </w:p>
    <w:p w:rsidR="007259F2" w:rsidRDefault="00E655B4">
      <w:pPr>
        <w:ind w:left="2978" w:right="422"/>
        <w:rPr>
          <w:sz w:val="20"/>
        </w:rPr>
      </w:pPr>
      <w:r>
        <w:rPr>
          <w:sz w:val="20"/>
        </w:rPr>
        <w:t>Art. 69 — Compete privativamente ao Prefeito, além de outras atribuições previstas nesta Lei:</w:t>
      </w:r>
    </w:p>
    <w:p w:rsidR="007259F2" w:rsidRDefault="00E655B4">
      <w:pPr>
        <w:spacing w:before="1"/>
        <w:ind w:left="2978"/>
        <w:rPr>
          <w:sz w:val="20"/>
        </w:rPr>
      </w:pPr>
      <w:r>
        <w:rPr>
          <w:sz w:val="20"/>
        </w:rPr>
        <w:t>I</w:t>
      </w:r>
      <w:r>
        <w:rPr>
          <w:spacing w:val="-4"/>
          <w:sz w:val="20"/>
        </w:rPr>
        <w:t xml:space="preserve"> </w:t>
      </w:r>
      <w:r>
        <w:rPr>
          <w:sz w:val="20"/>
        </w:rPr>
        <w:t>-</w:t>
      </w:r>
      <w:r>
        <w:rPr>
          <w:spacing w:val="-6"/>
          <w:sz w:val="20"/>
        </w:rPr>
        <w:t xml:space="preserve"> </w:t>
      </w:r>
      <w:r>
        <w:rPr>
          <w:sz w:val="20"/>
        </w:rPr>
        <w:t>iniciar</w:t>
      </w:r>
      <w:r>
        <w:rPr>
          <w:spacing w:val="-3"/>
          <w:sz w:val="20"/>
        </w:rPr>
        <w:t xml:space="preserve"> </w:t>
      </w:r>
      <w:r>
        <w:rPr>
          <w:sz w:val="20"/>
        </w:rPr>
        <w:t>o</w:t>
      </w:r>
      <w:r>
        <w:rPr>
          <w:spacing w:val="-3"/>
          <w:sz w:val="20"/>
        </w:rPr>
        <w:t xml:space="preserve"> </w:t>
      </w:r>
      <w:r>
        <w:rPr>
          <w:sz w:val="20"/>
        </w:rPr>
        <w:t>processo</w:t>
      </w:r>
      <w:r>
        <w:rPr>
          <w:spacing w:val="-3"/>
          <w:sz w:val="20"/>
        </w:rPr>
        <w:t xml:space="preserve"> </w:t>
      </w:r>
      <w:r>
        <w:rPr>
          <w:sz w:val="20"/>
        </w:rPr>
        <w:t>legislativo</w:t>
      </w:r>
      <w:r>
        <w:rPr>
          <w:spacing w:val="-3"/>
          <w:sz w:val="20"/>
        </w:rPr>
        <w:t xml:space="preserve"> </w:t>
      </w:r>
      <w:r>
        <w:rPr>
          <w:sz w:val="20"/>
        </w:rPr>
        <w:t>na</w:t>
      </w:r>
      <w:r>
        <w:rPr>
          <w:spacing w:val="-4"/>
          <w:sz w:val="20"/>
        </w:rPr>
        <w:t xml:space="preserve"> </w:t>
      </w:r>
      <w:r>
        <w:rPr>
          <w:sz w:val="20"/>
        </w:rPr>
        <w:t>forma</w:t>
      </w:r>
      <w:r>
        <w:rPr>
          <w:spacing w:val="-4"/>
          <w:sz w:val="20"/>
        </w:rPr>
        <w:t xml:space="preserve"> </w:t>
      </w:r>
      <w:r>
        <w:rPr>
          <w:sz w:val="20"/>
        </w:rPr>
        <w:t>e</w:t>
      </w:r>
      <w:r>
        <w:rPr>
          <w:spacing w:val="-4"/>
          <w:sz w:val="20"/>
        </w:rPr>
        <w:t xml:space="preserve"> </w:t>
      </w:r>
      <w:r>
        <w:rPr>
          <w:sz w:val="20"/>
        </w:rPr>
        <w:t>nos</w:t>
      </w:r>
      <w:r>
        <w:rPr>
          <w:spacing w:val="-5"/>
          <w:sz w:val="20"/>
        </w:rPr>
        <w:t xml:space="preserve"> </w:t>
      </w:r>
      <w:r>
        <w:rPr>
          <w:sz w:val="20"/>
        </w:rPr>
        <w:t>casos</w:t>
      </w:r>
      <w:r>
        <w:rPr>
          <w:spacing w:val="-5"/>
          <w:sz w:val="20"/>
        </w:rPr>
        <w:t xml:space="preserve"> </w:t>
      </w:r>
      <w:r>
        <w:rPr>
          <w:sz w:val="20"/>
        </w:rPr>
        <w:t>nela</w:t>
      </w:r>
      <w:r>
        <w:rPr>
          <w:spacing w:val="-4"/>
          <w:sz w:val="20"/>
        </w:rPr>
        <w:t xml:space="preserve"> </w:t>
      </w:r>
      <w:r>
        <w:rPr>
          <w:spacing w:val="-2"/>
          <w:sz w:val="20"/>
        </w:rPr>
        <w:t>previstos;</w:t>
      </w:r>
    </w:p>
    <w:p w:rsidR="007259F2" w:rsidRDefault="00E655B4">
      <w:pPr>
        <w:spacing w:before="1"/>
        <w:ind w:left="2978" w:right="424"/>
        <w:rPr>
          <w:sz w:val="20"/>
        </w:rPr>
      </w:pPr>
      <w:r>
        <w:rPr>
          <w:sz w:val="20"/>
        </w:rPr>
        <w:t>II - exercer, com os Secretários Municipais, os Subprefeitos e demais auxiliares a</w:t>
      </w:r>
      <w:r>
        <w:rPr>
          <w:spacing w:val="80"/>
          <w:sz w:val="20"/>
        </w:rPr>
        <w:t xml:space="preserve"> </w:t>
      </w:r>
      <w:r>
        <w:rPr>
          <w:sz w:val="20"/>
        </w:rPr>
        <w:t>direção da administração municipal;</w:t>
      </w:r>
    </w:p>
    <w:p w:rsidR="007259F2" w:rsidRDefault="00E655B4">
      <w:pPr>
        <w:spacing w:line="228" w:lineRule="exact"/>
        <w:ind w:left="2978"/>
        <w:rPr>
          <w:sz w:val="20"/>
        </w:rPr>
      </w:pPr>
      <w:r>
        <w:rPr>
          <w:spacing w:val="-2"/>
          <w:sz w:val="20"/>
        </w:rPr>
        <w:t>(...)</w:t>
      </w:r>
    </w:p>
    <w:p w:rsidR="007259F2" w:rsidRDefault="007259F2">
      <w:pPr>
        <w:spacing w:line="228" w:lineRule="exact"/>
        <w:rPr>
          <w:sz w:val="20"/>
        </w:rPr>
        <w:sectPr w:rsidR="007259F2">
          <w:pgSz w:w="11910" w:h="16840"/>
          <w:pgMar w:top="1600" w:right="708" w:bottom="1020" w:left="992" w:header="0" w:footer="820" w:gutter="0"/>
          <w:cols w:space="720"/>
        </w:sectPr>
      </w:pPr>
    </w:p>
    <w:p w:rsidR="007259F2" w:rsidRDefault="00E655B4">
      <w:pPr>
        <w:spacing w:before="77"/>
        <w:ind w:left="2978"/>
        <w:rPr>
          <w:sz w:val="20"/>
        </w:rPr>
      </w:pPr>
      <w:r>
        <w:rPr>
          <w:sz w:val="20"/>
        </w:rPr>
        <w:lastRenderedPageBreak/>
        <w:t>IX</w:t>
      </w:r>
      <w:r>
        <w:rPr>
          <w:spacing w:val="29"/>
          <w:sz w:val="20"/>
        </w:rPr>
        <w:t xml:space="preserve"> </w:t>
      </w:r>
      <w:r>
        <w:rPr>
          <w:sz w:val="20"/>
        </w:rPr>
        <w:t>—</w:t>
      </w:r>
      <w:r>
        <w:rPr>
          <w:spacing w:val="28"/>
          <w:sz w:val="20"/>
        </w:rPr>
        <w:t xml:space="preserve"> </w:t>
      </w:r>
      <w:r>
        <w:rPr>
          <w:sz w:val="20"/>
        </w:rPr>
        <w:t>apresentar</w:t>
      </w:r>
      <w:r>
        <w:rPr>
          <w:spacing w:val="29"/>
          <w:sz w:val="20"/>
        </w:rPr>
        <w:t xml:space="preserve"> </w:t>
      </w:r>
      <w:r>
        <w:rPr>
          <w:sz w:val="20"/>
        </w:rPr>
        <w:t>à</w:t>
      </w:r>
      <w:r>
        <w:rPr>
          <w:spacing w:val="30"/>
          <w:sz w:val="20"/>
        </w:rPr>
        <w:t xml:space="preserve"> </w:t>
      </w:r>
      <w:r>
        <w:rPr>
          <w:sz w:val="20"/>
        </w:rPr>
        <w:t>Câmara</w:t>
      </w:r>
      <w:r>
        <w:rPr>
          <w:spacing w:val="32"/>
          <w:sz w:val="20"/>
        </w:rPr>
        <w:t xml:space="preserve"> </w:t>
      </w:r>
      <w:r>
        <w:rPr>
          <w:sz w:val="20"/>
        </w:rPr>
        <w:t>Municipal</w:t>
      </w:r>
      <w:r>
        <w:rPr>
          <w:spacing w:val="28"/>
          <w:sz w:val="20"/>
        </w:rPr>
        <w:t xml:space="preserve"> </w:t>
      </w:r>
      <w:r>
        <w:rPr>
          <w:sz w:val="20"/>
        </w:rPr>
        <w:t>projeto</w:t>
      </w:r>
      <w:r>
        <w:rPr>
          <w:spacing w:val="29"/>
          <w:sz w:val="20"/>
        </w:rPr>
        <w:t xml:space="preserve"> </w:t>
      </w:r>
      <w:r>
        <w:rPr>
          <w:sz w:val="20"/>
        </w:rPr>
        <w:t>de</w:t>
      </w:r>
      <w:r>
        <w:rPr>
          <w:spacing w:val="28"/>
          <w:sz w:val="20"/>
        </w:rPr>
        <w:t xml:space="preserve"> </w:t>
      </w:r>
      <w:r>
        <w:rPr>
          <w:sz w:val="20"/>
        </w:rPr>
        <w:t>lei</w:t>
      </w:r>
      <w:r>
        <w:rPr>
          <w:spacing w:val="28"/>
          <w:sz w:val="20"/>
        </w:rPr>
        <w:t xml:space="preserve"> </w:t>
      </w:r>
      <w:r>
        <w:rPr>
          <w:sz w:val="20"/>
        </w:rPr>
        <w:t>dispondo</w:t>
      </w:r>
      <w:r>
        <w:rPr>
          <w:spacing w:val="29"/>
          <w:sz w:val="20"/>
        </w:rPr>
        <w:t xml:space="preserve"> </w:t>
      </w:r>
      <w:r>
        <w:rPr>
          <w:sz w:val="20"/>
        </w:rPr>
        <w:t>sobre</w:t>
      </w:r>
      <w:r>
        <w:rPr>
          <w:spacing w:val="28"/>
          <w:sz w:val="20"/>
        </w:rPr>
        <w:t xml:space="preserve"> </w:t>
      </w:r>
      <w:r>
        <w:rPr>
          <w:sz w:val="20"/>
        </w:rPr>
        <w:t>o</w:t>
      </w:r>
      <w:r>
        <w:rPr>
          <w:spacing w:val="29"/>
          <w:sz w:val="20"/>
        </w:rPr>
        <w:t xml:space="preserve"> </w:t>
      </w:r>
      <w:r>
        <w:rPr>
          <w:sz w:val="20"/>
        </w:rPr>
        <w:t>regime</w:t>
      </w:r>
      <w:r>
        <w:rPr>
          <w:spacing w:val="30"/>
          <w:sz w:val="20"/>
        </w:rPr>
        <w:t xml:space="preserve"> </w:t>
      </w:r>
      <w:r>
        <w:rPr>
          <w:sz w:val="20"/>
        </w:rPr>
        <w:t>de concessão ou permissão de serviços públicos;</w:t>
      </w:r>
    </w:p>
    <w:p w:rsidR="007259F2" w:rsidRDefault="00E655B4">
      <w:pPr>
        <w:ind w:left="2978" w:right="424"/>
        <w:rPr>
          <w:sz w:val="20"/>
        </w:rPr>
      </w:pPr>
      <w:r>
        <w:rPr>
          <w:sz w:val="20"/>
        </w:rPr>
        <w:t>X</w:t>
      </w:r>
      <w:r>
        <w:rPr>
          <w:spacing w:val="40"/>
          <w:sz w:val="20"/>
        </w:rPr>
        <w:t xml:space="preserve"> </w:t>
      </w:r>
      <w:r>
        <w:rPr>
          <w:sz w:val="20"/>
        </w:rPr>
        <w:t>—</w:t>
      </w:r>
      <w:r>
        <w:rPr>
          <w:spacing w:val="40"/>
          <w:sz w:val="20"/>
        </w:rPr>
        <w:t xml:space="preserve"> </w:t>
      </w:r>
      <w:r>
        <w:rPr>
          <w:sz w:val="20"/>
        </w:rPr>
        <w:t>propor</w:t>
      </w:r>
      <w:r>
        <w:rPr>
          <w:spacing w:val="40"/>
          <w:sz w:val="20"/>
        </w:rPr>
        <w:t xml:space="preserve"> </w:t>
      </w:r>
      <w:r>
        <w:rPr>
          <w:sz w:val="20"/>
        </w:rPr>
        <w:t>à</w:t>
      </w:r>
      <w:r>
        <w:rPr>
          <w:spacing w:val="40"/>
          <w:sz w:val="20"/>
        </w:rPr>
        <w:t xml:space="preserve"> </w:t>
      </w:r>
      <w:r>
        <w:rPr>
          <w:sz w:val="20"/>
        </w:rPr>
        <w:t>Câmara</w:t>
      </w:r>
      <w:r>
        <w:rPr>
          <w:spacing w:val="40"/>
          <w:sz w:val="20"/>
        </w:rPr>
        <w:t xml:space="preserve"> </w:t>
      </w:r>
      <w:r>
        <w:rPr>
          <w:sz w:val="20"/>
        </w:rPr>
        <w:t>Municipal</w:t>
      </w:r>
      <w:r>
        <w:rPr>
          <w:spacing w:val="40"/>
          <w:sz w:val="20"/>
        </w:rPr>
        <w:t xml:space="preserve"> </w:t>
      </w:r>
      <w:r>
        <w:rPr>
          <w:sz w:val="20"/>
        </w:rPr>
        <w:t>projetos</w:t>
      </w:r>
      <w:r>
        <w:rPr>
          <w:spacing w:val="40"/>
          <w:sz w:val="20"/>
        </w:rPr>
        <w:t xml:space="preserve"> </w:t>
      </w:r>
      <w:r>
        <w:rPr>
          <w:sz w:val="20"/>
        </w:rPr>
        <w:t>de</w:t>
      </w:r>
      <w:r>
        <w:rPr>
          <w:spacing w:val="40"/>
          <w:sz w:val="20"/>
        </w:rPr>
        <w:t xml:space="preserve"> </w:t>
      </w:r>
      <w:r>
        <w:rPr>
          <w:sz w:val="20"/>
        </w:rPr>
        <w:t>lei</w:t>
      </w:r>
      <w:r>
        <w:rPr>
          <w:spacing w:val="40"/>
          <w:sz w:val="20"/>
        </w:rPr>
        <w:t xml:space="preserve"> </w:t>
      </w:r>
      <w:r>
        <w:rPr>
          <w:sz w:val="20"/>
        </w:rPr>
        <w:t>relativos</w:t>
      </w:r>
      <w:r>
        <w:rPr>
          <w:spacing w:val="40"/>
          <w:sz w:val="20"/>
        </w:rPr>
        <w:t xml:space="preserve"> </w:t>
      </w:r>
      <w:r>
        <w:rPr>
          <w:sz w:val="20"/>
        </w:rPr>
        <w:t>ao</w:t>
      </w:r>
      <w:r>
        <w:rPr>
          <w:spacing w:val="40"/>
          <w:sz w:val="20"/>
        </w:rPr>
        <w:t xml:space="preserve"> </w:t>
      </w:r>
      <w:r>
        <w:rPr>
          <w:sz w:val="20"/>
        </w:rPr>
        <w:t>plano</w:t>
      </w:r>
      <w:r>
        <w:rPr>
          <w:spacing w:val="40"/>
          <w:sz w:val="20"/>
        </w:rPr>
        <w:t xml:space="preserve"> </w:t>
      </w:r>
      <w:r>
        <w:rPr>
          <w:sz w:val="20"/>
        </w:rPr>
        <w:t>plurianual, diretrizes orçamentárias, orçamento anual, dívida pública e operações de crédito;</w:t>
      </w:r>
    </w:p>
    <w:p w:rsidR="007259F2" w:rsidRDefault="00E655B4">
      <w:pPr>
        <w:ind w:left="2978"/>
        <w:rPr>
          <w:sz w:val="20"/>
        </w:rPr>
      </w:pPr>
      <w:r>
        <w:rPr>
          <w:spacing w:val="-2"/>
          <w:sz w:val="20"/>
        </w:rPr>
        <w:t>(...)</w:t>
      </w:r>
    </w:p>
    <w:p w:rsidR="007259F2" w:rsidRDefault="00E655B4">
      <w:pPr>
        <w:ind w:left="2978" w:right="426"/>
        <w:jc w:val="both"/>
        <w:rPr>
          <w:sz w:val="20"/>
        </w:rPr>
      </w:pPr>
      <w:r>
        <w:rPr>
          <w:sz w:val="20"/>
        </w:rPr>
        <w:t>XVI — propor à Câmara Municipal projetos de lei sobre criação, alteração das Secretarias Municipais e Subprefeituras, inclusive sobre suas estruturas e</w:t>
      </w:r>
      <w:r>
        <w:rPr>
          <w:spacing w:val="40"/>
          <w:sz w:val="20"/>
        </w:rPr>
        <w:t xml:space="preserve"> </w:t>
      </w:r>
      <w:r>
        <w:rPr>
          <w:spacing w:val="-2"/>
          <w:sz w:val="20"/>
        </w:rPr>
        <w:t>atribuições;</w:t>
      </w:r>
    </w:p>
    <w:p w:rsidR="007259F2" w:rsidRDefault="007259F2">
      <w:pPr>
        <w:pStyle w:val="Corpodetexto"/>
        <w:spacing w:before="43"/>
        <w:ind w:left="0" w:firstLine="0"/>
        <w:jc w:val="left"/>
        <w:rPr>
          <w:sz w:val="20"/>
        </w:rPr>
      </w:pPr>
    </w:p>
    <w:p w:rsidR="007259F2" w:rsidRDefault="00E655B4">
      <w:pPr>
        <w:pStyle w:val="Corpodetexto"/>
        <w:ind w:right="425"/>
      </w:pPr>
      <w:r>
        <w:t>Merece destaque o inciso II do artigo 69 da Lei Orgânica, na medida em que esse explicita a reserva de competência ao prefeito para decidir a respeito da condução da administração pública, sendo ilegais os projetos de lei que busquem interferir ou usurpar essa prerrogativa do Executivo.</w:t>
      </w:r>
    </w:p>
    <w:p w:rsidR="007259F2" w:rsidRDefault="00E655B4">
      <w:pPr>
        <w:pStyle w:val="Corpodetexto"/>
        <w:spacing w:before="1"/>
        <w:ind w:right="430"/>
      </w:pPr>
      <w:r>
        <w:t>Complementando esse raciocínio, temos as palavras de Hely Lopes Meirelles, em sua obra Direito Municipal (2014, p. 633):</w:t>
      </w:r>
    </w:p>
    <w:p w:rsidR="007259F2" w:rsidRDefault="007259F2">
      <w:pPr>
        <w:pStyle w:val="Corpodetexto"/>
        <w:spacing w:before="1"/>
        <w:ind w:left="0" w:firstLine="0"/>
        <w:jc w:val="left"/>
      </w:pPr>
    </w:p>
    <w:p w:rsidR="007259F2" w:rsidRDefault="00E655B4">
      <w:pPr>
        <w:ind w:left="2978" w:right="423"/>
        <w:jc w:val="both"/>
        <w:rPr>
          <w:sz w:val="20"/>
        </w:rPr>
      </w:pPr>
      <w:r>
        <w:rPr>
          <w:sz w:val="20"/>
        </w:rPr>
        <w:t>São, pois, de</w:t>
      </w:r>
      <w:r>
        <w:rPr>
          <w:spacing w:val="-8"/>
          <w:sz w:val="20"/>
        </w:rPr>
        <w:t xml:space="preserve"> </w:t>
      </w:r>
      <w:r>
        <w:rPr>
          <w:sz w:val="20"/>
        </w:rPr>
        <w:t>iniciativa exclusiva do</w:t>
      </w:r>
      <w:r>
        <w:rPr>
          <w:spacing w:val="-4"/>
          <w:sz w:val="20"/>
        </w:rPr>
        <w:t xml:space="preserve"> </w:t>
      </w:r>
      <w:r>
        <w:rPr>
          <w:sz w:val="20"/>
        </w:rPr>
        <w:t>prefeito</w:t>
      </w:r>
      <w:r>
        <w:rPr>
          <w:spacing w:val="-4"/>
          <w:sz w:val="20"/>
        </w:rPr>
        <w:t xml:space="preserve"> </w:t>
      </w:r>
      <w:r>
        <w:rPr>
          <w:sz w:val="20"/>
        </w:rPr>
        <w:t>os</w:t>
      </w:r>
      <w:r>
        <w:rPr>
          <w:spacing w:val="-1"/>
          <w:sz w:val="20"/>
        </w:rPr>
        <w:t xml:space="preserve"> </w:t>
      </w:r>
      <w:r>
        <w:rPr>
          <w:sz w:val="20"/>
        </w:rPr>
        <w:t>projetos</w:t>
      </w:r>
      <w:r>
        <w:rPr>
          <w:spacing w:val="-4"/>
          <w:sz w:val="20"/>
        </w:rPr>
        <w:t xml:space="preserve"> </w:t>
      </w:r>
      <w:r>
        <w:rPr>
          <w:sz w:val="20"/>
        </w:rPr>
        <w:t>de</w:t>
      </w:r>
      <w:r>
        <w:rPr>
          <w:spacing w:val="-3"/>
          <w:sz w:val="20"/>
        </w:rPr>
        <w:t xml:space="preserve"> </w:t>
      </w:r>
      <w:r>
        <w:rPr>
          <w:sz w:val="20"/>
        </w:rPr>
        <w:t>leis</w:t>
      </w:r>
      <w:r>
        <w:rPr>
          <w:spacing w:val="-1"/>
          <w:sz w:val="20"/>
        </w:rPr>
        <w:t xml:space="preserve"> </w:t>
      </w:r>
      <w:r>
        <w:rPr>
          <w:sz w:val="20"/>
        </w:rPr>
        <w:t>que</w:t>
      </w:r>
      <w:r>
        <w:rPr>
          <w:spacing w:val="-3"/>
          <w:sz w:val="20"/>
        </w:rPr>
        <w:t xml:space="preserve"> </w:t>
      </w:r>
      <w:r>
        <w:rPr>
          <w:sz w:val="20"/>
        </w:rPr>
        <w:t>disponham sobre criação, estruturação e atribuição das secretarias, órgãos e entes da Administração Pública Municipal; matéria de organização administrativa e planejamento de execução de obras e serviços públicos; criação de cargos, funções ou empregos públicos na Administração direta, autárquica e fundacional do Município; regime jurídico e previdenciário dos servidores municipais, fixação e aumento de sua remuneração; plano plurianual, diretrizes orçamentárias, orçamento anual e créditos suplementares e especiais.</w:t>
      </w:r>
    </w:p>
    <w:p w:rsidR="007259F2" w:rsidRDefault="00E655B4">
      <w:pPr>
        <w:pStyle w:val="Corpodetexto"/>
        <w:spacing w:before="201"/>
        <w:ind w:right="429"/>
      </w:pPr>
      <w:r>
        <w:t>Superadas essas considerações, o parecer jurídico adentra na investigação da compatibilidade das normas municipais, de modo a evitar futuros conflitos legislativos ou até mesmo questionamentos nos tribunais.</w:t>
      </w:r>
    </w:p>
    <w:p w:rsidR="007259F2" w:rsidRDefault="00E655B4">
      <w:pPr>
        <w:pStyle w:val="Heading2"/>
        <w:numPr>
          <w:ilvl w:val="3"/>
          <w:numId w:val="15"/>
        </w:numPr>
        <w:tabs>
          <w:tab w:val="left" w:pos="1430"/>
        </w:tabs>
        <w:spacing w:before="205"/>
        <w:jc w:val="both"/>
      </w:pPr>
      <w:r>
        <w:t>Considerações</w:t>
      </w:r>
      <w:r>
        <w:rPr>
          <w:spacing w:val="-6"/>
        </w:rPr>
        <w:t xml:space="preserve"> </w:t>
      </w:r>
      <w:r>
        <w:t>sobre</w:t>
      </w:r>
      <w:r>
        <w:rPr>
          <w:spacing w:val="-2"/>
        </w:rPr>
        <w:t xml:space="preserve"> </w:t>
      </w:r>
      <w:r>
        <w:t>a</w:t>
      </w:r>
      <w:r>
        <w:rPr>
          <w:spacing w:val="-2"/>
        </w:rPr>
        <w:t xml:space="preserve"> </w:t>
      </w:r>
      <w:r>
        <w:t>atividade</w:t>
      </w:r>
      <w:r>
        <w:rPr>
          <w:spacing w:val="-2"/>
        </w:rPr>
        <w:t xml:space="preserve"> </w:t>
      </w:r>
      <w:r>
        <w:t>do</w:t>
      </w:r>
      <w:r>
        <w:rPr>
          <w:spacing w:val="-9"/>
        </w:rPr>
        <w:t xml:space="preserve"> </w:t>
      </w:r>
      <w:r>
        <w:t>parecerista</w:t>
      </w:r>
      <w:r>
        <w:rPr>
          <w:spacing w:val="-1"/>
        </w:rPr>
        <w:t xml:space="preserve"> </w:t>
      </w:r>
      <w:r>
        <w:t>e</w:t>
      </w:r>
      <w:r>
        <w:rPr>
          <w:spacing w:val="-2"/>
        </w:rPr>
        <w:t xml:space="preserve"> </w:t>
      </w:r>
      <w:r>
        <w:t>do</w:t>
      </w:r>
      <w:r>
        <w:rPr>
          <w:spacing w:val="-1"/>
        </w:rPr>
        <w:t xml:space="preserve"> </w:t>
      </w:r>
      <w:r>
        <w:t>gestor</w:t>
      </w:r>
      <w:r>
        <w:rPr>
          <w:spacing w:val="-7"/>
        </w:rPr>
        <w:t xml:space="preserve"> </w:t>
      </w:r>
      <w:r>
        <w:rPr>
          <w:spacing w:val="-2"/>
        </w:rPr>
        <w:t>público</w:t>
      </w:r>
    </w:p>
    <w:p w:rsidR="007259F2" w:rsidRDefault="00E655B4">
      <w:pPr>
        <w:pStyle w:val="Corpodetexto"/>
        <w:spacing w:before="115"/>
        <w:ind w:right="423"/>
      </w:pPr>
      <w:r>
        <w:t>Tendo em vista a noção dos diálogos institucionais, aponta-se que tanto as manifestações das</w:t>
      </w:r>
      <w:r>
        <w:rPr>
          <w:spacing w:val="-3"/>
        </w:rPr>
        <w:t xml:space="preserve"> </w:t>
      </w:r>
      <w:r>
        <w:t>áreas</w:t>
      </w:r>
      <w:r>
        <w:rPr>
          <w:spacing w:val="-5"/>
        </w:rPr>
        <w:t xml:space="preserve"> </w:t>
      </w:r>
      <w:r>
        <w:t>técnica</w:t>
      </w:r>
      <w:r>
        <w:rPr>
          <w:spacing w:val="-4"/>
        </w:rPr>
        <w:t xml:space="preserve"> </w:t>
      </w:r>
      <w:r>
        <w:t>quanto</w:t>
      </w:r>
      <w:r>
        <w:rPr>
          <w:spacing w:val="-3"/>
        </w:rPr>
        <w:t xml:space="preserve"> </w:t>
      </w:r>
      <w:r>
        <w:t>jurídica</w:t>
      </w:r>
      <w:r>
        <w:rPr>
          <w:spacing w:val="-4"/>
        </w:rPr>
        <w:t xml:space="preserve"> </w:t>
      </w:r>
      <w:r>
        <w:t>não possuem</w:t>
      </w:r>
      <w:r>
        <w:rPr>
          <w:spacing w:val="-6"/>
        </w:rPr>
        <w:t xml:space="preserve"> </w:t>
      </w:r>
      <w:r>
        <w:t>caraterística vinculante</w:t>
      </w:r>
      <w:r>
        <w:rPr>
          <w:spacing w:val="-3"/>
        </w:rPr>
        <w:t xml:space="preserve"> </w:t>
      </w:r>
      <w:r>
        <w:t>à</w:t>
      </w:r>
      <w:r>
        <w:rPr>
          <w:spacing w:val="-7"/>
        </w:rPr>
        <w:t xml:space="preserve"> </w:t>
      </w:r>
      <w:r>
        <w:t>tomada de decisão, seja do secretário da respectiva pasta, ou até mesmo do prefeito. No tocante ao parecer</w:t>
      </w:r>
      <w:r>
        <w:rPr>
          <w:spacing w:val="-3"/>
        </w:rPr>
        <w:t xml:space="preserve"> </w:t>
      </w:r>
      <w:r>
        <w:t>ofertado</w:t>
      </w:r>
      <w:r>
        <w:rPr>
          <w:spacing w:val="-3"/>
        </w:rPr>
        <w:t xml:space="preserve"> </w:t>
      </w:r>
      <w:r>
        <w:t>pelos</w:t>
      </w:r>
      <w:r>
        <w:rPr>
          <w:spacing w:val="-3"/>
        </w:rPr>
        <w:t xml:space="preserve"> </w:t>
      </w:r>
      <w:r>
        <w:t>procuradores</w:t>
      </w:r>
      <w:r>
        <w:rPr>
          <w:spacing w:val="-3"/>
        </w:rPr>
        <w:t xml:space="preserve"> </w:t>
      </w:r>
      <w:r>
        <w:t>municipais,</w:t>
      </w:r>
      <w:r>
        <w:rPr>
          <w:spacing w:val="-3"/>
        </w:rPr>
        <w:t xml:space="preserve"> </w:t>
      </w:r>
      <w:r>
        <w:t>aponta-se</w:t>
      </w:r>
      <w:r>
        <w:rPr>
          <w:spacing w:val="-4"/>
        </w:rPr>
        <w:t xml:space="preserve"> </w:t>
      </w:r>
      <w:r>
        <w:t>que</w:t>
      </w:r>
      <w:r>
        <w:rPr>
          <w:spacing w:val="-2"/>
        </w:rPr>
        <w:t xml:space="preserve"> </w:t>
      </w:r>
      <w:r>
        <w:t>a</w:t>
      </w:r>
      <w:r>
        <w:rPr>
          <w:spacing w:val="-2"/>
        </w:rPr>
        <w:t xml:space="preserve"> </w:t>
      </w:r>
      <w:r>
        <w:t>LINDB</w:t>
      </w:r>
      <w:r>
        <w:rPr>
          <w:spacing w:val="-3"/>
        </w:rPr>
        <w:t xml:space="preserve"> </w:t>
      </w:r>
      <w:r>
        <w:t>(Lei</w:t>
      </w:r>
      <w:r>
        <w:rPr>
          <w:spacing w:val="-3"/>
        </w:rPr>
        <w:t xml:space="preserve"> </w:t>
      </w:r>
      <w:r>
        <w:t>de</w:t>
      </w:r>
      <w:r>
        <w:rPr>
          <w:spacing w:val="-2"/>
        </w:rPr>
        <w:t xml:space="preserve"> </w:t>
      </w:r>
      <w:r>
        <w:t>Introdução</w:t>
      </w:r>
      <w:r>
        <w:rPr>
          <w:spacing w:val="-3"/>
        </w:rPr>
        <w:t xml:space="preserve"> </w:t>
      </w:r>
      <w:r>
        <w:t>às Normas do Direito Brasileiro) trouxe alterações importantes nesse aspecto, cujo artigo 28 expõe que “o agente público responderá pessoalmente por suas decisões ou opiniões técnicas em caso de dolo ou erro grosseiro”.</w:t>
      </w:r>
    </w:p>
    <w:p w:rsidR="007259F2" w:rsidRDefault="00E655B4">
      <w:pPr>
        <w:pStyle w:val="Corpodetexto"/>
        <w:ind w:right="430"/>
      </w:pPr>
      <w:r>
        <w:t>Conforme bem elucidado pelo professor da Faculdade de Direito da Universidade do Estado do Rio de Janeiro, André Rodrigues Cyrino (2021):</w:t>
      </w:r>
    </w:p>
    <w:p w:rsidR="007259F2" w:rsidRDefault="00E655B4">
      <w:pPr>
        <w:spacing w:before="276"/>
        <w:ind w:left="2978" w:right="421"/>
        <w:jc w:val="both"/>
        <w:rPr>
          <w:sz w:val="20"/>
        </w:rPr>
      </w:pPr>
      <w:r>
        <w:rPr>
          <w:sz w:val="20"/>
        </w:rPr>
        <w:t>Pode-se dizer que o art. 28 da LINDB constitui espécie de cláusula geral do erro administrativo.</w:t>
      </w:r>
      <w:r>
        <w:rPr>
          <w:spacing w:val="-1"/>
          <w:sz w:val="20"/>
        </w:rPr>
        <w:t xml:space="preserve"> </w:t>
      </w:r>
      <w:r>
        <w:rPr>
          <w:sz w:val="20"/>
        </w:rPr>
        <w:t>Seu</w:t>
      </w:r>
      <w:r>
        <w:rPr>
          <w:spacing w:val="-5"/>
          <w:sz w:val="20"/>
        </w:rPr>
        <w:t xml:space="preserve"> </w:t>
      </w:r>
      <w:r>
        <w:rPr>
          <w:sz w:val="20"/>
        </w:rPr>
        <w:t>escopo,</w:t>
      </w:r>
      <w:r>
        <w:rPr>
          <w:spacing w:val="-1"/>
          <w:sz w:val="20"/>
        </w:rPr>
        <w:t xml:space="preserve"> </w:t>
      </w:r>
      <w:r>
        <w:rPr>
          <w:sz w:val="20"/>
        </w:rPr>
        <w:t>como</w:t>
      </w:r>
      <w:r>
        <w:rPr>
          <w:spacing w:val="-5"/>
          <w:sz w:val="20"/>
        </w:rPr>
        <w:t xml:space="preserve"> </w:t>
      </w:r>
      <w:r>
        <w:rPr>
          <w:sz w:val="20"/>
        </w:rPr>
        <w:t>tal,</w:t>
      </w:r>
      <w:r>
        <w:rPr>
          <w:spacing w:val="-3"/>
          <w:sz w:val="20"/>
        </w:rPr>
        <w:t xml:space="preserve"> </w:t>
      </w:r>
      <w:r>
        <w:rPr>
          <w:sz w:val="20"/>
        </w:rPr>
        <w:t>é</w:t>
      </w:r>
      <w:r>
        <w:rPr>
          <w:spacing w:val="-6"/>
          <w:sz w:val="20"/>
        </w:rPr>
        <w:t xml:space="preserve"> </w:t>
      </w:r>
      <w:r>
        <w:rPr>
          <w:sz w:val="20"/>
        </w:rPr>
        <w:t>oferecer</w:t>
      </w:r>
      <w:r>
        <w:rPr>
          <w:spacing w:val="-1"/>
          <w:sz w:val="20"/>
        </w:rPr>
        <w:t xml:space="preserve"> </w:t>
      </w:r>
      <w:r>
        <w:rPr>
          <w:sz w:val="20"/>
        </w:rPr>
        <w:t>segurança</w:t>
      </w:r>
      <w:r>
        <w:rPr>
          <w:spacing w:val="-4"/>
          <w:sz w:val="20"/>
        </w:rPr>
        <w:t xml:space="preserve"> </w:t>
      </w:r>
      <w:r>
        <w:rPr>
          <w:sz w:val="20"/>
        </w:rPr>
        <w:t>jurídica</w:t>
      </w:r>
      <w:r>
        <w:rPr>
          <w:spacing w:val="-9"/>
          <w:sz w:val="20"/>
        </w:rPr>
        <w:t xml:space="preserve"> </w:t>
      </w:r>
      <w:r>
        <w:rPr>
          <w:sz w:val="20"/>
        </w:rPr>
        <w:t>ao</w:t>
      </w:r>
      <w:r>
        <w:rPr>
          <w:spacing w:val="-8"/>
          <w:sz w:val="20"/>
        </w:rPr>
        <w:t xml:space="preserve"> </w:t>
      </w:r>
      <w:r>
        <w:rPr>
          <w:sz w:val="20"/>
        </w:rPr>
        <w:t>agente</w:t>
      </w:r>
      <w:r>
        <w:rPr>
          <w:spacing w:val="-11"/>
          <w:sz w:val="20"/>
        </w:rPr>
        <w:t xml:space="preserve"> </w:t>
      </w:r>
      <w:r>
        <w:rPr>
          <w:sz w:val="20"/>
        </w:rPr>
        <w:t>público com boas motivações, mas falível como qualquer pessoa. Criam-se os incentivos institucionais</w:t>
      </w:r>
      <w:r>
        <w:rPr>
          <w:spacing w:val="-13"/>
          <w:sz w:val="20"/>
        </w:rPr>
        <w:t xml:space="preserve"> </w:t>
      </w:r>
      <w:r>
        <w:rPr>
          <w:sz w:val="20"/>
        </w:rPr>
        <w:t>necessários</w:t>
      </w:r>
      <w:r>
        <w:rPr>
          <w:spacing w:val="-12"/>
          <w:sz w:val="20"/>
        </w:rPr>
        <w:t xml:space="preserve"> </w:t>
      </w:r>
      <w:r>
        <w:rPr>
          <w:sz w:val="20"/>
        </w:rPr>
        <w:t>à</w:t>
      </w:r>
      <w:r>
        <w:rPr>
          <w:spacing w:val="-13"/>
          <w:sz w:val="20"/>
        </w:rPr>
        <w:t xml:space="preserve"> </w:t>
      </w:r>
      <w:r>
        <w:rPr>
          <w:sz w:val="20"/>
        </w:rPr>
        <w:t>promoção</w:t>
      </w:r>
      <w:r>
        <w:rPr>
          <w:spacing w:val="-12"/>
          <w:sz w:val="20"/>
        </w:rPr>
        <w:t xml:space="preserve"> </w:t>
      </w:r>
      <w:r>
        <w:rPr>
          <w:sz w:val="20"/>
        </w:rPr>
        <w:t>da</w:t>
      </w:r>
      <w:r>
        <w:rPr>
          <w:spacing w:val="-13"/>
          <w:sz w:val="20"/>
        </w:rPr>
        <w:t xml:space="preserve"> </w:t>
      </w:r>
      <w:r>
        <w:rPr>
          <w:sz w:val="20"/>
        </w:rPr>
        <w:t>inovação</w:t>
      </w:r>
      <w:r>
        <w:rPr>
          <w:spacing w:val="-12"/>
          <w:sz w:val="20"/>
        </w:rPr>
        <w:t xml:space="preserve"> </w:t>
      </w:r>
      <w:r>
        <w:rPr>
          <w:sz w:val="20"/>
        </w:rPr>
        <w:t>e</w:t>
      </w:r>
      <w:r>
        <w:rPr>
          <w:spacing w:val="-13"/>
          <w:sz w:val="20"/>
        </w:rPr>
        <w:t xml:space="preserve"> </w:t>
      </w:r>
      <w:r>
        <w:rPr>
          <w:sz w:val="20"/>
        </w:rPr>
        <w:t>à</w:t>
      </w:r>
      <w:r>
        <w:rPr>
          <w:spacing w:val="-12"/>
          <w:sz w:val="20"/>
        </w:rPr>
        <w:t xml:space="preserve"> </w:t>
      </w:r>
      <w:r>
        <w:rPr>
          <w:sz w:val="20"/>
        </w:rPr>
        <w:t>atração</w:t>
      </w:r>
      <w:r>
        <w:rPr>
          <w:spacing w:val="-12"/>
          <w:sz w:val="20"/>
        </w:rPr>
        <w:t xml:space="preserve"> </w:t>
      </w:r>
      <w:r>
        <w:rPr>
          <w:sz w:val="20"/>
        </w:rPr>
        <w:t>de</w:t>
      </w:r>
      <w:r>
        <w:rPr>
          <w:spacing w:val="-12"/>
          <w:sz w:val="20"/>
        </w:rPr>
        <w:t xml:space="preserve"> </w:t>
      </w:r>
      <w:r>
        <w:rPr>
          <w:sz w:val="20"/>
        </w:rPr>
        <w:t>gestores</w:t>
      </w:r>
      <w:r>
        <w:rPr>
          <w:spacing w:val="-13"/>
          <w:sz w:val="20"/>
        </w:rPr>
        <w:t xml:space="preserve"> </w:t>
      </w:r>
      <w:r>
        <w:rPr>
          <w:sz w:val="20"/>
        </w:rPr>
        <w:t>e</w:t>
      </w:r>
      <w:r>
        <w:rPr>
          <w:spacing w:val="-12"/>
          <w:sz w:val="20"/>
        </w:rPr>
        <w:t xml:space="preserve"> </w:t>
      </w:r>
      <w:r>
        <w:rPr>
          <w:sz w:val="20"/>
        </w:rPr>
        <w:t>advogados públicos</w:t>
      </w:r>
      <w:r>
        <w:rPr>
          <w:spacing w:val="-10"/>
          <w:sz w:val="20"/>
        </w:rPr>
        <w:t xml:space="preserve"> </w:t>
      </w:r>
      <w:r>
        <w:rPr>
          <w:sz w:val="20"/>
        </w:rPr>
        <w:t>capacitados.</w:t>
      </w:r>
      <w:r>
        <w:rPr>
          <w:spacing w:val="-7"/>
          <w:sz w:val="20"/>
        </w:rPr>
        <w:t xml:space="preserve"> </w:t>
      </w:r>
      <w:r>
        <w:rPr>
          <w:sz w:val="20"/>
        </w:rPr>
        <w:t>De</w:t>
      </w:r>
      <w:r>
        <w:rPr>
          <w:spacing w:val="-9"/>
          <w:sz w:val="20"/>
        </w:rPr>
        <w:t xml:space="preserve"> </w:t>
      </w:r>
      <w:r>
        <w:rPr>
          <w:sz w:val="20"/>
        </w:rPr>
        <w:t>um</w:t>
      </w:r>
      <w:r>
        <w:rPr>
          <w:spacing w:val="-12"/>
          <w:sz w:val="20"/>
        </w:rPr>
        <w:t xml:space="preserve"> </w:t>
      </w:r>
      <w:r>
        <w:rPr>
          <w:sz w:val="20"/>
        </w:rPr>
        <w:t>lado,</w:t>
      </w:r>
      <w:r>
        <w:rPr>
          <w:spacing w:val="-7"/>
          <w:sz w:val="20"/>
        </w:rPr>
        <w:t xml:space="preserve"> </w:t>
      </w:r>
      <w:r>
        <w:rPr>
          <w:sz w:val="20"/>
        </w:rPr>
        <w:t>a</w:t>
      </w:r>
      <w:r>
        <w:rPr>
          <w:spacing w:val="-10"/>
          <w:sz w:val="20"/>
        </w:rPr>
        <w:t xml:space="preserve"> </w:t>
      </w:r>
      <w:r>
        <w:rPr>
          <w:sz w:val="20"/>
        </w:rPr>
        <w:t>responsabilização</w:t>
      </w:r>
      <w:r>
        <w:rPr>
          <w:spacing w:val="-9"/>
          <w:sz w:val="20"/>
        </w:rPr>
        <w:t xml:space="preserve"> </w:t>
      </w:r>
      <w:r>
        <w:rPr>
          <w:sz w:val="20"/>
        </w:rPr>
        <w:t>do</w:t>
      </w:r>
      <w:r>
        <w:rPr>
          <w:spacing w:val="-11"/>
          <w:sz w:val="20"/>
        </w:rPr>
        <w:t xml:space="preserve"> </w:t>
      </w:r>
      <w:r>
        <w:rPr>
          <w:sz w:val="20"/>
        </w:rPr>
        <w:t>agente</w:t>
      </w:r>
      <w:r>
        <w:rPr>
          <w:spacing w:val="-8"/>
          <w:sz w:val="20"/>
        </w:rPr>
        <w:t xml:space="preserve"> </w:t>
      </w:r>
      <w:r>
        <w:rPr>
          <w:sz w:val="20"/>
        </w:rPr>
        <w:t>público</w:t>
      </w:r>
      <w:r>
        <w:rPr>
          <w:spacing w:val="-11"/>
          <w:sz w:val="20"/>
        </w:rPr>
        <w:t xml:space="preserve"> </w:t>
      </w:r>
      <w:r>
        <w:rPr>
          <w:sz w:val="20"/>
        </w:rPr>
        <w:t>nos</w:t>
      </w:r>
      <w:r>
        <w:rPr>
          <w:spacing w:val="-9"/>
          <w:sz w:val="20"/>
        </w:rPr>
        <w:t xml:space="preserve"> </w:t>
      </w:r>
      <w:r>
        <w:rPr>
          <w:sz w:val="20"/>
        </w:rPr>
        <w:t>casos</w:t>
      </w:r>
      <w:r>
        <w:rPr>
          <w:spacing w:val="-9"/>
          <w:sz w:val="20"/>
        </w:rPr>
        <w:t xml:space="preserve"> </w:t>
      </w:r>
      <w:r>
        <w:rPr>
          <w:sz w:val="20"/>
        </w:rPr>
        <w:t>de dolo e</w:t>
      </w:r>
      <w:r>
        <w:rPr>
          <w:spacing w:val="-1"/>
          <w:sz w:val="20"/>
        </w:rPr>
        <w:t xml:space="preserve"> </w:t>
      </w:r>
      <w:r>
        <w:rPr>
          <w:sz w:val="20"/>
        </w:rPr>
        <w:t>erro grosseiro</w:t>
      </w:r>
      <w:r>
        <w:rPr>
          <w:spacing w:val="-4"/>
          <w:sz w:val="20"/>
        </w:rPr>
        <w:t xml:space="preserve"> </w:t>
      </w:r>
      <w:r>
        <w:rPr>
          <w:sz w:val="20"/>
        </w:rPr>
        <w:t>tem</w:t>
      </w:r>
      <w:r>
        <w:rPr>
          <w:spacing w:val="-2"/>
          <w:sz w:val="20"/>
        </w:rPr>
        <w:t xml:space="preserve"> </w:t>
      </w:r>
      <w:r>
        <w:rPr>
          <w:sz w:val="20"/>
        </w:rPr>
        <w:t>o efeito de</w:t>
      </w:r>
      <w:r>
        <w:rPr>
          <w:spacing w:val="-1"/>
          <w:sz w:val="20"/>
        </w:rPr>
        <w:t xml:space="preserve"> </w:t>
      </w:r>
      <w:r>
        <w:rPr>
          <w:sz w:val="20"/>
        </w:rPr>
        <w:t>reprimir ou</w:t>
      </w:r>
      <w:r>
        <w:rPr>
          <w:spacing w:val="-2"/>
          <w:sz w:val="20"/>
        </w:rPr>
        <w:t xml:space="preserve"> </w:t>
      </w:r>
      <w:r>
        <w:rPr>
          <w:sz w:val="20"/>
        </w:rPr>
        <w:t>desestimular os</w:t>
      </w:r>
      <w:r>
        <w:rPr>
          <w:spacing w:val="-1"/>
          <w:sz w:val="20"/>
        </w:rPr>
        <w:t xml:space="preserve"> </w:t>
      </w:r>
      <w:r>
        <w:rPr>
          <w:sz w:val="20"/>
        </w:rPr>
        <w:t>casos de corrupção, fraude ou culpa grave. De outro lado, admitir o erro, salvo quando grosseiro, faz sentido num regime jurídico que pretenda viabilizar soluções inovadoras e impedir que</w:t>
      </w:r>
      <w:r>
        <w:rPr>
          <w:spacing w:val="-1"/>
          <w:sz w:val="20"/>
        </w:rPr>
        <w:t xml:space="preserve"> </w:t>
      </w:r>
      <w:r>
        <w:rPr>
          <w:sz w:val="20"/>
        </w:rPr>
        <w:t>as</w:t>
      </w:r>
      <w:r>
        <w:rPr>
          <w:spacing w:val="-1"/>
          <w:sz w:val="20"/>
        </w:rPr>
        <w:t xml:space="preserve"> </w:t>
      </w:r>
      <w:r>
        <w:rPr>
          <w:sz w:val="20"/>
        </w:rPr>
        <w:t>carreiras públicas se</w:t>
      </w:r>
      <w:r>
        <w:rPr>
          <w:spacing w:val="-1"/>
          <w:sz w:val="20"/>
        </w:rPr>
        <w:t xml:space="preserve"> </w:t>
      </w:r>
      <w:r>
        <w:rPr>
          <w:sz w:val="20"/>
        </w:rPr>
        <w:t>tornem</w:t>
      </w:r>
      <w:r>
        <w:rPr>
          <w:spacing w:val="-2"/>
          <w:sz w:val="20"/>
        </w:rPr>
        <w:t xml:space="preserve"> </w:t>
      </w:r>
      <w:r>
        <w:rPr>
          <w:sz w:val="20"/>
        </w:rPr>
        <w:t>armadilhas para</w:t>
      </w:r>
      <w:r>
        <w:rPr>
          <w:spacing w:val="-2"/>
          <w:sz w:val="20"/>
        </w:rPr>
        <w:t xml:space="preserve"> </w:t>
      </w:r>
      <w:r>
        <w:rPr>
          <w:sz w:val="20"/>
        </w:rPr>
        <w:t>pessoas honestas,</w:t>
      </w:r>
      <w:r>
        <w:rPr>
          <w:spacing w:val="-1"/>
          <w:sz w:val="20"/>
        </w:rPr>
        <w:t xml:space="preserve"> </w:t>
      </w:r>
      <w:r>
        <w:rPr>
          <w:sz w:val="20"/>
        </w:rPr>
        <w:t xml:space="preserve">capazes e bem </w:t>
      </w:r>
      <w:r>
        <w:rPr>
          <w:spacing w:val="-2"/>
          <w:sz w:val="20"/>
        </w:rPr>
        <w:t>intencionadas.</w:t>
      </w:r>
    </w:p>
    <w:p w:rsidR="007259F2" w:rsidRDefault="00E655B4">
      <w:pPr>
        <w:pStyle w:val="Corpodetexto"/>
        <w:spacing w:before="202"/>
        <w:ind w:right="420"/>
      </w:pPr>
      <w:r>
        <w:t>Cria-se, portanto, um mecanismo de proteção ao parecerista, como modo de reforçar a sua atuação independente perante o Poder Executivo, o que por si contribui para a promoção do diálogo, na medida em que as informações e opiniões prestadas detém um grau maior de confiabilidade e de boa-fé daquele que a emitiu.</w:t>
      </w:r>
    </w:p>
    <w:p w:rsidR="007259F2" w:rsidRDefault="007259F2">
      <w:pPr>
        <w:pStyle w:val="Corpodetexto"/>
        <w:sectPr w:rsidR="007259F2">
          <w:pgSz w:w="11910" w:h="16840"/>
          <w:pgMar w:top="1600" w:right="708" w:bottom="1020" w:left="992" w:header="0" w:footer="820" w:gutter="0"/>
          <w:cols w:space="720"/>
        </w:sectPr>
      </w:pPr>
    </w:p>
    <w:p w:rsidR="007259F2" w:rsidRDefault="00E655B4">
      <w:pPr>
        <w:pStyle w:val="Heading2"/>
        <w:numPr>
          <w:ilvl w:val="2"/>
          <w:numId w:val="15"/>
        </w:numPr>
        <w:tabs>
          <w:tab w:val="left" w:pos="1249"/>
        </w:tabs>
        <w:spacing w:before="60"/>
        <w:ind w:left="1249" w:hanging="539"/>
        <w:jc w:val="both"/>
      </w:pPr>
      <w:r>
        <w:lastRenderedPageBreak/>
        <w:t>Análise</w:t>
      </w:r>
      <w:r>
        <w:rPr>
          <w:spacing w:val="-8"/>
        </w:rPr>
        <w:t xml:space="preserve"> </w:t>
      </w:r>
      <w:r>
        <w:rPr>
          <w:spacing w:val="-2"/>
        </w:rPr>
        <w:t>política</w:t>
      </w:r>
    </w:p>
    <w:p w:rsidR="007259F2" w:rsidRDefault="00E655B4">
      <w:pPr>
        <w:pStyle w:val="Corpodetexto"/>
        <w:spacing w:before="115"/>
        <w:ind w:right="420"/>
      </w:pPr>
      <w:r>
        <w:t>Finaliza a tomada das informações das áreas técnicas e jurídicas, não restando mais manifestações especializadas a serem colhidas dentro do processo administrativo, chega-se à sua conclusão natural, na qual o responsável político da pasta, representado na maioria das vezes pelo seu secretário, opina pela viabilidade, inviabilidade da propositura, ou até mesmo conclui pela necessidade de confecção de substitutivo.</w:t>
      </w:r>
    </w:p>
    <w:p w:rsidR="007259F2" w:rsidRDefault="00E655B4">
      <w:pPr>
        <w:pStyle w:val="Corpodetexto"/>
        <w:ind w:right="420"/>
      </w:pPr>
      <w:r>
        <w:t>Todavia, o foco nessa etapa final adentra a questão do mérito do projeto de lei, não estando restrito assim às justificativas apresentadas durante o processo. Dessa forma, o gestor adentra em questões que vão além do técnico e do jurídico, sendo muitas vezes influenciado por demandas políticas de conveniência e oportunidade. Entretanto, até que seja tomada tal decisão,</w:t>
      </w:r>
      <w:r>
        <w:rPr>
          <w:spacing w:val="-1"/>
        </w:rPr>
        <w:t xml:space="preserve"> </w:t>
      </w:r>
      <w:r>
        <w:t>podemos</w:t>
      </w:r>
      <w:r>
        <w:rPr>
          <w:spacing w:val="-5"/>
        </w:rPr>
        <w:t xml:space="preserve"> </w:t>
      </w:r>
      <w:r>
        <w:t>dizer</w:t>
      </w:r>
      <w:r>
        <w:rPr>
          <w:spacing w:val="-3"/>
        </w:rPr>
        <w:t xml:space="preserve"> </w:t>
      </w:r>
      <w:r>
        <w:t>que</w:t>
      </w:r>
      <w:r>
        <w:rPr>
          <w:spacing w:val="-9"/>
        </w:rPr>
        <w:t xml:space="preserve"> </w:t>
      </w:r>
      <w:r>
        <w:t>o</w:t>
      </w:r>
      <w:r>
        <w:rPr>
          <w:spacing w:val="-1"/>
        </w:rPr>
        <w:t xml:space="preserve"> </w:t>
      </w:r>
      <w:r>
        <w:t>diálogo desenvolvido</w:t>
      </w:r>
      <w:r>
        <w:rPr>
          <w:spacing w:val="-2"/>
        </w:rPr>
        <w:t xml:space="preserve"> </w:t>
      </w:r>
      <w:r>
        <w:t>durante</w:t>
      </w:r>
      <w:r>
        <w:rPr>
          <w:spacing w:val="-13"/>
        </w:rPr>
        <w:t xml:space="preserve"> </w:t>
      </w:r>
      <w:r>
        <w:t>todo</w:t>
      </w:r>
      <w:r>
        <w:rPr>
          <w:spacing w:val="-8"/>
        </w:rPr>
        <w:t xml:space="preserve"> </w:t>
      </w:r>
      <w:r>
        <w:t>o</w:t>
      </w:r>
      <w:r>
        <w:rPr>
          <w:spacing w:val="-8"/>
        </w:rPr>
        <w:t xml:space="preserve"> </w:t>
      </w:r>
      <w:r>
        <w:t>trâmite</w:t>
      </w:r>
      <w:r>
        <w:rPr>
          <w:spacing w:val="-5"/>
        </w:rPr>
        <w:t xml:space="preserve"> </w:t>
      </w:r>
      <w:r>
        <w:t>contribui, em</w:t>
      </w:r>
      <w:r>
        <w:rPr>
          <w:spacing w:val="-8"/>
        </w:rPr>
        <w:t xml:space="preserve"> </w:t>
      </w:r>
      <w:r>
        <w:t>maior ou menor grau, para a formação da vontade do secretário, na medida em que ele naturalmente não detém sozinho de todo o conhecimento necessário para compreender as implicações das mais variadas inovações legislativas que afetam a sua pasta.</w:t>
      </w:r>
    </w:p>
    <w:p w:rsidR="007259F2" w:rsidRDefault="00E655B4">
      <w:pPr>
        <w:pStyle w:val="Corpodetexto"/>
        <w:spacing w:before="1"/>
        <w:ind w:right="423"/>
      </w:pPr>
      <w:r>
        <w:t>Além disso, quando as secretarias são consultadas, podem surgir manifestações divergentes, tanto entre as subpastas quanto entre as próprias secretarias, apresentando assim situações complexas que demandam, em tese, uma justificativa mais robusta do detentor do poder de decidir. Nesse aspecto, revela-se mais uma vez a incidência e a importância da realização dos diálogos institucionais, sendo aplicado na resolução de casos difíceis, cuja resolução demanda o conhecimento de vários agentes distintos,</w:t>
      </w:r>
      <w:r>
        <w:rPr>
          <w:spacing w:val="-1"/>
        </w:rPr>
        <w:t xml:space="preserve"> </w:t>
      </w:r>
      <w:r>
        <w:t>que por sua</w:t>
      </w:r>
      <w:r>
        <w:rPr>
          <w:spacing w:val="-6"/>
        </w:rPr>
        <w:t xml:space="preserve"> </w:t>
      </w:r>
      <w:r>
        <w:t>vez também</w:t>
      </w:r>
      <w:r>
        <w:rPr>
          <w:spacing w:val="-5"/>
        </w:rPr>
        <w:t xml:space="preserve"> </w:t>
      </w:r>
      <w:r>
        <w:t>serão afetados pela resposta a ser apresentada.</w:t>
      </w:r>
    </w:p>
    <w:p w:rsidR="007259F2" w:rsidRDefault="00E655B4">
      <w:pPr>
        <w:pStyle w:val="Corpodetexto"/>
        <w:ind w:right="425"/>
      </w:pPr>
      <w:r>
        <w:t>Consequentemente, resta evidenciada a relevância de uma troca organizada de informações</w:t>
      </w:r>
      <w:r>
        <w:rPr>
          <w:spacing w:val="-1"/>
        </w:rPr>
        <w:t xml:space="preserve"> </w:t>
      </w:r>
      <w:r>
        <w:t>entre</w:t>
      </w:r>
      <w:r>
        <w:rPr>
          <w:spacing w:val="-2"/>
        </w:rPr>
        <w:t xml:space="preserve"> </w:t>
      </w:r>
      <w:r>
        <w:t>as</w:t>
      </w:r>
      <w:r>
        <w:rPr>
          <w:spacing w:val="-6"/>
        </w:rPr>
        <w:t xml:space="preserve"> </w:t>
      </w:r>
      <w:r>
        <w:t>secretarias</w:t>
      </w:r>
      <w:r>
        <w:rPr>
          <w:spacing w:val="-3"/>
        </w:rPr>
        <w:t xml:space="preserve"> </w:t>
      </w:r>
      <w:r>
        <w:t>e</w:t>
      </w:r>
      <w:r>
        <w:rPr>
          <w:spacing w:val="-4"/>
        </w:rPr>
        <w:t xml:space="preserve"> </w:t>
      </w:r>
      <w:r>
        <w:t>suas</w:t>
      </w:r>
      <w:r>
        <w:rPr>
          <w:spacing w:val="-3"/>
        </w:rPr>
        <w:t xml:space="preserve"> </w:t>
      </w:r>
      <w:r>
        <w:t>áreas</w:t>
      </w:r>
      <w:r>
        <w:rPr>
          <w:spacing w:val="-3"/>
        </w:rPr>
        <w:t xml:space="preserve"> </w:t>
      </w:r>
      <w:r>
        <w:t>de</w:t>
      </w:r>
      <w:r>
        <w:rPr>
          <w:spacing w:val="-2"/>
        </w:rPr>
        <w:t xml:space="preserve"> </w:t>
      </w:r>
      <w:r>
        <w:t>atuação dentro da</w:t>
      </w:r>
      <w:r>
        <w:rPr>
          <w:spacing w:val="-3"/>
        </w:rPr>
        <w:t xml:space="preserve"> </w:t>
      </w:r>
      <w:r>
        <w:t>própria</w:t>
      </w:r>
      <w:r>
        <w:rPr>
          <w:spacing w:val="-1"/>
        </w:rPr>
        <w:t xml:space="preserve"> </w:t>
      </w:r>
      <w:r>
        <w:t>prefeitura, como</w:t>
      </w:r>
      <w:r>
        <w:rPr>
          <w:spacing w:val="-1"/>
        </w:rPr>
        <w:t xml:space="preserve"> </w:t>
      </w:r>
      <w:r>
        <w:t>um meio de providenciar bases para um relacionamento mais técnico e saudável.</w:t>
      </w:r>
    </w:p>
    <w:p w:rsidR="007259F2" w:rsidRDefault="00E655B4">
      <w:pPr>
        <w:pStyle w:val="Heading2"/>
        <w:numPr>
          <w:ilvl w:val="2"/>
          <w:numId w:val="15"/>
        </w:numPr>
        <w:tabs>
          <w:tab w:val="left" w:pos="1310"/>
        </w:tabs>
        <w:ind w:left="1310" w:hanging="600"/>
        <w:jc w:val="both"/>
      </w:pPr>
      <w:r>
        <w:t>Do</w:t>
      </w:r>
      <w:r>
        <w:rPr>
          <w:spacing w:val="-1"/>
        </w:rPr>
        <w:t xml:space="preserve"> </w:t>
      </w:r>
      <w:r>
        <w:rPr>
          <w:spacing w:val="-2"/>
        </w:rPr>
        <w:t>substitutivo</w:t>
      </w:r>
    </w:p>
    <w:p w:rsidR="007259F2" w:rsidRDefault="00E655B4">
      <w:pPr>
        <w:pStyle w:val="Corpodetexto"/>
        <w:spacing w:before="113"/>
        <w:ind w:right="428"/>
      </w:pPr>
      <w:r>
        <w:t>Nesse sentido, mister apontar a possibilidade da elaboração de substitutivo, uma das atribuições da Casa Civil nesse trabalho de relacionamento com o Poder Legislativo.</w:t>
      </w:r>
    </w:p>
    <w:p w:rsidR="007259F2" w:rsidRDefault="00E655B4">
      <w:pPr>
        <w:pStyle w:val="Corpodetexto"/>
        <w:ind w:right="421"/>
      </w:pPr>
      <w:r>
        <w:t>Conforme definição presente na página da Câmara Municipal de São Paulo, o substitutivo pode ser compreendido como a “(...)</w:t>
      </w:r>
      <w:r>
        <w:rPr>
          <w:spacing w:val="37"/>
        </w:rPr>
        <w:t xml:space="preserve"> </w:t>
      </w:r>
      <w:r>
        <w:t>proposição</w:t>
      </w:r>
      <w:r>
        <w:rPr>
          <w:spacing w:val="40"/>
        </w:rPr>
        <w:t xml:space="preserve"> </w:t>
      </w:r>
      <w:r>
        <w:t>apresentada</w:t>
      </w:r>
      <w:r>
        <w:rPr>
          <w:spacing w:val="40"/>
        </w:rPr>
        <w:t xml:space="preserve"> </w:t>
      </w:r>
      <w:r>
        <w:t>por</w:t>
      </w:r>
      <w:r>
        <w:rPr>
          <w:spacing w:val="40"/>
        </w:rPr>
        <w:t xml:space="preserve"> </w:t>
      </w:r>
      <w:r>
        <w:t>Vereadores, por</w:t>
      </w:r>
      <w:r>
        <w:rPr>
          <w:spacing w:val="40"/>
        </w:rPr>
        <w:t xml:space="preserve"> </w:t>
      </w:r>
      <w:r>
        <w:t>Comissão Permanente ou</w:t>
      </w:r>
      <w:r>
        <w:rPr>
          <w:spacing w:val="40"/>
        </w:rPr>
        <w:t xml:space="preserve"> </w:t>
      </w:r>
      <w:r>
        <w:t xml:space="preserve">pela Mesa, para substituir outra já existente sobre o mesmo </w:t>
      </w:r>
      <w:r>
        <w:rPr>
          <w:spacing w:val="-2"/>
        </w:rPr>
        <w:t>assunto”.</w:t>
      </w:r>
    </w:p>
    <w:p w:rsidR="007259F2" w:rsidRDefault="00E655B4">
      <w:pPr>
        <w:pStyle w:val="Corpodetexto"/>
        <w:ind w:right="422"/>
      </w:pPr>
      <w:r>
        <w:t>Dessa forma, a Casa Civil, durante o desenrolar do processo administrativo, colhe as diversas</w:t>
      </w:r>
      <w:r>
        <w:rPr>
          <w:spacing w:val="-7"/>
        </w:rPr>
        <w:t xml:space="preserve"> </w:t>
      </w:r>
      <w:r>
        <w:t>manifestações</w:t>
      </w:r>
      <w:r>
        <w:rPr>
          <w:spacing w:val="-8"/>
        </w:rPr>
        <w:t xml:space="preserve"> </w:t>
      </w:r>
      <w:r>
        <w:t>apresentadas</w:t>
      </w:r>
      <w:r>
        <w:rPr>
          <w:spacing w:val="-9"/>
        </w:rPr>
        <w:t xml:space="preserve"> </w:t>
      </w:r>
      <w:r>
        <w:t>pelas</w:t>
      </w:r>
      <w:r>
        <w:rPr>
          <w:spacing w:val="-9"/>
        </w:rPr>
        <w:t xml:space="preserve"> </w:t>
      </w:r>
      <w:r>
        <w:t>pastas,</w:t>
      </w:r>
      <w:r>
        <w:rPr>
          <w:spacing w:val="-6"/>
        </w:rPr>
        <w:t xml:space="preserve"> </w:t>
      </w:r>
      <w:r>
        <w:t>avaliando</w:t>
      </w:r>
      <w:r>
        <w:rPr>
          <w:spacing w:val="-4"/>
        </w:rPr>
        <w:t xml:space="preserve"> </w:t>
      </w:r>
      <w:r>
        <w:t>se</w:t>
      </w:r>
      <w:r>
        <w:rPr>
          <w:spacing w:val="-9"/>
        </w:rPr>
        <w:t xml:space="preserve"> </w:t>
      </w:r>
      <w:r>
        <w:t>durante</w:t>
      </w:r>
      <w:r>
        <w:rPr>
          <w:spacing w:val="-9"/>
        </w:rPr>
        <w:t xml:space="preserve"> </w:t>
      </w:r>
      <w:r>
        <w:t>o</w:t>
      </w:r>
      <w:r>
        <w:rPr>
          <w:spacing w:val="-13"/>
        </w:rPr>
        <w:t xml:space="preserve"> </w:t>
      </w:r>
      <w:r>
        <w:t>trâmite</w:t>
      </w:r>
      <w:r>
        <w:rPr>
          <w:spacing w:val="-3"/>
        </w:rPr>
        <w:t xml:space="preserve"> </w:t>
      </w:r>
      <w:r>
        <w:t>houve</w:t>
      </w:r>
      <w:r>
        <w:rPr>
          <w:spacing w:val="-9"/>
        </w:rPr>
        <w:t xml:space="preserve"> </w:t>
      </w:r>
      <w:r>
        <w:t>alguma sugestão de mudança significativa no texto da propositura.</w:t>
      </w:r>
    </w:p>
    <w:p w:rsidR="007259F2" w:rsidRDefault="00E655B4">
      <w:pPr>
        <w:pStyle w:val="Corpodetexto"/>
        <w:spacing w:before="1"/>
        <w:ind w:right="430"/>
      </w:pPr>
      <w:r>
        <w:t>Algumas correções dizem respeito a questões formais, relativas à própria técnica legislativa, com o objetivo de deixar a nova legislação em conformidade com os padrões de redação, organização e clareza necessários a uma lei.</w:t>
      </w:r>
    </w:p>
    <w:p w:rsidR="007259F2" w:rsidRDefault="00E655B4">
      <w:pPr>
        <w:pStyle w:val="Corpodetexto"/>
        <w:ind w:right="422"/>
      </w:pPr>
      <w:r>
        <w:t>Porém, nos demais casos, surgem questões relativas às particularidades de cada hipótese, o que envolve tanto a retirada de trechos inaplicáveis, confusos, ilegais ou até mesmo inconstitucionais,</w:t>
      </w:r>
      <w:r>
        <w:rPr>
          <w:spacing w:val="-2"/>
        </w:rPr>
        <w:t xml:space="preserve"> </w:t>
      </w:r>
      <w:r>
        <w:t>como</w:t>
      </w:r>
      <w:r>
        <w:rPr>
          <w:spacing w:val="-4"/>
        </w:rPr>
        <w:t xml:space="preserve"> </w:t>
      </w:r>
      <w:r>
        <w:t>também</w:t>
      </w:r>
      <w:r>
        <w:rPr>
          <w:spacing w:val="-6"/>
        </w:rPr>
        <w:t xml:space="preserve"> </w:t>
      </w:r>
      <w:r>
        <w:t>abarca</w:t>
      </w:r>
      <w:r>
        <w:rPr>
          <w:spacing w:val="-5"/>
        </w:rPr>
        <w:t xml:space="preserve"> </w:t>
      </w:r>
      <w:r>
        <w:t>a</w:t>
      </w:r>
      <w:r>
        <w:rPr>
          <w:spacing w:val="-5"/>
        </w:rPr>
        <w:t xml:space="preserve"> </w:t>
      </w:r>
      <w:r>
        <w:t>adequação</w:t>
      </w:r>
      <w:r>
        <w:rPr>
          <w:spacing w:val="-4"/>
        </w:rPr>
        <w:t xml:space="preserve"> </w:t>
      </w:r>
      <w:r>
        <w:t>dentro das</w:t>
      </w:r>
      <w:r>
        <w:rPr>
          <w:spacing w:val="-4"/>
        </w:rPr>
        <w:t xml:space="preserve"> </w:t>
      </w:r>
      <w:r>
        <w:t>esferas</w:t>
      </w:r>
      <w:r>
        <w:rPr>
          <w:spacing w:val="-6"/>
        </w:rPr>
        <w:t xml:space="preserve"> </w:t>
      </w:r>
      <w:r>
        <w:t>específicas</w:t>
      </w:r>
      <w:r>
        <w:rPr>
          <w:spacing w:val="-6"/>
        </w:rPr>
        <w:t xml:space="preserve"> </w:t>
      </w:r>
      <w:r>
        <w:t>das matérias objetos do projeto de lei, seja por razões de maior eficiência da propositura, ou por limitações necessárias à execução prática dos futuros trabalhos que podem surgir com a aprovação de certos dispositivos.</w:t>
      </w:r>
    </w:p>
    <w:p w:rsidR="007259F2" w:rsidRDefault="00E655B4">
      <w:pPr>
        <w:pStyle w:val="Corpodetexto"/>
        <w:ind w:right="429"/>
      </w:pPr>
      <w:r>
        <w:t>Assim,</w:t>
      </w:r>
      <w:r>
        <w:rPr>
          <w:spacing w:val="-2"/>
        </w:rPr>
        <w:t xml:space="preserve"> </w:t>
      </w:r>
      <w:r>
        <w:t>a</w:t>
      </w:r>
      <w:r>
        <w:rPr>
          <w:spacing w:val="-2"/>
        </w:rPr>
        <w:t xml:space="preserve"> </w:t>
      </w:r>
      <w:r>
        <w:t>Casa</w:t>
      </w:r>
      <w:r>
        <w:rPr>
          <w:spacing w:val="-3"/>
        </w:rPr>
        <w:t xml:space="preserve"> </w:t>
      </w:r>
      <w:r>
        <w:t>Civil</w:t>
      </w:r>
      <w:r>
        <w:rPr>
          <w:spacing w:val="-2"/>
        </w:rPr>
        <w:t xml:space="preserve"> </w:t>
      </w:r>
      <w:r>
        <w:t>é</w:t>
      </w:r>
      <w:r>
        <w:rPr>
          <w:spacing w:val="-2"/>
        </w:rPr>
        <w:t xml:space="preserve"> </w:t>
      </w:r>
      <w:r>
        <w:t>responsável</w:t>
      </w:r>
      <w:r>
        <w:rPr>
          <w:spacing w:val="-2"/>
        </w:rPr>
        <w:t xml:space="preserve"> </w:t>
      </w:r>
      <w:r>
        <w:t>pela</w:t>
      </w:r>
      <w:r>
        <w:rPr>
          <w:spacing w:val="-2"/>
        </w:rPr>
        <w:t xml:space="preserve"> </w:t>
      </w:r>
      <w:r>
        <w:t>análise</w:t>
      </w:r>
      <w:r>
        <w:rPr>
          <w:spacing w:val="-3"/>
        </w:rPr>
        <w:t xml:space="preserve"> </w:t>
      </w:r>
      <w:r>
        <w:t>de</w:t>
      </w:r>
      <w:r>
        <w:rPr>
          <w:spacing w:val="-2"/>
        </w:rPr>
        <w:t xml:space="preserve"> </w:t>
      </w:r>
      <w:r>
        <w:t>todas</w:t>
      </w:r>
      <w:r>
        <w:rPr>
          <w:spacing w:val="-3"/>
        </w:rPr>
        <w:t xml:space="preserve"> </w:t>
      </w:r>
      <w:r>
        <w:t>as</w:t>
      </w:r>
      <w:r>
        <w:rPr>
          <w:spacing w:val="-2"/>
        </w:rPr>
        <w:t xml:space="preserve"> </w:t>
      </w:r>
      <w:r>
        <w:t>informações</w:t>
      </w:r>
      <w:r>
        <w:rPr>
          <w:spacing w:val="-2"/>
        </w:rPr>
        <w:t xml:space="preserve"> </w:t>
      </w:r>
      <w:r>
        <w:t>prestadas</w:t>
      </w:r>
      <w:r>
        <w:rPr>
          <w:spacing w:val="-2"/>
        </w:rPr>
        <w:t xml:space="preserve"> </w:t>
      </w:r>
      <w:r>
        <w:t>nesse diálogo, contribuindo para a construção de um texto livre de incorreções técnicas e mais próximo das vontades e realidades das secretarias envolvidas nos respectivos casos.</w:t>
      </w:r>
    </w:p>
    <w:p w:rsidR="007259F2" w:rsidRDefault="00E655B4">
      <w:pPr>
        <w:pStyle w:val="Heading2"/>
        <w:numPr>
          <w:ilvl w:val="2"/>
          <w:numId w:val="15"/>
        </w:numPr>
        <w:tabs>
          <w:tab w:val="left" w:pos="1250"/>
        </w:tabs>
        <w:ind w:left="1250" w:hanging="540"/>
      </w:pPr>
      <w:r>
        <w:t>Trabalho</w:t>
      </w:r>
      <w:r>
        <w:rPr>
          <w:spacing w:val="-7"/>
        </w:rPr>
        <w:t xml:space="preserve"> </w:t>
      </w:r>
      <w:r>
        <w:t>de</w:t>
      </w:r>
      <w:r>
        <w:rPr>
          <w:spacing w:val="-5"/>
        </w:rPr>
        <w:t xml:space="preserve"> </w:t>
      </w:r>
      <w:r>
        <w:t>coordenação</w:t>
      </w:r>
      <w:r>
        <w:rPr>
          <w:spacing w:val="-3"/>
        </w:rPr>
        <w:t xml:space="preserve"> </w:t>
      </w:r>
      <w:r>
        <w:t>da</w:t>
      </w:r>
      <w:r>
        <w:rPr>
          <w:spacing w:val="-4"/>
        </w:rPr>
        <w:t xml:space="preserve"> </w:t>
      </w:r>
      <w:r>
        <w:t>Casa</w:t>
      </w:r>
      <w:r>
        <w:rPr>
          <w:spacing w:val="-4"/>
        </w:rPr>
        <w:t xml:space="preserve"> Civil</w:t>
      </w:r>
    </w:p>
    <w:p w:rsidR="007259F2" w:rsidRDefault="007259F2">
      <w:pPr>
        <w:pStyle w:val="Heading2"/>
        <w:jc w:val="left"/>
        <w:sectPr w:rsidR="007259F2">
          <w:pgSz w:w="11910" w:h="16840"/>
          <w:pgMar w:top="1620" w:right="708" w:bottom="1020" w:left="992" w:header="0" w:footer="820" w:gutter="0"/>
          <w:cols w:space="720"/>
        </w:sectPr>
      </w:pPr>
    </w:p>
    <w:p w:rsidR="007259F2" w:rsidRDefault="00E655B4">
      <w:pPr>
        <w:pStyle w:val="Corpodetexto"/>
        <w:spacing w:before="75"/>
        <w:ind w:right="420"/>
      </w:pPr>
      <w:r>
        <w:lastRenderedPageBreak/>
        <w:t>Destacamos que a Casa Civil, após a finalização do processo, também realiza a tarefa de auxiliar a comunicação do Poder Executivo com a sua base de vereadores na Câmara. Adentrando assim na prática dos diálogos institucionais, o órgão se empenha em</w:t>
      </w:r>
      <w:r>
        <w:rPr>
          <w:spacing w:val="-3"/>
        </w:rPr>
        <w:t xml:space="preserve"> </w:t>
      </w:r>
      <w:r>
        <w:t>sumarizar de forma sucinta, mas completa, as exposições das subpastas, pontuando se dentro de uma secretaria houve conclusão pela viabilidade ou inviabilidade do projeto, ou divergência, acompanhando, se for o caso, de proposta de substitutivo nos conformes das manifestações presentes no processo administrativo.</w:t>
      </w:r>
    </w:p>
    <w:p w:rsidR="007259F2" w:rsidRDefault="00E655B4">
      <w:pPr>
        <w:pStyle w:val="Corpodetexto"/>
        <w:ind w:right="419"/>
      </w:pPr>
      <w:r>
        <w:t>A atuação do Poder Executivo ocorre, portanto, de uma forma simultaneamente consultiva e preventiva nessa etapa do desenvolvimento do processo legislativo. Se por um lado, cria-se a possibilidade de discussão e contribuição entre as secretarias para o aperfeiçoamento das leis, podemos verificar também a possibilidade de um diálogo dotado de fundamentação robusta com o Poder Legislativo.</w:t>
      </w:r>
    </w:p>
    <w:p w:rsidR="007259F2" w:rsidRDefault="00E655B4">
      <w:pPr>
        <w:pStyle w:val="Corpodetexto"/>
        <w:spacing w:before="1"/>
        <w:ind w:right="423"/>
      </w:pPr>
      <w:r>
        <w:t>Ainda que esteja dentro da esfera política a decisão dos secretários sobre o endosso</w:t>
      </w:r>
      <w:r>
        <w:rPr>
          <w:spacing w:val="40"/>
        </w:rPr>
        <w:t xml:space="preserve"> </w:t>
      </w:r>
      <w:r>
        <w:t>das</w:t>
      </w:r>
      <w:r>
        <w:rPr>
          <w:spacing w:val="-1"/>
        </w:rPr>
        <w:t xml:space="preserve"> </w:t>
      </w:r>
      <w:r>
        <w:t>manifestações</w:t>
      </w:r>
      <w:r>
        <w:rPr>
          <w:spacing w:val="-1"/>
        </w:rPr>
        <w:t xml:space="preserve"> </w:t>
      </w:r>
      <w:r>
        <w:t>de</w:t>
      </w:r>
      <w:r>
        <w:rPr>
          <w:spacing w:val="-2"/>
        </w:rPr>
        <w:t xml:space="preserve"> </w:t>
      </w:r>
      <w:r>
        <w:t>suas</w:t>
      </w:r>
      <w:r>
        <w:rPr>
          <w:spacing w:val="-1"/>
        </w:rPr>
        <w:t xml:space="preserve"> </w:t>
      </w:r>
      <w:r>
        <w:t>pastas</w:t>
      </w:r>
      <w:r>
        <w:rPr>
          <w:spacing w:val="-1"/>
        </w:rPr>
        <w:t xml:space="preserve"> </w:t>
      </w:r>
      <w:r>
        <w:t>e</w:t>
      </w:r>
      <w:r>
        <w:rPr>
          <w:spacing w:val="-2"/>
        </w:rPr>
        <w:t xml:space="preserve"> </w:t>
      </w:r>
      <w:r>
        <w:t>a</w:t>
      </w:r>
      <w:r>
        <w:rPr>
          <w:spacing w:val="-2"/>
        </w:rPr>
        <w:t xml:space="preserve"> </w:t>
      </w:r>
      <w:r>
        <w:t>opção</w:t>
      </w:r>
      <w:r>
        <w:rPr>
          <w:spacing w:val="-1"/>
        </w:rPr>
        <w:t xml:space="preserve"> </w:t>
      </w:r>
      <w:r>
        <w:t>dos</w:t>
      </w:r>
      <w:r>
        <w:rPr>
          <w:spacing w:val="-1"/>
        </w:rPr>
        <w:t xml:space="preserve"> </w:t>
      </w:r>
      <w:r>
        <w:t>vereadores</w:t>
      </w:r>
      <w:r>
        <w:rPr>
          <w:spacing w:val="-1"/>
        </w:rPr>
        <w:t xml:space="preserve"> </w:t>
      </w:r>
      <w:r>
        <w:t>por</w:t>
      </w:r>
      <w:r>
        <w:rPr>
          <w:spacing w:val="-2"/>
        </w:rPr>
        <w:t xml:space="preserve"> </w:t>
      </w:r>
      <w:r>
        <w:t>seguir</w:t>
      </w:r>
      <w:r>
        <w:rPr>
          <w:spacing w:val="-2"/>
        </w:rPr>
        <w:t xml:space="preserve"> </w:t>
      </w:r>
      <w:r>
        <w:t>as</w:t>
      </w:r>
      <w:r>
        <w:rPr>
          <w:spacing w:val="-1"/>
        </w:rPr>
        <w:t xml:space="preserve"> </w:t>
      </w:r>
      <w:r>
        <w:t>orientações</w:t>
      </w:r>
      <w:r>
        <w:rPr>
          <w:spacing w:val="-1"/>
        </w:rPr>
        <w:t xml:space="preserve"> </w:t>
      </w:r>
      <w:r>
        <w:t>técnicas</w:t>
      </w:r>
      <w:r>
        <w:rPr>
          <w:spacing w:val="-1"/>
        </w:rPr>
        <w:t xml:space="preserve"> </w:t>
      </w:r>
      <w:r>
        <w:t>e jurídicas providenciadas,</w:t>
      </w:r>
      <w:r>
        <w:rPr>
          <w:spacing w:val="40"/>
        </w:rPr>
        <w:t xml:space="preserve"> </w:t>
      </w:r>
      <w:r>
        <w:t>percebe-se que a ponte existente entre os diferentes Poderes se dá, por</w:t>
      </w:r>
      <w:r>
        <w:rPr>
          <w:spacing w:val="-11"/>
        </w:rPr>
        <w:t xml:space="preserve"> </w:t>
      </w:r>
      <w:r>
        <w:t>parte</w:t>
      </w:r>
      <w:r>
        <w:rPr>
          <w:spacing w:val="-14"/>
        </w:rPr>
        <w:t xml:space="preserve"> </w:t>
      </w:r>
      <w:r>
        <w:t>da</w:t>
      </w:r>
      <w:r>
        <w:rPr>
          <w:spacing w:val="-12"/>
        </w:rPr>
        <w:t xml:space="preserve"> </w:t>
      </w:r>
      <w:r>
        <w:t>administração</w:t>
      </w:r>
      <w:r>
        <w:rPr>
          <w:spacing w:val="-3"/>
        </w:rPr>
        <w:t xml:space="preserve"> </w:t>
      </w:r>
      <w:r>
        <w:t>pública,</w:t>
      </w:r>
      <w:r>
        <w:rPr>
          <w:spacing w:val="-8"/>
        </w:rPr>
        <w:t xml:space="preserve"> </w:t>
      </w:r>
      <w:r>
        <w:t>com</w:t>
      </w:r>
      <w:r>
        <w:rPr>
          <w:spacing w:val="-15"/>
        </w:rPr>
        <w:t xml:space="preserve"> </w:t>
      </w:r>
      <w:r>
        <w:t>base</w:t>
      </w:r>
      <w:r>
        <w:rPr>
          <w:spacing w:val="-9"/>
        </w:rPr>
        <w:t xml:space="preserve"> </w:t>
      </w:r>
      <w:r>
        <w:t>em</w:t>
      </w:r>
      <w:r>
        <w:rPr>
          <w:spacing w:val="-7"/>
        </w:rPr>
        <w:t xml:space="preserve"> </w:t>
      </w:r>
      <w:r>
        <w:t>motivações</w:t>
      </w:r>
      <w:r>
        <w:rPr>
          <w:spacing w:val="-10"/>
        </w:rPr>
        <w:t xml:space="preserve"> </w:t>
      </w:r>
      <w:r>
        <w:t>claras</w:t>
      </w:r>
      <w:r>
        <w:rPr>
          <w:spacing w:val="-8"/>
        </w:rPr>
        <w:t xml:space="preserve"> </w:t>
      </w:r>
      <w:r>
        <w:t>e</w:t>
      </w:r>
      <w:r>
        <w:rPr>
          <w:spacing w:val="-9"/>
        </w:rPr>
        <w:t xml:space="preserve"> </w:t>
      </w:r>
      <w:r>
        <w:t>providenciadas</w:t>
      </w:r>
      <w:r>
        <w:rPr>
          <w:spacing w:val="-7"/>
        </w:rPr>
        <w:t xml:space="preserve"> </w:t>
      </w:r>
      <w:r>
        <w:t>por</w:t>
      </w:r>
      <w:r>
        <w:rPr>
          <w:spacing w:val="-11"/>
        </w:rPr>
        <w:t xml:space="preserve"> </w:t>
      </w:r>
      <w:r>
        <w:t>partes interessadas</w:t>
      </w:r>
      <w:r>
        <w:rPr>
          <w:spacing w:val="-15"/>
        </w:rPr>
        <w:t xml:space="preserve"> </w:t>
      </w:r>
      <w:r>
        <w:t>na</w:t>
      </w:r>
      <w:r>
        <w:rPr>
          <w:spacing w:val="-12"/>
        </w:rPr>
        <w:t xml:space="preserve"> </w:t>
      </w:r>
      <w:r>
        <w:t>boa</w:t>
      </w:r>
      <w:r>
        <w:rPr>
          <w:spacing w:val="-14"/>
        </w:rPr>
        <w:t xml:space="preserve"> </w:t>
      </w:r>
      <w:r>
        <w:t>prestação</w:t>
      </w:r>
      <w:r>
        <w:rPr>
          <w:spacing w:val="-12"/>
        </w:rPr>
        <w:t xml:space="preserve"> </w:t>
      </w:r>
      <w:r>
        <w:t>do</w:t>
      </w:r>
      <w:r>
        <w:rPr>
          <w:spacing w:val="-8"/>
        </w:rPr>
        <w:t xml:space="preserve"> </w:t>
      </w:r>
      <w:r>
        <w:t>serviço</w:t>
      </w:r>
      <w:r>
        <w:rPr>
          <w:spacing w:val="-8"/>
        </w:rPr>
        <w:t xml:space="preserve"> </w:t>
      </w:r>
      <w:r>
        <w:t>público</w:t>
      </w:r>
      <w:r>
        <w:rPr>
          <w:spacing w:val="-8"/>
        </w:rPr>
        <w:t xml:space="preserve"> </w:t>
      </w:r>
      <w:r>
        <w:t>e</w:t>
      </w:r>
      <w:r>
        <w:rPr>
          <w:spacing w:val="-9"/>
        </w:rPr>
        <w:t xml:space="preserve"> </w:t>
      </w:r>
      <w:r>
        <w:t>do</w:t>
      </w:r>
      <w:r>
        <w:rPr>
          <w:spacing w:val="-11"/>
        </w:rPr>
        <w:t xml:space="preserve"> </w:t>
      </w:r>
      <w:r>
        <w:t>respeito</w:t>
      </w:r>
      <w:r>
        <w:rPr>
          <w:spacing w:val="-10"/>
        </w:rPr>
        <w:t xml:space="preserve"> </w:t>
      </w:r>
      <w:r>
        <w:t>à</w:t>
      </w:r>
      <w:r>
        <w:rPr>
          <w:spacing w:val="-14"/>
        </w:rPr>
        <w:t xml:space="preserve"> </w:t>
      </w:r>
      <w:r>
        <w:t>constituição,</w:t>
      </w:r>
      <w:r>
        <w:rPr>
          <w:spacing w:val="-12"/>
        </w:rPr>
        <w:t xml:space="preserve"> </w:t>
      </w:r>
      <w:r>
        <w:t>envolvendo</w:t>
      </w:r>
      <w:r>
        <w:rPr>
          <w:spacing w:val="-9"/>
        </w:rPr>
        <w:t xml:space="preserve"> </w:t>
      </w:r>
      <w:r>
        <w:t>assim inúmeros servidores públicos que, por suas expertises, conseguem em algum grau contribuir para a lapidação de projetos de lei, mesmo sem integrarem formalmente o Poder Legislativo.</w:t>
      </w:r>
    </w:p>
    <w:p w:rsidR="007259F2" w:rsidRDefault="00E655B4">
      <w:pPr>
        <w:pStyle w:val="Heading2"/>
        <w:numPr>
          <w:ilvl w:val="2"/>
          <w:numId w:val="15"/>
        </w:numPr>
        <w:tabs>
          <w:tab w:val="left" w:pos="1250"/>
        </w:tabs>
        <w:ind w:left="1250" w:hanging="540"/>
        <w:jc w:val="both"/>
      </w:pPr>
      <w:r>
        <w:t>Poder</w:t>
      </w:r>
      <w:r>
        <w:rPr>
          <w:spacing w:val="-7"/>
        </w:rPr>
        <w:t xml:space="preserve"> </w:t>
      </w:r>
      <w:r>
        <w:t>de</w:t>
      </w:r>
      <w:r>
        <w:rPr>
          <w:spacing w:val="-2"/>
        </w:rPr>
        <w:t xml:space="preserve"> </w:t>
      </w:r>
      <w:r>
        <w:t>veto do</w:t>
      </w:r>
      <w:r>
        <w:rPr>
          <w:spacing w:val="2"/>
        </w:rPr>
        <w:t xml:space="preserve"> </w:t>
      </w:r>
      <w:r>
        <w:rPr>
          <w:spacing w:val="-2"/>
        </w:rPr>
        <w:t>Executivo</w:t>
      </w:r>
    </w:p>
    <w:p w:rsidR="007259F2" w:rsidRDefault="00E655B4">
      <w:pPr>
        <w:pStyle w:val="Corpodetexto"/>
        <w:spacing w:before="113"/>
        <w:ind w:right="422"/>
      </w:pPr>
      <w:r>
        <w:t>A</w:t>
      </w:r>
      <w:r>
        <w:rPr>
          <w:spacing w:val="-1"/>
        </w:rPr>
        <w:t xml:space="preserve"> </w:t>
      </w:r>
      <w:r>
        <w:t>relação clássica de diálogo institucional está presente também no método de pesos e contrapesos referente ao poder de veto do Executivo.</w:t>
      </w:r>
    </w:p>
    <w:p w:rsidR="007259F2" w:rsidRDefault="00E655B4">
      <w:pPr>
        <w:pStyle w:val="Corpodetexto"/>
        <w:ind w:right="421"/>
      </w:pPr>
      <w:r>
        <w:t>Quanto às suas espécies, podemos afirmar que: “O veto é político, quando a matéria é considerada contrária ao interesse público; jurídico, se entendida como inconstitucional; ou por</w:t>
      </w:r>
      <w:r>
        <w:rPr>
          <w:spacing w:val="-3"/>
        </w:rPr>
        <w:t xml:space="preserve"> </w:t>
      </w:r>
      <w:r>
        <w:t>ambos</w:t>
      </w:r>
      <w:r>
        <w:rPr>
          <w:spacing w:val="-3"/>
        </w:rPr>
        <w:t xml:space="preserve"> </w:t>
      </w:r>
      <w:r>
        <w:t>os</w:t>
      </w:r>
      <w:r>
        <w:rPr>
          <w:spacing w:val="-3"/>
        </w:rPr>
        <w:t xml:space="preserve"> </w:t>
      </w:r>
      <w:r>
        <w:t>motivos</w:t>
      </w:r>
      <w:r>
        <w:rPr>
          <w:spacing w:val="-2"/>
        </w:rPr>
        <w:t xml:space="preserve"> </w:t>
      </w:r>
      <w:r>
        <w:t>–</w:t>
      </w:r>
      <w:r>
        <w:rPr>
          <w:spacing w:val="-3"/>
        </w:rPr>
        <w:t xml:space="preserve"> </w:t>
      </w:r>
      <w:r>
        <w:t>inconstitucionalidade</w:t>
      </w:r>
      <w:r>
        <w:rPr>
          <w:spacing w:val="-5"/>
        </w:rPr>
        <w:t xml:space="preserve"> </w:t>
      </w:r>
      <w:r>
        <w:t>e contrariedade</w:t>
      </w:r>
      <w:r>
        <w:rPr>
          <w:spacing w:val="-4"/>
        </w:rPr>
        <w:t xml:space="preserve"> </w:t>
      </w:r>
      <w:r>
        <w:t>ao</w:t>
      </w:r>
      <w:r>
        <w:rPr>
          <w:spacing w:val="-1"/>
        </w:rPr>
        <w:t xml:space="preserve"> </w:t>
      </w:r>
      <w:r>
        <w:t>interesse</w:t>
      </w:r>
      <w:r>
        <w:rPr>
          <w:spacing w:val="-4"/>
        </w:rPr>
        <w:t xml:space="preserve"> </w:t>
      </w:r>
      <w:r>
        <w:t>público”</w:t>
      </w:r>
      <w:r>
        <w:rPr>
          <w:spacing w:val="-4"/>
        </w:rPr>
        <w:t xml:space="preserve"> </w:t>
      </w:r>
      <w:r>
        <w:t xml:space="preserve">(BRASIL, </w:t>
      </w:r>
      <w:r>
        <w:rPr>
          <w:spacing w:val="-2"/>
        </w:rPr>
        <w:t>2024).</w:t>
      </w:r>
    </w:p>
    <w:p w:rsidR="007259F2" w:rsidRDefault="00E655B4">
      <w:pPr>
        <w:pStyle w:val="Corpodetexto"/>
        <w:ind w:right="421"/>
      </w:pPr>
      <w:r>
        <w:t>Nesse</w:t>
      </w:r>
      <w:r>
        <w:rPr>
          <w:spacing w:val="-13"/>
        </w:rPr>
        <w:t xml:space="preserve"> </w:t>
      </w:r>
      <w:r>
        <w:t>aspecto,</w:t>
      </w:r>
      <w:r>
        <w:rPr>
          <w:spacing w:val="-13"/>
        </w:rPr>
        <w:t xml:space="preserve"> </w:t>
      </w:r>
      <w:r>
        <w:t>há</w:t>
      </w:r>
      <w:r>
        <w:rPr>
          <w:spacing w:val="-15"/>
        </w:rPr>
        <w:t xml:space="preserve"> </w:t>
      </w:r>
      <w:r>
        <w:t>também</w:t>
      </w:r>
      <w:r>
        <w:rPr>
          <w:spacing w:val="-14"/>
        </w:rPr>
        <w:t xml:space="preserve"> </w:t>
      </w:r>
      <w:r>
        <w:t>um</w:t>
      </w:r>
      <w:r>
        <w:rPr>
          <w:spacing w:val="-14"/>
        </w:rPr>
        <w:t xml:space="preserve"> </w:t>
      </w:r>
      <w:r>
        <w:t>auxílio</w:t>
      </w:r>
      <w:r>
        <w:rPr>
          <w:spacing w:val="-9"/>
        </w:rPr>
        <w:t xml:space="preserve"> </w:t>
      </w:r>
      <w:r>
        <w:t>da</w:t>
      </w:r>
      <w:r>
        <w:rPr>
          <w:spacing w:val="-13"/>
        </w:rPr>
        <w:t xml:space="preserve"> </w:t>
      </w:r>
      <w:r>
        <w:t>Casa</w:t>
      </w:r>
      <w:r>
        <w:rPr>
          <w:spacing w:val="-12"/>
        </w:rPr>
        <w:t xml:space="preserve"> </w:t>
      </w:r>
      <w:r>
        <w:t>Civil</w:t>
      </w:r>
      <w:r>
        <w:rPr>
          <w:spacing w:val="-9"/>
        </w:rPr>
        <w:t xml:space="preserve"> </w:t>
      </w:r>
      <w:r>
        <w:t>na</w:t>
      </w:r>
      <w:r>
        <w:rPr>
          <w:spacing w:val="-8"/>
        </w:rPr>
        <w:t xml:space="preserve"> </w:t>
      </w:r>
      <w:r>
        <w:t>formulação</w:t>
      </w:r>
      <w:r>
        <w:rPr>
          <w:spacing w:val="-8"/>
        </w:rPr>
        <w:t xml:space="preserve"> </w:t>
      </w:r>
      <w:r>
        <w:t>das</w:t>
      </w:r>
      <w:r>
        <w:rPr>
          <w:spacing w:val="-11"/>
        </w:rPr>
        <w:t xml:space="preserve"> </w:t>
      </w:r>
      <w:r>
        <w:t>razões</w:t>
      </w:r>
      <w:r>
        <w:rPr>
          <w:spacing w:val="-11"/>
        </w:rPr>
        <w:t xml:space="preserve"> </w:t>
      </w:r>
      <w:r>
        <w:t>dos</w:t>
      </w:r>
      <w:r>
        <w:rPr>
          <w:spacing w:val="-12"/>
        </w:rPr>
        <w:t xml:space="preserve"> </w:t>
      </w:r>
      <w:r>
        <w:t>vetos, que se mostram fundamental na dinâmica dos diálogos institucionais.</w:t>
      </w:r>
    </w:p>
    <w:p w:rsidR="007259F2" w:rsidRDefault="00E655B4">
      <w:pPr>
        <w:pStyle w:val="Corpodetexto"/>
        <w:ind w:right="422"/>
      </w:pPr>
      <w:r>
        <w:t>Embora detenha o chefe do Poder Executiva a prerrogativa de discordar das leis aprovadas</w:t>
      </w:r>
      <w:r>
        <w:rPr>
          <w:spacing w:val="-6"/>
        </w:rPr>
        <w:t xml:space="preserve"> </w:t>
      </w:r>
      <w:r>
        <w:t>pelo Legislativo,</w:t>
      </w:r>
      <w:r>
        <w:rPr>
          <w:spacing w:val="-2"/>
        </w:rPr>
        <w:t xml:space="preserve"> </w:t>
      </w:r>
      <w:r>
        <w:t>verifica-se</w:t>
      </w:r>
      <w:r>
        <w:rPr>
          <w:spacing w:val="-7"/>
        </w:rPr>
        <w:t xml:space="preserve"> </w:t>
      </w:r>
      <w:r>
        <w:t>que</w:t>
      </w:r>
      <w:r>
        <w:rPr>
          <w:spacing w:val="-4"/>
        </w:rPr>
        <w:t xml:space="preserve"> </w:t>
      </w:r>
      <w:r>
        <w:t>o</w:t>
      </w:r>
      <w:r>
        <w:rPr>
          <w:spacing w:val="-3"/>
        </w:rPr>
        <w:t xml:space="preserve"> </w:t>
      </w:r>
      <w:r>
        <w:t>exercício da</w:t>
      </w:r>
      <w:r>
        <w:rPr>
          <w:spacing w:val="-7"/>
        </w:rPr>
        <w:t xml:space="preserve"> </w:t>
      </w:r>
      <w:r>
        <w:t>competência</w:t>
      </w:r>
      <w:r>
        <w:rPr>
          <w:spacing w:val="-6"/>
        </w:rPr>
        <w:t xml:space="preserve"> </w:t>
      </w:r>
      <w:r>
        <w:t>de</w:t>
      </w:r>
      <w:r>
        <w:rPr>
          <w:spacing w:val="-4"/>
        </w:rPr>
        <w:t xml:space="preserve"> </w:t>
      </w:r>
      <w:r>
        <w:t>veto</w:t>
      </w:r>
      <w:r>
        <w:rPr>
          <w:spacing w:val="-1"/>
        </w:rPr>
        <w:t xml:space="preserve"> </w:t>
      </w:r>
      <w:r>
        <w:t>deve</w:t>
      </w:r>
      <w:r>
        <w:rPr>
          <w:spacing w:val="-6"/>
        </w:rPr>
        <w:t xml:space="preserve"> </w:t>
      </w:r>
      <w:r>
        <w:t>se</w:t>
      </w:r>
      <w:r>
        <w:rPr>
          <w:spacing w:val="-7"/>
        </w:rPr>
        <w:t xml:space="preserve"> </w:t>
      </w:r>
      <w:r>
        <w:t>dar</w:t>
      </w:r>
      <w:r>
        <w:rPr>
          <w:spacing w:val="-4"/>
        </w:rPr>
        <w:t xml:space="preserve"> </w:t>
      </w:r>
      <w:r>
        <w:t>por razões justificadas, sejam elas jurídicas ou políticas.</w:t>
      </w:r>
    </w:p>
    <w:p w:rsidR="007259F2" w:rsidRDefault="00E655B4">
      <w:pPr>
        <w:pStyle w:val="Corpodetexto"/>
        <w:ind w:right="422"/>
      </w:pPr>
      <w:r>
        <w:t>Nesse aspecto, as manifestações apresentadas durante o processo administrativo que antecedeu o surgimento de uma nova lei servem de base para fundamentar a justificativa do veto. Essa exposição é fundamental para a manutenção de uma relação de cooperação entre o prefeito e a Câmara Municipal, na medida em que o veto pode ser interpretado como um enfrentamento à decisão legislativa, podendo gerar desgastes de ordem política.</w:t>
      </w:r>
    </w:p>
    <w:p w:rsidR="007259F2" w:rsidRDefault="00E655B4">
      <w:pPr>
        <w:pStyle w:val="Corpodetexto"/>
        <w:spacing w:before="1"/>
        <w:ind w:right="423"/>
      </w:pPr>
      <w:r>
        <w:t>Dessa forma, interessante citar o trabalho de Mariana Barbosa Cirne (2019) em seu artigo “A relevância jurídica dos vetos presidenciais”:</w:t>
      </w:r>
    </w:p>
    <w:p w:rsidR="007259F2" w:rsidRDefault="00E655B4">
      <w:pPr>
        <w:spacing w:before="203"/>
        <w:ind w:left="2978" w:right="418"/>
        <w:jc w:val="both"/>
        <w:rPr>
          <w:sz w:val="20"/>
        </w:rPr>
      </w:pPr>
      <w:r>
        <w:rPr>
          <w:sz w:val="20"/>
        </w:rPr>
        <w:t>Muitas vezes, de fato, o veto pode materializar-se como embate. A sua forma pode corresponder,</w:t>
      </w:r>
      <w:r>
        <w:rPr>
          <w:spacing w:val="-13"/>
          <w:sz w:val="20"/>
        </w:rPr>
        <w:t xml:space="preserve"> </w:t>
      </w:r>
      <w:r>
        <w:rPr>
          <w:sz w:val="20"/>
        </w:rPr>
        <w:t>na</w:t>
      </w:r>
      <w:r>
        <w:rPr>
          <w:spacing w:val="-12"/>
          <w:sz w:val="20"/>
        </w:rPr>
        <w:t xml:space="preserve"> </w:t>
      </w:r>
      <w:r>
        <w:rPr>
          <w:sz w:val="20"/>
        </w:rPr>
        <w:t>prática,</w:t>
      </w:r>
      <w:r>
        <w:rPr>
          <w:spacing w:val="-13"/>
          <w:sz w:val="20"/>
        </w:rPr>
        <w:t xml:space="preserve"> </w:t>
      </w:r>
      <w:r>
        <w:rPr>
          <w:sz w:val="20"/>
        </w:rPr>
        <w:t>à</w:t>
      </w:r>
      <w:r>
        <w:rPr>
          <w:spacing w:val="-12"/>
          <w:sz w:val="20"/>
        </w:rPr>
        <w:t xml:space="preserve"> </w:t>
      </w:r>
      <w:r>
        <w:rPr>
          <w:sz w:val="20"/>
        </w:rPr>
        <w:t>divergência</w:t>
      </w:r>
      <w:r>
        <w:rPr>
          <w:spacing w:val="-13"/>
          <w:sz w:val="20"/>
        </w:rPr>
        <w:t xml:space="preserve"> </w:t>
      </w:r>
      <w:r>
        <w:rPr>
          <w:sz w:val="20"/>
        </w:rPr>
        <w:t>no</w:t>
      </w:r>
      <w:r>
        <w:rPr>
          <w:spacing w:val="-12"/>
          <w:sz w:val="20"/>
        </w:rPr>
        <w:t xml:space="preserve"> </w:t>
      </w:r>
      <w:r>
        <w:rPr>
          <w:sz w:val="20"/>
        </w:rPr>
        <w:t>arranjo</w:t>
      </w:r>
      <w:r>
        <w:rPr>
          <w:spacing w:val="-13"/>
          <w:sz w:val="20"/>
        </w:rPr>
        <w:t xml:space="preserve"> </w:t>
      </w:r>
      <w:r>
        <w:rPr>
          <w:sz w:val="20"/>
        </w:rPr>
        <w:t>político</w:t>
      </w:r>
      <w:r>
        <w:rPr>
          <w:spacing w:val="-12"/>
          <w:sz w:val="20"/>
        </w:rPr>
        <w:t xml:space="preserve"> </w:t>
      </w:r>
      <w:r>
        <w:rPr>
          <w:sz w:val="20"/>
        </w:rPr>
        <w:t>entre</w:t>
      </w:r>
      <w:r>
        <w:rPr>
          <w:spacing w:val="-13"/>
          <w:sz w:val="20"/>
        </w:rPr>
        <w:t xml:space="preserve"> </w:t>
      </w:r>
      <w:r>
        <w:rPr>
          <w:sz w:val="20"/>
        </w:rPr>
        <w:t>Poderes.</w:t>
      </w:r>
      <w:r>
        <w:rPr>
          <w:spacing w:val="-12"/>
          <w:sz w:val="20"/>
        </w:rPr>
        <w:t xml:space="preserve"> </w:t>
      </w:r>
      <w:r>
        <w:rPr>
          <w:sz w:val="20"/>
        </w:rPr>
        <w:t>Apesar</w:t>
      </w:r>
      <w:r>
        <w:rPr>
          <w:spacing w:val="-13"/>
          <w:sz w:val="20"/>
        </w:rPr>
        <w:t xml:space="preserve"> </w:t>
      </w:r>
      <w:r>
        <w:rPr>
          <w:sz w:val="20"/>
        </w:rPr>
        <w:t>disso, cabe salientar que, diante da relação simbiótica entre Executivo e Legislativo, é preciso também considerar o veto como meio de cooperação de forças entre os Poderes</w:t>
      </w:r>
      <w:r>
        <w:rPr>
          <w:spacing w:val="-8"/>
          <w:sz w:val="20"/>
        </w:rPr>
        <w:t xml:space="preserve"> </w:t>
      </w:r>
      <w:r>
        <w:rPr>
          <w:sz w:val="20"/>
        </w:rPr>
        <w:t>(KOSHIMIZU,</w:t>
      </w:r>
      <w:r>
        <w:rPr>
          <w:spacing w:val="-4"/>
          <w:sz w:val="20"/>
        </w:rPr>
        <w:t xml:space="preserve"> </w:t>
      </w:r>
      <w:r>
        <w:rPr>
          <w:sz w:val="20"/>
        </w:rPr>
        <w:t>2011),</w:t>
      </w:r>
      <w:r>
        <w:rPr>
          <w:spacing w:val="-3"/>
          <w:sz w:val="20"/>
        </w:rPr>
        <w:t xml:space="preserve"> </w:t>
      </w:r>
      <w:r>
        <w:rPr>
          <w:sz w:val="20"/>
        </w:rPr>
        <w:t>uma</w:t>
      </w:r>
      <w:r>
        <w:rPr>
          <w:spacing w:val="-4"/>
          <w:sz w:val="20"/>
        </w:rPr>
        <w:t xml:space="preserve"> </w:t>
      </w:r>
      <w:r>
        <w:rPr>
          <w:sz w:val="20"/>
        </w:rPr>
        <w:t>forma</w:t>
      </w:r>
      <w:r>
        <w:rPr>
          <w:spacing w:val="-6"/>
          <w:sz w:val="20"/>
        </w:rPr>
        <w:t xml:space="preserve"> </w:t>
      </w:r>
      <w:r>
        <w:rPr>
          <w:sz w:val="20"/>
        </w:rPr>
        <w:t>de</w:t>
      </w:r>
      <w:r>
        <w:rPr>
          <w:spacing w:val="-11"/>
          <w:sz w:val="20"/>
        </w:rPr>
        <w:t xml:space="preserve"> </w:t>
      </w:r>
      <w:r>
        <w:rPr>
          <w:sz w:val="20"/>
        </w:rPr>
        <w:t>ajuda</w:t>
      </w:r>
      <w:r>
        <w:rPr>
          <w:spacing w:val="-8"/>
          <w:sz w:val="20"/>
        </w:rPr>
        <w:t xml:space="preserve"> </w:t>
      </w:r>
      <w:r>
        <w:rPr>
          <w:sz w:val="20"/>
        </w:rPr>
        <w:t>mútua</w:t>
      </w:r>
      <w:r>
        <w:rPr>
          <w:spacing w:val="-11"/>
          <w:sz w:val="20"/>
        </w:rPr>
        <w:t xml:space="preserve"> </w:t>
      </w:r>
      <w:r>
        <w:rPr>
          <w:sz w:val="20"/>
        </w:rPr>
        <w:t>(GROHMANN,</w:t>
      </w:r>
      <w:r>
        <w:rPr>
          <w:spacing w:val="-3"/>
          <w:sz w:val="20"/>
        </w:rPr>
        <w:t xml:space="preserve"> </w:t>
      </w:r>
      <w:r>
        <w:rPr>
          <w:sz w:val="20"/>
        </w:rPr>
        <w:t>2003),</w:t>
      </w:r>
      <w:r>
        <w:rPr>
          <w:spacing w:val="-5"/>
          <w:sz w:val="20"/>
        </w:rPr>
        <w:t xml:space="preserve"> </w:t>
      </w:r>
      <w:r>
        <w:rPr>
          <w:sz w:val="20"/>
        </w:rPr>
        <w:t>de reciprocidade estratégica (LAMOUNIER, 2005) ou de diálogo (SILAME, 2016). Melhor</w:t>
      </w:r>
      <w:r>
        <w:rPr>
          <w:spacing w:val="-1"/>
          <w:sz w:val="20"/>
        </w:rPr>
        <w:t xml:space="preserve"> </w:t>
      </w:r>
      <w:r>
        <w:rPr>
          <w:sz w:val="20"/>
        </w:rPr>
        <w:t>que</w:t>
      </w:r>
      <w:r>
        <w:rPr>
          <w:spacing w:val="-11"/>
          <w:sz w:val="20"/>
        </w:rPr>
        <w:t xml:space="preserve"> </w:t>
      </w:r>
      <w:r>
        <w:rPr>
          <w:sz w:val="20"/>
        </w:rPr>
        <w:t>resumir</w:t>
      </w:r>
      <w:r>
        <w:rPr>
          <w:spacing w:val="-2"/>
          <w:sz w:val="20"/>
        </w:rPr>
        <w:t xml:space="preserve"> </w:t>
      </w:r>
      <w:r>
        <w:rPr>
          <w:sz w:val="20"/>
        </w:rPr>
        <w:t>o</w:t>
      </w:r>
      <w:r>
        <w:rPr>
          <w:spacing w:val="-3"/>
          <w:sz w:val="20"/>
        </w:rPr>
        <w:t xml:space="preserve"> </w:t>
      </w:r>
      <w:r>
        <w:rPr>
          <w:sz w:val="20"/>
        </w:rPr>
        <w:t>conflito</w:t>
      </w:r>
      <w:r>
        <w:rPr>
          <w:spacing w:val="-2"/>
          <w:sz w:val="20"/>
        </w:rPr>
        <w:t xml:space="preserve"> </w:t>
      </w:r>
      <w:r>
        <w:rPr>
          <w:sz w:val="20"/>
        </w:rPr>
        <w:t>é</w:t>
      </w:r>
      <w:r>
        <w:rPr>
          <w:spacing w:val="-3"/>
          <w:sz w:val="20"/>
        </w:rPr>
        <w:t xml:space="preserve"> </w:t>
      </w:r>
      <w:r>
        <w:rPr>
          <w:sz w:val="20"/>
        </w:rPr>
        <w:t>conceituar</w:t>
      </w:r>
      <w:r>
        <w:rPr>
          <w:spacing w:val="-1"/>
          <w:sz w:val="20"/>
        </w:rPr>
        <w:t xml:space="preserve"> </w:t>
      </w:r>
      <w:r>
        <w:rPr>
          <w:sz w:val="20"/>
        </w:rPr>
        <w:t>o</w:t>
      </w:r>
      <w:r>
        <w:rPr>
          <w:spacing w:val="-3"/>
          <w:sz w:val="20"/>
        </w:rPr>
        <w:t xml:space="preserve"> </w:t>
      </w:r>
      <w:r>
        <w:rPr>
          <w:sz w:val="20"/>
        </w:rPr>
        <w:t>veto</w:t>
      </w:r>
      <w:r>
        <w:rPr>
          <w:spacing w:val="-4"/>
          <w:sz w:val="20"/>
        </w:rPr>
        <w:t xml:space="preserve"> </w:t>
      </w:r>
      <w:r>
        <w:rPr>
          <w:sz w:val="20"/>
        </w:rPr>
        <w:t>como</w:t>
      </w:r>
      <w:r>
        <w:rPr>
          <w:spacing w:val="-4"/>
          <w:sz w:val="20"/>
        </w:rPr>
        <w:t xml:space="preserve"> </w:t>
      </w:r>
      <w:r>
        <w:rPr>
          <w:sz w:val="20"/>
        </w:rPr>
        <w:t>forma</w:t>
      </w:r>
      <w:r>
        <w:rPr>
          <w:spacing w:val="-2"/>
          <w:sz w:val="20"/>
        </w:rPr>
        <w:t xml:space="preserve"> </w:t>
      </w:r>
      <w:r>
        <w:rPr>
          <w:sz w:val="20"/>
        </w:rPr>
        <w:t>de</w:t>
      </w:r>
      <w:r>
        <w:rPr>
          <w:spacing w:val="-11"/>
          <w:sz w:val="20"/>
        </w:rPr>
        <w:t xml:space="preserve"> </w:t>
      </w:r>
      <w:r>
        <w:rPr>
          <w:sz w:val="20"/>
        </w:rPr>
        <w:t>resolver</w:t>
      </w:r>
      <w:r>
        <w:rPr>
          <w:spacing w:val="-1"/>
          <w:sz w:val="20"/>
        </w:rPr>
        <w:t xml:space="preserve"> </w:t>
      </w:r>
      <w:r>
        <w:rPr>
          <w:sz w:val="20"/>
        </w:rPr>
        <w:t>problemas entre os Poderes que não foram solucionados no regular processo legislativo (FREITAS, 2013). Trata-se de um instituto juspolítico (PEREIRA, 2016) que normatiza aspectos da relação que se estabelece entre Executivo e Legislativo no processo legislativo, sem perder, contudo, seu caráter reativo.</w:t>
      </w:r>
    </w:p>
    <w:p w:rsidR="007259F2" w:rsidRDefault="007259F2">
      <w:pPr>
        <w:jc w:val="both"/>
        <w:rPr>
          <w:sz w:val="20"/>
        </w:rPr>
        <w:sectPr w:rsidR="007259F2">
          <w:pgSz w:w="11910" w:h="16840"/>
          <w:pgMar w:top="1600" w:right="708" w:bottom="1020" w:left="992" w:header="0" w:footer="820" w:gutter="0"/>
          <w:cols w:space="720"/>
        </w:sectPr>
      </w:pPr>
    </w:p>
    <w:p w:rsidR="007259F2" w:rsidRDefault="00E655B4">
      <w:pPr>
        <w:pStyle w:val="Heading2"/>
        <w:numPr>
          <w:ilvl w:val="1"/>
          <w:numId w:val="15"/>
        </w:numPr>
        <w:tabs>
          <w:tab w:val="left" w:pos="1059"/>
        </w:tabs>
        <w:spacing w:before="60"/>
        <w:ind w:left="1059" w:hanging="349"/>
      </w:pPr>
      <w:r>
        <w:rPr>
          <w:spacing w:val="-2"/>
        </w:rPr>
        <w:lastRenderedPageBreak/>
        <w:t>Accountability</w:t>
      </w:r>
    </w:p>
    <w:p w:rsidR="007259F2" w:rsidRDefault="00E655B4">
      <w:pPr>
        <w:pStyle w:val="Corpodetexto"/>
        <w:spacing w:before="115"/>
        <w:ind w:right="421"/>
        <w:jc w:val="right"/>
      </w:pPr>
      <w:r>
        <w:t>Para minimizar esses efeitos, inerentes à esfera política, a Casa Civil contribuí com o auxílio</w:t>
      </w:r>
      <w:r>
        <w:rPr>
          <w:spacing w:val="-3"/>
        </w:rPr>
        <w:t xml:space="preserve"> </w:t>
      </w:r>
      <w:r>
        <w:t>na</w:t>
      </w:r>
      <w:r>
        <w:rPr>
          <w:spacing w:val="-6"/>
        </w:rPr>
        <w:t xml:space="preserve"> </w:t>
      </w:r>
      <w:r>
        <w:t>construção</w:t>
      </w:r>
      <w:r>
        <w:rPr>
          <w:spacing w:val="-1"/>
        </w:rPr>
        <w:t xml:space="preserve"> </w:t>
      </w:r>
      <w:r>
        <w:t>do</w:t>
      </w:r>
      <w:r>
        <w:rPr>
          <w:spacing w:val="-1"/>
        </w:rPr>
        <w:t xml:space="preserve"> </w:t>
      </w:r>
      <w:r>
        <w:t>respaldo</w:t>
      </w:r>
      <w:r>
        <w:rPr>
          <w:spacing w:val="-2"/>
        </w:rPr>
        <w:t xml:space="preserve"> </w:t>
      </w:r>
      <w:r>
        <w:t>formal</w:t>
      </w:r>
      <w:r>
        <w:rPr>
          <w:spacing w:val="-1"/>
        </w:rPr>
        <w:t xml:space="preserve"> </w:t>
      </w:r>
      <w:r>
        <w:t>da</w:t>
      </w:r>
      <w:r>
        <w:rPr>
          <w:spacing w:val="-2"/>
        </w:rPr>
        <w:t xml:space="preserve"> </w:t>
      </w:r>
      <w:r>
        <w:t>discordância</w:t>
      </w:r>
      <w:r>
        <w:rPr>
          <w:spacing w:val="-2"/>
        </w:rPr>
        <w:t xml:space="preserve"> </w:t>
      </w:r>
      <w:r>
        <w:t>do</w:t>
      </w:r>
      <w:r>
        <w:rPr>
          <w:spacing w:val="-1"/>
        </w:rPr>
        <w:t xml:space="preserve"> </w:t>
      </w:r>
      <w:r>
        <w:t>Poder Executivo,</w:t>
      </w:r>
      <w:r>
        <w:rPr>
          <w:spacing w:val="-1"/>
        </w:rPr>
        <w:t xml:space="preserve"> </w:t>
      </w:r>
      <w:r>
        <w:t>que</w:t>
      </w:r>
      <w:r>
        <w:rPr>
          <w:spacing w:val="-2"/>
        </w:rPr>
        <w:t xml:space="preserve"> </w:t>
      </w:r>
      <w:r>
        <w:t>por</w:t>
      </w:r>
      <w:r>
        <w:rPr>
          <w:spacing w:val="-2"/>
        </w:rPr>
        <w:t xml:space="preserve"> </w:t>
      </w:r>
      <w:r>
        <w:t>sua</w:t>
      </w:r>
      <w:r>
        <w:rPr>
          <w:spacing w:val="-2"/>
        </w:rPr>
        <w:t xml:space="preserve"> </w:t>
      </w:r>
      <w:r>
        <w:t>vez também pode ser objeto de questionamento pela população, que poderia gerar mais desgastes.</w:t>
      </w:r>
    </w:p>
    <w:p w:rsidR="007259F2" w:rsidRDefault="00E655B4">
      <w:pPr>
        <w:pStyle w:val="Corpodetexto"/>
        <w:ind w:right="422"/>
      </w:pPr>
      <w:r>
        <w:t>Dessa</w:t>
      </w:r>
      <w:r>
        <w:rPr>
          <w:spacing w:val="-1"/>
        </w:rPr>
        <w:t xml:space="preserve"> </w:t>
      </w:r>
      <w:r>
        <w:t>forma, a</w:t>
      </w:r>
      <w:r>
        <w:rPr>
          <w:spacing w:val="-1"/>
        </w:rPr>
        <w:t xml:space="preserve"> </w:t>
      </w:r>
      <w:r>
        <w:t>realização anterior</w:t>
      </w:r>
      <w:r>
        <w:rPr>
          <w:spacing w:val="-1"/>
        </w:rPr>
        <w:t xml:space="preserve"> </w:t>
      </w:r>
      <w:r>
        <w:t>dos diálogos contribui para</w:t>
      </w:r>
      <w:r>
        <w:rPr>
          <w:spacing w:val="-2"/>
        </w:rPr>
        <w:t xml:space="preserve"> </w:t>
      </w:r>
      <w:r>
        <w:t>a construção de</w:t>
      </w:r>
      <w:r>
        <w:rPr>
          <w:spacing w:val="-1"/>
        </w:rPr>
        <w:t xml:space="preserve"> </w:t>
      </w:r>
      <w:r>
        <w:t>um veto mais robusto, alicerçado em justificativas que não sejam meramente a vontade política do gestor. Isso corrobora</w:t>
      </w:r>
      <w:r>
        <w:rPr>
          <w:spacing w:val="-1"/>
        </w:rPr>
        <w:t xml:space="preserve"> </w:t>
      </w:r>
      <w:r>
        <w:t>para</w:t>
      </w:r>
      <w:r>
        <w:rPr>
          <w:spacing w:val="-3"/>
        </w:rPr>
        <w:t xml:space="preserve"> </w:t>
      </w:r>
      <w:r>
        <w:t>a</w:t>
      </w:r>
      <w:r>
        <w:rPr>
          <w:spacing w:val="-4"/>
        </w:rPr>
        <w:t xml:space="preserve"> </w:t>
      </w:r>
      <w:r>
        <w:t>eficiência</w:t>
      </w:r>
      <w:r>
        <w:rPr>
          <w:spacing w:val="-3"/>
        </w:rPr>
        <w:t xml:space="preserve"> </w:t>
      </w:r>
      <w:r>
        <w:t>do fenômeno</w:t>
      </w:r>
      <w:r>
        <w:rPr>
          <w:spacing w:val="-1"/>
        </w:rPr>
        <w:t xml:space="preserve"> </w:t>
      </w:r>
      <w:r>
        <w:t>denominado</w:t>
      </w:r>
      <w:r>
        <w:rPr>
          <w:spacing w:val="-1"/>
        </w:rPr>
        <w:t xml:space="preserve"> </w:t>
      </w:r>
      <w:r>
        <w:t>de</w:t>
      </w:r>
      <w:r>
        <w:rPr>
          <w:spacing w:val="-2"/>
        </w:rPr>
        <w:t xml:space="preserve"> </w:t>
      </w:r>
      <w:r>
        <w:t>“accountability”, que</w:t>
      </w:r>
      <w:r>
        <w:rPr>
          <w:spacing w:val="-4"/>
        </w:rPr>
        <w:t xml:space="preserve"> </w:t>
      </w:r>
      <w:r>
        <w:t>por sua vez também se traduz em uma das facetas do diálogo institucional.</w:t>
      </w:r>
    </w:p>
    <w:p w:rsidR="007259F2" w:rsidRDefault="00E655B4">
      <w:pPr>
        <w:pStyle w:val="Corpodetexto"/>
        <w:ind w:left="1418" w:firstLine="0"/>
      </w:pPr>
      <w:r>
        <w:t>Nesse</w:t>
      </w:r>
      <w:r>
        <w:rPr>
          <w:spacing w:val="-10"/>
        </w:rPr>
        <w:t xml:space="preserve"> </w:t>
      </w:r>
      <w:r>
        <w:rPr>
          <w:spacing w:val="-2"/>
        </w:rPr>
        <w:t>sentido:</w:t>
      </w:r>
    </w:p>
    <w:p w:rsidR="007259F2" w:rsidRDefault="007259F2">
      <w:pPr>
        <w:pStyle w:val="Corpodetexto"/>
        <w:spacing w:before="2"/>
        <w:ind w:left="0" w:firstLine="0"/>
        <w:jc w:val="left"/>
      </w:pPr>
    </w:p>
    <w:p w:rsidR="007259F2" w:rsidRDefault="00E655B4">
      <w:pPr>
        <w:ind w:left="2978" w:right="424"/>
        <w:jc w:val="both"/>
        <w:rPr>
          <w:sz w:val="20"/>
        </w:rPr>
      </w:pPr>
      <w:r>
        <w:rPr>
          <w:sz w:val="20"/>
        </w:rPr>
        <w:t>No espaço público a accountability está ligada ao ato de tentar equilibrar as demandas sociais às condições de uma governança democrática voltada aos anseios da sociedade. Somente o sistema democrático torna possível colocar em prática mecanismos de fiscalização, de controle e de diálogo entre os atores públicos e civis simultaneamente, através de instrumentos legais de “publicização”, prestação de contas, punição e sanção do gestor ou servidor público em descumprimento normativo. (PEREIRA, 2015)</w:t>
      </w:r>
    </w:p>
    <w:p w:rsidR="007259F2" w:rsidRDefault="007259F2">
      <w:pPr>
        <w:pStyle w:val="Corpodetexto"/>
        <w:spacing w:before="96"/>
        <w:ind w:left="0" w:firstLine="0"/>
        <w:jc w:val="left"/>
        <w:rPr>
          <w:sz w:val="20"/>
        </w:rPr>
      </w:pPr>
    </w:p>
    <w:p w:rsidR="007259F2" w:rsidRDefault="00E655B4">
      <w:pPr>
        <w:pStyle w:val="Corpodetexto"/>
        <w:ind w:right="422"/>
      </w:pPr>
      <w:r>
        <w:t>A “accountability”, por sua vez, pode</w:t>
      </w:r>
      <w:r>
        <w:rPr>
          <w:spacing w:val="-1"/>
        </w:rPr>
        <w:t xml:space="preserve"> </w:t>
      </w:r>
      <w:r>
        <w:t>ser brevemente compreendida entre horizontal</w:t>
      </w:r>
      <w:r>
        <w:rPr>
          <w:spacing w:val="-3"/>
        </w:rPr>
        <w:t xml:space="preserve"> </w:t>
      </w:r>
      <w:r>
        <w:t>e vertical. No tocante ao segundo caso:</w:t>
      </w:r>
    </w:p>
    <w:p w:rsidR="007259F2" w:rsidRDefault="007259F2">
      <w:pPr>
        <w:pStyle w:val="Corpodetexto"/>
        <w:spacing w:before="1"/>
        <w:ind w:left="0" w:firstLine="0"/>
        <w:jc w:val="left"/>
      </w:pPr>
    </w:p>
    <w:p w:rsidR="007259F2" w:rsidRDefault="00E655B4">
      <w:pPr>
        <w:ind w:left="2978" w:right="430"/>
        <w:jc w:val="both"/>
        <w:rPr>
          <w:sz w:val="20"/>
        </w:rPr>
      </w:pPr>
      <w:r>
        <w:rPr>
          <w:sz w:val="20"/>
        </w:rPr>
        <w:t>A dimensão vertical aborda o controle dos gestores públicos pelos eleitores. Já na dimensão horizontal, accountability está relacionada a uma rede de instituições capazes de questionar e punir os agentes públicos pelo cumprimento impróprio de suas responsabilidades.</w:t>
      </w:r>
    </w:p>
    <w:p w:rsidR="007259F2" w:rsidRDefault="007259F2">
      <w:pPr>
        <w:pStyle w:val="Corpodetexto"/>
        <w:spacing w:before="45"/>
        <w:ind w:left="0" w:firstLine="0"/>
        <w:jc w:val="left"/>
        <w:rPr>
          <w:sz w:val="20"/>
        </w:rPr>
      </w:pPr>
    </w:p>
    <w:p w:rsidR="007259F2" w:rsidRDefault="00E655B4">
      <w:pPr>
        <w:pStyle w:val="Corpodetexto"/>
        <w:ind w:right="423"/>
      </w:pPr>
      <w:r>
        <w:t>Assim, a questão dos diálogos relaciona-se com a ideia de controle vertical, ou seja, aquele exercido pelos cidadãos, na medida em que a promoção de uma boa relação entre os Poderes vai de encontro com o desempenho saudável das funções do Estado. Consequentemente, quando se evitam conflitos desnecessários, mantendo-se um funcionamento ainda que minimamente cordial entre as instituições, temos a incidência do controle</w:t>
      </w:r>
      <w:r>
        <w:rPr>
          <w:spacing w:val="-8"/>
        </w:rPr>
        <w:t xml:space="preserve"> </w:t>
      </w:r>
      <w:r>
        <w:t>vertical,</w:t>
      </w:r>
      <w:r>
        <w:rPr>
          <w:spacing w:val="-1"/>
        </w:rPr>
        <w:t xml:space="preserve"> </w:t>
      </w:r>
      <w:r>
        <w:t>providenciando-se</w:t>
      </w:r>
      <w:r>
        <w:rPr>
          <w:spacing w:val="-5"/>
        </w:rPr>
        <w:t xml:space="preserve"> </w:t>
      </w:r>
      <w:r>
        <w:t>à</w:t>
      </w:r>
      <w:r>
        <w:rPr>
          <w:spacing w:val="-8"/>
        </w:rPr>
        <w:t xml:space="preserve"> </w:t>
      </w:r>
      <w:r>
        <w:t>população a</w:t>
      </w:r>
      <w:r>
        <w:rPr>
          <w:spacing w:val="-7"/>
        </w:rPr>
        <w:t xml:space="preserve"> </w:t>
      </w:r>
      <w:r>
        <w:t>almejada</w:t>
      </w:r>
      <w:r>
        <w:rPr>
          <w:spacing w:val="-4"/>
        </w:rPr>
        <w:t xml:space="preserve"> </w:t>
      </w:r>
      <w:r>
        <w:t>normalidade</w:t>
      </w:r>
      <w:r>
        <w:rPr>
          <w:spacing w:val="-6"/>
        </w:rPr>
        <w:t xml:space="preserve"> </w:t>
      </w:r>
      <w:r>
        <w:t>democrática, na</w:t>
      </w:r>
      <w:r>
        <w:rPr>
          <w:spacing w:val="-8"/>
        </w:rPr>
        <w:t xml:space="preserve"> </w:t>
      </w:r>
      <w:r>
        <w:t>qual os agentes públicos se comportam com a postura esperada a altura de seus cargos, evitando conflitos</w:t>
      </w:r>
      <w:r>
        <w:rPr>
          <w:spacing w:val="-5"/>
        </w:rPr>
        <w:t xml:space="preserve"> </w:t>
      </w:r>
      <w:r>
        <w:t>desnecessários</w:t>
      </w:r>
      <w:r>
        <w:rPr>
          <w:spacing w:val="-4"/>
        </w:rPr>
        <w:t xml:space="preserve"> </w:t>
      </w:r>
      <w:r>
        <w:t>e</w:t>
      </w:r>
      <w:r>
        <w:rPr>
          <w:spacing w:val="-2"/>
        </w:rPr>
        <w:t xml:space="preserve"> </w:t>
      </w:r>
      <w:r>
        <w:t>muitas</w:t>
      </w:r>
      <w:r>
        <w:rPr>
          <w:spacing w:val="-3"/>
        </w:rPr>
        <w:t xml:space="preserve"> </w:t>
      </w:r>
      <w:r>
        <w:t>vezes</w:t>
      </w:r>
      <w:r>
        <w:rPr>
          <w:spacing w:val="-2"/>
        </w:rPr>
        <w:t xml:space="preserve"> </w:t>
      </w:r>
      <w:r>
        <w:t>vulgares, dilapidando</w:t>
      </w:r>
      <w:r>
        <w:rPr>
          <w:spacing w:val="-2"/>
        </w:rPr>
        <w:t xml:space="preserve"> </w:t>
      </w:r>
      <w:r>
        <w:t>a</w:t>
      </w:r>
      <w:r>
        <w:rPr>
          <w:spacing w:val="-6"/>
        </w:rPr>
        <w:t xml:space="preserve"> </w:t>
      </w:r>
      <w:r>
        <w:t>imagem</w:t>
      </w:r>
      <w:r>
        <w:rPr>
          <w:spacing w:val="-7"/>
        </w:rPr>
        <w:t xml:space="preserve"> </w:t>
      </w:r>
      <w:r>
        <w:t>e</w:t>
      </w:r>
      <w:r>
        <w:rPr>
          <w:spacing w:val="-1"/>
        </w:rPr>
        <w:t xml:space="preserve"> </w:t>
      </w:r>
      <w:r>
        <w:t>função</w:t>
      </w:r>
      <w:r>
        <w:rPr>
          <w:spacing w:val="-2"/>
        </w:rPr>
        <w:t xml:space="preserve"> </w:t>
      </w:r>
      <w:r>
        <w:t>atribuída</w:t>
      </w:r>
      <w:r>
        <w:rPr>
          <w:spacing w:val="-4"/>
        </w:rPr>
        <w:t xml:space="preserve"> </w:t>
      </w:r>
      <w:r>
        <w:t>aos cargos de Poder.</w:t>
      </w:r>
    </w:p>
    <w:p w:rsidR="007259F2" w:rsidRDefault="00E655B4">
      <w:pPr>
        <w:pStyle w:val="Corpodetexto"/>
        <w:ind w:right="416"/>
      </w:pPr>
      <w:r>
        <w:t>Embora</w:t>
      </w:r>
      <w:r>
        <w:rPr>
          <w:spacing w:val="-15"/>
        </w:rPr>
        <w:t xml:space="preserve"> </w:t>
      </w:r>
      <w:r>
        <w:t>parte</w:t>
      </w:r>
      <w:r>
        <w:rPr>
          <w:spacing w:val="-15"/>
        </w:rPr>
        <w:t xml:space="preserve"> </w:t>
      </w:r>
      <w:r>
        <w:t>da</w:t>
      </w:r>
      <w:r>
        <w:rPr>
          <w:spacing w:val="-15"/>
        </w:rPr>
        <w:t xml:space="preserve"> </w:t>
      </w:r>
      <w:r>
        <w:t>população</w:t>
      </w:r>
      <w:r>
        <w:rPr>
          <w:spacing w:val="-15"/>
        </w:rPr>
        <w:t xml:space="preserve"> </w:t>
      </w:r>
      <w:r>
        <w:t>e</w:t>
      </w:r>
      <w:r>
        <w:rPr>
          <w:spacing w:val="-15"/>
        </w:rPr>
        <w:t xml:space="preserve"> </w:t>
      </w:r>
      <w:r>
        <w:t>dos</w:t>
      </w:r>
      <w:r>
        <w:rPr>
          <w:spacing w:val="-12"/>
        </w:rPr>
        <w:t xml:space="preserve"> </w:t>
      </w:r>
      <w:r>
        <w:t>agentes</w:t>
      </w:r>
      <w:r>
        <w:rPr>
          <w:spacing w:val="-12"/>
        </w:rPr>
        <w:t xml:space="preserve"> </w:t>
      </w:r>
      <w:r>
        <w:t>públicos</w:t>
      </w:r>
      <w:r>
        <w:rPr>
          <w:spacing w:val="-12"/>
        </w:rPr>
        <w:t xml:space="preserve"> </w:t>
      </w:r>
      <w:r>
        <w:t>sinta-se</w:t>
      </w:r>
      <w:r>
        <w:rPr>
          <w:spacing w:val="-13"/>
        </w:rPr>
        <w:t xml:space="preserve"> </w:t>
      </w:r>
      <w:r>
        <w:t>atraídos</w:t>
      </w:r>
      <w:r>
        <w:rPr>
          <w:spacing w:val="-14"/>
        </w:rPr>
        <w:t xml:space="preserve"> </w:t>
      </w:r>
      <w:r>
        <w:t>por</w:t>
      </w:r>
      <w:r>
        <w:rPr>
          <w:spacing w:val="-14"/>
        </w:rPr>
        <w:t xml:space="preserve"> </w:t>
      </w:r>
      <w:r>
        <w:t>conflitos</w:t>
      </w:r>
      <w:r>
        <w:rPr>
          <w:spacing w:val="-11"/>
        </w:rPr>
        <w:t xml:space="preserve"> </w:t>
      </w:r>
      <w:r>
        <w:t>inúteis, cujo propósito único é o de gerar engajamento nas redes sociais, percebe-se que o bom relacionamento</w:t>
      </w:r>
      <w:r>
        <w:rPr>
          <w:spacing w:val="-15"/>
        </w:rPr>
        <w:t xml:space="preserve"> </w:t>
      </w:r>
      <w:r>
        <w:t>entre</w:t>
      </w:r>
      <w:r>
        <w:rPr>
          <w:spacing w:val="-15"/>
        </w:rPr>
        <w:t xml:space="preserve"> </w:t>
      </w:r>
      <w:r>
        <w:t>os</w:t>
      </w:r>
      <w:r>
        <w:rPr>
          <w:spacing w:val="-15"/>
        </w:rPr>
        <w:t xml:space="preserve"> </w:t>
      </w:r>
      <w:r>
        <w:t>Poderes</w:t>
      </w:r>
      <w:r>
        <w:rPr>
          <w:spacing w:val="-15"/>
        </w:rPr>
        <w:t xml:space="preserve"> </w:t>
      </w:r>
      <w:r>
        <w:t>interessa</w:t>
      </w:r>
      <w:r>
        <w:rPr>
          <w:spacing w:val="-15"/>
        </w:rPr>
        <w:t xml:space="preserve"> </w:t>
      </w:r>
      <w:r>
        <w:t>(mudar</w:t>
      </w:r>
      <w:r>
        <w:rPr>
          <w:spacing w:val="-15"/>
        </w:rPr>
        <w:t xml:space="preserve"> </w:t>
      </w:r>
      <w:r>
        <w:t>palavra)</w:t>
      </w:r>
      <w:r>
        <w:rPr>
          <w:spacing w:val="-11"/>
        </w:rPr>
        <w:t xml:space="preserve"> </w:t>
      </w:r>
      <w:r>
        <w:t>mais</w:t>
      </w:r>
      <w:r>
        <w:rPr>
          <w:spacing w:val="-15"/>
        </w:rPr>
        <w:t xml:space="preserve"> </w:t>
      </w:r>
      <w:r>
        <w:t>ao</w:t>
      </w:r>
      <w:r>
        <w:rPr>
          <w:spacing w:val="-8"/>
        </w:rPr>
        <w:t xml:space="preserve"> </w:t>
      </w:r>
      <w:r>
        <w:t>interesse</w:t>
      </w:r>
      <w:r>
        <w:rPr>
          <w:spacing w:val="-13"/>
        </w:rPr>
        <w:t xml:space="preserve"> </w:t>
      </w:r>
      <w:r>
        <w:t>público,</w:t>
      </w:r>
      <w:r>
        <w:rPr>
          <w:spacing w:val="-13"/>
        </w:rPr>
        <w:t xml:space="preserve"> </w:t>
      </w:r>
      <w:r>
        <w:t>na</w:t>
      </w:r>
      <w:r>
        <w:rPr>
          <w:spacing w:val="-15"/>
        </w:rPr>
        <w:t xml:space="preserve"> </w:t>
      </w:r>
      <w:r>
        <w:t>medida em</w:t>
      </w:r>
      <w:r>
        <w:rPr>
          <w:spacing w:val="-14"/>
        </w:rPr>
        <w:t xml:space="preserve"> </w:t>
      </w:r>
      <w:r>
        <w:t>que</w:t>
      </w:r>
      <w:r>
        <w:rPr>
          <w:spacing w:val="-11"/>
        </w:rPr>
        <w:t xml:space="preserve"> </w:t>
      </w:r>
      <w:r>
        <w:t>proporciona</w:t>
      </w:r>
      <w:r>
        <w:rPr>
          <w:spacing w:val="-8"/>
        </w:rPr>
        <w:t xml:space="preserve"> </w:t>
      </w:r>
      <w:r>
        <w:t>a</w:t>
      </w:r>
      <w:r>
        <w:rPr>
          <w:spacing w:val="-9"/>
        </w:rPr>
        <w:t xml:space="preserve"> </w:t>
      </w:r>
      <w:r>
        <w:t>persecução</w:t>
      </w:r>
      <w:r>
        <w:rPr>
          <w:spacing w:val="-1"/>
        </w:rPr>
        <w:t xml:space="preserve"> </w:t>
      </w:r>
      <w:r>
        <w:t>das</w:t>
      </w:r>
      <w:r>
        <w:rPr>
          <w:spacing w:val="-10"/>
        </w:rPr>
        <w:t xml:space="preserve"> </w:t>
      </w:r>
      <w:r>
        <w:t>atividades</w:t>
      </w:r>
      <w:r>
        <w:rPr>
          <w:spacing w:val="-9"/>
        </w:rPr>
        <w:t xml:space="preserve"> </w:t>
      </w:r>
      <w:r>
        <w:t>que</w:t>
      </w:r>
      <w:r>
        <w:rPr>
          <w:spacing w:val="-9"/>
        </w:rPr>
        <w:t xml:space="preserve"> </w:t>
      </w:r>
      <w:r>
        <w:t>possam</w:t>
      </w:r>
      <w:r>
        <w:rPr>
          <w:spacing w:val="-14"/>
        </w:rPr>
        <w:t xml:space="preserve"> </w:t>
      </w:r>
      <w:r>
        <w:t>beneficiar</w:t>
      </w:r>
      <w:r>
        <w:rPr>
          <w:spacing w:val="-6"/>
        </w:rPr>
        <w:t xml:space="preserve"> </w:t>
      </w:r>
      <w:r>
        <w:t>a</w:t>
      </w:r>
      <w:r>
        <w:rPr>
          <w:spacing w:val="-9"/>
        </w:rPr>
        <w:t xml:space="preserve"> </w:t>
      </w:r>
      <w:r>
        <w:t>coletividade,</w:t>
      </w:r>
      <w:r>
        <w:rPr>
          <w:spacing w:val="-5"/>
        </w:rPr>
        <w:t xml:space="preserve"> </w:t>
      </w:r>
      <w:r>
        <w:t>ao</w:t>
      </w:r>
      <w:r>
        <w:rPr>
          <w:spacing w:val="-3"/>
        </w:rPr>
        <w:t xml:space="preserve"> </w:t>
      </w:r>
      <w:r>
        <w:t>invés de</w:t>
      </w:r>
      <w:r>
        <w:rPr>
          <w:spacing w:val="-15"/>
        </w:rPr>
        <w:t xml:space="preserve"> </w:t>
      </w:r>
      <w:r>
        <w:t>gastar</w:t>
      </w:r>
      <w:r>
        <w:rPr>
          <w:spacing w:val="-14"/>
        </w:rPr>
        <w:t xml:space="preserve"> </w:t>
      </w:r>
      <w:r>
        <w:t>esforços</w:t>
      </w:r>
      <w:r>
        <w:rPr>
          <w:spacing w:val="-13"/>
        </w:rPr>
        <w:t xml:space="preserve"> </w:t>
      </w:r>
      <w:r>
        <w:t>em</w:t>
      </w:r>
      <w:r>
        <w:rPr>
          <w:spacing w:val="-15"/>
        </w:rPr>
        <w:t xml:space="preserve"> </w:t>
      </w:r>
      <w:r>
        <w:t>embates</w:t>
      </w:r>
      <w:r>
        <w:rPr>
          <w:spacing w:val="-15"/>
        </w:rPr>
        <w:t xml:space="preserve"> </w:t>
      </w:r>
      <w:r>
        <w:t>cujos</w:t>
      </w:r>
      <w:r>
        <w:rPr>
          <w:spacing w:val="-10"/>
        </w:rPr>
        <w:t xml:space="preserve"> </w:t>
      </w:r>
      <w:r>
        <w:t>resultados</w:t>
      </w:r>
      <w:r>
        <w:rPr>
          <w:spacing w:val="-15"/>
        </w:rPr>
        <w:t xml:space="preserve"> </w:t>
      </w:r>
      <w:r>
        <w:t>dificilmente</w:t>
      </w:r>
      <w:r>
        <w:rPr>
          <w:spacing w:val="-13"/>
        </w:rPr>
        <w:t xml:space="preserve"> </w:t>
      </w:r>
      <w:r>
        <w:t>se</w:t>
      </w:r>
      <w:r>
        <w:rPr>
          <w:spacing w:val="-14"/>
        </w:rPr>
        <w:t xml:space="preserve"> </w:t>
      </w:r>
      <w:r>
        <w:t>mostram</w:t>
      </w:r>
      <w:r>
        <w:rPr>
          <w:spacing w:val="-15"/>
        </w:rPr>
        <w:t xml:space="preserve"> </w:t>
      </w:r>
      <w:r>
        <w:t>úteis</w:t>
      </w:r>
      <w:r>
        <w:rPr>
          <w:spacing w:val="-12"/>
        </w:rPr>
        <w:t xml:space="preserve"> </w:t>
      </w:r>
      <w:r>
        <w:t>e</w:t>
      </w:r>
      <w:r>
        <w:rPr>
          <w:spacing w:val="-14"/>
        </w:rPr>
        <w:t xml:space="preserve"> </w:t>
      </w:r>
      <w:r>
        <w:t>proveitosos,</w:t>
      </w:r>
      <w:r>
        <w:rPr>
          <w:spacing w:val="-12"/>
        </w:rPr>
        <w:t xml:space="preserve"> </w:t>
      </w:r>
      <w:r>
        <w:t>não gerando embates polêmicos necessariamente frutos.</w:t>
      </w:r>
    </w:p>
    <w:p w:rsidR="007259F2" w:rsidRDefault="00E655B4">
      <w:pPr>
        <w:pStyle w:val="Corpodetexto"/>
        <w:spacing w:before="1"/>
        <w:ind w:right="426"/>
      </w:pPr>
      <w:r>
        <w:t>No tocante ao controle horizontal, ligado àquele realizado pelas próprias instituições, temos por evidência o próprio sistema de pesos e contrapesos. Atua, dessa forma, o Poder Executivo municipal em sua capacidade de vetar projetos de lei aprovados na Câmara dos Vereadores. Ao mesmo tempo, esta observa as limitações à atuação do Prefeito, sendo responsável pela fiscalização de seus atos.</w:t>
      </w:r>
    </w:p>
    <w:p w:rsidR="007259F2" w:rsidRDefault="00E655B4">
      <w:pPr>
        <w:pStyle w:val="Corpodetexto"/>
        <w:ind w:right="424"/>
      </w:pPr>
      <w:r>
        <w:t>Seguindo esse raciocínio, interessante mencionar as seguintes considerações (BUTA; TEIXEIRA; SCHURGELIES, 2018):</w:t>
      </w:r>
    </w:p>
    <w:p w:rsidR="007259F2" w:rsidRDefault="007259F2">
      <w:pPr>
        <w:pStyle w:val="Corpodetexto"/>
        <w:spacing w:before="1"/>
        <w:ind w:left="0" w:firstLine="0"/>
        <w:jc w:val="left"/>
      </w:pPr>
    </w:p>
    <w:p w:rsidR="007259F2" w:rsidRDefault="00E655B4">
      <w:pPr>
        <w:spacing w:before="1"/>
        <w:ind w:left="2978" w:right="426"/>
        <w:jc w:val="both"/>
        <w:rPr>
          <w:sz w:val="20"/>
        </w:rPr>
      </w:pPr>
      <w:r>
        <w:rPr>
          <w:sz w:val="20"/>
        </w:rPr>
        <w:t>Sistema de Freios e Contrapesos consiste no controle do poder pelo próprio poder, sendo que cada Poder teria autonomia para exercer sua função, mas seria controlado pelos</w:t>
      </w:r>
      <w:r>
        <w:rPr>
          <w:spacing w:val="8"/>
          <w:sz w:val="20"/>
        </w:rPr>
        <w:t xml:space="preserve"> </w:t>
      </w:r>
      <w:r>
        <w:rPr>
          <w:sz w:val="20"/>
        </w:rPr>
        <w:t>outros</w:t>
      </w:r>
      <w:r>
        <w:rPr>
          <w:spacing w:val="8"/>
          <w:sz w:val="20"/>
        </w:rPr>
        <w:t xml:space="preserve"> </w:t>
      </w:r>
      <w:r>
        <w:rPr>
          <w:sz w:val="20"/>
        </w:rPr>
        <w:t>poderes.</w:t>
      </w:r>
      <w:r>
        <w:rPr>
          <w:spacing w:val="9"/>
          <w:sz w:val="20"/>
        </w:rPr>
        <w:t xml:space="preserve"> </w:t>
      </w:r>
      <w:r>
        <w:rPr>
          <w:sz w:val="20"/>
        </w:rPr>
        <w:t>Isso</w:t>
      </w:r>
      <w:r>
        <w:rPr>
          <w:spacing w:val="11"/>
          <w:sz w:val="20"/>
        </w:rPr>
        <w:t xml:space="preserve"> </w:t>
      </w:r>
      <w:r>
        <w:rPr>
          <w:sz w:val="20"/>
        </w:rPr>
        <w:t>serviria</w:t>
      </w:r>
      <w:r>
        <w:rPr>
          <w:spacing w:val="9"/>
          <w:sz w:val="20"/>
        </w:rPr>
        <w:t xml:space="preserve"> </w:t>
      </w:r>
      <w:r>
        <w:rPr>
          <w:sz w:val="20"/>
        </w:rPr>
        <w:t>para</w:t>
      </w:r>
      <w:r>
        <w:rPr>
          <w:spacing w:val="9"/>
          <w:sz w:val="20"/>
        </w:rPr>
        <w:t xml:space="preserve"> </w:t>
      </w:r>
      <w:r>
        <w:rPr>
          <w:sz w:val="20"/>
        </w:rPr>
        <w:t>evitar</w:t>
      </w:r>
      <w:r>
        <w:rPr>
          <w:spacing w:val="10"/>
          <w:sz w:val="20"/>
        </w:rPr>
        <w:t xml:space="preserve"> </w:t>
      </w:r>
      <w:r>
        <w:rPr>
          <w:sz w:val="20"/>
        </w:rPr>
        <w:t>que</w:t>
      </w:r>
      <w:r>
        <w:rPr>
          <w:spacing w:val="12"/>
          <w:sz w:val="20"/>
        </w:rPr>
        <w:t xml:space="preserve"> </w:t>
      </w:r>
      <w:r>
        <w:rPr>
          <w:sz w:val="20"/>
        </w:rPr>
        <w:t>houvesse</w:t>
      </w:r>
      <w:r>
        <w:rPr>
          <w:spacing w:val="19"/>
          <w:sz w:val="20"/>
        </w:rPr>
        <w:t xml:space="preserve"> </w:t>
      </w:r>
      <w:r>
        <w:rPr>
          <w:sz w:val="20"/>
        </w:rPr>
        <w:t>abusos</w:t>
      </w:r>
      <w:r>
        <w:rPr>
          <w:spacing w:val="11"/>
          <w:sz w:val="20"/>
        </w:rPr>
        <w:t xml:space="preserve"> </w:t>
      </w:r>
      <w:r>
        <w:rPr>
          <w:sz w:val="20"/>
        </w:rPr>
        <w:t>no</w:t>
      </w:r>
      <w:r>
        <w:rPr>
          <w:spacing w:val="10"/>
          <w:sz w:val="20"/>
        </w:rPr>
        <w:t xml:space="preserve"> </w:t>
      </w:r>
      <w:r>
        <w:rPr>
          <w:sz w:val="20"/>
        </w:rPr>
        <w:t>exercício</w:t>
      </w:r>
      <w:r>
        <w:rPr>
          <w:spacing w:val="10"/>
          <w:sz w:val="20"/>
        </w:rPr>
        <w:t xml:space="preserve"> </w:t>
      </w:r>
      <w:r>
        <w:rPr>
          <w:spacing w:val="-5"/>
          <w:sz w:val="20"/>
        </w:rPr>
        <w:t>do</w:t>
      </w:r>
    </w:p>
    <w:p w:rsidR="007259F2" w:rsidRDefault="007259F2">
      <w:pPr>
        <w:jc w:val="both"/>
        <w:rPr>
          <w:sz w:val="20"/>
        </w:rPr>
        <w:sectPr w:rsidR="007259F2">
          <w:pgSz w:w="11910" w:h="16840"/>
          <w:pgMar w:top="1620" w:right="708" w:bottom="1020" w:left="992" w:header="0" w:footer="820" w:gutter="0"/>
          <w:cols w:space="720"/>
        </w:sectPr>
      </w:pPr>
    </w:p>
    <w:p w:rsidR="007259F2" w:rsidRDefault="00E655B4">
      <w:pPr>
        <w:spacing w:before="77"/>
        <w:ind w:left="2978" w:right="429"/>
        <w:jc w:val="both"/>
        <w:rPr>
          <w:sz w:val="20"/>
        </w:rPr>
      </w:pPr>
      <w:r>
        <w:rPr>
          <w:sz w:val="20"/>
        </w:rPr>
        <w:lastRenderedPageBreak/>
        <w:t>poder por qualquer dos Poderes (Executivo, Legislativo e Judiciário). Desta forma, embora cada poder seja independente e autônomo, deve trabalhar em harmonia com os</w:t>
      </w:r>
      <w:r>
        <w:rPr>
          <w:spacing w:val="40"/>
          <w:sz w:val="20"/>
        </w:rPr>
        <w:t xml:space="preserve"> </w:t>
      </w:r>
      <w:r>
        <w:rPr>
          <w:sz w:val="20"/>
        </w:rPr>
        <w:t>demais</w:t>
      </w:r>
      <w:r>
        <w:rPr>
          <w:spacing w:val="40"/>
          <w:sz w:val="20"/>
        </w:rPr>
        <w:t xml:space="preserve"> </w:t>
      </w:r>
      <w:r>
        <w:rPr>
          <w:sz w:val="20"/>
        </w:rPr>
        <w:t>Poderes.</w:t>
      </w:r>
    </w:p>
    <w:p w:rsidR="007259F2" w:rsidRDefault="007259F2">
      <w:pPr>
        <w:pStyle w:val="Corpodetexto"/>
        <w:spacing w:before="41"/>
        <w:ind w:left="0" w:firstLine="0"/>
        <w:jc w:val="left"/>
        <w:rPr>
          <w:sz w:val="20"/>
        </w:rPr>
      </w:pPr>
    </w:p>
    <w:p w:rsidR="007259F2" w:rsidRDefault="00E655B4">
      <w:pPr>
        <w:pStyle w:val="Corpodetexto"/>
        <w:ind w:right="421"/>
      </w:pPr>
      <w:r>
        <w:t>Tal</w:t>
      </w:r>
      <w:r>
        <w:rPr>
          <w:spacing w:val="-5"/>
        </w:rPr>
        <w:t xml:space="preserve"> </w:t>
      </w:r>
      <w:r>
        <w:t>ideia</w:t>
      </w:r>
      <w:r>
        <w:rPr>
          <w:spacing w:val="-4"/>
        </w:rPr>
        <w:t xml:space="preserve"> </w:t>
      </w:r>
      <w:r>
        <w:t>reforça</w:t>
      </w:r>
      <w:r>
        <w:rPr>
          <w:spacing w:val="-1"/>
        </w:rPr>
        <w:t xml:space="preserve"> </w:t>
      </w:r>
      <w:r>
        <w:t>a noção de</w:t>
      </w:r>
      <w:r>
        <w:rPr>
          <w:spacing w:val="-4"/>
        </w:rPr>
        <w:t xml:space="preserve"> </w:t>
      </w:r>
      <w:r>
        <w:t>cooperação existente na lógica</w:t>
      </w:r>
      <w:r>
        <w:rPr>
          <w:spacing w:val="-4"/>
        </w:rPr>
        <w:t xml:space="preserve"> </w:t>
      </w:r>
      <w:r>
        <w:t>dos</w:t>
      </w:r>
      <w:r>
        <w:rPr>
          <w:spacing w:val="-1"/>
        </w:rPr>
        <w:t xml:space="preserve"> </w:t>
      </w:r>
      <w:r>
        <w:t>diálogos institucionais, na medida em que a relação harmônica entre os Poderes pressupõe a comunicação constante entre eles, lembrando que as funções do Estado não trabalham de forma completamente apartadas</w:t>
      </w:r>
      <w:r>
        <w:rPr>
          <w:spacing w:val="-3"/>
        </w:rPr>
        <w:t xml:space="preserve"> </w:t>
      </w:r>
      <w:r>
        <w:t>umas</w:t>
      </w:r>
      <w:r>
        <w:rPr>
          <w:spacing w:val="-4"/>
        </w:rPr>
        <w:t xml:space="preserve"> </w:t>
      </w:r>
      <w:r>
        <w:t>das</w:t>
      </w:r>
      <w:r>
        <w:rPr>
          <w:spacing w:val="-1"/>
        </w:rPr>
        <w:t xml:space="preserve"> </w:t>
      </w:r>
      <w:r>
        <w:t>outras.</w:t>
      </w:r>
      <w:r>
        <w:rPr>
          <w:spacing w:val="-1"/>
        </w:rPr>
        <w:t xml:space="preserve"> </w:t>
      </w:r>
      <w:r>
        <w:t>Essa</w:t>
      </w:r>
      <w:r>
        <w:rPr>
          <w:spacing w:val="-1"/>
        </w:rPr>
        <w:t xml:space="preserve"> </w:t>
      </w:r>
      <w:r>
        <w:t>dinâmica</w:t>
      </w:r>
      <w:r>
        <w:rPr>
          <w:spacing w:val="-2"/>
        </w:rPr>
        <w:t xml:space="preserve"> </w:t>
      </w:r>
      <w:r>
        <w:t>é</w:t>
      </w:r>
      <w:r>
        <w:rPr>
          <w:spacing w:val="-2"/>
        </w:rPr>
        <w:t xml:space="preserve"> </w:t>
      </w:r>
      <w:r>
        <w:t>causa e</w:t>
      </w:r>
      <w:r>
        <w:rPr>
          <w:spacing w:val="-1"/>
        </w:rPr>
        <w:t xml:space="preserve"> </w:t>
      </w:r>
      <w:r>
        <w:t>consequência</w:t>
      </w:r>
      <w:r>
        <w:rPr>
          <w:spacing w:val="-2"/>
        </w:rPr>
        <w:t xml:space="preserve"> </w:t>
      </w:r>
      <w:r>
        <w:t>da</w:t>
      </w:r>
      <w:r>
        <w:rPr>
          <w:spacing w:val="-2"/>
        </w:rPr>
        <w:t xml:space="preserve"> </w:t>
      </w:r>
      <w:r>
        <w:t>necessidade</w:t>
      </w:r>
      <w:r>
        <w:rPr>
          <w:spacing w:val="-1"/>
        </w:rPr>
        <w:t xml:space="preserve"> </w:t>
      </w:r>
      <w:r>
        <w:t>de</w:t>
      </w:r>
      <w:r>
        <w:rPr>
          <w:spacing w:val="-2"/>
        </w:rPr>
        <w:t xml:space="preserve"> </w:t>
      </w:r>
      <w:r>
        <w:t>equilíbrio entre os Poderes e da contenção mútua destes.</w:t>
      </w:r>
    </w:p>
    <w:p w:rsidR="007259F2" w:rsidRDefault="00E655B4">
      <w:pPr>
        <w:pStyle w:val="Corpodetexto"/>
        <w:ind w:right="422"/>
      </w:pPr>
      <w:r>
        <w:t>O controle, assim, não ocorre somente nas intervenções clássicas consagradas no ordenamento</w:t>
      </w:r>
      <w:r>
        <w:rPr>
          <w:spacing w:val="-3"/>
        </w:rPr>
        <w:t xml:space="preserve"> </w:t>
      </w:r>
      <w:r>
        <w:t>jurídico,</w:t>
      </w:r>
      <w:r>
        <w:rPr>
          <w:spacing w:val="-5"/>
        </w:rPr>
        <w:t xml:space="preserve"> </w:t>
      </w:r>
      <w:r>
        <w:t>como</w:t>
      </w:r>
      <w:r>
        <w:rPr>
          <w:spacing w:val="-3"/>
        </w:rPr>
        <w:t xml:space="preserve"> </w:t>
      </w:r>
      <w:r>
        <w:t>nos</w:t>
      </w:r>
      <w:r>
        <w:rPr>
          <w:spacing w:val="-10"/>
        </w:rPr>
        <w:t xml:space="preserve"> </w:t>
      </w:r>
      <w:r>
        <w:t>casos</w:t>
      </w:r>
      <w:r>
        <w:rPr>
          <w:spacing w:val="-10"/>
        </w:rPr>
        <w:t xml:space="preserve"> </w:t>
      </w:r>
      <w:r>
        <w:t>de</w:t>
      </w:r>
      <w:r>
        <w:rPr>
          <w:spacing w:val="-9"/>
        </w:rPr>
        <w:t xml:space="preserve"> </w:t>
      </w:r>
      <w:r>
        <w:t>veto,</w:t>
      </w:r>
      <w:r>
        <w:rPr>
          <w:spacing w:val="-5"/>
        </w:rPr>
        <w:t xml:space="preserve"> </w:t>
      </w:r>
      <w:r>
        <w:t>anulação</w:t>
      </w:r>
      <w:r>
        <w:rPr>
          <w:spacing w:val="-3"/>
        </w:rPr>
        <w:t xml:space="preserve"> </w:t>
      </w:r>
      <w:r>
        <w:t>de</w:t>
      </w:r>
      <w:r>
        <w:rPr>
          <w:spacing w:val="-9"/>
        </w:rPr>
        <w:t xml:space="preserve"> </w:t>
      </w:r>
      <w:r>
        <w:t>atos</w:t>
      </w:r>
      <w:r>
        <w:rPr>
          <w:spacing w:val="-10"/>
        </w:rPr>
        <w:t xml:space="preserve"> </w:t>
      </w:r>
      <w:r>
        <w:t>do</w:t>
      </w:r>
      <w:r>
        <w:rPr>
          <w:spacing w:val="-3"/>
        </w:rPr>
        <w:t xml:space="preserve"> </w:t>
      </w:r>
      <w:r>
        <w:t>executivo</w:t>
      </w:r>
      <w:r>
        <w:rPr>
          <w:spacing w:val="-2"/>
        </w:rPr>
        <w:t xml:space="preserve"> </w:t>
      </w:r>
      <w:r>
        <w:t>ou</w:t>
      </w:r>
      <w:r>
        <w:rPr>
          <w:spacing w:val="-8"/>
        </w:rPr>
        <w:t xml:space="preserve"> </w:t>
      </w:r>
      <w:r>
        <w:t>declaração</w:t>
      </w:r>
      <w:r>
        <w:rPr>
          <w:spacing w:val="-3"/>
        </w:rPr>
        <w:t xml:space="preserve"> </w:t>
      </w:r>
      <w:r>
        <w:t>de inconstitucionalidade de leis pelo judiciário, alcançando o sistema de “checks and balances” tanto o campo da coordenação política quanto da troca de informações de ordem técnica.</w:t>
      </w:r>
    </w:p>
    <w:p w:rsidR="007259F2" w:rsidRDefault="00E655B4">
      <w:pPr>
        <w:pStyle w:val="Corpodetexto"/>
        <w:spacing w:before="1"/>
        <w:ind w:right="424"/>
      </w:pPr>
      <w:r>
        <w:t>Ainda que indiretamente, a prática dos diálogos resulta numa maior vigilância da estabilidade entre as funções estatais, pois possibilita que as instituições estejam constantemente atualizadas das movimentações umas das outras, tomando ciência das mais variadas questões de interesse mútuo e das possíveis decisões que podem acarretar em consequências para todas elas, permitindo assim que estas desenvolvam soluções conjuntamente, evitando surpresas desnecessárias.</w:t>
      </w:r>
    </w:p>
    <w:p w:rsidR="007259F2" w:rsidRDefault="00E655B4">
      <w:pPr>
        <w:pStyle w:val="Corpodetexto"/>
        <w:ind w:right="421"/>
      </w:pPr>
      <w:r>
        <w:t>Concomitantemente, tais tarefas se constituem uma verdadeira obrigação. Essa afirmação</w:t>
      </w:r>
      <w:r>
        <w:rPr>
          <w:spacing w:val="-1"/>
        </w:rPr>
        <w:t xml:space="preserve"> </w:t>
      </w:r>
      <w:r>
        <w:t>se justifica</w:t>
      </w:r>
      <w:r>
        <w:rPr>
          <w:spacing w:val="-5"/>
        </w:rPr>
        <w:t xml:space="preserve"> </w:t>
      </w:r>
      <w:r>
        <w:t>ao pensar</w:t>
      </w:r>
      <w:r>
        <w:rPr>
          <w:spacing w:val="-4"/>
        </w:rPr>
        <w:t xml:space="preserve"> </w:t>
      </w:r>
      <w:r>
        <w:t>que</w:t>
      </w:r>
      <w:r>
        <w:rPr>
          <w:spacing w:val="-4"/>
        </w:rPr>
        <w:t xml:space="preserve"> </w:t>
      </w:r>
      <w:r>
        <w:t>o</w:t>
      </w:r>
      <w:r>
        <w:rPr>
          <w:spacing w:val="-1"/>
        </w:rPr>
        <w:t xml:space="preserve"> </w:t>
      </w:r>
      <w:r>
        <w:t>poder</w:t>
      </w:r>
      <w:r>
        <w:rPr>
          <w:spacing w:val="-6"/>
        </w:rPr>
        <w:t xml:space="preserve"> </w:t>
      </w:r>
      <w:r>
        <w:t>não</w:t>
      </w:r>
      <w:r>
        <w:rPr>
          <w:spacing w:val="-1"/>
        </w:rPr>
        <w:t xml:space="preserve"> </w:t>
      </w:r>
      <w:r>
        <w:t>pode</w:t>
      </w:r>
      <w:r>
        <w:rPr>
          <w:spacing w:val="-6"/>
        </w:rPr>
        <w:t xml:space="preserve"> </w:t>
      </w:r>
      <w:r>
        <w:t>ser</w:t>
      </w:r>
      <w:r>
        <w:rPr>
          <w:spacing w:val="-2"/>
        </w:rPr>
        <w:t xml:space="preserve"> </w:t>
      </w:r>
      <w:r>
        <w:t>exercido,</w:t>
      </w:r>
      <w:r>
        <w:rPr>
          <w:spacing w:val="-3"/>
        </w:rPr>
        <w:t xml:space="preserve"> </w:t>
      </w:r>
      <w:r>
        <w:t>democraticamente, por</w:t>
      </w:r>
      <w:r>
        <w:rPr>
          <w:spacing w:val="-4"/>
        </w:rPr>
        <w:t xml:space="preserve"> </w:t>
      </w:r>
      <w:r>
        <w:t>um único órgão, devendo, portanto, se relacionar com os demais para funcionar e exercer suas atividades. Ao mesmo tempo, a imposição constitucional dos pesos e contrapesos invoca a exigência dos diálogos, pois somente havendo contato entre os Poderes é que eles podem se fiscalizar, exigindo e fornecendo prestações de contas entre si, enviando comunicações e discutindo questões de interesse comum.</w:t>
      </w:r>
    </w:p>
    <w:p w:rsidR="007259F2" w:rsidRDefault="00E655B4">
      <w:pPr>
        <w:pStyle w:val="Corpodetexto"/>
        <w:ind w:right="422"/>
      </w:pPr>
      <w:r>
        <w:t>Assim, ainda no tocante à “accountability”, destacamos as seguintes considerações no tocante ao avanço desse conceito, pontuadas por Bernardo Oliveira Buta, Marco Antonio Carvalho Teixeira e Vinicius Schurgelies (2018) no artigo “Accountability nos atos da administração pública federal brasileira”:</w:t>
      </w:r>
    </w:p>
    <w:p w:rsidR="007259F2" w:rsidRDefault="007259F2">
      <w:pPr>
        <w:pStyle w:val="Corpodetexto"/>
        <w:spacing w:before="2"/>
        <w:ind w:left="0" w:firstLine="0"/>
        <w:jc w:val="left"/>
      </w:pPr>
    </w:p>
    <w:p w:rsidR="007259F2" w:rsidRDefault="00E655B4">
      <w:pPr>
        <w:ind w:left="2978" w:right="418"/>
        <w:jc w:val="both"/>
        <w:rPr>
          <w:sz w:val="20"/>
        </w:rPr>
      </w:pPr>
      <w:r>
        <w:rPr>
          <w:sz w:val="20"/>
        </w:rPr>
        <w:t>Recentemente, foi proposto um modelo que facilita o entendimento do complexo quadro</w:t>
      </w:r>
      <w:r>
        <w:rPr>
          <w:spacing w:val="-13"/>
          <w:sz w:val="20"/>
        </w:rPr>
        <w:t xml:space="preserve"> </w:t>
      </w:r>
      <w:r>
        <w:rPr>
          <w:sz w:val="20"/>
        </w:rPr>
        <w:t>em</w:t>
      </w:r>
      <w:r>
        <w:rPr>
          <w:spacing w:val="-12"/>
          <w:sz w:val="20"/>
        </w:rPr>
        <w:t xml:space="preserve"> </w:t>
      </w:r>
      <w:r>
        <w:rPr>
          <w:sz w:val="20"/>
        </w:rPr>
        <w:t>que</w:t>
      </w:r>
      <w:r>
        <w:rPr>
          <w:spacing w:val="-13"/>
          <w:sz w:val="20"/>
        </w:rPr>
        <w:t xml:space="preserve"> </w:t>
      </w:r>
      <w:r>
        <w:rPr>
          <w:sz w:val="20"/>
        </w:rPr>
        <w:t>o</w:t>
      </w:r>
      <w:r>
        <w:rPr>
          <w:spacing w:val="-12"/>
          <w:sz w:val="20"/>
        </w:rPr>
        <w:t xml:space="preserve"> </w:t>
      </w:r>
      <w:r>
        <w:rPr>
          <w:sz w:val="20"/>
        </w:rPr>
        <w:t>construto</w:t>
      </w:r>
      <w:r>
        <w:rPr>
          <w:spacing w:val="-11"/>
          <w:sz w:val="20"/>
        </w:rPr>
        <w:t xml:space="preserve"> </w:t>
      </w:r>
      <w:r>
        <w:rPr>
          <w:sz w:val="20"/>
        </w:rPr>
        <w:t>accountability</w:t>
      </w:r>
      <w:r>
        <w:rPr>
          <w:spacing w:val="-12"/>
          <w:sz w:val="20"/>
        </w:rPr>
        <w:t xml:space="preserve"> </w:t>
      </w:r>
      <w:r>
        <w:rPr>
          <w:sz w:val="20"/>
        </w:rPr>
        <w:t>está</w:t>
      </w:r>
      <w:r>
        <w:rPr>
          <w:spacing w:val="-9"/>
          <w:sz w:val="20"/>
        </w:rPr>
        <w:t xml:space="preserve"> </w:t>
      </w:r>
      <w:r>
        <w:rPr>
          <w:sz w:val="20"/>
        </w:rPr>
        <w:t>inserido,</w:t>
      </w:r>
      <w:r>
        <w:rPr>
          <w:spacing w:val="-7"/>
          <w:sz w:val="20"/>
        </w:rPr>
        <w:t xml:space="preserve"> </w:t>
      </w:r>
      <w:r>
        <w:rPr>
          <w:sz w:val="20"/>
        </w:rPr>
        <w:t>o</w:t>
      </w:r>
      <w:r>
        <w:rPr>
          <w:spacing w:val="-11"/>
          <w:sz w:val="20"/>
        </w:rPr>
        <w:t xml:space="preserve"> </w:t>
      </w:r>
      <w:r>
        <w:rPr>
          <w:sz w:val="20"/>
        </w:rPr>
        <w:t>qual</w:t>
      </w:r>
      <w:r>
        <w:rPr>
          <w:spacing w:val="-12"/>
          <w:sz w:val="20"/>
        </w:rPr>
        <w:t xml:space="preserve"> </w:t>
      </w:r>
      <w:r>
        <w:rPr>
          <w:sz w:val="20"/>
        </w:rPr>
        <w:t>abrange</w:t>
      </w:r>
      <w:r>
        <w:rPr>
          <w:spacing w:val="-10"/>
          <w:sz w:val="20"/>
        </w:rPr>
        <w:t xml:space="preserve"> </w:t>
      </w:r>
      <w:r>
        <w:rPr>
          <w:sz w:val="20"/>
        </w:rPr>
        <w:t>quatro</w:t>
      </w:r>
      <w:r>
        <w:rPr>
          <w:spacing w:val="-11"/>
          <w:sz w:val="20"/>
        </w:rPr>
        <w:t xml:space="preserve"> </w:t>
      </w:r>
      <w:r>
        <w:rPr>
          <w:sz w:val="20"/>
        </w:rPr>
        <w:t>estágios de interação entre Estado e sociedade para a coprodução de controle e informação: clássico, transversal, sistêmico e difuso. O estágio de accountability clássica seria aquele</w:t>
      </w:r>
      <w:r>
        <w:rPr>
          <w:spacing w:val="-2"/>
          <w:sz w:val="20"/>
        </w:rPr>
        <w:t xml:space="preserve"> </w:t>
      </w:r>
      <w:r>
        <w:rPr>
          <w:sz w:val="20"/>
        </w:rPr>
        <w:t>em</w:t>
      </w:r>
      <w:r>
        <w:rPr>
          <w:spacing w:val="-12"/>
          <w:sz w:val="20"/>
        </w:rPr>
        <w:t xml:space="preserve"> </w:t>
      </w:r>
      <w:r>
        <w:rPr>
          <w:sz w:val="20"/>
        </w:rPr>
        <w:t>que</w:t>
      </w:r>
      <w:r>
        <w:rPr>
          <w:spacing w:val="-7"/>
          <w:sz w:val="20"/>
        </w:rPr>
        <w:t xml:space="preserve"> </w:t>
      </w:r>
      <w:r>
        <w:rPr>
          <w:sz w:val="20"/>
        </w:rPr>
        <w:t>não</w:t>
      </w:r>
      <w:r>
        <w:rPr>
          <w:spacing w:val="-6"/>
          <w:sz w:val="20"/>
        </w:rPr>
        <w:t xml:space="preserve"> </w:t>
      </w:r>
      <w:r>
        <w:rPr>
          <w:sz w:val="20"/>
        </w:rPr>
        <w:t>há</w:t>
      </w:r>
      <w:r>
        <w:rPr>
          <w:spacing w:val="-3"/>
          <w:sz w:val="20"/>
        </w:rPr>
        <w:t xml:space="preserve"> </w:t>
      </w:r>
      <w:r>
        <w:rPr>
          <w:sz w:val="20"/>
        </w:rPr>
        <w:t>coprodução</w:t>
      </w:r>
      <w:r>
        <w:rPr>
          <w:spacing w:val="-3"/>
          <w:sz w:val="20"/>
        </w:rPr>
        <w:t xml:space="preserve"> </w:t>
      </w:r>
      <w:r>
        <w:rPr>
          <w:sz w:val="20"/>
        </w:rPr>
        <w:t>de</w:t>
      </w:r>
      <w:r>
        <w:rPr>
          <w:spacing w:val="-3"/>
          <w:sz w:val="20"/>
        </w:rPr>
        <w:t xml:space="preserve"> </w:t>
      </w:r>
      <w:r>
        <w:rPr>
          <w:sz w:val="20"/>
        </w:rPr>
        <w:t>controle</w:t>
      </w:r>
      <w:r>
        <w:rPr>
          <w:spacing w:val="-2"/>
          <w:sz w:val="20"/>
        </w:rPr>
        <w:t xml:space="preserve"> </w:t>
      </w:r>
      <w:r>
        <w:rPr>
          <w:sz w:val="20"/>
        </w:rPr>
        <w:t>e</w:t>
      </w:r>
      <w:r>
        <w:rPr>
          <w:spacing w:val="-8"/>
          <w:sz w:val="20"/>
        </w:rPr>
        <w:t xml:space="preserve"> </w:t>
      </w:r>
      <w:r>
        <w:rPr>
          <w:sz w:val="20"/>
        </w:rPr>
        <w:t>informação</w:t>
      </w:r>
      <w:r>
        <w:rPr>
          <w:spacing w:val="-3"/>
          <w:sz w:val="20"/>
        </w:rPr>
        <w:t xml:space="preserve"> </w:t>
      </w:r>
      <w:r>
        <w:rPr>
          <w:sz w:val="20"/>
        </w:rPr>
        <w:t>entre</w:t>
      </w:r>
      <w:r>
        <w:rPr>
          <w:spacing w:val="-6"/>
          <w:sz w:val="20"/>
        </w:rPr>
        <w:t xml:space="preserve"> </w:t>
      </w:r>
      <w:r>
        <w:rPr>
          <w:sz w:val="20"/>
        </w:rPr>
        <w:t>Estado</w:t>
      </w:r>
      <w:r>
        <w:rPr>
          <w:spacing w:val="-4"/>
          <w:sz w:val="20"/>
        </w:rPr>
        <w:t xml:space="preserve"> </w:t>
      </w:r>
      <w:r>
        <w:rPr>
          <w:sz w:val="20"/>
        </w:rPr>
        <w:t>e</w:t>
      </w:r>
      <w:r>
        <w:rPr>
          <w:spacing w:val="-3"/>
          <w:sz w:val="20"/>
        </w:rPr>
        <w:t xml:space="preserve"> </w:t>
      </w:r>
      <w:r>
        <w:rPr>
          <w:sz w:val="20"/>
        </w:rPr>
        <w:t>sociedade. Nesse estágio, accountability vertical apresenta-se dissociada da horizontal. Em seguida, o estágio transversal envolve alguma interação entre os mecanismos horizontais e verticais de accountability para produção, disseminação e uso da informação. O estágio sistêmico, por sua vez, abrange o trabalho conjunto e com regras</w:t>
      </w:r>
      <w:r>
        <w:rPr>
          <w:spacing w:val="-1"/>
          <w:sz w:val="20"/>
        </w:rPr>
        <w:t xml:space="preserve"> </w:t>
      </w:r>
      <w:r>
        <w:rPr>
          <w:sz w:val="20"/>
        </w:rPr>
        <w:t>complementares e</w:t>
      </w:r>
      <w:r>
        <w:rPr>
          <w:spacing w:val="-3"/>
          <w:sz w:val="20"/>
        </w:rPr>
        <w:t xml:space="preserve"> </w:t>
      </w:r>
      <w:r>
        <w:rPr>
          <w:sz w:val="20"/>
        </w:rPr>
        <w:t>interconectadas</w:t>
      </w:r>
      <w:r>
        <w:rPr>
          <w:spacing w:val="-1"/>
          <w:sz w:val="20"/>
        </w:rPr>
        <w:t xml:space="preserve"> </w:t>
      </w:r>
      <w:r>
        <w:rPr>
          <w:sz w:val="20"/>
        </w:rPr>
        <w:t>entre</w:t>
      </w:r>
      <w:r>
        <w:rPr>
          <w:spacing w:val="-2"/>
          <w:sz w:val="20"/>
        </w:rPr>
        <w:t xml:space="preserve"> </w:t>
      </w:r>
      <w:r>
        <w:rPr>
          <w:sz w:val="20"/>
        </w:rPr>
        <w:t>cidadãos</w:t>
      </w:r>
      <w:r>
        <w:rPr>
          <w:spacing w:val="-1"/>
          <w:sz w:val="20"/>
        </w:rPr>
        <w:t xml:space="preserve"> </w:t>
      </w:r>
      <w:r>
        <w:rPr>
          <w:sz w:val="20"/>
        </w:rPr>
        <w:t>e</w:t>
      </w:r>
      <w:r>
        <w:rPr>
          <w:spacing w:val="-3"/>
          <w:sz w:val="20"/>
        </w:rPr>
        <w:t xml:space="preserve"> </w:t>
      </w:r>
      <w:r>
        <w:rPr>
          <w:sz w:val="20"/>
        </w:rPr>
        <w:t>Estado</w:t>
      </w:r>
      <w:r>
        <w:rPr>
          <w:spacing w:val="-3"/>
          <w:sz w:val="20"/>
        </w:rPr>
        <w:t xml:space="preserve"> </w:t>
      </w:r>
      <w:r>
        <w:rPr>
          <w:sz w:val="20"/>
        </w:rPr>
        <w:t>para a produção</w:t>
      </w:r>
      <w:r>
        <w:rPr>
          <w:spacing w:val="-3"/>
          <w:sz w:val="20"/>
        </w:rPr>
        <w:t xml:space="preserve"> </w:t>
      </w:r>
      <w:r>
        <w:rPr>
          <w:sz w:val="20"/>
        </w:rPr>
        <w:t>de informação e</w:t>
      </w:r>
      <w:r>
        <w:rPr>
          <w:spacing w:val="-2"/>
          <w:sz w:val="20"/>
        </w:rPr>
        <w:t xml:space="preserve"> </w:t>
      </w:r>
      <w:r>
        <w:rPr>
          <w:sz w:val="20"/>
        </w:rPr>
        <w:t>controle. Finalmente, no</w:t>
      </w:r>
      <w:r>
        <w:rPr>
          <w:spacing w:val="-5"/>
          <w:sz w:val="20"/>
        </w:rPr>
        <w:t xml:space="preserve"> </w:t>
      </w:r>
      <w:r>
        <w:rPr>
          <w:sz w:val="20"/>
        </w:rPr>
        <w:t>estágio de</w:t>
      </w:r>
      <w:r>
        <w:rPr>
          <w:spacing w:val="-3"/>
          <w:sz w:val="20"/>
        </w:rPr>
        <w:t xml:space="preserve"> </w:t>
      </w:r>
      <w:r>
        <w:rPr>
          <w:sz w:val="20"/>
        </w:rPr>
        <w:t>accountability</w:t>
      </w:r>
      <w:r>
        <w:rPr>
          <w:spacing w:val="-6"/>
          <w:sz w:val="20"/>
        </w:rPr>
        <w:t xml:space="preserve"> </w:t>
      </w:r>
      <w:r>
        <w:rPr>
          <w:sz w:val="20"/>
        </w:rPr>
        <w:t>difusa, informação e controle são igualmente produzidas por Estado e sociedade, sem que haja uma estrutura central, mas uma rede capaz de envolver grande variedade de mecanismos políticos e institucionais.</w:t>
      </w:r>
    </w:p>
    <w:p w:rsidR="007259F2" w:rsidRDefault="00E655B4">
      <w:pPr>
        <w:pStyle w:val="Corpodetexto"/>
        <w:spacing w:before="202"/>
        <w:ind w:right="420"/>
      </w:pPr>
      <w:r>
        <w:t>Podemos pensar assim, que a aplicação da teoria dos diálogos institucionais contribui também</w:t>
      </w:r>
      <w:r>
        <w:rPr>
          <w:spacing w:val="-15"/>
        </w:rPr>
        <w:t xml:space="preserve"> </w:t>
      </w:r>
      <w:r>
        <w:t>para</w:t>
      </w:r>
      <w:r>
        <w:rPr>
          <w:spacing w:val="-15"/>
        </w:rPr>
        <w:t xml:space="preserve"> </w:t>
      </w:r>
      <w:r>
        <w:t>o</w:t>
      </w:r>
      <w:r>
        <w:rPr>
          <w:spacing w:val="-15"/>
        </w:rPr>
        <w:t xml:space="preserve"> </w:t>
      </w:r>
      <w:r>
        <w:t>estágio</w:t>
      </w:r>
      <w:r>
        <w:rPr>
          <w:spacing w:val="-11"/>
        </w:rPr>
        <w:t xml:space="preserve"> </w:t>
      </w:r>
      <w:r>
        <w:t>sistêmico</w:t>
      </w:r>
      <w:r>
        <w:rPr>
          <w:spacing w:val="-8"/>
        </w:rPr>
        <w:t xml:space="preserve"> </w:t>
      </w:r>
      <w:r>
        <w:t>da</w:t>
      </w:r>
      <w:r>
        <w:rPr>
          <w:spacing w:val="-15"/>
        </w:rPr>
        <w:t xml:space="preserve"> </w:t>
      </w:r>
      <w:r>
        <w:t>“accountability”,</w:t>
      </w:r>
      <w:r>
        <w:rPr>
          <w:spacing w:val="-12"/>
        </w:rPr>
        <w:t xml:space="preserve"> </w:t>
      </w:r>
      <w:r>
        <w:t>quando</w:t>
      </w:r>
      <w:r>
        <w:rPr>
          <w:spacing w:val="-15"/>
        </w:rPr>
        <w:t xml:space="preserve"> </w:t>
      </w:r>
      <w:r>
        <w:t>possibilita</w:t>
      </w:r>
      <w:r>
        <w:rPr>
          <w:spacing w:val="-15"/>
        </w:rPr>
        <w:t xml:space="preserve"> </w:t>
      </w:r>
      <w:r>
        <w:t>que</w:t>
      </w:r>
      <w:r>
        <w:rPr>
          <w:spacing w:val="-15"/>
        </w:rPr>
        <w:t xml:space="preserve"> </w:t>
      </w:r>
      <w:r>
        <w:t>as</w:t>
      </w:r>
      <w:r>
        <w:rPr>
          <w:spacing w:val="-15"/>
        </w:rPr>
        <w:t xml:space="preserve"> </w:t>
      </w:r>
      <w:r>
        <w:t>discussões</w:t>
      </w:r>
      <w:r>
        <w:rPr>
          <w:spacing w:val="-15"/>
        </w:rPr>
        <w:t xml:space="preserve"> </w:t>
      </w:r>
      <w:r>
        <w:t xml:space="preserve">entre os órgãos públicos sejam acessadas pela sociedade, podendo ela também participar dos </w:t>
      </w:r>
      <w:r>
        <w:rPr>
          <w:spacing w:val="-2"/>
        </w:rPr>
        <w:t>diálogos.</w:t>
      </w:r>
    </w:p>
    <w:p w:rsidR="007259F2" w:rsidRDefault="00E655B4">
      <w:pPr>
        <w:pStyle w:val="Heading2"/>
        <w:numPr>
          <w:ilvl w:val="0"/>
          <w:numId w:val="15"/>
        </w:numPr>
        <w:tabs>
          <w:tab w:val="left" w:pos="942"/>
        </w:tabs>
        <w:spacing w:before="204"/>
        <w:ind w:left="942" w:hanging="232"/>
      </w:pPr>
      <w:r>
        <w:rPr>
          <w:spacing w:val="-2"/>
        </w:rPr>
        <w:t>Conclusão</w:t>
      </w:r>
    </w:p>
    <w:p w:rsidR="007259F2" w:rsidRDefault="007259F2">
      <w:pPr>
        <w:pStyle w:val="Heading2"/>
        <w:jc w:val="left"/>
        <w:sectPr w:rsidR="007259F2">
          <w:pgSz w:w="11910" w:h="16840"/>
          <w:pgMar w:top="1600" w:right="708" w:bottom="1020" w:left="992" w:header="0" w:footer="820" w:gutter="0"/>
          <w:cols w:space="720"/>
        </w:sectPr>
      </w:pPr>
    </w:p>
    <w:p w:rsidR="007259F2" w:rsidRDefault="00E655B4">
      <w:pPr>
        <w:pStyle w:val="Corpodetexto"/>
        <w:spacing w:before="75"/>
        <w:ind w:right="422"/>
      </w:pPr>
      <w:r>
        <w:lastRenderedPageBreak/>
        <w:t>Por</w:t>
      </w:r>
      <w:r>
        <w:rPr>
          <w:spacing w:val="-2"/>
        </w:rPr>
        <w:t xml:space="preserve"> </w:t>
      </w:r>
      <w:r>
        <w:t>todo o exposto, verifica-se que os diálogos institucionais estão inseridos dentro de um contexto que envolve um relacionamento dinâmico entre os Poderes, contribuindo para</w:t>
      </w:r>
      <w:r>
        <w:rPr>
          <w:spacing w:val="40"/>
        </w:rPr>
        <w:t xml:space="preserve"> </w:t>
      </w:r>
      <w:r>
        <w:t>um desenvolvimento de soluções cooperativas e conjuntas, evitando conflitos e fortalecendo os vínculos necessários para um funcionamento saudável da democracia, que por sua vez demanda tanto o controle dos atos das autoridades, quanto à possibilidade da solução pacífica de eventuais conflitos. Assim, tal teoria mostra-se ligada com a noção de paridade entre o Executivo, Legislativo e Judiciário, sendo relevante para a superação de uma lógica de vencedores</w:t>
      </w:r>
      <w:r>
        <w:rPr>
          <w:spacing w:val="-3"/>
        </w:rPr>
        <w:t xml:space="preserve"> </w:t>
      </w:r>
      <w:r>
        <w:t>e</w:t>
      </w:r>
      <w:r>
        <w:rPr>
          <w:spacing w:val="-4"/>
        </w:rPr>
        <w:t xml:space="preserve"> </w:t>
      </w:r>
      <w:r>
        <w:t>perdedores quando se</w:t>
      </w:r>
      <w:r>
        <w:rPr>
          <w:spacing w:val="-4"/>
        </w:rPr>
        <w:t xml:space="preserve"> </w:t>
      </w:r>
      <w:r>
        <w:t>busca</w:t>
      </w:r>
      <w:r>
        <w:rPr>
          <w:spacing w:val="-3"/>
        </w:rPr>
        <w:t xml:space="preserve"> </w:t>
      </w:r>
      <w:r>
        <w:t>a</w:t>
      </w:r>
      <w:r>
        <w:rPr>
          <w:spacing w:val="-4"/>
        </w:rPr>
        <w:t xml:space="preserve"> </w:t>
      </w:r>
      <w:r>
        <w:t>solução para</w:t>
      </w:r>
      <w:r>
        <w:rPr>
          <w:spacing w:val="-4"/>
        </w:rPr>
        <w:t xml:space="preserve"> </w:t>
      </w:r>
      <w:r>
        <w:t>problemas</w:t>
      </w:r>
      <w:r>
        <w:rPr>
          <w:spacing w:val="-3"/>
        </w:rPr>
        <w:t xml:space="preserve"> </w:t>
      </w:r>
      <w:r>
        <w:t>envolvendo esses</w:t>
      </w:r>
      <w:r>
        <w:rPr>
          <w:spacing w:val="-3"/>
        </w:rPr>
        <w:t xml:space="preserve"> </w:t>
      </w:r>
      <w:r>
        <w:t xml:space="preserve">agentes, na medida em que o diálogo abre caminho para a construção de respostas coletivas entre os </w:t>
      </w:r>
      <w:r>
        <w:rPr>
          <w:spacing w:val="-2"/>
        </w:rPr>
        <w:t>interessados.</w:t>
      </w:r>
    </w:p>
    <w:p w:rsidR="007259F2" w:rsidRDefault="00E655B4">
      <w:pPr>
        <w:pStyle w:val="Corpodetexto"/>
        <w:ind w:right="422"/>
      </w:pPr>
      <w:r>
        <w:t>No contexto da administração pública do município da cidade de São Paulo desenvolvido neste trabalho, restou evidenciado que a Casa Civil desempenha um papel fundamental na aplicação prática dos diálogos institucionais, sendo o órgão responsável pela sua operacionalização e coordenação. Assim, seu trabalho revela-se não apenas uma mera utilidade para o gestor, ao facilitar a aprovação de questões do interesse do Executivo na Câmara de</w:t>
      </w:r>
      <w:r>
        <w:rPr>
          <w:spacing w:val="-1"/>
        </w:rPr>
        <w:t xml:space="preserve"> </w:t>
      </w:r>
      <w:r>
        <w:t>Vereadores, como também mostra ser uma verdadeira necessidade, tendo em vista as imposições dos sistemas de freios e contrapesos e da realidade fática da manutenção da governança e governabilidade.</w:t>
      </w:r>
    </w:p>
    <w:p w:rsidR="007259F2" w:rsidRDefault="00E655B4">
      <w:pPr>
        <w:pStyle w:val="Corpodetexto"/>
        <w:spacing w:before="1"/>
        <w:ind w:right="422"/>
      </w:pPr>
      <w:r>
        <w:t>Somando-se a isso, percebe-se que os diálogos institucionais envolvem os mais diversos agentes</w:t>
      </w:r>
      <w:r>
        <w:rPr>
          <w:spacing w:val="-1"/>
        </w:rPr>
        <w:t xml:space="preserve"> </w:t>
      </w:r>
      <w:r>
        <w:t>para</w:t>
      </w:r>
      <w:r>
        <w:rPr>
          <w:spacing w:val="-1"/>
        </w:rPr>
        <w:t xml:space="preserve"> </w:t>
      </w:r>
      <w:r>
        <w:t>que</w:t>
      </w:r>
      <w:r>
        <w:rPr>
          <w:spacing w:val="-1"/>
        </w:rPr>
        <w:t xml:space="preserve"> </w:t>
      </w:r>
      <w:r>
        <w:t>ele</w:t>
      </w:r>
      <w:r>
        <w:rPr>
          <w:spacing w:val="-1"/>
        </w:rPr>
        <w:t xml:space="preserve"> </w:t>
      </w:r>
      <w:r>
        <w:t>seja</w:t>
      </w:r>
      <w:r>
        <w:rPr>
          <w:spacing w:val="-1"/>
        </w:rPr>
        <w:t xml:space="preserve"> </w:t>
      </w:r>
      <w:r>
        <w:t>de</w:t>
      </w:r>
      <w:r>
        <w:rPr>
          <w:spacing w:val="-1"/>
        </w:rPr>
        <w:t xml:space="preserve"> </w:t>
      </w:r>
      <w:r>
        <w:t>fato realizado, superando a</w:t>
      </w:r>
      <w:r>
        <w:rPr>
          <w:spacing w:val="-1"/>
        </w:rPr>
        <w:t xml:space="preserve"> </w:t>
      </w:r>
      <w:r>
        <w:t>ideia</w:t>
      </w:r>
      <w:r>
        <w:rPr>
          <w:spacing w:val="-1"/>
        </w:rPr>
        <w:t xml:space="preserve"> </w:t>
      </w:r>
      <w:r>
        <w:t>de</w:t>
      </w:r>
      <w:r>
        <w:rPr>
          <w:spacing w:val="-1"/>
        </w:rPr>
        <w:t xml:space="preserve"> </w:t>
      </w:r>
      <w:r>
        <w:t>que</w:t>
      </w:r>
      <w:r>
        <w:rPr>
          <w:spacing w:val="-1"/>
        </w:rPr>
        <w:t xml:space="preserve"> </w:t>
      </w:r>
      <w:r>
        <w:t>apenas os chefes dos Poderes deteriam o monopólio dessas trocas. Dessa forma, uma gama abrangente de servidores da Prefeitura contribui com suas opiniões técnicas e jurídicas na formulação, aprimoramento e até mesmo de eventual veto a projetos de lei, ampliando o número de protagonistas que influenciam os rumos das tomadas de decisões.</w:t>
      </w:r>
    </w:p>
    <w:p w:rsidR="007259F2" w:rsidRDefault="00E655B4">
      <w:pPr>
        <w:pStyle w:val="Heading1"/>
        <w:spacing w:before="207"/>
      </w:pPr>
      <w:r>
        <w:rPr>
          <w:spacing w:val="-2"/>
        </w:rPr>
        <w:t>REFERÊNCIAS</w:t>
      </w:r>
    </w:p>
    <w:p w:rsidR="007259F2" w:rsidRDefault="00E655B4">
      <w:pPr>
        <w:pStyle w:val="Corpodetexto"/>
        <w:spacing w:before="197" w:line="237" w:lineRule="auto"/>
        <w:ind w:right="423" w:firstLine="0"/>
      </w:pPr>
      <w:r>
        <w:t>ABRANCHES,</w:t>
      </w:r>
      <w:r>
        <w:rPr>
          <w:spacing w:val="40"/>
        </w:rPr>
        <w:t xml:space="preserve"> </w:t>
      </w:r>
      <w:r>
        <w:t>Sérgio.</w:t>
      </w:r>
      <w:r>
        <w:rPr>
          <w:spacing w:val="40"/>
        </w:rPr>
        <w:t xml:space="preserve"> </w:t>
      </w:r>
      <w:r>
        <w:rPr>
          <w:b/>
        </w:rPr>
        <w:t>Presidencialismo</w:t>
      </w:r>
      <w:r>
        <w:rPr>
          <w:b/>
          <w:spacing w:val="40"/>
        </w:rPr>
        <w:t xml:space="preserve"> </w:t>
      </w:r>
      <w:r>
        <w:rPr>
          <w:b/>
        </w:rPr>
        <w:t>de</w:t>
      </w:r>
      <w:r>
        <w:rPr>
          <w:b/>
          <w:spacing w:val="40"/>
        </w:rPr>
        <w:t xml:space="preserve"> </w:t>
      </w:r>
      <w:r>
        <w:rPr>
          <w:b/>
        </w:rPr>
        <w:t>coalizão</w:t>
      </w:r>
      <w:r>
        <w:t>:</w:t>
      </w:r>
      <w:r>
        <w:rPr>
          <w:spacing w:val="40"/>
        </w:rPr>
        <w:t xml:space="preserve"> </w:t>
      </w:r>
      <w:r>
        <w:t>raízes</w:t>
      </w:r>
      <w:r>
        <w:rPr>
          <w:spacing w:val="40"/>
        </w:rPr>
        <w:t xml:space="preserve"> </w:t>
      </w:r>
      <w:r>
        <w:t>e</w:t>
      </w:r>
      <w:r>
        <w:rPr>
          <w:spacing w:val="40"/>
        </w:rPr>
        <w:t xml:space="preserve"> </w:t>
      </w:r>
      <w:r>
        <w:t>evolução</w:t>
      </w:r>
      <w:r>
        <w:rPr>
          <w:spacing w:val="40"/>
        </w:rPr>
        <w:t xml:space="preserve"> </w:t>
      </w:r>
      <w:r>
        <w:t>do</w:t>
      </w:r>
      <w:r>
        <w:rPr>
          <w:spacing w:val="40"/>
        </w:rPr>
        <w:t xml:space="preserve"> </w:t>
      </w:r>
      <w:r>
        <w:t>modelo político brasileiro. 1ª ed., São Paulo: Companhia das Letras, 2018.</w:t>
      </w:r>
    </w:p>
    <w:p w:rsidR="007259F2" w:rsidRDefault="00E655B4">
      <w:pPr>
        <w:pStyle w:val="Corpodetexto"/>
        <w:spacing w:before="121"/>
        <w:ind w:right="420" w:firstLine="0"/>
      </w:pPr>
      <w:r>
        <w:t xml:space="preserve">AMARAL JÚNIOR, J. L. M. do. Federalismo e repartição de competências: a afirmação das autonomias locais e a superação do princípio da simetria. </w:t>
      </w:r>
      <w:r>
        <w:rPr>
          <w:b/>
        </w:rPr>
        <w:t>Revista da Faculdade de Direito</w:t>
      </w:r>
      <w:r>
        <w:t>, Universidade de São Paulo, [S. l.], v. 117, p. 117-158, 2023. Disponível em: https:/</w:t>
      </w:r>
      <w:hyperlink r:id="rId339">
        <w:r>
          <w:t>/www.revistas.usp.br/rfdusp/article/view/218271.</w:t>
        </w:r>
      </w:hyperlink>
      <w:r>
        <w:t xml:space="preserve"> Acesso em: 4 jan. 2024.</w:t>
      </w:r>
    </w:p>
    <w:p w:rsidR="007259F2" w:rsidRDefault="00E655B4">
      <w:pPr>
        <w:pStyle w:val="Corpodetexto"/>
        <w:tabs>
          <w:tab w:val="left" w:pos="2428"/>
          <w:tab w:val="left" w:pos="3682"/>
          <w:tab w:val="left" w:pos="5374"/>
          <w:tab w:val="left" w:pos="7353"/>
          <w:tab w:val="left" w:pos="9419"/>
        </w:tabs>
        <w:spacing w:before="120"/>
        <w:ind w:right="422" w:firstLine="0"/>
      </w:pPr>
      <w:r>
        <w:t xml:space="preserve">BRASIL. </w:t>
      </w:r>
      <w:r>
        <w:rPr>
          <w:b/>
        </w:rPr>
        <w:t>Decreto nº</w:t>
      </w:r>
      <w:r>
        <w:rPr>
          <w:b/>
          <w:spacing w:val="40"/>
        </w:rPr>
        <w:t xml:space="preserve"> </w:t>
      </w:r>
      <w:r>
        <w:rPr>
          <w:b/>
        </w:rPr>
        <w:t>9.830, de 10 de junho de 2019</w:t>
      </w:r>
      <w:r>
        <w:t xml:space="preserve">. Regulamenta o disposto nos art. 20 ao art. 30 do Decreto-Lei nº 4.657, de 4 de setembro de 1942, que institui a Lei de Introdução às </w:t>
      </w:r>
      <w:r>
        <w:rPr>
          <w:spacing w:val="-2"/>
        </w:rPr>
        <w:t>normas</w:t>
      </w:r>
      <w:r>
        <w:tab/>
      </w:r>
      <w:r>
        <w:rPr>
          <w:spacing w:val="-6"/>
        </w:rPr>
        <w:t>do</w:t>
      </w:r>
      <w:r>
        <w:tab/>
      </w:r>
      <w:r>
        <w:rPr>
          <w:spacing w:val="-2"/>
        </w:rPr>
        <w:t>Direito</w:t>
      </w:r>
      <w:r>
        <w:tab/>
      </w:r>
      <w:r>
        <w:rPr>
          <w:spacing w:val="-2"/>
        </w:rPr>
        <w:t>brasileiro.</w:t>
      </w:r>
      <w:r>
        <w:tab/>
      </w:r>
      <w:r>
        <w:rPr>
          <w:spacing w:val="-2"/>
        </w:rPr>
        <w:t>Disponível</w:t>
      </w:r>
      <w:r>
        <w:tab/>
      </w:r>
      <w:r>
        <w:rPr>
          <w:spacing w:val="-4"/>
        </w:rPr>
        <w:t xml:space="preserve">em: </w:t>
      </w:r>
      <w:hyperlink r:id="rId340">
        <w:r>
          <w:rPr>
            <w:u w:val="single"/>
          </w:rPr>
          <w:t>https://www.planalto.gov.br/ccivil_03/_Ato2019-2022/2019/Decreto/D9830.htm</w:t>
        </w:r>
        <w:r>
          <w:t>.</w:t>
        </w:r>
      </w:hyperlink>
      <w:r>
        <w:t xml:space="preserve"> Acesso em: 19 dez.2023.</w:t>
      </w:r>
    </w:p>
    <w:p w:rsidR="007259F2" w:rsidRDefault="00E655B4">
      <w:pPr>
        <w:spacing w:before="121"/>
        <w:ind w:left="710" w:right="419"/>
        <w:jc w:val="both"/>
        <w:rPr>
          <w:sz w:val="24"/>
        </w:rPr>
      </w:pPr>
      <w:r>
        <w:rPr>
          <w:sz w:val="24"/>
        </w:rPr>
        <w:t xml:space="preserve">BRASIL. Decreto-Lei nº 4.657, de 4 de setembro de 1942. </w:t>
      </w:r>
      <w:r>
        <w:rPr>
          <w:b/>
          <w:sz w:val="24"/>
        </w:rPr>
        <w:t>Lei</w:t>
      </w:r>
      <w:r>
        <w:rPr>
          <w:b/>
          <w:spacing w:val="-2"/>
          <w:sz w:val="24"/>
        </w:rPr>
        <w:t xml:space="preserve"> </w:t>
      </w:r>
      <w:r>
        <w:rPr>
          <w:b/>
          <w:sz w:val="24"/>
        </w:rPr>
        <w:t>de Introdução às normas do Direito Brasileiro</w:t>
      </w:r>
      <w:r>
        <w:rPr>
          <w:sz w:val="24"/>
        </w:rPr>
        <w:t xml:space="preserve">. Disponível em </w:t>
      </w:r>
      <w:hyperlink r:id="rId341">
        <w:r>
          <w:rPr>
            <w:sz w:val="24"/>
            <w:u w:val="single" w:color="0000FF"/>
          </w:rPr>
          <w:t>https://www.planalto.gov.br/ccivil_03/decreto-</w:t>
        </w:r>
      </w:hyperlink>
      <w:r>
        <w:rPr>
          <w:sz w:val="24"/>
        </w:rPr>
        <w:t xml:space="preserve"> </w:t>
      </w:r>
      <w:hyperlink r:id="rId342">
        <w:r>
          <w:rPr>
            <w:sz w:val="24"/>
            <w:u w:val="single" w:color="0000FF"/>
          </w:rPr>
          <w:t>lei/del4657compilado.htm</w:t>
        </w:r>
        <w:r>
          <w:rPr>
            <w:sz w:val="24"/>
          </w:rPr>
          <w:t>.</w:t>
        </w:r>
      </w:hyperlink>
      <w:r>
        <w:rPr>
          <w:sz w:val="24"/>
        </w:rPr>
        <w:t xml:space="preserve"> Acesso em: 19 dez. 2023.</w:t>
      </w:r>
    </w:p>
    <w:p w:rsidR="007259F2" w:rsidRDefault="00E655B4">
      <w:pPr>
        <w:pStyle w:val="Corpodetexto"/>
        <w:spacing w:before="120"/>
        <w:ind w:right="422" w:firstLine="0"/>
      </w:pPr>
      <w:r>
        <w:t>BRASIL.</w:t>
      </w:r>
      <w:r>
        <w:rPr>
          <w:spacing w:val="-2"/>
        </w:rPr>
        <w:t xml:space="preserve"> </w:t>
      </w:r>
      <w:r>
        <w:t>Congresso</w:t>
      </w:r>
      <w:r>
        <w:rPr>
          <w:spacing w:val="-2"/>
        </w:rPr>
        <w:t xml:space="preserve"> </w:t>
      </w:r>
      <w:r>
        <w:t xml:space="preserve">Nacional. </w:t>
      </w:r>
      <w:r>
        <w:rPr>
          <w:b/>
        </w:rPr>
        <w:t>Entenda</w:t>
      </w:r>
      <w:r>
        <w:rPr>
          <w:b/>
          <w:spacing w:val="-2"/>
        </w:rPr>
        <w:t xml:space="preserve"> </w:t>
      </w:r>
      <w:r>
        <w:rPr>
          <w:b/>
        </w:rPr>
        <w:t>a</w:t>
      </w:r>
      <w:r>
        <w:rPr>
          <w:b/>
          <w:spacing w:val="-2"/>
        </w:rPr>
        <w:t xml:space="preserve"> </w:t>
      </w:r>
      <w:r>
        <w:rPr>
          <w:b/>
        </w:rPr>
        <w:t>tramitação</w:t>
      </w:r>
      <w:r>
        <w:rPr>
          <w:b/>
          <w:spacing w:val="-2"/>
        </w:rPr>
        <w:t xml:space="preserve"> </w:t>
      </w:r>
      <w:r>
        <w:rPr>
          <w:b/>
        </w:rPr>
        <w:t>do</w:t>
      </w:r>
      <w:r>
        <w:rPr>
          <w:b/>
          <w:spacing w:val="-2"/>
        </w:rPr>
        <w:t xml:space="preserve"> </w:t>
      </w:r>
      <w:r>
        <w:rPr>
          <w:b/>
        </w:rPr>
        <w:t>veto</w:t>
      </w:r>
      <w:r>
        <w:t>.</w:t>
      </w:r>
      <w:r>
        <w:rPr>
          <w:spacing w:val="-2"/>
        </w:rPr>
        <w:t xml:space="preserve"> </w:t>
      </w:r>
      <w:r>
        <w:t>Brasília:</w:t>
      </w:r>
      <w:r>
        <w:rPr>
          <w:spacing w:val="-2"/>
        </w:rPr>
        <w:t xml:space="preserve"> </w:t>
      </w:r>
      <w:r>
        <w:t>Congresso</w:t>
      </w:r>
      <w:r>
        <w:rPr>
          <w:spacing w:val="-2"/>
        </w:rPr>
        <w:t xml:space="preserve"> </w:t>
      </w:r>
      <w:r>
        <w:t xml:space="preserve">Nacional, [s.d.]. Disponível em: </w:t>
      </w:r>
      <w:hyperlink r:id="rId343">
        <w:r>
          <w:rPr>
            <w:u w:val="single"/>
          </w:rPr>
          <w:t>https://www.congressonacional.leg.br/materias/vetos/entenda-a-</w:t>
        </w:r>
      </w:hyperlink>
      <w:r>
        <w:t xml:space="preserve"> </w:t>
      </w:r>
      <w:hyperlink r:id="rId344">
        <w:r>
          <w:rPr>
            <w:u w:val="single"/>
          </w:rPr>
          <w:t>tramitacao-do-veto</w:t>
        </w:r>
        <w:r>
          <w:t>.</w:t>
        </w:r>
      </w:hyperlink>
      <w:r>
        <w:t xml:space="preserve"> Acesso em: 3 dez. 2024.</w:t>
      </w:r>
    </w:p>
    <w:p w:rsidR="007259F2" w:rsidRDefault="00E655B4">
      <w:pPr>
        <w:pStyle w:val="Corpodetexto"/>
        <w:tabs>
          <w:tab w:val="left" w:pos="2562"/>
          <w:tab w:val="left" w:pos="4338"/>
          <w:tab w:val="left" w:pos="6626"/>
          <w:tab w:val="left" w:pos="8209"/>
        </w:tabs>
        <w:spacing w:before="120"/>
        <w:ind w:right="422" w:firstLine="0"/>
      </w:pPr>
      <w:r>
        <w:t xml:space="preserve">BUTA, B. O.; TEIXEIRA, M. A. C.; SCHURGELIES, V. Accountability nos Atos da Administração Pública Federal Brasileira. </w:t>
      </w:r>
      <w:r>
        <w:rPr>
          <w:b/>
        </w:rPr>
        <w:t>Revista Pretexto</w:t>
      </w:r>
      <w:r>
        <w:t>, Belo Horizonte, v. 19, n. 4, p.</w:t>
      </w:r>
      <w:r>
        <w:rPr>
          <w:spacing w:val="40"/>
        </w:rPr>
        <w:t xml:space="preserve"> </w:t>
      </w:r>
      <w:r>
        <w:rPr>
          <w:spacing w:val="-2"/>
        </w:rPr>
        <w:t>46-62,</w:t>
      </w:r>
      <w:r>
        <w:tab/>
      </w:r>
      <w:r>
        <w:rPr>
          <w:spacing w:val="-2"/>
        </w:rPr>
        <w:t>2018.</w:t>
      </w:r>
      <w:r>
        <w:tab/>
      </w:r>
      <w:r>
        <w:rPr>
          <w:spacing w:val="-2"/>
        </w:rPr>
        <w:t>Disponível</w:t>
      </w:r>
      <w:r>
        <w:tab/>
      </w:r>
      <w:r>
        <w:rPr>
          <w:spacing w:val="-4"/>
        </w:rPr>
        <w:t>em:</w:t>
      </w:r>
      <w:r>
        <w:tab/>
      </w:r>
      <w:hyperlink r:id="rId345">
        <w:r>
          <w:rPr>
            <w:spacing w:val="-2"/>
          </w:rPr>
          <w:t>https://pesquisa-</w:t>
        </w:r>
      </w:hyperlink>
      <w:r>
        <w:rPr>
          <w:spacing w:val="-2"/>
        </w:rPr>
        <w:t xml:space="preserve"> </w:t>
      </w:r>
      <w:hyperlink r:id="rId346">
        <w:r>
          <w:rPr>
            <w:spacing w:val="-2"/>
          </w:rPr>
          <w:t>eaesp.fgv.br/sites/gvpesquisa.fgv.br/files/arquivos/accountability_nos_atos_da_administracao</w:t>
        </w:r>
      </w:hyperlink>
    </w:p>
    <w:p w:rsidR="007259F2" w:rsidRDefault="00DE6B1C">
      <w:pPr>
        <w:pStyle w:val="Corpodetexto"/>
        <w:ind w:firstLine="0"/>
      </w:pPr>
      <w:hyperlink r:id="rId347">
        <w:r w:rsidR="00E655B4">
          <w:t>_publica_federal_brasileira.pdf.</w:t>
        </w:r>
      </w:hyperlink>
      <w:r w:rsidR="00E655B4">
        <w:rPr>
          <w:spacing w:val="-11"/>
        </w:rPr>
        <w:t xml:space="preserve"> </w:t>
      </w:r>
      <w:r w:rsidR="00E655B4">
        <w:t>Acesso</w:t>
      </w:r>
      <w:r w:rsidR="00E655B4">
        <w:rPr>
          <w:spacing w:val="-7"/>
        </w:rPr>
        <w:t xml:space="preserve"> </w:t>
      </w:r>
      <w:r w:rsidR="00E655B4">
        <w:t>em:</w:t>
      </w:r>
      <w:r w:rsidR="00E655B4">
        <w:rPr>
          <w:spacing w:val="-10"/>
        </w:rPr>
        <w:t xml:space="preserve"> </w:t>
      </w:r>
      <w:r w:rsidR="00E655B4">
        <w:t>05</w:t>
      </w:r>
      <w:r w:rsidR="00E655B4">
        <w:rPr>
          <w:spacing w:val="-2"/>
        </w:rPr>
        <w:t xml:space="preserve"> jan.2024.</w:t>
      </w:r>
    </w:p>
    <w:p w:rsidR="007259F2" w:rsidRDefault="007259F2">
      <w:pPr>
        <w:pStyle w:val="Corpodetexto"/>
        <w:sectPr w:rsidR="007259F2">
          <w:pgSz w:w="11910" w:h="16840"/>
          <w:pgMar w:top="1600" w:right="708" w:bottom="1020" w:left="992" w:header="0" w:footer="820" w:gutter="0"/>
          <w:cols w:space="720"/>
        </w:sectPr>
      </w:pPr>
    </w:p>
    <w:p w:rsidR="007259F2" w:rsidRDefault="00E655B4">
      <w:pPr>
        <w:pStyle w:val="Corpodetexto"/>
        <w:spacing w:before="75"/>
        <w:ind w:right="418" w:firstLine="0"/>
      </w:pPr>
      <w:r>
        <w:lastRenderedPageBreak/>
        <w:t xml:space="preserve">CIRNE, Mariana Barbosa. A relevância jurídica dos vetos presidenciais. </w:t>
      </w:r>
      <w:r>
        <w:rPr>
          <w:b/>
        </w:rPr>
        <w:t>Revista de Informação</w:t>
      </w:r>
      <w:r>
        <w:rPr>
          <w:b/>
          <w:spacing w:val="40"/>
        </w:rPr>
        <w:t xml:space="preserve"> </w:t>
      </w:r>
      <w:r>
        <w:rPr>
          <w:b/>
        </w:rPr>
        <w:t>Legislativa:</w:t>
      </w:r>
      <w:r>
        <w:rPr>
          <w:b/>
          <w:spacing w:val="80"/>
        </w:rPr>
        <w:t xml:space="preserve"> </w:t>
      </w:r>
      <w:r>
        <w:rPr>
          <w:b/>
        </w:rPr>
        <w:t>RIL</w:t>
      </w:r>
      <w:r>
        <w:t>,</w:t>
      </w:r>
      <w:r>
        <w:rPr>
          <w:spacing w:val="80"/>
        </w:rPr>
        <w:t xml:space="preserve"> </w:t>
      </w:r>
      <w:r>
        <w:t>Brasília,</w:t>
      </w:r>
      <w:r>
        <w:rPr>
          <w:spacing w:val="80"/>
        </w:rPr>
        <w:t xml:space="preserve"> </w:t>
      </w:r>
      <w:r>
        <w:t>DF,</w:t>
      </w:r>
      <w:r>
        <w:rPr>
          <w:spacing w:val="80"/>
        </w:rPr>
        <w:t xml:space="preserve"> </w:t>
      </w:r>
      <w:r>
        <w:t>v.</w:t>
      </w:r>
      <w:r>
        <w:rPr>
          <w:spacing w:val="80"/>
        </w:rPr>
        <w:t xml:space="preserve"> </w:t>
      </w:r>
      <w:r>
        <w:t>56,</w:t>
      </w:r>
      <w:r>
        <w:rPr>
          <w:spacing w:val="80"/>
        </w:rPr>
        <w:t xml:space="preserve"> </w:t>
      </w:r>
      <w:r>
        <w:t>n.</w:t>
      </w:r>
      <w:r>
        <w:rPr>
          <w:spacing w:val="80"/>
        </w:rPr>
        <w:t xml:space="preserve"> </w:t>
      </w:r>
      <w:r>
        <w:t>224,</w:t>
      </w:r>
      <w:r>
        <w:rPr>
          <w:spacing w:val="80"/>
        </w:rPr>
        <w:t xml:space="preserve"> </w:t>
      </w:r>
      <w:r>
        <w:t>p.</w:t>
      </w:r>
      <w:r>
        <w:rPr>
          <w:spacing w:val="80"/>
        </w:rPr>
        <w:t xml:space="preserve"> </w:t>
      </w:r>
      <w:r>
        <w:t>105-126,</w:t>
      </w:r>
      <w:r>
        <w:rPr>
          <w:spacing w:val="80"/>
        </w:rPr>
        <w:t xml:space="preserve"> </w:t>
      </w:r>
      <w:r>
        <w:t>out./dez.</w:t>
      </w:r>
      <w:r>
        <w:rPr>
          <w:spacing w:val="40"/>
        </w:rPr>
        <w:t xml:space="preserve"> </w:t>
      </w:r>
      <w:r>
        <w:t xml:space="preserve">2019. Disponível em: </w:t>
      </w:r>
      <w:hyperlink r:id="rId348">
        <w:r>
          <w:t>http://www12.senado.leg.br/ril/edicoes/56/224/ril_v56_n224_p105.</w:t>
        </w:r>
      </w:hyperlink>
      <w:r>
        <w:t xml:space="preserve"> Acesso</w:t>
      </w:r>
      <w:r>
        <w:rPr>
          <w:spacing w:val="40"/>
        </w:rPr>
        <w:t xml:space="preserve"> </w:t>
      </w:r>
      <w:r>
        <w:t>em: 28 dez 2023.</w:t>
      </w:r>
    </w:p>
    <w:p w:rsidR="007259F2" w:rsidRDefault="00E655B4">
      <w:pPr>
        <w:spacing w:before="120"/>
        <w:ind w:left="710" w:right="420"/>
        <w:jc w:val="both"/>
        <w:rPr>
          <w:sz w:val="24"/>
        </w:rPr>
      </w:pPr>
      <w:r>
        <w:rPr>
          <w:sz w:val="24"/>
        </w:rPr>
        <w:t xml:space="preserve">CLÈVE, Clèmerson Merlin; LORENZETTO, Bruno Meneses. Diálogos institucionais: estrutura e legitimidade. </w:t>
      </w:r>
      <w:r>
        <w:rPr>
          <w:b/>
          <w:sz w:val="24"/>
        </w:rPr>
        <w:t>Revista de Investigações Constitucionais</w:t>
      </w:r>
      <w:r>
        <w:rPr>
          <w:sz w:val="24"/>
        </w:rPr>
        <w:t xml:space="preserve">, [S.l.], v. 2, p. 183-206, </w:t>
      </w:r>
      <w:r>
        <w:rPr>
          <w:spacing w:val="-2"/>
          <w:sz w:val="24"/>
        </w:rPr>
        <w:t>2015.</w:t>
      </w:r>
    </w:p>
    <w:p w:rsidR="007259F2" w:rsidRDefault="00E655B4">
      <w:pPr>
        <w:pStyle w:val="Corpodetexto"/>
        <w:spacing w:before="120"/>
        <w:ind w:right="423" w:firstLine="0"/>
      </w:pPr>
      <w:r>
        <w:t xml:space="preserve">CYRINO, André Rodrigues. Advocacia pública. </w:t>
      </w:r>
      <w:r>
        <w:rPr>
          <w:i/>
        </w:rPr>
        <w:t>In</w:t>
      </w:r>
      <w:r>
        <w:t xml:space="preserve">: CAMPILONGO, Celso Fernandes; GONZAGA, Alvaro de Azevedo; FREIRE, André Luiz (coords.). </w:t>
      </w:r>
      <w:r>
        <w:rPr>
          <w:b/>
        </w:rPr>
        <w:t>Enciclopédia jurídica da PUC-SP</w:t>
      </w:r>
      <w:r>
        <w:t>. Tomo: Direito Administrativo e Constitucional. Coord. de tomo: VIDAL SERRANO NUNES Jr.; ZOCKUN, Maurício; ZOCKUN, Carolina Zancaner; FREIRE,</w:t>
      </w:r>
      <w:r>
        <w:rPr>
          <w:spacing w:val="40"/>
        </w:rPr>
        <w:t xml:space="preserve"> </w:t>
      </w:r>
      <w:r>
        <w:t>André Luiz. 2. ed. São Paulo: Pontifícia Universidade Católica de São Paulo, 2021. Disponível</w:t>
      </w:r>
      <w:r>
        <w:rPr>
          <w:spacing w:val="-15"/>
        </w:rPr>
        <w:t xml:space="preserve"> </w:t>
      </w:r>
      <w:r>
        <w:t>em:</w:t>
      </w:r>
      <w:r>
        <w:rPr>
          <w:spacing w:val="-15"/>
        </w:rPr>
        <w:t xml:space="preserve"> </w:t>
      </w:r>
      <w:hyperlink r:id="rId349">
        <w:r>
          <w:rPr>
            <w:u w:val="single"/>
          </w:rPr>
          <w:t>https://enciclopediajuridica.pucsp.br/verbete/541/edicao-2/advocacia-publica-</w:t>
        </w:r>
      </w:hyperlink>
      <w:r>
        <w:t>. Acesso em: 5 jan. 2024.</w:t>
      </w:r>
    </w:p>
    <w:p w:rsidR="007259F2" w:rsidRDefault="00E655B4">
      <w:pPr>
        <w:pStyle w:val="Corpodetexto"/>
        <w:spacing w:before="121"/>
        <w:ind w:right="425" w:firstLine="0"/>
      </w:pPr>
      <w:r>
        <w:t xml:space="preserve">COX, G. W. &amp; MCCUBBINS, M. D. 1993. </w:t>
      </w:r>
      <w:r>
        <w:rPr>
          <w:b/>
        </w:rPr>
        <w:t>Legislative Leviathan</w:t>
      </w:r>
      <w:r>
        <w:t>. Party Government in the House. Berkeley : University of California.</w:t>
      </w:r>
    </w:p>
    <w:p w:rsidR="007259F2" w:rsidRDefault="00E655B4">
      <w:pPr>
        <w:spacing w:before="120"/>
        <w:ind w:left="710" w:right="421"/>
        <w:jc w:val="both"/>
        <w:rPr>
          <w:sz w:val="24"/>
        </w:rPr>
      </w:pPr>
      <w:r>
        <w:rPr>
          <w:sz w:val="24"/>
        </w:rPr>
        <w:t xml:space="preserve">GUIMARÃES, Luís Gustavo Faria. </w:t>
      </w:r>
      <w:r>
        <w:rPr>
          <w:b/>
          <w:sz w:val="24"/>
        </w:rPr>
        <w:t>O presidencialismo de coalizão no Brasil</w:t>
      </w:r>
      <w:r>
        <w:rPr>
          <w:sz w:val="24"/>
        </w:rPr>
        <w:t>. Blucher. São Paulo.</w:t>
      </w:r>
      <w:r>
        <w:rPr>
          <w:spacing w:val="-15"/>
          <w:sz w:val="24"/>
        </w:rPr>
        <w:t xml:space="preserve"> </w:t>
      </w:r>
      <w:r>
        <w:rPr>
          <w:sz w:val="24"/>
        </w:rPr>
        <w:t>2020.</w:t>
      </w:r>
      <w:r>
        <w:rPr>
          <w:spacing w:val="-15"/>
          <w:sz w:val="24"/>
        </w:rPr>
        <w:t xml:space="preserve"> </w:t>
      </w:r>
      <w:r>
        <w:rPr>
          <w:sz w:val="24"/>
        </w:rPr>
        <w:t>247</w:t>
      </w:r>
      <w:r>
        <w:rPr>
          <w:spacing w:val="-15"/>
          <w:sz w:val="24"/>
        </w:rPr>
        <w:t xml:space="preserve"> </w:t>
      </w:r>
      <w:r>
        <w:rPr>
          <w:sz w:val="24"/>
        </w:rPr>
        <w:t>p.</w:t>
      </w:r>
      <w:r>
        <w:rPr>
          <w:spacing w:val="-15"/>
          <w:sz w:val="24"/>
        </w:rPr>
        <w:t xml:space="preserve"> </w:t>
      </w:r>
      <w:r>
        <w:rPr>
          <w:sz w:val="24"/>
        </w:rPr>
        <w:t>Disponível</w:t>
      </w:r>
      <w:r>
        <w:rPr>
          <w:spacing w:val="-15"/>
          <w:sz w:val="24"/>
        </w:rPr>
        <w:t xml:space="preserve"> </w:t>
      </w:r>
      <w:r>
        <w:rPr>
          <w:sz w:val="24"/>
        </w:rPr>
        <w:t>em:</w:t>
      </w:r>
      <w:r>
        <w:rPr>
          <w:spacing w:val="-15"/>
          <w:sz w:val="24"/>
        </w:rPr>
        <w:t xml:space="preserve"> </w:t>
      </w:r>
      <w:hyperlink r:id="rId350">
        <w:r>
          <w:rPr>
            <w:sz w:val="24"/>
            <w:u w:val="single" w:color="0000FF"/>
          </w:rPr>
          <w:t>https://www2.senado.leg.br/bdsf/handle/id/595837</w:t>
        </w:r>
        <w:r>
          <w:rPr>
            <w:sz w:val="24"/>
          </w:rPr>
          <w:t>.</w:t>
        </w:r>
      </w:hyperlink>
      <w:r>
        <w:rPr>
          <w:spacing w:val="-15"/>
          <w:sz w:val="24"/>
        </w:rPr>
        <w:t xml:space="preserve"> </w:t>
      </w:r>
      <w:r>
        <w:rPr>
          <w:sz w:val="24"/>
        </w:rPr>
        <w:t>Acesso em: 27/12/2023.</w:t>
      </w:r>
    </w:p>
    <w:p w:rsidR="007259F2" w:rsidRDefault="00E655B4">
      <w:pPr>
        <w:pStyle w:val="Corpodetexto"/>
        <w:spacing w:before="120"/>
        <w:ind w:right="419" w:firstLine="0"/>
      </w:pPr>
      <w:r>
        <w:t xml:space="preserve">HARGER, Marcelo. Processo administrativo: aspectos gerais. </w:t>
      </w:r>
      <w:r>
        <w:rPr>
          <w:i/>
        </w:rPr>
        <w:t>In</w:t>
      </w:r>
      <w:r>
        <w:t xml:space="preserve">: CAMPILONGO, Celso Fernandes; GONZAGA, Alvaro de Azevedo; FREIRE, André Luiz (coords.). </w:t>
      </w:r>
      <w:r>
        <w:rPr>
          <w:b/>
        </w:rPr>
        <w:t>Enciclopédia jurídica da PUC-SP</w:t>
      </w:r>
      <w:r>
        <w:t>. Tomo: Direito Administrativo e Constitucional. Coord. de tomo: SERRANO NUNES Jr., Vidal; ZOCKUN, Maurício; ZOCKUN, Carolina Zancaner;</w:t>
      </w:r>
      <w:r>
        <w:rPr>
          <w:spacing w:val="40"/>
        </w:rPr>
        <w:t xml:space="preserve"> </w:t>
      </w:r>
      <w:r>
        <w:t>FREIRE, André Luiz. 1. ed. São Paulo: Pontifícia Universidade Católica de São Paulo, 2017. Disponível em: https://enciclopediajuridica.pucsp.br/verbete/145/edicao-1/processo- administrativo:-aspectos-gerais. Acesso em: 28 dez. 2023.</w:t>
      </w:r>
    </w:p>
    <w:p w:rsidR="007259F2" w:rsidRDefault="00E655B4">
      <w:pPr>
        <w:spacing w:before="118"/>
        <w:ind w:left="710" w:right="421"/>
        <w:jc w:val="both"/>
        <w:rPr>
          <w:sz w:val="24"/>
        </w:rPr>
      </w:pPr>
      <w:r>
        <w:rPr>
          <w:sz w:val="24"/>
        </w:rPr>
        <w:t xml:space="preserve">KREHBIEL, K. 1991. </w:t>
      </w:r>
      <w:r>
        <w:rPr>
          <w:b/>
          <w:sz w:val="24"/>
        </w:rPr>
        <w:t>Information and Legislative Organization</w:t>
      </w:r>
      <w:r>
        <w:rPr>
          <w:sz w:val="24"/>
        </w:rPr>
        <w:t>.</w:t>
      </w:r>
      <w:r>
        <w:rPr>
          <w:spacing w:val="40"/>
          <w:sz w:val="24"/>
        </w:rPr>
        <w:t xml:space="preserve"> </w:t>
      </w:r>
      <w:r>
        <w:rPr>
          <w:sz w:val="24"/>
        </w:rPr>
        <w:t>Ann Arbor : University of Michigan.</w:t>
      </w:r>
    </w:p>
    <w:p w:rsidR="007259F2" w:rsidRDefault="00E655B4">
      <w:pPr>
        <w:spacing w:before="120"/>
        <w:ind w:left="710" w:right="423"/>
        <w:jc w:val="both"/>
        <w:rPr>
          <w:sz w:val="24"/>
        </w:rPr>
      </w:pPr>
      <w:r>
        <w:rPr>
          <w:sz w:val="24"/>
        </w:rPr>
        <w:t xml:space="preserve">MEIRELLES, Hely Lopes. </w:t>
      </w:r>
      <w:r>
        <w:rPr>
          <w:b/>
          <w:sz w:val="24"/>
        </w:rPr>
        <w:t>Direito Municipal Brasileiro</w:t>
      </w:r>
      <w:r>
        <w:rPr>
          <w:sz w:val="24"/>
        </w:rPr>
        <w:t>. 17. ed. Atualizada por Adilson Abreu Dallari, São Paulo: Malheiros, 2014.</w:t>
      </w:r>
    </w:p>
    <w:p w:rsidR="007259F2" w:rsidRDefault="00E655B4">
      <w:pPr>
        <w:pStyle w:val="Corpodetexto"/>
        <w:spacing w:before="121"/>
        <w:ind w:right="420" w:firstLine="0"/>
      </w:pPr>
      <w:r>
        <w:t xml:space="preserve">NASCIMENTO, Roberta Simões. O argumento da intenção do legislador: anotações teóricas sobre uso e significado. </w:t>
      </w:r>
      <w:r>
        <w:rPr>
          <w:b/>
        </w:rPr>
        <w:t>Revista de informação legislativa</w:t>
      </w:r>
      <w:r>
        <w:t xml:space="preserve">, v. 58, n. 232, p. 167-193, out./dez. 2021. Disponível em: </w:t>
      </w:r>
      <w:hyperlink r:id="rId351">
        <w:r>
          <w:rPr>
            <w:u w:val="single"/>
          </w:rPr>
          <w:t>https://www2.senado.leg.br/bdsf/handle/id/596860</w:t>
        </w:r>
        <w:r>
          <w:t>.</w:t>
        </w:r>
      </w:hyperlink>
      <w:r>
        <w:t xml:space="preserve"> Acesso em: 24 dez. 2023.</w:t>
      </w:r>
    </w:p>
    <w:p w:rsidR="007259F2" w:rsidRDefault="00E655B4">
      <w:pPr>
        <w:spacing w:before="120"/>
        <w:ind w:left="710" w:right="424"/>
        <w:rPr>
          <w:sz w:val="24"/>
        </w:rPr>
      </w:pPr>
      <w:r>
        <w:rPr>
          <w:sz w:val="24"/>
        </w:rPr>
        <w:t>PEREIRA,</w:t>
      </w:r>
      <w:r>
        <w:rPr>
          <w:spacing w:val="80"/>
          <w:sz w:val="24"/>
        </w:rPr>
        <w:t xml:space="preserve"> </w:t>
      </w:r>
      <w:r>
        <w:rPr>
          <w:sz w:val="24"/>
        </w:rPr>
        <w:t>Vera</w:t>
      </w:r>
      <w:r>
        <w:rPr>
          <w:spacing w:val="80"/>
          <w:sz w:val="24"/>
        </w:rPr>
        <w:t xml:space="preserve"> </w:t>
      </w:r>
      <w:r>
        <w:rPr>
          <w:sz w:val="24"/>
        </w:rPr>
        <w:t>Regina</w:t>
      </w:r>
      <w:r>
        <w:rPr>
          <w:spacing w:val="80"/>
          <w:sz w:val="24"/>
        </w:rPr>
        <w:t xml:space="preserve"> </w:t>
      </w:r>
      <w:r>
        <w:rPr>
          <w:sz w:val="24"/>
        </w:rPr>
        <w:t>da</w:t>
      </w:r>
      <w:r>
        <w:rPr>
          <w:spacing w:val="80"/>
          <w:sz w:val="24"/>
        </w:rPr>
        <w:t xml:space="preserve"> </w:t>
      </w:r>
      <w:r>
        <w:rPr>
          <w:sz w:val="24"/>
        </w:rPr>
        <w:t>Rosa.</w:t>
      </w:r>
      <w:r>
        <w:rPr>
          <w:spacing w:val="80"/>
          <w:sz w:val="24"/>
        </w:rPr>
        <w:t xml:space="preserve"> </w:t>
      </w:r>
      <w:r>
        <w:rPr>
          <w:b/>
          <w:sz w:val="24"/>
        </w:rPr>
        <w:t>Accountability</w:t>
      </w:r>
      <w:r>
        <w:rPr>
          <w:b/>
          <w:spacing w:val="80"/>
          <w:sz w:val="24"/>
        </w:rPr>
        <w:t xml:space="preserve"> </w:t>
      </w:r>
      <w:r>
        <w:rPr>
          <w:b/>
          <w:sz w:val="24"/>
        </w:rPr>
        <w:t>e</w:t>
      </w:r>
      <w:r>
        <w:rPr>
          <w:b/>
          <w:spacing w:val="80"/>
          <w:sz w:val="24"/>
        </w:rPr>
        <w:t xml:space="preserve"> </w:t>
      </w:r>
      <w:r>
        <w:rPr>
          <w:b/>
          <w:sz w:val="24"/>
        </w:rPr>
        <w:t>comunicação</w:t>
      </w:r>
      <w:r>
        <w:rPr>
          <w:b/>
          <w:spacing w:val="80"/>
          <w:sz w:val="24"/>
        </w:rPr>
        <w:t xml:space="preserve"> </w:t>
      </w:r>
      <w:r>
        <w:rPr>
          <w:b/>
          <w:sz w:val="24"/>
        </w:rPr>
        <w:t>na</w:t>
      </w:r>
      <w:r>
        <w:rPr>
          <w:b/>
          <w:spacing w:val="80"/>
          <w:sz w:val="24"/>
        </w:rPr>
        <w:t xml:space="preserve"> </w:t>
      </w:r>
      <w:r>
        <w:rPr>
          <w:b/>
          <w:sz w:val="24"/>
        </w:rPr>
        <w:t>representação democrática</w:t>
      </w:r>
      <w:r>
        <w:rPr>
          <w:sz w:val="24"/>
        </w:rPr>
        <w:t xml:space="preserve">. BibliotecadoSenadoFederal.2015.Disponívelem: </w:t>
      </w:r>
      <w:hyperlink r:id="rId352">
        <w:r>
          <w:rPr>
            <w:sz w:val="24"/>
          </w:rPr>
          <w:t>https://www2.senado.leg.br/bdsf/handle/id/516865</w:t>
        </w:r>
      </w:hyperlink>
      <w:r>
        <w:rPr>
          <w:sz w:val="24"/>
        </w:rPr>
        <w:t>. Acesso em: 03 jan.2024.</w:t>
      </w:r>
    </w:p>
    <w:p w:rsidR="007259F2" w:rsidRDefault="00E655B4">
      <w:pPr>
        <w:pStyle w:val="Corpodetexto"/>
        <w:spacing w:before="120"/>
        <w:ind w:right="421" w:firstLine="0"/>
        <w:jc w:val="left"/>
      </w:pPr>
      <w:r>
        <w:t>PISKE,</w:t>
      </w:r>
      <w:r>
        <w:rPr>
          <w:spacing w:val="40"/>
        </w:rPr>
        <w:t xml:space="preserve"> </w:t>
      </w:r>
      <w:r>
        <w:t>de</w:t>
      </w:r>
      <w:r>
        <w:rPr>
          <w:spacing w:val="40"/>
        </w:rPr>
        <w:t xml:space="preserve"> </w:t>
      </w:r>
      <w:r>
        <w:t>A.Barbosa;</w:t>
      </w:r>
      <w:r>
        <w:rPr>
          <w:spacing w:val="40"/>
        </w:rPr>
        <w:t xml:space="preserve"> </w:t>
      </w:r>
      <w:r>
        <w:t>SARACHO,</w:t>
      </w:r>
      <w:r>
        <w:rPr>
          <w:spacing w:val="40"/>
        </w:rPr>
        <w:t xml:space="preserve"> </w:t>
      </w:r>
      <w:r>
        <w:t>Antonio</w:t>
      </w:r>
      <w:r>
        <w:rPr>
          <w:spacing w:val="40"/>
        </w:rPr>
        <w:t xml:space="preserve"> </w:t>
      </w:r>
      <w:r>
        <w:t>Benites.</w:t>
      </w:r>
      <w:r>
        <w:rPr>
          <w:spacing w:val="40"/>
        </w:rPr>
        <w:t xml:space="preserve"> </w:t>
      </w:r>
      <w:r>
        <w:rPr>
          <w:b/>
        </w:rPr>
        <w:t>Considerações</w:t>
      </w:r>
      <w:r>
        <w:rPr>
          <w:b/>
          <w:spacing w:val="40"/>
        </w:rPr>
        <w:t xml:space="preserve"> </w:t>
      </w:r>
      <w:r>
        <w:rPr>
          <w:b/>
        </w:rPr>
        <w:t>sobre</w:t>
      </w:r>
      <w:r>
        <w:rPr>
          <w:b/>
          <w:spacing w:val="40"/>
        </w:rPr>
        <w:t xml:space="preserve"> </w:t>
      </w:r>
      <w:r>
        <w:rPr>
          <w:b/>
        </w:rPr>
        <w:t>a</w:t>
      </w:r>
      <w:r>
        <w:rPr>
          <w:b/>
          <w:spacing w:val="40"/>
        </w:rPr>
        <w:t xml:space="preserve"> </w:t>
      </w:r>
      <w:r>
        <w:rPr>
          <w:b/>
        </w:rPr>
        <w:t>Teoria</w:t>
      </w:r>
      <w:r>
        <w:rPr>
          <w:b/>
          <w:spacing w:val="40"/>
        </w:rPr>
        <w:t xml:space="preserve"> </w:t>
      </w:r>
      <w:r>
        <w:rPr>
          <w:b/>
        </w:rPr>
        <w:t>dos Freios eContrapesos</w:t>
      </w:r>
      <w:r>
        <w:t xml:space="preserve">. 2018.Disponívelem: </w:t>
      </w:r>
      <w:hyperlink r:id="rId353" w:anchor="_ftn1">
        <w:r>
          <w:rPr>
            <w:spacing w:val="-2"/>
          </w:rPr>
          <w:t>https://www.tjdft.jus.br/institucional/imprensa/campanhas-e-produtos/artigos-discursos-e-</w:t>
        </w:r>
      </w:hyperlink>
      <w:r>
        <w:rPr>
          <w:spacing w:val="-2"/>
        </w:rPr>
        <w:t xml:space="preserve"> </w:t>
      </w:r>
      <w:hyperlink r:id="rId354" w:anchor="_ftn1">
        <w:r>
          <w:rPr>
            <w:spacing w:val="-2"/>
          </w:rPr>
          <w:t>entrevistas/artigos/2018/consideracoes-sobre-a-teoria-dos-freios-e-contrapesos-checks-and-</w:t>
        </w:r>
      </w:hyperlink>
      <w:r>
        <w:rPr>
          <w:spacing w:val="-2"/>
        </w:rPr>
        <w:t xml:space="preserve"> </w:t>
      </w:r>
      <w:hyperlink r:id="rId355" w:anchor="_ftn1">
        <w:r>
          <w:t>balances-system-juiza-oriana-piske#_ftn1.</w:t>
        </w:r>
      </w:hyperlink>
      <w:r>
        <w:t xml:space="preserve"> Acesso em: 29 dez. 2023.</w:t>
      </w:r>
    </w:p>
    <w:p w:rsidR="007259F2" w:rsidRDefault="00E655B4">
      <w:pPr>
        <w:pStyle w:val="Corpodetexto"/>
        <w:tabs>
          <w:tab w:val="left" w:pos="2682"/>
          <w:tab w:val="left" w:pos="3646"/>
          <w:tab w:val="left" w:pos="5150"/>
          <w:tab w:val="left" w:pos="6273"/>
          <w:tab w:val="left" w:pos="7589"/>
          <w:tab w:val="left" w:pos="9437"/>
        </w:tabs>
        <w:spacing w:before="121"/>
        <w:ind w:right="416" w:firstLine="0"/>
      </w:pPr>
      <w:r>
        <w:t>ROCHA,</w:t>
      </w:r>
      <w:r>
        <w:rPr>
          <w:spacing w:val="-8"/>
        </w:rPr>
        <w:t xml:space="preserve"> </w:t>
      </w:r>
      <w:r>
        <w:t>Marta</w:t>
      </w:r>
      <w:r>
        <w:rPr>
          <w:spacing w:val="-11"/>
        </w:rPr>
        <w:t xml:space="preserve"> </w:t>
      </w:r>
      <w:r>
        <w:t>Mendes</w:t>
      </w:r>
      <w:r>
        <w:rPr>
          <w:spacing w:val="-10"/>
        </w:rPr>
        <w:t xml:space="preserve"> </w:t>
      </w:r>
      <w:r>
        <w:t>da;</w:t>
      </w:r>
      <w:r>
        <w:rPr>
          <w:spacing w:val="-13"/>
        </w:rPr>
        <w:t xml:space="preserve"> </w:t>
      </w:r>
      <w:r>
        <w:t>BARBOSA,</w:t>
      </w:r>
      <w:r>
        <w:rPr>
          <w:spacing w:val="-8"/>
        </w:rPr>
        <w:t xml:space="preserve"> </w:t>
      </w:r>
      <w:r>
        <w:t>Cásseio Felipe.</w:t>
      </w:r>
      <w:r>
        <w:rPr>
          <w:spacing w:val="-8"/>
        </w:rPr>
        <w:t xml:space="preserve"> </w:t>
      </w:r>
      <w:r>
        <w:t>Regras, incentivos</w:t>
      </w:r>
      <w:r>
        <w:rPr>
          <w:spacing w:val="-8"/>
        </w:rPr>
        <w:t xml:space="preserve"> </w:t>
      </w:r>
      <w:r>
        <w:t>e</w:t>
      </w:r>
      <w:r>
        <w:rPr>
          <w:spacing w:val="-12"/>
        </w:rPr>
        <w:t xml:space="preserve"> </w:t>
      </w:r>
      <w:r>
        <w:t>comportamento: as</w:t>
      </w:r>
      <w:r>
        <w:rPr>
          <w:spacing w:val="-12"/>
        </w:rPr>
        <w:t xml:space="preserve"> </w:t>
      </w:r>
      <w:r>
        <w:t>comissões</w:t>
      </w:r>
      <w:r>
        <w:rPr>
          <w:spacing w:val="-8"/>
        </w:rPr>
        <w:t xml:space="preserve"> </w:t>
      </w:r>
      <w:r>
        <w:t>parlamentares</w:t>
      </w:r>
      <w:r>
        <w:rPr>
          <w:spacing w:val="-7"/>
        </w:rPr>
        <w:t xml:space="preserve"> </w:t>
      </w:r>
      <w:r>
        <w:t>nos</w:t>
      </w:r>
      <w:r>
        <w:rPr>
          <w:spacing w:val="-12"/>
        </w:rPr>
        <w:t xml:space="preserve"> </w:t>
      </w:r>
      <w:r>
        <w:t>países</w:t>
      </w:r>
      <w:r>
        <w:rPr>
          <w:spacing w:val="-8"/>
        </w:rPr>
        <w:t xml:space="preserve"> </w:t>
      </w:r>
      <w:r>
        <w:t>docone</w:t>
      </w:r>
      <w:r>
        <w:rPr>
          <w:spacing w:val="40"/>
        </w:rPr>
        <w:t xml:space="preserve"> </w:t>
      </w:r>
      <w:r>
        <w:t xml:space="preserve">sul. </w:t>
      </w:r>
      <w:r>
        <w:rPr>
          <w:b/>
        </w:rPr>
        <w:t xml:space="preserve">Rev. Sociol. Polít., </w:t>
      </w:r>
      <w:r>
        <w:t xml:space="preserve">Curitiba, v. 16, n. </w:t>
      </w:r>
      <w:r>
        <w:rPr>
          <w:spacing w:val="-2"/>
        </w:rPr>
        <w:t>suplementar,</w:t>
      </w:r>
      <w:r>
        <w:tab/>
      </w:r>
      <w:r>
        <w:rPr>
          <w:spacing w:val="-5"/>
        </w:rPr>
        <w:t>p.</w:t>
      </w:r>
      <w:r>
        <w:tab/>
      </w:r>
      <w:r>
        <w:rPr>
          <w:spacing w:val="-6"/>
        </w:rPr>
        <w:t>93-</w:t>
      </w:r>
      <w:r>
        <w:rPr>
          <w:spacing w:val="-4"/>
        </w:rPr>
        <w:t>104,</w:t>
      </w:r>
      <w:r>
        <w:tab/>
      </w:r>
      <w:r>
        <w:rPr>
          <w:spacing w:val="-5"/>
        </w:rPr>
        <w:t>ago</w:t>
      </w:r>
      <w:r>
        <w:tab/>
      </w:r>
      <w:r>
        <w:rPr>
          <w:spacing w:val="-2"/>
        </w:rPr>
        <w:t>2008.</w:t>
      </w:r>
      <w:r>
        <w:tab/>
      </w:r>
      <w:r>
        <w:rPr>
          <w:spacing w:val="-2"/>
        </w:rPr>
        <w:t>Disponível</w:t>
      </w:r>
      <w:r>
        <w:tab/>
      </w:r>
      <w:r>
        <w:rPr>
          <w:spacing w:val="-6"/>
        </w:rPr>
        <w:t>em:</w:t>
      </w:r>
    </w:p>
    <w:p w:rsidR="007259F2" w:rsidRDefault="007259F2">
      <w:pPr>
        <w:pStyle w:val="Corpodetexto"/>
        <w:sectPr w:rsidR="007259F2">
          <w:pgSz w:w="11910" w:h="16840"/>
          <w:pgMar w:top="1600" w:right="708" w:bottom="1020" w:left="992" w:header="0" w:footer="820" w:gutter="0"/>
          <w:cols w:space="720"/>
        </w:sectPr>
      </w:pPr>
    </w:p>
    <w:p w:rsidR="007259F2" w:rsidRDefault="00DE6B1C">
      <w:pPr>
        <w:pStyle w:val="Corpodetexto"/>
        <w:spacing w:before="75"/>
        <w:ind w:right="1013" w:firstLine="0"/>
      </w:pPr>
      <w:hyperlink r:id="rId356">
        <w:r w:rsidR="00E655B4">
          <w:rPr>
            <w:color w:val="0000FF"/>
            <w:spacing w:val="-2"/>
            <w:u w:val="single" w:color="0000FF"/>
          </w:rPr>
          <w:t>https://www.scielo.br/j/rsocp/a/V4CY3KD3B8MHBgjrrxgQwkH/?format=pdf&amp;lang=pt</w:t>
        </w:r>
      </w:hyperlink>
      <w:r w:rsidR="00E655B4">
        <w:rPr>
          <w:color w:val="0000FF"/>
          <w:spacing w:val="-2"/>
        </w:rPr>
        <w:t xml:space="preserve"> </w:t>
      </w:r>
      <w:r w:rsidR="00E655B4">
        <w:t>Acesso em: 12 jan.2024.</w:t>
      </w:r>
    </w:p>
    <w:p w:rsidR="007259F2" w:rsidRDefault="00E655B4">
      <w:pPr>
        <w:pStyle w:val="Corpodetexto"/>
        <w:spacing w:before="120"/>
        <w:ind w:right="421" w:firstLine="0"/>
      </w:pPr>
      <w:r>
        <w:t>SANTOS, M. H. de C. Governabilidade, governança e democracia: Criação da Capacidade Governativa e</w:t>
      </w:r>
      <w:r>
        <w:rPr>
          <w:spacing w:val="-1"/>
        </w:rPr>
        <w:t xml:space="preserve"> </w:t>
      </w:r>
      <w:r>
        <w:t xml:space="preserve">Relações Executivo-Legislativo no Brasil Pós-Constituinte. </w:t>
      </w:r>
      <w:r>
        <w:rPr>
          <w:b/>
        </w:rPr>
        <w:t xml:space="preserve">DADOS – Revista de Ciências Sociais. </w:t>
      </w:r>
      <w:r>
        <w:t xml:space="preserve">Rio de Janeiro, v. 40, n. 3, p. 335-376, 1997. Disponível em: </w:t>
      </w:r>
      <w:hyperlink r:id="rId357">
        <w:r>
          <w:rPr>
            <w:color w:val="0000FF"/>
            <w:spacing w:val="-2"/>
            <w:u w:val="single" w:color="0000FF"/>
          </w:rPr>
          <w:t>https://www.scielo.br/j/rsocp/a/V4CY3KD3B8MHBgjrrxgQwkH/?format=pdf&amp;lang=pt</w:t>
        </w:r>
      </w:hyperlink>
      <w:r>
        <w:rPr>
          <w:spacing w:val="-2"/>
        </w:rPr>
        <w:t>.</w:t>
      </w:r>
    </w:p>
    <w:p w:rsidR="007259F2" w:rsidRDefault="00E655B4">
      <w:pPr>
        <w:pStyle w:val="Corpodetexto"/>
        <w:ind w:firstLine="0"/>
      </w:pPr>
      <w:r>
        <w:t>Acesso</w:t>
      </w:r>
      <w:r>
        <w:rPr>
          <w:spacing w:val="-5"/>
        </w:rPr>
        <w:t xml:space="preserve"> </w:t>
      </w:r>
      <w:r>
        <w:t>em:</w:t>
      </w:r>
      <w:r>
        <w:rPr>
          <w:spacing w:val="-5"/>
        </w:rPr>
        <w:t xml:space="preserve"> </w:t>
      </w:r>
      <w:r>
        <w:t>28</w:t>
      </w:r>
      <w:r>
        <w:rPr>
          <w:spacing w:val="-1"/>
        </w:rPr>
        <w:t xml:space="preserve"> </w:t>
      </w:r>
      <w:r>
        <w:rPr>
          <w:spacing w:val="-2"/>
        </w:rPr>
        <w:t>dez.2024</w:t>
      </w:r>
    </w:p>
    <w:p w:rsidR="007259F2" w:rsidRDefault="00E655B4">
      <w:pPr>
        <w:pStyle w:val="Corpodetexto"/>
        <w:spacing w:before="120"/>
        <w:ind w:right="422" w:firstLine="0"/>
      </w:pPr>
      <w:r>
        <w:t xml:space="preserve">SÃO PAULO (SP). </w:t>
      </w:r>
      <w:r>
        <w:rPr>
          <w:b/>
        </w:rPr>
        <w:t>Decreto nº 61.928 de 25 de outubro de 2022</w:t>
      </w:r>
      <w:r>
        <w:t>. Catálogo de Legislação Municipal.</w:t>
      </w:r>
      <w:r>
        <w:rPr>
          <w:spacing w:val="-15"/>
        </w:rPr>
        <w:t xml:space="preserve"> </w:t>
      </w:r>
      <w:r>
        <w:t>Disponível</w:t>
      </w:r>
      <w:r>
        <w:rPr>
          <w:spacing w:val="-15"/>
        </w:rPr>
        <w:t xml:space="preserve"> </w:t>
      </w:r>
      <w:r>
        <w:t>em:</w:t>
      </w:r>
      <w:r>
        <w:rPr>
          <w:spacing w:val="-10"/>
        </w:rPr>
        <w:t xml:space="preserve"> </w:t>
      </w:r>
      <w:hyperlink r:id="rId358">
        <w:r>
          <w:rPr>
            <w:color w:val="0000FF"/>
            <w:u w:val="single" w:color="0000FF"/>
          </w:rPr>
          <w:t>https://legislacao.prefeitura.sp.gov.br/leis/decreto-61928-de-25-de-</w:t>
        </w:r>
      </w:hyperlink>
      <w:r>
        <w:rPr>
          <w:color w:val="0000FF"/>
        </w:rPr>
        <w:t xml:space="preserve"> </w:t>
      </w:r>
      <w:hyperlink r:id="rId359">
        <w:r>
          <w:rPr>
            <w:color w:val="0000FF"/>
            <w:u w:val="single" w:color="0000FF"/>
          </w:rPr>
          <w:t>outubro-de-2022</w:t>
        </w:r>
        <w:r>
          <w:t>.</w:t>
        </w:r>
      </w:hyperlink>
      <w:r>
        <w:t xml:space="preserve"> Acesso em: 24/12/2023.</w:t>
      </w:r>
    </w:p>
    <w:p w:rsidR="007259F2" w:rsidRDefault="00E655B4">
      <w:pPr>
        <w:pStyle w:val="Corpodetexto"/>
        <w:tabs>
          <w:tab w:val="left" w:pos="8744"/>
        </w:tabs>
        <w:spacing w:before="121"/>
        <w:ind w:right="422" w:firstLine="0"/>
      </w:pPr>
      <w:r>
        <w:t xml:space="preserve">SÃO PAULO (SP). </w:t>
      </w:r>
      <w:r>
        <w:rPr>
          <w:b/>
        </w:rPr>
        <w:t>Lei Orgânica do Município de São Paulo</w:t>
      </w:r>
      <w:r>
        <w:t>. Catálogode</w:t>
      </w:r>
      <w:r>
        <w:tab/>
      </w:r>
      <w:r>
        <w:rPr>
          <w:spacing w:val="-2"/>
        </w:rPr>
        <w:t xml:space="preserve">Legislação </w:t>
      </w:r>
      <w:r>
        <w:t xml:space="preserve">Municipal.Disponívelem: </w:t>
      </w:r>
      <w:hyperlink r:id="rId360">
        <w:r>
          <w:rPr>
            <w:color w:val="0000FF"/>
            <w:u w:val="single" w:color="0000FF"/>
          </w:rPr>
          <w:t>https://legislacao.prefeitura.sp.gov.br/leis/lei-0-de-04-de-abril-de-</w:t>
        </w:r>
      </w:hyperlink>
      <w:r>
        <w:rPr>
          <w:color w:val="0000FF"/>
        </w:rPr>
        <w:t xml:space="preserve"> </w:t>
      </w:r>
      <w:hyperlink r:id="rId361">
        <w:r>
          <w:rPr>
            <w:color w:val="0000FF"/>
            <w:u w:val="single" w:color="0000FF"/>
          </w:rPr>
          <w:t>1990</w:t>
        </w:r>
        <w:r>
          <w:t>.</w:t>
        </w:r>
      </w:hyperlink>
      <w:r>
        <w:t xml:space="preserve"> Acesso em: 20 dez. 2023.</w:t>
      </w:r>
    </w:p>
    <w:p w:rsidR="007259F2" w:rsidRDefault="00E655B4">
      <w:pPr>
        <w:pStyle w:val="Corpodetexto"/>
        <w:tabs>
          <w:tab w:val="left" w:pos="3040"/>
          <w:tab w:val="left" w:pos="4677"/>
        </w:tabs>
        <w:spacing w:before="120"/>
        <w:ind w:right="424" w:firstLine="0"/>
      </w:pPr>
      <w:r>
        <w:t xml:space="preserve">SÃO PAULO (SP). Câmara Municipal. </w:t>
      </w:r>
      <w:r>
        <w:rPr>
          <w:b/>
        </w:rPr>
        <w:t>Como nascem as leis</w:t>
      </w:r>
      <w:r>
        <w:t xml:space="preserve">. São Paulo: saopaulo.sp.leg.br. </w:t>
      </w:r>
      <w:r>
        <w:rPr>
          <w:spacing w:val="-2"/>
        </w:rPr>
        <w:t>Disponível</w:t>
      </w:r>
      <w:r>
        <w:tab/>
      </w:r>
      <w:r>
        <w:rPr>
          <w:spacing w:val="-4"/>
        </w:rPr>
        <w:t>em:</w:t>
      </w:r>
      <w:r>
        <w:tab/>
      </w:r>
      <w:r>
        <w:rPr>
          <w:spacing w:val="-2"/>
        </w:rPr>
        <w:t>https://</w:t>
      </w:r>
      <w:hyperlink r:id="rId362">
        <w:r>
          <w:rPr>
            <w:spacing w:val="-2"/>
          </w:rPr>
          <w:t>www.saopaulo.sp.leg.br/especiaiscmsp/como-</w:t>
        </w:r>
      </w:hyperlink>
      <w:r>
        <w:rPr>
          <w:spacing w:val="-2"/>
        </w:rPr>
        <w:t xml:space="preserve"> nascemleis/#:~:text=SUBSTITUTIVO%20%E2%80%93%20%C3%89%20a%20proposi%C3</w:t>
      </w:r>
    </w:p>
    <w:p w:rsidR="007259F2" w:rsidRDefault="00E655B4">
      <w:pPr>
        <w:pStyle w:val="Corpodetexto"/>
        <w:ind w:right="426" w:firstLine="0"/>
      </w:pPr>
      <w:r>
        <w:t xml:space="preserve">%A7%C3%A3o%20apresentada,Projeto%20a%20que%20se%20refere. Acesso em: 28 dez. </w:t>
      </w:r>
      <w:r>
        <w:rPr>
          <w:spacing w:val="-2"/>
        </w:rPr>
        <w:t>2023.</w:t>
      </w:r>
    </w:p>
    <w:p w:rsidR="007259F2" w:rsidRDefault="00E655B4">
      <w:pPr>
        <w:pStyle w:val="Corpodetexto"/>
        <w:tabs>
          <w:tab w:val="left" w:pos="3023"/>
          <w:tab w:val="left" w:pos="6668"/>
          <w:tab w:val="left" w:pos="9420"/>
        </w:tabs>
        <w:spacing w:before="120"/>
        <w:ind w:right="421" w:firstLine="0"/>
        <w:jc w:val="left"/>
      </w:pPr>
      <w:r>
        <w:t>SÃO</w:t>
      </w:r>
      <w:r>
        <w:rPr>
          <w:spacing w:val="34"/>
        </w:rPr>
        <w:t xml:space="preserve"> </w:t>
      </w:r>
      <w:r>
        <w:t>PAULO</w:t>
      </w:r>
      <w:r>
        <w:rPr>
          <w:spacing w:val="34"/>
        </w:rPr>
        <w:t xml:space="preserve"> </w:t>
      </w:r>
      <w:r>
        <w:t>(SP).</w:t>
      </w:r>
      <w:r>
        <w:rPr>
          <w:spacing w:val="34"/>
        </w:rPr>
        <w:t xml:space="preserve"> </w:t>
      </w:r>
      <w:r>
        <w:t>Prefeitura.</w:t>
      </w:r>
      <w:r>
        <w:rPr>
          <w:spacing w:val="40"/>
        </w:rPr>
        <w:t xml:space="preserve"> </w:t>
      </w:r>
      <w:r>
        <w:rPr>
          <w:b/>
        </w:rPr>
        <w:t>Competências</w:t>
      </w:r>
      <w:r>
        <w:rPr>
          <w:b/>
          <w:spacing w:val="35"/>
        </w:rPr>
        <w:t xml:space="preserve"> </w:t>
      </w:r>
      <w:r>
        <w:rPr>
          <w:b/>
        </w:rPr>
        <w:t>e</w:t>
      </w:r>
      <w:r>
        <w:rPr>
          <w:b/>
          <w:spacing w:val="36"/>
        </w:rPr>
        <w:t xml:space="preserve"> </w:t>
      </w:r>
      <w:r>
        <w:rPr>
          <w:b/>
        </w:rPr>
        <w:t>atribuições</w:t>
      </w:r>
      <w:r>
        <w:rPr>
          <w:b/>
          <w:spacing w:val="35"/>
        </w:rPr>
        <w:t xml:space="preserve"> </w:t>
      </w:r>
      <w:r>
        <w:rPr>
          <w:b/>
        </w:rPr>
        <w:t>–</w:t>
      </w:r>
      <w:r>
        <w:rPr>
          <w:b/>
          <w:spacing w:val="37"/>
        </w:rPr>
        <w:t xml:space="preserve"> </w:t>
      </w:r>
      <w:r>
        <w:rPr>
          <w:b/>
        </w:rPr>
        <w:t>Acesso</w:t>
      </w:r>
      <w:r>
        <w:rPr>
          <w:b/>
          <w:spacing w:val="40"/>
        </w:rPr>
        <w:t xml:space="preserve"> </w:t>
      </w:r>
      <w:r>
        <w:rPr>
          <w:b/>
        </w:rPr>
        <w:t>à</w:t>
      </w:r>
      <w:r>
        <w:rPr>
          <w:b/>
          <w:spacing w:val="35"/>
        </w:rPr>
        <w:t xml:space="preserve"> </w:t>
      </w:r>
      <w:r>
        <w:rPr>
          <w:b/>
        </w:rPr>
        <w:t>informação</w:t>
      </w:r>
      <w:r>
        <w:t>.</w:t>
      </w:r>
      <w:r>
        <w:rPr>
          <w:spacing w:val="37"/>
        </w:rPr>
        <w:t xml:space="preserve"> </w:t>
      </w:r>
      <w:r>
        <w:t xml:space="preserve">São </w:t>
      </w:r>
      <w:r>
        <w:rPr>
          <w:spacing w:val="-2"/>
        </w:rPr>
        <w:t>Paulo:</w:t>
      </w:r>
      <w:r>
        <w:tab/>
      </w:r>
      <w:r>
        <w:rPr>
          <w:spacing w:val="-2"/>
        </w:rPr>
        <w:t>prefeitura.sp.gov.br.</w:t>
      </w:r>
      <w:r>
        <w:tab/>
      </w:r>
      <w:r>
        <w:rPr>
          <w:spacing w:val="-2"/>
        </w:rPr>
        <w:t>Disponível</w:t>
      </w:r>
      <w:r>
        <w:tab/>
      </w:r>
      <w:r>
        <w:rPr>
          <w:spacing w:val="-4"/>
        </w:rPr>
        <w:t xml:space="preserve">em: </w:t>
      </w:r>
      <w:r>
        <w:rPr>
          <w:spacing w:val="-2"/>
        </w:rPr>
        <w:t>https:/</w:t>
      </w:r>
      <w:hyperlink r:id="rId363">
        <w:r>
          <w:rPr>
            <w:spacing w:val="-2"/>
          </w:rPr>
          <w:t>/www.prefeitura.sp.gov.br/cidade/secretarias/casa_civil/acesso_a_informacao/index.ph</w:t>
        </w:r>
      </w:hyperlink>
      <w:r>
        <w:rPr>
          <w:spacing w:val="-2"/>
        </w:rPr>
        <w:t xml:space="preserve"> </w:t>
      </w:r>
      <w:r>
        <w:t>p?p=245622. Acesso em: 27 dez. 2023.</w:t>
      </w:r>
    </w:p>
    <w:p w:rsidR="007259F2" w:rsidRDefault="00E655B4">
      <w:pPr>
        <w:spacing w:before="121"/>
        <w:ind w:left="710"/>
        <w:rPr>
          <w:sz w:val="24"/>
        </w:rPr>
      </w:pPr>
      <w:r>
        <w:rPr>
          <w:sz w:val="24"/>
        </w:rPr>
        <w:t>SHEPSLE, K. A. &amp;</w:t>
      </w:r>
      <w:r>
        <w:rPr>
          <w:spacing w:val="-2"/>
          <w:sz w:val="24"/>
        </w:rPr>
        <w:t xml:space="preserve"> </w:t>
      </w:r>
      <w:r>
        <w:rPr>
          <w:sz w:val="24"/>
        </w:rPr>
        <w:t xml:space="preserve">WEINGAST, B. R. 1987. </w:t>
      </w:r>
      <w:r>
        <w:rPr>
          <w:b/>
          <w:sz w:val="24"/>
        </w:rPr>
        <w:t>The</w:t>
      </w:r>
      <w:r>
        <w:rPr>
          <w:b/>
          <w:spacing w:val="-1"/>
          <w:sz w:val="24"/>
        </w:rPr>
        <w:t xml:space="preserve"> </w:t>
      </w:r>
      <w:r>
        <w:rPr>
          <w:b/>
          <w:sz w:val="24"/>
        </w:rPr>
        <w:t>Institutional Foundations of</w:t>
      </w:r>
      <w:r>
        <w:rPr>
          <w:b/>
          <w:spacing w:val="-1"/>
          <w:sz w:val="24"/>
        </w:rPr>
        <w:t xml:space="preserve"> </w:t>
      </w:r>
      <w:r>
        <w:rPr>
          <w:b/>
          <w:sz w:val="24"/>
        </w:rPr>
        <w:t>Committee Power</w:t>
      </w:r>
      <w:r>
        <w:rPr>
          <w:sz w:val="24"/>
        </w:rPr>
        <w:t>. American Political Science Review, Washington, D. C., n. 81, p. 85-103.</w:t>
      </w:r>
    </w:p>
    <w:p w:rsidR="007259F2" w:rsidRDefault="00E655B4">
      <w:pPr>
        <w:spacing w:before="120"/>
        <w:ind w:left="710"/>
        <w:rPr>
          <w:sz w:val="24"/>
        </w:rPr>
      </w:pPr>
      <w:r>
        <w:rPr>
          <w:sz w:val="24"/>
        </w:rPr>
        <w:t>WORLD</w:t>
      </w:r>
      <w:r>
        <w:rPr>
          <w:spacing w:val="-8"/>
          <w:sz w:val="24"/>
        </w:rPr>
        <w:t xml:space="preserve"> </w:t>
      </w:r>
      <w:r>
        <w:rPr>
          <w:sz w:val="24"/>
        </w:rPr>
        <w:t>BANK.</w:t>
      </w:r>
      <w:r>
        <w:rPr>
          <w:spacing w:val="-2"/>
          <w:sz w:val="24"/>
        </w:rPr>
        <w:t xml:space="preserve"> </w:t>
      </w:r>
      <w:r>
        <w:rPr>
          <w:b/>
          <w:sz w:val="24"/>
        </w:rPr>
        <w:t>Governance</w:t>
      </w:r>
      <w:r>
        <w:rPr>
          <w:b/>
          <w:spacing w:val="-6"/>
          <w:sz w:val="24"/>
        </w:rPr>
        <w:t xml:space="preserve"> </w:t>
      </w:r>
      <w:r>
        <w:rPr>
          <w:b/>
          <w:sz w:val="24"/>
        </w:rPr>
        <w:t>and</w:t>
      </w:r>
      <w:r>
        <w:rPr>
          <w:b/>
          <w:spacing w:val="-2"/>
          <w:sz w:val="24"/>
        </w:rPr>
        <w:t xml:space="preserve"> </w:t>
      </w:r>
      <w:r>
        <w:rPr>
          <w:b/>
          <w:sz w:val="24"/>
        </w:rPr>
        <w:t>development</w:t>
      </w:r>
      <w:r>
        <w:rPr>
          <w:sz w:val="24"/>
        </w:rPr>
        <w:t>.</w:t>
      </w:r>
      <w:r>
        <w:rPr>
          <w:spacing w:val="-1"/>
          <w:sz w:val="24"/>
        </w:rPr>
        <w:t xml:space="preserve"> </w:t>
      </w:r>
      <w:r>
        <w:rPr>
          <w:sz w:val="24"/>
        </w:rPr>
        <w:t>Washington,</w:t>
      </w:r>
      <w:r>
        <w:rPr>
          <w:spacing w:val="-1"/>
          <w:sz w:val="24"/>
        </w:rPr>
        <w:t xml:space="preserve"> </w:t>
      </w:r>
      <w:r>
        <w:rPr>
          <w:sz w:val="24"/>
        </w:rPr>
        <w:t>DC,</w:t>
      </w:r>
      <w:r>
        <w:rPr>
          <w:spacing w:val="-6"/>
          <w:sz w:val="24"/>
        </w:rPr>
        <w:t xml:space="preserve"> </w:t>
      </w:r>
      <w:r>
        <w:rPr>
          <w:spacing w:val="-2"/>
          <w:sz w:val="24"/>
        </w:rPr>
        <w:t>1992.</w:t>
      </w:r>
    </w:p>
    <w:p w:rsidR="007259F2" w:rsidRDefault="007259F2">
      <w:pPr>
        <w:rPr>
          <w:sz w:val="24"/>
        </w:rPr>
        <w:sectPr w:rsidR="007259F2">
          <w:pgSz w:w="11910" w:h="16840"/>
          <w:pgMar w:top="1600" w:right="708" w:bottom="1020" w:left="992" w:header="0" w:footer="820" w:gutter="0"/>
          <w:cols w:space="720"/>
        </w:sectPr>
      </w:pPr>
    </w:p>
    <w:p w:rsidR="007259F2" w:rsidRDefault="00E655B4">
      <w:pPr>
        <w:pStyle w:val="Heading2"/>
        <w:spacing w:before="60"/>
        <w:ind w:right="421"/>
      </w:pPr>
      <w:bookmarkStart w:id="19" w:name="_bookmark19"/>
      <w:bookmarkEnd w:id="19"/>
      <w:r>
        <w:lastRenderedPageBreak/>
        <w:t>Instrumentos Indutores da Função Social da Propriedade Urbana no Município de São Paulo: Desapropriação com Pagamento Mediante Títulos da Dívida Pública e Instrumentos Alternativos</w:t>
      </w:r>
    </w:p>
    <w:p w:rsidR="007259F2" w:rsidRDefault="00E655B4">
      <w:pPr>
        <w:spacing w:before="202"/>
        <w:ind w:left="712" w:right="562"/>
        <w:jc w:val="both"/>
        <w:rPr>
          <w:b/>
          <w:sz w:val="24"/>
        </w:rPr>
      </w:pPr>
      <w:r>
        <w:rPr>
          <w:b/>
          <w:sz w:val="24"/>
        </w:rPr>
        <w:t xml:space="preserve">Instruments to Induce the Social Function of Urban Property in City of São Paulo: Expropriation With Payment Through Government Bonds and Alternative </w:t>
      </w:r>
      <w:r>
        <w:rPr>
          <w:b/>
          <w:spacing w:val="-2"/>
          <w:sz w:val="24"/>
        </w:rPr>
        <w:t>Instruments</w:t>
      </w:r>
    </w:p>
    <w:p w:rsidR="007259F2" w:rsidRDefault="00E655B4">
      <w:pPr>
        <w:spacing w:before="201"/>
        <w:ind w:left="712"/>
        <w:jc w:val="both"/>
        <w:rPr>
          <w:b/>
          <w:sz w:val="24"/>
        </w:rPr>
      </w:pPr>
      <w:r>
        <w:rPr>
          <w:b/>
          <w:sz w:val="24"/>
        </w:rPr>
        <w:t>Thais</w:t>
      </w:r>
      <w:r>
        <w:rPr>
          <w:b/>
          <w:spacing w:val="-3"/>
          <w:sz w:val="24"/>
        </w:rPr>
        <w:t xml:space="preserve"> </w:t>
      </w:r>
      <w:r>
        <w:rPr>
          <w:b/>
          <w:sz w:val="24"/>
        </w:rPr>
        <w:t>de</w:t>
      </w:r>
      <w:r>
        <w:rPr>
          <w:b/>
          <w:spacing w:val="-5"/>
          <w:sz w:val="24"/>
        </w:rPr>
        <w:t xml:space="preserve"> </w:t>
      </w:r>
      <w:r>
        <w:rPr>
          <w:b/>
          <w:sz w:val="24"/>
        </w:rPr>
        <w:t>Arruda</w:t>
      </w:r>
      <w:r>
        <w:rPr>
          <w:b/>
          <w:spacing w:val="-1"/>
          <w:sz w:val="24"/>
        </w:rPr>
        <w:t xml:space="preserve"> </w:t>
      </w:r>
      <w:r>
        <w:rPr>
          <w:b/>
          <w:spacing w:val="-2"/>
          <w:sz w:val="24"/>
        </w:rPr>
        <w:t>Pelligrino</w:t>
      </w:r>
      <w:r>
        <w:rPr>
          <w:b/>
          <w:spacing w:val="-2"/>
          <w:sz w:val="24"/>
          <w:vertAlign w:val="superscript"/>
        </w:rPr>
        <w:t>1</w:t>
      </w:r>
    </w:p>
    <w:p w:rsidR="007259F2" w:rsidRDefault="007259F2">
      <w:pPr>
        <w:pStyle w:val="Corpodetexto"/>
        <w:spacing w:before="199"/>
        <w:ind w:left="0" w:firstLine="0"/>
        <w:jc w:val="left"/>
        <w:rPr>
          <w:b/>
        </w:rPr>
      </w:pPr>
    </w:p>
    <w:p w:rsidR="007259F2" w:rsidRDefault="00E655B4">
      <w:pPr>
        <w:pStyle w:val="Heading1"/>
        <w:spacing w:before="1"/>
        <w:ind w:left="712"/>
      </w:pPr>
      <w:r>
        <w:rPr>
          <w:spacing w:val="-2"/>
        </w:rPr>
        <w:t>RESUMO</w:t>
      </w:r>
    </w:p>
    <w:p w:rsidR="007259F2" w:rsidRDefault="00E655B4">
      <w:pPr>
        <w:pStyle w:val="Corpodetexto"/>
        <w:spacing w:before="154"/>
        <w:ind w:right="565" w:firstLine="0"/>
      </w:pPr>
      <w:r>
        <w:t>O objetivo deste artigo é discorrer sobre a aplicação dos instrumentos indutores da função social da propriedade no Município de São Paulo, em especial a desapropriação com pagamento mediante títulos da dívida pública e os instrumentos alternativos introduzidos pela revisão ao Plano Diretor Estratégico (PDE) – Lei Municipal nº 16.050/2014, partindo</w:t>
      </w:r>
      <w:r>
        <w:rPr>
          <w:spacing w:val="40"/>
        </w:rPr>
        <w:t xml:space="preserve"> </w:t>
      </w:r>
      <w:r>
        <w:t xml:space="preserve">da definição de função social da propriedade e dos dispositivos constitucionais referentes à política de desenvolvimento urbano, passando rapidamente pelas diretrizes estabelecidas pelo Estatuto da Cidade – Lei 10.257/2001, até alcançar as disposições mais específicas do PDE. Ademais, utilizando-se como base os dados levantados pela Coordenadoria de Controle da Função Social da Propriedade (CEPEUC), unidade que compõe a Secretaria Municipal de Urbanismo e Licenciamento (SMUL), em relatório produzido em junho de 2023, busca-se identificar os efeitos dos instrumentos indutores da função social da propriedade urbana aplicados até aquele momento, isto é, o parcelamento, edificação e utilização compulsórios (PEUC) e o IPTU progressivo no tempo, além de relatar as dificuldades em dar início à aplicação do instrumento da desapropriação com pagamento mediante títulos da dívida pública. Considerando tais dificuldades e buscando dar maior efetividade no cumprimento da função social da propriedade urbana, discorre-se, ao final, sobre os instrumentos alternativos inseridos pela revisão ao PDE – Lei Municipal nº </w:t>
      </w:r>
      <w:r>
        <w:rPr>
          <w:spacing w:val="-2"/>
        </w:rPr>
        <w:t>17.975/2023.</w:t>
      </w:r>
    </w:p>
    <w:p w:rsidR="007259F2" w:rsidRDefault="00E655B4">
      <w:pPr>
        <w:spacing w:before="123"/>
        <w:ind w:left="712"/>
        <w:jc w:val="both"/>
        <w:rPr>
          <w:sz w:val="24"/>
        </w:rPr>
      </w:pPr>
      <w:r>
        <w:rPr>
          <w:b/>
          <w:sz w:val="24"/>
        </w:rPr>
        <w:t>Palavras-chave:</w:t>
      </w:r>
      <w:r>
        <w:rPr>
          <w:b/>
          <w:spacing w:val="-6"/>
          <w:sz w:val="24"/>
        </w:rPr>
        <w:t xml:space="preserve"> </w:t>
      </w:r>
      <w:r>
        <w:rPr>
          <w:sz w:val="24"/>
        </w:rPr>
        <w:t>função</w:t>
      </w:r>
      <w:r>
        <w:rPr>
          <w:spacing w:val="-1"/>
          <w:sz w:val="24"/>
        </w:rPr>
        <w:t xml:space="preserve"> </w:t>
      </w:r>
      <w:r>
        <w:rPr>
          <w:sz w:val="24"/>
        </w:rPr>
        <w:t>social;</w:t>
      </w:r>
      <w:r>
        <w:rPr>
          <w:spacing w:val="-3"/>
          <w:sz w:val="24"/>
        </w:rPr>
        <w:t xml:space="preserve"> </w:t>
      </w:r>
      <w:r>
        <w:rPr>
          <w:sz w:val="24"/>
        </w:rPr>
        <w:t>instrumentos</w:t>
      </w:r>
      <w:r>
        <w:rPr>
          <w:spacing w:val="-5"/>
          <w:sz w:val="24"/>
        </w:rPr>
        <w:t xml:space="preserve"> </w:t>
      </w:r>
      <w:r>
        <w:rPr>
          <w:sz w:val="24"/>
        </w:rPr>
        <w:t>indutores;</w:t>
      </w:r>
      <w:r>
        <w:rPr>
          <w:spacing w:val="-1"/>
          <w:sz w:val="24"/>
        </w:rPr>
        <w:t xml:space="preserve"> </w:t>
      </w:r>
      <w:r>
        <w:rPr>
          <w:spacing w:val="-2"/>
          <w:sz w:val="24"/>
        </w:rPr>
        <w:t>desapropriação.</w:t>
      </w:r>
    </w:p>
    <w:p w:rsidR="007259F2" w:rsidRDefault="007259F2">
      <w:pPr>
        <w:pStyle w:val="Corpodetexto"/>
        <w:spacing w:before="163"/>
        <w:ind w:left="0" w:firstLine="0"/>
        <w:jc w:val="left"/>
      </w:pPr>
    </w:p>
    <w:p w:rsidR="007259F2" w:rsidRDefault="00E655B4">
      <w:pPr>
        <w:pStyle w:val="Heading1"/>
      </w:pPr>
      <w:r>
        <w:rPr>
          <w:spacing w:val="-2"/>
        </w:rPr>
        <w:t>ABSTRACT</w:t>
      </w:r>
    </w:p>
    <w:p w:rsidR="007259F2" w:rsidRDefault="00E655B4">
      <w:pPr>
        <w:pStyle w:val="Corpodetexto"/>
        <w:spacing w:before="116"/>
        <w:ind w:right="420" w:firstLine="0"/>
      </w:pPr>
      <w:r>
        <w:t>This article aims to discuss the application of instruments that induce the social function of property in the Municipality of São Paulo, specially the expropriation with payment through government bonds and alternative instruments inserted by the review of Strategic Direct Plan (PDE) – Municipal Law nº 16.050/2014, starting from the definition of the social function of property</w:t>
      </w:r>
      <w:r>
        <w:rPr>
          <w:spacing w:val="-15"/>
        </w:rPr>
        <w:t xml:space="preserve"> </w:t>
      </w:r>
      <w:r>
        <w:t>and</w:t>
      </w:r>
      <w:r>
        <w:rPr>
          <w:spacing w:val="-13"/>
        </w:rPr>
        <w:t xml:space="preserve"> </w:t>
      </w:r>
      <w:r>
        <w:t>the</w:t>
      </w:r>
      <w:r>
        <w:rPr>
          <w:spacing w:val="-11"/>
        </w:rPr>
        <w:t xml:space="preserve"> </w:t>
      </w:r>
      <w:r>
        <w:t>constitutional</w:t>
      </w:r>
      <w:r>
        <w:rPr>
          <w:spacing w:val="-9"/>
        </w:rPr>
        <w:t xml:space="preserve"> </w:t>
      </w:r>
      <w:r>
        <w:t>provisions</w:t>
      </w:r>
      <w:r>
        <w:rPr>
          <w:spacing w:val="-10"/>
        </w:rPr>
        <w:t xml:space="preserve"> </w:t>
      </w:r>
      <w:r>
        <w:t>referring</w:t>
      </w:r>
      <w:r>
        <w:rPr>
          <w:spacing w:val="-8"/>
        </w:rPr>
        <w:t xml:space="preserve"> </w:t>
      </w:r>
      <w:r>
        <w:t>to</w:t>
      </w:r>
      <w:r>
        <w:rPr>
          <w:spacing w:val="-11"/>
        </w:rPr>
        <w:t xml:space="preserve"> </w:t>
      </w:r>
      <w:r>
        <w:t>urban</w:t>
      </w:r>
      <w:r>
        <w:rPr>
          <w:spacing w:val="-13"/>
        </w:rPr>
        <w:t xml:space="preserve"> </w:t>
      </w:r>
      <w:r>
        <w:t>development</w:t>
      </w:r>
      <w:r>
        <w:rPr>
          <w:spacing w:val="-10"/>
        </w:rPr>
        <w:t xml:space="preserve"> </w:t>
      </w:r>
      <w:r>
        <w:t>policy,</w:t>
      </w:r>
      <w:r>
        <w:rPr>
          <w:spacing w:val="-12"/>
        </w:rPr>
        <w:t xml:space="preserve"> </w:t>
      </w:r>
      <w:r>
        <w:t>quickly</w:t>
      </w:r>
      <w:r>
        <w:rPr>
          <w:spacing w:val="-15"/>
        </w:rPr>
        <w:t xml:space="preserve"> </w:t>
      </w:r>
      <w:r>
        <w:t>going more specific provisions of the PDE. Furthermore, using as a basis the data collected by the Coordination of Control of Property´s Social Function (CEPEUC), a unit that is part of the Municipal Secretariat of Urbanism and expropriation with payment Licensing (SMUL), in a report</w:t>
      </w:r>
      <w:r>
        <w:rPr>
          <w:spacing w:val="-3"/>
        </w:rPr>
        <w:t xml:space="preserve"> </w:t>
      </w:r>
      <w:r>
        <w:t>produced</w:t>
      </w:r>
      <w:r>
        <w:rPr>
          <w:spacing w:val="-2"/>
        </w:rPr>
        <w:t xml:space="preserve"> </w:t>
      </w:r>
      <w:r>
        <w:t>in</w:t>
      </w:r>
      <w:r>
        <w:rPr>
          <w:spacing w:val="-2"/>
        </w:rPr>
        <w:t xml:space="preserve"> </w:t>
      </w:r>
      <w:r>
        <w:t>June</w:t>
      </w:r>
      <w:r>
        <w:rPr>
          <w:spacing w:val="-3"/>
        </w:rPr>
        <w:t xml:space="preserve"> </w:t>
      </w:r>
      <w:r>
        <w:t>2023,</w:t>
      </w:r>
      <w:r>
        <w:rPr>
          <w:spacing w:val="-2"/>
        </w:rPr>
        <w:t xml:space="preserve"> </w:t>
      </w:r>
      <w:r>
        <w:t>we</w:t>
      </w:r>
      <w:r>
        <w:rPr>
          <w:spacing w:val="-3"/>
        </w:rPr>
        <w:t xml:space="preserve"> </w:t>
      </w:r>
      <w:r>
        <w:t>seek</w:t>
      </w:r>
      <w:r>
        <w:rPr>
          <w:spacing w:val="-2"/>
        </w:rPr>
        <w:t xml:space="preserve"> </w:t>
      </w:r>
      <w:r>
        <w:t>to</w:t>
      </w:r>
      <w:r>
        <w:rPr>
          <w:spacing w:val="-2"/>
        </w:rPr>
        <w:t xml:space="preserve"> </w:t>
      </w:r>
      <w:r>
        <w:t>identify</w:t>
      </w:r>
      <w:r>
        <w:rPr>
          <w:spacing w:val="-7"/>
        </w:rPr>
        <w:t xml:space="preserve"> </w:t>
      </w:r>
      <w:r>
        <w:t>the</w:t>
      </w:r>
      <w:r>
        <w:rPr>
          <w:spacing w:val="-3"/>
        </w:rPr>
        <w:t xml:space="preserve"> </w:t>
      </w:r>
      <w:r>
        <w:t>effects of</w:t>
      </w:r>
      <w:r>
        <w:rPr>
          <w:spacing w:val="-1"/>
        </w:rPr>
        <w:t xml:space="preserve"> </w:t>
      </w:r>
      <w:r>
        <w:t>the</w:t>
      </w:r>
      <w:r>
        <w:rPr>
          <w:spacing w:val="-2"/>
        </w:rPr>
        <w:t xml:space="preserve"> </w:t>
      </w:r>
      <w:r>
        <w:t>instruments that</w:t>
      </w:r>
      <w:r>
        <w:rPr>
          <w:spacing w:val="-5"/>
        </w:rPr>
        <w:t xml:space="preserve"> </w:t>
      </w:r>
      <w:r>
        <w:t>induce</w:t>
      </w:r>
      <w:r>
        <w:rPr>
          <w:spacing w:val="-6"/>
        </w:rPr>
        <w:t xml:space="preserve"> </w:t>
      </w:r>
      <w:r>
        <w:t>the social function of urban property applied until that moment, i.e., compulsory subdivision, construction and use (PEUC) and progressive IPTU over time, in addition to report the difficulties in initiating</w:t>
      </w:r>
      <w:r>
        <w:rPr>
          <w:spacing w:val="-1"/>
        </w:rPr>
        <w:t xml:space="preserve"> </w:t>
      </w:r>
      <w:r>
        <w:t>the</w:t>
      </w:r>
      <w:r>
        <w:rPr>
          <w:spacing w:val="-5"/>
        </w:rPr>
        <w:t xml:space="preserve"> </w:t>
      </w:r>
      <w:r>
        <w:t>aplication of</w:t>
      </w:r>
      <w:r>
        <w:rPr>
          <w:spacing w:val="-1"/>
        </w:rPr>
        <w:t xml:space="preserve"> </w:t>
      </w:r>
      <w:r>
        <w:t>the</w:t>
      </w:r>
      <w:r>
        <w:rPr>
          <w:spacing w:val="-4"/>
        </w:rPr>
        <w:t xml:space="preserve"> </w:t>
      </w:r>
      <w:r>
        <w:t>instrument of through government bonds.</w:t>
      </w:r>
    </w:p>
    <w:p w:rsidR="007259F2" w:rsidRDefault="00DE6B1C">
      <w:pPr>
        <w:pStyle w:val="Corpodetexto"/>
        <w:spacing w:before="196"/>
        <w:ind w:left="0" w:firstLine="0"/>
        <w:jc w:val="left"/>
        <w:rPr>
          <w:sz w:val="20"/>
        </w:rPr>
      </w:pPr>
      <w:r w:rsidRPr="00DE6B1C">
        <w:rPr>
          <w:sz w:val="20"/>
        </w:rPr>
        <w:pict>
          <v:rect id="docshape181" o:spid="_x0000_s1048" style="position:absolute;margin-left:85.1pt;margin-top:22.55pt;width:2in;height:.7pt;z-index:-15646720;mso-wrap-distance-left:0;mso-wrap-distance-right:0;mso-position-horizontal-relative:page" fillcolor="black" stroked="f">
            <w10:wrap type="topAndBottom" anchorx="page"/>
          </v:rect>
        </w:pict>
      </w:r>
    </w:p>
    <w:p w:rsidR="007259F2" w:rsidRDefault="00E655B4">
      <w:pPr>
        <w:spacing w:before="96"/>
        <w:ind w:left="710"/>
        <w:rPr>
          <w:sz w:val="20"/>
        </w:rPr>
      </w:pPr>
      <w:r>
        <w:rPr>
          <w:sz w:val="20"/>
          <w:vertAlign w:val="superscript"/>
        </w:rPr>
        <w:t>1</w:t>
      </w:r>
      <w:r>
        <w:rPr>
          <w:spacing w:val="30"/>
          <w:sz w:val="20"/>
        </w:rPr>
        <w:t xml:space="preserve"> </w:t>
      </w:r>
      <w:r>
        <w:rPr>
          <w:sz w:val="20"/>
        </w:rPr>
        <w:t>Residente</w:t>
      </w:r>
      <w:r>
        <w:rPr>
          <w:spacing w:val="25"/>
          <w:sz w:val="20"/>
        </w:rPr>
        <w:t xml:space="preserve"> </w:t>
      </w:r>
      <w:r>
        <w:rPr>
          <w:sz w:val="20"/>
        </w:rPr>
        <w:t>jurídica</w:t>
      </w:r>
      <w:r>
        <w:rPr>
          <w:spacing w:val="29"/>
          <w:sz w:val="20"/>
        </w:rPr>
        <w:t xml:space="preserve"> </w:t>
      </w:r>
      <w:r>
        <w:rPr>
          <w:sz w:val="20"/>
        </w:rPr>
        <w:t>do</w:t>
      </w:r>
      <w:r>
        <w:rPr>
          <w:spacing w:val="28"/>
          <w:sz w:val="20"/>
        </w:rPr>
        <w:t xml:space="preserve"> </w:t>
      </w:r>
      <w:r>
        <w:rPr>
          <w:sz w:val="20"/>
        </w:rPr>
        <w:t>Programa</w:t>
      </w:r>
      <w:r>
        <w:rPr>
          <w:spacing w:val="30"/>
          <w:sz w:val="20"/>
        </w:rPr>
        <w:t xml:space="preserve"> </w:t>
      </w:r>
      <w:r>
        <w:rPr>
          <w:sz w:val="20"/>
        </w:rPr>
        <w:t>de</w:t>
      </w:r>
      <w:r>
        <w:rPr>
          <w:spacing w:val="30"/>
          <w:sz w:val="20"/>
        </w:rPr>
        <w:t xml:space="preserve"> </w:t>
      </w:r>
      <w:r>
        <w:rPr>
          <w:sz w:val="20"/>
        </w:rPr>
        <w:t>Residência</w:t>
      </w:r>
      <w:r>
        <w:rPr>
          <w:spacing w:val="30"/>
          <w:sz w:val="20"/>
        </w:rPr>
        <w:t xml:space="preserve"> </w:t>
      </w:r>
      <w:r>
        <w:rPr>
          <w:sz w:val="20"/>
        </w:rPr>
        <w:t>Jurídica</w:t>
      </w:r>
      <w:r>
        <w:rPr>
          <w:spacing w:val="30"/>
          <w:sz w:val="20"/>
        </w:rPr>
        <w:t xml:space="preserve"> </w:t>
      </w:r>
      <w:r>
        <w:rPr>
          <w:sz w:val="20"/>
        </w:rPr>
        <w:t>da</w:t>
      </w:r>
      <w:r>
        <w:rPr>
          <w:spacing w:val="30"/>
          <w:sz w:val="20"/>
        </w:rPr>
        <w:t xml:space="preserve"> </w:t>
      </w:r>
      <w:r>
        <w:rPr>
          <w:sz w:val="20"/>
        </w:rPr>
        <w:t>Procuradoria</w:t>
      </w:r>
      <w:r>
        <w:rPr>
          <w:spacing w:val="30"/>
          <w:sz w:val="20"/>
        </w:rPr>
        <w:t xml:space="preserve"> </w:t>
      </w:r>
      <w:r>
        <w:rPr>
          <w:sz w:val="20"/>
        </w:rPr>
        <w:t>Geral</w:t>
      </w:r>
      <w:r>
        <w:rPr>
          <w:spacing w:val="27"/>
          <w:sz w:val="20"/>
        </w:rPr>
        <w:t xml:space="preserve"> </w:t>
      </w:r>
      <w:r>
        <w:rPr>
          <w:sz w:val="20"/>
        </w:rPr>
        <w:t>do</w:t>
      </w:r>
      <w:r>
        <w:rPr>
          <w:spacing w:val="35"/>
          <w:sz w:val="20"/>
        </w:rPr>
        <w:t xml:space="preserve"> </w:t>
      </w:r>
      <w:r>
        <w:rPr>
          <w:sz w:val="20"/>
        </w:rPr>
        <w:t>Município</w:t>
      </w:r>
      <w:r>
        <w:rPr>
          <w:spacing w:val="30"/>
          <w:sz w:val="20"/>
        </w:rPr>
        <w:t xml:space="preserve"> </w:t>
      </w:r>
      <w:r>
        <w:rPr>
          <w:sz w:val="20"/>
        </w:rPr>
        <w:t>de</w:t>
      </w:r>
      <w:r>
        <w:rPr>
          <w:spacing w:val="30"/>
          <w:sz w:val="20"/>
        </w:rPr>
        <w:t xml:space="preserve"> </w:t>
      </w:r>
      <w:r>
        <w:rPr>
          <w:sz w:val="20"/>
        </w:rPr>
        <w:t>São</w:t>
      </w:r>
      <w:r>
        <w:rPr>
          <w:spacing w:val="28"/>
          <w:sz w:val="20"/>
        </w:rPr>
        <w:t xml:space="preserve"> </w:t>
      </w:r>
      <w:r>
        <w:rPr>
          <w:sz w:val="20"/>
        </w:rPr>
        <w:t>Paulo, alocada na</w:t>
      </w:r>
      <w:r>
        <w:rPr>
          <w:spacing w:val="-5"/>
          <w:sz w:val="20"/>
        </w:rPr>
        <w:t xml:space="preserve"> </w:t>
      </w:r>
      <w:r>
        <w:rPr>
          <w:sz w:val="20"/>
        </w:rPr>
        <w:t>Assessoria Jurídica da Secretaria Municipal de Urbanismo e Licenciamento – SMUL (2022-2025).</w:t>
      </w:r>
    </w:p>
    <w:p w:rsidR="007259F2" w:rsidRDefault="00E655B4">
      <w:pPr>
        <w:spacing w:before="1"/>
        <w:ind w:left="710"/>
        <w:rPr>
          <w:sz w:val="20"/>
        </w:rPr>
      </w:pPr>
      <w:r>
        <w:rPr>
          <w:sz w:val="20"/>
        </w:rPr>
        <w:t>E-mail:</w:t>
      </w:r>
      <w:r>
        <w:rPr>
          <w:spacing w:val="-8"/>
          <w:sz w:val="20"/>
        </w:rPr>
        <w:t xml:space="preserve"> </w:t>
      </w:r>
      <w:hyperlink r:id="rId364">
        <w:r>
          <w:rPr>
            <w:color w:val="0000FF"/>
            <w:spacing w:val="-2"/>
            <w:sz w:val="20"/>
            <w:u w:val="single" w:color="0000FF"/>
          </w:rPr>
          <w:t>thaisapelligrino@gmail.com</w:t>
        </w:r>
      </w:hyperlink>
    </w:p>
    <w:p w:rsidR="007259F2" w:rsidRDefault="007259F2">
      <w:pPr>
        <w:rPr>
          <w:sz w:val="20"/>
        </w:rPr>
        <w:sectPr w:rsidR="007259F2">
          <w:pgSz w:w="11910" w:h="16840"/>
          <w:pgMar w:top="1620" w:right="708" w:bottom="1020" w:left="992" w:header="0" w:footer="820" w:gutter="0"/>
          <w:cols w:space="720"/>
        </w:sectPr>
      </w:pPr>
    </w:p>
    <w:p w:rsidR="007259F2" w:rsidRDefault="00E655B4">
      <w:pPr>
        <w:pStyle w:val="Corpodetexto"/>
        <w:spacing w:before="66"/>
        <w:ind w:right="423" w:firstLine="0"/>
      </w:pPr>
      <w:r>
        <w:lastRenderedPageBreak/>
        <w:t>Considering</w:t>
      </w:r>
      <w:r>
        <w:rPr>
          <w:spacing w:val="-15"/>
        </w:rPr>
        <w:t xml:space="preserve"> </w:t>
      </w:r>
      <w:r>
        <w:t>these</w:t>
      </w:r>
      <w:r>
        <w:rPr>
          <w:spacing w:val="-15"/>
        </w:rPr>
        <w:t xml:space="preserve"> </w:t>
      </w:r>
      <w:r>
        <w:t>difficulties</w:t>
      </w:r>
      <w:r>
        <w:rPr>
          <w:spacing w:val="-15"/>
        </w:rPr>
        <w:t xml:space="preserve"> </w:t>
      </w:r>
      <w:r>
        <w:t>and</w:t>
      </w:r>
      <w:r>
        <w:rPr>
          <w:spacing w:val="-15"/>
        </w:rPr>
        <w:t xml:space="preserve"> </w:t>
      </w:r>
      <w:r>
        <w:t>seeking</w:t>
      </w:r>
      <w:r>
        <w:rPr>
          <w:spacing w:val="-15"/>
        </w:rPr>
        <w:t xml:space="preserve"> </w:t>
      </w:r>
      <w:r>
        <w:t>to</w:t>
      </w:r>
      <w:r>
        <w:rPr>
          <w:spacing w:val="-15"/>
        </w:rPr>
        <w:t xml:space="preserve"> </w:t>
      </w:r>
      <w:r>
        <w:t>provide</w:t>
      </w:r>
      <w:r>
        <w:rPr>
          <w:spacing w:val="-15"/>
        </w:rPr>
        <w:t xml:space="preserve"> </w:t>
      </w:r>
      <w:r>
        <w:t>greater</w:t>
      </w:r>
      <w:r>
        <w:rPr>
          <w:spacing w:val="-15"/>
        </w:rPr>
        <w:t xml:space="preserve"> </w:t>
      </w:r>
      <w:r>
        <w:t>effectiveness</w:t>
      </w:r>
      <w:r>
        <w:rPr>
          <w:spacing w:val="-15"/>
        </w:rPr>
        <w:t xml:space="preserve"> </w:t>
      </w:r>
      <w:r>
        <w:t>in</w:t>
      </w:r>
      <w:r>
        <w:rPr>
          <w:spacing w:val="-15"/>
        </w:rPr>
        <w:t xml:space="preserve"> </w:t>
      </w:r>
      <w:r>
        <w:t>fulfilling</w:t>
      </w:r>
      <w:r>
        <w:rPr>
          <w:spacing w:val="-15"/>
        </w:rPr>
        <w:t xml:space="preserve"> </w:t>
      </w:r>
      <w:r>
        <w:t>the</w:t>
      </w:r>
      <w:r>
        <w:rPr>
          <w:spacing w:val="-15"/>
        </w:rPr>
        <w:t xml:space="preserve"> </w:t>
      </w:r>
      <w:r>
        <w:t>social function of urban property, at the end is mentioned the alternative instruments inserted by the review of the PDE – Municipal Law nº 17.975/2023.</w:t>
      </w:r>
    </w:p>
    <w:p w:rsidR="007259F2" w:rsidRDefault="00E655B4">
      <w:pPr>
        <w:pStyle w:val="Corpodetexto"/>
        <w:spacing w:before="120"/>
        <w:ind w:left="712" w:firstLine="0"/>
      </w:pPr>
      <w:r>
        <w:rPr>
          <w:b/>
        </w:rPr>
        <w:t>Keywords:</w:t>
      </w:r>
      <w:r>
        <w:rPr>
          <w:b/>
          <w:spacing w:val="-7"/>
        </w:rPr>
        <w:t xml:space="preserve"> </w:t>
      </w:r>
      <w:r>
        <w:t>social</w:t>
      </w:r>
      <w:r>
        <w:rPr>
          <w:spacing w:val="-2"/>
        </w:rPr>
        <w:t xml:space="preserve"> </w:t>
      </w:r>
      <w:r>
        <w:t>function;</w:t>
      </w:r>
      <w:r>
        <w:rPr>
          <w:spacing w:val="-2"/>
        </w:rPr>
        <w:t xml:space="preserve"> </w:t>
      </w:r>
      <w:r>
        <w:t>inductive</w:t>
      </w:r>
      <w:r>
        <w:rPr>
          <w:spacing w:val="-2"/>
        </w:rPr>
        <w:t xml:space="preserve"> </w:t>
      </w:r>
      <w:r>
        <w:t xml:space="preserve">instruments; </w:t>
      </w:r>
      <w:r>
        <w:rPr>
          <w:spacing w:val="-2"/>
        </w:rPr>
        <w:t>expropriation.</w:t>
      </w:r>
    </w:p>
    <w:p w:rsidR="007259F2" w:rsidRDefault="007259F2">
      <w:pPr>
        <w:pStyle w:val="Corpodetexto"/>
        <w:spacing w:before="180"/>
        <w:ind w:left="0" w:firstLine="0"/>
        <w:jc w:val="left"/>
      </w:pPr>
    </w:p>
    <w:p w:rsidR="007259F2" w:rsidRDefault="00E655B4">
      <w:pPr>
        <w:pStyle w:val="Heading2"/>
        <w:numPr>
          <w:ilvl w:val="0"/>
          <w:numId w:val="13"/>
        </w:numPr>
        <w:tabs>
          <w:tab w:val="left" w:pos="1136"/>
        </w:tabs>
        <w:spacing w:before="0"/>
        <w:ind w:left="1136" w:hanging="424"/>
        <w:jc w:val="both"/>
      </w:pPr>
      <w:r>
        <w:rPr>
          <w:spacing w:val="-2"/>
        </w:rPr>
        <w:t>Introdução</w:t>
      </w:r>
    </w:p>
    <w:p w:rsidR="007259F2" w:rsidRDefault="00E655B4">
      <w:pPr>
        <w:pStyle w:val="Corpodetexto"/>
        <w:spacing w:before="115"/>
        <w:ind w:right="420"/>
      </w:pPr>
      <w:r>
        <w:t>Com o processo de urbanização brasileiro que se iniciou em meados do século XIX, diversas cidades se desenvolveram de forma desordenada e sem planejamento, concentrando, atualmente, grande</w:t>
      </w:r>
      <w:r>
        <w:rPr>
          <w:spacing w:val="-1"/>
        </w:rPr>
        <w:t xml:space="preserve"> </w:t>
      </w:r>
      <w:r>
        <w:t>número</w:t>
      </w:r>
      <w:r>
        <w:rPr>
          <w:spacing w:val="-1"/>
        </w:rPr>
        <w:t xml:space="preserve"> </w:t>
      </w:r>
      <w:r>
        <w:t>de</w:t>
      </w:r>
      <w:r>
        <w:rPr>
          <w:spacing w:val="-2"/>
        </w:rPr>
        <w:t xml:space="preserve"> </w:t>
      </w:r>
      <w:r>
        <w:t>habitantes, sem conter, todavia, a infraestrutura necessária para garantir o bem-estar de todos. Pode-se dizer que, com o crescimento populacional e a urbanização</w:t>
      </w:r>
      <w:r>
        <w:rPr>
          <w:spacing w:val="-11"/>
        </w:rPr>
        <w:t xml:space="preserve"> </w:t>
      </w:r>
      <w:r>
        <w:t>acelerada,</w:t>
      </w:r>
      <w:r>
        <w:rPr>
          <w:spacing w:val="-12"/>
        </w:rPr>
        <w:t xml:space="preserve"> </w:t>
      </w:r>
      <w:r>
        <w:t>surgiram</w:t>
      </w:r>
      <w:r>
        <w:rPr>
          <w:spacing w:val="-10"/>
        </w:rPr>
        <w:t xml:space="preserve"> </w:t>
      </w:r>
      <w:r>
        <w:t>os</w:t>
      </w:r>
      <w:r>
        <w:rPr>
          <w:spacing w:val="-10"/>
        </w:rPr>
        <w:t xml:space="preserve"> </w:t>
      </w:r>
      <w:r>
        <w:t>desafios</w:t>
      </w:r>
      <w:r>
        <w:rPr>
          <w:spacing w:val="-11"/>
        </w:rPr>
        <w:t xml:space="preserve"> </w:t>
      </w:r>
      <w:r>
        <w:t>relacionados</w:t>
      </w:r>
      <w:r>
        <w:rPr>
          <w:spacing w:val="-9"/>
        </w:rPr>
        <w:t xml:space="preserve"> </w:t>
      </w:r>
      <w:r>
        <w:t>ao</w:t>
      </w:r>
      <w:r>
        <w:rPr>
          <w:spacing w:val="-11"/>
        </w:rPr>
        <w:t xml:space="preserve"> </w:t>
      </w:r>
      <w:r>
        <w:t>aumento</w:t>
      </w:r>
      <w:r>
        <w:rPr>
          <w:spacing w:val="-13"/>
        </w:rPr>
        <w:t xml:space="preserve"> </w:t>
      </w:r>
      <w:r>
        <w:t>da</w:t>
      </w:r>
      <w:r>
        <w:rPr>
          <w:spacing w:val="-14"/>
        </w:rPr>
        <w:t xml:space="preserve"> </w:t>
      </w:r>
      <w:r>
        <w:t>demanda</w:t>
      </w:r>
      <w:r>
        <w:rPr>
          <w:spacing w:val="-13"/>
        </w:rPr>
        <w:t xml:space="preserve"> </w:t>
      </w:r>
      <w:r>
        <w:t>por</w:t>
      </w:r>
      <w:r>
        <w:rPr>
          <w:spacing w:val="-14"/>
        </w:rPr>
        <w:t xml:space="preserve"> </w:t>
      </w:r>
      <w:r>
        <w:t>moradia, emprego,</w:t>
      </w:r>
      <w:r>
        <w:rPr>
          <w:spacing w:val="-1"/>
        </w:rPr>
        <w:t xml:space="preserve"> </w:t>
      </w:r>
      <w:r>
        <w:t>educação,</w:t>
      </w:r>
      <w:r>
        <w:rPr>
          <w:spacing w:val="-5"/>
        </w:rPr>
        <w:t xml:space="preserve"> </w:t>
      </w:r>
      <w:r>
        <w:t>transporte</w:t>
      </w:r>
      <w:r>
        <w:rPr>
          <w:spacing w:val="-6"/>
        </w:rPr>
        <w:t xml:space="preserve"> </w:t>
      </w:r>
      <w:r>
        <w:t>e</w:t>
      </w:r>
      <w:r>
        <w:rPr>
          <w:spacing w:val="-7"/>
        </w:rPr>
        <w:t xml:space="preserve"> </w:t>
      </w:r>
      <w:r>
        <w:t>saúde,</w:t>
      </w:r>
      <w:r>
        <w:rPr>
          <w:spacing w:val="-6"/>
        </w:rPr>
        <w:t xml:space="preserve"> </w:t>
      </w:r>
      <w:r>
        <w:t>sendo</w:t>
      </w:r>
      <w:r>
        <w:rPr>
          <w:spacing w:val="-3"/>
        </w:rPr>
        <w:t xml:space="preserve"> </w:t>
      </w:r>
      <w:r>
        <w:t>a</w:t>
      </w:r>
      <w:r>
        <w:rPr>
          <w:spacing w:val="-4"/>
        </w:rPr>
        <w:t xml:space="preserve"> </w:t>
      </w:r>
      <w:r>
        <w:t>cidade</w:t>
      </w:r>
      <w:r>
        <w:rPr>
          <w:spacing w:val="-6"/>
        </w:rPr>
        <w:t xml:space="preserve"> </w:t>
      </w:r>
      <w:r>
        <w:t>de</w:t>
      </w:r>
      <w:r>
        <w:rPr>
          <w:spacing w:val="-7"/>
        </w:rPr>
        <w:t xml:space="preserve"> </w:t>
      </w:r>
      <w:r>
        <w:t>São</w:t>
      </w:r>
      <w:r>
        <w:rPr>
          <w:spacing w:val="-6"/>
        </w:rPr>
        <w:t xml:space="preserve"> </w:t>
      </w:r>
      <w:r>
        <w:t>Paulo</w:t>
      </w:r>
      <w:r>
        <w:rPr>
          <w:spacing w:val="-3"/>
        </w:rPr>
        <w:t xml:space="preserve"> </w:t>
      </w:r>
      <w:r>
        <w:t>um</w:t>
      </w:r>
      <w:r>
        <w:rPr>
          <w:spacing w:val="-3"/>
        </w:rPr>
        <w:t xml:space="preserve"> </w:t>
      </w:r>
      <w:r>
        <w:t>grande</w:t>
      </w:r>
      <w:r>
        <w:rPr>
          <w:spacing w:val="-6"/>
        </w:rPr>
        <w:t xml:space="preserve"> </w:t>
      </w:r>
      <w:r>
        <w:t>exemplo</w:t>
      </w:r>
      <w:r>
        <w:rPr>
          <w:spacing w:val="-5"/>
        </w:rPr>
        <w:t xml:space="preserve"> </w:t>
      </w:r>
      <w:r>
        <w:t xml:space="preserve">desse </w:t>
      </w:r>
      <w:r>
        <w:rPr>
          <w:spacing w:val="-2"/>
        </w:rPr>
        <w:t>processo.</w:t>
      </w:r>
    </w:p>
    <w:p w:rsidR="007259F2" w:rsidRDefault="00E655B4">
      <w:pPr>
        <w:pStyle w:val="Corpodetexto"/>
        <w:spacing w:before="1"/>
        <w:ind w:right="421"/>
      </w:pPr>
      <w:r>
        <w:t xml:space="preserve">Diante desse cenário e a fim de harmonizar a convivência das pessoas com os centros urbanos, construindo um ambiente urbano mais equilibrado, tornou-se relevante a questão da função social da propriedade urbana a fim de garantir o devido aproveitamento dos espaços </w:t>
      </w:r>
      <w:r>
        <w:rPr>
          <w:spacing w:val="-2"/>
        </w:rPr>
        <w:t>urbanos.</w:t>
      </w:r>
    </w:p>
    <w:p w:rsidR="007259F2" w:rsidRDefault="00E655B4">
      <w:pPr>
        <w:pStyle w:val="Corpodetexto"/>
        <w:ind w:right="422"/>
      </w:pPr>
      <w:r>
        <w:t>Isso decorre do fato de que o mau aproveitamento desses espaços acaba por segregar regiões com mais infraestrutura, como comércio, transporte e saneamento básico, das regiões com mais moradia, sobretudo nas quais reside a população mais pobre. Assim, com o preenchimento</w:t>
      </w:r>
      <w:r>
        <w:rPr>
          <w:spacing w:val="-3"/>
        </w:rPr>
        <w:t xml:space="preserve"> </w:t>
      </w:r>
      <w:r>
        <w:t>dos</w:t>
      </w:r>
      <w:r>
        <w:rPr>
          <w:spacing w:val="-6"/>
        </w:rPr>
        <w:t xml:space="preserve"> </w:t>
      </w:r>
      <w:r>
        <w:t>imóveis</w:t>
      </w:r>
      <w:r>
        <w:rPr>
          <w:spacing w:val="-4"/>
        </w:rPr>
        <w:t xml:space="preserve"> </w:t>
      </w:r>
      <w:r>
        <w:t>ociosos</w:t>
      </w:r>
      <w:r>
        <w:rPr>
          <w:spacing w:val="-5"/>
        </w:rPr>
        <w:t xml:space="preserve"> </w:t>
      </w:r>
      <w:r>
        <w:t>na</w:t>
      </w:r>
      <w:r>
        <w:rPr>
          <w:spacing w:val="-7"/>
        </w:rPr>
        <w:t xml:space="preserve"> </w:t>
      </w:r>
      <w:r>
        <w:t>cidade</w:t>
      </w:r>
      <w:r>
        <w:rPr>
          <w:spacing w:val="-7"/>
        </w:rPr>
        <w:t xml:space="preserve"> </w:t>
      </w:r>
      <w:r>
        <w:t>é</w:t>
      </w:r>
      <w:r>
        <w:rPr>
          <w:spacing w:val="-7"/>
        </w:rPr>
        <w:t xml:space="preserve"> </w:t>
      </w:r>
      <w:r>
        <w:t>possível</w:t>
      </w:r>
      <w:r>
        <w:rPr>
          <w:spacing w:val="-4"/>
        </w:rPr>
        <w:t xml:space="preserve"> </w:t>
      </w:r>
      <w:r>
        <w:t>incluir</w:t>
      </w:r>
      <w:r>
        <w:rPr>
          <w:spacing w:val="-8"/>
        </w:rPr>
        <w:t xml:space="preserve"> </w:t>
      </w:r>
      <w:r>
        <w:t>moradia</w:t>
      </w:r>
      <w:r>
        <w:rPr>
          <w:spacing w:val="-6"/>
        </w:rPr>
        <w:t xml:space="preserve"> </w:t>
      </w:r>
      <w:r>
        <w:t>onde</w:t>
      </w:r>
      <w:r>
        <w:rPr>
          <w:spacing w:val="-8"/>
        </w:rPr>
        <w:t xml:space="preserve"> </w:t>
      </w:r>
      <w:r>
        <w:t>há</w:t>
      </w:r>
      <w:r>
        <w:rPr>
          <w:spacing w:val="-7"/>
        </w:rPr>
        <w:t xml:space="preserve"> </w:t>
      </w:r>
      <w:r>
        <w:t>infraestrutura e incluir infraestrutura onde há moradia, aproximando-as e garantindo um maior equilíbrio do ambiente urbano.</w:t>
      </w:r>
    </w:p>
    <w:p w:rsidR="007259F2" w:rsidRDefault="00E655B4">
      <w:pPr>
        <w:pStyle w:val="Corpodetexto"/>
        <w:ind w:right="424"/>
      </w:pPr>
      <w:r>
        <w:t>Considerando</w:t>
      </w:r>
      <w:r>
        <w:rPr>
          <w:spacing w:val="-4"/>
        </w:rPr>
        <w:t xml:space="preserve"> </w:t>
      </w:r>
      <w:r>
        <w:t>a</w:t>
      </w:r>
      <w:r>
        <w:rPr>
          <w:spacing w:val="-8"/>
        </w:rPr>
        <w:t xml:space="preserve"> </w:t>
      </w:r>
      <w:r>
        <w:t>importância</w:t>
      </w:r>
      <w:r>
        <w:rPr>
          <w:spacing w:val="-5"/>
        </w:rPr>
        <w:t xml:space="preserve"> </w:t>
      </w:r>
      <w:r>
        <w:t>do</w:t>
      </w:r>
      <w:r>
        <w:rPr>
          <w:spacing w:val="-5"/>
        </w:rPr>
        <w:t xml:space="preserve"> </w:t>
      </w:r>
      <w:r>
        <w:t>tema</w:t>
      </w:r>
      <w:r>
        <w:rPr>
          <w:spacing w:val="-6"/>
        </w:rPr>
        <w:t xml:space="preserve"> </w:t>
      </w:r>
      <w:r>
        <w:t>e</w:t>
      </w:r>
      <w:r>
        <w:rPr>
          <w:spacing w:val="-8"/>
        </w:rPr>
        <w:t xml:space="preserve"> </w:t>
      </w:r>
      <w:r>
        <w:t>partindo-se,</w:t>
      </w:r>
      <w:r>
        <w:rPr>
          <w:spacing w:val="-7"/>
        </w:rPr>
        <w:t xml:space="preserve"> </w:t>
      </w:r>
      <w:r>
        <w:t>então,</w:t>
      </w:r>
      <w:r>
        <w:rPr>
          <w:spacing w:val="-5"/>
        </w:rPr>
        <w:t xml:space="preserve"> </w:t>
      </w:r>
      <w:r>
        <w:t>da</w:t>
      </w:r>
      <w:r>
        <w:rPr>
          <w:spacing w:val="-8"/>
        </w:rPr>
        <w:t xml:space="preserve"> </w:t>
      </w:r>
      <w:r>
        <w:t>definição</w:t>
      </w:r>
      <w:r>
        <w:rPr>
          <w:spacing w:val="-4"/>
        </w:rPr>
        <w:t xml:space="preserve"> </w:t>
      </w:r>
      <w:r>
        <w:t>de</w:t>
      </w:r>
      <w:r>
        <w:rPr>
          <w:spacing w:val="-6"/>
        </w:rPr>
        <w:t xml:space="preserve"> </w:t>
      </w:r>
      <w:r>
        <w:t>função</w:t>
      </w:r>
      <w:r>
        <w:rPr>
          <w:spacing w:val="-5"/>
        </w:rPr>
        <w:t xml:space="preserve"> </w:t>
      </w:r>
      <w:r>
        <w:t>social da propriedade urbana, passa-se a analisar a aplicação dos instrumentos voltados a induzir seu cumprimento no Município de São Paulo.</w:t>
      </w:r>
    </w:p>
    <w:p w:rsidR="007259F2" w:rsidRDefault="00E655B4">
      <w:pPr>
        <w:pStyle w:val="Heading2"/>
        <w:numPr>
          <w:ilvl w:val="0"/>
          <w:numId w:val="13"/>
        </w:numPr>
        <w:tabs>
          <w:tab w:val="left" w:pos="1136"/>
        </w:tabs>
        <w:ind w:left="1136" w:hanging="424"/>
        <w:jc w:val="both"/>
      </w:pPr>
      <w:r>
        <w:t>Função</w:t>
      </w:r>
      <w:r>
        <w:rPr>
          <w:spacing w:val="-4"/>
        </w:rPr>
        <w:t xml:space="preserve"> </w:t>
      </w:r>
      <w:r>
        <w:t>Social</w:t>
      </w:r>
      <w:r>
        <w:rPr>
          <w:spacing w:val="-4"/>
        </w:rPr>
        <w:t xml:space="preserve"> </w:t>
      </w:r>
      <w:r>
        <w:t>da</w:t>
      </w:r>
      <w:r>
        <w:rPr>
          <w:spacing w:val="-2"/>
        </w:rPr>
        <w:t xml:space="preserve"> </w:t>
      </w:r>
      <w:r>
        <w:t>Propriedade</w:t>
      </w:r>
      <w:r>
        <w:rPr>
          <w:spacing w:val="-4"/>
        </w:rPr>
        <w:t xml:space="preserve"> </w:t>
      </w:r>
      <w:r>
        <w:rPr>
          <w:spacing w:val="-2"/>
        </w:rPr>
        <w:t>Urbana</w:t>
      </w:r>
    </w:p>
    <w:p w:rsidR="007259F2" w:rsidRDefault="00E655B4">
      <w:pPr>
        <w:pStyle w:val="Corpodetexto"/>
        <w:spacing w:before="113"/>
        <w:ind w:right="425"/>
      </w:pPr>
      <w:r>
        <w:t>Pode-se definir a função social da propriedade urbana como a compatibilização da propriedade com a infraestrutura, com os equipamentos e serviços públicos disponíveis e com a disponibilização de novas instalações voltadas à comodidade da população, aproximando, assim, o direito privado à propriedade das estruturas existentes em favor da coletividade.</w:t>
      </w:r>
    </w:p>
    <w:p w:rsidR="007259F2" w:rsidRDefault="00E655B4">
      <w:pPr>
        <w:pStyle w:val="Corpodetexto"/>
        <w:ind w:left="1418" w:firstLine="0"/>
      </w:pPr>
      <w:r>
        <w:t>Nesse</w:t>
      </w:r>
      <w:r>
        <w:rPr>
          <w:spacing w:val="-11"/>
        </w:rPr>
        <w:t xml:space="preserve"> </w:t>
      </w:r>
      <w:r>
        <w:t>sentido,</w:t>
      </w:r>
      <w:r>
        <w:rPr>
          <w:spacing w:val="-15"/>
        </w:rPr>
        <w:t xml:space="preserve"> </w:t>
      </w:r>
      <w:r>
        <w:t>preceituam</w:t>
      </w:r>
      <w:r>
        <w:rPr>
          <w:spacing w:val="-12"/>
        </w:rPr>
        <w:t xml:space="preserve"> </w:t>
      </w:r>
      <w:r>
        <w:t>Patrícia</w:t>
      </w:r>
      <w:r>
        <w:rPr>
          <w:spacing w:val="-16"/>
        </w:rPr>
        <w:t xml:space="preserve"> </w:t>
      </w:r>
      <w:r>
        <w:t>Teixeira</w:t>
      </w:r>
      <w:r>
        <w:rPr>
          <w:spacing w:val="-15"/>
        </w:rPr>
        <w:t xml:space="preserve"> </w:t>
      </w:r>
      <w:r>
        <w:t>de</w:t>
      </w:r>
      <w:r>
        <w:rPr>
          <w:spacing w:val="-16"/>
        </w:rPr>
        <w:t xml:space="preserve"> </w:t>
      </w:r>
      <w:r>
        <w:t>Rezende</w:t>
      </w:r>
      <w:r>
        <w:rPr>
          <w:spacing w:val="-3"/>
        </w:rPr>
        <w:t xml:space="preserve"> </w:t>
      </w:r>
      <w:r>
        <w:t>Flores</w:t>
      </w:r>
      <w:r>
        <w:rPr>
          <w:spacing w:val="-13"/>
        </w:rPr>
        <w:t xml:space="preserve"> </w:t>
      </w:r>
      <w:r>
        <w:t>e</w:t>
      </w:r>
      <w:r>
        <w:rPr>
          <w:spacing w:val="-16"/>
        </w:rPr>
        <w:t xml:space="preserve"> </w:t>
      </w:r>
      <w:r>
        <w:t>Bernadete</w:t>
      </w:r>
      <w:r>
        <w:rPr>
          <w:spacing w:val="-13"/>
        </w:rPr>
        <w:t xml:space="preserve"> </w:t>
      </w:r>
      <w:r>
        <w:t>Schleder</w:t>
      </w:r>
      <w:r>
        <w:rPr>
          <w:spacing w:val="-15"/>
        </w:rPr>
        <w:t xml:space="preserve"> </w:t>
      </w:r>
      <w:r>
        <w:rPr>
          <w:spacing w:val="-5"/>
        </w:rPr>
        <w:t>dos</w:t>
      </w:r>
    </w:p>
    <w:p w:rsidR="007259F2" w:rsidRDefault="007259F2">
      <w:pPr>
        <w:pStyle w:val="Corpodetexto"/>
        <w:sectPr w:rsidR="007259F2">
          <w:pgSz w:w="11910" w:h="16840"/>
          <w:pgMar w:top="1840" w:right="708" w:bottom="1020" w:left="992" w:header="0" w:footer="820" w:gutter="0"/>
          <w:cols w:space="720"/>
        </w:sectPr>
      </w:pPr>
    </w:p>
    <w:p w:rsidR="007259F2" w:rsidRDefault="00E655B4">
      <w:pPr>
        <w:pStyle w:val="Corpodetexto"/>
        <w:ind w:firstLine="0"/>
        <w:jc w:val="left"/>
      </w:pPr>
      <w:r>
        <w:rPr>
          <w:spacing w:val="-2"/>
        </w:rPr>
        <w:lastRenderedPageBreak/>
        <w:t>Santos:</w:t>
      </w:r>
    </w:p>
    <w:p w:rsidR="007259F2" w:rsidRDefault="00E655B4">
      <w:pPr>
        <w:spacing w:before="48"/>
        <w:rPr>
          <w:sz w:val="20"/>
        </w:rPr>
      </w:pPr>
      <w:r>
        <w:br w:type="column"/>
      </w:r>
    </w:p>
    <w:p w:rsidR="007259F2" w:rsidRDefault="00E655B4">
      <w:pPr>
        <w:ind w:left="1560" w:right="421"/>
        <w:jc w:val="both"/>
        <w:rPr>
          <w:sz w:val="20"/>
        </w:rPr>
      </w:pPr>
      <w:r>
        <w:rPr>
          <w:sz w:val="20"/>
        </w:rPr>
        <w:t>Quanto</w:t>
      </w:r>
      <w:r>
        <w:rPr>
          <w:spacing w:val="-5"/>
          <w:sz w:val="20"/>
        </w:rPr>
        <w:t xml:space="preserve"> </w:t>
      </w:r>
      <w:r>
        <w:rPr>
          <w:sz w:val="20"/>
        </w:rPr>
        <w:t>à</w:t>
      </w:r>
      <w:r>
        <w:rPr>
          <w:spacing w:val="-6"/>
          <w:sz w:val="20"/>
        </w:rPr>
        <w:t xml:space="preserve"> </w:t>
      </w:r>
      <w:r>
        <w:rPr>
          <w:sz w:val="20"/>
        </w:rPr>
        <w:t>função</w:t>
      </w:r>
      <w:r>
        <w:rPr>
          <w:spacing w:val="-2"/>
          <w:sz w:val="20"/>
        </w:rPr>
        <w:t xml:space="preserve"> </w:t>
      </w:r>
      <w:r>
        <w:rPr>
          <w:sz w:val="20"/>
        </w:rPr>
        <w:t>social</w:t>
      </w:r>
      <w:r>
        <w:rPr>
          <w:spacing w:val="-6"/>
          <w:sz w:val="20"/>
        </w:rPr>
        <w:t xml:space="preserve"> </w:t>
      </w:r>
      <w:r>
        <w:rPr>
          <w:sz w:val="20"/>
        </w:rPr>
        <w:t>da</w:t>
      </w:r>
      <w:r>
        <w:rPr>
          <w:spacing w:val="-6"/>
          <w:sz w:val="20"/>
        </w:rPr>
        <w:t xml:space="preserve"> </w:t>
      </w:r>
      <w:r>
        <w:rPr>
          <w:sz w:val="20"/>
        </w:rPr>
        <w:t>propriedade</w:t>
      </w:r>
      <w:r>
        <w:rPr>
          <w:spacing w:val="-4"/>
          <w:sz w:val="20"/>
        </w:rPr>
        <w:t xml:space="preserve"> </w:t>
      </w:r>
      <w:r>
        <w:rPr>
          <w:sz w:val="20"/>
        </w:rPr>
        <w:t>urbana,</w:t>
      </w:r>
      <w:r>
        <w:rPr>
          <w:spacing w:val="-5"/>
          <w:sz w:val="20"/>
        </w:rPr>
        <w:t xml:space="preserve"> </w:t>
      </w:r>
      <w:r>
        <w:rPr>
          <w:sz w:val="20"/>
        </w:rPr>
        <w:t>deve</w:t>
      </w:r>
      <w:r>
        <w:rPr>
          <w:spacing w:val="-6"/>
          <w:sz w:val="20"/>
        </w:rPr>
        <w:t xml:space="preserve"> </w:t>
      </w:r>
      <w:r>
        <w:rPr>
          <w:sz w:val="20"/>
        </w:rPr>
        <w:t>o</w:t>
      </w:r>
      <w:r>
        <w:rPr>
          <w:spacing w:val="-3"/>
          <w:sz w:val="20"/>
        </w:rPr>
        <w:t xml:space="preserve"> </w:t>
      </w:r>
      <w:r>
        <w:rPr>
          <w:sz w:val="20"/>
        </w:rPr>
        <w:t>Poder</w:t>
      </w:r>
      <w:r>
        <w:rPr>
          <w:spacing w:val="-7"/>
          <w:sz w:val="20"/>
        </w:rPr>
        <w:t xml:space="preserve"> </w:t>
      </w:r>
      <w:r>
        <w:rPr>
          <w:sz w:val="20"/>
        </w:rPr>
        <w:t>Público</w:t>
      </w:r>
      <w:r>
        <w:rPr>
          <w:spacing w:val="-2"/>
          <w:sz w:val="20"/>
        </w:rPr>
        <w:t xml:space="preserve"> </w:t>
      </w:r>
      <w:r>
        <w:rPr>
          <w:sz w:val="20"/>
        </w:rPr>
        <w:t>chegar</w:t>
      </w:r>
      <w:r>
        <w:rPr>
          <w:spacing w:val="-3"/>
          <w:sz w:val="20"/>
        </w:rPr>
        <w:t xml:space="preserve"> </w:t>
      </w:r>
      <w:r>
        <w:rPr>
          <w:sz w:val="20"/>
        </w:rPr>
        <w:t>ao</w:t>
      </w:r>
      <w:r>
        <w:rPr>
          <w:spacing w:val="-3"/>
          <w:sz w:val="20"/>
        </w:rPr>
        <w:t xml:space="preserve"> </w:t>
      </w:r>
      <w:r>
        <w:rPr>
          <w:sz w:val="20"/>
        </w:rPr>
        <w:t>maior equilíbrio possível entre o interesse do proprietário e o da coletividade. Deve visar, sempre, à urbanização da cidade e ao seu aproveitamento eficaz, de sorte a que o proprietário veja-se compelido a explorar o conteúdo econômico de sua área urbana. Com</w:t>
      </w:r>
      <w:r>
        <w:rPr>
          <w:spacing w:val="-12"/>
          <w:sz w:val="20"/>
        </w:rPr>
        <w:t xml:space="preserve"> </w:t>
      </w:r>
      <w:r>
        <w:rPr>
          <w:sz w:val="20"/>
        </w:rPr>
        <w:t>efeito,</w:t>
      </w:r>
      <w:r>
        <w:rPr>
          <w:spacing w:val="-8"/>
          <w:sz w:val="20"/>
        </w:rPr>
        <w:t xml:space="preserve"> </w:t>
      </w:r>
      <w:r>
        <w:rPr>
          <w:sz w:val="20"/>
        </w:rPr>
        <w:t>pelo</w:t>
      </w:r>
      <w:r>
        <w:rPr>
          <w:spacing w:val="-10"/>
          <w:sz w:val="20"/>
        </w:rPr>
        <w:t xml:space="preserve"> </w:t>
      </w:r>
      <w:r>
        <w:rPr>
          <w:sz w:val="20"/>
        </w:rPr>
        <w:t>uso</w:t>
      </w:r>
      <w:r>
        <w:rPr>
          <w:spacing w:val="-10"/>
          <w:sz w:val="20"/>
        </w:rPr>
        <w:t xml:space="preserve"> </w:t>
      </w:r>
      <w:r>
        <w:rPr>
          <w:sz w:val="20"/>
        </w:rPr>
        <w:t>da</w:t>
      </w:r>
      <w:r>
        <w:rPr>
          <w:spacing w:val="-9"/>
          <w:sz w:val="20"/>
        </w:rPr>
        <w:t xml:space="preserve"> </w:t>
      </w:r>
      <w:r>
        <w:rPr>
          <w:sz w:val="20"/>
        </w:rPr>
        <w:t>propriedade</w:t>
      </w:r>
      <w:r>
        <w:rPr>
          <w:spacing w:val="-7"/>
          <w:sz w:val="20"/>
        </w:rPr>
        <w:t xml:space="preserve"> </w:t>
      </w:r>
      <w:r>
        <w:rPr>
          <w:sz w:val="20"/>
        </w:rPr>
        <w:t>procura-se</w:t>
      </w:r>
      <w:r>
        <w:rPr>
          <w:spacing w:val="-6"/>
          <w:sz w:val="20"/>
        </w:rPr>
        <w:t xml:space="preserve"> </w:t>
      </w:r>
      <w:r>
        <w:rPr>
          <w:sz w:val="20"/>
        </w:rPr>
        <w:t>fazer</w:t>
      </w:r>
      <w:r>
        <w:rPr>
          <w:spacing w:val="-7"/>
          <w:sz w:val="20"/>
        </w:rPr>
        <w:t xml:space="preserve"> </w:t>
      </w:r>
      <w:r>
        <w:rPr>
          <w:sz w:val="20"/>
        </w:rPr>
        <w:t>justiça</w:t>
      </w:r>
      <w:r>
        <w:rPr>
          <w:spacing w:val="-6"/>
          <w:sz w:val="20"/>
        </w:rPr>
        <w:t xml:space="preserve"> </w:t>
      </w:r>
      <w:r>
        <w:rPr>
          <w:sz w:val="20"/>
        </w:rPr>
        <w:t>social,</w:t>
      </w:r>
      <w:r>
        <w:rPr>
          <w:spacing w:val="-7"/>
          <w:sz w:val="20"/>
        </w:rPr>
        <w:t xml:space="preserve"> </w:t>
      </w:r>
      <w:r>
        <w:rPr>
          <w:sz w:val="20"/>
        </w:rPr>
        <w:t>contribuindo</w:t>
      </w:r>
      <w:r>
        <w:rPr>
          <w:spacing w:val="-10"/>
          <w:sz w:val="20"/>
        </w:rPr>
        <w:t xml:space="preserve"> </w:t>
      </w:r>
      <w:r>
        <w:rPr>
          <w:sz w:val="20"/>
        </w:rPr>
        <w:t>para o desenvolvimento e planejamento urbano. E isso tudo, é bem de se ver, deve estar expresso</w:t>
      </w:r>
      <w:r>
        <w:rPr>
          <w:spacing w:val="-7"/>
          <w:sz w:val="20"/>
        </w:rPr>
        <w:t xml:space="preserve"> </w:t>
      </w:r>
      <w:r>
        <w:rPr>
          <w:sz w:val="20"/>
        </w:rPr>
        <w:t>no</w:t>
      </w:r>
      <w:r>
        <w:rPr>
          <w:spacing w:val="-10"/>
          <w:sz w:val="20"/>
        </w:rPr>
        <w:t xml:space="preserve"> </w:t>
      </w:r>
      <w:r>
        <w:rPr>
          <w:sz w:val="20"/>
        </w:rPr>
        <w:t>Plano</w:t>
      </w:r>
      <w:r>
        <w:rPr>
          <w:spacing w:val="-7"/>
          <w:sz w:val="20"/>
        </w:rPr>
        <w:t xml:space="preserve"> </w:t>
      </w:r>
      <w:r>
        <w:rPr>
          <w:sz w:val="20"/>
        </w:rPr>
        <w:t>Diretor,</w:t>
      </w:r>
      <w:r>
        <w:rPr>
          <w:spacing w:val="-10"/>
          <w:sz w:val="20"/>
        </w:rPr>
        <w:t xml:space="preserve"> </w:t>
      </w:r>
      <w:r>
        <w:rPr>
          <w:sz w:val="20"/>
        </w:rPr>
        <w:t>conforme</w:t>
      </w:r>
      <w:r>
        <w:rPr>
          <w:spacing w:val="-7"/>
          <w:sz w:val="20"/>
        </w:rPr>
        <w:t xml:space="preserve"> </w:t>
      </w:r>
      <w:r>
        <w:rPr>
          <w:sz w:val="20"/>
        </w:rPr>
        <w:t>mandamento</w:t>
      </w:r>
      <w:r>
        <w:rPr>
          <w:spacing w:val="-9"/>
          <w:sz w:val="20"/>
        </w:rPr>
        <w:t xml:space="preserve"> </w:t>
      </w:r>
      <w:r>
        <w:rPr>
          <w:sz w:val="20"/>
        </w:rPr>
        <w:t>constitucional.</w:t>
      </w:r>
      <w:r>
        <w:rPr>
          <w:spacing w:val="-2"/>
          <w:sz w:val="20"/>
        </w:rPr>
        <w:t xml:space="preserve"> </w:t>
      </w:r>
      <w:r>
        <w:rPr>
          <w:sz w:val="20"/>
        </w:rPr>
        <w:t>(FLORES,</w:t>
      </w:r>
      <w:r>
        <w:rPr>
          <w:spacing w:val="-6"/>
          <w:sz w:val="20"/>
        </w:rPr>
        <w:t xml:space="preserve"> </w:t>
      </w:r>
      <w:r>
        <w:rPr>
          <w:sz w:val="20"/>
        </w:rPr>
        <w:t xml:space="preserve">Patrícia Teixeira de Rezende; SANTOS, Bernadete Schleder. </w:t>
      </w:r>
      <w:r>
        <w:rPr>
          <w:b/>
          <w:sz w:val="20"/>
        </w:rPr>
        <w:t xml:space="preserve">Comentários ao Estatuto da Cidade. </w:t>
      </w:r>
      <w:r>
        <w:rPr>
          <w:sz w:val="20"/>
        </w:rPr>
        <w:t>Rio de Janeiro, AIDE Editora, 2002, p. 15)</w:t>
      </w:r>
    </w:p>
    <w:p w:rsidR="007259F2" w:rsidRDefault="007259F2">
      <w:pPr>
        <w:pStyle w:val="Corpodetexto"/>
        <w:ind w:left="0" w:firstLine="0"/>
        <w:jc w:val="left"/>
        <w:rPr>
          <w:sz w:val="20"/>
        </w:rPr>
      </w:pPr>
    </w:p>
    <w:p w:rsidR="007259F2" w:rsidRDefault="00E655B4">
      <w:pPr>
        <w:pStyle w:val="Corpodetexto"/>
        <w:ind w:left="0" w:firstLine="0"/>
        <w:jc w:val="left"/>
      </w:pPr>
      <w:r>
        <w:t>Em</w:t>
      </w:r>
      <w:r>
        <w:rPr>
          <w:spacing w:val="-15"/>
        </w:rPr>
        <w:t xml:space="preserve"> </w:t>
      </w:r>
      <w:r>
        <w:t>outras</w:t>
      </w:r>
      <w:r>
        <w:rPr>
          <w:spacing w:val="-13"/>
        </w:rPr>
        <w:t xml:space="preserve"> </w:t>
      </w:r>
      <w:r>
        <w:t>palavras,</w:t>
      </w:r>
      <w:r>
        <w:rPr>
          <w:spacing w:val="-10"/>
        </w:rPr>
        <w:t xml:space="preserve"> </w:t>
      </w:r>
      <w:r>
        <w:t>a</w:t>
      </w:r>
      <w:r>
        <w:rPr>
          <w:spacing w:val="-12"/>
        </w:rPr>
        <w:t xml:space="preserve"> </w:t>
      </w:r>
      <w:r>
        <w:t>função</w:t>
      </w:r>
      <w:r>
        <w:rPr>
          <w:spacing w:val="-13"/>
        </w:rPr>
        <w:t xml:space="preserve"> </w:t>
      </w:r>
      <w:r>
        <w:t>social</w:t>
      </w:r>
      <w:r>
        <w:rPr>
          <w:spacing w:val="-10"/>
        </w:rPr>
        <w:t xml:space="preserve"> </w:t>
      </w:r>
      <w:r>
        <w:t>da</w:t>
      </w:r>
      <w:r>
        <w:rPr>
          <w:spacing w:val="-12"/>
        </w:rPr>
        <w:t xml:space="preserve"> </w:t>
      </w:r>
      <w:r>
        <w:t>propriedade</w:t>
      </w:r>
      <w:r>
        <w:rPr>
          <w:spacing w:val="-9"/>
        </w:rPr>
        <w:t xml:space="preserve"> </w:t>
      </w:r>
      <w:r>
        <w:t>urbana</w:t>
      </w:r>
      <w:r>
        <w:rPr>
          <w:spacing w:val="-12"/>
        </w:rPr>
        <w:t xml:space="preserve"> </w:t>
      </w:r>
      <w:r>
        <w:t>prevê</w:t>
      </w:r>
      <w:r>
        <w:rPr>
          <w:spacing w:val="-14"/>
        </w:rPr>
        <w:t xml:space="preserve"> </w:t>
      </w:r>
      <w:r>
        <w:t>que</w:t>
      </w:r>
      <w:r>
        <w:rPr>
          <w:spacing w:val="-11"/>
        </w:rPr>
        <w:t xml:space="preserve"> </w:t>
      </w:r>
      <w:r>
        <w:t>esta,</w:t>
      </w:r>
      <w:r>
        <w:rPr>
          <w:spacing w:val="-11"/>
        </w:rPr>
        <w:t xml:space="preserve"> </w:t>
      </w:r>
      <w:r>
        <w:t>além</w:t>
      </w:r>
      <w:r>
        <w:rPr>
          <w:spacing w:val="-13"/>
        </w:rPr>
        <w:t xml:space="preserve"> </w:t>
      </w:r>
      <w:r>
        <w:t>de</w:t>
      </w:r>
      <w:r>
        <w:rPr>
          <w:spacing w:val="-13"/>
        </w:rPr>
        <w:t xml:space="preserve"> </w:t>
      </w:r>
      <w:r>
        <w:rPr>
          <w:spacing w:val="-2"/>
        </w:rPr>
        <w:t>servir</w:t>
      </w:r>
    </w:p>
    <w:p w:rsidR="007259F2" w:rsidRDefault="007259F2">
      <w:pPr>
        <w:pStyle w:val="Corpodetexto"/>
        <w:jc w:val="left"/>
        <w:sectPr w:rsidR="007259F2">
          <w:type w:val="continuous"/>
          <w:pgSz w:w="11910" w:h="16840"/>
          <w:pgMar w:top="1180" w:right="708" w:bottom="280" w:left="992" w:header="0" w:footer="820" w:gutter="0"/>
          <w:cols w:num="2" w:space="720" w:equalWidth="0">
            <w:col w:w="1417" w:space="1"/>
            <w:col w:w="8792"/>
          </w:cols>
        </w:sectPr>
      </w:pPr>
    </w:p>
    <w:p w:rsidR="007259F2" w:rsidRDefault="00E655B4">
      <w:pPr>
        <w:pStyle w:val="Corpodetexto"/>
        <w:ind w:firstLine="0"/>
        <w:jc w:val="left"/>
      </w:pPr>
      <w:r>
        <w:lastRenderedPageBreak/>
        <w:t>aos</w:t>
      </w:r>
      <w:r>
        <w:rPr>
          <w:spacing w:val="-3"/>
        </w:rPr>
        <w:t xml:space="preserve"> </w:t>
      </w:r>
      <w:r>
        <w:t>interesses</w:t>
      </w:r>
      <w:r>
        <w:rPr>
          <w:spacing w:val="-1"/>
        </w:rPr>
        <w:t xml:space="preserve"> </w:t>
      </w:r>
      <w:r>
        <w:t>do</w:t>
      </w:r>
      <w:r>
        <w:rPr>
          <w:spacing w:val="-3"/>
        </w:rPr>
        <w:t xml:space="preserve"> </w:t>
      </w:r>
      <w:r>
        <w:t>proprietário,</w:t>
      </w:r>
      <w:r>
        <w:rPr>
          <w:spacing w:val="-2"/>
        </w:rPr>
        <w:t xml:space="preserve"> </w:t>
      </w:r>
      <w:r>
        <w:t>deve</w:t>
      </w:r>
      <w:r>
        <w:rPr>
          <w:spacing w:val="-2"/>
        </w:rPr>
        <w:t xml:space="preserve"> </w:t>
      </w:r>
      <w:r>
        <w:t>também atender</w:t>
      </w:r>
      <w:r>
        <w:rPr>
          <w:spacing w:val="-2"/>
        </w:rPr>
        <w:t xml:space="preserve"> </w:t>
      </w:r>
      <w:r>
        <w:t>às</w:t>
      </w:r>
      <w:r>
        <w:rPr>
          <w:spacing w:val="-2"/>
        </w:rPr>
        <w:t xml:space="preserve"> </w:t>
      </w:r>
      <w:r>
        <w:t>necessidades e</w:t>
      </w:r>
      <w:r>
        <w:rPr>
          <w:spacing w:val="-2"/>
        </w:rPr>
        <w:t xml:space="preserve"> </w:t>
      </w:r>
      <w:r>
        <w:t>interesses</w:t>
      </w:r>
      <w:r>
        <w:rPr>
          <w:spacing w:val="-2"/>
        </w:rPr>
        <w:t xml:space="preserve"> </w:t>
      </w:r>
      <w:r>
        <w:t>da</w:t>
      </w:r>
      <w:r>
        <w:rPr>
          <w:spacing w:val="-2"/>
        </w:rPr>
        <w:t xml:space="preserve"> </w:t>
      </w:r>
      <w:r>
        <w:t>sociedade, condicionando o direito de propriedade ao dever de respeitar o bem coletivo.</w:t>
      </w:r>
    </w:p>
    <w:p w:rsidR="007259F2" w:rsidRDefault="00E655B4">
      <w:pPr>
        <w:pStyle w:val="Corpodetexto"/>
        <w:spacing w:before="1"/>
        <w:ind w:right="422"/>
        <w:jc w:val="left"/>
      </w:pPr>
      <w:r>
        <w:t>Tamanha é a relevância da função social da propriedade que a Constituição Federal de 1988</w:t>
      </w:r>
      <w:r>
        <w:rPr>
          <w:spacing w:val="-4"/>
        </w:rPr>
        <w:t xml:space="preserve"> </w:t>
      </w:r>
      <w:r>
        <w:t>(CF), a</w:t>
      </w:r>
      <w:r>
        <w:rPr>
          <w:spacing w:val="-2"/>
        </w:rPr>
        <w:t xml:space="preserve"> </w:t>
      </w:r>
      <w:r>
        <w:t>prevê como</w:t>
      </w:r>
      <w:r>
        <w:rPr>
          <w:spacing w:val="1"/>
        </w:rPr>
        <w:t xml:space="preserve"> </w:t>
      </w:r>
      <w:r>
        <w:t>uma garantia</w:t>
      </w:r>
      <w:r>
        <w:rPr>
          <w:spacing w:val="-3"/>
        </w:rPr>
        <w:t xml:space="preserve"> </w:t>
      </w:r>
      <w:r>
        <w:t>fundamental,</w:t>
      </w:r>
      <w:r>
        <w:rPr>
          <w:spacing w:val="2"/>
        </w:rPr>
        <w:t xml:space="preserve"> </w:t>
      </w:r>
      <w:r>
        <w:t>em</w:t>
      </w:r>
      <w:r>
        <w:rPr>
          <w:spacing w:val="1"/>
        </w:rPr>
        <w:t xml:space="preserve"> </w:t>
      </w:r>
      <w:r>
        <w:t>seu art. 5º,</w:t>
      </w:r>
      <w:r>
        <w:rPr>
          <w:spacing w:val="-1"/>
        </w:rPr>
        <w:t xml:space="preserve"> </w:t>
      </w:r>
      <w:r>
        <w:t>inciso</w:t>
      </w:r>
      <w:r>
        <w:rPr>
          <w:spacing w:val="1"/>
        </w:rPr>
        <w:t xml:space="preserve"> </w:t>
      </w:r>
      <w:r>
        <w:t>XXIII,</w:t>
      </w:r>
      <w:r>
        <w:rPr>
          <w:spacing w:val="1"/>
        </w:rPr>
        <w:t xml:space="preserve"> </w:t>
      </w:r>
      <w:r>
        <w:t>no</w:t>
      </w:r>
      <w:r>
        <w:rPr>
          <w:spacing w:val="1"/>
        </w:rPr>
        <w:t xml:space="preserve"> </w:t>
      </w:r>
      <w:r>
        <w:t>qual</w:t>
      </w:r>
      <w:r>
        <w:rPr>
          <w:spacing w:val="1"/>
        </w:rPr>
        <w:t xml:space="preserve"> </w:t>
      </w:r>
      <w:r>
        <w:t>se</w:t>
      </w:r>
      <w:r>
        <w:rPr>
          <w:spacing w:val="-2"/>
        </w:rPr>
        <w:t xml:space="preserve"> </w:t>
      </w:r>
      <w:r>
        <w:rPr>
          <w:spacing w:val="-5"/>
        </w:rPr>
        <w:t>lê</w:t>
      </w:r>
    </w:p>
    <w:p w:rsidR="007259F2" w:rsidRDefault="007259F2">
      <w:pPr>
        <w:pStyle w:val="Corpodetexto"/>
        <w:jc w:val="left"/>
        <w:sectPr w:rsidR="007259F2">
          <w:type w:val="continuous"/>
          <w:pgSz w:w="11910" w:h="16840"/>
          <w:pgMar w:top="1180" w:right="708" w:bottom="280" w:left="992" w:header="0" w:footer="820" w:gutter="0"/>
          <w:cols w:space="720"/>
        </w:sectPr>
      </w:pPr>
    </w:p>
    <w:p w:rsidR="007259F2" w:rsidRDefault="00E655B4">
      <w:pPr>
        <w:pStyle w:val="Corpodetexto"/>
        <w:spacing w:before="75"/>
        <w:ind w:firstLine="0"/>
        <w:jc w:val="left"/>
      </w:pPr>
      <w:r>
        <w:lastRenderedPageBreak/>
        <w:t>que</w:t>
      </w:r>
      <w:r>
        <w:rPr>
          <w:spacing w:val="40"/>
        </w:rPr>
        <w:t xml:space="preserve"> </w:t>
      </w:r>
      <w:r>
        <w:t>“a</w:t>
      </w:r>
      <w:r>
        <w:rPr>
          <w:spacing w:val="40"/>
        </w:rPr>
        <w:t xml:space="preserve"> </w:t>
      </w:r>
      <w:r>
        <w:t>propriedade</w:t>
      </w:r>
      <w:r>
        <w:rPr>
          <w:spacing w:val="40"/>
        </w:rPr>
        <w:t xml:space="preserve"> </w:t>
      </w:r>
      <w:r>
        <w:t>atenderá</w:t>
      </w:r>
      <w:r>
        <w:rPr>
          <w:spacing w:val="40"/>
        </w:rPr>
        <w:t xml:space="preserve"> </w:t>
      </w:r>
      <w:r>
        <w:t>a</w:t>
      </w:r>
      <w:r>
        <w:rPr>
          <w:spacing w:val="40"/>
        </w:rPr>
        <w:t xml:space="preserve"> </w:t>
      </w:r>
      <w:r>
        <w:t>sua</w:t>
      </w:r>
      <w:r>
        <w:rPr>
          <w:spacing w:val="40"/>
        </w:rPr>
        <w:t xml:space="preserve"> </w:t>
      </w:r>
      <w:r>
        <w:t>função</w:t>
      </w:r>
      <w:r>
        <w:rPr>
          <w:spacing w:val="40"/>
        </w:rPr>
        <w:t xml:space="preserve"> </w:t>
      </w:r>
      <w:r>
        <w:t>social”.</w:t>
      </w:r>
      <w:r>
        <w:rPr>
          <w:spacing w:val="40"/>
        </w:rPr>
        <w:t xml:space="preserve"> </w:t>
      </w:r>
      <w:r>
        <w:t>O</w:t>
      </w:r>
      <w:r>
        <w:rPr>
          <w:spacing w:val="40"/>
        </w:rPr>
        <w:t xml:space="preserve"> </w:t>
      </w:r>
      <w:r>
        <w:t>art.</w:t>
      </w:r>
      <w:r>
        <w:rPr>
          <w:spacing w:val="40"/>
        </w:rPr>
        <w:t xml:space="preserve"> </w:t>
      </w:r>
      <w:r>
        <w:t>170,</w:t>
      </w:r>
      <w:r>
        <w:rPr>
          <w:spacing w:val="40"/>
        </w:rPr>
        <w:t xml:space="preserve"> </w:t>
      </w:r>
      <w:r>
        <w:t>inciso</w:t>
      </w:r>
      <w:r>
        <w:rPr>
          <w:spacing w:val="40"/>
        </w:rPr>
        <w:t xml:space="preserve"> </w:t>
      </w:r>
      <w:r>
        <w:t>III,</w:t>
      </w:r>
      <w:r>
        <w:rPr>
          <w:spacing w:val="40"/>
        </w:rPr>
        <w:t xml:space="preserve"> </w:t>
      </w:r>
      <w:r>
        <w:t>também</w:t>
      </w:r>
      <w:r>
        <w:rPr>
          <w:spacing w:val="40"/>
        </w:rPr>
        <w:t xml:space="preserve"> </w:t>
      </w:r>
      <w:r>
        <w:t>da</w:t>
      </w:r>
      <w:r>
        <w:rPr>
          <w:spacing w:val="40"/>
        </w:rPr>
        <w:t xml:space="preserve"> </w:t>
      </w:r>
      <w:r>
        <w:t>CF, compreende</w:t>
      </w:r>
      <w:r>
        <w:rPr>
          <w:spacing w:val="-3"/>
        </w:rPr>
        <w:t xml:space="preserve"> </w:t>
      </w:r>
      <w:r>
        <w:t>a</w:t>
      </w:r>
      <w:r>
        <w:rPr>
          <w:spacing w:val="-2"/>
        </w:rPr>
        <w:t xml:space="preserve"> </w:t>
      </w:r>
      <w:r>
        <w:t>função</w:t>
      </w:r>
      <w:r>
        <w:rPr>
          <w:spacing w:val="-1"/>
        </w:rPr>
        <w:t xml:space="preserve"> </w:t>
      </w:r>
      <w:r>
        <w:t>da propriedade,</w:t>
      </w:r>
      <w:r>
        <w:rPr>
          <w:spacing w:val="-1"/>
        </w:rPr>
        <w:t xml:space="preserve"> </w:t>
      </w:r>
      <w:r>
        <w:t>inclusive,</w:t>
      </w:r>
      <w:r>
        <w:rPr>
          <w:spacing w:val="-1"/>
        </w:rPr>
        <w:t xml:space="preserve"> </w:t>
      </w:r>
      <w:r>
        <w:t>como</w:t>
      </w:r>
      <w:r>
        <w:rPr>
          <w:spacing w:val="-1"/>
        </w:rPr>
        <w:t xml:space="preserve"> </w:t>
      </w:r>
      <w:r>
        <w:t>princípio</w:t>
      </w:r>
      <w:r>
        <w:rPr>
          <w:spacing w:val="-1"/>
        </w:rPr>
        <w:t xml:space="preserve"> </w:t>
      </w:r>
      <w:r>
        <w:t>da</w:t>
      </w:r>
      <w:r>
        <w:rPr>
          <w:spacing w:val="1"/>
        </w:rPr>
        <w:t xml:space="preserve"> </w:t>
      </w:r>
      <w:r>
        <w:t>ordem</w:t>
      </w:r>
      <w:r>
        <w:rPr>
          <w:spacing w:val="-1"/>
        </w:rPr>
        <w:t xml:space="preserve"> </w:t>
      </w:r>
      <w:r>
        <w:t>econômica,</w:t>
      </w:r>
      <w:r>
        <w:rPr>
          <w:spacing w:val="-1"/>
        </w:rPr>
        <w:t xml:space="preserve"> </w:t>
      </w:r>
      <w:r>
        <w:t>veja-</w:t>
      </w:r>
      <w:r>
        <w:rPr>
          <w:spacing w:val="-5"/>
        </w:rPr>
        <w:t>se:</w:t>
      </w:r>
    </w:p>
    <w:p w:rsidR="007259F2" w:rsidRDefault="007259F2">
      <w:pPr>
        <w:pStyle w:val="Corpodetexto"/>
        <w:spacing w:before="1"/>
        <w:ind w:left="0" w:firstLine="0"/>
        <w:jc w:val="left"/>
      </w:pPr>
    </w:p>
    <w:p w:rsidR="007259F2" w:rsidRDefault="00E655B4">
      <w:pPr>
        <w:spacing w:before="1"/>
        <w:ind w:left="2978" w:right="424"/>
        <w:jc w:val="both"/>
        <w:rPr>
          <w:sz w:val="20"/>
        </w:rPr>
      </w:pPr>
      <w:r>
        <w:rPr>
          <w:sz w:val="20"/>
        </w:rPr>
        <w:t>Art.</w:t>
      </w:r>
      <w:r>
        <w:rPr>
          <w:spacing w:val="-3"/>
          <w:sz w:val="20"/>
        </w:rPr>
        <w:t xml:space="preserve"> </w:t>
      </w:r>
      <w:r>
        <w:rPr>
          <w:sz w:val="20"/>
        </w:rPr>
        <w:t>170.</w:t>
      </w:r>
      <w:r>
        <w:rPr>
          <w:spacing w:val="-1"/>
          <w:sz w:val="20"/>
        </w:rPr>
        <w:t xml:space="preserve"> </w:t>
      </w:r>
      <w:r>
        <w:rPr>
          <w:sz w:val="20"/>
        </w:rPr>
        <w:t>A</w:t>
      </w:r>
      <w:r>
        <w:rPr>
          <w:spacing w:val="-6"/>
          <w:sz w:val="20"/>
        </w:rPr>
        <w:t xml:space="preserve"> </w:t>
      </w:r>
      <w:r>
        <w:rPr>
          <w:sz w:val="20"/>
        </w:rPr>
        <w:t>ordem</w:t>
      </w:r>
      <w:r>
        <w:rPr>
          <w:spacing w:val="-5"/>
          <w:sz w:val="20"/>
        </w:rPr>
        <w:t xml:space="preserve"> </w:t>
      </w:r>
      <w:r>
        <w:rPr>
          <w:sz w:val="20"/>
        </w:rPr>
        <w:t>econômica, fundada</w:t>
      </w:r>
      <w:r>
        <w:rPr>
          <w:spacing w:val="-1"/>
          <w:sz w:val="20"/>
        </w:rPr>
        <w:t xml:space="preserve"> </w:t>
      </w:r>
      <w:r>
        <w:rPr>
          <w:sz w:val="20"/>
        </w:rPr>
        <w:t>na</w:t>
      </w:r>
      <w:r>
        <w:rPr>
          <w:spacing w:val="-4"/>
          <w:sz w:val="20"/>
        </w:rPr>
        <w:t xml:space="preserve"> </w:t>
      </w:r>
      <w:r>
        <w:rPr>
          <w:sz w:val="20"/>
        </w:rPr>
        <w:t>valorização</w:t>
      </w:r>
      <w:r>
        <w:rPr>
          <w:spacing w:val="-1"/>
          <w:sz w:val="20"/>
        </w:rPr>
        <w:t xml:space="preserve"> </w:t>
      </w:r>
      <w:r>
        <w:rPr>
          <w:sz w:val="20"/>
        </w:rPr>
        <w:t>do</w:t>
      </w:r>
      <w:r>
        <w:rPr>
          <w:spacing w:val="-1"/>
          <w:sz w:val="20"/>
        </w:rPr>
        <w:t xml:space="preserve"> </w:t>
      </w:r>
      <w:r>
        <w:rPr>
          <w:sz w:val="20"/>
        </w:rPr>
        <w:t>trabalho</w:t>
      </w:r>
      <w:r>
        <w:rPr>
          <w:spacing w:val="-1"/>
          <w:sz w:val="20"/>
        </w:rPr>
        <w:t xml:space="preserve"> </w:t>
      </w:r>
      <w:r>
        <w:rPr>
          <w:sz w:val="20"/>
        </w:rPr>
        <w:t>humano</w:t>
      </w:r>
      <w:r>
        <w:rPr>
          <w:spacing w:val="-1"/>
          <w:sz w:val="20"/>
        </w:rPr>
        <w:t xml:space="preserve"> </w:t>
      </w:r>
      <w:r>
        <w:rPr>
          <w:sz w:val="20"/>
        </w:rPr>
        <w:t>e na</w:t>
      </w:r>
      <w:r>
        <w:rPr>
          <w:spacing w:val="-4"/>
          <w:sz w:val="20"/>
        </w:rPr>
        <w:t xml:space="preserve"> </w:t>
      </w:r>
      <w:r>
        <w:rPr>
          <w:sz w:val="20"/>
        </w:rPr>
        <w:t>livre iniciativa, tem por fim assegurar a todos existência digna, conforme os ditames da justiça social, observados os seguintes princípios:</w:t>
      </w:r>
    </w:p>
    <w:p w:rsidR="007259F2" w:rsidRDefault="00E655B4">
      <w:pPr>
        <w:spacing w:line="229" w:lineRule="exact"/>
        <w:ind w:left="2978"/>
        <w:rPr>
          <w:sz w:val="20"/>
        </w:rPr>
      </w:pPr>
      <w:r>
        <w:rPr>
          <w:spacing w:val="-2"/>
          <w:sz w:val="20"/>
        </w:rPr>
        <w:t>(...)</w:t>
      </w:r>
    </w:p>
    <w:p w:rsidR="007259F2" w:rsidRDefault="00E655B4">
      <w:pPr>
        <w:ind w:left="2978"/>
        <w:rPr>
          <w:sz w:val="20"/>
        </w:rPr>
      </w:pPr>
      <w:r>
        <w:rPr>
          <w:sz w:val="20"/>
        </w:rPr>
        <w:t>III</w:t>
      </w:r>
      <w:r>
        <w:rPr>
          <w:spacing w:val="-3"/>
          <w:sz w:val="20"/>
        </w:rPr>
        <w:t xml:space="preserve"> </w:t>
      </w:r>
      <w:r>
        <w:rPr>
          <w:sz w:val="20"/>
        </w:rPr>
        <w:t>-</w:t>
      </w:r>
      <w:r>
        <w:rPr>
          <w:spacing w:val="-9"/>
          <w:sz w:val="20"/>
        </w:rPr>
        <w:t xml:space="preserve"> </w:t>
      </w:r>
      <w:r>
        <w:rPr>
          <w:sz w:val="20"/>
        </w:rPr>
        <w:t>função</w:t>
      </w:r>
      <w:r>
        <w:rPr>
          <w:spacing w:val="-2"/>
          <w:sz w:val="20"/>
        </w:rPr>
        <w:t xml:space="preserve"> </w:t>
      </w:r>
      <w:r>
        <w:rPr>
          <w:sz w:val="20"/>
        </w:rPr>
        <w:t>social</w:t>
      </w:r>
      <w:r>
        <w:rPr>
          <w:spacing w:val="-4"/>
          <w:sz w:val="20"/>
        </w:rPr>
        <w:t xml:space="preserve"> </w:t>
      </w:r>
      <w:r>
        <w:rPr>
          <w:sz w:val="20"/>
        </w:rPr>
        <w:t>da</w:t>
      </w:r>
      <w:r>
        <w:rPr>
          <w:spacing w:val="-4"/>
          <w:sz w:val="20"/>
        </w:rPr>
        <w:t xml:space="preserve"> </w:t>
      </w:r>
      <w:r>
        <w:rPr>
          <w:spacing w:val="-2"/>
          <w:sz w:val="20"/>
        </w:rPr>
        <w:t>propriedade;</w:t>
      </w:r>
    </w:p>
    <w:p w:rsidR="007259F2" w:rsidRDefault="007259F2">
      <w:pPr>
        <w:pStyle w:val="Corpodetexto"/>
        <w:spacing w:before="115"/>
        <w:ind w:left="0" w:firstLine="0"/>
        <w:jc w:val="left"/>
        <w:rPr>
          <w:sz w:val="20"/>
        </w:rPr>
      </w:pPr>
    </w:p>
    <w:p w:rsidR="007259F2" w:rsidRDefault="00E655B4">
      <w:pPr>
        <w:pStyle w:val="Corpodetexto"/>
        <w:ind w:right="430"/>
      </w:pPr>
      <w:r>
        <w:t>Cabe mencionar aqui os dizeres de Rogério Gesta Leal a respeito da função social da propriedade como princípio da ordem econômica:</w:t>
      </w:r>
    </w:p>
    <w:p w:rsidR="007259F2" w:rsidRDefault="007259F2">
      <w:pPr>
        <w:pStyle w:val="Corpodetexto"/>
        <w:spacing w:before="2"/>
        <w:ind w:left="0" w:firstLine="0"/>
        <w:jc w:val="left"/>
      </w:pPr>
    </w:p>
    <w:p w:rsidR="007259F2" w:rsidRDefault="00E655B4">
      <w:pPr>
        <w:ind w:left="2978" w:right="423"/>
        <w:jc w:val="both"/>
        <w:rPr>
          <w:sz w:val="20"/>
        </w:rPr>
      </w:pPr>
      <w:r>
        <w:rPr>
          <w:sz w:val="20"/>
        </w:rPr>
        <w:t>A propriedade privada, inclusive e principalmente a urbana, é garantida desde que atenda</w:t>
      </w:r>
      <w:r>
        <w:rPr>
          <w:spacing w:val="-2"/>
          <w:sz w:val="20"/>
        </w:rPr>
        <w:t xml:space="preserve"> </w:t>
      </w:r>
      <w:r>
        <w:rPr>
          <w:sz w:val="20"/>
        </w:rPr>
        <w:t>à</w:t>
      </w:r>
      <w:r>
        <w:rPr>
          <w:spacing w:val="-3"/>
          <w:sz w:val="20"/>
        </w:rPr>
        <w:t xml:space="preserve"> </w:t>
      </w:r>
      <w:r>
        <w:rPr>
          <w:sz w:val="20"/>
        </w:rPr>
        <w:t>função</w:t>
      </w:r>
      <w:r>
        <w:rPr>
          <w:spacing w:val="-4"/>
          <w:sz w:val="20"/>
        </w:rPr>
        <w:t xml:space="preserve"> </w:t>
      </w:r>
      <w:r>
        <w:rPr>
          <w:sz w:val="20"/>
        </w:rPr>
        <w:t>social, como</w:t>
      </w:r>
      <w:r>
        <w:rPr>
          <w:spacing w:val="-1"/>
          <w:sz w:val="20"/>
        </w:rPr>
        <w:t xml:space="preserve"> </w:t>
      </w:r>
      <w:r>
        <w:rPr>
          <w:sz w:val="20"/>
        </w:rPr>
        <w:t>um</w:t>
      </w:r>
      <w:r>
        <w:rPr>
          <w:spacing w:val="-5"/>
          <w:sz w:val="20"/>
        </w:rPr>
        <w:t xml:space="preserve"> </w:t>
      </w:r>
      <w:r>
        <w:rPr>
          <w:sz w:val="20"/>
        </w:rPr>
        <w:t>dos</w:t>
      </w:r>
      <w:r>
        <w:rPr>
          <w:spacing w:val="-5"/>
          <w:sz w:val="20"/>
        </w:rPr>
        <w:t xml:space="preserve"> </w:t>
      </w:r>
      <w:r>
        <w:rPr>
          <w:sz w:val="20"/>
        </w:rPr>
        <w:t>princípios</w:t>
      </w:r>
      <w:r>
        <w:rPr>
          <w:spacing w:val="-5"/>
          <w:sz w:val="20"/>
        </w:rPr>
        <w:t xml:space="preserve"> </w:t>
      </w:r>
      <w:r>
        <w:rPr>
          <w:sz w:val="20"/>
        </w:rPr>
        <w:t>gerais</w:t>
      </w:r>
      <w:r>
        <w:rPr>
          <w:spacing w:val="-6"/>
          <w:sz w:val="20"/>
        </w:rPr>
        <w:t xml:space="preserve"> </w:t>
      </w:r>
      <w:r>
        <w:rPr>
          <w:sz w:val="20"/>
        </w:rPr>
        <w:t>da</w:t>
      </w:r>
      <w:r>
        <w:rPr>
          <w:spacing w:val="-5"/>
          <w:sz w:val="20"/>
        </w:rPr>
        <w:t xml:space="preserve"> </w:t>
      </w:r>
      <w:r>
        <w:rPr>
          <w:sz w:val="20"/>
        </w:rPr>
        <w:t>ordem</w:t>
      </w:r>
      <w:r>
        <w:rPr>
          <w:spacing w:val="-4"/>
          <w:sz w:val="20"/>
        </w:rPr>
        <w:t xml:space="preserve"> </w:t>
      </w:r>
      <w:r>
        <w:rPr>
          <w:sz w:val="20"/>
        </w:rPr>
        <w:t>econômica; deve</w:t>
      </w:r>
      <w:r>
        <w:rPr>
          <w:spacing w:val="-3"/>
          <w:sz w:val="20"/>
        </w:rPr>
        <w:t xml:space="preserve"> </w:t>
      </w:r>
      <w:r>
        <w:rPr>
          <w:sz w:val="20"/>
        </w:rPr>
        <w:t>ela estar</w:t>
      </w:r>
      <w:r>
        <w:rPr>
          <w:spacing w:val="-13"/>
          <w:sz w:val="20"/>
        </w:rPr>
        <w:t xml:space="preserve"> </w:t>
      </w:r>
      <w:r>
        <w:rPr>
          <w:sz w:val="20"/>
        </w:rPr>
        <w:t>vinculada</w:t>
      </w:r>
      <w:r>
        <w:rPr>
          <w:spacing w:val="-12"/>
          <w:sz w:val="20"/>
        </w:rPr>
        <w:t xml:space="preserve"> </w:t>
      </w:r>
      <w:r>
        <w:rPr>
          <w:sz w:val="20"/>
        </w:rPr>
        <w:t>a</w:t>
      </w:r>
      <w:r>
        <w:rPr>
          <w:spacing w:val="-13"/>
          <w:sz w:val="20"/>
        </w:rPr>
        <w:t xml:space="preserve"> </w:t>
      </w:r>
      <w:r>
        <w:rPr>
          <w:sz w:val="20"/>
        </w:rPr>
        <w:t>sua</w:t>
      </w:r>
      <w:r>
        <w:rPr>
          <w:spacing w:val="-12"/>
          <w:sz w:val="20"/>
        </w:rPr>
        <w:t xml:space="preserve"> </w:t>
      </w:r>
      <w:r>
        <w:rPr>
          <w:sz w:val="20"/>
        </w:rPr>
        <w:t>finalidade,</w:t>
      </w:r>
      <w:r>
        <w:rPr>
          <w:spacing w:val="-13"/>
          <w:sz w:val="20"/>
        </w:rPr>
        <w:t xml:space="preserve"> </w:t>
      </w:r>
      <w:r>
        <w:rPr>
          <w:sz w:val="20"/>
        </w:rPr>
        <w:t>o</w:t>
      </w:r>
      <w:r>
        <w:rPr>
          <w:spacing w:val="-12"/>
          <w:sz w:val="20"/>
        </w:rPr>
        <w:t xml:space="preserve"> </w:t>
      </w:r>
      <w:r>
        <w:rPr>
          <w:sz w:val="20"/>
        </w:rPr>
        <w:t>que</w:t>
      </w:r>
      <w:r>
        <w:rPr>
          <w:spacing w:val="-13"/>
          <w:sz w:val="20"/>
        </w:rPr>
        <w:t xml:space="preserve"> </w:t>
      </w:r>
      <w:r>
        <w:rPr>
          <w:sz w:val="20"/>
        </w:rPr>
        <w:t>significa</w:t>
      </w:r>
      <w:r>
        <w:rPr>
          <w:spacing w:val="-12"/>
          <w:sz w:val="20"/>
        </w:rPr>
        <w:t xml:space="preserve"> </w:t>
      </w:r>
      <w:r>
        <w:rPr>
          <w:sz w:val="20"/>
        </w:rPr>
        <w:t>que</w:t>
      </w:r>
      <w:r>
        <w:rPr>
          <w:spacing w:val="-13"/>
          <w:sz w:val="20"/>
        </w:rPr>
        <w:t xml:space="preserve"> </w:t>
      </w:r>
      <w:r>
        <w:rPr>
          <w:sz w:val="20"/>
        </w:rPr>
        <w:t>deve</w:t>
      </w:r>
      <w:r>
        <w:rPr>
          <w:spacing w:val="-12"/>
          <w:sz w:val="20"/>
        </w:rPr>
        <w:t xml:space="preserve"> </w:t>
      </w:r>
      <w:r>
        <w:rPr>
          <w:sz w:val="20"/>
        </w:rPr>
        <w:t>assegurar</w:t>
      </w:r>
      <w:r>
        <w:rPr>
          <w:spacing w:val="-13"/>
          <w:sz w:val="20"/>
        </w:rPr>
        <w:t xml:space="preserve"> </w:t>
      </w:r>
      <w:r>
        <w:rPr>
          <w:sz w:val="20"/>
        </w:rPr>
        <w:t>a</w:t>
      </w:r>
      <w:r>
        <w:rPr>
          <w:spacing w:val="-12"/>
          <w:sz w:val="20"/>
        </w:rPr>
        <w:t xml:space="preserve"> </w:t>
      </w:r>
      <w:r>
        <w:rPr>
          <w:sz w:val="20"/>
        </w:rPr>
        <w:t>todos</w:t>
      </w:r>
      <w:r>
        <w:rPr>
          <w:spacing w:val="-13"/>
          <w:sz w:val="20"/>
        </w:rPr>
        <w:t xml:space="preserve"> </w:t>
      </w:r>
      <w:r>
        <w:rPr>
          <w:sz w:val="20"/>
        </w:rPr>
        <w:t>a</w:t>
      </w:r>
      <w:r>
        <w:rPr>
          <w:spacing w:val="-12"/>
          <w:sz w:val="20"/>
        </w:rPr>
        <w:t xml:space="preserve"> </w:t>
      </w:r>
      <w:r>
        <w:rPr>
          <w:sz w:val="20"/>
        </w:rPr>
        <w:t xml:space="preserve">existência digna, conforme ditames de uma justiça social efetivamente isonômica. (LEAL, Rogério Gesta. </w:t>
      </w:r>
      <w:r>
        <w:rPr>
          <w:b/>
          <w:sz w:val="20"/>
        </w:rPr>
        <w:t>A função social da propriedade e da cidade no Brasil</w:t>
      </w:r>
      <w:r>
        <w:rPr>
          <w:sz w:val="20"/>
        </w:rPr>
        <w:t>: aspectos jurídicos e políticos. Porto Alegre, Livraria do Advogado/Edunisc, 1998, p. 120).</w:t>
      </w:r>
    </w:p>
    <w:p w:rsidR="007259F2" w:rsidRDefault="007259F2">
      <w:pPr>
        <w:pStyle w:val="Corpodetexto"/>
        <w:spacing w:before="205"/>
        <w:ind w:left="0" w:firstLine="0"/>
        <w:jc w:val="left"/>
        <w:rPr>
          <w:sz w:val="20"/>
        </w:rPr>
      </w:pPr>
    </w:p>
    <w:p w:rsidR="007259F2" w:rsidRDefault="00E655B4">
      <w:pPr>
        <w:pStyle w:val="Corpodetexto"/>
        <w:ind w:right="420"/>
      </w:pPr>
      <w:r>
        <w:t>No tocante à propriedade urbana, estabelece a CF, em seu art. 21, inciso XX, a competência da União em “instituir diretrizes para o desenvolvimento urbano, inclusive habitação, saneamento básico e transportes urbanos”</w:t>
      </w:r>
      <w:r>
        <w:rPr>
          <w:i/>
        </w:rPr>
        <w:t xml:space="preserve">. </w:t>
      </w:r>
      <w:r>
        <w:t>Em razão desta competência foi promulgada</w:t>
      </w:r>
      <w:r>
        <w:rPr>
          <w:spacing w:val="-13"/>
        </w:rPr>
        <w:t xml:space="preserve"> </w:t>
      </w:r>
      <w:r>
        <w:t>a</w:t>
      </w:r>
      <w:r>
        <w:rPr>
          <w:spacing w:val="-10"/>
        </w:rPr>
        <w:t xml:space="preserve"> </w:t>
      </w:r>
      <w:r>
        <w:t>Lei</w:t>
      </w:r>
      <w:r>
        <w:rPr>
          <w:spacing w:val="-11"/>
        </w:rPr>
        <w:t xml:space="preserve"> </w:t>
      </w:r>
      <w:r>
        <w:t>Federal</w:t>
      </w:r>
      <w:r>
        <w:rPr>
          <w:spacing w:val="-5"/>
        </w:rPr>
        <w:t xml:space="preserve"> </w:t>
      </w:r>
      <w:r>
        <w:t>nº</w:t>
      </w:r>
      <w:r>
        <w:rPr>
          <w:spacing w:val="-13"/>
        </w:rPr>
        <w:t xml:space="preserve"> </w:t>
      </w:r>
      <w:r>
        <w:t>10.257/2001,</w:t>
      </w:r>
      <w:r>
        <w:rPr>
          <w:spacing w:val="-13"/>
        </w:rPr>
        <w:t xml:space="preserve"> </w:t>
      </w:r>
      <w:r>
        <w:t>conhecida</w:t>
      </w:r>
      <w:r>
        <w:rPr>
          <w:spacing w:val="-13"/>
        </w:rPr>
        <w:t xml:space="preserve"> </w:t>
      </w:r>
      <w:r>
        <w:t>como</w:t>
      </w:r>
      <w:r>
        <w:rPr>
          <w:spacing w:val="-11"/>
        </w:rPr>
        <w:t xml:space="preserve"> </w:t>
      </w:r>
      <w:r>
        <w:t>Estatuto</w:t>
      </w:r>
      <w:r>
        <w:rPr>
          <w:spacing w:val="-11"/>
        </w:rPr>
        <w:t xml:space="preserve"> </w:t>
      </w:r>
      <w:r>
        <w:t>da</w:t>
      </w:r>
      <w:r>
        <w:rPr>
          <w:spacing w:val="-12"/>
        </w:rPr>
        <w:t xml:space="preserve"> </w:t>
      </w:r>
      <w:r>
        <w:t>Cidade,</w:t>
      </w:r>
      <w:r>
        <w:rPr>
          <w:spacing w:val="-12"/>
        </w:rPr>
        <w:t xml:space="preserve"> </w:t>
      </w:r>
      <w:r>
        <w:t>que</w:t>
      </w:r>
      <w:r>
        <w:rPr>
          <w:spacing w:val="-12"/>
        </w:rPr>
        <w:t xml:space="preserve"> </w:t>
      </w:r>
      <w:r>
        <w:t>“estabelece normas de ordem pública e interesse social que regulam o uso da propriedade urbana em prol do</w:t>
      </w:r>
      <w:r>
        <w:rPr>
          <w:spacing w:val="-13"/>
        </w:rPr>
        <w:t xml:space="preserve"> </w:t>
      </w:r>
      <w:r>
        <w:t>bem</w:t>
      </w:r>
      <w:r>
        <w:rPr>
          <w:spacing w:val="-13"/>
        </w:rPr>
        <w:t xml:space="preserve"> </w:t>
      </w:r>
      <w:r>
        <w:t>coletivo,</w:t>
      </w:r>
      <w:r>
        <w:rPr>
          <w:spacing w:val="-12"/>
        </w:rPr>
        <w:t xml:space="preserve"> </w:t>
      </w:r>
      <w:r>
        <w:t>da</w:t>
      </w:r>
      <w:r>
        <w:rPr>
          <w:spacing w:val="-14"/>
        </w:rPr>
        <w:t xml:space="preserve"> </w:t>
      </w:r>
      <w:r>
        <w:t>segurança</w:t>
      </w:r>
      <w:r>
        <w:rPr>
          <w:spacing w:val="-13"/>
        </w:rPr>
        <w:t xml:space="preserve"> </w:t>
      </w:r>
      <w:r>
        <w:t>e</w:t>
      </w:r>
      <w:r>
        <w:rPr>
          <w:spacing w:val="-14"/>
        </w:rPr>
        <w:t xml:space="preserve"> </w:t>
      </w:r>
      <w:r>
        <w:t>do</w:t>
      </w:r>
      <w:r>
        <w:rPr>
          <w:spacing w:val="-13"/>
        </w:rPr>
        <w:t xml:space="preserve"> </w:t>
      </w:r>
      <w:r>
        <w:t>bem-estar</w:t>
      </w:r>
      <w:r>
        <w:rPr>
          <w:spacing w:val="-14"/>
        </w:rPr>
        <w:t xml:space="preserve"> </w:t>
      </w:r>
      <w:r>
        <w:t>dos</w:t>
      </w:r>
      <w:r>
        <w:rPr>
          <w:spacing w:val="-12"/>
        </w:rPr>
        <w:t xml:space="preserve"> </w:t>
      </w:r>
      <w:r>
        <w:t>cidadãos,</w:t>
      </w:r>
      <w:r>
        <w:rPr>
          <w:spacing w:val="-12"/>
        </w:rPr>
        <w:t xml:space="preserve"> </w:t>
      </w:r>
      <w:r>
        <w:t>bem</w:t>
      </w:r>
      <w:r>
        <w:rPr>
          <w:spacing w:val="-13"/>
        </w:rPr>
        <w:t xml:space="preserve"> </w:t>
      </w:r>
      <w:r>
        <w:t>como</w:t>
      </w:r>
      <w:r>
        <w:rPr>
          <w:spacing w:val="-13"/>
        </w:rPr>
        <w:t xml:space="preserve"> </w:t>
      </w:r>
      <w:r>
        <w:t>do</w:t>
      </w:r>
      <w:r>
        <w:rPr>
          <w:spacing w:val="-13"/>
        </w:rPr>
        <w:t xml:space="preserve"> </w:t>
      </w:r>
      <w:r>
        <w:t>equilíbrio</w:t>
      </w:r>
      <w:r>
        <w:rPr>
          <w:spacing w:val="-12"/>
        </w:rPr>
        <w:t xml:space="preserve"> </w:t>
      </w:r>
      <w:r>
        <w:t>ambiental” (art.</w:t>
      </w:r>
      <w:r>
        <w:rPr>
          <w:spacing w:val="-6"/>
        </w:rPr>
        <w:t xml:space="preserve"> </w:t>
      </w:r>
      <w:r>
        <w:t>1º,</w:t>
      </w:r>
      <w:r>
        <w:rPr>
          <w:spacing w:val="-6"/>
        </w:rPr>
        <w:t xml:space="preserve"> </w:t>
      </w:r>
      <w:r>
        <w:t>parágrafo</w:t>
      </w:r>
      <w:r>
        <w:rPr>
          <w:spacing w:val="-7"/>
        </w:rPr>
        <w:t xml:space="preserve"> </w:t>
      </w:r>
      <w:r>
        <w:t>único)</w:t>
      </w:r>
      <w:r>
        <w:rPr>
          <w:i/>
        </w:rPr>
        <w:t xml:space="preserve">, </w:t>
      </w:r>
      <w:r>
        <w:t>regulamentando, assim,</w:t>
      </w:r>
      <w:r>
        <w:rPr>
          <w:spacing w:val="-4"/>
        </w:rPr>
        <w:t xml:space="preserve"> </w:t>
      </w:r>
      <w:r>
        <w:t>os</w:t>
      </w:r>
      <w:r>
        <w:rPr>
          <w:spacing w:val="-6"/>
        </w:rPr>
        <w:t xml:space="preserve"> </w:t>
      </w:r>
      <w:r>
        <w:t>artigos</w:t>
      </w:r>
      <w:r>
        <w:rPr>
          <w:spacing w:val="-6"/>
        </w:rPr>
        <w:t xml:space="preserve"> </w:t>
      </w:r>
      <w:r>
        <w:t>182</w:t>
      </w:r>
      <w:r>
        <w:rPr>
          <w:spacing w:val="-6"/>
        </w:rPr>
        <w:t xml:space="preserve"> </w:t>
      </w:r>
      <w:r>
        <w:t>e</w:t>
      </w:r>
      <w:r>
        <w:rPr>
          <w:spacing w:val="-7"/>
        </w:rPr>
        <w:t xml:space="preserve"> </w:t>
      </w:r>
      <w:r>
        <w:t>183</w:t>
      </w:r>
      <w:r>
        <w:rPr>
          <w:spacing w:val="-6"/>
        </w:rPr>
        <w:t xml:space="preserve"> </w:t>
      </w:r>
      <w:r>
        <w:t>da</w:t>
      </w:r>
      <w:r>
        <w:rPr>
          <w:spacing w:val="-7"/>
        </w:rPr>
        <w:t xml:space="preserve"> </w:t>
      </w:r>
      <w:r>
        <w:t>CF,</w:t>
      </w:r>
      <w:r>
        <w:rPr>
          <w:spacing w:val="-5"/>
        </w:rPr>
        <w:t xml:space="preserve"> </w:t>
      </w:r>
      <w:r>
        <w:t>que</w:t>
      </w:r>
      <w:r>
        <w:rPr>
          <w:spacing w:val="-8"/>
        </w:rPr>
        <w:t xml:space="preserve"> </w:t>
      </w:r>
      <w:r>
        <w:t>tratam</w:t>
      </w:r>
      <w:r>
        <w:rPr>
          <w:spacing w:val="-5"/>
        </w:rPr>
        <w:t xml:space="preserve"> </w:t>
      </w:r>
      <w:r>
        <w:t>sobre a política de desenvolvimento urbano.</w:t>
      </w:r>
    </w:p>
    <w:p w:rsidR="007259F2" w:rsidRDefault="00E655B4">
      <w:pPr>
        <w:pStyle w:val="Corpodetexto"/>
        <w:spacing w:before="3" w:line="237" w:lineRule="auto"/>
        <w:ind w:right="431"/>
      </w:pPr>
      <w:r>
        <w:t xml:space="preserve">Ao tema tratado neste artigo, interessa mais especificamente o que preceitua o art. 182 da CF, </w:t>
      </w:r>
      <w:r>
        <w:rPr>
          <w:i/>
        </w:rPr>
        <w:t>in verbis</w:t>
      </w:r>
      <w:r>
        <w:t>:</w:t>
      </w:r>
    </w:p>
    <w:p w:rsidR="007259F2" w:rsidRDefault="00E655B4">
      <w:pPr>
        <w:spacing w:before="2"/>
        <w:ind w:left="2978" w:right="422"/>
        <w:jc w:val="both"/>
        <w:rPr>
          <w:sz w:val="20"/>
        </w:rPr>
      </w:pPr>
      <w:r>
        <w:rPr>
          <w:sz w:val="20"/>
        </w:rPr>
        <w:t>Art. 182. A política de desenvolvimento urbano, executada pelo Poder Público municipal,</w:t>
      </w:r>
      <w:r>
        <w:rPr>
          <w:spacing w:val="-10"/>
          <w:sz w:val="20"/>
        </w:rPr>
        <w:t xml:space="preserve"> </w:t>
      </w:r>
      <w:r>
        <w:rPr>
          <w:sz w:val="20"/>
        </w:rPr>
        <w:t>conforme</w:t>
      </w:r>
      <w:r>
        <w:rPr>
          <w:spacing w:val="-8"/>
          <w:sz w:val="20"/>
        </w:rPr>
        <w:t xml:space="preserve"> </w:t>
      </w:r>
      <w:r>
        <w:rPr>
          <w:sz w:val="20"/>
        </w:rPr>
        <w:t>diretrizes</w:t>
      </w:r>
      <w:r>
        <w:rPr>
          <w:spacing w:val="-10"/>
          <w:sz w:val="20"/>
        </w:rPr>
        <w:t xml:space="preserve"> </w:t>
      </w:r>
      <w:r>
        <w:rPr>
          <w:sz w:val="20"/>
        </w:rPr>
        <w:t>gerais</w:t>
      </w:r>
      <w:r>
        <w:rPr>
          <w:spacing w:val="-9"/>
          <w:sz w:val="20"/>
        </w:rPr>
        <w:t xml:space="preserve"> </w:t>
      </w:r>
      <w:r>
        <w:rPr>
          <w:sz w:val="20"/>
        </w:rPr>
        <w:t>fixadas</w:t>
      </w:r>
      <w:r>
        <w:rPr>
          <w:spacing w:val="-11"/>
          <w:sz w:val="20"/>
        </w:rPr>
        <w:t xml:space="preserve"> </w:t>
      </w:r>
      <w:r>
        <w:rPr>
          <w:sz w:val="20"/>
        </w:rPr>
        <w:t>em</w:t>
      </w:r>
      <w:r>
        <w:rPr>
          <w:spacing w:val="-10"/>
          <w:sz w:val="20"/>
        </w:rPr>
        <w:t xml:space="preserve"> </w:t>
      </w:r>
      <w:r>
        <w:rPr>
          <w:sz w:val="20"/>
        </w:rPr>
        <w:t>lei,</w:t>
      </w:r>
      <w:r>
        <w:rPr>
          <w:spacing w:val="-11"/>
          <w:sz w:val="20"/>
        </w:rPr>
        <w:t xml:space="preserve"> </w:t>
      </w:r>
      <w:r>
        <w:rPr>
          <w:sz w:val="20"/>
        </w:rPr>
        <w:t>tem</w:t>
      </w:r>
      <w:r>
        <w:rPr>
          <w:spacing w:val="-12"/>
          <w:sz w:val="20"/>
        </w:rPr>
        <w:t xml:space="preserve"> </w:t>
      </w:r>
      <w:r>
        <w:rPr>
          <w:sz w:val="20"/>
        </w:rPr>
        <w:t>por</w:t>
      </w:r>
      <w:r>
        <w:rPr>
          <w:spacing w:val="-13"/>
          <w:sz w:val="20"/>
        </w:rPr>
        <w:t xml:space="preserve"> </w:t>
      </w:r>
      <w:r>
        <w:rPr>
          <w:sz w:val="20"/>
        </w:rPr>
        <w:t>objetivo</w:t>
      </w:r>
      <w:r>
        <w:rPr>
          <w:spacing w:val="-9"/>
          <w:sz w:val="20"/>
        </w:rPr>
        <w:t xml:space="preserve"> </w:t>
      </w:r>
      <w:r>
        <w:rPr>
          <w:sz w:val="20"/>
        </w:rPr>
        <w:t>ordenar</w:t>
      </w:r>
      <w:r>
        <w:rPr>
          <w:spacing w:val="-9"/>
          <w:sz w:val="20"/>
        </w:rPr>
        <w:t xml:space="preserve"> </w:t>
      </w:r>
      <w:r>
        <w:rPr>
          <w:sz w:val="20"/>
        </w:rPr>
        <w:t>o</w:t>
      </w:r>
      <w:r>
        <w:rPr>
          <w:spacing w:val="-10"/>
          <w:sz w:val="20"/>
        </w:rPr>
        <w:t xml:space="preserve"> </w:t>
      </w:r>
      <w:r>
        <w:rPr>
          <w:sz w:val="20"/>
        </w:rPr>
        <w:t>pleno desenvolvimento das funções sociais da cidade e garantir o bem-estar de seus habitantes.</w:t>
      </w:r>
      <w:r>
        <w:rPr>
          <w:spacing w:val="80"/>
          <w:sz w:val="20"/>
        </w:rPr>
        <w:t xml:space="preserve"> </w:t>
      </w:r>
      <w:hyperlink r:id="rId365">
        <w:r>
          <w:rPr>
            <w:sz w:val="20"/>
          </w:rPr>
          <w:t>(Regulamento)</w:t>
        </w:r>
      </w:hyperlink>
      <w:r>
        <w:rPr>
          <w:spacing w:val="40"/>
          <w:sz w:val="20"/>
        </w:rPr>
        <w:t xml:space="preserve"> </w:t>
      </w:r>
      <w:r>
        <w:rPr>
          <w:sz w:val="20"/>
        </w:rPr>
        <w:t>(</w:t>
      </w:r>
      <w:hyperlink r:id="rId366">
        <w:r>
          <w:rPr>
            <w:sz w:val="20"/>
          </w:rPr>
          <w:t>Vide Lei nº 13.311, de 11 de julho de 2016</w:t>
        </w:r>
      </w:hyperlink>
      <w:r>
        <w:rPr>
          <w:sz w:val="20"/>
        </w:rPr>
        <w:t>)</w:t>
      </w:r>
    </w:p>
    <w:p w:rsidR="007259F2" w:rsidRDefault="00E655B4">
      <w:pPr>
        <w:spacing w:before="2"/>
        <w:ind w:left="2978" w:right="419"/>
        <w:jc w:val="both"/>
        <w:rPr>
          <w:sz w:val="20"/>
        </w:rPr>
      </w:pPr>
      <w:r>
        <w:rPr>
          <w:sz w:val="20"/>
        </w:rPr>
        <w:t>§</w:t>
      </w:r>
      <w:r>
        <w:rPr>
          <w:spacing w:val="-1"/>
          <w:sz w:val="20"/>
        </w:rPr>
        <w:t xml:space="preserve"> </w:t>
      </w:r>
      <w:r>
        <w:rPr>
          <w:sz w:val="20"/>
        </w:rPr>
        <w:t>1º</w:t>
      </w:r>
      <w:r>
        <w:rPr>
          <w:spacing w:val="-1"/>
          <w:sz w:val="20"/>
        </w:rPr>
        <w:t xml:space="preserve"> </w:t>
      </w:r>
      <w:r>
        <w:rPr>
          <w:sz w:val="20"/>
        </w:rPr>
        <w:t>O</w:t>
      </w:r>
      <w:r>
        <w:rPr>
          <w:spacing w:val="-4"/>
          <w:sz w:val="20"/>
        </w:rPr>
        <w:t xml:space="preserve"> </w:t>
      </w:r>
      <w:r>
        <w:rPr>
          <w:sz w:val="20"/>
        </w:rPr>
        <w:t>plano diretor,</w:t>
      </w:r>
      <w:r>
        <w:rPr>
          <w:spacing w:val="-2"/>
          <w:sz w:val="20"/>
        </w:rPr>
        <w:t xml:space="preserve"> </w:t>
      </w:r>
      <w:r>
        <w:rPr>
          <w:sz w:val="20"/>
        </w:rPr>
        <w:t>aprovado</w:t>
      </w:r>
      <w:r>
        <w:rPr>
          <w:spacing w:val="-3"/>
          <w:sz w:val="20"/>
        </w:rPr>
        <w:t xml:space="preserve"> </w:t>
      </w:r>
      <w:r>
        <w:rPr>
          <w:sz w:val="20"/>
        </w:rPr>
        <w:t>pela</w:t>
      </w:r>
      <w:r>
        <w:rPr>
          <w:spacing w:val="-1"/>
          <w:sz w:val="20"/>
        </w:rPr>
        <w:t xml:space="preserve"> </w:t>
      </w:r>
      <w:r>
        <w:rPr>
          <w:sz w:val="20"/>
        </w:rPr>
        <w:t>Câmara Municipal,</w:t>
      </w:r>
      <w:r>
        <w:rPr>
          <w:spacing w:val="-3"/>
          <w:sz w:val="20"/>
        </w:rPr>
        <w:t xml:space="preserve"> </w:t>
      </w:r>
      <w:r>
        <w:rPr>
          <w:sz w:val="20"/>
        </w:rPr>
        <w:t>obrigatório</w:t>
      </w:r>
      <w:r>
        <w:rPr>
          <w:spacing w:val="-1"/>
          <w:sz w:val="20"/>
        </w:rPr>
        <w:t xml:space="preserve"> </w:t>
      </w:r>
      <w:r>
        <w:rPr>
          <w:sz w:val="20"/>
        </w:rPr>
        <w:t>para cidades</w:t>
      </w:r>
      <w:r>
        <w:rPr>
          <w:spacing w:val="-2"/>
          <w:sz w:val="20"/>
        </w:rPr>
        <w:t xml:space="preserve"> </w:t>
      </w:r>
      <w:r>
        <w:rPr>
          <w:sz w:val="20"/>
        </w:rPr>
        <w:t>com mais</w:t>
      </w:r>
      <w:r>
        <w:rPr>
          <w:spacing w:val="-7"/>
          <w:sz w:val="20"/>
        </w:rPr>
        <w:t xml:space="preserve"> </w:t>
      </w:r>
      <w:r>
        <w:rPr>
          <w:sz w:val="20"/>
        </w:rPr>
        <w:t>de</w:t>
      </w:r>
      <w:r>
        <w:rPr>
          <w:spacing w:val="-6"/>
          <w:sz w:val="20"/>
        </w:rPr>
        <w:t xml:space="preserve"> </w:t>
      </w:r>
      <w:r>
        <w:rPr>
          <w:sz w:val="20"/>
        </w:rPr>
        <w:t>vinte</w:t>
      </w:r>
      <w:r>
        <w:rPr>
          <w:spacing w:val="-1"/>
          <w:sz w:val="20"/>
        </w:rPr>
        <w:t xml:space="preserve"> </w:t>
      </w:r>
      <w:r>
        <w:rPr>
          <w:sz w:val="20"/>
        </w:rPr>
        <w:t>mil</w:t>
      </w:r>
      <w:r>
        <w:rPr>
          <w:spacing w:val="-6"/>
          <w:sz w:val="20"/>
        </w:rPr>
        <w:t xml:space="preserve"> </w:t>
      </w:r>
      <w:r>
        <w:rPr>
          <w:sz w:val="20"/>
        </w:rPr>
        <w:t>habitantes,</w:t>
      </w:r>
      <w:r>
        <w:rPr>
          <w:spacing w:val="-6"/>
          <w:sz w:val="20"/>
        </w:rPr>
        <w:t xml:space="preserve"> </w:t>
      </w:r>
      <w:r>
        <w:rPr>
          <w:sz w:val="20"/>
        </w:rPr>
        <w:t>é</w:t>
      </w:r>
      <w:r>
        <w:rPr>
          <w:spacing w:val="-6"/>
          <w:sz w:val="20"/>
        </w:rPr>
        <w:t xml:space="preserve"> </w:t>
      </w:r>
      <w:r>
        <w:rPr>
          <w:sz w:val="20"/>
        </w:rPr>
        <w:t>o</w:t>
      </w:r>
      <w:r>
        <w:rPr>
          <w:spacing w:val="-5"/>
          <w:sz w:val="20"/>
        </w:rPr>
        <w:t xml:space="preserve"> </w:t>
      </w:r>
      <w:r>
        <w:rPr>
          <w:sz w:val="20"/>
        </w:rPr>
        <w:t>instrumento</w:t>
      </w:r>
      <w:r>
        <w:rPr>
          <w:spacing w:val="-7"/>
          <w:sz w:val="20"/>
        </w:rPr>
        <w:t xml:space="preserve"> </w:t>
      </w:r>
      <w:r>
        <w:rPr>
          <w:sz w:val="20"/>
        </w:rPr>
        <w:t>básico</w:t>
      </w:r>
      <w:r>
        <w:rPr>
          <w:spacing w:val="-5"/>
          <w:sz w:val="20"/>
        </w:rPr>
        <w:t xml:space="preserve"> </w:t>
      </w:r>
      <w:r>
        <w:rPr>
          <w:sz w:val="20"/>
        </w:rPr>
        <w:t>da</w:t>
      </w:r>
      <w:r>
        <w:rPr>
          <w:spacing w:val="-6"/>
          <w:sz w:val="20"/>
        </w:rPr>
        <w:t xml:space="preserve"> </w:t>
      </w:r>
      <w:r>
        <w:rPr>
          <w:sz w:val="20"/>
        </w:rPr>
        <w:t>política</w:t>
      </w:r>
      <w:r>
        <w:rPr>
          <w:spacing w:val="-4"/>
          <w:sz w:val="20"/>
        </w:rPr>
        <w:t xml:space="preserve"> </w:t>
      </w:r>
      <w:r>
        <w:rPr>
          <w:sz w:val="20"/>
        </w:rPr>
        <w:t>de</w:t>
      </w:r>
      <w:r>
        <w:rPr>
          <w:spacing w:val="-6"/>
          <w:sz w:val="20"/>
        </w:rPr>
        <w:t xml:space="preserve"> </w:t>
      </w:r>
      <w:r>
        <w:rPr>
          <w:sz w:val="20"/>
        </w:rPr>
        <w:t>desenvolvimento</w:t>
      </w:r>
      <w:r>
        <w:rPr>
          <w:spacing w:val="-4"/>
          <w:sz w:val="20"/>
        </w:rPr>
        <w:t xml:space="preserve"> </w:t>
      </w:r>
      <w:r>
        <w:rPr>
          <w:sz w:val="20"/>
        </w:rPr>
        <w:t>e de expansão urbana.</w:t>
      </w:r>
    </w:p>
    <w:p w:rsidR="007259F2" w:rsidRDefault="00E655B4">
      <w:pPr>
        <w:ind w:left="2978" w:right="432"/>
        <w:jc w:val="both"/>
        <w:rPr>
          <w:sz w:val="20"/>
        </w:rPr>
      </w:pPr>
      <w:r>
        <w:rPr>
          <w:sz w:val="20"/>
        </w:rPr>
        <w:t>§ 2º A propriedade urbana cumpre sua função social quando atende às exigências fundamentais de ordenação da cidade expressas no plano diretor.</w:t>
      </w:r>
    </w:p>
    <w:p w:rsidR="007259F2" w:rsidRDefault="00E655B4">
      <w:pPr>
        <w:ind w:left="2978" w:right="432"/>
        <w:jc w:val="both"/>
        <w:rPr>
          <w:sz w:val="20"/>
        </w:rPr>
      </w:pPr>
      <w:r>
        <w:rPr>
          <w:sz w:val="20"/>
        </w:rPr>
        <w:t>§ 3º As desapropriações de imóveis urbanos serão feitas com prévia e justa indenização em dinheiro.</w:t>
      </w:r>
    </w:p>
    <w:p w:rsidR="007259F2" w:rsidRDefault="00E655B4">
      <w:pPr>
        <w:spacing w:before="1"/>
        <w:ind w:left="2978" w:right="422"/>
        <w:jc w:val="both"/>
        <w:rPr>
          <w:sz w:val="20"/>
        </w:rPr>
      </w:pPr>
      <w:r>
        <w:rPr>
          <w:sz w:val="20"/>
        </w:rPr>
        <w:t>§</w:t>
      </w:r>
      <w:r>
        <w:rPr>
          <w:spacing w:val="-13"/>
          <w:sz w:val="20"/>
        </w:rPr>
        <w:t xml:space="preserve"> </w:t>
      </w:r>
      <w:r>
        <w:rPr>
          <w:sz w:val="20"/>
        </w:rPr>
        <w:t>4º</w:t>
      </w:r>
      <w:r>
        <w:rPr>
          <w:spacing w:val="-12"/>
          <w:sz w:val="20"/>
        </w:rPr>
        <w:t xml:space="preserve"> </w:t>
      </w:r>
      <w:r>
        <w:rPr>
          <w:sz w:val="20"/>
        </w:rPr>
        <w:t>É</w:t>
      </w:r>
      <w:r>
        <w:rPr>
          <w:spacing w:val="-13"/>
          <w:sz w:val="20"/>
        </w:rPr>
        <w:t xml:space="preserve"> </w:t>
      </w:r>
      <w:r>
        <w:rPr>
          <w:sz w:val="20"/>
        </w:rPr>
        <w:t>facultado</w:t>
      </w:r>
      <w:r>
        <w:rPr>
          <w:spacing w:val="-12"/>
          <w:sz w:val="20"/>
        </w:rPr>
        <w:t xml:space="preserve"> </w:t>
      </w:r>
      <w:r>
        <w:rPr>
          <w:sz w:val="20"/>
        </w:rPr>
        <w:t>ao</w:t>
      </w:r>
      <w:r>
        <w:rPr>
          <w:spacing w:val="-13"/>
          <w:sz w:val="20"/>
        </w:rPr>
        <w:t xml:space="preserve"> </w:t>
      </w:r>
      <w:r>
        <w:rPr>
          <w:sz w:val="20"/>
        </w:rPr>
        <w:t>Poder</w:t>
      </w:r>
      <w:r>
        <w:rPr>
          <w:spacing w:val="-12"/>
          <w:sz w:val="20"/>
        </w:rPr>
        <w:t xml:space="preserve"> </w:t>
      </w:r>
      <w:r>
        <w:rPr>
          <w:sz w:val="20"/>
        </w:rPr>
        <w:t>Público</w:t>
      </w:r>
      <w:r>
        <w:rPr>
          <w:spacing w:val="-13"/>
          <w:sz w:val="20"/>
        </w:rPr>
        <w:t xml:space="preserve"> </w:t>
      </w:r>
      <w:r>
        <w:rPr>
          <w:sz w:val="20"/>
        </w:rPr>
        <w:t>municipal,</w:t>
      </w:r>
      <w:r>
        <w:rPr>
          <w:spacing w:val="-12"/>
          <w:sz w:val="20"/>
        </w:rPr>
        <w:t xml:space="preserve"> </w:t>
      </w:r>
      <w:r>
        <w:rPr>
          <w:sz w:val="20"/>
        </w:rPr>
        <w:t>mediante</w:t>
      </w:r>
      <w:r>
        <w:rPr>
          <w:spacing w:val="-13"/>
          <w:sz w:val="20"/>
        </w:rPr>
        <w:t xml:space="preserve"> </w:t>
      </w:r>
      <w:r>
        <w:rPr>
          <w:sz w:val="20"/>
        </w:rPr>
        <w:t>lei</w:t>
      </w:r>
      <w:r>
        <w:rPr>
          <w:spacing w:val="-12"/>
          <w:sz w:val="20"/>
        </w:rPr>
        <w:t xml:space="preserve"> </w:t>
      </w:r>
      <w:r>
        <w:rPr>
          <w:sz w:val="20"/>
        </w:rPr>
        <w:t>específica</w:t>
      </w:r>
      <w:r>
        <w:rPr>
          <w:spacing w:val="-13"/>
          <w:sz w:val="20"/>
        </w:rPr>
        <w:t xml:space="preserve"> </w:t>
      </w:r>
      <w:r>
        <w:rPr>
          <w:sz w:val="20"/>
        </w:rPr>
        <w:t>para</w:t>
      </w:r>
      <w:r>
        <w:rPr>
          <w:spacing w:val="-12"/>
          <w:sz w:val="20"/>
        </w:rPr>
        <w:t xml:space="preserve"> </w:t>
      </w:r>
      <w:r>
        <w:rPr>
          <w:sz w:val="20"/>
        </w:rPr>
        <w:t>área</w:t>
      </w:r>
      <w:r>
        <w:rPr>
          <w:spacing w:val="-13"/>
          <w:sz w:val="20"/>
        </w:rPr>
        <w:t xml:space="preserve"> </w:t>
      </w:r>
      <w:r>
        <w:rPr>
          <w:sz w:val="20"/>
        </w:rPr>
        <w:t>incluída no</w:t>
      </w:r>
      <w:r>
        <w:rPr>
          <w:spacing w:val="-3"/>
          <w:sz w:val="20"/>
        </w:rPr>
        <w:t xml:space="preserve"> </w:t>
      </w:r>
      <w:r>
        <w:rPr>
          <w:sz w:val="20"/>
        </w:rPr>
        <w:t>plano</w:t>
      </w:r>
      <w:r>
        <w:rPr>
          <w:spacing w:val="-3"/>
          <w:sz w:val="20"/>
        </w:rPr>
        <w:t xml:space="preserve"> </w:t>
      </w:r>
      <w:r>
        <w:rPr>
          <w:sz w:val="20"/>
        </w:rPr>
        <w:t>diretor,</w:t>
      </w:r>
      <w:r>
        <w:rPr>
          <w:spacing w:val="-2"/>
          <w:sz w:val="20"/>
        </w:rPr>
        <w:t xml:space="preserve"> </w:t>
      </w:r>
      <w:r>
        <w:rPr>
          <w:sz w:val="20"/>
        </w:rPr>
        <w:t>exigir,</w:t>
      </w:r>
      <w:r>
        <w:rPr>
          <w:spacing w:val="-2"/>
          <w:sz w:val="20"/>
        </w:rPr>
        <w:t xml:space="preserve"> </w:t>
      </w:r>
      <w:r>
        <w:rPr>
          <w:sz w:val="20"/>
        </w:rPr>
        <w:t>nos</w:t>
      </w:r>
      <w:r>
        <w:rPr>
          <w:spacing w:val="-2"/>
          <w:sz w:val="20"/>
        </w:rPr>
        <w:t xml:space="preserve"> </w:t>
      </w:r>
      <w:r>
        <w:rPr>
          <w:sz w:val="20"/>
        </w:rPr>
        <w:t>termos</w:t>
      </w:r>
      <w:r>
        <w:rPr>
          <w:spacing w:val="-2"/>
          <w:sz w:val="20"/>
        </w:rPr>
        <w:t xml:space="preserve"> </w:t>
      </w:r>
      <w:r>
        <w:rPr>
          <w:sz w:val="20"/>
        </w:rPr>
        <w:t>da</w:t>
      </w:r>
      <w:r>
        <w:rPr>
          <w:spacing w:val="-2"/>
          <w:sz w:val="20"/>
        </w:rPr>
        <w:t xml:space="preserve"> </w:t>
      </w:r>
      <w:r>
        <w:rPr>
          <w:sz w:val="20"/>
        </w:rPr>
        <w:t>lei</w:t>
      </w:r>
      <w:r>
        <w:rPr>
          <w:spacing w:val="-2"/>
          <w:sz w:val="20"/>
        </w:rPr>
        <w:t xml:space="preserve"> </w:t>
      </w:r>
      <w:r>
        <w:rPr>
          <w:sz w:val="20"/>
        </w:rPr>
        <w:t>federal,</w:t>
      </w:r>
      <w:r>
        <w:rPr>
          <w:spacing w:val="-1"/>
          <w:sz w:val="20"/>
        </w:rPr>
        <w:t xml:space="preserve"> </w:t>
      </w:r>
      <w:r>
        <w:rPr>
          <w:sz w:val="20"/>
        </w:rPr>
        <w:t>do proprietário</w:t>
      </w:r>
      <w:r>
        <w:rPr>
          <w:spacing w:val="-1"/>
          <w:sz w:val="20"/>
        </w:rPr>
        <w:t xml:space="preserve"> </w:t>
      </w:r>
      <w:r>
        <w:rPr>
          <w:sz w:val="20"/>
        </w:rPr>
        <w:t>do</w:t>
      </w:r>
      <w:r>
        <w:rPr>
          <w:spacing w:val="-1"/>
          <w:sz w:val="20"/>
        </w:rPr>
        <w:t xml:space="preserve"> </w:t>
      </w:r>
      <w:r>
        <w:rPr>
          <w:sz w:val="20"/>
        </w:rPr>
        <w:t>solo</w:t>
      </w:r>
      <w:r>
        <w:rPr>
          <w:spacing w:val="-3"/>
          <w:sz w:val="20"/>
        </w:rPr>
        <w:t xml:space="preserve"> </w:t>
      </w:r>
      <w:r>
        <w:rPr>
          <w:sz w:val="20"/>
        </w:rPr>
        <w:t>urbano</w:t>
      </w:r>
      <w:r>
        <w:rPr>
          <w:spacing w:val="-2"/>
          <w:sz w:val="20"/>
        </w:rPr>
        <w:t xml:space="preserve"> </w:t>
      </w:r>
      <w:r>
        <w:rPr>
          <w:sz w:val="20"/>
        </w:rPr>
        <w:t>não edificado,</w:t>
      </w:r>
      <w:r>
        <w:rPr>
          <w:spacing w:val="-4"/>
          <w:sz w:val="20"/>
        </w:rPr>
        <w:t xml:space="preserve"> </w:t>
      </w:r>
      <w:r>
        <w:rPr>
          <w:sz w:val="20"/>
        </w:rPr>
        <w:t>subutilizado</w:t>
      </w:r>
      <w:r>
        <w:rPr>
          <w:spacing w:val="-2"/>
          <w:sz w:val="20"/>
        </w:rPr>
        <w:t xml:space="preserve"> </w:t>
      </w:r>
      <w:r>
        <w:rPr>
          <w:sz w:val="20"/>
        </w:rPr>
        <w:t>ou</w:t>
      </w:r>
      <w:r>
        <w:rPr>
          <w:spacing w:val="-4"/>
          <w:sz w:val="20"/>
        </w:rPr>
        <w:t xml:space="preserve"> </w:t>
      </w:r>
      <w:r>
        <w:rPr>
          <w:sz w:val="20"/>
        </w:rPr>
        <w:t>não utilizado,</w:t>
      </w:r>
      <w:r>
        <w:rPr>
          <w:spacing w:val="-1"/>
          <w:sz w:val="20"/>
        </w:rPr>
        <w:t xml:space="preserve"> </w:t>
      </w:r>
      <w:r>
        <w:rPr>
          <w:sz w:val="20"/>
        </w:rPr>
        <w:t>que</w:t>
      </w:r>
      <w:r>
        <w:rPr>
          <w:spacing w:val="-4"/>
          <w:sz w:val="20"/>
        </w:rPr>
        <w:t xml:space="preserve"> </w:t>
      </w:r>
      <w:r>
        <w:rPr>
          <w:sz w:val="20"/>
        </w:rPr>
        <w:t>promova</w:t>
      </w:r>
      <w:r>
        <w:rPr>
          <w:spacing w:val="-4"/>
          <w:sz w:val="20"/>
        </w:rPr>
        <w:t xml:space="preserve"> </w:t>
      </w:r>
      <w:r>
        <w:rPr>
          <w:sz w:val="20"/>
        </w:rPr>
        <w:t>seu</w:t>
      </w:r>
      <w:r>
        <w:rPr>
          <w:spacing w:val="-4"/>
          <w:sz w:val="20"/>
        </w:rPr>
        <w:t xml:space="preserve"> </w:t>
      </w:r>
      <w:r>
        <w:rPr>
          <w:sz w:val="20"/>
        </w:rPr>
        <w:t>adequado</w:t>
      </w:r>
      <w:r>
        <w:rPr>
          <w:spacing w:val="-2"/>
          <w:sz w:val="20"/>
        </w:rPr>
        <w:t xml:space="preserve"> </w:t>
      </w:r>
      <w:r>
        <w:rPr>
          <w:sz w:val="20"/>
        </w:rPr>
        <w:t>aproveitamento, sob pena, sucessivamente, de:</w:t>
      </w:r>
    </w:p>
    <w:p w:rsidR="007259F2" w:rsidRDefault="00E655B4">
      <w:pPr>
        <w:spacing w:line="229" w:lineRule="exact"/>
        <w:ind w:left="2978"/>
        <w:jc w:val="both"/>
        <w:rPr>
          <w:sz w:val="20"/>
        </w:rPr>
      </w:pPr>
      <w:r>
        <w:rPr>
          <w:sz w:val="20"/>
        </w:rPr>
        <w:t>I</w:t>
      </w:r>
      <w:r>
        <w:rPr>
          <w:spacing w:val="-9"/>
          <w:sz w:val="20"/>
        </w:rPr>
        <w:t xml:space="preserve"> </w:t>
      </w:r>
      <w:r>
        <w:rPr>
          <w:sz w:val="20"/>
        </w:rPr>
        <w:t>-</w:t>
      </w:r>
      <w:r>
        <w:rPr>
          <w:spacing w:val="-9"/>
          <w:sz w:val="20"/>
        </w:rPr>
        <w:t xml:space="preserve"> </w:t>
      </w:r>
      <w:r>
        <w:rPr>
          <w:sz w:val="20"/>
        </w:rPr>
        <w:t>parcelamento</w:t>
      </w:r>
      <w:r>
        <w:rPr>
          <w:spacing w:val="-8"/>
          <w:sz w:val="20"/>
        </w:rPr>
        <w:t xml:space="preserve"> </w:t>
      </w:r>
      <w:r>
        <w:rPr>
          <w:sz w:val="20"/>
        </w:rPr>
        <w:t>ou</w:t>
      </w:r>
      <w:r>
        <w:rPr>
          <w:spacing w:val="-8"/>
          <w:sz w:val="20"/>
        </w:rPr>
        <w:t xml:space="preserve"> </w:t>
      </w:r>
      <w:r>
        <w:rPr>
          <w:sz w:val="20"/>
        </w:rPr>
        <w:t>edificação</w:t>
      </w:r>
      <w:r>
        <w:rPr>
          <w:spacing w:val="-8"/>
          <w:sz w:val="20"/>
        </w:rPr>
        <w:t xml:space="preserve"> </w:t>
      </w:r>
      <w:r>
        <w:rPr>
          <w:spacing w:val="-2"/>
          <w:sz w:val="20"/>
        </w:rPr>
        <w:t>compulsórios;</w:t>
      </w:r>
    </w:p>
    <w:p w:rsidR="007259F2" w:rsidRDefault="00E655B4">
      <w:pPr>
        <w:spacing w:before="1"/>
        <w:ind w:left="2978"/>
        <w:jc w:val="both"/>
        <w:rPr>
          <w:sz w:val="20"/>
        </w:rPr>
      </w:pPr>
      <w:r>
        <w:rPr>
          <w:sz w:val="20"/>
        </w:rPr>
        <w:t>II</w:t>
      </w:r>
      <w:r>
        <w:rPr>
          <w:spacing w:val="-9"/>
          <w:sz w:val="20"/>
        </w:rPr>
        <w:t xml:space="preserve"> </w:t>
      </w:r>
      <w:r>
        <w:rPr>
          <w:sz w:val="20"/>
        </w:rPr>
        <w:t>-</w:t>
      </w:r>
      <w:r>
        <w:rPr>
          <w:spacing w:val="-11"/>
          <w:sz w:val="20"/>
        </w:rPr>
        <w:t xml:space="preserve"> </w:t>
      </w:r>
      <w:r>
        <w:rPr>
          <w:sz w:val="20"/>
        </w:rPr>
        <w:t>imposto</w:t>
      </w:r>
      <w:r>
        <w:rPr>
          <w:spacing w:val="-6"/>
          <w:sz w:val="20"/>
        </w:rPr>
        <w:t xml:space="preserve"> </w:t>
      </w:r>
      <w:r>
        <w:rPr>
          <w:sz w:val="20"/>
        </w:rPr>
        <w:t>sobre</w:t>
      </w:r>
      <w:r>
        <w:rPr>
          <w:spacing w:val="-8"/>
          <w:sz w:val="20"/>
        </w:rPr>
        <w:t xml:space="preserve"> </w:t>
      </w:r>
      <w:r>
        <w:rPr>
          <w:sz w:val="20"/>
        </w:rPr>
        <w:t>a</w:t>
      </w:r>
      <w:r>
        <w:rPr>
          <w:spacing w:val="-12"/>
          <w:sz w:val="20"/>
        </w:rPr>
        <w:t xml:space="preserve"> </w:t>
      </w:r>
      <w:r>
        <w:rPr>
          <w:sz w:val="20"/>
        </w:rPr>
        <w:t>propriedade</w:t>
      </w:r>
      <w:r>
        <w:rPr>
          <w:spacing w:val="-7"/>
          <w:sz w:val="20"/>
        </w:rPr>
        <w:t xml:space="preserve"> </w:t>
      </w:r>
      <w:r>
        <w:rPr>
          <w:sz w:val="20"/>
        </w:rPr>
        <w:t>predial</w:t>
      </w:r>
      <w:r>
        <w:rPr>
          <w:spacing w:val="-9"/>
          <w:sz w:val="20"/>
        </w:rPr>
        <w:t xml:space="preserve"> </w:t>
      </w:r>
      <w:r>
        <w:rPr>
          <w:sz w:val="20"/>
        </w:rPr>
        <w:t>e</w:t>
      </w:r>
      <w:r>
        <w:rPr>
          <w:spacing w:val="-10"/>
          <w:sz w:val="20"/>
        </w:rPr>
        <w:t xml:space="preserve"> </w:t>
      </w:r>
      <w:r>
        <w:rPr>
          <w:sz w:val="20"/>
        </w:rPr>
        <w:t>territorial</w:t>
      </w:r>
      <w:r>
        <w:rPr>
          <w:spacing w:val="-8"/>
          <w:sz w:val="20"/>
        </w:rPr>
        <w:t xml:space="preserve"> </w:t>
      </w:r>
      <w:r>
        <w:rPr>
          <w:sz w:val="20"/>
        </w:rPr>
        <w:t>urbana</w:t>
      </w:r>
      <w:r>
        <w:rPr>
          <w:spacing w:val="-11"/>
          <w:sz w:val="20"/>
        </w:rPr>
        <w:t xml:space="preserve"> </w:t>
      </w:r>
      <w:r>
        <w:rPr>
          <w:sz w:val="20"/>
        </w:rPr>
        <w:t>progressivo</w:t>
      </w:r>
      <w:r>
        <w:rPr>
          <w:spacing w:val="-7"/>
          <w:sz w:val="20"/>
        </w:rPr>
        <w:t xml:space="preserve"> </w:t>
      </w:r>
      <w:r>
        <w:rPr>
          <w:sz w:val="20"/>
        </w:rPr>
        <w:t>no</w:t>
      </w:r>
      <w:r>
        <w:rPr>
          <w:spacing w:val="-5"/>
          <w:sz w:val="20"/>
        </w:rPr>
        <w:t xml:space="preserve"> </w:t>
      </w:r>
      <w:r>
        <w:rPr>
          <w:spacing w:val="-2"/>
          <w:sz w:val="20"/>
        </w:rPr>
        <w:t>tempo;</w:t>
      </w:r>
    </w:p>
    <w:p w:rsidR="007259F2" w:rsidRDefault="00E655B4">
      <w:pPr>
        <w:ind w:left="2978" w:right="422"/>
        <w:jc w:val="both"/>
        <w:rPr>
          <w:sz w:val="20"/>
        </w:rPr>
      </w:pPr>
      <w:r>
        <w:rPr>
          <w:sz w:val="20"/>
        </w:rPr>
        <w:t>III - desapropriação com pagamento mediante títulos da dívida pública de emissão previamente</w:t>
      </w:r>
      <w:r>
        <w:rPr>
          <w:spacing w:val="-7"/>
          <w:sz w:val="20"/>
        </w:rPr>
        <w:t xml:space="preserve"> </w:t>
      </w:r>
      <w:r>
        <w:rPr>
          <w:sz w:val="20"/>
        </w:rPr>
        <w:t>aprovada</w:t>
      </w:r>
      <w:r>
        <w:rPr>
          <w:spacing w:val="-7"/>
          <w:sz w:val="20"/>
        </w:rPr>
        <w:t xml:space="preserve"> </w:t>
      </w:r>
      <w:r>
        <w:rPr>
          <w:sz w:val="20"/>
        </w:rPr>
        <w:t>pelo</w:t>
      </w:r>
      <w:r>
        <w:rPr>
          <w:spacing w:val="-6"/>
          <w:sz w:val="20"/>
        </w:rPr>
        <w:t xml:space="preserve"> </w:t>
      </w:r>
      <w:r>
        <w:rPr>
          <w:sz w:val="20"/>
        </w:rPr>
        <w:t>Senado</w:t>
      </w:r>
      <w:r>
        <w:rPr>
          <w:spacing w:val="-6"/>
          <w:sz w:val="20"/>
        </w:rPr>
        <w:t xml:space="preserve"> </w:t>
      </w:r>
      <w:r>
        <w:rPr>
          <w:sz w:val="20"/>
        </w:rPr>
        <w:t>Federal,</w:t>
      </w:r>
      <w:r>
        <w:rPr>
          <w:spacing w:val="-7"/>
          <w:sz w:val="20"/>
        </w:rPr>
        <w:t xml:space="preserve"> </w:t>
      </w:r>
      <w:r>
        <w:rPr>
          <w:sz w:val="20"/>
        </w:rPr>
        <w:t>com</w:t>
      </w:r>
      <w:r>
        <w:rPr>
          <w:spacing w:val="-11"/>
          <w:sz w:val="20"/>
        </w:rPr>
        <w:t xml:space="preserve"> </w:t>
      </w:r>
      <w:r>
        <w:rPr>
          <w:sz w:val="20"/>
        </w:rPr>
        <w:t>prazo</w:t>
      </w:r>
      <w:r>
        <w:rPr>
          <w:spacing w:val="-8"/>
          <w:sz w:val="20"/>
        </w:rPr>
        <w:t xml:space="preserve"> </w:t>
      </w:r>
      <w:r>
        <w:rPr>
          <w:sz w:val="20"/>
        </w:rPr>
        <w:t>de</w:t>
      </w:r>
      <w:r>
        <w:rPr>
          <w:spacing w:val="-8"/>
          <w:sz w:val="20"/>
        </w:rPr>
        <w:t xml:space="preserve"> </w:t>
      </w:r>
      <w:r>
        <w:rPr>
          <w:sz w:val="20"/>
        </w:rPr>
        <w:t>resgate</w:t>
      </w:r>
      <w:r>
        <w:rPr>
          <w:spacing w:val="-6"/>
          <w:sz w:val="20"/>
        </w:rPr>
        <w:t xml:space="preserve"> </w:t>
      </w:r>
      <w:r>
        <w:rPr>
          <w:sz w:val="20"/>
        </w:rPr>
        <w:t>de</w:t>
      </w:r>
      <w:r>
        <w:rPr>
          <w:spacing w:val="-8"/>
          <w:sz w:val="20"/>
        </w:rPr>
        <w:t xml:space="preserve"> </w:t>
      </w:r>
      <w:r>
        <w:rPr>
          <w:sz w:val="20"/>
        </w:rPr>
        <w:t>até</w:t>
      </w:r>
      <w:r>
        <w:rPr>
          <w:spacing w:val="-5"/>
          <w:sz w:val="20"/>
        </w:rPr>
        <w:t xml:space="preserve"> </w:t>
      </w:r>
      <w:r>
        <w:rPr>
          <w:sz w:val="20"/>
        </w:rPr>
        <w:t>dez</w:t>
      </w:r>
      <w:r>
        <w:rPr>
          <w:spacing w:val="-7"/>
          <w:sz w:val="20"/>
        </w:rPr>
        <w:t xml:space="preserve"> </w:t>
      </w:r>
      <w:r>
        <w:rPr>
          <w:sz w:val="20"/>
        </w:rPr>
        <w:t>anos,</w:t>
      </w:r>
      <w:r>
        <w:rPr>
          <w:spacing w:val="-7"/>
          <w:sz w:val="20"/>
        </w:rPr>
        <w:t xml:space="preserve"> </w:t>
      </w:r>
      <w:r>
        <w:rPr>
          <w:sz w:val="20"/>
        </w:rPr>
        <w:t>em parcelas</w:t>
      </w:r>
      <w:r>
        <w:rPr>
          <w:spacing w:val="-10"/>
          <w:sz w:val="20"/>
        </w:rPr>
        <w:t xml:space="preserve"> </w:t>
      </w:r>
      <w:r>
        <w:rPr>
          <w:sz w:val="20"/>
        </w:rPr>
        <w:t>anuais,</w:t>
      </w:r>
      <w:r>
        <w:rPr>
          <w:spacing w:val="-10"/>
          <w:sz w:val="20"/>
        </w:rPr>
        <w:t xml:space="preserve"> </w:t>
      </w:r>
      <w:r>
        <w:rPr>
          <w:sz w:val="20"/>
        </w:rPr>
        <w:t>iguais</w:t>
      </w:r>
      <w:r>
        <w:rPr>
          <w:spacing w:val="-10"/>
          <w:sz w:val="20"/>
        </w:rPr>
        <w:t xml:space="preserve"> </w:t>
      </w:r>
      <w:r>
        <w:rPr>
          <w:sz w:val="20"/>
        </w:rPr>
        <w:t>e</w:t>
      </w:r>
      <w:r>
        <w:rPr>
          <w:spacing w:val="-10"/>
          <w:sz w:val="20"/>
        </w:rPr>
        <w:t xml:space="preserve"> </w:t>
      </w:r>
      <w:r>
        <w:rPr>
          <w:sz w:val="20"/>
        </w:rPr>
        <w:t>sucessivas,</w:t>
      </w:r>
      <w:r>
        <w:rPr>
          <w:spacing w:val="-10"/>
          <w:sz w:val="20"/>
        </w:rPr>
        <w:t xml:space="preserve"> </w:t>
      </w:r>
      <w:r>
        <w:rPr>
          <w:sz w:val="20"/>
        </w:rPr>
        <w:t>assegurados</w:t>
      </w:r>
      <w:r>
        <w:rPr>
          <w:spacing w:val="-10"/>
          <w:sz w:val="20"/>
        </w:rPr>
        <w:t xml:space="preserve"> </w:t>
      </w:r>
      <w:r>
        <w:rPr>
          <w:sz w:val="20"/>
        </w:rPr>
        <w:t>o</w:t>
      </w:r>
      <w:r>
        <w:rPr>
          <w:spacing w:val="-11"/>
          <w:sz w:val="20"/>
        </w:rPr>
        <w:t xml:space="preserve"> </w:t>
      </w:r>
      <w:r>
        <w:rPr>
          <w:sz w:val="20"/>
        </w:rPr>
        <w:t>valor</w:t>
      </w:r>
      <w:r>
        <w:rPr>
          <w:spacing w:val="-12"/>
          <w:sz w:val="20"/>
        </w:rPr>
        <w:t xml:space="preserve"> </w:t>
      </w:r>
      <w:r>
        <w:rPr>
          <w:sz w:val="20"/>
        </w:rPr>
        <w:t>real</w:t>
      </w:r>
      <w:r>
        <w:rPr>
          <w:spacing w:val="-12"/>
          <w:sz w:val="20"/>
        </w:rPr>
        <w:t xml:space="preserve"> </w:t>
      </w:r>
      <w:r>
        <w:rPr>
          <w:sz w:val="20"/>
        </w:rPr>
        <w:t>da</w:t>
      </w:r>
      <w:r>
        <w:rPr>
          <w:spacing w:val="-10"/>
          <w:sz w:val="20"/>
        </w:rPr>
        <w:t xml:space="preserve"> </w:t>
      </w:r>
      <w:r>
        <w:rPr>
          <w:sz w:val="20"/>
        </w:rPr>
        <w:t>indenização</w:t>
      </w:r>
      <w:r>
        <w:rPr>
          <w:spacing w:val="-9"/>
          <w:sz w:val="20"/>
        </w:rPr>
        <w:t xml:space="preserve"> </w:t>
      </w:r>
      <w:r>
        <w:rPr>
          <w:sz w:val="20"/>
        </w:rPr>
        <w:t>e</w:t>
      </w:r>
      <w:r>
        <w:rPr>
          <w:spacing w:val="-12"/>
          <w:sz w:val="20"/>
        </w:rPr>
        <w:t xml:space="preserve"> </w:t>
      </w:r>
      <w:r>
        <w:rPr>
          <w:sz w:val="20"/>
        </w:rPr>
        <w:t>os</w:t>
      </w:r>
      <w:r>
        <w:rPr>
          <w:spacing w:val="-11"/>
          <w:sz w:val="20"/>
        </w:rPr>
        <w:t xml:space="preserve"> </w:t>
      </w:r>
      <w:r>
        <w:rPr>
          <w:sz w:val="20"/>
        </w:rPr>
        <w:t xml:space="preserve">juros </w:t>
      </w:r>
      <w:r>
        <w:rPr>
          <w:spacing w:val="-2"/>
          <w:sz w:val="20"/>
        </w:rPr>
        <w:t>legais.</w:t>
      </w:r>
    </w:p>
    <w:p w:rsidR="007259F2" w:rsidRDefault="00E655B4">
      <w:pPr>
        <w:pStyle w:val="Corpodetexto"/>
        <w:spacing w:before="229"/>
        <w:ind w:right="428"/>
      </w:pPr>
      <w:r>
        <w:t>Nota-se que o dispositivo acima estabelece uma política urbana a ser executada pelo Poder Público municipal voltada a ordenar o pleno desenvolvimento das funções sociais da cidade e garantir o bem-estar de seus habitantes, vinculando o cumprimento da função social da</w:t>
      </w:r>
      <w:r>
        <w:rPr>
          <w:spacing w:val="58"/>
        </w:rPr>
        <w:t xml:space="preserve"> </w:t>
      </w:r>
      <w:r>
        <w:t>propriedade</w:t>
      </w:r>
      <w:r>
        <w:rPr>
          <w:spacing w:val="61"/>
        </w:rPr>
        <w:t xml:space="preserve"> </w:t>
      </w:r>
      <w:r>
        <w:t>urbana</w:t>
      </w:r>
      <w:r>
        <w:rPr>
          <w:spacing w:val="62"/>
        </w:rPr>
        <w:t xml:space="preserve"> </w:t>
      </w:r>
      <w:r>
        <w:t>ao</w:t>
      </w:r>
      <w:r>
        <w:rPr>
          <w:spacing w:val="62"/>
        </w:rPr>
        <w:t xml:space="preserve"> </w:t>
      </w:r>
      <w:r>
        <w:t>atendimento</w:t>
      </w:r>
      <w:r>
        <w:rPr>
          <w:spacing w:val="62"/>
        </w:rPr>
        <w:t xml:space="preserve"> </w:t>
      </w:r>
      <w:r>
        <w:t>das</w:t>
      </w:r>
      <w:r>
        <w:rPr>
          <w:spacing w:val="61"/>
        </w:rPr>
        <w:t xml:space="preserve"> </w:t>
      </w:r>
      <w:r>
        <w:t>exigências</w:t>
      </w:r>
      <w:r>
        <w:rPr>
          <w:spacing w:val="64"/>
        </w:rPr>
        <w:t xml:space="preserve"> </w:t>
      </w:r>
      <w:r>
        <w:t>constantes</w:t>
      </w:r>
      <w:r>
        <w:rPr>
          <w:spacing w:val="61"/>
        </w:rPr>
        <w:t xml:space="preserve"> </w:t>
      </w:r>
      <w:r>
        <w:t>no</w:t>
      </w:r>
      <w:r>
        <w:rPr>
          <w:spacing w:val="61"/>
        </w:rPr>
        <w:t xml:space="preserve"> </w:t>
      </w:r>
      <w:r>
        <w:t>plano</w:t>
      </w:r>
      <w:r>
        <w:rPr>
          <w:spacing w:val="61"/>
        </w:rPr>
        <w:t xml:space="preserve"> </w:t>
      </w:r>
      <w:r>
        <w:t>diretor</w:t>
      </w:r>
      <w:r>
        <w:rPr>
          <w:spacing w:val="64"/>
        </w:rPr>
        <w:t xml:space="preserve"> </w:t>
      </w:r>
      <w:r>
        <w:rPr>
          <w:spacing w:val="-2"/>
        </w:rPr>
        <w:t>(§2º),</w:t>
      </w:r>
    </w:p>
    <w:p w:rsidR="007259F2" w:rsidRDefault="007259F2">
      <w:pPr>
        <w:pStyle w:val="Corpodetexto"/>
        <w:sectPr w:rsidR="007259F2">
          <w:pgSz w:w="11910" w:h="16840"/>
          <w:pgMar w:top="1600" w:right="708" w:bottom="1020" w:left="992" w:header="0" w:footer="820" w:gutter="0"/>
          <w:cols w:space="720"/>
        </w:sectPr>
      </w:pPr>
    </w:p>
    <w:p w:rsidR="007259F2" w:rsidRDefault="00E655B4">
      <w:pPr>
        <w:pStyle w:val="Corpodetexto"/>
        <w:spacing w:before="75"/>
        <w:ind w:right="420" w:firstLine="0"/>
      </w:pPr>
      <w:r>
        <w:lastRenderedPageBreak/>
        <w:t>instrumento básico da referida política e obrigatório para cidades com mais de vinte mil habitantes (§1º).</w:t>
      </w:r>
    </w:p>
    <w:p w:rsidR="007259F2" w:rsidRDefault="00E655B4">
      <w:pPr>
        <w:pStyle w:val="Corpodetexto"/>
        <w:ind w:right="425"/>
      </w:pPr>
      <w:r>
        <w:t>Consoante §4º do art. 182 da CF, é facultado ao Município exigir do proprietário de imóvel não edificado, subutilizado ou não utilizado a promoção de seu adequado aproveitamento, a fim de garantir o cumprimento da função social da propriedade urbana, podendo levar à aplicação de penas sucessivas.</w:t>
      </w:r>
    </w:p>
    <w:p w:rsidR="007259F2" w:rsidRDefault="00E655B4">
      <w:pPr>
        <w:pStyle w:val="Corpodetexto"/>
        <w:ind w:right="421"/>
      </w:pPr>
      <w:r>
        <w:t>Tais penas são instrumentos indutores da função social da propriedade urbana, regulamentados</w:t>
      </w:r>
      <w:r>
        <w:rPr>
          <w:spacing w:val="-3"/>
        </w:rPr>
        <w:t xml:space="preserve"> </w:t>
      </w:r>
      <w:r>
        <w:t>pelos</w:t>
      </w:r>
      <w:r>
        <w:rPr>
          <w:spacing w:val="-1"/>
        </w:rPr>
        <w:t xml:space="preserve"> </w:t>
      </w:r>
      <w:r>
        <w:t>artigos</w:t>
      </w:r>
      <w:r>
        <w:rPr>
          <w:spacing w:val="-2"/>
        </w:rPr>
        <w:t xml:space="preserve"> </w:t>
      </w:r>
      <w:r>
        <w:t>5º</w:t>
      </w:r>
      <w:r>
        <w:rPr>
          <w:spacing w:val="-4"/>
        </w:rPr>
        <w:t xml:space="preserve"> </w:t>
      </w:r>
      <w:r>
        <w:t>a</w:t>
      </w:r>
      <w:r>
        <w:rPr>
          <w:spacing w:val="-7"/>
        </w:rPr>
        <w:t xml:space="preserve"> </w:t>
      </w:r>
      <w:r>
        <w:t>8º</w:t>
      </w:r>
      <w:r>
        <w:rPr>
          <w:spacing w:val="-4"/>
        </w:rPr>
        <w:t xml:space="preserve"> </w:t>
      </w:r>
      <w:r>
        <w:t>do</w:t>
      </w:r>
      <w:r>
        <w:rPr>
          <w:spacing w:val="-3"/>
        </w:rPr>
        <w:t xml:space="preserve"> </w:t>
      </w:r>
      <w:r>
        <w:t>Estatuto</w:t>
      </w:r>
      <w:r>
        <w:rPr>
          <w:spacing w:val="-2"/>
        </w:rPr>
        <w:t xml:space="preserve"> </w:t>
      </w:r>
      <w:r>
        <w:t>da</w:t>
      </w:r>
      <w:r>
        <w:rPr>
          <w:spacing w:val="-4"/>
        </w:rPr>
        <w:t xml:space="preserve"> </w:t>
      </w:r>
      <w:r>
        <w:t>Cidade,</w:t>
      </w:r>
      <w:r>
        <w:rPr>
          <w:spacing w:val="-3"/>
        </w:rPr>
        <w:t xml:space="preserve"> </w:t>
      </w:r>
      <w:r>
        <w:t>cabendo,</w:t>
      </w:r>
      <w:r>
        <w:rPr>
          <w:spacing w:val="-3"/>
        </w:rPr>
        <w:t xml:space="preserve"> </w:t>
      </w:r>
      <w:r>
        <w:t>no</w:t>
      </w:r>
      <w:r>
        <w:rPr>
          <w:spacing w:val="-1"/>
        </w:rPr>
        <w:t xml:space="preserve"> </w:t>
      </w:r>
      <w:r>
        <w:t>entanto,</w:t>
      </w:r>
      <w:r>
        <w:rPr>
          <w:spacing w:val="-2"/>
        </w:rPr>
        <w:t xml:space="preserve"> </w:t>
      </w:r>
      <w:r>
        <w:t>ao</w:t>
      </w:r>
      <w:r>
        <w:rPr>
          <w:spacing w:val="-1"/>
        </w:rPr>
        <w:t xml:space="preserve"> </w:t>
      </w:r>
      <w:r>
        <w:t xml:space="preserve">município estabelecer as regras específicas para sua efetividade, o que, no caso da cidade de São Paulo, ficou a cargo do Plano Diretor Estratégico (PDE), Lei Municipal nº 16.050 de 31 de julho de </w:t>
      </w:r>
      <w:r>
        <w:rPr>
          <w:spacing w:val="-2"/>
        </w:rPr>
        <w:t>2014.</w:t>
      </w:r>
    </w:p>
    <w:p w:rsidR="007259F2" w:rsidRDefault="00E655B4">
      <w:pPr>
        <w:pStyle w:val="Heading2"/>
        <w:numPr>
          <w:ilvl w:val="0"/>
          <w:numId w:val="13"/>
        </w:numPr>
        <w:tabs>
          <w:tab w:val="left" w:pos="1136"/>
        </w:tabs>
        <w:ind w:left="1136" w:hanging="424"/>
        <w:jc w:val="both"/>
      </w:pPr>
      <w:r>
        <w:t>Instrumentos</w:t>
      </w:r>
      <w:r>
        <w:rPr>
          <w:spacing w:val="-8"/>
        </w:rPr>
        <w:t xml:space="preserve"> </w:t>
      </w:r>
      <w:r>
        <w:t>Indutores</w:t>
      </w:r>
      <w:r>
        <w:rPr>
          <w:spacing w:val="-3"/>
        </w:rPr>
        <w:t xml:space="preserve"> </w:t>
      </w:r>
      <w:r>
        <w:t>da</w:t>
      </w:r>
      <w:r>
        <w:rPr>
          <w:spacing w:val="-5"/>
        </w:rPr>
        <w:t xml:space="preserve"> </w:t>
      </w:r>
      <w:r>
        <w:t>Função</w:t>
      </w:r>
      <w:r>
        <w:rPr>
          <w:spacing w:val="-4"/>
        </w:rPr>
        <w:t xml:space="preserve"> </w:t>
      </w:r>
      <w:r>
        <w:t>Social</w:t>
      </w:r>
      <w:r>
        <w:rPr>
          <w:spacing w:val="-3"/>
        </w:rPr>
        <w:t xml:space="preserve"> </w:t>
      </w:r>
      <w:r>
        <w:t>da</w:t>
      </w:r>
      <w:r>
        <w:rPr>
          <w:spacing w:val="-5"/>
        </w:rPr>
        <w:t xml:space="preserve"> </w:t>
      </w:r>
      <w:r>
        <w:t>Propriedade</w:t>
      </w:r>
      <w:r>
        <w:rPr>
          <w:spacing w:val="-5"/>
        </w:rPr>
        <w:t xml:space="preserve"> </w:t>
      </w:r>
      <w:r>
        <w:rPr>
          <w:spacing w:val="-2"/>
        </w:rPr>
        <w:t>Urbana</w:t>
      </w:r>
    </w:p>
    <w:p w:rsidR="007259F2" w:rsidRDefault="00E655B4">
      <w:pPr>
        <w:pStyle w:val="Corpodetexto"/>
        <w:spacing w:before="113"/>
        <w:ind w:right="413"/>
      </w:pPr>
      <w:r>
        <w:t>A função social da propriedade urbana é um dos princípios que regem a Política de Desenvolvimento</w:t>
      </w:r>
      <w:r>
        <w:rPr>
          <w:spacing w:val="15"/>
        </w:rPr>
        <w:t xml:space="preserve"> </w:t>
      </w:r>
      <w:r>
        <w:t>Urbano,</w:t>
      </w:r>
      <w:r>
        <w:rPr>
          <w:spacing w:val="19"/>
        </w:rPr>
        <w:t xml:space="preserve"> </w:t>
      </w:r>
      <w:r>
        <w:t>conforme</w:t>
      </w:r>
      <w:r>
        <w:rPr>
          <w:spacing w:val="17"/>
        </w:rPr>
        <w:t xml:space="preserve"> </w:t>
      </w:r>
      <w:r>
        <w:t>preceitua</w:t>
      </w:r>
      <w:r>
        <w:rPr>
          <w:spacing w:val="19"/>
        </w:rPr>
        <w:t xml:space="preserve"> </w:t>
      </w:r>
      <w:r>
        <w:t>o</w:t>
      </w:r>
      <w:r>
        <w:rPr>
          <w:spacing w:val="21"/>
        </w:rPr>
        <w:t xml:space="preserve"> </w:t>
      </w:r>
      <w:r>
        <w:t>art.</w:t>
      </w:r>
      <w:r>
        <w:rPr>
          <w:spacing w:val="18"/>
        </w:rPr>
        <w:t xml:space="preserve"> </w:t>
      </w:r>
      <w:r>
        <w:t>5º,</w:t>
      </w:r>
      <w:r>
        <w:rPr>
          <w:spacing w:val="18"/>
        </w:rPr>
        <w:t xml:space="preserve"> </w:t>
      </w:r>
      <w:r>
        <w:t>inciso</w:t>
      </w:r>
      <w:r>
        <w:rPr>
          <w:spacing w:val="19"/>
        </w:rPr>
        <w:t xml:space="preserve"> </w:t>
      </w:r>
      <w:r>
        <w:t>II,</w:t>
      </w:r>
      <w:r>
        <w:rPr>
          <w:spacing w:val="18"/>
        </w:rPr>
        <w:t xml:space="preserve"> </w:t>
      </w:r>
      <w:r>
        <w:t>do</w:t>
      </w:r>
      <w:r>
        <w:rPr>
          <w:spacing w:val="18"/>
        </w:rPr>
        <w:t xml:space="preserve"> </w:t>
      </w:r>
      <w:r>
        <w:t>PDE.</w:t>
      </w:r>
      <w:r>
        <w:rPr>
          <w:spacing w:val="18"/>
        </w:rPr>
        <w:t xml:space="preserve"> </w:t>
      </w:r>
      <w:r>
        <w:t>De</w:t>
      </w:r>
      <w:r>
        <w:rPr>
          <w:spacing w:val="17"/>
        </w:rPr>
        <w:t xml:space="preserve"> </w:t>
      </w:r>
      <w:r>
        <w:t>acordo</w:t>
      </w:r>
      <w:r>
        <w:rPr>
          <w:spacing w:val="20"/>
        </w:rPr>
        <w:t xml:space="preserve"> </w:t>
      </w:r>
      <w:r>
        <w:t>com</w:t>
      </w:r>
      <w:r>
        <w:rPr>
          <w:spacing w:val="21"/>
        </w:rPr>
        <w:t xml:space="preserve"> </w:t>
      </w:r>
      <w:r>
        <w:rPr>
          <w:spacing w:val="-10"/>
        </w:rPr>
        <w:t>o</w:t>
      </w:r>
    </w:p>
    <w:p w:rsidR="007259F2" w:rsidRDefault="00E655B4">
      <w:pPr>
        <w:pStyle w:val="Corpodetexto"/>
        <w:ind w:right="420" w:firstLine="0"/>
      </w:pPr>
      <w:r>
        <w:t>§2º,</w:t>
      </w:r>
      <w:r>
        <w:rPr>
          <w:spacing w:val="-11"/>
        </w:rPr>
        <w:t xml:space="preserve"> </w:t>
      </w:r>
      <w:r>
        <w:t>do</w:t>
      </w:r>
      <w:r>
        <w:rPr>
          <w:spacing w:val="-11"/>
        </w:rPr>
        <w:t xml:space="preserve"> </w:t>
      </w:r>
      <w:r>
        <w:t>mesmo</w:t>
      </w:r>
      <w:r>
        <w:rPr>
          <w:spacing w:val="-10"/>
        </w:rPr>
        <w:t xml:space="preserve"> </w:t>
      </w:r>
      <w:r>
        <w:t>dispositivo,</w:t>
      </w:r>
      <w:r>
        <w:rPr>
          <w:spacing w:val="-10"/>
        </w:rPr>
        <w:t xml:space="preserve"> </w:t>
      </w:r>
      <w:r>
        <w:t>a</w:t>
      </w:r>
      <w:r>
        <w:rPr>
          <w:spacing w:val="-12"/>
        </w:rPr>
        <w:t xml:space="preserve"> </w:t>
      </w:r>
      <w:r>
        <w:t>“Função</w:t>
      </w:r>
      <w:r>
        <w:rPr>
          <w:spacing w:val="-10"/>
        </w:rPr>
        <w:t xml:space="preserve"> </w:t>
      </w:r>
      <w:r>
        <w:t>Social</w:t>
      </w:r>
      <w:r>
        <w:rPr>
          <w:spacing w:val="-10"/>
        </w:rPr>
        <w:t xml:space="preserve"> </w:t>
      </w:r>
      <w:r>
        <w:t>da</w:t>
      </w:r>
      <w:r>
        <w:rPr>
          <w:spacing w:val="-14"/>
        </w:rPr>
        <w:t xml:space="preserve"> </w:t>
      </w:r>
      <w:r>
        <w:t>Propriedade</w:t>
      </w:r>
      <w:r>
        <w:rPr>
          <w:spacing w:val="-11"/>
        </w:rPr>
        <w:t xml:space="preserve"> </w:t>
      </w:r>
      <w:r>
        <w:t>Urbana</w:t>
      </w:r>
      <w:r>
        <w:rPr>
          <w:spacing w:val="-11"/>
        </w:rPr>
        <w:t xml:space="preserve"> </w:t>
      </w:r>
      <w:r>
        <w:t>é</w:t>
      </w:r>
      <w:r>
        <w:rPr>
          <w:spacing w:val="-9"/>
        </w:rPr>
        <w:t xml:space="preserve"> </w:t>
      </w:r>
      <w:r>
        <w:t>elemento</w:t>
      </w:r>
      <w:r>
        <w:rPr>
          <w:spacing w:val="-9"/>
        </w:rPr>
        <w:t xml:space="preserve"> </w:t>
      </w:r>
      <w:r>
        <w:t>constitutivo</w:t>
      </w:r>
      <w:r>
        <w:rPr>
          <w:spacing w:val="-10"/>
        </w:rPr>
        <w:t xml:space="preserve"> </w:t>
      </w:r>
      <w:r>
        <w:t xml:space="preserve">do direito de propriedade e </w:t>
      </w:r>
      <w:r>
        <w:rPr>
          <w:u w:val="single"/>
        </w:rPr>
        <w:t>é atendida quando a propriedade cumpre os critérios e graus de</w:t>
      </w:r>
      <w:r>
        <w:t xml:space="preserve"> </w:t>
      </w:r>
      <w:r>
        <w:rPr>
          <w:u w:val="single"/>
        </w:rPr>
        <w:t>exigência de ordenação territorial estabelecidos pela legislação, em especial atendendo aos</w:t>
      </w:r>
      <w:r>
        <w:t xml:space="preserve"> </w:t>
      </w:r>
      <w:r>
        <w:rPr>
          <w:u w:val="single"/>
        </w:rPr>
        <w:t>coeficientes mínimos de utilização determinados nos Quadros 2 e 2A desta lei”.</w:t>
      </w:r>
      <w:r>
        <w:t xml:space="preserve"> (g.n)</w:t>
      </w:r>
    </w:p>
    <w:p w:rsidR="007259F2" w:rsidRDefault="00E655B4">
      <w:pPr>
        <w:pStyle w:val="Corpodetexto"/>
        <w:ind w:right="419"/>
      </w:pPr>
      <w:r>
        <w:t>O quadro 2 anexo ao PDE aponta, dentre outras coisas, o coeficiente de aproveitamento (CA) mínimo geral para as Macrozonas do município de São Paulo, ao passo que o quadro 2A aponta o CA mínimo específico para as Macroáreas, subdivisões das Macrozonas. Confiram-se abaixo ambos os quadros:</w:t>
      </w:r>
    </w:p>
    <w:p w:rsidR="007259F2" w:rsidRDefault="00E655B4">
      <w:pPr>
        <w:pStyle w:val="Corpodetexto"/>
        <w:spacing w:before="29"/>
        <w:ind w:left="0" w:firstLine="0"/>
        <w:jc w:val="left"/>
        <w:rPr>
          <w:sz w:val="20"/>
        </w:rPr>
      </w:pPr>
      <w:r>
        <w:rPr>
          <w:noProof/>
          <w:sz w:val="20"/>
          <w:lang w:val="pt-BR" w:eastAsia="pt-BR"/>
        </w:rPr>
        <w:drawing>
          <wp:anchor distT="0" distB="0" distL="0" distR="0" simplePos="0" relativeHeight="487670272" behindDoc="1" locked="0" layoutInCell="1" allowOverlap="1">
            <wp:simplePos x="0" y="0"/>
            <wp:positionH relativeFrom="page">
              <wp:posOffset>1096010</wp:posOffset>
            </wp:positionH>
            <wp:positionV relativeFrom="paragraph">
              <wp:posOffset>179778</wp:posOffset>
            </wp:positionV>
            <wp:extent cx="5746242" cy="2894838"/>
            <wp:effectExtent l="0" t="0" r="0" b="0"/>
            <wp:wrapTopAndBottom/>
            <wp:docPr id="187" name="Image 1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7" name="Image 187"/>
                    <pic:cNvPicPr/>
                  </pic:nvPicPr>
                  <pic:blipFill>
                    <a:blip r:embed="rId367" cstate="print"/>
                    <a:stretch>
                      <a:fillRect/>
                    </a:stretch>
                  </pic:blipFill>
                  <pic:spPr>
                    <a:xfrm>
                      <a:off x="0" y="0"/>
                      <a:ext cx="5746242" cy="2894838"/>
                    </a:xfrm>
                    <a:prstGeom prst="rect">
                      <a:avLst/>
                    </a:prstGeom>
                  </pic:spPr>
                </pic:pic>
              </a:graphicData>
            </a:graphic>
          </wp:anchor>
        </w:drawing>
      </w:r>
    </w:p>
    <w:p w:rsidR="007259F2" w:rsidRDefault="00E655B4">
      <w:pPr>
        <w:ind w:left="154"/>
        <w:jc w:val="center"/>
        <w:rPr>
          <w:i/>
          <w:sz w:val="16"/>
        </w:rPr>
      </w:pPr>
      <w:r>
        <w:rPr>
          <w:i/>
          <w:sz w:val="16"/>
        </w:rPr>
        <w:t>Figura</w:t>
      </w:r>
      <w:r>
        <w:rPr>
          <w:i/>
          <w:spacing w:val="-8"/>
          <w:sz w:val="16"/>
        </w:rPr>
        <w:t xml:space="preserve"> </w:t>
      </w:r>
      <w:r>
        <w:rPr>
          <w:i/>
          <w:sz w:val="16"/>
        </w:rPr>
        <w:t>1:</w:t>
      </w:r>
      <w:r>
        <w:rPr>
          <w:i/>
          <w:spacing w:val="-7"/>
          <w:sz w:val="16"/>
        </w:rPr>
        <w:t xml:space="preserve"> </w:t>
      </w:r>
      <w:r>
        <w:rPr>
          <w:i/>
          <w:sz w:val="16"/>
        </w:rPr>
        <w:t>Quadro</w:t>
      </w:r>
      <w:r>
        <w:rPr>
          <w:i/>
          <w:spacing w:val="-6"/>
          <w:sz w:val="16"/>
        </w:rPr>
        <w:t xml:space="preserve"> </w:t>
      </w:r>
      <w:r>
        <w:rPr>
          <w:i/>
          <w:sz w:val="16"/>
        </w:rPr>
        <w:t>2</w:t>
      </w:r>
      <w:r>
        <w:rPr>
          <w:i/>
          <w:spacing w:val="-8"/>
          <w:sz w:val="16"/>
        </w:rPr>
        <w:t xml:space="preserve"> </w:t>
      </w:r>
      <w:r>
        <w:rPr>
          <w:i/>
          <w:sz w:val="16"/>
        </w:rPr>
        <w:t>anexo</w:t>
      </w:r>
      <w:r>
        <w:rPr>
          <w:i/>
          <w:spacing w:val="-8"/>
          <w:sz w:val="16"/>
        </w:rPr>
        <w:t xml:space="preserve"> </w:t>
      </w:r>
      <w:r>
        <w:rPr>
          <w:i/>
          <w:sz w:val="16"/>
        </w:rPr>
        <w:t>à</w:t>
      </w:r>
      <w:r>
        <w:rPr>
          <w:i/>
          <w:spacing w:val="-6"/>
          <w:sz w:val="16"/>
        </w:rPr>
        <w:t xml:space="preserve"> </w:t>
      </w:r>
      <w:r>
        <w:rPr>
          <w:i/>
          <w:sz w:val="16"/>
        </w:rPr>
        <w:t>Lei</w:t>
      </w:r>
      <w:r>
        <w:rPr>
          <w:i/>
          <w:spacing w:val="-8"/>
          <w:sz w:val="16"/>
        </w:rPr>
        <w:t xml:space="preserve"> </w:t>
      </w:r>
      <w:r>
        <w:rPr>
          <w:i/>
          <w:sz w:val="16"/>
        </w:rPr>
        <w:t>Municipal</w:t>
      </w:r>
      <w:r>
        <w:rPr>
          <w:i/>
          <w:spacing w:val="-6"/>
          <w:sz w:val="16"/>
        </w:rPr>
        <w:t xml:space="preserve"> </w:t>
      </w:r>
      <w:r>
        <w:rPr>
          <w:i/>
          <w:sz w:val="16"/>
        </w:rPr>
        <w:t>nº</w:t>
      </w:r>
      <w:r>
        <w:rPr>
          <w:i/>
          <w:spacing w:val="-7"/>
          <w:sz w:val="16"/>
        </w:rPr>
        <w:t xml:space="preserve"> </w:t>
      </w:r>
      <w:r>
        <w:rPr>
          <w:i/>
          <w:spacing w:val="-2"/>
          <w:sz w:val="16"/>
        </w:rPr>
        <w:t>16.050/2014</w:t>
      </w:r>
    </w:p>
    <w:p w:rsidR="007259F2" w:rsidRDefault="007259F2">
      <w:pPr>
        <w:jc w:val="center"/>
        <w:rPr>
          <w:i/>
          <w:sz w:val="16"/>
        </w:rPr>
        <w:sectPr w:rsidR="007259F2">
          <w:pgSz w:w="11910" w:h="16840"/>
          <w:pgMar w:top="1600" w:right="708" w:bottom="1020" w:left="992" w:header="0" w:footer="820" w:gutter="0"/>
          <w:cols w:space="720"/>
        </w:sectPr>
      </w:pPr>
    </w:p>
    <w:p w:rsidR="007259F2" w:rsidRDefault="00E655B4">
      <w:pPr>
        <w:pStyle w:val="Corpodetexto"/>
        <w:ind w:left="739" w:firstLine="0"/>
        <w:jc w:val="left"/>
        <w:rPr>
          <w:sz w:val="20"/>
        </w:rPr>
      </w:pPr>
      <w:r>
        <w:rPr>
          <w:noProof/>
          <w:sz w:val="20"/>
          <w:lang w:val="pt-BR" w:eastAsia="pt-BR"/>
        </w:rPr>
        <w:lastRenderedPageBreak/>
        <w:drawing>
          <wp:inline distT="0" distB="0" distL="0" distR="0">
            <wp:extent cx="5756780" cy="3130677"/>
            <wp:effectExtent l="0" t="0" r="0" b="0"/>
            <wp:docPr id="188" name="Image 188" descr="IMAGEM THAIS.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8" name="Image 188" descr="IMAGEM THAIS.PNG"/>
                    <pic:cNvPicPr/>
                  </pic:nvPicPr>
                  <pic:blipFill>
                    <a:blip r:embed="rId368" cstate="print"/>
                    <a:stretch>
                      <a:fillRect/>
                    </a:stretch>
                  </pic:blipFill>
                  <pic:spPr>
                    <a:xfrm>
                      <a:off x="0" y="0"/>
                      <a:ext cx="5756780" cy="3130677"/>
                    </a:xfrm>
                    <a:prstGeom prst="rect">
                      <a:avLst/>
                    </a:prstGeom>
                  </pic:spPr>
                </pic:pic>
              </a:graphicData>
            </a:graphic>
          </wp:inline>
        </w:drawing>
      </w:r>
    </w:p>
    <w:p w:rsidR="007259F2" w:rsidRDefault="007259F2">
      <w:pPr>
        <w:pStyle w:val="Corpodetexto"/>
        <w:spacing w:before="57"/>
        <w:ind w:left="0" w:firstLine="0"/>
        <w:jc w:val="left"/>
        <w:rPr>
          <w:i/>
        </w:rPr>
      </w:pPr>
    </w:p>
    <w:p w:rsidR="007259F2" w:rsidRDefault="00E655B4">
      <w:pPr>
        <w:pStyle w:val="Corpodetexto"/>
        <w:spacing w:before="1"/>
        <w:ind w:right="426"/>
      </w:pPr>
      <w:r>
        <w:t>Explicita-se que o CA representa a relação entre a área construída e a área do terreno, isto é, corresponde ao número que, multiplicado pela área total do terreno, indicará a área que pode ser construída ali, somando-se todos os pavimentos que houver. Basicamente, o CA determina o potencial construtivo de determinado imóvel.</w:t>
      </w:r>
    </w:p>
    <w:p w:rsidR="007259F2" w:rsidRDefault="00E655B4">
      <w:pPr>
        <w:pStyle w:val="Corpodetexto"/>
        <w:ind w:right="422"/>
      </w:pPr>
      <w:r>
        <w:t>Assim,</w:t>
      </w:r>
      <w:r>
        <w:rPr>
          <w:spacing w:val="-3"/>
        </w:rPr>
        <w:t xml:space="preserve"> </w:t>
      </w:r>
      <w:r>
        <w:t>conforme</w:t>
      </w:r>
      <w:r>
        <w:rPr>
          <w:spacing w:val="-1"/>
        </w:rPr>
        <w:t xml:space="preserve"> </w:t>
      </w:r>
      <w:r>
        <w:t>art.</w:t>
      </w:r>
      <w:r>
        <w:rPr>
          <w:spacing w:val="-4"/>
        </w:rPr>
        <w:t xml:space="preserve"> </w:t>
      </w:r>
      <w:r>
        <w:t>5º, §2º</w:t>
      </w:r>
      <w:r>
        <w:rPr>
          <w:spacing w:val="-3"/>
        </w:rPr>
        <w:t xml:space="preserve"> </w:t>
      </w:r>
      <w:r>
        <w:t>do</w:t>
      </w:r>
      <w:r>
        <w:rPr>
          <w:spacing w:val="-3"/>
        </w:rPr>
        <w:t xml:space="preserve"> </w:t>
      </w:r>
      <w:r>
        <w:t>PDE,</w:t>
      </w:r>
      <w:r>
        <w:rPr>
          <w:spacing w:val="-4"/>
        </w:rPr>
        <w:t xml:space="preserve"> </w:t>
      </w:r>
      <w:r>
        <w:t>cumpre-se a função social</w:t>
      </w:r>
      <w:r>
        <w:rPr>
          <w:spacing w:val="-3"/>
        </w:rPr>
        <w:t xml:space="preserve"> </w:t>
      </w:r>
      <w:r>
        <w:t>da</w:t>
      </w:r>
      <w:r>
        <w:rPr>
          <w:spacing w:val="-4"/>
        </w:rPr>
        <w:t xml:space="preserve"> </w:t>
      </w:r>
      <w:r>
        <w:t>propriedade</w:t>
      </w:r>
      <w:r>
        <w:rPr>
          <w:spacing w:val="-4"/>
        </w:rPr>
        <w:t xml:space="preserve"> </w:t>
      </w:r>
      <w:r>
        <w:t>urbana quando</w:t>
      </w:r>
      <w:r>
        <w:rPr>
          <w:spacing w:val="-15"/>
        </w:rPr>
        <w:t xml:space="preserve"> </w:t>
      </w:r>
      <w:r>
        <w:t>a</w:t>
      </w:r>
      <w:r>
        <w:rPr>
          <w:spacing w:val="-15"/>
        </w:rPr>
        <w:t xml:space="preserve"> </w:t>
      </w:r>
      <w:r>
        <w:t>área</w:t>
      </w:r>
      <w:r>
        <w:rPr>
          <w:spacing w:val="-15"/>
        </w:rPr>
        <w:t xml:space="preserve"> </w:t>
      </w:r>
      <w:r>
        <w:t>construída</w:t>
      </w:r>
      <w:r>
        <w:rPr>
          <w:spacing w:val="-15"/>
        </w:rPr>
        <w:t xml:space="preserve"> </w:t>
      </w:r>
      <w:r>
        <w:t>do</w:t>
      </w:r>
      <w:r>
        <w:rPr>
          <w:spacing w:val="-15"/>
        </w:rPr>
        <w:t xml:space="preserve"> </w:t>
      </w:r>
      <w:r>
        <w:t>terreno</w:t>
      </w:r>
      <w:r>
        <w:rPr>
          <w:spacing w:val="-15"/>
        </w:rPr>
        <w:t xml:space="preserve"> </w:t>
      </w:r>
      <w:r>
        <w:t>corresponde</w:t>
      </w:r>
      <w:r>
        <w:rPr>
          <w:spacing w:val="-15"/>
        </w:rPr>
        <w:t xml:space="preserve"> </w:t>
      </w:r>
      <w:r>
        <w:t>ao</w:t>
      </w:r>
      <w:r>
        <w:rPr>
          <w:spacing w:val="-15"/>
        </w:rPr>
        <w:t xml:space="preserve"> </w:t>
      </w:r>
      <w:r>
        <w:t>CA</w:t>
      </w:r>
      <w:r>
        <w:rPr>
          <w:spacing w:val="-15"/>
        </w:rPr>
        <w:t xml:space="preserve"> </w:t>
      </w:r>
      <w:r>
        <w:t>mínimo</w:t>
      </w:r>
      <w:r>
        <w:rPr>
          <w:spacing w:val="-15"/>
        </w:rPr>
        <w:t xml:space="preserve"> </w:t>
      </w:r>
      <w:r>
        <w:t>determinado</w:t>
      </w:r>
      <w:r>
        <w:rPr>
          <w:spacing w:val="-15"/>
        </w:rPr>
        <w:t xml:space="preserve"> </w:t>
      </w:r>
      <w:r>
        <w:t>para</w:t>
      </w:r>
      <w:r>
        <w:rPr>
          <w:spacing w:val="-15"/>
        </w:rPr>
        <w:t xml:space="preserve"> </w:t>
      </w:r>
      <w:r>
        <w:t>a</w:t>
      </w:r>
      <w:r>
        <w:rPr>
          <w:spacing w:val="-15"/>
        </w:rPr>
        <w:t xml:space="preserve"> </w:t>
      </w:r>
      <w:r>
        <w:t>propriedade pelo próprio PDE, conforme quadros 2 e 2A e, de acordo com §3º do mesmo artigo, quando o imóvel se encontra em efetiva utilização de forma racional e adequada.</w:t>
      </w:r>
    </w:p>
    <w:p w:rsidR="007259F2" w:rsidRDefault="00E655B4">
      <w:pPr>
        <w:pStyle w:val="Corpodetexto"/>
        <w:ind w:right="422"/>
      </w:pPr>
      <w:r>
        <w:t>Com isso, verificado que determinado terreno não possui área construída ou a possui, porém, menor que a correspondente ao CA mínimo previsto para Macroárea na qual se situa, ou,</w:t>
      </w:r>
      <w:r>
        <w:rPr>
          <w:spacing w:val="-1"/>
        </w:rPr>
        <w:t xml:space="preserve"> </w:t>
      </w:r>
      <w:r>
        <w:t>ainda,</w:t>
      </w:r>
      <w:r>
        <w:rPr>
          <w:spacing w:val="-2"/>
        </w:rPr>
        <w:t xml:space="preserve"> </w:t>
      </w:r>
      <w:r>
        <w:t>quando,</w:t>
      </w:r>
      <w:r>
        <w:rPr>
          <w:spacing w:val="-1"/>
        </w:rPr>
        <w:t xml:space="preserve"> </w:t>
      </w:r>
      <w:r>
        <w:t>mesmo</w:t>
      </w:r>
      <w:r>
        <w:rPr>
          <w:spacing w:val="-1"/>
        </w:rPr>
        <w:t xml:space="preserve"> </w:t>
      </w:r>
      <w:r>
        <w:t>possuindo</w:t>
      </w:r>
      <w:r>
        <w:rPr>
          <w:spacing w:val="-1"/>
        </w:rPr>
        <w:t xml:space="preserve"> </w:t>
      </w:r>
      <w:r>
        <w:t>área</w:t>
      </w:r>
      <w:r>
        <w:rPr>
          <w:spacing w:val="-5"/>
        </w:rPr>
        <w:t xml:space="preserve"> </w:t>
      </w:r>
      <w:r>
        <w:t>construída</w:t>
      </w:r>
      <w:r>
        <w:rPr>
          <w:spacing w:val="-6"/>
        </w:rPr>
        <w:t xml:space="preserve"> </w:t>
      </w:r>
      <w:r>
        <w:t>correspondente</w:t>
      </w:r>
      <w:r>
        <w:rPr>
          <w:spacing w:val="-6"/>
        </w:rPr>
        <w:t xml:space="preserve"> </w:t>
      </w:r>
      <w:r>
        <w:t>ao</w:t>
      </w:r>
      <w:r>
        <w:rPr>
          <w:spacing w:val="-1"/>
        </w:rPr>
        <w:t xml:space="preserve"> </w:t>
      </w:r>
      <w:r>
        <w:t>mínimo,</w:t>
      </w:r>
      <w:r>
        <w:rPr>
          <w:spacing w:val="-1"/>
        </w:rPr>
        <w:t xml:space="preserve"> </w:t>
      </w:r>
      <w:r>
        <w:t>o</w:t>
      </w:r>
      <w:r>
        <w:rPr>
          <w:spacing w:val="-3"/>
        </w:rPr>
        <w:t xml:space="preserve"> </w:t>
      </w:r>
      <w:r>
        <w:t>imóvel</w:t>
      </w:r>
      <w:r>
        <w:rPr>
          <w:spacing w:val="-1"/>
        </w:rPr>
        <w:t xml:space="preserve"> </w:t>
      </w:r>
      <w:r>
        <w:t>não está sendo devidamente utilizado, a propriedade estará em descumprimento de sua função social, sujeitando-se aos instrumentos previstos no art. 182, §4º da CF e no art. 90 do PDE.</w:t>
      </w:r>
    </w:p>
    <w:p w:rsidR="007259F2" w:rsidRDefault="00E655B4">
      <w:pPr>
        <w:pStyle w:val="Corpodetexto"/>
        <w:ind w:right="421"/>
      </w:pPr>
      <w:r>
        <w:t>Os incisos I, II e III do art. 90 do PDE preveem os mesmos instrumentos indutores de função social da propriedade urbana dispostos no art. 182, §4º da CF e nos artigos 5º a 8º do Estatuto</w:t>
      </w:r>
      <w:r>
        <w:rPr>
          <w:spacing w:val="-15"/>
        </w:rPr>
        <w:t xml:space="preserve"> </w:t>
      </w:r>
      <w:r>
        <w:t>da</w:t>
      </w:r>
      <w:r>
        <w:rPr>
          <w:spacing w:val="-15"/>
        </w:rPr>
        <w:t xml:space="preserve"> </w:t>
      </w:r>
      <w:r>
        <w:t>Cidade,</w:t>
      </w:r>
      <w:r>
        <w:rPr>
          <w:spacing w:val="-15"/>
        </w:rPr>
        <w:t xml:space="preserve"> </w:t>
      </w:r>
      <w:r>
        <w:t>aplicáveis</w:t>
      </w:r>
      <w:r>
        <w:rPr>
          <w:spacing w:val="-14"/>
        </w:rPr>
        <w:t xml:space="preserve"> </w:t>
      </w:r>
      <w:r>
        <w:t>de</w:t>
      </w:r>
      <w:r>
        <w:rPr>
          <w:spacing w:val="-14"/>
        </w:rPr>
        <w:t xml:space="preserve"> </w:t>
      </w:r>
      <w:r>
        <w:t>forma</w:t>
      </w:r>
      <w:r>
        <w:rPr>
          <w:spacing w:val="-15"/>
        </w:rPr>
        <w:t xml:space="preserve"> </w:t>
      </w:r>
      <w:r>
        <w:t>sucessiva,</w:t>
      </w:r>
      <w:r>
        <w:rPr>
          <w:spacing w:val="-5"/>
        </w:rPr>
        <w:t xml:space="preserve"> </w:t>
      </w:r>
      <w:r>
        <w:t>quais</w:t>
      </w:r>
      <w:r>
        <w:rPr>
          <w:spacing w:val="-12"/>
        </w:rPr>
        <w:t xml:space="preserve"> </w:t>
      </w:r>
      <w:r>
        <w:t>sejam:</w:t>
      </w:r>
      <w:r>
        <w:rPr>
          <w:spacing w:val="-10"/>
        </w:rPr>
        <w:t xml:space="preserve"> </w:t>
      </w:r>
      <w:r>
        <w:t>I</w:t>
      </w:r>
      <w:r>
        <w:rPr>
          <w:spacing w:val="-15"/>
        </w:rPr>
        <w:t xml:space="preserve"> </w:t>
      </w:r>
      <w:r>
        <w:t>–</w:t>
      </w:r>
      <w:r>
        <w:rPr>
          <w:spacing w:val="-13"/>
        </w:rPr>
        <w:t xml:space="preserve"> </w:t>
      </w:r>
      <w:r>
        <w:t>parcelamento</w:t>
      </w:r>
      <w:r>
        <w:rPr>
          <w:spacing w:val="-11"/>
        </w:rPr>
        <w:t xml:space="preserve"> </w:t>
      </w:r>
      <w:r>
        <w:t>ou</w:t>
      </w:r>
      <w:r>
        <w:rPr>
          <w:spacing w:val="-13"/>
        </w:rPr>
        <w:t xml:space="preserve"> </w:t>
      </w:r>
      <w:r>
        <w:t>edificações no tempo e; III – desapropriação mediante pagamento com dívida pública.</w:t>
      </w:r>
    </w:p>
    <w:p w:rsidR="007259F2" w:rsidRDefault="00E655B4">
      <w:pPr>
        <w:pStyle w:val="Corpodetexto"/>
        <w:ind w:right="418"/>
      </w:pPr>
      <w:r>
        <w:t>Em linhas gerais, conforme art. 96 do PDE, os imóveis não edificados – aqueles com mais</w:t>
      </w:r>
      <w:r>
        <w:rPr>
          <w:spacing w:val="-15"/>
        </w:rPr>
        <w:t xml:space="preserve"> </w:t>
      </w:r>
      <w:r>
        <w:t>de</w:t>
      </w:r>
      <w:r>
        <w:rPr>
          <w:spacing w:val="-15"/>
        </w:rPr>
        <w:t xml:space="preserve"> </w:t>
      </w:r>
      <w:r>
        <w:t>500</w:t>
      </w:r>
      <w:r>
        <w:rPr>
          <w:spacing w:val="-15"/>
        </w:rPr>
        <w:t xml:space="preserve"> </w:t>
      </w:r>
      <w:r>
        <w:t>m²,</w:t>
      </w:r>
      <w:r>
        <w:rPr>
          <w:spacing w:val="-15"/>
        </w:rPr>
        <w:t xml:space="preserve"> </w:t>
      </w:r>
      <w:r>
        <w:t>cujo</w:t>
      </w:r>
      <w:r>
        <w:rPr>
          <w:spacing w:val="-15"/>
        </w:rPr>
        <w:t xml:space="preserve"> </w:t>
      </w:r>
      <w:r>
        <w:t>CA</w:t>
      </w:r>
      <w:r>
        <w:rPr>
          <w:spacing w:val="-15"/>
        </w:rPr>
        <w:t xml:space="preserve"> </w:t>
      </w:r>
      <w:r>
        <w:t>em</w:t>
      </w:r>
      <w:r>
        <w:rPr>
          <w:spacing w:val="-15"/>
        </w:rPr>
        <w:t xml:space="preserve"> </w:t>
      </w:r>
      <w:r>
        <w:t>uso</w:t>
      </w:r>
      <w:r>
        <w:rPr>
          <w:spacing w:val="-14"/>
        </w:rPr>
        <w:t xml:space="preserve"> </w:t>
      </w:r>
      <w:r>
        <w:t>é</w:t>
      </w:r>
      <w:r>
        <w:rPr>
          <w:spacing w:val="-15"/>
        </w:rPr>
        <w:t xml:space="preserve"> </w:t>
      </w:r>
      <w:r>
        <w:t>igual</w:t>
      </w:r>
      <w:r>
        <w:rPr>
          <w:spacing w:val="-14"/>
        </w:rPr>
        <w:t xml:space="preserve"> </w:t>
      </w:r>
      <w:r>
        <w:t>a</w:t>
      </w:r>
      <w:r>
        <w:rPr>
          <w:spacing w:val="-15"/>
        </w:rPr>
        <w:t xml:space="preserve"> </w:t>
      </w:r>
      <w:r>
        <w:t>zero</w:t>
      </w:r>
      <w:r>
        <w:rPr>
          <w:spacing w:val="-15"/>
        </w:rPr>
        <w:t xml:space="preserve"> </w:t>
      </w:r>
      <w:r>
        <w:t>(art.</w:t>
      </w:r>
      <w:r>
        <w:rPr>
          <w:spacing w:val="-12"/>
        </w:rPr>
        <w:t xml:space="preserve"> </w:t>
      </w:r>
      <w:r>
        <w:t>92,</w:t>
      </w:r>
      <w:r>
        <w:rPr>
          <w:spacing w:val="-14"/>
        </w:rPr>
        <w:t xml:space="preserve"> </w:t>
      </w:r>
      <w:r>
        <w:rPr>
          <w:i/>
        </w:rPr>
        <w:t>caput</w:t>
      </w:r>
      <w:r>
        <w:t>,</w:t>
      </w:r>
      <w:r>
        <w:rPr>
          <w:spacing w:val="-14"/>
        </w:rPr>
        <w:t xml:space="preserve"> </w:t>
      </w:r>
      <w:r>
        <w:t>do</w:t>
      </w:r>
      <w:r>
        <w:rPr>
          <w:spacing w:val="-14"/>
        </w:rPr>
        <w:t xml:space="preserve"> </w:t>
      </w:r>
      <w:r>
        <w:t>PDE)</w:t>
      </w:r>
      <w:r>
        <w:rPr>
          <w:spacing w:val="-15"/>
        </w:rPr>
        <w:t xml:space="preserve"> </w:t>
      </w:r>
      <w:r>
        <w:t>–</w:t>
      </w:r>
      <w:r>
        <w:rPr>
          <w:spacing w:val="-14"/>
        </w:rPr>
        <w:t xml:space="preserve"> </w:t>
      </w:r>
      <w:r>
        <w:t>subutilizados</w:t>
      </w:r>
      <w:r>
        <w:rPr>
          <w:spacing w:val="-13"/>
        </w:rPr>
        <w:t xml:space="preserve"> </w:t>
      </w:r>
      <w:r>
        <w:t>–</w:t>
      </w:r>
      <w:r>
        <w:rPr>
          <w:spacing w:val="-14"/>
        </w:rPr>
        <w:t xml:space="preserve"> </w:t>
      </w:r>
      <w:r>
        <w:t>aqueles com</w:t>
      </w:r>
      <w:r>
        <w:rPr>
          <w:spacing w:val="-7"/>
        </w:rPr>
        <w:t xml:space="preserve"> </w:t>
      </w:r>
      <w:r>
        <w:t>mais</w:t>
      </w:r>
      <w:r>
        <w:rPr>
          <w:spacing w:val="-7"/>
        </w:rPr>
        <w:t xml:space="preserve"> </w:t>
      </w:r>
      <w:r>
        <w:t>de</w:t>
      </w:r>
      <w:r>
        <w:rPr>
          <w:spacing w:val="-8"/>
        </w:rPr>
        <w:t xml:space="preserve"> </w:t>
      </w:r>
      <w:r>
        <w:t>500</w:t>
      </w:r>
      <w:r>
        <w:rPr>
          <w:spacing w:val="-7"/>
        </w:rPr>
        <w:t xml:space="preserve"> </w:t>
      </w:r>
      <w:r>
        <w:t>m²,</w:t>
      </w:r>
      <w:r>
        <w:rPr>
          <w:spacing w:val="-7"/>
        </w:rPr>
        <w:t xml:space="preserve"> </w:t>
      </w:r>
      <w:r>
        <w:t>cujo</w:t>
      </w:r>
      <w:r>
        <w:rPr>
          <w:spacing w:val="-6"/>
        </w:rPr>
        <w:t xml:space="preserve"> </w:t>
      </w:r>
      <w:r>
        <w:t>CA</w:t>
      </w:r>
      <w:r>
        <w:rPr>
          <w:spacing w:val="-8"/>
        </w:rPr>
        <w:t xml:space="preserve"> </w:t>
      </w:r>
      <w:r>
        <w:t>em</w:t>
      </w:r>
      <w:r>
        <w:rPr>
          <w:spacing w:val="-7"/>
        </w:rPr>
        <w:t xml:space="preserve"> </w:t>
      </w:r>
      <w:r>
        <w:t>uso</w:t>
      </w:r>
      <w:r>
        <w:rPr>
          <w:spacing w:val="-7"/>
        </w:rPr>
        <w:t xml:space="preserve"> </w:t>
      </w:r>
      <w:r>
        <w:t>é</w:t>
      </w:r>
      <w:r>
        <w:rPr>
          <w:spacing w:val="-8"/>
        </w:rPr>
        <w:t xml:space="preserve"> </w:t>
      </w:r>
      <w:r>
        <w:t>inferior</w:t>
      </w:r>
      <w:r>
        <w:rPr>
          <w:spacing w:val="-8"/>
        </w:rPr>
        <w:t xml:space="preserve"> </w:t>
      </w:r>
      <w:r>
        <w:t>ao</w:t>
      </w:r>
      <w:r>
        <w:rPr>
          <w:spacing w:val="-7"/>
        </w:rPr>
        <w:t xml:space="preserve"> </w:t>
      </w:r>
      <w:r>
        <w:t>mínimo</w:t>
      </w:r>
      <w:r>
        <w:rPr>
          <w:spacing w:val="-7"/>
        </w:rPr>
        <w:t xml:space="preserve"> </w:t>
      </w:r>
      <w:r>
        <w:t>definido</w:t>
      </w:r>
      <w:r>
        <w:rPr>
          <w:spacing w:val="-7"/>
        </w:rPr>
        <w:t xml:space="preserve"> </w:t>
      </w:r>
      <w:r>
        <w:t>para</w:t>
      </w:r>
      <w:r>
        <w:rPr>
          <w:spacing w:val="-11"/>
        </w:rPr>
        <w:t xml:space="preserve"> </w:t>
      </w:r>
      <w:r>
        <w:t>a</w:t>
      </w:r>
      <w:r>
        <w:rPr>
          <w:spacing w:val="-6"/>
        </w:rPr>
        <w:t xml:space="preserve"> </w:t>
      </w:r>
      <w:r>
        <w:t>respectiva</w:t>
      </w:r>
      <w:r>
        <w:rPr>
          <w:spacing w:val="-7"/>
        </w:rPr>
        <w:t xml:space="preserve"> </w:t>
      </w:r>
      <w:r>
        <w:t>zona</w:t>
      </w:r>
      <w:r>
        <w:rPr>
          <w:spacing w:val="-8"/>
        </w:rPr>
        <w:t xml:space="preserve"> </w:t>
      </w:r>
      <w:r>
        <w:t xml:space="preserve">(art. 93, </w:t>
      </w:r>
      <w:r>
        <w:rPr>
          <w:i/>
        </w:rPr>
        <w:t>caput</w:t>
      </w:r>
      <w:r>
        <w:t>, do PDE) – e não utilizados – aqueles com CA em uso igual ou superior ao mínimo definido para a respectiva zona, mas com 60% de sua área construída desocupada por mais de um ano ininterrupto (art. 95, caput, do PDE) – estão sujeitos ao parcelamento, edificação e utilização compulsórios (PEUC).</w:t>
      </w:r>
    </w:p>
    <w:p w:rsidR="007259F2" w:rsidRDefault="00E655B4">
      <w:pPr>
        <w:pStyle w:val="Corpodetexto"/>
        <w:ind w:right="421"/>
      </w:pPr>
      <w:r>
        <w:t>Constatado que determinado imóvel encontra-se não edificado ou subutilizado, deverá a Prefeitura de São Paulo, por meio da Coordenadoria de Controle da Função Social da Propriedade (CEPEUC), unidade que compõe a Secretaria Municipal de Urbanismo e Licenciamento (SMUL), notificar o proprietário para, no prazo máximo de um ano a partir da notificação, protocolar junto à SMUL pedido de aprovação e execução de projeto de parcelamento ou edificação do referido imóvel, devendo dar início à execução do projeto no prazo</w:t>
      </w:r>
      <w:r>
        <w:rPr>
          <w:spacing w:val="-13"/>
        </w:rPr>
        <w:t xml:space="preserve"> </w:t>
      </w:r>
      <w:r>
        <w:t>máximo</w:t>
      </w:r>
      <w:r>
        <w:rPr>
          <w:spacing w:val="-10"/>
        </w:rPr>
        <w:t xml:space="preserve"> </w:t>
      </w:r>
      <w:r>
        <w:t>de</w:t>
      </w:r>
      <w:r>
        <w:rPr>
          <w:spacing w:val="-14"/>
        </w:rPr>
        <w:t xml:space="preserve"> </w:t>
      </w:r>
      <w:r>
        <w:t>dois</w:t>
      </w:r>
      <w:r>
        <w:rPr>
          <w:spacing w:val="-10"/>
        </w:rPr>
        <w:t xml:space="preserve"> </w:t>
      </w:r>
      <w:r>
        <w:t>anos</w:t>
      </w:r>
      <w:r>
        <w:rPr>
          <w:spacing w:val="-11"/>
        </w:rPr>
        <w:t xml:space="preserve"> </w:t>
      </w:r>
      <w:r>
        <w:t>a</w:t>
      </w:r>
      <w:r>
        <w:rPr>
          <w:spacing w:val="-13"/>
        </w:rPr>
        <w:t xml:space="preserve"> </w:t>
      </w:r>
      <w:r>
        <w:t>contar</w:t>
      </w:r>
      <w:r>
        <w:rPr>
          <w:spacing w:val="-12"/>
        </w:rPr>
        <w:t xml:space="preserve"> </w:t>
      </w:r>
      <w:r>
        <w:t>da</w:t>
      </w:r>
      <w:r>
        <w:rPr>
          <w:spacing w:val="-14"/>
        </w:rPr>
        <w:t xml:space="preserve"> </w:t>
      </w:r>
      <w:r>
        <w:t>expedição</w:t>
      </w:r>
      <w:r>
        <w:rPr>
          <w:spacing w:val="-5"/>
        </w:rPr>
        <w:t xml:space="preserve"> </w:t>
      </w:r>
      <w:r>
        <w:t>do</w:t>
      </w:r>
      <w:r>
        <w:rPr>
          <w:spacing w:val="-11"/>
        </w:rPr>
        <w:t xml:space="preserve"> </w:t>
      </w:r>
      <w:r>
        <w:t>alvará</w:t>
      </w:r>
      <w:r>
        <w:rPr>
          <w:spacing w:val="-13"/>
        </w:rPr>
        <w:t xml:space="preserve"> </w:t>
      </w:r>
      <w:r>
        <w:t>de</w:t>
      </w:r>
      <w:r>
        <w:rPr>
          <w:spacing w:val="-12"/>
        </w:rPr>
        <w:t xml:space="preserve"> </w:t>
      </w:r>
      <w:r>
        <w:t>execução</w:t>
      </w:r>
      <w:r>
        <w:rPr>
          <w:spacing w:val="-11"/>
        </w:rPr>
        <w:t xml:space="preserve"> </w:t>
      </w:r>
      <w:r>
        <w:t>do</w:t>
      </w:r>
      <w:r>
        <w:rPr>
          <w:spacing w:val="-9"/>
        </w:rPr>
        <w:t xml:space="preserve"> </w:t>
      </w:r>
      <w:r>
        <w:t>projeto,</w:t>
      </w:r>
      <w:r>
        <w:rPr>
          <w:spacing w:val="-10"/>
        </w:rPr>
        <w:t xml:space="preserve"> </w:t>
      </w:r>
      <w:r>
        <w:t>tendo</w:t>
      </w:r>
      <w:r>
        <w:rPr>
          <w:spacing w:val="-13"/>
        </w:rPr>
        <w:t xml:space="preserve"> </w:t>
      </w:r>
      <w:r>
        <w:rPr>
          <w:spacing w:val="-2"/>
        </w:rPr>
        <w:t>prazo</w:t>
      </w:r>
    </w:p>
    <w:p w:rsidR="007259F2" w:rsidRDefault="007259F2">
      <w:pPr>
        <w:pStyle w:val="Corpodetexto"/>
        <w:sectPr w:rsidR="007259F2">
          <w:pgSz w:w="11910" w:h="16840"/>
          <w:pgMar w:top="1780" w:right="708" w:bottom="1020" w:left="992" w:header="0" w:footer="820" w:gutter="0"/>
          <w:cols w:space="720"/>
        </w:sectPr>
      </w:pPr>
    </w:p>
    <w:p w:rsidR="007259F2" w:rsidRDefault="00E655B4">
      <w:pPr>
        <w:pStyle w:val="Corpodetexto"/>
        <w:spacing w:before="75"/>
        <w:ind w:right="424" w:firstLine="0"/>
      </w:pPr>
      <w:r>
        <w:lastRenderedPageBreak/>
        <w:t>de até cinco anos, contado do início das obras, para concluí-las. Se, por outro lado, for constatado que determinado imóvel se encontra não utilizado, deverá ser notificado pela CEPEUC para, no prazo máximo de um ano, ocupá-lo. Em qualquer hipótese, a notificação deverá ser averbada na matrícula do imóvel no Cartório de Registro de Imóveis.</w:t>
      </w:r>
    </w:p>
    <w:p w:rsidR="007259F2" w:rsidRDefault="00E655B4">
      <w:pPr>
        <w:pStyle w:val="Corpodetexto"/>
        <w:ind w:right="421"/>
      </w:pPr>
      <w:r>
        <w:t>Caso os prazos para PEUC não forem observados, segundo o art. 98 do PDE, deverá a Prefeitura</w:t>
      </w:r>
      <w:r>
        <w:rPr>
          <w:spacing w:val="-15"/>
        </w:rPr>
        <w:t xml:space="preserve"> </w:t>
      </w:r>
      <w:r>
        <w:t>aplicar</w:t>
      </w:r>
      <w:r>
        <w:rPr>
          <w:spacing w:val="-14"/>
        </w:rPr>
        <w:t xml:space="preserve"> </w:t>
      </w:r>
      <w:r>
        <w:t>alíquotas</w:t>
      </w:r>
      <w:r>
        <w:rPr>
          <w:spacing w:val="-15"/>
        </w:rPr>
        <w:t xml:space="preserve"> </w:t>
      </w:r>
      <w:r>
        <w:t>progressivas</w:t>
      </w:r>
      <w:r>
        <w:rPr>
          <w:spacing w:val="-15"/>
        </w:rPr>
        <w:t xml:space="preserve"> </w:t>
      </w:r>
      <w:r>
        <w:t>de</w:t>
      </w:r>
      <w:r>
        <w:rPr>
          <w:spacing w:val="-15"/>
        </w:rPr>
        <w:t xml:space="preserve"> </w:t>
      </w:r>
      <w:r>
        <w:t>IPTU</w:t>
      </w:r>
      <w:r>
        <w:rPr>
          <w:spacing w:val="-12"/>
        </w:rPr>
        <w:t xml:space="preserve"> </w:t>
      </w:r>
      <w:r>
        <w:t>majoradas</w:t>
      </w:r>
      <w:r>
        <w:rPr>
          <w:spacing w:val="-13"/>
        </w:rPr>
        <w:t xml:space="preserve"> </w:t>
      </w:r>
      <w:r>
        <w:t>anualmente</w:t>
      </w:r>
      <w:r>
        <w:rPr>
          <w:spacing w:val="-15"/>
        </w:rPr>
        <w:t xml:space="preserve"> </w:t>
      </w:r>
      <w:r>
        <w:t>pelo</w:t>
      </w:r>
      <w:r>
        <w:rPr>
          <w:spacing w:val="-15"/>
        </w:rPr>
        <w:t xml:space="preserve"> </w:t>
      </w:r>
      <w:r>
        <w:t>prazo</w:t>
      </w:r>
      <w:r>
        <w:rPr>
          <w:spacing w:val="-15"/>
        </w:rPr>
        <w:t xml:space="preserve"> </w:t>
      </w:r>
      <w:r>
        <w:t>de</w:t>
      </w:r>
      <w:r>
        <w:rPr>
          <w:spacing w:val="-15"/>
        </w:rPr>
        <w:t xml:space="preserve"> </w:t>
      </w:r>
      <w:r>
        <w:t>5</w:t>
      </w:r>
      <w:r>
        <w:rPr>
          <w:spacing w:val="-15"/>
        </w:rPr>
        <w:t xml:space="preserve"> </w:t>
      </w:r>
      <w:r>
        <w:t>(cinco) anos consecutivos até atingir a alíquota máxima de 15% (quinze por cento), devendo, a cada ano,</w:t>
      </w:r>
      <w:r>
        <w:rPr>
          <w:spacing w:val="-10"/>
        </w:rPr>
        <w:t xml:space="preserve"> </w:t>
      </w:r>
      <w:r>
        <w:t>a</w:t>
      </w:r>
      <w:r>
        <w:rPr>
          <w:spacing w:val="-11"/>
        </w:rPr>
        <w:t xml:space="preserve"> </w:t>
      </w:r>
      <w:r>
        <w:t>alíquota</w:t>
      </w:r>
      <w:r>
        <w:rPr>
          <w:spacing w:val="-10"/>
        </w:rPr>
        <w:t xml:space="preserve"> </w:t>
      </w:r>
      <w:r>
        <w:t>ser</w:t>
      </w:r>
      <w:r>
        <w:rPr>
          <w:spacing w:val="-10"/>
        </w:rPr>
        <w:t xml:space="preserve"> </w:t>
      </w:r>
      <w:r>
        <w:t>igual</w:t>
      </w:r>
      <w:r>
        <w:rPr>
          <w:spacing w:val="-6"/>
        </w:rPr>
        <w:t xml:space="preserve"> </w:t>
      </w:r>
      <w:r>
        <w:t>ao</w:t>
      </w:r>
      <w:r>
        <w:rPr>
          <w:spacing w:val="-10"/>
        </w:rPr>
        <w:t xml:space="preserve"> </w:t>
      </w:r>
      <w:r>
        <w:t>dobro</w:t>
      </w:r>
      <w:r>
        <w:rPr>
          <w:spacing w:val="-10"/>
        </w:rPr>
        <w:t xml:space="preserve"> </w:t>
      </w:r>
      <w:r>
        <w:t>da</w:t>
      </w:r>
      <w:r>
        <w:rPr>
          <w:spacing w:val="-11"/>
        </w:rPr>
        <w:t xml:space="preserve"> </w:t>
      </w:r>
      <w:r>
        <w:t>alíquota</w:t>
      </w:r>
      <w:r>
        <w:rPr>
          <w:spacing w:val="-10"/>
        </w:rPr>
        <w:t xml:space="preserve"> </w:t>
      </w:r>
      <w:r>
        <w:t>do</w:t>
      </w:r>
      <w:r>
        <w:rPr>
          <w:spacing w:val="-7"/>
        </w:rPr>
        <w:t xml:space="preserve"> </w:t>
      </w:r>
      <w:r>
        <w:t>ano</w:t>
      </w:r>
      <w:r>
        <w:rPr>
          <w:spacing w:val="-9"/>
        </w:rPr>
        <w:t xml:space="preserve"> </w:t>
      </w:r>
      <w:r>
        <w:t>anterior.</w:t>
      </w:r>
      <w:r>
        <w:rPr>
          <w:spacing w:val="-10"/>
        </w:rPr>
        <w:t xml:space="preserve"> </w:t>
      </w:r>
      <w:r>
        <w:t>O</w:t>
      </w:r>
      <w:r>
        <w:rPr>
          <w:spacing w:val="-5"/>
        </w:rPr>
        <w:t xml:space="preserve"> </w:t>
      </w:r>
      <w:r>
        <w:t>IPTU</w:t>
      </w:r>
      <w:r>
        <w:rPr>
          <w:spacing w:val="-10"/>
        </w:rPr>
        <w:t xml:space="preserve"> </w:t>
      </w:r>
      <w:r>
        <w:t>progressivo</w:t>
      </w:r>
      <w:r>
        <w:rPr>
          <w:spacing w:val="-8"/>
        </w:rPr>
        <w:t xml:space="preserve"> </w:t>
      </w:r>
      <w:r>
        <w:t>será</w:t>
      </w:r>
      <w:r>
        <w:rPr>
          <w:spacing w:val="-11"/>
        </w:rPr>
        <w:t xml:space="preserve"> </w:t>
      </w:r>
      <w:r>
        <w:t xml:space="preserve">mantido até que se cumpra a obrigação de parcelar, edificar, utilizar o imóvel ou que ocorra a sua </w:t>
      </w:r>
      <w:r>
        <w:rPr>
          <w:spacing w:val="-2"/>
        </w:rPr>
        <w:t>desapropriação.</w:t>
      </w:r>
    </w:p>
    <w:p w:rsidR="007259F2" w:rsidRDefault="00E655B4">
      <w:pPr>
        <w:pStyle w:val="Corpodetexto"/>
        <w:ind w:right="427"/>
      </w:pPr>
      <w:r>
        <w:t>De acordo com o art. 99 do PDE, decorrido os 5 (cinco) anos da cobrança do IPTU progressivo no tempo sem o cumprimento do PEUC, poderá a Prefeitura proceder à desapropriação do imóvel com pagamento em títulos da dívida pública, também denominada desapropriação sanção. Tal instrumento indutor da função social da propriedade será melhor retratado adiante.</w:t>
      </w:r>
    </w:p>
    <w:p w:rsidR="007259F2" w:rsidRDefault="00E655B4">
      <w:pPr>
        <w:pStyle w:val="Corpodetexto"/>
        <w:spacing w:before="1"/>
        <w:ind w:right="421"/>
      </w:pPr>
      <w:r>
        <w:t>Vale mencionar, neste momento, a existência de embaraços legais que dificultam a aplicação prática da desapropriação sanção, não tendo sido utilizado tal instrumento até então pelo</w:t>
      </w:r>
      <w:r>
        <w:rPr>
          <w:spacing w:val="-2"/>
        </w:rPr>
        <w:t xml:space="preserve"> </w:t>
      </w:r>
      <w:r>
        <w:t>Município</w:t>
      </w:r>
      <w:r>
        <w:rPr>
          <w:spacing w:val="-2"/>
        </w:rPr>
        <w:t xml:space="preserve"> </w:t>
      </w:r>
      <w:r>
        <w:t>de</w:t>
      </w:r>
      <w:r>
        <w:rPr>
          <w:spacing w:val="-1"/>
        </w:rPr>
        <w:t xml:space="preserve"> </w:t>
      </w:r>
      <w:r>
        <w:t>São</w:t>
      </w:r>
      <w:r>
        <w:rPr>
          <w:spacing w:val="-1"/>
        </w:rPr>
        <w:t xml:space="preserve"> </w:t>
      </w:r>
      <w:r>
        <w:t>Paulo,</w:t>
      </w:r>
      <w:r>
        <w:rPr>
          <w:spacing w:val="-2"/>
        </w:rPr>
        <w:t xml:space="preserve"> </w:t>
      </w:r>
      <w:r>
        <w:t>existindo</w:t>
      </w:r>
      <w:r>
        <w:rPr>
          <w:spacing w:val="-1"/>
        </w:rPr>
        <w:t xml:space="preserve"> </w:t>
      </w:r>
      <w:r>
        <w:t>importante</w:t>
      </w:r>
      <w:r>
        <w:rPr>
          <w:spacing w:val="-5"/>
        </w:rPr>
        <w:t xml:space="preserve"> </w:t>
      </w:r>
      <w:r>
        <w:t>discussão interna</w:t>
      </w:r>
      <w:r>
        <w:rPr>
          <w:spacing w:val="-4"/>
        </w:rPr>
        <w:t xml:space="preserve"> </w:t>
      </w:r>
      <w:r>
        <w:t>sobre</w:t>
      </w:r>
      <w:r>
        <w:rPr>
          <w:spacing w:val="-1"/>
        </w:rPr>
        <w:t xml:space="preserve"> </w:t>
      </w:r>
      <w:r>
        <w:t>como</w:t>
      </w:r>
      <w:r>
        <w:rPr>
          <w:spacing w:val="-2"/>
        </w:rPr>
        <w:t xml:space="preserve"> </w:t>
      </w:r>
      <w:r>
        <w:t>proceder nos casos em que o IPTU progressivo já alcançou a 5ª alíquota.</w:t>
      </w:r>
    </w:p>
    <w:p w:rsidR="007259F2" w:rsidRDefault="00E655B4">
      <w:pPr>
        <w:pStyle w:val="Heading2"/>
        <w:numPr>
          <w:ilvl w:val="0"/>
          <w:numId w:val="13"/>
        </w:numPr>
        <w:tabs>
          <w:tab w:val="left" w:pos="1137"/>
        </w:tabs>
        <w:spacing w:before="209" w:line="237" w:lineRule="auto"/>
        <w:ind w:right="559" w:hanging="428"/>
        <w:jc w:val="both"/>
      </w:pPr>
      <w:r>
        <w:t>Dados sobre a aplicação dos instrumentos indutores da função social da propriedade no Município de São Paulo</w:t>
      </w:r>
    </w:p>
    <w:p w:rsidR="007259F2" w:rsidRDefault="00E655B4">
      <w:pPr>
        <w:pStyle w:val="Corpodetexto"/>
        <w:spacing w:before="116"/>
        <w:ind w:right="428"/>
      </w:pPr>
      <w:r>
        <w:t>Relatório elaborado pela CEPEUC em julho de 2023 apresenta um levantamento relativo à aplicação dos instrumentos indutores da função social da propriedade urbana no Município de São Paulo desde a aprovação do PDE em 2014.</w:t>
      </w:r>
    </w:p>
    <w:p w:rsidR="007259F2" w:rsidRDefault="00E655B4">
      <w:pPr>
        <w:pStyle w:val="Corpodetexto"/>
        <w:spacing w:before="1"/>
        <w:ind w:right="421"/>
        <w:jc w:val="right"/>
      </w:pPr>
      <w:r>
        <w:t>De acordo com o referido relatório, um total de 1.851 SQLs – Setor Quadra Lote (nº</w:t>
      </w:r>
      <w:r>
        <w:rPr>
          <w:spacing w:val="40"/>
        </w:rPr>
        <w:t xml:space="preserve"> </w:t>
      </w:r>
      <w:r>
        <w:t>de contribuinte de um terreno), correspondente a 1.224 imóveis, foi notificado para PEUC de 2014 até junho de 2023. Desses 1.851, apenas 253 cumpriram integralmente as obrigações da PEUC,</w:t>
      </w:r>
      <w:r>
        <w:rPr>
          <w:spacing w:val="-14"/>
        </w:rPr>
        <w:t xml:space="preserve"> </w:t>
      </w:r>
      <w:r>
        <w:t>o</w:t>
      </w:r>
      <w:r>
        <w:rPr>
          <w:spacing w:val="-14"/>
        </w:rPr>
        <w:t xml:space="preserve"> </w:t>
      </w:r>
      <w:r>
        <w:t>que</w:t>
      </w:r>
      <w:r>
        <w:rPr>
          <w:spacing w:val="-13"/>
        </w:rPr>
        <w:t xml:space="preserve"> </w:t>
      </w:r>
      <w:r>
        <w:t>equivale</w:t>
      </w:r>
      <w:r>
        <w:rPr>
          <w:spacing w:val="-12"/>
        </w:rPr>
        <w:t xml:space="preserve"> </w:t>
      </w:r>
      <w:r>
        <w:t>a</w:t>
      </w:r>
      <w:r>
        <w:rPr>
          <w:spacing w:val="-15"/>
        </w:rPr>
        <w:t xml:space="preserve"> </w:t>
      </w:r>
      <w:r>
        <w:t>14%</w:t>
      </w:r>
      <w:r>
        <w:rPr>
          <w:spacing w:val="-15"/>
        </w:rPr>
        <w:t xml:space="preserve"> </w:t>
      </w:r>
      <w:r>
        <w:t>do</w:t>
      </w:r>
      <w:r>
        <w:rPr>
          <w:spacing w:val="-14"/>
        </w:rPr>
        <w:t xml:space="preserve"> </w:t>
      </w:r>
      <w:r>
        <w:t>total,</w:t>
      </w:r>
      <w:r>
        <w:rPr>
          <w:spacing w:val="-14"/>
        </w:rPr>
        <w:t xml:space="preserve"> </w:t>
      </w:r>
      <w:r>
        <w:t>outros</w:t>
      </w:r>
      <w:r>
        <w:rPr>
          <w:spacing w:val="-14"/>
        </w:rPr>
        <w:t xml:space="preserve"> </w:t>
      </w:r>
      <w:r>
        <w:t>231</w:t>
      </w:r>
      <w:r>
        <w:rPr>
          <w:spacing w:val="-14"/>
        </w:rPr>
        <w:t xml:space="preserve"> </w:t>
      </w:r>
      <w:r>
        <w:t>tiveram</w:t>
      </w:r>
      <w:r>
        <w:rPr>
          <w:spacing w:val="-12"/>
        </w:rPr>
        <w:t xml:space="preserve"> </w:t>
      </w:r>
      <w:r>
        <w:t>as</w:t>
      </w:r>
      <w:r>
        <w:rPr>
          <w:spacing w:val="-12"/>
        </w:rPr>
        <w:t xml:space="preserve"> </w:t>
      </w:r>
      <w:r>
        <w:t>respectivas</w:t>
      </w:r>
      <w:r>
        <w:rPr>
          <w:spacing w:val="-12"/>
        </w:rPr>
        <w:t xml:space="preserve"> </w:t>
      </w:r>
      <w:r>
        <w:t>notificações</w:t>
      </w:r>
      <w:r>
        <w:rPr>
          <w:spacing w:val="-13"/>
        </w:rPr>
        <w:t xml:space="preserve"> </w:t>
      </w:r>
      <w:r>
        <w:t>canceladas por</w:t>
      </w:r>
      <w:r>
        <w:rPr>
          <w:spacing w:val="-15"/>
        </w:rPr>
        <w:t xml:space="preserve"> </w:t>
      </w:r>
      <w:r>
        <w:t>decisão</w:t>
      </w:r>
      <w:r>
        <w:rPr>
          <w:spacing w:val="-15"/>
        </w:rPr>
        <w:t xml:space="preserve"> </w:t>
      </w:r>
      <w:r>
        <w:t>da</w:t>
      </w:r>
      <w:r>
        <w:rPr>
          <w:spacing w:val="-15"/>
        </w:rPr>
        <w:t xml:space="preserve"> </w:t>
      </w:r>
      <w:r>
        <w:t>própria</w:t>
      </w:r>
      <w:r>
        <w:rPr>
          <w:spacing w:val="-13"/>
        </w:rPr>
        <w:t xml:space="preserve"> </w:t>
      </w:r>
      <w:r>
        <w:t>administração</w:t>
      </w:r>
      <w:r>
        <w:rPr>
          <w:spacing w:val="-15"/>
        </w:rPr>
        <w:t xml:space="preserve"> </w:t>
      </w:r>
      <w:r>
        <w:t>pública,</w:t>
      </w:r>
      <w:r>
        <w:rPr>
          <w:spacing w:val="-13"/>
        </w:rPr>
        <w:t xml:space="preserve"> </w:t>
      </w:r>
      <w:r>
        <w:t>havendo,</w:t>
      </w:r>
      <w:r>
        <w:rPr>
          <w:spacing w:val="-15"/>
        </w:rPr>
        <w:t xml:space="preserve"> </w:t>
      </w:r>
      <w:r>
        <w:t>ao</w:t>
      </w:r>
      <w:r>
        <w:rPr>
          <w:spacing w:val="-13"/>
        </w:rPr>
        <w:t xml:space="preserve"> </w:t>
      </w:r>
      <w:r>
        <w:t>final,</w:t>
      </w:r>
      <w:r>
        <w:rPr>
          <w:spacing w:val="-15"/>
        </w:rPr>
        <w:t xml:space="preserve"> </w:t>
      </w:r>
      <w:r>
        <w:t>1.367</w:t>
      </w:r>
      <w:r>
        <w:rPr>
          <w:spacing w:val="-11"/>
        </w:rPr>
        <w:t xml:space="preserve"> </w:t>
      </w:r>
      <w:r>
        <w:t>contribuintes</w:t>
      </w:r>
      <w:r>
        <w:rPr>
          <w:spacing w:val="-14"/>
        </w:rPr>
        <w:t xml:space="preserve"> </w:t>
      </w:r>
      <w:r>
        <w:t>notificados que</w:t>
      </w:r>
      <w:r>
        <w:rPr>
          <w:spacing w:val="-1"/>
        </w:rPr>
        <w:t xml:space="preserve"> </w:t>
      </w:r>
      <w:r>
        <w:t>não cumpriram integralmente a função social da</w:t>
      </w:r>
      <w:r>
        <w:rPr>
          <w:spacing w:val="-1"/>
        </w:rPr>
        <w:t xml:space="preserve"> </w:t>
      </w:r>
      <w:r>
        <w:t>propriedade</w:t>
      </w:r>
      <w:r>
        <w:rPr>
          <w:spacing w:val="-1"/>
        </w:rPr>
        <w:t xml:space="preserve"> </w:t>
      </w:r>
      <w:r>
        <w:t>na forma prevista</w:t>
      </w:r>
      <w:r>
        <w:rPr>
          <w:spacing w:val="-1"/>
        </w:rPr>
        <w:t xml:space="preserve"> </w:t>
      </w:r>
      <w:r>
        <w:t>pelo PDE.</w:t>
      </w:r>
    </w:p>
    <w:p w:rsidR="007259F2" w:rsidRDefault="00E655B4">
      <w:pPr>
        <w:pStyle w:val="Corpodetexto"/>
        <w:ind w:right="426"/>
      </w:pPr>
      <w:r>
        <w:t>Esses números representam uma baixa efetividade da notificação para PEUC na indução do cumprimento da função social da propriedade urbana.</w:t>
      </w:r>
    </w:p>
    <w:p w:rsidR="007259F2" w:rsidRDefault="00E655B4">
      <w:pPr>
        <w:pStyle w:val="Corpodetexto"/>
        <w:ind w:right="430"/>
      </w:pPr>
      <w:r>
        <w:t>O documento produzido por CEPEUC indica também a existência de 239 SQLs sujeitos, até junho de 2023, ao IPTU progressivo no tempo, o que corresponde a 21% do total de terrenos notificados. Destes, uma parcela de 188 SQLs, o que corresponde a 122 imóveis, encontram-se em majoração da 5ª alíquota, os quais se concentram, principalmente, na região central da cidade de São Paulo.</w:t>
      </w:r>
    </w:p>
    <w:p w:rsidR="007259F2" w:rsidRDefault="00E655B4">
      <w:pPr>
        <w:pStyle w:val="Corpodetexto"/>
        <w:ind w:right="423"/>
      </w:pPr>
      <w:r>
        <w:t>O gráfico e a tabela acostados abaixo, ambos retirados do relatório de CEPEUC, bem ilustram os dados destacados neste artigo:</w:t>
      </w:r>
    </w:p>
    <w:p w:rsidR="007259F2" w:rsidRDefault="007259F2">
      <w:pPr>
        <w:pStyle w:val="Corpodetexto"/>
        <w:sectPr w:rsidR="007259F2">
          <w:pgSz w:w="11910" w:h="16840"/>
          <w:pgMar w:top="1600" w:right="708" w:bottom="1020" w:left="992" w:header="0" w:footer="820" w:gutter="0"/>
          <w:cols w:space="720"/>
        </w:sectPr>
      </w:pPr>
    </w:p>
    <w:p w:rsidR="007259F2" w:rsidRDefault="00E655B4">
      <w:pPr>
        <w:pStyle w:val="Corpodetexto"/>
        <w:ind w:left="3468" w:firstLine="0"/>
        <w:jc w:val="left"/>
        <w:rPr>
          <w:sz w:val="20"/>
        </w:rPr>
      </w:pPr>
      <w:r>
        <w:rPr>
          <w:noProof/>
          <w:sz w:val="20"/>
          <w:lang w:val="pt-BR" w:eastAsia="pt-BR"/>
        </w:rPr>
        <w:lastRenderedPageBreak/>
        <w:drawing>
          <wp:inline distT="0" distB="0" distL="0" distR="0">
            <wp:extent cx="2281050" cy="2724150"/>
            <wp:effectExtent l="0" t="0" r="0" b="0"/>
            <wp:docPr id="189" name="Image 189" descr="Gráfico  Descrição gerada automa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9" name="Image 189" descr="Gráfico  Descrição gerada automaticamente"/>
                    <pic:cNvPicPr/>
                  </pic:nvPicPr>
                  <pic:blipFill>
                    <a:blip r:embed="rId369" cstate="print"/>
                    <a:stretch>
                      <a:fillRect/>
                    </a:stretch>
                  </pic:blipFill>
                  <pic:spPr>
                    <a:xfrm>
                      <a:off x="0" y="0"/>
                      <a:ext cx="2281050" cy="2724150"/>
                    </a:xfrm>
                    <a:prstGeom prst="rect">
                      <a:avLst/>
                    </a:prstGeom>
                  </pic:spPr>
                </pic:pic>
              </a:graphicData>
            </a:graphic>
          </wp:inline>
        </w:drawing>
      </w:r>
    </w:p>
    <w:p w:rsidR="007259F2" w:rsidRDefault="007259F2">
      <w:pPr>
        <w:pStyle w:val="Corpodetexto"/>
        <w:spacing w:before="106"/>
        <w:ind w:left="0" w:firstLine="0"/>
        <w:jc w:val="left"/>
        <w:rPr>
          <w:sz w:val="16"/>
        </w:rPr>
      </w:pPr>
    </w:p>
    <w:p w:rsidR="007259F2" w:rsidRDefault="00E655B4">
      <w:pPr>
        <w:ind w:left="471" w:right="326"/>
        <w:jc w:val="center"/>
        <w:rPr>
          <w:sz w:val="16"/>
        </w:rPr>
      </w:pPr>
      <w:r>
        <w:rPr>
          <w:sz w:val="16"/>
        </w:rPr>
        <w:t>Figura</w:t>
      </w:r>
      <w:r>
        <w:rPr>
          <w:spacing w:val="-12"/>
          <w:sz w:val="16"/>
        </w:rPr>
        <w:t xml:space="preserve"> </w:t>
      </w:r>
      <w:r>
        <w:rPr>
          <w:sz w:val="16"/>
        </w:rPr>
        <w:t>3:</w:t>
      </w:r>
      <w:r>
        <w:rPr>
          <w:spacing w:val="-10"/>
          <w:sz w:val="16"/>
        </w:rPr>
        <w:t xml:space="preserve"> </w:t>
      </w:r>
      <w:r>
        <w:rPr>
          <w:sz w:val="16"/>
        </w:rPr>
        <w:t>Gráfico</w:t>
      </w:r>
      <w:r>
        <w:rPr>
          <w:spacing w:val="-10"/>
          <w:sz w:val="16"/>
        </w:rPr>
        <w:t xml:space="preserve"> </w:t>
      </w:r>
      <w:r>
        <w:rPr>
          <w:sz w:val="16"/>
        </w:rPr>
        <w:t>com</w:t>
      </w:r>
      <w:r>
        <w:rPr>
          <w:spacing w:val="-10"/>
          <w:sz w:val="16"/>
        </w:rPr>
        <w:t xml:space="preserve"> </w:t>
      </w:r>
      <w:r>
        <w:rPr>
          <w:sz w:val="16"/>
        </w:rPr>
        <w:t>a</w:t>
      </w:r>
      <w:r>
        <w:rPr>
          <w:spacing w:val="-10"/>
          <w:sz w:val="16"/>
        </w:rPr>
        <w:t xml:space="preserve"> </w:t>
      </w:r>
      <w:r>
        <w:rPr>
          <w:sz w:val="16"/>
        </w:rPr>
        <w:t>situação</w:t>
      </w:r>
      <w:r>
        <w:rPr>
          <w:spacing w:val="-10"/>
          <w:sz w:val="16"/>
        </w:rPr>
        <w:t xml:space="preserve"> </w:t>
      </w:r>
      <w:r>
        <w:rPr>
          <w:sz w:val="16"/>
        </w:rPr>
        <w:t>dos</w:t>
      </w:r>
      <w:r>
        <w:rPr>
          <w:spacing w:val="-10"/>
          <w:sz w:val="16"/>
        </w:rPr>
        <w:t xml:space="preserve"> </w:t>
      </w:r>
      <w:r>
        <w:rPr>
          <w:sz w:val="16"/>
        </w:rPr>
        <w:t>contribuintes</w:t>
      </w:r>
      <w:r>
        <w:rPr>
          <w:spacing w:val="-10"/>
          <w:sz w:val="16"/>
        </w:rPr>
        <w:t xml:space="preserve"> </w:t>
      </w:r>
      <w:r>
        <w:rPr>
          <w:sz w:val="16"/>
        </w:rPr>
        <w:t>notificados</w:t>
      </w:r>
      <w:r>
        <w:rPr>
          <w:spacing w:val="-10"/>
          <w:sz w:val="16"/>
        </w:rPr>
        <w:t xml:space="preserve"> </w:t>
      </w:r>
      <w:r>
        <w:rPr>
          <w:sz w:val="16"/>
        </w:rPr>
        <w:t>até</w:t>
      </w:r>
      <w:r>
        <w:rPr>
          <w:spacing w:val="-10"/>
          <w:sz w:val="16"/>
        </w:rPr>
        <w:t xml:space="preserve"> </w:t>
      </w:r>
      <w:r>
        <w:rPr>
          <w:sz w:val="16"/>
        </w:rPr>
        <w:t>julho</w:t>
      </w:r>
      <w:r>
        <w:rPr>
          <w:spacing w:val="-9"/>
          <w:sz w:val="16"/>
        </w:rPr>
        <w:t xml:space="preserve"> </w:t>
      </w:r>
      <w:r>
        <w:rPr>
          <w:sz w:val="16"/>
        </w:rPr>
        <w:t>de</w:t>
      </w:r>
      <w:r>
        <w:rPr>
          <w:spacing w:val="-11"/>
          <w:sz w:val="16"/>
        </w:rPr>
        <w:t xml:space="preserve"> </w:t>
      </w:r>
      <w:r>
        <w:rPr>
          <w:sz w:val="16"/>
        </w:rPr>
        <w:t>2023</w:t>
      </w:r>
      <w:r>
        <w:rPr>
          <w:spacing w:val="-8"/>
          <w:sz w:val="16"/>
        </w:rPr>
        <w:t xml:space="preserve"> </w:t>
      </w:r>
      <w:r>
        <w:rPr>
          <w:sz w:val="16"/>
        </w:rPr>
        <w:t>em</w:t>
      </w:r>
      <w:r>
        <w:rPr>
          <w:spacing w:val="-8"/>
          <w:sz w:val="16"/>
        </w:rPr>
        <w:t xml:space="preserve"> </w:t>
      </w:r>
      <w:r>
        <w:rPr>
          <w:spacing w:val="-2"/>
          <w:sz w:val="16"/>
        </w:rPr>
        <w:t>porcentagem</w:t>
      </w:r>
    </w:p>
    <w:p w:rsidR="007259F2" w:rsidRDefault="007259F2">
      <w:pPr>
        <w:pStyle w:val="Corpodetexto"/>
        <w:ind w:left="0" w:firstLine="0"/>
        <w:jc w:val="left"/>
        <w:rPr>
          <w:sz w:val="20"/>
        </w:rPr>
      </w:pPr>
    </w:p>
    <w:p w:rsidR="007259F2" w:rsidRDefault="00E655B4">
      <w:pPr>
        <w:pStyle w:val="Corpodetexto"/>
        <w:spacing w:before="3"/>
        <w:ind w:left="0" w:firstLine="0"/>
        <w:jc w:val="left"/>
        <w:rPr>
          <w:sz w:val="20"/>
        </w:rPr>
      </w:pPr>
      <w:r>
        <w:rPr>
          <w:noProof/>
          <w:sz w:val="20"/>
          <w:lang w:val="pt-BR" w:eastAsia="pt-BR"/>
        </w:rPr>
        <w:drawing>
          <wp:anchor distT="0" distB="0" distL="0" distR="0" simplePos="0" relativeHeight="487670784" behindDoc="1" locked="0" layoutInCell="1" allowOverlap="1">
            <wp:simplePos x="0" y="0"/>
            <wp:positionH relativeFrom="page">
              <wp:posOffset>1982470</wp:posOffset>
            </wp:positionH>
            <wp:positionV relativeFrom="paragraph">
              <wp:posOffset>163608</wp:posOffset>
            </wp:positionV>
            <wp:extent cx="3895216" cy="1635252"/>
            <wp:effectExtent l="0" t="0" r="0" b="0"/>
            <wp:wrapTopAndBottom/>
            <wp:docPr id="190" name="Image 1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0" name="Image 190"/>
                    <pic:cNvPicPr/>
                  </pic:nvPicPr>
                  <pic:blipFill>
                    <a:blip r:embed="rId370" cstate="print"/>
                    <a:stretch>
                      <a:fillRect/>
                    </a:stretch>
                  </pic:blipFill>
                  <pic:spPr>
                    <a:xfrm>
                      <a:off x="0" y="0"/>
                      <a:ext cx="3895216" cy="1635252"/>
                    </a:xfrm>
                    <a:prstGeom prst="rect">
                      <a:avLst/>
                    </a:prstGeom>
                  </pic:spPr>
                </pic:pic>
              </a:graphicData>
            </a:graphic>
          </wp:anchor>
        </w:drawing>
      </w:r>
    </w:p>
    <w:p w:rsidR="007259F2" w:rsidRDefault="00E655B4">
      <w:pPr>
        <w:spacing w:before="181"/>
        <w:ind w:left="479" w:right="326"/>
        <w:jc w:val="center"/>
        <w:rPr>
          <w:sz w:val="16"/>
        </w:rPr>
      </w:pPr>
      <w:r>
        <w:rPr>
          <w:sz w:val="16"/>
        </w:rPr>
        <w:t>Figura</w:t>
      </w:r>
      <w:r>
        <w:rPr>
          <w:spacing w:val="-10"/>
          <w:sz w:val="16"/>
        </w:rPr>
        <w:t xml:space="preserve"> </w:t>
      </w:r>
      <w:r>
        <w:rPr>
          <w:sz w:val="16"/>
        </w:rPr>
        <w:t>4:</w:t>
      </w:r>
      <w:r>
        <w:rPr>
          <w:spacing w:val="-10"/>
          <w:sz w:val="16"/>
        </w:rPr>
        <w:t xml:space="preserve"> </w:t>
      </w:r>
      <w:r>
        <w:rPr>
          <w:sz w:val="16"/>
        </w:rPr>
        <w:t>Tabela</w:t>
      </w:r>
      <w:r>
        <w:rPr>
          <w:spacing w:val="-10"/>
          <w:sz w:val="16"/>
        </w:rPr>
        <w:t xml:space="preserve"> </w:t>
      </w:r>
      <w:r>
        <w:rPr>
          <w:sz w:val="16"/>
        </w:rPr>
        <w:t>com</w:t>
      </w:r>
      <w:r>
        <w:rPr>
          <w:spacing w:val="-10"/>
          <w:sz w:val="16"/>
        </w:rPr>
        <w:t xml:space="preserve"> </w:t>
      </w:r>
      <w:r>
        <w:rPr>
          <w:sz w:val="16"/>
        </w:rPr>
        <w:t>a</w:t>
      </w:r>
      <w:r>
        <w:rPr>
          <w:spacing w:val="-10"/>
          <w:sz w:val="16"/>
        </w:rPr>
        <w:t xml:space="preserve"> </w:t>
      </w:r>
      <w:r>
        <w:rPr>
          <w:sz w:val="16"/>
        </w:rPr>
        <w:t>situação</w:t>
      </w:r>
      <w:r>
        <w:rPr>
          <w:spacing w:val="-10"/>
          <w:sz w:val="16"/>
        </w:rPr>
        <w:t xml:space="preserve"> </w:t>
      </w:r>
      <w:r>
        <w:rPr>
          <w:sz w:val="16"/>
        </w:rPr>
        <w:t>dos</w:t>
      </w:r>
      <w:r>
        <w:rPr>
          <w:spacing w:val="-10"/>
          <w:sz w:val="16"/>
        </w:rPr>
        <w:t xml:space="preserve"> </w:t>
      </w:r>
      <w:r>
        <w:rPr>
          <w:sz w:val="16"/>
        </w:rPr>
        <w:t>contribuintes</w:t>
      </w:r>
      <w:r>
        <w:rPr>
          <w:spacing w:val="-10"/>
          <w:sz w:val="16"/>
        </w:rPr>
        <w:t xml:space="preserve"> </w:t>
      </w:r>
      <w:r>
        <w:rPr>
          <w:sz w:val="16"/>
        </w:rPr>
        <w:t>notificados</w:t>
      </w:r>
      <w:r>
        <w:rPr>
          <w:spacing w:val="-10"/>
          <w:sz w:val="16"/>
        </w:rPr>
        <w:t xml:space="preserve"> </w:t>
      </w:r>
      <w:r>
        <w:rPr>
          <w:sz w:val="16"/>
        </w:rPr>
        <w:t>até</w:t>
      </w:r>
      <w:r>
        <w:rPr>
          <w:spacing w:val="-10"/>
          <w:sz w:val="16"/>
        </w:rPr>
        <w:t xml:space="preserve"> </w:t>
      </w:r>
      <w:r>
        <w:rPr>
          <w:sz w:val="16"/>
        </w:rPr>
        <w:t>julho</w:t>
      </w:r>
      <w:r>
        <w:rPr>
          <w:spacing w:val="-10"/>
          <w:sz w:val="16"/>
        </w:rPr>
        <w:t xml:space="preserve"> </w:t>
      </w:r>
      <w:r>
        <w:rPr>
          <w:sz w:val="16"/>
        </w:rPr>
        <w:t>de</w:t>
      </w:r>
      <w:r>
        <w:rPr>
          <w:spacing w:val="-10"/>
          <w:sz w:val="16"/>
        </w:rPr>
        <w:t xml:space="preserve"> </w:t>
      </w:r>
      <w:r>
        <w:rPr>
          <w:sz w:val="16"/>
        </w:rPr>
        <w:t>2023</w:t>
      </w:r>
      <w:r>
        <w:rPr>
          <w:spacing w:val="-10"/>
          <w:sz w:val="16"/>
        </w:rPr>
        <w:t xml:space="preserve"> </w:t>
      </w:r>
      <w:r>
        <w:rPr>
          <w:sz w:val="16"/>
        </w:rPr>
        <w:t>em</w:t>
      </w:r>
      <w:r>
        <w:rPr>
          <w:spacing w:val="-10"/>
          <w:sz w:val="16"/>
        </w:rPr>
        <w:t xml:space="preserve"> </w:t>
      </w:r>
      <w:r>
        <w:rPr>
          <w:sz w:val="16"/>
        </w:rPr>
        <w:t>números</w:t>
      </w:r>
      <w:r>
        <w:rPr>
          <w:spacing w:val="1"/>
          <w:sz w:val="16"/>
        </w:rPr>
        <w:t xml:space="preserve"> </w:t>
      </w:r>
      <w:r>
        <w:rPr>
          <w:spacing w:val="-2"/>
          <w:sz w:val="16"/>
        </w:rPr>
        <w:t>inteiros</w:t>
      </w:r>
    </w:p>
    <w:p w:rsidR="007259F2" w:rsidRDefault="007259F2">
      <w:pPr>
        <w:pStyle w:val="Corpodetexto"/>
        <w:ind w:left="0" w:firstLine="0"/>
        <w:jc w:val="left"/>
        <w:rPr>
          <w:sz w:val="16"/>
        </w:rPr>
      </w:pPr>
    </w:p>
    <w:p w:rsidR="007259F2" w:rsidRDefault="007259F2">
      <w:pPr>
        <w:pStyle w:val="Corpodetexto"/>
        <w:spacing w:before="40"/>
        <w:ind w:left="0" w:firstLine="0"/>
        <w:jc w:val="left"/>
        <w:rPr>
          <w:sz w:val="16"/>
        </w:rPr>
      </w:pPr>
    </w:p>
    <w:p w:rsidR="007259F2" w:rsidRDefault="00E655B4">
      <w:pPr>
        <w:pStyle w:val="Corpodetexto"/>
        <w:ind w:right="422"/>
      </w:pPr>
      <w:r>
        <w:t>Importante mencionar que CEPEUC levantou, ainda, que 84% dos imóveis com majoração</w:t>
      </w:r>
      <w:r>
        <w:rPr>
          <w:spacing w:val="-1"/>
        </w:rPr>
        <w:t xml:space="preserve"> </w:t>
      </w:r>
      <w:r>
        <w:t>do IPTU</w:t>
      </w:r>
      <w:r>
        <w:rPr>
          <w:spacing w:val="-2"/>
        </w:rPr>
        <w:t xml:space="preserve"> </w:t>
      </w:r>
      <w:r>
        <w:t>na</w:t>
      </w:r>
      <w:r>
        <w:rPr>
          <w:spacing w:val="-2"/>
        </w:rPr>
        <w:t xml:space="preserve"> </w:t>
      </w:r>
      <w:r>
        <w:t>5ª alíquota</w:t>
      </w:r>
      <w:r>
        <w:rPr>
          <w:spacing w:val="-2"/>
        </w:rPr>
        <w:t xml:space="preserve"> </w:t>
      </w:r>
      <w:r>
        <w:t>encontram-se</w:t>
      </w:r>
      <w:r>
        <w:rPr>
          <w:spacing w:val="-2"/>
        </w:rPr>
        <w:t xml:space="preserve"> </w:t>
      </w:r>
      <w:r>
        <w:t>em</w:t>
      </w:r>
      <w:r>
        <w:rPr>
          <w:spacing w:val="-2"/>
        </w:rPr>
        <w:t xml:space="preserve"> </w:t>
      </w:r>
      <w:r>
        <w:t>dívida</w:t>
      </w:r>
      <w:r>
        <w:rPr>
          <w:spacing w:val="-2"/>
        </w:rPr>
        <w:t xml:space="preserve"> </w:t>
      </w:r>
      <w:r>
        <w:t>com</w:t>
      </w:r>
      <w:r>
        <w:rPr>
          <w:spacing w:val="-2"/>
        </w:rPr>
        <w:t xml:space="preserve"> </w:t>
      </w:r>
      <w:r>
        <w:t>a</w:t>
      </w:r>
      <w:r>
        <w:rPr>
          <w:spacing w:val="-2"/>
        </w:rPr>
        <w:t xml:space="preserve"> </w:t>
      </w:r>
      <w:r>
        <w:t>municipalidade,</w:t>
      </w:r>
      <w:r>
        <w:rPr>
          <w:spacing w:val="-2"/>
        </w:rPr>
        <w:t xml:space="preserve"> </w:t>
      </w:r>
      <w:r>
        <w:t>muitos</w:t>
      </w:r>
      <w:r>
        <w:rPr>
          <w:spacing w:val="-2"/>
        </w:rPr>
        <w:t xml:space="preserve"> </w:t>
      </w:r>
      <w:r>
        <w:t>com débitos anteriores à aplicação da alíquota progressiva no tempo, de modo que a intensão sancionatória e indutora da função social da propriedade pela utilização do IPTU progressivo também se apresenta pouco efetiva, diante do abandono das propriedades, muito provavelmente, pela impossibilidade de pagamento das dívidas a elas relacionadas.</w:t>
      </w:r>
    </w:p>
    <w:p w:rsidR="007259F2" w:rsidRDefault="00E655B4">
      <w:pPr>
        <w:pStyle w:val="Corpodetexto"/>
        <w:spacing w:before="1"/>
        <w:ind w:right="422"/>
      </w:pPr>
      <w:r>
        <w:t>CEPEUC identificou, também, que dentre os 122 imóveis que estão com ITPU majorado na 5ª alíquota, 3 deles encontram-se sem dívidas ou débitos de IPTU. Nota-se que para esses proprietários, o aumento dos gastos com o referido imposto também não foi capaz de incentivá-los a dar cumprimento à função social da propriedade.</w:t>
      </w:r>
    </w:p>
    <w:p w:rsidR="007259F2" w:rsidRDefault="00E655B4">
      <w:pPr>
        <w:pStyle w:val="Corpodetexto"/>
        <w:ind w:right="423"/>
      </w:pPr>
      <w:r>
        <w:t>Diante</w:t>
      </w:r>
      <w:r>
        <w:rPr>
          <w:spacing w:val="-1"/>
        </w:rPr>
        <w:t xml:space="preserve"> </w:t>
      </w:r>
      <w:r>
        <w:t>desse cenário de</w:t>
      </w:r>
      <w:r>
        <w:rPr>
          <w:spacing w:val="-2"/>
        </w:rPr>
        <w:t xml:space="preserve"> </w:t>
      </w:r>
      <w:r>
        <w:t>resposta</w:t>
      </w:r>
      <w:r>
        <w:rPr>
          <w:spacing w:val="-2"/>
        </w:rPr>
        <w:t xml:space="preserve"> </w:t>
      </w:r>
      <w:r>
        <w:t>pouco</w:t>
      </w:r>
      <w:r>
        <w:rPr>
          <w:spacing w:val="-1"/>
        </w:rPr>
        <w:t xml:space="preserve"> </w:t>
      </w:r>
      <w:r>
        <w:t>expressiva ao</w:t>
      </w:r>
      <w:r>
        <w:rPr>
          <w:spacing w:val="-1"/>
        </w:rPr>
        <w:t xml:space="preserve"> </w:t>
      </w:r>
      <w:r>
        <w:t>PEUC e</w:t>
      </w:r>
      <w:r>
        <w:rPr>
          <w:spacing w:val="-2"/>
        </w:rPr>
        <w:t xml:space="preserve"> </w:t>
      </w:r>
      <w:r>
        <w:t>ao IPTU</w:t>
      </w:r>
      <w:r>
        <w:rPr>
          <w:spacing w:val="-1"/>
        </w:rPr>
        <w:t xml:space="preserve"> </w:t>
      </w:r>
      <w:r>
        <w:t>progressivo no tempo e em que há uma grande parcela de imóveis com IPTU majorado na 5ª alíquota, se faz necessária a aplicação de instrumentos que envolvam maior participação do Poder Público e maior interferência sobre direito de propriedade, tal como a desapropriação com pagamento mediante</w:t>
      </w:r>
      <w:r>
        <w:rPr>
          <w:spacing w:val="-9"/>
        </w:rPr>
        <w:t xml:space="preserve"> </w:t>
      </w:r>
      <w:r>
        <w:t>títulos</w:t>
      </w:r>
      <w:r>
        <w:rPr>
          <w:spacing w:val="-7"/>
        </w:rPr>
        <w:t xml:space="preserve"> </w:t>
      </w:r>
      <w:r>
        <w:t>da</w:t>
      </w:r>
      <w:r>
        <w:rPr>
          <w:spacing w:val="-9"/>
        </w:rPr>
        <w:t xml:space="preserve"> </w:t>
      </w:r>
      <w:r>
        <w:t>dívida</w:t>
      </w:r>
      <w:r>
        <w:rPr>
          <w:spacing w:val="-8"/>
        </w:rPr>
        <w:t xml:space="preserve"> </w:t>
      </w:r>
      <w:r>
        <w:t>pública,</w:t>
      </w:r>
      <w:r>
        <w:rPr>
          <w:spacing w:val="-5"/>
        </w:rPr>
        <w:t xml:space="preserve"> </w:t>
      </w:r>
      <w:r>
        <w:t>com</w:t>
      </w:r>
      <w:r>
        <w:rPr>
          <w:spacing w:val="-3"/>
        </w:rPr>
        <w:t xml:space="preserve"> </w:t>
      </w:r>
      <w:r>
        <w:t>a</w:t>
      </w:r>
      <w:r>
        <w:rPr>
          <w:spacing w:val="-9"/>
        </w:rPr>
        <w:t xml:space="preserve"> </w:t>
      </w:r>
      <w:r>
        <w:t>qual</w:t>
      </w:r>
      <w:r>
        <w:rPr>
          <w:spacing w:val="-5"/>
        </w:rPr>
        <w:t xml:space="preserve"> </w:t>
      </w:r>
      <w:r>
        <w:t>o</w:t>
      </w:r>
      <w:r>
        <w:rPr>
          <w:spacing w:val="-3"/>
        </w:rPr>
        <w:t xml:space="preserve"> </w:t>
      </w:r>
      <w:r>
        <w:t>Município</w:t>
      </w:r>
      <w:r>
        <w:rPr>
          <w:spacing w:val="-7"/>
        </w:rPr>
        <w:t xml:space="preserve"> </w:t>
      </w:r>
      <w:r>
        <w:t>pode</w:t>
      </w:r>
      <w:r>
        <w:rPr>
          <w:spacing w:val="-9"/>
        </w:rPr>
        <w:t xml:space="preserve"> </w:t>
      </w:r>
      <w:r>
        <w:t>incorporar</w:t>
      </w:r>
      <w:r>
        <w:rPr>
          <w:spacing w:val="-8"/>
        </w:rPr>
        <w:t xml:space="preserve"> </w:t>
      </w:r>
      <w:r>
        <w:t>os</w:t>
      </w:r>
      <w:r>
        <w:rPr>
          <w:spacing w:val="-8"/>
        </w:rPr>
        <w:t xml:space="preserve"> </w:t>
      </w:r>
      <w:r>
        <w:t>imóveis</w:t>
      </w:r>
      <w:r>
        <w:rPr>
          <w:spacing w:val="-7"/>
        </w:rPr>
        <w:t xml:space="preserve"> </w:t>
      </w:r>
      <w:r>
        <w:t>ociosos para aproveitá-los em projetos de moradia e infraestrutura.</w:t>
      </w:r>
    </w:p>
    <w:p w:rsidR="007259F2" w:rsidRDefault="007259F2">
      <w:pPr>
        <w:pStyle w:val="Corpodetexto"/>
        <w:sectPr w:rsidR="007259F2">
          <w:pgSz w:w="11910" w:h="16840"/>
          <w:pgMar w:top="1680" w:right="708" w:bottom="1020" w:left="992" w:header="0" w:footer="820" w:gutter="0"/>
          <w:cols w:space="720"/>
        </w:sectPr>
      </w:pPr>
    </w:p>
    <w:p w:rsidR="007259F2" w:rsidRDefault="00E655B4">
      <w:pPr>
        <w:pStyle w:val="Corpodetexto"/>
        <w:spacing w:before="75"/>
        <w:ind w:right="421"/>
      </w:pPr>
      <w:r>
        <w:lastRenderedPageBreak/>
        <w:t>Levando isso em conta, CEPEUC lançou mão do SEI 6068.2021/0007923-3, a fim de discutir</w:t>
      </w:r>
      <w:r>
        <w:rPr>
          <w:spacing w:val="-14"/>
        </w:rPr>
        <w:t xml:space="preserve"> </w:t>
      </w:r>
      <w:r>
        <w:t>a</w:t>
      </w:r>
      <w:r>
        <w:rPr>
          <w:spacing w:val="-14"/>
        </w:rPr>
        <w:t xml:space="preserve"> </w:t>
      </w:r>
      <w:r>
        <w:t>possibilidade</w:t>
      </w:r>
      <w:r>
        <w:rPr>
          <w:spacing w:val="-13"/>
        </w:rPr>
        <w:t xml:space="preserve"> </w:t>
      </w:r>
      <w:r>
        <w:t>de</w:t>
      </w:r>
      <w:r>
        <w:rPr>
          <w:spacing w:val="-14"/>
        </w:rPr>
        <w:t xml:space="preserve"> </w:t>
      </w:r>
      <w:r>
        <w:t>efetiva</w:t>
      </w:r>
      <w:r>
        <w:rPr>
          <w:spacing w:val="-11"/>
        </w:rPr>
        <w:t xml:space="preserve"> </w:t>
      </w:r>
      <w:r>
        <w:t>aplicação</w:t>
      </w:r>
      <w:r>
        <w:rPr>
          <w:spacing w:val="-12"/>
        </w:rPr>
        <w:t xml:space="preserve"> </w:t>
      </w:r>
      <w:r>
        <w:t>da</w:t>
      </w:r>
      <w:r>
        <w:rPr>
          <w:spacing w:val="-14"/>
        </w:rPr>
        <w:t xml:space="preserve"> </w:t>
      </w:r>
      <w:r>
        <w:t>desapropriação</w:t>
      </w:r>
      <w:r>
        <w:rPr>
          <w:spacing w:val="-7"/>
        </w:rPr>
        <w:t xml:space="preserve"> </w:t>
      </w:r>
      <w:r>
        <w:t>com</w:t>
      </w:r>
      <w:r>
        <w:rPr>
          <w:spacing w:val="-10"/>
        </w:rPr>
        <w:t xml:space="preserve"> </w:t>
      </w:r>
      <w:r>
        <w:t>pagamento</w:t>
      </w:r>
      <w:r>
        <w:rPr>
          <w:spacing w:val="-9"/>
        </w:rPr>
        <w:t xml:space="preserve"> </w:t>
      </w:r>
      <w:r>
        <w:t>mediante</w:t>
      </w:r>
      <w:r>
        <w:rPr>
          <w:spacing w:val="-13"/>
        </w:rPr>
        <w:t xml:space="preserve"> </w:t>
      </w:r>
      <w:r>
        <w:t>títulos da dívida pública, bem como de outros instrumentos existentes.</w:t>
      </w:r>
    </w:p>
    <w:p w:rsidR="007259F2" w:rsidRDefault="00E655B4">
      <w:pPr>
        <w:pStyle w:val="Heading2"/>
        <w:numPr>
          <w:ilvl w:val="0"/>
          <w:numId w:val="13"/>
        </w:numPr>
        <w:tabs>
          <w:tab w:val="left" w:pos="1134"/>
        </w:tabs>
        <w:spacing w:before="209" w:line="237" w:lineRule="auto"/>
        <w:ind w:left="1134" w:right="555"/>
        <w:jc w:val="both"/>
      </w:pPr>
      <w:r>
        <w:t>Desapropriação com pagamento mediante títulos da dívida pública – Desapropriação Sanção</w:t>
      </w:r>
    </w:p>
    <w:p w:rsidR="007259F2" w:rsidRDefault="00E655B4">
      <w:pPr>
        <w:pStyle w:val="Corpodetexto"/>
        <w:spacing w:before="116"/>
        <w:ind w:right="425"/>
      </w:pPr>
      <w:r>
        <w:t>Antes de adentrar na discussão do SEI 6068.2021/0007923-3, cabe fazer as devidas considerações relativas à desapropriação com pagamento mediante título da dívida pública, também conhecida como desapropriação sanção.</w:t>
      </w:r>
    </w:p>
    <w:p w:rsidR="007259F2" w:rsidRDefault="00E655B4">
      <w:pPr>
        <w:pStyle w:val="Corpodetexto"/>
        <w:ind w:left="1418" w:firstLine="0"/>
      </w:pPr>
      <w:r>
        <w:t>De</w:t>
      </w:r>
      <w:r>
        <w:rPr>
          <w:spacing w:val="-3"/>
        </w:rPr>
        <w:t xml:space="preserve"> </w:t>
      </w:r>
      <w:r>
        <w:t>acordo com</w:t>
      </w:r>
      <w:r>
        <w:rPr>
          <w:spacing w:val="-1"/>
        </w:rPr>
        <w:t xml:space="preserve"> </w:t>
      </w:r>
      <w:r>
        <w:t>o art. 99,</w:t>
      </w:r>
      <w:r>
        <w:rPr>
          <w:spacing w:val="-1"/>
        </w:rPr>
        <w:t xml:space="preserve"> </w:t>
      </w:r>
      <w:r>
        <w:t xml:space="preserve">caput, do </w:t>
      </w:r>
      <w:r>
        <w:rPr>
          <w:spacing w:val="-4"/>
        </w:rPr>
        <w:t>PDE:</w:t>
      </w:r>
    </w:p>
    <w:p w:rsidR="007259F2" w:rsidRDefault="00E655B4">
      <w:pPr>
        <w:spacing w:before="233"/>
        <w:ind w:left="2978" w:right="421"/>
        <w:jc w:val="both"/>
        <w:rPr>
          <w:sz w:val="20"/>
        </w:rPr>
      </w:pPr>
      <w:r>
        <w:rPr>
          <w:sz w:val="20"/>
        </w:rPr>
        <w:t>Decorrido</w:t>
      </w:r>
      <w:r>
        <w:rPr>
          <w:spacing w:val="-5"/>
          <w:sz w:val="20"/>
        </w:rPr>
        <w:t xml:space="preserve"> </w:t>
      </w:r>
      <w:r>
        <w:rPr>
          <w:sz w:val="20"/>
        </w:rPr>
        <w:t>o</w:t>
      </w:r>
      <w:r>
        <w:rPr>
          <w:spacing w:val="-9"/>
          <w:sz w:val="20"/>
        </w:rPr>
        <w:t xml:space="preserve"> </w:t>
      </w:r>
      <w:r>
        <w:rPr>
          <w:sz w:val="20"/>
        </w:rPr>
        <w:t>prazo</w:t>
      </w:r>
      <w:r>
        <w:rPr>
          <w:spacing w:val="-8"/>
          <w:sz w:val="20"/>
        </w:rPr>
        <w:t xml:space="preserve"> </w:t>
      </w:r>
      <w:r>
        <w:rPr>
          <w:sz w:val="20"/>
        </w:rPr>
        <w:t>de</w:t>
      </w:r>
      <w:r>
        <w:rPr>
          <w:spacing w:val="-8"/>
          <w:sz w:val="20"/>
        </w:rPr>
        <w:t xml:space="preserve"> </w:t>
      </w:r>
      <w:r>
        <w:rPr>
          <w:sz w:val="20"/>
        </w:rPr>
        <w:t>5</w:t>
      </w:r>
      <w:r>
        <w:rPr>
          <w:spacing w:val="-7"/>
          <w:sz w:val="20"/>
        </w:rPr>
        <w:t xml:space="preserve"> </w:t>
      </w:r>
      <w:r>
        <w:rPr>
          <w:sz w:val="20"/>
        </w:rPr>
        <w:t>(cinco)</w:t>
      </w:r>
      <w:r>
        <w:rPr>
          <w:spacing w:val="-11"/>
          <w:sz w:val="20"/>
        </w:rPr>
        <w:t xml:space="preserve"> </w:t>
      </w:r>
      <w:r>
        <w:rPr>
          <w:sz w:val="20"/>
        </w:rPr>
        <w:t>anos</w:t>
      </w:r>
      <w:r>
        <w:rPr>
          <w:spacing w:val="-8"/>
          <w:sz w:val="20"/>
        </w:rPr>
        <w:t xml:space="preserve"> </w:t>
      </w:r>
      <w:r>
        <w:rPr>
          <w:sz w:val="20"/>
        </w:rPr>
        <w:t>de</w:t>
      </w:r>
      <w:r>
        <w:rPr>
          <w:spacing w:val="-8"/>
          <w:sz w:val="20"/>
        </w:rPr>
        <w:t xml:space="preserve"> </w:t>
      </w:r>
      <w:r>
        <w:rPr>
          <w:sz w:val="20"/>
        </w:rPr>
        <w:t>cobrança</w:t>
      </w:r>
      <w:r>
        <w:rPr>
          <w:spacing w:val="-6"/>
          <w:sz w:val="20"/>
        </w:rPr>
        <w:t xml:space="preserve"> </w:t>
      </w:r>
      <w:r>
        <w:rPr>
          <w:sz w:val="20"/>
        </w:rPr>
        <w:t>do</w:t>
      </w:r>
      <w:r>
        <w:rPr>
          <w:spacing w:val="-7"/>
          <w:sz w:val="20"/>
        </w:rPr>
        <w:t xml:space="preserve"> </w:t>
      </w:r>
      <w:r>
        <w:rPr>
          <w:sz w:val="20"/>
        </w:rPr>
        <w:t>IPTU</w:t>
      </w:r>
      <w:r>
        <w:rPr>
          <w:spacing w:val="-7"/>
          <w:sz w:val="20"/>
        </w:rPr>
        <w:t xml:space="preserve"> </w:t>
      </w:r>
      <w:r>
        <w:rPr>
          <w:sz w:val="20"/>
        </w:rPr>
        <w:t>Progressivo</w:t>
      </w:r>
      <w:r>
        <w:rPr>
          <w:spacing w:val="-5"/>
          <w:sz w:val="20"/>
        </w:rPr>
        <w:t xml:space="preserve"> </w:t>
      </w:r>
      <w:r>
        <w:rPr>
          <w:sz w:val="20"/>
        </w:rPr>
        <w:t>no</w:t>
      </w:r>
      <w:r>
        <w:rPr>
          <w:spacing w:val="-7"/>
          <w:sz w:val="20"/>
        </w:rPr>
        <w:t xml:space="preserve"> </w:t>
      </w:r>
      <w:r>
        <w:rPr>
          <w:sz w:val="20"/>
        </w:rPr>
        <w:t>Tempo</w:t>
      </w:r>
      <w:r>
        <w:rPr>
          <w:spacing w:val="-6"/>
          <w:sz w:val="20"/>
        </w:rPr>
        <w:t xml:space="preserve"> </w:t>
      </w:r>
      <w:r>
        <w:rPr>
          <w:sz w:val="20"/>
        </w:rPr>
        <w:t xml:space="preserve">sem que os proprietários dos imóveis tenham cumprido a obrigação de parcelar, edificar ou utilizar, conforme o caso, a Prefeitura </w:t>
      </w:r>
      <w:r>
        <w:rPr>
          <w:sz w:val="20"/>
          <w:u w:val="single"/>
        </w:rPr>
        <w:t>poderá proceder à desapropriação desses</w:t>
      </w:r>
      <w:r>
        <w:rPr>
          <w:sz w:val="20"/>
        </w:rPr>
        <w:t xml:space="preserve"> </w:t>
      </w:r>
      <w:r>
        <w:rPr>
          <w:sz w:val="20"/>
          <w:u w:val="single"/>
        </w:rPr>
        <w:t>imóveis com pagamento em títulos da dívida pública</w:t>
      </w:r>
      <w:r>
        <w:rPr>
          <w:rFonts w:ascii="Arial MT" w:hAnsi="Arial MT"/>
          <w:color w:val="333333"/>
          <w:sz w:val="18"/>
        </w:rPr>
        <w:t xml:space="preserve">. </w:t>
      </w:r>
      <w:r>
        <w:rPr>
          <w:sz w:val="20"/>
        </w:rPr>
        <w:t>(g. n).</w:t>
      </w:r>
    </w:p>
    <w:p w:rsidR="007259F2" w:rsidRDefault="007259F2">
      <w:pPr>
        <w:pStyle w:val="Corpodetexto"/>
        <w:spacing w:before="110"/>
        <w:ind w:left="0" w:firstLine="0"/>
        <w:jc w:val="left"/>
        <w:rPr>
          <w:sz w:val="20"/>
        </w:rPr>
      </w:pPr>
    </w:p>
    <w:p w:rsidR="007259F2" w:rsidRDefault="00E655B4">
      <w:pPr>
        <w:pStyle w:val="Corpodetexto"/>
        <w:spacing w:before="1"/>
        <w:ind w:right="424"/>
      </w:pPr>
      <w:r>
        <w:t>Veja-se que a desapropriação sanção pode ou não ser decretada pela Prefeitura, resultando,</w:t>
      </w:r>
      <w:r>
        <w:rPr>
          <w:spacing w:val="-2"/>
        </w:rPr>
        <w:t xml:space="preserve"> </w:t>
      </w:r>
      <w:r>
        <w:t>portanto,</w:t>
      </w:r>
      <w:r>
        <w:rPr>
          <w:spacing w:val="-1"/>
        </w:rPr>
        <w:t xml:space="preserve"> </w:t>
      </w:r>
      <w:r>
        <w:t>do</w:t>
      </w:r>
      <w:r>
        <w:rPr>
          <w:spacing w:val="-4"/>
        </w:rPr>
        <w:t xml:space="preserve"> </w:t>
      </w:r>
      <w:r>
        <w:t>poder</w:t>
      </w:r>
      <w:r>
        <w:rPr>
          <w:spacing w:val="-3"/>
        </w:rPr>
        <w:t xml:space="preserve"> </w:t>
      </w:r>
      <w:r>
        <w:t>discricionário</w:t>
      </w:r>
      <w:r>
        <w:rPr>
          <w:spacing w:val="-3"/>
        </w:rPr>
        <w:t xml:space="preserve"> </w:t>
      </w:r>
      <w:r>
        <w:t>da</w:t>
      </w:r>
      <w:r>
        <w:rPr>
          <w:spacing w:val="-3"/>
        </w:rPr>
        <w:t xml:space="preserve"> </w:t>
      </w:r>
      <w:r>
        <w:t>Administração Pública,</w:t>
      </w:r>
      <w:r>
        <w:rPr>
          <w:spacing w:val="-1"/>
        </w:rPr>
        <w:t xml:space="preserve"> </w:t>
      </w:r>
      <w:r>
        <w:t>o</w:t>
      </w:r>
      <w:r>
        <w:rPr>
          <w:spacing w:val="-2"/>
        </w:rPr>
        <w:t xml:space="preserve"> </w:t>
      </w:r>
      <w:r>
        <w:t>qual,</w:t>
      </w:r>
      <w:r>
        <w:rPr>
          <w:spacing w:val="-1"/>
        </w:rPr>
        <w:t xml:space="preserve"> </w:t>
      </w:r>
      <w:r>
        <w:t>de</w:t>
      </w:r>
      <w:r>
        <w:rPr>
          <w:spacing w:val="-3"/>
        </w:rPr>
        <w:t xml:space="preserve"> </w:t>
      </w:r>
      <w:r>
        <w:t>acordo</w:t>
      </w:r>
      <w:r>
        <w:rPr>
          <w:spacing w:val="-2"/>
        </w:rPr>
        <w:t xml:space="preserve"> </w:t>
      </w:r>
      <w:r>
        <w:t>com Celso Antônio Bandeira de Mello:</w:t>
      </w:r>
    </w:p>
    <w:p w:rsidR="007259F2" w:rsidRDefault="007259F2">
      <w:pPr>
        <w:pStyle w:val="Corpodetexto"/>
        <w:spacing w:before="1"/>
        <w:ind w:left="0" w:firstLine="0"/>
        <w:jc w:val="left"/>
      </w:pPr>
    </w:p>
    <w:p w:rsidR="007259F2" w:rsidRDefault="00E655B4">
      <w:pPr>
        <w:ind w:left="2978" w:right="424"/>
        <w:jc w:val="both"/>
        <w:rPr>
          <w:sz w:val="20"/>
        </w:rPr>
      </w:pPr>
      <w:r>
        <w:rPr>
          <w:sz w:val="20"/>
        </w:rPr>
        <w:t>é a margem de liberdade que remanesça ao administrador para eleger, segundo critérios consistentes de razoabilidade, um, dentre pelo menos dois comportamentos cabíveis, perante cada caso concreto, a fim de cumprir o dever de adotar a solução mais adequada à satisfação da finalidade legal, quando, por força da fluidez das expressões</w:t>
      </w:r>
      <w:r>
        <w:rPr>
          <w:spacing w:val="-5"/>
          <w:sz w:val="20"/>
        </w:rPr>
        <w:t xml:space="preserve"> </w:t>
      </w:r>
      <w:r>
        <w:rPr>
          <w:sz w:val="20"/>
        </w:rPr>
        <w:t>da</w:t>
      </w:r>
      <w:r>
        <w:rPr>
          <w:spacing w:val="-5"/>
          <w:sz w:val="20"/>
        </w:rPr>
        <w:t xml:space="preserve"> </w:t>
      </w:r>
      <w:r>
        <w:rPr>
          <w:sz w:val="20"/>
        </w:rPr>
        <w:t>lei</w:t>
      </w:r>
      <w:r>
        <w:rPr>
          <w:spacing w:val="-5"/>
          <w:sz w:val="20"/>
        </w:rPr>
        <w:t xml:space="preserve"> </w:t>
      </w:r>
      <w:r>
        <w:rPr>
          <w:sz w:val="20"/>
        </w:rPr>
        <w:t>ou</w:t>
      </w:r>
      <w:r>
        <w:rPr>
          <w:spacing w:val="-7"/>
          <w:sz w:val="20"/>
        </w:rPr>
        <w:t xml:space="preserve"> </w:t>
      </w:r>
      <w:r>
        <w:rPr>
          <w:sz w:val="20"/>
        </w:rPr>
        <w:t>da</w:t>
      </w:r>
      <w:r>
        <w:rPr>
          <w:spacing w:val="-5"/>
          <w:sz w:val="20"/>
        </w:rPr>
        <w:t xml:space="preserve"> </w:t>
      </w:r>
      <w:r>
        <w:rPr>
          <w:sz w:val="20"/>
        </w:rPr>
        <w:t>liberdade</w:t>
      </w:r>
      <w:r>
        <w:rPr>
          <w:spacing w:val="-5"/>
          <w:sz w:val="20"/>
        </w:rPr>
        <w:t xml:space="preserve"> </w:t>
      </w:r>
      <w:r>
        <w:rPr>
          <w:sz w:val="20"/>
        </w:rPr>
        <w:t>conferida</w:t>
      </w:r>
      <w:r>
        <w:rPr>
          <w:spacing w:val="-5"/>
          <w:sz w:val="20"/>
        </w:rPr>
        <w:t xml:space="preserve"> </w:t>
      </w:r>
      <w:r>
        <w:rPr>
          <w:sz w:val="20"/>
        </w:rPr>
        <w:t>no</w:t>
      </w:r>
      <w:r>
        <w:rPr>
          <w:spacing w:val="-5"/>
          <w:sz w:val="20"/>
        </w:rPr>
        <w:t xml:space="preserve"> </w:t>
      </w:r>
      <w:r>
        <w:rPr>
          <w:sz w:val="20"/>
        </w:rPr>
        <w:t>mandamento,</w:t>
      </w:r>
      <w:r>
        <w:rPr>
          <w:spacing w:val="-6"/>
          <w:sz w:val="20"/>
        </w:rPr>
        <w:t xml:space="preserve"> </w:t>
      </w:r>
      <w:r>
        <w:rPr>
          <w:sz w:val="20"/>
        </w:rPr>
        <w:t>dela</w:t>
      </w:r>
      <w:r>
        <w:rPr>
          <w:spacing w:val="-5"/>
          <w:sz w:val="20"/>
        </w:rPr>
        <w:t xml:space="preserve"> </w:t>
      </w:r>
      <w:r>
        <w:rPr>
          <w:sz w:val="20"/>
        </w:rPr>
        <w:t>não</w:t>
      </w:r>
      <w:r>
        <w:rPr>
          <w:spacing w:val="-5"/>
          <w:sz w:val="20"/>
        </w:rPr>
        <w:t xml:space="preserve"> </w:t>
      </w:r>
      <w:r>
        <w:rPr>
          <w:sz w:val="20"/>
        </w:rPr>
        <w:t>se</w:t>
      </w:r>
      <w:r>
        <w:rPr>
          <w:spacing w:val="-5"/>
          <w:sz w:val="20"/>
        </w:rPr>
        <w:t xml:space="preserve"> </w:t>
      </w:r>
      <w:r>
        <w:rPr>
          <w:sz w:val="20"/>
        </w:rPr>
        <w:t>possa</w:t>
      </w:r>
      <w:r>
        <w:rPr>
          <w:spacing w:val="-5"/>
          <w:sz w:val="20"/>
        </w:rPr>
        <w:t xml:space="preserve"> </w:t>
      </w:r>
      <w:r>
        <w:rPr>
          <w:sz w:val="20"/>
        </w:rPr>
        <w:t xml:space="preserve">extrair objetivamente, uma solução unívoca para a situação vertente. </w:t>
      </w:r>
      <w:r>
        <w:rPr>
          <w:color w:val="393939"/>
          <w:sz w:val="18"/>
        </w:rPr>
        <w:t>(</w:t>
      </w:r>
      <w:r>
        <w:rPr>
          <w:sz w:val="20"/>
        </w:rPr>
        <w:t xml:space="preserve">MELLO, Celso Antônio Bandeira de. </w:t>
      </w:r>
      <w:r>
        <w:rPr>
          <w:b/>
          <w:sz w:val="20"/>
        </w:rPr>
        <w:t>Discricionariedade e controle jurisdicional</w:t>
      </w:r>
      <w:r>
        <w:rPr>
          <w:sz w:val="20"/>
        </w:rPr>
        <w:t>, p. 48)</w:t>
      </w:r>
    </w:p>
    <w:p w:rsidR="007259F2" w:rsidRDefault="007259F2">
      <w:pPr>
        <w:pStyle w:val="Corpodetexto"/>
        <w:spacing w:before="46"/>
        <w:ind w:left="0" w:firstLine="0"/>
        <w:jc w:val="left"/>
        <w:rPr>
          <w:sz w:val="20"/>
        </w:rPr>
      </w:pPr>
    </w:p>
    <w:p w:rsidR="007259F2" w:rsidRDefault="00E655B4">
      <w:pPr>
        <w:pStyle w:val="Corpodetexto"/>
        <w:ind w:right="421"/>
      </w:pPr>
      <w:r>
        <w:t>Nesse sentido, é possível afirmar que o Município pode escolher entre promover a desapropriação do imóvel que alcançou a 5ª alíquota do IPTU progressivo, ou continuar exigindo tal imposto. Trata-se</w:t>
      </w:r>
      <w:r>
        <w:rPr>
          <w:spacing w:val="-2"/>
        </w:rPr>
        <w:t xml:space="preserve"> </w:t>
      </w:r>
      <w:r>
        <w:t>de dois comportamentos possíveis do Poder Público municipal, orçamentários, financeiros e utilitários, bem como os requisitos de aplicação.</w:t>
      </w:r>
    </w:p>
    <w:p w:rsidR="007259F2" w:rsidRDefault="00E655B4">
      <w:pPr>
        <w:pStyle w:val="Corpodetexto"/>
        <w:ind w:right="422"/>
      </w:pPr>
      <w:r>
        <w:t>Apesar de haver discricionariedade na aplicação da desapropriação dos imóveis ociosos, a decisão quanto a isso não é livre, pois a atuação da Prefeitura encontra-se limitada pelo</w:t>
      </w:r>
      <w:r>
        <w:rPr>
          <w:spacing w:val="-1"/>
        </w:rPr>
        <w:t xml:space="preserve"> </w:t>
      </w:r>
      <w:r>
        <w:t>exposto</w:t>
      </w:r>
      <w:r>
        <w:rPr>
          <w:spacing w:val="-4"/>
        </w:rPr>
        <w:t xml:space="preserve"> </w:t>
      </w:r>
      <w:r>
        <w:t>no</w:t>
      </w:r>
      <w:r>
        <w:rPr>
          <w:spacing w:val="-1"/>
        </w:rPr>
        <w:t xml:space="preserve"> </w:t>
      </w:r>
      <w:r>
        <w:t>art.</w:t>
      </w:r>
      <w:r>
        <w:rPr>
          <w:spacing w:val="-2"/>
        </w:rPr>
        <w:t xml:space="preserve"> </w:t>
      </w:r>
      <w:r>
        <w:t>99,</w:t>
      </w:r>
      <w:r>
        <w:rPr>
          <w:spacing w:val="-1"/>
        </w:rPr>
        <w:t xml:space="preserve"> </w:t>
      </w:r>
      <w:r>
        <w:t>§1º,</w:t>
      </w:r>
      <w:r>
        <w:rPr>
          <w:spacing w:val="-1"/>
        </w:rPr>
        <w:t xml:space="preserve"> </w:t>
      </w:r>
      <w:r>
        <w:t>do</w:t>
      </w:r>
      <w:r>
        <w:rPr>
          <w:spacing w:val="-1"/>
        </w:rPr>
        <w:t xml:space="preserve"> </w:t>
      </w:r>
      <w:r>
        <w:t>PDE,</w:t>
      </w:r>
      <w:r>
        <w:rPr>
          <w:spacing w:val="-2"/>
        </w:rPr>
        <w:t xml:space="preserve"> </w:t>
      </w:r>
      <w:r>
        <w:t>segundo</w:t>
      </w:r>
      <w:r>
        <w:rPr>
          <w:spacing w:val="-1"/>
        </w:rPr>
        <w:t xml:space="preserve"> </w:t>
      </w:r>
      <w:r>
        <w:t>o</w:t>
      </w:r>
      <w:r>
        <w:rPr>
          <w:spacing w:val="-1"/>
        </w:rPr>
        <w:t xml:space="preserve"> </w:t>
      </w:r>
      <w:r>
        <w:t>qual</w:t>
      </w:r>
      <w:r>
        <w:rPr>
          <w:spacing w:val="-1"/>
        </w:rPr>
        <w:t xml:space="preserve"> </w:t>
      </w:r>
      <w:r>
        <w:t>os</w:t>
      </w:r>
      <w:r>
        <w:rPr>
          <w:spacing w:val="-1"/>
        </w:rPr>
        <w:t xml:space="preserve"> </w:t>
      </w:r>
      <w:r>
        <w:t>títulos</w:t>
      </w:r>
      <w:r>
        <w:rPr>
          <w:spacing w:val="-1"/>
        </w:rPr>
        <w:t xml:space="preserve"> </w:t>
      </w:r>
      <w:r>
        <w:t>da</w:t>
      </w:r>
      <w:r>
        <w:rPr>
          <w:spacing w:val="-3"/>
        </w:rPr>
        <w:t xml:space="preserve"> </w:t>
      </w:r>
      <w:r>
        <w:t>dívida</w:t>
      </w:r>
      <w:r>
        <w:rPr>
          <w:spacing w:val="-4"/>
        </w:rPr>
        <w:t xml:space="preserve"> </w:t>
      </w:r>
      <w:r>
        <w:t>pública</w:t>
      </w:r>
      <w:r>
        <w:rPr>
          <w:spacing w:val="-2"/>
        </w:rPr>
        <w:t xml:space="preserve"> </w:t>
      </w:r>
      <w:r>
        <w:t>dependem</w:t>
      </w:r>
      <w:r>
        <w:rPr>
          <w:spacing w:val="-1"/>
        </w:rPr>
        <w:t xml:space="preserve"> </w:t>
      </w:r>
      <w:r>
        <w:t>de prévia</w:t>
      </w:r>
      <w:r>
        <w:rPr>
          <w:spacing w:val="-11"/>
        </w:rPr>
        <w:t xml:space="preserve"> </w:t>
      </w:r>
      <w:r>
        <w:t>aprovação</w:t>
      </w:r>
      <w:r>
        <w:rPr>
          <w:spacing w:val="-10"/>
        </w:rPr>
        <w:t xml:space="preserve"> </w:t>
      </w:r>
      <w:r>
        <w:t>do</w:t>
      </w:r>
      <w:r>
        <w:rPr>
          <w:spacing w:val="-11"/>
        </w:rPr>
        <w:t xml:space="preserve"> </w:t>
      </w:r>
      <w:r>
        <w:t>Senado</w:t>
      </w:r>
      <w:r>
        <w:rPr>
          <w:spacing w:val="-10"/>
        </w:rPr>
        <w:t xml:space="preserve"> </w:t>
      </w:r>
      <w:r>
        <w:t>Federal</w:t>
      </w:r>
      <w:r>
        <w:rPr>
          <w:spacing w:val="-7"/>
        </w:rPr>
        <w:t xml:space="preserve"> </w:t>
      </w:r>
      <w:r>
        <w:t>e</w:t>
      </w:r>
      <w:r>
        <w:rPr>
          <w:spacing w:val="-14"/>
        </w:rPr>
        <w:t xml:space="preserve"> </w:t>
      </w:r>
      <w:r>
        <w:t>serão</w:t>
      </w:r>
      <w:r>
        <w:rPr>
          <w:spacing w:val="-10"/>
        </w:rPr>
        <w:t xml:space="preserve"> </w:t>
      </w:r>
      <w:r>
        <w:t>resgatados</w:t>
      </w:r>
      <w:r>
        <w:rPr>
          <w:spacing w:val="-9"/>
        </w:rPr>
        <w:t xml:space="preserve"> </w:t>
      </w:r>
      <w:r>
        <w:t>no</w:t>
      </w:r>
      <w:r>
        <w:rPr>
          <w:spacing w:val="-11"/>
        </w:rPr>
        <w:t xml:space="preserve"> </w:t>
      </w:r>
      <w:r>
        <w:t>prazo</w:t>
      </w:r>
      <w:r>
        <w:rPr>
          <w:spacing w:val="-10"/>
        </w:rPr>
        <w:t xml:space="preserve"> </w:t>
      </w:r>
      <w:r>
        <w:t>de</w:t>
      </w:r>
      <w:r>
        <w:rPr>
          <w:spacing w:val="-14"/>
        </w:rPr>
        <w:t xml:space="preserve"> </w:t>
      </w:r>
      <w:r>
        <w:t>até</w:t>
      </w:r>
      <w:r>
        <w:rPr>
          <w:spacing w:val="-11"/>
        </w:rPr>
        <w:t xml:space="preserve"> </w:t>
      </w:r>
      <w:r>
        <w:t>dez</w:t>
      </w:r>
      <w:r>
        <w:rPr>
          <w:spacing w:val="-6"/>
        </w:rPr>
        <w:t xml:space="preserve"> </w:t>
      </w:r>
      <w:r>
        <w:t>anos,</w:t>
      </w:r>
      <w:r>
        <w:rPr>
          <w:spacing w:val="-10"/>
        </w:rPr>
        <w:t xml:space="preserve"> </w:t>
      </w:r>
      <w:r>
        <w:t>em</w:t>
      </w:r>
      <w:r>
        <w:rPr>
          <w:spacing w:val="-10"/>
        </w:rPr>
        <w:t xml:space="preserve"> </w:t>
      </w:r>
      <w:r>
        <w:t>prestações anuais, iguais e sucessivas, assegurados o valor real da indenização e os juros legais.</w:t>
      </w:r>
    </w:p>
    <w:p w:rsidR="007259F2" w:rsidRDefault="00E655B4">
      <w:pPr>
        <w:pStyle w:val="Corpodetexto"/>
        <w:spacing w:before="1"/>
        <w:ind w:right="422"/>
        <w:jc w:val="right"/>
      </w:pPr>
      <w:r>
        <w:t>Assim,</w:t>
      </w:r>
      <w:r>
        <w:rPr>
          <w:spacing w:val="40"/>
        </w:rPr>
        <w:t xml:space="preserve"> </w:t>
      </w:r>
      <w:r>
        <w:t>ainda</w:t>
      </w:r>
      <w:r>
        <w:rPr>
          <w:spacing w:val="40"/>
        </w:rPr>
        <w:t xml:space="preserve"> </w:t>
      </w:r>
      <w:r>
        <w:t>que</w:t>
      </w:r>
      <w:r>
        <w:rPr>
          <w:spacing w:val="40"/>
        </w:rPr>
        <w:t xml:space="preserve"> </w:t>
      </w:r>
      <w:r>
        <w:t>a</w:t>
      </w:r>
      <w:r>
        <w:rPr>
          <w:spacing w:val="40"/>
        </w:rPr>
        <w:t xml:space="preserve"> </w:t>
      </w:r>
      <w:r>
        <w:t>Prefeitura</w:t>
      </w:r>
      <w:r>
        <w:rPr>
          <w:spacing w:val="40"/>
        </w:rPr>
        <w:t xml:space="preserve"> </w:t>
      </w:r>
      <w:r>
        <w:t>pretenda</w:t>
      </w:r>
      <w:r>
        <w:rPr>
          <w:spacing w:val="40"/>
        </w:rPr>
        <w:t xml:space="preserve"> </w:t>
      </w:r>
      <w:r>
        <w:t>aplicar</w:t>
      </w:r>
      <w:r>
        <w:rPr>
          <w:spacing w:val="40"/>
        </w:rPr>
        <w:t xml:space="preserve"> </w:t>
      </w:r>
      <w:r>
        <w:t>a</w:t>
      </w:r>
      <w:r>
        <w:rPr>
          <w:spacing w:val="40"/>
        </w:rPr>
        <w:t xml:space="preserve"> </w:t>
      </w:r>
      <w:r>
        <w:t>desapropriação</w:t>
      </w:r>
      <w:r>
        <w:rPr>
          <w:spacing w:val="40"/>
        </w:rPr>
        <w:t xml:space="preserve"> </w:t>
      </w:r>
      <w:r>
        <w:t>com</w:t>
      </w:r>
      <w:r>
        <w:rPr>
          <w:spacing w:val="40"/>
        </w:rPr>
        <w:t xml:space="preserve"> </w:t>
      </w:r>
      <w:r>
        <w:t>pagamento</w:t>
      </w:r>
      <w:r>
        <w:rPr>
          <w:spacing w:val="40"/>
        </w:rPr>
        <w:t xml:space="preserve"> </w:t>
      </w:r>
      <w:r>
        <w:t>mediante</w:t>
      </w:r>
      <w:r>
        <w:rPr>
          <w:spacing w:val="-11"/>
        </w:rPr>
        <w:t xml:space="preserve"> </w:t>
      </w:r>
      <w:r>
        <w:t>títulos</w:t>
      </w:r>
      <w:r>
        <w:rPr>
          <w:spacing w:val="-10"/>
        </w:rPr>
        <w:t xml:space="preserve"> </w:t>
      </w:r>
      <w:r>
        <w:t>da</w:t>
      </w:r>
      <w:r>
        <w:rPr>
          <w:spacing w:val="-14"/>
        </w:rPr>
        <w:t xml:space="preserve"> </w:t>
      </w:r>
      <w:r>
        <w:t>dívida</w:t>
      </w:r>
      <w:r>
        <w:rPr>
          <w:spacing w:val="-13"/>
        </w:rPr>
        <w:t xml:space="preserve"> </w:t>
      </w:r>
      <w:r>
        <w:t>pública</w:t>
      </w:r>
      <w:r>
        <w:rPr>
          <w:spacing w:val="-11"/>
        </w:rPr>
        <w:t xml:space="preserve"> </w:t>
      </w:r>
      <w:r>
        <w:t>nos</w:t>
      </w:r>
      <w:r>
        <w:rPr>
          <w:spacing w:val="-8"/>
        </w:rPr>
        <w:t xml:space="preserve"> </w:t>
      </w:r>
      <w:r>
        <w:t>casos</w:t>
      </w:r>
      <w:r>
        <w:rPr>
          <w:spacing w:val="-10"/>
        </w:rPr>
        <w:t xml:space="preserve"> </w:t>
      </w:r>
      <w:r>
        <w:t>pertinentes,</w:t>
      </w:r>
      <w:r>
        <w:rPr>
          <w:spacing w:val="-10"/>
        </w:rPr>
        <w:t xml:space="preserve"> </w:t>
      </w:r>
      <w:r>
        <w:t>esta</w:t>
      </w:r>
      <w:r>
        <w:rPr>
          <w:spacing w:val="-11"/>
        </w:rPr>
        <w:t xml:space="preserve"> </w:t>
      </w:r>
      <w:r>
        <w:t>subordina-se</w:t>
      </w:r>
      <w:r>
        <w:rPr>
          <w:spacing w:val="-12"/>
        </w:rPr>
        <w:t xml:space="preserve"> </w:t>
      </w:r>
      <w:r>
        <w:t>à</w:t>
      </w:r>
      <w:r>
        <w:rPr>
          <w:spacing w:val="-6"/>
        </w:rPr>
        <w:t xml:space="preserve"> </w:t>
      </w:r>
      <w:r>
        <w:t>vontade</w:t>
      </w:r>
      <w:r>
        <w:rPr>
          <w:spacing w:val="-14"/>
        </w:rPr>
        <w:t xml:space="preserve"> </w:t>
      </w:r>
      <w:r>
        <w:t>do</w:t>
      </w:r>
      <w:r>
        <w:rPr>
          <w:spacing w:val="-11"/>
        </w:rPr>
        <w:t xml:space="preserve"> </w:t>
      </w:r>
      <w:r>
        <w:t>Senado Federal,</w:t>
      </w:r>
      <w:r>
        <w:rPr>
          <w:spacing w:val="-8"/>
        </w:rPr>
        <w:t xml:space="preserve"> </w:t>
      </w:r>
      <w:r>
        <w:t>órgão</w:t>
      </w:r>
      <w:r>
        <w:rPr>
          <w:spacing w:val="-1"/>
        </w:rPr>
        <w:t xml:space="preserve"> </w:t>
      </w:r>
      <w:r>
        <w:t>externo</w:t>
      </w:r>
      <w:r>
        <w:rPr>
          <w:spacing w:val="-3"/>
        </w:rPr>
        <w:t xml:space="preserve"> </w:t>
      </w:r>
      <w:r>
        <w:t>ao Poder</w:t>
      </w:r>
      <w:r>
        <w:rPr>
          <w:spacing w:val="-3"/>
        </w:rPr>
        <w:t xml:space="preserve"> </w:t>
      </w:r>
      <w:r>
        <w:t>Público</w:t>
      </w:r>
      <w:r>
        <w:rPr>
          <w:spacing w:val="-3"/>
        </w:rPr>
        <w:t xml:space="preserve"> </w:t>
      </w:r>
      <w:r>
        <w:t>Municipal,</w:t>
      </w:r>
      <w:r>
        <w:rPr>
          <w:spacing w:val="-3"/>
        </w:rPr>
        <w:t xml:space="preserve"> </w:t>
      </w:r>
      <w:r>
        <w:t>o</w:t>
      </w:r>
      <w:r>
        <w:rPr>
          <w:spacing w:val="-3"/>
        </w:rPr>
        <w:t xml:space="preserve"> </w:t>
      </w:r>
      <w:r>
        <w:t>que</w:t>
      </w:r>
      <w:r>
        <w:rPr>
          <w:spacing w:val="-7"/>
        </w:rPr>
        <w:t xml:space="preserve"> </w:t>
      </w:r>
      <w:r>
        <w:t>dificulta</w:t>
      </w:r>
      <w:r>
        <w:rPr>
          <w:spacing w:val="-4"/>
        </w:rPr>
        <w:t xml:space="preserve"> </w:t>
      </w:r>
      <w:r>
        <w:t>a</w:t>
      </w:r>
      <w:r>
        <w:rPr>
          <w:spacing w:val="-6"/>
        </w:rPr>
        <w:t xml:space="preserve"> </w:t>
      </w:r>
      <w:r>
        <w:t>concretização</w:t>
      </w:r>
      <w:r>
        <w:rPr>
          <w:spacing w:val="-2"/>
        </w:rPr>
        <w:t xml:space="preserve"> </w:t>
      </w:r>
      <w:r>
        <w:t>da</w:t>
      </w:r>
      <w:r>
        <w:rPr>
          <w:spacing w:val="-4"/>
        </w:rPr>
        <w:t xml:space="preserve"> </w:t>
      </w:r>
      <w:r>
        <w:t>medida. Trata-se</w:t>
      </w:r>
      <w:r>
        <w:rPr>
          <w:spacing w:val="40"/>
        </w:rPr>
        <w:t xml:space="preserve"> </w:t>
      </w:r>
      <w:r>
        <w:t>de</w:t>
      </w:r>
      <w:r>
        <w:rPr>
          <w:spacing w:val="40"/>
        </w:rPr>
        <w:t xml:space="preserve"> </w:t>
      </w:r>
      <w:r>
        <w:t>previsão</w:t>
      </w:r>
      <w:r>
        <w:rPr>
          <w:spacing w:val="40"/>
        </w:rPr>
        <w:t xml:space="preserve"> </w:t>
      </w:r>
      <w:r>
        <w:t>decorrente</w:t>
      </w:r>
      <w:r>
        <w:rPr>
          <w:spacing w:val="40"/>
        </w:rPr>
        <w:t xml:space="preserve"> </w:t>
      </w:r>
      <w:r>
        <w:t>do</w:t>
      </w:r>
      <w:r>
        <w:rPr>
          <w:spacing w:val="40"/>
        </w:rPr>
        <w:t xml:space="preserve"> </w:t>
      </w:r>
      <w:r>
        <w:t>art.</w:t>
      </w:r>
      <w:r>
        <w:rPr>
          <w:spacing w:val="40"/>
        </w:rPr>
        <w:t xml:space="preserve"> </w:t>
      </w:r>
      <w:r>
        <w:t>52,</w:t>
      </w:r>
      <w:r>
        <w:rPr>
          <w:spacing w:val="40"/>
        </w:rPr>
        <w:t xml:space="preserve"> </w:t>
      </w:r>
      <w:r>
        <w:t>inciso</w:t>
      </w:r>
      <w:r>
        <w:rPr>
          <w:spacing w:val="40"/>
        </w:rPr>
        <w:t xml:space="preserve"> </w:t>
      </w:r>
      <w:r>
        <w:t>IX,</w:t>
      </w:r>
      <w:r>
        <w:rPr>
          <w:spacing w:val="40"/>
        </w:rPr>
        <w:t xml:space="preserve"> </w:t>
      </w:r>
      <w:r>
        <w:t>da</w:t>
      </w:r>
      <w:r>
        <w:rPr>
          <w:spacing w:val="40"/>
        </w:rPr>
        <w:t xml:space="preserve"> </w:t>
      </w:r>
      <w:r>
        <w:t>Constituição</w:t>
      </w:r>
      <w:r>
        <w:rPr>
          <w:spacing w:val="40"/>
        </w:rPr>
        <w:t xml:space="preserve"> </w:t>
      </w:r>
      <w:r>
        <w:t>Federal,</w:t>
      </w:r>
      <w:r>
        <w:rPr>
          <w:spacing w:val="40"/>
        </w:rPr>
        <w:t xml:space="preserve"> </w:t>
      </w:r>
      <w:r>
        <w:t>que estipula</w:t>
      </w:r>
      <w:r>
        <w:rPr>
          <w:spacing w:val="-11"/>
        </w:rPr>
        <w:t xml:space="preserve"> </w:t>
      </w:r>
      <w:r>
        <w:t>a</w:t>
      </w:r>
      <w:r>
        <w:rPr>
          <w:spacing w:val="-13"/>
        </w:rPr>
        <w:t xml:space="preserve"> </w:t>
      </w:r>
      <w:r>
        <w:t>competência</w:t>
      </w:r>
      <w:r>
        <w:rPr>
          <w:spacing w:val="-10"/>
        </w:rPr>
        <w:t xml:space="preserve"> </w:t>
      </w:r>
      <w:r>
        <w:t>privativa</w:t>
      </w:r>
      <w:r>
        <w:rPr>
          <w:spacing w:val="-11"/>
        </w:rPr>
        <w:t xml:space="preserve"> </w:t>
      </w:r>
      <w:r>
        <w:t>do</w:t>
      </w:r>
      <w:r>
        <w:rPr>
          <w:spacing w:val="-11"/>
        </w:rPr>
        <w:t xml:space="preserve"> </w:t>
      </w:r>
      <w:r>
        <w:t>Senado</w:t>
      </w:r>
      <w:r>
        <w:rPr>
          <w:spacing w:val="-10"/>
        </w:rPr>
        <w:t xml:space="preserve"> </w:t>
      </w:r>
      <w:r>
        <w:t>Federal</w:t>
      </w:r>
      <w:r>
        <w:rPr>
          <w:spacing w:val="-9"/>
        </w:rPr>
        <w:t xml:space="preserve"> </w:t>
      </w:r>
      <w:r>
        <w:t>no</w:t>
      </w:r>
      <w:r>
        <w:rPr>
          <w:spacing w:val="-8"/>
        </w:rPr>
        <w:t xml:space="preserve"> </w:t>
      </w:r>
      <w:r>
        <w:t>“estabelecimento</w:t>
      </w:r>
      <w:r>
        <w:rPr>
          <w:spacing w:val="-10"/>
        </w:rPr>
        <w:t xml:space="preserve"> </w:t>
      </w:r>
      <w:r>
        <w:t>de</w:t>
      </w:r>
      <w:r>
        <w:rPr>
          <w:spacing w:val="-9"/>
        </w:rPr>
        <w:t xml:space="preserve"> </w:t>
      </w:r>
      <w:r>
        <w:t>limites</w:t>
      </w:r>
      <w:r>
        <w:rPr>
          <w:spacing w:val="-10"/>
        </w:rPr>
        <w:t xml:space="preserve"> </w:t>
      </w:r>
      <w:r>
        <w:t>globais</w:t>
      </w:r>
      <w:r>
        <w:rPr>
          <w:spacing w:val="-10"/>
        </w:rPr>
        <w:t xml:space="preserve"> </w:t>
      </w:r>
      <w:r>
        <w:t>e</w:t>
      </w:r>
      <w:r>
        <w:rPr>
          <w:spacing w:val="-13"/>
        </w:rPr>
        <w:t xml:space="preserve"> </w:t>
      </w:r>
      <w:r>
        <w:t>de condições</w:t>
      </w:r>
      <w:r>
        <w:rPr>
          <w:spacing w:val="61"/>
        </w:rPr>
        <w:t xml:space="preserve"> </w:t>
      </w:r>
      <w:r>
        <w:t>para</w:t>
      </w:r>
      <w:r>
        <w:rPr>
          <w:spacing w:val="61"/>
        </w:rPr>
        <w:t xml:space="preserve"> </w:t>
      </w:r>
      <w:r>
        <w:t>o</w:t>
      </w:r>
      <w:r>
        <w:rPr>
          <w:spacing w:val="62"/>
        </w:rPr>
        <w:t xml:space="preserve"> </w:t>
      </w:r>
      <w:r>
        <w:t>montante</w:t>
      </w:r>
      <w:r>
        <w:rPr>
          <w:spacing w:val="60"/>
        </w:rPr>
        <w:t xml:space="preserve"> </w:t>
      </w:r>
      <w:r>
        <w:t>da</w:t>
      </w:r>
      <w:r>
        <w:rPr>
          <w:spacing w:val="63"/>
        </w:rPr>
        <w:t xml:space="preserve"> </w:t>
      </w:r>
      <w:r>
        <w:t>dívida</w:t>
      </w:r>
      <w:r>
        <w:rPr>
          <w:spacing w:val="60"/>
        </w:rPr>
        <w:t xml:space="preserve"> </w:t>
      </w:r>
      <w:r>
        <w:t>mobiliária</w:t>
      </w:r>
      <w:r>
        <w:rPr>
          <w:spacing w:val="61"/>
        </w:rPr>
        <w:t xml:space="preserve"> </w:t>
      </w:r>
      <w:r>
        <w:t>dos</w:t>
      </w:r>
      <w:r>
        <w:rPr>
          <w:spacing w:val="61"/>
        </w:rPr>
        <w:t xml:space="preserve"> </w:t>
      </w:r>
      <w:r>
        <w:t>Estados,</w:t>
      </w:r>
      <w:r>
        <w:rPr>
          <w:spacing w:val="61"/>
        </w:rPr>
        <w:t xml:space="preserve"> </w:t>
      </w:r>
      <w:r>
        <w:t>do</w:t>
      </w:r>
      <w:r>
        <w:rPr>
          <w:spacing w:val="63"/>
        </w:rPr>
        <w:t xml:space="preserve"> </w:t>
      </w:r>
      <w:r>
        <w:t>Distrito</w:t>
      </w:r>
      <w:r>
        <w:rPr>
          <w:spacing w:val="62"/>
        </w:rPr>
        <w:t xml:space="preserve"> </w:t>
      </w:r>
      <w:r>
        <w:t>Federal</w:t>
      </w:r>
      <w:r>
        <w:rPr>
          <w:spacing w:val="64"/>
        </w:rPr>
        <w:t xml:space="preserve"> </w:t>
      </w:r>
      <w:r>
        <w:t>e</w:t>
      </w:r>
      <w:r>
        <w:rPr>
          <w:spacing w:val="61"/>
        </w:rPr>
        <w:t xml:space="preserve"> </w:t>
      </w:r>
      <w:r>
        <w:rPr>
          <w:spacing w:val="-5"/>
        </w:rPr>
        <w:t>dos</w:t>
      </w:r>
    </w:p>
    <w:p w:rsidR="007259F2" w:rsidRDefault="00E655B4">
      <w:pPr>
        <w:pStyle w:val="Corpodetexto"/>
        <w:ind w:firstLine="0"/>
        <w:jc w:val="left"/>
      </w:pPr>
      <w:r>
        <w:rPr>
          <w:spacing w:val="-2"/>
        </w:rPr>
        <w:t>Municípios”.</w:t>
      </w:r>
    </w:p>
    <w:p w:rsidR="007259F2" w:rsidRDefault="00E655B4">
      <w:pPr>
        <w:pStyle w:val="Corpodetexto"/>
        <w:ind w:right="423"/>
        <w:rPr>
          <w:i/>
        </w:rPr>
      </w:pPr>
      <w:r>
        <w:t>Cumpre destacar, ainda, que o Senado Federal, utilizando-se da sua competência constitucional,</w:t>
      </w:r>
      <w:r>
        <w:rPr>
          <w:spacing w:val="-10"/>
        </w:rPr>
        <w:t xml:space="preserve"> </w:t>
      </w:r>
      <w:r>
        <w:t>promulgou</w:t>
      </w:r>
      <w:r>
        <w:rPr>
          <w:spacing w:val="-10"/>
        </w:rPr>
        <w:t xml:space="preserve"> </w:t>
      </w:r>
      <w:r>
        <w:t>a</w:t>
      </w:r>
      <w:r>
        <w:rPr>
          <w:spacing w:val="-14"/>
        </w:rPr>
        <w:t xml:space="preserve"> </w:t>
      </w:r>
      <w:r>
        <w:t>Resolução</w:t>
      </w:r>
      <w:r>
        <w:rPr>
          <w:spacing w:val="-10"/>
        </w:rPr>
        <w:t xml:space="preserve"> </w:t>
      </w:r>
      <w:r>
        <w:t>nº</w:t>
      </w:r>
      <w:r>
        <w:rPr>
          <w:spacing w:val="-11"/>
        </w:rPr>
        <w:t xml:space="preserve"> </w:t>
      </w:r>
      <w:r>
        <w:t>43/2001,</w:t>
      </w:r>
      <w:r>
        <w:rPr>
          <w:spacing w:val="-10"/>
        </w:rPr>
        <w:t xml:space="preserve"> </w:t>
      </w:r>
      <w:r>
        <w:t>cuja</w:t>
      </w:r>
      <w:r>
        <w:rPr>
          <w:spacing w:val="-11"/>
        </w:rPr>
        <w:t xml:space="preserve"> </w:t>
      </w:r>
      <w:r>
        <w:t>redação</w:t>
      </w:r>
      <w:r>
        <w:rPr>
          <w:spacing w:val="-10"/>
        </w:rPr>
        <w:t xml:space="preserve"> </w:t>
      </w:r>
      <w:r>
        <w:t>dada</w:t>
      </w:r>
      <w:r>
        <w:rPr>
          <w:spacing w:val="-9"/>
        </w:rPr>
        <w:t xml:space="preserve"> </w:t>
      </w:r>
      <w:r>
        <w:t>ao</w:t>
      </w:r>
      <w:r>
        <w:rPr>
          <w:spacing w:val="-11"/>
        </w:rPr>
        <w:t xml:space="preserve"> </w:t>
      </w:r>
      <w:r>
        <w:t>art.</w:t>
      </w:r>
      <w:r>
        <w:rPr>
          <w:spacing w:val="-10"/>
        </w:rPr>
        <w:t xml:space="preserve"> </w:t>
      </w:r>
      <w:r>
        <w:t>11</w:t>
      </w:r>
      <w:r>
        <w:rPr>
          <w:spacing w:val="-11"/>
        </w:rPr>
        <w:t xml:space="preserve"> </w:t>
      </w:r>
      <w:r>
        <w:t>pela</w:t>
      </w:r>
      <w:r>
        <w:rPr>
          <w:spacing w:val="-9"/>
        </w:rPr>
        <w:t xml:space="preserve"> </w:t>
      </w:r>
      <w:r>
        <w:t>Resolução nº 29/2009 prevê que “Até 31 de dezembro de 2020, os Estados, o Distrito Federal e os Municípios</w:t>
      </w:r>
      <w:r>
        <w:rPr>
          <w:spacing w:val="-10"/>
        </w:rPr>
        <w:t xml:space="preserve"> </w:t>
      </w:r>
      <w:r>
        <w:t>poderão</w:t>
      </w:r>
      <w:r>
        <w:rPr>
          <w:spacing w:val="-11"/>
        </w:rPr>
        <w:t xml:space="preserve"> </w:t>
      </w:r>
      <w:r>
        <w:t>emitir</w:t>
      </w:r>
      <w:r>
        <w:rPr>
          <w:spacing w:val="-10"/>
        </w:rPr>
        <w:t xml:space="preserve"> </w:t>
      </w:r>
      <w:r>
        <w:t>títulos</w:t>
      </w:r>
      <w:r>
        <w:rPr>
          <w:spacing w:val="-10"/>
        </w:rPr>
        <w:t xml:space="preserve"> </w:t>
      </w:r>
      <w:r>
        <w:t>da</w:t>
      </w:r>
      <w:r>
        <w:rPr>
          <w:spacing w:val="-14"/>
        </w:rPr>
        <w:t xml:space="preserve"> </w:t>
      </w:r>
      <w:r>
        <w:t>dívida</w:t>
      </w:r>
      <w:r>
        <w:rPr>
          <w:spacing w:val="-14"/>
        </w:rPr>
        <w:t xml:space="preserve"> </w:t>
      </w:r>
      <w:r>
        <w:t>pública</w:t>
      </w:r>
      <w:r>
        <w:rPr>
          <w:spacing w:val="-13"/>
        </w:rPr>
        <w:t xml:space="preserve"> </w:t>
      </w:r>
      <w:r>
        <w:t>no</w:t>
      </w:r>
      <w:r>
        <w:rPr>
          <w:spacing w:val="-11"/>
        </w:rPr>
        <w:t xml:space="preserve"> </w:t>
      </w:r>
      <w:r>
        <w:t>montante</w:t>
      </w:r>
      <w:r>
        <w:rPr>
          <w:spacing w:val="-11"/>
        </w:rPr>
        <w:t xml:space="preserve"> </w:t>
      </w:r>
      <w:r>
        <w:t>necessário</w:t>
      </w:r>
      <w:r>
        <w:rPr>
          <w:spacing w:val="-7"/>
        </w:rPr>
        <w:t xml:space="preserve"> </w:t>
      </w:r>
      <w:r>
        <w:t>ao</w:t>
      </w:r>
      <w:r>
        <w:rPr>
          <w:spacing w:val="-11"/>
        </w:rPr>
        <w:t xml:space="preserve"> </w:t>
      </w:r>
      <w:r>
        <w:t xml:space="preserve">refinanciamento do principal devidamente atualizado de suas obrigações, representadas por essa espécie de </w:t>
      </w:r>
      <w:r>
        <w:rPr>
          <w:spacing w:val="-2"/>
        </w:rPr>
        <w:t>títulos</w:t>
      </w:r>
      <w:r>
        <w:rPr>
          <w:i/>
          <w:spacing w:val="-2"/>
        </w:rPr>
        <w:t>".</w:t>
      </w:r>
    </w:p>
    <w:p w:rsidR="007259F2" w:rsidRDefault="007259F2">
      <w:pPr>
        <w:pStyle w:val="Corpodetexto"/>
        <w:rPr>
          <w:i/>
        </w:rPr>
        <w:sectPr w:rsidR="007259F2">
          <w:pgSz w:w="11910" w:h="16840"/>
          <w:pgMar w:top="1600" w:right="708" w:bottom="1020" w:left="992" w:header="0" w:footer="820" w:gutter="0"/>
          <w:cols w:space="720"/>
        </w:sectPr>
      </w:pPr>
    </w:p>
    <w:p w:rsidR="007259F2" w:rsidRDefault="00E655B4">
      <w:pPr>
        <w:pStyle w:val="Corpodetexto"/>
        <w:spacing w:before="75"/>
        <w:ind w:right="420"/>
      </w:pPr>
      <w:r>
        <w:lastRenderedPageBreak/>
        <w:t>Verifica-se, portanto, que os Municípios não poderiam emitir títulos da dívida pública para</w:t>
      </w:r>
      <w:r>
        <w:rPr>
          <w:spacing w:val="-1"/>
        </w:rPr>
        <w:t xml:space="preserve"> </w:t>
      </w:r>
      <w:r>
        <w:t>fins</w:t>
      </w:r>
      <w:r>
        <w:rPr>
          <w:spacing w:val="-1"/>
        </w:rPr>
        <w:t xml:space="preserve"> </w:t>
      </w:r>
      <w:r>
        <w:t>distintos</w:t>
      </w:r>
      <w:r>
        <w:rPr>
          <w:spacing w:val="-1"/>
        </w:rPr>
        <w:t xml:space="preserve"> </w:t>
      </w:r>
      <w:r>
        <w:t>ao</w:t>
      </w:r>
      <w:r>
        <w:rPr>
          <w:spacing w:val="-1"/>
        </w:rPr>
        <w:t xml:space="preserve"> </w:t>
      </w:r>
      <w:r>
        <w:t>refinanciamento</w:t>
      </w:r>
      <w:r>
        <w:rPr>
          <w:spacing w:val="-1"/>
        </w:rPr>
        <w:t xml:space="preserve"> </w:t>
      </w:r>
      <w:r>
        <w:t>de títulos</w:t>
      </w:r>
      <w:r>
        <w:rPr>
          <w:spacing w:val="-1"/>
        </w:rPr>
        <w:t xml:space="preserve"> </w:t>
      </w:r>
      <w:r>
        <w:t>já</w:t>
      </w:r>
      <w:r>
        <w:rPr>
          <w:spacing w:val="-2"/>
        </w:rPr>
        <w:t xml:space="preserve"> </w:t>
      </w:r>
      <w:r>
        <w:t>existentes, como</w:t>
      </w:r>
      <w:r>
        <w:rPr>
          <w:spacing w:val="-1"/>
        </w:rPr>
        <w:t xml:space="preserve"> </w:t>
      </w:r>
      <w:r>
        <w:t>no</w:t>
      </w:r>
      <w:r>
        <w:rPr>
          <w:spacing w:val="-1"/>
        </w:rPr>
        <w:t xml:space="preserve"> </w:t>
      </w:r>
      <w:r>
        <w:t>caso</w:t>
      </w:r>
      <w:r>
        <w:rPr>
          <w:spacing w:val="-1"/>
        </w:rPr>
        <w:t xml:space="preserve"> </w:t>
      </w:r>
      <w:r>
        <w:t>da desapropriação sanção, até 31 de dezembro de 2020.</w:t>
      </w:r>
    </w:p>
    <w:p w:rsidR="007259F2" w:rsidRDefault="00E655B4">
      <w:pPr>
        <w:pStyle w:val="Corpodetexto"/>
        <w:ind w:right="422"/>
      </w:pPr>
      <w:r>
        <w:t>Findo este prazo, CEPEUC promoveu a abertura do SEI 6068.2021/0007923-3, já citado,</w:t>
      </w:r>
      <w:r>
        <w:rPr>
          <w:spacing w:val="-6"/>
        </w:rPr>
        <w:t xml:space="preserve"> </w:t>
      </w:r>
      <w:r>
        <w:t>a</w:t>
      </w:r>
      <w:r>
        <w:rPr>
          <w:spacing w:val="-6"/>
        </w:rPr>
        <w:t xml:space="preserve"> </w:t>
      </w:r>
      <w:r>
        <w:t>fim</w:t>
      </w:r>
      <w:r>
        <w:rPr>
          <w:spacing w:val="-6"/>
        </w:rPr>
        <w:t xml:space="preserve"> </w:t>
      </w:r>
      <w:r>
        <w:t>de</w:t>
      </w:r>
      <w:r>
        <w:rPr>
          <w:spacing w:val="-6"/>
        </w:rPr>
        <w:t xml:space="preserve"> </w:t>
      </w:r>
      <w:r>
        <w:t>discorrer</w:t>
      </w:r>
      <w:r>
        <w:rPr>
          <w:spacing w:val="-1"/>
        </w:rPr>
        <w:t xml:space="preserve"> </w:t>
      </w:r>
      <w:r>
        <w:t>sobre</w:t>
      </w:r>
      <w:r>
        <w:rPr>
          <w:spacing w:val="-6"/>
        </w:rPr>
        <w:t xml:space="preserve"> </w:t>
      </w:r>
      <w:r>
        <w:t>a</w:t>
      </w:r>
      <w:r>
        <w:rPr>
          <w:spacing w:val="-2"/>
        </w:rPr>
        <w:t xml:space="preserve"> </w:t>
      </w:r>
      <w:r>
        <w:t>viabilidade</w:t>
      </w:r>
      <w:r>
        <w:rPr>
          <w:spacing w:val="-6"/>
        </w:rPr>
        <w:t xml:space="preserve"> </w:t>
      </w:r>
      <w:r>
        <w:t>da</w:t>
      </w:r>
      <w:r>
        <w:rPr>
          <w:spacing w:val="-2"/>
        </w:rPr>
        <w:t xml:space="preserve"> </w:t>
      </w:r>
      <w:r>
        <w:t>aplicação</w:t>
      </w:r>
      <w:r>
        <w:rPr>
          <w:spacing w:val="-3"/>
        </w:rPr>
        <w:t xml:space="preserve"> </w:t>
      </w:r>
      <w:r>
        <w:t>da</w:t>
      </w:r>
      <w:r>
        <w:rPr>
          <w:spacing w:val="-6"/>
        </w:rPr>
        <w:t xml:space="preserve"> </w:t>
      </w:r>
      <w:r>
        <w:t>desapropriação sanção</w:t>
      </w:r>
      <w:r>
        <w:rPr>
          <w:spacing w:val="-6"/>
        </w:rPr>
        <w:t xml:space="preserve"> </w:t>
      </w:r>
      <w:r>
        <w:t>já</w:t>
      </w:r>
      <w:r>
        <w:rPr>
          <w:spacing w:val="-4"/>
        </w:rPr>
        <w:t xml:space="preserve"> </w:t>
      </w:r>
      <w:r>
        <w:t>que</w:t>
      </w:r>
      <w:r>
        <w:rPr>
          <w:spacing w:val="-4"/>
        </w:rPr>
        <w:t xml:space="preserve"> </w:t>
      </w:r>
      <w:r>
        <w:t>não haveria mais o impedimento dos Municípios emitirem novos títulos da dívida pública.</w:t>
      </w:r>
    </w:p>
    <w:p w:rsidR="007259F2" w:rsidRDefault="00E655B4">
      <w:pPr>
        <w:pStyle w:val="Corpodetexto"/>
        <w:ind w:right="419"/>
      </w:pPr>
      <w:r>
        <w:t>No curso do referido SEI, no entanto, identificou-se outro possível impedimento à aplicação da desapropriação sanção pelo Município de São Paulo, qual seja, a existência de contrato firmado nos termos da Medida Provisória nº 2.185-35 de 24 de agosto de 2001, cujo art. 8º, inciso I, estabelece:</w:t>
      </w:r>
    </w:p>
    <w:p w:rsidR="007259F2" w:rsidRDefault="007259F2">
      <w:pPr>
        <w:pStyle w:val="Corpodetexto"/>
        <w:spacing w:before="2"/>
        <w:ind w:left="0" w:firstLine="0"/>
        <w:jc w:val="left"/>
      </w:pPr>
    </w:p>
    <w:p w:rsidR="007259F2" w:rsidRDefault="00E655B4">
      <w:pPr>
        <w:spacing w:line="229" w:lineRule="exact"/>
        <w:ind w:left="2978"/>
        <w:jc w:val="both"/>
        <w:rPr>
          <w:sz w:val="20"/>
        </w:rPr>
      </w:pPr>
      <w:r>
        <w:rPr>
          <w:sz w:val="20"/>
        </w:rPr>
        <w:t>Art.</w:t>
      </w:r>
      <w:r>
        <w:rPr>
          <w:spacing w:val="-7"/>
          <w:sz w:val="20"/>
        </w:rPr>
        <w:t xml:space="preserve"> </w:t>
      </w:r>
      <w:r>
        <w:rPr>
          <w:sz w:val="20"/>
        </w:rPr>
        <w:t>8º</w:t>
      </w:r>
      <w:r>
        <w:rPr>
          <w:spacing w:val="-4"/>
          <w:sz w:val="20"/>
        </w:rPr>
        <w:t xml:space="preserve"> </w:t>
      </w:r>
      <w:r>
        <w:rPr>
          <w:sz w:val="20"/>
        </w:rPr>
        <w:t>O</w:t>
      </w:r>
      <w:r>
        <w:rPr>
          <w:spacing w:val="-9"/>
          <w:sz w:val="20"/>
        </w:rPr>
        <w:t xml:space="preserve"> </w:t>
      </w:r>
      <w:r>
        <w:rPr>
          <w:sz w:val="20"/>
        </w:rPr>
        <w:t>contrato</w:t>
      </w:r>
      <w:r>
        <w:rPr>
          <w:spacing w:val="-8"/>
          <w:sz w:val="20"/>
        </w:rPr>
        <w:t xml:space="preserve"> </w:t>
      </w:r>
      <w:r>
        <w:rPr>
          <w:sz w:val="20"/>
        </w:rPr>
        <w:t>de</w:t>
      </w:r>
      <w:r>
        <w:rPr>
          <w:spacing w:val="-9"/>
          <w:sz w:val="20"/>
        </w:rPr>
        <w:t xml:space="preserve"> </w:t>
      </w:r>
      <w:r>
        <w:rPr>
          <w:sz w:val="20"/>
        </w:rPr>
        <w:t>refinanciamento</w:t>
      </w:r>
      <w:r>
        <w:rPr>
          <w:spacing w:val="-5"/>
          <w:sz w:val="20"/>
        </w:rPr>
        <w:t xml:space="preserve"> </w:t>
      </w:r>
      <w:r>
        <w:rPr>
          <w:sz w:val="20"/>
        </w:rPr>
        <w:t>de</w:t>
      </w:r>
      <w:r>
        <w:rPr>
          <w:spacing w:val="-11"/>
          <w:sz w:val="20"/>
        </w:rPr>
        <w:t xml:space="preserve"> </w:t>
      </w:r>
      <w:r>
        <w:rPr>
          <w:sz w:val="20"/>
        </w:rPr>
        <w:t>dívidas</w:t>
      </w:r>
      <w:r>
        <w:rPr>
          <w:spacing w:val="-9"/>
          <w:sz w:val="20"/>
        </w:rPr>
        <w:t xml:space="preserve"> </w:t>
      </w:r>
      <w:r>
        <w:rPr>
          <w:sz w:val="20"/>
        </w:rPr>
        <w:t>deverá</w:t>
      </w:r>
      <w:r>
        <w:rPr>
          <w:spacing w:val="-8"/>
          <w:sz w:val="20"/>
        </w:rPr>
        <w:t xml:space="preserve"> </w:t>
      </w:r>
      <w:r>
        <w:rPr>
          <w:sz w:val="20"/>
        </w:rPr>
        <w:t>prever</w:t>
      </w:r>
      <w:r>
        <w:rPr>
          <w:spacing w:val="-5"/>
          <w:sz w:val="20"/>
        </w:rPr>
        <w:t xml:space="preserve"> </w:t>
      </w:r>
      <w:r>
        <w:rPr>
          <w:sz w:val="20"/>
        </w:rPr>
        <w:t>que</w:t>
      </w:r>
      <w:r>
        <w:rPr>
          <w:spacing w:val="-8"/>
          <w:sz w:val="20"/>
        </w:rPr>
        <w:t xml:space="preserve"> </w:t>
      </w:r>
      <w:r>
        <w:rPr>
          <w:sz w:val="20"/>
        </w:rPr>
        <w:t>o</w:t>
      </w:r>
      <w:r>
        <w:rPr>
          <w:spacing w:val="-6"/>
          <w:sz w:val="20"/>
        </w:rPr>
        <w:t xml:space="preserve"> </w:t>
      </w:r>
      <w:r>
        <w:rPr>
          <w:spacing w:val="-2"/>
          <w:sz w:val="20"/>
        </w:rPr>
        <w:t>Município:</w:t>
      </w:r>
    </w:p>
    <w:p w:rsidR="007259F2" w:rsidRDefault="00E655B4">
      <w:pPr>
        <w:ind w:left="2978" w:right="424"/>
        <w:jc w:val="both"/>
        <w:rPr>
          <w:sz w:val="20"/>
        </w:rPr>
      </w:pPr>
      <w:r>
        <w:rPr>
          <w:sz w:val="20"/>
        </w:rPr>
        <w:t>I</w:t>
      </w:r>
      <w:r>
        <w:rPr>
          <w:spacing w:val="-3"/>
          <w:sz w:val="20"/>
        </w:rPr>
        <w:t xml:space="preserve"> </w:t>
      </w:r>
      <w:r>
        <w:rPr>
          <w:sz w:val="20"/>
        </w:rPr>
        <w:t>-</w:t>
      </w:r>
      <w:r>
        <w:rPr>
          <w:spacing w:val="-6"/>
          <w:sz w:val="20"/>
        </w:rPr>
        <w:t xml:space="preserve"> </w:t>
      </w:r>
      <w:r>
        <w:rPr>
          <w:sz w:val="20"/>
        </w:rPr>
        <w:t>somente</w:t>
      </w:r>
      <w:r>
        <w:rPr>
          <w:spacing w:val="-11"/>
          <w:sz w:val="20"/>
        </w:rPr>
        <w:t xml:space="preserve"> </w:t>
      </w:r>
      <w:r>
        <w:rPr>
          <w:sz w:val="20"/>
        </w:rPr>
        <w:t>poderá</w:t>
      </w:r>
      <w:r>
        <w:rPr>
          <w:spacing w:val="-8"/>
          <w:sz w:val="20"/>
        </w:rPr>
        <w:t xml:space="preserve"> </w:t>
      </w:r>
      <w:r>
        <w:rPr>
          <w:sz w:val="20"/>
        </w:rPr>
        <w:t>emitir</w:t>
      </w:r>
      <w:r>
        <w:rPr>
          <w:spacing w:val="-6"/>
          <w:sz w:val="20"/>
        </w:rPr>
        <w:t xml:space="preserve"> </w:t>
      </w:r>
      <w:r>
        <w:rPr>
          <w:sz w:val="20"/>
        </w:rPr>
        <w:t>novos</w:t>
      </w:r>
      <w:r>
        <w:rPr>
          <w:spacing w:val="-9"/>
          <w:sz w:val="20"/>
        </w:rPr>
        <w:t xml:space="preserve"> </w:t>
      </w:r>
      <w:r>
        <w:rPr>
          <w:sz w:val="20"/>
        </w:rPr>
        <w:t>títulos</w:t>
      </w:r>
      <w:r>
        <w:rPr>
          <w:spacing w:val="-9"/>
          <w:sz w:val="20"/>
        </w:rPr>
        <w:t xml:space="preserve"> </w:t>
      </w:r>
      <w:r>
        <w:rPr>
          <w:sz w:val="20"/>
        </w:rPr>
        <w:t>da</w:t>
      </w:r>
      <w:r>
        <w:rPr>
          <w:spacing w:val="-9"/>
          <w:sz w:val="20"/>
        </w:rPr>
        <w:t xml:space="preserve"> </w:t>
      </w:r>
      <w:r>
        <w:rPr>
          <w:sz w:val="20"/>
        </w:rPr>
        <w:t>dívida</w:t>
      </w:r>
      <w:r>
        <w:rPr>
          <w:spacing w:val="-10"/>
          <w:sz w:val="20"/>
        </w:rPr>
        <w:t xml:space="preserve"> </w:t>
      </w:r>
      <w:r>
        <w:rPr>
          <w:sz w:val="20"/>
        </w:rPr>
        <w:t>pública</w:t>
      </w:r>
      <w:r>
        <w:rPr>
          <w:spacing w:val="-6"/>
          <w:sz w:val="20"/>
        </w:rPr>
        <w:t xml:space="preserve"> </w:t>
      </w:r>
      <w:r>
        <w:rPr>
          <w:sz w:val="20"/>
        </w:rPr>
        <w:t>mobiliária</w:t>
      </w:r>
      <w:r>
        <w:rPr>
          <w:spacing w:val="-7"/>
          <w:sz w:val="20"/>
        </w:rPr>
        <w:t xml:space="preserve"> </w:t>
      </w:r>
      <w:r>
        <w:rPr>
          <w:sz w:val="20"/>
        </w:rPr>
        <w:t>municipal</w:t>
      </w:r>
      <w:r>
        <w:rPr>
          <w:spacing w:val="-8"/>
          <w:sz w:val="20"/>
        </w:rPr>
        <w:t xml:space="preserve"> </w:t>
      </w:r>
      <w:r>
        <w:rPr>
          <w:sz w:val="20"/>
        </w:rPr>
        <w:t>interna ou externa, após a integral liquidação da dívida objeto do refinanciamento previsto nesta Medida Provisória; e</w:t>
      </w:r>
    </w:p>
    <w:p w:rsidR="007259F2" w:rsidRDefault="007259F2">
      <w:pPr>
        <w:pStyle w:val="Corpodetexto"/>
        <w:spacing w:before="9"/>
        <w:ind w:left="0" w:firstLine="0"/>
        <w:jc w:val="left"/>
        <w:rPr>
          <w:sz w:val="20"/>
        </w:rPr>
      </w:pPr>
    </w:p>
    <w:p w:rsidR="007259F2" w:rsidRDefault="00E655B4">
      <w:pPr>
        <w:pStyle w:val="Corpodetexto"/>
        <w:ind w:right="422"/>
      </w:pPr>
      <w:r>
        <w:t>No caso, identificou-se contrato de confissão, consolidação, promessa de assunção e refinanciamento de dívidas celebrado entre o Município de São Paulo e a União Federal, nos termos da</w:t>
      </w:r>
      <w:r>
        <w:rPr>
          <w:spacing w:val="-1"/>
        </w:rPr>
        <w:t xml:space="preserve"> </w:t>
      </w:r>
      <w:r>
        <w:t>MP nº 2185-35/2001, com vigência até 30 de maio de</w:t>
      </w:r>
      <w:r>
        <w:rPr>
          <w:spacing w:val="-1"/>
        </w:rPr>
        <w:t xml:space="preserve"> </w:t>
      </w:r>
      <w:r>
        <w:t>2030. Assim, havendo dívida objeto</w:t>
      </w:r>
      <w:r>
        <w:rPr>
          <w:spacing w:val="-3"/>
        </w:rPr>
        <w:t xml:space="preserve"> </w:t>
      </w:r>
      <w:r>
        <w:t>de</w:t>
      </w:r>
      <w:r>
        <w:rPr>
          <w:spacing w:val="-4"/>
        </w:rPr>
        <w:t xml:space="preserve"> </w:t>
      </w:r>
      <w:r>
        <w:t>refinanciamento</w:t>
      </w:r>
      <w:r>
        <w:rPr>
          <w:spacing w:val="-2"/>
        </w:rPr>
        <w:t xml:space="preserve"> </w:t>
      </w:r>
      <w:r>
        <w:t>sob</w:t>
      </w:r>
      <w:r>
        <w:rPr>
          <w:spacing w:val="-3"/>
        </w:rPr>
        <w:t xml:space="preserve"> </w:t>
      </w:r>
      <w:r>
        <w:t>a</w:t>
      </w:r>
      <w:r>
        <w:rPr>
          <w:spacing w:val="-4"/>
        </w:rPr>
        <w:t xml:space="preserve"> </w:t>
      </w:r>
      <w:r>
        <w:t>égide</w:t>
      </w:r>
      <w:r>
        <w:rPr>
          <w:spacing w:val="-4"/>
        </w:rPr>
        <w:t xml:space="preserve"> </w:t>
      </w:r>
      <w:r>
        <w:t>da</w:t>
      </w:r>
      <w:r>
        <w:rPr>
          <w:spacing w:val="-2"/>
        </w:rPr>
        <w:t xml:space="preserve"> </w:t>
      </w:r>
      <w:r>
        <w:t>referida medida</w:t>
      </w:r>
      <w:r>
        <w:rPr>
          <w:spacing w:val="-3"/>
        </w:rPr>
        <w:t xml:space="preserve"> </w:t>
      </w:r>
      <w:r>
        <w:t>provisória,</w:t>
      </w:r>
      <w:r>
        <w:rPr>
          <w:spacing w:val="-3"/>
        </w:rPr>
        <w:t xml:space="preserve"> </w:t>
      </w:r>
      <w:r>
        <w:t>não</w:t>
      </w:r>
      <w:r>
        <w:rPr>
          <w:spacing w:val="-3"/>
        </w:rPr>
        <w:t xml:space="preserve"> </w:t>
      </w:r>
      <w:r>
        <w:t>poderão</w:t>
      </w:r>
      <w:r>
        <w:rPr>
          <w:spacing w:val="-3"/>
        </w:rPr>
        <w:t xml:space="preserve"> </w:t>
      </w:r>
      <w:r>
        <w:t>ser emitidos títulos da dívida ativa até a integral liquidação da dívida refinanciada.</w:t>
      </w:r>
    </w:p>
    <w:p w:rsidR="007259F2" w:rsidRDefault="00E655B4">
      <w:pPr>
        <w:pStyle w:val="Corpodetexto"/>
        <w:spacing w:before="1"/>
        <w:ind w:right="423"/>
      </w:pPr>
      <w:r>
        <w:t>Contudo,</w:t>
      </w:r>
      <w:r>
        <w:rPr>
          <w:spacing w:val="-15"/>
        </w:rPr>
        <w:t xml:space="preserve"> </w:t>
      </w:r>
      <w:r>
        <w:t>em</w:t>
      </w:r>
      <w:r>
        <w:rPr>
          <w:spacing w:val="-15"/>
        </w:rPr>
        <w:t xml:space="preserve"> </w:t>
      </w:r>
      <w:r>
        <w:t>2022,</w:t>
      </w:r>
      <w:r>
        <w:rPr>
          <w:spacing w:val="-15"/>
        </w:rPr>
        <w:t xml:space="preserve"> </w:t>
      </w:r>
      <w:r>
        <w:t>foi</w:t>
      </w:r>
      <w:r>
        <w:rPr>
          <w:spacing w:val="-15"/>
        </w:rPr>
        <w:t xml:space="preserve"> </w:t>
      </w:r>
      <w:r>
        <w:t>noticiado</w:t>
      </w:r>
      <w:r>
        <w:rPr>
          <w:spacing w:val="-15"/>
        </w:rPr>
        <w:t xml:space="preserve"> </w:t>
      </w:r>
      <w:r>
        <w:t>na</w:t>
      </w:r>
      <w:r>
        <w:rPr>
          <w:spacing w:val="-15"/>
        </w:rPr>
        <w:t xml:space="preserve"> </w:t>
      </w:r>
      <w:r>
        <w:t>imprensa</w:t>
      </w:r>
      <w:r>
        <w:rPr>
          <w:spacing w:val="-15"/>
        </w:rPr>
        <w:t xml:space="preserve"> </w:t>
      </w:r>
      <w:r>
        <w:t>em</w:t>
      </w:r>
      <w:r>
        <w:rPr>
          <w:spacing w:val="-10"/>
        </w:rPr>
        <w:t xml:space="preserve"> </w:t>
      </w:r>
      <w:r>
        <w:t>geral</w:t>
      </w:r>
      <w:r>
        <w:rPr>
          <w:spacing w:val="-10"/>
        </w:rPr>
        <w:t xml:space="preserve"> </w:t>
      </w:r>
      <w:r>
        <w:t>a</w:t>
      </w:r>
      <w:r>
        <w:rPr>
          <w:spacing w:val="-15"/>
        </w:rPr>
        <w:t xml:space="preserve"> </w:t>
      </w:r>
      <w:r>
        <w:t>realização</w:t>
      </w:r>
      <w:r>
        <w:rPr>
          <w:spacing w:val="-12"/>
        </w:rPr>
        <w:t xml:space="preserve"> </w:t>
      </w:r>
      <w:r>
        <w:t>de</w:t>
      </w:r>
      <w:r>
        <w:rPr>
          <w:spacing w:val="-15"/>
        </w:rPr>
        <w:t xml:space="preserve"> </w:t>
      </w:r>
      <w:r>
        <w:t>um</w:t>
      </w:r>
      <w:r>
        <w:rPr>
          <w:spacing w:val="-13"/>
        </w:rPr>
        <w:t xml:space="preserve"> </w:t>
      </w:r>
      <w:r>
        <w:t>acordo</w:t>
      </w:r>
      <w:r>
        <w:rPr>
          <w:spacing w:val="-15"/>
        </w:rPr>
        <w:t xml:space="preserve"> </w:t>
      </w:r>
      <w:r>
        <w:t>entre</w:t>
      </w:r>
      <w:r>
        <w:rPr>
          <w:spacing w:val="-5"/>
        </w:rPr>
        <w:t xml:space="preserve"> </w:t>
      </w:r>
      <w:r>
        <w:t>o Município de São Paulo e a União Federal para pôr fim à disputa judicial da área conhecida como</w:t>
      </w:r>
      <w:r>
        <w:rPr>
          <w:spacing w:val="-15"/>
        </w:rPr>
        <w:t xml:space="preserve"> </w:t>
      </w:r>
      <w:r>
        <w:t>Campo</w:t>
      </w:r>
      <w:r>
        <w:rPr>
          <w:spacing w:val="-15"/>
        </w:rPr>
        <w:t xml:space="preserve"> </w:t>
      </w:r>
      <w:r>
        <w:t>de</w:t>
      </w:r>
      <w:r>
        <w:rPr>
          <w:spacing w:val="-15"/>
        </w:rPr>
        <w:t xml:space="preserve"> </w:t>
      </w:r>
      <w:r>
        <w:t>Marte,</w:t>
      </w:r>
      <w:r>
        <w:rPr>
          <w:spacing w:val="-15"/>
        </w:rPr>
        <w:t xml:space="preserve"> </w:t>
      </w:r>
      <w:r>
        <w:t>reconhecendo</w:t>
      </w:r>
      <w:r>
        <w:rPr>
          <w:spacing w:val="-15"/>
        </w:rPr>
        <w:t xml:space="preserve"> </w:t>
      </w:r>
      <w:r>
        <w:t>a</w:t>
      </w:r>
      <w:r>
        <w:rPr>
          <w:spacing w:val="-15"/>
        </w:rPr>
        <w:t xml:space="preserve"> </w:t>
      </w:r>
      <w:r>
        <w:t>propriedade</w:t>
      </w:r>
      <w:r>
        <w:rPr>
          <w:spacing w:val="-15"/>
        </w:rPr>
        <w:t xml:space="preserve"> </w:t>
      </w:r>
      <w:r>
        <w:t>da</w:t>
      </w:r>
      <w:r>
        <w:rPr>
          <w:spacing w:val="-15"/>
        </w:rPr>
        <w:t xml:space="preserve"> </w:t>
      </w:r>
      <w:r>
        <w:t>União</w:t>
      </w:r>
      <w:r>
        <w:rPr>
          <w:spacing w:val="-15"/>
        </w:rPr>
        <w:t xml:space="preserve"> </w:t>
      </w:r>
      <w:r>
        <w:t>sobre</w:t>
      </w:r>
      <w:r>
        <w:rPr>
          <w:spacing w:val="-15"/>
        </w:rPr>
        <w:t xml:space="preserve"> </w:t>
      </w:r>
      <w:r>
        <w:t>a</w:t>
      </w:r>
      <w:r>
        <w:rPr>
          <w:spacing w:val="-15"/>
        </w:rPr>
        <w:t xml:space="preserve"> </w:t>
      </w:r>
      <w:r>
        <w:t>área</w:t>
      </w:r>
      <w:r>
        <w:rPr>
          <w:spacing w:val="-15"/>
        </w:rPr>
        <w:t xml:space="preserve"> </w:t>
      </w:r>
      <w:r>
        <w:t>do</w:t>
      </w:r>
      <w:r>
        <w:rPr>
          <w:spacing w:val="-15"/>
        </w:rPr>
        <w:t xml:space="preserve"> </w:t>
      </w:r>
      <w:r>
        <w:t>aeroporto</w:t>
      </w:r>
      <w:r>
        <w:rPr>
          <w:spacing w:val="-15"/>
        </w:rPr>
        <w:t xml:space="preserve"> </w:t>
      </w:r>
      <w:r>
        <w:t>e</w:t>
      </w:r>
      <w:r>
        <w:rPr>
          <w:spacing w:val="-15"/>
        </w:rPr>
        <w:t xml:space="preserve"> </w:t>
      </w:r>
      <w:r>
        <w:t>outras dependências administradas pela Aeronáutica, sendo devolvido ao Município de São Paulo a parte do imóvel que não está ocupada por instalações federais e extinguidas as dívidas do Município para com a União.</w:t>
      </w:r>
    </w:p>
    <w:p w:rsidR="007259F2" w:rsidRDefault="00E655B4">
      <w:pPr>
        <w:pStyle w:val="Corpodetexto"/>
        <w:ind w:right="422"/>
      </w:pPr>
      <w:r>
        <w:t>Deste modo, como afirmado pela Secretaria Municipal da Fazenda nos autos do SEI 6068.2021/0007923-3 (doc. 061563473), o acordo implicará a quitação integral da dívida e a extinção do</w:t>
      </w:r>
      <w:r>
        <w:rPr>
          <w:spacing w:val="-1"/>
        </w:rPr>
        <w:t xml:space="preserve"> </w:t>
      </w:r>
      <w:r>
        <w:t>contrato de</w:t>
      </w:r>
      <w:r>
        <w:rPr>
          <w:spacing w:val="-2"/>
        </w:rPr>
        <w:t xml:space="preserve"> </w:t>
      </w:r>
      <w:r>
        <w:t>seus refinanciamentos</w:t>
      </w:r>
      <w:r>
        <w:rPr>
          <w:spacing w:val="-1"/>
        </w:rPr>
        <w:t xml:space="preserve"> </w:t>
      </w:r>
      <w:r>
        <w:t>e, com isso</w:t>
      </w:r>
      <w:r>
        <w:rPr>
          <w:spacing w:val="-1"/>
        </w:rPr>
        <w:t xml:space="preserve"> </w:t>
      </w:r>
      <w:r>
        <w:t>não,</w:t>
      </w:r>
      <w:r>
        <w:rPr>
          <w:spacing w:val="-1"/>
        </w:rPr>
        <w:t xml:space="preserve"> </w:t>
      </w:r>
      <w:r>
        <w:t>mais</w:t>
      </w:r>
      <w:r>
        <w:rPr>
          <w:spacing w:val="-1"/>
        </w:rPr>
        <w:t xml:space="preserve"> </w:t>
      </w:r>
      <w:r>
        <w:t>haverá</w:t>
      </w:r>
      <w:r>
        <w:rPr>
          <w:spacing w:val="-1"/>
        </w:rPr>
        <w:t xml:space="preserve"> </w:t>
      </w:r>
      <w:r>
        <w:t>o impedimento da emissão de títulos da dívida pública previsto no art. 8º, inciso I, da MP nº 2185-35/2001.</w:t>
      </w:r>
    </w:p>
    <w:p w:rsidR="007259F2" w:rsidRDefault="00E655B4">
      <w:pPr>
        <w:pStyle w:val="Corpodetexto"/>
        <w:ind w:right="420"/>
      </w:pPr>
      <w:r>
        <w:t>Cabe mencionar, ainda, que no âmbito do SEI 6068.2021/0007923-3 também se questionou</w:t>
      </w:r>
      <w:r>
        <w:rPr>
          <w:spacing w:val="-1"/>
        </w:rPr>
        <w:t xml:space="preserve"> </w:t>
      </w:r>
      <w:r>
        <w:t>a</w:t>
      </w:r>
      <w:r>
        <w:rPr>
          <w:spacing w:val="-2"/>
        </w:rPr>
        <w:t xml:space="preserve"> </w:t>
      </w:r>
      <w:r>
        <w:t>impossibilidade de</w:t>
      </w:r>
      <w:r>
        <w:rPr>
          <w:spacing w:val="-2"/>
        </w:rPr>
        <w:t xml:space="preserve"> </w:t>
      </w:r>
      <w:r>
        <w:t>emissão</w:t>
      </w:r>
      <w:r>
        <w:rPr>
          <w:spacing w:val="-1"/>
        </w:rPr>
        <w:t xml:space="preserve"> </w:t>
      </w:r>
      <w:r>
        <w:t>de</w:t>
      </w:r>
      <w:r>
        <w:rPr>
          <w:spacing w:val="-2"/>
        </w:rPr>
        <w:t xml:space="preserve"> </w:t>
      </w:r>
      <w:r>
        <w:t>novos</w:t>
      </w:r>
      <w:r>
        <w:rPr>
          <w:spacing w:val="-1"/>
        </w:rPr>
        <w:t xml:space="preserve"> </w:t>
      </w:r>
      <w:r>
        <w:t>títulos</w:t>
      </w:r>
      <w:r>
        <w:rPr>
          <w:spacing w:val="-1"/>
        </w:rPr>
        <w:t xml:space="preserve"> </w:t>
      </w:r>
      <w:r>
        <w:t>da</w:t>
      </w:r>
      <w:r>
        <w:rPr>
          <w:spacing w:val="-2"/>
        </w:rPr>
        <w:t xml:space="preserve"> </w:t>
      </w:r>
      <w:r>
        <w:t>dívida</w:t>
      </w:r>
      <w:r>
        <w:rPr>
          <w:spacing w:val="-2"/>
        </w:rPr>
        <w:t xml:space="preserve"> </w:t>
      </w:r>
      <w:r>
        <w:t>pública</w:t>
      </w:r>
      <w:r>
        <w:rPr>
          <w:spacing w:val="-1"/>
        </w:rPr>
        <w:t xml:space="preserve"> </w:t>
      </w:r>
      <w:r>
        <w:t>em</w:t>
      </w:r>
      <w:r>
        <w:rPr>
          <w:spacing w:val="-1"/>
        </w:rPr>
        <w:t xml:space="preserve"> </w:t>
      </w:r>
      <w:r>
        <w:t>decorrência</w:t>
      </w:r>
      <w:r>
        <w:rPr>
          <w:spacing w:val="-1"/>
        </w:rPr>
        <w:t xml:space="preserve"> </w:t>
      </w:r>
      <w:r>
        <w:t>do disposto no art. 11 da Lei Complementar 148, de 25 de novembro de 2014, no qual se lê que “É vedada aos Estados, ao Distrito Federal e aos Municípios a emissão de títulos da dívida pública mobiliária”.</w:t>
      </w:r>
    </w:p>
    <w:p w:rsidR="007259F2" w:rsidRDefault="00E655B4">
      <w:pPr>
        <w:pStyle w:val="Corpodetexto"/>
        <w:spacing w:before="1"/>
        <w:ind w:right="414"/>
      </w:pPr>
      <w:r>
        <w:t>Em relação ao dispositivo citado, porém, a Assessoria Técnica e Jurídica – ATAJ de SMUL</w:t>
      </w:r>
      <w:r>
        <w:rPr>
          <w:spacing w:val="-14"/>
        </w:rPr>
        <w:t xml:space="preserve"> </w:t>
      </w:r>
      <w:r>
        <w:t>se</w:t>
      </w:r>
      <w:r>
        <w:rPr>
          <w:spacing w:val="-11"/>
        </w:rPr>
        <w:t xml:space="preserve"> </w:t>
      </w:r>
      <w:r>
        <w:t>manifestou</w:t>
      </w:r>
      <w:r>
        <w:rPr>
          <w:spacing w:val="-6"/>
        </w:rPr>
        <w:t xml:space="preserve"> </w:t>
      </w:r>
      <w:r>
        <w:t>no</w:t>
      </w:r>
      <w:r>
        <w:rPr>
          <w:spacing w:val="-9"/>
        </w:rPr>
        <w:t xml:space="preserve"> </w:t>
      </w:r>
      <w:r>
        <w:t>sentido</w:t>
      </w:r>
      <w:r>
        <w:rPr>
          <w:spacing w:val="-9"/>
        </w:rPr>
        <w:t xml:space="preserve"> </w:t>
      </w:r>
      <w:r>
        <w:t>de</w:t>
      </w:r>
      <w:r>
        <w:rPr>
          <w:spacing w:val="-13"/>
        </w:rPr>
        <w:t xml:space="preserve"> </w:t>
      </w:r>
      <w:r>
        <w:t>que</w:t>
      </w:r>
      <w:r>
        <w:rPr>
          <w:spacing w:val="-13"/>
        </w:rPr>
        <w:t xml:space="preserve"> </w:t>
      </w:r>
      <w:r>
        <w:t>não</w:t>
      </w:r>
      <w:r>
        <w:rPr>
          <w:spacing w:val="-9"/>
        </w:rPr>
        <w:t xml:space="preserve"> </w:t>
      </w:r>
      <w:r>
        <w:t>haveria</w:t>
      </w:r>
      <w:r>
        <w:rPr>
          <w:spacing w:val="-13"/>
        </w:rPr>
        <w:t xml:space="preserve"> </w:t>
      </w:r>
      <w:r>
        <w:t>uma</w:t>
      </w:r>
      <w:r>
        <w:rPr>
          <w:spacing w:val="-10"/>
        </w:rPr>
        <w:t xml:space="preserve"> </w:t>
      </w:r>
      <w:r>
        <w:t>vedação</w:t>
      </w:r>
      <w:r>
        <w:rPr>
          <w:spacing w:val="-9"/>
        </w:rPr>
        <w:t xml:space="preserve"> </w:t>
      </w:r>
      <w:r>
        <w:t>indistinta</w:t>
      </w:r>
      <w:r>
        <w:rPr>
          <w:spacing w:val="-9"/>
        </w:rPr>
        <w:t xml:space="preserve"> </w:t>
      </w:r>
      <w:r>
        <w:t>à</w:t>
      </w:r>
      <w:r>
        <w:rPr>
          <w:spacing w:val="-13"/>
        </w:rPr>
        <w:t xml:space="preserve"> </w:t>
      </w:r>
      <w:r>
        <w:t>emissão</w:t>
      </w:r>
      <w:r>
        <w:rPr>
          <w:spacing w:val="-10"/>
        </w:rPr>
        <w:t xml:space="preserve"> </w:t>
      </w:r>
      <w:r>
        <w:t>de</w:t>
      </w:r>
      <w:r>
        <w:rPr>
          <w:spacing w:val="-11"/>
        </w:rPr>
        <w:t xml:space="preserve"> </w:t>
      </w:r>
      <w:r>
        <w:t>títulos da</w:t>
      </w:r>
      <w:r>
        <w:rPr>
          <w:spacing w:val="-1"/>
        </w:rPr>
        <w:t xml:space="preserve"> </w:t>
      </w:r>
      <w:r>
        <w:t>dívida</w:t>
      </w:r>
      <w:r>
        <w:rPr>
          <w:spacing w:val="-1"/>
        </w:rPr>
        <w:t xml:space="preserve"> </w:t>
      </w:r>
      <w:r>
        <w:t>pública</w:t>
      </w:r>
      <w:r>
        <w:rPr>
          <w:spacing w:val="-1"/>
        </w:rPr>
        <w:t xml:space="preserve"> </w:t>
      </w:r>
      <w:r>
        <w:t>mobiliária</w:t>
      </w:r>
      <w:r>
        <w:rPr>
          <w:spacing w:val="-2"/>
        </w:rPr>
        <w:t xml:space="preserve"> </w:t>
      </w:r>
      <w:r>
        <w:t>por todos os entes subnacionais, isso porque a Lei Complementar nº 148, de 2014, estabelece regras relativas aos contratos de refinanciamento de dívidas celebrados entre a União, os Estados, o Distrito Federal e os Municípios, com base na Lei Federal</w:t>
      </w:r>
      <w:r>
        <w:rPr>
          <w:spacing w:val="-1"/>
        </w:rPr>
        <w:t xml:space="preserve"> </w:t>
      </w:r>
      <w:r>
        <w:t>nº</w:t>
      </w:r>
      <w:r>
        <w:rPr>
          <w:spacing w:val="-1"/>
        </w:rPr>
        <w:t xml:space="preserve"> </w:t>
      </w:r>
      <w:r>
        <w:t>9.496,</w:t>
      </w:r>
      <w:r>
        <w:rPr>
          <w:spacing w:val="-3"/>
        </w:rPr>
        <w:t xml:space="preserve"> </w:t>
      </w:r>
      <w:r>
        <w:t>de</w:t>
      </w:r>
      <w:r>
        <w:rPr>
          <w:spacing w:val="-1"/>
        </w:rPr>
        <w:t xml:space="preserve"> </w:t>
      </w:r>
      <w:r>
        <w:t>11</w:t>
      </w:r>
      <w:r>
        <w:rPr>
          <w:spacing w:val="-1"/>
        </w:rPr>
        <w:t xml:space="preserve"> </w:t>
      </w:r>
      <w:r>
        <w:t>de</w:t>
      </w:r>
      <w:r>
        <w:rPr>
          <w:spacing w:val="-1"/>
        </w:rPr>
        <w:t xml:space="preserve"> </w:t>
      </w:r>
      <w:r>
        <w:t>setembro</w:t>
      </w:r>
      <w:r>
        <w:rPr>
          <w:spacing w:val="-1"/>
        </w:rPr>
        <w:t xml:space="preserve"> </w:t>
      </w:r>
      <w:r>
        <w:t>de</w:t>
      </w:r>
      <w:r>
        <w:rPr>
          <w:spacing w:val="-1"/>
        </w:rPr>
        <w:t xml:space="preserve"> </w:t>
      </w:r>
      <w:r>
        <w:t>1997,</w:t>
      </w:r>
      <w:r>
        <w:rPr>
          <w:spacing w:val="-1"/>
        </w:rPr>
        <w:t xml:space="preserve"> </w:t>
      </w:r>
      <w:r>
        <w:t>e</w:t>
      </w:r>
      <w:r>
        <w:rPr>
          <w:spacing w:val="-4"/>
        </w:rPr>
        <w:t xml:space="preserve"> </w:t>
      </w:r>
      <w:r>
        <w:t>na</w:t>
      </w:r>
      <w:r>
        <w:rPr>
          <w:spacing w:val="-1"/>
        </w:rPr>
        <w:t xml:space="preserve"> </w:t>
      </w:r>
      <w:r>
        <w:t>MP nº</w:t>
      </w:r>
      <w:r>
        <w:rPr>
          <w:spacing w:val="-1"/>
        </w:rPr>
        <w:t xml:space="preserve"> </w:t>
      </w:r>
      <w:r>
        <w:t>2.185-35,</w:t>
      </w:r>
      <w:r>
        <w:rPr>
          <w:spacing w:val="-3"/>
        </w:rPr>
        <w:t xml:space="preserve"> </w:t>
      </w:r>
      <w:r>
        <w:t>de</w:t>
      </w:r>
      <w:r>
        <w:rPr>
          <w:spacing w:val="-1"/>
        </w:rPr>
        <w:t xml:space="preserve"> </w:t>
      </w:r>
      <w:r>
        <w:t>2001 (como</w:t>
      </w:r>
      <w:r>
        <w:rPr>
          <w:spacing w:val="-1"/>
        </w:rPr>
        <w:t xml:space="preserve"> </w:t>
      </w:r>
      <w:r>
        <w:t>é</w:t>
      </w:r>
      <w:r>
        <w:rPr>
          <w:spacing w:val="-1"/>
        </w:rPr>
        <w:t xml:space="preserve"> </w:t>
      </w:r>
      <w:r>
        <w:t>o</w:t>
      </w:r>
      <w:r>
        <w:rPr>
          <w:spacing w:val="-1"/>
        </w:rPr>
        <w:t xml:space="preserve"> </w:t>
      </w:r>
      <w:r>
        <w:t>caso</w:t>
      </w:r>
      <w:r>
        <w:rPr>
          <w:spacing w:val="-1"/>
        </w:rPr>
        <w:t xml:space="preserve"> </w:t>
      </w:r>
      <w:r>
        <w:t>do Município</w:t>
      </w:r>
      <w:r>
        <w:rPr>
          <w:spacing w:val="-7"/>
        </w:rPr>
        <w:t xml:space="preserve"> </w:t>
      </w:r>
      <w:r>
        <w:t>de</w:t>
      </w:r>
      <w:r>
        <w:rPr>
          <w:spacing w:val="-8"/>
        </w:rPr>
        <w:t xml:space="preserve"> </w:t>
      </w:r>
      <w:r>
        <w:t>São</w:t>
      </w:r>
      <w:r>
        <w:rPr>
          <w:spacing w:val="-7"/>
        </w:rPr>
        <w:t xml:space="preserve"> </w:t>
      </w:r>
      <w:r>
        <w:t>Paulo),</w:t>
      </w:r>
      <w:r>
        <w:rPr>
          <w:spacing w:val="-2"/>
        </w:rPr>
        <w:t xml:space="preserve"> </w:t>
      </w:r>
      <w:r>
        <w:t>e</w:t>
      </w:r>
      <w:r>
        <w:rPr>
          <w:spacing w:val="-8"/>
        </w:rPr>
        <w:t xml:space="preserve"> </w:t>
      </w:r>
      <w:r>
        <w:t>nos</w:t>
      </w:r>
      <w:r>
        <w:rPr>
          <w:spacing w:val="-5"/>
        </w:rPr>
        <w:t xml:space="preserve"> </w:t>
      </w:r>
      <w:r>
        <w:t>contratos</w:t>
      </w:r>
      <w:r>
        <w:rPr>
          <w:spacing w:val="-6"/>
        </w:rPr>
        <w:t xml:space="preserve"> </w:t>
      </w:r>
      <w:r>
        <w:t>de</w:t>
      </w:r>
      <w:r>
        <w:rPr>
          <w:spacing w:val="-8"/>
        </w:rPr>
        <w:t xml:space="preserve"> </w:t>
      </w:r>
      <w:r>
        <w:t>empréstimos</w:t>
      </w:r>
      <w:r>
        <w:rPr>
          <w:spacing w:val="-6"/>
        </w:rPr>
        <w:t xml:space="preserve"> </w:t>
      </w:r>
      <w:r>
        <w:t>firmados</w:t>
      </w:r>
      <w:r>
        <w:rPr>
          <w:spacing w:val="-7"/>
        </w:rPr>
        <w:t xml:space="preserve"> </w:t>
      </w:r>
      <w:r>
        <w:t>com</w:t>
      </w:r>
      <w:r>
        <w:rPr>
          <w:spacing w:val="-7"/>
        </w:rPr>
        <w:t xml:space="preserve"> </w:t>
      </w:r>
      <w:r>
        <w:t>os</w:t>
      </w:r>
      <w:r>
        <w:rPr>
          <w:spacing w:val="-4"/>
        </w:rPr>
        <w:t xml:space="preserve"> </w:t>
      </w:r>
      <w:r>
        <w:t>Estados</w:t>
      </w:r>
      <w:r>
        <w:rPr>
          <w:spacing w:val="-7"/>
        </w:rPr>
        <w:t xml:space="preserve"> </w:t>
      </w:r>
      <w:r>
        <w:t>e</w:t>
      </w:r>
      <w:r>
        <w:rPr>
          <w:spacing w:val="-8"/>
        </w:rPr>
        <w:t xml:space="preserve"> </w:t>
      </w:r>
      <w:r>
        <w:t>o</w:t>
      </w:r>
      <w:r>
        <w:rPr>
          <w:spacing w:val="-5"/>
        </w:rPr>
        <w:t xml:space="preserve"> </w:t>
      </w:r>
      <w:r>
        <w:t>Distrito Federal ao amparo da Medida Provisória nº 2.192-70, de 24 de agosto de 2001.</w:t>
      </w:r>
    </w:p>
    <w:p w:rsidR="007259F2" w:rsidRDefault="00E655B4">
      <w:pPr>
        <w:pStyle w:val="Corpodetexto"/>
        <w:ind w:right="423"/>
      </w:pPr>
      <w:r>
        <w:t>Logo, a previsão do art. 11 da LC nº 148, de 2014 somente seria aplicável durante a vigência dos mencionados contratos de refinanciamento de dívidas e de empréstimos com fundamentos nas mencionadas Lei e MPs. Caso contrário, tal dispositivo estaria em clara contradição com a previsão constitucional do art. 182, § 4º, inciso III, que prevê a desapropriação com pagamento mediante títulos da dívida pública como instrumento indutor da função social da propriedade.</w:t>
      </w:r>
    </w:p>
    <w:p w:rsidR="007259F2" w:rsidRDefault="007259F2">
      <w:pPr>
        <w:pStyle w:val="Corpodetexto"/>
        <w:sectPr w:rsidR="007259F2">
          <w:pgSz w:w="11910" w:h="16840"/>
          <w:pgMar w:top="1600" w:right="708" w:bottom="1020" w:left="992" w:header="0" w:footer="820" w:gutter="0"/>
          <w:cols w:space="720"/>
        </w:sectPr>
      </w:pPr>
    </w:p>
    <w:p w:rsidR="007259F2" w:rsidRDefault="00E655B4">
      <w:pPr>
        <w:pStyle w:val="Corpodetexto"/>
        <w:spacing w:before="75"/>
        <w:ind w:right="421"/>
      </w:pPr>
      <w:r>
        <w:lastRenderedPageBreak/>
        <w:t>Por conseguinte, a ATAJ de SMUL entendeu que, quando houver quitação plena das dívidas do Município de São Paulo para</w:t>
      </w:r>
      <w:r>
        <w:rPr>
          <w:spacing w:val="-2"/>
        </w:rPr>
        <w:t xml:space="preserve"> </w:t>
      </w:r>
      <w:r>
        <w:t>com a União, não haverá a</w:t>
      </w:r>
      <w:r>
        <w:rPr>
          <w:spacing w:val="-1"/>
        </w:rPr>
        <w:t xml:space="preserve"> </w:t>
      </w:r>
      <w:r>
        <w:t>vedação tanto do art.</w:t>
      </w:r>
      <w:r>
        <w:rPr>
          <w:spacing w:val="-1"/>
        </w:rPr>
        <w:t xml:space="preserve"> </w:t>
      </w:r>
      <w:r>
        <w:t>8º, I, da MP nº 2.185-35, de 2001, quanto do art. 11 da LC nº 148, de 2014, para que o Município possa eventualmente emitir, com a prévia aprovação do Senado Federal, títulos da dívida pública</w:t>
      </w:r>
      <w:r>
        <w:rPr>
          <w:spacing w:val="-2"/>
        </w:rPr>
        <w:t xml:space="preserve"> </w:t>
      </w:r>
      <w:r>
        <w:t>para</w:t>
      </w:r>
      <w:r>
        <w:rPr>
          <w:spacing w:val="-3"/>
        </w:rPr>
        <w:t xml:space="preserve"> </w:t>
      </w:r>
      <w:r>
        <w:t>o</w:t>
      </w:r>
      <w:r>
        <w:rPr>
          <w:spacing w:val="-1"/>
        </w:rPr>
        <w:t xml:space="preserve"> </w:t>
      </w:r>
      <w:r>
        <w:t>pagamento</w:t>
      </w:r>
      <w:r>
        <w:rPr>
          <w:spacing w:val="-1"/>
        </w:rPr>
        <w:t xml:space="preserve"> </w:t>
      </w:r>
      <w:r>
        <w:t>de</w:t>
      </w:r>
      <w:r>
        <w:rPr>
          <w:spacing w:val="-1"/>
        </w:rPr>
        <w:t xml:space="preserve"> </w:t>
      </w:r>
      <w:r>
        <w:t>desapropriações</w:t>
      </w:r>
      <w:r>
        <w:rPr>
          <w:spacing w:val="-1"/>
        </w:rPr>
        <w:t xml:space="preserve"> </w:t>
      </w:r>
      <w:r>
        <w:t>nos termos</w:t>
      </w:r>
      <w:r>
        <w:rPr>
          <w:spacing w:val="-1"/>
        </w:rPr>
        <w:t xml:space="preserve"> </w:t>
      </w:r>
      <w:r>
        <w:t>do</w:t>
      </w:r>
      <w:r>
        <w:rPr>
          <w:spacing w:val="-1"/>
        </w:rPr>
        <w:t xml:space="preserve"> </w:t>
      </w:r>
      <w:r>
        <w:t>art.</w:t>
      </w:r>
      <w:r>
        <w:rPr>
          <w:spacing w:val="-2"/>
        </w:rPr>
        <w:t xml:space="preserve"> </w:t>
      </w:r>
      <w:r>
        <w:t>182,</w:t>
      </w:r>
      <w:r>
        <w:rPr>
          <w:spacing w:val="-1"/>
        </w:rPr>
        <w:t xml:space="preserve"> </w:t>
      </w:r>
      <w:r>
        <w:t>§</w:t>
      </w:r>
      <w:r>
        <w:rPr>
          <w:spacing w:val="-1"/>
        </w:rPr>
        <w:t xml:space="preserve"> </w:t>
      </w:r>
      <w:r>
        <w:t>4º, III, da</w:t>
      </w:r>
      <w:r>
        <w:rPr>
          <w:spacing w:val="-2"/>
        </w:rPr>
        <w:t xml:space="preserve"> </w:t>
      </w:r>
      <w:r>
        <w:t>Constituição Federal (doc. 062335095).</w:t>
      </w:r>
    </w:p>
    <w:p w:rsidR="007259F2" w:rsidRDefault="00E655B4">
      <w:pPr>
        <w:pStyle w:val="Corpodetexto"/>
        <w:ind w:right="423"/>
      </w:pPr>
      <w:r>
        <w:t>Apesar de não ter sido noticiado nos autos a ocorrência da quitação integral da dívida de Município de São Paulo com a União Federal, sabe-se que já ocorreu a baixa contábil da referida dívida em 17/08/2022 (doc. 077451025), tendo a Procuradoria Geral do Município sugerido, com base nisso, que se dê prosseguimento à análise da conveniência e oportunidade relativa à emissão dos títulos da dívida pública, no contexto da política fiscal do Município e, havendo</w:t>
      </w:r>
      <w:r>
        <w:rPr>
          <w:spacing w:val="-11"/>
        </w:rPr>
        <w:t xml:space="preserve"> </w:t>
      </w:r>
      <w:r>
        <w:t>tal</w:t>
      </w:r>
      <w:r>
        <w:rPr>
          <w:spacing w:val="-8"/>
        </w:rPr>
        <w:t xml:space="preserve"> </w:t>
      </w:r>
      <w:r>
        <w:t>interesse,</w:t>
      </w:r>
      <w:r>
        <w:rPr>
          <w:spacing w:val="-10"/>
        </w:rPr>
        <w:t xml:space="preserve"> </w:t>
      </w:r>
      <w:r>
        <w:t>seja</w:t>
      </w:r>
      <w:r>
        <w:rPr>
          <w:spacing w:val="-11"/>
        </w:rPr>
        <w:t xml:space="preserve"> </w:t>
      </w:r>
      <w:r>
        <w:t>formulado</w:t>
      </w:r>
      <w:r>
        <w:rPr>
          <w:spacing w:val="-8"/>
        </w:rPr>
        <w:t xml:space="preserve"> </w:t>
      </w:r>
      <w:r>
        <w:t>pedido</w:t>
      </w:r>
      <w:r>
        <w:rPr>
          <w:spacing w:val="-5"/>
        </w:rPr>
        <w:t xml:space="preserve"> </w:t>
      </w:r>
      <w:r>
        <w:t>ao</w:t>
      </w:r>
      <w:r>
        <w:rPr>
          <w:spacing w:val="-11"/>
        </w:rPr>
        <w:t xml:space="preserve"> </w:t>
      </w:r>
      <w:r>
        <w:t>Senado</w:t>
      </w:r>
      <w:r>
        <w:rPr>
          <w:spacing w:val="-10"/>
        </w:rPr>
        <w:t xml:space="preserve"> </w:t>
      </w:r>
      <w:r>
        <w:t>Federal,</w:t>
      </w:r>
      <w:r>
        <w:rPr>
          <w:spacing w:val="-7"/>
        </w:rPr>
        <w:t xml:space="preserve"> </w:t>
      </w:r>
      <w:r>
        <w:t>ainda</w:t>
      </w:r>
      <w:r>
        <w:rPr>
          <w:spacing w:val="-9"/>
        </w:rPr>
        <w:t xml:space="preserve"> </w:t>
      </w:r>
      <w:r>
        <w:t>que</w:t>
      </w:r>
      <w:r>
        <w:rPr>
          <w:spacing w:val="-11"/>
        </w:rPr>
        <w:t xml:space="preserve"> </w:t>
      </w:r>
      <w:r>
        <w:t>não</w:t>
      </w:r>
      <w:r>
        <w:rPr>
          <w:spacing w:val="-10"/>
        </w:rPr>
        <w:t xml:space="preserve"> </w:t>
      </w:r>
      <w:r>
        <w:t>emitido</w:t>
      </w:r>
      <w:r>
        <w:rPr>
          <w:spacing w:val="-10"/>
        </w:rPr>
        <w:t xml:space="preserve"> </w:t>
      </w:r>
      <w:r>
        <w:t>o</w:t>
      </w:r>
      <w:r>
        <w:rPr>
          <w:spacing w:val="-11"/>
        </w:rPr>
        <w:t xml:space="preserve"> </w:t>
      </w:r>
      <w:r>
        <w:t>termo de quitação, sem prejuízo de complementação do pedido no curso do procedimento, caso isso venha</w:t>
      </w:r>
      <w:r>
        <w:rPr>
          <w:spacing w:val="-9"/>
        </w:rPr>
        <w:t xml:space="preserve"> </w:t>
      </w:r>
      <w:r>
        <w:t>a</w:t>
      </w:r>
      <w:r>
        <w:rPr>
          <w:spacing w:val="-9"/>
        </w:rPr>
        <w:t xml:space="preserve"> </w:t>
      </w:r>
      <w:r>
        <w:t>ser</w:t>
      </w:r>
      <w:r>
        <w:rPr>
          <w:spacing w:val="-9"/>
        </w:rPr>
        <w:t xml:space="preserve"> </w:t>
      </w:r>
      <w:r>
        <w:t>tido</w:t>
      </w:r>
      <w:r>
        <w:rPr>
          <w:spacing w:val="-6"/>
        </w:rPr>
        <w:t xml:space="preserve"> </w:t>
      </w:r>
      <w:r>
        <w:t>com</w:t>
      </w:r>
      <w:r>
        <w:rPr>
          <w:spacing w:val="-5"/>
        </w:rPr>
        <w:t xml:space="preserve"> </w:t>
      </w:r>
      <w:r>
        <w:t>realmente</w:t>
      </w:r>
      <w:r>
        <w:rPr>
          <w:spacing w:val="-5"/>
        </w:rPr>
        <w:t xml:space="preserve"> </w:t>
      </w:r>
      <w:r>
        <w:t>necessário,</w:t>
      </w:r>
      <w:r>
        <w:rPr>
          <w:spacing w:val="-6"/>
        </w:rPr>
        <w:t xml:space="preserve"> </w:t>
      </w:r>
      <w:r>
        <w:t>no</w:t>
      </w:r>
      <w:r>
        <w:rPr>
          <w:spacing w:val="-6"/>
        </w:rPr>
        <w:t xml:space="preserve"> </w:t>
      </w:r>
      <w:r>
        <w:t>entendimento</w:t>
      </w:r>
      <w:r>
        <w:rPr>
          <w:spacing w:val="-5"/>
        </w:rPr>
        <w:t xml:space="preserve"> </w:t>
      </w:r>
      <w:r>
        <w:t>do</w:t>
      </w:r>
      <w:r>
        <w:rPr>
          <w:spacing w:val="-6"/>
        </w:rPr>
        <w:t xml:space="preserve"> </w:t>
      </w:r>
      <w:r>
        <w:t>órgão</w:t>
      </w:r>
      <w:r>
        <w:rPr>
          <w:spacing w:val="-6"/>
        </w:rPr>
        <w:t xml:space="preserve"> </w:t>
      </w:r>
      <w:r>
        <w:t>responsável</w:t>
      </w:r>
      <w:r>
        <w:rPr>
          <w:spacing w:val="-4"/>
        </w:rPr>
        <w:t xml:space="preserve"> </w:t>
      </w:r>
      <w:r>
        <w:t>pela</w:t>
      </w:r>
      <w:r>
        <w:rPr>
          <w:spacing w:val="-6"/>
        </w:rPr>
        <w:t xml:space="preserve"> </w:t>
      </w:r>
      <w:r>
        <w:t>decisão a respeito.</w:t>
      </w:r>
    </w:p>
    <w:p w:rsidR="007259F2" w:rsidRDefault="00E655B4">
      <w:pPr>
        <w:pStyle w:val="Corpodetexto"/>
        <w:spacing w:before="1"/>
        <w:ind w:right="423"/>
      </w:pPr>
      <w:r>
        <w:t>Verifica-se, portanto, que no cenário atual o Município de São Paulo despiu-se dos impedimentos</w:t>
      </w:r>
      <w:r>
        <w:rPr>
          <w:spacing w:val="-13"/>
        </w:rPr>
        <w:t xml:space="preserve"> </w:t>
      </w:r>
      <w:r>
        <w:t>existentes</w:t>
      </w:r>
      <w:r>
        <w:rPr>
          <w:spacing w:val="-15"/>
        </w:rPr>
        <w:t xml:space="preserve"> </w:t>
      </w:r>
      <w:r>
        <w:t>para</w:t>
      </w:r>
      <w:r>
        <w:rPr>
          <w:spacing w:val="-15"/>
        </w:rPr>
        <w:t xml:space="preserve"> </w:t>
      </w:r>
      <w:r>
        <w:t>emissão</w:t>
      </w:r>
      <w:r>
        <w:rPr>
          <w:spacing w:val="-13"/>
        </w:rPr>
        <w:t xml:space="preserve"> </w:t>
      </w:r>
      <w:r>
        <w:t>de</w:t>
      </w:r>
      <w:r>
        <w:rPr>
          <w:spacing w:val="-14"/>
        </w:rPr>
        <w:t xml:space="preserve"> </w:t>
      </w:r>
      <w:r>
        <w:t>novos</w:t>
      </w:r>
      <w:r>
        <w:rPr>
          <w:spacing w:val="-13"/>
        </w:rPr>
        <w:t xml:space="preserve"> </w:t>
      </w:r>
      <w:r>
        <w:t>títulos</w:t>
      </w:r>
      <w:r>
        <w:rPr>
          <w:spacing w:val="-12"/>
        </w:rPr>
        <w:t xml:space="preserve"> </w:t>
      </w:r>
      <w:r>
        <w:t>da</w:t>
      </w:r>
      <w:r>
        <w:rPr>
          <w:spacing w:val="-14"/>
        </w:rPr>
        <w:t xml:space="preserve"> </w:t>
      </w:r>
      <w:r>
        <w:t>dívida</w:t>
      </w:r>
      <w:r>
        <w:rPr>
          <w:spacing w:val="-14"/>
        </w:rPr>
        <w:t xml:space="preserve"> </w:t>
      </w:r>
      <w:r>
        <w:t>ativa,</w:t>
      </w:r>
      <w:r>
        <w:rPr>
          <w:spacing w:val="-13"/>
        </w:rPr>
        <w:t xml:space="preserve"> </w:t>
      </w:r>
      <w:r>
        <w:t>de</w:t>
      </w:r>
      <w:r>
        <w:rPr>
          <w:spacing w:val="-14"/>
        </w:rPr>
        <w:t xml:space="preserve"> </w:t>
      </w:r>
      <w:r>
        <w:t>modo</w:t>
      </w:r>
      <w:r>
        <w:rPr>
          <w:spacing w:val="-12"/>
        </w:rPr>
        <w:t xml:space="preserve"> </w:t>
      </w:r>
      <w:r>
        <w:t>que</w:t>
      </w:r>
      <w:r>
        <w:rPr>
          <w:spacing w:val="-14"/>
        </w:rPr>
        <w:t xml:space="preserve"> </w:t>
      </w:r>
      <w:r>
        <w:t>a</w:t>
      </w:r>
      <w:r>
        <w:rPr>
          <w:spacing w:val="-14"/>
        </w:rPr>
        <w:t xml:space="preserve"> </w:t>
      </w:r>
      <w:r>
        <w:t>aplicação da desapropriação sanção ficaria agora à cargo, como antes dito, da discricionariedade da Administração Pública e de aprovação do Senado Federal.</w:t>
      </w:r>
    </w:p>
    <w:p w:rsidR="007259F2" w:rsidRDefault="00E655B4">
      <w:pPr>
        <w:pStyle w:val="Corpodetexto"/>
        <w:ind w:right="420"/>
      </w:pPr>
      <w:r>
        <w:t>Há de se destacar, porém, a impossibilidade de se aplicar, até então, o prazo de 1 (um) ano, a contar da 5ª alíquota do IPTU progressivo, para publicação do respectivo decreto de desapropriação</w:t>
      </w:r>
      <w:r>
        <w:rPr>
          <w:spacing w:val="-10"/>
        </w:rPr>
        <w:t xml:space="preserve"> </w:t>
      </w:r>
      <w:r>
        <w:t>quando</w:t>
      </w:r>
      <w:r>
        <w:rPr>
          <w:spacing w:val="-10"/>
        </w:rPr>
        <w:t xml:space="preserve"> </w:t>
      </w:r>
      <w:r>
        <w:t>há</w:t>
      </w:r>
      <w:r>
        <w:rPr>
          <w:spacing w:val="-14"/>
        </w:rPr>
        <w:t xml:space="preserve"> </w:t>
      </w:r>
      <w:r>
        <w:t>interesse</w:t>
      </w:r>
      <w:r>
        <w:rPr>
          <w:spacing w:val="-11"/>
        </w:rPr>
        <w:t xml:space="preserve"> </w:t>
      </w:r>
      <w:r>
        <w:t>público</w:t>
      </w:r>
      <w:r>
        <w:rPr>
          <w:spacing w:val="-10"/>
        </w:rPr>
        <w:t xml:space="preserve"> </w:t>
      </w:r>
      <w:r>
        <w:t>no</w:t>
      </w:r>
      <w:r>
        <w:rPr>
          <w:spacing w:val="-11"/>
        </w:rPr>
        <w:t xml:space="preserve"> </w:t>
      </w:r>
      <w:r>
        <w:t>imóvel</w:t>
      </w:r>
      <w:r>
        <w:rPr>
          <w:spacing w:val="-10"/>
        </w:rPr>
        <w:t xml:space="preserve"> </w:t>
      </w:r>
      <w:r>
        <w:t>ocioso,</w:t>
      </w:r>
      <w:r>
        <w:rPr>
          <w:spacing w:val="-10"/>
        </w:rPr>
        <w:t xml:space="preserve"> </w:t>
      </w:r>
      <w:r>
        <w:t>conforme</w:t>
      </w:r>
      <w:r>
        <w:rPr>
          <w:spacing w:val="-11"/>
        </w:rPr>
        <w:t xml:space="preserve"> </w:t>
      </w:r>
      <w:r>
        <w:t>previsto</w:t>
      </w:r>
      <w:r>
        <w:rPr>
          <w:spacing w:val="-10"/>
        </w:rPr>
        <w:t xml:space="preserve"> </w:t>
      </w:r>
      <w:r>
        <w:t>no</w:t>
      </w:r>
      <w:r>
        <w:rPr>
          <w:spacing w:val="-11"/>
        </w:rPr>
        <w:t xml:space="preserve"> </w:t>
      </w:r>
      <w:r>
        <w:t>art.</w:t>
      </w:r>
      <w:r>
        <w:rPr>
          <w:spacing w:val="-11"/>
        </w:rPr>
        <w:t xml:space="preserve"> </w:t>
      </w:r>
      <w:r>
        <w:t>99,</w:t>
      </w:r>
      <w:r>
        <w:rPr>
          <w:spacing w:val="-13"/>
        </w:rPr>
        <w:t xml:space="preserve"> </w:t>
      </w:r>
      <w:r>
        <w:t>§2º do PDE, diante dos impedimentos citados anteriormente.</w:t>
      </w:r>
    </w:p>
    <w:p w:rsidR="007259F2" w:rsidRDefault="00E655B4">
      <w:pPr>
        <w:pStyle w:val="Corpodetexto"/>
        <w:spacing w:before="1"/>
        <w:ind w:right="421"/>
      </w:pPr>
      <w:r>
        <w:t>Com isso, indaga-se: os imóveis que se encontram hoje na 5ª alíquota do IPTU progressivo há mais de um ano não mais poderão ser objeto da desapropriação sanção até que ocorra a situação prevista no art. 99, §5º, do PDE, segundo o qual “Caso o valor da dívida relativa ao IPTU supere o valor do imóvel, a Prefeitura deverá proceder à desapropriação do imóvel</w:t>
      </w:r>
      <w:r>
        <w:rPr>
          <w:spacing w:val="-1"/>
        </w:rPr>
        <w:t xml:space="preserve"> </w:t>
      </w:r>
      <w:r>
        <w:t>e,</w:t>
      </w:r>
      <w:r>
        <w:rPr>
          <w:spacing w:val="-1"/>
        </w:rPr>
        <w:t xml:space="preserve"> </w:t>
      </w:r>
      <w:r>
        <w:t>na</w:t>
      </w:r>
      <w:r>
        <w:rPr>
          <w:spacing w:val="-1"/>
        </w:rPr>
        <w:t xml:space="preserve"> </w:t>
      </w:r>
      <w:r>
        <w:t>hipótese</w:t>
      </w:r>
      <w:r>
        <w:rPr>
          <w:spacing w:val="-1"/>
        </w:rPr>
        <w:t xml:space="preserve"> </w:t>
      </w:r>
      <w:r>
        <w:t>de não</w:t>
      </w:r>
      <w:r>
        <w:rPr>
          <w:spacing w:val="-1"/>
        </w:rPr>
        <w:t xml:space="preserve"> </w:t>
      </w:r>
      <w:r>
        <w:t>ter</w:t>
      </w:r>
      <w:r>
        <w:rPr>
          <w:spacing w:val="-3"/>
        </w:rPr>
        <w:t xml:space="preserve"> </w:t>
      </w:r>
      <w:r>
        <w:t>interesse público para</w:t>
      </w:r>
      <w:r>
        <w:rPr>
          <w:spacing w:val="-3"/>
        </w:rPr>
        <w:t xml:space="preserve"> </w:t>
      </w:r>
      <w:r>
        <w:t>utilização</w:t>
      </w:r>
      <w:r>
        <w:rPr>
          <w:spacing w:val="-1"/>
        </w:rPr>
        <w:t xml:space="preserve"> </w:t>
      </w:r>
      <w:r>
        <w:t>em</w:t>
      </w:r>
      <w:r>
        <w:rPr>
          <w:spacing w:val="-1"/>
        </w:rPr>
        <w:t xml:space="preserve"> </w:t>
      </w:r>
      <w:r>
        <w:t>programas do</w:t>
      </w:r>
      <w:r>
        <w:rPr>
          <w:spacing w:val="-1"/>
        </w:rPr>
        <w:t xml:space="preserve"> </w:t>
      </w:r>
      <w:r>
        <w:t>Município, poderá aliená-lo a terceiros”?</w:t>
      </w:r>
    </w:p>
    <w:p w:rsidR="007259F2" w:rsidRDefault="00E655B4">
      <w:pPr>
        <w:pStyle w:val="Corpodetexto"/>
        <w:ind w:right="422"/>
      </w:pPr>
      <w:r>
        <w:t>Tal questionamento carece de análise interna, de modo que, se o cumprimento do referido prazo for compulsório, a aplicação do instrumento de desapropriação sanção estará mais</w:t>
      </w:r>
      <w:r>
        <w:rPr>
          <w:spacing w:val="-15"/>
        </w:rPr>
        <w:t xml:space="preserve"> </w:t>
      </w:r>
      <w:r>
        <w:t>uma</w:t>
      </w:r>
      <w:r>
        <w:rPr>
          <w:spacing w:val="-15"/>
        </w:rPr>
        <w:t xml:space="preserve"> </w:t>
      </w:r>
      <w:r>
        <w:t>vez</w:t>
      </w:r>
      <w:r>
        <w:rPr>
          <w:spacing w:val="-15"/>
        </w:rPr>
        <w:t xml:space="preserve"> </w:t>
      </w:r>
      <w:r>
        <w:t>limitado,</w:t>
      </w:r>
      <w:r>
        <w:rPr>
          <w:spacing w:val="-14"/>
        </w:rPr>
        <w:t xml:space="preserve"> </w:t>
      </w:r>
      <w:r>
        <w:t>ainda</w:t>
      </w:r>
      <w:r>
        <w:rPr>
          <w:spacing w:val="-15"/>
        </w:rPr>
        <w:t xml:space="preserve"> </w:t>
      </w:r>
      <w:r>
        <w:t>mais</w:t>
      </w:r>
      <w:r>
        <w:rPr>
          <w:spacing w:val="-15"/>
        </w:rPr>
        <w:t xml:space="preserve"> </w:t>
      </w:r>
      <w:r>
        <w:t>considerando</w:t>
      </w:r>
      <w:r>
        <w:rPr>
          <w:spacing w:val="-14"/>
        </w:rPr>
        <w:t xml:space="preserve"> </w:t>
      </w:r>
      <w:r>
        <w:t>que</w:t>
      </w:r>
      <w:r>
        <w:rPr>
          <w:spacing w:val="-15"/>
        </w:rPr>
        <w:t xml:space="preserve"> </w:t>
      </w:r>
      <w:r>
        <w:t>o</w:t>
      </w:r>
      <w:r>
        <w:rPr>
          <w:spacing w:val="-15"/>
        </w:rPr>
        <w:t xml:space="preserve"> </w:t>
      </w:r>
      <w:r>
        <w:t>prazo</w:t>
      </w:r>
      <w:r>
        <w:rPr>
          <w:spacing w:val="-15"/>
        </w:rPr>
        <w:t xml:space="preserve"> </w:t>
      </w:r>
      <w:r>
        <w:t>estipulado</w:t>
      </w:r>
      <w:r>
        <w:rPr>
          <w:spacing w:val="-15"/>
        </w:rPr>
        <w:t xml:space="preserve"> </w:t>
      </w:r>
      <w:r>
        <w:t>é</w:t>
      </w:r>
      <w:r>
        <w:rPr>
          <w:spacing w:val="-15"/>
        </w:rPr>
        <w:t xml:space="preserve"> </w:t>
      </w:r>
      <w:r>
        <w:t>exíguo</w:t>
      </w:r>
      <w:r>
        <w:rPr>
          <w:spacing w:val="-14"/>
        </w:rPr>
        <w:t xml:space="preserve"> </w:t>
      </w:r>
      <w:r>
        <w:t>e</w:t>
      </w:r>
      <w:r>
        <w:rPr>
          <w:spacing w:val="-15"/>
        </w:rPr>
        <w:t xml:space="preserve"> </w:t>
      </w:r>
      <w:r>
        <w:t>desconsidera a complexidade do procedimento de verificação do interesse público e a eventual superveniência do interesse sobre o imóvel ocioso.</w:t>
      </w:r>
    </w:p>
    <w:p w:rsidR="007259F2" w:rsidRDefault="00E655B4">
      <w:pPr>
        <w:pStyle w:val="Corpodetexto"/>
        <w:ind w:right="420"/>
      </w:pPr>
      <w:r>
        <w:t>Vale dizer, por fim, que o art. 99, §5º do PDE retira do Poder Público a discricionariedade</w:t>
      </w:r>
      <w:r>
        <w:rPr>
          <w:spacing w:val="-15"/>
        </w:rPr>
        <w:t xml:space="preserve"> </w:t>
      </w:r>
      <w:r>
        <w:t>antes</w:t>
      </w:r>
      <w:r>
        <w:rPr>
          <w:spacing w:val="-15"/>
        </w:rPr>
        <w:t xml:space="preserve"> </w:t>
      </w:r>
      <w:r>
        <w:t>mencionada.</w:t>
      </w:r>
      <w:r>
        <w:rPr>
          <w:spacing w:val="-15"/>
        </w:rPr>
        <w:t xml:space="preserve"> </w:t>
      </w:r>
      <w:r>
        <w:t>Além</w:t>
      </w:r>
      <w:r>
        <w:rPr>
          <w:spacing w:val="-13"/>
        </w:rPr>
        <w:t xml:space="preserve"> </w:t>
      </w:r>
      <w:r>
        <w:t>disso,</w:t>
      </w:r>
      <w:r>
        <w:rPr>
          <w:spacing w:val="-12"/>
        </w:rPr>
        <w:t xml:space="preserve"> </w:t>
      </w:r>
      <w:r>
        <w:t>cabe</w:t>
      </w:r>
      <w:r>
        <w:rPr>
          <w:spacing w:val="-14"/>
        </w:rPr>
        <w:t xml:space="preserve"> </w:t>
      </w:r>
      <w:r>
        <w:t>mencionar</w:t>
      </w:r>
      <w:r>
        <w:rPr>
          <w:spacing w:val="-14"/>
        </w:rPr>
        <w:t xml:space="preserve"> </w:t>
      </w:r>
      <w:r>
        <w:t>que</w:t>
      </w:r>
      <w:r>
        <w:rPr>
          <w:spacing w:val="-14"/>
        </w:rPr>
        <w:t xml:space="preserve"> </w:t>
      </w:r>
      <w:r>
        <w:t>tal</w:t>
      </w:r>
      <w:r>
        <w:rPr>
          <w:spacing w:val="-11"/>
        </w:rPr>
        <w:t xml:space="preserve"> </w:t>
      </w:r>
      <w:r>
        <w:t>dispositivo</w:t>
      </w:r>
      <w:r>
        <w:rPr>
          <w:spacing w:val="-5"/>
        </w:rPr>
        <w:t xml:space="preserve"> </w:t>
      </w:r>
      <w:r>
        <w:t>ainda</w:t>
      </w:r>
      <w:r>
        <w:rPr>
          <w:spacing w:val="-13"/>
        </w:rPr>
        <w:t xml:space="preserve"> </w:t>
      </w:r>
      <w:r>
        <w:t>não foi</w:t>
      </w:r>
      <w:r>
        <w:rPr>
          <w:spacing w:val="-10"/>
        </w:rPr>
        <w:t xml:space="preserve"> </w:t>
      </w:r>
      <w:r>
        <w:t>regulamentado,</w:t>
      </w:r>
      <w:r>
        <w:rPr>
          <w:spacing w:val="-10"/>
        </w:rPr>
        <w:t xml:space="preserve"> </w:t>
      </w:r>
      <w:r>
        <w:t>de</w:t>
      </w:r>
      <w:r>
        <w:rPr>
          <w:spacing w:val="-12"/>
        </w:rPr>
        <w:t xml:space="preserve"> </w:t>
      </w:r>
      <w:r>
        <w:t>modo</w:t>
      </w:r>
      <w:r>
        <w:rPr>
          <w:spacing w:val="-9"/>
        </w:rPr>
        <w:t xml:space="preserve"> </w:t>
      </w:r>
      <w:r>
        <w:t>que</w:t>
      </w:r>
      <w:r>
        <w:rPr>
          <w:spacing w:val="-13"/>
        </w:rPr>
        <w:t xml:space="preserve"> </w:t>
      </w:r>
      <w:r>
        <w:t>não</w:t>
      </w:r>
      <w:r>
        <w:rPr>
          <w:spacing w:val="-7"/>
        </w:rPr>
        <w:t xml:space="preserve"> </w:t>
      </w:r>
      <w:r>
        <w:t>existem,</w:t>
      </w:r>
      <w:r>
        <w:rPr>
          <w:spacing w:val="-9"/>
        </w:rPr>
        <w:t xml:space="preserve"> </w:t>
      </w:r>
      <w:r>
        <w:t>até</w:t>
      </w:r>
      <w:r>
        <w:rPr>
          <w:spacing w:val="-12"/>
        </w:rPr>
        <w:t xml:space="preserve"> </w:t>
      </w:r>
      <w:r>
        <w:t>o</w:t>
      </w:r>
      <w:r>
        <w:rPr>
          <w:spacing w:val="-5"/>
        </w:rPr>
        <w:t xml:space="preserve"> </w:t>
      </w:r>
      <w:r>
        <w:t>momento,</w:t>
      </w:r>
      <w:r>
        <w:rPr>
          <w:spacing w:val="-9"/>
        </w:rPr>
        <w:t xml:space="preserve"> </w:t>
      </w:r>
      <w:r>
        <w:t>diretrizes</w:t>
      </w:r>
      <w:r>
        <w:rPr>
          <w:spacing w:val="-9"/>
        </w:rPr>
        <w:t xml:space="preserve"> </w:t>
      </w:r>
      <w:r>
        <w:t>quanto</w:t>
      </w:r>
      <w:r>
        <w:rPr>
          <w:spacing w:val="-8"/>
        </w:rPr>
        <w:t xml:space="preserve"> </w:t>
      </w:r>
      <w:r>
        <w:t>à</w:t>
      </w:r>
      <w:r>
        <w:rPr>
          <w:spacing w:val="-13"/>
        </w:rPr>
        <w:t xml:space="preserve"> </w:t>
      </w:r>
      <w:r>
        <w:t>sua</w:t>
      </w:r>
      <w:r>
        <w:rPr>
          <w:spacing w:val="-8"/>
        </w:rPr>
        <w:t xml:space="preserve"> </w:t>
      </w:r>
      <w:r>
        <w:t>aplicação, o que dificulta sua observância.</w:t>
      </w:r>
    </w:p>
    <w:p w:rsidR="007259F2" w:rsidRDefault="00E655B4">
      <w:pPr>
        <w:pStyle w:val="Corpodetexto"/>
        <w:ind w:right="421"/>
      </w:pPr>
      <w:r>
        <w:t>Apesar dos impedimentos existentes até pouco tempo e da necessária regulamentação do</w:t>
      </w:r>
      <w:r>
        <w:rPr>
          <w:spacing w:val="-5"/>
        </w:rPr>
        <w:t xml:space="preserve"> </w:t>
      </w:r>
      <w:r>
        <w:t>art.</w:t>
      </w:r>
      <w:r>
        <w:rPr>
          <w:spacing w:val="-5"/>
        </w:rPr>
        <w:t xml:space="preserve"> </w:t>
      </w:r>
      <w:r>
        <w:t>99,</w:t>
      </w:r>
      <w:r>
        <w:rPr>
          <w:spacing w:val="-5"/>
        </w:rPr>
        <w:t xml:space="preserve"> </w:t>
      </w:r>
      <w:r>
        <w:t>§§</w:t>
      </w:r>
      <w:r>
        <w:rPr>
          <w:spacing w:val="-5"/>
        </w:rPr>
        <w:t xml:space="preserve"> </w:t>
      </w:r>
      <w:r>
        <w:t>2º</w:t>
      </w:r>
      <w:r>
        <w:rPr>
          <w:spacing w:val="-5"/>
        </w:rPr>
        <w:t xml:space="preserve"> </w:t>
      </w:r>
      <w:r>
        <w:t>e</w:t>
      </w:r>
      <w:r>
        <w:rPr>
          <w:spacing w:val="-6"/>
        </w:rPr>
        <w:t xml:space="preserve"> </w:t>
      </w:r>
      <w:r>
        <w:t>5º,</w:t>
      </w:r>
      <w:r>
        <w:rPr>
          <w:spacing w:val="-5"/>
        </w:rPr>
        <w:t xml:space="preserve"> </w:t>
      </w:r>
      <w:r>
        <w:t>não se</w:t>
      </w:r>
      <w:r>
        <w:rPr>
          <w:spacing w:val="-4"/>
        </w:rPr>
        <w:t xml:space="preserve"> </w:t>
      </w:r>
      <w:r>
        <w:t>pode</w:t>
      </w:r>
      <w:r>
        <w:rPr>
          <w:spacing w:val="-6"/>
        </w:rPr>
        <w:t xml:space="preserve"> </w:t>
      </w:r>
      <w:r>
        <w:t>perder</w:t>
      </w:r>
      <w:r>
        <w:rPr>
          <w:spacing w:val="-6"/>
        </w:rPr>
        <w:t xml:space="preserve"> </w:t>
      </w:r>
      <w:r>
        <w:t>de</w:t>
      </w:r>
      <w:r>
        <w:rPr>
          <w:spacing w:val="-6"/>
        </w:rPr>
        <w:t xml:space="preserve"> </w:t>
      </w:r>
      <w:r>
        <w:t>vista</w:t>
      </w:r>
      <w:r>
        <w:rPr>
          <w:spacing w:val="-5"/>
        </w:rPr>
        <w:t xml:space="preserve"> </w:t>
      </w:r>
      <w:r>
        <w:t>a</w:t>
      </w:r>
      <w:r>
        <w:rPr>
          <w:spacing w:val="-1"/>
        </w:rPr>
        <w:t xml:space="preserve"> </w:t>
      </w:r>
      <w:r>
        <w:t>aplicação</w:t>
      </w:r>
      <w:r>
        <w:rPr>
          <w:spacing w:val="-4"/>
        </w:rPr>
        <w:t xml:space="preserve"> </w:t>
      </w:r>
      <w:r>
        <w:t>do</w:t>
      </w:r>
      <w:r>
        <w:rPr>
          <w:spacing w:val="-5"/>
        </w:rPr>
        <w:t xml:space="preserve"> </w:t>
      </w:r>
      <w:r>
        <w:t>instrumento</w:t>
      </w:r>
      <w:r>
        <w:rPr>
          <w:spacing w:val="-1"/>
        </w:rPr>
        <w:t xml:space="preserve"> </w:t>
      </w:r>
      <w:r>
        <w:t>da</w:t>
      </w:r>
      <w:r>
        <w:rPr>
          <w:spacing w:val="-6"/>
        </w:rPr>
        <w:t xml:space="preserve"> </w:t>
      </w:r>
      <w:r>
        <w:t>desapropriação sanção.</w:t>
      </w:r>
      <w:r>
        <w:rPr>
          <w:spacing w:val="-8"/>
        </w:rPr>
        <w:t xml:space="preserve"> </w:t>
      </w:r>
      <w:r>
        <w:t>Isso</w:t>
      </w:r>
      <w:r>
        <w:rPr>
          <w:spacing w:val="-13"/>
        </w:rPr>
        <w:t xml:space="preserve"> </w:t>
      </w:r>
      <w:r>
        <w:t>porque,</w:t>
      </w:r>
      <w:r>
        <w:rPr>
          <w:spacing w:val="-13"/>
        </w:rPr>
        <w:t xml:space="preserve"> </w:t>
      </w:r>
      <w:r>
        <w:t>com</w:t>
      </w:r>
      <w:r>
        <w:rPr>
          <w:spacing w:val="-7"/>
        </w:rPr>
        <w:t xml:space="preserve"> </w:t>
      </w:r>
      <w:r>
        <w:t>ele,</w:t>
      </w:r>
      <w:r>
        <w:rPr>
          <w:spacing w:val="-13"/>
        </w:rPr>
        <w:t xml:space="preserve"> </w:t>
      </w:r>
      <w:r>
        <w:t>o</w:t>
      </w:r>
      <w:r>
        <w:rPr>
          <w:spacing w:val="-13"/>
        </w:rPr>
        <w:t xml:space="preserve"> </w:t>
      </w:r>
      <w:r>
        <w:t>Poder</w:t>
      </w:r>
      <w:r>
        <w:rPr>
          <w:spacing w:val="-15"/>
        </w:rPr>
        <w:t xml:space="preserve"> </w:t>
      </w:r>
      <w:r>
        <w:t>Público</w:t>
      </w:r>
      <w:r>
        <w:rPr>
          <w:spacing w:val="-13"/>
        </w:rPr>
        <w:t xml:space="preserve"> </w:t>
      </w:r>
      <w:r>
        <w:t>municipal</w:t>
      </w:r>
      <w:r>
        <w:rPr>
          <w:spacing w:val="-12"/>
        </w:rPr>
        <w:t xml:space="preserve"> </w:t>
      </w:r>
      <w:r>
        <w:t>pode</w:t>
      </w:r>
      <w:r>
        <w:rPr>
          <w:spacing w:val="-15"/>
        </w:rPr>
        <w:t xml:space="preserve"> </w:t>
      </w:r>
      <w:r>
        <w:t>dar</w:t>
      </w:r>
      <w:r>
        <w:rPr>
          <w:spacing w:val="-14"/>
        </w:rPr>
        <w:t xml:space="preserve"> </w:t>
      </w:r>
      <w:r>
        <w:t>utilidade</w:t>
      </w:r>
      <w:r>
        <w:rPr>
          <w:spacing w:val="-13"/>
        </w:rPr>
        <w:t xml:space="preserve"> </w:t>
      </w:r>
      <w:r>
        <w:t>aos</w:t>
      </w:r>
      <w:r>
        <w:rPr>
          <w:spacing w:val="-12"/>
        </w:rPr>
        <w:t xml:space="preserve"> </w:t>
      </w:r>
      <w:r>
        <w:t>imóveis</w:t>
      </w:r>
      <w:r>
        <w:rPr>
          <w:spacing w:val="-12"/>
        </w:rPr>
        <w:t xml:space="preserve"> </w:t>
      </w:r>
      <w:r>
        <w:t>ociosos de acordo com as necessidades percebidas para as regiões nas quais estão inseridos, promovendo, assim, o equilíbrio dos espaços urbanos.</w:t>
      </w:r>
    </w:p>
    <w:p w:rsidR="007259F2" w:rsidRDefault="00E655B4">
      <w:pPr>
        <w:pStyle w:val="Heading2"/>
        <w:numPr>
          <w:ilvl w:val="0"/>
          <w:numId w:val="13"/>
        </w:numPr>
        <w:tabs>
          <w:tab w:val="left" w:pos="1134"/>
        </w:tabs>
        <w:spacing w:before="205"/>
        <w:ind w:left="1134" w:right="564"/>
        <w:jc w:val="both"/>
      </w:pPr>
      <w:r>
        <w:t>Instrumentos alternativos para o cumprimento da função social da propriedade urbana incluídos pela revisão do PDE</w:t>
      </w:r>
    </w:p>
    <w:p w:rsidR="007259F2" w:rsidRDefault="00E655B4">
      <w:pPr>
        <w:pStyle w:val="Corpodetexto"/>
        <w:spacing w:before="115"/>
        <w:ind w:right="422"/>
      </w:pPr>
      <w:r>
        <w:t>Tendo</w:t>
      </w:r>
      <w:r>
        <w:rPr>
          <w:spacing w:val="-9"/>
        </w:rPr>
        <w:t xml:space="preserve"> </w:t>
      </w:r>
      <w:r>
        <w:t>em</w:t>
      </w:r>
      <w:r>
        <w:rPr>
          <w:spacing w:val="-6"/>
        </w:rPr>
        <w:t xml:space="preserve"> </w:t>
      </w:r>
      <w:r>
        <w:t>vista</w:t>
      </w:r>
      <w:r>
        <w:rPr>
          <w:spacing w:val="-9"/>
        </w:rPr>
        <w:t xml:space="preserve"> </w:t>
      </w:r>
      <w:r>
        <w:t>as</w:t>
      </w:r>
      <w:r>
        <w:rPr>
          <w:spacing w:val="-7"/>
        </w:rPr>
        <w:t xml:space="preserve"> </w:t>
      </w:r>
      <w:r>
        <w:t>dificuldades</w:t>
      </w:r>
      <w:r>
        <w:rPr>
          <w:spacing w:val="-6"/>
        </w:rPr>
        <w:t xml:space="preserve"> </w:t>
      </w:r>
      <w:r>
        <w:t>elencadas</w:t>
      </w:r>
      <w:r>
        <w:rPr>
          <w:spacing w:val="-3"/>
        </w:rPr>
        <w:t xml:space="preserve"> </w:t>
      </w:r>
      <w:r>
        <w:t>anteriormente</w:t>
      </w:r>
      <w:r>
        <w:rPr>
          <w:spacing w:val="-9"/>
        </w:rPr>
        <w:t xml:space="preserve"> </w:t>
      </w:r>
      <w:r>
        <w:t>na</w:t>
      </w:r>
      <w:r>
        <w:rPr>
          <w:spacing w:val="-8"/>
        </w:rPr>
        <w:t xml:space="preserve"> </w:t>
      </w:r>
      <w:r>
        <w:t>aplicação</w:t>
      </w:r>
      <w:r>
        <w:rPr>
          <w:spacing w:val="-6"/>
        </w:rPr>
        <w:t xml:space="preserve"> </w:t>
      </w:r>
      <w:r>
        <w:t>do</w:t>
      </w:r>
      <w:r>
        <w:rPr>
          <w:spacing w:val="-9"/>
        </w:rPr>
        <w:t xml:space="preserve"> </w:t>
      </w:r>
      <w:r>
        <w:t>instrumento</w:t>
      </w:r>
      <w:r>
        <w:rPr>
          <w:spacing w:val="-9"/>
        </w:rPr>
        <w:t xml:space="preserve"> </w:t>
      </w:r>
      <w:r>
        <w:t>da desapropriação</w:t>
      </w:r>
      <w:r>
        <w:rPr>
          <w:spacing w:val="-6"/>
        </w:rPr>
        <w:t xml:space="preserve"> </w:t>
      </w:r>
      <w:r>
        <w:t>sanção,</w:t>
      </w:r>
      <w:r>
        <w:rPr>
          <w:spacing w:val="-5"/>
        </w:rPr>
        <w:t xml:space="preserve"> </w:t>
      </w:r>
      <w:r>
        <w:t>bem</w:t>
      </w:r>
      <w:r>
        <w:rPr>
          <w:spacing w:val="-5"/>
        </w:rPr>
        <w:t xml:space="preserve"> </w:t>
      </w:r>
      <w:r>
        <w:t>como</w:t>
      </w:r>
      <w:r>
        <w:rPr>
          <w:spacing w:val="-3"/>
        </w:rPr>
        <w:t xml:space="preserve"> </w:t>
      </w:r>
      <w:r>
        <w:t>a</w:t>
      </w:r>
      <w:r>
        <w:rPr>
          <w:spacing w:val="-7"/>
        </w:rPr>
        <w:t xml:space="preserve"> </w:t>
      </w:r>
      <w:r>
        <w:t>baixa</w:t>
      </w:r>
      <w:r>
        <w:rPr>
          <w:spacing w:val="-6"/>
        </w:rPr>
        <w:t xml:space="preserve"> </w:t>
      </w:r>
      <w:r>
        <w:t>eficácia</w:t>
      </w:r>
      <w:r>
        <w:rPr>
          <w:spacing w:val="-1"/>
        </w:rPr>
        <w:t xml:space="preserve"> </w:t>
      </w:r>
      <w:r>
        <w:t>do</w:t>
      </w:r>
      <w:r>
        <w:rPr>
          <w:spacing w:val="-6"/>
        </w:rPr>
        <w:t xml:space="preserve"> </w:t>
      </w:r>
      <w:r>
        <w:t>PEUC</w:t>
      </w:r>
      <w:r>
        <w:rPr>
          <w:spacing w:val="-6"/>
        </w:rPr>
        <w:t xml:space="preserve"> </w:t>
      </w:r>
      <w:r>
        <w:t>e</w:t>
      </w:r>
      <w:r>
        <w:rPr>
          <w:spacing w:val="-7"/>
        </w:rPr>
        <w:t xml:space="preserve"> </w:t>
      </w:r>
      <w:r>
        <w:t>do</w:t>
      </w:r>
      <w:r>
        <w:rPr>
          <w:spacing w:val="-1"/>
        </w:rPr>
        <w:t xml:space="preserve"> </w:t>
      </w:r>
      <w:r>
        <w:t>IPTU</w:t>
      </w:r>
      <w:r>
        <w:rPr>
          <w:spacing w:val="-6"/>
        </w:rPr>
        <w:t xml:space="preserve"> </w:t>
      </w:r>
      <w:r>
        <w:t>progressivo,</w:t>
      </w:r>
      <w:r>
        <w:rPr>
          <w:spacing w:val="-5"/>
        </w:rPr>
        <w:t xml:space="preserve"> </w:t>
      </w:r>
      <w:r>
        <w:t>conforme se</w:t>
      </w:r>
      <w:r>
        <w:rPr>
          <w:spacing w:val="8"/>
        </w:rPr>
        <w:t xml:space="preserve"> </w:t>
      </w:r>
      <w:r>
        <w:t>verifica</w:t>
      </w:r>
      <w:r>
        <w:rPr>
          <w:spacing w:val="10"/>
        </w:rPr>
        <w:t xml:space="preserve"> </w:t>
      </w:r>
      <w:r>
        <w:t>pelos</w:t>
      </w:r>
      <w:r>
        <w:rPr>
          <w:spacing w:val="12"/>
        </w:rPr>
        <w:t xml:space="preserve"> </w:t>
      </w:r>
      <w:r>
        <w:t>dados</w:t>
      </w:r>
      <w:r>
        <w:rPr>
          <w:spacing w:val="12"/>
        </w:rPr>
        <w:t xml:space="preserve"> </w:t>
      </w:r>
      <w:r>
        <w:t>levantados</w:t>
      </w:r>
      <w:r>
        <w:rPr>
          <w:spacing w:val="11"/>
        </w:rPr>
        <w:t xml:space="preserve"> </w:t>
      </w:r>
      <w:r>
        <w:t>no</w:t>
      </w:r>
      <w:r>
        <w:rPr>
          <w:spacing w:val="13"/>
        </w:rPr>
        <w:t xml:space="preserve"> </w:t>
      </w:r>
      <w:r>
        <w:t>relatório</w:t>
      </w:r>
      <w:r>
        <w:rPr>
          <w:spacing w:val="11"/>
        </w:rPr>
        <w:t xml:space="preserve"> </w:t>
      </w:r>
      <w:r>
        <w:t>produzido</w:t>
      </w:r>
      <w:r>
        <w:rPr>
          <w:spacing w:val="12"/>
        </w:rPr>
        <w:t xml:space="preserve"> </w:t>
      </w:r>
      <w:r>
        <w:t>por</w:t>
      </w:r>
      <w:r>
        <w:rPr>
          <w:spacing w:val="11"/>
        </w:rPr>
        <w:t xml:space="preserve"> </w:t>
      </w:r>
      <w:r>
        <w:t>CEPEUC,</w:t>
      </w:r>
      <w:r>
        <w:rPr>
          <w:spacing w:val="11"/>
        </w:rPr>
        <w:t xml:space="preserve"> </w:t>
      </w:r>
      <w:r>
        <w:t>o</w:t>
      </w:r>
      <w:r>
        <w:rPr>
          <w:spacing w:val="11"/>
        </w:rPr>
        <w:t xml:space="preserve"> </w:t>
      </w:r>
      <w:r>
        <w:t>Poder</w:t>
      </w:r>
      <w:r>
        <w:rPr>
          <w:spacing w:val="11"/>
        </w:rPr>
        <w:t xml:space="preserve"> </w:t>
      </w:r>
      <w:r>
        <w:t>Público</w:t>
      </w:r>
      <w:r>
        <w:rPr>
          <w:spacing w:val="11"/>
        </w:rPr>
        <w:t xml:space="preserve"> </w:t>
      </w:r>
      <w:r>
        <w:rPr>
          <w:spacing w:val="-5"/>
        </w:rPr>
        <w:t>tem</w:t>
      </w:r>
    </w:p>
    <w:p w:rsidR="007259F2" w:rsidRDefault="007259F2">
      <w:pPr>
        <w:pStyle w:val="Corpodetexto"/>
        <w:sectPr w:rsidR="007259F2">
          <w:pgSz w:w="11910" w:h="16840"/>
          <w:pgMar w:top="1600" w:right="708" w:bottom="1020" w:left="992" w:header="0" w:footer="820" w:gutter="0"/>
          <w:cols w:space="720"/>
        </w:sectPr>
      </w:pPr>
    </w:p>
    <w:p w:rsidR="007259F2" w:rsidRDefault="00E655B4">
      <w:pPr>
        <w:pStyle w:val="Corpodetexto"/>
        <w:spacing w:before="75"/>
        <w:ind w:right="431" w:firstLine="0"/>
      </w:pPr>
      <w:r>
        <w:lastRenderedPageBreak/>
        <w:t>buscado novas alternativas para induzir os proprietários de imóveis ociosos a darem cumprimento à função social da propriedade urbana.</w:t>
      </w:r>
    </w:p>
    <w:p w:rsidR="007259F2" w:rsidRDefault="00E655B4">
      <w:pPr>
        <w:pStyle w:val="Corpodetexto"/>
        <w:ind w:right="421"/>
      </w:pPr>
      <w:r>
        <w:t>Diante disso, nos mesmos moldes da Lei Municipal nº 17.844/2022, que aprova o Projeto</w:t>
      </w:r>
      <w:r>
        <w:rPr>
          <w:spacing w:val="-5"/>
        </w:rPr>
        <w:t xml:space="preserve"> </w:t>
      </w:r>
      <w:r>
        <w:t>de</w:t>
      </w:r>
      <w:r>
        <w:rPr>
          <w:spacing w:val="-3"/>
        </w:rPr>
        <w:t xml:space="preserve"> </w:t>
      </w:r>
      <w:r>
        <w:t>Intervenção</w:t>
      </w:r>
      <w:r>
        <w:rPr>
          <w:spacing w:val="-3"/>
        </w:rPr>
        <w:t xml:space="preserve"> </w:t>
      </w:r>
      <w:r>
        <w:t>Urbana</w:t>
      </w:r>
      <w:r>
        <w:rPr>
          <w:spacing w:val="-7"/>
        </w:rPr>
        <w:t xml:space="preserve"> </w:t>
      </w:r>
      <w:r>
        <w:t>–</w:t>
      </w:r>
      <w:r>
        <w:rPr>
          <w:spacing w:val="-6"/>
        </w:rPr>
        <w:t xml:space="preserve"> </w:t>
      </w:r>
      <w:r>
        <w:t>Setor</w:t>
      </w:r>
      <w:r>
        <w:rPr>
          <w:spacing w:val="-3"/>
        </w:rPr>
        <w:t xml:space="preserve"> </w:t>
      </w:r>
      <w:r>
        <w:t>Central</w:t>
      </w:r>
      <w:r>
        <w:rPr>
          <w:spacing w:val="-4"/>
        </w:rPr>
        <w:t xml:space="preserve"> </w:t>
      </w:r>
      <w:r>
        <w:t>(PIU-SCE),</w:t>
      </w:r>
      <w:r>
        <w:rPr>
          <w:spacing w:val="-5"/>
        </w:rPr>
        <w:t xml:space="preserve"> </w:t>
      </w:r>
      <w:r>
        <w:t>e</w:t>
      </w:r>
      <w:r>
        <w:rPr>
          <w:spacing w:val="-9"/>
        </w:rPr>
        <w:t xml:space="preserve"> </w:t>
      </w:r>
      <w:r>
        <w:t>da</w:t>
      </w:r>
      <w:r>
        <w:rPr>
          <w:spacing w:val="-4"/>
        </w:rPr>
        <w:t xml:space="preserve"> </w:t>
      </w:r>
      <w:r>
        <w:t>Lei</w:t>
      </w:r>
      <w:r>
        <w:rPr>
          <w:spacing w:val="-5"/>
        </w:rPr>
        <w:t xml:space="preserve"> </w:t>
      </w:r>
      <w:r>
        <w:t>Municipal</w:t>
      </w:r>
      <w:r>
        <w:rPr>
          <w:spacing w:val="-4"/>
        </w:rPr>
        <w:t xml:space="preserve"> </w:t>
      </w:r>
      <w:r>
        <w:t>nº</w:t>
      </w:r>
      <w:r>
        <w:rPr>
          <w:spacing w:val="-6"/>
        </w:rPr>
        <w:t xml:space="preserve"> </w:t>
      </w:r>
      <w:r>
        <w:t>17.734/2022, que estabelece as normas e os procedimentos para a Regularização Fundiária Urbana (Reurb), por meio da revisão ao PDE – Lei Municipal nº 17.975/2023, foi inserido ao art. 90 do PDE o instrumento</w:t>
      </w:r>
      <w:r>
        <w:rPr>
          <w:spacing w:val="-5"/>
        </w:rPr>
        <w:t xml:space="preserve"> </w:t>
      </w:r>
      <w:r>
        <w:t>da</w:t>
      </w:r>
      <w:r>
        <w:rPr>
          <w:spacing w:val="-6"/>
        </w:rPr>
        <w:t xml:space="preserve"> </w:t>
      </w:r>
      <w:r>
        <w:t>desapropriação</w:t>
      </w:r>
      <w:r>
        <w:rPr>
          <w:spacing w:val="-5"/>
        </w:rPr>
        <w:t xml:space="preserve"> </w:t>
      </w:r>
      <w:r>
        <w:t>por</w:t>
      </w:r>
      <w:r>
        <w:rPr>
          <w:spacing w:val="-6"/>
        </w:rPr>
        <w:t xml:space="preserve"> </w:t>
      </w:r>
      <w:r>
        <w:t>hasta</w:t>
      </w:r>
      <w:r>
        <w:rPr>
          <w:spacing w:val="-6"/>
        </w:rPr>
        <w:t xml:space="preserve"> </w:t>
      </w:r>
      <w:r>
        <w:t>pública</w:t>
      </w:r>
      <w:r>
        <w:rPr>
          <w:spacing w:val="-3"/>
        </w:rPr>
        <w:t xml:space="preserve"> </w:t>
      </w:r>
      <w:r>
        <w:t>(inciso</w:t>
      </w:r>
      <w:r>
        <w:rPr>
          <w:spacing w:val="-3"/>
        </w:rPr>
        <w:t xml:space="preserve"> </w:t>
      </w:r>
      <w:r>
        <w:t>IV),</w:t>
      </w:r>
      <w:r>
        <w:rPr>
          <w:spacing w:val="-4"/>
        </w:rPr>
        <w:t xml:space="preserve"> </w:t>
      </w:r>
      <w:r>
        <w:t>a</w:t>
      </w:r>
      <w:r>
        <w:rPr>
          <w:spacing w:val="-6"/>
        </w:rPr>
        <w:t xml:space="preserve"> </w:t>
      </w:r>
      <w:r>
        <w:t>ser</w:t>
      </w:r>
      <w:r>
        <w:rPr>
          <w:spacing w:val="-6"/>
        </w:rPr>
        <w:t xml:space="preserve"> </w:t>
      </w:r>
      <w:r>
        <w:t>utilizado</w:t>
      </w:r>
      <w:r>
        <w:rPr>
          <w:spacing w:val="-2"/>
        </w:rPr>
        <w:t xml:space="preserve"> </w:t>
      </w:r>
      <w:r>
        <w:t>com</w:t>
      </w:r>
      <w:r>
        <w:rPr>
          <w:spacing w:val="-5"/>
        </w:rPr>
        <w:t xml:space="preserve"> </w:t>
      </w:r>
      <w:r>
        <w:t>base</w:t>
      </w:r>
      <w:r>
        <w:rPr>
          <w:spacing w:val="-6"/>
        </w:rPr>
        <w:t xml:space="preserve"> </w:t>
      </w:r>
      <w:r>
        <w:t>no</w:t>
      </w:r>
      <w:r>
        <w:rPr>
          <w:spacing w:val="-6"/>
        </w:rPr>
        <w:t xml:space="preserve"> </w:t>
      </w:r>
      <w:r>
        <w:t>art.</w:t>
      </w:r>
      <w:r>
        <w:rPr>
          <w:spacing w:val="-6"/>
        </w:rPr>
        <w:t xml:space="preserve"> </w:t>
      </w:r>
      <w:r>
        <w:t xml:space="preserve">4º e no art. 5º, alínea “i”, do </w:t>
      </w:r>
      <w:hyperlink r:id="rId371">
        <w:r>
          <w:t>Decreto-Lei Federal nº 3.365/41</w:t>
        </w:r>
      </w:hyperlink>
      <w:r>
        <w:t>, e cuja aplicação não é sucessiva como com os demais instrumentos indutores da função social da propriedade, podendo ser utilizada</w:t>
      </w:r>
      <w:r>
        <w:rPr>
          <w:spacing w:val="-6"/>
        </w:rPr>
        <w:t xml:space="preserve"> </w:t>
      </w:r>
      <w:r>
        <w:t>após</w:t>
      </w:r>
      <w:r>
        <w:rPr>
          <w:spacing w:val="-1"/>
        </w:rPr>
        <w:t xml:space="preserve"> </w:t>
      </w:r>
      <w:r>
        <w:t>a</w:t>
      </w:r>
      <w:r>
        <w:rPr>
          <w:spacing w:val="-4"/>
        </w:rPr>
        <w:t xml:space="preserve"> </w:t>
      </w:r>
      <w:r>
        <w:t>averbação</w:t>
      </w:r>
      <w:r>
        <w:rPr>
          <w:spacing w:val="-4"/>
        </w:rPr>
        <w:t xml:space="preserve"> </w:t>
      </w:r>
      <w:r>
        <w:t>da</w:t>
      </w:r>
      <w:r>
        <w:rPr>
          <w:spacing w:val="-7"/>
        </w:rPr>
        <w:t xml:space="preserve"> </w:t>
      </w:r>
      <w:r>
        <w:t>notificação</w:t>
      </w:r>
      <w:r>
        <w:rPr>
          <w:spacing w:val="-3"/>
        </w:rPr>
        <w:t xml:space="preserve"> </w:t>
      </w:r>
      <w:r>
        <w:t>por</w:t>
      </w:r>
      <w:r>
        <w:rPr>
          <w:spacing w:val="-7"/>
        </w:rPr>
        <w:t xml:space="preserve"> </w:t>
      </w:r>
      <w:r>
        <w:t>descumprimento</w:t>
      </w:r>
      <w:r>
        <w:rPr>
          <w:spacing w:val="-2"/>
        </w:rPr>
        <w:t xml:space="preserve"> </w:t>
      </w:r>
      <w:r>
        <w:t>da</w:t>
      </w:r>
      <w:r>
        <w:rPr>
          <w:spacing w:val="-7"/>
        </w:rPr>
        <w:t xml:space="preserve"> </w:t>
      </w:r>
      <w:r>
        <w:t>função</w:t>
      </w:r>
      <w:r>
        <w:rPr>
          <w:spacing w:val="-6"/>
        </w:rPr>
        <w:t xml:space="preserve"> </w:t>
      </w:r>
      <w:r>
        <w:t>social</w:t>
      </w:r>
      <w:r>
        <w:rPr>
          <w:spacing w:val="-5"/>
        </w:rPr>
        <w:t xml:space="preserve"> </w:t>
      </w:r>
      <w:r>
        <w:t>da</w:t>
      </w:r>
      <w:r>
        <w:rPr>
          <w:spacing w:val="-7"/>
        </w:rPr>
        <w:t xml:space="preserve"> </w:t>
      </w:r>
      <w:r>
        <w:t>propriedade no Cartório de Registro de Imóveis e desde que fixadas as razões da desapropriação por meio do decreto de utilidade pública, conforme previsto no art. 99-A, §§ 1º e 2º do PDE.</w:t>
      </w:r>
    </w:p>
    <w:p w:rsidR="007259F2" w:rsidRDefault="00E655B4">
      <w:pPr>
        <w:pStyle w:val="Corpodetexto"/>
        <w:spacing w:before="1"/>
        <w:ind w:right="419"/>
        <w:jc w:val="right"/>
      </w:pPr>
      <w:r>
        <w:t>Define-se</w:t>
      </w:r>
      <w:r>
        <w:rPr>
          <w:spacing w:val="40"/>
        </w:rPr>
        <w:t xml:space="preserve"> </w:t>
      </w:r>
      <w:r>
        <w:t>hasta</w:t>
      </w:r>
      <w:r>
        <w:rPr>
          <w:spacing w:val="40"/>
        </w:rPr>
        <w:t xml:space="preserve"> </w:t>
      </w:r>
      <w:r>
        <w:t>pública</w:t>
      </w:r>
      <w:r>
        <w:rPr>
          <w:spacing w:val="40"/>
        </w:rPr>
        <w:t xml:space="preserve"> </w:t>
      </w:r>
      <w:r>
        <w:t>como</w:t>
      </w:r>
      <w:r>
        <w:rPr>
          <w:spacing w:val="40"/>
        </w:rPr>
        <w:t xml:space="preserve"> </w:t>
      </w:r>
      <w:r>
        <w:t>um</w:t>
      </w:r>
      <w:r>
        <w:rPr>
          <w:spacing w:val="40"/>
        </w:rPr>
        <w:t xml:space="preserve"> </w:t>
      </w:r>
      <w:r>
        <w:t>ato</w:t>
      </w:r>
      <w:r>
        <w:rPr>
          <w:spacing w:val="40"/>
        </w:rPr>
        <w:t xml:space="preserve"> </w:t>
      </w:r>
      <w:r>
        <w:t>judicial</w:t>
      </w:r>
      <w:r>
        <w:rPr>
          <w:spacing w:val="40"/>
        </w:rPr>
        <w:t xml:space="preserve"> </w:t>
      </w:r>
      <w:r>
        <w:t>realizado</w:t>
      </w:r>
      <w:r>
        <w:rPr>
          <w:spacing w:val="40"/>
        </w:rPr>
        <w:t xml:space="preserve"> </w:t>
      </w:r>
      <w:r>
        <w:t>no</w:t>
      </w:r>
      <w:r>
        <w:rPr>
          <w:spacing w:val="40"/>
        </w:rPr>
        <w:t xml:space="preserve"> </w:t>
      </w:r>
      <w:r>
        <w:t>curso</w:t>
      </w:r>
      <w:r>
        <w:rPr>
          <w:spacing w:val="40"/>
        </w:rPr>
        <w:t xml:space="preserve"> </w:t>
      </w:r>
      <w:r>
        <w:t>do</w:t>
      </w:r>
      <w:r>
        <w:rPr>
          <w:spacing w:val="40"/>
        </w:rPr>
        <w:t xml:space="preserve"> </w:t>
      </w:r>
      <w:r>
        <w:t>processo</w:t>
      </w:r>
      <w:r>
        <w:rPr>
          <w:spacing w:val="40"/>
        </w:rPr>
        <w:t xml:space="preserve"> </w:t>
      </w:r>
      <w:r>
        <w:t>de execução e pelo qual são vendidos por leilão os bens de um devedor para que, com o dinheiro da venda, possam ser pagos o credor, as custas e as despesas do processo. Já a desapropriação por hasta pública é um instrumento pelo qual o Poder Público Municipal declara a utilidade</w:t>
      </w:r>
      <w:r>
        <w:rPr>
          <w:spacing w:val="80"/>
        </w:rPr>
        <w:t xml:space="preserve"> </w:t>
      </w:r>
      <w:r>
        <w:t>pública de determinado imóvel que fora notificado por descumprimento da função social para que</w:t>
      </w:r>
      <w:r>
        <w:rPr>
          <w:spacing w:val="40"/>
        </w:rPr>
        <w:t xml:space="preserve"> </w:t>
      </w:r>
      <w:r>
        <w:t>possa</w:t>
      </w:r>
      <w:r>
        <w:rPr>
          <w:spacing w:val="40"/>
        </w:rPr>
        <w:t xml:space="preserve"> </w:t>
      </w:r>
      <w:r>
        <w:t>ser,</w:t>
      </w:r>
      <w:r>
        <w:rPr>
          <w:spacing w:val="40"/>
        </w:rPr>
        <w:t xml:space="preserve"> </w:t>
      </w:r>
      <w:r>
        <w:t>então,</w:t>
      </w:r>
      <w:r>
        <w:rPr>
          <w:spacing w:val="40"/>
        </w:rPr>
        <w:t xml:space="preserve"> </w:t>
      </w:r>
      <w:r>
        <w:t>arrematado</w:t>
      </w:r>
      <w:r>
        <w:rPr>
          <w:spacing w:val="40"/>
        </w:rPr>
        <w:t xml:space="preserve"> </w:t>
      </w:r>
      <w:r>
        <w:t>em</w:t>
      </w:r>
      <w:r>
        <w:rPr>
          <w:spacing w:val="40"/>
        </w:rPr>
        <w:t xml:space="preserve"> </w:t>
      </w:r>
      <w:r>
        <w:t>leilão</w:t>
      </w:r>
      <w:r>
        <w:rPr>
          <w:spacing w:val="40"/>
        </w:rPr>
        <w:t xml:space="preserve"> </w:t>
      </w:r>
      <w:r>
        <w:t>por</w:t>
      </w:r>
      <w:r>
        <w:rPr>
          <w:spacing w:val="40"/>
        </w:rPr>
        <w:t xml:space="preserve"> </w:t>
      </w:r>
      <w:r>
        <w:t>um</w:t>
      </w:r>
      <w:r>
        <w:rPr>
          <w:spacing w:val="40"/>
        </w:rPr>
        <w:t xml:space="preserve"> </w:t>
      </w:r>
      <w:r>
        <w:t>particular,</w:t>
      </w:r>
      <w:r>
        <w:rPr>
          <w:spacing w:val="40"/>
        </w:rPr>
        <w:t xml:space="preserve"> </w:t>
      </w:r>
      <w:r>
        <w:t>que</w:t>
      </w:r>
      <w:r>
        <w:rPr>
          <w:spacing w:val="40"/>
        </w:rPr>
        <w:t xml:space="preserve"> </w:t>
      </w:r>
      <w:r>
        <w:t>fica</w:t>
      </w:r>
      <w:r>
        <w:rPr>
          <w:spacing w:val="40"/>
        </w:rPr>
        <w:t xml:space="preserve"> </w:t>
      </w:r>
      <w:r>
        <w:t>responsável</w:t>
      </w:r>
      <w:r>
        <w:rPr>
          <w:spacing w:val="40"/>
        </w:rPr>
        <w:t xml:space="preserve"> </w:t>
      </w:r>
      <w:r>
        <w:t>pela execução</w:t>
      </w:r>
      <w:r>
        <w:rPr>
          <w:spacing w:val="-1"/>
        </w:rPr>
        <w:t xml:space="preserve"> </w:t>
      </w:r>
      <w:r>
        <w:t>do</w:t>
      </w:r>
      <w:r>
        <w:rPr>
          <w:spacing w:val="-1"/>
        </w:rPr>
        <w:t xml:space="preserve"> </w:t>
      </w:r>
      <w:r>
        <w:t>projeto</w:t>
      </w:r>
      <w:r>
        <w:rPr>
          <w:spacing w:val="-1"/>
        </w:rPr>
        <w:t xml:space="preserve"> </w:t>
      </w:r>
      <w:r>
        <w:t>urbanístico caracterizador</w:t>
      </w:r>
      <w:r>
        <w:rPr>
          <w:spacing w:val="-1"/>
        </w:rPr>
        <w:t xml:space="preserve"> </w:t>
      </w:r>
      <w:r>
        <w:t>da utilidade</w:t>
      </w:r>
      <w:r>
        <w:rPr>
          <w:spacing w:val="-1"/>
        </w:rPr>
        <w:t xml:space="preserve"> </w:t>
      </w:r>
      <w:r>
        <w:t>pública.</w:t>
      </w:r>
      <w:r>
        <w:rPr>
          <w:spacing w:val="-1"/>
        </w:rPr>
        <w:t xml:space="preserve"> </w:t>
      </w:r>
      <w:r>
        <w:t>O</w:t>
      </w:r>
      <w:r>
        <w:rPr>
          <w:spacing w:val="-1"/>
        </w:rPr>
        <w:t xml:space="preserve"> </w:t>
      </w:r>
      <w:r>
        <w:t>valor</w:t>
      </w:r>
      <w:r>
        <w:rPr>
          <w:spacing w:val="-1"/>
        </w:rPr>
        <w:t xml:space="preserve"> </w:t>
      </w:r>
      <w:r>
        <w:t>arrecadado</w:t>
      </w:r>
      <w:r>
        <w:rPr>
          <w:spacing w:val="-1"/>
        </w:rPr>
        <w:t xml:space="preserve"> </w:t>
      </w:r>
      <w:r>
        <w:t>com o leilão</w:t>
      </w:r>
      <w:r>
        <w:rPr>
          <w:spacing w:val="23"/>
        </w:rPr>
        <w:t xml:space="preserve"> </w:t>
      </w:r>
      <w:r>
        <w:t>servirá</w:t>
      </w:r>
      <w:r>
        <w:rPr>
          <w:spacing w:val="23"/>
        </w:rPr>
        <w:t xml:space="preserve"> </w:t>
      </w:r>
      <w:r>
        <w:t>para</w:t>
      </w:r>
      <w:r>
        <w:rPr>
          <w:spacing w:val="22"/>
        </w:rPr>
        <w:t xml:space="preserve"> </w:t>
      </w:r>
      <w:r>
        <w:t>pagar</w:t>
      </w:r>
      <w:r>
        <w:rPr>
          <w:spacing w:val="24"/>
        </w:rPr>
        <w:t xml:space="preserve"> </w:t>
      </w:r>
      <w:r>
        <w:t>o</w:t>
      </w:r>
      <w:r>
        <w:rPr>
          <w:spacing w:val="23"/>
        </w:rPr>
        <w:t xml:space="preserve"> </w:t>
      </w:r>
      <w:r>
        <w:t>proprietário,</w:t>
      </w:r>
      <w:r>
        <w:rPr>
          <w:spacing w:val="23"/>
        </w:rPr>
        <w:t xml:space="preserve"> </w:t>
      </w:r>
      <w:r>
        <w:t>descontada</w:t>
      </w:r>
      <w:r>
        <w:rPr>
          <w:spacing w:val="23"/>
        </w:rPr>
        <w:t xml:space="preserve"> </w:t>
      </w:r>
      <w:r>
        <w:t>a</w:t>
      </w:r>
      <w:r>
        <w:rPr>
          <w:spacing w:val="23"/>
        </w:rPr>
        <w:t xml:space="preserve"> </w:t>
      </w:r>
      <w:r>
        <w:t>dívida</w:t>
      </w:r>
      <w:r>
        <w:rPr>
          <w:spacing w:val="23"/>
        </w:rPr>
        <w:t xml:space="preserve"> </w:t>
      </w:r>
      <w:r>
        <w:t>do</w:t>
      </w:r>
      <w:r>
        <w:rPr>
          <w:spacing w:val="23"/>
        </w:rPr>
        <w:t xml:space="preserve"> </w:t>
      </w:r>
      <w:r>
        <w:t>IPTU.</w:t>
      </w:r>
      <w:r>
        <w:rPr>
          <w:spacing w:val="23"/>
        </w:rPr>
        <w:t xml:space="preserve"> </w:t>
      </w:r>
      <w:r>
        <w:t>Nesse</w:t>
      </w:r>
      <w:r>
        <w:rPr>
          <w:spacing w:val="23"/>
        </w:rPr>
        <w:t xml:space="preserve"> </w:t>
      </w:r>
      <w:r>
        <w:t>caso,</w:t>
      </w:r>
      <w:r>
        <w:rPr>
          <w:spacing w:val="23"/>
        </w:rPr>
        <w:t xml:space="preserve"> </w:t>
      </w:r>
      <w:r>
        <w:t>não</w:t>
      </w:r>
      <w:r>
        <w:rPr>
          <w:spacing w:val="23"/>
        </w:rPr>
        <w:t xml:space="preserve"> </w:t>
      </w:r>
      <w:r>
        <w:t>há</w:t>
      </w:r>
      <w:r>
        <w:rPr>
          <w:spacing w:val="23"/>
        </w:rPr>
        <w:t xml:space="preserve"> </w:t>
      </w:r>
      <w:r>
        <w:t>a necessidade</w:t>
      </w:r>
      <w:r>
        <w:rPr>
          <w:spacing w:val="40"/>
        </w:rPr>
        <w:t xml:space="preserve"> </w:t>
      </w:r>
      <w:r>
        <w:t>de</w:t>
      </w:r>
      <w:r>
        <w:rPr>
          <w:spacing w:val="40"/>
        </w:rPr>
        <w:t xml:space="preserve"> </w:t>
      </w:r>
      <w:r>
        <w:t>o</w:t>
      </w:r>
      <w:r>
        <w:rPr>
          <w:spacing w:val="40"/>
        </w:rPr>
        <w:t xml:space="preserve"> </w:t>
      </w:r>
      <w:r>
        <w:t>Poder</w:t>
      </w:r>
      <w:r>
        <w:rPr>
          <w:spacing w:val="40"/>
        </w:rPr>
        <w:t xml:space="preserve"> </w:t>
      </w:r>
      <w:r>
        <w:t>Público</w:t>
      </w:r>
      <w:r>
        <w:rPr>
          <w:spacing w:val="40"/>
        </w:rPr>
        <w:t xml:space="preserve"> </w:t>
      </w:r>
      <w:r>
        <w:t>Municipal</w:t>
      </w:r>
      <w:r>
        <w:rPr>
          <w:spacing w:val="40"/>
        </w:rPr>
        <w:t xml:space="preserve"> </w:t>
      </w:r>
      <w:r>
        <w:t>desapropriar</w:t>
      </w:r>
      <w:r>
        <w:rPr>
          <w:spacing w:val="40"/>
        </w:rPr>
        <w:t xml:space="preserve"> </w:t>
      </w:r>
      <w:r>
        <w:t>o</w:t>
      </w:r>
      <w:r>
        <w:rPr>
          <w:spacing w:val="40"/>
        </w:rPr>
        <w:t xml:space="preserve"> </w:t>
      </w:r>
      <w:r>
        <w:t>imóvel</w:t>
      </w:r>
      <w:r>
        <w:rPr>
          <w:spacing w:val="40"/>
        </w:rPr>
        <w:t xml:space="preserve"> </w:t>
      </w:r>
      <w:r>
        <w:t>previamente</w:t>
      </w:r>
      <w:r>
        <w:rPr>
          <w:spacing w:val="40"/>
        </w:rPr>
        <w:t xml:space="preserve"> </w:t>
      </w:r>
      <w:r>
        <w:t>(mediante pagamento</w:t>
      </w:r>
      <w:r>
        <w:rPr>
          <w:spacing w:val="67"/>
        </w:rPr>
        <w:t xml:space="preserve"> </w:t>
      </w:r>
      <w:r>
        <w:t>de</w:t>
      </w:r>
      <w:r>
        <w:rPr>
          <w:spacing w:val="68"/>
        </w:rPr>
        <w:t xml:space="preserve"> </w:t>
      </w:r>
      <w:r>
        <w:t>justa</w:t>
      </w:r>
      <w:r>
        <w:rPr>
          <w:spacing w:val="66"/>
        </w:rPr>
        <w:t xml:space="preserve"> </w:t>
      </w:r>
      <w:r>
        <w:t>indenização)</w:t>
      </w:r>
      <w:r>
        <w:rPr>
          <w:spacing w:val="69"/>
        </w:rPr>
        <w:t xml:space="preserve"> </w:t>
      </w:r>
      <w:r>
        <w:t>e</w:t>
      </w:r>
      <w:r>
        <w:rPr>
          <w:spacing w:val="66"/>
        </w:rPr>
        <w:t xml:space="preserve"> </w:t>
      </w:r>
      <w:r>
        <w:t>incorporá-lo</w:t>
      </w:r>
      <w:r>
        <w:rPr>
          <w:spacing w:val="67"/>
        </w:rPr>
        <w:t xml:space="preserve"> </w:t>
      </w:r>
      <w:r>
        <w:t>ao</w:t>
      </w:r>
      <w:r>
        <w:rPr>
          <w:spacing w:val="67"/>
        </w:rPr>
        <w:t xml:space="preserve"> </w:t>
      </w:r>
      <w:r>
        <w:t>seu</w:t>
      </w:r>
      <w:r>
        <w:rPr>
          <w:spacing w:val="67"/>
        </w:rPr>
        <w:t xml:space="preserve"> </w:t>
      </w:r>
      <w:r>
        <w:t>patrimônio,</w:t>
      </w:r>
      <w:r>
        <w:rPr>
          <w:spacing w:val="67"/>
        </w:rPr>
        <w:t xml:space="preserve"> </w:t>
      </w:r>
      <w:r>
        <w:t>razão</w:t>
      </w:r>
      <w:r>
        <w:rPr>
          <w:spacing w:val="67"/>
        </w:rPr>
        <w:t xml:space="preserve"> </w:t>
      </w:r>
      <w:r>
        <w:t>pela</w:t>
      </w:r>
      <w:r>
        <w:rPr>
          <w:spacing w:val="66"/>
        </w:rPr>
        <w:t xml:space="preserve"> </w:t>
      </w:r>
      <w:r>
        <w:t>qual</w:t>
      </w:r>
      <w:r>
        <w:rPr>
          <w:spacing w:val="67"/>
        </w:rPr>
        <w:t xml:space="preserve"> </w:t>
      </w:r>
      <w:r>
        <w:t>foi considerada pela Câmara Municipal uma alternativa mais interessante ao Município do que a aplicação</w:t>
      </w:r>
      <w:r>
        <w:rPr>
          <w:spacing w:val="-14"/>
        </w:rPr>
        <w:t xml:space="preserve"> </w:t>
      </w:r>
      <w:r>
        <w:t>da</w:t>
      </w:r>
      <w:r>
        <w:rPr>
          <w:spacing w:val="-13"/>
        </w:rPr>
        <w:t xml:space="preserve"> </w:t>
      </w:r>
      <w:r>
        <w:t>desapropriação</w:t>
      </w:r>
      <w:r>
        <w:rPr>
          <w:spacing w:val="-13"/>
        </w:rPr>
        <w:t xml:space="preserve"> </w:t>
      </w:r>
      <w:r>
        <w:t>por</w:t>
      </w:r>
      <w:r>
        <w:rPr>
          <w:spacing w:val="-15"/>
        </w:rPr>
        <w:t xml:space="preserve"> </w:t>
      </w:r>
      <w:r>
        <w:t>interesse</w:t>
      </w:r>
      <w:r>
        <w:rPr>
          <w:spacing w:val="-14"/>
        </w:rPr>
        <w:t xml:space="preserve"> </w:t>
      </w:r>
      <w:r>
        <w:t>social,</w:t>
      </w:r>
      <w:r>
        <w:rPr>
          <w:spacing w:val="-9"/>
        </w:rPr>
        <w:t xml:space="preserve"> </w:t>
      </w:r>
      <w:r>
        <w:t>regulamentada</w:t>
      </w:r>
      <w:r>
        <w:rPr>
          <w:spacing w:val="-13"/>
        </w:rPr>
        <w:t xml:space="preserve"> </w:t>
      </w:r>
      <w:r>
        <w:t>pela</w:t>
      </w:r>
      <w:r>
        <w:rPr>
          <w:spacing w:val="-8"/>
        </w:rPr>
        <w:t xml:space="preserve"> </w:t>
      </w:r>
      <w:r>
        <w:t>Lei</w:t>
      </w:r>
      <w:r>
        <w:rPr>
          <w:spacing w:val="-4"/>
        </w:rPr>
        <w:t xml:space="preserve"> </w:t>
      </w:r>
      <w:r>
        <w:t>federal</w:t>
      </w:r>
      <w:r>
        <w:rPr>
          <w:spacing w:val="-11"/>
        </w:rPr>
        <w:t xml:space="preserve"> </w:t>
      </w:r>
      <w:r>
        <w:t>nº</w:t>
      </w:r>
      <w:r>
        <w:rPr>
          <w:spacing w:val="-12"/>
        </w:rPr>
        <w:t xml:space="preserve"> </w:t>
      </w:r>
      <w:r>
        <w:t>4.132/1962. No</w:t>
      </w:r>
      <w:r>
        <w:rPr>
          <w:spacing w:val="40"/>
        </w:rPr>
        <w:t xml:space="preserve"> </w:t>
      </w:r>
      <w:r>
        <w:t>entanto,</w:t>
      </w:r>
      <w:r>
        <w:rPr>
          <w:spacing w:val="40"/>
        </w:rPr>
        <w:t xml:space="preserve"> </w:t>
      </w:r>
      <w:r>
        <w:t>apesar</w:t>
      </w:r>
      <w:r>
        <w:rPr>
          <w:spacing w:val="40"/>
        </w:rPr>
        <w:t xml:space="preserve"> </w:t>
      </w:r>
      <w:r>
        <w:t>de</w:t>
      </w:r>
      <w:r>
        <w:rPr>
          <w:spacing w:val="40"/>
        </w:rPr>
        <w:t xml:space="preserve"> </w:t>
      </w:r>
      <w:r>
        <w:t>se</w:t>
      </w:r>
      <w:r>
        <w:rPr>
          <w:spacing w:val="40"/>
        </w:rPr>
        <w:t xml:space="preserve"> </w:t>
      </w:r>
      <w:r>
        <w:t>reconhecer</w:t>
      </w:r>
      <w:r>
        <w:rPr>
          <w:spacing w:val="40"/>
        </w:rPr>
        <w:t xml:space="preserve"> </w:t>
      </w:r>
      <w:r>
        <w:t>a</w:t>
      </w:r>
      <w:r>
        <w:rPr>
          <w:spacing w:val="40"/>
        </w:rPr>
        <w:t xml:space="preserve"> </w:t>
      </w:r>
      <w:r>
        <w:t>importância</w:t>
      </w:r>
      <w:r>
        <w:rPr>
          <w:spacing w:val="40"/>
        </w:rPr>
        <w:t xml:space="preserve"> </w:t>
      </w:r>
      <w:r>
        <w:t>da</w:t>
      </w:r>
      <w:r>
        <w:rPr>
          <w:spacing w:val="40"/>
        </w:rPr>
        <w:t xml:space="preserve"> </w:t>
      </w:r>
      <w:r>
        <w:t>aplicação</w:t>
      </w:r>
      <w:r>
        <w:rPr>
          <w:spacing w:val="40"/>
        </w:rPr>
        <w:t xml:space="preserve"> </w:t>
      </w:r>
      <w:r>
        <w:t>de</w:t>
      </w:r>
      <w:r>
        <w:rPr>
          <w:spacing w:val="40"/>
        </w:rPr>
        <w:t xml:space="preserve"> </w:t>
      </w:r>
      <w:r>
        <w:t>instrumentos</w:t>
      </w:r>
      <w:r>
        <w:rPr>
          <w:spacing w:val="40"/>
        </w:rPr>
        <w:t xml:space="preserve"> </w:t>
      </w:r>
      <w:r>
        <w:t>alternativos</w:t>
      </w:r>
      <w:r>
        <w:rPr>
          <w:spacing w:val="-15"/>
        </w:rPr>
        <w:t xml:space="preserve"> </w:t>
      </w:r>
      <w:r>
        <w:t>capazes</w:t>
      </w:r>
      <w:r>
        <w:rPr>
          <w:spacing w:val="-15"/>
        </w:rPr>
        <w:t xml:space="preserve"> </w:t>
      </w:r>
      <w:r>
        <w:t>de</w:t>
      </w:r>
      <w:r>
        <w:rPr>
          <w:spacing w:val="-15"/>
        </w:rPr>
        <w:t xml:space="preserve"> </w:t>
      </w:r>
      <w:r>
        <w:t>dar</w:t>
      </w:r>
      <w:r>
        <w:rPr>
          <w:spacing w:val="-15"/>
        </w:rPr>
        <w:t xml:space="preserve"> </w:t>
      </w:r>
      <w:r>
        <w:t>cumprimento</w:t>
      </w:r>
      <w:r>
        <w:rPr>
          <w:spacing w:val="-15"/>
        </w:rPr>
        <w:t xml:space="preserve"> </w:t>
      </w:r>
      <w:r>
        <w:t>à</w:t>
      </w:r>
      <w:r>
        <w:rPr>
          <w:spacing w:val="-15"/>
        </w:rPr>
        <w:t xml:space="preserve"> </w:t>
      </w:r>
      <w:r>
        <w:t>função</w:t>
      </w:r>
      <w:r>
        <w:rPr>
          <w:spacing w:val="-15"/>
        </w:rPr>
        <w:t xml:space="preserve"> </w:t>
      </w:r>
      <w:r>
        <w:t>social</w:t>
      </w:r>
      <w:r>
        <w:rPr>
          <w:spacing w:val="-15"/>
        </w:rPr>
        <w:t xml:space="preserve"> </w:t>
      </w:r>
      <w:r>
        <w:t>da</w:t>
      </w:r>
      <w:r>
        <w:rPr>
          <w:spacing w:val="-15"/>
        </w:rPr>
        <w:t xml:space="preserve"> </w:t>
      </w:r>
      <w:r>
        <w:t>propriedade</w:t>
      </w:r>
      <w:r>
        <w:rPr>
          <w:spacing w:val="-15"/>
        </w:rPr>
        <w:t xml:space="preserve"> </w:t>
      </w:r>
      <w:r>
        <w:t>na</w:t>
      </w:r>
      <w:r>
        <w:rPr>
          <w:spacing w:val="-15"/>
        </w:rPr>
        <w:t xml:space="preserve"> </w:t>
      </w:r>
      <w:r>
        <w:t>cidade</w:t>
      </w:r>
      <w:r>
        <w:rPr>
          <w:spacing w:val="-15"/>
        </w:rPr>
        <w:t xml:space="preserve"> </w:t>
      </w:r>
      <w:r>
        <w:t>de</w:t>
      </w:r>
      <w:r>
        <w:rPr>
          <w:spacing w:val="-15"/>
        </w:rPr>
        <w:t xml:space="preserve"> </w:t>
      </w:r>
      <w:r>
        <w:t>São</w:t>
      </w:r>
      <w:r>
        <w:rPr>
          <w:spacing w:val="-15"/>
        </w:rPr>
        <w:t xml:space="preserve"> </w:t>
      </w:r>
      <w:r>
        <w:t>Paulo, a</w:t>
      </w:r>
      <w:r>
        <w:rPr>
          <w:spacing w:val="25"/>
        </w:rPr>
        <w:t xml:space="preserve"> </w:t>
      </w:r>
      <w:r>
        <w:t>utilização</w:t>
      </w:r>
      <w:r>
        <w:rPr>
          <w:spacing w:val="26"/>
        </w:rPr>
        <w:t xml:space="preserve"> </w:t>
      </w:r>
      <w:r>
        <w:t>da</w:t>
      </w:r>
      <w:r>
        <w:rPr>
          <w:spacing w:val="25"/>
        </w:rPr>
        <w:t xml:space="preserve"> </w:t>
      </w:r>
      <w:r>
        <w:t>desapropriação</w:t>
      </w:r>
      <w:r>
        <w:rPr>
          <w:spacing w:val="26"/>
        </w:rPr>
        <w:t xml:space="preserve"> </w:t>
      </w:r>
      <w:r>
        <w:t>por</w:t>
      </w:r>
      <w:r>
        <w:rPr>
          <w:spacing w:val="25"/>
        </w:rPr>
        <w:t xml:space="preserve"> </w:t>
      </w:r>
      <w:r>
        <w:t>hasta</w:t>
      </w:r>
      <w:r>
        <w:rPr>
          <w:spacing w:val="31"/>
        </w:rPr>
        <w:t xml:space="preserve"> </w:t>
      </w:r>
      <w:r>
        <w:t>pública</w:t>
      </w:r>
      <w:r>
        <w:rPr>
          <w:spacing w:val="27"/>
        </w:rPr>
        <w:t xml:space="preserve"> </w:t>
      </w:r>
      <w:r>
        <w:t>mostra-se</w:t>
      </w:r>
      <w:r>
        <w:rPr>
          <w:spacing w:val="25"/>
        </w:rPr>
        <w:t xml:space="preserve"> </w:t>
      </w:r>
      <w:r>
        <w:t>inviável.</w:t>
      </w:r>
      <w:r>
        <w:rPr>
          <w:spacing w:val="29"/>
        </w:rPr>
        <w:t xml:space="preserve"> </w:t>
      </w:r>
      <w:r>
        <w:t>Isso</w:t>
      </w:r>
      <w:r>
        <w:rPr>
          <w:spacing w:val="29"/>
        </w:rPr>
        <w:t xml:space="preserve"> </w:t>
      </w:r>
      <w:r>
        <w:t>porque</w:t>
      </w:r>
      <w:r>
        <w:rPr>
          <w:spacing w:val="25"/>
        </w:rPr>
        <w:t xml:space="preserve"> </w:t>
      </w:r>
      <w:r>
        <w:t>se</w:t>
      </w:r>
      <w:r>
        <w:rPr>
          <w:spacing w:val="28"/>
        </w:rPr>
        <w:t xml:space="preserve"> </w:t>
      </w:r>
      <w:r>
        <w:t>trata</w:t>
      </w:r>
      <w:r>
        <w:rPr>
          <w:spacing w:val="28"/>
        </w:rPr>
        <w:t xml:space="preserve"> </w:t>
      </w:r>
      <w:r>
        <w:t>de espécie de desapropriação distinta das previstas pela CF, quais sejam, a</w:t>
      </w:r>
      <w:r>
        <w:rPr>
          <w:spacing w:val="27"/>
        </w:rPr>
        <w:t xml:space="preserve"> </w:t>
      </w:r>
      <w:r>
        <w:t>desapropriação por</w:t>
      </w:r>
      <w:r>
        <w:rPr>
          <w:spacing w:val="80"/>
        </w:rPr>
        <w:t xml:space="preserve"> </w:t>
      </w:r>
      <w:r>
        <w:t>necessidade ou utilidade pública, ou interesse social, mediante o pagamento prévio da justa</w:t>
      </w:r>
      <w:r>
        <w:rPr>
          <w:spacing w:val="80"/>
        </w:rPr>
        <w:t xml:space="preserve"> </w:t>
      </w:r>
      <w:r>
        <w:t>indenização</w:t>
      </w:r>
      <w:r>
        <w:rPr>
          <w:spacing w:val="-9"/>
        </w:rPr>
        <w:t xml:space="preserve"> </w:t>
      </w:r>
      <w:r>
        <w:t>em</w:t>
      </w:r>
      <w:r>
        <w:rPr>
          <w:spacing w:val="-9"/>
        </w:rPr>
        <w:t xml:space="preserve"> </w:t>
      </w:r>
      <w:r>
        <w:t>dinheiro</w:t>
      </w:r>
      <w:r>
        <w:rPr>
          <w:spacing w:val="-8"/>
        </w:rPr>
        <w:t xml:space="preserve"> </w:t>
      </w:r>
      <w:r>
        <w:t>(art.</w:t>
      </w:r>
      <w:r>
        <w:rPr>
          <w:spacing w:val="-10"/>
        </w:rPr>
        <w:t xml:space="preserve"> </w:t>
      </w:r>
      <w:r>
        <w:t>5º</w:t>
      </w:r>
      <w:r>
        <w:rPr>
          <w:spacing w:val="-10"/>
        </w:rPr>
        <w:t xml:space="preserve"> </w:t>
      </w:r>
      <w:r>
        <w:t>XXIV,</w:t>
      </w:r>
      <w:r>
        <w:rPr>
          <w:spacing w:val="-10"/>
        </w:rPr>
        <w:t xml:space="preserve"> </w:t>
      </w:r>
      <w:r>
        <w:t>da</w:t>
      </w:r>
      <w:r>
        <w:rPr>
          <w:spacing w:val="-11"/>
        </w:rPr>
        <w:t xml:space="preserve"> </w:t>
      </w:r>
      <w:r>
        <w:t>CF),</w:t>
      </w:r>
      <w:r>
        <w:rPr>
          <w:spacing w:val="-10"/>
        </w:rPr>
        <w:t xml:space="preserve"> </w:t>
      </w:r>
      <w:r>
        <w:t>por</w:t>
      </w:r>
      <w:r>
        <w:rPr>
          <w:spacing w:val="-10"/>
        </w:rPr>
        <w:t xml:space="preserve"> </w:t>
      </w:r>
      <w:r>
        <w:t>interesse</w:t>
      </w:r>
      <w:r>
        <w:rPr>
          <w:spacing w:val="-10"/>
        </w:rPr>
        <w:t xml:space="preserve"> </w:t>
      </w:r>
      <w:r>
        <w:t>social</w:t>
      </w:r>
      <w:r>
        <w:rPr>
          <w:spacing w:val="-9"/>
        </w:rPr>
        <w:t xml:space="preserve"> </w:t>
      </w:r>
      <w:r>
        <w:t>para</w:t>
      </w:r>
      <w:r>
        <w:rPr>
          <w:spacing w:val="-13"/>
        </w:rPr>
        <w:t xml:space="preserve"> </w:t>
      </w:r>
      <w:r>
        <w:t>fins</w:t>
      </w:r>
      <w:r>
        <w:rPr>
          <w:spacing w:val="-9"/>
        </w:rPr>
        <w:t xml:space="preserve"> </w:t>
      </w:r>
      <w:r>
        <w:t>de</w:t>
      </w:r>
      <w:r>
        <w:rPr>
          <w:spacing w:val="-13"/>
        </w:rPr>
        <w:t xml:space="preserve"> </w:t>
      </w:r>
      <w:r>
        <w:t>reforma</w:t>
      </w:r>
      <w:r>
        <w:rPr>
          <w:spacing w:val="-11"/>
        </w:rPr>
        <w:t xml:space="preserve"> </w:t>
      </w:r>
      <w:r>
        <w:t>agrária (art. 184 da CF), por contrariedade à função social da propriedade (art. 182 § 4º, III, da CF), mediante prévio pagamento do justo preço em títulos da dívida pública, e por uso nocivo da</w:t>
      </w:r>
      <w:r>
        <w:rPr>
          <w:spacing w:val="40"/>
        </w:rPr>
        <w:t xml:space="preserve"> </w:t>
      </w:r>
      <w:r>
        <w:t>propriedade,</w:t>
      </w:r>
      <w:r>
        <w:rPr>
          <w:spacing w:val="-14"/>
        </w:rPr>
        <w:t xml:space="preserve"> </w:t>
      </w:r>
      <w:r>
        <w:t>caso</w:t>
      </w:r>
      <w:r>
        <w:rPr>
          <w:spacing w:val="-12"/>
        </w:rPr>
        <w:t xml:space="preserve"> </w:t>
      </w:r>
      <w:r>
        <w:t>em</w:t>
      </w:r>
      <w:r>
        <w:rPr>
          <w:spacing w:val="-12"/>
        </w:rPr>
        <w:t xml:space="preserve"> </w:t>
      </w:r>
      <w:r>
        <w:t>que</w:t>
      </w:r>
      <w:r>
        <w:rPr>
          <w:spacing w:val="-10"/>
        </w:rPr>
        <w:t xml:space="preserve"> </w:t>
      </w:r>
      <w:r>
        <w:t>não</w:t>
      </w:r>
      <w:r>
        <w:rPr>
          <w:spacing w:val="-14"/>
        </w:rPr>
        <w:t xml:space="preserve"> </w:t>
      </w:r>
      <w:r>
        <w:t>haverá</w:t>
      </w:r>
      <w:r>
        <w:rPr>
          <w:spacing w:val="-15"/>
        </w:rPr>
        <w:t xml:space="preserve"> </w:t>
      </w:r>
      <w:r>
        <w:t>qualquer</w:t>
      </w:r>
      <w:r>
        <w:rPr>
          <w:spacing w:val="-15"/>
        </w:rPr>
        <w:t xml:space="preserve"> </w:t>
      </w:r>
      <w:r>
        <w:t>tipo</w:t>
      </w:r>
      <w:r>
        <w:rPr>
          <w:spacing w:val="-11"/>
        </w:rPr>
        <w:t xml:space="preserve"> </w:t>
      </w:r>
      <w:r>
        <w:t>de</w:t>
      </w:r>
      <w:r>
        <w:rPr>
          <w:spacing w:val="-15"/>
        </w:rPr>
        <w:t xml:space="preserve"> </w:t>
      </w:r>
      <w:r>
        <w:t>indenização</w:t>
      </w:r>
      <w:r>
        <w:rPr>
          <w:spacing w:val="-12"/>
        </w:rPr>
        <w:t xml:space="preserve"> </w:t>
      </w:r>
      <w:r>
        <w:t>(art.</w:t>
      </w:r>
      <w:r>
        <w:rPr>
          <w:spacing w:val="-14"/>
        </w:rPr>
        <w:t xml:space="preserve"> </w:t>
      </w:r>
      <w:r>
        <w:t>243</w:t>
      </w:r>
      <w:r>
        <w:rPr>
          <w:spacing w:val="-14"/>
        </w:rPr>
        <w:t xml:space="preserve"> </w:t>
      </w:r>
      <w:r>
        <w:t>da</w:t>
      </w:r>
      <w:r>
        <w:rPr>
          <w:spacing w:val="-15"/>
        </w:rPr>
        <w:t xml:space="preserve"> </w:t>
      </w:r>
      <w:r>
        <w:t>CF).</w:t>
      </w:r>
      <w:r>
        <w:rPr>
          <w:spacing w:val="-13"/>
        </w:rPr>
        <w:t xml:space="preserve"> </w:t>
      </w:r>
      <w:r>
        <w:t>A</w:t>
      </w:r>
      <w:r>
        <w:rPr>
          <w:spacing w:val="-13"/>
        </w:rPr>
        <w:t xml:space="preserve"> </w:t>
      </w:r>
      <w:r>
        <w:t>aplicação das</w:t>
      </w:r>
      <w:r>
        <w:rPr>
          <w:spacing w:val="-1"/>
        </w:rPr>
        <w:t xml:space="preserve"> </w:t>
      </w:r>
      <w:r>
        <w:t>hipóteses previstas pela</w:t>
      </w:r>
      <w:r>
        <w:rPr>
          <w:spacing w:val="-1"/>
        </w:rPr>
        <w:t xml:space="preserve"> </w:t>
      </w:r>
      <w:r>
        <w:t>CF, por sua</w:t>
      </w:r>
      <w:r>
        <w:rPr>
          <w:spacing w:val="-2"/>
        </w:rPr>
        <w:t xml:space="preserve"> </w:t>
      </w:r>
      <w:r>
        <w:t>vez, é</w:t>
      </w:r>
      <w:r>
        <w:rPr>
          <w:spacing w:val="-2"/>
        </w:rPr>
        <w:t xml:space="preserve"> </w:t>
      </w:r>
      <w:r>
        <w:t>regulamentada</w:t>
      </w:r>
      <w:r>
        <w:rPr>
          <w:spacing w:val="-2"/>
        </w:rPr>
        <w:t xml:space="preserve"> </w:t>
      </w:r>
      <w:r>
        <w:t>por legislação federal, diante</w:t>
      </w:r>
      <w:r>
        <w:rPr>
          <w:spacing w:val="-2"/>
        </w:rPr>
        <w:t xml:space="preserve"> </w:t>
      </w:r>
      <w:r>
        <w:t>da competência privativa da União de legislar sobre o assunto, conforme art. 22, inciso II, da CF. Sendo assim, eventual criação de uma nova espécie de desapropriação deve ser realizada por meio</w:t>
      </w:r>
      <w:r>
        <w:rPr>
          <w:spacing w:val="48"/>
        </w:rPr>
        <w:t xml:space="preserve"> </w:t>
      </w:r>
      <w:r>
        <w:t>de</w:t>
      </w:r>
      <w:r>
        <w:rPr>
          <w:spacing w:val="50"/>
        </w:rPr>
        <w:t xml:space="preserve"> </w:t>
      </w:r>
      <w:r>
        <w:t>emenda</w:t>
      </w:r>
      <w:r>
        <w:rPr>
          <w:spacing w:val="50"/>
        </w:rPr>
        <w:t xml:space="preserve"> </w:t>
      </w:r>
      <w:r>
        <w:t>constitucional</w:t>
      </w:r>
      <w:r>
        <w:rPr>
          <w:spacing w:val="51"/>
        </w:rPr>
        <w:t xml:space="preserve"> </w:t>
      </w:r>
      <w:r>
        <w:t>ou,</w:t>
      </w:r>
      <w:r>
        <w:rPr>
          <w:spacing w:val="51"/>
        </w:rPr>
        <w:t xml:space="preserve"> </w:t>
      </w:r>
      <w:r>
        <w:t>em</w:t>
      </w:r>
      <w:r>
        <w:rPr>
          <w:spacing w:val="52"/>
        </w:rPr>
        <w:t xml:space="preserve"> </w:t>
      </w:r>
      <w:r>
        <w:t>uma</w:t>
      </w:r>
      <w:r>
        <w:rPr>
          <w:spacing w:val="50"/>
        </w:rPr>
        <w:t xml:space="preserve"> </w:t>
      </w:r>
      <w:r>
        <w:t>leitura</w:t>
      </w:r>
      <w:r>
        <w:rPr>
          <w:spacing w:val="50"/>
        </w:rPr>
        <w:t xml:space="preserve"> </w:t>
      </w:r>
      <w:r>
        <w:t>mais</w:t>
      </w:r>
      <w:r>
        <w:rPr>
          <w:spacing w:val="51"/>
        </w:rPr>
        <w:t xml:space="preserve"> </w:t>
      </w:r>
      <w:r>
        <w:t>abrangente,</w:t>
      </w:r>
      <w:r>
        <w:rPr>
          <w:spacing w:val="51"/>
        </w:rPr>
        <w:t xml:space="preserve"> </w:t>
      </w:r>
      <w:r>
        <w:t>por</w:t>
      </w:r>
      <w:r>
        <w:rPr>
          <w:spacing w:val="50"/>
        </w:rPr>
        <w:t xml:space="preserve"> </w:t>
      </w:r>
      <w:r>
        <w:t>lei</w:t>
      </w:r>
      <w:r>
        <w:rPr>
          <w:spacing w:val="51"/>
        </w:rPr>
        <w:t xml:space="preserve"> </w:t>
      </w:r>
      <w:r>
        <w:t>federal,</w:t>
      </w:r>
      <w:r>
        <w:rPr>
          <w:spacing w:val="52"/>
        </w:rPr>
        <w:t xml:space="preserve"> </w:t>
      </w:r>
      <w:r>
        <w:rPr>
          <w:spacing w:val="-5"/>
        </w:rPr>
        <w:t>não</w:t>
      </w:r>
    </w:p>
    <w:p w:rsidR="007259F2" w:rsidRDefault="00E655B4">
      <w:pPr>
        <w:pStyle w:val="Corpodetexto"/>
        <w:spacing w:line="275" w:lineRule="exact"/>
        <w:ind w:firstLine="0"/>
      </w:pPr>
      <w:r>
        <w:t>competindo</w:t>
      </w:r>
      <w:r>
        <w:rPr>
          <w:spacing w:val="-3"/>
        </w:rPr>
        <w:t xml:space="preserve"> </w:t>
      </w:r>
      <w:r>
        <w:t>a</w:t>
      </w:r>
      <w:r>
        <w:rPr>
          <w:spacing w:val="-1"/>
        </w:rPr>
        <w:t xml:space="preserve"> </w:t>
      </w:r>
      <w:r>
        <w:t>município</w:t>
      </w:r>
      <w:r>
        <w:rPr>
          <w:spacing w:val="-1"/>
        </w:rPr>
        <w:t xml:space="preserve"> </w:t>
      </w:r>
      <w:r>
        <w:t>realizar</w:t>
      </w:r>
      <w:r>
        <w:rPr>
          <w:spacing w:val="-1"/>
        </w:rPr>
        <w:t xml:space="preserve"> </w:t>
      </w:r>
      <w:r>
        <w:t xml:space="preserve">tal </w:t>
      </w:r>
      <w:r>
        <w:rPr>
          <w:spacing w:val="-2"/>
        </w:rPr>
        <w:t>medida.</w:t>
      </w:r>
    </w:p>
    <w:p w:rsidR="007259F2" w:rsidRDefault="00E655B4">
      <w:pPr>
        <w:pStyle w:val="Corpodetexto"/>
        <w:ind w:right="422"/>
      </w:pPr>
      <w:r>
        <w:t>Além disso, como dito anteriormente, a hasta pública é um ato judicial, de</w:t>
      </w:r>
      <w:r>
        <w:rPr>
          <w:spacing w:val="-2"/>
        </w:rPr>
        <w:t xml:space="preserve"> </w:t>
      </w:r>
      <w:r>
        <w:t>modo que a sua</w:t>
      </w:r>
      <w:r>
        <w:rPr>
          <w:spacing w:val="-2"/>
        </w:rPr>
        <w:t xml:space="preserve"> </w:t>
      </w:r>
      <w:r>
        <w:t>aplicação se</w:t>
      </w:r>
      <w:r>
        <w:rPr>
          <w:spacing w:val="-2"/>
        </w:rPr>
        <w:t xml:space="preserve"> </w:t>
      </w:r>
      <w:r>
        <w:t>insere em um</w:t>
      </w:r>
      <w:r>
        <w:rPr>
          <w:spacing w:val="-1"/>
        </w:rPr>
        <w:t xml:space="preserve"> </w:t>
      </w:r>
      <w:r>
        <w:t>processo</w:t>
      </w:r>
      <w:r>
        <w:rPr>
          <w:spacing w:val="-1"/>
        </w:rPr>
        <w:t xml:space="preserve"> </w:t>
      </w:r>
      <w:r>
        <w:t>judicial,</w:t>
      </w:r>
      <w:r>
        <w:rPr>
          <w:spacing w:val="-5"/>
        </w:rPr>
        <w:t xml:space="preserve"> </w:t>
      </w:r>
      <w:r>
        <w:t>o</w:t>
      </w:r>
      <w:r>
        <w:rPr>
          <w:spacing w:val="-1"/>
        </w:rPr>
        <w:t xml:space="preserve"> </w:t>
      </w:r>
      <w:r>
        <w:t>que</w:t>
      </w:r>
      <w:r>
        <w:rPr>
          <w:spacing w:val="-2"/>
        </w:rPr>
        <w:t xml:space="preserve"> </w:t>
      </w:r>
      <w:r>
        <w:t>não</w:t>
      </w:r>
      <w:r>
        <w:rPr>
          <w:spacing w:val="-1"/>
        </w:rPr>
        <w:t xml:space="preserve"> </w:t>
      </w:r>
      <w:r>
        <w:t>está</w:t>
      </w:r>
      <w:r>
        <w:rPr>
          <w:spacing w:val="-2"/>
        </w:rPr>
        <w:t xml:space="preserve"> </w:t>
      </w:r>
      <w:r>
        <w:t>previsto para</w:t>
      </w:r>
      <w:r>
        <w:rPr>
          <w:spacing w:val="-4"/>
        </w:rPr>
        <w:t xml:space="preserve"> </w:t>
      </w:r>
      <w:r>
        <w:t>a</w:t>
      </w:r>
      <w:r>
        <w:rPr>
          <w:spacing w:val="-2"/>
        </w:rPr>
        <w:t xml:space="preserve"> </w:t>
      </w:r>
      <w:r>
        <w:t>desapropriação ora criada, cujo procedimento é administrativo, havendo, com isso, violação ao princípio do devido processo legal, que se encontra previsto no art. 5º, LIV, da CF, o qual estabelece que “ninguém será privado da liberdade ou de seus bens sem o devido processo legal”.</w:t>
      </w:r>
    </w:p>
    <w:p w:rsidR="007259F2" w:rsidRDefault="00E655B4">
      <w:pPr>
        <w:pStyle w:val="Corpodetexto"/>
        <w:ind w:right="421"/>
      </w:pPr>
      <w:r>
        <w:t>Verdade</w:t>
      </w:r>
      <w:r>
        <w:rPr>
          <w:spacing w:val="-15"/>
        </w:rPr>
        <w:t xml:space="preserve"> </w:t>
      </w:r>
      <w:r>
        <w:t>é,</w:t>
      </w:r>
      <w:r>
        <w:rPr>
          <w:spacing w:val="-15"/>
        </w:rPr>
        <w:t xml:space="preserve"> </w:t>
      </w:r>
      <w:r>
        <w:t>portanto,</w:t>
      </w:r>
      <w:r>
        <w:rPr>
          <w:spacing w:val="-12"/>
        </w:rPr>
        <w:t xml:space="preserve"> </w:t>
      </w:r>
      <w:r>
        <w:t>que</w:t>
      </w:r>
      <w:r>
        <w:rPr>
          <w:spacing w:val="-14"/>
        </w:rPr>
        <w:t xml:space="preserve"> </w:t>
      </w:r>
      <w:r>
        <w:t>o</w:t>
      </w:r>
      <w:r>
        <w:rPr>
          <w:spacing w:val="-13"/>
        </w:rPr>
        <w:t xml:space="preserve"> </w:t>
      </w:r>
      <w:r>
        <w:t>instrumento</w:t>
      </w:r>
      <w:r>
        <w:rPr>
          <w:spacing w:val="-13"/>
        </w:rPr>
        <w:t xml:space="preserve"> </w:t>
      </w:r>
      <w:r>
        <w:t>da</w:t>
      </w:r>
      <w:r>
        <w:rPr>
          <w:spacing w:val="-15"/>
        </w:rPr>
        <w:t xml:space="preserve"> </w:t>
      </w:r>
      <w:r>
        <w:t>desapropriação</w:t>
      </w:r>
      <w:r>
        <w:rPr>
          <w:spacing w:val="-13"/>
        </w:rPr>
        <w:t xml:space="preserve"> </w:t>
      </w:r>
      <w:r>
        <w:t>por</w:t>
      </w:r>
      <w:r>
        <w:rPr>
          <w:spacing w:val="-14"/>
        </w:rPr>
        <w:t xml:space="preserve"> </w:t>
      </w:r>
      <w:r>
        <w:t>hasta</w:t>
      </w:r>
      <w:r>
        <w:rPr>
          <w:spacing w:val="-13"/>
        </w:rPr>
        <w:t xml:space="preserve"> </w:t>
      </w:r>
      <w:r>
        <w:t>pública,</w:t>
      </w:r>
      <w:r>
        <w:rPr>
          <w:spacing w:val="-11"/>
        </w:rPr>
        <w:t xml:space="preserve"> </w:t>
      </w:r>
      <w:r>
        <w:t>introduzido ao</w:t>
      </w:r>
      <w:r>
        <w:rPr>
          <w:spacing w:val="-6"/>
        </w:rPr>
        <w:t xml:space="preserve"> </w:t>
      </w:r>
      <w:r>
        <w:t>PDE</w:t>
      </w:r>
      <w:r>
        <w:rPr>
          <w:spacing w:val="-8"/>
        </w:rPr>
        <w:t xml:space="preserve"> </w:t>
      </w:r>
      <w:r>
        <w:t>pela Lei</w:t>
      </w:r>
      <w:r>
        <w:rPr>
          <w:spacing w:val="-3"/>
        </w:rPr>
        <w:t xml:space="preserve"> </w:t>
      </w:r>
      <w:r>
        <w:t>Municipal</w:t>
      </w:r>
      <w:r>
        <w:rPr>
          <w:spacing w:val="-4"/>
        </w:rPr>
        <w:t xml:space="preserve"> </w:t>
      </w:r>
      <w:r>
        <w:t>nº</w:t>
      </w:r>
      <w:r>
        <w:rPr>
          <w:spacing w:val="-6"/>
        </w:rPr>
        <w:t xml:space="preserve"> </w:t>
      </w:r>
      <w:r>
        <w:t>17.975/2023,</w:t>
      </w:r>
      <w:r>
        <w:rPr>
          <w:spacing w:val="-1"/>
        </w:rPr>
        <w:t xml:space="preserve"> </w:t>
      </w:r>
      <w:r>
        <w:t>é</w:t>
      </w:r>
      <w:r>
        <w:rPr>
          <w:spacing w:val="-8"/>
        </w:rPr>
        <w:t xml:space="preserve"> </w:t>
      </w:r>
      <w:r>
        <w:t>inconstitucional.</w:t>
      </w:r>
      <w:r>
        <w:rPr>
          <w:spacing w:val="-4"/>
        </w:rPr>
        <w:t xml:space="preserve"> </w:t>
      </w:r>
      <w:r>
        <w:t>Melhor</w:t>
      </w:r>
      <w:r>
        <w:rPr>
          <w:spacing w:val="-6"/>
        </w:rPr>
        <w:t xml:space="preserve"> </w:t>
      </w:r>
      <w:r>
        <w:t>seria,</w:t>
      </w:r>
      <w:r>
        <w:rPr>
          <w:spacing w:val="-5"/>
        </w:rPr>
        <w:t xml:space="preserve"> </w:t>
      </w:r>
      <w:r>
        <w:t>ainda</w:t>
      </w:r>
      <w:r>
        <w:rPr>
          <w:spacing w:val="-6"/>
        </w:rPr>
        <w:t xml:space="preserve"> </w:t>
      </w:r>
      <w:r>
        <w:t>que</w:t>
      </w:r>
      <w:r>
        <w:rPr>
          <w:spacing w:val="-6"/>
        </w:rPr>
        <w:t xml:space="preserve"> </w:t>
      </w:r>
      <w:r>
        <w:t>se</w:t>
      </w:r>
      <w:r>
        <w:rPr>
          <w:spacing w:val="-6"/>
        </w:rPr>
        <w:t xml:space="preserve"> </w:t>
      </w:r>
      <w:r>
        <w:t>trate de um procedimento mais moroso em comparação ao do instrumento criado, fazer uso da desapropriação</w:t>
      </w:r>
      <w:r>
        <w:rPr>
          <w:spacing w:val="-15"/>
        </w:rPr>
        <w:t xml:space="preserve"> </w:t>
      </w:r>
      <w:r>
        <w:t>por</w:t>
      </w:r>
      <w:r>
        <w:rPr>
          <w:spacing w:val="-15"/>
        </w:rPr>
        <w:t xml:space="preserve"> </w:t>
      </w:r>
      <w:r>
        <w:t>interesse</w:t>
      </w:r>
      <w:r>
        <w:rPr>
          <w:spacing w:val="-15"/>
        </w:rPr>
        <w:t xml:space="preserve"> </w:t>
      </w:r>
      <w:r>
        <w:t>social,</w:t>
      </w:r>
      <w:r>
        <w:rPr>
          <w:spacing w:val="-15"/>
        </w:rPr>
        <w:t xml:space="preserve"> </w:t>
      </w:r>
      <w:r>
        <w:t>regulamentada</w:t>
      </w:r>
      <w:r>
        <w:rPr>
          <w:spacing w:val="-15"/>
        </w:rPr>
        <w:t xml:space="preserve"> </w:t>
      </w:r>
      <w:r>
        <w:t>pela</w:t>
      </w:r>
      <w:r>
        <w:rPr>
          <w:spacing w:val="-15"/>
        </w:rPr>
        <w:t xml:space="preserve"> </w:t>
      </w:r>
      <w:r>
        <w:t>Lei</w:t>
      </w:r>
      <w:r>
        <w:rPr>
          <w:spacing w:val="-15"/>
        </w:rPr>
        <w:t xml:space="preserve"> </w:t>
      </w:r>
      <w:r>
        <w:t>Federal</w:t>
      </w:r>
      <w:r>
        <w:rPr>
          <w:spacing w:val="-15"/>
        </w:rPr>
        <w:t xml:space="preserve"> </w:t>
      </w:r>
      <w:r>
        <w:t>nº</w:t>
      </w:r>
      <w:r>
        <w:rPr>
          <w:spacing w:val="-15"/>
        </w:rPr>
        <w:t xml:space="preserve"> </w:t>
      </w:r>
      <w:r>
        <w:t>4.132/1962</w:t>
      </w:r>
      <w:r>
        <w:rPr>
          <w:spacing w:val="-15"/>
        </w:rPr>
        <w:t xml:space="preserve"> </w:t>
      </w:r>
      <w:r>
        <w:t>para</w:t>
      </w:r>
      <w:r>
        <w:rPr>
          <w:spacing w:val="-15"/>
        </w:rPr>
        <w:t xml:space="preserve"> </w:t>
      </w:r>
      <w:r>
        <w:t>os</w:t>
      </w:r>
      <w:r>
        <w:rPr>
          <w:spacing w:val="-15"/>
        </w:rPr>
        <w:t xml:space="preserve"> </w:t>
      </w:r>
      <w:r>
        <w:t>casos em que</w:t>
      </w:r>
      <w:r>
        <w:rPr>
          <w:spacing w:val="-3"/>
        </w:rPr>
        <w:t xml:space="preserve"> </w:t>
      </w:r>
      <w:r>
        <w:t>se</w:t>
      </w:r>
      <w:r>
        <w:rPr>
          <w:spacing w:val="-3"/>
        </w:rPr>
        <w:t xml:space="preserve"> </w:t>
      </w:r>
      <w:r>
        <w:t>busca</w:t>
      </w:r>
      <w:r>
        <w:rPr>
          <w:spacing w:val="-3"/>
        </w:rPr>
        <w:t xml:space="preserve"> </w:t>
      </w:r>
      <w:r>
        <w:t>utilizar o imóvel ocioso para</w:t>
      </w:r>
      <w:r>
        <w:rPr>
          <w:spacing w:val="-2"/>
        </w:rPr>
        <w:t xml:space="preserve"> </w:t>
      </w:r>
      <w:r>
        <w:t>criação de</w:t>
      </w:r>
      <w:r>
        <w:rPr>
          <w:spacing w:val="-1"/>
        </w:rPr>
        <w:t xml:space="preserve"> </w:t>
      </w:r>
      <w:r>
        <w:t>moradias</w:t>
      </w:r>
      <w:r>
        <w:rPr>
          <w:spacing w:val="-2"/>
        </w:rPr>
        <w:t xml:space="preserve"> </w:t>
      </w:r>
      <w:r>
        <w:t>sociais, tendo</w:t>
      </w:r>
      <w:r>
        <w:rPr>
          <w:spacing w:val="-2"/>
        </w:rPr>
        <w:t xml:space="preserve"> </w:t>
      </w:r>
      <w:r>
        <w:t>em vista</w:t>
      </w:r>
      <w:r>
        <w:rPr>
          <w:spacing w:val="-3"/>
        </w:rPr>
        <w:t xml:space="preserve"> </w:t>
      </w:r>
      <w:r>
        <w:t>que, conforme art.</w:t>
      </w:r>
      <w:r>
        <w:rPr>
          <w:spacing w:val="-1"/>
        </w:rPr>
        <w:t xml:space="preserve"> </w:t>
      </w:r>
      <w:r>
        <w:t>2º, inciso I</w:t>
      </w:r>
      <w:r>
        <w:rPr>
          <w:spacing w:val="-1"/>
        </w:rPr>
        <w:t xml:space="preserve"> </w:t>
      </w:r>
      <w:r>
        <w:t>da referida lei, considera-se</w:t>
      </w:r>
      <w:r>
        <w:rPr>
          <w:spacing w:val="-2"/>
        </w:rPr>
        <w:t xml:space="preserve"> </w:t>
      </w:r>
      <w:r>
        <w:t>de interesse</w:t>
      </w:r>
      <w:r>
        <w:rPr>
          <w:spacing w:val="-1"/>
        </w:rPr>
        <w:t xml:space="preserve"> </w:t>
      </w:r>
      <w:r>
        <w:t>social “o aproveitamento de todo</w:t>
      </w:r>
      <w:r>
        <w:rPr>
          <w:spacing w:val="11"/>
        </w:rPr>
        <w:t xml:space="preserve"> </w:t>
      </w:r>
      <w:r>
        <w:t>bem</w:t>
      </w:r>
      <w:r>
        <w:rPr>
          <w:spacing w:val="13"/>
        </w:rPr>
        <w:t xml:space="preserve"> </w:t>
      </w:r>
      <w:r>
        <w:t>improdutivo</w:t>
      </w:r>
      <w:r>
        <w:rPr>
          <w:spacing w:val="13"/>
        </w:rPr>
        <w:t xml:space="preserve"> </w:t>
      </w:r>
      <w:r>
        <w:t>ou</w:t>
      </w:r>
      <w:r>
        <w:rPr>
          <w:spacing w:val="13"/>
        </w:rPr>
        <w:t xml:space="preserve"> </w:t>
      </w:r>
      <w:r>
        <w:t>explorado</w:t>
      </w:r>
      <w:r>
        <w:rPr>
          <w:spacing w:val="13"/>
        </w:rPr>
        <w:t xml:space="preserve"> </w:t>
      </w:r>
      <w:r>
        <w:t>sem</w:t>
      </w:r>
      <w:r>
        <w:rPr>
          <w:spacing w:val="14"/>
        </w:rPr>
        <w:t xml:space="preserve"> </w:t>
      </w:r>
      <w:r>
        <w:t>correspondência</w:t>
      </w:r>
      <w:r>
        <w:rPr>
          <w:spacing w:val="15"/>
        </w:rPr>
        <w:t xml:space="preserve"> </w:t>
      </w:r>
      <w:r>
        <w:t>com</w:t>
      </w:r>
      <w:r>
        <w:rPr>
          <w:spacing w:val="13"/>
        </w:rPr>
        <w:t xml:space="preserve"> </w:t>
      </w:r>
      <w:r>
        <w:t>as</w:t>
      </w:r>
      <w:r>
        <w:rPr>
          <w:spacing w:val="13"/>
        </w:rPr>
        <w:t xml:space="preserve"> </w:t>
      </w:r>
      <w:r>
        <w:t>necessidades</w:t>
      </w:r>
      <w:r>
        <w:rPr>
          <w:spacing w:val="13"/>
        </w:rPr>
        <w:t xml:space="preserve"> </w:t>
      </w:r>
      <w:r>
        <w:t>de</w:t>
      </w:r>
      <w:r>
        <w:rPr>
          <w:spacing w:val="15"/>
        </w:rPr>
        <w:t xml:space="preserve"> </w:t>
      </w:r>
      <w:r>
        <w:rPr>
          <w:spacing w:val="-2"/>
        </w:rPr>
        <w:t>habitação,</w:t>
      </w:r>
    </w:p>
    <w:p w:rsidR="007259F2" w:rsidRDefault="007259F2">
      <w:pPr>
        <w:pStyle w:val="Corpodetexto"/>
        <w:sectPr w:rsidR="007259F2">
          <w:pgSz w:w="11910" w:h="16840"/>
          <w:pgMar w:top="1600" w:right="708" w:bottom="1020" w:left="992" w:header="0" w:footer="820" w:gutter="0"/>
          <w:cols w:space="720"/>
        </w:sectPr>
      </w:pPr>
    </w:p>
    <w:p w:rsidR="007259F2" w:rsidRDefault="00E655B4">
      <w:pPr>
        <w:pStyle w:val="Corpodetexto"/>
        <w:spacing w:before="75"/>
        <w:ind w:right="427" w:firstLine="0"/>
      </w:pPr>
      <w:r>
        <w:lastRenderedPageBreak/>
        <w:t xml:space="preserve">trabalho e consumo dos centros de população a que deve ou possa suprir por seu destino </w:t>
      </w:r>
      <w:r>
        <w:rPr>
          <w:spacing w:val="-2"/>
        </w:rPr>
        <w:t>econômico”.</w:t>
      </w:r>
    </w:p>
    <w:p w:rsidR="007259F2" w:rsidRDefault="00E655B4">
      <w:pPr>
        <w:pStyle w:val="Corpodetexto"/>
        <w:ind w:right="422"/>
      </w:pPr>
      <w:r>
        <w:t>Cumpre dizer que a revisão ao PDE também incluiu ferramentas complementares na indução do cumprimento da função social da propriedade urbana, são elas: i) a promoção de chamamentos públicos para a realização de consórcio imobiliário com a finalidade de implantação de unidades de habitação de interesse social; ii) a promoção de desapropriação amigável,</w:t>
      </w:r>
      <w:r>
        <w:rPr>
          <w:spacing w:val="-13"/>
        </w:rPr>
        <w:t xml:space="preserve"> </w:t>
      </w:r>
      <w:r>
        <w:t>inclusive</w:t>
      </w:r>
      <w:r>
        <w:rPr>
          <w:spacing w:val="-15"/>
        </w:rPr>
        <w:t xml:space="preserve"> </w:t>
      </w:r>
      <w:r>
        <w:t>no</w:t>
      </w:r>
      <w:r>
        <w:rPr>
          <w:spacing w:val="-11"/>
        </w:rPr>
        <w:t xml:space="preserve"> </w:t>
      </w:r>
      <w:r>
        <w:t>caso</w:t>
      </w:r>
      <w:r>
        <w:rPr>
          <w:spacing w:val="-14"/>
        </w:rPr>
        <w:t xml:space="preserve"> </w:t>
      </w:r>
      <w:r>
        <w:t>em</w:t>
      </w:r>
      <w:r>
        <w:rPr>
          <w:spacing w:val="-14"/>
        </w:rPr>
        <w:t xml:space="preserve"> </w:t>
      </w:r>
      <w:r>
        <w:t>que</w:t>
      </w:r>
      <w:r>
        <w:rPr>
          <w:spacing w:val="-13"/>
        </w:rPr>
        <w:t xml:space="preserve"> </w:t>
      </w:r>
      <w:r>
        <w:t>o</w:t>
      </w:r>
      <w:r>
        <w:rPr>
          <w:spacing w:val="-14"/>
        </w:rPr>
        <w:t xml:space="preserve"> </w:t>
      </w:r>
      <w:r>
        <w:t>valor</w:t>
      </w:r>
      <w:r>
        <w:rPr>
          <w:spacing w:val="-15"/>
        </w:rPr>
        <w:t xml:space="preserve"> </w:t>
      </w:r>
      <w:r>
        <w:t>da</w:t>
      </w:r>
      <w:r>
        <w:rPr>
          <w:spacing w:val="-15"/>
        </w:rPr>
        <w:t xml:space="preserve"> </w:t>
      </w:r>
      <w:r>
        <w:t>dívida</w:t>
      </w:r>
      <w:r>
        <w:rPr>
          <w:spacing w:val="-15"/>
        </w:rPr>
        <w:t xml:space="preserve"> </w:t>
      </w:r>
      <w:r>
        <w:t>relativa</w:t>
      </w:r>
      <w:r>
        <w:rPr>
          <w:spacing w:val="-12"/>
        </w:rPr>
        <w:t xml:space="preserve"> </w:t>
      </w:r>
      <w:r>
        <w:t>ao</w:t>
      </w:r>
      <w:r>
        <w:rPr>
          <w:spacing w:val="-7"/>
        </w:rPr>
        <w:t xml:space="preserve"> </w:t>
      </w:r>
      <w:r>
        <w:t>IPTU</w:t>
      </w:r>
      <w:r>
        <w:rPr>
          <w:spacing w:val="-13"/>
        </w:rPr>
        <w:t xml:space="preserve"> </w:t>
      </w:r>
      <w:r>
        <w:t>supere</w:t>
      </w:r>
      <w:r>
        <w:rPr>
          <w:spacing w:val="-15"/>
        </w:rPr>
        <w:t xml:space="preserve"> </w:t>
      </w:r>
      <w:r>
        <w:t>o</w:t>
      </w:r>
      <w:r>
        <w:rPr>
          <w:spacing w:val="-14"/>
        </w:rPr>
        <w:t xml:space="preserve"> </w:t>
      </w:r>
      <w:r>
        <w:t>valor</w:t>
      </w:r>
      <w:r>
        <w:rPr>
          <w:spacing w:val="-15"/>
        </w:rPr>
        <w:t xml:space="preserve"> </w:t>
      </w:r>
      <w:r>
        <w:t>do</w:t>
      </w:r>
      <w:r>
        <w:rPr>
          <w:spacing w:val="-12"/>
        </w:rPr>
        <w:t xml:space="preserve"> </w:t>
      </w:r>
      <w:r>
        <w:t>imóvel, nos termos do § 5º do art. 99 desta Lei; e iii) a utilização do procedimento de regularização fundiária urbana previsto na Lei Federal nº 13.465/2017 (art. 99, §2º, do PDE).</w:t>
      </w:r>
    </w:p>
    <w:p w:rsidR="007259F2" w:rsidRDefault="00E655B4">
      <w:pPr>
        <w:pStyle w:val="Corpodetexto"/>
        <w:ind w:right="420"/>
      </w:pPr>
      <w:r>
        <w:t>Explicita-se</w:t>
      </w:r>
      <w:r>
        <w:rPr>
          <w:spacing w:val="-7"/>
        </w:rPr>
        <w:t xml:space="preserve"> </w:t>
      </w:r>
      <w:r>
        <w:t>quanto</w:t>
      </w:r>
      <w:r>
        <w:rPr>
          <w:spacing w:val="-2"/>
        </w:rPr>
        <w:t xml:space="preserve"> </w:t>
      </w:r>
      <w:r>
        <w:t>à</w:t>
      </w:r>
      <w:r>
        <w:rPr>
          <w:spacing w:val="-4"/>
        </w:rPr>
        <w:t xml:space="preserve"> </w:t>
      </w:r>
      <w:r>
        <w:t>primeira</w:t>
      </w:r>
      <w:r>
        <w:rPr>
          <w:spacing w:val="-7"/>
        </w:rPr>
        <w:t xml:space="preserve"> </w:t>
      </w:r>
      <w:r>
        <w:t>das</w:t>
      </w:r>
      <w:r>
        <w:rPr>
          <w:spacing w:val="-3"/>
        </w:rPr>
        <w:t xml:space="preserve"> </w:t>
      </w:r>
      <w:r>
        <w:t>ferramenta</w:t>
      </w:r>
      <w:r>
        <w:rPr>
          <w:spacing w:val="-3"/>
        </w:rPr>
        <w:t xml:space="preserve"> </w:t>
      </w:r>
      <w:r>
        <w:t>listadas que,</w:t>
      </w:r>
      <w:r>
        <w:rPr>
          <w:spacing w:val="-3"/>
        </w:rPr>
        <w:t xml:space="preserve"> </w:t>
      </w:r>
      <w:r>
        <w:t>de</w:t>
      </w:r>
      <w:r>
        <w:rPr>
          <w:spacing w:val="-4"/>
        </w:rPr>
        <w:t xml:space="preserve"> </w:t>
      </w:r>
      <w:r>
        <w:t>acordo</w:t>
      </w:r>
      <w:r>
        <w:rPr>
          <w:spacing w:val="-3"/>
        </w:rPr>
        <w:t xml:space="preserve"> </w:t>
      </w:r>
      <w:r>
        <w:t>com o</w:t>
      </w:r>
      <w:r>
        <w:rPr>
          <w:spacing w:val="-3"/>
        </w:rPr>
        <w:t xml:space="preserve"> </w:t>
      </w:r>
      <w:r>
        <w:t>art.</w:t>
      </w:r>
      <w:r>
        <w:rPr>
          <w:spacing w:val="-4"/>
        </w:rPr>
        <w:t xml:space="preserve"> </w:t>
      </w:r>
      <w:r>
        <w:t>102</w:t>
      </w:r>
      <w:r>
        <w:rPr>
          <w:spacing w:val="-3"/>
        </w:rPr>
        <w:t xml:space="preserve"> </w:t>
      </w:r>
      <w:r>
        <w:t>do PDE, faculta-se ao Poder Público a realização de consórcios imobiliários a imóveis sujeitos à PEUC, por meio do qual o proprietário transfere à Prefeitura seu imóvel e, após a realização das obras, recebe algumas unidades como pagamento, ficando as demais incorporadas ao patrimônio público, devendo ser promovido o aproveitamento adequado destas pela Administração Pública no prazo máximo de 5 (cinco) anos a contar de sua incorporação, obedecendo, nesse caso, a finalidade de implantação de unidade de habitação social, na forma do art. 99, §2º, inciso I, do PDE.</w:t>
      </w:r>
    </w:p>
    <w:p w:rsidR="007259F2" w:rsidRDefault="00E655B4">
      <w:pPr>
        <w:pStyle w:val="Corpodetexto"/>
        <w:spacing w:before="1"/>
        <w:ind w:right="420"/>
      </w:pPr>
      <w:r>
        <w:t>Tais ferramentas não representam uma novidade jurídica como no caso da desapropriação por hasta pública e podem ser de grande auxílio no cumprimento da função social</w:t>
      </w:r>
      <w:r>
        <w:rPr>
          <w:spacing w:val="-10"/>
        </w:rPr>
        <w:t xml:space="preserve"> </w:t>
      </w:r>
      <w:r>
        <w:t>da</w:t>
      </w:r>
      <w:r>
        <w:rPr>
          <w:spacing w:val="-9"/>
        </w:rPr>
        <w:t xml:space="preserve"> </w:t>
      </w:r>
      <w:r>
        <w:t>propriedade</w:t>
      </w:r>
      <w:r>
        <w:rPr>
          <w:spacing w:val="-9"/>
        </w:rPr>
        <w:t xml:space="preserve"> </w:t>
      </w:r>
      <w:r>
        <w:t>urbana,</w:t>
      </w:r>
      <w:r>
        <w:rPr>
          <w:spacing w:val="-7"/>
        </w:rPr>
        <w:t xml:space="preserve"> </w:t>
      </w:r>
      <w:r>
        <w:t>como</w:t>
      </w:r>
      <w:r>
        <w:rPr>
          <w:spacing w:val="-8"/>
        </w:rPr>
        <w:t xml:space="preserve"> </w:t>
      </w:r>
      <w:r>
        <w:t>se</w:t>
      </w:r>
      <w:r>
        <w:rPr>
          <w:spacing w:val="-9"/>
        </w:rPr>
        <w:t xml:space="preserve"> </w:t>
      </w:r>
      <w:r>
        <w:t>pretende,</w:t>
      </w:r>
      <w:r>
        <w:rPr>
          <w:spacing w:val="-5"/>
        </w:rPr>
        <w:t xml:space="preserve"> </w:t>
      </w:r>
      <w:r>
        <w:t>ainda</w:t>
      </w:r>
      <w:r>
        <w:rPr>
          <w:spacing w:val="-12"/>
        </w:rPr>
        <w:t xml:space="preserve"> </w:t>
      </w:r>
      <w:r>
        <w:t>mais</w:t>
      </w:r>
      <w:r>
        <w:rPr>
          <w:spacing w:val="-10"/>
        </w:rPr>
        <w:t xml:space="preserve"> </w:t>
      </w:r>
      <w:r>
        <w:t>quando</w:t>
      </w:r>
      <w:r>
        <w:rPr>
          <w:spacing w:val="-10"/>
        </w:rPr>
        <w:t xml:space="preserve"> </w:t>
      </w:r>
      <w:r>
        <w:t>o</w:t>
      </w:r>
      <w:r>
        <w:rPr>
          <w:spacing w:val="-8"/>
        </w:rPr>
        <w:t xml:space="preserve"> </w:t>
      </w:r>
      <w:r>
        <w:t>interesse</w:t>
      </w:r>
      <w:r>
        <w:rPr>
          <w:spacing w:val="-10"/>
        </w:rPr>
        <w:t xml:space="preserve"> </w:t>
      </w:r>
      <w:r>
        <w:t>da</w:t>
      </w:r>
      <w:r>
        <w:rPr>
          <w:spacing w:val="-9"/>
        </w:rPr>
        <w:t xml:space="preserve"> </w:t>
      </w:r>
      <w:r>
        <w:t>Prefeitura</w:t>
      </w:r>
      <w:r>
        <w:rPr>
          <w:spacing w:val="-12"/>
        </w:rPr>
        <w:t xml:space="preserve"> </w:t>
      </w:r>
      <w:r>
        <w:t>no imóvel ocioso está voltado à criação de unidades de habitação de interesse social.</w:t>
      </w:r>
    </w:p>
    <w:p w:rsidR="007259F2" w:rsidRDefault="00E655B4">
      <w:pPr>
        <w:pStyle w:val="Corpodetexto"/>
        <w:ind w:right="423"/>
      </w:pPr>
      <w:r>
        <w:t>Vale</w:t>
      </w:r>
      <w:r>
        <w:rPr>
          <w:spacing w:val="-15"/>
        </w:rPr>
        <w:t xml:space="preserve"> </w:t>
      </w:r>
      <w:r>
        <w:t>dizer</w:t>
      </w:r>
      <w:r>
        <w:rPr>
          <w:spacing w:val="-15"/>
        </w:rPr>
        <w:t xml:space="preserve"> </w:t>
      </w:r>
      <w:r>
        <w:t>que,</w:t>
      </w:r>
      <w:r>
        <w:rPr>
          <w:spacing w:val="-12"/>
        </w:rPr>
        <w:t xml:space="preserve"> </w:t>
      </w:r>
      <w:r>
        <w:t>não</w:t>
      </w:r>
      <w:r>
        <w:rPr>
          <w:spacing w:val="-12"/>
        </w:rPr>
        <w:t xml:space="preserve"> </w:t>
      </w:r>
      <w:r>
        <w:t>reconhecida</w:t>
      </w:r>
      <w:r>
        <w:rPr>
          <w:spacing w:val="-12"/>
        </w:rPr>
        <w:t xml:space="preserve"> </w:t>
      </w:r>
      <w:r>
        <w:t>formalmente</w:t>
      </w:r>
      <w:r>
        <w:rPr>
          <w:spacing w:val="-13"/>
        </w:rPr>
        <w:t xml:space="preserve"> </w:t>
      </w:r>
      <w:r>
        <w:t>a</w:t>
      </w:r>
      <w:r>
        <w:rPr>
          <w:spacing w:val="-15"/>
        </w:rPr>
        <w:t xml:space="preserve"> </w:t>
      </w:r>
      <w:r>
        <w:t>inconstitucionalidade</w:t>
      </w:r>
      <w:r>
        <w:rPr>
          <w:spacing w:val="-14"/>
        </w:rPr>
        <w:t xml:space="preserve"> </w:t>
      </w:r>
      <w:r>
        <w:t>da</w:t>
      </w:r>
      <w:r>
        <w:rPr>
          <w:spacing w:val="-15"/>
        </w:rPr>
        <w:t xml:space="preserve"> </w:t>
      </w:r>
      <w:r>
        <w:t>desapropriação por hasta pública, sua aplicação, bem como a das demais ferramentas introduzidas ao PDE, aguardam regulamentação pelo Poder Executivo.</w:t>
      </w:r>
    </w:p>
    <w:p w:rsidR="007259F2" w:rsidRDefault="00E655B4">
      <w:pPr>
        <w:pStyle w:val="Heading2"/>
        <w:numPr>
          <w:ilvl w:val="0"/>
          <w:numId w:val="13"/>
        </w:numPr>
        <w:tabs>
          <w:tab w:val="left" w:pos="1136"/>
        </w:tabs>
        <w:ind w:left="1136" w:hanging="424"/>
        <w:jc w:val="both"/>
      </w:pPr>
      <w:r>
        <w:rPr>
          <w:spacing w:val="-2"/>
        </w:rPr>
        <w:t>Conclusão</w:t>
      </w:r>
    </w:p>
    <w:p w:rsidR="007259F2" w:rsidRDefault="00E655B4">
      <w:pPr>
        <w:pStyle w:val="Corpodetexto"/>
        <w:spacing w:before="113"/>
        <w:ind w:right="424"/>
      </w:pPr>
      <w:r>
        <w:t>A função social da propriedade urbana é a obrigação do proprietário de compatibilizar sua propriedade com as necessidades da coletividade e o bem-estar social, sendo de grande importância na organização harmônica do espaço urbano. Faz parte da política de desenvolvimento urbano do Estado estabelecida pelos art. 182 e 183 da CF, pelo Estatuto da Cidade</w:t>
      </w:r>
      <w:r>
        <w:rPr>
          <w:spacing w:val="-1"/>
        </w:rPr>
        <w:t xml:space="preserve"> </w:t>
      </w:r>
      <w:r>
        <w:t>e pela Plano Diretor Municipal, que no caso da cidade</w:t>
      </w:r>
      <w:r>
        <w:rPr>
          <w:spacing w:val="-1"/>
        </w:rPr>
        <w:t xml:space="preserve"> </w:t>
      </w:r>
      <w:r>
        <w:t xml:space="preserve">de São Paulo corresponde à Lei </w:t>
      </w:r>
      <w:r>
        <w:rPr>
          <w:spacing w:val="-2"/>
        </w:rPr>
        <w:t>16.050/2014.</w:t>
      </w:r>
    </w:p>
    <w:p w:rsidR="007259F2" w:rsidRDefault="00E655B4">
      <w:pPr>
        <w:pStyle w:val="Corpodetexto"/>
        <w:ind w:right="420"/>
      </w:pPr>
      <w:r>
        <w:t>De acordo com o PDE, considera-se descumprida a função social da propriedade urbana quando determinado imóvel se encontra não edificado, subutilizado ou não utilizado. Em linhas gerais, o imóvel não edificado é</w:t>
      </w:r>
      <w:r>
        <w:rPr>
          <w:spacing w:val="-3"/>
        </w:rPr>
        <w:t xml:space="preserve"> </w:t>
      </w:r>
      <w:r>
        <w:t>aquele com</w:t>
      </w:r>
      <w:r>
        <w:rPr>
          <w:spacing w:val="-2"/>
        </w:rPr>
        <w:t xml:space="preserve"> </w:t>
      </w:r>
      <w:r>
        <w:t>mais</w:t>
      </w:r>
      <w:r>
        <w:rPr>
          <w:spacing w:val="-2"/>
        </w:rPr>
        <w:t xml:space="preserve"> </w:t>
      </w:r>
      <w:r>
        <w:t>com</w:t>
      </w:r>
      <w:r>
        <w:rPr>
          <w:spacing w:val="-2"/>
        </w:rPr>
        <w:t xml:space="preserve"> </w:t>
      </w:r>
      <w:r>
        <w:t>mais</w:t>
      </w:r>
      <w:r>
        <w:rPr>
          <w:spacing w:val="-2"/>
        </w:rPr>
        <w:t xml:space="preserve"> </w:t>
      </w:r>
      <w:r>
        <w:t>de</w:t>
      </w:r>
      <w:r>
        <w:rPr>
          <w:spacing w:val="-6"/>
        </w:rPr>
        <w:t xml:space="preserve"> </w:t>
      </w:r>
      <w:r>
        <w:t>500</w:t>
      </w:r>
      <w:r>
        <w:rPr>
          <w:spacing w:val="-2"/>
        </w:rPr>
        <w:t xml:space="preserve"> </w:t>
      </w:r>
      <w:r>
        <w:t>m²,</w:t>
      </w:r>
      <w:r>
        <w:rPr>
          <w:spacing w:val="-4"/>
        </w:rPr>
        <w:t xml:space="preserve"> </w:t>
      </w:r>
      <w:r>
        <w:t>cujo</w:t>
      </w:r>
      <w:r>
        <w:rPr>
          <w:spacing w:val="-4"/>
        </w:rPr>
        <w:t xml:space="preserve"> </w:t>
      </w:r>
      <w:r>
        <w:t>CA</w:t>
      </w:r>
      <w:r>
        <w:rPr>
          <w:spacing w:val="-3"/>
        </w:rPr>
        <w:t xml:space="preserve"> </w:t>
      </w:r>
      <w:r>
        <w:t>em uso é</w:t>
      </w:r>
      <w:r>
        <w:rPr>
          <w:spacing w:val="-1"/>
        </w:rPr>
        <w:t xml:space="preserve"> </w:t>
      </w:r>
      <w:r>
        <w:t xml:space="preserve">igual a zero (art. 92, </w:t>
      </w:r>
      <w:r>
        <w:rPr>
          <w:i/>
        </w:rPr>
        <w:t>caput</w:t>
      </w:r>
      <w:r>
        <w:t>, do PDE); já</w:t>
      </w:r>
      <w:r>
        <w:rPr>
          <w:spacing w:val="-1"/>
        </w:rPr>
        <w:t xml:space="preserve"> </w:t>
      </w:r>
      <w:r>
        <w:t>o imóvel subutilizado é</w:t>
      </w:r>
      <w:r>
        <w:rPr>
          <w:spacing w:val="-1"/>
        </w:rPr>
        <w:t xml:space="preserve"> </w:t>
      </w:r>
      <w:r>
        <w:t>aquele com mais de</w:t>
      </w:r>
      <w:r>
        <w:rPr>
          <w:spacing w:val="-1"/>
        </w:rPr>
        <w:t xml:space="preserve"> </w:t>
      </w:r>
      <w:r>
        <w:t xml:space="preserve">500 m², cujo CA em uso é inferior ao mínimo definido para a respectiva zona (art. 93, </w:t>
      </w:r>
      <w:r>
        <w:rPr>
          <w:i/>
        </w:rPr>
        <w:t>caput</w:t>
      </w:r>
      <w:r>
        <w:t>, do PDE), ao passo que o imóvel não utilizado é aquele com CA em uso igual ou superior ao mínimo</w:t>
      </w:r>
      <w:r>
        <w:rPr>
          <w:spacing w:val="-4"/>
        </w:rPr>
        <w:t xml:space="preserve"> </w:t>
      </w:r>
      <w:r>
        <w:t>definido</w:t>
      </w:r>
      <w:r>
        <w:rPr>
          <w:spacing w:val="-5"/>
        </w:rPr>
        <w:t xml:space="preserve"> </w:t>
      </w:r>
      <w:r>
        <w:t>para a respectiva zona, mas com 60% de sua área construída desocupada por mais de um ano ininterrupto (art. 95, caput, do PDE).</w:t>
      </w:r>
    </w:p>
    <w:p w:rsidR="007259F2" w:rsidRDefault="00E655B4">
      <w:pPr>
        <w:pStyle w:val="Corpodetexto"/>
        <w:spacing w:before="1"/>
        <w:ind w:right="421"/>
      </w:pPr>
      <w:r>
        <w:t>Constatado que determinado do imóvel se encontra não edificado, subutilizado ou não utilizado,</w:t>
      </w:r>
      <w:r>
        <w:rPr>
          <w:spacing w:val="-3"/>
        </w:rPr>
        <w:t xml:space="preserve"> </w:t>
      </w:r>
      <w:r>
        <w:t>seu</w:t>
      </w:r>
      <w:r>
        <w:rPr>
          <w:spacing w:val="-3"/>
        </w:rPr>
        <w:t xml:space="preserve"> </w:t>
      </w:r>
      <w:r>
        <w:t>proprietário</w:t>
      </w:r>
      <w:r>
        <w:rPr>
          <w:spacing w:val="-2"/>
        </w:rPr>
        <w:t xml:space="preserve"> </w:t>
      </w:r>
      <w:r>
        <w:t>estará sujeito</w:t>
      </w:r>
      <w:r>
        <w:rPr>
          <w:spacing w:val="-3"/>
        </w:rPr>
        <w:t xml:space="preserve"> </w:t>
      </w:r>
      <w:r>
        <w:t>aos</w:t>
      </w:r>
      <w:r>
        <w:rPr>
          <w:spacing w:val="-3"/>
        </w:rPr>
        <w:t xml:space="preserve"> </w:t>
      </w:r>
      <w:r>
        <w:t>instrumentos</w:t>
      </w:r>
      <w:r>
        <w:rPr>
          <w:spacing w:val="-2"/>
        </w:rPr>
        <w:t xml:space="preserve"> </w:t>
      </w:r>
      <w:r>
        <w:t>indutores</w:t>
      </w:r>
      <w:r>
        <w:rPr>
          <w:spacing w:val="-3"/>
        </w:rPr>
        <w:t xml:space="preserve"> </w:t>
      </w:r>
      <w:r>
        <w:t>do</w:t>
      </w:r>
      <w:r>
        <w:rPr>
          <w:spacing w:val="-3"/>
        </w:rPr>
        <w:t xml:space="preserve"> </w:t>
      </w:r>
      <w:r>
        <w:t>cumprimento</w:t>
      </w:r>
      <w:r>
        <w:rPr>
          <w:spacing w:val="-2"/>
        </w:rPr>
        <w:t xml:space="preserve"> </w:t>
      </w:r>
      <w:r>
        <w:t>da</w:t>
      </w:r>
      <w:r>
        <w:rPr>
          <w:spacing w:val="-4"/>
        </w:rPr>
        <w:t xml:space="preserve"> </w:t>
      </w:r>
      <w:r>
        <w:t>função social da propriedade urbana, quais sejam a notificação para PEUC, a cobrança de IPTU progressivo e a desapropriação com pagamento mediante títulos da dívida pública, aplicáveis sucessivamente, conforme estabelecido no art. 182, §4º da CF, nos art. 5º a 8º do Estatuto da Cidade, e art. 90, incisos I, II e III do PDE.</w:t>
      </w:r>
    </w:p>
    <w:p w:rsidR="007259F2" w:rsidRDefault="00E655B4">
      <w:pPr>
        <w:pStyle w:val="Corpodetexto"/>
        <w:ind w:right="422"/>
      </w:pPr>
      <w:r>
        <w:t>No entanto, se nota que a retomada dos imóveis ociosos encontrados na cidade de São Paulo</w:t>
      </w:r>
      <w:r>
        <w:rPr>
          <w:spacing w:val="-9"/>
        </w:rPr>
        <w:t xml:space="preserve"> </w:t>
      </w:r>
      <w:r>
        <w:t>tem</w:t>
      </w:r>
      <w:r>
        <w:rPr>
          <w:spacing w:val="-10"/>
        </w:rPr>
        <w:t xml:space="preserve"> </w:t>
      </w:r>
      <w:r>
        <w:t>se</w:t>
      </w:r>
      <w:r>
        <w:rPr>
          <w:spacing w:val="-15"/>
        </w:rPr>
        <w:t xml:space="preserve"> </w:t>
      </w:r>
      <w:r>
        <w:t>mostrado</w:t>
      </w:r>
      <w:r>
        <w:rPr>
          <w:spacing w:val="-9"/>
        </w:rPr>
        <w:t xml:space="preserve"> </w:t>
      </w:r>
      <w:r>
        <w:t>um</w:t>
      </w:r>
      <w:r>
        <w:rPr>
          <w:spacing w:val="-9"/>
        </w:rPr>
        <w:t xml:space="preserve"> </w:t>
      </w:r>
      <w:r>
        <w:t>desafio,</w:t>
      </w:r>
      <w:r>
        <w:rPr>
          <w:spacing w:val="-10"/>
        </w:rPr>
        <w:t xml:space="preserve"> </w:t>
      </w:r>
      <w:r>
        <w:t>diante</w:t>
      </w:r>
      <w:r>
        <w:rPr>
          <w:spacing w:val="-13"/>
        </w:rPr>
        <w:t xml:space="preserve"> </w:t>
      </w:r>
      <w:r>
        <w:t>da</w:t>
      </w:r>
      <w:r>
        <w:rPr>
          <w:spacing w:val="-13"/>
        </w:rPr>
        <w:t xml:space="preserve"> </w:t>
      </w:r>
      <w:r>
        <w:t>baixa</w:t>
      </w:r>
      <w:r>
        <w:rPr>
          <w:spacing w:val="-10"/>
        </w:rPr>
        <w:t xml:space="preserve"> </w:t>
      </w:r>
      <w:r>
        <w:t>resposta</w:t>
      </w:r>
      <w:r>
        <w:rPr>
          <w:spacing w:val="-10"/>
        </w:rPr>
        <w:t xml:space="preserve"> </w:t>
      </w:r>
      <w:r>
        <w:t>à</w:t>
      </w:r>
      <w:r>
        <w:rPr>
          <w:spacing w:val="-13"/>
        </w:rPr>
        <w:t xml:space="preserve"> </w:t>
      </w:r>
      <w:r>
        <w:t>notificação</w:t>
      </w:r>
      <w:r>
        <w:rPr>
          <w:spacing w:val="-9"/>
        </w:rPr>
        <w:t xml:space="preserve"> </w:t>
      </w:r>
      <w:r>
        <w:t>para</w:t>
      </w:r>
      <w:r>
        <w:rPr>
          <w:spacing w:val="-11"/>
        </w:rPr>
        <w:t xml:space="preserve"> </w:t>
      </w:r>
      <w:r>
        <w:t>PEUC</w:t>
      </w:r>
      <w:r>
        <w:rPr>
          <w:spacing w:val="-9"/>
        </w:rPr>
        <w:t xml:space="preserve"> </w:t>
      </w:r>
      <w:r>
        <w:t>e</w:t>
      </w:r>
      <w:r>
        <w:rPr>
          <w:spacing w:val="-13"/>
        </w:rPr>
        <w:t xml:space="preserve"> </w:t>
      </w:r>
      <w:r>
        <w:t>ao</w:t>
      </w:r>
      <w:r>
        <w:rPr>
          <w:spacing w:val="-7"/>
        </w:rPr>
        <w:t xml:space="preserve"> </w:t>
      </w:r>
      <w:r>
        <w:t>IPTU progressivo no tempo, e da dificuldade de colocar em prática a desapropriação sanção, tendo em</w:t>
      </w:r>
      <w:r>
        <w:rPr>
          <w:spacing w:val="26"/>
        </w:rPr>
        <w:t xml:space="preserve"> </w:t>
      </w:r>
      <w:r>
        <w:t>vista</w:t>
      </w:r>
      <w:r>
        <w:rPr>
          <w:spacing w:val="27"/>
        </w:rPr>
        <w:t xml:space="preserve"> </w:t>
      </w:r>
      <w:r>
        <w:t>os</w:t>
      </w:r>
      <w:r>
        <w:rPr>
          <w:spacing w:val="27"/>
        </w:rPr>
        <w:t xml:space="preserve"> </w:t>
      </w:r>
      <w:r>
        <w:t>impeditivos</w:t>
      </w:r>
      <w:r>
        <w:rPr>
          <w:spacing w:val="29"/>
        </w:rPr>
        <w:t xml:space="preserve"> </w:t>
      </w:r>
      <w:r>
        <w:t>legais</w:t>
      </w:r>
      <w:r>
        <w:rPr>
          <w:spacing w:val="29"/>
        </w:rPr>
        <w:t xml:space="preserve"> </w:t>
      </w:r>
      <w:r>
        <w:t>na</w:t>
      </w:r>
      <w:r>
        <w:rPr>
          <w:spacing w:val="26"/>
        </w:rPr>
        <w:t xml:space="preserve"> </w:t>
      </w:r>
      <w:r>
        <w:t>emissão</w:t>
      </w:r>
      <w:r>
        <w:rPr>
          <w:spacing w:val="28"/>
        </w:rPr>
        <w:t xml:space="preserve"> </w:t>
      </w:r>
      <w:r>
        <w:t>de</w:t>
      </w:r>
      <w:r>
        <w:rPr>
          <w:spacing w:val="27"/>
        </w:rPr>
        <w:t xml:space="preserve"> </w:t>
      </w:r>
      <w:r>
        <w:t>títulos</w:t>
      </w:r>
      <w:r>
        <w:rPr>
          <w:spacing w:val="27"/>
        </w:rPr>
        <w:t xml:space="preserve"> </w:t>
      </w:r>
      <w:r>
        <w:t>da</w:t>
      </w:r>
      <w:r>
        <w:rPr>
          <w:spacing w:val="27"/>
        </w:rPr>
        <w:t xml:space="preserve"> </w:t>
      </w:r>
      <w:r>
        <w:t>dívida</w:t>
      </w:r>
      <w:r>
        <w:rPr>
          <w:spacing w:val="27"/>
        </w:rPr>
        <w:t xml:space="preserve"> </w:t>
      </w:r>
      <w:r>
        <w:t>pública</w:t>
      </w:r>
      <w:r>
        <w:rPr>
          <w:spacing w:val="26"/>
        </w:rPr>
        <w:t xml:space="preserve"> </w:t>
      </w:r>
      <w:r>
        <w:t>existentes</w:t>
      </w:r>
      <w:r>
        <w:rPr>
          <w:spacing w:val="28"/>
        </w:rPr>
        <w:t xml:space="preserve"> </w:t>
      </w:r>
      <w:r>
        <w:t>até</w:t>
      </w:r>
      <w:r>
        <w:rPr>
          <w:spacing w:val="28"/>
        </w:rPr>
        <w:t xml:space="preserve"> </w:t>
      </w:r>
      <w:r>
        <w:rPr>
          <w:spacing w:val="-2"/>
        </w:rPr>
        <w:t>pouco</w:t>
      </w:r>
    </w:p>
    <w:p w:rsidR="007259F2" w:rsidRDefault="007259F2">
      <w:pPr>
        <w:pStyle w:val="Corpodetexto"/>
        <w:sectPr w:rsidR="007259F2">
          <w:pgSz w:w="11910" w:h="16840"/>
          <w:pgMar w:top="1600" w:right="708" w:bottom="1020" w:left="992" w:header="0" w:footer="820" w:gutter="0"/>
          <w:cols w:space="720"/>
        </w:sectPr>
      </w:pPr>
    </w:p>
    <w:p w:rsidR="007259F2" w:rsidRDefault="00E655B4">
      <w:pPr>
        <w:pStyle w:val="Corpodetexto"/>
        <w:spacing w:before="75"/>
        <w:ind w:right="419" w:firstLine="0"/>
      </w:pPr>
      <w:r>
        <w:lastRenderedPageBreak/>
        <w:t>tempo, a necessária aprovação do Senado Federal para a emissão de tais títulos, bem como a falta de regulamentação do art. 99, §2º e §5º do PDE. Apesar dessas dificuldades, desapropriação sanção é de grande importância e não pode ser esquecida pelo Poder Público, já que, com ela, a Prefeitura pode dar utilidade ao imóvel de acordo com as necessidades percebidas para a região em que está inserida.</w:t>
      </w:r>
    </w:p>
    <w:p w:rsidR="007259F2" w:rsidRDefault="00E655B4">
      <w:pPr>
        <w:pStyle w:val="Corpodetexto"/>
        <w:ind w:right="422"/>
      </w:pPr>
      <w:r>
        <w:t>Diante das dificuldades em se aplicar a desapropriação sanção, foi inserido o instrumento da desapropriação por hasta pública ao PDE por meio da revisão realizada pela Municipal nº 17.975/2023. Tal instrumento, porém, é</w:t>
      </w:r>
      <w:r>
        <w:rPr>
          <w:spacing w:val="-1"/>
        </w:rPr>
        <w:t xml:space="preserve"> </w:t>
      </w:r>
      <w:r>
        <w:t>inconstitucional, pois se</w:t>
      </w:r>
      <w:r>
        <w:rPr>
          <w:spacing w:val="-1"/>
        </w:rPr>
        <w:t xml:space="preserve"> </w:t>
      </w:r>
      <w:r>
        <w:t>trata de</w:t>
      </w:r>
      <w:r>
        <w:rPr>
          <w:spacing w:val="-1"/>
        </w:rPr>
        <w:t xml:space="preserve"> </w:t>
      </w:r>
      <w:r>
        <w:t>espécie de desapropriação não prevista pela Constituição Federal, nem pela legislação federal sobre o tema.</w:t>
      </w:r>
      <w:r>
        <w:rPr>
          <w:spacing w:val="-3"/>
        </w:rPr>
        <w:t xml:space="preserve"> </w:t>
      </w:r>
      <w:r>
        <w:t>De</w:t>
      </w:r>
      <w:r>
        <w:rPr>
          <w:spacing w:val="-2"/>
        </w:rPr>
        <w:t xml:space="preserve"> </w:t>
      </w:r>
      <w:r>
        <w:t>todo</w:t>
      </w:r>
      <w:r>
        <w:rPr>
          <w:spacing w:val="-3"/>
        </w:rPr>
        <w:t xml:space="preserve"> </w:t>
      </w:r>
      <w:r>
        <w:t>modo,</w:t>
      </w:r>
      <w:r>
        <w:rPr>
          <w:spacing w:val="-3"/>
        </w:rPr>
        <w:t xml:space="preserve"> </w:t>
      </w:r>
      <w:r>
        <w:t>a</w:t>
      </w:r>
      <w:r>
        <w:rPr>
          <w:spacing w:val="-4"/>
        </w:rPr>
        <w:t xml:space="preserve"> </w:t>
      </w:r>
      <w:r>
        <w:t>desapropriação por</w:t>
      </w:r>
      <w:r>
        <w:rPr>
          <w:spacing w:val="-4"/>
        </w:rPr>
        <w:t xml:space="preserve"> </w:t>
      </w:r>
      <w:r>
        <w:t>hasta</w:t>
      </w:r>
      <w:r>
        <w:rPr>
          <w:spacing w:val="-1"/>
        </w:rPr>
        <w:t xml:space="preserve"> </w:t>
      </w:r>
      <w:r>
        <w:t>pública</w:t>
      </w:r>
      <w:r>
        <w:rPr>
          <w:spacing w:val="-4"/>
        </w:rPr>
        <w:t xml:space="preserve"> </w:t>
      </w:r>
      <w:r>
        <w:t>aguarda</w:t>
      </w:r>
      <w:r>
        <w:rPr>
          <w:spacing w:val="-4"/>
        </w:rPr>
        <w:t xml:space="preserve"> </w:t>
      </w:r>
      <w:r>
        <w:t>regulamentação</w:t>
      </w:r>
      <w:r>
        <w:rPr>
          <w:spacing w:val="-2"/>
        </w:rPr>
        <w:t xml:space="preserve"> </w:t>
      </w:r>
      <w:r>
        <w:t>pela</w:t>
      </w:r>
      <w:r>
        <w:rPr>
          <w:spacing w:val="-4"/>
        </w:rPr>
        <w:t xml:space="preserve"> </w:t>
      </w:r>
      <w:r>
        <w:t>Câmara do Vereadores.</w:t>
      </w:r>
    </w:p>
    <w:p w:rsidR="007259F2" w:rsidRDefault="00E655B4">
      <w:pPr>
        <w:pStyle w:val="Corpodetexto"/>
        <w:spacing w:before="1"/>
        <w:ind w:right="418"/>
      </w:pPr>
      <w:r>
        <w:t>Uma alternativa possível seria a utilização da desapropriação por interesse social, regulamentada</w:t>
      </w:r>
      <w:r>
        <w:rPr>
          <w:spacing w:val="-6"/>
        </w:rPr>
        <w:t xml:space="preserve"> </w:t>
      </w:r>
      <w:r>
        <w:t>pela</w:t>
      </w:r>
      <w:r>
        <w:rPr>
          <w:spacing w:val="-4"/>
        </w:rPr>
        <w:t xml:space="preserve"> </w:t>
      </w:r>
      <w:r>
        <w:t>Lei</w:t>
      </w:r>
      <w:r>
        <w:rPr>
          <w:spacing w:val="-2"/>
        </w:rPr>
        <w:t xml:space="preserve"> </w:t>
      </w:r>
      <w:r>
        <w:t>Federal</w:t>
      </w:r>
      <w:r>
        <w:rPr>
          <w:spacing w:val="-1"/>
        </w:rPr>
        <w:t xml:space="preserve"> </w:t>
      </w:r>
      <w:r>
        <w:t>nº</w:t>
      </w:r>
      <w:r>
        <w:rPr>
          <w:spacing w:val="-5"/>
        </w:rPr>
        <w:t xml:space="preserve"> </w:t>
      </w:r>
      <w:r>
        <w:t>4.132/1962,</w:t>
      </w:r>
      <w:r>
        <w:rPr>
          <w:spacing w:val="-5"/>
        </w:rPr>
        <w:t xml:space="preserve"> </w:t>
      </w:r>
      <w:r>
        <w:t>para</w:t>
      </w:r>
      <w:r>
        <w:rPr>
          <w:spacing w:val="-6"/>
        </w:rPr>
        <w:t xml:space="preserve"> </w:t>
      </w:r>
      <w:r>
        <w:t>os</w:t>
      </w:r>
      <w:r>
        <w:rPr>
          <w:spacing w:val="-1"/>
        </w:rPr>
        <w:t xml:space="preserve"> </w:t>
      </w:r>
      <w:r>
        <w:t>casos</w:t>
      </w:r>
      <w:r>
        <w:rPr>
          <w:spacing w:val="-1"/>
        </w:rPr>
        <w:t xml:space="preserve"> </w:t>
      </w:r>
      <w:r>
        <w:t>em</w:t>
      </w:r>
      <w:r>
        <w:rPr>
          <w:spacing w:val="-5"/>
        </w:rPr>
        <w:t xml:space="preserve"> </w:t>
      </w:r>
      <w:r>
        <w:t>que</w:t>
      </w:r>
      <w:r>
        <w:rPr>
          <w:spacing w:val="-4"/>
        </w:rPr>
        <w:t xml:space="preserve"> </w:t>
      </w:r>
      <w:r>
        <w:t>se</w:t>
      </w:r>
      <w:r>
        <w:rPr>
          <w:spacing w:val="-7"/>
        </w:rPr>
        <w:t xml:space="preserve"> </w:t>
      </w:r>
      <w:r>
        <w:t>busca</w:t>
      </w:r>
      <w:r>
        <w:rPr>
          <w:spacing w:val="-6"/>
        </w:rPr>
        <w:t xml:space="preserve"> </w:t>
      </w:r>
      <w:r>
        <w:t>utilizar</w:t>
      </w:r>
      <w:r>
        <w:rPr>
          <w:spacing w:val="-3"/>
        </w:rPr>
        <w:t xml:space="preserve"> </w:t>
      </w:r>
      <w:r>
        <w:t>o</w:t>
      </w:r>
      <w:r>
        <w:rPr>
          <w:spacing w:val="-6"/>
        </w:rPr>
        <w:t xml:space="preserve"> </w:t>
      </w:r>
      <w:r>
        <w:t>imóvel ocioso para criação de moradias sociais, pois, conforme art. 2º, inciso I da referida lei, considera-se</w:t>
      </w:r>
      <w:r>
        <w:rPr>
          <w:spacing w:val="-9"/>
        </w:rPr>
        <w:t xml:space="preserve"> </w:t>
      </w:r>
      <w:r>
        <w:t>de</w:t>
      </w:r>
      <w:r>
        <w:rPr>
          <w:spacing w:val="-9"/>
        </w:rPr>
        <w:t xml:space="preserve"> </w:t>
      </w:r>
      <w:r>
        <w:t>interesse social</w:t>
      </w:r>
      <w:r>
        <w:rPr>
          <w:spacing w:val="-3"/>
        </w:rPr>
        <w:t xml:space="preserve"> </w:t>
      </w:r>
      <w:r>
        <w:t>“o</w:t>
      </w:r>
      <w:r>
        <w:rPr>
          <w:spacing w:val="-6"/>
        </w:rPr>
        <w:t xml:space="preserve"> </w:t>
      </w:r>
      <w:r>
        <w:t>aproveitamento</w:t>
      </w:r>
      <w:r>
        <w:rPr>
          <w:spacing w:val="-3"/>
        </w:rPr>
        <w:t xml:space="preserve"> </w:t>
      </w:r>
      <w:r>
        <w:t>de</w:t>
      </w:r>
      <w:r>
        <w:rPr>
          <w:spacing w:val="-9"/>
        </w:rPr>
        <w:t xml:space="preserve"> </w:t>
      </w:r>
      <w:r>
        <w:t>todo</w:t>
      </w:r>
      <w:r>
        <w:rPr>
          <w:spacing w:val="-5"/>
        </w:rPr>
        <w:t xml:space="preserve"> </w:t>
      </w:r>
      <w:r>
        <w:t>bem</w:t>
      </w:r>
      <w:r>
        <w:rPr>
          <w:spacing w:val="-5"/>
        </w:rPr>
        <w:t xml:space="preserve"> </w:t>
      </w:r>
      <w:r>
        <w:t>improdutivo</w:t>
      </w:r>
      <w:r>
        <w:rPr>
          <w:spacing w:val="-5"/>
        </w:rPr>
        <w:t xml:space="preserve"> </w:t>
      </w:r>
      <w:r>
        <w:t>ou</w:t>
      </w:r>
      <w:r>
        <w:rPr>
          <w:spacing w:val="-6"/>
        </w:rPr>
        <w:t xml:space="preserve"> </w:t>
      </w:r>
      <w:r>
        <w:t>explorado</w:t>
      </w:r>
      <w:r>
        <w:rPr>
          <w:spacing w:val="-6"/>
        </w:rPr>
        <w:t xml:space="preserve"> </w:t>
      </w:r>
      <w:r>
        <w:t>sem correspondência com as necessidades de habitação, trabalho e consumo dos centros de população a que deve ou possa suprir por seu destino econômico”.</w:t>
      </w:r>
    </w:p>
    <w:p w:rsidR="007259F2" w:rsidRDefault="00E655B4">
      <w:pPr>
        <w:pStyle w:val="Corpodetexto"/>
        <w:ind w:right="424"/>
      </w:pPr>
      <w:r>
        <w:t>Outras alternativas bem recebidas, são as ferramentas complementares também incluídas no PDE pela Municipal nº 17.975/2023, no §2º do art. 99: i) a promoção de chamamentos públicos para a realização de consórcio imobiliário com a finalidade de implantação de unidades de habitação de interesse social; ii) a promoção de desapropriação amigável,</w:t>
      </w:r>
      <w:r>
        <w:rPr>
          <w:spacing w:val="-13"/>
        </w:rPr>
        <w:t xml:space="preserve"> </w:t>
      </w:r>
      <w:r>
        <w:t>inclusive</w:t>
      </w:r>
      <w:r>
        <w:rPr>
          <w:spacing w:val="-15"/>
        </w:rPr>
        <w:t xml:space="preserve"> </w:t>
      </w:r>
      <w:r>
        <w:t>no</w:t>
      </w:r>
      <w:r>
        <w:rPr>
          <w:spacing w:val="-9"/>
        </w:rPr>
        <w:t xml:space="preserve"> </w:t>
      </w:r>
      <w:r>
        <w:t>caso</w:t>
      </w:r>
      <w:r>
        <w:rPr>
          <w:spacing w:val="-14"/>
        </w:rPr>
        <w:t xml:space="preserve"> </w:t>
      </w:r>
      <w:r>
        <w:t>em</w:t>
      </w:r>
      <w:r>
        <w:rPr>
          <w:spacing w:val="-14"/>
        </w:rPr>
        <w:t xml:space="preserve"> </w:t>
      </w:r>
      <w:r>
        <w:t>que</w:t>
      </w:r>
      <w:r>
        <w:rPr>
          <w:spacing w:val="-13"/>
        </w:rPr>
        <w:t xml:space="preserve"> </w:t>
      </w:r>
      <w:r>
        <w:t>o</w:t>
      </w:r>
      <w:r>
        <w:rPr>
          <w:spacing w:val="-14"/>
        </w:rPr>
        <w:t xml:space="preserve"> </w:t>
      </w:r>
      <w:r>
        <w:t>valor</w:t>
      </w:r>
      <w:r>
        <w:rPr>
          <w:spacing w:val="-14"/>
        </w:rPr>
        <w:t xml:space="preserve"> </w:t>
      </w:r>
      <w:r>
        <w:t>da</w:t>
      </w:r>
      <w:r>
        <w:rPr>
          <w:spacing w:val="-15"/>
        </w:rPr>
        <w:t xml:space="preserve"> </w:t>
      </w:r>
      <w:r>
        <w:t>dívida</w:t>
      </w:r>
      <w:r>
        <w:rPr>
          <w:spacing w:val="-15"/>
        </w:rPr>
        <w:t xml:space="preserve"> </w:t>
      </w:r>
      <w:r>
        <w:t>relativa</w:t>
      </w:r>
      <w:r>
        <w:rPr>
          <w:spacing w:val="-12"/>
        </w:rPr>
        <w:t xml:space="preserve"> </w:t>
      </w:r>
      <w:r>
        <w:t>ao</w:t>
      </w:r>
      <w:r>
        <w:rPr>
          <w:spacing w:val="-8"/>
        </w:rPr>
        <w:t xml:space="preserve"> </w:t>
      </w:r>
      <w:r>
        <w:t>IPTU</w:t>
      </w:r>
      <w:r>
        <w:rPr>
          <w:spacing w:val="-13"/>
        </w:rPr>
        <w:t xml:space="preserve"> </w:t>
      </w:r>
      <w:r>
        <w:t>supere</w:t>
      </w:r>
      <w:r>
        <w:rPr>
          <w:spacing w:val="-15"/>
        </w:rPr>
        <w:t xml:space="preserve"> </w:t>
      </w:r>
      <w:r>
        <w:t>o</w:t>
      </w:r>
      <w:r>
        <w:rPr>
          <w:spacing w:val="-14"/>
        </w:rPr>
        <w:t xml:space="preserve"> </w:t>
      </w:r>
      <w:r>
        <w:t>valor</w:t>
      </w:r>
      <w:r>
        <w:rPr>
          <w:spacing w:val="-15"/>
        </w:rPr>
        <w:t xml:space="preserve"> </w:t>
      </w:r>
      <w:r>
        <w:t>do</w:t>
      </w:r>
      <w:r>
        <w:rPr>
          <w:spacing w:val="-12"/>
        </w:rPr>
        <w:t xml:space="preserve"> </w:t>
      </w:r>
      <w:r>
        <w:t>imóvel, nos termos do § 5º do art. 99 desta Lei; e iii) a utilização do procedimento de regularização fundiária urbana previsto na Lei Federal nº 13.465/2017 (art. 99, §2º, do PDE).</w:t>
      </w:r>
    </w:p>
    <w:p w:rsidR="007259F2" w:rsidRDefault="00E655B4">
      <w:pPr>
        <w:pStyle w:val="Corpodetexto"/>
        <w:spacing w:before="1"/>
        <w:ind w:right="419"/>
      </w:pPr>
      <w:r>
        <w:t>Trata-se</w:t>
      </w:r>
      <w:r>
        <w:rPr>
          <w:spacing w:val="-15"/>
        </w:rPr>
        <w:t xml:space="preserve"> </w:t>
      </w:r>
      <w:r>
        <w:t>de</w:t>
      </w:r>
      <w:r>
        <w:rPr>
          <w:spacing w:val="-14"/>
        </w:rPr>
        <w:t xml:space="preserve"> </w:t>
      </w:r>
      <w:r>
        <w:t>hipóteses</w:t>
      </w:r>
      <w:r>
        <w:rPr>
          <w:spacing w:val="-12"/>
        </w:rPr>
        <w:t xml:space="preserve"> </w:t>
      </w:r>
      <w:r>
        <w:t>já</w:t>
      </w:r>
      <w:r>
        <w:rPr>
          <w:spacing w:val="-15"/>
        </w:rPr>
        <w:t xml:space="preserve"> </w:t>
      </w:r>
      <w:r>
        <w:t>previstas</w:t>
      </w:r>
      <w:r>
        <w:rPr>
          <w:spacing w:val="-15"/>
        </w:rPr>
        <w:t xml:space="preserve"> </w:t>
      </w:r>
      <w:r>
        <w:t>no</w:t>
      </w:r>
      <w:r>
        <w:rPr>
          <w:spacing w:val="-13"/>
        </w:rPr>
        <w:t xml:space="preserve"> </w:t>
      </w:r>
      <w:r>
        <w:t>ordenamento</w:t>
      </w:r>
      <w:r>
        <w:rPr>
          <w:spacing w:val="-15"/>
        </w:rPr>
        <w:t xml:space="preserve"> </w:t>
      </w:r>
      <w:r>
        <w:t>jurídico</w:t>
      </w:r>
      <w:r>
        <w:rPr>
          <w:spacing w:val="-15"/>
        </w:rPr>
        <w:t xml:space="preserve"> </w:t>
      </w:r>
      <w:r>
        <w:t>e</w:t>
      </w:r>
      <w:r>
        <w:rPr>
          <w:spacing w:val="-14"/>
        </w:rPr>
        <w:t xml:space="preserve"> </w:t>
      </w:r>
      <w:r>
        <w:t>que</w:t>
      </w:r>
      <w:r>
        <w:rPr>
          <w:spacing w:val="-15"/>
        </w:rPr>
        <w:t xml:space="preserve"> </w:t>
      </w:r>
      <w:r>
        <w:t>podem,</w:t>
      </w:r>
      <w:r>
        <w:rPr>
          <w:spacing w:val="-14"/>
        </w:rPr>
        <w:t xml:space="preserve"> </w:t>
      </w:r>
      <w:r>
        <w:t>de</w:t>
      </w:r>
      <w:r>
        <w:rPr>
          <w:spacing w:val="-14"/>
        </w:rPr>
        <w:t xml:space="preserve"> </w:t>
      </w:r>
      <w:r>
        <w:t>fato,</w:t>
      </w:r>
      <w:r>
        <w:rPr>
          <w:spacing w:val="-15"/>
        </w:rPr>
        <w:t xml:space="preserve"> </w:t>
      </w:r>
      <w:r>
        <w:t>auxiliar no cumprimento da função social da propriedade, em especial nos casos em que se pretende utilizar o imóvel ocioso para a criação de moradias sociais. Isso não quer dizer, porém, que a desapropriação</w:t>
      </w:r>
      <w:r>
        <w:rPr>
          <w:spacing w:val="-7"/>
        </w:rPr>
        <w:t xml:space="preserve"> </w:t>
      </w:r>
      <w:r>
        <w:t>sanção</w:t>
      </w:r>
      <w:r>
        <w:rPr>
          <w:spacing w:val="-9"/>
        </w:rPr>
        <w:t xml:space="preserve"> </w:t>
      </w:r>
      <w:r>
        <w:t>deve</w:t>
      </w:r>
      <w:r>
        <w:rPr>
          <w:spacing w:val="-13"/>
        </w:rPr>
        <w:t xml:space="preserve"> </w:t>
      </w:r>
      <w:r>
        <w:t>ser</w:t>
      </w:r>
      <w:r>
        <w:rPr>
          <w:spacing w:val="-8"/>
        </w:rPr>
        <w:t xml:space="preserve"> </w:t>
      </w:r>
      <w:r>
        <w:t>esquecida</w:t>
      </w:r>
      <w:r>
        <w:rPr>
          <w:spacing w:val="-10"/>
        </w:rPr>
        <w:t xml:space="preserve"> </w:t>
      </w:r>
      <w:r>
        <w:t>ou</w:t>
      </w:r>
      <w:r>
        <w:rPr>
          <w:spacing w:val="-12"/>
        </w:rPr>
        <w:t xml:space="preserve"> </w:t>
      </w:r>
      <w:r>
        <w:t>descartada,</w:t>
      </w:r>
      <w:r>
        <w:rPr>
          <w:spacing w:val="-6"/>
        </w:rPr>
        <w:t xml:space="preserve"> </w:t>
      </w:r>
      <w:r>
        <w:t>pois</w:t>
      </w:r>
      <w:r>
        <w:rPr>
          <w:spacing w:val="-7"/>
        </w:rPr>
        <w:t xml:space="preserve"> </w:t>
      </w:r>
      <w:r>
        <w:t>com</w:t>
      </w:r>
      <w:r>
        <w:rPr>
          <w:spacing w:val="-7"/>
        </w:rPr>
        <w:t xml:space="preserve"> </w:t>
      </w:r>
      <w:r>
        <w:t>ela</w:t>
      </w:r>
      <w:r>
        <w:rPr>
          <w:spacing w:val="-10"/>
        </w:rPr>
        <w:t xml:space="preserve"> </w:t>
      </w:r>
      <w:r>
        <w:t>o</w:t>
      </w:r>
      <w:r>
        <w:rPr>
          <w:spacing w:val="-7"/>
        </w:rPr>
        <w:t xml:space="preserve"> </w:t>
      </w:r>
      <w:r>
        <w:t>Poder</w:t>
      </w:r>
      <w:r>
        <w:rPr>
          <w:spacing w:val="-10"/>
        </w:rPr>
        <w:t xml:space="preserve"> </w:t>
      </w:r>
      <w:r>
        <w:t>Público</w:t>
      </w:r>
      <w:r>
        <w:rPr>
          <w:spacing w:val="-12"/>
        </w:rPr>
        <w:t xml:space="preserve"> </w:t>
      </w:r>
      <w:r>
        <w:t>também pode</w:t>
      </w:r>
      <w:r>
        <w:rPr>
          <w:spacing w:val="-4"/>
        </w:rPr>
        <w:t xml:space="preserve"> </w:t>
      </w:r>
      <w:r>
        <w:t>desapropriar</w:t>
      </w:r>
      <w:r>
        <w:rPr>
          <w:spacing w:val="-2"/>
        </w:rPr>
        <w:t xml:space="preserve"> </w:t>
      </w:r>
      <w:r>
        <w:t>o</w:t>
      </w:r>
      <w:r>
        <w:rPr>
          <w:spacing w:val="-1"/>
        </w:rPr>
        <w:t xml:space="preserve"> </w:t>
      </w:r>
      <w:r>
        <w:t>imóvel</w:t>
      </w:r>
      <w:r>
        <w:rPr>
          <w:spacing w:val="-1"/>
        </w:rPr>
        <w:t xml:space="preserve"> </w:t>
      </w:r>
      <w:r>
        <w:t>por</w:t>
      </w:r>
      <w:r>
        <w:rPr>
          <w:spacing w:val="-2"/>
        </w:rPr>
        <w:t xml:space="preserve"> </w:t>
      </w:r>
      <w:r>
        <w:t>necessidade</w:t>
      </w:r>
      <w:r>
        <w:rPr>
          <w:spacing w:val="-2"/>
        </w:rPr>
        <w:t xml:space="preserve"> </w:t>
      </w:r>
      <w:r>
        <w:t>ou</w:t>
      </w:r>
      <w:r>
        <w:rPr>
          <w:spacing w:val="-1"/>
        </w:rPr>
        <w:t xml:space="preserve"> </w:t>
      </w:r>
      <w:r>
        <w:t>utilidade</w:t>
      </w:r>
      <w:r>
        <w:rPr>
          <w:spacing w:val="-5"/>
        </w:rPr>
        <w:t xml:space="preserve"> </w:t>
      </w:r>
      <w:r>
        <w:t>pública,</w:t>
      </w:r>
      <w:r>
        <w:rPr>
          <w:spacing w:val="-1"/>
        </w:rPr>
        <w:t xml:space="preserve"> </w:t>
      </w:r>
      <w:r>
        <w:t>além</w:t>
      </w:r>
      <w:r>
        <w:rPr>
          <w:spacing w:val="-1"/>
        </w:rPr>
        <w:t xml:space="preserve"> </w:t>
      </w:r>
      <w:r>
        <w:t>do</w:t>
      </w:r>
      <w:r>
        <w:rPr>
          <w:spacing w:val="-1"/>
        </w:rPr>
        <w:t xml:space="preserve"> </w:t>
      </w:r>
      <w:r>
        <w:t>interesse social,</w:t>
      </w:r>
      <w:r>
        <w:rPr>
          <w:spacing w:val="-1"/>
        </w:rPr>
        <w:t xml:space="preserve"> </w:t>
      </w:r>
      <w:r>
        <w:t>não precisando realizar pagamento prévio em dinheiro, mas sim com títulos da dívida pública em até 10 anos, sendo uma opção menos onerosa ao Município. Deve permanecer, portanto, o interesse por parte da Prefeitura em dar efetividade à desapropriação sanção, utilizando-a em paralelo com as demais ferramentas.</w:t>
      </w:r>
    </w:p>
    <w:p w:rsidR="007259F2" w:rsidRDefault="00E655B4">
      <w:pPr>
        <w:pStyle w:val="Heading1"/>
        <w:spacing w:before="204"/>
      </w:pPr>
      <w:r>
        <w:rPr>
          <w:spacing w:val="-2"/>
        </w:rPr>
        <w:t>REFERÊNCIAS</w:t>
      </w:r>
    </w:p>
    <w:p w:rsidR="007259F2" w:rsidRDefault="00E655B4">
      <w:pPr>
        <w:pStyle w:val="Corpodetexto"/>
        <w:tabs>
          <w:tab w:val="left" w:pos="3636"/>
          <w:tab w:val="left" w:pos="6274"/>
          <w:tab w:val="left" w:pos="9298"/>
        </w:tabs>
        <w:spacing w:before="197"/>
        <w:ind w:left="712" w:right="555" w:firstLine="0"/>
        <w:jc w:val="left"/>
      </w:pPr>
      <w:r>
        <w:t>ARRUDA,</w:t>
      </w:r>
      <w:r>
        <w:rPr>
          <w:spacing w:val="80"/>
        </w:rPr>
        <w:t xml:space="preserve"> </w:t>
      </w:r>
      <w:r>
        <w:t>Kátia</w:t>
      </w:r>
      <w:r>
        <w:rPr>
          <w:spacing w:val="80"/>
        </w:rPr>
        <w:t xml:space="preserve"> </w:t>
      </w:r>
      <w:r>
        <w:t>Magalhães.</w:t>
      </w:r>
      <w:r>
        <w:rPr>
          <w:spacing w:val="80"/>
        </w:rPr>
        <w:t xml:space="preserve"> </w:t>
      </w:r>
      <w:r>
        <w:t>A</w:t>
      </w:r>
      <w:r>
        <w:rPr>
          <w:spacing w:val="80"/>
        </w:rPr>
        <w:t xml:space="preserve"> </w:t>
      </w:r>
      <w:r>
        <w:t>função</w:t>
      </w:r>
      <w:r>
        <w:rPr>
          <w:spacing w:val="80"/>
        </w:rPr>
        <w:t xml:space="preserve"> </w:t>
      </w:r>
      <w:r>
        <w:t>social</w:t>
      </w:r>
      <w:r>
        <w:rPr>
          <w:spacing w:val="80"/>
        </w:rPr>
        <w:t xml:space="preserve"> </w:t>
      </w:r>
      <w:r>
        <w:t>da</w:t>
      </w:r>
      <w:r>
        <w:rPr>
          <w:spacing w:val="80"/>
        </w:rPr>
        <w:t xml:space="preserve"> </w:t>
      </w:r>
      <w:r>
        <w:t>propriedade</w:t>
      </w:r>
      <w:r>
        <w:rPr>
          <w:spacing w:val="80"/>
        </w:rPr>
        <w:t xml:space="preserve"> </w:t>
      </w:r>
      <w:r>
        <w:t>e</w:t>
      </w:r>
      <w:r>
        <w:rPr>
          <w:spacing w:val="80"/>
        </w:rPr>
        <w:t xml:space="preserve"> </w:t>
      </w:r>
      <w:r>
        <w:t>sua</w:t>
      </w:r>
      <w:r>
        <w:rPr>
          <w:spacing w:val="80"/>
        </w:rPr>
        <w:t xml:space="preserve"> </w:t>
      </w:r>
      <w:r>
        <w:t>repercussão</w:t>
      </w:r>
      <w:r>
        <w:rPr>
          <w:spacing w:val="80"/>
        </w:rPr>
        <w:t xml:space="preserve"> </w:t>
      </w:r>
      <w:r>
        <w:t>na propriedade</w:t>
      </w:r>
      <w:r>
        <w:rPr>
          <w:spacing w:val="40"/>
        </w:rPr>
        <w:t xml:space="preserve"> </w:t>
      </w:r>
      <w:r>
        <w:t>urbana.</w:t>
      </w:r>
      <w:r>
        <w:rPr>
          <w:spacing w:val="69"/>
        </w:rPr>
        <w:t xml:space="preserve"> </w:t>
      </w:r>
      <w:r>
        <w:rPr>
          <w:b/>
        </w:rPr>
        <w:t>Revista</w:t>
      </w:r>
      <w:r>
        <w:rPr>
          <w:b/>
          <w:spacing w:val="40"/>
        </w:rPr>
        <w:t xml:space="preserve"> </w:t>
      </w:r>
      <w:r>
        <w:rPr>
          <w:b/>
        </w:rPr>
        <w:t>de</w:t>
      </w:r>
      <w:r>
        <w:rPr>
          <w:b/>
          <w:spacing w:val="68"/>
        </w:rPr>
        <w:t xml:space="preserve"> </w:t>
      </w:r>
      <w:r>
        <w:rPr>
          <w:b/>
        </w:rPr>
        <w:t>Informação</w:t>
      </w:r>
      <w:r>
        <w:rPr>
          <w:b/>
          <w:spacing w:val="72"/>
        </w:rPr>
        <w:t xml:space="preserve"> </w:t>
      </w:r>
      <w:r>
        <w:rPr>
          <w:b/>
        </w:rPr>
        <w:t>Legislativa</w:t>
      </w:r>
      <w:r>
        <w:t>.</w:t>
      </w:r>
      <w:r>
        <w:rPr>
          <w:spacing w:val="69"/>
        </w:rPr>
        <w:t xml:space="preserve"> </w:t>
      </w:r>
      <w:r>
        <w:t>Brasília,</w:t>
      </w:r>
      <w:r>
        <w:rPr>
          <w:spacing w:val="68"/>
        </w:rPr>
        <w:t xml:space="preserve"> </w:t>
      </w:r>
      <w:r>
        <w:t>ano</w:t>
      </w:r>
      <w:r>
        <w:rPr>
          <w:spacing w:val="69"/>
        </w:rPr>
        <w:t xml:space="preserve"> </w:t>
      </w:r>
      <w:r>
        <w:t>33,</w:t>
      </w:r>
      <w:r>
        <w:rPr>
          <w:spacing w:val="71"/>
        </w:rPr>
        <w:t xml:space="preserve"> </w:t>
      </w:r>
      <w:r>
        <w:t>nº</w:t>
      </w:r>
      <w:r>
        <w:rPr>
          <w:spacing w:val="68"/>
        </w:rPr>
        <w:t xml:space="preserve"> </w:t>
      </w:r>
      <w:r>
        <w:t>132,</w:t>
      </w:r>
      <w:r>
        <w:rPr>
          <w:spacing w:val="69"/>
        </w:rPr>
        <w:t xml:space="preserve"> </w:t>
      </w:r>
      <w:r>
        <w:t>p. 313/319, out./dez.</w:t>
      </w:r>
      <w:r>
        <w:tab/>
      </w:r>
      <w:r>
        <w:rPr>
          <w:spacing w:val="-2"/>
        </w:rPr>
        <w:t>1996.</w:t>
      </w:r>
      <w:r>
        <w:tab/>
      </w:r>
      <w:r>
        <w:rPr>
          <w:spacing w:val="-2"/>
        </w:rPr>
        <w:t>Disponível</w:t>
      </w:r>
      <w:r>
        <w:tab/>
      </w:r>
      <w:r>
        <w:rPr>
          <w:spacing w:val="-6"/>
        </w:rPr>
        <w:t xml:space="preserve">em: </w:t>
      </w:r>
      <w:hyperlink r:id="rId372">
        <w:r>
          <w:rPr>
            <w:color w:val="0000FF"/>
            <w:spacing w:val="-2"/>
            <w:u w:val="single" w:color="0000FF"/>
          </w:rPr>
          <w:t>https://www2.senado.leg.br/bdsf/bitstream/handle/id/176504/000518634.pdf?sequence=3&amp;is</w:t>
        </w:r>
      </w:hyperlink>
      <w:r>
        <w:rPr>
          <w:color w:val="0000FF"/>
          <w:spacing w:val="-2"/>
        </w:rPr>
        <w:t xml:space="preserve"> </w:t>
      </w:r>
      <w:hyperlink r:id="rId373">
        <w:r>
          <w:rPr>
            <w:color w:val="0000FF"/>
            <w:u w:val="single" w:color="0000FF"/>
          </w:rPr>
          <w:t>Allowed=y</w:t>
        </w:r>
        <w:r>
          <w:t>.</w:t>
        </w:r>
      </w:hyperlink>
      <w:r>
        <w:t xml:space="preserve"> Acesso em 05 jan. 2024.</w:t>
      </w:r>
    </w:p>
    <w:p w:rsidR="007259F2" w:rsidRDefault="00E655B4">
      <w:pPr>
        <w:tabs>
          <w:tab w:val="left" w:pos="3105"/>
          <w:tab w:val="left" w:pos="4627"/>
          <w:tab w:val="left" w:pos="6950"/>
          <w:tab w:val="left" w:pos="9296"/>
        </w:tabs>
        <w:spacing w:before="118"/>
        <w:ind w:left="712" w:right="557"/>
        <w:jc w:val="both"/>
        <w:rPr>
          <w:sz w:val="24"/>
        </w:rPr>
      </w:pPr>
      <w:r>
        <w:rPr>
          <w:sz w:val="24"/>
        </w:rPr>
        <w:t xml:space="preserve">BRASIL. </w:t>
      </w:r>
      <w:r>
        <w:rPr>
          <w:b/>
          <w:sz w:val="24"/>
        </w:rPr>
        <w:t>Constituição da República Federativa do Brasil de 1988</w:t>
      </w:r>
      <w:r>
        <w:rPr>
          <w:sz w:val="24"/>
        </w:rPr>
        <w:t xml:space="preserve">. Brasília, DF: </w:t>
      </w:r>
      <w:r>
        <w:rPr>
          <w:spacing w:val="-2"/>
          <w:sz w:val="24"/>
        </w:rPr>
        <w:t>Presidência</w:t>
      </w:r>
      <w:r>
        <w:rPr>
          <w:sz w:val="24"/>
        </w:rPr>
        <w:tab/>
      </w:r>
      <w:r>
        <w:rPr>
          <w:spacing w:val="-6"/>
          <w:sz w:val="24"/>
        </w:rPr>
        <w:t>da</w:t>
      </w:r>
      <w:r>
        <w:rPr>
          <w:sz w:val="24"/>
        </w:rPr>
        <w:tab/>
      </w:r>
      <w:r>
        <w:rPr>
          <w:spacing w:val="-2"/>
          <w:sz w:val="24"/>
        </w:rPr>
        <w:t>República.</w:t>
      </w:r>
      <w:r>
        <w:rPr>
          <w:sz w:val="24"/>
        </w:rPr>
        <w:tab/>
      </w:r>
      <w:r>
        <w:rPr>
          <w:spacing w:val="-2"/>
          <w:sz w:val="24"/>
        </w:rPr>
        <w:t>Disponível</w:t>
      </w:r>
      <w:r>
        <w:rPr>
          <w:sz w:val="24"/>
        </w:rPr>
        <w:tab/>
      </w:r>
      <w:r>
        <w:rPr>
          <w:spacing w:val="-6"/>
          <w:sz w:val="24"/>
        </w:rPr>
        <w:t xml:space="preserve">em: </w:t>
      </w:r>
      <w:hyperlink r:id="rId374">
        <w:r>
          <w:rPr>
            <w:color w:val="0000FF"/>
            <w:sz w:val="24"/>
            <w:u w:val="single" w:color="0000FF"/>
          </w:rPr>
          <w:t>https://www.planalto.gov.br/ccivil_03/constituicao/constituicao.htm</w:t>
        </w:r>
      </w:hyperlink>
      <w:r>
        <w:rPr>
          <w:sz w:val="24"/>
        </w:rPr>
        <w:t xml:space="preserve">. Acesso em: 05 jan. </w:t>
      </w:r>
      <w:r>
        <w:rPr>
          <w:spacing w:val="-2"/>
          <w:sz w:val="24"/>
        </w:rPr>
        <w:t>2024.</w:t>
      </w:r>
    </w:p>
    <w:p w:rsidR="007259F2" w:rsidRDefault="00E655B4">
      <w:pPr>
        <w:pStyle w:val="Corpodetexto"/>
        <w:tabs>
          <w:tab w:val="left" w:pos="4224"/>
          <w:tab w:val="left" w:pos="5378"/>
          <w:tab w:val="left" w:pos="7330"/>
          <w:tab w:val="left" w:pos="9301"/>
        </w:tabs>
        <w:spacing w:before="120"/>
        <w:ind w:left="712" w:right="553" w:firstLine="0"/>
      </w:pPr>
      <w:r>
        <w:t xml:space="preserve">BRASIL. </w:t>
      </w:r>
      <w:r>
        <w:rPr>
          <w:b/>
        </w:rPr>
        <w:t xml:space="preserve">Lei nº 10.257 de 10 de julho de 2001. </w:t>
      </w:r>
      <w:r>
        <w:t>Regulamenta os arts. 182 e 183 da Constituição</w:t>
      </w:r>
      <w:r>
        <w:rPr>
          <w:spacing w:val="-1"/>
        </w:rPr>
        <w:t xml:space="preserve"> </w:t>
      </w:r>
      <w:r>
        <w:t>Federal,</w:t>
      </w:r>
      <w:r>
        <w:rPr>
          <w:spacing w:val="-1"/>
        </w:rPr>
        <w:t xml:space="preserve"> </w:t>
      </w:r>
      <w:r>
        <w:t>estabelece</w:t>
      </w:r>
      <w:r>
        <w:rPr>
          <w:spacing w:val="-2"/>
        </w:rPr>
        <w:t xml:space="preserve"> </w:t>
      </w:r>
      <w:r>
        <w:t>diretrizes gerais</w:t>
      </w:r>
      <w:r>
        <w:rPr>
          <w:spacing w:val="-1"/>
        </w:rPr>
        <w:t xml:space="preserve"> </w:t>
      </w:r>
      <w:r>
        <w:t>da</w:t>
      </w:r>
      <w:r>
        <w:rPr>
          <w:spacing w:val="-2"/>
        </w:rPr>
        <w:t xml:space="preserve"> </w:t>
      </w:r>
      <w:r>
        <w:t>política</w:t>
      </w:r>
      <w:r>
        <w:rPr>
          <w:spacing w:val="-2"/>
        </w:rPr>
        <w:t xml:space="preserve"> </w:t>
      </w:r>
      <w:r>
        <w:t>urbana</w:t>
      </w:r>
      <w:r>
        <w:rPr>
          <w:spacing w:val="-2"/>
        </w:rPr>
        <w:t xml:space="preserve"> </w:t>
      </w:r>
      <w:r>
        <w:t>e</w:t>
      </w:r>
      <w:r>
        <w:rPr>
          <w:spacing w:val="-2"/>
        </w:rPr>
        <w:t xml:space="preserve"> </w:t>
      </w:r>
      <w:r>
        <w:t>dá</w:t>
      </w:r>
      <w:r>
        <w:rPr>
          <w:spacing w:val="-2"/>
        </w:rPr>
        <w:t xml:space="preserve"> </w:t>
      </w:r>
      <w:r>
        <w:t>outras</w:t>
      </w:r>
      <w:r>
        <w:rPr>
          <w:spacing w:val="-1"/>
        </w:rPr>
        <w:t xml:space="preserve"> </w:t>
      </w:r>
      <w:r>
        <w:t>providências. Brasília, DF:</w:t>
      </w:r>
      <w:r>
        <w:rPr>
          <w:spacing w:val="40"/>
        </w:rPr>
        <w:t xml:space="preserve">  </w:t>
      </w:r>
      <w:r>
        <w:t>Presidência</w:t>
      </w:r>
      <w:r>
        <w:tab/>
      </w:r>
      <w:r>
        <w:rPr>
          <w:spacing w:val="-6"/>
        </w:rPr>
        <w:t>da</w:t>
      </w:r>
      <w:r>
        <w:tab/>
      </w:r>
      <w:r>
        <w:rPr>
          <w:spacing w:val="-2"/>
        </w:rPr>
        <w:t>República.</w:t>
      </w:r>
      <w:r>
        <w:tab/>
      </w:r>
      <w:r>
        <w:rPr>
          <w:spacing w:val="-2"/>
        </w:rPr>
        <w:t>Disponível</w:t>
      </w:r>
      <w:r>
        <w:tab/>
      </w:r>
      <w:r>
        <w:rPr>
          <w:spacing w:val="-6"/>
        </w:rPr>
        <w:t xml:space="preserve">em: </w:t>
      </w:r>
      <w:hyperlink r:id="rId375">
        <w:r>
          <w:rPr>
            <w:color w:val="0000FF"/>
            <w:u w:val="single" w:color="0000FF"/>
          </w:rPr>
          <w:t>https://www.planalto.gov.br/ccivil_03/leis/leis_2001/l10257.htm</w:t>
        </w:r>
      </w:hyperlink>
      <w:r>
        <w:t>. Acesso em 05 jan. 2024.</w:t>
      </w:r>
    </w:p>
    <w:p w:rsidR="007259F2" w:rsidRDefault="007259F2">
      <w:pPr>
        <w:pStyle w:val="Corpodetexto"/>
        <w:sectPr w:rsidR="007259F2">
          <w:pgSz w:w="11910" w:h="16840"/>
          <w:pgMar w:top="1600" w:right="708" w:bottom="1020" w:left="992" w:header="0" w:footer="820" w:gutter="0"/>
          <w:cols w:space="720"/>
        </w:sectPr>
      </w:pPr>
    </w:p>
    <w:p w:rsidR="007259F2" w:rsidRDefault="00E655B4">
      <w:pPr>
        <w:pStyle w:val="Corpodetexto"/>
        <w:spacing w:before="75"/>
        <w:ind w:left="712" w:right="562" w:firstLine="0"/>
      </w:pPr>
      <w:r>
        <w:lastRenderedPageBreak/>
        <w:t>BRASIL.</w:t>
      </w:r>
      <w:r>
        <w:rPr>
          <w:spacing w:val="80"/>
        </w:rPr>
        <w:t xml:space="preserve"> </w:t>
      </w:r>
      <w:r>
        <w:rPr>
          <w:b/>
        </w:rPr>
        <w:t>Lei</w:t>
      </w:r>
      <w:r>
        <w:rPr>
          <w:b/>
          <w:spacing w:val="80"/>
        </w:rPr>
        <w:t xml:space="preserve"> </w:t>
      </w:r>
      <w:r>
        <w:rPr>
          <w:b/>
        </w:rPr>
        <w:t>nº</w:t>
      </w:r>
      <w:r>
        <w:rPr>
          <w:b/>
          <w:spacing w:val="80"/>
        </w:rPr>
        <w:t xml:space="preserve"> </w:t>
      </w:r>
      <w:r>
        <w:rPr>
          <w:b/>
        </w:rPr>
        <w:t>4.132</w:t>
      </w:r>
      <w:r>
        <w:rPr>
          <w:b/>
          <w:spacing w:val="80"/>
        </w:rPr>
        <w:t xml:space="preserve"> </w:t>
      </w:r>
      <w:r>
        <w:rPr>
          <w:b/>
        </w:rPr>
        <w:t>de</w:t>
      </w:r>
      <w:r>
        <w:rPr>
          <w:b/>
          <w:spacing w:val="80"/>
        </w:rPr>
        <w:t xml:space="preserve"> </w:t>
      </w:r>
      <w:r>
        <w:rPr>
          <w:b/>
        </w:rPr>
        <w:t>10</w:t>
      </w:r>
      <w:r>
        <w:rPr>
          <w:b/>
          <w:spacing w:val="80"/>
        </w:rPr>
        <w:t xml:space="preserve"> </w:t>
      </w:r>
      <w:r>
        <w:rPr>
          <w:b/>
        </w:rPr>
        <w:t>de</w:t>
      </w:r>
      <w:r>
        <w:rPr>
          <w:b/>
          <w:spacing w:val="80"/>
        </w:rPr>
        <w:t xml:space="preserve"> </w:t>
      </w:r>
      <w:r>
        <w:rPr>
          <w:b/>
        </w:rPr>
        <w:t>setembro</w:t>
      </w:r>
      <w:r>
        <w:rPr>
          <w:b/>
          <w:spacing w:val="80"/>
        </w:rPr>
        <w:t xml:space="preserve"> </w:t>
      </w:r>
      <w:r>
        <w:rPr>
          <w:b/>
        </w:rPr>
        <w:t>de</w:t>
      </w:r>
      <w:r>
        <w:rPr>
          <w:b/>
          <w:spacing w:val="80"/>
        </w:rPr>
        <w:t xml:space="preserve"> </w:t>
      </w:r>
      <w:r>
        <w:rPr>
          <w:b/>
        </w:rPr>
        <w:t>1962</w:t>
      </w:r>
      <w:r>
        <w:t>.</w:t>
      </w:r>
      <w:r>
        <w:rPr>
          <w:spacing w:val="40"/>
        </w:rPr>
        <w:t xml:space="preserve"> </w:t>
      </w:r>
      <w:r>
        <w:t>Define</w:t>
      </w:r>
      <w:r>
        <w:rPr>
          <w:spacing w:val="40"/>
        </w:rPr>
        <w:t xml:space="preserve"> </w:t>
      </w:r>
      <w:r>
        <w:t>os</w:t>
      </w:r>
      <w:r>
        <w:rPr>
          <w:spacing w:val="40"/>
        </w:rPr>
        <w:t xml:space="preserve"> </w:t>
      </w:r>
      <w:r>
        <w:t>casos</w:t>
      </w:r>
      <w:r>
        <w:rPr>
          <w:spacing w:val="40"/>
        </w:rPr>
        <w:t xml:space="preserve"> </w:t>
      </w:r>
      <w:r>
        <w:t>de desapropriação</w:t>
      </w:r>
      <w:r>
        <w:rPr>
          <w:spacing w:val="-7"/>
        </w:rPr>
        <w:t xml:space="preserve"> </w:t>
      </w:r>
      <w:r>
        <w:t>por</w:t>
      </w:r>
      <w:r>
        <w:rPr>
          <w:spacing w:val="-7"/>
        </w:rPr>
        <w:t xml:space="preserve"> </w:t>
      </w:r>
      <w:r>
        <w:t>interesse</w:t>
      </w:r>
      <w:r>
        <w:rPr>
          <w:spacing w:val="-7"/>
        </w:rPr>
        <w:t xml:space="preserve"> </w:t>
      </w:r>
      <w:r>
        <w:t>social</w:t>
      </w:r>
      <w:r>
        <w:rPr>
          <w:spacing w:val="-7"/>
        </w:rPr>
        <w:t xml:space="preserve"> </w:t>
      </w:r>
      <w:r>
        <w:t>e</w:t>
      </w:r>
      <w:r>
        <w:rPr>
          <w:spacing w:val="-7"/>
        </w:rPr>
        <w:t xml:space="preserve"> </w:t>
      </w:r>
      <w:r>
        <w:t>dispõe</w:t>
      </w:r>
      <w:r>
        <w:rPr>
          <w:spacing w:val="-7"/>
        </w:rPr>
        <w:t xml:space="preserve"> </w:t>
      </w:r>
      <w:r>
        <w:t>sobre</w:t>
      </w:r>
      <w:r>
        <w:rPr>
          <w:spacing w:val="-6"/>
        </w:rPr>
        <w:t xml:space="preserve"> </w:t>
      </w:r>
      <w:r>
        <w:t>sua</w:t>
      </w:r>
      <w:r>
        <w:rPr>
          <w:spacing w:val="-7"/>
        </w:rPr>
        <w:t xml:space="preserve"> </w:t>
      </w:r>
      <w:r>
        <w:t>aplicação.</w:t>
      </w:r>
      <w:r>
        <w:rPr>
          <w:spacing w:val="-5"/>
        </w:rPr>
        <w:t xml:space="preserve"> </w:t>
      </w:r>
      <w:r>
        <w:t>Brasília,</w:t>
      </w:r>
      <w:r>
        <w:rPr>
          <w:spacing w:val="-4"/>
        </w:rPr>
        <w:t xml:space="preserve"> </w:t>
      </w:r>
      <w:r>
        <w:t>DF:</w:t>
      </w:r>
      <w:r>
        <w:rPr>
          <w:spacing w:val="-10"/>
        </w:rPr>
        <w:t xml:space="preserve"> </w:t>
      </w:r>
      <w:r>
        <w:t>Presidência</w:t>
      </w:r>
      <w:r>
        <w:rPr>
          <w:spacing w:val="19"/>
        </w:rPr>
        <w:t xml:space="preserve"> </w:t>
      </w:r>
      <w:r>
        <w:t>da República.</w:t>
      </w:r>
      <w:r>
        <w:rPr>
          <w:spacing w:val="-1"/>
        </w:rPr>
        <w:t xml:space="preserve"> </w:t>
      </w:r>
      <w:r>
        <w:t>Disponível em:</w:t>
      </w:r>
      <w:r>
        <w:rPr>
          <w:spacing w:val="-5"/>
        </w:rPr>
        <w:t xml:space="preserve"> </w:t>
      </w:r>
      <w:hyperlink r:id="rId376">
        <w:r>
          <w:rPr>
            <w:color w:val="0000FF"/>
            <w:u w:val="single" w:color="0000FF"/>
          </w:rPr>
          <w:t>https://www.planalto.gov.br/ccivil_03/leis/l4132.htm</w:t>
        </w:r>
      </w:hyperlink>
      <w:r>
        <w:t>.</w:t>
      </w:r>
      <w:r>
        <w:rPr>
          <w:spacing w:val="-1"/>
        </w:rPr>
        <w:t xml:space="preserve"> </w:t>
      </w:r>
      <w:r>
        <w:t>Acesso em 05 jan. 2024.</w:t>
      </w:r>
    </w:p>
    <w:p w:rsidR="007259F2" w:rsidRDefault="00E655B4">
      <w:pPr>
        <w:spacing w:before="120"/>
        <w:ind w:left="712" w:right="561"/>
        <w:jc w:val="both"/>
        <w:rPr>
          <w:sz w:val="24"/>
        </w:rPr>
      </w:pPr>
      <w:r>
        <w:rPr>
          <w:sz w:val="24"/>
        </w:rPr>
        <w:t xml:space="preserve">LEVIN, Alexandre. </w:t>
      </w:r>
      <w:r>
        <w:rPr>
          <w:b/>
          <w:sz w:val="24"/>
        </w:rPr>
        <w:t>Parcelamento, edificação e utilização compulsórios de imóveis públicos urbanos</w:t>
      </w:r>
      <w:r>
        <w:rPr>
          <w:sz w:val="24"/>
        </w:rPr>
        <w:t>. 2008. Tese (Mestrado em Direito).</w:t>
      </w:r>
      <w:r>
        <w:rPr>
          <w:spacing w:val="40"/>
          <w:sz w:val="24"/>
        </w:rPr>
        <w:t xml:space="preserve"> </w:t>
      </w:r>
      <w:r>
        <w:rPr>
          <w:sz w:val="24"/>
        </w:rPr>
        <w:t>Pontifícia Universidade Católica de São Paulo, São Paulo, 2008.</w:t>
      </w:r>
    </w:p>
    <w:p w:rsidR="007259F2" w:rsidRDefault="00E655B4">
      <w:pPr>
        <w:pStyle w:val="Corpodetexto"/>
        <w:spacing w:before="120"/>
        <w:ind w:left="712" w:right="556" w:firstLine="0"/>
      </w:pPr>
      <w:r>
        <w:t>CARDOSO,</w:t>
      </w:r>
      <w:r>
        <w:rPr>
          <w:spacing w:val="-4"/>
        </w:rPr>
        <w:t xml:space="preserve"> </w:t>
      </w:r>
      <w:r>
        <w:t>Fernanda</w:t>
      </w:r>
      <w:r>
        <w:rPr>
          <w:spacing w:val="-3"/>
        </w:rPr>
        <w:t xml:space="preserve"> </w:t>
      </w:r>
      <w:r>
        <w:t>Lousada.</w:t>
      </w:r>
      <w:r>
        <w:rPr>
          <w:spacing w:val="-3"/>
        </w:rPr>
        <w:t xml:space="preserve"> </w:t>
      </w:r>
      <w:r>
        <w:t>Propriedade</w:t>
      </w:r>
      <w:r>
        <w:rPr>
          <w:spacing w:val="-5"/>
        </w:rPr>
        <w:t xml:space="preserve"> </w:t>
      </w:r>
      <w:r>
        <w:t>Urbana</w:t>
      </w:r>
      <w:r>
        <w:rPr>
          <w:spacing w:val="-5"/>
        </w:rPr>
        <w:t xml:space="preserve"> </w:t>
      </w:r>
      <w:r>
        <w:t>no</w:t>
      </w:r>
      <w:r>
        <w:rPr>
          <w:spacing w:val="-4"/>
        </w:rPr>
        <w:t xml:space="preserve"> </w:t>
      </w:r>
      <w:r>
        <w:t>Ordenamento</w:t>
      </w:r>
      <w:r>
        <w:rPr>
          <w:spacing w:val="-2"/>
        </w:rPr>
        <w:t xml:space="preserve"> </w:t>
      </w:r>
      <w:r>
        <w:t>Brasileiro</w:t>
      </w:r>
      <w:r>
        <w:rPr>
          <w:b/>
        </w:rPr>
        <w:t>.</w:t>
      </w:r>
      <w:r>
        <w:rPr>
          <w:b/>
          <w:spacing w:val="-4"/>
        </w:rPr>
        <w:t xml:space="preserve"> </w:t>
      </w:r>
      <w:r>
        <w:rPr>
          <w:b/>
        </w:rPr>
        <w:t>Revista</w:t>
      </w:r>
      <w:r>
        <w:rPr>
          <w:b/>
          <w:spacing w:val="-4"/>
        </w:rPr>
        <w:t xml:space="preserve"> </w:t>
      </w:r>
      <w:r>
        <w:rPr>
          <w:b/>
        </w:rPr>
        <w:t>de Direito Administrativo</w:t>
      </w:r>
      <w:r>
        <w:t xml:space="preserve">. Rio de Janeiro, v. 247, p. 98-25, 2008. Disponível em: </w:t>
      </w:r>
      <w:hyperlink r:id="rId377">
        <w:r>
          <w:rPr>
            <w:color w:val="0000FF"/>
            <w:u w:val="single" w:color="0000FF"/>
          </w:rPr>
          <w:t>https://periodicos.fgv.br/rda/article/download/41549/40862/86581</w:t>
        </w:r>
      </w:hyperlink>
      <w:r>
        <w:t>.</w:t>
      </w:r>
      <w:r>
        <w:rPr>
          <w:spacing w:val="-2"/>
        </w:rPr>
        <w:t xml:space="preserve"> </w:t>
      </w:r>
      <w:r>
        <w:t>Acesso</w:t>
      </w:r>
      <w:r>
        <w:rPr>
          <w:spacing w:val="-1"/>
        </w:rPr>
        <w:t xml:space="preserve"> </w:t>
      </w:r>
      <w:r>
        <w:t>em:</w:t>
      </w:r>
      <w:r>
        <w:rPr>
          <w:spacing w:val="-2"/>
        </w:rPr>
        <w:t xml:space="preserve"> </w:t>
      </w:r>
      <w:r>
        <w:t>08</w:t>
      </w:r>
      <w:r>
        <w:rPr>
          <w:spacing w:val="-1"/>
        </w:rPr>
        <w:t xml:space="preserve"> </w:t>
      </w:r>
      <w:r>
        <w:t>jan.</w:t>
      </w:r>
      <w:r>
        <w:rPr>
          <w:spacing w:val="-1"/>
        </w:rPr>
        <w:t xml:space="preserve"> </w:t>
      </w:r>
      <w:r>
        <w:rPr>
          <w:spacing w:val="-2"/>
        </w:rPr>
        <w:t>2024.</w:t>
      </w:r>
    </w:p>
    <w:p w:rsidR="007259F2" w:rsidRDefault="00E655B4">
      <w:pPr>
        <w:spacing w:before="126" w:line="237" w:lineRule="auto"/>
        <w:ind w:left="712" w:right="560"/>
        <w:jc w:val="both"/>
        <w:rPr>
          <w:sz w:val="24"/>
        </w:rPr>
      </w:pPr>
      <w:r>
        <w:rPr>
          <w:sz w:val="24"/>
        </w:rPr>
        <w:t xml:space="preserve">FLORES, Patrícia Teixeira de Rezende; SANTOS, Bernadete Schleder. </w:t>
      </w:r>
      <w:r>
        <w:rPr>
          <w:b/>
          <w:sz w:val="24"/>
        </w:rPr>
        <w:t>Comentários ao Estatuto da Cidade</w:t>
      </w:r>
      <w:r>
        <w:rPr>
          <w:sz w:val="24"/>
        </w:rPr>
        <w:t>. Rio de Janeiro, AIDE Editora, 2002.</w:t>
      </w:r>
    </w:p>
    <w:p w:rsidR="007259F2" w:rsidRDefault="00E655B4">
      <w:pPr>
        <w:spacing w:before="121"/>
        <w:ind w:left="712" w:right="563"/>
        <w:jc w:val="both"/>
        <w:rPr>
          <w:sz w:val="24"/>
        </w:rPr>
      </w:pPr>
      <w:r>
        <w:rPr>
          <w:sz w:val="24"/>
        </w:rPr>
        <w:t xml:space="preserve">LEAL, Rogério Gesta. </w:t>
      </w:r>
      <w:r>
        <w:rPr>
          <w:b/>
          <w:sz w:val="24"/>
        </w:rPr>
        <w:t xml:space="preserve">A função social da propriedade e da cidade no Brasil: </w:t>
      </w:r>
      <w:r>
        <w:rPr>
          <w:sz w:val="24"/>
        </w:rPr>
        <w:t>aspectos jurídicos e políticos. Porto Alegre, Livraria do Advogado/Edunisc, 1998.</w:t>
      </w:r>
    </w:p>
    <w:p w:rsidR="007259F2" w:rsidRDefault="00E655B4">
      <w:pPr>
        <w:spacing w:before="199"/>
        <w:ind w:left="710" w:right="557"/>
        <w:jc w:val="both"/>
        <w:rPr>
          <w:sz w:val="24"/>
        </w:rPr>
      </w:pPr>
      <w:r>
        <w:rPr>
          <w:sz w:val="24"/>
        </w:rPr>
        <w:t>MARCO, Nathalia Leone. Função social da propriedade urbana e sua importância para o desenho</w:t>
      </w:r>
      <w:r>
        <w:rPr>
          <w:spacing w:val="-1"/>
          <w:sz w:val="24"/>
        </w:rPr>
        <w:t xml:space="preserve"> </w:t>
      </w:r>
      <w:r>
        <w:rPr>
          <w:sz w:val="24"/>
        </w:rPr>
        <w:t>das</w:t>
      </w:r>
      <w:r>
        <w:rPr>
          <w:spacing w:val="-1"/>
          <w:sz w:val="24"/>
        </w:rPr>
        <w:t xml:space="preserve"> </w:t>
      </w:r>
      <w:r>
        <w:rPr>
          <w:sz w:val="24"/>
        </w:rPr>
        <w:t>políticas públicas de</w:t>
      </w:r>
      <w:r>
        <w:rPr>
          <w:spacing w:val="-2"/>
          <w:sz w:val="24"/>
        </w:rPr>
        <w:t xml:space="preserve"> </w:t>
      </w:r>
      <w:r>
        <w:rPr>
          <w:sz w:val="24"/>
        </w:rPr>
        <w:t>desenvolvimento urbano.</w:t>
      </w:r>
      <w:r>
        <w:rPr>
          <w:spacing w:val="-1"/>
          <w:sz w:val="24"/>
        </w:rPr>
        <w:t xml:space="preserve"> </w:t>
      </w:r>
      <w:r>
        <w:rPr>
          <w:b/>
          <w:sz w:val="24"/>
        </w:rPr>
        <w:t>A</w:t>
      </w:r>
      <w:r>
        <w:rPr>
          <w:b/>
          <w:spacing w:val="-2"/>
          <w:sz w:val="24"/>
        </w:rPr>
        <w:t xml:space="preserve"> </w:t>
      </w:r>
      <w:r>
        <w:rPr>
          <w:b/>
          <w:sz w:val="24"/>
        </w:rPr>
        <w:t>Boa</w:t>
      </w:r>
      <w:r>
        <w:rPr>
          <w:b/>
          <w:spacing w:val="-1"/>
          <w:sz w:val="24"/>
        </w:rPr>
        <w:t xml:space="preserve"> </w:t>
      </w:r>
      <w:r>
        <w:rPr>
          <w:b/>
          <w:sz w:val="24"/>
        </w:rPr>
        <w:t>Gestão Pública e o Novo Direito Administrativo</w:t>
      </w:r>
      <w:r>
        <w:rPr>
          <w:sz w:val="24"/>
        </w:rPr>
        <w:t>: dos conflitos às melhores soluções práticas. São Paulo, 1ª ed.,</w:t>
      </w:r>
    </w:p>
    <w:p w:rsidR="007259F2" w:rsidRDefault="00E655B4">
      <w:pPr>
        <w:pStyle w:val="Corpodetexto"/>
        <w:spacing w:before="2"/>
        <w:ind w:firstLine="0"/>
      </w:pPr>
      <w:r>
        <w:t>p.</w:t>
      </w:r>
      <w:r>
        <w:rPr>
          <w:spacing w:val="-1"/>
        </w:rPr>
        <w:t xml:space="preserve"> </w:t>
      </w:r>
      <w:r>
        <w:t>428-445,</w:t>
      </w:r>
      <w:r>
        <w:rPr>
          <w:spacing w:val="-1"/>
        </w:rPr>
        <w:t xml:space="preserve"> </w:t>
      </w:r>
      <w:r>
        <w:rPr>
          <w:spacing w:val="-2"/>
        </w:rPr>
        <w:t>2021.</w:t>
      </w:r>
    </w:p>
    <w:p w:rsidR="007259F2" w:rsidRDefault="00E655B4">
      <w:pPr>
        <w:spacing w:before="120"/>
        <w:ind w:left="710" w:right="425"/>
        <w:jc w:val="both"/>
        <w:rPr>
          <w:sz w:val="24"/>
        </w:rPr>
      </w:pPr>
      <w:r>
        <w:rPr>
          <w:sz w:val="24"/>
        </w:rPr>
        <w:t xml:space="preserve">MELLO, Celso Antônio Bandeira de. </w:t>
      </w:r>
      <w:r>
        <w:rPr>
          <w:b/>
          <w:sz w:val="24"/>
        </w:rPr>
        <w:t>Discricionariedade e controle jurisdicional</w:t>
      </w:r>
      <w:r>
        <w:rPr>
          <w:sz w:val="24"/>
        </w:rPr>
        <w:t>. São Paulo, 2ª ed., Malheiros Editores, 2003.</w:t>
      </w:r>
    </w:p>
    <w:p w:rsidR="007259F2" w:rsidRDefault="00E655B4">
      <w:pPr>
        <w:spacing w:before="121"/>
        <w:ind w:left="710" w:right="423"/>
        <w:jc w:val="both"/>
        <w:rPr>
          <w:sz w:val="24"/>
        </w:rPr>
      </w:pPr>
      <w:r>
        <w:rPr>
          <w:sz w:val="24"/>
        </w:rPr>
        <w:t xml:space="preserve">RITCHER, Daniela; ROSA, Marizélia Peglow da. </w:t>
      </w:r>
      <w:r>
        <w:rPr>
          <w:b/>
          <w:sz w:val="24"/>
        </w:rPr>
        <w:t xml:space="preserve">A função social da propriedade urbana como princípio constitucional: </w:t>
      </w:r>
      <w:r>
        <w:rPr>
          <w:sz w:val="24"/>
        </w:rPr>
        <w:t xml:space="preserve">proteção e exigibilidade. Conpedi. Disponível em: </w:t>
      </w:r>
      <w:hyperlink r:id="rId378">
        <w:r>
          <w:rPr>
            <w:color w:val="0000FF"/>
            <w:sz w:val="24"/>
            <w:u w:val="single" w:color="0000FF"/>
          </w:rPr>
          <w:t>http://www.conpedi.org.br/manaus/arquivos/anais/salvador/daniela_richter-1.pdf</w:t>
        </w:r>
      </w:hyperlink>
      <w:r>
        <w:rPr>
          <w:sz w:val="24"/>
        </w:rPr>
        <w:t>. Acesso em: 07 jan. 2024.</w:t>
      </w:r>
    </w:p>
    <w:p w:rsidR="007259F2" w:rsidRDefault="00E655B4">
      <w:pPr>
        <w:spacing w:before="120"/>
        <w:ind w:left="710" w:right="421"/>
        <w:jc w:val="both"/>
        <w:rPr>
          <w:sz w:val="24"/>
        </w:rPr>
      </w:pPr>
      <w:r>
        <w:rPr>
          <w:sz w:val="24"/>
        </w:rPr>
        <w:t xml:space="preserve">ROSA, Paulo Leandro da. </w:t>
      </w:r>
      <w:r>
        <w:rPr>
          <w:b/>
          <w:sz w:val="24"/>
        </w:rPr>
        <w:t>A (in)constitucionalidade da desapropriação indireta</w:t>
      </w:r>
      <w:r>
        <w:rPr>
          <w:sz w:val="24"/>
        </w:rPr>
        <w:t>. 2015. Trabalho de Conclusão de Curso (Bacharelado em Direito) – Centro Universitário UNIVATES, Rio Grande do Sul, Lajeado, 2015.</w:t>
      </w:r>
    </w:p>
    <w:p w:rsidR="007259F2" w:rsidRDefault="00E655B4">
      <w:pPr>
        <w:pStyle w:val="Corpodetexto"/>
        <w:spacing w:before="120"/>
        <w:ind w:right="420" w:firstLine="0"/>
        <w:jc w:val="left"/>
      </w:pPr>
      <w:r>
        <w:t>SÃO PAULO (SP). Secretaria Municipal de Urbanismo e Licenciamento. Coordenadoria de Planejamento</w:t>
      </w:r>
      <w:r>
        <w:rPr>
          <w:spacing w:val="29"/>
        </w:rPr>
        <w:t xml:space="preserve"> </w:t>
      </w:r>
      <w:r>
        <w:t>Urbano.</w:t>
      </w:r>
      <w:r>
        <w:rPr>
          <w:spacing w:val="30"/>
        </w:rPr>
        <w:t xml:space="preserve"> </w:t>
      </w:r>
      <w:r>
        <w:rPr>
          <w:b/>
        </w:rPr>
        <w:t>Relatório</w:t>
      </w:r>
      <w:r>
        <w:rPr>
          <w:b/>
          <w:spacing w:val="29"/>
        </w:rPr>
        <w:t xml:space="preserve"> </w:t>
      </w:r>
      <w:r>
        <w:rPr>
          <w:b/>
        </w:rPr>
        <w:t>Temático:</w:t>
      </w:r>
      <w:r>
        <w:rPr>
          <w:b/>
          <w:spacing w:val="29"/>
        </w:rPr>
        <w:t xml:space="preserve"> </w:t>
      </w:r>
      <w:r>
        <w:t>06</w:t>
      </w:r>
      <w:r>
        <w:rPr>
          <w:spacing w:val="32"/>
        </w:rPr>
        <w:t xml:space="preserve"> </w:t>
      </w:r>
      <w:r>
        <w:t>–</w:t>
      </w:r>
      <w:r>
        <w:rPr>
          <w:spacing w:val="29"/>
        </w:rPr>
        <w:t xml:space="preserve"> </w:t>
      </w:r>
      <w:r>
        <w:t>Função</w:t>
      </w:r>
      <w:r>
        <w:rPr>
          <w:spacing w:val="29"/>
        </w:rPr>
        <w:t xml:space="preserve"> </w:t>
      </w:r>
      <w:r>
        <w:t>Social</w:t>
      </w:r>
      <w:r>
        <w:rPr>
          <w:spacing w:val="29"/>
        </w:rPr>
        <w:t xml:space="preserve"> </w:t>
      </w:r>
      <w:r>
        <w:t>da</w:t>
      </w:r>
      <w:r>
        <w:rPr>
          <w:spacing w:val="28"/>
        </w:rPr>
        <w:t xml:space="preserve"> </w:t>
      </w:r>
      <w:r>
        <w:t>Propriedade</w:t>
      </w:r>
      <w:r>
        <w:rPr>
          <w:spacing w:val="28"/>
        </w:rPr>
        <w:t xml:space="preserve"> </w:t>
      </w:r>
      <w:r>
        <w:t>e</w:t>
      </w:r>
      <w:r>
        <w:rPr>
          <w:spacing w:val="31"/>
        </w:rPr>
        <w:t xml:space="preserve"> </w:t>
      </w:r>
      <w:r>
        <w:t xml:space="preserve">Retrofit. São Paulo: Secretaria Municipal de Urbanismo e Licenciamento, 2021-2022. Disponível em: </w:t>
      </w:r>
      <w:hyperlink r:id="rId379">
        <w:r>
          <w:rPr>
            <w:color w:val="0000FF"/>
            <w:spacing w:val="-2"/>
            <w:u w:val="single" w:color="0000FF"/>
          </w:rPr>
          <w:t>https://gestaourbana.prefeitura.sp.gov.br/wp-</w:t>
        </w:r>
      </w:hyperlink>
      <w:hyperlink r:id="rId380">
        <w:r>
          <w:rPr>
            <w:color w:val="0000FF"/>
            <w:spacing w:val="-2"/>
            <w:u w:val="single" w:color="0000FF"/>
          </w:rPr>
          <w:t>content/uploads/2023/02/06_Funcao-Social-da-</w:t>
        </w:r>
      </w:hyperlink>
      <w:r>
        <w:rPr>
          <w:color w:val="0000FF"/>
          <w:spacing w:val="-2"/>
        </w:rPr>
        <w:t xml:space="preserve"> </w:t>
      </w:r>
      <w:r>
        <w:rPr>
          <w:color w:val="0000FF"/>
          <w:u w:val="single" w:color="0000FF"/>
        </w:rPr>
        <w:t>Propriedade-e-Retrofit.pdf</w:t>
      </w:r>
      <w:r>
        <w:t>. Acesso em 05 jan. 2024.</w:t>
      </w:r>
    </w:p>
    <w:p w:rsidR="007259F2" w:rsidRDefault="00E655B4">
      <w:pPr>
        <w:pStyle w:val="Corpodetexto"/>
        <w:spacing w:before="121"/>
        <w:ind w:left="712" w:right="556" w:firstLine="0"/>
      </w:pPr>
      <w:r>
        <w:t xml:space="preserve">SÃO PAULO (SP). Secretaria Municipal de Urbanismo e Licenciamento. Coordenadoria de Controle da Função Social da Propriedade. </w:t>
      </w:r>
      <w:r>
        <w:rPr>
          <w:b/>
        </w:rPr>
        <w:t>Imóveis na 5ª alíquota do IPTU (Relatório)</w:t>
      </w:r>
      <w:r>
        <w:t>. São Paulo: Secretaria Municipal de Urbanismo e Licenciamento, 2023.</w:t>
      </w:r>
    </w:p>
    <w:p w:rsidR="007259F2" w:rsidRDefault="00E655B4">
      <w:pPr>
        <w:pStyle w:val="Corpodetexto"/>
        <w:spacing w:before="120"/>
        <w:ind w:left="712" w:right="562" w:firstLine="0"/>
      </w:pPr>
      <w:r>
        <w:t xml:space="preserve">SÃO PAULO (SP) </w:t>
      </w:r>
      <w:r>
        <w:rPr>
          <w:b/>
        </w:rPr>
        <w:t>Lei nº 16.050 de 31 de julho de 2014</w:t>
      </w:r>
      <w:r>
        <w:t xml:space="preserve">. Aprova a Política de Desenvolvimento Urbano e o Plano Diretor Estratégico do Município de São Paulo e revoga a </w:t>
      </w:r>
      <w:hyperlink r:id="rId381">
        <w:r>
          <w:t>Lei nº 13.430/2002</w:t>
        </w:r>
      </w:hyperlink>
      <w:r>
        <w:t>. São Paulo, SP: Prefeitura Municipal de São Paulo, 2014. Disponível em:</w:t>
      </w:r>
      <w:r>
        <w:rPr>
          <w:spacing w:val="-8"/>
        </w:rPr>
        <w:t xml:space="preserve"> </w:t>
      </w:r>
      <w:hyperlink r:id="rId382">
        <w:r>
          <w:rPr>
            <w:color w:val="0000FF"/>
            <w:u w:val="single" w:color="0000FF"/>
          </w:rPr>
          <w:t>https://legislacao.prefeitura.sp.gov.br/leis/lei-16050-de-31-de-julho-de-2014</w:t>
        </w:r>
      </w:hyperlink>
      <w:r>
        <w:t>.</w:t>
      </w:r>
      <w:r>
        <w:rPr>
          <w:spacing w:val="-9"/>
        </w:rPr>
        <w:t xml:space="preserve"> </w:t>
      </w:r>
      <w:r>
        <w:t>Acesso</w:t>
      </w:r>
      <w:r>
        <w:rPr>
          <w:spacing w:val="-6"/>
        </w:rPr>
        <w:t xml:space="preserve"> </w:t>
      </w:r>
      <w:r>
        <w:t>em 05 jan. 2024.</w:t>
      </w:r>
    </w:p>
    <w:p w:rsidR="007259F2" w:rsidRDefault="00E655B4">
      <w:pPr>
        <w:pStyle w:val="Corpodetexto"/>
        <w:spacing w:before="122"/>
        <w:ind w:left="712" w:right="832" w:firstLine="0"/>
      </w:pPr>
      <w:r>
        <w:t>SÃO</w:t>
      </w:r>
      <w:r>
        <w:rPr>
          <w:spacing w:val="-5"/>
        </w:rPr>
        <w:t xml:space="preserve"> </w:t>
      </w:r>
      <w:r>
        <w:t>PAULO</w:t>
      </w:r>
      <w:r>
        <w:rPr>
          <w:spacing w:val="-3"/>
        </w:rPr>
        <w:t xml:space="preserve"> </w:t>
      </w:r>
      <w:r>
        <w:t>(SP).</w:t>
      </w:r>
      <w:r>
        <w:rPr>
          <w:spacing w:val="-4"/>
        </w:rPr>
        <w:t xml:space="preserve"> </w:t>
      </w:r>
      <w:r>
        <w:t>Secretaria</w:t>
      </w:r>
      <w:r>
        <w:rPr>
          <w:spacing w:val="-4"/>
        </w:rPr>
        <w:t xml:space="preserve"> </w:t>
      </w:r>
      <w:r>
        <w:t>Municipal</w:t>
      </w:r>
      <w:r>
        <w:rPr>
          <w:spacing w:val="-4"/>
        </w:rPr>
        <w:t xml:space="preserve"> </w:t>
      </w:r>
      <w:r>
        <w:t>de</w:t>
      </w:r>
      <w:r>
        <w:rPr>
          <w:spacing w:val="-5"/>
        </w:rPr>
        <w:t xml:space="preserve"> </w:t>
      </w:r>
      <w:r>
        <w:t>Urbanismo</w:t>
      </w:r>
      <w:r>
        <w:rPr>
          <w:spacing w:val="-4"/>
        </w:rPr>
        <w:t xml:space="preserve"> </w:t>
      </w:r>
      <w:r>
        <w:t>e</w:t>
      </w:r>
      <w:r>
        <w:rPr>
          <w:spacing w:val="-3"/>
        </w:rPr>
        <w:t xml:space="preserve"> </w:t>
      </w:r>
      <w:r>
        <w:t>Licenciamento.</w:t>
      </w:r>
      <w:r>
        <w:rPr>
          <w:spacing w:val="-2"/>
        </w:rPr>
        <w:t xml:space="preserve"> </w:t>
      </w:r>
      <w:r>
        <w:t>Processo</w:t>
      </w:r>
      <w:r>
        <w:rPr>
          <w:spacing w:val="-4"/>
        </w:rPr>
        <w:t xml:space="preserve"> </w:t>
      </w:r>
      <w:r>
        <w:t>SEI</w:t>
      </w:r>
      <w:r>
        <w:rPr>
          <w:spacing w:val="-8"/>
        </w:rPr>
        <w:t xml:space="preserve"> </w:t>
      </w:r>
      <w:r>
        <w:t>nº 6068.2021/0007923-3. São Paulo, 2021–2024.</w:t>
      </w:r>
    </w:p>
    <w:p w:rsidR="007259F2" w:rsidRDefault="007259F2">
      <w:pPr>
        <w:pStyle w:val="Corpodetexto"/>
        <w:sectPr w:rsidR="007259F2">
          <w:pgSz w:w="11910" w:h="16840"/>
          <w:pgMar w:top="1600" w:right="708" w:bottom="1020" w:left="992" w:header="0" w:footer="820" w:gutter="0"/>
          <w:cols w:space="720"/>
        </w:sectPr>
      </w:pPr>
    </w:p>
    <w:p w:rsidR="007259F2" w:rsidRDefault="00E655B4">
      <w:pPr>
        <w:pStyle w:val="Heading2"/>
        <w:spacing w:before="74"/>
        <w:ind w:right="990"/>
        <w:jc w:val="left"/>
      </w:pPr>
      <w:bookmarkStart w:id="20" w:name="_bookmark20"/>
      <w:bookmarkEnd w:id="20"/>
      <w:r>
        <w:lastRenderedPageBreak/>
        <w:t>Imunidade</w:t>
      </w:r>
      <w:r>
        <w:rPr>
          <w:spacing w:val="40"/>
        </w:rPr>
        <w:t xml:space="preserve"> </w:t>
      </w:r>
      <w:r>
        <w:t>Tributária</w:t>
      </w:r>
      <w:r>
        <w:rPr>
          <w:spacing w:val="40"/>
        </w:rPr>
        <w:t xml:space="preserve"> </w:t>
      </w:r>
      <w:r>
        <w:t>recíproca</w:t>
      </w:r>
      <w:r>
        <w:rPr>
          <w:spacing w:val="40"/>
        </w:rPr>
        <w:t xml:space="preserve"> </w:t>
      </w:r>
      <w:r>
        <w:t>ao</w:t>
      </w:r>
      <w:r>
        <w:rPr>
          <w:spacing w:val="40"/>
        </w:rPr>
        <w:t xml:space="preserve"> </w:t>
      </w:r>
      <w:r>
        <w:t>IPTU</w:t>
      </w:r>
      <w:r>
        <w:rPr>
          <w:spacing w:val="40"/>
        </w:rPr>
        <w:t xml:space="preserve"> </w:t>
      </w:r>
      <w:r>
        <w:t>em</w:t>
      </w:r>
      <w:r>
        <w:rPr>
          <w:spacing w:val="40"/>
        </w:rPr>
        <w:t xml:space="preserve"> </w:t>
      </w:r>
      <w:r>
        <w:t>imóveis</w:t>
      </w:r>
      <w:r>
        <w:rPr>
          <w:spacing w:val="40"/>
        </w:rPr>
        <w:t xml:space="preserve"> </w:t>
      </w:r>
      <w:r>
        <w:t>públicos</w:t>
      </w:r>
      <w:r>
        <w:rPr>
          <w:spacing w:val="40"/>
        </w:rPr>
        <w:t xml:space="preserve"> </w:t>
      </w:r>
      <w:r>
        <w:t>utilizados</w:t>
      </w:r>
      <w:r>
        <w:rPr>
          <w:spacing w:val="40"/>
        </w:rPr>
        <w:t xml:space="preserve"> </w:t>
      </w:r>
      <w:r>
        <w:t>por</w:t>
      </w:r>
      <w:r>
        <w:rPr>
          <w:spacing w:val="80"/>
          <w:w w:val="150"/>
        </w:rPr>
        <w:t xml:space="preserve"> </w:t>
      </w:r>
      <w:r>
        <w:t>pessoas jurídicas de direito privado prestadoras de serviço público</w:t>
      </w:r>
    </w:p>
    <w:p w:rsidR="007259F2" w:rsidRDefault="00E655B4">
      <w:pPr>
        <w:spacing w:before="202" w:line="242" w:lineRule="auto"/>
        <w:ind w:left="710" w:right="990"/>
        <w:rPr>
          <w:b/>
          <w:sz w:val="24"/>
        </w:rPr>
      </w:pPr>
      <w:r>
        <w:rPr>
          <w:b/>
          <w:sz w:val="24"/>
        </w:rPr>
        <w:t>Reciprocal</w:t>
      </w:r>
      <w:r>
        <w:rPr>
          <w:b/>
          <w:spacing w:val="40"/>
          <w:sz w:val="24"/>
        </w:rPr>
        <w:t xml:space="preserve"> </w:t>
      </w:r>
      <w:r>
        <w:rPr>
          <w:b/>
          <w:sz w:val="24"/>
        </w:rPr>
        <w:t>Tax</w:t>
      </w:r>
      <w:r>
        <w:rPr>
          <w:b/>
          <w:spacing w:val="40"/>
          <w:sz w:val="24"/>
        </w:rPr>
        <w:t xml:space="preserve"> </w:t>
      </w:r>
      <w:r>
        <w:rPr>
          <w:b/>
          <w:sz w:val="24"/>
        </w:rPr>
        <w:t>Immunity</w:t>
      </w:r>
      <w:r>
        <w:rPr>
          <w:b/>
          <w:spacing w:val="40"/>
          <w:sz w:val="24"/>
        </w:rPr>
        <w:t xml:space="preserve"> </w:t>
      </w:r>
      <w:r>
        <w:rPr>
          <w:b/>
          <w:sz w:val="24"/>
        </w:rPr>
        <w:t>to</w:t>
      </w:r>
      <w:r>
        <w:rPr>
          <w:b/>
          <w:spacing w:val="40"/>
          <w:sz w:val="24"/>
        </w:rPr>
        <w:t xml:space="preserve"> </w:t>
      </w:r>
      <w:r>
        <w:rPr>
          <w:b/>
          <w:sz w:val="24"/>
        </w:rPr>
        <w:t>IPTU</w:t>
      </w:r>
      <w:r>
        <w:rPr>
          <w:b/>
          <w:spacing w:val="40"/>
          <w:sz w:val="24"/>
        </w:rPr>
        <w:t xml:space="preserve"> </w:t>
      </w:r>
      <w:r>
        <w:rPr>
          <w:b/>
          <w:sz w:val="24"/>
        </w:rPr>
        <w:t>on</w:t>
      </w:r>
      <w:r>
        <w:rPr>
          <w:b/>
          <w:spacing w:val="40"/>
          <w:sz w:val="24"/>
        </w:rPr>
        <w:t xml:space="preserve"> </w:t>
      </w:r>
      <w:r>
        <w:rPr>
          <w:b/>
          <w:sz w:val="24"/>
        </w:rPr>
        <w:t>public</w:t>
      </w:r>
      <w:r>
        <w:rPr>
          <w:b/>
          <w:spacing w:val="40"/>
          <w:sz w:val="24"/>
        </w:rPr>
        <w:t xml:space="preserve"> </w:t>
      </w:r>
      <w:r>
        <w:rPr>
          <w:b/>
          <w:sz w:val="24"/>
        </w:rPr>
        <w:t>properties</w:t>
      </w:r>
      <w:r>
        <w:rPr>
          <w:b/>
          <w:spacing w:val="40"/>
          <w:sz w:val="24"/>
        </w:rPr>
        <w:t xml:space="preserve"> </w:t>
      </w:r>
      <w:r>
        <w:rPr>
          <w:b/>
          <w:sz w:val="24"/>
        </w:rPr>
        <w:t>used</w:t>
      </w:r>
      <w:r>
        <w:rPr>
          <w:b/>
          <w:spacing w:val="40"/>
          <w:sz w:val="24"/>
        </w:rPr>
        <w:t xml:space="preserve"> </w:t>
      </w:r>
      <w:r>
        <w:rPr>
          <w:b/>
          <w:sz w:val="24"/>
        </w:rPr>
        <w:t>by</w:t>
      </w:r>
      <w:r>
        <w:rPr>
          <w:b/>
          <w:spacing w:val="40"/>
          <w:sz w:val="24"/>
        </w:rPr>
        <w:t xml:space="preserve"> </w:t>
      </w:r>
      <w:r>
        <w:rPr>
          <w:b/>
          <w:sz w:val="24"/>
        </w:rPr>
        <w:t>legal</w:t>
      </w:r>
      <w:r>
        <w:rPr>
          <w:b/>
          <w:spacing w:val="40"/>
          <w:sz w:val="24"/>
        </w:rPr>
        <w:t xml:space="preserve"> </w:t>
      </w:r>
      <w:r>
        <w:rPr>
          <w:b/>
          <w:sz w:val="24"/>
        </w:rPr>
        <w:t>entities under private law providing public services</w:t>
      </w:r>
    </w:p>
    <w:p w:rsidR="007259F2" w:rsidRDefault="00E655B4">
      <w:pPr>
        <w:spacing w:before="196"/>
        <w:ind w:left="710"/>
        <w:rPr>
          <w:b/>
          <w:sz w:val="24"/>
        </w:rPr>
      </w:pPr>
      <w:r>
        <w:rPr>
          <w:b/>
          <w:sz w:val="24"/>
        </w:rPr>
        <w:t>Vitória</w:t>
      </w:r>
      <w:r>
        <w:rPr>
          <w:b/>
          <w:spacing w:val="-1"/>
          <w:sz w:val="24"/>
        </w:rPr>
        <w:t xml:space="preserve"> </w:t>
      </w:r>
      <w:r>
        <w:rPr>
          <w:b/>
          <w:sz w:val="24"/>
        </w:rPr>
        <w:t>de</w:t>
      </w:r>
      <w:r>
        <w:rPr>
          <w:b/>
          <w:spacing w:val="-2"/>
          <w:sz w:val="24"/>
        </w:rPr>
        <w:t xml:space="preserve"> </w:t>
      </w:r>
      <w:r>
        <w:rPr>
          <w:b/>
          <w:sz w:val="24"/>
        </w:rPr>
        <w:t>Melo</w:t>
      </w:r>
      <w:r>
        <w:rPr>
          <w:b/>
          <w:spacing w:val="2"/>
          <w:sz w:val="24"/>
        </w:rPr>
        <w:t xml:space="preserve"> </w:t>
      </w:r>
      <w:r>
        <w:rPr>
          <w:b/>
          <w:spacing w:val="-2"/>
          <w:sz w:val="24"/>
        </w:rPr>
        <w:t>Pereira</w:t>
      </w:r>
      <w:r>
        <w:rPr>
          <w:b/>
          <w:spacing w:val="-2"/>
          <w:sz w:val="24"/>
          <w:vertAlign w:val="superscript"/>
        </w:rPr>
        <w:t>1</w:t>
      </w:r>
    </w:p>
    <w:p w:rsidR="007259F2" w:rsidRDefault="007259F2">
      <w:pPr>
        <w:pStyle w:val="Corpodetexto"/>
        <w:ind w:left="0" w:firstLine="0"/>
        <w:jc w:val="left"/>
        <w:rPr>
          <w:b/>
        </w:rPr>
      </w:pPr>
    </w:p>
    <w:p w:rsidR="007259F2" w:rsidRDefault="007259F2">
      <w:pPr>
        <w:pStyle w:val="Corpodetexto"/>
        <w:spacing w:before="139"/>
        <w:ind w:left="0" w:firstLine="0"/>
        <w:jc w:val="left"/>
        <w:rPr>
          <w:b/>
        </w:rPr>
      </w:pPr>
    </w:p>
    <w:p w:rsidR="007259F2" w:rsidRDefault="00E655B4">
      <w:pPr>
        <w:ind w:left="710"/>
        <w:rPr>
          <w:b/>
        </w:rPr>
      </w:pPr>
      <w:r>
        <w:rPr>
          <w:b/>
          <w:spacing w:val="-2"/>
        </w:rPr>
        <w:t>RESUMO</w:t>
      </w:r>
    </w:p>
    <w:p w:rsidR="007259F2" w:rsidRDefault="00E655B4">
      <w:pPr>
        <w:spacing w:before="153"/>
        <w:ind w:left="710" w:right="991"/>
        <w:jc w:val="both"/>
      </w:pPr>
      <w:r>
        <w:t>O presente estudo se propõe a analisar a imunidade tributária recíproca, especialmente considerando a incidência do Imposto sobre a Propriedade Predial e Territorial Urbana (IPTU) em imóveis públicos cedidos a pessoas jurídicas de direito privado, tais como empresas estatais</w:t>
      </w:r>
      <w:r>
        <w:rPr>
          <w:spacing w:val="40"/>
        </w:rPr>
        <w:t xml:space="preserve"> </w:t>
      </w:r>
      <w:r>
        <w:t>e sociedades de economia mista, que atuam como prestadoras de serviço público. A análise aborda a distinção jurisprudencial entre empresas que prestam serviços públicos e àquelas que exercem atividade econômica. Ao longo deste estudo, observa-se que tanto a doutrina quanto a jurisprudência do Supremo Tribunal Federal (STF) têm, nos últimos anos, enfatizado essa diferenciação, considerando a natureza das atividades desempenhadas pelas empresas em imóveis públicos como critério essencial para a aplicação da imunidade tributária prevista no artigo 150, inciso VI, alínea 'a' da Constituição Federal.</w:t>
      </w:r>
    </w:p>
    <w:p w:rsidR="007259F2" w:rsidRDefault="00E655B4">
      <w:pPr>
        <w:spacing w:before="120"/>
        <w:ind w:left="710"/>
        <w:jc w:val="both"/>
      </w:pPr>
      <w:r>
        <w:rPr>
          <w:b/>
        </w:rPr>
        <w:t>Palavras-chave</w:t>
      </w:r>
      <w:r>
        <w:t>:</w:t>
      </w:r>
      <w:r>
        <w:rPr>
          <w:spacing w:val="-7"/>
        </w:rPr>
        <w:t xml:space="preserve"> </w:t>
      </w:r>
      <w:r>
        <w:t>IPTU;</w:t>
      </w:r>
      <w:r>
        <w:rPr>
          <w:spacing w:val="-5"/>
        </w:rPr>
        <w:t xml:space="preserve"> </w:t>
      </w:r>
      <w:r>
        <w:t>imunidade;</w:t>
      </w:r>
      <w:r>
        <w:rPr>
          <w:spacing w:val="-8"/>
        </w:rPr>
        <w:t xml:space="preserve"> </w:t>
      </w:r>
      <w:r>
        <w:t>serviços</w:t>
      </w:r>
      <w:r>
        <w:rPr>
          <w:spacing w:val="-6"/>
        </w:rPr>
        <w:t xml:space="preserve"> </w:t>
      </w:r>
      <w:r>
        <w:t>públicos;</w:t>
      </w:r>
      <w:r>
        <w:rPr>
          <w:spacing w:val="-8"/>
        </w:rPr>
        <w:t xml:space="preserve"> </w:t>
      </w:r>
      <w:r>
        <w:t>empresas</w:t>
      </w:r>
      <w:r>
        <w:rPr>
          <w:spacing w:val="-5"/>
        </w:rPr>
        <w:t xml:space="preserve"> </w:t>
      </w:r>
      <w:r>
        <w:rPr>
          <w:spacing w:val="-2"/>
        </w:rPr>
        <w:t>estatais.</w:t>
      </w:r>
    </w:p>
    <w:p w:rsidR="007259F2" w:rsidRDefault="007259F2">
      <w:pPr>
        <w:pStyle w:val="Corpodetexto"/>
        <w:ind w:left="0" w:firstLine="0"/>
        <w:jc w:val="left"/>
        <w:rPr>
          <w:sz w:val="22"/>
        </w:rPr>
      </w:pPr>
    </w:p>
    <w:p w:rsidR="007259F2" w:rsidRDefault="007259F2">
      <w:pPr>
        <w:pStyle w:val="Corpodetexto"/>
        <w:spacing w:before="148"/>
        <w:ind w:left="0" w:firstLine="0"/>
        <w:jc w:val="left"/>
        <w:rPr>
          <w:sz w:val="22"/>
        </w:rPr>
      </w:pPr>
    </w:p>
    <w:p w:rsidR="007259F2" w:rsidRDefault="00E655B4">
      <w:pPr>
        <w:ind w:left="710"/>
        <w:rPr>
          <w:b/>
        </w:rPr>
      </w:pPr>
      <w:r>
        <w:rPr>
          <w:b/>
          <w:spacing w:val="-2"/>
        </w:rPr>
        <w:t>ABSTRACT</w:t>
      </w:r>
    </w:p>
    <w:p w:rsidR="007259F2" w:rsidRDefault="00E655B4">
      <w:pPr>
        <w:spacing w:before="153"/>
        <w:ind w:left="710" w:right="989"/>
        <w:jc w:val="both"/>
      </w:pPr>
      <w:r>
        <w:t>This present study aims to analyze recíprocal tax immunity, particularly considering the incidence of the Urban Property</w:t>
      </w:r>
      <w:r>
        <w:rPr>
          <w:spacing w:val="-2"/>
        </w:rPr>
        <w:t xml:space="preserve"> </w:t>
      </w:r>
      <w:r>
        <w:t>Tax (IPTU) on public properties leased to private legal entities, such as state-owned enterprises and mixed-capital companies, operating as public service providers. The analysis delves into the jurisprudential distinction between companies rendering public services and those engaged in economic activities. Throughout this study, it is evident that both doctrine and the jurisprudence of the Supreme Federal Court (STF) have, in recent years, emphasized this differentiation, considering the nature of activities carried out by companies on public properties as an essential criterion for the application of tax immunity as provided in Article 150, Section VI, Clause 'a' of the Federal Constitution.</w:t>
      </w:r>
    </w:p>
    <w:p w:rsidR="007259F2" w:rsidRDefault="00E655B4">
      <w:pPr>
        <w:spacing w:before="121"/>
        <w:ind w:left="710"/>
        <w:jc w:val="both"/>
      </w:pPr>
      <w:r>
        <w:rPr>
          <w:b/>
        </w:rPr>
        <w:t>Keywords:</w:t>
      </w:r>
      <w:r>
        <w:rPr>
          <w:b/>
          <w:spacing w:val="-5"/>
        </w:rPr>
        <w:t xml:space="preserve"> </w:t>
      </w:r>
      <w:r>
        <w:t>IPTU;</w:t>
      </w:r>
      <w:r>
        <w:rPr>
          <w:spacing w:val="-7"/>
        </w:rPr>
        <w:t xml:space="preserve"> </w:t>
      </w:r>
      <w:r>
        <w:t>immunity;</w:t>
      </w:r>
      <w:r>
        <w:rPr>
          <w:spacing w:val="-4"/>
        </w:rPr>
        <w:t xml:space="preserve"> </w:t>
      </w:r>
      <w:r>
        <w:t>public</w:t>
      </w:r>
      <w:r>
        <w:rPr>
          <w:spacing w:val="-6"/>
        </w:rPr>
        <w:t xml:space="preserve"> </w:t>
      </w:r>
      <w:r>
        <w:t>services,</w:t>
      </w:r>
      <w:r>
        <w:rPr>
          <w:spacing w:val="-5"/>
        </w:rPr>
        <w:t xml:space="preserve"> </w:t>
      </w:r>
      <w:r>
        <w:t>state-owned</w:t>
      </w:r>
      <w:r>
        <w:rPr>
          <w:spacing w:val="-5"/>
        </w:rPr>
        <w:t xml:space="preserve"> </w:t>
      </w:r>
      <w:r>
        <w:rPr>
          <w:spacing w:val="-2"/>
        </w:rPr>
        <w:t>company.</w:t>
      </w:r>
    </w:p>
    <w:p w:rsidR="007259F2" w:rsidRDefault="007259F2">
      <w:pPr>
        <w:pStyle w:val="Corpodetexto"/>
        <w:ind w:left="0" w:firstLine="0"/>
        <w:jc w:val="left"/>
        <w:rPr>
          <w:sz w:val="22"/>
        </w:rPr>
      </w:pPr>
    </w:p>
    <w:p w:rsidR="007259F2" w:rsidRDefault="007259F2">
      <w:pPr>
        <w:pStyle w:val="Corpodetexto"/>
        <w:spacing w:before="149"/>
        <w:ind w:left="0" w:firstLine="0"/>
        <w:jc w:val="left"/>
        <w:rPr>
          <w:sz w:val="22"/>
        </w:rPr>
      </w:pPr>
    </w:p>
    <w:p w:rsidR="007259F2" w:rsidRDefault="00E655B4">
      <w:pPr>
        <w:pStyle w:val="PargrafodaLista"/>
        <w:numPr>
          <w:ilvl w:val="0"/>
          <w:numId w:val="12"/>
        </w:numPr>
        <w:tabs>
          <w:tab w:val="left" w:pos="930"/>
        </w:tabs>
        <w:ind w:hanging="220"/>
        <w:rPr>
          <w:b/>
        </w:rPr>
      </w:pPr>
      <w:r>
        <w:rPr>
          <w:b/>
          <w:spacing w:val="-2"/>
        </w:rPr>
        <w:t>Introdução</w:t>
      </w:r>
    </w:p>
    <w:p w:rsidR="007259F2" w:rsidRDefault="00E655B4">
      <w:pPr>
        <w:pStyle w:val="Corpodetexto"/>
        <w:spacing w:before="151"/>
        <w:ind w:right="992"/>
      </w:pPr>
      <w:r>
        <w:t>Neste estudo, será analisado o conceito da imunidade tributária recíproca, conforme estabelecido no artigo 150, inciso VI, alínea “a” da Constituição Federal, juntamente com sua aplicação no contexto da incidência do Imposto sobre a</w:t>
      </w:r>
      <w:r>
        <w:rPr>
          <w:spacing w:val="40"/>
        </w:rPr>
        <w:t xml:space="preserve"> </w:t>
      </w:r>
      <w:r>
        <w:t>Propriedade Predial e Territorial Urbana (IPTU) sobre imóveis públicos utilizados por entidades de direito privado, como empresas públicas e sociedades de economia mista, tendo como foco a utilização desses imóveis públicos para a oferta de serviços de natureza pública.</w:t>
      </w:r>
    </w:p>
    <w:p w:rsidR="007259F2" w:rsidRDefault="007259F2">
      <w:pPr>
        <w:pStyle w:val="Corpodetexto"/>
        <w:ind w:left="0" w:firstLine="0"/>
        <w:jc w:val="left"/>
        <w:rPr>
          <w:sz w:val="20"/>
        </w:rPr>
      </w:pPr>
    </w:p>
    <w:p w:rsidR="007259F2" w:rsidRDefault="007259F2">
      <w:pPr>
        <w:pStyle w:val="Corpodetexto"/>
        <w:ind w:left="0" w:firstLine="0"/>
        <w:jc w:val="left"/>
        <w:rPr>
          <w:sz w:val="20"/>
        </w:rPr>
      </w:pPr>
    </w:p>
    <w:p w:rsidR="007259F2" w:rsidRDefault="00DE6B1C">
      <w:pPr>
        <w:pStyle w:val="Corpodetexto"/>
        <w:spacing w:before="4"/>
        <w:ind w:left="0" w:firstLine="0"/>
        <w:jc w:val="left"/>
        <w:rPr>
          <w:sz w:val="20"/>
        </w:rPr>
      </w:pPr>
      <w:r w:rsidRPr="00DE6B1C">
        <w:rPr>
          <w:sz w:val="20"/>
        </w:rPr>
        <w:pict>
          <v:rect id="docshape184" o:spid="_x0000_s1047" style="position:absolute;margin-left:85.1pt;margin-top:12.95pt;width:2in;height:.7pt;z-index:-15645184;mso-wrap-distance-left:0;mso-wrap-distance-right:0;mso-position-horizontal-relative:page" fillcolor="black" stroked="f">
            <w10:wrap type="topAndBottom" anchorx="page"/>
          </v:rect>
        </w:pict>
      </w:r>
    </w:p>
    <w:p w:rsidR="007259F2" w:rsidRDefault="00E655B4">
      <w:pPr>
        <w:spacing w:before="97"/>
        <w:ind w:left="710" w:right="989"/>
        <w:jc w:val="both"/>
        <w:rPr>
          <w:sz w:val="20"/>
        </w:rPr>
      </w:pPr>
      <w:r>
        <w:rPr>
          <w:sz w:val="20"/>
          <w:vertAlign w:val="superscript"/>
        </w:rPr>
        <w:t>1</w:t>
      </w:r>
      <w:r>
        <w:rPr>
          <w:sz w:val="20"/>
        </w:rPr>
        <w:t xml:space="preserve"> Residente Jurídica do Programa de Residência Jurídica da Procuradoria Geral do Município de São Paulo, alocada na Secretaria Municipal da Saúde – SMS (2022-2025). E-mail: </w:t>
      </w:r>
      <w:hyperlink r:id="rId383">
        <w:r>
          <w:rPr>
            <w:color w:val="232323"/>
            <w:spacing w:val="-2"/>
            <w:sz w:val="20"/>
          </w:rPr>
          <w:t>vitoriademelo.97@outlook.com</w:t>
        </w:r>
      </w:hyperlink>
    </w:p>
    <w:p w:rsidR="007259F2" w:rsidRDefault="007259F2">
      <w:pPr>
        <w:jc w:val="both"/>
        <w:rPr>
          <w:sz w:val="20"/>
        </w:rPr>
        <w:sectPr w:rsidR="007259F2">
          <w:footerReference w:type="default" r:id="rId384"/>
          <w:pgSz w:w="11910" w:h="16840"/>
          <w:pgMar w:top="1320" w:right="708" w:bottom="1160" w:left="992" w:header="0" w:footer="962" w:gutter="0"/>
          <w:cols w:space="720"/>
        </w:sectPr>
      </w:pPr>
    </w:p>
    <w:p w:rsidR="007259F2" w:rsidRDefault="00E655B4">
      <w:pPr>
        <w:pStyle w:val="Corpodetexto"/>
        <w:spacing w:before="69"/>
        <w:ind w:right="994"/>
      </w:pPr>
      <w:r>
        <w:lastRenderedPageBreak/>
        <w:t>Dessa forma, inicialmente, de forma a fundamentar a análise jurídica do tema, será apresentada a conceituação do IPTU, seus aspectos gerais, bem como o sujeito</w:t>
      </w:r>
      <w:r>
        <w:rPr>
          <w:spacing w:val="40"/>
        </w:rPr>
        <w:t xml:space="preserve"> </w:t>
      </w:r>
      <w:r>
        <w:t>ativo e passivo desse tributo.</w:t>
      </w:r>
    </w:p>
    <w:p w:rsidR="007259F2" w:rsidRDefault="00E655B4">
      <w:pPr>
        <w:pStyle w:val="Corpodetexto"/>
        <w:spacing w:before="1"/>
        <w:ind w:right="991"/>
      </w:pPr>
      <w:r>
        <w:t>Sobre</w:t>
      </w:r>
      <w:r>
        <w:rPr>
          <w:spacing w:val="-3"/>
        </w:rPr>
        <w:t xml:space="preserve"> </w:t>
      </w:r>
      <w:r>
        <w:t>a</w:t>
      </w:r>
      <w:r>
        <w:rPr>
          <w:spacing w:val="-2"/>
        </w:rPr>
        <w:t xml:space="preserve"> </w:t>
      </w:r>
      <w:r>
        <w:t>imunidade</w:t>
      </w:r>
      <w:r>
        <w:rPr>
          <w:spacing w:val="-3"/>
        </w:rPr>
        <w:t xml:space="preserve"> </w:t>
      </w:r>
      <w:r>
        <w:t>tributária,</w:t>
      </w:r>
      <w:r>
        <w:rPr>
          <w:spacing w:val="-1"/>
        </w:rPr>
        <w:t xml:space="preserve"> </w:t>
      </w:r>
      <w:r>
        <w:t>objeto</w:t>
      </w:r>
      <w:r>
        <w:rPr>
          <w:spacing w:val="-1"/>
        </w:rPr>
        <w:t xml:space="preserve"> </w:t>
      </w:r>
      <w:r>
        <w:t>balizador</w:t>
      </w:r>
      <w:r>
        <w:rPr>
          <w:spacing w:val="-2"/>
        </w:rPr>
        <w:t xml:space="preserve"> </w:t>
      </w:r>
      <w:r>
        <w:t>do</w:t>
      </w:r>
      <w:r>
        <w:rPr>
          <w:spacing w:val="-1"/>
        </w:rPr>
        <w:t xml:space="preserve"> </w:t>
      </w:r>
      <w:r>
        <w:t>presente</w:t>
      </w:r>
      <w:r>
        <w:rPr>
          <w:spacing w:val="-2"/>
        </w:rPr>
        <w:t xml:space="preserve"> </w:t>
      </w:r>
      <w:r>
        <w:t>artigo,</w:t>
      </w:r>
      <w:r>
        <w:rPr>
          <w:spacing w:val="-1"/>
        </w:rPr>
        <w:t xml:space="preserve"> </w:t>
      </w:r>
      <w:r>
        <w:t>será</w:t>
      </w:r>
      <w:r>
        <w:rPr>
          <w:spacing w:val="-2"/>
        </w:rPr>
        <w:t xml:space="preserve"> </w:t>
      </w:r>
      <w:r>
        <w:t>dedicada</w:t>
      </w:r>
      <w:r>
        <w:rPr>
          <w:spacing w:val="-2"/>
        </w:rPr>
        <w:t xml:space="preserve"> </w:t>
      </w:r>
      <w:r>
        <w:t>a maior parte deste trabalho, passando pelo conceito de imunidade tributária no geral, prevista no art. 150, VI da Constituição Federal, e depois, passaremos ao objeto principal</w:t>
      </w:r>
      <w:r>
        <w:rPr>
          <w:spacing w:val="-1"/>
        </w:rPr>
        <w:t xml:space="preserve"> </w:t>
      </w:r>
      <w:r>
        <w:t>do</w:t>
      </w:r>
      <w:r>
        <w:rPr>
          <w:spacing w:val="-1"/>
        </w:rPr>
        <w:t xml:space="preserve"> </w:t>
      </w:r>
      <w:r>
        <w:t>estudo,</w:t>
      </w:r>
      <w:r>
        <w:rPr>
          <w:spacing w:val="-1"/>
        </w:rPr>
        <w:t xml:space="preserve"> </w:t>
      </w:r>
      <w:r>
        <w:t>qual</w:t>
      </w:r>
      <w:r>
        <w:rPr>
          <w:spacing w:val="-1"/>
        </w:rPr>
        <w:t xml:space="preserve"> </w:t>
      </w:r>
      <w:r>
        <w:t>seja,</w:t>
      </w:r>
      <w:r>
        <w:rPr>
          <w:spacing w:val="-2"/>
        </w:rPr>
        <w:t xml:space="preserve"> </w:t>
      </w:r>
      <w:r>
        <w:t>a</w:t>
      </w:r>
      <w:r>
        <w:rPr>
          <w:spacing w:val="-2"/>
        </w:rPr>
        <w:t xml:space="preserve"> </w:t>
      </w:r>
      <w:r>
        <w:t>imunidade</w:t>
      </w:r>
      <w:r>
        <w:rPr>
          <w:spacing w:val="-2"/>
        </w:rPr>
        <w:t xml:space="preserve"> </w:t>
      </w:r>
      <w:r>
        <w:t>tributária</w:t>
      </w:r>
      <w:r>
        <w:rPr>
          <w:spacing w:val="-2"/>
        </w:rPr>
        <w:t xml:space="preserve"> </w:t>
      </w:r>
      <w:r>
        <w:t>recíproca,</w:t>
      </w:r>
      <w:r>
        <w:rPr>
          <w:spacing w:val="-1"/>
        </w:rPr>
        <w:t xml:space="preserve"> </w:t>
      </w:r>
      <w:r>
        <w:t>prevista</w:t>
      </w:r>
      <w:r>
        <w:rPr>
          <w:spacing w:val="-2"/>
        </w:rPr>
        <w:t xml:space="preserve"> </w:t>
      </w:r>
      <w:r>
        <w:t>na alínea</w:t>
      </w:r>
      <w:r>
        <w:rPr>
          <w:spacing w:val="-2"/>
        </w:rPr>
        <w:t xml:space="preserve"> </w:t>
      </w:r>
      <w:r>
        <w:t>“a”</w:t>
      </w:r>
      <w:r>
        <w:rPr>
          <w:spacing w:val="-2"/>
        </w:rPr>
        <w:t xml:space="preserve"> </w:t>
      </w:r>
      <w:r>
        <w:t>do referido artigo de lei.</w:t>
      </w:r>
    </w:p>
    <w:p w:rsidR="007259F2" w:rsidRDefault="00E655B4">
      <w:pPr>
        <w:pStyle w:val="Corpodetexto"/>
        <w:ind w:right="993"/>
      </w:pPr>
      <w:r>
        <w:t>A imunidade tributária recíproca é uma norma constitucional, prevista no art. 150, VI, alínea “a” da Constituição Federal, que proíbe a União, Estados, Distrito Federal e Municípios de instituírem impostos sobre o patrimônio, a renda ou serviços uns dos outros. O objeto dessa norma nada mais é do que primeiramente respeitar o pacto federativo, bem como impedir que a cobrança de impostos de um ente para outro possa prejudicar a consecução das finalidades públicas.</w:t>
      </w:r>
    </w:p>
    <w:p w:rsidR="007259F2" w:rsidRDefault="00E655B4">
      <w:pPr>
        <w:pStyle w:val="Corpodetexto"/>
        <w:spacing w:before="1"/>
        <w:ind w:right="989"/>
      </w:pPr>
      <w:r>
        <w:t xml:space="preserve">Tratando-se das empresas estatais, o art. 150, §3º da CF prevê que a imunidade recíproca não se aplica ao patrimônio, rendas e serviços relacionados com a exploração de atividades econômicas regidas pelas normas aplicáveis a empreendimentos privados. Entretanto, como veremos nos capítulos finais do presente trabalho, a doutrina e a jurisprudência do Supremo Tribunal Federal passaram a entender que, se a administração pública opta por descentralizar a realização de serviços públicos para empresas estatais, nada mais justo do que também ser estendido a elas a norma imunizante, pois atuam essas pessoas jurídicas como verdadeiras longa manus do </w:t>
      </w:r>
      <w:r>
        <w:rPr>
          <w:spacing w:val="-2"/>
        </w:rPr>
        <w:t>Estado.</w:t>
      </w:r>
    </w:p>
    <w:p w:rsidR="007259F2" w:rsidRDefault="00E655B4">
      <w:pPr>
        <w:pStyle w:val="Corpodetexto"/>
        <w:ind w:right="996"/>
      </w:pPr>
      <w:r>
        <w:t>Nesse contexto, abordaremos a maneira como empresas estatais e sociedades de economia mista operam no âmbito econômico em comparação com sua atuação na prestação de serviços públicos. Também exploraremos como o uso de imóveis públicos por essas entidades, concedidos pelos órgãos públicos, é crucial para determinar se haverá ou não aplicação da imunidade tributária recíproca.</w:t>
      </w:r>
    </w:p>
    <w:p w:rsidR="007259F2" w:rsidRDefault="00E655B4">
      <w:pPr>
        <w:pStyle w:val="Corpodetexto"/>
        <w:ind w:right="986"/>
      </w:pPr>
      <w:r>
        <w:t>Por fim, defendido a aplicação da norma imunizante às pessoas jurídicas de direito privado utilizadoras de imóvel público na</w:t>
      </w:r>
      <w:r>
        <w:rPr>
          <w:spacing w:val="-2"/>
        </w:rPr>
        <w:t xml:space="preserve"> </w:t>
      </w:r>
      <w:r>
        <w:t>realização de serviços públicos, busca- se evidenciar que essas atividades são essenciais para garantir um nível mínimo de dignidade</w:t>
      </w:r>
      <w:r>
        <w:rPr>
          <w:spacing w:val="-3"/>
        </w:rPr>
        <w:t xml:space="preserve"> </w:t>
      </w:r>
      <w:r>
        <w:t>para</w:t>
      </w:r>
      <w:r>
        <w:rPr>
          <w:spacing w:val="-3"/>
        </w:rPr>
        <w:t xml:space="preserve"> </w:t>
      </w:r>
      <w:r>
        <w:t>todos.</w:t>
      </w:r>
      <w:r>
        <w:rPr>
          <w:spacing w:val="-15"/>
        </w:rPr>
        <w:t xml:space="preserve"> </w:t>
      </w:r>
      <w:r>
        <w:t>Além</w:t>
      </w:r>
      <w:r>
        <w:rPr>
          <w:spacing w:val="-1"/>
        </w:rPr>
        <w:t xml:space="preserve"> </w:t>
      </w:r>
      <w:r>
        <w:t>disso,</w:t>
      </w:r>
      <w:r>
        <w:rPr>
          <w:spacing w:val="-1"/>
        </w:rPr>
        <w:t xml:space="preserve"> </w:t>
      </w:r>
      <w:r>
        <w:t>são</w:t>
      </w:r>
      <w:r>
        <w:rPr>
          <w:spacing w:val="-1"/>
        </w:rPr>
        <w:t xml:space="preserve"> </w:t>
      </w:r>
      <w:r>
        <w:t>responsabilidades</w:t>
      </w:r>
      <w:r>
        <w:rPr>
          <w:spacing w:val="-1"/>
        </w:rPr>
        <w:t xml:space="preserve"> </w:t>
      </w:r>
      <w:r>
        <w:t>obrigatórias</w:t>
      </w:r>
      <w:r>
        <w:rPr>
          <w:spacing w:val="-1"/>
        </w:rPr>
        <w:t xml:space="preserve"> </w:t>
      </w:r>
      <w:r>
        <w:t>do</w:t>
      </w:r>
      <w:r>
        <w:rPr>
          <w:spacing w:val="-1"/>
        </w:rPr>
        <w:t xml:space="preserve"> </w:t>
      </w:r>
      <w:r>
        <w:t>Estado,</w:t>
      </w:r>
      <w:r>
        <w:rPr>
          <w:spacing w:val="-2"/>
        </w:rPr>
        <w:t xml:space="preserve"> </w:t>
      </w:r>
      <w:r>
        <w:t>visando garantir a efetivação dos direitos fundamentais e, por esse motivo, estes serviços não devem ser tributados, já que, por meio do fenômeno da repercussão tributária, o custo</w:t>
      </w:r>
      <w:r>
        <w:rPr>
          <w:spacing w:val="80"/>
        </w:rPr>
        <w:t xml:space="preserve"> </w:t>
      </w:r>
      <w:r>
        <w:t>da</w:t>
      </w:r>
      <w:r>
        <w:rPr>
          <w:spacing w:val="-4"/>
        </w:rPr>
        <w:t xml:space="preserve"> </w:t>
      </w:r>
      <w:r>
        <w:t>tributação</w:t>
      </w:r>
      <w:r>
        <w:rPr>
          <w:spacing w:val="-1"/>
        </w:rPr>
        <w:t xml:space="preserve"> </w:t>
      </w:r>
      <w:r>
        <w:t>acabará</w:t>
      </w:r>
      <w:r>
        <w:rPr>
          <w:spacing w:val="-4"/>
        </w:rPr>
        <w:t xml:space="preserve"> </w:t>
      </w:r>
      <w:r>
        <w:t>recaindo</w:t>
      </w:r>
      <w:r>
        <w:rPr>
          <w:spacing w:val="-3"/>
        </w:rPr>
        <w:t xml:space="preserve"> </w:t>
      </w:r>
      <w:r>
        <w:t>sobre</w:t>
      </w:r>
      <w:r>
        <w:rPr>
          <w:spacing w:val="-5"/>
        </w:rPr>
        <w:t xml:space="preserve"> </w:t>
      </w:r>
      <w:r>
        <w:t>o</w:t>
      </w:r>
      <w:r>
        <w:rPr>
          <w:spacing w:val="-3"/>
        </w:rPr>
        <w:t xml:space="preserve"> </w:t>
      </w:r>
      <w:r>
        <w:t>verdadeiro</w:t>
      </w:r>
      <w:r>
        <w:rPr>
          <w:spacing w:val="-2"/>
        </w:rPr>
        <w:t xml:space="preserve"> </w:t>
      </w:r>
      <w:r>
        <w:t>pagador,</w:t>
      </w:r>
      <w:r>
        <w:rPr>
          <w:spacing w:val="-3"/>
        </w:rPr>
        <w:t xml:space="preserve"> </w:t>
      </w:r>
      <w:r>
        <w:t>ou</w:t>
      </w:r>
      <w:r>
        <w:rPr>
          <w:spacing w:val="-3"/>
        </w:rPr>
        <w:t xml:space="preserve"> </w:t>
      </w:r>
      <w:r>
        <w:t>seja,</w:t>
      </w:r>
      <w:r>
        <w:rPr>
          <w:spacing w:val="-3"/>
        </w:rPr>
        <w:t xml:space="preserve"> </w:t>
      </w:r>
      <w:r>
        <w:t>o</w:t>
      </w:r>
      <w:r>
        <w:rPr>
          <w:spacing w:val="-2"/>
        </w:rPr>
        <w:t xml:space="preserve"> </w:t>
      </w:r>
      <w:r>
        <w:t>cidadão</w:t>
      </w:r>
      <w:r>
        <w:rPr>
          <w:spacing w:val="-3"/>
        </w:rPr>
        <w:t xml:space="preserve"> </w:t>
      </w:r>
      <w:r>
        <w:t>que</w:t>
      </w:r>
      <w:r>
        <w:rPr>
          <w:spacing w:val="-4"/>
        </w:rPr>
        <w:t xml:space="preserve"> </w:t>
      </w:r>
      <w:r>
        <w:t>utiliza esses serviços.</w:t>
      </w:r>
    </w:p>
    <w:p w:rsidR="007259F2" w:rsidRDefault="00E655B4">
      <w:pPr>
        <w:pStyle w:val="PargrafodaLista"/>
        <w:numPr>
          <w:ilvl w:val="0"/>
          <w:numId w:val="12"/>
        </w:numPr>
        <w:tabs>
          <w:tab w:val="left" w:pos="930"/>
        </w:tabs>
        <w:spacing w:before="207"/>
        <w:ind w:hanging="220"/>
        <w:rPr>
          <w:b/>
        </w:rPr>
      </w:pPr>
      <w:r>
        <w:rPr>
          <w:b/>
        </w:rPr>
        <w:t>Imposto</w:t>
      </w:r>
      <w:r>
        <w:rPr>
          <w:b/>
          <w:spacing w:val="-8"/>
        </w:rPr>
        <w:t xml:space="preserve"> </w:t>
      </w:r>
      <w:r>
        <w:rPr>
          <w:b/>
        </w:rPr>
        <w:t>Predial</w:t>
      </w:r>
      <w:r>
        <w:rPr>
          <w:b/>
          <w:spacing w:val="-4"/>
        </w:rPr>
        <w:t xml:space="preserve"> </w:t>
      </w:r>
      <w:r>
        <w:rPr>
          <w:b/>
        </w:rPr>
        <w:t>e</w:t>
      </w:r>
      <w:r>
        <w:rPr>
          <w:b/>
          <w:spacing w:val="-3"/>
        </w:rPr>
        <w:t xml:space="preserve"> </w:t>
      </w:r>
      <w:r>
        <w:rPr>
          <w:b/>
        </w:rPr>
        <w:t>Territorial</w:t>
      </w:r>
      <w:r>
        <w:rPr>
          <w:b/>
          <w:spacing w:val="-1"/>
        </w:rPr>
        <w:t xml:space="preserve"> </w:t>
      </w:r>
      <w:r>
        <w:rPr>
          <w:b/>
        </w:rPr>
        <w:t>Urbano</w:t>
      </w:r>
      <w:r>
        <w:rPr>
          <w:b/>
          <w:spacing w:val="-1"/>
        </w:rPr>
        <w:t xml:space="preserve"> </w:t>
      </w:r>
      <w:r>
        <w:rPr>
          <w:b/>
        </w:rPr>
        <w:t>–</w:t>
      </w:r>
      <w:r>
        <w:rPr>
          <w:b/>
          <w:spacing w:val="-2"/>
        </w:rPr>
        <w:t xml:space="preserve"> </w:t>
      </w:r>
      <w:r>
        <w:rPr>
          <w:b/>
          <w:spacing w:val="-4"/>
        </w:rPr>
        <w:t>IPTU</w:t>
      </w:r>
    </w:p>
    <w:p w:rsidR="007259F2" w:rsidRDefault="00E655B4">
      <w:pPr>
        <w:pStyle w:val="PargrafodaLista"/>
        <w:numPr>
          <w:ilvl w:val="1"/>
          <w:numId w:val="12"/>
        </w:numPr>
        <w:tabs>
          <w:tab w:val="left" w:pos="1096"/>
        </w:tabs>
        <w:spacing w:before="160"/>
        <w:ind w:left="1096" w:hanging="386"/>
        <w:rPr>
          <w:b/>
        </w:rPr>
      </w:pPr>
      <w:r>
        <w:rPr>
          <w:b/>
        </w:rPr>
        <w:t>Aspectos</w:t>
      </w:r>
      <w:r>
        <w:rPr>
          <w:b/>
          <w:spacing w:val="-4"/>
        </w:rPr>
        <w:t xml:space="preserve"> </w:t>
      </w:r>
      <w:r>
        <w:rPr>
          <w:b/>
          <w:spacing w:val="-2"/>
        </w:rPr>
        <w:t>Gerais</w:t>
      </w:r>
    </w:p>
    <w:p w:rsidR="007259F2" w:rsidRDefault="00E655B4">
      <w:pPr>
        <w:pStyle w:val="Corpodetexto"/>
        <w:spacing w:before="151"/>
        <w:ind w:right="996"/>
      </w:pPr>
      <w:r>
        <w:t>O IPTU está previsto no art. 156, I da Constituição Federal, sendo um imposto</w:t>
      </w:r>
      <w:r>
        <w:rPr>
          <w:spacing w:val="40"/>
        </w:rPr>
        <w:t xml:space="preserve"> </w:t>
      </w:r>
      <w:r>
        <w:t>de competência Municipal, incidindo sobre o imóvel que se encontre em área urbana, considerando a propriedade edificada ou não edificada.</w:t>
      </w:r>
    </w:p>
    <w:p w:rsidR="007259F2" w:rsidRDefault="00E655B4">
      <w:pPr>
        <w:pStyle w:val="Corpodetexto"/>
        <w:ind w:right="991"/>
      </w:pPr>
      <w:r>
        <w:t>No plano infraconstitucional, o IPTU é regulado por cada uma das leis municipais que o institui, bem como no artigo 32 do Código Tributário Nacional, tendo como fato gerador a propriedade, o domínio útil ou a posse de bem imóvel. Sua incidência ocorre anualmente, dando ao contribuinte a possibilidade de parcelamento.</w:t>
      </w:r>
    </w:p>
    <w:p w:rsidR="007259F2" w:rsidRDefault="00E655B4">
      <w:pPr>
        <w:ind w:left="710" w:right="991" w:firstLine="707"/>
        <w:jc w:val="both"/>
        <w:rPr>
          <w:sz w:val="24"/>
        </w:rPr>
      </w:pPr>
      <w:r>
        <w:rPr>
          <w:sz w:val="24"/>
        </w:rPr>
        <w:t>De acordo com Hugo de Brito Machado “</w:t>
      </w:r>
      <w:r>
        <w:rPr>
          <w:i/>
          <w:sz w:val="24"/>
        </w:rPr>
        <w:t>A função do imposto sobre a propriedade predial e territorial urbana é tipicamente fiscal. Seu objetivo primordial é a</w:t>
      </w:r>
      <w:r>
        <w:rPr>
          <w:i/>
          <w:spacing w:val="-2"/>
          <w:sz w:val="24"/>
        </w:rPr>
        <w:t xml:space="preserve"> </w:t>
      </w:r>
      <w:r>
        <w:rPr>
          <w:i/>
          <w:sz w:val="24"/>
        </w:rPr>
        <w:t>obtenção</w:t>
      </w:r>
      <w:r>
        <w:rPr>
          <w:i/>
          <w:spacing w:val="-2"/>
          <w:sz w:val="24"/>
        </w:rPr>
        <w:t xml:space="preserve"> </w:t>
      </w:r>
      <w:r>
        <w:rPr>
          <w:i/>
          <w:sz w:val="24"/>
        </w:rPr>
        <w:t>de</w:t>
      </w:r>
      <w:r>
        <w:rPr>
          <w:i/>
          <w:spacing w:val="-3"/>
          <w:sz w:val="24"/>
        </w:rPr>
        <w:t xml:space="preserve"> </w:t>
      </w:r>
      <w:r>
        <w:rPr>
          <w:i/>
          <w:sz w:val="24"/>
        </w:rPr>
        <w:t>recursos</w:t>
      </w:r>
      <w:r>
        <w:rPr>
          <w:i/>
          <w:spacing w:val="-2"/>
          <w:sz w:val="24"/>
        </w:rPr>
        <w:t xml:space="preserve"> </w:t>
      </w:r>
      <w:r>
        <w:rPr>
          <w:i/>
          <w:sz w:val="24"/>
        </w:rPr>
        <w:t>financeiros</w:t>
      </w:r>
      <w:r>
        <w:rPr>
          <w:i/>
          <w:spacing w:val="-2"/>
          <w:sz w:val="24"/>
        </w:rPr>
        <w:t xml:space="preserve"> </w:t>
      </w:r>
      <w:r>
        <w:rPr>
          <w:i/>
          <w:sz w:val="24"/>
        </w:rPr>
        <w:t>para</w:t>
      </w:r>
      <w:r>
        <w:rPr>
          <w:i/>
          <w:spacing w:val="-2"/>
          <w:sz w:val="24"/>
        </w:rPr>
        <w:t xml:space="preserve"> </w:t>
      </w:r>
      <w:r>
        <w:rPr>
          <w:i/>
          <w:sz w:val="24"/>
        </w:rPr>
        <w:t>os Municípios</w:t>
      </w:r>
      <w:r>
        <w:rPr>
          <w:sz w:val="24"/>
        </w:rPr>
        <w:t>”</w:t>
      </w:r>
      <w:r>
        <w:rPr>
          <w:spacing w:val="-3"/>
          <w:sz w:val="24"/>
        </w:rPr>
        <w:t xml:space="preserve"> </w:t>
      </w:r>
      <w:r>
        <w:rPr>
          <w:sz w:val="24"/>
        </w:rPr>
        <w:t>(MACHADO, 2010,</w:t>
      </w:r>
      <w:r>
        <w:rPr>
          <w:spacing w:val="-2"/>
          <w:sz w:val="24"/>
        </w:rPr>
        <w:t xml:space="preserve"> </w:t>
      </w:r>
      <w:r>
        <w:rPr>
          <w:sz w:val="24"/>
        </w:rPr>
        <w:t>p.410),</w:t>
      </w:r>
      <w:r>
        <w:rPr>
          <w:spacing w:val="-2"/>
          <w:sz w:val="24"/>
        </w:rPr>
        <w:t xml:space="preserve"> </w:t>
      </w:r>
      <w:r>
        <w:rPr>
          <w:sz w:val="24"/>
        </w:rPr>
        <w:t>ou seja,</w:t>
      </w:r>
      <w:r>
        <w:rPr>
          <w:spacing w:val="-2"/>
          <w:sz w:val="24"/>
        </w:rPr>
        <w:t xml:space="preserve"> </w:t>
      </w:r>
      <w:r>
        <w:rPr>
          <w:sz w:val="24"/>
        </w:rPr>
        <w:t>tal</w:t>
      </w:r>
      <w:r>
        <w:rPr>
          <w:spacing w:val="2"/>
          <w:sz w:val="24"/>
        </w:rPr>
        <w:t xml:space="preserve"> </w:t>
      </w:r>
      <w:r>
        <w:rPr>
          <w:sz w:val="24"/>
        </w:rPr>
        <w:t>imposto</w:t>
      </w:r>
      <w:r>
        <w:rPr>
          <w:spacing w:val="4"/>
          <w:sz w:val="24"/>
        </w:rPr>
        <w:t xml:space="preserve"> </w:t>
      </w:r>
      <w:r>
        <w:rPr>
          <w:sz w:val="24"/>
        </w:rPr>
        <w:t>é uma</w:t>
      </w:r>
      <w:r>
        <w:rPr>
          <w:spacing w:val="3"/>
          <w:sz w:val="24"/>
        </w:rPr>
        <w:t xml:space="preserve"> </w:t>
      </w:r>
      <w:r>
        <w:rPr>
          <w:sz w:val="24"/>
        </w:rPr>
        <w:t>fonte</w:t>
      </w:r>
      <w:r>
        <w:rPr>
          <w:spacing w:val="1"/>
          <w:sz w:val="24"/>
        </w:rPr>
        <w:t xml:space="preserve"> </w:t>
      </w:r>
      <w:r>
        <w:rPr>
          <w:sz w:val="24"/>
        </w:rPr>
        <w:t>importante de</w:t>
      </w:r>
      <w:r>
        <w:rPr>
          <w:spacing w:val="3"/>
          <w:sz w:val="24"/>
        </w:rPr>
        <w:t xml:space="preserve"> </w:t>
      </w:r>
      <w:r>
        <w:rPr>
          <w:sz w:val="24"/>
        </w:rPr>
        <w:t>receita</w:t>
      </w:r>
      <w:r>
        <w:rPr>
          <w:spacing w:val="1"/>
          <w:sz w:val="24"/>
        </w:rPr>
        <w:t xml:space="preserve"> </w:t>
      </w:r>
      <w:r>
        <w:rPr>
          <w:sz w:val="24"/>
        </w:rPr>
        <w:t>para</w:t>
      </w:r>
      <w:r>
        <w:rPr>
          <w:spacing w:val="-1"/>
          <w:sz w:val="24"/>
        </w:rPr>
        <w:t xml:space="preserve"> </w:t>
      </w:r>
      <w:r>
        <w:rPr>
          <w:sz w:val="24"/>
        </w:rPr>
        <w:t>os</w:t>
      </w:r>
      <w:r>
        <w:rPr>
          <w:spacing w:val="4"/>
          <w:sz w:val="24"/>
        </w:rPr>
        <w:t xml:space="preserve"> </w:t>
      </w:r>
      <w:r>
        <w:rPr>
          <w:sz w:val="24"/>
        </w:rPr>
        <w:t>municípios</w:t>
      </w:r>
      <w:r>
        <w:rPr>
          <w:spacing w:val="2"/>
          <w:sz w:val="24"/>
        </w:rPr>
        <w:t xml:space="preserve"> </w:t>
      </w:r>
      <w:r>
        <w:rPr>
          <w:sz w:val="24"/>
        </w:rPr>
        <w:t>brasileiros,</w:t>
      </w:r>
      <w:r>
        <w:rPr>
          <w:spacing w:val="2"/>
          <w:sz w:val="24"/>
        </w:rPr>
        <w:t xml:space="preserve"> </w:t>
      </w:r>
      <w:r>
        <w:rPr>
          <w:spacing w:val="-2"/>
          <w:sz w:val="24"/>
        </w:rPr>
        <w:t>sendo</w:t>
      </w:r>
    </w:p>
    <w:p w:rsidR="007259F2" w:rsidRDefault="007259F2">
      <w:pPr>
        <w:jc w:val="both"/>
        <w:rPr>
          <w:sz w:val="24"/>
        </w:rPr>
        <w:sectPr w:rsidR="007259F2">
          <w:pgSz w:w="11910" w:h="16840"/>
          <w:pgMar w:top="1320" w:right="708" w:bottom="1160" w:left="992" w:header="0" w:footer="962" w:gutter="0"/>
          <w:cols w:space="720"/>
        </w:sectPr>
      </w:pPr>
    </w:p>
    <w:p w:rsidR="007259F2" w:rsidRDefault="00E655B4">
      <w:pPr>
        <w:pStyle w:val="Corpodetexto"/>
        <w:spacing w:before="69"/>
        <w:ind w:right="998" w:firstLine="0"/>
      </w:pPr>
      <w:r>
        <w:lastRenderedPageBreak/>
        <w:t>utilizado para financiar serviços públicos, como infraestrutura urbana, saúde, educação</w:t>
      </w:r>
      <w:r>
        <w:rPr>
          <w:spacing w:val="40"/>
        </w:rPr>
        <w:t xml:space="preserve"> </w:t>
      </w:r>
      <w:r>
        <w:t>e segurança, portanto, sendo sua cobrança de grande importância.</w:t>
      </w:r>
    </w:p>
    <w:p w:rsidR="007259F2" w:rsidRDefault="00E655B4">
      <w:pPr>
        <w:pStyle w:val="Corpodetexto"/>
        <w:spacing w:before="1"/>
        <w:ind w:right="997"/>
      </w:pPr>
      <w:r>
        <w:t xml:space="preserve">Quanto ao aspecto material do IPTU, o fato gerador é a propriedade, a posse e o domínio útil do bem imóvel. Sobre a conceituação de cada instituto, leciona Eduardo </w:t>
      </w:r>
      <w:r>
        <w:rPr>
          <w:spacing w:val="-2"/>
        </w:rPr>
        <w:t>Sabbag:</w:t>
      </w:r>
      <w:r>
        <w:rPr>
          <w:spacing w:val="-2"/>
          <w:vertAlign w:val="superscript"/>
        </w:rPr>
        <w:t>2</w:t>
      </w:r>
    </w:p>
    <w:p w:rsidR="007259F2" w:rsidRDefault="00E655B4">
      <w:pPr>
        <w:pStyle w:val="PargrafodaLista"/>
        <w:numPr>
          <w:ilvl w:val="2"/>
          <w:numId w:val="12"/>
        </w:numPr>
        <w:tabs>
          <w:tab w:val="left" w:pos="3202"/>
        </w:tabs>
        <w:spacing w:before="1"/>
        <w:ind w:right="994" w:firstLine="0"/>
        <w:jc w:val="both"/>
        <w:rPr>
          <w:sz w:val="20"/>
        </w:rPr>
      </w:pPr>
      <w:r>
        <w:rPr>
          <w:b/>
          <w:sz w:val="20"/>
        </w:rPr>
        <w:t xml:space="preserve">Propriedade: </w:t>
      </w:r>
      <w:r>
        <w:rPr>
          <w:sz w:val="20"/>
        </w:rPr>
        <w:t xml:space="preserve">o gozo jurídico pleno de uso, fruição e disposição do bem </w:t>
      </w:r>
      <w:r>
        <w:rPr>
          <w:spacing w:val="-2"/>
          <w:sz w:val="20"/>
        </w:rPr>
        <w:t>imóvel.</w:t>
      </w:r>
    </w:p>
    <w:p w:rsidR="007259F2" w:rsidRDefault="00E655B4">
      <w:pPr>
        <w:pStyle w:val="PargrafodaLista"/>
        <w:numPr>
          <w:ilvl w:val="2"/>
          <w:numId w:val="12"/>
        </w:numPr>
        <w:tabs>
          <w:tab w:val="left" w:pos="3195"/>
        </w:tabs>
        <w:spacing w:before="1"/>
        <w:ind w:left="3195" w:hanging="217"/>
        <w:jc w:val="both"/>
        <w:rPr>
          <w:sz w:val="20"/>
        </w:rPr>
      </w:pPr>
      <w:r>
        <w:rPr>
          <w:b/>
          <w:sz w:val="20"/>
        </w:rPr>
        <w:t>Domínio</w:t>
      </w:r>
      <w:r>
        <w:rPr>
          <w:b/>
          <w:spacing w:val="-4"/>
          <w:sz w:val="20"/>
        </w:rPr>
        <w:t xml:space="preserve"> </w:t>
      </w:r>
      <w:r>
        <w:rPr>
          <w:b/>
          <w:sz w:val="20"/>
        </w:rPr>
        <w:t>útil:</w:t>
      </w:r>
      <w:r>
        <w:rPr>
          <w:b/>
          <w:spacing w:val="-3"/>
          <w:sz w:val="20"/>
        </w:rPr>
        <w:t xml:space="preserve"> </w:t>
      </w:r>
      <w:r>
        <w:rPr>
          <w:sz w:val="20"/>
        </w:rPr>
        <w:t>um</w:t>
      </w:r>
      <w:r>
        <w:rPr>
          <w:spacing w:val="-7"/>
          <w:sz w:val="20"/>
        </w:rPr>
        <w:t xml:space="preserve"> </w:t>
      </w:r>
      <w:r>
        <w:rPr>
          <w:sz w:val="20"/>
        </w:rPr>
        <w:t>dos</w:t>
      </w:r>
      <w:r>
        <w:rPr>
          <w:spacing w:val="-6"/>
          <w:sz w:val="20"/>
        </w:rPr>
        <w:t xml:space="preserve"> </w:t>
      </w:r>
      <w:r>
        <w:rPr>
          <w:sz w:val="20"/>
        </w:rPr>
        <w:t>elementos</w:t>
      </w:r>
      <w:r>
        <w:rPr>
          <w:spacing w:val="-5"/>
          <w:sz w:val="20"/>
        </w:rPr>
        <w:t xml:space="preserve"> </w:t>
      </w:r>
      <w:r>
        <w:rPr>
          <w:sz w:val="20"/>
        </w:rPr>
        <w:t>de</w:t>
      </w:r>
      <w:r>
        <w:rPr>
          <w:spacing w:val="-5"/>
          <w:sz w:val="20"/>
        </w:rPr>
        <w:t xml:space="preserve"> </w:t>
      </w:r>
      <w:r>
        <w:rPr>
          <w:sz w:val="20"/>
        </w:rPr>
        <w:t>gozo</w:t>
      </w:r>
      <w:r>
        <w:rPr>
          <w:spacing w:val="-4"/>
          <w:sz w:val="20"/>
        </w:rPr>
        <w:t xml:space="preserve"> </w:t>
      </w:r>
      <w:r>
        <w:rPr>
          <w:sz w:val="20"/>
        </w:rPr>
        <w:t>jurídico</w:t>
      </w:r>
      <w:r>
        <w:rPr>
          <w:spacing w:val="-4"/>
          <w:sz w:val="20"/>
        </w:rPr>
        <w:t xml:space="preserve"> </w:t>
      </w:r>
      <w:r>
        <w:rPr>
          <w:sz w:val="20"/>
        </w:rPr>
        <w:t>da</w:t>
      </w:r>
      <w:r>
        <w:rPr>
          <w:spacing w:val="-6"/>
          <w:sz w:val="20"/>
        </w:rPr>
        <w:t xml:space="preserve"> </w:t>
      </w:r>
      <w:r>
        <w:rPr>
          <w:sz w:val="20"/>
        </w:rPr>
        <w:t>propriedade</w:t>
      </w:r>
      <w:r>
        <w:rPr>
          <w:spacing w:val="-5"/>
          <w:sz w:val="20"/>
        </w:rPr>
        <w:t xml:space="preserve"> </w:t>
      </w:r>
      <w:r>
        <w:rPr>
          <w:spacing w:val="-2"/>
          <w:sz w:val="20"/>
        </w:rPr>
        <w:t>plena.</w:t>
      </w:r>
    </w:p>
    <w:p w:rsidR="007259F2" w:rsidRDefault="00E655B4">
      <w:pPr>
        <w:pStyle w:val="PargrafodaLista"/>
        <w:numPr>
          <w:ilvl w:val="2"/>
          <w:numId w:val="12"/>
        </w:numPr>
        <w:tabs>
          <w:tab w:val="left" w:pos="3202"/>
        </w:tabs>
        <w:ind w:right="994" w:firstLine="0"/>
        <w:jc w:val="both"/>
        <w:rPr>
          <w:sz w:val="20"/>
        </w:rPr>
      </w:pPr>
      <w:r>
        <w:rPr>
          <w:b/>
          <w:sz w:val="20"/>
        </w:rPr>
        <w:t xml:space="preserve">Posse: </w:t>
      </w:r>
      <w:r>
        <w:rPr>
          <w:sz w:val="20"/>
        </w:rPr>
        <w:t>manifesta-se, no caso de incidência do IPTU, quando alguém age como se fosse titular do domínio útil, portanto, na posse caracterizada como usocapionem. Assim, refere-se à posse juridicamente perfeita, e não Àquela de índole irregular.</w:t>
      </w:r>
    </w:p>
    <w:p w:rsidR="007259F2" w:rsidRDefault="00E655B4">
      <w:pPr>
        <w:pStyle w:val="Corpodetexto"/>
        <w:spacing w:before="229"/>
        <w:ind w:right="991"/>
      </w:pPr>
      <w:r>
        <w:t>Quanto ao aspecto temporal, compete à lei ordinária sua fixação, sendo para o IPTU</w:t>
      </w:r>
      <w:r>
        <w:rPr>
          <w:spacing w:val="-1"/>
        </w:rPr>
        <w:t xml:space="preserve"> </w:t>
      </w:r>
      <w:r>
        <w:t>o primeiro</w:t>
      </w:r>
      <w:r>
        <w:rPr>
          <w:spacing w:val="-1"/>
        </w:rPr>
        <w:t xml:space="preserve"> </w:t>
      </w:r>
      <w:r>
        <w:t>dia de</w:t>
      </w:r>
      <w:r>
        <w:rPr>
          <w:spacing w:val="-1"/>
        </w:rPr>
        <w:t xml:space="preserve"> </w:t>
      </w:r>
      <w:r>
        <w:t>janeiro</w:t>
      </w:r>
      <w:r>
        <w:rPr>
          <w:spacing w:val="-1"/>
        </w:rPr>
        <w:t xml:space="preserve"> </w:t>
      </w:r>
      <w:r>
        <w:t>de cada</w:t>
      </w:r>
      <w:r>
        <w:rPr>
          <w:spacing w:val="-1"/>
        </w:rPr>
        <w:t xml:space="preserve"> </w:t>
      </w:r>
      <w:r>
        <w:t>ano, bastando a</w:t>
      </w:r>
      <w:r>
        <w:rPr>
          <w:spacing w:val="-1"/>
        </w:rPr>
        <w:t xml:space="preserve"> </w:t>
      </w:r>
      <w:r>
        <w:t>existência</w:t>
      </w:r>
      <w:r>
        <w:rPr>
          <w:spacing w:val="-1"/>
        </w:rPr>
        <w:t xml:space="preserve"> </w:t>
      </w:r>
      <w:r>
        <w:t>da</w:t>
      </w:r>
      <w:r>
        <w:rPr>
          <w:spacing w:val="-1"/>
        </w:rPr>
        <w:t xml:space="preserve"> </w:t>
      </w:r>
      <w:r>
        <w:t xml:space="preserve">propriedade, posse ou domínio útil para sua ocorrência, sendo que eventuais alterações físicas que aconteçam após a data estabelecida pelo Município só será importante para o próximo </w:t>
      </w:r>
      <w:r>
        <w:rPr>
          <w:spacing w:val="-2"/>
        </w:rPr>
        <w:t>exercício.</w:t>
      </w:r>
    </w:p>
    <w:p w:rsidR="007259F2" w:rsidRDefault="00E655B4">
      <w:pPr>
        <w:pStyle w:val="Corpodetexto"/>
        <w:ind w:right="990"/>
      </w:pPr>
      <w:r>
        <w:t>Quanto ao critério espacial, o que regula o IPTU é a zona urbana do Município, àquela que atende as especificações do art.32 §§ 1º e 2º do CTN, devendo existir pelo menos 2 (dois) dos melhoramentos trazidos pelo artigo, sendo eles: meio fio ou calçamento com canalização de águas pluviais, abastecimento de água, sistema de esgoto sanitários, rede de iluminação pública, escola primária ou posto de saúde a uma distância máxima de 3 quilômetros do imóvel considerado.</w:t>
      </w:r>
    </w:p>
    <w:p w:rsidR="007259F2" w:rsidRDefault="00E655B4">
      <w:pPr>
        <w:pStyle w:val="Corpodetexto"/>
        <w:spacing w:before="1"/>
        <w:ind w:right="995"/>
      </w:pPr>
      <w:r>
        <w:t>Quanto ao aspecto quantitativo do IPTU, estamos falando do valor do tributo, sendo</w:t>
      </w:r>
      <w:r>
        <w:rPr>
          <w:spacing w:val="-2"/>
        </w:rPr>
        <w:t xml:space="preserve"> </w:t>
      </w:r>
      <w:r>
        <w:t>composto</w:t>
      </w:r>
      <w:r>
        <w:rPr>
          <w:spacing w:val="-2"/>
        </w:rPr>
        <w:t xml:space="preserve"> </w:t>
      </w:r>
      <w:r>
        <w:t>por</w:t>
      </w:r>
      <w:r>
        <w:rPr>
          <w:spacing w:val="-1"/>
        </w:rPr>
        <w:t xml:space="preserve"> </w:t>
      </w:r>
      <w:r>
        <w:t>dois</w:t>
      </w:r>
      <w:r>
        <w:rPr>
          <w:spacing w:val="-2"/>
        </w:rPr>
        <w:t xml:space="preserve"> </w:t>
      </w:r>
      <w:r>
        <w:t>elementos, a</w:t>
      </w:r>
      <w:r>
        <w:rPr>
          <w:spacing w:val="-3"/>
        </w:rPr>
        <w:t xml:space="preserve"> </w:t>
      </w:r>
      <w:r>
        <w:t>base</w:t>
      </w:r>
      <w:r>
        <w:rPr>
          <w:spacing w:val="-3"/>
        </w:rPr>
        <w:t xml:space="preserve"> </w:t>
      </w:r>
      <w:r>
        <w:t>de</w:t>
      </w:r>
      <w:r>
        <w:rPr>
          <w:spacing w:val="-3"/>
        </w:rPr>
        <w:t xml:space="preserve"> </w:t>
      </w:r>
      <w:r>
        <w:t>cálculo</w:t>
      </w:r>
      <w:r>
        <w:rPr>
          <w:spacing w:val="-2"/>
        </w:rPr>
        <w:t xml:space="preserve"> </w:t>
      </w:r>
      <w:r>
        <w:t>e</w:t>
      </w:r>
      <w:r>
        <w:rPr>
          <w:spacing w:val="-1"/>
        </w:rPr>
        <w:t xml:space="preserve"> </w:t>
      </w:r>
      <w:r>
        <w:t>a</w:t>
      </w:r>
      <w:r>
        <w:rPr>
          <w:spacing w:val="-3"/>
        </w:rPr>
        <w:t xml:space="preserve"> </w:t>
      </w:r>
      <w:r>
        <w:t>respectiva</w:t>
      </w:r>
      <w:r>
        <w:rPr>
          <w:spacing w:val="-3"/>
        </w:rPr>
        <w:t xml:space="preserve"> </w:t>
      </w:r>
      <w:r>
        <w:t>alíquota.</w:t>
      </w:r>
      <w:r>
        <w:rPr>
          <w:spacing w:val="-2"/>
        </w:rPr>
        <w:t xml:space="preserve"> </w:t>
      </w:r>
      <w:r>
        <w:t>De</w:t>
      </w:r>
      <w:r>
        <w:rPr>
          <w:spacing w:val="-1"/>
        </w:rPr>
        <w:t xml:space="preserve"> </w:t>
      </w:r>
      <w:r>
        <w:t>acordo com o art.33 do Código tributário nacional, a base de cálculo é composta pelo valor venal do imóvel. Como aborda Hugo de Brito Machado:</w:t>
      </w:r>
    </w:p>
    <w:p w:rsidR="007259F2" w:rsidRDefault="007259F2">
      <w:pPr>
        <w:pStyle w:val="Corpodetexto"/>
        <w:spacing w:before="1"/>
        <w:ind w:left="0" w:firstLine="0"/>
        <w:jc w:val="left"/>
      </w:pPr>
    </w:p>
    <w:p w:rsidR="007259F2" w:rsidRDefault="00E655B4">
      <w:pPr>
        <w:ind w:left="2978" w:right="991"/>
        <w:jc w:val="both"/>
        <w:rPr>
          <w:sz w:val="20"/>
        </w:rPr>
      </w:pPr>
      <w:r>
        <w:rPr>
          <w:sz w:val="20"/>
        </w:rPr>
        <w:t>A base de cálculo do imposto sobre a propriedade predial e territorial urbana</w:t>
      </w:r>
      <w:r>
        <w:rPr>
          <w:spacing w:val="40"/>
          <w:sz w:val="20"/>
        </w:rPr>
        <w:t xml:space="preserve"> </w:t>
      </w:r>
      <w:r>
        <w:rPr>
          <w:sz w:val="20"/>
        </w:rPr>
        <w:t>é o valor venal do imóvel (CTN, art. 33). Valor venal é aquele que o bem alcançaria se fosse posto à venda, em</w:t>
      </w:r>
      <w:r>
        <w:rPr>
          <w:spacing w:val="-2"/>
          <w:sz w:val="20"/>
        </w:rPr>
        <w:t xml:space="preserve"> </w:t>
      </w:r>
      <w:r>
        <w:rPr>
          <w:sz w:val="20"/>
        </w:rPr>
        <w:t>condições normais. O preço neste caso, deve ser o correspondente a uma venda à vista, vale dizer, sem incluir qualquer encargo relativo a financiamento.</w:t>
      </w:r>
      <w:r>
        <w:rPr>
          <w:sz w:val="20"/>
          <w:vertAlign w:val="superscript"/>
        </w:rPr>
        <w:t>3</w:t>
      </w:r>
    </w:p>
    <w:p w:rsidR="007259F2" w:rsidRDefault="00E655B4">
      <w:pPr>
        <w:pStyle w:val="Corpodetexto"/>
        <w:spacing w:before="229"/>
        <w:ind w:right="991"/>
      </w:pPr>
      <w:r>
        <w:t>Também temos a alíquota, que aplicada à base de cálculo não poderá ter efeito confiscatório, sendo claro o art.150, IV, da Constituição Federal ao determinar que os entes federados não poderão utilizar tributo com efeito de confisco. Além disso, importante mencionar que a alíquota poderá ser simples ou progressiva, conforme função social, valor e localização do imóvel, nos termos do art. 156, I, §1º da Constituição Federal.</w:t>
      </w:r>
    </w:p>
    <w:p w:rsidR="007259F2" w:rsidRDefault="00E655B4">
      <w:pPr>
        <w:pStyle w:val="Corpodetexto"/>
        <w:spacing w:before="1"/>
        <w:ind w:right="993"/>
      </w:pPr>
      <w:r>
        <w:t>Quanto ao aspecto pessoal, temos dois sujeitos nessa relação tributária, de um lado o sujeito ativo – aquele responsável pela cobrança do tributo, e no caso aqui tratado, o Município, e de outro o sujeito passivo – o devedor do tributo, responsável pelo</w:t>
      </w:r>
      <w:r>
        <w:rPr>
          <w:spacing w:val="-2"/>
        </w:rPr>
        <w:t xml:space="preserve"> </w:t>
      </w:r>
      <w:r>
        <w:t>adimplemento</w:t>
      </w:r>
      <w:r>
        <w:rPr>
          <w:spacing w:val="-2"/>
        </w:rPr>
        <w:t xml:space="preserve"> </w:t>
      </w:r>
      <w:r>
        <w:t>do Imposto</w:t>
      </w:r>
      <w:r>
        <w:rPr>
          <w:spacing w:val="-2"/>
        </w:rPr>
        <w:t xml:space="preserve"> </w:t>
      </w:r>
      <w:r>
        <w:t>como</w:t>
      </w:r>
      <w:r>
        <w:rPr>
          <w:spacing w:val="-2"/>
        </w:rPr>
        <w:t xml:space="preserve"> </w:t>
      </w:r>
      <w:r>
        <w:t>estipula</w:t>
      </w:r>
      <w:r>
        <w:rPr>
          <w:spacing w:val="-3"/>
        </w:rPr>
        <w:t xml:space="preserve"> </w:t>
      </w:r>
      <w:r>
        <w:t>os</w:t>
      </w:r>
      <w:r>
        <w:rPr>
          <w:spacing w:val="-2"/>
        </w:rPr>
        <w:t xml:space="preserve"> </w:t>
      </w:r>
      <w:r>
        <w:t>artigos</w:t>
      </w:r>
      <w:r>
        <w:rPr>
          <w:spacing w:val="-2"/>
        </w:rPr>
        <w:t xml:space="preserve"> </w:t>
      </w:r>
      <w:r>
        <w:t>121 e</w:t>
      </w:r>
      <w:r>
        <w:rPr>
          <w:spacing w:val="-3"/>
        </w:rPr>
        <w:t xml:space="preserve"> </w:t>
      </w:r>
      <w:r>
        <w:t>122</w:t>
      </w:r>
      <w:r>
        <w:rPr>
          <w:spacing w:val="-2"/>
        </w:rPr>
        <w:t xml:space="preserve"> </w:t>
      </w:r>
      <w:r>
        <w:t>do</w:t>
      </w:r>
      <w:r>
        <w:rPr>
          <w:spacing w:val="-2"/>
        </w:rPr>
        <w:t xml:space="preserve"> </w:t>
      </w:r>
      <w:r>
        <w:t>Código</w:t>
      </w:r>
      <w:r>
        <w:rPr>
          <w:spacing w:val="-4"/>
        </w:rPr>
        <w:t xml:space="preserve"> </w:t>
      </w:r>
      <w:r>
        <w:t xml:space="preserve">Tributário </w:t>
      </w:r>
      <w:r>
        <w:rPr>
          <w:spacing w:val="-2"/>
        </w:rPr>
        <w:t>Nacional.</w:t>
      </w:r>
    </w:p>
    <w:p w:rsidR="007259F2" w:rsidRDefault="00E655B4">
      <w:pPr>
        <w:pStyle w:val="Heading2"/>
        <w:numPr>
          <w:ilvl w:val="1"/>
          <w:numId w:val="12"/>
        </w:numPr>
        <w:tabs>
          <w:tab w:val="left" w:pos="1130"/>
        </w:tabs>
        <w:spacing w:before="206"/>
        <w:ind w:left="1130" w:hanging="420"/>
      </w:pPr>
      <w:r>
        <w:t>Sujeito</w:t>
      </w:r>
      <w:r>
        <w:rPr>
          <w:spacing w:val="-4"/>
        </w:rPr>
        <w:t xml:space="preserve"> </w:t>
      </w:r>
      <w:r>
        <w:t>Passivo</w:t>
      </w:r>
      <w:r>
        <w:rPr>
          <w:spacing w:val="-2"/>
        </w:rPr>
        <w:t xml:space="preserve"> </w:t>
      </w:r>
      <w:r>
        <w:t>do</w:t>
      </w:r>
      <w:r>
        <w:rPr>
          <w:spacing w:val="-1"/>
        </w:rPr>
        <w:t xml:space="preserve"> </w:t>
      </w:r>
      <w:r>
        <w:rPr>
          <w:spacing w:val="-4"/>
        </w:rPr>
        <w:t>IPTU</w:t>
      </w:r>
    </w:p>
    <w:p w:rsidR="007259F2" w:rsidRDefault="007259F2">
      <w:pPr>
        <w:pStyle w:val="Corpodetexto"/>
        <w:ind w:left="0" w:firstLine="0"/>
        <w:jc w:val="left"/>
        <w:rPr>
          <w:b/>
          <w:sz w:val="20"/>
        </w:rPr>
      </w:pPr>
    </w:p>
    <w:p w:rsidR="007259F2" w:rsidRDefault="00DE6B1C">
      <w:pPr>
        <w:pStyle w:val="Corpodetexto"/>
        <w:spacing w:before="187"/>
        <w:ind w:left="0" w:firstLine="0"/>
        <w:jc w:val="left"/>
        <w:rPr>
          <w:b/>
          <w:sz w:val="20"/>
        </w:rPr>
      </w:pPr>
      <w:r w:rsidRPr="00DE6B1C">
        <w:rPr>
          <w:b/>
          <w:sz w:val="20"/>
        </w:rPr>
        <w:pict>
          <v:rect id="docshape185" o:spid="_x0000_s1046" style="position:absolute;margin-left:85.1pt;margin-top:22.05pt;width:2in;height:.7pt;z-index:-15644672;mso-wrap-distance-left:0;mso-wrap-distance-right:0;mso-position-horizontal-relative:page" fillcolor="black" stroked="f">
            <w10:wrap type="topAndBottom" anchorx="page"/>
          </v:rect>
        </w:pict>
      </w:r>
    </w:p>
    <w:p w:rsidR="007259F2" w:rsidRDefault="00E655B4">
      <w:pPr>
        <w:spacing w:before="97"/>
        <w:ind w:left="710"/>
        <w:rPr>
          <w:sz w:val="20"/>
        </w:rPr>
      </w:pPr>
      <w:r>
        <w:rPr>
          <w:sz w:val="20"/>
          <w:vertAlign w:val="superscript"/>
        </w:rPr>
        <w:t>2</w:t>
      </w:r>
      <w:r>
        <w:rPr>
          <w:spacing w:val="-6"/>
          <w:sz w:val="20"/>
        </w:rPr>
        <w:t xml:space="preserve"> </w:t>
      </w:r>
      <w:r>
        <w:rPr>
          <w:sz w:val="20"/>
        </w:rPr>
        <w:t>SABBAG,</w:t>
      </w:r>
      <w:r>
        <w:rPr>
          <w:spacing w:val="-5"/>
          <w:sz w:val="20"/>
        </w:rPr>
        <w:t xml:space="preserve"> </w:t>
      </w:r>
      <w:r>
        <w:rPr>
          <w:sz w:val="20"/>
        </w:rPr>
        <w:t>Eduardo.</w:t>
      </w:r>
      <w:r>
        <w:rPr>
          <w:spacing w:val="-5"/>
          <w:sz w:val="20"/>
        </w:rPr>
        <w:t xml:space="preserve"> </w:t>
      </w:r>
      <w:r>
        <w:rPr>
          <w:b/>
          <w:sz w:val="20"/>
        </w:rPr>
        <w:t>Manual</w:t>
      </w:r>
      <w:r>
        <w:rPr>
          <w:b/>
          <w:spacing w:val="-7"/>
          <w:sz w:val="20"/>
        </w:rPr>
        <w:t xml:space="preserve"> </w:t>
      </w:r>
      <w:r>
        <w:rPr>
          <w:b/>
          <w:sz w:val="20"/>
        </w:rPr>
        <w:t>de</w:t>
      </w:r>
      <w:r>
        <w:rPr>
          <w:b/>
          <w:spacing w:val="-5"/>
          <w:sz w:val="20"/>
        </w:rPr>
        <w:t xml:space="preserve"> </w:t>
      </w:r>
      <w:r>
        <w:rPr>
          <w:b/>
          <w:sz w:val="20"/>
        </w:rPr>
        <w:t>Direito</w:t>
      </w:r>
      <w:r>
        <w:rPr>
          <w:b/>
          <w:spacing w:val="-9"/>
          <w:sz w:val="20"/>
        </w:rPr>
        <w:t xml:space="preserve"> </w:t>
      </w:r>
      <w:r>
        <w:rPr>
          <w:b/>
          <w:sz w:val="20"/>
        </w:rPr>
        <w:t>Tributário</w:t>
      </w:r>
      <w:r>
        <w:rPr>
          <w:sz w:val="20"/>
        </w:rPr>
        <w:t>.</w:t>
      </w:r>
      <w:r>
        <w:rPr>
          <w:spacing w:val="-5"/>
          <w:sz w:val="20"/>
        </w:rPr>
        <w:t xml:space="preserve"> </w:t>
      </w:r>
      <w:r>
        <w:rPr>
          <w:sz w:val="20"/>
        </w:rPr>
        <w:t>1.</w:t>
      </w:r>
      <w:r>
        <w:rPr>
          <w:spacing w:val="-5"/>
          <w:sz w:val="20"/>
        </w:rPr>
        <w:t xml:space="preserve"> </w:t>
      </w:r>
      <w:r>
        <w:rPr>
          <w:sz w:val="20"/>
        </w:rPr>
        <w:t>ed.</w:t>
      </w:r>
      <w:r>
        <w:rPr>
          <w:spacing w:val="-7"/>
          <w:sz w:val="20"/>
        </w:rPr>
        <w:t xml:space="preserve"> </w:t>
      </w:r>
      <w:r>
        <w:rPr>
          <w:sz w:val="20"/>
        </w:rPr>
        <w:t>São</w:t>
      </w:r>
      <w:r>
        <w:rPr>
          <w:spacing w:val="-4"/>
          <w:sz w:val="20"/>
        </w:rPr>
        <w:t xml:space="preserve"> </w:t>
      </w:r>
      <w:r>
        <w:rPr>
          <w:sz w:val="20"/>
        </w:rPr>
        <w:t>Paulo:</w:t>
      </w:r>
      <w:r>
        <w:rPr>
          <w:spacing w:val="-6"/>
          <w:sz w:val="20"/>
        </w:rPr>
        <w:t xml:space="preserve"> </w:t>
      </w:r>
      <w:r>
        <w:rPr>
          <w:sz w:val="20"/>
        </w:rPr>
        <w:t>Saraiva,</w:t>
      </w:r>
      <w:r>
        <w:rPr>
          <w:spacing w:val="-4"/>
          <w:sz w:val="20"/>
        </w:rPr>
        <w:t xml:space="preserve"> </w:t>
      </w:r>
      <w:r>
        <w:rPr>
          <w:sz w:val="20"/>
        </w:rPr>
        <w:t>2009,</w:t>
      </w:r>
      <w:r>
        <w:rPr>
          <w:spacing w:val="-7"/>
          <w:sz w:val="20"/>
        </w:rPr>
        <w:t xml:space="preserve"> </w:t>
      </w:r>
      <w:r>
        <w:rPr>
          <w:sz w:val="20"/>
        </w:rPr>
        <w:t>p.</w:t>
      </w:r>
      <w:r>
        <w:rPr>
          <w:spacing w:val="-5"/>
          <w:sz w:val="20"/>
        </w:rPr>
        <w:t xml:space="preserve"> </w:t>
      </w:r>
      <w:r>
        <w:rPr>
          <w:spacing w:val="-4"/>
          <w:sz w:val="20"/>
        </w:rPr>
        <w:t>917.</w:t>
      </w:r>
    </w:p>
    <w:p w:rsidR="007259F2" w:rsidRDefault="00E655B4">
      <w:pPr>
        <w:ind w:left="710" w:right="990"/>
        <w:rPr>
          <w:sz w:val="20"/>
        </w:rPr>
      </w:pPr>
      <w:r>
        <w:rPr>
          <w:sz w:val="20"/>
          <w:vertAlign w:val="superscript"/>
        </w:rPr>
        <w:t>3</w:t>
      </w:r>
      <w:r>
        <w:rPr>
          <w:spacing w:val="29"/>
          <w:sz w:val="20"/>
        </w:rPr>
        <w:t xml:space="preserve"> </w:t>
      </w:r>
      <w:r>
        <w:rPr>
          <w:sz w:val="20"/>
        </w:rPr>
        <w:t>MACHADO,</w:t>
      </w:r>
      <w:r>
        <w:rPr>
          <w:spacing w:val="29"/>
          <w:sz w:val="20"/>
        </w:rPr>
        <w:t xml:space="preserve"> </w:t>
      </w:r>
      <w:r>
        <w:rPr>
          <w:sz w:val="20"/>
        </w:rPr>
        <w:t>Hugo</w:t>
      </w:r>
      <w:r>
        <w:rPr>
          <w:spacing w:val="29"/>
          <w:sz w:val="20"/>
        </w:rPr>
        <w:t xml:space="preserve"> </w:t>
      </w:r>
      <w:r>
        <w:rPr>
          <w:sz w:val="20"/>
        </w:rPr>
        <w:t>de</w:t>
      </w:r>
      <w:r>
        <w:rPr>
          <w:spacing w:val="29"/>
          <w:sz w:val="20"/>
        </w:rPr>
        <w:t xml:space="preserve"> </w:t>
      </w:r>
      <w:r>
        <w:rPr>
          <w:sz w:val="20"/>
        </w:rPr>
        <w:t>Brito.</w:t>
      </w:r>
      <w:r>
        <w:rPr>
          <w:spacing w:val="32"/>
          <w:sz w:val="20"/>
        </w:rPr>
        <w:t xml:space="preserve"> </w:t>
      </w:r>
      <w:r>
        <w:rPr>
          <w:b/>
          <w:sz w:val="20"/>
        </w:rPr>
        <w:t>Curso</w:t>
      </w:r>
      <w:r>
        <w:rPr>
          <w:b/>
          <w:spacing w:val="29"/>
          <w:sz w:val="20"/>
        </w:rPr>
        <w:t xml:space="preserve"> </w:t>
      </w:r>
      <w:r>
        <w:rPr>
          <w:b/>
          <w:sz w:val="20"/>
        </w:rPr>
        <w:t>de</w:t>
      </w:r>
      <w:r>
        <w:rPr>
          <w:b/>
          <w:spacing w:val="28"/>
          <w:sz w:val="20"/>
        </w:rPr>
        <w:t xml:space="preserve"> </w:t>
      </w:r>
      <w:r>
        <w:rPr>
          <w:b/>
          <w:sz w:val="20"/>
        </w:rPr>
        <w:t>Direito</w:t>
      </w:r>
      <w:r>
        <w:rPr>
          <w:b/>
          <w:spacing w:val="27"/>
          <w:sz w:val="20"/>
        </w:rPr>
        <w:t xml:space="preserve"> </w:t>
      </w:r>
      <w:r>
        <w:rPr>
          <w:b/>
          <w:sz w:val="20"/>
        </w:rPr>
        <w:t>Tributário</w:t>
      </w:r>
      <w:r>
        <w:rPr>
          <w:sz w:val="20"/>
        </w:rPr>
        <w:t>.</w:t>
      </w:r>
      <w:r>
        <w:rPr>
          <w:spacing w:val="29"/>
          <w:sz w:val="20"/>
        </w:rPr>
        <w:t xml:space="preserve"> </w:t>
      </w:r>
      <w:r>
        <w:rPr>
          <w:sz w:val="20"/>
        </w:rPr>
        <w:t>31.</w:t>
      </w:r>
      <w:r>
        <w:rPr>
          <w:spacing w:val="29"/>
          <w:sz w:val="20"/>
        </w:rPr>
        <w:t xml:space="preserve"> </w:t>
      </w:r>
      <w:r>
        <w:rPr>
          <w:sz w:val="20"/>
        </w:rPr>
        <w:t>ed.</w:t>
      </w:r>
      <w:r>
        <w:rPr>
          <w:spacing w:val="29"/>
          <w:sz w:val="20"/>
        </w:rPr>
        <w:t xml:space="preserve"> </w:t>
      </w:r>
      <w:r>
        <w:rPr>
          <w:sz w:val="20"/>
        </w:rPr>
        <w:t>São</w:t>
      </w:r>
      <w:r>
        <w:rPr>
          <w:spacing w:val="27"/>
          <w:sz w:val="20"/>
        </w:rPr>
        <w:t xml:space="preserve"> </w:t>
      </w:r>
      <w:r>
        <w:rPr>
          <w:sz w:val="20"/>
        </w:rPr>
        <w:t>Paulo:</w:t>
      </w:r>
      <w:r>
        <w:rPr>
          <w:spacing w:val="28"/>
          <w:sz w:val="20"/>
        </w:rPr>
        <w:t xml:space="preserve"> </w:t>
      </w:r>
      <w:r>
        <w:rPr>
          <w:sz w:val="20"/>
        </w:rPr>
        <w:t>Malheiros</w:t>
      </w:r>
      <w:r>
        <w:rPr>
          <w:spacing w:val="28"/>
          <w:sz w:val="20"/>
        </w:rPr>
        <w:t xml:space="preserve"> </w:t>
      </w:r>
      <w:r>
        <w:rPr>
          <w:sz w:val="20"/>
        </w:rPr>
        <w:t>Editores, 2010, p. 415.</w:t>
      </w:r>
    </w:p>
    <w:p w:rsidR="007259F2" w:rsidRDefault="007259F2">
      <w:pPr>
        <w:rPr>
          <w:sz w:val="20"/>
        </w:rPr>
        <w:sectPr w:rsidR="007259F2">
          <w:pgSz w:w="11910" w:h="16840"/>
          <w:pgMar w:top="1320" w:right="708" w:bottom="1160" w:left="992" w:header="0" w:footer="962" w:gutter="0"/>
          <w:cols w:space="720"/>
        </w:sectPr>
      </w:pPr>
    </w:p>
    <w:p w:rsidR="007259F2" w:rsidRDefault="00E655B4">
      <w:pPr>
        <w:pStyle w:val="Corpodetexto"/>
        <w:spacing w:before="69"/>
        <w:ind w:right="999"/>
      </w:pPr>
      <w:r>
        <w:lastRenderedPageBreak/>
        <w:t>De acordo com o artigo 34, do Código Tributário Nacional, o contribuinte é o proprietário do imóvel, o titular do domínio útil.</w:t>
      </w:r>
    </w:p>
    <w:p w:rsidR="007259F2" w:rsidRDefault="00E655B4">
      <w:pPr>
        <w:pStyle w:val="Corpodetexto"/>
        <w:spacing w:before="1"/>
        <w:ind w:left="1418" w:firstLine="0"/>
        <w:jc w:val="left"/>
      </w:pPr>
      <w:r>
        <w:t>Leciona</w:t>
      </w:r>
      <w:r>
        <w:rPr>
          <w:spacing w:val="-1"/>
        </w:rPr>
        <w:t xml:space="preserve"> </w:t>
      </w:r>
      <w:r>
        <w:t>Eduardo</w:t>
      </w:r>
      <w:r>
        <w:rPr>
          <w:spacing w:val="-1"/>
        </w:rPr>
        <w:t xml:space="preserve"> </w:t>
      </w:r>
      <w:r>
        <w:t>Sabbag sobre</w:t>
      </w:r>
      <w:r>
        <w:rPr>
          <w:spacing w:val="-3"/>
        </w:rPr>
        <w:t xml:space="preserve"> </w:t>
      </w:r>
      <w:r>
        <w:t>o</w:t>
      </w:r>
      <w:r>
        <w:rPr>
          <w:spacing w:val="-1"/>
        </w:rPr>
        <w:t xml:space="preserve"> </w:t>
      </w:r>
      <w:r>
        <w:t>sujeito passivo</w:t>
      </w:r>
      <w:r>
        <w:rPr>
          <w:spacing w:val="-1"/>
        </w:rPr>
        <w:t xml:space="preserve"> </w:t>
      </w:r>
      <w:r>
        <w:t>do</w:t>
      </w:r>
      <w:r>
        <w:rPr>
          <w:spacing w:val="2"/>
        </w:rPr>
        <w:t xml:space="preserve"> </w:t>
      </w:r>
      <w:r>
        <w:rPr>
          <w:spacing w:val="-2"/>
        </w:rPr>
        <w:t>IPTU:</w:t>
      </w:r>
    </w:p>
    <w:p w:rsidR="007259F2" w:rsidRDefault="00E655B4">
      <w:pPr>
        <w:spacing w:before="231"/>
        <w:ind w:left="2978" w:right="988"/>
        <w:jc w:val="both"/>
        <w:rPr>
          <w:sz w:val="20"/>
        </w:rPr>
      </w:pPr>
      <w:r>
        <w:rPr>
          <w:sz w:val="20"/>
        </w:rPr>
        <w:t xml:space="preserve">A sujeição passiva abrange aquele que detêm qualquer direito de gozo, relativamente ao bem imóvel, seja pleno ou limitado. Os titulares desses direitos, como sujeitos passivos do IPTU, são o </w:t>
      </w:r>
      <w:r>
        <w:rPr>
          <w:b/>
          <w:sz w:val="20"/>
        </w:rPr>
        <w:t xml:space="preserve">proprietário </w:t>
      </w:r>
      <w:r>
        <w:rPr>
          <w:sz w:val="20"/>
        </w:rPr>
        <w:t xml:space="preserve">(pleno, de domínio exclusivo ou na condição de coproprietário), o </w:t>
      </w:r>
      <w:r>
        <w:rPr>
          <w:b/>
          <w:sz w:val="20"/>
        </w:rPr>
        <w:t xml:space="preserve">titular do domínio útil </w:t>
      </w:r>
      <w:r>
        <w:rPr>
          <w:sz w:val="20"/>
        </w:rPr>
        <w:t xml:space="preserve">(enfiteuta e usufrutuário) e o </w:t>
      </w:r>
      <w:r>
        <w:rPr>
          <w:b/>
          <w:sz w:val="20"/>
        </w:rPr>
        <w:t xml:space="preserve">possuidor </w:t>
      </w:r>
      <w:r>
        <w:rPr>
          <w:sz w:val="20"/>
        </w:rPr>
        <w:t>(</w:t>
      </w:r>
      <w:r>
        <w:rPr>
          <w:i/>
          <w:sz w:val="20"/>
        </w:rPr>
        <w:t>ad usocapionem</w:t>
      </w:r>
      <w:r>
        <w:rPr>
          <w:sz w:val="20"/>
        </w:rPr>
        <w:t>, isso é, aquela com possibilidade de aquisição de domínio ou propriedade pela usucapião).</w:t>
      </w:r>
      <w:r>
        <w:rPr>
          <w:sz w:val="20"/>
          <w:vertAlign w:val="superscript"/>
        </w:rPr>
        <w:t>4</w:t>
      </w:r>
    </w:p>
    <w:p w:rsidR="007259F2" w:rsidRDefault="00E655B4">
      <w:pPr>
        <w:pStyle w:val="Corpodetexto"/>
        <w:spacing w:before="230"/>
        <w:ind w:right="988"/>
      </w:pPr>
      <w:r>
        <w:t xml:space="preserve">Para Kiyoshi Harada, podem ser considerados contribuintes do IPTU tanto o proprietário do imóvel, o titular do domínio útil ou o possuidor a qualquer título, desde que essa posse seja de conteúdo econômico, o que exclui a posse de mero locatário. </w:t>
      </w:r>
      <w:r>
        <w:rPr>
          <w:spacing w:val="-2"/>
        </w:rPr>
        <w:t>Confira-se:</w:t>
      </w:r>
    </w:p>
    <w:p w:rsidR="007259F2" w:rsidRDefault="00E655B4">
      <w:pPr>
        <w:spacing w:before="2"/>
        <w:ind w:left="2978" w:right="989"/>
        <w:jc w:val="both"/>
        <w:rPr>
          <w:sz w:val="20"/>
        </w:rPr>
      </w:pPr>
      <w:r>
        <w:rPr>
          <w:sz w:val="20"/>
        </w:rPr>
        <w:t>Cumpre, todavia, observar que a posse abrangida pelo fato gerador é aquela de conteúdo econômico, o que exclui, por exemplo, a do locatário. Portanto, “possuidor a qualquer título” refere-se àquele que exerce alguns dos poderes inerentes ao domínio ou à propriedade; diz respeito ao titular da posse de conteúdo econômico.</w:t>
      </w:r>
      <w:r>
        <w:rPr>
          <w:sz w:val="20"/>
          <w:vertAlign w:val="superscript"/>
        </w:rPr>
        <w:t>5</w:t>
      </w:r>
    </w:p>
    <w:p w:rsidR="007259F2" w:rsidRDefault="00E655B4">
      <w:pPr>
        <w:pStyle w:val="Corpodetexto"/>
        <w:spacing w:before="200"/>
        <w:ind w:right="987"/>
      </w:pPr>
      <w:r>
        <w:t>Portanto, o autor defende que há um critério objetivo na escolha do sujeito passivo na situação em concreto, o que segundo seu entendimento, deve ser sempre aquele que dispõe economicamente do bem no momento do lançamento do IPTU, não havendo liberdade na escolha do sujeito passivo.</w:t>
      </w:r>
    </w:p>
    <w:p w:rsidR="007259F2" w:rsidRDefault="00E655B4">
      <w:pPr>
        <w:pStyle w:val="PargrafodaLista"/>
        <w:numPr>
          <w:ilvl w:val="0"/>
          <w:numId w:val="12"/>
        </w:numPr>
        <w:tabs>
          <w:tab w:val="left" w:pos="930"/>
        </w:tabs>
        <w:spacing w:before="124"/>
        <w:ind w:hanging="220"/>
        <w:jc w:val="both"/>
        <w:rPr>
          <w:b/>
        </w:rPr>
      </w:pPr>
      <w:r>
        <w:rPr>
          <w:b/>
        </w:rPr>
        <w:t>Imunidade</w:t>
      </w:r>
      <w:r>
        <w:rPr>
          <w:b/>
          <w:spacing w:val="-4"/>
        </w:rPr>
        <w:t xml:space="preserve"> </w:t>
      </w:r>
      <w:r>
        <w:rPr>
          <w:b/>
        </w:rPr>
        <w:t>Tributária</w:t>
      </w:r>
      <w:r>
        <w:rPr>
          <w:b/>
          <w:spacing w:val="-6"/>
        </w:rPr>
        <w:t xml:space="preserve"> </w:t>
      </w:r>
      <w:r>
        <w:rPr>
          <w:b/>
        </w:rPr>
        <w:t>prevista</w:t>
      </w:r>
      <w:r>
        <w:rPr>
          <w:b/>
          <w:spacing w:val="-3"/>
        </w:rPr>
        <w:t xml:space="preserve"> </w:t>
      </w:r>
      <w:r>
        <w:rPr>
          <w:b/>
        </w:rPr>
        <w:t>no</w:t>
      </w:r>
      <w:r>
        <w:rPr>
          <w:b/>
          <w:spacing w:val="-3"/>
        </w:rPr>
        <w:t xml:space="preserve"> </w:t>
      </w:r>
      <w:r>
        <w:rPr>
          <w:b/>
        </w:rPr>
        <w:t>art.</w:t>
      </w:r>
      <w:r>
        <w:rPr>
          <w:b/>
          <w:spacing w:val="-3"/>
        </w:rPr>
        <w:t xml:space="preserve"> </w:t>
      </w:r>
      <w:r>
        <w:rPr>
          <w:b/>
        </w:rPr>
        <w:t>150,</w:t>
      </w:r>
      <w:r>
        <w:rPr>
          <w:b/>
          <w:spacing w:val="-6"/>
        </w:rPr>
        <w:t xml:space="preserve"> </w:t>
      </w:r>
      <w:r>
        <w:rPr>
          <w:b/>
        </w:rPr>
        <w:t>inciso</w:t>
      </w:r>
      <w:r>
        <w:rPr>
          <w:b/>
          <w:spacing w:val="-3"/>
        </w:rPr>
        <w:t xml:space="preserve"> </w:t>
      </w:r>
      <w:r>
        <w:rPr>
          <w:b/>
        </w:rPr>
        <w:t>VI</w:t>
      </w:r>
      <w:r>
        <w:rPr>
          <w:b/>
          <w:spacing w:val="-3"/>
        </w:rPr>
        <w:t xml:space="preserve"> </w:t>
      </w:r>
      <w:r>
        <w:rPr>
          <w:b/>
        </w:rPr>
        <w:t>da</w:t>
      </w:r>
      <w:r>
        <w:rPr>
          <w:b/>
          <w:spacing w:val="-4"/>
        </w:rPr>
        <w:t xml:space="preserve"> </w:t>
      </w:r>
      <w:r>
        <w:rPr>
          <w:b/>
        </w:rPr>
        <w:t>Constituição</w:t>
      </w:r>
      <w:r>
        <w:rPr>
          <w:b/>
          <w:spacing w:val="-5"/>
        </w:rPr>
        <w:t xml:space="preserve"> </w:t>
      </w:r>
      <w:r>
        <w:rPr>
          <w:b/>
          <w:spacing w:val="-2"/>
        </w:rPr>
        <w:t>Federal</w:t>
      </w:r>
    </w:p>
    <w:p w:rsidR="007259F2" w:rsidRDefault="00E655B4">
      <w:pPr>
        <w:pStyle w:val="PargrafodaLista"/>
        <w:numPr>
          <w:ilvl w:val="1"/>
          <w:numId w:val="12"/>
        </w:numPr>
        <w:tabs>
          <w:tab w:val="left" w:pos="1096"/>
        </w:tabs>
        <w:spacing w:before="160"/>
        <w:ind w:left="1096" w:hanging="386"/>
        <w:jc w:val="both"/>
        <w:rPr>
          <w:b/>
        </w:rPr>
      </w:pPr>
      <w:r>
        <w:rPr>
          <w:b/>
        </w:rPr>
        <w:t>Aspectos</w:t>
      </w:r>
      <w:r>
        <w:rPr>
          <w:b/>
          <w:spacing w:val="-5"/>
        </w:rPr>
        <w:t xml:space="preserve"> </w:t>
      </w:r>
      <w:r>
        <w:rPr>
          <w:b/>
        </w:rPr>
        <w:t>Gerais</w:t>
      </w:r>
      <w:r>
        <w:rPr>
          <w:b/>
          <w:spacing w:val="-5"/>
        </w:rPr>
        <w:t xml:space="preserve"> </w:t>
      </w:r>
      <w:r>
        <w:rPr>
          <w:b/>
        </w:rPr>
        <w:t>sobre</w:t>
      </w:r>
      <w:r>
        <w:rPr>
          <w:b/>
          <w:spacing w:val="-5"/>
        </w:rPr>
        <w:t xml:space="preserve"> </w:t>
      </w:r>
      <w:r>
        <w:rPr>
          <w:b/>
        </w:rPr>
        <w:t>Imunidade</w:t>
      </w:r>
      <w:r>
        <w:rPr>
          <w:b/>
          <w:spacing w:val="-4"/>
        </w:rPr>
        <w:t xml:space="preserve"> </w:t>
      </w:r>
      <w:r>
        <w:rPr>
          <w:b/>
          <w:spacing w:val="-2"/>
        </w:rPr>
        <w:t>Tributária</w:t>
      </w:r>
    </w:p>
    <w:p w:rsidR="007259F2" w:rsidRDefault="00E655B4">
      <w:pPr>
        <w:pStyle w:val="Corpodetexto"/>
        <w:spacing w:before="151"/>
        <w:ind w:right="996"/>
      </w:pPr>
      <w:r>
        <w:t>Nossa Constituição Federal além de ter traçado perfeitamente os tributos que podem ser criados pelos entes federativos, estabeleceu os limites que estes devem observar na hora de criá-los.</w:t>
      </w:r>
    </w:p>
    <w:p w:rsidR="007259F2" w:rsidRDefault="00E655B4">
      <w:pPr>
        <w:pStyle w:val="Corpodetexto"/>
        <w:ind w:right="997"/>
      </w:pPr>
      <w:r>
        <w:t>As imunidades constitucionais são verdadeiramente limitações de tributar por parte dos seus entes.</w:t>
      </w:r>
    </w:p>
    <w:p w:rsidR="007259F2" w:rsidRDefault="00E655B4">
      <w:pPr>
        <w:pStyle w:val="Corpodetexto"/>
        <w:ind w:right="986"/>
      </w:pPr>
      <w:r>
        <w:t>Define o artigo 150, VI da Constituição Federal que é vedado a União, Estados, Distrito Federal e Municípios instituir impostos em situações determinadas, resumidamente são elas: a imunidade recíproca, a templos de qualquer culto e a entidades educacional e assistencial. Desta forma, a imunidade tributária pode ser considerada como um obstáculo, criado pelo poder constituinte, no qual determinou que não recairá a tributação a partir de determinado fato ou pessoa.</w:t>
      </w:r>
    </w:p>
    <w:p w:rsidR="007259F2" w:rsidRDefault="00E655B4">
      <w:pPr>
        <w:pStyle w:val="Corpodetexto"/>
        <w:spacing w:before="1"/>
        <w:ind w:left="1418" w:firstLine="0"/>
      </w:pPr>
      <w:r>
        <w:t>Dispõe</w:t>
      </w:r>
      <w:r>
        <w:rPr>
          <w:spacing w:val="-4"/>
        </w:rPr>
        <w:t xml:space="preserve"> </w:t>
      </w:r>
      <w:r>
        <w:t>o ministro</w:t>
      </w:r>
      <w:r>
        <w:rPr>
          <w:spacing w:val="-1"/>
        </w:rPr>
        <w:t xml:space="preserve"> </w:t>
      </w:r>
      <w:r>
        <w:t>Celso de Mello</w:t>
      </w:r>
      <w:r>
        <w:rPr>
          <w:spacing w:val="-1"/>
        </w:rPr>
        <w:t xml:space="preserve"> </w:t>
      </w:r>
      <w:r>
        <w:t>no julgamento</w:t>
      </w:r>
      <w:r>
        <w:rPr>
          <w:spacing w:val="2"/>
        </w:rPr>
        <w:t xml:space="preserve"> </w:t>
      </w:r>
      <w:r>
        <w:t>da</w:t>
      </w:r>
      <w:r>
        <w:rPr>
          <w:spacing w:val="-16"/>
        </w:rPr>
        <w:t xml:space="preserve"> </w:t>
      </w:r>
      <w:r>
        <w:t>ADI</w:t>
      </w:r>
      <w:r>
        <w:rPr>
          <w:spacing w:val="-4"/>
        </w:rPr>
        <w:t xml:space="preserve"> 712:</w:t>
      </w:r>
    </w:p>
    <w:p w:rsidR="007259F2" w:rsidRDefault="007259F2">
      <w:pPr>
        <w:pStyle w:val="Corpodetexto"/>
        <w:spacing w:before="1"/>
        <w:ind w:left="0" w:firstLine="0"/>
        <w:jc w:val="left"/>
      </w:pPr>
    </w:p>
    <w:p w:rsidR="007259F2" w:rsidRDefault="00E655B4">
      <w:pPr>
        <w:ind w:left="2978" w:right="989"/>
        <w:jc w:val="both"/>
        <w:rPr>
          <w:sz w:val="20"/>
        </w:rPr>
      </w:pPr>
      <w:r>
        <w:rPr>
          <w:sz w:val="20"/>
        </w:rPr>
        <w:t>O exercício do poder tributário, pelo Estado, submete-se, por inteiro, aos modelos jurídicos positivados no texto constitucional que, de modo explícito ou implícito, institui em favor dos contribuintes decisivas limitações à competência estatal para impor e exigir, coativamente, as diversas espécies tributárias existentes. (</w:t>
      </w:r>
      <w:r>
        <w:rPr>
          <w:b/>
          <w:sz w:val="20"/>
        </w:rPr>
        <w:t>ADI 712- MC</w:t>
      </w:r>
      <w:r>
        <w:rPr>
          <w:sz w:val="20"/>
        </w:rPr>
        <w:t xml:space="preserve">, Rel. Min. Celso de Mello, DJ </w:t>
      </w:r>
      <w:r>
        <w:rPr>
          <w:spacing w:val="-2"/>
          <w:sz w:val="20"/>
        </w:rPr>
        <w:t>19/02/93).</w:t>
      </w:r>
    </w:p>
    <w:p w:rsidR="007259F2" w:rsidRDefault="00E655B4">
      <w:pPr>
        <w:pStyle w:val="Corpodetexto"/>
        <w:spacing w:before="227"/>
        <w:ind w:right="999"/>
      </w:pPr>
      <w:r>
        <w:t xml:space="preserve">Sobre esse tema, Yoshiaki Ichihara conceitua imunidade tributária da seguinte </w:t>
      </w:r>
      <w:r>
        <w:rPr>
          <w:spacing w:val="-2"/>
        </w:rPr>
        <w:t>maneira:</w:t>
      </w:r>
    </w:p>
    <w:p w:rsidR="007259F2" w:rsidRDefault="00E655B4">
      <w:pPr>
        <w:spacing w:before="1"/>
        <w:ind w:left="2978"/>
        <w:rPr>
          <w:sz w:val="20"/>
        </w:rPr>
      </w:pPr>
      <w:r>
        <w:rPr>
          <w:sz w:val="20"/>
        </w:rPr>
        <w:t>Imunidades</w:t>
      </w:r>
      <w:r>
        <w:rPr>
          <w:spacing w:val="78"/>
          <w:sz w:val="20"/>
        </w:rPr>
        <w:t xml:space="preserve"> </w:t>
      </w:r>
      <w:r>
        <w:rPr>
          <w:sz w:val="20"/>
        </w:rPr>
        <w:t>tributária</w:t>
      </w:r>
      <w:r>
        <w:rPr>
          <w:spacing w:val="79"/>
          <w:sz w:val="20"/>
        </w:rPr>
        <w:t xml:space="preserve"> </w:t>
      </w:r>
      <w:r>
        <w:rPr>
          <w:sz w:val="20"/>
        </w:rPr>
        <w:t>são</w:t>
      </w:r>
      <w:r>
        <w:rPr>
          <w:spacing w:val="56"/>
          <w:w w:val="150"/>
          <w:sz w:val="20"/>
        </w:rPr>
        <w:t xml:space="preserve"> </w:t>
      </w:r>
      <w:r>
        <w:rPr>
          <w:sz w:val="20"/>
        </w:rPr>
        <w:t>norma</w:t>
      </w:r>
      <w:r>
        <w:rPr>
          <w:spacing w:val="55"/>
          <w:w w:val="150"/>
          <w:sz w:val="20"/>
        </w:rPr>
        <w:t xml:space="preserve"> </w:t>
      </w:r>
      <w:r>
        <w:rPr>
          <w:sz w:val="20"/>
        </w:rPr>
        <w:t>da</w:t>
      </w:r>
      <w:r>
        <w:rPr>
          <w:spacing w:val="55"/>
          <w:w w:val="150"/>
          <w:sz w:val="20"/>
        </w:rPr>
        <w:t xml:space="preserve"> </w:t>
      </w:r>
      <w:r>
        <w:rPr>
          <w:sz w:val="20"/>
        </w:rPr>
        <w:t>Constituição</w:t>
      </w:r>
      <w:r>
        <w:rPr>
          <w:spacing w:val="56"/>
          <w:w w:val="150"/>
          <w:sz w:val="20"/>
        </w:rPr>
        <w:t xml:space="preserve"> </w:t>
      </w:r>
      <w:r>
        <w:rPr>
          <w:sz w:val="20"/>
        </w:rPr>
        <w:t>Federal,</w:t>
      </w:r>
      <w:r>
        <w:rPr>
          <w:spacing w:val="55"/>
          <w:w w:val="150"/>
          <w:sz w:val="20"/>
        </w:rPr>
        <w:t xml:space="preserve"> </w:t>
      </w:r>
      <w:r>
        <w:rPr>
          <w:sz w:val="20"/>
        </w:rPr>
        <w:t>expressas</w:t>
      </w:r>
      <w:r>
        <w:rPr>
          <w:spacing w:val="79"/>
          <w:sz w:val="20"/>
        </w:rPr>
        <w:t xml:space="preserve"> </w:t>
      </w:r>
      <w:r>
        <w:rPr>
          <w:spacing w:val="-10"/>
          <w:sz w:val="20"/>
        </w:rPr>
        <w:t>e</w:t>
      </w:r>
    </w:p>
    <w:p w:rsidR="007259F2" w:rsidRDefault="00DE6B1C">
      <w:pPr>
        <w:pStyle w:val="Corpodetexto"/>
        <w:spacing w:before="35"/>
        <w:ind w:left="0" w:firstLine="0"/>
        <w:jc w:val="left"/>
        <w:rPr>
          <w:sz w:val="20"/>
        </w:rPr>
      </w:pPr>
      <w:r w:rsidRPr="00DE6B1C">
        <w:rPr>
          <w:sz w:val="20"/>
        </w:rPr>
        <w:pict>
          <v:rect id="docshape186" o:spid="_x0000_s1045" style="position:absolute;margin-left:85.1pt;margin-top:14.45pt;width:2in;height:.7pt;z-index:-15644160;mso-wrap-distance-left:0;mso-wrap-distance-right:0;mso-position-horizontal-relative:page" fillcolor="black" stroked="f">
            <w10:wrap type="topAndBottom" anchorx="page"/>
          </v:rect>
        </w:pict>
      </w:r>
    </w:p>
    <w:p w:rsidR="007259F2" w:rsidRDefault="00E655B4">
      <w:pPr>
        <w:spacing w:before="96"/>
        <w:ind w:left="710"/>
        <w:rPr>
          <w:sz w:val="20"/>
        </w:rPr>
      </w:pPr>
      <w:r>
        <w:rPr>
          <w:sz w:val="20"/>
          <w:vertAlign w:val="superscript"/>
        </w:rPr>
        <w:t>4</w:t>
      </w:r>
      <w:r>
        <w:rPr>
          <w:spacing w:val="-4"/>
          <w:sz w:val="20"/>
        </w:rPr>
        <w:t xml:space="preserve"> </w:t>
      </w:r>
      <w:r>
        <w:rPr>
          <w:sz w:val="20"/>
        </w:rPr>
        <w:t>SABBAG,</w:t>
      </w:r>
      <w:r>
        <w:rPr>
          <w:spacing w:val="-2"/>
          <w:sz w:val="20"/>
        </w:rPr>
        <w:t xml:space="preserve"> </w:t>
      </w:r>
      <w:r>
        <w:rPr>
          <w:i/>
          <w:sz w:val="20"/>
        </w:rPr>
        <w:t>op.</w:t>
      </w:r>
      <w:r>
        <w:rPr>
          <w:i/>
          <w:spacing w:val="-3"/>
          <w:sz w:val="20"/>
        </w:rPr>
        <w:t xml:space="preserve"> </w:t>
      </w:r>
      <w:r>
        <w:rPr>
          <w:i/>
          <w:sz w:val="20"/>
        </w:rPr>
        <w:t>cit</w:t>
      </w:r>
      <w:r>
        <w:rPr>
          <w:sz w:val="20"/>
        </w:rPr>
        <w:t>.,</w:t>
      </w:r>
      <w:r>
        <w:rPr>
          <w:spacing w:val="-3"/>
          <w:sz w:val="20"/>
        </w:rPr>
        <w:t xml:space="preserve"> </w:t>
      </w:r>
      <w:r>
        <w:rPr>
          <w:sz w:val="20"/>
        </w:rPr>
        <w:t>p.</w:t>
      </w:r>
      <w:r>
        <w:rPr>
          <w:spacing w:val="-5"/>
          <w:sz w:val="20"/>
        </w:rPr>
        <w:t xml:space="preserve"> </w:t>
      </w:r>
      <w:r>
        <w:rPr>
          <w:spacing w:val="-4"/>
          <w:sz w:val="20"/>
        </w:rPr>
        <w:t>915.</w:t>
      </w:r>
    </w:p>
    <w:p w:rsidR="007259F2" w:rsidRDefault="00E655B4">
      <w:pPr>
        <w:spacing w:before="1"/>
        <w:ind w:left="710"/>
        <w:rPr>
          <w:sz w:val="20"/>
        </w:rPr>
      </w:pPr>
      <w:r>
        <w:rPr>
          <w:sz w:val="20"/>
          <w:vertAlign w:val="superscript"/>
        </w:rPr>
        <w:t>5</w:t>
      </w:r>
      <w:r>
        <w:rPr>
          <w:spacing w:val="-11"/>
          <w:sz w:val="20"/>
        </w:rPr>
        <w:t xml:space="preserve"> </w:t>
      </w:r>
      <w:r>
        <w:rPr>
          <w:sz w:val="20"/>
        </w:rPr>
        <w:t>HARADA,</w:t>
      </w:r>
      <w:r>
        <w:rPr>
          <w:spacing w:val="-6"/>
          <w:sz w:val="20"/>
        </w:rPr>
        <w:t xml:space="preserve"> </w:t>
      </w:r>
      <w:r>
        <w:rPr>
          <w:sz w:val="20"/>
        </w:rPr>
        <w:t>Kiyoshi.</w:t>
      </w:r>
      <w:r>
        <w:rPr>
          <w:spacing w:val="-5"/>
          <w:sz w:val="20"/>
        </w:rPr>
        <w:t xml:space="preserve"> </w:t>
      </w:r>
      <w:r>
        <w:rPr>
          <w:b/>
          <w:sz w:val="20"/>
        </w:rPr>
        <w:t>Direito</w:t>
      </w:r>
      <w:r>
        <w:rPr>
          <w:b/>
          <w:spacing w:val="-5"/>
          <w:sz w:val="20"/>
        </w:rPr>
        <w:t xml:space="preserve"> </w:t>
      </w:r>
      <w:r>
        <w:rPr>
          <w:b/>
          <w:sz w:val="20"/>
        </w:rPr>
        <w:t>Financeiro</w:t>
      </w:r>
      <w:r>
        <w:rPr>
          <w:b/>
          <w:spacing w:val="-5"/>
          <w:sz w:val="20"/>
        </w:rPr>
        <w:t xml:space="preserve"> </w:t>
      </w:r>
      <w:r>
        <w:rPr>
          <w:b/>
          <w:sz w:val="20"/>
        </w:rPr>
        <w:t>e</w:t>
      </w:r>
      <w:r>
        <w:rPr>
          <w:b/>
          <w:spacing w:val="-10"/>
          <w:sz w:val="20"/>
        </w:rPr>
        <w:t xml:space="preserve"> </w:t>
      </w:r>
      <w:r>
        <w:rPr>
          <w:b/>
          <w:sz w:val="20"/>
        </w:rPr>
        <w:t>Tributário</w:t>
      </w:r>
      <w:r>
        <w:rPr>
          <w:sz w:val="20"/>
        </w:rPr>
        <w:t>.</w:t>
      </w:r>
      <w:r>
        <w:rPr>
          <w:spacing w:val="-6"/>
          <w:sz w:val="20"/>
        </w:rPr>
        <w:t xml:space="preserve"> </w:t>
      </w:r>
      <w:r>
        <w:rPr>
          <w:sz w:val="20"/>
        </w:rPr>
        <w:t>27.</w:t>
      </w:r>
      <w:r>
        <w:rPr>
          <w:spacing w:val="-8"/>
          <w:sz w:val="20"/>
        </w:rPr>
        <w:t xml:space="preserve"> </w:t>
      </w:r>
      <w:r>
        <w:rPr>
          <w:sz w:val="20"/>
        </w:rPr>
        <w:t>ed.</w:t>
      </w:r>
      <w:r>
        <w:rPr>
          <w:spacing w:val="-6"/>
          <w:sz w:val="20"/>
        </w:rPr>
        <w:t xml:space="preserve"> </w:t>
      </w:r>
      <w:r>
        <w:rPr>
          <w:sz w:val="20"/>
        </w:rPr>
        <w:t>São</w:t>
      </w:r>
      <w:r>
        <w:rPr>
          <w:spacing w:val="-5"/>
          <w:sz w:val="20"/>
        </w:rPr>
        <w:t xml:space="preserve"> </w:t>
      </w:r>
      <w:r>
        <w:rPr>
          <w:sz w:val="20"/>
        </w:rPr>
        <w:t>Paulo:</w:t>
      </w:r>
      <w:r>
        <w:rPr>
          <w:spacing w:val="-13"/>
          <w:sz w:val="20"/>
        </w:rPr>
        <w:t xml:space="preserve"> </w:t>
      </w:r>
      <w:r>
        <w:rPr>
          <w:sz w:val="20"/>
        </w:rPr>
        <w:t>Atlas,</w:t>
      </w:r>
      <w:r>
        <w:rPr>
          <w:spacing w:val="-6"/>
          <w:sz w:val="20"/>
        </w:rPr>
        <w:t xml:space="preserve"> </w:t>
      </w:r>
      <w:r>
        <w:rPr>
          <w:sz w:val="20"/>
        </w:rPr>
        <w:t>2018,</w:t>
      </w:r>
      <w:r>
        <w:rPr>
          <w:spacing w:val="-6"/>
          <w:sz w:val="20"/>
        </w:rPr>
        <w:t xml:space="preserve"> </w:t>
      </w:r>
      <w:r>
        <w:rPr>
          <w:sz w:val="20"/>
        </w:rPr>
        <w:t>p.</w:t>
      </w:r>
      <w:r>
        <w:rPr>
          <w:spacing w:val="-7"/>
          <w:sz w:val="20"/>
        </w:rPr>
        <w:t xml:space="preserve"> </w:t>
      </w:r>
      <w:r>
        <w:rPr>
          <w:spacing w:val="-4"/>
          <w:sz w:val="20"/>
        </w:rPr>
        <w:t>498.</w:t>
      </w:r>
    </w:p>
    <w:p w:rsidR="007259F2" w:rsidRDefault="007259F2">
      <w:pPr>
        <w:rPr>
          <w:sz w:val="20"/>
        </w:rPr>
        <w:sectPr w:rsidR="007259F2">
          <w:pgSz w:w="11910" w:h="16840"/>
          <w:pgMar w:top="1320" w:right="708" w:bottom="1160" w:left="992" w:header="0" w:footer="962" w:gutter="0"/>
          <w:cols w:space="720"/>
        </w:sectPr>
      </w:pPr>
    </w:p>
    <w:p w:rsidR="007259F2" w:rsidRDefault="00E655B4">
      <w:pPr>
        <w:spacing w:before="71"/>
        <w:ind w:left="2978" w:right="991"/>
        <w:jc w:val="both"/>
        <w:rPr>
          <w:sz w:val="20"/>
        </w:rPr>
      </w:pPr>
      <w:r>
        <w:rPr>
          <w:sz w:val="20"/>
        </w:rPr>
        <w:lastRenderedPageBreak/>
        <w:t>determinadas, que delimitam negativamente, descrevendo os contornos às normas atributivas e dentro do campo das competências tributárias, estabelecendo e criando uma área de incompetência, dirigidas às pessoas jurídicas de direito público destinatárias, com eficácia plena e aplicabilidade imediata, outorgando implicitamente direitos subjetivos aos destinatários beneficiados, não se confundindo com as normas fundamentais, vedações ou proibições expressas, com as limitações que decorrem dos princípios constitucionais, nem com a não-incidência.</w:t>
      </w:r>
      <w:r>
        <w:rPr>
          <w:sz w:val="20"/>
          <w:vertAlign w:val="superscript"/>
        </w:rPr>
        <w:t>6</w:t>
      </w:r>
    </w:p>
    <w:p w:rsidR="007259F2" w:rsidRDefault="007259F2">
      <w:pPr>
        <w:pStyle w:val="Corpodetexto"/>
        <w:ind w:left="0" w:firstLine="0"/>
        <w:jc w:val="left"/>
        <w:rPr>
          <w:sz w:val="20"/>
        </w:rPr>
      </w:pPr>
    </w:p>
    <w:p w:rsidR="007259F2" w:rsidRDefault="00E655B4">
      <w:pPr>
        <w:pStyle w:val="Corpodetexto"/>
        <w:ind w:right="992"/>
      </w:pPr>
      <w:r>
        <w:t xml:space="preserve">De todo o exposto, em síntese, a imunidade nada mais é do que a exclusão da </w:t>
      </w:r>
      <w:r>
        <w:rPr>
          <w:spacing w:val="-2"/>
        </w:rPr>
        <w:t>tributação.</w:t>
      </w:r>
    </w:p>
    <w:p w:rsidR="007259F2" w:rsidRDefault="00E655B4">
      <w:pPr>
        <w:pStyle w:val="Corpodetexto"/>
        <w:ind w:right="994"/>
      </w:pPr>
      <w:r>
        <w:t>Por se tratar este artigo sobre a aplicação da imunidade recíproca quando da cessão de bem público a terceiro na prestação de serviço público, passaremos a uma análise pormenorizada do instituto imunidade recíproca.</w:t>
      </w:r>
    </w:p>
    <w:p w:rsidR="007259F2" w:rsidRDefault="00E655B4">
      <w:pPr>
        <w:pStyle w:val="PargrafodaLista"/>
        <w:numPr>
          <w:ilvl w:val="1"/>
          <w:numId w:val="12"/>
        </w:numPr>
        <w:tabs>
          <w:tab w:val="left" w:pos="1096"/>
        </w:tabs>
        <w:spacing w:before="207"/>
        <w:ind w:left="1096" w:hanging="386"/>
        <w:rPr>
          <w:b/>
        </w:rPr>
      </w:pPr>
      <w:r>
        <w:rPr>
          <w:b/>
        </w:rPr>
        <w:t>Imunidade</w:t>
      </w:r>
      <w:r>
        <w:rPr>
          <w:b/>
          <w:spacing w:val="-8"/>
        </w:rPr>
        <w:t xml:space="preserve"> </w:t>
      </w:r>
      <w:r>
        <w:rPr>
          <w:b/>
        </w:rPr>
        <w:t>Tributária</w:t>
      </w:r>
      <w:r>
        <w:rPr>
          <w:b/>
          <w:spacing w:val="-7"/>
        </w:rPr>
        <w:t xml:space="preserve"> </w:t>
      </w:r>
      <w:r>
        <w:rPr>
          <w:b/>
          <w:spacing w:val="-2"/>
        </w:rPr>
        <w:t>Recíproca</w:t>
      </w:r>
    </w:p>
    <w:p w:rsidR="007259F2" w:rsidRDefault="00E655B4">
      <w:pPr>
        <w:pStyle w:val="Corpodetexto"/>
        <w:spacing w:before="150"/>
        <w:ind w:right="995"/>
      </w:pPr>
      <w:r>
        <w:t>Nos termos do artigo 150, inciso VI, “a” da Constituição Federal, é proibido à União, aos Estados, ao Distrito Federal e aos Municípios a criação de impostos sobre o patrimônio, renda ou serviços uns dos outros.</w:t>
      </w:r>
    </w:p>
    <w:p w:rsidR="007259F2" w:rsidRDefault="00E655B4">
      <w:pPr>
        <w:pStyle w:val="Corpodetexto"/>
        <w:ind w:right="990"/>
      </w:pPr>
      <w:r>
        <w:t>Essa imunidade é estendida às entidades políticas da Administração</w:t>
      </w:r>
      <w:r>
        <w:rPr>
          <w:spacing w:val="40"/>
        </w:rPr>
        <w:t xml:space="preserve"> </w:t>
      </w:r>
      <w:r>
        <w:t>Centralizada, ou seja, à União, aos Estados, ao Distrito Federal e aos Municípios, e também abrange as pessoas jurídicas de direito público da</w:t>
      </w:r>
      <w:r>
        <w:rPr>
          <w:spacing w:val="-6"/>
        </w:rPr>
        <w:t xml:space="preserve"> </w:t>
      </w:r>
      <w:r>
        <w:t>Administração Indireta. Essa regra decorre da coexistência das três esferas governamentais inerentes ao sistema federativo brasileiro.</w:t>
      </w:r>
    </w:p>
    <w:p w:rsidR="007259F2" w:rsidRDefault="00E655B4">
      <w:pPr>
        <w:pStyle w:val="Corpodetexto"/>
        <w:spacing w:before="1"/>
        <w:ind w:right="991"/>
      </w:pPr>
      <w:r>
        <w:t>No que diz respeito a sua abrangência, importante destacar que a imunidade recíproca se aplica somente com relação a obrigação principal, desta forma, não atinge as obrigações tributárias acessórias, ou seja, a imunidade recíproca se aplica somente</w:t>
      </w:r>
      <w:r>
        <w:rPr>
          <w:spacing w:val="40"/>
        </w:rPr>
        <w:t xml:space="preserve"> </w:t>
      </w:r>
      <w:r>
        <w:t>aos impostos, não havendo vedação para a incidência das demais hipóteses.</w:t>
      </w:r>
    </w:p>
    <w:p w:rsidR="007259F2" w:rsidRDefault="00E655B4">
      <w:pPr>
        <w:pStyle w:val="Corpodetexto"/>
        <w:ind w:right="991"/>
      </w:pPr>
      <w:r>
        <w:t>A principal finalidade da imunidade recíproca é evitar que as unidades federativas sejam obrigadas a pagar impostos umas às outras, o que ajudaria a evitar conflitos fiscais e práticas de “guerra fiscal” no contexto federativo. Além disso, ela protege contra influências políticas mútuas que possam abalar o princípio fundamental do federalismo, tendo como objetivo preservar a unidade federativa, como uma consequência direta e imediata do princípio da igualdade existente entre os Entes Federativos, sendo todos autônomos, conforme previsto na Constituição Federal.</w:t>
      </w:r>
    </w:p>
    <w:p w:rsidR="007259F2" w:rsidRDefault="00E655B4">
      <w:pPr>
        <w:pStyle w:val="Corpodetexto"/>
        <w:ind w:right="988"/>
      </w:pPr>
      <w:r>
        <w:t>No entanto, a imunidade recíproca é limitada pelo artigo 150, § 3, da Constituição Federal, que permite a tributação quando os entes políticos exercem atividades</w:t>
      </w:r>
      <w:r>
        <w:rPr>
          <w:spacing w:val="-1"/>
        </w:rPr>
        <w:t xml:space="preserve"> </w:t>
      </w:r>
      <w:r>
        <w:t>econômicas</w:t>
      </w:r>
      <w:r>
        <w:rPr>
          <w:spacing w:val="-1"/>
        </w:rPr>
        <w:t xml:space="preserve"> </w:t>
      </w:r>
      <w:r>
        <w:t>não</w:t>
      </w:r>
      <w:r>
        <w:rPr>
          <w:spacing w:val="-2"/>
        </w:rPr>
        <w:t xml:space="preserve"> </w:t>
      </w:r>
      <w:r>
        <w:t>vinculadas</w:t>
      </w:r>
      <w:r>
        <w:rPr>
          <w:spacing w:val="-1"/>
        </w:rPr>
        <w:t xml:space="preserve"> </w:t>
      </w:r>
      <w:r>
        <w:t>às</w:t>
      </w:r>
      <w:r>
        <w:rPr>
          <w:spacing w:val="-1"/>
        </w:rPr>
        <w:t xml:space="preserve"> </w:t>
      </w:r>
      <w:r>
        <w:t>atividades</w:t>
      </w:r>
      <w:r>
        <w:rPr>
          <w:spacing w:val="-2"/>
        </w:rPr>
        <w:t xml:space="preserve"> </w:t>
      </w:r>
      <w:r>
        <w:t>estatais</w:t>
      </w:r>
      <w:r>
        <w:rPr>
          <w:spacing w:val="-1"/>
        </w:rPr>
        <w:t xml:space="preserve"> </w:t>
      </w:r>
      <w:r>
        <w:t>típicas</w:t>
      </w:r>
      <w:r>
        <w:rPr>
          <w:spacing w:val="-1"/>
        </w:rPr>
        <w:t xml:space="preserve"> </w:t>
      </w:r>
      <w:r>
        <w:t>e</w:t>
      </w:r>
      <w:r>
        <w:rPr>
          <w:spacing w:val="-2"/>
        </w:rPr>
        <w:t xml:space="preserve"> </w:t>
      </w:r>
      <w:r>
        <w:t>regidas</w:t>
      </w:r>
      <w:r>
        <w:rPr>
          <w:spacing w:val="-1"/>
        </w:rPr>
        <w:t xml:space="preserve"> </w:t>
      </w:r>
      <w:r>
        <w:t>pelo</w:t>
      </w:r>
      <w:r>
        <w:rPr>
          <w:spacing w:val="-1"/>
        </w:rPr>
        <w:t xml:space="preserve"> </w:t>
      </w:r>
      <w:r>
        <w:t xml:space="preserve">direito privado, ou que haja contraprestação ou pagamento de tarifas pelos usuários, </w:t>
      </w:r>
      <w:r>
        <w:rPr>
          <w:i/>
        </w:rPr>
        <w:t>in verbis</w:t>
      </w:r>
      <w:r>
        <w:t>:</w:t>
      </w:r>
    </w:p>
    <w:p w:rsidR="007259F2" w:rsidRDefault="007259F2">
      <w:pPr>
        <w:pStyle w:val="Corpodetexto"/>
        <w:spacing w:before="2"/>
        <w:ind w:left="0" w:firstLine="0"/>
        <w:jc w:val="left"/>
      </w:pPr>
    </w:p>
    <w:p w:rsidR="007259F2" w:rsidRDefault="00E655B4">
      <w:pPr>
        <w:ind w:left="2978" w:right="994"/>
        <w:jc w:val="both"/>
        <w:rPr>
          <w:sz w:val="20"/>
        </w:rPr>
      </w:pPr>
      <w:r>
        <w:rPr>
          <w:sz w:val="20"/>
        </w:rPr>
        <w:t>§ 3º As vedações do inciso VI, "a", e do parágrafo anterior não se aplicam</w:t>
      </w:r>
      <w:r>
        <w:rPr>
          <w:spacing w:val="-1"/>
          <w:sz w:val="20"/>
        </w:rPr>
        <w:t xml:space="preserve"> </w:t>
      </w:r>
      <w:r>
        <w:rPr>
          <w:sz w:val="20"/>
        </w:rPr>
        <w:t>ao patrimônio, à renda e aos serviços, relacionados com exploração de</w:t>
      </w:r>
      <w:r>
        <w:rPr>
          <w:spacing w:val="40"/>
          <w:sz w:val="20"/>
        </w:rPr>
        <w:t xml:space="preserve"> </w:t>
      </w:r>
      <w:r>
        <w:rPr>
          <w:sz w:val="20"/>
        </w:rPr>
        <w:t>atividades econômicas regidas pelas normas aplicáveis a empreendimentos privados,</w:t>
      </w:r>
      <w:r>
        <w:rPr>
          <w:spacing w:val="-2"/>
          <w:sz w:val="20"/>
        </w:rPr>
        <w:t xml:space="preserve"> </w:t>
      </w:r>
      <w:r>
        <w:rPr>
          <w:sz w:val="20"/>
        </w:rPr>
        <w:t>ou</w:t>
      </w:r>
      <w:r>
        <w:rPr>
          <w:spacing w:val="-2"/>
          <w:sz w:val="20"/>
        </w:rPr>
        <w:t xml:space="preserve"> </w:t>
      </w:r>
      <w:r>
        <w:rPr>
          <w:sz w:val="20"/>
        </w:rPr>
        <w:t>em</w:t>
      </w:r>
      <w:r>
        <w:rPr>
          <w:spacing w:val="-4"/>
          <w:sz w:val="20"/>
        </w:rPr>
        <w:t xml:space="preserve"> </w:t>
      </w:r>
      <w:r>
        <w:rPr>
          <w:sz w:val="20"/>
        </w:rPr>
        <w:t>que</w:t>
      </w:r>
      <w:r>
        <w:rPr>
          <w:spacing w:val="-2"/>
          <w:sz w:val="20"/>
        </w:rPr>
        <w:t xml:space="preserve"> </w:t>
      </w:r>
      <w:r>
        <w:rPr>
          <w:sz w:val="20"/>
        </w:rPr>
        <w:t>haja contra-</w:t>
      </w:r>
      <w:r>
        <w:rPr>
          <w:spacing w:val="-2"/>
          <w:sz w:val="20"/>
        </w:rPr>
        <w:t xml:space="preserve"> </w:t>
      </w:r>
      <w:r>
        <w:rPr>
          <w:sz w:val="20"/>
        </w:rPr>
        <w:t>prestação ou</w:t>
      </w:r>
      <w:r>
        <w:rPr>
          <w:spacing w:val="-2"/>
          <w:sz w:val="20"/>
        </w:rPr>
        <w:t xml:space="preserve"> </w:t>
      </w:r>
      <w:r>
        <w:rPr>
          <w:sz w:val="20"/>
        </w:rPr>
        <w:t>pagamento</w:t>
      </w:r>
      <w:r>
        <w:rPr>
          <w:spacing w:val="-1"/>
          <w:sz w:val="20"/>
        </w:rPr>
        <w:t xml:space="preserve"> </w:t>
      </w:r>
      <w:r>
        <w:rPr>
          <w:sz w:val="20"/>
        </w:rPr>
        <w:t>de</w:t>
      </w:r>
      <w:r>
        <w:rPr>
          <w:spacing w:val="-2"/>
          <w:sz w:val="20"/>
        </w:rPr>
        <w:t xml:space="preserve"> </w:t>
      </w:r>
      <w:r>
        <w:rPr>
          <w:sz w:val="20"/>
        </w:rPr>
        <w:t>preços</w:t>
      </w:r>
      <w:r>
        <w:rPr>
          <w:spacing w:val="-4"/>
          <w:sz w:val="20"/>
        </w:rPr>
        <w:t xml:space="preserve"> </w:t>
      </w:r>
      <w:r>
        <w:rPr>
          <w:sz w:val="20"/>
        </w:rPr>
        <w:t>ou</w:t>
      </w:r>
      <w:r>
        <w:rPr>
          <w:spacing w:val="-2"/>
          <w:sz w:val="20"/>
        </w:rPr>
        <w:t xml:space="preserve"> </w:t>
      </w:r>
      <w:r>
        <w:rPr>
          <w:sz w:val="20"/>
        </w:rPr>
        <w:t>tarifas pelo usuário, nem exonera o promitente comprador da obrigação de pagar imposto relativamente ao bem imóvel. (BRASIL, 1988)</w:t>
      </w:r>
    </w:p>
    <w:p w:rsidR="007259F2" w:rsidRDefault="007259F2">
      <w:pPr>
        <w:pStyle w:val="Corpodetexto"/>
        <w:spacing w:before="179"/>
        <w:ind w:left="0" w:firstLine="0"/>
        <w:jc w:val="left"/>
        <w:rPr>
          <w:sz w:val="20"/>
        </w:rPr>
      </w:pPr>
    </w:p>
    <w:p w:rsidR="007259F2" w:rsidRDefault="00E655B4">
      <w:pPr>
        <w:pStyle w:val="Corpodetexto"/>
        <w:ind w:right="994"/>
      </w:pPr>
      <w:r>
        <w:t>Portanto, a imunidade recíproca só se aplica às atividades típicas dos entes políticos, a menos que estejam envolvidos em atividades econômicas sujeitas a contraprestação ou pagamento de tarifas pelos usuários.</w:t>
      </w:r>
    </w:p>
    <w:p w:rsidR="007259F2" w:rsidRDefault="00DE6B1C">
      <w:pPr>
        <w:pStyle w:val="Corpodetexto"/>
        <w:spacing w:before="110"/>
        <w:ind w:left="0" w:firstLine="0"/>
        <w:jc w:val="left"/>
        <w:rPr>
          <w:sz w:val="20"/>
        </w:rPr>
      </w:pPr>
      <w:r w:rsidRPr="00DE6B1C">
        <w:rPr>
          <w:sz w:val="20"/>
        </w:rPr>
        <w:pict>
          <v:rect id="docshape187" o:spid="_x0000_s1044" style="position:absolute;margin-left:85.1pt;margin-top:18.2pt;width:2in;height:.7pt;z-index:-15643648;mso-wrap-distance-left:0;mso-wrap-distance-right:0;mso-position-horizontal-relative:page" fillcolor="black" stroked="f">
            <w10:wrap type="topAndBottom" anchorx="page"/>
          </v:rect>
        </w:pict>
      </w:r>
    </w:p>
    <w:p w:rsidR="007259F2" w:rsidRDefault="00E655B4">
      <w:pPr>
        <w:spacing w:before="96"/>
        <w:ind w:left="710"/>
        <w:rPr>
          <w:sz w:val="20"/>
        </w:rPr>
      </w:pPr>
      <w:r>
        <w:rPr>
          <w:sz w:val="20"/>
          <w:vertAlign w:val="superscript"/>
        </w:rPr>
        <w:t>6</w:t>
      </w:r>
      <w:r>
        <w:rPr>
          <w:spacing w:val="-10"/>
          <w:sz w:val="20"/>
        </w:rPr>
        <w:t xml:space="preserve"> </w:t>
      </w:r>
      <w:r>
        <w:rPr>
          <w:sz w:val="20"/>
        </w:rPr>
        <w:t>ICHIHARA,</w:t>
      </w:r>
      <w:r>
        <w:rPr>
          <w:spacing w:val="-5"/>
          <w:sz w:val="20"/>
        </w:rPr>
        <w:t xml:space="preserve"> </w:t>
      </w:r>
      <w:r>
        <w:rPr>
          <w:sz w:val="20"/>
        </w:rPr>
        <w:t>Yoshiaki.</w:t>
      </w:r>
      <w:r>
        <w:rPr>
          <w:spacing w:val="-4"/>
          <w:sz w:val="20"/>
        </w:rPr>
        <w:t xml:space="preserve"> </w:t>
      </w:r>
      <w:r>
        <w:rPr>
          <w:b/>
          <w:sz w:val="20"/>
        </w:rPr>
        <w:t>Imunidades</w:t>
      </w:r>
      <w:r>
        <w:rPr>
          <w:b/>
          <w:spacing w:val="-6"/>
          <w:sz w:val="20"/>
        </w:rPr>
        <w:t xml:space="preserve"> </w:t>
      </w:r>
      <w:r>
        <w:rPr>
          <w:b/>
          <w:sz w:val="20"/>
        </w:rPr>
        <w:t>Tributárias</w:t>
      </w:r>
      <w:r>
        <w:rPr>
          <w:sz w:val="20"/>
        </w:rPr>
        <w:t>.</w:t>
      </w:r>
      <w:r>
        <w:rPr>
          <w:spacing w:val="-5"/>
          <w:sz w:val="20"/>
        </w:rPr>
        <w:t xml:space="preserve"> </w:t>
      </w:r>
      <w:r>
        <w:rPr>
          <w:sz w:val="20"/>
        </w:rPr>
        <w:t>São</w:t>
      </w:r>
      <w:r>
        <w:rPr>
          <w:spacing w:val="-4"/>
          <w:sz w:val="20"/>
        </w:rPr>
        <w:t xml:space="preserve"> </w:t>
      </w:r>
      <w:r>
        <w:rPr>
          <w:sz w:val="20"/>
        </w:rPr>
        <w:t>Paulo:</w:t>
      </w:r>
      <w:r>
        <w:rPr>
          <w:spacing w:val="-6"/>
          <w:sz w:val="20"/>
        </w:rPr>
        <w:t xml:space="preserve"> </w:t>
      </w:r>
      <w:r>
        <w:rPr>
          <w:sz w:val="20"/>
        </w:rPr>
        <w:t>Atlas,</w:t>
      </w:r>
      <w:r>
        <w:rPr>
          <w:spacing w:val="-5"/>
          <w:sz w:val="20"/>
        </w:rPr>
        <w:t xml:space="preserve"> </w:t>
      </w:r>
      <w:r>
        <w:rPr>
          <w:sz w:val="20"/>
        </w:rPr>
        <w:t>2000,</w:t>
      </w:r>
      <w:r>
        <w:rPr>
          <w:spacing w:val="-7"/>
          <w:sz w:val="20"/>
        </w:rPr>
        <w:t xml:space="preserve"> </w:t>
      </w:r>
      <w:r>
        <w:rPr>
          <w:sz w:val="20"/>
        </w:rPr>
        <w:t>p.</w:t>
      </w:r>
      <w:r>
        <w:rPr>
          <w:spacing w:val="-5"/>
          <w:sz w:val="20"/>
        </w:rPr>
        <w:t xml:space="preserve"> </w:t>
      </w:r>
      <w:r>
        <w:rPr>
          <w:spacing w:val="-4"/>
          <w:sz w:val="20"/>
        </w:rPr>
        <w:t>183.</w:t>
      </w:r>
    </w:p>
    <w:p w:rsidR="007259F2" w:rsidRDefault="007259F2">
      <w:pPr>
        <w:rPr>
          <w:sz w:val="20"/>
        </w:rPr>
        <w:sectPr w:rsidR="007259F2">
          <w:pgSz w:w="11910" w:h="16840"/>
          <w:pgMar w:top="1320" w:right="708" w:bottom="1160" w:left="992" w:header="0" w:footer="962" w:gutter="0"/>
          <w:cols w:space="720"/>
        </w:sectPr>
      </w:pPr>
    </w:p>
    <w:p w:rsidR="007259F2" w:rsidRDefault="00E655B4">
      <w:pPr>
        <w:pStyle w:val="Corpodetexto"/>
        <w:spacing w:before="69"/>
        <w:ind w:right="993"/>
      </w:pPr>
      <w:r>
        <w:lastRenderedPageBreak/>
        <w:t>No contexto da concessão de uso de imóveis públicos a pessoas jurídicas de direito privado para fins de atividade econômica, o fisco argumenta que a imunidade recíproca não se aplica a esses casos, sob o pretexto de proteger os princípios da livre iniciativa e concorrência. No entanto, a aplicação desses princípios deve ser cuidadosa, levando em consideração a natureza das atividades econômicas envolvidas.</w:t>
      </w:r>
    </w:p>
    <w:p w:rsidR="007259F2" w:rsidRDefault="00E655B4">
      <w:pPr>
        <w:pStyle w:val="Corpodetexto"/>
        <w:spacing w:before="1"/>
        <w:ind w:right="995"/>
      </w:pPr>
      <w:r>
        <w:t xml:space="preserve">Entretanto, diferente é a situação quando a pessoa jurídica de direito privado se utiliza do bem público, sob o qual recai a imunidade, para a prestação de serviços </w:t>
      </w:r>
      <w:r>
        <w:rPr>
          <w:spacing w:val="-2"/>
        </w:rPr>
        <w:t>públicos.</w:t>
      </w:r>
    </w:p>
    <w:p w:rsidR="007259F2" w:rsidRDefault="00E655B4">
      <w:pPr>
        <w:pStyle w:val="Corpodetexto"/>
        <w:ind w:right="990"/>
      </w:pPr>
      <w:r>
        <w:t>De maneira geral, parece contraditório o estado criar uma entidade para realizar um serviço que é sua responsabilidade exclusiva e, ao mesmo tempo, cobrar impostos por essa atividade. Essa tributação parece ser justificável apenas quando o serviço público é delegado a uma empresa privada, conforme previsto no artigo 175 da Constituição Federal, através de concessão ou permissão. Nesses casos, o serviço público, quando executado pelo setor privado sob essas regras, pode ser tributado. No entanto, tratando-se da ideia principal desse artigo, quando o serviço público é disponibilizado ao cidadão por meio de empresas públicas ou sociedades de economia mista,</w:t>
      </w:r>
      <w:r>
        <w:rPr>
          <w:spacing w:val="-1"/>
        </w:rPr>
        <w:t xml:space="preserve"> </w:t>
      </w:r>
      <w:r>
        <w:t>a</w:t>
      </w:r>
      <w:r>
        <w:rPr>
          <w:spacing w:val="-1"/>
        </w:rPr>
        <w:t xml:space="preserve"> </w:t>
      </w:r>
      <w:r>
        <w:t>imunidade</w:t>
      </w:r>
      <w:r>
        <w:rPr>
          <w:spacing w:val="-2"/>
        </w:rPr>
        <w:t xml:space="preserve"> </w:t>
      </w:r>
      <w:r>
        <w:t>tributária</w:t>
      </w:r>
      <w:r>
        <w:rPr>
          <w:spacing w:val="-2"/>
        </w:rPr>
        <w:t xml:space="preserve"> </w:t>
      </w:r>
      <w:r>
        <w:t>pode ser aplicada. Contudo, essa</w:t>
      </w:r>
      <w:r>
        <w:rPr>
          <w:spacing w:val="-1"/>
        </w:rPr>
        <w:t xml:space="preserve"> </w:t>
      </w:r>
      <w:r>
        <w:t>imunidade</w:t>
      </w:r>
      <w:r>
        <w:rPr>
          <w:spacing w:val="-2"/>
        </w:rPr>
        <w:t xml:space="preserve"> </w:t>
      </w:r>
      <w:r>
        <w:t>não se</w:t>
      </w:r>
      <w:r>
        <w:rPr>
          <w:spacing w:val="-1"/>
        </w:rPr>
        <w:t xml:space="preserve"> </w:t>
      </w:r>
      <w:r>
        <w:t>estende à exploração de atividades econômicas sob o regime da livre iniciativa por parte das empresas públicas e sociedades de economia mista.</w:t>
      </w:r>
    </w:p>
    <w:p w:rsidR="007259F2" w:rsidRDefault="00E655B4">
      <w:pPr>
        <w:pStyle w:val="Corpodetexto"/>
        <w:spacing w:before="1"/>
        <w:ind w:right="994"/>
      </w:pPr>
      <w:r>
        <w:t>A</w:t>
      </w:r>
      <w:r>
        <w:rPr>
          <w:spacing w:val="-13"/>
        </w:rPr>
        <w:t xml:space="preserve"> </w:t>
      </w:r>
      <w:r>
        <w:t>criação de entidades para oferecer serviços públicos é um requisito usado pelo legislador constituinte para permitir que autarquias e fundações públicas sejam isentas do pagamento de impostos, conforme o artigo 150, §2o da Constituição Federal. Portanto, é considerada apropriada a extensão da imunidade tributária mútua para o patrimônio, renda e serviços associados à prestação dos serviços públicos para os quais empresas públicas ou sociedades de economia mista foram estabelecidas.</w:t>
      </w:r>
    </w:p>
    <w:p w:rsidR="007259F2" w:rsidRDefault="00E655B4">
      <w:pPr>
        <w:pStyle w:val="PargrafodaLista"/>
        <w:numPr>
          <w:ilvl w:val="1"/>
          <w:numId w:val="12"/>
        </w:numPr>
        <w:tabs>
          <w:tab w:val="left" w:pos="1093"/>
        </w:tabs>
        <w:spacing w:before="206"/>
        <w:ind w:left="1093" w:hanging="383"/>
        <w:rPr>
          <w:b/>
        </w:rPr>
      </w:pPr>
      <w:r>
        <w:rPr>
          <w:b/>
        </w:rPr>
        <w:t>Princípios</w:t>
      </w:r>
      <w:r>
        <w:rPr>
          <w:b/>
          <w:spacing w:val="-4"/>
        </w:rPr>
        <w:t xml:space="preserve"> </w:t>
      </w:r>
      <w:r>
        <w:rPr>
          <w:b/>
        </w:rPr>
        <w:t>que</w:t>
      </w:r>
      <w:r>
        <w:rPr>
          <w:b/>
          <w:spacing w:val="-4"/>
        </w:rPr>
        <w:t xml:space="preserve"> </w:t>
      </w:r>
      <w:r>
        <w:rPr>
          <w:b/>
        </w:rPr>
        <w:t>regem</w:t>
      </w:r>
      <w:r>
        <w:rPr>
          <w:b/>
          <w:spacing w:val="-6"/>
        </w:rPr>
        <w:t xml:space="preserve"> </w:t>
      </w:r>
      <w:r>
        <w:rPr>
          <w:b/>
        </w:rPr>
        <w:t>a</w:t>
      </w:r>
      <w:r>
        <w:rPr>
          <w:b/>
          <w:spacing w:val="-3"/>
        </w:rPr>
        <w:t xml:space="preserve"> </w:t>
      </w:r>
      <w:r>
        <w:rPr>
          <w:b/>
        </w:rPr>
        <w:t>Imunidade</w:t>
      </w:r>
      <w:r>
        <w:rPr>
          <w:b/>
          <w:spacing w:val="-4"/>
        </w:rPr>
        <w:t xml:space="preserve"> </w:t>
      </w:r>
      <w:r>
        <w:rPr>
          <w:b/>
        </w:rPr>
        <w:t>Tributária</w:t>
      </w:r>
      <w:r>
        <w:rPr>
          <w:b/>
          <w:spacing w:val="-6"/>
        </w:rPr>
        <w:t xml:space="preserve"> </w:t>
      </w:r>
      <w:r>
        <w:rPr>
          <w:b/>
          <w:spacing w:val="-2"/>
        </w:rPr>
        <w:t>Recíproca</w:t>
      </w:r>
    </w:p>
    <w:p w:rsidR="007259F2" w:rsidRDefault="00E655B4">
      <w:pPr>
        <w:pStyle w:val="Corpodetexto"/>
        <w:spacing w:before="153"/>
        <w:ind w:right="997"/>
      </w:pPr>
      <w:r>
        <w:t>Após a análise constitucional da imunidade recíproca, passemos agora para a análise dos princípios que regem esse instituto.</w:t>
      </w:r>
    </w:p>
    <w:p w:rsidR="007259F2" w:rsidRDefault="00E655B4">
      <w:pPr>
        <w:pStyle w:val="Corpodetexto"/>
        <w:ind w:right="992"/>
      </w:pPr>
      <w:r>
        <w:t>Primeiramente, pode se dizer que o que fundamenta a imunidade recíproca em regra é o princípio federativo, mas também podemos falar da capacidade contributiva e também sobre a instituto da livre concorrência, igualmente prevista</w:t>
      </w:r>
      <w:r>
        <w:rPr>
          <w:spacing w:val="80"/>
        </w:rPr>
        <w:t xml:space="preserve"> </w:t>
      </w:r>
      <w:r>
        <w:rPr>
          <w:spacing w:val="-2"/>
        </w:rPr>
        <w:t>constitucionalmente.</w:t>
      </w:r>
    </w:p>
    <w:p w:rsidR="007259F2" w:rsidRDefault="00E655B4">
      <w:pPr>
        <w:pStyle w:val="Corpodetexto"/>
        <w:ind w:right="991"/>
      </w:pPr>
      <w:r>
        <w:t>No que diz respeito ao princípio federativo, o objetivo imediato é a garantia do perfeito funcionamento das esferas de governo, onde a liberdade pública depende da separação vertical dos poderes. A descentralização do poder, característica do federalismo, confere</w:t>
      </w:r>
      <w:r>
        <w:rPr>
          <w:spacing w:val="-1"/>
        </w:rPr>
        <w:t xml:space="preserve"> </w:t>
      </w:r>
      <w:r>
        <w:t>autonomia aos entes, representando a convivência entre</w:t>
      </w:r>
      <w:r>
        <w:rPr>
          <w:spacing w:val="-1"/>
        </w:rPr>
        <w:t xml:space="preserve"> </w:t>
      </w:r>
      <w:r>
        <w:t xml:space="preserve">eles, o que nos leva a um fortalecimento financeiro, do contrário, se existisse a tributação de um ente sobre o outro estaríamos diante do enfraquecimento financeiro. O princípio federativo não admite a subordinação de um ente sobre o outro, uma clara violação a </w:t>
      </w:r>
      <w:r>
        <w:rPr>
          <w:spacing w:val="-2"/>
        </w:rPr>
        <w:t>autonomia.</w:t>
      </w:r>
    </w:p>
    <w:p w:rsidR="007259F2" w:rsidRDefault="00E655B4">
      <w:pPr>
        <w:pStyle w:val="Corpodetexto"/>
        <w:spacing w:before="1"/>
        <w:ind w:right="984"/>
      </w:pPr>
      <w:r>
        <w:t>Quanto ao princípio da capacidade contributiva, podemos traduzir em princípio da igualdade. Para que esse princípio seja atendido se faz necessário um critério de justificação, onde o atendimento será diferenciado. Com relação ao imposto, dispõe o art. 145, §1º em outras palavras que sempre que possível, os impostos serão personalizados e ajustados de acordo com a capacidade financeira do contribuinte. A administração tributária terá permissão, especialmente para garantir que esses objetivos sejam atendidos, de identificar, dentro dos limites da lei e respeitando os direitos individuais, os bens, ganhos e atividades econômicas dos contribuintes</w:t>
      </w:r>
    </w:p>
    <w:p w:rsidR="007259F2" w:rsidRDefault="007259F2">
      <w:pPr>
        <w:pStyle w:val="Corpodetexto"/>
        <w:sectPr w:rsidR="007259F2">
          <w:pgSz w:w="11910" w:h="16840"/>
          <w:pgMar w:top="1320" w:right="708" w:bottom="1160" w:left="992" w:header="0" w:footer="962" w:gutter="0"/>
          <w:cols w:space="720"/>
        </w:sectPr>
      </w:pPr>
    </w:p>
    <w:p w:rsidR="007259F2" w:rsidRDefault="00E655B4">
      <w:pPr>
        <w:pStyle w:val="Corpodetexto"/>
        <w:spacing w:before="69"/>
        <w:ind w:right="993"/>
      </w:pPr>
      <w:r>
        <w:lastRenderedPageBreak/>
        <w:t>Em outras palavras, trata-se da divisão das despesas na medida da capacidade individual</w:t>
      </w:r>
      <w:r>
        <w:rPr>
          <w:spacing w:val="-1"/>
        </w:rPr>
        <w:t xml:space="preserve"> </w:t>
      </w:r>
      <w:r>
        <w:t>de</w:t>
      </w:r>
      <w:r>
        <w:rPr>
          <w:spacing w:val="-2"/>
        </w:rPr>
        <w:t xml:space="preserve"> </w:t>
      </w:r>
      <w:r>
        <w:t>cada</w:t>
      </w:r>
      <w:r>
        <w:rPr>
          <w:spacing w:val="-2"/>
        </w:rPr>
        <w:t xml:space="preserve"> </w:t>
      </w:r>
      <w:r>
        <w:t>indivíduo,</w:t>
      </w:r>
      <w:r>
        <w:rPr>
          <w:spacing w:val="-1"/>
        </w:rPr>
        <w:t xml:space="preserve"> </w:t>
      </w:r>
      <w:r>
        <w:t>em</w:t>
      </w:r>
      <w:r>
        <w:rPr>
          <w:spacing w:val="-1"/>
        </w:rPr>
        <w:t xml:space="preserve"> </w:t>
      </w:r>
      <w:r>
        <w:t>que</w:t>
      </w:r>
      <w:r>
        <w:rPr>
          <w:spacing w:val="-2"/>
        </w:rPr>
        <w:t xml:space="preserve"> </w:t>
      </w:r>
      <w:r>
        <w:t>é</w:t>
      </w:r>
      <w:r>
        <w:rPr>
          <w:spacing w:val="-2"/>
        </w:rPr>
        <w:t xml:space="preserve"> </w:t>
      </w:r>
      <w:r>
        <w:t>dado</w:t>
      </w:r>
      <w:r>
        <w:rPr>
          <w:spacing w:val="-1"/>
        </w:rPr>
        <w:t xml:space="preserve"> </w:t>
      </w:r>
      <w:r>
        <w:t>tratamento</w:t>
      </w:r>
      <w:r>
        <w:rPr>
          <w:spacing w:val="-1"/>
        </w:rPr>
        <w:t xml:space="preserve"> </w:t>
      </w:r>
      <w:r>
        <w:t>desigual</w:t>
      </w:r>
      <w:r>
        <w:rPr>
          <w:spacing w:val="-1"/>
        </w:rPr>
        <w:t xml:space="preserve"> </w:t>
      </w:r>
      <w:r>
        <w:t>aos</w:t>
      </w:r>
      <w:r>
        <w:rPr>
          <w:spacing w:val="-1"/>
        </w:rPr>
        <w:t xml:space="preserve"> </w:t>
      </w:r>
      <w:r>
        <w:t>desiguais.</w:t>
      </w:r>
      <w:r>
        <w:rPr>
          <w:spacing w:val="-14"/>
        </w:rPr>
        <w:t xml:space="preserve"> </w:t>
      </w:r>
      <w:r>
        <w:t>Assim,</w:t>
      </w:r>
      <w:r>
        <w:rPr>
          <w:spacing w:val="-1"/>
        </w:rPr>
        <w:t xml:space="preserve"> </w:t>
      </w:r>
      <w:r>
        <w:t>a imunidade recíproca se fundamenta tanto no princípio federativo quanto no da capacidade contributiva, porque toda a riqueza do Estado serve diretamente para as finalidades públicas, sendo, portanto, sem sentido atribuí-lo uma capacidade de contribuição para os propósitos nos quais toda sua atividade e existência estão destinadas. Nesse sentido, o ente público possui capacidade econômica, mas não capacidade contributiva, já que os recursos são revertidos em prol da coletividade.</w:t>
      </w:r>
    </w:p>
    <w:p w:rsidR="007259F2" w:rsidRDefault="00E655B4">
      <w:pPr>
        <w:pStyle w:val="Corpodetexto"/>
        <w:spacing w:before="1"/>
        <w:ind w:right="993"/>
      </w:pPr>
      <w:r>
        <w:t>Importante</w:t>
      </w:r>
      <w:r>
        <w:rPr>
          <w:spacing w:val="-1"/>
        </w:rPr>
        <w:t xml:space="preserve"> </w:t>
      </w:r>
      <w:r>
        <w:t>trazer para</w:t>
      </w:r>
      <w:r>
        <w:rPr>
          <w:spacing w:val="-1"/>
        </w:rPr>
        <w:t xml:space="preserve"> </w:t>
      </w:r>
      <w:r>
        <w:t>a discussão o art.</w:t>
      </w:r>
      <w:r>
        <w:rPr>
          <w:spacing w:val="-1"/>
        </w:rPr>
        <w:t xml:space="preserve"> </w:t>
      </w:r>
      <w:r>
        <w:t>150, § 3º da</w:t>
      </w:r>
      <w:r>
        <w:rPr>
          <w:spacing w:val="-1"/>
        </w:rPr>
        <w:t xml:space="preserve"> </w:t>
      </w:r>
      <w:r>
        <w:t>CF</w:t>
      </w:r>
      <w:r>
        <w:rPr>
          <w:spacing w:val="-2"/>
        </w:rPr>
        <w:t xml:space="preserve"> </w:t>
      </w:r>
      <w:r>
        <w:t>que exclui do âmbito da imunidade tributária recíproca o patrimônio, renda e serviços relacionados a exploração de atividades econômicas, amparadas pelas normas aplicáveis aos empreendimentos privados. Por isso, é imprescindível a análise da capacidade contributiva das pessoas jurídicas de</w:t>
      </w:r>
      <w:r>
        <w:rPr>
          <w:spacing w:val="-1"/>
        </w:rPr>
        <w:t xml:space="preserve"> </w:t>
      </w:r>
      <w:r>
        <w:t>direito privado, para</w:t>
      </w:r>
      <w:r>
        <w:rPr>
          <w:spacing w:val="-1"/>
        </w:rPr>
        <w:t xml:space="preserve"> </w:t>
      </w:r>
      <w:r>
        <w:t>constatar</w:t>
      </w:r>
      <w:r>
        <w:rPr>
          <w:spacing w:val="-1"/>
        </w:rPr>
        <w:t xml:space="preserve"> </w:t>
      </w:r>
      <w:r>
        <w:t>se</w:t>
      </w:r>
      <w:r>
        <w:rPr>
          <w:spacing w:val="-1"/>
        </w:rPr>
        <w:t xml:space="preserve"> </w:t>
      </w:r>
      <w:r>
        <w:t>elas atuam como instrumentos públicos ou se</w:t>
      </w:r>
      <w:r>
        <w:rPr>
          <w:spacing w:val="-1"/>
        </w:rPr>
        <w:t xml:space="preserve"> </w:t>
      </w:r>
      <w:r>
        <w:t>são equiparadas a</w:t>
      </w:r>
      <w:r>
        <w:rPr>
          <w:spacing w:val="-1"/>
        </w:rPr>
        <w:t xml:space="preserve"> </w:t>
      </w:r>
      <w:r>
        <w:t>empreendimentos privados, devendo neste último caso ser</w:t>
      </w:r>
      <w:r>
        <w:rPr>
          <w:spacing w:val="-1"/>
        </w:rPr>
        <w:t xml:space="preserve"> </w:t>
      </w:r>
      <w:r>
        <w:t>afastado o reconhecimento da imunidade recíproca.</w:t>
      </w:r>
    </w:p>
    <w:p w:rsidR="007259F2" w:rsidRDefault="00E655B4">
      <w:pPr>
        <w:pStyle w:val="PargrafodaLista"/>
        <w:numPr>
          <w:ilvl w:val="0"/>
          <w:numId w:val="12"/>
        </w:numPr>
        <w:tabs>
          <w:tab w:val="left" w:pos="958"/>
        </w:tabs>
        <w:spacing w:before="206" w:line="278" w:lineRule="auto"/>
        <w:ind w:left="710" w:right="994" w:firstLine="0"/>
        <w:rPr>
          <w:b/>
        </w:rPr>
      </w:pPr>
      <w:r>
        <w:rPr>
          <w:b/>
        </w:rPr>
        <w:t>Imunidade Tributária Recíproca</w:t>
      </w:r>
      <w:r>
        <w:rPr>
          <w:b/>
          <w:spacing w:val="27"/>
        </w:rPr>
        <w:t xml:space="preserve"> </w:t>
      </w:r>
      <w:r>
        <w:rPr>
          <w:b/>
        </w:rPr>
        <w:t>e</w:t>
      </w:r>
      <w:r>
        <w:rPr>
          <w:b/>
          <w:spacing w:val="27"/>
        </w:rPr>
        <w:t xml:space="preserve"> </w:t>
      </w:r>
      <w:r>
        <w:rPr>
          <w:b/>
        </w:rPr>
        <w:t>o Imóvel Público utilizado por Pessoa Jurídica</w:t>
      </w:r>
      <w:r>
        <w:rPr>
          <w:b/>
          <w:spacing w:val="27"/>
        </w:rPr>
        <w:t xml:space="preserve"> </w:t>
      </w:r>
      <w:r>
        <w:rPr>
          <w:b/>
        </w:rPr>
        <w:t>de</w:t>
      </w:r>
      <w:r>
        <w:rPr>
          <w:b/>
          <w:spacing w:val="40"/>
        </w:rPr>
        <w:t xml:space="preserve"> </w:t>
      </w:r>
      <w:r>
        <w:rPr>
          <w:b/>
        </w:rPr>
        <w:t>Direito Privado</w:t>
      </w:r>
    </w:p>
    <w:p w:rsidR="007259F2" w:rsidRDefault="00E655B4">
      <w:pPr>
        <w:pStyle w:val="PargrafodaLista"/>
        <w:numPr>
          <w:ilvl w:val="1"/>
          <w:numId w:val="12"/>
        </w:numPr>
        <w:tabs>
          <w:tab w:val="left" w:pos="1093"/>
        </w:tabs>
        <w:spacing w:before="117"/>
        <w:ind w:left="1093" w:hanging="383"/>
        <w:rPr>
          <w:b/>
        </w:rPr>
      </w:pPr>
      <w:r>
        <w:rPr>
          <w:b/>
        </w:rPr>
        <w:t>Prestação</w:t>
      </w:r>
      <w:r>
        <w:rPr>
          <w:b/>
          <w:spacing w:val="-3"/>
        </w:rPr>
        <w:t xml:space="preserve"> </w:t>
      </w:r>
      <w:r>
        <w:rPr>
          <w:b/>
        </w:rPr>
        <w:t>de</w:t>
      </w:r>
      <w:r>
        <w:rPr>
          <w:b/>
          <w:spacing w:val="-5"/>
        </w:rPr>
        <w:t xml:space="preserve"> </w:t>
      </w:r>
      <w:r>
        <w:rPr>
          <w:b/>
        </w:rPr>
        <w:t>serviço</w:t>
      </w:r>
      <w:r>
        <w:rPr>
          <w:b/>
          <w:spacing w:val="-4"/>
        </w:rPr>
        <w:t xml:space="preserve"> </w:t>
      </w:r>
      <w:r>
        <w:rPr>
          <w:b/>
        </w:rPr>
        <w:t>público</w:t>
      </w:r>
      <w:r>
        <w:rPr>
          <w:b/>
          <w:spacing w:val="-3"/>
        </w:rPr>
        <w:t xml:space="preserve"> </w:t>
      </w:r>
      <w:r>
        <w:rPr>
          <w:b/>
        </w:rPr>
        <w:t>versus</w:t>
      </w:r>
      <w:r>
        <w:rPr>
          <w:b/>
          <w:spacing w:val="-2"/>
        </w:rPr>
        <w:t xml:space="preserve"> </w:t>
      </w:r>
      <w:r>
        <w:rPr>
          <w:b/>
        </w:rPr>
        <w:t>Atividade</w:t>
      </w:r>
      <w:r>
        <w:rPr>
          <w:b/>
          <w:spacing w:val="-4"/>
        </w:rPr>
        <w:t xml:space="preserve"> </w:t>
      </w:r>
      <w:r>
        <w:rPr>
          <w:b/>
          <w:spacing w:val="-2"/>
        </w:rPr>
        <w:t>Econômica</w:t>
      </w:r>
    </w:p>
    <w:p w:rsidR="007259F2" w:rsidRDefault="00E655B4">
      <w:pPr>
        <w:pStyle w:val="Corpodetexto"/>
        <w:spacing w:before="151"/>
        <w:ind w:right="997"/>
      </w:pPr>
      <w:r>
        <w:t>Após conceituação da imunidade recíproca, ficou constatado que deve ser observado a natureza da atividade exercida pela pessoa jurídica no bem imóvel</w:t>
      </w:r>
      <w:r>
        <w:rPr>
          <w:spacing w:val="40"/>
        </w:rPr>
        <w:t xml:space="preserve"> </w:t>
      </w:r>
      <w:r>
        <w:t>utilizado, se é exploração de atividade econômica ou se é prestação de serviço público, pois essa distinção é de grande importância para a tributação, como veremos a seguir.</w:t>
      </w:r>
    </w:p>
    <w:p w:rsidR="007259F2" w:rsidRDefault="00E655B4">
      <w:pPr>
        <w:pStyle w:val="Corpodetexto"/>
        <w:ind w:right="992"/>
      </w:pPr>
      <w:r>
        <w:t>Quanto a atuação estatal no domínio econômico, já sabemos que não goza de imunidade recíproca, em absoluta consonância com o art. 150 §3º da constituição, combinado com o 173 da CF, que submete as pessoas de direito público que exploram atividade econômica ao regime próprio de empresas privadas, incluindo as obrigações tributárias, visando a livre concorrência e equidade concorrencial.</w:t>
      </w:r>
    </w:p>
    <w:p w:rsidR="007259F2" w:rsidRDefault="00E655B4">
      <w:pPr>
        <w:pStyle w:val="Corpodetexto"/>
        <w:ind w:right="991"/>
      </w:pPr>
      <w:r>
        <w:t>Entretanto, não há limitação da imunidade tributária recíproca quando o ente federativo presta serviço público.</w:t>
      </w:r>
    </w:p>
    <w:p w:rsidR="007259F2" w:rsidRDefault="00E655B4">
      <w:pPr>
        <w:pStyle w:val="Corpodetexto"/>
        <w:ind w:right="994"/>
      </w:pPr>
      <w:r>
        <w:t>No direito pátrio, embora a prestação de serviço público seja realizada pelo próprio Estado, em algumas situações a execução dessa atividade é transferida a um terceiro por meio de concessão ou permissão.</w:t>
      </w:r>
    </w:p>
    <w:p w:rsidR="007259F2" w:rsidRDefault="00E655B4">
      <w:pPr>
        <w:pStyle w:val="Corpodetexto"/>
        <w:ind w:left="1418" w:firstLine="0"/>
      </w:pPr>
      <w:r>
        <w:t>Conforme</w:t>
      </w:r>
      <w:r>
        <w:rPr>
          <w:spacing w:val="-4"/>
        </w:rPr>
        <w:t xml:space="preserve"> </w:t>
      </w:r>
      <w:r>
        <w:t>aborda</w:t>
      </w:r>
      <w:r>
        <w:rPr>
          <w:spacing w:val="-2"/>
        </w:rPr>
        <w:t xml:space="preserve"> </w:t>
      </w:r>
      <w:r>
        <w:t>Celso</w:t>
      </w:r>
      <w:r>
        <w:rPr>
          <w:spacing w:val="-13"/>
        </w:rPr>
        <w:t xml:space="preserve"> </w:t>
      </w:r>
      <w:r>
        <w:t>Antônio</w:t>
      </w:r>
      <w:r>
        <w:rPr>
          <w:spacing w:val="-1"/>
        </w:rPr>
        <w:t xml:space="preserve"> </w:t>
      </w:r>
      <w:r>
        <w:t>Bandeira</w:t>
      </w:r>
      <w:r>
        <w:rPr>
          <w:spacing w:val="-2"/>
        </w:rPr>
        <w:t xml:space="preserve"> </w:t>
      </w:r>
      <w:r>
        <w:t>de</w:t>
      </w:r>
      <w:r>
        <w:rPr>
          <w:spacing w:val="-2"/>
        </w:rPr>
        <w:t xml:space="preserve"> Mello:</w:t>
      </w:r>
    </w:p>
    <w:p w:rsidR="007259F2" w:rsidRDefault="00E655B4">
      <w:pPr>
        <w:spacing w:before="232"/>
        <w:ind w:left="2978" w:right="995"/>
        <w:jc w:val="both"/>
        <w:rPr>
          <w:sz w:val="20"/>
        </w:rPr>
      </w:pPr>
      <w:r>
        <w:rPr>
          <w:sz w:val="20"/>
        </w:rPr>
        <w:t>Serviço Público é, portanto, toda atividade de oferecimento de utilidade ou comodidade material destinada à satisfação da coletividade em geral, mas fruível singular- mente pelos administrados, que o Estado assume como pertinente a seus deveres e presta por si mesmo ou por quem lhe faça as vezes, sob um regime de Direito Público, portanto, consagrador de prerrogativas de supremacia e de restrições especiais, instituído em</w:t>
      </w:r>
      <w:r>
        <w:rPr>
          <w:spacing w:val="-1"/>
          <w:sz w:val="20"/>
        </w:rPr>
        <w:t xml:space="preserve"> </w:t>
      </w:r>
      <w:r>
        <w:rPr>
          <w:sz w:val="20"/>
        </w:rPr>
        <w:t>favor dos interesses definidos como públicos no sistema normativo.</w:t>
      </w:r>
      <w:r>
        <w:rPr>
          <w:sz w:val="20"/>
          <w:vertAlign w:val="superscript"/>
        </w:rPr>
        <w:t>7</w:t>
      </w:r>
    </w:p>
    <w:p w:rsidR="007259F2" w:rsidRDefault="007259F2">
      <w:pPr>
        <w:pStyle w:val="Corpodetexto"/>
        <w:ind w:left="0" w:firstLine="0"/>
        <w:jc w:val="left"/>
        <w:rPr>
          <w:sz w:val="20"/>
        </w:rPr>
      </w:pPr>
    </w:p>
    <w:p w:rsidR="007259F2" w:rsidRDefault="00E655B4">
      <w:pPr>
        <w:pStyle w:val="Corpodetexto"/>
        <w:ind w:right="995"/>
      </w:pPr>
      <w:r>
        <w:t>Notadamente, pode se dizer que a prestação de serviço público é a concretização dos objetivos do Estado, não podendo ser confundido a titularidade de serviço com a titularidade da prestação de serviço.</w:t>
      </w:r>
    </w:p>
    <w:p w:rsidR="007259F2" w:rsidRDefault="00E655B4">
      <w:pPr>
        <w:pStyle w:val="Corpodetexto"/>
        <w:ind w:left="1418" w:firstLine="0"/>
      </w:pPr>
      <w:r>
        <w:t>Continua</w:t>
      </w:r>
      <w:r>
        <w:rPr>
          <w:spacing w:val="-2"/>
        </w:rPr>
        <w:t xml:space="preserve"> </w:t>
      </w:r>
      <w:r>
        <w:t>o</w:t>
      </w:r>
      <w:r>
        <w:rPr>
          <w:spacing w:val="-1"/>
        </w:rPr>
        <w:t xml:space="preserve"> </w:t>
      </w:r>
      <w:r>
        <w:t>autor</w:t>
      </w:r>
      <w:r>
        <w:rPr>
          <w:spacing w:val="-1"/>
        </w:rPr>
        <w:t xml:space="preserve"> </w:t>
      </w:r>
      <w:r>
        <w:t>destacando</w:t>
      </w:r>
      <w:r>
        <w:rPr>
          <w:spacing w:val="-1"/>
        </w:rPr>
        <w:t xml:space="preserve"> </w:t>
      </w:r>
      <w:r>
        <w:rPr>
          <w:spacing w:val="-4"/>
        </w:rPr>
        <w:t>que:</w:t>
      </w:r>
    </w:p>
    <w:p w:rsidR="007259F2" w:rsidRDefault="00E655B4">
      <w:pPr>
        <w:spacing w:before="230"/>
        <w:ind w:left="2978"/>
        <w:jc w:val="both"/>
        <w:rPr>
          <w:sz w:val="20"/>
        </w:rPr>
      </w:pPr>
      <w:r>
        <w:rPr>
          <w:sz w:val="20"/>
        </w:rPr>
        <w:t>O</w:t>
      </w:r>
      <w:r>
        <w:rPr>
          <w:spacing w:val="8"/>
          <w:sz w:val="20"/>
        </w:rPr>
        <w:t xml:space="preserve"> </w:t>
      </w:r>
      <w:r>
        <w:rPr>
          <w:sz w:val="20"/>
        </w:rPr>
        <w:t>fato</w:t>
      </w:r>
      <w:r>
        <w:rPr>
          <w:spacing w:val="11"/>
          <w:sz w:val="20"/>
        </w:rPr>
        <w:t xml:space="preserve"> </w:t>
      </w:r>
      <w:r>
        <w:rPr>
          <w:sz w:val="20"/>
        </w:rPr>
        <w:t>de</w:t>
      </w:r>
      <w:r>
        <w:rPr>
          <w:spacing w:val="8"/>
          <w:sz w:val="20"/>
        </w:rPr>
        <w:t xml:space="preserve"> </w:t>
      </w:r>
      <w:r>
        <w:rPr>
          <w:sz w:val="20"/>
        </w:rPr>
        <w:t>o</w:t>
      </w:r>
      <w:r>
        <w:rPr>
          <w:spacing w:val="9"/>
          <w:sz w:val="20"/>
        </w:rPr>
        <w:t xml:space="preserve"> </w:t>
      </w:r>
      <w:r>
        <w:rPr>
          <w:sz w:val="20"/>
        </w:rPr>
        <w:t>Estado</w:t>
      </w:r>
      <w:r>
        <w:rPr>
          <w:spacing w:val="9"/>
          <w:sz w:val="20"/>
        </w:rPr>
        <w:t xml:space="preserve"> </w:t>
      </w:r>
      <w:r>
        <w:rPr>
          <w:sz w:val="20"/>
        </w:rPr>
        <w:t>(União,</w:t>
      </w:r>
      <w:r>
        <w:rPr>
          <w:spacing w:val="8"/>
          <w:sz w:val="20"/>
        </w:rPr>
        <w:t xml:space="preserve"> </w:t>
      </w:r>
      <w:r>
        <w:rPr>
          <w:sz w:val="20"/>
        </w:rPr>
        <w:t>Estado,</w:t>
      </w:r>
      <w:r>
        <w:rPr>
          <w:spacing w:val="8"/>
          <w:sz w:val="20"/>
        </w:rPr>
        <w:t xml:space="preserve"> </w:t>
      </w:r>
      <w:r>
        <w:rPr>
          <w:sz w:val="20"/>
        </w:rPr>
        <w:t>Distrito</w:t>
      </w:r>
      <w:r>
        <w:rPr>
          <w:spacing w:val="11"/>
          <w:sz w:val="20"/>
        </w:rPr>
        <w:t xml:space="preserve"> </w:t>
      </w:r>
      <w:r>
        <w:rPr>
          <w:sz w:val="20"/>
        </w:rPr>
        <w:t>Federal</w:t>
      </w:r>
      <w:r>
        <w:rPr>
          <w:spacing w:val="8"/>
          <w:sz w:val="20"/>
        </w:rPr>
        <w:t xml:space="preserve"> </w:t>
      </w:r>
      <w:r>
        <w:rPr>
          <w:sz w:val="20"/>
        </w:rPr>
        <w:t>e</w:t>
      </w:r>
      <w:r>
        <w:rPr>
          <w:spacing w:val="8"/>
          <w:sz w:val="20"/>
        </w:rPr>
        <w:t xml:space="preserve"> </w:t>
      </w:r>
      <w:r>
        <w:rPr>
          <w:sz w:val="20"/>
        </w:rPr>
        <w:t>Municípios)</w:t>
      </w:r>
      <w:r>
        <w:rPr>
          <w:spacing w:val="8"/>
          <w:sz w:val="20"/>
        </w:rPr>
        <w:t xml:space="preserve"> </w:t>
      </w:r>
      <w:r>
        <w:rPr>
          <w:sz w:val="20"/>
        </w:rPr>
        <w:t>ser</w:t>
      </w:r>
      <w:r>
        <w:rPr>
          <w:spacing w:val="10"/>
          <w:sz w:val="20"/>
        </w:rPr>
        <w:t xml:space="preserve"> </w:t>
      </w:r>
      <w:r>
        <w:rPr>
          <w:spacing w:val="-2"/>
          <w:sz w:val="20"/>
        </w:rPr>
        <w:t>titular</w:t>
      </w:r>
    </w:p>
    <w:p w:rsidR="007259F2" w:rsidRDefault="00DE6B1C">
      <w:pPr>
        <w:pStyle w:val="Corpodetexto"/>
        <w:spacing w:before="1"/>
        <w:ind w:left="0" w:firstLine="0"/>
        <w:jc w:val="left"/>
        <w:rPr>
          <w:sz w:val="16"/>
        </w:rPr>
      </w:pPr>
      <w:r w:rsidRPr="00DE6B1C">
        <w:rPr>
          <w:sz w:val="16"/>
        </w:rPr>
        <w:pict>
          <v:rect id="docshape188" o:spid="_x0000_s1043" style="position:absolute;margin-left:85.1pt;margin-top:10.45pt;width:2in;height:.7pt;z-index:-15643136;mso-wrap-distance-left:0;mso-wrap-distance-right:0;mso-position-horizontal-relative:page" fillcolor="black" stroked="f">
            <w10:wrap type="topAndBottom" anchorx="page"/>
          </v:rect>
        </w:pict>
      </w:r>
    </w:p>
    <w:p w:rsidR="007259F2" w:rsidRDefault="00E655B4">
      <w:pPr>
        <w:spacing w:before="96"/>
        <w:ind w:left="710" w:right="990"/>
        <w:rPr>
          <w:sz w:val="20"/>
        </w:rPr>
      </w:pPr>
      <w:r>
        <w:rPr>
          <w:sz w:val="20"/>
          <w:vertAlign w:val="superscript"/>
        </w:rPr>
        <w:t>7</w:t>
      </w:r>
      <w:r>
        <w:rPr>
          <w:spacing w:val="27"/>
          <w:sz w:val="20"/>
        </w:rPr>
        <w:t xml:space="preserve"> </w:t>
      </w:r>
      <w:r>
        <w:rPr>
          <w:sz w:val="20"/>
        </w:rPr>
        <w:t>MELLO,</w:t>
      </w:r>
      <w:r>
        <w:rPr>
          <w:spacing w:val="28"/>
          <w:sz w:val="20"/>
        </w:rPr>
        <w:t xml:space="preserve"> </w:t>
      </w:r>
      <w:r>
        <w:rPr>
          <w:sz w:val="20"/>
        </w:rPr>
        <w:t>Celso Antônio</w:t>
      </w:r>
      <w:r>
        <w:rPr>
          <w:spacing w:val="28"/>
          <w:sz w:val="20"/>
        </w:rPr>
        <w:t xml:space="preserve"> </w:t>
      </w:r>
      <w:r>
        <w:rPr>
          <w:sz w:val="20"/>
        </w:rPr>
        <w:t>Bandeira.</w:t>
      </w:r>
      <w:r>
        <w:rPr>
          <w:spacing w:val="32"/>
          <w:sz w:val="20"/>
        </w:rPr>
        <w:t xml:space="preserve"> </w:t>
      </w:r>
      <w:r>
        <w:rPr>
          <w:b/>
          <w:sz w:val="20"/>
        </w:rPr>
        <w:t>Curso</w:t>
      </w:r>
      <w:r>
        <w:rPr>
          <w:b/>
          <w:spacing w:val="27"/>
          <w:sz w:val="20"/>
        </w:rPr>
        <w:t xml:space="preserve"> </w:t>
      </w:r>
      <w:r>
        <w:rPr>
          <w:b/>
          <w:sz w:val="20"/>
        </w:rPr>
        <w:t>de</w:t>
      </w:r>
      <w:r>
        <w:rPr>
          <w:b/>
          <w:spacing w:val="27"/>
          <w:sz w:val="20"/>
        </w:rPr>
        <w:t xml:space="preserve"> </w:t>
      </w:r>
      <w:r>
        <w:rPr>
          <w:b/>
          <w:sz w:val="20"/>
        </w:rPr>
        <w:t>Direito Administrativo</w:t>
      </w:r>
      <w:r>
        <w:rPr>
          <w:sz w:val="20"/>
        </w:rPr>
        <w:t>.</w:t>
      </w:r>
      <w:r>
        <w:rPr>
          <w:spacing w:val="27"/>
          <w:sz w:val="20"/>
        </w:rPr>
        <w:t xml:space="preserve"> </w:t>
      </w:r>
      <w:r>
        <w:rPr>
          <w:sz w:val="20"/>
        </w:rPr>
        <w:t>32.</w:t>
      </w:r>
      <w:r>
        <w:rPr>
          <w:spacing w:val="27"/>
          <w:sz w:val="20"/>
        </w:rPr>
        <w:t xml:space="preserve"> </w:t>
      </w:r>
      <w:r>
        <w:rPr>
          <w:sz w:val="20"/>
        </w:rPr>
        <w:t>ed.</w:t>
      </w:r>
      <w:r>
        <w:rPr>
          <w:spacing w:val="27"/>
          <w:sz w:val="20"/>
        </w:rPr>
        <w:t xml:space="preserve"> </w:t>
      </w:r>
      <w:r>
        <w:rPr>
          <w:sz w:val="20"/>
        </w:rPr>
        <w:t>São</w:t>
      </w:r>
      <w:r>
        <w:rPr>
          <w:spacing w:val="26"/>
          <w:sz w:val="20"/>
        </w:rPr>
        <w:t xml:space="preserve"> </w:t>
      </w:r>
      <w:r>
        <w:rPr>
          <w:sz w:val="20"/>
        </w:rPr>
        <w:t>Paulo:</w:t>
      </w:r>
      <w:r>
        <w:rPr>
          <w:spacing w:val="27"/>
          <w:sz w:val="20"/>
        </w:rPr>
        <w:t xml:space="preserve"> </w:t>
      </w:r>
      <w:r>
        <w:rPr>
          <w:sz w:val="20"/>
        </w:rPr>
        <w:t>Malheiros Editores,</w:t>
      </w:r>
      <w:r>
        <w:rPr>
          <w:spacing w:val="80"/>
          <w:sz w:val="20"/>
        </w:rPr>
        <w:t xml:space="preserve"> </w:t>
      </w:r>
      <w:r>
        <w:rPr>
          <w:sz w:val="20"/>
        </w:rPr>
        <w:t>2014, p. 695.</w:t>
      </w:r>
    </w:p>
    <w:p w:rsidR="007259F2" w:rsidRDefault="007259F2">
      <w:pPr>
        <w:rPr>
          <w:sz w:val="20"/>
        </w:rPr>
        <w:sectPr w:rsidR="007259F2">
          <w:pgSz w:w="11910" w:h="16840"/>
          <w:pgMar w:top="1320" w:right="708" w:bottom="1160" w:left="992" w:header="0" w:footer="962" w:gutter="0"/>
          <w:cols w:space="720"/>
        </w:sectPr>
      </w:pPr>
    </w:p>
    <w:p w:rsidR="007259F2" w:rsidRDefault="00E655B4">
      <w:pPr>
        <w:spacing w:before="71"/>
        <w:ind w:left="2978" w:right="994"/>
        <w:jc w:val="both"/>
        <w:rPr>
          <w:sz w:val="20"/>
        </w:rPr>
      </w:pPr>
      <w:r>
        <w:rPr>
          <w:sz w:val="20"/>
        </w:rPr>
        <w:lastRenderedPageBreak/>
        <w:t>de serviços públicos, ou seja, o sujeito que detém “senhoria” sobre eles (a qual, de resto, é, antes de tudo, um dever em relação aos serviços que a constituição ou as leis puseram ou venham a pôr seu cargo) não significa que deva obrigatoriamente prestá-los por si ou por criatura sua quando detenha titularidade exclusiva do serviço.</w:t>
      </w:r>
      <w:r>
        <w:rPr>
          <w:sz w:val="20"/>
          <w:vertAlign w:val="superscript"/>
        </w:rPr>
        <w:t>8</w:t>
      </w:r>
    </w:p>
    <w:p w:rsidR="007259F2" w:rsidRDefault="00E655B4">
      <w:pPr>
        <w:pStyle w:val="Corpodetexto"/>
        <w:spacing w:before="229"/>
        <w:ind w:right="988"/>
      </w:pPr>
      <w:r>
        <w:t xml:space="preserve">Pode-se afirmar que a execução de serviços públicos ocorre tanto de maneira direta quanto por meio de transferência a terceiros. A administração pública é responsável por prestá-los ou conceder a entidades externas – sejam elas particulares ou outras entidades jurídicas da administração indireta – a autorização para desempenhá- </w:t>
      </w:r>
      <w:r>
        <w:rPr>
          <w:spacing w:val="-4"/>
        </w:rPr>
        <w:t>los.</w:t>
      </w:r>
    </w:p>
    <w:p w:rsidR="007259F2" w:rsidRDefault="00E655B4">
      <w:pPr>
        <w:pStyle w:val="Corpodetexto"/>
        <w:ind w:right="992"/>
      </w:pPr>
      <w:r>
        <w:t>Dito isso, antes de adentrar no mérito da incidência da norma da imunidade</w:t>
      </w:r>
      <w:r>
        <w:rPr>
          <w:spacing w:val="40"/>
        </w:rPr>
        <w:t xml:space="preserve"> </w:t>
      </w:r>
      <w:r>
        <w:t>sobre as pessoas jurídicas, é necessário destacar que este artigo está tratando especificamente sobre as empresas estatais e as sociedades de economia mista, que possuem participação acionária da administração pública, e não das sociedades totalmente privadas que são concessionárias de serviços públicos.</w:t>
      </w:r>
    </w:p>
    <w:p w:rsidR="007259F2" w:rsidRDefault="00E655B4">
      <w:pPr>
        <w:pStyle w:val="Corpodetexto"/>
        <w:spacing w:before="1"/>
        <w:ind w:right="991"/>
      </w:pPr>
      <w:r>
        <w:t>Segundo Hely Lopes Meirelles</w:t>
      </w:r>
      <w:r>
        <w:rPr>
          <w:vertAlign w:val="superscript"/>
        </w:rPr>
        <w:t>9</w:t>
      </w:r>
      <w:r>
        <w:t>, empresas públicas são as pessoas jurídicas de Direito Privado, instituídas e mantidas pelo Poder Público por intermédio de</w:t>
      </w:r>
      <w:r>
        <w:rPr>
          <w:spacing w:val="80"/>
        </w:rPr>
        <w:t xml:space="preserve"> </w:t>
      </w:r>
      <w:r>
        <w:t>autorização em lei específica, possuindo capital exclusivamente público, para a prestação de serviço público ou a realização de atividade econômica de relevante interesse coletivo, podendo revestir qualquer forma e organização empresarial.</w:t>
      </w:r>
    </w:p>
    <w:p w:rsidR="007259F2" w:rsidRDefault="00E655B4">
      <w:pPr>
        <w:pStyle w:val="Corpodetexto"/>
        <w:ind w:right="992"/>
      </w:pPr>
      <w:r>
        <w:t>Para Celso Antônio Bandeira de Mello</w:t>
      </w:r>
      <w:r>
        <w:rPr>
          <w:vertAlign w:val="superscript"/>
        </w:rPr>
        <w:t>10</w:t>
      </w:r>
      <w:r>
        <w:t xml:space="preserve"> a sociedade de economia mista é a pessoa jurídica criada e autorizada por lei, como instrumento de ação do Estado, com personalidade jurídica de Direito Privado, mas submetida a certas regras decorrentes desta sua natureza auxiliar de atuação governamental, constituída sob a forma de sociedade anônima, cujas ações com direito a voto pertençam em sua maioria à União ou</w:t>
      </w:r>
      <w:r>
        <w:rPr>
          <w:spacing w:val="-1"/>
        </w:rPr>
        <w:t xml:space="preserve"> </w:t>
      </w:r>
      <w:r>
        <w:t>entidade de</w:t>
      </w:r>
      <w:r>
        <w:rPr>
          <w:spacing w:val="-2"/>
        </w:rPr>
        <w:t xml:space="preserve"> </w:t>
      </w:r>
      <w:r>
        <w:t>sua</w:t>
      </w:r>
      <w:r>
        <w:rPr>
          <w:spacing w:val="-13"/>
        </w:rPr>
        <w:t xml:space="preserve"> </w:t>
      </w:r>
      <w:r>
        <w:t>Administração</w:t>
      </w:r>
      <w:r>
        <w:rPr>
          <w:spacing w:val="-1"/>
        </w:rPr>
        <w:t xml:space="preserve"> </w:t>
      </w:r>
      <w:r>
        <w:t>indireta,</w:t>
      </w:r>
      <w:r>
        <w:rPr>
          <w:spacing w:val="-2"/>
        </w:rPr>
        <w:t xml:space="preserve"> </w:t>
      </w:r>
      <w:r>
        <w:t>sobre</w:t>
      </w:r>
      <w:r>
        <w:rPr>
          <w:spacing w:val="-1"/>
        </w:rPr>
        <w:t xml:space="preserve"> </w:t>
      </w:r>
      <w:r>
        <w:t>remanescente acionária</w:t>
      </w:r>
      <w:r>
        <w:rPr>
          <w:spacing w:val="-2"/>
        </w:rPr>
        <w:t xml:space="preserve"> </w:t>
      </w:r>
      <w:r>
        <w:t>de</w:t>
      </w:r>
      <w:r>
        <w:rPr>
          <w:spacing w:val="-2"/>
        </w:rPr>
        <w:t xml:space="preserve"> </w:t>
      </w:r>
      <w:r>
        <w:t xml:space="preserve">propriedade </w:t>
      </w:r>
      <w:r>
        <w:rPr>
          <w:spacing w:val="-2"/>
        </w:rPr>
        <w:t>particular.</w:t>
      </w:r>
    </w:p>
    <w:p w:rsidR="007259F2" w:rsidRDefault="00E655B4">
      <w:pPr>
        <w:pStyle w:val="Corpodetexto"/>
        <w:ind w:right="995"/>
      </w:pPr>
      <w:r>
        <w:t>Nesse sentido, alguns doutrinadores reconhecem a imunidade a tais pessoas jurídicas quando prestadoras de serviço público.</w:t>
      </w:r>
    </w:p>
    <w:p w:rsidR="007259F2" w:rsidRDefault="00E655B4">
      <w:pPr>
        <w:pStyle w:val="Corpodetexto"/>
        <w:ind w:left="1418" w:firstLine="0"/>
      </w:pPr>
      <w:r>
        <w:t>No entendimento de</w:t>
      </w:r>
      <w:r>
        <w:rPr>
          <w:spacing w:val="-1"/>
        </w:rPr>
        <w:t xml:space="preserve"> </w:t>
      </w:r>
      <w:r>
        <w:t>Roque</w:t>
      </w:r>
      <w:r>
        <w:rPr>
          <w:spacing w:val="-16"/>
        </w:rPr>
        <w:t xml:space="preserve"> </w:t>
      </w:r>
      <w:r>
        <w:t xml:space="preserve">Antônio </w:t>
      </w:r>
      <w:r>
        <w:rPr>
          <w:spacing w:val="-2"/>
        </w:rPr>
        <w:t>Carazza:</w:t>
      </w:r>
    </w:p>
    <w:p w:rsidR="007259F2" w:rsidRDefault="007259F2">
      <w:pPr>
        <w:pStyle w:val="Corpodetexto"/>
        <w:spacing w:before="1"/>
        <w:ind w:left="0" w:firstLine="0"/>
        <w:jc w:val="left"/>
      </w:pPr>
    </w:p>
    <w:p w:rsidR="007259F2" w:rsidRDefault="00E655B4">
      <w:pPr>
        <w:spacing w:before="1"/>
        <w:ind w:left="2978" w:right="992"/>
        <w:jc w:val="both"/>
        <w:rPr>
          <w:sz w:val="20"/>
        </w:rPr>
      </w:pPr>
      <w:r>
        <w:rPr>
          <w:sz w:val="20"/>
        </w:rPr>
        <w:t>Aprofundando o assunto, as empresas estatais, quando delegatárias de serviços públicos ou de atos de polícia – e que, portanto, não exploram atividades econômicas –, não se sujeitam à tributação por meio de impostos, justamente</w:t>
      </w:r>
      <w:r>
        <w:rPr>
          <w:spacing w:val="-3"/>
          <w:sz w:val="20"/>
        </w:rPr>
        <w:t xml:space="preserve"> </w:t>
      </w:r>
      <w:r>
        <w:rPr>
          <w:sz w:val="20"/>
        </w:rPr>
        <w:t>porque</w:t>
      </w:r>
      <w:r>
        <w:rPr>
          <w:spacing w:val="-3"/>
          <w:sz w:val="20"/>
        </w:rPr>
        <w:t xml:space="preserve"> </w:t>
      </w:r>
      <w:r>
        <w:rPr>
          <w:sz w:val="20"/>
        </w:rPr>
        <w:t>são</w:t>
      </w:r>
      <w:r>
        <w:rPr>
          <w:spacing w:val="-2"/>
          <w:sz w:val="20"/>
        </w:rPr>
        <w:t xml:space="preserve"> </w:t>
      </w:r>
      <w:r>
        <w:rPr>
          <w:sz w:val="20"/>
        </w:rPr>
        <w:t>a</w:t>
      </w:r>
      <w:r>
        <w:rPr>
          <w:spacing w:val="-1"/>
          <w:sz w:val="20"/>
        </w:rPr>
        <w:t xml:space="preserve"> </w:t>
      </w:r>
      <w:r>
        <w:rPr>
          <w:sz w:val="20"/>
        </w:rPr>
        <w:t>‘longa</w:t>
      </w:r>
      <w:r>
        <w:rPr>
          <w:spacing w:val="-1"/>
          <w:sz w:val="20"/>
        </w:rPr>
        <w:t xml:space="preserve"> </w:t>
      </w:r>
      <w:r>
        <w:rPr>
          <w:sz w:val="20"/>
        </w:rPr>
        <w:t>manus’</w:t>
      </w:r>
      <w:r>
        <w:rPr>
          <w:spacing w:val="-5"/>
          <w:sz w:val="20"/>
        </w:rPr>
        <w:t xml:space="preserve"> </w:t>
      </w:r>
      <w:r>
        <w:rPr>
          <w:sz w:val="20"/>
        </w:rPr>
        <w:t>das</w:t>
      </w:r>
      <w:r>
        <w:rPr>
          <w:spacing w:val="-4"/>
          <w:sz w:val="20"/>
        </w:rPr>
        <w:t xml:space="preserve"> </w:t>
      </w:r>
      <w:r>
        <w:rPr>
          <w:sz w:val="20"/>
        </w:rPr>
        <w:t>pessoas</w:t>
      </w:r>
      <w:r>
        <w:rPr>
          <w:spacing w:val="-4"/>
          <w:sz w:val="20"/>
        </w:rPr>
        <w:t xml:space="preserve"> </w:t>
      </w:r>
      <w:r>
        <w:rPr>
          <w:sz w:val="20"/>
        </w:rPr>
        <w:t>políticas</w:t>
      </w:r>
      <w:r>
        <w:rPr>
          <w:spacing w:val="-2"/>
          <w:sz w:val="20"/>
        </w:rPr>
        <w:t xml:space="preserve"> </w:t>
      </w:r>
      <w:r>
        <w:rPr>
          <w:sz w:val="20"/>
        </w:rPr>
        <w:t>que,</w:t>
      </w:r>
      <w:r>
        <w:rPr>
          <w:spacing w:val="-2"/>
          <w:sz w:val="20"/>
        </w:rPr>
        <w:t xml:space="preserve"> </w:t>
      </w:r>
      <w:r>
        <w:rPr>
          <w:sz w:val="20"/>
        </w:rPr>
        <w:t>por</w:t>
      </w:r>
      <w:r>
        <w:rPr>
          <w:spacing w:val="-1"/>
          <w:sz w:val="20"/>
        </w:rPr>
        <w:t xml:space="preserve"> </w:t>
      </w:r>
      <w:r>
        <w:rPr>
          <w:sz w:val="20"/>
        </w:rPr>
        <w:t>meio</w:t>
      </w:r>
      <w:r>
        <w:rPr>
          <w:spacing w:val="-2"/>
          <w:sz w:val="20"/>
        </w:rPr>
        <w:t xml:space="preserve"> </w:t>
      </w:r>
      <w:r>
        <w:rPr>
          <w:sz w:val="20"/>
        </w:rPr>
        <w:t>de lei, as criam e lhes apontam os objetivos públicos a alcançar. A circunstância de serem revestidas da natureza de ‘empresa pública’ ou de ‘sociedade de economia mista’ não lhes retira a condição de ‘pessoas administrativas’, que agem em nome do Estado, para a consecução do bem comum.</w:t>
      </w:r>
      <w:r>
        <w:rPr>
          <w:sz w:val="20"/>
          <w:vertAlign w:val="superscript"/>
        </w:rPr>
        <w:t>11</w:t>
      </w:r>
    </w:p>
    <w:p w:rsidR="007259F2" w:rsidRDefault="007259F2">
      <w:pPr>
        <w:pStyle w:val="Corpodetexto"/>
        <w:ind w:left="0" w:firstLine="0"/>
        <w:jc w:val="left"/>
        <w:rPr>
          <w:sz w:val="20"/>
        </w:rPr>
      </w:pPr>
    </w:p>
    <w:p w:rsidR="007259F2" w:rsidRDefault="00E655B4">
      <w:pPr>
        <w:pStyle w:val="Corpodetexto"/>
        <w:ind w:right="987"/>
      </w:pPr>
      <w:r>
        <w:t>Na mesma percepção sobre o assunto, dispõe Regina Helena Costa</w:t>
      </w:r>
      <w:r>
        <w:rPr>
          <w:vertAlign w:val="superscript"/>
        </w:rPr>
        <w:t>12</w:t>
      </w:r>
      <w:r>
        <w:t xml:space="preserve"> que “o raciocínio se resume no seguinte: se o serviço público for prestado diretamente pela pessoa política, estará indubitavelmente imune à tributação por via de impostos”. E continua</w:t>
      </w:r>
      <w:r>
        <w:rPr>
          <w:spacing w:val="24"/>
        </w:rPr>
        <w:t xml:space="preserve"> </w:t>
      </w:r>
      <w:r>
        <w:t>“a</w:t>
      </w:r>
      <w:r>
        <w:rPr>
          <w:spacing w:val="29"/>
        </w:rPr>
        <w:t xml:space="preserve"> </w:t>
      </w:r>
      <w:r>
        <w:t>delegação</w:t>
      </w:r>
      <w:r>
        <w:rPr>
          <w:spacing w:val="30"/>
        </w:rPr>
        <w:t xml:space="preserve"> </w:t>
      </w:r>
      <w:r>
        <w:t>da</w:t>
      </w:r>
      <w:r>
        <w:rPr>
          <w:spacing w:val="26"/>
        </w:rPr>
        <w:t xml:space="preserve"> </w:t>
      </w:r>
      <w:r>
        <w:t>execução</w:t>
      </w:r>
      <w:r>
        <w:rPr>
          <w:spacing w:val="28"/>
        </w:rPr>
        <w:t xml:space="preserve"> </w:t>
      </w:r>
      <w:r>
        <w:t>desse</w:t>
      </w:r>
      <w:r>
        <w:rPr>
          <w:spacing w:val="30"/>
        </w:rPr>
        <w:t xml:space="preserve"> </w:t>
      </w:r>
      <w:r>
        <w:t>serviço</w:t>
      </w:r>
      <w:r>
        <w:rPr>
          <w:spacing w:val="27"/>
        </w:rPr>
        <w:t xml:space="preserve"> </w:t>
      </w:r>
      <w:r>
        <w:t>público</w:t>
      </w:r>
      <w:r>
        <w:rPr>
          <w:spacing w:val="28"/>
        </w:rPr>
        <w:t xml:space="preserve"> </w:t>
      </w:r>
      <w:r>
        <w:t>pela</w:t>
      </w:r>
      <w:r>
        <w:rPr>
          <w:spacing w:val="28"/>
        </w:rPr>
        <w:t xml:space="preserve"> </w:t>
      </w:r>
      <w:r>
        <w:t>pessoa</w:t>
      </w:r>
      <w:r>
        <w:rPr>
          <w:spacing w:val="27"/>
        </w:rPr>
        <w:t xml:space="preserve"> </w:t>
      </w:r>
      <w:r>
        <w:t>que</w:t>
      </w:r>
      <w:r>
        <w:rPr>
          <w:spacing w:val="27"/>
        </w:rPr>
        <w:t xml:space="preserve"> </w:t>
      </w:r>
      <w:r>
        <w:t>é</w:t>
      </w:r>
      <w:r>
        <w:rPr>
          <w:spacing w:val="27"/>
        </w:rPr>
        <w:t xml:space="preserve"> </w:t>
      </w:r>
      <w:r>
        <w:t>titular</w:t>
      </w:r>
      <w:r>
        <w:rPr>
          <w:spacing w:val="27"/>
        </w:rPr>
        <w:t xml:space="preserve"> </w:t>
      </w:r>
      <w:r>
        <w:rPr>
          <w:spacing w:val="-5"/>
        </w:rPr>
        <w:t>da</w:t>
      </w:r>
    </w:p>
    <w:p w:rsidR="007259F2" w:rsidRDefault="00DE6B1C">
      <w:pPr>
        <w:pStyle w:val="Corpodetexto"/>
        <w:spacing w:before="71"/>
        <w:ind w:left="0" w:firstLine="0"/>
        <w:jc w:val="left"/>
        <w:rPr>
          <w:sz w:val="20"/>
        </w:rPr>
      </w:pPr>
      <w:r w:rsidRPr="00DE6B1C">
        <w:rPr>
          <w:sz w:val="20"/>
        </w:rPr>
        <w:pict>
          <v:rect id="docshape189" o:spid="_x0000_s1042" style="position:absolute;margin-left:85.1pt;margin-top:16.3pt;width:2in;height:.7pt;z-index:-15642624;mso-wrap-distance-left:0;mso-wrap-distance-right:0;mso-position-horizontal-relative:page" fillcolor="black" stroked="f">
            <w10:wrap type="topAndBottom" anchorx="page"/>
          </v:rect>
        </w:pict>
      </w:r>
    </w:p>
    <w:p w:rsidR="007259F2" w:rsidRDefault="00E655B4">
      <w:pPr>
        <w:spacing w:before="96"/>
        <w:ind w:left="710"/>
        <w:rPr>
          <w:sz w:val="20"/>
        </w:rPr>
      </w:pPr>
      <w:r>
        <w:rPr>
          <w:sz w:val="20"/>
          <w:vertAlign w:val="superscript"/>
        </w:rPr>
        <w:t>8</w:t>
      </w:r>
      <w:r>
        <w:rPr>
          <w:spacing w:val="-3"/>
          <w:sz w:val="20"/>
        </w:rPr>
        <w:t xml:space="preserve"> </w:t>
      </w:r>
      <w:r>
        <w:rPr>
          <w:sz w:val="20"/>
        </w:rPr>
        <w:t>MELLO,</w:t>
      </w:r>
      <w:r>
        <w:rPr>
          <w:spacing w:val="-2"/>
          <w:sz w:val="20"/>
        </w:rPr>
        <w:t xml:space="preserve"> </w:t>
      </w:r>
      <w:r>
        <w:rPr>
          <w:i/>
          <w:sz w:val="20"/>
        </w:rPr>
        <w:t>op.</w:t>
      </w:r>
      <w:r>
        <w:rPr>
          <w:i/>
          <w:spacing w:val="-2"/>
          <w:sz w:val="20"/>
        </w:rPr>
        <w:t xml:space="preserve"> </w:t>
      </w:r>
      <w:r>
        <w:rPr>
          <w:i/>
          <w:sz w:val="20"/>
        </w:rPr>
        <w:t>cit</w:t>
      </w:r>
      <w:r>
        <w:rPr>
          <w:sz w:val="20"/>
        </w:rPr>
        <w:t>.,</w:t>
      </w:r>
      <w:r>
        <w:rPr>
          <w:spacing w:val="-3"/>
          <w:sz w:val="20"/>
        </w:rPr>
        <w:t xml:space="preserve"> </w:t>
      </w:r>
      <w:r>
        <w:rPr>
          <w:sz w:val="20"/>
        </w:rPr>
        <w:t>p.</w:t>
      </w:r>
      <w:r>
        <w:rPr>
          <w:spacing w:val="-5"/>
          <w:sz w:val="20"/>
        </w:rPr>
        <w:t xml:space="preserve"> </w:t>
      </w:r>
      <w:r>
        <w:rPr>
          <w:spacing w:val="-4"/>
          <w:sz w:val="20"/>
        </w:rPr>
        <w:t>705.</w:t>
      </w:r>
    </w:p>
    <w:p w:rsidR="007259F2" w:rsidRDefault="00E655B4">
      <w:pPr>
        <w:spacing w:before="1"/>
        <w:ind w:left="710" w:right="990"/>
        <w:rPr>
          <w:sz w:val="20"/>
        </w:rPr>
      </w:pPr>
      <w:r>
        <w:rPr>
          <w:sz w:val="20"/>
          <w:vertAlign w:val="superscript"/>
        </w:rPr>
        <w:t>9</w:t>
      </w:r>
      <w:r>
        <w:rPr>
          <w:sz w:val="20"/>
        </w:rPr>
        <w:t xml:space="preserve"> MEIRELLES, Hely Lopes. </w:t>
      </w:r>
      <w:r>
        <w:rPr>
          <w:b/>
          <w:sz w:val="20"/>
        </w:rPr>
        <w:t>Direito</w:t>
      </w:r>
      <w:r>
        <w:rPr>
          <w:b/>
          <w:spacing w:val="-7"/>
          <w:sz w:val="20"/>
        </w:rPr>
        <w:t xml:space="preserve"> </w:t>
      </w:r>
      <w:r>
        <w:rPr>
          <w:b/>
          <w:sz w:val="20"/>
        </w:rPr>
        <w:t xml:space="preserve">Administrativo Brasileiro. </w:t>
      </w:r>
      <w:r>
        <w:rPr>
          <w:sz w:val="20"/>
        </w:rPr>
        <w:t>28. ed. São Paulo: Malheiros, 2003, pp. 355 - 356.</w:t>
      </w:r>
    </w:p>
    <w:p w:rsidR="007259F2" w:rsidRDefault="00E655B4">
      <w:pPr>
        <w:spacing w:line="228" w:lineRule="exact"/>
        <w:ind w:left="710"/>
        <w:rPr>
          <w:sz w:val="20"/>
        </w:rPr>
      </w:pPr>
      <w:r>
        <w:rPr>
          <w:sz w:val="20"/>
          <w:vertAlign w:val="superscript"/>
        </w:rPr>
        <w:t>10</w:t>
      </w:r>
      <w:r>
        <w:rPr>
          <w:spacing w:val="-3"/>
          <w:sz w:val="20"/>
        </w:rPr>
        <w:t xml:space="preserve"> </w:t>
      </w:r>
      <w:r>
        <w:rPr>
          <w:sz w:val="20"/>
        </w:rPr>
        <w:t>MELLO,</w:t>
      </w:r>
      <w:r>
        <w:rPr>
          <w:spacing w:val="-2"/>
          <w:sz w:val="20"/>
        </w:rPr>
        <w:t xml:space="preserve"> </w:t>
      </w:r>
      <w:r>
        <w:rPr>
          <w:i/>
          <w:sz w:val="20"/>
        </w:rPr>
        <w:t>op.</w:t>
      </w:r>
      <w:r>
        <w:rPr>
          <w:i/>
          <w:spacing w:val="-3"/>
          <w:sz w:val="20"/>
        </w:rPr>
        <w:t xml:space="preserve"> </w:t>
      </w:r>
      <w:r>
        <w:rPr>
          <w:i/>
          <w:sz w:val="20"/>
        </w:rPr>
        <w:t>cit.,</w:t>
      </w:r>
      <w:r>
        <w:rPr>
          <w:i/>
          <w:spacing w:val="-1"/>
          <w:sz w:val="20"/>
        </w:rPr>
        <w:t xml:space="preserve"> </w:t>
      </w:r>
      <w:r>
        <w:rPr>
          <w:sz w:val="20"/>
        </w:rPr>
        <w:t>p.</w:t>
      </w:r>
      <w:r>
        <w:rPr>
          <w:spacing w:val="-4"/>
          <w:sz w:val="20"/>
        </w:rPr>
        <w:t xml:space="preserve"> 203.</w:t>
      </w:r>
    </w:p>
    <w:p w:rsidR="007259F2" w:rsidRDefault="00E655B4">
      <w:pPr>
        <w:ind w:left="710" w:right="990"/>
        <w:rPr>
          <w:sz w:val="20"/>
        </w:rPr>
      </w:pPr>
      <w:r>
        <w:rPr>
          <w:sz w:val="20"/>
          <w:vertAlign w:val="superscript"/>
        </w:rPr>
        <w:t>11</w:t>
      </w:r>
      <w:r>
        <w:rPr>
          <w:spacing w:val="40"/>
          <w:sz w:val="20"/>
        </w:rPr>
        <w:t xml:space="preserve"> </w:t>
      </w:r>
      <w:r>
        <w:rPr>
          <w:sz w:val="20"/>
        </w:rPr>
        <w:t>CARRAZZA,</w:t>
      </w:r>
      <w:r>
        <w:rPr>
          <w:spacing w:val="40"/>
          <w:sz w:val="20"/>
        </w:rPr>
        <w:t xml:space="preserve"> </w:t>
      </w:r>
      <w:r>
        <w:rPr>
          <w:sz w:val="20"/>
        </w:rPr>
        <w:t>Roque</w:t>
      </w:r>
      <w:r>
        <w:rPr>
          <w:spacing w:val="40"/>
          <w:sz w:val="20"/>
        </w:rPr>
        <w:t xml:space="preserve"> </w:t>
      </w:r>
      <w:r>
        <w:rPr>
          <w:sz w:val="20"/>
        </w:rPr>
        <w:t>Antônio.</w:t>
      </w:r>
      <w:r>
        <w:rPr>
          <w:spacing w:val="40"/>
          <w:sz w:val="20"/>
        </w:rPr>
        <w:t xml:space="preserve"> </w:t>
      </w:r>
      <w:r>
        <w:rPr>
          <w:b/>
          <w:sz w:val="20"/>
        </w:rPr>
        <w:t>Curso</w:t>
      </w:r>
      <w:r>
        <w:rPr>
          <w:b/>
          <w:spacing w:val="40"/>
          <w:sz w:val="20"/>
        </w:rPr>
        <w:t xml:space="preserve"> </w:t>
      </w:r>
      <w:r>
        <w:rPr>
          <w:b/>
          <w:sz w:val="20"/>
        </w:rPr>
        <w:t>de</w:t>
      </w:r>
      <w:r>
        <w:rPr>
          <w:b/>
          <w:spacing w:val="40"/>
          <w:sz w:val="20"/>
        </w:rPr>
        <w:t xml:space="preserve"> </w:t>
      </w:r>
      <w:r>
        <w:rPr>
          <w:b/>
          <w:sz w:val="20"/>
        </w:rPr>
        <w:t>Direito</w:t>
      </w:r>
      <w:r>
        <w:rPr>
          <w:b/>
          <w:spacing w:val="40"/>
          <w:sz w:val="20"/>
        </w:rPr>
        <w:t xml:space="preserve"> </w:t>
      </w:r>
      <w:r>
        <w:rPr>
          <w:b/>
          <w:sz w:val="20"/>
        </w:rPr>
        <w:t>Constitucional</w:t>
      </w:r>
      <w:r>
        <w:rPr>
          <w:sz w:val="20"/>
        </w:rPr>
        <w:t>.</w:t>
      </w:r>
      <w:r>
        <w:rPr>
          <w:spacing w:val="40"/>
          <w:sz w:val="20"/>
        </w:rPr>
        <w:t xml:space="preserve"> </w:t>
      </w:r>
      <w:r>
        <w:rPr>
          <w:sz w:val="20"/>
        </w:rPr>
        <w:t>22.</w:t>
      </w:r>
      <w:r>
        <w:rPr>
          <w:spacing w:val="40"/>
          <w:sz w:val="20"/>
        </w:rPr>
        <w:t xml:space="preserve"> </w:t>
      </w:r>
      <w:r>
        <w:rPr>
          <w:sz w:val="20"/>
        </w:rPr>
        <w:t>ed.</w:t>
      </w:r>
      <w:r>
        <w:rPr>
          <w:spacing w:val="40"/>
          <w:sz w:val="20"/>
        </w:rPr>
        <w:t xml:space="preserve"> </w:t>
      </w:r>
      <w:r>
        <w:rPr>
          <w:sz w:val="20"/>
        </w:rPr>
        <w:t>São</w:t>
      </w:r>
      <w:r>
        <w:rPr>
          <w:spacing w:val="40"/>
          <w:sz w:val="20"/>
        </w:rPr>
        <w:t xml:space="preserve"> </w:t>
      </w:r>
      <w:r>
        <w:rPr>
          <w:sz w:val="20"/>
        </w:rPr>
        <w:t>Paulo:</w:t>
      </w:r>
      <w:r>
        <w:rPr>
          <w:spacing w:val="40"/>
          <w:sz w:val="20"/>
        </w:rPr>
        <w:t xml:space="preserve"> </w:t>
      </w:r>
      <w:r>
        <w:rPr>
          <w:sz w:val="20"/>
        </w:rPr>
        <w:t>Malheiros Editores, 2006, p. 706.</w:t>
      </w:r>
    </w:p>
    <w:p w:rsidR="007259F2" w:rsidRDefault="00E655B4">
      <w:pPr>
        <w:spacing w:before="1"/>
        <w:ind w:left="710" w:right="990"/>
        <w:rPr>
          <w:sz w:val="20"/>
        </w:rPr>
      </w:pPr>
      <w:r>
        <w:rPr>
          <w:sz w:val="20"/>
          <w:vertAlign w:val="superscript"/>
        </w:rPr>
        <w:t>12</w:t>
      </w:r>
      <w:r>
        <w:rPr>
          <w:sz w:val="20"/>
        </w:rPr>
        <w:t xml:space="preserve"> COSTA, Regina Helena. </w:t>
      </w:r>
      <w:r>
        <w:rPr>
          <w:b/>
          <w:sz w:val="20"/>
        </w:rPr>
        <w:t>Imunidade tributária</w:t>
      </w:r>
      <w:r>
        <w:rPr>
          <w:sz w:val="20"/>
        </w:rPr>
        <w:t>: teoria e análise da Jurisprudência do STF. 3 ed. rev. atual. São Paulo: Malheiros, 2015, p. 158.</w:t>
      </w:r>
    </w:p>
    <w:p w:rsidR="007259F2" w:rsidRDefault="007259F2">
      <w:pPr>
        <w:rPr>
          <w:sz w:val="20"/>
        </w:rPr>
        <w:sectPr w:rsidR="007259F2">
          <w:pgSz w:w="11910" w:h="16840"/>
          <w:pgMar w:top="1320" w:right="708" w:bottom="1160" w:left="992" w:header="0" w:footer="962" w:gutter="0"/>
          <w:cols w:space="720"/>
        </w:sectPr>
      </w:pPr>
    </w:p>
    <w:p w:rsidR="007259F2" w:rsidRDefault="00E655B4">
      <w:pPr>
        <w:pStyle w:val="Corpodetexto"/>
        <w:spacing w:before="69"/>
        <w:ind w:right="988" w:firstLine="0"/>
      </w:pPr>
      <w:r>
        <w:lastRenderedPageBreak/>
        <w:t>competência para prestá-lo à coletividade, por meio de lei, a uma empresa por ela instituída – empresa pública ou sociedade de economia mista-, que se torna delegatária do serviço, não pode, portanto, alterar o regime jurídico – inclusive tributário – que incide sobre a mesma prestação”.</w:t>
      </w:r>
    </w:p>
    <w:p w:rsidR="007259F2" w:rsidRDefault="00E655B4">
      <w:pPr>
        <w:pStyle w:val="Corpodetexto"/>
        <w:spacing w:before="1"/>
        <w:ind w:right="996"/>
      </w:pPr>
      <w:r>
        <w:t>Logo, de acordo com a doutrina especializada, quando uma empresa estatal e uma sociedade de economia mista atuam prestando serviço público, em verdade, estão executando a função estatal, não havendo nenhuma alteração no regime jurídico da prestação, legitimando, portanto, a incidência da imunidade tributária recíproca.</w:t>
      </w:r>
    </w:p>
    <w:p w:rsidR="007259F2" w:rsidRDefault="00E655B4">
      <w:pPr>
        <w:pStyle w:val="Corpodetexto"/>
        <w:ind w:right="992"/>
      </w:pPr>
      <w:r>
        <w:t>Quanto a incidência da imunidade sobre as sociedades de economia mista e empresas estatais que explorem atividade econômica, a doutrina tem firmando entendimento no sentido de que há a vedação à incidência da imunidade tributária prevista no art. 150, IV da Constituição Federal.</w:t>
      </w:r>
    </w:p>
    <w:p w:rsidR="007259F2" w:rsidRDefault="00E655B4">
      <w:pPr>
        <w:pStyle w:val="Corpodetexto"/>
        <w:spacing w:before="1"/>
        <w:ind w:right="996"/>
      </w:pPr>
      <w:r>
        <w:t>Celso Antônio Bandeira de Mello destaca que há de se distinguir as atividades prestadas pelas pessoas jurídicas acima citadas:</w:t>
      </w:r>
    </w:p>
    <w:p w:rsidR="007259F2" w:rsidRDefault="00E655B4">
      <w:pPr>
        <w:spacing w:before="231"/>
        <w:ind w:left="2978" w:right="990"/>
        <w:jc w:val="both"/>
        <w:rPr>
          <w:sz w:val="20"/>
        </w:rPr>
      </w:pPr>
      <w:r>
        <w:rPr>
          <w:sz w:val="20"/>
        </w:rPr>
        <w:t>Há, portanto, dois tipos fundamentais de empresas públicas e sociedades de economia mista: exploradoras de atividade econômica e prestadoras de serviços públicos ou coordenadoras de obras públicas e demais atividades públicas. Seus regimes jurídicos não são, nem podem ser, idênticos, como procuraremos demonstrar em outra oportunidade. No primeiro caso, é compreensível que o regime jurídico de tais pessoas seja o máximo possível daquele aplicável à generalidade das pessoas de Direito Privado. Seja pela natureza do objeto de sua ação, seja para prevenir que desfrutem de situação vantajosa</w:t>
      </w:r>
      <w:r>
        <w:rPr>
          <w:spacing w:val="-3"/>
          <w:sz w:val="20"/>
        </w:rPr>
        <w:t xml:space="preserve"> </w:t>
      </w:r>
      <w:r>
        <w:rPr>
          <w:sz w:val="20"/>
        </w:rPr>
        <w:t>em</w:t>
      </w:r>
      <w:r>
        <w:rPr>
          <w:spacing w:val="-5"/>
          <w:sz w:val="20"/>
        </w:rPr>
        <w:t xml:space="preserve"> </w:t>
      </w:r>
      <w:r>
        <w:rPr>
          <w:sz w:val="20"/>
        </w:rPr>
        <w:t>relação</w:t>
      </w:r>
      <w:r>
        <w:rPr>
          <w:spacing w:val="-2"/>
          <w:sz w:val="20"/>
        </w:rPr>
        <w:t xml:space="preserve"> </w:t>
      </w:r>
      <w:r>
        <w:rPr>
          <w:sz w:val="20"/>
        </w:rPr>
        <w:t>às</w:t>
      </w:r>
      <w:r>
        <w:rPr>
          <w:spacing w:val="-4"/>
          <w:sz w:val="20"/>
        </w:rPr>
        <w:t xml:space="preserve"> </w:t>
      </w:r>
      <w:r>
        <w:rPr>
          <w:sz w:val="20"/>
        </w:rPr>
        <w:t>empresas</w:t>
      </w:r>
      <w:r>
        <w:rPr>
          <w:spacing w:val="-4"/>
          <w:sz w:val="20"/>
        </w:rPr>
        <w:t xml:space="preserve"> </w:t>
      </w:r>
      <w:r>
        <w:rPr>
          <w:sz w:val="20"/>
        </w:rPr>
        <w:t>privadas –,</w:t>
      </w:r>
      <w:r>
        <w:rPr>
          <w:spacing w:val="-3"/>
          <w:sz w:val="20"/>
        </w:rPr>
        <w:t xml:space="preserve"> </w:t>
      </w:r>
      <w:r>
        <w:rPr>
          <w:sz w:val="20"/>
        </w:rPr>
        <w:t>compreendendo-se</w:t>
      </w:r>
      <w:r>
        <w:rPr>
          <w:spacing w:val="-3"/>
          <w:sz w:val="20"/>
        </w:rPr>
        <w:t xml:space="preserve"> </w:t>
      </w:r>
      <w:r>
        <w:rPr>
          <w:sz w:val="20"/>
        </w:rPr>
        <w:t>que</w:t>
      </w:r>
      <w:r>
        <w:rPr>
          <w:spacing w:val="-3"/>
          <w:sz w:val="20"/>
        </w:rPr>
        <w:t xml:space="preserve"> </w:t>
      </w:r>
      <w:r>
        <w:rPr>
          <w:sz w:val="20"/>
        </w:rPr>
        <w:t>estejam, em suas atuações, submetidas a uma disciplina bastante avizinhada da que regula as entidades particulares de fins empresariais. Daí haver o Texto Constitucional estabelecido que em tais hipóteses regular-se-ão pelo regime próprio das empresas privadas (art. 173, § 1º, II). Advirta-se, apenas, que há um grande exagero nesta dicção da Lei Magna, pois ela mesma se encarrega de desmentir-se em inúmeros outros artigos, como além será demonstrado.</w:t>
      </w:r>
      <w:r>
        <w:rPr>
          <w:spacing w:val="40"/>
          <w:sz w:val="20"/>
        </w:rPr>
        <w:t xml:space="preserve"> </w:t>
      </w:r>
      <w:r>
        <w:rPr>
          <w:sz w:val="20"/>
        </w:rPr>
        <w:t>No segundo caso, quando concebidas para prestar serviços públicos ou desenvolver quaisquer atividades de índole pública propriamente (como promover</w:t>
      </w:r>
      <w:r>
        <w:rPr>
          <w:spacing w:val="-2"/>
          <w:sz w:val="20"/>
        </w:rPr>
        <w:t xml:space="preserve"> </w:t>
      </w:r>
      <w:r>
        <w:rPr>
          <w:sz w:val="20"/>
        </w:rPr>
        <w:t>a</w:t>
      </w:r>
      <w:r>
        <w:rPr>
          <w:spacing w:val="-3"/>
          <w:sz w:val="20"/>
        </w:rPr>
        <w:t xml:space="preserve"> </w:t>
      </w:r>
      <w:r>
        <w:rPr>
          <w:sz w:val="20"/>
        </w:rPr>
        <w:t>realização</w:t>
      </w:r>
      <w:r>
        <w:rPr>
          <w:spacing w:val="-2"/>
          <w:sz w:val="20"/>
        </w:rPr>
        <w:t xml:space="preserve"> </w:t>
      </w:r>
      <w:r>
        <w:rPr>
          <w:sz w:val="20"/>
        </w:rPr>
        <w:t>de</w:t>
      </w:r>
      <w:r>
        <w:rPr>
          <w:spacing w:val="-3"/>
          <w:sz w:val="20"/>
        </w:rPr>
        <w:t xml:space="preserve"> </w:t>
      </w:r>
      <w:r>
        <w:rPr>
          <w:sz w:val="20"/>
        </w:rPr>
        <w:t>obras</w:t>
      </w:r>
      <w:r>
        <w:rPr>
          <w:spacing w:val="-4"/>
          <w:sz w:val="20"/>
        </w:rPr>
        <w:t xml:space="preserve"> </w:t>
      </w:r>
      <w:r>
        <w:rPr>
          <w:sz w:val="20"/>
        </w:rPr>
        <w:t>públicas),</w:t>
      </w:r>
      <w:r>
        <w:rPr>
          <w:spacing w:val="-2"/>
          <w:sz w:val="20"/>
        </w:rPr>
        <w:t xml:space="preserve"> </w:t>
      </w:r>
      <w:r>
        <w:rPr>
          <w:sz w:val="20"/>
        </w:rPr>
        <w:t>é</w:t>
      </w:r>
      <w:r>
        <w:rPr>
          <w:spacing w:val="-1"/>
          <w:sz w:val="20"/>
        </w:rPr>
        <w:t xml:space="preserve"> </w:t>
      </w:r>
      <w:r>
        <w:rPr>
          <w:sz w:val="20"/>
        </w:rPr>
        <w:t>natural</w:t>
      </w:r>
      <w:r>
        <w:rPr>
          <w:spacing w:val="-3"/>
          <w:sz w:val="20"/>
        </w:rPr>
        <w:t xml:space="preserve"> </w:t>
      </w:r>
      <w:r>
        <w:rPr>
          <w:sz w:val="20"/>
        </w:rPr>
        <w:t>que</w:t>
      </w:r>
      <w:r>
        <w:rPr>
          <w:spacing w:val="-1"/>
          <w:sz w:val="20"/>
        </w:rPr>
        <w:t xml:space="preserve"> </w:t>
      </w:r>
      <w:r>
        <w:rPr>
          <w:sz w:val="20"/>
        </w:rPr>
        <w:t>sofram</w:t>
      </w:r>
      <w:r>
        <w:rPr>
          <w:spacing w:val="-5"/>
          <w:sz w:val="20"/>
        </w:rPr>
        <w:t xml:space="preserve"> </w:t>
      </w:r>
      <w:r>
        <w:rPr>
          <w:sz w:val="20"/>
        </w:rPr>
        <w:t>o</w:t>
      </w:r>
      <w:r>
        <w:rPr>
          <w:spacing w:val="-2"/>
          <w:sz w:val="20"/>
        </w:rPr>
        <w:t xml:space="preserve"> </w:t>
      </w:r>
      <w:r>
        <w:rPr>
          <w:sz w:val="20"/>
        </w:rPr>
        <w:t>influxo mais acentuado de princípios e regra do Direito Público, ajustados, portanto, ao resguardo de interesses desta índole.</w:t>
      </w:r>
      <w:r>
        <w:rPr>
          <w:sz w:val="20"/>
          <w:vertAlign w:val="superscript"/>
        </w:rPr>
        <w:t>13</w:t>
      </w:r>
    </w:p>
    <w:p w:rsidR="007259F2" w:rsidRDefault="00E655B4">
      <w:pPr>
        <w:pStyle w:val="Corpodetexto"/>
        <w:spacing w:before="229"/>
        <w:ind w:right="993"/>
      </w:pPr>
      <w:r>
        <w:t>Em linhas gerais, a conclusão doutrinária é a de que: empresas estatais que exercem atividade econômica não estão sujeitas a imunidade, haja vista que atuam em regime jurídico próprio das empresas privadas, inclusive quanto aos direitos e às obrigações civis, comerciais, trabalhistas e tributárias, nos termos do art. 173 da CF, diferente das empresas estatais presta- doras de serviço público, que estariam sujeitas a imunidade por estarem recebendo o encargo de prestar o serviço público, obtendo como prerrogativa o direito a imunidade tributária.</w:t>
      </w:r>
    </w:p>
    <w:p w:rsidR="007259F2" w:rsidRDefault="00E655B4">
      <w:pPr>
        <w:pStyle w:val="Corpodetexto"/>
        <w:ind w:right="994"/>
      </w:pPr>
      <w:r>
        <w:t>Dito isso, os imóveis afetados ao interesse público, embora cedidos as empresas estatais e as sociedades de economia mista, continuam sem dúvidas vinculados às finalidades essenciais do ente federativo a quem a constituição outorgou a competência executiva de tais atividades, portanto, não há justificativa para restringir a aplicação da imunidade recíproca a essas pessoas utilizadoras do imóvel público.</w:t>
      </w:r>
    </w:p>
    <w:p w:rsidR="007259F2" w:rsidRDefault="00E655B4">
      <w:pPr>
        <w:pStyle w:val="PargrafodaLista"/>
        <w:numPr>
          <w:ilvl w:val="0"/>
          <w:numId w:val="12"/>
        </w:numPr>
        <w:tabs>
          <w:tab w:val="left" w:pos="930"/>
        </w:tabs>
        <w:spacing w:before="206"/>
        <w:ind w:hanging="220"/>
        <w:rPr>
          <w:b/>
        </w:rPr>
      </w:pPr>
      <w:r>
        <w:rPr>
          <w:b/>
        </w:rPr>
        <w:t>Análise</w:t>
      </w:r>
      <w:r>
        <w:rPr>
          <w:b/>
          <w:spacing w:val="-4"/>
        </w:rPr>
        <w:t xml:space="preserve"> </w:t>
      </w:r>
      <w:r>
        <w:rPr>
          <w:b/>
        </w:rPr>
        <w:t>da</w:t>
      </w:r>
      <w:r>
        <w:rPr>
          <w:b/>
          <w:spacing w:val="-6"/>
        </w:rPr>
        <w:t xml:space="preserve"> </w:t>
      </w:r>
      <w:r>
        <w:rPr>
          <w:b/>
        </w:rPr>
        <w:t>jurisprudência</w:t>
      </w:r>
      <w:r>
        <w:rPr>
          <w:b/>
          <w:spacing w:val="-3"/>
        </w:rPr>
        <w:t xml:space="preserve"> </w:t>
      </w:r>
      <w:r>
        <w:rPr>
          <w:b/>
        </w:rPr>
        <w:t>do</w:t>
      </w:r>
      <w:r>
        <w:rPr>
          <w:b/>
          <w:spacing w:val="-4"/>
        </w:rPr>
        <w:t xml:space="preserve"> </w:t>
      </w:r>
      <w:r>
        <w:rPr>
          <w:b/>
        </w:rPr>
        <w:t>Supremo</w:t>
      </w:r>
      <w:r>
        <w:rPr>
          <w:b/>
          <w:spacing w:val="-3"/>
        </w:rPr>
        <w:t xml:space="preserve"> </w:t>
      </w:r>
      <w:r>
        <w:rPr>
          <w:b/>
        </w:rPr>
        <w:t>Tribunal</w:t>
      </w:r>
      <w:r>
        <w:rPr>
          <w:b/>
          <w:spacing w:val="-5"/>
        </w:rPr>
        <w:t xml:space="preserve"> </w:t>
      </w:r>
      <w:r>
        <w:rPr>
          <w:b/>
        </w:rPr>
        <w:t>Federal</w:t>
      </w:r>
      <w:r>
        <w:rPr>
          <w:b/>
          <w:spacing w:val="-3"/>
        </w:rPr>
        <w:t xml:space="preserve"> </w:t>
      </w:r>
      <w:r>
        <w:rPr>
          <w:b/>
        </w:rPr>
        <w:t>sobre</w:t>
      </w:r>
      <w:r>
        <w:rPr>
          <w:b/>
          <w:spacing w:val="-3"/>
        </w:rPr>
        <w:t xml:space="preserve"> </w:t>
      </w:r>
      <w:r>
        <w:rPr>
          <w:b/>
        </w:rPr>
        <w:t>o</w:t>
      </w:r>
      <w:r>
        <w:rPr>
          <w:b/>
          <w:spacing w:val="-6"/>
        </w:rPr>
        <w:t xml:space="preserve"> </w:t>
      </w:r>
      <w:r>
        <w:rPr>
          <w:b/>
          <w:spacing w:val="-4"/>
        </w:rPr>
        <w:t>tema</w:t>
      </w:r>
    </w:p>
    <w:p w:rsidR="007259F2" w:rsidRDefault="00E655B4">
      <w:pPr>
        <w:pStyle w:val="Corpodetexto"/>
        <w:spacing w:before="153"/>
        <w:ind w:right="990"/>
      </w:pPr>
      <w:r>
        <w:t>Conforme discutido anteriormente, abordamos o conceito de imunidade recíproca</w:t>
      </w:r>
      <w:r>
        <w:rPr>
          <w:spacing w:val="65"/>
        </w:rPr>
        <w:t xml:space="preserve"> </w:t>
      </w:r>
      <w:r>
        <w:t>e</w:t>
      </w:r>
      <w:r>
        <w:rPr>
          <w:spacing w:val="65"/>
        </w:rPr>
        <w:t xml:space="preserve"> </w:t>
      </w:r>
      <w:r>
        <w:t>sua</w:t>
      </w:r>
      <w:r>
        <w:rPr>
          <w:spacing w:val="67"/>
        </w:rPr>
        <w:t xml:space="preserve"> </w:t>
      </w:r>
      <w:r>
        <w:t>aplicação</w:t>
      </w:r>
      <w:r>
        <w:rPr>
          <w:spacing w:val="65"/>
        </w:rPr>
        <w:t xml:space="preserve"> </w:t>
      </w:r>
      <w:r>
        <w:t>na</w:t>
      </w:r>
      <w:r>
        <w:rPr>
          <w:spacing w:val="65"/>
        </w:rPr>
        <w:t xml:space="preserve"> </w:t>
      </w:r>
      <w:r>
        <w:t>Constituição</w:t>
      </w:r>
      <w:r>
        <w:rPr>
          <w:spacing w:val="68"/>
        </w:rPr>
        <w:t xml:space="preserve"> </w:t>
      </w:r>
      <w:r>
        <w:t>Federal.</w:t>
      </w:r>
      <w:r>
        <w:rPr>
          <w:spacing w:val="66"/>
        </w:rPr>
        <w:t xml:space="preserve"> </w:t>
      </w:r>
      <w:r>
        <w:t>Nesse</w:t>
      </w:r>
      <w:r>
        <w:rPr>
          <w:spacing w:val="67"/>
        </w:rPr>
        <w:t xml:space="preserve"> </w:t>
      </w:r>
      <w:r>
        <w:t>contexto,</w:t>
      </w:r>
      <w:r>
        <w:rPr>
          <w:spacing w:val="66"/>
        </w:rPr>
        <w:t xml:space="preserve"> </w:t>
      </w:r>
      <w:r>
        <w:t>examinamos</w:t>
      </w:r>
      <w:r>
        <w:rPr>
          <w:spacing w:val="67"/>
        </w:rPr>
        <w:t xml:space="preserve"> </w:t>
      </w:r>
      <w:r>
        <w:rPr>
          <w:spacing w:val="-10"/>
        </w:rPr>
        <w:t>a</w:t>
      </w:r>
    </w:p>
    <w:p w:rsidR="007259F2" w:rsidRDefault="00DE6B1C">
      <w:pPr>
        <w:pStyle w:val="Corpodetexto"/>
        <w:spacing w:before="14"/>
        <w:ind w:left="0" w:firstLine="0"/>
        <w:jc w:val="left"/>
        <w:rPr>
          <w:sz w:val="20"/>
        </w:rPr>
      </w:pPr>
      <w:r w:rsidRPr="00DE6B1C">
        <w:rPr>
          <w:sz w:val="20"/>
        </w:rPr>
        <w:pict>
          <v:rect id="docshape190" o:spid="_x0000_s1041" style="position:absolute;margin-left:85.1pt;margin-top:13.4pt;width:2in;height:.7pt;z-index:-15642112;mso-wrap-distance-left:0;mso-wrap-distance-right:0;mso-position-horizontal-relative:page" fillcolor="black" stroked="f">
            <w10:wrap type="topAndBottom" anchorx="page"/>
          </v:rect>
        </w:pict>
      </w:r>
    </w:p>
    <w:p w:rsidR="007259F2" w:rsidRDefault="00E655B4">
      <w:pPr>
        <w:spacing w:before="96"/>
        <w:ind w:left="710"/>
        <w:rPr>
          <w:sz w:val="20"/>
        </w:rPr>
      </w:pPr>
      <w:r>
        <w:rPr>
          <w:sz w:val="20"/>
          <w:vertAlign w:val="superscript"/>
        </w:rPr>
        <w:t>13</w:t>
      </w:r>
      <w:r>
        <w:rPr>
          <w:spacing w:val="-8"/>
          <w:sz w:val="20"/>
        </w:rPr>
        <w:t xml:space="preserve"> </w:t>
      </w:r>
      <w:r>
        <w:rPr>
          <w:sz w:val="20"/>
        </w:rPr>
        <w:t>MELLO,</w:t>
      </w:r>
      <w:r>
        <w:rPr>
          <w:spacing w:val="-2"/>
          <w:sz w:val="20"/>
        </w:rPr>
        <w:t xml:space="preserve"> </w:t>
      </w:r>
      <w:r>
        <w:rPr>
          <w:i/>
          <w:sz w:val="20"/>
        </w:rPr>
        <w:t>op.</w:t>
      </w:r>
      <w:r>
        <w:rPr>
          <w:i/>
          <w:spacing w:val="-3"/>
          <w:sz w:val="20"/>
        </w:rPr>
        <w:t xml:space="preserve"> </w:t>
      </w:r>
      <w:r>
        <w:rPr>
          <w:i/>
          <w:sz w:val="20"/>
        </w:rPr>
        <w:t>cit</w:t>
      </w:r>
      <w:r>
        <w:rPr>
          <w:sz w:val="20"/>
        </w:rPr>
        <w:t>.,</w:t>
      </w:r>
      <w:r>
        <w:rPr>
          <w:spacing w:val="-2"/>
          <w:sz w:val="20"/>
        </w:rPr>
        <w:t xml:space="preserve"> </w:t>
      </w:r>
      <w:r>
        <w:rPr>
          <w:sz w:val="20"/>
        </w:rPr>
        <w:t>p.</w:t>
      </w:r>
      <w:r>
        <w:rPr>
          <w:spacing w:val="-5"/>
          <w:sz w:val="20"/>
        </w:rPr>
        <w:t xml:space="preserve"> </w:t>
      </w:r>
      <w:r>
        <w:rPr>
          <w:spacing w:val="-4"/>
          <w:sz w:val="20"/>
        </w:rPr>
        <w:t>203.</w:t>
      </w:r>
    </w:p>
    <w:p w:rsidR="007259F2" w:rsidRDefault="007259F2">
      <w:pPr>
        <w:rPr>
          <w:sz w:val="20"/>
        </w:rPr>
        <w:sectPr w:rsidR="007259F2">
          <w:pgSz w:w="11910" w:h="16840"/>
          <w:pgMar w:top="1320" w:right="708" w:bottom="1160" w:left="992" w:header="0" w:footer="962" w:gutter="0"/>
          <w:cols w:space="720"/>
        </w:sectPr>
      </w:pPr>
    </w:p>
    <w:p w:rsidR="007259F2" w:rsidRDefault="00E655B4">
      <w:pPr>
        <w:pStyle w:val="Corpodetexto"/>
        <w:spacing w:before="69"/>
        <w:ind w:right="997" w:firstLine="0"/>
      </w:pPr>
      <w:r>
        <w:lastRenderedPageBreak/>
        <w:t>posição doutrinária acerca desse tema, com foco especial na ampliação que alguns doutrinadores conferiram à norma imunizante.</w:t>
      </w:r>
    </w:p>
    <w:p w:rsidR="007259F2" w:rsidRDefault="00E655B4">
      <w:pPr>
        <w:pStyle w:val="Corpodetexto"/>
        <w:spacing w:before="1"/>
        <w:ind w:right="993"/>
      </w:pPr>
      <w:r>
        <w:t>Dessa forma, é importante destacar que a principal abrangência da aplicação da imunidade recíproca reside na orientação de impedir a tributação das pessoas jurídicas de direito privado que prestam serviços públicos.</w:t>
      </w:r>
    </w:p>
    <w:p w:rsidR="007259F2" w:rsidRDefault="00E655B4">
      <w:pPr>
        <w:pStyle w:val="Corpodetexto"/>
        <w:ind w:right="989"/>
      </w:pPr>
      <w:r>
        <w:t>Portanto, é claro que é importante abordar como a jurisprudência tem se posicionado em relação à aplicação da imunidade recíproca para as pessoas jurídicas de direito privado, especialmente as que prestam serviços públicos. Isso se deve à influência significativa que o judiciário exerceu sobre a evolução desse instituto ao longo do período constitucional.</w:t>
      </w:r>
    </w:p>
    <w:p w:rsidR="007259F2" w:rsidRDefault="00E655B4">
      <w:pPr>
        <w:pStyle w:val="Corpodetexto"/>
        <w:ind w:right="989"/>
      </w:pPr>
      <w:r>
        <w:t xml:space="preserve">No que se refere às decisões contrárias à imunidade, a suprema corte no Tema 385 fixou o entendimento de que a imunidade recíproca não se estende à empresa privada arrendatária de imóvel público quando for ela exploradora de atividade econômica com fins lucrativos, sendo constitucional a cobrança do IPTU pelo </w:t>
      </w:r>
      <w:r>
        <w:rPr>
          <w:spacing w:val="-2"/>
        </w:rPr>
        <w:t>Município.</w:t>
      </w:r>
      <w:r>
        <w:rPr>
          <w:spacing w:val="-2"/>
          <w:vertAlign w:val="superscript"/>
        </w:rPr>
        <w:t>14</w:t>
      </w:r>
    </w:p>
    <w:p w:rsidR="007259F2" w:rsidRDefault="00E655B4">
      <w:pPr>
        <w:pStyle w:val="Corpodetexto"/>
        <w:spacing w:before="1"/>
        <w:ind w:right="986"/>
      </w:pPr>
      <w:r>
        <w:t>O ministro Luís Roberto Barroso observou que a imunidade tributária recíproca se aplica exclusivamente a empresas públicas e sociedades de economia mista que prestam serviços essenciais e exclusivos. Ele ressaltou que o Supremo</w:t>
      </w:r>
      <w:r>
        <w:rPr>
          <w:spacing w:val="-1"/>
        </w:rPr>
        <w:t xml:space="preserve"> </w:t>
      </w:r>
      <w:r>
        <w:t>Tribunal Federal, ao julgar os temas 437 e 385 de repercussão geral, estabeleceu a aplicação do IPTU sobre propriedades de entidades públicas cedidas a entidades privadas e a impossibilidade de estender a imunidade recíproca a empresas privadas com fins lucrativos que arrendam imóveis públicos.</w:t>
      </w:r>
    </w:p>
    <w:p w:rsidR="007259F2" w:rsidRDefault="00E655B4">
      <w:pPr>
        <w:pStyle w:val="Corpodetexto"/>
        <w:ind w:right="990"/>
      </w:pPr>
      <w:r>
        <w:t>Da mesma forma, no tema 437 o STF decidiu de forma vinculante que incide o IPTU, considerado imóvel de pessoa jurídica de direito público cedido a pessoa jurídica de direito privado, devedora do tributo. No caso, tratava-se de pessoa jurídica de direito privado que se utilizava do bem público para prestação de atividade econômica.</w:t>
      </w:r>
      <w:r>
        <w:rPr>
          <w:vertAlign w:val="superscript"/>
        </w:rPr>
        <w:t>15</w:t>
      </w:r>
    </w:p>
    <w:p w:rsidR="007259F2" w:rsidRDefault="00E655B4">
      <w:pPr>
        <w:pStyle w:val="Corpodetexto"/>
        <w:ind w:right="993"/>
      </w:pPr>
      <w:r>
        <w:t>Na reclamação 32717, julgada pelo ministro Luiz Fux, houve uma diferenciação quanto a aplicabilidade da imunidade recíproca às empresas privadas exploradoras de atividade econômica e àquelas prestadoras de serviço público.</w:t>
      </w:r>
      <w:r>
        <w:rPr>
          <w:vertAlign w:val="superscript"/>
        </w:rPr>
        <w:t>16</w:t>
      </w:r>
    </w:p>
    <w:p w:rsidR="007259F2" w:rsidRDefault="00E655B4">
      <w:pPr>
        <w:pStyle w:val="Corpodetexto"/>
        <w:ind w:right="995"/>
      </w:pPr>
      <w:r>
        <w:t>Na</w:t>
      </w:r>
      <w:r>
        <w:rPr>
          <w:spacing w:val="-3"/>
        </w:rPr>
        <w:t xml:space="preserve"> </w:t>
      </w:r>
      <w:r>
        <w:t>mencionada</w:t>
      </w:r>
      <w:r>
        <w:rPr>
          <w:spacing w:val="-2"/>
        </w:rPr>
        <w:t xml:space="preserve"> </w:t>
      </w:r>
      <w:r>
        <w:t>Reclamação,</w:t>
      </w:r>
      <w:r>
        <w:rPr>
          <w:spacing w:val="-1"/>
        </w:rPr>
        <w:t xml:space="preserve"> </w:t>
      </w:r>
      <w:r>
        <w:t>o</w:t>
      </w:r>
      <w:r>
        <w:rPr>
          <w:spacing w:val="-1"/>
        </w:rPr>
        <w:t xml:space="preserve"> </w:t>
      </w:r>
      <w:r>
        <w:t>relator</w:t>
      </w:r>
      <w:r>
        <w:rPr>
          <w:spacing w:val="-2"/>
        </w:rPr>
        <w:t xml:space="preserve"> </w:t>
      </w:r>
      <w:r>
        <w:t>cassou</w:t>
      </w:r>
      <w:r>
        <w:rPr>
          <w:spacing w:val="-1"/>
        </w:rPr>
        <w:t xml:space="preserve"> </w:t>
      </w:r>
      <w:r>
        <w:t>a</w:t>
      </w:r>
      <w:r>
        <w:rPr>
          <w:spacing w:val="-2"/>
        </w:rPr>
        <w:t xml:space="preserve"> </w:t>
      </w:r>
      <w:r>
        <w:t>decisão</w:t>
      </w:r>
      <w:r>
        <w:rPr>
          <w:spacing w:val="-2"/>
        </w:rPr>
        <w:t xml:space="preserve"> </w:t>
      </w:r>
      <w:r>
        <w:t>do</w:t>
      </w:r>
      <w:r>
        <w:rPr>
          <w:spacing w:val="-6"/>
        </w:rPr>
        <w:t xml:space="preserve"> </w:t>
      </w:r>
      <w:r>
        <w:t>Tribunal</w:t>
      </w:r>
      <w:r>
        <w:rPr>
          <w:spacing w:val="-1"/>
        </w:rPr>
        <w:t xml:space="preserve"> </w:t>
      </w:r>
      <w:r>
        <w:t>de</w:t>
      </w:r>
      <w:r>
        <w:rPr>
          <w:spacing w:val="-2"/>
        </w:rPr>
        <w:t xml:space="preserve"> </w:t>
      </w:r>
      <w:r>
        <w:t>Justiça</w:t>
      </w:r>
      <w:r>
        <w:rPr>
          <w:spacing w:val="-2"/>
        </w:rPr>
        <w:t xml:space="preserve"> </w:t>
      </w:r>
      <w:r>
        <w:t>de São Paulo que havia declarado a obrigação da Companhia Docas do Estado de São Paulo – CODESP</w:t>
      </w:r>
      <w:r>
        <w:rPr>
          <w:spacing w:val="-2"/>
        </w:rPr>
        <w:t xml:space="preserve"> </w:t>
      </w:r>
      <w:r>
        <w:t>a pagar o IPTU relativo ao porto de Santos. O Tribunal entendeu que sendo a CODESP pessoa jurídica de direito privado, não era detentora da imunidade tributária prevista no art. 150, VI da Constituição Federal, não importando a natureza jurídica do serviço prestado, mas sim a natureza jurídica da empresa.</w:t>
      </w:r>
    </w:p>
    <w:p w:rsidR="007259F2" w:rsidRDefault="00E655B4">
      <w:pPr>
        <w:pStyle w:val="Corpodetexto"/>
        <w:ind w:right="999"/>
      </w:pPr>
      <w:r>
        <w:t xml:space="preserve">No entanto, chegando ao STF, segundo o relator, o ponto central da questão está na essência do serviço oferecido, segue a decisão </w:t>
      </w:r>
      <w:r>
        <w:rPr>
          <w:i/>
        </w:rPr>
        <w:t>in verbis</w:t>
      </w:r>
      <w:r>
        <w:t>:</w:t>
      </w:r>
    </w:p>
    <w:p w:rsidR="007259F2" w:rsidRDefault="00E655B4">
      <w:pPr>
        <w:spacing w:before="233" w:line="242" w:lineRule="auto"/>
        <w:ind w:left="2978" w:right="990"/>
        <w:jc w:val="both"/>
        <w:rPr>
          <w:b/>
          <w:sz w:val="20"/>
        </w:rPr>
      </w:pPr>
      <w:r>
        <w:rPr>
          <w:sz w:val="20"/>
        </w:rPr>
        <w:t xml:space="preserve">Com efeito, nota-se que a referida tese tem aplicabilidade restrita àqueles empreendimentos que, a partir do imóvel público arrendado, exploram atividade econômica com finalidade essencialmente lucrativa. </w:t>
      </w:r>
      <w:r>
        <w:rPr>
          <w:b/>
          <w:sz w:val="20"/>
        </w:rPr>
        <w:t>Diferente disso,</w:t>
      </w:r>
      <w:r>
        <w:rPr>
          <w:b/>
          <w:spacing w:val="13"/>
          <w:sz w:val="20"/>
        </w:rPr>
        <w:t xml:space="preserve"> </w:t>
      </w:r>
      <w:r>
        <w:rPr>
          <w:b/>
          <w:sz w:val="20"/>
        </w:rPr>
        <w:t>no</w:t>
      </w:r>
      <w:r>
        <w:rPr>
          <w:b/>
          <w:spacing w:val="14"/>
          <w:sz w:val="20"/>
        </w:rPr>
        <w:t xml:space="preserve"> </w:t>
      </w:r>
      <w:r>
        <w:rPr>
          <w:b/>
          <w:sz w:val="20"/>
        </w:rPr>
        <w:t>caso</w:t>
      </w:r>
      <w:r>
        <w:rPr>
          <w:b/>
          <w:spacing w:val="15"/>
          <w:sz w:val="20"/>
        </w:rPr>
        <w:t xml:space="preserve"> </w:t>
      </w:r>
      <w:r>
        <w:rPr>
          <w:b/>
          <w:sz w:val="20"/>
        </w:rPr>
        <w:t>dos</w:t>
      </w:r>
      <w:r>
        <w:rPr>
          <w:b/>
          <w:spacing w:val="13"/>
          <w:sz w:val="20"/>
        </w:rPr>
        <w:t xml:space="preserve"> </w:t>
      </w:r>
      <w:r>
        <w:rPr>
          <w:b/>
          <w:sz w:val="20"/>
        </w:rPr>
        <w:t>autos,</w:t>
      </w:r>
      <w:r>
        <w:rPr>
          <w:b/>
          <w:spacing w:val="14"/>
          <w:sz w:val="20"/>
        </w:rPr>
        <w:t xml:space="preserve"> </w:t>
      </w:r>
      <w:r>
        <w:rPr>
          <w:b/>
          <w:sz w:val="20"/>
        </w:rPr>
        <w:t>está-se</w:t>
      </w:r>
      <w:r>
        <w:rPr>
          <w:b/>
          <w:spacing w:val="14"/>
          <w:sz w:val="20"/>
        </w:rPr>
        <w:t xml:space="preserve"> </w:t>
      </w:r>
      <w:r>
        <w:rPr>
          <w:b/>
          <w:sz w:val="20"/>
        </w:rPr>
        <w:t>diante</w:t>
      </w:r>
      <w:r>
        <w:rPr>
          <w:b/>
          <w:spacing w:val="14"/>
          <w:sz w:val="20"/>
        </w:rPr>
        <w:t xml:space="preserve"> </w:t>
      </w:r>
      <w:r>
        <w:rPr>
          <w:b/>
          <w:sz w:val="20"/>
        </w:rPr>
        <w:t>de</w:t>
      </w:r>
      <w:r>
        <w:rPr>
          <w:b/>
          <w:spacing w:val="13"/>
          <w:sz w:val="20"/>
        </w:rPr>
        <w:t xml:space="preserve"> </w:t>
      </w:r>
      <w:r>
        <w:rPr>
          <w:b/>
          <w:sz w:val="20"/>
        </w:rPr>
        <w:t>empresa</w:t>
      </w:r>
      <w:r>
        <w:rPr>
          <w:b/>
          <w:spacing w:val="14"/>
          <w:sz w:val="20"/>
        </w:rPr>
        <w:t xml:space="preserve"> </w:t>
      </w:r>
      <w:r>
        <w:rPr>
          <w:b/>
          <w:sz w:val="20"/>
        </w:rPr>
        <w:t>que,</w:t>
      </w:r>
      <w:r>
        <w:rPr>
          <w:b/>
          <w:spacing w:val="17"/>
          <w:sz w:val="20"/>
        </w:rPr>
        <w:t xml:space="preserve"> </w:t>
      </w:r>
      <w:r>
        <w:rPr>
          <w:b/>
          <w:sz w:val="20"/>
        </w:rPr>
        <w:t>embora</w:t>
      </w:r>
      <w:r>
        <w:rPr>
          <w:b/>
          <w:spacing w:val="15"/>
          <w:sz w:val="20"/>
        </w:rPr>
        <w:t xml:space="preserve"> </w:t>
      </w:r>
      <w:r>
        <w:rPr>
          <w:b/>
          <w:spacing w:val="-2"/>
          <w:sz w:val="20"/>
        </w:rPr>
        <w:t>ostente</w:t>
      </w:r>
    </w:p>
    <w:p w:rsidR="007259F2" w:rsidRDefault="00DE6B1C">
      <w:pPr>
        <w:pStyle w:val="Corpodetexto"/>
        <w:spacing w:before="3"/>
        <w:ind w:left="0" w:firstLine="0"/>
        <w:jc w:val="left"/>
        <w:rPr>
          <w:b/>
          <w:sz w:val="17"/>
        </w:rPr>
      </w:pPr>
      <w:r w:rsidRPr="00DE6B1C">
        <w:rPr>
          <w:b/>
          <w:sz w:val="17"/>
        </w:rPr>
        <w:pict>
          <v:rect id="docshape191" o:spid="_x0000_s1040" style="position:absolute;margin-left:85.1pt;margin-top:11.15pt;width:2in;height:.7pt;z-index:-15641600;mso-wrap-distance-left:0;mso-wrap-distance-right:0;mso-position-horizontal-relative:page" fillcolor="black" stroked="f">
            <w10:wrap type="topAndBottom" anchorx="page"/>
          </v:rect>
        </w:pict>
      </w:r>
    </w:p>
    <w:p w:rsidR="007259F2" w:rsidRDefault="00E655B4">
      <w:pPr>
        <w:spacing w:before="96"/>
        <w:ind w:left="710" w:right="990"/>
        <w:rPr>
          <w:sz w:val="20"/>
        </w:rPr>
      </w:pPr>
      <w:r>
        <w:rPr>
          <w:sz w:val="20"/>
          <w:vertAlign w:val="superscript"/>
        </w:rPr>
        <w:t>14</w:t>
      </w:r>
      <w:r>
        <w:rPr>
          <w:sz w:val="20"/>
        </w:rPr>
        <w:t xml:space="preserve"> BRASIL. Supremo Tribunal Federal. </w:t>
      </w:r>
      <w:r>
        <w:rPr>
          <w:b/>
          <w:sz w:val="20"/>
        </w:rPr>
        <w:t>RE 594015</w:t>
      </w:r>
      <w:r>
        <w:rPr>
          <w:sz w:val="20"/>
        </w:rPr>
        <w:t>. Tribunal Pleno. Relator Ministro Marco</w:t>
      </w:r>
      <w:r>
        <w:rPr>
          <w:spacing w:val="-4"/>
          <w:sz w:val="20"/>
        </w:rPr>
        <w:t xml:space="preserve"> </w:t>
      </w:r>
      <w:r>
        <w:rPr>
          <w:sz w:val="20"/>
        </w:rPr>
        <w:t xml:space="preserve">Aurélio. Disponível em: </w:t>
      </w:r>
      <w:r>
        <w:rPr>
          <w:spacing w:val="-2"/>
          <w:sz w:val="20"/>
        </w:rPr>
        <w:t xml:space="preserve">https://portal.stf.jus.br/jurisprudenciaRepercussao/verAndamentoProcesso.asp?incidente=2642811&amp;nume </w:t>
      </w:r>
      <w:r>
        <w:rPr>
          <w:sz w:val="20"/>
        </w:rPr>
        <w:t>roProcesso=594015&amp;classeProcesso=RE&amp;numeroTema=385. Acesso em 07 dez. 2023.</w:t>
      </w:r>
    </w:p>
    <w:p w:rsidR="007259F2" w:rsidRDefault="00E655B4">
      <w:pPr>
        <w:ind w:left="710" w:right="990"/>
        <w:rPr>
          <w:sz w:val="20"/>
        </w:rPr>
      </w:pPr>
      <w:r>
        <w:rPr>
          <w:sz w:val="20"/>
          <w:vertAlign w:val="superscript"/>
        </w:rPr>
        <w:t>15</w:t>
      </w:r>
      <w:r>
        <w:rPr>
          <w:sz w:val="20"/>
        </w:rPr>
        <w:t xml:space="preserve"> BRASIL. Supremo Tribunal Federal. </w:t>
      </w:r>
      <w:r>
        <w:rPr>
          <w:b/>
          <w:sz w:val="20"/>
        </w:rPr>
        <w:t>RE 601720</w:t>
      </w:r>
      <w:r>
        <w:rPr>
          <w:sz w:val="20"/>
        </w:rPr>
        <w:t xml:space="preserve">. Tribunal Pleno. Relator Ministro Edson Fachin. Disponível em: </w:t>
      </w:r>
      <w:r>
        <w:rPr>
          <w:spacing w:val="-2"/>
          <w:sz w:val="20"/>
        </w:rPr>
        <w:t xml:space="preserve">https://portal.stf.jus.br/jurisprudenciaRepercussao/verAndamentoProcesso.asp?incidente=2692309&amp;nume </w:t>
      </w:r>
      <w:r>
        <w:rPr>
          <w:sz w:val="20"/>
        </w:rPr>
        <w:t>roP rocesso=601720&amp;classeProcesso=RE&amp;numeroTema=437. Acesso em 07 dez. 2023.</w:t>
      </w:r>
    </w:p>
    <w:p w:rsidR="007259F2" w:rsidRDefault="00E655B4">
      <w:pPr>
        <w:spacing w:before="2"/>
        <w:ind w:left="710" w:right="990"/>
        <w:rPr>
          <w:sz w:val="20"/>
        </w:rPr>
      </w:pPr>
      <w:r>
        <w:rPr>
          <w:sz w:val="20"/>
          <w:vertAlign w:val="superscript"/>
        </w:rPr>
        <w:t>16</w:t>
      </w:r>
      <w:r>
        <w:rPr>
          <w:spacing w:val="-5"/>
          <w:sz w:val="20"/>
        </w:rPr>
        <w:t xml:space="preserve"> </w:t>
      </w:r>
      <w:r>
        <w:rPr>
          <w:sz w:val="20"/>
        </w:rPr>
        <w:t>BRASIL.</w:t>
      </w:r>
      <w:r>
        <w:rPr>
          <w:spacing w:val="-3"/>
          <w:sz w:val="20"/>
        </w:rPr>
        <w:t xml:space="preserve"> </w:t>
      </w:r>
      <w:r>
        <w:rPr>
          <w:sz w:val="20"/>
        </w:rPr>
        <w:t>Supremo</w:t>
      </w:r>
      <w:r>
        <w:rPr>
          <w:spacing w:val="-6"/>
          <w:sz w:val="20"/>
        </w:rPr>
        <w:t xml:space="preserve"> </w:t>
      </w:r>
      <w:r>
        <w:rPr>
          <w:sz w:val="20"/>
        </w:rPr>
        <w:t>Tribunal</w:t>
      </w:r>
      <w:r>
        <w:rPr>
          <w:spacing w:val="-3"/>
          <w:sz w:val="20"/>
        </w:rPr>
        <w:t xml:space="preserve"> </w:t>
      </w:r>
      <w:r>
        <w:rPr>
          <w:sz w:val="20"/>
        </w:rPr>
        <w:t>Federal.</w:t>
      </w:r>
      <w:r>
        <w:rPr>
          <w:spacing w:val="-2"/>
          <w:sz w:val="20"/>
        </w:rPr>
        <w:t xml:space="preserve"> </w:t>
      </w:r>
      <w:r>
        <w:rPr>
          <w:b/>
          <w:sz w:val="20"/>
        </w:rPr>
        <w:t>Rcl</w:t>
      </w:r>
      <w:r>
        <w:rPr>
          <w:b/>
          <w:spacing w:val="-5"/>
          <w:sz w:val="20"/>
        </w:rPr>
        <w:t xml:space="preserve"> </w:t>
      </w:r>
      <w:r>
        <w:rPr>
          <w:b/>
          <w:sz w:val="20"/>
        </w:rPr>
        <w:t>32717</w:t>
      </w:r>
      <w:r>
        <w:rPr>
          <w:sz w:val="20"/>
        </w:rPr>
        <w:t>.</w:t>
      </w:r>
      <w:r>
        <w:rPr>
          <w:spacing w:val="-9"/>
          <w:sz w:val="20"/>
        </w:rPr>
        <w:t xml:space="preserve"> </w:t>
      </w:r>
      <w:r>
        <w:rPr>
          <w:sz w:val="20"/>
        </w:rPr>
        <w:t>Tribunal</w:t>
      </w:r>
      <w:r>
        <w:rPr>
          <w:spacing w:val="-5"/>
          <w:sz w:val="20"/>
        </w:rPr>
        <w:t xml:space="preserve"> </w:t>
      </w:r>
      <w:r>
        <w:rPr>
          <w:sz w:val="20"/>
        </w:rPr>
        <w:t>Pleno.</w:t>
      </w:r>
      <w:r>
        <w:rPr>
          <w:spacing w:val="-5"/>
          <w:sz w:val="20"/>
        </w:rPr>
        <w:t xml:space="preserve"> </w:t>
      </w:r>
      <w:r>
        <w:rPr>
          <w:sz w:val="20"/>
        </w:rPr>
        <w:t>Relator</w:t>
      </w:r>
      <w:r>
        <w:rPr>
          <w:spacing w:val="-5"/>
          <w:sz w:val="20"/>
        </w:rPr>
        <w:t xml:space="preserve"> </w:t>
      </w:r>
      <w:r>
        <w:rPr>
          <w:sz w:val="20"/>
        </w:rPr>
        <w:t>Ministro</w:t>
      </w:r>
      <w:r>
        <w:rPr>
          <w:spacing w:val="-4"/>
          <w:sz w:val="20"/>
        </w:rPr>
        <w:t xml:space="preserve"> </w:t>
      </w:r>
      <w:r>
        <w:rPr>
          <w:sz w:val="20"/>
        </w:rPr>
        <w:t>Luiz</w:t>
      </w:r>
      <w:r>
        <w:rPr>
          <w:spacing w:val="-3"/>
          <w:sz w:val="20"/>
        </w:rPr>
        <w:t xml:space="preserve"> </w:t>
      </w:r>
      <w:r>
        <w:rPr>
          <w:sz w:val="20"/>
        </w:rPr>
        <w:t>Fux.</w:t>
      </w:r>
      <w:r>
        <w:rPr>
          <w:spacing w:val="-5"/>
          <w:sz w:val="20"/>
        </w:rPr>
        <w:t xml:space="preserve"> </w:t>
      </w:r>
      <w:r>
        <w:rPr>
          <w:sz w:val="20"/>
        </w:rPr>
        <w:t>Disponível em: https://portal.stf.jus.br/processos/detalhe.asp?incidente=5600632. Acesso em 07 dez. 2023.</w:t>
      </w:r>
    </w:p>
    <w:p w:rsidR="007259F2" w:rsidRDefault="007259F2">
      <w:pPr>
        <w:rPr>
          <w:sz w:val="20"/>
        </w:rPr>
        <w:sectPr w:rsidR="007259F2">
          <w:pgSz w:w="11910" w:h="16840"/>
          <w:pgMar w:top="1320" w:right="708" w:bottom="1160" w:left="992" w:header="0" w:footer="962" w:gutter="0"/>
          <w:cols w:space="720"/>
        </w:sectPr>
      </w:pPr>
    </w:p>
    <w:p w:rsidR="007259F2" w:rsidRDefault="00E655B4">
      <w:pPr>
        <w:spacing w:before="75"/>
        <w:ind w:left="2978" w:right="995"/>
        <w:jc w:val="both"/>
        <w:rPr>
          <w:sz w:val="20"/>
        </w:rPr>
      </w:pPr>
      <w:r>
        <w:rPr>
          <w:b/>
          <w:sz w:val="20"/>
        </w:rPr>
        <w:lastRenderedPageBreak/>
        <w:t>natureza jurídica de direito privado, presta serviços essencialmente públicos</w:t>
      </w:r>
      <w:r>
        <w:rPr>
          <w:sz w:val="20"/>
        </w:rPr>
        <w:t>. De fato, a companhia reclamante, CODESP, é vinculada ao Governo Federal e à Secretaria de Portos da Presidência da República, incumbindo-se do gerenciamento dos imóveis que servem de supedâneo ao exercício das atividades portuárias nos Municípios de Santos e de Guarujá, responsabilizando-se por toda a parte administrativa do complexo portuário. (grifo nosso)</w:t>
      </w:r>
    </w:p>
    <w:p w:rsidR="007259F2" w:rsidRDefault="00E655B4">
      <w:pPr>
        <w:pStyle w:val="Corpodetexto"/>
        <w:spacing w:before="226"/>
        <w:ind w:left="1418" w:firstLine="0"/>
        <w:jc w:val="left"/>
      </w:pPr>
      <w:r>
        <w:t>E</w:t>
      </w:r>
      <w:r>
        <w:rPr>
          <w:spacing w:val="-2"/>
        </w:rPr>
        <w:t xml:space="preserve"> </w:t>
      </w:r>
      <w:r>
        <w:t>prossegue</w:t>
      </w:r>
      <w:r>
        <w:rPr>
          <w:spacing w:val="-2"/>
        </w:rPr>
        <w:t xml:space="preserve"> </w:t>
      </w:r>
      <w:r>
        <w:t>o</w:t>
      </w:r>
      <w:r>
        <w:rPr>
          <w:spacing w:val="-1"/>
        </w:rPr>
        <w:t xml:space="preserve"> </w:t>
      </w:r>
      <w:r>
        <w:t>Min.</w:t>
      </w:r>
      <w:r>
        <w:rPr>
          <w:spacing w:val="1"/>
        </w:rPr>
        <w:t xml:space="preserve"> </w:t>
      </w:r>
      <w:r>
        <w:t xml:space="preserve">Luiz </w:t>
      </w:r>
      <w:r>
        <w:rPr>
          <w:spacing w:val="-4"/>
        </w:rPr>
        <w:t>Fux:</w:t>
      </w:r>
    </w:p>
    <w:p w:rsidR="007259F2" w:rsidRDefault="007259F2">
      <w:pPr>
        <w:pStyle w:val="Corpodetexto"/>
        <w:spacing w:before="1"/>
        <w:ind w:left="0" w:firstLine="0"/>
        <w:jc w:val="left"/>
      </w:pPr>
    </w:p>
    <w:p w:rsidR="007259F2" w:rsidRDefault="00E655B4">
      <w:pPr>
        <w:ind w:left="2978" w:right="994"/>
        <w:jc w:val="both"/>
        <w:rPr>
          <w:sz w:val="20"/>
        </w:rPr>
      </w:pPr>
      <w:r>
        <w:rPr>
          <w:sz w:val="20"/>
        </w:rPr>
        <w:t>Destarte, verifica-se que as discussões ora em comento comportam dois aspectos envolvendo o pagamento de tributos: um é a inaplicabilidade da imunidade tributária recíproca às empresas que, embora utilizem imóvel público, explorem atividades com fins lucrativos (Tema 437 da Repercussão Geral) e o outro é a aplicabilidade da imunidade recíproca às empresas que, a despeito de ostentarem natureza privada, prestem serviços essencialmente públicos (</w:t>
      </w:r>
      <w:r>
        <w:rPr>
          <w:b/>
          <w:sz w:val="20"/>
        </w:rPr>
        <w:t>RE 253.472</w:t>
      </w:r>
      <w:r>
        <w:rPr>
          <w:sz w:val="20"/>
        </w:rPr>
        <w:t>).</w:t>
      </w:r>
    </w:p>
    <w:p w:rsidR="007259F2" w:rsidRDefault="007259F2">
      <w:pPr>
        <w:pStyle w:val="Corpodetexto"/>
        <w:spacing w:before="46"/>
        <w:ind w:left="0" w:firstLine="0"/>
        <w:jc w:val="left"/>
        <w:rPr>
          <w:sz w:val="20"/>
        </w:rPr>
      </w:pPr>
    </w:p>
    <w:p w:rsidR="007259F2" w:rsidRDefault="00E655B4">
      <w:pPr>
        <w:pStyle w:val="Corpodetexto"/>
        <w:ind w:right="993"/>
      </w:pPr>
      <w:r>
        <w:t>A</w:t>
      </w:r>
      <w:r>
        <w:rPr>
          <w:spacing w:val="-14"/>
        </w:rPr>
        <w:t xml:space="preserve"> </w:t>
      </w:r>
      <w:r>
        <w:t>distinção está na</w:t>
      </w:r>
      <w:r>
        <w:rPr>
          <w:spacing w:val="-1"/>
        </w:rPr>
        <w:t xml:space="preserve"> </w:t>
      </w:r>
      <w:r>
        <w:t>natureza</w:t>
      </w:r>
      <w:r>
        <w:rPr>
          <w:spacing w:val="-1"/>
        </w:rPr>
        <w:t xml:space="preserve"> </w:t>
      </w:r>
      <w:r>
        <w:t>das atividades realizadas pelas pessoas jurídicas que utilizam o espaço público: caso sejam pessoas jurídicas oferecendo serviços de caráter essencialmente público, terão direito à imunidade tributária.</w:t>
      </w:r>
    </w:p>
    <w:p w:rsidR="007259F2" w:rsidRDefault="00E655B4">
      <w:pPr>
        <w:pStyle w:val="Corpodetexto"/>
        <w:ind w:right="985"/>
      </w:pPr>
      <w:r>
        <w:t>Em outro julgado com Repercussão Geral, (RE) 1320054 Tema 1.140</w:t>
      </w:r>
      <w:r>
        <w:rPr>
          <w:vertAlign w:val="superscript"/>
        </w:rPr>
        <w:t>17</w:t>
      </w:r>
      <w:r>
        <w:t>, o STF reafirmou que empresas estatais sem lucro são beneficiarias de imunidade tributária recíproca. Segundo o entendimento da Corte, o benefício, previsto na Constituição Federal (artigo 150, inciso VI, alínea “a”), é concedido quando não houver distribuição de lucros a acionistas privados e nos casos de ausência de risco ao equilíbrio concorrencial. Em tal processo questionava-se a possibilidade da Companhia do Metropolitano de São Paulo (Metrô-SP) obter imunidade tributária recíproca ao pagamento de Imposto Predial e Territorial Urbano (IPTU).</w:t>
      </w:r>
    </w:p>
    <w:p w:rsidR="007259F2" w:rsidRDefault="00E655B4">
      <w:pPr>
        <w:pStyle w:val="Corpodetexto"/>
        <w:ind w:right="987"/>
      </w:pPr>
      <w:r>
        <w:t>No mesmo sentido, em ARE nº 1080256/SP,</w:t>
      </w:r>
      <w:r>
        <w:rPr>
          <w:vertAlign w:val="superscript"/>
        </w:rPr>
        <w:t>18</w:t>
      </w:r>
      <w:r>
        <w:t xml:space="preserve"> a suprema corte reconheceu ser licita a aplicação da imunidade tributária recíproca em imóvel utilizado pela CPTM – sociedade de economia mista – na execução de serviços de transporte ferroviário.</w:t>
      </w:r>
    </w:p>
    <w:p w:rsidR="007259F2" w:rsidRDefault="00E655B4">
      <w:pPr>
        <w:pStyle w:val="Corpodetexto"/>
        <w:spacing w:before="1"/>
        <w:ind w:right="987"/>
      </w:pPr>
      <w:r>
        <w:t>Em sua decisão, a corte argumenta que a estrutura do Estado Federal, presente em nossas leis, impede que qualquer unidade federativa institua impostos sobre o patrimônio, renda ou serviços das outras entidades políticas ou administrativas, especialmente quando estas foram criadas para oferecer serviços públicos específicos dentro</w:t>
      </w:r>
      <w:r>
        <w:rPr>
          <w:spacing w:val="24"/>
        </w:rPr>
        <w:t xml:space="preserve"> </w:t>
      </w:r>
      <w:r>
        <w:t>da</w:t>
      </w:r>
      <w:r>
        <w:rPr>
          <w:spacing w:val="27"/>
        </w:rPr>
        <w:t xml:space="preserve"> </w:t>
      </w:r>
      <w:r>
        <w:t>esfera</w:t>
      </w:r>
      <w:r>
        <w:rPr>
          <w:spacing w:val="26"/>
        </w:rPr>
        <w:t xml:space="preserve"> </w:t>
      </w:r>
      <w:r>
        <w:t>de</w:t>
      </w:r>
      <w:r>
        <w:rPr>
          <w:spacing w:val="26"/>
        </w:rPr>
        <w:t xml:space="preserve"> </w:t>
      </w:r>
      <w:r>
        <w:t>competência</w:t>
      </w:r>
      <w:r>
        <w:rPr>
          <w:spacing w:val="27"/>
        </w:rPr>
        <w:t xml:space="preserve"> </w:t>
      </w:r>
      <w:r>
        <w:t>determinada</w:t>
      </w:r>
      <w:r>
        <w:rPr>
          <w:spacing w:val="25"/>
        </w:rPr>
        <w:t xml:space="preserve"> </w:t>
      </w:r>
      <w:r>
        <w:t>pela</w:t>
      </w:r>
      <w:r>
        <w:rPr>
          <w:spacing w:val="24"/>
        </w:rPr>
        <w:t xml:space="preserve"> </w:t>
      </w:r>
      <w:r>
        <w:t>Constituição,</w:t>
      </w:r>
      <w:r>
        <w:rPr>
          <w:spacing w:val="26"/>
        </w:rPr>
        <w:t xml:space="preserve"> </w:t>
      </w:r>
      <w:r>
        <w:t>e</w:t>
      </w:r>
      <w:r>
        <w:rPr>
          <w:spacing w:val="25"/>
        </w:rPr>
        <w:t xml:space="preserve"> </w:t>
      </w:r>
      <w:r>
        <w:t>que</w:t>
      </w:r>
      <w:r>
        <w:rPr>
          <w:spacing w:val="26"/>
        </w:rPr>
        <w:t xml:space="preserve"> </w:t>
      </w:r>
      <w:r>
        <w:t>a</w:t>
      </w:r>
      <w:r>
        <w:rPr>
          <w:spacing w:val="25"/>
        </w:rPr>
        <w:t xml:space="preserve"> </w:t>
      </w:r>
      <w:r>
        <w:t>finalidade</w:t>
      </w:r>
      <w:r>
        <w:rPr>
          <w:spacing w:val="24"/>
        </w:rPr>
        <w:t xml:space="preserve"> </w:t>
      </w:r>
      <w:r>
        <w:rPr>
          <w:spacing w:val="-5"/>
        </w:rPr>
        <w:t>da</w:t>
      </w:r>
    </w:p>
    <w:p w:rsidR="007259F2" w:rsidRDefault="00DE6B1C">
      <w:pPr>
        <w:pStyle w:val="Corpodetexto"/>
        <w:spacing w:before="2"/>
        <w:ind w:left="0" w:firstLine="0"/>
        <w:jc w:val="left"/>
        <w:rPr>
          <w:sz w:val="18"/>
        </w:rPr>
      </w:pPr>
      <w:r w:rsidRPr="00DE6B1C">
        <w:rPr>
          <w:sz w:val="18"/>
        </w:rPr>
        <w:pict>
          <v:rect id="docshape192" o:spid="_x0000_s1039" style="position:absolute;margin-left:85.1pt;margin-top:11.7pt;width:2in;height:.7pt;z-index:-15641088;mso-wrap-distance-left:0;mso-wrap-distance-right:0;mso-position-horizontal-relative:page" fillcolor="black" stroked="f">
            <w10:wrap type="topAndBottom" anchorx="page"/>
          </v:rect>
        </w:pict>
      </w:r>
    </w:p>
    <w:p w:rsidR="007259F2" w:rsidRDefault="00E655B4">
      <w:pPr>
        <w:spacing w:before="97"/>
        <w:ind w:left="710" w:right="990"/>
        <w:rPr>
          <w:sz w:val="20"/>
        </w:rPr>
      </w:pPr>
      <w:r>
        <w:rPr>
          <w:sz w:val="20"/>
          <w:vertAlign w:val="superscript"/>
        </w:rPr>
        <w:t>17</w:t>
      </w:r>
      <w:r>
        <w:rPr>
          <w:spacing w:val="40"/>
          <w:sz w:val="20"/>
        </w:rPr>
        <w:t xml:space="preserve"> </w:t>
      </w:r>
      <w:r>
        <w:rPr>
          <w:sz w:val="20"/>
        </w:rPr>
        <w:t>BRASIL.</w:t>
      </w:r>
      <w:r>
        <w:rPr>
          <w:spacing w:val="40"/>
          <w:sz w:val="20"/>
        </w:rPr>
        <w:t xml:space="preserve"> </w:t>
      </w:r>
      <w:r>
        <w:rPr>
          <w:sz w:val="20"/>
        </w:rPr>
        <w:t>Supremo</w:t>
      </w:r>
      <w:r>
        <w:rPr>
          <w:spacing w:val="40"/>
          <w:sz w:val="20"/>
        </w:rPr>
        <w:t xml:space="preserve"> </w:t>
      </w:r>
      <w:r>
        <w:rPr>
          <w:sz w:val="20"/>
        </w:rPr>
        <w:t>Tribunal</w:t>
      </w:r>
      <w:r>
        <w:rPr>
          <w:spacing w:val="40"/>
          <w:sz w:val="20"/>
        </w:rPr>
        <w:t xml:space="preserve"> </w:t>
      </w:r>
      <w:r>
        <w:rPr>
          <w:sz w:val="20"/>
        </w:rPr>
        <w:t>Federal.</w:t>
      </w:r>
      <w:r>
        <w:rPr>
          <w:spacing w:val="40"/>
          <w:sz w:val="20"/>
        </w:rPr>
        <w:t xml:space="preserve"> </w:t>
      </w:r>
      <w:r>
        <w:rPr>
          <w:b/>
          <w:sz w:val="20"/>
        </w:rPr>
        <w:t>RE</w:t>
      </w:r>
      <w:r>
        <w:rPr>
          <w:b/>
          <w:spacing w:val="40"/>
          <w:sz w:val="20"/>
        </w:rPr>
        <w:t xml:space="preserve"> </w:t>
      </w:r>
      <w:r>
        <w:rPr>
          <w:b/>
          <w:sz w:val="20"/>
        </w:rPr>
        <w:t>1320054</w:t>
      </w:r>
      <w:r>
        <w:rPr>
          <w:sz w:val="20"/>
        </w:rPr>
        <w:t>.</w:t>
      </w:r>
      <w:r>
        <w:rPr>
          <w:spacing w:val="40"/>
          <w:sz w:val="20"/>
        </w:rPr>
        <w:t xml:space="preserve"> </w:t>
      </w:r>
      <w:r>
        <w:rPr>
          <w:sz w:val="20"/>
        </w:rPr>
        <w:t>Tribunal</w:t>
      </w:r>
      <w:r>
        <w:rPr>
          <w:spacing w:val="40"/>
          <w:sz w:val="20"/>
        </w:rPr>
        <w:t xml:space="preserve"> </w:t>
      </w:r>
      <w:r>
        <w:rPr>
          <w:sz w:val="20"/>
        </w:rPr>
        <w:t>Pleno.</w:t>
      </w:r>
      <w:r>
        <w:rPr>
          <w:spacing w:val="40"/>
          <w:sz w:val="20"/>
        </w:rPr>
        <w:t xml:space="preserve"> </w:t>
      </w:r>
      <w:r>
        <w:rPr>
          <w:sz w:val="20"/>
        </w:rPr>
        <w:t>Relator</w:t>
      </w:r>
      <w:r>
        <w:rPr>
          <w:spacing w:val="40"/>
          <w:sz w:val="20"/>
        </w:rPr>
        <w:t xml:space="preserve"> </w:t>
      </w:r>
      <w:r>
        <w:rPr>
          <w:sz w:val="20"/>
        </w:rPr>
        <w:t>Ministro</w:t>
      </w:r>
      <w:r>
        <w:rPr>
          <w:spacing w:val="40"/>
          <w:sz w:val="20"/>
        </w:rPr>
        <w:t xml:space="preserve"> </w:t>
      </w:r>
      <w:r>
        <w:rPr>
          <w:sz w:val="20"/>
        </w:rPr>
        <w:t>Presidente. APELAÇÃO – Execução Fiscal – IPTU. Exceção de pré-executividade acolhida. Imunidade, nos termos do</w:t>
      </w:r>
      <w:r>
        <w:rPr>
          <w:spacing w:val="29"/>
          <w:sz w:val="20"/>
        </w:rPr>
        <w:t xml:space="preserve"> </w:t>
      </w:r>
      <w:r>
        <w:rPr>
          <w:sz w:val="20"/>
        </w:rPr>
        <w:t>art.</w:t>
      </w:r>
      <w:r>
        <w:rPr>
          <w:spacing w:val="28"/>
          <w:sz w:val="20"/>
        </w:rPr>
        <w:t xml:space="preserve"> </w:t>
      </w:r>
      <w:r>
        <w:rPr>
          <w:sz w:val="20"/>
        </w:rPr>
        <w:t>150,</w:t>
      </w:r>
      <w:r>
        <w:rPr>
          <w:spacing w:val="26"/>
          <w:sz w:val="20"/>
        </w:rPr>
        <w:t xml:space="preserve"> </w:t>
      </w:r>
      <w:r>
        <w:rPr>
          <w:sz w:val="20"/>
        </w:rPr>
        <w:t>VI,</w:t>
      </w:r>
      <w:r>
        <w:rPr>
          <w:spacing w:val="28"/>
          <w:sz w:val="20"/>
        </w:rPr>
        <w:t xml:space="preserve"> </w:t>
      </w:r>
      <w:r>
        <w:rPr>
          <w:sz w:val="20"/>
        </w:rPr>
        <w:t>a,</w:t>
      </w:r>
      <w:r>
        <w:rPr>
          <w:spacing w:val="29"/>
          <w:sz w:val="20"/>
        </w:rPr>
        <w:t xml:space="preserve"> </w:t>
      </w:r>
      <w:r>
        <w:rPr>
          <w:sz w:val="20"/>
        </w:rPr>
        <w:t>da</w:t>
      </w:r>
      <w:r>
        <w:rPr>
          <w:spacing w:val="28"/>
          <w:sz w:val="20"/>
        </w:rPr>
        <w:t xml:space="preserve"> </w:t>
      </w:r>
      <w:r>
        <w:rPr>
          <w:sz w:val="20"/>
        </w:rPr>
        <w:t>CF.</w:t>
      </w:r>
      <w:r>
        <w:rPr>
          <w:spacing w:val="28"/>
          <w:sz w:val="20"/>
        </w:rPr>
        <w:t xml:space="preserve"> </w:t>
      </w:r>
      <w:r>
        <w:rPr>
          <w:sz w:val="20"/>
        </w:rPr>
        <w:t>Benefício</w:t>
      </w:r>
      <w:r>
        <w:rPr>
          <w:spacing w:val="29"/>
          <w:sz w:val="20"/>
        </w:rPr>
        <w:t xml:space="preserve"> </w:t>
      </w:r>
      <w:r>
        <w:rPr>
          <w:sz w:val="20"/>
        </w:rPr>
        <w:t>extensível</w:t>
      </w:r>
      <w:r>
        <w:rPr>
          <w:spacing w:val="28"/>
          <w:sz w:val="20"/>
        </w:rPr>
        <w:t xml:space="preserve"> </w:t>
      </w:r>
      <w:r>
        <w:rPr>
          <w:sz w:val="20"/>
        </w:rPr>
        <w:t>a</w:t>
      </w:r>
      <w:r>
        <w:rPr>
          <w:spacing w:val="28"/>
          <w:sz w:val="20"/>
        </w:rPr>
        <w:t xml:space="preserve"> </w:t>
      </w:r>
      <w:r>
        <w:rPr>
          <w:sz w:val="20"/>
        </w:rPr>
        <w:t>sociedade</w:t>
      </w:r>
      <w:r>
        <w:rPr>
          <w:spacing w:val="28"/>
          <w:sz w:val="20"/>
        </w:rPr>
        <w:t xml:space="preserve"> </w:t>
      </w:r>
      <w:r>
        <w:rPr>
          <w:sz w:val="20"/>
        </w:rPr>
        <w:t>de</w:t>
      </w:r>
      <w:r>
        <w:rPr>
          <w:spacing w:val="28"/>
          <w:sz w:val="20"/>
        </w:rPr>
        <w:t xml:space="preserve"> </w:t>
      </w:r>
      <w:r>
        <w:rPr>
          <w:sz w:val="20"/>
        </w:rPr>
        <w:t>economia</w:t>
      </w:r>
      <w:r>
        <w:rPr>
          <w:spacing w:val="31"/>
          <w:sz w:val="20"/>
        </w:rPr>
        <w:t xml:space="preserve"> </w:t>
      </w:r>
      <w:r>
        <w:rPr>
          <w:sz w:val="20"/>
        </w:rPr>
        <w:t>mista,</w:t>
      </w:r>
      <w:r>
        <w:rPr>
          <w:spacing w:val="29"/>
          <w:sz w:val="20"/>
        </w:rPr>
        <w:t xml:space="preserve"> </w:t>
      </w:r>
      <w:r>
        <w:rPr>
          <w:sz w:val="20"/>
        </w:rPr>
        <w:t>prestadora</w:t>
      </w:r>
      <w:r>
        <w:rPr>
          <w:spacing w:val="28"/>
          <w:sz w:val="20"/>
        </w:rPr>
        <w:t xml:space="preserve"> </w:t>
      </w:r>
      <w:r>
        <w:rPr>
          <w:sz w:val="20"/>
        </w:rPr>
        <w:t>de</w:t>
      </w:r>
      <w:r>
        <w:rPr>
          <w:spacing w:val="28"/>
          <w:sz w:val="20"/>
        </w:rPr>
        <w:t xml:space="preserve"> </w:t>
      </w:r>
      <w:r>
        <w:rPr>
          <w:sz w:val="20"/>
        </w:rPr>
        <w:t>serviço público.</w:t>
      </w:r>
      <w:r>
        <w:rPr>
          <w:spacing w:val="40"/>
          <w:sz w:val="20"/>
        </w:rPr>
        <w:t xml:space="preserve"> </w:t>
      </w:r>
      <w:r>
        <w:rPr>
          <w:sz w:val="20"/>
        </w:rPr>
        <w:t>Precedentes</w:t>
      </w:r>
      <w:r>
        <w:rPr>
          <w:spacing w:val="40"/>
          <w:sz w:val="20"/>
        </w:rPr>
        <w:t xml:space="preserve"> </w:t>
      </w:r>
      <w:r>
        <w:rPr>
          <w:sz w:val="20"/>
        </w:rPr>
        <w:t>do</w:t>
      </w:r>
      <w:r>
        <w:rPr>
          <w:spacing w:val="40"/>
          <w:sz w:val="20"/>
        </w:rPr>
        <w:t xml:space="preserve"> </w:t>
      </w:r>
      <w:r>
        <w:rPr>
          <w:sz w:val="20"/>
        </w:rPr>
        <w:t>STF</w:t>
      </w:r>
      <w:r>
        <w:rPr>
          <w:spacing w:val="40"/>
          <w:sz w:val="20"/>
        </w:rPr>
        <w:t xml:space="preserve"> </w:t>
      </w:r>
      <w:r>
        <w:rPr>
          <w:sz w:val="20"/>
        </w:rPr>
        <w:t>e</w:t>
      </w:r>
      <w:r>
        <w:rPr>
          <w:spacing w:val="40"/>
          <w:sz w:val="20"/>
        </w:rPr>
        <w:t xml:space="preserve"> </w:t>
      </w:r>
      <w:r>
        <w:rPr>
          <w:sz w:val="20"/>
        </w:rPr>
        <w:t>desta</w:t>
      </w:r>
      <w:r>
        <w:rPr>
          <w:spacing w:val="40"/>
          <w:sz w:val="20"/>
        </w:rPr>
        <w:t xml:space="preserve"> </w:t>
      </w:r>
      <w:r>
        <w:rPr>
          <w:sz w:val="20"/>
        </w:rPr>
        <w:t>Corte.</w:t>
      </w:r>
      <w:r>
        <w:rPr>
          <w:spacing w:val="40"/>
          <w:sz w:val="20"/>
        </w:rPr>
        <w:t xml:space="preserve"> </w:t>
      </w:r>
      <w:r>
        <w:rPr>
          <w:sz w:val="20"/>
        </w:rPr>
        <w:t>Sentença</w:t>
      </w:r>
      <w:r>
        <w:rPr>
          <w:spacing w:val="40"/>
          <w:sz w:val="20"/>
        </w:rPr>
        <w:t xml:space="preserve"> </w:t>
      </w:r>
      <w:r>
        <w:rPr>
          <w:sz w:val="20"/>
        </w:rPr>
        <w:t>mantida.</w:t>
      </w:r>
      <w:r>
        <w:rPr>
          <w:spacing w:val="40"/>
          <w:sz w:val="20"/>
        </w:rPr>
        <w:t xml:space="preserve"> </w:t>
      </w:r>
      <w:r>
        <w:rPr>
          <w:sz w:val="20"/>
        </w:rPr>
        <w:t>Recurso</w:t>
      </w:r>
      <w:r>
        <w:rPr>
          <w:spacing w:val="40"/>
          <w:sz w:val="20"/>
        </w:rPr>
        <w:t xml:space="preserve"> </w:t>
      </w:r>
      <w:r>
        <w:rPr>
          <w:sz w:val="20"/>
        </w:rPr>
        <w:t>desprovido.</w:t>
      </w:r>
      <w:r>
        <w:rPr>
          <w:spacing w:val="40"/>
          <w:sz w:val="20"/>
        </w:rPr>
        <w:t xml:space="preserve"> </w:t>
      </w:r>
      <w:r>
        <w:rPr>
          <w:sz w:val="20"/>
        </w:rPr>
        <w:t>(Doc.</w:t>
      </w:r>
      <w:r>
        <w:rPr>
          <w:spacing w:val="40"/>
          <w:sz w:val="20"/>
        </w:rPr>
        <w:t xml:space="preserve"> </w:t>
      </w:r>
      <w:r>
        <w:rPr>
          <w:sz w:val="20"/>
        </w:rPr>
        <w:t>11,</w:t>
      </w:r>
      <w:r>
        <w:rPr>
          <w:spacing w:val="40"/>
          <w:sz w:val="20"/>
        </w:rPr>
        <w:t xml:space="preserve"> </w:t>
      </w:r>
      <w:r>
        <w:rPr>
          <w:sz w:val="20"/>
        </w:rPr>
        <w:t>p.</w:t>
      </w:r>
      <w:r>
        <w:rPr>
          <w:spacing w:val="40"/>
          <w:sz w:val="20"/>
        </w:rPr>
        <w:t xml:space="preserve"> </w:t>
      </w:r>
      <w:r>
        <w:rPr>
          <w:sz w:val="20"/>
        </w:rPr>
        <w:t xml:space="preserve">2) </w:t>
      </w:r>
      <w:r>
        <w:rPr>
          <w:spacing w:val="-2"/>
          <w:sz w:val="20"/>
        </w:rPr>
        <w:t xml:space="preserve">Disponívelem: </w:t>
      </w:r>
      <w:hyperlink r:id="rId385">
        <w:r>
          <w:rPr>
            <w:color w:val="0000FF"/>
            <w:spacing w:val="-2"/>
            <w:sz w:val="20"/>
            <w:u w:val="single" w:color="0000FF"/>
          </w:rPr>
          <w:t>https://portal.stf.jus.br/jurisprudenciaRepercussao/verAndamentoProcesso.asp?incidente=6146137&amp;nume</w:t>
        </w:r>
      </w:hyperlink>
      <w:r>
        <w:rPr>
          <w:color w:val="0000FF"/>
          <w:spacing w:val="-2"/>
          <w:sz w:val="20"/>
        </w:rPr>
        <w:t xml:space="preserve"> </w:t>
      </w:r>
      <w:hyperlink r:id="rId386">
        <w:r>
          <w:rPr>
            <w:color w:val="0000FF"/>
            <w:sz w:val="20"/>
            <w:u w:val="single" w:color="0000FF"/>
          </w:rPr>
          <w:t>roProcesso=1320054&amp;classeProcesso=RE&amp;numeroTema=1140</w:t>
        </w:r>
        <w:r>
          <w:rPr>
            <w:sz w:val="20"/>
          </w:rPr>
          <w:t>.</w:t>
        </w:r>
      </w:hyperlink>
      <w:r>
        <w:rPr>
          <w:sz w:val="20"/>
        </w:rPr>
        <w:t xml:space="preserve"> Acesso em 07 dez. 2023.</w:t>
      </w:r>
    </w:p>
    <w:p w:rsidR="007259F2" w:rsidRDefault="00E655B4">
      <w:pPr>
        <w:ind w:left="710" w:right="988"/>
        <w:jc w:val="both"/>
        <w:rPr>
          <w:sz w:val="20"/>
        </w:rPr>
      </w:pPr>
      <w:r>
        <w:rPr>
          <w:sz w:val="20"/>
          <w:vertAlign w:val="superscript"/>
        </w:rPr>
        <w:t>18</w:t>
      </w:r>
      <w:r>
        <w:rPr>
          <w:sz w:val="20"/>
        </w:rPr>
        <w:t xml:space="preserve"> BRASIL. Supremo Tribunal Federal. </w:t>
      </w:r>
      <w:r>
        <w:rPr>
          <w:b/>
          <w:sz w:val="20"/>
        </w:rPr>
        <w:t>ARE 1080256</w:t>
      </w:r>
      <w:r>
        <w:rPr>
          <w:sz w:val="20"/>
        </w:rPr>
        <w:t>.</w:t>
      </w:r>
      <w:r>
        <w:rPr>
          <w:spacing w:val="-1"/>
          <w:sz w:val="20"/>
        </w:rPr>
        <w:t xml:space="preserve"> </w:t>
      </w:r>
      <w:r>
        <w:rPr>
          <w:sz w:val="20"/>
        </w:rPr>
        <w:t>Tribunal Pleno. Relator Ministro Celso de Mello. EMENTA:</w:t>
      </w:r>
      <w:r>
        <w:rPr>
          <w:spacing w:val="-3"/>
          <w:sz w:val="20"/>
        </w:rPr>
        <w:t xml:space="preserve"> </w:t>
      </w:r>
      <w:r>
        <w:rPr>
          <w:sz w:val="20"/>
        </w:rPr>
        <w:t>Recurso</w:t>
      </w:r>
      <w:r>
        <w:rPr>
          <w:spacing w:val="-2"/>
          <w:sz w:val="20"/>
        </w:rPr>
        <w:t xml:space="preserve"> </w:t>
      </w:r>
      <w:r>
        <w:rPr>
          <w:sz w:val="20"/>
        </w:rPr>
        <w:t>Extraordinário –</w:t>
      </w:r>
      <w:r>
        <w:rPr>
          <w:spacing w:val="-1"/>
          <w:sz w:val="20"/>
        </w:rPr>
        <w:t xml:space="preserve"> </w:t>
      </w:r>
      <w:r>
        <w:rPr>
          <w:sz w:val="20"/>
        </w:rPr>
        <w:t>CPTM</w:t>
      </w:r>
      <w:r>
        <w:rPr>
          <w:spacing w:val="-2"/>
          <w:sz w:val="20"/>
        </w:rPr>
        <w:t xml:space="preserve"> </w:t>
      </w:r>
      <w:r>
        <w:rPr>
          <w:sz w:val="20"/>
        </w:rPr>
        <w:t>–</w:t>
      </w:r>
      <w:r>
        <w:rPr>
          <w:spacing w:val="-1"/>
          <w:sz w:val="20"/>
        </w:rPr>
        <w:t xml:space="preserve"> </w:t>
      </w:r>
      <w:r>
        <w:rPr>
          <w:sz w:val="20"/>
        </w:rPr>
        <w:t>sociedade</w:t>
      </w:r>
      <w:r>
        <w:rPr>
          <w:spacing w:val="-3"/>
          <w:sz w:val="20"/>
        </w:rPr>
        <w:t xml:space="preserve"> </w:t>
      </w:r>
      <w:r>
        <w:rPr>
          <w:sz w:val="20"/>
        </w:rPr>
        <w:t>de</w:t>
      </w:r>
      <w:r>
        <w:rPr>
          <w:spacing w:val="-5"/>
          <w:sz w:val="20"/>
        </w:rPr>
        <w:t xml:space="preserve"> </w:t>
      </w:r>
      <w:r>
        <w:rPr>
          <w:sz w:val="20"/>
        </w:rPr>
        <w:t>economia</w:t>
      </w:r>
      <w:r>
        <w:rPr>
          <w:spacing w:val="-1"/>
          <w:sz w:val="20"/>
        </w:rPr>
        <w:t xml:space="preserve"> </w:t>
      </w:r>
      <w:r>
        <w:rPr>
          <w:sz w:val="20"/>
        </w:rPr>
        <w:t>mista</w:t>
      </w:r>
      <w:r>
        <w:rPr>
          <w:spacing w:val="-3"/>
          <w:sz w:val="20"/>
        </w:rPr>
        <w:t xml:space="preserve"> </w:t>
      </w:r>
      <w:r>
        <w:rPr>
          <w:sz w:val="20"/>
        </w:rPr>
        <w:t>incumbida</w:t>
      </w:r>
      <w:r>
        <w:rPr>
          <w:spacing w:val="-3"/>
          <w:sz w:val="20"/>
        </w:rPr>
        <w:t xml:space="preserve"> </w:t>
      </w:r>
      <w:r>
        <w:rPr>
          <w:sz w:val="20"/>
        </w:rPr>
        <w:t>de</w:t>
      </w:r>
      <w:r>
        <w:rPr>
          <w:spacing w:val="-3"/>
          <w:sz w:val="20"/>
        </w:rPr>
        <w:t xml:space="preserve"> </w:t>
      </w:r>
      <w:r>
        <w:rPr>
          <w:sz w:val="20"/>
        </w:rPr>
        <w:t>executar,</w:t>
      </w:r>
      <w:r>
        <w:rPr>
          <w:spacing w:val="-3"/>
          <w:sz w:val="20"/>
        </w:rPr>
        <w:t xml:space="preserve"> </w:t>
      </w:r>
      <w:r>
        <w:rPr>
          <w:sz w:val="20"/>
        </w:rPr>
        <w:t xml:space="preserve">como atividade-fim, em função de sua específica destinação institucional, serviços de transporte ferroviário – CPTM como instrumentalidade administrativa do ente federado, incumbida, nessa condição institucional, de executar típico serviço público – consequente extensão, a essa empresa governamental, em matéria de impostos, da proteção constitucional fundada na garantia da imunidade tributária recíproca (CF, ART. 150, VI, “ a”) – o alto significado político-jurídico dessa garantia constitucional, que traduz uma das projeções concretizadoras do postulado da federação – imunidade tributária da CPTM, em face do IPTU, quanto às atividades executadas no desempenho do encargo, que a ela foi outorgado – doutrina – jurisprudência – precedentes do supremo tribunal federal.. Disponível em: </w:t>
      </w:r>
      <w:hyperlink r:id="rId387">
        <w:r>
          <w:rPr>
            <w:color w:val="0000FF"/>
            <w:sz w:val="20"/>
            <w:u w:val="single" w:color="0000FF"/>
          </w:rPr>
          <w:t>https://portal.stf.jus.br/processos/detalhe.asp?incidente=5278341</w:t>
        </w:r>
        <w:r>
          <w:rPr>
            <w:sz w:val="20"/>
          </w:rPr>
          <w:t>.</w:t>
        </w:r>
      </w:hyperlink>
      <w:r>
        <w:rPr>
          <w:sz w:val="20"/>
        </w:rPr>
        <w:t xml:space="preserve"> Acesso em 07 dez. 2023.</w:t>
      </w:r>
    </w:p>
    <w:p w:rsidR="007259F2" w:rsidRDefault="007259F2">
      <w:pPr>
        <w:jc w:val="both"/>
        <w:rPr>
          <w:sz w:val="20"/>
        </w:rPr>
        <w:sectPr w:rsidR="007259F2">
          <w:pgSz w:w="11910" w:h="16840"/>
          <w:pgMar w:top="1320" w:right="708" w:bottom="1160" w:left="992" w:header="0" w:footer="962" w:gutter="0"/>
          <w:cols w:space="720"/>
        </w:sectPr>
      </w:pPr>
    </w:p>
    <w:p w:rsidR="007259F2" w:rsidRDefault="00E655B4">
      <w:pPr>
        <w:pStyle w:val="Corpodetexto"/>
        <w:spacing w:before="69"/>
        <w:ind w:right="996" w:firstLine="0"/>
      </w:pPr>
      <w:r>
        <w:lastRenderedPageBreak/>
        <w:t>imunidade tributária recíproca representa verdadeira garantia institucional de preservação do sistema federativo.</w:t>
      </w:r>
    </w:p>
    <w:p w:rsidR="007259F2" w:rsidRDefault="00E655B4">
      <w:pPr>
        <w:pStyle w:val="Corpodetexto"/>
        <w:spacing w:before="1"/>
        <w:ind w:right="989"/>
      </w:pPr>
      <w:r>
        <w:t>Ao encerrar a análise jurisprudencial referente ao tópico abordado neste artigo, a Suprema Corte, por meio do Recurso Especial nº 253.472</w:t>
      </w:r>
      <w:r>
        <w:rPr>
          <w:vertAlign w:val="superscript"/>
        </w:rPr>
        <w:t>19</w:t>
      </w:r>
      <w:r>
        <w:t>, com a relatoria do Ministro Joaquim Barbosa (Dje de 01/02/2011), estabeleceu determinados critérios a serem considerados ao se</w:t>
      </w:r>
      <w:r>
        <w:rPr>
          <w:spacing w:val="-1"/>
        </w:rPr>
        <w:t xml:space="preserve"> </w:t>
      </w:r>
      <w:r>
        <w:t>aplicar</w:t>
      </w:r>
      <w:r>
        <w:rPr>
          <w:spacing w:val="-1"/>
        </w:rPr>
        <w:t xml:space="preserve"> </w:t>
      </w:r>
      <w:r>
        <w:t>a imunidade</w:t>
      </w:r>
      <w:r>
        <w:rPr>
          <w:spacing w:val="-2"/>
        </w:rPr>
        <w:t xml:space="preserve"> </w:t>
      </w:r>
      <w:r>
        <w:t>tributária</w:t>
      </w:r>
      <w:r>
        <w:rPr>
          <w:spacing w:val="-1"/>
        </w:rPr>
        <w:t xml:space="preserve"> </w:t>
      </w:r>
      <w:r>
        <w:t>recíproca</w:t>
      </w:r>
      <w:r>
        <w:rPr>
          <w:spacing w:val="-1"/>
        </w:rPr>
        <w:t xml:space="preserve"> </w:t>
      </w:r>
      <w:r>
        <w:t>a pessoas jurídicas de</w:t>
      </w:r>
      <w:r>
        <w:rPr>
          <w:spacing w:val="-1"/>
        </w:rPr>
        <w:t xml:space="preserve"> </w:t>
      </w:r>
      <w:r>
        <w:t>direito privado, particularmente as sociedades de economia mista. Esses critérios são:</w:t>
      </w:r>
    </w:p>
    <w:p w:rsidR="007259F2" w:rsidRDefault="00E655B4">
      <w:pPr>
        <w:pStyle w:val="PargrafodaLista"/>
        <w:numPr>
          <w:ilvl w:val="0"/>
          <w:numId w:val="11"/>
        </w:numPr>
        <w:tabs>
          <w:tab w:val="left" w:pos="1774"/>
        </w:tabs>
        <w:ind w:right="992" w:firstLine="707"/>
        <w:jc w:val="both"/>
        <w:rPr>
          <w:sz w:val="24"/>
        </w:rPr>
      </w:pPr>
      <w:r>
        <w:rPr>
          <w:sz w:val="24"/>
        </w:rPr>
        <w:t xml:space="preserve">a imunidade tributária recíproca se aplica apenas à propriedade, bens e serviços utiliza- dos na satisfação dos objetivos institucionais imanentes do ente </w:t>
      </w:r>
      <w:r>
        <w:rPr>
          <w:spacing w:val="-2"/>
          <w:sz w:val="24"/>
        </w:rPr>
        <w:t>federado;</w:t>
      </w:r>
    </w:p>
    <w:p w:rsidR="007259F2" w:rsidRDefault="00E655B4">
      <w:pPr>
        <w:pStyle w:val="PargrafodaLista"/>
        <w:numPr>
          <w:ilvl w:val="0"/>
          <w:numId w:val="11"/>
        </w:numPr>
        <w:tabs>
          <w:tab w:val="left" w:pos="1713"/>
        </w:tabs>
        <w:ind w:right="991" w:firstLine="707"/>
        <w:jc w:val="both"/>
        <w:rPr>
          <w:sz w:val="24"/>
        </w:rPr>
      </w:pPr>
      <w:r>
        <w:rPr>
          <w:sz w:val="24"/>
        </w:rPr>
        <w:t>atividades de exploração econômica, destinadas primordialmente a aumentar o patrimônio do Estado ou de particulares, devem ser submetidas à tributação, por apresentarem-se como manifestações de riqueza e deixarem a salvo a autonomia política; e</w:t>
      </w:r>
    </w:p>
    <w:p w:rsidR="007259F2" w:rsidRDefault="00E655B4">
      <w:pPr>
        <w:pStyle w:val="PargrafodaLista"/>
        <w:numPr>
          <w:ilvl w:val="0"/>
          <w:numId w:val="11"/>
        </w:numPr>
        <w:tabs>
          <w:tab w:val="left" w:pos="1749"/>
        </w:tabs>
        <w:spacing w:before="1"/>
        <w:ind w:right="994" w:firstLine="707"/>
        <w:jc w:val="both"/>
        <w:rPr>
          <w:sz w:val="24"/>
        </w:rPr>
      </w:pPr>
      <w:r>
        <w:rPr>
          <w:sz w:val="24"/>
        </w:rPr>
        <w:t>a desoneração não deve ter como efeito colateral relevante a quebra dos princípios da livre concorrência e do livre exercício de atividade profissional ou econômica lícita.</w:t>
      </w:r>
    </w:p>
    <w:p w:rsidR="007259F2" w:rsidRDefault="00E655B4">
      <w:pPr>
        <w:pStyle w:val="Corpodetexto"/>
        <w:ind w:right="988"/>
      </w:pPr>
      <w:r>
        <w:t>Quanto ao primeiro requisito, constata-se que o relator buscou restringir a imunidade aos bens estritamente ligados à prestação de serviços públicos, que é a finalidade</w:t>
      </w:r>
      <w:r>
        <w:rPr>
          <w:spacing w:val="-4"/>
        </w:rPr>
        <w:t xml:space="preserve"> </w:t>
      </w:r>
      <w:r>
        <w:t>da</w:t>
      </w:r>
      <w:r>
        <w:rPr>
          <w:spacing w:val="-2"/>
        </w:rPr>
        <w:t xml:space="preserve"> </w:t>
      </w:r>
      <w:r>
        <w:t>empresa</w:t>
      </w:r>
      <w:r>
        <w:rPr>
          <w:spacing w:val="-2"/>
        </w:rPr>
        <w:t xml:space="preserve"> </w:t>
      </w:r>
      <w:r>
        <w:t>estatal,</w:t>
      </w:r>
      <w:r>
        <w:rPr>
          <w:spacing w:val="-3"/>
        </w:rPr>
        <w:t xml:space="preserve"> </w:t>
      </w:r>
      <w:r>
        <w:t>ficando</w:t>
      </w:r>
      <w:r>
        <w:rPr>
          <w:spacing w:val="-3"/>
        </w:rPr>
        <w:t xml:space="preserve"> </w:t>
      </w:r>
      <w:r>
        <w:t>de</w:t>
      </w:r>
      <w:r>
        <w:rPr>
          <w:spacing w:val="-4"/>
        </w:rPr>
        <w:t xml:space="preserve"> </w:t>
      </w:r>
      <w:r>
        <w:t>fora</w:t>
      </w:r>
      <w:r>
        <w:rPr>
          <w:spacing w:val="-4"/>
        </w:rPr>
        <w:t xml:space="preserve"> </w:t>
      </w:r>
      <w:r>
        <w:t>da</w:t>
      </w:r>
      <w:r>
        <w:rPr>
          <w:spacing w:val="-4"/>
        </w:rPr>
        <w:t xml:space="preserve"> </w:t>
      </w:r>
      <w:r>
        <w:t>imunização</w:t>
      </w:r>
      <w:r>
        <w:rPr>
          <w:spacing w:val="-3"/>
        </w:rPr>
        <w:t xml:space="preserve"> </w:t>
      </w:r>
      <w:r>
        <w:t>aqueles</w:t>
      </w:r>
      <w:r>
        <w:rPr>
          <w:spacing w:val="-3"/>
        </w:rPr>
        <w:t xml:space="preserve"> </w:t>
      </w:r>
      <w:r>
        <w:t>bens</w:t>
      </w:r>
      <w:r>
        <w:rPr>
          <w:spacing w:val="-1"/>
        </w:rPr>
        <w:t xml:space="preserve"> </w:t>
      </w:r>
      <w:r>
        <w:t>e</w:t>
      </w:r>
      <w:r>
        <w:rPr>
          <w:spacing w:val="-4"/>
        </w:rPr>
        <w:t xml:space="preserve"> </w:t>
      </w:r>
      <w:r>
        <w:t>serviços</w:t>
      </w:r>
      <w:r>
        <w:rPr>
          <w:spacing w:val="-3"/>
        </w:rPr>
        <w:t xml:space="preserve"> </w:t>
      </w:r>
      <w:r>
        <w:t>que são utilizados em atividades estranhas e com outros objetivos que não a prestação do serviço público.</w:t>
      </w:r>
    </w:p>
    <w:p w:rsidR="007259F2" w:rsidRDefault="00E655B4">
      <w:pPr>
        <w:pStyle w:val="Corpodetexto"/>
        <w:ind w:right="988"/>
      </w:pPr>
      <w:r>
        <w:t>No segundo requisito, é certo que as atividades econômicas não ligadas à prestação do serviço público e que sirvam para o aumento do capital ou do patrimônio da empresa estatal, devem ser tributadas, sob pena de se criar condição mais vantajosa para</w:t>
      </w:r>
      <w:r>
        <w:rPr>
          <w:spacing w:val="-2"/>
        </w:rPr>
        <w:t xml:space="preserve"> </w:t>
      </w:r>
      <w:r>
        <w:t>ela,</w:t>
      </w:r>
      <w:r>
        <w:rPr>
          <w:spacing w:val="-1"/>
        </w:rPr>
        <w:t xml:space="preserve"> </w:t>
      </w:r>
      <w:r>
        <w:t>em</w:t>
      </w:r>
      <w:r>
        <w:rPr>
          <w:spacing w:val="-2"/>
        </w:rPr>
        <w:t xml:space="preserve"> </w:t>
      </w:r>
      <w:r>
        <w:t>comparação à</w:t>
      </w:r>
      <w:r>
        <w:rPr>
          <w:spacing w:val="-3"/>
        </w:rPr>
        <w:t xml:space="preserve"> </w:t>
      </w:r>
      <w:r>
        <w:t>empresa</w:t>
      </w:r>
      <w:r>
        <w:rPr>
          <w:spacing w:val="-3"/>
        </w:rPr>
        <w:t xml:space="preserve"> </w:t>
      </w:r>
      <w:r>
        <w:t>privada</w:t>
      </w:r>
      <w:r>
        <w:rPr>
          <w:spacing w:val="-3"/>
        </w:rPr>
        <w:t xml:space="preserve"> </w:t>
      </w:r>
      <w:r>
        <w:t>que</w:t>
      </w:r>
      <w:r>
        <w:rPr>
          <w:spacing w:val="-3"/>
        </w:rPr>
        <w:t xml:space="preserve"> </w:t>
      </w:r>
      <w:r>
        <w:t>exerça</w:t>
      </w:r>
      <w:r>
        <w:rPr>
          <w:spacing w:val="-1"/>
        </w:rPr>
        <w:t xml:space="preserve"> </w:t>
      </w:r>
      <w:r>
        <w:t>a</w:t>
      </w:r>
      <w:r>
        <w:rPr>
          <w:spacing w:val="-3"/>
        </w:rPr>
        <w:t xml:space="preserve"> </w:t>
      </w:r>
      <w:r>
        <w:t>mesma</w:t>
      </w:r>
      <w:r>
        <w:rPr>
          <w:spacing w:val="-2"/>
        </w:rPr>
        <w:t xml:space="preserve"> </w:t>
      </w:r>
      <w:r>
        <w:t>atividade</w:t>
      </w:r>
      <w:r>
        <w:rPr>
          <w:spacing w:val="-2"/>
        </w:rPr>
        <w:t xml:space="preserve"> </w:t>
      </w:r>
      <w:r>
        <w:t>em</w:t>
      </w:r>
      <w:r>
        <w:rPr>
          <w:spacing w:val="-2"/>
        </w:rPr>
        <w:t xml:space="preserve"> </w:t>
      </w:r>
      <w:r>
        <w:t>regime</w:t>
      </w:r>
      <w:r>
        <w:rPr>
          <w:spacing w:val="-3"/>
        </w:rPr>
        <w:t xml:space="preserve"> </w:t>
      </w:r>
      <w:r>
        <w:t>de livre concorrência.</w:t>
      </w:r>
    </w:p>
    <w:p w:rsidR="007259F2" w:rsidRDefault="00E655B4">
      <w:pPr>
        <w:pStyle w:val="Corpodetexto"/>
        <w:ind w:right="988"/>
      </w:pPr>
      <w:r>
        <w:t>Por fim, o último requisito estipulado dispõe que a ausência de pagamento de imposto não poderá promover uma concorrência desleal entre as empresas estatais e</w:t>
      </w:r>
      <w:r>
        <w:rPr>
          <w:spacing w:val="40"/>
        </w:rPr>
        <w:t xml:space="preserve"> </w:t>
      </w:r>
      <w:r>
        <w:t>uma sociedade totalmente privada.</w:t>
      </w:r>
    </w:p>
    <w:p w:rsidR="007259F2" w:rsidRDefault="00E655B4">
      <w:pPr>
        <w:pStyle w:val="Corpodetexto"/>
        <w:ind w:right="991"/>
      </w:pPr>
      <w:r>
        <w:t>É evidente que a discussão sobre a aplicação da imunidade tributária recíproca é complexa e se concentra na natureza das atividades desempenhadas pelas entidades privadas que usufruem de imóveis públicos.</w:t>
      </w:r>
    </w:p>
    <w:p w:rsidR="007259F2" w:rsidRDefault="00E655B4">
      <w:pPr>
        <w:pStyle w:val="Corpodetexto"/>
        <w:ind w:right="994"/>
      </w:pPr>
      <w:r>
        <w:t>A jurisprudência, exemplificada por diversos julgados do Supremo Tribunal Federal, estabelece critérios para determinar quando a imunidade se aplica ou não, levando em consideração se a atividade é essencialmente pública, sem intuito lucrativo, ou se busca principalmente o lucro por meio da exploração econômica.</w:t>
      </w:r>
    </w:p>
    <w:p w:rsidR="007259F2" w:rsidRDefault="00E655B4">
      <w:pPr>
        <w:pStyle w:val="Corpodetexto"/>
        <w:spacing w:before="1"/>
        <w:ind w:right="994"/>
      </w:pPr>
      <w:r>
        <w:t>Essa distinção é crucial para determinar se a imunidade tributária recíproca é concedida ou não. A análise da natureza das atividades realizadas pelas empresas privadas, especialmente as estatais, tem sido um ponto central na tomada de decisões judiciais sobre esse tema.</w:t>
      </w:r>
    </w:p>
    <w:p w:rsidR="007259F2" w:rsidRDefault="00E655B4">
      <w:pPr>
        <w:pStyle w:val="Corpodetexto"/>
        <w:ind w:right="995"/>
      </w:pPr>
      <w:r>
        <w:t>A jurisprudência destaca a importância de garantir a imunidade tributária recíproca para empresas estatais que não visam o lucro, que estão vinculadas ao cumprimento</w:t>
      </w:r>
      <w:r>
        <w:rPr>
          <w:spacing w:val="-4"/>
        </w:rPr>
        <w:t xml:space="preserve"> </w:t>
      </w:r>
      <w:r>
        <w:t>de</w:t>
      </w:r>
      <w:r>
        <w:rPr>
          <w:spacing w:val="-4"/>
        </w:rPr>
        <w:t xml:space="preserve"> </w:t>
      </w:r>
      <w:r>
        <w:t>serviços</w:t>
      </w:r>
      <w:r>
        <w:rPr>
          <w:spacing w:val="-2"/>
        </w:rPr>
        <w:t xml:space="preserve"> </w:t>
      </w:r>
      <w:r>
        <w:t>públicos</w:t>
      </w:r>
      <w:r>
        <w:rPr>
          <w:spacing w:val="-4"/>
        </w:rPr>
        <w:t xml:space="preserve"> </w:t>
      </w:r>
      <w:r>
        <w:t>essenciais</w:t>
      </w:r>
      <w:r>
        <w:rPr>
          <w:spacing w:val="-4"/>
        </w:rPr>
        <w:t xml:space="preserve"> </w:t>
      </w:r>
      <w:r>
        <w:t>e</w:t>
      </w:r>
      <w:r>
        <w:rPr>
          <w:spacing w:val="-4"/>
        </w:rPr>
        <w:t xml:space="preserve"> </w:t>
      </w:r>
      <w:r>
        <w:t>que</w:t>
      </w:r>
      <w:r>
        <w:rPr>
          <w:spacing w:val="-5"/>
        </w:rPr>
        <w:t xml:space="preserve"> </w:t>
      </w:r>
      <w:r>
        <w:t>não</w:t>
      </w:r>
      <w:r>
        <w:rPr>
          <w:spacing w:val="-2"/>
        </w:rPr>
        <w:t xml:space="preserve"> </w:t>
      </w:r>
      <w:r>
        <w:t>comprometem</w:t>
      </w:r>
      <w:r>
        <w:rPr>
          <w:spacing w:val="-2"/>
        </w:rPr>
        <w:t xml:space="preserve"> </w:t>
      </w:r>
      <w:r>
        <w:t>a</w:t>
      </w:r>
      <w:r>
        <w:rPr>
          <w:spacing w:val="-5"/>
        </w:rPr>
        <w:t xml:space="preserve"> </w:t>
      </w:r>
      <w:r>
        <w:t>concorrência</w:t>
      </w:r>
      <w:r>
        <w:rPr>
          <w:spacing w:val="-4"/>
        </w:rPr>
        <w:t xml:space="preserve"> </w:t>
      </w:r>
      <w:r>
        <w:t>no mercado. Por outro lado, empresas privadas que exploram atividades lucrativas a partir de</w:t>
      </w:r>
      <w:r>
        <w:rPr>
          <w:spacing w:val="-2"/>
        </w:rPr>
        <w:t xml:space="preserve"> </w:t>
      </w:r>
      <w:r>
        <w:t>imóveis</w:t>
      </w:r>
      <w:r>
        <w:rPr>
          <w:spacing w:val="-1"/>
        </w:rPr>
        <w:t xml:space="preserve"> </w:t>
      </w:r>
      <w:r>
        <w:t>públicos</w:t>
      </w:r>
      <w:r>
        <w:rPr>
          <w:spacing w:val="1"/>
        </w:rPr>
        <w:t xml:space="preserve"> </w:t>
      </w:r>
      <w:r>
        <w:t>podem</w:t>
      </w:r>
      <w:r>
        <w:rPr>
          <w:spacing w:val="-1"/>
        </w:rPr>
        <w:t xml:space="preserve"> </w:t>
      </w:r>
      <w:r>
        <w:t>não se</w:t>
      </w:r>
      <w:r>
        <w:rPr>
          <w:spacing w:val="-3"/>
        </w:rPr>
        <w:t xml:space="preserve"> </w:t>
      </w:r>
      <w:r>
        <w:t>enquadrar nesse benefício, sujeitando-se à</w:t>
      </w:r>
      <w:r>
        <w:rPr>
          <w:spacing w:val="-1"/>
        </w:rPr>
        <w:t xml:space="preserve"> </w:t>
      </w:r>
      <w:r>
        <w:rPr>
          <w:spacing w:val="-2"/>
        </w:rPr>
        <w:t>tributação.</w:t>
      </w:r>
    </w:p>
    <w:p w:rsidR="007259F2" w:rsidRDefault="007259F2">
      <w:pPr>
        <w:pStyle w:val="Corpodetexto"/>
        <w:ind w:left="0" w:firstLine="0"/>
        <w:jc w:val="left"/>
        <w:rPr>
          <w:sz w:val="20"/>
        </w:rPr>
      </w:pPr>
    </w:p>
    <w:p w:rsidR="007259F2" w:rsidRDefault="00DE6B1C">
      <w:pPr>
        <w:pStyle w:val="Corpodetexto"/>
        <w:spacing w:before="26"/>
        <w:ind w:left="0" w:firstLine="0"/>
        <w:jc w:val="left"/>
        <w:rPr>
          <w:sz w:val="20"/>
        </w:rPr>
      </w:pPr>
      <w:r w:rsidRPr="00DE6B1C">
        <w:rPr>
          <w:sz w:val="20"/>
        </w:rPr>
        <w:pict>
          <v:rect id="docshape193" o:spid="_x0000_s1038" style="position:absolute;margin-left:85.1pt;margin-top:14pt;width:2in;height:.7pt;z-index:-15640576;mso-wrap-distance-left:0;mso-wrap-distance-right:0;mso-position-horizontal-relative:page" fillcolor="black" stroked="f">
            <w10:wrap type="topAndBottom" anchorx="page"/>
          </v:rect>
        </w:pict>
      </w:r>
    </w:p>
    <w:p w:rsidR="007259F2" w:rsidRDefault="00E655B4">
      <w:pPr>
        <w:spacing w:before="97"/>
        <w:ind w:left="710" w:right="990"/>
        <w:rPr>
          <w:sz w:val="20"/>
        </w:rPr>
      </w:pPr>
      <w:r>
        <w:rPr>
          <w:sz w:val="20"/>
          <w:vertAlign w:val="superscript"/>
        </w:rPr>
        <w:t>19</w:t>
      </w:r>
      <w:r>
        <w:rPr>
          <w:sz w:val="20"/>
        </w:rPr>
        <w:t xml:space="preserve"> BRASIL. Supremo Tribunal Federal. </w:t>
      </w:r>
      <w:r>
        <w:rPr>
          <w:b/>
          <w:sz w:val="20"/>
        </w:rPr>
        <w:t>RE 253572</w:t>
      </w:r>
      <w:r>
        <w:rPr>
          <w:sz w:val="20"/>
        </w:rPr>
        <w:t>.</w:t>
      </w:r>
      <w:r>
        <w:rPr>
          <w:spacing w:val="-4"/>
          <w:sz w:val="20"/>
        </w:rPr>
        <w:t xml:space="preserve"> </w:t>
      </w:r>
      <w:r>
        <w:rPr>
          <w:sz w:val="20"/>
        </w:rPr>
        <w:t xml:space="preserve">Tribunal Pleno. Relator Ministro Joaquim Barbosa. (Dje de 01/02/2011). Disponível em: </w:t>
      </w:r>
      <w:hyperlink r:id="rId388">
        <w:r>
          <w:rPr>
            <w:color w:val="0000FF"/>
            <w:sz w:val="20"/>
            <w:u w:val="single" w:color="0000FF"/>
          </w:rPr>
          <w:t>https://redir.stf.jus.br/paginadorpub/paginador.jsp?docTP=AC&amp;docID=618164</w:t>
        </w:r>
        <w:r>
          <w:rPr>
            <w:sz w:val="20"/>
          </w:rPr>
          <w:t>.</w:t>
        </w:r>
      </w:hyperlink>
      <w:r>
        <w:rPr>
          <w:spacing w:val="-13"/>
          <w:sz w:val="20"/>
        </w:rPr>
        <w:t xml:space="preserve"> </w:t>
      </w:r>
      <w:r>
        <w:rPr>
          <w:sz w:val="20"/>
        </w:rPr>
        <w:t>Acesso</w:t>
      </w:r>
      <w:r>
        <w:rPr>
          <w:spacing w:val="-12"/>
          <w:sz w:val="20"/>
        </w:rPr>
        <w:t xml:space="preserve"> </w:t>
      </w:r>
      <w:r>
        <w:rPr>
          <w:sz w:val="20"/>
        </w:rPr>
        <w:t>em</w:t>
      </w:r>
      <w:r>
        <w:rPr>
          <w:spacing w:val="-13"/>
          <w:sz w:val="20"/>
        </w:rPr>
        <w:t xml:space="preserve"> </w:t>
      </w:r>
      <w:r>
        <w:rPr>
          <w:sz w:val="20"/>
        </w:rPr>
        <w:t>07</w:t>
      </w:r>
      <w:r>
        <w:rPr>
          <w:spacing w:val="-12"/>
          <w:sz w:val="20"/>
        </w:rPr>
        <w:t xml:space="preserve"> </w:t>
      </w:r>
      <w:r>
        <w:rPr>
          <w:sz w:val="20"/>
        </w:rPr>
        <w:t>dez.</w:t>
      </w:r>
      <w:r>
        <w:rPr>
          <w:spacing w:val="-13"/>
          <w:sz w:val="20"/>
        </w:rPr>
        <w:t xml:space="preserve"> </w:t>
      </w:r>
      <w:r>
        <w:rPr>
          <w:sz w:val="20"/>
        </w:rPr>
        <w:t>2023.</w:t>
      </w:r>
    </w:p>
    <w:p w:rsidR="007259F2" w:rsidRDefault="007259F2">
      <w:pPr>
        <w:rPr>
          <w:sz w:val="20"/>
        </w:rPr>
        <w:sectPr w:rsidR="007259F2">
          <w:pgSz w:w="11910" w:h="16840"/>
          <w:pgMar w:top="1320" w:right="708" w:bottom="1160" w:left="992" w:header="0" w:footer="962" w:gutter="0"/>
          <w:cols w:space="720"/>
        </w:sectPr>
      </w:pPr>
    </w:p>
    <w:p w:rsidR="007259F2" w:rsidRDefault="00E655B4">
      <w:pPr>
        <w:pStyle w:val="Corpodetexto"/>
        <w:spacing w:before="72"/>
        <w:ind w:right="995"/>
      </w:pPr>
      <w:r>
        <w:lastRenderedPageBreak/>
        <w:t>Assim, a interpretação jurisprudencial delineia critérios claros para determinar a aplicabilidade da imunidade tributária recíproca, considerando a essência das atividades desenvolvidas pelas entidades privadas que usufruem de bens públicos, respeitando os princípios da livre concorrência e a preservação do sistema federativo.</w:t>
      </w:r>
    </w:p>
    <w:p w:rsidR="007259F2" w:rsidRDefault="00E655B4">
      <w:pPr>
        <w:pStyle w:val="PargrafodaLista"/>
        <w:numPr>
          <w:ilvl w:val="0"/>
          <w:numId w:val="12"/>
        </w:numPr>
        <w:tabs>
          <w:tab w:val="left" w:pos="930"/>
        </w:tabs>
        <w:spacing w:before="204"/>
        <w:ind w:hanging="220"/>
        <w:rPr>
          <w:b/>
        </w:rPr>
      </w:pPr>
      <w:r>
        <w:rPr>
          <w:b/>
        </w:rPr>
        <w:t>Considerações</w:t>
      </w:r>
      <w:r>
        <w:rPr>
          <w:b/>
          <w:spacing w:val="-10"/>
        </w:rPr>
        <w:t xml:space="preserve"> </w:t>
      </w:r>
      <w:r>
        <w:rPr>
          <w:b/>
          <w:spacing w:val="-2"/>
        </w:rPr>
        <w:t>Finais</w:t>
      </w:r>
    </w:p>
    <w:p w:rsidR="007259F2" w:rsidRDefault="00E655B4">
      <w:pPr>
        <w:pStyle w:val="Corpodetexto"/>
        <w:spacing w:before="153"/>
        <w:ind w:right="996"/>
      </w:pPr>
      <w:r>
        <w:t>As imunidades tributárias são limitações ao poder de tributar, impedindo que o ente tributante exerça sua competência para instituir impostos sobre determinados fatos, pessoas ou bens.</w:t>
      </w:r>
    </w:p>
    <w:p w:rsidR="007259F2" w:rsidRDefault="00E655B4">
      <w:pPr>
        <w:pStyle w:val="Corpodetexto"/>
        <w:ind w:right="988"/>
      </w:pPr>
      <w:r>
        <w:t>O objetivo desse trabalho foi apresentar uma análise tanto doutrinária como jurisprudencial acerca</w:t>
      </w:r>
      <w:r>
        <w:rPr>
          <w:spacing w:val="-2"/>
        </w:rPr>
        <w:t xml:space="preserve"> </w:t>
      </w:r>
      <w:r>
        <w:t>da possibilidade</w:t>
      </w:r>
      <w:r>
        <w:rPr>
          <w:spacing w:val="-3"/>
        </w:rPr>
        <w:t xml:space="preserve"> </w:t>
      </w:r>
      <w:r>
        <w:t>da</w:t>
      </w:r>
      <w:r>
        <w:rPr>
          <w:spacing w:val="-2"/>
        </w:rPr>
        <w:t xml:space="preserve"> </w:t>
      </w:r>
      <w:r>
        <w:t>imunidade</w:t>
      </w:r>
      <w:r>
        <w:rPr>
          <w:spacing w:val="-2"/>
        </w:rPr>
        <w:t xml:space="preserve"> </w:t>
      </w:r>
      <w:r>
        <w:t>tributária</w:t>
      </w:r>
      <w:r>
        <w:rPr>
          <w:spacing w:val="-3"/>
        </w:rPr>
        <w:t xml:space="preserve"> </w:t>
      </w:r>
      <w:r>
        <w:t>recíproca prevista</w:t>
      </w:r>
      <w:r>
        <w:rPr>
          <w:spacing w:val="-2"/>
        </w:rPr>
        <w:t xml:space="preserve"> </w:t>
      </w:r>
      <w:r>
        <w:t>no art. 150, VI, “a” da Constituição Federal ser estendida as pessoas jurídicas de direito</w:t>
      </w:r>
      <w:r>
        <w:rPr>
          <w:spacing w:val="40"/>
        </w:rPr>
        <w:t xml:space="preserve"> </w:t>
      </w:r>
      <w:r>
        <w:t>privado – sociedades de economia mista e empresas públicas – que se utilizam dos bens imóveis públicos na prestação de serviços públicos de competência exclusiva do ente político que a criou ou instituiu.</w:t>
      </w:r>
    </w:p>
    <w:p w:rsidR="007259F2" w:rsidRDefault="00E655B4">
      <w:pPr>
        <w:pStyle w:val="Corpodetexto"/>
        <w:spacing w:before="1"/>
        <w:ind w:right="991"/>
      </w:pPr>
      <w:r>
        <w:t xml:space="preserve">De acordo com o Supremo Tribunal Federal, em seus diversos precedentes, tais pessoas jurídicas podem usufruir de tal benesse imunizante quando prestem serviços públicos, visto que são verdadeiros instrumentos administrativos utilizados pelo próprio Estado na consecução do serviço público, exercendo atividades típicas da administração </w:t>
      </w:r>
      <w:r>
        <w:rPr>
          <w:spacing w:val="-2"/>
        </w:rPr>
        <w:t>direta.</w:t>
      </w:r>
    </w:p>
    <w:p w:rsidR="007259F2" w:rsidRDefault="00E655B4">
      <w:pPr>
        <w:pStyle w:val="Corpodetexto"/>
        <w:ind w:right="991"/>
      </w:pPr>
      <w:r>
        <w:t>Restou claro nos julgados com repercussão geral que as empresas públicas e sociedades de economia mista, para que sejam beneficiadas com a imunidade tributária recíproca, além de serem criadas para agirem como verdadeiros auxiliares do Estado, devem</w:t>
      </w:r>
      <w:r>
        <w:rPr>
          <w:spacing w:val="-3"/>
        </w:rPr>
        <w:t xml:space="preserve"> </w:t>
      </w:r>
      <w:r>
        <w:t>também</w:t>
      </w:r>
      <w:r>
        <w:rPr>
          <w:spacing w:val="-3"/>
        </w:rPr>
        <w:t xml:space="preserve"> </w:t>
      </w:r>
      <w:r>
        <w:t>observar</w:t>
      </w:r>
      <w:r>
        <w:rPr>
          <w:spacing w:val="-2"/>
        </w:rPr>
        <w:t xml:space="preserve"> </w:t>
      </w:r>
      <w:r>
        <w:t>alguns</w:t>
      </w:r>
      <w:r>
        <w:rPr>
          <w:spacing w:val="-1"/>
        </w:rPr>
        <w:t xml:space="preserve"> </w:t>
      </w:r>
      <w:r>
        <w:t>requisitos:</w:t>
      </w:r>
      <w:r>
        <w:rPr>
          <w:spacing w:val="-3"/>
        </w:rPr>
        <w:t xml:space="preserve"> </w:t>
      </w:r>
      <w:r>
        <w:t>prestação</w:t>
      </w:r>
      <w:r>
        <w:rPr>
          <w:spacing w:val="-3"/>
        </w:rPr>
        <w:t xml:space="preserve"> </w:t>
      </w:r>
      <w:r>
        <w:t>de</w:t>
      </w:r>
      <w:r>
        <w:rPr>
          <w:spacing w:val="-4"/>
        </w:rPr>
        <w:t xml:space="preserve"> </w:t>
      </w:r>
      <w:r>
        <w:t>um</w:t>
      </w:r>
      <w:r>
        <w:rPr>
          <w:spacing w:val="-3"/>
        </w:rPr>
        <w:t xml:space="preserve"> </w:t>
      </w:r>
      <w:r>
        <w:t>serviço</w:t>
      </w:r>
      <w:r>
        <w:rPr>
          <w:spacing w:val="-3"/>
        </w:rPr>
        <w:t xml:space="preserve"> </w:t>
      </w:r>
      <w:r>
        <w:t>público;</w:t>
      </w:r>
      <w:r>
        <w:rPr>
          <w:spacing w:val="-3"/>
        </w:rPr>
        <w:t xml:space="preserve"> </w:t>
      </w:r>
      <w:r>
        <w:t>ausência</w:t>
      </w:r>
      <w:r>
        <w:rPr>
          <w:spacing w:val="-2"/>
        </w:rPr>
        <w:t xml:space="preserve"> </w:t>
      </w:r>
      <w:r>
        <w:t>de intenção de obter lucro; e atuação com respeito ao princípio da livre concorrência.</w:t>
      </w:r>
    </w:p>
    <w:p w:rsidR="007259F2" w:rsidRDefault="00E655B4">
      <w:pPr>
        <w:pStyle w:val="Corpodetexto"/>
        <w:ind w:right="994"/>
      </w:pPr>
      <w:r>
        <w:t>Dito isso, se o imóvel é utilizado para prestação de atividades econômicas e que sirvam para o aumento do capital ou do patrimônio da empresa estatal, deve haver a tributação, ou seja, a incidência do IPTU sob esse imóvel, sob pena de se criar uma condição mais vantajosa a essa empresa estatal em detrimento de uma empresa privada que exerça a mesma atividade em regime de livre concorrência.</w:t>
      </w:r>
    </w:p>
    <w:p w:rsidR="007259F2" w:rsidRDefault="00E655B4">
      <w:pPr>
        <w:pStyle w:val="Corpodetexto"/>
        <w:ind w:right="996"/>
      </w:pPr>
      <w:r>
        <w:t>A verdade é que se essas pessoas jurídicas de direito privado prestam serviços públicos, estão agindo como instrumentos do Estado na implementação de políticas públicas e realizando objetivos constitucionalmente determinados, portanto, se estão executando a função do Estado, não há que se falar na alteração do regime jurídico, sendo legitima a incidência da norma imunizante.</w:t>
      </w:r>
    </w:p>
    <w:p w:rsidR="007259F2" w:rsidRDefault="00E655B4">
      <w:pPr>
        <w:pStyle w:val="Corpodetexto"/>
        <w:ind w:right="993"/>
      </w:pPr>
      <w:r>
        <w:t>Se o Estado tem a responsabilidade de executar os serviços que são de interesse público, mas decide, por vontade própria, não os realizar diretamente, optando por delegar essa função a entidades privadas como as sociedades de economia mista e as empresas públicas, essas entidades jurídicas de direito privado que recebem essa autorização para oferecer o serviço público passam a agir como um instrumento do próprio</w:t>
      </w:r>
      <w:r>
        <w:rPr>
          <w:spacing w:val="-3"/>
        </w:rPr>
        <w:t xml:space="preserve"> </w:t>
      </w:r>
      <w:r>
        <w:t>Estado</w:t>
      </w:r>
      <w:r>
        <w:rPr>
          <w:spacing w:val="-3"/>
        </w:rPr>
        <w:t xml:space="preserve"> </w:t>
      </w:r>
      <w:r>
        <w:t>na</w:t>
      </w:r>
      <w:r>
        <w:rPr>
          <w:spacing w:val="-3"/>
        </w:rPr>
        <w:t xml:space="preserve"> </w:t>
      </w:r>
      <w:r>
        <w:t>implementação das</w:t>
      </w:r>
      <w:r>
        <w:rPr>
          <w:spacing w:val="-2"/>
        </w:rPr>
        <w:t xml:space="preserve"> </w:t>
      </w:r>
      <w:r>
        <w:t>políticas</w:t>
      </w:r>
      <w:r>
        <w:rPr>
          <w:spacing w:val="-2"/>
        </w:rPr>
        <w:t xml:space="preserve"> </w:t>
      </w:r>
      <w:r>
        <w:t>públicas,</w:t>
      </w:r>
      <w:r>
        <w:rPr>
          <w:spacing w:val="-2"/>
        </w:rPr>
        <w:t xml:space="preserve"> </w:t>
      </w:r>
      <w:r>
        <w:t>sendo,</w:t>
      </w:r>
      <w:r>
        <w:rPr>
          <w:spacing w:val="-2"/>
        </w:rPr>
        <w:t xml:space="preserve"> </w:t>
      </w:r>
      <w:r>
        <w:t xml:space="preserve">portanto, abarcadas pela </w:t>
      </w:r>
      <w:r>
        <w:rPr>
          <w:spacing w:val="-2"/>
        </w:rPr>
        <w:t>imunidade.</w:t>
      </w:r>
    </w:p>
    <w:p w:rsidR="007259F2" w:rsidRDefault="00E655B4">
      <w:pPr>
        <w:pStyle w:val="Corpodetexto"/>
        <w:spacing w:before="1"/>
        <w:ind w:right="997"/>
      </w:pPr>
      <w:r>
        <w:t>Além disso, é crucial o entendimento de que essa imunidade não é um privilégio desmedido concedido às entidades privadas, mas sim uma forma de promover a cooperação entre o setor público e o privado em prol do interesse coletivo.</w:t>
      </w:r>
    </w:p>
    <w:p w:rsidR="007259F2" w:rsidRDefault="00E655B4">
      <w:pPr>
        <w:pStyle w:val="Corpodetexto"/>
        <w:ind w:right="997"/>
      </w:pPr>
      <w:r>
        <w:t>Quando uma pessoa jurídica de direito privado utiliza um imóvel público para desenvolver suas atividades, está, de certa forma, prestando um serviço que, em condições normais, seria responsabilidade direta do município.</w:t>
      </w:r>
    </w:p>
    <w:p w:rsidR="007259F2" w:rsidRDefault="00E655B4">
      <w:pPr>
        <w:pStyle w:val="Corpodetexto"/>
        <w:spacing w:before="1"/>
        <w:ind w:right="993"/>
      </w:pPr>
      <w:r>
        <w:t>Portanto, a imunidade tributária recíproca com relação ao IPTU sobre imóveis públicos</w:t>
      </w:r>
      <w:r>
        <w:rPr>
          <w:spacing w:val="59"/>
        </w:rPr>
        <w:t xml:space="preserve"> </w:t>
      </w:r>
      <w:r>
        <w:t>utilizados</w:t>
      </w:r>
      <w:r>
        <w:rPr>
          <w:spacing w:val="61"/>
        </w:rPr>
        <w:t xml:space="preserve"> </w:t>
      </w:r>
      <w:r>
        <w:t>por</w:t>
      </w:r>
      <w:r>
        <w:rPr>
          <w:spacing w:val="60"/>
        </w:rPr>
        <w:t xml:space="preserve"> </w:t>
      </w:r>
      <w:r>
        <w:t>pessoas</w:t>
      </w:r>
      <w:r>
        <w:rPr>
          <w:spacing w:val="60"/>
        </w:rPr>
        <w:t xml:space="preserve"> </w:t>
      </w:r>
      <w:r>
        <w:t>jurídicas</w:t>
      </w:r>
      <w:r>
        <w:rPr>
          <w:spacing w:val="61"/>
        </w:rPr>
        <w:t xml:space="preserve"> </w:t>
      </w:r>
      <w:r>
        <w:t>de</w:t>
      </w:r>
      <w:r>
        <w:rPr>
          <w:spacing w:val="61"/>
        </w:rPr>
        <w:t xml:space="preserve"> </w:t>
      </w:r>
      <w:r>
        <w:t>direito</w:t>
      </w:r>
      <w:r>
        <w:rPr>
          <w:spacing w:val="61"/>
        </w:rPr>
        <w:t xml:space="preserve"> </w:t>
      </w:r>
      <w:r>
        <w:t>privado</w:t>
      </w:r>
      <w:r>
        <w:rPr>
          <w:spacing w:val="60"/>
        </w:rPr>
        <w:t xml:space="preserve"> </w:t>
      </w:r>
      <w:r>
        <w:t>não</w:t>
      </w:r>
      <w:r>
        <w:rPr>
          <w:spacing w:val="61"/>
        </w:rPr>
        <w:t xml:space="preserve"> </w:t>
      </w:r>
      <w:r>
        <w:t>apenas</w:t>
      </w:r>
      <w:r>
        <w:rPr>
          <w:spacing w:val="61"/>
        </w:rPr>
        <w:t xml:space="preserve"> </w:t>
      </w:r>
      <w:r>
        <w:t>fortalece</w:t>
      </w:r>
      <w:r>
        <w:rPr>
          <w:spacing w:val="61"/>
        </w:rPr>
        <w:t xml:space="preserve"> </w:t>
      </w:r>
      <w:r>
        <w:rPr>
          <w:spacing w:val="-10"/>
        </w:rPr>
        <w:t>a</w:t>
      </w:r>
    </w:p>
    <w:p w:rsidR="007259F2" w:rsidRDefault="007259F2">
      <w:pPr>
        <w:pStyle w:val="Corpodetexto"/>
        <w:sectPr w:rsidR="007259F2">
          <w:pgSz w:w="11910" w:h="16840"/>
          <w:pgMar w:top="1320" w:right="708" w:bottom="1160" w:left="992" w:header="0" w:footer="962" w:gutter="0"/>
          <w:cols w:space="720"/>
        </w:sectPr>
      </w:pPr>
    </w:p>
    <w:p w:rsidR="007259F2" w:rsidRDefault="00E655B4">
      <w:pPr>
        <w:pStyle w:val="Corpodetexto"/>
        <w:spacing w:before="69"/>
        <w:ind w:right="996" w:firstLine="0"/>
      </w:pPr>
      <w:r>
        <w:lastRenderedPageBreak/>
        <w:t>parceria entre setores, mas também amplia a oferta de serviços à população sem sobrecarregar os recursos municipais.</w:t>
      </w:r>
    </w:p>
    <w:p w:rsidR="007259F2" w:rsidRDefault="00E655B4">
      <w:pPr>
        <w:pStyle w:val="Corpodetexto"/>
        <w:spacing w:before="1"/>
        <w:ind w:right="994"/>
      </w:pPr>
      <w:r>
        <w:t>E por último, importante mencionar que não é possível que esse benefício fiscal passe a ser reconhecido de maneira automática, visto que é inegável a importância do crivo do judiciário. Faz-se necessário que para que a imunidade tributária recíproca seja concedida, passe antes por uma análise caso a caso, e que essas pessoas jurídicas</w:t>
      </w:r>
      <w:r>
        <w:rPr>
          <w:spacing w:val="40"/>
        </w:rPr>
        <w:t xml:space="preserve"> </w:t>
      </w:r>
      <w:r>
        <w:t>passem pelos requisitos definidos pelo Supremo Tribunal Federal.</w:t>
      </w:r>
    </w:p>
    <w:p w:rsidR="007259F2" w:rsidRDefault="00E655B4">
      <w:pPr>
        <w:pStyle w:val="Heading1"/>
        <w:spacing w:before="206"/>
      </w:pPr>
      <w:r>
        <w:rPr>
          <w:spacing w:val="-2"/>
        </w:rPr>
        <w:t>REFERÊNCIAS</w:t>
      </w:r>
    </w:p>
    <w:p w:rsidR="007259F2" w:rsidRDefault="00E655B4">
      <w:pPr>
        <w:spacing w:before="197"/>
        <w:ind w:left="710" w:right="991"/>
        <w:jc w:val="both"/>
        <w:rPr>
          <w:sz w:val="24"/>
        </w:rPr>
      </w:pPr>
      <w:r>
        <w:rPr>
          <w:sz w:val="24"/>
        </w:rPr>
        <w:t xml:space="preserve">BRECHBÜHLER, Gustavo. Imunidade Recíproca e IPTU. Revista dos Tribunais online: </w:t>
      </w:r>
      <w:r>
        <w:rPr>
          <w:b/>
          <w:sz w:val="24"/>
        </w:rPr>
        <w:t>Revista Tributária e de Finanças Públicas</w:t>
      </w:r>
      <w:r>
        <w:rPr>
          <w:sz w:val="24"/>
        </w:rPr>
        <w:t>, vol. 120, p. 29-72, jan./fev. 2015. DTR\2015\40. Acesso em: 07 dez. 2023.</w:t>
      </w:r>
    </w:p>
    <w:p w:rsidR="007259F2" w:rsidRDefault="00E655B4">
      <w:pPr>
        <w:spacing w:before="118"/>
        <w:ind w:left="710" w:right="989"/>
        <w:jc w:val="both"/>
        <w:rPr>
          <w:sz w:val="24"/>
        </w:rPr>
      </w:pPr>
      <w:r>
        <w:rPr>
          <w:sz w:val="24"/>
        </w:rPr>
        <w:t xml:space="preserve">CARRAZZA, Roque Antônio. </w:t>
      </w:r>
      <w:r>
        <w:rPr>
          <w:b/>
          <w:sz w:val="24"/>
        </w:rPr>
        <w:t xml:space="preserve">Curso de Direito Constitucional. </w:t>
      </w:r>
      <w:r>
        <w:rPr>
          <w:sz w:val="24"/>
        </w:rPr>
        <w:t>22. ed. São Paulo: Malheiros Editores, 2006.</w:t>
      </w:r>
    </w:p>
    <w:p w:rsidR="007259F2" w:rsidRDefault="00E655B4">
      <w:pPr>
        <w:pStyle w:val="Corpodetexto"/>
        <w:spacing w:before="120"/>
        <w:ind w:right="992" w:firstLine="0"/>
      </w:pPr>
      <w:r>
        <w:t xml:space="preserve">COSTA, Regina Helena. </w:t>
      </w:r>
      <w:r>
        <w:rPr>
          <w:b/>
        </w:rPr>
        <w:t>Imunidade tributária</w:t>
      </w:r>
      <w:r>
        <w:t>: teoria e análise da Jurisprudência do STF. 3. ed. rev. atual. São Paulo: Malheiros, 2015.</w:t>
      </w:r>
    </w:p>
    <w:p w:rsidR="007259F2" w:rsidRDefault="00E655B4">
      <w:pPr>
        <w:spacing w:before="120" w:line="343" w:lineRule="auto"/>
        <w:ind w:left="710" w:right="990"/>
        <w:rPr>
          <w:sz w:val="24"/>
        </w:rPr>
      </w:pPr>
      <w:r>
        <w:rPr>
          <w:sz w:val="24"/>
        </w:rPr>
        <w:t>HARADA,</w:t>
      </w:r>
      <w:r>
        <w:rPr>
          <w:spacing w:val="-4"/>
          <w:sz w:val="24"/>
        </w:rPr>
        <w:t xml:space="preserve"> </w:t>
      </w:r>
      <w:r>
        <w:rPr>
          <w:sz w:val="24"/>
        </w:rPr>
        <w:t>Kiyoshi.</w:t>
      </w:r>
      <w:r>
        <w:rPr>
          <w:spacing w:val="-4"/>
          <w:sz w:val="24"/>
        </w:rPr>
        <w:t xml:space="preserve"> </w:t>
      </w:r>
      <w:r>
        <w:rPr>
          <w:b/>
          <w:sz w:val="24"/>
        </w:rPr>
        <w:t>Direito</w:t>
      </w:r>
      <w:r>
        <w:rPr>
          <w:b/>
          <w:spacing w:val="-3"/>
          <w:sz w:val="24"/>
        </w:rPr>
        <w:t xml:space="preserve"> </w:t>
      </w:r>
      <w:r>
        <w:rPr>
          <w:b/>
          <w:sz w:val="24"/>
        </w:rPr>
        <w:t>Financeiro</w:t>
      </w:r>
      <w:r>
        <w:rPr>
          <w:b/>
          <w:spacing w:val="-4"/>
          <w:sz w:val="24"/>
        </w:rPr>
        <w:t xml:space="preserve"> </w:t>
      </w:r>
      <w:r>
        <w:rPr>
          <w:b/>
          <w:sz w:val="24"/>
        </w:rPr>
        <w:t>e</w:t>
      </w:r>
      <w:r>
        <w:rPr>
          <w:b/>
          <w:spacing w:val="-5"/>
          <w:sz w:val="24"/>
        </w:rPr>
        <w:t xml:space="preserve"> </w:t>
      </w:r>
      <w:r>
        <w:rPr>
          <w:b/>
          <w:sz w:val="24"/>
        </w:rPr>
        <w:t>Tributário</w:t>
      </w:r>
      <w:r>
        <w:rPr>
          <w:sz w:val="24"/>
        </w:rPr>
        <w:t>.</w:t>
      </w:r>
      <w:r>
        <w:rPr>
          <w:spacing w:val="-4"/>
          <w:sz w:val="24"/>
        </w:rPr>
        <w:t xml:space="preserve"> </w:t>
      </w:r>
      <w:r>
        <w:rPr>
          <w:sz w:val="24"/>
        </w:rPr>
        <w:t>27.</w:t>
      </w:r>
      <w:r>
        <w:rPr>
          <w:spacing w:val="-4"/>
          <w:sz w:val="24"/>
        </w:rPr>
        <w:t xml:space="preserve"> </w:t>
      </w:r>
      <w:r>
        <w:rPr>
          <w:sz w:val="24"/>
        </w:rPr>
        <w:t>ed.</w:t>
      </w:r>
      <w:r>
        <w:rPr>
          <w:spacing w:val="-4"/>
          <w:sz w:val="24"/>
        </w:rPr>
        <w:t xml:space="preserve"> </w:t>
      </w:r>
      <w:r>
        <w:rPr>
          <w:sz w:val="24"/>
        </w:rPr>
        <w:t>São</w:t>
      </w:r>
      <w:r>
        <w:rPr>
          <w:spacing w:val="-4"/>
          <w:sz w:val="24"/>
        </w:rPr>
        <w:t xml:space="preserve"> </w:t>
      </w:r>
      <w:r>
        <w:rPr>
          <w:sz w:val="24"/>
        </w:rPr>
        <w:t>Paulo:</w:t>
      </w:r>
      <w:r>
        <w:rPr>
          <w:spacing w:val="-4"/>
          <w:sz w:val="24"/>
        </w:rPr>
        <w:t xml:space="preserve"> </w:t>
      </w:r>
      <w:r>
        <w:rPr>
          <w:sz w:val="24"/>
        </w:rPr>
        <w:t>Atlas,</w:t>
      </w:r>
      <w:r>
        <w:rPr>
          <w:spacing w:val="-4"/>
          <w:sz w:val="24"/>
        </w:rPr>
        <w:t xml:space="preserve"> </w:t>
      </w:r>
      <w:r>
        <w:rPr>
          <w:sz w:val="24"/>
        </w:rPr>
        <w:t xml:space="preserve">2018. ICHIHARA, Yoshiaki. </w:t>
      </w:r>
      <w:r>
        <w:rPr>
          <w:b/>
          <w:sz w:val="24"/>
        </w:rPr>
        <w:t>Imunidades Tributárias</w:t>
      </w:r>
      <w:r>
        <w:rPr>
          <w:sz w:val="24"/>
        </w:rPr>
        <w:t>. São Paulo: Atlas, 2000.</w:t>
      </w:r>
    </w:p>
    <w:p w:rsidR="007259F2" w:rsidRDefault="00E655B4">
      <w:pPr>
        <w:spacing w:before="3"/>
        <w:ind w:left="710" w:right="990"/>
        <w:rPr>
          <w:sz w:val="24"/>
        </w:rPr>
      </w:pPr>
      <w:r>
        <w:rPr>
          <w:sz w:val="24"/>
        </w:rPr>
        <w:t>MACHADO,</w:t>
      </w:r>
      <w:r>
        <w:rPr>
          <w:spacing w:val="80"/>
          <w:sz w:val="24"/>
        </w:rPr>
        <w:t xml:space="preserve"> </w:t>
      </w:r>
      <w:r>
        <w:rPr>
          <w:sz w:val="24"/>
        </w:rPr>
        <w:t>Hugo</w:t>
      </w:r>
      <w:r>
        <w:rPr>
          <w:spacing w:val="80"/>
          <w:sz w:val="24"/>
        </w:rPr>
        <w:t xml:space="preserve"> </w:t>
      </w:r>
      <w:r>
        <w:rPr>
          <w:sz w:val="24"/>
        </w:rPr>
        <w:t>de</w:t>
      </w:r>
      <w:r>
        <w:rPr>
          <w:spacing w:val="80"/>
          <w:sz w:val="24"/>
        </w:rPr>
        <w:t xml:space="preserve"> </w:t>
      </w:r>
      <w:r>
        <w:rPr>
          <w:sz w:val="24"/>
        </w:rPr>
        <w:t>Brito.</w:t>
      </w:r>
      <w:r>
        <w:rPr>
          <w:spacing w:val="80"/>
          <w:sz w:val="24"/>
        </w:rPr>
        <w:t xml:space="preserve"> </w:t>
      </w:r>
      <w:r>
        <w:rPr>
          <w:b/>
          <w:sz w:val="24"/>
        </w:rPr>
        <w:t>Curso</w:t>
      </w:r>
      <w:r>
        <w:rPr>
          <w:b/>
          <w:spacing w:val="80"/>
          <w:sz w:val="24"/>
        </w:rPr>
        <w:t xml:space="preserve"> </w:t>
      </w:r>
      <w:r>
        <w:rPr>
          <w:b/>
          <w:sz w:val="24"/>
        </w:rPr>
        <w:t>de</w:t>
      </w:r>
      <w:r>
        <w:rPr>
          <w:b/>
          <w:spacing w:val="79"/>
          <w:sz w:val="24"/>
        </w:rPr>
        <w:t xml:space="preserve"> </w:t>
      </w:r>
      <w:r>
        <w:rPr>
          <w:b/>
          <w:sz w:val="24"/>
        </w:rPr>
        <w:t>Direito</w:t>
      </w:r>
      <w:r>
        <w:rPr>
          <w:b/>
          <w:spacing w:val="80"/>
          <w:sz w:val="24"/>
        </w:rPr>
        <w:t xml:space="preserve"> </w:t>
      </w:r>
      <w:r>
        <w:rPr>
          <w:b/>
          <w:sz w:val="24"/>
        </w:rPr>
        <w:t>Tributário</w:t>
      </w:r>
      <w:r>
        <w:rPr>
          <w:sz w:val="24"/>
        </w:rPr>
        <w:t>.</w:t>
      </w:r>
      <w:r>
        <w:rPr>
          <w:spacing w:val="80"/>
          <w:sz w:val="24"/>
        </w:rPr>
        <w:t xml:space="preserve"> </w:t>
      </w:r>
      <w:r>
        <w:rPr>
          <w:sz w:val="24"/>
        </w:rPr>
        <w:t>31.</w:t>
      </w:r>
      <w:r>
        <w:rPr>
          <w:spacing w:val="80"/>
          <w:sz w:val="24"/>
        </w:rPr>
        <w:t xml:space="preserve"> </w:t>
      </w:r>
      <w:r>
        <w:rPr>
          <w:sz w:val="24"/>
        </w:rPr>
        <w:t>ed.</w:t>
      </w:r>
      <w:r>
        <w:rPr>
          <w:spacing w:val="80"/>
          <w:sz w:val="24"/>
        </w:rPr>
        <w:t xml:space="preserve"> </w:t>
      </w:r>
      <w:r>
        <w:rPr>
          <w:sz w:val="24"/>
        </w:rPr>
        <w:t>São</w:t>
      </w:r>
      <w:r>
        <w:rPr>
          <w:spacing w:val="80"/>
          <w:sz w:val="24"/>
        </w:rPr>
        <w:t xml:space="preserve"> </w:t>
      </w:r>
      <w:r>
        <w:rPr>
          <w:sz w:val="24"/>
        </w:rPr>
        <w:t>Paulo: Malheiros Editores, 2010.</w:t>
      </w:r>
    </w:p>
    <w:p w:rsidR="007259F2" w:rsidRDefault="00E655B4">
      <w:pPr>
        <w:spacing w:before="120"/>
        <w:ind w:left="710" w:right="990"/>
        <w:rPr>
          <w:sz w:val="24"/>
        </w:rPr>
      </w:pPr>
      <w:r>
        <w:rPr>
          <w:sz w:val="24"/>
        </w:rPr>
        <w:t>MEIRELLES,</w:t>
      </w:r>
      <w:r>
        <w:rPr>
          <w:spacing w:val="40"/>
          <w:sz w:val="24"/>
        </w:rPr>
        <w:t xml:space="preserve"> </w:t>
      </w:r>
      <w:r>
        <w:rPr>
          <w:sz w:val="24"/>
        </w:rPr>
        <w:t>Hely</w:t>
      </w:r>
      <w:r>
        <w:rPr>
          <w:spacing w:val="40"/>
          <w:sz w:val="24"/>
        </w:rPr>
        <w:t xml:space="preserve"> </w:t>
      </w:r>
      <w:r>
        <w:rPr>
          <w:sz w:val="24"/>
        </w:rPr>
        <w:t>Lopes.</w:t>
      </w:r>
      <w:r>
        <w:rPr>
          <w:spacing w:val="40"/>
          <w:sz w:val="24"/>
        </w:rPr>
        <w:t xml:space="preserve"> </w:t>
      </w:r>
      <w:r>
        <w:rPr>
          <w:b/>
          <w:sz w:val="24"/>
        </w:rPr>
        <w:t>Direito</w:t>
      </w:r>
      <w:r>
        <w:rPr>
          <w:b/>
          <w:spacing w:val="40"/>
          <w:sz w:val="24"/>
        </w:rPr>
        <w:t xml:space="preserve"> </w:t>
      </w:r>
      <w:r>
        <w:rPr>
          <w:b/>
          <w:sz w:val="24"/>
        </w:rPr>
        <w:t>Administrativo</w:t>
      </w:r>
      <w:r>
        <w:rPr>
          <w:b/>
          <w:spacing w:val="40"/>
          <w:sz w:val="24"/>
        </w:rPr>
        <w:t xml:space="preserve"> </w:t>
      </w:r>
      <w:r>
        <w:rPr>
          <w:b/>
          <w:sz w:val="24"/>
        </w:rPr>
        <w:t>Brasileiro</w:t>
      </w:r>
      <w:r>
        <w:rPr>
          <w:sz w:val="24"/>
        </w:rPr>
        <w:t>.</w:t>
      </w:r>
      <w:r>
        <w:rPr>
          <w:spacing w:val="40"/>
          <w:sz w:val="24"/>
        </w:rPr>
        <w:t xml:space="preserve"> </w:t>
      </w:r>
      <w:r>
        <w:rPr>
          <w:sz w:val="24"/>
        </w:rPr>
        <w:t>28.</w:t>
      </w:r>
      <w:r>
        <w:rPr>
          <w:spacing w:val="40"/>
          <w:sz w:val="24"/>
        </w:rPr>
        <w:t xml:space="preserve"> </w:t>
      </w:r>
      <w:r>
        <w:rPr>
          <w:sz w:val="24"/>
        </w:rPr>
        <w:t>ed.</w:t>
      </w:r>
      <w:r>
        <w:rPr>
          <w:spacing w:val="40"/>
          <w:sz w:val="24"/>
        </w:rPr>
        <w:t xml:space="preserve"> </w:t>
      </w:r>
      <w:r>
        <w:rPr>
          <w:sz w:val="24"/>
        </w:rPr>
        <w:t>São</w:t>
      </w:r>
      <w:r>
        <w:rPr>
          <w:spacing w:val="40"/>
          <w:sz w:val="24"/>
        </w:rPr>
        <w:t xml:space="preserve"> </w:t>
      </w:r>
      <w:r>
        <w:rPr>
          <w:sz w:val="24"/>
        </w:rPr>
        <w:t>Paulo: Malheiros, 2003.</w:t>
      </w:r>
    </w:p>
    <w:p w:rsidR="007259F2" w:rsidRDefault="00E655B4">
      <w:pPr>
        <w:spacing w:before="121"/>
        <w:ind w:left="710" w:right="990"/>
        <w:rPr>
          <w:sz w:val="24"/>
        </w:rPr>
      </w:pPr>
      <w:r>
        <w:rPr>
          <w:sz w:val="24"/>
        </w:rPr>
        <w:t>MELLO, Celso Antônio Bandeira de.</w:t>
      </w:r>
      <w:r>
        <w:rPr>
          <w:spacing w:val="30"/>
          <w:sz w:val="24"/>
        </w:rPr>
        <w:t xml:space="preserve"> </w:t>
      </w:r>
      <w:r>
        <w:rPr>
          <w:b/>
          <w:sz w:val="24"/>
        </w:rPr>
        <w:t>Curso de Direito Administrativo</w:t>
      </w:r>
      <w:r>
        <w:rPr>
          <w:sz w:val="24"/>
        </w:rPr>
        <w:t>. 32. ed. São</w:t>
      </w:r>
      <w:r>
        <w:rPr>
          <w:spacing w:val="80"/>
          <w:sz w:val="24"/>
        </w:rPr>
        <w:t xml:space="preserve"> </w:t>
      </w:r>
      <w:r>
        <w:rPr>
          <w:sz w:val="24"/>
        </w:rPr>
        <w:t>Paulo: Malheiros Editores, 2014.</w:t>
      </w:r>
    </w:p>
    <w:p w:rsidR="007259F2" w:rsidRDefault="00E655B4">
      <w:pPr>
        <w:pStyle w:val="Corpodetexto"/>
        <w:tabs>
          <w:tab w:val="left" w:pos="1861"/>
          <w:tab w:val="left" w:pos="3705"/>
          <w:tab w:val="left" w:pos="4693"/>
          <w:tab w:val="left" w:pos="5672"/>
          <w:tab w:val="left" w:pos="7087"/>
          <w:tab w:val="left" w:pos="8853"/>
        </w:tabs>
        <w:spacing w:before="120"/>
        <w:ind w:right="991" w:firstLine="0"/>
        <w:jc w:val="left"/>
      </w:pPr>
      <w:r>
        <w:t>PIRES,</w:t>
      </w:r>
      <w:r>
        <w:rPr>
          <w:spacing w:val="35"/>
        </w:rPr>
        <w:t xml:space="preserve"> </w:t>
      </w:r>
      <w:r>
        <w:t>Marcos.</w:t>
      </w:r>
      <w:r>
        <w:rPr>
          <w:spacing w:val="37"/>
        </w:rPr>
        <w:t xml:space="preserve"> </w:t>
      </w:r>
      <w:r>
        <w:t>Imunidade</w:t>
      </w:r>
      <w:r>
        <w:rPr>
          <w:spacing w:val="34"/>
        </w:rPr>
        <w:t xml:space="preserve"> </w:t>
      </w:r>
      <w:r>
        <w:t>tributária</w:t>
      </w:r>
      <w:r>
        <w:rPr>
          <w:spacing w:val="33"/>
        </w:rPr>
        <w:t xml:space="preserve"> </w:t>
      </w:r>
      <w:r>
        <w:t>recíproca</w:t>
      </w:r>
      <w:r>
        <w:rPr>
          <w:spacing w:val="36"/>
        </w:rPr>
        <w:t xml:space="preserve"> </w:t>
      </w:r>
      <w:r>
        <w:t>e</w:t>
      </w:r>
      <w:r>
        <w:rPr>
          <w:spacing w:val="34"/>
        </w:rPr>
        <w:t xml:space="preserve"> </w:t>
      </w:r>
      <w:r>
        <w:t>imóvel</w:t>
      </w:r>
      <w:r>
        <w:rPr>
          <w:spacing w:val="35"/>
        </w:rPr>
        <w:t xml:space="preserve"> </w:t>
      </w:r>
      <w:r>
        <w:t>público</w:t>
      </w:r>
      <w:r>
        <w:rPr>
          <w:spacing w:val="37"/>
        </w:rPr>
        <w:t xml:space="preserve"> </w:t>
      </w:r>
      <w:r>
        <w:t>cedido</w:t>
      </w:r>
      <w:r>
        <w:rPr>
          <w:spacing w:val="37"/>
        </w:rPr>
        <w:t xml:space="preserve"> </w:t>
      </w:r>
      <w:r>
        <w:t>a</w:t>
      </w:r>
      <w:r>
        <w:rPr>
          <w:spacing w:val="34"/>
        </w:rPr>
        <w:t xml:space="preserve"> </w:t>
      </w:r>
      <w:r>
        <w:t xml:space="preserve">particular. </w:t>
      </w:r>
      <w:r>
        <w:rPr>
          <w:b/>
          <w:spacing w:val="-4"/>
        </w:rPr>
        <w:t>PPF</w:t>
      </w:r>
      <w:r>
        <w:rPr>
          <w:b/>
        </w:rPr>
        <w:tab/>
      </w:r>
      <w:r>
        <w:rPr>
          <w:b/>
          <w:spacing w:val="-2"/>
        </w:rPr>
        <w:t>Advocacia</w:t>
      </w:r>
      <w:r>
        <w:rPr>
          <w:spacing w:val="-2"/>
        </w:rPr>
        <w:t>,</w:t>
      </w:r>
      <w:r>
        <w:tab/>
      </w:r>
      <w:r>
        <w:rPr>
          <w:spacing w:val="-4"/>
        </w:rPr>
        <w:t>[S.</w:t>
      </w:r>
      <w:r>
        <w:tab/>
      </w:r>
      <w:r>
        <w:rPr>
          <w:spacing w:val="-4"/>
        </w:rPr>
        <w:t>l.],</w:t>
      </w:r>
      <w:r>
        <w:tab/>
      </w:r>
      <w:r>
        <w:rPr>
          <w:spacing w:val="-2"/>
        </w:rPr>
        <w:t>[2023].</w:t>
      </w:r>
      <w:r>
        <w:tab/>
      </w:r>
      <w:r>
        <w:rPr>
          <w:spacing w:val="-2"/>
        </w:rPr>
        <w:t>Disponível</w:t>
      </w:r>
      <w:r>
        <w:tab/>
      </w:r>
      <w:r>
        <w:rPr>
          <w:spacing w:val="-4"/>
        </w:rPr>
        <w:t xml:space="preserve">em: </w:t>
      </w:r>
      <w:hyperlink r:id="rId389">
        <w:r>
          <w:rPr>
            <w:color w:val="0000FF"/>
            <w:spacing w:val="-2"/>
            <w:u w:val="single" w:color="0000FF"/>
          </w:rPr>
          <w:t>https://www.google.com/search?q=https://ppf.adv.br/conteudo/imunidade-tributaria-</w:t>
        </w:r>
      </w:hyperlink>
      <w:r>
        <w:rPr>
          <w:color w:val="0000FF"/>
          <w:spacing w:val="-2"/>
        </w:rPr>
        <w:t xml:space="preserve"> </w:t>
      </w:r>
      <w:hyperlink r:id="rId390">
        <w:r>
          <w:rPr>
            <w:color w:val="0000FF"/>
            <w:u w:val="single" w:color="0000FF"/>
          </w:rPr>
          <w:t>recíproca-e-imovel-publico-cedido-a-particular</w:t>
        </w:r>
        <w:r>
          <w:t>.</w:t>
        </w:r>
      </w:hyperlink>
      <w:r>
        <w:t xml:space="preserve"> Acesso em: 07 dez. 2023.</w:t>
      </w:r>
    </w:p>
    <w:p w:rsidR="007259F2" w:rsidRDefault="00E655B4">
      <w:pPr>
        <w:spacing w:before="120"/>
        <w:ind w:left="710"/>
        <w:rPr>
          <w:sz w:val="24"/>
        </w:rPr>
      </w:pPr>
      <w:r>
        <w:rPr>
          <w:sz w:val="24"/>
        </w:rPr>
        <w:t>SABBAG,</w:t>
      </w:r>
      <w:r>
        <w:rPr>
          <w:spacing w:val="-2"/>
          <w:sz w:val="24"/>
        </w:rPr>
        <w:t xml:space="preserve"> </w:t>
      </w:r>
      <w:r>
        <w:rPr>
          <w:sz w:val="24"/>
        </w:rPr>
        <w:t>Eduardo.</w:t>
      </w:r>
      <w:r>
        <w:rPr>
          <w:spacing w:val="1"/>
          <w:sz w:val="24"/>
        </w:rPr>
        <w:t xml:space="preserve"> </w:t>
      </w:r>
      <w:r>
        <w:rPr>
          <w:b/>
          <w:sz w:val="24"/>
        </w:rPr>
        <w:t>Manual</w:t>
      </w:r>
      <w:r>
        <w:rPr>
          <w:b/>
          <w:spacing w:val="-1"/>
          <w:sz w:val="24"/>
        </w:rPr>
        <w:t xml:space="preserve"> </w:t>
      </w:r>
      <w:r>
        <w:rPr>
          <w:b/>
          <w:sz w:val="24"/>
        </w:rPr>
        <w:t>de</w:t>
      </w:r>
      <w:r>
        <w:rPr>
          <w:b/>
          <w:spacing w:val="-3"/>
          <w:sz w:val="24"/>
        </w:rPr>
        <w:t xml:space="preserve"> </w:t>
      </w:r>
      <w:r>
        <w:rPr>
          <w:b/>
          <w:sz w:val="24"/>
        </w:rPr>
        <w:t>Direito</w:t>
      </w:r>
      <w:r>
        <w:rPr>
          <w:b/>
          <w:spacing w:val="-1"/>
          <w:sz w:val="24"/>
        </w:rPr>
        <w:t xml:space="preserve"> </w:t>
      </w:r>
      <w:r>
        <w:rPr>
          <w:b/>
          <w:sz w:val="24"/>
        </w:rPr>
        <w:t>Tributário</w:t>
      </w:r>
      <w:r>
        <w:rPr>
          <w:sz w:val="24"/>
        </w:rPr>
        <w:t>.</w:t>
      </w:r>
      <w:r>
        <w:rPr>
          <w:spacing w:val="-1"/>
          <w:sz w:val="24"/>
        </w:rPr>
        <w:t xml:space="preserve"> </w:t>
      </w:r>
      <w:r>
        <w:rPr>
          <w:sz w:val="24"/>
        </w:rPr>
        <w:t>1.</w:t>
      </w:r>
      <w:r>
        <w:rPr>
          <w:spacing w:val="-1"/>
          <w:sz w:val="24"/>
        </w:rPr>
        <w:t xml:space="preserve"> </w:t>
      </w:r>
      <w:r>
        <w:rPr>
          <w:sz w:val="24"/>
        </w:rPr>
        <w:t>ed.</w:t>
      </w:r>
      <w:r>
        <w:rPr>
          <w:spacing w:val="-2"/>
          <w:sz w:val="24"/>
        </w:rPr>
        <w:t xml:space="preserve"> </w:t>
      </w:r>
      <w:r>
        <w:rPr>
          <w:sz w:val="24"/>
        </w:rPr>
        <w:t>São</w:t>
      </w:r>
      <w:r>
        <w:rPr>
          <w:spacing w:val="-1"/>
          <w:sz w:val="24"/>
        </w:rPr>
        <w:t xml:space="preserve"> </w:t>
      </w:r>
      <w:r>
        <w:rPr>
          <w:sz w:val="24"/>
        </w:rPr>
        <w:t>Paulo:</w:t>
      </w:r>
      <w:r>
        <w:rPr>
          <w:spacing w:val="-1"/>
          <w:sz w:val="24"/>
        </w:rPr>
        <w:t xml:space="preserve"> </w:t>
      </w:r>
      <w:r>
        <w:rPr>
          <w:sz w:val="24"/>
        </w:rPr>
        <w:t>Saraiva,</w:t>
      </w:r>
      <w:r>
        <w:rPr>
          <w:spacing w:val="-1"/>
          <w:sz w:val="24"/>
        </w:rPr>
        <w:t xml:space="preserve"> </w:t>
      </w:r>
      <w:r>
        <w:rPr>
          <w:spacing w:val="-2"/>
          <w:sz w:val="24"/>
        </w:rPr>
        <w:t>2009.</w:t>
      </w:r>
    </w:p>
    <w:p w:rsidR="007259F2" w:rsidRDefault="007259F2">
      <w:pPr>
        <w:rPr>
          <w:sz w:val="24"/>
        </w:rPr>
        <w:sectPr w:rsidR="007259F2">
          <w:pgSz w:w="11910" w:h="16840"/>
          <w:pgMar w:top="1320" w:right="708" w:bottom="1160" w:left="992" w:header="0" w:footer="962" w:gutter="0"/>
          <w:cols w:space="720"/>
        </w:sectPr>
      </w:pPr>
    </w:p>
    <w:p w:rsidR="007259F2" w:rsidRDefault="00E655B4">
      <w:pPr>
        <w:pStyle w:val="Heading2"/>
        <w:spacing w:before="74" w:line="386" w:lineRule="auto"/>
        <w:ind w:right="3786"/>
        <w:jc w:val="left"/>
      </w:pPr>
      <w:bookmarkStart w:id="21" w:name="_bookmark21"/>
      <w:bookmarkEnd w:id="21"/>
      <w:r>
        <w:lastRenderedPageBreak/>
        <w:t>Usucapião de Bens Públicos: (Im)possibilidade? Adverse</w:t>
      </w:r>
      <w:r>
        <w:rPr>
          <w:spacing w:val="-6"/>
        </w:rPr>
        <w:t xml:space="preserve"> </w:t>
      </w:r>
      <w:r>
        <w:t>Possesion</w:t>
      </w:r>
      <w:r>
        <w:rPr>
          <w:spacing w:val="-7"/>
        </w:rPr>
        <w:t xml:space="preserve"> </w:t>
      </w:r>
      <w:r>
        <w:t>of</w:t>
      </w:r>
      <w:r>
        <w:rPr>
          <w:spacing w:val="-6"/>
        </w:rPr>
        <w:t xml:space="preserve"> </w:t>
      </w:r>
      <w:r>
        <w:t>Public</w:t>
      </w:r>
      <w:r>
        <w:rPr>
          <w:spacing w:val="-8"/>
        </w:rPr>
        <w:t xml:space="preserve"> </w:t>
      </w:r>
      <w:r>
        <w:t>Assets:</w:t>
      </w:r>
      <w:r>
        <w:rPr>
          <w:spacing w:val="-9"/>
        </w:rPr>
        <w:t xml:space="preserve"> </w:t>
      </w:r>
      <w:r>
        <w:t>(Im)possibility? Yasmine Ramos Cezar Gomes</w:t>
      </w:r>
      <w:r>
        <w:rPr>
          <w:vertAlign w:val="superscript"/>
        </w:rPr>
        <w:t>1</w:t>
      </w:r>
    </w:p>
    <w:p w:rsidR="007259F2" w:rsidRDefault="007259F2">
      <w:pPr>
        <w:pStyle w:val="Corpodetexto"/>
        <w:spacing w:before="241"/>
        <w:ind w:left="0" w:firstLine="0"/>
        <w:jc w:val="left"/>
        <w:rPr>
          <w:b/>
        </w:rPr>
      </w:pPr>
    </w:p>
    <w:p w:rsidR="007259F2" w:rsidRDefault="00E655B4">
      <w:pPr>
        <w:ind w:left="710"/>
        <w:rPr>
          <w:b/>
        </w:rPr>
      </w:pPr>
      <w:r>
        <w:rPr>
          <w:b/>
          <w:spacing w:val="-2"/>
        </w:rPr>
        <w:t>RESUMO</w:t>
      </w:r>
    </w:p>
    <w:p w:rsidR="007259F2" w:rsidRDefault="00E655B4">
      <w:pPr>
        <w:spacing w:before="153"/>
        <w:ind w:left="710" w:right="987"/>
        <w:jc w:val="both"/>
      </w:pPr>
      <w:r>
        <w:t>O presente trabalho tem como propósito aprofundar o estudo das complexidades envolvidas na aplicação do instituto da usucapião em relação aos bens públicos, considerando a legislação, doutrina e jurisprudência vigentes no contexto nacional. Inicialmente, será conduzida uma análise detalhada sobre os bens públicos, elucidando o conceito, as diferentes classificações relacionadas à titularidade, destinação e disponibilidade, bem como o regime jurídico que os envolve, abordando temas como inalienabilidade, afetação e desafetação, imprescritibilidade e impenhorabilidade. Na sequência, será dedicada atenção ao princípio constitucional da "função social da propriedade", avaliando-o sob a perspectiva dos bens públicos. Este princípio fundamental será contextualizado no âmbito da usucapião, buscando compreender como a função</w:t>
      </w:r>
      <w:r>
        <w:rPr>
          <w:spacing w:val="-2"/>
        </w:rPr>
        <w:t xml:space="preserve"> </w:t>
      </w:r>
      <w:r>
        <w:t>social</w:t>
      </w:r>
      <w:r>
        <w:rPr>
          <w:spacing w:val="-1"/>
        </w:rPr>
        <w:t xml:space="preserve"> </w:t>
      </w:r>
      <w:r>
        <w:t>da</w:t>
      </w:r>
      <w:r>
        <w:rPr>
          <w:spacing w:val="-4"/>
        </w:rPr>
        <w:t xml:space="preserve"> </w:t>
      </w:r>
      <w:r>
        <w:t>propriedade</w:t>
      </w:r>
      <w:r>
        <w:rPr>
          <w:spacing w:val="-2"/>
        </w:rPr>
        <w:t xml:space="preserve"> </w:t>
      </w:r>
      <w:r>
        <w:t>se</w:t>
      </w:r>
      <w:r>
        <w:rPr>
          <w:spacing w:val="-4"/>
        </w:rPr>
        <w:t xml:space="preserve"> </w:t>
      </w:r>
      <w:r>
        <w:t>relaciona</w:t>
      </w:r>
      <w:r>
        <w:rPr>
          <w:spacing w:val="-4"/>
        </w:rPr>
        <w:t xml:space="preserve"> </w:t>
      </w:r>
      <w:r>
        <w:t>com</w:t>
      </w:r>
      <w:r>
        <w:rPr>
          <w:spacing w:val="-6"/>
        </w:rPr>
        <w:t xml:space="preserve"> </w:t>
      </w:r>
      <w:r>
        <w:t>a</w:t>
      </w:r>
      <w:r>
        <w:rPr>
          <w:spacing w:val="-2"/>
        </w:rPr>
        <w:t xml:space="preserve"> </w:t>
      </w:r>
      <w:r>
        <w:t>possibilidade</w:t>
      </w:r>
      <w:r>
        <w:rPr>
          <w:spacing w:val="-2"/>
        </w:rPr>
        <w:t xml:space="preserve"> </w:t>
      </w:r>
      <w:r>
        <w:t>de</w:t>
      </w:r>
      <w:r>
        <w:rPr>
          <w:spacing w:val="-2"/>
        </w:rPr>
        <w:t xml:space="preserve"> </w:t>
      </w:r>
      <w:r>
        <w:t>aquisição</w:t>
      </w:r>
      <w:r>
        <w:rPr>
          <w:spacing w:val="-2"/>
        </w:rPr>
        <w:t xml:space="preserve"> </w:t>
      </w:r>
      <w:r>
        <w:t>desses</w:t>
      </w:r>
      <w:r>
        <w:rPr>
          <w:spacing w:val="-4"/>
        </w:rPr>
        <w:t xml:space="preserve"> </w:t>
      </w:r>
      <w:r>
        <w:t>bens</w:t>
      </w:r>
      <w:r>
        <w:rPr>
          <w:spacing w:val="-2"/>
        </w:rPr>
        <w:t xml:space="preserve"> </w:t>
      </w:r>
      <w:r>
        <w:t>por</w:t>
      </w:r>
      <w:r>
        <w:rPr>
          <w:spacing w:val="-2"/>
        </w:rPr>
        <w:t xml:space="preserve"> </w:t>
      </w:r>
      <w:r>
        <w:t>meio desse instituto. Por fim, serão apresentados os variados posicionamentos encontrados na</w:t>
      </w:r>
      <w:r>
        <w:rPr>
          <w:spacing w:val="40"/>
        </w:rPr>
        <w:t xml:space="preserve"> </w:t>
      </w:r>
      <w:r>
        <w:t>doutrina e jurisprudência, visando identificar o entendimento predominante em relação à viabilidade ou impossibilidade de usucapir bens públicos. A análise desses diferentes pontos de vista proporcionará uma visão abrangente e aprofundada sobre a temática em questão, contribuindo para o desenvolvimento de reflexões críticas e embasadas.</w:t>
      </w:r>
    </w:p>
    <w:p w:rsidR="007259F2" w:rsidRDefault="00E655B4">
      <w:pPr>
        <w:spacing w:before="120"/>
        <w:ind w:left="710"/>
        <w:jc w:val="both"/>
      </w:pPr>
      <w:r>
        <w:rPr>
          <w:b/>
        </w:rPr>
        <w:t>Palavras-chave:</w:t>
      </w:r>
      <w:r>
        <w:rPr>
          <w:b/>
          <w:spacing w:val="-5"/>
        </w:rPr>
        <w:t xml:space="preserve"> </w:t>
      </w:r>
      <w:r>
        <w:t>usucapião;</w:t>
      </w:r>
      <w:r>
        <w:rPr>
          <w:spacing w:val="-4"/>
        </w:rPr>
        <w:t xml:space="preserve"> </w:t>
      </w:r>
      <w:r>
        <w:t>bens</w:t>
      </w:r>
      <w:r>
        <w:rPr>
          <w:spacing w:val="-5"/>
        </w:rPr>
        <w:t xml:space="preserve"> </w:t>
      </w:r>
      <w:r>
        <w:t>públicos;</w:t>
      </w:r>
      <w:r>
        <w:rPr>
          <w:spacing w:val="-5"/>
        </w:rPr>
        <w:t xml:space="preserve"> </w:t>
      </w:r>
      <w:r>
        <w:t>função</w:t>
      </w:r>
      <w:r>
        <w:rPr>
          <w:spacing w:val="-7"/>
        </w:rPr>
        <w:t xml:space="preserve"> </w:t>
      </w:r>
      <w:r>
        <w:rPr>
          <w:spacing w:val="-2"/>
        </w:rPr>
        <w:t>social.</w:t>
      </w:r>
    </w:p>
    <w:p w:rsidR="007259F2" w:rsidRDefault="007259F2">
      <w:pPr>
        <w:pStyle w:val="Corpodetexto"/>
        <w:ind w:left="0" w:firstLine="0"/>
        <w:jc w:val="left"/>
        <w:rPr>
          <w:sz w:val="22"/>
        </w:rPr>
      </w:pPr>
    </w:p>
    <w:p w:rsidR="007259F2" w:rsidRDefault="007259F2">
      <w:pPr>
        <w:pStyle w:val="Corpodetexto"/>
        <w:spacing w:before="149"/>
        <w:ind w:left="0" w:firstLine="0"/>
        <w:jc w:val="left"/>
        <w:rPr>
          <w:sz w:val="22"/>
        </w:rPr>
      </w:pPr>
    </w:p>
    <w:p w:rsidR="007259F2" w:rsidRDefault="00E655B4">
      <w:pPr>
        <w:ind w:left="710"/>
        <w:rPr>
          <w:b/>
        </w:rPr>
      </w:pPr>
      <w:r>
        <w:rPr>
          <w:b/>
          <w:spacing w:val="-2"/>
        </w:rPr>
        <w:t>ABSTRACT</w:t>
      </w:r>
    </w:p>
    <w:p w:rsidR="007259F2" w:rsidRDefault="00E655B4">
      <w:pPr>
        <w:spacing w:before="153"/>
        <w:ind w:left="710" w:right="983"/>
        <w:jc w:val="both"/>
      </w:pPr>
      <w:r>
        <w:t>The present work aims to delve into the study of the complexities involved in the application of the institute of adverse possession in relation to public assets, considering the legislation, doctrine, and current jurisprudence within the national context. Initially, a detailed analysis will be conducted on public assets, elucidating the concept, the various classifications related to ownership, destination, and availability, as well as the legal regime that involves them, addressing issues such as inalienability, allocation and deallocation, imprescriptibility, and non- seizability. Subsequently, attention will be devoted to the constitutional principle of the "social function of property," evaluating it from the perspective of public assets. This fundamental principle will be contextualized within the scope of adverse possession, seeking to understand how the social function of property relates to the possibility of acquiring these assets through this institute. Finally, various positions found in doctrine and jurisprudence will be presented, aiming</w:t>
      </w:r>
      <w:r>
        <w:rPr>
          <w:spacing w:val="-3"/>
        </w:rPr>
        <w:t xml:space="preserve"> </w:t>
      </w:r>
      <w:r>
        <w:t>to identify</w:t>
      </w:r>
      <w:r>
        <w:rPr>
          <w:spacing w:val="-3"/>
        </w:rPr>
        <w:t xml:space="preserve"> </w:t>
      </w:r>
      <w:r>
        <w:t>the predominant understanding</w:t>
      </w:r>
      <w:r>
        <w:rPr>
          <w:spacing w:val="-3"/>
        </w:rPr>
        <w:t xml:space="preserve"> </w:t>
      </w:r>
      <w:r>
        <w:t>in relation to the feasibility</w:t>
      </w:r>
      <w:r>
        <w:rPr>
          <w:spacing w:val="-3"/>
        </w:rPr>
        <w:t xml:space="preserve"> </w:t>
      </w:r>
      <w:r>
        <w:t>or impossibility</w:t>
      </w:r>
      <w:r>
        <w:rPr>
          <w:spacing w:val="-3"/>
        </w:rPr>
        <w:t xml:space="preserve"> </w:t>
      </w:r>
      <w:r>
        <w:t>of adversely possessing public assets. The analysis of these different points of view will provide a comprehensive and in-depth perspective on the subject matter, contributing to the development of critical and well-founded reflections.</w:t>
      </w:r>
    </w:p>
    <w:p w:rsidR="007259F2" w:rsidRDefault="00E655B4">
      <w:pPr>
        <w:spacing w:before="120"/>
        <w:ind w:left="710"/>
        <w:jc w:val="both"/>
      </w:pPr>
      <w:r>
        <w:rPr>
          <w:b/>
        </w:rPr>
        <w:t>Keywords:</w:t>
      </w:r>
      <w:r>
        <w:rPr>
          <w:b/>
          <w:spacing w:val="-5"/>
        </w:rPr>
        <w:t xml:space="preserve"> </w:t>
      </w:r>
      <w:r>
        <w:t>adverse</w:t>
      </w:r>
      <w:r>
        <w:rPr>
          <w:spacing w:val="-5"/>
        </w:rPr>
        <w:t xml:space="preserve"> </w:t>
      </w:r>
      <w:r>
        <w:t>possession;</w:t>
      </w:r>
      <w:r>
        <w:rPr>
          <w:spacing w:val="-3"/>
        </w:rPr>
        <w:t xml:space="preserve"> </w:t>
      </w:r>
      <w:r>
        <w:t>public</w:t>
      </w:r>
      <w:r>
        <w:rPr>
          <w:spacing w:val="-3"/>
        </w:rPr>
        <w:t xml:space="preserve"> </w:t>
      </w:r>
      <w:r>
        <w:t>assets;</w:t>
      </w:r>
      <w:r>
        <w:rPr>
          <w:spacing w:val="-5"/>
        </w:rPr>
        <w:t xml:space="preserve"> </w:t>
      </w:r>
      <w:r>
        <w:t>social</w:t>
      </w:r>
      <w:r>
        <w:rPr>
          <w:spacing w:val="-2"/>
        </w:rPr>
        <w:t xml:space="preserve"> function.</w:t>
      </w:r>
    </w:p>
    <w:p w:rsidR="007259F2" w:rsidRDefault="007259F2">
      <w:pPr>
        <w:pStyle w:val="Corpodetexto"/>
        <w:ind w:left="0" w:firstLine="0"/>
        <w:jc w:val="left"/>
        <w:rPr>
          <w:sz w:val="20"/>
        </w:rPr>
      </w:pPr>
    </w:p>
    <w:p w:rsidR="007259F2" w:rsidRDefault="007259F2">
      <w:pPr>
        <w:pStyle w:val="Corpodetexto"/>
        <w:ind w:left="0" w:firstLine="0"/>
        <w:jc w:val="left"/>
        <w:rPr>
          <w:sz w:val="20"/>
        </w:rPr>
      </w:pPr>
    </w:p>
    <w:p w:rsidR="007259F2" w:rsidRDefault="007259F2">
      <w:pPr>
        <w:pStyle w:val="Corpodetexto"/>
        <w:ind w:left="0" w:firstLine="0"/>
        <w:jc w:val="left"/>
        <w:rPr>
          <w:sz w:val="20"/>
        </w:rPr>
      </w:pPr>
    </w:p>
    <w:p w:rsidR="007259F2" w:rsidRDefault="007259F2">
      <w:pPr>
        <w:pStyle w:val="Corpodetexto"/>
        <w:ind w:left="0" w:firstLine="0"/>
        <w:jc w:val="left"/>
        <w:rPr>
          <w:sz w:val="20"/>
        </w:rPr>
      </w:pPr>
    </w:p>
    <w:p w:rsidR="007259F2" w:rsidRDefault="007259F2">
      <w:pPr>
        <w:pStyle w:val="Corpodetexto"/>
        <w:ind w:left="0" w:firstLine="0"/>
        <w:jc w:val="left"/>
        <w:rPr>
          <w:sz w:val="20"/>
        </w:rPr>
      </w:pPr>
    </w:p>
    <w:p w:rsidR="007259F2" w:rsidRDefault="00DE6B1C">
      <w:pPr>
        <w:pStyle w:val="Corpodetexto"/>
        <w:spacing w:before="147"/>
        <w:ind w:left="0" w:firstLine="0"/>
        <w:jc w:val="left"/>
        <w:rPr>
          <w:sz w:val="20"/>
        </w:rPr>
      </w:pPr>
      <w:r w:rsidRPr="00DE6B1C">
        <w:rPr>
          <w:sz w:val="20"/>
        </w:rPr>
        <w:pict>
          <v:rect id="docshape194" o:spid="_x0000_s1037" style="position:absolute;margin-left:85.1pt;margin-top:20.05pt;width:2in;height:.7pt;z-index:-15640064;mso-wrap-distance-left:0;mso-wrap-distance-right:0;mso-position-horizontal-relative:page" fillcolor="black" stroked="f">
            <w10:wrap type="topAndBottom" anchorx="page"/>
          </v:rect>
        </w:pict>
      </w:r>
    </w:p>
    <w:p w:rsidR="007259F2" w:rsidRDefault="00E655B4">
      <w:pPr>
        <w:spacing w:before="97"/>
        <w:ind w:left="710" w:right="983"/>
        <w:jc w:val="both"/>
        <w:rPr>
          <w:sz w:val="20"/>
        </w:rPr>
      </w:pPr>
      <w:r>
        <w:rPr>
          <w:sz w:val="20"/>
          <w:vertAlign w:val="superscript"/>
        </w:rPr>
        <w:t>1</w:t>
      </w:r>
      <w:r>
        <w:rPr>
          <w:sz w:val="20"/>
        </w:rPr>
        <w:t xml:space="preserve"> Residente jurídica do Programa de Residência Jurídica da Procuradoria Geral do Município de São Paulo, alocada no Departamento de Defesa do Meio Ambiente e do Patrimônio – DEMAP 11 </w:t>
      </w:r>
      <w:r>
        <w:rPr>
          <w:color w:val="232323"/>
          <w:sz w:val="20"/>
        </w:rPr>
        <w:t xml:space="preserve">(2022- 2025). E-mail: </w:t>
      </w:r>
      <w:hyperlink r:id="rId391">
        <w:r>
          <w:rPr>
            <w:color w:val="0000FF"/>
            <w:sz w:val="20"/>
            <w:u w:val="single" w:color="0000FF"/>
          </w:rPr>
          <w:t>yasmineramos01@gmail.com</w:t>
        </w:r>
      </w:hyperlink>
    </w:p>
    <w:p w:rsidR="007259F2" w:rsidRDefault="007259F2">
      <w:pPr>
        <w:jc w:val="both"/>
        <w:rPr>
          <w:sz w:val="20"/>
        </w:rPr>
        <w:sectPr w:rsidR="007259F2">
          <w:pgSz w:w="11910" w:h="16840"/>
          <w:pgMar w:top="1320" w:right="708" w:bottom="1160" w:left="992" w:header="0" w:footer="962" w:gutter="0"/>
          <w:cols w:space="720"/>
        </w:sectPr>
      </w:pPr>
    </w:p>
    <w:p w:rsidR="007259F2" w:rsidRDefault="00E655B4">
      <w:pPr>
        <w:pStyle w:val="PargrafodaLista"/>
        <w:numPr>
          <w:ilvl w:val="0"/>
          <w:numId w:val="10"/>
        </w:numPr>
        <w:tabs>
          <w:tab w:val="left" w:pos="1638"/>
        </w:tabs>
        <w:spacing w:before="76"/>
        <w:ind w:hanging="220"/>
        <w:rPr>
          <w:b/>
        </w:rPr>
      </w:pPr>
      <w:r>
        <w:rPr>
          <w:b/>
          <w:spacing w:val="-2"/>
        </w:rPr>
        <w:lastRenderedPageBreak/>
        <w:t>Introdução</w:t>
      </w:r>
    </w:p>
    <w:p w:rsidR="007259F2" w:rsidRDefault="00E655B4">
      <w:pPr>
        <w:pStyle w:val="Corpodetexto"/>
        <w:spacing w:before="153"/>
        <w:ind w:right="991"/>
      </w:pPr>
      <w:r>
        <w:t>A Constituição Federal estabelece, nos artigos 183, §3º, e 191, parágrafo único, da Constituição Federal de 1988, que “os imóveis públicos não serão adquiridos por usucapião”. Da mesma forma, o Código Civil dispõe em seu artigo 102 que “os bens públicos não estão sujeitos a usucapião.</w:t>
      </w:r>
    </w:p>
    <w:p w:rsidR="007259F2" w:rsidRDefault="00E655B4">
      <w:pPr>
        <w:pStyle w:val="Corpodetexto"/>
        <w:spacing w:before="1"/>
        <w:ind w:right="989"/>
      </w:pPr>
      <w:r>
        <w:t>Todavia, apesar da vedação legislativa e posição majoritária da doutrina e jurisprudência nacionais que sustentam a impossibilidade de usucapir bens públicos, surge uma problemática acerca da possibilidade de adquiri-los mediante a usucapião, com base no princípio constitucional da função social da propriedade consagrado no artigo 5º, inciso XXIII, e artigo 170, inciso III, da Constituição Federal. Assim, o questionamento central deste estudo é: podem imóveis públicos serem adquiridos por usucapião com base no princípio da função social da propriedade?</w:t>
      </w:r>
    </w:p>
    <w:p w:rsidR="007259F2" w:rsidRDefault="00E655B4">
      <w:pPr>
        <w:pStyle w:val="Corpodetexto"/>
        <w:ind w:right="991"/>
      </w:pPr>
      <w:r>
        <w:t>A pesquisa se justifica devido à necessidade de analisar os recentes entendimentos da doutrina e jurisprudência nacionais sobre a possibilidade ou não de usucapir bens públicos.</w:t>
      </w:r>
    </w:p>
    <w:p w:rsidR="007259F2" w:rsidRDefault="00E655B4">
      <w:pPr>
        <w:pStyle w:val="Corpodetexto"/>
        <w:ind w:right="992"/>
      </w:pPr>
      <w:r>
        <w:t>O objetivo geral deste artigo é analisar o instituto dos bens públicos e a</w:t>
      </w:r>
      <w:r>
        <w:rPr>
          <w:spacing w:val="80"/>
        </w:rPr>
        <w:t xml:space="preserve"> </w:t>
      </w:r>
      <w:r>
        <w:t>aplicação da usucapião em relação a eles. Os objetivos específicos, por sua vez, são identificar os aspectos doutrinários e legais dos bens públicos; analisar o</w:t>
      </w:r>
      <w:r>
        <w:rPr>
          <w:spacing w:val="40"/>
        </w:rPr>
        <w:t xml:space="preserve"> </w:t>
      </w:r>
      <w:r>
        <w:t>posicionamento da doutrina e jurisprudência brasileira quanto à possibilidade de</w:t>
      </w:r>
      <w:r>
        <w:rPr>
          <w:spacing w:val="40"/>
        </w:rPr>
        <w:t xml:space="preserve"> </w:t>
      </w:r>
      <w:r>
        <w:t>adquirir imóveis públicos por usucapião; e verificar a possibilidade ou não de usucapir imóveis públicos com fundamento no princípio da função social da propriedade.</w:t>
      </w:r>
    </w:p>
    <w:p w:rsidR="007259F2" w:rsidRDefault="00E655B4">
      <w:pPr>
        <w:pStyle w:val="Corpodetexto"/>
        <w:ind w:right="991"/>
      </w:pPr>
      <w:r>
        <w:t>A pesquisa desenvolvida foi do tipo instrumental, de natureza exploratória, executada por meio do método indutivo, o qual, segundo Cesar Luiz Pasold (2015, p. 85), “é a forma lógico-comportamental investigatória pela qual o pesquisador identifica as partes de um fenômeno, colecionando-as de modo a ter uma percepção ou conclusão geral”. Por meio desse método, observaram-se situações específicas para alcançar uma conclusão geral.</w:t>
      </w:r>
    </w:p>
    <w:p w:rsidR="007259F2" w:rsidRDefault="00E655B4">
      <w:pPr>
        <w:pStyle w:val="Corpodetexto"/>
        <w:ind w:right="994"/>
      </w:pPr>
      <w:r>
        <w:t>Quanto às técnicas de pesquisa, utilizou-se a Bibliográfica, que consiste na “técnica de investigação em livros, repertórios jurisprudenciais e coletâneas legais” (PASOLD, 2015, p. 240), bem como a do Referente, que compreende a "explicitação prévia do motivo, objetivo e produto desejado, delimitado o alcance temático e de abordagem para uma atividade intelectual, especialmente para uma pesquisa" (PASOLD, 2015, p. 241).</w:t>
      </w:r>
    </w:p>
    <w:p w:rsidR="007259F2" w:rsidRDefault="00E655B4">
      <w:pPr>
        <w:pStyle w:val="Corpodetexto"/>
        <w:ind w:right="994"/>
      </w:pPr>
      <w:r>
        <w:t>No que diz respeito aos dados, foram levantados e analisados por meio da pesquisa bibliográfica e documental, bem como pela análise de livros, jurisprudências, doutrinas e textos legais.</w:t>
      </w:r>
    </w:p>
    <w:p w:rsidR="007259F2" w:rsidRDefault="00E655B4">
      <w:pPr>
        <w:pStyle w:val="Corpodetexto"/>
        <w:ind w:right="989"/>
      </w:pPr>
      <w:r>
        <w:t>Para esclarecer adequadamente o tema em questão, esta pesquisa foi estruturada em quatro capítulos. No segundo capítulo, inicialmente, serão examinadas as principais definições relacionadas aos bens públicos, tais como os conceitos, classificações e regime jurídico. O terceiro capítulo se dedicará à análise do princípio constitucional da função social 2 da propriedade, conforme estabelecido no artigo 5º, inciso XXIII, e destacará sua aplicação aos bens públicos de forma geral. Já no quarto capítulo, serão apresentadas as perspectivas da doutrina e dos tribunais estaduais e superiores sobre o assunto, atribuindo ao estudo as conclusões referentes à aplicação do instituto da usucapião à luz da função social da propriedade em relação aos bens públicos.</w:t>
      </w:r>
    </w:p>
    <w:p w:rsidR="007259F2" w:rsidRDefault="00E655B4">
      <w:pPr>
        <w:pStyle w:val="PargrafodaLista"/>
        <w:numPr>
          <w:ilvl w:val="0"/>
          <w:numId w:val="10"/>
        </w:numPr>
        <w:tabs>
          <w:tab w:val="left" w:pos="1638"/>
        </w:tabs>
        <w:spacing w:before="206"/>
        <w:ind w:hanging="220"/>
        <w:rPr>
          <w:b/>
        </w:rPr>
      </w:pPr>
      <w:r>
        <w:rPr>
          <w:b/>
        </w:rPr>
        <w:t>Dos</w:t>
      </w:r>
      <w:r>
        <w:rPr>
          <w:b/>
          <w:spacing w:val="-3"/>
        </w:rPr>
        <w:t xml:space="preserve"> </w:t>
      </w:r>
      <w:r>
        <w:rPr>
          <w:b/>
        </w:rPr>
        <w:t>bens</w:t>
      </w:r>
      <w:r>
        <w:rPr>
          <w:b/>
          <w:spacing w:val="-1"/>
        </w:rPr>
        <w:t xml:space="preserve"> </w:t>
      </w:r>
      <w:r>
        <w:rPr>
          <w:b/>
          <w:spacing w:val="-2"/>
        </w:rPr>
        <w:t>públicos</w:t>
      </w:r>
    </w:p>
    <w:p w:rsidR="007259F2" w:rsidRDefault="00E655B4">
      <w:pPr>
        <w:pStyle w:val="PargrafodaLista"/>
        <w:numPr>
          <w:ilvl w:val="1"/>
          <w:numId w:val="10"/>
        </w:numPr>
        <w:tabs>
          <w:tab w:val="left" w:pos="1804"/>
        </w:tabs>
        <w:spacing w:before="160"/>
        <w:ind w:hanging="386"/>
        <w:rPr>
          <w:b/>
        </w:rPr>
      </w:pPr>
      <w:r>
        <w:rPr>
          <w:b/>
        </w:rPr>
        <w:t>Conceito</w:t>
      </w:r>
      <w:r>
        <w:rPr>
          <w:b/>
          <w:spacing w:val="-3"/>
        </w:rPr>
        <w:t xml:space="preserve"> </w:t>
      </w:r>
      <w:r>
        <w:rPr>
          <w:b/>
        </w:rPr>
        <w:t>de</w:t>
      </w:r>
      <w:r>
        <w:rPr>
          <w:b/>
          <w:spacing w:val="-2"/>
        </w:rPr>
        <w:t xml:space="preserve"> </w:t>
      </w:r>
      <w:r>
        <w:rPr>
          <w:b/>
        </w:rPr>
        <w:t>bens</w:t>
      </w:r>
      <w:r>
        <w:rPr>
          <w:b/>
          <w:spacing w:val="-4"/>
        </w:rPr>
        <w:t xml:space="preserve"> </w:t>
      </w:r>
      <w:r>
        <w:rPr>
          <w:b/>
          <w:spacing w:val="-2"/>
        </w:rPr>
        <w:t>públicos</w:t>
      </w:r>
    </w:p>
    <w:p w:rsidR="007259F2" w:rsidRDefault="007259F2">
      <w:pPr>
        <w:pStyle w:val="PargrafodaLista"/>
        <w:jc w:val="left"/>
        <w:rPr>
          <w:b/>
        </w:rPr>
        <w:sectPr w:rsidR="007259F2">
          <w:pgSz w:w="11910" w:h="16840"/>
          <w:pgMar w:top="1320" w:right="708" w:bottom="1160" w:left="992" w:header="0" w:footer="962" w:gutter="0"/>
          <w:cols w:space="720"/>
        </w:sectPr>
      </w:pPr>
    </w:p>
    <w:p w:rsidR="007259F2" w:rsidRDefault="00E655B4">
      <w:pPr>
        <w:pStyle w:val="Corpodetexto"/>
        <w:spacing w:before="69"/>
        <w:ind w:right="993"/>
      </w:pPr>
      <w:r>
        <w:lastRenderedPageBreak/>
        <w:t xml:space="preserve">O conceito de bens públicos é encontrado no artigo 98 do Código Civil de 2002: “São públicos os bens do domínio nacional pertencentes às pessoas jurídicas de direito público interno; todos os outros são particulares, seja qual for a pessoa a que </w:t>
      </w:r>
      <w:r>
        <w:rPr>
          <w:spacing w:val="-2"/>
        </w:rPr>
        <w:t>pertencerem”.</w:t>
      </w:r>
    </w:p>
    <w:p w:rsidR="007259F2" w:rsidRDefault="00E655B4">
      <w:pPr>
        <w:pStyle w:val="Corpodetexto"/>
        <w:spacing w:before="1"/>
        <w:ind w:left="1418" w:firstLine="0"/>
      </w:pPr>
      <w:r>
        <w:t>Celso</w:t>
      </w:r>
      <w:r>
        <w:rPr>
          <w:spacing w:val="-1"/>
        </w:rPr>
        <w:t xml:space="preserve"> </w:t>
      </w:r>
      <w:r>
        <w:t>Antônio</w:t>
      </w:r>
      <w:r>
        <w:rPr>
          <w:spacing w:val="-1"/>
        </w:rPr>
        <w:t xml:space="preserve"> </w:t>
      </w:r>
      <w:r>
        <w:t>Bandeira de</w:t>
      </w:r>
      <w:r>
        <w:rPr>
          <w:spacing w:val="-2"/>
        </w:rPr>
        <w:t xml:space="preserve"> </w:t>
      </w:r>
      <w:r>
        <w:t>Mello</w:t>
      </w:r>
      <w:r>
        <w:rPr>
          <w:spacing w:val="2"/>
        </w:rPr>
        <w:t xml:space="preserve"> </w:t>
      </w:r>
      <w:r>
        <w:rPr>
          <w:spacing w:val="-2"/>
        </w:rPr>
        <w:t>ensina:</w:t>
      </w:r>
    </w:p>
    <w:p w:rsidR="007259F2" w:rsidRDefault="007259F2">
      <w:pPr>
        <w:pStyle w:val="Corpodetexto"/>
        <w:spacing w:before="2"/>
        <w:ind w:left="0" w:firstLine="0"/>
        <w:jc w:val="left"/>
        <w:rPr>
          <w:sz w:val="16"/>
        </w:rPr>
      </w:pPr>
    </w:p>
    <w:p w:rsidR="007259F2" w:rsidRDefault="007259F2">
      <w:pPr>
        <w:pStyle w:val="Corpodetexto"/>
        <w:jc w:val="left"/>
        <w:rPr>
          <w:sz w:val="16"/>
        </w:rPr>
        <w:sectPr w:rsidR="007259F2">
          <w:pgSz w:w="11910" w:h="16840"/>
          <w:pgMar w:top="1320" w:right="708" w:bottom="1160" w:left="992" w:header="0" w:footer="962" w:gutter="0"/>
          <w:cols w:space="720"/>
        </w:sectPr>
      </w:pPr>
    </w:p>
    <w:p w:rsidR="007259F2" w:rsidRDefault="007259F2">
      <w:pPr>
        <w:pStyle w:val="Corpodetexto"/>
        <w:ind w:left="0" w:firstLine="0"/>
        <w:jc w:val="left"/>
      </w:pPr>
    </w:p>
    <w:p w:rsidR="007259F2" w:rsidRDefault="007259F2">
      <w:pPr>
        <w:pStyle w:val="Corpodetexto"/>
        <w:ind w:left="0" w:firstLine="0"/>
        <w:jc w:val="left"/>
      </w:pPr>
    </w:p>
    <w:p w:rsidR="007259F2" w:rsidRDefault="007259F2">
      <w:pPr>
        <w:pStyle w:val="Corpodetexto"/>
        <w:ind w:left="0" w:firstLine="0"/>
        <w:jc w:val="left"/>
      </w:pPr>
    </w:p>
    <w:p w:rsidR="007259F2" w:rsidRDefault="007259F2">
      <w:pPr>
        <w:pStyle w:val="Corpodetexto"/>
        <w:ind w:left="0" w:firstLine="0"/>
        <w:jc w:val="left"/>
      </w:pPr>
    </w:p>
    <w:p w:rsidR="007259F2" w:rsidRDefault="007259F2">
      <w:pPr>
        <w:pStyle w:val="Corpodetexto"/>
        <w:ind w:left="0" w:firstLine="0"/>
        <w:jc w:val="left"/>
      </w:pPr>
    </w:p>
    <w:p w:rsidR="007259F2" w:rsidRDefault="007259F2">
      <w:pPr>
        <w:pStyle w:val="Corpodetexto"/>
        <w:ind w:left="0" w:firstLine="0"/>
        <w:jc w:val="left"/>
      </w:pPr>
    </w:p>
    <w:p w:rsidR="007259F2" w:rsidRDefault="007259F2">
      <w:pPr>
        <w:pStyle w:val="Corpodetexto"/>
        <w:spacing w:before="230"/>
        <w:ind w:left="0" w:firstLine="0"/>
        <w:jc w:val="left"/>
      </w:pPr>
    </w:p>
    <w:p w:rsidR="007259F2" w:rsidRDefault="00E655B4">
      <w:pPr>
        <w:pStyle w:val="Corpodetexto"/>
        <w:ind w:left="1418" w:firstLine="0"/>
        <w:jc w:val="left"/>
      </w:pPr>
      <w:r>
        <w:t xml:space="preserve">E </w:t>
      </w:r>
      <w:r>
        <w:rPr>
          <w:spacing w:val="-2"/>
        </w:rPr>
        <w:t>acrescenta:</w:t>
      </w:r>
    </w:p>
    <w:p w:rsidR="007259F2" w:rsidRDefault="00E655B4">
      <w:pPr>
        <w:spacing w:before="91"/>
        <w:ind w:left="251" w:right="994"/>
        <w:jc w:val="both"/>
        <w:rPr>
          <w:sz w:val="20"/>
        </w:rPr>
      </w:pPr>
      <w:r>
        <w:br w:type="column"/>
      </w:r>
      <w:r>
        <w:rPr>
          <w:sz w:val="20"/>
        </w:rPr>
        <w:lastRenderedPageBreak/>
        <w:t>Bens públicos são todos os bens que pertencem às pessoas jurídicas de</w:t>
      </w:r>
      <w:r>
        <w:rPr>
          <w:spacing w:val="40"/>
          <w:sz w:val="20"/>
        </w:rPr>
        <w:t xml:space="preserve"> </w:t>
      </w:r>
      <w:r>
        <w:rPr>
          <w:sz w:val="20"/>
        </w:rPr>
        <w:t>Direito Público, isto é, União, Estados, Distrito Federal, Municípios, respectivas autarquias e fundações de Direito Público (estas últimas, aliás,</w:t>
      </w:r>
      <w:r>
        <w:rPr>
          <w:spacing w:val="40"/>
          <w:sz w:val="20"/>
        </w:rPr>
        <w:t xml:space="preserve"> </w:t>
      </w:r>
      <w:r>
        <w:rPr>
          <w:sz w:val="20"/>
        </w:rPr>
        <w:t>não passam de autarquias designadas pela base estrutural que possuem), bem como os que, embora não pertencentes a tais pessoas, estejam afetados à prestação de um serviço público.</w:t>
      </w:r>
    </w:p>
    <w:p w:rsidR="007259F2" w:rsidRDefault="00E655B4">
      <w:pPr>
        <w:ind w:left="251" w:right="998"/>
        <w:jc w:val="both"/>
        <w:rPr>
          <w:sz w:val="20"/>
        </w:rPr>
      </w:pPr>
      <w:r>
        <w:rPr>
          <w:sz w:val="20"/>
        </w:rPr>
        <w:t>O conjunto de bens públicos forma o "domínio público", que inclui tanto</w:t>
      </w:r>
      <w:r>
        <w:rPr>
          <w:spacing w:val="40"/>
          <w:sz w:val="20"/>
        </w:rPr>
        <w:t xml:space="preserve"> </w:t>
      </w:r>
      <w:r>
        <w:rPr>
          <w:sz w:val="20"/>
        </w:rPr>
        <w:t>bens imóveis como móveis. (MELLO, 2015, p. 937)</w:t>
      </w:r>
    </w:p>
    <w:p w:rsidR="007259F2" w:rsidRDefault="007259F2">
      <w:pPr>
        <w:pStyle w:val="Corpodetexto"/>
        <w:ind w:left="0" w:firstLine="0"/>
        <w:jc w:val="left"/>
        <w:rPr>
          <w:sz w:val="20"/>
        </w:rPr>
      </w:pPr>
    </w:p>
    <w:p w:rsidR="007259F2" w:rsidRDefault="007259F2">
      <w:pPr>
        <w:pStyle w:val="Corpodetexto"/>
        <w:spacing w:before="48"/>
        <w:ind w:left="0" w:firstLine="0"/>
        <w:jc w:val="left"/>
        <w:rPr>
          <w:sz w:val="20"/>
        </w:rPr>
      </w:pPr>
    </w:p>
    <w:p w:rsidR="007259F2" w:rsidRDefault="00E655B4">
      <w:pPr>
        <w:ind w:left="251" w:right="987"/>
        <w:jc w:val="both"/>
        <w:rPr>
          <w:sz w:val="20"/>
        </w:rPr>
      </w:pPr>
      <w:r>
        <w:rPr>
          <w:sz w:val="20"/>
        </w:rPr>
        <w:t>A noção de bem público, tal como qualquer outra noção em Direito, só interessa se for correlata a um dado regime jurídico. Assim, todos os bens</w:t>
      </w:r>
      <w:r>
        <w:rPr>
          <w:spacing w:val="80"/>
          <w:sz w:val="20"/>
        </w:rPr>
        <w:t xml:space="preserve"> </w:t>
      </w:r>
      <w:r>
        <w:rPr>
          <w:sz w:val="20"/>
        </w:rPr>
        <w:t>que estiverem sujeitos ao mesmo regime público deverão ser havidos como bens públicos. Ora, bens particulares quando afetados a uma atividade</w:t>
      </w:r>
      <w:r>
        <w:rPr>
          <w:spacing w:val="40"/>
          <w:sz w:val="20"/>
        </w:rPr>
        <w:t xml:space="preserve"> </w:t>
      </w:r>
      <w:r>
        <w:rPr>
          <w:sz w:val="20"/>
        </w:rPr>
        <w:t>pública (enquanto o estiverem) ficam submissos ao mesmo regime jurídico dos bens de propriedade pública. Logo, têm que estar incluídos no conceito</w:t>
      </w:r>
      <w:r>
        <w:rPr>
          <w:spacing w:val="40"/>
          <w:sz w:val="20"/>
        </w:rPr>
        <w:t xml:space="preserve"> </w:t>
      </w:r>
      <w:r>
        <w:rPr>
          <w:sz w:val="20"/>
        </w:rPr>
        <w:t>de bem público. (MELLO, 2015, p. 938)</w:t>
      </w:r>
    </w:p>
    <w:p w:rsidR="007259F2" w:rsidRDefault="007259F2">
      <w:pPr>
        <w:jc w:val="both"/>
        <w:rPr>
          <w:sz w:val="20"/>
        </w:rPr>
        <w:sectPr w:rsidR="007259F2">
          <w:type w:val="continuous"/>
          <w:pgSz w:w="11910" w:h="16840"/>
          <w:pgMar w:top="1180" w:right="708" w:bottom="280" w:left="992" w:header="0" w:footer="962" w:gutter="0"/>
          <w:cols w:num="2" w:space="720" w:equalWidth="0">
            <w:col w:w="2688" w:space="40"/>
            <w:col w:w="7482"/>
          </w:cols>
        </w:sectPr>
      </w:pPr>
    </w:p>
    <w:p w:rsidR="007259F2" w:rsidRDefault="00E655B4">
      <w:pPr>
        <w:pStyle w:val="Corpodetexto"/>
        <w:spacing w:before="201"/>
        <w:ind w:right="995"/>
      </w:pPr>
      <w:r>
        <w:lastRenderedPageBreak/>
        <w:t>Portanto,</w:t>
      </w:r>
      <w:r>
        <w:rPr>
          <w:spacing w:val="-3"/>
        </w:rPr>
        <w:t xml:space="preserve"> </w:t>
      </w:r>
      <w:r>
        <w:t>bens</w:t>
      </w:r>
      <w:r>
        <w:rPr>
          <w:spacing w:val="-3"/>
        </w:rPr>
        <w:t xml:space="preserve"> </w:t>
      </w:r>
      <w:r>
        <w:t>públicos</w:t>
      </w:r>
      <w:r>
        <w:rPr>
          <w:spacing w:val="-3"/>
        </w:rPr>
        <w:t xml:space="preserve"> </w:t>
      </w:r>
      <w:r>
        <w:t>são</w:t>
      </w:r>
      <w:r>
        <w:rPr>
          <w:spacing w:val="-3"/>
        </w:rPr>
        <w:t xml:space="preserve"> </w:t>
      </w:r>
      <w:r>
        <w:t>aqueles</w:t>
      </w:r>
      <w:r>
        <w:rPr>
          <w:spacing w:val="-3"/>
        </w:rPr>
        <w:t xml:space="preserve"> </w:t>
      </w:r>
      <w:r>
        <w:t>que</w:t>
      </w:r>
      <w:r>
        <w:rPr>
          <w:spacing w:val="-3"/>
        </w:rPr>
        <w:t xml:space="preserve"> </w:t>
      </w:r>
      <w:r>
        <w:t>pertencem</w:t>
      </w:r>
      <w:r>
        <w:rPr>
          <w:spacing w:val="-3"/>
        </w:rPr>
        <w:t xml:space="preserve"> </w:t>
      </w:r>
      <w:r>
        <w:t>às</w:t>
      </w:r>
      <w:r>
        <w:rPr>
          <w:spacing w:val="-3"/>
        </w:rPr>
        <w:t xml:space="preserve"> </w:t>
      </w:r>
      <w:r>
        <w:t>pessoas</w:t>
      </w:r>
      <w:r>
        <w:rPr>
          <w:spacing w:val="-3"/>
        </w:rPr>
        <w:t xml:space="preserve"> </w:t>
      </w:r>
      <w:r>
        <w:t>jurídicas</w:t>
      </w:r>
      <w:r>
        <w:rPr>
          <w:spacing w:val="-1"/>
        </w:rPr>
        <w:t xml:space="preserve"> </w:t>
      </w:r>
      <w:r>
        <w:t>de</w:t>
      </w:r>
      <w:r>
        <w:rPr>
          <w:spacing w:val="-2"/>
        </w:rPr>
        <w:t xml:space="preserve"> </w:t>
      </w:r>
      <w:r>
        <w:t>direito público. Tais bens são tradicionalmente classificados sob a ótica de três aspectos:</w:t>
      </w:r>
      <w:r>
        <w:rPr>
          <w:spacing w:val="40"/>
        </w:rPr>
        <w:t xml:space="preserve"> </w:t>
      </w:r>
      <w:r>
        <w:t>quanto</w:t>
      </w:r>
      <w:r>
        <w:rPr>
          <w:spacing w:val="-2"/>
        </w:rPr>
        <w:t xml:space="preserve"> </w:t>
      </w:r>
      <w:r>
        <w:t>à</w:t>
      </w:r>
      <w:r>
        <w:rPr>
          <w:spacing w:val="-3"/>
        </w:rPr>
        <w:t xml:space="preserve"> </w:t>
      </w:r>
      <w:r>
        <w:t>titularidade;</w:t>
      </w:r>
      <w:r>
        <w:rPr>
          <w:spacing w:val="-2"/>
        </w:rPr>
        <w:t xml:space="preserve"> </w:t>
      </w:r>
      <w:r>
        <w:t>quanto</w:t>
      </w:r>
      <w:r>
        <w:rPr>
          <w:spacing w:val="-2"/>
        </w:rPr>
        <w:t xml:space="preserve"> </w:t>
      </w:r>
      <w:r>
        <w:t>à</w:t>
      </w:r>
      <w:r>
        <w:rPr>
          <w:spacing w:val="-3"/>
        </w:rPr>
        <w:t xml:space="preserve"> </w:t>
      </w:r>
      <w:r>
        <w:t>destinação</w:t>
      </w:r>
      <w:r>
        <w:rPr>
          <w:spacing w:val="-2"/>
        </w:rPr>
        <w:t xml:space="preserve"> </w:t>
      </w:r>
      <w:r>
        <w:t>e</w:t>
      </w:r>
      <w:r>
        <w:rPr>
          <w:spacing w:val="-3"/>
        </w:rPr>
        <w:t xml:space="preserve"> </w:t>
      </w:r>
      <w:r>
        <w:t>quanto à</w:t>
      </w:r>
      <w:r>
        <w:rPr>
          <w:spacing w:val="-3"/>
        </w:rPr>
        <w:t xml:space="preserve"> </w:t>
      </w:r>
      <w:r>
        <w:t>disponibilidade,</w:t>
      </w:r>
      <w:r>
        <w:rPr>
          <w:spacing w:val="-2"/>
        </w:rPr>
        <w:t xml:space="preserve"> </w:t>
      </w:r>
      <w:r>
        <w:t>como</w:t>
      </w:r>
      <w:r>
        <w:rPr>
          <w:spacing w:val="-4"/>
        </w:rPr>
        <w:t xml:space="preserve"> </w:t>
      </w:r>
      <w:r>
        <w:t>se</w:t>
      </w:r>
      <w:r>
        <w:rPr>
          <w:spacing w:val="-3"/>
        </w:rPr>
        <w:t xml:space="preserve"> </w:t>
      </w:r>
      <w:r>
        <w:t>observará no tópico adiante.</w:t>
      </w:r>
    </w:p>
    <w:p w:rsidR="007259F2" w:rsidRDefault="00E655B4">
      <w:pPr>
        <w:pStyle w:val="PargrafodaLista"/>
        <w:numPr>
          <w:ilvl w:val="1"/>
          <w:numId w:val="10"/>
        </w:numPr>
        <w:tabs>
          <w:tab w:val="left" w:pos="1804"/>
        </w:tabs>
        <w:spacing w:before="204"/>
        <w:ind w:hanging="386"/>
        <w:rPr>
          <w:b/>
        </w:rPr>
      </w:pPr>
      <w:r>
        <w:rPr>
          <w:b/>
        </w:rPr>
        <w:t>Classificação</w:t>
      </w:r>
      <w:r>
        <w:rPr>
          <w:b/>
          <w:spacing w:val="-5"/>
        </w:rPr>
        <w:t xml:space="preserve"> </w:t>
      </w:r>
      <w:r>
        <w:rPr>
          <w:b/>
        </w:rPr>
        <w:t>dos</w:t>
      </w:r>
      <w:r>
        <w:rPr>
          <w:b/>
          <w:spacing w:val="-4"/>
        </w:rPr>
        <w:t xml:space="preserve"> </w:t>
      </w:r>
      <w:r>
        <w:rPr>
          <w:b/>
        </w:rPr>
        <w:t>bens</w:t>
      </w:r>
      <w:r>
        <w:rPr>
          <w:b/>
          <w:spacing w:val="-4"/>
        </w:rPr>
        <w:t xml:space="preserve"> </w:t>
      </w:r>
      <w:r>
        <w:rPr>
          <w:b/>
          <w:spacing w:val="-2"/>
        </w:rPr>
        <w:t>públicos</w:t>
      </w:r>
    </w:p>
    <w:p w:rsidR="007259F2" w:rsidRDefault="00E655B4">
      <w:pPr>
        <w:pStyle w:val="PargrafodaLista"/>
        <w:numPr>
          <w:ilvl w:val="2"/>
          <w:numId w:val="10"/>
        </w:numPr>
        <w:tabs>
          <w:tab w:val="left" w:pos="1966"/>
        </w:tabs>
        <w:spacing w:before="157"/>
        <w:ind w:left="1966" w:hanging="548"/>
        <w:rPr>
          <w:b/>
        </w:rPr>
      </w:pPr>
      <w:r>
        <w:rPr>
          <w:b/>
        </w:rPr>
        <w:t>Quanto</w:t>
      </w:r>
      <w:r>
        <w:rPr>
          <w:b/>
          <w:spacing w:val="-6"/>
        </w:rPr>
        <w:t xml:space="preserve"> </w:t>
      </w:r>
      <w:r>
        <w:rPr>
          <w:b/>
        </w:rPr>
        <w:t xml:space="preserve">à </w:t>
      </w:r>
      <w:r>
        <w:rPr>
          <w:b/>
          <w:spacing w:val="-2"/>
        </w:rPr>
        <w:t>titularidade</w:t>
      </w:r>
    </w:p>
    <w:p w:rsidR="007259F2" w:rsidRDefault="00E655B4">
      <w:pPr>
        <w:pStyle w:val="Corpodetexto"/>
        <w:spacing w:before="235"/>
        <w:ind w:right="992"/>
      </w:pPr>
      <w:r>
        <w:t xml:space="preserve">Os bens públicos podem pertencer à União, aos Estados e aos Municípios, e, como vimos no tópico anterior, às suas respectivas autarquias e fundações de Direito Público. Neste sentido, Maria Sylvia Zanella Di Pietro ensina (2018, p. 920): “Os bens públicos ainda podem ser classificados, quanto à titularidade, em federais, estaduais e </w:t>
      </w:r>
      <w:r>
        <w:rPr>
          <w:spacing w:val="-2"/>
        </w:rPr>
        <w:t>municipais”.</w:t>
      </w:r>
    </w:p>
    <w:p w:rsidR="007259F2" w:rsidRDefault="00E655B4">
      <w:pPr>
        <w:pStyle w:val="PargrafodaLista"/>
        <w:numPr>
          <w:ilvl w:val="2"/>
          <w:numId w:val="10"/>
        </w:numPr>
        <w:tabs>
          <w:tab w:val="left" w:pos="1966"/>
        </w:tabs>
        <w:spacing w:before="204"/>
        <w:ind w:left="1966" w:hanging="548"/>
        <w:rPr>
          <w:b/>
        </w:rPr>
      </w:pPr>
      <w:r>
        <w:rPr>
          <w:b/>
        </w:rPr>
        <w:t>Quanto</w:t>
      </w:r>
      <w:r>
        <w:rPr>
          <w:b/>
          <w:spacing w:val="-4"/>
        </w:rPr>
        <w:t xml:space="preserve"> </w:t>
      </w:r>
      <w:r>
        <w:rPr>
          <w:b/>
        </w:rPr>
        <w:t xml:space="preserve">à </w:t>
      </w:r>
      <w:r>
        <w:rPr>
          <w:b/>
          <w:spacing w:val="-2"/>
        </w:rPr>
        <w:t>destinação</w:t>
      </w:r>
    </w:p>
    <w:p w:rsidR="007259F2" w:rsidRDefault="00E655B4">
      <w:pPr>
        <w:pStyle w:val="Corpodetexto"/>
        <w:spacing w:before="151"/>
        <w:ind w:right="989"/>
      </w:pPr>
      <w:r>
        <w:t xml:space="preserve">Em relação à sua destinação, os bens públicos são classificados em três categorias: bens de uso comum do povo; bens de uso especial e bens dominicais, conforme estabelece o artigo 99 do Código Civil, cuja descrição será melhor discorrida </w:t>
      </w:r>
      <w:r>
        <w:rPr>
          <w:spacing w:val="-2"/>
        </w:rPr>
        <w:t>abaixo.</w:t>
      </w:r>
    </w:p>
    <w:p w:rsidR="007259F2" w:rsidRDefault="00E655B4">
      <w:pPr>
        <w:pStyle w:val="Corpodetexto"/>
        <w:ind w:right="990"/>
      </w:pPr>
      <w:r>
        <w:t xml:space="preserve">Os </w:t>
      </w:r>
      <w:r>
        <w:rPr>
          <w:b/>
        </w:rPr>
        <w:t xml:space="preserve">bens de uso comum do povo </w:t>
      </w:r>
      <w:r>
        <w:t>são aqueles que podem ser usados pela coletividade sem necessidade de qualquer permissão especial, “tais como rios, mares, estradas, ruas e praças” (CC, art. 99, I).</w:t>
      </w:r>
    </w:p>
    <w:p w:rsidR="007259F2" w:rsidRDefault="00E655B4">
      <w:pPr>
        <w:pStyle w:val="Corpodetexto"/>
        <w:ind w:left="1418" w:firstLine="0"/>
      </w:pPr>
      <w:r>
        <w:t>Vale</w:t>
      </w:r>
      <w:r>
        <w:rPr>
          <w:spacing w:val="-3"/>
        </w:rPr>
        <w:t xml:space="preserve"> </w:t>
      </w:r>
      <w:r>
        <w:t>considerar</w:t>
      </w:r>
      <w:r>
        <w:rPr>
          <w:spacing w:val="-1"/>
        </w:rPr>
        <w:t xml:space="preserve"> </w:t>
      </w:r>
      <w:r>
        <w:t>que</w:t>
      </w:r>
      <w:r>
        <w:rPr>
          <w:spacing w:val="-2"/>
        </w:rPr>
        <w:t xml:space="preserve"> </w:t>
      </w:r>
      <w:r>
        <w:t>tais</w:t>
      </w:r>
      <w:r>
        <w:rPr>
          <w:spacing w:val="1"/>
        </w:rPr>
        <w:t xml:space="preserve"> </w:t>
      </w:r>
      <w:r>
        <w:rPr>
          <w:spacing w:val="-4"/>
        </w:rPr>
        <w:t>bens</w:t>
      </w:r>
    </w:p>
    <w:p w:rsidR="007259F2" w:rsidRDefault="007259F2">
      <w:pPr>
        <w:pStyle w:val="Corpodetexto"/>
        <w:spacing w:before="1"/>
        <w:ind w:left="0" w:firstLine="0"/>
        <w:jc w:val="left"/>
      </w:pPr>
    </w:p>
    <w:p w:rsidR="007259F2" w:rsidRDefault="00E655B4">
      <w:pPr>
        <w:spacing w:before="1"/>
        <w:ind w:left="2978" w:right="991"/>
        <w:jc w:val="both"/>
        <w:rPr>
          <w:sz w:val="20"/>
        </w:rPr>
      </w:pPr>
      <w:r>
        <w:rPr>
          <w:sz w:val="20"/>
        </w:rPr>
        <w:t xml:space="preserve">não perdem essa característica se o Poder Público regulamentar seu uso ou torná-lo oneroso, instituindo </w:t>
      </w:r>
      <w:r>
        <w:rPr>
          <w:b/>
          <w:sz w:val="20"/>
        </w:rPr>
        <w:t>cobrança de pedágio</w:t>
      </w:r>
      <w:r>
        <w:rPr>
          <w:sz w:val="20"/>
        </w:rPr>
        <w:t>, como nas rodovias (art. 103). A Administração pode também restringir ou vedar o seu uso, em razão de segurança nacional ou de interesse público, interditando uma estrada, por exemplo, ou proibindo o trânsito por determinado local.</w:t>
      </w:r>
    </w:p>
    <w:p w:rsidR="007259F2" w:rsidRDefault="00E655B4">
      <w:pPr>
        <w:ind w:left="2978"/>
        <w:jc w:val="both"/>
        <w:rPr>
          <w:b/>
          <w:sz w:val="20"/>
        </w:rPr>
      </w:pPr>
      <w:r>
        <w:rPr>
          <w:sz w:val="20"/>
        </w:rPr>
        <w:t>O</w:t>
      </w:r>
      <w:r>
        <w:rPr>
          <w:spacing w:val="3"/>
          <w:sz w:val="20"/>
        </w:rPr>
        <w:t xml:space="preserve"> </w:t>
      </w:r>
      <w:r>
        <w:rPr>
          <w:sz w:val="20"/>
        </w:rPr>
        <w:t>povo</w:t>
      </w:r>
      <w:r>
        <w:rPr>
          <w:spacing w:val="5"/>
          <w:sz w:val="20"/>
        </w:rPr>
        <w:t xml:space="preserve"> </w:t>
      </w:r>
      <w:r>
        <w:rPr>
          <w:sz w:val="20"/>
        </w:rPr>
        <w:t>somente</w:t>
      </w:r>
      <w:r>
        <w:rPr>
          <w:spacing w:val="3"/>
          <w:sz w:val="20"/>
        </w:rPr>
        <w:t xml:space="preserve"> </w:t>
      </w:r>
      <w:r>
        <w:rPr>
          <w:sz w:val="20"/>
        </w:rPr>
        <w:t>tem</w:t>
      </w:r>
      <w:r>
        <w:rPr>
          <w:spacing w:val="2"/>
          <w:sz w:val="20"/>
        </w:rPr>
        <w:t xml:space="preserve"> </w:t>
      </w:r>
      <w:r>
        <w:rPr>
          <w:sz w:val="20"/>
        </w:rPr>
        <w:t>o</w:t>
      </w:r>
      <w:r>
        <w:rPr>
          <w:spacing w:val="4"/>
          <w:sz w:val="20"/>
        </w:rPr>
        <w:t xml:space="preserve"> </w:t>
      </w:r>
      <w:r>
        <w:rPr>
          <w:sz w:val="20"/>
        </w:rPr>
        <w:t>direito</w:t>
      </w:r>
      <w:r>
        <w:rPr>
          <w:spacing w:val="5"/>
          <w:sz w:val="20"/>
        </w:rPr>
        <w:t xml:space="preserve"> </w:t>
      </w:r>
      <w:r>
        <w:rPr>
          <w:sz w:val="20"/>
        </w:rPr>
        <w:t>de</w:t>
      </w:r>
      <w:r>
        <w:rPr>
          <w:spacing w:val="3"/>
          <w:sz w:val="20"/>
        </w:rPr>
        <w:t xml:space="preserve"> </w:t>
      </w:r>
      <w:r>
        <w:rPr>
          <w:sz w:val="20"/>
        </w:rPr>
        <w:t>usar</w:t>
      </w:r>
      <w:r>
        <w:rPr>
          <w:spacing w:val="5"/>
          <w:sz w:val="20"/>
        </w:rPr>
        <w:t xml:space="preserve"> </w:t>
      </w:r>
      <w:r>
        <w:rPr>
          <w:sz w:val="20"/>
        </w:rPr>
        <w:t>tais</w:t>
      </w:r>
      <w:r>
        <w:rPr>
          <w:spacing w:val="3"/>
          <w:sz w:val="20"/>
        </w:rPr>
        <w:t xml:space="preserve"> </w:t>
      </w:r>
      <w:r>
        <w:rPr>
          <w:sz w:val="20"/>
        </w:rPr>
        <w:t>bens,</w:t>
      </w:r>
      <w:r>
        <w:rPr>
          <w:spacing w:val="6"/>
          <w:sz w:val="20"/>
        </w:rPr>
        <w:t xml:space="preserve"> </w:t>
      </w:r>
      <w:r>
        <w:rPr>
          <w:sz w:val="20"/>
        </w:rPr>
        <w:t>mas</w:t>
      </w:r>
      <w:r>
        <w:rPr>
          <w:spacing w:val="5"/>
          <w:sz w:val="20"/>
        </w:rPr>
        <w:t xml:space="preserve"> </w:t>
      </w:r>
      <w:r>
        <w:rPr>
          <w:sz w:val="20"/>
        </w:rPr>
        <w:t>não</w:t>
      </w:r>
      <w:r>
        <w:rPr>
          <w:spacing w:val="5"/>
          <w:sz w:val="20"/>
        </w:rPr>
        <w:t xml:space="preserve"> </w:t>
      </w:r>
      <w:r>
        <w:rPr>
          <w:sz w:val="20"/>
        </w:rPr>
        <w:t>tem</w:t>
      </w:r>
      <w:r>
        <w:rPr>
          <w:spacing w:val="2"/>
          <w:sz w:val="20"/>
        </w:rPr>
        <w:t xml:space="preserve"> </w:t>
      </w:r>
      <w:r>
        <w:rPr>
          <w:sz w:val="20"/>
        </w:rPr>
        <w:t>o</w:t>
      </w:r>
      <w:r>
        <w:rPr>
          <w:spacing w:val="4"/>
          <w:sz w:val="20"/>
        </w:rPr>
        <w:t xml:space="preserve"> </w:t>
      </w:r>
      <w:r>
        <w:rPr>
          <w:sz w:val="20"/>
        </w:rPr>
        <w:t>seu</w:t>
      </w:r>
      <w:r>
        <w:rPr>
          <w:spacing w:val="12"/>
          <w:sz w:val="20"/>
        </w:rPr>
        <w:t xml:space="preserve"> </w:t>
      </w:r>
      <w:r>
        <w:rPr>
          <w:b/>
          <w:spacing w:val="-2"/>
          <w:sz w:val="20"/>
        </w:rPr>
        <w:t>domínio.</w:t>
      </w:r>
    </w:p>
    <w:p w:rsidR="007259F2" w:rsidRDefault="007259F2">
      <w:pPr>
        <w:jc w:val="both"/>
        <w:rPr>
          <w:b/>
          <w:sz w:val="20"/>
        </w:rPr>
        <w:sectPr w:rsidR="007259F2">
          <w:type w:val="continuous"/>
          <w:pgSz w:w="11910" w:h="16840"/>
          <w:pgMar w:top="1180" w:right="708" w:bottom="280" w:left="992" w:header="0" w:footer="962" w:gutter="0"/>
          <w:cols w:space="720"/>
        </w:sectPr>
      </w:pPr>
    </w:p>
    <w:p w:rsidR="007259F2" w:rsidRDefault="00E655B4">
      <w:pPr>
        <w:spacing w:before="71"/>
        <w:ind w:left="2978" w:right="991"/>
        <w:jc w:val="both"/>
        <w:rPr>
          <w:sz w:val="20"/>
        </w:rPr>
      </w:pPr>
      <w:r>
        <w:rPr>
          <w:sz w:val="20"/>
        </w:rPr>
        <w:lastRenderedPageBreak/>
        <w:t xml:space="preserve">Este pertence </w:t>
      </w:r>
      <w:r>
        <w:rPr>
          <w:b/>
          <w:sz w:val="20"/>
        </w:rPr>
        <w:t xml:space="preserve">à pessoa jurídica de direito público, </w:t>
      </w:r>
      <w:r>
        <w:rPr>
          <w:sz w:val="20"/>
        </w:rPr>
        <w:t>mas é um domínio com características especiais, que lhe confere a guarda, administração e fiscalização dos referidos bens, podendo ainda reivindicá-los. (GONÇALVES, 2011, p. 241, grifos da autora)</w:t>
      </w:r>
    </w:p>
    <w:p w:rsidR="007259F2" w:rsidRDefault="007259F2">
      <w:pPr>
        <w:pStyle w:val="Corpodetexto"/>
        <w:spacing w:before="1"/>
        <w:ind w:left="0" w:firstLine="0"/>
        <w:jc w:val="left"/>
        <w:rPr>
          <w:sz w:val="20"/>
        </w:rPr>
      </w:pPr>
    </w:p>
    <w:p w:rsidR="007259F2" w:rsidRDefault="00E655B4">
      <w:pPr>
        <w:pStyle w:val="Corpodetexto"/>
        <w:ind w:right="995"/>
      </w:pPr>
      <w:r>
        <w:t xml:space="preserve">Os </w:t>
      </w:r>
      <w:r>
        <w:rPr>
          <w:b/>
        </w:rPr>
        <w:t xml:space="preserve">bens de uso especial </w:t>
      </w:r>
      <w:r>
        <w:t>são os locais destinados especialmente à execução dos serviços públicos e ao uso da administração. Eles estão expressos no artigo 99, II, do Código Civil e tratam-se de “edifícios ou terrenos destinados a serviço ou estabelecimento</w:t>
      </w:r>
      <w:r>
        <w:rPr>
          <w:spacing w:val="-2"/>
        </w:rPr>
        <w:t xml:space="preserve"> </w:t>
      </w:r>
      <w:r>
        <w:t>da</w:t>
      </w:r>
      <w:r>
        <w:rPr>
          <w:spacing w:val="-3"/>
        </w:rPr>
        <w:t xml:space="preserve"> </w:t>
      </w:r>
      <w:r>
        <w:t>administração federal,</w:t>
      </w:r>
      <w:r>
        <w:rPr>
          <w:spacing w:val="-2"/>
        </w:rPr>
        <w:t xml:space="preserve"> </w:t>
      </w:r>
      <w:r>
        <w:t>estadual,</w:t>
      </w:r>
      <w:r>
        <w:rPr>
          <w:spacing w:val="-2"/>
        </w:rPr>
        <w:t xml:space="preserve"> </w:t>
      </w:r>
      <w:r>
        <w:t>territorial</w:t>
      </w:r>
      <w:r>
        <w:rPr>
          <w:spacing w:val="-2"/>
        </w:rPr>
        <w:t xml:space="preserve"> </w:t>
      </w:r>
      <w:r>
        <w:t>ou</w:t>
      </w:r>
      <w:r>
        <w:rPr>
          <w:spacing w:val="-2"/>
        </w:rPr>
        <w:t xml:space="preserve"> </w:t>
      </w:r>
      <w:r>
        <w:t>municipal,</w:t>
      </w:r>
      <w:r>
        <w:rPr>
          <w:spacing w:val="-2"/>
        </w:rPr>
        <w:t xml:space="preserve"> </w:t>
      </w:r>
      <w:r>
        <w:t>inclusive</w:t>
      </w:r>
      <w:r>
        <w:rPr>
          <w:spacing w:val="-3"/>
        </w:rPr>
        <w:t xml:space="preserve"> </w:t>
      </w:r>
      <w:r>
        <w:t>os de suas autarquias”.</w:t>
      </w:r>
    </w:p>
    <w:p w:rsidR="007259F2" w:rsidRDefault="00E655B4">
      <w:pPr>
        <w:pStyle w:val="Corpodetexto"/>
        <w:ind w:right="991"/>
      </w:pPr>
      <w:r>
        <w:t>Celso Antônio Bandeira de Mello (2015, p. 938) exemplifica-os “como teatros, universidades, museus e outros abertos à visitação pública”.</w:t>
      </w:r>
    </w:p>
    <w:p w:rsidR="007259F2" w:rsidRDefault="00E655B4">
      <w:pPr>
        <w:pStyle w:val="Corpodetexto"/>
        <w:ind w:right="991"/>
      </w:pPr>
      <w:r>
        <w:t xml:space="preserve">Quanto aos </w:t>
      </w:r>
      <w:r>
        <w:rPr>
          <w:b/>
        </w:rPr>
        <w:t>bens dominicais</w:t>
      </w:r>
      <w:r>
        <w:t>, o artigo 99, III, do Código Civil estabelece que</w:t>
      </w:r>
      <w:r>
        <w:rPr>
          <w:spacing w:val="80"/>
        </w:rPr>
        <w:t xml:space="preserve"> </w:t>
      </w:r>
      <w:r>
        <w:t>são</w:t>
      </w:r>
      <w:r>
        <w:rPr>
          <w:spacing w:val="-2"/>
        </w:rPr>
        <w:t xml:space="preserve"> </w:t>
      </w:r>
      <w:r>
        <w:t>aqueles</w:t>
      </w:r>
      <w:r>
        <w:rPr>
          <w:spacing w:val="-3"/>
        </w:rPr>
        <w:t xml:space="preserve"> </w:t>
      </w:r>
      <w:r>
        <w:t>“que</w:t>
      </w:r>
      <w:r>
        <w:rPr>
          <w:spacing w:val="-3"/>
        </w:rPr>
        <w:t xml:space="preserve"> </w:t>
      </w:r>
      <w:r>
        <w:t>constituem</w:t>
      </w:r>
      <w:r>
        <w:rPr>
          <w:spacing w:val="-2"/>
        </w:rPr>
        <w:t xml:space="preserve"> </w:t>
      </w:r>
      <w:r>
        <w:t>o</w:t>
      </w:r>
      <w:r>
        <w:rPr>
          <w:spacing w:val="-2"/>
        </w:rPr>
        <w:t xml:space="preserve"> </w:t>
      </w:r>
      <w:r>
        <w:t>patrimônio</w:t>
      </w:r>
      <w:r>
        <w:rPr>
          <w:spacing w:val="-2"/>
        </w:rPr>
        <w:t xml:space="preserve"> </w:t>
      </w:r>
      <w:r>
        <w:t>das</w:t>
      </w:r>
      <w:r>
        <w:rPr>
          <w:spacing w:val="-2"/>
        </w:rPr>
        <w:t xml:space="preserve"> </w:t>
      </w:r>
      <w:r>
        <w:t>pessoas</w:t>
      </w:r>
      <w:r>
        <w:rPr>
          <w:spacing w:val="-2"/>
        </w:rPr>
        <w:t xml:space="preserve"> </w:t>
      </w:r>
      <w:r>
        <w:t>jurídicas</w:t>
      </w:r>
      <w:r>
        <w:rPr>
          <w:spacing w:val="-2"/>
        </w:rPr>
        <w:t xml:space="preserve"> </w:t>
      </w:r>
      <w:r>
        <w:t>de</w:t>
      </w:r>
      <w:r>
        <w:rPr>
          <w:spacing w:val="-3"/>
        </w:rPr>
        <w:t xml:space="preserve"> </w:t>
      </w:r>
      <w:r>
        <w:t>direito</w:t>
      </w:r>
      <w:r>
        <w:rPr>
          <w:spacing w:val="-2"/>
        </w:rPr>
        <w:t xml:space="preserve"> </w:t>
      </w:r>
      <w:r>
        <w:t>público,</w:t>
      </w:r>
      <w:r>
        <w:rPr>
          <w:spacing w:val="-2"/>
        </w:rPr>
        <w:t xml:space="preserve"> </w:t>
      </w:r>
      <w:r>
        <w:t>como objeto de direito pessoal, ou real, de cada uma dessas entidades”, ou seja, são aqueles em que “o Poder Público exerce poderes de proprietário. Incluem-se nessa categoria as terras devolutas, as estradas de ferro, oficinas e fazendas pertencentes ao Estado” (GONÇALVES, 2011, p. 242).</w:t>
      </w:r>
    </w:p>
    <w:p w:rsidR="007259F2" w:rsidRDefault="00E655B4">
      <w:pPr>
        <w:pStyle w:val="Corpodetexto"/>
        <w:ind w:right="995"/>
      </w:pPr>
      <w:r>
        <w:t>O parágrafo único do citado artigo acrescenta, ainda, que: “Não dispondo a lei em contrário, consideram-se dominicais os bens pertencentes às pessoas jurídicas de direito público a que se tenha dado estrutura de direito privado”. Nesse caso, esses bens “podem ser alienados pelos institutos típicos do direito civil, como se pertencessem a</w:t>
      </w:r>
      <w:r>
        <w:rPr>
          <w:spacing w:val="40"/>
        </w:rPr>
        <w:t xml:space="preserve"> </w:t>
      </w:r>
      <w:r>
        <w:t>um particular qualquer” (GONÇALVES, 2011, p. 242).</w:t>
      </w:r>
    </w:p>
    <w:p w:rsidR="007259F2" w:rsidRDefault="00E655B4">
      <w:pPr>
        <w:pStyle w:val="Corpodetexto"/>
        <w:ind w:left="1418" w:firstLine="0"/>
      </w:pPr>
      <w:r>
        <w:t>Maria</w:t>
      </w:r>
      <w:r>
        <w:rPr>
          <w:spacing w:val="-2"/>
        </w:rPr>
        <w:t xml:space="preserve"> </w:t>
      </w:r>
      <w:r>
        <w:t>Sylvia</w:t>
      </w:r>
      <w:r>
        <w:rPr>
          <w:spacing w:val="-1"/>
        </w:rPr>
        <w:t xml:space="preserve"> </w:t>
      </w:r>
      <w:r>
        <w:t>Zanella</w:t>
      </w:r>
      <w:r>
        <w:rPr>
          <w:spacing w:val="-2"/>
        </w:rPr>
        <w:t xml:space="preserve"> </w:t>
      </w:r>
      <w:r>
        <w:t>Di Pietro</w:t>
      </w:r>
      <w:r>
        <w:rPr>
          <w:spacing w:val="-2"/>
        </w:rPr>
        <w:t xml:space="preserve"> leciona:</w:t>
      </w:r>
    </w:p>
    <w:p w:rsidR="007259F2" w:rsidRDefault="007259F2">
      <w:pPr>
        <w:pStyle w:val="Corpodetexto"/>
        <w:ind w:left="0" w:firstLine="0"/>
        <w:jc w:val="left"/>
      </w:pPr>
    </w:p>
    <w:p w:rsidR="007259F2" w:rsidRDefault="00E655B4">
      <w:pPr>
        <w:ind w:left="2978" w:right="988"/>
        <w:jc w:val="both"/>
        <w:rPr>
          <w:sz w:val="20"/>
        </w:rPr>
      </w:pPr>
      <w:r>
        <w:rPr>
          <w:sz w:val="20"/>
        </w:rPr>
        <w:t>A redação do dispositivo permite concluir que, nesse caso, a destinação do bem é irrelevante, pois, qualquer que seja ela, o bem se inclui como</w:t>
      </w:r>
      <w:r>
        <w:rPr>
          <w:spacing w:val="40"/>
          <w:sz w:val="20"/>
        </w:rPr>
        <w:t xml:space="preserve"> </w:t>
      </w:r>
      <w:r>
        <w:rPr>
          <w:sz w:val="20"/>
        </w:rPr>
        <w:t>dominical só pelo fato de pertencer a pessoa jurídica de direito público a que se tenha dado estrutura de direito privado, a menos que a lei disponha em sentido contrário. Vale dizer que a lei instituidora da pessoa jurídica pode estabelecer a categoria dos bens, consoante a sua destinação. (DI PIETRO, 2018, p. 919)</w:t>
      </w:r>
    </w:p>
    <w:p w:rsidR="007259F2" w:rsidRDefault="00E655B4">
      <w:pPr>
        <w:pStyle w:val="Corpodetexto"/>
        <w:spacing w:before="203" w:line="237" w:lineRule="auto"/>
        <w:ind w:right="990"/>
      </w:pPr>
      <w:r>
        <w:t>Desse modo, se o bem é utilizado pela coletividade ou nele são realizadas atividades administrativas, não será classificado como bem público dominical.</w:t>
      </w:r>
    </w:p>
    <w:p w:rsidR="007259F2" w:rsidRDefault="00E655B4">
      <w:pPr>
        <w:pStyle w:val="PargrafodaLista"/>
        <w:numPr>
          <w:ilvl w:val="2"/>
          <w:numId w:val="10"/>
        </w:numPr>
        <w:tabs>
          <w:tab w:val="left" w:pos="1966"/>
        </w:tabs>
        <w:spacing w:before="207"/>
        <w:ind w:left="1966" w:hanging="548"/>
        <w:rPr>
          <w:b/>
        </w:rPr>
      </w:pPr>
      <w:r>
        <w:rPr>
          <w:b/>
        </w:rPr>
        <w:t>Quanto</w:t>
      </w:r>
      <w:r>
        <w:rPr>
          <w:b/>
          <w:spacing w:val="-4"/>
        </w:rPr>
        <w:t xml:space="preserve"> </w:t>
      </w:r>
      <w:r>
        <w:rPr>
          <w:b/>
        </w:rPr>
        <w:t xml:space="preserve">à </w:t>
      </w:r>
      <w:r>
        <w:rPr>
          <w:b/>
          <w:spacing w:val="-2"/>
        </w:rPr>
        <w:t>disponibilidade</w:t>
      </w:r>
    </w:p>
    <w:p w:rsidR="007259F2" w:rsidRDefault="00E655B4">
      <w:pPr>
        <w:pStyle w:val="Corpodetexto"/>
        <w:spacing w:before="153"/>
        <w:ind w:right="990"/>
      </w:pPr>
      <w:r>
        <w:t>Nesta análise os bens públicos são divididos em: bens indisponíveis; bens patrimoniais indisponíveis e bens patrimoniais disponíveis. Destaca-se que para essa divisão leva-se em conta a classificação quanto à destinação abordada no tópico acima.</w:t>
      </w:r>
    </w:p>
    <w:p w:rsidR="007259F2" w:rsidRDefault="00E655B4">
      <w:pPr>
        <w:pStyle w:val="Corpodetexto"/>
        <w:spacing w:before="1"/>
        <w:ind w:right="990"/>
      </w:pPr>
      <w:r>
        <w:t xml:space="preserve">Os </w:t>
      </w:r>
      <w:r>
        <w:rPr>
          <w:b/>
        </w:rPr>
        <w:t xml:space="preserve">bens indisponíveis </w:t>
      </w:r>
      <w:r>
        <w:t>são aqueles que não possuem natureza típica patrimonial e são insuscetíveis de alienação pelo poder público. Eles se relacionam aos bens de uso comum, que “não são suscetíveis de valoração patrimonial, de avaliação econômica”</w:t>
      </w:r>
      <w:r>
        <w:rPr>
          <w:spacing w:val="40"/>
        </w:rPr>
        <w:t xml:space="preserve"> </w:t>
      </w:r>
      <w:r>
        <w:t>(DI PIETRO, 2018, p. 920).</w:t>
      </w:r>
    </w:p>
    <w:p w:rsidR="007259F2" w:rsidRDefault="00E655B4">
      <w:pPr>
        <w:pStyle w:val="Corpodetexto"/>
        <w:ind w:right="990"/>
      </w:pPr>
      <w:r>
        <w:t xml:space="preserve">Já os </w:t>
      </w:r>
      <w:r>
        <w:rPr>
          <w:b/>
        </w:rPr>
        <w:t xml:space="preserve">bens patrimoniais indisponíveis </w:t>
      </w:r>
      <w:r>
        <w:t xml:space="preserve">são aqueles que possuem caráter patrimonial, mas são inalienáveis por terem afetação pública. Estes se referem aos </w:t>
      </w:r>
      <w:r>
        <w:rPr>
          <w:b/>
        </w:rPr>
        <w:t xml:space="preserve">bens de uso especial </w:t>
      </w:r>
      <w:r>
        <w:t>“que são indisponíveis, ou por se destinarem ao uso coletivo ou por estarem destinados ao uso direto ou indireto da</w:t>
      </w:r>
      <w:r>
        <w:rPr>
          <w:spacing w:val="-12"/>
        </w:rPr>
        <w:t xml:space="preserve"> </w:t>
      </w:r>
      <w:r>
        <w:t>Administração, para consecução de seus fins” (DI PIETRO, 2018, p. 920).</w:t>
      </w:r>
    </w:p>
    <w:p w:rsidR="007259F2" w:rsidRDefault="00E655B4">
      <w:pPr>
        <w:pStyle w:val="Corpodetexto"/>
        <w:ind w:right="991"/>
      </w:pPr>
      <w:r>
        <w:t xml:space="preserve">Por outro lado, os </w:t>
      </w:r>
      <w:r>
        <w:rPr>
          <w:b/>
        </w:rPr>
        <w:t xml:space="preserve">bens patrimoniais disponíveis </w:t>
      </w:r>
      <w:r>
        <w:t>são aqueles que podem ser alienados,</w:t>
      </w:r>
      <w:r>
        <w:rPr>
          <w:spacing w:val="-3"/>
        </w:rPr>
        <w:t xml:space="preserve"> </w:t>
      </w:r>
      <w:r>
        <w:t>justamente</w:t>
      </w:r>
      <w:r>
        <w:rPr>
          <w:spacing w:val="-2"/>
        </w:rPr>
        <w:t xml:space="preserve"> </w:t>
      </w:r>
      <w:r>
        <w:t>por</w:t>
      </w:r>
      <w:r>
        <w:rPr>
          <w:spacing w:val="-2"/>
        </w:rPr>
        <w:t xml:space="preserve"> </w:t>
      </w:r>
      <w:r>
        <w:t>não</w:t>
      </w:r>
      <w:r>
        <w:rPr>
          <w:spacing w:val="-1"/>
        </w:rPr>
        <w:t xml:space="preserve"> </w:t>
      </w:r>
      <w:r>
        <w:t>estarem</w:t>
      </w:r>
      <w:r>
        <w:rPr>
          <w:spacing w:val="-3"/>
        </w:rPr>
        <w:t xml:space="preserve"> </w:t>
      </w:r>
      <w:r>
        <w:t>afetos</w:t>
      </w:r>
      <w:r>
        <w:rPr>
          <w:spacing w:val="-3"/>
        </w:rPr>
        <w:t xml:space="preserve"> </w:t>
      </w:r>
      <w:r>
        <w:t>à</w:t>
      </w:r>
      <w:r>
        <w:rPr>
          <w:spacing w:val="-2"/>
        </w:rPr>
        <w:t xml:space="preserve"> </w:t>
      </w:r>
      <w:r>
        <w:t>essa</w:t>
      </w:r>
      <w:r>
        <w:rPr>
          <w:spacing w:val="-4"/>
        </w:rPr>
        <w:t xml:space="preserve"> </w:t>
      </w:r>
      <w:r>
        <w:t>destinação</w:t>
      </w:r>
      <w:r>
        <w:rPr>
          <w:spacing w:val="-3"/>
        </w:rPr>
        <w:t xml:space="preserve"> </w:t>
      </w:r>
      <w:r>
        <w:t>pública,</w:t>
      </w:r>
      <w:r>
        <w:rPr>
          <w:spacing w:val="-3"/>
        </w:rPr>
        <w:t xml:space="preserve"> </w:t>
      </w:r>
      <w:r>
        <w:t>são</w:t>
      </w:r>
      <w:r>
        <w:rPr>
          <w:spacing w:val="-1"/>
        </w:rPr>
        <w:t xml:space="preserve"> </w:t>
      </w:r>
      <w:r>
        <w:t>os</w:t>
      </w:r>
      <w:r>
        <w:rPr>
          <w:spacing w:val="-3"/>
        </w:rPr>
        <w:t xml:space="preserve"> </w:t>
      </w:r>
      <w:r>
        <w:t xml:space="preserve">chamados </w:t>
      </w:r>
      <w:r>
        <w:rPr>
          <w:b/>
        </w:rPr>
        <w:t>bens</w:t>
      </w:r>
      <w:r>
        <w:rPr>
          <w:b/>
          <w:spacing w:val="-3"/>
        </w:rPr>
        <w:t xml:space="preserve"> </w:t>
      </w:r>
      <w:r>
        <w:rPr>
          <w:b/>
        </w:rPr>
        <w:t>dominicais</w:t>
      </w:r>
      <w:r>
        <w:rPr>
          <w:b/>
          <w:spacing w:val="-1"/>
        </w:rPr>
        <w:t xml:space="preserve"> </w:t>
      </w:r>
      <w:r>
        <w:t>(GONÇALVES,</w:t>
      </w:r>
      <w:r>
        <w:rPr>
          <w:spacing w:val="-2"/>
        </w:rPr>
        <w:t xml:space="preserve"> </w:t>
      </w:r>
      <w:r>
        <w:t>2011). Por</w:t>
      </w:r>
      <w:r>
        <w:rPr>
          <w:spacing w:val="-4"/>
        </w:rPr>
        <w:t xml:space="preserve"> </w:t>
      </w:r>
      <w:r>
        <w:t>esse</w:t>
      </w:r>
      <w:r>
        <w:rPr>
          <w:spacing w:val="-3"/>
        </w:rPr>
        <w:t xml:space="preserve"> </w:t>
      </w:r>
      <w:r>
        <w:t>motivo,</w:t>
      </w:r>
      <w:r>
        <w:rPr>
          <w:spacing w:val="-2"/>
        </w:rPr>
        <w:t xml:space="preserve"> </w:t>
      </w:r>
      <w:r>
        <w:t>o</w:t>
      </w:r>
      <w:r>
        <w:rPr>
          <w:spacing w:val="-2"/>
        </w:rPr>
        <w:t xml:space="preserve"> </w:t>
      </w:r>
      <w:r>
        <w:t>Código</w:t>
      </w:r>
      <w:r>
        <w:rPr>
          <w:spacing w:val="-2"/>
        </w:rPr>
        <w:t xml:space="preserve"> </w:t>
      </w:r>
      <w:r>
        <w:t>Civil</w:t>
      </w:r>
      <w:r>
        <w:rPr>
          <w:spacing w:val="-2"/>
        </w:rPr>
        <w:t xml:space="preserve"> </w:t>
      </w:r>
      <w:r>
        <w:t>estabelece</w:t>
      </w:r>
      <w:r>
        <w:rPr>
          <w:spacing w:val="-3"/>
        </w:rPr>
        <w:t xml:space="preserve"> </w:t>
      </w:r>
      <w:r>
        <w:rPr>
          <w:spacing w:val="-5"/>
        </w:rPr>
        <w:t>em</w:t>
      </w:r>
    </w:p>
    <w:p w:rsidR="007259F2" w:rsidRDefault="007259F2">
      <w:pPr>
        <w:pStyle w:val="Corpodetexto"/>
        <w:sectPr w:rsidR="007259F2">
          <w:pgSz w:w="11910" w:h="16840"/>
          <w:pgMar w:top="1320" w:right="708" w:bottom="1160" w:left="992" w:header="0" w:footer="962" w:gutter="0"/>
          <w:cols w:space="720"/>
        </w:sectPr>
      </w:pPr>
    </w:p>
    <w:p w:rsidR="007259F2" w:rsidRDefault="00E655B4">
      <w:pPr>
        <w:pStyle w:val="Corpodetexto"/>
        <w:spacing w:before="69"/>
        <w:ind w:right="990" w:firstLine="0"/>
        <w:jc w:val="left"/>
      </w:pPr>
      <w:r>
        <w:lastRenderedPageBreak/>
        <w:t>seu</w:t>
      </w:r>
      <w:r>
        <w:rPr>
          <w:spacing w:val="40"/>
        </w:rPr>
        <w:t xml:space="preserve"> </w:t>
      </w:r>
      <w:r>
        <w:t>artigo</w:t>
      </w:r>
      <w:r>
        <w:rPr>
          <w:spacing w:val="40"/>
        </w:rPr>
        <w:t xml:space="preserve"> </w:t>
      </w:r>
      <w:r>
        <w:t>101:</w:t>
      </w:r>
      <w:r>
        <w:rPr>
          <w:spacing w:val="40"/>
        </w:rPr>
        <w:t xml:space="preserve"> </w:t>
      </w:r>
      <w:r>
        <w:t>“Os</w:t>
      </w:r>
      <w:r>
        <w:rPr>
          <w:spacing w:val="40"/>
        </w:rPr>
        <w:t xml:space="preserve"> </w:t>
      </w:r>
      <w:r>
        <w:t>bens</w:t>
      </w:r>
      <w:r>
        <w:rPr>
          <w:spacing w:val="40"/>
        </w:rPr>
        <w:t xml:space="preserve"> </w:t>
      </w:r>
      <w:r>
        <w:t>públicos</w:t>
      </w:r>
      <w:r>
        <w:rPr>
          <w:spacing w:val="40"/>
        </w:rPr>
        <w:t xml:space="preserve"> </w:t>
      </w:r>
      <w:r>
        <w:t>dominicais</w:t>
      </w:r>
      <w:r>
        <w:rPr>
          <w:spacing w:val="40"/>
        </w:rPr>
        <w:t xml:space="preserve"> </w:t>
      </w:r>
      <w:r>
        <w:t>podem</w:t>
      </w:r>
      <w:r>
        <w:rPr>
          <w:spacing w:val="40"/>
        </w:rPr>
        <w:t xml:space="preserve"> </w:t>
      </w:r>
      <w:r>
        <w:t>ser</w:t>
      </w:r>
      <w:r>
        <w:rPr>
          <w:spacing w:val="40"/>
        </w:rPr>
        <w:t xml:space="preserve"> </w:t>
      </w:r>
      <w:r>
        <w:t>alienados,</w:t>
      </w:r>
      <w:r>
        <w:rPr>
          <w:spacing w:val="40"/>
        </w:rPr>
        <w:t xml:space="preserve"> </w:t>
      </w:r>
      <w:r>
        <w:t>observadas</w:t>
      </w:r>
      <w:r>
        <w:rPr>
          <w:spacing w:val="40"/>
        </w:rPr>
        <w:t xml:space="preserve"> </w:t>
      </w:r>
      <w:r>
        <w:t>as</w:t>
      </w:r>
      <w:r>
        <w:rPr>
          <w:spacing w:val="40"/>
        </w:rPr>
        <w:t xml:space="preserve"> </w:t>
      </w:r>
      <w:r>
        <w:t>exigências da lei”.</w:t>
      </w:r>
    </w:p>
    <w:p w:rsidR="007259F2" w:rsidRDefault="00E655B4">
      <w:pPr>
        <w:pStyle w:val="PargrafodaLista"/>
        <w:numPr>
          <w:ilvl w:val="1"/>
          <w:numId w:val="10"/>
        </w:numPr>
        <w:tabs>
          <w:tab w:val="left" w:pos="1804"/>
        </w:tabs>
        <w:spacing w:before="207"/>
        <w:ind w:hanging="386"/>
        <w:rPr>
          <w:b/>
        </w:rPr>
      </w:pPr>
      <w:r>
        <w:rPr>
          <w:b/>
        </w:rPr>
        <w:t>Regime</w:t>
      </w:r>
      <w:r>
        <w:rPr>
          <w:b/>
          <w:spacing w:val="-5"/>
        </w:rPr>
        <w:t xml:space="preserve"> </w:t>
      </w:r>
      <w:r>
        <w:rPr>
          <w:b/>
        </w:rPr>
        <w:t>Jurídico</w:t>
      </w:r>
      <w:r>
        <w:rPr>
          <w:b/>
          <w:spacing w:val="-4"/>
        </w:rPr>
        <w:t xml:space="preserve"> </w:t>
      </w:r>
      <w:r>
        <w:rPr>
          <w:b/>
        </w:rPr>
        <w:t>dos</w:t>
      </w:r>
      <w:r>
        <w:rPr>
          <w:b/>
          <w:spacing w:val="-4"/>
        </w:rPr>
        <w:t xml:space="preserve"> </w:t>
      </w:r>
      <w:r>
        <w:rPr>
          <w:b/>
        </w:rPr>
        <w:t>Bens</w:t>
      </w:r>
      <w:r>
        <w:rPr>
          <w:b/>
          <w:spacing w:val="-4"/>
        </w:rPr>
        <w:t xml:space="preserve"> </w:t>
      </w:r>
      <w:r>
        <w:rPr>
          <w:b/>
          <w:spacing w:val="-2"/>
        </w:rPr>
        <w:t>Públicos</w:t>
      </w:r>
    </w:p>
    <w:p w:rsidR="007259F2" w:rsidRDefault="00E655B4">
      <w:pPr>
        <w:pStyle w:val="Corpodetexto"/>
        <w:spacing w:before="237" w:line="237" w:lineRule="auto"/>
        <w:ind w:right="995"/>
      </w:pPr>
      <w:r>
        <w:t>Os bens públicos, no Direito Brasileiro, são detentores das seguintes características: inalienabilidade, imprescritibilidade e impenhorabilidade.</w:t>
      </w:r>
    </w:p>
    <w:p w:rsidR="007259F2" w:rsidRDefault="00E655B4">
      <w:pPr>
        <w:pStyle w:val="PargrafodaLista"/>
        <w:numPr>
          <w:ilvl w:val="2"/>
          <w:numId w:val="10"/>
        </w:numPr>
        <w:tabs>
          <w:tab w:val="left" w:pos="1969"/>
        </w:tabs>
        <w:spacing w:before="206"/>
        <w:ind w:left="1969" w:hanging="551"/>
        <w:rPr>
          <w:b/>
        </w:rPr>
      </w:pPr>
      <w:r>
        <w:rPr>
          <w:b/>
        </w:rPr>
        <w:t>Da</w:t>
      </w:r>
      <w:r>
        <w:rPr>
          <w:b/>
          <w:spacing w:val="-2"/>
        </w:rPr>
        <w:t xml:space="preserve"> inalienabilidade</w:t>
      </w:r>
    </w:p>
    <w:p w:rsidR="007259F2" w:rsidRDefault="00E655B4">
      <w:pPr>
        <w:pStyle w:val="Corpodetexto"/>
        <w:spacing w:before="153"/>
        <w:ind w:right="992"/>
      </w:pPr>
      <w:r>
        <w:t>O artigo 100 do Código Civil de 2002 estabelece que “os bens públicos de uso comum do povo e os de uso especial são inalienáveis, enquanto conservarem a sua qualificação, na forma que a lei determinar.”. E o artigo 101 acrescenta que “os bens públicos dominicais podem ser alienados, observadas as exigências da lei.”.</w:t>
      </w:r>
    </w:p>
    <w:p w:rsidR="007259F2" w:rsidRDefault="00E655B4">
      <w:pPr>
        <w:pStyle w:val="Corpodetexto"/>
        <w:spacing w:before="1"/>
        <w:ind w:right="992"/>
      </w:pPr>
      <w:r>
        <w:t>Celso Antônio Bandeira de Mello aprofunda a interpretação dos mencionados artigos, lecionando que os bens:</w:t>
      </w:r>
    </w:p>
    <w:p w:rsidR="007259F2" w:rsidRDefault="00E655B4">
      <w:pPr>
        <w:spacing w:before="203"/>
        <w:ind w:left="2978" w:right="992"/>
        <w:jc w:val="both"/>
        <w:rPr>
          <w:sz w:val="20"/>
        </w:rPr>
      </w:pPr>
      <w:r>
        <w:rPr>
          <w:sz w:val="20"/>
        </w:rPr>
        <w:t>de uso comum ou especial não são alienáveis enquanto conservarem tal qualificação, isto é, enquanto estiverem afetados a tais destinos. Só podem</w:t>
      </w:r>
      <w:r>
        <w:rPr>
          <w:spacing w:val="40"/>
          <w:sz w:val="20"/>
        </w:rPr>
        <w:t xml:space="preserve"> </w:t>
      </w:r>
      <w:r>
        <w:rPr>
          <w:sz w:val="20"/>
        </w:rPr>
        <w:t>sê-lo (sempre nos termos da lei) ao serem desafetados, passando à categoria dos dominiais. O fato de um bem estar na categoria de dominical não significa, entretanto, que só por isto seja alienável ao alvedrio da Administração, pois o Código Civil, no artigo 101, dispõe que: "Os bens públicos dominicais podem ser alienados, observadas as exigências da lei".(MELLO, 2015, p. 940)</w:t>
      </w:r>
    </w:p>
    <w:p w:rsidR="007259F2" w:rsidRDefault="00E655B4">
      <w:pPr>
        <w:pStyle w:val="PargrafodaLista"/>
        <w:numPr>
          <w:ilvl w:val="3"/>
          <w:numId w:val="10"/>
        </w:numPr>
        <w:tabs>
          <w:tab w:val="left" w:pos="2135"/>
        </w:tabs>
        <w:spacing w:before="203"/>
        <w:ind w:hanging="717"/>
        <w:rPr>
          <w:b/>
        </w:rPr>
      </w:pPr>
      <w:r>
        <w:rPr>
          <w:b/>
        </w:rPr>
        <w:t>Da</w:t>
      </w:r>
      <w:r>
        <w:rPr>
          <w:b/>
          <w:spacing w:val="-3"/>
        </w:rPr>
        <w:t xml:space="preserve"> </w:t>
      </w:r>
      <w:r>
        <w:rPr>
          <w:b/>
        </w:rPr>
        <w:t>afetação</w:t>
      </w:r>
      <w:r>
        <w:rPr>
          <w:b/>
          <w:spacing w:val="-5"/>
        </w:rPr>
        <w:t xml:space="preserve"> </w:t>
      </w:r>
      <w:r>
        <w:rPr>
          <w:b/>
        </w:rPr>
        <w:t>e</w:t>
      </w:r>
      <w:r>
        <w:rPr>
          <w:b/>
          <w:spacing w:val="-2"/>
        </w:rPr>
        <w:t xml:space="preserve"> </w:t>
      </w:r>
      <w:r>
        <w:rPr>
          <w:b/>
        </w:rPr>
        <w:t>desafetação</w:t>
      </w:r>
      <w:r>
        <w:rPr>
          <w:b/>
          <w:spacing w:val="-3"/>
        </w:rPr>
        <w:t xml:space="preserve"> </w:t>
      </w:r>
      <w:r>
        <w:rPr>
          <w:b/>
        </w:rPr>
        <w:t>dos</w:t>
      </w:r>
      <w:r>
        <w:rPr>
          <w:b/>
          <w:spacing w:val="-3"/>
        </w:rPr>
        <w:t xml:space="preserve"> </w:t>
      </w:r>
      <w:r>
        <w:rPr>
          <w:b/>
        </w:rPr>
        <w:t>bens</w:t>
      </w:r>
      <w:r>
        <w:rPr>
          <w:b/>
          <w:spacing w:val="-2"/>
        </w:rPr>
        <w:t xml:space="preserve"> públicos</w:t>
      </w:r>
    </w:p>
    <w:p w:rsidR="007259F2" w:rsidRDefault="00E655B4">
      <w:pPr>
        <w:pStyle w:val="Corpodetexto"/>
        <w:spacing w:before="151"/>
        <w:ind w:right="990"/>
      </w:pPr>
      <w:r>
        <w:t>No que tange à inalienabilidade dos bens públicos de uso comum e de uso especial é importante ressaltar que essa característica não é absoluta, visto que poderá ser perdida por meio do instituto da desafetação, “ou seja, passar para a categoria de bens dominicais, pela perda de sua destinação pública.” (PIETRO, 2018, p. 931).</w:t>
      </w:r>
    </w:p>
    <w:p w:rsidR="007259F2" w:rsidRDefault="00E655B4">
      <w:pPr>
        <w:pStyle w:val="Corpodetexto"/>
        <w:spacing w:before="1"/>
        <w:ind w:right="991"/>
      </w:pPr>
      <w:r>
        <w:t>Segundo Carlos Roberto Gonçalves (2011, p. 242) a desafetação “é a alteração da destinação do bem” e “deve ser feita por lei ou por ato administrativo praticado na conformidade desta”.</w:t>
      </w:r>
    </w:p>
    <w:p w:rsidR="007259F2" w:rsidRDefault="00E655B4">
      <w:pPr>
        <w:pStyle w:val="Corpodetexto"/>
        <w:ind w:right="988"/>
      </w:pPr>
      <w:r>
        <w:t>Por outro lado, a alienabilidade dos bens públicos dominicais (artigo 101 do Código</w:t>
      </w:r>
      <w:r>
        <w:rPr>
          <w:spacing w:val="-1"/>
        </w:rPr>
        <w:t xml:space="preserve"> </w:t>
      </w:r>
      <w:r>
        <w:t>Civil</w:t>
      </w:r>
      <w:r>
        <w:rPr>
          <w:spacing w:val="-1"/>
        </w:rPr>
        <w:t xml:space="preserve"> </w:t>
      </w:r>
      <w:r>
        <w:t>de</w:t>
      </w:r>
      <w:r>
        <w:rPr>
          <w:spacing w:val="-1"/>
        </w:rPr>
        <w:t xml:space="preserve"> </w:t>
      </w:r>
      <w:r>
        <w:t>2002)</w:t>
      </w:r>
      <w:r>
        <w:rPr>
          <w:spacing w:val="-1"/>
        </w:rPr>
        <w:t xml:space="preserve"> </w:t>
      </w:r>
      <w:r>
        <w:t>também</w:t>
      </w:r>
      <w:r>
        <w:rPr>
          <w:spacing w:val="-1"/>
        </w:rPr>
        <w:t xml:space="preserve"> </w:t>
      </w:r>
      <w:r>
        <w:t>não</w:t>
      </w:r>
      <w:r>
        <w:rPr>
          <w:spacing w:val="-1"/>
        </w:rPr>
        <w:t xml:space="preserve"> </w:t>
      </w:r>
      <w:r>
        <w:t>é</w:t>
      </w:r>
      <w:r>
        <w:rPr>
          <w:spacing w:val="-1"/>
        </w:rPr>
        <w:t xml:space="preserve"> </w:t>
      </w:r>
      <w:r>
        <w:t>absoluta,</w:t>
      </w:r>
      <w:r>
        <w:rPr>
          <w:spacing w:val="-1"/>
        </w:rPr>
        <w:t xml:space="preserve"> </w:t>
      </w:r>
      <w:r>
        <w:t>“porque</w:t>
      </w:r>
      <w:r>
        <w:rPr>
          <w:spacing w:val="-1"/>
        </w:rPr>
        <w:t xml:space="preserve"> </w:t>
      </w:r>
      <w:r>
        <w:t>podem</w:t>
      </w:r>
      <w:r>
        <w:rPr>
          <w:spacing w:val="-1"/>
        </w:rPr>
        <w:t xml:space="preserve"> </w:t>
      </w:r>
      <w:r>
        <w:t>perdê-la</w:t>
      </w:r>
      <w:r>
        <w:rPr>
          <w:spacing w:val="-1"/>
        </w:rPr>
        <w:t xml:space="preserve"> </w:t>
      </w:r>
      <w:r>
        <w:t>pelo</w:t>
      </w:r>
      <w:r>
        <w:rPr>
          <w:spacing w:val="-1"/>
        </w:rPr>
        <w:t xml:space="preserve"> </w:t>
      </w:r>
      <w:r>
        <w:t>instituto</w:t>
      </w:r>
      <w:r>
        <w:rPr>
          <w:spacing w:val="-1"/>
        </w:rPr>
        <w:t xml:space="preserve"> </w:t>
      </w:r>
      <w:r>
        <w:t>da afetação, que é ato ou fato pelo qual um bem passa da categoria de bem do domínio privado do Estado para a categoria de bem do domínio público” (GONÇALVES, 2011, p. 242).</w:t>
      </w:r>
    </w:p>
    <w:p w:rsidR="007259F2" w:rsidRDefault="00E655B4">
      <w:pPr>
        <w:pStyle w:val="Corpodetexto"/>
        <w:ind w:right="987"/>
      </w:pPr>
      <w:r>
        <w:t>Assim, torna-se significativa a ocorrência da modificação de finalidade. Na afetação o bem adquire uma destinação pública que anteriormente não possuía,</w:t>
      </w:r>
      <w:r>
        <w:rPr>
          <w:spacing w:val="40"/>
        </w:rPr>
        <w:t xml:space="preserve"> </w:t>
      </w:r>
      <w:r>
        <w:t>enquanto na desafetação o bem, que anteriormente tinha uma destinação pública, deixa de tê-la, seja de forma temporária ou definitiva, ou seja, ocorre o fenômeno oposto.</w:t>
      </w:r>
    </w:p>
    <w:p w:rsidR="007259F2" w:rsidRDefault="00E655B4">
      <w:pPr>
        <w:pStyle w:val="PargrafodaLista"/>
        <w:numPr>
          <w:ilvl w:val="2"/>
          <w:numId w:val="10"/>
        </w:numPr>
        <w:tabs>
          <w:tab w:val="left" w:pos="1969"/>
        </w:tabs>
        <w:spacing w:before="206"/>
        <w:ind w:left="1969" w:hanging="551"/>
        <w:rPr>
          <w:b/>
        </w:rPr>
      </w:pPr>
      <w:r>
        <w:rPr>
          <w:b/>
        </w:rPr>
        <w:t>Da</w:t>
      </w:r>
      <w:r>
        <w:rPr>
          <w:b/>
          <w:spacing w:val="-2"/>
        </w:rPr>
        <w:t xml:space="preserve"> imprescritibilidade</w:t>
      </w:r>
    </w:p>
    <w:p w:rsidR="007259F2" w:rsidRDefault="00E655B4">
      <w:pPr>
        <w:pStyle w:val="Corpodetexto"/>
        <w:spacing w:before="153"/>
        <w:ind w:right="994"/>
      </w:pPr>
      <w:r>
        <w:t>A Constituição Federal de 1988 prevê em seus artigos 183, §3º, e 191, parágrafo único, que “os imóveis públicos não serão adquiridos por usucapião”.</w:t>
      </w:r>
    </w:p>
    <w:p w:rsidR="007259F2" w:rsidRDefault="00E655B4">
      <w:pPr>
        <w:pStyle w:val="Corpodetexto"/>
        <w:ind w:right="995"/>
      </w:pPr>
      <w:r>
        <w:t>O Código Civil de 2002 também discorre nesse sentido em seu artigo 102: “os bens públicos não estão sujeitos a usucapião”.</w:t>
      </w:r>
    </w:p>
    <w:p w:rsidR="007259F2" w:rsidRDefault="00E655B4">
      <w:pPr>
        <w:pStyle w:val="Corpodetexto"/>
        <w:spacing w:before="1"/>
        <w:ind w:right="991"/>
      </w:pPr>
      <w:r>
        <w:t>Da mesma forma, a Súmula n. 340 do Supremo Tribunal Federal dispõe que “desde a vigência do Código Civil, os bens dominicais, como os demais bens públicos, não podem ser adquiridos por usucapião.”.</w:t>
      </w:r>
    </w:p>
    <w:p w:rsidR="007259F2" w:rsidRDefault="007259F2">
      <w:pPr>
        <w:pStyle w:val="Corpodetexto"/>
        <w:sectPr w:rsidR="007259F2">
          <w:pgSz w:w="11910" w:h="16840"/>
          <w:pgMar w:top="1320" w:right="708" w:bottom="1160" w:left="992" w:header="0" w:footer="962" w:gutter="0"/>
          <w:cols w:space="720"/>
        </w:sectPr>
      </w:pPr>
    </w:p>
    <w:p w:rsidR="007259F2" w:rsidRDefault="00E655B4">
      <w:pPr>
        <w:pStyle w:val="Corpodetexto"/>
        <w:spacing w:before="69"/>
        <w:ind w:right="989"/>
      </w:pPr>
      <w:r>
        <w:lastRenderedPageBreak/>
        <w:t>Celso Antônio Bandeira de Mello (2015, p. 940) explica que “quer-se com esta expressão significar que os bens públicos – sejam de que categoria forem – não são suscetíveis de usucapião.”.</w:t>
      </w:r>
    </w:p>
    <w:p w:rsidR="007259F2" w:rsidRDefault="00E655B4">
      <w:pPr>
        <w:pStyle w:val="Corpodetexto"/>
        <w:spacing w:before="1"/>
        <w:ind w:right="994"/>
      </w:pPr>
      <w:r>
        <w:t>Portanto, é possível constatar, mediante os dispositivos legais apresentados, a recusa da viabilidade da usucapião de bens públicos. Isso evidencia que uma considerável parcela da doutrina adere a essa perspectiva.</w:t>
      </w:r>
    </w:p>
    <w:p w:rsidR="007259F2" w:rsidRDefault="00E655B4">
      <w:pPr>
        <w:pStyle w:val="PargrafodaLista"/>
        <w:numPr>
          <w:ilvl w:val="2"/>
          <w:numId w:val="10"/>
        </w:numPr>
        <w:tabs>
          <w:tab w:val="left" w:pos="1969"/>
        </w:tabs>
        <w:spacing w:before="206"/>
        <w:ind w:left="1969" w:hanging="551"/>
        <w:rPr>
          <w:b/>
        </w:rPr>
      </w:pPr>
      <w:r>
        <w:rPr>
          <w:b/>
        </w:rPr>
        <w:t>Da</w:t>
      </w:r>
      <w:r>
        <w:rPr>
          <w:b/>
          <w:spacing w:val="-2"/>
        </w:rPr>
        <w:t xml:space="preserve"> impenhorabilidade</w:t>
      </w:r>
    </w:p>
    <w:p w:rsidR="007259F2" w:rsidRDefault="00E655B4">
      <w:pPr>
        <w:pStyle w:val="Corpodetexto"/>
        <w:spacing w:before="153"/>
        <w:ind w:right="994"/>
      </w:pPr>
      <w:r>
        <w:t>Os bens públicos não podem ser penhorados, devido ao disposto no artigo 100</w:t>
      </w:r>
      <w:r>
        <w:rPr>
          <w:spacing w:val="40"/>
        </w:rPr>
        <w:t xml:space="preserve"> </w:t>
      </w:r>
      <w:r>
        <w:t>da</w:t>
      </w:r>
      <w:r>
        <w:rPr>
          <w:spacing w:val="-4"/>
        </w:rPr>
        <w:t xml:space="preserve"> </w:t>
      </w:r>
      <w:r>
        <w:t>Constituição</w:t>
      </w:r>
      <w:r>
        <w:rPr>
          <w:spacing w:val="-3"/>
        </w:rPr>
        <w:t xml:space="preserve"> </w:t>
      </w:r>
      <w:r>
        <w:t>Federal</w:t>
      </w:r>
      <w:r>
        <w:rPr>
          <w:spacing w:val="-1"/>
        </w:rPr>
        <w:t xml:space="preserve"> </w:t>
      </w:r>
      <w:r>
        <w:t>de</w:t>
      </w:r>
      <w:r>
        <w:rPr>
          <w:spacing w:val="-4"/>
        </w:rPr>
        <w:t xml:space="preserve"> </w:t>
      </w:r>
      <w:r>
        <w:t>1988,</w:t>
      </w:r>
      <w:r>
        <w:rPr>
          <w:spacing w:val="-3"/>
        </w:rPr>
        <w:t xml:space="preserve"> </w:t>
      </w:r>
      <w:r>
        <w:t>pois</w:t>
      </w:r>
      <w:r>
        <w:rPr>
          <w:spacing w:val="-1"/>
        </w:rPr>
        <w:t xml:space="preserve"> </w:t>
      </w:r>
      <w:r>
        <w:t>“de</w:t>
      </w:r>
      <w:r>
        <w:rPr>
          <w:spacing w:val="-2"/>
        </w:rPr>
        <w:t xml:space="preserve"> </w:t>
      </w:r>
      <w:r>
        <w:t>acordo</w:t>
      </w:r>
      <w:r>
        <w:rPr>
          <w:spacing w:val="-2"/>
        </w:rPr>
        <w:t xml:space="preserve"> </w:t>
      </w:r>
      <w:r>
        <w:t>com</w:t>
      </w:r>
      <w:r>
        <w:rPr>
          <w:spacing w:val="-3"/>
        </w:rPr>
        <w:t xml:space="preserve"> </w:t>
      </w:r>
      <w:r>
        <w:t>ele,</w:t>
      </w:r>
      <w:r>
        <w:rPr>
          <w:spacing w:val="-3"/>
        </w:rPr>
        <w:t xml:space="preserve"> </w:t>
      </w:r>
      <w:r>
        <w:t>há</w:t>
      </w:r>
      <w:r>
        <w:rPr>
          <w:spacing w:val="-2"/>
        </w:rPr>
        <w:t xml:space="preserve"> </w:t>
      </w:r>
      <w:r>
        <w:t>uma</w:t>
      </w:r>
      <w:r>
        <w:rPr>
          <w:spacing w:val="-2"/>
        </w:rPr>
        <w:t xml:space="preserve"> </w:t>
      </w:r>
      <w:r>
        <w:t>forma</w:t>
      </w:r>
      <w:r>
        <w:rPr>
          <w:spacing w:val="-2"/>
        </w:rPr>
        <w:t xml:space="preserve"> </w:t>
      </w:r>
      <w:r>
        <w:t>específica</w:t>
      </w:r>
      <w:r>
        <w:rPr>
          <w:spacing w:val="-3"/>
        </w:rPr>
        <w:t xml:space="preserve"> </w:t>
      </w:r>
      <w:r>
        <w:t>para satisfação de créditos contra o Poder Público inadimplente” (MELLO, 2015, p. 940).</w:t>
      </w:r>
    </w:p>
    <w:p w:rsidR="007259F2" w:rsidRDefault="00E655B4">
      <w:pPr>
        <w:pStyle w:val="Corpodetexto"/>
        <w:ind w:right="992"/>
      </w:pPr>
      <w:r>
        <w:t>Nesse sentido, Maria Helena Diniz (2012, p. 399) ensina que os bens públicos possuem o atributo da impenhorabilidade, porque são “inalienáveis, insuscetíveis de serem dados em garantia.</w:t>
      </w:r>
      <w:r>
        <w:rPr>
          <w:spacing w:val="-1"/>
        </w:rPr>
        <w:t xml:space="preserve"> </w:t>
      </w:r>
      <w:r>
        <w:t>A</w:t>
      </w:r>
      <w:r>
        <w:rPr>
          <w:spacing w:val="-1"/>
        </w:rPr>
        <w:t xml:space="preserve"> </w:t>
      </w:r>
      <w:r>
        <w:t xml:space="preserve">impenhorabilidade impede que o bem passe do patrimônio do devedor ao do credor, ou de outrem, por força da execução judicial (adjudicação ou </w:t>
      </w:r>
      <w:r>
        <w:rPr>
          <w:spacing w:val="-2"/>
        </w:rPr>
        <w:t>arrematação)”.</w:t>
      </w:r>
    </w:p>
    <w:p w:rsidR="007259F2" w:rsidRDefault="00E655B4">
      <w:pPr>
        <w:pStyle w:val="Corpodetexto"/>
        <w:spacing w:before="1"/>
        <w:ind w:right="996"/>
      </w:pPr>
      <w:r>
        <w:t xml:space="preserve">Assim, de acordo com a autora mencionada, fica evidente que os bens públicos não estão sujeitos ao regime da penhora e, por essa razão, são caracterizados como </w:t>
      </w:r>
      <w:r>
        <w:rPr>
          <w:spacing w:val="-2"/>
        </w:rPr>
        <w:t>impenhoráveis.</w:t>
      </w:r>
    </w:p>
    <w:p w:rsidR="007259F2" w:rsidRDefault="00E655B4">
      <w:pPr>
        <w:pStyle w:val="PargrafodaLista"/>
        <w:numPr>
          <w:ilvl w:val="0"/>
          <w:numId w:val="10"/>
        </w:numPr>
        <w:tabs>
          <w:tab w:val="left" w:pos="1638"/>
        </w:tabs>
        <w:spacing w:before="206"/>
        <w:ind w:hanging="220"/>
        <w:rPr>
          <w:b/>
        </w:rPr>
      </w:pPr>
      <w:r>
        <w:rPr>
          <w:b/>
        </w:rPr>
        <w:t>Da</w:t>
      </w:r>
      <w:r>
        <w:rPr>
          <w:b/>
          <w:spacing w:val="-6"/>
        </w:rPr>
        <w:t xml:space="preserve"> </w:t>
      </w:r>
      <w:r>
        <w:rPr>
          <w:b/>
        </w:rPr>
        <w:t>função</w:t>
      </w:r>
      <w:r>
        <w:rPr>
          <w:b/>
          <w:spacing w:val="-2"/>
        </w:rPr>
        <w:t xml:space="preserve"> </w:t>
      </w:r>
      <w:r>
        <w:rPr>
          <w:b/>
        </w:rPr>
        <w:t>social</w:t>
      </w:r>
      <w:r>
        <w:rPr>
          <w:b/>
          <w:spacing w:val="-2"/>
        </w:rPr>
        <w:t xml:space="preserve"> </w:t>
      </w:r>
      <w:r>
        <w:rPr>
          <w:b/>
        </w:rPr>
        <w:t>dos</w:t>
      </w:r>
      <w:r>
        <w:rPr>
          <w:b/>
          <w:spacing w:val="-2"/>
        </w:rPr>
        <w:t xml:space="preserve"> </w:t>
      </w:r>
      <w:r>
        <w:rPr>
          <w:b/>
        </w:rPr>
        <w:t>bens</w:t>
      </w:r>
      <w:r>
        <w:rPr>
          <w:b/>
          <w:spacing w:val="-2"/>
        </w:rPr>
        <w:t xml:space="preserve"> públicos</w:t>
      </w:r>
    </w:p>
    <w:p w:rsidR="007259F2" w:rsidRDefault="00E655B4">
      <w:pPr>
        <w:pStyle w:val="Corpodetexto"/>
        <w:spacing w:before="150"/>
        <w:ind w:right="991"/>
      </w:pPr>
      <w:r>
        <w:t>Tendo em vista os objetivos fundamentais da República Federativa do Brasil (artigo 3º, CRFB), o poder constituinte originário, por meio do artigo 5º, incisos XXII e XXIII, da CRFB, consagrou no rol de direitos e garantias fundamentais a noção de direito de propriedade e de função social da propriedade.</w:t>
      </w:r>
    </w:p>
    <w:p w:rsidR="007259F2" w:rsidRDefault="00E655B4">
      <w:pPr>
        <w:pStyle w:val="Corpodetexto"/>
        <w:spacing w:before="1"/>
        <w:ind w:right="993"/>
      </w:pPr>
      <w:r>
        <w:t>Observa-se que um instituto não se confunde com o outro; neste sentido, José Afonso da Silva (2014, p. 284) explica: “A função social da propriedade não se confunde com os sistemas de limitação da propriedade. Estes dizem respeito ao exercício do direito ao proprietário; aquela, à estrutura do direito mesmo, à</w:t>
      </w:r>
      <w:r>
        <w:rPr>
          <w:spacing w:val="40"/>
        </w:rPr>
        <w:t xml:space="preserve"> </w:t>
      </w:r>
      <w:r>
        <w:rPr>
          <w:spacing w:val="-2"/>
        </w:rPr>
        <w:t>propriedade”.</w:t>
      </w:r>
    </w:p>
    <w:p w:rsidR="007259F2" w:rsidRDefault="00E655B4">
      <w:pPr>
        <w:pStyle w:val="Corpodetexto"/>
        <w:ind w:right="992"/>
      </w:pPr>
      <w:r>
        <w:t>Nathalia Masson (2016, p. 255) leciona, ainda: “Entende-se, pois, que a função social é exigência constitucional que, se efetivada, culmina no reconhecimento de que o direito de propriedade estará resguardado na sua plenitude”.</w:t>
      </w:r>
    </w:p>
    <w:p w:rsidR="007259F2" w:rsidRDefault="00E655B4">
      <w:pPr>
        <w:pStyle w:val="Corpodetexto"/>
        <w:ind w:right="994"/>
      </w:pPr>
      <w:r>
        <w:t>Em síntese, a função social da propriedade é erigida constitucionalmente como um</w:t>
      </w:r>
      <w:r>
        <w:rPr>
          <w:spacing w:val="-2"/>
        </w:rPr>
        <w:t xml:space="preserve"> </w:t>
      </w:r>
      <w:r>
        <w:t>direito</w:t>
      </w:r>
      <w:r>
        <w:rPr>
          <w:spacing w:val="-2"/>
        </w:rPr>
        <w:t xml:space="preserve"> </w:t>
      </w:r>
      <w:r>
        <w:t>fundamental,</w:t>
      </w:r>
      <w:r>
        <w:rPr>
          <w:spacing w:val="-2"/>
        </w:rPr>
        <w:t xml:space="preserve"> </w:t>
      </w:r>
      <w:r>
        <w:t>cuja</w:t>
      </w:r>
      <w:r>
        <w:rPr>
          <w:spacing w:val="-2"/>
        </w:rPr>
        <w:t xml:space="preserve"> </w:t>
      </w:r>
      <w:r>
        <w:t>finalidade</w:t>
      </w:r>
      <w:r>
        <w:rPr>
          <w:spacing w:val="-2"/>
        </w:rPr>
        <w:t xml:space="preserve"> </w:t>
      </w:r>
      <w:r>
        <w:t>reside</w:t>
      </w:r>
      <w:r>
        <w:rPr>
          <w:spacing w:val="-2"/>
        </w:rPr>
        <w:t xml:space="preserve"> </w:t>
      </w:r>
      <w:r>
        <w:t>em</w:t>
      </w:r>
      <w:r>
        <w:rPr>
          <w:spacing w:val="-2"/>
        </w:rPr>
        <w:t xml:space="preserve"> </w:t>
      </w:r>
      <w:r>
        <w:t>harmonizar</w:t>
      </w:r>
      <w:r>
        <w:rPr>
          <w:spacing w:val="-2"/>
        </w:rPr>
        <w:t xml:space="preserve"> </w:t>
      </w:r>
      <w:r>
        <w:t>a</w:t>
      </w:r>
      <w:r>
        <w:rPr>
          <w:spacing w:val="-2"/>
        </w:rPr>
        <w:t xml:space="preserve"> </w:t>
      </w:r>
      <w:r>
        <w:t>tessitura</w:t>
      </w:r>
      <w:r>
        <w:rPr>
          <w:spacing w:val="-2"/>
        </w:rPr>
        <w:t xml:space="preserve"> </w:t>
      </w:r>
      <w:r>
        <w:t>social</w:t>
      </w:r>
      <w:r>
        <w:rPr>
          <w:spacing w:val="-2"/>
        </w:rPr>
        <w:t xml:space="preserve"> </w:t>
      </w:r>
      <w:r>
        <w:t>do</w:t>
      </w:r>
      <w:r>
        <w:rPr>
          <w:spacing w:val="-2"/>
        </w:rPr>
        <w:t xml:space="preserve"> </w:t>
      </w:r>
      <w:r>
        <w:t>ponto de vista coletivo, impondo limitações à propriedade individual e zelando pelo incremento do atendimento ao interesse público.</w:t>
      </w:r>
    </w:p>
    <w:p w:rsidR="007259F2" w:rsidRDefault="00E655B4">
      <w:pPr>
        <w:pStyle w:val="Corpodetexto"/>
        <w:spacing w:before="1"/>
        <w:ind w:right="994"/>
      </w:pPr>
      <w:r>
        <w:t>Dentro</w:t>
      </w:r>
      <w:r>
        <w:rPr>
          <w:spacing w:val="-3"/>
        </w:rPr>
        <w:t xml:space="preserve"> </w:t>
      </w:r>
      <w:r>
        <w:t>deste</w:t>
      </w:r>
      <w:r>
        <w:rPr>
          <w:spacing w:val="-3"/>
        </w:rPr>
        <w:t xml:space="preserve"> </w:t>
      </w:r>
      <w:r>
        <w:t>conceito,</w:t>
      </w:r>
      <w:r>
        <w:rPr>
          <w:spacing w:val="-2"/>
        </w:rPr>
        <w:t xml:space="preserve"> </w:t>
      </w:r>
      <w:r>
        <w:t>Júlio</w:t>
      </w:r>
      <w:r>
        <w:rPr>
          <w:spacing w:val="-2"/>
        </w:rPr>
        <w:t xml:space="preserve"> </w:t>
      </w:r>
      <w:r>
        <w:t>Cesar</w:t>
      </w:r>
      <w:r>
        <w:rPr>
          <w:spacing w:val="-3"/>
        </w:rPr>
        <w:t xml:space="preserve"> </w:t>
      </w:r>
      <w:r>
        <w:t>Sanchez</w:t>
      </w:r>
      <w:r>
        <w:rPr>
          <w:spacing w:val="-1"/>
        </w:rPr>
        <w:t xml:space="preserve"> </w:t>
      </w:r>
      <w:r>
        <w:t>(2022)</w:t>
      </w:r>
      <w:r>
        <w:rPr>
          <w:spacing w:val="-3"/>
        </w:rPr>
        <w:t xml:space="preserve"> </w:t>
      </w:r>
      <w:r>
        <w:t>aduz</w:t>
      </w:r>
      <w:r>
        <w:rPr>
          <w:spacing w:val="-1"/>
        </w:rPr>
        <w:t xml:space="preserve"> </w:t>
      </w:r>
      <w:r>
        <w:t>que</w:t>
      </w:r>
      <w:r>
        <w:rPr>
          <w:spacing w:val="-3"/>
        </w:rPr>
        <w:t xml:space="preserve"> </w:t>
      </w:r>
      <w:r>
        <w:t>o</w:t>
      </w:r>
      <w:r>
        <w:rPr>
          <w:spacing w:val="-2"/>
        </w:rPr>
        <w:t xml:space="preserve"> </w:t>
      </w:r>
      <w:r>
        <w:t>atual</w:t>
      </w:r>
      <w:r>
        <w:rPr>
          <w:spacing w:val="-4"/>
        </w:rPr>
        <w:t xml:space="preserve"> </w:t>
      </w:r>
      <w:r>
        <w:t>Código</w:t>
      </w:r>
      <w:r>
        <w:rPr>
          <w:spacing w:val="-2"/>
        </w:rPr>
        <w:t xml:space="preserve"> </w:t>
      </w:r>
      <w:r>
        <w:t>Civil de 2002 também deixa explícito que a propriedade deve atender à sua função social por meio do artigo 1.228, parágrafos primeiro a quinto, uma vez que coíbe o uso abusivo da propriedade e estabelece que ela deve ser utilizada para o bem comum.</w:t>
      </w:r>
    </w:p>
    <w:p w:rsidR="007259F2" w:rsidRDefault="00E655B4">
      <w:pPr>
        <w:pStyle w:val="Corpodetexto"/>
        <w:ind w:right="991"/>
      </w:pPr>
      <w:r>
        <w:t>A partir desse prisma, observa-se que o direito civil caracteriza a conduta do proprietário que não atende à função social de sua propriedade como antissocial e dá prevalência à posse funcionalizada, viabilizando, consequentemente, o reconhecimento da usucapião pelo terceiro possuidor (ROSINA, 2015).</w:t>
      </w:r>
    </w:p>
    <w:p w:rsidR="007259F2" w:rsidRDefault="00E655B4">
      <w:pPr>
        <w:pStyle w:val="Corpodetexto"/>
        <w:ind w:right="995"/>
      </w:pPr>
      <w:r>
        <w:t>Certo é, na esfera do direito privado, que o reconhecimento da usucapião é perfeitamente possível para o possuidor que funcionalizou sua posse, em conformidade com os ditames constitucionais.</w:t>
      </w:r>
    </w:p>
    <w:p w:rsidR="007259F2" w:rsidRDefault="00E655B4">
      <w:pPr>
        <w:pStyle w:val="Corpodetexto"/>
        <w:ind w:right="992"/>
      </w:pPr>
      <w:r>
        <w:t>Por outro lado, em sede de direito público, quanto à possibilidade de usucapir bens</w:t>
      </w:r>
      <w:r>
        <w:rPr>
          <w:spacing w:val="29"/>
        </w:rPr>
        <w:t xml:space="preserve"> </w:t>
      </w:r>
      <w:r>
        <w:t>públicos</w:t>
      </w:r>
      <w:r>
        <w:rPr>
          <w:spacing w:val="32"/>
        </w:rPr>
        <w:t xml:space="preserve"> </w:t>
      </w:r>
      <w:r>
        <w:t>devido</w:t>
      </w:r>
      <w:r>
        <w:rPr>
          <w:spacing w:val="32"/>
        </w:rPr>
        <w:t xml:space="preserve"> </w:t>
      </w:r>
      <w:r>
        <w:t>ao</w:t>
      </w:r>
      <w:r>
        <w:rPr>
          <w:spacing w:val="32"/>
        </w:rPr>
        <w:t xml:space="preserve"> </w:t>
      </w:r>
      <w:r>
        <w:t>não</w:t>
      </w:r>
      <w:r>
        <w:rPr>
          <w:spacing w:val="32"/>
        </w:rPr>
        <w:t xml:space="preserve"> </w:t>
      </w:r>
      <w:r>
        <w:t>atendimento</w:t>
      </w:r>
      <w:r>
        <w:rPr>
          <w:spacing w:val="32"/>
        </w:rPr>
        <w:t xml:space="preserve"> </w:t>
      </w:r>
      <w:r>
        <w:t>de</w:t>
      </w:r>
      <w:r>
        <w:rPr>
          <w:spacing w:val="31"/>
        </w:rPr>
        <w:t xml:space="preserve"> </w:t>
      </w:r>
      <w:r>
        <w:t>sua</w:t>
      </w:r>
      <w:r>
        <w:rPr>
          <w:spacing w:val="31"/>
        </w:rPr>
        <w:t xml:space="preserve"> </w:t>
      </w:r>
      <w:r>
        <w:t>função</w:t>
      </w:r>
      <w:r>
        <w:rPr>
          <w:spacing w:val="32"/>
        </w:rPr>
        <w:t xml:space="preserve"> </w:t>
      </w:r>
      <w:r>
        <w:t>social</w:t>
      </w:r>
      <w:r>
        <w:rPr>
          <w:spacing w:val="32"/>
        </w:rPr>
        <w:t xml:space="preserve"> </w:t>
      </w:r>
      <w:r>
        <w:t>pelo</w:t>
      </w:r>
      <w:r>
        <w:rPr>
          <w:spacing w:val="32"/>
        </w:rPr>
        <w:t xml:space="preserve"> </w:t>
      </w:r>
      <w:r>
        <w:t>Poder</w:t>
      </w:r>
      <w:r>
        <w:rPr>
          <w:spacing w:val="31"/>
        </w:rPr>
        <w:t xml:space="preserve"> </w:t>
      </w:r>
      <w:r>
        <w:t>Público,</w:t>
      </w:r>
      <w:r>
        <w:rPr>
          <w:spacing w:val="32"/>
        </w:rPr>
        <w:t xml:space="preserve"> </w:t>
      </w:r>
      <w:r>
        <w:rPr>
          <w:spacing w:val="-10"/>
        </w:rPr>
        <w:t>a</w:t>
      </w:r>
    </w:p>
    <w:p w:rsidR="007259F2" w:rsidRDefault="007259F2">
      <w:pPr>
        <w:pStyle w:val="Corpodetexto"/>
        <w:sectPr w:rsidR="007259F2">
          <w:pgSz w:w="11910" w:h="16840"/>
          <w:pgMar w:top="1320" w:right="708" w:bottom="1160" w:left="992" w:header="0" w:footer="962" w:gutter="0"/>
          <w:cols w:space="720"/>
        </w:sectPr>
      </w:pPr>
    </w:p>
    <w:p w:rsidR="007259F2" w:rsidRDefault="00E655B4">
      <w:pPr>
        <w:pStyle w:val="Corpodetexto"/>
        <w:spacing w:before="69"/>
        <w:ind w:right="994" w:firstLine="0"/>
      </w:pPr>
      <w:r>
        <w:lastRenderedPageBreak/>
        <w:t>doutrina e a jurisprudência demonstram uma marcante oposição, fundamentada na simples justificativa da existência de uma proibição explícita tanto na Constituição quanto na legislação infraconstitucional (ROSINA, 2015), que será mais bem estudada no próximo capítulo.</w:t>
      </w:r>
    </w:p>
    <w:p w:rsidR="007259F2" w:rsidRDefault="00E655B4">
      <w:pPr>
        <w:pStyle w:val="Corpodetexto"/>
        <w:spacing w:before="1"/>
        <w:ind w:right="994"/>
      </w:pPr>
      <w:r>
        <w:t xml:space="preserve">Apesar disso, percebe-se que os ditames constitucionais supramencionados não estabelecem parâmetros diversificados para a aplicação da função social sobre bens privados e públicos; e caso houvesse, seria inconcebível exigir que tão somente os bens privados ficassem atentos ao interesse social, eximindo os bens públicos de tal </w:t>
      </w:r>
      <w:r>
        <w:rPr>
          <w:spacing w:val="-2"/>
        </w:rPr>
        <w:t>obrigação.</w:t>
      </w:r>
    </w:p>
    <w:p w:rsidR="007259F2" w:rsidRDefault="00E655B4">
      <w:pPr>
        <w:pStyle w:val="Corpodetexto"/>
        <w:ind w:right="996"/>
      </w:pPr>
      <w:r>
        <w:t xml:space="preserve">Com isso, é forçoso concluir que os bens públicos devem cumprir sua função social, mormente pela sua finalidade estrutural e intrínseca de atender ao interesse </w:t>
      </w:r>
      <w:r>
        <w:rPr>
          <w:spacing w:val="-2"/>
        </w:rPr>
        <w:t>público.</w:t>
      </w:r>
    </w:p>
    <w:p w:rsidR="007259F2" w:rsidRDefault="00E655B4">
      <w:pPr>
        <w:pStyle w:val="PargrafodaLista"/>
        <w:numPr>
          <w:ilvl w:val="0"/>
          <w:numId w:val="10"/>
        </w:numPr>
        <w:tabs>
          <w:tab w:val="left" w:pos="1638"/>
        </w:tabs>
        <w:spacing w:before="206"/>
        <w:ind w:hanging="220"/>
        <w:rPr>
          <w:b/>
        </w:rPr>
      </w:pPr>
      <w:r>
        <w:rPr>
          <w:b/>
        </w:rPr>
        <w:t>Da</w:t>
      </w:r>
      <w:r>
        <w:rPr>
          <w:b/>
          <w:spacing w:val="-2"/>
        </w:rPr>
        <w:t xml:space="preserve"> </w:t>
      </w:r>
      <w:r>
        <w:rPr>
          <w:b/>
        </w:rPr>
        <w:t>usucapião</w:t>
      </w:r>
      <w:r>
        <w:rPr>
          <w:b/>
          <w:spacing w:val="-1"/>
        </w:rPr>
        <w:t xml:space="preserve"> </w:t>
      </w:r>
      <w:r>
        <w:rPr>
          <w:b/>
        </w:rPr>
        <w:t>de</w:t>
      </w:r>
      <w:r>
        <w:rPr>
          <w:b/>
          <w:spacing w:val="-4"/>
        </w:rPr>
        <w:t xml:space="preserve"> </w:t>
      </w:r>
      <w:r>
        <w:rPr>
          <w:b/>
        </w:rPr>
        <w:t>bens</w:t>
      </w:r>
      <w:r>
        <w:rPr>
          <w:b/>
          <w:spacing w:val="-1"/>
        </w:rPr>
        <w:t xml:space="preserve"> </w:t>
      </w:r>
      <w:r>
        <w:rPr>
          <w:b/>
          <w:spacing w:val="-2"/>
        </w:rPr>
        <w:t>públicos</w:t>
      </w:r>
    </w:p>
    <w:p w:rsidR="007259F2" w:rsidRDefault="00E655B4">
      <w:pPr>
        <w:pStyle w:val="Corpodetexto"/>
        <w:spacing w:before="154"/>
        <w:ind w:right="996"/>
      </w:pPr>
      <w:r>
        <w:t>A usucapião, também conhecida como prescrição aquisitiva, constitui um meio de adquirir a propriedade e outros direitos reais por meio da posse prolongada da coisa, desde que determinadas condições sejam atendidas.</w:t>
      </w:r>
    </w:p>
    <w:p w:rsidR="007259F2" w:rsidRDefault="00E655B4">
      <w:pPr>
        <w:pStyle w:val="Corpodetexto"/>
        <w:ind w:right="990"/>
      </w:pPr>
      <w:r>
        <w:t>Em princípio, os bens públicos não podem ser adquiridos por meio do instituto da usucapião, conforme estabelecido nos artigos 183, §3º e 191, parágrafo único, da Constituição Federal de 1988, e no artigo 102 do Código Civil de 2002. Essa restrição decorre da proteção especial concedida aos bens públicos.</w:t>
      </w:r>
    </w:p>
    <w:p w:rsidR="007259F2" w:rsidRDefault="00E655B4">
      <w:pPr>
        <w:pStyle w:val="Corpodetexto"/>
        <w:ind w:right="995"/>
      </w:pPr>
      <w:r>
        <w:t>Com base nesses dispositivos legais, as teses que visam reconhecer a prescrição aquisitiva em relação aos bens públicos têm sido rejeitadas pelos tribunais e por uma parte expressiva da doutrina.</w:t>
      </w:r>
    </w:p>
    <w:p w:rsidR="007259F2" w:rsidRDefault="00E655B4">
      <w:pPr>
        <w:pStyle w:val="Corpodetexto"/>
        <w:ind w:right="993"/>
      </w:pPr>
      <w:r>
        <w:t>Entretanto, apesar da proibição constitucional, há debates intensos na doutrina e na jurisprudência sobre se a impossibilidade de adquirir bens públicos por meio de usucapião é verdadeiramente absoluta, especialmente quando confrontada com o princípio da função social da propriedade.</w:t>
      </w:r>
    </w:p>
    <w:p w:rsidR="007259F2" w:rsidRDefault="00E655B4">
      <w:pPr>
        <w:pStyle w:val="Corpodetexto"/>
        <w:ind w:right="994"/>
      </w:pPr>
      <w:r>
        <w:t>A</w:t>
      </w:r>
      <w:r>
        <w:rPr>
          <w:spacing w:val="-10"/>
        </w:rPr>
        <w:t xml:space="preserve"> </w:t>
      </w:r>
      <w:r>
        <w:t>seguir, examinaremos alguns posicionamentos da doutrina e da jurisprudência nacionais, especialmente dos Tribunais Superiores e do Egrégio Tribunal de Justiça do Estado de São Paulo, com o intuito de verificar o entendimento predominante acerca da viabilidade ou impossibilidade de usucapir bens públicos.</w:t>
      </w:r>
    </w:p>
    <w:p w:rsidR="007259F2" w:rsidRDefault="00E655B4">
      <w:pPr>
        <w:pStyle w:val="PargrafodaLista"/>
        <w:numPr>
          <w:ilvl w:val="1"/>
          <w:numId w:val="10"/>
        </w:numPr>
        <w:tabs>
          <w:tab w:val="left" w:pos="1801"/>
        </w:tabs>
        <w:spacing w:before="206"/>
        <w:ind w:left="1801" w:hanging="383"/>
        <w:rPr>
          <w:b/>
        </w:rPr>
      </w:pPr>
      <w:r>
        <w:rPr>
          <w:b/>
        </w:rPr>
        <w:t>Posicionamento</w:t>
      </w:r>
      <w:r>
        <w:rPr>
          <w:b/>
          <w:spacing w:val="-4"/>
        </w:rPr>
        <w:t xml:space="preserve"> </w:t>
      </w:r>
      <w:r>
        <w:rPr>
          <w:b/>
        </w:rPr>
        <w:t>da</w:t>
      </w:r>
      <w:r>
        <w:rPr>
          <w:b/>
          <w:spacing w:val="-4"/>
        </w:rPr>
        <w:t xml:space="preserve"> </w:t>
      </w:r>
      <w:r>
        <w:rPr>
          <w:b/>
          <w:spacing w:val="-2"/>
        </w:rPr>
        <w:t>Doutrina</w:t>
      </w:r>
    </w:p>
    <w:p w:rsidR="007259F2" w:rsidRDefault="00E655B4">
      <w:pPr>
        <w:pStyle w:val="Corpodetexto"/>
        <w:spacing w:before="151"/>
        <w:ind w:right="991"/>
      </w:pPr>
      <w:r>
        <w:t>No que diz respeito ao tema em análise, alguns autores sustentam a tese da impossibilidade de adquirir bens públicos por meio de usucapião. Entre esses,</w:t>
      </w:r>
      <w:r>
        <w:rPr>
          <w:spacing w:val="40"/>
        </w:rPr>
        <w:t xml:space="preserve"> </w:t>
      </w:r>
      <w:r>
        <w:t xml:space="preserve">destacam-se Maria Helena Diniz, Celso Antônio Bandeira de Mello, José Afonso da Silva e Hely Lopes Meirelles. A seguir, apresentam-se alguns posicionamentos nesse </w:t>
      </w:r>
      <w:r>
        <w:rPr>
          <w:spacing w:val="-2"/>
        </w:rPr>
        <w:t>sentido:</w:t>
      </w:r>
    </w:p>
    <w:p w:rsidR="007259F2" w:rsidRDefault="00E655B4">
      <w:pPr>
        <w:pStyle w:val="Corpodetexto"/>
        <w:spacing w:before="1"/>
        <w:ind w:right="993"/>
      </w:pPr>
      <w:r>
        <w:t>Maria Helena Diniz, em sua obra “Curso de Direito Civil Brasileiro: Direito das Coisas”, explicita seu entendimento:</w:t>
      </w:r>
    </w:p>
    <w:p w:rsidR="007259F2" w:rsidRDefault="007259F2">
      <w:pPr>
        <w:pStyle w:val="Corpodetexto"/>
        <w:spacing w:before="1"/>
        <w:ind w:left="0" w:firstLine="0"/>
        <w:jc w:val="left"/>
      </w:pPr>
    </w:p>
    <w:p w:rsidR="007259F2" w:rsidRDefault="00E655B4">
      <w:pPr>
        <w:ind w:left="2978" w:right="997"/>
        <w:jc w:val="both"/>
        <w:rPr>
          <w:sz w:val="20"/>
        </w:rPr>
      </w:pPr>
      <w:r>
        <w:rPr>
          <w:sz w:val="20"/>
        </w:rPr>
        <w:t xml:space="preserve">Há proprietários que não podem perder a propriedade por usucapião, como ocorre com as pessoas jurídicas de direito público, cujos bens são </w:t>
      </w:r>
      <w:r>
        <w:rPr>
          <w:spacing w:val="-2"/>
          <w:sz w:val="20"/>
        </w:rPr>
        <w:t>imprescritíveis.</w:t>
      </w:r>
    </w:p>
    <w:p w:rsidR="007259F2" w:rsidRDefault="00E655B4">
      <w:pPr>
        <w:spacing w:before="1" w:line="229" w:lineRule="exact"/>
        <w:ind w:left="2978"/>
        <w:rPr>
          <w:sz w:val="20"/>
        </w:rPr>
      </w:pPr>
      <w:r>
        <w:rPr>
          <w:spacing w:val="-2"/>
          <w:sz w:val="20"/>
        </w:rPr>
        <w:t>(...)</w:t>
      </w:r>
    </w:p>
    <w:p w:rsidR="007259F2" w:rsidRDefault="00E655B4">
      <w:pPr>
        <w:ind w:left="2978" w:right="990"/>
        <w:jc w:val="both"/>
        <w:rPr>
          <w:sz w:val="20"/>
        </w:rPr>
      </w:pPr>
      <w:r>
        <w:rPr>
          <w:sz w:val="20"/>
        </w:rPr>
        <w:t>Jamais poderão ser objeto de usucapião: (...) b) os bens públicos que estando fora do comércio são inalienáveis (STF, Súmula 340; RT, 803:226). Até alguns anos atrás não era pequena a controvérsia sobre se podiam ou não ser usucapidos os bens públicos, prevalecendo, mesmo, a opinião em sentido afirmativo</w:t>
      </w:r>
      <w:r>
        <w:rPr>
          <w:spacing w:val="29"/>
          <w:sz w:val="20"/>
        </w:rPr>
        <w:t xml:space="preserve"> </w:t>
      </w:r>
      <w:r>
        <w:rPr>
          <w:sz w:val="20"/>
        </w:rPr>
        <w:t>desde</w:t>
      </w:r>
      <w:r>
        <w:rPr>
          <w:spacing w:val="29"/>
          <w:sz w:val="20"/>
        </w:rPr>
        <w:t xml:space="preserve"> </w:t>
      </w:r>
      <w:r>
        <w:rPr>
          <w:sz w:val="20"/>
        </w:rPr>
        <w:t>que</w:t>
      </w:r>
      <w:r>
        <w:rPr>
          <w:spacing w:val="30"/>
          <w:sz w:val="20"/>
        </w:rPr>
        <w:t xml:space="preserve"> </w:t>
      </w:r>
      <w:r>
        <w:rPr>
          <w:sz w:val="20"/>
        </w:rPr>
        <w:t>houvesse</w:t>
      </w:r>
      <w:r>
        <w:rPr>
          <w:spacing w:val="29"/>
          <w:sz w:val="20"/>
        </w:rPr>
        <w:t xml:space="preserve"> </w:t>
      </w:r>
      <w:r>
        <w:rPr>
          <w:sz w:val="20"/>
        </w:rPr>
        <w:t>posse</w:t>
      </w:r>
      <w:r>
        <w:rPr>
          <w:spacing w:val="29"/>
          <w:sz w:val="20"/>
        </w:rPr>
        <w:t xml:space="preserve"> </w:t>
      </w:r>
      <w:r>
        <w:rPr>
          <w:sz w:val="20"/>
        </w:rPr>
        <w:t>tranquila</w:t>
      </w:r>
      <w:r>
        <w:rPr>
          <w:spacing w:val="29"/>
          <w:sz w:val="20"/>
        </w:rPr>
        <w:t xml:space="preserve"> </w:t>
      </w:r>
      <w:r>
        <w:rPr>
          <w:sz w:val="20"/>
        </w:rPr>
        <w:t>dos</w:t>
      </w:r>
      <w:r>
        <w:rPr>
          <w:spacing w:val="28"/>
          <w:sz w:val="20"/>
        </w:rPr>
        <w:t xml:space="preserve"> </w:t>
      </w:r>
      <w:r>
        <w:rPr>
          <w:sz w:val="20"/>
        </w:rPr>
        <w:t>bens</w:t>
      </w:r>
      <w:r>
        <w:rPr>
          <w:spacing w:val="30"/>
          <w:sz w:val="20"/>
        </w:rPr>
        <w:t xml:space="preserve"> </w:t>
      </w:r>
      <w:r>
        <w:rPr>
          <w:sz w:val="20"/>
        </w:rPr>
        <w:t>de</w:t>
      </w:r>
      <w:r>
        <w:rPr>
          <w:spacing w:val="29"/>
          <w:sz w:val="20"/>
        </w:rPr>
        <w:t xml:space="preserve"> </w:t>
      </w:r>
      <w:r>
        <w:rPr>
          <w:sz w:val="20"/>
        </w:rPr>
        <w:t>uso</w:t>
      </w:r>
      <w:r>
        <w:rPr>
          <w:spacing w:val="35"/>
          <w:sz w:val="20"/>
        </w:rPr>
        <w:t xml:space="preserve"> </w:t>
      </w:r>
      <w:r>
        <w:rPr>
          <w:sz w:val="20"/>
        </w:rPr>
        <w:t>especial</w:t>
      </w:r>
      <w:r>
        <w:rPr>
          <w:spacing w:val="28"/>
          <w:sz w:val="20"/>
        </w:rPr>
        <w:t xml:space="preserve"> </w:t>
      </w:r>
      <w:r>
        <w:rPr>
          <w:spacing w:val="-10"/>
          <w:sz w:val="20"/>
        </w:rPr>
        <w:t>e</w:t>
      </w:r>
    </w:p>
    <w:p w:rsidR="007259F2" w:rsidRDefault="007259F2">
      <w:pPr>
        <w:jc w:val="both"/>
        <w:rPr>
          <w:sz w:val="20"/>
        </w:rPr>
        <w:sectPr w:rsidR="007259F2">
          <w:pgSz w:w="11910" w:h="16840"/>
          <w:pgMar w:top="1320" w:right="708" w:bottom="1160" w:left="992" w:header="0" w:footer="962" w:gutter="0"/>
          <w:cols w:space="720"/>
        </w:sectPr>
      </w:pPr>
    </w:p>
    <w:p w:rsidR="007259F2" w:rsidRDefault="00E655B4">
      <w:pPr>
        <w:spacing w:before="71"/>
        <w:ind w:left="2978" w:right="990"/>
        <w:jc w:val="both"/>
        <w:rPr>
          <w:sz w:val="20"/>
        </w:rPr>
      </w:pPr>
      <w:r>
        <w:rPr>
          <w:sz w:val="20"/>
        </w:rPr>
        <w:lastRenderedPageBreak/>
        <w:t>dominicais durante 40 anos, mantendo-se porém a imprescritibilidade dos bens de uso comum. Essa dúvida se dissipou com o Decreto n. 22.785, de 31 de maio de 1933, ora revogado pelo Decreto s/n. De 25-4- 1991, que no seu art. 2º afirmava que “os bens públicos, seja qual for sua natureza, não estão sujeitos à prescrição”, orientação essa reiterada em normas posteriores. (DINIZ, 2023, p. 170)</w:t>
      </w:r>
    </w:p>
    <w:p w:rsidR="007259F2" w:rsidRDefault="007259F2">
      <w:pPr>
        <w:pStyle w:val="Corpodetexto"/>
        <w:spacing w:before="9"/>
        <w:ind w:left="0" w:firstLine="0"/>
        <w:jc w:val="left"/>
        <w:rPr>
          <w:sz w:val="20"/>
        </w:rPr>
      </w:pPr>
    </w:p>
    <w:tbl>
      <w:tblPr>
        <w:tblStyle w:val="TableNormal"/>
        <w:tblW w:w="0" w:type="auto"/>
        <w:tblInd w:w="667" w:type="dxa"/>
        <w:tblLayout w:type="fixed"/>
        <w:tblLook w:val="01E0"/>
      </w:tblPr>
      <w:tblGrid>
        <w:gridCol w:w="1136"/>
        <w:gridCol w:w="863"/>
        <w:gridCol w:w="6607"/>
      </w:tblGrid>
      <w:tr w:rsidR="007259F2">
        <w:trPr>
          <w:trHeight w:val="685"/>
        </w:trPr>
        <w:tc>
          <w:tcPr>
            <w:tcW w:w="1136" w:type="dxa"/>
          </w:tcPr>
          <w:p w:rsidR="007259F2" w:rsidRDefault="00E655B4">
            <w:pPr>
              <w:pStyle w:val="TableParagraph"/>
              <w:ind w:left="50" w:right="82" w:firstLine="707"/>
              <w:rPr>
                <w:sz w:val="24"/>
              </w:rPr>
            </w:pPr>
            <w:r>
              <w:rPr>
                <w:spacing w:val="-6"/>
                <w:sz w:val="24"/>
              </w:rPr>
              <w:t xml:space="preserve">No </w:t>
            </w:r>
            <w:r>
              <w:rPr>
                <w:spacing w:val="-2"/>
                <w:sz w:val="24"/>
              </w:rPr>
              <w:t>explanam:</w:t>
            </w:r>
          </w:p>
        </w:tc>
        <w:tc>
          <w:tcPr>
            <w:tcW w:w="863" w:type="dxa"/>
          </w:tcPr>
          <w:p w:rsidR="007259F2" w:rsidRDefault="00E655B4">
            <w:pPr>
              <w:pStyle w:val="TableParagraph"/>
              <w:spacing w:line="266" w:lineRule="exact"/>
              <w:ind w:left="84"/>
              <w:rPr>
                <w:sz w:val="24"/>
              </w:rPr>
            </w:pPr>
            <w:r>
              <w:rPr>
                <w:spacing w:val="-2"/>
                <w:sz w:val="24"/>
              </w:rPr>
              <w:t>mesmo</w:t>
            </w:r>
          </w:p>
        </w:tc>
        <w:tc>
          <w:tcPr>
            <w:tcW w:w="6607" w:type="dxa"/>
          </w:tcPr>
          <w:p w:rsidR="007259F2" w:rsidRDefault="00E655B4">
            <w:pPr>
              <w:pStyle w:val="TableParagraph"/>
              <w:spacing w:line="266" w:lineRule="exact"/>
              <w:ind w:left="85"/>
              <w:rPr>
                <w:sz w:val="24"/>
              </w:rPr>
            </w:pPr>
            <w:r>
              <w:rPr>
                <w:sz w:val="24"/>
              </w:rPr>
              <w:t>sentido,</w:t>
            </w:r>
            <w:r>
              <w:rPr>
                <w:spacing w:val="77"/>
                <w:w w:val="150"/>
                <w:sz w:val="24"/>
              </w:rPr>
              <w:t xml:space="preserve"> </w:t>
            </w:r>
            <w:r>
              <w:rPr>
                <w:sz w:val="24"/>
              </w:rPr>
              <w:t>Gustavo</w:t>
            </w:r>
            <w:r>
              <w:rPr>
                <w:spacing w:val="79"/>
                <w:w w:val="150"/>
                <w:sz w:val="24"/>
              </w:rPr>
              <w:t xml:space="preserve"> </w:t>
            </w:r>
            <w:r>
              <w:rPr>
                <w:sz w:val="24"/>
              </w:rPr>
              <w:t>Tepedino,</w:t>
            </w:r>
            <w:r>
              <w:rPr>
                <w:spacing w:val="79"/>
                <w:w w:val="150"/>
                <w:sz w:val="24"/>
              </w:rPr>
              <w:t xml:space="preserve"> </w:t>
            </w:r>
            <w:r>
              <w:rPr>
                <w:sz w:val="24"/>
              </w:rPr>
              <w:t>Carlos</w:t>
            </w:r>
            <w:r>
              <w:rPr>
                <w:spacing w:val="79"/>
                <w:w w:val="150"/>
                <w:sz w:val="24"/>
              </w:rPr>
              <w:t xml:space="preserve"> </w:t>
            </w:r>
            <w:r>
              <w:rPr>
                <w:sz w:val="24"/>
              </w:rPr>
              <w:t>Edison</w:t>
            </w:r>
            <w:r>
              <w:rPr>
                <w:spacing w:val="79"/>
                <w:w w:val="150"/>
                <w:sz w:val="24"/>
              </w:rPr>
              <w:t xml:space="preserve"> </w:t>
            </w:r>
            <w:r>
              <w:rPr>
                <w:sz w:val="24"/>
              </w:rPr>
              <w:t>e</w:t>
            </w:r>
            <w:r>
              <w:rPr>
                <w:spacing w:val="78"/>
                <w:w w:val="150"/>
                <w:sz w:val="24"/>
              </w:rPr>
              <w:t xml:space="preserve"> </w:t>
            </w:r>
            <w:r>
              <w:rPr>
                <w:sz w:val="24"/>
              </w:rPr>
              <w:t>Pablo</w:t>
            </w:r>
            <w:r>
              <w:rPr>
                <w:spacing w:val="80"/>
                <w:w w:val="150"/>
                <w:sz w:val="24"/>
              </w:rPr>
              <w:t xml:space="preserve"> </w:t>
            </w:r>
            <w:r>
              <w:rPr>
                <w:spacing w:val="-2"/>
                <w:sz w:val="24"/>
              </w:rPr>
              <w:t>Renteria</w:t>
            </w:r>
          </w:p>
        </w:tc>
      </w:tr>
      <w:tr w:rsidR="007259F2">
        <w:trPr>
          <w:trHeight w:val="5193"/>
        </w:trPr>
        <w:tc>
          <w:tcPr>
            <w:tcW w:w="1136" w:type="dxa"/>
          </w:tcPr>
          <w:p w:rsidR="007259F2" w:rsidRDefault="007259F2">
            <w:pPr>
              <w:pStyle w:val="TableParagraph"/>
              <w:ind w:left="0"/>
              <w:rPr>
                <w:sz w:val="20"/>
              </w:rPr>
            </w:pPr>
          </w:p>
        </w:tc>
        <w:tc>
          <w:tcPr>
            <w:tcW w:w="863" w:type="dxa"/>
          </w:tcPr>
          <w:p w:rsidR="007259F2" w:rsidRDefault="007259F2">
            <w:pPr>
              <w:pStyle w:val="TableParagraph"/>
              <w:ind w:left="0"/>
              <w:rPr>
                <w:sz w:val="20"/>
              </w:rPr>
            </w:pPr>
          </w:p>
        </w:tc>
        <w:tc>
          <w:tcPr>
            <w:tcW w:w="6607" w:type="dxa"/>
          </w:tcPr>
          <w:p w:rsidR="007259F2" w:rsidRDefault="00E655B4">
            <w:pPr>
              <w:pStyle w:val="TableParagraph"/>
              <w:spacing w:before="134"/>
              <w:ind w:right="47"/>
              <w:jc w:val="both"/>
              <w:rPr>
                <w:sz w:val="20"/>
              </w:rPr>
            </w:pPr>
            <w:r>
              <w:rPr>
                <w:sz w:val="20"/>
              </w:rPr>
              <w:t>Em princípio, são usucapíveis todas as coisas materiais e todos os direitos reais sobre coisas prescritíveis. Contudo, determinados bens não podem ser usucapidos por expressa determinação legal. Quando o Código Civil de 1916 foi promulgado, discutia-se se os bens públicos poderiam ser objeto de usucapião. Sustentava-se que, como os bens públicos patrimoniais estavam sujeitos</w:t>
            </w:r>
            <w:r>
              <w:rPr>
                <w:spacing w:val="-1"/>
                <w:sz w:val="20"/>
              </w:rPr>
              <w:t xml:space="preserve"> </w:t>
            </w:r>
            <w:r>
              <w:rPr>
                <w:sz w:val="20"/>
              </w:rPr>
              <w:t>à</w:t>
            </w:r>
            <w:r>
              <w:rPr>
                <w:spacing w:val="-1"/>
                <w:sz w:val="20"/>
              </w:rPr>
              <w:t xml:space="preserve"> </w:t>
            </w:r>
            <w:r>
              <w:rPr>
                <w:sz w:val="20"/>
              </w:rPr>
              <w:t>alienação,</w:t>
            </w:r>
            <w:r>
              <w:rPr>
                <w:spacing w:val="-1"/>
                <w:sz w:val="20"/>
              </w:rPr>
              <w:t xml:space="preserve"> </w:t>
            </w:r>
            <w:r>
              <w:rPr>
                <w:sz w:val="20"/>
              </w:rPr>
              <w:t>também poderiam</w:t>
            </w:r>
            <w:r>
              <w:rPr>
                <w:spacing w:val="-4"/>
                <w:sz w:val="20"/>
              </w:rPr>
              <w:t xml:space="preserve"> </w:t>
            </w:r>
            <w:r>
              <w:rPr>
                <w:sz w:val="20"/>
              </w:rPr>
              <w:t>ser adquiridos</w:t>
            </w:r>
            <w:r>
              <w:rPr>
                <w:spacing w:val="-1"/>
                <w:sz w:val="20"/>
              </w:rPr>
              <w:t xml:space="preserve"> </w:t>
            </w:r>
            <w:r>
              <w:rPr>
                <w:sz w:val="20"/>
              </w:rPr>
              <w:t>por usucapião,</w:t>
            </w:r>
            <w:r>
              <w:rPr>
                <w:spacing w:val="-1"/>
                <w:sz w:val="20"/>
              </w:rPr>
              <w:t xml:space="preserve"> </w:t>
            </w:r>
            <w:r>
              <w:rPr>
                <w:sz w:val="20"/>
              </w:rPr>
              <w:t>definida como forma de alienação prescrita em lei. Entretanto, os Decretos n. 19.924 de 27 de abril de 1931, n. 22.785 de 31 de maio de 1933 e o Dec.-Lei n.</w:t>
            </w:r>
            <w:r>
              <w:rPr>
                <w:spacing w:val="40"/>
                <w:sz w:val="20"/>
              </w:rPr>
              <w:t xml:space="preserve"> </w:t>
            </w:r>
            <w:r>
              <w:rPr>
                <w:sz w:val="20"/>
              </w:rPr>
              <w:t>9.760 de 5 de setembro de 1946 determinaram que os bens públicos não podiam ser usucapidos. Atualmente, tal restrição encontra-se prevista na Constituição Federal. Nenhum bem imóvel público estará sujeito à</w:t>
            </w:r>
            <w:r>
              <w:rPr>
                <w:spacing w:val="80"/>
                <w:sz w:val="20"/>
              </w:rPr>
              <w:t xml:space="preserve"> </w:t>
            </w:r>
            <w:r>
              <w:rPr>
                <w:sz w:val="20"/>
              </w:rPr>
              <w:t>usucapião, conforme o § 3º do artigo 183 e o parágrafo único do artigo 191</w:t>
            </w:r>
            <w:r>
              <w:rPr>
                <w:spacing w:val="40"/>
                <w:sz w:val="20"/>
              </w:rPr>
              <w:t xml:space="preserve"> </w:t>
            </w:r>
            <w:r>
              <w:rPr>
                <w:sz w:val="20"/>
              </w:rPr>
              <w:t>da Lei Maior, que determinam: “os imóveis públicos não serão adquiridos</w:t>
            </w:r>
            <w:r>
              <w:rPr>
                <w:spacing w:val="40"/>
                <w:sz w:val="20"/>
              </w:rPr>
              <w:t xml:space="preserve"> </w:t>
            </w:r>
            <w:r>
              <w:rPr>
                <w:sz w:val="20"/>
              </w:rPr>
              <w:t>por usucapião”. O mesmo dispõe o artigo 102 do Código Civil.</w:t>
            </w:r>
          </w:p>
          <w:p w:rsidR="007259F2" w:rsidRDefault="00E655B4">
            <w:pPr>
              <w:pStyle w:val="TableParagraph"/>
              <w:spacing w:before="1"/>
              <w:ind w:right="54"/>
              <w:jc w:val="both"/>
              <w:rPr>
                <w:sz w:val="20"/>
              </w:rPr>
            </w:pPr>
            <w:r>
              <w:rPr>
                <w:sz w:val="20"/>
              </w:rPr>
              <w:t>A impossibilidade justifica-se em face do interesse social, “uma vez que os bens públicos, como patrimônio coletivo, não se devem achar expostos ao risco desta apropriação particular, tanto mais grave quanto maiores as dificuldades</w:t>
            </w:r>
            <w:r>
              <w:rPr>
                <w:spacing w:val="-1"/>
                <w:sz w:val="20"/>
              </w:rPr>
              <w:t xml:space="preserve"> </w:t>
            </w:r>
            <w:r>
              <w:rPr>
                <w:sz w:val="20"/>
              </w:rPr>
              <w:t>de fiscalização e país</w:t>
            </w:r>
            <w:r>
              <w:rPr>
                <w:spacing w:val="-1"/>
                <w:sz w:val="20"/>
              </w:rPr>
              <w:t xml:space="preserve"> </w:t>
            </w:r>
            <w:r>
              <w:rPr>
                <w:sz w:val="20"/>
              </w:rPr>
              <w:t>extremamente vasto dotado de regiões</w:t>
            </w:r>
            <w:r>
              <w:rPr>
                <w:spacing w:val="-1"/>
                <w:sz w:val="20"/>
              </w:rPr>
              <w:t xml:space="preserve"> </w:t>
            </w:r>
            <w:r>
              <w:rPr>
                <w:sz w:val="20"/>
              </w:rPr>
              <w:t>mal povoada”. Por outro lado, os bens das sociedades de economia mista e empresas</w:t>
            </w:r>
            <w:r>
              <w:rPr>
                <w:spacing w:val="13"/>
                <w:sz w:val="20"/>
              </w:rPr>
              <w:t xml:space="preserve"> </w:t>
            </w:r>
            <w:r>
              <w:rPr>
                <w:sz w:val="20"/>
              </w:rPr>
              <w:t>públicas,</w:t>
            </w:r>
            <w:r>
              <w:rPr>
                <w:spacing w:val="14"/>
                <w:sz w:val="20"/>
              </w:rPr>
              <w:t xml:space="preserve"> </w:t>
            </w:r>
            <w:r>
              <w:rPr>
                <w:sz w:val="20"/>
              </w:rPr>
              <w:t>devido</w:t>
            </w:r>
            <w:r>
              <w:rPr>
                <w:spacing w:val="15"/>
                <w:sz w:val="20"/>
              </w:rPr>
              <w:t xml:space="preserve"> </w:t>
            </w:r>
            <w:r>
              <w:rPr>
                <w:sz w:val="20"/>
              </w:rPr>
              <w:t>à</w:t>
            </w:r>
            <w:r>
              <w:rPr>
                <w:spacing w:val="14"/>
                <w:sz w:val="20"/>
              </w:rPr>
              <w:t xml:space="preserve"> </w:t>
            </w:r>
            <w:r>
              <w:rPr>
                <w:sz w:val="20"/>
              </w:rPr>
              <w:t>sua</w:t>
            </w:r>
            <w:r>
              <w:rPr>
                <w:spacing w:val="14"/>
                <w:sz w:val="20"/>
              </w:rPr>
              <w:t xml:space="preserve"> </w:t>
            </w:r>
            <w:r>
              <w:rPr>
                <w:sz w:val="20"/>
              </w:rPr>
              <w:t>natureza</w:t>
            </w:r>
            <w:r>
              <w:rPr>
                <w:spacing w:val="14"/>
                <w:sz w:val="20"/>
              </w:rPr>
              <w:t xml:space="preserve"> </w:t>
            </w:r>
            <w:r>
              <w:rPr>
                <w:sz w:val="20"/>
              </w:rPr>
              <w:t>de</w:t>
            </w:r>
            <w:r>
              <w:rPr>
                <w:spacing w:val="14"/>
                <w:sz w:val="20"/>
              </w:rPr>
              <w:t xml:space="preserve"> </w:t>
            </w:r>
            <w:r>
              <w:rPr>
                <w:sz w:val="20"/>
              </w:rPr>
              <w:t>direito</w:t>
            </w:r>
            <w:r>
              <w:rPr>
                <w:spacing w:val="15"/>
                <w:sz w:val="20"/>
              </w:rPr>
              <w:t xml:space="preserve"> </w:t>
            </w:r>
            <w:r>
              <w:rPr>
                <w:sz w:val="20"/>
              </w:rPr>
              <w:t>privado,</w:t>
            </w:r>
            <w:r>
              <w:rPr>
                <w:spacing w:val="14"/>
                <w:sz w:val="20"/>
              </w:rPr>
              <w:t xml:space="preserve"> </w:t>
            </w:r>
            <w:r>
              <w:rPr>
                <w:sz w:val="20"/>
              </w:rPr>
              <w:t>são</w:t>
            </w:r>
            <w:r>
              <w:rPr>
                <w:spacing w:val="15"/>
                <w:sz w:val="20"/>
              </w:rPr>
              <w:t xml:space="preserve"> </w:t>
            </w:r>
            <w:r>
              <w:rPr>
                <w:spacing w:val="-2"/>
                <w:sz w:val="20"/>
              </w:rPr>
              <w:t>suscetíveis</w:t>
            </w:r>
          </w:p>
          <w:p w:rsidR="007259F2" w:rsidRDefault="00E655B4">
            <w:pPr>
              <w:pStyle w:val="TableParagraph"/>
              <w:spacing w:line="228" w:lineRule="exact"/>
              <w:ind w:right="56"/>
              <w:jc w:val="both"/>
              <w:rPr>
                <w:sz w:val="20"/>
              </w:rPr>
            </w:pPr>
            <w:r>
              <w:rPr>
                <w:sz w:val="20"/>
              </w:rPr>
              <w:t>de serem adquiridos pela usucapião, desde que não afetados ao serviço público. (TEPEDINO; EDISON; RENTERIA, 2023, p. 122)</w:t>
            </w:r>
          </w:p>
        </w:tc>
      </w:tr>
    </w:tbl>
    <w:p w:rsidR="007259F2" w:rsidRDefault="007259F2">
      <w:pPr>
        <w:pStyle w:val="Corpodetexto"/>
        <w:ind w:left="0" w:firstLine="0"/>
        <w:jc w:val="left"/>
        <w:rPr>
          <w:sz w:val="20"/>
        </w:rPr>
      </w:pPr>
    </w:p>
    <w:p w:rsidR="007259F2" w:rsidRDefault="00E655B4">
      <w:pPr>
        <w:pStyle w:val="Corpodetexto"/>
        <w:ind w:left="1418" w:firstLine="0"/>
        <w:jc w:val="left"/>
      </w:pPr>
      <w:r>
        <w:t>Carlos</w:t>
      </w:r>
      <w:r>
        <w:rPr>
          <w:spacing w:val="-3"/>
        </w:rPr>
        <w:t xml:space="preserve"> </w:t>
      </w:r>
      <w:r>
        <w:t>Roberto</w:t>
      </w:r>
      <w:r>
        <w:rPr>
          <w:spacing w:val="-1"/>
        </w:rPr>
        <w:t xml:space="preserve"> </w:t>
      </w:r>
      <w:r>
        <w:t>Gonçalves,</w:t>
      </w:r>
      <w:r>
        <w:rPr>
          <w:spacing w:val="-1"/>
        </w:rPr>
        <w:t xml:space="preserve"> </w:t>
      </w:r>
      <w:r>
        <w:t>em</w:t>
      </w:r>
      <w:r>
        <w:rPr>
          <w:spacing w:val="-1"/>
        </w:rPr>
        <w:t xml:space="preserve"> </w:t>
      </w:r>
      <w:r>
        <w:t>sua</w:t>
      </w:r>
      <w:r>
        <w:rPr>
          <w:spacing w:val="-3"/>
        </w:rPr>
        <w:t xml:space="preserve"> </w:t>
      </w:r>
      <w:r>
        <w:t>obra</w:t>
      </w:r>
      <w:r>
        <w:rPr>
          <w:spacing w:val="-1"/>
        </w:rPr>
        <w:t xml:space="preserve"> </w:t>
      </w:r>
      <w:r>
        <w:t>“Direito</w:t>
      </w:r>
      <w:r>
        <w:rPr>
          <w:spacing w:val="-1"/>
        </w:rPr>
        <w:t xml:space="preserve"> </w:t>
      </w:r>
      <w:r>
        <w:t>Civil</w:t>
      </w:r>
      <w:r>
        <w:rPr>
          <w:spacing w:val="-1"/>
        </w:rPr>
        <w:t xml:space="preserve"> </w:t>
      </w:r>
      <w:r>
        <w:t>Esquematizado”,</w:t>
      </w:r>
      <w:r>
        <w:rPr>
          <w:spacing w:val="-1"/>
        </w:rPr>
        <w:t xml:space="preserve"> </w:t>
      </w:r>
      <w:r>
        <w:rPr>
          <w:spacing w:val="-2"/>
        </w:rPr>
        <w:t>leciona:</w:t>
      </w:r>
    </w:p>
    <w:p w:rsidR="007259F2" w:rsidRDefault="007259F2">
      <w:pPr>
        <w:pStyle w:val="Corpodetexto"/>
        <w:spacing w:before="1"/>
        <w:ind w:left="0" w:firstLine="0"/>
        <w:jc w:val="left"/>
      </w:pPr>
    </w:p>
    <w:p w:rsidR="007259F2" w:rsidRDefault="00E655B4">
      <w:pPr>
        <w:spacing w:before="1"/>
        <w:ind w:left="2978" w:right="991"/>
        <w:jc w:val="both"/>
        <w:rPr>
          <w:sz w:val="20"/>
        </w:rPr>
      </w:pPr>
      <w:r>
        <w:rPr>
          <w:sz w:val="20"/>
        </w:rPr>
        <w:t>Dispõe, ainda, o art. 102 do Código Civil que os “bens públicos não estão sujeitos a usucapião”. Nesse mesmo sentido já proclamava anteriormente a Súmula 340 do Supremo Tribunal Federal: “Desde a vigência do Código Civil, os bens dominicais, como os demais bens públicos, não podem ser adquiridos por usucapião”. Encontra-se hoje totalmente superada a discussão que outrora se travou no País a respeito da possibilidade de bens públicos serem adquiridos por usucapião, mormente os dominicais, visto que a Constituição de 1988 veda expressamente, nos arts. 183, § 3º, e 191, parágrafo</w:t>
      </w:r>
      <w:r>
        <w:rPr>
          <w:spacing w:val="-1"/>
          <w:sz w:val="20"/>
        </w:rPr>
        <w:t xml:space="preserve"> </w:t>
      </w:r>
      <w:r>
        <w:rPr>
          <w:sz w:val="20"/>
        </w:rPr>
        <w:t>único,</w:t>
      </w:r>
      <w:r>
        <w:rPr>
          <w:spacing w:val="-2"/>
          <w:sz w:val="20"/>
        </w:rPr>
        <w:t xml:space="preserve"> </w:t>
      </w:r>
      <w:r>
        <w:rPr>
          <w:sz w:val="20"/>
        </w:rPr>
        <w:t>tal</w:t>
      </w:r>
      <w:r>
        <w:rPr>
          <w:spacing w:val="-2"/>
          <w:sz w:val="20"/>
        </w:rPr>
        <w:t xml:space="preserve"> </w:t>
      </w:r>
      <w:r>
        <w:rPr>
          <w:sz w:val="20"/>
        </w:rPr>
        <w:t>possibilidade,</w:t>
      </w:r>
      <w:r>
        <w:rPr>
          <w:spacing w:val="-1"/>
          <w:sz w:val="20"/>
        </w:rPr>
        <w:t xml:space="preserve"> </w:t>
      </w:r>
      <w:r>
        <w:rPr>
          <w:sz w:val="20"/>
        </w:rPr>
        <w:t>tanto</w:t>
      </w:r>
      <w:r>
        <w:rPr>
          <w:spacing w:val="-1"/>
          <w:sz w:val="20"/>
        </w:rPr>
        <w:t xml:space="preserve"> </w:t>
      </w:r>
      <w:r>
        <w:rPr>
          <w:sz w:val="20"/>
        </w:rPr>
        <w:t>no</w:t>
      </w:r>
      <w:r>
        <w:rPr>
          <w:spacing w:val="-1"/>
          <w:sz w:val="20"/>
        </w:rPr>
        <w:t xml:space="preserve"> </w:t>
      </w:r>
      <w:r>
        <w:rPr>
          <w:sz w:val="20"/>
        </w:rPr>
        <w:t>que</w:t>
      </w:r>
      <w:r>
        <w:rPr>
          <w:spacing w:val="-2"/>
          <w:sz w:val="20"/>
        </w:rPr>
        <w:t xml:space="preserve"> </w:t>
      </w:r>
      <w:r>
        <w:rPr>
          <w:sz w:val="20"/>
        </w:rPr>
        <w:t>concerne</w:t>
      </w:r>
      <w:r>
        <w:rPr>
          <w:spacing w:val="-2"/>
          <w:sz w:val="20"/>
        </w:rPr>
        <w:t xml:space="preserve"> </w:t>
      </w:r>
      <w:r>
        <w:rPr>
          <w:sz w:val="20"/>
        </w:rPr>
        <w:t>aos</w:t>
      </w:r>
      <w:r>
        <w:rPr>
          <w:spacing w:val="-2"/>
          <w:sz w:val="20"/>
        </w:rPr>
        <w:t xml:space="preserve"> </w:t>
      </w:r>
      <w:r>
        <w:rPr>
          <w:sz w:val="20"/>
        </w:rPr>
        <w:t>imóveis urbanos como aos rurais. (GONÇALVES, 2011, p. 243)</w:t>
      </w:r>
    </w:p>
    <w:p w:rsidR="007259F2" w:rsidRDefault="00E655B4">
      <w:pPr>
        <w:pStyle w:val="Corpodetexto"/>
        <w:spacing w:before="229"/>
        <w:jc w:val="left"/>
      </w:pPr>
      <w:r>
        <w:t>Nas</w:t>
      </w:r>
      <w:r>
        <w:rPr>
          <w:spacing w:val="80"/>
          <w:w w:val="150"/>
        </w:rPr>
        <w:t xml:space="preserve"> </w:t>
      </w:r>
      <w:r>
        <w:t>lições</w:t>
      </w:r>
      <w:r>
        <w:rPr>
          <w:spacing w:val="80"/>
          <w:w w:val="150"/>
        </w:rPr>
        <w:t xml:space="preserve"> </w:t>
      </w:r>
      <w:r>
        <w:t>de</w:t>
      </w:r>
      <w:r>
        <w:rPr>
          <w:spacing w:val="80"/>
          <w:w w:val="150"/>
        </w:rPr>
        <w:t xml:space="preserve"> </w:t>
      </w:r>
      <w:r>
        <w:t>Maria</w:t>
      </w:r>
      <w:r>
        <w:rPr>
          <w:spacing w:val="80"/>
          <w:w w:val="150"/>
        </w:rPr>
        <w:t xml:space="preserve"> </w:t>
      </w:r>
      <w:r>
        <w:t>Sylvia</w:t>
      </w:r>
      <w:r>
        <w:rPr>
          <w:spacing w:val="80"/>
          <w:w w:val="150"/>
        </w:rPr>
        <w:t xml:space="preserve"> </w:t>
      </w:r>
      <w:r>
        <w:t>Zanella</w:t>
      </w:r>
      <w:r>
        <w:rPr>
          <w:spacing w:val="80"/>
          <w:w w:val="150"/>
        </w:rPr>
        <w:t xml:space="preserve"> </w:t>
      </w:r>
      <w:r>
        <w:t>Di</w:t>
      </w:r>
      <w:r>
        <w:rPr>
          <w:spacing w:val="80"/>
          <w:w w:val="150"/>
        </w:rPr>
        <w:t xml:space="preserve"> </w:t>
      </w:r>
      <w:r>
        <w:t>Pietro,</w:t>
      </w:r>
      <w:r>
        <w:rPr>
          <w:spacing w:val="80"/>
          <w:w w:val="150"/>
        </w:rPr>
        <w:t xml:space="preserve"> </w:t>
      </w:r>
      <w:r>
        <w:t>encontra-se</w:t>
      </w:r>
      <w:r>
        <w:rPr>
          <w:spacing w:val="80"/>
          <w:w w:val="150"/>
        </w:rPr>
        <w:t xml:space="preserve"> </w:t>
      </w:r>
      <w:r>
        <w:t>o</w:t>
      </w:r>
      <w:r>
        <w:rPr>
          <w:spacing w:val="80"/>
          <w:w w:val="150"/>
        </w:rPr>
        <w:t xml:space="preserve"> </w:t>
      </w:r>
      <w:r>
        <w:t xml:space="preserve">seguinte </w:t>
      </w:r>
      <w:r>
        <w:rPr>
          <w:spacing w:val="-2"/>
        </w:rPr>
        <w:t>esclarecimento:</w:t>
      </w:r>
    </w:p>
    <w:p w:rsidR="007259F2" w:rsidRDefault="007259F2">
      <w:pPr>
        <w:pStyle w:val="Corpodetexto"/>
        <w:spacing w:before="1"/>
        <w:ind w:left="0" w:firstLine="0"/>
        <w:jc w:val="left"/>
      </w:pPr>
    </w:p>
    <w:p w:rsidR="007259F2" w:rsidRDefault="00E655B4">
      <w:pPr>
        <w:ind w:left="2978" w:right="988"/>
        <w:jc w:val="both"/>
        <w:rPr>
          <w:sz w:val="20"/>
        </w:rPr>
      </w:pPr>
      <w:r>
        <w:rPr>
          <w:sz w:val="20"/>
        </w:rPr>
        <w:t xml:space="preserve">Com relação ao </w:t>
      </w:r>
      <w:r>
        <w:rPr>
          <w:b/>
          <w:sz w:val="20"/>
        </w:rPr>
        <w:t>usucapião</w:t>
      </w:r>
      <w:r>
        <w:rPr>
          <w:sz w:val="20"/>
        </w:rPr>
        <w:t>, depois de larga divergência doutrinária e jurisprudencial,</w:t>
      </w:r>
      <w:r>
        <w:rPr>
          <w:spacing w:val="-2"/>
          <w:sz w:val="20"/>
        </w:rPr>
        <w:t xml:space="preserve"> </w:t>
      </w:r>
      <w:r>
        <w:rPr>
          <w:sz w:val="20"/>
        </w:rPr>
        <w:t>o Decreto</w:t>
      </w:r>
      <w:r>
        <w:rPr>
          <w:spacing w:val="-2"/>
          <w:sz w:val="20"/>
        </w:rPr>
        <w:t xml:space="preserve"> </w:t>
      </w:r>
      <w:r>
        <w:rPr>
          <w:sz w:val="20"/>
        </w:rPr>
        <w:t>n</w:t>
      </w:r>
      <w:r>
        <w:rPr>
          <w:spacing w:val="-2"/>
          <w:sz w:val="20"/>
        </w:rPr>
        <w:t xml:space="preserve"> </w:t>
      </w:r>
      <w:r>
        <w:rPr>
          <w:sz w:val="20"/>
        </w:rPr>
        <w:t>o 22.785,</w:t>
      </w:r>
      <w:r>
        <w:rPr>
          <w:spacing w:val="-3"/>
          <w:sz w:val="20"/>
        </w:rPr>
        <w:t xml:space="preserve"> </w:t>
      </w:r>
      <w:r>
        <w:rPr>
          <w:sz w:val="20"/>
        </w:rPr>
        <w:t>de</w:t>
      </w:r>
      <w:r>
        <w:rPr>
          <w:spacing w:val="-3"/>
          <w:sz w:val="20"/>
        </w:rPr>
        <w:t xml:space="preserve"> </w:t>
      </w:r>
      <w:r>
        <w:rPr>
          <w:sz w:val="20"/>
        </w:rPr>
        <w:t>31-5-33,</w:t>
      </w:r>
      <w:r>
        <w:rPr>
          <w:spacing w:val="-3"/>
          <w:sz w:val="20"/>
        </w:rPr>
        <w:t xml:space="preserve"> </w:t>
      </w:r>
      <w:r>
        <w:rPr>
          <w:sz w:val="20"/>
        </w:rPr>
        <w:t>veio</w:t>
      </w:r>
      <w:r>
        <w:rPr>
          <w:spacing w:val="-2"/>
          <w:sz w:val="20"/>
        </w:rPr>
        <w:t xml:space="preserve"> </w:t>
      </w:r>
      <w:r>
        <w:rPr>
          <w:sz w:val="20"/>
        </w:rPr>
        <w:t>expressamente</w:t>
      </w:r>
      <w:r>
        <w:rPr>
          <w:spacing w:val="-1"/>
          <w:sz w:val="20"/>
        </w:rPr>
        <w:t xml:space="preserve"> </w:t>
      </w:r>
      <w:r>
        <w:rPr>
          <w:sz w:val="20"/>
        </w:rPr>
        <w:t>proibi- lo, seguindo-se norma semelhante no Decreto-lei nº 710, de 17-9-38 e,</w:t>
      </w:r>
      <w:r>
        <w:rPr>
          <w:spacing w:val="40"/>
          <w:sz w:val="20"/>
        </w:rPr>
        <w:t xml:space="preserve"> </w:t>
      </w:r>
      <w:r>
        <w:rPr>
          <w:sz w:val="20"/>
        </w:rPr>
        <w:t>depois, no Decreto-lei nº 9.760, de 5-9-46 (este último concernente apenas</w:t>
      </w:r>
      <w:r>
        <w:rPr>
          <w:spacing w:val="40"/>
          <w:sz w:val="20"/>
        </w:rPr>
        <w:t xml:space="preserve"> </w:t>
      </w:r>
      <w:r>
        <w:rPr>
          <w:sz w:val="20"/>
        </w:rPr>
        <w:t>aos bens imóveis da União). O STF, pela Súmula nº 340, consagrou o entendimento de que “desde a vigência do Código Civil, os bens dominicais, como os</w:t>
      </w:r>
      <w:r>
        <w:rPr>
          <w:spacing w:val="-1"/>
          <w:sz w:val="20"/>
        </w:rPr>
        <w:t xml:space="preserve"> </w:t>
      </w:r>
      <w:r>
        <w:rPr>
          <w:sz w:val="20"/>
        </w:rPr>
        <w:t>demais bens públicos, não podem</w:t>
      </w:r>
      <w:r>
        <w:rPr>
          <w:spacing w:val="-1"/>
          <w:sz w:val="20"/>
        </w:rPr>
        <w:t xml:space="preserve"> </w:t>
      </w:r>
      <w:r>
        <w:rPr>
          <w:sz w:val="20"/>
        </w:rPr>
        <w:t>ser adquiridos</w:t>
      </w:r>
      <w:r>
        <w:rPr>
          <w:spacing w:val="-1"/>
          <w:sz w:val="20"/>
        </w:rPr>
        <w:t xml:space="preserve"> </w:t>
      </w:r>
      <w:r>
        <w:rPr>
          <w:sz w:val="20"/>
        </w:rPr>
        <w:t xml:space="preserve">por usucapião”. No entanto, tem havido exceções, como a prevista nas Constituições de 1934, 1937 e 1946, que previam o chamado </w:t>
      </w:r>
      <w:r>
        <w:rPr>
          <w:b/>
          <w:sz w:val="20"/>
        </w:rPr>
        <w:t xml:space="preserve">usucapião </w:t>
      </w:r>
      <w:r>
        <w:rPr>
          <w:b/>
          <w:i/>
          <w:sz w:val="20"/>
        </w:rPr>
        <w:t>pro labore</w:t>
      </w:r>
      <w:r>
        <w:rPr>
          <w:b/>
          <w:sz w:val="20"/>
        </w:rPr>
        <w:t xml:space="preserve">, </w:t>
      </w:r>
      <w:r>
        <w:rPr>
          <w:sz w:val="20"/>
        </w:rPr>
        <w:t>cujo objetivo</w:t>
      </w:r>
      <w:r>
        <w:rPr>
          <w:spacing w:val="40"/>
          <w:sz w:val="20"/>
        </w:rPr>
        <w:t xml:space="preserve"> </w:t>
      </w:r>
      <w:r>
        <w:rPr>
          <w:sz w:val="20"/>
        </w:rPr>
        <w:t>era</w:t>
      </w:r>
      <w:r>
        <w:rPr>
          <w:spacing w:val="26"/>
          <w:sz w:val="20"/>
        </w:rPr>
        <w:t xml:space="preserve"> </w:t>
      </w:r>
      <w:r>
        <w:rPr>
          <w:sz w:val="20"/>
        </w:rPr>
        <w:t>assegurar</w:t>
      </w:r>
      <w:r>
        <w:rPr>
          <w:spacing w:val="27"/>
          <w:sz w:val="20"/>
        </w:rPr>
        <w:t xml:space="preserve"> </w:t>
      </w:r>
      <w:r>
        <w:rPr>
          <w:sz w:val="20"/>
        </w:rPr>
        <w:t>o</w:t>
      </w:r>
      <w:r>
        <w:rPr>
          <w:spacing w:val="30"/>
          <w:sz w:val="20"/>
        </w:rPr>
        <w:t xml:space="preserve"> </w:t>
      </w:r>
      <w:r>
        <w:rPr>
          <w:sz w:val="20"/>
        </w:rPr>
        <w:t>direito</w:t>
      </w:r>
      <w:r>
        <w:rPr>
          <w:spacing w:val="25"/>
          <w:sz w:val="20"/>
        </w:rPr>
        <w:t xml:space="preserve"> </w:t>
      </w:r>
      <w:r>
        <w:rPr>
          <w:sz w:val="20"/>
        </w:rPr>
        <w:t>de</w:t>
      </w:r>
      <w:r>
        <w:rPr>
          <w:spacing w:val="27"/>
          <w:sz w:val="20"/>
        </w:rPr>
        <w:t xml:space="preserve"> </w:t>
      </w:r>
      <w:r>
        <w:rPr>
          <w:sz w:val="20"/>
        </w:rPr>
        <w:t>propriedade</w:t>
      </w:r>
      <w:r>
        <w:rPr>
          <w:spacing w:val="24"/>
          <w:sz w:val="20"/>
        </w:rPr>
        <w:t xml:space="preserve"> </w:t>
      </w:r>
      <w:r>
        <w:rPr>
          <w:sz w:val="20"/>
        </w:rPr>
        <w:t>àquele</w:t>
      </w:r>
      <w:r>
        <w:rPr>
          <w:spacing w:val="26"/>
          <w:sz w:val="20"/>
        </w:rPr>
        <w:t xml:space="preserve"> </w:t>
      </w:r>
      <w:r>
        <w:rPr>
          <w:sz w:val="20"/>
        </w:rPr>
        <w:t>que</w:t>
      </w:r>
      <w:r>
        <w:rPr>
          <w:spacing w:val="27"/>
          <w:sz w:val="20"/>
        </w:rPr>
        <w:t xml:space="preserve"> </w:t>
      </w:r>
      <w:r>
        <w:rPr>
          <w:sz w:val="20"/>
        </w:rPr>
        <w:t>cultivasse</w:t>
      </w:r>
      <w:r>
        <w:rPr>
          <w:spacing w:val="26"/>
          <w:sz w:val="20"/>
        </w:rPr>
        <w:t xml:space="preserve"> </w:t>
      </w:r>
      <w:r>
        <w:rPr>
          <w:sz w:val="20"/>
        </w:rPr>
        <w:t>a</w:t>
      </w:r>
      <w:r>
        <w:rPr>
          <w:spacing w:val="27"/>
          <w:sz w:val="20"/>
        </w:rPr>
        <w:t xml:space="preserve"> </w:t>
      </w:r>
      <w:r>
        <w:rPr>
          <w:sz w:val="20"/>
        </w:rPr>
        <w:t>terra</w:t>
      </w:r>
      <w:r>
        <w:rPr>
          <w:spacing w:val="26"/>
          <w:sz w:val="20"/>
        </w:rPr>
        <w:t xml:space="preserve"> </w:t>
      </w:r>
      <w:r>
        <w:rPr>
          <w:sz w:val="20"/>
        </w:rPr>
        <w:t>com</w:t>
      </w:r>
      <w:r>
        <w:rPr>
          <w:spacing w:val="23"/>
          <w:sz w:val="20"/>
        </w:rPr>
        <w:t xml:space="preserve"> </w:t>
      </w:r>
      <w:r>
        <w:rPr>
          <w:spacing w:val="-10"/>
          <w:sz w:val="20"/>
        </w:rPr>
        <w:t>o</w:t>
      </w:r>
    </w:p>
    <w:p w:rsidR="007259F2" w:rsidRDefault="007259F2">
      <w:pPr>
        <w:jc w:val="both"/>
        <w:rPr>
          <w:sz w:val="20"/>
        </w:rPr>
        <w:sectPr w:rsidR="007259F2">
          <w:pgSz w:w="11910" w:h="16840"/>
          <w:pgMar w:top="1320" w:right="708" w:bottom="1160" w:left="992" w:header="0" w:footer="962" w:gutter="0"/>
          <w:cols w:space="720"/>
        </w:sectPr>
      </w:pPr>
    </w:p>
    <w:p w:rsidR="007259F2" w:rsidRDefault="00E655B4">
      <w:pPr>
        <w:spacing w:before="71"/>
        <w:ind w:left="2978" w:right="990"/>
        <w:jc w:val="both"/>
        <w:rPr>
          <w:sz w:val="20"/>
        </w:rPr>
      </w:pPr>
      <w:r>
        <w:rPr>
          <w:sz w:val="20"/>
        </w:rPr>
        <w:lastRenderedPageBreak/>
        <w:t>próprio trabalho e o de sua família; a Constituição de 1967 não mais contemplou</w:t>
      </w:r>
      <w:r>
        <w:rPr>
          <w:spacing w:val="-3"/>
          <w:sz w:val="20"/>
        </w:rPr>
        <w:t xml:space="preserve"> </w:t>
      </w:r>
      <w:r>
        <w:rPr>
          <w:sz w:val="20"/>
        </w:rPr>
        <w:t>essa</w:t>
      </w:r>
      <w:r>
        <w:rPr>
          <w:spacing w:val="-2"/>
          <w:sz w:val="20"/>
        </w:rPr>
        <w:t xml:space="preserve"> </w:t>
      </w:r>
      <w:r>
        <w:rPr>
          <w:sz w:val="20"/>
        </w:rPr>
        <w:t>modalidade</w:t>
      </w:r>
      <w:r>
        <w:rPr>
          <w:spacing w:val="-4"/>
          <w:sz w:val="20"/>
        </w:rPr>
        <w:t xml:space="preserve"> </w:t>
      </w:r>
      <w:r>
        <w:rPr>
          <w:sz w:val="20"/>
        </w:rPr>
        <w:t>de</w:t>
      </w:r>
      <w:r>
        <w:rPr>
          <w:spacing w:val="-4"/>
          <w:sz w:val="20"/>
        </w:rPr>
        <w:t xml:space="preserve"> </w:t>
      </w:r>
      <w:r>
        <w:rPr>
          <w:sz w:val="20"/>
        </w:rPr>
        <w:t>usucapião,</w:t>
      </w:r>
      <w:r>
        <w:rPr>
          <w:spacing w:val="-4"/>
          <w:sz w:val="20"/>
        </w:rPr>
        <w:t xml:space="preserve"> </w:t>
      </w:r>
      <w:r>
        <w:rPr>
          <w:sz w:val="20"/>
        </w:rPr>
        <w:t>porém</w:t>
      </w:r>
      <w:r>
        <w:rPr>
          <w:spacing w:val="-6"/>
          <w:sz w:val="20"/>
        </w:rPr>
        <w:t xml:space="preserve"> </w:t>
      </w:r>
      <w:r>
        <w:rPr>
          <w:sz w:val="20"/>
        </w:rPr>
        <w:t>valorizava</w:t>
      </w:r>
      <w:r>
        <w:rPr>
          <w:spacing w:val="-4"/>
          <w:sz w:val="20"/>
        </w:rPr>
        <w:t xml:space="preserve"> </w:t>
      </w:r>
      <w:r>
        <w:rPr>
          <w:sz w:val="20"/>
        </w:rPr>
        <w:t>ainda</w:t>
      </w:r>
      <w:r>
        <w:rPr>
          <w:spacing w:val="-4"/>
          <w:sz w:val="20"/>
        </w:rPr>
        <w:t xml:space="preserve"> </w:t>
      </w:r>
      <w:r>
        <w:rPr>
          <w:sz w:val="20"/>
        </w:rPr>
        <w:t>o</w:t>
      </w:r>
      <w:r>
        <w:rPr>
          <w:spacing w:val="-3"/>
          <w:sz w:val="20"/>
        </w:rPr>
        <w:t xml:space="preserve"> </w:t>
      </w:r>
      <w:r>
        <w:rPr>
          <w:sz w:val="20"/>
        </w:rPr>
        <w:t>trabalho produtivo do homem do campo, permitindo que lei federal estabelecesse as condições</w:t>
      </w:r>
      <w:r>
        <w:rPr>
          <w:spacing w:val="-4"/>
          <w:sz w:val="20"/>
        </w:rPr>
        <w:t xml:space="preserve"> </w:t>
      </w:r>
      <w:r>
        <w:rPr>
          <w:sz w:val="20"/>
        </w:rPr>
        <w:t>de</w:t>
      </w:r>
      <w:r>
        <w:rPr>
          <w:spacing w:val="-2"/>
          <w:sz w:val="20"/>
        </w:rPr>
        <w:t xml:space="preserve"> </w:t>
      </w:r>
      <w:r>
        <w:rPr>
          <w:b/>
          <w:sz w:val="20"/>
        </w:rPr>
        <w:t>legitimação</w:t>
      </w:r>
      <w:r>
        <w:rPr>
          <w:b/>
          <w:spacing w:val="-2"/>
          <w:sz w:val="20"/>
        </w:rPr>
        <w:t xml:space="preserve"> </w:t>
      </w:r>
      <w:r>
        <w:rPr>
          <w:b/>
          <w:sz w:val="20"/>
        </w:rPr>
        <w:t>de</w:t>
      </w:r>
      <w:r>
        <w:rPr>
          <w:b/>
          <w:spacing w:val="-1"/>
          <w:sz w:val="20"/>
        </w:rPr>
        <w:t xml:space="preserve"> </w:t>
      </w:r>
      <w:r>
        <w:rPr>
          <w:b/>
          <w:sz w:val="20"/>
        </w:rPr>
        <w:t>posse</w:t>
      </w:r>
      <w:r>
        <w:rPr>
          <w:b/>
          <w:spacing w:val="-3"/>
          <w:sz w:val="20"/>
        </w:rPr>
        <w:t xml:space="preserve"> </w:t>
      </w:r>
      <w:r>
        <w:rPr>
          <w:b/>
          <w:sz w:val="20"/>
        </w:rPr>
        <w:t>e</w:t>
      </w:r>
      <w:r>
        <w:rPr>
          <w:b/>
          <w:spacing w:val="-1"/>
          <w:sz w:val="20"/>
        </w:rPr>
        <w:t xml:space="preserve"> </w:t>
      </w:r>
      <w:r>
        <w:rPr>
          <w:b/>
          <w:sz w:val="20"/>
        </w:rPr>
        <w:t>de</w:t>
      </w:r>
      <w:r>
        <w:rPr>
          <w:b/>
          <w:spacing w:val="-1"/>
          <w:sz w:val="20"/>
        </w:rPr>
        <w:t xml:space="preserve"> </w:t>
      </w:r>
      <w:r>
        <w:rPr>
          <w:b/>
          <w:sz w:val="20"/>
        </w:rPr>
        <w:t>preferência</w:t>
      </w:r>
      <w:r>
        <w:rPr>
          <w:b/>
          <w:spacing w:val="-2"/>
          <w:sz w:val="20"/>
        </w:rPr>
        <w:t xml:space="preserve"> </w:t>
      </w:r>
      <w:r>
        <w:rPr>
          <w:b/>
          <w:sz w:val="20"/>
        </w:rPr>
        <w:t>para aquisição</w:t>
      </w:r>
      <w:r>
        <w:rPr>
          <w:sz w:val="20"/>
        </w:rPr>
        <w:t>,</w:t>
      </w:r>
      <w:r>
        <w:rPr>
          <w:spacing w:val="-3"/>
          <w:sz w:val="20"/>
        </w:rPr>
        <w:t xml:space="preserve"> </w:t>
      </w:r>
      <w:r>
        <w:rPr>
          <w:sz w:val="20"/>
        </w:rPr>
        <w:t>até</w:t>
      </w:r>
      <w:r>
        <w:rPr>
          <w:spacing w:val="-3"/>
          <w:sz w:val="20"/>
        </w:rPr>
        <w:t xml:space="preserve"> </w:t>
      </w:r>
      <w:r>
        <w:rPr>
          <w:sz w:val="20"/>
        </w:rPr>
        <w:t>100 ha, de terras públicas por aqueles que as tornassem produtivas com o seu trabalho e o de sua família (art. 164 da redação original, e art. 171, após a Emenda Constitucional nº 1, de 1969). As condições para essa legitimação estão contidas nos artigos 29 a 31 da Lei nº 6.383, de 7-12-76. A legitimação difere do usucapião porque, neste, a posse dá direito à aquisição, pura e simples, do imóvel pelo simples decurso do tempo; naquela, a posse dá</w:t>
      </w:r>
      <w:r>
        <w:rPr>
          <w:spacing w:val="40"/>
          <w:sz w:val="20"/>
        </w:rPr>
        <w:t xml:space="preserve"> </w:t>
      </w:r>
      <w:r>
        <w:rPr>
          <w:sz w:val="20"/>
        </w:rPr>
        <w:t xml:space="preserve">direito de </w:t>
      </w:r>
      <w:r>
        <w:rPr>
          <w:b/>
          <w:sz w:val="20"/>
        </w:rPr>
        <w:t xml:space="preserve">preferência para aquisição </w:t>
      </w:r>
      <w:r>
        <w:rPr>
          <w:sz w:val="20"/>
        </w:rPr>
        <w:t>do imóvel pelo valor histórico, desde que comprovados os requisitos legais. (DI PIETRO, 2018, p. 927/928)</w:t>
      </w:r>
    </w:p>
    <w:p w:rsidR="007259F2" w:rsidRDefault="00E655B4">
      <w:pPr>
        <w:pStyle w:val="Corpodetexto"/>
        <w:spacing w:before="229"/>
        <w:ind w:left="1418" w:firstLine="0"/>
        <w:jc w:val="left"/>
      </w:pPr>
      <w:r>
        <w:t>Na</w:t>
      </w:r>
      <w:r>
        <w:rPr>
          <w:spacing w:val="-3"/>
        </w:rPr>
        <w:t xml:space="preserve"> </w:t>
      </w:r>
      <w:r>
        <w:t>mesma</w:t>
      </w:r>
      <w:r>
        <w:rPr>
          <w:spacing w:val="-1"/>
        </w:rPr>
        <w:t xml:space="preserve"> </w:t>
      </w:r>
      <w:r>
        <w:t>linha</w:t>
      </w:r>
      <w:r>
        <w:rPr>
          <w:spacing w:val="-2"/>
        </w:rPr>
        <w:t xml:space="preserve"> </w:t>
      </w:r>
      <w:r>
        <w:t>de</w:t>
      </w:r>
      <w:r>
        <w:rPr>
          <w:spacing w:val="1"/>
        </w:rPr>
        <w:t xml:space="preserve"> </w:t>
      </w:r>
      <w:r>
        <w:t>raciocínio, Celso</w:t>
      </w:r>
      <w:r>
        <w:rPr>
          <w:spacing w:val="-1"/>
        </w:rPr>
        <w:t xml:space="preserve"> </w:t>
      </w:r>
      <w:r>
        <w:t>Antônio Bandeira</w:t>
      </w:r>
      <w:r>
        <w:rPr>
          <w:spacing w:val="-2"/>
        </w:rPr>
        <w:t xml:space="preserve"> </w:t>
      </w:r>
      <w:r>
        <w:t>de</w:t>
      </w:r>
      <w:r>
        <w:rPr>
          <w:spacing w:val="-2"/>
        </w:rPr>
        <w:t xml:space="preserve"> </w:t>
      </w:r>
      <w:r>
        <w:t xml:space="preserve">Mello sustenta </w:t>
      </w:r>
      <w:r>
        <w:rPr>
          <w:spacing w:val="-4"/>
        </w:rPr>
        <w:t>que:</w:t>
      </w:r>
    </w:p>
    <w:p w:rsidR="007259F2" w:rsidRDefault="007259F2">
      <w:pPr>
        <w:pStyle w:val="Corpodetexto"/>
        <w:spacing w:before="2"/>
        <w:ind w:left="0" w:firstLine="0"/>
        <w:jc w:val="left"/>
      </w:pPr>
    </w:p>
    <w:p w:rsidR="007259F2" w:rsidRDefault="00E655B4">
      <w:pPr>
        <w:ind w:left="2978" w:right="991"/>
        <w:jc w:val="both"/>
        <w:rPr>
          <w:sz w:val="20"/>
        </w:rPr>
      </w:pPr>
      <w:r>
        <w:rPr>
          <w:sz w:val="20"/>
        </w:rPr>
        <w:t>Os</w:t>
      </w:r>
      <w:r>
        <w:rPr>
          <w:spacing w:val="-4"/>
          <w:sz w:val="20"/>
        </w:rPr>
        <w:t xml:space="preserve"> </w:t>
      </w:r>
      <w:r>
        <w:rPr>
          <w:i/>
          <w:sz w:val="20"/>
        </w:rPr>
        <w:t>bens</w:t>
      </w:r>
      <w:r>
        <w:rPr>
          <w:i/>
          <w:spacing w:val="-4"/>
          <w:sz w:val="20"/>
        </w:rPr>
        <w:t xml:space="preserve"> </w:t>
      </w:r>
      <w:r>
        <w:rPr>
          <w:i/>
          <w:sz w:val="20"/>
        </w:rPr>
        <w:t>das</w:t>
      </w:r>
      <w:r>
        <w:rPr>
          <w:i/>
          <w:spacing w:val="-4"/>
          <w:sz w:val="20"/>
        </w:rPr>
        <w:t xml:space="preserve"> </w:t>
      </w:r>
      <w:r>
        <w:rPr>
          <w:i/>
          <w:sz w:val="20"/>
        </w:rPr>
        <w:t>autarquias</w:t>
      </w:r>
      <w:r>
        <w:rPr>
          <w:i/>
          <w:spacing w:val="-2"/>
          <w:sz w:val="20"/>
        </w:rPr>
        <w:t xml:space="preserve"> </w:t>
      </w:r>
      <w:r>
        <w:rPr>
          <w:sz w:val="20"/>
        </w:rPr>
        <w:t>são</w:t>
      </w:r>
      <w:r>
        <w:rPr>
          <w:spacing w:val="-2"/>
          <w:sz w:val="20"/>
        </w:rPr>
        <w:t xml:space="preserve"> </w:t>
      </w:r>
      <w:r>
        <w:rPr>
          <w:sz w:val="20"/>
        </w:rPr>
        <w:t>considerados</w:t>
      </w:r>
      <w:r>
        <w:rPr>
          <w:spacing w:val="-4"/>
          <w:sz w:val="20"/>
        </w:rPr>
        <w:t xml:space="preserve"> </w:t>
      </w:r>
      <w:r>
        <w:rPr>
          <w:sz w:val="20"/>
        </w:rPr>
        <w:t>bens</w:t>
      </w:r>
      <w:r>
        <w:rPr>
          <w:spacing w:val="-2"/>
          <w:sz w:val="20"/>
        </w:rPr>
        <w:t xml:space="preserve"> </w:t>
      </w:r>
      <w:r>
        <w:rPr>
          <w:sz w:val="20"/>
        </w:rPr>
        <w:t>públicos</w:t>
      </w:r>
      <w:r>
        <w:rPr>
          <w:spacing w:val="-4"/>
          <w:sz w:val="20"/>
        </w:rPr>
        <w:t xml:space="preserve"> </w:t>
      </w:r>
      <w:r>
        <w:rPr>
          <w:sz w:val="20"/>
        </w:rPr>
        <w:t>e,</w:t>
      </w:r>
      <w:r>
        <w:rPr>
          <w:spacing w:val="-2"/>
          <w:sz w:val="20"/>
        </w:rPr>
        <w:t xml:space="preserve"> </w:t>
      </w:r>
      <w:r>
        <w:rPr>
          <w:sz w:val="20"/>
        </w:rPr>
        <w:t>por</w:t>
      </w:r>
      <w:r>
        <w:rPr>
          <w:spacing w:val="-3"/>
          <w:sz w:val="20"/>
        </w:rPr>
        <w:t xml:space="preserve"> </w:t>
      </w:r>
      <w:r>
        <w:rPr>
          <w:sz w:val="20"/>
        </w:rPr>
        <w:t>isto,</w:t>
      </w:r>
      <w:r>
        <w:rPr>
          <w:spacing w:val="-3"/>
          <w:sz w:val="20"/>
        </w:rPr>
        <w:t xml:space="preserve"> </w:t>
      </w:r>
      <w:r>
        <w:rPr>
          <w:sz w:val="20"/>
        </w:rPr>
        <w:t>protegidos na</w:t>
      </w:r>
      <w:r>
        <w:rPr>
          <w:spacing w:val="-1"/>
          <w:sz w:val="20"/>
        </w:rPr>
        <w:t xml:space="preserve"> </w:t>
      </w:r>
      <w:r>
        <w:rPr>
          <w:sz w:val="20"/>
        </w:rPr>
        <w:t>conformidade</w:t>
      </w:r>
      <w:r>
        <w:rPr>
          <w:spacing w:val="-1"/>
          <w:sz w:val="20"/>
        </w:rPr>
        <w:t xml:space="preserve"> </w:t>
      </w:r>
      <w:r>
        <w:rPr>
          <w:sz w:val="20"/>
        </w:rPr>
        <w:t>do regime</w:t>
      </w:r>
      <w:r>
        <w:rPr>
          <w:spacing w:val="-1"/>
          <w:sz w:val="20"/>
        </w:rPr>
        <w:t xml:space="preserve"> </w:t>
      </w:r>
      <w:r>
        <w:rPr>
          <w:sz w:val="20"/>
        </w:rPr>
        <w:t>próprio que</w:t>
      </w:r>
      <w:r>
        <w:rPr>
          <w:spacing w:val="-1"/>
          <w:sz w:val="20"/>
        </w:rPr>
        <w:t xml:space="preserve"> </w:t>
      </w:r>
      <w:r>
        <w:rPr>
          <w:sz w:val="20"/>
        </w:rPr>
        <w:t>se</w:t>
      </w:r>
      <w:r>
        <w:rPr>
          <w:spacing w:val="-1"/>
          <w:sz w:val="20"/>
        </w:rPr>
        <w:t xml:space="preserve"> </w:t>
      </w:r>
      <w:r>
        <w:rPr>
          <w:sz w:val="20"/>
        </w:rPr>
        <w:t>lhes</w:t>
      </w:r>
      <w:r>
        <w:rPr>
          <w:spacing w:val="-1"/>
          <w:sz w:val="20"/>
        </w:rPr>
        <w:t xml:space="preserve"> </w:t>
      </w:r>
      <w:r>
        <w:rPr>
          <w:sz w:val="20"/>
        </w:rPr>
        <w:t>aplica, do que</w:t>
      </w:r>
      <w:r>
        <w:rPr>
          <w:spacing w:val="-1"/>
          <w:sz w:val="20"/>
        </w:rPr>
        <w:t xml:space="preserve"> </w:t>
      </w:r>
      <w:r>
        <w:rPr>
          <w:sz w:val="20"/>
        </w:rPr>
        <w:t>decorre</w:t>
      </w:r>
      <w:r>
        <w:rPr>
          <w:spacing w:val="-1"/>
          <w:sz w:val="20"/>
        </w:rPr>
        <w:t xml:space="preserve"> </w:t>
      </w:r>
      <w:r>
        <w:rPr>
          <w:sz w:val="20"/>
        </w:rPr>
        <w:t>que</w:t>
      </w:r>
      <w:r>
        <w:rPr>
          <w:spacing w:val="-1"/>
          <w:sz w:val="20"/>
        </w:rPr>
        <w:t xml:space="preserve"> </w:t>
      </w:r>
      <w:r>
        <w:rPr>
          <w:sz w:val="20"/>
        </w:rPr>
        <w:t>(a) quando forem de uso comum ou de uso especial são inalienáveis enquanto conservarem tal qualificação (Código Civil de 2002, art. 100), ao passo que</w:t>
      </w:r>
      <w:r>
        <w:rPr>
          <w:spacing w:val="40"/>
          <w:sz w:val="20"/>
        </w:rPr>
        <w:t xml:space="preserve"> </w:t>
      </w:r>
      <w:r>
        <w:rPr>
          <w:sz w:val="20"/>
        </w:rPr>
        <w:t>os dominicais podem ser alienados observadas as exigências da lei (art. 101 do mesmo Código); (b) são todos eles insuscetíveis de usucapião (art. 200 do Decreto-lei 9.760, de 5.9.1946, e especificamente em relação a imóveis: arts. 183, § 3º, e 191, parágrafo único, da Constituição Federal, e 102 do Código Civil de 2002); e (c) não podem ser objeto de direitos reais de garantia, pois não são excutíveis, conforme a seguir se esclarece. (...)</w:t>
      </w:r>
    </w:p>
    <w:p w:rsidR="007259F2" w:rsidRDefault="00E655B4">
      <w:pPr>
        <w:ind w:left="2978" w:right="988"/>
        <w:jc w:val="both"/>
        <w:rPr>
          <w:sz w:val="20"/>
        </w:rPr>
      </w:pPr>
      <w:r>
        <w:rPr>
          <w:sz w:val="20"/>
        </w:rPr>
        <w:t xml:space="preserve">c) </w:t>
      </w:r>
      <w:r>
        <w:rPr>
          <w:b/>
          <w:sz w:val="20"/>
        </w:rPr>
        <w:t>Imprescritibilidade - quer-se</w:t>
      </w:r>
      <w:r>
        <w:rPr>
          <w:b/>
          <w:spacing w:val="-1"/>
          <w:sz w:val="20"/>
        </w:rPr>
        <w:t xml:space="preserve"> </w:t>
      </w:r>
      <w:r>
        <w:rPr>
          <w:b/>
          <w:sz w:val="20"/>
        </w:rPr>
        <w:t>com</w:t>
      </w:r>
      <w:r>
        <w:rPr>
          <w:b/>
          <w:spacing w:val="-6"/>
          <w:sz w:val="20"/>
        </w:rPr>
        <w:t xml:space="preserve"> </w:t>
      </w:r>
      <w:r>
        <w:rPr>
          <w:b/>
          <w:sz w:val="20"/>
        </w:rPr>
        <w:t>esta expressão significar</w:t>
      </w:r>
      <w:r>
        <w:rPr>
          <w:b/>
          <w:spacing w:val="-1"/>
          <w:sz w:val="20"/>
        </w:rPr>
        <w:t xml:space="preserve"> </w:t>
      </w:r>
      <w:r>
        <w:rPr>
          <w:b/>
          <w:sz w:val="20"/>
        </w:rPr>
        <w:t>que</w:t>
      </w:r>
      <w:r>
        <w:rPr>
          <w:b/>
          <w:spacing w:val="-1"/>
          <w:sz w:val="20"/>
        </w:rPr>
        <w:t xml:space="preserve"> </w:t>
      </w:r>
      <w:r>
        <w:rPr>
          <w:b/>
          <w:sz w:val="20"/>
        </w:rPr>
        <w:t>os</w:t>
      </w:r>
      <w:r>
        <w:rPr>
          <w:b/>
          <w:spacing w:val="-1"/>
          <w:sz w:val="20"/>
        </w:rPr>
        <w:t xml:space="preserve"> </w:t>
      </w:r>
      <w:r>
        <w:rPr>
          <w:b/>
          <w:sz w:val="20"/>
        </w:rPr>
        <w:t xml:space="preserve">bens públicos - sejam de que categoria forem - não são suscetíveis de usucapião. </w:t>
      </w:r>
      <w:r>
        <w:rPr>
          <w:sz w:val="20"/>
        </w:rPr>
        <w:t>É o que estabelecem os arts. 102 do Código Civil e 200 do Decreto-lei 9.760, de 5.9.1946, que regula o domínio público federal. Antes dele, já a tradição normativa, desde o Brasil-Colônia, repelia a usucapião de terras públicas, embora alguns insistissem em questionar este tópico. A primeira lei de terras do Brasil independente, Lei 601, de 18 .9 .1850, e seu Regulamento, n. 1.318/1854, impunham tal intelecção e os Decretos federais 19.924,</w:t>
      </w:r>
      <w:r>
        <w:rPr>
          <w:spacing w:val="29"/>
          <w:sz w:val="20"/>
        </w:rPr>
        <w:t xml:space="preserve"> </w:t>
      </w:r>
      <w:r>
        <w:rPr>
          <w:sz w:val="20"/>
        </w:rPr>
        <w:t>de</w:t>
      </w:r>
      <w:r>
        <w:rPr>
          <w:spacing w:val="27"/>
          <w:sz w:val="20"/>
        </w:rPr>
        <w:t xml:space="preserve"> </w:t>
      </w:r>
      <w:r>
        <w:rPr>
          <w:sz w:val="20"/>
        </w:rPr>
        <w:t>27.4.1931,</w:t>
      </w:r>
      <w:r>
        <w:rPr>
          <w:spacing w:val="28"/>
          <w:sz w:val="20"/>
        </w:rPr>
        <w:t xml:space="preserve"> </w:t>
      </w:r>
      <w:r>
        <w:rPr>
          <w:sz w:val="20"/>
        </w:rPr>
        <w:t>22.785,</w:t>
      </w:r>
      <w:r>
        <w:rPr>
          <w:spacing w:val="30"/>
          <w:sz w:val="20"/>
        </w:rPr>
        <w:t xml:space="preserve"> </w:t>
      </w:r>
      <w:r>
        <w:rPr>
          <w:sz w:val="20"/>
        </w:rPr>
        <w:t>de</w:t>
      </w:r>
      <w:r>
        <w:rPr>
          <w:spacing w:val="30"/>
          <w:sz w:val="20"/>
        </w:rPr>
        <w:t xml:space="preserve"> </w:t>
      </w:r>
      <w:r>
        <w:rPr>
          <w:sz w:val="20"/>
        </w:rPr>
        <w:t>31.5.1933,</w:t>
      </w:r>
      <w:r>
        <w:rPr>
          <w:spacing w:val="30"/>
          <w:sz w:val="20"/>
        </w:rPr>
        <w:t xml:space="preserve"> </w:t>
      </w:r>
      <w:r>
        <w:rPr>
          <w:sz w:val="20"/>
        </w:rPr>
        <w:t>e</w:t>
      </w:r>
      <w:r>
        <w:rPr>
          <w:spacing w:val="29"/>
          <w:sz w:val="20"/>
        </w:rPr>
        <w:t xml:space="preserve"> </w:t>
      </w:r>
      <w:r>
        <w:rPr>
          <w:sz w:val="20"/>
        </w:rPr>
        <w:t>710,</w:t>
      </w:r>
      <w:r>
        <w:rPr>
          <w:spacing w:val="30"/>
          <w:sz w:val="20"/>
        </w:rPr>
        <w:t xml:space="preserve"> </w:t>
      </w:r>
      <w:r>
        <w:rPr>
          <w:sz w:val="20"/>
        </w:rPr>
        <w:t>de</w:t>
      </w:r>
      <w:r>
        <w:rPr>
          <w:spacing w:val="27"/>
          <w:sz w:val="20"/>
        </w:rPr>
        <w:t xml:space="preserve"> </w:t>
      </w:r>
      <w:r>
        <w:rPr>
          <w:sz w:val="20"/>
        </w:rPr>
        <w:t>17.9.1938,</w:t>
      </w:r>
      <w:r>
        <w:rPr>
          <w:spacing w:val="30"/>
          <w:sz w:val="20"/>
        </w:rPr>
        <w:t xml:space="preserve"> </w:t>
      </w:r>
      <w:r>
        <w:rPr>
          <w:spacing w:val="-2"/>
          <w:sz w:val="20"/>
        </w:rPr>
        <w:t>também</w:t>
      </w:r>
    </w:p>
    <w:p w:rsidR="007259F2" w:rsidRDefault="00E655B4">
      <w:pPr>
        <w:spacing w:before="1"/>
        <w:ind w:left="2978" w:right="999"/>
        <w:jc w:val="both"/>
        <w:rPr>
          <w:sz w:val="20"/>
        </w:rPr>
      </w:pPr>
      <w:r>
        <w:rPr>
          <w:sz w:val="20"/>
        </w:rPr>
        <w:t>espancavam qualquer dúvida sobre isto. Hoje, a matéria está plenamente pacificada (Súmula 340 do STF).</w:t>
      </w:r>
    </w:p>
    <w:p w:rsidR="007259F2" w:rsidRDefault="00E655B4">
      <w:pPr>
        <w:ind w:left="2978" w:right="988"/>
        <w:jc w:val="both"/>
        <w:rPr>
          <w:sz w:val="20"/>
        </w:rPr>
      </w:pPr>
      <w:r>
        <w:rPr>
          <w:sz w:val="20"/>
        </w:rPr>
        <w:t xml:space="preserve">Ademais, a Constituição vigente é expressa, em seus arts. 183, § 3º, e 191, parágrafo único, ao dispor que "os imóveis públicos não serão adquiridos por usucapião". Assim, as normas sobre a usucapião </w:t>
      </w:r>
      <w:r>
        <w:rPr>
          <w:i/>
          <w:sz w:val="20"/>
        </w:rPr>
        <w:t>pro labore</w:t>
      </w:r>
      <w:r>
        <w:rPr>
          <w:sz w:val="20"/>
        </w:rPr>
        <w:t xml:space="preserve">, previstas no art. 191, caput, não podem ser invocadas </w:t>
      </w:r>
      <w:r>
        <w:rPr>
          <w:i/>
          <w:sz w:val="20"/>
        </w:rPr>
        <w:t>em relação a bens públicos</w:t>
      </w:r>
      <w:r>
        <w:rPr>
          <w:sz w:val="20"/>
        </w:rPr>
        <w:t>. No</w:t>
      </w:r>
      <w:r>
        <w:rPr>
          <w:spacing w:val="40"/>
          <w:sz w:val="20"/>
        </w:rPr>
        <w:t xml:space="preserve"> </w:t>
      </w:r>
      <w:r>
        <w:rPr>
          <w:sz w:val="20"/>
        </w:rPr>
        <w:t>passado, podiam. É que os textos constitucionais anteriores que previam tal modalidade de usucapião não mencionavam a imprescritibilidade dos</w:t>
      </w:r>
      <w:r>
        <w:rPr>
          <w:spacing w:val="80"/>
          <w:sz w:val="20"/>
        </w:rPr>
        <w:t xml:space="preserve"> </w:t>
      </w:r>
      <w:r>
        <w:rPr>
          <w:sz w:val="20"/>
        </w:rPr>
        <w:t>imóveis públicos. Era cabível, pois, entender que prevaleciam sobre a proteção que lhes era dada pela legislação ordinária. Hoje isto não é mais possível, ante a clareza do precitado parágrafo único do art. 191. (MELLO, 2015, pp. 171; 940-941, grifo da autora)</w:t>
      </w:r>
    </w:p>
    <w:p w:rsidR="007259F2" w:rsidRDefault="007259F2">
      <w:pPr>
        <w:pStyle w:val="Corpodetexto"/>
        <w:ind w:left="0" w:firstLine="0"/>
        <w:jc w:val="left"/>
        <w:rPr>
          <w:sz w:val="20"/>
        </w:rPr>
      </w:pPr>
    </w:p>
    <w:p w:rsidR="007259F2" w:rsidRDefault="00E655B4">
      <w:pPr>
        <w:pStyle w:val="Corpodetexto"/>
        <w:ind w:right="990"/>
      </w:pPr>
      <w:r>
        <w:t xml:space="preserve">Nathalia Masson (2016, p. 259) também explica: “Frise-se, por último, que imóveis públicos (sejam urbanos ou rurais) </w:t>
      </w:r>
      <w:r>
        <w:rPr>
          <w:b/>
        </w:rPr>
        <w:t xml:space="preserve">não </w:t>
      </w:r>
      <w:r>
        <w:t>serão adquiridos por usucapião, conforme</w:t>
      </w:r>
      <w:r>
        <w:rPr>
          <w:spacing w:val="-1"/>
        </w:rPr>
        <w:t xml:space="preserve"> </w:t>
      </w:r>
      <w:r>
        <w:t>previsão dos artigos 183, § 3° e</w:t>
      </w:r>
      <w:r>
        <w:rPr>
          <w:spacing w:val="-1"/>
        </w:rPr>
        <w:t xml:space="preserve"> </w:t>
      </w:r>
      <w:r>
        <w:t>191, parágrafo único, ambos da CF/88”</w:t>
      </w:r>
      <w:r>
        <w:rPr>
          <w:spacing w:val="-1"/>
        </w:rPr>
        <w:t xml:space="preserve"> </w:t>
      </w:r>
      <w:r>
        <w:t>(grifo da autora).</w:t>
      </w:r>
    </w:p>
    <w:p w:rsidR="007259F2" w:rsidRDefault="00E655B4">
      <w:pPr>
        <w:pStyle w:val="Corpodetexto"/>
        <w:ind w:right="996"/>
      </w:pPr>
      <w:r>
        <w:t>Celso Ribeiro Bastos (1999, p. 352) afirma brevemente: “Por último, os bens públicos não são usucapíveis”.</w:t>
      </w:r>
    </w:p>
    <w:p w:rsidR="007259F2" w:rsidRDefault="00E655B4">
      <w:pPr>
        <w:pStyle w:val="Corpodetexto"/>
        <w:ind w:right="988"/>
      </w:pPr>
      <w:r>
        <w:t>José Afonso da Silva, ao dissertar sobre a usucapião pró-moradia, também discorre (2014, p. 831): “Veda-se, por outro lado, o usucapião, para tal fim, de imóveis públicos”. Quando aborda sobre a usucapião “prolabore”, explana da mesma maneira (2013, p. 836): “Anota-se, contudo, que não se verifica usucapião de imóveis públicos”.</w:t>
      </w:r>
    </w:p>
    <w:p w:rsidR="007259F2" w:rsidRDefault="007259F2">
      <w:pPr>
        <w:pStyle w:val="Corpodetexto"/>
        <w:sectPr w:rsidR="007259F2">
          <w:pgSz w:w="11910" w:h="16840"/>
          <w:pgMar w:top="1320" w:right="708" w:bottom="1160" w:left="992" w:header="0" w:footer="962" w:gutter="0"/>
          <w:cols w:space="720"/>
        </w:sectPr>
      </w:pPr>
    </w:p>
    <w:p w:rsidR="007259F2" w:rsidRDefault="00E655B4">
      <w:pPr>
        <w:pStyle w:val="Corpodetexto"/>
        <w:spacing w:before="69"/>
        <w:ind w:right="996"/>
      </w:pPr>
      <w:r>
        <w:lastRenderedPageBreak/>
        <w:t>Em sua obra “Direito Municipal Brasileiro” Hely Lopes Meirelles brilhantemente discorre:</w:t>
      </w:r>
    </w:p>
    <w:p w:rsidR="007259F2" w:rsidRDefault="00E655B4">
      <w:pPr>
        <w:spacing w:before="232"/>
        <w:ind w:left="2978" w:right="990"/>
        <w:jc w:val="both"/>
        <w:rPr>
          <w:sz w:val="20"/>
        </w:rPr>
      </w:pPr>
      <w:r>
        <w:rPr>
          <w:sz w:val="20"/>
        </w:rPr>
        <w:t xml:space="preserve">A </w:t>
      </w:r>
      <w:r>
        <w:rPr>
          <w:i/>
          <w:sz w:val="20"/>
        </w:rPr>
        <w:t xml:space="preserve">imprescritibilidade dos bens públicos </w:t>
      </w:r>
      <w:r>
        <w:rPr>
          <w:sz w:val="20"/>
        </w:rPr>
        <w:t>decorre como consequência lógica</w:t>
      </w:r>
      <w:r>
        <w:rPr>
          <w:spacing w:val="40"/>
          <w:sz w:val="20"/>
        </w:rPr>
        <w:t xml:space="preserve"> </w:t>
      </w:r>
      <w:r>
        <w:rPr>
          <w:sz w:val="20"/>
        </w:rPr>
        <w:t>da</w:t>
      </w:r>
      <w:r>
        <w:rPr>
          <w:spacing w:val="-2"/>
          <w:sz w:val="20"/>
        </w:rPr>
        <w:t xml:space="preserve"> </w:t>
      </w:r>
      <w:r>
        <w:rPr>
          <w:sz w:val="20"/>
        </w:rPr>
        <w:t>sua</w:t>
      </w:r>
      <w:r>
        <w:rPr>
          <w:spacing w:val="-1"/>
          <w:sz w:val="20"/>
        </w:rPr>
        <w:t xml:space="preserve"> </w:t>
      </w:r>
      <w:r>
        <w:rPr>
          <w:i/>
          <w:sz w:val="20"/>
        </w:rPr>
        <w:t>inalienabilidade</w:t>
      </w:r>
      <w:r>
        <w:rPr>
          <w:i/>
          <w:spacing w:val="-3"/>
          <w:sz w:val="20"/>
        </w:rPr>
        <w:t xml:space="preserve"> </w:t>
      </w:r>
      <w:r>
        <w:rPr>
          <w:sz w:val="20"/>
        </w:rPr>
        <w:t>originária.</w:t>
      </w:r>
      <w:r>
        <w:rPr>
          <w:spacing w:val="-1"/>
          <w:sz w:val="20"/>
        </w:rPr>
        <w:t xml:space="preserve"> </w:t>
      </w:r>
      <w:r>
        <w:rPr>
          <w:sz w:val="20"/>
        </w:rPr>
        <w:t>E</w:t>
      </w:r>
      <w:r>
        <w:rPr>
          <w:spacing w:val="-2"/>
          <w:sz w:val="20"/>
        </w:rPr>
        <w:t xml:space="preserve"> </w:t>
      </w:r>
      <w:r>
        <w:rPr>
          <w:sz w:val="20"/>
        </w:rPr>
        <w:t>é</w:t>
      </w:r>
      <w:r>
        <w:rPr>
          <w:spacing w:val="-3"/>
          <w:sz w:val="20"/>
        </w:rPr>
        <w:t xml:space="preserve"> </w:t>
      </w:r>
      <w:r>
        <w:rPr>
          <w:sz w:val="20"/>
        </w:rPr>
        <w:t>fácil</w:t>
      </w:r>
      <w:r>
        <w:rPr>
          <w:spacing w:val="-2"/>
          <w:sz w:val="20"/>
        </w:rPr>
        <w:t xml:space="preserve"> </w:t>
      </w:r>
      <w:r>
        <w:rPr>
          <w:sz w:val="20"/>
        </w:rPr>
        <w:t>demonstrar</w:t>
      </w:r>
      <w:r>
        <w:rPr>
          <w:spacing w:val="-1"/>
          <w:sz w:val="20"/>
        </w:rPr>
        <w:t xml:space="preserve"> </w:t>
      </w:r>
      <w:r>
        <w:rPr>
          <w:sz w:val="20"/>
        </w:rPr>
        <w:t>a</w:t>
      </w:r>
      <w:r>
        <w:rPr>
          <w:spacing w:val="-2"/>
          <w:sz w:val="20"/>
        </w:rPr>
        <w:t xml:space="preserve"> </w:t>
      </w:r>
      <w:r>
        <w:rPr>
          <w:sz w:val="20"/>
        </w:rPr>
        <w:t>assertiva:</w:t>
      </w:r>
      <w:r>
        <w:rPr>
          <w:spacing w:val="-2"/>
          <w:sz w:val="20"/>
        </w:rPr>
        <w:t xml:space="preserve"> </w:t>
      </w:r>
      <w:r>
        <w:rPr>
          <w:sz w:val="20"/>
        </w:rPr>
        <w:t>se</w:t>
      </w:r>
      <w:r>
        <w:rPr>
          <w:spacing w:val="-2"/>
          <w:sz w:val="20"/>
        </w:rPr>
        <w:t xml:space="preserve"> </w:t>
      </w:r>
      <w:r>
        <w:rPr>
          <w:sz w:val="20"/>
        </w:rPr>
        <w:t>os</w:t>
      </w:r>
      <w:r>
        <w:rPr>
          <w:spacing w:val="-2"/>
          <w:sz w:val="20"/>
        </w:rPr>
        <w:t xml:space="preserve"> </w:t>
      </w:r>
      <w:r>
        <w:rPr>
          <w:sz w:val="20"/>
        </w:rPr>
        <w:t>bens públicos são originariamente inalienáveis, segue-se que ninguém os pode adquirir enquanto guardarem</w:t>
      </w:r>
      <w:r>
        <w:rPr>
          <w:spacing w:val="-1"/>
          <w:sz w:val="20"/>
        </w:rPr>
        <w:t xml:space="preserve"> </w:t>
      </w:r>
      <w:r>
        <w:rPr>
          <w:sz w:val="20"/>
        </w:rPr>
        <w:t>essa condição. Daí não ser possível a invocação de usucapião sobre eles. É princípio jurídico de aceitação universal que não</w:t>
      </w:r>
      <w:r>
        <w:rPr>
          <w:spacing w:val="40"/>
          <w:sz w:val="20"/>
        </w:rPr>
        <w:t xml:space="preserve"> </w:t>
      </w:r>
      <w:r>
        <w:rPr>
          <w:sz w:val="20"/>
        </w:rPr>
        <w:t>há direito contra Direito, ou, por outras palavras, não se adquire direito em desconformidade com a lei vigente.</w:t>
      </w:r>
    </w:p>
    <w:p w:rsidR="007259F2" w:rsidRDefault="00E655B4">
      <w:pPr>
        <w:spacing w:before="1"/>
        <w:ind w:left="2978" w:right="991"/>
        <w:jc w:val="both"/>
        <w:rPr>
          <w:sz w:val="20"/>
        </w:rPr>
      </w:pPr>
      <w:r>
        <w:rPr>
          <w:sz w:val="20"/>
        </w:rPr>
        <w:t>A despeito disso, por longo tempo lavrou fundo a divergência</w:t>
      </w:r>
      <w:r>
        <w:rPr>
          <w:spacing w:val="40"/>
          <w:sz w:val="20"/>
        </w:rPr>
        <w:t xml:space="preserve"> </w:t>
      </w:r>
      <w:r>
        <w:rPr>
          <w:sz w:val="20"/>
        </w:rPr>
        <w:t>jurisprudencial, até que os Decretos federais 19.924, 22.785 e 710, respectivamente de 27.4.1931, 31.5.1933 e 17.9.1938, cortaram a dúvida, reiterando a imprescritibilidade dos bens públicos, “seja qual for a sua natureza” (art. 2º do Decreto 22.785). Hoje é remansosa a jurisprudência nesse sentido, quer do STF (Súmula 340), quer das Cortes estaduais. (MEIRELLES, 2017, p. 338)</w:t>
      </w:r>
    </w:p>
    <w:p w:rsidR="007259F2" w:rsidRDefault="007259F2">
      <w:pPr>
        <w:pStyle w:val="Corpodetexto"/>
        <w:spacing w:before="180"/>
        <w:ind w:left="0" w:firstLine="0"/>
        <w:jc w:val="left"/>
        <w:rPr>
          <w:sz w:val="20"/>
        </w:rPr>
      </w:pPr>
    </w:p>
    <w:p w:rsidR="007259F2" w:rsidRDefault="00E655B4">
      <w:pPr>
        <w:pStyle w:val="Corpodetexto"/>
        <w:ind w:right="990"/>
      </w:pPr>
      <w:r>
        <w:t>Com isso, é possível compreender que a tese da impossibilidade de adquirir imóveis públicos, sejam urbanos ou rurais, fundamenta-se no interesse social, intrínseco à essência dos bens públicos, e na clareza da vedação constitucional acerca do assunto.</w:t>
      </w:r>
    </w:p>
    <w:p w:rsidR="007259F2" w:rsidRDefault="00E655B4">
      <w:pPr>
        <w:pStyle w:val="Corpodetexto"/>
        <w:ind w:right="991"/>
      </w:pPr>
      <w:r>
        <w:t xml:space="preserve">Por outro lado, há um posicionamento minoritário que defende a tese da possibilidade de se usucapir bens públicos. Entre eles está Júlio Cesar Sanchez, Cristiano Chaves de Farias e Nelson Rosenvald, cujas defesas discorrem nos termos </w:t>
      </w:r>
      <w:r>
        <w:rPr>
          <w:spacing w:val="-2"/>
        </w:rPr>
        <w:t>abaixo:</w:t>
      </w:r>
    </w:p>
    <w:p w:rsidR="007259F2" w:rsidRDefault="00E655B4">
      <w:pPr>
        <w:pStyle w:val="Corpodetexto"/>
        <w:ind w:left="1418" w:firstLine="0"/>
        <w:jc w:val="left"/>
      </w:pPr>
      <w:r>
        <w:t>Nas</w:t>
      </w:r>
      <w:r>
        <w:rPr>
          <w:spacing w:val="-1"/>
        </w:rPr>
        <w:t xml:space="preserve"> </w:t>
      </w:r>
      <w:r>
        <w:t>palavras</w:t>
      </w:r>
      <w:r>
        <w:rPr>
          <w:spacing w:val="-1"/>
        </w:rPr>
        <w:t xml:space="preserve"> </w:t>
      </w:r>
      <w:r>
        <w:t>de</w:t>
      </w:r>
      <w:r>
        <w:rPr>
          <w:spacing w:val="-1"/>
        </w:rPr>
        <w:t xml:space="preserve"> </w:t>
      </w:r>
      <w:r>
        <w:t>Júlio</w:t>
      </w:r>
      <w:r>
        <w:rPr>
          <w:spacing w:val="-1"/>
        </w:rPr>
        <w:t xml:space="preserve"> </w:t>
      </w:r>
      <w:r>
        <w:t xml:space="preserve">Cesar </w:t>
      </w:r>
      <w:r>
        <w:rPr>
          <w:spacing w:val="-2"/>
        </w:rPr>
        <w:t>Sanchez:</w:t>
      </w:r>
    </w:p>
    <w:p w:rsidR="007259F2" w:rsidRDefault="007259F2">
      <w:pPr>
        <w:pStyle w:val="Corpodetexto"/>
        <w:spacing w:before="2"/>
        <w:ind w:left="0" w:firstLine="0"/>
        <w:jc w:val="left"/>
      </w:pPr>
    </w:p>
    <w:p w:rsidR="007259F2" w:rsidRDefault="00E655B4">
      <w:pPr>
        <w:ind w:left="2978" w:right="995"/>
        <w:jc w:val="both"/>
        <w:rPr>
          <w:sz w:val="20"/>
        </w:rPr>
      </w:pPr>
      <w:r>
        <w:rPr>
          <w:sz w:val="20"/>
        </w:rPr>
        <w:t>É possível usucapir bem público, pois existem várias classificações de bens públicos. Dessa forma, o bem público sem destinação social abandonado deverá ser objeto de possível usucapião em prol do possuidor que cumpra e prove todos os pressupostos do instituto e sua modalidade.</w:t>
      </w:r>
    </w:p>
    <w:p w:rsidR="007259F2" w:rsidRDefault="00E655B4">
      <w:pPr>
        <w:spacing w:line="229" w:lineRule="exact"/>
        <w:ind w:left="2978"/>
        <w:rPr>
          <w:sz w:val="20"/>
        </w:rPr>
      </w:pPr>
      <w:r>
        <w:rPr>
          <w:spacing w:val="-2"/>
          <w:sz w:val="20"/>
        </w:rPr>
        <w:t>(...)</w:t>
      </w:r>
    </w:p>
    <w:p w:rsidR="007259F2" w:rsidRDefault="00E655B4">
      <w:pPr>
        <w:spacing w:before="1"/>
        <w:ind w:left="2978" w:right="992"/>
        <w:jc w:val="both"/>
        <w:rPr>
          <w:sz w:val="20"/>
        </w:rPr>
      </w:pPr>
      <w:r>
        <w:rPr>
          <w:sz w:val="20"/>
        </w:rPr>
        <w:t>É de se defender a possibilidade de usucapião sobre os bens públicos, como instrumento hábil a fazê-los cumprir sua função social, uma vez que a intenção do legislador constituinte, ao tratar da imprescritibilidade, referiu-se aos bens materialmente públicos.</w:t>
      </w:r>
    </w:p>
    <w:p w:rsidR="007259F2" w:rsidRDefault="00E655B4">
      <w:pPr>
        <w:spacing w:line="229" w:lineRule="exact"/>
        <w:ind w:left="2978"/>
        <w:rPr>
          <w:sz w:val="20"/>
        </w:rPr>
      </w:pPr>
      <w:r>
        <w:rPr>
          <w:spacing w:val="-2"/>
          <w:sz w:val="20"/>
        </w:rPr>
        <w:t>(...)</w:t>
      </w:r>
    </w:p>
    <w:p w:rsidR="007259F2" w:rsidRDefault="00E655B4">
      <w:pPr>
        <w:ind w:left="2978" w:right="993"/>
        <w:jc w:val="both"/>
        <w:rPr>
          <w:sz w:val="20"/>
        </w:rPr>
      </w:pPr>
      <w:r>
        <w:rPr>
          <w:sz w:val="20"/>
        </w:rPr>
        <w:t>Com isso, queremos dizer que, se formalmente público, seria possível a usucapião, satisfeitos os demais requisitos; sendo materialmente público, haveria óbice à usucapião. Essa seria a forma mais adequada de tratar a matéria, se lembrarmos que, enquanto o bem privado “tem” função social, o bem público “é” função social.(SANCHEZ, 2022, p. 57, 65 e 67)</w:t>
      </w:r>
    </w:p>
    <w:p w:rsidR="007259F2" w:rsidRDefault="007259F2">
      <w:pPr>
        <w:pStyle w:val="Corpodetexto"/>
        <w:spacing w:before="136"/>
        <w:ind w:left="0" w:firstLine="0"/>
        <w:jc w:val="left"/>
      </w:pPr>
    </w:p>
    <w:p w:rsidR="007259F2" w:rsidRDefault="00E655B4">
      <w:pPr>
        <w:pStyle w:val="Corpodetexto"/>
        <w:spacing w:line="275" w:lineRule="exact"/>
        <w:ind w:left="1418" w:firstLine="0"/>
        <w:jc w:val="left"/>
      </w:pPr>
      <w:r>
        <w:t>Da</w:t>
      </w:r>
      <w:r>
        <w:rPr>
          <w:spacing w:val="20"/>
        </w:rPr>
        <w:t xml:space="preserve"> </w:t>
      </w:r>
      <w:r>
        <w:t>mesma</w:t>
      </w:r>
      <w:r>
        <w:rPr>
          <w:spacing w:val="24"/>
        </w:rPr>
        <w:t xml:space="preserve"> </w:t>
      </w:r>
      <w:r>
        <w:t>maneira,</w:t>
      </w:r>
      <w:r>
        <w:rPr>
          <w:spacing w:val="25"/>
        </w:rPr>
        <w:t xml:space="preserve"> </w:t>
      </w:r>
      <w:r>
        <w:t>Cristiano</w:t>
      </w:r>
      <w:r>
        <w:rPr>
          <w:spacing w:val="25"/>
        </w:rPr>
        <w:t xml:space="preserve"> </w:t>
      </w:r>
      <w:r>
        <w:t>Chaves</w:t>
      </w:r>
      <w:r>
        <w:rPr>
          <w:spacing w:val="25"/>
        </w:rPr>
        <w:t xml:space="preserve"> </w:t>
      </w:r>
      <w:r>
        <w:t>de</w:t>
      </w:r>
      <w:r>
        <w:rPr>
          <w:spacing w:val="23"/>
        </w:rPr>
        <w:t xml:space="preserve"> </w:t>
      </w:r>
      <w:r>
        <w:t>Farias</w:t>
      </w:r>
      <w:r>
        <w:rPr>
          <w:spacing w:val="25"/>
        </w:rPr>
        <w:t xml:space="preserve"> </w:t>
      </w:r>
      <w:r>
        <w:t>e</w:t>
      </w:r>
      <w:r>
        <w:rPr>
          <w:spacing w:val="25"/>
        </w:rPr>
        <w:t xml:space="preserve"> </w:t>
      </w:r>
      <w:r>
        <w:t>Nelson</w:t>
      </w:r>
      <w:r>
        <w:rPr>
          <w:spacing w:val="25"/>
        </w:rPr>
        <w:t xml:space="preserve"> </w:t>
      </w:r>
      <w:r>
        <w:t>Rosenvald</w:t>
      </w:r>
      <w:r>
        <w:rPr>
          <w:spacing w:val="25"/>
        </w:rPr>
        <w:t xml:space="preserve"> </w:t>
      </w:r>
      <w:r>
        <w:rPr>
          <w:spacing w:val="-2"/>
        </w:rPr>
        <w:t>defendem</w:t>
      </w:r>
    </w:p>
    <w:p w:rsidR="007259F2" w:rsidRDefault="00E655B4">
      <w:pPr>
        <w:pStyle w:val="Corpodetexto"/>
        <w:spacing w:line="275" w:lineRule="exact"/>
        <w:ind w:firstLine="0"/>
        <w:jc w:val="left"/>
      </w:pPr>
      <w:r>
        <w:rPr>
          <w:spacing w:val="-4"/>
        </w:rPr>
        <w:t>que:</w:t>
      </w:r>
    </w:p>
    <w:p w:rsidR="007259F2" w:rsidRDefault="007259F2">
      <w:pPr>
        <w:pStyle w:val="Corpodetexto"/>
        <w:spacing w:before="184"/>
        <w:ind w:left="0" w:firstLine="0"/>
        <w:jc w:val="left"/>
        <w:rPr>
          <w:sz w:val="20"/>
        </w:rPr>
      </w:pPr>
    </w:p>
    <w:p w:rsidR="007259F2" w:rsidRDefault="00E655B4">
      <w:pPr>
        <w:ind w:left="2978" w:right="988"/>
        <w:jc w:val="both"/>
        <w:rPr>
          <w:sz w:val="20"/>
        </w:rPr>
      </w:pPr>
      <w:r>
        <w:rPr>
          <w:sz w:val="20"/>
        </w:rPr>
        <w:t>Não é a personalidade jurídica do titular do bem que determinará a sua natureza, mas a afetação de suas finalidades a um serviço público. Vivencia- se uma época em que 10</w:t>
      </w:r>
      <w:r>
        <w:rPr>
          <w:spacing w:val="40"/>
          <w:sz w:val="20"/>
        </w:rPr>
        <w:t xml:space="preserve"> </w:t>
      </w:r>
      <w:r>
        <w:rPr>
          <w:sz w:val="20"/>
        </w:rPr>
        <w:t>não se avalia o rótulo, mas a efetividade dos modelos jurídicos. Em outras palavras, se o bem pertencente à União, Estados,</w:t>
      </w:r>
      <w:r>
        <w:rPr>
          <w:spacing w:val="-3"/>
          <w:sz w:val="20"/>
        </w:rPr>
        <w:t xml:space="preserve"> </w:t>
      </w:r>
      <w:r>
        <w:rPr>
          <w:sz w:val="20"/>
        </w:rPr>
        <w:t>Municípios, Autarquias</w:t>
      </w:r>
      <w:r>
        <w:rPr>
          <w:spacing w:val="-3"/>
          <w:sz w:val="20"/>
        </w:rPr>
        <w:t xml:space="preserve"> </w:t>
      </w:r>
      <w:r>
        <w:rPr>
          <w:sz w:val="20"/>
        </w:rPr>
        <w:t>e</w:t>
      </w:r>
      <w:r>
        <w:rPr>
          <w:spacing w:val="-3"/>
          <w:sz w:val="20"/>
        </w:rPr>
        <w:t xml:space="preserve"> </w:t>
      </w:r>
      <w:r>
        <w:rPr>
          <w:sz w:val="20"/>
        </w:rPr>
        <w:t>Fundações</w:t>
      </w:r>
      <w:r>
        <w:rPr>
          <w:spacing w:val="-3"/>
          <w:sz w:val="20"/>
        </w:rPr>
        <w:t xml:space="preserve"> </w:t>
      </w:r>
      <w:r>
        <w:rPr>
          <w:sz w:val="20"/>
        </w:rPr>
        <w:t>de</w:t>
      </w:r>
      <w:r>
        <w:rPr>
          <w:spacing w:val="-3"/>
          <w:sz w:val="20"/>
        </w:rPr>
        <w:t xml:space="preserve"> </w:t>
      </w:r>
      <w:r>
        <w:rPr>
          <w:sz w:val="20"/>
        </w:rPr>
        <w:t>Direito</w:t>
      </w:r>
      <w:r>
        <w:rPr>
          <w:spacing w:val="-2"/>
          <w:sz w:val="20"/>
        </w:rPr>
        <w:t xml:space="preserve"> </w:t>
      </w:r>
      <w:r>
        <w:rPr>
          <w:sz w:val="20"/>
        </w:rPr>
        <w:t>Público,</w:t>
      </w:r>
      <w:r>
        <w:rPr>
          <w:spacing w:val="-3"/>
          <w:sz w:val="20"/>
        </w:rPr>
        <w:t xml:space="preserve"> </w:t>
      </w:r>
      <w:r>
        <w:rPr>
          <w:sz w:val="20"/>
        </w:rPr>
        <w:t>não</w:t>
      </w:r>
      <w:r>
        <w:rPr>
          <w:spacing w:val="-2"/>
          <w:sz w:val="20"/>
        </w:rPr>
        <w:t xml:space="preserve"> </w:t>
      </w:r>
      <w:r>
        <w:rPr>
          <w:sz w:val="20"/>
        </w:rPr>
        <w:t>guardar qualquer relação com a finalidade pública exercitada pela pessoa jurídica de direito público, haverá possibilidade de usucapião. (FARIAS;</w:t>
      </w:r>
      <w:r>
        <w:rPr>
          <w:spacing w:val="80"/>
          <w:sz w:val="20"/>
        </w:rPr>
        <w:t xml:space="preserve"> </w:t>
      </w:r>
      <w:r>
        <w:rPr>
          <w:sz w:val="20"/>
        </w:rPr>
        <w:t>ROSENVALD, 2012, p. 407)</w:t>
      </w:r>
    </w:p>
    <w:p w:rsidR="007259F2" w:rsidRDefault="007259F2">
      <w:pPr>
        <w:jc w:val="both"/>
        <w:rPr>
          <w:sz w:val="20"/>
        </w:rPr>
        <w:sectPr w:rsidR="007259F2">
          <w:pgSz w:w="11910" w:h="16840"/>
          <w:pgMar w:top="1320" w:right="708" w:bottom="1160" w:left="992" w:header="0" w:footer="962" w:gutter="0"/>
          <w:cols w:space="720"/>
        </w:sectPr>
      </w:pPr>
    </w:p>
    <w:p w:rsidR="007259F2" w:rsidRDefault="00E655B4">
      <w:pPr>
        <w:pStyle w:val="Corpodetexto"/>
        <w:spacing w:before="69"/>
        <w:ind w:right="995"/>
      </w:pPr>
      <w:r>
        <w:lastRenderedPageBreak/>
        <w:t>Nota-se, assim, que os mencionados autores sustentam a ideia de que a natureza do bem não é determinada pela personalidade jurídica de seu titular, mas sim pela destinação de suas finalidades a um serviço público, especialmente quando o bem público desempenha uma função social.</w:t>
      </w:r>
    </w:p>
    <w:p w:rsidR="007259F2" w:rsidRDefault="00E655B4">
      <w:pPr>
        <w:pStyle w:val="Corpodetexto"/>
        <w:spacing w:before="1"/>
        <w:ind w:right="991"/>
      </w:pPr>
      <w:r>
        <w:t>Contudo,</w:t>
      </w:r>
      <w:r>
        <w:rPr>
          <w:spacing w:val="-2"/>
        </w:rPr>
        <w:t xml:space="preserve"> </w:t>
      </w:r>
      <w:r>
        <w:t>é</w:t>
      </w:r>
      <w:r>
        <w:rPr>
          <w:spacing w:val="-2"/>
        </w:rPr>
        <w:t xml:space="preserve"> </w:t>
      </w:r>
      <w:r>
        <w:t>perceptível</w:t>
      </w:r>
      <w:r>
        <w:rPr>
          <w:spacing w:val="-2"/>
        </w:rPr>
        <w:t xml:space="preserve"> </w:t>
      </w:r>
      <w:r>
        <w:t>que,</w:t>
      </w:r>
      <w:r>
        <w:rPr>
          <w:spacing w:val="-2"/>
        </w:rPr>
        <w:t xml:space="preserve"> </w:t>
      </w:r>
      <w:r>
        <w:t>apesar</w:t>
      </w:r>
      <w:r>
        <w:rPr>
          <w:spacing w:val="-2"/>
        </w:rPr>
        <w:t xml:space="preserve"> </w:t>
      </w:r>
      <w:r>
        <w:t>de</w:t>
      </w:r>
      <w:r>
        <w:rPr>
          <w:spacing w:val="-2"/>
        </w:rPr>
        <w:t xml:space="preserve"> </w:t>
      </w:r>
      <w:r>
        <w:t>existir</w:t>
      </w:r>
      <w:r>
        <w:rPr>
          <w:spacing w:val="-2"/>
        </w:rPr>
        <w:t xml:space="preserve"> </w:t>
      </w:r>
      <w:r>
        <w:t>uma</w:t>
      </w:r>
      <w:r>
        <w:rPr>
          <w:spacing w:val="-3"/>
        </w:rPr>
        <w:t xml:space="preserve"> </w:t>
      </w:r>
      <w:r>
        <w:t>corrente</w:t>
      </w:r>
      <w:r>
        <w:rPr>
          <w:spacing w:val="-3"/>
        </w:rPr>
        <w:t xml:space="preserve"> </w:t>
      </w:r>
      <w:r>
        <w:t>de</w:t>
      </w:r>
      <w:r>
        <w:rPr>
          <w:spacing w:val="-2"/>
        </w:rPr>
        <w:t xml:space="preserve"> </w:t>
      </w:r>
      <w:r>
        <w:t>autores</w:t>
      </w:r>
      <w:r>
        <w:rPr>
          <w:spacing w:val="-2"/>
        </w:rPr>
        <w:t xml:space="preserve"> </w:t>
      </w:r>
      <w:r>
        <w:t>que</w:t>
      </w:r>
      <w:r>
        <w:rPr>
          <w:spacing w:val="-2"/>
        </w:rPr>
        <w:t xml:space="preserve"> </w:t>
      </w:r>
      <w:r>
        <w:t>advoga pela sujeição dos bens públicos à usucapião, mesmo que restrita aos formalmente públicos, tal posicionamento é minoritário. A corrente majoritária não aceita a possibilidade de usucapião dos bens públicos, sejam eles formais ou materiais, e fundamenta-se na necessidade de preservar a harmonia, unidade e a força normativa e vinculante da Constituição Federal.</w:t>
      </w:r>
    </w:p>
    <w:p w:rsidR="007259F2" w:rsidRDefault="00E655B4">
      <w:pPr>
        <w:pStyle w:val="PargrafodaLista"/>
        <w:numPr>
          <w:ilvl w:val="1"/>
          <w:numId w:val="10"/>
        </w:numPr>
        <w:tabs>
          <w:tab w:val="left" w:pos="1801"/>
        </w:tabs>
        <w:spacing w:before="206"/>
        <w:ind w:left="1801" w:hanging="383"/>
        <w:rPr>
          <w:b/>
        </w:rPr>
      </w:pPr>
      <w:r>
        <w:rPr>
          <w:b/>
        </w:rPr>
        <w:t>Posicionamento</w:t>
      </w:r>
      <w:r>
        <w:rPr>
          <w:b/>
          <w:spacing w:val="-4"/>
        </w:rPr>
        <w:t xml:space="preserve"> </w:t>
      </w:r>
      <w:r>
        <w:rPr>
          <w:b/>
        </w:rPr>
        <w:t>da</w:t>
      </w:r>
      <w:r>
        <w:rPr>
          <w:b/>
          <w:spacing w:val="-4"/>
        </w:rPr>
        <w:t xml:space="preserve"> </w:t>
      </w:r>
      <w:r>
        <w:rPr>
          <w:b/>
          <w:spacing w:val="-2"/>
        </w:rPr>
        <w:t>Jurisprudência</w:t>
      </w:r>
    </w:p>
    <w:p w:rsidR="007259F2" w:rsidRDefault="00E655B4">
      <w:pPr>
        <w:pStyle w:val="Corpodetexto"/>
        <w:spacing w:before="153"/>
        <w:ind w:right="993"/>
      </w:pPr>
      <w:r>
        <w:t>Considerando essas observações, é relevante destacar que a jurisprudência predominante sustenta firmemente a posição de que a usucapião de bens públicos não é admissível. Inclusive, o assunto já fora sumulado pelo Tribunais Superiores:</w:t>
      </w:r>
    </w:p>
    <w:p w:rsidR="007259F2" w:rsidRDefault="00E655B4">
      <w:pPr>
        <w:spacing w:before="122"/>
        <w:ind w:left="2978" w:right="998"/>
        <w:jc w:val="both"/>
        <w:rPr>
          <w:sz w:val="20"/>
        </w:rPr>
      </w:pPr>
      <w:r>
        <w:rPr>
          <w:b/>
          <w:sz w:val="20"/>
        </w:rPr>
        <w:t>Súmula n. 340, STF</w:t>
      </w:r>
      <w:r>
        <w:rPr>
          <w:sz w:val="20"/>
        </w:rPr>
        <w:t>: Desde a vigência do Código Civil, os bens dominicais, como os demais bens públicos, não podem ser adquiridos por usucapião.</w:t>
      </w:r>
    </w:p>
    <w:p w:rsidR="007259F2" w:rsidRDefault="00E655B4">
      <w:pPr>
        <w:ind w:left="2978" w:right="992"/>
        <w:jc w:val="both"/>
        <w:rPr>
          <w:sz w:val="20"/>
        </w:rPr>
      </w:pPr>
      <w:r>
        <w:rPr>
          <w:b/>
          <w:sz w:val="20"/>
        </w:rPr>
        <w:t>Súmula n. 619, STJ</w:t>
      </w:r>
      <w:r>
        <w:rPr>
          <w:sz w:val="20"/>
        </w:rPr>
        <w:t>: A ocupação indevida de bem público configura mera detenção, de natureza precária, insuscetível de retenção ou indenização por acessões e benfeitorias.</w:t>
      </w:r>
    </w:p>
    <w:p w:rsidR="007259F2" w:rsidRDefault="00E655B4">
      <w:pPr>
        <w:pStyle w:val="Corpodetexto"/>
        <w:spacing w:before="229"/>
        <w:ind w:right="987"/>
      </w:pPr>
      <w:r>
        <w:t>Da mesma maneira, este é o entendimento que se depreende das ementas das decisões proferidas pelo Superior Tribunal Federal e o Superior Tribunal de Justiça, como se evidencia a seguir:</w:t>
      </w:r>
    </w:p>
    <w:p w:rsidR="007259F2" w:rsidRDefault="00E655B4">
      <w:pPr>
        <w:spacing w:before="1"/>
        <w:ind w:left="2978" w:right="989"/>
        <w:jc w:val="both"/>
        <w:rPr>
          <w:sz w:val="20"/>
        </w:rPr>
      </w:pPr>
      <w:r>
        <w:rPr>
          <w:sz w:val="20"/>
        </w:rPr>
        <w:t>EMENTA: Trata-se de agravo contra decisão que negou seguimento a</w:t>
      </w:r>
      <w:r>
        <w:rPr>
          <w:spacing w:val="40"/>
          <w:sz w:val="20"/>
        </w:rPr>
        <w:t xml:space="preserve"> </w:t>
      </w:r>
      <w:r>
        <w:rPr>
          <w:sz w:val="20"/>
        </w:rPr>
        <w:t xml:space="preserve">recurso extraordinário interposto de acórdão cuja ementa segue transcrita: Constitucional. </w:t>
      </w:r>
      <w:r>
        <w:rPr>
          <w:b/>
          <w:sz w:val="20"/>
        </w:rPr>
        <w:t>Ação de usucapião. Bem pertencente à União Federal. Bem público. Usucapião impossibilidade. Art. 200, do Decreto-Lei nº 9.760/46. Arts. 183, § 3º, e 191, da CF/88. Art. 500, do CC/1916. Súmula 340</w:t>
      </w:r>
      <w:r>
        <w:rPr>
          <w:b/>
          <w:spacing w:val="-2"/>
          <w:sz w:val="20"/>
        </w:rPr>
        <w:t xml:space="preserve"> </w:t>
      </w:r>
      <w:r>
        <w:rPr>
          <w:b/>
          <w:sz w:val="20"/>
        </w:rPr>
        <w:t>do</w:t>
      </w:r>
      <w:r>
        <w:rPr>
          <w:b/>
          <w:spacing w:val="-3"/>
          <w:sz w:val="20"/>
        </w:rPr>
        <w:t xml:space="preserve"> </w:t>
      </w:r>
      <w:r>
        <w:rPr>
          <w:b/>
          <w:sz w:val="20"/>
        </w:rPr>
        <w:t>STF</w:t>
      </w:r>
      <w:r>
        <w:rPr>
          <w:sz w:val="20"/>
        </w:rPr>
        <w:t>.</w:t>
      </w:r>
      <w:r>
        <w:rPr>
          <w:spacing w:val="-3"/>
          <w:sz w:val="20"/>
        </w:rPr>
        <w:t xml:space="preserve"> </w:t>
      </w:r>
      <w:r>
        <w:rPr>
          <w:sz w:val="20"/>
        </w:rPr>
        <w:t>Apelação</w:t>
      </w:r>
      <w:r>
        <w:rPr>
          <w:spacing w:val="-2"/>
          <w:sz w:val="20"/>
        </w:rPr>
        <w:t xml:space="preserve"> </w:t>
      </w:r>
      <w:r>
        <w:rPr>
          <w:sz w:val="20"/>
        </w:rPr>
        <w:t>improvida</w:t>
      </w:r>
      <w:r>
        <w:rPr>
          <w:spacing w:val="-3"/>
          <w:sz w:val="20"/>
        </w:rPr>
        <w:t xml:space="preserve"> </w:t>
      </w:r>
      <w:r>
        <w:rPr>
          <w:sz w:val="20"/>
        </w:rPr>
        <w:t>(pág.118</w:t>
      </w:r>
      <w:r>
        <w:rPr>
          <w:spacing w:val="-2"/>
          <w:sz w:val="20"/>
        </w:rPr>
        <w:t xml:space="preserve"> </w:t>
      </w:r>
      <w:r>
        <w:rPr>
          <w:sz w:val="20"/>
        </w:rPr>
        <w:t>do</w:t>
      </w:r>
      <w:r>
        <w:rPr>
          <w:spacing w:val="-2"/>
          <w:sz w:val="20"/>
        </w:rPr>
        <w:t xml:space="preserve"> </w:t>
      </w:r>
      <w:r>
        <w:rPr>
          <w:sz w:val="20"/>
        </w:rPr>
        <w:t>volume</w:t>
      </w:r>
      <w:r>
        <w:rPr>
          <w:spacing w:val="-3"/>
          <w:sz w:val="20"/>
        </w:rPr>
        <w:t xml:space="preserve"> </w:t>
      </w:r>
      <w:r>
        <w:rPr>
          <w:sz w:val="20"/>
        </w:rPr>
        <w:t>2).</w:t>
      </w:r>
      <w:r>
        <w:rPr>
          <w:spacing w:val="-3"/>
          <w:sz w:val="20"/>
        </w:rPr>
        <w:t xml:space="preserve"> </w:t>
      </w:r>
      <w:r>
        <w:rPr>
          <w:sz w:val="20"/>
        </w:rPr>
        <w:t>No</w:t>
      </w:r>
      <w:r>
        <w:rPr>
          <w:spacing w:val="-2"/>
          <w:sz w:val="20"/>
        </w:rPr>
        <w:t xml:space="preserve"> </w:t>
      </w:r>
      <w:r>
        <w:rPr>
          <w:sz w:val="20"/>
        </w:rPr>
        <w:t>RE,</w:t>
      </w:r>
      <w:r>
        <w:rPr>
          <w:spacing w:val="-3"/>
          <w:sz w:val="20"/>
        </w:rPr>
        <w:t xml:space="preserve"> </w:t>
      </w:r>
      <w:r>
        <w:rPr>
          <w:sz w:val="20"/>
        </w:rPr>
        <w:t>fundado</w:t>
      </w:r>
      <w:r>
        <w:rPr>
          <w:spacing w:val="-2"/>
          <w:sz w:val="20"/>
        </w:rPr>
        <w:t xml:space="preserve"> </w:t>
      </w:r>
      <w:r>
        <w:rPr>
          <w:sz w:val="20"/>
        </w:rPr>
        <w:t>no art. 102, III, a, da Constituição, alegou-se violação ao art. 5º, XXXVI, da mesma Carta. A</w:t>
      </w:r>
      <w:r>
        <w:rPr>
          <w:spacing w:val="-2"/>
          <w:sz w:val="20"/>
        </w:rPr>
        <w:t xml:space="preserve"> </w:t>
      </w:r>
      <w:r>
        <w:rPr>
          <w:sz w:val="20"/>
        </w:rPr>
        <w:t>pretensão</w:t>
      </w:r>
      <w:r>
        <w:rPr>
          <w:spacing w:val="-1"/>
          <w:sz w:val="20"/>
        </w:rPr>
        <w:t xml:space="preserve"> </w:t>
      </w:r>
      <w:r>
        <w:rPr>
          <w:sz w:val="20"/>
        </w:rPr>
        <w:t>recursal não merece</w:t>
      </w:r>
      <w:r>
        <w:rPr>
          <w:spacing w:val="-2"/>
          <w:sz w:val="20"/>
        </w:rPr>
        <w:t xml:space="preserve"> </w:t>
      </w:r>
      <w:r>
        <w:rPr>
          <w:sz w:val="20"/>
        </w:rPr>
        <w:t>acolhida.</w:t>
      </w:r>
      <w:r>
        <w:rPr>
          <w:spacing w:val="-1"/>
          <w:sz w:val="20"/>
        </w:rPr>
        <w:t xml:space="preserve"> </w:t>
      </w:r>
      <w:r>
        <w:rPr>
          <w:sz w:val="20"/>
        </w:rPr>
        <w:t>O acórdão</w:t>
      </w:r>
      <w:r>
        <w:rPr>
          <w:spacing w:val="-1"/>
          <w:sz w:val="20"/>
        </w:rPr>
        <w:t xml:space="preserve"> </w:t>
      </w:r>
      <w:r>
        <w:rPr>
          <w:sz w:val="20"/>
        </w:rPr>
        <w:t>recorrido decidiu a questão com fundamento na análise do acervo fático-probatório constante nos autos. Assim, firmar entendimento diverso implicaria novo exame deste conjunto, circunstância que torna inviável o recurso nos termos da Súmula 279 do STF. No mesmo sentido, cito precedentes de ambas as Turmas desta Corte: AGRAVO REGIMENTAL NO AGRAVO DE INSTRUMENTO. CIVIL E PROCESSUAL CIVIL. USUCAPIÃO. BEM DOMINICAL. SUPOSTA AQUISIÇÃO EM DATA ANTERIOR AO REGISTRO DO BEM PELA UNIÃO. REEXAME DE FATOS E PROVAS. SÚMULA</w:t>
      </w:r>
      <w:r>
        <w:rPr>
          <w:spacing w:val="53"/>
          <w:sz w:val="20"/>
        </w:rPr>
        <w:t xml:space="preserve">  </w:t>
      </w:r>
      <w:r>
        <w:rPr>
          <w:sz w:val="20"/>
        </w:rPr>
        <w:t>N.</w:t>
      </w:r>
      <w:r>
        <w:rPr>
          <w:spacing w:val="54"/>
          <w:sz w:val="20"/>
        </w:rPr>
        <w:t xml:space="preserve">  </w:t>
      </w:r>
      <w:r>
        <w:rPr>
          <w:sz w:val="20"/>
        </w:rPr>
        <w:t>279</w:t>
      </w:r>
      <w:r>
        <w:rPr>
          <w:spacing w:val="54"/>
          <w:sz w:val="20"/>
        </w:rPr>
        <w:t xml:space="preserve">  </w:t>
      </w:r>
      <w:r>
        <w:rPr>
          <w:sz w:val="20"/>
        </w:rPr>
        <w:t>DO</w:t>
      </w:r>
      <w:r>
        <w:rPr>
          <w:spacing w:val="54"/>
          <w:sz w:val="20"/>
        </w:rPr>
        <w:t xml:space="preserve">  </w:t>
      </w:r>
      <w:r>
        <w:rPr>
          <w:sz w:val="20"/>
        </w:rPr>
        <w:t>STF.</w:t>
      </w:r>
      <w:r>
        <w:rPr>
          <w:spacing w:val="54"/>
          <w:sz w:val="20"/>
        </w:rPr>
        <w:t xml:space="preserve">  </w:t>
      </w:r>
      <w:r>
        <w:rPr>
          <w:sz w:val="20"/>
        </w:rPr>
        <w:t>INVIABILIDADE</w:t>
      </w:r>
      <w:r>
        <w:rPr>
          <w:spacing w:val="55"/>
          <w:sz w:val="20"/>
        </w:rPr>
        <w:t xml:space="preserve">  </w:t>
      </w:r>
      <w:r>
        <w:rPr>
          <w:sz w:val="20"/>
        </w:rPr>
        <w:t>DO</w:t>
      </w:r>
      <w:r>
        <w:rPr>
          <w:spacing w:val="54"/>
          <w:sz w:val="20"/>
        </w:rPr>
        <w:t xml:space="preserve">  </w:t>
      </w:r>
      <w:r>
        <w:rPr>
          <w:spacing w:val="-2"/>
          <w:sz w:val="20"/>
        </w:rPr>
        <w:t>RECURSO</w:t>
      </w:r>
    </w:p>
    <w:p w:rsidR="007259F2" w:rsidRDefault="00E655B4">
      <w:pPr>
        <w:spacing w:before="1"/>
        <w:ind w:left="2978" w:right="989"/>
        <w:jc w:val="both"/>
        <w:rPr>
          <w:b/>
          <w:sz w:val="20"/>
        </w:rPr>
      </w:pPr>
      <w:r>
        <w:rPr>
          <w:sz w:val="20"/>
        </w:rPr>
        <w:t>EXTRAORDINÁRIO. 1. A Súmula 279/STF dispõe: Para simples reexame de prova não cabe recurso extraordinário. 2. É que o recurso extraordinário não se presta ao exame de questões que demandam</w:t>
      </w:r>
      <w:r>
        <w:rPr>
          <w:spacing w:val="-1"/>
          <w:sz w:val="20"/>
        </w:rPr>
        <w:t xml:space="preserve"> </w:t>
      </w:r>
      <w:r>
        <w:rPr>
          <w:sz w:val="20"/>
        </w:rPr>
        <w:t>revolvimento do contexto fático-probatório dos autos, adstringindo-se à análise da violação direta da ordem constitucional. 3. In casu, o acórdão recorrido assentou: A</w:t>
      </w:r>
      <w:r>
        <w:rPr>
          <w:b/>
          <w:sz w:val="20"/>
        </w:rPr>
        <w:t>DMINISTRATIVO.</w:t>
      </w:r>
      <w:r>
        <w:rPr>
          <w:b/>
          <w:spacing w:val="50"/>
          <w:sz w:val="20"/>
        </w:rPr>
        <w:t xml:space="preserve"> </w:t>
      </w:r>
      <w:r>
        <w:rPr>
          <w:b/>
          <w:sz w:val="20"/>
        </w:rPr>
        <w:t>AÇÃO</w:t>
      </w:r>
      <w:r>
        <w:rPr>
          <w:b/>
          <w:spacing w:val="51"/>
          <w:sz w:val="20"/>
        </w:rPr>
        <w:t xml:space="preserve"> </w:t>
      </w:r>
      <w:r>
        <w:rPr>
          <w:b/>
          <w:sz w:val="20"/>
        </w:rPr>
        <w:t>DE</w:t>
      </w:r>
      <w:r>
        <w:rPr>
          <w:b/>
          <w:spacing w:val="50"/>
          <w:sz w:val="20"/>
        </w:rPr>
        <w:t xml:space="preserve"> </w:t>
      </w:r>
      <w:r>
        <w:rPr>
          <w:b/>
          <w:sz w:val="20"/>
        </w:rPr>
        <w:t>USUCAPIÃO.</w:t>
      </w:r>
      <w:r>
        <w:rPr>
          <w:b/>
          <w:spacing w:val="51"/>
          <w:sz w:val="20"/>
        </w:rPr>
        <w:t xml:space="preserve"> </w:t>
      </w:r>
      <w:r>
        <w:rPr>
          <w:b/>
          <w:sz w:val="20"/>
        </w:rPr>
        <w:t>BEM</w:t>
      </w:r>
      <w:r>
        <w:rPr>
          <w:b/>
          <w:spacing w:val="53"/>
          <w:sz w:val="20"/>
        </w:rPr>
        <w:t xml:space="preserve"> </w:t>
      </w:r>
      <w:r>
        <w:rPr>
          <w:b/>
          <w:spacing w:val="-2"/>
          <w:sz w:val="20"/>
        </w:rPr>
        <w:t>DOMINICAL.</w:t>
      </w:r>
    </w:p>
    <w:p w:rsidR="007259F2" w:rsidRDefault="00E655B4">
      <w:pPr>
        <w:spacing w:before="5"/>
        <w:ind w:left="2978" w:right="993"/>
        <w:jc w:val="both"/>
        <w:rPr>
          <w:b/>
          <w:sz w:val="20"/>
        </w:rPr>
      </w:pPr>
      <w:r>
        <w:rPr>
          <w:b/>
          <w:sz w:val="20"/>
        </w:rPr>
        <w:t>IMPOSSIBILIDADE DE ALIENAÇÃO. 1. A área objeto da presente ação constitui bem publico dominical, sobre o qual não pode incidir usucapião, nost ermos dos arts. 183, § 3º, e 191, parágrafo único, da Constituição Federal. 2. Em que pese a demonstração pelo autor da</w:t>
      </w:r>
      <w:r>
        <w:rPr>
          <w:b/>
          <w:spacing w:val="40"/>
          <w:sz w:val="20"/>
        </w:rPr>
        <w:t xml:space="preserve"> </w:t>
      </w:r>
      <w:r>
        <w:rPr>
          <w:b/>
          <w:sz w:val="20"/>
        </w:rPr>
        <w:t>posse mansa</w:t>
      </w:r>
      <w:r>
        <w:rPr>
          <w:b/>
          <w:spacing w:val="-2"/>
          <w:sz w:val="20"/>
        </w:rPr>
        <w:t xml:space="preserve"> </w:t>
      </w:r>
      <w:r>
        <w:rPr>
          <w:b/>
          <w:sz w:val="20"/>
        </w:rPr>
        <w:t>e</w:t>
      </w:r>
      <w:r>
        <w:rPr>
          <w:b/>
          <w:spacing w:val="-1"/>
          <w:sz w:val="20"/>
        </w:rPr>
        <w:t xml:space="preserve"> </w:t>
      </w:r>
      <w:r>
        <w:rPr>
          <w:b/>
          <w:sz w:val="20"/>
        </w:rPr>
        <w:t>pacífica</w:t>
      </w:r>
      <w:r>
        <w:rPr>
          <w:b/>
          <w:spacing w:val="-2"/>
          <w:sz w:val="20"/>
        </w:rPr>
        <w:t xml:space="preserve"> </w:t>
      </w:r>
      <w:r>
        <w:rPr>
          <w:b/>
          <w:sz w:val="20"/>
        </w:rPr>
        <w:t>do</w:t>
      </w:r>
      <w:r>
        <w:rPr>
          <w:b/>
          <w:spacing w:val="-3"/>
          <w:sz w:val="20"/>
        </w:rPr>
        <w:t xml:space="preserve"> </w:t>
      </w:r>
      <w:r>
        <w:rPr>
          <w:b/>
          <w:sz w:val="20"/>
        </w:rPr>
        <w:t>bem</w:t>
      </w:r>
      <w:r>
        <w:rPr>
          <w:b/>
          <w:spacing w:val="-4"/>
          <w:sz w:val="20"/>
        </w:rPr>
        <w:t xml:space="preserve"> </w:t>
      </w:r>
      <w:r>
        <w:rPr>
          <w:b/>
          <w:sz w:val="20"/>
        </w:rPr>
        <w:t>por</w:t>
      </w:r>
      <w:r>
        <w:rPr>
          <w:b/>
          <w:spacing w:val="-3"/>
          <w:sz w:val="20"/>
        </w:rPr>
        <w:t xml:space="preserve"> </w:t>
      </w:r>
      <w:r>
        <w:rPr>
          <w:b/>
          <w:sz w:val="20"/>
        </w:rPr>
        <w:t>período superior</w:t>
      </w:r>
      <w:r>
        <w:rPr>
          <w:b/>
          <w:spacing w:val="-3"/>
          <w:sz w:val="20"/>
        </w:rPr>
        <w:t xml:space="preserve"> </w:t>
      </w:r>
      <w:r>
        <w:rPr>
          <w:b/>
          <w:sz w:val="20"/>
        </w:rPr>
        <w:t>a</w:t>
      </w:r>
      <w:r>
        <w:rPr>
          <w:b/>
          <w:spacing w:val="-2"/>
          <w:sz w:val="20"/>
        </w:rPr>
        <w:t xml:space="preserve"> </w:t>
      </w:r>
      <w:r>
        <w:rPr>
          <w:b/>
          <w:sz w:val="20"/>
        </w:rPr>
        <w:t>vinte</w:t>
      </w:r>
      <w:r>
        <w:rPr>
          <w:b/>
          <w:spacing w:val="-3"/>
          <w:sz w:val="20"/>
        </w:rPr>
        <w:t xml:space="preserve"> </w:t>
      </w:r>
      <w:r>
        <w:rPr>
          <w:b/>
          <w:sz w:val="20"/>
        </w:rPr>
        <w:t>anos,</w:t>
      </w:r>
      <w:r>
        <w:rPr>
          <w:b/>
          <w:spacing w:val="-3"/>
          <w:sz w:val="20"/>
        </w:rPr>
        <w:t xml:space="preserve"> </w:t>
      </w:r>
      <w:r>
        <w:rPr>
          <w:b/>
          <w:sz w:val="20"/>
        </w:rPr>
        <w:t>sendo</w:t>
      </w:r>
      <w:r>
        <w:rPr>
          <w:b/>
          <w:spacing w:val="-3"/>
          <w:sz w:val="20"/>
        </w:rPr>
        <w:t xml:space="preserve"> </w:t>
      </w:r>
      <w:r>
        <w:rPr>
          <w:b/>
          <w:sz w:val="20"/>
        </w:rPr>
        <w:t>o imóvel</w:t>
      </w:r>
      <w:r>
        <w:rPr>
          <w:b/>
          <w:spacing w:val="1"/>
          <w:sz w:val="20"/>
        </w:rPr>
        <w:t xml:space="preserve"> </w:t>
      </w:r>
      <w:r>
        <w:rPr>
          <w:b/>
          <w:sz w:val="20"/>
        </w:rPr>
        <w:t>propriedade</w:t>
      </w:r>
      <w:r>
        <w:rPr>
          <w:b/>
          <w:spacing w:val="2"/>
          <w:sz w:val="20"/>
        </w:rPr>
        <w:t xml:space="preserve"> </w:t>
      </w:r>
      <w:r>
        <w:rPr>
          <w:b/>
          <w:sz w:val="20"/>
        </w:rPr>
        <w:t>da</w:t>
      </w:r>
      <w:r>
        <w:rPr>
          <w:b/>
          <w:spacing w:val="-1"/>
          <w:sz w:val="20"/>
        </w:rPr>
        <w:t xml:space="preserve"> </w:t>
      </w:r>
      <w:r>
        <w:rPr>
          <w:b/>
          <w:sz w:val="20"/>
        </w:rPr>
        <w:t>União, impossível a</w:t>
      </w:r>
      <w:r>
        <w:rPr>
          <w:b/>
          <w:spacing w:val="2"/>
          <w:sz w:val="20"/>
        </w:rPr>
        <w:t xml:space="preserve"> </w:t>
      </w:r>
      <w:r>
        <w:rPr>
          <w:b/>
          <w:sz w:val="20"/>
        </w:rPr>
        <w:t>sua aquisição pela</w:t>
      </w:r>
      <w:r>
        <w:rPr>
          <w:b/>
          <w:spacing w:val="-1"/>
          <w:sz w:val="20"/>
        </w:rPr>
        <w:t xml:space="preserve"> </w:t>
      </w:r>
      <w:r>
        <w:rPr>
          <w:b/>
          <w:spacing w:val="-2"/>
          <w:sz w:val="20"/>
        </w:rPr>
        <w:t>usucapião.</w:t>
      </w:r>
    </w:p>
    <w:p w:rsidR="007259F2" w:rsidRDefault="00E655B4">
      <w:pPr>
        <w:spacing w:before="2" w:line="237" w:lineRule="auto"/>
        <w:ind w:left="2978" w:right="987"/>
        <w:jc w:val="both"/>
        <w:rPr>
          <w:sz w:val="20"/>
        </w:rPr>
      </w:pPr>
      <w:r>
        <w:rPr>
          <w:b/>
          <w:sz w:val="20"/>
        </w:rPr>
        <w:t>4. Agravo regimental a que se nega provimento (AI 852.804-AgR/SC,</w:t>
      </w:r>
      <w:r>
        <w:rPr>
          <w:b/>
          <w:spacing w:val="40"/>
          <w:sz w:val="20"/>
        </w:rPr>
        <w:t xml:space="preserve"> </w:t>
      </w:r>
      <w:r>
        <w:rPr>
          <w:b/>
          <w:sz w:val="20"/>
        </w:rPr>
        <w:t xml:space="preserve">Rel. Min. Luiz Fux, Primeira Turma). </w:t>
      </w:r>
      <w:r>
        <w:rPr>
          <w:sz w:val="20"/>
        </w:rPr>
        <w:t>Agravo regimental em agravo de instrumento.</w:t>
      </w:r>
      <w:r>
        <w:rPr>
          <w:spacing w:val="28"/>
          <w:sz w:val="20"/>
        </w:rPr>
        <w:t xml:space="preserve"> </w:t>
      </w:r>
      <w:r>
        <w:rPr>
          <w:sz w:val="20"/>
        </w:rPr>
        <w:t>2.</w:t>
      </w:r>
      <w:r>
        <w:rPr>
          <w:spacing w:val="28"/>
          <w:sz w:val="20"/>
        </w:rPr>
        <w:t xml:space="preserve"> </w:t>
      </w:r>
      <w:r>
        <w:rPr>
          <w:sz w:val="20"/>
        </w:rPr>
        <w:t>Usucapião.</w:t>
      </w:r>
      <w:r>
        <w:rPr>
          <w:spacing w:val="29"/>
          <w:sz w:val="20"/>
        </w:rPr>
        <w:t xml:space="preserve"> </w:t>
      </w:r>
      <w:r>
        <w:rPr>
          <w:sz w:val="20"/>
        </w:rPr>
        <w:t>Bem</w:t>
      </w:r>
      <w:r>
        <w:rPr>
          <w:spacing w:val="24"/>
          <w:sz w:val="20"/>
        </w:rPr>
        <w:t xml:space="preserve"> </w:t>
      </w:r>
      <w:r>
        <w:rPr>
          <w:sz w:val="20"/>
        </w:rPr>
        <w:t>público.</w:t>
      </w:r>
      <w:r>
        <w:rPr>
          <w:spacing w:val="29"/>
          <w:sz w:val="20"/>
        </w:rPr>
        <w:t xml:space="preserve"> </w:t>
      </w:r>
      <w:r>
        <w:rPr>
          <w:sz w:val="20"/>
        </w:rPr>
        <w:t>O</w:t>
      </w:r>
      <w:r>
        <w:rPr>
          <w:spacing w:val="28"/>
          <w:sz w:val="20"/>
        </w:rPr>
        <w:t xml:space="preserve"> </w:t>
      </w:r>
      <w:r>
        <w:rPr>
          <w:sz w:val="20"/>
        </w:rPr>
        <w:t>Tribunal</w:t>
      </w:r>
      <w:r>
        <w:rPr>
          <w:spacing w:val="29"/>
          <w:sz w:val="20"/>
        </w:rPr>
        <w:t xml:space="preserve"> </w:t>
      </w:r>
      <w:r>
        <w:rPr>
          <w:sz w:val="20"/>
        </w:rPr>
        <w:t>de</w:t>
      </w:r>
      <w:r>
        <w:rPr>
          <w:spacing w:val="28"/>
          <w:sz w:val="20"/>
        </w:rPr>
        <w:t xml:space="preserve"> </w:t>
      </w:r>
      <w:r>
        <w:rPr>
          <w:sz w:val="20"/>
        </w:rPr>
        <w:t>origem</w:t>
      </w:r>
      <w:r>
        <w:rPr>
          <w:spacing w:val="25"/>
          <w:sz w:val="20"/>
        </w:rPr>
        <w:t xml:space="preserve"> </w:t>
      </w:r>
      <w:r>
        <w:rPr>
          <w:spacing w:val="-2"/>
          <w:sz w:val="20"/>
        </w:rPr>
        <w:t>consignou</w:t>
      </w:r>
    </w:p>
    <w:p w:rsidR="007259F2" w:rsidRDefault="007259F2">
      <w:pPr>
        <w:spacing w:line="237" w:lineRule="auto"/>
        <w:jc w:val="both"/>
        <w:rPr>
          <w:sz w:val="20"/>
        </w:rPr>
        <w:sectPr w:rsidR="007259F2">
          <w:pgSz w:w="11910" w:h="16840"/>
          <w:pgMar w:top="1320" w:right="708" w:bottom="1160" w:left="992" w:header="0" w:footer="962" w:gutter="0"/>
          <w:cols w:space="720"/>
        </w:sectPr>
      </w:pPr>
    </w:p>
    <w:p w:rsidR="007259F2" w:rsidRDefault="00E655B4">
      <w:pPr>
        <w:spacing w:before="71"/>
        <w:ind w:left="2978" w:right="991"/>
        <w:jc w:val="both"/>
        <w:rPr>
          <w:sz w:val="20"/>
        </w:rPr>
      </w:pPr>
      <w:r>
        <w:rPr>
          <w:sz w:val="20"/>
        </w:rPr>
        <w:lastRenderedPageBreak/>
        <w:t xml:space="preserve">que os requisitos para aquisição do domínio foram reunidos antes da edição do Código Civil de 1916 e da posterior vedação constitucional. Conclusão insuscetível de reexame por força da Súmula 279. Necessidade de interpretação da legislação infraconstitucional. Impossibilidade na via extraordinária. Precedente. (...) (AI 606.103-AgR/SP, Rel. Min. Gilmar Mendes, Segunda Turma). Isso posto, nego seguimento ao recurso (CPC, art. 557, caput). Publique-se. (STF, 2014, </w:t>
      </w:r>
      <w:r>
        <w:rPr>
          <w:i/>
          <w:sz w:val="20"/>
        </w:rPr>
        <w:t>on-line</w:t>
      </w:r>
      <w:r>
        <w:rPr>
          <w:sz w:val="20"/>
        </w:rPr>
        <w:t>, grifo da autora)</w:t>
      </w:r>
    </w:p>
    <w:p w:rsidR="007259F2" w:rsidRDefault="007259F2">
      <w:pPr>
        <w:pStyle w:val="Corpodetexto"/>
        <w:spacing w:before="1"/>
        <w:ind w:left="0" w:firstLine="0"/>
        <w:jc w:val="left"/>
        <w:rPr>
          <w:sz w:val="20"/>
        </w:rPr>
      </w:pPr>
    </w:p>
    <w:p w:rsidR="007259F2" w:rsidRDefault="00E655B4">
      <w:pPr>
        <w:ind w:left="2978" w:right="990"/>
        <w:jc w:val="both"/>
        <w:rPr>
          <w:sz w:val="20"/>
        </w:rPr>
      </w:pPr>
      <w:r>
        <w:rPr>
          <w:sz w:val="20"/>
        </w:rPr>
        <w:t xml:space="preserve">EMENTA: DECISÃO: vistos, etc. Trata-se de recurso extraordinário, interposto com suporte na alínea a do inciso III do art. 102 da Constituição Republicana, contra acórdão do Tribunal de Justiça do Distrito Federal e dos Territórios. Acórdão assim ementado (fls. 83): </w:t>
      </w:r>
      <w:r>
        <w:rPr>
          <w:b/>
          <w:sz w:val="20"/>
        </w:rPr>
        <w:t xml:space="preserve">USUCAPIÃO. TERRAS PÚBLICAS. IMPOSSIBILIDADE JURÍDICA DO PEDIDO. </w:t>
      </w:r>
      <w:r>
        <w:rPr>
          <w:sz w:val="20"/>
        </w:rPr>
        <w:t>INDEFERIMENTO</w:t>
      </w:r>
      <w:r>
        <w:rPr>
          <w:spacing w:val="66"/>
          <w:w w:val="150"/>
          <w:sz w:val="20"/>
        </w:rPr>
        <w:t xml:space="preserve"> </w:t>
      </w:r>
      <w:r>
        <w:rPr>
          <w:sz w:val="20"/>
        </w:rPr>
        <w:t>DA</w:t>
      </w:r>
      <w:r>
        <w:rPr>
          <w:spacing w:val="67"/>
          <w:w w:val="150"/>
          <w:sz w:val="20"/>
        </w:rPr>
        <w:t xml:space="preserve"> </w:t>
      </w:r>
      <w:r>
        <w:rPr>
          <w:sz w:val="20"/>
        </w:rPr>
        <w:t>INICIAL.</w:t>
      </w:r>
      <w:r>
        <w:rPr>
          <w:spacing w:val="67"/>
          <w:w w:val="150"/>
          <w:sz w:val="20"/>
        </w:rPr>
        <w:t xml:space="preserve"> </w:t>
      </w:r>
      <w:r>
        <w:rPr>
          <w:sz w:val="20"/>
        </w:rPr>
        <w:t>DECISÃO</w:t>
      </w:r>
      <w:r>
        <w:rPr>
          <w:spacing w:val="69"/>
          <w:w w:val="150"/>
          <w:sz w:val="20"/>
        </w:rPr>
        <w:t xml:space="preserve"> </w:t>
      </w:r>
      <w:r>
        <w:rPr>
          <w:sz w:val="20"/>
        </w:rPr>
        <w:t>CORRETA.</w:t>
      </w:r>
      <w:r>
        <w:rPr>
          <w:spacing w:val="67"/>
          <w:w w:val="150"/>
          <w:sz w:val="20"/>
        </w:rPr>
        <w:t xml:space="preserve"> </w:t>
      </w:r>
      <w:r>
        <w:rPr>
          <w:spacing w:val="-2"/>
          <w:sz w:val="20"/>
        </w:rPr>
        <w:t>RECURSO</w:t>
      </w:r>
    </w:p>
    <w:p w:rsidR="007259F2" w:rsidRDefault="00E655B4">
      <w:pPr>
        <w:ind w:left="2978" w:right="988"/>
        <w:jc w:val="both"/>
        <w:rPr>
          <w:sz w:val="20"/>
        </w:rPr>
      </w:pPr>
      <w:r>
        <w:rPr>
          <w:sz w:val="20"/>
        </w:rPr>
        <w:t xml:space="preserve">IMPROVIDO. 1) Sendo as terras da TERRACAP Companhia Imobiliária de Brasília públicas, por força da Lei nº 5.861/72, que faz o Distrito Federal participar com 51% de seu capital, impossível serem elas adquiridas por Usucapião. </w:t>
      </w:r>
      <w:r>
        <w:rPr>
          <w:b/>
          <w:sz w:val="20"/>
        </w:rPr>
        <w:t>2) Impossível se mostra o pedido de usucapião de terras públicas, por expressa proibição neste sentido contida nos parágrafos 3º</w:t>
      </w:r>
      <w:r>
        <w:rPr>
          <w:b/>
          <w:spacing w:val="40"/>
          <w:sz w:val="20"/>
        </w:rPr>
        <w:t xml:space="preserve"> </w:t>
      </w:r>
      <w:r>
        <w:rPr>
          <w:b/>
          <w:sz w:val="20"/>
        </w:rPr>
        <w:t>e único, dos artigos 183 e 191 da Constituição Federal, o que leva à extinção do processo sem apreciação do mérito, com base no artigo 267, VI, do CPC</w:t>
      </w:r>
      <w:r>
        <w:rPr>
          <w:sz w:val="20"/>
        </w:rPr>
        <w:t>. 3) Recurso conhecido e improvido. 2. Pois bem, a parte recorrente alega ofensa ao art. 173, ao § 3º do art. 183 e ao parágrafo único</w:t>
      </w:r>
      <w:r>
        <w:rPr>
          <w:spacing w:val="40"/>
          <w:sz w:val="20"/>
        </w:rPr>
        <w:t xml:space="preserve"> </w:t>
      </w:r>
      <w:r>
        <w:rPr>
          <w:sz w:val="20"/>
        </w:rPr>
        <w:t>do art. 191 da Magna Carta de 1988. 3. A seu turno, a Procuradoria-Geral da República, em parecer da lavra do Subprocurador-Geral Rodrigo Janot Monteiro de Barros, opina pelo desprovimento do recurso. 4. Tenho que a insurgência não merece acolhida. Isso porque o art. 173 da Constituição Federal não foi apreciado pelo aresto impugnado. Tampouco foram opostos embargos declaratórios para suprir eventual omissão. Falta, portanto, o necessário</w:t>
      </w:r>
      <w:r>
        <w:rPr>
          <w:spacing w:val="-1"/>
          <w:sz w:val="20"/>
        </w:rPr>
        <w:t xml:space="preserve"> </w:t>
      </w:r>
      <w:r>
        <w:rPr>
          <w:sz w:val="20"/>
        </w:rPr>
        <w:t>prequestionamento,</w:t>
      </w:r>
      <w:r>
        <w:rPr>
          <w:spacing w:val="-2"/>
          <w:sz w:val="20"/>
        </w:rPr>
        <w:t xml:space="preserve"> </w:t>
      </w:r>
      <w:r>
        <w:rPr>
          <w:sz w:val="20"/>
        </w:rPr>
        <w:t>nos</w:t>
      </w:r>
      <w:r>
        <w:rPr>
          <w:spacing w:val="-2"/>
          <w:sz w:val="20"/>
        </w:rPr>
        <w:t xml:space="preserve"> </w:t>
      </w:r>
      <w:r>
        <w:rPr>
          <w:sz w:val="20"/>
        </w:rPr>
        <w:t>termos</w:t>
      </w:r>
      <w:r>
        <w:rPr>
          <w:spacing w:val="-2"/>
          <w:sz w:val="20"/>
        </w:rPr>
        <w:t xml:space="preserve"> </w:t>
      </w:r>
      <w:r>
        <w:rPr>
          <w:sz w:val="20"/>
        </w:rPr>
        <w:t>das</w:t>
      </w:r>
      <w:r>
        <w:rPr>
          <w:spacing w:val="-2"/>
          <w:sz w:val="20"/>
        </w:rPr>
        <w:t xml:space="preserve"> </w:t>
      </w:r>
      <w:r>
        <w:rPr>
          <w:sz w:val="20"/>
        </w:rPr>
        <w:t>Súmulas</w:t>
      </w:r>
      <w:r>
        <w:rPr>
          <w:spacing w:val="-2"/>
          <w:sz w:val="20"/>
        </w:rPr>
        <w:t xml:space="preserve"> </w:t>
      </w:r>
      <w:r>
        <w:rPr>
          <w:sz w:val="20"/>
        </w:rPr>
        <w:t>282</w:t>
      </w:r>
      <w:r>
        <w:rPr>
          <w:spacing w:val="-1"/>
          <w:sz w:val="20"/>
        </w:rPr>
        <w:t xml:space="preserve"> </w:t>
      </w:r>
      <w:r>
        <w:rPr>
          <w:sz w:val="20"/>
        </w:rPr>
        <w:t>e</w:t>
      </w:r>
      <w:r>
        <w:rPr>
          <w:spacing w:val="-2"/>
          <w:sz w:val="20"/>
        </w:rPr>
        <w:t xml:space="preserve"> </w:t>
      </w:r>
      <w:r>
        <w:rPr>
          <w:sz w:val="20"/>
        </w:rPr>
        <w:t xml:space="preserve">356/STF. </w:t>
      </w:r>
      <w:r>
        <w:rPr>
          <w:b/>
          <w:sz w:val="20"/>
        </w:rPr>
        <w:t>5.</w:t>
      </w:r>
      <w:r>
        <w:rPr>
          <w:b/>
          <w:spacing w:val="-2"/>
          <w:sz w:val="20"/>
        </w:rPr>
        <w:t xml:space="preserve"> </w:t>
      </w:r>
      <w:r>
        <w:rPr>
          <w:b/>
          <w:sz w:val="20"/>
        </w:rPr>
        <w:t xml:space="preserve">De mais a mais, o entendimento adotado pela instância judicante de origem afina com a jurisprudência desta nossa Casa de Justiça, que me parece juridicamente correta, a qual reconhece a impossibilidade de usucapião de bem público. Leia- se, a propósito, a Súmula 340/STF: Desde a vigência do código civil, os bens dominicais, como os demais bens públicos, não podem ser adquiridos por usucapião. </w:t>
      </w:r>
      <w:r>
        <w:rPr>
          <w:sz w:val="20"/>
        </w:rPr>
        <w:t>6. Incide, por fim, a Súmula</w:t>
      </w:r>
      <w:r>
        <w:rPr>
          <w:spacing w:val="-2"/>
          <w:sz w:val="20"/>
        </w:rPr>
        <w:t xml:space="preserve"> </w:t>
      </w:r>
      <w:r>
        <w:rPr>
          <w:sz w:val="20"/>
        </w:rPr>
        <w:t>279/STF.</w:t>
      </w:r>
      <w:r>
        <w:rPr>
          <w:spacing w:val="-2"/>
          <w:sz w:val="20"/>
        </w:rPr>
        <w:t xml:space="preserve"> </w:t>
      </w:r>
      <w:r>
        <w:rPr>
          <w:sz w:val="20"/>
        </w:rPr>
        <w:t>Ante</w:t>
      </w:r>
      <w:r>
        <w:rPr>
          <w:spacing w:val="-2"/>
          <w:sz w:val="20"/>
        </w:rPr>
        <w:t xml:space="preserve"> </w:t>
      </w:r>
      <w:r>
        <w:rPr>
          <w:sz w:val="20"/>
        </w:rPr>
        <w:t>o</w:t>
      </w:r>
      <w:r>
        <w:rPr>
          <w:spacing w:val="-1"/>
          <w:sz w:val="20"/>
        </w:rPr>
        <w:t xml:space="preserve"> </w:t>
      </w:r>
      <w:r>
        <w:rPr>
          <w:sz w:val="20"/>
        </w:rPr>
        <w:t>exposto,</w:t>
      </w:r>
      <w:r>
        <w:rPr>
          <w:spacing w:val="-2"/>
          <w:sz w:val="20"/>
        </w:rPr>
        <w:t xml:space="preserve"> </w:t>
      </w:r>
      <w:r>
        <w:rPr>
          <w:sz w:val="20"/>
        </w:rPr>
        <w:t>e frente</w:t>
      </w:r>
      <w:r>
        <w:rPr>
          <w:spacing w:val="-2"/>
          <w:sz w:val="20"/>
        </w:rPr>
        <w:t xml:space="preserve"> </w:t>
      </w:r>
      <w:r>
        <w:rPr>
          <w:sz w:val="20"/>
        </w:rPr>
        <w:t>ao caput</w:t>
      </w:r>
      <w:r>
        <w:rPr>
          <w:spacing w:val="-3"/>
          <w:sz w:val="20"/>
        </w:rPr>
        <w:t xml:space="preserve"> </w:t>
      </w:r>
      <w:r>
        <w:rPr>
          <w:sz w:val="20"/>
        </w:rPr>
        <w:t>do</w:t>
      </w:r>
      <w:r>
        <w:rPr>
          <w:spacing w:val="-1"/>
          <w:sz w:val="20"/>
        </w:rPr>
        <w:t xml:space="preserve"> </w:t>
      </w:r>
      <w:r>
        <w:rPr>
          <w:sz w:val="20"/>
        </w:rPr>
        <w:t>art.</w:t>
      </w:r>
      <w:r>
        <w:rPr>
          <w:spacing w:val="-2"/>
          <w:sz w:val="20"/>
        </w:rPr>
        <w:t xml:space="preserve"> </w:t>
      </w:r>
      <w:r>
        <w:rPr>
          <w:sz w:val="20"/>
        </w:rPr>
        <w:t>557</w:t>
      </w:r>
      <w:r>
        <w:rPr>
          <w:spacing w:val="-1"/>
          <w:sz w:val="20"/>
        </w:rPr>
        <w:t xml:space="preserve"> </w:t>
      </w:r>
      <w:r>
        <w:rPr>
          <w:sz w:val="20"/>
        </w:rPr>
        <w:t>do</w:t>
      </w:r>
      <w:r>
        <w:rPr>
          <w:spacing w:val="-1"/>
          <w:sz w:val="20"/>
        </w:rPr>
        <w:t xml:space="preserve"> </w:t>
      </w:r>
      <w:r>
        <w:rPr>
          <w:sz w:val="20"/>
        </w:rPr>
        <w:t>CPC</w:t>
      </w:r>
      <w:r>
        <w:rPr>
          <w:spacing w:val="-3"/>
          <w:sz w:val="20"/>
        </w:rPr>
        <w:t xml:space="preserve"> </w:t>
      </w:r>
      <w:r>
        <w:rPr>
          <w:sz w:val="20"/>
        </w:rPr>
        <w:t>e</w:t>
      </w:r>
      <w:r>
        <w:rPr>
          <w:spacing w:val="-2"/>
          <w:sz w:val="20"/>
        </w:rPr>
        <w:t xml:space="preserve"> </w:t>
      </w:r>
      <w:r>
        <w:rPr>
          <w:sz w:val="20"/>
        </w:rPr>
        <w:t>ao</w:t>
      </w:r>
      <w:r>
        <w:rPr>
          <w:spacing w:val="-1"/>
          <w:sz w:val="20"/>
        </w:rPr>
        <w:t xml:space="preserve"> </w:t>
      </w:r>
      <w:r>
        <w:rPr>
          <w:sz w:val="20"/>
        </w:rPr>
        <w:t xml:space="preserve">§ 1º do art. 21 do RI/STF, nego seguimento ao recurso. Publique-se. (STF, 2011, </w:t>
      </w:r>
      <w:r>
        <w:rPr>
          <w:i/>
          <w:sz w:val="20"/>
        </w:rPr>
        <w:t>on-line</w:t>
      </w:r>
      <w:r>
        <w:rPr>
          <w:sz w:val="20"/>
        </w:rPr>
        <w:t>, grifo da autora)</w:t>
      </w:r>
    </w:p>
    <w:p w:rsidR="007259F2" w:rsidRDefault="007259F2">
      <w:pPr>
        <w:pStyle w:val="Corpodetexto"/>
        <w:ind w:left="0" w:firstLine="0"/>
        <w:jc w:val="left"/>
        <w:rPr>
          <w:sz w:val="20"/>
        </w:rPr>
      </w:pPr>
    </w:p>
    <w:p w:rsidR="007259F2" w:rsidRDefault="00E655B4">
      <w:pPr>
        <w:ind w:left="2978" w:right="988"/>
        <w:jc w:val="both"/>
        <w:rPr>
          <w:sz w:val="20"/>
        </w:rPr>
      </w:pPr>
      <w:r>
        <w:rPr>
          <w:sz w:val="20"/>
        </w:rPr>
        <w:t>EMENTA: AGRAVO EM RECURSO ESPECIAL Nº 788.019 - RS (2015/0235236-0) RELATOR : MINISTRO ANTONIO CARLOS FERREIRA AGRAVANTE : SELMA MIRIAN DE FREITAS JOSLIN ADVOGADO : FRANÇÓIS YOUSSEF DAOU E OUTRO(S) - PR039492 AGRAVADO : ABDON SOARES - ESPÓLIO AGRAVADO : MYLKA POLYSU</w:t>
      </w:r>
      <w:r>
        <w:rPr>
          <w:spacing w:val="-1"/>
          <w:sz w:val="20"/>
        </w:rPr>
        <w:t xml:space="preserve"> </w:t>
      </w:r>
      <w:r>
        <w:rPr>
          <w:sz w:val="20"/>
        </w:rPr>
        <w:t>SOARES -</w:t>
      </w:r>
      <w:r>
        <w:rPr>
          <w:spacing w:val="-4"/>
          <w:sz w:val="20"/>
        </w:rPr>
        <w:t xml:space="preserve"> </w:t>
      </w:r>
      <w:r>
        <w:rPr>
          <w:sz w:val="20"/>
        </w:rPr>
        <w:t>ESPÓLIO ADVOGADO</w:t>
      </w:r>
      <w:r>
        <w:rPr>
          <w:spacing w:val="-2"/>
          <w:sz w:val="20"/>
        </w:rPr>
        <w:t xml:space="preserve"> </w:t>
      </w:r>
      <w:r>
        <w:rPr>
          <w:sz w:val="20"/>
        </w:rPr>
        <w:t>:</w:t>
      </w:r>
      <w:r>
        <w:rPr>
          <w:spacing w:val="-1"/>
          <w:sz w:val="20"/>
        </w:rPr>
        <w:t xml:space="preserve"> </w:t>
      </w:r>
      <w:r>
        <w:rPr>
          <w:sz w:val="20"/>
        </w:rPr>
        <w:t>CELIO LUCAS</w:t>
      </w:r>
      <w:r>
        <w:rPr>
          <w:spacing w:val="-3"/>
          <w:sz w:val="20"/>
        </w:rPr>
        <w:t xml:space="preserve"> </w:t>
      </w:r>
      <w:r>
        <w:rPr>
          <w:sz w:val="20"/>
        </w:rPr>
        <w:t>MILANO - PR024580</w:t>
      </w:r>
      <w:r>
        <w:rPr>
          <w:spacing w:val="30"/>
          <w:sz w:val="20"/>
        </w:rPr>
        <w:t xml:space="preserve">  </w:t>
      </w:r>
      <w:r>
        <w:rPr>
          <w:sz w:val="20"/>
        </w:rPr>
        <w:t>AGRAVADO</w:t>
      </w:r>
      <w:r>
        <w:rPr>
          <w:spacing w:val="31"/>
          <w:sz w:val="20"/>
        </w:rPr>
        <w:t xml:space="preserve">  </w:t>
      </w:r>
      <w:r>
        <w:rPr>
          <w:sz w:val="20"/>
        </w:rPr>
        <w:t>:</w:t>
      </w:r>
      <w:r>
        <w:rPr>
          <w:spacing w:val="31"/>
          <w:sz w:val="20"/>
        </w:rPr>
        <w:t xml:space="preserve">  </w:t>
      </w:r>
      <w:r>
        <w:rPr>
          <w:sz w:val="20"/>
        </w:rPr>
        <w:t>INSTITUTO</w:t>
      </w:r>
      <w:r>
        <w:rPr>
          <w:spacing w:val="30"/>
          <w:sz w:val="20"/>
        </w:rPr>
        <w:t xml:space="preserve">  </w:t>
      </w:r>
      <w:r>
        <w:rPr>
          <w:sz w:val="20"/>
        </w:rPr>
        <w:t>NACIONAL</w:t>
      </w:r>
      <w:r>
        <w:rPr>
          <w:spacing w:val="31"/>
          <w:sz w:val="20"/>
        </w:rPr>
        <w:t xml:space="preserve">  </w:t>
      </w:r>
      <w:r>
        <w:rPr>
          <w:sz w:val="20"/>
        </w:rPr>
        <w:t>DO</w:t>
      </w:r>
      <w:r>
        <w:rPr>
          <w:spacing w:val="31"/>
          <w:sz w:val="20"/>
        </w:rPr>
        <w:t xml:space="preserve">  </w:t>
      </w:r>
      <w:r>
        <w:rPr>
          <w:spacing w:val="-2"/>
          <w:sz w:val="20"/>
        </w:rPr>
        <w:t>SEGURO</w:t>
      </w:r>
    </w:p>
    <w:p w:rsidR="007259F2" w:rsidRDefault="00E655B4">
      <w:pPr>
        <w:spacing w:before="1"/>
        <w:ind w:left="2978" w:right="992"/>
        <w:jc w:val="both"/>
        <w:rPr>
          <w:sz w:val="20"/>
        </w:rPr>
      </w:pPr>
      <w:r>
        <w:rPr>
          <w:sz w:val="20"/>
        </w:rPr>
        <w:t>SOCIAL DECISÃO Trata-se de agravo nos próprios autos (CPC/1973, art. 544)</w:t>
      </w:r>
      <w:r>
        <w:rPr>
          <w:spacing w:val="-5"/>
          <w:sz w:val="20"/>
        </w:rPr>
        <w:t xml:space="preserve"> </w:t>
      </w:r>
      <w:r>
        <w:rPr>
          <w:sz w:val="20"/>
        </w:rPr>
        <w:t>contra</w:t>
      </w:r>
      <w:r>
        <w:rPr>
          <w:spacing w:val="-4"/>
          <w:sz w:val="20"/>
        </w:rPr>
        <w:t xml:space="preserve"> </w:t>
      </w:r>
      <w:r>
        <w:rPr>
          <w:sz w:val="20"/>
        </w:rPr>
        <w:t>decisão</w:t>
      </w:r>
      <w:r>
        <w:rPr>
          <w:spacing w:val="-3"/>
          <w:sz w:val="20"/>
        </w:rPr>
        <w:t xml:space="preserve"> </w:t>
      </w:r>
      <w:r>
        <w:rPr>
          <w:sz w:val="20"/>
        </w:rPr>
        <w:t>que</w:t>
      </w:r>
      <w:r>
        <w:rPr>
          <w:spacing w:val="-4"/>
          <w:sz w:val="20"/>
        </w:rPr>
        <w:t xml:space="preserve"> </w:t>
      </w:r>
      <w:r>
        <w:rPr>
          <w:sz w:val="20"/>
        </w:rPr>
        <w:t>inadmitiu</w:t>
      </w:r>
      <w:r>
        <w:rPr>
          <w:spacing w:val="-5"/>
          <w:sz w:val="20"/>
        </w:rPr>
        <w:t xml:space="preserve"> </w:t>
      </w:r>
      <w:r>
        <w:rPr>
          <w:sz w:val="20"/>
        </w:rPr>
        <w:t>o</w:t>
      </w:r>
      <w:r>
        <w:rPr>
          <w:spacing w:val="-3"/>
          <w:sz w:val="20"/>
        </w:rPr>
        <w:t xml:space="preserve"> </w:t>
      </w:r>
      <w:r>
        <w:rPr>
          <w:sz w:val="20"/>
        </w:rPr>
        <w:t>recurso</w:t>
      </w:r>
      <w:r>
        <w:rPr>
          <w:spacing w:val="-3"/>
          <w:sz w:val="20"/>
        </w:rPr>
        <w:t xml:space="preserve"> </w:t>
      </w:r>
      <w:r>
        <w:rPr>
          <w:sz w:val="20"/>
        </w:rPr>
        <w:t>especial</w:t>
      </w:r>
      <w:r>
        <w:rPr>
          <w:spacing w:val="-4"/>
          <w:sz w:val="20"/>
        </w:rPr>
        <w:t xml:space="preserve"> </w:t>
      </w:r>
      <w:r>
        <w:rPr>
          <w:sz w:val="20"/>
        </w:rPr>
        <w:t>por</w:t>
      </w:r>
      <w:r>
        <w:rPr>
          <w:spacing w:val="-4"/>
          <w:sz w:val="20"/>
        </w:rPr>
        <w:t xml:space="preserve"> </w:t>
      </w:r>
      <w:r>
        <w:rPr>
          <w:sz w:val="20"/>
        </w:rPr>
        <w:t>aplicação</w:t>
      </w:r>
      <w:r>
        <w:rPr>
          <w:spacing w:val="-3"/>
          <w:sz w:val="20"/>
        </w:rPr>
        <w:t xml:space="preserve"> </w:t>
      </w:r>
      <w:r>
        <w:rPr>
          <w:sz w:val="20"/>
        </w:rPr>
        <w:t>da</w:t>
      </w:r>
      <w:r>
        <w:rPr>
          <w:spacing w:val="-4"/>
          <w:sz w:val="20"/>
        </w:rPr>
        <w:t xml:space="preserve"> </w:t>
      </w:r>
      <w:r>
        <w:rPr>
          <w:spacing w:val="-2"/>
          <w:sz w:val="20"/>
        </w:rPr>
        <w:t>Súmula</w:t>
      </w:r>
    </w:p>
    <w:p w:rsidR="007259F2" w:rsidRDefault="00E655B4">
      <w:pPr>
        <w:spacing w:before="1"/>
        <w:ind w:left="2978" w:right="987"/>
        <w:jc w:val="both"/>
        <w:rPr>
          <w:sz w:val="20"/>
        </w:rPr>
      </w:pPr>
      <w:r>
        <w:rPr>
          <w:sz w:val="20"/>
        </w:rPr>
        <w:t>n. 7/STJ (e-STJ fls. 490/491).</w:t>
      </w:r>
      <w:r>
        <w:rPr>
          <w:spacing w:val="-1"/>
          <w:sz w:val="20"/>
        </w:rPr>
        <w:t xml:space="preserve"> </w:t>
      </w:r>
      <w:r>
        <w:rPr>
          <w:sz w:val="20"/>
        </w:rPr>
        <w:t>O acórdão do TRF da 4ª Região traz a seguinte ementa (e-STJ fl. 443): ADMINISTRATIVO. USUCAPIÃO. VILA DOMITILA. BEM PÚBLICO. IMÓVEL PERTENCENTE AO INSTITUTO NACIONAL</w:t>
      </w:r>
      <w:r>
        <w:rPr>
          <w:spacing w:val="34"/>
          <w:sz w:val="20"/>
        </w:rPr>
        <w:t xml:space="preserve">  </w:t>
      </w:r>
      <w:r>
        <w:rPr>
          <w:sz w:val="20"/>
        </w:rPr>
        <w:t>DO</w:t>
      </w:r>
      <w:r>
        <w:rPr>
          <w:spacing w:val="35"/>
          <w:sz w:val="20"/>
        </w:rPr>
        <w:t xml:space="preserve">  </w:t>
      </w:r>
      <w:r>
        <w:rPr>
          <w:sz w:val="20"/>
        </w:rPr>
        <w:t>SEGURO</w:t>
      </w:r>
      <w:r>
        <w:rPr>
          <w:spacing w:val="35"/>
          <w:sz w:val="20"/>
        </w:rPr>
        <w:t xml:space="preserve">  </w:t>
      </w:r>
      <w:r>
        <w:rPr>
          <w:sz w:val="20"/>
        </w:rPr>
        <w:t>SOCIAL</w:t>
      </w:r>
      <w:r>
        <w:rPr>
          <w:spacing w:val="36"/>
          <w:sz w:val="20"/>
        </w:rPr>
        <w:t xml:space="preserve">  </w:t>
      </w:r>
      <w:r>
        <w:rPr>
          <w:sz w:val="20"/>
        </w:rPr>
        <w:t>-</w:t>
      </w:r>
      <w:r>
        <w:rPr>
          <w:spacing w:val="34"/>
          <w:sz w:val="20"/>
        </w:rPr>
        <w:t xml:space="preserve">  </w:t>
      </w:r>
      <w:r>
        <w:rPr>
          <w:sz w:val="20"/>
        </w:rPr>
        <w:t>INSS.</w:t>
      </w:r>
      <w:r>
        <w:rPr>
          <w:spacing w:val="35"/>
          <w:sz w:val="20"/>
        </w:rPr>
        <w:t xml:space="preserve">  </w:t>
      </w:r>
      <w:r>
        <w:rPr>
          <w:spacing w:val="-2"/>
          <w:sz w:val="20"/>
        </w:rPr>
        <w:t>IMPOSSIBILIDADE.</w:t>
      </w:r>
    </w:p>
    <w:p w:rsidR="007259F2" w:rsidRDefault="00E655B4">
      <w:pPr>
        <w:ind w:left="2978" w:right="988"/>
        <w:jc w:val="both"/>
        <w:rPr>
          <w:sz w:val="20"/>
        </w:rPr>
      </w:pPr>
      <w:r>
        <w:rPr>
          <w:sz w:val="20"/>
        </w:rPr>
        <w:t xml:space="preserve">INDEFERIMENTO DA INICIAL. </w:t>
      </w:r>
      <w:r>
        <w:rPr>
          <w:b/>
          <w:sz w:val="20"/>
        </w:rPr>
        <w:t>1. O entendimento desta Corte é firme no sentido da impossibilidade jurídica de aquisição por usucapião de</w:t>
      </w:r>
      <w:r>
        <w:rPr>
          <w:b/>
          <w:spacing w:val="40"/>
          <w:sz w:val="20"/>
        </w:rPr>
        <w:t xml:space="preserve"> </w:t>
      </w:r>
      <w:r>
        <w:rPr>
          <w:b/>
          <w:sz w:val="20"/>
        </w:rPr>
        <w:t>bem público (art. 183, § 3º, da CF). 2. Reconhecido que o Instituto Nacional do Seguro Social - INSS é o legítimo proprietário dos imóveis localizados na "Vila Domitila", em Curitiba/PR, não há como</w:t>
      </w:r>
      <w:r>
        <w:rPr>
          <w:b/>
          <w:spacing w:val="40"/>
          <w:sz w:val="20"/>
        </w:rPr>
        <w:t xml:space="preserve"> </w:t>
      </w:r>
      <w:r>
        <w:rPr>
          <w:b/>
          <w:sz w:val="20"/>
        </w:rPr>
        <w:t>reconhecer o pedido de usucapião, sob pena de ofensa à Constituição Federal.</w:t>
      </w:r>
      <w:r>
        <w:rPr>
          <w:b/>
          <w:spacing w:val="5"/>
          <w:sz w:val="20"/>
        </w:rPr>
        <w:t xml:space="preserve"> </w:t>
      </w:r>
      <w:r>
        <w:rPr>
          <w:sz w:val="20"/>
        </w:rPr>
        <w:t>3.</w:t>
      </w:r>
      <w:r>
        <w:rPr>
          <w:spacing w:val="5"/>
          <w:sz w:val="20"/>
        </w:rPr>
        <w:t xml:space="preserve"> </w:t>
      </w:r>
      <w:r>
        <w:rPr>
          <w:sz w:val="20"/>
        </w:rPr>
        <w:t>Indeferimento</w:t>
      </w:r>
      <w:r>
        <w:rPr>
          <w:spacing w:val="4"/>
          <w:sz w:val="20"/>
        </w:rPr>
        <w:t xml:space="preserve"> </w:t>
      </w:r>
      <w:r>
        <w:rPr>
          <w:sz w:val="20"/>
        </w:rPr>
        <w:t>da</w:t>
      </w:r>
      <w:r>
        <w:rPr>
          <w:spacing w:val="5"/>
          <w:sz w:val="20"/>
        </w:rPr>
        <w:t xml:space="preserve"> </w:t>
      </w:r>
      <w:r>
        <w:rPr>
          <w:sz w:val="20"/>
        </w:rPr>
        <w:t>inicial</w:t>
      </w:r>
      <w:r>
        <w:rPr>
          <w:spacing w:val="6"/>
          <w:sz w:val="20"/>
        </w:rPr>
        <w:t xml:space="preserve"> </w:t>
      </w:r>
      <w:r>
        <w:rPr>
          <w:sz w:val="20"/>
        </w:rPr>
        <w:t>mantido.</w:t>
      </w:r>
      <w:r>
        <w:rPr>
          <w:spacing w:val="5"/>
          <w:sz w:val="20"/>
        </w:rPr>
        <w:t xml:space="preserve"> </w:t>
      </w:r>
      <w:r>
        <w:rPr>
          <w:sz w:val="20"/>
        </w:rPr>
        <w:t>No</w:t>
      </w:r>
      <w:r>
        <w:rPr>
          <w:spacing w:val="5"/>
          <w:sz w:val="20"/>
        </w:rPr>
        <w:t xml:space="preserve"> </w:t>
      </w:r>
      <w:r>
        <w:rPr>
          <w:sz w:val="20"/>
        </w:rPr>
        <w:t>recurso</w:t>
      </w:r>
      <w:r>
        <w:rPr>
          <w:spacing w:val="4"/>
          <w:sz w:val="20"/>
        </w:rPr>
        <w:t xml:space="preserve"> </w:t>
      </w:r>
      <w:r>
        <w:rPr>
          <w:sz w:val="20"/>
        </w:rPr>
        <w:t>especial</w:t>
      </w:r>
      <w:r>
        <w:rPr>
          <w:spacing w:val="4"/>
          <w:sz w:val="20"/>
        </w:rPr>
        <w:t xml:space="preserve"> </w:t>
      </w:r>
      <w:r>
        <w:rPr>
          <w:sz w:val="20"/>
        </w:rPr>
        <w:t>(e-STJ</w:t>
      </w:r>
      <w:r>
        <w:rPr>
          <w:spacing w:val="6"/>
          <w:sz w:val="20"/>
        </w:rPr>
        <w:t xml:space="preserve"> </w:t>
      </w:r>
      <w:r>
        <w:rPr>
          <w:spacing w:val="-4"/>
          <w:sz w:val="20"/>
        </w:rPr>
        <w:t>fls.</w:t>
      </w:r>
    </w:p>
    <w:p w:rsidR="007259F2" w:rsidRDefault="007259F2">
      <w:pPr>
        <w:jc w:val="both"/>
        <w:rPr>
          <w:sz w:val="20"/>
        </w:rPr>
        <w:sectPr w:rsidR="007259F2">
          <w:pgSz w:w="11910" w:h="16840"/>
          <w:pgMar w:top="1320" w:right="708" w:bottom="1160" w:left="992" w:header="0" w:footer="962" w:gutter="0"/>
          <w:cols w:space="720"/>
        </w:sectPr>
      </w:pPr>
    </w:p>
    <w:p w:rsidR="007259F2" w:rsidRDefault="00E655B4">
      <w:pPr>
        <w:spacing w:before="71"/>
        <w:ind w:left="2978" w:right="985"/>
        <w:jc w:val="both"/>
        <w:rPr>
          <w:sz w:val="20"/>
        </w:rPr>
      </w:pPr>
      <w:r>
        <w:rPr>
          <w:sz w:val="20"/>
        </w:rPr>
        <w:lastRenderedPageBreak/>
        <w:t>453/457), fundamentado no art. 105,</w:t>
      </w:r>
      <w:r>
        <w:rPr>
          <w:spacing w:val="-2"/>
          <w:sz w:val="20"/>
        </w:rPr>
        <w:t xml:space="preserve"> </w:t>
      </w:r>
      <w:r>
        <w:rPr>
          <w:sz w:val="20"/>
        </w:rPr>
        <w:t>III, alíneas "a" e</w:t>
      </w:r>
      <w:r>
        <w:rPr>
          <w:spacing w:val="-2"/>
          <w:sz w:val="20"/>
        </w:rPr>
        <w:t xml:space="preserve"> </w:t>
      </w:r>
      <w:r>
        <w:rPr>
          <w:sz w:val="20"/>
        </w:rPr>
        <w:t>"c",</w:t>
      </w:r>
      <w:r>
        <w:rPr>
          <w:spacing w:val="-2"/>
          <w:sz w:val="20"/>
        </w:rPr>
        <w:t xml:space="preserve"> </w:t>
      </w:r>
      <w:r>
        <w:rPr>
          <w:sz w:val="20"/>
        </w:rPr>
        <w:t>da CF, a recorrente apontou violação do art. 282 do CPC/1973, visto que estariam presentes os requisitos necessários ao reconhecimento da usucapião postulada sobre o imóvel em</w:t>
      </w:r>
      <w:r>
        <w:rPr>
          <w:spacing w:val="-1"/>
          <w:sz w:val="20"/>
        </w:rPr>
        <w:t xml:space="preserve"> </w:t>
      </w:r>
      <w:r>
        <w:rPr>
          <w:sz w:val="20"/>
        </w:rPr>
        <w:t>disputa, além de que o bem usucapiendo não seria público, sendo, dessa maneira, descabido extinguir a demanda sem resolução do mérito, por impossibilidade jurídica do</w:t>
      </w:r>
      <w:r>
        <w:rPr>
          <w:spacing w:val="-1"/>
          <w:sz w:val="20"/>
        </w:rPr>
        <w:t xml:space="preserve"> </w:t>
      </w:r>
      <w:r>
        <w:rPr>
          <w:sz w:val="20"/>
        </w:rPr>
        <w:t>pedido. Não foram</w:t>
      </w:r>
      <w:r>
        <w:rPr>
          <w:spacing w:val="-3"/>
          <w:sz w:val="20"/>
        </w:rPr>
        <w:t xml:space="preserve"> </w:t>
      </w:r>
      <w:r>
        <w:rPr>
          <w:sz w:val="20"/>
        </w:rPr>
        <w:t>apresentadas contrarrazões (e- STJ fl. 473). No agravo (e-STJ fls. 499/505), afirma a presença de todos os requisitos de admissibilidade do especial. Não foi apresentada contraminuta (e-STJ fl. 517). É o relatório. Decido. O recurso especial e o agravo foram interpostos com fundamento no Código de Processo Civil de 1973, por isso devem ser exigidos os requisitos de admissibilidade recursal na forma nele prevista, com as interpretações dadas pela jurisprudência desta Corte (Enunciado Administrativo n. 2/STJ). Nas alegações do</w:t>
      </w:r>
      <w:r>
        <w:rPr>
          <w:spacing w:val="-1"/>
          <w:sz w:val="20"/>
        </w:rPr>
        <w:t xml:space="preserve"> </w:t>
      </w:r>
      <w:r>
        <w:rPr>
          <w:sz w:val="20"/>
        </w:rPr>
        <w:t>especial, a recorrente apontou violação do art. 282 do CPC/1973 para argumentar que estariam presentes as condições necessárias à declaração da usucapião postulada sobre o imóvel em disputa, além de que o bem usucapiendo não seria público, sendo, dessa maneira, descabido extinguir a demanda sem resolução do mérito, por impossibilidade jurídica do pedido. Todavia, o dispositivo legal supramencionado não possui o alcance normativo pretendido pela recorrente, a fim de sustentar suas alegações, porque apenas prevê genericamente os requisitos da petição inicial. Dessa forma, a fundamentação recursal mostra- se deficiente e atrai, por analogia, a incidência da Súmula n. 284/STF. A</w:t>
      </w:r>
      <w:r>
        <w:rPr>
          <w:spacing w:val="-1"/>
          <w:sz w:val="20"/>
        </w:rPr>
        <w:t xml:space="preserve"> </w:t>
      </w:r>
      <w:r>
        <w:rPr>
          <w:sz w:val="20"/>
        </w:rPr>
        <w:t>esse respeito: AgInt no AgInt no AREsp n. 984.530/SP, Relator Ministro RAUL ARAÚJO,</w:t>
      </w:r>
      <w:r>
        <w:rPr>
          <w:spacing w:val="35"/>
          <w:sz w:val="20"/>
        </w:rPr>
        <w:t xml:space="preserve"> </w:t>
      </w:r>
      <w:r>
        <w:rPr>
          <w:sz w:val="20"/>
        </w:rPr>
        <w:t>QUARTA</w:t>
      </w:r>
      <w:r>
        <w:rPr>
          <w:spacing w:val="33"/>
          <w:sz w:val="20"/>
        </w:rPr>
        <w:t xml:space="preserve"> </w:t>
      </w:r>
      <w:r>
        <w:rPr>
          <w:sz w:val="20"/>
        </w:rPr>
        <w:t>TURMA,</w:t>
      </w:r>
      <w:r>
        <w:rPr>
          <w:spacing w:val="36"/>
          <w:sz w:val="20"/>
        </w:rPr>
        <w:t xml:space="preserve"> </w:t>
      </w:r>
      <w:r>
        <w:rPr>
          <w:sz w:val="20"/>
        </w:rPr>
        <w:t>julgado</w:t>
      </w:r>
      <w:r>
        <w:rPr>
          <w:spacing w:val="37"/>
          <w:sz w:val="20"/>
        </w:rPr>
        <w:t xml:space="preserve"> </w:t>
      </w:r>
      <w:r>
        <w:rPr>
          <w:sz w:val="20"/>
        </w:rPr>
        <w:t>em</w:t>
      </w:r>
      <w:r>
        <w:rPr>
          <w:spacing w:val="32"/>
          <w:sz w:val="20"/>
        </w:rPr>
        <w:t xml:space="preserve"> </w:t>
      </w:r>
      <w:r>
        <w:rPr>
          <w:sz w:val="20"/>
        </w:rPr>
        <w:t>21/9/2017,</w:t>
      </w:r>
      <w:r>
        <w:rPr>
          <w:spacing w:val="36"/>
          <w:sz w:val="20"/>
        </w:rPr>
        <w:t xml:space="preserve"> </w:t>
      </w:r>
      <w:r>
        <w:rPr>
          <w:sz w:val="20"/>
        </w:rPr>
        <w:t>DJe</w:t>
      </w:r>
      <w:r>
        <w:rPr>
          <w:spacing w:val="35"/>
          <w:sz w:val="20"/>
        </w:rPr>
        <w:t xml:space="preserve"> </w:t>
      </w:r>
      <w:r>
        <w:rPr>
          <w:sz w:val="20"/>
        </w:rPr>
        <w:t>20/10/2017,</w:t>
      </w:r>
      <w:r>
        <w:rPr>
          <w:spacing w:val="34"/>
          <w:sz w:val="20"/>
        </w:rPr>
        <w:t xml:space="preserve"> </w:t>
      </w:r>
      <w:r>
        <w:rPr>
          <w:spacing w:val="-10"/>
          <w:sz w:val="20"/>
        </w:rPr>
        <w:t>e</w:t>
      </w:r>
    </w:p>
    <w:p w:rsidR="007259F2" w:rsidRDefault="00E655B4">
      <w:pPr>
        <w:spacing w:before="1"/>
        <w:ind w:left="2978" w:right="995"/>
        <w:jc w:val="both"/>
        <w:rPr>
          <w:sz w:val="20"/>
        </w:rPr>
      </w:pPr>
      <w:r>
        <w:rPr>
          <w:sz w:val="20"/>
        </w:rPr>
        <w:t>AgInt no REsp n. 1.505.441/SC, Relator Ministro RICARDO VILLAS</w:t>
      </w:r>
      <w:r>
        <w:rPr>
          <w:spacing w:val="40"/>
          <w:sz w:val="20"/>
        </w:rPr>
        <w:t xml:space="preserve"> </w:t>
      </w:r>
      <w:r>
        <w:rPr>
          <w:sz w:val="20"/>
        </w:rPr>
        <w:t>BÔAS</w:t>
      </w:r>
      <w:r>
        <w:rPr>
          <w:spacing w:val="-1"/>
          <w:sz w:val="20"/>
        </w:rPr>
        <w:t xml:space="preserve"> </w:t>
      </w:r>
      <w:r>
        <w:rPr>
          <w:sz w:val="20"/>
        </w:rPr>
        <w:t>CUEVA,</w:t>
      </w:r>
      <w:r>
        <w:rPr>
          <w:spacing w:val="-1"/>
          <w:sz w:val="20"/>
        </w:rPr>
        <w:t xml:space="preserve"> </w:t>
      </w:r>
      <w:r>
        <w:rPr>
          <w:sz w:val="20"/>
        </w:rPr>
        <w:t>TERCEIRA</w:t>
      </w:r>
      <w:r>
        <w:rPr>
          <w:spacing w:val="-2"/>
          <w:sz w:val="20"/>
        </w:rPr>
        <w:t xml:space="preserve"> </w:t>
      </w:r>
      <w:r>
        <w:rPr>
          <w:sz w:val="20"/>
        </w:rPr>
        <w:t>TURMA,</w:t>
      </w:r>
      <w:r>
        <w:rPr>
          <w:spacing w:val="-1"/>
          <w:sz w:val="20"/>
        </w:rPr>
        <w:t xml:space="preserve"> </w:t>
      </w:r>
      <w:r>
        <w:rPr>
          <w:sz w:val="20"/>
        </w:rPr>
        <w:t>julgado</w:t>
      </w:r>
      <w:r>
        <w:rPr>
          <w:spacing w:val="-1"/>
          <w:sz w:val="20"/>
        </w:rPr>
        <w:t xml:space="preserve"> </w:t>
      </w:r>
      <w:r>
        <w:rPr>
          <w:sz w:val="20"/>
        </w:rPr>
        <w:t>em</w:t>
      </w:r>
      <w:r>
        <w:rPr>
          <w:spacing w:val="-5"/>
          <w:sz w:val="20"/>
        </w:rPr>
        <w:t xml:space="preserve"> </w:t>
      </w:r>
      <w:r>
        <w:rPr>
          <w:sz w:val="20"/>
        </w:rPr>
        <w:t>27/6/2017,</w:t>
      </w:r>
      <w:r>
        <w:rPr>
          <w:spacing w:val="-2"/>
          <w:sz w:val="20"/>
        </w:rPr>
        <w:t xml:space="preserve"> </w:t>
      </w:r>
      <w:r>
        <w:rPr>
          <w:sz w:val="20"/>
        </w:rPr>
        <w:t>DJe</w:t>
      </w:r>
      <w:r>
        <w:rPr>
          <w:spacing w:val="-2"/>
          <w:sz w:val="20"/>
        </w:rPr>
        <w:t xml:space="preserve"> 2/8/2017.</w:t>
      </w:r>
    </w:p>
    <w:p w:rsidR="007259F2" w:rsidRDefault="00E655B4">
      <w:pPr>
        <w:spacing w:before="1"/>
        <w:ind w:left="2978" w:right="988"/>
        <w:jc w:val="both"/>
        <w:rPr>
          <w:sz w:val="20"/>
        </w:rPr>
      </w:pPr>
      <w:r>
        <w:rPr>
          <w:sz w:val="20"/>
        </w:rPr>
        <w:t>É de ver que o Tribunal de origem não debateu o conteúdo do art. 282 do CC/2002. Dessa forma, sem ter sido objeto de debate na decisão recorrida e ante a falta de aclaratórios, a matéria contida em tal dispositivo carece de prequestionamento e sofre, por conseguinte, o empecilho das Súmulas n. 282 e 356 do STF. Além</w:t>
      </w:r>
      <w:r>
        <w:rPr>
          <w:spacing w:val="-1"/>
          <w:sz w:val="20"/>
        </w:rPr>
        <w:t xml:space="preserve"> </w:t>
      </w:r>
      <w:r>
        <w:rPr>
          <w:sz w:val="20"/>
        </w:rPr>
        <w:t>disso, o Tribunal a quo, soberano na análise do processo cognitivo dos autos, não reconheceu a usucapião alegada pela recorrente</w:t>
      </w:r>
      <w:r>
        <w:rPr>
          <w:spacing w:val="40"/>
          <w:sz w:val="20"/>
        </w:rPr>
        <w:t xml:space="preserve"> </w:t>
      </w:r>
      <w:r>
        <w:rPr>
          <w:sz w:val="20"/>
        </w:rPr>
        <w:t xml:space="preserve">sobre o imóvel litigioso, ante a natureza pública do bem. Confira-se (e-STJ fls. 440/442): </w:t>
      </w:r>
      <w:r>
        <w:rPr>
          <w:b/>
          <w:sz w:val="20"/>
        </w:rPr>
        <w:t>É cediço que os imóveis de propriedade pública, de titularidade da União, não podem ser passíveis de usucapião em razão das características do regime excepcional dos bens públicos, tais como a inalienabilidade, a imprescritibilidade e de estarem fora do comércio, as quais impedem que sobre eles ocorra prescrição aquisitiva. Nesse</w:t>
      </w:r>
      <w:r>
        <w:rPr>
          <w:b/>
          <w:spacing w:val="40"/>
          <w:sz w:val="20"/>
        </w:rPr>
        <w:t xml:space="preserve"> </w:t>
      </w:r>
      <w:r>
        <w:rPr>
          <w:b/>
          <w:sz w:val="20"/>
        </w:rPr>
        <w:t xml:space="preserve">sentido, o art. 183, § 3º e o art. 191, parágrafo único, ambos da Constituição Federal de 1988, in verbis: </w:t>
      </w:r>
      <w:r>
        <w:rPr>
          <w:sz w:val="20"/>
        </w:rPr>
        <w:t>[...] De outro lado, constata-se</w:t>
      </w:r>
      <w:r>
        <w:rPr>
          <w:spacing w:val="40"/>
          <w:sz w:val="20"/>
        </w:rPr>
        <w:t xml:space="preserve"> </w:t>
      </w:r>
      <w:r>
        <w:rPr>
          <w:sz w:val="20"/>
        </w:rPr>
        <w:t>que, em</w:t>
      </w:r>
      <w:r>
        <w:rPr>
          <w:spacing w:val="-1"/>
          <w:sz w:val="20"/>
        </w:rPr>
        <w:t xml:space="preserve"> </w:t>
      </w:r>
      <w:r>
        <w:rPr>
          <w:sz w:val="20"/>
        </w:rPr>
        <w:t>relação aos imóveis localizados na Vila Domitila, em Curitiba/PR, já houve decisão definitiva reconhecendo a propriedade</w:t>
      </w:r>
      <w:r>
        <w:rPr>
          <w:spacing w:val="-1"/>
          <w:sz w:val="20"/>
        </w:rPr>
        <w:t xml:space="preserve"> </w:t>
      </w:r>
      <w:r>
        <w:rPr>
          <w:sz w:val="20"/>
        </w:rPr>
        <w:t xml:space="preserve">do INSS sobre a área e, portanto, na medida em que públicos e pertencentes à União, a impossibilidade de virem a ser usucapidos. </w:t>
      </w:r>
      <w:r>
        <w:rPr>
          <w:b/>
          <w:sz w:val="20"/>
        </w:rPr>
        <w:t>A matéria está pacificada no âmbito</w:t>
      </w:r>
      <w:r>
        <w:rPr>
          <w:b/>
          <w:spacing w:val="-3"/>
          <w:sz w:val="20"/>
        </w:rPr>
        <w:t xml:space="preserve"> </w:t>
      </w:r>
      <w:r>
        <w:rPr>
          <w:b/>
          <w:sz w:val="20"/>
        </w:rPr>
        <w:t>deste</w:t>
      </w:r>
      <w:r>
        <w:rPr>
          <w:b/>
          <w:spacing w:val="-4"/>
          <w:sz w:val="20"/>
        </w:rPr>
        <w:t xml:space="preserve"> </w:t>
      </w:r>
      <w:r>
        <w:rPr>
          <w:b/>
          <w:sz w:val="20"/>
        </w:rPr>
        <w:t>Tribunal,</w:t>
      </w:r>
      <w:r>
        <w:rPr>
          <w:b/>
          <w:spacing w:val="-4"/>
          <w:sz w:val="20"/>
        </w:rPr>
        <w:t xml:space="preserve"> </w:t>
      </w:r>
      <w:r>
        <w:rPr>
          <w:b/>
          <w:sz w:val="20"/>
        </w:rPr>
        <w:t>conforme</w:t>
      </w:r>
      <w:r>
        <w:rPr>
          <w:b/>
          <w:spacing w:val="-4"/>
          <w:sz w:val="20"/>
        </w:rPr>
        <w:t xml:space="preserve"> </w:t>
      </w:r>
      <w:r>
        <w:rPr>
          <w:b/>
          <w:sz w:val="20"/>
        </w:rPr>
        <w:t>exemplificam</w:t>
      </w:r>
      <w:r>
        <w:rPr>
          <w:b/>
          <w:spacing w:val="-6"/>
          <w:sz w:val="20"/>
        </w:rPr>
        <w:t xml:space="preserve"> </w:t>
      </w:r>
      <w:r>
        <w:rPr>
          <w:b/>
          <w:sz w:val="20"/>
        </w:rPr>
        <w:t>os</w:t>
      </w:r>
      <w:r>
        <w:rPr>
          <w:b/>
          <w:spacing w:val="-5"/>
          <w:sz w:val="20"/>
        </w:rPr>
        <w:t xml:space="preserve"> </w:t>
      </w:r>
      <w:r>
        <w:rPr>
          <w:b/>
          <w:sz w:val="20"/>
        </w:rPr>
        <w:t>seguintes</w:t>
      </w:r>
      <w:r>
        <w:rPr>
          <w:b/>
          <w:spacing w:val="-5"/>
          <w:sz w:val="20"/>
        </w:rPr>
        <w:t xml:space="preserve"> </w:t>
      </w:r>
      <w:r>
        <w:rPr>
          <w:b/>
          <w:sz w:val="20"/>
        </w:rPr>
        <w:t>julgados:</w:t>
      </w:r>
      <w:r>
        <w:rPr>
          <w:b/>
          <w:spacing w:val="-4"/>
          <w:sz w:val="20"/>
        </w:rPr>
        <w:t xml:space="preserve"> </w:t>
      </w:r>
      <w:r>
        <w:rPr>
          <w:b/>
          <w:sz w:val="20"/>
        </w:rPr>
        <w:t>[...] Desta forma, possuindo o imóvel a natureza de bem público, resta impossibilitada a pretensão da apelante de adquirir a área por</w:t>
      </w:r>
      <w:r>
        <w:rPr>
          <w:b/>
          <w:spacing w:val="40"/>
          <w:sz w:val="20"/>
        </w:rPr>
        <w:t xml:space="preserve"> </w:t>
      </w:r>
      <w:r>
        <w:rPr>
          <w:b/>
          <w:sz w:val="20"/>
        </w:rPr>
        <w:t xml:space="preserve">usucapião, do que decorre a correção da decisão da magistrada monocrática. </w:t>
      </w:r>
      <w:r>
        <w:rPr>
          <w:sz w:val="20"/>
        </w:rPr>
        <w:t>Ante o exposto, voto por negar provimento à apelação. É o voto. Diante da propriedade pública do imóvel premissa insuscetível de revisão nesta sede especial, ante a incidência do óbice da Súmula n. 7/STJ, verifica-se que o entendimento da Justiça de origem se harmoniza com a jurisprudência do STJ, segundo o qual "a Súmula 340/STF orienta que, desde a vigência do Código Civil de 1916, os bens dominicais, como os demais</w:t>
      </w:r>
      <w:r>
        <w:rPr>
          <w:spacing w:val="40"/>
          <w:sz w:val="20"/>
        </w:rPr>
        <w:t xml:space="preserve"> </w:t>
      </w:r>
      <w:r>
        <w:rPr>
          <w:sz w:val="20"/>
        </w:rPr>
        <w:t>bens públicos, não podem ser adquiridos por usucapião" (REsp n. 1.090.847/RS,</w:t>
      </w:r>
      <w:r>
        <w:rPr>
          <w:spacing w:val="55"/>
          <w:w w:val="150"/>
          <w:sz w:val="20"/>
        </w:rPr>
        <w:t xml:space="preserve"> </w:t>
      </w:r>
      <w:r>
        <w:rPr>
          <w:sz w:val="20"/>
        </w:rPr>
        <w:t>Relator</w:t>
      </w:r>
      <w:r>
        <w:rPr>
          <w:spacing w:val="56"/>
          <w:w w:val="150"/>
          <w:sz w:val="20"/>
        </w:rPr>
        <w:t xml:space="preserve"> </w:t>
      </w:r>
      <w:r>
        <w:rPr>
          <w:sz w:val="20"/>
        </w:rPr>
        <w:t>Ministro</w:t>
      </w:r>
      <w:r>
        <w:rPr>
          <w:spacing w:val="57"/>
          <w:w w:val="150"/>
          <w:sz w:val="20"/>
        </w:rPr>
        <w:t xml:space="preserve"> </w:t>
      </w:r>
      <w:r>
        <w:rPr>
          <w:sz w:val="20"/>
        </w:rPr>
        <w:t>LUIS</w:t>
      </w:r>
      <w:r>
        <w:rPr>
          <w:spacing w:val="58"/>
          <w:w w:val="150"/>
          <w:sz w:val="20"/>
        </w:rPr>
        <w:t xml:space="preserve"> </w:t>
      </w:r>
      <w:r>
        <w:rPr>
          <w:sz w:val="20"/>
        </w:rPr>
        <w:t>FELIPE</w:t>
      </w:r>
      <w:r>
        <w:rPr>
          <w:spacing w:val="56"/>
          <w:w w:val="150"/>
          <w:sz w:val="20"/>
        </w:rPr>
        <w:t xml:space="preserve"> </w:t>
      </w:r>
      <w:r>
        <w:rPr>
          <w:sz w:val="20"/>
        </w:rPr>
        <w:t>SALOMÃO,</w:t>
      </w:r>
      <w:r>
        <w:rPr>
          <w:spacing w:val="59"/>
          <w:w w:val="150"/>
          <w:sz w:val="20"/>
        </w:rPr>
        <w:t xml:space="preserve"> </w:t>
      </w:r>
      <w:r>
        <w:rPr>
          <w:spacing w:val="-2"/>
          <w:sz w:val="20"/>
        </w:rPr>
        <w:t>QUARTA</w:t>
      </w:r>
    </w:p>
    <w:p w:rsidR="007259F2" w:rsidRDefault="00E655B4">
      <w:pPr>
        <w:tabs>
          <w:tab w:val="left" w:pos="4928"/>
          <w:tab w:val="left" w:pos="6187"/>
          <w:tab w:val="left" w:pos="8644"/>
        </w:tabs>
        <w:spacing w:before="1"/>
        <w:ind w:left="2978" w:right="987"/>
        <w:jc w:val="both"/>
        <w:rPr>
          <w:sz w:val="20"/>
        </w:rPr>
      </w:pPr>
      <w:r>
        <w:rPr>
          <w:sz w:val="20"/>
        </w:rPr>
        <w:t xml:space="preserve">TURMA, julgado em 23/4/2013, DJe 10/5/2013). Em igual sentido: </w:t>
      </w:r>
      <w:r>
        <w:rPr>
          <w:spacing w:val="-2"/>
          <w:sz w:val="20"/>
        </w:rPr>
        <w:t>PROCESSUAL</w:t>
      </w:r>
      <w:r>
        <w:rPr>
          <w:sz w:val="20"/>
        </w:rPr>
        <w:tab/>
      </w:r>
      <w:r>
        <w:rPr>
          <w:spacing w:val="-2"/>
          <w:sz w:val="20"/>
        </w:rPr>
        <w:t>CIVIL.</w:t>
      </w:r>
      <w:r>
        <w:rPr>
          <w:sz w:val="20"/>
        </w:rPr>
        <w:tab/>
      </w:r>
      <w:r>
        <w:rPr>
          <w:spacing w:val="-2"/>
          <w:sz w:val="20"/>
        </w:rPr>
        <w:t>ADMINISTRATIVO.</w:t>
      </w:r>
      <w:r>
        <w:rPr>
          <w:sz w:val="20"/>
        </w:rPr>
        <w:tab/>
      </w:r>
      <w:r>
        <w:rPr>
          <w:spacing w:val="-4"/>
          <w:sz w:val="20"/>
        </w:rPr>
        <w:t xml:space="preserve">AÇÃO </w:t>
      </w:r>
      <w:r>
        <w:rPr>
          <w:sz w:val="20"/>
        </w:rPr>
        <w:t>DISCRIMINATÓRIA. PONTAL DO PARANAPANEMA. ACÓRDÃO RECORRIDO.</w:t>
      </w:r>
      <w:r>
        <w:rPr>
          <w:spacing w:val="73"/>
          <w:w w:val="150"/>
          <w:sz w:val="20"/>
        </w:rPr>
        <w:t xml:space="preserve"> </w:t>
      </w:r>
      <w:r>
        <w:rPr>
          <w:sz w:val="20"/>
        </w:rPr>
        <w:t>OMISSÃO.</w:t>
      </w:r>
      <w:r>
        <w:rPr>
          <w:spacing w:val="76"/>
          <w:w w:val="150"/>
          <w:sz w:val="20"/>
        </w:rPr>
        <w:t xml:space="preserve"> </w:t>
      </w:r>
      <w:r>
        <w:rPr>
          <w:sz w:val="20"/>
        </w:rPr>
        <w:t>FALTA</w:t>
      </w:r>
      <w:r>
        <w:rPr>
          <w:spacing w:val="74"/>
          <w:w w:val="150"/>
          <w:sz w:val="20"/>
        </w:rPr>
        <w:t xml:space="preserve"> </w:t>
      </w:r>
      <w:r>
        <w:rPr>
          <w:sz w:val="20"/>
        </w:rPr>
        <w:t>DE</w:t>
      </w:r>
      <w:r>
        <w:rPr>
          <w:spacing w:val="73"/>
          <w:w w:val="150"/>
          <w:sz w:val="20"/>
        </w:rPr>
        <w:t xml:space="preserve"> </w:t>
      </w:r>
      <w:r>
        <w:rPr>
          <w:sz w:val="20"/>
        </w:rPr>
        <w:t>FUNDAMENTAÇÃO.</w:t>
      </w:r>
      <w:r>
        <w:rPr>
          <w:spacing w:val="76"/>
          <w:w w:val="150"/>
          <w:sz w:val="20"/>
        </w:rPr>
        <w:t xml:space="preserve"> </w:t>
      </w:r>
      <w:r>
        <w:rPr>
          <w:spacing w:val="-4"/>
          <w:sz w:val="20"/>
        </w:rPr>
        <w:t>NÃO-</w:t>
      </w:r>
    </w:p>
    <w:p w:rsidR="007259F2" w:rsidRDefault="007259F2">
      <w:pPr>
        <w:jc w:val="both"/>
        <w:rPr>
          <w:sz w:val="20"/>
        </w:rPr>
        <w:sectPr w:rsidR="007259F2">
          <w:pgSz w:w="11910" w:h="16840"/>
          <w:pgMar w:top="1320" w:right="708" w:bottom="1160" w:left="992" w:header="0" w:footer="962" w:gutter="0"/>
          <w:cols w:space="720"/>
        </w:sectPr>
      </w:pPr>
    </w:p>
    <w:p w:rsidR="007259F2" w:rsidRDefault="00E655B4">
      <w:pPr>
        <w:spacing w:before="71"/>
        <w:ind w:left="2978" w:right="992"/>
        <w:jc w:val="both"/>
        <w:rPr>
          <w:sz w:val="20"/>
        </w:rPr>
      </w:pPr>
      <w:r>
        <w:rPr>
          <w:sz w:val="20"/>
        </w:rPr>
        <w:lastRenderedPageBreak/>
        <w:t>CONHECIMENTO. INEXISTÊNCIA DE INTERESSE DA UNIÃO. COMPETÊNCIA DA JUSTIÇA ESTADUAL. ADEQUAÇÃO DA VIA ELEITA. REGULARIDADE DA CITAÇÃO. SÚMULA 7/STJ. LEGISLAÇÃO ESTADUAL. NÃO-CONHECIMENTO. REGISTROS PÚBLICOS. PRESUNÇÃO RELATIVA. PROVA EMPRESTADA. CABIMENTO. DOCUMENTO FALSO. COMPROVAÇÃO DE POSSE. IMPOSSIBILIDADE. USUCAPIÃO COM BASE EM LEGISLAÇÃO ESTADUAL.</w:t>
      </w:r>
      <w:r>
        <w:rPr>
          <w:spacing w:val="72"/>
          <w:sz w:val="20"/>
        </w:rPr>
        <w:t xml:space="preserve">  </w:t>
      </w:r>
      <w:r>
        <w:rPr>
          <w:sz w:val="20"/>
        </w:rPr>
        <w:t>INVIABILIDADE.</w:t>
      </w:r>
      <w:r>
        <w:rPr>
          <w:spacing w:val="72"/>
          <w:sz w:val="20"/>
        </w:rPr>
        <w:t xml:space="preserve">  </w:t>
      </w:r>
      <w:r>
        <w:rPr>
          <w:sz w:val="20"/>
        </w:rPr>
        <w:t>SÚMULA</w:t>
      </w:r>
      <w:r>
        <w:rPr>
          <w:spacing w:val="70"/>
          <w:sz w:val="20"/>
        </w:rPr>
        <w:t xml:space="preserve">  </w:t>
      </w:r>
      <w:r>
        <w:rPr>
          <w:sz w:val="20"/>
        </w:rPr>
        <w:t>340/STF.</w:t>
      </w:r>
      <w:r>
        <w:rPr>
          <w:spacing w:val="72"/>
          <w:sz w:val="20"/>
        </w:rPr>
        <w:t xml:space="preserve">  </w:t>
      </w:r>
      <w:r>
        <w:rPr>
          <w:sz w:val="20"/>
        </w:rPr>
        <w:t>[…].</w:t>
      </w:r>
      <w:r>
        <w:rPr>
          <w:spacing w:val="72"/>
          <w:sz w:val="20"/>
        </w:rPr>
        <w:t xml:space="preserve">  </w:t>
      </w:r>
      <w:r>
        <w:rPr>
          <w:spacing w:val="-5"/>
          <w:sz w:val="20"/>
        </w:rPr>
        <w:t>Não</w:t>
      </w:r>
    </w:p>
    <w:p w:rsidR="007259F2" w:rsidRDefault="00E655B4">
      <w:pPr>
        <w:spacing w:before="1"/>
        <w:ind w:left="2978" w:right="989"/>
        <w:jc w:val="both"/>
        <w:rPr>
          <w:sz w:val="20"/>
        </w:rPr>
      </w:pPr>
      <w:r>
        <w:rPr>
          <w:sz w:val="20"/>
        </w:rPr>
        <w:t xml:space="preserve">comprovada a posse, inviável o reconhecimento de usucapião, qualquer que seja o fundamento jurídico alegado (legislação federal ou estadual). </w:t>
      </w:r>
      <w:r>
        <w:rPr>
          <w:b/>
          <w:sz w:val="20"/>
        </w:rPr>
        <w:t xml:space="preserve">De qualquer forma, o STF, nos processos que sustentam a Súmula 340 daquela Corte ("Desde a vigência do código civil, os bens dominicais, como os demais bens públicos, não podem ser adquiridos por usucapião"), entendeu que inexiste usucapião de imóveis públicos decorrente de legislação estadual, ainda que se trate de terras devolutas pertencentes ao Estado (RE 4.369/SP, j. 21.9.1943). </w:t>
      </w:r>
      <w:r>
        <w:rPr>
          <w:sz w:val="20"/>
        </w:rPr>
        <w:t>Incabível, assim, a pretensão de usucapião extraordinário (e de desnecessidade de comprovação de justo título) com base no Decreto-Lei de SP 14.916/1945. 14. Recurso Especial de Wilson Rondó Júnior e outros não conhecido. Recurso Especial de Ponte Branca S/A e outro parcialmente conhecido e, nessa parte, não provido. Recursos Especiais de Antônio dos Santos Vardasca, Willian</w:t>
      </w:r>
      <w:r>
        <w:rPr>
          <w:spacing w:val="80"/>
          <w:sz w:val="20"/>
        </w:rPr>
        <w:t xml:space="preserve"> </w:t>
      </w:r>
      <w:r>
        <w:rPr>
          <w:sz w:val="20"/>
        </w:rPr>
        <w:t>Branco Peres e outros conhecidos e não providos. (REsp n. 617.428/SP, Relator Ministro HERMAN BENJAMIN, SEGUNDA TURMA, julgado em 26/8/2010, DJe 27/4/2011.) Estando o acórdão impugnado em</w:t>
      </w:r>
      <w:r>
        <w:rPr>
          <w:spacing w:val="-2"/>
          <w:sz w:val="20"/>
        </w:rPr>
        <w:t xml:space="preserve"> </w:t>
      </w:r>
      <w:r>
        <w:rPr>
          <w:sz w:val="20"/>
        </w:rPr>
        <w:t>sintonia com</w:t>
      </w:r>
      <w:r>
        <w:rPr>
          <w:spacing w:val="-2"/>
          <w:sz w:val="20"/>
        </w:rPr>
        <w:t xml:space="preserve"> </w:t>
      </w:r>
      <w:r>
        <w:rPr>
          <w:sz w:val="20"/>
        </w:rPr>
        <w:t>a jurisprudência assente neste Tribunal Superior, incide a Súmula n. 83/STJ, que se aplica como óbice tanto aos recursos interpostos com base na alínea "c" quanto àqueles fundamentados pela alínea "a" do permissivo constitucional. Ante do exposto, NEGO PROVIMENTO ao agravo.</w:t>
      </w:r>
      <w:r>
        <w:rPr>
          <w:spacing w:val="40"/>
          <w:sz w:val="20"/>
        </w:rPr>
        <w:t xml:space="preserve"> </w:t>
      </w:r>
      <w:r>
        <w:rPr>
          <w:sz w:val="20"/>
        </w:rPr>
        <w:t xml:space="preserve">Publique-se e intimem-se. (STJ, 2019, </w:t>
      </w:r>
      <w:r>
        <w:rPr>
          <w:i/>
          <w:sz w:val="20"/>
        </w:rPr>
        <w:t>on-line</w:t>
      </w:r>
      <w:r>
        <w:rPr>
          <w:sz w:val="20"/>
        </w:rPr>
        <w:t>, grifo da autora)</w:t>
      </w:r>
    </w:p>
    <w:p w:rsidR="007259F2" w:rsidRDefault="00E655B4">
      <w:pPr>
        <w:pStyle w:val="Corpodetexto"/>
        <w:spacing w:before="229"/>
        <w:ind w:right="991"/>
      </w:pPr>
      <w:r>
        <w:t>Júlio Cesar Sanchez, em sua obra “Usucapião”, ao abordar sobre a</w:t>
      </w:r>
      <w:r>
        <w:rPr>
          <w:spacing w:val="40"/>
        </w:rPr>
        <w:t xml:space="preserve"> </w:t>
      </w:r>
      <w:r>
        <w:t>jurisprudência do Tribunal de Justiça do Estado de São Paulo acerca da possibilidade</w:t>
      </w:r>
      <w:r>
        <w:rPr>
          <w:spacing w:val="-1"/>
        </w:rPr>
        <w:t xml:space="preserve"> </w:t>
      </w:r>
      <w:r>
        <w:t>de usucapião de bens públicos, apresentou o seguinte dado:</w:t>
      </w:r>
    </w:p>
    <w:p w:rsidR="007259F2" w:rsidRDefault="00E655B4">
      <w:pPr>
        <w:spacing w:before="232"/>
        <w:ind w:left="2978" w:right="993"/>
        <w:jc w:val="both"/>
        <w:rPr>
          <w:sz w:val="20"/>
        </w:rPr>
      </w:pPr>
      <w:r>
        <w:rPr>
          <w:sz w:val="20"/>
        </w:rPr>
        <w:t>Das 20 (vinte) decisões encontradas neste Tribunal, todas foram no sentido contrário à possibilidade da usucapião, sob a justificativa da impossibilidade</w:t>
      </w:r>
      <w:r>
        <w:rPr>
          <w:spacing w:val="40"/>
          <w:sz w:val="20"/>
        </w:rPr>
        <w:t xml:space="preserve"> </w:t>
      </w:r>
      <w:r>
        <w:rPr>
          <w:sz w:val="20"/>
        </w:rPr>
        <w:t>e inadmissibilidade devido à situação de mera detenção do imóvel e da vedação constitucional. (SANCHEZ, 2022, p. 64),</w:t>
      </w:r>
    </w:p>
    <w:p w:rsidR="007259F2" w:rsidRDefault="00E655B4">
      <w:pPr>
        <w:pStyle w:val="Corpodetexto"/>
        <w:spacing w:before="228"/>
        <w:ind w:right="994"/>
      </w:pPr>
      <w:r>
        <w:t>Em oposição à perspectiva adotada pelos Tribunais Superiores, há algumas decisões dos tribunais estaduais pouco comuns no país que sustentam a possibilidade de se admitir a usucapião de bens públicos.</w:t>
      </w:r>
    </w:p>
    <w:p w:rsidR="007259F2" w:rsidRDefault="00E655B4">
      <w:pPr>
        <w:pStyle w:val="Corpodetexto"/>
        <w:spacing w:before="1"/>
        <w:ind w:right="987"/>
      </w:pPr>
      <w:r>
        <w:t>Nesse contexto, menciona-se</w:t>
      </w:r>
      <w:r>
        <w:rPr>
          <w:spacing w:val="-1"/>
        </w:rPr>
        <w:t xml:space="preserve"> </w:t>
      </w:r>
      <w:r>
        <w:t>o seguinte acórdão da</w:t>
      </w:r>
      <w:r>
        <w:rPr>
          <w:spacing w:val="-1"/>
        </w:rPr>
        <w:t xml:space="preserve"> </w:t>
      </w:r>
      <w:r>
        <w:t>5ª Câmara</w:t>
      </w:r>
      <w:r>
        <w:rPr>
          <w:spacing w:val="-1"/>
        </w:rPr>
        <w:t xml:space="preserve"> </w:t>
      </w:r>
      <w:r>
        <w:t>Cível do Tribunal de Justiça de Minas Gerais, referente à Apelação Cível n.º 1.0194.10.011238-3/001/MG (SANCHEZ, 2022), cujo relator é o Desembargador Carlos Levenhagen, datado de 08/05/2014, conforme se segue:</w:t>
      </w:r>
    </w:p>
    <w:p w:rsidR="007259F2" w:rsidRDefault="007259F2">
      <w:pPr>
        <w:pStyle w:val="Corpodetexto"/>
        <w:spacing w:before="1"/>
        <w:ind w:left="0" w:firstLine="0"/>
        <w:jc w:val="left"/>
      </w:pPr>
    </w:p>
    <w:p w:rsidR="007259F2" w:rsidRDefault="00E655B4">
      <w:pPr>
        <w:ind w:left="2978" w:right="990"/>
        <w:jc w:val="both"/>
        <w:rPr>
          <w:sz w:val="20"/>
        </w:rPr>
      </w:pPr>
      <w:r>
        <w:rPr>
          <w:sz w:val="20"/>
        </w:rPr>
        <w:t>EMENTA: APELAÇÃO CIVIL - AÇÃO REIVINDICATÓRIA - DETENÇÃO - INOCORRÊNCIA - POSSE COM "ANIMUS DOMINI" - COMPROVAÇÃO - REQUISITOS DEMONSTRADOS - PRESCRIÇÃO AQUISITIVA</w:t>
      </w:r>
      <w:r>
        <w:rPr>
          <w:spacing w:val="37"/>
          <w:sz w:val="20"/>
        </w:rPr>
        <w:t xml:space="preserve">  </w:t>
      </w:r>
      <w:r>
        <w:rPr>
          <w:sz w:val="20"/>
        </w:rPr>
        <w:t>–</w:t>
      </w:r>
      <w:r>
        <w:rPr>
          <w:spacing w:val="39"/>
          <w:sz w:val="20"/>
        </w:rPr>
        <w:t xml:space="preserve">  </w:t>
      </w:r>
      <w:r>
        <w:rPr>
          <w:sz w:val="20"/>
        </w:rPr>
        <w:t>EVIDÊNCIA</w:t>
      </w:r>
      <w:r>
        <w:rPr>
          <w:spacing w:val="39"/>
          <w:sz w:val="20"/>
        </w:rPr>
        <w:t xml:space="preserve">  </w:t>
      </w:r>
      <w:r>
        <w:rPr>
          <w:sz w:val="20"/>
        </w:rPr>
        <w:t>-POSSIBILIDADE</w:t>
      </w:r>
      <w:r>
        <w:rPr>
          <w:spacing w:val="41"/>
          <w:sz w:val="20"/>
        </w:rPr>
        <w:t xml:space="preserve">  </w:t>
      </w:r>
      <w:r>
        <w:rPr>
          <w:sz w:val="20"/>
        </w:rPr>
        <w:t>-</w:t>
      </w:r>
      <w:r>
        <w:rPr>
          <w:spacing w:val="38"/>
          <w:sz w:val="20"/>
        </w:rPr>
        <w:t xml:space="preserve">  </w:t>
      </w:r>
      <w:r>
        <w:rPr>
          <w:sz w:val="20"/>
        </w:rPr>
        <w:t>EVIDÊNCIA</w:t>
      </w:r>
      <w:r>
        <w:rPr>
          <w:spacing w:val="39"/>
          <w:sz w:val="20"/>
        </w:rPr>
        <w:t xml:space="preserve">  </w:t>
      </w:r>
      <w:r>
        <w:rPr>
          <w:spacing w:val="-10"/>
          <w:sz w:val="20"/>
        </w:rPr>
        <w:t>-</w:t>
      </w:r>
    </w:p>
    <w:p w:rsidR="007259F2" w:rsidRDefault="00E655B4">
      <w:pPr>
        <w:ind w:left="2978" w:right="990"/>
        <w:jc w:val="both"/>
        <w:rPr>
          <w:sz w:val="20"/>
        </w:rPr>
      </w:pPr>
      <w:r>
        <w:rPr>
          <w:sz w:val="20"/>
        </w:rPr>
        <w:t>PRECEDENTES - NEGAR PROVIMENTO. -"A prescrição, modo de adquirir</w:t>
      </w:r>
      <w:r>
        <w:rPr>
          <w:spacing w:val="-2"/>
          <w:sz w:val="20"/>
        </w:rPr>
        <w:t xml:space="preserve"> </w:t>
      </w:r>
      <w:r>
        <w:rPr>
          <w:sz w:val="20"/>
        </w:rPr>
        <w:t>domínio</w:t>
      </w:r>
      <w:r>
        <w:rPr>
          <w:spacing w:val="-1"/>
          <w:sz w:val="20"/>
        </w:rPr>
        <w:t xml:space="preserve"> </w:t>
      </w:r>
      <w:r>
        <w:rPr>
          <w:sz w:val="20"/>
        </w:rPr>
        <w:t>pela</w:t>
      </w:r>
      <w:r>
        <w:rPr>
          <w:spacing w:val="-1"/>
          <w:sz w:val="20"/>
        </w:rPr>
        <w:t xml:space="preserve"> </w:t>
      </w:r>
      <w:r>
        <w:rPr>
          <w:sz w:val="20"/>
        </w:rPr>
        <w:t>posse</w:t>
      </w:r>
      <w:r>
        <w:rPr>
          <w:spacing w:val="-2"/>
          <w:sz w:val="20"/>
        </w:rPr>
        <w:t xml:space="preserve"> </w:t>
      </w:r>
      <w:r>
        <w:rPr>
          <w:sz w:val="20"/>
        </w:rPr>
        <w:t>contínua</w:t>
      </w:r>
      <w:r>
        <w:rPr>
          <w:spacing w:val="-2"/>
          <w:sz w:val="20"/>
        </w:rPr>
        <w:t xml:space="preserve"> </w:t>
      </w:r>
      <w:r>
        <w:rPr>
          <w:sz w:val="20"/>
        </w:rPr>
        <w:t>(isto</w:t>
      </w:r>
      <w:r>
        <w:rPr>
          <w:spacing w:val="-1"/>
          <w:sz w:val="20"/>
        </w:rPr>
        <w:t xml:space="preserve"> </w:t>
      </w:r>
      <w:r>
        <w:rPr>
          <w:sz w:val="20"/>
        </w:rPr>
        <w:t>é,</w:t>
      </w:r>
      <w:r>
        <w:rPr>
          <w:spacing w:val="-1"/>
          <w:sz w:val="20"/>
        </w:rPr>
        <w:t xml:space="preserve"> </w:t>
      </w:r>
      <w:r>
        <w:rPr>
          <w:sz w:val="20"/>
        </w:rPr>
        <w:t>sem</w:t>
      </w:r>
      <w:r>
        <w:rPr>
          <w:spacing w:val="-3"/>
          <w:sz w:val="20"/>
        </w:rPr>
        <w:t xml:space="preserve"> </w:t>
      </w:r>
      <w:r>
        <w:rPr>
          <w:sz w:val="20"/>
        </w:rPr>
        <w:t>intermitências),</w:t>
      </w:r>
      <w:r>
        <w:rPr>
          <w:spacing w:val="-2"/>
          <w:sz w:val="20"/>
        </w:rPr>
        <w:t xml:space="preserve"> </w:t>
      </w:r>
      <w:r>
        <w:rPr>
          <w:sz w:val="20"/>
        </w:rPr>
        <w:t>ininterrupta (isto é, sem que tenha sido interrompida por atos de outrem), pacífica (isto é, não adquirida por violência), pública (isto é, exercida à vista de todos e por todos sabida), e ainda revestida com o animus domini, e com os requisitos legais, transfere e consolida no possuidor a propriedade da coisa,</w:t>
      </w:r>
      <w:r>
        <w:rPr>
          <w:spacing w:val="40"/>
          <w:sz w:val="20"/>
        </w:rPr>
        <w:t xml:space="preserve"> </w:t>
      </w:r>
      <w:r>
        <w:rPr>
          <w:sz w:val="20"/>
        </w:rPr>
        <w:t>transferência</w:t>
      </w:r>
      <w:r>
        <w:rPr>
          <w:spacing w:val="24"/>
          <w:sz w:val="20"/>
        </w:rPr>
        <w:t xml:space="preserve"> </w:t>
      </w:r>
      <w:r>
        <w:rPr>
          <w:sz w:val="20"/>
        </w:rPr>
        <w:t>que</w:t>
      </w:r>
      <w:r>
        <w:rPr>
          <w:spacing w:val="27"/>
          <w:sz w:val="20"/>
        </w:rPr>
        <w:t xml:space="preserve"> </w:t>
      </w:r>
      <w:r>
        <w:rPr>
          <w:sz w:val="20"/>
        </w:rPr>
        <w:t>se</w:t>
      </w:r>
      <w:r>
        <w:rPr>
          <w:spacing w:val="25"/>
          <w:sz w:val="20"/>
        </w:rPr>
        <w:t xml:space="preserve"> </w:t>
      </w:r>
      <w:r>
        <w:rPr>
          <w:sz w:val="20"/>
        </w:rPr>
        <w:t>opera,</w:t>
      </w:r>
      <w:r>
        <w:rPr>
          <w:spacing w:val="24"/>
          <w:sz w:val="20"/>
        </w:rPr>
        <w:t xml:space="preserve"> </w:t>
      </w:r>
      <w:r>
        <w:rPr>
          <w:sz w:val="20"/>
        </w:rPr>
        <w:t>suprindo</w:t>
      </w:r>
      <w:r>
        <w:rPr>
          <w:spacing w:val="26"/>
          <w:sz w:val="20"/>
        </w:rPr>
        <w:t xml:space="preserve"> </w:t>
      </w:r>
      <w:r>
        <w:rPr>
          <w:sz w:val="20"/>
        </w:rPr>
        <w:t>a</w:t>
      </w:r>
      <w:r>
        <w:rPr>
          <w:spacing w:val="25"/>
          <w:sz w:val="20"/>
        </w:rPr>
        <w:t xml:space="preserve"> </w:t>
      </w:r>
      <w:r>
        <w:rPr>
          <w:sz w:val="20"/>
        </w:rPr>
        <w:t>prescrição</w:t>
      </w:r>
      <w:r>
        <w:rPr>
          <w:spacing w:val="25"/>
          <w:sz w:val="20"/>
        </w:rPr>
        <w:t xml:space="preserve"> </w:t>
      </w:r>
      <w:r>
        <w:rPr>
          <w:sz w:val="20"/>
        </w:rPr>
        <w:t>a</w:t>
      </w:r>
      <w:r>
        <w:rPr>
          <w:spacing w:val="25"/>
          <w:sz w:val="20"/>
        </w:rPr>
        <w:t xml:space="preserve"> </w:t>
      </w:r>
      <w:r>
        <w:rPr>
          <w:sz w:val="20"/>
        </w:rPr>
        <w:t>falta</w:t>
      </w:r>
      <w:r>
        <w:rPr>
          <w:spacing w:val="25"/>
          <w:sz w:val="20"/>
        </w:rPr>
        <w:t xml:space="preserve"> </w:t>
      </w:r>
      <w:r>
        <w:rPr>
          <w:sz w:val="20"/>
        </w:rPr>
        <w:t>de</w:t>
      </w:r>
      <w:r>
        <w:rPr>
          <w:spacing w:val="24"/>
          <w:sz w:val="20"/>
        </w:rPr>
        <w:t xml:space="preserve"> </w:t>
      </w:r>
      <w:r>
        <w:rPr>
          <w:sz w:val="20"/>
        </w:rPr>
        <w:t>prova</w:t>
      </w:r>
      <w:r>
        <w:rPr>
          <w:spacing w:val="25"/>
          <w:sz w:val="20"/>
        </w:rPr>
        <w:t xml:space="preserve"> </w:t>
      </w:r>
      <w:r>
        <w:rPr>
          <w:sz w:val="20"/>
        </w:rPr>
        <w:t>de</w:t>
      </w:r>
      <w:r>
        <w:rPr>
          <w:spacing w:val="23"/>
          <w:sz w:val="20"/>
        </w:rPr>
        <w:t xml:space="preserve"> </w:t>
      </w:r>
      <w:r>
        <w:rPr>
          <w:spacing w:val="-2"/>
          <w:sz w:val="20"/>
        </w:rPr>
        <w:t>título</w:t>
      </w:r>
    </w:p>
    <w:p w:rsidR="007259F2" w:rsidRDefault="007259F2">
      <w:pPr>
        <w:jc w:val="both"/>
        <w:rPr>
          <w:sz w:val="20"/>
        </w:rPr>
        <w:sectPr w:rsidR="007259F2">
          <w:pgSz w:w="11910" w:h="16840"/>
          <w:pgMar w:top="1320" w:right="708" w:bottom="1160" w:left="992" w:header="0" w:footer="962" w:gutter="0"/>
          <w:cols w:space="720"/>
        </w:sectPr>
      </w:pPr>
    </w:p>
    <w:p w:rsidR="007259F2" w:rsidRDefault="00E655B4">
      <w:pPr>
        <w:spacing w:before="71"/>
        <w:ind w:left="2978" w:right="990"/>
        <w:rPr>
          <w:sz w:val="20"/>
        </w:rPr>
      </w:pPr>
      <w:r>
        <w:rPr>
          <w:sz w:val="20"/>
        </w:rPr>
        <w:lastRenderedPageBreak/>
        <w:t>preexistente, ou sanando o vício do modo de aquisição". (TJMG, 2014,</w:t>
      </w:r>
      <w:r>
        <w:rPr>
          <w:spacing w:val="26"/>
          <w:sz w:val="20"/>
        </w:rPr>
        <w:t xml:space="preserve"> </w:t>
      </w:r>
      <w:r>
        <w:rPr>
          <w:i/>
          <w:sz w:val="20"/>
        </w:rPr>
        <w:t xml:space="preserve">on- </w:t>
      </w:r>
      <w:r>
        <w:rPr>
          <w:i/>
          <w:spacing w:val="-2"/>
          <w:sz w:val="20"/>
        </w:rPr>
        <w:t>line</w:t>
      </w:r>
      <w:r>
        <w:rPr>
          <w:spacing w:val="-2"/>
          <w:sz w:val="20"/>
        </w:rPr>
        <w:t>)</w:t>
      </w:r>
    </w:p>
    <w:p w:rsidR="007259F2" w:rsidRDefault="00E655B4">
      <w:pPr>
        <w:pStyle w:val="Corpodetexto"/>
        <w:spacing w:before="201"/>
        <w:ind w:right="992"/>
      </w:pPr>
      <w:r>
        <w:t>Apesar disso, conforme mencionado anteriormente, torna-se claro que a jurisprudência predominante não aceita a usucapião de bens públicos, incluindo os classificados como bens públicos dominicais.</w:t>
      </w:r>
    </w:p>
    <w:p w:rsidR="007259F2" w:rsidRDefault="00E655B4">
      <w:pPr>
        <w:pStyle w:val="PargrafodaLista"/>
        <w:numPr>
          <w:ilvl w:val="0"/>
          <w:numId w:val="10"/>
        </w:numPr>
        <w:tabs>
          <w:tab w:val="left" w:pos="1638"/>
        </w:tabs>
        <w:spacing w:before="204"/>
        <w:ind w:hanging="220"/>
        <w:rPr>
          <w:b/>
        </w:rPr>
      </w:pPr>
      <w:r>
        <w:rPr>
          <w:b/>
        </w:rPr>
        <w:t>Considerações</w:t>
      </w:r>
      <w:r>
        <w:rPr>
          <w:b/>
          <w:spacing w:val="-10"/>
        </w:rPr>
        <w:t xml:space="preserve"> </w:t>
      </w:r>
      <w:r>
        <w:rPr>
          <w:b/>
          <w:spacing w:val="-2"/>
        </w:rPr>
        <w:t>finais</w:t>
      </w:r>
    </w:p>
    <w:p w:rsidR="007259F2" w:rsidRDefault="00E655B4">
      <w:pPr>
        <w:pStyle w:val="Corpodetexto"/>
        <w:spacing w:before="153"/>
        <w:ind w:right="992"/>
      </w:pPr>
      <w:r>
        <w:t>Diante</w:t>
      </w:r>
      <w:r>
        <w:rPr>
          <w:spacing w:val="-3"/>
        </w:rPr>
        <w:t xml:space="preserve"> </w:t>
      </w:r>
      <w:r>
        <w:t>do</w:t>
      </w:r>
      <w:r>
        <w:rPr>
          <w:spacing w:val="-2"/>
        </w:rPr>
        <w:t xml:space="preserve"> </w:t>
      </w:r>
      <w:r>
        <w:t>exposto,</w:t>
      </w:r>
      <w:r>
        <w:rPr>
          <w:spacing w:val="-3"/>
        </w:rPr>
        <w:t xml:space="preserve"> </w:t>
      </w:r>
      <w:r>
        <w:t>constata-se</w:t>
      </w:r>
      <w:r>
        <w:rPr>
          <w:spacing w:val="-2"/>
        </w:rPr>
        <w:t xml:space="preserve"> </w:t>
      </w:r>
      <w:r>
        <w:t>que</w:t>
      </w:r>
      <w:r>
        <w:rPr>
          <w:spacing w:val="-2"/>
        </w:rPr>
        <w:t xml:space="preserve"> </w:t>
      </w:r>
      <w:r>
        <w:t>a</w:t>
      </w:r>
      <w:r>
        <w:rPr>
          <w:spacing w:val="-4"/>
        </w:rPr>
        <w:t xml:space="preserve"> </w:t>
      </w:r>
      <w:r>
        <w:t>vedação</w:t>
      </w:r>
      <w:r>
        <w:rPr>
          <w:spacing w:val="-3"/>
        </w:rPr>
        <w:t xml:space="preserve"> </w:t>
      </w:r>
      <w:r>
        <w:t>da</w:t>
      </w:r>
      <w:r>
        <w:rPr>
          <w:spacing w:val="-4"/>
        </w:rPr>
        <w:t xml:space="preserve"> </w:t>
      </w:r>
      <w:r>
        <w:t>prescrição</w:t>
      </w:r>
      <w:r>
        <w:rPr>
          <w:spacing w:val="-1"/>
        </w:rPr>
        <w:t xml:space="preserve"> </w:t>
      </w:r>
      <w:r>
        <w:t>aquisitiva</w:t>
      </w:r>
      <w:r>
        <w:rPr>
          <w:spacing w:val="-4"/>
        </w:rPr>
        <w:t xml:space="preserve"> </w:t>
      </w:r>
      <w:r>
        <w:t>em</w:t>
      </w:r>
      <w:r>
        <w:rPr>
          <w:spacing w:val="-1"/>
        </w:rPr>
        <w:t xml:space="preserve"> </w:t>
      </w:r>
      <w:r>
        <w:t>relação aos bens públicos é abordada de maneira absoluta, sem exceções à regra normativa. Portanto, o que prevalece, como destacado, é a imprescritibilidade desses bens e, consequentemente, a impossibilidade de serem usucapidos.</w:t>
      </w:r>
    </w:p>
    <w:p w:rsidR="007259F2" w:rsidRDefault="00E655B4">
      <w:pPr>
        <w:pStyle w:val="Corpodetexto"/>
        <w:ind w:right="992"/>
      </w:pPr>
      <w:r>
        <w:t>Não obstante, embora os bens públicos devam atender ao interesse social, especialmente pela sua finalidade intrínseca de servir à coletividade, não se permite cogitar a desconsideração e desrespeito à vedação constitucional acerca do tema, assim como às disposições infraconstitucionais, súmulas, posicionamento expressivo da doutrina e entendimento reiterado da jurisprudência, tanto dos Tribunais Superiores quanto das Cortes estaduais.</w:t>
      </w:r>
    </w:p>
    <w:p w:rsidR="007259F2" w:rsidRDefault="00E655B4">
      <w:pPr>
        <w:pStyle w:val="Corpodetexto"/>
        <w:spacing w:before="1"/>
        <w:ind w:right="995"/>
      </w:pPr>
      <w:r>
        <w:t>Embora novas perspectivas estejam emergindo, muitas delas se baseiam em argumentos simplistas, inadequados para lidar com os desafios contemporâneos que visam à construção de uma sociedade mais equitativa.</w:t>
      </w:r>
    </w:p>
    <w:p w:rsidR="007259F2" w:rsidRDefault="00E655B4">
      <w:pPr>
        <w:pStyle w:val="Corpodetexto"/>
        <w:ind w:right="993"/>
      </w:pPr>
      <w:r>
        <w:t>Conceder a possibilidade de aquisição de bens públicos por particulares, fundamentada na posse prolongada, representaria um retrocesso social de magnitude expressiva, tendo em vista a vastidão territorial do país e a sobrecarga inerente à máquina administrativa. Tal permissão desencadearia impactos adversos, comprometendo</w:t>
      </w:r>
      <w:r>
        <w:rPr>
          <w:spacing w:val="-3"/>
        </w:rPr>
        <w:t xml:space="preserve"> </w:t>
      </w:r>
      <w:r>
        <w:t>não</w:t>
      </w:r>
      <w:r>
        <w:rPr>
          <w:spacing w:val="-2"/>
        </w:rPr>
        <w:t xml:space="preserve"> </w:t>
      </w:r>
      <w:r>
        <w:t>apenas</w:t>
      </w:r>
      <w:r>
        <w:rPr>
          <w:spacing w:val="-2"/>
        </w:rPr>
        <w:t xml:space="preserve"> </w:t>
      </w:r>
      <w:r>
        <w:t>a</w:t>
      </w:r>
      <w:r>
        <w:rPr>
          <w:spacing w:val="-3"/>
        </w:rPr>
        <w:t xml:space="preserve"> </w:t>
      </w:r>
      <w:r>
        <w:t>integridade</w:t>
      </w:r>
      <w:r>
        <w:rPr>
          <w:spacing w:val="-3"/>
        </w:rPr>
        <w:t xml:space="preserve"> </w:t>
      </w:r>
      <w:r>
        <w:t>do</w:t>
      </w:r>
      <w:r>
        <w:rPr>
          <w:spacing w:val="-2"/>
        </w:rPr>
        <w:t xml:space="preserve"> </w:t>
      </w:r>
      <w:r>
        <w:t>patrimônio</w:t>
      </w:r>
      <w:r>
        <w:rPr>
          <w:spacing w:val="-2"/>
        </w:rPr>
        <w:t xml:space="preserve"> </w:t>
      </w:r>
      <w:r>
        <w:t>público,</w:t>
      </w:r>
      <w:r>
        <w:rPr>
          <w:spacing w:val="-4"/>
        </w:rPr>
        <w:t xml:space="preserve"> </w:t>
      </w:r>
      <w:r>
        <w:t>mas</w:t>
      </w:r>
      <w:r>
        <w:rPr>
          <w:spacing w:val="-3"/>
        </w:rPr>
        <w:t xml:space="preserve"> </w:t>
      </w:r>
      <w:r>
        <w:t>também</w:t>
      </w:r>
      <w:r>
        <w:rPr>
          <w:spacing w:val="-2"/>
        </w:rPr>
        <w:t xml:space="preserve"> </w:t>
      </w:r>
      <w:r>
        <w:t>a</w:t>
      </w:r>
      <w:r>
        <w:rPr>
          <w:spacing w:val="-3"/>
        </w:rPr>
        <w:t xml:space="preserve"> </w:t>
      </w:r>
      <w:r>
        <w:t>eficácia das políticas de ordenamento territorial e gestão administrativa.</w:t>
      </w:r>
    </w:p>
    <w:p w:rsidR="007259F2" w:rsidRDefault="00E655B4">
      <w:pPr>
        <w:pStyle w:val="Corpodetexto"/>
        <w:ind w:right="994"/>
      </w:pPr>
      <w:r>
        <w:t xml:space="preserve">A extensão territorial do Brasil demanda uma gestão cuidadosa e estratégica dos recursos públicos, visando garantir o atendimento das necessidades da população em diversas regiões. Permitir a usucapião de bens públicos introduziria uma dinâmica prejudicial, podendo resultar na dispersão desordenada de propriedades, prejudicando o planejamento urbano e rural, além de comprometer a preservação de áreas de relevância </w:t>
      </w:r>
      <w:r>
        <w:rPr>
          <w:spacing w:val="-2"/>
        </w:rPr>
        <w:t>ambiental.</w:t>
      </w:r>
    </w:p>
    <w:p w:rsidR="007259F2" w:rsidRDefault="00E655B4">
      <w:pPr>
        <w:pStyle w:val="Corpodetexto"/>
        <w:ind w:right="994"/>
      </w:pPr>
      <w:r>
        <w:t>Ademais, a sobrecarga da máquina administrativa já é uma realidade</w:t>
      </w:r>
      <w:r>
        <w:rPr>
          <w:spacing w:val="40"/>
        </w:rPr>
        <w:t xml:space="preserve"> </w:t>
      </w:r>
      <w:r>
        <w:t>desafiadora.</w:t>
      </w:r>
      <w:r>
        <w:rPr>
          <w:spacing w:val="-13"/>
        </w:rPr>
        <w:t xml:space="preserve"> </w:t>
      </w:r>
      <w:r>
        <w:t>Acrescentar a</w:t>
      </w:r>
      <w:r>
        <w:rPr>
          <w:spacing w:val="-1"/>
        </w:rPr>
        <w:t xml:space="preserve"> </w:t>
      </w:r>
      <w:r>
        <w:t>complexidade</w:t>
      </w:r>
      <w:r>
        <w:rPr>
          <w:spacing w:val="-1"/>
        </w:rPr>
        <w:t xml:space="preserve"> </w:t>
      </w:r>
      <w:r>
        <w:t>e</w:t>
      </w:r>
      <w:r>
        <w:rPr>
          <w:spacing w:val="-1"/>
        </w:rPr>
        <w:t xml:space="preserve"> </w:t>
      </w:r>
      <w:r>
        <w:t>as disputas decorrentes da</w:t>
      </w:r>
      <w:r>
        <w:rPr>
          <w:spacing w:val="-1"/>
        </w:rPr>
        <w:t xml:space="preserve"> </w:t>
      </w:r>
      <w:r>
        <w:t>usucapião de</w:t>
      </w:r>
      <w:r>
        <w:rPr>
          <w:spacing w:val="-1"/>
        </w:rPr>
        <w:t xml:space="preserve"> </w:t>
      </w:r>
      <w:r>
        <w:t>bens públicos aumentaria a carga de trabalho dos órgãos responsáveis, retardando processos, prejudicando a eficiência e minando a capacidade de responder eficazmente às demandas sociais.</w:t>
      </w:r>
    </w:p>
    <w:p w:rsidR="007259F2" w:rsidRDefault="00E655B4">
      <w:pPr>
        <w:pStyle w:val="Corpodetexto"/>
        <w:spacing w:before="1"/>
        <w:ind w:right="994"/>
      </w:pPr>
      <w:r>
        <w:t>Portanto, a preservação da impossibilidade de usucapião de bens públicos é crucial para assegurar a estabilidade do ordenamento jurídico, a integridade do patrimônio estatal e a capacidade do Estado de gerenciar seus recursos de forma estratégica, promovendo o bem- estar social e o desenvolvimento sustentável.</w:t>
      </w:r>
    </w:p>
    <w:p w:rsidR="007259F2" w:rsidRDefault="00E655B4">
      <w:pPr>
        <w:spacing w:before="206"/>
        <w:ind w:left="710"/>
        <w:rPr>
          <w:b/>
        </w:rPr>
      </w:pPr>
      <w:r>
        <w:rPr>
          <w:b/>
          <w:spacing w:val="-2"/>
        </w:rPr>
        <w:t>REFERÊNCIAS</w:t>
      </w:r>
    </w:p>
    <w:p w:rsidR="007259F2" w:rsidRDefault="00E655B4">
      <w:pPr>
        <w:spacing w:before="235" w:line="237" w:lineRule="auto"/>
        <w:ind w:left="710" w:right="994"/>
        <w:jc w:val="both"/>
        <w:rPr>
          <w:sz w:val="24"/>
        </w:rPr>
      </w:pPr>
      <w:r>
        <w:rPr>
          <w:sz w:val="24"/>
        </w:rPr>
        <w:t xml:space="preserve">BASTOS, C. R. </w:t>
      </w:r>
      <w:r>
        <w:rPr>
          <w:b/>
          <w:color w:val="1B1C1D"/>
          <w:sz w:val="24"/>
        </w:rPr>
        <w:t>Curso de Direito Constitucional</w:t>
      </w:r>
      <w:r>
        <w:rPr>
          <w:sz w:val="24"/>
        </w:rPr>
        <w:t>. 20. ed. São Paulo: Saraiva, 1999. 371 p.</w:t>
      </w:r>
    </w:p>
    <w:p w:rsidR="007259F2" w:rsidRDefault="00E655B4">
      <w:pPr>
        <w:spacing w:before="121"/>
        <w:ind w:left="710" w:right="988"/>
        <w:jc w:val="both"/>
        <w:rPr>
          <w:sz w:val="24"/>
        </w:rPr>
      </w:pPr>
      <w:r>
        <w:rPr>
          <w:sz w:val="24"/>
        </w:rPr>
        <w:t>BRASIL.</w:t>
      </w:r>
      <w:r>
        <w:rPr>
          <w:spacing w:val="-1"/>
          <w:sz w:val="24"/>
        </w:rPr>
        <w:t xml:space="preserve"> </w:t>
      </w:r>
      <w:r>
        <w:rPr>
          <w:b/>
          <w:color w:val="1B1C1D"/>
          <w:sz w:val="24"/>
        </w:rPr>
        <w:t>Constituição da</w:t>
      </w:r>
      <w:r>
        <w:rPr>
          <w:b/>
          <w:color w:val="1B1C1D"/>
          <w:spacing w:val="-1"/>
          <w:sz w:val="24"/>
        </w:rPr>
        <w:t xml:space="preserve"> </w:t>
      </w:r>
      <w:r>
        <w:rPr>
          <w:b/>
          <w:color w:val="1B1C1D"/>
          <w:sz w:val="24"/>
        </w:rPr>
        <w:t>República</w:t>
      </w:r>
      <w:r>
        <w:rPr>
          <w:b/>
          <w:color w:val="1B1C1D"/>
          <w:spacing w:val="-1"/>
          <w:sz w:val="24"/>
        </w:rPr>
        <w:t xml:space="preserve"> </w:t>
      </w:r>
      <w:r>
        <w:rPr>
          <w:b/>
          <w:color w:val="1B1C1D"/>
          <w:sz w:val="24"/>
        </w:rPr>
        <w:t>Federativa</w:t>
      </w:r>
      <w:r>
        <w:rPr>
          <w:b/>
          <w:color w:val="1B1C1D"/>
          <w:spacing w:val="-1"/>
          <w:sz w:val="24"/>
        </w:rPr>
        <w:t xml:space="preserve"> </w:t>
      </w:r>
      <w:r>
        <w:rPr>
          <w:b/>
          <w:color w:val="1B1C1D"/>
          <w:sz w:val="24"/>
        </w:rPr>
        <w:t>do</w:t>
      </w:r>
      <w:r>
        <w:rPr>
          <w:b/>
          <w:color w:val="1B1C1D"/>
          <w:spacing w:val="-1"/>
          <w:sz w:val="24"/>
        </w:rPr>
        <w:t xml:space="preserve"> </w:t>
      </w:r>
      <w:r>
        <w:rPr>
          <w:b/>
          <w:color w:val="1B1C1D"/>
          <w:sz w:val="24"/>
        </w:rPr>
        <w:t>Brasil</w:t>
      </w:r>
      <w:r>
        <w:rPr>
          <w:sz w:val="24"/>
        </w:rPr>
        <w:t>.</w:t>
      </w:r>
      <w:r>
        <w:rPr>
          <w:spacing w:val="-1"/>
          <w:sz w:val="24"/>
        </w:rPr>
        <w:t xml:space="preserve"> </w:t>
      </w:r>
      <w:r>
        <w:rPr>
          <w:sz w:val="24"/>
        </w:rPr>
        <w:t>Brasília,</w:t>
      </w:r>
      <w:r>
        <w:rPr>
          <w:spacing w:val="-2"/>
          <w:sz w:val="24"/>
        </w:rPr>
        <w:t xml:space="preserve"> </w:t>
      </w:r>
      <w:r>
        <w:rPr>
          <w:sz w:val="24"/>
        </w:rPr>
        <w:t>1988.</w:t>
      </w:r>
      <w:r>
        <w:rPr>
          <w:spacing w:val="-1"/>
          <w:sz w:val="24"/>
        </w:rPr>
        <w:t xml:space="preserve"> </w:t>
      </w:r>
      <w:r>
        <w:rPr>
          <w:sz w:val="24"/>
        </w:rPr>
        <w:t>Disponível em:</w:t>
      </w:r>
      <w:r>
        <w:rPr>
          <w:spacing w:val="-7"/>
          <w:sz w:val="24"/>
        </w:rPr>
        <w:t xml:space="preserve"> </w:t>
      </w:r>
      <w:hyperlink r:id="rId392">
        <w:r>
          <w:rPr>
            <w:color w:val="0A56D0"/>
            <w:sz w:val="24"/>
            <w:u w:val="single" w:color="0A56D0"/>
          </w:rPr>
          <w:t>https://www.planalto.gov.br/ccivil_03/constituicao/constituicao.htm</w:t>
        </w:r>
      </w:hyperlink>
      <w:r>
        <w:rPr>
          <w:sz w:val="24"/>
        </w:rPr>
        <w:t>.</w:t>
      </w:r>
      <w:r>
        <w:rPr>
          <w:spacing w:val="-7"/>
          <w:sz w:val="24"/>
        </w:rPr>
        <w:t xml:space="preserve"> </w:t>
      </w:r>
      <w:r>
        <w:rPr>
          <w:sz w:val="24"/>
        </w:rPr>
        <w:t>Acesso</w:t>
      </w:r>
      <w:r>
        <w:rPr>
          <w:spacing w:val="-7"/>
          <w:sz w:val="24"/>
        </w:rPr>
        <w:t xml:space="preserve"> </w:t>
      </w:r>
      <w:r>
        <w:rPr>
          <w:sz w:val="24"/>
        </w:rPr>
        <w:t>em:</w:t>
      </w:r>
      <w:r>
        <w:rPr>
          <w:spacing w:val="-7"/>
          <w:sz w:val="24"/>
        </w:rPr>
        <w:t xml:space="preserve"> </w:t>
      </w:r>
      <w:r>
        <w:rPr>
          <w:sz w:val="24"/>
        </w:rPr>
        <w:t>19 out. 2023.</w:t>
      </w:r>
    </w:p>
    <w:p w:rsidR="007259F2" w:rsidRDefault="007259F2">
      <w:pPr>
        <w:jc w:val="both"/>
        <w:rPr>
          <w:sz w:val="24"/>
        </w:rPr>
        <w:sectPr w:rsidR="007259F2">
          <w:pgSz w:w="11910" w:h="16840"/>
          <w:pgMar w:top="1320" w:right="708" w:bottom="1160" w:left="992" w:header="0" w:footer="962" w:gutter="0"/>
          <w:cols w:space="720"/>
        </w:sectPr>
      </w:pPr>
    </w:p>
    <w:p w:rsidR="007259F2" w:rsidRDefault="00E655B4">
      <w:pPr>
        <w:pStyle w:val="Corpodetexto"/>
        <w:spacing w:before="69"/>
        <w:ind w:right="993" w:firstLine="0"/>
        <w:jc w:val="left"/>
      </w:pPr>
      <w:r>
        <w:lastRenderedPageBreak/>
        <w:t xml:space="preserve">BRASIL. </w:t>
      </w:r>
      <w:r>
        <w:rPr>
          <w:b/>
        </w:rPr>
        <w:t>Decreto nº 19.924, de 27 de abril de 1931</w:t>
      </w:r>
      <w:r>
        <w:t xml:space="preserve">. Dispõe sobre as terras devolutas. </w:t>
      </w:r>
      <w:r>
        <w:rPr>
          <w:color w:val="1B1C1D"/>
        </w:rPr>
        <w:t>Coleção</w:t>
      </w:r>
      <w:r>
        <w:rPr>
          <w:color w:val="1B1C1D"/>
          <w:spacing w:val="76"/>
        </w:rPr>
        <w:t xml:space="preserve"> </w:t>
      </w:r>
      <w:r>
        <w:rPr>
          <w:color w:val="1B1C1D"/>
        </w:rPr>
        <w:t>de</w:t>
      </w:r>
      <w:r>
        <w:rPr>
          <w:color w:val="1B1C1D"/>
          <w:spacing w:val="78"/>
        </w:rPr>
        <w:t xml:space="preserve"> </w:t>
      </w:r>
      <w:r>
        <w:rPr>
          <w:color w:val="1B1C1D"/>
        </w:rPr>
        <w:t>Leis</w:t>
      </w:r>
      <w:r>
        <w:rPr>
          <w:color w:val="1B1C1D"/>
          <w:spacing w:val="79"/>
        </w:rPr>
        <w:t xml:space="preserve"> </w:t>
      </w:r>
      <w:r>
        <w:rPr>
          <w:color w:val="1B1C1D"/>
        </w:rPr>
        <w:t>do</w:t>
      </w:r>
      <w:r>
        <w:rPr>
          <w:color w:val="1B1C1D"/>
          <w:spacing w:val="79"/>
        </w:rPr>
        <w:t xml:space="preserve"> </w:t>
      </w:r>
      <w:r>
        <w:rPr>
          <w:color w:val="1B1C1D"/>
        </w:rPr>
        <w:t>Brasil</w:t>
      </w:r>
      <w:r>
        <w:t>,</w:t>
      </w:r>
      <w:r>
        <w:rPr>
          <w:spacing w:val="76"/>
        </w:rPr>
        <w:t xml:space="preserve"> </w:t>
      </w:r>
      <w:r>
        <w:t>Rio</w:t>
      </w:r>
      <w:r>
        <w:rPr>
          <w:spacing w:val="77"/>
        </w:rPr>
        <w:t xml:space="preserve"> </w:t>
      </w:r>
      <w:r>
        <w:t>de</w:t>
      </w:r>
      <w:r>
        <w:rPr>
          <w:spacing w:val="78"/>
        </w:rPr>
        <w:t xml:space="preserve"> </w:t>
      </w:r>
      <w:r>
        <w:t>Janeiro,</w:t>
      </w:r>
      <w:r>
        <w:rPr>
          <w:spacing w:val="79"/>
        </w:rPr>
        <w:t xml:space="preserve"> </w:t>
      </w:r>
      <w:r>
        <w:t>v.</w:t>
      </w:r>
      <w:r>
        <w:rPr>
          <w:spacing w:val="76"/>
        </w:rPr>
        <w:t xml:space="preserve"> </w:t>
      </w:r>
      <w:r>
        <w:t>1,</w:t>
      </w:r>
      <w:r>
        <w:rPr>
          <w:spacing w:val="76"/>
        </w:rPr>
        <w:t xml:space="preserve"> </w:t>
      </w:r>
      <w:r>
        <w:t>p.</w:t>
      </w:r>
      <w:r>
        <w:rPr>
          <w:spacing w:val="76"/>
        </w:rPr>
        <w:t xml:space="preserve"> </w:t>
      </w:r>
      <w:r>
        <w:t>521,</w:t>
      </w:r>
      <w:r>
        <w:rPr>
          <w:spacing w:val="76"/>
        </w:rPr>
        <w:t xml:space="preserve"> </w:t>
      </w:r>
      <w:r>
        <w:t>1931.</w:t>
      </w:r>
      <w:r>
        <w:rPr>
          <w:spacing w:val="79"/>
        </w:rPr>
        <w:t xml:space="preserve"> </w:t>
      </w:r>
      <w:r>
        <w:t>Disponível</w:t>
      </w:r>
      <w:r>
        <w:rPr>
          <w:spacing w:val="77"/>
        </w:rPr>
        <w:t xml:space="preserve"> </w:t>
      </w:r>
      <w:r>
        <w:t xml:space="preserve">em: </w:t>
      </w:r>
      <w:hyperlink r:id="rId393">
        <w:r>
          <w:rPr>
            <w:color w:val="0A56D0"/>
            <w:spacing w:val="-2"/>
            <w:u w:val="single" w:color="0A56D0"/>
          </w:rPr>
          <w:t>https://www2.camara.leg.br/legin/fed/decret/1930-1939/decreto-19924-27-abril-1931-</w:t>
        </w:r>
      </w:hyperlink>
      <w:r>
        <w:rPr>
          <w:color w:val="0A56D0"/>
          <w:spacing w:val="-2"/>
        </w:rPr>
        <w:t xml:space="preserve"> </w:t>
      </w:r>
      <w:hyperlink r:id="rId394">
        <w:r>
          <w:rPr>
            <w:color w:val="0A56D0"/>
            <w:u w:val="single" w:color="0A56D0"/>
          </w:rPr>
          <w:t>514651-publicacaooriginal-1-pe.html</w:t>
        </w:r>
        <w:r>
          <w:t>.</w:t>
        </w:r>
      </w:hyperlink>
      <w:r>
        <w:t xml:space="preserve"> Acesso em: 19 out. 2023.</w:t>
      </w:r>
    </w:p>
    <w:p w:rsidR="007259F2" w:rsidRDefault="00E655B4">
      <w:pPr>
        <w:pStyle w:val="Corpodetexto"/>
        <w:spacing w:before="121"/>
        <w:ind w:right="992" w:firstLine="0"/>
        <w:jc w:val="left"/>
      </w:pPr>
      <w:r>
        <w:t xml:space="preserve">BRASIL. </w:t>
      </w:r>
      <w:r>
        <w:rPr>
          <w:b/>
        </w:rPr>
        <w:t>Decreto nº 22.785, de 31 de maio de 1933</w:t>
      </w:r>
      <w:r>
        <w:t xml:space="preserve">. Veda o resgate dos aforamentos de terrenos pertencentes no domínio da União e dá outras providências. </w:t>
      </w:r>
      <w:r>
        <w:rPr>
          <w:color w:val="1B1C1D"/>
        </w:rPr>
        <w:t>Diário Oficial</w:t>
      </w:r>
      <w:r>
        <w:rPr>
          <w:color w:val="1B1C1D"/>
          <w:spacing w:val="40"/>
        </w:rPr>
        <w:t xml:space="preserve"> </w:t>
      </w:r>
      <w:r>
        <w:rPr>
          <w:color w:val="1B1C1D"/>
        </w:rPr>
        <w:t>da</w:t>
      </w:r>
      <w:r>
        <w:rPr>
          <w:color w:val="1B1C1D"/>
          <w:spacing w:val="80"/>
        </w:rPr>
        <w:t xml:space="preserve"> </w:t>
      </w:r>
      <w:r>
        <w:rPr>
          <w:color w:val="1B1C1D"/>
        </w:rPr>
        <w:t>União:</w:t>
      </w:r>
      <w:r>
        <w:rPr>
          <w:color w:val="1B1C1D"/>
          <w:spacing w:val="80"/>
        </w:rPr>
        <w:t xml:space="preserve"> </w:t>
      </w:r>
      <w:r>
        <w:rPr>
          <w:color w:val="1B1C1D"/>
        </w:rPr>
        <w:t>seção</w:t>
      </w:r>
      <w:r>
        <w:rPr>
          <w:color w:val="1B1C1D"/>
          <w:spacing w:val="80"/>
        </w:rPr>
        <w:t xml:space="preserve"> </w:t>
      </w:r>
      <w:r>
        <w:rPr>
          <w:color w:val="1B1C1D"/>
        </w:rPr>
        <w:t>1</w:t>
      </w:r>
      <w:r>
        <w:t>,</w:t>
      </w:r>
      <w:r>
        <w:rPr>
          <w:spacing w:val="80"/>
        </w:rPr>
        <w:t xml:space="preserve"> </w:t>
      </w:r>
      <w:r>
        <w:t>Rio</w:t>
      </w:r>
      <w:r>
        <w:rPr>
          <w:spacing w:val="80"/>
        </w:rPr>
        <w:t xml:space="preserve"> </w:t>
      </w:r>
      <w:r>
        <w:t>de</w:t>
      </w:r>
      <w:r>
        <w:rPr>
          <w:spacing w:val="80"/>
        </w:rPr>
        <w:t xml:space="preserve"> </w:t>
      </w:r>
      <w:r>
        <w:t>Janeiro,</w:t>
      </w:r>
      <w:r>
        <w:rPr>
          <w:spacing w:val="80"/>
        </w:rPr>
        <w:t xml:space="preserve"> </w:t>
      </w:r>
      <w:r>
        <w:t>p.</w:t>
      </w:r>
      <w:r>
        <w:rPr>
          <w:spacing w:val="80"/>
        </w:rPr>
        <w:t xml:space="preserve"> </w:t>
      </w:r>
      <w:r>
        <w:t>11.346,</w:t>
      </w:r>
      <w:r>
        <w:rPr>
          <w:spacing w:val="80"/>
        </w:rPr>
        <w:t xml:space="preserve"> </w:t>
      </w:r>
      <w:r>
        <w:t>08</w:t>
      </w:r>
      <w:r>
        <w:rPr>
          <w:spacing w:val="80"/>
        </w:rPr>
        <w:t xml:space="preserve"> </w:t>
      </w:r>
      <w:r>
        <w:t>jun.</w:t>
      </w:r>
      <w:r>
        <w:rPr>
          <w:spacing w:val="80"/>
        </w:rPr>
        <w:t xml:space="preserve"> </w:t>
      </w:r>
      <w:r>
        <w:t>1933.</w:t>
      </w:r>
      <w:r>
        <w:rPr>
          <w:spacing w:val="80"/>
        </w:rPr>
        <w:t xml:space="preserve"> </w:t>
      </w:r>
      <w:r>
        <w:t>Disponível</w:t>
      </w:r>
      <w:r>
        <w:rPr>
          <w:spacing w:val="80"/>
        </w:rPr>
        <w:t xml:space="preserve"> </w:t>
      </w:r>
      <w:r>
        <w:t>em:</w:t>
      </w:r>
      <w:r>
        <w:rPr>
          <w:spacing w:val="80"/>
        </w:rPr>
        <w:t xml:space="preserve"> </w:t>
      </w:r>
      <w:hyperlink r:id="rId395">
        <w:r>
          <w:rPr>
            <w:color w:val="0A56D0"/>
            <w:spacing w:val="-2"/>
            <w:u w:val="single" w:color="0A56D0"/>
          </w:rPr>
          <w:t>https://www.google.com/search?q=https://www2.camara.leg.br/legin/fed/decret/1930-</w:t>
        </w:r>
      </w:hyperlink>
      <w:r>
        <w:rPr>
          <w:color w:val="0A56D0"/>
          <w:spacing w:val="-2"/>
        </w:rPr>
        <w:t xml:space="preserve"> </w:t>
      </w:r>
      <w:hyperlink r:id="rId396">
        <w:r>
          <w:rPr>
            <w:color w:val="0A56D0"/>
            <w:spacing w:val="-2"/>
            <w:u w:val="single" w:color="0A56D0"/>
          </w:rPr>
          <w:t>1939/decreto-22785-31-maio-1933-505782-publicacaooriginal-1-</w:t>
        </w:r>
      </w:hyperlink>
      <w:r>
        <w:rPr>
          <w:color w:val="0A56D0"/>
          <w:spacing w:val="-2"/>
        </w:rPr>
        <w:t xml:space="preserve"> </w:t>
      </w:r>
      <w:hyperlink r:id="rId397">
        <w:r>
          <w:rPr>
            <w:color w:val="0A56D0"/>
            <w:spacing w:val="-2"/>
            <w:u w:val="single" w:color="0A56D0"/>
          </w:rPr>
          <w:t>pe.html%23:~:text%3DDecreta%253A-</w:t>
        </w:r>
      </w:hyperlink>
    </w:p>
    <w:p w:rsidR="007259F2" w:rsidRDefault="00DE6B1C">
      <w:pPr>
        <w:pStyle w:val="Corpodetexto"/>
        <w:ind w:firstLine="0"/>
        <w:jc w:val="left"/>
      </w:pPr>
      <w:hyperlink r:id="rId398">
        <w:r w:rsidR="00E655B4">
          <w:rPr>
            <w:color w:val="0A56D0"/>
            <w:spacing w:val="-2"/>
            <w:u w:val="single" w:color="0A56D0"/>
          </w:rPr>
          <w:t>,Art.,n%25C3%25A3o%2520s%25C3%25A3o%2520sujeitos%2520a%2520usucapi%2</w:t>
        </w:r>
      </w:hyperlink>
      <w:r w:rsidR="00E655B4">
        <w:rPr>
          <w:color w:val="0A56D0"/>
          <w:spacing w:val="-2"/>
        </w:rPr>
        <w:t xml:space="preserve"> </w:t>
      </w:r>
      <w:hyperlink r:id="rId399">
        <w:r w:rsidR="00E655B4">
          <w:rPr>
            <w:color w:val="0A56D0"/>
            <w:u w:val="single" w:color="0A56D0"/>
          </w:rPr>
          <w:t>5C3%25A3o</w:t>
        </w:r>
      </w:hyperlink>
      <w:r w:rsidR="00E655B4">
        <w:t>. Acesso em: 19 out. 2023.</w:t>
      </w:r>
    </w:p>
    <w:p w:rsidR="007259F2" w:rsidRDefault="00E655B4">
      <w:pPr>
        <w:pStyle w:val="Corpodetexto"/>
        <w:tabs>
          <w:tab w:val="left" w:pos="4526"/>
          <w:tab w:val="left" w:pos="8855"/>
        </w:tabs>
        <w:spacing w:before="121"/>
        <w:ind w:right="989" w:firstLine="0"/>
        <w:jc w:val="left"/>
      </w:pPr>
      <w:r>
        <w:t xml:space="preserve">BRASIL. </w:t>
      </w:r>
      <w:r>
        <w:rPr>
          <w:b/>
        </w:rPr>
        <w:t>Decreto-lei nº 710, de 17 de setembro de 1938</w:t>
      </w:r>
      <w:r>
        <w:t>. Reorganiza a Diretoria do</w:t>
      </w:r>
      <w:r>
        <w:rPr>
          <w:spacing w:val="80"/>
        </w:rPr>
        <w:t xml:space="preserve"> </w:t>
      </w:r>
      <w:r>
        <w:t xml:space="preserve">Domínio da União. </w:t>
      </w:r>
      <w:r>
        <w:rPr>
          <w:color w:val="1B1C1D"/>
        </w:rPr>
        <w:t>Diário Oficial da União: seção 1</w:t>
      </w:r>
      <w:r>
        <w:t xml:space="preserve">, Rio de Janeiro, p. 18.994, 22 set. </w:t>
      </w:r>
      <w:r>
        <w:rPr>
          <w:spacing w:val="-2"/>
        </w:rPr>
        <w:t>1938.</w:t>
      </w:r>
      <w:r>
        <w:tab/>
      </w:r>
      <w:r>
        <w:rPr>
          <w:spacing w:val="-2"/>
        </w:rPr>
        <w:t>Disponível</w:t>
      </w:r>
      <w:r>
        <w:tab/>
      </w:r>
      <w:r>
        <w:rPr>
          <w:spacing w:val="-4"/>
        </w:rPr>
        <w:t xml:space="preserve">em: </w:t>
      </w:r>
      <w:hyperlink r:id="rId400">
        <w:r>
          <w:rPr>
            <w:color w:val="0A56D0"/>
            <w:spacing w:val="-2"/>
            <w:u w:val="single" w:color="0A56D0"/>
          </w:rPr>
          <w:t>https://www.google.com/search?q=https://www2.camara.leg.br/legin/fed/declei/1930-</w:t>
        </w:r>
      </w:hyperlink>
      <w:r>
        <w:rPr>
          <w:color w:val="0A56D0"/>
          <w:spacing w:val="-2"/>
        </w:rPr>
        <w:t xml:space="preserve"> </w:t>
      </w:r>
      <w:hyperlink r:id="rId401">
        <w:r>
          <w:rPr>
            <w:color w:val="0A56D0"/>
            <w:spacing w:val="-2"/>
            <w:u w:val="single" w:color="0A56D0"/>
          </w:rPr>
          <w:t>1939/decreto-lei-710-17-setembro-1938-358386-publicacaooriginal-1-</w:t>
        </w:r>
      </w:hyperlink>
      <w:r>
        <w:rPr>
          <w:color w:val="0A56D0"/>
          <w:spacing w:val="-2"/>
        </w:rPr>
        <w:t xml:space="preserve"> </w:t>
      </w:r>
      <w:hyperlink r:id="rId402">
        <w:r>
          <w:rPr>
            <w:color w:val="0A56D0"/>
            <w:spacing w:val="-2"/>
            <w:u w:val="single" w:color="0A56D0"/>
          </w:rPr>
          <w:t>pe.html%23:~:text%3DReorganiza%2520a%2520Diretoria%2520do%2520Dom%25C</w:t>
        </w:r>
      </w:hyperlink>
      <w:r>
        <w:rPr>
          <w:color w:val="0A56D0"/>
          <w:spacing w:val="-2"/>
        </w:rPr>
        <w:t xml:space="preserve"> </w:t>
      </w:r>
      <w:hyperlink r:id="rId403">
        <w:r>
          <w:rPr>
            <w:color w:val="0A56D0"/>
            <w:spacing w:val="-2"/>
            <w:u w:val="single" w:color="0A56D0"/>
          </w:rPr>
          <w:t>3%25ADnio%2520da%2520Uni%25C3%25A3o.%26text%3Dos%2520bens%2520dos</w:t>
        </w:r>
      </w:hyperlink>
    </w:p>
    <w:p w:rsidR="007259F2" w:rsidRDefault="00DE6B1C">
      <w:pPr>
        <w:pStyle w:val="Corpodetexto"/>
        <w:ind w:right="990" w:firstLine="0"/>
        <w:jc w:val="left"/>
      </w:pPr>
      <w:hyperlink r:id="rId404">
        <w:r w:rsidR="00E655B4">
          <w:rPr>
            <w:color w:val="0A56D0"/>
            <w:spacing w:val="-2"/>
            <w:u w:val="single" w:color="0A56D0"/>
          </w:rPr>
          <w:t>%2520devedores%2520da,na%2520forma%2520do%2520C%25C3%25B3digo%2520</w:t>
        </w:r>
      </w:hyperlink>
      <w:r w:rsidR="00E655B4">
        <w:rPr>
          <w:color w:val="0A56D0"/>
          <w:spacing w:val="-2"/>
        </w:rPr>
        <w:t xml:space="preserve"> </w:t>
      </w:r>
      <w:hyperlink r:id="rId405">
        <w:r w:rsidR="00E655B4">
          <w:rPr>
            <w:color w:val="0A56D0"/>
            <w:u w:val="single" w:color="0A56D0"/>
          </w:rPr>
          <w:t>Civil</w:t>
        </w:r>
      </w:hyperlink>
      <w:r w:rsidR="00E655B4">
        <w:t>. Acesso em: 19 out. 2023.</w:t>
      </w:r>
    </w:p>
    <w:p w:rsidR="007259F2" w:rsidRDefault="00E655B4">
      <w:pPr>
        <w:pStyle w:val="Corpodetexto"/>
        <w:tabs>
          <w:tab w:val="left" w:pos="2082"/>
          <w:tab w:val="left" w:pos="2881"/>
          <w:tab w:val="left" w:pos="4217"/>
          <w:tab w:val="left" w:pos="5076"/>
          <w:tab w:val="left" w:pos="6022"/>
          <w:tab w:val="left" w:pos="7180"/>
          <w:tab w:val="left" w:pos="8853"/>
        </w:tabs>
        <w:spacing w:before="120"/>
        <w:ind w:right="989" w:firstLine="0"/>
        <w:jc w:val="left"/>
      </w:pPr>
      <w:r>
        <w:t>BRASIL.</w:t>
      </w:r>
      <w:r>
        <w:rPr>
          <w:spacing w:val="40"/>
        </w:rPr>
        <w:t xml:space="preserve"> </w:t>
      </w:r>
      <w:r>
        <w:rPr>
          <w:b/>
        </w:rPr>
        <w:t>Decreto-lei</w:t>
      </w:r>
      <w:r>
        <w:rPr>
          <w:b/>
          <w:spacing w:val="40"/>
        </w:rPr>
        <w:t xml:space="preserve"> </w:t>
      </w:r>
      <w:r>
        <w:rPr>
          <w:b/>
        </w:rPr>
        <w:t>nº</w:t>
      </w:r>
      <w:r>
        <w:rPr>
          <w:b/>
          <w:spacing w:val="40"/>
        </w:rPr>
        <w:t xml:space="preserve"> </w:t>
      </w:r>
      <w:r>
        <w:rPr>
          <w:b/>
        </w:rPr>
        <w:t>9.760,</w:t>
      </w:r>
      <w:r>
        <w:rPr>
          <w:b/>
          <w:spacing w:val="40"/>
        </w:rPr>
        <w:t xml:space="preserve"> </w:t>
      </w:r>
      <w:r>
        <w:rPr>
          <w:b/>
        </w:rPr>
        <w:t>de</w:t>
      </w:r>
      <w:r>
        <w:rPr>
          <w:b/>
          <w:spacing w:val="40"/>
        </w:rPr>
        <w:t xml:space="preserve"> </w:t>
      </w:r>
      <w:r>
        <w:rPr>
          <w:b/>
        </w:rPr>
        <w:t>5</w:t>
      </w:r>
      <w:r>
        <w:rPr>
          <w:b/>
          <w:spacing w:val="40"/>
        </w:rPr>
        <w:t xml:space="preserve"> </w:t>
      </w:r>
      <w:r>
        <w:rPr>
          <w:b/>
        </w:rPr>
        <w:t>de</w:t>
      </w:r>
      <w:r>
        <w:rPr>
          <w:b/>
          <w:spacing w:val="40"/>
        </w:rPr>
        <w:t xml:space="preserve"> </w:t>
      </w:r>
      <w:r>
        <w:rPr>
          <w:b/>
        </w:rPr>
        <w:t>setembro</w:t>
      </w:r>
      <w:r>
        <w:rPr>
          <w:b/>
          <w:spacing w:val="40"/>
        </w:rPr>
        <w:t xml:space="preserve"> </w:t>
      </w:r>
      <w:r>
        <w:rPr>
          <w:b/>
        </w:rPr>
        <w:t>de</w:t>
      </w:r>
      <w:r>
        <w:rPr>
          <w:b/>
          <w:spacing w:val="40"/>
        </w:rPr>
        <w:t xml:space="preserve"> </w:t>
      </w:r>
      <w:r>
        <w:rPr>
          <w:b/>
        </w:rPr>
        <w:t>1946</w:t>
      </w:r>
      <w:r>
        <w:t>.</w:t>
      </w:r>
      <w:r>
        <w:rPr>
          <w:spacing w:val="40"/>
        </w:rPr>
        <w:t xml:space="preserve"> </w:t>
      </w:r>
      <w:r>
        <w:t>Dispõe</w:t>
      </w:r>
      <w:r>
        <w:rPr>
          <w:spacing w:val="40"/>
        </w:rPr>
        <w:t xml:space="preserve"> </w:t>
      </w:r>
      <w:r>
        <w:t>sobre</w:t>
      </w:r>
      <w:r>
        <w:rPr>
          <w:spacing w:val="40"/>
        </w:rPr>
        <w:t xml:space="preserve"> </w:t>
      </w:r>
      <w:r>
        <w:t>os</w:t>
      </w:r>
      <w:r>
        <w:rPr>
          <w:spacing w:val="40"/>
        </w:rPr>
        <w:t xml:space="preserve"> </w:t>
      </w:r>
      <w:r>
        <w:t>bens imóveis</w:t>
      </w:r>
      <w:r>
        <w:rPr>
          <w:spacing w:val="40"/>
        </w:rPr>
        <w:t xml:space="preserve"> </w:t>
      </w:r>
      <w:r>
        <w:t>da</w:t>
      </w:r>
      <w:r>
        <w:rPr>
          <w:spacing w:val="40"/>
        </w:rPr>
        <w:t xml:space="preserve"> </w:t>
      </w:r>
      <w:r>
        <w:t>União</w:t>
      </w:r>
      <w:r>
        <w:rPr>
          <w:spacing w:val="40"/>
        </w:rPr>
        <w:t xml:space="preserve"> </w:t>
      </w:r>
      <w:r>
        <w:t>dá</w:t>
      </w:r>
      <w:r>
        <w:rPr>
          <w:spacing w:val="40"/>
        </w:rPr>
        <w:t xml:space="preserve"> </w:t>
      </w:r>
      <w:r>
        <w:t>outras</w:t>
      </w:r>
      <w:r>
        <w:rPr>
          <w:spacing w:val="40"/>
        </w:rPr>
        <w:t xml:space="preserve"> </w:t>
      </w:r>
      <w:r>
        <w:t>providências.</w:t>
      </w:r>
      <w:r>
        <w:rPr>
          <w:spacing w:val="40"/>
        </w:rPr>
        <w:t xml:space="preserve"> </w:t>
      </w:r>
      <w:r>
        <w:rPr>
          <w:color w:val="1B1C1D"/>
        </w:rPr>
        <w:t>Diário</w:t>
      </w:r>
      <w:r>
        <w:rPr>
          <w:color w:val="1B1C1D"/>
          <w:spacing w:val="40"/>
        </w:rPr>
        <w:t xml:space="preserve"> </w:t>
      </w:r>
      <w:r>
        <w:rPr>
          <w:color w:val="1B1C1D"/>
        </w:rPr>
        <w:t>Oficial</w:t>
      </w:r>
      <w:r>
        <w:rPr>
          <w:color w:val="1B1C1D"/>
          <w:spacing w:val="40"/>
        </w:rPr>
        <w:t xml:space="preserve"> </w:t>
      </w:r>
      <w:r>
        <w:rPr>
          <w:color w:val="1B1C1D"/>
        </w:rPr>
        <w:t>da</w:t>
      </w:r>
      <w:r>
        <w:rPr>
          <w:color w:val="1B1C1D"/>
          <w:spacing w:val="40"/>
        </w:rPr>
        <w:t xml:space="preserve"> </w:t>
      </w:r>
      <w:r>
        <w:rPr>
          <w:color w:val="1B1C1D"/>
        </w:rPr>
        <w:t>União:</w:t>
      </w:r>
      <w:r>
        <w:rPr>
          <w:color w:val="1B1C1D"/>
          <w:spacing w:val="40"/>
        </w:rPr>
        <w:t xml:space="preserve"> </w:t>
      </w:r>
      <w:r>
        <w:rPr>
          <w:color w:val="1B1C1D"/>
        </w:rPr>
        <w:t>seção</w:t>
      </w:r>
      <w:r>
        <w:rPr>
          <w:color w:val="1B1C1D"/>
          <w:spacing w:val="40"/>
        </w:rPr>
        <w:t xml:space="preserve"> </w:t>
      </w:r>
      <w:r>
        <w:rPr>
          <w:color w:val="1B1C1D"/>
        </w:rPr>
        <w:t>1</w:t>
      </w:r>
      <w:r>
        <w:t>,</w:t>
      </w:r>
      <w:r>
        <w:rPr>
          <w:spacing w:val="40"/>
        </w:rPr>
        <w:t xml:space="preserve"> </w:t>
      </w:r>
      <w:r>
        <w:t>Rio</w:t>
      </w:r>
      <w:r>
        <w:rPr>
          <w:spacing w:val="40"/>
        </w:rPr>
        <w:t xml:space="preserve"> </w:t>
      </w:r>
      <w:r>
        <w:t xml:space="preserve">de </w:t>
      </w:r>
      <w:r>
        <w:rPr>
          <w:spacing w:val="-2"/>
        </w:rPr>
        <w:t>Janeiro,</w:t>
      </w:r>
      <w:r>
        <w:tab/>
      </w:r>
      <w:r>
        <w:rPr>
          <w:spacing w:val="-6"/>
        </w:rPr>
        <w:t>p.</w:t>
      </w:r>
      <w:r>
        <w:tab/>
      </w:r>
      <w:r>
        <w:rPr>
          <w:spacing w:val="-2"/>
        </w:rPr>
        <w:t>12.500,</w:t>
      </w:r>
      <w:r>
        <w:tab/>
      </w:r>
      <w:r>
        <w:rPr>
          <w:spacing w:val="-6"/>
        </w:rPr>
        <w:t>06</w:t>
      </w:r>
      <w:r>
        <w:tab/>
      </w:r>
      <w:r>
        <w:rPr>
          <w:spacing w:val="-4"/>
        </w:rPr>
        <w:t>set.</w:t>
      </w:r>
      <w:r>
        <w:tab/>
      </w:r>
      <w:r>
        <w:rPr>
          <w:spacing w:val="-2"/>
        </w:rPr>
        <w:t>1946.</w:t>
      </w:r>
      <w:r>
        <w:tab/>
      </w:r>
      <w:r>
        <w:rPr>
          <w:spacing w:val="-2"/>
        </w:rPr>
        <w:t>Disponível</w:t>
      </w:r>
      <w:r>
        <w:tab/>
      </w:r>
      <w:r>
        <w:rPr>
          <w:spacing w:val="-4"/>
        </w:rPr>
        <w:t xml:space="preserve">em: </w:t>
      </w:r>
      <w:hyperlink r:id="rId406">
        <w:r>
          <w:rPr>
            <w:color w:val="0A56D0"/>
            <w:spacing w:val="-2"/>
            <w:u w:val="single" w:color="0A56D0"/>
          </w:rPr>
          <w:t>https://www.google.com/search?q=https://www2.camara.leg.br/legin/fed/declei/1940-</w:t>
        </w:r>
      </w:hyperlink>
      <w:r>
        <w:rPr>
          <w:color w:val="0A56D0"/>
          <w:spacing w:val="-2"/>
        </w:rPr>
        <w:t xml:space="preserve"> </w:t>
      </w:r>
      <w:hyperlink r:id="rId407">
        <w:r>
          <w:rPr>
            <w:color w:val="0A56D0"/>
            <w:spacing w:val="-2"/>
            <w:u w:val="single" w:color="0A56D0"/>
          </w:rPr>
          <w:t>1949/decreto-lei-9760-5-setembro-1946-417540-publicacaooriginal-1-</w:t>
        </w:r>
      </w:hyperlink>
      <w:r>
        <w:rPr>
          <w:color w:val="0A56D0"/>
          <w:spacing w:val="-2"/>
        </w:rPr>
        <w:t xml:space="preserve"> </w:t>
      </w:r>
      <w:hyperlink r:id="rId408">
        <w:r>
          <w:rPr>
            <w:color w:val="0A56D0"/>
            <w:spacing w:val="-2"/>
            <w:u w:val="single" w:color="0A56D0"/>
          </w:rPr>
          <w:t>pe.html%23:~:text%3DDisp%25C3%25B5e%2520sobre%2520os%2520bens%2520im</w:t>
        </w:r>
      </w:hyperlink>
    </w:p>
    <w:p w:rsidR="007259F2" w:rsidRDefault="00DE6B1C">
      <w:pPr>
        <w:pStyle w:val="Corpodetexto"/>
        <w:ind w:firstLine="0"/>
        <w:jc w:val="left"/>
      </w:pPr>
      <w:hyperlink r:id="rId409">
        <w:r w:rsidR="00E655B4">
          <w:rPr>
            <w:color w:val="0A56D0"/>
            <w:spacing w:val="-2"/>
            <w:u w:val="single" w:color="0A56D0"/>
          </w:rPr>
          <w:t>%25C3%25B3veis%2520da%2520Uni%25C3%25A3o%2520d%25C3%25A1%2520o</w:t>
        </w:r>
      </w:hyperlink>
    </w:p>
    <w:p w:rsidR="007259F2" w:rsidRDefault="00DE6B1C">
      <w:pPr>
        <w:pStyle w:val="Corpodetexto"/>
        <w:ind w:right="1064" w:firstLine="0"/>
      </w:pPr>
      <w:hyperlink r:id="rId410">
        <w:r w:rsidR="00E655B4">
          <w:rPr>
            <w:color w:val="0A56D0"/>
            <w:spacing w:val="-2"/>
            <w:u w:val="single" w:color="0A56D0"/>
          </w:rPr>
          <w:t>utras%2520provid%25C3%25AAncais.%26text%3Dos%2520que%2520tenham%2520</w:t>
        </w:r>
      </w:hyperlink>
      <w:r w:rsidR="00E655B4">
        <w:rPr>
          <w:color w:val="0A56D0"/>
          <w:spacing w:val="-2"/>
        </w:rPr>
        <w:t xml:space="preserve"> </w:t>
      </w:r>
      <w:hyperlink r:id="rId411">
        <w:r w:rsidR="00E655B4">
          <w:rPr>
            <w:color w:val="0A56D0"/>
            <w:spacing w:val="-2"/>
            <w:u w:val="single" w:color="0A56D0"/>
          </w:rPr>
          <w:t>sido%2520a,lei%252C%2520incorporados%2520ao%2520seu%2520patrim%25C3%2</w:t>
        </w:r>
      </w:hyperlink>
      <w:r w:rsidR="00E655B4">
        <w:rPr>
          <w:color w:val="0A56D0"/>
          <w:spacing w:val="-2"/>
        </w:rPr>
        <w:t xml:space="preserve"> </w:t>
      </w:r>
      <w:hyperlink r:id="rId412">
        <w:r w:rsidR="00E655B4">
          <w:rPr>
            <w:color w:val="0A56D0"/>
            <w:u w:val="single" w:color="0A56D0"/>
          </w:rPr>
          <w:t>5B4nio</w:t>
        </w:r>
        <w:r w:rsidR="00E655B4">
          <w:t>.</w:t>
        </w:r>
      </w:hyperlink>
      <w:r w:rsidR="00E655B4">
        <w:t xml:space="preserve"> Acesso em: 19 out. 2023.</w:t>
      </w:r>
    </w:p>
    <w:p w:rsidR="007259F2" w:rsidRDefault="00E655B4">
      <w:pPr>
        <w:pStyle w:val="Corpodetexto"/>
        <w:spacing w:before="120"/>
        <w:ind w:right="988" w:firstLine="0"/>
      </w:pPr>
      <w:r>
        <w:t xml:space="preserve">BRASIL. </w:t>
      </w:r>
      <w:r>
        <w:rPr>
          <w:b/>
        </w:rPr>
        <w:t>Lei nº 3.071, de 1º de janeiro de 1916</w:t>
      </w:r>
      <w:r>
        <w:t xml:space="preserve">. Código Civil dos Estados Unidos do Brasil. </w:t>
      </w:r>
      <w:r>
        <w:rPr>
          <w:color w:val="1B1C1D"/>
        </w:rPr>
        <w:t>Diário Oficial da União</w:t>
      </w:r>
      <w:r>
        <w:t xml:space="preserve">, Rio de Janeiro, 1916. Disponível em: </w:t>
      </w:r>
      <w:hyperlink r:id="rId413">
        <w:r>
          <w:rPr>
            <w:color w:val="0A56D0"/>
            <w:u w:val="single" w:color="0A56D0"/>
          </w:rPr>
          <w:t>https://www.planalto.gov.br/ccivil_03/leis/l3071.htm</w:t>
        </w:r>
      </w:hyperlink>
      <w:r>
        <w:t>. Acesso em: 19 out. 2023.</w:t>
      </w:r>
    </w:p>
    <w:p w:rsidR="007259F2" w:rsidRDefault="00E655B4">
      <w:pPr>
        <w:pStyle w:val="Corpodetexto"/>
        <w:tabs>
          <w:tab w:val="left" w:pos="2075"/>
          <w:tab w:val="left" w:pos="3003"/>
          <w:tab w:val="left" w:pos="4351"/>
          <w:tab w:val="left" w:pos="5859"/>
          <w:tab w:val="left" w:pos="7100"/>
          <w:tab w:val="left" w:pos="8853"/>
        </w:tabs>
        <w:spacing w:before="121"/>
        <w:ind w:right="987" w:firstLine="0"/>
      </w:pPr>
      <w:r>
        <w:t xml:space="preserve">BRASIL. </w:t>
      </w:r>
      <w:r>
        <w:rPr>
          <w:b/>
        </w:rPr>
        <w:t>Lei nº 10.406, de 10 de janeiro de 2002</w:t>
      </w:r>
      <w:r>
        <w:t xml:space="preserve">. Institui o Código Civil. </w:t>
      </w:r>
      <w:r>
        <w:rPr>
          <w:color w:val="1B1C1D"/>
        </w:rPr>
        <w:t xml:space="preserve">Diário </w:t>
      </w:r>
      <w:r>
        <w:rPr>
          <w:color w:val="1B1C1D"/>
          <w:spacing w:val="-2"/>
        </w:rPr>
        <w:t>Oficial</w:t>
      </w:r>
      <w:r>
        <w:rPr>
          <w:color w:val="1B1C1D"/>
        </w:rPr>
        <w:tab/>
      </w:r>
      <w:r>
        <w:rPr>
          <w:color w:val="1B1C1D"/>
          <w:spacing w:val="-6"/>
        </w:rPr>
        <w:t>da</w:t>
      </w:r>
      <w:r>
        <w:rPr>
          <w:color w:val="1B1C1D"/>
        </w:rPr>
        <w:tab/>
      </w:r>
      <w:r>
        <w:rPr>
          <w:color w:val="1B1C1D"/>
          <w:spacing w:val="-2"/>
        </w:rPr>
        <w:t>União</w:t>
      </w:r>
      <w:r>
        <w:rPr>
          <w:spacing w:val="-2"/>
        </w:rPr>
        <w:t>,</w:t>
      </w:r>
      <w:r>
        <w:tab/>
      </w:r>
      <w:r>
        <w:rPr>
          <w:spacing w:val="-2"/>
        </w:rPr>
        <w:t>Brasília,</w:t>
      </w:r>
      <w:r>
        <w:tab/>
      </w:r>
      <w:r>
        <w:rPr>
          <w:spacing w:val="-2"/>
        </w:rPr>
        <w:t>2002.</w:t>
      </w:r>
      <w:r>
        <w:tab/>
      </w:r>
      <w:r>
        <w:rPr>
          <w:spacing w:val="-2"/>
        </w:rPr>
        <w:t>Disponível</w:t>
      </w:r>
      <w:r>
        <w:tab/>
      </w:r>
      <w:r>
        <w:rPr>
          <w:spacing w:val="-4"/>
        </w:rPr>
        <w:t xml:space="preserve">em: </w:t>
      </w:r>
      <w:hyperlink r:id="rId414">
        <w:r>
          <w:rPr>
            <w:color w:val="0A56D0"/>
            <w:u w:val="single" w:color="0A56D0"/>
          </w:rPr>
          <w:t>https://www.planalto.gov.br/ccivil_03/leis/2002/l10406compilada.htm</w:t>
        </w:r>
      </w:hyperlink>
      <w:r>
        <w:t>. Acesso em: 19 out. 2023.</w:t>
      </w:r>
    </w:p>
    <w:p w:rsidR="007259F2" w:rsidRDefault="00E655B4">
      <w:pPr>
        <w:pStyle w:val="Corpodetexto"/>
        <w:tabs>
          <w:tab w:val="left" w:pos="5159"/>
          <w:tab w:val="left" w:pos="8855"/>
        </w:tabs>
        <w:spacing w:before="120"/>
        <w:ind w:right="988" w:firstLine="0"/>
      </w:pPr>
      <w:r>
        <w:t xml:space="preserve">BRASIL. Superior Tribunal de Justiça. </w:t>
      </w:r>
      <w:r>
        <w:rPr>
          <w:b/>
        </w:rPr>
        <w:t xml:space="preserve">Agravo em Recurso Especial nº 788.019 - RS </w:t>
      </w:r>
      <w:r>
        <w:rPr>
          <w:spacing w:val="-2"/>
        </w:rPr>
        <w:t>(2015/0235236-0).</w:t>
      </w:r>
      <w:r>
        <w:tab/>
      </w:r>
      <w:r>
        <w:rPr>
          <w:spacing w:val="-2"/>
        </w:rPr>
        <w:t>Disponível</w:t>
      </w:r>
      <w:r>
        <w:tab/>
      </w:r>
      <w:r>
        <w:rPr>
          <w:spacing w:val="-4"/>
        </w:rPr>
        <w:t xml:space="preserve">em: </w:t>
      </w:r>
      <w:hyperlink r:id="rId415">
        <w:r>
          <w:rPr>
            <w:color w:val="0A56D0"/>
            <w:spacing w:val="-2"/>
            <w:u w:val="single" w:color="0A56D0"/>
          </w:rPr>
          <w:t>https://www.google.com/search?q=https://processo.stj.jus.br/processo/monocraticas/dec</w:t>
        </w:r>
      </w:hyperlink>
      <w:r>
        <w:rPr>
          <w:color w:val="0A56D0"/>
          <w:spacing w:val="-2"/>
        </w:rPr>
        <w:t xml:space="preserve"> </w:t>
      </w:r>
      <w:hyperlink r:id="rId416">
        <w:r>
          <w:rPr>
            <w:color w:val="0A56D0"/>
            <w:u w:val="single" w:color="0A56D0"/>
          </w:rPr>
          <w:t>isoes/%3Fnum_registro%3D201502352360%26dt_publicacao%3D05/08/2019</w:t>
        </w:r>
      </w:hyperlink>
      <w:r>
        <w:t>. Acesso em: 19 out. 2023.</w:t>
      </w:r>
    </w:p>
    <w:p w:rsidR="007259F2" w:rsidRDefault="00E655B4">
      <w:pPr>
        <w:pStyle w:val="Corpodetexto"/>
        <w:spacing w:before="120"/>
        <w:ind w:right="987" w:firstLine="0"/>
      </w:pPr>
      <w:r>
        <w:t xml:space="preserve">BRASIL. Superior Tribunal de Justiça. </w:t>
      </w:r>
      <w:r>
        <w:rPr>
          <w:b/>
        </w:rPr>
        <w:t>Súmula nº 619</w:t>
      </w:r>
      <w:r>
        <w:t>. A ocupação indevida de bem público configura mera detenção, de natureza precária, insuscetível de retenção ou indenização</w:t>
      </w:r>
      <w:r>
        <w:rPr>
          <w:spacing w:val="49"/>
        </w:rPr>
        <w:t xml:space="preserve"> </w:t>
      </w:r>
      <w:r>
        <w:t>por</w:t>
      </w:r>
      <w:r>
        <w:rPr>
          <w:spacing w:val="53"/>
        </w:rPr>
        <w:t xml:space="preserve"> </w:t>
      </w:r>
      <w:r>
        <w:t>acessões</w:t>
      </w:r>
      <w:r>
        <w:rPr>
          <w:spacing w:val="51"/>
        </w:rPr>
        <w:t xml:space="preserve"> </w:t>
      </w:r>
      <w:r>
        <w:t>e</w:t>
      </w:r>
      <w:r>
        <w:rPr>
          <w:spacing w:val="50"/>
        </w:rPr>
        <w:t xml:space="preserve"> </w:t>
      </w:r>
      <w:r>
        <w:t>benfeitorias.</w:t>
      </w:r>
      <w:r>
        <w:rPr>
          <w:spacing w:val="55"/>
        </w:rPr>
        <w:t xml:space="preserve"> </w:t>
      </w:r>
      <w:r>
        <w:t>Brasília,</w:t>
      </w:r>
      <w:r>
        <w:rPr>
          <w:spacing w:val="51"/>
        </w:rPr>
        <w:t xml:space="preserve"> </w:t>
      </w:r>
      <w:r>
        <w:t>DF:</w:t>
      </w:r>
      <w:r>
        <w:rPr>
          <w:spacing w:val="52"/>
        </w:rPr>
        <w:t xml:space="preserve"> </w:t>
      </w:r>
      <w:r>
        <w:t>Superior</w:t>
      </w:r>
      <w:r>
        <w:rPr>
          <w:spacing w:val="52"/>
        </w:rPr>
        <w:t xml:space="preserve"> </w:t>
      </w:r>
      <w:r>
        <w:t>Tribunal</w:t>
      </w:r>
      <w:r>
        <w:rPr>
          <w:spacing w:val="52"/>
        </w:rPr>
        <w:t xml:space="preserve"> </w:t>
      </w:r>
      <w:r>
        <w:t>de</w:t>
      </w:r>
      <w:r>
        <w:rPr>
          <w:spacing w:val="53"/>
        </w:rPr>
        <w:t xml:space="preserve"> </w:t>
      </w:r>
      <w:r>
        <w:rPr>
          <w:spacing w:val="-2"/>
        </w:rPr>
        <w:t>Justiça,</w:t>
      </w:r>
    </w:p>
    <w:p w:rsidR="007259F2" w:rsidRDefault="007259F2">
      <w:pPr>
        <w:pStyle w:val="Corpodetexto"/>
        <w:sectPr w:rsidR="007259F2">
          <w:pgSz w:w="11910" w:h="16840"/>
          <w:pgMar w:top="1320" w:right="708" w:bottom="1160" w:left="992" w:header="0" w:footer="962" w:gutter="0"/>
          <w:cols w:space="720"/>
        </w:sectPr>
      </w:pPr>
    </w:p>
    <w:p w:rsidR="007259F2" w:rsidRDefault="00E655B4">
      <w:pPr>
        <w:pStyle w:val="Corpodetexto"/>
        <w:spacing w:before="69"/>
        <w:ind w:right="993" w:firstLine="0"/>
      </w:pPr>
      <w:r>
        <w:lastRenderedPageBreak/>
        <w:t xml:space="preserve">[2018]. Disponível em: </w:t>
      </w:r>
      <w:hyperlink r:id="rId417">
        <w:r>
          <w:rPr>
            <w:color w:val="0A56D0"/>
            <w:u w:val="single" w:color="0A56D0"/>
          </w:rPr>
          <w:t>https://scon.stj.jus.br/SCON/sumstj/toc.jsp</w:t>
        </w:r>
      </w:hyperlink>
      <w:r>
        <w:t xml:space="preserve">. Acesso em: 19 out. </w:t>
      </w:r>
      <w:r>
        <w:rPr>
          <w:spacing w:val="-2"/>
        </w:rPr>
        <w:t>2023.</w:t>
      </w:r>
    </w:p>
    <w:p w:rsidR="007259F2" w:rsidRDefault="00E655B4">
      <w:pPr>
        <w:pStyle w:val="Corpodetexto"/>
        <w:tabs>
          <w:tab w:val="left" w:pos="1957"/>
          <w:tab w:val="left" w:pos="2965"/>
          <w:tab w:val="left" w:pos="4413"/>
          <w:tab w:val="left" w:pos="5608"/>
          <w:tab w:val="left" w:pos="6976"/>
          <w:tab w:val="left" w:pos="8857"/>
        </w:tabs>
        <w:spacing w:before="121"/>
        <w:ind w:right="988" w:firstLine="0"/>
      </w:pPr>
      <w:r>
        <w:t xml:space="preserve">BRASIL. Superior Tribunal de Justiça. </w:t>
      </w:r>
      <w:r>
        <w:rPr>
          <w:b/>
          <w:color w:val="1B1C1D"/>
        </w:rPr>
        <w:t>Informativo de Jurisprudência</w:t>
      </w:r>
      <w:r>
        <w:t xml:space="preserve">, Brasília, n. </w:t>
      </w:r>
      <w:r>
        <w:rPr>
          <w:spacing w:val="-4"/>
        </w:rPr>
        <w:t>752,</w:t>
      </w:r>
      <w:r>
        <w:tab/>
      </w:r>
      <w:r>
        <w:rPr>
          <w:spacing w:val="-6"/>
        </w:rPr>
        <w:t>p.</w:t>
      </w:r>
      <w:r>
        <w:tab/>
      </w:r>
      <w:r>
        <w:rPr>
          <w:spacing w:val="-2"/>
        </w:rPr>
        <w:t>17-18,</w:t>
      </w:r>
      <w:r>
        <w:tab/>
      </w:r>
      <w:r>
        <w:rPr>
          <w:spacing w:val="-4"/>
        </w:rPr>
        <w:t>out.</w:t>
      </w:r>
      <w:r>
        <w:tab/>
      </w:r>
      <w:r>
        <w:rPr>
          <w:spacing w:val="-2"/>
        </w:rPr>
        <w:t>2022.</w:t>
      </w:r>
      <w:r>
        <w:tab/>
      </w:r>
      <w:r>
        <w:rPr>
          <w:spacing w:val="-2"/>
        </w:rPr>
        <w:t>Disponível</w:t>
      </w:r>
      <w:r>
        <w:tab/>
      </w:r>
      <w:r>
        <w:rPr>
          <w:spacing w:val="-4"/>
        </w:rPr>
        <w:t xml:space="preserve">em: </w:t>
      </w:r>
      <w:hyperlink r:id="rId418">
        <w:r>
          <w:rPr>
            <w:color w:val="0A56D0"/>
            <w:spacing w:val="-2"/>
            <w:u w:val="single" w:color="0A56D0"/>
          </w:rPr>
          <w:t>https://www.google.com/search?q=https://processo.stj.jus.br/jurisprudencia/externo/info</w:t>
        </w:r>
      </w:hyperlink>
      <w:r>
        <w:rPr>
          <w:color w:val="0A56D0"/>
          <w:spacing w:val="-2"/>
        </w:rPr>
        <w:t xml:space="preserve"> </w:t>
      </w:r>
      <w:hyperlink r:id="rId419">
        <w:r>
          <w:rPr>
            <w:color w:val="0A56D0"/>
            <w:u w:val="single" w:color="0A56D0"/>
          </w:rPr>
          <w:t>rmativo/%3Facao%3Dpesquisarumaedicao%26livre%3D0752.cod</w:t>
        </w:r>
      </w:hyperlink>
      <w:r>
        <w:t xml:space="preserve">. Acesso em: 19 out. </w:t>
      </w:r>
      <w:r>
        <w:rPr>
          <w:spacing w:val="-2"/>
        </w:rPr>
        <w:t>2023.</w:t>
      </w:r>
    </w:p>
    <w:p w:rsidR="007259F2" w:rsidRDefault="00E655B4">
      <w:pPr>
        <w:tabs>
          <w:tab w:val="left" w:pos="4861"/>
          <w:tab w:val="left" w:pos="8853"/>
        </w:tabs>
        <w:spacing w:before="120"/>
        <w:ind w:left="710" w:right="989"/>
        <w:jc w:val="both"/>
        <w:rPr>
          <w:sz w:val="24"/>
        </w:rPr>
      </w:pPr>
      <w:r>
        <w:rPr>
          <w:sz w:val="24"/>
        </w:rPr>
        <w:t xml:space="preserve">BRASIL. Supremo Tribunal Federal. </w:t>
      </w:r>
      <w:r>
        <w:rPr>
          <w:b/>
          <w:sz w:val="24"/>
        </w:rPr>
        <w:t xml:space="preserve">Agravo em Recurso Extraordinário nº </w:t>
      </w:r>
      <w:r>
        <w:rPr>
          <w:b/>
          <w:spacing w:val="-2"/>
          <w:sz w:val="24"/>
        </w:rPr>
        <w:t>812.138/PE</w:t>
      </w:r>
      <w:r>
        <w:rPr>
          <w:spacing w:val="-2"/>
          <w:sz w:val="24"/>
        </w:rPr>
        <w:t>.</w:t>
      </w:r>
      <w:r>
        <w:rPr>
          <w:sz w:val="24"/>
        </w:rPr>
        <w:tab/>
      </w:r>
      <w:r>
        <w:rPr>
          <w:spacing w:val="-2"/>
          <w:sz w:val="24"/>
        </w:rPr>
        <w:t>Disponível</w:t>
      </w:r>
      <w:r>
        <w:rPr>
          <w:sz w:val="24"/>
        </w:rPr>
        <w:tab/>
      </w:r>
      <w:r>
        <w:rPr>
          <w:spacing w:val="-4"/>
          <w:sz w:val="24"/>
        </w:rPr>
        <w:t xml:space="preserve">em: </w:t>
      </w:r>
      <w:hyperlink r:id="rId420">
        <w:r>
          <w:rPr>
            <w:color w:val="0A56D0"/>
            <w:sz w:val="24"/>
            <w:u w:val="single" w:color="0A56D0"/>
          </w:rPr>
          <w:t>https://jurisprudencia.stf.jus.br/pages/search/despacho418284/false</w:t>
        </w:r>
        <w:r>
          <w:rPr>
            <w:sz w:val="24"/>
          </w:rPr>
          <w:t>.</w:t>
        </w:r>
      </w:hyperlink>
      <w:r>
        <w:rPr>
          <w:sz w:val="24"/>
        </w:rPr>
        <w:t xml:space="preserve"> Acesso em: 19 out. </w:t>
      </w:r>
      <w:r>
        <w:rPr>
          <w:spacing w:val="-2"/>
          <w:sz w:val="24"/>
        </w:rPr>
        <w:t>2023.</w:t>
      </w:r>
    </w:p>
    <w:p w:rsidR="007259F2" w:rsidRDefault="00E655B4">
      <w:pPr>
        <w:pStyle w:val="Corpodetexto"/>
        <w:spacing w:before="120"/>
        <w:ind w:right="989" w:firstLine="0"/>
      </w:pPr>
      <w:r>
        <w:t xml:space="preserve">BRASIL. Supremo Tribunal Federal. </w:t>
      </w:r>
      <w:r>
        <w:rPr>
          <w:b/>
        </w:rPr>
        <w:t>Recurso Extraordinário nº 569.305/DF</w:t>
      </w:r>
      <w:r>
        <w:t xml:space="preserve">. Disponível em: </w:t>
      </w:r>
      <w:hyperlink r:id="rId421">
        <w:r>
          <w:rPr>
            <w:color w:val="0A56D0"/>
            <w:u w:val="single" w:color="0A56D0"/>
          </w:rPr>
          <w:t>https://jurisprudencia.stf.jus.br/pages/search/despacho228876/false</w:t>
        </w:r>
      </w:hyperlink>
      <w:r>
        <w:t>. Acesso em: 19 out. 2023.</w:t>
      </w:r>
    </w:p>
    <w:p w:rsidR="007259F2" w:rsidRDefault="00E655B4">
      <w:pPr>
        <w:pStyle w:val="Corpodetexto"/>
        <w:spacing w:before="121"/>
        <w:ind w:right="991" w:firstLine="0"/>
      </w:pPr>
      <w:r>
        <w:t xml:space="preserve">BRASIL. Supremo Tribunal Federal. </w:t>
      </w:r>
      <w:r>
        <w:rPr>
          <w:b/>
        </w:rPr>
        <w:t>Súmula nº 340</w:t>
      </w:r>
      <w:r>
        <w:t>. Desde a vigência do Código</w:t>
      </w:r>
      <w:r>
        <w:rPr>
          <w:spacing w:val="40"/>
        </w:rPr>
        <w:t xml:space="preserve"> </w:t>
      </w:r>
      <w:r>
        <w:t xml:space="preserve">Civil, os bens dominicais, como os demais bens públicos, não podem ser adquiridos por usucapião. Brasília, DF: Supremo Tribunal Federal, [1964]. Disponível em: </w:t>
      </w:r>
      <w:hyperlink r:id="rId422">
        <w:r>
          <w:rPr>
            <w:color w:val="0A56D0"/>
            <w:u w:val="single" w:color="0A56D0"/>
          </w:rPr>
          <w:t>https://jurisprudencia.stf.jus.br/pages/search/seq-sumula340/false</w:t>
        </w:r>
      </w:hyperlink>
      <w:r>
        <w:t xml:space="preserve">. Acesso em: 19 out. </w:t>
      </w:r>
      <w:r>
        <w:rPr>
          <w:spacing w:val="-2"/>
        </w:rPr>
        <w:t>2023.</w:t>
      </w:r>
    </w:p>
    <w:p w:rsidR="007259F2" w:rsidRDefault="00E655B4">
      <w:pPr>
        <w:pStyle w:val="Corpodetexto"/>
        <w:tabs>
          <w:tab w:val="left" w:pos="7073"/>
          <w:tab w:val="left" w:pos="8855"/>
        </w:tabs>
        <w:spacing w:before="120"/>
        <w:ind w:right="989" w:firstLine="0"/>
      </w:pPr>
      <w:r>
        <w:t xml:space="preserve">BRITO, M. D. P.; MARQUES, V. P. Usucapião de bens públicos dominicais. </w:t>
      </w:r>
      <w:r>
        <w:rPr>
          <w:b/>
          <w:color w:val="1B1C1D"/>
        </w:rPr>
        <w:t>Revista Vertentes do Direito</w:t>
      </w:r>
      <w:r>
        <w:t xml:space="preserve">, Tocantins, v. 4, n. 1, p. 42–62, 2017. DOI: </w:t>
      </w:r>
      <w:hyperlink r:id="rId423">
        <w:r>
          <w:rPr>
            <w:color w:val="0A56D0"/>
            <w:spacing w:val="-2"/>
            <w:u w:val="single" w:color="0A56D0"/>
          </w:rPr>
          <w:t>https://doi.org/10.20873/uft.2359-0106.2017.v4n1.p42-62</w:t>
        </w:r>
      </w:hyperlink>
      <w:r>
        <w:rPr>
          <w:spacing w:val="-2"/>
        </w:rPr>
        <w:t>.</w:t>
      </w:r>
      <w:r>
        <w:tab/>
      </w:r>
      <w:r>
        <w:rPr>
          <w:spacing w:val="-2"/>
        </w:rPr>
        <w:t>Disponível</w:t>
      </w:r>
      <w:r>
        <w:tab/>
      </w:r>
      <w:r>
        <w:rPr>
          <w:spacing w:val="-4"/>
        </w:rPr>
        <w:t xml:space="preserve">em: </w:t>
      </w:r>
      <w:hyperlink r:id="rId424">
        <w:r>
          <w:rPr>
            <w:color w:val="0A56D0"/>
            <w:u w:val="single" w:color="0A56D0"/>
          </w:rPr>
          <w:t>https://sistemas.uft.edu.br/periodicos/index.php/direito/article/view/2860</w:t>
        </w:r>
        <w:r>
          <w:t>.</w:t>
        </w:r>
      </w:hyperlink>
      <w:r>
        <w:t xml:space="preserve"> Acesso em:</w:t>
      </w:r>
      <w:r>
        <w:rPr>
          <w:spacing w:val="40"/>
        </w:rPr>
        <w:t xml:space="preserve"> </w:t>
      </w:r>
      <w:r>
        <w:t>19 out. 2023.</w:t>
      </w:r>
    </w:p>
    <w:p w:rsidR="007259F2" w:rsidRDefault="00E655B4">
      <w:pPr>
        <w:spacing w:before="120"/>
        <w:ind w:left="710" w:right="993"/>
        <w:jc w:val="both"/>
        <w:rPr>
          <w:sz w:val="24"/>
        </w:rPr>
      </w:pPr>
      <w:r>
        <w:rPr>
          <w:sz w:val="24"/>
        </w:rPr>
        <w:t xml:space="preserve">DI PIETRO, M. S. Z. </w:t>
      </w:r>
      <w:r>
        <w:rPr>
          <w:b/>
          <w:color w:val="1B1C1D"/>
          <w:sz w:val="24"/>
        </w:rPr>
        <w:t>Direito Administrativo</w:t>
      </w:r>
      <w:r>
        <w:rPr>
          <w:sz w:val="24"/>
        </w:rPr>
        <w:t>. 31. ed. Rio de Janeiro: Forense, 2018. 1180 p.</w:t>
      </w:r>
    </w:p>
    <w:p w:rsidR="007259F2" w:rsidRDefault="00E655B4">
      <w:pPr>
        <w:spacing w:before="120"/>
        <w:ind w:left="710" w:right="990"/>
        <w:jc w:val="both"/>
        <w:rPr>
          <w:sz w:val="24"/>
        </w:rPr>
      </w:pPr>
      <w:r>
        <w:rPr>
          <w:sz w:val="24"/>
        </w:rPr>
        <w:t>DINIZ,</w:t>
      </w:r>
      <w:r>
        <w:rPr>
          <w:spacing w:val="-2"/>
          <w:sz w:val="24"/>
        </w:rPr>
        <w:t xml:space="preserve"> </w:t>
      </w:r>
      <w:r>
        <w:rPr>
          <w:sz w:val="24"/>
        </w:rPr>
        <w:t>M.</w:t>
      </w:r>
      <w:r>
        <w:rPr>
          <w:spacing w:val="-1"/>
          <w:sz w:val="24"/>
        </w:rPr>
        <w:t xml:space="preserve"> </w:t>
      </w:r>
      <w:r>
        <w:rPr>
          <w:sz w:val="24"/>
        </w:rPr>
        <w:t>H.</w:t>
      </w:r>
      <w:r>
        <w:rPr>
          <w:spacing w:val="-1"/>
          <w:sz w:val="24"/>
        </w:rPr>
        <w:t xml:space="preserve"> </w:t>
      </w:r>
      <w:r>
        <w:rPr>
          <w:b/>
          <w:color w:val="1B1C1D"/>
          <w:sz w:val="24"/>
        </w:rPr>
        <w:t>Curso</w:t>
      </w:r>
      <w:r>
        <w:rPr>
          <w:b/>
          <w:color w:val="1B1C1D"/>
          <w:spacing w:val="-2"/>
          <w:sz w:val="24"/>
        </w:rPr>
        <w:t xml:space="preserve"> </w:t>
      </w:r>
      <w:r>
        <w:rPr>
          <w:b/>
          <w:color w:val="1B1C1D"/>
          <w:sz w:val="24"/>
        </w:rPr>
        <w:t>de</w:t>
      </w:r>
      <w:r>
        <w:rPr>
          <w:b/>
          <w:color w:val="1B1C1D"/>
          <w:spacing w:val="-2"/>
          <w:sz w:val="24"/>
        </w:rPr>
        <w:t xml:space="preserve"> </w:t>
      </w:r>
      <w:r>
        <w:rPr>
          <w:b/>
          <w:color w:val="1B1C1D"/>
          <w:sz w:val="24"/>
        </w:rPr>
        <w:t>Direito</w:t>
      </w:r>
      <w:r>
        <w:rPr>
          <w:b/>
          <w:color w:val="1B1C1D"/>
          <w:spacing w:val="-2"/>
          <w:sz w:val="24"/>
        </w:rPr>
        <w:t xml:space="preserve"> </w:t>
      </w:r>
      <w:r>
        <w:rPr>
          <w:b/>
          <w:color w:val="1B1C1D"/>
          <w:sz w:val="24"/>
        </w:rPr>
        <w:t>Civil</w:t>
      </w:r>
      <w:r>
        <w:rPr>
          <w:b/>
          <w:color w:val="1B1C1D"/>
          <w:spacing w:val="-1"/>
          <w:sz w:val="24"/>
        </w:rPr>
        <w:t xml:space="preserve"> </w:t>
      </w:r>
      <w:r>
        <w:rPr>
          <w:b/>
          <w:color w:val="1B1C1D"/>
          <w:sz w:val="24"/>
        </w:rPr>
        <w:t>Brasileiro</w:t>
      </w:r>
      <w:r>
        <w:rPr>
          <w:color w:val="1B1C1D"/>
          <w:sz w:val="24"/>
        </w:rPr>
        <w:t>:</w:t>
      </w:r>
      <w:r>
        <w:rPr>
          <w:color w:val="1B1C1D"/>
          <w:spacing w:val="-1"/>
          <w:sz w:val="24"/>
        </w:rPr>
        <w:t xml:space="preserve"> </w:t>
      </w:r>
      <w:r>
        <w:rPr>
          <w:color w:val="1B1C1D"/>
          <w:sz w:val="24"/>
        </w:rPr>
        <w:t>Direito</w:t>
      </w:r>
      <w:r>
        <w:rPr>
          <w:color w:val="1B1C1D"/>
          <w:spacing w:val="-1"/>
          <w:sz w:val="24"/>
        </w:rPr>
        <w:t xml:space="preserve"> </w:t>
      </w:r>
      <w:r>
        <w:rPr>
          <w:color w:val="1B1C1D"/>
          <w:sz w:val="24"/>
        </w:rPr>
        <w:t>das</w:t>
      </w:r>
      <w:r>
        <w:rPr>
          <w:color w:val="1B1C1D"/>
          <w:spacing w:val="-1"/>
          <w:sz w:val="24"/>
        </w:rPr>
        <w:t xml:space="preserve"> </w:t>
      </w:r>
      <w:r>
        <w:rPr>
          <w:color w:val="1B1C1D"/>
          <w:sz w:val="24"/>
        </w:rPr>
        <w:t>Coisas</w:t>
      </w:r>
      <w:r>
        <w:rPr>
          <w:sz w:val="24"/>
        </w:rPr>
        <w:t>.</w:t>
      </w:r>
      <w:r>
        <w:rPr>
          <w:spacing w:val="-1"/>
          <w:sz w:val="24"/>
        </w:rPr>
        <w:t xml:space="preserve"> </w:t>
      </w:r>
      <w:r>
        <w:rPr>
          <w:sz w:val="24"/>
        </w:rPr>
        <w:t>37.</w:t>
      </w:r>
      <w:r>
        <w:rPr>
          <w:spacing w:val="-1"/>
          <w:sz w:val="24"/>
        </w:rPr>
        <w:t xml:space="preserve"> </w:t>
      </w:r>
      <w:r>
        <w:rPr>
          <w:sz w:val="24"/>
        </w:rPr>
        <w:t>ed.</w:t>
      </w:r>
      <w:r>
        <w:rPr>
          <w:spacing w:val="-1"/>
          <w:sz w:val="24"/>
        </w:rPr>
        <w:t xml:space="preserve"> </w:t>
      </w:r>
      <w:r>
        <w:rPr>
          <w:sz w:val="24"/>
        </w:rPr>
        <w:t>São</w:t>
      </w:r>
      <w:r>
        <w:rPr>
          <w:spacing w:val="-1"/>
          <w:sz w:val="24"/>
        </w:rPr>
        <w:t xml:space="preserve"> </w:t>
      </w:r>
      <w:r>
        <w:rPr>
          <w:sz w:val="24"/>
        </w:rPr>
        <w:t>Paulo: SaraivaJur, 2023. vol. 4. 728 p.</w:t>
      </w:r>
    </w:p>
    <w:p w:rsidR="007259F2" w:rsidRDefault="00E655B4">
      <w:pPr>
        <w:spacing w:before="120"/>
        <w:ind w:left="710" w:right="990"/>
        <w:jc w:val="both"/>
        <w:rPr>
          <w:sz w:val="24"/>
        </w:rPr>
      </w:pPr>
      <w:r>
        <w:rPr>
          <w:sz w:val="24"/>
        </w:rPr>
        <w:t xml:space="preserve">DINIZ, M. H. </w:t>
      </w:r>
      <w:r>
        <w:rPr>
          <w:b/>
          <w:color w:val="1B1C1D"/>
          <w:sz w:val="24"/>
        </w:rPr>
        <w:t>Curso de Direito Civil Brasileiro</w:t>
      </w:r>
      <w:r>
        <w:rPr>
          <w:color w:val="1B1C1D"/>
          <w:sz w:val="24"/>
        </w:rPr>
        <w:t>: Teoria Geral do Direito Civil</w:t>
      </w:r>
      <w:r>
        <w:rPr>
          <w:sz w:val="24"/>
        </w:rPr>
        <w:t>. 29. ed. São Paulo: Saraiva, 2012. vol. 1. 625 p.</w:t>
      </w:r>
    </w:p>
    <w:p w:rsidR="007259F2" w:rsidRDefault="00E655B4">
      <w:pPr>
        <w:pStyle w:val="Corpodetexto"/>
        <w:spacing w:before="120"/>
        <w:ind w:right="990" w:firstLine="0"/>
        <w:jc w:val="left"/>
      </w:pPr>
      <w:r>
        <w:t>FARIAS,</w:t>
      </w:r>
      <w:r>
        <w:rPr>
          <w:spacing w:val="40"/>
        </w:rPr>
        <w:t xml:space="preserve"> </w:t>
      </w:r>
      <w:r>
        <w:t>C.</w:t>
      </w:r>
      <w:r>
        <w:rPr>
          <w:spacing w:val="40"/>
        </w:rPr>
        <w:t xml:space="preserve"> </w:t>
      </w:r>
      <w:r>
        <w:t>C.;</w:t>
      </w:r>
      <w:r>
        <w:rPr>
          <w:spacing w:val="40"/>
        </w:rPr>
        <w:t xml:space="preserve"> </w:t>
      </w:r>
      <w:r>
        <w:t>ROSENVALD,</w:t>
      </w:r>
      <w:r>
        <w:rPr>
          <w:spacing w:val="40"/>
        </w:rPr>
        <w:t xml:space="preserve"> </w:t>
      </w:r>
      <w:r>
        <w:t>N.</w:t>
      </w:r>
      <w:r>
        <w:rPr>
          <w:spacing w:val="40"/>
        </w:rPr>
        <w:t xml:space="preserve"> </w:t>
      </w:r>
      <w:r>
        <w:rPr>
          <w:b/>
          <w:color w:val="1B1C1D"/>
        </w:rPr>
        <w:t>Curso</w:t>
      </w:r>
      <w:r>
        <w:rPr>
          <w:b/>
          <w:color w:val="1B1C1D"/>
          <w:spacing w:val="40"/>
        </w:rPr>
        <w:t xml:space="preserve"> </w:t>
      </w:r>
      <w:r>
        <w:rPr>
          <w:b/>
          <w:color w:val="1B1C1D"/>
        </w:rPr>
        <w:t>de</w:t>
      </w:r>
      <w:r>
        <w:rPr>
          <w:b/>
          <w:color w:val="1B1C1D"/>
          <w:spacing w:val="40"/>
        </w:rPr>
        <w:t xml:space="preserve"> </w:t>
      </w:r>
      <w:r>
        <w:rPr>
          <w:b/>
          <w:color w:val="1B1C1D"/>
        </w:rPr>
        <w:t>Direito</w:t>
      </w:r>
      <w:r>
        <w:rPr>
          <w:b/>
          <w:color w:val="1B1C1D"/>
          <w:spacing w:val="40"/>
        </w:rPr>
        <w:t xml:space="preserve"> </w:t>
      </w:r>
      <w:r>
        <w:rPr>
          <w:b/>
          <w:color w:val="1B1C1D"/>
        </w:rPr>
        <w:t>Civil</w:t>
      </w:r>
      <w:r>
        <w:rPr>
          <w:color w:val="1B1C1D"/>
        </w:rPr>
        <w:t>:</w:t>
      </w:r>
      <w:r>
        <w:rPr>
          <w:color w:val="1B1C1D"/>
          <w:spacing w:val="40"/>
        </w:rPr>
        <w:t xml:space="preserve"> </w:t>
      </w:r>
      <w:r>
        <w:rPr>
          <w:color w:val="1B1C1D"/>
        </w:rPr>
        <w:t>Direitos</w:t>
      </w:r>
      <w:r>
        <w:rPr>
          <w:color w:val="1B1C1D"/>
          <w:spacing w:val="40"/>
        </w:rPr>
        <w:t xml:space="preserve"> </w:t>
      </w:r>
      <w:r>
        <w:rPr>
          <w:color w:val="1B1C1D"/>
        </w:rPr>
        <w:t>Reais</w:t>
      </w:r>
      <w:r>
        <w:t>.</w:t>
      </w:r>
      <w:r>
        <w:rPr>
          <w:spacing w:val="40"/>
        </w:rPr>
        <w:t xml:space="preserve"> </w:t>
      </w:r>
      <w:r>
        <w:t>8.</w:t>
      </w:r>
      <w:r>
        <w:rPr>
          <w:spacing w:val="40"/>
        </w:rPr>
        <w:t xml:space="preserve"> </w:t>
      </w:r>
      <w:r>
        <w:t>ed. Salvador: Editora JusPodivm, 2012. vol. 5. 989 p.</w:t>
      </w:r>
    </w:p>
    <w:p w:rsidR="007259F2" w:rsidRDefault="00E655B4">
      <w:pPr>
        <w:spacing w:before="121"/>
        <w:ind w:left="710" w:right="990"/>
        <w:rPr>
          <w:sz w:val="24"/>
        </w:rPr>
      </w:pPr>
      <w:r>
        <w:rPr>
          <w:sz w:val="24"/>
        </w:rPr>
        <w:t xml:space="preserve">GONÇALVES, C. R. </w:t>
      </w:r>
      <w:r>
        <w:rPr>
          <w:b/>
          <w:color w:val="1B1C1D"/>
          <w:sz w:val="24"/>
        </w:rPr>
        <w:t>Direito Civil Esquematizado</w:t>
      </w:r>
      <w:r>
        <w:rPr>
          <w:sz w:val="24"/>
        </w:rPr>
        <w:t>. 1. ed. São Paulo: Saraiva, 2011.</w:t>
      </w:r>
      <w:r>
        <w:rPr>
          <w:spacing w:val="80"/>
          <w:sz w:val="24"/>
        </w:rPr>
        <w:t xml:space="preserve"> </w:t>
      </w:r>
      <w:r>
        <w:rPr>
          <w:sz w:val="24"/>
        </w:rPr>
        <w:t>849 p.</w:t>
      </w:r>
    </w:p>
    <w:p w:rsidR="007259F2" w:rsidRDefault="00E655B4">
      <w:pPr>
        <w:spacing w:before="120"/>
        <w:ind w:left="710" w:right="990"/>
        <w:rPr>
          <w:sz w:val="24"/>
        </w:rPr>
      </w:pPr>
      <w:r>
        <w:rPr>
          <w:sz w:val="24"/>
        </w:rPr>
        <w:t xml:space="preserve">MASSON, N. </w:t>
      </w:r>
      <w:r>
        <w:rPr>
          <w:b/>
          <w:color w:val="1B1C1D"/>
          <w:sz w:val="24"/>
        </w:rPr>
        <w:t>Manual de Direito Constitucional</w:t>
      </w:r>
      <w:r>
        <w:rPr>
          <w:sz w:val="24"/>
        </w:rPr>
        <w:t>. 4. ed. Salvador: JusPodivm, 2016.</w:t>
      </w:r>
      <w:r>
        <w:rPr>
          <w:spacing w:val="40"/>
          <w:sz w:val="24"/>
        </w:rPr>
        <w:t xml:space="preserve"> </w:t>
      </w:r>
      <w:r>
        <w:rPr>
          <w:sz w:val="24"/>
        </w:rPr>
        <w:t>1300 p.</w:t>
      </w:r>
    </w:p>
    <w:p w:rsidR="007259F2" w:rsidRDefault="00E655B4">
      <w:pPr>
        <w:spacing w:before="120"/>
        <w:ind w:left="710"/>
        <w:rPr>
          <w:sz w:val="24"/>
        </w:rPr>
      </w:pPr>
      <w:r>
        <w:rPr>
          <w:sz w:val="24"/>
        </w:rPr>
        <w:t>MEIRELLES,</w:t>
      </w:r>
      <w:r>
        <w:rPr>
          <w:spacing w:val="1"/>
          <w:sz w:val="24"/>
        </w:rPr>
        <w:t xml:space="preserve"> </w:t>
      </w:r>
      <w:r>
        <w:rPr>
          <w:sz w:val="24"/>
        </w:rPr>
        <w:t>H.</w:t>
      </w:r>
      <w:r>
        <w:rPr>
          <w:spacing w:val="5"/>
          <w:sz w:val="24"/>
        </w:rPr>
        <w:t xml:space="preserve"> </w:t>
      </w:r>
      <w:r>
        <w:rPr>
          <w:sz w:val="24"/>
        </w:rPr>
        <w:t>L.</w:t>
      </w:r>
      <w:r>
        <w:rPr>
          <w:spacing w:val="4"/>
          <w:sz w:val="24"/>
        </w:rPr>
        <w:t xml:space="preserve"> </w:t>
      </w:r>
      <w:r>
        <w:rPr>
          <w:b/>
          <w:color w:val="1B1C1D"/>
          <w:sz w:val="24"/>
        </w:rPr>
        <w:t>Direito</w:t>
      </w:r>
      <w:r>
        <w:rPr>
          <w:b/>
          <w:color w:val="1B1C1D"/>
          <w:spacing w:val="3"/>
          <w:sz w:val="24"/>
        </w:rPr>
        <w:t xml:space="preserve"> </w:t>
      </w:r>
      <w:r>
        <w:rPr>
          <w:b/>
          <w:color w:val="1B1C1D"/>
          <w:sz w:val="24"/>
        </w:rPr>
        <w:t>Municipal</w:t>
      </w:r>
      <w:r>
        <w:rPr>
          <w:b/>
          <w:color w:val="1B1C1D"/>
          <w:spacing w:val="3"/>
          <w:sz w:val="24"/>
        </w:rPr>
        <w:t xml:space="preserve"> </w:t>
      </w:r>
      <w:r>
        <w:rPr>
          <w:b/>
          <w:color w:val="1B1C1D"/>
          <w:sz w:val="24"/>
        </w:rPr>
        <w:t>Brasileiro</w:t>
      </w:r>
      <w:r>
        <w:rPr>
          <w:sz w:val="24"/>
        </w:rPr>
        <w:t>.</w:t>
      </w:r>
      <w:r>
        <w:rPr>
          <w:spacing w:val="3"/>
          <w:sz w:val="24"/>
        </w:rPr>
        <w:t xml:space="preserve"> </w:t>
      </w:r>
      <w:r>
        <w:rPr>
          <w:sz w:val="24"/>
        </w:rPr>
        <w:t>18.</w:t>
      </w:r>
      <w:r>
        <w:rPr>
          <w:spacing w:val="2"/>
          <w:sz w:val="24"/>
        </w:rPr>
        <w:t xml:space="preserve"> </w:t>
      </w:r>
      <w:r>
        <w:rPr>
          <w:sz w:val="24"/>
        </w:rPr>
        <w:t>ed.</w:t>
      </w:r>
      <w:r>
        <w:rPr>
          <w:spacing w:val="3"/>
          <w:sz w:val="24"/>
        </w:rPr>
        <w:t xml:space="preserve"> </w:t>
      </w:r>
      <w:r>
        <w:rPr>
          <w:sz w:val="24"/>
        </w:rPr>
        <w:t>São</w:t>
      </w:r>
      <w:r>
        <w:rPr>
          <w:spacing w:val="2"/>
          <w:sz w:val="24"/>
        </w:rPr>
        <w:t xml:space="preserve"> </w:t>
      </w:r>
      <w:r>
        <w:rPr>
          <w:sz w:val="24"/>
        </w:rPr>
        <w:t>Paulo:</w:t>
      </w:r>
      <w:r>
        <w:rPr>
          <w:spacing w:val="1"/>
          <w:sz w:val="24"/>
        </w:rPr>
        <w:t xml:space="preserve"> </w:t>
      </w:r>
      <w:r>
        <w:rPr>
          <w:sz w:val="24"/>
        </w:rPr>
        <w:t>Malheiros,</w:t>
      </w:r>
      <w:r>
        <w:rPr>
          <w:spacing w:val="3"/>
          <w:sz w:val="24"/>
        </w:rPr>
        <w:t xml:space="preserve"> </w:t>
      </w:r>
      <w:r>
        <w:rPr>
          <w:spacing w:val="-2"/>
          <w:sz w:val="24"/>
        </w:rPr>
        <w:t>2017.</w:t>
      </w:r>
    </w:p>
    <w:p w:rsidR="007259F2" w:rsidRDefault="00E655B4">
      <w:pPr>
        <w:pStyle w:val="Corpodetexto"/>
        <w:ind w:firstLine="0"/>
        <w:jc w:val="left"/>
      </w:pPr>
      <w:r>
        <w:t>p.</w:t>
      </w:r>
      <w:r>
        <w:rPr>
          <w:spacing w:val="-2"/>
        </w:rPr>
        <w:t xml:space="preserve"> </w:t>
      </w:r>
      <w:r>
        <w:t>155-</w:t>
      </w:r>
      <w:r>
        <w:rPr>
          <w:spacing w:val="-4"/>
        </w:rPr>
        <w:t>172.</w:t>
      </w:r>
    </w:p>
    <w:p w:rsidR="007259F2" w:rsidRDefault="00E655B4">
      <w:pPr>
        <w:spacing w:before="120"/>
        <w:ind w:left="710" w:right="990"/>
        <w:rPr>
          <w:sz w:val="24"/>
        </w:rPr>
      </w:pPr>
      <w:r>
        <w:rPr>
          <w:sz w:val="24"/>
        </w:rPr>
        <w:t>MELLO,</w:t>
      </w:r>
      <w:r>
        <w:rPr>
          <w:spacing w:val="32"/>
          <w:sz w:val="24"/>
        </w:rPr>
        <w:t xml:space="preserve"> </w:t>
      </w:r>
      <w:r>
        <w:rPr>
          <w:sz w:val="24"/>
        </w:rPr>
        <w:t>C.</w:t>
      </w:r>
      <w:r>
        <w:rPr>
          <w:spacing w:val="32"/>
          <w:sz w:val="24"/>
        </w:rPr>
        <w:t xml:space="preserve"> </w:t>
      </w:r>
      <w:r>
        <w:rPr>
          <w:sz w:val="24"/>
        </w:rPr>
        <w:t>A.</w:t>
      </w:r>
      <w:r>
        <w:rPr>
          <w:spacing w:val="32"/>
          <w:sz w:val="24"/>
        </w:rPr>
        <w:t xml:space="preserve"> </w:t>
      </w:r>
      <w:r>
        <w:rPr>
          <w:sz w:val="24"/>
        </w:rPr>
        <w:t>B.</w:t>
      </w:r>
      <w:r>
        <w:rPr>
          <w:spacing w:val="34"/>
          <w:sz w:val="24"/>
        </w:rPr>
        <w:t xml:space="preserve"> </w:t>
      </w:r>
      <w:r>
        <w:rPr>
          <w:b/>
          <w:color w:val="1B1C1D"/>
          <w:sz w:val="24"/>
        </w:rPr>
        <w:t>Curso</w:t>
      </w:r>
      <w:r>
        <w:rPr>
          <w:b/>
          <w:color w:val="1B1C1D"/>
          <w:spacing w:val="32"/>
          <w:sz w:val="24"/>
        </w:rPr>
        <w:t xml:space="preserve"> </w:t>
      </w:r>
      <w:r>
        <w:rPr>
          <w:b/>
          <w:color w:val="1B1C1D"/>
          <w:sz w:val="24"/>
        </w:rPr>
        <w:t>de</w:t>
      </w:r>
      <w:r>
        <w:rPr>
          <w:b/>
          <w:color w:val="1B1C1D"/>
          <w:spacing w:val="31"/>
          <w:sz w:val="24"/>
        </w:rPr>
        <w:t xml:space="preserve"> </w:t>
      </w:r>
      <w:r>
        <w:rPr>
          <w:b/>
          <w:color w:val="1B1C1D"/>
          <w:sz w:val="24"/>
        </w:rPr>
        <w:t>Direito</w:t>
      </w:r>
      <w:r>
        <w:rPr>
          <w:b/>
          <w:color w:val="1B1C1D"/>
          <w:spacing w:val="32"/>
          <w:sz w:val="24"/>
        </w:rPr>
        <w:t xml:space="preserve"> </w:t>
      </w:r>
      <w:r>
        <w:rPr>
          <w:b/>
          <w:color w:val="1B1C1D"/>
          <w:sz w:val="24"/>
        </w:rPr>
        <w:t>Administrativo</w:t>
      </w:r>
      <w:r>
        <w:rPr>
          <w:sz w:val="24"/>
        </w:rPr>
        <w:t>.</w:t>
      </w:r>
      <w:r>
        <w:rPr>
          <w:spacing w:val="32"/>
          <w:sz w:val="24"/>
        </w:rPr>
        <w:t xml:space="preserve"> </w:t>
      </w:r>
      <w:r>
        <w:rPr>
          <w:sz w:val="24"/>
        </w:rPr>
        <w:t>32.</w:t>
      </w:r>
      <w:r>
        <w:rPr>
          <w:spacing w:val="32"/>
          <w:sz w:val="24"/>
        </w:rPr>
        <w:t xml:space="preserve"> </w:t>
      </w:r>
      <w:r>
        <w:rPr>
          <w:sz w:val="24"/>
        </w:rPr>
        <w:t>ed.</w:t>
      </w:r>
      <w:r>
        <w:rPr>
          <w:spacing w:val="32"/>
          <w:sz w:val="24"/>
        </w:rPr>
        <w:t xml:space="preserve"> </w:t>
      </w:r>
      <w:r>
        <w:rPr>
          <w:sz w:val="24"/>
        </w:rPr>
        <w:t>São</w:t>
      </w:r>
      <w:r>
        <w:rPr>
          <w:spacing w:val="32"/>
          <w:sz w:val="24"/>
        </w:rPr>
        <w:t xml:space="preserve"> </w:t>
      </w:r>
      <w:r>
        <w:rPr>
          <w:sz w:val="24"/>
        </w:rPr>
        <w:t>Paulo:</w:t>
      </w:r>
      <w:r>
        <w:rPr>
          <w:spacing w:val="33"/>
          <w:sz w:val="24"/>
        </w:rPr>
        <w:t xml:space="preserve"> </w:t>
      </w:r>
      <w:r>
        <w:rPr>
          <w:sz w:val="24"/>
        </w:rPr>
        <w:t>Malheiros, 2015. 1150 p.</w:t>
      </w:r>
    </w:p>
    <w:p w:rsidR="007259F2" w:rsidRDefault="00E655B4">
      <w:pPr>
        <w:pStyle w:val="Corpodetexto"/>
        <w:tabs>
          <w:tab w:val="left" w:pos="5469"/>
          <w:tab w:val="left" w:pos="8856"/>
        </w:tabs>
        <w:spacing w:before="120"/>
        <w:ind w:right="988" w:firstLine="0"/>
        <w:jc w:val="left"/>
      </w:pPr>
      <w:r>
        <w:t xml:space="preserve">MINAS GERAIS. Tribunal de Justiça do Estado de Minas Gerais. </w:t>
      </w:r>
      <w:r>
        <w:rPr>
          <w:b/>
          <w:color w:val="1B1C1D"/>
        </w:rPr>
        <w:t>Apelação Cível nº</w:t>
      </w:r>
      <w:r>
        <w:rPr>
          <w:b/>
          <w:color w:val="1B1C1D"/>
          <w:spacing w:val="80"/>
        </w:rPr>
        <w:t xml:space="preserve"> </w:t>
      </w:r>
      <w:r>
        <w:rPr>
          <w:b/>
          <w:color w:val="1B1C1D"/>
          <w:spacing w:val="-2"/>
        </w:rPr>
        <w:t>1.0194.10.011238-3/001</w:t>
      </w:r>
      <w:r>
        <w:rPr>
          <w:spacing w:val="-2"/>
        </w:rPr>
        <w:t>.</w:t>
      </w:r>
      <w:r>
        <w:tab/>
      </w:r>
      <w:r>
        <w:rPr>
          <w:spacing w:val="-2"/>
        </w:rPr>
        <w:t>Disponível</w:t>
      </w:r>
      <w:r>
        <w:tab/>
      </w:r>
      <w:r>
        <w:rPr>
          <w:spacing w:val="-4"/>
        </w:rPr>
        <w:t xml:space="preserve">em: </w:t>
      </w:r>
      <w:hyperlink r:id="rId425">
        <w:r>
          <w:rPr>
            <w:color w:val="0A56D0"/>
            <w:spacing w:val="-2"/>
            <w:u w:val="single" w:color="0A56D0"/>
          </w:rPr>
          <w:t>https://www5.tjmg.jus.br/jurisprudencia/pesquisaNumeroCNJEspelhoAcordao.do;jsessi</w:t>
        </w:r>
      </w:hyperlink>
      <w:r>
        <w:rPr>
          <w:color w:val="0A56D0"/>
          <w:spacing w:val="-2"/>
        </w:rPr>
        <w:t xml:space="preserve"> </w:t>
      </w:r>
      <w:hyperlink r:id="rId426">
        <w:r>
          <w:rPr>
            <w:color w:val="0A56D0"/>
            <w:spacing w:val="-2"/>
            <w:u w:val="single" w:color="0A56D0"/>
          </w:rPr>
          <w:t>onid=182EFE2B016B7E376BB8CD21BDA01937.juri_node2?numeroRegistro=1&amp;amp</w:t>
        </w:r>
      </w:hyperlink>
    </w:p>
    <w:p w:rsidR="007259F2" w:rsidRDefault="007259F2">
      <w:pPr>
        <w:pStyle w:val="Corpodetexto"/>
        <w:jc w:val="left"/>
        <w:sectPr w:rsidR="007259F2">
          <w:pgSz w:w="11910" w:h="16840"/>
          <w:pgMar w:top="1320" w:right="708" w:bottom="1160" w:left="992" w:header="0" w:footer="962" w:gutter="0"/>
          <w:cols w:space="720"/>
        </w:sectPr>
      </w:pPr>
    </w:p>
    <w:p w:rsidR="007259F2" w:rsidRDefault="00E655B4">
      <w:pPr>
        <w:pStyle w:val="Corpodetexto"/>
        <w:spacing w:before="69"/>
        <w:ind w:firstLine="0"/>
        <w:jc w:val="left"/>
      </w:pPr>
      <w:r>
        <w:rPr>
          <w:color w:val="0A56D0"/>
          <w:spacing w:val="-2"/>
          <w:u w:val="single" w:color="0A56D0"/>
        </w:rPr>
        <w:lastRenderedPageBreak/>
        <w:t>;totalLinhas=1&amp;amp;linhasPorPagina=10&amp;amp;numeroUnico=1.0194.10.011238-</w:t>
      </w:r>
      <w:r>
        <w:rPr>
          <w:color w:val="0A56D0"/>
          <w:spacing w:val="-2"/>
        </w:rPr>
        <w:t xml:space="preserve"> </w:t>
      </w:r>
      <w:r>
        <w:rPr>
          <w:color w:val="0A56D0"/>
          <w:u w:val="single" w:color="0A56D0"/>
        </w:rPr>
        <w:t>3%2F001&amp;amp;pesquisaNumeroCNJ=Pesquisar</w:t>
      </w:r>
      <w:r>
        <w:t>. Acesso em: 19 out. 2023.</w:t>
      </w:r>
    </w:p>
    <w:p w:rsidR="007259F2" w:rsidRDefault="00E655B4">
      <w:pPr>
        <w:spacing w:before="121"/>
        <w:ind w:left="710"/>
        <w:rPr>
          <w:sz w:val="24"/>
        </w:rPr>
      </w:pPr>
      <w:r>
        <w:rPr>
          <w:sz w:val="24"/>
        </w:rPr>
        <w:t>PASOLD,</w:t>
      </w:r>
      <w:r>
        <w:rPr>
          <w:spacing w:val="80"/>
          <w:sz w:val="24"/>
        </w:rPr>
        <w:t xml:space="preserve"> </w:t>
      </w:r>
      <w:r>
        <w:rPr>
          <w:sz w:val="24"/>
        </w:rPr>
        <w:t>C.</w:t>
      </w:r>
      <w:r>
        <w:rPr>
          <w:spacing w:val="80"/>
          <w:sz w:val="24"/>
        </w:rPr>
        <w:t xml:space="preserve"> </w:t>
      </w:r>
      <w:r>
        <w:rPr>
          <w:sz w:val="24"/>
        </w:rPr>
        <w:t>L.</w:t>
      </w:r>
      <w:r>
        <w:rPr>
          <w:spacing w:val="80"/>
          <w:sz w:val="24"/>
        </w:rPr>
        <w:t xml:space="preserve"> </w:t>
      </w:r>
      <w:r>
        <w:rPr>
          <w:b/>
          <w:color w:val="1B1C1D"/>
          <w:sz w:val="24"/>
        </w:rPr>
        <w:t>Metodologia</w:t>
      </w:r>
      <w:r>
        <w:rPr>
          <w:b/>
          <w:color w:val="1B1C1D"/>
          <w:spacing w:val="80"/>
          <w:sz w:val="24"/>
        </w:rPr>
        <w:t xml:space="preserve"> </w:t>
      </w:r>
      <w:r>
        <w:rPr>
          <w:b/>
          <w:color w:val="1B1C1D"/>
          <w:sz w:val="24"/>
        </w:rPr>
        <w:t>da</w:t>
      </w:r>
      <w:r>
        <w:rPr>
          <w:b/>
          <w:color w:val="1B1C1D"/>
          <w:spacing w:val="80"/>
          <w:sz w:val="24"/>
        </w:rPr>
        <w:t xml:space="preserve"> </w:t>
      </w:r>
      <w:r>
        <w:rPr>
          <w:b/>
          <w:color w:val="1B1C1D"/>
          <w:sz w:val="24"/>
        </w:rPr>
        <w:t>Pesquisa</w:t>
      </w:r>
      <w:r>
        <w:rPr>
          <w:b/>
          <w:color w:val="1B1C1D"/>
          <w:spacing w:val="80"/>
          <w:sz w:val="24"/>
        </w:rPr>
        <w:t xml:space="preserve"> </w:t>
      </w:r>
      <w:r>
        <w:rPr>
          <w:b/>
          <w:color w:val="1B1C1D"/>
          <w:sz w:val="24"/>
        </w:rPr>
        <w:t>Jurídica</w:t>
      </w:r>
      <w:r>
        <w:rPr>
          <w:color w:val="1B1C1D"/>
          <w:sz w:val="24"/>
        </w:rPr>
        <w:t>:</w:t>
      </w:r>
      <w:r>
        <w:rPr>
          <w:color w:val="1B1C1D"/>
          <w:spacing w:val="80"/>
          <w:sz w:val="24"/>
        </w:rPr>
        <w:t xml:space="preserve"> </w:t>
      </w:r>
      <w:r>
        <w:rPr>
          <w:color w:val="1B1C1D"/>
          <w:sz w:val="24"/>
        </w:rPr>
        <w:t>Teoria</w:t>
      </w:r>
      <w:r>
        <w:rPr>
          <w:color w:val="1B1C1D"/>
          <w:spacing w:val="80"/>
          <w:sz w:val="24"/>
        </w:rPr>
        <w:t xml:space="preserve"> </w:t>
      </w:r>
      <w:r>
        <w:rPr>
          <w:color w:val="1B1C1D"/>
          <w:sz w:val="24"/>
        </w:rPr>
        <w:t>e</w:t>
      </w:r>
      <w:r>
        <w:rPr>
          <w:color w:val="1B1C1D"/>
          <w:spacing w:val="80"/>
          <w:sz w:val="24"/>
        </w:rPr>
        <w:t xml:space="preserve"> </w:t>
      </w:r>
      <w:r>
        <w:rPr>
          <w:color w:val="1B1C1D"/>
          <w:sz w:val="24"/>
        </w:rPr>
        <w:t>Prática</w:t>
      </w:r>
      <w:r>
        <w:rPr>
          <w:sz w:val="24"/>
        </w:rPr>
        <w:t>.</w:t>
      </w:r>
      <w:r>
        <w:rPr>
          <w:spacing w:val="80"/>
          <w:sz w:val="24"/>
        </w:rPr>
        <w:t xml:space="preserve"> </w:t>
      </w:r>
      <w:r>
        <w:rPr>
          <w:sz w:val="24"/>
        </w:rPr>
        <w:t>13.</w:t>
      </w:r>
      <w:r>
        <w:rPr>
          <w:spacing w:val="80"/>
          <w:sz w:val="24"/>
        </w:rPr>
        <w:t xml:space="preserve"> </w:t>
      </w:r>
      <w:r>
        <w:rPr>
          <w:sz w:val="24"/>
        </w:rPr>
        <w:t>ed. Florianópolis: Conceito, 2015. 232 p.</w:t>
      </w:r>
    </w:p>
    <w:p w:rsidR="007259F2" w:rsidRDefault="00E655B4">
      <w:pPr>
        <w:pStyle w:val="Corpodetexto"/>
        <w:spacing w:before="120"/>
        <w:ind w:right="987" w:firstLine="0"/>
      </w:pPr>
      <w:r>
        <w:t xml:space="preserve">ROSINA, J. F. </w:t>
      </w:r>
      <w:r>
        <w:rPr>
          <w:b/>
          <w:color w:val="1B1C1D"/>
        </w:rPr>
        <w:t>A função social da propriedade e a possibilidade da usucapião de bem público</w:t>
      </w:r>
      <w:r>
        <w:t xml:space="preserve">. 2015. 16 f. Artigo Científico – Pós-Graduação Lato Sensu, Escola de Magistratura do Estado do Rio de Janeiro, Rio de Janeiro. Disponível em: </w:t>
      </w:r>
      <w:hyperlink r:id="rId427">
        <w:r>
          <w:rPr>
            <w:color w:val="0A56D0"/>
            <w:spacing w:val="-2"/>
            <w:u w:val="single" w:color="0A56D0"/>
          </w:rPr>
          <w:t>https://www.google.com/search?q=https://www.emerj.tjrj.jus.br/paginas/trabalhos_conc</w:t>
        </w:r>
      </w:hyperlink>
      <w:r>
        <w:rPr>
          <w:color w:val="0A56D0"/>
          <w:spacing w:val="-2"/>
        </w:rPr>
        <w:t xml:space="preserve"> </w:t>
      </w:r>
      <w:hyperlink r:id="rId428">
        <w:r>
          <w:rPr>
            <w:color w:val="0A56D0"/>
            <w:u w:val="single" w:color="0A56D0"/>
          </w:rPr>
          <w:t>lusao/1semestre2015/pdf/JessicaFernandesRosina.pdf</w:t>
        </w:r>
      </w:hyperlink>
      <w:r>
        <w:t>. Acesso em: 19 out. 2023.</w:t>
      </w:r>
    </w:p>
    <w:p w:rsidR="007259F2" w:rsidRDefault="00E655B4">
      <w:pPr>
        <w:pStyle w:val="Corpodetexto"/>
        <w:spacing w:before="120"/>
        <w:ind w:firstLine="0"/>
      </w:pPr>
      <w:r>
        <w:t>SANCHEZ,</w:t>
      </w:r>
      <w:r>
        <w:rPr>
          <w:spacing w:val="-1"/>
        </w:rPr>
        <w:t xml:space="preserve"> </w:t>
      </w:r>
      <w:r>
        <w:t>J.</w:t>
      </w:r>
      <w:r>
        <w:rPr>
          <w:spacing w:val="-1"/>
        </w:rPr>
        <w:t xml:space="preserve"> </w:t>
      </w:r>
      <w:r>
        <w:t xml:space="preserve">C. </w:t>
      </w:r>
      <w:r>
        <w:rPr>
          <w:b/>
          <w:color w:val="1B1C1D"/>
        </w:rPr>
        <w:t>Usucapião</w:t>
      </w:r>
      <w:r>
        <w:t>.</w:t>
      </w:r>
      <w:r>
        <w:rPr>
          <w:spacing w:val="-1"/>
        </w:rPr>
        <w:t xml:space="preserve"> </w:t>
      </w:r>
      <w:r>
        <w:t>1.</w:t>
      </w:r>
      <w:r>
        <w:rPr>
          <w:spacing w:val="-1"/>
        </w:rPr>
        <w:t xml:space="preserve"> </w:t>
      </w:r>
      <w:r>
        <w:t>ed. Leme:</w:t>
      </w:r>
      <w:r>
        <w:rPr>
          <w:spacing w:val="-1"/>
        </w:rPr>
        <w:t xml:space="preserve"> </w:t>
      </w:r>
      <w:r>
        <w:t>Mizuno, 2022.</w:t>
      </w:r>
      <w:r>
        <w:rPr>
          <w:spacing w:val="-1"/>
        </w:rPr>
        <w:t xml:space="preserve"> </w:t>
      </w:r>
      <w:r>
        <w:t>336</w:t>
      </w:r>
      <w:r>
        <w:rPr>
          <w:spacing w:val="-1"/>
        </w:rPr>
        <w:t xml:space="preserve"> </w:t>
      </w:r>
      <w:r>
        <w:rPr>
          <w:spacing w:val="-5"/>
        </w:rPr>
        <w:t>p.</w:t>
      </w:r>
    </w:p>
    <w:p w:rsidR="007259F2" w:rsidRDefault="00E655B4">
      <w:pPr>
        <w:spacing w:before="120"/>
        <w:ind w:left="710" w:right="992"/>
        <w:jc w:val="both"/>
        <w:rPr>
          <w:sz w:val="24"/>
        </w:rPr>
      </w:pPr>
      <w:r>
        <w:rPr>
          <w:sz w:val="24"/>
        </w:rPr>
        <w:t xml:space="preserve">SILVA, J. A. </w:t>
      </w:r>
      <w:r>
        <w:rPr>
          <w:b/>
          <w:color w:val="1B1C1D"/>
          <w:sz w:val="24"/>
        </w:rPr>
        <w:t>Curso de Direito Constitucional Positivo</w:t>
      </w:r>
      <w:r>
        <w:rPr>
          <w:sz w:val="24"/>
        </w:rPr>
        <w:t>. 37. ed. São Paulo: Malheiros, 2014. 935 p.</w:t>
      </w:r>
    </w:p>
    <w:p w:rsidR="007259F2" w:rsidRDefault="007259F2">
      <w:pPr>
        <w:jc w:val="both"/>
        <w:rPr>
          <w:sz w:val="24"/>
        </w:rPr>
        <w:sectPr w:rsidR="007259F2">
          <w:pgSz w:w="11910" w:h="16840"/>
          <w:pgMar w:top="1320" w:right="708" w:bottom="1160" w:left="992" w:header="0" w:footer="962" w:gutter="0"/>
          <w:cols w:space="720"/>
        </w:sectPr>
      </w:pPr>
    </w:p>
    <w:p w:rsidR="007259F2" w:rsidRDefault="00E655B4">
      <w:pPr>
        <w:spacing w:before="74"/>
        <w:ind w:left="710"/>
        <w:rPr>
          <w:b/>
          <w:sz w:val="24"/>
        </w:rPr>
      </w:pPr>
      <w:r>
        <w:rPr>
          <w:b/>
          <w:sz w:val="24"/>
        </w:rPr>
        <w:lastRenderedPageBreak/>
        <w:t xml:space="preserve">Estudo de </w:t>
      </w:r>
      <w:r>
        <w:rPr>
          <w:b/>
          <w:spacing w:val="-2"/>
          <w:sz w:val="24"/>
        </w:rPr>
        <w:t>caso:</w:t>
      </w:r>
    </w:p>
    <w:p w:rsidR="007259F2" w:rsidRDefault="00E655B4">
      <w:pPr>
        <w:pStyle w:val="Heading2"/>
        <w:spacing w:before="0"/>
        <w:ind w:right="990"/>
        <w:jc w:val="left"/>
      </w:pPr>
      <w:bookmarkStart w:id="22" w:name="_bookmark22"/>
      <w:bookmarkEnd w:id="22"/>
      <w:r>
        <w:t>O</w:t>
      </w:r>
      <w:r>
        <w:rPr>
          <w:spacing w:val="-1"/>
        </w:rPr>
        <w:t xml:space="preserve"> </w:t>
      </w:r>
      <w:r>
        <w:t>Termo</w:t>
      </w:r>
      <w:r>
        <w:rPr>
          <w:spacing w:val="-1"/>
        </w:rPr>
        <w:t xml:space="preserve"> </w:t>
      </w:r>
      <w:r>
        <w:t>Inicial</w:t>
      </w:r>
      <w:r>
        <w:rPr>
          <w:spacing w:val="-1"/>
        </w:rPr>
        <w:t xml:space="preserve"> </w:t>
      </w:r>
      <w:r>
        <w:t>da Pretensão</w:t>
      </w:r>
      <w:r>
        <w:rPr>
          <w:spacing w:val="-1"/>
        </w:rPr>
        <w:t xml:space="preserve"> </w:t>
      </w:r>
      <w:r>
        <w:t>Regressiva</w:t>
      </w:r>
      <w:r>
        <w:rPr>
          <w:spacing w:val="-1"/>
        </w:rPr>
        <w:t xml:space="preserve"> </w:t>
      </w:r>
      <w:r>
        <w:t>do</w:t>
      </w:r>
      <w:r>
        <w:rPr>
          <w:spacing w:val="-1"/>
        </w:rPr>
        <w:t xml:space="preserve"> </w:t>
      </w:r>
      <w:r>
        <w:t>Estado</w:t>
      </w:r>
      <w:r>
        <w:rPr>
          <w:spacing w:val="-1"/>
        </w:rPr>
        <w:t xml:space="preserve"> </w:t>
      </w:r>
      <w:r>
        <w:t>sob o</w:t>
      </w:r>
      <w:r>
        <w:rPr>
          <w:spacing w:val="-1"/>
        </w:rPr>
        <w:t xml:space="preserve"> </w:t>
      </w:r>
      <w:r>
        <w:t>Viés</w:t>
      </w:r>
      <w:r>
        <w:rPr>
          <w:spacing w:val="-1"/>
        </w:rPr>
        <w:t xml:space="preserve"> </w:t>
      </w:r>
      <w:r>
        <w:t>Subjetivo</w:t>
      </w:r>
      <w:r>
        <w:rPr>
          <w:spacing w:val="-1"/>
        </w:rPr>
        <w:t xml:space="preserve"> </w:t>
      </w:r>
      <w:r>
        <w:t>da Teoria Actio Nata</w:t>
      </w:r>
    </w:p>
    <w:p w:rsidR="007259F2" w:rsidRDefault="00E655B4">
      <w:pPr>
        <w:spacing w:before="274"/>
        <w:ind w:left="710"/>
        <w:rPr>
          <w:sz w:val="24"/>
        </w:rPr>
      </w:pPr>
      <w:r>
        <w:rPr>
          <w:b/>
          <w:sz w:val="24"/>
        </w:rPr>
        <w:t>Antonio</w:t>
      </w:r>
      <w:r>
        <w:rPr>
          <w:b/>
          <w:spacing w:val="-1"/>
          <w:sz w:val="24"/>
        </w:rPr>
        <w:t xml:space="preserve"> </w:t>
      </w:r>
      <w:r>
        <w:rPr>
          <w:b/>
          <w:sz w:val="24"/>
        </w:rPr>
        <w:t>de</w:t>
      </w:r>
      <w:r>
        <w:rPr>
          <w:b/>
          <w:spacing w:val="-1"/>
          <w:sz w:val="24"/>
        </w:rPr>
        <w:t xml:space="preserve"> </w:t>
      </w:r>
      <w:r>
        <w:rPr>
          <w:b/>
          <w:sz w:val="24"/>
        </w:rPr>
        <w:t xml:space="preserve">Meira </w:t>
      </w:r>
      <w:r>
        <w:rPr>
          <w:b/>
          <w:spacing w:val="-2"/>
          <w:sz w:val="24"/>
        </w:rPr>
        <w:t>Sousa</w:t>
      </w:r>
      <w:r>
        <w:rPr>
          <w:spacing w:val="-2"/>
          <w:sz w:val="24"/>
          <w:vertAlign w:val="superscript"/>
        </w:rPr>
        <w:t>1</w:t>
      </w:r>
    </w:p>
    <w:p w:rsidR="007259F2" w:rsidRDefault="007259F2">
      <w:pPr>
        <w:pStyle w:val="Corpodetexto"/>
        <w:ind w:left="0" w:firstLine="0"/>
        <w:jc w:val="left"/>
      </w:pPr>
    </w:p>
    <w:p w:rsidR="007259F2" w:rsidRDefault="007259F2">
      <w:pPr>
        <w:pStyle w:val="Corpodetexto"/>
        <w:spacing w:before="214"/>
        <w:ind w:left="0" w:firstLine="0"/>
        <w:jc w:val="left"/>
      </w:pPr>
    </w:p>
    <w:p w:rsidR="007259F2" w:rsidRDefault="00E655B4">
      <w:pPr>
        <w:ind w:left="710"/>
        <w:rPr>
          <w:b/>
          <w:sz w:val="24"/>
        </w:rPr>
      </w:pPr>
      <w:r>
        <w:rPr>
          <w:b/>
          <w:sz w:val="24"/>
        </w:rPr>
        <w:t xml:space="preserve">O </w:t>
      </w:r>
      <w:r>
        <w:rPr>
          <w:b/>
          <w:spacing w:val="-4"/>
          <w:sz w:val="24"/>
        </w:rPr>
        <w:t>Caso</w:t>
      </w:r>
    </w:p>
    <w:p w:rsidR="007259F2" w:rsidRDefault="00E655B4">
      <w:pPr>
        <w:spacing w:before="240"/>
        <w:ind w:left="710"/>
        <w:rPr>
          <w:b/>
          <w:sz w:val="24"/>
        </w:rPr>
      </w:pPr>
      <w:r>
        <w:rPr>
          <w:b/>
          <w:sz w:val="24"/>
        </w:rPr>
        <w:t xml:space="preserve">Ação </w:t>
      </w:r>
      <w:r>
        <w:rPr>
          <w:b/>
          <w:spacing w:val="-2"/>
          <w:sz w:val="24"/>
        </w:rPr>
        <w:t>Principal</w:t>
      </w:r>
    </w:p>
    <w:p w:rsidR="007259F2" w:rsidRDefault="00E655B4">
      <w:pPr>
        <w:pStyle w:val="Corpodetexto"/>
        <w:spacing w:before="153"/>
        <w:ind w:right="993"/>
      </w:pPr>
      <w:r>
        <w:t xml:space="preserve">Em </w:t>
      </w:r>
      <w:r>
        <w:rPr>
          <w:b/>
          <w:u w:val="single"/>
        </w:rPr>
        <w:t>janeiro de 2005</w:t>
      </w:r>
      <w:r>
        <w:t>, Cebolácio Silva e sua esposa, Mônica Souza Silva, ajuizaram ação indenizatória em face da Fazenda Municipal, requerendo indenização por danos materiais e morais em razão de transbordamento do córrego intermunicipal que causou a queda do muro de sua residência e danificou o automóvel do casal.</w:t>
      </w:r>
    </w:p>
    <w:p w:rsidR="007259F2" w:rsidRDefault="00E655B4">
      <w:pPr>
        <w:pStyle w:val="Corpodetexto"/>
        <w:spacing w:before="1"/>
        <w:ind w:right="990"/>
      </w:pPr>
      <w:r>
        <w:t>Em sede de contestação, a Fazenda Municipal alegou, preliminarmente, ilegitimidade passiva, atribuindo a responsabilidade à Fazenda Estadual, pois as águas intermunicipais pertencem ao Estado, a quem competiria promover ações com o</w:t>
      </w:r>
      <w:r>
        <w:rPr>
          <w:spacing w:val="40"/>
        </w:rPr>
        <w:t xml:space="preserve"> </w:t>
      </w:r>
      <w:r>
        <w:t xml:space="preserve">objetivo de evitar enchentes/transbordamentos, nos termos do art. 26, inciso I, da Constituição Federal de 1988 e do art. 29, inciso II, do Código de Águas (Decreto nº </w:t>
      </w:r>
      <w:r>
        <w:rPr>
          <w:spacing w:val="-2"/>
        </w:rPr>
        <w:t>24.643/34).</w:t>
      </w:r>
    </w:p>
    <w:p w:rsidR="007259F2" w:rsidRDefault="00E655B4">
      <w:pPr>
        <w:pStyle w:val="Corpodetexto"/>
        <w:ind w:right="996"/>
      </w:pPr>
      <w:r>
        <w:t>No mérito, defendeu a aplicação da teoria da responsabilidade subjetiva do Estado, aplicada aos casos de dano por omissão, bem como a excludente de força maior e a ausência de comprovação dos danos materiais e morais.</w:t>
      </w:r>
    </w:p>
    <w:p w:rsidR="007259F2" w:rsidRDefault="00E655B4">
      <w:pPr>
        <w:pStyle w:val="Corpodetexto"/>
        <w:spacing w:before="1"/>
        <w:ind w:right="997"/>
      </w:pPr>
      <w:r>
        <w:t>Ao sanear o feito, o Juízo rejeitou a preliminar arguida, inaugurando a fase de instrução processual, a qual decorreu como de praxe.</w:t>
      </w:r>
    </w:p>
    <w:p w:rsidR="007259F2" w:rsidRDefault="00E655B4">
      <w:pPr>
        <w:pStyle w:val="Corpodetexto"/>
        <w:ind w:right="989"/>
      </w:pPr>
      <w:r>
        <w:t>Após alegações finais, o Juízo julgou parcialmente procedente a ação, condenando a Fazenda Municipal ao pagamento de danos materiais no importe de R$78.120,00, bem como ao pagamento de honorários advocatícios fixados no importe de 10% do valor da condenação.</w:t>
      </w:r>
    </w:p>
    <w:p w:rsidR="007259F2" w:rsidRDefault="00E655B4">
      <w:pPr>
        <w:pStyle w:val="Corpodetexto"/>
        <w:ind w:right="997"/>
      </w:pPr>
      <w:r>
        <w:t>A Fazenda interpôs apelação, a qual teve seu provimento negado pelo Tribunal, com majoração da condenação dos honorários sucumbenciais em 15%.</w:t>
      </w:r>
    </w:p>
    <w:p w:rsidR="007259F2" w:rsidRDefault="00E655B4">
      <w:pPr>
        <w:ind w:left="710" w:right="994" w:firstLine="707"/>
        <w:jc w:val="both"/>
        <w:rPr>
          <w:sz w:val="24"/>
        </w:rPr>
      </w:pPr>
      <w:r>
        <w:rPr>
          <w:sz w:val="24"/>
        </w:rPr>
        <w:t xml:space="preserve">A ação </w:t>
      </w:r>
      <w:r>
        <w:rPr>
          <w:b/>
          <w:sz w:val="24"/>
          <w:u w:val="single"/>
        </w:rPr>
        <w:t>transitou em julgado</w:t>
      </w:r>
      <w:r>
        <w:rPr>
          <w:b/>
          <w:sz w:val="24"/>
        </w:rPr>
        <w:t xml:space="preserve"> </w:t>
      </w:r>
      <w:r>
        <w:rPr>
          <w:sz w:val="24"/>
        </w:rPr>
        <w:t xml:space="preserve">em </w:t>
      </w:r>
      <w:r>
        <w:rPr>
          <w:b/>
          <w:sz w:val="24"/>
          <w:u w:val="single"/>
        </w:rPr>
        <w:t>janeiro de 2010</w:t>
      </w:r>
      <w:r>
        <w:rPr>
          <w:sz w:val="24"/>
        </w:rPr>
        <w:t>, mês em que se iniciou a fase de cumprimento de sentença, sucedida de impugnação pela Fazenda Municipal.</w:t>
      </w:r>
    </w:p>
    <w:p w:rsidR="007259F2" w:rsidRDefault="00E655B4">
      <w:pPr>
        <w:pStyle w:val="Corpodetexto"/>
        <w:ind w:right="994"/>
      </w:pPr>
      <w:r>
        <w:t xml:space="preserve">Em </w:t>
      </w:r>
      <w:r>
        <w:rPr>
          <w:b/>
          <w:u w:val="single"/>
        </w:rPr>
        <w:t>janeiro de 2013</w:t>
      </w:r>
      <w:r>
        <w:t>, sobreveio sentença acolhendo a impugnação da Fazenda e condenando os autores ao pagamento de honorários de sucumbências de 10% sobre o valor em excesso.</w:t>
      </w:r>
    </w:p>
    <w:p w:rsidR="007259F2" w:rsidRDefault="00E655B4">
      <w:pPr>
        <w:pStyle w:val="Corpodetexto"/>
        <w:spacing w:before="1"/>
        <w:ind w:right="995"/>
      </w:pPr>
      <w:r>
        <w:t>Inconformados, os Autores interpuseram apelação, a qual teve provimento negado, majorando a sucumbência em 15%.</w:t>
      </w:r>
    </w:p>
    <w:p w:rsidR="007259F2" w:rsidRDefault="00E655B4">
      <w:pPr>
        <w:spacing w:before="201"/>
        <w:ind w:left="710" w:right="989" w:firstLine="707"/>
        <w:jc w:val="both"/>
        <w:rPr>
          <w:sz w:val="24"/>
        </w:rPr>
      </w:pPr>
      <w:r>
        <w:rPr>
          <w:sz w:val="24"/>
        </w:rPr>
        <w:t>O</w:t>
      </w:r>
      <w:r>
        <w:rPr>
          <w:spacing w:val="-1"/>
          <w:sz w:val="24"/>
        </w:rPr>
        <w:t xml:space="preserve"> </w:t>
      </w:r>
      <w:r>
        <w:rPr>
          <w:b/>
          <w:sz w:val="24"/>
          <w:u w:val="single"/>
        </w:rPr>
        <w:t>trânsito em</w:t>
      </w:r>
      <w:r>
        <w:rPr>
          <w:b/>
          <w:spacing w:val="-1"/>
          <w:sz w:val="24"/>
          <w:u w:val="single"/>
        </w:rPr>
        <w:t xml:space="preserve"> </w:t>
      </w:r>
      <w:r>
        <w:rPr>
          <w:b/>
          <w:sz w:val="24"/>
          <w:u w:val="single"/>
        </w:rPr>
        <w:t>julgado</w:t>
      </w:r>
      <w:r>
        <w:rPr>
          <w:b/>
          <w:sz w:val="24"/>
        </w:rPr>
        <w:t xml:space="preserve"> </w:t>
      </w:r>
      <w:r>
        <w:rPr>
          <w:sz w:val="24"/>
        </w:rPr>
        <w:t>do cumprimento de</w:t>
      </w:r>
      <w:r>
        <w:rPr>
          <w:spacing w:val="-1"/>
          <w:sz w:val="24"/>
        </w:rPr>
        <w:t xml:space="preserve"> </w:t>
      </w:r>
      <w:r>
        <w:rPr>
          <w:sz w:val="24"/>
        </w:rPr>
        <w:t>sentença</w:t>
      </w:r>
      <w:r>
        <w:rPr>
          <w:spacing w:val="-1"/>
          <w:sz w:val="24"/>
        </w:rPr>
        <w:t xml:space="preserve"> </w:t>
      </w:r>
      <w:r>
        <w:rPr>
          <w:sz w:val="24"/>
        </w:rPr>
        <w:t>se</w:t>
      </w:r>
      <w:r>
        <w:rPr>
          <w:spacing w:val="-1"/>
          <w:sz w:val="24"/>
        </w:rPr>
        <w:t xml:space="preserve"> </w:t>
      </w:r>
      <w:r>
        <w:rPr>
          <w:sz w:val="24"/>
        </w:rPr>
        <w:t xml:space="preserve">deu em </w:t>
      </w:r>
      <w:r>
        <w:rPr>
          <w:b/>
          <w:sz w:val="24"/>
          <w:u w:val="single"/>
        </w:rPr>
        <w:t>janeiro de 2016</w:t>
      </w:r>
      <w:r>
        <w:rPr>
          <w:sz w:val="24"/>
        </w:rPr>
        <w:t xml:space="preserve">, mês em que foi </w:t>
      </w:r>
      <w:r>
        <w:rPr>
          <w:b/>
          <w:sz w:val="24"/>
          <w:u w:val="single"/>
        </w:rPr>
        <w:t>expedido ofício requisitório</w:t>
      </w:r>
      <w:r>
        <w:rPr>
          <w:b/>
          <w:sz w:val="24"/>
        </w:rPr>
        <w:t xml:space="preserve"> </w:t>
      </w:r>
      <w:r>
        <w:rPr>
          <w:sz w:val="24"/>
        </w:rPr>
        <w:t>para pagamento do precatório, o qual aguarda pagamento.</w:t>
      </w:r>
    </w:p>
    <w:p w:rsidR="007259F2" w:rsidRDefault="00E655B4">
      <w:pPr>
        <w:pStyle w:val="Heading2"/>
        <w:spacing w:before="204"/>
        <w:jc w:val="left"/>
      </w:pPr>
      <w:r>
        <w:t>Ação</w:t>
      </w:r>
      <w:r>
        <w:rPr>
          <w:spacing w:val="-1"/>
        </w:rPr>
        <w:t xml:space="preserve"> </w:t>
      </w:r>
      <w:r>
        <w:t>de</w:t>
      </w:r>
      <w:r>
        <w:rPr>
          <w:spacing w:val="-2"/>
        </w:rPr>
        <w:t xml:space="preserve"> regresso</w:t>
      </w:r>
    </w:p>
    <w:p w:rsidR="007259F2" w:rsidRDefault="00E655B4">
      <w:pPr>
        <w:pStyle w:val="Corpodetexto"/>
        <w:spacing w:before="156"/>
        <w:ind w:right="995"/>
      </w:pPr>
      <w:r>
        <w:t>Naquele</w:t>
      </w:r>
      <w:r>
        <w:rPr>
          <w:spacing w:val="-3"/>
        </w:rPr>
        <w:t xml:space="preserve"> </w:t>
      </w:r>
      <w:r>
        <w:t>mesmo</w:t>
      </w:r>
      <w:r>
        <w:rPr>
          <w:spacing w:val="-2"/>
        </w:rPr>
        <w:t xml:space="preserve"> </w:t>
      </w:r>
      <w:r>
        <w:t>mês,</w:t>
      </w:r>
      <w:r>
        <w:rPr>
          <w:spacing w:val="-1"/>
        </w:rPr>
        <w:t xml:space="preserve"> </w:t>
      </w:r>
      <w:r>
        <w:rPr>
          <w:b/>
          <w:u w:val="single"/>
        </w:rPr>
        <w:t>janeiro</w:t>
      </w:r>
      <w:r>
        <w:rPr>
          <w:b/>
          <w:spacing w:val="-2"/>
          <w:u w:val="single"/>
        </w:rPr>
        <w:t xml:space="preserve"> </w:t>
      </w:r>
      <w:r>
        <w:rPr>
          <w:b/>
          <w:u w:val="single"/>
        </w:rPr>
        <w:t>de</w:t>
      </w:r>
      <w:r>
        <w:rPr>
          <w:b/>
          <w:spacing w:val="-3"/>
          <w:u w:val="single"/>
        </w:rPr>
        <w:t xml:space="preserve"> </w:t>
      </w:r>
      <w:r>
        <w:rPr>
          <w:b/>
          <w:u w:val="single"/>
        </w:rPr>
        <w:t>2016</w:t>
      </w:r>
      <w:r>
        <w:t>,</w:t>
      </w:r>
      <w:r>
        <w:rPr>
          <w:spacing w:val="-2"/>
        </w:rPr>
        <w:t xml:space="preserve"> </w:t>
      </w:r>
      <w:r>
        <w:t>a</w:t>
      </w:r>
      <w:r>
        <w:rPr>
          <w:spacing w:val="-3"/>
        </w:rPr>
        <w:t xml:space="preserve"> </w:t>
      </w:r>
      <w:r>
        <w:t>Fazenda</w:t>
      </w:r>
      <w:r>
        <w:rPr>
          <w:spacing w:val="-3"/>
        </w:rPr>
        <w:t xml:space="preserve"> </w:t>
      </w:r>
      <w:r>
        <w:t>Municipal</w:t>
      </w:r>
      <w:r>
        <w:rPr>
          <w:spacing w:val="-2"/>
        </w:rPr>
        <w:t xml:space="preserve"> </w:t>
      </w:r>
      <w:r>
        <w:t>ingressou</w:t>
      </w:r>
      <w:r>
        <w:rPr>
          <w:spacing w:val="-2"/>
        </w:rPr>
        <w:t xml:space="preserve"> </w:t>
      </w:r>
      <w:r>
        <w:t>com</w:t>
      </w:r>
      <w:r>
        <w:rPr>
          <w:spacing w:val="-2"/>
        </w:rPr>
        <w:t xml:space="preserve"> </w:t>
      </w:r>
      <w:r>
        <w:t>ação de</w:t>
      </w:r>
      <w:r>
        <w:rPr>
          <w:spacing w:val="60"/>
        </w:rPr>
        <w:t xml:space="preserve"> </w:t>
      </w:r>
      <w:r>
        <w:t>regresso</w:t>
      </w:r>
      <w:r>
        <w:rPr>
          <w:spacing w:val="64"/>
        </w:rPr>
        <w:t xml:space="preserve"> </w:t>
      </w:r>
      <w:r>
        <w:t>em</w:t>
      </w:r>
      <w:r>
        <w:rPr>
          <w:spacing w:val="62"/>
        </w:rPr>
        <w:t xml:space="preserve"> </w:t>
      </w:r>
      <w:r>
        <w:t>face</w:t>
      </w:r>
      <w:r>
        <w:rPr>
          <w:spacing w:val="60"/>
        </w:rPr>
        <w:t xml:space="preserve"> </w:t>
      </w:r>
      <w:r>
        <w:t>da</w:t>
      </w:r>
      <w:r>
        <w:rPr>
          <w:spacing w:val="63"/>
        </w:rPr>
        <w:t xml:space="preserve"> </w:t>
      </w:r>
      <w:r>
        <w:t>Fazenda</w:t>
      </w:r>
      <w:r>
        <w:rPr>
          <w:spacing w:val="62"/>
        </w:rPr>
        <w:t xml:space="preserve"> </w:t>
      </w:r>
      <w:r>
        <w:t>Estadual,</w:t>
      </w:r>
      <w:r>
        <w:rPr>
          <w:spacing w:val="62"/>
        </w:rPr>
        <w:t xml:space="preserve"> </w:t>
      </w:r>
      <w:r>
        <w:t>nos</w:t>
      </w:r>
      <w:r>
        <w:rPr>
          <w:spacing w:val="63"/>
        </w:rPr>
        <w:t xml:space="preserve"> </w:t>
      </w:r>
      <w:r>
        <w:t>termos</w:t>
      </w:r>
      <w:r>
        <w:rPr>
          <w:spacing w:val="62"/>
        </w:rPr>
        <w:t xml:space="preserve"> </w:t>
      </w:r>
      <w:r>
        <w:t>do</w:t>
      </w:r>
      <w:r>
        <w:rPr>
          <w:spacing w:val="61"/>
        </w:rPr>
        <w:t xml:space="preserve"> </w:t>
      </w:r>
      <w:r>
        <w:t>art.</w:t>
      </w:r>
      <w:r>
        <w:rPr>
          <w:spacing w:val="61"/>
        </w:rPr>
        <w:t xml:space="preserve"> </w:t>
      </w:r>
      <w:r>
        <w:t>125,</w:t>
      </w:r>
      <w:r>
        <w:rPr>
          <w:spacing w:val="61"/>
        </w:rPr>
        <w:t xml:space="preserve"> </w:t>
      </w:r>
      <w:r>
        <w:t>§</w:t>
      </w:r>
      <w:r>
        <w:rPr>
          <w:spacing w:val="64"/>
        </w:rPr>
        <w:t xml:space="preserve"> </w:t>
      </w:r>
      <w:r>
        <w:t>1º</w:t>
      </w:r>
      <w:r>
        <w:rPr>
          <w:spacing w:val="61"/>
        </w:rPr>
        <w:t xml:space="preserve"> </w:t>
      </w:r>
      <w:r>
        <w:t>do</w:t>
      </w:r>
      <w:r>
        <w:rPr>
          <w:spacing w:val="62"/>
        </w:rPr>
        <w:t xml:space="preserve"> </w:t>
      </w:r>
      <w:r>
        <w:rPr>
          <w:spacing w:val="-4"/>
        </w:rPr>
        <w:t>CPC,</w:t>
      </w:r>
    </w:p>
    <w:p w:rsidR="007259F2" w:rsidRDefault="00DE6B1C">
      <w:pPr>
        <w:pStyle w:val="Corpodetexto"/>
        <w:spacing w:before="5"/>
        <w:ind w:left="0" w:firstLine="0"/>
        <w:jc w:val="left"/>
        <w:rPr>
          <w:sz w:val="12"/>
        </w:rPr>
      </w:pPr>
      <w:r w:rsidRPr="00DE6B1C">
        <w:rPr>
          <w:sz w:val="12"/>
        </w:rPr>
        <w:pict>
          <v:rect id="docshape195" o:spid="_x0000_s1036" style="position:absolute;margin-left:85.1pt;margin-top:8.35pt;width:2in;height:.7pt;z-index:-15639552;mso-wrap-distance-left:0;mso-wrap-distance-right:0;mso-position-horizontal-relative:page" fillcolor="black" stroked="f">
            <w10:wrap type="topAndBottom" anchorx="page"/>
          </v:rect>
        </w:pict>
      </w:r>
    </w:p>
    <w:p w:rsidR="007259F2" w:rsidRDefault="00E655B4">
      <w:pPr>
        <w:spacing w:before="97"/>
        <w:ind w:left="710" w:right="990"/>
        <w:rPr>
          <w:sz w:val="20"/>
        </w:rPr>
      </w:pPr>
      <w:r>
        <w:rPr>
          <w:sz w:val="20"/>
          <w:vertAlign w:val="superscript"/>
        </w:rPr>
        <w:t>1</w:t>
      </w:r>
      <w:r>
        <w:rPr>
          <w:sz w:val="20"/>
        </w:rPr>
        <w:t>Residente</w:t>
      </w:r>
      <w:r>
        <w:rPr>
          <w:spacing w:val="35"/>
          <w:sz w:val="20"/>
        </w:rPr>
        <w:t xml:space="preserve"> </w:t>
      </w:r>
      <w:r>
        <w:rPr>
          <w:sz w:val="20"/>
        </w:rPr>
        <w:t>Jurídico</w:t>
      </w:r>
      <w:r>
        <w:rPr>
          <w:spacing w:val="36"/>
          <w:sz w:val="20"/>
        </w:rPr>
        <w:t xml:space="preserve"> </w:t>
      </w:r>
      <w:r>
        <w:rPr>
          <w:sz w:val="20"/>
        </w:rPr>
        <w:t>do</w:t>
      </w:r>
      <w:r>
        <w:rPr>
          <w:spacing w:val="36"/>
          <w:sz w:val="20"/>
        </w:rPr>
        <w:t xml:space="preserve"> </w:t>
      </w:r>
      <w:r>
        <w:rPr>
          <w:sz w:val="20"/>
        </w:rPr>
        <w:t>Programa</w:t>
      </w:r>
      <w:r>
        <w:rPr>
          <w:spacing w:val="36"/>
          <w:sz w:val="20"/>
        </w:rPr>
        <w:t xml:space="preserve"> </w:t>
      </w:r>
      <w:r>
        <w:rPr>
          <w:sz w:val="20"/>
        </w:rPr>
        <w:t>de</w:t>
      </w:r>
      <w:r>
        <w:rPr>
          <w:spacing w:val="38"/>
          <w:sz w:val="20"/>
        </w:rPr>
        <w:t xml:space="preserve"> </w:t>
      </w:r>
      <w:r>
        <w:rPr>
          <w:sz w:val="20"/>
        </w:rPr>
        <w:t>Residência</w:t>
      </w:r>
      <w:r>
        <w:rPr>
          <w:spacing w:val="36"/>
          <w:sz w:val="20"/>
        </w:rPr>
        <w:t xml:space="preserve"> </w:t>
      </w:r>
      <w:r>
        <w:rPr>
          <w:sz w:val="20"/>
        </w:rPr>
        <w:t>Jurídica</w:t>
      </w:r>
      <w:r>
        <w:rPr>
          <w:spacing w:val="36"/>
          <w:sz w:val="20"/>
        </w:rPr>
        <w:t xml:space="preserve"> </w:t>
      </w:r>
      <w:r>
        <w:rPr>
          <w:sz w:val="20"/>
        </w:rPr>
        <w:t>da</w:t>
      </w:r>
      <w:r>
        <w:rPr>
          <w:spacing w:val="36"/>
          <w:sz w:val="20"/>
        </w:rPr>
        <w:t xml:space="preserve"> </w:t>
      </w:r>
      <w:r>
        <w:rPr>
          <w:sz w:val="20"/>
        </w:rPr>
        <w:t>Procuradoria-Geral</w:t>
      </w:r>
      <w:r>
        <w:rPr>
          <w:spacing w:val="35"/>
          <w:sz w:val="20"/>
        </w:rPr>
        <w:t xml:space="preserve"> </w:t>
      </w:r>
      <w:r>
        <w:rPr>
          <w:sz w:val="20"/>
        </w:rPr>
        <w:t>do</w:t>
      </w:r>
      <w:r>
        <w:rPr>
          <w:spacing w:val="36"/>
          <w:sz w:val="20"/>
        </w:rPr>
        <w:t xml:space="preserve"> </w:t>
      </w:r>
      <w:r>
        <w:rPr>
          <w:sz w:val="20"/>
        </w:rPr>
        <w:t>Município</w:t>
      </w:r>
      <w:r>
        <w:rPr>
          <w:spacing w:val="36"/>
          <w:sz w:val="20"/>
        </w:rPr>
        <w:t xml:space="preserve"> </w:t>
      </w:r>
      <w:r>
        <w:rPr>
          <w:sz w:val="20"/>
        </w:rPr>
        <w:t>de</w:t>
      </w:r>
      <w:r>
        <w:rPr>
          <w:spacing w:val="37"/>
          <w:sz w:val="20"/>
        </w:rPr>
        <w:t xml:space="preserve"> </w:t>
      </w:r>
      <w:r>
        <w:rPr>
          <w:sz w:val="20"/>
        </w:rPr>
        <w:t xml:space="preserve">São Paulo, alocado no Departamento Judicial - JUD (2022-2025). E-mail: </w:t>
      </w:r>
      <w:hyperlink r:id="rId429">
        <w:r>
          <w:rPr>
            <w:sz w:val="20"/>
          </w:rPr>
          <w:t>antoniomeira@outlook.com.br</w:t>
        </w:r>
      </w:hyperlink>
    </w:p>
    <w:p w:rsidR="007259F2" w:rsidRDefault="007259F2">
      <w:pPr>
        <w:rPr>
          <w:sz w:val="20"/>
        </w:rPr>
        <w:sectPr w:rsidR="007259F2">
          <w:pgSz w:w="11910" w:h="16840"/>
          <w:pgMar w:top="1320" w:right="708" w:bottom="1160" w:left="992" w:header="0" w:footer="962" w:gutter="0"/>
          <w:cols w:space="720"/>
        </w:sectPr>
      </w:pPr>
    </w:p>
    <w:p w:rsidR="007259F2" w:rsidRDefault="00E655B4">
      <w:pPr>
        <w:pStyle w:val="Corpodetexto"/>
        <w:spacing w:before="69"/>
        <w:ind w:right="992" w:firstLine="0"/>
      </w:pPr>
      <w:r>
        <w:lastRenderedPageBreak/>
        <w:t>fundamentando que a Fazenda Municipal foi condenada em razão de omissão por parte da Fazenda Estadual, a quem compete a responsabilidade pelas águas intermunicipais, nos</w:t>
      </w:r>
      <w:r>
        <w:rPr>
          <w:spacing w:val="-2"/>
        </w:rPr>
        <w:t xml:space="preserve"> </w:t>
      </w:r>
      <w:r>
        <w:t>termos</w:t>
      </w:r>
      <w:r>
        <w:rPr>
          <w:spacing w:val="-2"/>
        </w:rPr>
        <w:t xml:space="preserve"> </w:t>
      </w:r>
      <w:r>
        <w:t>do</w:t>
      </w:r>
      <w:r>
        <w:rPr>
          <w:spacing w:val="-2"/>
        </w:rPr>
        <w:t xml:space="preserve"> </w:t>
      </w:r>
      <w:r>
        <w:t>art.</w:t>
      </w:r>
      <w:r>
        <w:rPr>
          <w:spacing w:val="-2"/>
        </w:rPr>
        <w:t xml:space="preserve"> </w:t>
      </w:r>
      <w:r>
        <w:t>26,</w:t>
      </w:r>
      <w:r>
        <w:rPr>
          <w:spacing w:val="-2"/>
        </w:rPr>
        <w:t xml:space="preserve"> </w:t>
      </w:r>
      <w:r>
        <w:t>inciso I, da</w:t>
      </w:r>
      <w:r>
        <w:rPr>
          <w:spacing w:val="-3"/>
        </w:rPr>
        <w:t xml:space="preserve"> </w:t>
      </w:r>
      <w:r>
        <w:t>Constituição Federal</w:t>
      </w:r>
      <w:r>
        <w:rPr>
          <w:spacing w:val="-2"/>
        </w:rPr>
        <w:t xml:space="preserve"> </w:t>
      </w:r>
      <w:r>
        <w:t>de</w:t>
      </w:r>
      <w:r>
        <w:rPr>
          <w:spacing w:val="-3"/>
        </w:rPr>
        <w:t xml:space="preserve"> </w:t>
      </w:r>
      <w:r>
        <w:t>1988 e</w:t>
      </w:r>
      <w:r>
        <w:rPr>
          <w:spacing w:val="-3"/>
        </w:rPr>
        <w:t xml:space="preserve"> </w:t>
      </w:r>
      <w:r>
        <w:t>do</w:t>
      </w:r>
      <w:r>
        <w:rPr>
          <w:spacing w:val="-2"/>
        </w:rPr>
        <w:t xml:space="preserve"> </w:t>
      </w:r>
      <w:r>
        <w:t>art.</w:t>
      </w:r>
      <w:r>
        <w:rPr>
          <w:spacing w:val="-2"/>
        </w:rPr>
        <w:t xml:space="preserve"> </w:t>
      </w:r>
      <w:r>
        <w:t>29,</w:t>
      </w:r>
      <w:r>
        <w:rPr>
          <w:spacing w:val="-2"/>
        </w:rPr>
        <w:t xml:space="preserve"> </w:t>
      </w:r>
      <w:r>
        <w:t>inciso II,</w:t>
      </w:r>
      <w:r>
        <w:rPr>
          <w:spacing w:val="-2"/>
        </w:rPr>
        <w:t xml:space="preserve"> </w:t>
      </w:r>
      <w:r>
        <w:t>do Código de Águas (Decreto nº 24.643/34).</w:t>
      </w:r>
    </w:p>
    <w:p w:rsidR="007259F2" w:rsidRDefault="00E655B4">
      <w:pPr>
        <w:pStyle w:val="Corpodetexto"/>
        <w:spacing w:before="1"/>
        <w:ind w:right="989"/>
      </w:pPr>
      <w:r>
        <w:t>Por sua vez, em sede de contestação, a Fazenda Estadual, preliminarmente, alegou prescrição da cobrança, atribuindo como termo inicial da</w:t>
      </w:r>
      <w:r>
        <w:rPr>
          <w:spacing w:val="-1"/>
        </w:rPr>
        <w:t xml:space="preserve"> </w:t>
      </w:r>
      <w:r>
        <w:t>pretensão o trânsito em julgado da ação de conhecimento (ação principal), bem como arguiu sua ilegitimidade passiva, atribuindo a responsabilidade ao Departamento de Águas e Energia Elétrica – DAEE, autarquia estadual. Por fim alegou ausência de interesse processual por parte da Fazenda Municipal, ante a ausência de comprovação do pagamento, requisito essencial para pretensão regressiva.</w:t>
      </w:r>
    </w:p>
    <w:p w:rsidR="007259F2" w:rsidRDefault="00E655B4">
      <w:pPr>
        <w:pStyle w:val="Corpodetexto"/>
        <w:ind w:right="996"/>
      </w:pPr>
      <w:r>
        <w:t>Após o devido andamento processual, o Juízo julgou improcedente a demanda, condenando a Fazenda Municipal ao pagamento das custas e despesas processuais, bem como ao pagamento de honorários advocatícios em 10% sobre o valor da causa.</w:t>
      </w:r>
    </w:p>
    <w:p w:rsidR="007259F2" w:rsidRDefault="00E655B4">
      <w:pPr>
        <w:pStyle w:val="Corpodetexto"/>
        <w:spacing w:before="1"/>
        <w:ind w:left="1418" w:firstLine="0"/>
      </w:pPr>
      <w:r>
        <w:t xml:space="preserve">Eis o </w:t>
      </w:r>
      <w:r>
        <w:rPr>
          <w:spacing w:val="-2"/>
        </w:rPr>
        <w:t>caso.</w:t>
      </w:r>
    </w:p>
    <w:p w:rsidR="007259F2" w:rsidRDefault="00E655B4">
      <w:pPr>
        <w:pStyle w:val="Heading2"/>
        <w:spacing w:before="206"/>
      </w:pPr>
      <w:r>
        <w:t>Perspectiva</w:t>
      </w:r>
      <w:r>
        <w:rPr>
          <w:spacing w:val="-3"/>
        </w:rPr>
        <w:t xml:space="preserve"> </w:t>
      </w:r>
      <w:r>
        <w:t>de</w:t>
      </w:r>
      <w:r>
        <w:rPr>
          <w:spacing w:val="-3"/>
        </w:rPr>
        <w:t xml:space="preserve"> </w:t>
      </w:r>
      <w:r>
        <w:rPr>
          <w:spacing w:val="-2"/>
        </w:rPr>
        <w:t>análise</w:t>
      </w:r>
    </w:p>
    <w:p w:rsidR="007259F2" w:rsidRDefault="00E655B4">
      <w:pPr>
        <w:pStyle w:val="Corpodetexto"/>
        <w:spacing w:before="238"/>
        <w:ind w:right="990"/>
      </w:pPr>
      <w:r>
        <w:t xml:space="preserve">Diante da improcedência da ação regressiva, na condição de Procurador Municipal e no exercício de sua atribuição contenciosa, será desenvolvida, no presente estudo, uma análise sobre a possibilidade (ou não) de flexibilização da regra prescricional inserida no art. 189 do Código Civil por meio da Teoria da </w:t>
      </w:r>
      <w:r>
        <w:rPr>
          <w:i/>
        </w:rPr>
        <w:t xml:space="preserve">actio nata </w:t>
      </w:r>
      <w:r>
        <w:t>em seu viés subjetivo.</w:t>
      </w:r>
    </w:p>
    <w:p w:rsidR="007259F2" w:rsidRDefault="00E655B4">
      <w:pPr>
        <w:pStyle w:val="Heading2"/>
        <w:spacing w:before="204"/>
        <w:jc w:val="left"/>
      </w:pPr>
      <w:r>
        <w:rPr>
          <w:spacing w:val="-2"/>
        </w:rPr>
        <w:t>Desenvolvimento</w:t>
      </w:r>
    </w:p>
    <w:p w:rsidR="007259F2" w:rsidRDefault="00E655B4">
      <w:pPr>
        <w:spacing w:before="157"/>
        <w:ind w:right="990"/>
        <w:jc w:val="right"/>
        <w:rPr>
          <w:i/>
          <w:sz w:val="20"/>
        </w:rPr>
      </w:pPr>
      <w:r>
        <w:rPr>
          <w:i/>
          <w:sz w:val="20"/>
        </w:rPr>
        <w:t>A</w:t>
      </w:r>
      <w:r>
        <w:rPr>
          <w:i/>
          <w:spacing w:val="-4"/>
          <w:sz w:val="20"/>
        </w:rPr>
        <w:t xml:space="preserve"> </w:t>
      </w:r>
      <w:r>
        <w:rPr>
          <w:i/>
          <w:sz w:val="20"/>
        </w:rPr>
        <w:t>virtude</w:t>
      </w:r>
      <w:r>
        <w:rPr>
          <w:i/>
          <w:spacing w:val="-4"/>
          <w:sz w:val="20"/>
        </w:rPr>
        <w:t xml:space="preserve"> </w:t>
      </w:r>
      <w:r>
        <w:rPr>
          <w:i/>
          <w:sz w:val="20"/>
        </w:rPr>
        <w:t>consiste</w:t>
      </w:r>
      <w:r>
        <w:rPr>
          <w:i/>
          <w:spacing w:val="-4"/>
          <w:sz w:val="20"/>
        </w:rPr>
        <w:t xml:space="preserve"> </w:t>
      </w:r>
      <w:r>
        <w:rPr>
          <w:i/>
          <w:sz w:val="20"/>
        </w:rPr>
        <w:t>em</w:t>
      </w:r>
      <w:r>
        <w:rPr>
          <w:i/>
          <w:spacing w:val="-3"/>
          <w:sz w:val="20"/>
        </w:rPr>
        <w:t xml:space="preserve"> </w:t>
      </w:r>
      <w:r>
        <w:rPr>
          <w:i/>
          <w:sz w:val="20"/>
        </w:rPr>
        <w:t>saber</w:t>
      </w:r>
      <w:r>
        <w:rPr>
          <w:i/>
          <w:spacing w:val="-5"/>
          <w:sz w:val="20"/>
        </w:rPr>
        <w:t xml:space="preserve"> </w:t>
      </w:r>
      <w:r>
        <w:rPr>
          <w:i/>
          <w:sz w:val="20"/>
        </w:rPr>
        <w:t>encontrar</w:t>
      </w:r>
      <w:r>
        <w:rPr>
          <w:i/>
          <w:spacing w:val="-4"/>
          <w:sz w:val="20"/>
        </w:rPr>
        <w:t xml:space="preserve"> </w:t>
      </w:r>
      <w:r>
        <w:rPr>
          <w:i/>
          <w:sz w:val="20"/>
        </w:rPr>
        <w:t>o</w:t>
      </w:r>
      <w:r>
        <w:rPr>
          <w:i/>
          <w:spacing w:val="-3"/>
          <w:sz w:val="20"/>
        </w:rPr>
        <w:t xml:space="preserve"> </w:t>
      </w:r>
      <w:r>
        <w:rPr>
          <w:i/>
          <w:sz w:val="20"/>
        </w:rPr>
        <w:t>meio-termo</w:t>
      </w:r>
      <w:r>
        <w:rPr>
          <w:i/>
          <w:spacing w:val="-4"/>
          <w:sz w:val="20"/>
        </w:rPr>
        <w:t xml:space="preserve"> </w:t>
      </w:r>
      <w:r>
        <w:rPr>
          <w:i/>
          <w:sz w:val="20"/>
        </w:rPr>
        <w:t>entre</w:t>
      </w:r>
      <w:r>
        <w:rPr>
          <w:i/>
          <w:spacing w:val="-4"/>
          <w:sz w:val="20"/>
        </w:rPr>
        <w:t xml:space="preserve"> </w:t>
      </w:r>
      <w:r>
        <w:rPr>
          <w:i/>
          <w:sz w:val="20"/>
        </w:rPr>
        <w:t>dois</w:t>
      </w:r>
      <w:r>
        <w:rPr>
          <w:i/>
          <w:spacing w:val="-4"/>
          <w:sz w:val="20"/>
        </w:rPr>
        <w:t xml:space="preserve"> </w:t>
      </w:r>
      <w:r>
        <w:rPr>
          <w:i/>
          <w:spacing w:val="-2"/>
          <w:sz w:val="20"/>
        </w:rPr>
        <w:t>extremos</w:t>
      </w:r>
    </w:p>
    <w:p w:rsidR="007259F2" w:rsidRDefault="00E655B4">
      <w:pPr>
        <w:spacing w:before="1"/>
        <w:ind w:right="993"/>
        <w:jc w:val="right"/>
        <w:rPr>
          <w:i/>
          <w:sz w:val="20"/>
        </w:rPr>
      </w:pPr>
      <w:r>
        <w:rPr>
          <w:i/>
          <w:sz w:val="20"/>
        </w:rPr>
        <w:t>(frase</w:t>
      </w:r>
      <w:r>
        <w:rPr>
          <w:i/>
          <w:spacing w:val="-5"/>
          <w:sz w:val="20"/>
        </w:rPr>
        <w:t xml:space="preserve"> </w:t>
      </w:r>
      <w:r>
        <w:rPr>
          <w:i/>
          <w:sz w:val="20"/>
        </w:rPr>
        <w:t>atribuída</w:t>
      </w:r>
      <w:r>
        <w:rPr>
          <w:i/>
          <w:spacing w:val="-3"/>
          <w:sz w:val="20"/>
        </w:rPr>
        <w:t xml:space="preserve"> </w:t>
      </w:r>
      <w:r>
        <w:rPr>
          <w:i/>
          <w:sz w:val="20"/>
        </w:rPr>
        <w:t>a</w:t>
      </w:r>
      <w:r>
        <w:rPr>
          <w:i/>
          <w:spacing w:val="-4"/>
          <w:sz w:val="20"/>
        </w:rPr>
        <w:t xml:space="preserve"> </w:t>
      </w:r>
      <w:r>
        <w:rPr>
          <w:i/>
          <w:spacing w:val="-2"/>
          <w:sz w:val="20"/>
        </w:rPr>
        <w:t>Aristóteles)</w:t>
      </w:r>
    </w:p>
    <w:p w:rsidR="007259F2" w:rsidRDefault="007259F2">
      <w:pPr>
        <w:pStyle w:val="Corpodetexto"/>
        <w:spacing w:before="21"/>
        <w:ind w:left="0" w:firstLine="0"/>
        <w:jc w:val="left"/>
        <w:rPr>
          <w:i/>
          <w:sz w:val="20"/>
        </w:rPr>
      </w:pPr>
    </w:p>
    <w:p w:rsidR="007259F2" w:rsidRDefault="00E655B4">
      <w:pPr>
        <w:pStyle w:val="Corpodetexto"/>
        <w:ind w:right="996"/>
      </w:pPr>
      <w:r>
        <w:t xml:space="preserve">Na legislação civil brasileira, em regra, o termo inicial da prescrição é a data da violação do direito. Prevalece na doutrina e na jurisprudência a aplicação da Teoria da </w:t>
      </w:r>
      <w:r>
        <w:rPr>
          <w:i/>
        </w:rPr>
        <w:t>actio</w:t>
      </w:r>
      <w:r>
        <w:rPr>
          <w:i/>
          <w:spacing w:val="-3"/>
        </w:rPr>
        <w:t xml:space="preserve"> </w:t>
      </w:r>
      <w:r>
        <w:rPr>
          <w:i/>
        </w:rPr>
        <w:t>nata</w:t>
      </w:r>
      <w:r>
        <w:t>,</w:t>
      </w:r>
      <w:r>
        <w:rPr>
          <w:spacing w:val="-3"/>
        </w:rPr>
        <w:t xml:space="preserve"> </w:t>
      </w:r>
      <w:r>
        <w:t>segundo</w:t>
      </w:r>
      <w:r>
        <w:rPr>
          <w:spacing w:val="-3"/>
        </w:rPr>
        <w:t xml:space="preserve"> </w:t>
      </w:r>
      <w:r>
        <w:t>a</w:t>
      </w:r>
      <w:r>
        <w:rPr>
          <w:spacing w:val="-4"/>
        </w:rPr>
        <w:t xml:space="preserve"> </w:t>
      </w:r>
      <w:r>
        <w:t>qual</w:t>
      </w:r>
      <w:r>
        <w:rPr>
          <w:spacing w:val="-3"/>
        </w:rPr>
        <w:t xml:space="preserve"> </w:t>
      </w:r>
      <w:r>
        <w:t>a</w:t>
      </w:r>
      <w:r>
        <w:rPr>
          <w:spacing w:val="-3"/>
        </w:rPr>
        <w:t xml:space="preserve"> </w:t>
      </w:r>
      <w:r>
        <w:t>prescrição</w:t>
      </w:r>
      <w:r>
        <w:rPr>
          <w:spacing w:val="-3"/>
        </w:rPr>
        <w:t xml:space="preserve"> </w:t>
      </w:r>
      <w:r>
        <w:t>começa</w:t>
      </w:r>
      <w:r>
        <w:rPr>
          <w:spacing w:val="-2"/>
        </w:rPr>
        <w:t xml:space="preserve"> </w:t>
      </w:r>
      <w:r>
        <w:t>a</w:t>
      </w:r>
      <w:r>
        <w:rPr>
          <w:spacing w:val="-2"/>
        </w:rPr>
        <w:t xml:space="preserve"> </w:t>
      </w:r>
      <w:r>
        <w:t>correr</w:t>
      </w:r>
      <w:r>
        <w:rPr>
          <w:spacing w:val="-3"/>
        </w:rPr>
        <w:t xml:space="preserve"> </w:t>
      </w:r>
      <w:r>
        <w:t>com</w:t>
      </w:r>
      <w:r>
        <w:rPr>
          <w:spacing w:val="-1"/>
        </w:rPr>
        <w:t xml:space="preserve"> </w:t>
      </w:r>
      <w:r>
        <w:t>a</w:t>
      </w:r>
      <w:r>
        <w:rPr>
          <w:spacing w:val="-4"/>
        </w:rPr>
        <w:t xml:space="preserve"> </w:t>
      </w:r>
      <w:r>
        <w:t>violação</w:t>
      </w:r>
      <w:r>
        <w:rPr>
          <w:spacing w:val="-3"/>
        </w:rPr>
        <w:t xml:space="preserve"> </w:t>
      </w:r>
      <w:r>
        <w:t>do</w:t>
      </w:r>
      <w:r>
        <w:rPr>
          <w:spacing w:val="-1"/>
        </w:rPr>
        <w:t xml:space="preserve"> </w:t>
      </w:r>
      <w:r>
        <w:t>direito,</w:t>
      </w:r>
      <w:r>
        <w:rPr>
          <w:spacing w:val="-3"/>
        </w:rPr>
        <w:t xml:space="preserve"> </w:t>
      </w:r>
      <w:r>
        <w:t>assim que a prestação se tornar exigível.</w:t>
      </w:r>
    </w:p>
    <w:p w:rsidR="007259F2" w:rsidRDefault="00E655B4">
      <w:pPr>
        <w:pStyle w:val="Corpodetexto"/>
        <w:ind w:right="992"/>
      </w:pPr>
      <w:r>
        <w:t xml:space="preserve">Fixa o art. 189 do Código Civil (CC): “Art. 189. Violado o </w:t>
      </w:r>
      <w:r>
        <w:rPr>
          <w:b/>
        </w:rPr>
        <w:t>direito</w:t>
      </w:r>
      <w:r>
        <w:t xml:space="preserve">, nasce para o titular a </w:t>
      </w:r>
      <w:r>
        <w:rPr>
          <w:b/>
        </w:rPr>
        <w:t>pretensão</w:t>
      </w:r>
      <w:r>
        <w:t xml:space="preserve">, a qual se extingue, pela </w:t>
      </w:r>
      <w:r>
        <w:rPr>
          <w:b/>
        </w:rPr>
        <w:t>prescrição</w:t>
      </w:r>
      <w:r>
        <w:t>, nos prazos a que aludem os</w:t>
      </w:r>
      <w:r>
        <w:rPr>
          <w:spacing w:val="40"/>
        </w:rPr>
        <w:t xml:space="preserve"> </w:t>
      </w:r>
      <w:r>
        <w:t>arts. 205 e 206.” (grifo nosso)</w:t>
      </w:r>
    </w:p>
    <w:p w:rsidR="007259F2" w:rsidRDefault="00E655B4">
      <w:pPr>
        <w:pStyle w:val="Corpodetexto"/>
        <w:ind w:right="990"/>
      </w:pPr>
      <w:r>
        <w:t>Para melhor análise do início do prazo prescricional, entende-se, por bem, distinguir direito subjetivo e pretensão.</w:t>
      </w:r>
    </w:p>
    <w:p w:rsidR="007259F2" w:rsidRDefault="00E655B4">
      <w:pPr>
        <w:spacing w:before="1"/>
        <w:ind w:left="710" w:right="992" w:firstLine="707"/>
        <w:jc w:val="both"/>
        <w:rPr>
          <w:sz w:val="24"/>
        </w:rPr>
      </w:pPr>
      <w:r>
        <w:rPr>
          <w:sz w:val="24"/>
        </w:rPr>
        <w:t>De acordo com a Ministra Nancy Andrighi, no julgamento do Resp. nº 1.736.091/PE, direito subjetivo “</w:t>
      </w:r>
      <w:r>
        <w:rPr>
          <w:i/>
          <w:sz w:val="24"/>
        </w:rPr>
        <w:t>é a extensão prática, concreta e material da previsão genérica do direito objetivo que define a possibilidade de um indivíduo exigir de outro um certo agir</w:t>
      </w:r>
      <w:r>
        <w:rPr>
          <w:sz w:val="24"/>
        </w:rPr>
        <w:t>”.</w:t>
      </w:r>
    </w:p>
    <w:p w:rsidR="007259F2" w:rsidRDefault="00E655B4">
      <w:pPr>
        <w:pStyle w:val="Corpodetexto"/>
        <w:ind w:right="996"/>
      </w:pPr>
      <w:r>
        <w:t>No âmbito das relações civis, a pretensão nasce com a violação do direito, ou seja, a ocorrência no mundo das relações jurídicas de uma das hipóteses previstas pelo legislador (direito objetivo) que define a possibilidade de alguém exigir de outrem um certo bem, um agir ou não agir.</w:t>
      </w:r>
    </w:p>
    <w:p w:rsidR="007259F2" w:rsidRDefault="00E655B4">
      <w:pPr>
        <w:pStyle w:val="Corpodetexto"/>
        <w:ind w:right="989"/>
      </w:pPr>
      <w:r>
        <w:t xml:space="preserve">Desta forma, acerca do </w:t>
      </w:r>
      <w:r>
        <w:rPr>
          <w:u w:val="single"/>
        </w:rPr>
        <w:t>direito subjetivo</w:t>
      </w:r>
      <w:r>
        <w:t xml:space="preserve"> e da </w:t>
      </w:r>
      <w:r>
        <w:rPr>
          <w:u w:val="single"/>
        </w:rPr>
        <w:t>pretensão</w:t>
      </w:r>
      <w:r>
        <w:t>, a Ministra Nancy Andrighi expõe:</w:t>
      </w:r>
    </w:p>
    <w:p w:rsidR="007259F2" w:rsidRDefault="00E655B4">
      <w:pPr>
        <w:spacing w:before="1"/>
        <w:ind w:left="2978" w:right="993"/>
        <w:jc w:val="both"/>
        <w:rPr>
          <w:sz w:val="20"/>
        </w:rPr>
      </w:pPr>
      <w:r>
        <w:rPr>
          <w:sz w:val="20"/>
        </w:rPr>
        <w:t>[...] que o primeiro nasce com estabelecimento da relação jurídica, com a previsão com base no direito objetivo do nascimento dos feixes</w:t>
      </w:r>
      <w:r>
        <w:rPr>
          <w:spacing w:val="40"/>
          <w:sz w:val="20"/>
        </w:rPr>
        <w:t xml:space="preserve"> </w:t>
      </w:r>
      <w:r>
        <w:rPr>
          <w:sz w:val="20"/>
        </w:rPr>
        <w:t>obrigacionais,</w:t>
      </w:r>
      <w:r>
        <w:rPr>
          <w:spacing w:val="-1"/>
          <w:sz w:val="20"/>
        </w:rPr>
        <w:t xml:space="preserve"> </w:t>
      </w:r>
      <w:r>
        <w:rPr>
          <w:b/>
          <w:sz w:val="20"/>
        </w:rPr>
        <w:t>ao</w:t>
      </w:r>
      <w:r>
        <w:rPr>
          <w:b/>
          <w:spacing w:val="-1"/>
          <w:sz w:val="20"/>
        </w:rPr>
        <w:t xml:space="preserve"> </w:t>
      </w:r>
      <w:r>
        <w:rPr>
          <w:b/>
          <w:sz w:val="20"/>
        </w:rPr>
        <w:t>passo que</w:t>
      </w:r>
      <w:r>
        <w:rPr>
          <w:b/>
          <w:spacing w:val="-2"/>
          <w:sz w:val="20"/>
        </w:rPr>
        <w:t xml:space="preserve"> </w:t>
      </w:r>
      <w:r>
        <w:rPr>
          <w:b/>
          <w:sz w:val="20"/>
        </w:rPr>
        <w:t>a segunda somente</w:t>
      </w:r>
      <w:r>
        <w:rPr>
          <w:b/>
          <w:spacing w:val="-2"/>
          <w:sz w:val="20"/>
        </w:rPr>
        <w:t xml:space="preserve"> </w:t>
      </w:r>
      <w:r>
        <w:rPr>
          <w:b/>
          <w:sz w:val="20"/>
        </w:rPr>
        <w:t>surge</w:t>
      </w:r>
      <w:r>
        <w:rPr>
          <w:b/>
          <w:spacing w:val="-2"/>
          <w:sz w:val="20"/>
        </w:rPr>
        <w:t xml:space="preserve"> </w:t>
      </w:r>
      <w:r>
        <w:rPr>
          <w:b/>
          <w:sz w:val="20"/>
        </w:rPr>
        <w:t>no momento</w:t>
      </w:r>
      <w:r>
        <w:rPr>
          <w:b/>
          <w:spacing w:val="-1"/>
          <w:sz w:val="20"/>
        </w:rPr>
        <w:t xml:space="preserve"> </w:t>
      </w:r>
      <w:r>
        <w:rPr>
          <w:b/>
          <w:sz w:val="20"/>
        </w:rPr>
        <w:t>em</w:t>
      </w:r>
      <w:r>
        <w:rPr>
          <w:b/>
          <w:spacing w:val="-4"/>
          <w:sz w:val="20"/>
        </w:rPr>
        <w:t xml:space="preserve"> </w:t>
      </w:r>
      <w:r>
        <w:rPr>
          <w:b/>
          <w:sz w:val="20"/>
        </w:rPr>
        <w:t>que a prestação</w:t>
      </w:r>
      <w:r>
        <w:rPr>
          <w:sz w:val="20"/>
        </w:rPr>
        <w:t xml:space="preserve">, decorrente do direito subjetivo, </w:t>
      </w:r>
      <w:r>
        <w:rPr>
          <w:b/>
          <w:sz w:val="20"/>
        </w:rPr>
        <w:t>passa a ser exigível, com sua violação</w:t>
      </w:r>
      <w:r>
        <w:rPr>
          <w:sz w:val="20"/>
        </w:rPr>
        <w:t>. (BRASIL, 2019, grifo nosso)</w:t>
      </w:r>
    </w:p>
    <w:p w:rsidR="007259F2" w:rsidRDefault="007259F2">
      <w:pPr>
        <w:jc w:val="both"/>
        <w:rPr>
          <w:sz w:val="20"/>
        </w:rPr>
        <w:sectPr w:rsidR="007259F2">
          <w:pgSz w:w="11910" w:h="16840"/>
          <w:pgMar w:top="1320" w:right="708" w:bottom="1160" w:left="992" w:header="0" w:footer="962" w:gutter="0"/>
          <w:cols w:space="720"/>
        </w:sectPr>
      </w:pPr>
    </w:p>
    <w:p w:rsidR="007259F2" w:rsidRDefault="00E655B4">
      <w:pPr>
        <w:pStyle w:val="Corpodetexto"/>
        <w:spacing w:before="69"/>
        <w:ind w:right="994"/>
      </w:pPr>
      <w:r>
        <w:lastRenderedPageBreak/>
        <w:t>Desse modo, pode-se observar que, antes mesmo de a prestação se tornar exigível, já existe um direito subjetivo. Assim, a pretensão pode nascer, ou não, concomitantemente com direito subjetivo, sendo certo de que esta última é requisito essencial para que o titular do direito possa exigir do devedor seu cumprimento.</w:t>
      </w:r>
    </w:p>
    <w:p w:rsidR="007259F2" w:rsidRDefault="00E655B4">
      <w:pPr>
        <w:pStyle w:val="Corpodetexto"/>
        <w:spacing w:before="1"/>
        <w:ind w:right="994"/>
      </w:pPr>
      <w:r>
        <w:t>De</w:t>
      </w:r>
      <w:r>
        <w:rPr>
          <w:spacing w:val="-4"/>
        </w:rPr>
        <w:t xml:space="preserve"> </w:t>
      </w:r>
      <w:r>
        <w:t>fato,</w:t>
      </w:r>
      <w:r>
        <w:rPr>
          <w:spacing w:val="-2"/>
        </w:rPr>
        <w:t xml:space="preserve"> </w:t>
      </w:r>
      <w:r>
        <w:t>a</w:t>
      </w:r>
      <w:r>
        <w:rPr>
          <w:spacing w:val="-2"/>
        </w:rPr>
        <w:t xml:space="preserve"> </w:t>
      </w:r>
      <w:r>
        <w:t>ideia</w:t>
      </w:r>
      <w:r>
        <w:rPr>
          <w:spacing w:val="-1"/>
        </w:rPr>
        <w:t xml:space="preserve"> </w:t>
      </w:r>
      <w:r>
        <w:t>central para</w:t>
      </w:r>
      <w:r>
        <w:rPr>
          <w:spacing w:val="-4"/>
        </w:rPr>
        <w:t xml:space="preserve"> </w:t>
      </w:r>
      <w:r>
        <w:t>se</w:t>
      </w:r>
      <w:r>
        <w:rPr>
          <w:spacing w:val="-3"/>
        </w:rPr>
        <w:t xml:space="preserve"> </w:t>
      </w:r>
      <w:r>
        <w:t>analisar</w:t>
      </w:r>
      <w:r>
        <w:rPr>
          <w:spacing w:val="-2"/>
        </w:rPr>
        <w:t xml:space="preserve"> </w:t>
      </w:r>
      <w:r>
        <w:t>o</w:t>
      </w:r>
      <w:r>
        <w:rPr>
          <w:spacing w:val="-1"/>
        </w:rPr>
        <w:t xml:space="preserve"> </w:t>
      </w:r>
      <w:r>
        <w:t>início</w:t>
      </w:r>
      <w:r>
        <w:rPr>
          <w:spacing w:val="-2"/>
        </w:rPr>
        <w:t xml:space="preserve"> </w:t>
      </w:r>
      <w:r>
        <w:t>do prazo</w:t>
      </w:r>
      <w:r>
        <w:rPr>
          <w:spacing w:val="-2"/>
        </w:rPr>
        <w:t xml:space="preserve"> </w:t>
      </w:r>
      <w:r>
        <w:t>prescricional é</w:t>
      </w:r>
      <w:r>
        <w:rPr>
          <w:spacing w:val="-3"/>
        </w:rPr>
        <w:t xml:space="preserve"> </w:t>
      </w:r>
      <w:r>
        <w:t>mesmo</w:t>
      </w:r>
      <w:r>
        <w:rPr>
          <w:spacing w:val="-2"/>
        </w:rPr>
        <w:t xml:space="preserve"> </w:t>
      </w:r>
      <w:r>
        <w:t>a da exigibilidade, uma vez que não se pode falar em prescrição, quando o direito subjetivo ainda não pode se fazer valer.</w:t>
      </w:r>
    </w:p>
    <w:p w:rsidR="007259F2" w:rsidRDefault="00E655B4">
      <w:pPr>
        <w:ind w:left="710" w:right="990" w:firstLine="707"/>
        <w:jc w:val="both"/>
        <w:rPr>
          <w:sz w:val="24"/>
        </w:rPr>
      </w:pPr>
      <w:r>
        <w:rPr>
          <w:sz w:val="24"/>
        </w:rPr>
        <w:t xml:space="preserve">Assim, a Teoria </w:t>
      </w:r>
      <w:r>
        <w:rPr>
          <w:i/>
          <w:sz w:val="24"/>
        </w:rPr>
        <w:t>actio nata</w:t>
      </w:r>
      <w:r>
        <w:rPr>
          <w:sz w:val="24"/>
        </w:rPr>
        <w:t>, a qual busca delimitar o marco inicial da prescrição, oriunda do brocardo latino: “</w:t>
      </w:r>
      <w:r>
        <w:rPr>
          <w:b/>
          <w:i/>
          <w:sz w:val="24"/>
        </w:rPr>
        <w:t>actioni nondum natae non praescribitur</w:t>
      </w:r>
      <w:r>
        <w:rPr>
          <w:sz w:val="24"/>
        </w:rPr>
        <w:t>” (“</w:t>
      </w:r>
      <w:r>
        <w:rPr>
          <w:i/>
          <w:sz w:val="24"/>
        </w:rPr>
        <w:t>as ações não nascidas, não prescrevem</w:t>
      </w:r>
      <w:r>
        <w:rPr>
          <w:sz w:val="24"/>
        </w:rPr>
        <w:t xml:space="preserve">” – tradução livre), desenvolveu as vertentes objetiva e </w:t>
      </w:r>
      <w:r>
        <w:rPr>
          <w:spacing w:val="-2"/>
          <w:sz w:val="24"/>
        </w:rPr>
        <w:t>subjetiva.</w:t>
      </w:r>
    </w:p>
    <w:p w:rsidR="007259F2" w:rsidRDefault="00E655B4">
      <w:pPr>
        <w:pStyle w:val="Corpodetexto"/>
        <w:ind w:left="1418" w:firstLine="0"/>
      </w:pPr>
      <w:r>
        <w:t>Para</w:t>
      </w:r>
      <w:r>
        <w:rPr>
          <w:spacing w:val="-5"/>
        </w:rPr>
        <w:t xml:space="preserve"> </w:t>
      </w:r>
      <w:r>
        <w:t>os</w:t>
      </w:r>
      <w:r>
        <w:rPr>
          <w:spacing w:val="-1"/>
        </w:rPr>
        <w:t xml:space="preserve"> </w:t>
      </w:r>
      <w:r>
        <w:t>adeptos da</w:t>
      </w:r>
      <w:r>
        <w:rPr>
          <w:spacing w:val="-2"/>
        </w:rPr>
        <w:t xml:space="preserve"> </w:t>
      </w:r>
      <w:r>
        <w:t>vertente objetiva,</w:t>
      </w:r>
      <w:r>
        <w:rPr>
          <w:spacing w:val="-1"/>
        </w:rPr>
        <w:t xml:space="preserve"> </w:t>
      </w:r>
      <w:r>
        <w:t>assim como</w:t>
      </w:r>
      <w:r>
        <w:rPr>
          <w:spacing w:val="-1"/>
        </w:rPr>
        <w:t xml:space="preserve"> </w:t>
      </w:r>
      <w:r>
        <w:t>Theodoro</w:t>
      </w:r>
      <w:r>
        <w:rPr>
          <w:spacing w:val="-1"/>
        </w:rPr>
        <w:t xml:space="preserve"> </w:t>
      </w:r>
      <w:r>
        <w:rPr>
          <w:spacing w:val="-2"/>
        </w:rPr>
        <w:t>Júnior:</w:t>
      </w:r>
    </w:p>
    <w:p w:rsidR="007259F2" w:rsidRDefault="007259F2">
      <w:pPr>
        <w:pStyle w:val="Corpodetexto"/>
        <w:spacing w:before="2"/>
        <w:ind w:left="0" w:firstLine="0"/>
        <w:jc w:val="left"/>
      </w:pPr>
    </w:p>
    <w:p w:rsidR="007259F2" w:rsidRDefault="00E655B4">
      <w:pPr>
        <w:ind w:left="2978" w:right="990"/>
        <w:jc w:val="both"/>
        <w:rPr>
          <w:sz w:val="20"/>
        </w:rPr>
      </w:pPr>
      <w:r>
        <w:rPr>
          <w:sz w:val="20"/>
        </w:rPr>
        <w:t>[...] não exige senão que tenha ocorrido a violação do direito do credor e que</w:t>
      </w:r>
      <w:r>
        <w:rPr>
          <w:spacing w:val="40"/>
          <w:sz w:val="20"/>
        </w:rPr>
        <w:t xml:space="preserve"> </w:t>
      </w:r>
      <w:r>
        <w:rPr>
          <w:sz w:val="20"/>
        </w:rPr>
        <w:t xml:space="preserve">a partir de então tenha decorrido o prazo extintivo da pretensão, sem que o lesado a tenha exercitado (CC, art. 189). Não entra, na conceituação legal, qualquer referência à inércia culposa ou à insciência da lesão por parte do credor. Quando nosso Código Civil quis vincular, excepcionalmente, o dies a quo do lapso prescricional ao conhecimento da lesão pelo credor, ele o fez de maneira expressa. O afastamento desse objetivismo, para subordinar a contagem do prazo extintivo ao conhecimento da violação do direito por seu titular, somente pode, em princípio, ser autorizado pela própria lei. Banalizar na prática aquilo que, de acordo com a lei, deveria ser exceção de estrito cabimento, vulnera, profundamente, o espirito de um instituto vinculado à </w:t>
      </w:r>
      <w:r>
        <w:rPr>
          <w:b/>
          <w:sz w:val="20"/>
        </w:rPr>
        <w:t>segurança jurídica</w:t>
      </w:r>
      <w:r>
        <w:rPr>
          <w:sz w:val="20"/>
        </w:rPr>
        <w:t>, reduzindo muito o papel que a ordem jurídica lhe conferiu. Não merece aplausos, portanto, a facilidade com que a jurisprudência dilata os prazos prescricionais, em ações indenizatórias, desviando o dies a quo do momento do ato ilícito para o da suposta ciência</w:t>
      </w:r>
      <w:r>
        <w:rPr>
          <w:spacing w:val="80"/>
          <w:sz w:val="20"/>
        </w:rPr>
        <w:t xml:space="preserve"> </w:t>
      </w:r>
      <w:r>
        <w:rPr>
          <w:sz w:val="20"/>
        </w:rPr>
        <w:t>do dano. (THEODORO JR., 2021, p. 32-34)</w:t>
      </w:r>
    </w:p>
    <w:p w:rsidR="007259F2" w:rsidRDefault="007259F2">
      <w:pPr>
        <w:pStyle w:val="Corpodetexto"/>
        <w:spacing w:before="44"/>
        <w:ind w:left="0" w:firstLine="0"/>
        <w:jc w:val="left"/>
        <w:rPr>
          <w:sz w:val="20"/>
        </w:rPr>
      </w:pPr>
    </w:p>
    <w:p w:rsidR="007259F2" w:rsidRDefault="00E655B4">
      <w:pPr>
        <w:pStyle w:val="Corpodetexto"/>
        <w:ind w:right="995"/>
      </w:pPr>
      <w:r>
        <w:t>Por</w:t>
      </w:r>
      <w:r>
        <w:rPr>
          <w:spacing w:val="-2"/>
        </w:rPr>
        <w:t xml:space="preserve"> </w:t>
      </w:r>
      <w:r>
        <w:t>sua</w:t>
      </w:r>
      <w:r>
        <w:rPr>
          <w:spacing w:val="-2"/>
        </w:rPr>
        <w:t xml:space="preserve"> </w:t>
      </w:r>
      <w:r>
        <w:t>vez,</w:t>
      </w:r>
      <w:r>
        <w:rPr>
          <w:spacing w:val="-1"/>
        </w:rPr>
        <w:t xml:space="preserve"> </w:t>
      </w:r>
      <w:r>
        <w:t>para</w:t>
      </w:r>
      <w:r>
        <w:rPr>
          <w:spacing w:val="-3"/>
        </w:rPr>
        <w:t xml:space="preserve"> </w:t>
      </w:r>
      <w:r>
        <w:t>os</w:t>
      </w:r>
      <w:r>
        <w:rPr>
          <w:spacing w:val="-1"/>
        </w:rPr>
        <w:t xml:space="preserve"> </w:t>
      </w:r>
      <w:r>
        <w:t>adeptos</w:t>
      </w:r>
      <w:r>
        <w:rPr>
          <w:spacing w:val="-1"/>
        </w:rPr>
        <w:t xml:space="preserve"> </w:t>
      </w:r>
      <w:r>
        <w:t>da</w:t>
      </w:r>
      <w:r>
        <w:rPr>
          <w:spacing w:val="-2"/>
        </w:rPr>
        <w:t xml:space="preserve"> </w:t>
      </w:r>
      <w:r>
        <w:t>vertente</w:t>
      </w:r>
      <w:r>
        <w:rPr>
          <w:spacing w:val="-2"/>
        </w:rPr>
        <w:t xml:space="preserve"> </w:t>
      </w:r>
      <w:r>
        <w:t>subjetiva,</w:t>
      </w:r>
      <w:r>
        <w:rPr>
          <w:spacing w:val="-3"/>
        </w:rPr>
        <w:t xml:space="preserve"> </w:t>
      </w:r>
      <w:r>
        <w:t>nas</w:t>
      </w:r>
      <w:r>
        <w:rPr>
          <w:spacing w:val="-1"/>
        </w:rPr>
        <w:t xml:space="preserve"> </w:t>
      </w:r>
      <w:r>
        <w:t>palavras</w:t>
      </w:r>
      <w:r>
        <w:rPr>
          <w:spacing w:val="-1"/>
        </w:rPr>
        <w:t xml:space="preserve"> </w:t>
      </w:r>
      <w:r>
        <w:t>do</w:t>
      </w:r>
      <w:r>
        <w:rPr>
          <w:spacing w:val="-1"/>
        </w:rPr>
        <w:t xml:space="preserve"> </w:t>
      </w:r>
      <w:r>
        <w:t>professor</w:t>
      </w:r>
      <w:r>
        <w:rPr>
          <w:spacing w:val="-2"/>
        </w:rPr>
        <w:t xml:space="preserve"> </w:t>
      </w:r>
      <w:r>
        <w:t>José Fernado Simão:</w:t>
      </w:r>
    </w:p>
    <w:p w:rsidR="007259F2" w:rsidRDefault="00E655B4">
      <w:pPr>
        <w:spacing w:before="2"/>
        <w:ind w:left="2978" w:right="988"/>
        <w:jc w:val="both"/>
        <w:rPr>
          <w:sz w:val="20"/>
        </w:rPr>
      </w:pPr>
      <w:r>
        <w:rPr>
          <w:sz w:val="20"/>
        </w:rPr>
        <w:t>[...] contudo, parte da doutrina pondera que não basta surgir a ação (</w:t>
      </w:r>
      <w:r>
        <w:rPr>
          <w:i/>
          <w:sz w:val="20"/>
        </w:rPr>
        <w:t>actio nata</w:t>
      </w:r>
      <w:r>
        <w:rPr>
          <w:sz w:val="20"/>
        </w:rPr>
        <w:t>), mas é necessário o conhecimento do fato. Trata-se de situação excepcional, pela qual o início do prazo, de acordo com a exigência legal, só se dá quando a parte tenha conhecimento ato ou fato do qual decorre o seu direto</w:t>
      </w:r>
      <w:r>
        <w:rPr>
          <w:spacing w:val="-2"/>
          <w:sz w:val="20"/>
        </w:rPr>
        <w:t xml:space="preserve"> </w:t>
      </w:r>
      <w:r>
        <w:rPr>
          <w:sz w:val="20"/>
        </w:rPr>
        <w:t>de</w:t>
      </w:r>
      <w:r>
        <w:rPr>
          <w:spacing w:val="-2"/>
          <w:sz w:val="20"/>
        </w:rPr>
        <w:t xml:space="preserve"> </w:t>
      </w:r>
      <w:r>
        <w:rPr>
          <w:sz w:val="20"/>
        </w:rPr>
        <w:t>exigir.</w:t>
      </w:r>
      <w:r>
        <w:rPr>
          <w:spacing w:val="-2"/>
          <w:sz w:val="20"/>
        </w:rPr>
        <w:t xml:space="preserve"> </w:t>
      </w:r>
      <w:r>
        <w:rPr>
          <w:sz w:val="20"/>
        </w:rPr>
        <w:t>Não</w:t>
      </w:r>
      <w:r>
        <w:rPr>
          <w:spacing w:val="-2"/>
          <w:sz w:val="20"/>
        </w:rPr>
        <w:t xml:space="preserve"> </w:t>
      </w:r>
      <w:r>
        <w:rPr>
          <w:sz w:val="20"/>
        </w:rPr>
        <w:t>basta</w:t>
      </w:r>
      <w:r>
        <w:rPr>
          <w:spacing w:val="-3"/>
          <w:sz w:val="20"/>
        </w:rPr>
        <w:t xml:space="preserve"> </w:t>
      </w:r>
      <w:r>
        <w:rPr>
          <w:sz w:val="20"/>
        </w:rPr>
        <w:t>assim</w:t>
      </w:r>
      <w:r>
        <w:rPr>
          <w:spacing w:val="-6"/>
          <w:sz w:val="20"/>
        </w:rPr>
        <w:t xml:space="preserve"> </w:t>
      </w:r>
      <w:r>
        <w:rPr>
          <w:sz w:val="20"/>
        </w:rPr>
        <w:t>que</w:t>
      </w:r>
      <w:r>
        <w:rPr>
          <w:spacing w:val="-2"/>
          <w:sz w:val="20"/>
        </w:rPr>
        <w:t xml:space="preserve"> </w:t>
      </w:r>
      <w:r>
        <w:rPr>
          <w:sz w:val="20"/>
        </w:rPr>
        <w:t>o</w:t>
      </w:r>
      <w:r>
        <w:rPr>
          <w:spacing w:val="-2"/>
          <w:sz w:val="20"/>
        </w:rPr>
        <w:t xml:space="preserve"> </w:t>
      </w:r>
      <w:r>
        <w:rPr>
          <w:sz w:val="20"/>
        </w:rPr>
        <w:t>ato</w:t>
      </w:r>
      <w:r>
        <w:rPr>
          <w:spacing w:val="-2"/>
          <w:sz w:val="20"/>
        </w:rPr>
        <w:t xml:space="preserve"> </w:t>
      </w:r>
      <w:r>
        <w:rPr>
          <w:sz w:val="20"/>
        </w:rPr>
        <w:t>ou</w:t>
      </w:r>
      <w:r>
        <w:rPr>
          <w:spacing w:val="-2"/>
          <w:sz w:val="20"/>
        </w:rPr>
        <w:t xml:space="preserve"> </w:t>
      </w:r>
      <w:r>
        <w:rPr>
          <w:sz w:val="20"/>
        </w:rPr>
        <w:t>fato</w:t>
      </w:r>
      <w:r>
        <w:rPr>
          <w:spacing w:val="-2"/>
          <w:sz w:val="20"/>
        </w:rPr>
        <w:t xml:space="preserve"> </w:t>
      </w:r>
      <w:r>
        <w:rPr>
          <w:sz w:val="20"/>
        </w:rPr>
        <w:t>violador</w:t>
      </w:r>
      <w:r>
        <w:rPr>
          <w:spacing w:val="-2"/>
          <w:sz w:val="20"/>
        </w:rPr>
        <w:t xml:space="preserve"> </w:t>
      </w:r>
      <w:r>
        <w:rPr>
          <w:sz w:val="20"/>
        </w:rPr>
        <w:t>exista</w:t>
      </w:r>
      <w:r>
        <w:rPr>
          <w:spacing w:val="-2"/>
          <w:sz w:val="20"/>
        </w:rPr>
        <w:t xml:space="preserve"> </w:t>
      </w:r>
      <w:r>
        <w:rPr>
          <w:sz w:val="20"/>
        </w:rPr>
        <w:t>do</w:t>
      </w:r>
      <w:r>
        <w:rPr>
          <w:spacing w:val="-2"/>
          <w:sz w:val="20"/>
        </w:rPr>
        <w:t xml:space="preserve"> </w:t>
      </w:r>
      <w:r>
        <w:rPr>
          <w:sz w:val="20"/>
        </w:rPr>
        <w:t>para</w:t>
      </w:r>
      <w:r>
        <w:rPr>
          <w:spacing w:val="-2"/>
          <w:sz w:val="20"/>
        </w:rPr>
        <w:t xml:space="preserve"> </w:t>
      </w:r>
      <w:r>
        <w:rPr>
          <w:sz w:val="20"/>
        </w:rPr>
        <w:t>que surja para ela o exercício da ação. (SIMÃO, 2011, p. 268)</w:t>
      </w:r>
    </w:p>
    <w:p w:rsidR="007259F2" w:rsidRDefault="00E655B4">
      <w:pPr>
        <w:pStyle w:val="Corpodetexto"/>
        <w:spacing w:before="229"/>
        <w:ind w:left="1418" w:firstLine="0"/>
      </w:pPr>
      <w:r>
        <w:t>Ainda,</w:t>
      </w:r>
      <w:r>
        <w:rPr>
          <w:spacing w:val="-3"/>
        </w:rPr>
        <w:t xml:space="preserve"> </w:t>
      </w:r>
      <w:r>
        <w:t>neste</w:t>
      </w:r>
      <w:r>
        <w:rPr>
          <w:spacing w:val="-1"/>
        </w:rPr>
        <w:t xml:space="preserve"> </w:t>
      </w:r>
      <w:r>
        <w:t>sentido,</w:t>
      </w:r>
      <w:r>
        <w:rPr>
          <w:spacing w:val="-1"/>
        </w:rPr>
        <w:t xml:space="preserve"> </w:t>
      </w:r>
      <w:r>
        <w:t>o</w:t>
      </w:r>
      <w:r>
        <w:rPr>
          <w:spacing w:val="-1"/>
        </w:rPr>
        <w:t xml:space="preserve"> </w:t>
      </w:r>
      <w:r>
        <w:t>professor</w:t>
      </w:r>
      <w:r>
        <w:rPr>
          <w:spacing w:val="-1"/>
        </w:rPr>
        <w:t xml:space="preserve"> </w:t>
      </w:r>
      <w:r>
        <w:t>Flávio</w:t>
      </w:r>
      <w:r>
        <w:rPr>
          <w:spacing w:val="-1"/>
        </w:rPr>
        <w:t xml:space="preserve"> </w:t>
      </w:r>
      <w:r>
        <w:t>Tartuce</w:t>
      </w:r>
      <w:r>
        <w:rPr>
          <w:spacing w:val="-1"/>
        </w:rPr>
        <w:t xml:space="preserve"> </w:t>
      </w:r>
      <w:r>
        <w:rPr>
          <w:spacing w:val="-2"/>
        </w:rPr>
        <w:t>pondera:</w:t>
      </w:r>
    </w:p>
    <w:p w:rsidR="007259F2" w:rsidRDefault="00E655B4">
      <w:pPr>
        <w:spacing w:before="232"/>
        <w:ind w:left="2978" w:right="993"/>
        <w:jc w:val="both"/>
        <w:rPr>
          <w:sz w:val="20"/>
        </w:rPr>
      </w:pPr>
      <w:r>
        <w:rPr>
          <w:sz w:val="20"/>
        </w:rPr>
        <w:t>[...] constata-se que a lei, a</w:t>
      </w:r>
      <w:r>
        <w:rPr>
          <w:spacing w:val="-1"/>
          <w:sz w:val="20"/>
        </w:rPr>
        <w:t xml:space="preserve"> </w:t>
      </w:r>
      <w:r>
        <w:rPr>
          <w:sz w:val="20"/>
        </w:rPr>
        <w:t>jurisprudência e a própria doutrina têm</w:t>
      </w:r>
      <w:r>
        <w:rPr>
          <w:spacing w:val="-2"/>
          <w:sz w:val="20"/>
        </w:rPr>
        <w:t xml:space="preserve"> </w:t>
      </w:r>
      <w:r>
        <w:rPr>
          <w:sz w:val="20"/>
        </w:rPr>
        <w:t>levado em conta</w:t>
      </w:r>
      <w:r>
        <w:rPr>
          <w:spacing w:val="-1"/>
          <w:sz w:val="20"/>
        </w:rPr>
        <w:t xml:space="preserve"> </w:t>
      </w:r>
      <w:r>
        <w:rPr>
          <w:sz w:val="20"/>
        </w:rPr>
        <w:t>esse</w:t>
      </w:r>
      <w:r>
        <w:rPr>
          <w:spacing w:val="-1"/>
          <w:sz w:val="20"/>
        </w:rPr>
        <w:t xml:space="preserve"> </w:t>
      </w:r>
      <w:r>
        <w:rPr>
          <w:sz w:val="20"/>
        </w:rPr>
        <w:t>conhecimento para</w:t>
      </w:r>
      <w:r>
        <w:rPr>
          <w:spacing w:val="-1"/>
          <w:sz w:val="20"/>
        </w:rPr>
        <w:t xml:space="preserve"> </w:t>
      </w:r>
      <w:r>
        <w:rPr>
          <w:sz w:val="20"/>
        </w:rPr>
        <w:t>os</w:t>
      </w:r>
      <w:r>
        <w:rPr>
          <w:spacing w:val="-1"/>
          <w:sz w:val="20"/>
        </w:rPr>
        <w:t xml:space="preserve"> </w:t>
      </w:r>
      <w:r>
        <w:rPr>
          <w:sz w:val="20"/>
        </w:rPr>
        <w:t>fins</w:t>
      </w:r>
      <w:r>
        <w:rPr>
          <w:spacing w:val="-1"/>
          <w:sz w:val="20"/>
        </w:rPr>
        <w:t xml:space="preserve"> </w:t>
      </w:r>
      <w:r>
        <w:rPr>
          <w:sz w:val="20"/>
        </w:rPr>
        <w:t>de</w:t>
      </w:r>
      <w:r>
        <w:rPr>
          <w:spacing w:val="-1"/>
          <w:sz w:val="20"/>
        </w:rPr>
        <w:t xml:space="preserve"> </w:t>
      </w:r>
      <w:r>
        <w:rPr>
          <w:sz w:val="20"/>
        </w:rPr>
        <w:t>fixação do termo a</w:t>
      </w:r>
      <w:r>
        <w:rPr>
          <w:spacing w:val="-1"/>
          <w:sz w:val="20"/>
        </w:rPr>
        <w:t xml:space="preserve"> </w:t>
      </w:r>
      <w:r>
        <w:rPr>
          <w:sz w:val="20"/>
        </w:rPr>
        <w:t>quo da</w:t>
      </w:r>
      <w:r>
        <w:rPr>
          <w:spacing w:val="-1"/>
          <w:sz w:val="20"/>
        </w:rPr>
        <w:t xml:space="preserve"> </w:t>
      </w:r>
      <w:r>
        <w:rPr>
          <w:sz w:val="20"/>
        </w:rPr>
        <w:t xml:space="preserve">prescrição constituindo uma </w:t>
      </w:r>
      <w:r>
        <w:rPr>
          <w:i/>
          <w:sz w:val="20"/>
        </w:rPr>
        <w:t xml:space="preserve">actio nata </w:t>
      </w:r>
      <w:r>
        <w:rPr>
          <w:sz w:val="20"/>
        </w:rPr>
        <w:t>com viés subjetivo. (TARTUCE, 2017. p. 234)</w:t>
      </w:r>
    </w:p>
    <w:p w:rsidR="007259F2" w:rsidRDefault="00E655B4">
      <w:pPr>
        <w:spacing w:before="228"/>
        <w:ind w:left="710" w:right="992" w:firstLine="707"/>
        <w:jc w:val="both"/>
        <w:rPr>
          <w:sz w:val="24"/>
        </w:rPr>
      </w:pPr>
      <w:r>
        <w:rPr>
          <w:sz w:val="24"/>
        </w:rPr>
        <w:t xml:space="preserve">Ademais, Flávio Tartuce discorre que </w:t>
      </w:r>
      <w:r>
        <w:rPr>
          <w:i/>
          <w:sz w:val="24"/>
        </w:rPr>
        <w:t>“</w:t>
      </w:r>
      <w:r>
        <w:rPr>
          <w:sz w:val="24"/>
        </w:rPr>
        <w:t xml:space="preserve">[...] </w:t>
      </w:r>
      <w:r>
        <w:rPr>
          <w:i/>
          <w:sz w:val="24"/>
        </w:rPr>
        <w:t xml:space="preserve">a tese da actio nata com viés subjetivo é mais justa, diante do principio da boa-fé, especialmente com a valorização da informação derivada desse regramento” </w:t>
      </w:r>
      <w:r>
        <w:rPr>
          <w:sz w:val="24"/>
        </w:rPr>
        <w:t>(TARTUCE, 2017. p.469).</w:t>
      </w:r>
    </w:p>
    <w:p w:rsidR="007259F2" w:rsidRDefault="00E655B4">
      <w:pPr>
        <w:pStyle w:val="Corpodetexto"/>
        <w:ind w:right="991"/>
      </w:pPr>
      <w:r>
        <w:t>Diante do exposto, infere-se que os adeptos da vertente objetiva da teoria discutida utilizam-se da hermenêutica literal, prestigiando a segurança jurídica. Já os adeptos da vertente subjetiva utilizam-se da hermenêutica teleológica, prestigiando a boa-fé e a justiça, sob argumento de que não é justo submeter o titular do direito às sanções do instituto da prescrição por uma inércia que decorreu da falta de conhecimento do dano ou de sua extensão.</w:t>
      </w:r>
    </w:p>
    <w:p w:rsidR="007259F2" w:rsidRDefault="00E655B4">
      <w:pPr>
        <w:pStyle w:val="Corpodetexto"/>
        <w:spacing w:before="1"/>
        <w:ind w:left="1418" w:firstLine="0"/>
      </w:pPr>
      <w:r>
        <w:t>Nesse</w:t>
      </w:r>
      <w:r>
        <w:rPr>
          <w:spacing w:val="-3"/>
        </w:rPr>
        <w:t xml:space="preserve"> </w:t>
      </w:r>
      <w:r>
        <w:t>sentindo,</w:t>
      </w:r>
      <w:r>
        <w:rPr>
          <w:spacing w:val="-1"/>
        </w:rPr>
        <w:t xml:space="preserve"> </w:t>
      </w:r>
      <w:r>
        <w:t>o Superior</w:t>
      </w:r>
      <w:r>
        <w:rPr>
          <w:spacing w:val="-2"/>
        </w:rPr>
        <w:t xml:space="preserve"> </w:t>
      </w:r>
      <w:r>
        <w:t>Tribunal de</w:t>
      </w:r>
      <w:r>
        <w:rPr>
          <w:spacing w:val="-2"/>
        </w:rPr>
        <w:t xml:space="preserve"> </w:t>
      </w:r>
      <w:r>
        <w:t>Justiça</w:t>
      </w:r>
      <w:r>
        <w:rPr>
          <w:spacing w:val="-1"/>
        </w:rPr>
        <w:t xml:space="preserve"> </w:t>
      </w:r>
      <w:r>
        <w:rPr>
          <w:spacing w:val="-2"/>
        </w:rPr>
        <w:t>entende:</w:t>
      </w:r>
    </w:p>
    <w:p w:rsidR="007259F2" w:rsidRDefault="007259F2">
      <w:pPr>
        <w:pStyle w:val="Corpodetexto"/>
        <w:sectPr w:rsidR="007259F2">
          <w:pgSz w:w="11910" w:h="16840"/>
          <w:pgMar w:top="1320" w:right="708" w:bottom="1160" w:left="992" w:header="0" w:footer="962" w:gutter="0"/>
          <w:cols w:space="720"/>
        </w:sectPr>
      </w:pPr>
    </w:p>
    <w:p w:rsidR="007259F2" w:rsidRDefault="00E655B4">
      <w:pPr>
        <w:spacing w:before="71"/>
        <w:ind w:left="2978" w:right="990"/>
        <w:jc w:val="both"/>
        <w:rPr>
          <w:sz w:val="20"/>
        </w:rPr>
      </w:pPr>
      <w:r>
        <w:rPr>
          <w:sz w:val="20"/>
        </w:rPr>
        <w:lastRenderedPageBreak/>
        <w:t xml:space="preserve">AGRAVO INTERNO NO AGRAVO EM RECURSO ESPECIAL. CONTRATO DE MANDATO. REPARAÇÃO CIVIL. PRESTAÇÃO DE SERVIÇOS ADVOCATÍCIOS. PRAZO PRESCRICIONAL DECENAL. ART. 205 DO CÓDIGO CIVIL. </w:t>
      </w:r>
      <w:r>
        <w:rPr>
          <w:b/>
          <w:sz w:val="20"/>
        </w:rPr>
        <w:t>TERMO INICIAL DA PRESCRIÇÃO. TEORIA DA ACTIO NATA. CIÊNCIA INEQUÍVOCA DO ILÍCITO</w:t>
      </w:r>
      <w:r>
        <w:rPr>
          <w:sz w:val="20"/>
        </w:rPr>
        <w:t xml:space="preserve">. DATA DA REPRESENTAÇÃO JUNTO À OAB. SÚMULA 7/STJ. </w:t>
      </w:r>
      <w:r>
        <w:rPr>
          <w:spacing w:val="-2"/>
          <w:sz w:val="20"/>
        </w:rPr>
        <w:t>AGRAVO</w:t>
      </w:r>
    </w:p>
    <w:p w:rsidR="007259F2" w:rsidRDefault="00E655B4">
      <w:pPr>
        <w:spacing w:before="1"/>
        <w:ind w:left="2978" w:right="989"/>
        <w:jc w:val="both"/>
        <w:rPr>
          <w:sz w:val="20"/>
        </w:rPr>
      </w:pPr>
      <w:r>
        <w:rPr>
          <w:sz w:val="20"/>
        </w:rPr>
        <w:t xml:space="preserve">INTERNO DESPROVIDO. 1. O prazo prescricional das pretensões indenizatórias exercidas por mandante contra mandatário é o decenal. Incidência da Súmula 83/STJ no ponto. 2. </w:t>
      </w:r>
      <w:r>
        <w:rPr>
          <w:b/>
          <w:sz w:val="20"/>
          <w:u w:val="single"/>
        </w:rPr>
        <w:t>O início do prazo prescricional,</w:t>
      </w:r>
      <w:r>
        <w:rPr>
          <w:b/>
          <w:sz w:val="20"/>
        </w:rPr>
        <w:t xml:space="preserve"> </w:t>
      </w:r>
      <w:r>
        <w:rPr>
          <w:b/>
          <w:sz w:val="20"/>
          <w:u w:val="single"/>
        </w:rPr>
        <w:t>com base na Teoria da Actio Nata, não se dá necessariamente no</w:t>
      </w:r>
      <w:r>
        <w:rPr>
          <w:b/>
          <w:sz w:val="20"/>
        </w:rPr>
        <w:t xml:space="preserve"> </w:t>
      </w:r>
      <w:r>
        <w:rPr>
          <w:b/>
          <w:sz w:val="20"/>
          <w:u w:val="single"/>
        </w:rPr>
        <w:t>momento em que ocorre a lesão ao direito, mas sim quando o titular do</w:t>
      </w:r>
      <w:r>
        <w:rPr>
          <w:b/>
          <w:sz w:val="20"/>
        </w:rPr>
        <w:t xml:space="preserve"> </w:t>
      </w:r>
      <w:r>
        <w:rPr>
          <w:b/>
          <w:sz w:val="20"/>
          <w:u w:val="single"/>
        </w:rPr>
        <w:t>direito subjetivo violado obtém plena ciência da lesão e de toda a sua</w:t>
      </w:r>
      <w:r>
        <w:rPr>
          <w:b/>
          <w:sz w:val="20"/>
        </w:rPr>
        <w:t xml:space="preserve"> </w:t>
      </w:r>
      <w:r>
        <w:rPr>
          <w:b/>
          <w:sz w:val="20"/>
          <w:u w:val="single"/>
        </w:rPr>
        <w:t>extensão.</w:t>
      </w:r>
      <w:r>
        <w:rPr>
          <w:b/>
          <w:sz w:val="20"/>
        </w:rPr>
        <w:t xml:space="preserve"> </w:t>
      </w:r>
      <w:r>
        <w:rPr>
          <w:sz w:val="20"/>
        </w:rPr>
        <w:t>3. Nesse contexto, para alterar os fundamentos do acórdão, que compreendeu ser o termo a quo do prazo prescricional a data da ciência inequívoca do ato lesivo ao direito, qual seja, a data do registro de representação junto ao Conselho de Ética da OAB, ante a falta de prova de que a autora teve ciência inequívoca sobre a prescrição da pretensão relativa</w:t>
      </w:r>
      <w:r>
        <w:rPr>
          <w:spacing w:val="80"/>
          <w:sz w:val="20"/>
        </w:rPr>
        <w:t xml:space="preserve"> </w:t>
      </w:r>
      <w:r>
        <w:rPr>
          <w:sz w:val="20"/>
        </w:rPr>
        <w:t>à ação trabalhista patrocinada por sua então advogada, seria necessário o reexame</w:t>
      </w:r>
      <w:r>
        <w:rPr>
          <w:spacing w:val="-1"/>
          <w:sz w:val="20"/>
        </w:rPr>
        <w:t xml:space="preserve"> </w:t>
      </w:r>
      <w:r>
        <w:rPr>
          <w:sz w:val="20"/>
        </w:rPr>
        <w:t>fático-probatório</w:t>
      </w:r>
      <w:r>
        <w:rPr>
          <w:spacing w:val="-2"/>
          <w:sz w:val="20"/>
        </w:rPr>
        <w:t xml:space="preserve"> </w:t>
      </w:r>
      <w:r>
        <w:rPr>
          <w:sz w:val="20"/>
        </w:rPr>
        <w:t>dos</w:t>
      </w:r>
      <w:r>
        <w:rPr>
          <w:spacing w:val="-4"/>
          <w:sz w:val="20"/>
        </w:rPr>
        <w:t xml:space="preserve"> </w:t>
      </w:r>
      <w:r>
        <w:rPr>
          <w:sz w:val="20"/>
        </w:rPr>
        <w:t>autos,</w:t>
      </w:r>
      <w:r>
        <w:rPr>
          <w:spacing w:val="-1"/>
          <w:sz w:val="20"/>
        </w:rPr>
        <w:t xml:space="preserve"> </w:t>
      </w:r>
      <w:r>
        <w:rPr>
          <w:sz w:val="20"/>
        </w:rPr>
        <w:t>o</w:t>
      </w:r>
      <w:r>
        <w:rPr>
          <w:spacing w:val="-2"/>
          <w:sz w:val="20"/>
        </w:rPr>
        <w:t xml:space="preserve"> </w:t>
      </w:r>
      <w:r>
        <w:rPr>
          <w:sz w:val="20"/>
        </w:rPr>
        <w:t>que</w:t>
      </w:r>
      <w:r>
        <w:rPr>
          <w:spacing w:val="-1"/>
          <w:sz w:val="20"/>
        </w:rPr>
        <w:t xml:space="preserve"> </w:t>
      </w:r>
      <w:r>
        <w:rPr>
          <w:sz w:val="20"/>
        </w:rPr>
        <w:t>se</w:t>
      </w:r>
      <w:r>
        <w:rPr>
          <w:spacing w:val="-1"/>
          <w:sz w:val="20"/>
        </w:rPr>
        <w:t xml:space="preserve"> </w:t>
      </w:r>
      <w:r>
        <w:rPr>
          <w:sz w:val="20"/>
        </w:rPr>
        <w:t>mostra</w:t>
      </w:r>
      <w:r>
        <w:rPr>
          <w:spacing w:val="-3"/>
          <w:sz w:val="20"/>
        </w:rPr>
        <w:t xml:space="preserve"> </w:t>
      </w:r>
      <w:r>
        <w:rPr>
          <w:sz w:val="20"/>
        </w:rPr>
        <w:t>inviável</w:t>
      </w:r>
      <w:r>
        <w:rPr>
          <w:spacing w:val="-3"/>
          <w:sz w:val="20"/>
        </w:rPr>
        <w:t xml:space="preserve"> </w:t>
      </w:r>
      <w:r>
        <w:rPr>
          <w:sz w:val="20"/>
        </w:rPr>
        <w:t>dada</w:t>
      </w:r>
      <w:r>
        <w:rPr>
          <w:spacing w:val="-3"/>
          <w:sz w:val="20"/>
        </w:rPr>
        <w:t xml:space="preserve"> </w:t>
      </w:r>
      <w:r>
        <w:rPr>
          <w:sz w:val="20"/>
        </w:rPr>
        <w:t>a</w:t>
      </w:r>
      <w:r>
        <w:rPr>
          <w:spacing w:val="-3"/>
          <w:sz w:val="20"/>
        </w:rPr>
        <w:t xml:space="preserve"> </w:t>
      </w:r>
      <w:r>
        <w:rPr>
          <w:sz w:val="20"/>
        </w:rPr>
        <w:t>natureza excepcional da via eleita, conforme enunciado da Súmula 7/STJ. 4. Agravo interno desprovido. (STJ - AgInt no AREsp: 1500181 SP 2019/0132374-5, Relator: Ministro MARCO AURÉLIO BELLIZZE, Data de Julgamento: 22/06/2021, T3 - TERCEIRA TURMA, Data de Publicação: DJe</w:t>
      </w:r>
      <w:r>
        <w:rPr>
          <w:spacing w:val="80"/>
          <w:sz w:val="20"/>
        </w:rPr>
        <w:t xml:space="preserve"> </w:t>
      </w:r>
      <w:r>
        <w:rPr>
          <w:sz w:val="20"/>
        </w:rPr>
        <w:t>25/06/2021) (grifo nosso)</w:t>
      </w:r>
    </w:p>
    <w:p w:rsidR="007259F2" w:rsidRDefault="007259F2">
      <w:pPr>
        <w:pStyle w:val="Corpodetexto"/>
        <w:spacing w:before="1"/>
        <w:ind w:left="0" w:firstLine="0"/>
        <w:jc w:val="left"/>
        <w:rPr>
          <w:sz w:val="20"/>
        </w:rPr>
      </w:pPr>
    </w:p>
    <w:p w:rsidR="007259F2" w:rsidRDefault="00E655B4">
      <w:pPr>
        <w:ind w:left="2978" w:right="993"/>
        <w:jc w:val="both"/>
        <w:rPr>
          <w:sz w:val="20"/>
        </w:rPr>
      </w:pPr>
      <w:r>
        <w:rPr>
          <w:sz w:val="20"/>
        </w:rPr>
        <w:t>CIVIL. RECURSO ESPECIAL. AÇÃO INDENIZATÓRIA POR DANOS MATERIAIS E MORAIS. EXCLUSÃO ILEGAL DOS QUADROS DE COOPERATIVA. PRESCRIÇÃO. INOCORRÊNCIA. TEORIA DA ACTIO NATA.</w:t>
      </w:r>
      <w:r>
        <w:rPr>
          <w:spacing w:val="45"/>
          <w:sz w:val="20"/>
        </w:rPr>
        <w:t xml:space="preserve"> </w:t>
      </w:r>
      <w:r>
        <w:rPr>
          <w:sz w:val="20"/>
        </w:rPr>
        <w:t>EXISTÊNCIA</w:t>
      </w:r>
      <w:r>
        <w:rPr>
          <w:spacing w:val="42"/>
          <w:sz w:val="20"/>
        </w:rPr>
        <w:t xml:space="preserve"> </w:t>
      </w:r>
      <w:r>
        <w:rPr>
          <w:sz w:val="20"/>
        </w:rPr>
        <w:t>DE</w:t>
      </w:r>
      <w:r>
        <w:rPr>
          <w:spacing w:val="46"/>
          <w:sz w:val="20"/>
        </w:rPr>
        <w:t xml:space="preserve"> </w:t>
      </w:r>
      <w:r>
        <w:rPr>
          <w:sz w:val="20"/>
        </w:rPr>
        <w:t>CONDIÇÃO</w:t>
      </w:r>
      <w:r>
        <w:rPr>
          <w:spacing w:val="43"/>
          <w:sz w:val="20"/>
        </w:rPr>
        <w:t xml:space="preserve"> </w:t>
      </w:r>
      <w:r>
        <w:rPr>
          <w:sz w:val="20"/>
        </w:rPr>
        <w:t>IMPEDITIVA</w:t>
      </w:r>
      <w:r>
        <w:rPr>
          <w:spacing w:val="41"/>
          <w:sz w:val="20"/>
        </w:rPr>
        <w:t xml:space="preserve"> </w:t>
      </w:r>
      <w:r>
        <w:rPr>
          <w:sz w:val="20"/>
        </w:rPr>
        <w:t>AO</w:t>
      </w:r>
      <w:r>
        <w:rPr>
          <w:spacing w:val="44"/>
          <w:sz w:val="20"/>
        </w:rPr>
        <w:t xml:space="preserve"> </w:t>
      </w:r>
      <w:r>
        <w:rPr>
          <w:spacing w:val="-2"/>
          <w:sz w:val="20"/>
        </w:rPr>
        <w:t>EXERCÍCIO</w:t>
      </w:r>
    </w:p>
    <w:p w:rsidR="007259F2" w:rsidRDefault="00E655B4">
      <w:pPr>
        <w:ind w:left="2978" w:right="989"/>
        <w:jc w:val="both"/>
        <w:rPr>
          <w:sz w:val="20"/>
        </w:rPr>
      </w:pPr>
      <w:r>
        <w:rPr>
          <w:sz w:val="20"/>
        </w:rPr>
        <w:t xml:space="preserve">DA PRETENSÃO INDENIZATÓRIA. 1. O propósito recursal consiste em determinar se está prescrita a pretensão indenizatória fundada em exclusão ilegal dos quadros de cooperativa. 2. </w:t>
      </w:r>
      <w:r>
        <w:rPr>
          <w:b/>
          <w:sz w:val="20"/>
          <w:u w:val="single"/>
        </w:rPr>
        <w:t>O critério para a fixação do termo</w:t>
      </w:r>
      <w:r>
        <w:rPr>
          <w:b/>
          <w:sz w:val="20"/>
        </w:rPr>
        <w:t xml:space="preserve"> </w:t>
      </w:r>
      <w:r>
        <w:rPr>
          <w:b/>
          <w:sz w:val="20"/>
          <w:u w:val="single"/>
        </w:rPr>
        <w:t>inicial do prazo prescricional como o momento da violação do direito</w:t>
      </w:r>
      <w:r>
        <w:rPr>
          <w:b/>
          <w:sz w:val="20"/>
        </w:rPr>
        <w:t xml:space="preserve"> </w:t>
      </w:r>
      <w:r>
        <w:rPr>
          <w:b/>
          <w:sz w:val="20"/>
          <w:u w:val="single"/>
        </w:rPr>
        <w:t>subjetivo foi aprimorado em sede jurisprudencial, com a adoção da</w:t>
      </w:r>
      <w:r>
        <w:rPr>
          <w:b/>
          <w:spacing w:val="40"/>
          <w:sz w:val="20"/>
        </w:rPr>
        <w:t xml:space="preserve"> </w:t>
      </w:r>
      <w:r>
        <w:rPr>
          <w:b/>
          <w:sz w:val="20"/>
          <w:u w:val="single"/>
        </w:rPr>
        <w:t>teoria da actio nata, segundo a qual o prazo deve ter início a partir do</w:t>
      </w:r>
      <w:r>
        <w:rPr>
          <w:b/>
          <w:sz w:val="20"/>
        </w:rPr>
        <w:t xml:space="preserve"> </w:t>
      </w:r>
      <w:r>
        <w:rPr>
          <w:b/>
          <w:sz w:val="20"/>
          <w:u w:val="single"/>
        </w:rPr>
        <w:t>conhecimento, por parte da vítima, da violação ou da lesão ao direito</w:t>
      </w:r>
      <w:r>
        <w:rPr>
          <w:b/>
          <w:sz w:val="20"/>
        </w:rPr>
        <w:t xml:space="preserve"> </w:t>
      </w:r>
      <w:r>
        <w:rPr>
          <w:b/>
          <w:sz w:val="20"/>
          <w:u w:val="single"/>
        </w:rPr>
        <w:t>subjetivo. 3. Não basta o efetivo conhecimento da lesão a direito ou a</w:t>
      </w:r>
      <w:r>
        <w:rPr>
          <w:b/>
          <w:sz w:val="20"/>
        </w:rPr>
        <w:t xml:space="preserve"> </w:t>
      </w:r>
      <w:r>
        <w:rPr>
          <w:b/>
          <w:sz w:val="20"/>
          <w:u w:val="single"/>
        </w:rPr>
        <w:t>interesse, pois é igualmente necessária a ausência de qualquer condição</w:t>
      </w:r>
      <w:r>
        <w:rPr>
          <w:b/>
          <w:sz w:val="20"/>
        </w:rPr>
        <w:t xml:space="preserve"> </w:t>
      </w:r>
      <w:r>
        <w:rPr>
          <w:b/>
          <w:sz w:val="20"/>
          <w:u w:val="single"/>
        </w:rPr>
        <w:t>que</w:t>
      </w:r>
      <w:r>
        <w:rPr>
          <w:b/>
          <w:spacing w:val="-1"/>
          <w:sz w:val="20"/>
          <w:u w:val="single"/>
        </w:rPr>
        <w:t xml:space="preserve"> </w:t>
      </w:r>
      <w:r>
        <w:rPr>
          <w:b/>
          <w:sz w:val="20"/>
          <w:u w:val="single"/>
        </w:rPr>
        <w:t>impeça o pleno exercício da pretensão</w:t>
      </w:r>
      <w:r>
        <w:rPr>
          <w:sz w:val="20"/>
        </w:rPr>
        <w:t>.</w:t>
      </w:r>
      <w:r>
        <w:rPr>
          <w:spacing w:val="-1"/>
          <w:sz w:val="20"/>
        </w:rPr>
        <w:t xml:space="preserve"> </w:t>
      </w:r>
      <w:r>
        <w:rPr>
          <w:sz w:val="20"/>
        </w:rPr>
        <w:t>Precedentes desta</w:t>
      </w:r>
      <w:r>
        <w:rPr>
          <w:spacing w:val="-1"/>
          <w:sz w:val="20"/>
        </w:rPr>
        <w:t xml:space="preserve"> </w:t>
      </w:r>
      <w:r>
        <w:rPr>
          <w:sz w:val="20"/>
        </w:rPr>
        <w:t>Corte. Sendo assim, a pendência do julgamento de ação declaração em que se discute a ilegalidade</w:t>
      </w:r>
      <w:r>
        <w:rPr>
          <w:spacing w:val="-1"/>
          <w:sz w:val="20"/>
        </w:rPr>
        <w:t xml:space="preserve"> </w:t>
      </w:r>
      <w:r>
        <w:rPr>
          <w:sz w:val="20"/>
        </w:rPr>
        <w:t>da</w:t>
      </w:r>
      <w:r>
        <w:rPr>
          <w:spacing w:val="-1"/>
          <w:sz w:val="20"/>
        </w:rPr>
        <w:t xml:space="preserve"> </w:t>
      </w:r>
      <w:r>
        <w:rPr>
          <w:sz w:val="20"/>
        </w:rPr>
        <w:t>conduta</w:t>
      </w:r>
      <w:r>
        <w:rPr>
          <w:spacing w:val="-1"/>
          <w:sz w:val="20"/>
        </w:rPr>
        <w:t xml:space="preserve"> </w:t>
      </w:r>
      <w:r>
        <w:rPr>
          <w:sz w:val="20"/>
        </w:rPr>
        <w:t>constitui</w:t>
      </w:r>
      <w:r>
        <w:rPr>
          <w:spacing w:val="-1"/>
          <w:sz w:val="20"/>
        </w:rPr>
        <w:t xml:space="preserve"> </w:t>
      </w:r>
      <w:r>
        <w:rPr>
          <w:sz w:val="20"/>
        </w:rPr>
        <w:t>empecilho</w:t>
      </w:r>
      <w:r>
        <w:rPr>
          <w:spacing w:val="-1"/>
          <w:sz w:val="20"/>
        </w:rPr>
        <w:t xml:space="preserve"> </w:t>
      </w:r>
      <w:r>
        <w:rPr>
          <w:sz w:val="20"/>
        </w:rPr>
        <w:t>ao</w:t>
      </w:r>
      <w:r>
        <w:rPr>
          <w:spacing w:val="-1"/>
          <w:sz w:val="20"/>
        </w:rPr>
        <w:t xml:space="preserve"> </w:t>
      </w:r>
      <w:r>
        <w:rPr>
          <w:sz w:val="20"/>
        </w:rPr>
        <w:t>início</w:t>
      </w:r>
      <w:r>
        <w:rPr>
          <w:spacing w:val="-1"/>
          <w:sz w:val="20"/>
        </w:rPr>
        <w:t xml:space="preserve"> </w:t>
      </w:r>
      <w:r>
        <w:rPr>
          <w:sz w:val="20"/>
        </w:rPr>
        <w:t>da</w:t>
      </w:r>
      <w:r>
        <w:rPr>
          <w:spacing w:val="-1"/>
          <w:sz w:val="20"/>
        </w:rPr>
        <w:t xml:space="preserve"> </w:t>
      </w:r>
      <w:r>
        <w:rPr>
          <w:sz w:val="20"/>
        </w:rPr>
        <w:t>fluência</w:t>
      </w:r>
      <w:r>
        <w:rPr>
          <w:spacing w:val="-1"/>
          <w:sz w:val="20"/>
        </w:rPr>
        <w:t xml:space="preserve"> </w:t>
      </w:r>
      <w:r>
        <w:rPr>
          <w:sz w:val="20"/>
        </w:rPr>
        <w:t>da</w:t>
      </w:r>
      <w:r>
        <w:rPr>
          <w:spacing w:val="-1"/>
          <w:sz w:val="20"/>
        </w:rPr>
        <w:t xml:space="preserve"> </w:t>
      </w:r>
      <w:r>
        <w:rPr>
          <w:sz w:val="20"/>
        </w:rPr>
        <w:t>prescrição da</w:t>
      </w:r>
      <w:r>
        <w:rPr>
          <w:spacing w:val="-1"/>
          <w:sz w:val="20"/>
        </w:rPr>
        <w:t xml:space="preserve"> </w:t>
      </w:r>
      <w:r>
        <w:rPr>
          <w:sz w:val="20"/>
        </w:rPr>
        <w:t>pretensão indenizatória</w:t>
      </w:r>
      <w:r>
        <w:rPr>
          <w:spacing w:val="-1"/>
          <w:sz w:val="20"/>
        </w:rPr>
        <w:t xml:space="preserve"> </w:t>
      </w:r>
      <w:r>
        <w:rPr>
          <w:sz w:val="20"/>
        </w:rPr>
        <w:t>amparada</w:t>
      </w:r>
      <w:r>
        <w:rPr>
          <w:spacing w:val="-1"/>
          <w:sz w:val="20"/>
        </w:rPr>
        <w:t xml:space="preserve"> </w:t>
      </w:r>
      <w:r>
        <w:rPr>
          <w:sz w:val="20"/>
        </w:rPr>
        <w:t>nesse ato.</w:t>
      </w:r>
      <w:r>
        <w:rPr>
          <w:spacing w:val="-1"/>
          <w:sz w:val="20"/>
        </w:rPr>
        <w:t xml:space="preserve"> </w:t>
      </w:r>
      <w:r>
        <w:rPr>
          <w:sz w:val="20"/>
        </w:rPr>
        <w:t>[...] (STJ -</w:t>
      </w:r>
      <w:r>
        <w:rPr>
          <w:spacing w:val="-2"/>
          <w:sz w:val="20"/>
        </w:rPr>
        <w:t xml:space="preserve"> </w:t>
      </w:r>
      <w:r>
        <w:rPr>
          <w:sz w:val="20"/>
        </w:rPr>
        <w:t>REsp:</w:t>
      </w:r>
      <w:r>
        <w:rPr>
          <w:spacing w:val="-1"/>
          <w:sz w:val="20"/>
        </w:rPr>
        <w:t xml:space="preserve"> </w:t>
      </w:r>
      <w:r>
        <w:rPr>
          <w:sz w:val="20"/>
        </w:rPr>
        <w:t>1494482 SP 2014/0280678-1,</w:t>
      </w:r>
      <w:r>
        <w:rPr>
          <w:spacing w:val="49"/>
          <w:sz w:val="20"/>
        </w:rPr>
        <w:t xml:space="preserve"> </w:t>
      </w:r>
      <w:r>
        <w:rPr>
          <w:sz w:val="20"/>
        </w:rPr>
        <w:t>Relator:</w:t>
      </w:r>
      <w:r>
        <w:rPr>
          <w:spacing w:val="49"/>
          <w:sz w:val="20"/>
        </w:rPr>
        <w:t xml:space="preserve"> </w:t>
      </w:r>
      <w:r>
        <w:rPr>
          <w:sz w:val="20"/>
        </w:rPr>
        <w:t>Ministro</w:t>
      </w:r>
      <w:r>
        <w:rPr>
          <w:spacing w:val="50"/>
          <w:sz w:val="20"/>
        </w:rPr>
        <w:t xml:space="preserve"> </w:t>
      </w:r>
      <w:r>
        <w:rPr>
          <w:sz w:val="20"/>
        </w:rPr>
        <w:t>RICARDO</w:t>
      </w:r>
      <w:r>
        <w:rPr>
          <w:spacing w:val="50"/>
          <w:sz w:val="20"/>
        </w:rPr>
        <w:t xml:space="preserve"> </w:t>
      </w:r>
      <w:r>
        <w:rPr>
          <w:sz w:val="20"/>
        </w:rPr>
        <w:t>VILLAS</w:t>
      </w:r>
      <w:r>
        <w:rPr>
          <w:spacing w:val="51"/>
          <w:sz w:val="20"/>
        </w:rPr>
        <w:t xml:space="preserve"> </w:t>
      </w:r>
      <w:r>
        <w:rPr>
          <w:sz w:val="20"/>
        </w:rPr>
        <w:t>BÔAS</w:t>
      </w:r>
      <w:r>
        <w:rPr>
          <w:spacing w:val="51"/>
          <w:sz w:val="20"/>
        </w:rPr>
        <w:t xml:space="preserve"> </w:t>
      </w:r>
      <w:r>
        <w:rPr>
          <w:spacing w:val="-2"/>
          <w:sz w:val="20"/>
        </w:rPr>
        <w:t>CUEVA,</w:t>
      </w:r>
    </w:p>
    <w:p w:rsidR="007259F2" w:rsidRDefault="00E655B4">
      <w:pPr>
        <w:spacing w:before="1"/>
        <w:ind w:left="2978" w:right="992"/>
        <w:jc w:val="both"/>
        <w:rPr>
          <w:sz w:val="20"/>
        </w:rPr>
      </w:pPr>
      <w:r>
        <w:rPr>
          <w:sz w:val="20"/>
        </w:rPr>
        <w:t>Data de Julgamento: 24/11/2020, T3 - TERCEIRA TURMA, Data de Publicação: DJe 18/12/2020) (Grifo nosso)</w:t>
      </w:r>
    </w:p>
    <w:p w:rsidR="007259F2" w:rsidRDefault="00E655B4">
      <w:pPr>
        <w:spacing w:before="229"/>
        <w:ind w:left="2978" w:right="990"/>
        <w:jc w:val="both"/>
        <w:rPr>
          <w:b/>
          <w:sz w:val="20"/>
        </w:rPr>
      </w:pPr>
      <w:r>
        <w:rPr>
          <w:sz w:val="20"/>
        </w:rPr>
        <w:t>APELAÇÃO – AÇÃO INDENIZATÓRIA – PRESCRIÇÃO REFUTADA – TEORIA</w:t>
      </w:r>
      <w:r>
        <w:rPr>
          <w:spacing w:val="50"/>
          <w:sz w:val="20"/>
        </w:rPr>
        <w:t xml:space="preserve"> </w:t>
      </w:r>
      <w:r>
        <w:rPr>
          <w:sz w:val="20"/>
        </w:rPr>
        <w:t>DA</w:t>
      </w:r>
      <w:r>
        <w:rPr>
          <w:spacing w:val="55"/>
          <w:sz w:val="20"/>
        </w:rPr>
        <w:t xml:space="preserve"> </w:t>
      </w:r>
      <w:r>
        <w:rPr>
          <w:sz w:val="20"/>
        </w:rPr>
        <w:t>ACTIO</w:t>
      </w:r>
      <w:r>
        <w:rPr>
          <w:spacing w:val="52"/>
          <w:sz w:val="20"/>
        </w:rPr>
        <w:t xml:space="preserve"> </w:t>
      </w:r>
      <w:r>
        <w:rPr>
          <w:sz w:val="20"/>
        </w:rPr>
        <w:t>NATA</w:t>
      </w:r>
      <w:r>
        <w:rPr>
          <w:spacing w:val="55"/>
          <w:sz w:val="20"/>
        </w:rPr>
        <w:t xml:space="preserve"> </w:t>
      </w:r>
      <w:r>
        <w:rPr>
          <w:sz w:val="20"/>
        </w:rPr>
        <w:t>–</w:t>
      </w:r>
      <w:r>
        <w:rPr>
          <w:spacing w:val="54"/>
          <w:sz w:val="20"/>
        </w:rPr>
        <w:t xml:space="preserve"> </w:t>
      </w:r>
      <w:r>
        <w:rPr>
          <w:sz w:val="20"/>
        </w:rPr>
        <w:t>CONHECIMENTO</w:t>
      </w:r>
      <w:r>
        <w:rPr>
          <w:spacing w:val="54"/>
          <w:sz w:val="20"/>
        </w:rPr>
        <w:t xml:space="preserve"> </w:t>
      </w:r>
      <w:r>
        <w:rPr>
          <w:sz w:val="20"/>
        </w:rPr>
        <w:t>DA</w:t>
      </w:r>
      <w:r>
        <w:rPr>
          <w:spacing w:val="55"/>
          <w:sz w:val="20"/>
        </w:rPr>
        <w:t xml:space="preserve"> </w:t>
      </w:r>
      <w:r>
        <w:rPr>
          <w:sz w:val="20"/>
        </w:rPr>
        <w:t>LESÃO</w:t>
      </w:r>
      <w:r>
        <w:rPr>
          <w:spacing w:val="57"/>
          <w:sz w:val="20"/>
        </w:rPr>
        <w:t xml:space="preserve"> </w:t>
      </w:r>
      <w:r>
        <w:rPr>
          <w:sz w:val="20"/>
        </w:rPr>
        <w:t>-</w:t>
      </w:r>
      <w:r>
        <w:rPr>
          <w:spacing w:val="54"/>
          <w:sz w:val="20"/>
        </w:rPr>
        <w:t xml:space="preserve"> </w:t>
      </w:r>
      <w:r>
        <w:rPr>
          <w:b/>
          <w:spacing w:val="-4"/>
          <w:sz w:val="20"/>
          <w:u w:val="single"/>
        </w:rPr>
        <w:t>Pela</w:t>
      </w:r>
    </w:p>
    <w:p w:rsidR="007259F2" w:rsidRDefault="00E655B4">
      <w:pPr>
        <w:spacing w:before="8" w:line="237" w:lineRule="auto"/>
        <w:ind w:left="2978" w:right="985"/>
        <w:jc w:val="both"/>
        <w:rPr>
          <w:sz w:val="20"/>
        </w:rPr>
      </w:pPr>
      <w:r>
        <w:rPr>
          <w:b/>
          <w:sz w:val="20"/>
          <w:u w:val="single"/>
        </w:rPr>
        <w:t>teoria da actio nata, o lapso prescricional começa a correr quando</w:t>
      </w:r>
      <w:r>
        <w:rPr>
          <w:b/>
          <w:sz w:val="20"/>
        </w:rPr>
        <w:t xml:space="preserve"> </w:t>
      </w:r>
      <w:r>
        <w:rPr>
          <w:b/>
          <w:sz w:val="20"/>
          <w:u w:val="single"/>
        </w:rPr>
        <w:t>verificada a extensão do dano; - Apesar de os fatos terem ocorrido em</w:t>
      </w:r>
      <w:r>
        <w:rPr>
          <w:b/>
          <w:sz w:val="20"/>
        </w:rPr>
        <w:t xml:space="preserve"> </w:t>
      </w:r>
      <w:r>
        <w:rPr>
          <w:b/>
          <w:sz w:val="20"/>
          <w:u w:val="single"/>
        </w:rPr>
        <w:t>2010, a autora somente teve conhecimento da extensão dos danos em</w:t>
      </w:r>
      <w:r>
        <w:rPr>
          <w:b/>
          <w:spacing w:val="40"/>
          <w:sz w:val="20"/>
        </w:rPr>
        <w:t xml:space="preserve"> </w:t>
      </w:r>
      <w:r>
        <w:rPr>
          <w:b/>
          <w:sz w:val="20"/>
          <w:u w:val="single"/>
        </w:rPr>
        <w:t>2018</w:t>
      </w:r>
      <w:r>
        <w:rPr>
          <w:b/>
          <w:sz w:val="20"/>
        </w:rPr>
        <w:t xml:space="preserve"> </w:t>
      </w:r>
      <w:r>
        <w:rPr>
          <w:sz w:val="20"/>
        </w:rPr>
        <w:t>– ausência da prescrição da pretensão. RECURSO IMPROVIDO (TJ- SP</w:t>
      </w:r>
      <w:r>
        <w:rPr>
          <w:spacing w:val="55"/>
          <w:sz w:val="20"/>
        </w:rPr>
        <w:t xml:space="preserve">  </w:t>
      </w:r>
      <w:r>
        <w:rPr>
          <w:sz w:val="20"/>
        </w:rPr>
        <w:t>-</w:t>
      </w:r>
      <w:r>
        <w:rPr>
          <w:spacing w:val="54"/>
          <w:sz w:val="20"/>
        </w:rPr>
        <w:t xml:space="preserve">  </w:t>
      </w:r>
      <w:r>
        <w:rPr>
          <w:sz w:val="20"/>
        </w:rPr>
        <w:t>AC:</w:t>
      </w:r>
      <w:r>
        <w:rPr>
          <w:spacing w:val="54"/>
          <w:sz w:val="20"/>
        </w:rPr>
        <w:t xml:space="preserve">  </w:t>
      </w:r>
      <w:r>
        <w:rPr>
          <w:sz w:val="20"/>
        </w:rPr>
        <w:t>10045158220188260082</w:t>
      </w:r>
      <w:r>
        <w:rPr>
          <w:spacing w:val="55"/>
          <w:sz w:val="20"/>
        </w:rPr>
        <w:t xml:space="preserve">  </w:t>
      </w:r>
      <w:r>
        <w:rPr>
          <w:sz w:val="20"/>
        </w:rPr>
        <w:t>SP</w:t>
      </w:r>
      <w:r>
        <w:rPr>
          <w:spacing w:val="54"/>
          <w:sz w:val="20"/>
        </w:rPr>
        <w:t xml:space="preserve">  </w:t>
      </w:r>
      <w:r>
        <w:rPr>
          <w:sz w:val="20"/>
        </w:rPr>
        <w:t>1004515-</w:t>
      </w:r>
      <w:r>
        <w:rPr>
          <w:spacing w:val="-2"/>
          <w:sz w:val="20"/>
        </w:rPr>
        <w:t>82.2018.8.26.0082,</w:t>
      </w:r>
    </w:p>
    <w:p w:rsidR="007259F2" w:rsidRDefault="00E655B4">
      <w:pPr>
        <w:spacing w:before="4"/>
        <w:ind w:left="2978" w:right="998"/>
        <w:jc w:val="both"/>
        <w:rPr>
          <w:sz w:val="20"/>
        </w:rPr>
      </w:pPr>
      <w:r>
        <w:rPr>
          <w:sz w:val="20"/>
        </w:rPr>
        <w:t>Relator: Maria Lúcia Pizzotti, Data de Julgamento: 10/08/2020, 30ª Câmara de Direito Privado, Data de Publicação: 10/08/2020)</w:t>
      </w:r>
    </w:p>
    <w:p w:rsidR="007259F2" w:rsidRDefault="00E655B4">
      <w:pPr>
        <w:pStyle w:val="Corpodetexto"/>
        <w:spacing w:before="228"/>
        <w:ind w:right="997"/>
      </w:pPr>
      <w:r>
        <w:t>É imperioso destacar que o artigo 189 do Código Civil (CC) consagra a aludida teoria ao prever que, “violado o direito, nasce para o titular a pretensão, a qual se extingue, pela prescrição, nos prazos a que aludem os arts. 205 e 206”.</w:t>
      </w:r>
    </w:p>
    <w:p w:rsidR="007259F2" w:rsidRDefault="007259F2">
      <w:pPr>
        <w:pStyle w:val="Corpodetexto"/>
        <w:sectPr w:rsidR="007259F2">
          <w:pgSz w:w="11910" w:h="16840"/>
          <w:pgMar w:top="1320" w:right="708" w:bottom="1160" w:left="992" w:header="0" w:footer="962" w:gutter="0"/>
          <w:cols w:space="720"/>
        </w:sectPr>
      </w:pPr>
    </w:p>
    <w:p w:rsidR="007259F2" w:rsidRDefault="00E655B4">
      <w:pPr>
        <w:pStyle w:val="Corpodetexto"/>
        <w:spacing w:before="69"/>
        <w:ind w:right="994"/>
      </w:pPr>
      <w:r>
        <w:lastRenderedPageBreak/>
        <w:t>Contudo, a prescrição contra o ente fazendário, seja qual for a sua natureza, prescreve em cinco anos contados da data do ato ou fato do qual se originar, nos termos do Decreto nº 20.910/1932.</w:t>
      </w:r>
    </w:p>
    <w:p w:rsidR="007259F2" w:rsidRDefault="00E655B4">
      <w:pPr>
        <w:pStyle w:val="Corpodetexto"/>
        <w:spacing w:before="1"/>
        <w:ind w:right="995"/>
      </w:pPr>
      <w:r>
        <w:t xml:space="preserve">Tanto a aplicação da Teoria da </w:t>
      </w:r>
      <w:r>
        <w:rPr>
          <w:i/>
        </w:rPr>
        <w:t>actio nata</w:t>
      </w:r>
      <w:r>
        <w:t>, quanto a prescrição quinquenal são temas pacíficos na jurisprudência. Vejamos:</w:t>
      </w:r>
    </w:p>
    <w:p w:rsidR="007259F2" w:rsidRDefault="007259F2">
      <w:pPr>
        <w:pStyle w:val="Corpodetexto"/>
        <w:spacing w:before="1"/>
        <w:ind w:left="0" w:firstLine="0"/>
        <w:jc w:val="left"/>
      </w:pPr>
    </w:p>
    <w:p w:rsidR="007259F2" w:rsidRDefault="00E655B4">
      <w:pPr>
        <w:ind w:left="2978" w:right="992"/>
        <w:jc w:val="both"/>
        <w:rPr>
          <w:b/>
          <w:sz w:val="20"/>
        </w:rPr>
      </w:pPr>
      <w:r>
        <w:rPr>
          <w:sz w:val="20"/>
        </w:rPr>
        <w:t xml:space="preserve">ADMINISTRATIVO.RECURSOESPECIAL REPRESENTATIVO DE CONTROVÉRSIA (ARTIGO 543-C DO CPC). RESPONSABILIDADE CIVIL DO ESTADO. AÇÃO INDENIZATÓRIA. PRESCRIÇÃO. </w:t>
      </w:r>
      <w:r>
        <w:rPr>
          <w:b/>
          <w:sz w:val="20"/>
        </w:rPr>
        <w:t>PRAZO QUINQUENAL (ART. 1º DO DECRETO 20.910/32) X PRAZO TRIENAL (ART. 206, § 3º, V, DO CC). PREVALÊNCIA DA LEI ESPECIAL.</w:t>
      </w:r>
      <w:r>
        <w:rPr>
          <w:b/>
          <w:spacing w:val="61"/>
          <w:sz w:val="20"/>
        </w:rPr>
        <w:t xml:space="preserve"> </w:t>
      </w:r>
      <w:r>
        <w:rPr>
          <w:b/>
          <w:sz w:val="20"/>
        </w:rPr>
        <w:t>ORIENTAÇÃO</w:t>
      </w:r>
      <w:r>
        <w:rPr>
          <w:b/>
          <w:spacing w:val="62"/>
          <w:sz w:val="20"/>
        </w:rPr>
        <w:t xml:space="preserve"> </w:t>
      </w:r>
      <w:r>
        <w:rPr>
          <w:b/>
          <w:sz w:val="20"/>
        </w:rPr>
        <w:t>PACIFICADA</w:t>
      </w:r>
      <w:r>
        <w:rPr>
          <w:b/>
          <w:spacing w:val="62"/>
          <w:sz w:val="20"/>
        </w:rPr>
        <w:t xml:space="preserve"> </w:t>
      </w:r>
      <w:r>
        <w:rPr>
          <w:b/>
          <w:sz w:val="20"/>
        </w:rPr>
        <w:t>NO</w:t>
      </w:r>
      <w:r>
        <w:rPr>
          <w:b/>
          <w:spacing w:val="62"/>
          <w:sz w:val="20"/>
        </w:rPr>
        <w:t xml:space="preserve"> </w:t>
      </w:r>
      <w:r>
        <w:rPr>
          <w:b/>
          <w:sz w:val="20"/>
        </w:rPr>
        <w:t>ÂMBITO</w:t>
      </w:r>
      <w:r>
        <w:rPr>
          <w:b/>
          <w:spacing w:val="62"/>
          <w:sz w:val="20"/>
        </w:rPr>
        <w:t xml:space="preserve"> </w:t>
      </w:r>
      <w:r>
        <w:rPr>
          <w:b/>
          <w:sz w:val="20"/>
        </w:rPr>
        <w:t>DO</w:t>
      </w:r>
      <w:r>
        <w:rPr>
          <w:b/>
          <w:spacing w:val="62"/>
          <w:sz w:val="20"/>
        </w:rPr>
        <w:t xml:space="preserve"> </w:t>
      </w:r>
      <w:r>
        <w:rPr>
          <w:b/>
          <w:spacing w:val="-4"/>
          <w:sz w:val="20"/>
        </w:rPr>
        <w:t>STJ.</w:t>
      </w:r>
    </w:p>
    <w:p w:rsidR="007259F2" w:rsidRDefault="00E655B4">
      <w:pPr>
        <w:ind w:left="2978" w:right="990"/>
        <w:jc w:val="both"/>
        <w:rPr>
          <w:sz w:val="20"/>
        </w:rPr>
      </w:pPr>
      <w:r>
        <w:rPr>
          <w:sz w:val="20"/>
        </w:rPr>
        <w:t>RECURSO ESPECIAL NÃO PROVIDO. 1. A controvérsia do presente recurso</w:t>
      </w:r>
      <w:r>
        <w:rPr>
          <w:spacing w:val="-2"/>
          <w:sz w:val="20"/>
        </w:rPr>
        <w:t xml:space="preserve"> </w:t>
      </w:r>
      <w:r>
        <w:rPr>
          <w:sz w:val="20"/>
        </w:rPr>
        <w:t>especial,</w:t>
      </w:r>
      <w:r>
        <w:rPr>
          <w:spacing w:val="-1"/>
          <w:sz w:val="20"/>
        </w:rPr>
        <w:t xml:space="preserve"> </w:t>
      </w:r>
      <w:r>
        <w:rPr>
          <w:sz w:val="20"/>
        </w:rPr>
        <w:t>submetido</w:t>
      </w:r>
      <w:r>
        <w:rPr>
          <w:spacing w:val="-2"/>
          <w:sz w:val="20"/>
        </w:rPr>
        <w:t xml:space="preserve"> </w:t>
      </w:r>
      <w:r>
        <w:rPr>
          <w:sz w:val="20"/>
        </w:rPr>
        <w:t>à</w:t>
      </w:r>
      <w:r>
        <w:rPr>
          <w:spacing w:val="-1"/>
          <w:sz w:val="20"/>
        </w:rPr>
        <w:t xml:space="preserve"> </w:t>
      </w:r>
      <w:r>
        <w:rPr>
          <w:sz w:val="20"/>
        </w:rPr>
        <w:t>sistemática do</w:t>
      </w:r>
      <w:r>
        <w:rPr>
          <w:spacing w:val="-2"/>
          <w:sz w:val="20"/>
        </w:rPr>
        <w:t xml:space="preserve"> </w:t>
      </w:r>
      <w:r>
        <w:rPr>
          <w:sz w:val="20"/>
        </w:rPr>
        <w:t>art.</w:t>
      </w:r>
      <w:r>
        <w:rPr>
          <w:spacing w:val="-3"/>
          <w:sz w:val="20"/>
        </w:rPr>
        <w:t xml:space="preserve"> </w:t>
      </w:r>
      <w:r>
        <w:rPr>
          <w:sz w:val="20"/>
        </w:rPr>
        <w:t>543-C</w:t>
      </w:r>
      <w:r>
        <w:rPr>
          <w:spacing w:val="-4"/>
          <w:sz w:val="20"/>
        </w:rPr>
        <w:t xml:space="preserve"> </w:t>
      </w:r>
      <w:r>
        <w:rPr>
          <w:sz w:val="20"/>
        </w:rPr>
        <w:t>do</w:t>
      </w:r>
      <w:r>
        <w:rPr>
          <w:spacing w:val="-2"/>
          <w:sz w:val="20"/>
        </w:rPr>
        <w:t xml:space="preserve"> </w:t>
      </w:r>
      <w:r>
        <w:rPr>
          <w:sz w:val="20"/>
        </w:rPr>
        <w:t>CPC</w:t>
      </w:r>
      <w:r>
        <w:rPr>
          <w:spacing w:val="-4"/>
          <w:sz w:val="20"/>
        </w:rPr>
        <w:t xml:space="preserve"> </w:t>
      </w:r>
      <w:r>
        <w:rPr>
          <w:sz w:val="20"/>
        </w:rPr>
        <w:t>e</w:t>
      </w:r>
      <w:r>
        <w:rPr>
          <w:spacing w:val="-3"/>
          <w:sz w:val="20"/>
        </w:rPr>
        <w:t xml:space="preserve"> </w:t>
      </w:r>
      <w:r>
        <w:rPr>
          <w:sz w:val="20"/>
        </w:rPr>
        <w:t>da</w:t>
      </w:r>
      <w:r>
        <w:rPr>
          <w:spacing w:val="-3"/>
          <w:sz w:val="20"/>
        </w:rPr>
        <w:t xml:space="preserve"> </w:t>
      </w:r>
      <w:r>
        <w:rPr>
          <w:sz w:val="20"/>
        </w:rPr>
        <w:t>Res.</w:t>
      </w:r>
      <w:r>
        <w:rPr>
          <w:spacing w:val="-3"/>
          <w:sz w:val="20"/>
        </w:rPr>
        <w:t xml:space="preserve"> </w:t>
      </w:r>
      <w:r>
        <w:rPr>
          <w:sz w:val="20"/>
        </w:rPr>
        <w:t>STJ n 8/2008, está limitada ao prazo prescricional em ação indenizatória ajuizada contra</w:t>
      </w:r>
      <w:r>
        <w:rPr>
          <w:spacing w:val="-3"/>
          <w:sz w:val="20"/>
        </w:rPr>
        <w:t xml:space="preserve"> </w:t>
      </w:r>
      <w:r>
        <w:rPr>
          <w:sz w:val="20"/>
        </w:rPr>
        <w:t>a</w:t>
      </w:r>
      <w:r>
        <w:rPr>
          <w:spacing w:val="-3"/>
          <w:sz w:val="20"/>
        </w:rPr>
        <w:t xml:space="preserve"> </w:t>
      </w:r>
      <w:r>
        <w:rPr>
          <w:sz w:val="20"/>
        </w:rPr>
        <w:t>Fazenda</w:t>
      </w:r>
      <w:r>
        <w:rPr>
          <w:spacing w:val="-3"/>
          <w:sz w:val="20"/>
        </w:rPr>
        <w:t xml:space="preserve"> </w:t>
      </w:r>
      <w:r>
        <w:rPr>
          <w:sz w:val="20"/>
        </w:rPr>
        <w:t>Pública,</w:t>
      </w:r>
      <w:r>
        <w:rPr>
          <w:spacing w:val="-2"/>
          <w:sz w:val="20"/>
        </w:rPr>
        <w:t xml:space="preserve"> </w:t>
      </w:r>
      <w:r>
        <w:rPr>
          <w:sz w:val="20"/>
        </w:rPr>
        <w:t>em</w:t>
      </w:r>
      <w:r>
        <w:rPr>
          <w:spacing w:val="-2"/>
          <w:sz w:val="20"/>
        </w:rPr>
        <w:t xml:space="preserve"> </w:t>
      </w:r>
      <w:r>
        <w:rPr>
          <w:sz w:val="20"/>
        </w:rPr>
        <w:t>face</w:t>
      </w:r>
      <w:r>
        <w:rPr>
          <w:spacing w:val="-3"/>
          <w:sz w:val="20"/>
        </w:rPr>
        <w:t xml:space="preserve"> </w:t>
      </w:r>
      <w:r>
        <w:rPr>
          <w:sz w:val="20"/>
        </w:rPr>
        <w:t>da</w:t>
      </w:r>
      <w:r>
        <w:rPr>
          <w:spacing w:val="-3"/>
          <w:sz w:val="20"/>
        </w:rPr>
        <w:t xml:space="preserve"> </w:t>
      </w:r>
      <w:r>
        <w:rPr>
          <w:sz w:val="20"/>
        </w:rPr>
        <w:t>aparente</w:t>
      </w:r>
      <w:r>
        <w:rPr>
          <w:spacing w:val="-3"/>
          <w:sz w:val="20"/>
        </w:rPr>
        <w:t xml:space="preserve"> </w:t>
      </w:r>
      <w:r>
        <w:rPr>
          <w:sz w:val="20"/>
        </w:rPr>
        <w:t>antinomia</w:t>
      </w:r>
      <w:r>
        <w:rPr>
          <w:spacing w:val="-3"/>
          <w:sz w:val="20"/>
        </w:rPr>
        <w:t xml:space="preserve"> </w:t>
      </w:r>
      <w:r>
        <w:rPr>
          <w:sz w:val="20"/>
        </w:rPr>
        <w:t>do</w:t>
      </w:r>
      <w:r>
        <w:rPr>
          <w:spacing w:val="-2"/>
          <w:sz w:val="20"/>
        </w:rPr>
        <w:t xml:space="preserve"> </w:t>
      </w:r>
      <w:r>
        <w:rPr>
          <w:sz w:val="20"/>
        </w:rPr>
        <w:t>prazo</w:t>
      </w:r>
      <w:r>
        <w:rPr>
          <w:spacing w:val="-2"/>
          <w:sz w:val="20"/>
        </w:rPr>
        <w:t xml:space="preserve"> </w:t>
      </w:r>
      <w:r>
        <w:rPr>
          <w:sz w:val="20"/>
        </w:rPr>
        <w:t>trienal</w:t>
      </w:r>
      <w:r>
        <w:rPr>
          <w:spacing w:val="-3"/>
          <w:sz w:val="20"/>
        </w:rPr>
        <w:t xml:space="preserve"> </w:t>
      </w:r>
      <w:r>
        <w:rPr>
          <w:sz w:val="20"/>
        </w:rPr>
        <w:t>(art. 206, § 3º, V, do Código Civil) e o prazo quinquenal (art. 1º do Decreto 20.910/32).</w:t>
      </w:r>
      <w:r>
        <w:rPr>
          <w:spacing w:val="-1"/>
          <w:sz w:val="20"/>
        </w:rPr>
        <w:t xml:space="preserve"> </w:t>
      </w:r>
      <w:r>
        <w:rPr>
          <w:sz w:val="20"/>
        </w:rPr>
        <w:t>2.</w:t>
      </w:r>
      <w:r>
        <w:rPr>
          <w:spacing w:val="-1"/>
          <w:sz w:val="20"/>
        </w:rPr>
        <w:t xml:space="preserve"> </w:t>
      </w:r>
      <w:r>
        <w:rPr>
          <w:sz w:val="20"/>
        </w:rPr>
        <w:t>O</w:t>
      </w:r>
      <w:r>
        <w:rPr>
          <w:spacing w:val="-1"/>
          <w:sz w:val="20"/>
        </w:rPr>
        <w:t xml:space="preserve"> </w:t>
      </w:r>
      <w:r>
        <w:rPr>
          <w:sz w:val="20"/>
        </w:rPr>
        <w:t>tema analisado no presente caso não estava</w:t>
      </w:r>
      <w:r>
        <w:rPr>
          <w:spacing w:val="-1"/>
          <w:sz w:val="20"/>
        </w:rPr>
        <w:t xml:space="preserve"> </w:t>
      </w:r>
      <w:r>
        <w:rPr>
          <w:sz w:val="20"/>
        </w:rPr>
        <w:t>pacificado,</w:t>
      </w:r>
      <w:r>
        <w:rPr>
          <w:spacing w:val="-1"/>
          <w:sz w:val="20"/>
        </w:rPr>
        <w:t xml:space="preserve"> </w:t>
      </w:r>
      <w:r>
        <w:rPr>
          <w:sz w:val="20"/>
        </w:rPr>
        <w:t xml:space="preserve">visto que o prazo prescricional nas ações indenizatórias contra a Fazenda Pública era defendido de maneira antagônica nos âmbitos doutrinário e jurisprudencial. Efetivamente, as Turmas de Direito Público desta Corte Superior divergiam sobre o tema, pois existem julgados de ambos os órgãos julgadores no sentido da aplicação do prazo prescricional trienal previsto no Código Civil de 2002 nas ações indenizatórias ajuizadas contra a Fazenda Pública. [...]. </w:t>
      </w:r>
      <w:r>
        <w:rPr>
          <w:b/>
          <w:sz w:val="20"/>
          <w:u w:val="single"/>
        </w:rPr>
        <w:t>No caso concreto, a Corte a quo, ao julgar recurso contra</w:t>
      </w:r>
      <w:r>
        <w:rPr>
          <w:b/>
          <w:sz w:val="20"/>
        </w:rPr>
        <w:t xml:space="preserve"> </w:t>
      </w:r>
      <w:r>
        <w:rPr>
          <w:b/>
          <w:sz w:val="20"/>
          <w:u w:val="single"/>
        </w:rPr>
        <w:t>sentença que reconheceu prazo trienal em ação indenizatória ajuizada</w:t>
      </w:r>
      <w:r>
        <w:rPr>
          <w:b/>
          <w:sz w:val="20"/>
        </w:rPr>
        <w:t xml:space="preserve"> </w:t>
      </w:r>
      <w:r>
        <w:rPr>
          <w:b/>
          <w:sz w:val="20"/>
          <w:u w:val="single"/>
        </w:rPr>
        <w:t>por particular em face do Município, corretamente reformou a sentença</w:t>
      </w:r>
      <w:r>
        <w:rPr>
          <w:b/>
          <w:sz w:val="20"/>
        </w:rPr>
        <w:t xml:space="preserve"> </w:t>
      </w:r>
      <w:r>
        <w:rPr>
          <w:b/>
          <w:sz w:val="20"/>
          <w:u w:val="single"/>
        </w:rPr>
        <w:t>para aplicar a prescrição quinquenal prevista no Decreto 20.910/32, em</w:t>
      </w:r>
      <w:r>
        <w:rPr>
          <w:b/>
          <w:sz w:val="20"/>
        </w:rPr>
        <w:t xml:space="preserve"> </w:t>
      </w:r>
      <w:r>
        <w:rPr>
          <w:b/>
          <w:sz w:val="20"/>
          <w:u w:val="single"/>
        </w:rPr>
        <w:t>manifesta sintonia com o entendimento desta Corte Superior sobre o</w:t>
      </w:r>
      <w:r>
        <w:rPr>
          <w:b/>
          <w:sz w:val="20"/>
        </w:rPr>
        <w:t xml:space="preserve"> </w:t>
      </w:r>
      <w:r>
        <w:rPr>
          <w:b/>
          <w:sz w:val="20"/>
          <w:u w:val="single"/>
        </w:rPr>
        <w:t>tema.</w:t>
      </w:r>
      <w:r>
        <w:rPr>
          <w:b/>
          <w:sz w:val="20"/>
        </w:rPr>
        <w:t xml:space="preserve"> </w:t>
      </w:r>
      <w:r>
        <w:rPr>
          <w:sz w:val="20"/>
        </w:rPr>
        <w:t xml:space="preserve">8. Recurso especial não provido. </w:t>
      </w:r>
      <w:r>
        <w:rPr>
          <w:b/>
          <w:sz w:val="20"/>
          <w:u w:val="single"/>
        </w:rPr>
        <w:t>Acórdão submetido ao regime do</w:t>
      </w:r>
      <w:r>
        <w:rPr>
          <w:b/>
          <w:sz w:val="20"/>
        </w:rPr>
        <w:t xml:space="preserve"> </w:t>
      </w:r>
      <w:r>
        <w:rPr>
          <w:b/>
          <w:sz w:val="20"/>
          <w:u w:val="single"/>
        </w:rPr>
        <w:t>artigo 543-C, do CPC</w:t>
      </w:r>
      <w:r>
        <w:rPr>
          <w:sz w:val="20"/>
        </w:rPr>
        <w:t>, e da Resolução STJ 08/2008. (STJ - REsp: 1251993 PR</w:t>
      </w:r>
      <w:r>
        <w:rPr>
          <w:spacing w:val="15"/>
          <w:sz w:val="20"/>
        </w:rPr>
        <w:t xml:space="preserve"> </w:t>
      </w:r>
      <w:r>
        <w:rPr>
          <w:sz w:val="20"/>
        </w:rPr>
        <w:t>2011/0100887-0,</w:t>
      </w:r>
      <w:r>
        <w:rPr>
          <w:spacing w:val="17"/>
          <w:sz w:val="20"/>
        </w:rPr>
        <w:t xml:space="preserve"> </w:t>
      </w:r>
      <w:r>
        <w:rPr>
          <w:sz w:val="20"/>
        </w:rPr>
        <w:t>Relator:</w:t>
      </w:r>
      <w:r>
        <w:rPr>
          <w:spacing w:val="17"/>
          <w:sz w:val="20"/>
        </w:rPr>
        <w:t xml:space="preserve"> </w:t>
      </w:r>
      <w:r>
        <w:rPr>
          <w:sz w:val="20"/>
        </w:rPr>
        <w:t>Ministro</w:t>
      </w:r>
      <w:r>
        <w:rPr>
          <w:spacing w:val="17"/>
          <w:sz w:val="20"/>
        </w:rPr>
        <w:t xml:space="preserve"> </w:t>
      </w:r>
      <w:r>
        <w:rPr>
          <w:sz w:val="20"/>
        </w:rPr>
        <w:t>MAURO</w:t>
      </w:r>
      <w:r>
        <w:rPr>
          <w:spacing w:val="19"/>
          <w:sz w:val="20"/>
        </w:rPr>
        <w:t xml:space="preserve"> </w:t>
      </w:r>
      <w:r>
        <w:rPr>
          <w:sz w:val="20"/>
        </w:rPr>
        <w:t>CAMPBELL</w:t>
      </w:r>
      <w:r>
        <w:rPr>
          <w:spacing w:val="15"/>
          <w:sz w:val="20"/>
        </w:rPr>
        <w:t xml:space="preserve"> </w:t>
      </w:r>
      <w:r>
        <w:rPr>
          <w:spacing w:val="-2"/>
          <w:sz w:val="20"/>
        </w:rPr>
        <w:t>MARQUES,</w:t>
      </w:r>
    </w:p>
    <w:p w:rsidR="007259F2" w:rsidRDefault="00E655B4">
      <w:pPr>
        <w:spacing w:before="2"/>
        <w:ind w:left="2978" w:right="992"/>
        <w:jc w:val="both"/>
        <w:rPr>
          <w:sz w:val="20"/>
        </w:rPr>
      </w:pPr>
      <w:r>
        <w:rPr>
          <w:sz w:val="20"/>
        </w:rPr>
        <w:t>Data de Julgamento: 12/12/2012, S1 - PRIMEIRA SEÇÃO, Data de Publicação: DJe 19/12/2012 REVPRO vol. 220 p.</w:t>
      </w:r>
      <w:r>
        <w:rPr>
          <w:spacing w:val="-1"/>
          <w:sz w:val="20"/>
        </w:rPr>
        <w:t xml:space="preserve"> </w:t>
      </w:r>
      <w:r>
        <w:rPr>
          <w:sz w:val="20"/>
        </w:rPr>
        <w:t>432 RIP vol. 77 p. 287 RT vol. 932 p. 721) (Grifo nosso)</w:t>
      </w:r>
    </w:p>
    <w:p w:rsidR="007259F2" w:rsidRDefault="007259F2">
      <w:pPr>
        <w:pStyle w:val="Corpodetexto"/>
        <w:ind w:left="0" w:firstLine="0"/>
        <w:jc w:val="left"/>
        <w:rPr>
          <w:sz w:val="20"/>
        </w:rPr>
      </w:pPr>
    </w:p>
    <w:p w:rsidR="007259F2" w:rsidRDefault="00E655B4">
      <w:pPr>
        <w:ind w:left="2978" w:right="988"/>
        <w:jc w:val="both"/>
        <w:rPr>
          <w:sz w:val="20"/>
        </w:rPr>
      </w:pPr>
      <w:r>
        <w:rPr>
          <w:sz w:val="20"/>
        </w:rPr>
        <w:t>PROCESSUAL CIVIL. AGRAVO INTERNO NO AGRAVO INTERNO</w:t>
      </w:r>
      <w:r>
        <w:rPr>
          <w:spacing w:val="40"/>
          <w:sz w:val="20"/>
        </w:rPr>
        <w:t xml:space="preserve"> </w:t>
      </w:r>
      <w:r>
        <w:rPr>
          <w:sz w:val="20"/>
        </w:rPr>
        <w:t xml:space="preserve">NO RECURSO ESPECIAL. </w:t>
      </w:r>
      <w:r>
        <w:rPr>
          <w:b/>
          <w:sz w:val="20"/>
        </w:rPr>
        <w:t>PRESCRIÇÃO INDENIZATÓRIA CONTRA A FAZENDA PÚBLICA. ART. 1º DO DECRETO N. 20.910/1932.</w:t>
      </w:r>
      <w:r>
        <w:rPr>
          <w:b/>
          <w:spacing w:val="-1"/>
          <w:sz w:val="20"/>
        </w:rPr>
        <w:t xml:space="preserve"> </w:t>
      </w:r>
      <w:r>
        <w:rPr>
          <w:b/>
          <w:sz w:val="20"/>
        </w:rPr>
        <w:t>TERMO</w:t>
      </w:r>
      <w:r>
        <w:rPr>
          <w:b/>
          <w:spacing w:val="2"/>
          <w:sz w:val="20"/>
        </w:rPr>
        <w:t xml:space="preserve"> </w:t>
      </w:r>
      <w:r>
        <w:rPr>
          <w:b/>
          <w:sz w:val="20"/>
        </w:rPr>
        <w:t>INICIAL.</w:t>
      </w:r>
      <w:r>
        <w:rPr>
          <w:b/>
          <w:spacing w:val="1"/>
          <w:sz w:val="20"/>
        </w:rPr>
        <w:t xml:space="preserve"> </w:t>
      </w:r>
      <w:r>
        <w:rPr>
          <w:b/>
          <w:sz w:val="20"/>
        </w:rPr>
        <w:t>PRINCÍPIO</w:t>
      </w:r>
      <w:r>
        <w:rPr>
          <w:b/>
          <w:spacing w:val="2"/>
          <w:sz w:val="20"/>
        </w:rPr>
        <w:t xml:space="preserve"> </w:t>
      </w:r>
      <w:r>
        <w:rPr>
          <w:b/>
          <w:sz w:val="20"/>
        </w:rPr>
        <w:t>DA</w:t>
      </w:r>
      <w:r>
        <w:rPr>
          <w:b/>
          <w:spacing w:val="1"/>
          <w:sz w:val="20"/>
        </w:rPr>
        <w:t xml:space="preserve"> </w:t>
      </w:r>
      <w:r>
        <w:rPr>
          <w:b/>
          <w:sz w:val="20"/>
        </w:rPr>
        <w:t>ACTIO</w:t>
      </w:r>
      <w:r>
        <w:rPr>
          <w:b/>
          <w:spacing w:val="2"/>
          <w:sz w:val="20"/>
        </w:rPr>
        <w:t xml:space="preserve"> </w:t>
      </w:r>
      <w:r>
        <w:rPr>
          <w:b/>
          <w:sz w:val="20"/>
        </w:rPr>
        <w:t>NATA</w:t>
      </w:r>
      <w:r>
        <w:rPr>
          <w:sz w:val="20"/>
        </w:rPr>
        <w:t>.</w:t>
      </w:r>
      <w:r>
        <w:rPr>
          <w:spacing w:val="1"/>
          <w:sz w:val="20"/>
        </w:rPr>
        <w:t xml:space="preserve"> </w:t>
      </w:r>
      <w:r>
        <w:rPr>
          <w:sz w:val="20"/>
        </w:rPr>
        <w:t>1.</w:t>
      </w:r>
      <w:r>
        <w:rPr>
          <w:spacing w:val="1"/>
          <w:sz w:val="20"/>
        </w:rPr>
        <w:t xml:space="preserve"> </w:t>
      </w:r>
      <w:r>
        <w:rPr>
          <w:spacing w:val="-4"/>
          <w:sz w:val="20"/>
        </w:rPr>
        <w:t>Esta</w:t>
      </w:r>
    </w:p>
    <w:p w:rsidR="007259F2" w:rsidRDefault="00E655B4">
      <w:pPr>
        <w:ind w:left="2978" w:right="989"/>
        <w:jc w:val="both"/>
        <w:rPr>
          <w:sz w:val="20"/>
        </w:rPr>
      </w:pPr>
      <w:r>
        <w:rPr>
          <w:sz w:val="20"/>
        </w:rPr>
        <w:t>Corte firmou compreensão segundo o qual o termo inicial do prazo prescricional para</w:t>
      </w:r>
      <w:r>
        <w:rPr>
          <w:spacing w:val="-2"/>
          <w:sz w:val="20"/>
        </w:rPr>
        <w:t xml:space="preserve"> </w:t>
      </w:r>
      <w:r>
        <w:rPr>
          <w:sz w:val="20"/>
        </w:rPr>
        <w:t>o ajuizamento de ação de indenização contra ato do</w:t>
      </w:r>
      <w:r>
        <w:rPr>
          <w:spacing w:val="-1"/>
          <w:sz w:val="20"/>
        </w:rPr>
        <w:t xml:space="preserve"> </w:t>
      </w:r>
      <w:r>
        <w:rPr>
          <w:sz w:val="20"/>
        </w:rPr>
        <w:t>Estado ocorre no momento em que constatada a lesão e os seus efeitos, conforme o princípio da actio nata. 2. Conclui-se que o descumprimento da medida liminar pelo Estado é o ato do qual se originou lesão ao direito dos</w:t>
      </w:r>
      <w:r>
        <w:rPr>
          <w:spacing w:val="40"/>
          <w:sz w:val="20"/>
        </w:rPr>
        <w:t xml:space="preserve"> </w:t>
      </w:r>
      <w:r>
        <w:rPr>
          <w:sz w:val="20"/>
        </w:rPr>
        <w:t>agravados. Tendo em vista que o descumprimento da liminar se deu em 05/12/1990 e a ação foi ajuizada em 2003, verifica-se a ocorrência da prescrição. 3. Agravo interno não provido. (STJ - AgInt no AgInt no REsp: 1630163</w:t>
      </w:r>
      <w:r>
        <w:rPr>
          <w:spacing w:val="-4"/>
          <w:sz w:val="20"/>
        </w:rPr>
        <w:t xml:space="preserve"> </w:t>
      </w:r>
      <w:r>
        <w:rPr>
          <w:sz w:val="20"/>
        </w:rPr>
        <w:t>PR</w:t>
      </w:r>
      <w:r>
        <w:rPr>
          <w:spacing w:val="-5"/>
          <w:sz w:val="20"/>
        </w:rPr>
        <w:t xml:space="preserve"> </w:t>
      </w:r>
      <w:r>
        <w:rPr>
          <w:sz w:val="20"/>
        </w:rPr>
        <w:t>2013/0337160-6,</w:t>
      </w:r>
      <w:r>
        <w:rPr>
          <w:spacing w:val="-1"/>
          <w:sz w:val="20"/>
        </w:rPr>
        <w:t xml:space="preserve"> </w:t>
      </w:r>
      <w:r>
        <w:rPr>
          <w:sz w:val="20"/>
        </w:rPr>
        <w:t>Relator:</w:t>
      </w:r>
      <w:r>
        <w:rPr>
          <w:spacing w:val="-3"/>
          <w:sz w:val="20"/>
        </w:rPr>
        <w:t xml:space="preserve"> </w:t>
      </w:r>
      <w:r>
        <w:rPr>
          <w:sz w:val="20"/>
        </w:rPr>
        <w:t>Ministro</w:t>
      </w:r>
      <w:r>
        <w:rPr>
          <w:spacing w:val="-2"/>
          <w:sz w:val="20"/>
        </w:rPr>
        <w:t xml:space="preserve"> </w:t>
      </w:r>
      <w:r>
        <w:rPr>
          <w:sz w:val="20"/>
        </w:rPr>
        <w:t>BENEDITO</w:t>
      </w:r>
      <w:r>
        <w:rPr>
          <w:spacing w:val="-2"/>
          <w:sz w:val="20"/>
        </w:rPr>
        <w:t xml:space="preserve"> GONÇALVES,</w:t>
      </w:r>
    </w:p>
    <w:p w:rsidR="007259F2" w:rsidRDefault="00E655B4">
      <w:pPr>
        <w:spacing w:before="1"/>
        <w:ind w:left="2978" w:right="988"/>
        <w:jc w:val="both"/>
        <w:rPr>
          <w:sz w:val="20"/>
        </w:rPr>
      </w:pPr>
      <w:r>
        <w:rPr>
          <w:sz w:val="20"/>
        </w:rPr>
        <w:t>Data de Julgamento: 28/09/2017, T1 - PRIMEIRA TURMA, Data de Publicação: DJe 16/10/2017)</w:t>
      </w:r>
    </w:p>
    <w:p w:rsidR="007259F2" w:rsidRDefault="00E655B4">
      <w:pPr>
        <w:pStyle w:val="Corpodetexto"/>
        <w:spacing w:before="227"/>
        <w:ind w:right="993"/>
      </w:pPr>
      <w:r>
        <w:t xml:space="preserve">Destaca-se que o STJ admite que o início dos prazos prescricionais deve ocorrer a partir do conhecimento inequívoco da lesão ou violação do direito nos casos em que envolvam ilícitos oriundos da responsabilidade civil extracontratual, o que ficou conhecido como viés subjetivo da Teoria </w:t>
      </w:r>
      <w:r>
        <w:rPr>
          <w:i/>
        </w:rPr>
        <w:t>actio nata</w:t>
      </w:r>
      <w:r>
        <w:t>.</w:t>
      </w:r>
    </w:p>
    <w:p w:rsidR="007259F2" w:rsidRDefault="007259F2">
      <w:pPr>
        <w:pStyle w:val="Corpodetexto"/>
        <w:sectPr w:rsidR="007259F2">
          <w:pgSz w:w="11910" w:h="16840"/>
          <w:pgMar w:top="1320" w:right="708" w:bottom="1160" w:left="992" w:header="0" w:footer="962" w:gutter="0"/>
          <w:cols w:space="720"/>
        </w:sectPr>
      </w:pPr>
    </w:p>
    <w:p w:rsidR="007259F2" w:rsidRDefault="00E655B4">
      <w:pPr>
        <w:spacing w:before="71"/>
        <w:ind w:left="2978" w:right="989"/>
        <w:jc w:val="both"/>
        <w:rPr>
          <w:sz w:val="20"/>
        </w:rPr>
      </w:pPr>
      <w:r>
        <w:rPr>
          <w:sz w:val="20"/>
        </w:rPr>
        <w:lastRenderedPageBreak/>
        <w:t>(...) segundo a vertente subjetiva da actio nata, a contagem do prazo prescricional exige a efetiva inércia do titular do direito, a qual somente se verifica diante da inexistência de óbices ao exercício da pretensão e a partir</w:t>
      </w:r>
      <w:r>
        <w:rPr>
          <w:spacing w:val="40"/>
          <w:sz w:val="20"/>
        </w:rPr>
        <w:t xml:space="preserve"> </w:t>
      </w:r>
      <w:r>
        <w:rPr>
          <w:sz w:val="20"/>
        </w:rPr>
        <w:t>do momento em que o titular tem CIÊNCIA INEQUÍVOCA DO DANO, DE SUA</w:t>
      </w:r>
      <w:r>
        <w:rPr>
          <w:spacing w:val="-5"/>
          <w:sz w:val="20"/>
        </w:rPr>
        <w:t xml:space="preserve"> </w:t>
      </w:r>
      <w:r>
        <w:rPr>
          <w:sz w:val="20"/>
        </w:rPr>
        <w:t>EXTENSÃO,</w:t>
      </w:r>
      <w:r>
        <w:rPr>
          <w:spacing w:val="-3"/>
          <w:sz w:val="20"/>
        </w:rPr>
        <w:t xml:space="preserve"> </w:t>
      </w:r>
      <w:r>
        <w:rPr>
          <w:sz w:val="20"/>
        </w:rPr>
        <w:t>e</w:t>
      </w:r>
      <w:r>
        <w:rPr>
          <w:spacing w:val="-1"/>
          <w:sz w:val="20"/>
        </w:rPr>
        <w:t xml:space="preserve"> </w:t>
      </w:r>
      <w:r>
        <w:rPr>
          <w:sz w:val="20"/>
        </w:rPr>
        <w:t>da</w:t>
      </w:r>
      <w:r>
        <w:rPr>
          <w:spacing w:val="-3"/>
          <w:sz w:val="20"/>
        </w:rPr>
        <w:t xml:space="preserve"> </w:t>
      </w:r>
      <w:r>
        <w:rPr>
          <w:sz w:val="20"/>
        </w:rPr>
        <w:t>autoria</w:t>
      </w:r>
      <w:r>
        <w:rPr>
          <w:spacing w:val="-3"/>
          <w:sz w:val="20"/>
        </w:rPr>
        <w:t xml:space="preserve"> </w:t>
      </w:r>
      <w:r>
        <w:rPr>
          <w:sz w:val="20"/>
        </w:rPr>
        <w:t>da</w:t>
      </w:r>
      <w:r>
        <w:rPr>
          <w:spacing w:val="-3"/>
          <w:sz w:val="20"/>
        </w:rPr>
        <w:t xml:space="preserve"> </w:t>
      </w:r>
      <w:r>
        <w:rPr>
          <w:sz w:val="20"/>
        </w:rPr>
        <w:t>lesão (STJ.</w:t>
      </w:r>
      <w:r>
        <w:rPr>
          <w:spacing w:val="-3"/>
          <w:sz w:val="20"/>
        </w:rPr>
        <w:t xml:space="preserve"> </w:t>
      </w:r>
      <w:r>
        <w:rPr>
          <w:sz w:val="20"/>
        </w:rPr>
        <w:t>3ª</w:t>
      </w:r>
      <w:r>
        <w:rPr>
          <w:spacing w:val="-5"/>
          <w:sz w:val="20"/>
        </w:rPr>
        <w:t xml:space="preserve"> </w:t>
      </w:r>
      <w:r>
        <w:rPr>
          <w:sz w:val="20"/>
        </w:rPr>
        <w:t>Turma. REsp</w:t>
      </w:r>
      <w:r>
        <w:rPr>
          <w:spacing w:val="-2"/>
          <w:sz w:val="20"/>
        </w:rPr>
        <w:t xml:space="preserve"> </w:t>
      </w:r>
      <w:r>
        <w:rPr>
          <w:sz w:val="20"/>
        </w:rPr>
        <w:t>1.736.091/PE, Rel. Min. Nancy Andrighi, julgado em 14/05/2019).</w:t>
      </w:r>
    </w:p>
    <w:p w:rsidR="007259F2" w:rsidRDefault="007259F2">
      <w:pPr>
        <w:pStyle w:val="Corpodetexto"/>
        <w:ind w:left="0" w:firstLine="0"/>
        <w:jc w:val="left"/>
        <w:rPr>
          <w:sz w:val="20"/>
        </w:rPr>
      </w:pPr>
    </w:p>
    <w:p w:rsidR="007259F2" w:rsidRDefault="00E655B4">
      <w:pPr>
        <w:spacing w:before="1"/>
        <w:ind w:left="2978" w:right="990"/>
        <w:jc w:val="both"/>
        <w:rPr>
          <w:sz w:val="20"/>
        </w:rPr>
      </w:pPr>
      <w:r>
        <w:rPr>
          <w:sz w:val="20"/>
        </w:rPr>
        <w:t>PROCESSUAL CIVIL. RECURSO ESPECIAL. DANOS MORAIS E MATERIAIS.</w:t>
      </w:r>
      <w:r>
        <w:rPr>
          <w:spacing w:val="29"/>
          <w:sz w:val="20"/>
        </w:rPr>
        <w:t xml:space="preserve"> </w:t>
      </w:r>
      <w:r>
        <w:rPr>
          <w:sz w:val="20"/>
        </w:rPr>
        <w:t>TERMO</w:t>
      </w:r>
      <w:r>
        <w:rPr>
          <w:spacing w:val="30"/>
          <w:sz w:val="20"/>
        </w:rPr>
        <w:t xml:space="preserve"> </w:t>
      </w:r>
      <w:r>
        <w:rPr>
          <w:sz w:val="20"/>
        </w:rPr>
        <w:t>INICIAL</w:t>
      </w:r>
      <w:r>
        <w:rPr>
          <w:spacing w:val="31"/>
          <w:sz w:val="20"/>
        </w:rPr>
        <w:t xml:space="preserve"> </w:t>
      </w:r>
      <w:r>
        <w:rPr>
          <w:sz w:val="20"/>
        </w:rPr>
        <w:t>DA</w:t>
      </w:r>
      <w:r>
        <w:rPr>
          <w:spacing w:val="28"/>
          <w:sz w:val="20"/>
        </w:rPr>
        <w:t xml:space="preserve"> </w:t>
      </w:r>
      <w:r>
        <w:rPr>
          <w:sz w:val="20"/>
        </w:rPr>
        <w:t>PRETENSÃO</w:t>
      </w:r>
      <w:r>
        <w:rPr>
          <w:spacing w:val="30"/>
          <w:sz w:val="20"/>
        </w:rPr>
        <w:t xml:space="preserve"> </w:t>
      </w:r>
      <w:r>
        <w:rPr>
          <w:sz w:val="20"/>
        </w:rPr>
        <w:t>INDENIZA-</w:t>
      </w:r>
      <w:r>
        <w:rPr>
          <w:spacing w:val="28"/>
          <w:sz w:val="20"/>
        </w:rPr>
        <w:t xml:space="preserve"> </w:t>
      </w:r>
      <w:r>
        <w:rPr>
          <w:spacing w:val="-2"/>
          <w:sz w:val="20"/>
        </w:rPr>
        <w:t>TÓRIA.</w:t>
      </w:r>
    </w:p>
    <w:p w:rsidR="007259F2" w:rsidRDefault="00E655B4">
      <w:pPr>
        <w:ind w:left="2978" w:right="987"/>
        <w:jc w:val="both"/>
        <w:rPr>
          <w:sz w:val="20"/>
        </w:rPr>
      </w:pPr>
      <w:r>
        <w:rPr>
          <w:sz w:val="20"/>
        </w:rPr>
        <w:t>PRINCÍPIO DA ACTIO NATA. 1. Cuida-se, na origem, de Ação Indenizatória ajuizada pela parte ora recorrente, com o objetivo de obter reparação pelos danos morais, materiais e am- bientais, ocasionados pela implantação da Hidrelétrica de Es- treito, sob o fundamento de que é</w:t>
      </w:r>
      <w:r>
        <w:rPr>
          <w:spacing w:val="40"/>
          <w:sz w:val="20"/>
        </w:rPr>
        <w:t xml:space="preserve"> </w:t>
      </w:r>
      <w:r>
        <w:rPr>
          <w:sz w:val="20"/>
        </w:rPr>
        <w:t xml:space="preserve">pescador profissional e sofreu bastante com a diminuição da população de peixes. 2. </w:t>
      </w:r>
      <w:r>
        <w:rPr>
          <w:b/>
          <w:sz w:val="20"/>
        </w:rPr>
        <w:t xml:space="preserve">O STJ possui entendimento dominante no sentido de que o termo inicial da pretensão indenizatória tem início a partir da ciên- cia inequívoca dos efeitos decorrentes do ato lesivo, nos termos do princípio da actio nata. </w:t>
      </w:r>
      <w:r>
        <w:rPr>
          <w:sz w:val="20"/>
        </w:rPr>
        <w:t>Precedentes: AgInt no REsp 1.740.239/MA, Rel. Ministro</w:t>
      </w:r>
      <w:r>
        <w:rPr>
          <w:spacing w:val="40"/>
          <w:sz w:val="20"/>
        </w:rPr>
        <w:t xml:space="preserve"> </w:t>
      </w:r>
      <w:r>
        <w:rPr>
          <w:sz w:val="20"/>
        </w:rPr>
        <w:t>Luis Felipe Salomão, Quarta Turma, DJe 28/8/2018; STJ, AgRg no AREsp 531.654/RS, Rel. Ministro Sérgio Kukina, Primeira Turma, DJe de</w:t>
      </w:r>
      <w:r>
        <w:rPr>
          <w:spacing w:val="40"/>
          <w:sz w:val="20"/>
        </w:rPr>
        <w:t xml:space="preserve"> </w:t>
      </w:r>
      <w:r>
        <w:rPr>
          <w:sz w:val="20"/>
        </w:rPr>
        <w:t>13/3/2015; STJ, AgInt no REsp 1.681.411/PR, Rel. Ministra Regina Helena Costa, Pri- meira Turma, DJe de 15/12/2017. 3. Recurso Especial não pro- vido. (STJ - REsp: 1797615 MA 2019/0041999-9, Relator: Ministro HERMAN BENJAMIN, Data de Julgamento: 10/12/2019, T2 - SEGUNDA TURMA, Data de Publicação: DJe 25/05/2020)</w:t>
      </w:r>
    </w:p>
    <w:p w:rsidR="007259F2" w:rsidRDefault="00E655B4">
      <w:pPr>
        <w:pStyle w:val="Corpodetexto"/>
        <w:spacing w:before="230"/>
        <w:ind w:right="990"/>
      </w:pPr>
      <w:r>
        <w:t>Com efeito, pelo viés subjetivo, o início do prazo prescricional só se dá quando</w:t>
      </w:r>
      <w:r>
        <w:rPr>
          <w:spacing w:val="80"/>
        </w:rPr>
        <w:t xml:space="preserve"> </w:t>
      </w:r>
      <w:r>
        <w:t>o titular do direto possui plena ciência do dano e de sua extensão, visto que somente a partir desse momento é que, pela lógica, poderia lhe imputar o ônus por eventual</w:t>
      </w:r>
      <w:r>
        <w:rPr>
          <w:spacing w:val="40"/>
        </w:rPr>
        <w:t xml:space="preserve"> </w:t>
      </w:r>
      <w:r>
        <w:t>inércia, traduzindo-se na prescrição.</w:t>
      </w:r>
    </w:p>
    <w:p w:rsidR="007259F2" w:rsidRDefault="00E655B4">
      <w:pPr>
        <w:pStyle w:val="Corpodetexto"/>
        <w:ind w:right="995"/>
      </w:pPr>
      <w:r>
        <w:t>No caso em análise, a ação principal transitou em julgado em janeiro de 2010, nascendo ali, um direito subjetivo, o qual carece de exigibilidade, seja pela ausência de requisito essencial para ação de regresso (art. 934, CC), isto é, a comprovação do pagamento, seja pela ausência de conhecimento do dano e de sua extensão.</w:t>
      </w:r>
    </w:p>
    <w:p w:rsidR="007259F2" w:rsidRDefault="00E655B4">
      <w:pPr>
        <w:spacing w:before="5"/>
        <w:ind w:left="710" w:right="989" w:firstLine="707"/>
        <w:jc w:val="both"/>
        <w:rPr>
          <w:sz w:val="24"/>
        </w:rPr>
      </w:pPr>
      <w:r>
        <w:rPr>
          <w:b/>
          <w:sz w:val="24"/>
        </w:rPr>
        <w:t>Adotar o trânsito em julgado da fase de conhecimento como marco inicial</w:t>
      </w:r>
      <w:r>
        <w:rPr>
          <w:b/>
          <w:spacing w:val="40"/>
          <w:sz w:val="24"/>
        </w:rPr>
        <w:t xml:space="preserve"> </w:t>
      </w:r>
      <w:r>
        <w:rPr>
          <w:b/>
          <w:sz w:val="24"/>
        </w:rPr>
        <w:t>da prescrição levaria à hipótese de se postular em juízo o ressarcimento de um dano cuja ocorrência e extensão não são inequívocas</w:t>
      </w:r>
      <w:r>
        <w:rPr>
          <w:sz w:val="24"/>
        </w:rPr>
        <w:t>, pois é possível que o</w:t>
      </w:r>
      <w:r>
        <w:rPr>
          <w:spacing w:val="40"/>
          <w:sz w:val="24"/>
        </w:rPr>
        <w:t xml:space="preserve"> </w:t>
      </w:r>
      <w:r>
        <w:rPr>
          <w:sz w:val="24"/>
        </w:rPr>
        <w:t>particular, por uma razão qualquer, não execute a condenação (hipótese de falecimento do autor sem que deixe herdeiros, por exemplo) ou, até mesmo, renuncie a parte do débito (a fim de viabilizar o recebimento da quantia em menor tempo, através de RPV, por exemplo).</w:t>
      </w:r>
    </w:p>
    <w:p w:rsidR="007259F2" w:rsidRDefault="00E655B4">
      <w:pPr>
        <w:pStyle w:val="Corpodetexto"/>
        <w:ind w:right="989"/>
      </w:pPr>
      <w:r>
        <w:t>Nesse panorama, poderia a Fazenda Municipal, em ação regressiva, pretender se ver ressarcida da integralidade do valor condenatório, porquanto, na ocorrência de alguma das possibilidades citadas, estaria dando azo ao enriquecimento sem causa do Estado. Isso porque estaria recebendo do terceiro devedor valor que se quer pagou, considerando</w:t>
      </w:r>
      <w:r>
        <w:rPr>
          <w:spacing w:val="-1"/>
        </w:rPr>
        <w:t xml:space="preserve"> </w:t>
      </w:r>
      <w:r>
        <w:t>que o</w:t>
      </w:r>
      <w:r>
        <w:rPr>
          <w:spacing w:val="1"/>
        </w:rPr>
        <w:t xml:space="preserve"> </w:t>
      </w:r>
      <w:r>
        <w:t>pagamento</w:t>
      </w:r>
      <w:r>
        <w:rPr>
          <w:spacing w:val="1"/>
        </w:rPr>
        <w:t xml:space="preserve"> </w:t>
      </w:r>
      <w:r>
        <w:t>de</w:t>
      </w:r>
      <w:r>
        <w:rPr>
          <w:spacing w:val="1"/>
        </w:rPr>
        <w:t xml:space="preserve"> </w:t>
      </w:r>
      <w:r>
        <w:t>precatórios</w:t>
      </w:r>
      <w:r>
        <w:rPr>
          <w:spacing w:val="1"/>
        </w:rPr>
        <w:t xml:space="preserve"> </w:t>
      </w:r>
      <w:r>
        <w:t>costuma ultrapassar</w:t>
      </w:r>
      <w:r>
        <w:rPr>
          <w:spacing w:val="-1"/>
        </w:rPr>
        <w:t xml:space="preserve"> </w:t>
      </w:r>
      <w:r>
        <w:t>o</w:t>
      </w:r>
      <w:r>
        <w:rPr>
          <w:spacing w:val="1"/>
        </w:rPr>
        <w:t xml:space="preserve"> </w:t>
      </w:r>
      <w:r>
        <w:t>prazo</w:t>
      </w:r>
      <w:r>
        <w:rPr>
          <w:spacing w:val="4"/>
        </w:rPr>
        <w:t xml:space="preserve"> </w:t>
      </w:r>
      <w:r>
        <w:rPr>
          <w:spacing w:val="-2"/>
        </w:rPr>
        <w:t>prescricional,</w:t>
      </w:r>
    </w:p>
    <w:p w:rsidR="007259F2" w:rsidRDefault="00E655B4">
      <w:pPr>
        <w:pStyle w:val="Corpodetexto"/>
        <w:ind w:firstLine="0"/>
      </w:pPr>
      <w:r>
        <w:t>o</w:t>
      </w:r>
      <w:r>
        <w:rPr>
          <w:spacing w:val="3"/>
        </w:rPr>
        <w:t xml:space="preserve"> </w:t>
      </w:r>
      <w:r>
        <w:t>que</w:t>
      </w:r>
      <w:r>
        <w:rPr>
          <w:spacing w:val="5"/>
        </w:rPr>
        <w:t xml:space="preserve"> </w:t>
      </w:r>
      <w:r>
        <w:t>justifica</w:t>
      </w:r>
      <w:r>
        <w:rPr>
          <w:spacing w:val="4"/>
        </w:rPr>
        <w:t xml:space="preserve"> </w:t>
      </w:r>
      <w:r>
        <w:t>o</w:t>
      </w:r>
      <w:r>
        <w:rPr>
          <w:spacing w:val="6"/>
        </w:rPr>
        <w:t xml:space="preserve"> </w:t>
      </w:r>
      <w:r>
        <w:t>surgimento</w:t>
      </w:r>
      <w:r>
        <w:rPr>
          <w:spacing w:val="6"/>
        </w:rPr>
        <w:t xml:space="preserve"> </w:t>
      </w:r>
      <w:r>
        <w:t>da</w:t>
      </w:r>
      <w:r>
        <w:rPr>
          <w:spacing w:val="5"/>
        </w:rPr>
        <w:t xml:space="preserve"> </w:t>
      </w:r>
      <w:r>
        <w:t>pretensão</w:t>
      </w:r>
      <w:r>
        <w:rPr>
          <w:spacing w:val="5"/>
        </w:rPr>
        <w:t xml:space="preserve"> </w:t>
      </w:r>
      <w:r>
        <w:t>regressiva</w:t>
      </w:r>
      <w:r>
        <w:rPr>
          <w:spacing w:val="6"/>
        </w:rPr>
        <w:t xml:space="preserve"> </w:t>
      </w:r>
      <w:r>
        <w:t>apenas</w:t>
      </w:r>
      <w:r>
        <w:rPr>
          <w:spacing w:val="6"/>
        </w:rPr>
        <w:t xml:space="preserve"> </w:t>
      </w:r>
      <w:r>
        <w:t>quando</w:t>
      </w:r>
      <w:r>
        <w:rPr>
          <w:spacing w:val="5"/>
        </w:rPr>
        <w:t xml:space="preserve"> </w:t>
      </w:r>
      <w:r>
        <w:t>de</w:t>
      </w:r>
      <w:r>
        <w:rPr>
          <w:spacing w:val="5"/>
        </w:rPr>
        <w:t xml:space="preserve"> </w:t>
      </w:r>
      <w:r>
        <w:t>fato</w:t>
      </w:r>
      <w:r>
        <w:rPr>
          <w:spacing w:val="9"/>
        </w:rPr>
        <w:t xml:space="preserve"> </w:t>
      </w:r>
      <w:r>
        <w:rPr>
          <w:spacing w:val="-2"/>
        </w:rPr>
        <w:t>estabelecido</w:t>
      </w:r>
    </w:p>
    <w:p w:rsidR="007259F2" w:rsidRDefault="00E655B4">
      <w:pPr>
        <w:pStyle w:val="Corpodetexto"/>
        <w:ind w:firstLine="0"/>
      </w:pPr>
      <w:r>
        <w:t>o</w:t>
      </w:r>
      <w:r>
        <w:rPr>
          <w:spacing w:val="-3"/>
        </w:rPr>
        <w:t xml:space="preserve"> </w:t>
      </w:r>
      <w:r>
        <w:t>juízo</w:t>
      </w:r>
      <w:r>
        <w:rPr>
          <w:spacing w:val="-1"/>
        </w:rPr>
        <w:t xml:space="preserve"> </w:t>
      </w:r>
      <w:r>
        <w:t>de</w:t>
      </w:r>
      <w:r>
        <w:rPr>
          <w:spacing w:val="-2"/>
        </w:rPr>
        <w:t xml:space="preserve"> </w:t>
      </w:r>
      <w:r>
        <w:t>certeza</w:t>
      </w:r>
      <w:r>
        <w:rPr>
          <w:spacing w:val="-2"/>
        </w:rPr>
        <w:t xml:space="preserve"> </w:t>
      </w:r>
      <w:r>
        <w:t>com</w:t>
      </w:r>
      <w:r>
        <w:rPr>
          <w:spacing w:val="-1"/>
        </w:rPr>
        <w:t xml:space="preserve"> </w:t>
      </w:r>
      <w:r>
        <w:t>relação</w:t>
      </w:r>
      <w:r>
        <w:rPr>
          <w:spacing w:val="-1"/>
        </w:rPr>
        <w:t xml:space="preserve"> </w:t>
      </w:r>
      <w:r>
        <w:t>ao</w:t>
      </w:r>
      <w:r>
        <w:rPr>
          <w:spacing w:val="1"/>
        </w:rPr>
        <w:t xml:space="preserve"> </w:t>
      </w:r>
      <w:r>
        <w:rPr>
          <w:i/>
        </w:rPr>
        <w:t>quantum</w:t>
      </w:r>
      <w:r>
        <w:rPr>
          <w:i/>
          <w:spacing w:val="1"/>
        </w:rPr>
        <w:t xml:space="preserve"> </w:t>
      </w:r>
      <w:r>
        <w:t>a</w:t>
      </w:r>
      <w:r>
        <w:rPr>
          <w:spacing w:val="-2"/>
        </w:rPr>
        <w:t xml:space="preserve"> </w:t>
      </w:r>
      <w:r>
        <w:t>ser</w:t>
      </w:r>
      <w:r>
        <w:rPr>
          <w:spacing w:val="-3"/>
        </w:rPr>
        <w:t xml:space="preserve"> </w:t>
      </w:r>
      <w:r>
        <w:t>pago.</w:t>
      </w:r>
      <w:r>
        <w:rPr>
          <w:spacing w:val="1"/>
        </w:rPr>
        <w:t xml:space="preserve"> </w:t>
      </w:r>
      <w:r>
        <w:t xml:space="preserve">Nesse </w:t>
      </w:r>
      <w:r>
        <w:rPr>
          <w:spacing w:val="-2"/>
        </w:rPr>
        <w:t>sentido:</w:t>
      </w:r>
    </w:p>
    <w:p w:rsidR="007259F2" w:rsidRDefault="00E655B4">
      <w:pPr>
        <w:spacing w:before="273"/>
        <w:ind w:left="2978" w:right="992"/>
        <w:jc w:val="both"/>
        <w:rPr>
          <w:sz w:val="20"/>
        </w:rPr>
      </w:pPr>
      <w:r>
        <w:rPr>
          <w:sz w:val="20"/>
        </w:rPr>
        <w:t>ADMINISTRATIVO E CONSTITUCIONAL. RESPONSABILI- DADE CIVIL DO ESTADO. AÇÃO REGRESSIVA. DIES A QUO DE INCIDÊNCIA DO PRAZO PRESCRICIONAL: CONCRETO E EFETIVO PAGAMENTO,</w:t>
      </w:r>
      <w:r>
        <w:rPr>
          <w:spacing w:val="-3"/>
          <w:sz w:val="20"/>
        </w:rPr>
        <w:t xml:space="preserve"> </w:t>
      </w:r>
      <w:r>
        <w:rPr>
          <w:sz w:val="20"/>
        </w:rPr>
        <w:t>PELO</w:t>
      </w:r>
      <w:r>
        <w:rPr>
          <w:spacing w:val="-3"/>
          <w:sz w:val="20"/>
        </w:rPr>
        <w:t xml:space="preserve"> </w:t>
      </w:r>
      <w:r>
        <w:rPr>
          <w:sz w:val="20"/>
        </w:rPr>
        <w:t>ESTADO,</w:t>
      </w:r>
      <w:r>
        <w:rPr>
          <w:spacing w:val="-3"/>
          <w:sz w:val="20"/>
        </w:rPr>
        <w:t xml:space="preserve"> </w:t>
      </w:r>
      <w:r>
        <w:rPr>
          <w:sz w:val="20"/>
        </w:rPr>
        <w:t>DO</w:t>
      </w:r>
      <w:r>
        <w:rPr>
          <w:spacing w:val="-3"/>
          <w:sz w:val="20"/>
        </w:rPr>
        <w:t xml:space="preserve"> </w:t>
      </w:r>
      <w:r>
        <w:rPr>
          <w:sz w:val="20"/>
        </w:rPr>
        <w:t>VALOR</w:t>
      </w:r>
      <w:r>
        <w:rPr>
          <w:spacing w:val="-1"/>
          <w:sz w:val="20"/>
        </w:rPr>
        <w:t xml:space="preserve"> </w:t>
      </w:r>
      <w:r>
        <w:rPr>
          <w:sz w:val="20"/>
        </w:rPr>
        <w:t>A</w:t>
      </w:r>
      <w:r>
        <w:rPr>
          <w:spacing w:val="-5"/>
          <w:sz w:val="20"/>
        </w:rPr>
        <w:t xml:space="preserve"> </w:t>
      </w:r>
      <w:r>
        <w:rPr>
          <w:sz w:val="20"/>
        </w:rPr>
        <w:t>QUE</w:t>
      </w:r>
      <w:r>
        <w:rPr>
          <w:spacing w:val="1"/>
          <w:sz w:val="20"/>
        </w:rPr>
        <w:t xml:space="preserve"> </w:t>
      </w:r>
      <w:r>
        <w:rPr>
          <w:sz w:val="20"/>
        </w:rPr>
        <w:t>FOI</w:t>
      </w:r>
      <w:r>
        <w:rPr>
          <w:spacing w:val="-2"/>
          <w:sz w:val="20"/>
        </w:rPr>
        <w:t xml:space="preserve"> CONDENADO.</w:t>
      </w:r>
    </w:p>
    <w:p w:rsidR="007259F2" w:rsidRDefault="00E655B4">
      <w:pPr>
        <w:ind w:left="2978" w:right="995"/>
        <w:jc w:val="both"/>
        <w:rPr>
          <w:sz w:val="20"/>
        </w:rPr>
      </w:pPr>
      <w:r>
        <w:rPr>
          <w:sz w:val="20"/>
        </w:rPr>
        <w:t>Não</w:t>
      </w:r>
      <w:r>
        <w:rPr>
          <w:spacing w:val="-2"/>
          <w:sz w:val="20"/>
        </w:rPr>
        <w:t xml:space="preserve"> </w:t>
      </w:r>
      <w:r>
        <w:rPr>
          <w:sz w:val="20"/>
        </w:rPr>
        <w:t>há</w:t>
      </w:r>
      <w:r>
        <w:rPr>
          <w:spacing w:val="-3"/>
          <w:sz w:val="20"/>
        </w:rPr>
        <w:t xml:space="preserve"> </w:t>
      </w:r>
      <w:r>
        <w:rPr>
          <w:sz w:val="20"/>
        </w:rPr>
        <w:t>que</w:t>
      </w:r>
      <w:r>
        <w:rPr>
          <w:spacing w:val="-1"/>
          <w:sz w:val="20"/>
        </w:rPr>
        <w:t xml:space="preserve"> </w:t>
      </w:r>
      <w:r>
        <w:rPr>
          <w:sz w:val="20"/>
        </w:rPr>
        <w:t>se</w:t>
      </w:r>
      <w:r>
        <w:rPr>
          <w:spacing w:val="-1"/>
          <w:sz w:val="20"/>
        </w:rPr>
        <w:t xml:space="preserve"> </w:t>
      </w:r>
      <w:r>
        <w:rPr>
          <w:sz w:val="20"/>
        </w:rPr>
        <w:t>falar em</w:t>
      </w:r>
      <w:r>
        <w:rPr>
          <w:spacing w:val="-5"/>
          <w:sz w:val="20"/>
        </w:rPr>
        <w:t xml:space="preserve"> </w:t>
      </w:r>
      <w:r>
        <w:rPr>
          <w:sz w:val="20"/>
        </w:rPr>
        <w:t>ação</w:t>
      </w:r>
      <w:r>
        <w:rPr>
          <w:spacing w:val="-2"/>
          <w:sz w:val="20"/>
        </w:rPr>
        <w:t xml:space="preserve"> </w:t>
      </w:r>
      <w:r>
        <w:rPr>
          <w:sz w:val="20"/>
        </w:rPr>
        <w:t>regressiva</w:t>
      </w:r>
      <w:r>
        <w:rPr>
          <w:spacing w:val="-1"/>
          <w:sz w:val="20"/>
        </w:rPr>
        <w:t xml:space="preserve"> </w:t>
      </w:r>
      <w:r>
        <w:rPr>
          <w:sz w:val="20"/>
        </w:rPr>
        <w:t>sem</w:t>
      </w:r>
      <w:r>
        <w:rPr>
          <w:spacing w:val="-5"/>
          <w:sz w:val="20"/>
        </w:rPr>
        <w:t xml:space="preserve"> </w:t>
      </w:r>
      <w:r>
        <w:rPr>
          <w:sz w:val="20"/>
        </w:rPr>
        <w:t>o</w:t>
      </w:r>
      <w:r>
        <w:rPr>
          <w:spacing w:val="-2"/>
          <w:sz w:val="20"/>
        </w:rPr>
        <w:t xml:space="preserve"> </w:t>
      </w:r>
      <w:r>
        <w:rPr>
          <w:sz w:val="20"/>
        </w:rPr>
        <w:t>ocorrer de</w:t>
      </w:r>
      <w:r>
        <w:rPr>
          <w:spacing w:val="-3"/>
          <w:sz w:val="20"/>
        </w:rPr>
        <w:t xml:space="preserve"> </w:t>
      </w:r>
      <w:r>
        <w:rPr>
          <w:sz w:val="20"/>
        </w:rPr>
        <w:t>um</w:t>
      </w:r>
      <w:r>
        <w:rPr>
          <w:spacing w:val="-5"/>
          <w:sz w:val="20"/>
        </w:rPr>
        <w:t xml:space="preserve"> </w:t>
      </w:r>
      <w:r>
        <w:rPr>
          <w:sz w:val="20"/>
        </w:rPr>
        <w:t>dano</w:t>
      </w:r>
      <w:r>
        <w:rPr>
          <w:spacing w:val="-2"/>
          <w:sz w:val="20"/>
        </w:rPr>
        <w:t xml:space="preserve"> </w:t>
      </w:r>
      <w:r>
        <w:rPr>
          <w:sz w:val="20"/>
        </w:rPr>
        <w:t>patrimonial concreto e efetivo. A decisão judicial, transita em julgado, nada obstante possa</w:t>
      </w:r>
      <w:r>
        <w:rPr>
          <w:spacing w:val="19"/>
          <w:sz w:val="20"/>
        </w:rPr>
        <w:t xml:space="preserve"> </w:t>
      </w:r>
      <w:r>
        <w:rPr>
          <w:sz w:val="20"/>
        </w:rPr>
        <w:t>refletir</w:t>
      </w:r>
      <w:r>
        <w:rPr>
          <w:spacing w:val="19"/>
          <w:sz w:val="20"/>
        </w:rPr>
        <w:t xml:space="preserve"> </w:t>
      </w:r>
      <w:r>
        <w:rPr>
          <w:sz w:val="20"/>
        </w:rPr>
        <w:t>um</w:t>
      </w:r>
      <w:r>
        <w:rPr>
          <w:spacing w:val="18"/>
          <w:sz w:val="20"/>
        </w:rPr>
        <w:t xml:space="preserve"> </w:t>
      </w:r>
      <w:r>
        <w:rPr>
          <w:sz w:val="20"/>
        </w:rPr>
        <w:t>tí-</w:t>
      </w:r>
      <w:r>
        <w:rPr>
          <w:spacing w:val="17"/>
          <w:sz w:val="20"/>
        </w:rPr>
        <w:t xml:space="preserve"> </w:t>
      </w:r>
      <w:r>
        <w:rPr>
          <w:sz w:val="20"/>
        </w:rPr>
        <w:t>tulo</w:t>
      </w:r>
      <w:r>
        <w:rPr>
          <w:spacing w:val="19"/>
          <w:sz w:val="20"/>
        </w:rPr>
        <w:t xml:space="preserve"> </w:t>
      </w:r>
      <w:r>
        <w:rPr>
          <w:sz w:val="20"/>
        </w:rPr>
        <w:t>executivo</w:t>
      </w:r>
      <w:r>
        <w:rPr>
          <w:spacing w:val="21"/>
          <w:sz w:val="20"/>
        </w:rPr>
        <w:t xml:space="preserve"> </w:t>
      </w:r>
      <w:r>
        <w:rPr>
          <w:sz w:val="20"/>
        </w:rPr>
        <w:t>para</w:t>
      </w:r>
      <w:r>
        <w:rPr>
          <w:spacing w:val="19"/>
          <w:sz w:val="20"/>
        </w:rPr>
        <w:t xml:space="preserve"> </w:t>
      </w:r>
      <w:r>
        <w:rPr>
          <w:sz w:val="20"/>
        </w:rPr>
        <w:t>o</w:t>
      </w:r>
      <w:r>
        <w:rPr>
          <w:spacing w:val="17"/>
          <w:sz w:val="20"/>
        </w:rPr>
        <w:t xml:space="preserve"> </w:t>
      </w:r>
      <w:r>
        <w:rPr>
          <w:sz w:val="20"/>
        </w:rPr>
        <w:t>Estado</w:t>
      </w:r>
      <w:r>
        <w:rPr>
          <w:spacing w:val="21"/>
          <w:sz w:val="20"/>
        </w:rPr>
        <w:t xml:space="preserve"> </w:t>
      </w:r>
      <w:r>
        <w:rPr>
          <w:sz w:val="20"/>
        </w:rPr>
        <w:t>cobrar</w:t>
      </w:r>
      <w:r>
        <w:rPr>
          <w:spacing w:val="15"/>
          <w:sz w:val="20"/>
        </w:rPr>
        <w:t xml:space="preserve"> </w:t>
      </w:r>
      <w:r>
        <w:rPr>
          <w:sz w:val="20"/>
        </w:rPr>
        <w:t>valor</w:t>
      </w:r>
      <w:r>
        <w:rPr>
          <w:spacing w:val="20"/>
          <w:sz w:val="20"/>
        </w:rPr>
        <w:t xml:space="preserve"> </w:t>
      </w:r>
      <w:r>
        <w:rPr>
          <w:sz w:val="20"/>
        </w:rPr>
        <w:t>pecuniário</w:t>
      </w:r>
      <w:r>
        <w:rPr>
          <w:spacing w:val="19"/>
          <w:sz w:val="20"/>
        </w:rPr>
        <w:t xml:space="preserve"> </w:t>
      </w:r>
      <w:r>
        <w:rPr>
          <w:spacing w:val="-10"/>
          <w:sz w:val="20"/>
        </w:rPr>
        <w:t>a</w:t>
      </w:r>
    </w:p>
    <w:p w:rsidR="007259F2" w:rsidRDefault="007259F2">
      <w:pPr>
        <w:jc w:val="both"/>
        <w:rPr>
          <w:sz w:val="20"/>
        </w:rPr>
        <w:sectPr w:rsidR="007259F2">
          <w:pgSz w:w="11910" w:h="16840"/>
          <w:pgMar w:top="1320" w:right="708" w:bottom="1160" w:left="992" w:header="0" w:footer="962" w:gutter="0"/>
          <w:cols w:space="720"/>
        </w:sectPr>
      </w:pPr>
    </w:p>
    <w:p w:rsidR="007259F2" w:rsidRDefault="00E655B4">
      <w:pPr>
        <w:spacing w:before="71"/>
        <w:ind w:left="2978" w:right="988"/>
        <w:jc w:val="both"/>
        <w:rPr>
          <w:sz w:val="20"/>
        </w:rPr>
      </w:pPr>
      <w:r>
        <w:rPr>
          <w:sz w:val="20"/>
        </w:rPr>
        <w:lastRenderedPageBreak/>
        <w:t>que foi condenado satisfazer, somente vai alcançar o seu mister, se</w:t>
      </w:r>
      <w:r>
        <w:rPr>
          <w:spacing w:val="80"/>
          <w:sz w:val="20"/>
        </w:rPr>
        <w:t xml:space="preserve"> </w:t>
      </w:r>
      <w:r>
        <w:rPr>
          <w:sz w:val="20"/>
        </w:rPr>
        <w:t xml:space="preserve">executada. </w:t>
      </w:r>
      <w:r>
        <w:rPr>
          <w:b/>
          <w:sz w:val="20"/>
        </w:rPr>
        <w:t>Até então, embora o condenar já se faça evidente, não se pode falar em prejuízo a ser ressarcido, porquanto o credor tem a faculdade</w:t>
      </w:r>
      <w:r>
        <w:rPr>
          <w:b/>
          <w:spacing w:val="40"/>
          <w:sz w:val="20"/>
        </w:rPr>
        <w:t xml:space="preserve"> </w:t>
      </w:r>
      <w:r>
        <w:rPr>
          <w:b/>
          <w:sz w:val="20"/>
        </w:rPr>
        <w:t>de não exercer o seu direito de cobrança e, nesta hipótese, nenhum dano haveria, para ser ressarcido ao Erário. O entender diferente propiciaria ao Poder Público a possibilidade de se valer da ação regressiva, ainda</w:t>
      </w:r>
      <w:r>
        <w:rPr>
          <w:b/>
          <w:spacing w:val="40"/>
          <w:sz w:val="20"/>
        </w:rPr>
        <w:t xml:space="preserve"> </w:t>
      </w:r>
      <w:r>
        <w:rPr>
          <w:b/>
          <w:sz w:val="20"/>
        </w:rPr>
        <w:t>que não tivesse pago o quantum</w:t>
      </w:r>
      <w:r>
        <w:rPr>
          <w:b/>
          <w:spacing w:val="-4"/>
          <w:sz w:val="20"/>
        </w:rPr>
        <w:t xml:space="preserve"> </w:t>
      </w:r>
      <w:r>
        <w:rPr>
          <w:b/>
          <w:sz w:val="20"/>
        </w:rPr>
        <w:t>devido, em</w:t>
      </w:r>
      <w:r>
        <w:rPr>
          <w:b/>
          <w:spacing w:val="-4"/>
          <w:sz w:val="20"/>
        </w:rPr>
        <w:t xml:space="preserve"> </w:t>
      </w:r>
      <w:r>
        <w:rPr>
          <w:b/>
          <w:sz w:val="20"/>
        </w:rPr>
        <w:t>evidente apropria- ção ilícita e inobservância de preceito intrínseco à própria ação regressiva, consubstanciado na reparação de um pre- juízo patrimonial</w:t>
      </w:r>
      <w:r>
        <w:rPr>
          <w:sz w:val="20"/>
        </w:rPr>
        <w:t>. (...) (REsp 328.391/DF,</w:t>
      </w:r>
      <w:r>
        <w:rPr>
          <w:spacing w:val="-4"/>
          <w:sz w:val="20"/>
        </w:rPr>
        <w:t xml:space="preserve"> </w:t>
      </w:r>
      <w:r>
        <w:rPr>
          <w:sz w:val="20"/>
        </w:rPr>
        <w:t>Rel.</w:t>
      </w:r>
      <w:r>
        <w:rPr>
          <w:spacing w:val="-3"/>
          <w:sz w:val="20"/>
        </w:rPr>
        <w:t xml:space="preserve"> </w:t>
      </w:r>
      <w:r>
        <w:rPr>
          <w:sz w:val="20"/>
        </w:rPr>
        <w:t>Ministro</w:t>
      </w:r>
      <w:r>
        <w:rPr>
          <w:spacing w:val="-3"/>
          <w:sz w:val="20"/>
        </w:rPr>
        <w:t xml:space="preserve"> </w:t>
      </w:r>
      <w:r>
        <w:rPr>
          <w:sz w:val="20"/>
        </w:rPr>
        <w:t>PAULO</w:t>
      </w:r>
      <w:r>
        <w:rPr>
          <w:spacing w:val="-4"/>
          <w:sz w:val="20"/>
        </w:rPr>
        <w:t xml:space="preserve"> </w:t>
      </w:r>
      <w:r>
        <w:rPr>
          <w:sz w:val="20"/>
        </w:rPr>
        <w:t>MEDINA,</w:t>
      </w:r>
      <w:r>
        <w:rPr>
          <w:spacing w:val="-4"/>
          <w:sz w:val="20"/>
        </w:rPr>
        <w:t xml:space="preserve"> </w:t>
      </w:r>
      <w:r>
        <w:rPr>
          <w:sz w:val="20"/>
        </w:rPr>
        <w:t>SEGUNDA TURMA,</w:t>
      </w:r>
      <w:r>
        <w:rPr>
          <w:spacing w:val="-4"/>
          <w:sz w:val="20"/>
        </w:rPr>
        <w:t xml:space="preserve"> </w:t>
      </w:r>
      <w:r>
        <w:rPr>
          <w:sz w:val="20"/>
        </w:rPr>
        <w:t>julgado em 08/10/2002, DJ 02/12/2002, p. 274)</w:t>
      </w:r>
    </w:p>
    <w:p w:rsidR="007259F2" w:rsidRDefault="007259F2">
      <w:pPr>
        <w:pStyle w:val="Corpodetexto"/>
        <w:spacing w:before="44"/>
        <w:ind w:left="0" w:firstLine="0"/>
        <w:jc w:val="left"/>
        <w:rPr>
          <w:sz w:val="20"/>
        </w:rPr>
      </w:pPr>
    </w:p>
    <w:p w:rsidR="007259F2" w:rsidRDefault="00E655B4">
      <w:pPr>
        <w:pStyle w:val="Corpodetexto"/>
        <w:ind w:right="992"/>
      </w:pPr>
      <w:r>
        <w:t>De fato, o pagamento da indenização é o momento em que o direito subjetivo se torna uma pretensão. Porém, ciente de eventual desgaste ao submeter ao crivo do Poder Judiciário a tese mais elástica do prazo prescricional, entende-se que o direito subjetivo se encontra dotado de exigibilidade já no momento da expedição do ofício requisitório.</w:t>
      </w:r>
    </w:p>
    <w:p w:rsidR="007259F2" w:rsidRDefault="00E655B4">
      <w:pPr>
        <w:pStyle w:val="Corpodetexto"/>
        <w:spacing w:before="1"/>
        <w:ind w:right="991"/>
      </w:pPr>
      <w:r>
        <w:t>Com efeito, uma vez expedido o ofício requisitório, a Fazenda Municipal necessariamente efetuará o pagamento, a despeito do tempo. Ademais, desde a expedição do precatório ou da requisição de pagamento, já se mostra concretizada a lesão ao direito material do Estado, surgindo, a partir de então, a pretensão ao ajuizamento da ação regressiva em face do agente causador do dano, porquanto, nessa oportunidade, já se encontrará estabelecido o valor efetivo e concreto a ser pago pela condenação que lhe foi imposta.</w:t>
      </w:r>
    </w:p>
    <w:p w:rsidR="007259F2" w:rsidRDefault="00E655B4">
      <w:pPr>
        <w:pStyle w:val="Corpodetexto"/>
        <w:ind w:left="1418" w:firstLine="0"/>
      </w:pPr>
      <w:r>
        <w:t>Nesse</w:t>
      </w:r>
      <w:r>
        <w:rPr>
          <w:spacing w:val="-1"/>
        </w:rPr>
        <w:t xml:space="preserve"> </w:t>
      </w:r>
      <w:r>
        <w:t>sentido,</w:t>
      </w:r>
      <w:r>
        <w:rPr>
          <w:spacing w:val="-1"/>
        </w:rPr>
        <w:t xml:space="preserve"> </w:t>
      </w:r>
      <w:r>
        <w:t>assim</w:t>
      </w:r>
      <w:r>
        <w:rPr>
          <w:spacing w:val="-1"/>
        </w:rPr>
        <w:t xml:space="preserve"> </w:t>
      </w:r>
      <w:r>
        <w:t>já</w:t>
      </w:r>
      <w:r>
        <w:rPr>
          <w:spacing w:val="-1"/>
        </w:rPr>
        <w:t xml:space="preserve"> </w:t>
      </w:r>
      <w:r>
        <w:t>decidiu</w:t>
      </w:r>
      <w:r>
        <w:rPr>
          <w:spacing w:val="-1"/>
        </w:rPr>
        <w:t xml:space="preserve"> </w:t>
      </w:r>
      <w:r>
        <w:t>a</w:t>
      </w:r>
      <w:r>
        <w:rPr>
          <w:spacing w:val="-1"/>
        </w:rPr>
        <w:t xml:space="preserve"> </w:t>
      </w:r>
      <w:r>
        <w:rPr>
          <w:spacing w:val="-2"/>
        </w:rPr>
        <w:t>jurisprudência:</w:t>
      </w:r>
    </w:p>
    <w:p w:rsidR="007259F2" w:rsidRDefault="007259F2">
      <w:pPr>
        <w:pStyle w:val="Corpodetexto"/>
        <w:spacing w:before="2"/>
        <w:ind w:left="0" w:firstLine="0"/>
        <w:jc w:val="left"/>
      </w:pPr>
    </w:p>
    <w:p w:rsidR="007259F2" w:rsidRDefault="00E655B4">
      <w:pPr>
        <w:ind w:left="2978" w:right="988"/>
        <w:jc w:val="both"/>
        <w:rPr>
          <w:sz w:val="20"/>
        </w:rPr>
      </w:pPr>
      <w:r>
        <w:rPr>
          <w:sz w:val="20"/>
        </w:rPr>
        <w:t>EMBARGOS DE DECLARAÇÃO. APELAÇÃO CÍVEL. RES- PONSABILIDADE CIVIL DO ESTADO. AÇÃO DE REGRESSO CONTRA O CAUSADOR DO DANO. PRESCRIÇÃO. EXPEDI- ÇÃO DO PRECATÓRIO.</w:t>
      </w:r>
      <w:r>
        <w:rPr>
          <w:spacing w:val="63"/>
          <w:sz w:val="20"/>
        </w:rPr>
        <w:t xml:space="preserve"> </w:t>
      </w:r>
      <w:r>
        <w:rPr>
          <w:sz w:val="20"/>
        </w:rPr>
        <w:t>RECONHECIMENTO.</w:t>
      </w:r>
      <w:r>
        <w:rPr>
          <w:spacing w:val="63"/>
          <w:sz w:val="20"/>
        </w:rPr>
        <w:t xml:space="preserve"> </w:t>
      </w:r>
      <w:r>
        <w:rPr>
          <w:sz w:val="20"/>
        </w:rPr>
        <w:t>EFEITO</w:t>
      </w:r>
      <w:r>
        <w:rPr>
          <w:spacing w:val="63"/>
          <w:sz w:val="20"/>
        </w:rPr>
        <w:t xml:space="preserve"> </w:t>
      </w:r>
      <w:r>
        <w:rPr>
          <w:sz w:val="20"/>
        </w:rPr>
        <w:t>IN-</w:t>
      </w:r>
      <w:r>
        <w:rPr>
          <w:spacing w:val="62"/>
          <w:sz w:val="20"/>
        </w:rPr>
        <w:t xml:space="preserve"> </w:t>
      </w:r>
      <w:r>
        <w:rPr>
          <w:sz w:val="20"/>
        </w:rPr>
        <w:t>FRINGENTE.</w:t>
      </w:r>
      <w:r>
        <w:rPr>
          <w:spacing w:val="65"/>
          <w:sz w:val="20"/>
        </w:rPr>
        <w:t xml:space="preserve"> </w:t>
      </w:r>
      <w:r>
        <w:rPr>
          <w:spacing w:val="-2"/>
          <w:sz w:val="20"/>
        </w:rPr>
        <w:t>(...)</w:t>
      </w:r>
    </w:p>
    <w:p w:rsidR="007259F2" w:rsidRDefault="00E655B4">
      <w:pPr>
        <w:spacing w:before="7"/>
        <w:ind w:left="2978" w:right="987"/>
        <w:jc w:val="both"/>
        <w:rPr>
          <w:sz w:val="20"/>
        </w:rPr>
      </w:pPr>
      <w:r>
        <w:rPr>
          <w:b/>
          <w:sz w:val="20"/>
          <w:u w:val="single"/>
        </w:rPr>
        <w:t>Tratando-se de ação regressiva ajuizada pelo Estado, tem-se que com a</w:t>
      </w:r>
      <w:r>
        <w:rPr>
          <w:b/>
          <w:sz w:val="20"/>
        </w:rPr>
        <w:t xml:space="preserve"> </w:t>
      </w:r>
      <w:r>
        <w:rPr>
          <w:b/>
          <w:sz w:val="20"/>
          <w:u w:val="single"/>
        </w:rPr>
        <w:t>expedição do precatório resta concretizada a lesão ao direito material,</w:t>
      </w:r>
      <w:r>
        <w:rPr>
          <w:b/>
          <w:sz w:val="20"/>
        </w:rPr>
        <w:t xml:space="preserve"> </w:t>
      </w:r>
      <w:r>
        <w:rPr>
          <w:b/>
          <w:sz w:val="20"/>
          <w:u w:val="single"/>
        </w:rPr>
        <w:t>surgindo, a partir desse momento, o direito de ajuizar ação regressiva</w:t>
      </w:r>
      <w:r>
        <w:rPr>
          <w:b/>
          <w:spacing w:val="40"/>
          <w:sz w:val="20"/>
        </w:rPr>
        <w:t xml:space="preserve"> </w:t>
      </w:r>
      <w:r>
        <w:rPr>
          <w:b/>
          <w:sz w:val="20"/>
          <w:u w:val="single"/>
        </w:rPr>
        <w:t>em face do agente causador do dano, sendo esse o momento inicial da</w:t>
      </w:r>
      <w:r>
        <w:rPr>
          <w:b/>
          <w:sz w:val="20"/>
        </w:rPr>
        <w:t xml:space="preserve"> </w:t>
      </w:r>
      <w:r>
        <w:rPr>
          <w:b/>
          <w:sz w:val="20"/>
          <w:u w:val="single"/>
        </w:rPr>
        <w:t>contagem do prazo prescricional</w:t>
      </w:r>
      <w:r>
        <w:rPr>
          <w:sz w:val="20"/>
          <w:u w:val="single"/>
        </w:rPr>
        <w:t>.</w:t>
      </w:r>
      <w:r>
        <w:rPr>
          <w:sz w:val="20"/>
        </w:rPr>
        <w:t xml:space="preserve"> (Acórdão 1125126, 07088456120178070018,</w:t>
      </w:r>
      <w:r>
        <w:rPr>
          <w:spacing w:val="14"/>
          <w:sz w:val="20"/>
        </w:rPr>
        <w:t xml:space="preserve"> </w:t>
      </w:r>
      <w:r>
        <w:rPr>
          <w:sz w:val="20"/>
        </w:rPr>
        <w:t>Relator:</w:t>
      </w:r>
      <w:r>
        <w:rPr>
          <w:spacing w:val="15"/>
          <w:sz w:val="20"/>
        </w:rPr>
        <w:t xml:space="preserve"> </w:t>
      </w:r>
      <w:r>
        <w:rPr>
          <w:sz w:val="20"/>
        </w:rPr>
        <w:t>CARMELITA</w:t>
      </w:r>
      <w:r>
        <w:rPr>
          <w:spacing w:val="13"/>
          <w:sz w:val="20"/>
        </w:rPr>
        <w:t xml:space="preserve"> </w:t>
      </w:r>
      <w:r>
        <w:rPr>
          <w:sz w:val="20"/>
        </w:rPr>
        <w:t>BRASIL,</w:t>
      </w:r>
      <w:r>
        <w:rPr>
          <w:spacing w:val="15"/>
          <w:sz w:val="20"/>
        </w:rPr>
        <w:t xml:space="preserve"> </w:t>
      </w:r>
      <w:r>
        <w:rPr>
          <w:sz w:val="20"/>
        </w:rPr>
        <w:t>2ª</w:t>
      </w:r>
      <w:r>
        <w:rPr>
          <w:spacing w:val="13"/>
          <w:sz w:val="20"/>
        </w:rPr>
        <w:t xml:space="preserve"> </w:t>
      </w:r>
      <w:r>
        <w:rPr>
          <w:sz w:val="20"/>
        </w:rPr>
        <w:t>Turma</w:t>
      </w:r>
      <w:r>
        <w:rPr>
          <w:spacing w:val="16"/>
          <w:sz w:val="20"/>
        </w:rPr>
        <w:t xml:space="preserve"> </w:t>
      </w:r>
      <w:r>
        <w:rPr>
          <w:spacing w:val="-2"/>
          <w:sz w:val="20"/>
        </w:rPr>
        <w:t>Cível,</w:t>
      </w:r>
    </w:p>
    <w:p w:rsidR="007259F2" w:rsidRDefault="00E655B4">
      <w:pPr>
        <w:spacing w:line="237" w:lineRule="auto"/>
        <w:ind w:left="2978" w:right="997"/>
        <w:jc w:val="both"/>
        <w:rPr>
          <w:sz w:val="20"/>
        </w:rPr>
      </w:pPr>
      <w:r>
        <w:rPr>
          <w:sz w:val="20"/>
        </w:rPr>
        <w:t>data de julgamento: 19/9/2018, publicado no DJE: 27/9/2018. Pág.: Sem Página Cadastrada.)</w:t>
      </w:r>
    </w:p>
    <w:p w:rsidR="007259F2" w:rsidRDefault="00E655B4">
      <w:pPr>
        <w:spacing w:before="228"/>
        <w:ind w:left="2978" w:right="990"/>
        <w:jc w:val="both"/>
        <w:rPr>
          <w:sz w:val="20"/>
        </w:rPr>
      </w:pPr>
      <w:r>
        <w:rPr>
          <w:sz w:val="20"/>
        </w:rPr>
        <w:t>ADMINISTRATIVO. CIVIL. AÇÃO REGRESSIVA. FAZENDA. INTERESSE PROCESSUAL. PRESCRIÇÃO. TERMO INICIAL. EXPEDIÇÃO</w:t>
      </w:r>
      <w:r>
        <w:rPr>
          <w:spacing w:val="23"/>
          <w:sz w:val="20"/>
        </w:rPr>
        <w:t xml:space="preserve"> </w:t>
      </w:r>
      <w:r>
        <w:rPr>
          <w:sz w:val="20"/>
        </w:rPr>
        <w:t>DO</w:t>
      </w:r>
      <w:r>
        <w:rPr>
          <w:spacing w:val="24"/>
          <w:sz w:val="20"/>
        </w:rPr>
        <w:t xml:space="preserve"> </w:t>
      </w:r>
      <w:r>
        <w:rPr>
          <w:sz w:val="20"/>
        </w:rPr>
        <w:t>PRECATÓRIO</w:t>
      </w:r>
      <w:r>
        <w:rPr>
          <w:spacing w:val="24"/>
          <w:sz w:val="20"/>
        </w:rPr>
        <w:t xml:space="preserve"> </w:t>
      </w:r>
      <w:r>
        <w:rPr>
          <w:sz w:val="20"/>
        </w:rPr>
        <w:t>OU</w:t>
      </w:r>
      <w:r>
        <w:rPr>
          <w:spacing w:val="24"/>
          <w:sz w:val="20"/>
        </w:rPr>
        <w:t xml:space="preserve"> </w:t>
      </w:r>
      <w:r>
        <w:rPr>
          <w:sz w:val="20"/>
        </w:rPr>
        <w:t>REQUISIÇÃO</w:t>
      </w:r>
      <w:r>
        <w:rPr>
          <w:spacing w:val="23"/>
          <w:sz w:val="20"/>
        </w:rPr>
        <w:t xml:space="preserve"> </w:t>
      </w:r>
      <w:r>
        <w:rPr>
          <w:sz w:val="20"/>
        </w:rPr>
        <w:t>DE</w:t>
      </w:r>
      <w:r>
        <w:rPr>
          <w:spacing w:val="24"/>
          <w:sz w:val="20"/>
        </w:rPr>
        <w:t xml:space="preserve"> </w:t>
      </w:r>
      <w:r>
        <w:rPr>
          <w:spacing w:val="-2"/>
          <w:sz w:val="20"/>
        </w:rPr>
        <w:t>PAGAMENTO.</w:t>
      </w:r>
    </w:p>
    <w:p w:rsidR="007259F2" w:rsidRDefault="00E655B4">
      <w:pPr>
        <w:spacing w:before="2"/>
        <w:ind w:left="2978" w:right="985"/>
        <w:jc w:val="both"/>
        <w:rPr>
          <w:sz w:val="20"/>
        </w:rPr>
      </w:pPr>
      <w:r>
        <w:rPr>
          <w:sz w:val="20"/>
        </w:rPr>
        <w:t>1.</w:t>
      </w:r>
      <w:r>
        <w:rPr>
          <w:spacing w:val="-1"/>
          <w:sz w:val="20"/>
        </w:rPr>
        <w:t xml:space="preserve"> </w:t>
      </w:r>
      <w:r>
        <w:rPr>
          <w:sz w:val="20"/>
        </w:rPr>
        <w:t>Trata-se de apelação interposta em</w:t>
      </w:r>
      <w:r>
        <w:rPr>
          <w:spacing w:val="-2"/>
          <w:sz w:val="20"/>
        </w:rPr>
        <w:t xml:space="preserve"> </w:t>
      </w:r>
      <w:r>
        <w:rPr>
          <w:sz w:val="20"/>
        </w:rPr>
        <w:t xml:space="preserve">face da sentença que, nos autos da ação conhecimento (ação de regresso), inde- feriu a petição inicial, por entender ausente o interesse processual e, por consequência, julgou extinto o processo sem apreciação do mérito, ao fundamento que a ação regressiva por dano causado ao erário somente pode ser ajuizada após o pagamento do precatório ou requisição de pagamento. 2. </w:t>
      </w:r>
      <w:r>
        <w:rPr>
          <w:b/>
          <w:sz w:val="20"/>
          <w:u w:val="single"/>
        </w:rPr>
        <w:t>Considerando a sistemática própria de</w:t>
      </w:r>
      <w:r>
        <w:rPr>
          <w:b/>
          <w:sz w:val="20"/>
        </w:rPr>
        <w:t xml:space="preserve"> </w:t>
      </w:r>
      <w:r>
        <w:rPr>
          <w:b/>
          <w:sz w:val="20"/>
          <w:u w:val="single"/>
        </w:rPr>
        <w:t>liquidação de dívidas imposta à Fazenda, a pretensão autoral a ser</w:t>
      </w:r>
      <w:r>
        <w:rPr>
          <w:b/>
          <w:sz w:val="20"/>
        </w:rPr>
        <w:t xml:space="preserve"> </w:t>
      </w:r>
      <w:r>
        <w:rPr>
          <w:b/>
          <w:sz w:val="20"/>
          <w:u w:val="single"/>
        </w:rPr>
        <w:t>deduzida em juízo em ação regressiva está condicionada a expedição do</w:t>
      </w:r>
      <w:r>
        <w:rPr>
          <w:b/>
          <w:sz w:val="20"/>
        </w:rPr>
        <w:t xml:space="preserve"> </w:t>
      </w:r>
      <w:r>
        <w:rPr>
          <w:b/>
          <w:sz w:val="20"/>
          <w:u w:val="single"/>
        </w:rPr>
        <w:t>precatório ou da RPV, sendo este o marco a deflagrar o início do prazo</w:t>
      </w:r>
      <w:r>
        <w:rPr>
          <w:b/>
          <w:sz w:val="20"/>
        </w:rPr>
        <w:t xml:space="preserve"> </w:t>
      </w:r>
      <w:r>
        <w:rPr>
          <w:b/>
          <w:sz w:val="20"/>
          <w:u w:val="single"/>
        </w:rPr>
        <w:t>prescricional, porquanto, nessa oportunidade, já se encontrará</w:t>
      </w:r>
      <w:r>
        <w:rPr>
          <w:b/>
          <w:sz w:val="20"/>
        </w:rPr>
        <w:t xml:space="preserve"> </w:t>
      </w:r>
      <w:r>
        <w:rPr>
          <w:b/>
          <w:sz w:val="20"/>
          <w:u w:val="single"/>
        </w:rPr>
        <w:t>estabelecido o valor efetivo e concreto a ser pago pela condenação</w:t>
      </w:r>
      <w:r>
        <w:rPr>
          <w:b/>
          <w:sz w:val="20"/>
        </w:rPr>
        <w:t xml:space="preserve"> </w:t>
      </w:r>
      <w:r>
        <w:rPr>
          <w:b/>
          <w:sz w:val="20"/>
          <w:u w:val="single"/>
        </w:rPr>
        <w:t xml:space="preserve">imposta ao Estado. </w:t>
      </w:r>
      <w:r>
        <w:rPr>
          <w:sz w:val="20"/>
        </w:rPr>
        <w:t>3. Não tendo sido expedido o precatório ou a RPV correspondente à condenação imposta ao erário, impõe-se reconhecer a ausência de interesse processual na pretensão regressiva. 4. Recurso conhecido e desprovido. (TJ-DF 07128730420198070018 DF 0712873- 04.2019.8.07.0018,</w:t>
      </w:r>
      <w:r>
        <w:rPr>
          <w:spacing w:val="9"/>
          <w:sz w:val="20"/>
        </w:rPr>
        <w:t xml:space="preserve"> </w:t>
      </w:r>
      <w:r>
        <w:rPr>
          <w:sz w:val="20"/>
        </w:rPr>
        <w:t>Relator:</w:t>
      </w:r>
      <w:r>
        <w:rPr>
          <w:spacing w:val="9"/>
          <w:sz w:val="20"/>
        </w:rPr>
        <w:t xml:space="preserve"> </w:t>
      </w:r>
      <w:r>
        <w:rPr>
          <w:sz w:val="20"/>
        </w:rPr>
        <w:t>SANDOVAL</w:t>
      </w:r>
      <w:r>
        <w:rPr>
          <w:spacing w:val="8"/>
          <w:sz w:val="20"/>
        </w:rPr>
        <w:t xml:space="preserve"> </w:t>
      </w:r>
      <w:r>
        <w:rPr>
          <w:sz w:val="20"/>
        </w:rPr>
        <w:t>OLIVEIRA,</w:t>
      </w:r>
      <w:r>
        <w:rPr>
          <w:spacing w:val="11"/>
          <w:sz w:val="20"/>
        </w:rPr>
        <w:t xml:space="preserve"> </w:t>
      </w:r>
      <w:r>
        <w:rPr>
          <w:sz w:val="20"/>
        </w:rPr>
        <w:t>Data</w:t>
      </w:r>
      <w:r>
        <w:rPr>
          <w:spacing w:val="10"/>
          <w:sz w:val="20"/>
        </w:rPr>
        <w:t xml:space="preserve"> </w:t>
      </w:r>
      <w:r>
        <w:rPr>
          <w:sz w:val="20"/>
        </w:rPr>
        <w:t>de</w:t>
      </w:r>
      <w:r>
        <w:rPr>
          <w:spacing w:val="17"/>
          <w:sz w:val="20"/>
        </w:rPr>
        <w:t xml:space="preserve"> </w:t>
      </w:r>
      <w:r>
        <w:rPr>
          <w:spacing w:val="-2"/>
          <w:sz w:val="20"/>
        </w:rPr>
        <w:t>Julgamento:</w:t>
      </w:r>
    </w:p>
    <w:p w:rsidR="007259F2" w:rsidRDefault="007259F2">
      <w:pPr>
        <w:jc w:val="both"/>
        <w:rPr>
          <w:sz w:val="20"/>
        </w:rPr>
        <w:sectPr w:rsidR="007259F2">
          <w:pgSz w:w="11910" w:h="16840"/>
          <w:pgMar w:top="1320" w:right="708" w:bottom="1160" w:left="992" w:header="0" w:footer="962" w:gutter="0"/>
          <w:cols w:space="720"/>
        </w:sectPr>
      </w:pPr>
    </w:p>
    <w:p w:rsidR="007259F2" w:rsidRDefault="00E655B4">
      <w:pPr>
        <w:spacing w:before="71"/>
        <w:ind w:left="2978" w:right="988"/>
        <w:jc w:val="both"/>
        <w:rPr>
          <w:sz w:val="20"/>
        </w:rPr>
      </w:pPr>
      <w:r>
        <w:rPr>
          <w:sz w:val="20"/>
        </w:rPr>
        <w:lastRenderedPageBreak/>
        <w:t>05/08/2020, 2ª Turma Cível, Data de Publicação: Publicado no PJe : 16/08/2020 . Pág.: Sem Página Cadastrada.)</w:t>
      </w:r>
    </w:p>
    <w:p w:rsidR="007259F2" w:rsidRDefault="007259F2">
      <w:pPr>
        <w:pStyle w:val="Corpodetexto"/>
        <w:ind w:left="0" w:firstLine="0"/>
        <w:jc w:val="left"/>
        <w:rPr>
          <w:sz w:val="20"/>
        </w:rPr>
      </w:pPr>
    </w:p>
    <w:p w:rsidR="007259F2" w:rsidRDefault="00E655B4">
      <w:pPr>
        <w:pStyle w:val="Corpodetexto"/>
        <w:ind w:right="995"/>
      </w:pPr>
      <w:r>
        <w:t>De fato, apenas com a expedição do ofício requisitório, após longa discussão sobre os cálculos na fase de cumprimento de sentença, é que o titular do direto, no caso a Municipalidade, chega à ciência inequívoca do dano e de sua extensão.</w:t>
      </w:r>
    </w:p>
    <w:p w:rsidR="007259F2" w:rsidRDefault="00E655B4">
      <w:pPr>
        <w:pStyle w:val="Corpodetexto"/>
        <w:ind w:right="993"/>
      </w:pPr>
      <w:r>
        <w:t>Necessário destacar que, atendendo pedido feito pelo Departamento Judicial (JUD), a Coordenadoria Geral do Contencioso Judicial (CGCJ) já se debruçou sobre o tema, emitindo o Parecer nº 11.777 de 18 de agosto de 2017, com a seguinte ementa:</w:t>
      </w:r>
    </w:p>
    <w:p w:rsidR="007259F2" w:rsidRDefault="00E655B4">
      <w:pPr>
        <w:spacing w:before="232"/>
        <w:ind w:left="2978" w:right="996"/>
        <w:jc w:val="both"/>
        <w:rPr>
          <w:sz w:val="20"/>
        </w:rPr>
      </w:pPr>
      <w:r>
        <w:rPr>
          <w:sz w:val="20"/>
        </w:rPr>
        <w:t>O</w:t>
      </w:r>
      <w:r>
        <w:rPr>
          <w:spacing w:val="-3"/>
          <w:sz w:val="20"/>
        </w:rPr>
        <w:t xml:space="preserve"> </w:t>
      </w:r>
      <w:r>
        <w:rPr>
          <w:sz w:val="20"/>
        </w:rPr>
        <w:t>Município,</w:t>
      </w:r>
      <w:r>
        <w:rPr>
          <w:spacing w:val="-3"/>
          <w:sz w:val="20"/>
        </w:rPr>
        <w:t xml:space="preserve"> </w:t>
      </w:r>
      <w:r>
        <w:rPr>
          <w:sz w:val="20"/>
        </w:rPr>
        <w:t>quando</w:t>
      </w:r>
      <w:r>
        <w:rPr>
          <w:spacing w:val="-2"/>
          <w:sz w:val="20"/>
        </w:rPr>
        <w:t xml:space="preserve"> </w:t>
      </w:r>
      <w:r>
        <w:rPr>
          <w:sz w:val="20"/>
        </w:rPr>
        <w:t>possível,</w:t>
      </w:r>
      <w:r>
        <w:rPr>
          <w:spacing w:val="-3"/>
          <w:sz w:val="20"/>
        </w:rPr>
        <w:t xml:space="preserve"> </w:t>
      </w:r>
      <w:r>
        <w:rPr>
          <w:sz w:val="20"/>
        </w:rPr>
        <w:t>deverá,</w:t>
      </w:r>
      <w:r>
        <w:rPr>
          <w:spacing w:val="-2"/>
          <w:sz w:val="20"/>
        </w:rPr>
        <w:t xml:space="preserve"> </w:t>
      </w:r>
      <w:r>
        <w:rPr>
          <w:sz w:val="20"/>
        </w:rPr>
        <w:t>nos</w:t>
      </w:r>
      <w:r>
        <w:rPr>
          <w:spacing w:val="-4"/>
          <w:sz w:val="20"/>
        </w:rPr>
        <w:t xml:space="preserve"> </w:t>
      </w:r>
      <w:r>
        <w:rPr>
          <w:sz w:val="20"/>
        </w:rPr>
        <w:t>termos</w:t>
      </w:r>
      <w:r>
        <w:rPr>
          <w:spacing w:val="-4"/>
          <w:sz w:val="20"/>
        </w:rPr>
        <w:t xml:space="preserve"> </w:t>
      </w:r>
      <w:r>
        <w:rPr>
          <w:sz w:val="20"/>
        </w:rPr>
        <w:t>do</w:t>
      </w:r>
      <w:r>
        <w:rPr>
          <w:spacing w:val="-2"/>
          <w:sz w:val="20"/>
        </w:rPr>
        <w:t xml:space="preserve"> </w:t>
      </w:r>
      <w:r>
        <w:rPr>
          <w:sz w:val="20"/>
        </w:rPr>
        <w:t>§1º</w:t>
      </w:r>
      <w:r>
        <w:rPr>
          <w:spacing w:val="-1"/>
          <w:sz w:val="20"/>
        </w:rPr>
        <w:t xml:space="preserve"> </w:t>
      </w:r>
      <w:r>
        <w:rPr>
          <w:sz w:val="20"/>
        </w:rPr>
        <w:t>do</w:t>
      </w:r>
      <w:r>
        <w:rPr>
          <w:spacing w:val="-4"/>
          <w:sz w:val="20"/>
        </w:rPr>
        <w:t xml:space="preserve"> </w:t>
      </w:r>
      <w:r>
        <w:rPr>
          <w:sz w:val="20"/>
        </w:rPr>
        <w:t>art.</w:t>
      </w:r>
      <w:r>
        <w:rPr>
          <w:spacing w:val="-3"/>
          <w:sz w:val="20"/>
        </w:rPr>
        <w:t xml:space="preserve"> </w:t>
      </w:r>
      <w:r>
        <w:rPr>
          <w:sz w:val="20"/>
        </w:rPr>
        <w:t>125</w:t>
      </w:r>
      <w:r>
        <w:rPr>
          <w:spacing w:val="-2"/>
          <w:sz w:val="20"/>
        </w:rPr>
        <w:t xml:space="preserve"> </w:t>
      </w:r>
      <w:r>
        <w:rPr>
          <w:sz w:val="20"/>
        </w:rPr>
        <w:t>do</w:t>
      </w:r>
      <w:r>
        <w:rPr>
          <w:spacing w:val="-2"/>
          <w:sz w:val="20"/>
        </w:rPr>
        <w:t xml:space="preserve"> </w:t>
      </w:r>
      <w:r>
        <w:rPr>
          <w:sz w:val="20"/>
        </w:rPr>
        <w:t>CPC, ajuizar ação autônoma no prazo de cinco anos do trânsito em julgado da sentença que ensejar a correspondente ação regressiva. O pagamento do precatório ou requisição de pequeno valor é condição para o exercício pelo Município de pretensão executória de procedência de ação regressiva autônoma ou de denunciação da lide.</w:t>
      </w:r>
    </w:p>
    <w:p w:rsidR="007259F2" w:rsidRDefault="00E655B4">
      <w:pPr>
        <w:pStyle w:val="Corpodetexto"/>
        <w:spacing w:before="227"/>
        <w:ind w:right="996"/>
      </w:pPr>
      <w:r>
        <w:t>O parecer tem por base a tese mais aceita pela jurisprudência, qual seja: o trânsito em julgado da ação de conhecimento como termo inicial da pretensão</w:t>
      </w:r>
      <w:r>
        <w:rPr>
          <w:spacing w:val="40"/>
        </w:rPr>
        <w:t xml:space="preserve"> </w:t>
      </w:r>
      <w:r>
        <w:rPr>
          <w:spacing w:val="-2"/>
        </w:rPr>
        <w:t>regressiva.</w:t>
      </w:r>
    </w:p>
    <w:p w:rsidR="007259F2" w:rsidRDefault="00E655B4">
      <w:pPr>
        <w:pStyle w:val="Corpodetexto"/>
        <w:ind w:right="994"/>
      </w:pPr>
      <w:r>
        <w:t>Isto se dá pois o cumprimento de sentença contra a Fazenda Pública, bem como</w:t>
      </w:r>
      <w:r>
        <w:rPr>
          <w:spacing w:val="40"/>
        </w:rPr>
        <w:t xml:space="preserve"> </w:t>
      </w:r>
      <w:r>
        <w:t xml:space="preserve">o lapso temporal para o efetivo pagamento da indenização, como se sabe, costuma demorar mais do que o prazo prescricional em si. Caso não fosse, não haveria discussão sobre o tema, sendo certo que, senão por unanimidade, ao menos por maioria de votos haveria consenso de que o termo </w:t>
      </w:r>
      <w:r>
        <w:rPr>
          <w:i/>
        </w:rPr>
        <w:t xml:space="preserve">a quo </w:t>
      </w:r>
      <w:r>
        <w:t>do prazo prescricional nasce com o pagamento.</w:t>
      </w:r>
    </w:p>
    <w:p w:rsidR="007259F2" w:rsidRDefault="00E655B4">
      <w:pPr>
        <w:pStyle w:val="Corpodetexto"/>
        <w:ind w:right="988"/>
      </w:pPr>
      <w:r>
        <w:t xml:space="preserve">Desse modo, pode-se afirmar que outro critério a ser adotado para se perquirir a possibilidade da aplicação da vertente subjetiva da Teoria </w:t>
      </w:r>
      <w:r>
        <w:rPr>
          <w:i/>
        </w:rPr>
        <w:t xml:space="preserve">actio nata </w:t>
      </w:r>
      <w:r>
        <w:t>consiste em verificar, em cada hipótese concreta, se, a partir do postulado da razoabilidade, a municipalidade tinha, além do conhecimento do dano, ciência de sua extensão e, por consequência, exigibilidade do direito.</w:t>
      </w:r>
    </w:p>
    <w:p w:rsidR="007259F2" w:rsidRDefault="00E655B4">
      <w:pPr>
        <w:pStyle w:val="Corpodetexto"/>
        <w:spacing w:before="1"/>
        <w:ind w:right="990"/>
      </w:pPr>
      <w:r>
        <w:t>Feitas as devidas considerações, do ponto de vista contencioso, há possibilidade de</w:t>
      </w:r>
      <w:r>
        <w:rPr>
          <w:spacing w:val="-1"/>
        </w:rPr>
        <w:t xml:space="preserve"> </w:t>
      </w:r>
      <w:r>
        <w:t>utilização da tese analisada</w:t>
      </w:r>
      <w:r>
        <w:rPr>
          <w:spacing w:val="-2"/>
        </w:rPr>
        <w:t xml:space="preserve"> </w:t>
      </w:r>
      <w:r>
        <w:t>com vistas à flexibilização da regra</w:t>
      </w:r>
      <w:r>
        <w:rPr>
          <w:spacing w:val="-1"/>
        </w:rPr>
        <w:t xml:space="preserve"> </w:t>
      </w:r>
      <w:r>
        <w:t>prescricional inserida no art. 189 do Código Civil</w:t>
      </w:r>
    </w:p>
    <w:p w:rsidR="007259F2" w:rsidRDefault="00E655B4">
      <w:pPr>
        <w:pStyle w:val="Corpodetexto"/>
        <w:ind w:right="990"/>
      </w:pPr>
      <w:r>
        <w:t xml:space="preserve">A Teoria </w:t>
      </w:r>
      <w:r>
        <w:rPr>
          <w:i/>
        </w:rPr>
        <w:t xml:space="preserve">actio nata </w:t>
      </w:r>
      <w:r>
        <w:t xml:space="preserve">em seu viés subjetivo é corrente minoritária na jurisprudência, sendo aplicada de modo excepcional, a bem da segurança jurídica. Contudo, no contexto do contencioso judicial, especificamente nos casos de ação de regresso, s.m.j, é a tese que se mostra mais adequada, levando em conta fatores como o intenso volume de ações e a sistemática própria de pagamento de dívidas da Fazenda </w:t>
      </w:r>
      <w:r>
        <w:rPr>
          <w:spacing w:val="-2"/>
        </w:rPr>
        <w:t>Pública.</w:t>
      </w:r>
    </w:p>
    <w:p w:rsidR="007259F2" w:rsidRDefault="00E655B4">
      <w:pPr>
        <w:pStyle w:val="Corpodetexto"/>
        <w:spacing w:before="1"/>
        <w:ind w:right="991"/>
      </w:pPr>
      <w:r>
        <w:t>Assim,</w:t>
      </w:r>
      <w:r>
        <w:rPr>
          <w:spacing w:val="-1"/>
        </w:rPr>
        <w:t xml:space="preserve"> </w:t>
      </w:r>
      <w:r>
        <w:t>quanto</w:t>
      </w:r>
      <w:r>
        <w:rPr>
          <w:spacing w:val="-1"/>
        </w:rPr>
        <w:t xml:space="preserve"> </w:t>
      </w:r>
      <w:r>
        <w:t>mais</w:t>
      </w:r>
      <w:r>
        <w:rPr>
          <w:spacing w:val="-3"/>
        </w:rPr>
        <w:t xml:space="preserve"> </w:t>
      </w:r>
      <w:r>
        <w:t>valioso</w:t>
      </w:r>
      <w:r>
        <w:rPr>
          <w:spacing w:val="-1"/>
        </w:rPr>
        <w:t xml:space="preserve"> </w:t>
      </w:r>
      <w:r>
        <w:t>o</w:t>
      </w:r>
      <w:r>
        <w:rPr>
          <w:spacing w:val="-1"/>
        </w:rPr>
        <w:t xml:space="preserve"> </w:t>
      </w:r>
      <w:r>
        <w:t>bem</w:t>
      </w:r>
      <w:r>
        <w:rPr>
          <w:spacing w:val="-1"/>
        </w:rPr>
        <w:t xml:space="preserve"> </w:t>
      </w:r>
      <w:r>
        <w:t>jurídico</w:t>
      </w:r>
      <w:r>
        <w:rPr>
          <w:spacing w:val="-2"/>
        </w:rPr>
        <w:t xml:space="preserve"> </w:t>
      </w:r>
      <w:r>
        <w:t>tutelado,</w:t>
      </w:r>
      <w:r>
        <w:rPr>
          <w:spacing w:val="-1"/>
        </w:rPr>
        <w:t xml:space="preserve"> </w:t>
      </w:r>
      <w:r>
        <w:t>mais</w:t>
      </w:r>
      <w:r>
        <w:rPr>
          <w:spacing w:val="-1"/>
        </w:rPr>
        <w:t xml:space="preserve"> </w:t>
      </w:r>
      <w:r>
        <w:t>plausível</w:t>
      </w:r>
      <w:r>
        <w:rPr>
          <w:spacing w:val="-3"/>
        </w:rPr>
        <w:t xml:space="preserve"> </w:t>
      </w:r>
      <w:r>
        <w:t>será</w:t>
      </w:r>
      <w:r>
        <w:rPr>
          <w:spacing w:val="-3"/>
        </w:rPr>
        <w:t xml:space="preserve"> </w:t>
      </w:r>
      <w:r>
        <w:t>a</w:t>
      </w:r>
      <w:r>
        <w:rPr>
          <w:spacing w:val="-2"/>
        </w:rPr>
        <w:t xml:space="preserve"> </w:t>
      </w:r>
      <w:r>
        <w:t>tese</w:t>
      </w:r>
      <w:r>
        <w:rPr>
          <w:spacing w:val="-3"/>
        </w:rPr>
        <w:t xml:space="preserve"> </w:t>
      </w:r>
      <w:r>
        <w:t>de flexibilização</w:t>
      </w:r>
      <w:r>
        <w:rPr>
          <w:spacing w:val="-1"/>
        </w:rPr>
        <w:t xml:space="preserve"> </w:t>
      </w:r>
      <w:r>
        <w:t>do</w:t>
      </w:r>
      <w:r>
        <w:rPr>
          <w:spacing w:val="-1"/>
        </w:rPr>
        <w:t xml:space="preserve"> </w:t>
      </w:r>
      <w:r>
        <w:t>termo</w:t>
      </w:r>
      <w:r>
        <w:rPr>
          <w:spacing w:val="-1"/>
        </w:rPr>
        <w:t xml:space="preserve"> </w:t>
      </w:r>
      <w:r>
        <w:t>inicial</w:t>
      </w:r>
      <w:r>
        <w:rPr>
          <w:spacing w:val="-1"/>
        </w:rPr>
        <w:t xml:space="preserve"> </w:t>
      </w:r>
      <w:r>
        <w:t>da</w:t>
      </w:r>
      <w:r>
        <w:rPr>
          <w:spacing w:val="-2"/>
        </w:rPr>
        <w:t xml:space="preserve"> </w:t>
      </w:r>
      <w:r>
        <w:t>prescrição,</w:t>
      </w:r>
      <w:r>
        <w:rPr>
          <w:spacing w:val="-1"/>
        </w:rPr>
        <w:t xml:space="preserve"> </w:t>
      </w:r>
      <w:r>
        <w:t>pois, sem</w:t>
      </w:r>
      <w:r>
        <w:rPr>
          <w:spacing w:val="-1"/>
        </w:rPr>
        <w:t xml:space="preserve"> </w:t>
      </w:r>
      <w:r>
        <w:t>um</w:t>
      </w:r>
      <w:r>
        <w:rPr>
          <w:spacing w:val="-1"/>
        </w:rPr>
        <w:t xml:space="preserve"> </w:t>
      </w:r>
      <w:r>
        <w:t>mínimo</w:t>
      </w:r>
      <w:r>
        <w:rPr>
          <w:spacing w:val="-1"/>
        </w:rPr>
        <w:t xml:space="preserve"> </w:t>
      </w:r>
      <w:r>
        <w:t>de</w:t>
      </w:r>
      <w:r>
        <w:rPr>
          <w:spacing w:val="-2"/>
        </w:rPr>
        <w:t xml:space="preserve"> </w:t>
      </w:r>
      <w:r>
        <w:t>justiça,</w:t>
      </w:r>
      <w:r>
        <w:rPr>
          <w:spacing w:val="-1"/>
        </w:rPr>
        <w:t xml:space="preserve"> </w:t>
      </w:r>
      <w:r>
        <w:t>segurança jurídica não é segurança, nem jurídica.</w:t>
      </w:r>
    </w:p>
    <w:p w:rsidR="007259F2" w:rsidRDefault="00E655B4">
      <w:pPr>
        <w:pStyle w:val="Heading1"/>
        <w:spacing w:before="206"/>
      </w:pPr>
      <w:r>
        <w:rPr>
          <w:spacing w:val="-2"/>
        </w:rPr>
        <w:t>REFERÊNCIAS</w:t>
      </w:r>
    </w:p>
    <w:p w:rsidR="007259F2" w:rsidRDefault="00E655B4">
      <w:pPr>
        <w:pStyle w:val="Corpodetexto"/>
        <w:spacing w:before="156"/>
        <w:ind w:right="986" w:firstLine="0"/>
      </w:pPr>
      <w:r>
        <w:t xml:space="preserve">BRASIL. Supremo Tribunal de Justiça. </w:t>
      </w:r>
      <w:r>
        <w:rPr>
          <w:b/>
        </w:rPr>
        <w:t>AgInt no AREsp: 1500181 SP</w:t>
      </w:r>
      <w:r>
        <w:t>, Relator: Ministro MARCO AURÉLIO BELLIZZE, Data de Julgamento: 22/06/2021, T3 - TERCEIRA TURMA, Data de Publicação: DJe 25/06/2021.</w:t>
      </w:r>
    </w:p>
    <w:p w:rsidR="007259F2" w:rsidRDefault="00E655B4">
      <w:pPr>
        <w:pStyle w:val="Corpodetexto"/>
        <w:spacing w:before="120"/>
        <w:ind w:right="988" w:firstLine="0"/>
      </w:pPr>
      <w:r>
        <w:t xml:space="preserve">BRASIL. Supremo Tribunal de Justiça. </w:t>
      </w:r>
      <w:r>
        <w:rPr>
          <w:b/>
        </w:rPr>
        <w:t>REsp: 1494482 SP</w:t>
      </w:r>
      <w:r>
        <w:t>, Relator: Ministro RICARDO</w:t>
      </w:r>
      <w:r>
        <w:rPr>
          <w:spacing w:val="33"/>
        </w:rPr>
        <w:t xml:space="preserve">  </w:t>
      </w:r>
      <w:r>
        <w:t>VILLAS</w:t>
      </w:r>
      <w:r>
        <w:rPr>
          <w:spacing w:val="34"/>
        </w:rPr>
        <w:t xml:space="preserve">  </w:t>
      </w:r>
      <w:r>
        <w:t>BÔAS</w:t>
      </w:r>
      <w:r>
        <w:rPr>
          <w:spacing w:val="33"/>
        </w:rPr>
        <w:t xml:space="preserve">  </w:t>
      </w:r>
      <w:r>
        <w:t>CUEVA,</w:t>
      </w:r>
      <w:r>
        <w:rPr>
          <w:spacing w:val="33"/>
        </w:rPr>
        <w:t xml:space="preserve">  </w:t>
      </w:r>
      <w:r>
        <w:t>Data</w:t>
      </w:r>
      <w:r>
        <w:rPr>
          <w:spacing w:val="33"/>
        </w:rPr>
        <w:t xml:space="preserve">  </w:t>
      </w:r>
      <w:r>
        <w:t>de</w:t>
      </w:r>
      <w:r>
        <w:rPr>
          <w:spacing w:val="33"/>
        </w:rPr>
        <w:t xml:space="preserve">  </w:t>
      </w:r>
      <w:r>
        <w:t>Julgamento:</w:t>
      </w:r>
      <w:r>
        <w:rPr>
          <w:spacing w:val="33"/>
        </w:rPr>
        <w:t xml:space="preserve">  </w:t>
      </w:r>
      <w:r>
        <w:t>24/11/2020,</w:t>
      </w:r>
      <w:r>
        <w:rPr>
          <w:spacing w:val="33"/>
        </w:rPr>
        <w:t xml:space="preserve">  </w:t>
      </w:r>
      <w:r>
        <w:t>T3</w:t>
      </w:r>
      <w:r>
        <w:rPr>
          <w:spacing w:val="35"/>
        </w:rPr>
        <w:t xml:space="preserve">  </w:t>
      </w:r>
      <w:r>
        <w:rPr>
          <w:spacing w:val="-10"/>
        </w:rPr>
        <w:t>-</w:t>
      </w:r>
    </w:p>
    <w:p w:rsidR="007259F2" w:rsidRDefault="00E655B4">
      <w:pPr>
        <w:pStyle w:val="Corpodetexto"/>
        <w:spacing w:before="1"/>
        <w:ind w:firstLine="0"/>
      </w:pPr>
      <w:r>
        <w:t>TERCEIRA</w:t>
      </w:r>
      <w:r>
        <w:rPr>
          <w:spacing w:val="-2"/>
        </w:rPr>
        <w:t xml:space="preserve"> </w:t>
      </w:r>
      <w:r>
        <w:t>TURMA,</w:t>
      </w:r>
      <w:r>
        <w:rPr>
          <w:spacing w:val="-1"/>
        </w:rPr>
        <w:t xml:space="preserve"> </w:t>
      </w:r>
      <w:r>
        <w:t>Data</w:t>
      </w:r>
      <w:r>
        <w:rPr>
          <w:spacing w:val="-1"/>
        </w:rPr>
        <w:t xml:space="preserve"> </w:t>
      </w:r>
      <w:r>
        <w:t>de</w:t>
      </w:r>
      <w:r>
        <w:rPr>
          <w:spacing w:val="-3"/>
        </w:rPr>
        <w:t xml:space="preserve"> </w:t>
      </w:r>
      <w:r>
        <w:t>Publicação:</w:t>
      </w:r>
      <w:r>
        <w:rPr>
          <w:spacing w:val="-1"/>
        </w:rPr>
        <w:t xml:space="preserve"> </w:t>
      </w:r>
      <w:r>
        <w:t>DJe</w:t>
      </w:r>
      <w:r>
        <w:rPr>
          <w:spacing w:val="-2"/>
        </w:rPr>
        <w:t xml:space="preserve"> 18/12/2020.</w:t>
      </w:r>
    </w:p>
    <w:p w:rsidR="007259F2" w:rsidRDefault="00E655B4">
      <w:pPr>
        <w:spacing w:before="120"/>
        <w:ind w:left="710"/>
        <w:jc w:val="both"/>
        <w:rPr>
          <w:sz w:val="24"/>
        </w:rPr>
      </w:pPr>
      <w:r>
        <w:rPr>
          <w:sz w:val="24"/>
        </w:rPr>
        <w:t>BRASIL.</w:t>
      </w:r>
      <w:r>
        <w:rPr>
          <w:spacing w:val="64"/>
          <w:w w:val="150"/>
          <w:sz w:val="24"/>
        </w:rPr>
        <w:t xml:space="preserve"> </w:t>
      </w:r>
      <w:r>
        <w:rPr>
          <w:sz w:val="24"/>
        </w:rPr>
        <w:t>Supremo</w:t>
      </w:r>
      <w:r>
        <w:rPr>
          <w:spacing w:val="66"/>
          <w:w w:val="150"/>
          <w:sz w:val="24"/>
        </w:rPr>
        <w:t xml:space="preserve"> </w:t>
      </w:r>
      <w:r>
        <w:rPr>
          <w:sz w:val="24"/>
        </w:rPr>
        <w:t>Tribunal</w:t>
      </w:r>
      <w:r>
        <w:rPr>
          <w:spacing w:val="69"/>
          <w:w w:val="150"/>
          <w:sz w:val="24"/>
        </w:rPr>
        <w:t xml:space="preserve"> </w:t>
      </w:r>
      <w:r>
        <w:rPr>
          <w:sz w:val="24"/>
        </w:rPr>
        <w:t>de</w:t>
      </w:r>
      <w:r>
        <w:rPr>
          <w:spacing w:val="65"/>
          <w:w w:val="150"/>
          <w:sz w:val="24"/>
        </w:rPr>
        <w:t xml:space="preserve"> </w:t>
      </w:r>
      <w:r>
        <w:rPr>
          <w:sz w:val="24"/>
        </w:rPr>
        <w:t>Justiça.</w:t>
      </w:r>
      <w:r>
        <w:rPr>
          <w:spacing w:val="68"/>
          <w:w w:val="150"/>
          <w:sz w:val="24"/>
        </w:rPr>
        <w:t xml:space="preserve"> </w:t>
      </w:r>
      <w:r>
        <w:rPr>
          <w:b/>
          <w:sz w:val="24"/>
        </w:rPr>
        <w:t>REsp:</w:t>
      </w:r>
      <w:r>
        <w:rPr>
          <w:b/>
          <w:spacing w:val="65"/>
          <w:w w:val="150"/>
          <w:sz w:val="24"/>
        </w:rPr>
        <w:t xml:space="preserve"> </w:t>
      </w:r>
      <w:r>
        <w:rPr>
          <w:b/>
          <w:sz w:val="24"/>
        </w:rPr>
        <w:t>1736091</w:t>
      </w:r>
      <w:r>
        <w:rPr>
          <w:b/>
          <w:spacing w:val="68"/>
          <w:w w:val="150"/>
          <w:sz w:val="24"/>
        </w:rPr>
        <w:t xml:space="preserve"> </w:t>
      </w:r>
      <w:r>
        <w:rPr>
          <w:b/>
          <w:sz w:val="24"/>
        </w:rPr>
        <w:t>PE</w:t>
      </w:r>
      <w:r>
        <w:rPr>
          <w:sz w:val="24"/>
        </w:rPr>
        <w:t>,</w:t>
      </w:r>
      <w:r>
        <w:rPr>
          <w:spacing w:val="66"/>
          <w:w w:val="150"/>
          <w:sz w:val="24"/>
        </w:rPr>
        <w:t xml:space="preserve"> </w:t>
      </w:r>
      <w:r>
        <w:rPr>
          <w:sz w:val="24"/>
        </w:rPr>
        <w:t>Relatora:</w:t>
      </w:r>
      <w:r>
        <w:rPr>
          <w:spacing w:val="67"/>
          <w:w w:val="150"/>
          <w:sz w:val="24"/>
        </w:rPr>
        <w:t xml:space="preserve"> </w:t>
      </w:r>
      <w:r>
        <w:rPr>
          <w:spacing w:val="-2"/>
          <w:sz w:val="24"/>
        </w:rPr>
        <w:t>Ministra</w:t>
      </w:r>
    </w:p>
    <w:p w:rsidR="007259F2" w:rsidRDefault="007259F2">
      <w:pPr>
        <w:jc w:val="both"/>
        <w:rPr>
          <w:sz w:val="24"/>
        </w:rPr>
        <w:sectPr w:rsidR="007259F2">
          <w:pgSz w:w="11910" w:h="16840"/>
          <w:pgMar w:top="1320" w:right="708" w:bottom="1160" w:left="992" w:header="0" w:footer="962" w:gutter="0"/>
          <w:cols w:space="720"/>
        </w:sectPr>
      </w:pPr>
    </w:p>
    <w:p w:rsidR="007259F2" w:rsidRDefault="00E655B4">
      <w:pPr>
        <w:pStyle w:val="Corpodetexto"/>
        <w:spacing w:before="69"/>
        <w:ind w:firstLine="0"/>
      </w:pPr>
      <w:r>
        <w:lastRenderedPageBreak/>
        <w:t>NANCY</w:t>
      </w:r>
      <w:r>
        <w:rPr>
          <w:spacing w:val="43"/>
        </w:rPr>
        <w:t xml:space="preserve"> </w:t>
      </w:r>
      <w:r>
        <w:t>ANDRIGHI,</w:t>
      </w:r>
      <w:r>
        <w:rPr>
          <w:spacing w:val="46"/>
        </w:rPr>
        <w:t xml:space="preserve"> </w:t>
      </w:r>
      <w:r>
        <w:t>Data</w:t>
      </w:r>
      <w:r>
        <w:rPr>
          <w:spacing w:val="43"/>
        </w:rPr>
        <w:t xml:space="preserve"> </w:t>
      </w:r>
      <w:r>
        <w:t>de</w:t>
      </w:r>
      <w:r>
        <w:rPr>
          <w:spacing w:val="43"/>
        </w:rPr>
        <w:t xml:space="preserve"> </w:t>
      </w:r>
      <w:r>
        <w:t>Julgamento:</w:t>
      </w:r>
      <w:r>
        <w:rPr>
          <w:spacing w:val="44"/>
        </w:rPr>
        <w:t xml:space="preserve"> </w:t>
      </w:r>
      <w:r>
        <w:t>14/05/2019,</w:t>
      </w:r>
      <w:r>
        <w:rPr>
          <w:spacing w:val="44"/>
        </w:rPr>
        <w:t xml:space="preserve"> </w:t>
      </w:r>
      <w:r>
        <w:t>T3</w:t>
      </w:r>
      <w:r>
        <w:rPr>
          <w:spacing w:val="48"/>
        </w:rPr>
        <w:t xml:space="preserve"> </w:t>
      </w:r>
      <w:r>
        <w:t>-</w:t>
      </w:r>
      <w:r>
        <w:rPr>
          <w:spacing w:val="43"/>
        </w:rPr>
        <w:t xml:space="preserve"> </w:t>
      </w:r>
      <w:r>
        <w:t>TERCEIRA</w:t>
      </w:r>
      <w:r>
        <w:rPr>
          <w:spacing w:val="43"/>
        </w:rPr>
        <w:t xml:space="preserve"> </w:t>
      </w:r>
      <w:r>
        <w:rPr>
          <w:spacing w:val="-2"/>
        </w:rPr>
        <w:t>TURMA,</w:t>
      </w:r>
    </w:p>
    <w:p w:rsidR="007259F2" w:rsidRDefault="00E655B4">
      <w:pPr>
        <w:pStyle w:val="Corpodetexto"/>
        <w:spacing w:before="1"/>
        <w:ind w:firstLine="0"/>
      </w:pPr>
      <w:r>
        <w:t>Data</w:t>
      </w:r>
      <w:r>
        <w:rPr>
          <w:spacing w:val="-1"/>
        </w:rPr>
        <w:t xml:space="preserve"> </w:t>
      </w:r>
      <w:r>
        <w:t>de</w:t>
      </w:r>
      <w:r>
        <w:rPr>
          <w:spacing w:val="-2"/>
        </w:rPr>
        <w:t xml:space="preserve"> </w:t>
      </w:r>
      <w:r>
        <w:t>Publicação:</w:t>
      </w:r>
      <w:r>
        <w:rPr>
          <w:spacing w:val="-1"/>
        </w:rPr>
        <w:t xml:space="preserve"> </w:t>
      </w:r>
      <w:r>
        <w:t>DJe</w:t>
      </w:r>
      <w:r>
        <w:rPr>
          <w:spacing w:val="-1"/>
        </w:rPr>
        <w:t xml:space="preserve"> </w:t>
      </w:r>
      <w:r>
        <w:rPr>
          <w:spacing w:val="-2"/>
        </w:rPr>
        <w:t>16/05/2019.</w:t>
      </w:r>
    </w:p>
    <w:p w:rsidR="007259F2" w:rsidRDefault="00E655B4">
      <w:pPr>
        <w:pStyle w:val="Corpodetexto"/>
        <w:spacing w:before="120"/>
        <w:ind w:right="989" w:firstLine="0"/>
      </w:pPr>
      <w:r>
        <w:t xml:space="preserve">BRASIL. Supremo Tribunal de Justiça. </w:t>
      </w:r>
      <w:r>
        <w:rPr>
          <w:b/>
        </w:rPr>
        <w:t>REsp: 1797615 MA</w:t>
      </w:r>
      <w:r>
        <w:t>, Relator: Ministro HERMAN</w:t>
      </w:r>
      <w:r>
        <w:rPr>
          <w:spacing w:val="20"/>
        </w:rPr>
        <w:t xml:space="preserve"> </w:t>
      </w:r>
      <w:r>
        <w:t>BENJAMIN,</w:t>
      </w:r>
      <w:r>
        <w:rPr>
          <w:spacing w:val="25"/>
        </w:rPr>
        <w:t xml:space="preserve"> </w:t>
      </w:r>
      <w:r>
        <w:t>Data</w:t>
      </w:r>
      <w:r>
        <w:rPr>
          <w:spacing w:val="25"/>
        </w:rPr>
        <w:t xml:space="preserve"> </w:t>
      </w:r>
      <w:r>
        <w:t>de</w:t>
      </w:r>
      <w:r>
        <w:rPr>
          <w:spacing w:val="22"/>
        </w:rPr>
        <w:t xml:space="preserve"> </w:t>
      </w:r>
      <w:r>
        <w:t>Julgamento:</w:t>
      </w:r>
      <w:r>
        <w:rPr>
          <w:spacing w:val="24"/>
        </w:rPr>
        <w:t xml:space="preserve"> </w:t>
      </w:r>
      <w:r>
        <w:t>10/12/2019,</w:t>
      </w:r>
      <w:r>
        <w:rPr>
          <w:spacing w:val="23"/>
        </w:rPr>
        <w:t xml:space="preserve"> </w:t>
      </w:r>
      <w:r>
        <w:t>T2</w:t>
      </w:r>
      <w:r>
        <w:rPr>
          <w:spacing w:val="25"/>
        </w:rPr>
        <w:t xml:space="preserve"> </w:t>
      </w:r>
      <w:r>
        <w:t>-</w:t>
      </w:r>
      <w:r>
        <w:rPr>
          <w:spacing w:val="23"/>
        </w:rPr>
        <w:t xml:space="preserve"> </w:t>
      </w:r>
      <w:r>
        <w:t>SEGUNDA</w:t>
      </w:r>
      <w:r>
        <w:rPr>
          <w:spacing w:val="22"/>
        </w:rPr>
        <w:t xml:space="preserve"> </w:t>
      </w:r>
      <w:r>
        <w:rPr>
          <w:spacing w:val="-2"/>
        </w:rPr>
        <w:t>TURMA,</w:t>
      </w:r>
    </w:p>
    <w:p w:rsidR="007259F2" w:rsidRDefault="00E655B4">
      <w:pPr>
        <w:pStyle w:val="Corpodetexto"/>
        <w:ind w:firstLine="0"/>
      </w:pPr>
      <w:r>
        <w:t>Data</w:t>
      </w:r>
      <w:r>
        <w:rPr>
          <w:spacing w:val="-1"/>
        </w:rPr>
        <w:t xml:space="preserve"> </w:t>
      </w:r>
      <w:r>
        <w:t>de</w:t>
      </w:r>
      <w:r>
        <w:rPr>
          <w:spacing w:val="-2"/>
        </w:rPr>
        <w:t xml:space="preserve"> </w:t>
      </w:r>
      <w:r>
        <w:t>Publicação:</w:t>
      </w:r>
      <w:r>
        <w:rPr>
          <w:spacing w:val="-1"/>
        </w:rPr>
        <w:t xml:space="preserve"> </w:t>
      </w:r>
      <w:r>
        <w:t>DJe</w:t>
      </w:r>
      <w:r>
        <w:rPr>
          <w:spacing w:val="-1"/>
        </w:rPr>
        <w:t xml:space="preserve"> </w:t>
      </w:r>
      <w:r>
        <w:rPr>
          <w:spacing w:val="-2"/>
        </w:rPr>
        <w:t>25/05/2020.</w:t>
      </w:r>
    </w:p>
    <w:p w:rsidR="007259F2" w:rsidRDefault="00E655B4">
      <w:pPr>
        <w:pStyle w:val="Corpodetexto"/>
        <w:spacing w:before="120"/>
        <w:ind w:right="988" w:firstLine="0"/>
      </w:pPr>
      <w:r>
        <w:t xml:space="preserve">BRASIL. Supremo Tribunal de Justiça. </w:t>
      </w:r>
      <w:r>
        <w:rPr>
          <w:b/>
        </w:rPr>
        <w:t>AgInt no REsp: 1630163 PR</w:t>
      </w:r>
      <w:r>
        <w:t>, Relator:</w:t>
      </w:r>
      <w:r>
        <w:rPr>
          <w:spacing w:val="40"/>
        </w:rPr>
        <w:t xml:space="preserve"> </w:t>
      </w:r>
      <w:r>
        <w:t>Ministro BENEDITO GONÇALVES, Data de Julgamento: 28/09/2017, T1 - PRIMEIRA TURMA, Data de Publicação: DJe 16/10/2017.</w:t>
      </w:r>
    </w:p>
    <w:p w:rsidR="007259F2" w:rsidRDefault="00E655B4">
      <w:pPr>
        <w:pStyle w:val="Corpodetexto"/>
        <w:tabs>
          <w:tab w:val="left" w:pos="1749"/>
          <w:tab w:val="left" w:pos="3478"/>
          <w:tab w:val="left" w:pos="4512"/>
        </w:tabs>
        <w:spacing w:before="120"/>
        <w:ind w:right="988" w:firstLine="0"/>
      </w:pPr>
      <w:r>
        <w:t xml:space="preserve">BRASIL. </w:t>
      </w:r>
      <w:r>
        <w:rPr>
          <w:b/>
        </w:rPr>
        <w:t>Lei nº 13.105, de 16 de março de 2015</w:t>
      </w:r>
      <w:r>
        <w:t xml:space="preserve">. Código de Processo Civil. Brasília, </w:t>
      </w:r>
      <w:r>
        <w:rPr>
          <w:spacing w:val="-4"/>
        </w:rPr>
        <w:t>DF.</w:t>
      </w:r>
      <w:r>
        <w:tab/>
      </w:r>
      <w:r>
        <w:rPr>
          <w:spacing w:val="-2"/>
        </w:rPr>
        <w:t>Disponível</w:t>
      </w:r>
      <w:r>
        <w:tab/>
      </w:r>
      <w:r>
        <w:rPr>
          <w:spacing w:val="-4"/>
        </w:rPr>
        <w:t>em:</w:t>
      </w:r>
      <w:r>
        <w:tab/>
      </w:r>
      <w:r>
        <w:rPr>
          <w:spacing w:val="-2"/>
        </w:rPr>
        <w:t>https://</w:t>
      </w:r>
      <w:hyperlink r:id="rId430">
        <w:r>
          <w:rPr>
            <w:spacing w:val="-2"/>
          </w:rPr>
          <w:t>www.planalto.gov.br/ccivil_03/_ato2015-</w:t>
        </w:r>
      </w:hyperlink>
      <w:r>
        <w:rPr>
          <w:spacing w:val="-2"/>
        </w:rPr>
        <w:t xml:space="preserve"> </w:t>
      </w:r>
      <w:r>
        <w:t>2018/2015/lei/l13105.htm. Acesso em 07 jan. 2024.</w:t>
      </w:r>
    </w:p>
    <w:p w:rsidR="007259F2" w:rsidRDefault="00E655B4">
      <w:pPr>
        <w:pStyle w:val="Corpodetexto"/>
        <w:spacing w:before="120"/>
        <w:ind w:right="990" w:firstLine="0"/>
      </w:pPr>
      <w:r>
        <w:t>BRASIL.</w:t>
      </w:r>
      <w:r>
        <w:rPr>
          <w:spacing w:val="-4"/>
        </w:rPr>
        <w:t xml:space="preserve"> </w:t>
      </w:r>
      <w:r>
        <w:t>Supremo</w:t>
      </w:r>
      <w:r>
        <w:rPr>
          <w:spacing w:val="-4"/>
        </w:rPr>
        <w:t xml:space="preserve"> </w:t>
      </w:r>
      <w:r>
        <w:t>Tribunal</w:t>
      </w:r>
      <w:r>
        <w:rPr>
          <w:spacing w:val="-4"/>
        </w:rPr>
        <w:t xml:space="preserve"> </w:t>
      </w:r>
      <w:r>
        <w:t>de</w:t>
      </w:r>
      <w:r>
        <w:rPr>
          <w:spacing w:val="-4"/>
        </w:rPr>
        <w:t xml:space="preserve"> </w:t>
      </w:r>
      <w:r>
        <w:t>Justiça.</w:t>
      </w:r>
      <w:r>
        <w:rPr>
          <w:spacing w:val="-2"/>
        </w:rPr>
        <w:t xml:space="preserve"> </w:t>
      </w:r>
      <w:r>
        <w:rPr>
          <w:b/>
        </w:rPr>
        <w:t>REsp:</w:t>
      </w:r>
      <w:r>
        <w:rPr>
          <w:b/>
          <w:spacing w:val="-4"/>
        </w:rPr>
        <w:t xml:space="preserve"> </w:t>
      </w:r>
      <w:r>
        <w:rPr>
          <w:b/>
        </w:rPr>
        <w:t>1251993</w:t>
      </w:r>
      <w:r>
        <w:rPr>
          <w:b/>
          <w:spacing w:val="-4"/>
        </w:rPr>
        <w:t xml:space="preserve"> </w:t>
      </w:r>
      <w:r>
        <w:rPr>
          <w:b/>
        </w:rPr>
        <w:t>PR</w:t>
      </w:r>
      <w:r>
        <w:t>,</w:t>
      </w:r>
      <w:r>
        <w:rPr>
          <w:spacing w:val="-4"/>
        </w:rPr>
        <w:t xml:space="preserve"> </w:t>
      </w:r>
      <w:r>
        <w:t>Relator:</w:t>
      </w:r>
      <w:r>
        <w:rPr>
          <w:spacing w:val="-4"/>
        </w:rPr>
        <w:t xml:space="preserve"> </w:t>
      </w:r>
      <w:r>
        <w:t>Ministro</w:t>
      </w:r>
      <w:r>
        <w:rPr>
          <w:spacing w:val="-4"/>
        </w:rPr>
        <w:t xml:space="preserve"> </w:t>
      </w:r>
      <w:r>
        <w:t>MAURO CAMPBELL</w:t>
      </w:r>
      <w:r>
        <w:rPr>
          <w:spacing w:val="9"/>
        </w:rPr>
        <w:t xml:space="preserve"> </w:t>
      </w:r>
      <w:r>
        <w:t>MARQUES,</w:t>
      </w:r>
      <w:r>
        <w:rPr>
          <w:spacing w:val="10"/>
        </w:rPr>
        <w:t xml:space="preserve"> </w:t>
      </w:r>
      <w:r>
        <w:t>Data</w:t>
      </w:r>
      <w:r>
        <w:rPr>
          <w:spacing w:val="10"/>
        </w:rPr>
        <w:t xml:space="preserve"> </w:t>
      </w:r>
      <w:r>
        <w:t>de</w:t>
      </w:r>
      <w:r>
        <w:rPr>
          <w:spacing w:val="9"/>
        </w:rPr>
        <w:t xml:space="preserve"> </w:t>
      </w:r>
      <w:r>
        <w:t>Julgamento:</w:t>
      </w:r>
      <w:r>
        <w:rPr>
          <w:spacing w:val="13"/>
        </w:rPr>
        <w:t xml:space="preserve"> </w:t>
      </w:r>
      <w:r>
        <w:t>12/12/2012,</w:t>
      </w:r>
      <w:r>
        <w:rPr>
          <w:spacing w:val="10"/>
        </w:rPr>
        <w:t xml:space="preserve"> </w:t>
      </w:r>
      <w:r>
        <w:t>S1</w:t>
      </w:r>
      <w:r>
        <w:rPr>
          <w:spacing w:val="15"/>
        </w:rPr>
        <w:t xml:space="preserve"> </w:t>
      </w:r>
      <w:r>
        <w:t>-</w:t>
      </w:r>
      <w:r>
        <w:rPr>
          <w:spacing w:val="10"/>
        </w:rPr>
        <w:t xml:space="preserve"> </w:t>
      </w:r>
      <w:r>
        <w:t>PRIMEIRA</w:t>
      </w:r>
      <w:r>
        <w:rPr>
          <w:spacing w:val="12"/>
        </w:rPr>
        <w:t xml:space="preserve"> </w:t>
      </w:r>
      <w:r>
        <w:rPr>
          <w:spacing w:val="-2"/>
        </w:rPr>
        <w:t>SEÇÃO,</w:t>
      </w:r>
    </w:p>
    <w:p w:rsidR="007259F2" w:rsidRDefault="00E655B4">
      <w:pPr>
        <w:pStyle w:val="Corpodetexto"/>
        <w:spacing w:before="1"/>
        <w:ind w:firstLine="0"/>
        <w:jc w:val="left"/>
      </w:pPr>
      <w:r>
        <w:t>Data</w:t>
      </w:r>
      <w:r>
        <w:rPr>
          <w:spacing w:val="-1"/>
        </w:rPr>
        <w:t xml:space="preserve"> </w:t>
      </w:r>
      <w:r>
        <w:t>de</w:t>
      </w:r>
      <w:r>
        <w:rPr>
          <w:spacing w:val="-2"/>
        </w:rPr>
        <w:t xml:space="preserve"> </w:t>
      </w:r>
      <w:r>
        <w:t>Publicação:</w:t>
      </w:r>
      <w:r>
        <w:rPr>
          <w:spacing w:val="-1"/>
        </w:rPr>
        <w:t xml:space="preserve"> </w:t>
      </w:r>
      <w:r>
        <w:t>DJe</w:t>
      </w:r>
      <w:r>
        <w:rPr>
          <w:spacing w:val="-1"/>
        </w:rPr>
        <w:t xml:space="preserve"> </w:t>
      </w:r>
      <w:r>
        <w:rPr>
          <w:spacing w:val="-2"/>
        </w:rPr>
        <w:t>19/12/2012.</w:t>
      </w:r>
    </w:p>
    <w:p w:rsidR="007259F2" w:rsidRDefault="00E655B4">
      <w:pPr>
        <w:tabs>
          <w:tab w:val="left" w:pos="8163"/>
        </w:tabs>
        <w:spacing w:before="120"/>
        <w:ind w:left="710" w:right="988"/>
        <w:rPr>
          <w:sz w:val="24"/>
        </w:rPr>
      </w:pPr>
      <w:r>
        <w:rPr>
          <w:sz w:val="24"/>
        </w:rPr>
        <w:t>BRASIL.</w:t>
      </w:r>
      <w:r>
        <w:rPr>
          <w:spacing w:val="26"/>
          <w:sz w:val="24"/>
        </w:rPr>
        <w:t xml:space="preserve"> </w:t>
      </w:r>
      <w:r>
        <w:rPr>
          <w:b/>
          <w:sz w:val="24"/>
        </w:rPr>
        <w:t>Lei</w:t>
      </w:r>
      <w:r>
        <w:rPr>
          <w:b/>
          <w:spacing w:val="26"/>
          <w:sz w:val="24"/>
        </w:rPr>
        <w:t xml:space="preserve"> </w:t>
      </w:r>
      <w:r>
        <w:rPr>
          <w:b/>
          <w:sz w:val="24"/>
        </w:rPr>
        <w:t>nº</w:t>
      </w:r>
      <w:r>
        <w:rPr>
          <w:b/>
          <w:spacing w:val="25"/>
          <w:sz w:val="24"/>
        </w:rPr>
        <w:t xml:space="preserve"> </w:t>
      </w:r>
      <w:r>
        <w:rPr>
          <w:b/>
          <w:sz w:val="24"/>
        </w:rPr>
        <w:t>10.406,</w:t>
      </w:r>
      <w:r>
        <w:rPr>
          <w:b/>
          <w:spacing w:val="25"/>
          <w:sz w:val="24"/>
        </w:rPr>
        <w:t xml:space="preserve"> </w:t>
      </w:r>
      <w:r>
        <w:rPr>
          <w:b/>
          <w:sz w:val="24"/>
        </w:rPr>
        <w:t>de</w:t>
      </w:r>
      <w:r>
        <w:rPr>
          <w:b/>
          <w:spacing w:val="24"/>
          <w:sz w:val="24"/>
        </w:rPr>
        <w:t xml:space="preserve"> </w:t>
      </w:r>
      <w:r>
        <w:rPr>
          <w:b/>
          <w:sz w:val="24"/>
        </w:rPr>
        <w:t>10</w:t>
      </w:r>
      <w:r>
        <w:rPr>
          <w:b/>
          <w:spacing w:val="25"/>
          <w:sz w:val="24"/>
        </w:rPr>
        <w:t xml:space="preserve"> </w:t>
      </w:r>
      <w:r>
        <w:rPr>
          <w:b/>
          <w:sz w:val="24"/>
        </w:rPr>
        <w:t>de</w:t>
      </w:r>
      <w:r>
        <w:rPr>
          <w:b/>
          <w:spacing w:val="24"/>
          <w:sz w:val="24"/>
        </w:rPr>
        <w:t xml:space="preserve"> </w:t>
      </w:r>
      <w:r>
        <w:rPr>
          <w:b/>
          <w:sz w:val="24"/>
        </w:rPr>
        <w:t>janeiro</w:t>
      </w:r>
      <w:r>
        <w:rPr>
          <w:b/>
          <w:spacing w:val="25"/>
          <w:sz w:val="24"/>
        </w:rPr>
        <w:t xml:space="preserve"> </w:t>
      </w:r>
      <w:r>
        <w:rPr>
          <w:b/>
          <w:sz w:val="24"/>
        </w:rPr>
        <w:t>de</w:t>
      </w:r>
      <w:r>
        <w:rPr>
          <w:b/>
          <w:spacing w:val="24"/>
          <w:sz w:val="24"/>
        </w:rPr>
        <w:t xml:space="preserve"> </w:t>
      </w:r>
      <w:r>
        <w:rPr>
          <w:b/>
          <w:sz w:val="24"/>
        </w:rPr>
        <w:t>2002</w:t>
      </w:r>
      <w:r>
        <w:rPr>
          <w:sz w:val="24"/>
        </w:rPr>
        <w:t>.</w:t>
      </w:r>
      <w:r>
        <w:rPr>
          <w:spacing w:val="27"/>
          <w:sz w:val="24"/>
        </w:rPr>
        <w:t xml:space="preserve"> </w:t>
      </w:r>
      <w:r>
        <w:rPr>
          <w:sz w:val="24"/>
        </w:rPr>
        <w:t>Institui</w:t>
      </w:r>
      <w:r>
        <w:rPr>
          <w:spacing w:val="26"/>
          <w:sz w:val="24"/>
        </w:rPr>
        <w:t xml:space="preserve"> </w:t>
      </w:r>
      <w:r>
        <w:rPr>
          <w:sz w:val="24"/>
        </w:rPr>
        <w:t>o</w:t>
      </w:r>
      <w:r>
        <w:rPr>
          <w:spacing w:val="25"/>
          <w:sz w:val="24"/>
        </w:rPr>
        <w:t xml:space="preserve"> </w:t>
      </w:r>
      <w:r>
        <w:rPr>
          <w:sz w:val="24"/>
        </w:rPr>
        <w:t>Código</w:t>
      </w:r>
      <w:r>
        <w:rPr>
          <w:spacing w:val="25"/>
          <w:sz w:val="24"/>
        </w:rPr>
        <w:t xml:space="preserve"> </w:t>
      </w:r>
      <w:r>
        <w:rPr>
          <w:sz w:val="24"/>
        </w:rPr>
        <w:t>Civil.</w:t>
      </w:r>
      <w:r>
        <w:rPr>
          <w:spacing w:val="26"/>
          <w:sz w:val="24"/>
        </w:rPr>
        <w:t xml:space="preserve"> </w:t>
      </w:r>
      <w:r>
        <w:rPr>
          <w:sz w:val="24"/>
        </w:rPr>
        <w:t xml:space="preserve">Brasília, </w:t>
      </w:r>
      <w:r>
        <w:rPr>
          <w:spacing w:val="-5"/>
          <w:sz w:val="24"/>
        </w:rPr>
        <w:t>DF.</w:t>
      </w:r>
      <w:r>
        <w:rPr>
          <w:sz w:val="24"/>
        </w:rPr>
        <w:tab/>
      </w:r>
      <w:r>
        <w:rPr>
          <w:spacing w:val="-2"/>
          <w:sz w:val="24"/>
        </w:rPr>
        <w:t>Disponível</w:t>
      </w:r>
    </w:p>
    <w:p w:rsidR="007259F2" w:rsidRDefault="00E655B4">
      <w:pPr>
        <w:pStyle w:val="Corpodetexto"/>
        <w:ind w:right="990" w:firstLine="0"/>
        <w:jc w:val="left"/>
      </w:pPr>
      <w:r>
        <w:t>em:https:/</w:t>
      </w:r>
      <w:hyperlink r:id="rId431">
        <w:r>
          <w:t>/www.planalto.gov.br/ccivil_03/leis/2002/l10406compilada.htm.</w:t>
        </w:r>
      </w:hyperlink>
      <w:r>
        <w:rPr>
          <w:spacing w:val="80"/>
        </w:rPr>
        <w:t xml:space="preserve"> </w:t>
      </w:r>
      <w:r>
        <w:t>Acesso</w:t>
      </w:r>
      <w:r>
        <w:rPr>
          <w:spacing w:val="80"/>
        </w:rPr>
        <w:t xml:space="preserve"> </w:t>
      </w:r>
      <w:r>
        <w:t>em 07 jan. 2024.</w:t>
      </w:r>
    </w:p>
    <w:p w:rsidR="007259F2" w:rsidRDefault="00E655B4">
      <w:pPr>
        <w:pStyle w:val="Corpodetexto"/>
        <w:spacing w:before="120"/>
        <w:ind w:right="991" w:firstLine="0"/>
      </w:pPr>
      <w:r>
        <w:t xml:space="preserve">BRASIL. Supremo Tribunal de Justiça. </w:t>
      </w:r>
      <w:r>
        <w:rPr>
          <w:b/>
        </w:rPr>
        <w:t>REsp 328.391/DF</w:t>
      </w:r>
      <w:r>
        <w:t>, Rel. Ministro PAULO MEDINA, SEGUNDA TURMA, julgado em 08/10/2002, DJ 02/12/2002.</w:t>
      </w:r>
    </w:p>
    <w:p w:rsidR="007259F2" w:rsidRDefault="00E655B4">
      <w:pPr>
        <w:spacing w:before="120"/>
        <w:ind w:left="710" w:right="991"/>
        <w:jc w:val="both"/>
        <w:rPr>
          <w:sz w:val="24"/>
        </w:rPr>
      </w:pPr>
      <w:r>
        <w:rPr>
          <w:sz w:val="24"/>
        </w:rPr>
        <w:t xml:space="preserve">BRASIL. </w:t>
      </w:r>
      <w:r>
        <w:rPr>
          <w:b/>
          <w:sz w:val="24"/>
        </w:rPr>
        <w:t>Constituição da República Federativa do Brasil de 1988</w:t>
      </w:r>
      <w:r>
        <w:rPr>
          <w:sz w:val="24"/>
        </w:rPr>
        <w:t>. Brasília, DF. Disponível em: https://</w:t>
      </w:r>
      <w:hyperlink r:id="rId432">
        <w:r>
          <w:rPr>
            <w:sz w:val="24"/>
          </w:rPr>
          <w:t>www.planalto.gov.br/ccivil_03/constituicao/constituicao.htm.</w:t>
        </w:r>
      </w:hyperlink>
      <w:r>
        <w:rPr>
          <w:sz w:val="24"/>
        </w:rPr>
        <w:t xml:space="preserve"> Acesso em 07 jan. 2024.</w:t>
      </w:r>
    </w:p>
    <w:p w:rsidR="007259F2" w:rsidRDefault="00E655B4">
      <w:pPr>
        <w:tabs>
          <w:tab w:val="left" w:pos="3032"/>
          <w:tab w:val="left" w:pos="5035"/>
          <w:tab w:val="left" w:pos="6601"/>
          <w:tab w:val="left" w:pos="8854"/>
        </w:tabs>
        <w:spacing w:before="120"/>
        <w:ind w:left="710" w:right="990"/>
        <w:jc w:val="both"/>
        <w:rPr>
          <w:sz w:val="24"/>
        </w:rPr>
      </w:pPr>
      <w:r>
        <w:rPr>
          <w:sz w:val="24"/>
        </w:rPr>
        <w:t xml:space="preserve">BRASIL. </w:t>
      </w:r>
      <w:r>
        <w:rPr>
          <w:b/>
          <w:sz w:val="24"/>
        </w:rPr>
        <w:t>Decreto nº 20.910, de 06 de janeiro de 1932</w:t>
      </w:r>
      <w:r>
        <w:rPr>
          <w:sz w:val="24"/>
        </w:rPr>
        <w:t>. Regula a prescrição</w:t>
      </w:r>
      <w:r>
        <w:rPr>
          <w:spacing w:val="40"/>
          <w:sz w:val="24"/>
        </w:rPr>
        <w:t xml:space="preserve"> </w:t>
      </w:r>
      <w:r>
        <w:rPr>
          <w:spacing w:val="-2"/>
          <w:sz w:val="24"/>
        </w:rPr>
        <w:t>quinquenal.</w:t>
      </w:r>
      <w:r>
        <w:rPr>
          <w:sz w:val="24"/>
        </w:rPr>
        <w:tab/>
      </w:r>
      <w:r>
        <w:rPr>
          <w:spacing w:val="-2"/>
          <w:sz w:val="24"/>
        </w:rPr>
        <w:t>Brasília,</w:t>
      </w:r>
      <w:r>
        <w:rPr>
          <w:sz w:val="24"/>
        </w:rPr>
        <w:tab/>
      </w:r>
      <w:r>
        <w:rPr>
          <w:spacing w:val="-4"/>
          <w:sz w:val="24"/>
        </w:rPr>
        <w:t>DF.</w:t>
      </w:r>
      <w:r>
        <w:rPr>
          <w:sz w:val="24"/>
        </w:rPr>
        <w:tab/>
      </w:r>
      <w:r>
        <w:rPr>
          <w:spacing w:val="-2"/>
          <w:sz w:val="24"/>
        </w:rPr>
        <w:t>Disponível</w:t>
      </w:r>
      <w:r>
        <w:rPr>
          <w:sz w:val="24"/>
        </w:rPr>
        <w:tab/>
      </w:r>
      <w:r>
        <w:rPr>
          <w:spacing w:val="-4"/>
          <w:sz w:val="24"/>
        </w:rPr>
        <w:t xml:space="preserve">em: </w:t>
      </w:r>
      <w:r>
        <w:rPr>
          <w:sz w:val="24"/>
        </w:rPr>
        <w:t>https:/</w:t>
      </w:r>
      <w:hyperlink r:id="rId433">
        <w:r>
          <w:rPr>
            <w:sz w:val="24"/>
          </w:rPr>
          <w:t>/www.planalto.gov.br/ccivil_03/decreto/antigos/d20910.htm</w:t>
        </w:r>
      </w:hyperlink>
      <w:r>
        <w:rPr>
          <w:sz w:val="24"/>
        </w:rPr>
        <w:t xml:space="preserve"> . Acesso em 07 jan. </w:t>
      </w:r>
      <w:r>
        <w:rPr>
          <w:spacing w:val="-2"/>
          <w:sz w:val="24"/>
        </w:rPr>
        <w:t>2024.</w:t>
      </w:r>
    </w:p>
    <w:p w:rsidR="007259F2" w:rsidRDefault="00E655B4">
      <w:pPr>
        <w:pStyle w:val="Corpodetexto"/>
        <w:spacing w:before="120"/>
        <w:ind w:right="989" w:firstLine="0"/>
      </w:pPr>
      <w:r>
        <w:t xml:space="preserve">BRASÍLIA, Tribunal de Justiça do Distrito Federal – </w:t>
      </w:r>
      <w:r>
        <w:rPr>
          <w:b/>
        </w:rPr>
        <w:t>AC: 07128730420198070018</w:t>
      </w:r>
      <w:r>
        <w:t>, Relator: SANDOVAL OLIVEIRA, Data de Julgamento: 05/08/2020, 2ª Turma Cível, Data de Publicação: Publicado no PJe: 16/08/2020.</w:t>
      </w:r>
    </w:p>
    <w:p w:rsidR="007259F2" w:rsidRDefault="00E655B4">
      <w:pPr>
        <w:pStyle w:val="Corpodetexto"/>
        <w:spacing w:before="120"/>
        <w:ind w:right="991" w:firstLine="0"/>
      </w:pPr>
      <w:r>
        <w:t xml:space="preserve">BRASÍLIA, Tribunal de Justiça do Distrito Federal – </w:t>
      </w:r>
      <w:r>
        <w:rPr>
          <w:b/>
        </w:rPr>
        <w:t>Acórdão 1125126, 07088456120178070018</w:t>
      </w:r>
      <w:r>
        <w:t>, Relatora: CARMELITA BRASIL, 2ª Turma Cível, data de julgamento: 19/9/2018, publicado no DJE: 27/9/2018.</w:t>
      </w:r>
    </w:p>
    <w:p w:rsidR="007259F2" w:rsidRDefault="00E655B4">
      <w:pPr>
        <w:pStyle w:val="Corpodetexto"/>
        <w:spacing w:before="121"/>
        <w:ind w:right="991" w:firstLine="0"/>
      </w:pPr>
      <w:r>
        <w:t xml:space="preserve">SÃO PAULO, Tribunal de Justiça do Estado de São Paulo - </w:t>
      </w:r>
      <w:r>
        <w:rPr>
          <w:b/>
        </w:rPr>
        <w:t>AC: 10045158220188260082 SP</w:t>
      </w:r>
      <w:r>
        <w:t>, Relator: Maria Lúcia Pizzotti, Data de Julgamento: 10/08/2020, 30ª Câmara de Direito Privado, Data de Publicação: 10/08/2020.</w:t>
      </w:r>
    </w:p>
    <w:p w:rsidR="007259F2" w:rsidRDefault="00E655B4">
      <w:pPr>
        <w:pStyle w:val="Corpodetexto"/>
        <w:spacing w:before="120"/>
        <w:ind w:right="987" w:firstLine="0"/>
      </w:pPr>
      <w:r>
        <w:t xml:space="preserve">SÃO PAULO (SP). </w:t>
      </w:r>
      <w:r>
        <w:rPr>
          <w:b/>
        </w:rPr>
        <w:t>Parecer PGM nº 11.777 de 18 de agosto de 2017</w:t>
      </w:r>
      <w:r>
        <w:t>. AJC.</w:t>
      </w:r>
      <w:r>
        <w:rPr>
          <w:spacing w:val="40"/>
        </w:rPr>
        <w:t xml:space="preserve"> </w:t>
      </w:r>
      <w:r>
        <w:t>Disponível em: https://legislacao.prefeitura.sp.gov.br/leis/parecer-procuradoria-geral- do-municipio-pgm-11777-de-18-de-agosto-de-2017. Acesso em 07 jan. 2024.</w:t>
      </w:r>
    </w:p>
    <w:p w:rsidR="007259F2" w:rsidRDefault="00E655B4">
      <w:pPr>
        <w:spacing w:before="120"/>
        <w:ind w:left="710" w:right="994"/>
        <w:jc w:val="both"/>
        <w:rPr>
          <w:sz w:val="24"/>
        </w:rPr>
      </w:pPr>
      <w:r>
        <w:rPr>
          <w:sz w:val="24"/>
        </w:rPr>
        <w:t xml:space="preserve">SIMÃO, José Fernando. </w:t>
      </w:r>
      <w:r>
        <w:rPr>
          <w:b/>
          <w:sz w:val="24"/>
        </w:rPr>
        <w:t>Tempo e Direito Civil</w:t>
      </w:r>
      <w:r>
        <w:rPr>
          <w:sz w:val="24"/>
        </w:rPr>
        <w:t>: Prescrição e Decadência. São Paulo: USP 2011.</w:t>
      </w:r>
    </w:p>
    <w:p w:rsidR="007259F2" w:rsidRDefault="00E655B4">
      <w:pPr>
        <w:spacing w:before="120"/>
        <w:ind w:left="710"/>
        <w:rPr>
          <w:sz w:val="24"/>
        </w:rPr>
      </w:pPr>
      <w:r>
        <w:rPr>
          <w:sz w:val="24"/>
        </w:rPr>
        <w:t>TARTUCE,</w:t>
      </w:r>
      <w:r>
        <w:rPr>
          <w:spacing w:val="-1"/>
          <w:sz w:val="24"/>
        </w:rPr>
        <w:t xml:space="preserve"> </w:t>
      </w:r>
      <w:r>
        <w:rPr>
          <w:sz w:val="24"/>
        </w:rPr>
        <w:t xml:space="preserve">Flávio. </w:t>
      </w:r>
      <w:r>
        <w:rPr>
          <w:b/>
          <w:sz w:val="24"/>
        </w:rPr>
        <w:t>Manual de</w:t>
      </w:r>
      <w:r>
        <w:rPr>
          <w:b/>
          <w:spacing w:val="-1"/>
          <w:sz w:val="24"/>
        </w:rPr>
        <w:t xml:space="preserve"> </w:t>
      </w:r>
      <w:r>
        <w:rPr>
          <w:b/>
          <w:sz w:val="24"/>
        </w:rPr>
        <w:t>Direito</w:t>
      </w:r>
      <w:r>
        <w:rPr>
          <w:b/>
          <w:spacing w:val="-1"/>
          <w:sz w:val="24"/>
        </w:rPr>
        <w:t xml:space="preserve"> </w:t>
      </w:r>
      <w:r>
        <w:rPr>
          <w:b/>
          <w:sz w:val="24"/>
        </w:rPr>
        <w:t>Civil</w:t>
      </w:r>
      <w:r>
        <w:rPr>
          <w:sz w:val="24"/>
        </w:rPr>
        <w:t>. Volume único. 7.</w:t>
      </w:r>
      <w:r>
        <w:rPr>
          <w:spacing w:val="-1"/>
          <w:sz w:val="24"/>
        </w:rPr>
        <w:t xml:space="preserve"> </w:t>
      </w:r>
      <w:r>
        <w:rPr>
          <w:sz w:val="24"/>
        </w:rPr>
        <w:t>ed. São Paulo,</w:t>
      </w:r>
      <w:r>
        <w:rPr>
          <w:spacing w:val="2"/>
          <w:sz w:val="24"/>
        </w:rPr>
        <w:t xml:space="preserve"> </w:t>
      </w:r>
      <w:r>
        <w:rPr>
          <w:spacing w:val="-2"/>
          <w:sz w:val="24"/>
        </w:rPr>
        <w:t>2017.</w:t>
      </w:r>
    </w:p>
    <w:p w:rsidR="007259F2" w:rsidRDefault="00E655B4">
      <w:pPr>
        <w:spacing w:before="121"/>
        <w:ind w:left="710" w:right="990"/>
        <w:rPr>
          <w:sz w:val="24"/>
        </w:rPr>
      </w:pPr>
      <w:r>
        <w:rPr>
          <w:sz w:val="24"/>
        </w:rPr>
        <w:t>THEODORO</w:t>
      </w:r>
      <w:r>
        <w:rPr>
          <w:spacing w:val="40"/>
          <w:sz w:val="24"/>
        </w:rPr>
        <w:t xml:space="preserve"> </w:t>
      </w:r>
      <w:r>
        <w:rPr>
          <w:sz w:val="24"/>
        </w:rPr>
        <w:t>JÚNIOR,</w:t>
      </w:r>
      <w:r>
        <w:rPr>
          <w:spacing w:val="40"/>
          <w:sz w:val="24"/>
        </w:rPr>
        <w:t xml:space="preserve"> </w:t>
      </w:r>
      <w:r>
        <w:rPr>
          <w:sz w:val="24"/>
        </w:rPr>
        <w:t>Humberto.</w:t>
      </w:r>
      <w:r>
        <w:rPr>
          <w:spacing w:val="40"/>
          <w:sz w:val="24"/>
        </w:rPr>
        <w:t xml:space="preserve"> </w:t>
      </w:r>
      <w:r>
        <w:rPr>
          <w:b/>
          <w:sz w:val="24"/>
        </w:rPr>
        <w:t>Prescrição</w:t>
      </w:r>
      <w:r>
        <w:rPr>
          <w:b/>
          <w:spacing w:val="40"/>
          <w:sz w:val="24"/>
        </w:rPr>
        <w:t xml:space="preserve"> </w:t>
      </w:r>
      <w:r>
        <w:rPr>
          <w:b/>
          <w:sz w:val="24"/>
        </w:rPr>
        <w:t>e</w:t>
      </w:r>
      <w:r>
        <w:rPr>
          <w:b/>
          <w:spacing w:val="40"/>
          <w:sz w:val="24"/>
        </w:rPr>
        <w:t xml:space="preserve"> </w:t>
      </w:r>
      <w:r>
        <w:rPr>
          <w:b/>
          <w:sz w:val="24"/>
        </w:rPr>
        <w:t>Decadência</w:t>
      </w:r>
      <w:r>
        <w:rPr>
          <w:sz w:val="24"/>
        </w:rPr>
        <w:t>.</w:t>
      </w:r>
      <w:r>
        <w:rPr>
          <w:spacing w:val="40"/>
          <w:sz w:val="24"/>
        </w:rPr>
        <w:t xml:space="preserve"> </w:t>
      </w:r>
      <w:r>
        <w:rPr>
          <w:sz w:val="24"/>
        </w:rPr>
        <w:t>2.ed.</w:t>
      </w:r>
      <w:r>
        <w:rPr>
          <w:spacing w:val="40"/>
          <w:sz w:val="24"/>
        </w:rPr>
        <w:t xml:space="preserve"> </w:t>
      </w:r>
      <w:r>
        <w:rPr>
          <w:sz w:val="24"/>
        </w:rPr>
        <w:t>Rio</w:t>
      </w:r>
      <w:r>
        <w:rPr>
          <w:spacing w:val="40"/>
          <w:sz w:val="24"/>
        </w:rPr>
        <w:t xml:space="preserve"> </w:t>
      </w:r>
      <w:r>
        <w:rPr>
          <w:sz w:val="24"/>
        </w:rPr>
        <w:t>de</w:t>
      </w:r>
      <w:r>
        <w:rPr>
          <w:spacing w:val="40"/>
          <w:sz w:val="24"/>
        </w:rPr>
        <w:t xml:space="preserve"> </w:t>
      </w:r>
      <w:r>
        <w:rPr>
          <w:sz w:val="24"/>
        </w:rPr>
        <w:t>Janeiro: Forense, 2021.</w:t>
      </w:r>
    </w:p>
    <w:p w:rsidR="007259F2" w:rsidRDefault="007259F2">
      <w:pPr>
        <w:rPr>
          <w:sz w:val="24"/>
        </w:rPr>
        <w:sectPr w:rsidR="007259F2">
          <w:pgSz w:w="11910" w:h="16840"/>
          <w:pgMar w:top="1320" w:right="708" w:bottom="1160" w:left="992" w:header="0" w:footer="962" w:gutter="0"/>
          <w:cols w:space="720"/>
        </w:sectPr>
      </w:pPr>
    </w:p>
    <w:p w:rsidR="007259F2" w:rsidRDefault="00E655B4">
      <w:pPr>
        <w:spacing w:before="74"/>
        <w:ind w:left="710"/>
        <w:rPr>
          <w:b/>
          <w:sz w:val="24"/>
        </w:rPr>
      </w:pPr>
      <w:r>
        <w:rPr>
          <w:b/>
          <w:sz w:val="24"/>
        </w:rPr>
        <w:lastRenderedPageBreak/>
        <w:t xml:space="preserve">Estudo de </w:t>
      </w:r>
      <w:r>
        <w:rPr>
          <w:b/>
          <w:spacing w:val="-2"/>
          <w:sz w:val="24"/>
        </w:rPr>
        <w:t>caso:</w:t>
      </w:r>
    </w:p>
    <w:p w:rsidR="007259F2" w:rsidRDefault="00E655B4">
      <w:pPr>
        <w:spacing w:line="480" w:lineRule="auto"/>
        <w:ind w:left="710" w:right="3217"/>
        <w:rPr>
          <w:b/>
          <w:sz w:val="24"/>
        </w:rPr>
      </w:pPr>
      <w:bookmarkStart w:id="23" w:name="_bookmark23"/>
      <w:bookmarkEnd w:id="23"/>
      <w:r>
        <w:rPr>
          <w:b/>
          <w:sz w:val="24"/>
        </w:rPr>
        <w:t>Responsabilidade</w:t>
      </w:r>
      <w:r>
        <w:rPr>
          <w:b/>
          <w:spacing w:val="-8"/>
          <w:sz w:val="24"/>
        </w:rPr>
        <w:t xml:space="preserve"> </w:t>
      </w:r>
      <w:r>
        <w:rPr>
          <w:b/>
          <w:sz w:val="24"/>
        </w:rPr>
        <w:t>Civil</w:t>
      </w:r>
      <w:r>
        <w:rPr>
          <w:b/>
          <w:spacing w:val="-9"/>
          <w:sz w:val="24"/>
        </w:rPr>
        <w:t xml:space="preserve"> </w:t>
      </w:r>
      <w:r>
        <w:rPr>
          <w:b/>
          <w:sz w:val="24"/>
        </w:rPr>
        <w:t>Ambiental:</w:t>
      </w:r>
      <w:r>
        <w:rPr>
          <w:b/>
          <w:spacing w:val="-6"/>
          <w:sz w:val="24"/>
        </w:rPr>
        <w:t xml:space="preserve"> </w:t>
      </w:r>
      <w:r>
        <w:rPr>
          <w:b/>
          <w:sz w:val="24"/>
        </w:rPr>
        <w:t>Supressão</w:t>
      </w:r>
      <w:r>
        <w:rPr>
          <w:b/>
          <w:spacing w:val="-7"/>
          <w:sz w:val="24"/>
        </w:rPr>
        <w:t xml:space="preserve"> </w:t>
      </w:r>
      <w:r>
        <w:rPr>
          <w:b/>
          <w:sz w:val="24"/>
        </w:rPr>
        <w:t>de</w:t>
      </w:r>
      <w:r>
        <w:rPr>
          <w:b/>
          <w:spacing w:val="-8"/>
          <w:sz w:val="24"/>
        </w:rPr>
        <w:t xml:space="preserve"> </w:t>
      </w:r>
      <w:r>
        <w:rPr>
          <w:b/>
          <w:sz w:val="24"/>
        </w:rPr>
        <w:t>Árvores Caio Oliveira Marques</w:t>
      </w:r>
      <w:r>
        <w:rPr>
          <w:b/>
          <w:sz w:val="24"/>
          <w:vertAlign w:val="superscript"/>
        </w:rPr>
        <w:t>1</w:t>
      </w:r>
    </w:p>
    <w:p w:rsidR="007259F2" w:rsidRDefault="007259F2">
      <w:pPr>
        <w:pStyle w:val="Corpodetexto"/>
        <w:spacing w:before="123"/>
        <w:ind w:left="0" w:firstLine="0"/>
        <w:jc w:val="left"/>
        <w:rPr>
          <w:b/>
        </w:rPr>
      </w:pPr>
    </w:p>
    <w:p w:rsidR="007259F2" w:rsidRDefault="00E655B4">
      <w:pPr>
        <w:ind w:left="710"/>
        <w:rPr>
          <w:b/>
          <w:sz w:val="24"/>
        </w:rPr>
      </w:pPr>
      <w:r>
        <w:rPr>
          <w:b/>
          <w:sz w:val="24"/>
        </w:rPr>
        <w:t>O</w:t>
      </w:r>
      <w:r>
        <w:rPr>
          <w:b/>
          <w:spacing w:val="-2"/>
          <w:sz w:val="24"/>
        </w:rPr>
        <w:t xml:space="preserve"> </w:t>
      </w:r>
      <w:r>
        <w:rPr>
          <w:b/>
          <w:spacing w:val="-4"/>
          <w:sz w:val="24"/>
        </w:rPr>
        <w:t>Caso</w:t>
      </w:r>
    </w:p>
    <w:p w:rsidR="007259F2" w:rsidRDefault="00E655B4">
      <w:pPr>
        <w:pStyle w:val="Corpodetexto"/>
        <w:spacing w:before="235"/>
        <w:ind w:right="989"/>
      </w:pPr>
      <w:r>
        <w:t>Através de denúncia anônima, em 08/10/2017, a Secretaria do Verde e do Meio Ambiente recebeu a informação de que, em terreno privado, localizado nos limites do Município de São Paulo, teria ocorrido o corte de grande quantidade de exemplares arbóreos de variadas espécies nativa da flora brasileira.</w:t>
      </w:r>
    </w:p>
    <w:p w:rsidR="007259F2" w:rsidRDefault="00E655B4">
      <w:pPr>
        <w:pStyle w:val="Corpodetexto"/>
        <w:spacing w:before="1"/>
        <w:ind w:right="994"/>
      </w:pPr>
      <w:r>
        <w:t>A fim de apurar a veracidade da denúncia recebida, a Secretaria do Verde e do Meio Ambiente, seguindo os procedimentos exigidos, instaurou processo</w:t>
      </w:r>
      <w:r>
        <w:rPr>
          <w:spacing w:val="40"/>
        </w:rPr>
        <w:t xml:space="preserve"> </w:t>
      </w:r>
      <w:r>
        <w:t>administrativo, incumbindo aos agentes técnicos capacitados a vistoria do local.</w:t>
      </w:r>
    </w:p>
    <w:p w:rsidR="007259F2" w:rsidRDefault="00E655B4">
      <w:pPr>
        <w:pStyle w:val="Corpodetexto"/>
        <w:ind w:right="986"/>
      </w:pPr>
      <w:r>
        <w:t>Em vistoria realizada em 05/11/2017, os agentes técnicos constataram, primeiramente, a supressão de 55 (cinquenta e cinco) exemplares arbóreos, todos de espécies nativas, em área especialmente protegida no Município (Decreto Estadual 30.433/89),</w:t>
      </w:r>
      <w:r>
        <w:rPr>
          <w:spacing w:val="-3"/>
        </w:rPr>
        <w:t xml:space="preserve"> </w:t>
      </w:r>
      <w:r>
        <w:t>conforme</w:t>
      </w:r>
      <w:r>
        <w:rPr>
          <w:spacing w:val="-3"/>
        </w:rPr>
        <w:t xml:space="preserve"> </w:t>
      </w:r>
      <w:r>
        <w:t>definido</w:t>
      </w:r>
      <w:r>
        <w:rPr>
          <w:spacing w:val="-2"/>
        </w:rPr>
        <w:t xml:space="preserve"> </w:t>
      </w:r>
      <w:r>
        <w:t>em</w:t>
      </w:r>
      <w:r>
        <w:rPr>
          <w:spacing w:val="-2"/>
        </w:rPr>
        <w:t xml:space="preserve"> </w:t>
      </w:r>
      <w:r>
        <w:t>Legislação</w:t>
      </w:r>
      <w:r>
        <w:rPr>
          <w:spacing w:val="-2"/>
        </w:rPr>
        <w:t xml:space="preserve"> </w:t>
      </w:r>
      <w:r>
        <w:t>Municipal;</w:t>
      </w:r>
      <w:r>
        <w:rPr>
          <w:spacing w:val="-2"/>
        </w:rPr>
        <w:t xml:space="preserve"> </w:t>
      </w:r>
      <w:r>
        <w:t>além</w:t>
      </w:r>
      <w:r>
        <w:rPr>
          <w:spacing w:val="-2"/>
        </w:rPr>
        <w:t xml:space="preserve"> </w:t>
      </w:r>
      <w:r>
        <w:t>disso,</w:t>
      </w:r>
      <w:r>
        <w:rPr>
          <w:spacing w:val="-2"/>
        </w:rPr>
        <w:t xml:space="preserve"> </w:t>
      </w:r>
      <w:r>
        <w:t>constatou-se</w:t>
      </w:r>
      <w:r>
        <w:rPr>
          <w:spacing w:val="-3"/>
        </w:rPr>
        <w:t xml:space="preserve"> </w:t>
      </w:r>
      <w:r>
        <w:t>ainda o depósito irregular de resíduos sólidos, alguns classificados como perigosos e outros como não perigosos, em área cimentada.</w:t>
      </w:r>
    </w:p>
    <w:p w:rsidR="007259F2" w:rsidRDefault="00E655B4">
      <w:pPr>
        <w:pStyle w:val="Corpodetexto"/>
        <w:ind w:right="994"/>
      </w:pPr>
      <w:r>
        <w:t>Ao</w:t>
      </w:r>
      <w:r>
        <w:rPr>
          <w:spacing w:val="-2"/>
        </w:rPr>
        <w:t xml:space="preserve"> </w:t>
      </w:r>
      <w:r>
        <w:t>realizar</w:t>
      </w:r>
      <w:r>
        <w:rPr>
          <w:spacing w:val="-2"/>
        </w:rPr>
        <w:t xml:space="preserve"> </w:t>
      </w:r>
      <w:r>
        <w:t>a</w:t>
      </w:r>
      <w:r>
        <w:rPr>
          <w:spacing w:val="-2"/>
        </w:rPr>
        <w:t xml:space="preserve"> </w:t>
      </w:r>
      <w:r>
        <w:t>vistoria,</w:t>
      </w:r>
      <w:r>
        <w:rPr>
          <w:spacing w:val="-2"/>
        </w:rPr>
        <w:t xml:space="preserve"> </w:t>
      </w:r>
      <w:r>
        <w:t>verificou-se</w:t>
      </w:r>
      <w:r>
        <w:rPr>
          <w:spacing w:val="-2"/>
        </w:rPr>
        <w:t xml:space="preserve"> </w:t>
      </w:r>
      <w:r>
        <w:t>que a</w:t>
      </w:r>
      <w:r>
        <w:rPr>
          <w:spacing w:val="-2"/>
        </w:rPr>
        <w:t xml:space="preserve"> </w:t>
      </w:r>
      <w:r>
        <w:t>supressão dos</w:t>
      </w:r>
      <w:r>
        <w:rPr>
          <w:spacing w:val="-1"/>
        </w:rPr>
        <w:t xml:space="preserve"> </w:t>
      </w:r>
      <w:r>
        <w:t>exemplares</w:t>
      </w:r>
      <w:r>
        <w:rPr>
          <w:spacing w:val="-1"/>
        </w:rPr>
        <w:t xml:space="preserve"> </w:t>
      </w:r>
      <w:r>
        <w:t>arbóreos</w:t>
      </w:r>
      <w:r>
        <w:rPr>
          <w:spacing w:val="-1"/>
        </w:rPr>
        <w:t xml:space="preserve"> </w:t>
      </w:r>
      <w:r>
        <w:t>teria ocorrido há pelos menos 3 meses, em razão do crescimento da vegetação, da qualidade de alguns exemplares arbóreos e do relato de pessoas presentes no local.</w:t>
      </w:r>
    </w:p>
    <w:p w:rsidR="007259F2" w:rsidRDefault="00E655B4">
      <w:pPr>
        <w:pStyle w:val="Corpodetexto"/>
        <w:spacing w:before="1"/>
        <w:ind w:right="989"/>
      </w:pPr>
      <w:r>
        <w:t xml:space="preserve">O relatório técnico foi elaborado, descrevendo e documentando de modo detalhado as características dos exemplares arbóreos suprimidos, bem como dos síduos sólidos encontrados, se havia ou não possibilidade de contaminação do solo, de rios ou </w:t>
      </w:r>
      <w:r>
        <w:rPr>
          <w:spacing w:val="-2"/>
        </w:rPr>
        <w:t>córregos.</w:t>
      </w:r>
    </w:p>
    <w:p w:rsidR="007259F2" w:rsidRDefault="00E655B4">
      <w:pPr>
        <w:pStyle w:val="Corpodetexto"/>
        <w:ind w:right="990"/>
      </w:pPr>
      <w:r>
        <w:t>Tendo em vista as informações constantes do relatório, foram lavrados, em 18/11/2017, os autos de infração e de multa em face da Construtora XY, proprietária do imóvel</w:t>
      </w:r>
      <w:r>
        <w:rPr>
          <w:spacing w:val="-1"/>
        </w:rPr>
        <w:t xml:space="preserve"> </w:t>
      </w:r>
      <w:r>
        <w:t>no</w:t>
      </w:r>
      <w:r>
        <w:rPr>
          <w:spacing w:val="-1"/>
        </w:rPr>
        <w:t xml:space="preserve"> </w:t>
      </w:r>
      <w:r>
        <w:t>momento</w:t>
      </w:r>
      <w:r>
        <w:rPr>
          <w:spacing w:val="-1"/>
        </w:rPr>
        <w:t xml:space="preserve"> </w:t>
      </w:r>
      <w:r>
        <w:t>da</w:t>
      </w:r>
      <w:r>
        <w:rPr>
          <w:spacing w:val="-2"/>
        </w:rPr>
        <w:t xml:space="preserve"> </w:t>
      </w:r>
      <w:r>
        <w:t>vistoria,</w:t>
      </w:r>
      <w:r>
        <w:rPr>
          <w:spacing w:val="-2"/>
        </w:rPr>
        <w:t xml:space="preserve"> </w:t>
      </w:r>
      <w:r>
        <w:t>em</w:t>
      </w:r>
      <w:r>
        <w:rPr>
          <w:spacing w:val="-1"/>
        </w:rPr>
        <w:t xml:space="preserve"> </w:t>
      </w:r>
      <w:r>
        <w:t>razão</w:t>
      </w:r>
      <w:r>
        <w:rPr>
          <w:spacing w:val="-1"/>
        </w:rPr>
        <w:t xml:space="preserve"> </w:t>
      </w:r>
      <w:r>
        <w:t>das</w:t>
      </w:r>
      <w:r>
        <w:rPr>
          <w:spacing w:val="-1"/>
        </w:rPr>
        <w:t xml:space="preserve"> </w:t>
      </w:r>
      <w:r>
        <w:t>infrações ambientais</w:t>
      </w:r>
      <w:r>
        <w:rPr>
          <w:spacing w:val="-1"/>
        </w:rPr>
        <w:t xml:space="preserve"> </w:t>
      </w:r>
      <w:r>
        <w:t>cometidas, ou</w:t>
      </w:r>
      <w:r>
        <w:rPr>
          <w:spacing w:val="-1"/>
        </w:rPr>
        <w:t xml:space="preserve"> </w:t>
      </w:r>
      <w:r>
        <w:t>seja,</w:t>
      </w:r>
      <w:r>
        <w:rPr>
          <w:spacing w:val="-1"/>
        </w:rPr>
        <w:t xml:space="preserve"> </w:t>
      </w:r>
      <w:r>
        <w:t>a supressão de exemplares arbóreos sem a autorização devida e o depósito de resíduos sólidos também sem a devida autorização, conforme mandamentos das legislações Federal, Estadual e Municipal.</w:t>
      </w:r>
    </w:p>
    <w:p w:rsidR="007259F2" w:rsidRDefault="00E655B4">
      <w:pPr>
        <w:pStyle w:val="Corpodetexto"/>
        <w:ind w:right="997"/>
      </w:pPr>
      <w:r>
        <w:t xml:space="preserve">Houve também a comunicação das autoridades policiais, especificamente da Polícia Civil do Estado de São Paulo, a fim de apurar a possível prática de crime </w:t>
      </w:r>
      <w:r>
        <w:rPr>
          <w:spacing w:val="-2"/>
        </w:rPr>
        <w:t>ambiental.</w:t>
      </w:r>
    </w:p>
    <w:p w:rsidR="007259F2" w:rsidRDefault="00E655B4">
      <w:pPr>
        <w:pStyle w:val="Corpodetexto"/>
        <w:ind w:right="996"/>
      </w:pPr>
      <w:r>
        <w:t>Em seguida providenciou-se a comunicação da infratora, para tomar ciência da aplicação da multa e da lavratura do auto de infração.</w:t>
      </w:r>
    </w:p>
    <w:p w:rsidR="007259F2" w:rsidRDefault="00E655B4">
      <w:pPr>
        <w:pStyle w:val="Corpodetexto"/>
        <w:spacing w:before="1"/>
        <w:ind w:right="987"/>
      </w:pPr>
      <w:r>
        <w:t>A Infratora apresentou Defesa Administrativa, sustentando não ter sido a responsável direta pelo cometimento das infrações relativas à supressão dos exemplares arbóreos, uma vez que ao realizar a compra da propriedade, em 27/09/2017, já não existiam os exemplares arbóreos verificados, portanto, não haveria responsabilidade. Além disso, juntou documentos que evidenciavam a supressão de exemplares arbóreos pelo antigo proprietário do imóvel, como imagens do imóvel tão logo ocorrida a supressão dos exemplares, anteriores à efetivação da compra.</w:t>
      </w:r>
    </w:p>
    <w:p w:rsidR="007259F2" w:rsidRDefault="00DE6B1C">
      <w:pPr>
        <w:pStyle w:val="Corpodetexto"/>
        <w:spacing w:before="169"/>
        <w:ind w:left="0" w:firstLine="0"/>
        <w:jc w:val="left"/>
        <w:rPr>
          <w:sz w:val="20"/>
        </w:rPr>
      </w:pPr>
      <w:r w:rsidRPr="00DE6B1C">
        <w:rPr>
          <w:sz w:val="20"/>
        </w:rPr>
        <w:pict>
          <v:rect id="docshape196" o:spid="_x0000_s1035" style="position:absolute;margin-left:85.1pt;margin-top:21.15pt;width:2in;height:.7pt;z-index:-15639040;mso-wrap-distance-left:0;mso-wrap-distance-right:0;mso-position-horizontal-relative:page" fillcolor="black" stroked="f">
            <w10:wrap type="topAndBottom" anchorx="page"/>
          </v:rect>
        </w:pict>
      </w:r>
    </w:p>
    <w:p w:rsidR="007259F2" w:rsidRDefault="00E655B4">
      <w:pPr>
        <w:spacing w:before="97"/>
        <w:ind w:left="710" w:right="988"/>
        <w:jc w:val="both"/>
        <w:rPr>
          <w:sz w:val="20"/>
        </w:rPr>
      </w:pPr>
      <w:r>
        <w:rPr>
          <w:sz w:val="20"/>
          <w:vertAlign w:val="superscript"/>
        </w:rPr>
        <w:t>1</w:t>
      </w:r>
      <w:r>
        <w:rPr>
          <w:sz w:val="20"/>
        </w:rPr>
        <w:t xml:space="preserve"> Residente jurídico do Programa de Residência Jurídica da Procuradoria Geral do Município de São Paulo, alocado no Departamento de Defesa do Meio Ambiente e do Patrimônio – DEMAP (2022-2025). E-mail: </w:t>
      </w:r>
      <w:hyperlink r:id="rId434">
        <w:r>
          <w:rPr>
            <w:sz w:val="20"/>
          </w:rPr>
          <w:t>caiomarquesfc@gmail.com</w:t>
        </w:r>
      </w:hyperlink>
    </w:p>
    <w:p w:rsidR="007259F2" w:rsidRDefault="007259F2">
      <w:pPr>
        <w:jc w:val="both"/>
        <w:rPr>
          <w:sz w:val="20"/>
        </w:rPr>
        <w:sectPr w:rsidR="007259F2">
          <w:footerReference w:type="default" r:id="rId435"/>
          <w:pgSz w:w="11910" w:h="16840"/>
          <w:pgMar w:top="1320" w:right="708" w:bottom="280" w:left="992" w:header="0" w:footer="0" w:gutter="0"/>
          <w:cols w:space="720"/>
        </w:sectPr>
      </w:pPr>
    </w:p>
    <w:p w:rsidR="007259F2" w:rsidRDefault="00E655B4">
      <w:pPr>
        <w:pStyle w:val="Corpodetexto"/>
        <w:spacing w:before="69"/>
        <w:ind w:right="990"/>
      </w:pPr>
      <w:r>
        <w:lastRenderedPageBreak/>
        <w:t>A autoridade ambiental competente, ao analisar a Defesa e os documentos juntados pela Construtora XY, entendeu não ser ela a responsável pelas infrações cometidas relativas à supressão dos exemplares arbóreos, de modo que o Auto de Infração e Multa contra ela foram cancelados, sendo lavrado outro auto de infração apenas com as infrações ambientais de depósito irregular de resíduos sólidos.</w:t>
      </w:r>
    </w:p>
    <w:p w:rsidR="007259F2" w:rsidRDefault="00E655B4">
      <w:pPr>
        <w:pStyle w:val="Corpodetexto"/>
        <w:spacing w:before="1"/>
        <w:ind w:right="990"/>
      </w:pPr>
      <w:r>
        <w:t xml:space="preserve">A Construtora XY foi notificada para apresentação de defesa, porém, manteve- se inerte. Do mesmo modo ocorreu após a notificação para apresentação de Recurso administrativo. Em seguida, foi notificada para corrigir a irregularidade a respeito do depósito irregular e resíduos, bem como para o pagamento da multa administrativa </w:t>
      </w:r>
      <w:r>
        <w:rPr>
          <w:spacing w:val="-2"/>
        </w:rPr>
        <w:t>imposta.</w:t>
      </w:r>
    </w:p>
    <w:p w:rsidR="007259F2" w:rsidRDefault="00E655B4">
      <w:pPr>
        <w:pStyle w:val="Corpodetexto"/>
        <w:ind w:right="989"/>
      </w:pPr>
      <w:r>
        <w:t>Após a ciência pela Infratora, houve vistoria técnica a fim de verificar o cumprimento das determinações, através da qual verificou-se a retirada completa dos resíduos</w:t>
      </w:r>
      <w:r>
        <w:rPr>
          <w:spacing w:val="-3"/>
        </w:rPr>
        <w:t xml:space="preserve"> </w:t>
      </w:r>
      <w:r>
        <w:t>sólidos,</w:t>
      </w:r>
      <w:r>
        <w:rPr>
          <w:spacing w:val="-3"/>
        </w:rPr>
        <w:t xml:space="preserve"> </w:t>
      </w:r>
      <w:r>
        <w:t>bem</w:t>
      </w:r>
      <w:r>
        <w:rPr>
          <w:spacing w:val="-1"/>
        </w:rPr>
        <w:t xml:space="preserve"> </w:t>
      </w:r>
      <w:r>
        <w:t>como</w:t>
      </w:r>
      <w:r>
        <w:rPr>
          <w:spacing w:val="-3"/>
        </w:rPr>
        <w:t xml:space="preserve"> </w:t>
      </w:r>
      <w:r>
        <w:t>a</w:t>
      </w:r>
      <w:r>
        <w:rPr>
          <w:spacing w:val="-2"/>
        </w:rPr>
        <w:t xml:space="preserve"> </w:t>
      </w:r>
      <w:r>
        <w:t>ausência</w:t>
      </w:r>
      <w:r>
        <w:rPr>
          <w:spacing w:val="-2"/>
        </w:rPr>
        <w:t xml:space="preserve"> </w:t>
      </w:r>
      <w:r>
        <w:t>de</w:t>
      </w:r>
      <w:r>
        <w:rPr>
          <w:spacing w:val="-2"/>
        </w:rPr>
        <w:t xml:space="preserve"> </w:t>
      </w:r>
      <w:r>
        <w:t>qualquer</w:t>
      </w:r>
      <w:r>
        <w:rPr>
          <w:spacing w:val="-2"/>
        </w:rPr>
        <w:t xml:space="preserve"> </w:t>
      </w:r>
      <w:r>
        <w:t>contaminação</w:t>
      </w:r>
      <w:r>
        <w:rPr>
          <w:spacing w:val="-1"/>
        </w:rPr>
        <w:t xml:space="preserve"> </w:t>
      </w:r>
      <w:r>
        <w:t>no</w:t>
      </w:r>
      <w:r>
        <w:rPr>
          <w:spacing w:val="-3"/>
        </w:rPr>
        <w:t xml:space="preserve"> </w:t>
      </w:r>
      <w:r>
        <w:t>local</w:t>
      </w:r>
      <w:r>
        <w:rPr>
          <w:spacing w:val="-1"/>
        </w:rPr>
        <w:t xml:space="preserve"> </w:t>
      </w:r>
      <w:r>
        <w:t>da</w:t>
      </w:r>
      <w:r>
        <w:rPr>
          <w:spacing w:val="-4"/>
        </w:rPr>
        <w:t xml:space="preserve"> </w:t>
      </w:r>
      <w:r>
        <w:t>deposição. Quanto à multa, foi realizado o pagamento integral pela Construtora XY.</w:t>
      </w:r>
    </w:p>
    <w:p w:rsidR="007259F2" w:rsidRDefault="00E655B4">
      <w:pPr>
        <w:pStyle w:val="Corpodetexto"/>
        <w:spacing w:before="1"/>
        <w:ind w:right="993"/>
      </w:pPr>
      <w:r>
        <w:t>Em razão do cancelamento dos Autos de Infração</w:t>
      </w:r>
      <w:r>
        <w:rPr>
          <w:spacing w:val="40"/>
        </w:rPr>
        <w:t xml:space="preserve"> </w:t>
      </w:r>
      <w:r>
        <w:t>e de Multa contra a Construtora</w:t>
      </w:r>
      <w:r>
        <w:rPr>
          <w:spacing w:val="-6"/>
        </w:rPr>
        <w:t xml:space="preserve"> </w:t>
      </w:r>
      <w:r>
        <w:t>XY,</w:t>
      </w:r>
      <w:r>
        <w:rPr>
          <w:spacing w:val="-3"/>
        </w:rPr>
        <w:t xml:space="preserve"> </w:t>
      </w:r>
      <w:r>
        <w:t>foi</w:t>
      </w:r>
      <w:r>
        <w:rPr>
          <w:spacing w:val="-3"/>
        </w:rPr>
        <w:t xml:space="preserve"> </w:t>
      </w:r>
      <w:r>
        <w:t>lavrado</w:t>
      </w:r>
      <w:r>
        <w:rPr>
          <w:spacing w:val="-3"/>
        </w:rPr>
        <w:t xml:space="preserve"> </w:t>
      </w:r>
      <w:r>
        <w:t>novo</w:t>
      </w:r>
      <w:r>
        <w:rPr>
          <w:spacing w:val="-3"/>
        </w:rPr>
        <w:t xml:space="preserve"> </w:t>
      </w:r>
      <w:r>
        <w:t>Auto</w:t>
      </w:r>
      <w:r>
        <w:rPr>
          <w:spacing w:val="-3"/>
        </w:rPr>
        <w:t xml:space="preserve"> </w:t>
      </w:r>
      <w:r>
        <w:t>de</w:t>
      </w:r>
      <w:r>
        <w:rPr>
          <w:spacing w:val="-2"/>
        </w:rPr>
        <w:t xml:space="preserve"> </w:t>
      </w:r>
      <w:r>
        <w:t>Infração</w:t>
      </w:r>
      <w:r>
        <w:rPr>
          <w:spacing w:val="-3"/>
        </w:rPr>
        <w:t xml:space="preserve"> </w:t>
      </w:r>
      <w:r>
        <w:t>e</w:t>
      </w:r>
      <w:r>
        <w:rPr>
          <w:spacing w:val="-4"/>
        </w:rPr>
        <w:t xml:space="preserve"> </w:t>
      </w:r>
      <w:r>
        <w:t>respectivo</w:t>
      </w:r>
      <w:r>
        <w:rPr>
          <w:spacing w:val="-3"/>
        </w:rPr>
        <w:t xml:space="preserve"> </w:t>
      </w:r>
      <w:r>
        <w:t>Auto</w:t>
      </w:r>
      <w:r>
        <w:rPr>
          <w:spacing w:val="-3"/>
        </w:rPr>
        <w:t xml:space="preserve"> </w:t>
      </w:r>
      <w:r>
        <w:t>de</w:t>
      </w:r>
      <w:r>
        <w:rPr>
          <w:spacing w:val="-4"/>
        </w:rPr>
        <w:t xml:space="preserve"> </w:t>
      </w:r>
      <w:r>
        <w:t>Multa,</w:t>
      </w:r>
      <w:r>
        <w:rPr>
          <w:spacing w:val="-3"/>
        </w:rPr>
        <w:t xml:space="preserve"> </w:t>
      </w:r>
      <w:r>
        <w:t>contra</w:t>
      </w:r>
      <w:r>
        <w:rPr>
          <w:spacing w:val="-5"/>
        </w:rPr>
        <w:t xml:space="preserve"> </w:t>
      </w:r>
      <w:r>
        <w:t>o antigo proprietário do imóvel, pessoa física, Sr. Ícaro F., contendo apenas a infrações relativa à supressão dos exemplares arbóreos</w:t>
      </w:r>
    </w:p>
    <w:p w:rsidR="007259F2" w:rsidRDefault="00E655B4">
      <w:pPr>
        <w:pStyle w:val="Corpodetexto"/>
        <w:ind w:right="989"/>
      </w:pPr>
      <w:r>
        <w:t>Houve a devida comunicação e ciência do Infrator, o qual permaneceu inerte,</w:t>
      </w:r>
      <w:r>
        <w:rPr>
          <w:spacing w:val="40"/>
        </w:rPr>
        <w:t xml:space="preserve"> </w:t>
      </w:r>
      <w:r>
        <w:t>não apresentando Defesa. A autoridade ambiental competente manteve integralmente o Auto de Infração e deu, novamente, ciência ao Autuado, o qual não apresentou recurso, prevalecendo decisão de manutenção do Auto de Infração.</w:t>
      </w:r>
    </w:p>
    <w:p w:rsidR="007259F2" w:rsidRDefault="00E655B4">
      <w:pPr>
        <w:pStyle w:val="Corpodetexto"/>
        <w:ind w:right="995"/>
      </w:pPr>
      <w:r>
        <w:t>Por fim, houve nova comunicação do autuado, para que efetuasse o pagamento da multa. Apesar de ciente, o autuado não recolheu o valor devido tampouco procurou a SVMA para tratar da recuperação.</w:t>
      </w:r>
    </w:p>
    <w:p w:rsidR="007259F2" w:rsidRDefault="00E655B4">
      <w:pPr>
        <w:pStyle w:val="Corpodetexto"/>
        <w:ind w:right="997"/>
      </w:pPr>
      <w:r>
        <w:t>Em seguida, houve a realização de relatório técnico que estipulava as medidas reparatórias necessárias para a compensação dos danos ambientais verificados com a supressão de tantos exemplares arbóreos.</w:t>
      </w:r>
    </w:p>
    <w:p w:rsidR="007259F2" w:rsidRDefault="00E655B4">
      <w:pPr>
        <w:pStyle w:val="Corpodetexto"/>
        <w:ind w:right="991"/>
      </w:pPr>
      <w:r>
        <w:t xml:space="preserve">Com isso, o infrator foi novamente notificado a fim de manifestar interesse na elaboração de Termo de Ajustamento de Conduta, com os parâmetros de reparação definidos pelo órgão ambiental competente, possibilitando a redução do valor da multa </w:t>
      </w:r>
      <w:r>
        <w:rPr>
          <w:spacing w:val="-2"/>
        </w:rPr>
        <w:t>administrativa.</w:t>
      </w:r>
    </w:p>
    <w:p w:rsidR="007259F2" w:rsidRDefault="00E655B4">
      <w:pPr>
        <w:pStyle w:val="Corpodetexto"/>
        <w:ind w:right="991"/>
      </w:pPr>
      <w:r>
        <w:t>O Sr. Icaro F. quedou-se inerte, de modo que não foi firmado nenhum termo de ajustamento de conduta.</w:t>
      </w:r>
    </w:p>
    <w:p w:rsidR="007259F2" w:rsidRDefault="00E655B4">
      <w:pPr>
        <w:pStyle w:val="Corpodetexto"/>
        <w:ind w:right="992"/>
      </w:pPr>
      <w:r>
        <w:t>Após as providências finais no processo administrativo, houve a remessa dos autos para a Procuradoria Geral do Município, especificamente para o Departamento de Defesa do Patrimônio e o Meio Ambiente – DEMAP, a fim de que se verificasse a possibilidade de ajuizamento de ação judicial para a reparação dos danos ambientais verificados no processo administrativo em questão</w:t>
      </w:r>
    </w:p>
    <w:p w:rsidR="007259F2" w:rsidRDefault="00E655B4">
      <w:pPr>
        <w:pStyle w:val="Heading2"/>
        <w:spacing w:before="208"/>
        <w:jc w:val="left"/>
      </w:pPr>
      <w:r>
        <w:t>Perspectiva</w:t>
      </w:r>
      <w:r>
        <w:rPr>
          <w:spacing w:val="-1"/>
        </w:rPr>
        <w:t xml:space="preserve"> </w:t>
      </w:r>
      <w:r>
        <w:t>de</w:t>
      </w:r>
      <w:r>
        <w:rPr>
          <w:spacing w:val="-2"/>
        </w:rPr>
        <w:t xml:space="preserve"> </w:t>
      </w:r>
      <w:r>
        <w:t>análise</w:t>
      </w:r>
      <w:r>
        <w:rPr>
          <w:spacing w:val="-2"/>
        </w:rPr>
        <w:t xml:space="preserve"> </w:t>
      </w:r>
      <w:r>
        <w:t>e</w:t>
      </w:r>
      <w:r>
        <w:rPr>
          <w:spacing w:val="-1"/>
        </w:rPr>
        <w:t xml:space="preserve"> </w:t>
      </w:r>
      <w:r>
        <w:t>de</w:t>
      </w:r>
      <w:r>
        <w:rPr>
          <w:spacing w:val="-1"/>
        </w:rPr>
        <w:t xml:space="preserve"> </w:t>
      </w:r>
      <w:r>
        <w:rPr>
          <w:spacing w:val="-2"/>
        </w:rPr>
        <w:t>solução</w:t>
      </w:r>
    </w:p>
    <w:p w:rsidR="007259F2" w:rsidRDefault="00E655B4">
      <w:pPr>
        <w:pStyle w:val="Corpodetexto"/>
        <w:spacing w:before="156"/>
        <w:ind w:right="997"/>
      </w:pPr>
      <w:r>
        <w:t>O Procurador responsável pelo caso deve verificar a possibilidade, a viabilidade, a necessidade e qual ação ou medida judicial é mais adequada ao caso.</w:t>
      </w:r>
    </w:p>
    <w:p w:rsidR="007259F2" w:rsidRDefault="00E655B4">
      <w:pPr>
        <w:pStyle w:val="Corpodetexto"/>
        <w:ind w:right="995"/>
      </w:pPr>
      <w:r>
        <w:t>Definindo a medida mais conveniente, deve-se apresentar a fundamentação jurídica que sustenta o pedido a ser feito na peça inicial.</w:t>
      </w:r>
    </w:p>
    <w:p w:rsidR="007259F2" w:rsidRDefault="00E655B4">
      <w:pPr>
        <w:pStyle w:val="Heading2"/>
        <w:spacing w:before="206"/>
        <w:jc w:val="left"/>
      </w:pPr>
      <w:r>
        <w:rPr>
          <w:spacing w:val="-2"/>
        </w:rPr>
        <w:t>Desenvolvimento</w:t>
      </w:r>
    </w:p>
    <w:p w:rsidR="007259F2" w:rsidRDefault="00E655B4">
      <w:pPr>
        <w:spacing w:before="161"/>
        <w:ind w:left="710"/>
        <w:rPr>
          <w:b/>
          <w:sz w:val="24"/>
        </w:rPr>
      </w:pPr>
      <w:r>
        <w:rPr>
          <w:b/>
          <w:sz w:val="24"/>
        </w:rPr>
        <w:t>Da</w:t>
      </w:r>
      <w:r>
        <w:rPr>
          <w:b/>
          <w:spacing w:val="-5"/>
          <w:sz w:val="24"/>
        </w:rPr>
        <w:t xml:space="preserve"> </w:t>
      </w:r>
      <w:r>
        <w:rPr>
          <w:b/>
          <w:sz w:val="24"/>
        </w:rPr>
        <w:t>medida</w:t>
      </w:r>
      <w:r>
        <w:rPr>
          <w:b/>
          <w:spacing w:val="-3"/>
          <w:sz w:val="24"/>
        </w:rPr>
        <w:t xml:space="preserve"> </w:t>
      </w:r>
      <w:r>
        <w:rPr>
          <w:b/>
          <w:sz w:val="24"/>
        </w:rPr>
        <w:t>judicial</w:t>
      </w:r>
      <w:r>
        <w:rPr>
          <w:b/>
          <w:spacing w:val="2"/>
          <w:sz w:val="24"/>
        </w:rPr>
        <w:t xml:space="preserve"> </w:t>
      </w:r>
      <w:r>
        <w:rPr>
          <w:b/>
          <w:sz w:val="24"/>
        </w:rPr>
        <w:t>adequada</w:t>
      </w:r>
      <w:r>
        <w:rPr>
          <w:b/>
          <w:spacing w:val="-1"/>
          <w:sz w:val="24"/>
        </w:rPr>
        <w:t xml:space="preserve"> </w:t>
      </w:r>
      <w:r>
        <w:rPr>
          <w:b/>
          <w:sz w:val="24"/>
        </w:rPr>
        <w:t>ao</w:t>
      </w:r>
      <w:r>
        <w:rPr>
          <w:b/>
          <w:spacing w:val="-1"/>
          <w:sz w:val="24"/>
        </w:rPr>
        <w:t xml:space="preserve"> </w:t>
      </w:r>
      <w:r>
        <w:rPr>
          <w:b/>
          <w:sz w:val="24"/>
        </w:rPr>
        <w:t>caso</w:t>
      </w:r>
      <w:r>
        <w:rPr>
          <w:b/>
          <w:spacing w:val="3"/>
          <w:sz w:val="24"/>
        </w:rPr>
        <w:t xml:space="preserve"> </w:t>
      </w:r>
      <w:r>
        <w:rPr>
          <w:b/>
          <w:sz w:val="24"/>
        </w:rPr>
        <w:t>em</w:t>
      </w:r>
      <w:r>
        <w:rPr>
          <w:b/>
          <w:spacing w:val="-7"/>
          <w:sz w:val="24"/>
        </w:rPr>
        <w:t xml:space="preserve"> </w:t>
      </w:r>
      <w:r>
        <w:rPr>
          <w:b/>
          <w:spacing w:val="-2"/>
          <w:sz w:val="24"/>
        </w:rPr>
        <w:t>análise</w:t>
      </w:r>
    </w:p>
    <w:p w:rsidR="007259F2" w:rsidRDefault="007259F2">
      <w:pPr>
        <w:rPr>
          <w:b/>
          <w:sz w:val="24"/>
        </w:rPr>
        <w:sectPr w:rsidR="007259F2">
          <w:footerReference w:type="default" r:id="rId436"/>
          <w:pgSz w:w="11910" w:h="16840"/>
          <w:pgMar w:top="1320" w:right="708" w:bottom="280" w:left="992" w:header="0" w:footer="0" w:gutter="0"/>
          <w:cols w:space="720"/>
        </w:sectPr>
      </w:pPr>
    </w:p>
    <w:p w:rsidR="007259F2" w:rsidRDefault="00E655B4">
      <w:pPr>
        <w:pStyle w:val="Corpodetexto"/>
        <w:spacing w:before="69"/>
        <w:ind w:right="992"/>
      </w:pPr>
      <w:r>
        <w:lastRenderedPageBreak/>
        <w:t>A tutela judicial do Meio Ambiente pode admitir algumas espécies de medidas judiciais, a depender de alguns aspectos, entre eles: a pretensão a ser requerida; os fatos e danos causados ou na iminência de serem causados; a necessidade e possibilidade de instrução probatória e, ainda, o sujeito ativo a demandar em juízo.</w:t>
      </w:r>
    </w:p>
    <w:p w:rsidR="007259F2" w:rsidRDefault="00E655B4">
      <w:pPr>
        <w:pStyle w:val="Corpodetexto"/>
        <w:spacing w:before="1"/>
        <w:ind w:right="992"/>
      </w:pPr>
      <w:r>
        <w:t>No</w:t>
      </w:r>
      <w:r>
        <w:rPr>
          <w:spacing w:val="-3"/>
        </w:rPr>
        <w:t xml:space="preserve"> </w:t>
      </w:r>
      <w:r>
        <w:t>presente</w:t>
      </w:r>
      <w:r>
        <w:rPr>
          <w:spacing w:val="-2"/>
        </w:rPr>
        <w:t xml:space="preserve"> </w:t>
      </w:r>
      <w:r>
        <w:t>caso,</w:t>
      </w:r>
      <w:r>
        <w:rPr>
          <w:spacing w:val="-3"/>
        </w:rPr>
        <w:t xml:space="preserve"> </w:t>
      </w:r>
      <w:r>
        <w:t>houve</w:t>
      </w:r>
      <w:r>
        <w:rPr>
          <w:spacing w:val="-2"/>
        </w:rPr>
        <w:t xml:space="preserve"> </w:t>
      </w:r>
      <w:r>
        <w:t>a</w:t>
      </w:r>
      <w:r>
        <w:rPr>
          <w:spacing w:val="-4"/>
        </w:rPr>
        <w:t xml:space="preserve"> </w:t>
      </w:r>
      <w:r>
        <w:t>ocorrência</w:t>
      </w:r>
      <w:r>
        <w:rPr>
          <w:spacing w:val="-3"/>
        </w:rPr>
        <w:t xml:space="preserve"> </w:t>
      </w:r>
      <w:r>
        <w:t>de</w:t>
      </w:r>
      <w:r>
        <w:rPr>
          <w:spacing w:val="-3"/>
        </w:rPr>
        <w:t xml:space="preserve"> </w:t>
      </w:r>
      <w:r>
        <w:t>danos</w:t>
      </w:r>
      <w:r>
        <w:rPr>
          <w:spacing w:val="-1"/>
        </w:rPr>
        <w:t xml:space="preserve"> </w:t>
      </w:r>
      <w:r>
        <w:t>ambientais,</w:t>
      </w:r>
      <w:r>
        <w:rPr>
          <w:spacing w:val="-3"/>
        </w:rPr>
        <w:t xml:space="preserve"> </w:t>
      </w:r>
      <w:r>
        <w:t>de</w:t>
      </w:r>
      <w:r>
        <w:rPr>
          <w:spacing w:val="-3"/>
        </w:rPr>
        <w:t xml:space="preserve"> </w:t>
      </w:r>
      <w:r>
        <w:t>modo</w:t>
      </w:r>
      <w:r>
        <w:rPr>
          <w:spacing w:val="-3"/>
        </w:rPr>
        <w:t xml:space="preserve"> </w:t>
      </w:r>
      <w:r>
        <w:t>o</w:t>
      </w:r>
      <w:r>
        <w:rPr>
          <w:spacing w:val="-1"/>
        </w:rPr>
        <w:t xml:space="preserve"> </w:t>
      </w:r>
      <w:r>
        <w:t>Município tem o dever de buscar sua reparação.</w:t>
      </w:r>
    </w:p>
    <w:p w:rsidR="007259F2" w:rsidRDefault="00E655B4">
      <w:pPr>
        <w:pStyle w:val="Corpodetexto"/>
        <w:ind w:right="991"/>
      </w:pPr>
      <w:r>
        <w:t>Como se sabe, a ação civil pública é uma medida judicial que visa a responsabilização por “danos causados ao meio-ambiente, ao consumidor, a bens e direitos de valor artístico, estético, histórico, turístico e paisagístico” (Lei 7.347/85), estando, dentre os legitimados a propositura dessa ação os Municípios.</w:t>
      </w:r>
      <w:r>
        <w:rPr>
          <w:vertAlign w:val="superscript"/>
        </w:rPr>
        <w:t>2</w:t>
      </w:r>
    </w:p>
    <w:p w:rsidR="007259F2" w:rsidRDefault="00E655B4">
      <w:pPr>
        <w:pStyle w:val="Corpodetexto"/>
        <w:ind w:right="991"/>
      </w:pPr>
      <w:r>
        <w:t>Conforme</w:t>
      </w:r>
      <w:r>
        <w:rPr>
          <w:spacing w:val="-2"/>
        </w:rPr>
        <w:t xml:space="preserve"> </w:t>
      </w:r>
      <w:r>
        <w:t>a</w:t>
      </w:r>
      <w:r>
        <w:rPr>
          <w:spacing w:val="-2"/>
        </w:rPr>
        <w:t xml:space="preserve"> </w:t>
      </w:r>
      <w:r>
        <w:t>narração</w:t>
      </w:r>
      <w:r>
        <w:rPr>
          <w:spacing w:val="-1"/>
        </w:rPr>
        <w:t xml:space="preserve"> </w:t>
      </w:r>
      <w:r>
        <w:t>fática</w:t>
      </w:r>
      <w:r>
        <w:rPr>
          <w:spacing w:val="-2"/>
        </w:rPr>
        <w:t xml:space="preserve"> </w:t>
      </w:r>
      <w:r>
        <w:t>do</w:t>
      </w:r>
      <w:r>
        <w:rPr>
          <w:spacing w:val="-1"/>
        </w:rPr>
        <w:t xml:space="preserve"> </w:t>
      </w:r>
      <w:r>
        <w:t>caso analisado,</w:t>
      </w:r>
      <w:r>
        <w:rPr>
          <w:spacing w:val="-1"/>
        </w:rPr>
        <w:t xml:space="preserve"> </w:t>
      </w:r>
      <w:r>
        <w:t>verificou-se graves</w:t>
      </w:r>
      <w:r>
        <w:rPr>
          <w:spacing w:val="-1"/>
        </w:rPr>
        <w:t xml:space="preserve"> </w:t>
      </w:r>
      <w:r>
        <w:t>danos</w:t>
      </w:r>
      <w:r>
        <w:rPr>
          <w:spacing w:val="-1"/>
        </w:rPr>
        <w:t xml:space="preserve"> </w:t>
      </w:r>
      <w:r>
        <w:t>ao meio ambiente, em razão da supressão de inúmeros exemplares arbóreos. Portanto, seria possível o ajuizamento de Ação Civil Pública pelo Município, a fim de buscar a responsabilização pelos danos causados ao Meio Ambiente.</w:t>
      </w:r>
    </w:p>
    <w:p w:rsidR="007259F2" w:rsidRDefault="00E655B4">
      <w:pPr>
        <w:pStyle w:val="Corpodetexto"/>
        <w:spacing w:before="1"/>
        <w:ind w:right="989"/>
      </w:pPr>
      <w:r>
        <w:t>Em que pese no caso em questão não ter ocorrido a assinatura de Termo de Ajustamento de Conduta (TAC), há de se mencionar a possibilidade execução direta do referido</w:t>
      </w:r>
      <w:r>
        <w:rPr>
          <w:spacing w:val="-1"/>
        </w:rPr>
        <w:t xml:space="preserve"> </w:t>
      </w:r>
      <w:r>
        <w:t>termo, que é</w:t>
      </w:r>
      <w:r>
        <w:rPr>
          <w:spacing w:val="-2"/>
        </w:rPr>
        <w:t xml:space="preserve"> </w:t>
      </w:r>
      <w:r>
        <w:t>considerado título executivo judicial,</w:t>
      </w:r>
      <w:r>
        <w:rPr>
          <w:spacing w:val="-1"/>
        </w:rPr>
        <w:t xml:space="preserve"> </w:t>
      </w:r>
      <w:r>
        <w:t>conforme</w:t>
      </w:r>
      <w:r>
        <w:rPr>
          <w:spacing w:val="-1"/>
        </w:rPr>
        <w:t xml:space="preserve"> </w:t>
      </w:r>
      <w:r>
        <w:t>a Lei nº 7.347/85.</w:t>
      </w:r>
      <w:r>
        <w:rPr>
          <w:vertAlign w:val="superscript"/>
        </w:rPr>
        <w:t>3</w:t>
      </w:r>
      <w:r>
        <w:t xml:space="preserve"> Em razão da ausência de TAC no presente caso, não seria viável a utilização da</w:t>
      </w:r>
      <w:r>
        <w:rPr>
          <w:spacing w:val="-7"/>
        </w:rPr>
        <w:t xml:space="preserve"> </w:t>
      </w:r>
      <w:r>
        <w:t>medida judicial executiva</w:t>
      </w:r>
      <w:r>
        <w:rPr>
          <w:spacing w:val="-4"/>
        </w:rPr>
        <w:t xml:space="preserve"> </w:t>
      </w:r>
      <w:r>
        <w:t>para</w:t>
      </w:r>
      <w:r>
        <w:rPr>
          <w:spacing w:val="-1"/>
        </w:rPr>
        <w:t xml:space="preserve"> </w:t>
      </w:r>
      <w:r>
        <w:t>buscar a reparação dos</w:t>
      </w:r>
      <w:r>
        <w:rPr>
          <w:spacing w:val="-2"/>
        </w:rPr>
        <w:t xml:space="preserve"> </w:t>
      </w:r>
      <w:r>
        <w:t>danos ambientais.</w:t>
      </w:r>
    </w:p>
    <w:p w:rsidR="007259F2" w:rsidRDefault="00E655B4">
      <w:pPr>
        <w:pStyle w:val="Corpodetexto"/>
        <w:ind w:right="998"/>
      </w:pPr>
      <w:r>
        <w:t>Como se verifica de todo o exposto, a melhor medida judicial será a</w:t>
      </w:r>
      <w:r>
        <w:rPr>
          <w:spacing w:val="-3"/>
        </w:rPr>
        <w:t xml:space="preserve"> </w:t>
      </w:r>
      <w:r>
        <w:t>Ação Civil Pública, para a reparação dos danos ambientais ocorridos.</w:t>
      </w:r>
    </w:p>
    <w:p w:rsidR="007259F2" w:rsidRDefault="00E655B4">
      <w:pPr>
        <w:pStyle w:val="Heading2"/>
        <w:spacing w:before="206"/>
        <w:jc w:val="left"/>
      </w:pPr>
      <w:r>
        <w:t>Do</w:t>
      </w:r>
      <w:r>
        <w:rPr>
          <w:spacing w:val="-1"/>
        </w:rPr>
        <w:t xml:space="preserve"> </w:t>
      </w:r>
      <w:r>
        <w:t xml:space="preserve">foro </w:t>
      </w:r>
      <w:r>
        <w:rPr>
          <w:spacing w:val="-2"/>
        </w:rPr>
        <w:t>competente</w:t>
      </w:r>
    </w:p>
    <w:p w:rsidR="007259F2" w:rsidRDefault="00E655B4">
      <w:pPr>
        <w:pStyle w:val="Corpodetexto"/>
        <w:spacing w:before="156"/>
        <w:ind w:right="999"/>
      </w:pPr>
      <w:r>
        <w:t>O foro competente para a propositura da Ação Civil Pública é definido na Lei nº 7.347/85, em seu artigo 2º:</w:t>
      </w:r>
    </w:p>
    <w:p w:rsidR="007259F2" w:rsidRDefault="00E655B4">
      <w:pPr>
        <w:spacing w:before="122"/>
        <w:ind w:left="2978" w:right="990"/>
        <w:jc w:val="both"/>
        <w:rPr>
          <w:sz w:val="20"/>
        </w:rPr>
      </w:pPr>
      <w:r>
        <w:rPr>
          <w:sz w:val="20"/>
        </w:rPr>
        <w:t>Art. 2º As ações previstas nesta Lei serão propostas no foro do local onde ocorrer</w:t>
      </w:r>
      <w:r>
        <w:rPr>
          <w:spacing w:val="-4"/>
          <w:sz w:val="20"/>
        </w:rPr>
        <w:t xml:space="preserve"> </w:t>
      </w:r>
      <w:r>
        <w:rPr>
          <w:sz w:val="20"/>
        </w:rPr>
        <w:t>o</w:t>
      </w:r>
      <w:r>
        <w:rPr>
          <w:spacing w:val="-9"/>
          <w:sz w:val="20"/>
        </w:rPr>
        <w:t xml:space="preserve"> </w:t>
      </w:r>
      <w:r>
        <w:rPr>
          <w:sz w:val="20"/>
        </w:rPr>
        <w:t>dano,</w:t>
      </w:r>
      <w:r>
        <w:rPr>
          <w:spacing w:val="-8"/>
          <w:sz w:val="20"/>
        </w:rPr>
        <w:t xml:space="preserve"> </w:t>
      </w:r>
      <w:r>
        <w:rPr>
          <w:sz w:val="20"/>
        </w:rPr>
        <w:t>cujo</w:t>
      </w:r>
      <w:r>
        <w:rPr>
          <w:spacing w:val="-7"/>
          <w:sz w:val="20"/>
        </w:rPr>
        <w:t xml:space="preserve"> </w:t>
      </w:r>
      <w:r>
        <w:rPr>
          <w:sz w:val="20"/>
        </w:rPr>
        <w:t>juízo</w:t>
      </w:r>
      <w:r>
        <w:rPr>
          <w:spacing w:val="-5"/>
          <w:sz w:val="20"/>
        </w:rPr>
        <w:t xml:space="preserve"> </w:t>
      </w:r>
      <w:r>
        <w:rPr>
          <w:sz w:val="20"/>
        </w:rPr>
        <w:t>terá</w:t>
      </w:r>
      <w:r>
        <w:rPr>
          <w:spacing w:val="-8"/>
          <w:sz w:val="20"/>
        </w:rPr>
        <w:t xml:space="preserve"> </w:t>
      </w:r>
      <w:r>
        <w:rPr>
          <w:sz w:val="20"/>
        </w:rPr>
        <w:t>competência</w:t>
      </w:r>
      <w:r>
        <w:rPr>
          <w:spacing w:val="-5"/>
          <w:sz w:val="20"/>
        </w:rPr>
        <w:t xml:space="preserve"> </w:t>
      </w:r>
      <w:r>
        <w:rPr>
          <w:sz w:val="20"/>
        </w:rPr>
        <w:t>funcional</w:t>
      </w:r>
      <w:r>
        <w:rPr>
          <w:spacing w:val="-6"/>
          <w:sz w:val="20"/>
        </w:rPr>
        <w:t xml:space="preserve"> </w:t>
      </w:r>
      <w:r>
        <w:rPr>
          <w:sz w:val="20"/>
        </w:rPr>
        <w:t>para</w:t>
      </w:r>
      <w:r>
        <w:rPr>
          <w:spacing w:val="-8"/>
          <w:sz w:val="20"/>
        </w:rPr>
        <w:t xml:space="preserve"> </w:t>
      </w:r>
      <w:r>
        <w:rPr>
          <w:sz w:val="20"/>
        </w:rPr>
        <w:t>processar</w:t>
      </w:r>
      <w:r>
        <w:rPr>
          <w:spacing w:val="-4"/>
          <w:sz w:val="20"/>
        </w:rPr>
        <w:t xml:space="preserve"> </w:t>
      </w:r>
      <w:r>
        <w:rPr>
          <w:sz w:val="20"/>
        </w:rPr>
        <w:t>e</w:t>
      </w:r>
      <w:r>
        <w:rPr>
          <w:spacing w:val="-9"/>
          <w:sz w:val="20"/>
        </w:rPr>
        <w:t xml:space="preserve"> </w:t>
      </w:r>
      <w:r>
        <w:rPr>
          <w:sz w:val="20"/>
        </w:rPr>
        <w:t>julgar</w:t>
      </w:r>
      <w:r>
        <w:rPr>
          <w:spacing w:val="-3"/>
          <w:sz w:val="20"/>
        </w:rPr>
        <w:t xml:space="preserve"> </w:t>
      </w:r>
      <w:r>
        <w:rPr>
          <w:sz w:val="20"/>
        </w:rPr>
        <w:t xml:space="preserve">a </w:t>
      </w:r>
      <w:r>
        <w:rPr>
          <w:spacing w:val="-2"/>
          <w:sz w:val="20"/>
        </w:rPr>
        <w:t>causa.</w:t>
      </w:r>
    </w:p>
    <w:p w:rsidR="007259F2" w:rsidRDefault="00E655B4">
      <w:pPr>
        <w:ind w:left="2978" w:right="995"/>
        <w:jc w:val="both"/>
        <w:rPr>
          <w:sz w:val="20"/>
        </w:rPr>
      </w:pPr>
      <w:r>
        <w:rPr>
          <w:sz w:val="20"/>
        </w:rPr>
        <w:t>Parágrafo único</w:t>
      </w:r>
      <w:r>
        <w:rPr>
          <w:spacing w:val="40"/>
          <w:sz w:val="20"/>
        </w:rPr>
        <w:t xml:space="preserve"> </w:t>
      </w:r>
      <w:r>
        <w:rPr>
          <w:sz w:val="20"/>
        </w:rPr>
        <w:t>A propositura da ação prevenirá a jurisdição do juízo para todas as ações posteriormente intentadas que possuam a mesma causa de pedir ou o mesmo objeto.(BRASIL, 1985)</w:t>
      </w:r>
    </w:p>
    <w:p w:rsidR="007259F2" w:rsidRDefault="00E655B4">
      <w:pPr>
        <w:pStyle w:val="Corpodetexto"/>
        <w:spacing w:before="229"/>
        <w:ind w:right="990"/>
      </w:pPr>
      <w:r>
        <w:t>Além disso, devido a existência das</w:t>
      </w:r>
      <w:r>
        <w:rPr>
          <w:spacing w:val="-1"/>
        </w:rPr>
        <w:t xml:space="preserve"> </w:t>
      </w:r>
      <w:r>
        <w:t>Varas Especializadas da Fazenda Pública no Tribunal de Justiça de São Paulo, a competência, em razão da pessoa jurídica que</w:t>
      </w:r>
      <w:r>
        <w:rPr>
          <w:spacing w:val="40"/>
        </w:rPr>
        <w:t xml:space="preserve"> </w:t>
      </w:r>
      <w:r>
        <w:t>propõe a ser Município, recai sobre uma das Varas da Fazenda Pública, conforme inteligência</w:t>
      </w:r>
      <w:r>
        <w:rPr>
          <w:spacing w:val="40"/>
        </w:rPr>
        <w:t xml:space="preserve"> </w:t>
      </w:r>
      <w:r>
        <w:t>do</w:t>
      </w:r>
      <w:r>
        <w:rPr>
          <w:spacing w:val="40"/>
        </w:rPr>
        <w:t xml:space="preserve"> </w:t>
      </w:r>
      <w:r>
        <w:t>Código</w:t>
      </w:r>
      <w:r>
        <w:rPr>
          <w:spacing w:val="40"/>
        </w:rPr>
        <w:t xml:space="preserve"> </w:t>
      </w:r>
      <w:r>
        <w:t>Judiciário</w:t>
      </w:r>
      <w:r>
        <w:rPr>
          <w:spacing w:val="40"/>
        </w:rPr>
        <w:t xml:space="preserve"> </w:t>
      </w:r>
      <w:r>
        <w:t>do</w:t>
      </w:r>
      <w:r>
        <w:rPr>
          <w:spacing w:val="40"/>
        </w:rPr>
        <w:t xml:space="preserve"> </w:t>
      </w:r>
      <w:r>
        <w:t>Estado</w:t>
      </w:r>
      <w:r>
        <w:rPr>
          <w:spacing w:val="40"/>
        </w:rPr>
        <w:t xml:space="preserve"> </w:t>
      </w:r>
      <w:r>
        <w:t>de</w:t>
      </w:r>
      <w:r>
        <w:rPr>
          <w:spacing w:val="40"/>
        </w:rPr>
        <w:t xml:space="preserve"> </w:t>
      </w:r>
      <w:r>
        <w:t>São</w:t>
      </w:r>
      <w:r>
        <w:rPr>
          <w:spacing w:val="40"/>
        </w:rPr>
        <w:t xml:space="preserve"> </w:t>
      </w:r>
      <w:r>
        <w:t>Paulo</w:t>
      </w:r>
      <w:r>
        <w:rPr>
          <w:spacing w:val="40"/>
        </w:rPr>
        <w:t xml:space="preserve"> </w:t>
      </w:r>
      <w:r>
        <w:t>(Decreto-Lei Complementar nº 3 de 1969).</w:t>
      </w:r>
      <w:r>
        <w:rPr>
          <w:vertAlign w:val="superscript"/>
        </w:rPr>
        <w:t>4</w:t>
      </w:r>
    </w:p>
    <w:p w:rsidR="007259F2" w:rsidRDefault="00E655B4">
      <w:pPr>
        <w:pStyle w:val="Corpodetexto"/>
        <w:ind w:right="989"/>
      </w:pPr>
      <w:r>
        <w:t>Desse modo, a presente ação será distribuída a um dos Juízos das Varas da Fazenda Pública do Tribunal de Justiça de São Paulo.</w:t>
      </w:r>
    </w:p>
    <w:p w:rsidR="007259F2" w:rsidRDefault="00E655B4">
      <w:pPr>
        <w:pStyle w:val="Heading2"/>
        <w:spacing w:before="205"/>
        <w:jc w:val="left"/>
      </w:pPr>
      <w:r>
        <w:t>Da</w:t>
      </w:r>
      <w:r>
        <w:rPr>
          <w:spacing w:val="-1"/>
        </w:rPr>
        <w:t xml:space="preserve"> </w:t>
      </w:r>
      <w:r>
        <w:t>definição do</w:t>
      </w:r>
      <w:r>
        <w:rPr>
          <w:spacing w:val="-1"/>
        </w:rPr>
        <w:t xml:space="preserve"> </w:t>
      </w:r>
      <w:r>
        <w:t>sujeito passivo</w:t>
      </w:r>
      <w:r>
        <w:rPr>
          <w:spacing w:val="-2"/>
        </w:rPr>
        <w:t xml:space="preserve"> </w:t>
      </w:r>
      <w:r>
        <w:t>da</w:t>
      </w:r>
      <w:r>
        <w:rPr>
          <w:spacing w:val="2"/>
        </w:rPr>
        <w:t xml:space="preserve"> </w:t>
      </w:r>
      <w:r>
        <w:rPr>
          <w:spacing w:val="-4"/>
        </w:rPr>
        <w:t>ação</w:t>
      </w:r>
    </w:p>
    <w:p w:rsidR="007259F2" w:rsidRDefault="007259F2">
      <w:pPr>
        <w:pStyle w:val="Corpodetexto"/>
        <w:ind w:left="0" w:firstLine="0"/>
        <w:jc w:val="left"/>
        <w:rPr>
          <w:b/>
          <w:sz w:val="20"/>
        </w:rPr>
      </w:pPr>
    </w:p>
    <w:p w:rsidR="007259F2" w:rsidRDefault="00DE6B1C">
      <w:pPr>
        <w:pStyle w:val="Corpodetexto"/>
        <w:spacing w:before="213"/>
        <w:ind w:left="0" w:firstLine="0"/>
        <w:jc w:val="left"/>
        <w:rPr>
          <w:b/>
          <w:sz w:val="20"/>
        </w:rPr>
      </w:pPr>
      <w:r w:rsidRPr="00DE6B1C">
        <w:rPr>
          <w:b/>
          <w:sz w:val="20"/>
        </w:rPr>
        <w:pict>
          <v:rect id="docshape197" o:spid="_x0000_s1034" style="position:absolute;margin-left:85.1pt;margin-top:23.35pt;width:2in;height:.7pt;z-index:-15638528;mso-wrap-distance-left:0;mso-wrap-distance-right:0;mso-position-horizontal-relative:page" fillcolor="black" stroked="f">
            <w10:wrap type="topAndBottom" anchorx="page"/>
          </v:rect>
        </w:pict>
      </w:r>
    </w:p>
    <w:p w:rsidR="007259F2" w:rsidRDefault="00E655B4">
      <w:pPr>
        <w:spacing w:before="96"/>
        <w:ind w:left="710" w:right="987"/>
        <w:jc w:val="both"/>
        <w:rPr>
          <w:sz w:val="20"/>
        </w:rPr>
      </w:pPr>
      <w:r>
        <w:rPr>
          <w:sz w:val="20"/>
          <w:vertAlign w:val="superscript"/>
        </w:rPr>
        <w:t>2</w:t>
      </w:r>
      <w:r>
        <w:rPr>
          <w:sz w:val="20"/>
        </w:rPr>
        <w:t xml:space="preserve"> Lei 7.347/85. Art. 5º Têm legitimidade parapropor a ação principal e a ação cautelar: (...) III</w:t>
      </w:r>
      <w:r>
        <w:rPr>
          <w:spacing w:val="18"/>
          <w:sz w:val="20"/>
        </w:rPr>
        <w:t xml:space="preserve"> </w:t>
      </w:r>
      <w:r>
        <w:rPr>
          <w:sz w:val="20"/>
        </w:rPr>
        <w:t xml:space="preserve">- a União, os Estados, o Distrito Federal </w:t>
      </w:r>
      <w:r>
        <w:rPr>
          <w:b/>
          <w:sz w:val="20"/>
        </w:rPr>
        <w:t>e os Municípios</w:t>
      </w:r>
      <w:r>
        <w:rPr>
          <w:sz w:val="20"/>
        </w:rPr>
        <w:t>;</w:t>
      </w:r>
    </w:p>
    <w:p w:rsidR="007259F2" w:rsidRDefault="00E655B4">
      <w:pPr>
        <w:spacing w:before="1"/>
        <w:ind w:left="710" w:right="999"/>
        <w:jc w:val="both"/>
        <w:rPr>
          <w:sz w:val="20"/>
        </w:rPr>
      </w:pPr>
      <w:r>
        <w:rPr>
          <w:sz w:val="20"/>
          <w:vertAlign w:val="superscript"/>
        </w:rPr>
        <w:t>3</w:t>
      </w:r>
      <w:r>
        <w:rPr>
          <w:spacing w:val="40"/>
          <w:sz w:val="20"/>
        </w:rPr>
        <w:t xml:space="preserve"> </w:t>
      </w:r>
      <w:r>
        <w:rPr>
          <w:sz w:val="20"/>
        </w:rPr>
        <w:t>Lei 7.347/85. Art. 5º (...) § 6º Os órgãos públicos legitimados poderão tomar dos interessados compromisso de ajustamento de sua conduta às exigências legais, mediante cominações, que terá eficácia de título executivo extrajudicial.</w:t>
      </w:r>
    </w:p>
    <w:p w:rsidR="007259F2" w:rsidRDefault="00E655B4">
      <w:pPr>
        <w:ind w:left="710" w:right="994"/>
        <w:jc w:val="both"/>
        <w:rPr>
          <w:sz w:val="20"/>
        </w:rPr>
      </w:pPr>
      <w:r>
        <w:rPr>
          <w:sz w:val="20"/>
          <w:vertAlign w:val="superscript"/>
        </w:rPr>
        <w:t>4</w:t>
      </w:r>
      <w:r>
        <w:rPr>
          <w:sz w:val="20"/>
        </w:rPr>
        <w:t xml:space="preserve"> Decreto-Lei Complementar nº 3 de 1969. Artigo 36 - Aos Juízes das Varas da Fazenda Municipal compete: I - processar, julgar e executar os feitos, contenciosos ou não, principais, acessórios e seus incidentes, em que o Município da Capital e respectivas entidades autárquicas ou paraestatais forem interessados na condição de autor, réu, assistente ou opoente, executados:</w:t>
      </w:r>
    </w:p>
    <w:p w:rsidR="007259F2" w:rsidRDefault="007259F2">
      <w:pPr>
        <w:jc w:val="both"/>
        <w:rPr>
          <w:sz w:val="20"/>
        </w:rPr>
        <w:sectPr w:rsidR="007259F2">
          <w:footerReference w:type="default" r:id="rId437"/>
          <w:pgSz w:w="11910" w:h="16840"/>
          <w:pgMar w:top="1320" w:right="708" w:bottom="280" w:left="992" w:header="0" w:footer="0" w:gutter="0"/>
          <w:cols w:space="720"/>
        </w:sectPr>
      </w:pPr>
    </w:p>
    <w:p w:rsidR="007259F2" w:rsidRDefault="00E655B4">
      <w:pPr>
        <w:pStyle w:val="Corpodetexto"/>
        <w:spacing w:before="69"/>
        <w:ind w:right="989"/>
      </w:pPr>
      <w:r>
        <w:lastRenderedPageBreak/>
        <w:t>Sendo a medida judicial a ser promovida a ação civil pública, deve-se definir então, o sujeito passivo, do qual será exigida a reparação dos danos causados.</w:t>
      </w:r>
    </w:p>
    <w:p w:rsidR="007259F2" w:rsidRDefault="00E655B4">
      <w:pPr>
        <w:pStyle w:val="Corpodetexto"/>
        <w:spacing w:before="1"/>
        <w:ind w:right="993"/>
      </w:pPr>
      <w:r>
        <w:t>No</w:t>
      </w:r>
      <w:r>
        <w:rPr>
          <w:spacing w:val="-3"/>
        </w:rPr>
        <w:t xml:space="preserve"> </w:t>
      </w:r>
      <w:r>
        <w:t>presente</w:t>
      </w:r>
      <w:r>
        <w:rPr>
          <w:spacing w:val="-3"/>
        </w:rPr>
        <w:t xml:space="preserve"> </w:t>
      </w:r>
      <w:r>
        <w:t>caso,</w:t>
      </w:r>
      <w:r>
        <w:rPr>
          <w:spacing w:val="-2"/>
        </w:rPr>
        <w:t xml:space="preserve"> </w:t>
      </w:r>
      <w:r>
        <w:t>percebe-se</w:t>
      </w:r>
      <w:r>
        <w:rPr>
          <w:spacing w:val="-3"/>
        </w:rPr>
        <w:t xml:space="preserve"> </w:t>
      </w:r>
      <w:r>
        <w:t>que</w:t>
      </w:r>
      <w:r>
        <w:rPr>
          <w:spacing w:val="-3"/>
        </w:rPr>
        <w:t xml:space="preserve"> </w:t>
      </w:r>
      <w:r>
        <w:t>o</w:t>
      </w:r>
      <w:r>
        <w:rPr>
          <w:spacing w:val="-2"/>
        </w:rPr>
        <w:t xml:space="preserve"> </w:t>
      </w:r>
      <w:r>
        <w:t>infrator</w:t>
      </w:r>
      <w:r>
        <w:rPr>
          <w:spacing w:val="-3"/>
        </w:rPr>
        <w:t xml:space="preserve"> </w:t>
      </w:r>
      <w:r>
        <w:t>considerado</w:t>
      </w:r>
      <w:r>
        <w:rPr>
          <w:spacing w:val="-2"/>
        </w:rPr>
        <w:t xml:space="preserve"> </w:t>
      </w:r>
      <w:r>
        <w:t>pelo</w:t>
      </w:r>
      <w:r>
        <w:rPr>
          <w:spacing w:val="-2"/>
        </w:rPr>
        <w:t xml:space="preserve"> </w:t>
      </w:r>
      <w:r>
        <w:t>órgão</w:t>
      </w:r>
      <w:r>
        <w:rPr>
          <w:spacing w:val="-2"/>
        </w:rPr>
        <w:t xml:space="preserve"> </w:t>
      </w:r>
      <w:r>
        <w:t>ambiental</w:t>
      </w:r>
      <w:r>
        <w:rPr>
          <w:spacing w:val="-2"/>
        </w:rPr>
        <w:t xml:space="preserve"> </w:t>
      </w:r>
      <w:r>
        <w:t>foi o Sr. Ícaro, tendo sido verificada ao menos sua omissão quanto à supressão de exemplares arbóreos em seu imóvel. Portanto, é o Sr. Ícaro F. um possível sujeito passivo da ação civil pública a ser proposta pelo Município.</w:t>
      </w:r>
    </w:p>
    <w:p w:rsidR="007259F2" w:rsidRDefault="00E655B4">
      <w:pPr>
        <w:pStyle w:val="Corpodetexto"/>
        <w:ind w:right="988"/>
      </w:pPr>
      <w:r>
        <w:t xml:space="preserve">Além disso, nos termos da Súmula 623 do STJ, “as obrigações ambientais possuem natureza </w:t>
      </w:r>
      <w:r>
        <w:rPr>
          <w:i/>
        </w:rPr>
        <w:t>propter rem</w:t>
      </w:r>
      <w:r>
        <w:t>, sendo admissível cobrá-las do proprietário ou possuidor atual e/ou dos anteriores, à escolha do credor.”</w:t>
      </w:r>
    </w:p>
    <w:p w:rsidR="007259F2" w:rsidRDefault="00E655B4">
      <w:pPr>
        <w:pStyle w:val="Corpodetexto"/>
        <w:ind w:right="992"/>
      </w:pPr>
      <w:r>
        <w:t>Portanto, sendo a Construtora XY a atual proprietária do imóvel e tendo</w:t>
      </w:r>
      <w:r>
        <w:rPr>
          <w:spacing w:val="40"/>
        </w:rPr>
        <w:t xml:space="preserve"> </w:t>
      </w:r>
      <w:r>
        <w:t>recebido o imóvel já com o dano ambiental configurado, sem demonstrar ter buscado reparar os danos existentes, também poderá sem incluída no polo passivo da demanda a ser proposta.</w:t>
      </w:r>
    </w:p>
    <w:p w:rsidR="007259F2" w:rsidRDefault="00E655B4">
      <w:pPr>
        <w:pStyle w:val="Corpodetexto"/>
        <w:spacing w:before="1"/>
        <w:ind w:right="986"/>
      </w:pPr>
      <w:r>
        <w:t>A Jurisprudência do STJ definiu que apenas titular do imóvel anterior à ocorrência do dano não terá responsabilidade civil na reparação dos danos, em razão da ausência de nexo causal entre a ação ou omissão e o dano causado.</w:t>
      </w:r>
    </w:p>
    <w:p w:rsidR="007259F2" w:rsidRDefault="00E655B4">
      <w:pPr>
        <w:pStyle w:val="Corpodetexto"/>
        <w:ind w:right="991"/>
      </w:pPr>
      <w:r>
        <w:t>Desse modo, temos que os sujeitos passivos da ação serão a Construtora XY</w:t>
      </w:r>
      <w:r>
        <w:rPr>
          <w:spacing w:val="-9"/>
        </w:rPr>
        <w:t xml:space="preserve"> </w:t>
      </w:r>
      <w:r>
        <w:t>e</w:t>
      </w:r>
      <w:r>
        <w:rPr>
          <w:spacing w:val="-3"/>
        </w:rPr>
        <w:t xml:space="preserve"> </w:t>
      </w:r>
      <w:r>
        <w:t>o Sr. Ícaro F., uma vez que o nexo causal está configurado para ambos, levando a responsabilidade civil ambiental, como se verá detalhadamente a seguir.</w:t>
      </w:r>
    </w:p>
    <w:p w:rsidR="007259F2" w:rsidRDefault="00E655B4">
      <w:pPr>
        <w:pStyle w:val="Heading2"/>
        <w:spacing w:before="206"/>
        <w:jc w:val="left"/>
      </w:pPr>
      <w:r>
        <w:t>Da</w:t>
      </w:r>
      <w:r>
        <w:rPr>
          <w:spacing w:val="75"/>
        </w:rPr>
        <w:t xml:space="preserve"> </w:t>
      </w:r>
      <w:r>
        <w:t>impossibilidade</w:t>
      </w:r>
      <w:r>
        <w:rPr>
          <w:spacing w:val="79"/>
        </w:rPr>
        <w:t xml:space="preserve"> </w:t>
      </w:r>
      <w:r>
        <w:t>de</w:t>
      </w:r>
      <w:r>
        <w:rPr>
          <w:spacing w:val="76"/>
        </w:rPr>
        <w:t xml:space="preserve"> </w:t>
      </w:r>
      <w:r>
        <w:t>prescrição</w:t>
      </w:r>
      <w:r>
        <w:rPr>
          <w:spacing w:val="78"/>
        </w:rPr>
        <w:t xml:space="preserve"> </w:t>
      </w:r>
      <w:r>
        <w:t>da</w:t>
      </w:r>
      <w:r>
        <w:rPr>
          <w:spacing w:val="77"/>
        </w:rPr>
        <w:t xml:space="preserve"> </w:t>
      </w:r>
      <w:r>
        <w:t>ação</w:t>
      </w:r>
      <w:r>
        <w:rPr>
          <w:spacing w:val="51"/>
          <w:w w:val="150"/>
        </w:rPr>
        <w:t xml:space="preserve"> </w:t>
      </w:r>
      <w:r>
        <w:t>reparatória</w:t>
      </w:r>
      <w:r>
        <w:rPr>
          <w:spacing w:val="79"/>
        </w:rPr>
        <w:t xml:space="preserve"> </w:t>
      </w:r>
      <w:r>
        <w:t>de</w:t>
      </w:r>
      <w:r>
        <w:rPr>
          <w:spacing w:val="78"/>
        </w:rPr>
        <w:t xml:space="preserve"> </w:t>
      </w:r>
      <w:r>
        <w:t xml:space="preserve">danos </w:t>
      </w:r>
      <w:r>
        <w:rPr>
          <w:spacing w:val="-2"/>
        </w:rPr>
        <w:t>ambientais</w:t>
      </w:r>
    </w:p>
    <w:p w:rsidR="007259F2" w:rsidRDefault="00E655B4">
      <w:pPr>
        <w:pStyle w:val="Corpodetexto"/>
        <w:spacing w:before="156"/>
        <w:ind w:right="993"/>
      </w:pPr>
      <w:r>
        <w:t>A pretensão de reparação civil de danos ambientais foi declarada imprescritível pelo STF, em razão da natureza do dano ambiental, conforme o julgamento dos Acórdãos relacionados ao Tema nº 999 de Repercussão Geral:</w:t>
      </w:r>
    </w:p>
    <w:p w:rsidR="007259F2" w:rsidRDefault="007259F2">
      <w:pPr>
        <w:pStyle w:val="Corpodetexto"/>
        <w:spacing w:before="124"/>
        <w:ind w:left="0" w:firstLine="0"/>
        <w:jc w:val="left"/>
      </w:pPr>
    </w:p>
    <w:p w:rsidR="007259F2" w:rsidRDefault="00E655B4">
      <w:pPr>
        <w:tabs>
          <w:tab w:val="left" w:pos="5434"/>
        </w:tabs>
        <w:spacing w:line="276" w:lineRule="auto"/>
        <w:ind w:left="2978" w:right="991"/>
        <w:jc w:val="both"/>
        <w:rPr>
          <w:sz w:val="20"/>
        </w:rPr>
      </w:pPr>
      <w:r>
        <w:rPr>
          <w:sz w:val="20"/>
        </w:rPr>
        <w:t xml:space="preserve">RECURSO EXTRAORDINÁRIO. REPERCUSSÃO GERAL. TEMA 999. </w:t>
      </w:r>
      <w:r>
        <w:rPr>
          <w:spacing w:val="-2"/>
          <w:sz w:val="20"/>
        </w:rPr>
        <w:t>CONSTITUCIONAL.</w:t>
      </w:r>
      <w:r>
        <w:rPr>
          <w:sz w:val="20"/>
        </w:rPr>
        <w:tab/>
        <w:t>DANO</w:t>
      </w:r>
      <w:r>
        <w:rPr>
          <w:spacing w:val="68"/>
          <w:sz w:val="20"/>
        </w:rPr>
        <w:t xml:space="preserve">   </w:t>
      </w:r>
      <w:r>
        <w:rPr>
          <w:sz w:val="20"/>
        </w:rPr>
        <w:t>AMBIENTAL.</w:t>
      </w:r>
      <w:r>
        <w:rPr>
          <w:spacing w:val="70"/>
          <w:sz w:val="20"/>
        </w:rPr>
        <w:t xml:space="preserve">   </w:t>
      </w:r>
      <w:r>
        <w:rPr>
          <w:spacing w:val="-2"/>
          <w:sz w:val="20"/>
        </w:rPr>
        <w:t>REPARAÇÃO.</w:t>
      </w:r>
    </w:p>
    <w:p w:rsidR="007259F2" w:rsidRDefault="00E655B4">
      <w:pPr>
        <w:spacing w:line="276" w:lineRule="auto"/>
        <w:ind w:left="2978" w:right="987"/>
        <w:jc w:val="both"/>
        <w:rPr>
          <w:sz w:val="20"/>
        </w:rPr>
      </w:pPr>
      <w:r>
        <w:rPr>
          <w:sz w:val="20"/>
        </w:rPr>
        <w:t>IMPRESCRITIBILIDADE. 1. Debate-se nestes autos se deve prevalecer o princípio da segurança jurídica, que beneficia o autor do dano ambiental diante da inércia do Poder Público; ou se devem prevalecer os princípios constitucionais de proteção, preservação e reparação do meio ambiente, que beneficiam</w:t>
      </w:r>
      <w:r>
        <w:rPr>
          <w:spacing w:val="-2"/>
          <w:sz w:val="20"/>
        </w:rPr>
        <w:t xml:space="preserve"> </w:t>
      </w:r>
      <w:r>
        <w:rPr>
          <w:sz w:val="20"/>
        </w:rPr>
        <w:t>toda</w:t>
      </w:r>
      <w:r>
        <w:rPr>
          <w:spacing w:val="-3"/>
          <w:sz w:val="20"/>
        </w:rPr>
        <w:t xml:space="preserve"> </w:t>
      </w:r>
      <w:r>
        <w:rPr>
          <w:sz w:val="20"/>
        </w:rPr>
        <w:t>a</w:t>
      </w:r>
      <w:r>
        <w:rPr>
          <w:spacing w:val="-3"/>
          <w:sz w:val="20"/>
        </w:rPr>
        <w:t xml:space="preserve"> </w:t>
      </w:r>
      <w:r>
        <w:rPr>
          <w:sz w:val="20"/>
        </w:rPr>
        <w:t>coletividade.</w:t>
      </w:r>
      <w:r>
        <w:rPr>
          <w:spacing w:val="-3"/>
          <w:sz w:val="20"/>
        </w:rPr>
        <w:t xml:space="preserve"> </w:t>
      </w:r>
      <w:r>
        <w:rPr>
          <w:sz w:val="20"/>
        </w:rPr>
        <w:t>2. Em</w:t>
      </w:r>
      <w:r>
        <w:rPr>
          <w:spacing w:val="-5"/>
          <w:sz w:val="20"/>
        </w:rPr>
        <w:t xml:space="preserve"> </w:t>
      </w:r>
      <w:r>
        <w:rPr>
          <w:sz w:val="20"/>
        </w:rPr>
        <w:t>nosso</w:t>
      </w:r>
      <w:r>
        <w:rPr>
          <w:spacing w:val="-2"/>
          <w:sz w:val="20"/>
        </w:rPr>
        <w:t xml:space="preserve"> </w:t>
      </w:r>
      <w:r>
        <w:rPr>
          <w:sz w:val="20"/>
        </w:rPr>
        <w:t>ordenamento</w:t>
      </w:r>
      <w:r>
        <w:rPr>
          <w:spacing w:val="-2"/>
          <w:sz w:val="20"/>
        </w:rPr>
        <w:t xml:space="preserve"> </w:t>
      </w:r>
      <w:r>
        <w:rPr>
          <w:sz w:val="20"/>
        </w:rPr>
        <w:t>jurídico,</w:t>
      </w:r>
      <w:r>
        <w:rPr>
          <w:spacing w:val="-3"/>
          <w:sz w:val="20"/>
        </w:rPr>
        <w:t xml:space="preserve"> </w:t>
      </w:r>
      <w:r>
        <w:rPr>
          <w:sz w:val="20"/>
        </w:rPr>
        <w:t>a</w:t>
      </w:r>
      <w:r>
        <w:rPr>
          <w:spacing w:val="-3"/>
          <w:sz w:val="20"/>
        </w:rPr>
        <w:t xml:space="preserve"> </w:t>
      </w:r>
      <w:r>
        <w:rPr>
          <w:sz w:val="20"/>
        </w:rPr>
        <w:t>regra é</w:t>
      </w:r>
      <w:r>
        <w:rPr>
          <w:spacing w:val="-3"/>
          <w:sz w:val="20"/>
        </w:rPr>
        <w:t xml:space="preserve"> </w:t>
      </w:r>
      <w:r>
        <w:rPr>
          <w:sz w:val="20"/>
        </w:rPr>
        <w:t>a prescrição da pretensão reparatória. A imprescritibilidade, por sua vez, é exceção. Depende, portanto, de fatores externos, que o ordenamento jurídico reputa</w:t>
      </w:r>
      <w:r>
        <w:rPr>
          <w:spacing w:val="-5"/>
          <w:sz w:val="20"/>
        </w:rPr>
        <w:t xml:space="preserve"> </w:t>
      </w:r>
      <w:r>
        <w:rPr>
          <w:sz w:val="20"/>
        </w:rPr>
        <w:t>inderrogáveis</w:t>
      </w:r>
      <w:r>
        <w:rPr>
          <w:spacing w:val="-5"/>
          <w:sz w:val="20"/>
        </w:rPr>
        <w:t xml:space="preserve"> </w:t>
      </w:r>
      <w:r>
        <w:rPr>
          <w:sz w:val="20"/>
        </w:rPr>
        <w:t>pelo</w:t>
      </w:r>
      <w:r>
        <w:rPr>
          <w:spacing w:val="-4"/>
          <w:sz w:val="20"/>
        </w:rPr>
        <w:t xml:space="preserve"> </w:t>
      </w:r>
      <w:r>
        <w:rPr>
          <w:sz w:val="20"/>
        </w:rPr>
        <w:t>tempo.</w:t>
      </w:r>
      <w:r>
        <w:rPr>
          <w:spacing w:val="-4"/>
          <w:sz w:val="20"/>
        </w:rPr>
        <w:t xml:space="preserve"> </w:t>
      </w:r>
      <w:r>
        <w:rPr>
          <w:sz w:val="20"/>
        </w:rPr>
        <w:t>3.</w:t>
      </w:r>
      <w:r>
        <w:rPr>
          <w:spacing w:val="-5"/>
          <w:sz w:val="20"/>
        </w:rPr>
        <w:t xml:space="preserve"> </w:t>
      </w:r>
      <w:r>
        <w:rPr>
          <w:sz w:val="20"/>
        </w:rPr>
        <w:t>Embora</w:t>
      </w:r>
      <w:r>
        <w:rPr>
          <w:spacing w:val="-4"/>
          <w:sz w:val="20"/>
        </w:rPr>
        <w:t xml:space="preserve"> </w:t>
      </w:r>
      <w:r>
        <w:rPr>
          <w:sz w:val="20"/>
        </w:rPr>
        <w:t>a</w:t>
      </w:r>
      <w:r>
        <w:rPr>
          <w:spacing w:val="-5"/>
          <w:sz w:val="20"/>
        </w:rPr>
        <w:t xml:space="preserve"> </w:t>
      </w:r>
      <w:r>
        <w:rPr>
          <w:sz w:val="20"/>
        </w:rPr>
        <w:t>Constituição</w:t>
      </w:r>
      <w:r>
        <w:rPr>
          <w:spacing w:val="-2"/>
          <w:sz w:val="20"/>
        </w:rPr>
        <w:t xml:space="preserve"> </w:t>
      </w:r>
      <w:r>
        <w:rPr>
          <w:sz w:val="20"/>
        </w:rPr>
        <w:t>e</w:t>
      </w:r>
      <w:r>
        <w:rPr>
          <w:spacing w:val="-5"/>
          <w:sz w:val="20"/>
        </w:rPr>
        <w:t xml:space="preserve"> </w:t>
      </w:r>
      <w:r>
        <w:rPr>
          <w:sz w:val="20"/>
        </w:rPr>
        <w:t>as</w:t>
      </w:r>
      <w:r>
        <w:rPr>
          <w:spacing w:val="-3"/>
          <w:sz w:val="20"/>
        </w:rPr>
        <w:t xml:space="preserve"> </w:t>
      </w:r>
      <w:r>
        <w:rPr>
          <w:sz w:val="20"/>
        </w:rPr>
        <w:t>leis</w:t>
      </w:r>
      <w:r>
        <w:rPr>
          <w:spacing w:val="-4"/>
          <w:sz w:val="20"/>
        </w:rPr>
        <w:t xml:space="preserve"> </w:t>
      </w:r>
      <w:r>
        <w:rPr>
          <w:sz w:val="20"/>
        </w:rPr>
        <w:t>ordinárias não disponham acerca do prazo prescricional para a reparação de danos civis ambientais, sendo regra a estipulação de prazo para pretensão ressarcitória, a tutela constitucional a determinados valores impõe o reconhecimento de pretensões imprescritíveis. 4. O meio ambiente deve ser considerado patrimônio comum de toda humanidade, para a garantia de sua integral proteção,</w:t>
      </w:r>
      <w:r>
        <w:rPr>
          <w:spacing w:val="-4"/>
          <w:sz w:val="20"/>
        </w:rPr>
        <w:t xml:space="preserve"> </w:t>
      </w:r>
      <w:r>
        <w:rPr>
          <w:sz w:val="20"/>
        </w:rPr>
        <w:t>especialmente</w:t>
      </w:r>
      <w:r>
        <w:rPr>
          <w:spacing w:val="-3"/>
          <w:sz w:val="20"/>
        </w:rPr>
        <w:t xml:space="preserve"> </w:t>
      </w:r>
      <w:r>
        <w:rPr>
          <w:sz w:val="20"/>
        </w:rPr>
        <w:t>em</w:t>
      </w:r>
      <w:r>
        <w:rPr>
          <w:spacing w:val="-7"/>
          <w:sz w:val="20"/>
        </w:rPr>
        <w:t xml:space="preserve"> </w:t>
      </w:r>
      <w:r>
        <w:rPr>
          <w:sz w:val="20"/>
        </w:rPr>
        <w:t>relação</w:t>
      </w:r>
      <w:r>
        <w:rPr>
          <w:spacing w:val="-2"/>
          <w:sz w:val="20"/>
        </w:rPr>
        <w:t xml:space="preserve"> </w:t>
      </w:r>
      <w:r>
        <w:rPr>
          <w:sz w:val="20"/>
        </w:rPr>
        <w:t>às</w:t>
      </w:r>
      <w:r>
        <w:rPr>
          <w:spacing w:val="-4"/>
          <w:sz w:val="20"/>
        </w:rPr>
        <w:t xml:space="preserve"> </w:t>
      </w:r>
      <w:r>
        <w:rPr>
          <w:sz w:val="20"/>
        </w:rPr>
        <w:t>gerações</w:t>
      </w:r>
      <w:r>
        <w:rPr>
          <w:spacing w:val="-1"/>
          <w:sz w:val="20"/>
        </w:rPr>
        <w:t xml:space="preserve"> </w:t>
      </w:r>
      <w:r>
        <w:rPr>
          <w:sz w:val="20"/>
        </w:rPr>
        <w:t>futuras.</w:t>
      </w:r>
      <w:r>
        <w:rPr>
          <w:spacing w:val="-5"/>
          <w:sz w:val="20"/>
        </w:rPr>
        <w:t xml:space="preserve"> </w:t>
      </w:r>
      <w:r>
        <w:rPr>
          <w:sz w:val="20"/>
        </w:rPr>
        <w:t>Todas</w:t>
      </w:r>
      <w:r>
        <w:rPr>
          <w:spacing w:val="-3"/>
          <w:sz w:val="20"/>
        </w:rPr>
        <w:t xml:space="preserve"> </w:t>
      </w:r>
      <w:r>
        <w:rPr>
          <w:sz w:val="20"/>
        </w:rPr>
        <w:t>as</w:t>
      </w:r>
      <w:r>
        <w:rPr>
          <w:spacing w:val="-4"/>
          <w:sz w:val="20"/>
        </w:rPr>
        <w:t xml:space="preserve"> </w:t>
      </w:r>
      <w:r>
        <w:rPr>
          <w:sz w:val="20"/>
        </w:rPr>
        <w:t>condutas do Poder Público estatal devem ser direcionadas no sentido de integral proteção legislativa interna e de adesão aos pactos e tratados internacionais protetivos desse direito humano fundamental de 3ª geração, para evitar prejuízo da coletividade em face de uma afetação de certo bem (recurso natural) a uma finalidade individual</w:t>
      </w:r>
      <w:r>
        <w:rPr>
          <w:b/>
          <w:sz w:val="20"/>
        </w:rPr>
        <w:t xml:space="preserve">. 5. A reparação do dano ao meio ambiente é direito fundamental indisponível, sendo imperativo o reconhecimento da imprescritibilidade no que toca à recomposição dos danos ambientais. </w:t>
      </w:r>
      <w:r>
        <w:rPr>
          <w:sz w:val="20"/>
        </w:rPr>
        <w:t>6. Extinção do processo, com julgamento de mérito, em relação ao Espólio de Orleir Messias Cameli e a Marmud Cameli Ltda, com base no art. 487, III, b do</w:t>
      </w:r>
      <w:r>
        <w:rPr>
          <w:spacing w:val="66"/>
          <w:sz w:val="20"/>
        </w:rPr>
        <w:t xml:space="preserve"> </w:t>
      </w:r>
      <w:r>
        <w:rPr>
          <w:sz w:val="20"/>
        </w:rPr>
        <w:t>Código</w:t>
      </w:r>
      <w:r>
        <w:rPr>
          <w:spacing w:val="66"/>
          <w:sz w:val="20"/>
        </w:rPr>
        <w:t xml:space="preserve"> </w:t>
      </w:r>
      <w:r>
        <w:rPr>
          <w:sz w:val="20"/>
        </w:rPr>
        <w:t>de</w:t>
      </w:r>
      <w:r>
        <w:rPr>
          <w:spacing w:val="66"/>
          <w:sz w:val="20"/>
        </w:rPr>
        <w:t xml:space="preserve"> </w:t>
      </w:r>
      <w:r>
        <w:rPr>
          <w:sz w:val="20"/>
        </w:rPr>
        <w:t>Processo</w:t>
      </w:r>
      <w:r>
        <w:rPr>
          <w:spacing w:val="67"/>
          <w:sz w:val="20"/>
        </w:rPr>
        <w:t xml:space="preserve"> </w:t>
      </w:r>
      <w:r>
        <w:rPr>
          <w:sz w:val="20"/>
        </w:rPr>
        <w:t>Civil</w:t>
      </w:r>
      <w:r>
        <w:rPr>
          <w:spacing w:val="65"/>
          <w:sz w:val="20"/>
        </w:rPr>
        <w:t xml:space="preserve"> </w:t>
      </w:r>
      <w:r>
        <w:rPr>
          <w:sz w:val="20"/>
        </w:rPr>
        <w:t>de</w:t>
      </w:r>
      <w:r>
        <w:rPr>
          <w:spacing w:val="66"/>
          <w:sz w:val="20"/>
        </w:rPr>
        <w:t xml:space="preserve"> </w:t>
      </w:r>
      <w:r>
        <w:rPr>
          <w:sz w:val="20"/>
        </w:rPr>
        <w:t>2015,</w:t>
      </w:r>
      <w:r>
        <w:rPr>
          <w:spacing w:val="67"/>
          <w:sz w:val="20"/>
        </w:rPr>
        <w:t xml:space="preserve"> </w:t>
      </w:r>
      <w:r>
        <w:rPr>
          <w:sz w:val="20"/>
        </w:rPr>
        <w:t>ficando</w:t>
      </w:r>
      <w:r>
        <w:rPr>
          <w:spacing w:val="66"/>
          <w:sz w:val="20"/>
        </w:rPr>
        <w:t xml:space="preserve"> </w:t>
      </w:r>
      <w:r>
        <w:rPr>
          <w:sz w:val="20"/>
        </w:rPr>
        <w:t>prejudicado</w:t>
      </w:r>
      <w:r>
        <w:rPr>
          <w:spacing w:val="66"/>
          <w:sz w:val="20"/>
        </w:rPr>
        <w:t xml:space="preserve"> </w:t>
      </w:r>
      <w:r>
        <w:rPr>
          <w:sz w:val="20"/>
        </w:rPr>
        <w:t>o</w:t>
      </w:r>
      <w:r>
        <w:rPr>
          <w:spacing w:val="67"/>
          <w:sz w:val="20"/>
        </w:rPr>
        <w:t xml:space="preserve"> </w:t>
      </w:r>
      <w:r>
        <w:rPr>
          <w:spacing w:val="-2"/>
          <w:sz w:val="20"/>
        </w:rPr>
        <w:t>Recurso</w:t>
      </w:r>
    </w:p>
    <w:p w:rsidR="007259F2" w:rsidRDefault="007259F2">
      <w:pPr>
        <w:spacing w:line="276" w:lineRule="auto"/>
        <w:jc w:val="both"/>
        <w:rPr>
          <w:sz w:val="20"/>
        </w:rPr>
        <w:sectPr w:rsidR="007259F2">
          <w:footerReference w:type="default" r:id="rId438"/>
          <w:pgSz w:w="11910" w:h="16840"/>
          <w:pgMar w:top="1320" w:right="708" w:bottom="280" w:left="992" w:header="0" w:footer="0" w:gutter="0"/>
          <w:cols w:space="720"/>
        </w:sectPr>
      </w:pPr>
    </w:p>
    <w:p w:rsidR="007259F2" w:rsidRDefault="00E655B4">
      <w:pPr>
        <w:spacing w:before="73" w:line="276" w:lineRule="auto"/>
        <w:ind w:left="2978" w:right="991"/>
        <w:jc w:val="both"/>
        <w:rPr>
          <w:sz w:val="20"/>
        </w:rPr>
      </w:pPr>
      <w:r>
        <w:rPr>
          <w:sz w:val="20"/>
        </w:rPr>
        <w:lastRenderedPageBreak/>
        <w:t>Extraordinário.</w:t>
      </w:r>
      <w:r>
        <w:rPr>
          <w:spacing w:val="-3"/>
          <w:sz w:val="20"/>
        </w:rPr>
        <w:t xml:space="preserve"> </w:t>
      </w:r>
      <w:r>
        <w:rPr>
          <w:sz w:val="20"/>
        </w:rPr>
        <w:t>Afirmação</w:t>
      </w:r>
      <w:r>
        <w:rPr>
          <w:spacing w:val="-2"/>
          <w:sz w:val="20"/>
        </w:rPr>
        <w:t xml:space="preserve"> </w:t>
      </w:r>
      <w:r>
        <w:rPr>
          <w:sz w:val="20"/>
        </w:rPr>
        <w:t>de</w:t>
      </w:r>
      <w:r>
        <w:rPr>
          <w:spacing w:val="-2"/>
          <w:sz w:val="20"/>
        </w:rPr>
        <w:t xml:space="preserve"> </w:t>
      </w:r>
      <w:r>
        <w:rPr>
          <w:sz w:val="20"/>
        </w:rPr>
        <w:t>tese</w:t>
      </w:r>
      <w:r>
        <w:rPr>
          <w:spacing w:val="-4"/>
          <w:sz w:val="20"/>
        </w:rPr>
        <w:t xml:space="preserve"> </w:t>
      </w:r>
      <w:r>
        <w:rPr>
          <w:sz w:val="20"/>
        </w:rPr>
        <w:t>segundo</w:t>
      </w:r>
      <w:r>
        <w:rPr>
          <w:spacing w:val="-2"/>
          <w:sz w:val="20"/>
        </w:rPr>
        <w:t xml:space="preserve"> </w:t>
      </w:r>
      <w:r>
        <w:rPr>
          <w:sz w:val="20"/>
        </w:rPr>
        <w:t>a</w:t>
      </w:r>
      <w:r>
        <w:rPr>
          <w:spacing w:val="-3"/>
          <w:sz w:val="20"/>
        </w:rPr>
        <w:t xml:space="preserve"> </w:t>
      </w:r>
      <w:r>
        <w:rPr>
          <w:sz w:val="20"/>
        </w:rPr>
        <w:t>qual</w:t>
      </w:r>
      <w:r>
        <w:rPr>
          <w:spacing w:val="-3"/>
          <w:sz w:val="20"/>
        </w:rPr>
        <w:t xml:space="preserve"> </w:t>
      </w:r>
      <w:r>
        <w:rPr>
          <w:sz w:val="20"/>
        </w:rPr>
        <w:t>é</w:t>
      </w:r>
      <w:r>
        <w:rPr>
          <w:spacing w:val="-3"/>
          <w:sz w:val="20"/>
        </w:rPr>
        <w:t xml:space="preserve"> </w:t>
      </w:r>
      <w:r>
        <w:rPr>
          <w:sz w:val="20"/>
        </w:rPr>
        <w:t>imprescritível</w:t>
      </w:r>
      <w:r>
        <w:rPr>
          <w:spacing w:val="-2"/>
          <w:sz w:val="20"/>
        </w:rPr>
        <w:t xml:space="preserve"> </w:t>
      </w:r>
      <w:r>
        <w:rPr>
          <w:sz w:val="20"/>
        </w:rPr>
        <w:t>a</w:t>
      </w:r>
      <w:r>
        <w:rPr>
          <w:spacing w:val="-3"/>
          <w:sz w:val="20"/>
        </w:rPr>
        <w:t xml:space="preserve"> </w:t>
      </w:r>
      <w:r>
        <w:rPr>
          <w:sz w:val="20"/>
        </w:rPr>
        <w:t>pretensão de reparação civil de dano ambiental. (Supremo Tribunal Federal; RE 654833; Julgamento: 20/04/2020).</w:t>
      </w:r>
    </w:p>
    <w:p w:rsidR="007259F2" w:rsidRDefault="00E655B4">
      <w:pPr>
        <w:pStyle w:val="Corpodetexto"/>
        <w:spacing w:before="197"/>
        <w:ind w:right="991"/>
      </w:pPr>
      <w:r>
        <w:t>Há de se afirmar, então, que a presente demanda não merece ser refreada em razão de possível prescrição da ação reparatória, uma vez que o STF reconheceu a imprescritibilidade “no que toca à recomposição dos danos ambientais”.</w:t>
      </w:r>
    </w:p>
    <w:p w:rsidR="007259F2" w:rsidRDefault="00E655B4">
      <w:pPr>
        <w:pStyle w:val="Heading2"/>
        <w:spacing w:before="206"/>
        <w:jc w:val="left"/>
      </w:pPr>
      <w:r>
        <w:t>Da</w:t>
      </w:r>
      <w:r>
        <w:rPr>
          <w:spacing w:val="-2"/>
        </w:rPr>
        <w:t xml:space="preserve"> </w:t>
      </w:r>
      <w:r>
        <w:t>Responsabilidade</w:t>
      </w:r>
      <w:r>
        <w:rPr>
          <w:spacing w:val="-3"/>
        </w:rPr>
        <w:t xml:space="preserve"> </w:t>
      </w:r>
      <w:r>
        <w:t>Civil</w:t>
      </w:r>
      <w:r>
        <w:rPr>
          <w:spacing w:val="2"/>
        </w:rPr>
        <w:t xml:space="preserve"> </w:t>
      </w:r>
      <w:r>
        <w:rPr>
          <w:spacing w:val="-2"/>
        </w:rPr>
        <w:t>Ambiental</w:t>
      </w:r>
    </w:p>
    <w:p w:rsidR="007259F2" w:rsidRDefault="00E655B4">
      <w:pPr>
        <w:pStyle w:val="Corpodetexto"/>
        <w:spacing w:before="156"/>
        <w:ind w:right="988"/>
      </w:pPr>
      <w:r>
        <w:t>A Responsabilidade Civil Ambiental no ordenamento jurídico pátrio, diferenciando-se da Responsabilidade Civil ordinária, foi moldada em grande parte pela Constituição Federal, de forma implícita e pela Lei da Política Nacional do Meio Ambiente, mais explicitamente. Desse modo, conforme os dizeres de Mirra (2003 apud Milaré, 2021, p. RB-12.1), “o sistema de responsabilidade civil por danos ambientais configura um ‘microssistema’ dentro do sistema geral da responsabilidade civil, com regras próprias e especiais (...)”.</w:t>
      </w:r>
    </w:p>
    <w:p w:rsidR="007259F2" w:rsidRDefault="00E655B4">
      <w:pPr>
        <w:pStyle w:val="Corpodetexto"/>
        <w:spacing w:before="1"/>
        <w:ind w:right="988"/>
      </w:pPr>
      <w:r>
        <w:t>Como</w:t>
      </w:r>
      <w:r>
        <w:rPr>
          <w:spacing w:val="-5"/>
        </w:rPr>
        <w:t xml:space="preserve"> </w:t>
      </w:r>
      <w:r>
        <w:t>mencionado,</w:t>
      </w:r>
      <w:r>
        <w:rPr>
          <w:spacing w:val="-3"/>
        </w:rPr>
        <w:t xml:space="preserve"> </w:t>
      </w:r>
      <w:r>
        <w:t>a</w:t>
      </w:r>
      <w:r>
        <w:rPr>
          <w:spacing w:val="-4"/>
        </w:rPr>
        <w:t xml:space="preserve"> </w:t>
      </w:r>
      <w:r>
        <w:t>Lei</w:t>
      </w:r>
      <w:r>
        <w:rPr>
          <w:spacing w:val="-3"/>
        </w:rPr>
        <w:t xml:space="preserve"> </w:t>
      </w:r>
      <w:r>
        <w:t>nº</w:t>
      </w:r>
      <w:r>
        <w:rPr>
          <w:spacing w:val="-4"/>
        </w:rPr>
        <w:t xml:space="preserve"> </w:t>
      </w:r>
      <w:r>
        <w:t>6.938/81</w:t>
      </w:r>
      <w:r>
        <w:rPr>
          <w:spacing w:val="-3"/>
        </w:rPr>
        <w:t xml:space="preserve"> </w:t>
      </w:r>
      <w:r>
        <w:t>(Política</w:t>
      </w:r>
      <w:r>
        <w:rPr>
          <w:spacing w:val="-4"/>
        </w:rPr>
        <w:t xml:space="preserve"> </w:t>
      </w:r>
      <w:r>
        <w:t>Nacional</w:t>
      </w:r>
      <w:r>
        <w:rPr>
          <w:spacing w:val="-3"/>
        </w:rPr>
        <w:t xml:space="preserve"> </w:t>
      </w:r>
      <w:r>
        <w:t>do</w:t>
      </w:r>
      <w:r>
        <w:rPr>
          <w:spacing w:val="-3"/>
        </w:rPr>
        <w:t xml:space="preserve"> </w:t>
      </w:r>
      <w:r>
        <w:t>Meio</w:t>
      </w:r>
      <w:r>
        <w:rPr>
          <w:spacing w:val="-4"/>
        </w:rPr>
        <w:t xml:space="preserve"> </w:t>
      </w:r>
      <w:r>
        <w:t>Ambiente) teve papel crucial para alterar o sistema a fim de que se consolidasse a natureza objetiva da responsabilidade civil ambiental, impondo normatividade e diferenciando- a da responsabilidade civil como entendida no ordenamento à época da edição da referida</w:t>
      </w:r>
      <w:r>
        <w:rPr>
          <w:spacing w:val="80"/>
        </w:rPr>
        <w:t xml:space="preserve"> </w:t>
      </w:r>
      <w:r>
        <w:t>lei. Em seu artigo 14, § 1º, se dispõe o seguinte:</w:t>
      </w:r>
    </w:p>
    <w:p w:rsidR="007259F2" w:rsidRDefault="007259F2">
      <w:pPr>
        <w:pStyle w:val="Corpodetexto"/>
        <w:spacing w:before="1"/>
        <w:ind w:left="0" w:firstLine="0"/>
        <w:jc w:val="left"/>
      </w:pPr>
    </w:p>
    <w:p w:rsidR="007259F2" w:rsidRDefault="00E655B4">
      <w:pPr>
        <w:spacing w:before="1"/>
        <w:ind w:left="2978" w:right="997"/>
        <w:jc w:val="both"/>
        <w:rPr>
          <w:sz w:val="20"/>
        </w:rPr>
      </w:pPr>
      <w:r>
        <w:rPr>
          <w:sz w:val="20"/>
        </w:rPr>
        <w:t>Art. 14 - Sem prejuízo das penalidades definidas pela legislação federal, estadual e municipal, o não cumprimento das medidas necessárias à preservação ou correção dos inconvenientes e danos causados pela degradação da qualidade ambiental sujeitará os transgressores:</w:t>
      </w:r>
    </w:p>
    <w:p w:rsidR="007259F2" w:rsidRDefault="00E655B4">
      <w:pPr>
        <w:spacing w:line="230" w:lineRule="exact"/>
        <w:ind w:left="2978"/>
        <w:rPr>
          <w:sz w:val="20"/>
        </w:rPr>
      </w:pPr>
      <w:r>
        <w:rPr>
          <w:spacing w:val="-2"/>
          <w:sz w:val="20"/>
        </w:rPr>
        <w:t>(...)</w:t>
      </w:r>
    </w:p>
    <w:p w:rsidR="007259F2" w:rsidRDefault="00E655B4">
      <w:pPr>
        <w:ind w:left="2978" w:right="986"/>
        <w:jc w:val="both"/>
        <w:rPr>
          <w:sz w:val="20"/>
        </w:rPr>
      </w:pPr>
      <w:r>
        <w:rPr>
          <w:sz w:val="20"/>
        </w:rPr>
        <w:t>§ 1º - Sem obstar a aplicação das penalidades previstas neste artigo, é o poluidor obrigado</w:t>
      </w:r>
      <w:r>
        <w:rPr>
          <w:b/>
          <w:sz w:val="20"/>
        </w:rPr>
        <w:t>, independentemente da existência de culpa</w:t>
      </w:r>
      <w:r>
        <w:rPr>
          <w:sz w:val="20"/>
        </w:rPr>
        <w:t xml:space="preserve">, a </w:t>
      </w:r>
      <w:r>
        <w:rPr>
          <w:b/>
          <w:sz w:val="20"/>
        </w:rPr>
        <w:t xml:space="preserve">indenizar ou reparar os danos causados ao meio ambiente e a terceiros, afetados por sua atividade. </w:t>
      </w:r>
      <w:r>
        <w:rPr>
          <w:sz w:val="20"/>
        </w:rPr>
        <w:t>O Ministério Público da União e dos Estados terá legitimidade para propor ação de responsabilidade civil e criminal, por danos causados ao meio ambiente. (g.n) (BRASIL, 1981)</w:t>
      </w:r>
    </w:p>
    <w:p w:rsidR="007259F2" w:rsidRDefault="007259F2">
      <w:pPr>
        <w:pStyle w:val="Corpodetexto"/>
        <w:spacing w:before="45"/>
        <w:ind w:left="0" w:firstLine="0"/>
        <w:jc w:val="left"/>
        <w:rPr>
          <w:sz w:val="20"/>
        </w:rPr>
      </w:pPr>
    </w:p>
    <w:p w:rsidR="007259F2" w:rsidRDefault="00E655B4">
      <w:pPr>
        <w:pStyle w:val="Corpodetexto"/>
        <w:ind w:right="988"/>
      </w:pPr>
      <w:r>
        <w:t>Já a Constituição Federal de 1998, trouxe inscrita em seu artigo 225, § 3º,</w:t>
      </w:r>
      <w:r>
        <w:rPr>
          <w:vertAlign w:val="superscript"/>
        </w:rPr>
        <w:t>5</w:t>
      </w:r>
      <w:r>
        <w:t xml:space="preserve"> a responsabilidade ambiental, que possui natureza tripartite, se perfazendo no âmbito administrativo, civil e penal.</w:t>
      </w:r>
    </w:p>
    <w:p w:rsidR="007259F2" w:rsidRDefault="00E655B4">
      <w:pPr>
        <w:pStyle w:val="Corpodetexto"/>
        <w:ind w:right="996"/>
      </w:pPr>
      <w:r>
        <w:t xml:space="preserve">Posteriormente o Código Civil de 2002 também trouxe em seu artigo 927, Parágrafo único, a possibilidade de responsabilização objetiva, adotando a teoria do </w:t>
      </w:r>
      <w:r>
        <w:rPr>
          <w:spacing w:val="-2"/>
        </w:rPr>
        <w:t>risco:</w:t>
      </w:r>
    </w:p>
    <w:p w:rsidR="007259F2" w:rsidRDefault="00E655B4">
      <w:pPr>
        <w:spacing w:before="2"/>
        <w:ind w:left="2978" w:right="993"/>
        <w:jc w:val="both"/>
        <w:rPr>
          <w:sz w:val="20"/>
        </w:rPr>
      </w:pPr>
      <w:r>
        <w:rPr>
          <w:sz w:val="20"/>
        </w:rPr>
        <w:t>Art. 927. Aquele que, por ato ilícito (arts. 186 e 187), causar dano a outrem, fica obrigado a repará-lo.</w:t>
      </w:r>
    </w:p>
    <w:p w:rsidR="007259F2" w:rsidRDefault="00E655B4">
      <w:pPr>
        <w:ind w:left="2978" w:right="990"/>
        <w:jc w:val="both"/>
        <w:rPr>
          <w:sz w:val="20"/>
        </w:rPr>
      </w:pPr>
      <w:r>
        <w:rPr>
          <w:sz w:val="20"/>
        </w:rPr>
        <w:t>Parágrafo único. Haverá obrigação de reparar o dano, independentemente de culpa, nos casos especificados em lei, ou quando a atividade normalmente desenvolvida pelo autor do dano implicar, por sua natureza, risco para os direitos de outrem. (BRASIL, 2002)</w:t>
      </w:r>
    </w:p>
    <w:p w:rsidR="007259F2" w:rsidRDefault="00E655B4">
      <w:pPr>
        <w:pStyle w:val="Corpodetexto"/>
        <w:spacing w:before="229"/>
        <w:jc w:val="left"/>
      </w:pPr>
      <w:r>
        <w:t>Conforme</w:t>
      </w:r>
      <w:r>
        <w:rPr>
          <w:spacing w:val="35"/>
        </w:rPr>
        <w:t xml:space="preserve"> </w:t>
      </w:r>
      <w:r>
        <w:t>aponta</w:t>
      </w:r>
      <w:r>
        <w:rPr>
          <w:spacing w:val="35"/>
        </w:rPr>
        <w:t xml:space="preserve"> </w:t>
      </w:r>
      <w:r>
        <w:t>Edis</w:t>
      </w:r>
      <w:r>
        <w:rPr>
          <w:spacing w:val="33"/>
        </w:rPr>
        <w:t xml:space="preserve"> </w:t>
      </w:r>
      <w:r>
        <w:t>Milaré</w:t>
      </w:r>
      <w:r>
        <w:rPr>
          <w:spacing w:val="34"/>
        </w:rPr>
        <w:t xml:space="preserve"> </w:t>
      </w:r>
      <w:r>
        <w:t>(2021,</w:t>
      </w:r>
      <w:r>
        <w:rPr>
          <w:spacing w:val="33"/>
        </w:rPr>
        <w:t xml:space="preserve"> </w:t>
      </w:r>
      <w:r>
        <w:t>p.</w:t>
      </w:r>
      <w:r>
        <w:rPr>
          <w:spacing w:val="35"/>
        </w:rPr>
        <w:t xml:space="preserve"> </w:t>
      </w:r>
      <w:r>
        <w:t>RB-12.2),</w:t>
      </w:r>
      <w:r>
        <w:rPr>
          <w:spacing w:val="33"/>
        </w:rPr>
        <w:t xml:space="preserve"> </w:t>
      </w:r>
      <w:r>
        <w:t>o</w:t>
      </w:r>
      <w:r>
        <w:rPr>
          <w:spacing w:val="35"/>
        </w:rPr>
        <w:t xml:space="preserve"> </w:t>
      </w:r>
      <w:r>
        <w:t>disposto</w:t>
      </w:r>
      <w:r>
        <w:rPr>
          <w:spacing w:val="36"/>
        </w:rPr>
        <w:t xml:space="preserve"> </w:t>
      </w:r>
      <w:r>
        <w:t>no</w:t>
      </w:r>
      <w:r>
        <w:rPr>
          <w:spacing w:val="33"/>
        </w:rPr>
        <w:t xml:space="preserve"> </w:t>
      </w:r>
      <w:r>
        <w:t>Código</w:t>
      </w:r>
      <w:r>
        <w:rPr>
          <w:spacing w:val="38"/>
        </w:rPr>
        <w:t xml:space="preserve"> </w:t>
      </w:r>
      <w:r>
        <w:t>é</w:t>
      </w:r>
      <w:r>
        <w:rPr>
          <w:spacing w:val="32"/>
        </w:rPr>
        <w:t xml:space="preserve"> </w:t>
      </w:r>
      <w:r>
        <w:t>“a materialização</w:t>
      </w:r>
      <w:r>
        <w:rPr>
          <w:spacing w:val="39"/>
        </w:rPr>
        <w:t xml:space="preserve"> </w:t>
      </w:r>
      <w:r>
        <w:t>formal</w:t>
      </w:r>
      <w:r>
        <w:rPr>
          <w:spacing w:val="41"/>
        </w:rPr>
        <w:t xml:space="preserve"> </w:t>
      </w:r>
      <w:r>
        <w:t>da</w:t>
      </w:r>
      <w:r>
        <w:rPr>
          <w:spacing w:val="39"/>
        </w:rPr>
        <w:t xml:space="preserve"> </w:t>
      </w:r>
      <w:r>
        <w:t>teoria</w:t>
      </w:r>
      <w:r>
        <w:rPr>
          <w:spacing w:val="40"/>
        </w:rPr>
        <w:t xml:space="preserve"> </w:t>
      </w:r>
      <w:r>
        <w:t>do</w:t>
      </w:r>
      <w:r>
        <w:rPr>
          <w:spacing w:val="41"/>
        </w:rPr>
        <w:t xml:space="preserve"> </w:t>
      </w:r>
      <w:r>
        <w:t>risco,</w:t>
      </w:r>
      <w:r>
        <w:rPr>
          <w:spacing w:val="40"/>
        </w:rPr>
        <w:t xml:space="preserve"> </w:t>
      </w:r>
      <w:r>
        <w:t>fincada</w:t>
      </w:r>
      <w:r>
        <w:rPr>
          <w:spacing w:val="39"/>
        </w:rPr>
        <w:t xml:space="preserve"> </w:t>
      </w:r>
      <w:r>
        <w:t>num</w:t>
      </w:r>
      <w:r>
        <w:rPr>
          <w:spacing w:val="41"/>
        </w:rPr>
        <w:t xml:space="preserve"> </w:t>
      </w:r>
      <w:r>
        <w:t>sistema</w:t>
      </w:r>
      <w:r>
        <w:rPr>
          <w:spacing w:val="38"/>
        </w:rPr>
        <w:t xml:space="preserve"> </w:t>
      </w:r>
      <w:r>
        <w:t>aberto,</w:t>
      </w:r>
      <w:r>
        <w:rPr>
          <w:spacing w:val="40"/>
        </w:rPr>
        <w:t xml:space="preserve"> </w:t>
      </w:r>
      <w:r>
        <w:t>que</w:t>
      </w:r>
      <w:r>
        <w:rPr>
          <w:spacing w:val="39"/>
        </w:rPr>
        <w:t xml:space="preserve"> </w:t>
      </w:r>
      <w:r>
        <w:t>entende</w:t>
      </w:r>
      <w:r>
        <w:rPr>
          <w:spacing w:val="39"/>
        </w:rPr>
        <w:t xml:space="preserve"> </w:t>
      </w:r>
      <w:r>
        <w:rPr>
          <w:spacing w:val="-10"/>
        </w:rPr>
        <w:t>a</w:t>
      </w:r>
    </w:p>
    <w:p w:rsidR="007259F2" w:rsidRDefault="007259F2">
      <w:pPr>
        <w:pStyle w:val="Corpodetexto"/>
        <w:ind w:left="0" w:firstLine="0"/>
        <w:jc w:val="left"/>
        <w:rPr>
          <w:sz w:val="20"/>
        </w:rPr>
      </w:pPr>
    </w:p>
    <w:p w:rsidR="007259F2" w:rsidRDefault="00DE6B1C">
      <w:pPr>
        <w:pStyle w:val="Corpodetexto"/>
        <w:spacing w:before="50"/>
        <w:ind w:left="0" w:firstLine="0"/>
        <w:jc w:val="left"/>
        <w:rPr>
          <w:sz w:val="20"/>
        </w:rPr>
      </w:pPr>
      <w:r w:rsidRPr="00DE6B1C">
        <w:rPr>
          <w:sz w:val="20"/>
        </w:rPr>
        <w:pict>
          <v:rect id="docshape198" o:spid="_x0000_s1033" style="position:absolute;margin-left:85.1pt;margin-top:15.2pt;width:2in;height:.7pt;z-index:-15638016;mso-wrap-distance-left:0;mso-wrap-distance-right:0;mso-position-horizontal-relative:page" fillcolor="black" stroked="f">
            <w10:wrap type="topAndBottom" anchorx="page"/>
          </v:rect>
        </w:pict>
      </w:r>
    </w:p>
    <w:p w:rsidR="007259F2" w:rsidRDefault="00E655B4">
      <w:pPr>
        <w:spacing w:before="97"/>
        <w:ind w:left="710" w:right="998"/>
        <w:jc w:val="both"/>
        <w:rPr>
          <w:sz w:val="20"/>
        </w:rPr>
      </w:pPr>
      <w:r>
        <w:rPr>
          <w:sz w:val="20"/>
          <w:vertAlign w:val="superscript"/>
        </w:rPr>
        <w:t>5</w:t>
      </w:r>
      <w:r>
        <w:rPr>
          <w:sz w:val="20"/>
        </w:rPr>
        <w:t xml:space="preserve"> Art. 225. (...) § 3º As condutas e atividades consideradas lesivas ao meio ambiente sujeitarão os infratores, pessoas físicas ou jurídicas, a sanções penais e administrativas, independentemente da obrigação de reparar os danos causados.</w:t>
      </w:r>
    </w:p>
    <w:p w:rsidR="007259F2" w:rsidRDefault="007259F2">
      <w:pPr>
        <w:jc w:val="both"/>
        <w:rPr>
          <w:sz w:val="20"/>
        </w:rPr>
        <w:sectPr w:rsidR="007259F2">
          <w:footerReference w:type="default" r:id="rId439"/>
          <w:pgSz w:w="11910" w:h="16840"/>
          <w:pgMar w:top="1320" w:right="708" w:bottom="280" w:left="992" w:header="0" w:footer="0" w:gutter="0"/>
          <w:cols w:space="720"/>
        </w:sectPr>
      </w:pPr>
    </w:p>
    <w:p w:rsidR="007259F2" w:rsidRDefault="00E655B4">
      <w:pPr>
        <w:pStyle w:val="Corpodetexto"/>
        <w:spacing w:before="69"/>
        <w:ind w:right="994" w:firstLine="0"/>
      </w:pPr>
      <w:r>
        <w:lastRenderedPageBreak/>
        <w:t>responsabilidade como decorrente do simples existir da atividade, sem qualquer perquirição quanto a eventual negligência ou imprudência do seu explorador.”</w:t>
      </w:r>
    </w:p>
    <w:p w:rsidR="007259F2" w:rsidRDefault="00E655B4">
      <w:pPr>
        <w:pStyle w:val="Corpodetexto"/>
        <w:spacing w:before="1"/>
        <w:ind w:right="994"/>
      </w:pPr>
      <w:r>
        <w:t>A teoria do risco, portanto, busca responsabilizar aquele que cria risco à</w:t>
      </w:r>
      <w:r>
        <w:rPr>
          <w:spacing w:val="80"/>
        </w:rPr>
        <w:t xml:space="preserve"> </w:t>
      </w:r>
      <w:r>
        <w:t xml:space="preserve">terceiros simplesmente pela prática de alguma atividade ou empreendimento, ainda que o agente não tenha sido o causador direto do dano, com ação ou omissão, ou seja, com </w:t>
      </w:r>
      <w:r>
        <w:rPr>
          <w:spacing w:val="-2"/>
        </w:rPr>
        <w:t>culpa.</w:t>
      </w:r>
    </w:p>
    <w:p w:rsidR="007259F2" w:rsidRDefault="00E655B4">
      <w:pPr>
        <w:pStyle w:val="Corpodetexto"/>
        <w:ind w:right="987"/>
      </w:pPr>
      <w:r>
        <w:t xml:space="preserve">Como justificativa para a adoção de tal teoria, podemos vislumbrar a peculiaridade do dano ambiental que, na esteira do que afirma Leite (2003, </w:t>
      </w:r>
      <w:r>
        <w:rPr>
          <w:i/>
        </w:rPr>
        <w:t xml:space="preserve">apud </w:t>
      </w:r>
      <w:r>
        <w:t>TRENNEPOHL, 2022, p. 174), “é diferente das demais formas de dano, pois se</w:t>
      </w:r>
      <w:r>
        <w:rPr>
          <w:spacing w:val="40"/>
        </w:rPr>
        <w:t xml:space="preserve"> </w:t>
      </w:r>
      <w:r>
        <w:t>constitui numa forma ambivalente, designando, ora alterações nocivas ao ambiente, ora os efeitos provocados por essas alterações à saúde das pessoas envolvidas”.</w:t>
      </w:r>
    </w:p>
    <w:p w:rsidR="007259F2" w:rsidRDefault="00E655B4">
      <w:pPr>
        <w:pStyle w:val="Corpodetexto"/>
        <w:ind w:right="988"/>
      </w:pPr>
      <w:r>
        <w:t>A teoria adotada é pelo STJ, com uma especificação, uma vez que é entendida como teoria do risco integral pela jurisprudência da Corte. Isso ocorre a fim de diferenciar de outras teorias do risco, quais sejam, do risco proveito e do risco criado, uma vez que pela teoria do risco integral não se admite excludentes de responsabilidade ordinariamente admitidas (força maior, caso fortuito, culpa da vítima ou fato de terceiro). Veja-se abaixo o entendimento exarado quando do julgamento dos Tema 681</w:t>
      </w:r>
      <w:r>
        <w:rPr>
          <w:spacing w:val="40"/>
        </w:rPr>
        <w:t xml:space="preserve"> </w:t>
      </w:r>
      <w:r>
        <w:t>e 707 de Recursos Repetitivos, pelo STJ:</w:t>
      </w:r>
    </w:p>
    <w:p w:rsidR="007259F2" w:rsidRDefault="007259F2">
      <w:pPr>
        <w:pStyle w:val="Corpodetexto"/>
        <w:spacing w:before="2"/>
        <w:ind w:left="0" w:firstLine="0"/>
        <w:jc w:val="left"/>
      </w:pPr>
    </w:p>
    <w:p w:rsidR="007259F2" w:rsidRDefault="00E655B4">
      <w:pPr>
        <w:ind w:left="2978" w:right="989"/>
        <w:jc w:val="both"/>
        <w:rPr>
          <w:sz w:val="20"/>
        </w:rPr>
      </w:pPr>
      <w:r>
        <w:rPr>
          <w:sz w:val="20"/>
        </w:rPr>
        <w:t>1) A responsabilidade por dano ambiental é objetiva, informada pela teoria</w:t>
      </w:r>
      <w:r>
        <w:rPr>
          <w:spacing w:val="80"/>
          <w:sz w:val="20"/>
        </w:rPr>
        <w:t xml:space="preserve"> </w:t>
      </w:r>
      <w:r>
        <w:rPr>
          <w:sz w:val="20"/>
        </w:rPr>
        <w:t>do risco integral, sendo o nexo de</w:t>
      </w:r>
      <w:r>
        <w:rPr>
          <w:spacing w:val="-1"/>
          <w:sz w:val="20"/>
        </w:rPr>
        <w:t xml:space="preserve"> </w:t>
      </w:r>
      <w:r>
        <w:rPr>
          <w:sz w:val="20"/>
        </w:rPr>
        <w:t>causalidade</w:t>
      </w:r>
      <w:r>
        <w:rPr>
          <w:spacing w:val="-1"/>
          <w:sz w:val="20"/>
        </w:rPr>
        <w:t xml:space="preserve"> </w:t>
      </w:r>
      <w:r>
        <w:rPr>
          <w:sz w:val="20"/>
        </w:rPr>
        <w:t>o fator aglutinante</w:t>
      </w:r>
      <w:r>
        <w:rPr>
          <w:spacing w:val="-1"/>
          <w:sz w:val="20"/>
        </w:rPr>
        <w:t xml:space="preserve"> </w:t>
      </w:r>
      <w:r>
        <w:rPr>
          <w:sz w:val="20"/>
        </w:rPr>
        <w:t>que</w:t>
      </w:r>
      <w:r>
        <w:rPr>
          <w:spacing w:val="-1"/>
          <w:sz w:val="20"/>
        </w:rPr>
        <w:t xml:space="preserve"> </w:t>
      </w:r>
      <w:r>
        <w:rPr>
          <w:sz w:val="20"/>
        </w:rPr>
        <w:t>permite que o risco se integre na unidade do ato, sendo descabida a invocação, pela empresa responsável pelo dano ambiental, de excludentes de</w:t>
      </w:r>
      <w:r>
        <w:rPr>
          <w:spacing w:val="40"/>
          <w:sz w:val="20"/>
        </w:rPr>
        <w:t xml:space="preserve"> </w:t>
      </w:r>
      <w:r>
        <w:rPr>
          <w:sz w:val="20"/>
        </w:rPr>
        <w:t>responsabilidade civil para afastar sua obrigação de indenizar. (TEMA 681 e 707, letra a)</w:t>
      </w:r>
    </w:p>
    <w:p w:rsidR="007259F2" w:rsidRDefault="00E655B4">
      <w:pPr>
        <w:pStyle w:val="Corpodetexto"/>
        <w:spacing w:before="230"/>
        <w:ind w:right="987"/>
      </w:pPr>
      <w:r>
        <w:t xml:space="preserve">Em consequência a teoria do risco, a mesma Corte entende que a responsabilidade civil ambiental possui natureza </w:t>
      </w:r>
      <w:r>
        <w:rPr>
          <w:i/>
        </w:rPr>
        <w:t>propter rem</w:t>
      </w:r>
      <w:r>
        <w:t xml:space="preserve">, estando isento de responsabilidade apenas o titular do imóvel anterior a ocorrência do dano. O referido entendimento foi, inclusive, sumulado pelo Superior Tribunal de Justiça, na súmula nº </w:t>
      </w:r>
      <w:r>
        <w:rPr>
          <w:spacing w:val="-4"/>
        </w:rPr>
        <w:t>623.</w:t>
      </w:r>
    </w:p>
    <w:p w:rsidR="007259F2" w:rsidRDefault="007259F2">
      <w:pPr>
        <w:pStyle w:val="Corpodetexto"/>
        <w:sectPr w:rsidR="007259F2">
          <w:footerReference w:type="default" r:id="rId440"/>
          <w:pgSz w:w="11910" w:h="16840"/>
          <w:pgMar w:top="1320" w:right="708" w:bottom="280" w:left="992" w:header="0" w:footer="0" w:gutter="0"/>
          <w:cols w:space="720"/>
        </w:sectPr>
      </w:pPr>
    </w:p>
    <w:p w:rsidR="007259F2" w:rsidRDefault="007259F2">
      <w:pPr>
        <w:pStyle w:val="Corpodetexto"/>
        <w:ind w:left="0" w:firstLine="0"/>
        <w:jc w:val="left"/>
      </w:pPr>
    </w:p>
    <w:p w:rsidR="007259F2" w:rsidRDefault="00E655B4">
      <w:pPr>
        <w:pStyle w:val="Corpodetexto"/>
        <w:ind w:firstLine="0"/>
        <w:jc w:val="left"/>
      </w:pPr>
      <w:r>
        <w:rPr>
          <w:spacing w:val="-4"/>
        </w:rPr>
        <w:t>que:</w:t>
      </w:r>
    </w:p>
    <w:p w:rsidR="007259F2" w:rsidRDefault="00E655B4">
      <w:pPr>
        <w:pStyle w:val="Corpodetexto"/>
        <w:ind w:left="255" w:firstLine="0"/>
        <w:jc w:val="left"/>
      </w:pPr>
      <w:r>
        <w:br w:type="column"/>
      </w:r>
      <w:r>
        <w:lastRenderedPageBreak/>
        <w:t>No</w:t>
      </w:r>
      <w:r>
        <w:rPr>
          <w:spacing w:val="17"/>
        </w:rPr>
        <w:t xml:space="preserve"> </w:t>
      </w:r>
      <w:r>
        <w:t>julgamento</w:t>
      </w:r>
      <w:r>
        <w:rPr>
          <w:spacing w:val="20"/>
        </w:rPr>
        <w:t xml:space="preserve"> </w:t>
      </w:r>
      <w:r>
        <w:t>do</w:t>
      </w:r>
      <w:r>
        <w:rPr>
          <w:spacing w:val="20"/>
        </w:rPr>
        <w:t xml:space="preserve"> </w:t>
      </w:r>
      <w:r>
        <w:t>REsp</w:t>
      </w:r>
      <w:r>
        <w:rPr>
          <w:spacing w:val="22"/>
        </w:rPr>
        <w:t xml:space="preserve"> </w:t>
      </w:r>
      <w:r>
        <w:t>nº</w:t>
      </w:r>
      <w:r>
        <w:rPr>
          <w:spacing w:val="20"/>
        </w:rPr>
        <w:t xml:space="preserve"> </w:t>
      </w:r>
      <w:r>
        <w:t>650728/SC,</w:t>
      </w:r>
      <w:r>
        <w:rPr>
          <w:spacing w:val="20"/>
        </w:rPr>
        <w:t xml:space="preserve"> </w:t>
      </w:r>
      <w:r>
        <w:t>o</w:t>
      </w:r>
      <w:r>
        <w:rPr>
          <w:spacing w:val="20"/>
        </w:rPr>
        <w:t xml:space="preserve"> </w:t>
      </w:r>
      <w:r>
        <w:t>Ministro</w:t>
      </w:r>
      <w:r>
        <w:rPr>
          <w:spacing w:val="19"/>
        </w:rPr>
        <w:t xml:space="preserve"> </w:t>
      </w:r>
      <w:r>
        <w:t>Herman</w:t>
      </w:r>
      <w:r>
        <w:rPr>
          <w:spacing w:val="22"/>
        </w:rPr>
        <w:t xml:space="preserve"> </w:t>
      </w:r>
      <w:r>
        <w:t>Benjamin</w:t>
      </w:r>
      <w:r>
        <w:rPr>
          <w:spacing w:val="21"/>
        </w:rPr>
        <w:t xml:space="preserve"> </w:t>
      </w:r>
      <w:r>
        <w:rPr>
          <w:spacing w:val="-2"/>
        </w:rPr>
        <w:t>ressaltou</w:t>
      </w:r>
    </w:p>
    <w:p w:rsidR="007259F2" w:rsidRDefault="007259F2">
      <w:pPr>
        <w:pStyle w:val="Corpodetexto"/>
        <w:spacing w:before="1"/>
        <w:ind w:left="0" w:firstLine="0"/>
        <w:jc w:val="left"/>
      </w:pPr>
    </w:p>
    <w:p w:rsidR="007259F2" w:rsidRDefault="00E655B4">
      <w:pPr>
        <w:pStyle w:val="PargrafodaLista"/>
        <w:numPr>
          <w:ilvl w:val="0"/>
          <w:numId w:val="2"/>
        </w:numPr>
        <w:tabs>
          <w:tab w:val="left" w:pos="2165"/>
        </w:tabs>
        <w:ind w:right="995" w:firstLine="0"/>
        <w:jc w:val="both"/>
        <w:rPr>
          <w:sz w:val="20"/>
        </w:rPr>
      </w:pPr>
      <w:r>
        <w:rPr>
          <w:sz w:val="20"/>
        </w:rPr>
        <w:t>Para o fim de apuração do nexo de causalidade no dano ambiental, equiparam-se quem faz, quem não faz quando deveria fazer, quem deixa fazer, quem não se importa que façam, quem financia para que façam, e</w:t>
      </w:r>
      <w:r>
        <w:rPr>
          <w:spacing w:val="40"/>
          <w:sz w:val="20"/>
        </w:rPr>
        <w:t xml:space="preserve"> </w:t>
      </w:r>
      <w:r>
        <w:rPr>
          <w:sz w:val="20"/>
        </w:rPr>
        <w:t>quem se beneficia quando outros fazem.</w:t>
      </w:r>
    </w:p>
    <w:p w:rsidR="007259F2" w:rsidRDefault="00E655B4">
      <w:pPr>
        <w:pStyle w:val="PargrafodaLista"/>
        <w:numPr>
          <w:ilvl w:val="0"/>
          <w:numId w:val="2"/>
        </w:numPr>
        <w:tabs>
          <w:tab w:val="left" w:pos="2125"/>
        </w:tabs>
        <w:ind w:right="988" w:firstLine="0"/>
        <w:jc w:val="both"/>
        <w:rPr>
          <w:sz w:val="20"/>
        </w:rPr>
      </w:pPr>
      <w:r>
        <w:rPr>
          <w:sz w:val="20"/>
        </w:rPr>
        <w:t>Constatado o nexo causal entre a ação e a omissão das recorrentes com o dano ambiental em questão, surge, objetivamente, o dever de promover a recuperação da área afetada e indenizar eventuais danos remanescentes, na forma do art. 14, § 1º, da Lei 6.938/81. (BRASIL. Superior Tribunal de Justiça, julgado em 23/10/2007)</w:t>
      </w:r>
    </w:p>
    <w:p w:rsidR="007259F2" w:rsidRDefault="007259F2">
      <w:pPr>
        <w:pStyle w:val="PargrafodaLista"/>
        <w:rPr>
          <w:sz w:val="20"/>
        </w:rPr>
        <w:sectPr w:rsidR="007259F2">
          <w:type w:val="continuous"/>
          <w:pgSz w:w="11910" w:h="16840"/>
          <w:pgMar w:top="1180" w:right="708" w:bottom="280" w:left="992" w:header="0" w:footer="0" w:gutter="0"/>
          <w:cols w:num="2" w:space="720" w:equalWidth="0">
            <w:col w:w="1123" w:space="40"/>
            <w:col w:w="9047"/>
          </w:cols>
        </w:sectPr>
      </w:pPr>
    </w:p>
    <w:p w:rsidR="007259F2" w:rsidRDefault="007259F2">
      <w:pPr>
        <w:pStyle w:val="Corpodetexto"/>
        <w:spacing w:before="109"/>
        <w:ind w:left="0" w:firstLine="0"/>
        <w:jc w:val="left"/>
      </w:pPr>
    </w:p>
    <w:p w:rsidR="007259F2" w:rsidRDefault="00E655B4">
      <w:pPr>
        <w:pStyle w:val="Corpodetexto"/>
        <w:ind w:right="993"/>
      </w:pPr>
      <w:r>
        <w:t>Diante disso, na doutrina e jurisprudência permanecem como requisitos para responsabilidade civil objetiva o dano ambiental e o nexo de causalidade.</w:t>
      </w:r>
    </w:p>
    <w:p w:rsidR="007259F2" w:rsidRDefault="00E655B4">
      <w:pPr>
        <w:pStyle w:val="Corpodetexto"/>
        <w:ind w:left="1418" w:firstLine="0"/>
      </w:pPr>
      <w:r>
        <w:t>Primeiro</w:t>
      </w:r>
      <w:r>
        <w:rPr>
          <w:spacing w:val="-6"/>
        </w:rPr>
        <w:t xml:space="preserve"> </w:t>
      </w:r>
      <w:r>
        <w:t>tratemos da</w:t>
      </w:r>
      <w:r>
        <w:rPr>
          <w:spacing w:val="-2"/>
        </w:rPr>
        <w:t xml:space="preserve"> </w:t>
      </w:r>
      <w:r>
        <w:t>existência</w:t>
      </w:r>
      <w:r>
        <w:rPr>
          <w:spacing w:val="-6"/>
        </w:rPr>
        <w:t xml:space="preserve"> </w:t>
      </w:r>
      <w:r>
        <w:t>de dano</w:t>
      </w:r>
      <w:r>
        <w:rPr>
          <w:spacing w:val="1"/>
        </w:rPr>
        <w:t xml:space="preserve"> </w:t>
      </w:r>
      <w:r>
        <w:t>ambiental</w:t>
      </w:r>
      <w:r>
        <w:rPr>
          <w:spacing w:val="-2"/>
        </w:rPr>
        <w:t xml:space="preserve"> </w:t>
      </w:r>
      <w:r>
        <w:t>ao</w:t>
      </w:r>
      <w:r>
        <w:rPr>
          <w:spacing w:val="-1"/>
        </w:rPr>
        <w:t xml:space="preserve"> </w:t>
      </w:r>
      <w:r>
        <w:t>caso</w:t>
      </w:r>
      <w:r>
        <w:rPr>
          <w:spacing w:val="-4"/>
        </w:rPr>
        <w:t xml:space="preserve"> </w:t>
      </w:r>
      <w:r>
        <w:t>em</w:t>
      </w:r>
      <w:r>
        <w:rPr>
          <w:spacing w:val="1"/>
        </w:rPr>
        <w:t xml:space="preserve"> </w:t>
      </w:r>
      <w:r>
        <w:rPr>
          <w:spacing w:val="-2"/>
        </w:rPr>
        <w:t>questão.</w:t>
      </w:r>
    </w:p>
    <w:p w:rsidR="007259F2" w:rsidRDefault="00E655B4">
      <w:pPr>
        <w:pStyle w:val="Corpodetexto"/>
        <w:ind w:right="989"/>
      </w:pPr>
      <w:r>
        <w:t>A SVMA demonstrou, conforme documentos inseridos no processo administrativo,</w:t>
      </w:r>
      <w:r>
        <w:rPr>
          <w:spacing w:val="-6"/>
        </w:rPr>
        <w:t xml:space="preserve"> </w:t>
      </w:r>
      <w:r>
        <w:t>como</w:t>
      </w:r>
      <w:r>
        <w:rPr>
          <w:spacing w:val="-6"/>
        </w:rPr>
        <w:t xml:space="preserve"> </w:t>
      </w:r>
      <w:r>
        <w:t>imagens</w:t>
      </w:r>
      <w:r>
        <w:rPr>
          <w:spacing w:val="-3"/>
        </w:rPr>
        <w:t xml:space="preserve"> </w:t>
      </w:r>
      <w:r>
        <w:t>e</w:t>
      </w:r>
      <w:r>
        <w:rPr>
          <w:spacing w:val="-8"/>
        </w:rPr>
        <w:t xml:space="preserve"> </w:t>
      </w:r>
      <w:r>
        <w:t>relatórios</w:t>
      </w:r>
      <w:r>
        <w:rPr>
          <w:spacing w:val="-8"/>
        </w:rPr>
        <w:t xml:space="preserve"> </w:t>
      </w:r>
      <w:r>
        <w:t>de</w:t>
      </w:r>
      <w:r>
        <w:rPr>
          <w:spacing w:val="-8"/>
        </w:rPr>
        <w:t xml:space="preserve"> </w:t>
      </w:r>
      <w:r>
        <w:t>vistoria</w:t>
      </w:r>
      <w:r>
        <w:rPr>
          <w:spacing w:val="-8"/>
        </w:rPr>
        <w:t xml:space="preserve"> </w:t>
      </w:r>
      <w:r>
        <w:t>técnica,</w:t>
      </w:r>
      <w:r>
        <w:rPr>
          <w:spacing w:val="-7"/>
        </w:rPr>
        <w:t xml:space="preserve"> </w:t>
      </w:r>
      <w:r>
        <w:t>a</w:t>
      </w:r>
      <w:r>
        <w:rPr>
          <w:spacing w:val="-8"/>
        </w:rPr>
        <w:t xml:space="preserve"> </w:t>
      </w:r>
      <w:r>
        <w:t>inequívoca</w:t>
      </w:r>
      <w:r>
        <w:rPr>
          <w:spacing w:val="-8"/>
        </w:rPr>
        <w:t xml:space="preserve"> </w:t>
      </w:r>
      <w:r>
        <w:t>ocorrência</w:t>
      </w:r>
      <w:r>
        <w:rPr>
          <w:spacing w:val="-3"/>
        </w:rPr>
        <w:t xml:space="preserve"> </w:t>
      </w:r>
      <w:r>
        <w:t>de dano ambiental, causado pelo corte de inúmeros exemplares arbóreos.</w:t>
      </w:r>
    </w:p>
    <w:p w:rsidR="007259F2" w:rsidRDefault="00E655B4">
      <w:pPr>
        <w:pStyle w:val="Corpodetexto"/>
        <w:ind w:right="988"/>
      </w:pPr>
      <w:r>
        <w:t>É</w:t>
      </w:r>
      <w:r>
        <w:rPr>
          <w:spacing w:val="-3"/>
        </w:rPr>
        <w:t xml:space="preserve"> </w:t>
      </w:r>
      <w:r>
        <w:t>indiscutível</w:t>
      </w:r>
      <w:r>
        <w:rPr>
          <w:spacing w:val="-3"/>
        </w:rPr>
        <w:t xml:space="preserve"> </w:t>
      </w:r>
      <w:r>
        <w:t>a</w:t>
      </w:r>
      <w:r>
        <w:rPr>
          <w:spacing w:val="-3"/>
        </w:rPr>
        <w:t xml:space="preserve"> </w:t>
      </w:r>
      <w:r>
        <w:t>importância</w:t>
      </w:r>
      <w:r>
        <w:rPr>
          <w:spacing w:val="-3"/>
        </w:rPr>
        <w:t xml:space="preserve"> </w:t>
      </w:r>
      <w:r>
        <w:t>da</w:t>
      </w:r>
      <w:r>
        <w:rPr>
          <w:spacing w:val="-3"/>
        </w:rPr>
        <w:t xml:space="preserve"> </w:t>
      </w:r>
      <w:r>
        <w:t>arborização</w:t>
      </w:r>
      <w:r>
        <w:rPr>
          <w:spacing w:val="-3"/>
        </w:rPr>
        <w:t xml:space="preserve"> </w:t>
      </w:r>
      <w:r>
        <w:t>para</w:t>
      </w:r>
      <w:r>
        <w:rPr>
          <w:spacing w:val="-5"/>
        </w:rPr>
        <w:t xml:space="preserve"> </w:t>
      </w:r>
      <w:r>
        <w:t>os</w:t>
      </w:r>
      <w:r>
        <w:rPr>
          <w:spacing w:val="-3"/>
        </w:rPr>
        <w:t xml:space="preserve"> </w:t>
      </w:r>
      <w:r>
        <w:t>ambientes</w:t>
      </w:r>
      <w:r>
        <w:rPr>
          <w:spacing w:val="-3"/>
        </w:rPr>
        <w:t xml:space="preserve"> </w:t>
      </w:r>
      <w:r>
        <w:t>urbanos,</w:t>
      </w:r>
      <w:r>
        <w:rPr>
          <w:spacing w:val="-1"/>
        </w:rPr>
        <w:t xml:space="preserve"> </w:t>
      </w:r>
      <w:r>
        <w:t>como</w:t>
      </w:r>
      <w:r>
        <w:rPr>
          <w:spacing w:val="-5"/>
        </w:rPr>
        <w:t xml:space="preserve"> </w:t>
      </w:r>
      <w:r>
        <w:t>por exemplo</w:t>
      </w:r>
      <w:r>
        <w:rPr>
          <w:spacing w:val="-1"/>
        </w:rPr>
        <w:t xml:space="preserve"> </w:t>
      </w:r>
      <w:r>
        <w:t>a</w:t>
      </w:r>
      <w:r>
        <w:rPr>
          <w:spacing w:val="-4"/>
        </w:rPr>
        <w:t xml:space="preserve"> </w:t>
      </w:r>
      <w:r>
        <w:t>formação</w:t>
      </w:r>
      <w:r>
        <w:rPr>
          <w:spacing w:val="-3"/>
        </w:rPr>
        <w:t xml:space="preserve"> </w:t>
      </w:r>
      <w:r>
        <w:t>de microclimas</w:t>
      </w:r>
      <w:r>
        <w:rPr>
          <w:spacing w:val="-3"/>
        </w:rPr>
        <w:t xml:space="preserve"> </w:t>
      </w:r>
      <w:r>
        <w:t>mais</w:t>
      </w:r>
      <w:r>
        <w:rPr>
          <w:spacing w:val="-3"/>
        </w:rPr>
        <w:t xml:space="preserve"> </w:t>
      </w:r>
      <w:r>
        <w:t>amenos,</w:t>
      </w:r>
      <w:r>
        <w:rPr>
          <w:spacing w:val="-3"/>
        </w:rPr>
        <w:t xml:space="preserve"> </w:t>
      </w:r>
      <w:r>
        <w:t>o</w:t>
      </w:r>
      <w:r>
        <w:rPr>
          <w:spacing w:val="-6"/>
        </w:rPr>
        <w:t xml:space="preserve"> </w:t>
      </w:r>
      <w:r>
        <w:t>que</w:t>
      </w:r>
      <w:r>
        <w:rPr>
          <w:spacing w:val="-4"/>
        </w:rPr>
        <w:t xml:space="preserve"> </w:t>
      </w:r>
      <w:r>
        <w:t>ajuda</w:t>
      </w:r>
      <w:r>
        <w:rPr>
          <w:spacing w:val="-1"/>
        </w:rPr>
        <w:t xml:space="preserve"> </w:t>
      </w:r>
      <w:r>
        <w:t>no</w:t>
      </w:r>
      <w:r>
        <w:rPr>
          <w:spacing w:val="-3"/>
        </w:rPr>
        <w:t xml:space="preserve"> </w:t>
      </w:r>
      <w:r>
        <w:t>aumento da</w:t>
      </w:r>
      <w:r>
        <w:rPr>
          <w:spacing w:val="-3"/>
        </w:rPr>
        <w:t xml:space="preserve"> </w:t>
      </w:r>
      <w:r>
        <w:t>qualidade de</w:t>
      </w:r>
      <w:r>
        <w:rPr>
          <w:spacing w:val="-4"/>
        </w:rPr>
        <w:t xml:space="preserve"> </w:t>
      </w:r>
      <w:r>
        <w:t>vida.</w:t>
      </w:r>
      <w:r>
        <w:rPr>
          <w:spacing w:val="-8"/>
        </w:rPr>
        <w:t xml:space="preserve"> </w:t>
      </w:r>
      <w:r>
        <w:t>Nem</w:t>
      </w:r>
      <w:r>
        <w:rPr>
          <w:spacing w:val="-1"/>
        </w:rPr>
        <w:t xml:space="preserve"> </w:t>
      </w:r>
      <w:r>
        <w:t>se</w:t>
      </w:r>
      <w:r>
        <w:rPr>
          <w:spacing w:val="-4"/>
        </w:rPr>
        <w:t xml:space="preserve"> </w:t>
      </w:r>
      <w:r>
        <w:t>mencione</w:t>
      </w:r>
      <w:r>
        <w:rPr>
          <w:spacing w:val="-3"/>
        </w:rPr>
        <w:t xml:space="preserve"> </w:t>
      </w:r>
      <w:r>
        <w:t>que</w:t>
      </w:r>
      <w:r>
        <w:rPr>
          <w:spacing w:val="-7"/>
        </w:rPr>
        <w:t xml:space="preserve"> </w:t>
      </w:r>
      <w:r>
        <w:t>o</w:t>
      </w:r>
      <w:r>
        <w:rPr>
          <w:spacing w:val="-3"/>
        </w:rPr>
        <w:t xml:space="preserve"> </w:t>
      </w:r>
      <w:r>
        <w:t>papel</w:t>
      </w:r>
      <w:r>
        <w:rPr>
          <w:spacing w:val="-2"/>
        </w:rPr>
        <w:t xml:space="preserve"> </w:t>
      </w:r>
      <w:r>
        <w:t>cumprido</w:t>
      </w:r>
      <w:r>
        <w:rPr>
          <w:spacing w:val="-3"/>
        </w:rPr>
        <w:t xml:space="preserve"> </w:t>
      </w:r>
      <w:r>
        <w:t>pela</w:t>
      </w:r>
      <w:r>
        <w:rPr>
          <w:spacing w:val="-8"/>
        </w:rPr>
        <w:t xml:space="preserve"> </w:t>
      </w:r>
      <w:r>
        <w:t>arborização</w:t>
      </w:r>
      <w:r>
        <w:rPr>
          <w:spacing w:val="-2"/>
        </w:rPr>
        <w:t xml:space="preserve"> </w:t>
      </w:r>
      <w:r>
        <w:t>ainda</w:t>
      </w:r>
      <w:r>
        <w:rPr>
          <w:spacing w:val="5"/>
        </w:rPr>
        <w:t xml:space="preserve"> </w:t>
      </w:r>
      <w:r>
        <w:t>é</w:t>
      </w:r>
      <w:r>
        <w:rPr>
          <w:spacing w:val="3"/>
        </w:rPr>
        <w:t xml:space="preserve"> </w:t>
      </w:r>
      <w:r>
        <w:t>mais</w:t>
      </w:r>
      <w:r>
        <w:rPr>
          <w:spacing w:val="5"/>
        </w:rPr>
        <w:t xml:space="preserve"> </w:t>
      </w:r>
      <w:r>
        <w:rPr>
          <w:spacing w:val="-2"/>
        </w:rPr>
        <w:t>relevante</w:t>
      </w:r>
    </w:p>
    <w:p w:rsidR="007259F2" w:rsidRDefault="007259F2">
      <w:pPr>
        <w:pStyle w:val="Corpodetexto"/>
        <w:sectPr w:rsidR="007259F2">
          <w:type w:val="continuous"/>
          <w:pgSz w:w="11910" w:h="16840"/>
          <w:pgMar w:top="1180" w:right="708" w:bottom="280" w:left="992" w:header="0" w:footer="0" w:gutter="0"/>
          <w:cols w:space="720"/>
        </w:sectPr>
      </w:pPr>
    </w:p>
    <w:p w:rsidR="007259F2" w:rsidRDefault="00E655B4">
      <w:pPr>
        <w:pStyle w:val="Corpodetexto"/>
        <w:spacing w:before="69"/>
        <w:ind w:right="990" w:firstLine="0"/>
        <w:jc w:val="left"/>
      </w:pPr>
      <w:r>
        <w:lastRenderedPageBreak/>
        <w:t>numa</w:t>
      </w:r>
      <w:r>
        <w:rPr>
          <w:spacing w:val="40"/>
        </w:rPr>
        <w:t xml:space="preserve"> </w:t>
      </w:r>
      <w:r>
        <w:t>cidade</w:t>
      </w:r>
      <w:r>
        <w:rPr>
          <w:spacing w:val="40"/>
        </w:rPr>
        <w:t xml:space="preserve"> </w:t>
      </w:r>
      <w:r>
        <w:t>como</w:t>
      </w:r>
      <w:r>
        <w:rPr>
          <w:spacing w:val="40"/>
        </w:rPr>
        <w:t xml:space="preserve"> </w:t>
      </w:r>
      <w:r>
        <w:t>São</w:t>
      </w:r>
      <w:r>
        <w:rPr>
          <w:spacing w:val="40"/>
        </w:rPr>
        <w:t xml:space="preserve"> </w:t>
      </w:r>
      <w:r>
        <w:t>Paulo,</w:t>
      </w:r>
      <w:r>
        <w:rPr>
          <w:spacing w:val="40"/>
        </w:rPr>
        <w:t xml:space="preserve"> </w:t>
      </w:r>
      <w:r>
        <w:t>na</w:t>
      </w:r>
      <w:r>
        <w:rPr>
          <w:spacing w:val="40"/>
        </w:rPr>
        <w:t xml:space="preserve"> </w:t>
      </w:r>
      <w:r>
        <w:t>qual</w:t>
      </w:r>
      <w:r>
        <w:rPr>
          <w:spacing w:val="40"/>
        </w:rPr>
        <w:t xml:space="preserve"> </w:t>
      </w:r>
      <w:r>
        <w:t>grande</w:t>
      </w:r>
      <w:r>
        <w:rPr>
          <w:spacing w:val="40"/>
        </w:rPr>
        <w:t xml:space="preserve"> </w:t>
      </w:r>
      <w:r>
        <w:t>parte</w:t>
      </w:r>
      <w:r>
        <w:rPr>
          <w:spacing w:val="40"/>
        </w:rPr>
        <w:t xml:space="preserve"> </w:t>
      </w:r>
      <w:r>
        <w:t>dos</w:t>
      </w:r>
      <w:r>
        <w:rPr>
          <w:spacing w:val="40"/>
        </w:rPr>
        <w:t xml:space="preserve"> </w:t>
      </w:r>
      <w:r>
        <w:t>locais</w:t>
      </w:r>
      <w:r>
        <w:rPr>
          <w:spacing w:val="40"/>
        </w:rPr>
        <w:t xml:space="preserve"> </w:t>
      </w:r>
      <w:r>
        <w:t>não</w:t>
      </w:r>
      <w:r>
        <w:rPr>
          <w:spacing w:val="40"/>
        </w:rPr>
        <w:t xml:space="preserve"> </w:t>
      </w:r>
      <w:r>
        <w:t>contam</w:t>
      </w:r>
      <w:r>
        <w:rPr>
          <w:spacing w:val="40"/>
        </w:rPr>
        <w:t xml:space="preserve"> </w:t>
      </w:r>
      <w:r>
        <w:t>com</w:t>
      </w:r>
      <w:r>
        <w:rPr>
          <w:spacing w:val="40"/>
        </w:rPr>
        <w:t xml:space="preserve"> </w:t>
      </w:r>
      <w:r>
        <w:t>a presença de grandes quantidades de árvores nativas.</w:t>
      </w:r>
    </w:p>
    <w:p w:rsidR="007259F2" w:rsidRDefault="00E655B4">
      <w:pPr>
        <w:pStyle w:val="Corpodetexto"/>
        <w:spacing w:before="1"/>
        <w:ind w:right="990"/>
        <w:jc w:val="left"/>
      </w:pPr>
      <w:r>
        <w:t>Portanto,</w:t>
      </w:r>
      <w:r>
        <w:rPr>
          <w:spacing w:val="80"/>
        </w:rPr>
        <w:t xml:space="preserve"> </w:t>
      </w:r>
      <w:r>
        <w:t>não</w:t>
      </w:r>
      <w:r>
        <w:rPr>
          <w:spacing w:val="80"/>
        </w:rPr>
        <w:t xml:space="preserve"> </w:t>
      </w:r>
      <w:r>
        <w:t>há</w:t>
      </w:r>
      <w:r>
        <w:rPr>
          <w:spacing w:val="80"/>
        </w:rPr>
        <w:t xml:space="preserve"> </w:t>
      </w:r>
      <w:r>
        <w:t>negativa</w:t>
      </w:r>
      <w:r>
        <w:rPr>
          <w:spacing w:val="80"/>
        </w:rPr>
        <w:t xml:space="preserve"> </w:t>
      </w:r>
      <w:r>
        <w:t>para</w:t>
      </w:r>
      <w:r>
        <w:rPr>
          <w:spacing w:val="80"/>
        </w:rPr>
        <w:t xml:space="preserve"> </w:t>
      </w:r>
      <w:r>
        <w:t>a</w:t>
      </w:r>
      <w:r>
        <w:rPr>
          <w:spacing w:val="80"/>
        </w:rPr>
        <w:t xml:space="preserve"> </w:t>
      </w:r>
      <w:r>
        <w:t>ocorrência</w:t>
      </w:r>
      <w:r>
        <w:rPr>
          <w:spacing w:val="80"/>
        </w:rPr>
        <w:t xml:space="preserve"> </w:t>
      </w:r>
      <w:r>
        <w:t>do</w:t>
      </w:r>
      <w:r>
        <w:rPr>
          <w:spacing w:val="80"/>
        </w:rPr>
        <w:t xml:space="preserve"> </w:t>
      </w:r>
      <w:r>
        <w:t>dano</w:t>
      </w:r>
      <w:r>
        <w:rPr>
          <w:spacing w:val="80"/>
        </w:rPr>
        <w:t xml:space="preserve"> </w:t>
      </w:r>
      <w:r>
        <w:t>ambiental,</w:t>
      </w:r>
      <w:r>
        <w:rPr>
          <w:spacing w:val="80"/>
        </w:rPr>
        <w:t xml:space="preserve"> </w:t>
      </w:r>
      <w:r>
        <w:t>que</w:t>
      </w:r>
      <w:r>
        <w:rPr>
          <w:spacing w:val="80"/>
        </w:rPr>
        <w:t xml:space="preserve"> </w:t>
      </w:r>
      <w:r>
        <w:t>se materializa com a supressão dos exemplares arbóreos, bastando tal constatação.</w:t>
      </w:r>
    </w:p>
    <w:p w:rsidR="007259F2" w:rsidRDefault="00E655B4">
      <w:pPr>
        <w:pStyle w:val="Corpodetexto"/>
        <w:ind w:right="990"/>
        <w:jc w:val="left"/>
      </w:pPr>
      <w:r>
        <w:t>Relativamente</w:t>
      </w:r>
      <w:r>
        <w:rPr>
          <w:spacing w:val="70"/>
        </w:rPr>
        <w:t xml:space="preserve"> </w:t>
      </w:r>
      <w:r>
        <w:t>ao</w:t>
      </w:r>
      <w:r>
        <w:rPr>
          <w:spacing w:val="73"/>
        </w:rPr>
        <w:t xml:space="preserve"> </w:t>
      </w:r>
      <w:r>
        <w:t>nexo</w:t>
      </w:r>
      <w:r>
        <w:rPr>
          <w:spacing w:val="71"/>
        </w:rPr>
        <w:t xml:space="preserve"> </w:t>
      </w:r>
      <w:r>
        <w:t>causal,</w:t>
      </w:r>
      <w:r>
        <w:rPr>
          <w:spacing w:val="80"/>
        </w:rPr>
        <w:t xml:space="preserve"> </w:t>
      </w:r>
      <w:r>
        <w:t>Milaré</w:t>
      </w:r>
      <w:r>
        <w:rPr>
          <w:spacing w:val="70"/>
        </w:rPr>
        <w:t xml:space="preserve"> </w:t>
      </w:r>
      <w:r>
        <w:t>traz</w:t>
      </w:r>
      <w:r>
        <w:rPr>
          <w:spacing w:val="72"/>
        </w:rPr>
        <w:t xml:space="preserve"> </w:t>
      </w:r>
      <w:r>
        <w:t>explicação</w:t>
      </w:r>
      <w:r>
        <w:rPr>
          <w:spacing w:val="71"/>
        </w:rPr>
        <w:t xml:space="preserve"> </w:t>
      </w:r>
      <w:r>
        <w:t>sucinta</w:t>
      </w:r>
      <w:r>
        <w:rPr>
          <w:spacing w:val="70"/>
        </w:rPr>
        <w:t xml:space="preserve"> </w:t>
      </w:r>
      <w:r>
        <w:t>de</w:t>
      </w:r>
      <w:r>
        <w:rPr>
          <w:spacing w:val="72"/>
        </w:rPr>
        <w:t xml:space="preserve"> </w:t>
      </w:r>
      <w:r>
        <w:t>como</w:t>
      </w:r>
      <w:r>
        <w:rPr>
          <w:spacing w:val="71"/>
        </w:rPr>
        <w:t xml:space="preserve"> </w:t>
      </w:r>
      <w:r>
        <w:t>se constata a causalidade diante da teoria do risco:</w:t>
      </w:r>
    </w:p>
    <w:p w:rsidR="007259F2" w:rsidRDefault="00E655B4">
      <w:pPr>
        <w:spacing w:before="121"/>
        <w:ind w:left="2978" w:right="990"/>
        <w:jc w:val="both"/>
        <w:rPr>
          <w:sz w:val="20"/>
        </w:rPr>
      </w:pPr>
      <w:r>
        <w:rPr>
          <w:sz w:val="20"/>
        </w:rPr>
        <w:t>Analisa-se a atividade, indagando-se se o dano foi causado em razão dela, para se concluir que o risco que lhe é inerente é suficiente para estabelecer o dever de reparar o prejuízo. Dito de outra maneira, basta que se demonstre a existência do dano para cujo desenlace o risco da atividade influenciou decisivamente. O risco, por si só, não gera a obrigação de indenizar. (MILARÉ, 2021, p. RB-12.7)</w:t>
      </w:r>
    </w:p>
    <w:p w:rsidR="007259F2" w:rsidRDefault="007259F2">
      <w:pPr>
        <w:pStyle w:val="Corpodetexto"/>
        <w:ind w:left="0" w:firstLine="0"/>
        <w:jc w:val="left"/>
        <w:rPr>
          <w:sz w:val="20"/>
        </w:rPr>
      </w:pPr>
    </w:p>
    <w:p w:rsidR="007259F2" w:rsidRDefault="00E655B4">
      <w:pPr>
        <w:pStyle w:val="Corpodetexto"/>
        <w:ind w:right="994"/>
      </w:pPr>
      <w:r>
        <w:t>Semelhante a atividade que traz risco, o fato de ser titular de imóvel onde se praticou, permitiu que se praticasse ou não se importou que praticasse, leva à configuração do nexo causal necessário para a responsabilização.</w:t>
      </w:r>
    </w:p>
    <w:p w:rsidR="007259F2" w:rsidRDefault="00E655B4">
      <w:pPr>
        <w:pStyle w:val="Heading2"/>
        <w:spacing w:before="5"/>
        <w:ind w:right="991" w:firstLine="707"/>
      </w:pPr>
      <w:r>
        <w:t>Pois, é justamente o caso da situação em discussão, na qual ambos os proprietários ao menos permitiram ou não se importaram com a ocorrência e prática de danos ambientais.</w:t>
      </w:r>
    </w:p>
    <w:p w:rsidR="007259F2" w:rsidRDefault="00E655B4">
      <w:pPr>
        <w:pStyle w:val="Corpodetexto"/>
        <w:ind w:right="997"/>
      </w:pPr>
      <w:r>
        <w:t>O Sr. Ícaro era o proprietário à época do evento danoso, não tendo prevenido, evitado, tampouco comunicado as autoridades sobre a supressão de grande quantidade de exemplares arbóreos.</w:t>
      </w:r>
    </w:p>
    <w:p w:rsidR="007259F2" w:rsidRDefault="00E655B4">
      <w:pPr>
        <w:pStyle w:val="Corpodetexto"/>
        <w:ind w:right="992"/>
      </w:pPr>
      <w:r>
        <w:t>O mesmo se pode dizer da Construtora XY, que não tomou iniciativas e providências a fim de reparar o dano ambiental ao ter o conhecimento de sua</w:t>
      </w:r>
      <w:r>
        <w:rPr>
          <w:spacing w:val="40"/>
        </w:rPr>
        <w:t xml:space="preserve"> </w:t>
      </w:r>
      <w:r>
        <w:t>ocorrência, que era de fácil constatação em razão das marcas e evidências deixadas</w:t>
      </w:r>
      <w:r>
        <w:rPr>
          <w:spacing w:val="40"/>
        </w:rPr>
        <w:t xml:space="preserve"> </w:t>
      </w:r>
      <w:r>
        <w:t>pelos poluidores.</w:t>
      </w:r>
    </w:p>
    <w:p w:rsidR="007259F2" w:rsidRDefault="00E655B4">
      <w:pPr>
        <w:pStyle w:val="Corpodetexto"/>
        <w:ind w:right="990"/>
      </w:pPr>
      <w:r>
        <w:t>Portanto, quanto aos dois réus está configurado o nexo de causalidade em razão da titularidade da propriedade enquanto e após o evento danoso.</w:t>
      </w:r>
    </w:p>
    <w:p w:rsidR="007259F2" w:rsidRDefault="00E655B4">
      <w:pPr>
        <w:pStyle w:val="Corpodetexto"/>
        <w:ind w:right="988"/>
      </w:pPr>
      <w:r>
        <w:t>Relativamente aos resíduos sólidos deixados no local, a SVMA</w:t>
      </w:r>
      <w:r>
        <w:rPr>
          <w:spacing w:val="-2"/>
        </w:rPr>
        <w:t xml:space="preserve"> </w:t>
      </w:r>
      <w:r>
        <w:t>não comprovou ter ocorrido dano a quaisquer elementos do meio ambiente, não sendo, portanto, necessária</w:t>
      </w:r>
      <w:r>
        <w:rPr>
          <w:spacing w:val="-2"/>
        </w:rPr>
        <w:t xml:space="preserve"> </w:t>
      </w:r>
      <w:r>
        <w:t>a</w:t>
      </w:r>
      <w:r>
        <w:rPr>
          <w:spacing w:val="-6"/>
        </w:rPr>
        <w:t xml:space="preserve"> </w:t>
      </w:r>
      <w:r>
        <w:t>reparação ambiental</w:t>
      </w:r>
      <w:r>
        <w:rPr>
          <w:spacing w:val="-1"/>
        </w:rPr>
        <w:t xml:space="preserve"> </w:t>
      </w:r>
      <w:r>
        <w:t>em razão do</w:t>
      </w:r>
      <w:r>
        <w:rPr>
          <w:spacing w:val="-1"/>
        </w:rPr>
        <w:t xml:space="preserve"> </w:t>
      </w:r>
      <w:r>
        <w:t>objeto da reparação inexistir.</w:t>
      </w:r>
    </w:p>
    <w:p w:rsidR="007259F2" w:rsidRDefault="00E655B4">
      <w:pPr>
        <w:pStyle w:val="Corpodetexto"/>
        <w:ind w:right="989"/>
      </w:pPr>
      <w:r>
        <w:t>Diante do exposto, é evidente a responsabilidade civil ambiental objetiva de ambos os réus, uma vez que se constatou o dano e o nexo de causalidade, definido pela titularidade dos imóveis pelos réus.</w:t>
      </w:r>
    </w:p>
    <w:p w:rsidR="007259F2" w:rsidRDefault="00E655B4">
      <w:pPr>
        <w:pStyle w:val="Heading2"/>
        <w:spacing w:before="202"/>
        <w:jc w:val="left"/>
      </w:pPr>
      <w:r>
        <w:t>Do</w:t>
      </w:r>
      <w:r>
        <w:rPr>
          <w:spacing w:val="-4"/>
        </w:rPr>
        <w:t xml:space="preserve"> </w:t>
      </w:r>
      <w:r>
        <w:t>pedido</w:t>
      </w:r>
      <w:r>
        <w:rPr>
          <w:spacing w:val="-1"/>
        </w:rPr>
        <w:t xml:space="preserve"> </w:t>
      </w:r>
      <w:r>
        <w:t>e</w:t>
      </w:r>
      <w:r>
        <w:rPr>
          <w:spacing w:val="-2"/>
        </w:rPr>
        <w:t xml:space="preserve"> </w:t>
      </w:r>
      <w:r>
        <w:t>da</w:t>
      </w:r>
      <w:r>
        <w:rPr>
          <w:spacing w:val="-4"/>
        </w:rPr>
        <w:t xml:space="preserve"> </w:t>
      </w:r>
      <w:r>
        <w:t xml:space="preserve">pretensão </w:t>
      </w:r>
      <w:r>
        <w:rPr>
          <w:spacing w:val="-2"/>
        </w:rPr>
        <w:t>reparatória</w:t>
      </w:r>
    </w:p>
    <w:p w:rsidR="007259F2" w:rsidRDefault="00E655B4">
      <w:pPr>
        <w:pStyle w:val="Corpodetexto"/>
        <w:spacing w:before="159" w:line="237" w:lineRule="auto"/>
        <w:ind w:right="991"/>
      </w:pPr>
      <w:r>
        <w:t>Constatado o dano ambiental e a responsabilidade civil, o Município busca na Ação Civil Pública que a reparação ambiental seja efetuada ou financiada pelos Réus.</w:t>
      </w:r>
    </w:p>
    <w:p w:rsidR="007259F2" w:rsidRDefault="00E655B4">
      <w:pPr>
        <w:pStyle w:val="Corpodetexto"/>
        <w:spacing w:before="1"/>
        <w:ind w:right="990"/>
      </w:pPr>
      <w:r>
        <w:t xml:space="preserve">Em relação à reparação de danos ambientais, dois princípios principais a norteiam, são eles: o princípio da reparação integral e o princípio da reparação </w:t>
      </w:r>
      <w:r>
        <w:rPr>
          <w:i/>
        </w:rPr>
        <w:t>in</w:t>
      </w:r>
      <w:r>
        <w:rPr>
          <w:i/>
          <w:spacing w:val="40"/>
        </w:rPr>
        <w:t xml:space="preserve"> </w:t>
      </w:r>
      <w:r>
        <w:rPr>
          <w:i/>
          <w:spacing w:val="-2"/>
        </w:rPr>
        <w:t>natura</w:t>
      </w:r>
      <w:r>
        <w:rPr>
          <w:spacing w:val="-2"/>
        </w:rPr>
        <w:t>.</w:t>
      </w:r>
    </w:p>
    <w:p w:rsidR="007259F2" w:rsidRDefault="00E655B4">
      <w:pPr>
        <w:pStyle w:val="Corpodetexto"/>
        <w:ind w:right="994"/>
      </w:pPr>
      <w:r>
        <w:t>A denominação do princípio da reparação integral já indica parcialmente seu significado, deixando explícito que se deve buscar uma reparação plena e completa do meio ambiente degradado, é o que indica Milaré:</w:t>
      </w:r>
    </w:p>
    <w:p w:rsidR="007259F2" w:rsidRDefault="00E655B4">
      <w:pPr>
        <w:spacing w:before="232"/>
        <w:ind w:left="2978" w:right="987"/>
        <w:jc w:val="both"/>
        <w:rPr>
          <w:sz w:val="20"/>
        </w:rPr>
      </w:pPr>
      <w:r>
        <w:rPr>
          <w:sz w:val="20"/>
        </w:rPr>
        <w:t xml:space="preserve">Assim, forte nessas diretivas, conclui-se que, por esse viés – que se mostra verdadeira proposta de ressignificação </w:t>
      </w:r>
      <w:r>
        <w:rPr>
          <w:b/>
          <w:sz w:val="20"/>
        </w:rPr>
        <w:t>–, o princípio da reparação integral impõe</w:t>
      </w:r>
      <w:r>
        <w:rPr>
          <w:b/>
          <w:spacing w:val="-1"/>
          <w:sz w:val="20"/>
        </w:rPr>
        <w:t xml:space="preserve"> </w:t>
      </w:r>
      <w:r>
        <w:rPr>
          <w:b/>
          <w:sz w:val="20"/>
        </w:rPr>
        <w:t>o dever de se buscar a reparação do dano ambiental</w:t>
      </w:r>
      <w:r>
        <w:rPr>
          <w:b/>
          <w:spacing w:val="-1"/>
          <w:sz w:val="20"/>
        </w:rPr>
        <w:t xml:space="preserve"> </w:t>
      </w:r>
      <w:r>
        <w:rPr>
          <w:b/>
          <w:sz w:val="20"/>
        </w:rPr>
        <w:t>de</w:t>
      </w:r>
      <w:r>
        <w:rPr>
          <w:b/>
          <w:spacing w:val="-1"/>
          <w:sz w:val="20"/>
        </w:rPr>
        <w:t xml:space="preserve"> </w:t>
      </w:r>
      <w:r>
        <w:rPr>
          <w:b/>
          <w:sz w:val="20"/>
        </w:rPr>
        <w:t xml:space="preserve">forma a se restabelecer o equilíbrio ecológico por meio de ações que objetivem o retorno da situação evidenciada de forma mais próxima ao status quo ante. </w:t>
      </w:r>
      <w:r>
        <w:rPr>
          <w:sz w:val="20"/>
        </w:rPr>
        <w:t>Em</w:t>
      </w:r>
      <w:r>
        <w:rPr>
          <w:spacing w:val="-1"/>
          <w:sz w:val="20"/>
        </w:rPr>
        <w:t xml:space="preserve"> </w:t>
      </w:r>
      <w:r>
        <w:rPr>
          <w:sz w:val="20"/>
        </w:rPr>
        <w:t>não sendo possível a restauração natural no próprio local do</w:t>
      </w:r>
      <w:r>
        <w:rPr>
          <w:spacing w:val="-1"/>
          <w:sz w:val="20"/>
        </w:rPr>
        <w:t xml:space="preserve"> </w:t>
      </w:r>
      <w:r>
        <w:rPr>
          <w:sz w:val="20"/>
        </w:rPr>
        <w:t>dano – a</w:t>
      </w:r>
      <w:r>
        <w:rPr>
          <w:spacing w:val="-5"/>
          <w:sz w:val="20"/>
        </w:rPr>
        <w:t xml:space="preserve"> </w:t>
      </w:r>
      <w:r>
        <w:rPr>
          <w:sz w:val="20"/>
        </w:rPr>
        <w:t>chamada</w:t>
      </w:r>
      <w:r>
        <w:rPr>
          <w:spacing w:val="-3"/>
          <w:sz w:val="20"/>
        </w:rPr>
        <w:t xml:space="preserve"> </w:t>
      </w:r>
      <w:r>
        <w:rPr>
          <w:sz w:val="20"/>
        </w:rPr>
        <w:t>restauração in</w:t>
      </w:r>
      <w:r>
        <w:rPr>
          <w:spacing w:val="-1"/>
          <w:sz w:val="20"/>
        </w:rPr>
        <w:t xml:space="preserve"> </w:t>
      </w:r>
      <w:r>
        <w:rPr>
          <w:sz w:val="20"/>
        </w:rPr>
        <w:t>situ</w:t>
      </w:r>
      <w:r>
        <w:rPr>
          <w:spacing w:val="2"/>
          <w:sz w:val="20"/>
        </w:rPr>
        <w:t xml:space="preserve"> </w:t>
      </w:r>
      <w:r>
        <w:rPr>
          <w:sz w:val="20"/>
        </w:rPr>
        <w:t>–</w:t>
      </w:r>
      <w:r>
        <w:rPr>
          <w:spacing w:val="-3"/>
          <w:sz w:val="20"/>
        </w:rPr>
        <w:t xml:space="preserve"> </w:t>
      </w:r>
      <w:r>
        <w:rPr>
          <w:sz w:val="20"/>
        </w:rPr>
        <w:t>é</w:t>
      </w:r>
      <w:r>
        <w:rPr>
          <w:spacing w:val="-2"/>
          <w:sz w:val="20"/>
        </w:rPr>
        <w:t xml:space="preserve"> </w:t>
      </w:r>
      <w:r>
        <w:rPr>
          <w:sz w:val="20"/>
        </w:rPr>
        <w:t>que</w:t>
      </w:r>
      <w:r>
        <w:rPr>
          <w:spacing w:val="-1"/>
          <w:sz w:val="20"/>
        </w:rPr>
        <w:t xml:space="preserve"> </w:t>
      </w:r>
      <w:r>
        <w:rPr>
          <w:sz w:val="20"/>
        </w:rPr>
        <w:t>deverá</w:t>
      </w:r>
      <w:r>
        <w:rPr>
          <w:spacing w:val="-4"/>
          <w:sz w:val="20"/>
        </w:rPr>
        <w:t xml:space="preserve"> </w:t>
      </w:r>
      <w:r>
        <w:rPr>
          <w:sz w:val="20"/>
        </w:rPr>
        <w:t>ser</w:t>
      </w:r>
      <w:r>
        <w:rPr>
          <w:spacing w:val="-3"/>
          <w:sz w:val="20"/>
        </w:rPr>
        <w:t xml:space="preserve"> </w:t>
      </w:r>
      <w:r>
        <w:rPr>
          <w:sz w:val="20"/>
        </w:rPr>
        <w:t>invocada</w:t>
      </w:r>
      <w:r>
        <w:rPr>
          <w:spacing w:val="-1"/>
          <w:sz w:val="20"/>
        </w:rPr>
        <w:t xml:space="preserve"> </w:t>
      </w:r>
      <w:r>
        <w:rPr>
          <w:sz w:val="20"/>
        </w:rPr>
        <w:t>a</w:t>
      </w:r>
      <w:r>
        <w:rPr>
          <w:spacing w:val="-4"/>
          <w:sz w:val="20"/>
        </w:rPr>
        <w:t xml:space="preserve"> </w:t>
      </w:r>
      <w:r>
        <w:rPr>
          <w:sz w:val="20"/>
        </w:rPr>
        <w:t>compensação</w:t>
      </w:r>
      <w:r>
        <w:rPr>
          <w:spacing w:val="8"/>
          <w:sz w:val="20"/>
        </w:rPr>
        <w:t xml:space="preserve"> </w:t>
      </w:r>
      <w:r>
        <w:rPr>
          <w:spacing w:val="-5"/>
          <w:sz w:val="20"/>
        </w:rPr>
        <w:t>por</w:t>
      </w:r>
    </w:p>
    <w:p w:rsidR="007259F2" w:rsidRDefault="007259F2">
      <w:pPr>
        <w:jc w:val="both"/>
        <w:rPr>
          <w:sz w:val="20"/>
        </w:rPr>
        <w:sectPr w:rsidR="007259F2">
          <w:footerReference w:type="default" r:id="rId441"/>
          <w:pgSz w:w="11910" w:h="16840"/>
          <w:pgMar w:top="1320" w:right="708" w:bottom="280" w:left="992" w:header="0" w:footer="0" w:gutter="0"/>
          <w:cols w:space="720"/>
        </w:sectPr>
      </w:pPr>
    </w:p>
    <w:p w:rsidR="007259F2" w:rsidRDefault="00E655B4">
      <w:pPr>
        <w:spacing w:before="71"/>
        <w:ind w:left="2978" w:right="991"/>
        <w:jc w:val="both"/>
        <w:rPr>
          <w:sz w:val="20"/>
        </w:rPr>
      </w:pPr>
      <w:r>
        <w:rPr>
          <w:sz w:val="20"/>
        </w:rPr>
        <w:lastRenderedPageBreak/>
        <w:t>equivalente ecológico – restauração ex situ –, por meio da substituição do bem afetado por outro que lhe corresponda funcionalmente, ou seja, deve- se buscar a adoção de medida compensatória equivalente, de sorte a propiciar algo próximo daquilo que era</w:t>
      </w:r>
      <w:r>
        <w:rPr>
          <w:spacing w:val="-1"/>
          <w:sz w:val="20"/>
        </w:rPr>
        <w:t xml:space="preserve"> </w:t>
      </w:r>
      <w:r>
        <w:rPr>
          <w:sz w:val="20"/>
        </w:rPr>
        <w:t>antes da sua ocorrência, que se traduz, ao fim</w:t>
      </w:r>
      <w:r>
        <w:rPr>
          <w:spacing w:val="-2"/>
          <w:sz w:val="20"/>
        </w:rPr>
        <w:t xml:space="preserve"> </w:t>
      </w:r>
      <w:r>
        <w:rPr>
          <w:sz w:val="20"/>
        </w:rPr>
        <w:t>e ao cabo, em mecanismo voltado ao restabelecimento do equilíbrio ecológico. (MILARÉ, 2021, p. RB-12.5) (g.n.)</w:t>
      </w:r>
    </w:p>
    <w:p w:rsidR="007259F2" w:rsidRDefault="00E655B4">
      <w:pPr>
        <w:pStyle w:val="Corpodetexto"/>
        <w:spacing w:before="229"/>
        <w:ind w:right="992"/>
      </w:pPr>
      <w:r>
        <w:t xml:space="preserve">O princípio da (priorização da) reparação </w:t>
      </w:r>
      <w:r>
        <w:rPr>
          <w:i/>
        </w:rPr>
        <w:t xml:space="preserve">in natura </w:t>
      </w:r>
      <w:r>
        <w:t>se mostra verdadeira consequência e complemento do princípio da reparação integral. Sarlet e Fensterseifer resumem bem a finalidade do referido princípio:</w:t>
      </w:r>
    </w:p>
    <w:p w:rsidR="007259F2" w:rsidRDefault="007259F2">
      <w:pPr>
        <w:pStyle w:val="Corpodetexto"/>
        <w:spacing w:before="1"/>
        <w:ind w:left="0" w:firstLine="0"/>
        <w:jc w:val="left"/>
      </w:pPr>
    </w:p>
    <w:p w:rsidR="007259F2" w:rsidRDefault="00E655B4">
      <w:pPr>
        <w:spacing w:before="1"/>
        <w:ind w:left="2978" w:right="988"/>
        <w:jc w:val="both"/>
        <w:rPr>
          <w:sz w:val="20"/>
        </w:rPr>
      </w:pPr>
      <w:r>
        <w:rPr>
          <w:sz w:val="20"/>
        </w:rPr>
        <w:t>De tal sorte, a reparação civil do dano ecológico deve ser guiada pelo</w:t>
      </w:r>
      <w:r>
        <w:rPr>
          <w:spacing w:val="40"/>
          <w:sz w:val="20"/>
        </w:rPr>
        <w:t xml:space="preserve"> </w:t>
      </w:r>
      <w:r>
        <w:rPr>
          <w:sz w:val="20"/>
        </w:rPr>
        <w:t>primado da restauração da Natureza, da forma mais integral possível e, preferencialmente, no mesmo local onde o dano ocorreu. Esse é o primeiro passo e esforço que deve ser tentado na reparação civil do dano ecológico. A salvaguarda da integridade ecológica e dos processos ecológicos essenciais (art. 225, § 1º, I, da CF/1988) depende de tal priorização, sob pena de a ampliação de áreas degradadas impactar de forma cada mais progressiva o equilíbrio</w:t>
      </w:r>
      <w:r>
        <w:rPr>
          <w:spacing w:val="-1"/>
          <w:sz w:val="20"/>
        </w:rPr>
        <w:t xml:space="preserve"> </w:t>
      </w:r>
      <w:r>
        <w:rPr>
          <w:sz w:val="20"/>
        </w:rPr>
        <w:t>ecológico</w:t>
      </w:r>
      <w:r>
        <w:rPr>
          <w:spacing w:val="-1"/>
          <w:sz w:val="20"/>
        </w:rPr>
        <w:t xml:space="preserve"> </w:t>
      </w:r>
      <w:r>
        <w:rPr>
          <w:sz w:val="20"/>
        </w:rPr>
        <w:t>essencial à</w:t>
      </w:r>
      <w:r>
        <w:rPr>
          <w:spacing w:val="-3"/>
          <w:sz w:val="20"/>
        </w:rPr>
        <w:t xml:space="preserve"> </w:t>
      </w:r>
      <w:r>
        <w:rPr>
          <w:sz w:val="20"/>
        </w:rPr>
        <w:t>proteção</w:t>
      </w:r>
      <w:r>
        <w:rPr>
          <w:spacing w:val="-1"/>
          <w:sz w:val="20"/>
        </w:rPr>
        <w:t xml:space="preserve"> </w:t>
      </w:r>
      <w:r>
        <w:rPr>
          <w:sz w:val="20"/>
        </w:rPr>
        <w:t>das</w:t>
      </w:r>
      <w:r>
        <w:rPr>
          <w:spacing w:val="-3"/>
          <w:sz w:val="20"/>
        </w:rPr>
        <w:t xml:space="preserve"> </w:t>
      </w:r>
      <w:r>
        <w:rPr>
          <w:sz w:val="20"/>
        </w:rPr>
        <w:t>espécies</w:t>
      </w:r>
      <w:r>
        <w:rPr>
          <w:spacing w:val="-3"/>
          <w:sz w:val="20"/>
        </w:rPr>
        <w:t xml:space="preserve"> </w:t>
      </w:r>
      <w:r>
        <w:rPr>
          <w:sz w:val="20"/>
        </w:rPr>
        <w:t>da flora e</w:t>
      </w:r>
      <w:r>
        <w:rPr>
          <w:spacing w:val="-1"/>
          <w:sz w:val="20"/>
        </w:rPr>
        <w:t xml:space="preserve"> </w:t>
      </w:r>
      <w:r>
        <w:rPr>
          <w:sz w:val="20"/>
        </w:rPr>
        <w:t>da</w:t>
      </w:r>
      <w:r>
        <w:rPr>
          <w:spacing w:val="-3"/>
          <w:sz w:val="20"/>
        </w:rPr>
        <w:t xml:space="preserve"> </w:t>
      </w:r>
      <w:r>
        <w:rPr>
          <w:sz w:val="20"/>
        </w:rPr>
        <w:t>fauna</w:t>
      </w:r>
      <w:r>
        <w:rPr>
          <w:spacing w:val="-2"/>
          <w:sz w:val="20"/>
        </w:rPr>
        <w:t xml:space="preserve"> </w:t>
      </w:r>
      <w:r>
        <w:rPr>
          <w:sz w:val="20"/>
        </w:rPr>
        <w:t>e do ecossistema no seu conjunto. (SARLET; FENSTERSEIFER, 2022, p. 615)</w:t>
      </w:r>
    </w:p>
    <w:p w:rsidR="007259F2" w:rsidRDefault="00E655B4">
      <w:pPr>
        <w:pStyle w:val="Corpodetexto"/>
        <w:spacing w:before="228"/>
        <w:ind w:right="987"/>
      </w:pPr>
      <w:r>
        <w:t xml:space="preserve">Face aos comandos principiológicos estabelecidos, deve-se ter em conta que a pretensão da presente ação civil pública é a de recuperação ambiental integral e </w:t>
      </w:r>
      <w:r>
        <w:rPr>
          <w:i/>
        </w:rPr>
        <w:t>in natura</w:t>
      </w:r>
      <w:r>
        <w:t>, abrangendo todos os aspectos do dano ambiental ocasionado.</w:t>
      </w:r>
    </w:p>
    <w:p w:rsidR="007259F2" w:rsidRDefault="00E655B4">
      <w:pPr>
        <w:pStyle w:val="Corpodetexto"/>
        <w:ind w:right="992"/>
      </w:pPr>
      <w:r>
        <w:t xml:space="preserve">Portanto, visando esse fim, a SVMA elabora relatório técnico específico a cada caso, contendo todas as medidas reparatórias necessárias para recuperação integral e </w:t>
      </w:r>
      <w:r>
        <w:rPr>
          <w:i/>
        </w:rPr>
        <w:t xml:space="preserve">in natura </w:t>
      </w:r>
      <w:r>
        <w:t>do dano ambiental.</w:t>
      </w:r>
    </w:p>
    <w:p w:rsidR="007259F2" w:rsidRDefault="00E655B4">
      <w:pPr>
        <w:pStyle w:val="Corpodetexto"/>
        <w:spacing w:before="1"/>
        <w:ind w:right="997"/>
      </w:pPr>
      <w:r>
        <w:t>O pedido condenatório conterá as medidas reparatórias indicadas pela SVMA, que deverão ser cumpridas integralmente para a total reparação.</w:t>
      </w:r>
    </w:p>
    <w:p w:rsidR="007259F2" w:rsidRDefault="00E655B4">
      <w:pPr>
        <w:pStyle w:val="Corpodetexto"/>
        <w:ind w:right="992"/>
      </w:pPr>
      <w:r>
        <w:t>Pode-se, ainda, requerer indenização em relação aos danos interinos suportados entre a degradação ambiental e a efetiva reparação do dano, que se completa quando o ambiente retorna ao estado anterior.</w:t>
      </w:r>
    </w:p>
    <w:p w:rsidR="007259F2" w:rsidRDefault="00E655B4">
      <w:pPr>
        <w:pStyle w:val="Heading2"/>
        <w:spacing w:before="206"/>
        <w:jc w:val="left"/>
      </w:pPr>
      <w:r>
        <w:rPr>
          <w:spacing w:val="-2"/>
        </w:rPr>
        <w:t>Conclusão</w:t>
      </w:r>
    </w:p>
    <w:p w:rsidR="007259F2" w:rsidRDefault="00E655B4">
      <w:pPr>
        <w:pStyle w:val="Corpodetexto"/>
        <w:spacing w:before="156"/>
        <w:ind w:right="993"/>
      </w:pPr>
      <w:r>
        <w:t>Diante de todo o exposto se pode concluir que deverá ser proposta ação civil pública contra os réus Ícaro F. e Construtora XY, na qual se utilizaram os fundamentos elencados</w:t>
      </w:r>
      <w:r>
        <w:rPr>
          <w:spacing w:val="-10"/>
        </w:rPr>
        <w:t xml:space="preserve"> </w:t>
      </w:r>
      <w:r>
        <w:t>relativos</w:t>
      </w:r>
      <w:r>
        <w:rPr>
          <w:spacing w:val="-12"/>
        </w:rPr>
        <w:t xml:space="preserve"> </w:t>
      </w:r>
      <w:r>
        <w:t>à</w:t>
      </w:r>
      <w:r>
        <w:rPr>
          <w:spacing w:val="-12"/>
        </w:rPr>
        <w:t xml:space="preserve"> </w:t>
      </w:r>
      <w:r>
        <w:t>responsabilidade</w:t>
      </w:r>
      <w:r>
        <w:rPr>
          <w:spacing w:val="-8"/>
        </w:rPr>
        <w:t xml:space="preserve"> </w:t>
      </w:r>
      <w:r>
        <w:t>civil</w:t>
      </w:r>
      <w:r>
        <w:rPr>
          <w:spacing w:val="-12"/>
        </w:rPr>
        <w:t xml:space="preserve"> </w:t>
      </w:r>
      <w:r>
        <w:t>ambiental</w:t>
      </w:r>
      <w:r>
        <w:rPr>
          <w:spacing w:val="-12"/>
        </w:rPr>
        <w:t xml:space="preserve"> </w:t>
      </w:r>
      <w:r>
        <w:t>objetiva,</w:t>
      </w:r>
      <w:r>
        <w:rPr>
          <w:spacing w:val="-13"/>
        </w:rPr>
        <w:t xml:space="preserve"> </w:t>
      </w:r>
      <w:r>
        <w:t>de</w:t>
      </w:r>
      <w:r>
        <w:rPr>
          <w:spacing w:val="-12"/>
        </w:rPr>
        <w:t xml:space="preserve"> </w:t>
      </w:r>
      <w:r>
        <w:t>forma a</w:t>
      </w:r>
      <w:r>
        <w:rPr>
          <w:spacing w:val="-2"/>
        </w:rPr>
        <w:t xml:space="preserve"> </w:t>
      </w:r>
      <w:r>
        <w:t>demonstrar</w:t>
      </w:r>
      <w:r>
        <w:rPr>
          <w:spacing w:val="-2"/>
        </w:rPr>
        <w:t xml:space="preserve"> </w:t>
      </w:r>
      <w:r>
        <w:t>os danos ambientais causados e o nexo de causalidade em razão da titularidade do imóvel.</w:t>
      </w:r>
    </w:p>
    <w:p w:rsidR="007259F2" w:rsidRDefault="00E655B4">
      <w:pPr>
        <w:pStyle w:val="Corpodetexto"/>
        <w:ind w:right="989"/>
      </w:pPr>
      <w:r>
        <w:t>O</w:t>
      </w:r>
      <w:r>
        <w:rPr>
          <w:spacing w:val="-9"/>
        </w:rPr>
        <w:t xml:space="preserve"> </w:t>
      </w:r>
      <w:r>
        <w:t>pedido</w:t>
      </w:r>
      <w:r>
        <w:rPr>
          <w:spacing w:val="-3"/>
        </w:rPr>
        <w:t xml:space="preserve"> </w:t>
      </w:r>
      <w:r>
        <w:t>será</w:t>
      </w:r>
      <w:r>
        <w:rPr>
          <w:spacing w:val="-10"/>
        </w:rPr>
        <w:t xml:space="preserve"> </w:t>
      </w:r>
      <w:r>
        <w:t>a</w:t>
      </w:r>
      <w:r>
        <w:rPr>
          <w:spacing w:val="-9"/>
        </w:rPr>
        <w:t xml:space="preserve"> </w:t>
      </w:r>
      <w:r>
        <w:t>reparação</w:t>
      </w:r>
      <w:r>
        <w:rPr>
          <w:spacing w:val="-5"/>
        </w:rPr>
        <w:t xml:space="preserve"> </w:t>
      </w:r>
      <w:r>
        <w:t>dos</w:t>
      </w:r>
      <w:r>
        <w:rPr>
          <w:spacing w:val="-8"/>
        </w:rPr>
        <w:t xml:space="preserve"> </w:t>
      </w:r>
      <w:r>
        <w:t>danos</w:t>
      </w:r>
      <w:r>
        <w:rPr>
          <w:spacing w:val="-6"/>
        </w:rPr>
        <w:t xml:space="preserve"> </w:t>
      </w:r>
      <w:r>
        <w:t>causados,</w:t>
      </w:r>
      <w:r>
        <w:rPr>
          <w:spacing w:val="-5"/>
        </w:rPr>
        <w:t xml:space="preserve"> </w:t>
      </w:r>
      <w:r>
        <w:t>tendo</w:t>
      </w:r>
      <w:r>
        <w:rPr>
          <w:spacing w:val="-8"/>
        </w:rPr>
        <w:t xml:space="preserve"> </w:t>
      </w:r>
      <w:r>
        <w:t>como</w:t>
      </w:r>
      <w:r>
        <w:rPr>
          <w:spacing w:val="-8"/>
        </w:rPr>
        <w:t xml:space="preserve"> </w:t>
      </w:r>
      <w:r>
        <w:t>parâmetro</w:t>
      </w:r>
      <w:r>
        <w:rPr>
          <w:spacing w:val="-3"/>
        </w:rPr>
        <w:t xml:space="preserve"> </w:t>
      </w:r>
      <w:r>
        <w:t>as medidas reparatórias indicadas pelos técnicos da SVMA, poderá, ainda, ser requerida a indenização pelos danos interinos, a ser definida pelo juízo.</w:t>
      </w:r>
    </w:p>
    <w:p w:rsidR="007259F2" w:rsidRDefault="00E655B4">
      <w:pPr>
        <w:pStyle w:val="Heading1"/>
        <w:spacing w:before="207"/>
      </w:pPr>
      <w:r>
        <w:rPr>
          <w:spacing w:val="-2"/>
        </w:rPr>
        <w:t>REFERÊNCIAS</w:t>
      </w:r>
    </w:p>
    <w:p w:rsidR="007259F2" w:rsidRDefault="00E655B4">
      <w:pPr>
        <w:spacing w:before="236" w:line="278" w:lineRule="auto"/>
        <w:ind w:left="710" w:right="990"/>
        <w:rPr>
          <w:sz w:val="24"/>
        </w:rPr>
      </w:pPr>
      <w:r>
        <w:rPr>
          <w:sz w:val="24"/>
        </w:rPr>
        <w:t xml:space="preserve">AMADO, Frederico. </w:t>
      </w:r>
      <w:r>
        <w:rPr>
          <w:b/>
          <w:sz w:val="24"/>
        </w:rPr>
        <w:t xml:space="preserve">Sinopses para Concursos </w:t>
      </w:r>
      <w:r>
        <w:rPr>
          <w:sz w:val="24"/>
        </w:rPr>
        <w:t>– v.30 – Direito Ambiental. 9. ed. São Paulo: Editora Juspodivm, 2021.</w:t>
      </w:r>
    </w:p>
    <w:p w:rsidR="007259F2" w:rsidRDefault="00E655B4">
      <w:pPr>
        <w:spacing w:before="115" w:line="448" w:lineRule="auto"/>
        <w:ind w:left="710" w:right="990"/>
        <w:rPr>
          <w:sz w:val="24"/>
        </w:rPr>
      </w:pPr>
      <w:r>
        <w:rPr>
          <w:sz w:val="24"/>
        </w:rPr>
        <w:t>ANTUNES,</w:t>
      </w:r>
      <w:r>
        <w:rPr>
          <w:spacing w:val="-3"/>
          <w:sz w:val="24"/>
        </w:rPr>
        <w:t xml:space="preserve"> </w:t>
      </w:r>
      <w:r>
        <w:rPr>
          <w:sz w:val="24"/>
        </w:rPr>
        <w:t>Paulo</w:t>
      </w:r>
      <w:r>
        <w:rPr>
          <w:spacing w:val="-3"/>
          <w:sz w:val="24"/>
        </w:rPr>
        <w:t xml:space="preserve"> </w:t>
      </w:r>
      <w:r>
        <w:rPr>
          <w:sz w:val="24"/>
        </w:rPr>
        <w:t>de</w:t>
      </w:r>
      <w:r>
        <w:rPr>
          <w:spacing w:val="-2"/>
          <w:sz w:val="24"/>
        </w:rPr>
        <w:t xml:space="preserve"> </w:t>
      </w:r>
      <w:r>
        <w:rPr>
          <w:sz w:val="24"/>
        </w:rPr>
        <w:t xml:space="preserve">B. </w:t>
      </w:r>
      <w:r>
        <w:rPr>
          <w:b/>
          <w:sz w:val="24"/>
        </w:rPr>
        <w:t>Direito</w:t>
      </w:r>
      <w:r>
        <w:rPr>
          <w:b/>
          <w:spacing w:val="-3"/>
          <w:sz w:val="24"/>
        </w:rPr>
        <w:t xml:space="preserve"> </w:t>
      </w:r>
      <w:r>
        <w:rPr>
          <w:b/>
          <w:sz w:val="24"/>
        </w:rPr>
        <w:t>Ambiental</w:t>
      </w:r>
      <w:r>
        <w:rPr>
          <w:sz w:val="24"/>
        </w:rPr>
        <w:t>.</w:t>
      </w:r>
      <w:r>
        <w:rPr>
          <w:spacing w:val="-3"/>
          <w:sz w:val="24"/>
        </w:rPr>
        <w:t xml:space="preserve"> </w:t>
      </w:r>
      <w:r>
        <w:rPr>
          <w:sz w:val="24"/>
        </w:rPr>
        <w:t>23.</w:t>
      </w:r>
      <w:r>
        <w:rPr>
          <w:spacing w:val="-3"/>
          <w:sz w:val="24"/>
        </w:rPr>
        <w:t xml:space="preserve"> </w:t>
      </w:r>
      <w:r>
        <w:rPr>
          <w:sz w:val="24"/>
        </w:rPr>
        <w:t>ed.</w:t>
      </w:r>
      <w:r>
        <w:rPr>
          <w:spacing w:val="-3"/>
          <w:sz w:val="24"/>
        </w:rPr>
        <w:t xml:space="preserve"> </w:t>
      </w:r>
      <w:r>
        <w:rPr>
          <w:sz w:val="24"/>
        </w:rPr>
        <w:t>Rio</w:t>
      </w:r>
      <w:r>
        <w:rPr>
          <w:spacing w:val="-3"/>
          <w:sz w:val="24"/>
        </w:rPr>
        <w:t xml:space="preserve"> </w:t>
      </w:r>
      <w:r>
        <w:rPr>
          <w:sz w:val="24"/>
        </w:rPr>
        <w:t>de</w:t>
      </w:r>
      <w:r>
        <w:rPr>
          <w:spacing w:val="-4"/>
          <w:sz w:val="24"/>
        </w:rPr>
        <w:t xml:space="preserve"> </w:t>
      </w:r>
      <w:r>
        <w:rPr>
          <w:sz w:val="24"/>
        </w:rPr>
        <w:t>Janeiro:</w:t>
      </w:r>
      <w:r>
        <w:rPr>
          <w:spacing w:val="-3"/>
          <w:sz w:val="24"/>
        </w:rPr>
        <w:t xml:space="preserve"> </w:t>
      </w:r>
      <w:r>
        <w:rPr>
          <w:sz w:val="24"/>
        </w:rPr>
        <w:t>Grupo</w:t>
      </w:r>
      <w:r>
        <w:rPr>
          <w:spacing w:val="-3"/>
          <w:sz w:val="24"/>
        </w:rPr>
        <w:t xml:space="preserve"> </w:t>
      </w:r>
      <w:r>
        <w:rPr>
          <w:sz w:val="24"/>
        </w:rPr>
        <w:t>GEN,</w:t>
      </w:r>
      <w:r>
        <w:rPr>
          <w:spacing w:val="-3"/>
          <w:sz w:val="24"/>
        </w:rPr>
        <w:t xml:space="preserve"> </w:t>
      </w:r>
      <w:r>
        <w:rPr>
          <w:sz w:val="24"/>
        </w:rPr>
        <w:t xml:space="preserve">2023. BRASIL. </w:t>
      </w:r>
      <w:r>
        <w:rPr>
          <w:b/>
          <w:sz w:val="24"/>
        </w:rPr>
        <w:t>Constituição da República Federativa do Brasil</w:t>
      </w:r>
      <w:r>
        <w:rPr>
          <w:sz w:val="24"/>
        </w:rPr>
        <w:t xml:space="preserve">, de 5 de outubro de 1998. BRASIL. </w:t>
      </w:r>
      <w:r>
        <w:rPr>
          <w:b/>
          <w:sz w:val="24"/>
        </w:rPr>
        <w:t>Lei nº 10.406, de 10 de janeiro de 2002</w:t>
      </w:r>
      <w:r>
        <w:rPr>
          <w:sz w:val="24"/>
        </w:rPr>
        <w:t>. Institui o Código Civil.</w:t>
      </w:r>
    </w:p>
    <w:p w:rsidR="007259F2" w:rsidRDefault="007259F2">
      <w:pPr>
        <w:spacing w:line="448" w:lineRule="auto"/>
        <w:rPr>
          <w:sz w:val="24"/>
        </w:rPr>
        <w:sectPr w:rsidR="007259F2">
          <w:footerReference w:type="default" r:id="rId442"/>
          <w:pgSz w:w="11910" w:h="16840"/>
          <w:pgMar w:top="1320" w:right="708" w:bottom="280" w:left="992" w:header="0" w:footer="0" w:gutter="0"/>
          <w:cols w:space="720"/>
        </w:sectPr>
      </w:pPr>
    </w:p>
    <w:p w:rsidR="007259F2" w:rsidRDefault="00E655B4">
      <w:pPr>
        <w:spacing w:before="72" w:line="276" w:lineRule="auto"/>
        <w:ind w:left="710" w:right="995"/>
        <w:jc w:val="both"/>
        <w:rPr>
          <w:sz w:val="24"/>
        </w:rPr>
      </w:pPr>
      <w:r>
        <w:rPr>
          <w:sz w:val="24"/>
        </w:rPr>
        <w:lastRenderedPageBreak/>
        <w:t xml:space="preserve">BRASIL. </w:t>
      </w:r>
      <w:r>
        <w:rPr>
          <w:b/>
          <w:sz w:val="24"/>
        </w:rPr>
        <w:t>Lei nº 6.938, de 31 de agosto de 1981</w:t>
      </w:r>
      <w:r>
        <w:rPr>
          <w:sz w:val="24"/>
        </w:rPr>
        <w:t xml:space="preserve">. Dispõe sobre a Política Nacional do Meio Ambiente, seus fins e mecanismos de formulação e aplicação, e dá outras </w:t>
      </w:r>
      <w:r>
        <w:rPr>
          <w:spacing w:val="-2"/>
          <w:sz w:val="24"/>
        </w:rPr>
        <w:t>providências.</w:t>
      </w:r>
    </w:p>
    <w:p w:rsidR="007259F2" w:rsidRDefault="00E655B4">
      <w:pPr>
        <w:pStyle w:val="Corpodetexto"/>
        <w:spacing w:before="200" w:line="276" w:lineRule="auto"/>
        <w:ind w:right="990" w:firstLine="0"/>
      </w:pPr>
      <w:r>
        <w:t xml:space="preserve">BRASIL. </w:t>
      </w:r>
      <w:r>
        <w:rPr>
          <w:b/>
        </w:rPr>
        <w:t>Lei nº 7.347, de 24 de julho de 1985</w:t>
      </w:r>
      <w:r>
        <w:t>. Disciplina a ação civil pública de responsabilidade por danos causados ao meio-ambiente, ao consumidor, a bens e</w:t>
      </w:r>
      <w:r>
        <w:rPr>
          <w:spacing w:val="40"/>
        </w:rPr>
        <w:t xml:space="preserve"> </w:t>
      </w:r>
      <w:r>
        <w:t xml:space="preserve">direitos de valor artístico, estético, histórico, turístico e paisagístico e dá outras </w:t>
      </w:r>
      <w:r>
        <w:rPr>
          <w:spacing w:val="-2"/>
        </w:rPr>
        <w:t>providências.</w:t>
      </w:r>
    </w:p>
    <w:p w:rsidR="007259F2" w:rsidRDefault="00E655B4">
      <w:pPr>
        <w:pStyle w:val="Corpodetexto"/>
        <w:spacing w:before="202" w:line="276" w:lineRule="auto"/>
        <w:ind w:right="990" w:firstLine="0"/>
      </w:pPr>
      <w:r>
        <w:t xml:space="preserve">BRASIL. Supremo Tribunal Federal. Segunda Turma. </w:t>
      </w:r>
      <w:r>
        <w:rPr>
          <w:b/>
        </w:rPr>
        <w:t xml:space="preserve">RE 1287474 </w:t>
      </w:r>
      <w:r>
        <w:t xml:space="preserve">(Tema 999 de Repercussão Geral). Relator(a): Cármen Lúcia. Julgado em 12/05/2021. Publicado em </w:t>
      </w:r>
      <w:r>
        <w:rPr>
          <w:spacing w:val="-2"/>
        </w:rPr>
        <w:t>14/05/2021.</w:t>
      </w:r>
    </w:p>
    <w:p w:rsidR="007259F2" w:rsidRDefault="00E655B4">
      <w:pPr>
        <w:pStyle w:val="Corpodetexto"/>
        <w:spacing w:before="200" w:line="276" w:lineRule="auto"/>
        <w:ind w:right="989" w:firstLine="0"/>
      </w:pPr>
      <w:r>
        <w:t xml:space="preserve">BRASIL. Superior Tribunal de Justiça; Primeira Seção; </w:t>
      </w:r>
      <w:r>
        <w:rPr>
          <w:b/>
        </w:rPr>
        <w:t>REsp n. 1.953.359/SP</w:t>
      </w:r>
      <w:r>
        <w:t>,</w:t>
      </w:r>
      <w:r>
        <w:rPr>
          <w:spacing w:val="40"/>
        </w:rPr>
        <w:t xml:space="preserve"> </w:t>
      </w:r>
      <w:r>
        <w:t>Relatora Ministra Assusete Magalhães, julgado em 13/9/2023, DJe de 26/9/2023.</w:t>
      </w:r>
    </w:p>
    <w:p w:rsidR="007259F2" w:rsidRDefault="00E655B4">
      <w:pPr>
        <w:pStyle w:val="Corpodetexto"/>
        <w:spacing w:before="201" w:line="276" w:lineRule="auto"/>
        <w:ind w:right="988" w:firstLine="0"/>
      </w:pPr>
      <w:r>
        <w:t xml:space="preserve">BRASIL. Superior Tribunal de Justiça. Primeira Seção. </w:t>
      </w:r>
      <w:r>
        <w:rPr>
          <w:b/>
        </w:rPr>
        <w:t xml:space="preserve">Súmula 623: </w:t>
      </w:r>
      <w:r>
        <w:t>As obrigações ambientais</w:t>
      </w:r>
      <w:r>
        <w:rPr>
          <w:spacing w:val="-3"/>
        </w:rPr>
        <w:t xml:space="preserve"> </w:t>
      </w:r>
      <w:r>
        <w:t>possuem</w:t>
      </w:r>
      <w:r>
        <w:rPr>
          <w:spacing w:val="-3"/>
        </w:rPr>
        <w:t xml:space="preserve"> </w:t>
      </w:r>
      <w:r>
        <w:t>natureza</w:t>
      </w:r>
      <w:r>
        <w:rPr>
          <w:spacing w:val="-4"/>
        </w:rPr>
        <w:t xml:space="preserve"> </w:t>
      </w:r>
      <w:r>
        <w:t>propter</w:t>
      </w:r>
      <w:r>
        <w:rPr>
          <w:spacing w:val="-3"/>
        </w:rPr>
        <w:t xml:space="preserve"> </w:t>
      </w:r>
      <w:r>
        <w:t>rem,</w:t>
      </w:r>
      <w:r>
        <w:rPr>
          <w:spacing w:val="-3"/>
        </w:rPr>
        <w:t xml:space="preserve"> </w:t>
      </w:r>
      <w:r>
        <w:t>sendo</w:t>
      </w:r>
      <w:r>
        <w:rPr>
          <w:spacing w:val="-2"/>
        </w:rPr>
        <w:t xml:space="preserve"> </w:t>
      </w:r>
      <w:r>
        <w:t>admissível</w:t>
      </w:r>
      <w:r>
        <w:rPr>
          <w:spacing w:val="-3"/>
        </w:rPr>
        <w:t xml:space="preserve"> </w:t>
      </w:r>
      <w:r>
        <w:t>cobrá-las</w:t>
      </w:r>
      <w:r>
        <w:rPr>
          <w:spacing w:val="-3"/>
        </w:rPr>
        <w:t xml:space="preserve"> </w:t>
      </w:r>
      <w:r>
        <w:t>do</w:t>
      </w:r>
      <w:r>
        <w:rPr>
          <w:spacing w:val="-2"/>
        </w:rPr>
        <w:t xml:space="preserve"> </w:t>
      </w:r>
      <w:r>
        <w:t>proprietário</w:t>
      </w:r>
      <w:r>
        <w:rPr>
          <w:spacing w:val="-3"/>
        </w:rPr>
        <w:t xml:space="preserve"> </w:t>
      </w:r>
      <w:r>
        <w:t xml:space="preserve">ou possuidor atual e/ou dos anteriores, à escolha do credor; julgado em 12/12/2018; DJe </w:t>
      </w:r>
      <w:r>
        <w:rPr>
          <w:spacing w:val="-2"/>
        </w:rPr>
        <w:t>17/12/2018.</w:t>
      </w:r>
    </w:p>
    <w:p w:rsidR="007259F2" w:rsidRDefault="00E655B4">
      <w:pPr>
        <w:pStyle w:val="Corpodetexto"/>
        <w:spacing w:before="199" w:line="276" w:lineRule="auto"/>
        <w:ind w:right="989" w:firstLine="0"/>
      </w:pPr>
      <w:r>
        <w:t xml:space="preserve">BRASIL. Superior Tribunal de Justiça. Segunda Seção. </w:t>
      </w:r>
      <w:r>
        <w:rPr>
          <w:b/>
        </w:rPr>
        <w:t>REsp n. 1.354.536/SE</w:t>
      </w:r>
      <w:r>
        <w:t>, relator Ministro Luis Felipe Salomão, , julgado em 26/3/2014, DJe de 5/5/2014.</w:t>
      </w:r>
    </w:p>
    <w:p w:rsidR="007259F2" w:rsidRDefault="00E655B4">
      <w:pPr>
        <w:pStyle w:val="Corpodetexto"/>
        <w:spacing w:before="201" w:line="276" w:lineRule="auto"/>
        <w:ind w:right="989" w:firstLine="0"/>
      </w:pPr>
      <w:r>
        <w:t xml:space="preserve">BRASIL. Superior Tribunal de Justiça. Segunda Turma. </w:t>
      </w:r>
      <w:r>
        <w:rPr>
          <w:b/>
        </w:rPr>
        <w:t>REsp n. 650.728/SC</w:t>
      </w:r>
      <w:r>
        <w:t>, relator Ministro Herman Benjamin, julgado em 23/10/2007, DJe de 2/12/2009.</w:t>
      </w:r>
    </w:p>
    <w:p w:rsidR="007259F2" w:rsidRDefault="00E655B4">
      <w:pPr>
        <w:spacing w:before="200" w:line="276" w:lineRule="auto"/>
        <w:ind w:left="710" w:right="990"/>
        <w:rPr>
          <w:sz w:val="24"/>
        </w:rPr>
      </w:pPr>
      <w:r>
        <w:rPr>
          <w:sz w:val="24"/>
        </w:rPr>
        <w:t>FARIAS,</w:t>
      </w:r>
      <w:r>
        <w:rPr>
          <w:spacing w:val="40"/>
          <w:sz w:val="24"/>
        </w:rPr>
        <w:t xml:space="preserve"> </w:t>
      </w:r>
      <w:r>
        <w:rPr>
          <w:sz w:val="24"/>
        </w:rPr>
        <w:t>Talden;</w:t>
      </w:r>
      <w:r>
        <w:rPr>
          <w:spacing w:val="40"/>
          <w:sz w:val="24"/>
        </w:rPr>
        <w:t xml:space="preserve"> </w:t>
      </w:r>
      <w:r>
        <w:rPr>
          <w:sz w:val="24"/>
        </w:rPr>
        <w:t>TRENNEPOHL,</w:t>
      </w:r>
      <w:r>
        <w:rPr>
          <w:spacing w:val="40"/>
          <w:sz w:val="24"/>
        </w:rPr>
        <w:t xml:space="preserve"> </w:t>
      </w:r>
      <w:r>
        <w:rPr>
          <w:sz w:val="24"/>
        </w:rPr>
        <w:t>Terence</w:t>
      </w:r>
      <w:r>
        <w:rPr>
          <w:spacing w:val="40"/>
          <w:sz w:val="24"/>
        </w:rPr>
        <w:t xml:space="preserve"> </w:t>
      </w:r>
      <w:r>
        <w:rPr>
          <w:sz w:val="24"/>
        </w:rPr>
        <w:t>Dornelles</w:t>
      </w:r>
      <w:r>
        <w:rPr>
          <w:spacing w:val="40"/>
          <w:sz w:val="24"/>
        </w:rPr>
        <w:t xml:space="preserve"> </w:t>
      </w:r>
      <w:r>
        <w:rPr>
          <w:sz w:val="24"/>
        </w:rPr>
        <w:t>(coord.).</w:t>
      </w:r>
      <w:r>
        <w:rPr>
          <w:spacing w:val="40"/>
          <w:sz w:val="24"/>
        </w:rPr>
        <w:t xml:space="preserve"> </w:t>
      </w:r>
      <w:r>
        <w:rPr>
          <w:b/>
          <w:sz w:val="24"/>
        </w:rPr>
        <w:t>Direito</w:t>
      </w:r>
      <w:r>
        <w:rPr>
          <w:b/>
          <w:spacing w:val="40"/>
          <w:sz w:val="24"/>
        </w:rPr>
        <w:t xml:space="preserve"> </w:t>
      </w:r>
      <w:r>
        <w:rPr>
          <w:b/>
          <w:sz w:val="24"/>
        </w:rPr>
        <w:t>ambiental</w:t>
      </w:r>
      <w:r>
        <w:rPr>
          <w:b/>
          <w:spacing w:val="40"/>
          <w:sz w:val="24"/>
        </w:rPr>
        <w:t xml:space="preserve"> </w:t>
      </w:r>
      <w:r>
        <w:rPr>
          <w:b/>
          <w:sz w:val="24"/>
        </w:rPr>
        <w:t>brasileiro</w:t>
      </w:r>
      <w:r>
        <w:rPr>
          <w:sz w:val="24"/>
        </w:rPr>
        <w:t>. 2. ed. São Paulo: Revista dos Tribunais, 2021.</w:t>
      </w:r>
    </w:p>
    <w:p w:rsidR="007259F2" w:rsidRDefault="00E655B4">
      <w:pPr>
        <w:spacing w:before="198"/>
        <w:ind w:left="710"/>
        <w:rPr>
          <w:sz w:val="24"/>
        </w:rPr>
      </w:pPr>
      <w:r>
        <w:rPr>
          <w:sz w:val="24"/>
        </w:rPr>
        <w:t>MILARÉ,</w:t>
      </w:r>
      <w:r>
        <w:rPr>
          <w:spacing w:val="-4"/>
          <w:sz w:val="24"/>
        </w:rPr>
        <w:t xml:space="preserve"> </w:t>
      </w:r>
      <w:r>
        <w:rPr>
          <w:sz w:val="24"/>
        </w:rPr>
        <w:t>Edis.</w:t>
      </w:r>
      <w:r>
        <w:rPr>
          <w:spacing w:val="-2"/>
          <w:sz w:val="24"/>
        </w:rPr>
        <w:t xml:space="preserve"> </w:t>
      </w:r>
      <w:r>
        <w:rPr>
          <w:b/>
          <w:sz w:val="24"/>
        </w:rPr>
        <w:t>Direito do</w:t>
      </w:r>
      <w:r>
        <w:rPr>
          <w:b/>
          <w:spacing w:val="-2"/>
          <w:sz w:val="24"/>
        </w:rPr>
        <w:t xml:space="preserve"> </w:t>
      </w:r>
      <w:r>
        <w:rPr>
          <w:b/>
          <w:sz w:val="24"/>
        </w:rPr>
        <w:t>Ambiente</w:t>
      </w:r>
      <w:r>
        <w:rPr>
          <w:sz w:val="24"/>
        </w:rPr>
        <w:t>.</w:t>
      </w:r>
      <w:r>
        <w:rPr>
          <w:spacing w:val="-1"/>
          <w:sz w:val="24"/>
        </w:rPr>
        <w:t xml:space="preserve"> </w:t>
      </w:r>
      <w:r>
        <w:rPr>
          <w:sz w:val="24"/>
        </w:rPr>
        <w:t>5. ed.</w:t>
      </w:r>
      <w:r>
        <w:rPr>
          <w:spacing w:val="-2"/>
          <w:sz w:val="24"/>
        </w:rPr>
        <w:t xml:space="preserve"> </w:t>
      </w:r>
      <w:r>
        <w:rPr>
          <w:sz w:val="24"/>
        </w:rPr>
        <w:t>São</w:t>
      </w:r>
      <w:r>
        <w:rPr>
          <w:spacing w:val="1"/>
          <w:sz w:val="24"/>
        </w:rPr>
        <w:t xml:space="preserve"> </w:t>
      </w:r>
      <w:r>
        <w:rPr>
          <w:sz w:val="24"/>
        </w:rPr>
        <w:t>Paulo.</w:t>
      </w:r>
      <w:r>
        <w:rPr>
          <w:spacing w:val="-2"/>
          <w:sz w:val="24"/>
        </w:rPr>
        <w:t xml:space="preserve"> </w:t>
      </w:r>
      <w:r>
        <w:rPr>
          <w:sz w:val="24"/>
        </w:rPr>
        <w:t>Thomson</w:t>
      </w:r>
      <w:r>
        <w:rPr>
          <w:spacing w:val="-1"/>
          <w:sz w:val="24"/>
        </w:rPr>
        <w:t xml:space="preserve"> </w:t>
      </w:r>
      <w:r>
        <w:rPr>
          <w:sz w:val="24"/>
        </w:rPr>
        <w:t>Reuters</w:t>
      </w:r>
      <w:r>
        <w:rPr>
          <w:spacing w:val="-2"/>
          <w:sz w:val="24"/>
        </w:rPr>
        <w:t xml:space="preserve"> </w:t>
      </w:r>
      <w:r>
        <w:rPr>
          <w:sz w:val="24"/>
        </w:rPr>
        <w:t>Brasil,</w:t>
      </w:r>
      <w:r>
        <w:rPr>
          <w:spacing w:val="-1"/>
          <w:sz w:val="24"/>
        </w:rPr>
        <w:t xml:space="preserve"> </w:t>
      </w:r>
      <w:r>
        <w:rPr>
          <w:spacing w:val="-2"/>
          <w:sz w:val="24"/>
        </w:rPr>
        <w:t>2020.</w:t>
      </w:r>
    </w:p>
    <w:p w:rsidR="007259F2" w:rsidRDefault="00E655B4">
      <w:pPr>
        <w:spacing w:before="243"/>
        <w:ind w:left="710"/>
        <w:rPr>
          <w:sz w:val="24"/>
        </w:rPr>
      </w:pPr>
      <w:r>
        <w:rPr>
          <w:sz w:val="24"/>
        </w:rPr>
        <w:t>MILARÉ,</w:t>
      </w:r>
      <w:r>
        <w:rPr>
          <w:spacing w:val="-4"/>
          <w:sz w:val="24"/>
        </w:rPr>
        <w:t xml:space="preserve"> </w:t>
      </w:r>
      <w:r>
        <w:rPr>
          <w:sz w:val="24"/>
        </w:rPr>
        <w:t>Edis.</w:t>
      </w:r>
      <w:r>
        <w:rPr>
          <w:spacing w:val="-1"/>
          <w:sz w:val="24"/>
        </w:rPr>
        <w:t xml:space="preserve"> </w:t>
      </w:r>
      <w:r>
        <w:rPr>
          <w:b/>
          <w:sz w:val="24"/>
        </w:rPr>
        <w:t>Ação</w:t>
      </w:r>
      <w:r>
        <w:rPr>
          <w:b/>
          <w:spacing w:val="-1"/>
          <w:sz w:val="24"/>
        </w:rPr>
        <w:t xml:space="preserve"> </w:t>
      </w:r>
      <w:r>
        <w:rPr>
          <w:b/>
          <w:sz w:val="24"/>
        </w:rPr>
        <w:t>Civil</w:t>
      </w:r>
      <w:r>
        <w:rPr>
          <w:b/>
          <w:spacing w:val="-1"/>
          <w:sz w:val="24"/>
        </w:rPr>
        <w:t xml:space="preserve"> </w:t>
      </w:r>
      <w:r>
        <w:rPr>
          <w:b/>
          <w:sz w:val="24"/>
        </w:rPr>
        <w:t>Pública</w:t>
      </w:r>
      <w:r>
        <w:rPr>
          <w:sz w:val="24"/>
        </w:rPr>
        <w:t>.</w:t>
      </w:r>
      <w:r>
        <w:rPr>
          <w:spacing w:val="-1"/>
          <w:sz w:val="24"/>
        </w:rPr>
        <w:t xml:space="preserve"> </w:t>
      </w:r>
      <w:r>
        <w:rPr>
          <w:sz w:val="24"/>
        </w:rPr>
        <w:t>1.</w:t>
      </w:r>
      <w:r>
        <w:rPr>
          <w:spacing w:val="-1"/>
          <w:sz w:val="24"/>
        </w:rPr>
        <w:t xml:space="preserve"> </w:t>
      </w:r>
      <w:r>
        <w:rPr>
          <w:sz w:val="24"/>
        </w:rPr>
        <w:t>ed.</w:t>
      </w:r>
      <w:r>
        <w:rPr>
          <w:spacing w:val="-1"/>
          <w:sz w:val="24"/>
        </w:rPr>
        <w:t xml:space="preserve"> </w:t>
      </w:r>
      <w:r>
        <w:rPr>
          <w:sz w:val="24"/>
        </w:rPr>
        <w:t>São</w:t>
      </w:r>
      <w:r>
        <w:rPr>
          <w:spacing w:val="-1"/>
          <w:sz w:val="24"/>
        </w:rPr>
        <w:t xml:space="preserve"> </w:t>
      </w:r>
      <w:r>
        <w:rPr>
          <w:sz w:val="24"/>
        </w:rPr>
        <w:t>Paulo.</w:t>
      </w:r>
      <w:r>
        <w:rPr>
          <w:spacing w:val="-1"/>
          <w:sz w:val="24"/>
        </w:rPr>
        <w:t xml:space="preserve"> </w:t>
      </w:r>
      <w:r>
        <w:rPr>
          <w:sz w:val="24"/>
        </w:rPr>
        <w:t>Thomson</w:t>
      </w:r>
      <w:r>
        <w:rPr>
          <w:spacing w:val="-1"/>
          <w:sz w:val="24"/>
        </w:rPr>
        <w:t xml:space="preserve"> </w:t>
      </w:r>
      <w:r>
        <w:rPr>
          <w:sz w:val="24"/>
        </w:rPr>
        <w:t>Reuters</w:t>
      </w:r>
      <w:r>
        <w:rPr>
          <w:spacing w:val="-1"/>
          <w:sz w:val="24"/>
        </w:rPr>
        <w:t xml:space="preserve"> </w:t>
      </w:r>
      <w:r>
        <w:rPr>
          <w:sz w:val="24"/>
        </w:rPr>
        <w:t>Brasil,</w:t>
      </w:r>
      <w:r>
        <w:rPr>
          <w:spacing w:val="-1"/>
          <w:sz w:val="24"/>
        </w:rPr>
        <w:t xml:space="preserve"> </w:t>
      </w:r>
      <w:r>
        <w:rPr>
          <w:spacing w:val="-2"/>
          <w:sz w:val="24"/>
        </w:rPr>
        <w:t>2020.</w:t>
      </w:r>
    </w:p>
    <w:p w:rsidR="007259F2" w:rsidRDefault="00E655B4">
      <w:pPr>
        <w:spacing w:before="240" w:line="278" w:lineRule="auto"/>
        <w:ind w:left="710" w:right="990"/>
        <w:rPr>
          <w:sz w:val="24"/>
        </w:rPr>
      </w:pPr>
      <w:r>
        <w:rPr>
          <w:sz w:val="24"/>
        </w:rPr>
        <w:t>RODRIGUES,</w:t>
      </w:r>
      <w:r>
        <w:rPr>
          <w:spacing w:val="40"/>
          <w:sz w:val="24"/>
        </w:rPr>
        <w:t xml:space="preserve"> </w:t>
      </w:r>
      <w:r>
        <w:rPr>
          <w:sz w:val="24"/>
        </w:rPr>
        <w:t>Marcelo</w:t>
      </w:r>
      <w:r>
        <w:rPr>
          <w:spacing w:val="40"/>
          <w:sz w:val="24"/>
        </w:rPr>
        <w:t xml:space="preserve"> </w:t>
      </w:r>
      <w:r>
        <w:rPr>
          <w:sz w:val="24"/>
        </w:rPr>
        <w:t>Abelha.</w:t>
      </w:r>
      <w:r>
        <w:rPr>
          <w:spacing w:val="40"/>
          <w:sz w:val="24"/>
        </w:rPr>
        <w:t xml:space="preserve"> </w:t>
      </w:r>
      <w:r>
        <w:rPr>
          <w:b/>
          <w:sz w:val="24"/>
        </w:rPr>
        <w:t>Direito</w:t>
      </w:r>
      <w:r>
        <w:rPr>
          <w:b/>
          <w:spacing w:val="40"/>
          <w:sz w:val="24"/>
        </w:rPr>
        <w:t xml:space="preserve"> </w:t>
      </w:r>
      <w:r>
        <w:rPr>
          <w:b/>
          <w:sz w:val="24"/>
        </w:rPr>
        <w:t>Ambiental</w:t>
      </w:r>
      <w:r>
        <w:rPr>
          <w:sz w:val="24"/>
        </w:rPr>
        <w:t>.</w:t>
      </w:r>
      <w:r>
        <w:rPr>
          <w:spacing w:val="40"/>
          <w:sz w:val="24"/>
        </w:rPr>
        <w:t xml:space="preserve"> </w:t>
      </w:r>
      <w:r>
        <w:rPr>
          <w:sz w:val="24"/>
        </w:rPr>
        <w:t>10.</w:t>
      </w:r>
      <w:r>
        <w:rPr>
          <w:spacing w:val="40"/>
          <w:sz w:val="24"/>
        </w:rPr>
        <w:t xml:space="preserve"> </w:t>
      </w:r>
      <w:r>
        <w:rPr>
          <w:sz w:val="24"/>
        </w:rPr>
        <w:t>ed.</w:t>
      </w:r>
      <w:r>
        <w:rPr>
          <w:spacing w:val="40"/>
          <w:sz w:val="24"/>
        </w:rPr>
        <w:t xml:space="preserve"> </w:t>
      </w:r>
      <w:r>
        <w:rPr>
          <w:sz w:val="24"/>
        </w:rPr>
        <w:t>São</w:t>
      </w:r>
      <w:r>
        <w:rPr>
          <w:spacing w:val="40"/>
          <w:sz w:val="24"/>
        </w:rPr>
        <w:t xml:space="preserve"> </w:t>
      </w:r>
      <w:r>
        <w:rPr>
          <w:sz w:val="24"/>
        </w:rPr>
        <w:t>Paulo:</w:t>
      </w:r>
      <w:r>
        <w:rPr>
          <w:spacing w:val="40"/>
          <w:sz w:val="24"/>
        </w:rPr>
        <w:t xml:space="preserve"> </w:t>
      </w:r>
      <w:r>
        <w:rPr>
          <w:sz w:val="24"/>
        </w:rPr>
        <w:t xml:space="preserve">SaraivaJur, </w:t>
      </w:r>
      <w:r>
        <w:rPr>
          <w:spacing w:val="-2"/>
          <w:sz w:val="24"/>
        </w:rPr>
        <w:t>2023.</w:t>
      </w:r>
    </w:p>
    <w:p w:rsidR="007259F2" w:rsidRDefault="00E655B4">
      <w:pPr>
        <w:spacing w:before="195" w:line="278" w:lineRule="auto"/>
        <w:ind w:left="710" w:right="990"/>
        <w:rPr>
          <w:sz w:val="24"/>
        </w:rPr>
      </w:pPr>
      <w:r>
        <w:rPr>
          <w:sz w:val="24"/>
        </w:rPr>
        <w:t>SARLET, Ingo</w:t>
      </w:r>
      <w:r>
        <w:rPr>
          <w:spacing w:val="-1"/>
          <w:sz w:val="24"/>
        </w:rPr>
        <w:t xml:space="preserve"> </w:t>
      </w:r>
      <w:r>
        <w:rPr>
          <w:sz w:val="24"/>
        </w:rPr>
        <w:t>W.;</w:t>
      </w:r>
      <w:r>
        <w:rPr>
          <w:spacing w:val="-1"/>
          <w:sz w:val="24"/>
        </w:rPr>
        <w:t xml:space="preserve"> </w:t>
      </w:r>
      <w:r>
        <w:rPr>
          <w:sz w:val="24"/>
        </w:rPr>
        <w:t>FENSTERSEIFER,</w:t>
      </w:r>
      <w:r>
        <w:rPr>
          <w:spacing w:val="-1"/>
          <w:sz w:val="24"/>
        </w:rPr>
        <w:t xml:space="preserve"> </w:t>
      </w:r>
      <w:r>
        <w:rPr>
          <w:sz w:val="24"/>
        </w:rPr>
        <w:t>Tiago.</w:t>
      </w:r>
      <w:r>
        <w:rPr>
          <w:spacing w:val="-1"/>
          <w:sz w:val="24"/>
        </w:rPr>
        <w:t xml:space="preserve"> </w:t>
      </w:r>
      <w:r>
        <w:rPr>
          <w:b/>
          <w:sz w:val="24"/>
        </w:rPr>
        <w:t>Curso</w:t>
      </w:r>
      <w:r>
        <w:rPr>
          <w:b/>
          <w:spacing w:val="-1"/>
          <w:sz w:val="24"/>
        </w:rPr>
        <w:t xml:space="preserve"> </w:t>
      </w:r>
      <w:r>
        <w:rPr>
          <w:b/>
          <w:sz w:val="24"/>
        </w:rPr>
        <w:t>de</w:t>
      </w:r>
      <w:r>
        <w:rPr>
          <w:b/>
          <w:spacing w:val="-2"/>
          <w:sz w:val="24"/>
        </w:rPr>
        <w:t xml:space="preserve"> </w:t>
      </w:r>
      <w:r>
        <w:rPr>
          <w:b/>
          <w:sz w:val="24"/>
        </w:rPr>
        <w:t>Direito</w:t>
      </w:r>
      <w:r>
        <w:rPr>
          <w:b/>
          <w:spacing w:val="-2"/>
          <w:sz w:val="24"/>
        </w:rPr>
        <w:t xml:space="preserve"> </w:t>
      </w:r>
      <w:r>
        <w:rPr>
          <w:b/>
          <w:sz w:val="24"/>
        </w:rPr>
        <w:t>Ambiental</w:t>
      </w:r>
      <w:r>
        <w:rPr>
          <w:sz w:val="24"/>
        </w:rPr>
        <w:t>.</w:t>
      </w:r>
      <w:r>
        <w:rPr>
          <w:spacing w:val="-1"/>
          <w:sz w:val="24"/>
        </w:rPr>
        <w:t xml:space="preserve"> </w:t>
      </w:r>
      <w:r>
        <w:rPr>
          <w:sz w:val="24"/>
        </w:rPr>
        <w:t>3.</w:t>
      </w:r>
      <w:r>
        <w:rPr>
          <w:spacing w:val="-1"/>
          <w:sz w:val="24"/>
        </w:rPr>
        <w:t xml:space="preserve"> </w:t>
      </w:r>
      <w:r>
        <w:rPr>
          <w:sz w:val="24"/>
        </w:rPr>
        <w:t>ed.</w:t>
      </w:r>
      <w:r>
        <w:rPr>
          <w:spacing w:val="-1"/>
          <w:sz w:val="24"/>
        </w:rPr>
        <w:t xml:space="preserve"> </w:t>
      </w:r>
      <w:r>
        <w:rPr>
          <w:sz w:val="24"/>
        </w:rPr>
        <w:t>Rio de Janeiro. Grupo GEN, 2022.</w:t>
      </w:r>
    </w:p>
    <w:p w:rsidR="007259F2" w:rsidRDefault="00E655B4">
      <w:pPr>
        <w:spacing w:before="193"/>
        <w:ind w:left="710" w:right="990"/>
        <w:rPr>
          <w:sz w:val="24"/>
        </w:rPr>
      </w:pPr>
      <w:r>
        <w:rPr>
          <w:sz w:val="24"/>
        </w:rPr>
        <w:t>TRENNEPOHL,</w:t>
      </w:r>
      <w:r>
        <w:rPr>
          <w:spacing w:val="-4"/>
          <w:sz w:val="24"/>
        </w:rPr>
        <w:t xml:space="preserve"> </w:t>
      </w:r>
      <w:r>
        <w:rPr>
          <w:sz w:val="24"/>
        </w:rPr>
        <w:t>Terence</w:t>
      </w:r>
      <w:r>
        <w:rPr>
          <w:spacing w:val="-5"/>
          <w:sz w:val="24"/>
        </w:rPr>
        <w:t xml:space="preserve"> </w:t>
      </w:r>
      <w:r>
        <w:rPr>
          <w:sz w:val="24"/>
        </w:rPr>
        <w:t xml:space="preserve">Dornelles. </w:t>
      </w:r>
      <w:r>
        <w:rPr>
          <w:b/>
          <w:sz w:val="24"/>
        </w:rPr>
        <w:t>Manual</w:t>
      </w:r>
      <w:r>
        <w:rPr>
          <w:b/>
          <w:spacing w:val="-4"/>
          <w:sz w:val="24"/>
        </w:rPr>
        <w:t xml:space="preserve"> </w:t>
      </w:r>
      <w:r>
        <w:rPr>
          <w:b/>
          <w:sz w:val="24"/>
        </w:rPr>
        <w:t>de</w:t>
      </w:r>
      <w:r>
        <w:rPr>
          <w:b/>
          <w:spacing w:val="-5"/>
          <w:sz w:val="24"/>
        </w:rPr>
        <w:t xml:space="preserve"> </w:t>
      </w:r>
      <w:r>
        <w:rPr>
          <w:b/>
          <w:sz w:val="24"/>
        </w:rPr>
        <w:t>Direito</w:t>
      </w:r>
      <w:r>
        <w:rPr>
          <w:b/>
          <w:spacing w:val="-4"/>
          <w:sz w:val="24"/>
        </w:rPr>
        <w:t xml:space="preserve"> </w:t>
      </w:r>
      <w:r>
        <w:rPr>
          <w:b/>
          <w:sz w:val="24"/>
        </w:rPr>
        <w:t>Ambiental</w:t>
      </w:r>
      <w:r>
        <w:rPr>
          <w:sz w:val="24"/>
        </w:rPr>
        <w:t>.</w:t>
      </w:r>
      <w:r>
        <w:rPr>
          <w:spacing w:val="-4"/>
          <w:sz w:val="24"/>
        </w:rPr>
        <w:t xml:space="preserve"> </w:t>
      </w:r>
      <w:r>
        <w:rPr>
          <w:sz w:val="24"/>
        </w:rPr>
        <w:t>9.</w:t>
      </w:r>
      <w:r>
        <w:rPr>
          <w:spacing w:val="-4"/>
          <w:sz w:val="24"/>
        </w:rPr>
        <w:t xml:space="preserve"> </w:t>
      </w:r>
      <w:r>
        <w:rPr>
          <w:sz w:val="24"/>
        </w:rPr>
        <w:t>ed.</w:t>
      </w:r>
      <w:r>
        <w:rPr>
          <w:spacing w:val="-4"/>
          <w:sz w:val="24"/>
        </w:rPr>
        <w:t xml:space="preserve"> </w:t>
      </w:r>
      <w:r>
        <w:rPr>
          <w:sz w:val="24"/>
        </w:rPr>
        <w:t>São</w:t>
      </w:r>
      <w:r>
        <w:rPr>
          <w:spacing w:val="-4"/>
          <w:sz w:val="24"/>
        </w:rPr>
        <w:t xml:space="preserve"> </w:t>
      </w:r>
      <w:r>
        <w:rPr>
          <w:sz w:val="24"/>
        </w:rPr>
        <w:t>Paulo. Editora Saraiva, 2022.</w:t>
      </w:r>
    </w:p>
    <w:p w:rsidR="007259F2" w:rsidRDefault="007259F2">
      <w:pPr>
        <w:rPr>
          <w:sz w:val="24"/>
        </w:rPr>
        <w:sectPr w:rsidR="007259F2">
          <w:footerReference w:type="default" r:id="rId443"/>
          <w:pgSz w:w="11910" w:h="16840"/>
          <w:pgMar w:top="1320" w:right="708" w:bottom="280" w:left="992" w:header="0" w:footer="0" w:gutter="0"/>
          <w:cols w:space="720"/>
        </w:sectPr>
      </w:pPr>
    </w:p>
    <w:p w:rsidR="007259F2" w:rsidRDefault="00E655B4">
      <w:pPr>
        <w:spacing w:before="74"/>
        <w:ind w:left="710"/>
        <w:rPr>
          <w:b/>
          <w:sz w:val="24"/>
        </w:rPr>
      </w:pPr>
      <w:r>
        <w:rPr>
          <w:b/>
          <w:sz w:val="24"/>
        </w:rPr>
        <w:lastRenderedPageBreak/>
        <w:t xml:space="preserve">Estudo de </w:t>
      </w:r>
      <w:r>
        <w:rPr>
          <w:b/>
          <w:spacing w:val="-2"/>
          <w:sz w:val="24"/>
        </w:rPr>
        <w:t>Caso:</w:t>
      </w:r>
    </w:p>
    <w:p w:rsidR="007259F2" w:rsidRDefault="00E655B4">
      <w:pPr>
        <w:pStyle w:val="Heading2"/>
        <w:spacing w:before="0"/>
        <w:ind w:left="712" w:right="990"/>
        <w:jc w:val="left"/>
      </w:pPr>
      <w:bookmarkStart w:id="24" w:name="_bookmark24"/>
      <w:bookmarkEnd w:id="24"/>
      <w:r>
        <w:t>A</w:t>
      </w:r>
      <w:r>
        <w:rPr>
          <w:spacing w:val="-5"/>
        </w:rPr>
        <w:t xml:space="preserve"> </w:t>
      </w:r>
      <w:r>
        <w:t>Verificação</w:t>
      </w:r>
      <w:r>
        <w:rPr>
          <w:spacing w:val="-5"/>
        </w:rPr>
        <w:t xml:space="preserve"> </w:t>
      </w:r>
      <w:r>
        <w:t>da</w:t>
      </w:r>
      <w:r>
        <w:rPr>
          <w:spacing w:val="-5"/>
        </w:rPr>
        <w:t xml:space="preserve"> </w:t>
      </w:r>
      <w:r>
        <w:t>Responsabilidade</w:t>
      </w:r>
      <w:r>
        <w:rPr>
          <w:spacing w:val="-6"/>
        </w:rPr>
        <w:t xml:space="preserve"> </w:t>
      </w:r>
      <w:r>
        <w:t>Subsidiária</w:t>
      </w:r>
      <w:r>
        <w:rPr>
          <w:spacing w:val="-8"/>
        </w:rPr>
        <w:t xml:space="preserve"> </w:t>
      </w:r>
      <w:r>
        <w:t>da</w:t>
      </w:r>
      <w:r>
        <w:rPr>
          <w:spacing w:val="-2"/>
        </w:rPr>
        <w:t xml:space="preserve"> </w:t>
      </w:r>
      <w:r>
        <w:t>Administração</w:t>
      </w:r>
      <w:r>
        <w:rPr>
          <w:spacing w:val="-3"/>
        </w:rPr>
        <w:t xml:space="preserve"> </w:t>
      </w:r>
      <w:r>
        <w:t>Pública</w:t>
      </w:r>
      <w:r>
        <w:rPr>
          <w:spacing w:val="-5"/>
        </w:rPr>
        <w:t xml:space="preserve"> </w:t>
      </w:r>
      <w:r>
        <w:t>nos Contratos de Gestão por ela Celebrados</w:t>
      </w:r>
    </w:p>
    <w:p w:rsidR="007259F2" w:rsidRDefault="007259F2">
      <w:pPr>
        <w:pStyle w:val="Corpodetexto"/>
        <w:spacing w:before="3"/>
        <w:ind w:left="0" w:firstLine="0"/>
        <w:jc w:val="left"/>
        <w:rPr>
          <w:b/>
        </w:rPr>
      </w:pPr>
    </w:p>
    <w:p w:rsidR="007259F2" w:rsidRDefault="00E655B4">
      <w:pPr>
        <w:ind w:left="712"/>
        <w:rPr>
          <w:b/>
          <w:sz w:val="24"/>
        </w:rPr>
      </w:pPr>
      <w:r>
        <w:rPr>
          <w:b/>
          <w:sz w:val="24"/>
        </w:rPr>
        <w:t>Richard</w:t>
      </w:r>
      <w:r>
        <w:rPr>
          <w:b/>
          <w:spacing w:val="-1"/>
          <w:sz w:val="24"/>
        </w:rPr>
        <w:t xml:space="preserve"> </w:t>
      </w:r>
      <w:r>
        <w:rPr>
          <w:b/>
          <w:sz w:val="24"/>
        </w:rPr>
        <w:t>de</w:t>
      </w:r>
      <w:r>
        <w:rPr>
          <w:b/>
          <w:spacing w:val="-6"/>
          <w:sz w:val="24"/>
        </w:rPr>
        <w:t xml:space="preserve"> </w:t>
      </w:r>
      <w:r>
        <w:rPr>
          <w:b/>
          <w:sz w:val="24"/>
        </w:rPr>
        <w:t>Moraes</w:t>
      </w:r>
      <w:r>
        <w:rPr>
          <w:b/>
          <w:spacing w:val="-2"/>
          <w:sz w:val="24"/>
        </w:rPr>
        <w:t xml:space="preserve"> </w:t>
      </w:r>
      <w:r>
        <w:rPr>
          <w:b/>
          <w:sz w:val="24"/>
        </w:rPr>
        <w:t>Pereira</w:t>
      </w:r>
      <w:r>
        <w:rPr>
          <w:b/>
          <w:spacing w:val="-1"/>
          <w:sz w:val="24"/>
        </w:rPr>
        <w:t xml:space="preserve"> </w:t>
      </w:r>
      <w:r>
        <w:rPr>
          <w:b/>
          <w:spacing w:val="-2"/>
          <w:sz w:val="24"/>
        </w:rPr>
        <w:t>Martins</w:t>
      </w:r>
      <w:r>
        <w:rPr>
          <w:b/>
          <w:spacing w:val="-2"/>
          <w:sz w:val="24"/>
          <w:vertAlign w:val="superscript"/>
        </w:rPr>
        <w:t>1</w:t>
      </w:r>
    </w:p>
    <w:p w:rsidR="007259F2" w:rsidRDefault="007259F2">
      <w:pPr>
        <w:pStyle w:val="Corpodetexto"/>
        <w:ind w:left="0" w:firstLine="0"/>
        <w:jc w:val="left"/>
        <w:rPr>
          <w:b/>
        </w:rPr>
      </w:pPr>
    </w:p>
    <w:p w:rsidR="007259F2" w:rsidRDefault="007259F2">
      <w:pPr>
        <w:pStyle w:val="Corpodetexto"/>
        <w:spacing w:before="223"/>
        <w:ind w:left="0" w:firstLine="0"/>
        <w:jc w:val="left"/>
        <w:rPr>
          <w:b/>
        </w:rPr>
      </w:pPr>
    </w:p>
    <w:p w:rsidR="007259F2" w:rsidRDefault="00E655B4">
      <w:pPr>
        <w:ind w:left="427" w:right="8519"/>
        <w:jc w:val="center"/>
        <w:rPr>
          <w:b/>
          <w:sz w:val="24"/>
        </w:rPr>
      </w:pPr>
      <w:r>
        <w:rPr>
          <w:b/>
          <w:sz w:val="24"/>
        </w:rPr>
        <w:t xml:space="preserve">O </w:t>
      </w:r>
      <w:r>
        <w:rPr>
          <w:b/>
          <w:spacing w:val="-4"/>
          <w:sz w:val="24"/>
        </w:rPr>
        <w:t>caso</w:t>
      </w:r>
    </w:p>
    <w:p w:rsidR="007259F2" w:rsidRDefault="00E655B4">
      <w:pPr>
        <w:pStyle w:val="Corpodetexto"/>
        <w:spacing w:before="115"/>
        <w:ind w:left="418" w:firstLine="0"/>
        <w:jc w:val="center"/>
      </w:pPr>
      <w:r>
        <w:t>“Fulana”,</w:t>
      </w:r>
      <w:r>
        <w:rPr>
          <w:spacing w:val="8"/>
        </w:rPr>
        <w:t xml:space="preserve"> </w:t>
      </w:r>
      <w:r>
        <w:t>na</w:t>
      </w:r>
      <w:r>
        <w:rPr>
          <w:spacing w:val="7"/>
        </w:rPr>
        <w:t xml:space="preserve"> </w:t>
      </w:r>
      <w:r>
        <w:t>data</w:t>
      </w:r>
      <w:r>
        <w:rPr>
          <w:spacing w:val="11"/>
        </w:rPr>
        <w:t xml:space="preserve"> </w:t>
      </w:r>
      <w:r>
        <w:t>de</w:t>
      </w:r>
      <w:r>
        <w:rPr>
          <w:spacing w:val="9"/>
        </w:rPr>
        <w:t xml:space="preserve"> </w:t>
      </w:r>
      <w:r>
        <w:t>“01/10/2020”,</w:t>
      </w:r>
      <w:r>
        <w:rPr>
          <w:spacing w:val="8"/>
        </w:rPr>
        <w:t xml:space="preserve"> </w:t>
      </w:r>
      <w:r>
        <w:t>foi</w:t>
      </w:r>
      <w:r>
        <w:rPr>
          <w:spacing w:val="9"/>
        </w:rPr>
        <w:t xml:space="preserve"> </w:t>
      </w:r>
      <w:r>
        <w:t>contratada</w:t>
      </w:r>
      <w:r>
        <w:rPr>
          <w:spacing w:val="9"/>
        </w:rPr>
        <w:t xml:space="preserve"> </w:t>
      </w:r>
      <w:r>
        <w:t>para</w:t>
      </w:r>
      <w:r>
        <w:rPr>
          <w:spacing w:val="8"/>
        </w:rPr>
        <w:t xml:space="preserve"> </w:t>
      </w:r>
      <w:r>
        <w:t>laborar</w:t>
      </w:r>
      <w:r>
        <w:rPr>
          <w:spacing w:val="8"/>
        </w:rPr>
        <w:t xml:space="preserve"> </w:t>
      </w:r>
      <w:r>
        <w:t>como</w:t>
      </w:r>
      <w:r>
        <w:rPr>
          <w:spacing w:val="8"/>
        </w:rPr>
        <w:t xml:space="preserve"> </w:t>
      </w:r>
      <w:r>
        <w:t>Copeira</w:t>
      </w:r>
      <w:r>
        <w:rPr>
          <w:spacing w:val="8"/>
        </w:rPr>
        <w:t xml:space="preserve"> </w:t>
      </w:r>
      <w:r>
        <w:rPr>
          <w:spacing w:val="-5"/>
        </w:rPr>
        <w:t>na</w:t>
      </w:r>
    </w:p>
    <w:p w:rsidR="007259F2" w:rsidRDefault="00E655B4">
      <w:pPr>
        <w:pStyle w:val="Corpodetexto"/>
        <w:ind w:right="988" w:firstLine="0"/>
      </w:pPr>
      <w:r>
        <w:t>unidade de pronto atendimento (UPA 24h), laborando das 07h às 19h, em escala 12x36, percebendo a remuneração mensal de R$ 1.400,00, sendo posteriormente dispensada na data de “01/10/2022”.</w:t>
      </w:r>
    </w:p>
    <w:p w:rsidR="007259F2" w:rsidRDefault="00E655B4">
      <w:pPr>
        <w:pStyle w:val="Corpodetexto"/>
        <w:spacing w:before="1"/>
        <w:ind w:right="986"/>
      </w:pPr>
      <w:r>
        <w:t>Por julgar que seus direitos foram supostamente violados durante a vigência de seu contrato de trabalho, ingressou com Reclamação Trabalhista na data de “01/10/2023” alegando em síntese que, mantinha contato direto com leitos e pacientes com doenças infectocontagiosas sem, contudo, receber Adicional de Insalubridade. Alegando também ter sofrido danos morais em seu local de trabalho por suposta circulação de comentários maldizentes de colegas a seu respeito.</w:t>
      </w:r>
    </w:p>
    <w:p w:rsidR="007259F2" w:rsidRDefault="00E655B4">
      <w:pPr>
        <w:pStyle w:val="Corpodetexto"/>
        <w:ind w:right="993"/>
      </w:pPr>
      <w:r>
        <w:t>Em sede processual, ingressou com a referida Reclamação Trabalhista</w:t>
      </w:r>
      <w:r>
        <w:rPr>
          <w:spacing w:val="40"/>
        </w:rPr>
        <w:t xml:space="preserve"> </w:t>
      </w:r>
      <w:r>
        <w:t>pleiteando direitos supostamente violados durante a relação contratual em face da sua empregadora direta, qual seja a Organização Social “Casa de Gestão de Saúde”, bem como, subsidiariamente, em face do Município de São Paulo (MSP).</w:t>
      </w:r>
    </w:p>
    <w:p w:rsidR="007259F2" w:rsidRDefault="00E655B4">
      <w:pPr>
        <w:pStyle w:val="Corpodetexto"/>
        <w:ind w:right="991"/>
      </w:pPr>
      <w:r>
        <w:t>No caso, a Municipalidade celebrou contrato de gestão com a Organização</w:t>
      </w:r>
      <w:r>
        <w:rPr>
          <w:spacing w:val="40"/>
        </w:rPr>
        <w:t xml:space="preserve"> </w:t>
      </w:r>
      <w:r>
        <w:t>Social</w:t>
      </w:r>
      <w:r>
        <w:rPr>
          <w:spacing w:val="29"/>
        </w:rPr>
        <w:t xml:space="preserve"> </w:t>
      </w:r>
      <w:r>
        <w:t>em</w:t>
      </w:r>
      <w:r>
        <w:rPr>
          <w:spacing w:val="32"/>
        </w:rPr>
        <w:t xml:space="preserve"> </w:t>
      </w:r>
      <w:r>
        <w:t>comento</w:t>
      </w:r>
      <w:r>
        <w:rPr>
          <w:spacing w:val="40"/>
        </w:rPr>
        <w:t xml:space="preserve"> </w:t>
      </w:r>
      <w:r>
        <w:t>para</w:t>
      </w:r>
      <w:r>
        <w:rPr>
          <w:spacing w:val="40"/>
        </w:rPr>
        <w:t xml:space="preserve"> </w:t>
      </w:r>
      <w:r>
        <w:t>a</w:t>
      </w:r>
      <w:r>
        <w:rPr>
          <w:spacing w:val="40"/>
        </w:rPr>
        <w:t xml:space="preserve"> </w:t>
      </w:r>
      <w:r>
        <w:t>administração</w:t>
      </w:r>
      <w:r>
        <w:rPr>
          <w:spacing w:val="40"/>
        </w:rPr>
        <w:t xml:space="preserve"> </w:t>
      </w:r>
      <w:r>
        <w:t>do</w:t>
      </w:r>
      <w:r>
        <w:rPr>
          <w:spacing w:val="40"/>
        </w:rPr>
        <w:t xml:space="preserve"> </w:t>
      </w:r>
      <w:r>
        <w:t>equipamento</w:t>
      </w:r>
      <w:r>
        <w:rPr>
          <w:spacing w:val="40"/>
        </w:rPr>
        <w:t xml:space="preserve"> </w:t>
      </w:r>
      <w:r>
        <w:t>público</w:t>
      </w:r>
      <w:r>
        <w:rPr>
          <w:spacing w:val="40"/>
        </w:rPr>
        <w:t xml:space="preserve"> </w:t>
      </w:r>
      <w:r>
        <w:t>(UPA</w:t>
      </w:r>
      <w:r>
        <w:rPr>
          <w:spacing w:val="40"/>
        </w:rPr>
        <w:t xml:space="preserve"> </w:t>
      </w:r>
      <w:r>
        <w:t>24h)</w:t>
      </w:r>
      <w:r>
        <w:rPr>
          <w:spacing w:val="40"/>
        </w:rPr>
        <w:t xml:space="preserve"> </w:t>
      </w:r>
      <w:r>
        <w:t>em que</w:t>
      </w:r>
      <w:r>
        <w:rPr>
          <w:spacing w:val="40"/>
        </w:rPr>
        <w:t xml:space="preserve"> </w:t>
      </w:r>
      <w:r>
        <w:t>a</w:t>
      </w:r>
      <w:r>
        <w:rPr>
          <w:spacing w:val="40"/>
        </w:rPr>
        <w:t xml:space="preserve"> </w:t>
      </w:r>
      <w:r>
        <w:t>Reclamante laborou. Desse modo, a Reclamante junta à sua peça exordial, cópia de sua CTPS, extrato de recolhimento de FGTS e documentos constitutivos da Organização Social empregadora, sem, contudo, juntar qualquer outro documento que comprove suas alegações.</w:t>
      </w:r>
    </w:p>
    <w:p w:rsidR="007259F2" w:rsidRDefault="00E655B4">
      <w:pPr>
        <w:pStyle w:val="Heading2"/>
        <w:spacing w:before="205"/>
        <w:ind w:left="712"/>
      </w:pPr>
      <w:r>
        <w:t>Perspectiva</w:t>
      </w:r>
      <w:r>
        <w:rPr>
          <w:spacing w:val="-1"/>
        </w:rPr>
        <w:t xml:space="preserve"> </w:t>
      </w:r>
      <w:r>
        <w:t>de</w:t>
      </w:r>
      <w:r>
        <w:rPr>
          <w:spacing w:val="-2"/>
        </w:rPr>
        <w:t xml:space="preserve"> </w:t>
      </w:r>
      <w:r>
        <w:t>análise</w:t>
      </w:r>
      <w:r>
        <w:rPr>
          <w:spacing w:val="-2"/>
        </w:rPr>
        <w:t xml:space="preserve"> </w:t>
      </w:r>
      <w:r>
        <w:t>e</w:t>
      </w:r>
      <w:r>
        <w:rPr>
          <w:spacing w:val="-1"/>
        </w:rPr>
        <w:t xml:space="preserve"> </w:t>
      </w:r>
      <w:r>
        <w:t>de</w:t>
      </w:r>
      <w:r>
        <w:rPr>
          <w:spacing w:val="-1"/>
        </w:rPr>
        <w:t xml:space="preserve"> </w:t>
      </w:r>
      <w:r>
        <w:rPr>
          <w:spacing w:val="-2"/>
        </w:rPr>
        <w:t>solução</w:t>
      </w:r>
    </w:p>
    <w:p w:rsidR="007259F2" w:rsidRDefault="00E655B4">
      <w:pPr>
        <w:pStyle w:val="Corpodetexto"/>
        <w:spacing w:before="197"/>
        <w:ind w:right="989"/>
      </w:pPr>
      <w:r>
        <w:t>Diante</w:t>
      </w:r>
      <w:r>
        <w:rPr>
          <w:spacing w:val="-2"/>
        </w:rPr>
        <w:t xml:space="preserve"> </w:t>
      </w:r>
      <w:r>
        <w:t>da</w:t>
      </w:r>
      <w:r>
        <w:rPr>
          <w:spacing w:val="-2"/>
        </w:rPr>
        <w:t xml:space="preserve"> </w:t>
      </w:r>
      <w:r>
        <w:t>situação</w:t>
      </w:r>
      <w:r>
        <w:rPr>
          <w:spacing w:val="-2"/>
        </w:rPr>
        <w:t xml:space="preserve"> </w:t>
      </w:r>
      <w:r>
        <w:t>prática</w:t>
      </w:r>
      <w:r>
        <w:rPr>
          <w:spacing w:val="-3"/>
        </w:rPr>
        <w:t xml:space="preserve"> </w:t>
      </w:r>
      <w:r>
        <w:t>e</w:t>
      </w:r>
      <w:r>
        <w:rPr>
          <w:spacing w:val="-1"/>
        </w:rPr>
        <w:t xml:space="preserve"> </w:t>
      </w:r>
      <w:r>
        <w:t>cotidiana</w:t>
      </w:r>
      <w:r>
        <w:rPr>
          <w:spacing w:val="-2"/>
        </w:rPr>
        <w:t xml:space="preserve"> </w:t>
      </w:r>
      <w:r>
        <w:t>descrita</w:t>
      </w:r>
      <w:r>
        <w:rPr>
          <w:spacing w:val="-2"/>
        </w:rPr>
        <w:t xml:space="preserve"> </w:t>
      </w:r>
      <w:r>
        <w:t>acima,</w:t>
      </w:r>
      <w:r>
        <w:rPr>
          <w:spacing w:val="-2"/>
        </w:rPr>
        <w:t xml:space="preserve"> </w:t>
      </w:r>
      <w:r>
        <w:t>na</w:t>
      </w:r>
      <w:r>
        <w:rPr>
          <w:spacing w:val="-4"/>
        </w:rPr>
        <w:t xml:space="preserve"> </w:t>
      </w:r>
      <w:r>
        <w:t>qualidade</w:t>
      </w:r>
      <w:r>
        <w:rPr>
          <w:spacing w:val="-1"/>
        </w:rPr>
        <w:t xml:space="preserve"> </w:t>
      </w:r>
      <w:r>
        <w:t>de</w:t>
      </w:r>
      <w:r>
        <w:rPr>
          <w:spacing w:val="-1"/>
        </w:rPr>
        <w:t xml:space="preserve"> </w:t>
      </w:r>
      <w:r>
        <w:t>Procurador Municipal e pertencendo ao departamento responsável por tais demandas em âmbito contencioso, deve ser elaborada peça processual adequada (Contestação) no sentido de promover a defesa jurídica do Município de São Paulo nos autos da ação em curso.</w:t>
      </w:r>
    </w:p>
    <w:p w:rsidR="007259F2" w:rsidRDefault="00E655B4">
      <w:pPr>
        <w:pStyle w:val="Heading2"/>
        <w:spacing w:before="204"/>
        <w:ind w:left="712"/>
        <w:jc w:val="left"/>
      </w:pPr>
      <w:r>
        <w:rPr>
          <w:spacing w:val="-2"/>
        </w:rPr>
        <w:t>Desenvolvimento</w:t>
      </w:r>
    </w:p>
    <w:p w:rsidR="007259F2" w:rsidRDefault="00E655B4">
      <w:pPr>
        <w:pStyle w:val="Corpodetexto"/>
        <w:spacing w:before="113"/>
        <w:ind w:right="993"/>
      </w:pPr>
      <w:r>
        <w:t>Inicialmente, cumpre mencionar alguns aspectos da nova dinâmica que envolve</w:t>
      </w:r>
      <w:r>
        <w:rPr>
          <w:spacing w:val="40"/>
        </w:rPr>
        <w:t xml:space="preserve"> </w:t>
      </w:r>
      <w:r>
        <w:t>a</w:t>
      </w:r>
      <w:r>
        <w:rPr>
          <w:spacing w:val="-1"/>
        </w:rPr>
        <w:t xml:space="preserve"> </w:t>
      </w:r>
      <w:r>
        <w:t>Administração</w:t>
      </w:r>
      <w:r>
        <w:rPr>
          <w:spacing w:val="-1"/>
        </w:rPr>
        <w:t xml:space="preserve"> </w:t>
      </w:r>
      <w:r>
        <w:t>Pública e</w:t>
      </w:r>
      <w:r>
        <w:rPr>
          <w:spacing w:val="-1"/>
        </w:rPr>
        <w:t xml:space="preserve"> </w:t>
      </w:r>
      <w:r>
        <w:t>a</w:t>
      </w:r>
      <w:r>
        <w:rPr>
          <w:spacing w:val="-1"/>
        </w:rPr>
        <w:t xml:space="preserve"> </w:t>
      </w:r>
      <w:r>
        <w:t>forma</w:t>
      </w:r>
      <w:r>
        <w:rPr>
          <w:spacing w:val="-1"/>
        </w:rPr>
        <w:t xml:space="preserve"> </w:t>
      </w:r>
      <w:r>
        <w:t>de</w:t>
      </w:r>
      <w:r>
        <w:rPr>
          <w:spacing w:val="-1"/>
        </w:rPr>
        <w:t xml:space="preserve"> </w:t>
      </w:r>
      <w:r>
        <w:t>prestação</w:t>
      </w:r>
      <w:r>
        <w:rPr>
          <w:spacing w:val="-1"/>
        </w:rPr>
        <w:t xml:space="preserve"> </w:t>
      </w:r>
      <w:r>
        <w:t>de</w:t>
      </w:r>
      <w:r>
        <w:rPr>
          <w:spacing w:val="-1"/>
        </w:rPr>
        <w:t xml:space="preserve"> </w:t>
      </w:r>
      <w:r>
        <w:t>seus</w:t>
      </w:r>
      <w:r>
        <w:rPr>
          <w:spacing w:val="-1"/>
        </w:rPr>
        <w:t xml:space="preserve"> </w:t>
      </w:r>
      <w:r>
        <w:t>serviços, enfatizando</w:t>
      </w:r>
      <w:r>
        <w:rPr>
          <w:spacing w:val="-1"/>
        </w:rPr>
        <w:t xml:space="preserve"> </w:t>
      </w:r>
      <w:r>
        <w:t>o</w:t>
      </w:r>
      <w:r>
        <w:rPr>
          <w:spacing w:val="-1"/>
        </w:rPr>
        <w:t xml:space="preserve"> </w:t>
      </w:r>
      <w:r>
        <w:t>papel</w:t>
      </w:r>
      <w:r>
        <w:rPr>
          <w:spacing w:val="-1"/>
        </w:rPr>
        <w:t xml:space="preserve"> </w:t>
      </w:r>
      <w:r>
        <w:t>da sociedade civil (aqui eventualmente referenciada também como Terceiro Setor) como protagonista para atender e satisfazer o interesse público em determinadas áreas.</w:t>
      </w:r>
    </w:p>
    <w:p w:rsidR="007259F2" w:rsidRDefault="00E655B4">
      <w:pPr>
        <w:pStyle w:val="Corpodetexto"/>
        <w:ind w:right="991"/>
      </w:pPr>
      <w:r>
        <w:t>Consonante com o princípio da subsidiariedade, a interferência estatal na dinâmica</w:t>
      </w:r>
      <w:r>
        <w:rPr>
          <w:spacing w:val="-2"/>
        </w:rPr>
        <w:t xml:space="preserve"> </w:t>
      </w:r>
      <w:r>
        <w:t>da</w:t>
      </w:r>
      <w:r>
        <w:rPr>
          <w:spacing w:val="-1"/>
        </w:rPr>
        <w:t xml:space="preserve"> </w:t>
      </w:r>
      <w:r>
        <w:t>sociedade</w:t>
      </w:r>
      <w:r>
        <w:rPr>
          <w:spacing w:val="-1"/>
        </w:rPr>
        <w:t xml:space="preserve"> </w:t>
      </w:r>
      <w:r>
        <w:t>deve</w:t>
      </w:r>
      <w:r>
        <w:rPr>
          <w:spacing w:val="-1"/>
        </w:rPr>
        <w:t xml:space="preserve"> </w:t>
      </w:r>
      <w:r>
        <w:t>se</w:t>
      </w:r>
      <w:r>
        <w:rPr>
          <w:spacing w:val="-1"/>
        </w:rPr>
        <w:t xml:space="preserve"> </w:t>
      </w:r>
      <w:r>
        <w:t>restringir</w:t>
      </w:r>
      <w:r>
        <w:rPr>
          <w:spacing w:val="-1"/>
        </w:rPr>
        <w:t xml:space="preserve"> </w:t>
      </w:r>
      <w:r>
        <w:t>aos casos em que</w:t>
      </w:r>
      <w:r>
        <w:rPr>
          <w:spacing w:val="-1"/>
        </w:rPr>
        <w:t xml:space="preserve"> </w:t>
      </w:r>
      <w:r>
        <w:t>esta,</w:t>
      </w:r>
      <w:r>
        <w:rPr>
          <w:spacing w:val="-1"/>
        </w:rPr>
        <w:t xml:space="preserve"> </w:t>
      </w:r>
      <w:r>
        <w:t>por</w:t>
      </w:r>
      <w:r>
        <w:rPr>
          <w:spacing w:val="-1"/>
        </w:rPr>
        <w:t xml:space="preserve"> </w:t>
      </w:r>
      <w:r>
        <w:t>si só,</w:t>
      </w:r>
      <w:r>
        <w:rPr>
          <w:spacing w:val="-2"/>
        </w:rPr>
        <w:t xml:space="preserve"> </w:t>
      </w:r>
      <w:r>
        <w:t>não seja</w:t>
      </w:r>
      <w:r>
        <w:rPr>
          <w:spacing w:val="-1"/>
        </w:rPr>
        <w:t xml:space="preserve"> </w:t>
      </w:r>
      <w:r>
        <w:t>capaz de exercer suas atividades de forma a garantir a promoção do interesse coletivo, fiscalizando e regulando</w:t>
      </w:r>
      <w:r>
        <w:rPr>
          <w:spacing w:val="40"/>
        </w:rPr>
        <w:t xml:space="preserve"> </w:t>
      </w:r>
      <w:r>
        <w:t>essas atividades com o intuito de promover a liberdade da iniciativa privada ao mesmo passo em que evita desequilíbrios na justiça social.</w:t>
      </w:r>
    </w:p>
    <w:p w:rsidR="007259F2" w:rsidRDefault="007259F2">
      <w:pPr>
        <w:pStyle w:val="Corpodetexto"/>
        <w:ind w:left="0" w:firstLine="0"/>
        <w:jc w:val="left"/>
        <w:rPr>
          <w:sz w:val="20"/>
        </w:rPr>
      </w:pPr>
    </w:p>
    <w:p w:rsidR="007259F2" w:rsidRDefault="00DE6B1C">
      <w:pPr>
        <w:pStyle w:val="Corpodetexto"/>
        <w:spacing w:before="22"/>
        <w:ind w:left="0" w:firstLine="0"/>
        <w:jc w:val="left"/>
        <w:rPr>
          <w:sz w:val="20"/>
        </w:rPr>
      </w:pPr>
      <w:r w:rsidRPr="00DE6B1C">
        <w:rPr>
          <w:sz w:val="20"/>
        </w:rPr>
        <w:pict>
          <v:rect id="docshape199" o:spid="_x0000_s1032" style="position:absolute;margin-left:85.1pt;margin-top:13.8pt;width:2in;height:.7pt;z-index:-15637504;mso-wrap-distance-left:0;mso-wrap-distance-right:0;mso-position-horizontal-relative:page" fillcolor="black" stroked="f">
            <w10:wrap type="topAndBottom" anchorx="page"/>
          </v:rect>
        </w:pict>
      </w:r>
    </w:p>
    <w:p w:rsidR="007259F2" w:rsidRDefault="00E655B4">
      <w:pPr>
        <w:spacing w:before="96"/>
        <w:ind w:left="710" w:right="990"/>
        <w:rPr>
          <w:sz w:val="20"/>
        </w:rPr>
      </w:pPr>
      <w:r>
        <w:rPr>
          <w:sz w:val="20"/>
          <w:vertAlign w:val="superscript"/>
        </w:rPr>
        <w:t>1</w:t>
      </w:r>
      <w:r>
        <w:rPr>
          <w:spacing w:val="28"/>
          <w:sz w:val="20"/>
        </w:rPr>
        <w:t xml:space="preserve"> </w:t>
      </w:r>
      <w:r>
        <w:rPr>
          <w:sz w:val="20"/>
        </w:rPr>
        <w:t>Residente</w:t>
      </w:r>
      <w:r>
        <w:rPr>
          <w:spacing w:val="28"/>
          <w:sz w:val="20"/>
        </w:rPr>
        <w:t xml:space="preserve"> </w:t>
      </w:r>
      <w:r>
        <w:rPr>
          <w:sz w:val="20"/>
        </w:rPr>
        <w:t>Jurídico</w:t>
      </w:r>
      <w:r>
        <w:rPr>
          <w:spacing w:val="29"/>
          <w:sz w:val="20"/>
        </w:rPr>
        <w:t xml:space="preserve"> </w:t>
      </w:r>
      <w:r>
        <w:rPr>
          <w:sz w:val="20"/>
        </w:rPr>
        <w:t>do</w:t>
      </w:r>
      <w:r>
        <w:rPr>
          <w:spacing w:val="29"/>
          <w:sz w:val="20"/>
        </w:rPr>
        <w:t xml:space="preserve"> </w:t>
      </w:r>
      <w:r>
        <w:rPr>
          <w:sz w:val="20"/>
        </w:rPr>
        <w:t>Programa</w:t>
      </w:r>
      <w:r>
        <w:rPr>
          <w:spacing w:val="28"/>
          <w:sz w:val="20"/>
        </w:rPr>
        <w:t xml:space="preserve"> </w:t>
      </w:r>
      <w:r>
        <w:rPr>
          <w:sz w:val="20"/>
        </w:rPr>
        <w:t>de</w:t>
      </w:r>
      <w:r>
        <w:rPr>
          <w:spacing w:val="28"/>
          <w:sz w:val="20"/>
        </w:rPr>
        <w:t xml:space="preserve"> </w:t>
      </w:r>
      <w:r>
        <w:rPr>
          <w:sz w:val="20"/>
        </w:rPr>
        <w:t>Residência</w:t>
      </w:r>
      <w:r>
        <w:rPr>
          <w:spacing w:val="28"/>
          <w:sz w:val="20"/>
        </w:rPr>
        <w:t xml:space="preserve"> </w:t>
      </w:r>
      <w:r>
        <w:rPr>
          <w:sz w:val="20"/>
        </w:rPr>
        <w:t>Jurídica</w:t>
      </w:r>
      <w:r>
        <w:rPr>
          <w:spacing w:val="31"/>
          <w:sz w:val="20"/>
        </w:rPr>
        <w:t xml:space="preserve"> </w:t>
      </w:r>
      <w:r>
        <w:rPr>
          <w:sz w:val="20"/>
        </w:rPr>
        <w:t>da</w:t>
      </w:r>
      <w:r>
        <w:rPr>
          <w:spacing w:val="28"/>
          <w:sz w:val="20"/>
        </w:rPr>
        <w:t xml:space="preserve"> </w:t>
      </w:r>
      <w:r>
        <w:rPr>
          <w:sz w:val="20"/>
        </w:rPr>
        <w:t>Procuradoria</w:t>
      </w:r>
      <w:r>
        <w:rPr>
          <w:spacing w:val="32"/>
          <w:sz w:val="20"/>
        </w:rPr>
        <w:t xml:space="preserve"> </w:t>
      </w:r>
      <w:r>
        <w:rPr>
          <w:sz w:val="20"/>
        </w:rPr>
        <w:t>Geral</w:t>
      </w:r>
      <w:r>
        <w:rPr>
          <w:spacing w:val="28"/>
          <w:sz w:val="20"/>
        </w:rPr>
        <w:t xml:space="preserve"> </w:t>
      </w:r>
      <w:r>
        <w:rPr>
          <w:sz w:val="20"/>
        </w:rPr>
        <w:t>do</w:t>
      </w:r>
      <w:r>
        <w:rPr>
          <w:spacing w:val="30"/>
          <w:sz w:val="20"/>
        </w:rPr>
        <w:t xml:space="preserve"> </w:t>
      </w:r>
      <w:r>
        <w:rPr>
          <w:sz w:val="20"/>
        </w:rPr>
        <w:t>Município</w:t>
      </w:r>
      <w:r>
        <w:rPr>
          <w:spacing w:val="29"/>
          <w:sz w:val="20"/>
        </w:rPr>
        <w:t xml:space="preserve"> </w:t>
      </w:r>
      <w:r>
        <w:rPr>
          <w:sz w:val="20"/>
        </w:rPr>
        <w:t>de</w:t>
      </w:r>
      <w:r>
        <w:rPr>
          <w:spacing w:val="28"/>
          <w:sz w:val="20"/>
        </w:rPr>
        <w:t xml:space="preserve"> </w:t>
      </w:r>
      <w:r>
        <w:rPr>
          <w:sz w:val="20"/>
        </w:rPr>
        <w:t>São Paulo, alocado no Departamento Judicial - JUD</w:t>
      </w:r>
      <w:r>
        <w:rPr>
          <w:spacing w:val="40"/>
          <w:sz w:val="20"/>
        </w:rPr>
        <w:t xml:space="preserve"> </w:t>
      </w:r>
      <w:r>
        <w:rPr>
          <w:sz w:val="20"/>
        </w:rPr>
        <w:t xml:space="preserve">(2022-2025). E-mail: </w:t>
      </w:r>
      <w:hyperlink r:id="rId444">
        <w:r>
          <w:rPr>
            <w:sz w:val="20"/>
          </w:rPr>
          <w:t>rmpm.97@outlook.com</w:t>
        </w:r>
      </w:hyperlink>
    </w:p>
    <w:p w:rsidR="007259F2" w:rsidRDefault="007259F2">
      <w:pPr>
        <w:rPr>
          <w:sz w:val="20"/>
        </w:rPr>
        <w:sectPr w:rsidR="007259F2">
          <w:footerReference w:type="default" r:id="rId445"/>
          <w:pgSz w:w="11910" w:h="16840"/>
          <w:pgMar w:top="1320" w:right="708" w:bottom="280" w:left="992" w:header="0" w:footer="0" w:gutter="0"/>
          <w:cols w:space="720"/>
        </w:sectPr>
      </w:pPr>
    </w:p>
    <w:p w:rsidR="007259F2" w:rsidRDefault="00E655B4">
      <w:pPr>
        <w:pStyle w:val="Corpodetexto"/>
        <w:spacing w:before="69"/>
        <w:ind w:left="1418" w:firstLine="0"/>
      </w:pPr>
      <w:r>
        <w:lastRenderedPageBreak/>
        <w:t>Em</w:t>
      </w:r>
      <w:r>
        <w:rPr>
          <w:spacing w:val="17"/>
        </w:rPr>
        <w:t xml:space="preserve"> </w:t>
      </w:r>
      <w:r>
        <w:t>âmbito</w:t>
      </w:r>
      <w:r>
        <w:rPr>
          <w:spacing w:val="20"/>
        </w:rPr>
        <w:t xml:space="preserve"> </w:t>
      </w:r>
      <w:r>
        <w:t>nacional,</w:t>
      </w:r>
      <w:r>
        <w:rPr>
          <w:spacing w:val="20"/>
        </w:rPr>
        <w:t xml:space="preserve"> </w:t>
      </w:r>
      <w:r>
        <w:t>a</w:t>
      </w:r>
      <w:r>
        <w:rPr>
          <w:spacing w:val="18"/>
        </w:rPr>
        <w:t xml:space="preserve"> </w:t>
      </w:r>
      <w:r>
        <w:t>chamada</w:t>
      </w:r>
      <w:r>
        <w:rPr>
          <w:spacing w:val="18"/>
        </w:rPr>
        <w:t xml:space="preserve"> </w:t>
      </w:r>
      <w:r>
        <w:t>Reforma</w:t>
      </w:r>
      <w:r>
        <w:rPr>
          <w:spacing w:val="19"/>
        </w:rPr>
        <w:t xml:space="preserve"> </w:t>
      </w:r>
      <w:r>
        <w:t>Administrativa</w:t>
      </w:r>
      <w:r>
        <w:rPr>
          <w:spacing w:val="18"/>
        </w:rPr>
        <w:t xml:space="preserve"> </w:t>
      </w:r>
      <w:r>
        <w:t>iniciada</w:t>
      </w:r>
      <w:r>
        <w:rPr>
          <w:spacing w:val="18"/>
        </w:rPr>
        <w:t xml:space="preserve"> </w:t>
      </w:r>
      <w:r>
        <w:t>na</w:t>
      </w:r>
      <w:r>
        <w:rPr>
          <w:spacing w:val="19"/>
        </w:rPr>
        <w:t xml:space="preserve"> </w:t>
      </w:r>
      <w:r>
        <w:t>década</w:t>
      </w:r>
      <w:r>
        <w:rPr>
          <w:spacing w:val="19"/>
        </w:rPr>
        <w:t xml:space="preserve"> </w:t>
      </w:r>
      <w:r>
        <w:rPr>
          <w:spacing w:val="-5"/>
        </w:rPr>
        <w:t>de</w:t>
      </w:r>
    </w:p>
    <w:p w:rsidR="007259F2" w:rsidRDefault="00E655B4">
      <w:pPr>
        <w:pStyle w:val="Corpodetexto"/>
        <w:spacing w:before="1"/>
        <w:ind w:right="990" w:firstLine="0"/>
      </w:pPr>
      <w:r>
        <w:t>90 do século passado e que se estende até os dias atuais, possui como um dos pressupostos estruturantes de sua proposta reformadora uma ênfase em um modelo de gestão gerencial e maior presença da iniciativa privada na execução dos serviços públicos</w:t>
      </w:r>
      <w:r>
        <w:rPr>
          <w:spacing w:val="40"/>
        </w:rPr>
        <w:t xml:space="preserve"> </w:t>
      </w:r>
      <w:r>
        <w:t>e</w:t>
      </w:r>
      <w:r>
        <w:rPr>
          <w:spacing w:val="40"/>
        </w:rPr>
        <w:t xml:space="preserve"> </w:t>
      </w:r>
      <w:r>
        <w:t>na</w:t>
      </w:r>
      <w:r>
        <w:rPr>
          <w:spacing w:val="40"/>
        </w:rPr>
        <w:t xml:space="preserve"> </w:t>
      </w:r>
      <w:r>
        <w:t>gestão</w:t>
      </w:r>
      <w:r>
        <w:rPr>
          <w:spacing w:val="40"/>
        </w:rPr>
        <w:t xml:space="preserve"> </w:t>
      </w:r>
      <w:r>
        <w:t>da</w:t>
      </w:r>
      <w:r>
        <w:rPr>
          <w:spacing w:val="40"/>
        </w:rPr>
        <w:t xml:space="preserve"> </w:t>
      </w:r>
      <w:r>
        <w:t>coisa</w:t>
      </w:r>
      <w:r>
        <w:rPr>
          <w:spacing w:val="40"/>
        </w:rPr>
        <w:t xml:space="preserve"> </w:t>
      </w:r>
      <w:r>
        <w:t>pública.</w:t>
      </w:r>
      <w:r>
        <w:rPr>
          <w:spacing w:val="40"/>
        </w:rPr>
        <w:t xml:space="preserve"> </w:t>
      </w:r>
      <w:r>
        <w:t>Uma</w:t>
      </w:r>
      <w:r>
        <w:rPr>
          <w:spacing w:val="40"/>
        </w:rPr>
        <w:t xml:space="preserve"> </w:t>
      </w:r>
      <w:r>
        <w:t>das</w:t>
      </w:r>
      <w:r>
        <w:rPr>
          <w:spacing w:val="40"/>
        </w:rPr>
        <w:t xml:space="preserve"> </w:t>
      </w:r>
      <w:r>
        <w:t>suas</w:t>
      </w:r>
      <w:r>
        <w:rPr>
          <w:spacing w:val="40"/>
        </w:rPr>
        <w:t xml:space="preserve"> </w:t>
      </w:r>
      <w:r>
        <w:t>características</w:t>
      </w:r>
      <w:r>
        <w:rPr>
          <w:spacing w:val="40"/>
        </w:rPr>
        <w:t xml:space="preserve"> </w:t>
      </w:r>
      <w:r>
        <w:t>principais consiste,</w:t>
      </w:r>
      <w:r>
        <w:rPr>
          <w:spacing w:val="40"/>
        </w:rPr>
        <w:t xml:space="preserve"> </w:t>
      </w:r>
      <w:r>
        <w:t>basicamente,</w:t>
      </w:r>
      <w:r>
        <w:rPr>
          <w:spacing w:val="40"/>
        </w:rPr>
        <w:t xml:space="preserve"> </w:t>
      </w:r>
      <w:r>
        <w:t>na</w:t>
      </w:r>
      <w:r>
        <w:rPr>
          <w:spacing w:val="40"/>
        </w:rPr>
        <w:t xml:space="preserve"> </w:t>
      </w:r>
      <w:r>
        <w:t>prevalência</w:t>
      </w:r>
      <w:r>
        <w:rPr>
          <w:spacing w:val="40"/>
        </w:rPr>
        <w:t xml:space="preserve"> </w:t>
      </w:r>
      <w:r>
        <w:t>de parcerias firmadas entre o Estado e a sociedade civil organizada (Terceiro Setor) para a prestação de serviços públicos de forma mais eficiente, econômica e efetiva.</w:t>
      </w:r>
    </w:p>
    <w:p w:rsidR="007259F2" w:rsidRDefault="00E655B4">
      <w:pPr>
        <w:pStyle w:val="Corpodetexto"/>
        <w:ind w:right="989"/>
      </w:pPr>
      <w:r>
        <w:t>Surge nesse contexto reformador as Organizações Sociais (OS), pessoa jurídica de direito privado, legalmente qualificada como tal, sem qualquer finalidade lucrativa, que juntamente com o Estado, executa atividades de interesse público em ramos específicos da prestação estatal e das necessidades coletivas da sociedade, como atividades voltadas ao ensino, ao meio ambiente, à cultura, à pesquisa científica e tecnológica e à saúde.</w:t>
      </w:r>
    </w:p>
    <w:p w:rsidR="007259F2" w:rsidRDefault="00E655B4">
      <w:pPr>
        <w:pStyle w:val="Corpodetexto"/>
        <w:spacing w:before="1"/>
        <w:ind w:right="989"/>
      </w:pPr>
      <w:r>
        <w:t>Na prática, as Organizações Sociais (OSs) ou as também chamadas</w:t>
      </w:r>
      <w:r>
        <w:rPr>
          <w:spacing w:val="40"/>
        </w:rPr>
        <w:t xml:space="preserve"> </w:t>
      </w:r>
      <w:r>
        <w:t>Organizações da Sociedade Civil (OSCs) - a diferença destas últimas é que ainda não obtiveram a qualificação como Organização Social (OS) - possuem plena compatibilidade com o ordenamento jurídico vigente, promovendo ações que contribuem com um aprimoramento na prestação de serviços públicos por parte da inciativa privada de forma autônoma, porém, sempre de forma complementar ao dever estatal de prestação e garantia de certos serviços essenciais, como saúde, educação etc.</w:t>
      </w:r>
    </w:p>
    <w:p w:rsidR="007259F2" w:rsidRDefault="00E655B4">
      <w:pPr>
        <w:pStyle w:val="Corpodetexto"/>
        <w:ind w:right="991"/>
      </w:pPr>
      <w:r>
        <w:t>Tomando como referência uma conceituação doutrinária, reafirma-se que a transferência em caráter temporário da execução e gestão de determinados serviços prestados</w:t>
      </w:r>
      <w:r>
        <w:rPr>
          <w:spacing w:val="40"/>
        </w:rPr>
        <w:t xml:space="preserve"> </w:t>
      </w:r>
      <w:r>
        <w:t>à sociedade em que a prestação estatal deva incidir, possui consonância com as necessidades sociais modernas e com o perfil atual do Estado brasileiro, encontrando também respaldo no ordenamento jurídico então vigente, materializando-se nos chamados Contratos de Gestão e nos preceitos da Lei nº 9637 de 15 de Maio de 1998, que dispõe sobre a qualificação das entidades como Organizações Sociais, conforme pode-se observar nos artigos abaixo elencados:</w:t>
      </w:r>
    </w:p>
    <w:p w:rsidR="007259F2" w:rsidRDefault="007259F2">
      <w:pPr>
        <w:pStyle w:val="Corpodetexto"/>
        <w:spacing w:before="1"/>
        <w:ind w:left="0" w:firstLine="0"/>
        <w:jc w:val="left"/>
      </w:pPr>
    </w:p>
    <w:p w:rsidR="007259F2" w:rsidRDefault="00E655B4">
      <w:pPr>
        <w:spacing w:before="1"/>
        <w:ind w:left="2978" w:right="994"/>
        <w:jc w:val="both"/>
        <w:rPr>
          <w:sz w:val="20"/>
        </w:rPr>
      </w:pPr>
      <w:r>
        <w:rPr>
          <w:sz w:val="20"/>
        </w:rPr>
        <w:t>Art. 5º Para os efeitos desta Lei, entende-se por contrato de gestão o instrumento firmado entre o Poder Público e a entidade qualificada como organização social, com vistas à formação de parceria entre as partes para fomento e execução de atividades relativas às áreas relacionadas no art. 1º.</w:t>
      </w:r>
    </w:p>
    <w:p w:rsidR="007259F2" w:rsidRDefault="00E655B4">
      <w:pPr>
        <w:ind w:left="2978" w:right="997"/>
        <w:jc w:val="both"/>
        <w:rPr>
          <w:sz w:val="20"/>
        </w:rPr>
      </w:pPr>
      <w:r>
        <w:rPr>
          <w:sz w:val="20"/>
        </w:rPr>
        <w:t>Art. 6º O contrato de gestão, elaborado de comum acordo entre o órgão ou entidade supervisora e a organização social, discriminará as atribuições, responsabilidades e obrigações do Poder Público e da organização social.</w:t>
      </w:r>
    </w:p>
    <w:p w:rsidR="007259F2" w:rsidRDefault="00E655B4">
      <w:pPr>
        <w:spacing w:before="1"/>
        <w:ind w:left="2978" w:right="995"/>
        <w:jc w:val="both"/>
        <w:rPr>
          <w:sz w:val="20"/>
        </w:rPr>
      </w:pPr>
      <w:r>
        <w:rPr>
          <w:sz w:val="20"/>
        </w:rPr>
        <w:t>Parágrafo único. O contrato de gestão deve ser submetido, após aprovação pelo Conselho de Administração da entidade, ao Ministro de Estado ou autoridade supervisora da área correspondente à atividade fomentada.</w:t>
      </w:r>
    </w:p>
    <w:p w:rsidR="007259F2" w:rsidRDefault="00E655B4">
      <w:pPr>
        <w:ind w:left="2978" w:right="990"/>
        <w:jc w:val="both"/>
        <w:rPr>
          <w:sz w:val="20"/>
        </w:rPr>
      </w:pPr>
      <w:r>
        <w:rPr>
          <w:sz w:val="20"/>
        </w:rPr>
        <w:t>Art. 7º Na elaboração do contrato de gestão, devem ser observados os princípios da legalidade, impessoalidade, moralidade, publicidade, economicidade e, também, os seguintes preceitos: (...)</w:t>
      </w:r>
    </w:p>
    <w:p w:rsidR="007259F2" w:rsidRDefault="007259F2">
      <w:pPr>
        <w:pStyle w:val="Corpodetexto"/>
        <w:spacing w:before="1"/>
        <w:ind w:left="0" w:firstLine="0"/>
        <w:jc w:val="left"/>
        <w:rPr>
          <w:sz w:val="20"/>
        </w:rPr>
      </w:pPr>
    </w:p>
    <w:p w:rsidR="007259F2" w:rsidRDefault="00E655B4">
      <w:pPr>
        <w:pStyle w:val="Corpodetexto"/>
        <w:ind w:right="990"/>
      </w:pPr>
      <w:r>
        <w:t>A legislação Municipal de São Paulo em seu âmbito, também regulamentou a qualificação das entidades sem fins lucrativos como Organizações Sociais (OS), encartando</w:t>
      </w:r>
      <w:r>
        <w:rPr>
          <w:spacing w:val="40"/>
        </w:rPr>
        <w:t xml:space="preserve"> </w:t>
      </w:r>
      <w:r>
        <w:t>no bojo da Lei Municipal nº 14.132 de 24 de Janeiro de 2006 os preceitos e requisitos para essa finalidade.</w:t>
      </w:r>
    </w:p>
    <w:p w:rsidR="007259F2" w:rsidRDefault="00E655B4">
      <w:pPr>
        <w:pStyle w:val="Corpodetexto"/>
        <w:spacing w:before="1"/>
        <w:ind w:right="989"/>
      </w:pPr>
      <w:r>
        <w:t>Doutrinariamente, pode-se valer de uma conceituação trazida por Raquel Melo Urbano de Carvalho que define Organização Social da seguinte forma:</w:t>
      </w:r>
    </w:p>
    <w:p w:rsidR="007259F2" w:rsidRDefault="007259F2">
      <w:pPr>
        <w:pStyle w:val="Corpodetexto"/>
        <w:spacing w:before="1"/>
        <w:ind w:left="0" w:firstLine="0"/>
        <w:jc w:val="left"/>
      </w:pPr>
    </w:p>
    <w:p w:rsidR="007259F2" w:rsidRDefault="00E655B4">
      <w:pPr>
        <w:ind w:left="2978" w:right="998"/>
        <w:jc w:val="both"/>
        <w:rPr>
          <w:sz w:val="20"/>
        </w:rPr>
      </w:pPr>
      <w:r>
        <w:rPr>
          <w:sz w:val="20"/>
        </w:rPr>
        <w:t>Organização</w:t>
      </w:r>
      <w:r>
        <w:rPr>
          <w:spacing w:val="-1"/>
          <w:sz w:val="20"/>
        </w:rPr>
        <w:t xml:space="preserve"> </w:t>
      </w:r>
      <w:r>
        <w:rPr>
          <w:sz w:val="20"/>
        </w:rPr>
        <w:t>Social</w:t>
      </w:r>
      <w:r>
        <w:rPr>
          <w:spacing w:val="-2"/>
          <w:sz w:val="20"/>
        </w:rPr>
        <w:t xml:space="preserve"> </w:t>
      </w:r>
      <w:r>
        <w:rPr>
          <w:sz w:val="20"/>
        </w:rPr>
        <w:t>é</w:t>
      </w:r>
      <w:r>
        <w:rPr>
          <w:spacing w:val="-2"/>
          <w:sz w:val="20"/>
        </w:rPr>
        <w:t xml:space="preserve"> </w:t>
      </w:r>
      <w:r>
        <w:rPr>
          <w:sz w:val="20"/>
        </w:rPr>
        <w:t>a</w:t>
      </w:r>
      <w:r>
        <w:rPr>
          <w:spacing w:val="-2"/>
          <w:sz w:val="20"/>
        </w:rPr>
        <w:t xml:space="preserve"> </w:t>
      </w:r>
      <w:r>
        <w:rPr>
          <w:sz w:val="20"/>
        </w:rPr>
        <w:t>pessoa</w:t>
      </w:r>
      <w:r>
        <w:rPr>
          <w:spacing w:val="-2"/>
          <w:sz w:val="20"/>
        </w:rPr>
        <w:t xml:space="preserve"> </w:t>
      </w:r>
      <w:r>
        <w:rPr>
          <w:sz w:val="20"/>
        </w:rPr>
        <w:t>jurídica</w:t>
      </w:r>
      <w:r>
        <w:rPr>
          <w:spacing w:val="-4"/>
          <w:sz w:val="20"/>
        </w:rPr>
        <w:t xml:space="preserve"> </w:t>
      </w:r>
      <w:r>
        <w:rPr>
          <w:sz w:val="20"/>
        </w:rPr>
        <w:t>de</w:t>
      </w:r>
      <w:r>
        <w:rPr>
          <w:spacing w:val="-2"/>
          <w:sz w:val="20"/>
        </w:rPr>
        <w:t xml:space="preserve"> </w:t>
      </w:r>
      <w:r>
        <w:rPr>
          <w:sz w:val="20"/>
        </w:rPr>
        <w:t>direito</w:t>
      </w:r>
      <w:r>
        <w:rPr>
          <w:spacing w:val="-3"/>
          <w:sz w:val="20"/>
        </w:rPr>
        <w:t xml:space="preserve"> </w:t>
      </w:r>
      <w:r>
        <w:rPr>
          <w:sz w:val="20"/>
        </w:rPr>
        <w:t>privado,</w:t>
      </w:r>
      <w:r>
        <w:rPr>
          <w:spacing w:val="-4"/>
          <w:sz w:val="20"/>
        </w:rPr>
        <w:t xml:space="preserve"> </w:t>
      </w:r>
      <w:r>
        <w:rPr>
          <w:sz w:val="20"/>
        </w:rPr>
        <w:t>sem</w:t>
      </w:r>
      <w:r>
        <w:rPr>
          <w:spacing w:val="-3"/>
          <w:sz w:val="20"/>
        </w:rPr>
        <w:t xml:space="preserve"> </w:t>
      </w:r>
      <w:r>
        <w:rPr>
          <w:sz w:val="20"/>
        </w:rPr>
        <w:t>fins</w:t>
      </w:r>
      <w:r>
        <w:rPr>
          <w:spacing w:val="-2"/>
          <w:sz w:val="20"/>
        </w:rPr>
        <w:t xml:space="preserve"> </w:t>
      </w:r>
      <w:r>
        <w:rPr>
          <w:sz w:val="20"/>
        </w:rPr>
        <w:t>lucrativos, a</w:t>
      </w:r>
      <w:r>
        <w:rPr>
          <w:spacing w:val="2"/>
          <w:sz w:val="20"/>
        </w:rPr>
        <w:t xml:space="preserve"> </w:t>
      </w:r>
      <w:r>
        <w:rPr>
          <w:sz w:val="20"/>
        </w:rPr>
        <w:t>que</w:t>
      </w:r>
      <w:r>
        <w:rPr>
          <w:spacing w:val="41"/>
          <w:sz w:val="20"/>
        </w:rPr>
        <w:t xml:space="preserve"> </w:t>
      </w:r>
      <w:r>
        <w:rPr>
          <w:sz w:val="20"/>
        </w:rPr>
        <w:t>o</w:t>
      </w:r>
      <w:r>
        <w:rPr>
          <w:spacing w:val="3"/>
          <w:sz w:val="20"/>
        </w:rPr>
        <w:t xml:space="preserve"> </w:t>
      </w:r>
      <w:r>
        <w:rPr>
          <w:sz w:val="20"/>
        </w:rPr>
        <w:t>Poder</w:t>
      </w:r>
      <w:r>
        <w:rPr>
          <w:spacing w:val="1"/>
          <w:sz w:val="20"/>
        </w:rPr>
        <w:t xml:space="preserve"> </w:t>
      </w:r>
      <w:r>
        <w:rPr>
          <w:sz w:val="20"/>
        </w:rPr>
        <w:t>Público</w:t>
      </w:r>
      <w:r>
        <w:rPr>
          <w:spacing w:val="3"/>
          <w:sz w:val="20"/>
        </w:rPr>
        <w:t xml:space="preserve"> </w:t>
      </w:r>
      <w:r>
        <w:rPr>
          <w:sz w:val="20"/>
        </w:rPr>
        <w:t>outorga</w:t>
      </w:r>
      <w:r>
        <w:rPr>
          <w:spacing w:val="2"/>
          <w:sz w:val="20"/>
        </w:rPr>
        <w:t xml:space="preserve"> </w:t>
      </w:r>
      <w:r>
        <w:rPr>
          <w:sz w:val="20"/>
        </w:rPr>
        <w:t>qualificação</w:t>
      </w:r>
      <w:r>
        <w:rPr>
          <w:spacing w:val="4"/>
          <w:sz w:val="20"/>
        </w:rPr>
        <w:t xml:space="preserve"> </w:t>
      </w:r>
      <w:r>
        <w:rPr>
          <w:sz w:val="20"/>
        </w:rPr>
        <w:t>específica</w:t>
      </w:r>
      <w:r>
        <w:rPr>
          <w:spacing w:val="2"/>
          <w:sz w:val="20"/>
        </w:rPr>
        <w:t xml:space="preserve"> </w:t>
      </w:r>
      <w:r>
        <w:rPr>
          <w:sz w:val="20"/>
        </w:rPr>
        <w:t>que</w:t>
      </w:r>
      <w:r>
        <w:rPr>
          <w:spacing w:val="5"/>
          <w:sz w:val="20"/>
        </w:rPr>
        <w:t xml:space="preserve"> </w:t>
      </w:r>
      <w:r>
        <w:rPr>
          <w:sz w:val="20"/>
        </w:rPr>
        <w:t>a</w:t>
      </w:r>
      <w:r>
        <w:rPr>
          <w:spacing w:val="3"/>
          <w:sz w:val="20"/>
        </w:rPr>
        <w:t xml:space="preserve"> </w:t>
      </w:r>
      <w:r>
        <w:rPr>
          <w:sz w:val="20"/>
        </w:rPr>
        <w:t>habilita</w:t>
      </w:r>
      <w:r>
        <w:rPr>
          <w:spacing w:val="2"/>
          <w:sz w:val="20"/>
        </w:rPr>
        <w:t xml:space="preserve"> </w:t>
      </w:r>
      <w:r>
        <w:rPr>
          <w:sz w:val="20"/>
        </w:rPr>
        <w:t>a</w:t>
      </w:r>
      <w:r>
        <w:rPr>
          <w:spacing w:val="2"/>
          <w:sz w:val="20"/>
        </w:rPr>
        <w:t xml:space="preserve"> </w:t>
      </w:r>
      <w:r>
        <w:rPr>
          <w:spacing w:val="-2"/>
          <w:sz w:val="20"/>
        </w:rPr>
        <w:t>firmar</w:t>
      </w:r>
    </w:p>
    <w:p w:rsidR="007259F2" w:rsidRDefault="007259F2">
      <w:pPr>
        <w:jc w:val="both"/>
        <w:rPr>
          <w:sz w:val="20"/>
        </w:rPr>
        <w:sectPr w:rsidR="007259F2">
          <w:footerReference w:type="default" r:id="rId446"/>
          <w:pgSz w:w="11910" w:h="16840"/>
          <w:pgMar w:top="1320" w:right="708" w:bottom="280" w:left="992" w:header="0" w:footer="0" w:gutter="0"/>
          <w:cols w:space="720"/>
        </w:sectPr>
      </w:pPr>
    </w:p>
    <w:p w:rsidR="007259F2" w:rsidRDefault="00E655B4">
      <w:pPr>
        <w:spacing w:before="71"/>
        <w:ind w:left="2978" w:right="990"/>
        <w:jc w:val="both"/>
        <w:rPr>
          <w:sz w:val="20"/>
        </w:rPr>
      </w:pPr>
      <w:r>
        <w:rPr>
          <w:sz w:val="20"/>
        </w:rPr>
        <w:lastRenderedPageBreak/>
        <w:t>contrato de gestão, cujo objeto é o exercício de atividades não exclusivas, pertinentes aos setores de saúde, educação, pesquisa científica e desenvolvimento tecnológico, proteção e preservação do meio ambiente. (CARVALHO, 2009, p. 928)</w:t>
      </w:r>
    </w:p>
    <w:p w:rsidR="007259F2" w:rsidRDefault="007259F2">
      <w:pPr>
        <w:pStyle w:val="Corpodetexto"/>
        <w:spacing w:before="1"/>
        <w:ind w:left="0" w:firstLine="0"/>
        <w:jc w:val="left"/>
        <w:rPr>
          <w:sz w:val="20"/>
        </w:rPr>
      </w:pPr>
    </w:p>
    <w:p w:rsidR="007259F2" w:rsidRDefault="00E655B4">
      <w:pPr>
        <w:pStyle w:val="Corpodetexto"/>
        <w:ind w:right="990"/>
      </w:pPr>
      <w:r>
        <w:t>Ademais, apenas a título elucidativo, cabe registrar uma distinção entre o chamado Contrato de Gestão (instrumento público de contratação aplicado ao caso concreto em estudo) e outros três instrumentos de cooperação/contratação utilizados pelo Poder Público para firmar parcerias público-privadas para o atingimento de determinadas finalidades. Estes outros instrumentos são os chamados Termo de Colaboração,</w:t>
      </w:r>
      <w:r>
        <w:rPr>
          <w:spacing w:val="32"/>
        </w:rPr>
        <w:t xml:space="preserve"> </w:t>
      </w:r>
      <w:r>
        <w:t>Termo</w:t>
      </w:r>
      <w:r>
        <w:rPr>
          <w:spacing w:val="32"/>
        </w:rPr>
        <w:t xml:space="preserve"> </w:t>
      </w:r>
      <w:r>
        <w:t>de</w:t>
      </w:r>
      <w:r>
        <w:rPr>
          <w:spacing w:val="33"/>
        </w:rPr>
        <w:t xml:space="preserve"> </w:t>
      </w:r>
      <w:r>
        <w:t>Fomento</w:t>
      </w:r>
      <w:r>
        <w:rPr>
          <w:spacing w:val="33"/>
        </w:rPr>
        <w:t xml:space="preserve"> </w:t>
      </w:r>
      <w:r>
        <w:t>e</w:t>
      </w:r>
      <w:r>
        <w:rPr>
          <w:spacing w:val="33"/>
        </w:rPr>
        <w:t xml:space="preserve"> </w:t>
      </w:r>
      <w:r>
        <w:t>o</w:t>
      </w:r>
      <w:r>
        <w:rPr>
          <w:spacing w:val="32"/>
        </w:rPr>
        <w:t xml:space="preserve"> </w:t>
      </w:r>
      <w:r>
        <w:t>Acordo</w:t>
      </w:r>
      <w:r>
        <w:rPr>
          <w:spacing w:val="32"/>
        </w:rPr>
        <w:t xml:space="preserve"> </w:t>
      </w:r>
      <w:r>
        <w:t>de</w:t>
      </w:r>
      <w:r>
        <w:rPr>
          <w:spacing w:val="34"/>
        </w:rPr>
        <w:t xml:space="preserve"> </w:t>
      </w:r>
      <w:r>
        <w:t>Cooperação,</w:t>
      </w:r>
      <w:r>
        <w:rPr>
          <w:spacing w:val="32"/>
        </w:rPr>
        <w:t xml:space="preserve"> </w:t>
      </w:r>
      <w:r>
        <w:t>todos</w:t>
      </w:r>
      <w:r>
        <w:rPr>
          <w:spacing w:val="32"/>
        </w:rPr>
        <w:t xml:space="preserve"> </w:t>
      </w:r>
      <w:r>
        <w:t>trazidos</w:t>
      </w:r>
      <w:r>
        <w:rPr>
          <w:spacing w:val="33"/>
        </w:rPr>
        <w:t xml:space="preserve"> </w:t>
      </w:r>
      <w:r>
        <w:t>pela</w:t>
      </w:r>
      <w:r>
        <w:rPr>
          <w:spacing w:val="35"/>
        </w:rPr>
        <w:t xml:space="preserve"> </w:t>
      </w:r>
      <w:r>
        <w:rPr>
          <w:spacing w:val="-5"/>
        </w:rPr>
        <w:t>Lei</w:t>
      </w:r>
    </w:p>
    <w:p w:rsidR="007259F2" w:rsidRDefault="00E655B4">
      <w:pPr>
        <w:pStyle w:val="Corpodetexto"/>
        <w:ind w:right="996" w:firstLine="0"/>
      </w:pPr>
      <w:r>
        <w:t>13.019 de 31 de Julho de 2014 e que possuem aplicabilidade específica divergente das hipóteses em que se utiliza o Contrato de Gestão.</w:t>
      </w:r>
    </w:p>
    <w:p w:rsidR="007259F2" w:rsidRDefault="00E655B4">
      <w:pPr>
        <w:pStyle w:val="Corpodetexto"/>
        <w:ind w:right="989"/>
      </w:pPr>
      <w:r>
        <w:t>Merece destaque - para dirimir qualquer dúvida sobre o arcabouço legislativo aplicado ao estudo de caso - a conceituação legislativa destes outros três instrumentos que segue</w:t>
      </w:r>
      <w:r>
        <w:rPr>
          <w:spacing w:val="40"/>
        </w:rPr>
        <w:t xml:space="preserve"> </w:t>
      </w:r>
      <w:r>
        <w:t>abaixo referenciada:</w:t>
      </w:r>
    </w:p>
    <w:p w:rsidR="007259F2" w:rsidRDefault="00E655B4">
      <w:pPr>
        <w:spacing w:before="124"/>
        <w:ind w:left="2978"/>
        <w:jc w:val="both"/>
        <w:rPr>
          <w:sz w:val="20"/>
        </w:rPr>
      </w:pPr>
      <w:r>
        <w:rPr>
          <w:sz w:val="20"/>
        </w:rPr>
        <w:t>Art.</w:t>
      </w:r>
      <w:r>
        <w:rPr>
          <w:spacing w:val="-7"/>
          <w:sz w:val="20"/>
        </w:rPr>
        <w:t xml:space="preserve"> </w:t>
      </w:r>
      <w:r>
        <w:rPr>
          <w:sz w:val="20"/>
        </w:rPr>
        <w:t>2º</w:t>
      </w:r>
      <w:r>
        <w:rPr>
          <w:spacing w:val="-7"/>
          <w:sz w:val="20"/>
        </w:rPr>
        <w:t xml:space="preserve"> </w:t>
      </w:r>
      <w:r>
        <w:rPr>
          <w:sz w:val="20"/>
        </w:rPr>
        <w:t>Para</w:t>
      </w:r>
      <w:r>
        <w:rPr>
          <w:spacing w:val="-8"/>
          <w:sz w:val="20"/>
        </w:rPr>
        <w:t xml:space="preserve"> </w:t>
      </w:r>
      <w:r>
        <w:rPr>
          <w:sz w:val="20"/>
        </w:rPr>
        <w:t>os</w:t>
      </w:r>
      <w:r>
        <w:rPr>
          <w:spacing w:val="-10"/>
          <w:sz w:val="20"/>
        </w:rPr>
        <w:t xml:space="preserve"> </w:t>
      </w:r>
      <w:r>
        <w:rPr>
          <w:sz w:val="20"/>
        </w:rPr>
        <w:t>fins</w:t>
      </w:r>
      <w:r>
        <w:rPr>
          <w:spacing w:val="-9"/>
          <w:sz w:val="20"/>
        </w:rPr>
        <w:t xml:space="preserve"> </w:t>
      </w:r>
      <w:r>
        <w:rPr>
          <w:sz w:val="20"/>
        </w:rPr>
        <w:t>desta</w:t>
      </w:r>
      <w:r>
        <w:rPr>
          <w:spacing w:val="-7"/>
          <w:sz w:val="20"/>
        </w:rPr>
        <w:t xml:space="preserve"> </w:t>
      </w:r>
      <w:r>
        <w:rPr>
          <w:sz w:val="20"/>
        </w:rPr>
        <w:t>Lei,</w:t>
      </w:r>
      <w:r>
        <w:rPr>
          <w:spacing w:val="-6"/>
          <w:sz w:val="20"/>
        </w:rPr>
        <w:t xml:space="preserve"> </w:t>
      </w:r>
      <w:r>
        <w:rPr>
          <w:sz w:val="20"/>
        </w:rPr>
        <w:t>considera-</w:t>
      </w:r>
      <w:r>
        <w:rPr>
          <w:spacing w:val="-5"/>
          <w:sz w:val="20"/>
        </w:rPr>
        <w:t>se:</w:t>
      </w:r>
    </w:p>
    <w:p w:rsidR="007259F2" w:rsidRDefault="007259F2">
      <w:pPr>
        <w:pStyle w:val="Corpodetexto"/>
        <w:spacing w:before="3"/>
        <w:ind w:left="0" w:firstLine="0"/>
        <w:jc w:val="left"/>
        <w:rPr>
          <w:sz w:val="20"/>
        </w:rPr>
      </w:pPr>
    </w:p>
    <w:p w:rsidR="007259F2" w:rsidRDefault="00E655B4">
      <w:pPr>
        <w:pStyle w:val="PargrafodaLista"/>
        <w:numPr>
          <w:ilvl w:val="0"/>
          <w:numId w:val="9"/>
        </w:numPr>
        <w:tabs>
          <w:tab w:val="left" w:pos="3095"/>
        </w:tabs>
        <w:spacing w:before="1"/>
        <w:ind w:left="3095" w:hanging="117"/>
        <w:jc w:val="both"/>
        <w:rPr>
          <w:sz w:val="20"/>
        </w:rPr>
      </w:pPr>
      <w:r>
        <w:rPr>
          <w:sz w:val="20"/>
        </w:rPr>
        <w:t>-</w:t>
      </w:r>
      <w:r>
        <w:rPr>
          <w:spacing w:val="-7"/>
          <w:sz w:val="20"/>
        </w:rPr>
        <w:t xml:space="preserve"> </w:t>
      </w:r>
      <w:r>
        <w:rPr>
          <w:sz w:val="20"/>
        </w:rPr>
        <w:t>organização</w:t>
      </w:r>
      <w:r>
        <w:rPr>
          <w:spacing w:val="-6"/>
          <w:sz w:val="20"/>
        </w:rPr>
        <w:t xml:space="preserve"> </w:t>
      </w:r>
      <w:r>
        <w:rPr>
          <w:sz w:val="20"/>
        </w:rPr>
        <w:t>da</w:t>
      </w:r>
      <w:r>
        <w:rPr>
          <w:spacing w:val="-8"/>
          <w:sz w:val="20"/>
        </w:rPr>
        <w:t xml:space="preserve"> </w:t>
      </w:r>
      <w:r>
        <w:rPr>
          <w:sz w:val="20"/>
        </w:rPr>
        <w:t>sociedade</w:t>
      </w:r>
      <w:r>
        <w:rPr>
          <w:spacing w:val="-10"/>
          <w:sz w:val="20"/>
        </w:rPr>
        <w:t xml:space="preserve"> </w:t>
      </w:r>
      <w:r>
        <w:rPr>
          <w:sz w:val="20"/>
        </w:rPr>
        <w:t>civil:</w:t>
      </w:r>
      <w:r>
        <w:rPr>
          <w:spacing w:val="-9"/>
          <w:sz w:val="20"/>
        </w:rPr>
        <w:t xml:space="preserve"> </w:t>
      </w:r>
      <w:r>
        <w:rPr>
          <w:sz w:val="20"/>
        </w:rPr>
        <w:t>(Redação</w:t>
      </w:r>
      <w:r>
        <w:rPr>
          <w:spacing w:val="-4"/>
          <w:sz w:val="20"/>
        </w:rPr>
        <w:t xml:space="preserve"> </w:t>
      </w:r>
      <w:r>
        <w:rPr>
          <w:sz w:val="20"/>
        </w:rPr>
        <w:t>dada</w:t>
      </w:r>
      <w:r>
        <w:rPr>
          <w:spacing w:val="-11"/>
          <w:sz w:val="20"/>
        </w:rPr>
        <w:t xml:space="preserve"> </w:t>
      </w:r>
      <w:r>
        <w:rPr>
          <w:sz w:val="20"/>
        </w:rPr>
        <w:t>pela</w:t>
      </w:r>
      <w:r>
        <w:rPr>
          <w:spacing w:val="-8"/>
          <w:sz w:val="20"/>
        </w:rPr>
        <w:t xml:space="preserve"> </w:t>
      </w:r>
      <w:r>
        <w:rPr>
          <w:sz w:val="20"/>
        </w:rPr>
        <w:t>Lei</w:t>
      </w:r>
      <w:r>
        <w:rPr>
          <w:spacing w:val="-6"/>
          <w:sz w:val="20"/>
        </w:rPr>
        <w:t xml:space="preserve"> </w:t>
      </w:r>
      <w:r>
        <w:rPr>
          <w:sz w:val="20"/>
        </w:rPr>
        <w:t>nº</w:t>
      </w:r>
      <w:r>
        <w:rPr>
          <w:spacing w:val="-8"/>
          <w:sz w:val="20"/>
        </w:rPr>
        <w:t xml:space="preserve"> </w:t>
      </w:r>
      <w:r>
        <w:rPr>
          <w:sz w:val="20"/>
        </w:rPr>
        <w:t>13.204,</w:t>
      </w:r>
      <w:r>
        <w:rPr>
          <w:spacing w:val="-9"/>
          <w:sz w:val="20"/>
        </w:rPr>
        <w:t xml:space="preserve"> </w:t>
      </w:r>
      <w:r>
        <w:rPr>
          <w:sz w:val="20"/>
        </w:rPr>
        <w:t>de</w:t>
      </w:r>
      <w:r>
        <w:rPr>
          <w:spacing w:val="-9"/>
          <w:sz w:val="20"/>
        </w:rPr>
        <w:t xml:space="preserve"> </w:t>
      </w:r>
      <w:r>
        <w:rPr>
          <w:spacing w:val="-2"/>
          <w:sz w:val="20"/>
        </w:rPr>
        <w:t>2015)</w:t>
      </w:r>
    </w:p>
    <w:p w:rsidR="007259F2" w:rsidRDefault="007259F2">
      <w:pPr>
        <w:pStyle w:val="Corpodetexto"/>
        <w:spacing w:before="3"/>
        <w:ind w:left="0" w:firstLine="0"/>
        <w:jc w:val="left"/>
        <w:rPr>
          <w:sz w:val="20"/>
        </w:rPr>
      </w:pPr>
    </w:p>
    <w:p w:rsidR="007259F2" w:rsidRDefault="00E655B4">
      <w:pPr>
        <w:pStyle w:val="PargrafodaLista"/>
        <w:numPr>
          <w:ilvl w:val="1"/>
          <w:numId w:val="9"/>
        </w:numPr>
        <w:tabs>
          <w:tab w:val="left" w:pos="3217"/>
        </w:tabs>
        <w:ind w:right="1127" w:firstLine="0"/>
        <w:jc w:val="both"/>
        <w:rPr>
          <w:sz w:val="20"/>
        </w:rPr>
      </w:pPr>
      <w:r>
        <w:rPr>
          <w:sz w:val="20"/>
        </w:rPr>
        <w:t>entidade privada sem fins lucrativos que não distribua entre os seus sócios ou associados, conselheiros, diretores, empregados, doadores ou terceiros eventuais resultados, sobras, excedentes operacionais, brutos ou líquidos, dividendos, isenções de qualquer natureza, participações ou parcelas do seu patrimônio, auferidos mediante o exercício de suas atividades, e que os aplique integralmente na consecução do respectivo objeto social, de forma imediata ou por meio da constituição de fundo patrimonial ou fundo de reserva; (Incluído pela Lei nº 13.204, de 2015)</w:t>
      </w:r>
    </w:p>
    <w:p w:rsidR="007259F2" w:rsidRDefault="00E655B4">
      <w:pPr>
        <w:pStyle w:val="PargrafodaLista"/>
        <w:numPr>
          <w:ilvl w:val="1"/>
          <w:numId w:val="9"/>
        </w:numPr>
        <w:tabs>
          <w:tab w:val="left" w:pos="3197"/>
        </w:tabs>
        <w:spacing w:before="119"/>
        <w:ind w:right="1130" w:firstLine="0"/>
        <w:jc w:val="both"/>
        <w:rPr>
          <w:sz w:val="20"/>
        </w:rPr>
      </w:pPr>
      <w:r>
        <w:rPr>
          <w:sz w:val="20"/>
        </w:rPr>
        <w:t>as sociedades cooperativas previstas na Lei nº 9.867, de 10 de novembro de 1999; as integradas por pessoas em situação de risco ou vulnerabilidade pessoal ou social; as alcançadas por programas e ações de combate à pobreza e de geração de trabalho</w:t>
      </w:r>
      <w:r>
        <w:rPr>
          <w:spacing w:val="40"/>
          <w:sz w:val="20"/>
        </w:rPr>
        <w:t xml:space="preserve"> </w:t>
      </w:r>
      <w:r>
        <w:rPr>
          <w:sz w:val="20"/>
        </w:rPr>
        <w:t>e renda; as voltadas para fomento, educação</w:t>
      </w:r>
      <w:r>
        <w:rPr>
          <w:spacing w:val="-3"/>
          <w:sz w:val="20"/>
        </w:rPr>
        <w:t xml:space="preserve"> </w:t>
      </w:r>
      <w:r>
        <w:rPr>
          <w:sz w:val="20"/>
        </w:rPr>
        <w:t>e</w:t>
      </w:r>
      <w:r>
        <w:rPr>
          <w:spacing w:val="-3"/>
          <w:sz w:val="20"/>
        </w:rPr>
        <w:t xml:space="preserve"> </w:t>
      </w:r>
      <w:r>
        <w:rPr>
          <w:sz w:val="20"/>
        </w:rPr>
        <w:t>capacitação</w:t>
      </w:r>
      <w:r>
        <w:rPr>
          <w:spacing w:val="-3"/>
          <w:sz w:val="20"/>
        </w:rPr>
        <w:t xml:space="preserve"> </w:t>
      </w:r>
      <w:r>
        <w:rPr>
          <w:sz w:val="20"/>
        </w:rPr>
        <w:t>de</w:t>
      </w:r>
      <w:r>
        <w:rPr>
          <w:spacing w:val="-5"/>
          <w:sz w:val="20"/>
        </w:rPr>
        <w:t xml:space="preserve"> </w:t>
      </w:r>
      <w:r>
        <w:rPr>
          <w:sz w:val="20"/>
        </w:rPr>
        <w:t>trabalhadores</w:t>
      </w:r>
      <w:r>
        <w:rPr>
          <w:spacing w:val="-3"/>
          <w:sz w:val="20"/>
        </w:rPr>
        <w:t xml:space="preserve"> </w:t>
      </w:r>
      <w:r>
        <w:rPr>
          <w:sz w:val="20"/>
        </w:rPr>
        <w:t>rurais</w:t>
      </w:r>
      <w:r>
        <w:rPr>
          <w:spacing w:val="-4"/>
          <w:sz w:val="20"/>
        </w:rPr>
        <w:t xml:space="preserve"> </w:t>
      </w:r>
      <w:r>
        <w:rPr>
          <w:sz w:val="20"/>
        </w:rPr>
        <w:t>ou</w:t>
      </w:r>
      <w:r>
        <w:rPr>
          <w:spacing w:val="-5"/>
          <w:sz w:val="20"/>
        </w:rPr>
        <w:t xml:space="preserve"> </w:t>
      </w:r>
      <w:r>
        <w:rPr>
          <w:sz w:val="20"/>
        </w:rPr>
        <w:t>capacitação</w:t>
      </w:r>
      <w:r>
        <w:rPr>
          <w:spacing w:val="-3"/>
          <w:sz w:val="20"/>
        </w:rPr>
        <w:t xml:space="preserve"> </w:t>
      </w:r>
      <w:r>
        <w:rPr>
          <w:sz w:val="20"/>
        </w:rPr>
        <w:t>de</w:t>
      </w:r>
      <w:r>
        <w:rPr>
          <w:spacing w:val="-4"/>
          <w:sz w:val="20"/>
        </w:rPr>
        <w:t xml:space="preserve"> </w:t>
      </w:r>
      <w:r>
        <w:rPr>
          <w:sz w:val="20"/>
        </w:rPr>
        <w:t>agentes</w:t>
      </w:r>
      <w:r>
        <w:rPr>
          <w:spacing w:val="-5"/>
          <w:sz w:val="20"/>
        </w:rPr>
        <w:t xml:space="preserve"> </w:t>
      </w:r>
      <w:r>
        <w:rPr>
          <w:sz w:val="20"/>
        </w:rPr>
        <w:t>de assistência técnica e extensão rural; e as capacitadas para execução de atividades ou de projetos de interesse público e de cunho social. (Incluído pela Lei nº 13.204, de 2015)</w:t>
      </w:r>
    </w:p>
    <w:p w:rsidR="007259F2" w:rsidRDefault="00E655B4">
      <w:pPr>
        <w:pStyle w:val="PargrafodaLista"/>
        <w:numPr>
          <w:ilvl w:val="1"/>
          <w:numId w:val="9"/>
        </w:numPr>
        <w:tabs>
          <w:tab w:val="left" w:pos="3188"/>
        </w:tabs>
        <w:spacing w:before="118"/>
        <w:ind w:right="1125" w:firstLine="0"/>
        <w:jc w:val="both"/>
        <w:rPr>
          <w:sz w:val="20"/>
        </w:rPr>
      </w:pPr>
      <w:r>
        <w:rPr>
          <w:sz w:val="20"/>
        </w:rPr>
        <w:t>as organizações religiosas que se dediquem a atividades ou a projetos de interesse público e de cunho social distintas das destinadas a fins exclusivamente religiosos; (Incluído pela Lei nº 13.204, de 2015)</w:t>
      </w:r>
    </w:p>
    <w:p w:rsidR="007259F2" w:rsidRDefault="00E655B4">
      <w:pPr>
        <w:pStyle w:val="PargrafodaLista"/>
        <w:numPr>
          <w:ilvl w:val="0"/>
          <w:numId w:val="9"/>
        </w:numPr>
        <w:tabs>
          <w:tab w:val="left" w:pos="3262"/>
        </w:tabs>
        <w:spacing w:before="122"/>
        <w:ind w:left="2978" w:right="1130" w:firstLine="0"/>
        <w:jc w:val="both"/>
        <w:rPr>
          <w:sz w:val="20"/>
        </w:rPr>
      </w:pPr>
      <w:r>
        <w:rPr>
          <w:sz w:val="20"/>
        </w:rPr>
        <w:t>- administração pública: União, Estados, Distrito Federal, Municípios e respectivas autarquias, fundações, empresas públicas e sociedades de economia mista prestadoras de serviço público, e suas subsidiárias, alcançadas pelo disposto</w:t>
      </w:r>
      <w:r>
        <w:rPr>
          <w:spacing w:val="40"/>
          <w:sz w:val="20"/>
        </w:rPr>
        <w:t xml:space="preserve"> </w:t>
      </w:r>
      <w:r>
        <w:rPr>
          <w:sz w:val="20"/>
        </w:rPr>
        <w:t>no § 9º do art. 37 da Constituição Federal; (Redação dada pela Lei nº 13.204, de 2015)</w:t>
      </w:r>
    </w:p>
    <w:p w:rsidR="007259F2" w:rsidRDefault="00E655B4">
      <w:pPr>
        <w:spacing w:before="128"/>
        <w:ind w:left="2978"/>
        <w:rPr>
          <w:rFonts w:ascii="Calibri"/>
          <w:sz w:val="20"/>
        </w:rPr>
      </w:pPr>
      <w:r>
        <w:rPr>
          <w:rFonts w:ascii="Calibri"/>
          <w:spacing w:val="-2"/>
          <w:sz w:val="20"/>
        </w:rPr>
        <w:t>(...)</w:t>
      </w:r>
    </w:p>
    <w:p w:rsidR="007259F2" w:rsidRDefault="00E655B4">
      <w:pPr>
        <w:pStyle w:val="PargrafodaLista"/>
        <w:numPr>
          <w:ilvl w:val="0"/>
          <w:numId w:val="8"/>
        </w:numPr>
        <w:tabs>
          <w:tab w:val="left" w:pos="3351"/>
        </w:tabs>
        <w:spacing w:before="230"/>
        <w:ind w:right="1131" w:firstLine="0"/>
        <w:jc w:val="both"/>
        <w:rPr>
          <w:sz w:val="20"/>
        </w:rPr>
      </w:pPr>
      <w:r>
        <w:rPr>
          <w:sz w:val="20"/>
        </w:rPr>
        <w:t>-</w:t>
      </w:r>
      <w:r>
        <w:rPr>
          <w:spacing w:val="-6"/>
          <w:sz w:val="20"/>
        </w:rPr>
        <w:t xml:space="preserve"> </w:t>
      </w:r>
      <w:r>
        <w:rPr>
          <w:sz w:val="20"/>
        </w:rPr>
        <w:t>termo</w:t>
      </w:r>
      <w:r>
        <w:rPr>
          <w:spacing w:val="-3"/>
          <w:sz w:val="20"/>
        </w:rPr>
        <w:t xml:space="preserve"> </w:t>
      </w:r>
      <w:r>
        <w:rPr>
          <w:sz w:val="20"/>
        </w:rPr>
        <w:t>de</w:t>
      </w:r>
      <w:r>
        <w:rPr>
          <w:spacing w:val="-4"/>
          <w:sz w:val="20"/>
        </w:rPr>
        <w:t xml:space="preserve"> </w:t>
      </w:r>
      <w:r>
        <w:rPr>
          <w:sz w:val="20"/>
        </w:rPr>
        <w:t>colaboração:</w:t>
      </w:r>
      <w:r>
        <w:rPr>
          <w:spacing w:val="-5"/>
          <w:sz w:val="20"/>
        </w:rPr>
        <w:t xml:space="preserve"> </w:t>
      </w:r>
      <w:r>
        <w:rPr>
          <w:sz w:val="20"/>
        </w:rPr>
        <w:t>instrumento por</w:t>
      </w:r>
      <w:r>
        <w:rPr>
          <w:spacing w:val="-1"/>
          <w:sz w:val="20"/>
        </w:rPr>
        <w:t xml:space="preserve"> </w:t>
      </w:r>
      <w:r>
        <w:rPr>
          <w:sz w:val="20"/>
        </w:rPr>
        <w:t>meio</w:t>
      </w:r>
      <w:r>
        <w:rPr>
          <w:spacing w:val="-3"/>
          <w:sz w:val="20"/>
        </w:rPr>
        <w:t xml:space="preserve"> </w:t>
      </w:r>
      <w:r>
        <w:rPr>
          <w:sz w:val="20"/>
        </w:rPr>
        <w:t>do</w:t>
      </w:r>
      <w:r>
        <w:rPr>
          <w:spacing w:val="-3"/>
          <w:sz w:val="20"/>
        </w:rPr>
        <w:t xml:space="preserve"> </w:t>
      </w:r>
      <w:r>
        <w:rPr>
          <w:sz w:val="20"/>
        </w:rPr>
        <w:t>qual</w:t>
      </w:r>
      <w:r>
        <w:rPr>
          <w:spacing w:val="-2"/>
          <w:sz w:val="20"/>
        </w:rPr>
        <w:t xml:space="preserve"> </w:t>
      </w:r>
      <w:r>
        <w:rPr>
          <w:sz w:val="20"/>
        </w:rPr>
        <w:t>são</w:t>
      </w:r>
      <w:r>
        <w:rPr>
          <w:spacing w:val="-3"/>
          <w:sz w:val="20"/>
        </w:rPr>
        <w:t xml:space="preserve"> </w:t>
      </w:r>
      <w:r>
        <w:rPr>
          <w:sz w:val="20"/>
        </w:rPr>
        <w:t>formalizadas as parcerias estabelecidas pela administração pública com organizações da sociedade civil para a consecução de finalidades de interesse público e recíproco propostas</w:t>
      </w:r>
      <w:r>
        <w:rPr>
          <w:spacing w:val="40"/>
          <w:sz w:val="20"/>
        </w:rPr>
        <w:t xml:space="preserve"> </w:t>
      </w:r>
      <w:r>
        <w:rPr>
          <w:sz w:val="20"/>
        </w:rPr>
        <w:t xml:space="preserve">pela administração pública que envolvam a transferência de recursos financeiros; (Redação dada pela Lei nº 13.204, de </w:t>
      </w:r>
      <w:r>
        <w:rPr>
          <w:spacing w:val="-2"/>
          <w:sz w:val="20"/>
        </w:rPr>
        <w:t>2015)</w:t>
      </w:r>
    </w:p>
    <w:p w:rsidR="007259F2" w:rsidRDefault="00E655B4">
      <w:pPr>
        <w:pStyle w:val="PargrafodaLista"/>
        <w:numPr>
          <w:ilvl w:val="0"/>
          <w:numId w:val="8"/>
        </w:numPr>
        <w:tabs>
          <w:tab w:val="left" w:pos="3372"/>
        </w:tabs>
        <w:spacing w:before="121"/>
        <w:ind w:right="1125" w:firstLine="0"/>
        <w:jc w:val="both"/>
        <w:rPr>
          <w:sz w:val="20"/>
        </w:rPr>
      </w:pPr>
      <w:r>
        <w:rPr>
          <w:sz w:val="20"/>
        </w:rPr>
        <w:t>- termo de fomento: instrumento por meio do qual são formalizadas as parcerias estabelecidas pela administração pública com organizações da sociedade</w:t>
      </w:r>
      <w:r>
        <w:rPr>
          <w:spacing w:val="40"/>
          <w:sz w:val="20"/>
        </w:rPr>
        <w:t xml:space="preserve"> </w:t>
      </w:r>
      <w:r>
        <w:rPr>
          <w:sz w:val="20"/>
        </w:rPr>
        <w:t>civil</w:t>
      </w:r>
      <w:r>
        <w:rPr>
          <w:spacing w:val="40"/>
          <w:sz w:val="20"/>
        </w:rPr>
        <w:t xml:space="preserve"> </w:t>
      </w:r>
      <w:r>
        <w:rPr>
          <w:sz w:val="20"/>
        </w:rPr>
        <w:t>para</w:t>
      </w:r>
      <w:r>
        <w:rPr>
          <w:spacing w:val="40"/>
          <w:sz w:val="20"/>
        </w:rPr>
        <w:t xml:space="preserve"> </w:t>
      </w:r>
      <w:r>
        <w:rPr>
          <w:sz w:val="20"/>
        </w:rPr>
        <w:t>a</w:t>
      </w:r>
      <w:r>
        <w:rPr>
          <w:spacing w:val="40"/>
          <w:sz w:val="20"/>
        </w:rPr>
        <w:t xml:space="preserve"> </w:t>
      </w:r>
      <w:r>
        <w:rPr>
          <w:sz w:val="20"/>
        </w:rPr>
        <w:t>consecução</w:t>
      </w:r>
      <w:r>
        <w:rPr>
          <w:spacing w:val="40"/>
          <w:sz w:val="20"/>
        </w:rPr>
        <w:t xml:space="preserve"> </w:t>
      </w:r>
      <w:r>
        <w:rPr>
          <w:sz w:val="20"/>
        </w:rPr>
        <w:t>de</w:t>
      </w:r>
      <w:r>
        <w:rPr>
          <w:spacing w:val="40"/>
          <w:sz w:val="20"/>
        </w:rPr>
        <w:t xml:space="preserve"> </w:t>
      </w:r>
      <w:r>
        <w:rPr>
          <w:sz w:val="20"/>
        </w:rPr>
        <w:t>finalidades</w:t>
      </w:r>
      <w:r>
        <w:rPr>
          <w:spacing w:val="40"/>
          <w:sz w:val="20"/>
        </w:rPr>
        <w:t xml:space="preserve"> </w:t>
      </w:r>
      <w:r>
        <w:rPr>
          <w:sz w:val="20"/>
        </w:rPr>
        <w:t>de</w:t>
      </w:r>
      <w:r>
        <w:rPr>
          <w:spacing w:val="40"/>
          <w:sz w:val="20"/>
        </w:rPr>
        <w:t xml:space="preserve"> </w:t>
      </w:r>
      <w:r>
        <w:rPr>
          <w:sz w:val="20"/>
        </w:rPr>
        <w:t>interesse</w:t>
      </w:r>
      <w:r>
        <w:rPr>
          <w:spacing w:val="40"/>
          <w:sz w:val="20"/>
        </w:rPr>
        <w:t xml:space="preserve"> </w:t>
      </w:r>
      <w:r>
        <w:rPr>
          <w:sz w:val="20"/>
        </w:rPr>
        <w:t>público</w:t>
      </w:r>
      <w:r>
        <w:rPr>
          <w:spacing w:val="40"/>
          <w:sz w:val="20"/>
        </w:rPr>
        <w:t xml:space="preserve"> </w:t>
      </w:r>
      <w:r>
        <w:rPr>
          <w:sz w:val="20"/>
        </w:rPr>
        <w:t>e</w:t>
      </w:r>
    </w:p>
    <w:p w:rsidR="007259F2" w:rsidRDefault="007259F2">
      <w:pPr>
        <w:pStyle w:val="PargrafodaLista"/>
        <w:rPr>
          <w:sz w:val="20"/>
        </w:rPr>
        <w:sectPr w:rsidR="007259F2">
          <w:footerReference w:type="default" r:id="rId447"/>
          <w:pgSz w:w="11910" w:h="16840"/>
          <w:pgMar w:top="1320" w:right="708" w:bottom="280" w:left="992" w:header="0" w:footer="0" w:gutter="0"/>
          <w:cols w:space="720"/>
        </w:sectPr>
      </w:pPr>
    </w:p>
    <w:p w:rsidR="007259F2" w:rsidRDefault="00E655B4">
      <w:pPr>
        <w:spacing w:before="71"/>
        <w:ind w:left="2978" w:right="1134"/>
        <w:jc w:val="both"/>
        <w:rPr>
          <w:sz w:val="20"/>
        </w:rPr>
      </w:pPr>
      <w:r>
        <w:rPr>
          <w:sz w:val="20"/>
        </w:rPr>
        <w:lastRenderedPageBreak/>
        <w:t xml:space="preserve">recíproco propostas pelas organizações da sociedade civil, que envolvam a transferência de recursos financeiros; (Redação dada pela Lei nº 13.204, de </w:t>
      </w:r>
      <w:r>
        <w:rPr>
          <w:spacing w:val="-2"/>
          <w:sz w:val="20"/>
        </w:rPr>
        <w:t>2015)</w:t>
      </w:r>
    </w:p>
    <w:p w:rsidR="007259F2" w:rsidRDefault="00E655B4">
      <w:pPr>
        <w:spacing w:before="90" w:line="276" w:lineRule="auto"/>
        <w:ind w:left="2978" w:right="1132"/>
        <w:jc w:val="both"/>
        <w:rPr>
          <w:sz w:val="20"/>
        </w:rPr>
      </w:pPr>
      <w:r>
        <w:rPr>
          <w:sz w:val="20"/>
        </w:rPr>
        <w:t>VIII-A - acordo de cooperação: instrumento por meio do qual são formalizadas as parcerias estabelecidas pela administração pública com organizações da sociedade civil para a consecução de finalidades de interesse público e recíproco que não envolvam a transferência de recursos financeiros; (Incluído pela Lei nº 13.204, de 2015)</w:t>
      </w:r>
    </w:p>
    <w:p w:rsidR="007259F2" w:rsidRDefault="00E655B4">
      <w:pPr>
        <w:pStyle w:val="Corpodetexto"/>
        <w:spacing w:before="196"/>
        <w:ind w:right="991"/>
      </w:pPr>
      <w:r>
        <w:t>Por exercer atividades que são de competência e dever do poder público, diversos são os casos em que pela própria natureza desse tipo de parceria entre o Estado e a iniciativa privada, demandas administrativas e judiciais (como é o exemplo do caso prático aqui estudado) são direcionadas a ambas as pessoas jurídicas, a de direito privado (OS ou OSC) e a de direito público (União, Estados, Municípios). O intuito e a pretensão</w:t>
      </w:r>
      <w:r>
        <w:rPr>
          <w:spacing w:val="-2"/>
        </w:rPr>
        <w:t xml:space="preserve"> </w:t>
      </w:r>
      <w:r>
        <w:t>de</w:t>
      </w:r>
      <w:r>
        <w:rPr>
          <w:spacing w:val="-3"/>
        </w:rPr>
        <w:t xml:space="preserve"> </w:t>
      </w:r>
      <w:r>
        <w:t>quem</w:t>
      </w:r>
      <w:r>
        <w:rPr>
          <w:spacing w:val="-2"/>
        </w:rPr>
        <w:t xml:space="preserve"> </w:t>
      </w:r>
      <w:r>
        <w:t>busca</w:t>
      </w:r>
      <w:r>
        <w:rPr>
          <w:spacing w:val="-1"/>
        </w:rPr>
        <w:t xml:space="preserve"> </w:t>
      </w:r>
      <w:r>
        <w:t>responsabilizar</w:t>
      </w:r>
      <w:r>
        <w:rPr>
          <w:spacing w:val="-3"/>
        </w:rPr>
        <w:t xml:space="preserve"> </w:t>
      </w:r>
      <w:r>
        <w:t>ambas as entidades</w:t>
      </w:r>
      <w:r>
        <w:rPr>
          <w:spacing w:val="-2"/>
        </w:rPr>
        <w:t xml:space="preserve"> </w:t>
      </w:r>
      <w:r>
        <w:t>são</w:t>
      </w:r>
      <w:r>
        <w:rPr>
          <w:spacing w:val="-2"/>
        </w:rPr>
        <w:t xml:space="preserve"> </w:t>
      </w:r>
      <w:r>
        <w:t>em</w:t>
      </w:r>
      <w:r>
        <w:rPr>
          <w:spacing w:val="-2"/>
        </w:rPr>
        <w:t xml:space="preserve"> </w:t>
      </w:r>
      <w:r>
        <w:t>princípio</w:t>
      </w:r>
      <w:r>
        <w:rPr>
          <w:spacing w:val="-2"/>
        </w:rPr>
        <w:t xml:space="preserve"> </w:t>
      </w:r>
      <w:r>
        <w:t>legítimas, pois existe um mandamento constitucional vigente, especificamente o artigo 6º da Constituição Federal de 1988, que literalmente apregoa ser dever do Estado garantir, dentre outros, os seguintes direitos:</w:t>
      </w:r>
    </w:p>
    <w:p w:rsidR="007259F2" w:rsidRDefault="007259F2">
      <w:pPr>
        <w:pStyle w:val="Corpodetexto"/>
        <w:spacing w:before="1"/>
        <w:ind w:left="0" w:firstLine="0"/>
        <w:jc w:val="left"/>
      </w:pPr>
    </w:p>
    <w:p w:rsidR="007259F2" w:rsidRDefault="00E655B4">
      <w:pPr>
        <w:spacing w:before="1"/>
        <w:ind w:left="2978" w:right="995"/>
        <w:jc w:val="both"/>
        <w:rPr>
          <w:sz w:val="20"/>
        </w:rPr>
      </w:pPr>
      <w:r>
        <w:rPr>
          <w:sz w:val="20"/>
        </w:rPr>
        <w:t xml:space="preserve">Art. 6º São Direitos sociais a educação, a saúde, a alimentação, o trabalho, a moradia, o transporte, o lazer, a segurança, a previdência social, a proteção à maternidade e à infância, a assistência aos desamparados, na forma desta </w:t>
      </w:r>
      <w:r>
        <w:rPr>
          <w:spacing w:val="-2"/>
          <w:sz w:val="20"/>
        </w:rPr>
        <w:t>Constituição.</w:t>
      </w:r>
    </w:p>
    <w:p w:rsidR="007259F2" w:rsidRDefault="00E655B4">
      <w:pPr>
        <w:pStyle w:val="Corpodetexto"/>
        <w:spacing w:before="228"/>
        <w:ind w:right="992"/>
      </w:pPr>
      <w:r>
        <w:t>Ressalta-se desde já que a efetividade desse modelo administrativo de prestação de serviços públicos adotado pelo Estado nos últimos tempos é medida por duas vertentes principais, a eficiência e eficácia dos serviços prestados por tais entidades privadas (OS e OSC) e a possibilidade do exercício de controle da execução e do resultado esperado por parte do poder público. Esse controle por parte do Estado é estabelecido desde a elaboração do Contrato de Gestão ou dos Termos de Colaboração, Fomento e Acordos de Cooperação, em que constam todas as responsabilidades da entidade contratada e os deveres fiscalizatórios do poder público contratante.</w:t>
      </w:r>
    </w:p>
    <w:p w:rsidR="007259F2" w:rsidRDefault="00E655B4">
      <w:pPr>
        <w:pStyle w:val="Corpodetexto"/>
        <w:spacing w:before="1"/>
        <w:ind w:right="990"/>
      </w:pPr>
      <w:r>
        <w:t>Referida previsão contratual tem como objetivo garantir a “</w:t>
      </w:r>
      <w:r>
        <w:rPr>
          <w:i/>
        </w:rPr>
        <w:t>accontability</w:t>
      </w:r>
      <w:r>
        <w:t>” dos contratos e parcerias firmados uma vez que prevê em seu conteúdo parâmetros de qualidade para mensurar a viabilidade de manutenção da parceria ou sua descontinuação,</w:t>
      </w:r>
      <w:r>
        <w:rPr>
          <w:spacing w:val="-1"/>
        </w:rPr>
        <w:t xml:space="preserve"> </w:t>
      </w:r>
      <w:r>
        <w:t>com</w:t>
      </w:r>
      <w:r>
        <w:rPr>
          <w:spacing w:val="-1"/>
        </w:rPr>
        <w:t xml:space="preserve"> </w:t>
      </w:r>
      <w:r>
        <w:t>a</w:t>
      </w:r>
      <w:r>
        <w:rPr>
          <w:spacing w:val="-4"/>
        </w:rPr>
        <w:t xml:space="preserve"> </w:t>
      </w:r>
      <w:r>
        <w:t>possibilidade</w:t>
      </w:r>
      <w:r>
        <w:rPr>
          <w:spacing w:val="-5"/>
        </w:rPr>
        <w:t xml:space="preserve"> </w:t>
      </w:r>
      <w:r>
        <w:t>de</w:t>
      </w:r>
      <w:r>
        <w:rPr>
          <w:spacing w:val="-4"/>
        </w:rPr>
        <w:t xml:space="preserve"> </w:t>
      </w:r>
      <w:r>
        <w:t>aplicação</w:t>
      </w:r>
      <w:r>
        <w:rPr>
          <w:spacing w:val="-1"/>
        </w:rPr>
        <w:t xml:space="preserve"> </w:t>
      </w:r>
      <w:r>
        <w:t>de</w:t>
      </w:r>
      <w:r>
        <w:rPr>
          <w:spacing w:val="-4"/>
        </w:rPr>
        <w:t xml:space="preserve"> </w:t>
      </w:r>
      <w:r>
        <w:t>sanções</w:t>
      </w:r>
      <w:r>
        <w:rPr>
          <w:spacing w:val="-1"/>
        </w:rPr>
        <w:t xml:space="preserve"> </w:t>
      </w:r>
      <w:r>
        <w:t>à</w:t>
      </w:r>
      <w:r>
        <w:rPr>
          <w:spacing w:val="-4"/>
        </w:rPr>
        <w:t xml:space="preserve"> </w:t>
      </w:r>
      <w:r>
        <w:t>entidade</w:t>
      </w:r>
      <w:r>
        <w:rPr>
          <w:spacing w:val="-4"/>
        </w:rPr>
        <w:t xml:space="preserve"> </w:t>
      </w:r>
      <w:r>
        <w:t>privada</w:t>
      </w:r>
      <w:r>
        <w:rPr>
          <w:spacing w:val="-5"/>
        </w:rPr>
        <w:t xml:space="preserve"> </w:t>
      </w:r>
      <w:r>
        <w:t>caso</w:t>
      </w:r>
      <w:r>
        <w:rPr>
          <w:spacing w:val="-3"/>
        </w:rPr>
        <w:t xml:space="preserve"> </w:t>
      </w:r>
      <w:r>
        <w:t>ela descumpra</w:t>
      </w:r>
      <w:r>
        <w:rPr>
          <w:spacing w:val="-1"/>
        </w:rPr>
        <w:t xml:space="preserve"> </w:t>
      </w:r>
      <w:r>
        <w:t>alguma</w:t>
      </w:r>
      <w:r>
        <w:rPr>
          <w:spacing w:val="-3"/>
        </w:rPr>
        <w:t xml:space="preserve"> </w:t>
      </w:r>
      <w:r>
        <w:t>regra</w:t>
      </w:r>
      <w:r>
        <w:rPr>
          <w:spacing w:val="-1"/>
        </w:rPr>
        <w:t xml:space="preserve"> </w:t>
      </w:r>
      <w:r>
        <w:t>pactuada, seja</w:t>
      </w:r>
      <w:r>
        <w:rPr>
          <w:spacing w:val="-3"/>
        </w:rPr>
        <w:t xml:space="preserve"> </w:t>
      </w:r>
      <w:r>
        <w:t>no próprio documento</w:t>
      </w:r>
      <w:r>
        <w:rPr>
          <w:spacing w:val="-2"/>
        </w:rPr>
        <w:t xml:space="preserve"> </w:t>
      </w:r>
      <w:r>
        <w:t>que</w:t>
      </w:r>
      <w:r>
        <w:rPr>
          <w:spacing w:val="-1"/>
        </w:rPr>
        <w:t xml:space="preserve"> </w:t>
      </w:r>
      <w:r>
        <w:t>estabelece</w:t>
      </w:r>
      <w:r>
        <w:rPr>
          <w:spacing w:val="-3"/>
        </w:rPr>
        <w:t xml:space="preserve"> </w:t>
      </w:r>
      <w:r>
        <w:t>a parceria, seja na legislação aplicada ao caso, podendo inclusive gerar efeitos para referida entidade além da simples rescisão contratual, como, por exemplo, a sua desqualificação como OS e o impedimento de futuras contratações com o poder público.</w:t>
      </w:r>
    </w:p>
    <w:p w:rsidR="007259F2" w:rsidRDefault="00E655B4">
      <w:pPr>
        <w:pStyle w:val="Corpodetexto"/>
        <w:ind w:right="987"/>
      </w:pPr>
      <w:r>
        <w:t>Denota-se que a adoção desse tipo de contrato não suprime e regime jurídico administrativo incidente na prestação desses serviços, uma vez que o exercício do controle externo e interno por parte do Estado nesses contratos é imperativo, contudo, a depender da situação concreta (como, por exemplo, a narrada no presente estudo de caso), pode o ente público ser poupado de responsabilidade caso demonstre juridicamente</w:t>
      </w:r>
      <w:r>
        <w:rPr>
          <w:spacing w:val="-4"/>
        </w:rPr>
        <w:t xml:space="preserve"> </w:t>
      </w:r>
      <w:r>
        <w:t>que</w:t>
      </w:r>
      <w:r>
        <w:rPr>
          <w:spacing w:val="-2"/>
        </w:rPr>
        <w:t xml:space="preserve"> </w:t>
      </w:r>
      <w:r>
        <w:t>exerceu</w:t>
      </w:r>
      <w:r>
        <w:rPr>
          <w:spacing w:val="-3"/>
        </w:rPr>
        <w:t xml:space="preserve"> </w:t>
      </w:r>
      <w:r>
        <w:t>seu</w:t>
      </w:r>
      <w:r>
        <w:rPr>
          <w:spacing w:val="-4"/>
        </w:rPr>
        <w:t xml:space="preserve"> </w:t>
      </w:r>
      <w:r>
        <w:t>poder</w:t>
      </w:r>
      <w:r>
        <w:rPr>
          <w:spacing w:val="-3"/>
        </w:rPr>
        <w:t xml:space="preserve"> </w:t>
      </w:r>
      <w:r>
        <w:t>fiscalizatório</w:t>
      </w:r>
      <w:r>
        <w:rPr>
          <w:spacing w:val="-3"/>
        </w:rPr>
        <w:t xml:space="preserve"> </w:t>
      </w:r>
      <w:r>
        <w:t>sobre</w:t>
      </w:r>
      <w:r>
        <w:rPr>
          <w:spacing w:val="-3"/>
        </w:rPr>
        <w:t xml:space="preserve"> </w:t>
      </w:r>
      <w:r>
        <w:t>a</w:t>
      </w:r>
      <w:r>
        <w:rPr>
          <w:spacing w:val="-4"/>
        </w:rPr>
        <w:t xml:space="preserve"> </w:t>
      </w:r>
      <w:r>
        <w:t>execução</w:t>
      </w:r>
      <w:r>
        <w:rPr>
          <w:spacing w:val="-3"/>
        </w:rPr>
        <w:t xml:space="preserve"> </w:t>
      </w:r>
      <w:r>
        <w:t>do</w:t>
      </w:r>
      <w:r>
        <w:rPr>
          <w:spacing w:val="-1"/>
        </w:rPr>
        <w:t xml:space="preserve"> </w:t>
      </w:r>
      <w:r>
        <w:t>contrato</w:t>
      </w:r>
      <w:r>
        <w:rPr>
          <w:spacing w:val="-3"/>
        </w:rPr>
        <w:t xml:space="preserve"> </w:t>
      </w:r>
      <w:r>
        <w:t>firmado entre ele e uma OS ou OSC.</w:t>
      </w:r>
    </w:p>
    <w:p w:rsidR="007259F2" w:rsidRDefault="00E655B4">
      <w:pPr>
        <w:pStyle w:val="Corpodetexto"/>
        <w:spacing w:before="1"/>
        <w:ind w:right="995"/>
      </w:pPr>
      <w:r>
        <w:t>Nesse sentido, a classificação doutrinária a respeito da responsabilização do poder público não dá margem a dúvidas sobre a extensão dessa responsabilidade, como consagrou o eminente professor Hely</w:t>
      </w:r>
      <w:r>
        <w:rPr>
          <w:spacing w:val="-1"/>
        </w:rPr>
        <w:t xml:space="preserve"> </w:t>
      </w:r>
      <w:r>
        <w:t>Lopes Meireles (2016, p. 788), a responsabilidade civil da administração é a imposição sobre ela de uma obrigação reparatória e de composição</w:t>
      </w:r>
      <w:r>
        <w:rPr>
          <w:spacing w:val="8"/>
        </w:rPr>
        <w:t xml:space="preserve"> </w:t>
      </w:r>
      <w:r>
        <w:t>de</w:t>
      </w:r>
      <w:r>
        <w:rPr>
          <w:spacing w:val="10"/>
        </w:rPr>
        <w:t xml:space="preserve"> </w:t>
      </w:r>
      <w:r>
        <w:t>dano</w:t>
      </w:r>
      <w:r>
        <w:rPr>
          <w:spacing w:val="11"/>
        </w:rPr>
        <w:t xml:space="preserve"> </w:t>
      </w:r>
      <w:r>
        <w:t>causado</w:t>
      </w:r>
      <w:r>
        <w:rPr>
          <w:spacing w:val="11"/>
        </w:rPr>
        <w:t xml:space="preserve"> </w:t>
      </w:r>
      <w:r>
        <w:t>a</w:t>
      </w:r>
      <w:r>
        <w:rPr>
          <w:spacing w:val="10"/>
        </w:rPr>
        <w:t xml:space="preserve"> </w:t>
      </w:r>
      <w:r>
        <w:t>terceiros</w:t>
      </w:r>
      <w:r>
        <w:rPr>
          <w:spacing w:val="11"/>
        </w:rPr>
        <w:t xml:space="preserve"> </w:t>
      </w:r>
      <w:r>
        <w:t>por</w:t>
      </w:r>
      <w:r>
        <w:rPr>
          <w:spacing w:val="11"/>
        </w:rPr>
        <w:t xml:space="preserve"> </w:t>
      </w:r>
      <w:r>
        <w:t>ação</w:t>
      </w:r>
      <w:r>
        <w:rPr>
          <w:spacing w:val="13"/>
        </w:rPr>
        <w:t xml:space="preserve"> </w:t>
      </w:r>
      <w:r>
        <w:t>ou</w:t>
      </w:r>
      <w:r>
        <w:rPr>
          <w:spacing w:val="11"/>
        </w:rPr>
        <w:t xml:space="preserve"> </w:t>
      </w:r>
      <w:r>
        <w:t>omissão</w:t>
      </w:r>
      <w:r>
        <w:rPr>
          <w:spacing w:val="11"/>
        </w:rPr>
        <w:t xml:space="preserve"> </w:t>
      </w:r>
      <w:r>
        <w:t>de</w:t>
      </w:r>
      <w:r>
        <w:rPr>
          <w:spacing w:val="10"/>
        </w:rPr>
        <w:t xml:space="preserve"> </w:t>
      </w:r>
      <w:r>
        <w:t>seus</w:t>
      </w:r>
      <w:r>
        <w:rPr>
          <w:spacing w:val="12"/>
        </w:rPr>
        <w:t xml:space="preserve"> </w:t>
      </w:r>
      <w:r>
        <w:t>agentes</w:t>
      </w:r>
      <w:r>
        <w:rPr>
          <w:spacing w:val="11"/>
        </w:rPr>
        <w:t xml:space="preserve"> </w:t>
      </w:r>
      <w:r>
        <w:rPr>
          <w:spacing w:val="-2"/>
        </w:rPr>
        <w:t>públicos,</w:t>
      </w:r>
    </w:p>
    <w:p w:rsidR="007259F2" w:rsidRDefault="007259F2">
      <w:pPr>
        <w:pStyle w:val="Corpodetexto"/>
        <w:sectPr w:rsidR="007259F2">
          <w:footerReference w:type="default" r:id="rId448"/>
          <w:pgSz w:w="11910" w:h="16840"/>
          <w:pgMar w:top="1320" w:right="708" w:bottom="280" w:left="992" w:header="0" w:footer="0" w:gutter="0"/>
          <w:cols w:space="720"/>
        </w:sectPr>
      </w:pPr>
    </w:p>
    <w:p w:rsidR="007259F2" w:rsidRDefault="00E655B4">
      <w:pPr>
        <w:pStyle w:val="Corpodetexto"/>
        <w:spacing w:before="69"/>
        <w:ind w:right="990" w:firstLine="0"/>
      </w:pPr>
      <w:r>
        <w:lastRenderedPageBreak/>
        <w:t>que ao desempenhar suas atribuições ou a pretexto de exercê-las, causem dano a</w:t>
      </w:r>
      <w:r>
        <w:rPr>
          <w:spacing w:val="80"/>
        </w:rPr>
        <w:t xml:space="preserve"> </w:t>
      </w:r>
      <w:r>
        <w:rPr>
          <w:spacing w:val="-2"/>
        </w:rPr>
        <w:t>outrem.</w:t>
      </w:r>
    </w:p>
    <w:p w:rsidR="007259F2" w:rsidRDefault="00E655B4">
      <w:pPr>
        <w:pStyle w:val="Corpodetexto"/>
        <w:spacing w:before="1"/>
        <w:ind w:right="996"/>
      </w:pPr>
      <w:r>
        <w:t>Na mesma linha, ao trazer os princípios constitucionais da Administração Pública, o artigo 37 da Carta Magna de 1988 estabelece a obrigatoriedade reparatória por parte do</w:t>
      </w:r>
      <w:r>
        <w:rPr>
          <w:spacing w:val="40"/>
        </w:rPr>
        <w:t xml:space="preserve"> </w:t>
      </w:r>
      <w:r>
        <w:t>Estado caso este provoque dano:</w:t>
      </w:r>
    </w:p>
    <w:p w:rsidR="007259F2" w:rsidRDefault="007259F2">
      <w:pPr>
        <w:pStyle w:val="Corpodetexto"/>
        <w:spacing w:before="1"/>
        <w:ind w:left="0" w:firstLine="0"/>
        <w:jc w:val="left"/>
      </w:pPr>
    </w:p>
    <w:p w:rsidR="007259F2" w:rsidRDefault="00E655B4">
      <w:pPr>
        <w:ind w:left="2978" w:right="987"/>
        <w:jc w:val="both"/>
        <w:rPr>
          <w:sz w:val="20"/>
        </w:rPr>
      </w:pPr>
      <w:r>
        <w:rPr>
          <w:sz w:val="20"/>
        </w:rPr>
        <w:t>Art. 37. A administração pública direta e indireta de qualquer dos Poderes da União, dos Estados, do Distrito Federal e dos Municípios obedecerá aos princípios de legalidade, impessoalidade, moralidade, publicidade e</w:t>
      </w:r>
      <w:r>
        <w:rPr>
          <w:spacing w:val="80"/>
          <w:sz w:val="20"/>
        </w:rPr>
        <w:t xml:space="preserve"> </w:t>
      </w:r>
      <w:r>
        <w:rPr>
          <w:sz w:val="20"/>
        </w:rPr>
        <w:t>eficiência e, também, ao seguinte:</w:t>
      </w:r>
    </w:p>
    <w:p w:rsidR="007259F2" w:rsidRDefault="00E655B4">
      <w:pPr>
        <w:spacing w:before="2" w:line="229" w:lineRule="exact"/>
        <w:ind w:left="2978"/>
        <w:rPr>
          <w:sz w:val="20"/>
        </w:rPr>
      </w:pPr>
      <w:r>
        <w:rPr>
          <w:spacing w:val="-2"/>
          <w:sz w:val="20"/>
        </w:rPr>
        <w:t>(...)</w:t>
      </w:r>
    </w:p>
    <w:p w:rsidR="007259F2" w:rsidRDefault="00E655B4">
      <w:pPr>
        <w:ind w:left="2978" w:right="989"/>
        <w:jc w:val="both"/>
        <w:rPr>
          <w:sz w:val="20"/>
        </w:rPr>
      </w:pPr>
      <w:r>
        <w:rPr>
          <w:sz w:val="20"/>
        </w:rPr>
        <w:t>§</w:t>
      </w:r>
      <w:r>
        <w:rPr>
          <w:spacing w:val="-2"/>
          <w:sz w:val="20"/>
        </w:rPr>
        <w:t xml:space="preserve"> </w:t>
      </w:r>
      <w:r>
        <w:rPr>
          <w:sz w:val="20"/>
        </w:rPr>
        <w:t>6º</w:t>
      </w:r>
      <w:r>
        <w:rPr>
          <w:spacing w:val="-1"/>
          <w:sz w:val="20"/>
        </w:rPr>
        <w:t xml:space="preserve"> </w:t>
      </w:r>
      <w:r>
        <w:rPr>
          <w:sz w:val="20"/>
        </w:rPr>
        <w:t>As</w:t>
      </w:r>
      <w:r>
        <w:rPr>
          <w:spacing w:val="-4"/>
          <w:sz w:val="20"/>
        </w:rPr>
        <w:t xml:space="preserve"> </w:t>
      </w:r>
      <w:r>
        <w:rPr>
          <w:sz w:val="20"/>
        </w:rPr>
        <w:t>pessoas</w:t>
      </w:r>
      <w:r>
        <w:rPr>
          <w:spacing w:val="-4"/>
          <w:sz w:val="20"/>
        </w:rPr>
        <w:t xml:space="preserve"> </w:t>
      </w:r>
      <w:r>
        <w:rPr>
          <w:sz w:val="20"/>
        </w:rPr>
        <w:t>jurídicas</w:t>
      </w:r>
      <w:r>
        <w:rPr>
          <w:spacing w:val="-4"/>
          <w:sz w:val="20"/>
        </w:rPr>
        <w:t xml:space="preserve"> </w:t>
      </w:r>
      <w:r>
        <w:rPr>
          <w:sz w:val="20"/>
        </w:rPr>
        <w:t>de</w:t>
      </w:r>
      <w:r>
        <w:rPr>
          <w:spacing w:val="-3"/>
          <w:sz w:val="20"/>
        </w:rPr>
        <w:t xml:space="preserve"> </w:t>
      </w:r>
      <w:r>
        <w:rPr>
          <w:sz w:val="20"/>
        </w:rPr>
        <w:t>direito</w:t>
      </w:r>
      <w:r>
        <w:rPr>
          <w:spacing w:val="-2"/>
          <w:sz w:val="20"/>
        </w:rPr>
        <w:t xml:space="preserve"> </w:t>
      </w:r>
      <w:r>
        <w:rPr>
          <w:sz w:val="20"/>
        </w:rPr>
        <w:t>público</w:t>
      </w:r>
      <w:r>
        <w:rPr>
          <w:spacing w:val="-2"/>
          <w:sz w:val="20"/>
        </w:rPr>
        <w:t xml:space="preserve"> </w:t>
      </w:r>
      <w:r>
        <w:rPr>
          <w:sz w:val="20"/>
        </w:rPr>
        <w:t>e</w:t>
      </w:r>
      <w:r>
        <w:rPr>
          <w:spacing w:val="-3"/>
          <w:sz w:val="20"/>
        </w:rPr>
        <w:t xml:space="preserve"> </w:t>
      </w:r>
      <w:r>
        <w:rPr>
          <w:sz w:val="20"/>
        </w:rPr>
        <w:t>as</w:t>
      </w:r>
      <w:r>
        <w:rPr>
          <w:spacing w:val="-4"/>
          <w:sz w:val="20"/>
        </w:rPr>
        <w:t xml:space="preserve"> </w:t>
      </w:r>
      <w:r>
        <w:rPr>
          <w:sz w:val="20"/>
        </w:rPr>
        <w:t>de</w:t>
      </w:r>
      <w:r>
        <w:rPr>
          <w:spacing w:val="-3"/>
          <w:sz w:val="20"/>
        </w:rPr>
        <w:t xml:space="preserve"> </w:t>
      </w:r>
      <w:r>
        <w:rPr>
          <w:sz w:val="20"/>
        </w:rPr>
        <w:t>direito</w:t>
      </w:r>
      <w:r>
        <w:rPr>
          <w:spacing w:val="-2"/>
          <w:sz w:val="20"/>
        </w:rPr>
        <w:t xml:space="preserve"> </w:t>
      </w:r>
      <w:r>
        <w:rPr>
          <w:sz w:val="20"/>
        </w:rPr>
        <w:t>privado</w:t>
      </w:r>
      <w:r>
        <w:rPr>
          <w:spacing w:val="-2"/>
          <w:sz w:val="20"/>
        </w:rPr>
        <w:t xml:space="preserve"> </w:t>
      </w:r>
      <w:r>
        <w:rPr>
          <w:sz w:val="20"/>
        </w:rPr>
        <w:t>prestadoras de serviços públicos responderão pelos danos que seus agentes, nessa qualidade, causarem a terceiros, assegurado o direito de regresso contra o responsável nos</w:t>
      </w:r>
      <w:r>
        <w:rPr>
          <w:spacing w:val="40"/>
          <w:sz w:val="20"/>
        </w:rPr>
        <w:t xml:space="preserve"> </w:t>
      </w:r>
      <w:r>
        <w:rPr>
          <w:sz w:val="20"/>
        </w:rPr>
        <w:t>casos de dolo ou culpa.</w:t>
      </w:r>
    </w:p>
    <w:p w:rsidR="007259F2" w:rsidRDefault="007259F2">
      <w:pPr>
        <w:pStyle w:val="Corpodetexto"/>
        <w:ind w:left="0" w:firstLine="0"/>
        <w:jc w:val="left"/>
        <w:rPr>
          <w:sz w:val="20"/>
        </w:rPr>
      </w:pPr>
    </w:p>
    <w:p w:rsidR="007259F2" w:rsidRDefault="00E655B4">
      <w:pPr>
        <w:pStyle w:val="Corpodetexto"/>
        <w:ind w:right="987"/>
      </w:pPr>
      <w:r>
        <w:t>No entanto, diferentemente do que ocorre quando se verifica a responsabilidade civil do Estado em que se demanda do poder público uma ação direta ou se comprova uma omissão de sua parte, no caso aqui narrado, não existe um contrato de prestação de serviços entre o Município de São Paulo e a OS “Casa de Gestão da Saúde”, mas sim</w:t>
      </w:r>
      <w:r>
        <w:rPr>
          <w:spacing w:val="40"/>
        </w:rPr>
        <w:t xml:space="preserve"> </w:t>
      </w:r>
      <w:r>
        <w:t>um Contrato de Gestão celebrado no ano de 2015 (portanto, anterior a contratação da Reclamante) em que se transferiu à referida Organização Social a gestão de diversos equipamentos públicos de saúde.</w:t>
      </w:r>
    </w:p>
    <w:p w:rsidR="007259F2" w:rsidRDefault="00E655B4">
      <w:pPr>
        <w:pStyle w:val="Corpodetexto"/>
        <w:ind w:right="988"/>
      </w:pPr>
      <w:r>
        <w:t>A “Casa de Gestão da Saúde” é qualificada como Organização Social, e é quem de</w:t>
      </w:r>
      <w:r>
        <w:rPr>
          <w:spacing w:val="40"/>
        </w:rPr>
        <w:t xml:space="preserve"> </w:t>
      </w:r>
      <w:r>
        <w:t>fato e legalmente administra o local de trabalho da parte Reclamante, e, deste modo, a Municipalidade de São Paulo não figura como tomadora direta de mão de obra fornecida pela Reclamante, e sim como parceira pública, que nesses tipos de contratação, possui o dever fiscalizatório durante a execução do Contrato de Gestão,</w:t>
      </w:r>
      <w:r>
        <w:rPr>
          <w:spacing w:val="40"/>
        </w:rPr>
        <w:t xml:space="preserve"> </w:t>
      </w:r>
      <w:r>
        <w:t>fato que por si só, de acordo com entendimento jurisprudencial do Tribunal Superior do Trabalho (TST), afasta qualquer intenção de responsabilizar o ente público por quaisquer inadimplementos ou obrigações assumidas pela Organização Social que faz a gestão do local de trabalho da parte Reclamante, como destaca-se pelo entendimento sumular abaixo transcrito:</w:t>
      </w:r>
    </w:p>
    <w:p w:rsidR="007259F2" w:rsidRDefault="007259F2">
      <w:pPr>
        <w:pStyle w:val="Corpodetexto"/>
        <w:ind w:left="0" w:firstLine="0"/>
        <w:jc w:val="left"/>
      </w:pPr>
    </w:p>
    <w:p w:rsidR="007259F2" w:rsidRDefault="00E655B4">
      <w:pPr>
        <w:ind w:left="2978"/>
        <w:jc w:val="both"/>
        <w:rPr>
          <w:sz w:val="20"/>
        </w:rPr>
      </w:pPr>
      <w:r>
        <w:rPr>
          <w:sz w:val="20"/>
        </w:rPr>
        <w:t>Súmula</w:t>
      </w:r>
      <w:r>
        <w:rPr>
          <w:spacing w:val="-7"/>
          <w:sz w:val="20"/>
        </w:rPr>
        <w:t xml:space="preserve"> </w:t>
      </w:r>
      <w:r>
        <w:rPr>
          <w:sz w:val="20"/>
        </w:rPr>
        <w:t>331</w:t>
      </w:r>
      <w:r>
        <w:rPr>
          <w:spacing w:val="-5"/>
          <w:sz w:val="20"/>
        </w:rPr>
        <w:t xml:space="preserve"> </w:t>
      </w:r>
      <w:r>
        <w:rPr>
          <w:sz w:val="20"/>
        </w:rPr>
        <w:t>do</w:t>
      </w:r>
      <w:r>
        <w:rPr>
          <w:spacing w:val="-10"/>
          <w:sz w:val="20"/>
        </w:rPr>
        <w:t xml:space="preserve"> </w:t>
      </w:r>
      <w:r>
        <w:rPr>
          <w:spacing w:val="-5"/>
          <w:sz w:val="20"/>
        </w:rPr>
        <w:t>TST</w:t>
      </w:r>
    </w:p>
    <w:p w:rsidR="007259F2" w:rsidRDefault="00E655B4">
      <w:pPr>
        <w:spacing w:before="5" w:line="228" w:lineRule="exact"/>
        <w:ind w:left="2978"/>
        <w:rPr>
          <w:b/>
          <w:sz w:val="20"/>
        </w:rPr>
      </w:pPr>
      <w:r>
        <w:rPr>
          <w:b/>
          <w:spacing w:val="-2"/>
          <w:sz w:val="20"/>
        </w:rPr>
        <w:t>CONTRATO</w:t>
      </w:r>
      <w:r>
        <w:rPr>
          <w:b/>
          <w:spacing w:val="-1"/>
          <w:sz w:val="20"/>
        </w:rPr>
        <w:t xml:space="preserve"> </w:t>
      </w:r>
      <w:r>
        <w:rPr>
          <w:b/>
          <w:spacing w:val="-2"/>
          <w:sz w:val="20"/>
        </w:rPr>
        <w:t>DE</w:t>
      </w:r>
      <w:r>
        <w:rPr>
          <w:b/>
          <w:spacing w:val="-3"/>
          <w:sz w:val="20"/>
        </w:rPr>
        <w:t xml:space="preserve"> </w:t>
      </w:r>
      <w:r>
        <w:rPr>
          <w:b/>
          <w:spacing w:val="-2"/>
          <w:sz w:val="20"/>
        </w:rPr>
        <w:t>PRESTAÇÃO</w:t>
      </w:r>
      <w:r>
        <w:rPr>
          <w:b/>
          <w:spacing w:val="-1"/>
          <w:sz w:val="20"/>
        </w:rPr>
        <w:t xml:space="preserve"> </w:t>
      </w:r>
      <w:r>
        <w:rPr>
          <w:b/>
          <w:spacing w:val="-2"/>
          <w:sz w:val="20"/>
        </w:rPr>
        <w:t>DE</w:t>
      </w:r>
      <w:r>
        <w:rPr>
          <w:b/>
          <w:spacing w:val="-3"/>
          <w:sz w:val="20"/>
        </w:rPr>
        <w:t xml:space="preserve"> </w:t>
      </w:r>
      <w:r>
        <w:rPr>
          <w:b/>
          <w:spacing w:val="-2"/>
          <w:sz w:val="20"/>
        </w:rPr>
        <w:t>SERVIÇOS. LEGALIDADE</w:t>
      </w:r>
    </w:p>
    <w:p w:rsidR="007259F2" w:rsidRDefault="00E655B4">
      <w:pPr>
        <w:ind w:left="2978" w:right="989"/>
        <w:jc w:val="both"/>
        <w:rPr>
          <w:sz w:val="20"/>
        </w:rPr>
      </w:pPr>
      <w:r>
        <w:rPr>
          <w:sz w:val="20"/>
        </w:rPr>
        <w:t>V - Os entes integrantes da Administração Pública direta e indireta</w:t>
      </w:r>
      <w:r>
        <w:rPr>
          <w:spacing w:val="40"/>
          <w:sz w:val="20"/>
        </w:rPr>
        <w:t xml:space="preserve"> </w:t>
      </w:r>
      <w:r>
        <w:rPr>
          <w:sz w:val="20"/>
        </w:rPr>
        <w:t>respondem subsidiariamente, nas mesmas condições do item IV, caso evidenciada a</w:t>
      </w:r>
      <w:r>
        <w:rPr>
          <w:spacing w:val="-1"/>
          <w:sz w:val="20"/>
        </w:rPr>
        <w:t xml:space="preserve"> </w:t>
      </w:r>
      <w:r>
        <w:rPr>
          <w:sz w:val="20"/>
        </w:rPr>
        <w:t>sua conduta culposa no cumprimento das obrigações da Lei n.º 8.666, de 21.06.1993, especialmente na fiscalização do cumprimento das obrigações contratuais e legais da prestadora de serviço como empregadora.</w:t>
      </w:r>
      <w:r>
        <w:rPr>
          <w:spacing w:val="40"/>
          <w:sz w:val="20"/>
        </w:rPr>
        <w:t xml:space="preserve"> </w:t>
      </w:r>
      <w:r>
        <w:rPr>
          <w:sz w:val="20"/>
        </w:rPr>
        <w:t>A aludida responsabilidade não decorre de mero inadimplemento das obrigações trabalhistas assumidas pela empresa regularmente contratada.</w:t>
      </w:r>
    </w:p>
    <w:p w:rsidR="007259F2" w:rsidRDefault="00E655B4">
      <w:pPr>
        <w:pStyle w:val="Corpodetexto"/>
        <w:spacing w:before="228"/>
        <w:ind w:right="989"/>
      </w:pPr>
      <w:r>
        <w:t>Faz parte da própria natureza dos Contratos de Gestão celebrados entre o poder público e as OS que esta última detenha plena autonomia de gestão sobre o objeto do contrato a fim de se alcançar os objetivos pactuados no referido instrumento. Nesse tipo de</w:t>
      </w:r>
      <w:r>
        <w:rPr>
          <w:spacing w:val="40"/>
        </w:rPr>
        <w:t xml:space="preserve"> </w:t>
      </w:r>
      <w:r>
        <w:t>contratação, cumpre ao poder público a fiscalização sobre a correta execução e o atingimento dos resultados esperados, não detendo a administração pública qualquer ingerência sobre a forma pela qual a OS gere seus recursos para a consecução dos objetivos dispostos na</w:t>
      </w:r>
      <w:r>
        <w:rPr>
          <w:spacing w:val="40"/>
        </w:rPr>
        <w:t xml:space="preserve"> </w:t>
      </w:r>
      <w:r>
        <w:t>parceria, em outras palavras, a responsabilização do Município</w:t>
      </w:r>
      <w:r>
        <w:rPr>
          <w:spacing w:val="40"/>
        </w:rPr>
        <w:t xml:space="preserve"> </w:t>
      </w:r>
      <w:r>
        <w:t>de São Paulo no caso em questão, só poderia ser reconhecida caso ficasse cabalmente demonstrado a ausência de fiscalização por parte do poder público, sendo que, para tanto,</w:t>
      </w:r>
      <w:r>
        <w:rPr>
          <w:spacing w:val="30"/>
        </w:rPr>
        <w:t xml:space="preserve"> </w:t>
      </w:r>
      <w:r>
        <w:t>o</w:t>
      </w:r>
      <w:r>
        <w:rPr>
          <w:spacing w:val="33"/>
        </w:rPr>
        <w:t xml:space="preserve"> </w:t>
      </w:r>
      <w:r>
        <w:t>ônus</w:t>
      </w:r>
      <w:r>
        <w:rPr>
          <w:spacing w:val="32"/>
        </w:rPr>
        <w:t xml:space="preserve"> </w:t>
      </w:r>
      <w:r>
        <w:t>da</w:t>
      </w:r>
      <w:r>
        <w:rPr>
          <w:spacing w:val="32"/>
        </w:rPr>
        <w:t xml:space="preserve"> </w:t>
      </w:r>
      <w:r>
        <w:t>prova</w:t>
      </w:r>
      <w:r>
        <w:rPr>
          <w:spacing w:val="35"/>
        </w:rPr>
        <w:t xml:space="preserve"> </w:t>
      </w:r>
      <w:r>
        <w:t>-</w:t>
      </w:r>
      <w:r>
        <w:rPr>
          <w:spacing w:val="35"/>
        </w:rPr>
        <w:t xml:space="preserve"> </w:t>
      </w:r>
      <w:r>
        <w:t>de</w:t>
      </w:r>
      <w:r>
        <w:rPr>
          <w:spacing w:val="32"/>
        </w:rPr>
        <w:t xml:space="preserve"> </w:t>
      </w:r>
      <w:r>
        <w:t>acordo</w:t>
      </w:r>
      <w:r>
        <w:rPr>
          <w:spacing w:val="31"/>
        </w:rPr>
        <w:t xml:space="preserve"> </w:t>
      </w:r>
      <w:r>
        <w:t>com</w:t>
      </w:r>
      <w:r>
        <w:rPr>
          <w:spacing w:val="36"/>
        </w:rPr>
        <w:t xml:space="preserve"> </w:t>
      </w:r>
      <w:r>
        <w:t>entendimento</w:t>
      </w:r>
      <w:r>
        <w:rPr>
          <w:spacing w:val="32"/>
        </w:rPr>
        <w:t xml:space="preserve"> </w:t>
      </w:r>
      <w:r>
        <w:t>sedimentado</w:t>
      </w:r>
      <w:r>
        <w:rPr>
          <w:spacing w:val="32"/>
        </w:rPr>
        <w:t xml:space="preserve"> </w:t>
      </w:r>
      <w:r>
        <w:t>na</w:t>
      </w:r>
      <w:r>
        <w:rPr>
          <w:spacing w:val="32"/>
        </w:rPr>
        <w:t xml:space="preserve"> </w:t>
      </w:r>
      <w:r>
        <w:rPr>
          <w:spacing w:val="-2"/>
        </w:rPr>
        <w:t>jurisprudência</w:t>
      </w:r>
    </w:p>
    <w:p w:rsidR="007259F2" w:rsidRDefault="007259F2">
      <w:pPr>
        <w:pStyle w:val="Corpodetexto"/>
        <w:sectPr w:rsidR="007259F2">
          <w:footerReference w:type="default" r:id="rId449"/>
          <w:pgSz w:w="11910" w:h="16840"/>
          <w:pgMar w:top="1320" w:right="708" w:bottom="280" w:left="992" w:header="0" w:footer="0" w:gutter="0"/>
          <w:cols w:space="720"/>
        </w:sectPr>
      </w:pPr>
    </w:p>
    <w:p w:rsidR="007259F2" w:rsidRDefault="00E655B4">
      <w:pPr>
        <w:pStyle w:val="Corpodetexto"/>
        <w:spacing w:before="69"/>
        <w:ind w:right="990" w:firstLine="0"/>
        <w:jc w:val="left"/>
      </w:pPr>
      <w:r>
        <w:lastRenderedPageBreak/>
        <w:t>pátria</w:t>
      </w:r>
      <w:r>
        <w:rPr>
          <w:spacing w:val="22"/>
        </w:rPr>
        <w:t xml:space="preserve"> </w:t>
      </w:r>
      <w:r>
        <w:t>-</w:t>
      </w:r>
      <w:r>
        <w:rPr>
          <w:spacing w:val="22"/>
        </w:rPr>
        <w:t xml:space="preserve"> </w:t>
      </w:r>
      <w:r>
        <w:t>compete</w:t>
      </w:r>
      <w:r>
        <w:rPr>
          <w:spacing w:val="22"/>
        </w:rPr>
        <w:t xml:space="preserve"> </w:t>
      </w:r>
      <w:r>
        <w:t>a</w:t>
      </w:r>
      <w:r>
        <w:rPr>
          <w:spacing w:val="22"/>
        </w:rPr>
        <w:t xml:space="preserve"> </w:t>
      </w:r>
      <w:r>
        <w:t>quem</w:t>
      </w:r>
      <w:r>
        <w:rPr>
          <w:spacing w:val="25"/>
        </w:rPr>
        <w:t xml:space="preserve"> </w:t>
      </w:r>
      <w:r>
        <w:t>alega</w:t>
      </w:r>
      <w:r>
        <w:rPr>
          <w:spacing w:val="21"/>
        </w:rPr>
        <w:t xml:space="preserve"> </w:t>
      </w:r>
      <w:r>
        <w:t>suposta</w:t>
      </w:r>
      <w:r>
        <w:rPr>
          <w:spacing w:val="22"/>
        </w:rPr>
        <w:t xml:space="preserve"> </w:t>
      </w:r>
      <w:r>
        <w:t>omissão</w:t>
      </w:r>
      <w:r>
        <w:rPr>
          <w:spacing w:val="22"/>
        </w:rPr>
        <w:t xml:space="preserve"> </w:t>
      </w:r>
      <w:r>
        <w:t>no</w:t>
      </w:r>
      <w:r>
        <w:rPr>
          <w:spacing w:val="23"/>
        </w:rPr>
        <w:t xml:space="preserve"> </w:t>
      </w:r>
      <w:r>
        <w:t>dever</w:t>
      </w:r>
      <w:r>
        <w:rPr>
          <w:spacing w:val="22"/>
        </w:rPr>
        <w:t xml:space="preserve"> </w:t>
      </w:r>
      <w:r>
        <w:t>fiscalizatório,</w:t>
      </w:r>
      <w:r>
        <w:rPr>
          <w:spacing w:val="23"/>
        </w:rPr>
        <w:t xml:space="preserve"> </w:t>
      </w:r>
      <w:r>
        <w:t>o</w:t>
      </w:r>
      <w:r>
        <w:rPr>
          <w:spacing w:val="23"/>
        </w:rPr>
        <w:t xml:space="preserve"> </w:t>
      </w:r>
      <w:r>
        <w:t>que</w:t>
      </w:r>
      <w:r>
        <w:rPr>
          <w:spacing w:val="22"/>
        </w:rPr>
        <w:t xml:space="preserve"> </w:t>
      </w:r>
      <w:r>
        <w:t>de</w:t>
      </w:r>
      <w:r>
        <w:rPr>
          <w:spacing w:val="22"/>
        </w:rPr>
        <w:t xml:space="preserve"> </w:t>
      </w:r>
      <w:r>
        <w:t>fato, não ocorreu.</w:t>
      </w:r>
    </w:p>
    <w:p w:rsidR="007259F2" w:rsidRDefault="00E655B4">
      <w:pPr>
        <w:pStyle w:val="Corpodetexto"/>
        <w:spacing w:before="1"/>
        <w:ind w:right="992"/>
      </w:pPr>
      <w:r>
        <w:t>Sobre</w:t>
      </w:r>
      <w:r>
        <w:rPr>
          <w:spacing w:val="-3"/>
        </w:rPr>
        <w:t xml:space="preserve"> </w:t>
      </w:r>
      <w:r>
        <w:t>a</w:t>
      </w:r>
      <w:r>
        <w:rPr>
          <w:spacing w:val="-2"/>
        </w:rPr>
        <w:t xml:space="preserve"> </w:t>
      </w:r>
      <w:r>
        <w:t>natureza</w:t>
      </w:r>
      <w:r>
        <w:rPr>
          <w:spacing w:val="-2"/>
        </w:rPr>
        <w:t xml:space="preserve"> </w:t>
      </w:r>
      <w:r>
        <w:t>e</w:t>
      </w:r>
      <w:r>
        <w:rPr>
          <w:spacing w:val="-2"/>
        </w:rPr>
        <w:t xml:space="preserve"> </w:t>
      </w:r>
      <w:r>
        <w:t>finalidade</w:t>
      </w:r>
      <w:r>
        <w:rPr>
          <w:spacing w:val="-2"/>
        </w:rPr>
        <w:t xml:space="preserve"> </w:t>
      </w:r>
      <w:r>
        <w:t>dos</w:t>
      </w:r>
      <w:r>
        <w:rPr>
          <w:spacing w:val="-1"/>
        </w:rPr>
        <w:t xml:space="preserve"> </w:t>
      </w:r>
      <w:r>
        <w:t>Contratos</w:t>
      </w:r>
      <w:r>
        <w:rPr>
          <w:spacing w:val="-1"/>
        </w:rPr>
        <w:t xml:space="preserve"> </w:t>
      </w:r>
      <w:r>
        <w:t>de</w:t>
      </w:r>
      <w:r>
        <w:rPr>
          <w:spacing w:val="-2"/>
        </w:rPr>
        <w:t xml:space="preserve"> </w:t>
      </w:r>
      <w:r>
        <w:t>Gestão,</w:t>
      </w:r>
      <w:r>
        <w:rPr>
          <w:spacing w:val="-2"/>
        </w:rPr>
        <w:t xml:space="preserve"> </w:t>
      </w:r>
      <w:r>
        <w:t>a</w:t>
      </w:r>
      <w:r>
        <w:rPr>
          <w:spacing w:val="-2"/>
        </w:rPr>
        <w:t xml:space="preserve"> </w:t>
      </w:r>
      <w:r>
        <w:t>professora</w:t>
      </w:r>
      <w:r>
        <w:rPr>
          <w:spacing w:val="-2"/>
        </w:rPr>
        <w:t xml:space="preserve"> </w:t>
      </w:r>
      <w:r>
        <w:t>Maria Sylvia Zanella Di Pietro leciona que:</w:t>
      </w:r>
    </w:p>
    <w:p w:rsidR="007259F2" w:rsidRDefault="007259F2">
      <w:pPr>
        <w:pStyle w:val="Corpodetexto"/>
        <w:spacing w:before="1"/>
        <w:ind w:left="0" w:firstLine="0"/>
        <w:jc w:val="left"/>
      </w:pPr>
    </w:p>
    <w:p w:rsidR="007259F2" w:rsidRDefault="00E655B4">
      <w:pPr>
        <w:ind w:left="2978" w:right="988"/>
        <w:jc w:val="both"/>
        <w:rPr>
          <w:sz w:val="20"/>
        </w:rPr>
      </w:pPr>
      <w:r>
        <w:rPr>
          <w:sz w:val="20"/>
        </w:rPr>
        <w:t>Quanto ao contrato de gestão, servirá de instrumento para estabelecer-se um vínculo jurídico entre a organização social e a Administração Pública. Por meio</w:t>
      </w:r>
      <w:r>
        <w:rPr>
          <w:spacing w:val="40"/>
          <w:sz w:val="20"/>
        </w:rPr>
        <w:t xml:space="preserve"> </w:t>
      </w:r>
      <w:r>
        <w:rPr>
          <w:sz w:val="20"/>
        </w:rPr>
        <w:t>dele, fixam-se as metas a serem</w:t>
      </w:r>
      <w:r>
        <w:rPr>
          <w:spacing w:val="-1"/>
          <w:sz w:val="20"/>
        </w:rPr>
        <w:t xml:space="preserve"> </w:t>
      </w:r>
      <w:r>
        <w:rPr>
          <w:sz w:val="20"/>
        </w:rPr>
        <w:t>cumpridas pela entidade e, em</w:t>
      </w:r>
      <w:r>
        <w:rPr>
          <w:spacing w:val="-1"/>
          <w:sz w:val="20"/>
        </w:rPr>
        <w:t xml:space="preserve"> </w:t>
      </w:r>
      <w:r>
        <w:rPr>
          <w:sz w:val="20"/>
        </w:rPr>
        <w:t>troca, o Poder</w:t>
      </w:r>
      <w:r>
        <w:rPr>
          <w:spacing w:val="40"/>
          <w:sz w:val="20"/>
        </w:rPr>
        <w:t xml:space="preserve"> </w:t>
      </w:r>
      <w:r>
        <w:rPr>
          <w:sz w:val="20"/>
        </w:rPr>
        <w:t>Público auxilia de diversas formas, quer cedendo bens públicos, quer transferindo recursos orçamentários, quer cedendo servidores públicos. (DI PIETRO, 2006, p. 268)</w:t>
      </w:r>
    </w:p>
    <w:p w:rsidR="007259F2" w:rsidRDefault="00E655B4">
      <w:pPr>
        <w:pStyle w:val="Corpodetexto"/>
        <w:spacing w:before="229"/>
        <w:ind w:right="988"/>
      </w:pPr>
      <w:r>
        <w:t>Frise-se,</w:t>
      </w:r>
      <w:r>
        <w:rPr>
          <w:spacing w:val="40"/>
        </w:rPr>
        <w:t xml:space="preserve"> </w:t>
      </w:r>
      <w:r>
        <w:t>na</w:t>
      </w:r>
      <w:r>
        <w:rPr>
          <w:spacing w:val="40"/>
        </w:rPr>
        <w:t xml:space="preserve"> </w:t>
      </w:r>
      <w:r>
        <w:t>Reclamação</w:t>
      </w:r>
      <w:r>
        <w:rPr>
          <w:spacing w:val="40"/>
        </w:rPr>
        <w:t xml:space="preserve"> </w:t>
      </w:r>
      <w:r>
        <w:t>Trabalhista</w:t>
      </w:r>
      <w:r>
        <w:rPr>
          <w:spacing w:val="40"/>
        </w:rPr>
        <w:t xml:space="preserve"> </w:t>
      </w:r>
      <w:r>
        <w:t>proposta,</w:t>
      </w:r>
      <w:r>
        <w:rPr>
          <w:spacing w:val="40"/>
        </w:rPr>
        <w:t xml:space="preserve"> </w:t>
      </w:r>
      <w:r>
        <w:t>não</w:t>
      </w:r>
      <w:r>
        <w:rPr>
          <w:spacing w:val="40"/>
        </w:rPr>
        <w:t xml:space="preserve"> </w:t>
      </w:r>
      <w:r>
        <w:t>existe</w:t>
      </w:r>
      <w:r>
        <w:rPr>
          <w:spacing w:val="40"/>
        </w:rPr>
        <w:t xml:space="preserve"> </w:t>
      </w:r>
      <w:r>
        <w:t>qualquer comprovação</w:t>
      </w:r>
      <w:r>
        <w:rPr>
          <w:spacing w:val="40"/>
        </w:rPr>
        <w:t xml:space="preserve"> </w:t>
      </w:r>
      <w:r>
        <w:t>ou mesmo menção de desvirtuamento das condições estabelecidas no Contrato de</w:t>
      </w:r>
      <w:r>
        <w:rPr>
          <w:spacing w:val="-1"/>
        </w:rPr>
        <w:t xml:space="preserve"> </w:t>
      </w:r>
      <w:r>
        <w:t>Gestão</w:t>
      </w:r>
      <w:r>
        <w:rPr>
          <w:spacing w:val="-1"/>
        </w:rPr>
        <w:t xml:space="preserve"> </w:t>
      </w:r>
      <w:r>
        <w:t>referentes</w:t>
      </w:r>
      <w:r>
        <w:rPr>
          <w:spacing w:val="-1"/>
        </w:rPr>
        <w:t xml:space="preserve"> </w:t>
      </w:r>
      <w:r>
        <w:t>à</w:t>
      </w:r>
      <w:r>
        <w:rPr>
          <w:spacing w:val="-1"/>
        </w:rPr>
        <w:t xml:space="preserve"> </w:t>
      </w:r>
      <w:r>
        <w:t>execução das atividades e</w:t>
      </w:r>
      <w:r>
        <w:rPr>
          <w:spacing w:val="-1"/>
        </w:rPr>
        <w:t xml:space="preserve"> </w:t>
      </w:r>
      <w:r>
        <w:t>serviços de</w:t>
      </w:r>
      <w:r>
        <w:rPr>
          <w:spacing w:val="-1"/>
        </w:rPr>
        <w:t xml:space="preserve"> </w:t>
      </w:r>
      <w:r>
        <w:t>saúde</w:t>
      </w:r>
      <w:r>
        <w:rPr>
          <w:spacing w:val="-1"/>
        </w:rPr>
        <w:t xml:space="preserve"> </w:t>
      </w:r>
      <w:r>
        <w:t>ou à</w:t>
      </w:r>
      <w:r>
        <w:rPr>
          <w:spacing w:val="-1"/>
        </w:rPr>
        <w:t xml:space="preserve"> </w:t>
      </w:r>
      <w:r>
        <w:t>inércia da Administração Municipal Paulistana no tocante à fiscalização da execução do contrato. Ademais, ressalta-se no caso aqui estudado que o Contrato de Gestão se</w:t>
      </w:r>
      <w:r>
        <w:rPr>
          <w:spacing w:val="40"/>
        </w:rPr>
        <w:t xml:space="preserve"> </w:t>
      </w:r>
      <w:r>
        <w:t>traduz, na prática, como uma verdadeira concessão por parte do poder público destinando a um particular a possibilidade da prestação de determinados serviços públicos,</w:t>
      </w:r>
      <w:r>
        <w:rPr>
          <w:spacing w:val="40"/>
        </w:rPr>
        <w:t xml:space="preserve"> </w:t>
      </w:r>
      <w:r>
        <w:t>fato</w:t>
      </w:r>
      <w:r>
        <w:rPr>
          <w:spacing w:val="40"/>
        </w:rPr>
        <w:t xml:space="preserve"> </w:t>
      </w:r>
      <w:r>
        <w:t>esse</w:t>
      </w:r>
      <w:r>
        <w:rPr>
          <w:spacing w:val="40"/>
        </w:rPr>
        <w:t xml:space="preserve"> </w:t>
      </w:r>
      <w:r>
        <w:t>que</w:t>
      </w:r>
      <w:r>
        <w:rPr>
          <w:spacing w:val="40"/>
        </w:rPr>
        <w:t xml:space="preserve"> </w:t>
      </w:r>
      <w:r>
        <w:t>não</w:t>
      </w:r>
      <w:r>
        <w:rPr>
          <w:spacing w:val="40"/>
        </w:rPr>
        <w:t xml:space="preserve"> </w:t>
      </w:r>
      <w:r>
        <w:t>se</w:t>
      </w:r>
      <w:r>
        <w:rPr>
          <w:spacing w:val="40"/>
        </w:rPr>
        <w:t xml:space="preserve"> </w:t>
      </w:r>
      <w:r>
        <w:t>amolda como uma contratação de serviços especializados em favor da Administração Pública, afastando, portanto, qualquer incidência do entendimento contido no inciso V da Súmula</w:t>
      </w:r>
      <w:r>
        <w:rPr>
          <w:spacing w:val="40"/>
        </w:rPr>
        <w:t xml:space="preserve"> </w:t>
      </w:r>
      <w:r>
        <w:t>331</w:t>
      </w:r>
      <w:r>
        <w:rPr>
          <w:spacing w:val="40"/>
        </w:rPr>
        <w:t xml:space="preserve"> </w:t>
      </w:r>
      <w:r>
        <w:t>do</w:t>
      </w:r>
      <w:r>
        <w:rPr>
          <w:spacing w:val="40"/>
        </w:rPr>
        <w:t xml:space="preserve"> </w:t>
      </w:r>
      <w:r>
        <w:t>Tribunal</w:t>
      </w:r>
      <w:r>
        <w:rPr>
          <w:spacing w:val="40"/>
        </w:rPr>
        <w:t xml:space="preserve"> </w:t>
      </w:r>
      <w:r>
        <w:t>Superior do Trabalho no sentido de se buscar a</w:t>
      </w:r>
      <w:r>
        <w:rPr>
          <w:spacing w:val="-1"/>
        </w:rPr>
        <w:t xml:space="preserve"> </w:t>
      </w:r>
      <w:r>
        <w:t>responsabilização</w:t>
      </w:r>
      <w:r>
        <w:rPr>
          <w:spacing w:val="-2"/>
        </w:rPr>
        <w:t xml:space="preserve"> </w:t>
      </w:r>
      <w:r>
        <w:t>da</w:t>
      </w:r>
      <w:r>
        <w:rPr>
          <w:spacing w:val="-3"/>
        </w:rPr>
        <w:t xml:space="preserve"> </w:t>
      </w:r>
      <w:r>
        <w:t>Administração</w:t>
      </w:r>
      <w:r>
        <w:rPr>
          <w:spacing w:val="-2"/>
        </w:rPr>
        <w:t xml:space="preserve"> </w:t>
      </w:r>
      <w:r>
        <w:t>Pública</w:t>
      </w:r>
      <w:r>
        <w:rPr>
          <w:spacing w:val="-3"/>
        </w:rPr>
        <w:t xml:space="preserve"> </w:t>
      </w:r>
      <w:r>
        <w:t>de forma</w:t>
      </w:r>
      <w:r>
        <w:rPr>
          <w:spacing w:val="-2"/>
        </w:rPr>
        <w:t xml:space="preserve"> </w:t>
      </w:r>
      <w:r>
        <w:t>subsidiária</w:t>
      </w:r>
      <w:r>
        <w:rPr>
          <w:spacing w:val="-2"/>
        </w:rPr>
        <w:t xml:space="preserve"> </w:t>
      </w:r>
      <w:r>
        <w:t>por suposta</w:t>
      </w:r>
      <w:r>
        <w:rPr>
          <w:spacing w:val="-2"/>
        </w:rPr>
        <w:t xml:space="preserve"> </w:t>
      </w:r>
      <w:r>
        <w:t>alegação infundada</w:t>
      </w:r>
      <w:r>
        <w:rPr>
          <w:spacing w:val="40"/>
        </w:rPr>
        <w:t xml:space="preserve"> </w:t>
      </w:r>
      <w:r>
        <w:t>de</w:t>
      </w:r>
      <w:r>
        <w:rPr>
          <w:spacing w:val="38"/>
        </w:rPr>
        <w:t xml:space="preserve"> </w:t>
      </w:r>
      <w:r>
        <w:t>falta</w:t>
      </w:r>
      <w:r>
        <w:rPr>
          <w:spacing w:val="38"/>
        </w:rPr>
        <w:t xml:space="preserve"> </w:t>
      </w:r>
      <w:r>
        <w:t>de</w:t>
      </w:r>
      <w:r>
        <w:rPr>
          <w:spacing w:val="38"/>
        </w:rPr>
        <w:t xml:space="preserve"> </w:t>
      </w:r>
      <w:r>
        <w:t>fiscalização,</w:t>
      </w:r>
      <w:r>
        <w:rPr>
          <w:spacing w:val="40"/>
        </w:rPr>
        <w:t xml:space="preserve"> </w:t>
      </w:r>
      <w:r>
        <w:t>destacando- se aqui a ressalva contida no próprio inciso, em sua última frase, que adverte que: “A aludida responsabilidade não decorre de mero inadimplemento das obrigações trabalhistas assumidas pela empresa regularmente contratada” (SÚMULA 331, TST).</w:t>
      </w:r>
    </w:p>
    <w:p w:rsidR="007259F2" w:rsidRDefault="00E655B4">
      <w:pPr>
        <w:pStyle w:val="Corpodetexto"/>
        <w:spacing w:before="2"/>
        <w:ind w:right="988"/>
      </w:pPr>
      <w:r>
        <w:t>Farta</w:t>
      </w:r>
      <w:r>
        <w:rPr>
          <w:spacing w:val="40"/>
        </w:rPr>
        <w:t xml:space="preserve"> </w:t>
      </w:r>
      <w:r>
        <w:t>é</w:t>
      </w:r>
      <w:r>
        <w:rPr>
          <w:spacing w:val="40"/>
        </w:rPr>
        <w:t xml:space="preserve"> </w:t>
      </w:r>
      <w:r>
        <w:t>a</w:t>
      </w:r>
      <w:r>
        <w:rPr>
          <w:spacing w:val="40"/>
        </w:rPr>
        <w:t xml:space="preserve"> </w:t>
      </w:r>
      <w:r>
        <w:t>jurisprudência</w:t>
      </w:r>
      <w:r>
        <w:rPr>
          <w:spacing w:val="40"/>
        </w:rPr>
        <w:t xml:space="preserve"> </w:t>
      </w:r>
      <w:r>
        <w:t>pátria</w:t>
      </w:r>
      <w:r>
        <w:rPr>
          <w:spacing w:val="40"/>
        </w:rPr>
        <w:t xml:space="preserve"> </w:t>
      </w:r>
      <w:r>
        <w:t>no</w:t>
      </w:r>
      <w:r>
        <w:rPr>
          <w:spacing w:val="40"/>
        </w:rPr>
        <w:t xml:space="preserve"> </w:t>
      </w:r>
      <w:r>
        <w:t>sentido</w:t>
      </w:r>
      <w:r>
        <w:rPr>
          <w:spacing w:val="40"/>
        </w:rPr>
        <w:t xml:space="preserve"> </w:t>
      </w:r>
      <w:r>
        <w:t>da</w:t>
      </w:r>
      <w:r>
        <w:rPr>
          <w:spacing w:val="40"/>
        </w:rPr>
        <w:t xml:space="preserve"> </w:t>
      </w:r>
      <w:r>
        <w:t>errônea</w:t>
      </w:r>
      <w:r>
        <w:rPr>
          <w:spacing w:val="40"/>
        </w:rPr>
        <w:t xml:space="preserve"> </w:t>
      </w:r>
      <w:r>
        <w:t>busca</w:t>
      </w:r>
      <w:r>
        <w:rPr>
          <w:spacing w:val="40"/>
        </w:rPr>
        <w:t xml:space="preserve"> </w:t>
      </w:r>
      <w:r>
        <w:t>por responsabilização do ente público nos casos em que existam Contratos de Gestão celebrados,</w:t>
      </w:r>
      <w:r>
        <w:rPr>
          <w:spacing w:val="40"/>
        </w:rPr>
        <w:t xml:space="preserve"> </w:t>
      </w:r>
      <w:r>
        <w:t>conforme alguns exemplos elencados abaixo:</w:t>
      </w:r>
    </w:p>
    <w:p w:rsidR="007259F2" w:rsidRDefault="007259F2">
      <w:pPr>
        <w:pStyle w:val="Corpodetexto"/>
        <w:spacing w:before="1"/>
        <w:ind w:left="0" w:firstLine="0"/>
        <w:jc w:val="left"/>
      </w:pPr>
    </w:p>
    <w:p w:rsidR="007259F2" w:rsidRDefault="00E655B4">
      <w:pPr>
        <w:ind w:left="2978" w:right="988"/>
        <w:jc w:val="both"/>
        <w:rPr>
          <w:sz w:val="20"/>
        </w:rPr>
      </w:pPr>
      <w:r>
        <w:rPr>
          <w:sz w:val="20"/>
        </w:rPr>
        <w:t>RECURSO ORDINÁRIO - TERMO DE PARCERIA FIRMADO ENTRE MUNICÍPIO E OSCIP - RESPONSABILIDADE SUBSIDIÁRIA</w:t>
      </w:r>
      <w:r>
        <w:rPr>
          <w:spacing w:val="-3"/>
          <w:sz w:val="20"/>
        </w:rPr>
        <w:t xml:space="preserve"> </w:t>
      </w:r>
      <w:r>
        <w:rPr>
          <w:sz w:val="20"/>
        </w:rPr>
        <w:t>DO ENTE PÚBLICO</w:t>
      </w:r>
      <w:r>
        <w:rPr>
          <w:spacing w:val="67"/>
          <w:sz w:val="20"/>
        </w:rPr>
        <w:t xml:space="preserve">    </w:t>
      </w:r>
      <w:r>
        <w:rPr>
          <w:sz w:val="20"/>
        </w:rPr>
        <w:t>PELAS</w:t>
      </w:r>
      <w:r>
        <w:rPr>
          <w:spacing w:val="67"/>
          <w:sz w:val="20"/>
        </w:rPr>
        <w:t xml:space="preserve">    </w:t>
      </w:r>
      <w:r>
        <w:rPr>
          <w:sz w:val="20"/>
        </w:rPr>
        <w:t>OBRIGAÇÕES</w:t>
      </w:r>
      <w:r>
        <w:rPr>
          <w:spacing w:val="68"/>
          <w:sz w:val="20"/>
        </w:rPr>
        <w:t xml:space="preserve">    </w:t>
      </w:r>
      <w:r>
        <w:rPr>
          <w:sz w:val="20"/>
        </w:rPr>
        <w:t>TRABALHISTAS</w:t>
      </w:r>
      <w:r>
        <w:rPr>
          <w:spacing w:val="70"/>
          <w:sz w:val="20"/>
        </w:rPr>
        <w:t xml:space="preserve">    </w:t>
      </w:r>
      <w:r>
        <w:rPr>
          <w:spacing w:val="-10"/>
          <w:sz w:val="20"/>
        </w:rPr>
        <w:t>-</w:t>
      </w:r>
    </w:p>
    <w:p w:rsidR="007259F2" w:rsidRDefault="00E655B4">
      <w:pPr>
        <w:ind w:left="2978" w:right="987"/>
        <w:jc w:val="both"/>
        <w:rPr>
          <w:sz w:val="20"/>
        </w:rPr>
      </w:pPr>
      <w:r>
        <w:rPr>
          <w:sz w:val="20"/>
        </w:rPr>
        <w:t>NÃO</w:t>
      </w:r>
      <w:r>
        <w:rPr>
          <w:spacing w:val="40"/>
          <w:sz w:val="20"/>
        </w:rPr>
        <w:t xml:space="preserve"> </w:t>
      </w:r>
      <w:r>
        <w:rPr>
          <w:sz w:val="20"/>
        </w:rPr>
        <w:t>CONFIGURAÇÃO.</w:t>
      </w:r>
      <w:r>
        <w:rPr>
          <w:spacing w:val="40"/>
          <w:sz w:val="20"/>
        </w:rPr>
        <w:t xml:space="preserve"> </w:t>
      </w:r>
      <w:r>
        <w:rPr>
          <w:sz w:val="20"/>
        </w:rPr>
        <w:t>1.</w:t>
      </w:r>
      <w:r>
        <w:rPr>
          <w:spacing w:val="40"/>
          <w:sz w:val="20"/>
        </w:rPr>
        <w:t xml:space="preserve"> </w:t>
      </w:r>
      <w:r>
        <w:rPr>
          <w:sz w:val="20"/>
        </w:rPr>
        <w:t>A</w:t>
      </w:r>
      <w:r>
        <w:rPr>
          <w:spacing w:val="40"/>
          <w:sz w:val="20"/>
        </w:rPr>
        <w:t xml:space="preserve"> </w:t>
      </w:r>
      <w:r>
        <w:rPr>
          <w:sz w:val="20"/>
        </w:rPr>
        <w:t>responsabilização</w:t>
      </w:r>
      <w:r>
        <w:rPr>
          <w:spacing w:val="40"/>
          <w:sz w:val="20"/>
        </w:rPr>
        <w:t xml:space="preserve"> </w:t>
      </w:r>
      <w:r>
        <w:rPr>
          <w:sz w:val="20"/>
        </w:rPr>
        <w:t>subsidiária</w:t>
      </w:r>
      <w:r>
        <w:rPr>
          <w:spacing w:val="40"/>
          <w:sz w:val="20"/>
        </w:rPr>
        <w:t xml:space="preserve"> </w:t>
      </w:r>
      <w:r>
        <w:rPr>
          <w:sz w:val="20"/>
        </w:rPr>
        <w:t>do</w:t>
      </w:r>
      <w:r>
        <w:rPr>
          <w:spacing w:val="40"/>
          <w:sz w:val="20"/>
        </w:rPr>
        <w:t xml:space="preserve"> </w:t>
      </w:r>
      <w:r>
        <w:rPr>
          <w:sz w:val="20"/>
        </w:rPr>
        <w:t>Município</w:t>
      </w:r>
      <w:r>
        <w:rPr>
          <w:spacing w:val="40"/>
          <w:sz w:val="20"/>
        </w:rPr>
        <w:t xml:space="preserve"> </w:t>
      </w:r>
      <w:r>
        <w:rPr>
          <w:sz w:val="20"/>
        </w:rPr>
        <w:t>reconhecida pelo "</w:t>
      </w:r>
      <w:r>
        <w:rPr>
          <w:i/>
          <w:sz w:val="20"/>
        </w:rPr>
        <w:t>a quo</w:t>
      </w:r>
      <w:r>
        <w:rPr>
          <w:sz w:val="20"/>
        </w:rPr>
        <w:t>" viola, por via transversa, a norma de ordem pública e caráter cogente inserta no inciso II e § 2º do artigo 37 da Constituição Federal, especificamente quando resta comprovado nos autos que a contratação da empresa prestadora de serviços ocorreu mediante celebração</w:t>
      </w:r>
      <w:r>
        <w:rPr>
          <w:spacing w:val="40"/>
          <w:sz w:val="20"/>
        </w:rPr>
        <w:t xml:space="preserve"> </w:t>
      </w:r>
      <w:r>
        <w:rPr>
          <w:sz w:val="20"/>
        </w:rPr>
        <w:t>de</w:t>
      </w:r>
      <w:r>
        <w:rPr>
          <w:spacing w:val="40"/>
          <w:sz w:val="20"/>
        </w:rPr>
        <w:t xml:space="preserve"> </w:t>
      </w:r>
      <w:r>
        <w:rPr>
          <w:sz w:val="20"/>
        </w:rPr>
        <w:t>Termo</w:t>
      </w:r>
      <w:r>
        <w:rPr>
          <w:spacing w:val="40"/>
          <w:sz w:val="20"/>
        </w:rPr>
        <w:t xml:space="preserve"> </w:t>
      </w:r>
      <w:r>
        <w:rPr>
          <w:sz w:val="20"/>
        </w:rPr>
        <w:t>de</w:t>
      </w:r>
      <w:r>
        <w:rPr>
          <w:spacing w:val="40"/>
          <w:sz w:val="20"/>
        </w:rPr>
        <w:t xml:space="preserve"> </w:t>
      </w:r>
      <w:r>
        <w:rPr>
          <w:sz w:val="20"/>
        </w:rPr>
        <w:t>Parceria</w:t>
      </w:r>
      <w:r>
        <w:rPr>
          <w:spacing w:val="80"/>
          <w:sz w:val="20"/>
        </w:rPr>
        <w:t xml:space="preserve"> </w:t>
      </w:r>
      <w:r>
        <w:rPr>
          <w:sz w:val="20"/>
        </w:rPr>
        <w:t>na</w:t>
      </w:r>
      <w:r>
        <w:rPr>
          <w:spacing w:val="80"/>
          <w:sz w:val="20"/>
        </w:rPr>
        <w:t xml:space="preserve"> </w:t>
      </w:r>
      <w:r>
        <w:rPr>
          <w:sz w:val="20"/>
        </w:rPr>
        <w:t>forma</w:t>
      </w:r>
      <w:r>
        <w:rPr>
          <w:spacing w:val="80"/>
          <w:sz w:val="20"/>
        </w:rPr>
        <w:t xml:space="preserve"> </w:t>
      </w:r>
      <w:r>
        <w:rPr>
          <w:sz w:val="20"/>
        </w:rPr>
        <w:t>disposta</w:t>
      </w:r>
      <w:r>
        <w:rPr>
          <w:spacing w:val="80"/>
          <w:sz w:val="20"/>
        </w:rPr>
        <w:t xml:space="preserve"> </w:t>
      </w:r>
      <w:r>
        <w:rPr>
          <w:sz w:val="20"/>
        </w:rPr>
        <w:t>pela</w:t>
      </w:r>
      <w:r>
        <w:rPr>
          <w:spacing w:val="80"/>
          <w:sz w:val="20"/>
        </w:rPr>
        <w:t xml:space="preserve"> </w:t>
      </w:r>
      <w:r>
        <w:rPr>
          <w:sz w:val="20"/>
        </w:rPr>
        <w:t>Lei</w:t>
      </w:r>
      <w:r>
        <w:rPr>
          <w:spacing w:val="80"/>
          <w:sz w:val="20"/>
        </w:rPr>
        <w:t xml:space="preserve"> </w:t>
      </w:r>
      <w:r>
        <w:rPr>
          <w:sz w:val="20"/>
        </w:rPr>
        <w:t>nº 9.790/99,</w:t>
      </w:r>
      <w:r>
        <w:rPr>
          <w:spacing w:val="40"/>
          <w:sz w:val="20"/>
        </w:rPr>
        <w:t xml:space="preserve"> </w:t>
      </w:r>
      <w:r>
        <w:rPr>
          <w:sz w:val="20"/>
        </w:rPr>
        <w:t>inexistindo</w:t>
      </w:r>
      <w:r>
        <w:rPr>
          <w:spacing w:val="40"/>
          <w:sz w:val="20"/>
        </w:rPr>
        <w:t xml:space="preserve"> </w:t>
      </w:r>
      <w:r>
        <w:rPr>
          <w:sz w:val="20"/>
        </w:rPr>
        <w:t>ainda</w:t>
      </w:r>
      <w:r>
        <w:rPr>
          <w:spacing w:val="40"/>
          <w:sz w:val="20"/>
        </w:rPr>
        <w:t xml:space="preserve"> </w:t>
      </w:r>
      <w:r>
        <w:rPr>
          <w:sz w:val="20"/>
        </w:rPr>
        <w:t>elementos</w:t>
      </w:r>
      <w:r>
        <w:rPr>
          <w:spacing w:val="40"/>
          <w:sz w:val="20"/>
        </w:rPr>
        <w:t xml:space="preserve"> </w:t>
      </w:r>
      <w:r>
        <w:rPr>
          <w:sz w:val="20"/>
        </w:rPr>
        <w:t>em</w:t>
      </w:r>
      <w:r>
        <w:rPr>
          <w:spacing w:val="40"/>
          <w:sz w:val="20"/>
        </w:rPr>
        <w:t xml:space="preserve"> </w:t>
      </w:r>
      <w:r>
        <w:rPr>
          <w:sz w:val="20"/>
        </w:rPr>
        <w:t>favor</w:t>
      </w:r>
      <w:r>
        <w:rPr>
          <w:spacing w:val="40"/>
          <w:sz w:val="20"/>
        </w:rPr>
        <w:t xml:space="preserve"> </w:t>
      </w:r>
      <w:r>
        <w:rPr>
          <w:sz w:val="20"/>
        </w:rPr>
        <w:t>da</w:t>
      </w:r>
      <w:r>
        <w:rPr>
          <w:spacing w:val="40"/>
          <w:sz w:val="20"/>
        </w:rPr>
        <w:t xml:space="preserve"> </w:t>
      </w:r>
      <w:r>
        <w:rPr>
          <w:sz w:val="20"/>
        </w:rPr>
        <w:t>tese</w:t>
      </w:r>
      <w:r>
        <w:rPr>
          <w:spacing w:val="40"/>
          <w:sz w:val="20"/>
        </w:rPr>
        <w:t xml:space="preserve"> </w:t>
      </w:r>
      <w:r>
        <w:rPr>
          <w:sz w:val="20"/>
        </w:rPr>
        <w:t>de</w:t>
      </w:r>
      <w:r>
        <w:rPr>
          <w:spacing w:val="40"/>
          <w:sz w:val="20"/>
        </w:rPr>
        <w:t xml:space="preserve"> </w:t>
      </w:r>
      <w:r>
        <w:rPr>
          <w:sz w:val="20"/>
        </w:rPr>
        <w:t>conduta culposa da edilidade no cumprimento das</w:t>
      </w:r>
      <w:r>
        <w:rPr>
          <w:spacing w:val="-1"/>
          <w:sz w:val="20"/>
        </w:rPr>
        <w:t xml:space="preserve"> </w:t>
      </w:r>
      <w:r>
        <w:rPr>
          <w:sz w:val="20"/>
        </w:rPr>
        <w:t>obrigações</w:t>
      </w:r>
      <w:r>
        <w:rPr>
          <w:spacing w:val="-1"/>
          <w:sz w:val="20"/>
        </w:rPr>
        <w:t xml:space="preserve"> </w:t>
      </w:r>
      <w:r>
        <w:rPr>
          <w:sz w:val="20"/>
        </w:rPr>
        <w:t>da</w:t>
      </w:r>
      <w:r>
        <w:rPr>
          <w:spacing w:val="-1"/>
          <w:sz w:val="20"/>
        </w:rPr>
        <w:t xml:space="preserve"> </w:t>
      </w:r>
      <w:r>
        <w:rPr>
          <w:sz w:val="20"/>
        </w:rPr>
        <w:t>Lei</w:t>
      </w:r>
      <w:r>
        <w:rPr>
          <w:spacing w:val="-1"/>
          <w:sz w:val="20"/>
        </w:rPr>
        <w:t xml:space="preserve"> </w:t>
      </w:r>
      <w:r>
        <w:rPr>
          <w:sz w:val="20"/>
        </w:rPr>
        <w:t>nº 8.666/93.</w:t>
      </w:r>
      <w:r>
        <w:rPr>
          <w:spacing w:val="-3"/>
          <w:sz w:val="20"/>
        </w:rPr>
        <w:t xml:space="preserve"> </w:t>
      </w:r>
      <w:r>
        <w:rPr>
          <w:sz w:val="20"/>
        </w:rPr>
        <w:t>2. Recurso ordinário provido.</w:t>
      </w:r>
      <w:r>
        <w:rPr>
          <w:spacing w:val="40"/>
          <w:sz w:val="20"/>
        </w:rPr>
        <w:t xml:space="preserve"> </w:t>
      </w:r>
      <w:r>
        <w:rPr>
          <w:sz w:val="20"/>
        </w:rPr>
        <w:t>(Proc.nº.TRT.0000626-13.2010.5.06.0281, 4ª</w:t>
      </w:r>
      <w:r>
        <w:rPr>
          <w:spacing w:val="-3"/>
          <w:sz w:val="20"/>
        </w:rPr>
        <w:t xml:space="preserve"> </w:t>
      </w:r>
      <w:r>
        <w:rPr>
          <w:sz w:val="20"/>
        </w:rPr>
        <w:t>T., Rel. Des. Pedro Paulo Pereira Nóbrega, pub 04/09/2012).</w:t>
      </w:r>
    </w:p>
    <w:p w:rsidR="007259F2" w:rsidRDefault="007259F2">
      <w:pPr>
        <w:pStyle w:val="Corpodetexto"/>
        <w:spacing w:before="2"/>
        <w:ind w:left="0" w:firstLine="0"/>
        <w:jc w:val="left"/>
        <w:rPr>
          <w:sz w:val="20"/>
        </w:rPr>
      </w:pPr>
    </w:p>
    <w:p w:rsidR="007259F2" w:rsidRDefault="00E655B4">
      <w:pPr>
        <w:ind w:left="2978" w:right="988"/>
        <w:jc w:val="both"/>
        <w:rPr>
          <w:sz w:val="20"/>
        </w:rPr>
      </w:pPr>
      <w:r>
        <w:rPr>
          <w:sz w:val="20"/>
        </w:rPr>
        <w:t xml:space="preserve">TERMO DE PARCERIA - AUTARQUIA FEDERAL - </w:t>
      </w:r>
      <w:r>
        <w:rPr>
          <w:spacing w:val="-2"/>
          <w:sz w:val="20"/>
        </w:rPr>
        <w:t>RESPONSABILIDADE</w:t>
      </w:r>
    </w:p>
    <w:p w:rsidR="007259F2" w:rsidRDefault="00E655B4">
      <w:pPr>
        <w:ind w:left="2978" w:right="986"/>
        <w:jc w:val="both"/>
        <w:rPr>
          <w:sz w:val="20"/>
        </w:rPr>
      </w:pPr>
      <w:r>
        <w:rPr>
          <w:sz w:val="20"/>
        </w:rPr>
        <w:t>SUBSIDIÁRIA - IMPOSSIBILIDADE. Constatada prestação de serviços à Administração Pública, por força do Termo de Parceria celebrado com Organização</w:t>
      </w:r>
      <w:r>
        <w:rPr>
          <w:spacing w:val="40"/>
          <w:sz w:val="20"/>
        </w:rPr>
        <w:t xml:space="preserve"> </w:t>
      </w:r>
      <w:r>
        <w:rPr>
          <w:sz w:val="20"/>
        </w:rPr>
        <w:t>Civil</w:t>
      </w:r>
      <w:r>
        <w:rPr>
          <w:spacing w:val="40"/>
          <w:sz w:val="20"/>
        </w:rPr>
        <w:t xml:space="preserve"> </w:t>
      </w:r>
      <w:r>
        <w:rPr>
          <w:sz w:val="20"/>
        </w:rPr>
        <w:t>de</w:t>
      </w:r>
      <w:r>
        <w:rPr>
          <w:spacing w:val="40"/>
          <w:sz w:val="20"/>
        </w:rPr>
        <w:t xml:space="preserve"> </w:t>
      </w:r>
      <w:r>
        <w:rPr>
          <w:sz w:val="20"/>
        </w:rPr>
        <w:t>interesse</w:t>
      </w:r>
      <w:r>
        <w:rPr>
          <w:spacing w:val="40"/>
          <w:sz w:val="20"/>
        </w:rPr>
        <w:t xml:space="preserve"> </w:t>
      </w:r>
      <w:r>
        <w:rPr>
          <w:sz w:val="20"/>
        </w:rPr>
        <w:t>público,</w:t>
      </w:r>
      <w:r>
        <w:rPr>
          <w:spacing w:val="40"/>
          <w:sz w:val="20"/>
        </w:rPr>
        <w:t xml:space="preserve"> </w:t>
      </w:r>
      <w:r>
        <w:rPr>
          <w:sz w:val="20"/>
        </w:rPr>
        <w:t>não</w:t>
      </w:r>
      <w:r>
        <w:rPr>
          <w:spacing w:val="40"/>
          <w:sz w:val="20"/>
        </w:rPr>
        <w:t xml:space="preserve"> </w:t>
      </w:r>
      <w:r>
        <w:rPr>
          <w:sz w:val="20"/>
        </w:rPr>
        <w:t>se</w:t>
      </w:r>
      <w:r>
        <w:rPr>
          <w:spacing w:val="40"/>
          <w:sz w:val="20"/>
        </w:rPr>
        <w:t xml:space="preserve"> </w:t>
      </w:r>
      <w:r>
        <w:rPr>
          <w:sz w:val="20"/>
        </w:rPr>
        <w:t>aplica</w:t>
      </w:r>
      <w:r>
        <w:rPr>
          <w:spacing w:val="40"/>
          <w:sz w:val="20"/>
        </w:rPr>
        <w:t xml:space="preserve"> </w:t>
      </w:r>
      <w:r>
        <w:rPr>
          <w:sz w:val="20"/>
        </w:rPr>
        <w:t>o</w:t>
      </w:r>
      <w:r>
        <w:rPr>
          <w:spacing w:val="40"/>
          <w:sz w:val="20"/>
        </w:rPr>
        <w:t xml:space="preserve"> </w:t>
      </w:r>
      <w:r>
        <w:rPr>
          <w:sz w:val="20"/>
        </w:rPr>
        <w:t>item</w:t>
      </w:r>
      <w:r>
        <w:rPr>
          <w:spacing w:val="40"/>
          <w:sz w:val="20"/>
        </w:rPr>
        <w:t xml:space="preserve"> </w:t>
      </w:r>
      <w:r>
        <w:rPr>
          <w:sz w:val="20"/>
        </w:rPr>
        <w:t>IV</w:t>
      </w:r>
      <w:r>
        <w:rPr>
          <w:spacing w:val="40"/>
          <w:sz w:val="20"/>
        </w:rPr>
        <w:t xml:space="preserve"> </w:t>
      </w:r>
      <w:r>
        <w:rPr>
          <w:sz w:val="20"/>
        </w:rPr>
        <w:t>da Súmula</w:t>
      </w:r>
      <w:r>
        <w:rPr>
          <w:spacing w:val="40"/>
          <w:sz w:val="20"/>
        </w:rPr>
        <w:t xml:space="preserve"> </w:t>
      </w:r>
      <w:r>
        <w:rPr>
          <w:sz w:val="20"/>
        </w:rPr>
        <w:t>n.º 331 do TST, até porque, além de prevista responsabilidade solidária</w:t>
      </w:r>
      <w:r>
        <w:rPr>
          <w:spacing w:val="-3"/>
          <w:sz w:val="20"/>
        </w:rPr>
        <w:t xml:space="preserve"> </w:t>
      </w:r>
      <w:r>
        <w:rPr>
          <w:sz w:val="20"/>
        </w:rPr>
        <w:t>apenas</w:t>
      </w:r>
      <w:r>
        <w:rPr>
          <w:spacing w:val="-4"/>
          <w:sz w:val="20"/>
        </w:rPr>
        <w:t xml:space="preserve"> </w:t>
      </w:r>
      <w:r>
        <w:rPr>
          <w:sz w:val="20"/>
        </w:rPr>
        <w:t>ao</w:t>
      </w:r>
      <w:r>
        <w:rPr>
          <w:spacing w:val="-2"/>
          <w:sz w:val="20"/>
        </w:rPr>
        <w:t xml:space="preserve"> </w:t>
      </w:r>
      <w:r>
        <w:rPr>
          <w:sz w:val="20"/>
        </w:rPr>
        <w:t>fiscalizador</w:t>
      </w:r>
      <w:r>
        <w:rPr>
          <w:spacing w:val="39"/>
          <w:sz w:val="20"/>
        </w:rPr>
        <w:t xml:space="preserve"> </w:t>
      </w:r>
      <w:r>
        <w:rPr>
          <w:sz w:val="20"/>
        </w:rPr>
        <w:t>do</w:t>
      </w:r>
      <w:r>
        <w:rPr>
          <w:spacing w:val="35"/>
          <w:sz w:val="20"/>
        </w:rPr>
        <w:t xml:space="preserve"> </w:t>
      </w:r>
      <w:r>
        <w:rPr>
          <w:sz w:val="20"/>
        </w:rPr>
        <w:t>pacto</w:t>
      </w:r>
      <w:r>
        <w:rPr>
          <w:spacing w:val="35"/>
          <w:sz w:val="20"/>
        </w:rPr>
        <w:t xml:space="preserve"> </w:t>
      </w:r>
      <w:r>
        <w:rPr>
          <w:sz w:val="20"/>
        </w:rPr>
        <w:t>na</w:t>
      </w:r>
      <w:r>
        <w:rPr>
          <w:spacing w:val="36"/>
          <w:sz w:val="20"/>
        </w:rPr>
        <w:t xml:space="preserve"> </w:t>
      </w:r>
      <w:r>
        <w:rPr>
          <w:sz w:val="20"/>
        </w:rPr>
        <w:t>hipótese</w:t>
      </w:r>
      <w:r>
        <w:rPr>
          <w:spacing w:val="36"/>
          <w:sz w:val="20"/>
        </w:rPr>
        <w:t xml:space="preserve"> </w:t>
      </w:r>
      <w:r>
        <w:rPr>
          <w:sz w:val="20"/>
        </w:rPr>
        <w:t>definida</w:t>
      </w:r>
      <w:r>
        <w:rPr>
          <w:spacing w:val="37"/>
          <w:sz w:val="20"/>
        </w:rPr>
        <w:t xml:space="preserve"> </w:t>
      </w:r>
      <w:r>
        <w:rPr>
          <w:sz w:val="20"/>
        </w:rPr>
        <w:t>no</w:t>
      </w:r>
      <w:r>
        <w:rPr>
          <w:spacing w:val="37"/>
          <w:sz w:val="20"/>
        </w:rPr>
        <w:t xml:space="preserve"> </w:t>
      </w:r>
      <w:r>
        <w:rPr>
          <w:sz w:val="20"/>
        </w:rPr>
        <w:t>artigo</w:t>
      </w:r>
      <w:r>
        <w:rPr>
          <w:spacing w:val="37"/>
          <w:sz w:val="20"/>
        </w:rPr>
        <w:t xml:space="preserve"> </w:t>
      </w:r>
      <w:r>
        <w:rPr>
          <w:sz w:val="20"/>
        </w:rPr>
        <w:t>12 da</w:t>
      </w:r>
      <w:r>
        <w:rPr>
          <w:spacing w:val="40"/>
          <w:sz w:val="20"/>
        </w:rPr>
        <w:t xml:space="preserve"> </w:t>
      </w:r>
      <w:r>
        <w:rPr>
          <w:sz w:val="20"/>
        </w:rPr>
        <w:t>Lei</w:t>
      </w:r>
      <w:r>
        <w:rPr>
          <w:spacing w:val="40"/>
          <w:sz w:val="20"/>
        </w:rPr>
        <w:t xml:space="preserve"> </w:t>
      </w:r>
      <w:r>
        <w:rPr>
          <w:sz w:val="20"/>
        </w:rPr>
        <w:t>n.º</w:t>
      </w:r>
      <w:r>
        <w:rPr>
          <w:spacing w:val="40"/>
          <w:sz w:val="20"/>
        </w:rPr>
        <w:t xml:space="preserve"> </w:t>
      </w:r>
      <w:r>
        <w:rPr>
          <w:sz w:val="20"/>
        </w:rPr>
        <w:t>9.790/99, cabível,</w:t>
      </w:r>
      <w:r>
        <w:rPr>
          <w:spacing w:val="40"/>
          <w:sz w:val="20"/>
        </w:rPr>
        <w:t xml:space="preserve"> </w:t>
      </w:r>
      <w:r>
        <w:rPr>
          <w:sz w:val="20"/>
        </w:rPr>
        <w:t>por</w:t>
      </w:r>
      <w:r>
        <w:rPr>
          <w:spacing w:val="40"/>
          <w:sz w:val="20"/>
        </w:rPr>
        <w:t xml:space="preserve"> </w:t>
      </w:r>
      <w:r>
        <w:rPr>
          <w:sz w:val="20"/>
        </w:rPr>
        <w:t>analogia,</w:t>
      </w:r>
      <w:r>
        <w:rPr>
          <w:spacing w:val="40"/>
          <w:sz w:val="20"/>
        </w:rPr>
        <w:t xml:space="preserve"> </w:t>
      </w:r>
      <w:r>
        <w:rPr>
          <w:sz w:val="20"/>
        </w:rPr>
        <w:t>a</w:t>
      </w:r>
      <w:r>
        <w:rPr>
          <w:spacing w:val="40"/>
          <w:sz w:val="20"/>
        </w:rPr>
        <w:t xml:space="preserve"> </w:t>
      </w:r>
      <w:r>
        <w:rPr>
          <w:sz w:val="20"/>
        </w:rPr>
        <w:t>incidência</w:t>
      </w:r>
      <w:r>
        <w:rPr>
          <w:spacing w:val="40"/>
          <w:sz w:val="20"/>
        </w:rPr>
        <w:t xml:space="preserve"> </w:t>
      </w:r>
      <w:r>
        <w:rPr>
          <w:sz w:val="20"/>
        </w:rPr>
        <w:t>do</w:t>
      </w:r>
      <w:r>
        <w:rPr>
          <w:spacing w:val="40"/>
          <w:sz w:val="20"/>
        </w:rPr>
        <w:t xml:space="preserve"> </w:t>
      </w:r>
      <w:r>
        <w:rPr>
          <w:sz w:val="20"/>
        </w:rPr>
        <w:t>artigo</w:t>
      </w:r>
      <w:r>
        <w:rPr>
          <w:spacing w:val="40"/>
          <w:sz w:val="20"/>
        </w:rPr>
        <w:t xml:space="preserve"> </w:t>
      </w:r>
      <w:r>
        <w:rPr>
          <w:sz w:val="20"/>
        </w:rPr>
        <w:t>71,</w:t>
      </w:r>
      <w:r>
        <w:rPr>
          <w:spacing w:val="40"/>
          <w:sz w:val="20"/>
        </w:rPr>
        <w:t xml:space="preserve"> </w:t>
      </w:r>
      <w:r>
        <w:rPr>
          <w:sz w:val="20"/>
        </w:rPr>
        <w:t>§ 1.º,</w:t>
      </w:r>
      <w:r>
        <w:rPr>
          <w:spacing w:val="40"/>
          <w:sz w:val="20"/>
        </w:rPr>
        <w:t xml:space="preserve"> </w:t>
      </w:r>
      <w:r>
        <w:rPr>
          <w:sz w:val="20"/>
        </w:rPr>
        <w:t>da</w:t>
      </w:r>
      <w:r>
        <w:rPr>
          <w:spacing w:val="40"/>
          <w:sz w:val="20"/>
        </w:rPr>
        <w:t xml:space="preserve"> </w:t>
      </w:r>
      <w:r>
        <w:rPr>
          <w:sz w:val="20"/>
        </w:rPr>
        <w:t>Lei</w:t>
      </w:r>
      <w:r>
        <w:rPr>
          <w:spacing w:val="40"/>
          <w:sz w:val="20"/>
        </w:rPr>
        <w:t xml:space="preserve"> </w:t>
      </w:r>
      <w:r>
        <w:rPr>
          <w:sz w:val="20"/>
        </w:rPr>
        <w:t>n.º</w:t>
      </w:r>
      <w:r>
        <w:rPr>
          <w:spacing w:val="40"/>
          <w:sz w:val="20"/>
        </w:rPr>
        <w:t xml:space="preserve"> </w:t>
      </w:r>
      <w:r>
        <w:rPr>
          <w:sz w:val="20"/>
        </w:rPr>
        <w:t>8.666/93.</w:t>
      </w:r>
      <w:r>
        <w:rPr>
          <w:spacing w:val="40"/>
          <w:sz w:val="20"/>
        </w:rPr>
        <w:t xml:space="preserve"> </w:t>
      </w:r>
      <w:r>
        <w:rPr>
          <w:sz w:val="20"/>
        </w:rPr>
        <w:t>Recurso</w:t>
      </w:r>
      <w:r>
        <w:rPr>
          <w:spacing w:val="40"/>
          <w:sz w:val="20"/>
        </w:rPr>
        <w:t xml:space="preserve"> </w:t>
      </w:r>
      <w:r>
        <w:rPr>
          <w:sz w:val="20"/>
        </w:rPr>
        <w:t>ordinário</w:t>
      </w:r>
      <w:r>
        <w:rPr>
          <w:spacing w:val="40"/>
          <w:sz w:val="20"/>
        </w:rPr>
        <w:t xml:space="preserve"> </w:t>
      </w:r>
      <w:r>
        <w:rPr>
          <w:sz w:val="20"/>
        </w:rPr>
        <w:t>provido. (Proc.nº.TRT.0000658-45.2011.5.06.0002,</w:t>
      </w:r>
      <w:r>
        <w:rPr>
          <w:spacing w:val="80"/>
          <w:sz w:val="20"/>
        </w:rPr>
        <w:t xml:space="preserve"> </w:t>
      </w:r>
      <w:r>
        <w:rPr>
          <w:sz w:val="20"/>
        </w:rPr>
        <w:t>2ª</w:t>
      </w:r>
      <w:r>
        <w:rPr>
          <w:spacing w:val="40"/>
          <w:sz w:val="20"/>
        </w:rPr>
        <w:t xml:space="preserve"> </w:t>
      </w:r>
      <w:r>
        <w:rPr>
          <w:sz w:val="20"/>
        </w:rPr>
        <w:t>T.,</w:t>
      </w:r>
      <w:r>
        <w:rPr>
          <w:spacing w:val="40"/>
          <w:sz w:val="20"/>
        </w:rPr>
        <w:t xml:space="preserve"> </w:t>
      </w:r>
      <w:r>
        <w:rPr>
          <w:sz w:val="20"/>
        </w:rPr>
        <w:t>Rel.</w:t>
      </w:r>
      <w:r>
        <w:rPr>
          <w:spacing w:val="40"/>
          <w:sz w:val="20"/>
        </w:rPr>
        <w:t xml:space="preserve"> </w:t>
      </w:r>
      <w:r>
        <w:rPr>
          <w:sz w:val="20"/>
        </w:rPr>
        <w:t>Juiz</w:t>
      </w:r>
      <w:r>
        <w:rPr>
          <w:spacing w:val="40"/>
          <w:sz w:val="20"/>
        </w:rPr>
        <w:t xml:space="preserve"> </w:t>
      </w:r>
      <w:r>
        <w:rPr>
          <w:sz w:val="20"/>
        </w:rPr>
        <w:t>Fernando Cabral</w:t>
      </w:r>
      <w:r>
        <w:rPr>
          <w:spacing w:val="40"/>
          <w:sz w:val="20"/>
        </w:rPr>
        <w:t xml:space="preserve"> </w:t>
      </w:r>
      <w:r>
        <w:rPr>
          <w:sz w:val="20"/>
        </w:rPr>
        <w:t>de</w:t>
      </w:r>
      <w:r>
        <w:rPr>
          <w:spacing w:val="40"/>
          <w:sz w:val="20"/>
        </w:rPr>
        <w:t xml:space="preserve"> </w:t>
      </w:r>
      <w:r>
        <w:rPr>
          <w:sz w:val="20"/>
        </w:rPr>
        <w:t>Andrade</w:t>
      </w:r>
      <w:r>
        <w:rPr>
          <w:spacing w:val="40"/>
          <w:sz w:val="20"/>
        </w:rPr>
        <w:t xml:space="preserve"> </w:t>
      </w:r>
      <w:r>
        <w:rPr>
          <w:sz w:val="20"/>
        </w:rPr>
        <w:t>Filho,</w:t>
      </w:r>
      <w:r>
        <w:rPr>
          <w:spacing w:val="40"/>
          <w:sz w:val="20"/>
        </w:rPr>
        <w:t xml:space="preserve"> </w:t>
      </w:r>
      <w:r>
        <w:rPr>
          <w:sz w:val="20"/>
        </w:rPr>
        <w:t>pub</w:t>
      </w:r>
      <w:r>
        <w:rPr>
          <w:spacing w:val="40"/>
          <w:sz w:val="20"/>
        </w:rPr>
        <w:t xml:space="preserve"> </w:t>
      </w:r>
      <w:r>
        <w:rPr>
          <w:sz w:val="20"/>
        </w:rPr>
        <w:t>13/08/2012).</w:t>
      </w:r>
    </w:p>
    <w:p w:rsidR="007259F2" w:rsidRDefault="007259F2">
      <w:pPr>
        <w:jc w:val="both"/>
        <w:rPr>
          <w:sz w:val="20"/>
        </w:rPr>
        <w:sectPr w:rsidR="007259F2">
          <w:footerReference w:type="default" r:id="rId450"/>
          <w:pgSz w:w="11910" w:h="16840"/>
          <w:pgMar w:top="1320" w:right="708" w:bottom="280" w:left="992" w:header="0" w:footer="0" w:gutter="0"/>
          <w:cols w:space="720"/>
        </w:sectPr>
      </w:pPr>
    </w:p>
    <w:p w:rsidR="007259F2" w:rsidRDefault="00E655B4">
      <w:pPr>
        <w:tabs>
          <w:tab w:val="left" w:pos="5455"/>
          <w:tab w:val="left" w:pos="7289"/>
          <w:tab w:val="left" w:pos="8326"/>
        </w:tabs>
        <w:spacing w:before="71"/>
        <w:ind w:left="2978" w:right="987"/>
        <w:jc w:val="both"/>
        <w:rPr>
          <w:sz w:val="20"/>
        </w:rPr>
      </w:pPr>
      <w:r>
        <w:rPr>
          <w:sz w:val="20"/>
        </w:rPr>
        <w:lastRenderedPageBreak/>
        <w:t xml:space="preserve">AGRAVO DE INSTRUMENTO EM RECURSO DE REVISTA. </w:t>
      </w:r>
      <w:r>
        <w:rPr>
          <w:spacing w:val="-2"/>
          <w:sz w:val="20"/>
        </w:rPr>
        <w:t>RESPONSABILIDADE</w:t>
      </w:r>
      <w:r>
        <w:rPr>
          <w:sz w:val="20"/>
        </w:rPr>
        <w:tab/>
      </w:r>
      <w:r>
        <w:rPr>
          <w:spacing w:val="-2"/>
          <w:sz w:val="20"/>
        </w:rPr>
        <w:t>SUBSIDIÁRIA.</w:t>
      </w:r>
      <w:r>
        <w:rPr>
          <w:sz w:val="20"/>
        </w:rPr>
        <w:tab/>
      </w:r>
      <w:r>
        <w:rPr>
          <w:spacing w:val="-4"/>
          <w:sz w:val="20"/>
        </w:rPr>
        <w:t>ENTE</w:t>
      </w:r>
      <w:r>
        <w:rPr>
          <w:sz w:val="20"/>
        </w:rPr>
        <w:tab/>
      </w:r>
      <w:r>
        <w:rPr>
          <w:spacing w:val="-4"/>
          <w:sz w:val="20"/>
        </w:rPr>
        <w:t xml:space="preserve">PÚBLICO. </w:t>
      </w:r>
      <w:r>
        <w:rPr>
          <w:sz w:val="20"/>
        </w:rPr>
        <w:t>INAPLICABILIDADE. REPASSE DE RECURSOS FINANCEIROS PELO MUNICÍPIO</w:t>
      </w:r>
      <w:r>
        <w:rPr>
          <w:spacing w:val="74"/>
          <w:w w:val="150"/>
          <w:sz w:val="20"/>
        </w:rPr>
        <w:t xml:space="preserve">  </w:t>
      </w:r>
      <w:r>
        <w:rPr>
          <w:sz w:val="20"/>
        </w:rPr>
        <w:t>DE</w:t>
      </w:r>
      <w:r>
        <w:rPr>
          <w:spacing w:val="76"/>
          <w:w w:val="150"/>
          <w:sz w:val="20"/>
        </w:rPr>
        <w:t xml:space="preserve">  </w:t>
      </w:r>
      <w:r>
        <w:rPr>
          <w:sz w:val="20"/>
        </w:rPr>
        <w:t>ESCADA</w:t>
      </w:r>
      <w:r>
        <w:rPr>
          <w:spacing w:val="77"/>
          <w:w w:val="150"/>
          <w:sz w:val="20"/>
        </w:rPr>
        <w:t xml:space="preserve">  </w:t>
      </w:r>
      <w:r>
        <w:rPr>
          <w:sz w:val="20"/>
        </w:rPr>
        <w:t>À</w:t>
      </w:r>
      <w:r>
        <w:rPr>
          <w:spacing w:val="76"/>
          <w:w w:val="150"/>
          <w:sz w:val="20"/>
        </w:rPr>
        <w:t xml:space="preserve">  </w:t>
      </w:r>
      <w:r>
        <w:rPr>
          <w:sz w:val="20"/>
        </w:rPr>
        <w:t>ASSOCIAÇÃO</w:t>
      </w:r>
      <w:r>
        <w:rPr>
          <w:spacing w:val="76"/>
          <w:w w:val="150"/>
          <w:sz w:val="20"/>
        </w:rPr>
        <w:t xml:space="preserve">  </w:t>
      </w:r>
      <w:r>
        <w:rPr>
          <w:sz w:val="20"/>
        </w:rPr>
        <w:t>SEM</w:t>
      </w:r>
      <w:r>
        <w:rPr>
          <w:spacing w:val="77"/>
          <w:w w:val="150"/>
          <w:sz w:val="20"/>
        </w:rPr>
        <w:t xml:space="preserve">  </w:t>
      </w:r>
      <w:r>
        <w:rPr>
          <w:spacing w:val="-4"/>
          <w:sz w:val="20"/>
        </w:rPr>
        <w:t>FINS</w:t>
      </w:r>
    </w:p>
    <w:p w:rsidR="007259F2" w:rsidRDefault="00E655B4">
      <w:pPr>
        <w:spacing w:before="2"/>
        <w:ind w:left="2978" w:right="988"/>
        <w:jc w:val="both"/>
        <w:rPr>
          <w:sz w:val="20"/>
        </w:rPr>
      </w:pPr>
      <w:r>
        <w:rPr>
          <w:sz w:val="20"/>
        </w:rPr>
        <w:t>LUCRATIVOS, MEDIANTE CONVÊNIO. Sendo incontroversa a celebração de convênio entre os Reclamados, visando a interesses convergentes, no caso, o fomento de</w:t>
      </w:r>
      <w:r>
        <w:rPr>
          <w:spacing w:val="-1"/>
          <w:sz w:val="20"/>
        </w:rPr>
        <w:t xml:space="preserve"> </w:t>
      </w:r>
      <w:r>
        <w:rPr>
          <w:sz w:val="20"/>
        </w:rPr>
        <w:t>programa de saúde, conclui-se que é inaplicável</w:t>
      </w:r>
      <w:r>
        <w:rPr>
          <w:spacing w:val="40"/>
          <w:sz w:val="20"/>
        </w:rPr>
        <w:t xml:space="preserve"> </w:t>
      </w:r>
      <w:r>
        <w:rPr>
          <w:sz w:val="20"/>
        </w:rPr>
        <w:t>à</w:t>
      </w:r>
      <w:r>
        <w:rPr>
          <w:spacing w:val="40"/>
          <w:sz w:val="20"/>
        </w:rPr>
        <w:t xml:space="preserve"> </w:t>
      </w:r>
      <w:r>
        <w:rPr>
          <w:sz w:val="20"/>
        </w:rPr>
        <w:t>hipótese</w:t>
      </w:r>
      <w:r>
        <w:rPr>
          <w:spacing w:val="40"/>
          <w:sz w:val="20"/>
        </w:rPr>
        <w:t xml:space="preserve"> </w:t>
      </w:r>
      <w:r>
        <w:rPr>
          <w:sz w:val="20"/>
        </w:rPr>
        <w:t>a</w:t>
      </w:r>
      <w:r>
        <w:rPr>
          <w:spacing w:val="40"/>
          <w:sz w:val="20"/>
        </w:rPr>
        <w:t xml:space="preserve"> </w:t>
      </w:r>
      <w:r>
        <w:rPr>
          <w:sz w:val="20"/>
        </w:rPr>
        <w:t>diretriz</w:t>
      </w:r>
      <w:r>
        <w:rPr>
          <w:spacing w:val="40"/>
          <w:sz w:val="20"/>
        </w:rPr>
        <w:t xml:space="preserve"> </w:t>
      </w:r>
      <w:r>
        <w:rPr>
          <w:sz w:val="20"/>
        </w:rPr>
        <w:t>do</w:t>
      </w:r>
      <w:r>
        <w:rPr>
          <w:spacing w:val="40"/>
          <w:sz w:val="20"/>
        </w:rPr>
        <w:t xml:space="preserve"> </w:t>
      </w:r>
      <w:r>
        <w:rPr>
          <w:sz w:val="20"/>
        </w:rPr>
        <w:t>item</w:t>
      </w:r>
      <w:r>
        <w:rPr>
          <w:spacing w:val="40"/>
          <w:sz w:val="20"/>
        </w:rPr>
        <w:t xml:space="preserve"> </w:t>
      </w:r>
      <w:r>
        <w:rPr>
          <w:sz w:val="20"/>
        </w:rPr>
        <w:t>IV da</w:t>
      </w:r>
      <w:r>
        <w:rPr>
          <w:spacing w:val="40"/>
          <w:sz w:val="20"/>
        </w:rPr>
        <w:t xml:space="preserve"> </w:t>
      </w:r>
      <w:r>
        <w:rPr>
          <w:sz w:val="20"/>
        </w:rPr>
        <w:t>Súmula</w:t>
      </w:r>
      <w:r>
        <w:rPr>
          <w:spacing w:val="40"/>
          <w:sz w:val="20"/>
        </w:rPr>
        <w:t xml:space="preserve"> </w:t>
      </w:r>
      <w:r>
        <w:rPr>
          <w:sz w:val="20"/>
        </w:rPr>
        <w:t>n.º</w:t>
      </w:r>
      <w:r>
        <w:rPr>
          <w:spacing w:val="40"/>
          <w:sz w:val="20"/>
        </w:rPr>
        <w:t xml:space="preserve"> </w:t>
      </w:r>
      <w:r>
        <w:rPr>
          <w:sz w:val="20"/>
        </w:rPr>
        <w:t>331</w:t>
      </w:r>
      <w:r>
        <w:rPr>
          <w:spacing w:val="40"/>
          <w:sz w:val="20"/>
        </w:rPr>
        <w:t xml:space="preserve"> </w:t>
      </w:r>
      <w:r>
        <w:rPr>
          <w:sz w:val="20"/>
        </w:rPr>
        <w:t>do</w:t>
      </w:r>
      <w:r>
        <w:rPr>
          <w:spacing w:val="40"/>
          <w:sz w:val="20"/>
        </w:rPr>
        <w:t xml:space="preserve"> </w:t>
      </w:r>
      <w:r>
        <w:rPr>
          <w:sz w:val="20"/>
        </w:rPr>
        <w:t>TST (TST-AIRR</w:t>
      </w:r>
      <w:r>
        <w:rPr>
          <w:spacing w:val="36"/>
          <w:sz w:val="20"/>
        </w:rPr>
        <w:t xml:space="preserve">  </w:t>
      </w:r>
      <w:r>
        <w:rPr>
          <w:sz w:val="20"/>
        </w:rPr>
        <w:t>-</w:t>
      </w:r>
      <w:r>
        <w:rPr>
          <w:spacing w:val="35"/>
          <w:sz w:val="20"/>
        </w:rPr>
        <w:t xml:space="preserve">  </w:t>
      </w:r>
      <w:r>
        <w:rPr>
          <w:sz w:val="20"/>
        </w:rPr>
        <w:t>102240-23.2005.5.06.0221,</w:t>
      </w:r>
      <w:r>
        <w:rPr>
          <w:spacing w:val="39"/>
          <w:sz w:val="20"/>
        </w:rPr>
        <w:t xml:space="preserve">  </w:t>
      </w:r>
      <w:r>
        <w:rPr>
          <w:sz w:val="20"/>
        </w:rPr>
        <w:t>Rel.</w:t>
      </w:r>
      <w:r>
        <w:rPr>
          <w:spacing w:val="36"/>
          <w:sz w:val="20"/>
        </w:rPr>
        <w:t xml:space="preserve">  </w:t>
      </w:r>
      <w:r>
        <w:rPr>
          <w:sz w:val="20"/>
        </w:rPr>
        <w:t>Min.</w:t>
      </w:r>
      <w:r>
        <w:rPr>
          <w:spacing w:val="60"/>
          <w:w w:val="150"/>
          <w:sz w:val="20"/>
        </w:rPr>
        <w:t xml:space="preserve"> </w:t>
      </w:r>
      <w:r>
        <w:rPr>
          <w:sz w:val="20"/>
        </w:rPr>
        <w:t>Maria</w:t>
      </w:r>
      <w:r>
        <w:rPr>
          <w:spacing w:val="28"/>
          <w:sz w:val="20"/>
        </w:rPr>
        <w:t xml:space="preserve">  </w:t>
      </w:r>
      <w:r>
        <w:rPr>
          <w:sz w:val="20"/>
        </w:rPr>
        <w:t>de</w:t>
      </w:r>
      <w:r>
        <w:rPr>
          <w:spacing w:val="77"/>
          <w:w w:val="150"/>
          <w:sz w:val="20"/>
        </w:rPr>
        <w:t xml:space="preserve"> </w:t>
      </w:r>
      <w:r>
        <w:rPr>
          <w:spacing w:val="-2"/>
          <w:sz w:val="20"/>
        </w:rPr>
        <w:t>Assis</w:t>
      </w:r>
    </w:p>
    <w:p w:rsidR="007259F2" w:rsidRDefault="00E655B4">
      <w:pPr>
        <w:spacing w:line="230" w:lineRule="exact"/>
        <w:ind w:left="2978"/>
        <w:jc w:val="both"/>
        <w:rPr>
          <w:sz w:val="20"/>
        </w:rPr>
      </w:pPr>
      <w:r>
        <w:rPr>
          <w:sz w:val="20"/>
        </w:rPr>
        <w:t>Calsing,</w:t>
      </w:r>
      <w:r>
        <w:rPr>
          <w:spacing w:val="16"/>
          <w:sz w:val="20"/>
        </w:rPr>
        <w:t xml:space="preserve"> </w:t>
      </w:r>
      <w:r>
        <w:rPr>
          <w:sz w:val="20"/>
        </w:rPr>
        <w:t>4ª</w:t>
      </w:r>
      <w:r>
        <w:rPr>
          <w:spacing w:val="15"/>
          <w:sz w:val="20"/>
        </w:rPr>
        <w:t xml:space="preserve"> </w:t>
      </w:r>
      <w:r>
        <w:rPr>
          <w:sz w:val="20"/>
        </w:rPr>
        <w:t>T.,</w:t>
      </w:r>
      <w:r>
        <w:rPr>
          <w:spacing w:val="16"/>
          <w:sz w:val="20"/>
        </w:rPr>
        <w:t xml:space="preserve"> </w:t>
      </w:r>
      <w:r>
        <w:rPr>
          <w:sz w:val="20"/>
        </w:rPr>
        <w:t>DEJT</w:t>
      </w:r>
      <w:r>
        <w:rPr>
          <w:spacing w:val="17"/>
          <w:sz w:val="20"/>
        </w:rPr>
        <w:t xml:space="preserve"> </w:t>
      </w:r>
      <w:r>
        <w:rPr>
          <w:spacing w:val="-2"/>
          <w:sz w:val="20"/>
        </w:rPr>
        <w:t>16/10/2009).</w:t>
      </w:r>
    </w:p>
    <w:p w:rsidR="007259F2" w:rsidRDefault="00E655B4">
      <w:pPr>
        <w:tabs>
          <w:tab w:val="left" w:pos="7899"/>
        </w:tabs>
        <w:spacing w:before="228"/>
        <w:ind w:left="2978" w:right="993"/>
        <w:jc w:val="both"/>
        <w:rPr>
          <w:sz w:val="20"/>
        </w:rPr>
      </w:pPr>
      <w:r>
        <w:rPr>
          <w:sz w:val="20"/>
        </w:rPr>
        <w:t>EXECUÇÃO. MUNICÍPIO DO RIO DE JANEIRO. PODER CONCEDENTE.</w:t>
      </w:r>
      <w:r>
        <w:rPr>
          <w:spacing w:val="72"/>
          <w:sz w:val="20"/>
        </w:rPr>
        <w:t xml:space="preserve">    </w:t>
      </w:r>
      <w:r>
        <w:rPr>
          <w:spacing w:val="-2"/>
          <w:sz w:val="20"/>
        </w:rPr>
        <w:t>RESPONSABILIDADE</w:t>
      </w:r>
      <w:r>
        <w:rPr>
          <w:sz w:val="20"/>
        </w:rPr>
        <w:tab/>
      </w:r>
      <w:r>
        <w:rPr>
          <w:spacing w:val="-2"/>
          <w:sz w:val="20"/>
        </w:rPr>
        <w:t>SUBSIDIÁRIA.</w:t>
      </w:r>
    </w:p>
    <w:p w:rsidR="007259F2" w:rsidRDefault="00E655B4">
      <w:pPr>
        <w:spacing w:before="1"/>
        <w:ind w:left="2978" w:right="987"/>
        <w:jc w:val="both"/>
        <w:rPr>
          <w:sz w:val="20"/>
        </w:rPr>
      </w:pPr>
      <w:r>
        <w:rPr>
          <w:sz w:val="20"/>
        </w:rPr>
        <w:t>DESCABIMENTO.</w:t>
      </w:r>
      <w:r>
        <w:rPr>
          <w:spacing w:val="80"/>
          <w:w w:val="150"/>
          <w:sz w:val="20"/>
        </w:rPr>
        <w:t xml:space="preserve"> </w:t>
      </w:r>
      <w:r>
        <w:rPr>
          <w:sz w:val="20"/>
        </w:rPr>
        <w:t>O</w:t>
      </w:r>
      <w:r>
        <w:rPr>
          <w:spacing w:val="80"/>
          <w:w w:val="150"/>
          <w:sz w:val="20"/>
        </w:rPr>
        <w:t xml:space="preserve"> </w:t>
      </w:r>
      <w:r>
        <w:rPr>
          <w:sz w:val="20"/>
        </w:rPr>
        <w:t>contrato</w:t>
      </w:r>
      <w:r>
        <w:rPr>
          <w:spacing w:val="80"/>
          <w:w w:val="150"/>
          <w:sz w:val="20"/>
        </w:rPr>
        <w:t xml:space="preserve"> </w:t>
      </w:r>
      <w:r>
        <w:rPr>
          <w:sz w:val="20"/>
        </w:rPr>
        <w:t>de concessão/permissão</w:t>
      </w:r>
      <w:r>
        <w:rPr>
          <w:spacing w:val="40"/>
          <w:sz w:val="20"/>
        </w:rPr>
        <w:t xml:space="preserve"> </w:t>
      </w:r>
      <w:r>
        <w:rPr>
          <w:sz w:val="20"/>
        </w:rPr>
        <w:t>de</w:t>
      </w:r>
      <w:r>
        <w:rPr>
          <w:spacing w:val="40"/>
          <w:sz w:val="20"/>
        </w:rPr>
        <w:t xml:space="preserve"> </w:t>
      </w:r>
      <w:r>
        <w:rPr>
          <w:sz w:val="20"/>
        </w:rPr>
        <w:t>exploração</w:t>
      </w:r>
      <w:r>
        <w:rPr>
          <w:spacing w:val="40"/>
          <w:sz w:val="20"/>
        </w:rPr>
        <w:t xml:space="preserve"> </w:t>
      </w:r>
      <w:r>
        <w:rPr>
          <w:sz w:val="20"/>
        </w:rPr>
        <w:t>de transporte público coletivo não se enquadra na hipótese de responsabilidade da Administração Pública, não somente por força de lei (artigo</w:t>
      </w:r>
      <w:r>
        <w:rPr>
          <w:spacing w:val="33"/>
          <w:sz w:val="20"/>
        </w:rPr>
        <w:t xml:space="preserve"> </w:t>
      </w:r>
      <w:r>
        <w:rPr>
          <w:sz w:val="20"/>
        </w:rPr>
        <w:t>31,</w:t>
      </w:r>
      <w:r>
        <w:rPr>
          <w:spacing w:val="32"/>
          <w:sz w:val="20"/>
        </w:rPr>
        <w:t xml:space="preserve"> </w:t>
      </w:r>
      <w:r>
        <w:rPr>
          <w:sz w:val="20"/>
        </w:rPr>
        <w:t>parágrafo</w:t>
      </w:r>
      <w:r>
        <w:rPr>
          <w:spacing w:val="33"/>
          <w:sz w:val="20"/>
        </w:rPr>
        <w:t xml:space="preserve"> </w:t>
      </w:r>
      <w:r>
        <w:rPr>
          <w:sz w:val="20"/>
        </w:rPr>
        <w:t>único,</w:t>
      </w:r>
      <w:r>
        <w:rPr>
          <w:spacing w:val="35"/>
          <w:sz w:val="20"/>
        </w:rPr>
        <w:t xml:space="preserve"> </w:t>
      </w:r>
      <w:r>
        <w:rPr>
          <w:sz w:val="20"/>
        </w:rPr>
        <w:t>da</w:t>
      </w:r>
      <w:r>
        <w:rPr>
          <w:spacing w:val="30"/>
          <w:sz w:val="20"/>
        </w:rPr>
        <w:t xml:space="preserve"> </w:t>
      </w:r>
      <w:r>
        <w:rPr>
          <w:sz w:val="20"/>
        </w:rPr>
        <w:t>Lei</w:t>
      </w:r>
      <w:r>
        <w:rPr>
          <w:spacing w:val="32"/>
          <w:sz w:val="20"/>
        </w:rPr>
        <w:t xml:space="preserve"> </w:t>
      </w:r>
      <w:r>
        <w:rPr>
          <w:sz w:val="20"/>
        </w:rPr>
        <w:t>nº</w:t>
      </w:r>
      <w:r>
        <w:rPr>
          <w:spacing w:val="34"/>
          <w:sz w:val="20"/>
        </w:rPr>
        <w:t xml:space="preserve"> </w:t>
      </w:r>
      <w:r>
        <w:rPr>
          <w:sz w:val="20"/>
        </w:rPr>
        <w:t>8.987/95),</w:t>
      </w:r>
      <w:r>
        <w:rPr>
          <w:spacing w:val="33"/>
          <w:sz w:val="20"/>
        </w:rPr>
        <w:t xml:space="preserve"> </w:t>
      </w:r>
      <w:r>
        <w:rPr>
          <w:sz w:val="20"/>
        </w:rPr>
        <w:t>como por</w:t>
      </w:r>
      <w:r>
        <w:rPr>
          <w:spacing w:val="40"/>
          <w:sz w:val="20"/>
        </w:rPr>
        <w:t xml:space="preserve"> </w:t>
      </w:r>
      <w:r>
        <w:rPr>
          <w:sz w:val="20"/>
        </w:rPr>
        <w:t>não</w:t>
      </w:r>
      <w:r>
        <w:rPr>
          <w:spacing w:val="40"/>
          <w:sz w:val="20"/>
        </w:rPr>
        <w:t xml:space="preserve"> </w:t>
      </w:r>
      <w:r>
        <w:rPr>
          <w:sz w:val="20"/>
        </w:rPr>
        <w:t>apresentar as características da terceirização, tais como o ente público como</w:t>
      </w:r>
      <w:r>
        <w:rPr>
          <w:spacing w:val="80"/>
          <w:sz w:val="20"/>
        </w:rPr>
        <w:t xml:space="preserve"> </w:t>
      </w:r>
      <w:r>
        <w:rPr>
          <w:sz w:val="20"/>
        </w:rPr>
        <w:t>beneficiário e responsável direto pelo pagamento dos serviços prestados. (TRT-1 - AP: 00006119220105010019 RJ, Relator: Celio Juacaba Cavalcante, Décima Turma, Data de Publicação: 13/11/2015)</w:t>
      </w:r>
    </w:p>
    <w:p w:rsidR="007259F2" w:rsidRDefault="007259F2">
      <w:pPr>
        <w:pStyle w:val="Corpodetexto"/>
        <w:ind w:left="0" w:firstLine="0"/>
        <w:jc w:val="left"/>
        <w:rPr>
          <w:sz w:val="20"/>
        </w:rPr>
      </w:pPr>
    </w:p>
    <w:p w:rsidR="007259F2" w:rsidRDefault="00E655B4">
      <w:pPr>
        <w:pStyle w:val="Corpodetexto"/>
        <w:spacing w:before="1"/>
        <w:ind w:right="988"/>
      </w:pPr>
      <w:r>
        <w:t>No caso em análise, não se pode pleitear a caracterização da chamada “</w:t>
      </w:r>
      <w:r>
        <w:rPr>
          <w:i/>
        </w:rPr>
        <w:t>culpa in vigilando</w:t>
      </w:r>
      <w:r>
        <w:t>” ou mesmo a “</w:t>
      </w:r>
      <w:r>
        <w:rPr>
          <w:i/>
        </w:rPr>
        <w:t>culpa in eligendo</w:t>
      </w:r>
      <w:r>
        <w:t>” que seriam, respectivamente, a responsabilidade atribuída a quem deixa de supervisionar adequadamente aqueles sob sua autoridade</w:t>
      </w:r>
      <w:r>
        <w:rPr>
          <w:spacing w:val="40"/>
        </w:rPr>
        <w:t xml:space="preserve"> </w:t>
      </w:r>
      <w:r>
        <w:t>e</w:t>
      </w:r>
      <w:r>
        <w:rPr>
          <w:spacing w:val="40"/>
        </w:rPr>
        <w:t xml:space="preserve"> </w:t>
      </w:r>
      <w:r>
        <w:t>a</w:t>
      </w:r>
      <w:r>
        <w:rPr>
          <w:spacing w:val="40"/>
        </w:rPr>
        <w:t xml:space="preserve"> </w:t>
      </w:r>
      <w:r>
        <w:t>culpa</w:t>
      </w:r>
      <w:r>
        <w:rPr>
          <w:spacing w:val="40"/>
        </w:rPr>
        <w:t xml:space="preserve"> </w:t>
      </w:r>
      <w:r>
        <w:t>atribuída</w:t>
      </w:r>
      <w:r>
        <w:rPr>
          <w:spacing w:val="40"/>
        </w:rPr>
        <w:t xml:space="preserve"> </w:t>
      </w:r>
      <w:r>
        <w:t>a</w:t>
      </w:r>
      <w:r>
        <w:rPr>
          <w:spacing w:val="40"/>
        </w:rPr>
        <w:t xml:space="preserve"> </w:t>
      </w:r>
      <w:r>
        <w:t>quem</w:t>
      </w:r>
      <w:r>
        <w:rPr>
          <w:spacing w:val="40"/>
        </w:rPr>
        <w:t xml:space="preserve"> </w:t>
      </w:r>
      <w:r>
        <w:t>deixa</w:t>
      </w:r>
      <w:r>
        <w:rPr>
          <w:spacing w:val="40"/>
        </w:rPr>
        <w:t xml:space="preserve"> </w:t>
      </w:r>
      <w:r>
        <w:t>de</w:t>
      </w:r>
      <w:r>
        <w:rPr>
          <w:spacing w:val="40"/>
        </w:rPr>
        <w:t xml:space="preserve"> </w:t>
      </w:r>
      <w:r>
        <w:t>verificar</w:t>
      </w:r>
      <w:r>
        <w:rPr>
          <w:spacing w:val="40"/>
        </w:rPr>
        <w:t xml:space="preserve"> </w:t>
      </w:r>
      <w:r>
        <w:t>com</w:t>
      </w:r>
      <w:r>
        <w:rPr>
          <w:spacing w:val="40"/>
        </w:rPr>
        <w:t xml:space="preserve"> </w:t>
      </w:r>
      <w:r>
        <w:t>antecedência</w:t>
      </w:r>
      <w:r>
        <w:rPr>
          <w:spacing w:val="40"/>
        </w:rPr>
        <w:t xml:space="preserve"> </w:t>
      </w:r>
      <w:r>
        <w:t>a plena capacidade</w:t>
      </w:r>
      <w:r>
        <w:rPr>
          <w:spacing w:val="40"/>
        </w:rPr>
        <w:t xml:space="preserve"> </w:t>
      </w:r>
      <w:r>
        <w:t>de</w:t>
      </w:r>
      <w:r>
        <w:rPr>
          <w:spacing w:val="40"/>
        </w:rPr>
        <w:t xml:space="preserve"> </w:t>
      </w:r>
      <w:r>
        <w:t>uma</w:t>
      </w:r>
      <w:r>
        <w:rPr>
          <w:spacing w:val="40"/>
        </w:rPr>
        <w:t xml:space="preserve"> </w:t>
      </w:r>
      <w:r>
        <w:t>determinada</w:t>
      </w:r>
      <w:r>
        <w:rPr>
          <w:spacing w:val="40"/>
        </w:rPr>
        <w:t xml:space="preserve"> </w:t>
      </w:r>
      <w:r>
        <w:t>entidade</w:t>
      </w:r>
      <w:r>
        <w:rPr>
          <w:spacing w:val="40"/>
        </w:rPr>
        <w:t xml:space="preserve"> </w:t>
      </w:r>
      <w:r>
        <w:t>para</w:t>
      </w:r>
      <w:r>
        <w:rPr>
          <w:spacing w:val="40"/>
        </w:rPr>
        <w:t xml:space="preserve"> </w:t>
      </w:r>
      <w:r>
        <w:t>cumprir</w:t>
      </w:r>
      <w:r>
        <w:rPr>
          <w:spacing w:val="40"/>
        </w:rPr>
        <w:t xml:space="preserve"> </w:t>
      </w:r>
      <w:r>
        <w:t>os</w:t>
      </w:r>
      <w:r>
        <w:rPr>
          <w:spacing w:val="40"/>
        </w:rPr>
        <w:t xml:space="preserve"> </w:t>
      </w:r>
      <w:r>
        <w:t>objetivos</w:t>
      </w:r>
      <w:r>
        <w:rPr>
          <w:spacing w:val="40"/>
        </w:rPr>
        <w:t xml:space="preserve"> </w:t>
      </w:r>
      <w:r>
        <w:t>pactuados no contrato escolhendo-a inadequadamente, uma vez que, não resta comprovado no</w:t>
      </w:r>
      <w:r>
        <w:rPr>
          <w:spacing w:val="80"/>
        </w:rPr>
        <w:t xml:space="preserve"> </w:t>
      </w:r>
      <w:r>
        <w:t>caso em análise esse desvirtuamento por parte do Município de São Paulo. O reconhecimento da responsabilidade subsidiária</w:t>
      </w:r>
      <w:r>
        <w:rPr>
          <w:spacing w:val="40"/>
        </w:rPr>
        <w:t xml:space="preserve"> </w:t>
      </w:r>
      <w:r>
        <w:t>imposta a Administração Pública é</w:t>
      </w:r>
      <w:r>
        <w:rPr>
          <w:spacing w:val="80"/>
        </w:rPr>
        <w:t xml:space="preserve"> </w:t>
      </w:r>
      <w:r>
        <w:t>uma</w:t>
      </w:r>
      <w:r>
        <w:rPr>
          <w:spacing w:val="40"/>
        </w:rPr>
        <w:t xml:space="preserve"> </w:t>
      </w:r>
      <w:r>
        <w:t>excepcionalidade</w:t>
      </w:r>
      <w:r>
        <w:rPr>
          <w:spacing w:val="40"/>
        </w:rPr>
        <w:t xml:space="preserve"> </w:t>
      </w:r>
      <w:r>
        <w:t>que</w:t>
      </w:r>
      <w:r>
        <w:rPr>
          <w:spacing w:val="40"/>
        </w:rPr>
        <w:t xml:space="preserve"> </w:t>
      </w:r>
      <w:r>
        <w:t>se</w:t>
      </w:r>
      <w:r>
        <w:rPr>
          <w:spacing w:val="40"/>
        </w:rPr>
        <w:t xml:space="preserve"> </w:t>
      </w:r>
      <w:r>
        <w:t>manifesta</w:t>
      </w:r>
      <w:r>
        <w:rPr>
          <w:spacing w:val="40"/>
        </w:rPr>
        <w:t xml:space="preserve"> </w:t>
      </w:r>
      <w:r>
        <w:t>somente</w:t>
      </w:r>
      <w:r>
        <w:rPr>
          <w:spacing w:val="40"/>
        </w:rPr>
        <w:t xml:space="preserve"> </w:t>
      </w:r>
      <w:r>
        <w:t>quando</w:t>
      </w:r>
      <w:r>
        <w:rPr>
          <w:spacing w:val="40"/>
        </w:rPr>
        <w:t xml:space="preserve"> </w:t>
      </w:r>
      <w:r>
        <w:t>restar</w:t>
      </w:r>
      <w:r>
        <w:rPr>
          <w:spacing w:val="40"/>
        </w:rPr>
        <w:t xml:space="preserve"> </w:t>
      </w:r>
      <w:r>
        <w:t>comprovada</w:t>
      </w:r>
      <w:r>
        <w:rPr>
          <w:spacing w:val="40"/>
        </w:rPr>
        <w:t xml:space="preserve"> </w:t>
      </w:r>
      <w:r>
        <w:t>(por parte</w:t>
      </w:r>
      <w:r>
        <w:rPr>
          <w:spacing w:val="40"/>
        </w:rPr>
        <w:t xml:space="preserve"> </w:t>
      </w:r>
      <w:r>
        <w:t>de</w:t>
      </w:r>
      <w:r>
        <w:rPr>
          <w:spacing w:val="40"/>
        </w:rPr>
        <w:t xml:space="preserve"> </w:t>
      </w:r>
      <w:r>
        <w:t>quem</w:t>
      </w:r>
      <w:r>
        <w:rPr>
          <w:spacing w:val="40"/>
        </w:rPr>
        <w:t xml:space="preserve"> </w:t>
      </w:r>
      <w:r>
        <w:t>a</w:t>
      </w:r>
      <w:r>
        <w:rPr>
          <w:spacing w:val="40"/>
        </w:rPr>
        <w:t xml:space="preserve"> </w:t>
      </w:r>
      <w:r>
        <w:t>alega) qualquer</w:t>
      </w:r>
      <w:r>
        <w:rPr>
          <w:spacing w:val="40"/>
        </w:rPr>
        <w:t xml:space="preserve"> </w:t>
      </w:r>
      <w:r>
        <w:t>falha</w:t>
      </w:r>
      <w:r>
        <w:rPr>
          <w:spacing w:val="40"/>
        </w:rPr>
        <w:t xml:space="preserve"> </w:t>
      </w:r>
      <w:r>
        <w:t>ou</w:t>
      </w:r>
      <w:r>
        <w:rPr>
          <w:spacing w:val="40"/>
        </w:rPr>
        <w:t xml:space="preserve"> </w:t>
      </w:r>
      <w:r>
        <w:t>negligência</w:t>
      </w:r>
      <w:r>
        <w:rPr>
          <w:spacing w:val="40"/>
        </w:rPr>
        <w:t xml:space="preserve"> </w:t>
      </w:r>
      <w:r>
        <w:t>na</w:t>
      </w:r>
      <w:r>
        <w:rPr>
          <w:spacing w:val="40"/>
        </w:rPr>
        <w:t xml:space="preserve"> </w:t>
      </w:r>
      <w:r>
        <w:t>fiscalização</w:t>
      </w:r>
      <w:r>
        <w:rPr>
          <w:spacing w:val="40"/>
        </w:rPr>
        <w:t xml:space="preserve"> </w:t>
      </w:r>
      <w:r>
        <w:t>dos</w:t>
      </w:r>
      <w:r>
        <w:rPr>
          <w:spacing w:val="40"/>
        </w:rPr>
        <w:t xml:space="preserve"> </w:t>
      </w:r>
      <w:r>
        <w:t>contratos de</w:t>
      </w:r>
      <w:r>
        <w:rPr>
          <w:spacing w:val="40"/>
        </w:rPr>
        <w:t xml:space="preserve"> </w:t>
      </w:r>
      <w:r>
        <w:t>gestão</w:t>
      </w:r>
      <w:r>
        <w:rPr>
          <w:spacing w:val="72"/>
        </w:rPr>
        <w:t xml:space="preserve"> </w:t>
      </w:r>
      <w:r>
        <w:t>pela</w:t>
      </w:r>
      <w:r>
        <w:rPr>
          <w:spacing w:val="72"/>
        </w:rPr>
        <w:t xml:space="preserve"> </w:t>
      </w:r>
      <w:r>
        <w:t>municipalidade,</w:t>
      </w:r>
      <w:r>
        <w:rPr>
          <w:spacing w:val="80"/>
        </w:rPr>
        <w:t xml:space="preserve"> </w:t>
      </w:r>
      <w:r>
        <w:t>conforme</w:t>
      </w:r>
      <w:r>
        <w:rPr>
          <w:spacing w:val="80"/>
        </w:rPr>
        <w:t xml:space="preserve"> </w:t>
      </w:r>
      <w:r>
        <w:t>entendimento</w:t>
      </w:r>
      <w:r>
        <w:rPr>
          <w:spacing w:val="80"/>
        </w:rPr>
        <w:t xml:space="preserve"> </w:t>
      </w:r>
      <w:r>
        <w:t>jurisprudencial</w:t>
      </w:r>
      <w:r>
        <w:rPr>
          <w:spacing w:val="80"/>
        </w:rPr>
        <w:t xml:space="preserve"> </w:t>
      </w:r>
      <w:r>
        <w:t>que</w:t>
      </w:r>
      <w:r>
        <w:rPr>
          <w:spacing w:val="80"/>
        </w:rPr>
        <w:t xml:space="preserve"> </w:t>
      </w:r>
      <w:r>
        <w:t>trata da</w:t>
      </w:r>
      <w:r>
        <w:rPr>
          <w:spacing w:val="40"/>
        </w:rPr>
        <w:t xml:space="preserve"> </w:t>
      </w:r>
      <w:r>
        <w:t>questão</w:t>
      </w:r>
      <w:r>
        <w:rPr>
          <w:spacing w:val="40"/>
        </w:rPr>
        <w:t xml:space="preserve"> </w:t>
      </w:r>
      <w:r>
        <w:t>específica do ônus da prova abaixo colacionado, tal encargo é da parte Reclamante e não da Administração Pública:</w:t>
      </w:r>
    </w:p>
    <w:p w:rsidR="007259F2" w:rsidRDefault="00E655B4">
      <w:pPr>
        <w:spacing w:line="230" w:lineRule="exact"/>
        <w:ind w:left="2978"/>
        <w:rPr>
          <w:sz w:val="20"/>
        </w:rPr>
      </w:pPr>
      <w:r>
        <w:rPr>
          <w:spacing w:val="-2"/>
          <w:sz w:val="20"/>
        </w:rPr>
        <w:t>(...)</w:t>
      </w:r>
    </w:p>
    <w:p w:rsidR="007259F2" w:rsidRDefault="00E655B4">
      <w:pPr>
        <w:ind w:left="2978" w:right="988"/>
        <w:jc w:val="both"/>
        <w:rPr>
          <w:sz w:val="20"/>
        </w:rPr>
      </w:pPr>
      <w:r>
        <w:rPr>
          <w:sz w:val="20"/>
        </w:rPr>
        <w:t>Ademais, a 2ª Turma do STF também reafirmou, de forma cristalina, o entendimento de que o ônus da prova, nos casos de responsabilidade subsidiária da Administração Pública, recai sobre o Reclamante, sendo indevida a sua</w:t>
      </w:r>
      <w:r>
        <w:rPr>
          <w:spacing w:val="-3"/>
          <w:sz w:val="20"/>
        </w:rPr>
        <w:t xml:space="preserve"> </w:t>
      </w:r>
      <w:r>
        <w:rPr>
          <w:sz w:val="20"/>
        </w:rPr>
        <w:t xml:space="preserve">inversão em desfavor da Administração Pública, </w:t>
      </w:r>
      <w:r>
        <w:rPr>
          <w:i/>
          <w:sz w:val="20"/>
        </w:rPr>
        <w:t>in verbis</w:t>
      </w:r>
      <w:r>
        <w:rPr>
          <w:sz w:val="20"/>
        </w:rPr>
        <w:t xml:space="preserve">: "Agravo regimental na reclamação. 2. Direito do Trabalho. 3. Terceirização. Responsabilidade subsidiária da Administração Pública. Art. 71, § 1º, da Lei nº 8.666/93. 4. Violação ao decidido na ADC 16 e ao teor da Súmula </w:t>
      </w:r>
      <w:r>
        <w:rPr>
          <w:spacing w:val="-2"/>
          <w:sz w:val="20"/>
        </w:rPr>
        <w:t>Vinculante</w:t>
      </w:r>
    </w:p>
    <w:p w:rsidR="007259F2" w:rsidRDefault="00E655B4">
      <w:pPr>
        <w:pStyle w:val="PargrafodaLista"/>
        <w:numPr>
          <w:ilvl w:val="0"/>
          <w:numId w:val="24"/>
        </w:numPr>
        <w:tabs>
          <w:tab w:val="left" w:pos="3334"/>
        </w:tabs>
        <w:spacing w:before="2"/>
        <w:ind w:left="2978" w:right="988" w:firstLine="0"/>
        <w:jc w:val="both"/>
        <w:rPr>
          <w:sz w:val="20"/>
        </w:rPr>
      </w:pPr>
      <w:r>
        <w:rPr>
          <w:sz w:val="20"/>
        </w:rPr>
        <w:t>Configuração. Reclamação julgada procedente. 5. Impossibilidade de responsabilização automática da Administração Pública pelo</w:t>
      </w:r>
      <w:r>
        <w:rPr>
          <w:spacing w:val="80"/>
          <w:sz w:val="20"/>
        </w:rPr>
        <w:t xml:space="preserve"> </w:t>
      </w:r>
      <w:r>
        <w:rPr>
          <w:sz w:val="20"/>
        </w:rPr>
        <w:t>inadimplemento</w:t>
      </w:r>
      <w:r>
        <w:rPr>
          <w:spacing w:val="40"/>
          <w:sz w:val="20"/>
        </w:rPr>
        <w:t xml:space="preserve"> </w:t>
      </w:r>
      <w:r>
        <w:rPr>
          <w:sz w:val="20"/>
        </w:rPr>
        <w:t>das obrigações trabalhistas. Necessidade de comprovação inequívoca do seu comportamento reiteradamente negligente. Ausência de fiscalização ou falta de documentos que a comprovem não são suficientes para caracterizar a responsabilização. 6. Inversão do ônus da prova em desfavor da Administração Pública. Impossibilidade. Precedentes de ambas</w:t>
      </w:r>
      <w:r>
        <w:rPr>
          <w:spacing w:val="40"/>
          <w:sz w:val="20"/>
        </w:rPr>
        <w:t xml:space="preserve"> </w:t>
      </w:r>
      <w:r>
        <w:rPr>
          <w:sz w:val="20"/>
        </w:rPr>
        <w:t>as Turmas. 7. Ausência de argumentos capazes de infirmar a decisão agravada. 8. Agravo regimental não provido"</w:t>
      </w:r>
      <w:r>
        <w:rPr>
          <w:spacing w:val="40"/>
          <w:sz w:val="20"/>
        </w:rPr>
        <w:t xml:space="preserve"> </w:t>
      </w:r>
      <w:r>
        <w:rPr>
          <w:sz w:val="20"/>
        </w:rPr>
        <w:t>(AgRg-Rcl40.505-SP,</w:t>
      </w:r>
      <w:r>
        <w:rPr>
          <w:spacing w:val="40"/>
          <w:sz w:val="20"/>
        </w:rPr>
        <w:t xml:space="preserve"> </w:t>
      </w:r>
      <w:r>
        <w:rPr>
          <w:sz w:val="20"/>
        </w:rPr>
        <w:t>Rel. Min. Gilmar Mendes, 2ª Turma, julgado</w:t>
      </w:r>
      <w:r>
        <w:rPr>
          <w:spacing w:val="40"/>
          <w:sz w:val="20"/>
        </w:rPr>
        <w:t xml:space="preserve"> </w:t>
      </w:r>
      <w:r>
        <w:rPr>
          <w:sz w:val="20"/>
        </w:rPr>
        <w:t>em 17/11/20, vencidos os Min. Ricardo</w:t>
      </w:r>
      <w:r>
        <w:rPr>
          <w:spacing w:val="40"/>
          <w:sz w:val="20"/>
        </w:rPr>
        <w:t xml:space="preserve"> </w:t>
      </w:r>
      <w:r>
        <w:rPr>
          <w:sz w:val="20"/>
        </w:rPr>
        <w:t>Lewandowski</w:t>
      </w:r>
      <w:r>
        <w:rPr>
          <w:spacing w:val="40"/>
          <w:sz w:val="20"/>
        </w:rPr>
        <w:t xml:space="preserve"> </w:t>
      </w:r>
      <w:r>
        <w:rPr>
          <w:sz w:val="20"/>
        </w:rPr>
        <w:t>e</w:t>
      </w:r>
      <w:r>
        <w:rPr>
          <w:spacing w:val="40"/>
          <w:sz w:val="20"/>
        </w:rPr>
        <w:t xml:space="preserve"> </w:t>
      </w:r>
      <w:r>
        <w:rPr>
          <w:sz w:val="20"/>
        </w:rPr>
        <w:t>Edson</w:t>
      </w:r>
      <w:r>
        <w:rPr>
          <w:spacing w:val="40"/>
          <w:sz w:val="20"/>
        </w:rPr>
        <w:t xml:space="preserve"> </w:t>
      </w:r>
      <w:r>
        <w:rPr>
          <w:sz w:val="20"/>
        </w:rPr>
        <w:t>Fachin)”</w:t>
      </w:r>
    </w:p>
    <w:p w:rsidR="007259F2" w:rsidRDefault="00E655B4">
      <w:pPr>
        <w:ind w:left="2978" w:right="995"/>
        <w:jc w:val="both"/>
        <w:rPr>
          <w:sz w:val="20"/>
        </w:rPr>
      </w:pPr>
      <w:r>
        <w:rPr>
          <w:sz w:val="20"/>
        </w:rPr>
        <w:t>Penso que o STF, em suas decisões quanto ao tema, tem sido superlativamente</w:t>
      </w:r>
      <w:r>
        <w:rPr>
          <w:spacing w:val="80"/>
          <w:sz w:val="20"/>
        </w:rPr>
        <w:t xml:space="preserve"> </w:t>
      </w:r>
      <w:r>
        <w:rPr>
          <w:sz w:val="20"/>
        </w:rPr>
        <w:t>claro, quanto à questão do ônus da prova, e o TST tem</w:t>
      </w:r>
      <w:r>
        <w:rPr>
          <w:spacing w:val="40"/>
          <w:sz w:val="20"/>
        </w:rPr>
        <w:t xml:space="preserve"> </w:t>
      </w:r>
      <w:r>
        <w:rPr>
          <w:sz w:val="20"/>
        </w:rPr>
        <w:t>sido</w:t>
      </w:r>
      <w:r>
        <w:rPr>
          <w:spacing w:val="29"/>
          <w:sz w:val="20"/>
        </w:rPr>
        <w:t xml:space="preserve"> </w:t>
      </w:r>
      <w:r>
        <w:rPr>
          <w:sz w:val="20"/>
        </w:rPr>
        <w:t>perseverantemente</w:t>
      </w:r>
      <w:r>
        <w:rPr>
          <w:spacing w:val="29"/>
          <w:sz w:val="20"/>
        </w:rPr>
        <w:t xml:space="preserve"> </w:t>
      </w:r>
      <w:r>
        <w:rPr>
          <w:sz w:val="20"/>
        </w:rPr>
        <w:t>refratário</w:t>
      </w:r>
      <w:r>
        <w:rPr>
          <w:spacing w:val="30"/>
          <w:sz w:val="20"/>
        </w:rPr>
        <w:t xml:space="preserve"> </w:t>
      </w:r>
      <w:r>
        <w:rPr>
          <w:sz w:val="20"/>
        </w:rPr>
        <w:t>à</w:t>
      </w:r>
      <w:r>
        <w:rPr>
          <w:spacing w:val="26"/>
          <w:sz w:val="20"/>
        </w:rPr>
        <w:t xml:space="preserve"> </w:t>
      </w:r>
      <w:r>
        <w:rPr>
          <w:sz w:val="20"/>
        </w:rPr>
        <w:t>jurisprudência</w:t>
      </w:r>
      <w:r>
        <w:rPr>
          <w:spacing w:val="29"/>
          <w:sz w:val="20"/>
        </w:rPr>
        <w:t xml:space="preserve"> </w:t>
      </w:r>
      <w:r>
        <w:rPr>
          <w:sz w:val="20"/>
        </w:rPr>
        <w:t>da</w:t>
      </w:r>
      <w:r>
        <w:rPr>
          <w:spacing w:val="29"/>
          <w:sz w:val="20"/>
        </w:rPr>
        <w:t xml:space="preserve"> </w:t>
      </w:r>
      <w:r>
        <w:rPr>
          <w:sz w:val="20"/>
        </w:rPr>
        <w:t>Suprema</w:t>
      </w:r>
      <w:r>
        <w:rPr>
          <w:spacing w:val="29"/>
          <w:sz w:val="20"/>
        </w:rPr>
        <w:t xml:space="preserve"> </w:t>
      </w:r>
      <w:r>
        <w:rPr>
          <w:sz w:val="20"/>
        </w:rPr>
        <w:t>Corte.</w:t>
      </w:r>
      <w:r>
        <w:rPr>
          <w:spacing w:val="28"/>
          <w:sz w:val="20"/>
        </w:rPr>
        <w:t xml:space="preserve"> </w:t>
      </w:r>
      <w:r>
        <w:rPr>
          <w:spacing w:val="-4"/>
          <w:sz w:val="20"/>
        </w:rPr>
        <w:t>Ora,</w:t>
      </w:r>
    </w:p>
    <w:p w:rsidR="007259F2" w:rsidRDefault="007259F2">
      <w:pPr>
        <w:jc w:val="both"/>
        <w:rPr>
          <w:sz w:val="20"/>
        </w:rPr>
        <w:sectPr w:rsidR="007259F2">
          <w:footerReference w:type="default" r:id="rId451"/>
          <w:pgSz w:w="11910" w:h="16840"/>
          <w:pgMar w:top="1320" w:right="708" w:bottom="280" w:left="992" w:header="0" w:footer="0" w:gutter="0"/>
          <w:cols w:space="720"/>
        </w:sectPr>
      </w:pPr>
    </w:p>
    <w:p w:rsidR="007259F2" w:rsidRDefault="00E655B4">
      <w:pPr>
        <w:spacing w:before="71"/>
        <w:ind w:left="2978" w:right="988"/>
        <w:jc w:val="both"/>
        <w:rPr>
          <w:sz w:val="20"/>
        </w:rPr>
      </w:pPr>
      <w:r>
        <w:rPr>
          <w:sz w:val="20"/>
        </w:rPr>
        <w:lastRenderedPageBreak/>
        <w:t>tendo em vista o caráter vinculante das decisões do STF em temas de repercussão</w:t>
      </w:r>
      <w:r>
        <w:rPr>
          <w:spacing w:val="40"/>
          <w:sz w:val="20"/>
        </w:rPr>
        <w:t xml:space="preserve"> </w:t>
      </w:r>
      <w:r>
        <w:rPr>
          <w:sz w:val="20"/>
        </w:rPr>
        <w:t>geral,</w:t>
      </w:r>
      <w:r>
        <w:rPr>
          <w:spacing w:val="40"/>
          <w:sz w:val="20"/>
        </w:rPr>
        <w:t xml:space="preserve"> </w:t>
      </w:r>
      <w:r>
        <w:rPr>
          <w:sz w:val="20"/>
        </w:rPr>
        <w:t>o</w:t>
      </w:r>
      <w:r>
        <w:rPr>
          <w:spacing w:val="40"/>
          <w:sz w:val="20"/>
        </w:rPr>
        <w:t xml:space="preserve"> </w:t>
      </w:r>
      <w:r>
        <w:rPr>
          <w:sz w:val="20"/>
        </w:rPr>
        <w:t>que</w:t>
      </w:r>
      <w:r>
        <w:rPr>
          <w:spacing w:val="40"/>
          <w:sz w:val="20"/>
        </w:rPr>
        <w:t xml:space="preserve"> </w:t>
      </w:r>
      <w:r>
        <w:rPr>
          <w:sz w:val="20"/>
        </w:rPr>
        <w:t>não</w:t>
      </w:r>
      <w:r>
        <w:rPr>
          <w:spacing w:val="40"/>
          <w:sz w:val="20"/>
        </w:rPr>
        <w:t xml:space="preserve"> </w:t>
      </w:r>
      <w:r>
        <w:rPr>
          <w:sz w:val="20"/>
        </w:rPr>
        <w:t>se</w:t>
      </w:r>
      <w:r>
        <w:rPr>
          <w:spacing w:val="40"/>
          <w:sz w:val="20"/>
        </w:rPr>
        <w:t xml:space="preserve"> </w:t>
      </w:r>
      <w:r>
        <w:rPr>
          <w:sz w:val="20"/>
        </w:rPr>
        <w:t>dá com decisões da SBDI-1 do</w:t>
      </w:r>
      <w:r>
        <w:rPr>
          <w:spacing w:val="14"/>
          <w:sz w:val="20"/>
        </w:rPr>
        <w:t xml:space="preserve"> </w:t>
      </w:r>
      <w:r>
        <w:rPr>
          <w:sz w:val="20"/>
        </w:rPr>
        <w:t>TST, é de se sobrepor aquelas a estas. Note-se, em suma, que, pela literalidade do art. 71,</w:t>
      </w:r>
      <w:r>
        <w:rPr>
          <w:spacing w:val="-1"/>
          <w:sz w:val="20"/>
        </w:rPr>
        <w:t xml:space="preserve"> </w:t>
      </w:r>
      <w:r>
        <w:rPr>
          <w:sz w:val="20"/>
        </w:rPr>
        <w:t>§</w:t>
      </w:r>
      <w:r>
        <w:rPr>
          <w:spacing w:val="-2"/>
          <w:sz w:val="20"/>
        </w:rPr>
        <w:t xml:space="preserve"> </w:t>
      </w:r>
      <w:r>
        <w:rPr>
          <w:sz w:val="20"/>
        </w:rPr>
        <w:t>1º,</w:t>
      </w:r>
      <w:r>
        <w:rPr>
          <w:spacing w:val="-1"/>
          <w:sz w:val="20"/>
        </w:rPr>
        <w:t xml:space="preserve"> </w:t>
      </w:r>
      <w:r>
        <w:rPr>
          <w:sz w:val="20"/>
        </w:rPr>
        <w:t>da</w:t>
      </w:r>
      <w:r>
        <w:rPr>
          <w:spacing w:val="-1"/>
          <w:sz w:val="20"/>
        </w:rPr>
        <w:t xml:space="preserve"> </w:t>
      </w:r>
      <w:r>
        <w:rPr>
          <w:sz w:val="20"/>
        </w:rPr>
        <w:t>Lei</w:t>
      </w:r>
      <w:r>
        <w:rPr>
          <w:spacing w:val="-1"/>
          <w:sz w:val="20"/>
        </w:rPr>
        <w:t xml:space="preserve"> </w:t>
      </w:r>
      <w:r>
        <w:rPr>
          <w:sz w:val="20"/>
        </w:rPr>
        <w:t>8.666/93,</w:t>
      </w:r>
      <w:r>
        <w:rPr>
          <w:spacing w:val="-1"/>
          <w:sz w:val="20"/>
        </w:rPr>
        <w:t xml:space="preserve"> </w:t>
      </w:r>
      <w:r>
        <w:rPr>
          <w:sz w:val="20"/>
        </w:rPr>
        <w:t>a</w:t>
      </w:r>
      <w:r>
        <w:rPr>
          <w:spacing w:val="-3"/>
          <w:sz w:val="20"/>
        </w:rPr>
        <w:t xml:space="preserve"> </w:t>
      </w:r>
      <w:r>
        <w:rPr>
          <w:sz w:val="20"/>
        </w:rPr>
        <w:t>regra</w:t>
      </w:r>
      <w:r>
        <w:rPr>
          <w:spacing w:val="-1"/>
          <w:sz w:val="20"/>
        </w:rPr>
        <w:t xml:space="preserve"> </w:t>
      </w:r>
      <w:r>
        <w:rPr>
          <w:sz w:val="20"/>
        </w:rPr>
        <w:t>é</w:t>
      </w:r>
      <w:r>
        <w:rPr>
          <w:spacing w:val="-1"/>
          <w:sz w:val="20"/>
        </w:rPr>
        <w:t xml:space="preserve"> </w:t>
      </w:r>
      <w:r>
        <w:rPr>
          <w:sz w:val="20"/>
        </w:rPr>
        <w:t>a</w:t>
      </w:r>
      <w:r>
        <w:rPr>
          <w:spacing w:val="-1"/>
          <w:sz w:val="20"/>
        </w:rPr>
        <w:t xml:space="preserve"> </w:t>
      </w:r>
      <w:r>
        <w:rPr>
          <w:sz w:val="20"/>
        </w:rPr>
        <w:t>não responsabilização</w:t>
      </w:r>
      <w:r>
        <w:rPr>
          <w:spacing w:val="40"/>
          <w:sz w:val="20"/>
        </w:rPr>
        <w:t xml:space="preserve"> </w:t>
      </w:r>
      <w:r>
        <w:rPr>
          <w:sz w:val="20"/>
        </w:rPr>
        <w:t>da</w:t>
      </w:r>
      <w:r>
        <w:rPr>
          <w:spacing w:val="39"/>
          <w:sz w:val="20"/>
        </w:rPr>
        <w:t xml:space="preserve"> </w:t>
      </w:r>
      <w:r>
        <w:rPr>
          <w:sz w:val="20"/>
        </w:rPr>
        <w:t>administração pública</w:t>
      </w:r>
      <w:r>
        <w:rPr>
          <w:spacing w:val="40"/>
          <w:sz w:val="20"/>
        </w:rPr>
        <w:t xml:space="preserve"> </w:t>
      </w:r>
      <w:r>
        <w:rPr>
          <w:sz w:val="20"/>
        </w:rPr>
        <w:t>pelos</w:t>
      </w:r>
      <w:r>
        <w:rPr>
          <w:spacing w:val="40"/>
          <w:sz w:val="20"/>
        </w:rPr>
        <w:t xml:space="preserve"> </w:t>
      </w:r>
      <w:r>
        <w:rPr>
          <w:sz w:val="20"/>
        </w:rPr>
        <w:t>créditos</w:t>
      </w:r>
      <w:r>
        <w:rPr>
          <w:spacing w:val="40"/>
          <w:sz w:val="20"/>
        </w:rPr>
        <w:t xml:space="preserve"> </w:t>
      </w:r>
      <w:r>
        <w:rPr>
          <w:sz w:val="20"/>
        </w:rPr>
        <w:t>judiciais</w:t>
      </w:r>
      <w:r>
        <w:rPr>
          <w:spacing w:val="40"/>
          <w:sz w:val="20"/>
        </w:rPr>
        <w:t xml:space="preserve"> </w:t>
      </w:r>
      <w:r>
        <w:rPr>
          <w:sz w:val="20"/>
        </w:rPr>
        <w:t>trabalhistas</w:t>
      </w:r>
      <w:r>
        <w:rPr>
          <w:spacing w:val="40"/>
          <w:sz w:val="20"/>
        </w:rPr>
        <w:t xml:space="preserve"> </w:t>
      </w:r>
      <w:r>
        <w:rPr>
          <w:sz w:val="20"/>
        </w:rPr>
        <w:t>de</w:t>
      </w:r>
      <w:r>
        <w:rPr>
          <w:spacing w:val="40"/>
          <w:sz w:val="20"/>
        </w:rPr>
        <w:t xml:space="preserve"> </w:t>
      </w:r>
      <w:r>
        <w:rPr>
          <w:sz w:val="20"/>
        </w:rPr>
        <w:t>empregados</w:t>
      </w:r>
      <w:r>
        <w:rPr>
          <w:spacing w:val="40"/>
          <w:sz w:val="20"/>
        </w:rPr>
        <w:t xml:space="preserve"> </w:t>
      </w:r>
      <w:r>
        <w:rPr>
          <w:sz w:val="20"/>
        </w:rPr>
        <w:t>terceirizados,</w:t>
      </w:r>
      <w:r>
        <w:rPr>
          <w:spacing w:val="80"/>
          <w:sz w:val="20"/>
        </w:rPr>
        <w:t xml:space="preserve"> </w:t>
      </w:r>
      <w:r>
        <w:rPr>
          <w:sz w:val="20"/>
        </w:rPr>
        <w:t>e a contemporização do STF, abrindo exceção àregra, fica limitada e</w:t>
      </w:r>
      <w:r>
        <w:rPr>
          <w:spacing w:val="80"/>
          <w:w w:val="150"/>
          <w:sz w:val="20"/>
        </w:rPr>
        <w:t xml:space="preserve"> </w:t>
      </w:r>
      <w:r>
        <w:rPr>
          <w:sz w:val="20"/>
        </w:rPr>
        <w:t>balizada pelas decisões da própria Suprema Corte, que, portanto, não comportam</w:t>
      </w:r>
      <w:r>
        <w:rPr>
          <w:spacing w:val="40"/>
          <w:sz w:val="20"/>
        </w:rPr>
        <w:t xml:space="preserve"> </w:t>
      </w:r>
      <w:r>
        <w:rPr>
          <w:sz w:val="20"/>
        </w:rPr>
        <w:t>elastecimento</w:t>
      </w:r>
      <w:r>
        <w:rPr>
          <w:spacing w:val="40"/>
          <w:sz w:val="20"/>
        </w:rPr>
        <w:t xml:space="preserve"> </w:t>
      </w:r>
      <w:r>
        <w:rPr>
          <w:sz w:val="20"/>
        </w:rPr>
        <w:t>por</w:t>
      </w:r>
      <w:r>
        <w:rPr>
          <w:spacing w:val="40"/>
          <w:sz w:val="20"/>
        </w:rPr>
        <w:t xml:space="preserve"> </w:t>
      </w:r>
      <w:r>
        <w:rPr>
          <w:sz w:val="20"/>
        </w:rPr>
        <w:t>parte</w:t>
      </w:r>
      <w:r>
        <w:rPr>
          <w:spacing w:val="40"/>
          <w:sz w:val="20"/>
        </w:rPr>
        <w:t xml:space="preserve"> </w:t>
      </w:r>
      <w:r>
        <w:rPr>
          <w:sz w:val="20"/>
        </w:rPr>
        <w:t>da</w:t>
      </w:r>
      <w:r>
        <w:rPr>
          <w:spacing w:val="40"/>
          <w:sz w:val="20"/>
        </w:rPr>
        <w:t xml:space="preserve"> </w:t>
      </w:r>
      <w:r>
        <w:rPr>
          <w:sz w:val="20"/>
        </w:rPr>
        <w:t>Justiça</w:t>
      </w:r>
      <w:r>
        <w:rPr>
          <w:spacing w:val="40"/>
          <w:sz w:val="20"/>
        </w:rPr>
        <w:t xml:space="preserve"> </w:t>
      </w:r>
      <w:r>
        <w:rPr>
          <w:sz w:val="20"/>
        </w:rPr>
        <w:t>do</w:t>
      </w:r>
      <w:r>
        <w:rPr>
          <w:spacing w:val="40"/>
          <w:sz w:val="20"/>
        </w:rPr>
        <w:t xml:space="preserve"> </w:t>
      </w:r>
      <w:r>
        <w:rPr>
          <w:sz w:val="20"/>
        </w:rPr>
        <w:t>Trabalho.</w:t>
      </w:r>
    </w:p>
    <w:p w:rsidR="007259F2" w:rsidRDefault="00E655B4">
      <w:pPr>
        <w:spacing w:before="1"/>
        <w:ind w:left="2978"/>
        <w:rPr>
          <w:sz w:val="20"/>
        </w:rPr>
      </w:pPr>
      <w:r>
        <w:rPr>
          <w:spacing w:val="-2"/>
          <w:sz w:val="20"/>
        </w:rPr>
        <w:t>(...)</w:t>
      </w:r>
    </w:p>
    <w:p w:rsidR="007259F2" w:rsidRDefault="00E655B4">
      <w:pPr>
        <w:tabs>
          <w:tab w:val="left" w:pos="3871"/>
          <w:tab w:val="left" w:pos="5301"/>
          <w:tab w:val="left" w:pos="5930"/>
        </w:tabs>
        <w:ind w:left="2978"/>
        <w:rPr>
          <w:sz w:val="20"/>
        </w:rPr>
      </w:pPr>
      <w:r>
        <w:rPr>
          <w:spacing w:val="-2"/>
          <w:sz w:val="20"/>
        </w:rPr>
        <w:t>(TST.</w:t>
      </w:r>
      <w:r>
        <w:rPr>
          <w:sz w:val="20"/>
        </w:rPr>
        <w:tab/>
      </w:r>
      <w:r>
        <w:rPr>
          <w:spacing w:val="-2"/>
          <w:sz w:val="20"/>
        </w:rPr>
        <w:t>PROCESSO</w:t>
      </w:r>
      <w:r>
        <w:rPr>
          <w:sz w:val="20"/>
        </w:rPr>
        <w:tab/>
      </w:r>
      <w:r>
        <w:rPr>
          <w:spacing w:val="-5"/>
          <w:sz w:val="20"/>
        </w:rPr>
        <w:t>Nº</w:t>
      </w:r>
      <w:r>
        <w:rPr>
          <w:sz w:val="20"/>
        </w:rPr>
        <w:tab/>
      </w:r>
      <w:r>
        <w:rPr>
          <w:spacing w:val="-2"/>
          <w:sz w:val="20"/>
        </w:rPr>
        <w:t>TST-AIRR-1001095-19.2022.5.02.0706.</w:t>
      </w:r>
    </w:p>
    <w:p w:rsidR="007259F2" w:rsidRDefault="00E655B4">
      <w:pPr>
        <w:spacing w:before="1" w:line="229" w:lineRule="exact"/>
        <w:ind w:left="2978"/>
        <w:rPr>
          <w:sz w:val="20"/>
        </w:rPr>
      </w:pPr>
      <w:r>
        <w:rPr>
          <w:spacing w:val="-2"/>
          <w:sz w:val="20"/>
        </w:rPr>
        <w:t>Ministra</w:t>
      </w:r>
    </w:p>
    <w:p w:rsidR="007259F2" w:rsidRDefault="00E655B4">
      <w:pPr>
        <w:ind w:left="2978" w:right="990"/>
        <w:rPr>
          <w:sz w:val="20"/>
        </w:rPr>
      </w:pPr>
      <w:r>
        <w:rPr>
          <w:sz w:val="20"/>
        </w:rPr>
        <w:t>Relatora:</w:t>
      </w:r>
      <w:r>
        <w:rPr>
          <w:spacing w:val="26"/>
          <w:sz w:val="20"/>
        </w:rPr>
        <w:t xml:space="preserve"> </w:t>
      </w:r>
      <w:r>
        <w:rPr>
          <w:sz w:val="20"/>
        </w:rPr>
        <w:t>MARIA</w:t>
      </w:r>
      <w:r>
        <w:rPr>
          <w:spacing w:val="24"/>
          <w:sz w:val="20"/>
        </w:rPr>
        <w:t xml:space="preserve"> </w:t>
      </w:r>
      <w:r>
        <w:rPr>
          <w:sz w:val="20"/>
        </w:rPr>
        <w:t>CRISTINA</w:t>
      </w:r>
      <w:r>
        <w:rPr>
          <w:spacing w:val="24"/>
          <w:sz w:val="20"/>
        </w:rPr>
        <w:t xml:space="preserve"> </w:t>
      </w:r>
      <w:r>
        <w:rPr>
          <w:sz w:val="20"/>
        </w:rPr>
        <w:t>IRIGOYEN</w:t>
      </w:r>
      <w:r>
        <w:rPr>
          <w:spacing w:val="26"/>
          <w:sz w:val="20"/>
        </w:rPr>
        <w:t xml:space="preserve"> </w:t>
      </w:r>
      <w:r>
        <w:rPr>
          <w:sz w:val="20"/>
        </w:rPr>
        <w:t>PEDUZZI.</w:t>
      </w:r>
      <w:r>
        <w:rPr>
          <w:spacing w:val="26"/>
          <w:sz w:val="20"/>
        </w:rPr>
        <w:t xml:space="preserve"> </w:t>
      </w:r>
      <w:r>
        <w:rPr>
          <w:sz w:val="20"/>
        </w:rPr>
        <w:t>Data</w:t>
      </w:r>
      <w:r>
        <w:rPr>
          <w:spacing w:val="27"/>
          <w:sz w:val="20"/>
        </w:rPr>
        <w:t xml:space="preserve"> </w:t>
      </w:r>
      <w:r>
        <w:rPr>
          <w:sz w:val="20"/>
        </w:rPr>
        <w:t>de</w:t>
      </w:r>
      <w:r>
        <w:rPr>
          <w:spacing w:val="24"/>
          <w:sz w:val="20"/>
        </w:rPr>
        <w:t xml:space="preserve"> </w:t>
      </w:r>
      <w:r>
        <w:rPr>
          <w:sz w:val="20"/>
        </w:rPr>
        <w:t xml:space="preserve">Publicação: </w:t>
      </w:r>
      <w:r>
        <w:rPr>
          <w:spacing w:val="-2"/>
          <w:sz w:val="20"/>
        </w:rPr>
        <w:t>15/05/2024)</w:t>
      </w:r>
    </w:p>
    <w:p w:rsidR="007259F2" w:rsidRDefault="007259F2">
      <w:pPr>
        <w:pStyle w:val="Corpodetexto"/>
        <w:spacing w:before="44"/>
        <w:ind w:left="0" w:firstLine="0"/>
        <w:jc w:val="left"/>
        <w:rPr>
          <w:sz w:val="20"/>
        </w:rPr>
      </w:pPr>
    </w:p>
    <w:p w:rsidR="007259F2" w:rsidRDefault="00E655B4">
      <w:pPr>
        <w:pStyle w:val="Corpodetexto"/>
        <w:ind w:right="988"/>
      </w:pPr>
      <w:r>
        <w:t xml:space="preserve">Em reforço aos argumentos aqui elencados, em recente decisão proferida pelo Supremo Tribunal Federal (STF), encartada sob o Tema 1118 assim ementado – </w:t>
      </w:r>
      <w:r>
        <w:rPr>
          <w:u w:val="single"/>
        </w:rPr>
        <w:t>Ônus</w:t>
      </w:r>
      <w:r>
        <w:t xml:space="preserve"> </w:t>
      </w:r>
      <w:r>
        <w:rPr>
          <w:u w:val="single"/>
        </w:rPr>
        <w:t>da</w:t>
      </w:r>
      <w:r>
        <w:t xml:space="preserve"> </w:t>
      </w:r>
      <w:r>
        <w:rPr>
          <w:u w:val="single"/>
        </w:rPr>
        <w:t>prova acerca de eventual conduta culposa na fiscalização das obrigações trabalhistas</w:t>
      </w:r>
      <w:r>
        <w:t xml:space="preserve"> </w:t>
      </w:r>
      <w:r>
        <w:rPr>
          <w:u w:val="single"/>
        </w:rPr>
        <w:t>de</w:t>
      </w:r>
      <w:r>
        <w:rPr>
          <w:spacing w:val="40"/>
        </w:rPr>
        <w:t xml:space="preserve"> </w:t>
      </w:r>
      <w:r>
        <w:rPr>
          <w:u w:val="single"/>
        </w:rPr>
        <w:t>prestadora</w:t>
      </w:r>
      <w:r>
        <w:rPr>
          <w:spacing w:val="40"/>
          <w:u w:val="single"/>
        </w:rPr>
        <w:t xml:space="preserve"> </w:t>
      </w:r>
      <w:r>
        <w:rPr>
          <w:u w:val="single"/>
        </w:rPr>
        <w:t>de</w:t>
      </w:r>
      <w:r>
        <w:rPr>
          <w:spacing w:val="40"/>
          <w:u w:val="single"/>
        </w:rPr>
        <w:t xml:space="preserve"> </w:t>
      </w:r>
      <w:r>
        <w:rPr>
          <w:u w:val="single"/>
        </w:rPr>
        <w:t>serviços,</w:t>
      </w:r>
      <w:r>
        <w:rPr>
          <w:spacing w:val="40"/>
          <w:u w:val="single"/>
        </w:rPr>
        <w:t xml:space="preserve"> </w:t>
      </w:r>
      <w:r>
        <w:rPr>
          <w:u w:val="single"/>
        </w:rPr>
        <w:t>para</w:t>
      </w:r>
      <w:r>
        <w:rPr>
          <w:spacing w:val="40"/>
          <w:u w:val="single"/>
        </w:rPr>
        <w:t xml:space="preserve"> </w:t>
      </w:r>
      <w:r>
        <w:rPr>
          <w:u w:val="single"/>
        </w:rPr>
        <w:t>fins</w:t>
      </w:r>
      <w:r>
        <w:rPr>
          <w:spacing w:val="40"/>
          <w:u w:val="single"/>
        </w:rPr>
        <w:t xml:space="preserve"> </w:t>
      </w:r>
      <w:r>
        <w:rPr>
          <w:u w:val="single"/>
        </w:rPr>
        <w:t>de</w:t>
      </w:r>
      <w:r>
        <w:rPr>
          <w:spacing w:val="40"/>
          <w:u w:val="single"/>
        </w:rPr>
        <w:t xml:space="preserve"> </w:t>
      </w:r>
      <w:r>
        <w:rPr>
          <w:u w:val="single"/>
        </w:rPr>
        <w:t>responsabilização</w:t>
      </w:r>
      <w:r>
        <w:rPr>
          <w:spacing w:val="40"/>
          <w:u w:val="single"/>
        </w:rPr>
        <w:t xml:space="preserve"> </w:t>
      </w:r>
      <w:r>
        <w:rPr>
          <w:u w:val="single"/>
        </w:rPr>
        <w:t>subsidiária</w:t>
      </w:r>
      <w:r>
        <w:rPr>
          <w:spacing w:val="40"/>
          <w:u w:val="single"/>
        </w:rPr>
        <w:t xml:space="preserve"> </w:t>
      </w:r>
      <w:r>
        <w:rPr>
          <w:u w:val="single"/>
        </w:rPr>
        <w:t>da</w:t>
      </w:r>
      <w:r>
        <w:t xml:space="preserve"> </w:t>
      </w:r>
      <w:r>
        <w:rPr>
          <w:u w:val="single"/>
        </w:rPr>
        <w:t>Administração</w:t>
      </w:r>
      <w:r>
        <w:t xml:space="preserve"> </w:t>
      </w:r>
      <w:r>
        <w:rPr>
          <w:u w:val="single"/>
        </w:rPr>
        <w:t>Pública, em virtude da tese firmada no RE 760.931 (Tema 246)</w:t>
      </w:r>
      <w:r>
        <w:t xml:space="preserve"> – a questão referente ao ônus da prova e dos limites da responsabilidade subsidiária do poder</w:t>
      </w:r>
      <w:r>
        <w:rPr>
          <w:spacing w:val="40"/>
        </w:rPr>
        <w:t xml:space="preserve"> </w:t>
      </w:r>
      <w:r>
        <w:t>público</w:t>
      </w:r>
      <w:r>
        <w:rPr>
          <w:spacing w:val="40"/>
        </w:rPr>
        <w:t xml:space="preserve"> </w:t>
      </w:r>
      <w:r>
        <w:t>delineou-se ao</w:t>
      </w:r>
      <w:r>
        <w:rPr>
          <w:spacing w:val="40"/>
        </w:rPr>
        <w:t xml:space="preserve"> </w:t>
      </w:r>
      <w:r>
        <w:t>traço</w:t>
      </w:r>
      <w:r>
        <w:rPr>
          <w:spacing w:val="40"/>
        </w:rPr>
        <w:t xml:space="preserve"> </w:t>
      </w:r>
      <w:r>
        <w:t>dos</w:t>
      </w:r>
      <w:r>
        <w:rPr>
          <w:spacing w:val="40"/>
        </w:rPr>
        <w:t xml:space="preserve"> </w:t>
      </w:r>
      <w:r>
        <w:t>argumentos</w:t>
      </w:r>
      <w:r>
        <w:rPr>
          <w:spacing w:val="40"/>
        </w:rPr>
        <w:t xml:space="preserve"> </w:t>
      </w:r>
      <w:r>
        <w:t>aqui</w:t>
      </w:r>
      <w:r>
        <w:rPr>
          <w:spacing w:val="40"/>
        </w:rPr>
        <w:t xml:space="preserve"> </w:t>
      </w:r>
      <w:r>
        <w:t>apresentados,</w:t>
      </w:r>
      <w:r>
        <w:rPr>
          <w:spacing w:val="40"/>
        </w:rPr>
        <w:t xml:space="preserve"> </w:t>
      </w:r>
      <w:r>
        <w:t>ficando decidido</w:t>
      </w:r>
      <w:r>
        <w:rPr>
          <w:spacing w:val="40"/>
        </w:rPr>
        <w:t xml:space="preserve"> </w:t>
      </w:r>
      <w:r>
        <w:t>que</w:t>
      </w:r>
      <w:r>
        <w:rPr>
          <w:spacing w:val="40"/>
        </w:rPr>
        <w:t xml:space="preserve"> </w:t>
      </w:r>
      <w:r>
        <w:t>cabe</w:t>
      </w:r>
      <w:r>
        <w:rPr>
          <w:spacing w:val="40"/>
        </w:rPr>
        <w:t xml:space="preserve"> </w:t>
      </w:r>
      <w:r>
        <w:t>a</w:t>
      </w:r>
      <w:r>
        <w:rPr>
          <w:spacing w:val="40"/>
        </w:rPr>
        <w:t xml:space="preserve"> </w:t>
      </w:r>
      <w:r>
        <w:t>parte</w:t>
      </w:r>
      <w:r>
        <w:rPr>
          <w:spacing w:val="40"/>
        </w:rPr>
        <w:t xml:space="preserve"> </w:t>
      </w:r>
      <w:r>
        <w:t>Reclamante a comprovação de comportamento negligente por parte da Administração</w:t>
      </w:r>
      <w:r>
        <w:rPr>
          <w:spacing w:val="40"/>
        </w:rPr>
        <w:t xml:space="preserve"> </w:t>
      </w:r>
      <w:r>
        <w:t>Pública,</w:t>
      </w:r>
      <w:r>
        <w:rPr>
          <w:spacing w:val="40"/>
        </w:rPr>
        <w:t xml:space="preserve"> </w:t>
      </w:r>
      <w:r>
        <w:t>conforme</w:t>
      </w:r>
      <w:r>
        <w:rPr>
          <w:spacing w:val="40"/>
        </w:rPr>
        <w:t xml:space="preserve"> </w:t>
      </w:r>
      <w:r>
        <w:t>decisão</w:t>
      </w:r>
      <w:r>
        <w:rPr>
          <w:spacing w:val="40"/>
        </w:rPr>
        <w:t xml:space="preserve"> </w:t>
      </w:r>
      <w:r>
        <w:t>proferida</w:t>
      </w:r>
      <w:r>
        <w:rPr>
          <w:spacing w:val="40"/>
        </w:rPr>
        <w:t xml:space="preserve"> </w:t>
      </w:r>
      <w:r>
        <w:t>abaixo</w:t>
      </w:r>
      <w:r>
        <w:rPr>
          <w:spacing w:val="40"/>
        </w:rPr>
        <w:t xml:space="preserve"> </w:t>
      </w:r>
      <w:r>
        <w:t>destacada:</w:t>
      </w:r>
    </w:p>
    <w:p w:rsidR="007259F2" w:rsidRDefault="007259F2">
      <w:pPr>
        <w:pStyle w:val="Corpodetexto"/>
        <w:spacing w:before="2"/>
        <w:ind w:left="0" w:firstLine="0"/>
        <w:jc w:val="left"/>
      </w:pPr>
    </w:p>
    <w:p w:rsidR="007259F2" w:rsidRDefault="00E655B4">
      <w:pPr>
        <w:tabs>
          <w:tab w:val="left" w:pos="4461"/>
          <w:tab w:val="left" w:pos="5085"/>
          <w:tab w:val="left" w:pos="5371"/>
          <w:tab w:val="left" w:pos="5947"/>
          <w:tab w:val="left" w:pos="6125"/>
          <w:tab w:val="left" w:pos="6533"/>
          <w:tab w:val="left" w:pos="6883"/>
          <w:tab w:val="left" w:pos="7514"/>
          <w:tab w:val="left" w:pos="8022"/>
          <w:tab w:val="left" w:pos="8552"/>
          <w:tab w:val="left" w:pos="8871"/>
        </w:tabs>
        <w:ind w:left="2978" w:right="988"/>
        <w:rPr>
          <w:sz w:val="20"/>
        </w:rPr>
      </w:pPr>
      <w:r>
        <w:rPr>
          <w:sz w:val="20"/>
        </w:rPr>
        <w:t>Decisão:</w:t>
      </w:r>
      <w:r>
        <w:rPr>
          <w:spacing w:val="40"/>
          <w:sz w:val="20"/>
        </w:rPr>
        <w:t xml:space="preserve">  </w:t>
      </w:r>
      <w:r>
        <w:rPr>
          <w:sz w:val="20"/>
        </w:rPr>
        <w:t>O</w:t>
      </w:r>
      <w:r>
        <w:rPr>
          <w:spacing w:val="40"/>
          <w:sz w:val="20"/>
        </w:rPr>
        <w:t xml:space="preserve">  </w:t>
      </w:r>
      <w:r>
        <w:rPr>
          <w:sz w:val="20"/>
        </w:rPr>
        <w:t>Tribunal,</w:t>
      </w:r>
      <w:r>
        <w:rPr>
          <w:spacing w:val="40"/>
          <w:sz w:val="20"/>
        </w:rPr>
        <w:t xml:space="preserve">  </w:t>
      </w:r>
      <w:r>
        <w:rPr>
          <w:sz w:val="20"/>
        </w:rPr>
        <w:t>por</w:t>
      </w:r>
      <w:r>
        <w:rPr>
          <w:spacing w:val="40"/>
          <w:sz w:val="20"/>
        </w:rPr>
        <w:t xml:space="preserve">  </w:t>
      </w:r>
      <w:r>
        <w:rPr>
          <w:sz w:val="20"/>
        </w:rPr>
        <w:t>maioria,</w:t>
      </w:r>
      <w:r>
        <w:rPr>
          <w:spacing w:val="40"/>
          <w:sz w:val="20"/>
        </w:rPr>
        <w:t xml:space="preserve">  </w:t>
      </w:r>
      <w:r>
        <w:rPr>
          <w:sz w:val="20"/>
        </w:rPr>
        <w:t>apreciando</w:t>
      </w:r>
      <w:r>
        <w:rPr>
          <w:spacing w:val="40"/>
          <w:sz w:val="20"/>
        </w:rPr>
        <w:t xml:space="preserve">  </w:t>
      </w:r>
      <w:r>
        <w:rPr>
          <w:sz w:val="20"/>
        </w:rPr>
        <w:t>o</w:t>
      </w:r>
      <w:r>
        <w:rPr>
          <w:spacing w:val="80"/>
          <w:w w:val="150"/>
          <w:sz w:val="20"/>
        </w:rPr>
        <w:t xml:space="preserve"> </w:t>
      </w:r>
      <w:r>
        <w:rPr>
          <w:sz w:val="20"/>
        </w:rPr>
        <w:t>tema</w:t>
      </w:r>
      <w:r>
        <w:rPr>
          <w:spacing w:val="40"/>
          <w:sz w:val="20"/>
        </w:rPr>
        <w:t xml:space="preserve">  </w:t>
      </w:r>
      <w:r>
        <w:rPr>
          <w:sz w:val="20"/>
        </w:rPr>
        <w:t>1.118</w:t>
      </w:r>
      <w:r>
        <w:rPr>
          <w:spacing w:val="40"/>
          <w:sz w:val="20"/>
        </w:rPr>
        <w:t xml:space="preserve">  </w:t>
      </w:r>
      <w:r>
        <w:rPr>
          <w:sz w:val="20"/>
        </w:rPr>
        <w:t>da repercussão</w:t>
      </w:r>
      <w:r>
        <w:rPr>
          <w:spacing w:val="80"/>
          <w:w w:val="150"/>
          <w:sz w:val="20"/>
        </w:rPr>
        <w:t xml:space="preserve"> </w:t>
      </w:r>
      <w:r>
        <w:rPr>
          <w:sz w:val="20"/>
        </w:rPr>
        <w:t>geral,</w:t>
      </w:r>
      <w:r>
        <w:rPr>
          <w:spacing w:val="80"/>
          <w:w w:val="150"/>
          <w:sz w:val="20"/>
        </w:rPr>
        <w:t xml:space="preserve"> </w:t>
      </w:r>
      <w:r>
        <w:rPr>
          <w:sz w:val="20"/>
        </w:rPr>
        <w:t>deu</w:t>
      </w:r>
      <w:r>
        <w:rPr>
          <w:spacing w:val="80"/>
          <w:w w:val="150"/>
          <w:sz w:val="20"/>
        </w:rPr>
        <w:t xml:space="preserve"> </w:t>
      </w:r>
      <w:r>
        <w:rPr>
          <w:sz w:val="20"/>
        </w:rPr>
        <w:t>provimento</w:t>
      </w:r>
      <w:r>
        <w:rPr>
          <w:spacing w:val="80"/>
          <w:w w:val="150"/>
          <w:sz w:val="20"/>
        </w:rPr>
        <w:t xml:space="preserve"> </w:t>
      </w:r>
      <w:r>
        <w:rPr>
          <w:sz w:val="20"/>
        </w:rPr>
        <w:t>ao</w:t>
      </w:r>
      <w:r>
        <w:rPr>
          <w:spacing w:val="80"/>
          <w:w w:val="150"/>
          <w:sz w:val="20"/>
        </w:rPr>
        <w:t xml:space="preserve"> </w:t>
      </w:r>
      <w:r>
        <w:rPr>
          <w:sz w:val="20"/>
        </w:rPr>
        <w:t>recurso</w:t>
      </w:r>
      <w:r>
        <w:rPr>
          <w:spacing w:val="80"/>
          <w:w w:val="150"/>
          <w:sz w:val="20"/>
        </w:rPr>
        <w:t xml:space="preserve"> </w:t>
      </w:r>
      <w:r>
        <w:rPr>
          <w:sz w:val="20"/>
        </w:rPr>
        <w:t>extraordinário</w:t>
      </w:r>
      <w:r>
        <w:rPr>
          <w:spacing w:val="80"/>
          <w:w w:val="150"/>
          <w:sz w:val="20"/>
        </w:rPr>
        <w:t xml:space="preserve"> </w:t>
      </w:r>
      <w:r>
        <w:rPr>
          <w:sz w:val="20"/>
        </w:rPr>
        <w:t>para,</w:t>
      </w:r>
      <w:r>
        <w:rPr>
          <w:spacing w:val="40"/>
          <w:sz w:val="20"/>
        </w:rPr>
        <w:t xml:space="preserve"> </w:t>
      </w:r>
      <w:r>
        <w:rPr>
          <w:sz w:val="20"/>
        </w:rPr>
        <w:t>reformando</w:t>
      </w:r>
      <w:r>
        <w:rPr>
          <w:spacing w:val="40"/>
          <w:sz w:val="20"/>
        </w:rPr>
        <w:t xml:space="preserve"> </w:t>
      </w:r>
      <w:r>
        <w:rPr>
          <w:sz w:val="20"/>
        </w:rPr>
        <w:t>o</w:t>
      </w:r>
      <w:r>
        <w:rPr>
          <w:spacing w:val="40"/>
          <w:sz w:val="20"/>
        </w:rPr>
        <w:t xml:space="preserve"> </w:t>
      </w:r>
      <w:r>
        <w:rPr>
          <w:sz w:val="20"/>
        </w:rPr>
        <w:t>acórdão</w:t>
      </w:r>
      <w:r>
        <w:rPr>
          <w:spacing w:val="40"/>
          <w:sz w:val="20"/>
        </w:rPr>
        <w:t xml:space="preserve"> </w:t>
      </w:r>
      <w:r>
        <w:rPr>
          <w:sz w:val="20"/>
        </w:rPr>
        <w:t>recorrido,</w:t>
      </w:r>
      <w:r>
        <w:rPr>
          <w:spacing w:val="40"/>
          <w:sz w:val="20"/>
        </w:rPr>
        <w:t xml:space="preserve"> </w:t>
      </w:r>
      <w:r>
        <w:rPr>
          <w:sz w:val="20"/>
        </w:rPr>
        <w:t>afastar</w:t>
      </w:r>
      <w:r>
        <w:rPr>
          <w:spacing w:val="40"/>
          <w:sz w:val="20"/>
        </w:rPr>
        <w:t xml:space="preserve"> </w:t>
      </w:r>
      <w:r>
        <w:rPr>
          <w:sz w:val="20"/>
        </w:rPr>
        <w:t>a</w:t>
      </w:r>
      <w:r>
        <w:rPr>
          <w:spacing w:val="40"/>
          <w:sz w:val="20"/>
        </w:rPr>
        <w:t xml:space="preserve"> </w:t>
      </w:r>
      <w:r>
        <w:rPr>
          <w:sz w:val="20"/>
        </w:rPr>
        <w:t>responsabilidade</w:t>
      </w:r>
      <w:r>
        <w:rPr>
          <w:spacing w:val="40"/>
          <w:sz w:val="20"/>
        </w:rPr>
        <w:t xml:space="preserve"> </w:t>
      </w:r>
      <w:r>
        <w:rPr>
          <w:sz w:val="20"/>
        </w:rPr>
        <w:t>subsidiária</w:t>
      </w:r>
      <w:r>
        <w:rPr>
          <w:spacing w:val="40"/>
          <w:sz w:val="20"/>
        </w:rPr>
        <w:t xml:space="preserve"> </w:t>
      </w:r>
      <w:r>
        <w:rPr>
          <w:sz w:val="20"/>
        </w:rPr>
        <w:t>da Administração</w:t>
      </w:r>
      <w:r>
        <w:rPr>
          <w:spacing w:val="67"/>
          <w:sz w:val="20"/>
        </w:rPr>
        <w:t xml:space="preserve"> </w:t>
      </w:r>
      <w:r>
        <w:rPr>
          <w:sz w:val="20"/>
        </w:rPr>
        <w:t>Pública,</w:t>
      </w:r>
      <w:r>
        <w:rPr>
          <w:spacing w:val="66"/>
          <w:sz w:val="20"/>
        </w:rPr>
        <w:t xml:space="preserve"> </w:t>
      </w:r>
      <w:r>
        <w:rPr>
          <w:sz w:val="20"/>
        </w:rPr>
        <w:t>nos</w:t>
      </w:r>
      <w:r>
        <w:rPr>
          <w:spacing w:val="70"/>
          <w:sz w:val="20"/>
        </w:rPr>
        <w:t xml:space="preserve"> </w:t>
      </w:r>
      <w:r>
        <w:rPr>
          <w:sz w:val="20"/>
        </w:rPr>
        <w:t>termos</w:t>
      </w:r>
      <w:r>
        <w:rPr>
          <w:spacing w:val="80"/>
          <w:sz w:val="20"/>
        </w:rPr>
        <w:t xml:space="preserve"> </w:t>
      </w:r>
      <w:r>
        <w:rPr>
          <w:sz w:val="20"/>
        </w:rPr>
        <w:t>do</w:t>
      </w:r>
      <w:r>
        <w:rPr>
          <w:spacing w:val="80"/>
          <w:sz w:val="20"/>
        </w:rPr>
        <w:t xml:space="preserve"> </w:t>
      </w:r>
      <w:r>
        <w:rPr>
          <w:sz w:val="20"/>
        </w:rPr>
        <w:t>voto</w:t>
      </w:r>
      <w:r>
        <w:rPr>
          <w:spacing w:val="80"/>
          <w:sz w:val="20"/>
        </w:rPr>
        <w:t xml:space="preserve"> </w:t>
      </w:r>
      <w:r>
        <w:rPr>
          <w:sz w:val="20"/>
        </w:rPr>
        <w:t>do</w:t>
      </w:r>
      <w:r>
        <w:rPr>
          <w:spacing w:val="80"/>
          <w:sz w:val="20"/>
        </w:rPr>
        <w:t xml:space="preserve"> </w:t>
      </w:r>
      <w:r>
        <w:rPr>
          <w:sz w:val="20"/>
        </w:rPr>
        <w:t>Relator,</w:t>
      </w:r>
      <w:r>
        <w:rPr>
          <w:spacing w:val="80"/>
          <w:sz w:val="20"/>
        </w:rPr>
        <w:t xml:space="preserve"> </w:t>
      </w:r>
      <w:r>
        <w:rPr>
          <w:sz w:val="20"/>
        </w:rPr>
        <w:t>vencidos</w:t>
      </w:r>
      <w:r>
        <w:rPr>
          <w:spacing w:val="80"/>
          <w:sz w:val="20"/>
        </w:rPr>
        <w:t xml:space="preserve"> </w:t>
      </w:r>
      <w:r>
        <w:rPr>
          <w:sz w:val="20"/>
        </w:rPr>
        <w:t>os Ministros</w:t>
      </w:r>
      <w:r>
        <w:rPr>
          <w:spacing w:val="75"/>
          <w:sz w:val="20"/>
        </w:rPr>
        <w:t xml:space="preserve"> </w:t>
      </w:r>
      <w:r>
        <w:rPr>
          <w:sz w:val="20"/>
        </w:rPr>
        <w:t>Edson</w:t>
      </w:r>
      <w:r>
        <w:rPr>
          <w:spacing w:val="75"/>
          <w:sz w:val="20"/>
        </w:rPr>
        <w:t xml:space="preserve"> </w:t>
      </w:r>
      <w:r>
        <w:rPr>
          <w:sz w:val="20"/>
        </w:rPr>
        <w:t>Fachin</w:t>
      </w:r>
      <w:r>
        <w:rPr>
          <w:spacing w:val="74"/>
          <w:sz w:val="20"/>
        </w:rPr>
        <w:t xml:space="preserve"> </w:t>
      </w:r>
      <w:r>
        <w:rPr>
          <w:sz w:val="20"/>
        </w:rPr>
        <w:t>e</w:t>
      </w:r>
      <w:r>
        <w:rPr>
          <w:spacing w:val="78"/>
          <w:sz w:val="20"/>
        </w:rPr>
        <w:t xml:space="preserve"> </w:t>
      </w:r>
      <w:r>
        <w:rPr>
          <w:sz w:val="20"/>
        </w:rPr>
        <w:t>Dias</w:t>
      </w:r>
      <w:r>
        <w:rPr>
          <w:spacing w:val="75"/>
          <w:sz w:val="20"/>
        </w:rPr>
        <w:t xml:space="preserve"> </w:t>
      </w:r>
      <w:r>
        <w:rPr>
          <w:sz w:val="20"/>
        </w:rPr>
        <w:t>Toffoli.</w:t>
      </w:r>
      <w:r>
        <w:rPr>
          <w:spacing w:val="38"/>
          <w:sz w:val="20"/>
        </w:rPr>
        <w:t xml:space="preserve"> </w:t>
      </w:r>
      <w:r>
        <w:rPr>
          <w:sz w:val="20"/>
        </w:rPr>
        <w:t>Em</w:t>
      </w:r>
      <w:r>
        <w:rPr>
          <w:spacing w:val="75"/>
          <w:sz w:val="20"/>
        </w:rPr>
        <w:t xml:space="preserve"> </w:t>
      </w:r>
      <w:r>
        <w:rPr>
          <w:sz w:val="20"/>
        </w:rPr>
        <w:t>seguida,</w:t>
      </w:r>
      <w:r>
        <w:rPr>
          <w:spacing w:val="79"/>
          <w:sz w:val="20"/>
        </w:rPr>
        <w:t xml:space="preserve"> </w:t>
      </w:r>
      <w:r>
        <w:rPr>
          <w:sz w:val="20"/>
        </w:rPr>
        <w:t>por</w:t>
      </w:r>
      <w:r>
        <w:rPr>
          <w:spacing w:val="79"/>
          <w:sz w:val="20"/>
        </w:rPr>
        <w:t xml:space="preserve"> </w:t>
      </w:r>
      <w:r>
        <w:rPr>
          <w:sz w:val="20"/>
        </w:rPr>
        <w:t>maioria,</w:t>
      </w:r>
      <w:r>
        <w:rPr>
          <w:spacing w:val="79"/>
          <w:sz w:val="20"/>
        </w:rPr>
        <w:t xml:space="preserve"> </w:t>
      </w:r>
      <w:r>
        <w:rPr>
          <w:sz w:val="20"/>
        </w:rPr>
        <w:t>foi fixada</w:t>
      </w:r>
      <w:r>
        <w:rPr>
          <w:spacing w:val="80"/>
          <w:sz w:val="20"/>
        </w:rPr>
        <w:t xml:space="preserve"> </w:t>
      </w:r>
      <w:r>
        <w:rPr>
          <w:sz w:val="20"/>
        </w:rPr>
        <w:t>a</w:t>
      </w:r>
      <w:r>
        <w:rPr>
          <w:spacing w:val="80"/>
          <w:sz w:val="20"/>
        </w:rPr>
        <w:t xml:space="preserve"> </w:t>
      </w:r>
      <w:r>
        <w:rPr>
          <w:sz w:val="20"/>
        </w:rPr>
        <w:t>seguinte</w:t>
      </w:r>
      <w:r>
        <w:rPr>
          <w:spacing w:val="80"/>
          <w:sz w:val="20"/>
        </w:rPr>
        <w:t xml:space="preserve"> </w:t>
      </w:r>
      <w:r>
        <w:rPr>
          <w:sz w:val="20"/>
        </w:rPr>
        <w:t>tese:</w:t>
      </w:r>
      <w:r>
        <w:rPr>
          <w:spacing w:val="80"/>
          <w:sz w:val="20"/>
        </w:rPr>
        <w:t xml:space="preserve"> </w:t>
      </w:r>
      <w:r>
        <w:rPr>
          <w:sz w:val="20"/>
        </w:rPr>
        <w:t>"1.</w:t>
      </w:r>
      <w:r>
        <w:rPr>
          <w:spacing w:val="80"/>
          <w:sz w:val="20"/>
        </w:rPr>
        <w:t xml:space="preserve"> </w:t>
      </w:r>
      <w:r>
        <w:rPr>
          <w:sz w:val="20"/>
        </w:rPr>
        <w:t>Não</w:t>
      </w:r>
      <w:r>
        <w:rPr>
          <w:spacing w:val="80"/>
          <w:sz w:val="20"/>
        </w:rPr>
        <w:t xml:space="preserve"> </w:t>
      </w:r>
      <w:r>
        <w:rPr>
          <w:sz w:val="20"/>
        </w:rPr>
        <w:t>há</w:t>
      </w:r>
      <w:r>
        <w:rPr>
          <w:spacing w:val="80"/>
          <w:sz w:val="20"/>
        </w:rPr>
        <w:t xml:space="preserve"> </w:t>
      </w:r>
      <w:r>
        <w:rPr>
          <w:sz w:val="20"/>
        </w:rPr>
        <w:t>responsabilidade</w:t>
      </w:r>
      <w:r>
        <w:rPr>
          <w:spacing w:val="40"/>
          <w:sz w:val="20"/>
        </w:rPr>
        <w:t xml:space="preserve">  </w:t>
      </w:r>
      <w:r>
        <w:rPr>
          <w:sz w:val="20"/>
        </w:rPr>
        <w:t>subsidiária</w:t>
      </w:r>
      <w:r>
        <w:rPr>
          <w:spacing w:val="80"/>
          <w:w w:val="150"/>
          <w:sz w:val="20"/>
        </w:rPr>
        <w:t xml:space="preserve"> </w:t>
      </w:r>
      <w:r>
        <w:rPr>
          <w:sz w:val="20"/>
        </w:rPr>
        <w:t xml:space="preserve">da </w:t>
      </w:r>
      <w:r>
        <w:rPr>
          <w:spacing w:val="-2"/>
          <w:sz w:val="20"/>
        </w:rPr>
        <w:t>Administração</w:t>
      </w:r>
      <w:r>
        <w:rPr>
          <w:sz w:val="20"/>
        </w:rPr>
        <w:tab/>
      </w:r>
      <w:r>
        <w:rPr>
          <w:spacing w:val="-2"/>
          <w:sz w:val="20"/>
        </w:rPr>
        <w:t>Pública</w:t>
      </w:r>
      <w:r>
        <w:rPr>
          <w:sz w:val="20"/>
        </w:rPr>
        <w:tab/>
      </w:r>
      <w:r>
        <w:rPr>
          <w:sz w:val="20"/>
        </w:rPr>
        <w:tab/>
      </w:r>
      <w:r>
        <w:rPr>
          <w:spacing w:val="-4"/>
          <w:sz w:val="20"/>
        </w:rPr>
        <w:t>por</w:t>
      </w:r>
      <w:r>
        <w:rPr>
          <w:sz w:val="20"/>
        </w:rPr>
        <w:tab/>
      </w:r>
      <w:r>
        <w:rPr>
          <w:spacing w:val="-2"/>
          <w:sz w:val="20"/>
        </w:rPr>
        <w:t>encargos</w:t>
      </w:r>
      <w:r>
        <w:rPr>
          <w:sz w:val="20"/>
        </w:rPr>
        <w:tab/>
      </w:r>
      <w:r>
        <w:rPr>
          <w:spacing w:val="-2"/>
          <w:sz w:val="20"/>
        </w:rPr>
        <w:t>trabalhistas</w:t>
      </w:r>
      <w:r>
        <w:rPr>
          <w:sz w:val="20"/>
        </w:rPr>
        <w:tab/>
      </w:r>
      <w:r>
        <w:rPr>
          <w:spacing w:val="-2"/>
          <w:sz w:val="20"/>
        </w:rPr>
        <w:t>gerados</w:t>
      </w:r>
      <w:r>
        <w:rPr>
          <w:sz w:val="20"/>
        </w:rPr>
        <w:tab/>
      </w:r>
      <w:r>
        <w:rPr>
          <w:spacing w:val="-4"/>
          <w:sz w:val="20"/>
        </w:rPr>
        <w:t xml:space="preserve">pelo </w:t>
      </w:r>
      <w:r>
        <w:rPr>
          <w:sz w:val="20"/>
        </w:rPr>
        <w:t>inadimplemento de empresa prestadora de serviços contratada,</w:t>
      </w:r>
      <w:r>
        <w:rPr>
          <w:spacing w:val="40"/>
          <w:sz w:val="20"/>
        </w:rPr>
        <w:t xml:space="preserve"> </w:t>
      </w:r>
      <w:r>
        <w:rPr>
          <w:sz w:val="20"/>
        </w:rPr>
        <w:t>se</w:t>
      </w:r>
      <w:r>
        <w:rPr>
          <w:spacing w:val="40"/>
          <w:sz w:val="20"/>
        </w:rPr>
        <w:t xml:space="preserve"> </w:t>
      </w:r>
      <w:r>
        <w:rPr>
          <w:sz w:val="20"/>
        </w:rPr>
        <w:t>amparada exclusivamente</w:t>
      </w:r>
      <w:r>
        <w:rPr>
          <w:spacing w:val="40"/>
          <w:sz w:val="20"/>
        </w:rPr>
        <w:t xml:space="preserve"> </w:t>
      </w:r>
      <w:r>
        <w:rPr>
          <w:sz w:val="20"/>
        </w:rPr>
        <w:t>na</w:t>
      </w:r>
      <w:r>
        <w:rPr>
          <w:spacing w:val="40"/>
          <w:sz w:val="20"/>
        </w:rPr>
        <w:t xml:space="preserve"> </w:t>
      </w:r>
      <w:r>
        <w:rPr>
          <w:sz w:val="20"/>
        </w:rPr>
        <w:t>premissa</w:t>
      </w:r>
      <w:r>
        <w:rPr>
          <w:spacing w:val="40"/>
          <w:sz w:val="20"/>
        </w:rPr>
        <w:t xml:space="preserve"> </w:t>
      </w:r>
      <w:r>
        <w:rPr>
          <w:sz w:val="20"/>
        </w:rPr>
        <w:t>da</w:t>
      </w:r>
      <w:r>
        <w:rPr>
          <w:spacing w:val="38"/>
          <w:sz w:val="20"/>
        </w:rPr>
        <w:t xml:space="preserve"> </w:t>
      </w:r>
      <w:r>
        <w:rPr>
          <w:sz w:val="20"/>
        </w:rPr>
        <w:t>inversão</w:t>
      </w:r>
      <w:r>
        <w:rPr>
          <w:spacing w:val="40"/>
          <w:sz w:val="20"/>
        </w:rPr>
        <w:t xml:space="preserve"> </w:t>
      </w:r>
      <w:r>
        <w:rPr>
          <w:sz w:val="20"/>
        </w:rPr>
        <w:t>do</w:t>
      </w:r>
      <w:r>
        <w:rPr>
          <w:spacing w:val="39"/>
          <w:sz w:val="20"/>
        </w:rPr>
        <w:t xml:space="preserve"> </w:t>
      </w:r>
      <w:r>
        <w:rPr>
          <w:sz w:val="20"/>
        </w:rPr>
        <w:t>ônus</w:t>
      </w:r>
      <w:r>
        <w:rPr>
          <w:spacing w:val="38"/>
          <w:sz w:val="20"/>
        </w:rPr>
        <w:t xml:space="preserve"> </w:t>
      </w:r>
      <w:r>
        <w:rPr>
          <w:sz w:val="20"/>
        </w:rPr>
        <w:t>da prova,</w:t>
      </w:r>
      <w:r>
        <w:rPr>
          <w:spacing w:val="40"/>
          <w:sz w:val="20"/>
        </w:rPr>
        <w:t xml:space="preserve"> </w:t>
      </w:r>
      <w:r>
        <w:rPr>
          <w:sz w:val="20"/>
        </w:rPr>
        <w:t>remanescendo imprescindível</w:t>
      </w:r>
      <w:r>
        <w:rPr>
          <w:spacing w:val="40"/>
          <w:sz w:val="20"/>
        </w:rPr>
        <w:t xml:space="preserve"> </w:t>
      </w:r>
      <w:r>
        <w:rPr>
          <w:sz w:val="20"/>
        </w:rPr>
        <w:t>a</w:t>
      </w:r>
      <w:r>
        <w:rPr>
          <w:spacing w:val="40"/>
          <w:sz w:val="20"/>
        </w:rPr>
        <w:t xml:space="preserve"> </w:t>
      </w:r>
      <w:r>
        <w:rPr>
          <w:sz w:val="20"/>
        </w:rPr>
        <w:t>comprovação,</w:t>
      </w:r>
      <w:r>
        <w:rPr>
          <w:spacing w:val="40"/>
          <w:sz w:val="20"/>
        </w:rPr>
        <w:t xml:space="preserve"> </w:t>
      </w:r>
      <w:r>
        <w:rPr>
          <w:sz w:val="20"/>
        </w:rPr>
        <w:t>pela</w:t>
      </w:r>
      <w:r>
        <w:rPr>
          <w:spacing w:val="40"/>
          <w:sz w:val="20"/>
        </w:rPr>
        <w:t xml:space="preserve"> </w:t>
      </w:r>
      <w:r>
        <w:rPr>
          <w:sz w:val="20"/>
        </w:rPr>
        <w:t>parte</w:t>
      </w:r>
      <w:r>
        <w:rPr>
          <w:spacing w:val="40"/>
          <w:sz w:val="20"/>
        </w:rPr>
        <w:t xml:space="preserve"> </w:t>
      </w:r>
      <w:r>
        <w:rPr>
          <w:sz w:val="20"/>
        </w:rPr>
        <w:t>autora,</w:t>
      </w:r>
      <w:r>
        <w:rPr>
          <w:spacing w:val="40"/>
          <w:sz w:val="20"/>
        </w:rPr>
        <w:t xml:space="preserve"> </w:t>
      </w:r>
      <w:r>
        <w:rPr>
          <w:sz w:val="20"/>
        </w:rPr>
        <w:t>da</w:t>
      </w:r>
      <w:r>
        <w:rPr>
          <w:spacing w:val="40"/>
          <w:sz w:val="20"/>
        </w:rPr>
        <w:t xml:space="preserve"> </w:t>
      </w:r>
      <w:r>
        <w:rPr>
          <w:sz w:val="20"/>
        </w:rPr>
        <w:t>efetiva existência de comportamento</w:t>
      </w:r>
      <w:r>
        <w:rPr>
          <w:spacing w:val="40"/>
          <w:sz w:val="20"/>
        </w:rPr>
        <w:t xml:space="preserve"> </w:t>
      </w:r>
      <w:r>
        <w:rPr>
          <w:sz w:val="20"/>
        </w:rPr>
        <w:t>negligente</w:t>
      </w:r>
      <w:r>
        <w:rPr>
          <w:spacing w:val="40"/>
          <w:sz w:val="20"/>
        </w:rPr>
        <w:t xml:space="preserve"> </w:t>
      </w:r>
      <w:r>
        <w:rPr>
          <w:sz w:val="20"/>
        </w:rPr>
        <w:t>ou</w:t>
      </w:r>
      <w:r>
        <w:rPr>
          <w:spacing w:val="40"/>
          <w:sz w:val="20"/>
        </w:rPr>
        <w:t xml:space="preserve"> </w:t>
      </w:r>
      <w:r>
        <w:rPr>
          <w:sz w:val="20"/>
        </w:rPr>
        <w:t>nexo</w:t>
      </w:r>
      <w:r>
        <w:rPr>
          <w:spacing w:val="40"/>
          <w:sz w:val="20"/>
        </w:rPr>
        <w:t xml:space="preserve"> </w:t>
      </w:r>
      <w:r>
        <w:rPr>
          <w:sz w:val="20"/>
        </w:rPr>
        <w:t>de</w:t>
      </w:r>
      <w:r>
        <w:rPr>
          <w:spacing w:val="40"/>
          <w:sz w:val="20"/>
        </w:rPr>
        <w:t xml:space="preserve"> </w:t>
      </w:r>
      <w:r>
        <w:rPr>
          <w:sz w:val="20"/>
        </w:rPr>
        <w:t>causalidade</w:t>
      </w:r>
      <w:r>
        <w:rPr>
          <w:spacing w:val="40"/>
          <w:sz w:val="20"/>
        </w:rPr>
        <w:t xml:space="preserve"> </w:t>
      </w:r>
      <w:r>
        <w:rPr>
          <w:sz w:val="20"/>
        </w:rPr>
        <w:t>entre</w:t>
      </w:r>
      <w:r>
        <w:rPr>
          <w:spacing w:val="40"/>
          <w:sz w:val="20"/>
        </w:rPr>
        <w:t xml:space="preserve"> </w:t>
      </w:r>
      <w:r>
        <w:rPr>
          <w:sz w:val="20"/>
        </w:rPr>
        <w:t>o</w:t>
      </w:r>
      <w:r>
        <w:rPr>
          <w:spacing w:val="80"/>
          <w:sz w:val="20"/>
        </w:rPr>
        <w:t xml:space="preserve"> </w:t>
      </w:r>
      <w:r>
        <w:rPr>
          <w:sz w:val="20"/>
        </w:rPr>
        <w:t>dano</w:t>
      </w:r>
      <w:r>
        <w:rPr>
          <w:spacing w:val="40"/>
          <w:sz w:val="20"/>
        </w:rPr>
        <w:t xml:space="preserve"> </w:t>
      </w:r>
      <w:r>
        <w:rPr>
          <w:sz w:val="20"/>
        </w:rPr>
        <w:t>por</w:t>
      </w:r>
      <w:r>
        <w:rPr>
          <w:spacing w:val="40"/>
          <w:sz w:val="20"/>
        </w:rPr>
        <w:t xml:space="preserve"> </w:t>
      </w:r>
      <w:r>
        <w:rPr>
          <w:sz w:val="20"/>
        </w:rPr>
        <w:t>ela invocado</w:t>
      </w:r>
      <w:r>
        <w:rPr>
          <w:spacing w:val="34"/>
          <w:sz w:val="20"/>
        </w:rPr>
        <w:t xml:space="preserve"> </w:t>
      </w:r>
      <w:r>
        <w:rPr>
          <w:sz w:val="20"/>
        </w:rPr>
        <w:t>e</w:t>
      </w:r>
      <w:r>
        <w:rPr>
          <w:spacing w:val="33"/>
          <w:sz w:val="20"/>
        </w:rPr>
        <w:t xml:space="preserve"> </w:t>
      </w:r>
      <w:r>
        <w:rPr>
          <w:sz w:val="20"/>
        </w:rPr>
        <w:t>a</w:t>
      </w:r>
      <w:r>
        <w:rPr>
          <w:spacing w:val="33"/>
          <w:sz w:val="20"/>
        </w:rPr>
        <w:t xml:space="preserve"> </w:t>
      </w:r>
      <w:r>
        <w:rPr>
          <w:sz w:val="20"/>
        </w:rPr>
        <w:t>conduta</w:t>
      </w:r>
      <w:r>
        <w:rPr>
          <w:spacing w:val="33"/>
          <w:sz w:val="20"/>
        </w:rPr>
        <w:t xml:space="preserve"> </w:t>
      </w:r>
      <w:r>
        <w:rPr>
          <w:sz w:val="20"/>
        </w:rPr>
        <w:t>comissiva</w:t>
      </w:r>
      <w:r>
        <w:rPr>
          <w:spacing w:val="33"/>
          <w:sz w:val="20"/>
        </w:rPr>
        <w:t xml:space="preserve"> </w:t>
      </w:r>
      <w:r>
        <w:rPr>
          <w:sz w:val="20"/>
        </w:rPr>
        <w:t>ou</w:t>
      </w:r>
      <w:r>
        <w:rPr>
          <w:spacing w:val="32"/>
          <w:sz w:val="20"/>
        </w:rPr>
        <w:t xml:space="preserve"> </w:t>
      </w:r>
      <w:r>
        <w:rPr>
          <w:sz w:val="20"/>
        </w:rPr>
        <w:t>omissiva</w:t>
      </w:r>
      <w:r>
        <w:rPr>
          <w:spacing w:val="33"/>
          <w:sz w:val="20"/>
        </w:rPr>
        <w:t xml:space="preserve"> </w:t>
      </w:r>
      <w:r>
        <w:rPr>
          <w:sz w:val="20"/>
        </w:rPr>
        <w:t>do</w:t>
      </w:r>
      <w:r>
        <w:rPr>
          <w:spacing w:val="34"/>
          <w:sz w:val="20"/>
        </w:rPr>
        <w:t xml:space="preserve"> </w:t>
      </w:r>
      <w:r>
        <w:rPr>
          <w:sz w:val="20"/>
        </w:rPr>
        <w:t>poder</w:t>
      </w:r>
      <w:r>
        <w:rPr>
          <w:spacing w:val="34"/>
          <w:sz w:val="20"/>
        </w:rPr>
        <w:t xml:space="preserve"> </w:t>
      </w:r>
      <w:r>
        <w:rPr>
          <w:sz w:val="20"/>
        </w:rPr>
        <w:t>público.</w:t>
      </w:r>
      <w:r>
        <w:rPr>
          <w:spacing w:val="33"/>
          <w:sz w:val="20"/>
        </w:rPr>
        <w:t xml:space="preserve"> </w:t>
      </w:r>
      <w:r>
        <w:rPr>
          <w:sz w:val="20"/>
        </w:rPr>
        <w:t>2.</w:t>
      </w:r>
      <w:r>
        <w:rPr>
          <w:spacing w:val="33"/>
          <w:sz w:val="20"/>
        </w:rPr>
        <w:t xml:space="preserve"> </w:t>
      </w:r>
      <w:r>
        <w:rPr>
          <w:sz w:val="20"/>
        </w:rPr>
        <w:t>Haverá comportamento</w:t>
      </w:r>
      <w:r>
        <w:rPr>
          <w:spacing w:val="40"/>
          <w:sz w:val="20"/>
        </w:rPr>
        <w:t xml:space="preserve"> </w:t>
      </w:r>
      <w:r>
        <w:rPr>
          <w:sz w:val="20"/>
        </w:rPr>
        <w:t>negligente</w:t>
      </w:r>
      <w:r>
        <w:rPr>
          <w:spacing w:val="40"/>
          <w:sz w:val="20"/>
        </w:rPr>
        <w:t xml:space="preserve"> </w:t>
      </w:r>
      <w:r>
        <w:rPr>
          <w:sz w:val="20"/>
        </w:rPr>
        <w:t>quando</w:t>
      </w:r>
      <w:r>
        <w:rPr>
          <w:spacing w:val="40"/>
          <w:sz w:val="20"/>
        </w:rPr>
        <w:t xml:space="preserve"> </w:t>
      </w:r>
      <w:r>
        <w:rPr>
          <w:sz w:val="20"/>
        </w:rPr>
        <w:t>a</w:t>
      </w:r>
      <w:r>
        <w:rPr>
          <w:spacing w:val="40"/>
          <w:sz w:val="20"/>
        </w:rPr>
        <w:t xml:space="preserve"> </w:t>
      </w:r>
      <w:r>
        <w:rPr>
          <w:sz w:val="20"/>
        </w:rPr>
        <w:t>Administração</w:t>
      </w:r>
      <w:r>
        <w:rPr>
          <w:spacing w:val="40"/>
          <w:sz w:val="20"/>
        </w:rPr>
        <w:t xml:space="preserve"> </w:t>
      </w:r>
      <w:r>
        <w:rPr>
          <w:sz w:val="20"/>
        </w:rPr>
        <w:t>Pública</w:t>
      </w:r>
      <w:r>
        <w:rPr>
          <w:spacing w:val="40"/>
          <w:sz w:val="20"/>
        </w:rPr>
        <w:t xml:space="preserve"> </w:t>
      </w:r>
      <w:r>
        <w:rPr>
          <w:sz w:val="20"/>
        </w:rPr>
        <w:t>permanecer inerte</w:t>
      </w:r>
      <w:r>
        <w:rPr>
          <w:spacing w:val="80"/>
          <w:sz w:val="20"/>
        </w:rPr>
        <w:t xml:space="preserve"> </w:t>
      </w:r>
      <w:r>
        <w:rPr>
          <w:sz w:val="20"/>
        </w:rPr>
        <w:t>após</w:t>
      </w:r>
      <w:r>
        <w:rPr>
          <w:spacing w:val="80"/>
          <w:sz w:val="20"/>
        </w:rPr>
        <w:t xml:space="preserve"> </w:t>
      </w:r>
      <w:r>
        <w:rPr>
          <w:sz w:val="20"/>
        </w:rPr>
        <w:t>o</w:t>
      </w:r>
      <w:r>
        <w:rPr>
          <w:spacing w:val="80"/>
          <w:sz w:val="20"/>
        </w:rPr>
        <w:t xml:space="preserve"> </w:t>
      </w:r>
      <w:r>
        <w:rPr>
          <w:sz w:val="20"/>
        </w:rPr>
        <w:t>recebimento</w:t>
      </w:r>
      <w:r>
        <w:rPr>
          <w:spacing w:val="80"/>
          <w:sz w:val="20"/>
        </w:rPr>
        <w:t xml:space="preserve"> </w:t>
      </w:r>
      <w:r>
        <w:rPr>
          <w:sz w:val="20"/>
        </w:rPr>
        <w:t>de</w:t>
      </w:r>
      <w:r>
        <w:rPr>
          <w:spacing w:val="80"/>
          <w:sz w:val="20"/>
        </w:rPr>
        <w:t xml:space="preserve"> </w:t>
      </w:r>
      <w:r>
        <w:rPr>
          <w:sz w:val="20"/>
        </w:rPr>
        <w:t>notificação</w:t>
      </w:r>
      <w:r>
        <w:rPr>
          <w:spacing w:val="80"/>
          <w:sz w:val="20"/>
        </w:rPr>
        <w:t xml:space="preserve"> </w:t>
      </w:r>
      <w:r>
        <w:rPr>
          <w:sz w:val="20"/>
        </w:rPr>
        <w:t>formal</w:t>
      </w:r>
      <w:r>
        <w:rPr>
          <w:spacing w:val="80"/>
          <w:sz w:val="20"/>
        </w:rPr>
        <w:t xml:space="preserve"> </w:t>
      </w:r>
      <w:r>
        <w:rPr>
          <w:sz w:val="20"/>
        </w:rPr>
        <w:t>de</w:t>
      </w:r>
      <w:r>
        <w:rPr>
          <w:spacing w:val="80"/>
          <w:sz w:val="20"/>
        </w:rPr>
        <w:t xml:space="preserve"> </w:t>
      </w:r>
      <w:r>
        <w:rPr>
          <w:sz w:val="20"/>
        </w:rPr>
        <w:t>que</w:t>
      </w:r>
      <w:r>
        <w:rPr>
          <w:spacing w:val="80"/>
          <w:sz w:val="20"/>
        </w:rPr>
        <w:t xml:space="preserve"> </w:t>
      </w:r>
      <w:r>
        <w:rPr>
          <w:sz w:val="20"/>
        </w:rPr>
        <w:t>a</w:t>
      </w:r>
      <w:r>
        <w:rPr>
          <w:spacing w:val="80"/>
          <w:sz w:val="20"/>
        </w:rPr>
        <w:t xml:space="preserve"> </w:t>
      </w:r>
      <w:r>
        <w:rPr>
          <w:sz w:val="20"/>
        </w:rPr>
        <w:t>empresa contratada</w:t>
      </w:r>
      <w:r>
        <w:rPr>
          <w:spacing w:val="30"/>
          <w:sz w:val="20"/>
        </w:rPr>
        <w:t xml:space="preserve"> </w:t>
      </w:r>
      <w:r>
        <w:rPr>
          <w:sz w:val="20"/>
        </w:rPr>
        <w:t>está</w:t>
      </w:r>
      <w:r>
        <w:rPr>
          <w:spacing w:val="40"/>
          <w:sz w:val="20"/>
        </w:rPr>
        <w:t xml:space="preserve"> </w:t>
      </w:r>
      <w:r>
        <w:rPr>
          <w:sz w:val="20"/>
        </w:rPr>
        <w:t>descumprindo</w:t>
      </w:r>
      <w:r>
        <w:rPr>
          <w:spacing w:val="40"/>
          <w:sz w:val="20"/>
        </w:rPr>
        <w:t xml:space="preserve"> </w:t>
      </w:r>
      <w:r>
        <w:rPr>
          <w:sz w:val="20"/>
        </w:rPr>
        <w:t>suas</w:t>
      </w:r>
      <w:r>
        <w:rPr>
          <w:spacing w:val="40"/>
          <w:sz w:val="20"/>
        </w:rPr>
        <w:t xml:space="preserve"> </w:t>
      </w:r>
      <w:r>
        <w:rPr>
          <w:sz w:val="20"/>
        </w:rPr>
        <w:t>obrigações</w:t>
      </w:r>
      <w:r>
        <w:rPr>
          <w:spacing w:val="40"/>
          <w:sz w:val="20"/>
        </w:rPr>
        <w:t xml:space="preserve"> </w:t>
      </w:r>
      <w:r>
        <w:rPr>
          <w:sz w:val="20"/>
        </w:rPr>
        <w:t>trabalhistas,</w:t>
      </w:r>
      <w:r>
        <w:rPr>
          <w:spacing w:val="40"/>
          <w:sz w:val="20"/>
        </w:rPr>
        <w:t xml:space="preserve"> </w:t>
      </w:r>
      <w:r>
        <w:rPr>
          <w:sz w:val="20"/>
        </w:rPr>
        <w:t>enviada</w:t>
      </w:r>
      <w:r>
        <w:rPr>
          <w:spacing w:val="40"/>
          <w:sz w:val="20"/>
        </w:rPr>
        <w:t xml:space="preserve"> </w:t>
      </w:r>
      <w:r>
        <w:rPr>
          <w:sz w:val="20"/>
        </w:rPr>
        <w:t>pelo trabalhador,</w:t>
      </w:r>
      <w:r>
        <w:rPr>
          <w:spacing w:val="80"/>
          <w:sz w:val="20"/>
        </w:rPr>
        <w:t xml:space="preserve"> </w:t>
      </w:r>
      <w:r>
        <w:rPr>
          <w:sz w:val="20"/>
        </w:rPr>
        <w:t>sindicato,</w:t>
      </w:r>
      <w:r>
        <w:rPr>
          <w:sz w:val="20"/>
        </w:rPr>
        <w:tab/>
      </w:r>
      <w:r>
        <w:rPr>
          <w:spacing w:val="-2"/>
          <w:sz w:val="20"/>
        </w:rPr>
        <w:t>Ministério</w:t>
      </w:r>
      <w:r>
        <w:rPr>
          <w:sz w:val="20"/>
        </w:rPr>
        <w:tab/>
      </w:r>
      <w:r>
        <w:rPr>
          <w:sz w:val="20"/>
        </w:rPr>
        <w:tab/>
      </w:r>
      <w:r>
        <w:rPr>
          <w:spacing w:val="-6"/>
          <w:sz w:val="20"/>
        </w:rPr>
        <w:t>do</w:t>
      </w:r>
      <w:r>
        <w:rPr>
          <w:sz w:val="20"/>
        </w:rPr>
        <w:tab/>
      </w:r>
      <w:r>
        <w:rPr>
          <w:spacing w:val="-2"/>
          <w:sz w:val="20"/>
        </w:rPr>
        <w:t>Trabalho,</w:t>
      </w:r>
      <w:r>
        <w:rPr>
          <w:sz w:val="20"/>
        </w:rPr>
        <w:tab/>
      </w:r>
      <w:r>
        <w:rPr>
          <w:spacing w:val="-2"/>
          <w:sz w:val="20"/>
        </w:rPr>
        <w:t>Ministério</w:t>
      </w:r>
      <w:r>
        <w:rPr>
          <w:sz w:val="20"/>
        </w:rPr>
        <w:tab/>
      </w:r>
      <w:r>
        <w:rPr>
          <w:spacing w:val="-2"/>
          <w:sz w:val="20"/>
        </w:rPr>
        <w:t xml:space="preserve">Público, </w:t>
      </w:r>
      <w:r>
        <w:rPr>
          <w:sz w:val="20"/>
        </w:rPr>
        <w:t>Defensoria</w:t>
      </w:r>
      <w:r>
        <w:rPr>
          <w:spacing w:val="40"/>
          <w:sz w:val="20"/>
        </w:rPr>
        <w:t xml:space="preserve"> </w:t>
      </w:r>
      <w:r>
        <w:rPr>
          <w:sz w:val="20"/>
        </w:rPr>
        <w:t>Pública</w:t>
      </w:r>
      <w:r>
        <w:rPr>
          <w:spacing w:val="40"/>
          <w:sz w:val="20"/>
        </w:rPr>
        <w:t xml:space="preserve"> </w:t>
      </w:r>
      <w:r>
        <w:rPr>
          <w:sz w:val="20"/>
        </w:rPr>
        <w:t>ou</w:t>
      </w:r>
      <w:r>
        <w:rPr>
          <w:spacing w:val="23"/>
          <w:sz w:val="20"/>
        </w:rPr>
        <w:t xml:space="preserve"> </w:t>
      </w:r>
      <w:r>
        <w:rPr>
          <w:sz w:val="20"/>
        </w:rPr>
        <w:t>outro</w:t>
      </w:r>
      <w:r>
        <w:rPr>
          <w:spacing w:val="40"/>
          <w:sz w:val="20"/>
        </w:rPr>
        <w:t xml:space="preserve"> </w:t>
      </w:r>
      <w:r>
        <w:rPr>
          <w:sz w:val="20"/>
        </w:rPr>
        <w:t>meio</w:t>
      </w:r>
      <w:r>
        <w:rPr>
          <w:spacing w:val="40"/>
          <w:sz w:val="20"/>
        </w:rPr>
        <w:t xml:space="preserve"> </w:t>
      </w:r>
      <w:r>
        <w:rPr>
          <w:sz w:val="20"/>
        </w:rPr>
        <w:t>idôneo.</w:t>
      </w:r>
      <w:r>
        <w:rPr>
          <w:spacing w:val="40"/>
          <w:sz w:val="20"/>
        </w:rPr>
        <w:t xml:space="preserve"> </w:t>
      </w:r>
      <w:r>
        <w:rPr>
          <w:sz w:val="20"/>
        </w:rPr>
        <w:t>3.</w:t>
      </w:r>
      <w:r>
        <w:rPr>
          <w:spacing w:val="40"/>
          <w:sz w:val="20"/>
        </w:rPr>
        <w:t xml:space="preserve"> </w:t>
      </w:r>
      <w:r>
        <w:rPr>
          <w:sz w:val="20"/>
        </w:rPr>
        <w:t>Constitui</w:t>
      </w:r>
      <w:r>
        <w:rPr>
          <w:spacing w:val="40"/>
          <w:sz w:val="20"/>
        </w:rPr>
        <w:t xml:space="preserve"> </w:t>
      </w:r>
      <w:r>
        <w:rPr>
          <w:sz w:val="20"/>
        </w:rPr>
        <w:t>responsabilidade</w:t>
      </w:r>
      <w:r>
        <w:rPr>
          <w:spacing w:val="40"/>
          <w:sz w:val="20"/>
        </w:rPr>
        <w:t xml:space="preserve"> </w:t>
      </w:r>
      <w:r>
        <w:rPr>
          <w:sz w:val="20"/>
        </w:rPr>
        <w:t>da</w:t>
      </w:r>
      <w:r>
        <w:rPr>
          <w:spacing w:val="40"/>
          <w:sz w:val="20"/>
        </w:rPr>
        <w:t xml:space="preserve"> </w:t>
      </w:r>
      <w:r>
        <w:rPr>
          <w:sz w:val="20"/>
        </w:rPr>
        <w:t>Administração</w:t>
      </w:r>
      <w:r>
        <w:rPr>
          <w:spacing w:val="40"/>
          <w:sz w:val="20"/>
        </w:rPr>
        <w:t xml:space="preserve"> </w:t>
      </w:r>
      <w:r>
        <w:rPr>
          <w:sz w:val="20"/>
        </w:rPr>
        <w:t>Pública garantir</w:t>
      </w:r>
      <w:r>
        <w:rPr>
          <w:spacing w:val="40"/>
          <w:sz w:val="20"/>
        </w:rPr>
        <w:t xml:space="preserve"> </w:t>
      </w:r>
      <w:r>
        <w:rPr>
          <w:sz w:val="20"/>
        </w:rPr>
        <w:t>as</w:t>
      </w:r>
      <w:r>
        <w:rPr>
          <w:spacing w:val="40"/>
          <w:sz w:val="20"/>
        </w:rPr>
        <w:t xml:space="preserve"> </w:t>
      </w:r>
      <w:r>
        <w:rPr>
          <w:sz w:val="20"/>
        </w:rPr>
        <w:t>condições</w:t>
      </w:r>
      <w:r>
        <w:rPr>
          <w:spacing w:val="40"/>
          <w:sz w:val="20"/>
        </w:rPr>
        <w:t xml:space="preserve"> </w:t>
      </w:r>
      <w:r>
        <w:rPr>
          <w:sz w:val="20"/>
        </w:rPr>
        <w:t>de</w:t>
      </w:r>
      <w:r>
        <w:rPr>
          <w:spacing w:val="40"/>
          <w:sz w:val="20"/>
        </w:rPr>
        <w:t xml:space="preserve"> </w:t>
      </w:r>
      <w:r>
        <w:rPr>
          <w:sz w:val="20"/>
        </w:rPr>
        <w:t>segurança,</w:t>
      </w:r>
      <w:r>
        <w:rPr>
          <w:spacing w:val="40"/>
          <w:sz w:val="20"/>
        </w:rPr>
        <w:t xml:space="preserve"> </w:t>
      </w:r>
      <w:r>
        <w:rPr>
          <w:sz w:val="20"/>
        </w:rPr>
        <w:t>higiene</w:t>
      </w:r>
      <w:r>
        <w:rPr>
          <w:spacing w:val="40"/>
          <w:sz w:val="20"/>
        </w:rPr>
        <w:t xml:space="preserve"> </w:t>
      </w:r>
      <w:r>
        <w:rPr>
          <w:sz w:val="20"/>
        </w:rPr>
        <w:t>e salubridade</w:t>
      </w:r>
      <w:r>
        <w:rPr>
          <w:spacing w:val="80"/>
          <w:sz w:val="20"/>
        </w:rPr>
        <w:t xml:space="preserve"> </w:t>
      </w:r>
      <w:r>
        <w:rPr>
          <w:sz w:val="20"/>
        </w:rPr>
        <w:t>dos</w:t>
      </w:r>
      <w:r>
        <w:rPr>
          <w:spacing w:val="80"/>
          <w:sz w:val="20"/>
        </w:rPr>
        <w:t xml:space="preserve"> </w:t>
      </w:r>
      <w:r>
        <w:rPr>
          <w:sz w:val="20"/>
        </w:rPr>
        <w:t>trabalhadores,</w:t>
      </w:r>
      <w:r>
        <w:rPr>
          <w:spacing w:val="40"/>
          <w:sz w:val="20"/>
        </w:rPr>
        <w:t xml:space="preserve"> </w:t>
      </w:r>
      <w:r>
        <w:rPr>
          <w:sz w:val="20"/>
        </w:rPr>
        <w:t>quando</w:t>
      </w:r>
      <w:r>
        <w:rPr>
          <w:spacing w:val="40"/>
          <w:sz w:val="20"/>
        </w:rPr>
        <w:t xml:space="preserve"> </w:t>
      </w:r>
      <w:r>
        <w:rPr>
          <w:sz w:val="20"/>
        </w:rPr>
        <w:t>o</w:t>
      </w:r>
      <w:r>
        <w:rPr>
          <w:spacing w:val="40"/>
          <w:sz w:val="20"/>
        </w:rPr>
        <w:t xml:space="preserve"> </w:t>
      </w:r>
      <w:r>
        <w:rPr>
          <w:sz w:val="20"/>
        </w:rPr>
        <w:t>trabalho</w:t>
      </w:r>
      <w:r>
        <w:rPr>
          <w:spacing w:val="40"/>
          <w:sz w:val="20"/>
        </w:rPr>
        <w:t xml:space="preserve"> </w:t>
      </w:r>
      <w:r>
        <w:rPr>
          <w:sz w:val="20"/>
        </w:rPr>
        <w:t>for</w:t>
      </w:r>
      <w:r>
        <w:rPr>
          <w:spacing w:val="40"/>
          <w:sz w:val="20"/>
        </w:rPr>
        <w:t xml:space="preserve"> </w:t>
      </w:r>
      <w:r>
        <w:rPr>
          <w:sz w:val="20"/>
        </w:rPr>
        <w:t>realizado</w:t>
      </w:r>
      <w:r>
        <w:rPr>
          <w:spacing w:val="40"/>
          <w:sz w:val="20"/>
        </w:rPr>
        <w:t xml:space="preserve"> </w:t>
      </w:r>
      <w:r>
        <w:rPr>
          <w:sz w:val="20"/>
        </w:rPr>
        <w:t>em</w:t>
      </w:r>
      <w:r>
        <w:rPr>
          <w:spacing w:val="40"/>
          <w:sz w:val="20"/>
        </w:rPr>
        <w:t xml:space="preserve"> </w:t>
      </w:r>
      <w:r>
        <w:rPr>
          <w:sz w:val="20"/>
        </w:rPr>
        <w:t>suas dependências ou local previamente convencionado</w:t>
      </w:r>
      <w:r>
        <w:rPr>
          <w:spacing w:val="39"/>
          <w:sz w:val="20"/>
        </w:rPr>
        <w:t xml:space="preserve"> </w:t>
      </w:r>
      <w:r>
        <w:rPr>
          <w:sz w:val="20"/>
        </w:rPr>
        <w:t>em</w:t>
      </w:r>
      <w:r>
        <w:rPr>
          <w:spacing w:val="32"/>
          <w:sz w:val="20"/>
        </w:rPr>
        <w:t xml:space="preserve"> </w:t>
      </w:r>
      <w:r>
        <w:rPr>
          <w:sz w:val="20"/>
        </w:rPr>
        <w:t>contrato,</w:t>
      </w:r>
      <w:r>
        <w:rPr>
          <w:spacing w:val="35"/>
          <w:sz w:val="20"/>
        </w:rPr>
        <w:t xml:space="preserve"> </w:t>
      </w:r>
      <w:r>
        <w:rPr>
          <w:sz w:val="20"/>
        </w:rPr>
        <w:t>nos</w:t>
      </w:r>
      <w:r>
        <w:rPr>
          <w:spacing w:val="33"/>
          <w:sz w:val="20"/>
        </w:rPr>
        <w:t xml:space="preserve"> </w:t>
      </w:r>
      <w:r>
        <w:rPr>
          <w:sz w:val="20"/>
        </w:rPr>
        <w:t>termos do</w:t>
      </w:r>
      <w:r>
        <w:rPr>
          <w:spacing w:val="36"/>
          <w:sz w:val="20"/>
        </w:rPr>
        <w:t xml:space="preserve"> </w:t>
      </w:r>
      <w:r>
        <w:rPr>
          <w:sz w:val="20"/>
        </w:rPr>
        <w:t>art.</w:t>
      </w:r>
      <w:r>
        <w:rPr>
          <w:spacing w:val="33"/>
          <w:sz w:val="20"/>
        </w:rPr>
        <w:t xml:space="preserve"> </w:t>
      </w:r>
      <w:r>
        <w:rPr>
          <w:sz w:val="20"/>
        </w:rPr>
        <w:t>5º-A,</w:t>
      </w:r>
      <w:r>
        <w:rPr>
          <w:spacing w:val="35"/>
          <w:sz w:val="20"/>
        </w:rPr>
        <w:t xml:space="preserve"> </w:t>
      </w:r>
      <w:r>
        <w:rPr>
          <w:sz w:val="20"/>
        </w:rPr>
        <w:t>§</w:t>
      </w:r>
      <w:r>
        <w:rPr>
          <w:spacing w:val="36"/>
          <w:sz w:val="20"/>
        </w:rPr>
        <w:t xml:space="preserve"> </w:t>
      </w:r>
      <w:r>
        <w:rPr>
          <w:sz w:val="20"/>
        </w:rPr>
        <w:t>3º,</w:t>
      </w:r>
      <w:r>
        <w:rPr>
          <w:spacing w:val="35"/>
          <w:sz w:val="20"/>
        </w:rPr>
        <w:t xml:space="preserve"> </w:t>
      </w:r>
      <w:r>
        <w:rPr>
          <w:sz w:val="20"/>
        </w:rPr>
        <w:t>da</w:t>
      </w:r>
      <w:r>
        <w:rPr>
          <w:spacing w:val="32"/>
          <w:sz w:val="20"/>
        </w:rPr>
        <w:t xml:space="preserve"> </w:t>
      </w:r>
      <w:r>
        <w:rPr>
          <w:sz w:val="20"/>
        </w:rPr>
        <w:t>Lei</w:t>
      </w:r>
      <w:r>
        <w:rPr>
          <w:spacing w:val="32"/>
          <w:sz w:val="20"/>
        </w:rPr>
        <w:t xml:space="preserve"> </w:t>
      </w:r>
      <w:r>
        <w:rPr>
          <w:sz w:val="20"/>
        </w:rPr>
        <w:t>nº</w:t>
      </w:r>
      <w:r>
        <w:rPr>
          <w:spacing w:val="38"/>
          <w:sz w:val="20"/>
        </w:rPr>
        <w:t xml:space="preserve"> </w:t>
      </w:r>
      <w:r>
        <w:rPr>
          <w:sz w:val="20"/>
        </w:rPr>
        <w:t>6.019/1974. 4. Nos contratos de terceirização, a Administração Pública deverá: (i) exigir da contratada</w:t>
      </w:r>
      <w:r>
        <w:rPr>
          <w:spacing w:val="40"/>
          <w:sz w:val="20"/>
        </w:rPr>
        <w:t xml:space="preserve"> </w:t>
      </w:r>
      <w:r>
        <w:rPr>
          <w:sz w:val="20"/>
        </w:rPr>
        <w:t>a</w:t>
      </w:r>
      <w:r>
        <w:rPr>
          <w:spacing w:val="40"/>
          <w:sz w:val="20"/>
        </w:rPr>
        <w:t xml:space="preserve"> </w:t>
      </w:r>
      <w:r>
        <w:rPr>
          <w:sz w:val="20"/>
        </w:rPr>
        <w:t>comprovação</w:t>
      </w:r>
      <w:r>
        <w:rPr>
          <w:spacing w:val="40"/>
          <w:sz w:val="20"/>
        </w:rPr>
        <w:t xml:space="preserve"> </w:t>
      </w:r>
      <w:r>
        <w:rPr>
          <w:sz w:val="20"/>
        </w:rPr>
        <w:t>de capital</w:t>
      </w:r>
      <w:r>
        <w:rPr>
          <w:spacing w:val="40"/>
          <w:sz w:val="20"/>
        </w:rPr>
        <w:t xml:space="preserve"> </w:t>
      </w:r>
      <w:r>
        <w:rPr>
          <w:sz w:val="20"/>
        </w:rPr>
        <w:t>social</w:t>
      </w:r>
      <w:r>
        <w:rPr>
          <w:spacing w:val="40"/>
          <w:sz w:val="20"/>
        </w:rPr>
        <w:t xml:space="preserve"> </w:t>
      </w:r>
      <w:r>
        <w:rPr>
          <w:sz w:val="20"/>
        </w:rPr>
        <w:t>integralizado</w:t>
      </w:r>
      <w:r>
        <w:rPr>
          <w:spacing w:val="40"/>
          <w:sz w:val="20"/>
        </w:rPr>
        <w:t xml:space="preserve"> </w:t>
      </w:r>
      <w:r>
        <w:rPr>
          <w:sz w:val="20"/>
        </w:rPr>
        <w:t>compatível</w:t>
      </w:r>
      <w:r>
        <w:rPr>
          <w:spacing w:val="40"/>
          <w:sz w:val="20"/>
        </w:rPr>
        <w:t xml:space="preserve"> </w:t>
      </w:r>
      <w:r>
        <w:rPr>
          <w:sz w:val="20"/>
        </w:rPr>
        <w:t>com</w:t>
      </w:r>
      <w:r>
        <w:rPr>
          <w:spacing w:val="40"/>
          <w:sz w:val="20"/>
        </w:rPr>
        <w:t xml:space="preserve"> </w:t>
      </w:r>
      <w:r>
        <w:rPr>
          <w:sz w:val="20"/>
        </w:rPr>
        <w:t>o número</w:t>
      </w:r>
      <w:r>
        <w:rPr>
          <w:spacing w:val="40"/>
          <w:sz w:val="20"/>
        </w:rPr>
        <w:t xml:space="preserve"> </w:t>
      </w:r>
      <w:r>
        <w:rPr>
          <w:sz w:val="20"/>
        </w:rPr>
        <w:t>de</w:t>
      </w:r>
      <w:r>
        <w:rPr>
          <w:spacing w:val="40"/>
          <w:sz w:val="20"/>
        </w:rPr>
        <w:t xml:space="preserve"> </w:t>
      </w:r>
      <w:r>
        <w:rPr>
          <w:sz w:val="20"/>
        </w:rPr>
        <w:t>empregados,</w:t>
      </w:r>
      <w:r>
        <w:rPr>
          <w:spacing w:val="40"/>
          <w:sz w:val="20"/>
        </w:rPr>
        <w:t xml:space="preserve"> </w:t>
      </w:r>
      <w:r>
        <w:rPr>
          <w:sz w:val="20"/>
        </w:rPr>
        <w:t>na forma</w:t>
      </w:r>
      <w:r>
        <w:rPr>
          <w:spacing w:val="80"/>
          <w:sz w:val="20"/>
        </w:rPr>
        <w:t xml:space="preserve"> </w:t>
      </w:r>
      <w:r>
        <w:rPr>
          <w:sz w:val="20"/>
        </w:rPr>
        <w:t>do</w:t>
      </w:r>
      <w:r>
        <w:rPr>
          <w:spacing w:val="80"/>
          <w:sz w:val="20"/>
        </w:rPr>
        <w:t xml:space="preserve"> </w:t>
      </w:r>
      <w:r>
        <w:rPr>
          <w:sz w:val="20"/>
        </w:rPr>
        <w:t>art.</w:t>
      </w:r>
      <w:r>
        <w:rPr>
          <w:spacing w:val="80"/>
          <w:sz w:val="20"/>
        </w:rPr>
        <w:t xml:space="preserve"> </w:t>
      </w:r>
      <w:r>
        <w:rPr>
          <w:sz w:val="20"/>
        </w:rPr>
        <w:t>4º-B</w:t>
      </w:r>
      <w:r>
        <w:rPr>
          <w:spacing w:val="80"/>
          <w:sz w:val="20"/>
        </w:rPr>
        <w:t xml:space="preserve"> </w:t>
      </w:r>
      <w:r>
        <w:rPr>
          <w:sz w:val="20"/>
        </w:rPr>
        <w:t>da</w:t>
      </w:r>
      <w:r>
        <w:rPr>
          <w:spacing w:val="80"/>
          <w:sz w:val="20"/>
        </w:rPr>
        <w:t xml:space="preserve"> </w:t>
      </w:r>
      <w:r>
        <w:rPr>
          <w:sz w:val="20"/>
        </w:rPr>
        <w:t>Lei</w:t>
      </w:r>
      <w:r>
        <w:rPr>
          <w:spacing w:val="80"/>
          <w:sz w:val="20"/>
        </w:rPr>
        <w:t xml:space="preserve"> </w:t>
      </w:r>
      <w:r>
        <w:rPr>
          <w:sz w:val="20"/>
        </w:rPr>
        <w:t>nº</w:t>
      </w:r>
      <w:r>
        <w:rPr>
          <w:spacing w:val="80"/>
          <w:sz w:val="20"/>
        </w:rPr>
        <w:t xml:space="preserve"> </w:t>
      </w:r>
      <w:r>
        <w:rPr>
          <w:sz w:val="20"/>
        </w:rPr>
        <w:t>6.019/1974;</w:t>
      </w:r>
      <w:r>
        <w:rPr>
          <w:spacing w:val="80"/>
          <w:sz w:val="20"/>
        </w:rPr>
        <w:t xml:space="preserve"> </w:t>
      </w:r>
      <w:r>
        <w:rPr>
          <w:sz w:val="20"/>
        </w:rPr>
        <w:t>e</w:t>
      </w:r>
      <w:r>
        <w:rPr>
          <w:spacing w:val="80"/>
          <w:sz w:val="20"/>
        </w:rPr>
        <w:t xml:space="preserve"> </w:t>
      </w:r>
      <w:r>
        <w:rPr>
          <w:sz w:val="20"/>
        </w:rPr>
        <w:t>(ii)</w:t>
      </w:r>
      <w:r>
        <w:rPr>
          <w:spacing w:val="40"/>
          <w:sz w:val="20"/>
        </w:rPr>
        <w:t xml:space="preserve"> </w:t>
      </w:r>
      <w:r>
        <w:rPr>
          <w:sz w:val="20"/>
        </w:rPr>
        <w:t>adotar</w:t>
      </w:r>
      <w:r>
        <w:rPr>
          <w:spacing w:val="40"/>
          <w:sz w:val="20"/>
        </w:rPr>
        <w:t xml:space="preserve"> </w:t>
      </w:r>
      <w:r>
        <w:rPr>
          <w:sz w:val="20"/>
        </w:rPr>
        <w:t>medidas</w:t>
      </w:r>
      <w:r>
        <w:rPr>
          <w:spacing w:val="40"/>
          <w:sz w:val="20"/>
        </w:rPr>
        <w:t xml:space="preserve"> </w:t>
      </w:r>
      <w:r>
        <w:rPr>
          <w:sz w:val="20"/>
        </w:rPr>
        <w:t>para assegurar</w:t>
      </w:r>
      <w:r>
        <w:rPr>
          <w:spacing w:val="40"/>
          <w:sz w:val="20"/>
        </w:rPr>
        <w:t xml:space="preserve"> </w:t>
      </w:r>
      <w:r>
        <w:rPr>
          <w:sz w:val="20"/>
        </w:rPr>
        <w:t>o</w:t>
      </w:r>
      <w:r>
        <w:rPr>
          <w:spacing w:val="40"/>
          <w:sz w:val="20"/>
        </w:rPr>
        <w:t xml:space="preserve"> </w:t>
      </w:r>
      <w:r>
        <w:rPr>
          <w:sz w:val="20"/>
        </w:rPr>
        <w:t>cumprimento</w:t>
      </w:r>
      <w:r>
        <w:rPr>
          <w:spacing w:val="40"/>
          <w:sz w:val="20"/>
        </w:rPr>
        <w:t xml:space="preserve"> </w:t>
      </w:r>
      <w:r>
        <w:rPr>
          <w:sz w:val="20"/>
        </w:rPr>
        <w:t>das</w:t>
      </w:r>
      <w:r>
        <w:rPr>
          <w:spacing w:val="40"/>
          <w:sz w:val="20"/>
        </w:rPr>
        <w:t xml:space="preserve"> </w:t>
      </w:r>
      <w:r>
        <w:rPr>
          <w:sz w:val="20"/>
        </w:rPr>
        <w:t>obrigações</w:t>
      </w:r>
      <w:r>
        <w:rPr>
          <w:spacing w:val="40"/>
          <w:sz w:val="20"/>
        </w:rPr>
        <w:t xml:space="preserve"> </w:t>
      </w:r>
      <w:r>
        <w:rPr>
          <w:sz w:val="20"/>
        </w:rPr>
        <w:t>trabalhistas</w:t>
      </w:r>
      <w:r>
        <w:rPr>
          <w:spacing w:val="40"/>
          <w:sz w:val="20"/>
        </w:rPr>
        <w:t xml:space="preserve"> </w:t>
      </w:r>
      <w:r>
        <w:rPr>
          <w:sz w:val="20"/>
        </w:rPr>
        <w:t>pela</w:t>
      </w:r>
      <w:r>
        <w:rPr>
          <w:spacing w:val="40"/>
          <w:sz w:val="20"/>
        </w:rPr>
        <w:t xml:space="preserve"> </w:t>
      </w:r>
      <w:r>
        <w:rPr>
          <w:sz w:val="20"/>
        </w:rPr>
        <w:t>contratada,</w:t>
      </w:r>
      <w:r>
        <w:rPr>
          <w:spacing w:val="80"/>
          <w:sz w:val="20"/>
        </w:rPr>
        <w:t xml:space="preserve"> </w:t>
      </w:r>
      <w:r>
        <w:rPr>
          <w:sz w:val="20"/>
        </w:rPr>
        <w:t>na forma</w:t>
      </w:r>
      <w:r>
        <w:rPr>
          <w:spacing w:val="40"/>
          <w:sz w:val="20"/>
        </w:rPr>
        <w:t xml:space="preserve"> </w:t>
      </w:r>
      <w:r>
        <w:rPr>
          <w:sz w:val="20"/>
        </w:rPr>
        <w:t>do</w:t>
      </w:r>
      <w:r>
        <w:rPr>
          <w:spacing w:val="40"/>
          <w:sz w:val="20"/>
        </w:rPr>
        <w:t xml:space="preserve"> </w:t>
      </w:r>
      <w:r>
        <w:rPr>
          <w:sz w:val="20"/>
        </w:rPr>
        <w:t>art.</w:t>
      </w:r>
      <w:r>
        <w:rPr>
          <w:spacing w:val="40"/>
          <w:sz w:val="20"/>
        </w:rPr>
        <w:t xml:space="preserve"> </w:t>
      </w:r>
      <w:r>
        <w:rPr>
          <w:sz w:val="20"/>
        </w:rPr>
        <w:t>121,</w:t>
      </w:r>
      <w:r>
        <w:rPr>
          <w:spacing w:val="40"/>
          <w:sz w:val="20"/>
        </w:rPr>
        <w:t xml:space="preserve"> </w:t>
      </w:r>
      <w:r>
        <w:rPr>
          <w:sz w:val="20"/>
        </w:rPr>
        <w:t>§</w:t>
      </w:r>
      <w:r>
        <w:rPr>
          <w:spacing w:val="40"/>
          <w:sz w:val="20"/>
        </w:rPr>
        <w:t xml:space="preserve"> </w:t>
      </w:r>
      <w:r>
        <w:rPr>
          <w:sz w:val="20"/>
        </w:rPr>
        <w:t>3º,</w:t>
      </w:r>
      <w:r>
        <w:rPr>
          <w:spacing w:val="40"/>
          <w:sz w:val="20"/>
        </w:rPr>
        <w:t xml:space="preserve"> </w:t>
      </w:r>
      <w:r>
        <w:rPr>
          <w:sz w:val="20"/>
        </w:rPr>
        <w:t>da</w:t>
      </w:r>
      <w:r>
        <w:rPr>
          <w:spacing w:val="40"/>
          <w:sz w:val="20"/>
        </w:rPr>
        <w:t xml:space="preserve"> </w:t>
      </w:r>
      <w:r>
        <w:rPr>
          <w:sz w:val="20"/>
        </w:rPr>
        <w:t>Lei</w:t>
      </w:r>
      <w:r>
        <w:rPr>
          <w:spacing w:val="40"/>
          <w:sz w:val="20"/>
        </w:rPr>
        <w:t xml:space="preserve"> </w:t>
      </w:r>
      <w:r>
        <w:rPr>
          <w:sz w:val="20"/>
        </w:rPr>
        <w:t>nº</w:t>
      </w:r>
      <w:r>
        <w:rPr>
          <w:spacing w:val="40"/>
          <w:sz w:val="20"/>
        </w:rPr>
        <w:t xml:space="preserve"> </w:t>
      </w:r>
      <w:r>
        <w:rPr>
          <w:sz w:val="20"/>
        </w:rPr>
        <w:t>14.133/2021,</w:t>
      </w:r>
      <w:r>
        <w:rPr>
          <w:spacing w:val="40"/>
          <w:sz w:val="20"/>
        </w:rPr>
        <w:t xml:space="preserve"> </w:t>
      </w:r>
      <w:r>
        <w:rPr>
          <w:sz w:val="20"/>
        </w:rPr>
        <w:t>tais</w:t>
      </w:r>
      <w:r>
        <w:rPr>
          <w:spacing w:val="40"/>
          <w:sz w:val="20"/>
        </w:rPr>
        <w:t xml:space="preserve"> </w:t>
      </w:r>
      <w:r>
        <w:rPr>
          <w:sz w:val="20"/>
        </w:rPr>
        <w:t>como condicionar</w:t>
      </w:r>
      <w:r>
        <w:rPr>
          <w:spacing w:val="40"/>
          <w:sz w:val="20"/>
        </w:rPr>
        <w:t xml:space="preserve"> </w:t>
      </w:r>
      <w:r>
        <w:rPr>
          <w:sz w:val="20"/>
        </w:rPr>
        <w:t>o pagamento</w:t>
      </w:r>
      <w:r>
        <w:rPr>
          <w:spacing w:val="76"/>
          <w:sz w:val="20"/>
        </w:rPr>
        <w:t xml:space="preserve"> </w:t>
      </w:r>
      <w:r>
        <w:rPr>
          <w:sz w:val="20"/>
        </w:rPr>
        <w:t>à</w:t>
      </w:r>
      <w:r>
        <w:rPr>
          <w:spacing w:val="74"/>
          <w:sz w:val="20"/>
        </w:rPr>
        <w:t xml:space="preserve"> </w:t>
      </w:r>
      <w:r>
        <w:rPr>
          <w:sz w:val="20"/>
        </w:rPr>
        <w:t>comprovação</w:t>
      </w:r>
      <w:r>
        <w:rPr>
          <w:spacing w:val="80"/>
          <w:sz w:val="20"/>
        </w:rPr>
        <w:t xml:space="preserve"> </w:t>
      </w:r>
      <w:r>
        <w:rPr>
          <w:sz w:val="20"/>
        </w:rPr>
        <w:t>de</w:t>
      </w:r>
      <w:r>
        <w:rPr>
          <w:spacing w:val="74"/>
          <w:sz w:val="20"/>
        </w:rPr>
        <w:t xml:space="preserve"> </w:t>
      </w:r>
      <w:r>
        <w:rPr>
          <w:sz w:val="20"/>
        </w:rPr>
        <w:t>quitação</w:t>
      </w:r>
      <w:r>
        <w:rPr>
          <w:spacing w:val="76"/>
          <w:sz w:val="20"/>
        </w:rPr>
        <w:t xml:space="preserve"> </w:t>
      </w:r>
      <w:r>
        <w:rPr>
          <w:sz w:val="20"/>
        </w:rPr>
        <w:t>das</w:t>
      </w:r>
      <w:r>
        <w:rPr>
          <w:spacing w:val="74"/>
          <w:sz w:val="20"/>
        </w:rPr>
        <w:t xml:space="preserve"> </w:t>
      </w:r>
      <w:r>
        <w:rPr>
          <w:sz w:val="20"/>
        </w:rPr>
        <w:t>obrigações</w:t>
      </w:r>
      <w:r>
        <w:rPr>
          <w:spacing w:val="80"/>
          <w:sz w:val="20"/>
        </w:rPr>
        <w:t xml:space="preserve"> </w:t>
      </w:r>
      <w:r>
        <w:rPr>
          <w:sz w:val="20"/>
        </w:rPr>
        <w:t>trabalhistas</w:t>
      </w:r>
      <w:r>
        <w:rPr>
          <w:spacing w:val="74"/>
          <w:sz w:val="20"/>
        </w:rPr>
        <w:t xml:space="preserve"> </w:t>
      </w:r>
      <w:r>
        <w:rPr>
          <w:sz w:val="20"/>
        </w:rPr>
        <w:t>do mês</w:t>
      </w:r>
      <w:r>
        <w:rPr>
          <w:spacing w:val="40"/>
          <w:sz w:val="20"/>
        </w:rPr>
        <w:t xml:space="preserve"> </w:t>
      </w:r>
      <w:r>
        <w:rPr>
          <w:sz w:val="20"/>
        </w:rPr>
        <w:t>anterior",</w:t>
      </w:r>
      <w:r>
        <w:rPr>
          <w:spacing w:val="40"/>
          <w:sz w:val="20"/>
        </w:rPr>
        <w:t xml:space="preserve"> </w:t>
      </w:r>
      <w:r>
        <w:rPr>
          <w:sz w:val="20"/>
        </w:rPr>
        <w:t>nos</w:t>
      </w:r>
      <w:r>
        <w:rPr>
          <w:spacing w:val="40"/>
          <w:sz w:val="20"/>
        </w:rPr>
        <w:t xml:space="preserve"> </w:t>
      </w:r>
      <w:r>
        <w:rPr>
          <w:sz w:val="20"/>
        </w:rPr>
        <w:t>termos</w:t>
      </w:r>
      <w:r>
        <w:rPr>
          <w:spacing w:val="40"/>
          <w:sz w:val="20"/>
        </w:rPr>
        <w:t xml:space="preserve"> </w:t>
      </w:r>
      <w:r>
        <w:rPr>
          <w:sz w:val="20"/>
        </w:rPr>
        <w:t>do</w:t>
      </w:r>
      <w:r>
        <w:rPr>
          <w:spacing w:val="40"/>
          <w:sz w:val="20"/>
        </w:rPr>
        <w:t xml:space="preserve"> </w:t>
      </w:r>
      <w:r>
        <w:rPr>
          <w:sz w:val="20"/>
        </w:rPr>
        <w:t>voto</w:t>
      </w:r>
      <w:r>
        <w:rPr>
          <w:spacing w:val="40"/>
          <w:sz w:val="20"/>
        </w:rPr>
        <w:t xml:space="preserve"> </w:t>
      </w:r>
      <w:r>
        <w:rPr>
          <w:sz w:val="20"/>
        </w:rPr>
        <w:t>do</w:t>
      </w:r>
      <w:r>
        <w:rPr>
          <w:spacing w:val="40"/>
          <w:sz w:val="20"/>
        </w:rPr>
        <w:t xml:space="preserve"> </w:t>
      </w:r>
      <w:r>
        <w:rPr>
          <w:sz w:val="20"/>
        </w:rPr>
        <w:t>Relator,</w:t>
      </w:r>
      <w:r>
        <w:rPr>
          <w:spacing w:val="40"/>
          <w:sz w:val="20"/>
        </w:rPr>
        <w:t xml:space="preserve"> </w:t>
      </w:r>
      <w:r>
        <w:rPr>
          <w:sz w:val="20"/>
        </w:rPr>
        <w:t>vencidos parcialmente os Ministros</w:t>
      </w:r>
      <w:r>
        <w:rPr>
          <w:spacing w:val="72"/>
          <w:sz w:val="20"/>
        </w:rPr>
        <w:t xml:space="preserve"> </w:t>
      </w:r>
      <w:r>
        <w:rPr>
          <w:sz w:val="20"/>
        </w:rPr>
        <w:t>Cristiano</w:t>
      </w:r>
      <w:r>
        <w:rPr>
          <w:spacing w:val="76"/>
          <w:sz w:val="20"/>
        </w:rPr>
        <w:t xml:space="preserve"> </w:t>
      </w:r>
      <w:r>
        <w:rPr>
          <w:sz w:val="20"/>
        </w:rPr>
        <w:t>Zanin,</w:t>
      </w:r>
      <w:r>
        <w:rPr>
          <w:spacing w:val="75"/>
          <w:sz w:val="20"/>
        </w:rPr>
        <w:t xml:space="preserve"> </w:t>
      </w:r>
      <w:r>
        <w:rPr>
          <w:sz w:val="20"/>
        </w:rPr>
        <w:t>Flávio</w:t>
      </w:r>
      <w:r>
        <w:rPr>
          <w:spacing w:val="73"/>
          <w:sz w:val="20"/>
        </w:rPr>
        <w:t xml:space="preserve"> </w:t>
      </w:r>
      <w:r>
        <w:rPr>
          <w:sz w:val="20"/>
        </w:rPr>
        <w:t>Dino,</w:t>
      </w:r>
      <w:r>
        <w:rPr>
          <w:spacing w:val="73"/>
          <w:sz w:val="20"/>
        </w:rPr>
        <w:t xml:space="preserve"> </w:t>
      </w:r>
      <w:r>
        <w:rPr>
          <w:sz w:val="20"/>
        </w:rPr>
        <w:t>Edson</w:t>
      </w:r>
      <w:r>
        <w:rPr>
          <w:spacing w:val="71"/>
          <w:sz w:val="20"/>
        </w:rPr>
        <w:t xml:space="preserve"> </w:t>
      </w:r>
      <w:r>
        <w:rPr>
          <w:sz w:val="20"/>
        </w:rPr>
        <w:t>Fachin</w:t>
      </w:r>
      <w:r>
        <w:rPr>
          <w:spacing w:val="73"/>
          <w:sz w:val="20"/>
        </w:rPr>
        <w:t xml:space="preserve"> </w:t>
      </w:r>
      <w:r>
        <w:rPr>
          <w:sz w:val="20"/>
        </w:rPr>
        <w:t>e</w:t>
      </w:r>
      <w:r>
        <w:rPr>
          <w:spacing w:val="73"/>
          <w:sz w:val="20"/>
        </w:rPr>
        <w:t xml:space="preserve"> </w:t>
      </w:r>
      <w:r>
        <w:rPr>
          <w:sz w:val="20"/>
        </w:rPr>
        <w:t>Dias</w:t>
      </w:r>
      <w:r>
        <w:rPr>
          <w:spacing w:val="72"/>
          <w:sz w:val="20"/>
        </w:rPr>
        <w:t xml:space="preserve"> </w:t>
      </w:r>
      <w:r>
        <w:rPr>
          <w:sz w:val="20"/>
        </w:rPr>
        <w:t>Toffoli. Ausente,</w:t>
      </w:r>
      <w:r>
        <w:rPr>
          <w:spacing w:val="40"/>
          <w:sz w:val="20"/>
        </w:rPr>
        <w:t xml:space="preserve"> </w:t>
      </w:r>
      <w:r>
        <w:rPr>
          <w:sz w:val="20"/>
        </w:rPr>
        <w:t>justificadamente,</w:t>
      </w:r>
      <w:r>
        <w:rPr>
          <w:spacing w:val="80"/>
          <w:sz w:val="20"/>
        </w:rPr>
        <w:t xml:space="preserve"> </w:t>
      </w:r>
      <w:r>
        <w:rPr>
          <w:sz w:val="20"/>
        </w:rPr>
        <w:t>a</w:t>
      </w:r>
      <w:r>
        <w:rPr>
          <w:spacing w:val="80"/>
          <w:sz w:val="20"/>
        </w:rPr>
        <w:t xml:space="preserve"> </w:t>
      </w:r>
      <w:r>
        <w:rPr>
          <w:sz w:val="20"/>
        </w:rPr>
        <w:t>Ministra</w:t>
      </w:r>
      <w:r>
        <w:rPr>
          <w:spacing w:val="40"/>
          <w:sz w:val="20"/>
        </w:rPr>
        <w:t xml:space="preserve"> </w:t>
      </w:r>
      <w:r>
        <w:rPr>
          <w:sz w:val="20"/>
        </w:rPr>
        <w:t>Cármen</w:t>
      </w:r>
      <w:r>
        <w:rPr>
          <w:spacing w:val="80"/>
          <w:sz w:val="20"/>
        </w:rPr>
        <w:t xml:space="preserve"> </w:t>
      </w:r>
      <w:r>
        <w:rPr>
          <w:sz w:val="20"/>
        </w:rPr>
        <w:t>Lúcia,</w:t>
      </w:r>
      <w:r>
        <w:rPr>
          <w:spacing w:val="40"/>
          <w:sz w:val="20"/>
        </w:rPr>
        <w:t xml:space="preserve"> </w:t>
      </w:r>
      <w:r>
        <w:rPr>
          <w:sz w:val="20"/>
        </w:rPr>
        <w:t>que</w:t>
      </w:r>
      <w:r>
        <w:rPr>
          <w:spacing w:val="40"/>
          <w:sz w:val="20"/>
        </w:rPr>
        <w:t xml:space="preserve"> </w:t>
      </w:r>
      <w:r>
        <w:rPr>
          <w:sz w:val="20"/>
        </w:rPr>
        <w:t>já</w:t>
      </w:r>
      <w:r>
        <w:rPr>
          <w:spacing w:val="40"/>
          <w:sz w:val="20"/>
        </w:rPr>
        <w:t xml:space="preserve"> </w:t>
      </w:r>
      <w:r>
        <w:rPr>
          <w:sz w:val="20"/>
        </w:rPr>
        <w:t>havia proferido</w:t>
      </w:r>
      <w:r>
        <w:rPr>
          <w:spacing w:val="77"/>
          <w:sz w:val="20"/>
        </w:rPr>
        <w:t xml:space="preserve"> </w:t>
      </w:r>
      <w:r>
        <w:rPr>
          <w:sz w:val="20"/>
        </w:rPr>
        <w:t>voto</w:t>
      </w:r>
      <w:r>
        <w:rPr>
          <w:spacing w:val="75"/>
          <w:sz w:val="20"/>
        </w:rPr>
        <w:t xml:space="preserve"> </w:t>
      </w:r>
      <w:r>
        <w:rPr>
          <w:sz w:val="20"/>
        </w:rPr>
        <w:t>em</w:t>
      </w:r>
      <w:r>
        <w:rPr>
          <w:spacing w:val="74"/>
          <w:sz w:val="20"/>
        </w:rPr>
        <w:t xml:space="preserve"> </w:t>
      </w:r>
      <w:r>
        <w:rPr>
          <w:sz w:val="20"/>
        </w:rPr>
        <w:t>assentada</w:t>
      </w:r>
      <w:r>
        <w:rPr>
          <w:spacing w:val="75"/>
          <w:sz w:val="20"/>
        </w:rPr>
        <w:t xml:space="preserve"> </w:t>
      </w:r>
      <w:r>
        <w:rPr>
          <w:sz w:val="20"/>
        </w:rPr>
        <w:t>anterior.</w:t>
      </w:r>
      <w:r>
        <w:rPr>
          <w:spacing w:val="76"/>
          <w:sz w:val="20"/>
        </w:rPr>
        <w:t xml:space="preserve"> </w:t>
      </w:r>
      <w:r>
        <w:rPr>
          <w:sz w:val="20"/>
        </w:rPr>
        <w:t>Impedido</w:t>
      </w:r>
      <w:r>
        <w:rPr>
          <w:spacing w:val="76"/>
          <w:sz w:val="20"/>
        </w:rPr>
        <w:t xml:space="preserve"> </w:t>
      </w:r>
      <w:r>
        <w:rPr>
          <w:sz w:val="20"/>
        </w:rPr>
        <w:t>o</w:t>
      </w:r>
      <w:r>
        <w:rPr>
          <w:spacing w:val="75"/>
          <w:sz w:val="20"/>
        </w:rPr>
        <w:t xml:space="preserve"> </w:t>
      </w:r>
      <w:r>
        <w:rPr>
          <w:sz w:val="20"/>
        </w:rPr>
        <w:t>Ministro</w:t>
      </w:r>
      <w:r>
        <w:rPr>
          <w:spacing w:val="78"/>
          <w:sz w:val="20"/>
        </w:rPr>
        <w:t xml:space="preserve"> </w:t>
      </w:r>
      <w:r>
        <w:rPr>
          <w:sz w:val="20"/>
        </w:rPr>
        <w:t>Luiz</w:t>
      </w:r>
      <w:r>
        <w:rPr>
          <w:spacing w:val="75"/>
          <w:sz w:val="20"/>
        </w:rPr>
        <w:t xml:space="preserve"> </w:t>
      </w:r>
      <w:r>
        <w:rPr>
          <w:sz w:val="20"/>
        </w:rPr>
        <w:t>Fux. Presidência</w:t>
      </w:r>
      <w:r>
        <w:rPr>
          <w:spacing w:val="40"/>
          <w:sz w:val="20"/>
        </w:rPr>
        <w:t xml:space="preserve"> </w:t>
      </w:r>
      <w:r>
        <w:rPr>
          <w:sz w:val="20"/>
        </w:rPr>
        <w:t>do</w:t>
      </w:r>
      <w:r>
        <w:rPr>
          <w:spacing w:val="40"/>
          <w:sz w:val="20"/>
        </w:rPr>
        <w:t xml:space="preserve"> </w:t>
      </w:r>
      <w:r>
        <w:rPr>
          <w:sz w:val="20"/>
        </w:rPr>
        <w:t>Ministro</w:t>
      </w:r>
      <w:r>
        <w:rPr>
          <w:spacing w:val="40"/>
          <w:sz w:val="20"/>
        </w:rPr>
        <w:t xml:space="preserve"> </w:t>
      </w:r>
      <w:r>
        <w:rPr>
          <w:sz w:val="20"/>
        </w:rPr>
        <w:t>Luís</w:t>
      </w:r>
      <w:r>
        <w:rPr>
          <w:spacing w:val="40"/>
          <w:sz w:val="20"/>
        </w:rPr>
        <w:t xml:space="preserve"> </w:t>
      </w:r>
      <w:r>
        <w:rPr>
          <w:sz w:val="20"/>
        </w:rPr>
        <w:t>Roberto</w:t>
      </w:r>
      <w:r>
        <w:rPr>
          <w:spacing w:val="40"/>
          <w:sz w:val="20"/>
        </w:rPr>
        <w:t xml:space="preserve"> </w:t>
      </w:r>
      <w:r>
        <w:rPr>
          <w:sz w:val="20"/>
        </w:rPr>
        <w:t>Barroso.</w:t>
      </w:r>
      <w:r>
        <w:rPr>
          <w:spacing w:val="40"/>
          <w:sz w:val="20"/>
        </w:rPr>
        <w:t xml:space="preserve"> </w:t>
      </w:r>
      <w:r>
        <w:rPr>
          <w:sz w:val="20"/>
        </w:rPr>
        <w:t>Plenário,</w:t>
      </w:r>
      <w:r>
        <w:rPr>
          <w:spacing w:val="40"/>
          <w:sz w:val="20"/>
        </w:rPr>
        <w:t xml:space="preserve"> </w:t>
      </w:r>
      <w:r>
        <w:rPr>
          <w:sz w:val="20"/>
        </w:rPr>
        <w:t>13.2.2025.</w:t>
      </w:r>
    </w:p>
    <w:p w:rsidR="007259F2" w:rsidRDefault="00E655B4">
      <w:pPr>
        <w:spacing w:before="1"/>
        <w:ind w:left="2978" w:right="990"/>
        <w:rPr>
          <w:sz w:val="20"/>
        </w:rPr>
      </w:pPr>
      <w:r>
        <w:rPr>
          <w:sz w:val="20"/>
        </w:rPr>
        <w:t>(STF.</w:t>
      </w:r>
      <w:r>
        <w:rPr>
          <w:spacing w:val="34"/>
          <w:sz w:val="20"/>
        </w:rPr>
        <w:t xml:space="preserve"> </w:t>
      </w:r>
      <w:r>
        <w:rPr>
          <w:sz w:val="20"/>
        </w:rPr>
        <w:t>Tema</w:t>
      </w:r>
      <w:r>
        <w:rPr>
          <w:spacing w:val="37"/>
          <w:sz w:val="20"/>
        </w:rPr>
        <w:t xml:space="preserve"> </w:t>
      </w:r>
      <w:r>
        <w:rPr>
          <w:sz w:val="20"/>
        </w:rPr>
        <w:t>1118.</w:t>
      </w:r>
      <w:r>
        <w:rPr>
          <w:spacing w:val="35"/>
          <w:sz w:val="20"/>
        </w:rPr>
        <w:t xml:space="preserve"> </w:t>
      </w:r>
      <w:r>
        <w:rPr>
          <w:sz w:val="20"/>
        </w:rPr>
        <w:t>Ônus</w:t>
      </w:r>
      <w:r>
        <w:rPr>
          <w:spacing w:val="36"/>
          <w:sz w:val="20"/>
        </w:rPr>
        <w:t xml:space="preserve"> </w:t>
      </w:r>
      <w:r>
        <w:rPr>
          <w:sz w:val="20"/>
        </w:rPr>
        <w:t>da</w:t>
      </w:r>
      <w:r>
        <w:rPr>
          <w:spacing w:val="37"/>
          <w:sz w:val="20"/>
        </w:rPr>
        <w:t xml:space="preserve"> </w:t>
      </w:r>
      <w:r>
        <w:rPr>
          <w:sz w:val="20"/>
        </w:rPr>
        <w:t>prova</w:t>
      </w:r>
      <w:r>
        <w:rPr>
          <w:spacing w:val="37"/>
          <w:sz w:val="20"/>
        </w:rPr>
        <w:t xml:space="preserve"> </w:t>
      </w:r>
      <w:r>
        <w:rPr>
          <w:sz w:val="20"/>
        </w:rPr>
        <w:t>acerca</w:t>
      </w:r>
      <w:r>
        <w:rPr>
          <w:spacing w:val="35"/>
          <w:sz w:val="20"/>
        </w:rPr>
        <w:t xml:space="preserve"> </w:t>
      </w:r>
      <w:r>
        <w:rPr>
          <w:sz w:val="20"/>
        </w:rPr>
        <w:t>de</w:t>
      </w:r>
      <w:r>
        <w:rPr>
          <w:spacing w:val="37"/>
          <w:sz w:val="20"/>
        </w:rPr>
        <w:t xml:space="preserve"> </w:t>
      </w:r>
      <w:r>
        <w:rPr>
          <w:sz w:val="20"/>
        </w:rPr>
        <w:t>eventual</w:t>
      </w:r>
      <w:r>
        <w:rPr>
          <w:spacing w:val="40"/>
          <w:sz w:val="20"/>
        </w:rPr>
        <w:t xml:space="preserve"> </w:t>
      </w:r>
      <w:r>
        <w:rPr>
          <w:sz w:val="20"/>
        </w:rPr>
        <w:t>conduta</w:t>
      </w:r>
      <w:r>
        <w:rPr>
          <w:spacing w:val="37"/>
          <w:sz w:val="20"/>
        </w:rPr>
        <w:t xml:space="preserve"> </w:t>
      </w:r>
      <w:r>
        <w:rPr>
          <w:sz w:val="20"/>
        </w:rPr>
        <w:t>culposa</w:t>
      </w:r>
      <w:r>
        <w:rPr>
          <w:spacing w:val="37"/>
          <w:sz w:val="20"/>
        </w:rPr>
        <w:t xml:space="preserve"> </w:t>
      </w:r>
      <w:r>
        <w:rPr>
          <w:sz w:val="20"/>
        </w:rPr>
        <w:t>na fiscalização</w:t>
      </w:r>
      <w:r>
        <w:rPr>
          <w:spacing w:val="22"/>
          <w:sz w:val="20"/>
        </w:rPr>
        <w:t xml:space="preserve"> </w:t>
      </w:r>
      <w:r>
        <w:rPr>
          <w:sz w:val="20"/>
        </w:rPr>
        <w:t>das</w:t>
      </w:r>
      <w:r>
        <w:rPr>
          <w:spacing w:val="20"/>
          <w:sz w:val="20"/>
        </w:rPr>
        <w:t xml:space="preserve"> </w:t>
      </w:r>
      <w:r>
        <w:rPr>
          <w:sz w:val="20"/>
        </w:rPr>
        <w:t>obrigações</w:t>
      </w:r>
      <w:r>
        <w:rPr>
          <w:spacing w:val="21"/>
          <w:sz w:val="20"/>
        </w:rPr>
        <w:t xml:space="preserve"> </w:t>
      </w:r>
      <w:r>
        <w:rPr>
          <w:sz w:val="20"/>
        </w:rPr>
        <w:t>trabalhistas</w:t>
      </w:r>
      <w:r>
        <w:rPr>
          <w:spacing w:val="20"/>
          <w:sz w:val="20"/>
        </w:rPr>
        <w:t xml:space="preserve"> </w:t>
      </w:r>
      <w:r>
        <w:rPr>
          <w:sz w:val="20"/>
        </w:rPr>
        <w:t>de</w:t>
      </w:r>
      <w:r>
        <w:rPr>
          <w:spacing w:val="21"/>
          <w:sz w:val="20"/>
        </w:rPr>
        <w:t xml:space="preserve"> </w:t>
      </w:r>
      <w:r>
        <w:rPr>
          <w:sz w:val="20"/>
        </w:rPr>
        <w:t>prestadora</w:t>
      </w:r>
      <w:r>
        <w:rPr>
          <w:spacing w:val="21"/>
          <w:sz w:val="20"/>
        </w:rPr>
        <w:t xml:space="preserve"> </w:t>
      </w:r>
      <w:r>
        <w:rPr>
          <w:sz w:val="20"/>
        </w:rPr>
        <w:t>de</w:t>
      </w:r>
      <w:r>
        <w:rPr>
          <w:spacing w:val="20"/>
          <w:sz w:val="20"/>
        </w:rPr>
        <w:t xml:space="preserve"> </w:t>
      </w:r>
      <w:r>
        <w:rPr>
          <w:sz w:val="20"/>
        </w:rPr>
        <w:t>serviços,</w:t>
      </w:r>
      <w:r>
        <w:rPr>
          <w:spacing w:val="22"/>
          <w:sz w:val="20"/>
        </w:rPr>
        <w:t xml:space="preserve"> </w:t>
      </w:r>
      <w:r>
        <w:rPr>
          <w:sz w:val="20"/>
        </w:rPr>
        <w:t>para</w:t>
      </w:r>
      <w:r>
        <w:rPr>
          <w:spacing w:val="20"/>
          <w:sz w:val="20"/>
        </w:rPr>
        <w:t xml:space="preserve"> </w:t>
      </w:r>
      <w:r>
        <w:rPr>
          <w:spacing w:val="-4"/>
          <w:sz w:val="20"/>
        </w:rPr>
        <w:t>fins</w:t>
      </w:r>
    </w:p>
    <w:p w:rsidR="007259F2" w:rsidRDefault="007259F2">
      <w:pPr>
        <w:rPr>
          <w:sz w:val="20"/>
        </w:rPr>
        <w:sectPr w:rsidR="007259F2">
          <w:footerReference w:type="default" r:id="rId452"/>
          <w:pgSz w:w="11910" w:h="16840"/>
          <w:pgMar w:top="1320" w:right="708" w:bottom="280" w:left="992" w:header="0" w:footer="0" w:gutter="0"/>
          <w:cols w:space="720"/>
        </w:sectPr>
      </w:pPr>
    </w:p>
    <w:p w:rsidR="007259F2" w:rsidRDefault="00E655B4">
      <w:pPr>
        <w:spacing w:before="71"/>
        <w:ind w:left="2978" w:right="986"/>
        <w:jc w:val="both"/>
        <w:rPr>
          <w:sz w:val="20"/>
        </w:rPr>
      </w:pPr>
      <w:r>
        <w:rPr>
          <w:sz w:val="20"/>
        </w:rPr>
        <w:lastRenderedPageBreak/>
        <w:t>de responsabilização subsidiária da Administração Pública, em virtude da</w:t>
      </w:r>
      <w:r>
        <w:rPr>
          <w:spacing w:val="40"/>
          <w:sz w:val="20"/>
        </w:rPr>
        <w:t xml:space="preserve"> </w:t>
      </w:r>
      <w:r>
        <w:rPr>
          <w:sz w:val="20"/>
        </w:rPr>
        <w:t>tese firmada</w:t>
      </w:r>
      <w:r>
        <w:rPr>
          <w:spacing w:val="40"/>
          <w:sz w:val="20"/>
        </w:rPr>
        <w:t xml:space="preserve"> </w:t>
      </w:r>
      <w:r>
        <w:rPr>
          <w:sz w:val="20"/>
        </w:rPr>
        <w:t>no</w:t>
      </w:r>
      <w:r>
        <w:rPr>
          <w:spacing w:val="40"/>
          <w:sz w:val="20"/>
        </w:rPr>
        <w:t xml:space="preserve"> </w:t>
      </w:r>
      <w:r>
        <w:rPr>
          <w:sz w:val="20"/>
        </w:rPr>
        <w:t>RE</w:t>
      </w:r>
      <w:r>
        <w:rPr>
          <w:spacing w:val="40"/>
          <w:sz w:val="20"/>
        </w:rPr>
        <w:t xml:space="preserve"> </w:t>
      </w:r>
      <w:r>
        <w:rPr>
          <w:sz w:val="20"/>
        </w:rPr>
        <w:t>760.931</w:t>
      </w:r>
      <w:r>
        <w:rPr>
          <w:spacing w:val="40"/>
          <w:sz w:val="20"/>
        </w:rPr>
        <w:t xml:space="preserve"> </w:t>
      </w:r>
      <w:r>
        <w:rPr>
          <w:sz w:val="20"/>
        </w:rPr>
        <w:t>(Tema</w:t>
      </w:r>
      <w:r>
        <w:rPr>
          <w:spacing w:val="40"/>
          <w:sz w:val="20"/>
        </w:rPr>
        <w:t xml:space="preserve"> </w:t>
      </w:r>
      <w:r>
        <w:rPr>
          <w:sz w:val="20"/>
        </w:rPr>
        <w:t>246).</w:t>
      </w:r>
      <w:r>
        <w:rPr>
          <w:spacing w:val="40"/>
          <w:sz w:val="20"/>
        </w:rPr>
        <w:t xml:space="preserve"> </w:t>
      </w:r>
      <w:r>
        <w:rPr>
          <w:sz w:val="20"/>
        </w:rPr>
        <w:t>Ministro</w:t>
      </w:r>
      <w:r>
        <w:rPr>
          <w:spacing w:val="40"/>
          <w:sz w:val="20"/>
        </w:rPr>
        <w:t xml:space="preserve"> </w:t>
      </w:r>
      <w:r>
        <w:rPr>
          <w:sz w:val="20"/>
        </w:rPr>
        <w:t>Relator:</w:t>
      </w:r>
      <w:r>
        <w:rPr>
          <w:spacing w:val="40"/>
          <w:sz w:val="20"/>
        </w:rPr>
        <w:t xml:space="preserve"> </w:t>
      </w:r>
      <w:r>
        <w:rPr>
          <w:sz w:val="20"/>
        </w:rPr>
        <w:t>Nunes Marques. Julgamento</w:t>
      </w:r>
      <w:r>
        <w:rPr>
          <w:spacing w:val="40"/>
          <w:sz w:val="20"/>
        </w:rPr>
        <w:t xml:space="preserve"> </w:t>
      </w:r>
      <w:r>
        <w:rPr>
          <w:sz w:val="20"/>
        </w:rPr>
        <w:t>de</w:t>
      </w:r>
      <w:r>
        <w:rPr>
          <w:spacing w:val="40"/>
          <w:sz w:val="20"/>
        </w:rPr>
        <w:t xml:space="preserve"> </w:t>
      </w:r>
      <w:r>
        <w:rPr>
          <w:sz w:val="20"/>
        </w:rPr>
        <w:t>Mérito.</w:t>
      </w:r>
      <w:r>
        <w:rPr>
          <w:spacing w:val="40"/>
          <w:sz w:val="20"/>
        </w:rPr>
        <w:t xml:space="preserve"> </w:t>
      </w:r>
      <w:r>
        <w:rPr>
          <w:sz w:val="20"/>
        </w:rPr>
        <w:t>Tese</w:t>
      </w:r>
      <w:r>
        <w:rPr>
          <w:spacing w:val="40"/>
          <w:sz w:val="20"/>
        </w:rPr>
        <w:t xml:space="preserve"> </w:t>
      </w:r>
      <w:r>
        <w:rPr>
          <w:sz w:val="20"/>
        </w:rPr>
        <w:t>de</w:t>
      </w:r>
      <w:r>
        <w:rPr>
          <w:spacing w:val="40"/>
          <w:sz w:val="20"/>
        </w:rPr>
        <w:t xml:space="preserve"> </w:t>
      </w:r>
      <w:r>
        <w:rPr>
          <w:sz w:val="20"/>
        </w:rPr>
        <w:t>Repercussão</w:t>
      </w:r>
      <w:r>
        <w:rPr>
          <w:spacing w:val="40"/>
          <w:sz w:val="20"/>
        </w:rPr>
        <w:t xml:space="preserve"> </w:t>
      </w:r>
      <w:r>
        <w:rPr>
          <w:sz w:val="20"/>
        </w:rPr>
        <w:t>Geral.</w:t>
      </w:r>
      <w:r>
        <w:rPr>
          <w:spacing w:val="40"/>
          <w:sz w:val="20"/>
        </w:rPr>
        <w:t xml:space="preserve"> </w:t>
      </w:r>
      <w:r>
        <w:rPr>
          <w:sz w:val="20"/>
        </w:rPr>
        <w:t>13/02/2025.</w:t>
      </w:r>
    </w:p>
    <w:p w:rsidR="007259F2" w:rsidRDefault="007259F2">
      <w:pPr>
        <w:pStyle w:val="Corpodetexto"/>
        <w:spacing w:before="46"/>
        <w:ind w:left="0" w:firstLine="0"/>
        <w:jc w:val="left"/>
        <w:rPr>
          <w:sz w:val="20"/>
        </w:rPr>
      </w:pPr>
    </w:p>
    <w:p w:rsidR="007259F2" w:rsidRDefault="00E655B4">
      <w:pPr>
        <w:pStyle w:val="Corpodetexto"/>
        <w:ind w:right="987"/>
      </w:pPr>
      <w:r>
        <w:t>Dessa forma, resta evidente que o mero repasse de subvenções pelo Poder Público não</w:t>
      </w:r>
      <w:r>
        <w:rPr>
          <w:spacing w:val="40"/>
        </w:rPr>
        <w:t xml:space="preserve"> </w:t>
      </w:r>
      <w:r>
        <w:t>possui</w:t>
      </w:r>
      <w:r>
        <w:rPr>
          <w:spacing w:val="40"/>
        </w:rPr>
        <w:t xml:space="preserve"> </w:t>
      </w:r>
      <w:r>
        <w:t>em</w:t>
      </w:r>
      <w:r>
        <w:rPr>
          <w:spacing w:val="40"/>
        </w:rPr>
        <w:t xml:space="preserve"> </w:t>
      </w:r>
      <w:r>
        <w:t>nenhuma</w:t>
      </w:r>
      <w:r>
        <w:rPr>
          <w:spacing w:val="40"/>
        </w:rPr>
        <w:t xml:space="preserve"> </w:t>
      </w:r>
      <w:r>
        <w:t>hipótese</w:t>
      </w:r>
      <w:r>
        <w:rPr>
          <w:spacing w:val="40"/>
        </w:rPr>
        <w:t xml:space="preserve"> </w:t>
      </w:r>
      <w:r>
        <w:t>o</w:t>
      </w:r>
      <w:r>
        <w:rPr>
          <w:spacing w:val="40"/>
        </w:rPr>
        <w:t xml:space="preserve"> </w:t>
      </w:r>
      <w:r>
        <w:t>condão</w:t>
      </w:r>
      <w:r>
        <w:rPr>
          <w:spacing w:val="40"/>
        </w:rPr>
        <w:t xml:space="preserve"> </w:t>
      </w:r>
      <w:r>
        <w:t>de atrair</w:t>
      </w:r>
      <w:r>
        <w:rPr>
          <w:spacing w:val="40"/>
        </w:rPr>
        <w:t xml:space="preserve"> </w:t>
      </w:r>
      <w:r>
        <w:t>por</w:t>
      </w:r>
      <w:r>
        <w:rPr>
          <w:spacing w:val="40"/>
        </w:rPr>
        <w:t xml:space="preserve"> </w:t>
      </w:r>
      <w:r>
        <w:t>si</w:t>
      </w:r>
      <w:r>
        <w:rPr>
          <w:spacing w:val="40"/>
        </w:rPr>
        <w:t xml:space="preserve"> </w:t>
      </w:r>
      <w:r>
        <w:t>só</w:t>
      </w:r>
      <w:r>
        <w:rPr>
          <w:spacing w:val="40"/>
        </w:rPr>
        <w:t xml:space="preserve"> </w:t>
      </w:r>
      <w:r>
        <w:t>a responsabilidade subsidiária pelos débitos trabalhistas contraídos pela Organização Social</w:t>
      </w:r>
      <w:r>
        <w:rPr>
          <w:spacing w:val="40"/>
        </w:rPr>
        <w:t xml:space="preserve"> </w:t>
      </w:r>
      <w:r>
        <w:t>detentora</w:t>
      </w:r>
      <w:r>
        <w:rPr>
          <w:spacing w:val="40"/>
        </w:rPr>
        <w:t xml:space="preserve"> </w:t>
      </w:r>
      <w:r>
        <w:t>da</w:t>
      </w:r>
      <w:r>
        <w:rPr>
          <w:spacing w:val="40"/>
        </w:rPr>
        <w:t xml:space="preserve"> </w:t>
      </w:r>
      <w:r>
        <w:t>gestão</w:t>
      </w:r>
      <w:r>
        <w:rPr>
          <w:spacing w:val="40"/>
        </w:rPr>
        <w:t xml:space="preserve"> </w:t>
      </w:r>
      <w:r>
        <w:t>do</w:t>
      </w:r>
      <w:r>
        <w:rPr>
          <w:spacing w:val="40"/>
        </w:rPr>
        <w:t xml:space="preserve"> </w:t>
      </w:r>
      <w:r>
        <w:t>equipamento</w:t>
      </w:r>
      <w:r>
        <w:rPr>
          <w:spacing w:val="40"/>
        </w:rPr>
        <w:t xml:space="preserve"> </w:t>
      </w:r>
      <w:r>
        <w:t>público</w:t>
      </w:r>
      <w:r>
        <w:rPr>
          <w:spacing w:val="40"/>
        </w:rPr>
        <w:t xml:space="preserve"> </w:t>
      </w:r>
      <w:r>
        <w:t>que</w:t>
      </w:r>
      <w:r>
        <w:rPr>
          <w:spacing w:val="40"/>
        </w:rPr>
        <w:t xml:space="preserve"> </w:t>
      </w:r>
      <w:r>
        <w:t>a</w:t>
      </w:r>
      <w:r>
        <w:rPr>
          <w:spacing w:val="40"/>
        </w:rPr>
        <w:t xml:space="preserve"> </w:t>
      </w:r>
      <w:r>
        <w:t>Reclamante</w:t>
      </w:r>
      <w:r>
        <w:rPr>
          <w:spacing w:val="40"/>
        </w:rPr>
        <w:t xml:space="preserve"> </w:t>
      </w:r>
      <w:r>
        <w:t>trabalhou,</w:t>
      </w:r>
      <w:r>
        <w:rPr>
          <w:spacing w:val="40"/>
        </w:rPr>
        <w:t xml:space="preserve"> </w:t>
      </w:r>
      <w:r>
        <w:t>pois se assim fosse, as demais pessoas jurídicas, nacionais e internacionais, que contribuem</w:t>
      </w:r>
      <w:r>
        <w:rPr>
          <w:spacing w:val="40"/>
        </w:rPr>
        <w:t xml:space="preserve"> </w:t>
      </w:r>
      <w:r>
        <w:t>financeiramente para a manutenção e funcionamento desses equipamentos públicos também deveriam ser responsáveis subsidiárias pelas obrigações trabalhistas inadimplidas pela entidade contratada, eis que em tese também seriam tomadores indiretos</w:t>
      </w:r>
      <w:r>
        <w:rPr>
          <w:spacing w:val="40"/>
        </w:rPr>
        <w:t xml:space="preserve"> </w:t>
      </w:r>
      <w:r>
        <w:t>dos</w:t>
      </w:r>
      <w:r>
        <w:rPr>
          <w:spacing w:val="40"/>
        </w:rPr>
        <w:t xml:space="preserve"> </w:t>
      </w:r>
      <w:r>
        <w:t>serviços</w:t>
      </w:r>
      <w:r>
        <w:rPr>
          <w:spacing w:val="40"/>
        </w:rPr>
        <w:t xml:space="preserve"> </w:t>
      </w:r>
      <w:r>
        <w:t>prestados pela OS.</w:t>
      </w:r>
    </w:p>
    <w:p w:rsidR="007259F2" w:rsidRDefault="00E655B4">
      <w:pPr>
        <w:pStyle w:val="Corpodetexto"/>
        <w:spacing w:before="1"/>
        <w:ind w:right="990"/>
      </w:pPr>
      <w:r>
        <w:t>O Contrato de Gestão firmado entre ambos os entes no caso em análise (OS e o Município de São Paulo) trata-se de um acordo de vontades, com o escopo de fomentar iniciativas privadas que possuam utilidade pública, de modo que, não é cabível a responsabilização</w:t>
      </w:r>
      <w:r>
        <w:rPr>
          <w:spacing w:val="40"/>
        </w:rPr>
        <w:t xml:space="preserve"> </w:t>
      </w:r>
      <w:r>
        <w:t>da</w:t>
      </w:r>
      <w:r>
        <w:rPr>
          <w:spacing w:val="40"/>
        </w:rPr>
        <w:t xml:space="preserve"> </w:t>
      </w:r>
      <w:r>
        <w:t>Administração</w:t>
      </w:r>
      <w:r>
        <w:rPr>
          <w:spacing w:val="40"/>
        </w:rPr>
        <w:t xml:space="preserve"> </w:t>
      </w:r>
      <w:r>
        <w:t>Pública</w:t>
      </w:r>
      <w:r>
        <w:rPr>
          <w:spacing w:val="40"/>
        </w:rPr>
        <w:t xml:space="preserve"> </w:t>
      </w:r>
      <w:r>
        <w:t>em</w:t>
      </w:r>
      <w:r>
        <w:rPr>
          <w:spacing w:val="40"/>
        </w:rPr>
        <w:t xml:space="preserve"> </w:t>
      </w:r>
      <w:r>
        <w:t>sede</w:t>
      </w:r>
      <w:r>
        <w:rPr>
          <w:spacing w:val="40"/>
        </w:rPr>
        <w:t xml:space="preserve"> </w:t>
      </w:r>
      <w:r>
        <w:t>subsidiária</w:t>
      </w:r>
      <w:r>
        <w:rPr>
          <w:spacing w:val="40"/>
        </w:rPr>
        <w:t xml:space="preserve"> </w:t>
      </w:r>
      <w:r>
        <w:t>no</w:t>
      </w:r>
      <w:r>
        <w:rPr>
          <w:spacing w:val="40"/>
        </w:rPr>
        <w:t xml:space="preserve"> </w:t>
      </w:r>
      <w:r>
        <w:t>caso</w:t>
      </w:r>
      <w:r>
        <w:rPr>
          <w:spacing w:val="40"/>
        </w:rPr>
        <w:t xml:space="preserve"> </w:t>
      </w:r>
      <w:r>
        <w:t>concreto uma vez que não restou comprovada as hipóteses de cabimento dessa eventual responsabilidade</w:t>
      </w:r>
      <w:r>
        <w:rPr>
          <w:spacing w:val="40"/>
        </w:rPr>
        <w:t xml:space="preserve"> </w:t>
      </w:r>
      <w:r>
        <w:t>conforme</w:t>
      </w:r>
      <w:r>
        <w:rPr>
          <w:spacing w:val="40"/>
        </w:rPr>
        <w:t xml:space="preserve"> </w:t>
      </w:r>
      <w:r>
        <w:t>largamente</w:t>
      </w:r>
      <w:r>
        <w:rPr>
          <w:spacing w:val="40"/>
        </w:rPr>
        <w:t xml:space="preserve"> </w:t>
      </w:r>
      <w:r>
        <w:t>aqui</w:t>
      </w:r>
      <w:r>
        <w:rPr>
          <w:spacing w:val="40"/>
        </w:rPr>
        <w:t xml:space="preserve"> </w:t>
      </w:r>
      <w:r>
        <w:t>demonstrado.</w:t>
      </w:r>
    </w:p>
    <w:p w:rsidR="007259F2" w:rsidRDefault="00E655B4">
      <w:pPr>
        <w:pStyle w:val="Heading2"/>
        <w:spacing w:before="206"/>
        <w:ind w:left="712"/>
        <w:jc w:val="left"/>
      </w:pPr>
      <w:r>
        <w:rPr>
          <w:spacing w:val="-2"/>
        </w:rPr>
        <w:t>Conclusão</w:t>
      </w:r>
    </w:p>
    <w:p w:rsidR="007259F2" w:rsidRDefault="00E655B4">
      <w:pPr>
        <w:pStyle w:val="Corpodetexto"/>
        <w:spacing w:before="195"/>
        <w:ind w:right="995"/>
      </w:pPr>
      <w:r>
        <w:t>Diante de todos os fundamentos jurídicos elencados para tratar do caso em estudo, considera-se que a Procuradoria Jurídica do Município de São Paulo, na pessoa de seu Procurador Municipal, deve apresentar Contestação, fundamentada nos argumentos,</w:t>
      </w:r>
      <w:r>
        <w:rPr>
          <w:spacing w:val="40"/>
        </w:rPr>
        <w:t xml:space="preserve"> </w:t>
      </w:r>
      <w:r>
        <w:t>legislação e precedentes aqui elencados, requerendo o indeferimento dos pedidos formulados pela Reclamante por todos os fatos acima expostos, uma vez que não se verifica nenhuma hipótese que enseja a responsabilidade subsidiária do Município de São Paulo.</w:t>
      </w:r>
    </w:p>
    <w:p w:rsidR="007259F2" w:rsidRDefault="00E655B4">
      <w:pPr>
        <w:pStyle w:val="Heading1"/>
        <w:spacing w:before="204"/>
        <w:ind w:left="712"/>
      </w:pPr>
      <w:r>
        <w:rPr>
          <w:spacing w:val="-2"/>
        </w:rPr>
        <w:t>REFERÊNCIAS</w:t>
      </w:r>
    </w:p>
    <w:p w:rsidR="007259F2" w:rsidRDefault="00E655B4">
      <w:pPr>
        <w:tabs>
          <w:tab w:val="left" w:pos="3100"/>
          <w:tab w:val="left" w:pos="5721"/>
          <w:tab w:val="left" w:pos="8856"/>
        </w:tabs>
        <w:spacing w:before="197"/>
        <w:ind w:left="712" w:right="988"/>
        <w:jc w:val="both"/>
        <w:rPr>
          <w:sz w:val="24"/>
        </w:rPr>
      </w:pPr>
      <w:r>
        <w:rPr>
          <w:sz w:val="24"/>
        </w:rPr>
        <w:t>BRASIL.</w:t>
      </w:r>
      <w:r>
        <w:rPr>
          <w:spacing w:val="80"/>
          <w:sz w:val="24"/>
        </w:rPr>
        <w:t xml:space="preserve"> </w:t>
      </w:r>
      <w:r>
        <w:rPr>
          <w:b/>
          <w:sz w:val="24"/>
        </w:rPr>
        <w:t>Constituição</w:t>
      </w:r>
      <w:r>
        <w:rPr>
          <w:b/>
          <w:spacing w:val="79"/>
          <w:w w:val="150"/>
          <w:sz w:val="24"/>
        </w:rPr>
        <w:t xml:space="preserve"> </w:t>
      </w:r>
      <w:r>
        <w:rPr>
          <w:b/>
          <w:sz w:val="24"/>
        </w:rPr>
        <w:t>da</w:t>
      </w:r>
      <w:r>
        <w:rPr>
          <w:b/>
          <w:spacing w:val="80"/>
          <w:sz w:val="24"/>
        </w:rPr>
        <w:t xml:space="preserve"> </w:t>
      </w:r>
      <w:r>
        <w:rPr>
          <w:b/>
          <w:sz w:val="24"/>
        </w:rPr>
        <w:t>República</w:t>
      </w:r>
      <w:r>
        <w:rPr>
          <w:b/>
          <w:spacing w:val="80"/>
          <w:sz w:val="24"/>
        </w:rPr>
        <w:t xml:space="preserve"> </w:t>
      </w:r>
      <w:r>
        <w:rPr>
          <w:b/>
          <w:sz w:val="24"/>
        </w:rPr>
        <w:t>Federativa</w:t>
      </w:r>
      <w:r>
        <w:rPr>
          <w:b/>
          <w:spacing w:val="80"/>
          <w:sz w:val="24"/>
        </w:rPr>
        <w:t xml:space="preserve"> </w:t>
      </w:r>
      <w:r>
        <w:rPr>
          <w:b/>
          <w:sz w:val="24"/>
        </w:rPr>
        <w:t>do</w:t>
      </w:r>
      <w:r>
        <w:rPr>
          <w:b/>
          <w:spacing w:val="80"/>
          <w:sz w:val="24"/>
        </w:rPr>
        <w:t xml:space="preserve"> </w:t>
      </w:r>
      <w:r>
        <w:rPr>
          <w:b/>
          <w:sz w:val="24"/>
        </w:rPr>
        <w:t>Brasil</w:t>
      </w:r>
      <w:r>
        <w:rPr>
          <w:b/>
          <w:spacing w:val="80"/>
          <w:sz w:val="24"/>
        </w:rPr>
        <w:t xml:space="preserve"> </w:t>
      </w:r>
      <w:r>
        <w:rPr>
          <w:sz w:val="24"/>
        </w:rPr>
        <w:t>de</w:t>
      </w:r>
      <w:r>
        <w:rPr>
          <w:spacing w:val="80"/>
          <w:sz w:val="24"/>
        </w:rPr>
        <w:t xml:space="preserve"> </w:t>
      </w:r>
      <w:r>
        <w:rPr>
          <w:sz w:val="24"/>
        </w:rPr>
        <w:t>5</w:t>
      </w:r>
      <w:r>
        <w:rPr>
          <w:spacing w:val="79"/>
          <w:w w:val="150"/>
          <w:sz w:val="24"/>
        </w:rPr>
        <w:t xml:space="preserve"> </w:t>
      </w:r>
      <w:r>
        <w:rPr>
          <w:sz w:val="24"/>
        </w:rPr>
        <w:t>de</w:t>
      </w:r>
      <w:r>
        <w:rPr>
          <w:spacing w:val="80"/>
          <w:sz w:val="24"/>
        </w:rPr>
        <w:t xml:space="preserve"> </w:t>
      </w:r>
      <w:r>
        <w:rPr>
          <w:sz w:val="24"/>
        </w:rPr>
        <w:t>outubro</w:t>
      </w:r>
      <w:r>
        <w:rPr>
          <w:spacing w:val="40"/>
          <w:sz w:val="24"/>
        </w:rPr>
        <w:t xml:space="preserve"> </w:t>
      </w:r>
      <w:r>
        <w:rPr>
          <w:spacing w:val="-6"/>
          <w:sz w:val="24"/>
        </w:rPr>
        <w:t>de</w:t>
      </w:r>
      <w:r>
        <w:rPr>
          <w:sz w:val="24"/>
        </w:rPr>
        <w:tab/>
      </w:r>
      <w:r>
        <w:rPr>
          <w:spacing w:val="-2"/>
          <w:sz w:val="24"/>
        </w:rPr>
        <w:t>1988.</w:t>
      </w:r>
      <w:r>
        <w:rPr>
          <w:sz w:val="24"/>
        </w:rPr>
        <w:tab/>
      </w:r>
      <w:r>
        <w:rPr>
          <w:spacing w:val="-2"/>
          <w:sz w:val="24"/>
        </w:rPr>
        <w:t>Disponível</w:t>
      </w:r>
      <w:r>
        <w:rPr>
          <w:sz w:val="24"/>
        </w:rPr>
        <w:tab/>
      </w:r>
      <w:r>
        <w:rPr>
          <w:spacing w:val="-4"/>
          <w:sz w:val="24"/>
        </w:rPr>
        <w:t xml:space="preserve">em: </w:t>
      </w:r>
      <w:hyperlink r:id="rId453">
        <w:r>
          <w:rPr>
            <w:color w:val="0000FF"/>
            <w:spacing w:val="-2"/>
            <w:sz w:val="24"/>
            <w:u w:val="single" w:color="0000FF"/>
          </w:rPr>
          <w:t>https://www.planalto.gov.br/ccivil_03/constituicao/constituicao.htm</w:t>
        </w:r>
      </w:hyperlink>
      <w:r>
        <w:rPr>
          <w:spacing w:val="-2"/>
          <w:sz w:val="24"/>
        </w:rPr>
        <w:t>.</w:t>
      </w:r>
    </w:p>
    <w:p w:rsidR="007259F2" w:rsidRDefault="00E655B4">
      <w:pPr>
        <w:tabs>
          <w:tab w:val="left" w:pos="2586"/>
          <w:tab w:val="left" w:pos="3444"/>
          <w:tab w:val="left" w:pos="4000"/>
          <w:tab w:val="left" w:pos="4557"/>
          <w:tab w:val="left" w:pos="5112"/>
          <w:tab w:val="left" w:pos="5957"/>
          <w:tab w:val="left" w:pos="6511"/>
          <w:tab w:val="left" w:pos="7370"/>
          <w:tab w:val="left" w:pos="8732"/>
        </w:tabs>
        <w:spacing w:before="118"/>
        <w:ind w:left="712" w:right="1122"/>
        <w:rPr>
          <w:sz w:val="24"/>
        </w:rPr>
      </w:pPr>
      <w:r>
        <w:rPr>
          <w:sz w:val="24"/>
        </w:rPr>
        <w:t xml:space="preserve">BRASIL. </w:t>
      </w:r>
      <w:r>
        <w:rPr>
          <w:b/>
          <w:sz w:val="24"/>
        </w:rPr>
        <w:t>Lei nº</w:t>
      </w:r>
      <w:r>
        <w:rPr>
          <w:b/>
          <w:sz w:val="24"/>
        </w:rPr>
        <w:tab/>
      </w:r>
      <w:r>
        <w:rPr>
          <w:b/>
          <w:spacing w:val="-2"/>
          <w:sz w:val="24"/>
        </w:rPr>
        <w:t>9.637</w:t>
      </w:r>
      <w:r>
        <w:rPr>
          <w:b/>
          <w:sz w:val="24"/>
        </w:rPr>
        <w:tab/>
      </w:r>
      <w:r>
        <w:rPr>
          <w:b/>
          <w:spacing w:val="-6"/>
          <w:sz w:val="24"/>
        </w:rPr>
        <w:t>de</w:t>
      </w:r>
      <w:r>
        <w:rPr>
          <w:b/>
          <w:sz w:val="24"/>
        </w:rPr>
        <w:tab/>
      </w:r>
      <w:r>
        <w:rPr>
          <w:b/>
          <w:spacing w:val="-6"/>
          <w:sz w:val="24"/>
        </w:rPr>
        <w:t>15</w:t>
      </w:r>
      <w:r>
        <w:rPr>
          <w:b/>
          <w:sz w:val="24"/>
        </w:rPr>
        <w:tab/>
      </w:r>
      <w:r>
        <w:rPr>
          <w:b/>
          <w:spacing w:val="-6"/>
          <w:sz w:val="24"/>
        </w:rPr>
        <w:t>de</w:t>
      </w:r>
      <w:r>
        <w:rPr>
          <w:b/>
          <w:sz w:val="24"/>
        </w:rPr>
        <w:tab/>
      </w:r>
      <w:r>
        <w:rPr>
          <w:b/>
          <w:spacing w:val="-4"/>
          <w:sz w:val="24"/>
        </w:rPr>
        <w:t>Maio</w:t>
      </w:r>
      <w:r>
        <w:rPr>
          <w:b/>
          <w:sz w:val="24"/>
        </w:rPr>
        <w:tab/>
      </w:r>
      <w:r>
        <w:rPr>
          <w:b/>
          <w:spacing w:val="-6"/>
          <w:sz w:val="24"/>
        </w:rPr>
        <w:t>de</w:t>
      </w:r>
      <w:r>
        <w:rPr>
          <w:b/>
          <w:sz w:val="24"/>
        </w:rPr>
        <w:tab/>
      </w:r>
      <w:r>
        <w:rPr>
          <w:b/>
          <w:spacing w:val="-2"/>
          <w:sz w:val="24"/>
        </w:rPr>
        <w:t>1998</w:t>
      </w:r>
      <w:r>
        <w:rPr>
          <w:spacing w:val="-2"/>
          <w:sz w:val="24"/>
        </w:rPr>
        <w:t>.</w:t>
      </w:r>
      <w:r>
        <w:rPr>
          <w:sz w:val="24"/>
        </w:rPr>
        <w:tab/>
      </w:r>
      <w:r>
        <w:rPr>
          <w:spacing w:val="-2"/>
          <w:sz w:val="24"/>
        </w:rPr>
        <w:t>Disponível</w:t>
      </w:r>
      <w:r>
        <w:rPr>
          <w:sz w:val="24"/>
        </w:rPr>
        <w:tab/>
      </w:r>
      <w:r>
        <w:rPr>
          <w:spacing w:val="-6"/>
          <w:sz w:val="24"/>
        </w:rPr>
        <w:t xml:space="preserve">em: </w:t>
      </w:r>
      <w:r>
        <w:rPr>
          <w:spacing w:val="-2"/>
          <w:sz w:val="24"/>
        </w:rPr>
        <w:t>https://</w:t>
      </w:r>
      <w:hyperlink r:id="rId454">
        <w:r>
          <w:rPr>
            <w:spacing w:val="-2"/>
            <w:sz w:val="24"/>
          </w:rPr>
          <w:t>www.planalto.gov.br/ccivil_03/leis/l9637.htm</w:t>
        </w:r>
      </w:hyperlink>
    </w:p>
    <w:p w:rsidR="007259F2" w:rsidRDefault="00E655B4">
      <w:pPr>
        <w:tabs>
          <w:tab w:val="left" w:pos="1871"/>
          <w:tab w:val="left" w:pos="2457"/>
          <w:tab w:val="left" w:pos="2918"/>
          <w:tab w:val="left" w:pos="3830"/>
          <w:tab w:val="left" w:pos="4324"/>
          <w:tab w:val="left" w:pos="4816"/>
          <w:tab w:val="left" w:pos="5308"/>
          <w:tab w:val="left" w:pos="6139"/>
          <w:tab w:val="left" w:pos="6631"/>
          <w:tab w:val="left" w:pos="7426"/>
          <w:tab w:val="left" w:pos="8725"/>
        </w:tabs>
        <w:spacing w:before="116"/>
        <w:ind w:left="710" w:right="1129"/>
        <w:rPr>
          <w:sz w:val="24"/>
        </w:rPr>
      </w:pPr>
      <w:r>
        <w:rPr>
          <w:spacing w:val="-2"/>
          <w:sz w:val="24"/>
        </w:rPr>
        <w:t>BRASIL.</w:t>
      </w:r>
      <w:r>
        <w:rPr>
          <w:sz w:val="24"/>
        </w:rPr>
        <w:tab/>
      </w:r>
      <w:r>
        <w:rPr>
          <w:b/>
          <w:spacing w:val="-4"/>
          <w:sz w:val="24"/>
        </w:rPr>
        <w:t>Lei</w:t>
      </w:r>
      <w:r>
        <w:rPr>
          <w:b/>
          <w:sz w:val="24"/>
        </w:rPr>
        <w:tab/>
      </w:r>
      <w:r>
        <w:rPr>
          <w:b/>
          <w:spacing w:val="-6"/>
          <w:sz w:val="24"/>
        </w:rPr>
        <w:t>nº</w:t>
      </w:r>
      <w:r>
        <w:rPr>
          <w:b/>
          <w:sz w:val="24"/>
        </w:rPr>
        <w:tab/>
      </w:r>
      <w:r>
        <w:rPr>
          <w:b/>
          <w:spacing w:val="-2"/>
          <w:sz w:val="24"/>
        </w:rPr>
        <w:t>13.019</w:t>
      </w:r>
      <w:r>
        <w:rPr>
          <w:b/>
          <w:sz w:val="24"/>
        </w:rPr>
        <w:tab/>
      </w:r>
      <w:r>
        <w:rPr>
          <w:b/>
          <w:spacing w:val="-6"/>
          <w:sz w:val="24"/>
        </w:rPr>
        <w:t>de</w:t>
      </w:r>
      <w:r>
        <w:rPr>
          <w:b/>
          <w:sz w:val="24"/>
        </w:rPr>
        <w:tab/>
      </w:r>
      <w:r>
        <w:rPr>
          <w:b/>
          <w:spacing w:val="-6"/>
          <w:sz w:val="24"/>
        </w:rPr>
        <w:t>31</w:t>
      </w:r>
      <w:r>
        <w:rPr>
          <w:b/>
          <w:sz w:val="24"/>
        </w:rPr>
        <w:tab/>
      </w:r>
      <w:r>
        <w:rPr>
          <w:b/>
          <w:spacing w:val="-6"/>
          <w:sz w:val="24"/>
        </w:rPr>
        <w:t>de</w:t>
      </w:r>
      <w:r>
        <w:rPr>
          <w:b/>
          <w:sz w:val="24"/>
        </w:rPr>
        <w:tab/>
      </w:r>
      <w:r>
        <w:rPr>
          <w:b/>
          <w:spacing w:val="-2"/>
          <w:sz w:val="24"/>
        </w:rPr>
        <w:t>Julho</w:t>
      </w:r>
      <w:r>
        <w:rPr>
          <w:b/>
          <w:sz w:val="24"/>
        </w:rPr>
        <w:tab/>
      </w:r>
      <w:r>
        <w:rPr>
          <w:b/>
          <w:spacing w:val="-6"/>
          <w:sz w:val="24"/>
        </w:rPr>
        <w:t>de</w:t>
      </w:r>
      <w:r>
        <w:rPr>
          <w:b/>
          <w:sz w:val="24"/>
        </w:rPr>
        <w:tab/>
      </w:r>
      <w:r>
        <w:rPr>
          <w:b/>
          <w:spacing w:val="-2"/>
          <w:sz w:val="24"/>
        </w:rPr>
        <w:t>2014</w:t>
      </w:r>
      <w:r>
        <w:rPr>
          <w:spacing w:val="-2"/>
          <w:sz w:val="24"/>
        </w:rPr>
        <w:t>.</w:t>
      </w:r>
      <w:r>
        <w:rPr>
          <w:sz w:val="24"/>
        </w:rPr>
        <w:tab/>
      </w:r>
      <w:r>
        <w:rPr>
          <w:spacing w:val="-2"/>
          <w:sz w:val="24"/>
        </w:rPr>
        <w:t>Disponível</w:t>
      </w:r>
      <w:r>
        <w:rPr>
          <w:sz w:val="24"/>
        </w:rPr>
        <w:tab/>
      </w:r>
      <w:r>
        <w:rPr>
          <w:spacing w:val="-6"/>
          <w:sz w:val="24"/>
        </w:rPr>
        <w:t xml:space="preserve">em: </w:t>
      </w:r>
      <w:hyperlink r:id="rId455">
        <w:r>
          <w:rPr>
            <w:color w:val="0000FF"/>
            <w:spacing w:val="-2"/>
            <w:sz w:val="24"/>
            <w:u w:val="single" w:color="0000FF"/>
          </w:rPr>
          <w:t>https://www.planalto.gov.br/ccivil_03/_ato2011-2014/2014/lei/l13019.htm</w:t>
        </w:r>
      </w:hyperlink>
      <w:r>
        <w:rPr>
          <w:spacing w:val="-2"/>
          <w:sz w:val="24"/>
        </w:rPr>
        <w:t>.</w:t>
      </w:r>
    </w:p>
    <w:p w:rsidR="007259F2" w:rsidRDefault="00E655B4">
      <w:pPr>
        <w:pStyle w:val="Corpodetexto"/>
        <w:tabs>
          <w:tab w:val="left" w:pos="4718"/>
          <w:tab w:val="left" w:pos="5758"/>
          <w:tab w:val="left" w:pos="6756"/>
          <w:tab w:val="left" w:pos="8727"/>
        </w:tabs>
        <w:spacing w:before="120"/>
        <w:ind w:right="1128" w:firstLine="0"/>
        <w:jc w:val="left"/>
      </w:pPr>
      <w:r>
        <w:t>BRASIL. Supremo Tribunal</w:t>
      </w:r>
      <w:r>
        <w:rPr>
          <w:spacing w:val="40"/>
        </w:rPr>
        <w:t xml:space="preserve"> </w:t>
      </w:r>
      <w:r>
        <w:t>Federal.</w:t>
      </w:r>
      <w:r>
        <w:tab/>
      </w:r>
      <w:r>
        <w:rPr>
          <w:b/>
          <w:spacing w:val="-4"/>
        </w:rPr>
        <w:t>Tema</w:t>
      </w:r>
      <w:r>
        <w:rPr>
          <w:b/>
        </w:rPr>
        <w:tab/>
      </w:r>
      <w:r>
        <w:rPr>
          <w:b/>
          <w:spacing w:val="-2"/>
        </w:rPr>
        <w:t>1118</w:t>
      </w:r>
      <w:r>
        <w:rPr>
          <w:spacing w:val="-2"/>
        </w:rPr>
        <w:t>.</w:t>
      </w:r>
      <w:r>
        <w:tab/>
      </w:r>
      <w:r>
        <w:rPr>
          <w:spacing w:val="-2"/>
        </w:rPr>
        <w:t>Disponível</w:t>
      </w:r>
      <w:r>
        <w:tab/>
      </w:r>
      <w:r>
        <w:rPr>
          <w:spacing w:val="-6"/>
        </w:rPr>
        <w:t xml:space="preserve">em: </w:t>
      </w:r>
      <w:hyperlink r:id="rId456">
        <w:r>
          <w:rPr>
            <w:color w:val="0000FF"/>
            <w:spacing w:val="-2"/>
            <w:u w:val="single" w:color="0000FF"/>
          </w:rPr>
          <w:t>https://portal.stf.jus.br/jurisprudenciaRepercussao/verAndamentoProcesso.asp?incidente</w:t>
        </w:r>
      </w:hyperlink>
    </w:p>
    <w:p w:rsidR="007259F2" w:rsidRDefault="00DE6B1C">
      <w:pPr>
        <w:pStyle w:val="Corpodetexto"/>
        <w:ind w:firstLine="0"/>
        <w:jc w:val="left"/>
      </w:pPr>
      <w:hyperlink r:id="rId457">
        <w:r w:rsidR="00E655B4">
          <w:rPr>
            <w:color w:val="0000FF"/>
            <w:u w:val="single" w:color="0000FF"/>
          </w:rPr>
          <w:t>=604</w:t>
        </w:r>
      </w:hyperlink>
      <w:r w:rsidR="00E655B4">
        <w:rPr>
          <w:color w:val="0000FF"/>
          <w:spacing w:val="-15"/>
          <w:u w:val="single" w:color="0000FF"/>
        </w:rPr>
        <w:t xml:space="preserve"> </w:t>
      </w:r>
      <w:hyperlink r:id="rId458">
        <w:r w:rsidR="00E655B4">
          <w:rPr>
            <w:color w:val="0000FF"/>
            <w:spacing w:val="-2"/>
            <w:u w:val="single" w:color="0000FF"/>
          </w:rPr>
          <w:t>8634&amp;numeroProcesso=1298647&amp;classeProcesso=RE&amp;numeroTema=1118</w:t>
        </w:r>
      </w:hyperlink>
      <w:r w:rsidR="00E655B4">
        <w:rPr>
          <w:spacing w:val="-2"/>
        </w:rPr>
        <w:t>.</w:t>
      </w:r>
    </w:p>
    <w:p w:rsidR="007259F2" w:rsidRDefault="00E655B4">
      <w:pPr>
        <w:pStyle w:val="Corpodetexto"/>
        <w:spacing w:before="120"/>
        <w:ind w:left="712" w:right="1279" w:firstLine="0"/>
        <w:jc w:val="left"/>
      </w:pPr>
      <w:r>
        <w:t>BRASIL.</w:t>
      </w:r>
      <w:r>
        <w:rPr>
          <w:spacing w:val="-5"/>
        </w:rPr>
        <w:t xml:space="preserve"> </w:t>
      </w:r>
      <w:r>
        <w:t>Ministério</w:t>
      </w:r>
      <w:r>
        <w:rPr>
          <w:spacing w:val="-5"/>
        </w:rPr>
        <w:t xml:space="preserve"> </w:t>
      </w:r>
      <w:r>
        <w:t>da</w:t>
      </w:r>
      <w:r>
        <w:rPr>
          <w:spacing w:val="-3"/>
        </w:rPr>
        <w:t xml:space="preserve"> </w:t>
      </w:r>
      <w:r>
        <w:t>Gestão</w:t>
      </w:r>
      <w:r>
        <w:rPr>
          <w:spacing w:val="-5"/>
        </w:rPr>
        <w:t xml:space="preserve"> </w:t>
      </w:r>
      <w:r>
        <w:t>e</w:t>
      </w:r>
      <w:r>
        <w:rPr>
          <w:spacing w:val="-6"/>
        </w:rPr>
        <w:t xml:space="preserve"> </w:t>
      </w:r>
      <w:r>
        <w:t>da</w:t>
      </w:r>
      <w:r>
        <w:rPr>
          <w:spacing w:val="-2"/>
        </w:rPr>
        <w:t xml:space="preserve"> </w:t>
      </w:r>
      <w:r>
        <w:t>Inovação</w:t>
      </w:r>
      <w:r>
        <w:rPr>
          <w:spacing w:val="-5"/>
        </w:rPr>
        <w:t xml:space="preserve"> </w:t>
      </w:r>
      <w:r>
        <w:t>em</w:t>
      </w:r>
      <w:r>
        <w:rPr>
          <w:spacing w:val="-3"/>
        </w:rPr>
        <w:t xml:space="preserve"> </w:t>
      </w:r>
      <w:r>
        <w:t>Serviços</w:t>
      </w:r>
      <w:r>
        <w:rPr>
          <w:spacing w:val="-5"/>
        </w:rPr>
        <w:t xml:space="preserve"> </w:t>
      </w:r>
      <w:r>
        <w:t>Públicos.</w:t>
      </w:r>
      <w:r>
        <w:rPr>
          <w:spacing w:val="-3"/>
        </w:rPr>
        <w:t xml:space="preserve"> </w:t>
      </w:r>
      <w:r>
        <w:rPr>
          <w:b/>
        </w:rPr>
        <w:t>Organizações Sociais</w:t>
      </w:r>
      <w:r>
        <w:t>.</w:t>
      </w:r>
      <w:r>
        <w:rPr>
          <w:spacing w:val="40"/>
        </w:rPr>
        <w:t xml:space="preserve"> </w:t>
      </w:r>
      <w:r>
        <w:t xml:space="preserve">Disponível em: </w:t>
      </w:r>
      <w:hyperlink r:id="rId459">
        <w:r>
          <w:rPr>
            <w:color w:val="0000FF"/>
            <w:u w:val="single" w:color="0000FF"/>
          </w:rPr>
          <w:t>https://www.gov.br/gestao/pt-br/assuntos/organizacoes-</w:t>
        </w:r>
      </w:hyperlink>
      <w:r>
        <w:rPr>
          <w:color w:val="0000FF"/>
        </w:rPr>
        <w:t xml:space="preserve"> </w:t>
      </w:r>
      <w:hyperlink r:id="rId460">
        <w:r>
          <w:rPr>
            <w:color w:val="0000FF"/>
            <w:spacing w:val="-2"/>
            <w:u w:val="single" w:color="0000FF"/>
          </w:rPr>
          <w:t>sociais</w:t>
        </w:r>
      </w:hyperlink>
      <w:r>
        <w:rPr>
          <w:spacing w:val="-2"/>
        </w:rPr>
        <w:t>.</w:t>
      </w:r>
    </w:p>
    <w:p w:rsidR="007259F2" w:rsidRDefault="00E655B4">
      <w:pPr>
        <w:pStyle w:val="Corpodetexto"/>
        <w:tabs>
          <w:tab w:val="left" w:pos="1950"/>
          <w:tab w:val="left" w:pos="3108"/>
          <w:tab w:val="left" w:pos="4260"/>
          <w:tab w:val="left" w:pos="4831"/>
          <w:tab w:val="left" w:pos="6084"/>
          <w:tab w:val="left" w:pos="7351"/>
          <w:tab w:val="left" w:pos="8729"/>
        </w:tabs>
        <w:spacing w:before="120"/>
        <w:ind w:left="712" w:right="1124" w:firstLine="0"/>
        <w:jc w:val="left"/>
      </w:pPr>
      <w:r>
        <w:rPr>
          <w:spacing w:val="-2"/>
        </w:rPr>
        <w:t>BRASIL.</w:t>
      </w:r>
      <w:r>
        <w:tab/>
      </w:r>
      <w:r>
        <w:rPr>
          <w:spacing w:val="-2"/>
        </w:rPr>
        <w:t>Tribunal</w:t>
      </w:r>
      <w:r>
        <w:tab/>
      </w:r>
      <w:r>
        <w:rPr>
          <w:spacing w:val="-2"/>
        </w:rPr>
        <w:t>Superior</w:t>
      </w:r>
      <w:r>
        <w:tab/>
      </w:r>
      <w:r>
        <w:rPr>
          <w:spacing w:val="-6"/>
        </w:rPr>
        <w:t>do</w:t>
      </w:r>
      <w:r>
        <w:tab/>
      </w:r>
      <w:r>
        <w:rPr>
          <w:spacing w:val="-2"/>
        </w:rPr>
        <w:t>Trabalho.</w:t>
      </w:r>
      <w:r>
        <w:tab/>
      </w:r>
      <w:r>
        <w:rPr>
          <w:b/>
          <w:spacing w:val="-2"/>
        </w:rPr>
        <w:t>Súmulas</w:t>
      </w:r>
      <w:r>
        <w:rPr>
          <w:spacing w:val="-2"/>
        </w:rPr>
        <w:t>.</w:t>
      </w:r>
      <w:r>
        <w:tab/>
      </w:r>
      <w:r>
        <w:rPr>
          <w:spacing w:val="-2"/>
        </w:rPr>
        <w:t>Disponível</w:t>
      </w:r>
      <w:r>
        <w:tab/>
      </w:r>
      <w:r>
        <w:rPr>
          <w:spacing w:val="-6"/>
        </w:rPr>
        <w:t xml:space="preserve">em: </w:t>
      </w:r>
      <w:hyperlink r:id="rId461">
        <w:r>
          <w:rPr>
            <w:color w:val="0000FF"/>
            <w:spacing w:val="-2"/>
            <w:u w:val="single" w:color="0000FF"/>
          </w:rPr>
          <w:t>https://jurisprudencia.tst.jus.br/?tipoJuris=SUM&amp;orgao=TST&amp;pesquisar=1</w:t>
        </w:r>
      </w:hyperlink>
      <w:r>
        <w:rPr>
          <w:spacing w:val="-2"/>
        </w:rPr>
        <w:t>.</w:t>
      </w:r>
    </w:p>
    <w:p w:rsidR="007259F2" w:rsidRDefault="00E655B4">
      <w:pPr>
        <w:spacing w:before="120"/>
        <w:ind w:left="712" w:right="990"/>
        <w:rPr>
          <w:sz w:val="24"/>
        </w:rPr>
      </w:pPr>
      <w:r>
        <w:rPr>
          <w:sz w:val="24"/>
        </w:rPr>
        <w:t>DI</w:t>
      </w:r>
      <w:r>
        <w:rPr>
          <w:spacing w:val="-8"/>
          <w:sz w:val="24"/>
        </w:rPr>
        <w:t xml:space="preserve"> </w:t>
      </w:r>
      <w:r>
        <w:rPr>
          <w:sz w:val="24"/>
        </w:rPr>
        <w:t>PIETRO,Maria</w:t>
      </w:r>
      <w:r>
        <w:rPr>
          <w:spacing w:val="-6"/>
          <w:sz w:val="24"/>
        </w:rPr>
        <w:t xml:space="preserve"> </w:t>
      </w:r>
      <w:r>
        <w:rPr>
          <w:sz w:val="24"/>
        </w:rPr>
        <w:t>Sylvia</w:t>
      </w:r>
      <w:r>
        <w:rPr>
          <w:spacing w:val="-5"/>
          <w:sz w:val="24"/>
        </w:rPr>
        <w:t xml:space="preserve"> </w:t>
      </w:r>
      <w:r>
        <w:rPr>
          <w:sz w:val="24"/>
        </w:rPr>
        <w:t xml:space="preserve">Zanella. </w:t>
      </w:r>
      <w:r>
        <w:rPr>
          <w:b/>
          <w:sz w:val="24"/>
        </w:rPr>
        <w:t>Parcerias</w:t>
      </w:r>
      <w:r>
        <w:rPr>
          <w:b/>
          <w:spacing w:val="-4"/>
          <w:sz w:val="24"/>
        </w:rPr>
        <w:t xml:space="preserve"> </w:t>
      </w:r>
      <w:r>
        <w:rPr>
          <w:b/>
          <w:sz w:val="24"/>
        </w:rPr>
        <w:t>na</w:t>
      </w:r>
      <w:r>
        <w:rPr>
          <w:b/>
          <w:spacing w:val="-4"/>
          <w:sz w:val="24"/>
        </w:rPr>
        <w:t xml:space="preserve"> </w:t>
      </w:r>
      <w:r>
        <w:rPr>
          <w:b/>
          <w:sz w:val="24"/>
        </w:rPr>
        <w:t>Administração</w:t>
      </w:r>
      <w:r>
        <w:rPr>
          <w:b/>
          <w:spacing w:val="-2"/>
          <w:sz w:val="24"/>
        </w:rPr>
        <w:t xml:space="preserve"> </w:t>
      </w:r>
      <w:r>
        <w:rPr>
          <w:b/>
          <w:sz w:val="24"/>
        </w:rPr>
        <w:t>Pública</w:t>
      </w:r>
      <w:r>
        <w:rPr>
          <w:sz w:val="24"/>
        </w:rPr>
        <w:t>.</w:t>
      </w:r>
      <w:r>
        <w:rPr>
          <w:spacing w:val="-1"/>
          <w:sz w:val="24"/>
        </w:rPr>
        <w:t xml:space="preserve"> </w:t>
      </w:r>
      <w:r>
        <w:rPr>
          <w:sz w:val="24"/>
        </w:rPr>
        <w:t>5.</w:t>
      </w:r>
      <w:r>
        <w:rPr>
          <w:spacing w:val="-4"/>
          <w:sz w:val="24"/>
        </w:rPr>
        <w:t xml:space="preserve"> </w:t>
      </w:r>
      <w:r>
        <w:rPr>
          <w:sz w:val="24"/>
        </w:rPr>
        <w:t>ed..</w:t>
      </w:r>
      <w:r>
        <w:rPr>
          <w:spacing w:val="-4"/>
          <w:sz w:val="24"/>
        </w:rPr>
        <w:t xml:space="preserve"> </w:t>
      </w:r>
      <w:r>
        <w:rPr>
          <w:sz w:val="24"/>
        </w:rPr>
        <w:t>São Paulo: Atlas, 2006.</w:t>
      </w:r>
    </w:p>
    <w:p w:rsidR="007259F2" w:rsidRDefault="007259F2">
      <w:pPr>
        <w:rPr>
          <w:sz w:val="24"/>
        </w:rPr>
        <w:sectPr w:rsidR="007259F2">
          <w:footerReference w:type="default" r:id="rId462"/>
          <w:pgSz w:w="11910" w:h="16840"/>
          <w:pgMar w:top="1320" w:right="708" w:bottom="280" w:left="992" w:header="0" w:footer="0" w:gutter="0"/>
          <w:cols w:space="720"/>
        </w:sectPr>
      </w:pPr>
    </w:p>
    <w:p w:rsidR="007259F2" w:rsidRDefault="00E655B4">
      <w:pPr>
        <w:spacing w:before="69"/>
        <w:ind w:left="712" w:right="990"/>
        <w:rPr>
          <w:sz w:val="24"/>
        </w:rPr>
      </w:pPr>
      <w:r>
        <w:rPr>
          <w:sz w:val="24"/>
        </w:rPr>
        <w:lastRenderedPageBreak/>
        <w:t>MEIRELLES,</w:t>
      </w:r>
      <w:r>
        <w:rPr>
          <w:spacing w:val="-5"/>
          <w:sz w:val="24"/>
        </w:rPr>
        <w:t xml:space="preserve"> </w:t>
      </w:r>
      <w:r>
        <w:rPr>
          <w:sz w:val="24"/>
        </w:rPr>
        <w:t>Hely</w:t>
      </w:r>
      <w:r>
        <w:rPr>
          <w:spacing w:val="-9"/>
          <w:sz w:val="24"/>
        </w:rPr>
        <w:t xml:space="preserve"> </w:t>
      </w:r>
      <w:r>
        <w:rPr>
          <w:sz w:val="24"/>
        </w:rPr>
        <w:t>Lopes.</w:t>
      </w:r>
      <w:r>
        <w:rPr>
          <w:spacing w:val="-6"/>
          <w:sz w:val="24"/>
        </w:rPr>
        <w:t xml:space="preserve"> </w:t>
      </w:r>
      <w:r>
        <w:rPr>
          <w:b/>
          <w:sz w:val="24"/>
        </w:rPr>
        <w:t>Direito</w:t>
      </w:r>
      <w:r>
        <w:rPr>
          <w:b/>
          <w:spacing w:val="-7"/>
          <w:sz w:val="24"/>
        </w:rPr>
        <w:t xml:space="preserve"> </w:t>
      </w:r>
      <w:r>
        <w:rPr>
          <w:b/>
          <w:sz w:val="24"/>
        </w:rPr>
        <w:t>Administrativo</w:t>
      </w:r>
      <w:r>
        <w:rPr>
          <w:b/>
          <w:spacing w:val="-4"/>
          <w:sz w:val="24"/>
        </w:rPr>
        <w:t xml:space="preserve"> </w:t>
      </w:r>
      <w:r>
        <w:rPr>
          <w:b/>
          <w:sz w:val="24"/>
        </w:rPr>
        <w:t>Brasileiro</w:t>
      </w:r>
      <w:r>
        <w:rPr>
          <w:sz w:val="24"/>
        </w:rPr>
        <w:t>.</w:t>
      </w:r>
      <w:r>
        <w:rPr>
          <w:spacing w:val="-7"/>
          <w:sz w:val="24"/>
        </w:rPr>
        <w:t xml:space="preserve"> </w:t>
      </w:r>
      <w:r>
        <w:rPr>
          <w:sz w:val="24"/>
        </w:rPr>
        <w:t>42</w:t>
      </w:r>
      <w:r>
        <w:rPr>
          <w:spacing w:val="-4"/>
          <w:sz w:val="24"/>
        </w:rPr>
        <w:t xml:space="preserve"> </w:t>
      </w:r>
      <w:r>
        <w:rPr>
          <w:sz w:val="24"/>
        </w:rPr>
        <w:t>ed.</w:t>
      </w:r>
      <w:r>
        <w:rPr>
          <w:spacing w:val="-4"/>
          <w:sz w:val="24"/>
        </w:rPr>
        <w:t xml:space="preserve"> </w:t>
      </w:r>
      <w:r>
        <w:rPr>
          <w:sz w:val="24"/>
        </w:rPr>
        <w:t>São</w:t>
      </w:r>
      <w:r>
        <w:rPr>
          <w:spacing w:val="-4"/>
          <w:sz w:val="24"/>
        </w:rPr>
        <w:t xml:space="preserve"> </w:t>
      </w:r>
      <w:r>
        <w:rPr>
          <w:sz w:val="24"/>
        </w:rPr>
        <w:t>Paulo: Malheiros, 2016.</w:t>
      </w:r>
    </w:p>
    <w:p w:rsidR="007259F2" w:rsidRDefault="00E655B4">
      <w:pPr>
        <w:spacing w:before="121"/>
        <w:ind w:left="712" w:right="990"/>
        <w:rPr>
          <w:sz w:val="24"/>
        </w:rPr>
      </w:pPr>
      <w:r>
        <w:rPr>
          <w:sz w:val="24"/>
        </w:rPr>
        <w:t>SÃO</w:t>
      </w:r>
      <w:r>
        <w:rPr>
          <w:spacing w:val="75"/>
          <w:w w:val="150"/>
          <w:sz w:val="24"/>
        </w:rPr>
        <w:t xml:space="preserve"> </w:t>
      </w:r>
      <w:r>
        <w:rPr>
          <w:sz w:val="24"/>
        </w:rPr>
        <w:t>PAULO</w:t>
      </w:r>
      <w:r>
        <w:rPr>
          <w:spacing w:val="78"/>
          <w:w w:val="150"/>
          <w:sz w:val="24"/>
        </w:rPr>
        <w:t xml:space="preserve"> </w:t>
      </w:r>
      <w:r>
        <w:rPr>
          <w:sz w:val="24"/>
        </w:rPr>
        <w:t>(SP).</w:t>
      </w:r>
      <w:r>
        <w:rPr>
          <w:spacing w:val="78"/>
          <w:w w:val="150"/>
          <w:sz w:val="24"/>
        </w:rPr>
        <w:t xml:space="preserve"> </w:t>
      </w:r>
      <w:r>
        <w:rPr>
          <w:b/>
          <w:sz w:val="24"/>
        </w:rPr>
        <w:t>Lei</w:t>
      </w:r>
      <w:r>
        <w:rPr>
          <w:b/>
          <w:spacing w:val="76"/>
          <w:w w:val="150"/>
          <w:sz w:val="24"/>
        </w:rPr>
        <w:t xml:space="preserve"> </w:t>
      </w:r>
      <w:r>
        <w:rPr>
          <w:b/>
          <w:sz w:val="24"/>
        </w:rPr>
        <w:t>nº</w:t>
      </w:r>
      <w:r>
        <w:rPr>
          <w:b/>
          <w:spacing w:val="75"/>
          <w:w w:val="150"/>
          <w:sz w:val="24"/>
        </w:rPr>
        <w:t xml:space="preserve"> </w:t>
      </w:r>
      <w:r>
        <w:rPr>
          <w:b/>
          <w:sz w:val="24"/>
        </w:rPr>
        <w:t>14.132</w:t>
      </w:r>
      <w:r>
        <w:rPr>
          <w:b/>
          <w:spacing w:val="76"/>
          <w:w w:val="150"/>
          <w:sz w:val="24"/>
        </w:rPr>
        <w:t xml:space="preserve"> </w:t>
      </w:r>
      <w:r>
        <w:rPr>
          <w:b/>
          <w:sz w:val="24"/>
        </w:rPr>
        <w:t>de</w:t>
      </w:r>
      <w:r>
        <w:rPr>
          <w:b/>
          <w:spacing w:val="77"/>
          <w:w w:val="150"/>
          <w:sz w:val="24"/>
        </w:rPr>
        <w:t xml:space="preserve"> </w:t>
      </w:r>
      <w:r>
        <w:rPr>
          <w:b/>
          <w:sz w:val="24"/>
        </w:rPr>
        <w:t>24</w:t>
      </w:r>
      <w:r>
        <w:rPr>
          <w:b/>
          <w:spacing w:val="80"/>
          <w:w w:val="150"/>
          <w:sz w:val="24"/>
        </w:rPr>
        <w:t xml:space="preserve"> </w:t>
      </w:r>
      <w:r>
        <w:rPr>
          <w:b/>
          <w:sz w:val="24"/>
        </w:rPr>
        <w:t>de</w:t>
      </w:r>
      <w:r>
        <w:rPr>
          <w:b/>
          <w:spacing w:val="75"/>
          <w:w w:val="150"/>
          <w:sz w:val="24"/>
        </w:rPr>
        <w:t xml:space="preserve"> </w:t>
      </w:r>
      <w:r>
        <w:rPr>
          <w:b/>
          <w:sz w:val="24"/>
        </w:rPr>
        <w:t>Janeiro</w:t>
      </w:r>
      <w:r>
        <w:rPr>
          <w:b/>
          <w:spacing w:val="78"/>
          <w:w w:val="150"/>
          <w:sz w:val="24"/>
        </w:rPr>
        <w:t xml:space="preserve"> </w:t>
      </w:r>
      <w:r>
        <w:rPr>
          <w:b/>
          <w:sz w:val="24"/>
        </w:rPr>
        <w:t>de</w:t>
      </w:r>
      <w:r>
        <w:rPr>
          <w:b/>
          <w:spacing w:val="77"/>
          <w:w w:val="150"/>
          <w:sz w:val="24"/>
        </w:rPr>
        <w:t xml:space="preserve"> </w:t>
      </w:r>
      <w:r>
        <w:rPr>
          <w:b/>
          <w:sz w:val="24"/>
        </w:rPr>
        <w:t>2006</w:t>
      </w:r>
      <w:r>
        <w:rPr>
          <w:sz w:val="24"/>
        </w:rPr>
        <w:t>.</w:t>
      </w:r>
      <w:r>
        <w:rPr>
          <w:spacing w:val="79"/>
          <w:w w:val="150"/>
          <w:sz w:val="24"/>
        </w:rPr>
        <w:t xml:space="preserve"> </w:t>
      </w:r>
      <w:r>
        <w:rPr>
          <w:sz w:val="24"/>
        </w:rPr>
        <w:t>Disponível em:</w:t>
      </w:r>
      <w:r>
        <w:rPr>
          <w:spacing w:val="-15"/>
          <w:sz w:val="24"/>
        </w:rPr>
        <w:t xml:space="preserve"> </w:t>
      </w:r>
      <w:hyperlink r:id="rId463">
        <w:r>
          <w:rPr>
            <w:color w:val="0000FF"/>
            <w:sz w:val="24"/>
            <w:u w:val="single" w:color="0000FF"/>
          </w:rPr>
          <w:t>http://legislacao.prefeitura.sp.gov.br/leis/lei-14132-de-24-de-janeiro-de-2006</w:t>
        </w:r>
        <w:r>
          <w:rPr>
            <w:sz w:val="24"/>
          </w:rPr>
          <w:t>.</w:t>
        </w:r>
      </w:hyperlink>
    </w:p>
    <w:p w:rsidR="007259F2" w:rsidRDefault="007259F2">
      <w:pPr>
        <w:rPr>
          <w:sz w:val="24"/>
        </w:rPr>
        <w:sectPr w:rsidR="007259F2">
          <w:footerReference w:type="default" r:id="rId464"/>
          <w:pgSz w:w="11910" w:h="16840"/>
          <w:pgMar w:top="1320" w:right="708" w:bottom="280" w:left="992" w:header="0" w:footer="0" w:gutter="0"/>
          <w:cols w:space="720"/>
        </w:sectPr>
      </w:pPr>
    </w:p>
    <w:p w:rsidR="007259F2" w:rsidRDefault="00E655B4">
      <w:pPr>
        <w:spacing w:before="78"/>
        <w:ind w:left="2"/>
        <w:rPr>
          <w:b/>
          <w:sz w:val="24"/>
        </w:rPr>
      </w:pPr>
      <w:r>
        <w:rPr>
          <w:b/>
          <w:sz w:val="24"/>
        </w:rPr>
        <w:lastRenderedPageBreak/>
        <w:t xml:space="preserve">Estudo de </w:t>
      </w:r>
      <w:r>
        <w:rPr>
          <w:b/>
          <w:spacing w:val="-2"/>
          <w:sz w:val="24"/>
        </w:rPr>
        <w:t>caso:</w:t>
      </w:r>
    </w:p>
    <w:p w:rsidR="007259F2" w:rsidRDefault="00E655B4">
      <w:pPr>
        <w:spacing w:line="482" w:lineRule="auto"/>
        <w:ind w:left="2" w:right="1048"/>
        <w:rPr>
          <w:b/>
          <w:sz w:val="24"/>
        </w:rPr>
      </w:pPr>
      <w:bookmarkStart w:id="25" w:name="_bookmark25"/>
      <w:bookmarkEnd w:id="25"/>
      <w:r>
        <w:rPr>
          <w:b/>
          <w:sz w:val="24"/>
        </w:rPr>
        <w:t>Possibilidade</w:t>
      </w:r>
      <w:r>
        <w:rPr>
          <w:b/>
          <w:spacing w:val="-17"/>
          <w:sz w:val="24"/>
        </w:rPr>
        <w:t xml:space="preserve"> </w:t>
      </w:r>
      <w:r>
        <w:rPr>
          <w:b/>
          <w:sz w:val="24"/>
        </w:rPr>
        <w:t>de</w:t>
      </w:r>
      <w:r>
        <w:rPr>
          <w:b/>
          <w:spacing w:val="-18"/>
          <w:sz w:val="24"/>
        </w:rPr>
        <w:t xml:space="preserve"> </w:t>
      </w:r>
      <w:r>
        <w:rPr>
          <w:b/>
          <w:sz w:val="24"/>
        </w:rPr>
        <w:t>transação</w:t>
      </w:r>
      <w:r>
        <w:rPr>
          <w:b/>
          <w:spacing w:val="-17"/>
          <w:sz w:val="24"/>
        </w:rPr>
        <w:t xml:space="preserve"> </w:t>
      </w:r>
      <w:r>
        <w:rPr>
          <w:b/>
          <w:sz w:val="24"/>
        </w:rPr>
        <w:t>em</w:t>
      </w:r>
      <w:r>
        <w:rPr>
          <w:b/>
          <w:spacing w:val="-18"/>
          <w:sz w:val="24"/>
        </w:rPr>
        <w:t xml:space="preserve"> </w:t>
      </w:r>
      <w:r>
        <w:rPr>
          <w:b/>
          <w:sz w:val="24"/>
        </w:rPr>
        <w:t>matéria</w:t>
      </w:r>
      <w:r>
        <w:rPr>
          <w:b/>
          <w:spacing w:val="-16"/>
          <w:sz w:val="24"/>
        </w:rPr>
        <w:t xml:space="preserve"> </w:t>
      </w:r>
      <w:r>
        <w:rPr>
          <w:b/>
          <w:sz w:val="24"/>
        </w:rPr>
        <w:t>ambiental:</w:t>
      </w:r>
      <w:r>
        <w:rPr>
          <w:b/>
          <w:spacing w:val="-15"/>
          <w:sz w:val="24"/>
        </w:rPr>
        <w:t xml:space="preserve"> </w:t>
      </w:r>
      <w:r>
        <w:rPr>
          <w:b/>
          <w:sz w:val="24"/>
        </w:rPr>
        <w:t>caso</w:t>
      </w:r>
      <w:r>
        <w:rPr>
          <w:b/>
          <w:spacing w:val="-17"/>
          <w:sz w:val="24"/>
        </w:rPr>
        <w:t xml:space="preserve"> </w:t>
      </w:r>
      <w:r>
        <w:rPr>
          <w:b/>
          <w:sz w:val="24"/>
        </w:rPr>
        <w:t>SVMA</w:t>
      </w:r>
      <w:r>
        <w:rPr>
          <w:b/>
          <w:spacing w:val="-7"/>
          <w:sz w:val="24"/>
        </w:rPr>
        <w:t xml:space="preserve"> </w:t>
      </w:r>
      <w:r>
        <w:rPr>
          <w:b/>
          <w:sz w:val="24"/>
        </w:rPr>
        <w:t>x</w:t>
      </w:r>
      <w:r>
        <w:rPr>
          <w:b/>
          <w:spacing w:val="-4"/>
          <w:sz w:val="24"/>
        </w:rPr>
        <w:t xml:space="preserve"> </w:t>
      </w:r>
      <w:r>
        <w:rPr>
          <w:b/>
          <w:sz w:val="24"/>
        </w:rPr>
        <w:t xml:space="preserve">COHAB Vinícius Manosalva Alves </w:t>
      </w:r>
      <w:r>
        <w:rPr>
          <w:b/>
          <w:sz w:val="24"/>
          <w:vertAlign w:val="superscript"/>
        </w:rPr>
        <w:t>1</w:t>
      </w:r>
    </w:p>
    <w:p w:rsidR="007259F2" w:rsidRDefault="007259F2">
      <w:pPr>
        <w:pStyle w:val="Corpodetexto"/>
        <w:ind w:left="0" w:firstLine="0"/>
        <w:jc w:val="left"/>
        <w:rPr>
          <w:b/>
        </w:rPr>
      </w:pPr>
    </w:p>
    <w:p w:rsidR="007259F2" w:rsidRDefault="007259F2">
      <w:pPr>
        <w:pStyle w:val="Corpodetexto"/>
        <w:spacing w:before="193"/>
        <w:ind w:left="0" w:firstLine="0"/>
        <w:jc w:val="left"/>
        <w:rPr>
          <w:b/>
        </w:rPr>
      </w:pPr>
    </w:p>
    <w:p w:rsidR="007259F2" w:rsidRDefault="00E655B4">
      <w:pPr>
        <w:ind w:left="2"/>
        <w:rPr>
          <w:b/>
          <w:sz w:val="24"/>
        </w:rPr>
      </w:pPr>
      <w:r>
        <w:rPr>
          <w:b/>
          <w:sz w:val="24"/>
        </w:rPr>
        <w:t xml:space="preserve">O </w:t>
      </w:r>
      <w:r>
        <w:rPr>
          <w:b/>
          <w:spacing w:val="-4"/>
          <w:sz w:val="24"/>
        </w:rPr>
        <w:t>Caso</w:t>
      </w:r>
    </w:p>
    <w:p w:rsidR="007259F2" w:rsidRDefault="00E655B4">
      <w:pPr>
        <w:pStyle w:val="Corpodetexto"/>
        <w:spacing w:before="116"/>
        <w:ind w:left="2" w:right="140"/>
      </w:pPr>
      <w:r>
        <w:t>Trata-se de caso prático que versa sobre transação entre a Municipalidade e a</w:t>
      </w:r>
      <w:r>
        <w:rPr>
          <w:spacing w:val="80"/>
        </w:rPr>
        <w:t xml:space="preserve"> </w:t>
      </w:r>
      <w:r>
        <w:t>COHAB, oriundo de valores relativos a Desapropriação Judicial Direta de glebas para constituição</w:t>
      </w:r>
      <w:r>
        <w:rPr>
          <w:spacing w:val="-1"/>
        </w:rPr>
        <w:t xml:space="preserve"> </w:t>
      </w:r>
      <w:r>
        <w:t>da</w:t>
      </w:r>
      <w:r>
        <w:rPr>
          <w:spacing w:val="-1"/>
        </w:rPr>
        <w:t xml:space="preserve"> </w:t>
      </w:r>
      <w:r>
        <w:rPr>
          <w:b/>
        </w:rPr>
        <w:t>Área</w:t>
      </w:r>
      <w:r>
        <w:rPr>
          <w:b/>
          <w:spacing w:val="-1"/>
        </w:rPr>
        <w:t xml:space="preserve"> </w:t>
      </w:r>
      <w:r>
        <w:rPr>
          <w:b/>
        </w:rPr>
        <w:t>de Proteção</w:t>
      </w:r>
      <w:r>
        <w:rPr>
          <w:b/>
          <w:spacing w:val="-1"/>
        </w:rPr>
        <w:t xml:space="preserve"> </w:t>
      </w:r>
      <w:r>
        <w:rPr>
          <w:b/>
        </w:rPr>
        <w:t>Ambiental Parque</w:t>
      </w:r>
      <w:r>
        <w:rPr>
          <w:b/>
          <w:spacing w:val="-2"/>
        </w:rPr>
        <w:t xml:space="preserve"> </w:t>
      </w:r>
      <w:r>
        <w:rPr>
          <w:b/>
        </w:rPr>
        <w:t>e Fazenda</w:t>
      </w:r>
      <w:r>
        <w:rPr>
          <w:b/>
          <w:spacing w:val="-1"/>
        </w:rPr>
        <w:t xml:space="preserve"> </w:t>
      </w:r>
      <w:r>
        <w:rPr>
          <w:b/>
        </w:rPr>
        <w:t>do</w:t>
      </w:r>
      <w:r>
        <w:rPr>
          <w:b/>
          <w:spacing w:val="-1"/>
        </w:rPr>
        <w:t xml:space="preserve"> </w:t>
      </w:r>
      <w:r>
        <w:rPr>
          <w:b/>
        </w:rPr>
        <w:t>Carmo</w:t>
      </w:r>
      <w:r>
        <w:t>,</w:t>
      </w:r>
      <w:r>
        <w:rPr>
          <w:spacing w:val="-1"/>
        </w:rPr>
        <w:t xml:space="preserve"> </w:t>
      </w:r>
      <w:r>
        <w:t>pela</w:t>
      </w:r>
      <w:r>
        <w:rPr>
          <w:spacing w:val="-1"/>
        </w:rPr>
        <w:t xml:space="preserve"> </w:t>
      </w:r>
      <w:r>
        <w:rPr>
          <w:b/>
        </w:rPr>
        <w:t>Secretaria Municipal do Verde e do Meio Ambiente (SVMA)</w:t>
      </w:r>
      <w:r>
        <w:t>, que figura como proprietária e, de</w:t>
      </w:r>
      <w:r>
        <w:rPr>
          <w:spacing w:val="40"/>
        </w:rPr>
        <w:t xml:space="preserve"> </w:t>
      </w:r>
      <w:r>
        <w:t>outro, de valores devidos a titulo de multa ambiental, ante as lnfrações ambientais praticadas par</w:t>
      </w:r>
      <w:r>
        <w:rPr>
          <w:spacing w:val="-1"/>
        </w:rPr>
        <w:t xml:space="preserve"> </w:t>
      </w:r>
      <w:r>
        <w:t>COHAB</w:t>
      </w:r>
      <w:r>
        <w:rPr>
          <w:spacing w:val="-2"/>
        </w:rPr>
        <w:t xml:space="preserve"> </w:t>
      </w:r>
      <w:r>
        <w:t>nas áreas Mata</w:t>
      </w:r>
      <w:r>
        <w:rPr>
          <w:spacing w:val="-2"/>
        </w:rPr>
        <w:t xml:space="preserve"> </w:t>
      </w:r>
      <w:r>
        <w:t>Sete</w:t>
      </w:r>
      <w:r>
        <w:rPr>
          <w:spacing w:val="-1"/>
        </w:rPr>
        <w:t xml:space="preserve"> </w:t>
      </w:r>
      <w:r>
        <w:t>Cruzes; Cidade</w:t>
      </w:r>
      <w:r>
        <w:rPr>
          <w:spacing w:val="-4"/>
        </w:rPr>
        <w:t xml:space="preserve"> </w:t>
      </w:r>
      <w:r>
        <w:t>Tiradentes; Morro do Cruzeiro; Sao Rafael e Parque Limoeiro do Aricanduva.</w:t>
      </w:r>
    </w:p>
    <w:p w:rsidR="007259F2" w:rsidRDefault="00E655B4">
      <w:pPr>
        <w:pStyle w:val="Corpodetexto"/>
        <w:spacing w:before="120"/>
        <w:ind w:left="2" w:right="144"/>
      </w:pPr>
      <w:r>
        <w:t>Buscar-se-á analisar qual a melhor solução e os conceitos jurídicos envolvidos na pendenga que envolve a Municipalidade de São Paulo e a Empresa COHAB, da</w:t>
      </w:r>
      <w:r>
        <w:rPr>
          <w:spacing w:val="80"/>
        </w:rPr>
        <w:t xml:space="preserve"> </w:t>
      </w:r>
      <w:r>
        <w:t>administração indireta também da Municipalidade de São Paulo.</w:t>
      </w:r>
    </w:p>
    <w:p w:rsidR="007259F2" w:rsidRDefault="00E655B4">
      <w:pPr>
        <w:pStyle w:val="Corpodetexto"/>
        <w:spacing w:before="1"/>
        <w:ind w:left="2" w:right="143"/>
      </w:pPr>
      <w:r>
        <w:t>O caso teve inicio com o nascimento de uma obrigação de pagamento pela desapropriação de glebas para constituição da Área de Proteção Ambiental Parque e Fazenda do Carmo, matrículas originárias: nº 49.526, nº 36.729 e nº 42038, do 9º C.R.I, que foram transformadas nas matrículas nºs.: 234.095 e 234.096; cujas certidões imobiliárias ficam fazendo parte integrante deste.</w:t>
      </w:r>
    </w:p>
    <w:p w:rsidR="007259F2" w:rsidRDefault="00E655B4">
      <w:pPr>
        <w:pStyle w:val="Corpodetexto"/>
        <w:ind w:left="2" w:right="138"/>
      </w:pPr>
      <w:r>
        <w:t>A Municipalidade de São Paulo propôs a ação judicial de desapropriação judicial</w:t>
      </w:r>
      <w:r>
        <w:rPr>
          <w:spacing w:val="40"/>
        </w:rPr>
        <w:t xml:space="preserve"> </w:t>
      </w:r>
      <w:r>
        <w:t>direta para a desapropriação dessa área, processo - autos nº 0125695- 24.2008.8.26.0053, que tramitou pela 2ª Vara da Fazenda Pública da Capital, para a expropriação parcial de três imóveis rurais, contíguos, pertencentes à Companhia Metropolitana de Habitação de São</w:t>
      </w:r>
      <w:r>
        <w:rPr>
          <w:spacing w:val="40"/>
        </w:rPr>
        <w:t xml:space="preserve"> </w:t>
      </w:r>
      <w:r>
        <w:t>Paulo – COHAB-SP, os quais somam 5.237.438,31 m2; cujas plantas e memoriais descritivos ficam fazendo parte integrante deste acordo.</w:t>
      </w:r>
    </w:p>
    <w:p w:rsidR="007259F2" w:rsidRDefault="00E655B4">
      <w:pPr>
        <w:pStyle w:val="Corpodetexto"/>
        <w:ind w:left="2" w:right="143"/>
      </w:pPr>
      <w:r>
        <w:t>Ainda no início do processo as partes alcançaram um acordo para extinguir a demanda (fls. 1.631/1.638 do processo em comento), sob a condição de pagamento de indenização em três parcelas, cuja soma equivale a oferta administrativa; a primeira de R$ 25.067.498,00 na data de homologação do acordo; as demais de R$ 1.155.033,15 e R$ 12.000.000,00, nas datas de 30/11/2008 e 30/12/2008, respectivamente.</w:t>
      </w:r>
    </w:p>
    <w:p w:rsidR="007259F2" w:rsidRDefault="00E655B4">
      <w:pPr>
        <w:pStyle w:val="Corpodetexto"/>
        <w:spacing w:before="1"/>
        <w:ind w:left="2" w:right="143"/>
      </w:pPr>
      <w:r>
        <w:t xml:space="preserve">Destaca-se que o Juízo de primeira instância (2ª VFP) indeferiu a homologação, pois entendeu que a concordância quanto ao valor da indenização excluiria a lide; além disso, defendeu não ser possível homologar quando o valor alcançado pelo Perito Judicial se distanciaria do acordado (R$ 173.586.000,00), pois o caráter de valor incontroverso da causa, que valeria também para o juiz, seria afastado. Não haveria, dessa forma, interesse de agir e possibilidade jurídica do pedido, o que o levou a extinguir o processo sem julgamento do </w:t>
      </w:r>
      <w:r>
        <w:rPr>
          <w:spacing w:val="-2"/>
        </w:rPr>
        <w:t>mérito.</w:t>
      </w:r>
    </w:p>
    <w:p w:rsidR="007259F2" w:rsidRDefault="00E655B4">
      <w:pPr>
        <w:pStyle w:val="Corpodetexto"/>
        <w:ind w:left="2" w:right="139"/>
      </w:pPr>
      <w:r>
        <w:t>Tal decisão foi alterada em segunda instância pela 5ª Turma de Direito Público do E. Tribunal de Justiça do Estado de São Paulo, restabelecendo o acordo entre a COHAB-SP e a Municipalidade de São Paulo, em que ficou acordado o pagamento do valor total de R$ 38.222.531,15 até dezembro de 2008, pela desapropriação da área.</w:t>
      </w:r>
    </w:p>
    <w:p w:rsidR="007259F2" w:rsidRDefault="00DE6B1C">
      <w:pPr>
        <w:pStyle w:val="Corpodetexto"/>
        <w:spacing w:before="16"/>
        <w:ind w:left="0" w:firstLine="0"/>
        <w:jc w:val="left"/>
        <w:rPr>
          <w:sz w:val="20"/>
        </w:rPr>
      </w:pPr>
      <w:r w:rsidRPr="00DE6B1C">
        <w:rPr>
          <w:sz w:val="20"/>
        </w:rPr>
        <w:pict>
          <v:rect id="docshape200" o:spid="_x0000_s1031" style="position:absolute;margin-left:85.1pt;margin-top:13.55pt;width:2in;height:.7pt;z-index:-15636992;mso-wrap-distance-left:0;mso-wrap-distance-right:0;mso-position-horizontal-relative:page" fillcolor="black" stroked="f">
            <w10:wrap type="topAndBottom" anchorx="page"/>
          </v:rect>
        </w:pict>
      </w:r>
    </w:p>
    <w:p w:rsidR="007259F2" w:rsidRDefault="00E655B4">
      <w:pPr>
        <w:spacing w:before="96"/>
        <w:ind w:left="2"/>
        <w:rPr>
          <w:sz w:val="20"/>
        </w:rPr>
      </w:pPr>
      <w:r>
        <w:rPr>
          <w:sz w:val="20"/>
          <w:vertAlign w:val="superscript"/>
        </w:rPr>
        <w:t>1</w:t>
      </w:r>
      <w:r>
        <w:rPr>
          <w:spacing w:val="24"/>
          <w:sz w:val="20"/>
        </w:rPr>
        <w:t xml:space="preserve"> </w:t>
      </w:r>
      <w:r>
        <w:rPr>
          <w:sz w:val="20"/>
        </w:rPr>
        <w:t>Residente</w:t>
      </w:r>
      <w:r>
        <w:rPr>
          <w:spacing w:val="27"/>
          <w:sz w:val="20"/>
        </w:rPr>
        <w:t xml:space="preserve"> </w:t>
      </w:r>
      <w:r>
        <w:rPr>
          <w:sz w:val="20"/>
        </w:rPr>
        <w:t>jurídico</w:t>
      </w:r>
      <w:r>
        <w:rPr>
          <w:spacing w:val="30"/>
          <w:sz w:val="20"/>
        </w:rPr>
        <w:t xml:space="preserve"> </w:t>
      </w:r>
      <w:r>
        <w:rPr>
          <w:sz w:val="20"/>
        </w:rPr>
        <w:t>do</w:t>
      </w:r>
      <w:r>
        <w:rPr>
          <w:spacing w:val="30"/>
          <w:sz w:val="20"/>
        </w:rPr>
        <w:t xml:space="preserve"> </w:t>
      </w:r>
      <w:r>
        <w:rPr>
          <w:sz w:val="20"/>
        </w:rPr>
        <w:t>Programa</w:t>
      </w:r>
      <w:r>
        <w:rPr>
          <w:spacing w:val="29"/>
          <w:sz w:val="20"/>
        </w:rPr>
        <w:t xml:space="preserve"> </w:t>
      </w:r>
      <w:r>
        <w:rPr>
          <w:sz w:val="20"/>
        </w:rPr>
        <w:t>de</w:t>
      </w:r>
      <w:r>
        <w:rPr>
          <w:spacing w:val="32"/>
          <w:sz w:val="20"/>
        </w:rPr>
        <w:t xml:space="preserve"> </w:t>
      </w:r>
      <w:r>
        <w:rPr>
          <w:sz w:val="20"/>
        </w:rPr>
        <w:t>Residência</w:t>
      </w:r>
      <w:r>
        <w:rPr>
          <w:spacing w:val="29"/>
          <w:sz w:val="20"/>
        </w:rPr>
        <w:t xml:space="preserve"> </w:t>
      </w:r>
      <w:r>
        <w:rPr>
          <w:sz w:val="20"/>
        </w:rPr>
        <w:t>Jurídica</w:t>
      </w:r>
      <w:r>
        <w:rPr>
          <w:spacing w:val="32"/>
          <w:sz w:val="20"/>
        </w:rPr>
        <w:t xml:space="preserve"> </w:t>
      </w:r>
      <w:r>
        <w:rPr>
          <w:sz w:val="20"/>
        </w:rPr>
        <w:t>da</w:t>
      </w:r>
      <w:r>
        <w:rPr>
          <w:spacing w:val="29"/>
          <w:sz w:val="20"/>
        </w:rPr>
        <w:t xml:space="preserve"> </w:t>
      </w:r>
      <w:r>
        <w:rPr>
          <w:sz w:val="20"/>
        </w:rPr>
        <w:t>Procuradoria</w:t>
      </w:r>
      <w:r>
        <w:rPr>
          <w:spacing w:val="33"/>
          <w:sz w:val="20"/>
        </w:rPr>
        <w:t xml:space="preserve"> </w:t>
      </w:r>
      <w:r>
        <w:rPr>
          <w:sz w:val="20"/>
        </w:rPr>
        <w:t>Geral</w:t>
      </w:r>
      <w:r>
        <w:rPr>
          <w:spacing w:val="29"/>
          <w:sz w:val="20"/>
        </w:rPr>
        <w:t xml:space="preserve"> </w:t>
      </w:r>
      <w:r>
        <w:rPr>
          <w:sz w:val="20"/>
        </w:rPr>
        <w:t>do</w:t>
      </w:r>
      <w:r>
        <w:rPr>
          <w:spacing w:val="30"/>
          <w:sz w:val="20"/>
        </w:rPr>
        <w:t xml:space="preserve"> </w:t>
      </w:r>
      <w:r>
        <w:rPr>
          <w:sz w:val="20"/>
        </w:rPr>
        <w:t>Município</w:t>
      </w:r>
      <w:r>
        <w:rPr>
          <w:spacing w:val="30"/>
          <w:sz w:val="20"/>
        </w:rPr>
        <w:t xml:space="preserve"> </w:t>
      </w:r>
      <w:r>
        <w:rPr>
          <w:sz w:val="20"/>
        </w:rPr>
        <w:t>de</w:t>
      </w:r>
      <w:r>
        <w:rPr>
          <w:spacing w:val="29"/>
          <w:sz w:val="20"/>
        </w:rPr>
        <w:t xml:space="preserve"> </w:t>
      </w:r>
      <w:r>
        <w:rPr>
          <w:sz w:val="20"/>
        </w:rPr>
        <w:t>São</w:t>
      </w:r>
      <w:r>
        <w:rPr>
          <w:spacing w:val="30"/>
          <w:sz w:val="20"/>
        </w:rPr>
        <w:t xml:space="preserve"> </w:t>
      </w:r>
      <w:r>
        <w:rPr>
          <w:sz w:val="20"/>
        </w:rPr>
        <w:t xml:space="preserve">Paulo, alocado na Secretaria Municipal de Verde e Meio Ambiente – SVMA. E-mail: </w:t>
      </w:r>
      <w:hyperlink r:id="rId465">
        <w:r>
          <w:rPr>
            <w:sz w:val="20"/>
          </w:rPr>
          <w:t>vmanosalvaadv@gmail.com</w:t>
        </w:r>
      </w:hyperlink>
    </w:p>
    <w:p w:rsidR="007259F2" w:rsidRDefault="007259F2">
      <w:pPr>
        <w:rPr>
          <w:sz w:val="20"/>
        </w:rPr>
        <w:sectPr w:rsidR="007259F2">
          <w:footerReference w:type="default" r:id="rId466"/>
          <w:pgSz w:w="11920" w:h="16850"/>
          <w:pgMar w:top="1620" w:right="992" w:bottom="280" w:left="1700" w:header="0" w:footer="0" w:gutter="0"/>
          <w:cols w:space="720"/>
        </w:sectPr>
      </w:pPr>
    </w:p>
    <w:p w:rsidR="007259F2" w:rsidRDefault="00E655B4">
      <w:pPr>
        <w:pStyle w:val="Corpodetexto"/>
        <w:spacing w:before="73"/>
        <w:ind w:left="2" w:right="142"/>
      </w:pPr>
      <w:r>
        <w:lastRenderedPageBreak/>
        <w:t xml:space="preserve">A SVMA, por sua vez, a fim de reduzir o valor a ser pago, selecionou casos nos quais COHAB-SP figuraria como a devedora da Municipalidade de São Paulo, ante o passivo ambiental em face dos danos causados provocados ao municipio pela empresa de habitação </w:t>
      </w:r>
      <w:r>
        <w:rPr>
          <w:spacing w:val="-2"/>
        </w:rPr>
        <w:t>COHAB.</w:t>
      </w:r>
    </w:p>
    <w:p w:rsidR="007259F2" w:rsidRDefault="00E655B4">
      <w:pPr>
        <w:pStyle w:val="Corpodetexto"/>
        <w:ind w:left="2" w:right="147"/>
      </w:pPr>
      <w:r>
        <w:t>A partir dessa exigência de compensação ambiental o pagamento não fora feito nos prazos previstos no acordo homologado pelo Poder Judiciário.</w:t>
      </w:r>
    </w:p>
    <w:p w:rsidR="007259F2" w:rsidRDefault="00E655B4">
      <w:pPr>
        <w:ind w:left="2" w:right="143" w:firstLine="707"/>
        <w:jc w:val="right"/>
        <w:rPr>
          <w:sz w:val="24"/>
        </w:rPr>
      </w:pPr>
      <w:r>
        <w:rPr>
          <w:sz w:val="24"/>
        </w:rPr>
        <w:t>Em</w:t>
      </w:r>
      <w:r>
        <w:rPr>
          <w:spacing w:val="-1"/>
          <w:sz w:val="24"/>
        </w:rPr>
        <w:t xml:space="preserve"> </w:t>
      </w:r>
      <w:r>
        <w:rPr>
          <w:sz w:val="24"/>
        </w:rPr>
        <w:t>decorrência</w:t>
      </w:r>
      <w:r>
        <w:rPr>
          <w:spacing w:val="-2"/>
          <w:sz w:val="24"/>
        </w:rPr>
        <w:t xml:space="preserve"> </w:t>
      </w:r>
      <w:r>
        <w:rPr>
          <w:sz w:val="24"/>
        </w:rPr>
        <w:t>do</w:t>
      </w:r>
      <w:r>
        <w:rPr>
          <w:spacing w:val="-1"/>
          <w:sz w:val="24"/>
        </w:rPr>
        <w:t xml:space="preserve"> </w:t>
      </w:r>
      <w:r>
        <w:rPr>
          <w:sz w:val="24"/>
        </w:rPr>
        <w:t>tempo</w:t>
      </w:r>
      <w:r>
        <w:rPr>
          <w:spacing w:val="-1"/>
          <w:sz w:val="24"/>
        </w:rPr>
        <w:t xml:space="preserve"> </w:t>
      </w:r>
      <w:r>
        <w:rPr>
          <w:sz w:val="24"/>
        </w:rPr>
        <w:t>decorrido,</w:t>
      </w:r>
      <w:r>
        <w:rPr>
          <w:spacing w:val="-2"/>
          <w:sz w:val="24"/>
        </w:rPr>
        <w:t xml:space="preserve"> </w:t>
      </w:r>
      <w:r>
        <w:rPr>
          <w:sz w:val="24"/>
        </w:rPr>
        <w:t>a</w:t>
      </w:r>
      <w:r>
        <w:rPr>
          <w:spacing w:val="-2"/>
          <w:sz w:val="24"/>
        </w:rPr>
        <w:t xml:space="preserve"> </w:t>
      </w:r>
      <w:r>
        <w:rPr>
          <w:sz w:val="24"/>
        </w:rPr>
        <w:t>controvérsia</w:t>
      </w:r>
      <w:r>
        <w:rPr>
          <w:spacing w:val="-2"/>
          <w:sz w:val="24"/>
        </w:rPr>
        <w:t xml:space="preserve"> </w:t>
      </w:r>
      <w:r>
        <w:rPr>
          <w:sz w:val="24"/>
        </w:rPr>
        <w:t>foi</w:t>
      </w:r>
      <w:r>
        <w:rPr>
          <w:spacing w:val="-2"/>
          <w:sz w:val="24"/>
        </w:rPr>
        <w:t xml:space="preserve"> </w:t>
      </w:r>
      <w:r>
        <w:rPr>
          <w:sz w:val="24"/>
        </w:rPr>
        <w:t>enviada</w:t>
      </w:r>
      <w:r>
        <w:rPr>
          <w:spacing w:val="-3"/>
          <w:sz w:val="24"/>
        </w:rPr>
        <w:t xml:space="preserve"> </w:t>
      </w:r>
      <w:r>
        <w:rPr>
          <w:sz w:val="24"/>
        </w:rPr>
        <w:t>para</w:t>
      </w:r>
      <w:r>
        <w:rPr>
          <w:spacing w:val="-3"/>
          <w:sz w:val="24"/>
        </w:rPr>
        <w:t xml:space="preserve"> </w:t>
      </w:r>
      <w:r>
        <w:rPr>
          <w:sz w:val="24"/>
        </w:rPr>
        <w:t>a</w:t>
      </w:r>
      <w:r>
        <w:rPr>
          <w:spacing w:val="-2"/>
          <w:sz w:val="24"/>
        </w:rPr>
        <w:t xml:space="preserve"> </w:t>
      </w:r>
      <w:r>
        <w:rPr>
          <w:sz w:val="24"/>
        </w:rPr>
        <w:t>presente</w:t>
      </w:r>
      <w:r>
        <w:rPr>
          <w:spacing w:val="-2"/>
          <w:sz w:val="24"/>
        </w:rPr>
        <w:t xml:space="preserve"> </w:t>
      </w:r>
      <w:r>
        <w:rPr>
          <w:sz w:val="24"/>
        </w:rPr>
        <w:t xml:space="preserve">solução consensual entre as partes, através da </w:t>
      </w:r>
      <w:r>
        <w:rPr>
          <w:b/>
          <w:sz w:val="24"/>
        </w:rPr>
        <w:t>Câmara de Solução de Conflitos da Administração</w:t>
      </w:r>
      <w:r>
        <w:rPr>
          <w:b/>
          <w:spacing w:val="40"/>
          <w:sz w:val="24"/>
        </w:rPr>
        <w:t xml:space="preserve"> </w:t>
      </w:r>
      <w:r>
        <w:rPr>
          <w:b/>
          <w:sz w:val="24"/>
        </w:rPr>
        <w:t>Municipal, órgao integrante da estrutura da Procuradoria Geral do Município de São</w:t>
      </w:r>
      <w:r>
        <w:rPr>
          <w:b/>
          <w:spacing w:val="80"/>
          <w:sz w:val="24"/>
        </w:rPr>
        <w:t xml:space="preserve"> </w:t>
      </w:r>
      <w:r>
        <w:rPr>
          <w:b/>
          <w:sz w:val="24"/>
        </w:rPr>
        <w:t>Paulo</w:t>
      </w:r>
      <w:r>
        <w:rPr>
          <w:b/>
          <w:spacing w:val="-1"/>
          <w:sz w:val="24"/>
        </w:rPr>
        <w:t xml:space="preserve"> </w:t>
      </w:r>
      <w:r>
        <w:rPr>
          <w:b/>
          <w:sz w:val="24"/>
        </w:rPr>
        <w:t>-</w:t>
      </w:r>
      <w:r>
        <w:rPr>
          <w:b/>
          <w:spacing w:val="1"/>
          <w:sz w:val="24"/>
        </w:rPr>
        <w:t xml:space="preserve"> </w:t>
      </w:r>
      <w:r>
        <w:rPr>
          <w:b/>
          <w:sz w:val="24"/>
        </w:rPr>
        <w:t>PGM</w:t>
      </w:r>
      <w:r>
        <w:rPr>
          <w:sz w:val="24"/>
        </w:rPr>
        <w:t>,</w:t>
      </w:r>
      <w:r>
        <w:rPr>
          <w:spacing w:val="-1"/>
          <w:sz w:val="24"/>
        </w:rPr>
        <w:t xml:space="preserve"> </w:t>
      </w:r>
      <w:r>
        <w:rPr>
          <w:sz w:val="24"/>
        </w:rPr>
        <w:t>prevista</w:t>
      </w:r>
      <w:r>
        <w:rPr>
          <w:spacing w:val="-1"/>
          <w:sz w:val="24"/>
        </w:rPr>
        <w:t xml:space="preserve"> </w:t>
      </w:r>
      <w:r>
        <w:rPr>
          <w:sz w:val="24"/>
        </w:rPr>
        <w:t>no art.</w:t>
      </w:r>
      <w:r>
        <w:rPr>
          <w:spacing w:val="-1"/>
          <w:sz w:val="24"/>
        </w:rPr>
        <w:t xml:space="preserve"> </w:t>
      </w:r>
      <w:r>
        <w:rPr>
          <w:sz w:val="24"/>
        </w:rPr>
        <w:t>33 do Decreto</w:t>
      </w:r>
      <w:r>
        <w:rPr>
          <w:spacing w:val="-1"/>
          <w:sz w:val="24"/>
        </w:rPr>
        <w:t xml:space="preserve"> </w:t>
      </w:r>
      <w:r>
        <w:rPr>
          <w:sz w:val="24"/>
        </w:rPr>
        <w:t>M u</w:t>
      </w:r>
      <w:r>
        <w:rPr>
          <w:spacing w:val="1"/>
          <w:sz w:val="24"/>
        </w:rPr>
        <w:t xml:space="preserve"> </w:t>
      </w:r>
      <w:r>
        <w:rPr>
          <w:sz w:val="24"/>
        </w:rPr>
        <w:t>n i c</w:t>
      </w:r>
      <w:r>
        <w:rPr>
          <w:spacing w:val="-1"/>
          <w:sz w:val="24"/>
        </w:rPr>
        <w:t xml:space="preserve"> </w:t>
      </w:r>
      <w:r>
        <w:rPr>
          <w:sz w:val="24"/>
        </w:rPr>
        <w:t>i p</w:t>
      </w:r>
      <w:r>
        <w:rPr>
          <w:spacing w:val="-1"/>
          <w:sz w:val="24"/>
        </w:rPr>
        <w:t xml:space="preserve"> </w:t>
      </w:r>
      <w:r>
        <w:rPr>
          <w:sz w:val="24"/>
        </w:rPr>
        <w:t>a</w:t>
      </w:r>
      <w:r>
        <w:rPr>
          <w:spacing w:val="-1"/>
          <w:sz w:val="24"/>
        </w:rPr>
        <w:t xml:space="preserve"> </w:t>
      </w:r>
      <w:r>
        <w:rPr>
          <w:sz w:val="24"/>
        </w:rPr>
        <w:t>l 57.263,</w:t>
      </w:r>
      <w:r>
        <w:rPr>
          <w:spacing w:val="-1"/>
          <w:sz w:val="24"/>
        </w:rPr>
        <w:t xml:space="preserve"> </w:t>
      </w:r>
      <w:r>
        <w:rPr>
          <w:sz w:val="24"/>
        </w:rPr>
        <w:t>de 29</w:t>
      </w:r>
      <w:r>
        <w:rPr>
          <w:spacing w:val="1"/>
          <w:sz w:val="24"/>
        </w:rPr>
        <w:t xml:space="preserve"> </w:t>
      </w:r>
      <w:r>
        <w:rPr>
          <w:sz w:val="24"/>
        </w:rPr>
        <w:t>de</w:t>
      </w:r>
      <w:r>
        <w:rPr>
          <w:spacing w:val="-2"/>
          <w:sz w:val="24"/>
        </w:rPr>
        <w:t xml:space="preserve"> </w:t>
      </w:r>
      <w:r>
        <w:rPr>
          <w:sz w:val="24"/>
        </w:rPr>
        <w:t>agosto de</w:t>
      </w:r>
      <w:r>
        <w:rPr>
          <w:spacing w:val="-1"/>
          <w:sz w:val="24"/>
        </w:rPr>
        <w:t xml:space="preserve"> </w:t>
      </w:r>
      <w:r>
        <w:rPr>
          <w:spacing w:val="-2"/>
          <w:sz w:val="24"/>
        </w:rPr>
        <w:t>2016.</w:t>
      </w:r>
    </w:p>
    <w:p w:rsidR="007259F2" w:rsidRDefault="00E655B4">
      <w:pPr>
        <w:pStyle w:val="Corpodetexto"/>
        <w:spacing w:before="1"/>
        <w:ind w:left="2" w:right="144"/>
      </w:pPr>
      <w:r>
        <w:t>A COHAB-SP, por sua vez, apresentou o valor atualizado do débito, sendo utilizada a tabela prática do TJSP; e a dívida que em 2008 era de R$ 38.222.631,15 se tornou, até agosto de 2023, R$ 94.206.223,45 (noventa e quatro milhões, duzentos e seis mil duzentos e vinte e três reais e quarenta e cinco centavos).</w:t>
      </w:r>
    </w:p>
    <w:p w:rsidR="007259F2" w:rsidRDefault="00E655B4">
      <w:pPr>
        <w:pStyle w:val="Corpodetexto"/>
        <w:ind w:left="2" w:right="141"/>
      </w:pPr>
      <w:r>
        <w:t>A Municipalidade de São Paulo, de sua parte, apresentou os valores devidos pela COHAB-SP a SVMA a título de Termo de Compensação Ambiental - TCAs, que, conforme tabelas apresentadas por CFA/SVMA</w:t>
      </w:r>
      <w:r>
        <w:rPr>
          <w:spacing w:val="-7"/>
        </w:rPr>
        <w:t xml:space="preserve"> </w:t>
      </w:r>
      <w:r>
        <w:t>e</w:t>
      </w:r>
      <w:r>
        <w:rPr>
          <w:spacing w:val="-7"/>
        </w:rPr>
        <w:t xml:space="preserve"> </w:t>
      </w:r>
      <w:r>
        <w:t>AJ/SVMA, totalizam o valor de R$ 3.249.386,96;</w:t>
      </w:r>
    </w:p>
    <w:p w:rsidR="007259F2" w:rsidRDefault="00E655B4">
      <w:pPr>
        <w:pStyle w:val="Corpodetexto"/>
        <w:ind w:left="2" w:right="140"/>
      </w:pPr>
      <w:r>
        <w:t>A Municipalidade de São Paulo apresentou ainda os seguintes autos de multas por infrações ambientais: A) Cadastro do Auto de Multa nº 67.014.691-9 e respectivo Auto de lnfração nº 046331, por força do artigo 66, do Decreto Federal nº 6.514/08, no valor de R$ 18.479.360,00 (dezoito milhões, quatrocentos e setenta e nove mil e trezentos e sessenta</w:t>
      </w:r>
      <w:r>
        <w:rPr>
          <w:spacing w:val="40"/>
        </w:rPr>
        <w:t xml:space="preserve"> </w:t>
      </w:r>
      <w:r>
        <w:t>reais); B) Cadastramento do Auto de Multa nº 67.014.690-1 e respectivo Auto de infração nº 046193, por força do artigo 66, do Decreto Federal nº 6.514/08, no valor de 232.710,00 (duzentos e trinta e dois mil, setecentos e dez reais); C) Cadastramento do Auto de Multa nº 67.014.687-7 e respectivo Auto de infração nº 046194, por força do artigo 66, do Decreto Federal</w:t>
      </w:r>
      <w:r>
        <w:rPr>
          <w:spacing w:val="13"/>
        </w:rPr>
        <w:t xml:space="preserve"> </w:t>
      </w:r>
      <w:r>
        <w:t>nº</w:t>
      </w:r>
      <w:r>
        <w:rPr>
          <w:spacing w:val="16"/>
        </w:rPr>
        <w:t xml:space="preserve"> </w:t>
      </w:r>
      <w:r>
        <w:t>6.514/08,</w:t>
      </w:r>
      <w:r>
        <w:rPr>
          <w:spacing w:val="14"/>
        </w:rPr>
        <w:t xml:space="preserve"> </w:t>
      </w:r>
      <w:r>
        <w:t>no</w:t>
      </w:r>
      <w:r>
        <w:rPr>
          <w:spacing w:val="15"/>
        </w:rPr>
        <w:t xml:space="preserve"> </w:t>
      </w:r>
      <w:r>
        <w:t>valor</w:t>
      </w:r>
      <w:r>
        <w:rPr>
          <w:spacing w:val="13"/>
        </w:rPr>
        <w:t xml:space="preserve"> </w:t>
      </w:r>
      <w:r>
        <w:t>de</w:t>
      </w:r>
      <w:r>
        <w:rPr>
          <w:spacing w:val="15"/>
        </w:rPr>
        <w:t xml:space="preserve"> </w:t>
      </w:r>
      <w:r>
        <w:t>R$</w:t>
      </w:r>
      <w:r>
        <w:rPr>
          <w:spacing w:val="14"/>
        </w:rPr>
        <w:t xml:space="preserve"> </w:t>
      </w:r>
      <w:r>
        <w:t>20.875,00</w:t>
      </w:r>
      <w:r>
        <w:rPr>
          <w:spacing w:val="13"/>
        </w:rPr>
        <w:t xml:space="preserve"> </w:t>
      </w:r>
      <w:r>
        <w:t>(vinte</w:t>
      </w:r>
      <w:r>
        <w:rPr>
          <w:spacing w:val="13"/>
        </w:rPr>
        <w:t xml:space="preserve"> </w:t>
      </w:r>
      <w:r>
        <w:t>mil,</w:t>
      </w:r>
      <w:r>
        <w:rPr>
          <w:spacing w:val="14"/>
        </w:rPr>
        <w:t xml:space="preserve"> </w:t>
      </w:r>
      <w:r>
        <w:t>oitocentos</w:t>
      </w:r>
      <w:r>
        <w:rPr>
          <w:spacing w:val="14"/>
        </w:rPr>
        <w:t xml:space="preserve"> </w:t>
      </w:r>
      <w:r>
        <w:t>e</w:t>
      </w:r>
      <w:r>
        <w:rPr>
          <w:spacing w:val="12"/>
        </w:rPr>
        <w:t xml:space="preserve"> </w:t>
      </w:r>
      <w:r>
        <w:t>setenta</w:t>
      </w:r>
      <w:r>
        <w:rPr>
          <w:spacing w:val="13"/>
        </w:rPr>
        <w:t xml:space="preserve"> </w:t>
      </w:r>
      <w:r>
        <w:t>e</w:t>
      </w:r>
      <w:r>
        <w:rPr>
          <w:spacing w:val="15"/>
        </w:rPr>
        <w:t xml:space="preserve"> </w:t>
      </w:r>
      <w:r>
        <w:t>cinco</w:t>
      </w:r>
      <w:r>
        <w:rPr>
          <w:spacing w:val="16"/>
        </w:rPr>
        <w:t xml:space="preserve"> </w:t>
      </w:r>
      <w:r>
        <w:rPr>
          <w:spacing w:val="-2"/>
        </w:rPr>
        <w:t>reais);</w:t>
      </w:r>
    </w:p>
    <w:p w:rsidR="007259F2" w:rsidRDefault="00E655B4">
      <w:pPr>
        <w:pStyle w:val="Corpodetexto"/>
        <w:ind w:left="2" w:right="137" w:firstLine="0"/>
      </w:pPr>
      <w:r>
        <w:t>D)</w:t>
      </w:r>
      <w:r>
        <w:rPr>
          <w:spacing w:val="-4"/>
        </w:rPr>
        <w:t xml:space="preserve"> </w:t>
      </w:r>
      <w:r>
        <w:t>Cadastramento</w:t>
      </w:r>
      <w:r>
        <w:rPr>
          <w:spacing w:val="-2"/>
        </w:rPr>
        <w:t xml:space="preserve"> </w:t>
      </w:r>
      <w:r>
        <w:t>do</w:t>
      </w:r>
      <w:r>
        <w:rPr>
          <w:spacing w:val="-13"/>
        </w:rPr>
        <w:t xml:space="preserve"> </w:t>
      </w:r>
      <w:r>
        <w:t>Auto</w:t>
      </w:r>
      <w:r>
        <w:rPr>
          <w:spacing w:val="-2"/>
        </w:rPr>
        <w:t xml:space="preserve"> </w:t>
      </w:r>
      <w:r>
        <w:t>de</w:t>
      </w:r>
      <w:r>
        <w:rPr>
          <w:spacing w:val="-2"/>
        </w:rPr>
        <w:t xml:space="preserve"> </w:t>
      </w:r>
      <w:r>
        <w:t>Multa</w:t>
      </w:r>
      <w:r>
        <w:rPr>
          <w:spacing w:val="-3"/>
        </w:rPr>
        <w:t xml:space="preserve"> </w:t>
      </w:r>
      <w:r>
        <w:t>nº 67.014.693-5</w:t>
      </w:r>
      <w:r>
        <w:rPr>
          <w:spacing w:val="-2"/>
        </w:rPr>
        <w:t xml:space="preserve"> </w:t>
      </w:r>
      <w:r>
        <w:t>e</w:t>
      </w:r>
      <w:r>
        <w:rPr>
          <w:spacing w:val="-1"/>
        </w:rPr>
        <w:t xml:space="preserve"> </w:t>
      </w:r>
      <w:r>
        <w:t>respectivo</w:t>
      </w:r>
      <w:r>
        <w:rPr>
          <w:spacing w:val="-13"/>
        </w:rPr>
        <w:t xml:space="preserve"> </w:t>
      </w:r>
      <w:r>
        <w:t>Auto</w:t>
      </w:r>
      <w:r>
        <w:rPr>
          <w:spacing w:val="-2"/>
        </w:rPr>
        <w:t xml:space="preserve"> </w:t>
      </w:r>
      <w:r>
        <w:t>de infração</w:t>
      </w:r>
      <w:r>
        <w:rPr>
          <w:spacing w:val="-2"/>
        </w:rPr>
        <w:t xml:space="preserve"> </w:t>
      </w:r>
      <w:r>
        <w:t>nº</w:t>
      </w:r>
      <w:r>
        <w:rPr>
          <w:spacing w:val="-2"/>
        </w:rPr>
        <w:t xml:space="preserve"> </w:t>
      </w:r>
      <w:r>
        <w:t>046196, por</w:t>
      </w:r>
      <w:r>
        <w:rPr>
          <w:spacing w:val="-1"/>
        </w:rPr>
        <w:t xml:space="preserve"> </w:t>
      </w:r>
      <w:r>
        <w:t>força</w:t>
      </w:r>
      <w:r>
        <w:rPr>
          <w:spacing w:val="-1"/>
        </w:rPr>
        <w:t xml:space="preserve"> </w:t>
      </w:r>
      <w:r>
        <w:t>do artigo 66, do Decreto Federal nº 6.514/08, no valor</w:t>
      </w:r>
      <w:r>
        <w:rPr>
          <w:spacing w:val="-1"/>
        </w:rPr>
        <w:t xml:space="preserve"> </w:t>
      </w:r>
      <w:r>
        <w:t>de</w:t>
      </w:r>
      <w:r>
        <w:rPr>
          <w:spacing w:val="-1"/>
        </w:rPr>
        <w:t xml:space="preserve"> </w:t>
      </w:r>
      <w:r>
        <w:t>R$</w:t>
      </w:r>
      <w:r>
        <w:rPr>
          <w:spacing w:val="-3"/>
        </w:rPr>
        <w:t xml:space="preserve"> </w:t>
      </w:r>
      <w:r>
        <w:t>233.795,00 (duzentos e trinta e três mil, setecentos e noventa e cinco reais); E) Cadastramento do Auto de Multa nº 67.014692-7 e respectivo Auto de lnfração nº 046195, por força do Artigo 66 do Decreto Federal nº 6514/08, no valor de R$ 706.950,00 (setecentos e seis mil, novecentos e cinquenta reais); F) Cadastramento do Auto de Multa nº 67.014.688-9 e respectivo Auto de lnfração nº 046197, por força do artigo 25 da Lei Municipal nº 17.794/22, regulamentada pelo Decreto Municipal nº 61.859/22, no valor de R$ 68.538.000,00 (sessenta e oito milhões, quinhentos e trinta</w:t>
      </w:r>
      <w:r>
        <w:rPr>
          <w:spacing w:val="-2"/>
        </w:rPr>
        <w:t xml:space="preserve"> </w:t>
      </w:r>
      <w:r>
        <w:t>e</w:t>
      </w:r>
      <w:r>
        <w:rPr>
          <w:spacing w:val="-2"/>
        </w:rPr>
        <w:t xml:space="preserve"> </w:t>
      </w:r>
      <w:r>
        <w:t>oito</w:t>
      </w:r>
      <w:r>
        <w:rPr>
          <w:spacing w:val="-1"/>
        </w:rPr>
        <w:t xml:space="preserve"> </w:t>
      </w:r>
      <w:r>
        <w:t>mil</w:t>
      </w:r>
      <w:r>
        <w:rPr>
          <w:spacing w:val="-1"/>
        </w:rPr>
        <w:t xml:space="preserve"> </w:t>
      </w:r>
      <w:r>
        <w:t>reais);</w:t>
      </w:r>
      <w:r>
        <w:rPr>
          <w:spacing w:val="-1"/>
        </w:rPr>
        <w:t xml:space="preserve"> </w:t>
      </w:r>
      <w:r>
        <w:t>G)</w:t>
      </w:r>
      <w:r>
        <w:rPr>
          <w:spacing w:val="-1"/>
        </w:rPr>
        <w:t xml:space="preserve"> </w:t>
      </w:r>
      <w:r>
        <w:t>Cadastramento</w:t>
      </w:r>
      <w:r>
        <w:rPr>
          <w:spacing w:val="-1"/>
        </w:rPr>
        <w:t xml:space="preserve"> </w:t>
      </w:r>
      <w:r>
        <w:t>do</w:t>
      </w:r>
      <w:r>
        <w:rPr>
          <w:spacing w:val="-13"/>
        </w:rPr>
        <w:t xml:space="preserve"> </w:t>
      </w:r>
      <w:r>
        <w:t>Auto de</w:t>
      </w:r>
      <w:r>
        <w:rPr>
          <w:spacing w:val="-2"/>
        </w:rPr>
        <w:t xml:space="preserve"> </w:t>
      </w:r>
      <w:r>
        <w:t>Multa</w:t>
      </w:r>
      <w:r>
        <w:rPr>
          <w:spacing w:val="-1"/>
        </w:rPr>
        <w:t xml:space="preserve"> </w:t>
      </w:r>
      <w:r>
        <w:t>n° 67.014.990-0</w:t>
      </w:r>
      <w:r>
        <w:rPr>
          <w:spacing w:val="-1"/>
        </w:rPr>
        <w:t xml:space="preserve"> </w:t>
      </w:r>
      <w:r>
        <w:t>e</w:t>
      </w:r>
      <w:r>
        <w:rPr>
          <w:spacing w:val="-2"/>
        </w:rPr>
        <w:t xml:space="preserve"> </w:t>
      </w:r>
      <w:r>
        <w:t>respectivo</w:t>
      </w:r>
      <w:r>
        <w:rPr>
          <w:spacing w:val="-13"/>
        </w:rPr>
        <w:t xml:space="preserve"> </w:t>
      </w:r>
      <w:r>
        <w:t>Auto de lnfração n° 049329, por força do Art. 66, do Decreto Federal nº 6.514/08, no valor de R$ 10.102.000,00 (dez milhões cento e dois mil reais). H) Cadastramento do Auto de Multa n° 67.014.991-</w:t>
      </w:r>
      <w:r>
        <w:rPr>
          <w:spacing w:val="-2"/>
        </w:rPr>
        <w:t xml:space="preserve"> </w:t>
      </w:r>
      <w:r>
        <w:t>8</w:t>
      </w:r>
      <w:r>
        <w:rPr>
          <w:spacing w:val="-2"/>
        </w:rPr>
        <w:t xml:space="preserve"> </w:t>
      </w:r>
      <w:r>
        <w:t>e</w:t>
      </w:r>
      <w:r>
        <w:rPr>
          <w:spacing w:val="-1"/>
        </w:rPr>
        <w:t xml:space="preserve"> </w:t>
      </w:r>
      <w:r>
        <w:t>respectivo</w:t>
      </w:r>
      <w:r>
        <w:rPr>
          <w:spacing w:val="-13"/>
        </w:rPr>
        <w:t xml:space="preserve"> </w:t>
      </w:r>
      <w:r>
        <w:t>Auto</w:t>
      </w:r>
      <w:r>
        <w:rPr>
          <w:spacing w:val="-2"/>
        </w:rPr>
        <w:t xml:space="preserve"> </w:t>
      </w:r>
      <w:r>
        <w:t>de</w:t>
      </w:r>
      <w:r>
        <w:rPr>
          <w:spacing w:val="-2"/>
        </w:rPr>
        <w:t xml:space="preserve"> </w:t>
      </w:r>
      <w:r>
        <w:t>lnfração</w:t>
      </w:r>
      <w:r>
        <w:rPr>
          <w:spacing w:val="-2"/>
        </w:rPr>
        <w:t xml:space="preserve"> </w:t>
      </w:r>
      <w:r>
        <w:t>n°</w:t>
      </w:r>
      <w:r>
        <w:rPr>
          <w:spacing w:val="-2"/>
        </w:rPr>
        <w:t xml:space="preserve"> </w:t>
      </w:r>
      <w:r>
        <w:t>049330,</w:t>
      </w:r>
      <w:r>
        <w:rPr>
          <w:spacing w:val="-2"/>
        </w:rPr>
        <w:t xml:space="preserve"> </w:t>
      </w:r>
      <w:r>
        <w:t>por</w:t>
      </w:r>
      <w:r>
        <w:rPr>
          <w:spacing w:val="-2"/>
        </w:rPr>
        <w:t xml:space="preserve"> </w:t>
      </w:r>
      <w:r>
        <w:t>força</w:t>
      </w:r>
      <w:r>
        <w:rPr>
          <w:spacing w:val="-1"/>
        </w:rPr>
        <w:t xml:space="preserve"> </w:t>
      </w:r>
      <w:r>
        <w:t>do</w:t>
      </w:r>
      <w:r>
        <w:rPr>
          <w:spacing w:val="-13"/>
        </w:rPr>
        <w:t xml:space="preserve"> </w:t>
      </w:r>
      <w:r>
        <w:t>Art.</w:t>
      </w:r>
      <w:r>
        <w:rPr>
          <w:spacing w:val="-2"/>
        </w:rPr>
        <w:t xml:space="preserve"> </w:t>
      </w:r>
      <w:r>
        <w:t>30,</w:t>
      </w:r>
      <w:r>
        <w:rPr>
          <w:spacing w:val="-2"/>
        </w:rPr>
        <w:t xml:space="preserve"> </w:t>
      </w:r>
      <w:r>
        <w:t>da</w:t>
      </w:r>
      <w:r>
        <w:rPr>
          <w:spacing w:val="-1"/>
        </w:rPr>
        <w:t xml:space="preserve"> </w:t>
      </w:r>
      <w:r>
        <w:t>Lei Municipal n° 17.794/22, no valor de R$ 4.084.000,00 (quatro milhões e oitenta e quatro mil reais), totalizando o valor de 102.397.690,00 (cento e dois milhões, trezentos e noventa e sete mil seiscentos e noventa reais).</w:t>
      </w:r>
    </w:p>
    <w:p w:rsidR="007259F2" w:rsidRDefault="00E655B4">
      <w:pPr>
        <w:pStyle w:val="Heading2"/>
        <w:spacing w:before="205"/>
        <w:ind w:left="2"/>
        <w:jc w:val="left"/>
      </w:pPr>
      <w:r>
        <w:rPr>
          <w:w w:val="105"/>
        </w:rPr>
        <w:t>Perspectiva</w:t>
      </w:r>
      <w:r>
        <w:rPr>
          <w:spacing w:val="-6"/>
          <w:w w:val="105"/>
        </w:rPr>
        <w:t xml:space="preserve"> </w:t>
      </w:r>
      <w:r>
        <w:rPr>
          <w:w w:val="105"/>
        </w:rPr>
        <w:t>de</w:t>
      </w:r>
      <w:r>
        <w:rPr>
          <w:spacing w:val="-6"/>
          <w:w w:val="105"/>
        </w:rPr>
        <w:t xml:space="preserve"> </w:t>
      </w:r>
      <w:r>
        <w:rPr>
          <w:w w:val="105"/>
        </w:rPr>
        <w:t>análise</w:t>
      </w:r>
      <w:r>
        <w:rPr>
          <w:spacing w:val="-6"/>
          <w:w w:val="105"/>
        </w:rPr>
        <w:t xml:space="preserve"> </w:t>
      </w:r>
      <w:r>
        <w:rPr>
          <w:w w:val="105"/>
        </w:rPr>
        <w:t>e</w:t>
      </w:r>
      <w:r>
        <w:rPr>
          <w:spacing w:val="-4"/>
          <w:w w:val="105"/>
        </w:rPr>
        <w:t xml:space="preserve"> </w:t>
      </w:r>
      <w:r>
        <w:rPr>
          <w:w w:val="105"/>
        </w:rPr>
        <w:t>de</w:t>
      </w:r>
      <w:r>
        <w:rPr>
          <w:spacing w:val="-4"/>
          <w:w w:val="105"/>
        </w:rPr>
        <w:t xml:space="preserve"> </w:t>
      </w:r>
      <w:r>
        <w:rPr>
          <w:spacing w:val="-2"/>
          <w:w w:val="105"/>
        </w:rPr>
        <w:t>solução</w:t>
      </w:r>
    </w:p>
    <w:p w:rsidR="007259F2" w:rsidRDefault="00E655B4">
      <w:pPr>
        <w:pStyle w:val="Corpodetexto"/>
        <w:spacing w:before="197"/>
        <w:ind w:left="2" w:right="135"/>
      </w:pPr>
      <w:r>
        <w:rPr>
          <w:w w:val="105"/>
        </w:rPr>
        <w:t>Considerando que as partes integram os quadros da administração municipal - direta e</w:t>
      </w:r>
      <w:r>
        <w:rPr>
          <w:spacing w:val="-1"/>
          <w:w w:val="105"/>
        </w:rPr>
        <w:t xml:space="preserve"> </w:t>
      </w:r>
      <w:r>
        <w:rPr>
          <w:w w:val="105"/>
        </w:rPr>
        <w:t>indireta -</w:t>
      </w:r>
      <w:r>
        <w:rPr>
          <w:spacing w:val="40"/>
          <w:w w:val="105"/>
        </w:rPr>
        <w:t xml:space="preserve"> </w:t>
      </w:r>
      <w:r>
        <w:rPr>
          <w:w w:val="105"/>
        </w:rPr>
        <w:t>e</w:t>
      </w:r>
      <w:r>
        <w:rPr>
          <w:spacing w:val="-2"/>
          <w:w w:val="105"/>
        </w:rPr>
        <w:t xml:space="preserve"> </w:t>
      </w:r>
      <w:r>
        <w:rPr>
          <w:w w:val="105"/>
        </w:rPr>
        <w:t>a via</w:t>
      </w:r>
      <w:r>
        <w:rPr>
          <w:spacing w:val="-2"/>
          <w:w w:val="105"/>
        </w:rPr>
        <w:t xml:space="preserve"> </w:t>
      </w:r>
      <w:r>
        <w:rPr>
          <w:w w:val="105"/>
        </w:rPr>
        <w:t>da</w:t>
      </w:r>
      <w:r>
        <w:rPr>
          <w:spacing w:val="-2"/>
          <w:w w:val="105"/>
        </w:rPr>
        <w:t xml:space="preserve"> </w:t>
      </w:r>
      <w:r>
        <w:rPr>
          <w:w w:val="105"/>
        </w:rPr>
        <w:t>mediação e da conciliação</w:t>
      </w:r>
      <w:r>
        <w:rPr>
          <w:spacing w:val="-3"/>
          <w:w w:val="105"/>
        </w:rPr>
        <w:t xml:space="preserve"> </w:t>
      </w:r>
      <w:r>
        <w:rPr>
          <w:w w:val="105"/>
        </w:rPr>
        <w:t>se</w:t>
      </w:r>
      <w:r>
        <w:rPr>
          <w:spacing w:val="-2"/>
          <w:w w:val="105"/>
        </w:rPr>
        <w:t xml:space="preserve"> </w:t>
      </w:r>
      <w:r>
        <w:rPr>
          <w:w w:val="105"/>
        </w:rPr>
        <w:t xml:space="preserve">mostram adequadas ao presente caso, avalia-se a realização de um </w:t>
      </w:r>
      <w:r>
        <w:rPr>
          <w:b/>
          <w:w w:val="105"/>
        </w:rPr>
        <w:t xml:space="preserve">ACORDO ADMINISTRATIVO, </w:t>
      </w:r>
      <w:r>
        <w:rPr>
          <w:w w:val="105"/>
        </w:rPr>
        <w:t>a fim</w:t>
      </w:r>
      <w:r>
        <w:rPr>
          <w:spacing w:val="40"/>
          <w:w w:val="105"/>
        </w:rPr>
        <w:t xml:space="preserve"> </w:t>
      </w:r>
      <w:r>
        <w:rPr>
          <w:w w:val="105"/>
        </w:rPr>
        <w:t>de</w:t>
      </w:r>
      <w:r>
        <w:rPr>
          <w:spacing w:val="80"/>
          <w:w w:val="105"/>
        </w:rPr>
        <w:t xml:space="preserve"> </w:t>
      </w:r>
      <w:r>
        <w:rPr>
          <w:w w:val="105"/>
        </w:rPr>
        <w:t>formalizar</w:t>
      </w:r>
      <w:r>
        <w:rPr>
          <w:spacing w:val="40"/>
          <w:w w:val="105"/>
        </w:rPr>
        <w:t xml:space="preserve"> </w:t>
      </w:r>
      <w:r>
        <w:rPr>
          <w:w w:val="105"/>
        </w:rPr>
        <w:t>a transmissão de domínio do imóvel em questão a Municipalidade de São Paulo, sem qualquer ônus, gravame, encargos, livre e desembaraçado, sem o pagamento da</w:t>
      </w:r>
      <w:r>
        <w:rPr>
          <w:spacing w:val="18"/>
          <w:w w:val="105"/>
        </w:rPr>
        <w:t xml:space="preserve"> </w:t>
      </w:r>
      <w:r>
        <w:rPr>
          <w:w w:val="105"/>
        </w:rPr>
        <w:t>respectiva</w:t>
      </w:r>
      <w:r>
        <w:rPr>
          <w:spacing w:val="17"/>
          <w:w w:val="105"/>
        </w:rPr>
        <w:t xml:space="preserve"> </w:t>
      </w:r>
      <w:r>
        <w:rPr>
          <w:w w:val="105"/>
        </w:rPr>
        <w:t>indenização</w:t>
      </w:r>
      <w:r>
        <w:rPr>
          <w:spacing w:val="25"/>
          <w:w w:val="105"/>
        </w:rPr>
        <w:t xml:space="preserve"> </w:t>
      </w:r>
      <w:r>
        <w:rPr>
          <w:w w:val="105"/>
        </w:rPr>
        <w:t>oriunda</w:t>
      </w:r>
      <w:r>
        <w:rPr>
          <w:spacing w:val="28"/>
          <w:w w:val="105"/>
        </w:rPr>
        <w:t xml:space="preserve"> </w:t>
      </w:r>
      <w:r>
        <w:rPr>
          <w:w w:val="105"/>
        </w:rPr>
        <w:t>do</w:t>
      </w:r>
      <w:r>
        <w:rPr>
          <w:spacing w:val="25"/>
          <w:w w:val="105"/>
        </w:rPr>
        <w:t xml:space="preserve"> </w:t>
      </w:r>
      <w:r>
        <w:rPr>
          <w:w w:val="105"/>
        </w:rPr>
        <w:t>processo</w:t>
      </w:r>
      <w:r>
        <w:rPr>
          <w:spacing w:val="26"/>
          <w:w w:val="105"/>
        </w:rPr>
        <w:t xml:space="preserve"> </w:t>
      </w:r>
      <w:r>
        <w:rPr>
          <w:w w:val="105"/>
        </w:rPr>
        <w:t>expropriatório,</w:t>
      </w:r>
      <w:r>
        <w:rPr>
          <w:spacing w:val="26"/>
          <w:w w:val="105"/>
        </w:rPr>
        <w:t xml:space="preserve"> </w:t>
      </w:r>
      <w:r>
        <w:rPr>
          <w:w w:val="105"/>
        </w:rPr>
        <w:t>e</w:t>
      </w:r>
      <w:r>
        <w:rPr>
          <w:spacing w:val="28"/>
          <w:w w:val="105"/>
        </w:rPr>
        <w:t xml:space="preserve"> </w:t>
      </w:r>
      <w:r>
        <w:rPr>
          <w:w w:val="105"/>
        </w:rPr>
        <w:t>a</w:t>
      </w:r>
      <w:r>
        <w:rPr>
          <w:spacing w:val="28"/>
          <w:w w:val="105"/>
        </w:rPr>
        <w:t xml:space="preserve"> </w:t>
      </w:r>
      <w:r>
        <w:rPr>
          <w:w w:val="105"/>
        </w:rPr>
        <w:t>COHAB-SP,</w:t>
      </w:r>
      <w:r>
        <w:rPr>
          <w:spacing w:val="26"/>
          <w:w w:val="105"/>
        </w:rPr>
        <w:t xml:space="preserve"> </w:t>
      </w:r>
      <w:r>
        <w:rPr>
          <w:w w:val="105"/>
        </w:rPr>
        <w:t>por</w:t>
      </w:r>
      <w:r>
        <w:rPr>
          <w:spacing w:val="27"/>
          <w:w w:val="105"/>
        </w:rPr>
        <w:t xml:space="preserve"> </w:t>
      </w:r>
      <w:r>
        <w:rPr>
          <w:w w:val="105"/>
        </w:rPr>
        <w:t>sua</w:t>
      </w:r>
    </w:p>
    <w:p w:rsidR="007259F2" w:rsidRDefault="007259F2">
      <w:pPr>
        <w:pStyle w:val="Corpodetexto"/>
        <w:sectPr w:rsidR="007259F2">
          <w:footerReference w:type="default" r:id="rId467"/>
          <w:pgSz w:w="11920" w:h="16850"/>
          <w:pgMar w:top="1620" w:right="992" w:bottom="280" w:left="1700" w:header="0" w:footer="0" w:gutter="0"/>
          <w:cols w:space="720"/>
        </w:sectPr>
      </w:pPr>
    </w:p>
    <w:p w:rsidR="007259F2" w:rsidRDefault="00E655B4">
      <w:pPr>
        <w:pStyle w:val="Corpodetexto"/>
        <w:spacing w:before="73"/>
        <w:ind w:left="2" w:right="140" w:firstLine="0"/>
      </w:pPr>
      <w:r>
        <w:rPr>
          <w:w w:val="105"/>
        </w:rPr>
        <w:lastRenderedPageBreak/>
        <w:t>vez, ficará desobrigada a pagar</w:t>
      </w:r>
      <w:r>
        <w:rPr>
          <w:spacing w:val="40"/>
          <w:w w:val="105"/>
        </w:rPr>
        <w:t xml:space="preserve"> </w:t>
      </w:r>
      <w:r>
        <w:rPr>
          <w:w w:val="105"/>
        </w:rPr>
        <w:t>as</w:t>
      </w:r>
      <w:r>
        <w:rPr>
          <w:spacing w:val="40"/>
          <w:w w:val="105"/>
        </w:rPr>
        <w:t xml:space="preserve"> </w:t>
      </w:r>
      <w:r>
        <w:rPr>
          <w:w w:val="105"/>
        </w:rPr>
        <w:t>multas</w:t>
      </w:r>
      <w:r>
        <w:rPr>
          <w:spacing w:val="40"/>
          <w:w w:val="105"/>
        </w:rPr>
        <w:t xml:space="preserve"> </w:t>
      </w:r>
      <w:r>
        <w:rPr>
          <w:w w:val="105"/>
        </w:rPr>
        <w:t>aplicadas</w:t>
      </w:r>
      <w:r>
        <w:rPr>
          <w:spacing w:val="40"/>
          <w:w w:val="105"/>
        </w:rPr>
        <w:t xml:space="preserve"> </w:t>
      </w:r>
      <w:r>
        <w:rPr>
          <w:w w:val="105"/>
        </w:rPr>
        <w:t>pela</w:t>
      </w:r>
      <w:r>
        <w:rPr>
          <w:spacing w:val="40"/>
          <w:w w:val="105"/>
        </w:rPr>
        <w:t xml:space="preserve"> </w:t>
      </w:r>
      <w:r>
        <w:rPr>
          <w:w w:val="105"/>
        </w:rPr>
        <w:t>Municipalidade</w:t>
      </w:r>
      <w:r>
        <w:rPr>
          <w:spacing w:val="37"/>
          <w:w w:val="105"/>
        </w:rPr>
        <w:t xml:space="preserve"> </w:t>
      </w:r>
      <w:r>
        <w:rPr>
          <w:w w:val="105"/>
        </w:rPr>
        <w:t>de</w:t>
      </w:r>
      <w:r>
        <w:rPr>
          <w:spacing w:val="40"/>
          <w:w w:val="105"/>
        </w:rPr>
        <w:t xml:space="preserve"> </w:t>
      </w:r>
      <w:r>
        <w:rPr>
          <w:w w:val="105"/>
        </w:rPr>
        <w:t>São</w:t>
      </w:r>
      <w:r>
        <w:rPr>
          <w:spacing w:val="40"/>
          <w:w w:val="105"/>
        </w:rPr>
        <w:t xml:space="preserve"> </w:t>
      </w:r>
      <w:r>
        <w:rPr>
          <w:w w:val="105"/>
        </w:rPr>
        <w:t>Paulo a título de autos de infração ambiental, elencadas de A até H, previstas em tópico</w:t>
      </w:r>
      <w:r>
        <w:rPr>
          <w:spacing w:val="40"/>
          <w:w w:val="105"/>
        </w:rPr>
        <w:t xml:space="preserve"> </w:t>
      </w:r>
      <w:r>
        <w:rPr>
          <w:w w:val="105"/>
        </w:rPr>
        <w:t>anterior,</w:t>
      </w:r>
      <w:r>
        <w:rPr>
          <w:spacing w:val="-7"/>
          <w:w w:val="105"/>
        </w:rPr>
        <w:t xml:space="preserve"> </w:t>
      </w:r>
      <w:r>
        <w:rPr>
          <w:w w:val="105"/>
        </w:rPr>
        <w:t>bem</w:t>
      </w:r>
      <w:r>
        <w:rPr>
          <w:spacing w:val="-8"/>
          <w:w w:val="105"/>
        </w:rPr>
        <w:t xml:space="preserve"> </w:t>
      </w:r>
      <w:r>
        <w:rPr>
          <w:w w:val="105"/>
        </w:rPr>
        <w:t>como</w:t>
      </w:r>
      <w:r>
        <w:rPr>
          <w:spacing w:val="-9"/>
          <w:w w:val="105"/>
        </w:rPr>
        <w:t xml:space="preserve"> </w:t>
      </w:r>
      <w:r>
        <w:rPr>
          <w:w w:val="105"/>
        </w:rPr>
        <w:t>será</w:t>
      </w:r>
      <w:r>
        <w:rPr>
          <w:spacing w:val="-2"/>
          <w:w w:val="105"/>
        </w:rPr>
        <w:t xml:space="preserve"> </w:t>
      </w:r>
      <w:r>
        <w:rPr>
          <w:w w:val="105"/>
        </w:rPr>
        <w:t>solucionado</w:t>
      </w:r>
      <w:r>
        <w:rPr>
          <w:spacing w:val="-9"/>
          <w:w w:val="105"/>
        </w:rPr>
        <w:t xml:space="preserve"> </w:t>
      </w:r>
      <w:r>
        <w:rPr>
          <w:w w:val="105"/>
        </w:rPr>
        <w:t>todo</w:t>
      </w:r>
      <w:r>
        <w:rPr>
          <w:spacing w:val="-7"/>
          <w:w w:val="105"/>
        </w:rPr>
        <w:t xml:space="preserve"> </w:t>
      </w:r>
      <w:r>
        <w:rPr>
          <w:w w:val="105"/>
        </w:rPr>
        <w:t>o</w:t>
      </w:r>
      <w:r>
        <w:rPr>
          <w:spacing w:val="-5"/>
          <w:w w:val="105"/>
        </w:rPr>
        <w:t xml:space="preserve"> </w:t>
      </w:r>
      <w:r>
        <w:rPr>
          <w:w w:val="105"/>
        </w:rPr>
        <w:t>passivo</w:t>
      </w:r>
      <w:r>
        <w:rPr>
          <w:spacing w:val="-8"/>
          <w:w w:val="105"/>
        </w:rPr>
        <w:t xml:space="preserve"> </w:t>
      </w:r>
      <w:r>
        <w:rPr>
          <w:w w:val="105"/>
        </w:rPr>
        <w:t>ambiental</w:t>
      </w:r>
      <w:r>
        <w:rPr>
          <w:spacing w:val="-5"/>
          <w:w w:val="105"/>
        </w:rPr>
        <w:t xml:space="preserve"> </w:t>
      </w:r>
      <w:r>
        <w:rPr>
          <w:w w:val="105"/>
        </w:rPr>
        <w:t>provocado por COHAB</w:t>
      </w:r>
      <w:r>
        <w:rPr>
          <w:color w:val="2F2F2F"/>
          <w:w w:val="105"/>
        </w:rPr>
        <w:t>.</w:t>
      </w:r>
    </w:p>
    <w:p w:rsidR="007259F2" w:rsidRDefault="00E655B4">
      <w:pPr>
        <w:pStyle w:val="Heading2"/>
        <w:spacing w:before="206"/>
        <w:ind w:left="2"/>
        <w:jc w:val="left"/>
      </w:pPr>
      <w:r>
        <w:rPr>
          <w:spacing w:val="-2"/>
          <w:w w:val="105"/>
        </w:rPr>
        <w:t>Desenvolvimento</w:t>
      </w:r>
    </w:p>
    <w:p w:rsidR="007259F2" w:rsidRDefault="00E655B4">
      <w:pPr>
        <w:pStyle w:val="Corpodetexto"/>
        <w:spacing w:before="113"/>
        <w:ind w:left="2" w:right="139"/>
      </w:pPr>
      <w:r>
        <w:rPr>
          <w:w w:val="105"/>
        </w:rPr>
        <w:t>Ao</w:t>
      </w:r>
      <w:r>
        <w:rPr>
          <w:spacing w:val="-9"/>
          <w:w w:val="105"/>
        </w:rPr>
        <w:t xml:space="preserve"> </w:t>
      </w:r>
      <w:r>
        <w:rPr>
          <w:w w:val="105"/>
        </w:rPr>
        <w:t>se</w:t>
      </w:r>
      <w:r>
        <w:rPr>
          <w:spacing w:val="-7"/>
          <w:w w:val="105"/>
        </w:rPr>
        <w:t xml:space="preserve"> </w:t>
      </w:r>
      <w:r>
        <w:rPr>
          <w:w w:val="105"/>
        </w:rPr>
        <w:t>analisar</w:t>
      </w:r>
      <w:r>
        <w:rPr>
          <w:spacing w:val="-4"/>
          <w:w w:val="105"/>
        </w:rPr>
        <w:t xml:space="preserve"> </w:t>
      </w:r>
      <w:r>
        <w:rPr>
          <w:w w:val="105"/>
        </w:rPr>
        <w:t>o</w:t>
      </w:r>
      <w:r>
        <w:rPr>
          <w:spacing w:val="-9"/>
          <w:w w:val="105"/>
        </w:rPr>
        <w:t xml:space="preserve"> </w:t>
      </w:r>
      <w:r>
        <w:rPr>
          <w:w w:val="105"/>
        </w:rPr>
        <w:t>caso,</w:t>
      </w:r>
      <w:r>
        <w:rPr>
          <w:spacing w:val="-6"/>
          <w:w w:val="105"/>
        </w:rPr>
        <w:t xml:space="preserve"> </w:t>
      </w:r>
      <w:r>
        <w:rPr>
          <w:w w:val="105"/>
        </w:rPr>
        <w:t>entende-se</w:t>
      </w:r>
      <w:r>
        <w:rPr>
          <w:spacing w:val="-7"/>
          <w:w w:val="105"/>
        </w:rPr>
        <w:t xml:space="preserve"> </w:t>
      </w:r>
      <w:r>
        <w:rPr>
          <w:w w:val="105"/>
        </w:rPr>
        <w:t>que</w:t>
      </w:r>
      <w:r>
        <w:rPr>
          <w:spacing w:val="-5"/>
          <w:w w:val="105"/>
        </w:rPr>
        <w:t xml:space="preserve"> </w:t>
      </w:r>
      <w:r>
        <w:rPr>
          <w:w w:val="105"/>
        </w:rPr>
        <w:t>a</w:t>
      </w:r>
      <w:r>
        <w:rPr>
          <w:spacing w:val="-5"/>
          <w:w w:val="105"/>
        </w:rPr>
        <w:t xml:space="preserve"> </w:t>
      </w:r>
      <w:r>
        <w:rPr>
          <w:w w:val="105"/>
        </w:rPr>
        <w:t>melhor</w:t>
      </w:r>
      <w:r>
        <w:rPr>
          <w:spacing w:val="-5"/>
          <w:w w:val="105"/>
        </w:rPr>
        <w:t xml:space="preserve"> </w:t>
      </w:r>
      <w:r>
        <w:rPr>
          <w:w w:val="105"/>
        </w:rPr>
        <w:t>solução</w:t>
      </w:r>
      <w:r>
        <w:rPr>
          <w:spacing w:val="-8"/>
          <w:w w:val="105"/>
        </w:rPr>
        <w:t xml:space="preserve"> </w:t>
      </w:r>
      <w:r>
        <w:rPr>
          <w:w w:val="105"/>
        </w:rPr>
        <w:t>seria</w:t>
      </w:r>
      <w:r>
        <w:rPr>
          <w:spacing w:val="-9"/>
          <w:w w:val="105"/>
        </w:rPr>
        <w:t xml:space="preserve"> </w:t>
      </w:r>
      <w:r>
        <w:rPr>
          <w:w w:val="105"/>
        </w:rPr>
        <w:t>realizar</w:t>
      </w:r>
      <w:r>
        <w:rPr>
          <w:spacing w:val="-4"/>
          <w:w w:val="105"/>
        </w:rPr>
        <w:t xml:space="preserve"> </w:t>
      </w:r>
      <w:r>
        <w:rPr>
          <w:w w:val="105"/>
        </w:rPr>
        <w:t>uma transação entre as partes, tudo conforme os princípios de cooperação e boa-fé que norteiam as relações jurídicas contratuais entre as partes; em razão dos princípios processuais da rápida</w:t>
      </w:r>
      <w:r>
        <w:rPr>
          <w:spacing w:val="-16"/>
          <w:w w:val="105"/>
        </w:rPr>
        <w:t xml:space="preserve"> </w:t>
      </w:r>
      <w:r>
        <w:rPr>
          <w:w w:val="105"/>
        </w:rPr>
        <w:t>solução</w:t>
      </w:r>
      <w:r>
        <w:rPr>
          <w:spacing w:val="-14"/>
          <w:w w:val="105"/>
        </w:rPr>
        <w:t xml:space="preserve"> </w:t>
      </w:r>
      <w:r>
        <w:rPr>
          <w:w w:val="105"/>
        </w:rPr>
        <w:t>dos</w:t>
      </w:r>
      <w:r>
        <w:rPr>
          <w:spacing w:val="-15"/>
          <w:w w:val="105"/>
        </w:rPr>
        <w:t xml:space="preserve"> </w:t>
      </w:r>
      <w:r>
        <w:rPr>
          <w:w w:val="105"/>
        </w:rPr>
        <w:t>litígios;</w:t>
      </w:r>
      <w:r>
        <w:rPr>
          <w:spacing w:val="-14"/>
          <w:w w:val="105"/>
        </w:rPr>
        <w:t xml:space="preserve"> </w:t>
      </w:r>
      <w:r>
        <w:rPr>
          <w:w w:val="105"/>
        </w:rPr>
        <w:t>em</w:t>
      </w:r>
      <w:r>
        <w:rPr>
          <w:spacing w:val="-15"/>
          <w:w w:val="105"/>
        </w:rPr>
        <w:t xml:space="preserve"> </w:t>
      </w:r>
      <w:r>
        <w:rPr>
          <w:w w:val="105"/>
        </w:rPr>
        <w:t>razão</w:t>
      </w:r>
      <w:r>
        <w:rPr>
          <w:spacing w:val="-15"/>
          <w:w w:val="105"/>
        </w:rPr>
        <w:t xml:space="preserve"> </w:t>
      </w:r>
      <w:r>
        <w:rPr>
          <w:w w:val="105"/>
        </w:rPr>
        <w:t>dos</w:t>
      </w:r>
      <w:r>
        <w:rPr>
          <w:spacing w:val="-15"/>
          <w:w w:val="105"/>
        </w:rPr>
        <w:t xml:space="preserve"> </w:t>
      </w:r>
      <w:r>
        <w:rPr>
          <w:w w:val="105"/>
        </w:rPr>
        <w:t>princípios</w:t>
      </w:r>
      <w:r>
        <w:rPr>
          <w:spacing w:val="-14"/>
          <w:w w:val="105"/>
        </w:rPr>
        <w:t xml:space="preserve"> </w:t>
      </w:r>
      <w:r>
        <w:rPr>
          <w:w w:val="105"/>
        </w:rPr>
        <w:t>que</w:t>
      </w:r>
      <w:r>
        <w:rPr>
          <w:spacing w:val="-16"/>
          <w:w w:val="105"/>
        </w:rPr>
        <w:t xml:space="preserve"> </w:t>
      </w:r>
      <w:r>
        <w:rPr>
          <w:w w:val="105"/>
        </w:rPr>
        <w:t>autorizam</w:t>
      </w:r>
      <w:r>
        <w:rPr>
          <w:spacing w:val="-15"/>
          <w:w w:val="105"/>
        </w:rPr>
        <w:t xml:space="preserve"> </w:t>
      </w:r>
      <w:r>
        <w:rPr>
          <w:w w:val="105"/>
        </w:rPr>
        <w:t>e</w:t>
      </w:r>
      <w:r>
        <w:rPr>
          <w:spacing w:val="-11"/>
          <w:w w:val="105"/>
        </w:rPr>
        <w:t xml:space="preserve"> </w:t>
      </w:r>
      <w:r>
        <w:rPr>
          <w:w w:val="105"/>
        </w:rPr>
        <w:t>incentivam</w:t>
      </w:r>
      <w:r>
        <w:rPr>
          <w:spacing w:val="-15"/>
          <w:w w:val="105"/>
        </w:rPr>
        <w:t xml:space="preserve"> </w:t>
      </w:r>
      <w:r>
        <w:rPr>
          <w:w w:val="105"/>
        </w:rPr>
        <w:t>as</w:t>
      </w:r>
      <w:r>
        <w:rPr>
          <w:spacing w:val="-15"/>
          <w:w w:val="105"/>
        </w:rPr>
        <w:t xml:space="preserve"> </w:t>
      </w:r>
      <w:r>
        <w:rPr>
          <w:w w:val="105"/>
        </w:rPr>
        <w:t>soluções consensuais entre as partes.</w:t>
      </w:r>
    </w:p>
    <w:p w:rsidR="007259F2" w:rsidRDefault="00E655B4">
      <w:pPr>
        <w:pStyle w:val="Corpodetexto"/>
        <w:spacing w:before="1"/>
        <w:ind w:left="2" w:right="144"/>
      </w:pPr>
      <w:r>
        <w:t>Para tanto, importante entender os mecanismos utilizados, bem como os conceitos jurídicos aplicados ao caso; recebendo a municipalidade paulistana todos os imóveis desembaraçados de quaisquer ônus.</w:t>
      </w:r>
    </w:p>
    <w:p w:rsidR="007259F2" w:rsidRDefault="00E655B4">
      <w:pPr>
        <w:pStyle w:val="Corpodetexto"/>
        <w:ind w:left="2" w:right="142"/>
      </w:pPr>
      <w:r>
        <w:t>Devemos iniciar a analise, ressaltando que a crescente tendência a se adotar soluções consensuais de conflito é fruto direto da “crise do judiciário”, que não é recente para os operadores do direito no Brasil.</w:t>
      </w:r>
    </w:p>
    <w:p w:rsidR="007259F2" w:rsidRDefault="00E655B4">
      <w:pPr>
        <w:pStyle w:val="Corpodetexto"/>
        <w:ind w:left="2" w:right="142"/>
      </w:pPr>
      <w:r>
        <w:t>Tal crise materializa-se, sobretudo, na morosidade do desembaraço das lides que são levadas até o Poder Judiciário – morosidade que persiste, não obstante diversos esforços que vêm sendo empreendidos para diminuir tal problema.</w:t>
      </w:r>
    </w:p>
    <w:p w:rsidR="007259F2" w:rsidRDefault="00E655B4">
      <w:pPr>
        <w:pStyle w:val="Corpodetexto"/>
        <w:ind w:left="2" w:right="137"/>
      </w:pPr>
      <w:r>
        <w:t>Relembremos que, inclusive, a celeridade e a duração razoável do processo foram elevadas</w:t>
      </w:r>
      <w:r>
        <w:rPr>
          <w:spacing w:val="-1"/>
        </w:rPr>
        <w:t xml:space="preserve"> </w:t>
      </w:r>
      <w:r>
        <w:t>a garantias fundamentais</w:t>
      </w:r>
      <w:r>
        <w:rPr>
          <w:spacing w:val="-1"/>
        </w:rPr>
        <w:t xml:space="preserve"> </w:t>
      </w:r>
      <w:r>
        <w:t>a</w:t>
      </w:r>
      <w:r>
        <w:rPr>
          <w:spacing w:val="-2"/>
        </w:rPr>
        <w:t xml:space="preserve"> </w:t>
      </w:r>
      <w:r>
        <w:t>partir</w:t>
      </w:r>
      <w:r>
        <w:rPr>
          <w:spacing w:val="-2"/>
        </w:rPr>
        <w:t xml:space="preserve"> </w:t>
      </w:r>
      <w:r>
        <w:t>da Emenda</w:t>
      </w:r>
      <w:r>
        <w:rPr>
          <w:spacing w:val="-2"/>
        </w:rPr>
        <w:t xml:space="preserve"> </w:t>
      </w:r>
      <w:r>
        <w:t>Constitucional</w:t>
      </w:r>
      <w:r>
        <w:rPr>
          <w:spacing w:val="-1"/>
        </w:rPr>
        <w:t xml:space="preserve"> </w:t>
      </w:r>
      <w:r>
        <w:t>45/2004.</w:t>
      </w:r>
      <w:r>
        <w:rPr>
          <w:spacing w:val="-10"/>
        </w:rPr>
        <w:t xml:space="preserve"> </w:t>
      </w:r>
      <w:r>
        <w:t>Ao</w:t>
      </w:r>
      <w:r>
        <w:rPr>
          <w:spacing w:val="-15"/>
        </w:rPr>
        <w:t xml:space="preserve"> </w:t>
      </w:r>
      <w:r>
        <w:t>se</w:t>
      </w:r>
      <w:r>
        <w:rPr>
          <w:spacing w:val="-15"/>
        </w:rPr>
        <w:t xml:space="preserve"> </w:t>
      </w:r>
      <w:r>
        <w:t>analisar</w:t>
      </w:r>
      <w:r>
        <w:rPr>
          <w:spacing w:val="-14"/>
        </w:rPr>
        <w:t xml:space="preserve"> </w:t>
      </w:r>
      <w:r>
        <w:t>a citada crise, em um primeiro plano, tende-se a culpabilizar a administração da Justiça pela situação. No entanto, outros fatores – sobretudo culturais – precisam ser estudados, pois se apresentam enquanto causa</w:t>
      </w:r>
      <w:r>
        <w:rPr>
          <w:spacing w:val="-1"/>
        </w:rPr>
        <w:t xml:space="preserve"> </w:t>
      </w:r>
      <w:r>
        <w:t>central para</w:t>
      </w:r>
      <w:r>
        <w:rPr>
          <w:spacing w:val="-1"/>
        </w:rPr>
        <w:t xml:space="preserve"> </w:t>
      </w:r>
      <w:r>
        <w:t>a</w:t>
      </w:r>
      <w:r>
        <w:rPr>
          <w:spacing w:val="-1"/>
        </w:rPr>
        <w:t xml:space="preserve"> </w:t>
      </w:r>
      <w:r>
        <w:t>ineficiência</w:t>
      </w:r>
      <w:r>
        <w:rPr>
          <w:spacing w:val="-1"/>
        </w:rPr>
        <w:t xml:space="preserve"> </w:t>
      </w:r>
      <w:r>
        <w:t>do Poder</w:t>
      </w:r>
      <w:r>
        <w:rPr>
          <w:spacing w:val="-1"/>
        </w:rPr>
        <w:t xml:space="preserve"> </w:t>
      </w:r>
      <w:r>
        <w:t>Judiciário. Tais fatores podem ser sumarizados na chamada “cultura da litigância” (ou cultura da sentença, nas palavras de Kazuo Watanabe) termo que faz menção à tendência de judicialização dos conflitos no Brasil, em detrimento do uso de outros meios para se conseguir a pacificação:</w:t>
      </w:r>
    </w:p>
    <w:p w:rsidR="007259F2" w:rsidRDefault="007259F2">
      <w:pPr>
        <w:pStyle w:val="Corpodetexto"/>
        <w:spacing w:before="2"/>
        <w:ind w:left="0" w:firstLine="0"/>
        <w:jc w:val="left"/>
      </w:pPr>
    </w:p>
    <w:p w:rsidR="007259F2" w:rsidRDefault="00E655B4">
      <w:pPr>
        <w:ind w:left="2270" w:right="141"/>
        <w:jc w:val="both"/>
        <w:rPr>
          <w:sz w:val="20"/>
        </w:rPr>
      </w:pPr>
      <w:r>
        <w:rPr>
          <w:sz w:val="20"/>
        </w:rPr>
        <w:t>Disso tudo nasceu a chamada cultura da sentença, que se consolida assustadoramente. Os juízes preferem proferir sentença ao invés de tentar conciliar</w:t>
      </w:r>
      <w:r>
        <w:rPr>
          <w:spacing w:val="40"/>
          <w:sz w:val="20"/>
        </w:rPr>
        <w:t xml:space="preserve"> </w:t>
      </w:r>
      <w:r>
        <w:rPr>
          <w:sz w:val="20"/>
        </w:rPr>
        <w:t>as partes para a obtenção da solução amigável dos conflitos. Sentenciar, em muitos casos, é mais fácil e mais cômodo do que pacificar os litigantes e obter, por via de consequência, a solução dos conflitos</w:t>
      </w:r>
      <w:r>
        <w:rPr>
          <w:sz w:val="20"/>
          <w:vertAlign w:val="superscript"/>
        </w:rPr>
        <w:t>2</w:t>
      </w:r>
    </w:p>
    <w:p w:rsidR="007259F2" w:rsidRDefault="007259F2">
      <w:pPr>
        <w:pStyle w:val="Corpodetexto"/>
        <w:spacing w:before="47"/>
        <w:ind w:left="0" w:firstLine="0"/>
        <w:jc w:val="left"/>
        <w:rPr>
          <w:sz w:val="20"/>
        </w:rPr>
      </w:pPr>
    </w:p>
    <w:p w:rsidR="007259F2" w:rsidRDefault="00E655B4">
      <w:pPr>
        <w:pStyle w:val="Corpodetexto"/>
        <w:ind w:left="2" w:right="140"/>
      </w:pPr>
      <w:r>
        <w:t>As soluções consensuais de litigios, portanto, são uma resposta à crescente judicialização</w:t>
      </w:r>
      <w:r>
        <w:rPr>
          <w:spacing w:val="-2"/>
        </w:rPr>
        <w:t xml:space="preserve"> </w:t>
      </w:r>
      <w:r>
        <w:t>dos</w:t>
      </w:r>
      <w:r>
        <w:rPr>
          <w:spacing w:val="-2"/>
        </w:rPr>
        <w:t xml:space="preserve"> </w:t>
      </w:r>
      <w:r>
        <w:t>conflitos, inclusive</w:t>
      </w:r>
      <w:r>
        <w:rPr>
          <w:spacing w:val="-3"/>
        </w:rPr>
        <w:t xml:space="preserve"> </w:t>
      </w:r>
      <w:r>
        <w:t>os</w:t>
      </w:r>
      <w:r>
        <w:rPr>
          <w:spacing w:val="-2"/>
        </w:rPr>
        <w:t xml:space="preserve"> </w:t>
      </w:r>
      <w:r>
        <w:t>ambientais, com</w:t>
      </w:r>
      <w:r>
        <w:rPr>
          <w:spacing w:val="-2"/>
        </w:rPr>
        <w:t xml:space="preserve"> </w:t>
      </w:r>
      <w:r>
        <w:t>a</w:t>
      </w:r>
      <w:r>
        <w:rPr>
          <w:spacing w:val="-3"/>
        </w:rPr>
        <w:t xml:space="preserve"> </w:t>
      </w:r>
      <w:r>
        <w:t>massificada procura</w:t>
      </w:r>
      <w:r>
        <w:rPr>
          <w:spacing w:val="-3"/>
        </w:rPr>
        <w:t xml:space="preserve"> </w:t>
      </w:r>
      <w:r>
        <w:t>pela tutela do Poder Judiciário para a resolução dos impasses sociais.</w:t>
      </w:r>
    </w:p>
    <w:p w:rsidR="007259F2" w:rsidRDefault="00E655B4">
      <w:pPr>
        <w:pStyle w:val="Corpodetexto"/>
        <w:ind w:left="2" w:right="137"/>
      </w:pPr>
      <w:r>
        <w:t xml:space="preserve">Experienciamos uma verdadeira “cultura da sentença”, que muitas vezes é encorajada até mesmo pelos próprios operadores do Direito. Grinover </w:t>
      </w:r>
      <w:r>
        <w:rPr>
          <w:vertAlign w:val="superscript"/>
        </w:rPr>
        <w:t>3</w:t>
      </w:r>
      <w:r>
        <w:t xml:space="preserve"> já dizia que a mera imposição de uma sentença, muitas vezes, não é capaz de gerar a pacificação social,</w:t>
      </w:r>
      <w:r>
        <w:rPr>
          <w:spacing w:val="-3"/>
        </w:rPr>
        <w:t xml:space="preserve"> </w:t>
      </w:r>
      <w:r>
        <w:t>vez</w:t>
      </w:r>
      <w:r>
        <w:rPr>
          <w:spacing w:val="-3"/>
        </w:rPr>
        <w:t xml:space="preserve"> </w:t>
      </w:r>
      <w:r>
        <w:t>que</w:t>
      </w:r>
      <w:r>
        <w:rPr>
          <w:spacing w:val="-3"/>
        </w:rPr>
        <w:t xml:space="preserve"> </w:t>
      </w:r>
      <w:r>
        <w:t>dita</w:t>
      </w:r>
      <w:r>
        <w:rPr>
          <w:spacing w:val="-5"/>
        </w:rPr>
        <w:t xml:space="preserve"> </w:t>
      </w:r>
      <w:r>
        <w:t>o</w:t>
      </w:r>
      <w:r>
        <w:rPr>
          <w:spacing w:val="-5"/>
        </w:rPr>
        <w:t xml:space="preserve"> </w:t>
      </w:r>
      <w:r>
        <w:t>desfecho do conflito a partir da delimitação de um vencedor e de um perdedor – e este último, via de regra, irá se insurgir contra a decisão.</w:t>
      </w:r>
    </w:p>
    <w:p w:rsidR="007259F2" w:rsidRDefault="00E655B4">
      <w:pPr>
        <w:pStyle w:val="Corpodetexto"/>
        <w:spacing w:before="1"/>
        <w:ind w:left="2" w:right="143"/>
      </w:pPr>
      <w:r>
        <w:t>Além</w:t>
      </w:r>
      <w:r>
        <w:rPr>
          <w:spacing w:val="-1"/>
        </w:rPr>
        <w:t xml:space="preserve"> </w:t>
      </w:r>
      <w:r>
        <w:t>disso,</w:t>
      </w:r>
      <w:r>
        <w:rPr>
          <w:spacing w:val="-1"/>
        </w:rPr>
        <w:t xml:space="preserve"> </w:t>
      </w:r>
      <w:r>
        <w:t>a</w:t>
      </w:r>
      <w:r>
        <w:rPr>
          <w:spacing w:val="-2"/>
        </w:rPr>
        <w:t xml:space="preserve"> </w:t>
      </w:r>
      <w:r>
        <w:t>sentença</w:t>
      </w:r>
      <w:r>
        <w:rPr>
          <w:spacing w:val="-2"/>
        </w:rPr>
        <w:t xml:space="preserve"> </w:t>
      </w:r>
      <w:r>
        <w:t>tenderá</w:t>
      </w:r>
      <w:r>
        <w:rPr>
          <w:spacing w:val="-3"/>
        </w:rPr>
        <w:t xml:space="preserve"> </w:t>
      </w:r>
      <w:r>
        <w:t>a</w:t>
      </w:r>
      <w:r>
        <w:rPr>
          <w:spacing w:val="-2"/>
        </w:rPr>
        <w:t xml:space="preserve"> </w:t>
      </w:r>
      <w:r>
        <w:t>solucionar</w:t>
      </w:r>
      <w:r>
        <w:rPr>
          <w:spacing w:val="-2"/>
        </w:rPr>
        <w:t xml:space="preserve"> </w:t>
      </w:r>
      <w:r>
        <w:t>apenas</w:t>
      </w:r>
      <w:r>
        <w:rPr>
          <w:spacing w:val="-1"/>
        </w:rPr>
        <w:t xml:space="preserve"> </w:t>
      </w:r>
      <w:r>
        <w:t>o</w:t>
      </w:r>
      <w:r>
        <w:rPr>
          <w:spacing w:val="-1"/>
        </w:rPr>
        <w:t xml:space="preserve"> </w:t>
      </w:r>
      <w:r>
        <w:t>objeto</w:t>
      </w:r>
      <w:r>
        <w:rPr>
          <w:spacing w:val="-1"/>
        </w:rPr>
        <w:t xml:space="preserve"> </w:t>
      </w:r>
      <w:r>
        <w:t>do</w:t>
      </w:r>
      <w:r>
        <w:rPr>
          <w:spacing w:val="-1"/>
        </w:rPr>
        <w:t xml:space="preserve"> </w:t>
      </w:r>
      <w:r>
        <w:t>processo,</w:t>
      </w:r>
      <w:r>
        <w:rPr>
          <w:spacing w:val="-1"/>
        </w:rPr>
        <w:t xml:space="preserve"> </w:t>
      </w:r>
      <w:r>
        <w:t>sem</w:t>
      </w:r>
      <w:r>
        <w:rPr>
          <w:spacing w:val="-1"/>
        </w:rPr>
        <w:t xml:space="preserve"> </w:t>
      </w:r>
      <w:r>
        <w:t>levar</w:t>
      </w:r>
      <w:r>
        <w:rPr>
          <w:spacing w:val="-2"/>
        </w:rPr>
        <w:t xml:space="preserve"> </w:t>
      </w:r>
      <w:r>
        <w:t>em consideração as raízes sobre as quais o problema se desenvolveu, tampouco suas implicações para além do que está nos autos.</w:t>
      </w:r>
    </w:p>
    <w:p w:rsidR="007259F2" w:rsidRDefault="00DE6B1C">
      <w:pPr>
        <w:pStyle w:val="Corpodetexto"/>
        <w:spacing w:before="6"/>
        <w:ind w:left="0" w:firstLine="0"/>
        <w:jc w:val="left"/>
        <w:rPr>
          <w:sz w:val="15"/>
        </w:rPr>
      </w:pPr>
      <w:r w:rsidRPr="00DE6B1C">
        <w:rPr>
          <w:sz w:val="15"/>
        </w:rPr>
        <w:pict>
          <v:rect id="docshape201" o:spid="_x0000_s1030" style="position:absolute;margin-left:85.1pt;margin-top:10.15pt;width:2in;height:.7pt;z-index:-15636480;mso-wrap-distance-left:0;mso-wrap-distance-right:0;mso-position-horizontal-relative:page" fillcolor="black" stroked="f">
            <w10:wrap type="topAndBottom" anchorx="page"/>
          </v:rect>
        </w:pict>
      </w:r>
    </w:p>
    <w:p w:rsidR="007259F2" w:rsidRDefault="00E655B4">
      <w:pPr>
        <w:spacing w:before="96"/>
        <w:ind w:left="2" w:right="136"/>
        <w:jc w:val="both"/>
        <w:rPr>
          <w:sz w:val="20"/>
        </w:rPr>
      </w:pPr>
      <w:r>
        <w:rPr>
          <w:sz w:val="20"/>
          <w:vertAlign w:val="superscript"/>
        </w:rPr>
        <w:t>2</w:t>
      </w:r>
      <w:r>
        <w:rPr>
          <w:sz w:val="20"/>
        </w:rPr>
        <w:t xml:space="preserve"> WATANABE, Kazuo. A mentalidade e os meios alternativos de solução de conflitos no Brasil. </w:t>
      </w:r>
      <w:r>
        <w:rPr>
          <w:i/>
          <w:sz w:val="20"/>
        </w:rPr>
        <w:t>In</w:t>
      </w:r>
      <w:r>
        <w:rPr>
          <w:sz w:val="20"/>
        </w:rPr>
        <w:t xml:space="preserve">: GRINOVER, Ada Pellegrini; WATANABE, Kazuo; LAGRASTA NETO, Caetano (Coord.). </w:t>
      </w:r>
      <w:r>
        <w:rPr>
          <w:b/>
          <w:sz w:val="20"/>
        </w:rPr>
        <w:t>Mediação e gerenciamento do processo</w:t>
      </w:r>
      <w:r>
        <w:rPr>
          <w:sz w:val="20"/>
        </w:rPr>
        <w:t>: revolução na prestação jurisdicional. São Paulo: Atlas, 2007, p. 7.</w:t>
      </w:r>
    </w:p>
    <w:p w:rsidR="007259F2" w:rsidRDefault="00E655B4">
      <w:pPr>
        <w:spacing w:before="1"/>
        <w:ind w:left="2" w:right="138"/>
        <w:jc w:val="both"/>
        <w:rPr>
          <w:sz w:val="20"/>
        </w:rPr>
      </w:pPr>
      <w:r>
        <w:rPr>
          <w:sz w:val="20"/>
          <w:vertAlign w:val="superscript"/>
        </w:rPr>
        <w:t>3</w:t>
      </w:r>
      <w:r>
        <w:rPr>
          <w:sz w:val="20"/>
        </w:rPr>
        <w:t xml:space="preserve"> GRINOVER, Ada Pellegrini. Os fundamentos da justiça conciliativa. </w:t>
      </w:r>
      <w:r>
        <w:rPr>
          <w:i/>
          <w:sz w:val="20"/>
        </w:rPr>
        <w:t>In</w:t>
      </w:r>
      <w:r>
        <w:rPr>
          <w:sz w:val="20"/>
        </w:rPr>
        <w:t xml:space="preserve">: GRINOVER; WATANABE; LAGRASTA, </w:t>
      </w:r>
      <w:r>
        <w:rPr>
          <w:i/>
          <w:sz w:val="20"/>
        </w:rPr>
        <w:t xml:space="preserve">op. cit., </w:t>
      </w:r>
      <w:r>
        <w:rPr>
          <w:sz w:val="20"/>
        </w:rPr>
        <w:t>p. 2-7.</w:t>
      </w:r>
    </w:p>
    <w:p w:rsidR="007259F2" w:rsidRDefault="007259F2">
      <w:pPr>
        <w:jc w:val="both"/>
        <w:rPr>
          <w:sz w:val="20"/>
        </w:rPr>
        <w:sectPr w:rsidR="007259F2">
          <w:footerReference w:type="default" r:id="rId468"/>
          <w:pgSz w:w="11920" w:h="16850"/>
          <w:pgMar w:top="1620" w:right="992" w:bottom="280" w:left="1700" w:header="0" w:footer="0" w:gutter="0"/>
          <w:cols w:space="720"/>
        </w:sectPr>
      </w:pPr>
    </w:p>
    <w:p w:rsidR="007259F2" w:rsidRDefault="00E655B4">
      <w:pPr>
        <w:pStyle w:val="Corpodetexto"/>
        <w:spacing w:before="73"/>
        <w:ind w:left="2" w:right="141"/>
      </w:pPr>
      <w:r>
        <w:lastRenderedPageBreak/>
        <w:t>Buscando uma saída para esta cultura adjudicatória e para as suas inadequações,</w:t>
      </w:r>
      <w:r>
        <w:rPr>
          <w:spacing w:val="40"/>
        </w:rPr>
        <w:t xml:space="preserve"> </w:t>
      </w:r>
      <w:r>
        <w:t>houve, nas últimas décadas, forte guinada no sentido de incentivo à regulação e adoção dos chamados meios adequados de resolução de conflitos.</w:t>
      </w:r>
    </w:p>
    <w:p w:rsidR="007259F2" w:rsidRDefault="00E655B4">
      <w:pPr>
        <w:pStyle w:val="Corpodetexto"/>
        <w:ind w:firstLine="0"/>
      </w:pPr>
      <w:r>
        <w:t>Nesse</w:t>
      </w:r>
      <w:r>
        <w:rPr>
          <w:spacing w:val="-9"/>
        </w:rPr>
        <w:t xml:space="preserve"> </w:t>
      </w:r>
      <w:r>
        <w:t>sentido,</w:t>
      </w:r>
      <w:r>
        <w:rPr>
          <w:spacing w:val="-9"/>
        </w:rPr>
        <w:t xml:space="preserve"> </w:t>
      </w:r>
      <w:r>
        <w:t>afirma</w:t>
      </w:r>
      <w:r>
        <w:rPr>
          <w:spacing w:val="-11"/>
        </w:rPr>
        <w:t xml:space="preserve"> </w:t>
      </w:r>
      <w:r>
        <w:t>Tartuce</w:t>
      </w:r>
      <w:r>
        <w:rPr>
          <w:spacing w:val="-8"/>
        </w:rPr>
        <w:t xml:space="preserve"> </w:t>
      </w:r>
      <w:r>
        <w:rPr>
          <w:spacing w:val="-4"/>
        </w:rPr>
        <w:t>que:</w:t>
      </w:r>
    </w:p>
    <w:p w:rsidR="007259F2" w:rsidRDefault="007259F2">
      <w:pPr>
        <w:pStyle w:val="Corpodetexto"/>
        <w:spacing w:before="1"/>
        <w:ind w:left="0" w:firstLine="0"/>
        <w:jc w:val="left"/>
      </w:pPr>
    </w:p>
    <w:p w:rsidR="007259F2" w:rsidRDefault="00E655B4">
      <w:pPr>
        <w:ind w:left="2270" w:right="147"/>
        <w:jc w:val="both"/>
        <w:rPr>
          <w:sz w:val="20"/>
        </w:rPr>
      </w:pPr>
      <w:r>
        <w:rPr>
          <w:sz w:val="20"/>
        </w:rPr>
        <w:t>É inegável a mudança de visão verificada nos últimos anos: como o processo</w:t>
      </w:r>
      <w:r>
        <w:rPr>
          <w:spacing w:val="40"/>
          <w:sz w:val="20"/>
        </w:rPr>
        <w:t xml:space="preserve"> </w:t>
      </w:r>
      <w:r>
        <w:rPr>
          <w:sz w:val="20"/>
        </w:rPr>
        <w:t>judicial não mais vem sendo considerado via adequada para compor todos os conflitos, deve o Estado oferecer meios diversos para garantir o acesso à justiça.</w:t>
      </w:r>
      <w:r>
        <w:rPr>
          <w:sz w:val="20"/>
          <w:vertAlign w:val="superscript"/>
        </w:rPr>
        <w:t>4</w:t>
      </w:r>
    </w:p>
    <w:p w:rsidR="007259F2" w:rsidRDefault="007259F2">
      <w:pPr>
        <w:pStyle w:val="Corpodetexto"/>
        <w:spacing w:before="41"/>
        <w:ind w:left="0" w:firstLine="0"/>
        <w:jc w:val="left"/>
        <w:rPr>
          <w:sz w:val="20"/>
        </w:rPr>
      </w:pPr>
    </w:p>
    <w:p w:rsidR="007259F2" w:rsidRDefault="00E655B4">
      <w:pPr>
        <w:pStyle w:val="Corpodetexto"/>
        <w:ind w:left="2" w:right="146"/>
      </w:pPr>
      <w:r>
        <w:t>Em relação aos conflitos ambientais, a mencionada mudança de paradigma não tem sido diferente.</w:t>
      </w:r>
    </w:p>
    <w:p w:rsidR="007259F2" w:rsidRDefault="00E655B4">
      <w:pPr>
        <w:pStyle w:val="Corpodetexto"/>
        <w:spacing w:before="1"/>
        <w:ind w:left="2" w:right="137"/>
      </w:pPr>
      <w:r>
        <w:t>A adoção dos meios adequados de resolução de conflitos em matéria administrativa/ambiental justifica-se, hoje, sobretudo, ao se levar em conta a complexidade dos litígios ambientais e a busca por agilidade na resolução de tais disputas.</w:t>
      </w:r>
    </w:p>
    <w:p w:rsidR="007259F2" w:rsidRDefault="00E655B4">
      <w:pPr>
        <w:pStyle w:val="Corpodetexto"/>
        <w:ind w:left="2" w:right="147"/>
      </w:pPr>
      <w:r>
        <w:t>A sua utilização traz diversos benefícios no processo de pacificação dos conflitos ambientais, se comparado à clássica resolução adjudicatória.</w:t>
      </w:r>
      <w:r>
        <w:rPr>
          <w:spacing w:val="40"/>
        </w:rPr>
        <w:t xml:space="preserve"> </w:t>
      </w:r>
      <w:r>
        <w:t>Dispõe Samira Soares:</w:t>
      </w:r>
    </w:p>
    <w:p w:rsidR="007259F2" w:rsidRDefault="007259F2">
      <w:pPr>
        <w:pStyle w:val="Corpodetexto"/>
        <w:spacing w:before="1"/>
        <w:ind w:left="0" w:firstLine="0"/>
        <w:jc w:val="left"/>
      </w:pPr>
    </w:p>
    <w:p w:rsidR="007259F2" w:rsidRDefault="00E655B4">
      <w:pPr>
        <w:spacing w:before="1"/>
        <w:ind w:left="2270" w:right="136"/>
        <w:jc w:val="both"/>
        <w:rPr>
          <w:sz w:val="20"/>
        </w:rPr>
      </w:pPr>
      <w:r>
        <w:rPr>
          <w:sz w:val="20"/>
        </w:rPr>
        <w:t>Nas controvérsias ambientais, a mediação mostra-se vantajosa por permitir um grau maior de satisfação dos participantes, que mantêm certo grau de controle; por ter maior flexibilidade para analisar opções mais criativas que os tribunais e, o mais importante, é que promove a cooperação, elemento que falta normalmente na</w:t>
      </w:r>
      <w:r>
        <w:rPr>
          <w:spacing w:val="40"/>
          <w:sz w:val="20"/>
        </w:rPr>
        <w:t xml:space="preserve"> </w:t>
      </w:r>
      <w:r>
        <w:rPr>
          <w:sz w:val="20"/>
        </w:rPr>
        <w:t>solução da maioria dos problemas ambientais. Por não ter uma postura adversarial, a mediação consegue tratar de um campo maior de dados técnicos e não favorece a obstrução de informações. Ainda, por ser voluntária, consegue chegar a soluções mais duradouras e a uma melhor implementação dessas.</w:t>
      </w:r>
      <w:r>
        <w:rPr>
          <w:sz w:val="20"/>
          <w:vertAlign w:val="superscript"/>
        </w:rPr>
        <w:t>5</w:t>
      </w:r>
    </w:p>
    <w:p w:rsidR="007259F2" w:rsidRDefault="00E655B4">
      <w:pPr>
        <w:pStyle w:val="Corpodetexto"/>
        <w:spacing w:before="180"/>
        <w:ind w:left="2" w:right="140"/>
      </w:pPr>
      <w:r>
        <w:t xml:space="preserve">Deve-se ressaltar que a busca por uma solução efetiva, rápida e consensual tem levado as partes a perseguirem alternativas como mediação, conciliação, negociação e arbitragem; no âmbito ambiental também não é diferente; e, no caso vertente há vantajosidade para as partes </w:t>
      </w:r>
      <w:r>
        <w:rPr>
          <w:spacing w:val="-2"/>
        </w:rPr>
        <w:t>envolvidas.</w:t>
      </w:r>
    </w:p>
    <w:p w:rsidR="007259F2" w:rsidRDefault="00E655B4">
      <w:pPr>
        <w:pStyle w:val="Corpodetexto"/>
        <w:ind w:left="2" w:right="138"/>
      </w:pPr>
      <w:r>
        <w:t>Ao buscar a proteção ambiental e o desenvolvimento econômico, de forma perene, as soluções consensuais são importantes meios de solução de conflito entre litigantes para se alcançar uma resposta justa e satisfitória, assim como já ocorre em outros países, seja na prevenção ou na solução de conflitos instalados ou na sua prevenção.</w:t>
      </w:r>
    </w:p>
    <w:p w:rsidR="007259F2" w:rsidRDefault="00E655B4">
      <w:pPr>
        <w:pStyle w:val="Corpodetexto"/>
        <w:ind w:left="2" w:right="144"/>
      </w:pPr>
      <w:r>
        <w:t>Em</w:t>
      </w:r>
      <w:r>
        <w:rPr>
          <w:spacing w:val="-3"/>
        </w:rPr>
        <w:t xml:space="preserve"> </w:t>
      </w:r>
      <w:r>
        <w:t>geral,</w:t>
      </w:r>
      <w:r>
        <w:rPr>
          <w:spacing w:val="-1"/>
        </w:rPr>
        <w:t xml:space="preserve"> </w:t>
      </w:r>
      <w:r>
        <w:t>as</w:t>
      </w:r>
      <w:r>
        <w:rPr>
          <w:spacing w:val="-3"/>
        </w:rPr>
        <w:t xml:space="preserve"> </w:t>
      </w:r>
      <w:r>
        <w:t>soluções</w:t>
      </w:r>
      <w:r>
        <w:rPr>
          <w:spacing w:val="-3"/>
        </w:rPr>
        <w:t xml:space="preserve"> </w:t>
      </w:r>
      <w:r>
        <w:t>consensuais</w:t>
      </w:r>
      <w:r>
        <w:rPr>
          <w:spacing w:val="-3"/>
        </w:rPr>
        <w:t xml:space="preserve"> </w:t>
      </w:r>
      <w:r>
        <w:t>apresentam</w:t>
      </w:r>
      <w:r>
        <w:rPr>
          <w:spacing w:val="-3"/>
        </w:rPr>
        <w:t xml:space="preserve"> </w:t>
      </w:r>
      <w:r>
        <w:t>diversas</w:t>
      </w:r>
      <w:r>
        <w:rPr>
          <w:spacing w:val="-3"/>
        </w:rPr>
        <w:t xml:space="preserve"> </w:t>
      </w:r>
      <w:r>
        <w:t>vantagens</w:t>
      </w:r>
      <w:r>
        <w:rPr>
          <w:spacing w:val="-1"/>
        </w:rPr>
        <w:t xml:space="preserve"> </w:t>
      </w:r>
      <w:r>
        <w:t>em</w:t>
      </w:r>
      <w:r>
        <w:rPr>
          <w:spacing w:val="-3"/>
        </w:rPr>
        <w:t xml:space="preserve"> </w:t>
      </w:r>
      <w:r>
        <w:t>relação</w:t>
      </w:r>
      <w:r>
        <w:rPr>
          <w:spacing w:val="-3"/>
        </w:rPr>
        <w:t xml:space="preserve"> </w:t>
      </w:r>
      <w:r>
        <w:t>a</w:t>
      </w:r>
      <w:r>
        <w:rPr>
          <w:spacing w:val="-4"/>
        </w:rPr>
        <w:t xml:space="preserve"> </w:t>
      </w:r>
      <w:r>
        <w:t xml:space="preserve">decisão jurisdicional de mérito, tais como a eficácia, celeridade, a economia de tempo, de gastos e a possibilidade de as partes, quando for o caso, escolherem um profissional especializado no </w:t>
      </w:r>
      <w:r>
        <w:rPr>
          <w:spacing w:val="-2"/>
        </w:rPr>
        <w:t>assunto.</w:t>
      </w:r>
    </w:p>
    <w:p w:rsidR="007259F2" w:rsidRDefault="00E655B4">
      <w:pPr>
        <w:pStyle w:val="Corpodetexto"/>
        <w:ind w:left="2" w:right="140"/>
      </w:pPr>
      <w:r>
        <w:t>Além</w:t>
      </w:r>
      <w:r>
        <w:rPr>
          <w:spacing w:val="-9"/>
        </w:rPr>
        <w:t xml:space="preserve"> </w:t>
      </w:r>
      <w:r>
        <w:t>disso,</w:t>
      </w:r>
      <w:r>
        <w:rPr>
          <w:spacing w:val="-9"/>
        </w:rPr>
        <w:t xml:space="preserve"> </w:t>
      </w:r>
      <w:r>
        <w:t>permitem</w:t>
      </w:r>
      <w:r>
        <w:rPr>
          <w:spacing w:val="-9"/>
        </w:rPr>
        <w:t xml:space="preserve"> </w:t>
      </w:r>
      <w:r>
        <w:t>uma</w:t>
      </w:r>
      <w:r>
        <w:rPr>
          <w:spacing w:val="-10"/>
        </w:rPr>
        <w:t xml:space="preserve"> </w:t>
      </w:r>
      <w:r>
        <w:t>solução</w:t>
      </w:r>
      <w:r>
        <w:rPr>
          <w:spacing w:val="-9"/>
        </w:rPr>
        <w:t xml:space="preserve"> </w:t>
      </w:r>
      <w:r>
        <w:t>mais</w:t>
      </w:r>
      <w:r>
        <w:rPr>
          <w:spacing w:val="-5"/>
        </w:rPr>
        <w:t xml:space="preserve"> </w:t>
      </w:r>
      <w:r>
        <w:t>criativa</w:t>
      </w:r>
      <w:r>
        <w:rPr>
          <w:spacing w:val="-8"/>
        </w:rPr>
        <w:t xml:space="preserve"> </w:t>
      </w:r>
      <w:r>
        <w:t>e</w:t>
      </w:r>
      <w:r>
        <w:rPr>
          <w:spacing w:val="-8"/>
        </w:rPr>
        <w:t xml:space="preserve"> </w:t>
      </w:r>
      <w:r>
        <w:t>flexivel</w:t>
      </w:r>
      <w:r>
        <w:rPr>
          <w:spacing w:val="-9"/>
        </w:rPr>
        <w:t xml:space="preserve"> </w:t>
      </w:r>
      <w:r>
        <w:t>para</w:t>
      </w:r>
      <w:r>
        <w:rPr>
          <w:spacing w:val="-11"/>
        </w:rPr>
        <w:t xml:space="preserve"> </w:t>
      </w:r>
      <w:r>
        <w:t>o</w:t>
      </w:r>
      <w:r>
        <w:rPr>
          <w:spacing w:val="-7"/>
        </w:rPr>
        <w:t xml:space="preserve"> </w:t>
      </w:r>
      <w:r>
        <w:t>conflito,</w:t>
      </w:r>
      <w:r>
        <w:rPr>
          <w:spacing w:val="-6"/>
        </w:rPr>
        <w:t xml:space="preserve"> </w:t>
      </w:r>
      <w:r>
        <w:t>uma</w:t>
      </w:r>
      <w:r>
        <w:rPr>
          <w:spacing w:val="-2"/>
        </w:rPr>
        <w:t xml:space="preserve"> </w:t>
      </w:r>
      <w:r>
        <w:t>vez que os interessados têm mais liberdade para negociar e propor soluções que atendam</w:t>
      </w:r>
      <w:r>
        <w:rPr>
          <w:spacing w:val="40"/>
        </w:rPr>
        <w:t xml:space="preserve"> </w:t>
      </w:r>
      <w:r>
        <w:t>aos</w:t>
      </w:r>
      <w:r>
        <w:rPr>
          <w:spacing w:val="40"/>
        </w:rPr>
        <w:t xml:space="preserve"> </w:t>
      </w:r>
      <w:r>
        <w:t>seus interesses,</w:t>
      </w:r>
      <w:r>
        <w:rPr>
          <w:spacing w:val="40"/>
        </w:rPr>
        <w:t xml:space="preserve"> </w:t>
      </w:r>
      <w:r>
        <w:t>destacando</w:t>
      </w:r>
      <w:r>
        <w:rPr>
          <w:spacing w:val="40"/>
        </w:rPr>
        <w:t xml:space="preserve"> </w:t>
      </w:r>
      <w:r>
        <w:t>a</w:t>
      </w:r>
      <w:r>
        <w:rPr>
          <w:spacing w:val="40"/>
        </w:rPr>
        <w:t xml:space="preserve"> </w:t>
      </w:r>
      <w:r>
        <w:t>prática</w:t>
      </w:r>
      <w:r>
        <w:rPr>
          <w:spacing w:val="40"/>
        </w:rPr>
        <w:t xml:space="preserve"> </w:t>
      </w:r>
      <w:r>
        <w:t>colaborativa</w:t>
      </w:r>
      <w:r>
        <w:rPr>
          <w:spacing w:val="40"/>
        </w:rPr>
        <w:t xml:space="preserve"> </w:t>
      </w:r>
      <w:r>
        <w:t>de</w:t>
      </w:r>
      <w:r>
        <w:rPr>
          <w:spacing w:val="40"/>
        </w:rPr>
        <w:t xml:space="preserve"> </w:t>
      </w:r>
      <w:r>
        <w:t>todos,</w:t>
      </w:r>
      <w:r>
        <w:rPr>
          <w:spacing w:val="40"/>
        </w:rPr>
        <w:t xml:space="preserve"> </w:t>
      </w:r>
      <w:r>
        <w:t>aredução dos custos, a</w:t>
      </w:r>
      <w:r>
        <w:rPr>
          <w:spacing w:val="-1"/>
        </w:rPr>
        <w:t xml:space="preserve"> </w:t>
      </w:r>
      <w:r>
        <w:t>preservação do relacionamento entre si, e em matéria ambiental, possibilita alcançar soluções mais sustentáveis para a redução e prevenção de danos ao meio ambiente.</w:t>
      </w:r>
    </w:p>
    <w:p w:rsidR="007259F2" w:rsidRDefault="00E655B4">
      <w:pPr>
        <w:pStyle w:val="Corpodetexto"/>
        <w:spacing w:before="1"/>
        <w:ind w:left="2" w:right="137"/>
      </w:pPr>
      <w:r>
        <w:t>Ressalta-se que costuma-se utilizar, para se chegar a essa solução critativa e flexivel, alguns</w:t>
      </w:r>
      <w:r>
        <w:rPr>
          <w:spacing w:val="-9"/>
        </w:rPr>
        <w:t xml:space="preserve"> </w:t>
      </w:r>
      <w:r>
        <w:t>metodos</w:t>
      </w:r>
      <w:r>
        <w:rPr>
          <w:spacing w:val="-9"/>
        </w:rPr>
        <w:t xml:space="preserve"> </w:t>
      </w:r>
      <w:r>
        <w:t>de</w:t>
      </w:r>
      <w:r>
        <w:rPr>
          <w:spacing w:val="-10"/>
        </w:rPr>
        <w:t xml:space="preserve"> </w:t>
      </w:r>
      <w:r>
        <w:t>comunicação</w:t>
      </w:r>
      <w:r>
        <w:rPr>
          <w:spacing w:val="-7"/>
        </w:rPr>
        <w:t xml:space="preserve"> </w:t>
      </w:r>
      <w:r>
        <w:t>entre</w:t>
      </w:r>
      <w:r>
        <w:rPr>
          <w:spacing w:val="-8"/>
        </w:rPr>
        <w:t xml:space="preserve"> </w:t>
      </w:r>
      <w:r>
        <w:t>as</w:t>
      </w:r>
      <w:r>
        <w:rPr>
          <w:spacing w:val="-9"/>
        </w:rPr>
        <w:t xml:space="preserve"> </w:t>
      </w:r>
      <w:r>
        <w:t>partes,</w:t>
      </w:r>
      <w:r>
        <w:rPr>
          <w:spacing w:val="-9"/>
        </w:rPr>
        <w:t xml:space="preserve"> </w:t>
      </w:r>
      <w:r>
        <w:t>entre</w:t>
      </w:r>
      <w:r>
        <w:rPr>
          <w:spacing w:val="-11"/>
        </w:rPr>
        <w:t xml:space="preserve"> </w:t>
      </w:r>
      <w:r>
        <w:t>os</w:t>
      </w:r>
      <w:r>
        <w:rPr>
          <w:spacing w:val="-9"/>
        </w:rPr>
        <w:t xml:space="preserve"> </w:t>
      </w:r>
      <w:r>
        <w:t>mais</w:t>
      </w:r>
      <w:r>
        <w:rPr>
          <w:spacing w:val="23"/>
        </w:rPr>
        <w:t xml:space="preserve"> </w:t>
      </w:r>
      <w:r>
        <w:t>importantes temos a mediação e a conciliação, senão vejamos:</w:t>
      </w:r>
    </w:p>
    <w:p w:rsidR="007259F2" w:rsidRDefault="007259F2">
      <w:pPr>
        <w:pStyle w:val="Corpodetexto"/>
        <w:ind w:left="0" w:firstLine="0"/>
        <w:jc w:val="left"/>
        <w:rPr>
          <w:sz w:val="20"/>
        </w:rPr>
      </w:pPr>
    </w:p>
    <w:p w:rsidR="007259F2" w:rsidRDefault="00DE6B1C">
      <w:pPr>
        <w:pStyle w:val="Corpodetexto"/>
        <w:spacing w:before="93"/>
        <w:ind w:left="0" w:firstLine="0"/>
        <w:jc w:val="left"/>
        <w:rPr>
          <w:sz w:val="20"/>
        </w:rPr>
      </w:pPr>
      <w:r w:rsidRPr="00DE6B1C">
        <w:rPr>
          <w:sz w:val="20"/>
        </w:rPr>
        <w:pict>
          <v:rect id="docshape202" o:spid="_x0000_s1029" style="position:absolute;margin-left:85.1pt;margin-top:17.35pt;width:2in;height:.7pt;z-index:-15635968;mso-wrap-distance-left:0;mso-wrap-distance-right:0;mso-position-horizontal-relative:page" fillcolor="black" stroked="f">
            <w10:wrap type="topAndBottom" anchorx="page"/>
          </v:rect>
        </w:pict>
      </w:r>
    </w:p>
    <w:p w:rsidR="007259F2" w:rsidRDefault="00E655B4">
      <w:pPr>
        <w:spacing w:before="96"/>
        <w:ind w:left="2"/>
        <w:rPr>
          <w:sz w:val="20"/>
        </w:rPr>
      </w:pPr>
      <w:r>
        <w:rPr>
          <w:sz w:val="20"/>
          <w:vertAlign w:val="superscript"/>
        </w:rPr>
        <w:t>4</w:t>
      </w:r>
      <w:r>
        <w:rPr>
          <w:spacing w:val="80"/>
          <w:w w:val="150"/>
          <w:sz w:val="20"/>
        </w:rPr>
        <w:t xml:space="preserve"> </w:t>
      </w:r>
      <w:r>
        <w:rPr>
          <w:sz w:val="20"/>
        </w:rPr>
        <w:t xml:space="preserve">TARTUCE, Fernanda. </w:t>
      </w:r>
      <w:r>
        <w:rPr>
          <w:b/>
          <w:sz w:val="20"/>
        </w:rPr>
        <w:t>Mediação nos Conflitos Civis</w:t>
      </w:r>
      <w:r>
        <w:rPr>
          <w:sz w:val="20"/>
        </w:rPr>
        <w:t>. 4. ed. Rio de Janeiro: Ed. Grupo Editorial Nacional,</w:t>
      </w:r>
      <w:r>
        <w:rPr>
          <w:spacing w:val="40"/>
          <w:sz w:val="20"/>
        </w:rPr>
        <w:t xml:space="preserve"> </w:t>
      </w:r>
      <w:r>
        <w:rPr>
          <w:sz w:val="20"/>
        </w:rPr>
        <w:t>2018, p. 27.</w:t>
      </w:r>
    </w:p>
    <w:p w:rsidR="007259F2" w:rsidRDefault="00E655B4">
      <w:pPr>
        <w:spacing w:before="1"/>
        <w:ind w:left="2"/>
        <w:rPr>
          <w:sz w:val="20"/>
        </w:rPr>
      </w:pPr>
      <w:r>
        <w:rPr>
          <w:sz w:val="20"/>
          <w:vertAlign w:val="superscript"/>
        </w:rPr>
        <w:t>5</w:t>
      </w:r>
      <w:r>
        <w:rPr>
          <w:spacing w:val="40"/>
          <w:sz w:val="20"/>
        </w:rPr>
        <w:t xml:space="preserve"> </w:t>
      </w:r>
      <w:r>
        <w:rPr>
          <w:sz w:val="20"/>
        </w:rPr>
        <w:t>SOARES,</w:t>
      </w:r>
      <w:r>
        <w:rPr>
          <w:spacing w:val="60"/>
          <w:sz w:val="20"/>
        </w:rPr>
        <w:t xml:space="preserve"> </w:t>
      </w:r>
      <w:r>
        <w:rPr>
          <w:sz w:val="20"/>
        </w:rPr>
        <w:t>Samira</w:t>
      </w:r>
      <w:r>
        <w:rPr>
          <w:spacing w:val="61"/>
          <w:sz w:val="20"/>
        </w:rPr>
        <w:t xml:space="preserve"> </w:t>
      </w:r>
      <w:r>
        <w:rPr>
          <w:sz w:val="20"/>
        </w:rPr>
        <w:t>Iasbeck</w:t>
      </w:r>
      <w:r>
        <w:rPr>
          <w:spacing w:val="61"/>
          <w:sz w:val="20"/>
        </w:rPr>
        <w:t xml:space="preserve"> </w:t>
      </w:r>
      <w:r>
        <w:rPr>
          <w:sz w:val="20"/>
        </w:rPr>
        <w:t>de</w:t>
      </w:r>
      <w:r>
        <w:rPr>
          <w:spacing w:val="60"/>
          <w:sz w:val="20"/>
        </w:rPr>
        <w:t xml:space="preserve"> </w:t>
      </w:r>
      <w:r>
        <w:rPr>
          <w:sz w:val="20"/>
        </w:rPr>
        <w:t>Oliveira.</w:t>
      </w:r>
      <w:r>
        <w:rPr>
          <w:spacing w:val="61"/>
          <w:sz w:val="20"/>
        </w:rPr>
        <w:t xml:space="preserve"> </w:t>
      </w:r>
      <w:r>
        <w:rPr>
          <w:b/>
          <w:sz w:val="20"/>
        </w:rPr>
        <w:t>Mediação</w:t>
      </w:r>
      <w:r>
        <w:rPr>
          <w:b/>
          <w:spacing w:val="64"/>
          <w:sz w:val="20"/>
        </w:rPr>
        <w:t xml:space="preserve"> </w:t>
      </w:r>
      <w:r>
        <w:rPr>
          <w:b/>
          <w:sz w:val="20"/>
        </w:rPr>
        <w:t>de</w:t>
      </w:r>
      <w:r>
        <w:rPr>
          <w:b/>
          <w:spacing w:val="40"/>
          <w:sz w:val="20"/>
        </w:rPr>
        <w:t xml:space="preserve"> </w:t>
      </w:r>
      <w:r>
        <w:rPr>
          <w:b/>
          <w:sz w:val="20"/>
        </w:rPr>
        <w:t>conflitos</w:t>
      </w:r>
      <w:r>
        <w:rPr>
          <w:b/>
          <w:spacing w:val="64"/>
          <w:sz w:val="20"/>
        </w:rPr>
        <w:t xml:space="preserve"> </w:t>
      </w:r>
      <w:r>
        <w:rPr>
          <w:b/>
          <w:sz w:val="20"/>
        </w:rPr>
        <w:t>ambientais</w:t>
      </w:r>
      <w:r>
        <w:rPr>
          <w:sz w:val="20"/>
        </w:rPr>
        <w:t>:</w:t>
      </w:r>
      <w:r>
        <w:rPr>
          <w:spacing w:val="62"/>
          <w:sz w:val="20"/>
        </w:rPr>
        <w:t xml:space="preserve"> </w:t>
      </w:r>
      <w:r>
        <w:rPr>
          <w:sz w:val="20"/>
        </w:rPr>
        <w:t>um</w:t>
      </w:r>
      <w:r>
        <w:rPr>
          <w:spacing w:val="62"/>
          <w:sz w:val="20"/>
        </w:rPr>
        <w:t xml:space="preserve"> </w:t>
      </w:r>
      <w:r>
        <w:rPr>
          <w:sz w:val="20"/>
        </w:rPr>
        <w:t>novo</w:t>
      </w:r>
      <w:r>
        <w:rPr>
          <w:spacing w:val="61"/>
          <w:sz w:val="20"/>
        </w:rPr>
        <w:t xml:space="preserve"> </w:t>
      </w:r>
      <w:r>
        <w:rPr>
          <w:sz w:val="20"/>
        </w:rPr>
        <w:t>caminho</w:t>
      </w:r>
      <w:r>
        <w:rPr>
          <w:spacing w:val="62"/>
          <w:sz w:val="20"/>
        </w:rPr>
        <w:t xml:space="preserve"> </w:t>
      </w:r>
      <w:r>
        <w:rPr>
          <w:sz w:val="20"/>
        </w:rPr>
        <w:t>para</w:t>
      </w:r>
      <w:r>
        <w:rPr>
          <w:spacing w:val="65"/>
          <w:sz w:val="20"/>
        </w:rPr>
        <w:t xml:space="preserve"> </w:t>
      </w:r>
      <w:r>
        <w:rPr>
          <w:sz w:val="20"/>
        </w:rPr>
        <w:t>a governança da água no Brasil? Curitiba: Juruá, 2010, p. 136.</w:t>
      </w:r>
    </w:p>
    <w:p w:rsidR="007259F2" w:rsidRDefault="007259F2">
      <w:pPr>
        <w:rPr>
          <w:sz w:val="20"/>
        </w:rPr>
        <w:sectPr w:rsidR="007259F2">
          <w:footerReference w:type="default" r:id="rId469"/>
          <w:pgSz w:w="11920" w:h="16850"/>
          <w:pgMar w:top="1620" w:right="992" w:bottom="280" w:left="1700" w:header="0" w:footer="0" w:gutter="0"/>
          <w:cols w:space="720"/>
        </w:sectPr>
      </w:pPr>
    </w:p>
    <w:p w:rsidR="007259F2" w:rsidRDefault="00E655B4">
      <w:pPr>
        <w:pStyle w:val="Corpodetexto"/>
        <w:spacing w:before="113"/>
        <w:ind w:left="2" w:right="137"/>
      </w:pPr>
      <w:r>
        <w:lastRenderedPageBreak/>
        <w:t xml:space="preserve">Bacellar </w:t>
      </w:r>
      <w:r>
        <w:rPr>
          <w:vertAlign w:val="superscript"/>
        </w:rPr>
        <w:t>6</w:t>
      </w:r>
      <w:r>
        <w:t>, de maneira didática, elenca três principais modos de diferenciação para a recomendação do uso da conciliação e da mediação: a natureza da relação que antecede ao litigio: quando a relação é incidental, ou seja, quando surgiu por conta do fato desencadeador do conflito, ou caso exista algum tipo de vínculo anterior, mas este é diminuto, recomenda-se o uso da conciliação, buscando-se, por meio dela, dirimir o conflito e encontrar uma solução que satisfaça ambas as partes, sem a necessidade latente de restaurar a boa relação entre elas.</w:t>
      </w:r>
    </w:p>
    <w:p w:rsidR="007259F2" w:rsidRDefault="00E655B4">
      <w:pPr>
        <w:pStyle w:val="Corpodetexto"/>
        <w:ind w:left="2" w:right="139"/>
      </w:pPr>
      <w:r>
        <w:t>Quando se tratar de relações perenes, como quando envolver vizinhos, por exemplo, a mediação é</w:t>
      </w:r>
      <w:r>
        <w:rPr>
          <w:spacing w:val="-1"/>
        </w:rPr>
        <w:t xml:space="preserve"> </w:t>
      </w:r>
      <w:r>
        <w:t>a</w:t>
      </w:r>
      <w:r>
        <w:rPr>
          <w:spacing w:val="-1"/>
        </w:rPr>
        <w:t xml:space="preserve"> </w:t>
      </w:r>
      <w:r>
        <w:t>técnica</w:t>
      </w:r>
      <w:r>
        <w:rPr>
          <w:spacing w:val="-2"/>
        </w:rPr>
        <w:t xml:space="preserve"> </w:t>
      </w:r>
      <w:r>
        <w:t>mais indicada, vez que</w:t>
      </w:r>
      <w:r>
        <w:rPr>
          <w:spacing w:val="-1"/>
        </w:rPr>
        <w:t xml:space="preserve"> </w:t>
      </w:r>
      <w:r>
        <w:t>possibilita</w:t>
      </w:r>
      <w:r>
        <w:rPr>
          <w:spacing w:val="-1"/>
        </w:rPr>
        <w:t xml:space="preserve"> </w:t>
      </w:r>
      <w:r>
        <w:t>o resgate</w:t>
      </w:r>
      <w:r>
        <w:rPr>
          <w:spacing w:val="-2"/>
        </w:rPr>
        <w:t xml:space="preserve"> </w:t>
      </w:r>
      <w:r>
        <w:t>do relacionamento, prezando pelo restabelecimento do diálogo entre as partes; A finalidade e o foco que se busca pela solução do impasse: a</w:t>
      </w:r>
      <w:r>
        <w:rPr>
          <w:spacing w:val="-1"/>
        </w:rPr>
        <w:t xml:space="preserve"> </w:t>
      </w:r>
      <w:r>
        <w:t>principal motivação para</w:t>
      </w:r>
      <w:r>
        <w:rPr>
          <w:spacing w:val="-2"/>
        </w:rPr>
        <w:t xml:space="preserve"> </w:t>
      </w:r>
      <w:r>
        <w:t>o emprego da conciliação é a</w:t>
      </w:r>
      <w:r>
        <w:rPr>
          <w:spacing w:val="-1"/>
        </w:rPr>
        <w:t xml:space="preserve"> </w:t>
      </w:r>
      <w:r>
        <w:t>extinção da</w:t>
      </w:r>
      <w:r>
        <w:rPr>
          <w:spacing w:val="-1"/>
        </w:rPr>
        <w:t xml:space="preserve"> </w:t>
      </w:r>
      <w:r>
        <w:t>lide, por meio da transação, enquanto que</w:t>
      </w:r>
      <w:r>
        <w:rPr>
          <w:spacing w:val="-1"/>
        </w:rPr>
        <w:t xml:space="preserve"> </w:t>
      </w:r>
      <w:r>
        <w:t>a</w:t>
      </w:r>
      <w:r>
        <w:rPr>
          <w:spacing w:val="-6"/>
        </w:rPr>
        <w:t xml:space="preserve"> </w:t>
      </w:r>
      <w:r>
        <w:t>mediação tem por</w:t>
      </w:r>
      <w:r>
        <w:rPr>
          <w:spacing w:val="-1"/>
        </w:rPr>
        <w:t xml:space="preserve"> </w:t>
      </w:r>
      <w:r>
        <w:t>pressuposto o</w:t>
      </w:r>
      <w:r>
        <w:rPr>
          <w:spacing w:val="-2"/>
        </w:rPr>
        <w:t xml:space="preserve"> </w:t>
      </w:r>
      <w:r>
        <w:t>tratamento</w:t>
      </w:r>
      <w:r>
        <w:rPr>
          <w:spacing w:val="-2"/>
        </w:rPr>
        <w:t xml:space="preserve"> </w:t>
      </w:r>
      <w:r>
        <w:t>do</w:t>
      </w:r>
      <w:r>
        <w:rPr>
          <w:spacing w:val="-2"/>
        </w:rPr>
        <w:t xml:space="preserve"> </w:t>
      </w:r>
      <w:r>
        <w:t>conflito mediante a busca real de sua motivação, dando enfoque ao relacionamento entre as partes;</w:t>
      </w:r>
      <w:r>
        <w:rPr>
          <w:spacing w:val="40"/>
        </w:rPr>
        <w:t xml:space="preserve"> </w:t>
      </w:r>
      <w:r>
        <w:t>A forma de atuação do terceiro: esta deve ser mais ativa na conciliação, vez que o conciliador pode opinar sobre o mérito do acordo, orientar as partes e até mesmo sugerir soluções, direcionando-se mais ao mérito da questão e menos às relações; já a mediação aborda o conflito de forma holística, buscando real motivador para o conflito. Para conseguir este objetivo, o mediador apenas conduz as partes, deixando</w:t>
      </w:r>
      <w:r>
        <w:rPr>
          <w:spacing w:val="-2"/>
        </w:rPr>
        <w:t xml:space="preserve"> </w:t>
      </w:r>
      <w:r>
        <w:t>que</w:t>
      </w:r>
      <w:r>
        <w:rPr>
          <w:spacing w:val="-8"/>
        </w:rPr>
        <w:t xml:space="preserve"> </w:t>
      </w:r>
      <w:r>
        <w:t>elas</w:t>
      </w:r>
      <w:r>
        <w:rPr>
          <w:spacing w:val="-7"/>
        </w:rPr>
        <w:t xml:space="preserve"> </w:t>
      </w:r>
      <w:r>
        <w:t>próprias</w:t>
      </w:r>
      <w:r>
        <w:rPr>
          <w:spacing w:val="-7"/>
        </w:rPr>
        <w:t xml:space="preserve"> </w:t>
      </w:r>
      <w:r>
        <w:t>tragam</w:t>
      </w:r>
      <w:r>
        <w:rPr>
          <w:spacing w:val="-6"/>
        </w:rPr>
        <w:t xml:space="preserve"> </w:t>
      </w:r>
      <w:r>
        <w:t>às</w:t>
      </w:r>
      <w:r>
        <w:rPr>
          <w:spacing w:val="-7"/>
        </w:rPr>
        <w:t xml:space="preserve"> </w:t>
      </w:r>
      <w:r>
        <w:t>sessões</w:t>
      </w:r>
      <w:r>
        <w:rPr>
          <w:spacing w:val="-5"/>
        </w:rPr>
        <w:t xml:space="preserve"> </w:t>
      </w:r>
      <w:r>
        <w:t>as possíveis soluções e alternativas.</w:t>
      </w:r>
    </w:p>
    <w:p w:rsidR="007259F2" w:rsidRDefault="00E655B4">
      <w:pPr>
        <w:pStyle w:val="Corpodetexto"/>
        <w:spacing w:before="1"/>
        <w:ind w:left="2" w:right="139"/>
      </w:pPr>
      <w:r>
        <w:t>No caso em comento, utilizou-se a mediação, pois já havia um relacionamento institucional entre as partes, e foi por esse caminho que se buscou por uma solução eficiente que se buscou o acordo administrativo, evitando a judicialização da execução do valor devido a COHAB, bem como das multas aplicadas pela SVMA.</w:t>
      </w:r>
    </w:p>
    <w:p w:rsidR="007259F2" w:rsidRDefault="00E655B4">
      <w:pPr>
        <w:pStyle w:val="Corpodetexto"/>
        <w:ind w:left="2" w:right="138"/>
      </w:pPr>
      <w:r>
        <w:t>Tudo de acordo com a Lei Municipal nº 17.324/2020, que institui a politica de desjudicialização no âmbito da administração pública, buscando reduzir a litigiosiadade, estimular a solução adequada de controvérsias, promover, sempre que possível, a solução consensual dos conflitos e aprimorar o gerenciamento do volume de demandas</w:t>
      </w:r>
      <w:r>
        <w:rPr>
          <w:spacing w:val="80"/>
        </w:rPr>
        <w:t xml:space="preserve"> </w:t>
      </w:r>
      <w:r>
        <w:t>administrativas e judiciais.</w:t>
      </w:r>
    </w:p>
    <w:p w:rsidR="007259F2" w:rsidRDefault="00E655B4">
      <w:pPr>
        <w:pStyle w:val="Corpodetexto"/>
        <w:ind w:left="2" w:right="137"/>
      </w:pPr>
      <w:r>
        <w:t>O artigo 2º da referida lei ainda explicita os objetivos das medidas autompositivas, senão vejamos:</w:t>
      </w:r>
    </w:p>
    <w:p w:rsidR="007259F2" w:rsidRDefault="007259F2">
      <w:pPr>
        <w:pStyle w:val="Corpodetexto"/>
        <w:spacing w:before="2"/>
        <w:ind w:left="0" w:firstLine="0"/>
        <w:jc w:val="left"/>
      </w:pPr>
    </w:p>
    <w:p w:rsidR="007259F2" w:rsidRDefault="00E655B4">
      <w:pPr>
        <w:ind w:left="2270" w:right="140"/>
        <w:jc w:val="both"/>
        <w:rPr>
          <w:sz w:val="20"/>
        </w:rPr>
      </w:pPr>
      <w:r>
        <w:rPr>
          <w:sz w:val="20"/>
        </w:rPr>
        <w:t>Art. 2º A Política de Desjudicialização será</w:t>
      </w:r>
      <w:r>
        <w:rPr>
          <w:spacing w:val="33"/>
          <w:sz w:val="20"/>
        </w:rPr>
        <w:t xml:space="preserve"> </w:t>
      </w:r>
      <w:r>
        <w:rPr>
          <w:sz w:val="20"/>
        </w:rPr>
        <w:t>coordenada pela Procuradoria Geral do Município, cabendo-lhe, dentre outras ações:</w:t>
      </w:r>
    </w:p>
    <w:p w:rsidR="007259F2" w:rsidRDefault="00E655B4">
      <w:pPr>
        <w:pStyle w:val="PargrafodaLista"/>
        <w:numPr>
          <w:ilvl w:val="0"/>
          <w:numId w:val="1"/>
        </w:numPr>
        <w:tabs>
          <w:tab w:val="left" w:pos="2988"/>
          <w:tab w:val="left" w:pos="2990"/>
        </w:tabs>
        <w:spacing w:before="7" w:line="237" w:lineRule="auto"/>
        <w:ind w:right="141"/>
        <w:jc w:val="both"/>
        <w:rPr>
          <w:sz w:val="20"/>
        </w:rPr>
      </w:pPr>
      <w:r>
        <w:rPr>
          <w:b/>
          <w:sz w:val="20"/>
        </w:rPr>
        <w:t>dirimir, por meios autocompositivos, os conflitos entre órgãos e entidades da Administração</w:t>
      </w:r>
      <w:r>
        <w:rPr>
          <w:b/>
          <w:spacing w:val="-1"/>
          <w:sz w:val="20"/>
        </w:rPr>
        <w:t xml:space="preserve"> </w:t>
      </w:r>
      <w:r>
        <w:rPr>
          <w:b/>
          <w:sz w:val="20"/>
        </w:rPr>
        <w:t>Pública</w:t>
      </w:r>
      <w:r>
        <w:rPr>
          <w:b/>
          <w:spacing w:val="-1"/>
          <w:sz w:val="20"/>
        </w:rPr>
        <w:t xml:space="preserve"> </w:t>
      </w:r>
      <w:r>
        <w:rPr>
          <w:b/>
          <w:sz w:val="20"/>
        </w:rPr>
        <w:t>Municipal Direta</w:t>
      </w:r>
      <w:r>
        <w:rPr>
          <w:b/>
          <w:spacing w:val="-1"/>
          <w:sz w:val="20"/>
        </w:rPr>
        <w:t xml:space="preserve"> </w:t>
      </w:r>
      <w:r>
        <w:rPr>
          <w:b/>
          <w:sz w:val="20"/>
        </w:rPr>
        <w:t>e Indireta</w:t>
      </w:r>
      <w:r>
        <w:rPr>
          <w:sz w:val="20"/>
        </w:rPr>
        <w:t>;</w:t>
      </w:r>
      <w:r>
        <w:rPr>
          <w:spacing w:val="-2"/>
          <w:sz w:val="20"/>
        </w:rPr>
        <w:t xml:space="preserve"> </w:t>
      </w:r>
      <w:r>
        <w:rPr>
          <w:sz w:val="20"/>
        </w:rPr>
        <w:t xml:space="preserve">(grifo </w:t>
      </w:r>
      <w:r>
        <w:rPr>
          <w:spacing w:val="-2"/>
          <w:sz w:val="20"/>
        </w:rPr>
        <w:t>nosso)</w:t>
      </w:r>
    </w:p>
    <w:p w:rsidR="007259F2" w:rsidRDefault="00E655B4">
      <w:pPr>
        <w:pStyle w:val="PargrafodaLista"/>
        <w:numPr>
          <w:ilvl w:val="0"/>
          <w:numId w:val="1"/>
        </w:numPr>
        <w:tabs>
          <w:tab w:val="left" w:pos="2987"/>
          <w:tab w:val="left" w:pos="2990"/>
        </w:tabs>
        <w:ind w:right="146" w:hanging="543"/>
        <w:jc w:val="both"/>
        <w:rPr>
          <w:sz w:val="20"/>
        </w:rPr>
      </w:pPr>
      <w:r>
        <w:rPr>
          <w:sz w:val="20"/>
        </w:rPr>
        <w:t>avaliar a admissibilidade de pedidos de resolução de conflitos, por meio de composição, no caso de controvérsia entre particular e a Administração Pública Municipal Direta e Indireta;</w:t>
      </w:r>
    </w:p>
    <w:p w:rsidR="007259F2" w:rsidRDefault="00E655B4">
      <w:pPr>
        <w:pStyle w:val="PargrafodaLista"/>
        <w:numPr>
          <w:ilvl w:val="0"/>
          <w:numId w:val="1"/>
        </w:numPr>
        <w:tabs>
          <w:tab w:val="left" w:pos="2986"/>
          <w:tab w:val="left" w:pos="2990"/>
        </w:tabs>
        <w:ind w:right="146" w:hanging="610"/>
        <w:jc w:val="both"/>
        <w:rPr>
          <w:sz w:val="20"/>
        </w:rPr>
      </w:pPr>
      <w:r>
        <w:rPr>
          <w:sz w:val="20"/>
        </w:rPr>
        <w:t>requisitar, aos órgãos e entidades da Administração Pública Municipal, informações para subsidiar sua atuação;</w:t>
      </w:r>
    </w:p>
    <w:p w:rsidR="007259F2" w:rsidRDefault="00E655B4">
      <w:pPr>
        <w:pStyle w:val="PargrafodaLista"/>
        <w:numPr>
          <w:ilvl w:val="0"/>
          <w:numId w:val="1"/>
        </w:numPr>
        <w:tabs>
          <w:tab w:val="left" w:pos="2990"/>
        </w:tabs>
        <w:ind w:right="149" w:hanging="622"/>
        <w:jc w:val="both"/>
        <w:rPr>
          <w:sz w:val="20"/>
        </w:rPr>
      </w:pPr>
      <w:r>
        <w:rPr>
          <w:sz w:val="20"/>
        </w:rPr>
        <w:t>promover o arbitramento das controvérsias não solucionadas por meios autocompositivos, na hipótese do inciso I;</w:t>
      </w:r>
    </w:p>
    <w:p w:rsidR="007259F2" w:rsidRDefault="00E655B4">
      <w:pPr>
        <w:pStyle w:val="PargrafodaLista"/>
        <w:numPr>
          <w:ilvl w:val="0"/>
          <w:numId w:val="1"/>
        </w:numPr>
        <w:tabs>
          <w:tab w:val="left" w:pos="2988"/>
          <w:tab w:val="left" w:pos="2990"/>
        </w:tabs>
        <w:spacing w:before="1"/>
        <w:ind w:right="138" w:hanging="555"/>
        <w:jc w:val="both"/>
        <w:rPr>
          <w:sz w:val="20"/>
        </w:rPr>
      </w:pPr>
      <w:r>
        <w:rPr>
          <w:sz w:val="20"/>
        </w:rPr>
        <w:t xml:space="preserve">promover, no âmbito de sua competência e quando couber, a celebração de termo de ajustamento de conduta nos casos submetidos a meios </w:t>
      </w:r>
      <w:r>
        <w:rPr>
          <w:spacing w:val="-2"/>
          <w:sz w:val="20"/>
        </w:rPr>
        <w:t>autocompositivos;</w:t>
      </w:r>
    </w:p>
    <w:p w:rsidR="007259F2" w:rsidRDefault="00E655B4">
      <w:pPr>
        <w:pStyle w:val="PargrafodaLista"/>
        <w:numPr>
          <w:ilvl w:val="0"/>
          <w:numId w:val="1"/>
        </w:numPr>
        <w:tabs>
          <w:tab w:val="left" w:pos="2988"/>
          <w:tab w:val="left" w:pos="2990"/>
        </w:tabs>
        <w:ind w:right="136" w:hanging="622"/>
        <w:jc w:val="both"/>
        <w:rPr>
          <w:sz w:val="20"/>
        </w:rPr>
      </w:pPr>
      <w:r>
        <w:rPr>
          <w:sz w:val="20"/>
        </w:rPr>
        <w:t xml:space="preserve">fomentar a solução adequada de conflitos, no âmbito de seus órgãos de </w:t>
      </w:r>
      <w:r>
        <w:rPr>
          <w:spacing w:val="-2"/>
          <w:sz w:val="20"/>
        </w:rPr>
        <w:t>execução;</w:t>
      </w:r>
    </w:p>
    <w:p w:rsidR="007259F2" w:rsidRDefault="00E655B4">
      <w:pPr>
        <w:pStyle w:val="PargrafodaLista"/>
        <w:numPr>
          <w:ilvl w:val="0"/>
          <w:numId w:val="1"/>
        </w:numPr>
        <w:tabs>
          <w:tab w:val="left" w:pos="2988"/>
          <w:tab w:val="left" w:pos="2990"/>
        </w:tabs>
        <w:ind w:right="143" w:hanging="689"/>
        <w:jc w:val="both"/>
        <w:rPr>
          <w:sz w:val="20"/>
        </w:rPr>
      </w:pPr>
      <w:r>
        <w:rPr>
          <w:sz w:val="20"/>
        </w:rPr>
        <w:t>propor, em regulamento, a organização e a uniformização dos procedimentos e parâmetros para a celebração de acordos envolvendo a Administração Direta, bem como as autarquias e fundações representadas</w:t>
      </w:r>
    </w:p>
    <w:p w:rsidR="007259F2" w:rsidRDefault="00DE6B1C">
      <w:pPr>
        <w:pStyle w:val="Corpodetexto"/>
        <w:spacing w:before="10"/>
        <w:ind w:left="0" w:firstLine="0"/>
        <w:jc w:val="left"/>
        <w:rPr>
          <w:sz w:val="14"/>
        </w:rPr>
      </w:pPr>
      <w:r w:rsidRPr="00DE6B1C">
        <w:rPr>
          <w:sz w:val="14"/>
        </w:rPr>
        <w:pict>
          <v:rect id="docshape203" o:spid="_x0000_s1028" style="position:absolute;margin-left:85.1pt;margin-top:9.75pt;width:2in;height:.7pt;z-index:-15635456;mso-wrap-distance-left:0;mso-wrap-distance-right:0;mso-position-horizontal-relative:page" fillcolor="black" stroked="f">
            <w10:wrap type="topAndBottom" anchorx="page"/>
          </v:rect>
        </w:pict>
      </w:r>
    </w:p>
    <w:p w:rsidR="007259F2" w:rsidRDefault="00E655B4">
      <w:pPr>
        <w:spacing w:before="135"/>
        <w:ind w:left="2"/>
        <w:rPr>
          <w:sz w:val="20"/>
        </w:rPr>
      </w:pPr>
      <w:r>
        <w:rPr>
          <w:sz w:val="20"/>
          <w:vertAlign w:val="superscript"/>
        </w:rPr>
        <w:t>6</w:t>
      </w:r>
      <w:r>
        <w:rPr>
          <w:spacing w:val="2"/>
          <w:sz w:val="20"/>
        </w:rPr>
        <w:t xml:space="preserve"> </w:t>
      </w:r>
      <w:r>
        <w:rPr>
          <w:sz w:val="20"/>
        </w:rPr>
        <w:t>BACELLAR,</w:t>
      </w:r>
      <w:r>
        <w:rPr>
          <w:spacing w:val="-12"/>
          <w:sz w:val="20"/>
        </w:rPr>
        <w:t xml:space="preserve"> </w:t>
      </w:r>
      <w:r>
        <w:rPr>
          <w:sz w:val="20"/>
        </w:rPr>
        <w:t>Roberto</w:t>
      </w:r>
      <w:r>
        <w:rPr>
          <w:spacing w:val="-10"/>
          <w:sz w:val="20"/>
        </w:rPr>
        <w:t xml:space="preserve"> </w:t>
      </w:r>
      <w:r>
        <w:rPr>
          <w:sz w:val="20"/>
        </w:rPr>
        <w:t>Portugal.</w:t>
      </w:r>
      <w:r>
        <w:rPr>
          <w:spacing w:val="-12"/>
          <w:sz w:val="20"/>
        </w:rPr>
        <w:t xml:space="preserve"> </w:t>
      </w:r>
      <w:r>
        <w:rPr>
          <w:b/>
          <w:sz w:val="20"/>
        </w:rPr>
        <w:t>Mediação</w:t>
      </w:r>
      <w:r>
        <w:rPr>
          <w:b/>
          <w:spacing w:val="-11"/>
          <w:sz w:val="20"/>
        </w:rPr>
        <w:t xml:space="preserve"> </w:t>
      </w:r>
      <w:r>
        <w:rPr>
          <w:b/>
          <w:sz w:val="20"/>
        </w:rPr>
        <w:t>e</w:t>
      </w:r>
      <w:r>
        <w:rPr>
          <w:b/>
          <w:spacing w:val="-12"/>
          <w:sz w:val="20"/>
        </w:rPr>
        <w:t xml:space="preserve"> </w:t>
      </w:r>
      <w:r>
        <w:rPr>
          <w:b/>
          <w:sz w:val="20"/>
        </w:rPr>
        <w:t>Arbitragem</w:t>
      </w:r>
      <w:r>
        <w:rPr>
          <w:sz w:val="20"/>
        </w:rPr>
        <w:t>.</w:t>
      </w:r>
      <w:r>
        <w:rPr>
          <w:spacing w:val="-12"/>
          <w:sz w:val="20"/>
        </w:rPr>
        <w:t xml:space="preserve"> </w:t>
      </w:r>
      <w:r>
        <w:rPr>
          <w:sz w:val="20"/>
        </w:rPr>
        <w:t>São</w:t>
      </w:r>
      <w:r>
        <w:rPr>
          <w:spacing w:val="-12"/>
          <w:sz w:val="20"/>
        </w:rPr>
        <w:t xml:space="preserve"> </w:t>
      </w:r>
      <w:r>
        <w:rPr>
          <w:sz w:val="20"/>
        </w:rPr>
        <w:t>Paulo:</w:t>
      </w:r>
      <w:r>
        <w:rPr>
          <w:spacing w:val="-12"/>
          <w:sz w:val="20"/>
        </w:rPr>
        <w:t xml:space="preserve"> </w:t>
      </w:r>
      <w:r>
        <w:rPr>
          <w:sz w:val="20"/>
        </w:rPr>
        <w:t>Editora</w:t>
      </w:r>
      <w:r>
        <w:rPr>
          <w:spacing w:val="-11"/>
          <w:sz w:val="20"/>
        </w:rPr>
        <w:t xml:space="preserve"> </w:t>
      </w:r>
      <w:r>
        <w:rPr>
          <w:sz w:val="20"/>
        </w:rPr>
        <w:t>Saraiva,</w:t>
      </w:r>
      <w:r>
        <w:rPr>
          <w:spacing w:val="-12"/>
          <w:sz w:val="20"/>
        </w:rPr>
        <w:t xml:space="preserve"> </w:t>
      </w:r>
      <w:r>
        <w:rPr>
          <w:sz w:val="20"/>
        </w:rPr>
        <w:t>2012,</w:t>
      </w:r>
      <w:r>
        <w:rPr>
          <w:spacing w:val="-9"/>
          <w:sz w:val="20"/>
        </w:rPr>
        <w:t xml:space="preserve"> </w:t>
      </w:r>
      <w:r>
        <w:rPr>
          <w:sz w:val="20"/>
        </w:rPr>
        <w:t>p.</w:t>
      </w:r>
      <w:r>
        <w:rPr>
          <w:spacing w:val="-13"/>
          <w:sz w:val="20"/>
        </w:rPr>
        <w:t xml:space="preserve"> </w:t>
      </w:r>
      <w:r>
        <w:rPr>
          <w:sz w:val="20"/>
        </w:rPr>
        <w:t>91-</w:t>
      </w:r>
      <w:r>
        <w:rPr>
          <w:spacing w:val="-5"/>
          <w:sz w:val="20"/>
        </w:rPr>
        <w:t>92.</w:t>
      </w:r>
    </w:p>
    <w:p w:rsidR="007259F2" w:rsidRDefault="007259F2">
      <w:pPr>
        <w:rPr>
          <w:sz w:val="20"/>
        </w:rPr>
        <w:sectPr w:rsidR="007259F2">
          <w:footerReference w:type="default" r:id="rId470"/>
          <w:pgSz w:w="11920" w:h="16850"/>
          <w:pgMar w:top="1580" w:right="992" w:bottom="280" w:left="1700" w:header="0" w:footer="0" w:gutter="0"/>
          <w:cols w:space="720"/>
        </w:sectPr>
      </w:pPr>
    </w:p>
    <w:p w:rsidR="007259F2" w:rsidRDefault="00E655B4">
      <w:pPr>
        <w:spacing w:before="74"/>
        <w:ind w:left="2990"/>
        <w:rPr>
          <w:sz w:val="20"/>
        </w:rPr>
      </w:pPr>
      <w:r>
        <w:rPr>
          <w:sz w:val="20"/>
        </w:rPr>
        <w:lastRenderedPageBreak/>
        <w:t>judicialmente</w:t>
      </w:r>
      <w:r>
        <w:rPr>
          <w:spacing w:val="-6"/>
          <w:sz w:val="20"/>
        </w:rPr>
        <w:t xml:space="preserve"> </w:t>
      </w:r>
      <w:r>
        <w:rPr>
          <w:sz w:val="20"/>
        </w:rPr>
        <w:t>pela</w:t>
      </w:r>
      <w:r>
        <w:rPr>
          <w:spacing w:val="-6"/>
          <w:sz w:val="20"/>
        </w:rPr>
        <w:t xml:space="preserve"> </w:t>
      </w:r>
      <w:r>
        <w:rPr>
          <w:sz w:val="20"/>
        </w:rPr>
        <w:t>Procuradoria</w:t>
      </w:r>
      <w:r>
        <w:rPr>
          <w:spacing w:val="-7"/>
          <w:sz w:val="20"/>
        </w:rPr>
        <w:t xml:space="preserve"> </w:t>
      </w:r>
      <w:r>
        <w:rPr>
          <w:sz w:val="20"/>
        </w:rPr>
        <w:t>Geral</w:t>
      </w:r>
      <w:r>
        <w:rPr>
          <w:spacing w:val="-6"/>
          <w:sz w:val="20"/>
        </w:rPr>
        <w:t xml:space="preserve"> </w:t>
      </w:r>
      <w:r>
        <w:rPr>
          <w:sz w:val="20"/>
        </w:rPr>
        <w:t>do</w:t>
      </w:r>
      <w:r>
        <w:rPr>
          <w:spacing w:val="-5"/>
          <w:sz w:val="20"/>
        </w:rPr>
        <w:t xml:space="preserve"> </w:t>
      </w:r>
      <w:r>
        <w:rPr>
          <w:sz w:val="20"/>
        </w:rPr>
        <w:t>Município,</w:t>
      </w:r>
      <w:r>
        <w:rPr>
          <w:spacing w:val="-6"/>
          <w:sz w:val="20"/>
        </w:rPr>
        <w:t xml:space="preserve"> </w:t>
      </w:r>
      <w:r>
        <w:rPr>
          <w:sz w:val="20"/>
        </w:rPr>
        <w:t>nos</w:t>
      </w:r>
      <w:r>
        <w:rPr>
          <w:spacing w:val="-7"/>
          <w:sz w:val="20"/>
        </w:rPr>
        <w:t xml:space="preserve"> </w:t>
      </w:r>
      <w:r>
        <w:rPr>
          <w:sz w:val="20"/>
        </w:rPr>
        <w:t>termos</w:t>
      </w:r>
      <w:r>
        <w:rPr>
          <w:spacing w:val="-6"/>
          <w:sz w:val="20"/>
        </w:rPr>
        <w:t xml:space="preserve"> </w:t>
      </w:r>
      <w:r>
        <w:rPr>
          <w:sz w:val="20"/>
        </w:rPr>
        <w:t>desta</w:t>
      </w:r>
      <w:r>
        <w:rPr>
          <w:spacing w:val="-5"/>
          <w:sz w:val="20"/>
        </w:rPr>
        <w:t xml:space="preserve"> </w:t>
      </w:r>
      <w:r>
        <w:rPr>
          <w:spacing w:val="-4"/>
          <w:sz w:val="20"/>
        </w:rPr>
        <w:t>Lei;</w:t>
      </w:r>
    </w:p>
    <w:p w:rsidR="007259F2" w:rsidRDefault="00E655B4">
      <w:pPr>
        <w:pStyle w:val="PargrafodaLista"/>
        <w:numPr>
          <w:ilvl w:val="0"/>
          <w:numId w:val="1"/>
        </w:numPr>
        <w:tabs>
          <w:tab w:val="left" w:pos="2990"/>
        </w:tabs>
        <w:spacing w:before="1" w:line="229" w:lineRule="exact"/>
        <w:ind w:hanging="753"/>
        <w:jc w:val="left"/>
        <w:rPr>
          <w:sz w:val="20"/>
        </w:rPr>
      </w:pPr>
      <w:r>
        <w:rPr>
          <w:sz w:val="20"/>
        </w:rPr>
        <w:t>disseminar</w:t>
      </w:r>
      <w:r>
        <w:rPr>
          <w:spacing w:val="-8"/>
          <w:sz w:val="20"/>
        </w:rPr>
        <w:t xml:space="preserve"> </w:t>
      </w:r>
      <w:r>
        <w:rPr>
          <w:sz w:val="20"/>
        </w:rPr>
        <w:t>a</w:t>
      </w:r>
      <w:r>
        <w:rPr>
          <w:spacing w:val="-9"/>
          <w:sz w:val="20"/>
        </w:rPr>
        <w:t xml:space="preserve"> </w:t>
      </w:r>
      <w:r>
        <w:rPr>
          <w:sz w:val="20"/>
        </w:rPr>
        <w:t>prática</w:t>
      </w:r>
      <w:r>
        <w:rPr>
          <w:spacing w:val="-8"/>
          <w:sz w:val="20"/>
        </w:rPr>
        <w:t xml:space="preserve"> </w:t>
      </w:r>
      <w:r>
        <w:rPr>
          <w:sz w:val="20"/>
        </w:rPr>
        <w:t>da</w:t>
      </w:r>
      <w:r>
        <w:rPr>
          <w:spacing w:val="-9"/>
          <w:sz w:val="20"/>
        </w:rPr>
        <w:t xml:space="preserve"> </w:t>
      </w:r>
      <w:r>
        <w:rPr>
          <w:spacing w:val="-2"/>
          <w:sz w:val="20"/>
        </w:rPr>
        <w:t>negociação;</w:t>
      </w:r>
    </w:p>
    <w:p w:rsidR="007259F2" w:rsidRDefault="00E655B4">
      <w:pPr>
        <w:pStyle w:val="PargrafodaLista"/>
        <w:numPr>
          <w:ilvl w:val="0"/>
          <w:numId w:val="1"/>
        </w:numPr>
        <w:tabs>
          <w:tab w:val="left" w:pos="2990"/>
        </w:tabs>
        <w:spacing w:line="229" w:lineRule="exact"/>
        <w:ind w:hanging="622"/>
        <w:jc w:val="left"/>
        <w:rPr>
          <w:sz w:val="20"/>
        </w:rPr>
      </w:pPr>
      <w:r>
        <w:rPr>
          <w:sz w:val="20"/>
        </w:rPr>
        <w:t>coordenar</w:t>
      </w:r>
      <w:r>
        <w:rPr>
          <w:spacing w:val="-10"/>
          <w:sz w:val="20"/>
        </w:rPr>
        <w:t xml:space="preserve"> </w:t>
      </w:r>
      <w:r>
        <w:rPr>
          <w:sz w:val="20"/>
        </w:rPr>
        <w:t>as</w:t>
      </w:r>
      <w:r>
        <w:rPr>
          <w:spacing w:val="-13"/>
          <w:sz w:val="20"/>
        </w:rPr>
        <w:t xml:space="preserve"> </w:t>
      </w:r>
      <w:r>
        <w:rPr>
          <w:sz w:val="20"/>
        </w:rPr>
        <w:t>negociações</w:t>
      </w:r>
      <w:r>
        <w:rPr>
          <w:spacing w:val="-11"/>
          <w:sz w:val="20"/>
        </w:rPr>
        <w:t xml:space="preserve"> </w:t>
      </w:r>
      <w:r>
        <w:rPr>
          <w:sz w:val="20"/>
        </w:rPr>
        <w:t>realizadas</w:t>
      </w:r>
      <w:r>
        <w:rPr>
          <w:spacing w:val="-11"/>
          <w:sz w:val="20"/>
        </w:rPr>
        <w:t xml:space="preserve"> </w:t>
      </w:r>
      <w:r>
        <w:rPr>
          <w:sz w:val="20"/>
        </w:rPr>
        <w:t>por</w:t>
      </w:r>
      <w:r>
        <w:rPr>
          <w:spacing w:val="-11"/>
          <w:sz w:val="20"/>
        </w:rPr>
        <w:t xml:space="preserve"> </w:t>
      </w:r>
      <w:r>
        <w:rPr>
          <w:sz w:val="20"/>
        </w:rPr>
        <w:t>seus</w:t>
      </w:r>
      <w:r>
        <w:rPr>
          <w:spacing w:val="-12"/>
          <w:sz w:val="20"/>
        </w:rPr>
        <w:t xml:space="preserve"> </w:t>
      </w:r>
      <w:r>
        <w:rPr>
          <w:sz w:val="20"/>
        </w:rPr>
        <w:t>órgãos</w:t>
      </w:r>
      <w:r>
        <w:rPr>
          <w:spacing w:val="-12"/>
          <w:sz w:val="20"/>
        </w:rPr>
        <w:t xml:space="preserve"> </w:t>
      </w:r>
      <w:r>
        <w:rPr>
          <w:sz w:val="20"/>
        </w:rPr>
        <w:t>de</w:t>
      </w:r>
      <w:r>
        <w:rPr>
          <w:spacing w:val="-11"/>
          <w:sz w:val="20"/>
        </w:rPr>
        <w:t xml:space="preserve"> </w:t>
      </w:r>
      <w:r>
        <w:rPr>
          <w:spacing w:val="-2"/>
          <w:sz w:val="20"/>
        </w:rPr>
        <w:t>execução;</w:t>
      </w:r>
    </w:p>
    <w:p w:rsidR="007259F2" w:rsidRDefault="00E655B4">
      <w:pPr>
        <w:pStyle w:val="PargrafodaLista"/>
        <w:numPr>
          <w:ilvl w:val="0"/>
          <w:numId w:val="1"/>
        </w:numPr>
        <w:tabs>
          <w:tab w:val="left" w:pos="2990"/>
        </w:tabs>
        <w:ind w:hanging="554"/>
        <w:jc w:val="left"/>
        <w:rPr>
          <w:sz w:val="20"/>
        </w:rPr>
      </w:pPr>
      <w:r>
        <w:rPr>
          <w:sz w:val="20"/>
        </w:rPr>
        <w:t>identificar</w:t>
      </w:r>
      <w:r>
        <w:rPr>
          <w:spacing w:val="-13"/>
          <w:sz w:val="20"/>
        </w:rPr>
        <w:t xml:space="preserve"> </w:t>
      </w:r>
      <w:r>
        <w:rPr>
          <w:sz w:val="20"/>
        </w:rPr>
        <w:t>e</w:t>
      </w:r>
      <w:r>
        <w:rPr>
          <w:spacing w:val="-12"/>
          <w:sz w:val="20"/>
        </w:rPr>
        <w:t xml:space="preserve"> </w:t>
      </w:r>
      <w:r>
        <w:rPr>
          <w:sz w:val="20"/>
        </w:rPr>
        <w:t>fomentar</w:t>
      </w:r>
      <w:r>
        <w:rPr>
          <w:spacing w:val="-12"/>
          <w:sz w:val="20"/>
        </w:rPr>
        <w:t xml:space="preserve"> </w:t>
      </w:r>
      <w:r>
        <w:rPr>
          <w:sz w:val="20"/>
        </w:rPr>
        <w:t>práticas</w:t>
      </w:r>
      <w:r>
        <w:rPr>
          <w:spacing w:val="-11"/>
          <w:sz w:val="20"/>
        </w:rPr>
        <w:t xml:space="preserve"> </w:t>
      </w:r>
      <w:r>
        <w:rPr>
          <w:sz w:val="20"/>
        </w:rPr>
        <w:t>que</w:t>
      </w:r>
      <w:r>
        <w:rPr>
          <w:spacing w:val="-12"/>
          <w:sz w:val="20"/>
        </w:rPr>
        <w:t xml:space="preserve"> </w:t>
      </w:r>
      <w:r>
        <w:rPr>
          <w:sz w:val="20"/>
        </w:rPr>
        <w:t>auxiliem</w:t>
      </w:r>
      <w:r>
        <w:rPr>
          <w:spacing w:val="-9"/>
          <w:sz w:val="20"/>
        </w:rPr>
        <w:t xml:space="preserve"> </w:t>
      </w:r>
      <w:r>
        <w:rPr>
          <w:sz w:val="20"/>
        </w:rPr>
        <w:t>na</w:t>
      </w:r>
      <w:r>
        <w:rPr>
          <w:spacing w:val="-13"/>
          <w:sz w:val="20"/>
        </w:rPr>
        <w:t xml:space="preserve"> </w:t>
      </w:r>
      <w:r>
        <w:rPr>
          <w:sz w:val="20"/>
        </w:rPr>
        <w:t>prevenção</w:t>
      </w:r>
      <w:r>
        <w:rPr>
          <w:spacing w:val="-10"/>
          <w:sz w:val="20"/>
        </w:rPr>
        <w:t xml:space="preserve"> </w:t>
      </w:r>
      <w:r>
        <w:rPr>
          <w:sz w:val="20"/>
        </w:rPr>
        <w:t>da</w:t>
      </w:r>
      <w:r>
        <w:rPr>
          <w:spacing w:val="-13"/>
          <w:sz w:val="20"/>
        </w:rPr>
        <w:t xml:space="preserve"> </w:t>
      </w:r>
      <w:r>
        <w:rPr>
          <w:spacing w:val="-2"/>
          <w:sz w:val="20"/>
        </w:rPr>
        <w:t>litigiosidade;</w:t>
      </w:r>
    </w:p>
    <w:p w:rsidR="007259F2" w:rsidRDefault="00E655B4">
      <w:pPr>
        <w:pStyle w:val="PargrafodaLista"/>
        <w:numPr>
          <w:ilvl w:val="0"/>
          <w:numId w:val="1"/>
        </w:numPr>
        <w:tabs>
          <w:tab w:val="left" w:pos="2990"/>
        </w:tabs>
        <w:ind w:hanging="622"/>
        <w:jc w:val="left"/>
        <w:rPr>
          <w:sz w:val="20"/>
        </w:rPr>
      </w:pPr>
      <w:r>
        <w:rPr>
          <w:spacing w:val="-2"/>
          <w:sz w:val="20"/>
        </w:rPr>
        <w:t>identificar</w:t>
      </w:r>
      <w:r>
        <w:rPr>
          <w:spacing w:val="4"/>
          <w:sz w:val="20"/>
        </w:rPr>
        <w:t xml:space="preserve"> </w:t>
      </w:r>
      <w:r>
        <w:rPr>
          <w:spacing w:val="-2"/>
          <w:sz w:val="20"/>
        </w:rPr>
        <w:t>matérias</w:t>
      </w:r>
      <w:r>
        <w:rPr>
          <w:sz w:val="20"/>
        </w:rPr>
        <w:t xml:space="preserve"> </w:t>
      </w:r>
      <w:r>
        <w:rPr>
          <w:spacing w:val="-2"/>
          <w:sz w:val="20"/>
        </w:rPr>
        <w:t>elegíveis</w:t>
      </w:r>
      <w:r>
        <w:rPr>
          <w:spacing w:val="-1"/>
          <w:sz w:val="20"/>
        </w:rPr>
        <w:t xml:space="preserve"> </w:t>
      </w:r>
      <w:r>
        <w:rPr>
          <w:spacing w:val="-2"/>
          <w:sz w:val="20"/>
        </w:rPr>
        <w:t>à</w:t>
      </w:r>
      <w:r>
        <w:rPr>
          <w:spacing w:val="2"/>
          <w:sz w:val="20"/>
        </w:rPr>
        <w:t xml:space="preserve"> </w:t>
      </w:r>
      <w:r>
        <w:rPr>
          <w:spacing w:val="-2"/>
          <w:sz w:val="20"/>
        </w:rPr>
        <w:t>solução</w:t>
      </w:r>
      <w:r>
        <w:rPr>
          <w:spacing w:val="1"/>
          <w:sz w:val="20"/>
        </w:rPr>
        <w:t xml:space="preserve"> </w:t>
      </w:r>
      <w:r>
        <w:rPr>
          <w:spacing w:val="-2"/>
          <w:sz w:val="20"/>
        </w:rPr>
        <w:t>consensual</w:t>
      </w:r>
      <w:r>
        <w:rPr>
          <w:spacing w:val="1"/>
          <w:sz w:val="20"/>
        </w:rPr>
        <w:t xml:space="preserve"> </w:t>
      </w:r>
      <w:r>
        <w:rPr>
          <w:spacing w:val="-2"/>
          <w:sz w:val="20"/>
        </w:rPr>
        <w:t>de</w:t>
      </w:r>
      <w:r>
        <w:rPr>
          <w:sz w:val="20"/>
        </w:rPr>
        <w:t xml:space="preserve"> </w:t>
      </w:r>
      <w:r>
        <w:rPr>
          <w:spacing w:val="-2"/>
          <w:sz w:val="20"/>
        </w:rPr>
        <w:t>controvérsias.</w:t>
      </w:r>
    </w:p>
    <w:p w:rsidR="007259F2" w:rsidRDefault="007259F2">
      <w:pPr>
        <w:pStyle w:val="Corpodetexto"/>
        <w:ind w:left="0" w:firstLine="0"/>
        <w:jc w:val="left"/>
        <w:rPr>
          <w:sz w:val="20"/>
        </w:rPr>
      </w:pPr>
    </w:p>
    <w:p w:rsidR="007259F2" w:rsidRDefault="00E655B4">
      <w:pPr>
        <w:pStyle w:val="Corpodetexto"/>
        <w:ind w:left="2" w:right="138"/>
      </w:pPr>
      <w:r>
        <w:t>Apesar de</w:t>
      </w:r>
      <w:r>
        <w:rPr>
          <w:spacing w:val="-1"/>
        </w:rPr>
        <w:t xml:space="preserve"> </w:t>
      </w:r>
      <w:r>
        <w:t>não haver</w:t>
      </w:r>
      <w:r>
        <w:rPr>
          <w:spacing w:val="-1"/>
        </w:rPr>
        <w:t xml:space="preserve"> </w:t>
      </w:r>
      <w:r>
        <w:t>menção à solução de conflitos ambientais pela Lei em comento, é importante lembrar que o Direito Ambiental demanda interdisciplinaridade, ampla participação dos envolvidos e acesso à informação, cooperação, o que pode ser efetivamente garantido pelas soluções consensuais de conflito, pois eles beneficiam o restabelecimento do diálogo entre os participantes, promovem a troca de informações para o alcance de soluções criativas voltadas à preservação, ao desenvolvimento econômico e social e a proteção do equilíbrio do meio ambiente, garantindo a sadia qualidade de vida pelo meio ambiente ecologicamente equilibrado,</w:t>
      </w:r>
      <w:r>
        <w:rPr>
          <w:spacing w:val="-3"/>
        </w:rPr>
        <w:t xml:space="preserve"> </w:t>
      </w:r>
      <w:r>
        <w:t>econômico</w:t>
      </w:r>
      <w:r>
        <w:rPr>
          <w:spacing w:val="-4"/>
        </w:rPr>
        <w:t xml:space="preserve"> </w:t>
      </w:r>
      <w:r>
        <w:t>e</w:t>
      </w:r>
      <w:r>
        <w:rPr>
          <w:spacing w:val="-3"/>
        </w:rPr>
        <w:t xml:space="preserve"> </w:t>
      </w:r>
      <w:r>
        <w:t>socialmente</w:t>
      </w:r>
      <w:r>
        <w:rPr>
          <w:spacing w:val="-2"/>
        </w:rPr>
        <w:t xml:space="preserve"> </w:t>
      </w:r>
      <w:r>
        <w:t>sustentável,</w:t>
      </w:r>
      <w:r>
        <w:rPr>
          <w:spacing w:val="-1"/>
        </w:rPr>
        <w:t xml:space="preserve"> </w:t>
      </w:r>
      <w:r>
        <w:t>que</w:t>
      </w:r>
      <w:r>
        <w:rPr>
          <w:spacing w:val="-3"/>
        </w:rPr>
        <w:t xml:space="preserve"> </w:t>
      </w:r>
      <w:r>
        <w:t>fica,</w:t>
      </w:r>
      <w:r>
        <w:rPr>
          <w:spacing w:val="-4"/>
        </w:rPr>
        <w:t xml:space="preserve"> </w:t>
      </w:r>
      <w:r>
        <w:t>assim, preservado para as futuras gerações.</w:t>
      </w:r>
    </w:p>
    <w:p w:rsidR="007259F2" w:rsidRDefault="00E655B4">
      <w:pPr>
        <w:pStyle w:val="Corpodetexto"/>
        <w:spacing w:before="1"/>
        <w:ind w:left="2" w:right="138"/>
      </w:pPr>
      <w:r>
        <w:t xml:space="preserve">Há registros de diversos </w:t>
      </w:r>
      <w:r>
        <w:rPr>
          <w:i/>
        </w:rPr>
        <w:t xml:space="preserve">cases </w:t>
      </w:r>
      <w:r>
        <w:t>ambientais internacionais e nacionais resolvidos, outros evitados, mediante o uso da arbitragem, da mediação e da negociação, como o da Mineradora BHP em Tintaya, no Peru, onde a mediação auxiliou a empresa no diálogo com os povos indígenas locais quanto à sua realocação</w:t>
      </w:r>
      <w:r>
        <w:rPr>
          <w:spacing w:val="-5"/>
        </w:rPr>
        <w:t xml:space="preserve"> </w:t>
      </w:r>
      <w:r>
        <w:t>da</w:t>
      </w:r>
      <w:r>
        <w:rPr>
          <w:spacing w:val="-8"/>
        </w:rPr>
        <w:t xml:space="preserve"> </w:t>
      </w:r>
      <w:r>
        <w:t>terra</w:t>
      </w:r>
      <w:r>
        <w:rPr>
          <w:spacing w:val="-11"/>
        </w:rPr>
        <w:t xml:space="preserve"> </w:t>
      </w:r>
      <w:r>
        <w:t>de</w:t>
      </w:r>
      <w:r>
        <w:rPr>
          <w:spacing w:val="-11"/>
        </w:rPr>
        <w:t xml:space="preserve"> </w:t>
      </w:r>
      <w:r>
        <w:t>seus</w:t>
      </w:r>
      <w:r>
        <w:rPr>
          <w:spacing w:val="-9"/>
        </w:rPr>
        <w:t xml:space="preserve"> </w:t>
      </w:r>
      <w:r>
        <w:t>ancestrais</w:t>
      </w:r>
      <w:r>
        <w:rPr>
          <w:spacing w:val="-8"/>
        </w:rPr>
        <w:t xml:space="preserve"> </w:t>
      </w:r>
      <w:r>
        <w:t>para</w:t>
      </w:r>
      <w:r>
        <w:rPr>
          <w:spacing w:val="-10"/>
        </w:rPr>
        <w:t xml:space="preserve"> </w:t>
      </w:r>
      <w:r>
        <w:t>dar</w:t>
      </w:r>
      <w:r>
        <w:rPr>
          <w:spacing w:val="-8"/>
        </w:rPr>
        <w:t xml:space="preserve"> </w:t>
      </w:r>
      <w:r>
        <w:t>lugar</w:t>
      </w:r>
      <w:r>
        <w:rPr>
          <w:spacing w:val="-8"/>
        </w:rPr>
        <w:t xml:space="preserve"> </w:t>
      </w:r>
      <w:r>
        <w:t>à</w:t>
      </w:r>
      <w:r>
        <w:rPr>
          <w:spacing w:val="-11"/>
        </w:rPr>
        <w:t xml:space="preserve"> </w:t>
      </w:r>
      <w:r>
        <w:t>mineração, além de minorar os impactos ambientais locais; no Brasil temos o projeto Minas-Rio, da mineradora inglesa Anglo American, que visa a exploração do minério de ferro, contou com técnicas de negociação para auxiliar na aquisição das terras necessárias para a passagem do gasoduto; nos Estados Unidos da América, o uso do rio Hudson para produção de energia; a disputa sobre a extensão da Interestadual 90 através do Lago Washington e em Seattle, e por onde</w:t>
      </w:r>
      <w:r>
        <w:rPr>
          <w:spacing w:val="-7"/>
        </w:rPr>
        <w:t xml:space="preserve"> </w:t>
      </w:r>
      <w:r>
        <w:t>ela</w:t>
      </w:r>
      <w:r>
        <w:rPr>
          <w:spacing w:val="-5"/>
        </w:rPr>
        <w:t xml:space="preserve"> </w:t>
      </w:r>
      <w:r>
        <w:t>seria</w:t>
      </w:r>
      <w:r>
        <w:rPr>
          <w:spacing w:val="-6"/>
        </w:rPr>
        <w:t xml:space="preserve"> </w:t>
      </w:r>
      <w:r>
        <w:t>construída;</w:t>
      </w:r>
      <w:r>
        <w:rPr>
          <w:spacing w:val="-3"/>
        </w:rPr>
        <w:t xml:space="preserve"> </w:t>
      </w:r>
      <w:r>
        <w:t>a</w:t>
      </w:r>
      <w:r>
        <w:rPr>
          <w:spacing w:val="-8"/>
        </w:rPr>
        <w:t xml:space="preserve"> </w:t>
      </w:r>
      <w:r>
        <w:t>disputa</w:t>
      </w:r>
      <w:r>
        <w:rPr>
          <w:spacing w:val="-5"/>
        </w:rPr>
        <w:t xml:space="preserve"> </w:t>
      </w:r>
      <w:r>
        <w:t>entre</w:t>
      </w:r>
      <w:r>
        <w:rPr>
          <w:spacing w:val="-6"/>
        </w:rPr>
        <w:t xml:space="preserve"> </w:t>
      </w:r>
      <w:r>
        <w:t>um desenvolvedor</w:t>
      </w:r>
      <w:r>
        <w:rPr>
          <w:spacing w:val="-15"/>
        </w:rPr>
        <w:t xml:space="preserve"> </w:t>
      </w:r>
      <w:r>
        <w:t>hidrelétrico</w:t>
      </w:r>
      <w:r>
        <w:rPr>
          <w:spacing w:val="-14"/>
        </w:rPr>
        <w:t xml:space="preserve"> </w:t>
      </w:r>
      <w:r>
        <w:t>de</w:t>
      </w:r>
      <w:r>
        <w:rPr>
          <w:spacing w:val="-15"/>
        </w:rPr>
        <w:t xml:space="preserve"> </w:t>
      </w:r>
      <w:r>
        <w:t>pequena</w:t>
      </w:r>
      <w:r>
        <w:rPr>
          <w:spacing w:val="-15"/>
        </w:rPr>
        <w:t xml:space="preserve"> </w:t>
      </w:r>
      <w:r>
        <w:t>escala,</w:t>
      </w:r>
      <w:r>
        <w:rPr>
          <w:spacing w:val="-14"/>
        </w:rPr>
        <w:t xml:space="preserve"> </w:t>
      </w:r>
      <w:r>
        <w:t>que queria extrair a água do lago em Swanville, Me. e a cidade de Swanville, que queria usar a água para outros fins; a cidade de Eau Claire, Wisconsin, estava envolvida em uma disputa com a cidade de Seymour, que Eau Claire havia escolhido como lixão; moradores de Port Townsend, Washington, solucionaram mediante um acordo sobre o novo local para a instalação de um terminal de balsas</w:t>
      </w:r>
      <w:r>
        <w:rPr>
          <w:vertAlign w:val="superscript"/>
        </w:rPr>
        <w:t>7</w:t>
      </w:r>
      <w:r>
        <w:t>.</w:t>
      </w:r>
    </w:p>
    <w:p w:rsidR="007259F2" w:rsidRDefault="00E655B4">
      <w:pPr>
        <w:pStyle w:val="Corpodetexto"/>
        <w:ind w:left="2" w:right="138"/>
      </w:pPr>
      <w:r>
        <w:t>Outro ponto que devemos destacar no uso das soluções consensuais em matéria ambiental relaciona-se à natureza jurídica dos interesses tutelados, que podem ser difusos, coletivos e individuais homogêneos, envolvendo direitos disponíveis ou não, o que implica refletir sobre a possibilidade de as partes envolvidas poderem transigir sobre os mesmos.</w:t>
      </w:r>
    </w:p>
    <w:p w:rsidR="007259F2" w:rsidRDefault="00E655B4">
      <w:pPr>
        <w:pStyle w:val="Corpodetexto"/>
        <w:ind w:left="2" w:right="141"/>
      </w:pPr>
      <w:r>
        <w:t xml:space="preserve">Neste contexto, dependendo dos interesses em baila, deve ser observado o que prevê nossa legislação acerca da legitimidade e interesse jurídico para ser "parte" neste processo, inclusive para preservação de eventuais direitos indisponíveis, concluindo, assim, não haver dúvida acerca da possibilidade de ser recorrer a tais métodos alternativos de soluções de conflitos em matéria ambiental relacionada a questões patrimoniais e disponíveis dos seus </w:t>
      </w:r>
      <w:r>
        <w:rPr>
          <w:spacing w:val="-2"/>
        </w:rPr>
        <w:t>interessados.</w:t>
      </w:r>
    </w:p>
    <w:p w:rsidR="007259F2" w:rsidRDefault="00E655B4">
      <w:pPr>
        <w:pStyle w:val="Corpodetexto"/>
        <w:ind w:left="2" w:right="142"/>
      </w:pPr>
      <w:r>
        <w:t>Nos casos direitos difusos, por exemplo, relacionados com algum conflito envolvendo uso da água, o Ministério Público tem quer ser parte necessariamente desta solução.</w:t>
      </w:r>
    </w:p>
    <w:p w:rsidR="007259F2" w:rsidRDefault="00E655B4">
      <w:pPr>
        <w:pStyle w:val="Corpodetexto"/>
        <w:ind w:left="2" w:right="139"/>
      </w:pPr>
      <w:r>
        <w:t>Já na hipótese de direitos coletivos, em que uma associação de bairro pleiteia a conservação</w:t>
      </w:r>
      <w:r>
        <w:rPr>
          <w:spacing w:val="-13"/>
        </w:rPr>
        <w:t xml:space="preserve"> </w:t>
      </w:r>
      <w:r>
        <w:t>de</w:t>
      </w:r>
      <w:r>
        <w:rPr>
          <w:spacing w:val="-14"/>
        </w:rPr>
        <w:t xml:space="preserve"> </w:t>
      </w:r>
      <w:r>
        <w:t>um</w:t>
      </w:r>
      <w:r>
        <w:rPr>
          <w:spacing w:val="-12"/>
        </w:rPr>
        <w:t xml:space="preserve"> </w:t>
      </w:r>
      <w:r>
        <w:t>parque</w:t>
      </w:r>
      <w:r>
        <w:rPr>
          <w:spacing w:val="-14"/>
        </w:rPr>
        <w:t xml:space="preserve"> </w:t>
      </w:r>
      <w:r>
        <w:t>em</w:t>
      </w:r>
      <w:r>
        <w:rPr>
          <w:spacing w:val="-13"/>
        </w:rPr>
        <w:t xml:space="preserve"> </w:t>
      </w:r>
      <w:r>
        <w:t>razão</w:t>
      </w:r>
      <w:r>
        <w:rPr>
          <w:spacing w:val="-13"/>
        </w:rPr>
        <w:t xml:space="preserve"> </w:t>
      </w:r>
      <w:r>
        <w:t>de</w:t>
      </w:r>
      <w:r>
        <w:rPr>
          <w:spacing w:val="-14"/>
        </w:rPr>
        <w:t xml:space="preserve"> </w:t>
      </w:r>
      <w:r>
        <w:t>obras</w:t>
      </w:r>
      <w:r>
        <w:rPr>
          <w:spacing w:val="-12"/>
        </w:rPr>
        <w:t xml:space="preserve"> </w:t>
      </w:r>
      <w:r>
        <w:t>de</w:t>
      </w:r>
      <w:r>
        <w:rPr>
          <w:spacing w:val="-14"/>
        </w:rPr>
        <w:t xml:space="preserve"> </w:t>
      </w:r>
      <w:r>
        <w:t>construção</w:t>
      </w:r>
      <w:r>
        <w:rPr>
          <w:spacing w:val="-13"/>
        </w:rPr>
        <w:t xml:space="preserve"> </w:t>
      </w:r>
      <w:r>
        <w:t>civil</w:t>
      </w:r>
      <w:r>
        <w:rPr>
          <w:spacing w:val="-12"/>
        </w:rPr>
        <w:t xml:space="preserve"> </w:t>
      </w:r>
      <w:r>
        <w:t>em</w:t>
      </w:r>
      <w:r>
        <w:rPr>
          <w:spacing w:val="-12"/>
        </w:rPr>
        <w:t xml:space="preserve"> </w:t>
      </w:r>
      <w:r>
        <w:t>determinada localidade,</w:t>
      </w:r>
      <w:r>
        <w:rPr>
          <w:spacing w:val="-9"/>
        </w:rPr>
        <w:t xml:space="preserve"> </w:t>
      </w:r>
      <w:r>
        <w:t>os representantes</w:t>
      </w:r>
      <w:r>
        <w:rPr>
          <w:spacing w:val="-9"/>
        </w:rPr>
        <w:t xml:space="preserve"> </w:t>
      </w:r>
      <w:r>
        <w:t>legais</w:t>
      </w:r>
      <w:r>
        <w:rPr>
          <w:spacing w:val="-11"/>
        </w:rPr>
        <w:t xml:space="preserve"> </w:t>
      </w:r>
      <w:r>
        <w:t>desta</w:t>
      </w:r>
      <w:r>
        <w:rPr>
          <w:spacing w:val="-7"/>
        </w:rPr>
        <w:t xml:space="preserve"> </w:t>
      </w:r>
      <w:r>
        <w:t>associação</w:t>
      </w:r>
      <w:r>
        <w:rPr>
          <w:spacing w:val="-10"/>
        </w:rPr>
        <w:t xml:space="preserve"> </w:t>
      </w:r>
      <w:r>
        <w:t>precisam</w:t>
      </w:r>
      <w:r>
        <w:rPr>
          <w:spacing w:val="-6"/>
        </w:rPr>
        <w:t xml:space="preserve"> </w:t>
      </w:r>
      <w:r>
        <w:t>ser</w:t>
      </w:r>
      <w:r>
        <w:rPr>
          <w:spacing w:val="-10"/>
        </w:rPr>
        <w:t xml:space="preserve"> </w:t>
      </w:r>
      <w:r>
        <w:t>chamados</w:t>
      </w:r>
      <w:r>
        <w:rPr>
          <w:spacing w:val="-10"/>
        </w:rPr>
        <w:t xml:space="preserve"> </w:t>
      </w:r>
      <w:r>
        <w:t>para ser parte de uma mediação.</w:t>
      </w:r>
    </w:p>
    <w:p w:rsidR="007259F2" w:rsidRDefault="007259F2">
      <w:pPr>
        <w:pStyle w:val="Corpodetexto"/>
        <w:ind w:left="0" w:firstLine="0"/>
        <w:jc w:val="left"/>
        <w:rPr>
          <w:sz w:val="20"/>
        </w:rPr>
      </w:pPr>
    </w:p>
    <w:p w:rsidR="007259F2" w:rsidRDefault="007259F2">
      <w:pPr>
        <w:pStyle w:val="Corpodetexto"/>
        <w:ind w:left="0" w:firstLine="0"/>
        <w:jc w:val="left"/>
        <w:rPr>
          <w:sz w:val="20"/>
        </w:rPr>
      </w:pPr>
    </w:p>
    <w:p w:rsidR="007259F2" w:rsidRDefault="00DE6B1C">
      <w:pPr>
        <w:pStyle w:val="Corpodetexto"/>
        <w:spacing w:before="42"/>
        <w:ind w:left="0" w:firstLine="0"/>
        <w:jc w:val="left"/>
        <w:rPr>
          <w:sz w:val="20"/>
        </w:rPr>
      </w:pPr>
      <w:r w:rsidRPr="00DE6B1C">
        <w:rPr>
          <w:sz w:val="20"/>
        </w:rPr>
        <w:pict>
          <v:rect id="docshape204" o:spid="_x0000_s1027" style="position:absolute;margin-left:85.1pt;margin-top:14.85pt;width:2in;height:.7pt;z-index:-15634944;mso-wrap-distance-left:0;mso-wrap-distance-right:0;mso-position-horizontal-relative:page" fillcolor="black" stroked="f">
            <w10:wrap type="topAndBottom" anchorx="page"/>
          </v:rect>
        </w:pict>
      </w:r>
    </w:p>
    <w:p w:rsidR="007259F2" w:rsidRDefault="00E655B4">
      <w:pPr>
        <w:spacing w:before="96"/>
        <w:ind w:left="2" w:right="141"/>
        <w:jc w:val="both"/>
        <w:rPr>
          <w:sz w:val="20"/>
        </w:rPr>
      </w:pPr>
      <w:r>
        <w:rPr>
          <w:sz w:val="20"/>
          <w:vertAlign w:val="superscript"/>
        </w:rPr>
        <w:t>7</w:t>
      </w:r>
      <w:r>
        <w:rPr>
          <w:sz w:val="20"/>
        </w:rPr>
        <w:t xml:space="preserve"> UNITED STATES. Department of Justice. Office of Justice Programs. </w:t>
      </w:r>
      <w:r>
        <w:rPr>
          <w:b/>
          <w:sz w:val="20"/>
        </w:rPr>
        <w:t xml:space="preserve">Settling things </w:t>
      </w:r>
      <w:r>
        <w:rPr>
          <w:sz w:val="20"/>
        </w:rPr>
        <w:t>— six case studies in environmental mediation</w:t>
      </w:r>
      <w:r>
        <w:rPr>
          <w:i/>
          <w:sz w:val="20"/>
        </w:rPr>
        <w:t xml:space="preserve">. </w:t>
      </w:r>
      <w:r>
        <w:rPr>
          <w:sz w:val="20"/>
        </w:rPr>
        <w:t xml:space="preserve">[S.l.]: U.S. Department of Justice, [s.d.]. Disponível em: </w:t>
      </w:r>
      <w:r>
        <w:rPr>
          <w:spacing w:val="-2"/>
          <w:sz w:val="20"/>
        </w:rPr>
        <w:t>https://</w:t>
      </w:r>
      <w:hyperlink r:id="rId471">
        <w:r>
          <w:rPr>
            <w:spacing w:val="-2"/>
            <w:sz w:val="20"/>
          </w:rPr>
          <w:t>www.ojp.gov/ncjrs/virtual-library/abstracts/settling-things-six-case-studies-environmental-mediation.</w:t>
        </w:r>
      </w:hyperlink>
    </w:p>
    <w:p w:rsidR="007259F2" w:rsidRDefault="007259F2">
      <w:pPr>
        <w:jc w:val="both"/>
        <w:rPr>
          <w:sz w:val="20"/>
        </w:rPr>
        <w:sectPr w:rsidR="007259F2">
          <w:footerReference w:type="default" r:id="rId472"/>
          <w:pgSz w:w="11920" w:h="16850"/>
          <w:pgMar w:top="1620" w:right="992" w:bottom="280" w:left="1700" w:header="0" w:footer="0" w:gutter="0"/>
          <w:cols w:space="720"/>
        </w:sectPr>
      </w:pPr>
    </w:p>
    <w:p w:rsidR="007259F2" w:rsidRDefault="00E655B4">
      <w:pPr>
        <w:pStyle w:val="Corpodetexto"/>
        <w:spacing w:before="73"/>
        <w:ind w:left="2" w:right="140"/>
      </w:pPr>
      <w:r>
        <w:lastRenderedPageBreak/>
        <w:t>No caso de direitos individuais homogêneos, pensa-se na fase de liquidação de uma sentença judicial de uma indenização decorrente de um acidente que gerou danos à saúde de várias</w:t>
      </w:r>
      <w:r>
        <w:rPr>
          <w:spacing w:val="-4"/>
        </w:rPr>
        <w:t xml:space="preserve"> </w:t>
      </w:r>
      <w:r>
        <w:t>pessoas,</w:t>
      </w:r>
      <w:r>
        <w:rPr>
          <w:spacing w:val="-2"/>
        </w:rPr>
        <w:t xml:space="preserve"> </w:t>
      </w:r>
      <w:r>
        <w:t>resolvida</w:t>
      </w:r>
      <w:r>
        <w:rPr>
          <w:spacing w:val="-4"/>
        </w:rPr>
        <w:t xml:space="preserve"> </w:t>
      </w:r>
      <w:r>
        <w:t>mediante</w:t>
      </w:r>
      <w:r>
        <w:rPr>
          <w:spacing w:val="-4"/>
        </w:rPr>
        <w:t xml:space="preserve"> </w:t>
      </w:r>
      <w:r>
        <w:t>uma</w:t>
      </w:r>
      <w:r>
        <w:rPr>
          <w:spacing w:val="-8"/>
        </w:rPr>
        <w:t xml:space="preserve"> </w:t>
      </w:r>
      <w:r>
        <w:t>mediação ou</w:t>
      </w:r>
      <w:r>
        <w:rPr>
          <w:spacing w:val="-4"/>
        </w:rPr>
        <w:t xml:space="preserve"> </w:t>
      </w:r>
      <w:r>
        <w:t>conciliação entre as partes interessadas.</w:t>
      </w:r>
    </w:p>
    <w:p w:rsidR="007259F2" w:rsidRDefault="00E655B4">
      <w:pPr>
        <w:pStyle w:val="Corpodetexto"/>
        <w:ind w:left="2" w:right="137"/>
      </w:pPr>
      <w:r>
        <w:t>Levando em consideração os princípios e as finalidades que regem a tutela do direito ambiental, podemos pensar que não somente direitos patrimoniais relacionados ao aspecto indenizatório decorrente de um problema ambiental podem ser resolvidos pelos métodos consensuais de solução de conflitos, como outros.</w:t>
      </w:r>
    </w:p>
    <w:p w:rsidR="007259F2" w:rsidRDefault="00E655B4">
      <w:pPr>
        <w:pStyle w:val="Corpodetexto"/>
        <w:ind w:left="2" w:right="143"/>
      </w:pPr>
      <w:r>
        <w:t>Como ressalta o professor Mancuso</w:t>
      </w:r>
      <w:r>
        <w:rPr>
          <w:vertAlign w:val="superscript"/>
        </w:rPr>
        <w:t>8</w:t>
      </w:r>
      <w:r>
        <w:t>, caso seja resguardado o núcleo do interesse metaindividual indisponível, seria plenamente cabível a transação.</w:t>
      </w:r>
    </w:p>
    <w:p w:rsidR="007259F2" w:rsidRDefault="00E655B4">
      <w:pPr>
        <w:pStyle w:val="Corpodetexto"/>
        <w:ind w:left="2" w:right="139"/>
      </w:pPr>
      <w:r>
        <w:t>As soluções consensuais podem também ser aplicadas em uma situação anterior ao conflito ambiental, em que as partes interessadas possam ser previamente</w:t>
      </w:r>
      <w:r>
        <w:rPr>
          <w:spacing w:val="40"/>
        </w:rPr>
        <w:t xml:space="preserve"> </w:t>
      </w:r>
      <w:r>
        <w:t>consultadas, audiências públicas realizadas, conversas entre os envolvidos, cada qual expondo seus interesses e preocupações acerca das vantagens e desvantagens das pretendidas intervenções que possam vir a gerar um impacto ou dano ambiental, seria possível e viável esta fase ser conduzida previamente por uma destas ferramentas de solução de conflitos, pois o resultado esperado de "ganha-ganha" atingiria seu potencial pleno, em que todos sairiam vitoriosos;</w:t>
      </w:r>
      <w:r>
        <w:rPr>
          <w:spacing w:val="80"/>
        </w:rPr>
        <w:t xml:space="preserve"> </w:t>
      </w:r>
      <w:r>
        <w:t>mas o mais importante é</w:t>
      </w:r>
      <w:r>
        <w:rPr>
          <w:spacing w:val="-2"/>
        </w:rPr>
        <w:t xml:space="preserve"> </w:t>
      </w:r>
      <w:r>
        <w:t>que estaríamos, conscientemente, diminuindo o impacto ao ambiente de uma forma programada, sustentável e preservada para as futuras gerações.</w:t>
      </w:r>
    </w:p>
    <w:p w:rsidR="007259F2" w:rsidRDefault="00E655B4">
      <w:pPr>
        <w:pStyle w:val="Corpodetexto"/>
        <w:spacing w:before="1"/>
        <w:ind w:left="2" w:right="139"/>
      </w:pPr>
      <w:r>
        <w:t>Precisamos conferir às soluções consensuais a relevância necessária para que os resultados por meio deles sejam eficazes, ou seja, sejam respeitadas por todos,</w:t>
      </w:r>
      <w:r>
        <w:rPr>
          <w:spacing w:val="-11"/>
        </w:rPr>
        <w:t xml:space="preserve"> </w:t>
      </w:r>
      <w:r>
        <w:t>principalmente pelos órgãos e instituições públicas, além do Poder Judiciário, pois somente assim a credibilidade que</w:t>
      </w:r>
      <w:r>
        <w:rPr>
          <w:spacing w:val="-1"/>
        </w:rPr>
        <w:t xml:space="preserve"> </w:t>
      </w:r>
      <w:r>
        <w:t>deles se</w:t>
      </w:r>
      <w:r>
        <w:rPr>
          <w:spacing w:val="-1"/>
        </w:rPr>
        <w:t xml:space="preserve"> </w:t>
      </w:r>
      <w:r>
        <w:t>espera será</w:t>
      </w:r>
      <w:r>
        <w:rPr>
          <w:spacing w:val="-1"/>
        </w:rPr>
        <w:t xml:space="preserve"> </w:t>
      </w:r>
      <w:r>
        <w:t>concreta, além de ampliar</w:t>
      </w:r>
      <w:r>
        <w:rPr>
          <w:spacing w:val="-1"/>
        </w:rPr>
        <w:t xml:space="preserve"> </w:t>
      </w:r>
      <w:r>
        <w:t xml:space="preserve">sua utilização em larga escala nos mais diversos segmentos, o que certamente contribuirá para o desentrave da burocratização, fomentando mais investimentos e desenvolvimento econômico para nossa </w:t>
      </w:r>
      <w:r>
        <w:rPr>
          <w:spacing w:val="-2"/>
        </w:rPr>
        <w:t>sociedade.</w:t>
      </w:r>
    </w:p>
    <w:p w:rsidR="007259F2" w:rsidRDefault="00E655B4">
      <w:pPr>
        <w:pStyle w:val="Corpodetexto"/>
        <w:ind w:left="2" w:right="141"/>
      </w:pPr>
      <w:r>
        <w:t>A utilização desses métodos pode contribuir para o equilíbrio entre o desenvolvimento econômico e a proteção ambiental, ao permitir que as partes cheguem a uma solução consensual, criativa e mais sustentável e protetiva para o conflito ambiental.</w:t>
      </w:r>
    </w:p>
    <w:p w:rsidR="007259F2" w:rsidRDefault="00E655B4">
      <w:pPr>
        <w:pStyle w:val="Corpodetexto"/>
        <w:ind w:left="2" w:right="144"/>
      </w:pPr>
      <w:r>
        <w:t>No caso em comento, ao se homologar o acordo judicialmente, haverá economia financeira, processual, de tempo, de pessoal, pois buscou-se evitar não apenas um, mas vários litigios simultâneos.</w:t>
      </w:r>
    </w:p>
    <w:p w:rsidR="007259F2" w:rsidRDefault="00E655B4">
      <w:pPr>
        <w:pStyle w:val="Corpodetexto"/>
        <w:ind w:left="2" w:right="139"/>
      </w:pPr>
      <w:r>
        <w:t>De</w:t>
      </w:r>
      <w:r>
        <w:rPr>
          <w:spacing w:val="-4"/>
        </w:rPr>
        <w:t xml:space="preserve"> </w:t>
      </w:r>
      <w:r>
        <w:t>um</w:t>
      </w:r>
      <w:r>
        <w:rPr>
          <w:spacing w:val="-2"/>
        </w:rPr>
        <w:t xml:space="preserve"> </w:t>
      </w:r>
      <w:r>
        <w:t>lado</w:t>
      </w:r>
      <w:r>
        <w:rPr>
          <w:spacing w:val="-2"/>
        </w:rPr>
        <w:t xml:space="preserve"> </w:t>
      </w:r>
      <w:r>
        <w:t>evita-se</w:t>
      </w:r>
      <w:r>
        <w:rPr>
          <w:spacing w:val="-1"/>
        </w:rPr>
        <w:t xml:space="preserve"> </w:t>
      </w:r>
      <w:r>
        <w:t>a</w:t>
      </w:r>
      <w:r>
        <w:rPr>
          <w:spacing w:val="-1"/>
        </w:rPr>
        <w:t xml:space="preserve"> </w:t>
      </w:r>
      <w:r>
        <w:t>execução</w:t>
      </w:r>
      <w:r>
        <w:rPr>
          <w:spacing w:val="-2"/>
        </w:rPr>
        <w:t xml:space="preserve"> </w:t>
      </w:r>
      <w:r>
        <w:t>dos</w:t>
      </w:r>
      <w:r>
        <w:rPr>
          <w:spacing w:val="-2"/>
        </w:rPr>
        <w:t xml:space="preserve"> </w:t>
      </w:r>
      <w:r>
        <w:t>valores devidos</w:t>
      </w:r>
      <w:r>
        <w:rPr>
          <w:spacing w:val="-2"/>
        </w:rPr>
        <w:t xml:space="preserve"> </w:t>
      </w:r>
      <w:r>
        <w:t>a</w:t>
      </w:r>
      <w:r>
        <w:rPr>
          <w:spacing w:val="-2"/>
        </w:rPr>
        <w:t xml:space="preserve"> </w:t>
      </w:r>
      <w:r>
        <w:t>COHAB, a</w:t>
      </w:r>
      <w:r>
        <w:rPr>
          <w:spacing w:val="-1"/>
        </w:rPr>
        <w:t xml:space="preserve"> </w:t>
      </w:r>
      <w:r>
        <w:t>titulo</w:t>
      </w:r>
      <w:r>
        <w:rPr>
          <w:spacing w:val="-2"/>
        </w:rPr>
        <w:t xml:space="preserve"> </w:t>
      </w:r>
      <w:r>
        <w:t>de</w:t>
      </w:r>
      <w:r>
        <w:rPr>
          <w:spacing w:val="-1"/>
        </w:rPr>
        <w:t xml:space="preserve"> </w:t>
      </w:r>
      <w:r>
        <w:t>indenização pela desapropriação das glebas que criaram o Parque do Carmo; de outro, evita-se o ajuizamento de ações judiciais para a cobrança das multas aplicadas pelas infrações</w:t>
      </w:r>
      <w:r>
        <w:rPr>
          <w:spacing w:val="40"/>
        </w:rPr>
        <w:t xml:space="preserve"> </w:t>
      </w:r>
      <w:r>
        <w:t>ambientais constatadas pelos órgãos técnicos da Secretária do Verde e do Meio Ambiente.</w:t>
      </w:r>
    </w:p>
    <w:p w:rsidR="007259F2" w:rsidRDefault="00E655B4">
      <w:pPr>
        <w:pStyle w:val="Corpodetexto"/>
        <w:ind w:left="2" w:right="139"/>
      </w:pPr>
      <w:r>
        <w:t>Economiza-se</w:t>
      </w:r>
      <w:r>
        <w:rPr>
          <w:spacing w:val="-8"/>
        </w:rPr>
        <w:t xml:space="preserve"> </w:t>
      </w:r>
      <w:r>
        <w:t>custas,</w:t>
      </w:r>
      <w:r>
        <w:rPr>
          <w:spacing w:val="-8"/>
        </w:rPr>
        <w:t xml:space="preserve"> </w:t>
      </w:r>
      <w:r>
        <w:t>honorários,</w:t>
      </w:r>
      <w:r>
        <w:rPr>
          <w:spacing w:val="-8"/>
        </w:rPr>
        <w:t xml:space="preserve"> </w:t>
      </w:r>
      <w:r>
        <w:t>tempo</w:t>
      </w:r>
      <w:r>
        <w:rPr>
          <w:spacing w:val="-8"/>
        </w:rPr>
        <w:t xml:space="preserve"> </w:t>
      </w:r>
      <w:r>
        <w:t>e</w:t>
      </w:r>
      <w:r>
        <w:rPr>
          <w:spacing w:val="-8"/>
        </w:rPr>
        <w:t xml:space="preserve"> </w:t>
      </w:r>
      <w:r>
        <w:t>pessoal.</w:t>
      </w:r>
      <w:r>
        <w:rPr>
          <w:spacing w:val="-9"/>
        </w:rPr>
        <w:t xml:space="preserve"> </w:t>
      </w:r>
      <w:r>
        <w:t>Assim,</w:t>
      </w:r>
      <w:r>
        <w:rPr>
          <w:spacing w:val="-7"/>
        </w:rPr>
        <w:t xml:space="preserve"> </w:t>
      </w:r>
      <w:r>
        <w:t>é</w:t>
      </w:r>
      <w:r>
        <w:rPr>
          <w:spacing w:val="-8"/>
        </w:rPr>
        <w:t xml:space="preserve"> </w:t>
      </w:r>
      <w:r>
        <w:t>uma</w:t>
      </w:r>
      <w:r>
        <w:rPr>
          <w:spacing w:val="-6"/>
        </w:rPr>
        <w:t xml:space="preserve"> </w:t>
      </w:r>
      <w:r>
        <w:t>relação</w:t>
      </w:r>
      <w:r>
        <w:rPr>
          <w:spacing w:val="-8"/>
        </w:rPr>
        <w:t xml:space="preserve"> </w:t>
      </w:r>
      <w:r>
        <w:t>em</w:t>
      </w:r>
      <w:r>
        <w:rPr>
          <w:spacing w:val="-1"/>
        </w:rPr>
        <w:t xml:space="preserve"> </w:t>
      </w:r>
      <w:r>
        <w:t>que</w:t>
      </w:r>
      <w:r>
        <w:rPr>
          <w:spacing w:val="-12"/>
        </w:rPr>
        <w:t xml:space="preserve"> </w:t>
      </w:r>
      <w:r>
        <w:t>ambas as partes ganham em realizar a transação. Por conseguinte, não há que se</w:t>
      </w:r>
      <w:r>
        <w:rPr>
          <w:spacing w:val="-1"/>
        </w:rPr>
        <w:t xml:space="preserve"> </w:t>
      </w:r>
      <w:r>
        <w:t>falar</w:t>
      </w:r>
      <w:r>
        <w:rPr>
          <w:spacing w:val="-3"/>
        </w:rPr>
        <w:t xml:space="preserve"> </w:t>
      </w:r>
      <w:r>
        <w:t>em autorização legislativa, vez</w:t>
      </w:r>
      <w:r>
        <w:rPr>
          <w:spacing w:val="-5"/>
        </w:rPr>
        <w:t xml:space="preserve"> </w:t>
      </w:r>
      <w:r>
        <w:t>que</w:t>
      </w:r>
      <w:r>
        <w:rPr>
          <w:spacing w:val="-1"/>
        </w:rPr>
        <w:t xml:space="preserve"> </w:t>
      </w:r>
      <w:r>
        <w:t>os</w:t>
      </w:r>
      <w:r>
        <w:rPr>
          <w:spacing w:val="-4"/>
        </w:rPr>
        <w:t xml:space="preserve"> </w:t>
      </w:r>
      <w:r>
        <w:t>imóveis</w:t>
      </w:r>
      <w:r>
        <w:rPr>
          <w:spacing w:val="-2"/>
        </w:rPr>
        <w:t xml:space="preserve"> </w:t>
      </w:r>
      <w:r>
        <w:t>em</w:t>
      </w:r>
      <w:r>
        <w:rPr>
          <w:spacing w:val="-2"/>
        </w:rPr>
        <w:t xml:space="preserve"> </w:t>
      </w:r>
      <w:r>
        <w:t>questão</w:t>
      </w:r>
      <w:r>
        <w:rPr>
          <w:spacing w:val="-6"/>
        </w:rPr>
        <w:t xml:space="preserve"> </w:t>
      </w:r>
      <w:r>
        <w:t>serão integrados ao patrimônio municipal.</w:t>
      </w:r>
    </w:p>
    <w:p w:rsidR="007259F2" w:rsidRDefault="00E655B4">
      <w:pPr>
        <w:pStyle w:val="Corpodetexto"/>
        <w:ind w:left="2" w:right="140"/>
      </w:pPr>
      <w:r>
        <w:t>Do contrário, o processo de execução da COHAB poderia levar anos, com custos elevados para as partes; o mesmo pode-se dizer no caso de não pagamento voluntário pela COHAB das multas ambientais aplicadas, levariam anos de processo, que também levaria anos para ser finalizado.</w:t>
      </w:r>
    </w:p>
    <w:p w:rsidR="007259F2" w:rsidRDefault="00E655B4">
      <w:pPr>
        <w:pStyle w:val="Corpodetexto"/>
        <w:ind w:left="2" w:right="148"/>
      </w:pPr>
      <w:r>
        <w:t>Assim, como os direitos em questão podem ser transacionados pelas partes, economiza-se diversos recursos que podem ser utilizados para outras finalidades.</w:t>
      </w:r>
    </w:p>
    <w:p w:rsidR="007259F2" w:rsidRDefault="00E655B4">
      <w:pPr>
        <w:pStyle w:val="Heading2"/>
        <w:spacing w:before="206"/>
        <w:ind w:left="2"/>
        <w:jc w:val="left"/>
      </w:pPr>
      <w:r>
        <w:rPr>
          <w:spacing w:val="-2"/>
        </w:rPr>
        <w:t>Conclusão</w:t>
      </w:r>
    </w:p>
    <w:p w:rsidR="007259F2" w:rsidRDefault="007259F2">
      <w:pPr>
        <w:pStyle w:val="Corpodetexto"/>
        <w:ind w:left="0" w:firstLine="0"/>
        <w:jc w:val="left"/>
        <w:rPr>
          <w:b/>
          <w:sz w:val="20"/>
        </w:rPr>
      </w:pPr>
    </w:p>
    <w:p w:rsidR="007259F2" w:rsidRDefault="00DE6B1C">
      <w:pPr>
        <w:pStyle w:val="Corpodetexto"/>
        <w:spacing w:before="21"/>
        <w:ind w:left="0" w:firstLine="0"/>
        <w:jc w:val="left"/>
        <w:rPr>
          <w:b/>
          <w:sz w:val="20"/>
        </w:rPr>
      </w:pPr>
      <w:r w:rsidRPr="00DE6B1C">
        <w:rPr>
          <w:b/>
          <w:sz w:val="20"/>
        </w:rPr>
        <w:pict>
          <v:rect id="docshape205" o:spid="_x0000_s1026" style="position:absolute;margin-left:85.1pt;margin-top:13.75pt;width:2in;height:.7pt;z-index:-15634432;mso-wrap-distance-left:0;mso-wrap-distance-right:0;mso-position-horizontal-relative:page" fillcolor="black" stroked="f">
            <w10:wrap type="topAndBottom" anchorx="page"/>
          </v:rect>
        </w:pict>
      </w:r>
    </w:p>
    <w:p w:rsidR="007259F2" w:rsidRDefault="00E655B4">
      <w:pPr>
        <w:spacing w:before="96"/>
        <w:ind w:left="2"/>
        <w:rPr>
          <w:sz w:val="20"/>
        </w:rPr>
      </w:pPr>
      <w:r>
        <w:rPr>
          <w:sz w:val="20"/>
          <w:vertAlign w:val="superscript"/>
        </w:rPr>
        <w:t>8</w:t>
      </w:r>
      <w:r>
        <w:rPr>
          <w:spacing w:val="-8"/>
          <w:sz w:val="20"/>
        </w:rPr>
        <w:t xml:space="preserve"> </w:t>
      </w:r>
      <w:r>
        <w:rPr>
          <w:sz w:val="20"/>
        </w:rPr>
        <w:t>MANCUSO,</w:t>
      </w:r>
      <w:r>
        <w:rPr>
          <w:spacing w:val="-1"/>
          <w:sz w:val="20"/>
        </w:rPr>
        <w:t xml:space="preserve"> </w:t>
      </w:r>
      <w:r>
        <w:rPr>
          <w:sz w:val="20"/>
        </w:rPr>
        <w:t>Rodolfo</w:t>
      </w:r>
      <w:r>
        <w:rPr>
          <w:spacing w:val="-3"/>
          <w:sz w:val="20"/>
        </w:rPr>
        <w:t xml:space="preserve"> </w:t>
      </w:r>
      <w:r>
        <w:rPr>
          <w:sz w:val="20"/>
        </w:rPr>
        <w:t>de</w:t>
      </w:r>
      <w:r>
        <w:rPr>
          <w:spacing w:val="-5"/>
          <w:sz w:val="20"/>
        </w:rPr>
        <w:t xml:space="preserve"> </w:t>
      </w:r>
      <w:r>
        <w:rPr>
          <w:sz w:val="20"/>
        </w:rPr>
        <w:t>Camargo.</w:t>
      </w:r>
      <w:r>
        <w:rPr>
          <w:spacing w:val="-4"/>
          <w:sz w:val="20"/>
        </w:rPr>
        <w:t xml:space="preserve"> </w:t>
      </w:r>
      <w:r>
        <w:rPr>
          <w:b/>
          <w:sz w:val="20"/>
        </w:rPr>
        <w:t>Interesses</w:t>
      </w:r>
      <w:r>
        <w:rPr>
          <w:b/>
          <w:spacing w:val="-6"/>
          <w:sz w:val="20"/>
        </w:rPr>
        <w:t xml:space="preserve"> </w:t>
      </w:r>
      <w:r>
        <w:rPr>
          <w:b/>
          <w:sz w:val="20"/>
        </w:rPr>
        <w:t>difusos:</w:t>
      </w:r>
      <w:r>
        <w:rPr>
          <w:b/>
          <w:spacing w:val="-4"/>
          <w:sz w:val="20"/>
        </w:rPr>
        <w:t xml:space="preserve"> </w:t>
      </w:r>
      <w:r>
        <w:rPr>
          <w:sz w:val="20"/>
        </w:rPr>
        <w:t>conceito</w:t>
      </w:r>
      <w:r>
        <w:rPr>
          <w:spacing w:val="-4"/>
          <w:sz w:val="20"/>
        </w:rPr>
        <w:t xml:space="preserve"> </w:t>
      </w:r>
      <w:r>
        <w:rPr>
          <w:sz w:val="20"/>
        </w:rPr>
        <w:t>e</w:t>
      </w:r>
      <w:r>
        <w:rPr>
          <w:spacing w:val="-5"/>
          <w:sz w:val="20"/>
        </w:rPr>
        <w:t xml:space="preserve"> </w:t>
      </w:r>
      <w:r>
        <w:rPr>
          <w:sz w:val="20"/>
        </w:rPr>
        <w:t>legitimação</w:t>
      </w:r>
      <w:r>
        <w:rPr>
          <w:spacing w:val="-2"/>
          <w:sz w:val="20"/>
        </w:rPr>
        <w:t xml:space="preserve"> </w:t>
      </w:r>
      <w:r>
        <w:rPr>
          <w:sz w:val="20"/>
        </w:rPr>
        <w:t>para</w:t>
      </w:r>
      <w:r>
        <w:rPr>
          <w:spacing w:val="-5"/>
          <w:sz w:val="20"/>
        </w:rPr>
        <w:t xml:space="preserve"> </w:t>
      </w:r>
      <w:r>
        <w:rPr>
          <w:sz w:val="20"/>
        </w:rPr>
        <w:t>agir.</w:t>
      </w:r>
      <w:r>
        <w:rPr>
          <w:spacing w:val="-5"/>
          <w:sz w:val="20"/>
        </w:rPr>
        <w:t xml:space="preserve"> </w:t>
      </w:r>
      <w:r>
        <w:rPr>
          <w:sz w:val="20"/>
        </w:rPr>
        <w:t>São</w:t>
      </w:r>
      <w:r>
        <w:rPr>
          <w:spacing w:val="-4"/>
          <w:sz w:val="20"/>
        </w:rPr>
        <w:t xml:space="preserve"> </w:t>
      </w:r>
      <w:r>
        <w:rPr>
          <w:sz w:val="20"/>
        </w:rPr>
        <w:t>Paulo:</w:t>
      </w:r>
      <w:r>
        <w:rPr>
          <w:spacing w:val="-3"/>
          <w:sz w:val="20"/>
        </w:rPr>
        <w:t xml:space="preserve"> </w:t>
      </w:r>
      <w:r>
        <w:rPr>
          <w:sz w:val="20"/>
        </w:rPr>
        <w:t>Revista</w:t>
      </w:r>
      <w:r>
        <w:rPr>
          <w:spacing w:val="-3"/>
          <w:sz w:val="20"/>
        </w:rPr>
        <w:t xml:space="preserve"> </w:t>
      </w:r>
      <w:r>
        <w:rPr>
          <w:sz w:val="20"/>
        </w:rPr>
        <w:t>dos Tribunais, 2013, p. 147.</w:t>
      </w:r>
    </w:p>
    <w:p w:rsidR="007259F2" w:rsidRDefault="007259F2">
      <w:pPr>
        <w:rPr>
          <w:sz w:val="20"/>
        </w:rPr>
        <w:sectPr w:rsidR="007259F2">
          <w:footerReference w:type="default" r:id="rId473"/>
          <w:pgSz w:w="11920" w:h="16850"/>
          <w:pgMar w:top="1620" w:right="992" w:bottom="280" w:left="1700" w:header="0" w:footer="0" w:gutter="0"/>
          <w:cols w:space="720"/>
        </w:sectPr>
      </w:pPr>
    </w:p>
    <w:p w:rsidR="007259F2" w:rsidRDefault="00E655B4">
      <w:pPr>
        <w:pStyle w:val="Corpodetexto"/>
        <w:spacing w:before="73"/>
        <w:ind w:left="2" w:right="138"/>
      </w:pPr>
      <w:r>
        <w:lastRenderedPageBreak/>
        <w:t>Como visto durante toda a analise do caso prático, a adoção dos métodos consensuais de resolução de conflitos em âmbito nacional, regional e local mostra- se de extrema importância por diversos fatores. Os dois de maior destaque, pode- se dizer, são: o menor número de litígios que vão parar no Poder Judiciário e fazem crescer a fila de processos, causando</w:t>
      </w:r>
      <w:r>
        <w:rPr>
          <w:spacing w:val="40"/>
        </w:rPr>
        <w:t xml:space="preserve"> </w:t>
      </w:r>
      <w:r>
        <w:t>lentidão na resolução das demandas, naturalmente; e a obtenção de uma solução consensual, levando em consideração o fato de que a resolução obtida de forma adjudicada, via</w:t>
      </w:r>
      <w:r>
        <w:rPr>
          <w:spacing w:val="-3"/>
        </w:rPr>
        <w:t xml:space="preserve"> </w:t>
      </w:r>
      <w:r>
        <w:t>sentença,</w:t>
      </w:r>
      <w:r>
        <w:rPr>
          <w:spacing w:val="-5"/>
        </w:rPr>
        <w:t xml:space="preserve"> </w:t>
      </w:r>
      <w:r>
        <w:t>a</w:t>
      </w:r>
      <w:r>
        <w:rPr>
          <w:spacing w:val="-3"/>
        </w:rPr>
        <w:t xml:space="preserve"> </w:t>
      </w:r>
      <w:r>
        <w:t>depender do tipo de</w:t>
      </w:r>
      <w:r>
        <w:rPr>
          <w:spacing w:val="-1"/>
        </w:rPr>
        <w:t xml:space="preserve"> </w:t>
      </w:r>
      <w:r>
        <w:t>litígio, tende</w:t>
      </w:r>
      <w:r>
        <w:rPr>
          <w:spacing w:val="-2"/>
        </w:rPr>
        <w:t xml:space="preserve"> </w:t>
      </w:r>
      <w:r>
        <w:t>a não satisfazer</w:t>
      </w:r>
      <w:r>
        <w:rPr>
          <w:spacing w:val="-1"/>
        </w:rPr>
        <w:t xml:space="preserve"> </w:t>
      </w:r>
      <w:r>
        <w:t>completamente</w:t>
      </w:r>
      <w:r>
        <w:rPr>
          <w:spacing w:val="-1"/>
        </w:rPr>
        <w:t xml:space="preserve"> </w:t>
      </w:r>
      <w:r>
        <w:t>as partes, vez que designará sempre um vencedor e um perdedor - e este último, na maioria das vezes, não ficará</w:t>
      </w:r>
      <w:r>
        <w:rPr>
          <w:spacing w:val="-3"/>
        </w:rPr>
        <w:t xml:space="preserve"> </w:t>
      </w:r>
      <w:r>
        <w:t>satisfeito</w:t>
      </w:r>
      <w:r>
        <w:rPr>
          <w:spacing w:val="-2"/>
        </w:rPr>
        <w:t xml:space="preserve"> </w:t>
      </w:r>
      <w:r>
        <w:t>com a</w:t>
      </w:r>
      <w:r>
        <w:rPr>
          <w:spacing w:val="-3"/>
        </w:rPr>
        <w:t xml:space="preserve"> </w:t>
      </w:r>
      <w:r>
        <w:t>resolução</w:t>
      </w:r>
      <w:r>
        <w:rPr>
          <w:spacing w:val="-2"/>
        </w:rPr>
        <w:t xml:space="preserve"> </w:t>
      </w:r>
      <w:r>
        <w:t>e</w:t>
      </w:r>
      <w:r>
        <w:rPr>
          <w:spacing w:val="-3"/>
        </w:rPr>
        <w:t xml:space="preserve"> </w:t>
      </w:r>
      <w:r>
        <w:t>buscará</w:t>
      </w:r>
      <w:r>
        <w:rPr>
          <w:spacing w:val="-3"/>
        </w:rPr>
        <w:t xml:space="preserve"> </w:t>
      </w:r>
      <w:r>
        <w:t>por</w:t>
      </w:r>
      <w:r>
        <w:rPr>
          <w:spacing w:val="-2"/>
        </w:rPr>
        <w:t xml:space="preserve"> </w:t>
      </w:r>
      <w:r>
        <w:t>todos</w:t>
      </w:r>
      <w:r>
        <w:rPr>
          <w:spacing w:val="-2"/>
        </w:rPr>
        <w:t xml:space="preserve"> </w:t>
      </w:r>
      <w:r>
        <w:t>os</w:t>
      </w:r>
      <w:r>
        <w:rPr>
          <w:spacing w:val="-2"/>
        </w:rPr>
        <w:t xml:space="preserve"> </w:t>
      </w:r>
      <w:r>
        <w:t>meios</w:t>
      </w:r>
      <w:r>
        <w:rPr>
          <w:spacing w:val="-2"/>
        </w:rPr>
        <w:t xml:space="preserve"> </w:t>
      </w:r>
      <w:r>
        <w:t>possíveis,</w:t>
      </w:r>
      <w:r>
        <w:rPr>
          <w:spacing w:val="-2"/>
        </w:rPr>
        <w:t xml:space="preserve"> </w:t>
      </w:r>
      <w:r>
        <w:t>dificultar</w:t>
      </w:r>
      <w:r>
        <w:rPr>
          <w:spacing w:val="-2"/>
        </w:rPr>
        <w:t xml:space="preserve"> </w:t>
      </w:r>
      <w:r>
        <w:t>a</w:t>
      </w:r>
      <w:r>
        <w:rPr>
          <w:spacing w:val="-2"/>
        </w:rPr>
        <w:t xml:space="preserve"> </w:t>
      </w:r>
      <w:r>
        <w:t>efetivação da tutela jurisdicional concedida ao vencedor.</w:t>
      </w:r>
    </w:p>
    <w:p w:rsidR="007259F2" w:rsidRDefault="00E655B4">
      <w:pPr>
        <w:pStyle w:val="Corpodetexto"/>
        <w:spacing w:before="1"/>
        <w:ind w:left="2" w:right="138"/>
      </w:pPr>
      <w:r>
        <w:t xml:space="preserve">Vimos também que hoje há legislação do municipio de São Paulo que viabiliza a utilização de métodos consensuais de solução de conflitos e, apesar da legislação em comento não fazer menção a questões ambientais, depreendeu-se que é possível a sua aplicação, já que no Direito Ambiental exige-se a cooperação, interdisciplinaridade, ampla participação dos envolvidos e acesso à informação, o que pode ser efetivamente garantido pelas soluções consensuais de conflito, pois eles favorecem o restabelecimento do diálogo entre os participantes, promovem a troca de informações </w:t>
      </w:r>
      <w:r>
        <w:rPr>
          <w:color w:val="1F1F23"/>
        </w:rPr>
        <w:t>para o alcance de soluções criativas voltadas à preservaçã</w:t>
      </w:r>
      <w:r>
        <w:t>o do meio ambiente, de solução de conflitos que envolvam questões ambientais, de solução entre meio ambiente e outros direitos (como o presente caso).</w:t>
      </w:r>
    </w:p>
    <w:p w:rsidR="007259F2" w:rsidRDefault="00E655B4">
      <w:pPr>
        <w:pStyle w:val="Corpodetexto"/>
        <w:ind w:left="2" w:right="142"/>
      </w:pPr>
      <w:r>
        <w:t>Além</w:t>
      </w:r>
      <w:r>
        <w:rPr>
          <w:spacing w:val="-2"/>
        </w:rPr>
        <w:t xml:space="preserve"> </w:t>
      </w:r>
      <w:r>
        <w:t>disso,</w:t>
      </w:r>
      <w:r>
        <w:rPr>
          <w:spacing w:val="-4"/>
        </w:rPr>
        <w:t xml:space="preserve"> </w:t>
      </w:r>
      <w:r>
        <w:t>a</w:t>
      </w:r>
      <w:r>
        <w:rPr>
          <w:spacing w:val="-3"/>
        </w:rPr>
        <w:t xml:space="preserve"> </w:t>
      </w:r>
      <w:r>
        <w:t>doutrina,</w:t>
      </w:r>
      <w:r>
        <w:rPr>
          <w:spacing w:val="-2"/>
        </w:rPr>
        <w:t xml:space="preserve"> </w:t>
      </w:r>
      <w:r>
        <w:t>nos</w:t>
      </w:r>
      <w:r>
        <w:rPr>
          <w:spacing w:val="-5"/>
        </w:rPr>
        <w:t xml:space="preserve"> </w:t>
      </w:r>
      <w:r>
        <w:t>últimos</w:t>
      </w:r>
      <w:r>
        <w:rPr>
          <w:spacing w:val="-4"/>
        </w:rPr>
        <w:t xml:space="preserve"> </w:t>
      </w:r>
      <w:r>
        <w:t>anos,</w:t>
      </w:r>
      <w:r>
        <w:rPr>
          <w:spacing w:val="-5"/>
        </w:rPr>
        <w:t xml:space="preserve"> </w:t>
      </w:r>
      <w:r>
        <w:t>desenvolveu</w:t>
      </w:r>
      <w:r>
        <w:rPr>
          <w:spacing w:val="-3"/>
        </w:rPr>
        <w:t xml:space="preserve"> </w:t>
      </w:r>
      <w:r>
        <w:t>de</w:t>
      </w:r>
      <w:r>
        <w:rPr>
          <w:spacing w:val="-5"/>
        </w:rPr>
        <w:t xml:space="preserve"> </w:t>
      </w:r>
      <w:r>
        <w:t>forma</w:t>
      </w:r>
      <w:r>
        <w:rPr>
          <w:spacing w:val="-6"/>
        </w:rPr>
        <w:t xml:space="preserve"> </w:t>
      </w:r>
      <w:r>
        <w:t>ampla</w:t>
      </w:r>
      <w:r>
        <w:rPr>
          <w:spacing w:val="-1"/>
        </w:rPr>
        <w:t xml:space="preserve"> </w:t>
      </w:r>
      <w:r>
        <w:t>a</w:t>
      </w:r>
      <w:r>
        <w:rPr>
          <w:spacing w:val="-3"/>
        </w:rPr>
        <w:t xml:space="preserve"> </w:t>
      </w:r>
      <w:r>
        <w:t xml:space="preserve">tese de que os direitos ditos indisponíveis não necessariamente também serão intransigíveis, como o direito </w:t>
      </w:r>
      <w:r>
        <w:rPr>
          <w:spacing w:val="-2"/>
        </w:rPr>
        <w:t>ambiental.</w:t>
      </w:r>
    </w:p>
    <w:p w:rsidR="007259F2" w:rsidRDefault="00E655B4">
      <w:pPr>
        <w:pStyle w:val="Corpodetexto"/>
        <w:ind w:left="2" w:right="144"/>
      </w:pPr>
      <w:r>
        <w:t>Ou seja, tanto pela legislação quanto pela doutrina, a ideia de que os litígios envolvendo questões ambientais não poderiam ser tratados por vias consensuais não parece</w:t>
      </w:r>
      <w:r>
        <w:rPr>
          <w:spacing w:val="40"/>
        </w:rPr>
        <w:t xml:space="preserve"> </w:t>
      </w:r>
      <w:r>
        <w:t>ser mais acolhida no Direito brasileiro.</w:t>
      </w:r>
    </w:p>
    <w:p w:rsidR="007259F2" w:rsidRDefault="00E655B4">
      <w:pPr>
        <w:pStyle w:val="Corpodetexto"/>
        <w:ind w:left="2" w:right="134"/>
      </w:pPr>
      <w:r>
        <w:t>O que se vê quando da utilização dos meios consensuais em matéria ambiental é que a composição pode gerar maior efetividade à proteção ambiental, haja vista que o que se busca com a</w:t>
      </w:r>
      <w:r>
        <w:rPr>
          <w:spacing w:val="-1"/>
        </w:rPr>
        <w:t xml:space="preserve"> </w:t>
      </w:r>
      <w:r>
        <w:t>transação são acertos, sobretudo,</w:t>
      </w:r>
      <w:r>
        <w:rPr>
          <w:spacing w:val="-2"/>
        </w:rPr>
        <w:t xml:space="preserve"> </w:t>
      </w:r>
      <w:r>
        <w:t>em relação ao</w:t>
      </w:r>
      <w:r>
        <w:rPr>
          <w:spacing w:val="-2"/>
        </w:rPr>
        <w:t xml:space="preserve"> </w:t>
      </w:r>
      <w:r>
        <w:t>tempo</w:t>
      </w:r>
      <w:r>
        <w:rPr>
          <w:spacing w:val="-5"/>
        </w:rPr>
        <w:t xml:space="preserve"> </w:t>
      </w:r>
      <w:r>
        <w:t>e</w:t>
      </w:r>
      <w:r>
        <w:rPr>
          <w:spacing w:val="-6"/>
        </w:rPr>
        <w:t xml:space="preserve"> </w:t>
      </w:r>
      <w:r>
        <w:t>ao</w:t>
      </w:r>
      <w:r>
        <w:rPr>
          <w:spacing w:val="-4"/>
        </w:rPr>
        <w:t xml:space="preserve"> </w:t>
      </w:r>
      <w:r>
        <w:t>modo</w:t>
      </w:r>
      <w:r>
        <w:rPr>
          <w:spacing w:val="-4"/>
        </w:rPr>
        <w:t xml:space="preserve"> </w:t>
      </w:r>
      <w:r>
        <w:t>das</w:t>
      </w:r>
      <w:r>
        <w:rPr>
          <w:spacing w:val="-2"/>
        </w:rPr>
        <w:t xml:space="preserve"> </w:t>
      </w:r>
      <w:r>
        <w:t>obrigações</w:t>
      </w:r>
      <w:r>
        <w:rPr>
          <w:spacing w:val="-2"/>
        </w:rPr>
        <w:t xml:space="preserve"> </w:t>
      </w:r>
      <w:r>
        <w:t xml:space="preserve">legais, de maneira a melhor tutelar o interesse das partes, bem como o bem ambiental que esteja </w:t>
      </w:r>
      <w:r>
        <w:rPr>
          <w:spacing w:val="-2"/>
        </w:rPr>
        <w:t>envolvido.</w:t>
      </w:r>
    </w:p>
    <w:p w:rsidR="007259F2" w:rsidRDefault="00E655B4">
      <w:pPr>
        <w:pStyle w:val="Corpodetexto"/>
        <w:ind w:left="2" w:right="141"/>
      </w:pPr>
      <w:r>
        <w:t>Assim, evitam-se os percalços que uma ação judicial pode trazer, notadamente quanto à sua demora de tramitação. Desse modo, a utilização das vias consensuais de resolução de conflitos, uma vez observadas todas as suas particularidades e exigências legais, não só é aceita hoje pela legislação e pela maior parte da doutrina, mas também oferece flagrantes benefícios à tutela do meio ambiente.</w:t>
      </w:r>
    </w:p>
    <w:p w:rsidR="007259F2" w:rsidRDefault="00E655B4">
      <w:pPr>
        <w:pStyle w:val="Corpodetexto"/>
        <w:ind w:left="2" w:right="138"/>
      </w:pPr>
      <w:r>
        <w:t>Não de</w:t>
      </w:r>
      <w:r>
        <w:rPr>
          <w:spacing w:val="-1"/>
        </w:rPr>
        <w:t xml:space="preserve"> </w:t>
      </w:r>
      <w:r>
        <w:t>outra</w:t>
      </w:r>
      <w:r>
        <w:rPr>
          <w:spacing w:val="-1"/>
        </w:rPr>
        <w:t xml:space="preserve"> </w:t>
      </w:r>
      <w:r>
        <w:t>forma, no caso prático analisado, a melhor</w:t>
      </w:r>
      <w:r>
        <w:rPr>
          <w:spacing w:val="-1"/>
        </w:rPr>
        <w:t xml:space="preserve"> </w:t>
      </w:r>
      <w:r>
        <w:t>solução para a</w:t>
      </w:r>
      <w:r>
        <w:rPr>
          <w:spacing w:val="-1"/>
        </w:rPr>
        <w:t xml:space="preserve"> </w:t>
      </w:r>
      <w:r>
        <w:t>pendenga</w:t>
      </w:r>
      <w:r>
        <w:rPr>
          <w:spacing w:val="-1"/>
        </w:rPr>
        <w:t xml:space="preserve"> </w:t>
      </w:r>
      <w:r>
        <w:t>é um acordo administrativo que viabilize, em uma unica esfera de comunicação, diversos</w:t>
      </w:r>
      <w:r>
        <w:rPr>
          <w:spacing w:val="80"/>
        </w:rPr>
        <w:t xml:space="preserve"> </w:t>
      </w:r>
      <w:r>
        <w:t>problemas juridicos que seriam levados ao judiciário.</w:t>
      </w:r>
    </w:p>
    <w:p w:rsidR="007259F2" w:rsidRDefault="00E655B4">
      <w:pPr>
        <w:pStyle w:val="Corpodetexto"/>
        <w:ind w:left="2" w:right="136"/>
      </w:pPr>
      <w:r>
        <w:t>Como relatado, além da execução do valor devido pela Municipalidade à COHAB, a titulo de indenização pela desapropriação de ára para implantação do Parque do Carmo; há, também, a economia processual, financeiro e de pessoal com</w:t>
      </w:r>
      <w:r>
        <w:rPr>
          <w:spacing w:val="-10"/>
        </w:rPr>
        <w:t xml:space="preserve"> </w:t>
      </w:r>
      <w:r>
        <w:t>a</w:t>
      </w:r>
      <w:r>
        <w:rPr>
          <w:spacing w:val="-13"/>
        </w:rPr>
        <w:t xml:space="preserve"> </w:t>
      </w:r>
      <w:r>
        <w:t>inclusão,</w:t>
      </w:r>
      <w:r>
        <w:rPr>
          <w:spacing w:val="-12"/>
        </w:rPr>
        <w:t xml:space="preserve"> </w:t>
      </w:r>
      <w:r>
        <w:t>no</w:t>
      </w:r>
      <w:r>
        <w:rPr>
          <w:spacing w:val="-12"/>
        </w:rPr>
        <w:t xml:space="preserve"> </w:t>
      </w:r>
      <w:r>
        <w:t>acordo,</w:t>
      </w:r>
      <w:r>
        <w:rPr>
          <w:spacing w:val="-13"/>
        </w:rPr>
        <w:t xml:space="preserve"> </w:t>
      </w:r>
      <w:r>
        <w:t>das</w:t>
      </w:r>
      <w:r>
        <w:rPr>
          <w:spacing w:val="-12"/>
        </w:rPr>
        <w:t xml:space="preserve"> </w:t>
      </w:r>
      <w:r>
        <w:t>multas aplicadas</w:t>
      </w:r>
      <w:r>
        <w:rPr>
          <w:spacing w:val="-5"/>
        </w:rPr>
        <w:t xml:space="preserve"> </w:t>
      </w:r>
      <w:r>
        <w:t>pela</w:t>
      </w:r>
      <w:r>
        <w:rPr>
          <w:spacing w:val="-2"/>
        </w:rPr>
        <w:t xml:space="preserve"> </w:t>
      </w:r>
      <w:r>
        <w:t>Secretaria</w:t>
      </w:r>
      <w:r>
        <w:rPr>
          <w:spacing w:val="-2"/>
        </w:rPr>
        <w:t xml:space="preserve"> </w:t>
      </w:r>
      <w:r>
        <w:t>do</w:t>
      </w:r>
      <w:r>
        <w:rPr>
          <w:spacing w:val="-11"/>
        </w:rPr>
        <w:t xml:space="preserve"> </w:t>
      </w:r>
      <w:r>
        <w:t>Verde</w:t>
      </w:r>
      <w:r>
        <w:rPr>
          <w:spacing w:val="-5"/>
        </w:rPr>
        <w:t xml:space="preserve"> </w:t>
      </w:r>
      <w:r>
        <w:t>e</w:t>
      </w:r>
      <w:r>
        <w:rPr>
          <w:spacing w:val="-6"/>
        </w:rPr>
        <w:t xml:space="preserve"> </w:t>
      </w:r>
      <w:r>
        <w:t>do Meio Ambiente.</w:t>
      </w:r>
    </w:p>
    <w:p w:rsidR="007259F2" w:rsidRDefault="00E655B4">
      <w:pPr>
        <w:pStyle w:val="Corpodetexto"/>
        <w:ind w:left="2" w:right="137"/>
      </w:pPr>
      <w:r>
        <w:t>Concluímos portanto, que o acordo administrativo, no presente caso, além de permitido, é indicado, pois represente uma grande economia para a Municipalidade de São Paulo; atende</w:t>
      </w:r>
      <w:r>
        <w:rPr>
          <w:spacing w:val="-7"/>
        </w:rPr>
        <w:t xml:space="preserve"> </w:t>
      </w:r>
      <w:r>
        <w:t>ao interesse público; e</w:t>
      </w:r>
      <w:r>
        <w:rPr>
          <w:spacing w:val="-6"/>
        </w:rPr>
        <w:t xml:space="preserve"> </w:t>
      </w:r>
      <w:r>
        <w:t>há vantajosidade</w:t>
      </w:r>
      <w:r>
        <w:rPr>
          <w:spacing w:val="-2"/>
        </w:rPr>
        <w:t xml:space="preserve"> </w:t>
      </w:r>
      <w:r>
        <w:t>para</w:t>
      </w:r>
      <w:r>
        <w:rPr>
          <w:spacing w:val="-6"/>
        </w:rPr>
        <w:t xml:space="preserve"> </w:t>
      </w:r>
      <w:r>
        <w:t>todas</w:t>
      </w:r>
      <w:r>
        <w:rPr>
          <w:spacing w:val="-4"/>
        </w:rPr>
        <w:t xml:space="preserve"> </w:t>
      </w:r>
      <w:r>
        <w:t>as</w:t>
      </w:r>
      <w:r>
        <w:rPr>
          <w:spacing w:val="-3"/>
        </w:rPr>
        <w:t xml:space="preserve"> </w:t>
      </w:r>
      <w:r>
        <w:t>partes.</w:t>
      </w:r>
    </w:p>
    <w:p w:rsidR="007259F2" w:rsidRDefault="00E655B4">
      <w:pPr>
        <w:spacing w:before="205"/>
        <w:ind w:left="2"/>
        <w:rPr>
          <w:b/>
        </w:rPr>
      </w:pPr>
      <w:r>
        <w:rPr>
          <w:b/>
          <w:spacing w:val="-2"/>
        </w:rPr>
        <w:t>REFERÊNCIAS</w:t>
      </w:r>
    </w:p>
    <w:p w:rsidR="007259F2" w:rsidRDefault="00E655B4">
      <w:pPr>
        <w:spacing w:before="197" w:line="278" w:lineRule="auto"/>
        <w:ind w:left="4"/>
        <w:rPr>
          <w:sz w:val="24"/>
        </w:rPr>
      </w:pPr>
      <w:r>
        <w:rPr>
          <w:sz w:val="24"/>
        </w:rPr>
        <w:t>TARTUCE,</w:t>
      </w:r>
      <w:r>
        <w:rPr>
          <w:spacing w:val="40"/>
          <w:sz w:val="24"/>
        </w:rPr>
        <w:t xml:space="preserve"> </w:t>
      </w:r>
      <w:r>
        <w:rPr>
          <w:sz w:val="24"/>
        </w:rPr>
        <w:t>Fernanda.</w:t>
      </w:r>
      <w:r>
        <w:rPr>
          <w:spacing w:val="40"/>
          <w:sz w:val="24"/>
        </w:rPr>
        <w:t xml:space="preserve"> </w:t>
      </w:r>
      <w:r>
        <w:rPr>
          <w:b/>
          <w:sz w:val="24"/>
        </w:rPr>
        <w:t>Mediação</w:t>
      </w:r>
      <w:r>
        <w:rPr>
          <w:b/>
          <w:spacing w:val="40"/>
          <w:sz w:val="24"/>
        </w:rPr>
        <w:t xml:space="preserve"> </w:t>
      </w:r>
      <w:r>
        <w:rPr>
          <w:b/>
          <w:sz w:val="24"/>
        </w:rPr>
        <w:t>nos</w:t>
      </w:r>
      <w:r>
        <w:rPr>
          <w:b/>
          <w:spacing w:val="40"/>
          <w:sz w:val="24"/>
        </w:rPr>
        <w:t xml:space="preserve"> </w:t>
      </w:r>
      <w:r>
        <w:rPr>
          <w:b/>
          <w:sz w:val="24"/>
        </w:rPr>
        <w:t>Conflitos</w:t>
      </w:r>
      <w:r>
        <w:rPr>
          <w:b/>
          <w:spacing w:val="40"/>
          <w:sz w:val="24"/>
        </w:rPr>
        <w:t xml:space="preserve"> </w:t>
      </w:r>
      <w:r>
        <w:rPr>
          <w:b/>
          <w:sz w:val="24"/>
        </w:rPr>
        <w:t>Civis</w:t>
      </w:r>
      <w:r>
        <w:rPr>
          <w:sz w:val="24"/>
        </w:rPr>
        <w:t>.</w:t>
      </w:r>
      <w:r>
        <w:rPr>
          <w:spacing w:val="40"/>
          <w:sz w:val="24"/>
        </w:rPr>
        <w:t xml:space="preserve"> </w:t>
      </w:r>
      <w:r>
        <w:rPr>
          <w:sz w:val="24"/>
        </w:rPr>
        <w:t>4ª</w:t>
      </w:r>
      <w:r>
        <w:rPr>
          <w:spacing w:val="40"/>
          <w:sz w:val="24"/>
        </w:rPr>
        <w:t xml:space="preserve"> </w:t>
      </w:r>
      <w:r>
        <w:rPr>
          <w:sz w:val="24"/>
        </w:rPr>
        <w:t>ed.</w:t>
      </w:r>
      <w:r>
        <w:rPr>
          <w:spacing w:val="40"/>
          <w:sz w:val="24"/>
        </w:rPr>
        <w:t xml:space="preserve"> </w:t>
      </w:r>
      <w:r>
        <w:rPr>
          <w:sz w:val="24"/>
        </w:rPr>
        <w:t>Rio</w:t>
      </w:r>
      <w:r>
        <w:rPr>
          <w:spacing w:val="40"/>
          <w:sz w:val="24"/>
        </w:rPr>
        <w:t xml:space="preserve"> </w:t>
      </w:r>
      <w:r>
        <w:rPr>
          <w:sz w:val="24"/>
        </w:rPr>
        <w:t>de</w:t>
      </w:r>
      <w:r>
        <w:rPr>
          <w:spacing w:val="40"/>
          <w:sz w:val="24"/>
        </w:rPr>
        <w:t xml:space="preserve"> </w:t>
      </w:r>
      <w:r>
        <w:rPr>
          <w:sz w:val="24"/>
        </w:rPr>
        <w:t>Janeiro:</w:t>
      </w:r>
      <w:r>
        <w:rPr>
          <w:spacing w:val="40"/>
          <w:sz w:val="24"/>
        </w:rPr>
        <w:t xml:space="preserve"> </w:t>
      </w:r>
      <w:r>
        <w:rPr>
          <w:sz w:val="24"/>
        </w:rPr>
        <w:t>Ed.</w:t>
      </w:r>
      <w:r>
        <w:rPr>
          <w:spacing w:val="40"/>
          <w:sz w:val="24"/>
        </w:rPr>
        <w:t xml:space="preserve"> </w:t>
      </w:r>
      <w:r>
        <w:rPr>
          <w:sz w:val="24"/>
        </w:rPr>
        <w:t>Grupo Editorial Nacional, 2018.</w:t>
      </w:r>
    </w:p>
    <w:p w:rsidR="007259F2" w:rsidRDefault="007259F2">
      <w:pPr>
        <w:spacing w:line="278" w:lineRule="auto"/>
        <w:rPr>
          <w:sz w:val="24"/>
        </w:rPr>
        <w:sectPr w:rsidR="007259F2">
          <w:footerReference w:type="default" r:id="rId474"/>
          <w:pgSz w:w="11920" w:h="16850"/>
          <w:pgMar w:top="1620" w:right="992" w:bottom="280" w:left="1700" w:header="0" w:footer="0" w:gutter="0"/>
          <w:cols w:space="720"/>
        </w:sectPr>
      </w:pPr>
    </w:p>
    <w:p w:rsidR="007259F2" w:rsidRDefault="00E655B4">
      <w:pPr>
        <w:pStyle w:val="Corpodetexto"/>
        <w:spacing w:before="75" w:line="276" w:lineRule="auto"/>
        <w:ind w:left="4" w:right="139" w:firstLine="0"/>
      </w:pPr>
      <w:r>
        <w:lastRenderedPageBreak/>
        <w:t xml:space="preserve">GRINOVER, Ada Pellegrini. Os fundamentos da justiça conciliativa. </w:t>
      </w:r>
      <w:r>
        <w:rPr>
          <w:i/>
        </w:rPr>
        <w:t>In</w:t>
      </w:r>
      <w:r>
        <w:t xml:space="preserve">: GRINOVER, Ada Pellegrini; WATANABE, Kazuo; LAGRASTA NETO, Caetano (Coord.). </w:t>
      </w:r>
      <w:r>
        <w:rPr>
          <w:b/>
        </w:rPr>
        <w:t>Mediação e gerenciamento do processo</w:t>
      </w:r>
      <w:r>
        <w:t>: revolução na prestação jurisdicional. São Paulo: Atlas, 2007.</w:t>
      </w:r>
    </w:p>
    <w:p w:rsidR="007259F2" w:rsidRDefault="00E655B4">
      <w:pPr>
        <w:pStyle w:val="Corpodetexto"/>
        <w:spacing w:before="200" w:line="276" w:lineRule="auto"/>
        <w:ind w:left="4" w:right="139" w:firstLine="0"/>
      </w:pPr>
      <w:r>
        <w:t xml:space="preserve">WATANABE, Kazuo. A mentalidade e os meios alternativos de solução de conflitos no Brasil. </w:t>
      </w:r>
      <w:r>
        <w:rPr>
          <w:i/>
        </w:rPr>
        <w:t>In</w:t>
      </w:r>
      <w:r>
        <w:t>: GRINOVER, Ada</w:t>
      </w:r>
      <w:r>
        <w:rPr>
          <w:spacing w:val="-1"/>
        </w:rPr>
        <w:t xml:space="preserve"> </w:t>
      </w:r>
      <w:r>
        <w:t>Pellegrini;</w:t>
      </w:r>
      <w:r>
        <w:rPr>
          <w:spacing w:val="-3"/>
        </w:rPr>
        <w:t xml:space="preserve"> </w:t>
      </w:r>
      <w:r>
        <w:t>WATANABE, Kazuo; LAGRASTA NETO,</w:t>
      </w:r>
      <w:r>
        <w:rPr>
          <w:spacing w:val="-1"/>
        </w:rPr>
        <w:t xml:space="preserve"> </w:t>
      </w:r>
      <w:r>
        <w:t xml:space="preserve">Caetano (Coord.). </w:t>
      </w:r>
      <w:r>
        <w:rPr>
          <w:b/>
        </w:rPr>
        <w:t>Mediação e gerenciamento do processo</w:t>
      </w:r>
      <w:r>
        <w:t>: revolução na prestação jurisdicional. São Paulo: Atlas, 2007.</w:t>
      </w:r>
    </w:p>
    <w:p w:rsidR="007259F2" w:rsidRDefault="00E655B4">
      <w:pPr>
        <w:spacing w:before="199"/>
        <w:ind w:left="4"/>
        <w:jc w:val="both"/>
        <w:rPr>
          <w:sz w:val="24"/>
        </w:rPr>
      </w:pPr>
      <w:r>
        <w:rPr>
          <w:sz w:val="24"/>
        </w:rPr>
        <w:t>BACELLAR,</w:t>
      </w:r>
      <w:r>
        <w:rPr>
          <w:spacing w:val="-7"/>
          <w:sz w:val="24"/>
        </w:rPr>
        <w:t xml:space="preserve"> </w:t>
      </w:r>
      <w:r>
        <w:rPr>
          <w:sz w:val="24"/>
        </w:rPr>
        <w:t>Roberto</w:t>
      </w:r>
      <w:r>
        <w:rPr>
          <w:spacing w:val="-8"/>
          <w:sz w:val="24"/>
        </w:rPr>
        <w:t xml:space="preserve"> </w:t>
      </w:r>
      <w:r>
        <w:rPr>
          <w:sz w:val="24"/>
        </w:rPr>
        <w:t>Portugal.</w:t>
      </w:r>
      <w:r>
        <w:rPr>
          <w:spacing w:val="-8"/>
          <w:sz w:val="24"/>
        </w:rPr>
        <w:t xml:space="preserve"> </w:t>
      </w:r>
      <w:r>
        <w:rPr>
          <w:b/>
          <w:sz w:val="24"/>
        </w:rPr>
        <w:t>Mediação</w:t>
      </w:r>
      <w:r>
        <w:rPr>
          <w:b/>
          <w:spacing w:val="-8"/>
          <w:sz w:val="24"/>
        </w:rPr>
        <w:t xml:space="preserve"> </w:t>
      </w:r>
      <w:r>
        <w:rPr>
          <w:b/>
          <w:sz w:val="24"/>
        </w:rPr>
        <w:t>e</w:t>
      </w:r>
      <w:r>
        <w:rPr>
          <w:b/>
          <w:spacing w:val="-8"/>
          <w:sz w:val="24"/>
        </w:rPr>
        <w:t xml:space="preserve"> </w:t>
      </w:r>
      <w:r>
        <w:rPr>
          <w:b/>
          <w:sz w:val="24"/>
        </w:rPr>
        <w:t>Arbitragem</w:t>
      </w:r>
      <w:r>
        <w:rPr>
          <w:sz w:val="24"/>
        </w:rPr>
        <w:t>.</w:t>
      </w:r>
      <w:r>
        <w:rPr>
          <w:spacing w:val="-9"/>
          <w:sz w:val="24"/>
        </w:rPr>
        <w:t xml:space="preserve"> </w:t>
      </w:r>
      <w:r>
        <w:rPr>
          <w:sz w:val="24"/>
        </w:rPr>
        <w:t>São</w:t>
      </w:r>
      <w:r>
        <w:rPr>
          <w:spacing w:val="-6"/>
          <w:sz w:val="24"/>
        </w:rPr>
        <w:t xml:space="preserve"> </w:t>
      </w:r>
      <w:r>
        <w:rPr>
          <w:sz w:val="24"/>
        </w:rPr>
        <w:t>Paulo:</w:t>
      </w:r>
      <w:r>
        <w:rPr>
          <w:spacing w:val="-7"/>
          <w:sz w:val="24"/>
        </w:rPr>
        <w:t xml:space="preserve"> </w:t>
      </w:r>
      <w:r>
        <w:rPr>
          <w:sz w:val="24"/>
        </w:rPr>
        <w:t>Editora</w:t>
      </w:r>
      <w:r>
        <w:rPr>
          <w:spacing w:val="-10"/>
          <w:sz w:val="24"/>
        </w:rPr>
        <w:t xml:space="preserve"> </w:t>
      </w:r>
      <w:r>
        <w:rPr>
          <w:sz w:val="24"/>
        </w:rPr>
        <w:t>Saraiva,</w:t>
      </w:r>
      <w:r>
        <w:rPr>
          <w:spacing w:val="-6"/>
          <w:sz w:val="24"/>
        </w:rPr>
        <w:t xml:space="preserve"> </w:t>
      </w:r>
      <w:r>
        <w:rPr>
          <w:spacing w:val="-4"/>
          <w:sz w:val="24"/>
        </w:rPr>
        <w:t>2012</w:t>
      </w:r>
    </w:p>
    <w:p w:rsidR="007259F2" w:rsidRDefault="00E655B4">
      <w:pPr>
        <w:pStyle w:val="Corpodetexto"/>
        <w:spacing w:before="243" w:line="276" w:lineRule="auto"/>
        <w:ind w:left="4" w:right="139" w:firstLine="0"/>
      </w:pPr>
      <w:r>
        <w:t xml:space="preserve">MANCUSO, Rodolfo de Camargo. </w:t>
      </w:r>
      <w:r>
        <w:rPr>
          <w:b/>
        </w:rPr>
        <w:t>Interesses difusos</w:t>
      </w:r>
      <w:r>
        <w:t>: conceito e legitimação para agir. São Paulo: Revista dos Tribunais, 2013.</w:t>
      </w:r>
    </w:p>
    <w:p w:rsidR="007259F2" w:rsidRDefault="00E655B4">
      <w:pPr>
        <w:spacing w:before="199" w:line="278" w:lineRule="auto"/>
        <w:ind w:left="4" w:right="137"/>
        <w:jc w:val="both"/>
        <w:rPr>
          <w:sz w:val="24"/>
        </w:rPr>
      </w:pPr>
      <w:r>
        <w:rPr>
          <w:sz w:val="24"/>
        </w:rPr>
        <w:t>SOARES, Samira Iasbeck de</w:t>
      </w:r>
      <w:r>
        <w:rPr>
          <w:spacing w:val="-2"/>
          <w:sz w:val="24"/>
        </w:rPr>
        <w:t xml:space="preserve"> </w:t>
      </w:r>
      <w:r>
        <w:rPr>
          <w:sz w:val="24"/>
        </w:rPr>
        <w:t xml:space="preserve">Oliveira. </w:t>
      </w:r>
      <w:r>
        <w:rPr>
          <w:b/>
          <w:sz w:val="24"/>
        </w:rPr>
        <w:t>Mediação de conflitos ambientais</w:t>
      </w:r>
      <w:r>
        <w:rPr>
          <w:sz w:val="24"/>
        </w:rPr>
        <w:t>:</w:t>
      </w:r>
      <w:r>
        <w:rPr>
          <w:spacing w:val="-1"/>
          <w:sz w:val="24"/>
        </w:rPr>
        <w:t xml:space="preserve"> </w:t>
      </w:r>
      <w:r>
        <w:rPr>
          <w:sz w:val="24"/>
        </w:rPr>
        <w:t>um novo caminho para a governança da água no Brasil? Curitiba: Juruá, 2010.</w:t>
      </w:r>
    </w:p>
    <w:p w:rsidR="007259F2" w:rsidRDefault="00E655B4">
      <w:pPr>
        <w:spacing w:before="194" w:line="276" w:lineRule="auto"/>
        <w:ind w:left="4" w:right="137"/>
        <w:jc w:val="both"/>
        <w:rPr>
          <w:sz w:val="24"/>
        </w:rPr>
      </w:pPr>
      <w:r>
        <w:rPr>
          <w:sz w:val="24"/>
        </w:rPr>
        <w:t xml:space="preserve">UNITED STATES. Department of Justice. Office of Justice Programs. </w:t>
      </w:r>
      <w:r>
        <w:rPr>
          <w:b/>
          <w:sz w:val="24"/>
        </w:rPr>
        <w:t xml:space="preserve">Settling things — six case studies in environmental mediation. </w:t>
      </w:r>
      <w:r>
        <w:rPr>
          <w:sz w:val="24"/>
        </w:rPr>
        <w:t xml:space="preserve">[S.l.]: U.S. Department of Justice, [s.d.]. Disponível em: </w:t>
      </w:r>
      <w:hyperlink r:id="rId475">
        <w:r>
          <w:rPr>
            <w:color w:val="0000FF"/>
            <w:sz w:val="24"/>
            <w:u w:val="single" w:color="0000FF"/>
          </w:rPr>
          <w:t>https://www.ojp.gov/ncjrs/virtual-library/abstracts/settling-things-six-case-</w:t>
        </w:r>
      </w:hyperlink>
      <w:r>
        <w:rPr>
          <w:color w:val="0000FF"/>
          <w:sz w:val="24"/>
        </w:rPr>
        <w:t xml:space="preserve"> </w:t>
      </w:r>
      <w:hyperlink r:id="rId476">
        <w:r>
          <w:rPr>
            <w:color w:val="0000FF"/>
            <w:spacing w:val="-2"/>
            <w:sz w:val="24"/>
            <w:u w:val="single" w:color="0000FF"/>
          </w:rPr>
          <w:t>studiesenvironmental-mediation</w:t>
        </w:r>
      </w:hyperlink>
      <w:r>
        <w:rPr>
          <w:spacing w:val="-2"/>
          <w:sz w:val="24"/>
        </w:rPr>
        <w:t>.</w:t>
      </w:r>
    </w:p>
    <w:sectPr w:rsidR="007259F2" w:rsidSect="007259F2">
      <w:footerReference w:type="default" r:id="rId477"/>
      <w:pgSz w:w="11920" w:h="16850"/>
      <w:pgMar w:top="1620" w:right="992" w:bottom="280" w:left="1700" w:header="0" w:footer="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268B6" w:rsidRDefault="005268B6" w:rsidP="007259F2">
      <w:r>
        <w:separator/>
      </w:r>
    </w:p>
  </w:endnote>
  <w:endnote w:type="continuationSeparator" w:id="1">
    <w:p w:rsidR="005268B6" w:rsidRDefault="005268B6" w:rsidP="007259F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sig w:usb0="00000000" w:usb1="00000000" w:usb2="00000000" w:usb3="00000000" w:csb0="00000000" w:csb1="00000000"/>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59F2" w:rsidRDefault="007259F2">
    <w:pPr>
      <w:pStyle w:val="Corpodetexto"/>
      <w:spacing w:line="14" w:lineRule="auto"/>
      <w:ind w:left="0" w:firstLine="0"/>
      <w:jc w:val="left"/>
      <w:rPr>
        <w:sz w:val="20"/>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59F2" w:rsidRDefault="00DE6B1C">
    <w:pPr>
      <w:pStyle w:val="Corpodetexto"/>
      <w:spacing w:line="14" w:lineRule="auto"/>
      <w:ind w:left="0" w:firstLine="0"/>
      <w:jc w:val="left"/>
      <w:rPr>
        <w:sz w:val="20"/>
      </w:rPr>
    </w:pPr>
    <w:r w:rsidRPr="00DE6B1C">
      <w:rPr>
        <w:sz w:val="20"/>
      </w:rPr>
      <w:pict>
        <v:shape id="docshape14" o:spid="_x0000_s2060" style="position:absolute;margin-left:544.8pt;margin-top:791.4pt;width:44.25pt;height:44.25pt;z-index:-19478528;mso-position-horizontal-relative:page;mso-position-vertical-relative:page" coordorigin="10896,15828" coordsize="885,885" path="m11338,16713r-71,-6l11199,16690r-64,-26l11077,16628r-51,-45l10981,16532r-36,-58l10919,16410r-17,-68l10896,16270r6,-71l10919,16131r26,-64l10981,16009r45,-51l11077,15913r58,-36l11199,15851r68,-17l11338,15828r72,6l11478,15851r64,26l11600,15913r51,45l11696,16009r36,58l11758,16131r17,68l11781,16270r-6,72l11758,16410r-26,64l11696,16532r-45,51l11600,16628r-58,36l11478,16690r-68,17l11338,16713xe" filled="f" strokecolor="#a7bede" strokeweight="1pt">
          <v:path arrowok="t"/>
          <w10:wrap anchorx="page" anchory="page"/>
        </v:shape>
      </w:pict>
    </w:r>
    <w:r w:rsidRPr="00DE6B1C">
      <w:rPr>
        <w:sz w:val="20"/>
      </w:rPr>
      <w:pict>
        <v:shapetype id="_x0000_t202" coordsize="21600,21600" o:spt="202" path="m,l,21600r21600,l21600,xe">
          <v:stroke joinstyle="miter"/>
          <v:path gradientshapeok="t" o:connecttype="rect"/>
        </v:shapetype>
        <v:shape id="docshape15" o:spid="_x0000_s2059" type="#_x0000_t202" style="position:absolute;margin-left:553.9pt;margin-top:806.85pt;width:18.05pt;height:14.25pt;z-index:-19478016;mso-position-horizontal-relative:page;mso-position-vertical-relative:page" filled="f" stroked="f">
          <v:textbox inset="0,0,0,0">
            <w:txbxContent>
              <w:p w:rsidR="007259F2" w:rsidRDefault="00DE6B1C">
                <w:pPr>
                  <w:spacing w:before="11"/>
                  <w:ind w:left="60"/>
                </w:pPr>
                <w:r>
                  <w:rPr>
                    <w:color w:val="4F81BC"/>
                    <w:spacing w:val="-5"/>
                  </w:rPr>
                  <w:fldChar w:fldCharType="begin"/>
                </w:r>
                <w:r w:rsidR="00E655B4">
                  <w:rPr>
                    <w:color w:val="4F81BC"/>
                    <w:spacing w:val="-5"/>
                  </w:rPr>
                  <w:instrText xml:space="preserve"> PAGE </w:instrText>
                </w:r>
                <w:r>
                  <w:rPr>
                    <w:color w:val="4F81BC"/>
                    <w:spacing w:val="-5"/>
                  </w:rPr>
                  <w:fldChar w:fldCharType="separate"/>
                </w:r>
                <w:r w:rsidR="00701904">
                  <w:rPr>
                    <w:noProof/>
                    <w:color w:val="4F81BC"/>
                    <w:spacing w:val="-5"/>
                  </w:rPr>
                  <w:t>36</w:t>
                </w:r>
                <w:r>
                  <w:rPr>
                    <w:color w:val="4F81BC"/>
                    <w:spacing w:val="-5"/>
                  </w:rPr>
                  <w:fldChar w:fldCharType="end"/>
                </w:r>
              </w:p>
            </w:txbxContent>
          </v:textbox>
          <w10:wrap anchorx="page" anchory="page"/>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59F2" w:rsidRDefault="00DE6B1C">
    <w:pPr>
      <w:pStyle w:val="Corpodetexto"/>
      <w:spacing w:line="14" w:lineRule="auto"/>
      <w:ind w:left="0" w:firstLine="0"/>
      <w:jc w:val="left"/>
      <w:rPr>
        <w:sz w:val="20"/>
      </w:rPr>
    </w:pPr>
    <w:r w:rsidRPr="00DE6B1C">
      <w:rPr>
        <w:sz w:val="20"/>
      </w:rPr>
      <w:pict>
        <v:shape id="docshape17" o:spid="_x0000_s2058" style="position:absolute;margin-left:530.65pt;margin-top:784.3pt;width:44.25pt;height:44.25pt;z-index:-19477504;mso-position-horizontal-relative:page;mso-position-vertical-relative:page" coordorigin="10613,15686" coordsize="885,885" path="m11056,16571r-72,-6l10916,16548r-64,-26l10794,16486r-51,-45l10698,16390r-36,-58l10636,16268r-17,-68l10613,16128r6,-71l10636,15989r26,-64l10698,15867r45,-51l10794,15771r58,-36l10916,15709r68,-17l11056,15686r71,6l11195,15709r64,26l11317,15771r51,45l11413,15867r36,58l11475,15989r17,68l11498,16128r-6,72l11475,16268r-26,64l11413,16390r-45,51l11317,16486r-58,36l11195,16548r-68,17l11056,16571xe" filled="f" strokecolor="#a7bede" strokeweight="1pt">
          <v:path arrowok="t"/>
          <w10:wrap anchorx="page" anchory="page"/>
        </v:shape>
      </w:pict>
    </w:r>
    <w:r w:rsidRPr="00DE6B1C">
      <w:rPr>
        <w:sz w:val="20"/>
      </w:rPr>
      <w:pict>
        <v:shapetype id="_x0000_t202" coordsize="21600,21600" o:spt="202" path="m,l,21600r21600,l21600,xe">
          <v:stroke joinstyle="miter"/>
          <v:path gradientshapeok="t" o:connecttype="rect"/>
        </v:shapetype>
        <v:shape id="docshape18" o:spid="_x0000_s2057" type="#_x0000_t202" style="position:absolute;margin-left:539.75pt;margin-top:799.75pt;width:18.05pt;height:14.25pt;z-index:-19476992;mso-position-horizontal-relative:page;mso-position-vertical-relative:page" filled="f" stroked="f">
          <v:textbox inset="0,0,0,0">
            <w:txbxContent>
              <w:p w:rsidR="007259F2" w:rsidRDefault="00DE6B1C">
                <w:pPr>
                  <w:spacing w:before="11"/>
                  <w:ind w:left="60"/>
                </w:pPr>
                <w:r>
                  <w:rPr>
                    <w:color w:val="4F81BC"/>
                    <w:spacing w:val="-5"/>
                  </w:rPr>
                  <w:fldChar w:fldCharType="begin"/>
                </w:r>
                <w:r w:rsidR="00E655B4">
                  <w:rPr>
                    <w:color w:val="4F81BC"/>
                    <w:spacing w:val="-5"/>
                  </w:rPr>
                  <w:instrText xml:space="preserve"> PAGE </w:instrText>
                </w:r>
                <w:r>
                  <w:rPr>
                    <w:color w:val="4F81BC"/>
                    <w:spacing w:val="-5"/>
                  </w:rPr>
                  <w:fldChar w:fldCharType="separate"/>
                </w:r>
                <w:r w:rsidR="00701904">
                  <w:rPr>
                    <w:noProof/>
                    <w:color w:val="4F81BC"/>
                    <w:spacing w:val="-5"/>
                  </w:rPr>
                  <w:t>42</w:t>
                </w:r>
                <w:r>
                  <w:rPr>
                    <w:color w:val="4F81BC"/>
                    <w:spacing w:val="-5"/>
                  </w:rPr>
                  <w:fldChar w:fldCharType="end"/>
                </w:r>
              </w:p>
            </w:txbxContent>
          </v:textbox>
          <w10:wrap anchorx="page" anchory="page"/>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59F2" w:rsidRDefault="007259F2">
    <w:pPr>
      <w:pStyle w:val="Corpodetexto"/>
      <w:spacing w:line="14" w:lineRule="auto"/>
      <w:ind w:left="0" w:firstLine="0"/>
      <w:jc w:val="left"/>
      <w:rPr>
        <w:sz w:val="2"/>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59F2" w:rsidRDefault="00DE6B1C">
    <w:pPr>
      <w:pStyle w:val="Corpodetexto"/>
      <w:spacing w:line="14" w:lineRule="auto"/>
      <w:ind w:left="0" w:firstLine="0"/>
      <w:jc w:val="left"/>
      <w:rPr>
        <w:sz w:val="20"/>
      </w:rPr>
    </w:pPr>
    <w:r w:rsidRPr="00DE6B1C">
      <w:rPr>
        <w:sz w:val="20"/>
      </w:rPr>
      <w:pict>
        <v:shape id="docshape25" o:spid="_x0000_s2056" style="position:absolute;margin-left:530.65pt;margin-top:784.3pt;width:44.25pt;height:44.25pt;z-index:-19476480;mso-position-horizontal-relative:page;mso-position-vertical-relative:page" coordorigin="10613,15686" coordsize="885,885" path="m11056,16571r-72,-6l10916,16548r-64,-26l10794,16486r-51,-45l10698,16390r-36,-58l10636,16268r-17,-68l10613,16128r6,-71l10636,15989r26,-64l10698,15867r45,-51l10794,15771r58,-36l10916,15709r68,-17l11056,15686r71,6l11195,15709r64,26l11317,15771r51,45l11413,15867r36,58l11475,15989r17,68l11498,16128r-6,72l11475,16268r-26,64l11413,16390r-45,51l11317,16486r-58,36l11195,16548r-68,17l11056,16571xe" filled="f" strokecolor="#a7bede" strokeweight="1pt">
          <v:path arrowok="t"/>
          <w10:wrap anchorx="page" anchory="page"/>
        </v:shape>
      </w:pict>
    </w:r>
    <w:r w:rsidRPr="00DE6B1C">
      <w:rPr>
        <w:sz w:val="20"/>
      </w:rPr>
      <w:pict>
        <v:shapetype id="_x0000_t202" coordsize="21600,21600" o:spt="202" path="m,l,21600r21600,l21600,xe">
          <v:stroke joinstyle="miter"/>
          <v:path gradientshapeok="t" o:connecttype="rect"/>
        </v:shapetype>
        <v:shape id="docshape26" o:spid="_x0000_s2055" type="#_x0000_t202" style="position:absolute;margin-left:539.75pt;margin-top:799.75pt;width:20.6pt;height:14.25pt;z-index:-19475968;mso-position-horizontal-relative:page;mso-position-vertical-relative:page" filled="f" stroked="f">
          <v:textbox inset="0,0,0,0">
            <w:txbxContent>
              <w:p w:rsidR="007259F2" w:rsidRDefault="00DE6B1C">
                <w:pPr>
                  <w:spacing w:before="11"/>
                  <w:ind w:left="60"/>
                </w:pPr>
                <w:r>
                  <w:rPr>
                    <w:color w:val="4F81BC"/>
                    <w:spacing w:val="-5"/>
                  </w:rPr>
                  <w:fldChar w:fldCharType="begin"/>
                </w:r>
                <w:r w:rsidR="00E655B4">
                  <w:rPr>
                    <w:color w:val="4F81BC"/>
                    <w:spacing w:val="-5"/>
                  </w:rPr>
                  <w:instrText xml:space="preserve"> PAGE </w:instrText>
                </w:r>
                <w:r>
                  <w:rPr>
                    <w:color w:val="4F81BC"/>
                    <w:spacing w:val="-5"/>
                  </w:rPr>
                  <w:fldChar w:fldCharType="separate"/>
                </w:r>
                <w:r w:rsidR="00701904">
                  <w:rPr>
                    <w:noProof/>
                    <w:color w:val="4F81BC"/>
                    <w:spacing w:val="-5"/>
                  </w:rPr>
                  <w:t>165</w:t>
                </w:r>
                <w:r>
                  <w:rPr>
                    <w:color w:val="4F81BC"/>
                    <w:spacing w:val="-5"/>
                  </w:rPr>
                  <w:fldChar w:fldCharType="end"/>
                </w:r>
              </w:p>
            </w:txbxContent>
          </v:textbox>
          <w10:wrap anchorx="page" anchory="page"/>
        </v:shape>
      </w:pic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59F2" w:rsidRDefault="00DE6B1C">
    <w:pPr>
      <w:pStyle w:val="Corpodetexto"/>
      <w:spacing w:line="14" w:lineRule="auto"/>
      <w:ind w:left="0" w:firstLine="0"/>
      <w:jc w:val="left"/>
      <w:rPr>
        <w:sz w:val="20"/>
      </w:rPr>
    </w:pPr>
    <w:r w:rsidRPr="00DE6B1C">
      <w:rPr>
        <w:sz w:val="20"/>
      </w:rPr>
      <w:pict>
        <v:shape id="docshape99" o:spid="_x0000_s2054" style="position:absolute;margin-left:544.8pt;margin-top:791.4pt;width:44.25pt;height:44.25pt;z-index:-19475456;mso-position-horizontal-relative:page;mso-position-vertical-relative:page" coordorigin="10896,15828" coordsize="885,885" path="m11338,16713r-71,-6l11199,16690r-64,-26l11077,16628r-51,-45l10981,16532r-36,-58l10919,16410r-17,-68l10896,16270r6,-71l10919,16131r26,-64l10981,16009r45,-51l11077,15913r58,-36l11199,15851r68,-17l11338,15828r72,6l11478,15851r64,26l11600,15913r51,45l11696,16009r36,58l11758,16131r17,68l11781,16270r-6,72l11758,16410r-26,64l11696,16532r-45,51l11600,16628r-58,36l11478,16690r-68,17l11338,16713xe" filled="f" strokecolor="#a7bede" strokeweight="1pt">
          <v:path arrowok="t"/>
          <w10:wrap anchorx="page" anchory="page"/>
        </v:shape>
      </w:pict>
    </w:r>
    <w:r w:rsidRPr="00DE6B1C">
      <w:rPr>
        <w:sz w:val="20"/>
      </w:rPr>
      <w:pict>
        <v:shapetype id="_x0000_t202" coordsize="21600,21600" o:spt="202" path="m,l,21600r21600,l21600,xe">
          <v:stroke joinstyle="miter"/>
          <v:path gradientshapeok="t" o:connecttype="rect"/>
        </v:shapetype>
        <v:shape id="docshape100" o:spid="_x0000_s2053" type="#_x0000_t202" style="position:absolute;margin-left:553.9pt;margin-top:806.85pt;width:23.6pt;height:14.25pt;z-index:-19474944;mso-position-horizontal-relative:page;mso-position-vertical-relative:page" filled="f" stroked="f">
          <v:textbox inset="0,0,0,0">
            <w:txbxContent>
              <w:p w:rsidR="007259F2" w:rsidRDefault="00DE6B1C">
                <w:pPr>
                  <w:spacing w:before="11"/>
                  <w:ind w:left="60"/>
                </w:pPr>
                <w:r>
                  <w:rPr>
                    <w:color w:val="4F81BC"/>
                    <w:spacing w:val="-5"/>
                  </w:rPr>
                  <w:fldChar w:fldCharType="begin"/>
                </w:r>
                <w:r w:rsidR="00E655B4">
                  <w:rPr>
                    <w:color w:val="4F81BC"/>
                    <w:spacing w:val="-5"/>
                  </w:rPr>
                  <w:instrText xml:space="preserve"> PAGE </w:instrText>
                </w:r>
                <w:r>
                  <w:rPr>
                    <w:color w:val="4F81BC"/>
                    <w:spacing w:val="-5"/>
                  </w:rPr>
                  <w:fldChar w:fldCharType="separate"/>
                </w:r>
                <w:r w:rsidR="00701904">
                  <w:rPr>
                    <w:noProof/>
                    <w:color w:val="4F81BC"/>
                    <w:spacing w:val="-5"/>
                  </w:rPr>
                  <w:t>265</w:t>
                </w:r>
                <w:r>
                  <w:rPr>
                    <w:color w:val="4F81BC"/>
                    <w:spacing w:val="-5"/>
                  </w:rPr>
                  <w:fldChar w:fldCharType="end"/>
                </w:r>
              </w:p>
            </w:txbxContent>
          </v:textbox>
          <w10:wrap anchorx="page" anchory="page"/>
        </v:shape>
      </w:pic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59F2" w:rsidRDefault="00DE6B1C">
    <w:pPr>
      <w:pStyle w:val="Corpodetexto"/>
      <w:spacing w:line="14" w:lineRule="auto"/>
      <w:ind w:left="0" w:firstLine="0"/>
      <w:jc w:val="left"/>
      <w:rPr>
        <w:sz w:val="20"/>
      </w:rPr>
    </w:pPr>
    <w:r w:rsidRPr="00DE6B1C">
      <w:rPr>
        <w:sz w:val="20"/>
      </w:rPr>
      <w:pict>
        <v:shape id="docshape172" o:spid="_x0000_s2052" style="position:absolute;margin-left:544.8pt;margin-top:791.4pt;width:44.25pt;height:44.25pt;z-index:-19474432;mso-position-horizontal-relative:page;mso-position-vertical-relative:page" coordorigin="10896,15828" coordsize="885,885" path="m11338,16713r-71,-6l11199,16690r-64,-26l11077,16628r-51,-45l10981,16532r-36,-58l10919,16410r-17,-68l10896,16270r6,-71l10919,16131r26,-64l10981,16009r45,-51l11077,15913r58,-36l11199,15851r68,-17l11338,15828r72,6l11478,15851r64,26l11600,15913r51,45l11696,16009r36,58l11758,16131r17,68l11781,16270r-6,72l11758,16410r-26,64l11696,16532r-45,51l11600,16628r-58,36l11478,16690r-68,17l11338,16713xe" filled="f" strokecolor="#a7bede" strokeweight="1pt">
          <v:path arrowok="t"/>
          <w10:wrap anchorx="page" anchory="page"/>
        </v:shape>
      </w:pict>
    </w:r>
    <w:r w:rsidRPr="00DE6B1C">
      <w:rPr>
        <w:sz w:val="20"/>
      </w:rPr>
      <w:pict>
        <v:shapetype id="_x0000_t202" coordsize="21600,21600" o:spt="202" path="m,l,21600r21600,l21600,xe">
          <v:stroke joinstyle="miter"/>
          <v:path gradientshapeok="t" o:connecttype="rect"/>
        </v:shapetype>
        <v:shape id="docshape173" o:spid="_x0000_s2051" type="#_x0000_t202" style="position:absolute;margin-left:553.9pt;margin-top:806.85pt;width:23.6pt;height:14.25pt;z-index:-19473920;mso-position-horizontal-relative:page;mso-position-vertical-relative:page" filled="f" stroked="f">
          <v:textbox inset="0,0,0,0">
            <w:txbxContent>
              <w:p w:rsidR="007259F2" w:rsidRDefault="00DE6B1C">
                <w:pPr>
                  <w:spacing w:before="11"/>
                  <w:ind w:left="60"/>
                </w:pPr>
                <w:r>
                  <w:rPr>
                    <w:color w:val="4F81BC"/>
                    <w:spacing w:val="-5"/>
                  </w:rPr>
                  <w:fldChar w:fldCharType="begin"/>
                </w:r>
                <w:r w:rsidR="00E655B4">
                  <w:rPr>
                    <w:color w:val="4F81BC"/>
                    <w:spacing w:val="-5"/>
                  </w:rPr>
                  <w:instrText xml:space="preserve"> PAGE </w:instrText>
                </w:r>
                <w:r>
                  <w:rPr>
                    <w:color w:val="4F81BC"/>
                    <w:spacing w:val="-5"/>
                  </w:rPr>
                  <w:fldChar w:fldCharType="separate"/>
                </w:r>
                <w:r w:rsidR="00701904">
                  <w:rPr>
                    <w:noProof/>
                    <w:color w:val="4F81BC"/>
                    <w:spacing w:val="-5"/>
                  </w:rPr>
                  <w:t>326</w:t>
                </w:r>
                <w:r>
                  <w:rPr>
                    <w:color w:val="4F81BC"/>
                    <w:spacing w:val="-5"/>
                  </w:rPr>
                  <w:fldChar w:fldCharType="end"/>
                </w:r>
              </w:p>
            </w:txbxContent>
          </v:textbox>
          <w10:wrap anchorx="page" anchory="page"/>
        </v:shape>
      </w:pic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59F2" w:rsidRDefault="00DE6B1C">
    <w:pPr>
      <w:pStyle w:val="Corpodetexto"/>
      <w:spacing w:line="14" w:lineRule="auto"/>
      <w:ind w:left="0" w:firstLine="0"/>
      <w:jc w:val="left"/>
      <w:rPr>
        <w:sz w:val="20"/>
      </w:rPr>
    </w:pPr>
    <w:r w:rsidRPr="00DE6B1C">
      <w:rPr>
        <w:sz w:val="20"/>
      </w:rPr>
      <w:pict>
        <v:shape id="docshape182" o:spid="_x0000_s2050" style="position:absolute;margin-left:530.65pt;margin-top:784.3pt;width:44.25pt;height:44.25pt;z-index:-19473408;mso-position-horizontal-relative:page;mso-position-vertical-relative:page" coordorigin="10613,15686" coordsize="885,885" path="m11056,16571r-72,-6l10916,16548r-64,-26l10794,16486r-51,-45l10698,16390r-36,-58l10636,16268r-17,-68l10613,16128r6,-71l10636,15989r26,-64l10698,15867r45,-51l10794,15771r58,-36l10916,15709r68,-17l11056,15686r71,6l11195,15709r64,26l11317,15771r51,45l11413,15867r36,58l11475,15989r17,68l11498,16128r-6,72l11475,16268r-26,64l11413,16390r-45,51l11317,16486r-58,36l11195,16548r-68,17l11056,16571xe" filled="f" strokecolor="#a7bede" strokeweight="1pt">
          <v:path arrowok="t"/>
          <w10:wrap anchorx="page" anchory="page"/>
        </v:shape>
      </w:pict>
    </w:r>
    <w:r w:rsidRPr="00DE6B1C">
      <w:rPr>
        <w:sz w:val="20"/>
      </w:rPr>
      <w:pict>
        <v:shapetype id="_x0000_t202" coordsize="21600,21600" o:spt="202" path="m,l,21600r21600,l21600,xe">
          <v:stroke joinstyle="miter"/>
          <v:path gradientshapeok="t" o:connecttype="rect"/>
        </v:shapetype>
        <v:shape id="docshape183" o:spid="_x0000_s2049" type="#_x0000_t202" style="position:absolute;margin-left:539.75pt;margin-top:799.75pt;width:23.6pt;height:14.25pt;z-index:-19472896;mso-position-horizontal-relative:page;mso-position-vertical-relative:page" filled="f" stroked="f">
          <v:textbox inset="0,0,0,0">
            <w:txbxContent>
              <w:p w:rsidR="007259F2" w:rsidRDefault="00DE6B1C">
                <w:pPr>
                  <w:spacing w:before="11"/>
                  <w:ind w:left="60"/>
                </w:pPr>
                <w:r>
                  <w:rPr>
                    <w:color w:val="4F81BC"/>
                    <w:spacing w:val="-5"/>
                  </w:rPr>
                  <w:fldChar w:fldCharType="begin"/>
                </w:r>
                <w:r w:rsidR="00E655B4">
                  <w:rPr>
                    <w:color w:val="4F81BC"/>
                    <w:spacing w:val="-5"/>
                  </w:rPr>
                  <w:instrText xml:space="preserve"> PAGE </w:instrText>
                </w:r>
                <w:r>
                  <w:rPr>
                    <w:color w:val="4F81BC"/>
                    <w:spacing w:val="-5"/>
                  </w:rPr>
                  <w:fldChar w:fldCharType="separate"/>
                </w:r>
                <w:r w:rsidR="00701904">
                  <w:rPr>
                    <w:noProof/>
                    <w:color w:val="4F81BC"/>
                    <w:spacing w:val="-5"/>
                  </w:rPr>
                  <w:t>367</w:t>
                </w:r>
                <w:r>
                  <w:rPr>
                    <w:color w:val="4F81BC"/>
                    <w:spacing w:val="-5"/>
                  </w:rPr>
                  <w:fldChar w:fldCharType="end"/>
                </w:r>
              </w:p>
            </w:txbxContent>
          </v:textbox>
          <w10:wrap anchorx="page" anchory="page"/>
        </v:shape>
      </w:pic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59F2" w:rsidRDefault="007259F2">
    <w:pPr>
      <w:pStyle w:val="Corpodetexto"/>
      <w:spacing w:line="14" w:lineRule="auto"/>
      <w:ind w:left="0" w:firstLine="0"/>
      <w:jc w:val="left"/>
      <w:rPr>
        <w:sz w:val="2"/>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59F2" w:rsidRDefault="007259F2">
    <w:pPr>
      <w:pStyle w:val="Corpodetexto"/>
      <w:spacing w:line="14" w:lineRule="auto"/>
      <w:ind w:left="0" w:firstLine="0"/>
      <w:jc w:val="left"/>
      <w:rPr>
        <w:sz w:val="2"/>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59F2" w:rsidRDefault="007259F2">
    <w:pPr>
      <w:pStyle w:val="Corpodetexto"/>
      <w:spacing w:line="14" w:lineRule="auto"/>
      <w:ind w:left="0" w:firstLine="0"/>
      <w:jc w:val="left"/>
      <w:rPr>
        <w:sz w:val="2"/>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59F2" w:rsidRDefault="007259F2">
    <w:pPr>
      <w:pStyle w:val="Corpodetexto"/>
      <w:spacing w:line="14" w:lineRule="auto"/>
      <w:ind w:left="0" w:firstLine="0"/>
      <w:jc w:val="left"/>
      <w:rPr>
        <w:sz w:val="2"/>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59F2" w:rsidRDefault="007259F2">
    <w:pPr>
      <w:pStyle w:val="Corpodetexto"/>
      <w:spacing w:line="14" w:lineRule="auto"/>
      <w:ind w:left="0" w:firstLine="0"/>
      <w:jc w:val="left"/>
      <w:rPr>
        <w:sz w:val="2"/>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59F2" w:rsidRDefault="007259F2">
    <w:pPr>
      <w:pStyle w:val="Corpodetexto"/>
      <w:spacing w:line="14" w:lineRule="auto"/>
      <w:ind w:left="0" w:firstLine="0"/>
      <w:jc w:val="left"/>
      <w:rPr>
        <w:sz w:val="2"/>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59F2" w:rsidRDefault="007259F2">
    <w:pPr>
      <w:pStyle w:val="Corpodetexto"/>
      <w:spacing w:line="14" w:lineRule="auto"/>
      <w:ind w:left="0" w:firstLine="0"/>
      <w:jc w:val="left"/>
      <w:rPr>
        <w:sz w:val="2"/>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59F2" w:rsidRDefault="007259F2">
    <w:pPr>
      <w:pStyle w:val="Corpodetexto"/>
      <w:spacing w:line="14" w:lineRule="auto"/>
      <w:ind w:left="0" w:firstLine="0"/>
      <w:jc w:val="left"/>
      <w:rPr>
        <w:sz w:val="2"/>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59F2" w:rsidRDefault="007259F2">
    <w:pPr>
      <w:pStyle w:val="Corpodetexto"/>
      <w:spacing w:line="14" w:lineRule="auto"/>
      <w:ind w:left="0" w:firstLine="0"/>
      <w:jc w:val="left"/>
      <w:rPr>
        <w:sz w:val="2"/>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59F2" w:rsidRDefault="007259F2">
    <w:pPr>
      <w:pStyle w:val="Corpodetexto"/>
      <w:spacing w:line="14" w:lineRule="auto"/>
      <w:ind w:left="0" w:firstLine="0"/>
      <w:jc w:val="left"/>
      <w:rPr>
        <w:sz w:val="2"/>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59F2" w:rsidRDefault="007259F2">
    <w:pPr>
      <w:pStyle w:val="Corpodetexto"/>
      <w:spacing w:line="14" w:lineRule="auto"/>
      <w:ind w:left="0" w:firstLine="0"/>
      <w:jc w:val="left"/>
      <w:rPr>
        <w:sz w:val="2"/>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59F2" w:rsidRDefault="007259F2">
    <w:pPr>
      <w:pStyle w:val="Corpodetexto"/>
      <w:spacing w:line="14" w:lineRule="auto"/>
      <w:ind w:left="0" w:firstLine="0"/>
      <w:jc w:val="left"/>
      <w:rPr>
        <w:sz w:val="2"/>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59F2" w:rsidRDefault="007259F2">
    <w:pPr>
      <w:pStyle w:val="Corpodetexto"/>
      <w:spacing w:line="14" w:lineRule="auto"/>
      <w:ind w:left="0" w:firstLine="0"/>
      <w:jc w:val="left"/>
      <w:rPr>
        <w:sz w:val="2"/>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59F2" w:rsidRDefault="007259F2">
    <w:pPr>
      <w:pStyle w:val="Corpodetexto"/>
      <w:spacing w:line="14" w:lineRule="auto"/>
      <w:ind w:left="0" w:firstLine="0"/>
      <w:jc w:val="left"/>
      <w:rPr>
        <w:sz w:val="2"/>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59F2" w:rsidRDefault="007259F2">
    <w:pPr>
      <w:pStyle w:val="Corpodetexto"/>
      <w:spacing w:line="14" w:lineRule="auto"/>
      <w:ind w:left="0" w:firstLine="0"/>
      <w:jc w:val="left"/>
      <w:rPr>
        <w:sz w:val="2"/>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59F2" w:rsidRDefault="007259F2">
    <w:pPr>
      <w:pStyle w:val="Corpodetexto"/>
      <w:spacing w:line="14" w:lineRule="auto"/>
      <w:ind w:left="0" w:firstLine="0"/>
      <w:jc w:val="left"/>
      <w:rPr>
        <w:sz w:val="2"/>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59F2" w:rsidRDefault="007259F2">
    <w:pPr>
      <w:pStyle w:val="Corpodetexto"/>
      <w:spacing w:line="14" w:lineRule="auto"/>
      <w:ind w:left="0" w:firstLine="0"/>
      <w:jc w:val="left"/>
      <w:rPr>
        <w:sz w:val="2"/>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59F2" w:rsidRDefault="007259F2">
    <w:pPr>
      <w:pStyle w:val="Corpodetexto"/>
      <w:spacing w:line="14" w:lineRule="auto"/>
      <w:ind w:left="0" w:firstLine="0"/>
      <w:jc w:val="left"/>
      <w:rPr>
        <w:sz w:val="2"/>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59F2" w:rsidRDefault="007259F2">
    <w:pPr>
      <w:pStyle w:val="Corpodetexto"/>
      <w:spacing w:line="14" w:lineRule="auto"/>
      <w:ind w:left="0" w:firstLine="0"/>
      <w:jc w:val="left"/>
      <w:rPr>
        <w:sz w:val="2"/>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59F2" w:rsidRDefault="007259F2">
    <w:pPr>
      <w:pStyle w:val="Corpodetexto"/>
      <w:spacing w:line="14" w:lineRule="auto"/>
      <w:ind w:left="0" w:firstLine="0"/>
      <w:jc w:val="left"/>
      <w:rPr>
        <w:sz w:val="2"/>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59F2" w:rsidRDefault="007259F2">
    <w:pPr>
      <w:pStyle w:val="Corpodetexto"/>
      <w:spacing w:line="14" w:lineRule="auto"/>
      <w:ind w:left="0" w:firstLine="0"/>
      <w:jc w:val="left"/>
      <w:rPr>
        <w:sz w:val="2"/>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59F2" w:rsidRDefault="007259F2">
    <w:pPr>
      <w:pStyle w:val="Corpodetexto"/>
      <w:spacing w:line="14" w:lineRule="auto"/>
      <w:ind w:left="0" w:firstLine="0"/>
      <w:jc w:val="left"/>
      <w:rPr>
        <w:sz w:val="2"/>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59F2" w:rsidRDefault="007259F2">
    <w:pPr>
      <w:pStyle w:val="Corpodetexto"/>
      <w:spacing w:line="14" w:lineRule="auto"/>
      <w:ind w:left="0" w:firstLine="0"/>
      <w:jc w:val="left"/>
      <w:rPr>
        <w:sz w:val="2"/>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59F2" w:rsidRDefault="007259F2">
    <w:pPr>
      <w:pStyle w:val="Corpodetexto"/>
      <w:spacing w:line="14" w:lineRule="auto"/>
      <w:ind w:left="0" w:firstLine="0"/>
      <w:jc w:val="left"/>
      <w:rPr>
        <w:sz w:val="2"/>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59F2" w:rsidRDefault="007259F2">
    <w:pPr>
      <w:pStyle w:val="Corpodetexto"/>
      <w:spacing w:line="14" w:lineRule="auto"/>
      <w:ind w:left="0" w:firstLine="0"/>
      <w:jc w:val="left"/>
      <w:rPr>
        <w:sz w:val="2"/>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59F2" w:rsidRDefault="007259F2">
    <w:pPr>
      <w:pStyle w:val="Corpodetexto"/>
      <w:spacing w:line="14" w:lineRule="auto"/>
      <w:ind w:left="0" w:firstLine="0"/>
      <w:jc w:val="left"/>
      <w:rPr>
        <w:sz w:val="2"/>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59F2" w:rsidRDefault="007259F2">
    <w:pPr>
      <w:pStyle w:val="Corpodetexto"/>
      <w:spacing w:line="14" w:lineRule="auto"/>
      <w:ind w:left="0" w:firstLine="0"/>
      <w:jc w:val="left"/>
      <w:rPr>
        <w:sz w:val="2"/>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59F2" w:rsidRDefault="007259F2">
    <w:pPr>
      <w:pStyle w:val="Corpodetexto"/>
      <w:spacing w:line="14" w:lineRule="auto"/>
      <w:ind w:left="0" w:firstLine="0"/>
      <w:jc w:val="left"/>
      <w:rPr>
        <w:sz w:val="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268B6" w:rsidRDefault="005268B6" w:rsidP="007259F2">
      <w:r>
        <w:separator/>
      </w:r>
    </w:p>
  </w:footnote>
  <w:footnote w:type="continuationSeparator" w:id="1">
    <w:p w:rsidR="005268B6" w:rsidRDefault="005268B6" w:rsidP="007259F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1904" w:rsidRDefault="00701904">
    <w:pPr>
      <w:pStyle w:val="Cabealho"/>
    </w:pPr>
    <w:r>
      <w:t xml:space="preserve">ANEXO II  A – REVISTA PGM 13 </w:t>
    </w:r>
  </w:p>
  <w:p w:rsidR="00701904" w:rsidRDefault="00701904">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6E501E"/>
    <w:multiLevelType w:val="hybridMultilevel"/>
    <w:tmpl w:val="B8286AD2"/>
    <w:lvl w:ilvl="0" w:tplc="6D76DEF8">
      <w:start w:val="7"/>
      <w:numFmt w:val="upperRoman"/>
      <w:lvlText w:val="%1"/>
      <w:lvlJc w:val="left"/>
      <w:pPr>
        <w:ind w:left="2978" w:hanging="375"/>
        <w:jc w:val="left"/>
      </w:pPr>
      <w:rPr>
        <w:rFonts w:ascii="Times New Roman" w:eastAsia="Times New Roman" w:hAnsi="Times New Roman" w:cs="Times New Roman" w:hint="default"/>
        <w:b w:val="0"/>
        <w:bCs w:val="0"/>
        <w:i w:val="0"/>
        <w:iCs w:val="0"/>
        <w:spacing w:val="0"/>
        <w:w w:val="96"/>
        <w:sz w:val="20"/>
        <w:szCs w:val="20"/>
        <w:lang w:val="pt-PT" w:eastAsia="en-US" w:bidi="ar-SA"/>
      </w:rPr>
    </w:lvl>
    <w:lvl w:ilvl="1" w:tplc="58B0E81E">
      <w:numFmt w:val="bullet"/>
      <w:lvlText w:val="•"/>
      <w:lvlJc w:val="left"/>
      <w:pPr>
        <w:ind w:left="3702" w:hanging="375"/>
      </w:pPr>
      <w:rPr>
        <w:rFonts w:hint="default"/>
        <w:lang w:val="pt-PT" w:eastAsia="en-US" w:bidi="ar-SA"/>
      </w:rPr>
    </w:lvl>
    <w:lvl w:ilvl="2" w:tplc="60E6BEB8">
      <w:numFmt w:val="bullet"/>
      <w:lvlText w:val="•"/>
      <w:lvlJc w:val="left"/>
      <w:pPr>
        <w:ind w:left="4425" w:hanging="375"/>
      </w:pPr>
      <w:rPr>
        <w:rFonts w:hint="default"/>
        <w:lang w:val="pt-PT" w:eastAsia="en-US" w:bidi="ar-SA"/>
      </w:rPr>
    </w:lvl>
    <w:lvl w:ilvl="3" w:tplc="0ED2E504">
      <w:numFmt w:val="bullet"/>
      <w:lvlText w:val="•"/>
      <w:lvlJc w:val="left"/>
      <w:pPr>
        <w:ind w:left="5147" w:hanging="375"/>
      </w:pPr>
      <w:rPr>
        <w:rFonts w:hint="default"/>
        <w:lang w:val="pt-PT" w:eastAsia="en-US" w:bidi="ar-SA"/>
      </w:rPr>
    </w:lvl>
    <w:lvl w:ilvl="4" w:tplc="61B019B8">
      <w:numFmt w:val="bullet"/>
      <w:lvlText w:val="•"/>
      <w:lvlJc w:val="left"/>
      <w:pPr>
        <w:ind w:left="5870" w:hanging="375"/>
      </w:pPr>
      <w:rPr>
        <w:rFonts w:hint="default"/>
        <w:lang w:val="pt-PT" w:eastAsia="en-US" w:bidi="ar-SA"/>
      </w:rPr>
    </w:lvl>
    <w:lvl w:ilvl="5" w:tplc="0BD4208E">
      <w:numFmt w:val="bullet"/>
      <w:lvlText w:val="•"/>
      <w:lvlJc w:val="left"/>
      <w:pPr>
        <w:ind w:left="6593" w:hanging="375"/>
      </w:pPr>
      <w:rPr>
        <w:rFonts w:hint="default"/>
        <w:lang w:val="pt-PT" w:eastAsia="en-US" w:bidi="ar-SA"/>
      </w:rPr>
    </w:lvl>
    <w:lvl w:ilvl="6" w:tplc="4BECF37E">
      <w:numFmt w:val="bullet"/>
      <w:lvlText w:val="•"/>
      <w:lvlJc w:val="left"/>
      <w:pPr>
        <w:ind w:left="7315" w:hanging="375"/>
      </w:pPr>
      <w:rPr>
        <w:rFonts w:hint="default"/>
        <w:lang w:val="pt-PT" w:eastAsia="en-US" w:bidi="ar-SA"/>
      </w:rPr>
    </w:lvl>
    <w:lvl w:ilvl="7" w:tplc="E9F28494">
      <w:numFmt w:val="bullet"/>
      <w:lvlText w:val="•"/>
      <w:lvlJc w:val="left"/>
      <w:pPr>
        <w:ind w:left="8038" w:hanging="375"/>
      </w:pPr>
      <w:rPr>
        <w:rFonts w:hint="default"/>
        <w:lang w:val="pt-PT" w:eastAsia="en-US" w:bidi="ar-SA"/>
      </w:rPr>
    </w:lvl>
    <w:lvl w:ilvl="8" w:tplc="A56EEA56">
      <w:numFmt w:val="bullet"/>
      <w:lvlText w:val="•"/>
      <w:lvlJc w:val="left"/>
      <w:pPr>
        <w:ind w:left="8761" w:hanging="375"/>
      </w:pPr>
      <w:rPr>
        <w:rFonts w:hint="default"/>
        <w:lang w:val="pt-PT" w:eastAsia="en-US" w:bidi="ar-SA"/>
      </w:rPr>
    </w:lvl>
  </w:abstractNum>
  <w:abstractNum w:abstractNumId="1">
    <w:nsid w:val="07433FD4"/>
    <w:multiLevelType w:val="multilevel"/>
    <w:tmpl w:val="116EF320"/>
    <w:lvl w:ilvl="0">
      <w:start w:val="2"/>
      <w:numFmt w:val="decimal"/>
      <w:lvlText w:val="%1."/>
      <w:lvlJc w:val="left"/>
      <w:pPr>
        <w:ind w:left="1658" w:hanging="240"/>
        <w:jc w:val="left"/>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1804" w:hanging="360"/>
        <w:jc w:val="left"/>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2734" w:hanging="360"/>
      </w:pPr>
      <w:rPr>
        <w:rFonts w:hint="default"/>
        <w:lang w:val="pt-PT" w:eastAsia="en-US" w:bidi="ar-SA"/>
      </w:rPr>
    </w:lvl>
    <w:lvl w:ilvl="3">
      <w:numFmt w:val="bullet"/>
      <w:lvlText w:val="•"/>
      <w:lvlJc w:val="left"/>
      <w:pPr>
        <w:ind w:left="3668" w:hanging="360"/>
      </w:pPr>
      <w:rPr>
        <w:rFonts w:hint="default"/>
        <w:lang w:val="pt-PT" w:eastAsia="en-US" w:bidi="ar-SA"/>
      </w:rPr>
    </w:lvl>
    <w:lvl w:ilvl="4">
      <w:numFmt w:val="bullet"/>
      <w:lvlText w:val="•"/>
      <w:lvlJc w:val="left"/>
      <w:pPr>
        <w:ind w:left="4602" w:hanging="360"/>
      </w:pPr>
      <w:rPr>
        <w:rFonts w:hint="default"/>
        <w:lang w:val="pt-PT" w:eastAsia="en-US" w:bidi="ar-SA"/>
      </w:rPr>
    </w:lvl>
    <w:lvl w:ilvl="5">
      <w:numFmt w:val="bullet"/>
      <w:lvlText w:val="•"/>
      <w:lvlJc w:val="left"/>
      <w:pPr>
        <w:ind w:left="5536" w:hanging="360"/>
      </w:pPr>
      <w:rPr>
        <w:rFonts w:hint="default"/>
        <w:lang w:val="pt-PT" w:eastAsia="en-US" w:bidi="ar-SA"/>
      </w:rPr>
    </w:lvl>
    <w:lvl w:ilvl="6">
      <w:numFmt w:val="bullet"/>
      <w:lvlText w:val="•"/>
      <w:lvlJc w:val="left"/>
      <w:pPr>
        <w:ind w:left="6470" w:hanging="360"/>
      </w:pPr>
      <w:rPr>
        <w:rFonts w:hint="default"/>
        <w:lang w:val="pt-PT" w:eastAsia="en-US" w:bidi="ar-SA"/>
      </w:rPr>
    </w:lvl>
    <w:lvl w:ilvl="7">
      <w:numFmt w:val="bullet"/>
      <w:lvlText w:val="•"/>
      <w:lvlJc w:val="left"/>
      <w:pPr>
        <w:ind w:left="7404" w:hanging="360"/>
      </w:pPr>
      <w:rPr>
        <w:rFonts w:hint="default"/>
        <w:lang w:val="pt-PT" w:eastAsia="en-US" w:bidi="ar-SA"/>
      </w:rPr>
    </w:lvl>
    <w:lvl w:ilvl="8">
      <w:numFmt w:val="bullet"/>
      <w:lvlText w:val="•"/>
      <w:lvlJc w:val="left"/>
      <w:pPr>
        <w:ind w:left="8338" w:hanging="360"/>
      </w:pPr>
      <w:rPr>
        <w:rFonts w:hint="default"/>
        <w:lang w:val="pt-PT" w:eastAsia="en-US" w:bidi="ar-SA"/>
      </w:rPr>
    </w:lvl>
  </w:abstractNum>
  <w:abstractNum w:abstractNumId="2">
    <w:nsid w:val="07CF4009"/>
    <w:multiLevelType w:val="multilevel"/>
    <w:tmpl w:val="CD4EA470"/>
    <w:lvl w:ilvl="0">
      <w:start w:val="1"/>
      <w:numFmt w:val="decimal"/>
      <w:lvlText w:val="%1."/>
      <w:lvlJc w:val="left"/>
      <w:pPr>
        <w:ind w:left="1137" w:hanging="360"/>
        <w:jc w:val="right"/>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1278" w:hanging="358"/>
        <w:jc w:val="left"/>
      </w:pPr>
      <w:rPr>
        <w:rFonts w:ascii="Times New Roman" w:eastAsia="Times New Roman" w:hAnsi="Times New Roman" w:cs="Times New Roman" w:hint="default"/>
        <w:b/>
        <w:bCs/>
        <w:i w:val="0"/>
        <w:iCs w:val="0"/>
        <w:spacing w:val="-3"/>
        <w:w w:val="100"/>
        <w:sz w:val="22"/>
        <w:szCs w:val="22"/>
        <w:lang w:val="pt-PT" w:eastAsia="en-US" w:bidi="ar-SA"/>
      </w:rPr>
    </w:lvl>
    <w:lvl w:ilvl="2">
      <w:numFmt w:val="bullet"/>
      <w:lvlText w:val="•"/>
      <w:lvlJc w:val="left"/>
      <w:pPr>
        <w:ind w:left="2271" w:hanging="358"/>
      </w:pPr>
      <w:rPr>
        <w:rFonts w:hint="default"/>
        <w:lang w:val="pt-PT" w:eastAsia="en-US" w:bidi="ar-SA"/>
      </w:rPr>
    </w:lvl>
    <w:lvl w:ilvl="3">
      <w:numFmt w:val="bullet"/>
      <w:lvlText w:val="•"/>
      <w:lvlJc w:val="left"/>
      <w:pPr>
        <w:ind w:left="3263" w:hanging="358"/>
      </w:pPr>
      <w:rPr>
        <w:rFonts w:hint="default"/>
        <w:lang w:val="pt-PT" w:eastAsia="en-US" w:bidi="ar-SA"/>
      </w:rPr>
    </w:lvl>
    <w:lvl w:ilvl="4">
      <w:numFmt w:val="bullet"/>
      <w:lvlText w:val="•"/>
      <w:lvlJc w:val="left"/>
      <w:pPr>
        <w:ind w:left="4255" w:hanging="358"/>
      </w:pPr>
      <w:rPr>
        <w:rFonts w:hint="default"/>
        <w:lang w:val="pt-PT" w:eastAsia="en-US" w:bidi="ar-SA"/>
      </w:rPr>
    </w:lvl>
    <w:lvl w:ilvl="5">
      <w:numFmt w:val="bullet"/>
      <w:lvlText w:val="•"/>
      <w:lvlJc w:val="left"/>
      <w:pPr>
        <w:ind w:left="5247" w:hanging="358"/>
      </w:pPr>
      <w:rPr>
        <w:rFonts w:hint="default"/>
        <w:lang w:val="pt-PT" w:eastAsia="en-US" w:bidi="ar-SA"/>
      </w:rPr>
    </w:lvl>
    <w:lvl w:ilvl="6">
      <w:numFmt w:val="bullet"/>
      <w:lvlText w:val="•"/>
      <w:lvlJc w:val="left"/>
      <w:pPr>
        <w:ind w:left="6239" w:hanging="358"/>
      </w:pPr>
      <w:rPr>
        <w:rFonts w:hint="default"/>
        <w:lang w:val="pt-PT" w:eastAsia="en-US" w:bidi="ar-SA"/>
      </w:rPr>
    </w:lvl>
    <w:lvl w:ilvl="7">
      <w:numFmt w:val="bullet"/>
      <w:lvlText w:val="•"/>
      <w:lvlJc w:val="left"/>
      <w:pPr>
        <w:ind w:left="7230" w:hanging="358"/>
      </w:pPr>
      <w:rPr>
        <w:rFonts w:hint="default"/>
        <w:lang w:val="pt-PT" w:eastAsia="en-US" w:bidi="ar-SA"/>
      </w:rPr>
    </w:lvl>
    <w:lvl w:ilvl="8">
      <w:numFmt w:val="bullet"/>
      <w:lvlText w:val="•"/>
      <w:lvlJc w:val="left"/>
      <w:pPr>
        <w:ind w:left="8222" w:hanging="358"/>
      </w:pPr>
      <w:rPr>
        <w:rFonts w:hint="default"/>
        <w:lang w:val="pt-PT" w:eastAsia="en-US" w:bidi="ar-SA"/>
      </w:rPr>
    </w:lvl>
  </w:abstractNum>
  <w:abstractNum w:abstractNumId="3">
    <w:nsid w:val="0A5D3799"/>
    <w:multiLevelType w:val="hybridMultilevel"/>
    <w:tmpl w:val="62745456"/>
    <w:lvl w:ilvl="0" w:tplc="CF7AFD7A">
      <w:start w:val="1"/>
      <w:numFmt w:val="lowerLetter"/>
      <w:lvlText w:val="%1)"/>
      <w:lvlJc w:val="left"/>
      <w:pPr>
        <w:ind w:left="3338" w:hanging="360"/>
        <w:jc w:val="left"/>
      </w:pPr>
      <w:rPr>
        <w:rFonts w:ascii="Times New Roman" w:eastAsia="Times New Roman" w:hAnsi="Times New Roman" w:cs="Times New Roman" w:hint="default"/>
        <w:b w:val="0"/>
        <w:bCs w:val="0"/>
        <w:i w:val="0"/>
        <w:iCs w:val="0"/>
        <w:spacing w:val="0"/>
        <w:w w:val="99"/>
        <w:sz w:val="20"/>
        <w:szCs w:val="20"/>
        <w:lang w:val="pt-PT" w:eastAsia="en-US" w:bidi="ar-SA"/>
      </w:rPr>
    </w:lvl>
    <w:lvl w:ilvl="1" w:tplc="DF78C274">
      <w:numFmt w:val="bullet"/>
      <w:lvlText w:val="•"/>
      <w:lvlJc w:val="left"/>
      <w:pPr>
        <w:ind w:left="4026" w:hanging="360"/>
      </w:pPr>
      <w:rPr>
        <w:rFonts w:hint="default"/>
        <w:lang w:val="pt-PT" w:eastAsia="en-US" w:bidi="ar-SA"/>
      </w:rPr>
    </w:lvl>
    <w:lvl w:ilvl="2" w:tplc="57B40CE4">
      <w:numFmt w:val="bullet"/>
      <w:lvlText w:val="•"/>
      <w:lvlJc w:val="left"/>
      <w:pPr>
        <w:ind w:left="4713" w:hanging="360"/>
      </w:pPr>
      <w:rPr>
        <w:rFonts w:hint="default"/>
        <w:lang w:val="pt-PT" w:eastAsia="en-US" w:bidi="ar-SA"/>
      </w:rPr>
    </w:lvl>
    <w:lvl w:ilvl="3" w:tplc="F9E67980">
      <w:numFmt w:val="bullet"/>
      <w:lvlText w:val="•"/>
      <w:lvlJc w:val="left"/>
      <w:pPr>
        <w:ind w:left="5399" w:hanging="360"/>
      </w:pPr>
      <w:rPr>
        <w:rFonts w:hint="default"/>
        <w:lang w:val="pt-PT" w:eastAsia="en-US" w:bidi="ar-SA"/>
      </w:rPr>
    </w:lvl>
    <w:lvl w:ilvl="4" w:tplc="B8DC60A0">
      <w:numFmt w:val="bullet"/>
      <w:lvlText w:val="•"/>
      <w:lvlJc w:val="left"/>
      <w:pPr>
        <w:ind w:left="6086" w:hanging="360"/>
      </w:pPr>
      <w:rPr>
        <w:rFonts w:hint="default"/>
        <w:lang w:val="pt-PT" w:eastAsia="en-US" w:bidi="ar-SA"/>
      </w:rPr>
    </w:lvl>
    <w:lvl w:ilvl="5" w:tplc="37A41020">
      <w:numFmt w:val="bullet"/>
      <w:lvlText w:val="•"/>
      <w:lvlJc w:val="left"/>
      <w:pPr>
        <w:ind w:left="6773" w:hanging="360"/>
      </w:pPr>
      <w:rPr>
        <w:rFonts w:hint="default"/>
        <w:lang w:val="pt-PT" w:eastAsia="en-US" w:bidi="ar-SA"/>
      </w:rPr>
    </w:lvl>
    <w:lvl w:ilvl="6" w:tplc="1FECED3C">
      <w:numFmt w:val="bullet"/>
      <w:lvlText w:val="•"/>
      <w:lvlJc w:val="left"/>
      <w:pPr>
        <w:ind w:left="7459" w:hanging="360"/>
      </w:pPr>
      <w:rPr>
        <w:rFonts w:hint="default"/>
        <w:lang w:val="pt-PT" w:eastAsia="en-US" w:bidi="ar-SA"/>
      </w:rPr>
    </w:lvl>
    <w:lvl w:ilvl="7" w:tplc="A2F40A1A">
      <w:numFmt w:val="bullet"/>
      <w:lvlText w:val="•"/>
      <w:lvlJc w:val="left"/>
      <w:pPr>
        <w:ind w:left="8146" w:hanging="360"/>
      </w:pPr>
      <w:rPr>
        <w:rFonts w:hint="default"/>
        <w:lang w:val="pt-PT" w:eastAsia="en-US" w:bidi="ar-SA"/>
      </w:rPr>
    </w:lvl>
    <w:lvl w:ilvl="8" w:tplc="EFC28B9C">
      <w:numFmt w:val="bullet"/>
      <w:lvlText w:val="•"/>
      <w:lvlJc w:val="left"/>
      <w:pPr>
        <w:ind w:left="8833" w:hanging="360"/>
      </w:pPr>
      <w:rPr>
        <w:rFonts w:hint="default"/>
        <w:lang w:val="pt-PT" w:eastAsia="en-US" w:bidi="ar-SA"/>
      </w:rPr>
    </w:lvl>
  </w:abstractNum>
  <w:abstractNum w:abstractNumId="4">
    <w:nsid w:val="0AF920F8"/>
    <w:multiLevelType w:val="hybridMultilevel"/>
    <w:tmpl w:val="F8BCF018"/>
    <w:lvl w:ilvl="0" w:tplc="9258AD78">
      <w:start w:val="13"/>
      <w:numFmt w:val="decimal"/>
      <w:lvlText w:val="%1."/>
      <w:lvlJc w:val="left"/>
      <w:pPr>
        <w:ind w:left="1816" w:hanging="350"/>
        <w:jc w:val="left"/>
      </w:pPr>
      <w:rPr>
        <w:rFonts w:ascii="Times New Roman" w:eastAsia="Times New Roman" w:hAnsi="Times New Roman" w:cs="Times New Roman" w:hint="default"/>
        <w:b w:val="0"/>
        <w:bCs w:val="0"/>
        <w:i w:val="0"/>
        <w:iCs w:val="0"/>
        <w:spacing w:val="0"/>
        <w:w w:val="99"/>
        <w:sz w:val="20"/>
        <w:szCs w:val="20"/>
        <w:lang w:val="pt-PT" w:eastAsia="en-US" w:bidi="ar-SA"/>
      </w:rPr>
    </w:lvl>
    <w:lvl w:ilvl="1" w:tplc="452E6182">
      <w:numFmt w:val="bullet"/>
      <w:lvlText w:val="•"/>
      <w:lvlJc w:val="left"/>
      <w:pPr>
        <w:ind w:left="2542" w:hanging="350"/>
      </w:pPr>
      <w:rPr>
        <w:rFonts w:hint="default"/>
        <w:lang w:val="pt-PT" w:eastAsia="en-US" w:bidi="ar-SA"/>
      </w:rPr>
    </w:lvl>
    <w:lvl w:ilvl="2" w:tplc="4C9C574C">
      <w:numFmt w:val="bullet"/>
      <w:lvlText w:val="•"/>
      <w:lvlJc w:val="left"/>
      <w:pPr>
        <w:ind w:left="3264" w:hanging="350"/>
      </w:pPr>
      <w:rPr>
        <w:rFonts w:hint="default"/>
        <w:lang w:val="pt-PT" w:eastAsia="en-US" w:bidi="ar-SA"/>
      </w:rPr>
    </w:lvl>
    <w:lvl w:ilvl="3" w:tplc="76480D08">
      <w:numFmt w:val="bullet"/>
      <w:lvlText w:val="•"/>
      <w:lvlJc w:val="left"/>
      <w:pPr>
        <w:ind w:left="3987" w:hanging="350"/>
      </w:pPr>
      <w:rPr>
        <w:rFonts w:hint="default"/>
        <w:lang w:val="pt-PT" w:eastAsia="en-US" w:bidi="ar-SA"/>
      </w:rPr>
    </w:lvl>
    <w:lvl w:ilvl="4" w:tplc="413AB43C">
      <w:numFmt w:val="bullet"/>
      <w:lvlText w:val="•"/>
      <w:lvlJc w:val="left"/>
      <w:pPr>
        <w:ind w:left="4709" w:hanging="350"/>
      </w:pPr>
      <w:rPr>
        <w:rFonts w:hint="default"/>
        <w:lang w:val="pt-PT" w:eastAsia="en-US" w:bidi="ar-SA"/>
      </w:rPr>
    </w:lvl>
    <w:lvl w:ilvl="5" w:tplc="FDE0FCDA">
      <w:numFmt w:val="bullet"/>
      <w:lvlText w:val="•"/>
      <w:lvlJc w:val="left"/>
      <w:pPr>
        <w:ind w:left="5432" w:hanging="350"/>
      </w:pPr>
      <w:rPr>
        <w:rFonts w:hint="default"/>
        <w:lang w:val="pt-PT" w:eastAsia="en-US" w:bidi="ar-SA"/>
      </w:rPr>
    </w:lvl>
    <w:lvl w:ilvl="6" w:tplc="C1E62152">
      <w:numFmt w:val="bullet"/>
      <w:lvlText w:val="•"/>
      <w:lvlJc w:val="left"/>
      <w:pPr>
        <w:ind w:left="6154" w:hanging="350"/>
      </w:pPr>
      <w:rPr>
        <w:rFonts w:hint="default"/>
        <w:lang w:val="pt-PT" w:eastAsia="en-US" w:bidi="ar-SA"/>
      </w:rPr>
    </w:lvl>
    <w:lvl w:ilvl="7" w:tplc="D2103128">
      <w:numFmt w:val="bullet"/>
      <w:lvlText w:val="•"/>
      <w:lvlJc w:val="left"/>
      <w:pPr>
        <w:ind w:left="6876" w:hanging="350"/>
      </w:pPr>
      <w:rPr>
        <w:rFonts w:hint="default"/>
        <w:lang w:val="pt-PT" w:eastAsia="en-US" w:bidi="ar-SA"/>
      </w:rPr>
    </w:lvl>
    <w:lvl w:ilvl="8" w:tplc="278EB7F0">
      <w:numFmt w:val="bullet"/>
      <w:lvlText w:val="•"/>
      <w:lvlJc w:val="left"/>
      <w:pPr>
        <w:ind w:left="7599" w:hanging="350"/>
      </w:pPr>
      <w:rPr>
        <w:rFonts w:hint="default"/>
        <w:lang w:val="pt-PT" w:eastAsia="en-US" w:bidi="ar-SA"/>
      </w:rPr>
    </w:lvl>
  </w:abstractNum>
  <w:abstractNum w:abstractNumId="5">
    <w:nsid w:val="0ED65331"/>
    <w:multiLevelType w:val="hybridMultilevel"/>
    <w:tmpl w:val="F5AEBD1C"/>
    <w:lvl w:ilvl="0" w:tplc="84622FDE">
      <w:start w:val="1"/>
      <w:numFmt w:val="upperRoman"/>
      <w:lvlText w:val="%1."/>
      <w:lvlJc w:val="left"/>
      <w:pPr>
        <w:ind w:left="2990" w:hanging="478"/>
        <w:jc w:val="right"/>
      </w:pPr>
      <w:rPr>
        <w:rFonts w:ascii="Times New Roman" w:eastAsia="Times New Roman" w:hAnsi="Times New Roman" w:cs="Times New Roman" w:hint="default"/>
        <w:b w:val="0"/>
        <w:bCs w:val="0"/>
        <w:i w:val="0"/>
        <w:iCs w:val="0"/>
        <w:spacing w:val="0"/>
        <w:w w:val="99"/>
        <w:sz w:val="20"/>
        <w:szCs w:val="20"/>
        <w:lang w:val="pt-PT" w:eastAsia="en-US" w:bidi="ar-SA"/>
      </w:rPr>
    </w:lvl>
    <w:lvl w:ilvl="1" w:tplc="CFAE02BE">
      <w:numFmt w:val="bullet"/>
      <w:lvlText w:val="•"/>
      <w:lvlJc w:val="left"/>
      <w:pPr>
        <w:ind w:left="3621" w:hanging="478"/>
      </w:pPr>
      <w:rPr>
        <w:rFonts w:hint="default"/>
        <w:lang w:val="pt-PT" w:eastAsia="en-US" w:bidi="ar-SA"/>
      </w:rPr>
    </w:lvl>
    <w:lvl w:ilvl="2" w:tplc="9C165F30">
      <w:numFmt w:val="bullet"/>
      <w:lvlText w:val="•"/>
      <w:lvlJc w:val="left"/>
      <w:pPr>
        <w:ind w:left="4243" w:hanging="478"/>
      </w:pPr>
      <w:rPr>
        <w:rFonts w:hint="default"/>
        <w:lang w:val="pt-PT" w:eastAsia="en-US" w:bidi="ar-SA"/>
      </w:rPr>
    </w:lvl>
    <w:lvl w:ilvl="3" w:tplc="51689DAE">
      <w:numFmt w:val="bullet"/>
      <w:lvlText w:val="•"/>
      <w:lvlJc w:val="left"/>
      <w:pPr>
        <w:ind w:left="4865" w:hanging="478"/>
      </w:pPr>
      <w:rPr>
        <w:rFonts w:hint="default"/>
        <w:lang w:val="pt-PT" w:eastAsia="en-US" w:bidi="ar-SA"/>
      </w:rPr>
    </w:lvl>
    <w:lvl w:ilvl="4" w:tplc="B546B55C">
      <w:numFmt w:val="bullet"/>
      <w:lvlText w:val="•"/>
      <w:lvlJc w:val="left"/>
      <w:pPr>
        <w:ind w:left="5487" w:hanging="478"/>
      </w:pPr>
      <w:rPr>
        <w:rFonts w:hint="default"/>
        <w:lang w:val="pt-PT" w:eastAsia="en-US" w:bidi="ar-SA"/>
      </w:rPr>
    </w:lvl>
    <w:lvl w:ilvl="5" w:tplc="017C68C4">
      <w:numFmt w:val="bullet"/>
      <w:lvlText w:val="•"/>
      <w:lvlJc w:val="left"/>
      <w:pPr>
        <w:ind w:left="6109" w:hanging="478"/>
      </w:pPr>
      <w:rPr>
        <w:rFonts w:hint="default"/>
        <w:lang w:val="pt-PT" w:eastAsia="en-US" w:bidi="ar-SA"/>
      </w:rPr>
    </w:lvl>
    <w:lvl w:ilvl="6" w:tplc="B43ACD98">
      <w:numFmt w:val="bullet"/>
      <w:lvlText w:val="•"/>
      <w:lvlJc w:val="left"/>
      <w:pPr>
        <w:ind w:left="6731" w:hanging="478"/>
      </w:pPr>
      <w:rPr>
        <w:rFonts w:hint="default"/>
        <w:lang w:val="pt-PT" w:eastAsia="en-US" w:bidi="ar-SA"/>
      </w:rPr>
    </w:lvl>
    <w:lvl w:ilvl="7" w:tplc="F6CEFAAA">
      <w:numFmt w:val="bullet"/>
      <w:lvlText w:val="•"/>
      <w:lvlJc w:val="left"/>
      <w:pPr>
        <w:ind w:left="7353" w:hanging="478"/>
      </w:pPr>
      <w:rPr>
        <w:rFonts w:hint="default"/>
        <w:lang w:val="pt-PT" w:eastAsia="en-US" w:bidi="ar-SA"/>
      </w:rPr>
    </w:lvl>
    <w:lvl w:ilvl="8" w:tplc="F24A8CB2">
      <w:numFmt w:val="bullet"/>
      <w:lvlText w:val="•"/>
      <w:lvlJc w:val="left"/>
      <w:pPr>
        <w:ind w:left="7975" w:hanging="478"/>
      </w:pPr>
      <w:rPr>
        <w:rFonts w:hint="default"/>
        <w:lang w:val="pt-PT" w:eastAsia="en-US" w:bidi="ar-SA"/>
      </w:rPr>
    </w:lvl>
  </w:abstractNum>
  <w:abstractNum w:abstractNumId="6">
    <w:nsid w:val="14302300"/>
    <w:multiLevelType w:val="multilevel"/>
    <w:tmpl w:val="C636BF50"/>
    <w:lvl w:ilvl="0">
      <w:start w:val="1"/>
      <w:numFmt w:val="decimal"/>
      <w:lvlText w:val="%1."/>
      <w:lvlJc w:val="left"/>
      <w:pPr>
        <w:ind w:left="1638" w:hanging="221"/>
        <w:jc w:val="left"/>
      </w:pPr>
      <w:rPr>
        <w:rFonts w:ascii="Times New Roman" w:eastAsia="Times New Roman" w:hAnsi="Times New Roman" w:cs="Times New Roman" w:hint="default"/>
        <w:b/>
        <w:bCs/>
        <w:i w:val="0"/>
        <w:iCs w:val="0"/>
        <w:spacing w:val="0"/>
        <w:w w:val="100"/>
        <w:sz w:val="22"/>
        <w:szCs w:val="22"/>
        <w:lang w:val="pt-PT" w:eastAsia="en-US" w:bidi="ar-SA"/>
      </w:rPr>
    </w:lvl>
    <w:lvl w:ilvl="1">
      <w:start w:val="1"/>
      <w:numFmt w:val="decimal"/>
      <w:lvlText w:val="%1.%2."/>
      <w:lvlJc w:val="left"/>
      <w:pPr>
        <w:ind w:left="1804" w:hanging="387"/>
        <w:jc w:val="left"/>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1967" w:hanging="550"/>
        <w:jc w:val="left"/>
      </w:pPr>
      <w:rPr>
        <w:rFonts w:ascii="Times New Roman" w:eastAsia="Times New Roman" w:hAnsi="Times New Roman" w:cs="Times New Roman" w:hint="default"/>
        <w:b/>
        <w:bCs/>
        <w:i w:val="0"/>
        <w:iCs w:val="0"/>
        <w:spacing w:val="0"/>
        <w:w w:val="100"/>
        <w:sz w:val="22"/>
        <w:szCs w:val="22"/>
        <w:lang w:val="pt-PT" w:eastAsia="en-US" w:bidi="ar-SA"/>
      </w:rPr>
    </w:lvl>
    <w:lvl w:ilvl="3">
      <w:start w:val="1"/>
      <w:numFmt w:val="decimal"/>
      <w:lvlText w:val="%1.%2.%3.%4."/>
      <w:lvlJc w:val="left"/>
      <w:pPr>
        <w:ind w:left="2135" w:hanging="718"/>
        <w:jc w:val="left"/>
      </w:pPr>
      <w:rPr>
        <w:rFonts w:ascii="Times New Roman" w:eastAsia="Times New Roman" w:hAnsi="Times New Roman" w:cs="Times New Roman" w:hint="default"/>
        <w:b/>
        <w:bCs/>
        <w:i w:val="0"/>
        <w:iCs w:val="0"/>
        <w:spacing w:val="0"/>
        <w:w w:val="100"/>
        <w:sz w:val="22"/>
        <w:szCs w:val="22"/>
        <w:lang w:val="pt-PT" w:eastAsia="en-US" w:bidi="ar-SA"/>
      </w:rPr>
    </w:lvl>
    <w:lvl w:ilvl="4">
      <w:numFmt w:val="bullet"/>
      <w:lvlText w:val="•"/>
      <w:lvlJc w:val="left"/>
      <w:pPr>
        <w:ind w:left="2140" w:hanging="718"/>
      </w:pPr>
      <w:rPr>
        <w:rFonts w:hint="default"/>
        <w:lang w:val="pt-PT" w:eastAsia="en-US" w:bidi="ar-SA"/>
      </w:rPr>
    </w:lvl>
    <w:lvl w:ilvl="5">
      <w:numFmt w:val="bullet"/>
      <w:lvlText w:val="•"/>
      <w:lvlJc w:val="left"/>
      <w:pPr>
        <w:ind w:left="3484" w:hanging="718"/>
      </w:pPr>
      <w:rPr>
        <w:rFonts w:hint="default"/>
        <w:lang w:val="pt-PT" w:eastAsia="en-US" w:bidi="ar-SA"/>
      </w:rPr>
    </w:lvl>
    <w:lvl w:ilvl="6">
      <w:numFmt w:val="bullet"/>
      <w:lvlText w:val="•"/>
      <w:lvlJc w:val="left"/>
      <w:pPr>
        <w:ind w:left="4828" w:hanging="718"/>
      </w:pPr>
      <w:rPr>
        <w:rFonts w:hint="default"/>
        <w:lang w:val="pt-PT" w:eastAsia="en-US" w:bidi="ar-SA"/>
      </w:rPr>
    </w:lvl>
    <w:lvl w:ilvl="7">
      <w:numFmt w:val="bullet"/>
      <w:lvlText w:val="•"/>
      <w:lvlJc w:val="left"/>
      <w:pPr>
        <w:ind w:left="6173" w:hanging="718"/>
      </w:pPr>
      <w:rPr>
        <w:rFonts w:hint="default"/>
        <w:lang w:val="pt-PT" w:eastAsia="en-US" w:bidi="ar-SA"/>
      </w:rPr>
    </w:lvl>
    <w:lvl w:ilvl="8">
      <w:numFmt w:val="bullet"/>
      <w:lvlText w:val="•"/>
      <w:lvlJc w:val="left"/>
      <w:pPr>
        <w:ind w:left="7517" w:hanging="718"/>
      </w:pPr>
      <w:rPr>
        <w:rFonts w:hint="default"/>
        <w:lang w:val="pt-PT" w:eastAsia="en-US" w:bidi="ar-SA"/>
      </w:rPr>
    </w:lvl>
  </w:abstractNum>
  <w:abstractNum w:abstractNumId="7">
    <w:nsid w:val="1CB21DD1"/>
    <w:multiLevelType w:val="hybridMultilevel"/>
    <w:tmpl w:val="08340B80"/>
    <w:lvl w:ilvl="0" w:tplc="8AEAB65E">
      <w:start w:val="1"/>
      <w:numFmt w:val="upperRoman"/>
      <w:lvlText w:val="%1"/>
      <w:lvlJc w:val="left"/>
      <w:pPr>
        <w:ind w:left="3096" w:hanging="118"/>
        <w:jc w:val="left"/>
      </w:pPr>
      <w:rPr>
        <w:rFonts w:ascii="Times New Roman" w:eastAsia="Times New Roman" w:hAnsi="Times New Roman" w:cs="Times New Roman" w:hint="default"/>
        <w:b w:val="0"/>
        <w:bCs w:val="0"/>
        <w:i w:val="0"/>
        <w:iCs w:val="0"/>
        <w:spacing w:val="0"/>
        <w:w w:val="99"/>
        <w:sz w:val="20"/>
        <w:szCs w:val="20"/>
        <w:lang w:val="pt-PT" w:eastAsia="en-US" w:bidi="ar-SA"/>
      </w:rPr>
    </w:lvl>
    <w:lvl w:ilvl="1" w:tplc="CD5033B2">
      <w:start w:val="1"/>
      <w:numFmt w:val="lowerLetter"/>
      <w:lvlText w:val="%2)"/>
      <w:lvlJc w:val="left"/>
      <w:pPr>
        <w:ind w:left="3211" w:hanging="233"/>
        <w:jc w:val="left"/>
      </w:pPr>
      <w:rPr>
        <w:rFonts w:ascii="Times New Roman" w:eastAsia="Times New Roman" w:hAnsi="Times New Roman" w:cs="Times New Roman" w:hint="default"/>
        <w:b w:val="0"/>
        <w:bCs w:val="0"/>
        <w:i w:val="0"/>
        <w:iCs w:val="0"/>
        <w:spacing w:val="0"/>
        <w:w w:val="99"/>
        <w:sz w:val="20"/>
        <w:szCs w:val="20"/>
        <w:lang w:val="pt-PT" w:eastAsia="en-US" w:bidi="ar-SA"/>
      </w:rPr>
    </w:lvl>
    <w:lvl w:ilvl="2" w:tplc="8230EDFE">
      <w:start w:val="1"/>
      <w:numFmt w:val="upperRoman"/>
      <w:lvlText w:val="%3"/>
      <w:lvlJc w:val="left"/>
      <w:pPr>
        <w:ind w:left="2978" w:hanging="154"/>
        <w:jc w:val="left"/>
      </w:pPr>
      <w:rPr>
        <w:rFonts w:ascii="Times New Roman" w:eastAsia="Times New Roman" w:hAnsi="Times New Roman" w:cs="Times New Roman" w:hint="default"/>
        <w:b w:val="0"/>
        <w:bCs w:val="0"/>
        <w:i w:val="0"/>
        <w:iCs w:val="0"/>
        <w:spacing w:val="0"/>
        <w:w w:val="99"/>
        <w:sz w:val="20"/>
        <w:szCs w:val="20"/>
        <w:lang w:val="pt-PT" w:eastAsia="en-US" w:bidi="ar-SA"/>
      </w:rPr>
    </w:lvl>
    <w:lvl w:ilvl="3" w:tplc="D6C86678">
      <w:numFmt w:val="bullet"/>
      <w:lvlText w:val="•"/>
      <w:lvlJc w:val="left"/>
      <w:pPr>
        <w:ind w:left="4093" w:hanging="154"/>
      </w:pPr>
      <w:rPr>
        <w:rFonts w:hint="default"/>
        <w:lang w:val="pt-PT" w:eastAsia="en-US" w:bidi="ar-SA"/>
      </w:rPr>
    </w:lvl>
    <w:lvl w:ilvl="4" w:tplc="70980BD6">
      <w:numFmt w:val="bullet"/>
      <w:lvlText w:val="•"/>
      <w:lvlJc w:val="left"/>
      <w:pPr>
        <w:ind w:left="4966" w:hanging="154"/>
      </w:pPr>
      <w:rPr>
        <w:rFonts w:hint="default"/>
        <w:lang w:val="pt-PT" w:eastAsia="en-US" w:bidi="ar-SA"/>
      </w:rPr>
    </w:lvl>
    <w:lvl w:ilvl="5" w:tplc="922C211E">
      <w:numFmt w:val="bullet"/>
      <w:lvlText w:val="•"/>
      <w:lvlJc w:val="left"/>
      <w:pPr>
        <w:ind w:left="5839" w:hanging="154"/>
      </w:pPr>
      <w:rPr>
        <w:rFonts w:hint="default"/>
        <w:lang w:val="pt-PT" w:eastAsia="en-US" w:bidi="ar-SA"/>
      </w:rPr>
    </w:lvl>
    <w:lvl w:ilvl="6" w:tplc="BF46901E">
      <w:numFmt w:val="bullet"/>
      <w:lvlText w:val="•"/>
      <w:lvlJc w:val="left"/>
      <w:pPr>
        <w:ind w:left="6713" w:hanging="154"/>
      </w:pPr>
      <w:rPr>
        <w:rFonts w:hint="default"/>
        <w:lang w:val="pt-PT" w:eastAsia="en-US" w:bidi="ar-SA"/>
      </w:rPr>
    </w:lvl>
    <w:lvl w:ilvl="7" w:tplc="714AB12E">
      <w:numFmt w:val="bullet"/>
      <w:lvlText w:val="•"/>
      <w:lvlJc w:val="left"/>
      <w:pPr>
        <w:ind w:left="7586" w:hanging="154"/>
      </w:pPr>
      <w:rPr>
        <w:rFonts w:hint="default"/>
        <w:lang w:val="pt-PT" w:eastAsia="en-US" w:bidi="ar-SA"/>
      </w:rPr>
    </w:lvl>
    <w:lvl w:ilvl="8" w:tplc="D1B00B02">
      <w:numFmt w:val="bullet"/>
      <w:lvlText w:val="•"/>
      <w:lvlJc w:val="left"/>
      <w:pPr>
        <w:ind w:left="8459" w:hanging="154"/>
      </w:pPr>
      <w:rPr>
        <w:rFonts w:hint="default"/>
        <w:lang w:val="pt-PT" w:eastAsia="en-US" w:bidi="ar-SA"/>
      </w:rPr>
    </w:lvl>
  </w:abstractNum>
  <w:abstractNum w:abstractNumId="8">
    <w:nsid w:val="217A7ACC"/>
    <w:multiLevelType w:val="hybridMultilevel"/>
    <w:tmpl w:val="82D6E388"/>
    <w:lvl w:ilvl="0" w:tplc="918E8FE8">
      <w:numFmt w:val="bullet"/>
      <w:lvlText w:val="-"/>
      <w:lvlJc w:val="left"/>
      <w:pPr>
        <w:ind w:left="2978" w:hanging="108"/>
      </w:pPr>
      <w:rPr>
        <w:rFonts w:ascii="Times New Roman" w:eastAsia="Times New Roman" w:hAnsi="Times New Roman" w:cs="Times New Roman" w:hint="default"/>
        <w:spacing w:val="0"/>
        <w:w w:val="99"/>
        <w:lang w:val="pt-PT" w:eastAsia="en-US" w:bidi="ar-SA"/>
      </w:rPr>
    </w:lvl>
    <w:lvl w:ilvl="1" w:tplc="1CA42036">
      <w:numFmt w:val="bullet"/>
      <w:lvlText w:val="•"/>
      <w:lvlJc w:val="left"/>
      <w:pPr>
        <w:ind w:left="3702" w:hanging="108"/>
      </w:pPr>
      <w:rPr>
        <w:rFonts w:hint="default"/>
        <w:lang w:val="pt-PT" w:eastAsia="en-US" w:bidi="ar-SA"/>
      </w:rPr>
    </w:lvl>
    <w:lvl w:ilvl="2" w:tplc="262257EC">
      <w:numFmt w:val="bullet"/>
      <w:lvlText w:val="•"/>
      <w:lvlJc w:val="left"/>
      <w:pPr>
        <w:ind w:left="4425" w:hanging="108"/>
      </w:pPr>
      <w:rPr>
        <w:rFonts w:hint="default"/>
        <w:lang w:val="pt-PT" w:eastAsia="en-US" w:bidi="ar-SA"/>
      </w:rPr>
    </w:lvl>
    <w:lvl w:ilvl="3" w:tplc="8DCC36EE">
      <w:numFmt w:val="bullet"/>
      <w:lvlText w:val="•"/>
      <w:lvlJc w:val="left"/>
      <w:pPr>
        <w:ind w:left="5147" w:hanging="108"/>
      </w:pPr>
      <w:rPr>
        <w:rFonts w:hint="default"/>
        <w:lang w:val="pt-PT" w:eastAsia="en-US" w:bidi="ar-SA"/>
      </w:rPr>
    </w:lvl>
    <w:lvl w:ilvl="4" w:tplc="CF98846A">
      <w:numFmt w:val="bullet"/>
      <w:lvlText w:val="•"/>
      <w:lvlJc w:val="left"/>
      <w:pPr>
        <w:ind w:left="5870" w:hanging="108"/>
      </w:pPr>
      <w:rPr>
        <w:rFonts w:hint="default"/>
        <w:lang w:val="pt-PT" w:eastAsia="en-US" w:bidi="ar-SA"/>
      </w:rPr>
    </w:lvl>
    <w:lvl w:ilvl="5" w:tplc="388A89CA">
      <w:numFmt w:val="bullet"/>
      <w:lvlText w:val="•"/>
      <w:lvlJc w:val="left"/>
      <w:pPr>
        <w:ind w:left="6593" w:hanging="108"/>
      </w:pPr>
      <w:rPr>
        <w:rFonts w:hint="default"/>
        <w:lang w:val="pt-PT" w:eastAsia="en-US" w:bidi="ar-SA"/>
      </w:rPr>
    </w:lvl>
    <w:lvl w:ilvl="6" w:tplc="9E303138">
      <w:numFmt w:val="bullet"/>
      <w:lvlText w:val="•"/>
      <w:lvlJc w:val="left"/>
      <w:pPr>
        <w:ind w:left="7315" w:hanging="108"/>
      </w:pPr>
      <w:rPr>
        <w:rFonts w:hint="default"/>
        <w:lang w:val="pt-PT" w:eastAsia="en-US" w:bidi="ar-SA"/>
      </w:rPr>
    </w:lvl>
    <w:lvl w:ilvl="7" w:tplc="C040E4DE">
      <w:numFmt w:val="bullet"/>
      <w:lvlText w:val="•"/>
      <w:lvlJc w:val="left"/>
      <w:pPr>
        <w:ind w:left="8038" w:hanging="108"/>
      </w:pPr>
      <w:rPr>
        <w:rFonts w:hint="default"/>
        <w:lang w:val="pt-PT" w:eastAsia="en-US" w:bidi="ar-SA"/>
      </w:rPr>
    </w:lvl>
    <w:lvl w:ilvl="8" w:tplc="B8A4E546">
      <w:numFmt w:val="bullet"/>
      <w:lvlText w:val="•"/>
      <w:lvlJc w:val="left"/>
      <w:pPr>
        <w:ind w:left="8761" w:hanging="108"/>
      </w:pPr>
      <w:rPr>
        <w:rFonts w:hint="default"/>
        <w:lang w:val="pt-PT" w:eastAsia="en-US" w:bidi="ar-SA"/>
      </w:rPr>
    </w:lvl>
  </w:abstractNum>
  <w:abstractNum w:abstractNumId="9">
    <w:nsid w:val="23C200F3"/>
    <w:multiLevelType w:val="multilevel"/>
    <w:tmpl w:val="E4E6DBE8"/>
    <w:lvl w:ilvl="0">
      <w:start w:val="1"/>
      <w:numFmt w:val="decimal"/>
      <w:lvlText w:val="%1."/>
      <w:lvlJc w:val="left"/>
      <w:pPr>
        <w:ind w:left="942" w:hanging="233"/>
        <w:jc w:val="right"/>
      </w:pPr>
      <w:rPr>
        <w:rFonts w:ascii="Times New Roman" w:eastAsia="Times New Roman" w:hAnsi="Times New Roman" w:cs="Times New Roman" w:hint="default"/>
        <w:b/>
        <w:bCs/>
        <w:i w:val="0"/>
        <w:iCs w:val="0"/>
        <w:spacing w:val="-3"/>
        <w:w w:val="100"/>
        <w:sz w:val="24"/>
        <w:szCs w:val="24"/>
        <w:lang w:val="pt-PT" w:eastAsia="en-US" w:bidi="ar-SA"/>
      </w:rPr>
    </w:lvl>
    <w:lvl w:ilvl="1">
      <w:start w:val="1"/>
      <w:numFmt w:val="decimal"/>
      <w:lvlText w:val="%1.%2"/>
      <w:lvlJc w:val="left"/>
      <w:pPr>
        <w:ind w:left="1209" w:hanging="360"/>
        <w:jc w:val="left"/>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upperRoman"/>
      <w:lvlText w:val="%3."/>
      <w:lvlJc w:val="left"/>
      <w:pPr>
        <w:ind w:left="3698" w:hanging="478"/>
        <w:jc w:val="right"/>
      </w:pPr>
      <w:rPr>
        <w:rFonts w:ascii="Times New Roman" w:eastAsia="Times New Roman" w:hAnsi="Times New Roman" w:cs="Times New Roman" w:hint="default"/>
        <w:b w:val="0"/>
        <w:bCs w:val="0"/>
        <w:i w:val="0"/>
        <w:iCs w:val="0"/>
        <w:spacing w:val="0"/>
        <w:w w:val="99"/>
        <w:sz w:val="20"/>
        <w:szCs w:val="20"/>
        <w:lang w:val="pt-PT" w:eastAsia="en-US" w:bidi="ar-SA"/>
      </w:rPr>
    </w:lvl>
    <w:lvl w:ilvl="3">
      <w:numFmt w:val="bullet"/>
      <w:lvlText w:val="•"/>
      <w:lvlJc w:val="left"/>
      <w:pPr>
        <w:ind w:left="4513" w:hanging="478"/>
      </w:pPr>
      <w:rPr>
        <w:rFonts w:hint="default"/>
        <w:lang w:val="pt-PT" w:eastAsia="en-US" w:bidi="ar-SA"/>
      </w:rPr>
    </w:lvl>
    <w:lvl w:ilvl="4">
      <w:numFmt w:val="bullet"/>
      <w:lvlText w:val="•"/>
      <w:lvlJc w:val="left"/>
      <w:pPr>
        <w:ind w:left="5326" w:hanging="478"/>
      </w:pPr>
      <w:rPr>
        <w:rFonts w:hint="default"/>
        <w:lang w:val="pt-PT" w:eastAsia="en-US" w:bidi="ar-SA"/>
      </w:rPr>
    </w:lvl>
    <w:lvl w:ilvl="5">
      <w:numFmt w:val="bullet"/>
      <w:lvlText w:val="•"/>
      <w:lvlJc w:val="left"/>
      <w:pPr>
        <w:ind w:left="6139" w:hanging="478"/>
      </w:pPr>
      <w:rPr>
        <w:rFonts w:hint="default"/>
        <w:lang w:val="pt-PT" w:eastAsia="en-US" w:bidi="ar-SA"/>
      </w:rPr>
    </w:lvl>
    <w:lvl w:ilvl="6">
      <w:numFmt w:val="bullet"/>
      <w:lvlText w:val="•"/>
      <w:lvlJc w:val="left"/>
      <w:pPr>
        <w:ind w:left="6953" w:hanging="478"/>
      </w:pPr>
      <w:rPr>
        <w:rFonts w:hint="default"/>
        <w:lang w:val="pt-PT" w:eastAsia="en-US" w:bidi="ar-SA"/>
      </w:rPr>
    </w:lvl>
    <w:lvl w:ilvl="7">
      <w:numFmt w:val="bullet"/>
      <w:lvlText w:val="•"/>
      <w:lvlJc w:val="left"/>
      <w:pPr>
        <w:ind w:left="7766" w:hanging="478"/>
      </w:pPr>
      <w:rPr>
        <w:rFonts w:hint="default"/>
        <w:lang w:val="pt-PT" w:eastAsia="en-US" w:bidi="ar-SA"/>
      </w:rPr>
    </w:lvl>
    <w:lvl w:ilvl="8">
      <w:numFmt w:val="bullet"/>
      <w:lvlText w:val="•"/>
      <w:lvlJc w:val="left"/>
      <w:pPr>
        <w:ind w:left="8579" w:hanging="478"/>
      </w:pPr>
      <w:rPr>
        <w:rFonts w:hint="default"/>
        <w:lang w:val="pt-PT" w:eastAsia="en-US" w:bidi="ar-SA"/>
      </w:rPr>
    </w:lvl>
  </w:abstractNum>
  <w:abstractNum w:abstractNumId="10">
    <w:nsid w:val="246D2B45"/>
    <w:multiLevelType w:val="multilevel"/>
    <w:tmpl w:val="062E8A9E"/>
    <w:lvl w:ilvl="0">
      <w:start w:val="1"/>
      <w:numFmt w:val="decimal"/>
      <w:lvlText w:val="%1."/>
      <w:lvlJc w:val="left"/>
      <w:pPr>
        <w:ind w:left="888" w:hanging="179"/>
        <w:jc w:val="left"/>
      </w:pPr>
      <w:rPr>
        <w:rFonts w:ascii="Times New Roman" w:eastAsia="Times New Roman" w:hAnsi="Times New Roman" w:cs="Times New Roman" w:hint="default"/>
        <w:b/>
        <w:bCs/>
        <w:i w:val="0"/>
        <w:iCs w:val="0"/>
        <w:spacing w:val="-3"/>
        <w:w w:val="96"/>
        <w:sz w:val="22"/>
        <w:szCs w:val="22"/>
        <w:lang w:val="pt-PT" w:eastAsia="en-US" w:bidi="ar-SA"/>
      </w:rPr>
    </w:lvl>
    <w:lvl w:ilvl="1">
      <w:start w:val="1"/>
      <w:numFmt w:val="decimal"/>
      <w:lvlText w:val="%1.%2"/>
      <w:lvlJc w:val="left"/>
      <w:pPr>
        <w:ind w:left="1070" w:hanging="360"/>
        <w:jc w:val="left"/>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1250" w:hanging="540"/>
        <w:jc w:val="left"/>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2978" w:hanging="224"/>
      </w:pPr>
      <w:rPr>
        <w:rFonts w:ascii="Times New Roman" w:eastAsia="Times New Roman" w:hAnsi="Times New Roman" w:cs="Times New Roman" w:hint="default"/>
        <w:b w:val="0"/>
        <w:bCs w:val="0"/>
        <w:i w:val="0"/>
        <w:iCs w:val="0"/>
        <w:spacing w:val="0"/>
        <w:w w:val="99"/>
        <w:sz w:val="20"/>
        <w:szCs w:val="20"/>
        <w:lang w:val="pt-PT" w:eastAsia="en-US" w:bidi="ar-SA"/>
      </w:rPr>
    </w:lvl>
    <w:lvl w:ilvl="4">
      <w:numFmt w:val="bullet"/>
      <w:lvlText w:val="•"/>
      <w:lvlJc w:val="left"/>
      <w:pPr>
        <w:ind w:left="4012" w:hanging="224"/>
      </w:pPr>
      <w:rPr>
        <w:rFonts w:hint="default"/>
        <w:lang w:val="pt-PT" w:eastAsia="en-US" w:bidi="ar-SA"/>
      </w:rPr>
    </w:lvl>
    <w:lvl w:ilvl="5">
      <w:numFmt w:val="bullet"/>
      <w:lvlText w:val="•"/>
      <w:lvlJc w:val="left"/>
      <w:pPr>
        <w:ind w:left="5044" w:hanging="224"/>
      </w:pPr>
      <w:rPr>
        <w:rFonts w:hint="default"/>
        <w:lang w:val="pt-PT" w:eastAsia="en-US" w:bidi="ar-SA"/>
      </w:rPr>
    </w:lvl>
    <w:lvl w:ilvl="6">
      <w:numFmt w:val="bullet"/>
      <w:lvlText w:val="•"/>
      <w:lvlJc w:val="left"/>
      <w:pPr>
        <w:ind w:left="6077" w:hanging="224"/>
      </w:pPr>
      <w:rPr>
        <w:rFonts w:hint="default"/>
        <w:lang w:val="pt-PT" w:eastAsia="en-US" w:bidi="ar-SA"/>
      </w:rPr>
    </w:lvl>
    <w:lvl w:ilvl="7">
      <w:numFmt w:val="bullet"/>
      <w:lvlText w:val="•"/>
      <w:lvlJc w:val="left"/>
      <w:pPr>
        <w:ind w:left="7109" w:hanging="224"/>
      </w:pPr>
      <w:rPr>
        <w:rFonts w:hint="default"/>
        <w:lang w:val="pt-PT" w:eastAsia="en-US" w:bidi="ar-SA"/>
      </w:rPr>
    </w:lvl>
    <w:lvl w:ilvl="8">
      <w:numFmt w:val="bullet"/>
      <w:lvlText w:val="•"/>
      <w:lvlJc w:val="left"/>
      <w:pPr>
        <w:ind w:left="8141" w:hanging="224"/>
      </w:pPr>
      <w:rPr>
        <w:rFonts w:hint="default"/>
        <w:lang w:val="pt-PT" w:eastAsia="en-US" w:bidi="ar-SA"/>
      </w:rPr>
    </w:lvl>
  </w:abstractNum>
  <w:abstractNum w:abstractNumId="11">
    <w:nsid w:val="28AD3264"/>
    <w:multiLevelType w:val="hybridMultilevel"/>
    <w:tmpl w:val="EB6E94F8"/>
    <w:lvl w:ilvl="0" w:tplc="8E76DC36">
      <w:start w:val="9"/>
      <w:numFmt w:val="decimal"/>
      <w:lvlText w:val="%1."/>
      <w:lvlJc w:val="left"/>
      <w:pPr>
        <w:ind w:left="911" w:hanging="201"/>
        <w:jc w:val="right"/>
      </w:pPr>
      <w:rPr>
        <w:rFonts w:ascii="Times New Roman" w:eastAsia="Times New Roman" w:hAnsi="Times New Roman" w:cs="Times New Roman" w:hint="default"/>
        <w:b w:val="0"/>
        <w:bCs w:val="0"/>
        <w:i w:val="0"/>
        <w:iCs w:val="0"/>
        <w:spacing w:val="0"/>
        <w:w w:val="99"/>
        <w:sz w:val="20"/>
        <w:szCs w:val="20"/>
        <w:lang w:val="pt-PT" w:eastAsia="en-US" w:bidi="ar-SA"/>
      </w:rPr>
    </w:lvl>
    <w:lvl w:ilvl="1" w:tplc="BB2292D4">
      <w:numFmt w:val="bullet"/>
      <w:lvlText w:val="•"/>
      <w:lvlJc w:val="left"/>
      <w:pPr>
        <w:ind w:left="1848" w:hanging="201"/>
      </w:pPr>
      <w:rPr>
        <w:rFonts w:hint="default"/>
        <w:lang w:val="pt-PT" w:eastAsia="en-US" w:bidi="ar-SA"/>
      </w:rPr>
    </w:lvl>
    <w:lvl w:ilvl="2" w:tplc="31A01E94">
      <w:numFmt w:val="bullet"/>
      <w:lvlText w:val="•"/>
      <w:lvlJc w:val="left"/>
      <w:pPr>
        <w:ind w:left="2777" w:hanging="201"/>
      </w:pPr>
      <w:rPr>
        <w:rFonts w:hint="default"/>
        <w:lang w:val="pt-PT" w:eastAsia="en-US" w:bidi="ar-SA"/>
      </w:rPr>
    </w:lvl>
    <w:lvl w:ilvl="3" w:tplc="95FC5DE4">
      <w:numFmt w:val="bullet"/>
      <w:lvlText w:val="•"/>
      <w:lvlJc w:val="left"/>
      <w:pPr>
        <w:ind w:left="3705" w:hanging="201"/>
      </w:pPr>
      <w:rPr>
        <w:rFonts w:hint="default"/>
        <w:lang w:val="pt-PT" w:eastAsia="en-US" w:bidi="ar-SA"/>
      </w:rPr>
    </w:lvl>
    <w:lvl w:ilvl="4" w:tplc="582C0D80">
      <w:numFmt w:val="bullet"/>
      <w:lvlText w:val="•"/>
      <w:lvlJc w:val="left"/>
      <w:pPr>
        <w:ind w:left="4634" w:hanging="201"/>
      </w:pPr>
      <w:rPr>
        <w:rFonts w:hint="default"/>
        <w:lang w:val="pt-PT" w:eastAsia="en-US" w:bidi="ar-SA"/>
      </w:rPr>
    </w:lvl>
    <w:lvl w:ilvl="5" w:tplc="4146AF70">
      <w:numFmt w:val="bullet"/>
      <w:lvlText w:val="•"/>
      <w:lvlJc w:val="left"/>
      <w:pPr>
        <w:ind w:left="5563" w:hanging="201"/>
      </w:pPr>
      <w:rPr>
        <w:rFonts w:hint="default"/>
        <w:lang w:val="pt-PT" w:eastAsia="en-US" w:bidi="ar-SA"/>
      </w:rPr>
    </w:lvl>
    <w:lvl w:ilvl="6" w:tplc="DB4C7AA6">
      <w:numFmt w:val="bullet"/>
      <w:lvlText w:val="•"/>
      <w:lvlJc w:val="left"/>
      <w:pPr>
        <w:ind w:left="6491" w:hanging="201"/>
      </w:pPr>
      <w:rPr>
        <w:rFonts w:hint="default"/>
        <w:lang w:val="pt-PT" w:eastAsia="en-US" w:bidi="ar-SA"/>
      </w:rPr>
    </w:lvl>
    <w:lvl w:ilvl="7" w:tplc="B57A83BC">
      <w:numFmt w:val="bullet"/>
      <w:lvlText w:val="•"/>
      <w:lvlJc w:val="left"/>
      <w:pPr>
        <w:ind w:left="7420" w:hanging="201"/>
      </w:pPr>
      <w:rPr>
        <w:rFonts w:hint="default"/>
        <w:lang w:val="pt-PT" w:eastAsia="en-US" w:bidi="ar-SA"/>
      </w:rPr>
    </w:lvl>
    <w:lvl w:ilvl="8" w:tplc="3D16C6DE">
      <w:numFmt w:val="bullet"/>
      <w:lvlText w:val="•"/>
      <w:lvlJc w:val="left"/>
      <w:pPr>
        <w:ind w:left="8349" w:hanging="201"/>
      </w:pPr>
      <w:rPr>
        <w:rFonts w:hint="default"/>
        <w:lang w:val="pt-PT" w:eastAsia="en-US" w:bidi="ar-SA"/>
      </w:rPr>
    </w:lvl>
  </w:abstractNum>
  <w:abstractNum w:abstractNumId="12">
    <w:nsid w:val="32536193"/>
    <w:multiLevelType w:val="multilevel"/>
    <w:tmpl w:val="6BCE40E0"/>
    <w:lvl w:ilvl="0">
      <w:start w:val="1"/>
      <w:numFmt w:val="decimal"/>
      <w:lvlText w:val="%1."/>
      <w:lvlJc w:val="left"/>
      <w:pPr>
        <w:ind w:left="1010" w:hanging="298"/>
        <w:jc w:val="left"/>
      </w:pPr>
      <w:rPr>
        <w:rFonts w:ascii="Times New Roman" w:eastAsia="Times New Roman" w:hAnsi="Times New Roman" w:cs="Times New Roman" w:hint="default"/>
        <w:b/>
        <w:bCs/>
        <w:i w:val="0"/>
        <w:iCs w:val="0"/>
        <w:spacing w:val="0"/>
        <w:w w:val="88"/>
        <w:sz w:val="24"/>
        <w:szCs w:val="24"/>
        <w:lang w:val="pt-PT" w:eastAsia="en-US" w:bidi="ar-SA"/>
      </w:rPr>
    </w:lvl>
    <w:lvl w:ilvl="1">
      <w:start w:val="1"/>
      <w:numFmt w:val="decimal"/>
      <w:lvlText w:val="%1.%2"/>
      <w:lvlJc w:val="left"/>
      <w:pPr>
        <w:ind w:left="899" w:hanging="442"/>
        <w:jc w:val="left"/>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1080" w:hanging="442"/>
      </w:pPr>
      <w:rPr>
        <w:rFonts w:hint="default"/>
        <w:lang w:val="pt-PT" w:eastAsia="en-US" w:bidi="ar-SA"/>
      </w:rPr>
    </w:lvl>
    <w:lvl w:ilvl="3">
      <w:numFmt w:val="bullet"/>
      <w:lvlText w:val="•"/>
      <w:lvlJc w:val="left"/>
      <w:pPr>
        <w:ind w:left="2220" w:hanging="442"/>
      </w:pPr>
      <w:rPr>
        <w:rFonts w:hint="default"/>
        <w:lang w:val="pt-PT" w:eastAsia="en-US" w:bidi="ar-SA"/>
      </w:rPr>
    </w:lvl>
    <w:lvl w:ilvl="4">
      <w:numFmt w:val="bullet"/>
      <w:lvlText w:val="•"/>
      <w:lvlJc w:val="left"/>
      <w:pPr>
        <w:ind w:left="3361" w:hanging="442"/>
      </w:pPr>
      <w:rPr>
        <w:rFonts w:hint="default"/>
        <w:lang w:val="pt-PT" w:eastAsia="en-US" w:bidi="ar-SA"/>
      </w:rPr>
    </w:lvl>
    <w:lvl w:ilvl="5">
      <w:numFmt w:val="bullet"/>
      <w:lvlText w:val="•"/>
      <w:lvlJc w:val="left"/>
      <w:pPr>
        <w:ind w:left="4502" w:hanging="442"/>
      </w:pPr>
      <w:rPr>
        <w:rFonts w:hint="default"/>
        <w:lang w:val="pt-PT" w:eastAsia="en-US" w:bidi="ar-SA"/>
      </w:rPr>
    </w:lvl>
    <w:lvl w:ilvl="6">
      <w:numFmt w:val="bullet"/>
      <w:lvlText w:val="•"/>
      <w:lvlJc w:val="left"/>
      <w:pPr>
        <w:ind w:left="5643" w:hanging="442"/>
      </w:pPr>
      <w:rPr>
        <w:rFonts w:hint="default"/>
        <w:lang w:val="pt-PT" w:eastAsia="en-US" w:bidi="ar-SA"/>
      </w:rPr>
    </w:lvl>
    <w:lvl w:ilvl="7">
      <w:numFmt w:val="bullet"/>
      <w:lvlText w:val="•"/>
      <w:lvlJc w:val="left"/>
      <w:pPr>
        <w:ind w:left="6784" w:hanging="442"/>
      </w:pPr>
      <w:rPr>
        <w:rFonts w:hint="default"/>
        <w:lang w:val="pt-PT" w:eastAsia="en-US" w:bidi="ar-SA"/>
      </w:rPr>
    </w:lvl>
    <w:lvl w:ilvl="8">
      <w:numFmt w:val="bullet"/>
      <w:lvlText w:val="•"/>
      <w:lvlJc w:val="left"/>
      <w:pPr>
        <w:ind w:left="7924" w:hanging="442"/>
      </w:pPr>
      <w:rPr>
        <w:rFonts w:hint="default"/>
        <w:lang w:val="pt-PT" w:eastAsia="en-US" w:bidi="ar-SA"/>
      </w:rPr>
    </w:lvl>
  </w:abstractNum>
  <w:abstractNum w:abstractNumId="13">
    <w:nsid w:val="32A940D9"/>
    <w:multiLevelType w:val="hybridMultilevel"/>
    <w:tmpl w:val="1A56B9D2"/>
    <w:lvl w:ilvl="0" w:tplc="1B4A2834">
      <w:start w:val="1"/>
      <w:numFmt w:val="decimal"/>
      <w:lvlText w:val="%1."/>
      <w:lvlJc w:val="left"/>
      <w:pPr>
        <w:ind w:left="1137" w:hanging="425"/>
        <w:jc w:val="left"/>
      </w:pPr>
      <w:rPr>
        <w:rFonts w:ascii="Times New Roman" w:eastAsia="Times New Roman" w:hAnsi="Times New Roman" w:cs="Times New Roman" w:hint="default"/>
        <w:b/>
        <w:bCs/>
        <w:i w:val="0"/>
        <w:iCs w:val="0"/>
        <w:spacing w:val="0"/>
        <w:w w:val="100"/>
        <w:sz w:val="24"/>
        <w:szCs w:val="24"/>
        <w:lang w:val="pt-PT" w:eastAsia="en-US" w:bidi="ar-SA"/>
      </w:rPr>
    </w:lvl>
    <w:lvl w:ilvl="1" w:tplc="9998F4B6">
      <w:numFmt w:val="bullet"/>
      <w:lvlText w:val="•"/>
      <w:lvlJc w:val="left"/>
      <w:pPr>
        <w:ind w:left="2046" w:hanging="425"/>
      </w:pPr>
      <w:rPr>
        <w:rFonts w:hint="default"/>
        <w:lang w:val="pt-PT" w:eastAsia="en-US" w:bidi="ar-SA"/>
      </w:rPr>
    </w:lvl>
    <w:lvl w:ilvl="2" w:tplc="A91AFB2C">
      <w:numFmt w:val="bullet"/>
      <w:lvlText w:val="•"/>
      <w:lvlJc w:val="left"/>
      <w:pPr>
        <w:ind w:left="2953" w:hanging="425"/>
      </w:pPr>
      <w:rPr>
        <w:rFonts w:hint="default"/>
        <w:lang w:val="pt-PT" w:eastAsia="en-US" w:bidi="ar-SA"/>
      </w:rPr>
    </w:lvl>
    <w:lvl w:ilvl="3" w:tplc="752C83F0">
      <w:numFmt w:val="bullet"/>
      <w:lvlText w:val="•"/>
      <w:lvlJc w:val="left"/>
      <w:pPr>
        <w:ind w:left="3859" w:hanging="425"/>
      </w:pPr>
      <w:rPr>
        <w:rFonts w:hint="default"/>
        <w:lang w:val="pt-PT" w:eastAsia="en-US" w:bidi="ar-SA"/>
      </w:rPr>
    </w:lvl>
    <w:lvl w:ilvl="4" w:tplc="FFC6F1AE">
      <w:numFmt w:val="bullet"/>
      <w:lvlText w:val="•"/>
      <w:lvlJc w:val="left"/>
      <w:pPr>
        <w:ind w:left="4766" w:hanging="425"/>
      </w:pPr>
      <w:rPr>
        <w:rFonts w:hint="default"/>
        <w:lang w:val="pt-PT" w:eastAsia="en-US" w:bidi="ar-SA"/>
      </w:rPr>
    </w:lvl>
    <w:lvl w:ilvl="5" w:tplc="4E660E4C">
      <w:numFmt w:val="bullet"/>
      <w:lvlText w:val="•"/>
      <w:lvlJc w:val="left"/>
      <w:pPr>
        <w:ind w:left="5673" w:hanging="425"/>
      </w:pPr>
      <w:rPr>
        <w:rFonts w:hint="default"/>
        <w:lang w:val="pt-PT" w:eastAsia="en-US" w:bidi="ar-SA"/>
      </w:rPr>
    </w:lvl>
    <w:lvl w:ilvl="6" w:tplc="ED5C8F24">
      <w:numFmt w:val="bullet"/>
      <w:lvlText w:val="•"/>
      <w:lvlJc w:val="left"/>
      <w:pPr>
        <w:ind w:left="6579" w:hanging="425"/>
      </w:pPr>
      <w:rPr>
        <w:rFonts w:hint="default"/>
        <w:lang w:val="pt-PT" w:eastAsia="en-US" w:bidi="ar-SA"/>
      </w:rPr>
    </w:lvl>
    <w:lvl w:ilvl="7" w:tplc="DA28BC54">
      <w:numFmt w:val="bullet"/>
      <w:lvlText w:val="•"/>
      <w:lvlJc w:val="left"/>
      <w:pPr>
        <w:ind w:left="7486" w:hanging="425"/>
      </w:pPr>
      <w:rPr>
        <w:rFonts w:hint="default"/>
        <w:lang w:val="pt-PT" w:eastAsia="en-US" w:bidi="ar-SA"/>
      </w:rPr>
    </w:lvl>
    <w:lvl w:ilvl="8" w:tplc="5C2C75A0">
      <w:numFmt w:val="bullet"/>
      <w:lvlText w:val="•"/>
      <w:lvlJc w:val="left"/>
      <w:pPr>
        <w:ind w:left="8393" w:hanging="425"/>
      </w:pPr>
      <w:rPr>
        <w:rFonts w:hint="default"/>
        <w:lang w:val="pt-PT" w:eastAsia="en-US" w:bidi="ar-SA"/>
      </w:rPr>
    </w:lvl>
  </w:abstractNum>
  <w:abstractNum w:abstractNumId="14">
    <w:nsid w:val="34961651"/>
    <w:multiLevelType w:val="hybridMultilevel"/>
    <w:tmpl w:val="A9C2E3EC"/>
    <w:lvl w:ilvl="0" w:tplc="5F08514C">
      <w:start w:val="47"/>
      <w:numFmt w:val="decimal"/>
      <w:lvlText w:val="%1."/>
      <w:lvlJc w:val="left"/>
      <w:pPr>
        <w:ind w:left="2978" w:hanging="343"/>
        <w:jc w:val="left"/>
      </w:pPr>
      <w:rPr>
        <w:rFonts w:ascii="Times New Roman" w:eastAsia="Times New Roman" w:hAnsi="Times New Roman" w:cs="Times New Roman" w:hint="default"/>
        <w:b w:val="0"/>
        <w:bCs w:val="0"/>
        <w:i w:val="0"/>
        <w:iCs w:val="0"/>
        <w:spacing w:val="0"/>
        <w:w w:val="99"/>
        <w:sz w:val="20"/>
        <w:szCs w:val="20"/>
        <w:lang w:val="pt-PT" w:eastAsia="en-US" w:bidi="ar-SA"/>
      </w:rPr>
    </w:lvl>
    <w:lvl w:ilvl="1" w:tplc="55F61EB8">
      <w:numFmt w:val="bullet"/>
      <w:lvlText w:val="•"/>
      <w:lvlJc w:val="left"/>
      <w:pPr>
        <w:ind w:left="3702" w:hanging="343"/>
      </w:pPr>
      <w:rPr>
        <w:rFonts w:hint="default"/>
        <w:lang w:val="pt-PT" w:eastAsia="en-US" w:bidi="ar-SA"/>
      </w:rPr>
    </w:lvl>
    <w:lvl w:ilvl="2" w:tplc="FECA3ED6">
      <w:numFmt w:val="bullet"/>
      <w:lvlText w:val="•"/>
      <w:lvlJc w:val="left"/>
      <w:pPr>
        <w:ind w:left="4425" w:hanging="343"/>
      </w:pPr>
      <w:rPr>
        <w:rFonts w:hint="default"/>
        <w:lang w:val="pt-PT" w:eastAsia="en-US" w:bidi="ar-SA"/>
      </w:rPr>
    </w:lvl>
    <w:lvl w:ilvl="3" w:tplc="07104BD2">
      <w:numFmt w:val="bullet"/>
      <w:lvlText w:val="•"/>
      <w:lvlJc w:val="left"/>
      <w:pPr>
        <w:ind w:left="5147" w:hanging="343"/>
      </w:pPr>
      <w:rPr>
        <w:rFonts w:hint="default"/>
        <w:lang w:val="pt-PT" w:eastAsia="en-US" w:bidi="ar-SA"/>
      </w:rPr>
    </w:lvl>
    <w:lvl w:ilvl="4" w:tplc="2E0E2646">
      <w:numFmt w:val="bullet"/>
      <w:lvlText w:val="•"/>
      <w:lvlJc w:val="left"/>
      <w:pPr>
        <w:ind w:left="5870" w:hanging="343"/>
      </w:pPr>
      <w:rPr>
        <w:rFonts w:hint="default"/>
        <w:lang w:val="pt-PT" w:eastAsia="en-US" w:bidi="ar-SA"/>
      </w:rPr>
    </w:lvl>
    <w:lvl w:ilvl="5" w:tplc="BF4EA9F2">
      <w:numFmt w:val="bullet"/>
      <w:lvlText w:val="•"/>
      <w:lvlJc w:val="left"/>
      <w:pPr>
        <w:ind w:left="6593" w:hanging="343"/>
      </w:pPr>
      <w:rPr>
        <w:rFonts w:hint="default"/>
        <w:lang w:val="pt-PT" w:eastAsia="en-US" w:bidi="ar-SA"/>
      </w:rPr>
    </w:lvl>
    <w:lvl w:ilvl="6" w:tplc="18500FE4">
      <w:numFmt w:val="bullet"/>
      <w:lvlText w:val="•"/>
      <w:lvlJc w:val="left"/>
      <w:pPr>
        <w:ind w:left="7315" w:hanging="343"/>
      </w:pPr>
      <w:rPr>
        <w:rFonts w:hint="default"/>
        <w:lang w:val="pt-PT" w:eastAsia="en-US" w:bidi="ar-SA"/>
      </w:rPr>
    </w:lvl>
    <w:lvl w:ilvl="7" w:tplc="1424FD0C">
      <w:numFmt w:val="bullet"/>
      <w:lvlText w:val="•"/>
      <w:lvlJc w:val="left"/>
      <w:pPr>
        <w:ind w:left="8038" w:hanging="343"/>
      </w:pPr>
      <w:rPr>
        <w:rFonts w:hint="default"/>
        <w:lang w:val="pt-PT" w:eastAsia="en-US" w:bidi="ar-SA"/>
      </w:rPr>
    </w:lvl>
    <w:lvl w:ilvl="8" w:tplc="4A3C5914">
      <w:numFmt w:val="bullet"/>
      <w:lvlText w:val="•"/>
      <w:lvlJc w:val="left"/>
      <w:pPr>
        <w:ind w:left="8761" w:hanging="343"/>
      </w:pPr>
      <w:rPr>
        <w:rFonts w:hint="default"/>
        <w:lang w:val="pt-PT" w:eastAsia="en-US" w:bidi="ar-SA"/>
      </w:rPr>
    </w:lvl>
  </w:abstractNum>
  <w:abstractNum w:abstractNumId="15">
    <w:nsid w:val="38555C00"/>
    <w:multiLevelType w:val="hybridMultilevel"/>
    <w:tmpl w:val="60C6EE0E"/>
    <w:lvl w:ilvl="0" w:tplc="263C374C">
      <w:start w:val="1"/>
      <w:numFmt w:val="lowerLetter"/>
      <w:lvlText w:val="%1)"/>
      <w:lvlJc w:val="left"/>
      <w:pPr>
        <w:ind w:left="2978" w:hanging="157"/>
        <w:jc w:val="left"/>
      </w:pPr>
      <w:rPr>
        <w:rFonts w:ascii="Times New Roman" w:eastAsia="Times New Roman" w:hAnsi="Times New Roman" w:cs="Times New Roman" w:hint="default"/>
        <w:b w:val="0"/>
        <w:bCs w:val="0"/>
        <w:i w:val="0"/>
        <w:iCs w:val="0"/>
        <w:spacing w:val="0"/>
        <w:w w:val="95"/>
        <w:sz w:val="18"/>
        <w:szCs w:val="18"/>
        <w:lang w:val="pt-PT" w:eastAsia="en-US" w:bidi="ar-SA"/>
      </w:rPr>
    </w:lvl>
    <w:lvl w:ilvl="1" w:tplc="DF545658">
      <w:numFmt w:val="bullet"/>
      <w:lvlText w:val="•"/>
      <w:lvlJc w:val="left"/>
      <w:pPr>
        <w:ind w:left="3702" w:hanging="157"/>
      </w:pPr>
      <w:rPr>
        <w:rFonts w:hint="default"/>
        <w:lang w:val="pt-PT" w:eastAsia="en-US" w:bidi="ar-SA"/>
      </w:rPr>
    </w:lvl>
    <w:lvl w:ilvl="2" w:tplc="021C4570">
      <w:numFmt w:val="bullet"/>
      <w:lvlText w:val="•"/>
      <w:lvlJc w:val="left"/>
      <w:pPr>
        <w:ind w:left="4425" w:hanging="157"/>
      </w:pPr>
      <w:rPr>
        <w:rFonts w:hint="default"/>
        <w:lang w:val="pt-PT" w:eastAsia="en-US" w:bidi="ar-SA"/>
      </w:rPr>
    </w:lvl>
    <w:lvl w:ilvl="3" w:tplc="70EC71B2">
      <w:numFmt w:val="bullet"/>
      <w:lvlText w:val="•"/>
      <w:lvlJc w:val="left"/>
      <w:pPr>
        <w:ind w:left="5147" w:hanging="157"/>
      </w:pPr>
      <w:rPr>
        <w:rFonts w:hint="default"/>
        <w:lang w:val="pt-PT" w:eastAsia="en-US" w:bidi="ar-SA"/>
      </w:rPr>
    </w:lvl>
    <w:lvl w:ilvl="4" w:tplc="5584125C">
      <w:numFmt w:val="bullet"/>
      <w:lvlText w:val="•"/>
      <w:lvlJc w:val="left"/>
      <w:pPr>
        <w:ind w:left="5870" w:hanging="157"/>
      </w:pPr>
      <w:rPr>
        <w:rFonts w:hint="default"/>
        <w:lang w:val="pt-PT" w:eastAsia="en-US" w:bidi="ar-SA"/>
      </w:rPr>
    </w:lvl>
    <w:lvl w:ilvl="5" w:tplc="ADA28AD4">
      <w:numFmt w:val="bullet"/>
      <w:lvlText w:val="•"/>
      <w:lvlJc w:val="left"/>
      <w:pPr>
        <w:ind w:left="6593" w:hanging="157"/>
      </w:pPr>
      <w:rPr>
        <w:rFonts w:hint="default"/>
        <w:lang w:val="pt-PT" w:eastAsia="en-US" w:bidi="ar-SA"/>
      </w:rPr>
    </w:lvl>
    <w:lvl w:ilvl="6" w:tplc="69AE9CAA">
      <w:numFmt w:val="bullet"/>
      <w:lvlText w:val="•"/>
      <w:lvlJc w:val="left"/>
      <w:pPr>
        <w:ind w:left="7315" w:hanging="157"/>
      </w:pPr>
      <w:rPr>
        <w:rFonts w:hint="default"/>
        <w:lang w:val="pt-PT" w:eastAsia="en-US" w:bidi="ar-SA"/>
      </w:rPr>
    </w:lvl>
    <w:lvl w:ilvl="7" w:tplc="90DE1E62">
      <w:numFmt w:val="bullet"/>
      <w:lvlText w:val="•"/>
      <w:lvlJc w:val="left"/>
      <w:pPr>
        <w:ind w:left="8038" w:hanging="157"/>
      </w:pPr>
      <w:rPr>
        <w:rFonts w:hint="default"/>
        <w:lang w:val="pt-PT" w:eastAsia="en-US" w:bidi="ar-SA"/>
      </w:rPr>
    </w:lvl>
    <w:lvl w:ilvl="8" w:tplc="F0629C8C">
      <w:numFmt w:val="bullet"/>
      <w:lvlText w:val="•"/>
      <w:lvlJc w:val="left"/>
      <w:pPr>
        <w:ind w:left="8761" w:hanging="157"/>
      </w:pPr>
      <w:rPr>
        <w:rFonts w:hint="default"/>
        <w:lang w:val="pt-PT" w:eastAsia="en-US" w:bidi="ar-SA"/>
      </w:rPr>
    </w:lvl>
  </w:abstractNum>
  <w:abstractNum w:abstractNumId="16">
    <w:nsid w:val="3C0E2273"/>
    <w:multiLevelType w:val="hybridMultilevel"/>
    <w:tmpl w:val="9AF669A6"/>
    <w:lvl w:ilvl="0" w:tplc="5CAA7FB8">
      <w:start w:val="1"/>
      <w:numFmt w:val="upperRoman"/>
      <w:lvlText w:val="%1."/>
      <w:lvlJc w:val="left"/>
      <w:pPr>
        <w:ind w:left="3698" w:hanging="478"/>
        <w:jc w:val="right"/>
      </w:pPr>
      <w:rPr>
        <w:rFonts w:hint="default"/>
        <w:spacing w:val="0"/>
        <w:w w:val="99"/>
        <w:lang w:val="pt-PT" w:eastAsia="en-US" w:bidi="ar-SA"/>
      </w:rPr>
    </w:lvl>
    <w:lvl w:ilvl="1" w:tplc="29A855C0">
      <w:numFmt w:val="bullet"/>
      <w:lvlText w:val="•"/>
      <w:lvlJc w:val="left"/>
      <w:pPr>
        <w:ind w:left="4350" w:hanging="478"/>
      </w:pPr>
      <w:rPr>
        <w:rFonts w:hint="default"/>
        <w:lang w:val="pt-PT" w:eastAsia="en-US" w:bidi="ar-SA"/>
      </w:rPr>
    </w:lvl>
    <w:lvl w:ilvl="2" w:tplc="FD069386">
      <w:numFmt w:val="bullet"/>
      <w:lvlText w:val="•"/>
      <w:lvlJc w:val="left"/>
      <w:pPr>
        <w:ind w:left="5001" w:hanging="478"/>
      </w:pPr>
      <w:rPr>
        <w:rFonts w:hint="default"/>
        <w:lang w:val="pt-PT" w:eastAsia="en-US" w:bidi="ar-SA"/>
      </w:rPr>
    </w:lvl>
    <w:lvl w:ilvl="3" w:tplc="12C687A2">
      <w:numFmt w:val="bullet"/>
      <w:lvlText w:val="•"/>
      <w:lvlJc w:val="left"/>
      <w:pPr>
        <w:ind w:left="5651" w:hanging="478"/>
      </w:pPr>
      <w:rPr>
        <w:rFonts w:hint="default"/>
        <w:lang w:val="pt-PT" w:eastAsia="en-US" w:bidi="ar-SA"/>
      </w:rPr>
    </w:lvl>
    <w:lvl w:ilvl="4" w:tplc="C242DF9E">
      <w:numFmt w:val="bullet"/>
      <w:lvlText w:val="•"/>
      <w:lvlJc w:val="left"/>
      <w:pPr>
        <w:ind w:left="6302" w:hanging="478"/>
      </w:pPr>
      <w:rPr>
        <w:rFonts w:hint="default"/>
        <w:lang w:val="pt-PT" w:eastAsia="en-US" w:bidi="ar-SA"/>
      </w:rPr>
    </w:lvl>
    <w:lvl w:ilvl="5" w:tplc="5E36A548">
      <w:numFmt w:val="bullet"/>
      <w:lvlText w:val="•"/>
      <w:lvlJc w:val="left"/>
      <w:pPr>
        <w:ind w:left="6953" w:hanging="478"/>
      </w:pPr>
      <w:rPr>
        <w:rFonts w:hint="default"/>
        <w:lang w:val="pt-PT" w:eastAsia="en-US" w:bidi="ar-SA"/>
      </w:rPr>
    </w:lvl>
    <w:lvl w:ilvl="6" w:tplc="69D8148C">
      <w:numFmt w:val="bullet"/>
      <w:lvlText w:val="•"/>
      <w:lvlJc w:val="left"/>
      <w:pPr>
        <w:ind w:left="7603" w:hanging="478"/>
      </w:pPr>
      <w:rPr>
        <w:rFonts w:hint="default"/>
        <w:lang w:val="pt-PT" w:eastAsia="en-US" w:bidi="ar-SA"/>
      </w:rPr>
    </w:lvl>
    <w:lvl w:ilvl="7" w:tplc="97C03F8C">
      <w:numFmt w:val="bullet"/>
      <w:lvlText w:val="•"/>
      <w:lvlJc w:val="left"/>
      <w:pPr>
        <w:ind w:left="8254" w:hanging="478"/>
      </w:pPr>
      <w:rPr>
        <w:rFonts w:hint="default"/>
        <w:lang w:val="pt-PT" w:eastAsia="en-US" w:bidi="ar-SA"/>
      </w:rPr>
    </w:lvl>
    <w:lvl w:ilvl="8" w:tplc="4F7481CE">
      <w:numFmt w:val="bullet"/>
      <w:lvlText w:val="•"/>
      <w:lvlJc w:val="left"/>
      <w:pPr>
        <w:ind w:left="8905" w:hanging="478"/>
      </w:pPr>
      <w:rPr>
        <w:rFonts w:hint="default"/>
        <w:lang w:val="pt-PT" w:eastAsia="en-US" w:bidi="ar-SA"/>
      </w:rPr>
    </w:lvl>
  </w:abstractNum>
  <w:abstractNum w:abstractNumId="17">
    <w:nsid w:val="3CC640B9"/>
    <w:multiLevelType w:val="hybridMultilevel"/>
    <w:tmpl w:val="880EF534"/>
    <w:lvl w:ilvl="0" w:tplc="6D1654DA">
      <w:start w:val="1"/>
      <w:numFmt w:val="decimal"/>
      <w:lvlText w:val="%1."/>
      <w:lvlJc w:val="left"/>
      <w:pPr>
        <w:ind w:left="891" w:hanging="181"/>
        <w:jc w:val="left"/>
      </w:pPr>
      <w:rPr>
        <w:rFonts w:ascii="Times New Roman" w:eastAsia="Times New Roman" w:hAnsi="Times New Roman" w:cs="Times New Roman" w:hint="default"/>
        <w:b/>
        <w:bCs/>
        <w:i w:val="0"/>
        <w:iCs w:val="0"/>
        <w:spacing w:val="0"/>
        <w:w w:val="96"/>
        <w:sz w:val="22"/>
        <w:szCs w:val="22"/>
        <w:lang w:val="pt-PT" w:eastAsia="en-US" w:bidi="ar-SA"/>
      </w:rPr>
    </w:lvl>
    <w:lvl w:ilvl="1" w:tplc="8B4A3D1E">
      <w:numFmt w:val="bullet"/>
      <w:lvlText w:val="●"/>
      <w:lvlJc w:val="left"/>
      <w:pPr>
        <w:ind w:left="2978" w:hanging="178"/>
      </w:pPr>
      <w:rPr>
        <w:rFonts w:ascii="Times New Roman" w:eastAsia="Times New Roman" w:hAnsi="Times New Roman" w:cs="Times New Roman" w:hint="default"/>
        <w:b w:val="0"/>
        <w:bCs w:val="0"/>
        <w:i w:val="0"/>
        <w:iCs w:val="0"/>
        <w:spacing w:val="0"/>
        <w:w w:val="99"/>
        <w:sz w:val="20"/>
        <w:szCs w:val="20"/>
        <w:lang w:val="pt-PT" w:eastAsia="en-US" w:bidi="ar-SA"/>
      </w:rPr>
    </w:lvl>
    <w:lvl w:ilvl="2" w:tplc="3856CCD2">
      <w:numFmt w:val="bullet"/>
      <w:lvlText w:val="•"/>
      <w:lvlJc w:val="left"/>
      <w:pPr>
        <w:ind w:left="3782" w:hanging="178"/>
      </w:pPr>
      <w:rPr>
        <w:rFonts w:hint="default"/>
        <w:lang w:val="pt-PT" w:eastAsia="en-US" w:bidi="ar-SA"/>
      </w:rPr>
    </w:lvl>
    <w:lvl w:ilvl="3" w:tplc="29FE4116">
      <w:numFmt w:val="bullet"/>
      <w:lvlText w:val="•"/>
      <w:lvlJc w:val="left"/>
      <w:pPr>
        <w:ind w:left="4585" w:hanging="178"/>
      </w:pPr>
      <w:rPr>
        <w:rFonts w:hint="default"/>
        <w:lang w:val="pt-PT" w:eastAsia="en-US" w:bidi="ar-SA"/>
      </w:rPr>
    </w:lvl>
    <w:lvl w:ilvl="4" w:tplc="7E9483EA">
      <w:numFmt w:val="bullet"/>
      <w:lvlText w:val="•"/>
      <w:lvlJc w:val="left"/>
      <w:pPr>
        <w:ind w:left="5388" w:hanging="178"/>
      </w:pPr>
      <w:rPr>
        <w:rFonts w:hint="default"/>
        <w:lang w:val="pt-PT" w:eastAsia="en-US" w:bidi="ar-SA"/>
      </w:rPr>
    </w:lvl>
    <w:lvl w:ilvl="5" w:tplc="457AB322">
      <w:numFmt w:val="bullet"/>
      <w:lvlText w:val="•"/>
      <w:lvlJc w:val="left"/>
      <w:pPr>
        <w:ind w:left="6191" w:hanging="178"/>
      </w:pPr>
      <w:rPr>
        <w:rFonts w:hint="default"/>
        <w:lang w:val="pt-PT" w:eastAsia="en-US" w:bidi="ar-SA"/>
      </w:rPr>
    </w:lvl>
    <w:lvl w:ilvl="6" w:tplc="9216FD30">
      <w:numFmt w:val="bullet"/>
      <w:lvlText w:val="•"/>
      <w:lvlJc w:val="left"/>
      <w:pPr>
        <w:ind w:left="6994" w:hanging="178"/>
      </w:pPr>
      <w:rPr>
        <w:rFonts w:hint="default"/>
        <w:lang w:val="pt-PT" w:eastAsia="en-US" w:bidi="ar-SA"/>
      </w:rPr>
    </w:lvl>
    <w:lvl w:ilvl="7" w:tplc="9CCCB86C">
      <w:numFmt w:val="bullet"/>
      <w:lvlText w:val="•"/>
      <w:lvlJc w:val="left"/>
      <w:pPr>
        <w:ind w:left="7797" w:hanging="178"/>
      </w:pPr>
      <w:rPr>
        <w:rFonts w:hint="default"/>
        <w:lang w:val="pt-PT" w:eastAsia="en-US" w:bidi="ar-SA"/>
      </w:rPr>
    </w:lvl>
    <w:lvl w:ilvl="8" w:tplc="77ECFF24">
      <w:numFmt w:val="bullet"/>
      <w:lvlText w:val="•"/>
      <w:lvlJc w:val="left"/>
      <w:pPr>
        <w:ind w:left="8600" w:hanging="178"/>
      </w:pPr>
      <w:rPr>
        <w:rFonts w:hint="default"/>
        <w:lang w:val="pt-PT" w:eastAsia="en-US" w:bidi="ar-SA"/>
      </w:rPr>
    </w:lvl>
  </w:abstractNum>
  <w:abstractNum w:abstractNumId="18">
    <w:nsid w:val="417A3540"/>
    <w:multiLevelType w:val="hybridMultilevel"/>
    <w:tmpl w:val="1856E9EC"/>
    <w:lvl w:ilvl="0" w:tplc="8F0AFA9C">
      <w:start w:val="1"/>
      <w:numFmt w:val="decimal"/>
      <w:lvlText w:val="%1"/>
      <w:lvlJc w:val="left"/>
      <w:pPr>
        <w:ind w:left="899" w:hanging="188"/>
        <w:jc w:val="left"/>
      </w:pPr>
      <w:rPr>
        <w:rFonts w:ascii="Times New Roman" w:eastAsia="Times New Roman" w:hAnsi="Times New Roman" w:cs="Times New Roman" w:hint="default"/>
        <w:b/>
        <w:bCs/>
        <w:i w:val="0"/>
        <w:iCs w:val="0"/>
        <w:spacing w:val="0"/>
        <w:w w:val="100"/>
        <w:sz w:val="24"/>
        <w:szCs w:val="24"/>
        <w:lang w:val="pt-PT" w:eastAsia="en-US" w:bidi="ar-SA"/>
      </w:rPr>
    </w:lvl>
    <w:lvl w:ilvl="1" w:tplc="E6805A72">
      <w:numFmt w:val="bullet"/>
      <w:lvlText w:val="•"/>
      <w:lvlJc w:val="left"/>
      <w:pPr>
        <w:ind w:left="1830" w:hanging="188"/>
      </w:pPr>
      <w:rPr>
        <w:rFonts w:hint="default"/>
        <w:lang w:val="pt-PT" w:eastAsia="en-US" w:bidi="ar-SA"/>
      </w:rPr>
    </w:lvl>
    <w:lvl w:ilvl="2" w:tplc="20CA3964">
      <w:numFmt w:val="bullet"/>
      <w:lvlText w:val="•"/>
      <w:lvlJc w:val="left"/>
      <w:pPr>
        <w:ind w:left="2761" w:hanging="188"/>
      </w:pPr>
      <w:rPr>
        <w:rFonts w:hint="default"/>
        <w:lang w:val="pt-PT" w:eastAsia="en-US" w:bidi="ar-SA"/>
      </w:rPr>
    </w:lvl>
    <w:lvl w:ilvl="3" w:tplc="399C612E">
      <w:numFmt w:val="bullet"/>
      <w:lvlText w:val="•"/>
      <w:lvlJc w:val="left"/>
      <w:pPr>
        <w:ind w:left="3691" w:hanging="188"/>
      </w:pPr>
      <w:rPr>
        <w:rFonts w:hint="default"/>
        <w:lang w:val="pt-PT" w:eastAsia="en-US" w:bidi="ar-SA"/>
      </w:rPr>
    </w:lvl>
    <w:lvl w:ilvl="4" w:tplc="AF00066C">
      <w:numFmt w:val="bullet"/>
      <w:lvlText w:val="•"/>
      <w:lvlJc w:val="left"/>
      <w:pPr>
        <w:ind w:left="4622" w:hanging="188"/>
      </w:pPr>
      <w:rPr>
        <w:rFonts w:hint="default"/>
        <w:lang w:val="pt-PT" w:eastAsia="en-US" w:bidi="ar-SA"/>
      </w:rPr>
    </w:lvl>
    <w:lvl w:ilvl="5" w:tplc="C35408F4">
      <w:numFmt w:val="bullet"/>
      <w:lvlText w:val="•"/>
      <w:lvlJc w:val="left"/>
      <w:pPr>
        <w:ind w:left="5553" w:hanging="188"/>
      </w:pPr>
      <w:rPr>
        <w:rFonts w:hint="default"/>
        <w:lang w:val="pt-PT" w:eastAsia="en-US" w:bidi="ar-SA"/>
      </w:rPr>
    </w:lvl>
    <w:lvl w:ilvl="6" w:tplc="EBA6DAD8">
      <w:numFmt w:val="bullet"/>
      <w:lvlText w:val="•"/>
      <w:lvlJc w:val="left"/>
      <w:pPr>
        <w:ind w:left="6483" w:hanging="188"/>
      </w:pPr>
      <w:rPr>
        <w:rFonts w:hint="default"/>
        <w:lang w:val="pt-PT" w:eastAsia="en-US" w:bidi="ar-SA"/>
      </w:rPr>
    </w:lvl>
    <w:lvl w:ilvl="7" w:tplc="1AB0135E">
      <w:numFmt w:val="bullet"/>
      <w:lvlText w:val="•"/>
      <w:lvlJc w:val="left"/>
      <w:pPr>
        <w:ind w:left="7414" w:hanging="188"/>
      </w:pPr>
      <w:rPr>
        <w:rFonts w:hint="default"/>
        <w:lang w:val="pt-PT" w:eastAsia="en-US" w:bidi="ar-SA"/>
      </w:rPr>
    </w:lvl>
    <w:lvl w:ilvl="8" w:tplc="71E61B56">
      <w:numFmt w:val="bullet"/>
      <w:lvlText w:val="•"/>
      <w:lvlJc w:val="left"/>
      <w:pPr>
        <w:ind w:left="8345" w:hanging="188"/>
      </w:pPr>
      <w:rPr>
        <w:rFonts w:hint="default"/>
        <w:lang w:val="pt-PT" w:eastAsia="en-US" w:bidi="ar-SA"/>
      </w:rPr>
    </w:lvl>
  </w:abstractNum>
  <w:abstractNum w:abstractNumId="19">
    <w:nsid w:val="42B422DA"/>
    <w:multiLevelType w:val="hybridMultilevel"/>
    <w:tmpl w:val="7D4C3612"/>
    <w:lvl w:ilvl="0" w:tplc="A62A05DE">
      <w:start w:val="1"/>
      <w:numFmt w:val="decimal"/>
      <w:lvlText w:val="%1."/>
      <w:lvlJc w:val="left"/>
      <w:pPr>
        <w:ind w:left="710" w:hanging="247"/>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1" w:tplc="550034AC">
      <w:numFmt w:val="bullet"/>
      <w:lvlText w:val="•"/>
      <w:lvlJc w:val="left"/>
      <w:pPr>
        <w:ind w:left="1668" w:hanging="247"/>
      </w:pPr>
      <w:rPr>
        <w:rFonts w:hint="default"/>
        <w:lang w:val="pt-PT" w:eastAsia="en-US" w:bidi="ar-SA"/>
      </w:rPr>
    </w:lvl>
    <w:lvl w:ilvl="2" w:tplc="F350E4BA">
      <w:numFmt w:val="bullet"/>
      <w:lvlText w:val="•"/>
      <w:lvlJc w:val="left"/>
      <w:pPr>
        <w:ind w:left="2617" w:hanging="247"/>
      </w:pPr>
      <w:rPr>
        <w:rFonts w:hint="default"/>
        <w:lang w:val="pt-PT" w:eastAsia="en-US" w:bidi="ar-SA"/>
      </w:rPr>
    </w:lvl>
    <w:lvl w:ilvl="3" w:tplc="49F0EB86">
      <w:numFmt w:val="bullet"/>
      <w:lvlText w:val="•"/>
      <w:lvlJc w:val="left"/>
      <w:pPr>
        <w:ind w:left="3565" w:hanging="247"/>
      </w:pPr>
      <w:rPr>
        <w:rFonts w:hint="default"/>
        <w:lang w:val="pt-PT" w:eastAsia="en-US" w:bidi="ar-SA"/>
      </w:rPr>
    </w:lvl>
    <w:lvl w:ilvl="4" w:tplc="2564D866">
      <w:numFmt w:val="bullet"/>
      <w:lvlText w:val="•"/>
      <w:lvlJc w:val="left"/>
      <w:pPr>
        <w:ind w:left="4514" w:hanging="247"/>
      </w:pPr>
      <w:rPr>
        <w:rFonts w:hint="default"/>
        <w:lang w:val="pt-PT" w:eastAsia="en-US" w:bidi="ar-SA"/>
      </w:rPr>
    </w:lvl>
    <w:lvl w:ilvl="5" w:tplc="38489D44">
      <w:numFmt w:val="bullet"/>
      <w:lvlText w:val="•"/>
      <w:lvlJc w:val="left"/>
      <w:pPr>
        <w:ind w:left="5463" w:hanging="247"/>
      </w:pPr>
      <w:rPr>
        <w:rFonts w:hint="default"/>
        <w:lang w:val="pt-PT" w:eastAsia="en-US" w:bidi="ar-SA"/>
      </w:rPr>
    </w:lvl>
    <w:lvl w:ilvl="6" w:tplc="AC56E4B4">
      <w:numFmt w:val="bullet"/>
      <w:lvlText w:val="•"/>
      <w:lvlJc w:val="left"/>
      <w:pPr>
        <w:ind w:left="6411" w:hanging="247"/>
      </w:pPr>
      <w:rPr>
        <w:rFonts w:hint="default"/>
        <w:lang w:val="pt-PT" w:eastAsia="en-US" w:bidi="ar-SA"/>
      </w:rPr>
    </w:lvl>
    <w:lvl w:ilvl="7" w:tplc="4BAC67FA">
      <w:numFmt w:val="bullet"/>
      <w:lvlText w:val="•"/>
      <w:lvlJc w:val="left"/>
      <w:pPr>
        <w:ind w:left="7360" w:hanging="247"/>
      </w:pPr>
      <w:rPr>
        <w:rFonts w:hint="default"/>
        <w:lang w:val="pt-PT" w:eastAsia="en-US" w:bidi="ar-SA"/>
      </w:rPr>
    </w:lvl>
    <w:lvl w:ilvl="8" w:tplc="660E96B4">
      <w:numFmt w:val="bullet"/>
      <w:lvlText w:val="•"/>
      <w:lvlJc w:val="left"/>
      <w:pPr>
        <w:ind w:left="8309" w:hanging="247"/>
      </w:pPr>
      <w:rPr>
        <w:rFonts w:hint="default"/>
        <w:lang w:val="pt-PT" w:eastAsia="en-US" w:bidi="ar-SA"/>
      </w:rPr>
    </w:lvl>
  </w:abstractNum>
  <w:abstractNum w:abstractNumId="20">
    <w:nsid w:val="430A0B06"/>
    <w:multiLevelType w:val="multilevel"/>
    <w:tmpl w:val="291A1DAA"/>
    <w:lvl w:ilvl="0">
      <w:start w:val="3"/>
      <w:numFmt w:val="decimal"/>
      <w:lvlText w:val="%1"/>
      <w:lvlJc w:val="left"/>
      <w:pPr>
        <w:ind w:left="1094" w:hanging="245"/>
        <w:jc w:val="left"/>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1271" w:hanging="423"/>
        <w:jc w:val="right"/>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2271" w:hanging="423"/>
      </w:pPr>
      <w:rPr>
        <w:rFonts w:hint="default"/>
        <w:lang w:val="pt-PT" w:eastAsia="en-US" w:bidi="ar-SA"/>
      </w:rPr>
    </w:lvl>
    <w:lvl w:ilvl="3">
      <w:numFmt w:val="bullet"/>
      <w:lvlText w:val="•"/>
      <w:lvlJc w:val="left"/>
      <w:pPr>
        <w:ind w:left="3263" w:hanging="423"/>
      </w:pPr>
      <w:rPr>
        <w:rFonts w:hint="default"/>
        <w:lang w:val="pt-PT" w:eastAsia="en-US" w:bidi="ar-SA"/>
      </w:rPr>
    </w:lvl>
    <w:lvl w:ilvl="4">
      <w:numFmt w:val="bullet"/>
      <w:lvlText w:val="•"/>
      <w:lvlJc w:val="left"/>
      <w:pPr>
        <w:ind w:left="4255" w:hanging="423"/>
      </w:pPr>
      <w:rPr>
        <w:rFonts w:hint="default"/>
        <w:lang w:val="pt-PT" w:eastAsia="en-US" w:bidi="ar-SA"/>
      </w:rPr>
    </w:lvl>
    <w:lvl w:ilvl="5">
      <w:numFmt w:val="bullet"/>
      <w:lvlText w:val="•"/>
      <w:lvlJc w:val="left"/>
      <w:pPr>
        <w:ind w:left="5247" w:hanging="423"/>
      </w:pPr>
      <w:rPr>
        <w:rFonts w:hint="default"/>
        <w:lang w:val="pt-PT" w:eastAsia="en-US" w:bidi="ar-SA"/>
      </w:rPr>
    </w:lvl>
    <w:lvl w:ilvl="6">
      <w:numFmt w:val="bullet"/>
      <w:lvlText w:val="•"/>
      <w:lvlJc w:val="left"/>
      <w:pPr>
        <w:ind w:left="6239" w:hanging="423"/>
      </w:pPr>
      <w:rPr>
        <w:rFonts w:hint="default"/>
        <w:lang w:val="pt-PT" w:eastAsia="en-US" w:bidi="ar-SA"/>
      </w:rPr>
    </w:lvl>
    <w:lvl w:ilvl="7">
      <w:numFmt w:val="bullet"/>
      <w:lvlText w:val="•"/>
      <w:lvlJc w:val="left"/>
      <w:pPr>
        <w:ind w:left="7230" w:hanging="423"/>
      </w:pPr>
      <w:rPr>
        <w:rFonts w:hint="default"/>
        <w:lang w:val="pt-PT" w:eastAsia="en-US" w:bidi="ar-SA"/>
      </w:rPr>
    </w:lvl>
    <w:lvl w:ilvl="8">
      <w:numFmt w:val="bullet"/>
      <w:lvlText w:val="•"/>
      <w:lvlJc w:val="left"/>
      <w:pPr>
        <w:ind w:left="8222" w:hanging="423"/>
      </w:pPr>
      <w:rPr>
        <w:rFonts w:hint="default"/>
        <w:lang w:val="pt-PT" w:eastAsia="en-US" w:bidi="ar-SA"/>
      </w:rPr>
    </w:lvl>
  </w:abstractNum>
  <w:abstractNum w:abstractNumId="21">
    <w:nsid w:val="437D51FA"/>
    <w:multiLevelType w:val="hybridMultilevel"/>
    <w:tmpl w:val="754426B4"/>
    <w:lvl w:ilvl="0" w:tplc="161698BC">
      <w:start w:val="1"/>
      <w:numFmt w:val="upperLetter"/>
      <w:lvlText w:val="%1."/>
      <w:lvlJc w:val="left"/>
      <w:pPr>
        <w:ind w:left="710" w:hanging="358"/>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1" w:tplc="0D7EE2DC">
      <w:numFmt w:val="bullet"/>
      <w:lvlText w:val="•"/>
      <w:lvlJc w:val="left"/>
      <w:pPr>
        <w:ind w:left="1668" w:hanging="358"/>
      </w:pPr>
      <w:rPr>
        <w:rFonts w:hint="default"/>
        <w:lang w:val="pt-PT" w:eastAsia="en-US" w:bidi="ar-SA"/>
      </w:rPr>
    </w:lvl>
    <w:lvl w:ilvl="2" w:tplc="B8CE667E">
      <w:numFmt w:val="bullet"/>
      <w:lvlText w:val="•"/>
      <w:lvlJc w:val="left"/>
      <w:pPr>
        <w:ind w:left="2617" w:hanging="358"/>
      </w:pPr>
      <w:rPr>
        <w:rFonts w:hint="default"/>
        <w:lang w:val="pt-PT" w:eastAsia="en-US" w:bidi="ar-SA"/>
      </w:rPr>
    </w:lvl>
    <w:lvl w:ilvl="3" w:tplc="6218B54E">
      <w:numFmt w:val="bullet"/>
      <w:lvlText w:val="•"/>
      <w:lvlJc w:val="left"/>
      <w:pPr>
        <w:ind w:left="3565" w:hanging="358"/>
      </w:pPr>
      <w:rPr>
        <w:rFonts w:hint="default"/>
        <w:lang w:val="pt-PT" w:eastAsia="en-US" w:bidi="ar-SA"/>
      </w:rPr>
    </w:lvl>
    <w:lvl w:ilvl="4" w:tplc="F7A06344">
      <w:numFmt w:val="bullet"/>
      <w:lvlText w:val="•"/>
      <w:lvlJc w:val="left"/>
      <w:pPr>
        <w:ind w:left="4514" w:hanging="358"/>
      </w:pPr>
      <w:rPr>
        <w:rFonts w:hint="default"/>
        <w:lang w:val="pt-PT" w:eastAsia="en-US" w:bidi="ar-SA"/>
      </w:rPr>
    </w:lvl>
    <w:lvl w:ilvl="5" w:tplc="B7ACF7F6">
      <w:numFmt w:val="bullet"/>
      <w:lvlText w:val="•"/>
      <w:lvlJc w:val="left"/>
      <w:pPr>
        <w:ind w:left="5463" w:hanging="358"/>
      </w:pPr>
      <w:rPr>
        <w:rFonts w:hint="default"/>
        <w:lang w:val="pt-PT" w:eastAsia="en-US" w:bidi="ar-SA"/>
      </w:rPr>
    </w:lvl>
    <w:lvl w:ilvl="6" w:tplc="22EC038C">
      <w:numFmt w:val="bullet"/>
      <w:lvlText w:val="•"/>
      <w:lvlJc w:val="left"/>
      <w:pPr>
        <w:ind w:left="6411" w:hanging="358"/>
      </w:pPr>
      <w:rPr>
        <w:rFonts w:hint="default"/>
        <w:lang w:val="pt-PT" w:eastAsia="en-US" w:bidi="ar-SA"/>
      </w:rPr>
    </w:lvl>
    <w:lvl w:ilvl="7" w:tplc="63FC4C0C">
      <w:numFmt w:val="bullet"/>
      <w:lvlText w:val="•"/>
      <w:lvlJc w:val="left"/>
      <w:pPr>
        <w:ind w:left="7360" w:hanging="358"/>
      </w:pPr>
      <w:rPr>
        <w:rFonts w:hint="default"/>
        <w:lang w:val="pt-PT" w:eastAsia="en-US" w:bidi="ar-SA"/>
      </w:rPr>
    </w:lvl>
    <w:lvl w:ilvl="8" w:tplc="DACC679E">
      <w:numFmt w:val="bullet"/>
      <w:lvlText w:val="•"/>
      <w:lvlJc w:val="left"/>
      <w:pPr>
        <w:ind w:left="8309" w:hanging="358"/>
      </w:pPr>
      <w:rPr>
        <w:rFonts w:hint="default"/>
        <w:lang w:val="pt-PT" w:eastAsia="en-US" w:bidi="ar-SA"/>
      </w:rPr>
    </w:lvl>
  </w:abstractNum>
  <w:abstractNum w:abstractNumId="22">
    <w:nsid w:val="44425024"/>
    <w:multiLevelType w:val="hybridMultilevel"/>
    <w:tmpl w:val="9BC07A2A"/>
    <w:lvl w:ilvl="0" w:tplc="F8FC85C6">
      <w:start w:val="1"/>
      <w:numFmt w:val="upperRoman"/>
      <w:lvlText w:val="%1-"/>
      <w:lvlJc w:val="left"/>
      <w:pPr>
        <w:ind w:left="3698" w:hanging="720"/>
        <w:jc w:val="left"/>
      </w:pPr>
      <w:rPr>
        <w:rFonts w:ascii="Times New Roman" w:eastAsia="Times New Roman" w:hAnsi="Times New Roman" w:cs="Times New Roman" w:hint="default"/>
        <w:b w:val="0"/>
        <w:bCs w:val="0"/>
        <w:i w:val="0"/>
        <w:iCs w:val="0"/>
        <w:spacing w:val="0"/>
        <w:w w:val="99"/>
        <w:sz w:val="20"/>
        <w:szCs w:val="20"/>
        <w:lang w:val="pt-PT" w:eastAsia="en-US" w:bidi="ar-SA"/>
      </w:rPr>
    </w:lvl>
    <w:lvl w:ilvl="1" w:tplc="87F64F10">
      <w:start w:val="1"/>
      <w:numFmt w:val="lowerLetter"/>
      <w:lvlText w:val="%2)"/>
      <w:lvlJc w:val="left"/>
      <w:pPr>
        <w:ind w:left="3338" w:hanging="360"/>
        <w:jc w:val="left"/>
      </w:pPr>
      <w:rPr>
        <w:rFonts w:ascii="Times New Roman" w:eastAsia="Times New Roman" w:hAnsi="Times New Roman" w:cs="Times New Roman" w:hint="default"/>
        <w:b w:val="0"/>
        <w:bCs w:val="0"/>
        <w:i w:val="0"/>
        <w:iCs w:val="0"/>
        <w:spacing w:val="0"/>
        <w:w w:val="99"/>
        <w:sz w:val="20"/>
        <w:szCs w:val="20"/>
        <w:lang w:val="pt-PT" w:eastAsia="en-US" w:bidi="ar-SA"/>
      </w:rPr>
    </w:lvl>
    <w:lvl w:ilvl="2" w:tplc="ACDACB48">
      <w:numFmt w:val="bullet"/>
      <w:lvlText w:val="•"/>
      <w:lvlJc w:val="left"/>
      <w:pPr>
        <w:ind w:left="4422" w:hanging="360"/>
      </w:pPr>
      <w:rPr>
        <w:rFonts w:hint="default"/>
        <w:lang w:val="pt-PT" w:eastAsia="en-US" w:bidi="ar-SA"/>
      </w:rPr>
    </w:lvl>
    <w:lvl w:ilvl="3" w:tplc="33F0F1BC">
      <w:numFmt w:val="bullet"/>
      <w:lvlText w:val="•"/>
      <w:lvlJc w:val="left"/>
      <w:pPr>
        <w:ind w:left="5145" w:hanging="360"/>
      </w:pPr>
      <w:rPr>
        <w:rFonts w:hint="default"/>
        <w:lang w:val="pt-PT" w:eastAsia="en-US" w:bidi="ar-SA"/>
      </w:rPr>
    </w:lvl>
    <w:lvl w:ilvl="4" w:tplc="3B62A732">
      <w:numFmt w:val="bullet"/>
      <w:lvlText w:val="•"/>
      <w:lvlJc w:val="left"/>
      <w:pPr>
        <w:ind w:left="5868" w:hanging="360"/>
      </w:pPr>
      <w:rPr>
        <w:rFonts w:hint="default"/>
        <w:lang w:val="pt-PT" w:eastAsia="en-US" w:bidi="ar-SA"/>
      </w:rPr>
    </w:lvl>
    <w:lvl w:ilvl="5" w:tplc="AA36542C">
      <w:numFmt w:val="bullet"/>
      <w:lvlText w:val="•"/>
      <w:lvlJc w:val="left"/>
      <w:pPr>
        <w:ind w:left="6591" w:hanging="360"/>
      </w:pPr>
      <w:rPr>
        <w:rFonts w:hint="default"/>
        <w:lang w:val="pt-PT" w:eastAsia="en-US" w:bidi="ar-SA"/>
      </w:rPr>
    </w:lvl>
    <w:lvl w:ilvl="6" w:tplc="9CDE8760">
      <w:numFmt w:val="bullet"/>
      <w:lvlText w:val="•"/>
      <w:lvlJc w:val="left"/>
      <w:pPr>
        <w:ind w:left="7314" w:hanging="360"/>
      </w:pPr>
      <w:rPr>
        <w:rFonts w:hint="default"/>
        <w:lang w:val="pt-PT" w:eastAsia="en-US" w:bidi="ar-SA"/>
      </w:rPr>
    </w:lvl>
    <w:lvl w:ilvl="7" w:tplc="0A8CF520">
      <w:numFmt w:val="bullet"/>
      <w:lvlText w:val="•"/>
      <w:lvlJc w:val="left"/>
      <w:pPr>
        <w:ind w:left="8037" w:hanging="360"/>
      </w:pPr>
      <w:rPr>
        <w:rFonts w:hint="default"/>
        <w:lang w:val="pt-PT" w:eastAsia="en-US" w:bidi="ar-SA"/>
      </w:rPr>
    </w:lvl>
    <w:lvl w:ilvl="8" w:tplc="592A1AB4">
      <w:numFmt w:val="bullet"/>
      <w:lvlText w:val="•"/>
      <w:lvlJc w:val="left"/>
      <w:pPr>
        <w:ind w:left="8760" w:hanging="360"/>
      </w:pPr>
      <w:rPr>
        <w:rFonts w:hint="default"/>
        <w:lang w:val="pt-PT" w:eastAsia="en-US" w:bidi="ar-SA"/>
      </w:rPr>
    </w:lvl>
  </w:abstractNum>
  <w:abstractNum w:abstractNumId="23">
    <w:nsid w:val="4BDB6259"/>
    <w:multiLevelType w:val="hybridMultilevel"/>
    <w:tmpl w:val="8EB8D53C"/>
    <w:lvl w:ilvl="0" w:tplc="13142DF4">
      <w:start w:val="1"/>
      <w:numFmt w:val="lowerLetter"/>
      <w:lvlText w:val="%1."/>
      <w:lvlJc w:val="left"/>
      <w:pPr>
        <w:ind w:left="2978" w:hanging="709"/>
        <w:jc w:val="left"/>
      </w:pPr>
      <w:rPr>
        <w:rFonts w:ascii="Times New Roman" w:eastAsia="Times New Roman" w:hAnsi="Times New Roman" w:cs="Times New Roman" w:hint="default"/>
        <w:b w:val="0"/>
        <w:bCs w:val="0"/>
        <w:i w:val="0"/>
        <w:iCs w:val="0"/>
        <w:spacing w:val="0"/>
        <w:w w:val="99"/>
        <w:sz w:val="20"/>
        <w:szCs w:val="20"/>
        <w:lang w:val="pt-PT" w:eastAsia="en-US" w:bidi="ar-SA"/>
      </w:rPr>
    </w:lvl>
    <w:lvl w:ilvl="1" w:tplc="6FAA5734">
      <w:start w:val="1"/>
      <w:numFmt w:val="lowerRoman"/>
      <w:lvlText w:val="%2)"/>
      <w:lvlJc w:val="left"/>
      <w:pPr>
        <w:ind w:left="2978" w:hanging="709"/>
        <w:jc w:val="left"/>
      </w:pPr>
      <w:rPr>
        <w:rFonts w:ascii="Times New Roman" w:eastAsia="Times New Roman" w:hAnsi="Times New Roman" w:cs="Times New Roman" w:hint="default"/>
        <w:b w:val="0"/>
        <w:bCs w:val="0"/>
        <w:i w:val="0"/>
        <w:iCs w:val="0"/>
        <w:spacing w:val="-1"/>
        <w:w w:val="99"/>
        <w:sz w:val="20"/>
        <w:szCs w:val="20"/>
        <w:lang w:val="pt-PT" w:eastAsia="en-US" w:bidi="ar-SA"/>
      </w:rPr>
    </w:lvl>
    <w:lvl w:ilvl="2" w:tplc="E1AC28D0">
      <w:numFmt w:val="bullet"/>
      <w:lvlText w:val="•"/>
      <w:lvlJc w:val="left"/>
      <w:pPr>
        <w:ind w:left="4425" w:hanging="709"/>
      </w:pPr>
      <w:rPr>
        <w:rFonts w:hint="default"/>
        <w:lang w:val="pt-PT" w:eastAsia="en-US" w:bidi="ar-SA"/>
      </w:rPr>
    </w:lvl>
    <w:lvl w:ilvl="3" w:tplc="299C8986">
      <w:numFmt w:val="bullet"/>
      <w:lvlText w:val="•"/>
      <w:lvlJc w:val="left"/>
      <w:pPr>
        <w:ind w:left="5147" w:hanging="709"/>
      </w:pPr>
      <w:rPr>
        <w:rFonts w:hint="default"/>
        <w:lang w:val="pt-PT" w:eastAsia="en-US" w:bidi="ar-SA"/>
      </w:rPr>
    </w:lvl>
    <w:lvl w:ilvl="4" w:tplc="854A04FC">
      <w:numFmt w:val="bullet"/>
      <w:lvlText w:val="•"/>
      <w:lvlJc w:val="left"/>
      <w:pPr>
        <w:ind w:left="5870" w:hanging="709"/>
      </w:pPr>
      <w:rPr>
        <w:rFonts w:hint="default"/>
        <w:lang w:val="pt-PT" w:eastAsia="en-US" w:bidi="ar-SA"/>
      </w:rPr>
    </w:lvl>
    <w:lvl w:ilvl="5" w:tplc="AEDE23B4">
      <w:numFmt w:val="bullet"/>
      <w:lvlText w:val="•"/>
      <w:lvlJc w:val="left"/>
      <w:pPr>
        <w:ind w:left="6593" w:hanging="709"/>
      </w:pPr>
      <w:rPr>
        <w:rFonts w:hint="default"/>
        <w:lang w:val="pt-PT" w:eastAsia="en-US" w:bidi="ar-SA"/>
      </w:rPr>
    </w:lvl>
    <w:lvl w:ilvl="6" w:tplc="0690104A">
      <w:numFmt w:val="bullet"/>
      <w:lvlText w:val="•"/>
      <w:lvlJc w:val="left"/>
      <w:pPr>
        <w:ind w:left="7315" w:hanging="709"/>
      </w:pPr>
      <w:rPr>
        <w:rFonts w:hint="default"/>
        <w:lang w:val="pt-PT" w:eastAsia="en-US" w:bidi="ar-SA"/>
      </w:rPr>
    </w:lvl>
    <w:lvl w:ilvl="7" w:tplc="2F649684">
      <w:numFmt w:val="bullet"/>
      <w:lvlText w:val="•"/>
      <w:lvlJc w:val="left"/>
      <w:pPr>
        <w:ind w:left="8038" w:hanging="709"/>
      </w:pPr>
      <w:rPr>
        <w:rFonts w:hint="default"/>
        <w:lang w:val="pt-PT" w:eastAsia="en-US" w:bidi="ar-SA"/>
      </w:rPr>
    </w:lvl>
    <w:lvl w:ilvl="8" w:tplc="F39E90CC">
      <w:numFmt w:val="bullet"/>
      <w:lvlText w:val="•"/>
      <w:lvlJc w:val="left"/>
      <w:pPr>
        <w:ind w:left="8761" w:hanging="709"/>
      </w:pPr>
      <w:rPr>
        <w:rFonts w:hint="default"/>
        <w:lang w:val="pt-PT" w:eastAsia="en-US" w:bidi="ar-SA"/>
      </w:rPr>
    </w:lvl>
  </w:abstractNum>
  <w:abstractNum w:abstractNumId="24">
    <w:nsid w:val="4EF00A29"/>
    <w:multiLevelType w:val="hybridMultilevel"/>
    <w:tmpl w:val="11A405AE"/>
    <w:lvl w:ilvl="0" w:tplc="275A2D14">
      <w:start w:val="1"/>
      <w:numFmt w:val="upperRoman"/>
      <w:lvlText w:val="%1"/>
      <w:lvlJc w:val="left"/>
      <w:pPr>
        <w:ind w:left="3096" w:hanging="118"/>
        <w:jc w:val="left"/>
      </w:pPr>
      <w:rPr>
        <w:rFonts w:ascii="Times New Roman" w:eastAsia="Times New Roman" w:hAnsi="Times New Roman" w:cs="Times New Roman" w:hint="default"/>
        <w:b w:val="0"/>
        <w:bCs w:val="0"/>
        <w:i w:val="0"/>
        <w:iCs w:val="0"/>
        <w:spacing w:val="0"/>
        <w:w w:val="99"/>
        <w:sz w:val="20"/>
        <w:szCs w:val="20"/>
        <w:lang w:val="pt-PT" w:eastAsia="en-US" w:bidi="ar-SA"/>
      </w:rPr>
    </w:lvl>
    <w:lvl w:ilvl="1" w:tplc="D2E2B558">
      <w:numFmt w:val="bullet"/>
      <w:lvlText w:val="•"/>
      <w:lvlJc w:val="left"/>
      <w:pPr>
        <w:ind w:left="3810" w:hanging="118"/>
      </w:pPr>
      <w:rPr>
        <w:rFonts w:hint="default"/>
        <w:lang w:val="pt-PT" w:eastAsia="en-US" w:bidi="ar-SA"/>
      </w:rPr>
    </w:lvl>
    <w:lvl w:ilvl="2" w:tplc="6456A590">
      <w:numFmt w:val="bullet"/>
      <w:lvlText w:val="•"/>
      <w:lvlJc w:val="left"/>
      <w:pPr>
        <w:ind w:left="4521" w:hanging="118"/>
      </w:pPr>
      <w:rPr>
        <w:rFonts w:hint="default"/>
        <w:lang w:val="pt-PT" w:eastAsia="en-US" w:bidi="ar-SA"/>
      </w:rPr>
    </w:lvl>
    <w:lvl w:ilvl="3" w:tplc="05AAB50A">
      <w:numFmt w:val="bullet"/>
      <w:lvlText w:val="•"/>
      <w:lvlJc w:val="left"/>
      <w:pPr>
        <w:ind w:left="5231" w:hanging="118"/>
      </w:pPr>
      <w:rPr>
        <w:rFonts w:hint="default"/>
        <w:lang w:val="pt-PT" w:eastAsia="en-US" w:bidi="ar-SA"/>
      </w:rPr>
    </w:lvl>
    <w:lvl w:ilvl="4" w:tplc="D3225DE8">
      <w:numFmt w:val="bullet"/>
      <w:lvlText w:val="•"/>
      <w:lvlJc w:val="left"/>
      <w:pPr>
        <w:ind w:left="5942" w:hanging="118"/>
      </w:pPr>
      <w:rPr>
        <w:rFonts w:hint="default"/>
        <w:lang w:val="pt-PT" w:eastAsia="en-US" w:bidi="ar-SA"/>
      </w:rPr>
    </w:lvl>
    <w:lvl w:ilvl="5" w:tplc="E0A251BE">
      <w:numFmt w:val="bullet"/>
      <w:lvlText w:val="•"/>
      <w:lvlJc w:val="left"/>
      <w:pPr>
        <w:ind w:left="6653" w:hanging="118"/>
      </w:pPr>
      <w:rPr>
        <w:rFonts w:hint="default"/>
        <w:lang w:val="pt-PT" w:eastAsia="en-US" w:bidi="ar-SA"/>
      </w:rPr>
    </w:lvl>
    <w:lvl w:ilvl="6" w:tplc="71368E1A">
      <w:numFmt w:val="bullet"/>
      <w:lvlText w:val="•"/>
      <w:lvlJc w:val="left"/>
      <w:pPr>
        <w:ind w:left="7363" w:hanging="118"/>
      </w:pPr>
      <w:rPr>
        <w:rFonts w:hint="default"/>
        <w:lang w:val="pt-PT" w:eastAsia="en-US" w:bidi="ar-SA"/>
      </w:rPr>
    </w:lvl>
    <w:lvl w:ilvl="7" w:tplc="E2CAF60E">
      <w:numFmt w:val="bullet"/>
      <w:lvlText w:val="•"/>
      <w:lvlJc w:val="left"/>
      <w:pPr>
        <w:ind w:left="8074" w:hanging="118"/>
      </w:pPr>
      <w:rPr>
        <w:rFonts w:hint="default"/>
        <w:lang w:val="pt-PT" w:eastAsia="en-US" w:bidi="ar-SA"/>
      </w:rPr>
    </w:lvl>
    <w:lvl w:ilvl="8" w:tplc="0C767F9A">
      <w:numFmt w:val="bullet"/>
      <w:lvlText w:val="•"/>
      <w:lvlJc w:val="left"/>
      <w:pPr>
        <w:ind w:left="8785" w:hanging="118"/>
      </w:pPr>
      <w:rPr>
        <w:rFonts w:hint="default"/>
        <w:lang w:val="pt-PT" w:eastAsia="en-US" w:bidi="ar-SA"/>
      </w:rPr>
    </w:lvl>
  </w:abstractNum>
  <w:abstractNum w:abstractNumId="25">
    <w:nsid w:val="4F221A61"/>
    <w:multiLevelType w:val="multilevel"/>
    <w:tmpl w:val="610EC97C"/>
    <w:lvl w:ilvl="0">
      <w:start w:val="1"/>
      <w:numFmt w:val="decimal"/>
      <w:lvlText w:val="%1."/>
      <w:lvlJc w:val="left"/>
      <w:pPr>
        <w:ind w:left="930" w:hanging="221"/>
        <w:jc w:val="left"/>
      </w:pPr>
      <w:rPr>
        <w:rFonts w:ascii="Times New Roman" w:eastAsia="Times New Roman" w:hAnsi="Times New Roman" w:cs="Times New Roman" w:hint="default"/>
        <w:b/>
        <w:bCs/>
        <w:i w:val="0"/>
        <w:iCs w:val="0"/>
        <w:spacing w:val="0"/>
        <w:w w:val="100"/>
        <w:sz w:val="22"/>
        <w:szCs w:val="22"/>
        <w:lang w:val="pt-PT" w:eastAsia="en-US" w:bidi="ar-SA"/>
      </w:rPr>
    </w:lvl>
    <w:lvl w:ilvl="1">
      <w:start w:val="1"/>
      <w:numFmt w:val="decimal"/>
      <w:lvlText w:val="%1.%2."/>
      <w:lvlJc w:val="left"/>
      <w:pPr>
        <w:ind w:left="1094" w:hanging="384"/>
        <w:jc w:val="left"/>
      </w:pPr>
      <w:rPr>
        <w:rFonts w:hint="default"/>
        <w:spacing w:val="0"/>
        <w:w w:val="100"/>
        <w:lang w:val="pt-PT" w:eastAsia="en-US" w:bidi="ar-SA"/>
      </w:rPr>
    </w:lvl>
    <w:lvl w:ilvl="2">
      <w:start w:val="1"/>
      <w:numFmt w:val="lowerLetter"/>
      <w:lvlText w:val="%3)"/>
      <w:lvlJc w:val="left"/>
      <w:pPr>
        <w:ind w:left="2978" w:hanging="384"/>
        <w:jc w:val="left"/>
      </w:pPr>
      <w:rPr>
        <w:rFonts w:ascii="Times New Roman" w:eastAsia="Times New Roman" w:hAnsi="Times New Roman" w:cs="Times New Roman" w:hint="default"/>
        <w:b w:val="0"/>
        <w:bCs w:val="0"/>
        <w:i w:val="0"/>
        <w:iCs w:val="0"/>
        <w:spacing w:val="0"/>
        <w:w w:val="99"/>
        <w:sz w:val="20"/>
        <w:szCs w:val="20"/>
        <w:lang w:val="pt-PT" w:eastAsia="en-US" w:bidi="ar-SA"/>
      </w:rPr>
    </w:lvl>
    <w:lvl w:ilvl="3">
      <w:numFmt w:val="bullet"/>
      <w:lvlText w:val="•"/>
      <w:lvlJc w:val="left"/>
      <w:pPr>
        <w:ind w:left="3883" w:hanging="384"/>
      </w:pPr>
      <w:rPr>
        <w:rFonts w:hint="default"/>
        <w:lang w:val="pt-PT" w:eastAsia="en-US" w:bidi="ar-SA"/>
      </w:rPr>
    </w:lvl>
    <w:lvl w:ilvl="4">
      <w:numFmt w:val="bullet"/>
      <w:lvlText w:val="•"/>
      <w:lvlJc w:val="left"/>
      <w:pPr>
        <w:ind w:left="4786" w:hanging="384"/>
      </w:pPr>
      <w:rPr>
        <w:rFonts w:hint="default"/>
        <w:lang w:val="pt-PT" w:eastAsia="en-US" w:bidi="ar-SA"/>
      </w:rPr>
    </w:lvl>
    <w:lvl w:ilvl="5">
      <w:numFmt w:val="bullet"/>
      <w:lvlText w:val="•"/>
      <w:lvlJc w:val="left"/>
      <w:pPr>
        <w:ind w:left="5689" w:hanging="384"/>
      </w:pPr>
      <w:rPr>
        <w:rFonts w:hint="default"/>
        <w:lang w:val="pt-PT" w:eastAsia="en-US" w:bidi="ar-SA"/>
      </w:rPr>
    </w:lvl>
    <w:lvl w:ilvl="6">
      <w:numFmt w:val="bullet"/>
      <w:lvlText w:val="•"/>
      <w:lvlJc w:val="left"/>
      <w:pPr>
        <w:ind w:left="6593" w:hanging="384"/>
      </w:pPr>
      <w:rPr>
        <w:rFonts w:hint="default"/>
        <w:lang w:val="pt-PT" w:eastAsia="en-US" w:bidi="ar-SA"/>
      </w:rPr>
    </w:lvl>
    <w:lvl w:ilvl="7">
      <w:numFmt w:val="bullet"/>
      <w:lvlText w:val="•"/>
      <w:lvlJc w:val="left"/>
      <w:pPr>
        <w:ind w:left="7496" w:hanging="384"/>
      </w:pPr>
      <w:rPr>
        <w:rFonts w:hint="default"/>
        <w:lang w:val="pt-PT" w:eastAsia="en-US" w:bidi="ar-SA"/>
      </w:rPr>
    </w:lvl>
    <w:lvl w:ilvl="8">
      <w:numFmt w:val="bullet"/>
      <w:lvlText w:val="•"/>
      <w:lvlJc w:val="left"/>
      <w:pPr>
        <w:ind w:left="8399" w:hanging="384"/>
      </w:pPr>
      <w:rPr>
        <w:rFonts w:hint="default"/>
        <w:lang w:val="pt-PT" w:eastAsia="en-US" w:bidi="ar-SA"/>
      </w:rPr>
    </w:lvl>
  </w:abstractNum>
  <w:abstractNum w:abstractNumId="26">
    <w:nsid w:val="525D1093"/>
    <w:multiLevelType w:val="multilevel"/>
    <w:tmpl w:val="1BF265AA"/>
    <w:lvl w:ilvl="0">
      <w:start w:val="1"/>
      <w:numFmt w:val="decimal"/>
      <w:lvlText w:val="%1."/>
      <w:lvlJc w:val="left"/>
      <w:pPr>
        <w:ind w:left="891" w:hanging="181"/>
        <w:jc w:val="left"/>
      </w:pPr>
      <w:rPr>
        <w:rFonts w:ascii="Times New Roman" w:eastAsia="Times New Roman" w:hAnsi="Times New Roman" w:cs="Times New Roman" w:hint="default"/>
        <w:b/>
        <w:bCs/>
        <w:i w:val="0"/>
        <w:iCs w:val="0"/>
        <w:spacing w:val="0"/>
        <w:w w:val="96"/>
        <w:sz w:val="22"/>
        <w:szCs w:val="22"/>
        <w:lang w:val="pt-PT" w:eastAsia="en-US" w:bidi="ar-SA"/>
      </w:rPr>
    </w:lvl>
    <w:lvl w:ilvl="1">
      <w:start w:val="1"/>
      <w:numFmt w:val="decimal"/>
      <w:lvlText w:val="%1.%2"/>
      <w:lvlJc w:val="left"/>
      <w:pPr>
        <w:ind w:left="1070" w:hanging="360"/>
        <w:jc w:val="left"/>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1430" w:hanging="720"/>
        <w:jc w:val="left"/>
      </w:pPr>
      <w:rPr>
        <w:rFonts w:ascii="Times New Roman" w:eastAsia="Times New Roman" w:hAnsi="Times New Roman" w:cs="Times New Roman" w:hint="default"/>
        <w:b/>
        <w:bCs/>
        <w:i w:val="0"/>
        <w:iCs w:val="0"/>
        <w:spacing w:val="0"/>
        <w:w w:val="100"/>
        <w:sz w:val="24"/>
        <w:szCs w:val="24"/>
        <w:lang w:val="pt-PT" w:eastAsia="en-US" w:bidi="ar-SA"/>
      </w:rPr>
    </w:lvl>
    <w:lvl w:ilvl="3">
      <w:start w:val="1"/>
      <w:numFmt w:val="decimal"/>
      <w:lvlText w:val="%1.%2.%3.%4"/>
      <w:lvlJc w:val="left"/>
      <w:pPr>
        <w:ind w:left="1430" w:hanging="720"/>
        <w:jc w:val="left"/>
      </w:pPr>
      <w:rPr>
        <w:rFonts w:ascii="Times New Roman" w:eastAsia="Times New Roman" w:hAnsi="Times New Roman" w:cs="Times New Roman" w:hint="default"/>
        <w:b/>
        <w:bCs/>
        <w:i w:val="0"/>
        <w:iCs w:val="0"/>
        <w:spacing w:val="0"/>
        <w:w w:val="100"/>
        <w:sz w:val="24"/>
        <w:szCs w:val="24"/>
        <w:lang w:val="pt-PT" w:eastAsia="en-US" w:bidi="ar-SA"/>
      </w:rPr>
    </w:lvl>
    <w:lvl w:ilvl="4">
      <w:start w:val="1"/>
      <w:numFmt w:val="upperRoman"/>
      <w:lvlText w:val="%5."/>
      <w:lvlJc w:val="left"/>
      <w:pPr>
        <w:ind w:left="2978" w:hanging="479"/>
        <w:jc w:val="right"/>
      </w:pPr>
      <w:rPr>
        <w:rFonts w:ascii="Times New Roman" w:eastAsia="Times New Roman" w:hAnsi="Times New Roman" w:cs="Times New Roman" w:hint="default"/>
        <w:b w:val="0"/>
        <w:bCs w:val="0"/>
        <w:i w:val="0"/>
        <w:iCs w:val="0"/>
        <w:spacing w:val="0"/>
        <w:w w:val="99"/>
        <w:sz w:val="20"/>
        <w:szCs w:val="20"/>
        <w:lang w:val="pt-PT" w:eastAsia="en-US" w:bidi="ar-SA"/>
      </w:rPr>
    </w:lvl>
    <w:lvl w:ilvl="5">
      <w:numFmt w:val="bullet"/>
      <w:lvlText w:val="•"/>
      <w:lvlJc w:val="left"/>
      <w:pPr>
        <w:ind w:left="5044" w:hanging="479"/>
      </w:pPr>
      <w:rPr>
        <w:rFonts w:hint="default"/>
        <w:lang w:val="pt-PT" w:eastAsia="en-US" w:bidi="ar-SA"/>
      </w:rPr>
    </w:lvl>
    <w:lvl w:ilvl="6">
      <w:numFmt w:val="bullet"/>
      <w:lvlText w:val="•"/>
      <w:lvlJc w:val="left"/>
      <w:pPr>
        <w:ind w:left="6077" w:hanging="479"/>
      </w:pPr>
      <w:rPr>
        <w:rFonts w:hint="default"/>
        <w:lang w:val="pt-PT" w:eastAsia="en-US" w:bidi="ar-SA"/>
      </w:rPr>
    </w:lvl>
    <w:lvl w:ilvl="7">
      <w:numFmt w:val="bullet"/>
      <w:lvlText w:val="•"/>
      <w:lvlJc w:val="left"/>
      <w:pPr>
        <w:ind w:left="7109" w:hanging="479"/>
      </w:pPr>
      <w:rPr>
        <w:rFonts w:hint="default"/>
        <w:lang w:val="pt-PT" w:eastAsia="en-US" w:bidi="ar-SA"/>
      </w:rPr>
    </w:lvl>
    <w:lvl w:ilvl="8">
      <w:numFmt w:val="bullet"/>
      <w:lvlText w:val="•"/>
      <w:lvlJc w:val="left"/>
      <w:pPr>
        <w:ind w:left="8141" w:hanging="479"/>
      </w:pPr>
      <w:rPr>
        <w:rFonts w:hint="default"/>
        <w:lang w:val="pt-PT" w:eastAsia="en-US" w:bidi="ar-SA"/>
      </w:rPr>
    </w:lvl>
  </w:abstractNum>
  <w:abstractNum w:abstractNumId="27">
    <w:nsid w:val="53C91403"/>
    <w:multiLevelType w:val="hybridMultilevel"/>
    <w:tmpl w:val="D88ACDF2"/>
    <w:lvl w:ilvl="0" w:tplc="52B0B45A">
      <w:start w:val="1"/>
      <w:numFmt w:val="upperRoman"/>
      <w:lvlText w:val="%1"/>
      <w:lvlJc w:val="left"/>
      <w:pPr>
        <w:ind w:left="3096" w:hanging="118"/>
        <w:jc w:val="left"/>
      </w:pPr>
      <w:rPr>
        <w:rFonts w:ascii="Times New Roman" w:eastAsia="Times New Roman" w:hAnsi="Times New Roman" w:cs="Times New Roman" w:hint="default"/>
        <w:b w:val="0"/>
        <w:bCs w:val="0"/>
        <w:i w:val="0"/>
        <w:iCs w:val="0"/>
        <w:spacing w:val="0"/>
        <w:w w:val="99"/>
        <w:sz w:val="20"/>
        <w:szCs w:val="20"/>
        <w:lang w:val="pt-PT" w:eastAsia="en-US" w:bidi="ar-SA"/>
      </w:rPr>
    </w:lvl>
    <w:lvl w:ilvl="1" w:tplc="71206FB8">
      <w:start w:val="1"/>
      <w:numFmt w:val="lowerLetter"/>
      <w:lvlText w:val="%2)"/>
      <w:lvlJc w:val="left"/>
      <w:pPr>
        <w:ind w:left="2978" w:hanging="240"/>
        <w:jc w:val="left"/>
      </w:pPr>
      <w:rPr>
        <w:rFonts w:ascii="Times New Roman" w:eastAsia="Times New Roman" w:hAnsi="Times New Roman" w:cs="Times New Roman" w:hint="default"/>
        <w:b w:val="0"/>
        <w:bCs w:val="0"/>
        <w:i w:val="0"/>
        <w:iCs w:val="0"/>
        <w:spacing w:val="0"/>
        <w:w w:val="96"/>
        <w:sz w:val="20"/>
        <w:szCs w:val="20"/>
        <w:lang w:val="pt-PT" w:eastAsia="en-US" w:bidi="ar-SA"/>
      </w:rPr>
    </w:lvl>
    <w:lvl w:ilvl="2" w:tplc="79C60888">
      <w:numFmt w:val="bullet"/>
      <w:lvlText w:val="•"/>
      <w:lvlJc w:val="left"/>
      <w:pPr>
        <w:ind w:left="3889" w:hanging="240"/>
      </w:pPr>
      <w:rPr>
        <w:rFonts w:hint="default"/>
        <w:lang w:val="pt-PT" w:eastAsia="en-US" w:bidi="ar-SA"/>
      </w:rPr>
    </w:lvl>
    <w:lvl w:ilvl="3" w:tplc="BC88536A">
      <w:numFmt w:val="bullet"/>
      <w:lvlText w:val="•"/>
      <w:lvlJc w:val="left"/>
      <w:pPr>
        <w:ind w:left="4679" w:hanging="240"/>
      </w:pPr>
      <w:rPr>
        <w:rFonts w:hint="default"/>
        <w:lang w:val="pt-PT" w:eastAsia="en-US" w:bidi="ar-SA"/>
      </w:rPr>
    </w:lvl>
    <w:lvl w:ilvl="4" w:tplc="6D54C988">
      <w:numFmt w:val="bullet"/>
      <w:lvlText w:val="•"/>
      <w:lvlJc w:val="left"/>
      <w:pPr>
        <w:ind w:left="5468" w:hanging="240"/>
      </w:pPr>
      <w:rPr>
        <w:rFonts w:hint="default"/>
        <w:lang w:val="pt-PT" w:eastAsia="en-US" w:bidi="ar-SA"/>
      </w:rPr>
    </w:lvl>
    <w:lvl w:ilvl="5" w:tplc="DCFE81A0">
      <w:numFmt w:val="bullet"/>
      <w:lvlText w:val="•"/>
      <w:lvlJc w:val="left"/>
      <w:pPr>
        <w:ind w:left="6258" w:hanging="240"/>
      </w:pPr>
      <w:rPr>
        <w:rFonts w:hint="default"/>
        <w:lang w:val="pt-PT" w:eastAsia="en-US" w:bidi="ar-SA"/>
      </w:rPr>
    </w:lvl>
    <w:lvl w:ilvl="6" w:tplc="6A68B8EA">
      <w:numFmt w:val="bullet"/>
      <w:lvlText w:val="•"/>
      <w:lvlJc w:val="left"/>
      <w:pPr>
        <w:ind w:left="7048" w:hanging="240"/>
      </w:pPr>
      <w:rPr>
        <w:rFonts w:hint="default"/>
        <w:lang w:val="pt-PT" w:eastAsia="en-US" w:bidi="ar-SA"/>
      </w:rPr>
    </w:lvl>
    <w:lvl w:ilvl="7" w:tplc="595484C0">
      <w:numFmt w:val="bullet"/>
      <w:lvlText w:val="•"/>
      <w:lvlJc w:val="left"/>
      <w:pPr>
        <w:ind w:left="7837" w:hanging="240"/>
      </w:pPr>
      <w:rPr>
        <w:rFonts w:hint="default"/>
        <w:lang w:val="pt-PT" w:eastAsia="en-US" w:bidi="ar-SA"/>
      </w:rPr>
    </w:lvl>
    <w:lvl w:ilvl="8" w:tplc="64208CC6">
      <w:numFmt w:val="bullet"/>
      <w:lvlText w:val="•"/>
      <w:lvlJc w:val="left"/>
      <w:pPr>
        <w:ind w:left="8627" w:hanging="240"/>
      </w:pPr>
      <w:rPr>
        <w:rFonts w:hint="default"/>
        <w:lang w:val="pt-PT" w:eastAsia="en-US" w:bidi="ar-SA"/>
      </w:rPr>
    </w:lvl>
  </w:abstractNum>
  <w:abstractNum w:abstractNumId="28">
    <w:nsid w:val="5BD26000"/>
    <w:multiLevelType w:val="hybridMultilevel"/>
    <w:tmpl w:val="30F0D33A"/>
    <w:lvl w:ilvl="0" w:tplc="188CFA7A">
      <w:start w:val="1"/>
      <w:numFmt w:val="decimal"/>
      <w:lvlText w:val="%1."/>
      <w:lvlJc w:val="left"/>
      <w:pPr>
        <w:ind w:left="2978" w:hanging="368"/>
        <w:jc w:val="left"/>
      </w:pPr>
      <w:rPr>
        <w:rFonts w:ascii="Arial MT" w:eastAsia="Arial MT" w:hAnsi="Arial MT" w:cs="Arial MT" w:hint="default"/>
        <w:b w:val="0"/>
        <w:bCs w:val="0"/>
        <w:i w:val="0"/>
        <w:iCs w:val="0"/>
        <w:spacing w:val="-3"/>
        <w:w w:val="99"/>
        <w:sz w:val="20"/>
        <w:szCs w:val="20"/>
        <w:lang w:val="pt-PT" w:eastAsia="en-US" w:bidi="ar-SA"/>
      </w:rPr>
    </w:lvl>
    <w:lvl w:ilvl="1" w:tplc="9E44142A">
      <w:numFmt w:val="bullet"/>
      <w:lvlText w:val="•"/>
      <w:lvlJc w:val="left"/>
      <w:pPr>
        <w:ind w:left="3702" w:hanging="368"/>
      </w:pPr>
      <w:rPr>
        <w:rFonts w:hint="default"/>
        <w:lang w:val="pt-PT" w:eastAsia="en-US" w:bidi="ar-SA"/>
      </w:rPr>
    </w:lvl>
    <w:lvl w:ilvl="2" w:tplc="F0B63DB2">
      <w:numFmt w:val="bullet"/>
      <w:lvlText w:val="•"/>
      <w:lvlJc w:val="left"/>
      <w:pPr>
        <w:ind w:left="4425" w:hanging="368"/>
      </w:pPr>
      <w:rPr>
        <w:rFonts w:hint="default"/>
        <w:lang w:val="pt-PT" w:eastAsia="en-US" w:bidi="ar-SA"/>
      </w:rPr>
    </w:lvl>
    <w:lvl w:ilvl="3" w:tplc="52224074">
      <w:numFmt w:val="bullet"/>
      <w:lvlText w:val="•"/>
      <w:lvlJc w:val="left"/>
      <w:pPr>
        <w:ind w:left="5147" w:hanging="368"/>
      </w:pPr>
      <w:rPr>
        <w:rFonts w:hint="default"/>
        <w:lang w:val="pt-PT" w:eastAsia="en-US" w:bidi="ar-SA"/>
      </w:rPr>
    </w:lvl>
    <w:lvl w:ilvl="4" w:tplc="F8B4A098">
      <w:numFmt w:val="bullet"/>
      <w:lvlText w:val="•"/>
      <w:lvlJc w:val="left"/>
      <w:pPr>
        <w:ind w:left="5870" w:hanging="368"/>
      </w:pPr>
      <w:rPr>
        <w:rFonts w:hint="default"/>
        <w:lang w:val="pt-PT" w:eastAsia="en-US" w:bidi="ar-SA"/>
      </w:rPr>
    </w:lvl>
    <w:lvl w:ilvl="5" w:tplc="97E6D5B4">
      <w:numFmt w:val="bullet"/>
      <w:lvlText w:val="•"/>
      <w:lvlJc w:val="left"/>
      <w:pPr>
        <w:ind w:left="6593" w:hanging="368"/>
      </w:pPr>
      <w:rPr>
        <w:rFonts w:hint="default"/>
        <w:lang w:val="pt-PT" w:eastAsia="en-US" w:bidi="ar-SA"/>
      </w:rPr>
    </w:lvl>
    <w:lvl w:ilvl="6" w:tplc="DE342B3C">
      <w:numFmt w:val="bullet"/>
      <w:lvlText w:val="•"/>
      <w:lvlJc w:val="left"/>
      <w:pPr>
        <w:ind w:left="7315" w:hanging="368"/>
      </w:pPr>
      <w:rPr>
        <w:rFonts w:hint="default"/>
        <w:lang w:val="pt-PT" w:eastAsia="en-US" w:bidi="ar-SA"/>
      </w:rPr>
    </w:lvl>
    <w:lvl w:ilvl="7" w:tplc="18EEB490">
      <w:numFmt w:val="bullet"/>
      <w:lvlText w:val="•"/>
      <w:lvlJc w:val="left"/>
      <w:pPr>
        <w:ind w:left="8038" w:hanging="368"/>
      </w:pPr>
      <w:rPr>
        <w:rFonts w:hint="default"/>
        <w:lang w:val="pt-PT" w:eastAsia="en-US" w:bidi="ar-SA"/>
      </w:rPr>
    </w:lvl>
    <w:lvl w:ilvl="8" w:tplc="744AE01E">
      <w:numFmt w:val="bullet"/>
      <w:lvlText w:val="•"/>
      <w:lvlJc w:val="left"/>
      <w:pPr>
        <w:ind w:left="8761" w:hanging="368"/>
      </w:pPr>
      <w:rPr>
        <w:rFonts w:hint="default"/>
        <w:lang w:val="pt-PT" w:eastAsia="en-US" w:bidi="ar-SA"/>
      </w:rPr>
    </w:lvl>
  </w:abstractNum>
  <w:abstractNum w:abstractNumId="29">
    <w:nsid w:val="5E680B26"/>
    <w:multiLevelType w:val="multilevel"/>
    <w:tmpl w:val="B62646AE"/>
    <w:lvl w:ilvl="0">
      <w:start w:val="1"/>
      <w:numFmt w:val="decimal"/>
      <w:lvlText w:val="%1."/>
      <w:lvlJc w:val="left"/>
      <w:pPr>
        <w:ind w:left="930" w:hanging="360"/>
        <w:jc w:val="right"/>
      </w:pPr>
      <w:rPr>
        <w:rFonts w:hint="default"/>
        <w:spacing w:val="0"/>
        <w:w w:val="100"/>
        <w:lang w:val="pt-PT" w:eastAsia="en-US" w:bidi="ar-SA"/>
      </w:rPr>
    </w:lvl>
    <w:lvl w:ilvl="1">
      <w:start w:val="1"/>
      <w:numFmt w:val="decimal"/>
      <w:lvlText w:val="%1.%2"/>
      <w:lvlJc w:val="left"/>
      <w:pPr>
        <w:ind w:left="1070" w:hanging="358"/>
        <w:jc w:val="right"/>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lowerRoman"/>
      <w:lvlText w:val="%3."/>
      <w:lvlJc w:val="left"/>
      <w:pPr>
        <w:ind w:left="710" w:hanging="850"/>
        <w:jc w:val="left"/>
      </w:pPr>
      <w:rPr>
        <w:rFonts w:ascii="Times New Roman" w:eastAsia="Times New Roman" w:hAnsi="Times New Roman" w:cs="Times New Roman" w:hint="default"/>
        <w:b w:val="0"/>
        <w:bCs w:val="0"/>
        <w:i w:val="0"/>
        <w:iCs w:val="0"/>
        <w:spacing w:val="-10"/>
        <w:w w:val="100"/>
        <w:sz w:val="24"/>
        <w:szCs w:val="24"/>
        <w:lang w:val="pt-PT" w:eastAsia="en-US" w:bidi="ar-SA"/>
      </w:rPr>
    </w:lvl>
    <w:lvl w:ilvl="3">
      <w:numFmt w:val="bullet"/>
      <w:lvlText w:val="•"/>
      <w:lvlJc w:val="left"/>
      <w:pPr>
        <w:ind w:left="2203" w:hanging="850"/>
      </w:pPr>
      <w:rPr>
        <w:rFonts w:hint="default"/>
        <w:lang w:val="pt-PT" w:eastAsia="en-US" w:bidi="ar-SA"/>
      </w:rPr>
    </w:lvl>
    <w:lvl w:ilvl="4">
      <w:numFmt w:val="bullet"/>
      <w:lvlText w:val="•"/>
      <w:lvlJc w:val="left"/>
      <w:pPr>
        <w:ind w:left="3346" w:hanging="850"/>
      </w:pPr>
      <w:rPr>
        <w:rFonts w:hint="default"/>
        <w:lang w:val="pt-PT" w:eastAsia="en-US" w:bidi="ar-SA"/>
      </w:rPr>
    </w:lvl>
    <w:lvl w:ilvl="5">
      <w:numFmt w:val="bullet"/>
      <w:lvlText w:val="•"/>
      <w:lvlJc w:val="left"/>
      <w:pPr>
        <w:ind w:left="4489" w:hanging="850"/>
      </w:pPr>
      <w:rPr>
        <w:rFonts w:hint="default"/>
        <w:lang w:val="pt-PT" w:eastAsia="en-US" w:bidi="ar-SA"/>
      </w:rPr>
    </w:lvl>
    <w:lvl w:ilvl="6">
      <w:numFmt w:val="bullet"/>
      <w:lvlText w:val="•"/>
      <w:lvlJc w:val="left"/>
      <w:pPr>
        <w:ind w:left="5633" w:hanging="850"/>
      </w:pPr>
      <w:rPr>
        <w:rFonts w:hint="default"/>
        <w:lang w:val="pt-PT" w:eastAsia="en-US" w:bidi="ar-SA"/>
      </w:rPr>
    </w:lvl>
    <w:lvl w:ilvl="7">
      <w:numFmt w:val="bullet"/>
      <w:lvlText w:val="•"/>
      <w:lvlJc w:val="left"/>
      <w:pPr>
        <w:ind w:left="6776" w:hanging="850"/>
      </w:pPr>
      <w:rPr>
        <w:rFonts w:hint="default"/>
        <w:lang w:val="pt-PT" w:eastAsia="en-US" w:bidi="ar-SA"/>
      </w:rPr>
    </w:lvl>
    <w:lvl w:ilvl="8">
      <w:numFmt w:val="bullet"/>
      <w:lvlText w:val="•"/>
      <w:lvlJc w:val="left"/>
      <w:pPr>
        <w:ind w:left="7919" w:hanging="850"/>
      </w:pPr>
      <w:rPr>
        <w:rFonts w:hint="default"/>
        <w:lang w:val="pt-PT" w:eastAsia="en-US" w:bidi="ar-SA"/>
      </w:rPr>
    </w:lvl>
  </w:abstractNum>
  <w:abstractNum w:abstractNumId="30">
    <w:nsid w:val="5EFE6E46"/>
    <w:multiLevelType w:val="hybridMultilevel"/>
    <w:tmpl w:val="9D88E330"/>
    <w:lvl w:ilvl="0" w:tplc="542ECC90">
      <w:numFmt w:val="bullet"/>
      <w:lvlText w:val="-"/>
      <w:lvlJc w:val="left"/>
      <w:pPr>
        <w:ind w:left="3698" w:hanging="360"/>
      </w:pPr>
      <w:rPr>
        <w:rFonts w:ascii="Times New Roman" w:eastAsia="Times New Roman" w:hAnsi="Times New Roman" w:cs="Times New Roman" w:hint="default"/>
        <w:b w:val="0"/>
        <w:bCs w:val="0"/>
        <w:i/>
        <w:iCs/>
        <w:spacing w:val="0"/>
        <w:w w:val="99"/>
        <w:sz w:val="20"/>
        <w:szCs w:val="20"/>
        <w:lang w:val="pt-PT" w:eastAsia="en-US" w:bidi="ar-SA"/>
      </w:rPr>
    </w:lvl>
    <w:lvl w:ilvl="1" w:tplc="404E593A">
      <w:numFmt w:val="bullet"/>
      <w:lvlText w:val="•"/>
      <w:lvlJc w:val="left"/>
      <w:pPr>
        <w:ind w:left="4350" w:hanging="360"/>
      </w:pPr>
      <w:rPr>
        <w:rFonts w:hint="default"/>
        <w:lang w:val="pt-PT" w:eastAsia="en-US" w:bidi="ar-SA"/>
      </w:rPr>
    </w:lvl>
    <w:lvl w:ilvl="2" w:tplc="9F60A3C0">
      <w:numFmt w:val="bullet"/>
      <w:lvlText w:val="•"/>
      <w:lvlJc w:val="left"/>
      <w:pPr>
        <w:ind w:left="5001" w:hanging="360"/>
      </w:pPr>
      <w:rPr>
        <w:rFonts w:hint="default"/>
        <w:lang w:val="pt-PT" w:eastAsia="en-US" w:bidi="ar-SA"/>
      </w:rPr>
    </w:lvl>
    <w:lvl w:ilvl="3" w:tplc="8DBCDC8E">
      <w:numFmt w:val="bullet"/>
      <w:lvlText w:val="•"/>
      <w:lvlJc w:val="left"/>
      <w:pPr>
        <w:ind w:left="5651" w:hanging="360"/>
      </w:pPr>
      <w:rPr>
        <w:rFonts w:hint="default"/>
        <w:lang w:val="pt-PT" w:eastAsia="en-US" w:bidi="ar-SA"/>
      </w:rPr>
    </w:lvl>
    <w:lvl w:ilvl="4" w:tplc="CB005E6A">
      <w:numFmt w:val="bullet"/>
      <w:lvlText w:val="•"/>
      <w:lvlJc w:val="left"/>
      <w:pPr>
        <w:ind w:left="6302" w:hanging="360"/>
      </w:pPr>
      <w:rPr>
        <w:rFonts w:hint="default"/>
        <w:lang w:val="pt-PT" w:eastAsia="en-US" w:bidi="ar-SA"/>
      </w:rPr>
    </w:lvl>
    <w:lvl w:ilvl="5" w:tplc="6E423FF4">
      <w:numFmt w:val="bullet"/>
      <w:lvlText w:val="•"/>
      <w:lvlJc w:val="left"/>
      <w:pPr>
        <w:ind w:left="6953" w:hanging="360"/>
      </w:pPr>
      <w:rPr>
        <w:rFonts w:hint="default"/>
        <w:lang w:val="pt-PT" w:eastAsia="en-US" w:bidi="ar-SA"/>
      </w:rPr>
    </w:lvl>
    <w:lvl w:ilvl="6" w:tplc="E84A0C64">
      <w:numFmt w:val="bullet"/>
      <w:lvlText w:val="•"/>
      <w:lvlJc w:val="left"/>
      <w:pPr>
        <w:ind w:left="7603" w:hanging="360"/>
      </w:pPr>
      <w:rPr>
        <w:rFonts w:hint="default"/>
        <w:lang w:val="pt-PT" w:eastAsia="en-US" w:bidi="ar-SA"/>
      </w:rPr>
    </w:lvl>
    <w:lvl w:ilvl="7" w:tplc="B37E9EC0">
      <w:numFmt w:val="bullet"/>
      <w:lvlText w:val="•"/>
      <w:lvlJc w:val="left"/>
      <w:pPr>
        <w:ind w:left="8254" w:hanging="360"/>
      </w:pPr>
      <w:rPr>
        <w:rFonts w:hint="default"/>
        <w:lang w:val="pt-PT" w:eastAsia="en-US" w:bidi="ar-SA"/>
      </w:rPr>
    </w:lvl>
    <w:lvl w:ilvl="8" w:tplc="B758188E">
      <w:numFmt w:val="bullet"/>
      <w:lvlText w:val="•"/>
      <w:lvlJc w:val="left"/>
      <w:pPr>
        <w:ind w:left="8905" w:hanging="360"/>
      </w:pPr>
      <w:rPr>
        <w:rFonts w:hint="default"/>
        <w:lang w:val="pt-PT" w:eastAsia="en-US" w:bidi="ar-SA"/>
      </w:rPr>
    </w:lvl>
  </w:abstractNum>
  <w:abstractNum w:abstractNumId="31">
    <w:nsid w:val="637669F0"/>
    <w:multiLevelType w:val="hybridMultilevel"/>
    <w:tmpl w:val="CCE8849A"/>
    <w:lvl w:ilvl="0" w:tplc="79BA6EA8">
      <w:start w:val="1"/>
      <w:numFmt w:val="decimal"/>
      <w:lvlText w:val="%1."/>
      <w:lvlJc w:val="left"/>
      <w:pPr>
        <w:ind w:left="888" w:hanging="179"/>
        <w:jc w:val="right"/>
      </w:pPr>
      <w:rPr>
        <w:rFonts w:ascii="Times New Roman" w:eastAsia="Times New Roman" w:hAnsi="Times New Roman" w:cs="Times New Roman" w:hint="default"/>
        <w:b/>
        <w:bCs/>
        <w:i w:val="0"/>
        <w:iCs w:val="0"/>
        <w:spacing w:val="-3"/>
        <w:w w:val="96"/>
        <w:sz w:val="22"/>
        <w:szCs w:val="22"/>
        <w:lang w:val="pt-PT" w:eastAsia="en-US" w:bidi="ar-SA"/>
      </w:rPr>
    </w:lvl>
    <w:lvl w:ilvl="1" w:tplc="A4BAE324">
      <w:numFmt w:val="bullet"/>
      <w:lvlText w:val="•"/>
      <w:lvlJc w:val="left"/>
      <w:pPr>
        <w:ind w:left="1812" w:hanging="179"/>
      </w:pPr>
      <w:rPr>
        <w:rFonts w:hint="default"/>
        <w:lang w:val="pt-PT" w:eastAsia="en-US" w:bidi="ar-SA"/>
      </w:rPr>
    </w:lvl>
    <w:lvl w:ilvl="2" w:tplc="9F4807B2">
      <w:numFmt w:val="bullet"/>
      <w:lvlText w:val="•"/>
      <w:lvlJc w:val="left"/>
      <w:pPr>
        <w:ind w:left="2745" w:hanging="179"/>
      </w:pPr>
      <w:rPr>
        <w:rFonts w:hint="default"/>
        <w:lang w:val="pt-PT" w:eastAsia="en-US" w:bidi="ar-SA"/>
      </w:rPr>
    </w:lvl>
    <w:lvl w:ilvl="3" w:tplc="B0AC30C4">
      <w:numFmt w:val="bullet"/>
      <w:lvlText w:val="•"/>
      <w:lvlJc w:val="left"/>
      <w:pPr>
        <w:ind w:left="3677" w:hanging="179"/>
      </w:pPr>
      <w:rPr>
        <w:rFonts w:hint="default"/>
        <w:lang w:val="pt-PT" w:eastAsia="en-US" w:bidi="ar-SA"/>
      </w:rPr>
    </w:lvl>
    <w:lvl w:ilvl="4" w:tplc="41280B94">
      <w:numFmt w:val="bullet"/>
      <w:lvlText w:val="•"/>
      <w:lvlJc w:val="left"/>
      <w:pPr>
        <w:ind w:left="4610" w:hanging="179"/>
      </w:pPr>
      <w:rPr>
        <w:rFonts w:hint="default"/>
        <w:lang w:val="pt-PT" w:eastAsia="en-US" w:bidi="ar-SA"/>
      </w:rPr>
    </w:lvl>
    <w:lvl w:ilvl="5" w:tplc="7C80D68C">
      <w:numFmt w:val="bullet"/>
      <w:lvlText w:val="•"/>
      <w:lvlJc w:val="left"/>
      <w:pPr>
        <w:ind w:left="5543" w:hanging="179"/>
      </w:pPr>
      <w:rPr>
        <w:rFonts w:hint="default"/>
        <w:lang w:val="pt-PT" w:eastAsia="en-US" w:bidi="ar-SA"/>
      </w:rPr>
    </w:lvl>
    <w:lvl w:ilvl="6" w:tplc="382202D0">
      <w:numFmt w:val="bullet"/>
      <w:lvlText w:val="•"/>
      <w:lvlJc w:val="left"/>
      <w:pPr>
        <w:ind w:left="6475" w:hanging="179"/>
      </w:pPr>
      <w:rPr>
        <w:rFonts w:hint="default"/>
        <w:lang w:val="pt-PT" w:eastAsia="en-US" w:bidi="ar-SA"/>
      </w:rPr>
    </w:lvl>
    <w:lvl w:ilvl="7" w:tplc="2DEC3870">
      <w:numFmt w:val="bullet"/>
      <w:lvlText w:val="•"/>
      <w:lvlJc w:val="left"/>
      <w:pPr>
        <w:ind w:left="7408" w:hanging="179"/>
      </w:pPr>
      <w:rPr>
        <w:rFonts w:hint="default"/>
        <w:lang w:val="pt-PT" w:eastAsia="en-US" w:bidi="ar-SA"/>
      </w:rPr>
    </w:lvl>
    <w:lvl w:ilvl="8" w:tplc="74682C18">
      <w:numFmt w:val="bullet"/>
      <w:lvlText w:val="•"/>
      <w:lvlJc w:val="left"/>
      <w:pPr>
        <w:ind w:left="8341" w:hanging="179"/>
      </w:pPr>
      <w:rPr>
        <w:rFonts w:hint="default"/>
        <w:lang w:val="pt-PT" w:eastAsia="en-US" w:bidi="ar-SA"/>
      </w:rPr>
    </w:lvl>
  </w:abstractNum>
  <w:abstractNum w:abstractNumId="32">
    <w:nsid w:val="63FA3CF1"/>
    <w:multiLevelType w:val="hybridMultilevel"/>
    <w:tmpl w:val="317CE030"/>
    <w:lvl w:ilvl="0" w:tplc="1EA4E942">
      <w:start w:val="1"/>
      <w:numFmt w:val="decimal"/>
      <w:lvlText w:val="%1."/>
      <w:lvlJc w:val="left"/>
      <w:pPr>
        <w:ind w:left="1780" w:hanging="360"/>
        <w:jc w:val="left"/>
      </w:pPr>
      <w:rPr>
        <w:rFonts w:hint="default"/>
        <w:spacing w:val="0"/>
        <w:w w:val="100"/>
        <w:lang w:val="pt-PT" w:eastAsia="en-US" w:bidi="ar-SA"/>
      </w:rPr>
    </w:lvl>
    <w:lvl w:ilvl="1" w:tplc="247298D2">
      <w:numFmt w:val="bullet"/>
      <w:lvlText w:val="•"/>
      <w:lvlJc w:val="left"/>
      <w:pPr>
        <w:ind w:left="2622" w:hanging="360"/>
      </w:pPr>
      <w:rPr>
        <w:rFonts w:hint="default"/>
        <w:lang w:val="pt-PT" w:eastAsia="en-US" w:bidi="ar-SA"/>
      </w:rPr>
    </w:lvl>
    <w:lvl w:ilvl="2" w:tplc="3F621074">
      <w:numFmt w:val="bullet"/>
      <w:lvlText w:val="•"/>
      <w:lvlJc w:val="left"/>
      <w:pPr>
        <w:ind w:left="3465" w:hanging="360"/>
      </w:pPr>
      <w:rPr>
        <w:rFonts w:hint="default"/>
        <w:lang w:val="pt-PT" w:eastAsia="en-US" w:bidi="ar-SA"/>
      </w:rPr>
    </w:lvl>
    <w:lvl w:ilvl="3" w:tplc="801C247E">
      <w:numFmt w:val="bullet"/>
      <w:lvlText w:val="•"/>
      <w:lvlJc w:val="left"/>
      <w:pPr>
        <w:ind w:left="4307" w:hanging="360"/>
      </w:pPr>
      <w:rPr>
        <w:rFonts w:hint="default"/>
        <w:lang w:val="pt-PT" w:eastAsia="en-US" w:bidi="ar-SA"/>
      </w:rPr>
    </w:lvl>
    <w:lvl w:ilvl="4" w:tplc="3C90AAC8">
      <w:numFmt w:val="bullet"/>
      <w:lvlText w:val="•"/>
      <w:lvlJc w:val="left"/>
      <w:pPr>
        <w:ind w:left="5150" w:hanging="360"/>
      </w:pPr>
      <w:rPr>
        <w:rFonts w:hint="default"/>
        <w:lang w:val="pt-PT" w:eastAsia="en-US" w:bidi="ar-SA"/>
      </w:rPr>
    </w:lvl>
    <w:lvl w:ilvl="5" w:tplc="419690B2">
      <w:numFmt w:val="bullet"/>
      <w:lvlText w:val="•"/>
      <w:lvlJc w:val="left"/>
      <w:pPr>
        <w:ind w:left="5993" w:hanging="360"/>
      </w:pPr>
      <w:rPr>
        <w:rFonts w:hint="default"/>
        <w:lang w:val="pt-PT" w:eastAsia="en-US" w:bidi="ar-SA"/>
      </w:rPr>
    </w:lvl>
    <w:lvl w:ilvl="6" w:tplc="98DA789E">
      <w:numFmt w:val="bullet"/>
      <w:lvlText w:val="•"/>
      <w:lvlJc w:val="left"/>
      <w:pPr>
        <w:ind w:left="6835" w:hanging="360"/>
      </w:pPr>
      <w:rPr>
        <w:rFonts w:hint="default"/>
        <w:lang w:val="pt-PT" w:eastAsia="en-US" w:bidi="ar-SA"/>
      </w:rPr>
    </w:lvl>
    <w:lvl w:ilvl="7" w:tplc="C930CC26">
      <w:numFmt w:val="bullet"/>
      <w:lvlText w:val="•"/>
      <w:lvlJc w:val="left"/>
      <w:pPr>
        <w:ind w:left="7678" w:hanging="360"/>
      </w:pPr>
      <w:rPr>
        <w:rFonts w:hint="default"/>
        <w:lang w:val="pt-PT" w:eastAsia="en-US" w:bidi="ar-SA"/>
      </w:rPr>
    </w:lvl>
    <w:lvl w:ilvl="8" w:tplc="53A8DD9A">
      <w:numFmt w:val="bullet"/>
      <w:lvlText w:val="•"/>
      <w:lvlJc w:val="left"/>
      <w:pPr>
        <w:ind w:left="8521" w:hanging="360"/>
      </w:pPr>
      <w:rPr>
        <w:rFonts w:hint="default"/>
        <w:lang w:val="pt-PT" w:eastAsia="en-US" w:bidi="ar-SA"/>
      </w:rPr>
    </w:lvl>
  </w:abstractNum>
  <w:abstractNum w:abstractNumId="33">
    <w:nsid w:val="64375D14"/>
    <w:multiLevelType w:val="hybridMultilevel"/>
    <w:tmpl w:val="1BB434B6"/>
    <w:lvl w:ilvl="0" w:tplc="7F4C09E6">
      <w:start w:val="1"/>
      <w:numFmt w:val="decimal"/>
      <w:lvlText w:val="%1."/>
      <w:lvlJc w:val="left"/>
      <w:pPr>
        <w:ind w:left="942" w:hanging="233"/>
        <w:jc w:val="right"/>
      </w:pPr>
      <w:rPr>
        <w:rFonts w:ascii="Times New Roman" w:eastAsia="Times New Roman" w:hAnsi="Times New Roman" w:cs="Times New Roman" w:hint="default"/>
        <w:b/>
        <w:bCs/>
        <w:i w:val="0"/>
        <w:iCs w:val="0"/>
        <w:spacing w:val="-3"/>
        <w:w w:val="88"/>
        <w:sz w:val="24"/>
        <w:szCs w:val="24"/>
        <w:lang w:val="pt-PT" w:eastAsia="en-US" w:bidi="ar-SA"/>
      </w:rPr>
    </w:lvl>
    <w:lvl w:ilvl="1" w:tplc="3EC433A0">
      <w:start w:val="1"/>
      <w:numFmt w:val="upperRoman"/>
      <w:lvlText w:val="%2"/>
      <w:lvlJc w:val="left"/>
      <w:pPr>
        <w:ind w:left="3096" w:hanging="118"/>
        <w:jc w:val="left"/>
      </w:pPr>
      <w:rPr>
        <w:rFonts w:ascii="Times New Roman" w:eastAsia="Times New Roman" w:hAnsi="Times New Roman" w:cs="Times New Roman" w:hint="default"/>
        <w:b w:val="0"/>
        <w:bCs w:val="0"/>
        <w:i w:val="0"/>
        <w:iCs w:val="0"/>
        <w:spacing w:val="0"/>
        <w:w w:val="99"/>
        <w:sz w:val="20"/>
        <w:szCs w:val="20"/>
        <w:lang w:val="pt-PT" w:eastAsia="en-US" w:bidi="ar-SA"/>
      </w:rPr>
    </w:lvl>
    <w:lvl w:ilvl="2" w:tplc="CDCEE0E6">
      <w:numFmt w:val="bullet"/>
      <w:lvlText w:val="•"/>
      <w:lvlJc w:val="left"/>
      <w:pPr>
        <w:ind w:left="3889" w:hanging="118"/>
      </w:pPr>
      <w:rPr>
        <w:rFonts w:hint="default"/>
        <w:lang w:val="pt-PT" w:eastAsia="en-US" w:bidi="ar-SA"/>
      </w:rPr>
    </w:lvl>
    <w:lvl w:ilvl="3" w:tplc="6D2CA9D0">
      <w:numFmt w:val="bullet"/>
      <w:lvlText w:val="•"/>
      <w:lvlJc w:val="left"/>
      <w:pPr>
        <w:ind w:left="4679" w:hanging="118"/>
      </w:pPr>
      <w:rPr>
        <w:rFonts w:hint="default"/>
        <w:lang w:val="pt-PT" w:eastAsia="en-US" w:bidi="ar-SA"/>
      </w:rPr>
    </w:lvl>
    <w:lvl w:ilvl="4" w:tplc="37483CBA">
      <w:numFmt w:val="bullet"/>
      <w:lvlText w:val="•"/>
      <w:lvlJc w:val="left"/>
      <w:pPr>
        <w:ind w:left="5468" w:hanging="118"/>
      </w:pPr>
      <w:rPr>
        <w:rFonts w:hint="default"/>
        <w:lang w:val="pt-PT" w:eastAsia="en-US" w:bidi="ar-SA"/>
      </w:rPr>
    </w:lvl>
    <w:lvl w:ilvl="5" w:tplc="31A8413A">
      <w:numFmt w:val="bullet"/>
      <w:lvlText w:val="•"/>
      <w:lvlJc w:val="left"/>
      <w:pPr>
        <w:ind w:left="6258" w:hanging="118"/>
      </w:pPr>
      <w:rPr>
        <w:rFonts w:hint="default"/>
        <w:lang w:val="pt-PT" w:eastAsia="en-US" w:bidi="ar-SA"/>
      </w:rPr>
    </w:lvl>
    <w:lvl w:ilvl="6" w:tplc="A008FCB6">
      <w:numFmt w:val="bullet"/>
      <w:lvlText w:val="•"/>
      <w:lvlJc w:val="left"/>
      <w:pPr>
        <w:ind w:left="7048" w:hanging="118"/>
      </w:pPr>
      <w:rPr>
        <w:rFonts w:hint="default"/>
        <w:lang w:val="pt-PT" w:eastAsia="en-US" w:bidi="ar-SA"/>
      </w:rPr>
    </w:lvl>
    <w:lvl w:ilvl="7" w:tplc="8D5EEEE0">
      <w:numFmt w:val="bullet"/>
      <w:lvlText w:val="•"/>
      <w:lvlJc w:val="left"/>
      <w:pPr>
        <w:ind w:left="7837" w:hanging="118"/>
      </w:pPr>
      <w:rPr>
        <w:rFonts w:hint="default"/>
        <w:lang w:val="pt-PT" w:eastAsia="en-US" w:bidi="ar-SA"/>
      </w:rPr>
    </w:lvl>
    <w:lvl w:ilvl="8" w:tplc="AE848974">
      <w:numFmt w:val="bullet"/>
      <w:lvlText w:val="•"/>
      <w:lvlJc w:val="left"/>
      <w:pPr>
        <w:ind w:left="8627" w:hanging="118"/>
      </w:pPr>
      <w:rPr>
        <w:rFonts w:hint="default"/>
        <w:lang w:val="pt-PT" w:eastAsia="en-US" w:bidi="ar-SA"/>
      </w:rPr>
    </w:lvl>
  </w:abstractNum>
  <w:abstractNum w:abstractNumId="34">
    <w:nsid w:val="656C2DC3"/>
    <w:multiLevelType w:val="hybridMultilevel"/>
    <w:tmpl w:val="7D0EF252"/>
    <w:lvl w:ilvl="0" w:tplc="CE7AB1EE">
      <w:start w:val="1"/>
      <w:numFmt w:val="decimal"/>
      <w:lvlText w:val="%1."/>
      <w:lvlJc w:val="left"/>
      <w:pPr>
        <w:ind w:left="1430" w:hanging="360"/>
        <w:jc w:val="right"/>
      </w:pPr>
      <w:rPr>
        <w:rFonts w:ascii="Times New Roman" w:eastAsia="Times New Roman" w:hAnsi="Times New Roman" w:cs="Times New Roman" w:hint="default"/>
        <w:b/>
        <w:bCs/>
        <w:i w:val="0"/>
        <w:iCs w:val="0"/>
        <w:spacing w:val="-3"/>
        <w:w w:val="88"/>
        <w:sz w:val="24"/>
        <w:szCs w:val="24"/>
        <w:lang w:val="pt-PT" w:eastAsia="en-US" w:bidi="ar-SA"/>
      </w:rPr>
    </w:lvl>
    <w:lvl w:ilvl="1" w:tplc="761216B6">
      <w:numFmt w:val="bullet"/>
      <w:lvlText w:val="•"/>
      <w:lvlJc w:val="left"/>
      <w:pPr>
        <w:ind w:left="2316" w:hanging="360"/>
      </w:pPr>
      <w:rPr>
        <w:rFonts w:hint="default"/>
        <w:lang w:val="pt-PT" w:eastAsia="en-US" w:bidi="ar-SA"/>
      </w:rPr>
    </w:lvl>
    <w:lvl w:ilvl="2" w:tplc="C4F0D0FA">
      <w:numFmt w:val="bullet"/>
      <w:lvlText w:val="•"/>
      <w:lvlJc w:val="left"/>
      <w:pPr>
        <w:ind w:left="3193" w:hanging="360"/>
      </w:pPr>
      <w:rPr>
        <w:rFonts w:hint="default"/>
        <w:lang w:val="pt-PT" w:eastAsia="en-US" w:bidi="ar-SA"/>
      </w:rPr>
    </w:lvl>
    <w:lvl w:ilvl="3" w:tplc="B44C51F8">
      <w:numFmt w:val="bullet"/>
      <w:lvlText w:val="•"/>
      <w:lvlJc w:val="left"/>
      <w:pPr>
        <w:ind w:left="4069" w:hanging="360"/>
      </w:pPr>
      <w:rPr>
        <w:rFonts w:hint="default"/>
        <w:lang w:val="pt-PT" w:eastAsia="en-US" w:bidi="ar-SA"/>
      </w:rPr>
    </w:lvl>
    <w:lvl w:ilvl="4" w:tplc="2430A574">
      <w:numFmt w:val="bullet"/>
      <w:lvlText w:val="•"/>
      <w:lvlJc w:val="left"/>
      <w:pPr>
        <w:ind w:left="4946" w:hanging="360"/>
      </w:pPr>
      <w:rPr>
        <w:rFonts w:hint="default"/>
        <w:lang w:val="pt-PT" w:eastAsia="en-US" w:bidi="ar-SA"/>
      </w:rPr>
    </w:lvl>
    <w:lvl w:ilvl="5" w:tplc="DCA2CA88">
      <w:numFmt w:val="bullet"/>
      <w:lvlText w:val="•"/>
      <w:lvlJc w:val="left"/>
      <w:pPr>
        <w:ind w:left="5823" w:hanging="360"/>
      </w:pPr>
      <w:rPr>
        <w:rFonts w:hint="default"/>
        <w:lang w:val="pt-PT" w:eastAsia="en-US" w:bidi="ar-SA"/>
      </w:rPr>
    </w:lvl>
    <w:lvl w:ilvl="6" w:tplc="5AD645F4">
      <w:numFmt w:val="bullet"/>
      <w:lvlText w:val="•"/>
      <w:lvlJc w:val="left"/>
      <w:pPr>
        <w:ind w:left="6699" w:hanging="360"/>
      </w:pPr>
      <w:rPr>
        <w:rFonts w:hint="default"/>
        <w:lang w:val="pt-PT" w:eastAsia="en-US" w:bidi="ar-SA"/>
      </w:rPr>
    </w:lvl>
    <w:lvl w:ilvl="7" w:tplc="33E2AFD0">
      <w:numFmt w:val="bullet"/>
      <w:lvlText w:val="•"/>
      <w:lvlJc w:val="left"/>
      <w:pPr>
        <w:ind w:left="7576" w:hanging="360"/>
      </w:pPr>
      <w:rPr>
        <w:rFonts w:hint="default"/>
        <w:lang w:val="pt-PT" w:eastAsia="en-US" w:bidi="ar-SA"/>
      </w:rPr>
    </w:lvl>
    <w:lvl w:ilvl="8" w:tplc="555CFE34">
      <w:numFmt w:val="bullet"/>
      <w:lvlText w:val="•"/>
      <w:lvlJc w:val="left"/>
      <w:pPr>
        <w:ind w:left="8453" w:hanging="360"/>
      </w:pPr>
      <w:rPr>
        <w:rFonts w:hint="default"/>
        <w:lang w:val="pt-PT" w:eastAsia="en-US" w:bidi="ar-SA"/>
      </w:rPr>
    </w:lvl>
  </w:abstractNum>
  <w:abstractNum w:abstractNumId="35">
    <w:nsid w:val="68705B10"/>
    <w:multiLevelType w:val="hybridMultilevel"/>
    <w:tmpl w:val="60843BCE"/>
    <w:lvl w:ilvl="0" w:tplc="CCCAF9B0">
      <w:start w:val="63"/>
      <w:numFmt w:val="decimal"/>
      <w:lvlText w:val="%1."/>
      <w:lvlJc w:val="left"/>
      <w:pPr>
        <w:ind w:left="3340" w:hanging="362"/>
        <w:jc w:val="left"/>
      </w:pPr>
      <w:rPr>
        <w:rFonts w:ascii="Times New Roman" w:eastAsia="Times New Roman" w:hAnsi="Times New Roman" w:cs="Times New Roman" w:hint="default"/>
        <w:b w:val="0"/>
        <w:bCs w:val="0"/>
        <w:i w:val="0"/>
        <w:iCs w:val="0"/>
        <w:spacing w:val="0"/>
        <w:w w:val="99"/>
        <w:sz w:val="20"/>
        <w:szCs w:val="20"/>
        <w:lang w:val="pt-PT" w:eastAsia="en-US" w:bidi="ar-SA"/>
      </w:rPr>
    </w:lvl>
    <w:lvl w:ilvl="1" w:tplc="7452C8F8">
      <w:numFmt w:val="bullet"/>
      <w:lvlText w:val="•"/>
      <w:lvlJc w:val="left"/>
      <w:pPr>
        <w:ind w:left="4026" w:hanging="362"/>
      </w:pPr>
      <w:rPr>
        <w:rFonts w:hint="default"/>
        <w:lang w:val="pt-PT" w:eastAsia="en-US" w:bidi="ar-SA"/>
      </w:rPr>
    </w:lvl>
    <w:lvl w:ilvl="2" w:tplc="4C944CA4">
      <w:numFmt w:val="bullet"/>
      <w:lvlText w:val="•"/>
      <w:lvlJc w:val="left"/>
      <w:pPr>
        <w:ind w:left="4713" w:hanging="362"/>
      </w:pPr>
      <w:rPr>
        <w:rFonts w:hint="default"/>
        <w:lang w:val="pt-PT" w:eastAsia="en-US" w:bidi="ar-SA"/>
      </w:rPr>
    </w:lvl>
    <w:lvl w:ilvl="3" w:tplc="825A2EEA">
      <w:numFmt w:val="bullet"/>
      <w:lvlText w:val="•"/>
      <w:lvlJc w:val="left"/>
      <w:pPr>
        <w:ind w:left="5399" w:hanging="362"/>
      </w:pPr>
      <w:rPr>
        <w:rFonts w:hint="default"/>
        <w:lang w:val="pt-PT" w:eastAsia="en-US" w:bidi="ar-SA"/>
      </w:rPr>
    </w:lvl>
    <w:lvl w:ilvl="4" w:tplc="2AF67A86">
      <w:numFmt w:val="bullet"/>
      <w:lvlText w:val="•"/>
      <w:lvlJc w:val="left"/>
      <w:pPr>
        <w:ind w:left="6086" w:hanging="362"/>
      </w:pPr>
      <w:rPr>
        <w:rFonts w:hint="default"/>
        <w:lang w:val="pt-PT" w:eastAsia="en-US" w:bidi="ar-SA"/>
      </w:rPr>
    </w:lvl>
    <w:lvl w:ilvl="5" w:tplc="C608A6B8">
      <w:numFmt w:val="bullet"/>
      <w:lvlText w:val="•"/>
      <w:lvlJc w:val="left"/>
      <w:pPr>
        <w:ind w:left="6773" w:hanging="362"/>
      </w:pPr>
      <w:rPr>
        <w:rFonts w:hint="default"/>
        <w:lang w:val="pt-PT" w:eastAsia="en-US" w:bidi="ar-SA"/>
      </w:rPr>
    </w:lvl>
    <w:lvl w:ilvl="6" w:tplc="5F025EEE">
      <w:numFmt w:val="bullet"/>
      <w:lvlText w:val="•"/>
      <w:lvlJc w:val="left"/>
      <w:pPr>
        <w:ind w:left="7459" w:hanging="362"/>
      </w:pPr>
      <w:rPr>
        <w:rFonts w:hint="default"/>
        <w:lang w:val="pt-PT" w:eastAsia="en-US" w:bidi="ar-SA"/>
      </w:rPr>
    </w:lvl>
    <w:lvl w:ilvl="7" w:tplc="5EFC6478">
      <w:numFmt w:val="bullet"/>
      <w:lvlText w:val="•"/>
      <w:lvlJc w:val="left"/>
      <w:pPr>
        <w:ind w:left="8146" w:hanging="362"/>
      </w:pPr>
      <w:rPr>
        <w:rFonts w:hint="default"/>
        <w:lang w:val="pt-PT" w:eastAsia="en-US" w:bidi="ar-SA"/>
      </w:rPr>
    </w:lvl>
    <w:lvl w:ilvl="8" w:tplc="DBF85902">
      <w:numFmt w:val="bullet"/>
      <w:lvlText w:val="•"/>
      <w:lvlJc w:val="left"/>
      <w:pPr>
        <w:ind w:left="8833" w:hanging="362"/>
      </w:pPr>
      <w:rPr>
        <w:rFonts w:hint="default"/>
        <w:lang w:val="pt-PT" w:eastAsia="en-US" w:bidi="ar-SA"/>
      </w:rPr>
    </w:lvl>
  </w:abstractNum>
  <w:abstractNum w:abstractNumId="36">
    <w:nsid w:val="6C8D2A06"/>
    <w:multiLevelType w:val="hybridMultilevel"/>
    <w:tmpl w:val="D9C28432"/>
    <w:lvl w:ilvl="0" w:tplc="E136581E">
      <w:start w:val="1"/>
      <w:numFmt w:val="decimal"/>
      <w:lvlText w:val="%1."/>
      <w:lvlJc w:val="left"/>
      <w:pPr>
        <w:ind w:left="1209" w:hanging="358"/>
        <w:jc w:val="left"/>
      </w:pPr>
      <w:rPr>
        <w:rFonts w:ascii="Times New Roman" w:eastAsia="Times New Roman" w:hAnsi="Times New Roman" w:cs="Times New Roman" w:hint="default"/>
        <w:b/>
        <w:bCs/>
        <w:i w:val="0"/>
        <w:iCs w:val="0"/>
        <w:spacing w:val="-3"/>
        <w:w w:val="102"/>
        <w:sz w:val="23"/>
        <w:szCs w:val="23"/>
        <w:lang w:val="pt-PT" w:eastAsia="en-US" w:bidi="ar-SA"/>
      </w:rPr>
    </w:lvl>
    <w:lvl w:ilvl="1" w:tplc="DA661378">
      <w:start w:val="1"/>
      <w:numFmt w:val="upperRoman"/>
      <w:lvlText w:val="%2."/>
      <w:lvlJc w:val="left"/>
      <w:pPr>
        <w:ind w:left="3336" w:hanging="476"/>
        <w:jc w:val="right"/>
      </w:pPr>
      <w:rPr>
        <w:rFonts w:ascii="Times New Roman" w:eastAsia="Times New Roman" w:hAnsi="Times New Roman" w:cs="Times New Roman" w:hint="default"/>
        <w:b w:val="0"/>
        <w:bCs w:val="0"/>
        <w:i w:val="0"/>
        <w:iCs w:val="0"/>
        <w:spacing w:val="0"/>
        <w:w w:val="99"/>
        <w:sz w:val="20"/>
        <w:szCs w:val="20"/>
        <w:lang w:val="pt-PT" w:eastAsia="en-US" w:bidi="ar-SA"/>
      </w:rPr>
    </w:lvl>
    <w:lvl w:ilvl="2" w:tplc="49FA8E56">
      <w:numFmt w:val="bullet"/>
      <w:lvlText w:val="•"/>
      <w:lvlJc w:val="left"/>
      <w:pPr>
        <w:ind w:left="4102" w:hanging="476"/>
      </w:pPr>
      <w:rPr>
        <w:rFonts w:hint="default"/>
        <w:lang w:val="pt-PT" w:eastAsia="en-US" w:bidi="ar-SA"/>
      </w:rPr>
    </w:lvl>
    <w:lvl w:ilvl="3" w:tplc="1F0099E4">
      <w:numFmt w:val="bullet"/>
      <w:lvlText w:val="•"/>
      <w:lvlJc w:val="left"/>
      <w:pPr>
        <w:ind w:left="4865" w:hanging="476"/>
      </w:pPr>
      <w:rPr>
        <w:rFonts w:hint="default"/>
        <w:lang w:val="pt-PT" w:eastAsia="en-US" w:bidi="ar-SA"/>
      </w:rPr>
    </w:lvl>
    <w:lvl w:ilvl="4" w:tplc="52001FE2">
      <w:numFmt w:val="bullet"/>
      <w:lvlText w:val="•"/>
      <w:lvlJc w:val="left"/>
      <w:pPr>
        <w:ind w:left="5628" w:hanging="476"/>
      </w:pPr>
      <w:rPr>
        <w:rFonts w:hint="default"/>
        <w:lang w:val="pt-PT" w:eastAsia="en-US" w:bidi="ar-SA"/>
      </w:rPr>
    </w:lvl>
    <w:lvl w:ilvl="5" w:tplc="A73898FA">
      <w:numFmt w:val="bullet"/>
      <w:lvlText w:val="•"/>
      <w:lvlJc w:val="left"/>
      <w:pPr>
        <w:ind w:left="6391" w:hanging="476"/>
      </w:pPr>
      <w:rPr>
        <w:rFonts w:hint="default"/>
        <w:lang w:val="pt-PT" w:eastAsia="en-US" w:bidi="ar-SA"/>
      </w:rPr>
    </w:lvl>
    <w:lvl w:ilvl="6" w:tplc="2558E628">
      <w:numFmt w:val="bullet"/>
      <w:lvlText w:val="•"/>
      <w:lvlJc w:val="left"/>
      <w:pPr>
        <w:ind w:left="7154" w:hanging="476"/>
      </w:pPr>
      <w:rPr>
        <w:rFonts w:hint="default"/>
        <w:lang w:val="pt-PT" w:eastAsia="en-US" w:bidi="ar-SA"/>
      </w:rPr>
    </w:lvl>
    <w:lvl w:ilvl="7" w:tplc="1FEC0FC8">
      <w:numFmt w:val="bullet"/>
      <w:lvlText w:val="•"/>
      <w:lvlJc w:val="left"/>
      <w:pPr>
        <w:ind w:left="7917" w:hanging="476"/>
      </w:pPr>
      <w:rPr>
        <w:rFonts w:hint="default"/>
        <w:lang w:val="pt-PT" w:eastAsia="en-US" w:bidi="ar-SA"/>
      </w:rPr>
    </w:lvl>
    <w:lvl w:ilvl="8" w:tplc="C5F62C24">
      <w:numFmt w:val="bullet"/>
      <w:lvlText w:val="•"/>
      <w:lvlJc w:val="left"/>
      <w:pPr>
        <w:ind w:left="8680" w:hanging="476"/>
      </w:pPr>
      <w:rPr>
        <w:rFonts w:hint="default"/>
        <w:lang w:val="pt-PT" w:eastAsia="en-US" w:bidi="ar-SA"/>
      </w:rPr>
    </w:lvl>
  </w:abstractNum>
  <w:abstractNum w:abstractNumId="37">
    <w:nsid w:val="6CFD6AB7"/>
    <w:multiLevelType w:val="multilevel"/>
    <w:tmpl w:val="01546A7C"/>
    <w:lvl w:ilvl="0">
      <w:start w:val="2"/>
      <w:numFmt w:val="decimal"/>
      <w:lvlText w:val="%1"/>
      <w:lvlJc w:val="left"/>
      <w:pPr>
        <w:ind w:left="1079" w:hanging="368"/>
        <w:jc w:val="left"/>
      </w:pPr>
      <w:rPr>
        <w:rFonts w:hint="default"/>
        <w:lang w:val="pt-PT" w:eastAsia="en-US" w:bidi="ar-SA"/>
      </w:rPr>
    </w:lvl>
    <w:lvl w:ilvl="1">
      <w:start w:val="1"/>
      <w:numFmt w:val="decimal"/>
      <w:lvlText w:val="%1.%2"/>
      <w:lvlJc w:val="left"/>
      <w:pPr>
        <w:ind w:left="1079" w:hanging="368"/>
        <w:jc w:val="left"/>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2905" w:hanging="368"/>
      </w:pPr>
      <w:rPr>
        <w:rFonts w:hint="default"/>
        <w:lang w:val="pt-PT" w:eastAsia="en-US" w:bidi="ar-SA"/>
      </w:rPr>
    </w:lvl>
    <w:lvl w:ilvl="3">
      <w:numFmt w:val="bullet"/>
      <w:lvlText w:val="•"/>
      <w:lvlJc w:val="left"/>
      <w:pPr>
        <w:ind w:left="3817" w:hanging="368"/>
      </w:pPr>
      <w:rPr>
        <w:rFonts w:hint="default"/>
        <w:lang w:val="pt-PT" w:eastAsia="en-US" w:bidi="ar-SA"/>
      </w:rPr>
    </w:lvl>
    <w:lvl w:ilvl="4">
      <w:numFmt w:val="bullet"/>
      <w:lvlText w:val="•"/>
      <w:lvlJc w:val="left"/>
      <w:pPr>
        <w:ind w:left="4730" w:hanging="368"/>
      </w:pPr>
      <w:rPr>
        <w:rFonts w:hint="default"/>
        <w:lang w:val="pt-PT" w:eastAsia="en-US" w:bidi="ar-SA"/>
      </w:rPr>
    </w:lvl>
    <w:lvl w:ilvl="5">
      <w:numFmt w:val="bullet"/>
      <w:lvlText w:val="•"/>
      <w:lvlJc w:val="left"/>
      <w:pPr>
        <w:ind w:left="5643" w:hanging="368"/>
      </w:pPr>
      <w:rPr>
        <w:rFonts w:hint="default"/>
        <w:lang w:val="pt-PT" w:eastAsia="en-US" w:bidi="ar-SA"/>
      </w:rPr>
    </w:lvl>
    <w:lvl w:ilvl="6">
      <w:numFmt w:val="bullet"/>
      <w:lvlText w:val="•"/>
      <w:lvlJc w:val="left"/>
      <w:pPr>
        <w:ind w:left="6555" w:hanging="368"/>
      </w:pPr>
      <w:rPr>
        <w:rFonts w:hint="default"/>
        <w:lang w:val="pt-PT" w:eastAsia="en-US" w:bidi="ar-SA"/>
      </w:rPr>
    </w:lvl>
    <w:lvl w:ilvl="7">
      <w:numFmt w:val="bullet"/>
      <w:lvlText w:val="•"/>
      <w:lvlJc w:val="left"/>
      <w:pPr>
        <w:ind w:left="7468" w:hanging="368"/>
      </w:pPr>
      <w:rPr>
        <w:rFonts w:hint="default"/>
        <w:lang w:val="pt-PT" w:eastAsia="en-US" w:bidi="ar-SA"/>
      </w:rPr>
    </w:lvl>
    <w:lvl w:ilvl="8">
      <w:numFmt w:val="bullet"/>
      <w:lvlText w:val="•"/>
      <w:lvlJc w:val="left"/>
      <w:pPr>
        <w:ind w:left="8381" w:hanging="368"/>
      </w:pPr>
      <w:rPr>
        <w:rFonts w:hint="default"/>
        <w:lang w:val="pt-PT" w:eastAsia="en-US" w:bidi="ar-SA"/>
      </w:rPr>
    </w:lvl>
  </w:abstractNum>
  <w:abstractNum w:abstractNumId="38">
    <w:nsid w:val="6D8F5A19"/>
    <w:multiLevelType w:val="multilevel"/>
    <w:tmpl w:val="B2B68730"/>
    <w:lvl w:ilvl="0">
      <w:start w:val="1"/>
      <w:numFmt w:val="decimal"/>
      <w:lvlText w:val="%1."/>
      <w:lvlJc w:val="left"/>
      <w:pPr>
        <w:ind w:left="950" w:hanging="240"/>
        <w:jc w:val="left"/>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1070" w:hanging="360"/>
        <w:jc w:val="left"/>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2094" w:hanging="360"/>
      </w:pPr>
      <w:rPr>
        <w:rFonts w:hint="default"/>
        <w:lang w:val="pt-PT" w:eastAsia="en-US" w:bidi="ar-SA"/>
      </w:rPr>
    </w:lvl>
    <w:lvl w:ilvl="3">
      <w:numFmt w:val="bullet"/>
      <w:lvlText w:val="•"/>
      <w:lvlJc w:val="left"/>
      <w:pPr>
        <w:ind w:left="3108" w:hanging="360"/>
      </w:pPr>
      <w:rPr>
        <w:rFonts w:hint="default"/>
        <w:lang w:val="pt-PT" w:eastAsia="en-US" w:bidi="ar-SA"/>
      </w:rPr>
    </w:lvl>
    <w:lvl w:ilvl="4">
      <w:numFmt w:val="bullet"/>
      <w:lvlText w:val="•"/>
      <w:lvlJc w:val="left"/>
      <w:pPr>
        <w:ind w:left="4122" w:hanging="360"/>
      </w:pPr>
      <w:rPr>
        <w:rFonts w:hint="default"/>
        <w:lang w:val="pt-PT" w:eastAsia="en-US" w:bidi="ar-SA"/>
      </w:rPr>
    </w:lvl>
    <w:lvl w:ilvl="5">
      <w:numFmt w:val="bullet"/>
      <w:lvlText w:val="•"/>
      <w:lvlJc w:val="left"/>
      <w:pPr>
        <w:ind w:left="5136" w:hanging="360"/>
      </w:pPr>
      <w:rPr>
        <w:rFonts w:hint="default"/>
        <w:lang w:val="pt-PT" w:eastAsia="en-US" w:bidi="ar-SA"/>
      </w:rPr>
    </w:lvl>
    <w:lvl w:ilvl="6">
      <w:numFmt w:val="bullet"/>
      <w:lvlText w:val="•"/>
      <w:lvlJc w:val="left"/>
      <w:pPr>
        <w:ind w:left="6150" w:hanging="360"/>
      </w:pPr>
      <w:rPr>
        <w:rFonts w:hint="default"/>
        <w:lang w:val="pt-PT" w:eastAsia="en-US" w:bidi="ar-SA"/>
      </w:rPr>
    </w:lvl>
    <w:lvl w:ilvl="7">
      <w:numFmt w:val="bullet"/>
      <w:lvlText w:val="•"/>
      <w:lvlJc w:val="left"/>
      <w:pPr>
        <w:ind w:left="7164" w:hanging="360"/>
      </w:pPr>
      <w:rPr>
        <w:rFonts w:hint="default"/>
        <w:lang w:val="pt-PT" w:eastAsia="en-US" w:bidi="ar-SA"/>
      </w:rPr>
    </w:lvl>
    <w:lvl w:ilvl="8">
      <w:numFmt w:val="bullet"/>
      <w:lvlText w:val="•"/>
      <w:lvlJc w:val="left"/>
      <w:pPr>
        <w:ind w:left="8178" w:hanging="360"/>
      </w:pPr>
      <w:rPr>
        <w:rFonts w:hint="default"/>
        <w:lang w:val="pt-PT" w:eastAsia="en-US" w:bidi="ar-SA"/>
      </w:rPr>
    </w:lvl>
  </w:abstractNum>
  <w:abstractNum w:abstractNumId="39">
    <w:nsid w:val="6F514768"/>
    <w:multiLevelType w:val="hybridMultilevel"/>
    <w:tmpl w:val="6706F204"/>
    <w:lvl w:ilvl="0" w:tplc="23002BD6">
      <w:start w:val="1"/>
      <w:numFmt w:val="upperRoman"/>
      <w:lvlText w:val="%1."/>
      <w:lvlJc w:val="left"/>
      <w:pPr>
        <w:ind w:left="2978" w:hanging="479"/>
        <w:jc w:val="right"/>
      </w:pPr>
      <w:rPr>
        <w:rFonts w:ascii="Times New Roman" w:eastAsia="Times New Roman" w:hAnsi="Times New Roman" w:cs="Times New Roman" w:hint="default"/>
        <w:b w:val="0"/>
        <w:bCs w:val="0"/>
        <w:i w:val="0"/>
        <w:iCs w:val="0"/>
        <w:spacing w:val="0"/>
        <w:w w:val="99"/>
        <w:sz w:val="20"/>
        <w:szCs w:val="20"/>
        <w:lang w:val="pt-PT" w:eastAsia="en-US" w:bidi="ar-SA"/>
      </w:rPr>
    </w:lvl>
    <w:lvl w:ilvl="1" w:tplc="1C041C1C">
      <w:numFmt w:val="bullet"/>
      <w:lvlText w:val="•"/>
      <w:lvlJc w:val="left"/>
      <w:pPr>
        <w:ind w:left="3702" w:hanging="479"/>
      </w:pPr>
      <w:rPr>
        <w:rFonts w:hint="default"/>
        <w:lang w:val="pt-PT" w:eastAsia="en-US" w:bidi="ar-SA"/>
      </w:rPr>
    </w:lvl>
    <w:lvl w:ilvl="2" w:tplc="9E5A4BB4">
      <w:numFmt w:val="bullet"/>
      <w:lvlText w:val="•"/>
      <w:lvlJc w:val="left"/>
      <w:pPr>
        <w:ind w:left="4425" w:hanging="479"/>
      </w:pPr>
      <w:rPr>
        <w:rFonts w:hint="default"/>
        <w:lang w:val="pt-PT" w:eastAsia="en-US" w:bidi="ar-SA"/>
      </w:rPr>
    </w:lvl>
    <w:lvl w:ilvl="3" w:tplc="BFB401C4">
      <w:numFmt w:val="bullet"/>
      <w:lvlText w:val="•"/>
      <w:lvlJc w:val="left"/>
      <w:pPr>
        <w:ind w:left="5147" w:hanging="479"/>
      </w:pPr>
      <w:rPr>
        <w:rFonts w:hint="default"/>
        <w:lang w:val="pt-PT" w:eastAsia="en-US" w:bidi="ar-SA"/>
      </w:rPr>
    </w:lvl>
    <w:lvl w:ilvl="4" w:tplc="06821D3E">
      <w:numFmt w:val="bullet"/>
      <w:lvlText w:val="•"/>
      <w:lvlJc w:val="left"/>
      <w:pPr>
        <w:ind w:left="5870" w:hanging="479"/>
      </w:pPr>
      <w:rPr>
        <w:rFonts w:hint="default"/>
        <w:lang w:val="pt-PT" w:eastAsia="en-US" w:bidi="ar-SA"/>
      </w:rPr>
    </w:lvl>
    <w:lvl w:ilvl="5" w:tplc="29F01F2E">
      <w:numFmt w:val="bullet"/>
      <w:lvlText w:val="•"/>
      <w:lvlJc w:val="left"/>
      <w:pPr>
        <w:ind w:left="6593" w:hanging="479"/>
      </w:pPr>
      <w:rPr>
        <w:rFonts w:hint="default"/>
        <w:lang w:val="pt-PT" w:eastAsia="en-US" w:bidi="ar-SA"/>
      </w:rPr>
    </w:lvl>
    <w:lvl w:ilvl="6" w:tplc="6D7248BC">
      <w:numFmt w:val="bullet"/>
      <w:lvlText w:val="•"/>
      <w:lvlJc w:val="left"/>
      <w:pPr>
        <w:ind w:left="7315" w:hanging="479"/>
      </w:pPr>
      <w:rPr>
        <w:rFonts w:hint="default"/>
        <w:lang w:val="pt-PT" w:eastAsia="en-US" w:bidi="ar-SA"/>
      </w:rPr>
    </w:lvl>
    <w:lvl w:ilvl="7" w:tplc="AD3EA262">
      <w:numFmt w:val="bullet"/>
      <w:lvlText w:val="•"/>
      <w:lvlJc w:val="left"/>
      <w:pPr>
        <w:ind w:left="8038" w:hanging="479"/>
      </w:pPr>
      <w:rPr>
        <w:rFonts w:hint="default"/>
        <w:lang w:val="pt-PT" w:eastAsia="en-US" w:bidi="ar-SA"/>
      </w:rPr>
    </w:lvl>
    <w:lvl w:ilvl="8" w:tplc="F27C03DE">
      <w:numFmt w:val="bullet"/>
      <w:lvlText w:val="•"/>
      <w:lvlJc w:val="left"/>
      <w:pPr>
        <w:ind w:left="8761" w:hanging="479"/>
      </w:pPr>
      <w:rPr>
        <w:rFonts w:hint="default"/>
        <w:lang w:val="pt-PT" w:eastAsia="en-US" w:bidi="ar-SA"/>
      </w:rPr>
    </w:lvl>
  </w:abstractNum>
  <w:abstractNum w:abstractNumId="40">
    <w:nsid w:val="73D20AD5"/>
    <w:multiLevelType w:val="hybridMultilevel"/>
    <w:tmpl w:val="647A2BDE"/>
    <w:lvl w:ilvl="0" w:tplc="49CEF8C8">
      <w:start w:val="7"/>
      <w:numFmt w:val="decimal"/>
      <w:lvlText w:val="%1."/>
      <w:lvlJc w:val="left"/>
      <w:pPr>
        <w:ind w:left="1094" w:hanging="245"/>
        <w:jc w:val="left"/>
      </w:pPr>
      <w:rPr>
        <w:rFonts w:ascii="Times New Roman" w:eastAsia="Times New Roman" w:hAnsi="Times New Roman" w:cs="Times New Roman" w:hint="default"/>
        <w:b/>
        <w:bCs/>
        <w:i w:val="0"/>
        <w:iCs w:val="0"/>
        <w:spacing w:val="0"/>
        <w:w w:val="100"/>
        <w:sz w:val="24"/>
        <w:szCs w:val="24"/>
        <w:lang w:val="pt-PT" w:eastAsia="en-US" w:bidi="ar-SA"/>
      </w:rPr>
    </w:lvl>
    <w:lvl w:ilvl="1" w:tplc="C3F41798">
      <w:start w:val="1"/>
      <w:numFmt w:val="lowerLetter"/>
      <w:lvlText w:val="%2)"/>
      <w:lvlJc w:val="left"/>
      <w:pPr>
        <w:ind w:left="3369" w:hanging="360"/>
        <w:jc w:val="left"/>
      </w:pPr>
      <w:rPr>
        <w:rFonts w:ascii="Times New Roman" w:eastAsia="Times New Roman" w:hAnsi="Times New Roman" w:cs="Times New Roman" w:hint="default"/>
        <w:b w:val="0"/>
        <w:bCs w:val="0"/>
        <w:i w:val="0"/>
        <w:iCs w:val="0"/>
        <w:spacing w:val="0"/>
        <w:w w:val="99"/>
        <w:sz w:val="20"/>
        <w:szCs w:val="20"/>
        <w:lang w:val="pt-PT" w:eastAsia="en-US" w:bidi="ar-SA"/>
      </w:rPr>
    </w:lvl>
    <w:lvl w:ilvl="2" w:tplc="6F1CF4E6">
      <w:numFmt w:val="bullet"/>
      <w:lvlText w:val="•"/>
      <w:lvlJc w:val="left"/>
      <w:pPr>
        <w:ind w:left="4120" w:hanging="360"/>
      </w:pPr>
      <w:rPr>
        <w:rFonts w:hint="default"/>
        <w:lang w:val="pt-PT" w:eastAsia="en-US" w:bidi="ar-SA"/>
      </w:rPr>
    </w:lvl>
    <w:lvl w:ilvl="3" w:tplc="AEB864D0">
      <w:numFmt w:val="bullet"/>
      <w:lvlText w:val="•"/>
      <w:lvlJc w:val="left"/>
      <w:pPr>
        <w:ind w:left="4881" w:hanging="360"/>
      </w:pPr>
      <w:rPr>
        <w:rFonts w:hint="default"/>
        <w:lang w:val="pt-PT" w:eastAsia="en-US" w:bidi="ar-SA"/>
      </w:rPr>
    </w:lvl>
    <w:lvl w:ilvl="4" w:tplc="E6C25D40">
      <w:numFmt w:val="bullet"/>
      <w:lvlText w:val="•"/>
      <w:lvlJc w:val="left"/>
      <w:pPr>
        <w:ind w:left="5642" w:hanging="360"/>
      </w:pPr>
      <w:rPr>
        <w:rFonts w:hint="default"/>
        <w:lang w:val="pt-PT" w:eastAsia="en-US" w:bidi="ar-SA"/>
      </w:rPr>
    </w:lvl>
    <w:lvl w:ilvl="5" w:tplc="C0D41732">
      <w:numFmt w:val="bullet"/>
      <w:lvlText w:val="•"/>
      <w:lvlJc w:val="left"/>
      <w:pPr>
        <w:ind w:left="6402" w:hanging="360"/>
      </w:pPr>
      <w:rPr>
        <w:rFonts w:hint="default"/>
        <w:lang w:val="pt-PT" w:eastAsia="en-US" w:bidi="ar-SA"/>
      </w:rPr>
    </w:lvl>
    <w:lvl w:ilvl="6" w:tplc="6032C140">
      <w:numFmt w:val="bullet"/>
      <w:lvlText w:val="•"/>
      <w:lvlJc w:val="left"/>
      <w:pPr>
        <w:ind w:left="7163" w:hanging="360"/>
      </w:pPr>
      <w:rPr>
        <w:rFonts w:hint="default"/>
        <w:lang w:val="pt-PT" w:eastAsia="en-US" w:bidi="ar-SA"/>
      </w:rPr>
    </w:lvl>
    <w:lvl w:ilvl="7" w:tplc="5E9AB09C">
      <w:numFmt w:val="bullet"/>
      <w:lvlText w:val="•"/>
      <w:lvlJc w:val="left"/>
      <w:pPr>
        <w:ind w:left="7924" w:hanging="360"/>
      </w:pPr>
      <w:rPr>
        <w:rFonts w:hint="default"/>
        <w:lang w:val="pt-PT" w:eastAsia="en-US" w:bidi="ar-SA"/>
      </w:rPr>
    </w:lvl>
    <w:lvl w:ilvl="8" w:tplc="0188FC40">
      <w:numFmt w:val="bullet"/>
      <w:lvlText w:val="•"/>
      <w:lvlJc w:val="left"/>
      <w:pPr>
        <w:ind w:left="8684" w:hanging="360"/>
      </w:pPr>
      <w:rPr>
        <w:rFonts w:hint="default"/>
        <w:lang w:val="pt-PT" w:eastAsia="en-US" w:bidi="ar-SA"/>
      </w:rPr>
    </w:lvl>
  </w:abstractNum>
  <w:abstractNum w:abstractNumId="41">
    <w:nsid w:val="74900E85"/>
    <w:multiLevelType w:val="hybridMultilevel"/>
    <w:tmpl w:val="524A4CB2"/>
    <w:lvl w:ilvl="0" w:tplc="B76659BE">
      <w:start w:val="1"/>
      <w:numFmt w:val="upperRoman"/>
      <w:lvlText w:val="%1"/>
      <w:lvlJc w:val="left"/>
      <w:pPr>
        <w:ind w:left="2978" w:hanging="317"/>
        <w:jc w:val="left"/>
      </w:pPr>
      <w:rPr>
        <w:rFonts w:ascii="Times New Roman" w:eastAsia="Times New Roman" w:hAnsi="Times New Roman" w:cs="Times New Roman" w:hint="default"/>
        <w:b w:val="0"/>
        <w:bCs w:val="0"/>
        <w:i w:val="0"/>
        <w:iCs w:val="0"/>
        <w:spacing w:val="0"/>
        <w:w w:val="99"/>
        <w:sz w:val="20"/>
        <w:szCs w:val="20"/>
        <w:lang w:val="pt-PT" w:eastAsia="en-US" w:bidi="ar-SA"/>
      </w:rPr>
    </w:lvl>
    <w:lvl w:ilvl="1" w:tplc="4EBACC18">
      <w:numFmt w:val="bullet"/>
      <w:lvlText w:val="•"/>
      <w:lvlJc w:val="left"/>
      <w:pPr>
        <w:ind w:left="3702" w:hanging="317"/>
      </w:pPr>
      <w:rPr>
        <w:rFonts w:hint="default"/>
        <w:lang w:val="pt-PT" w:eastAsia="en-US" w:bidi="ar-SA"/>
      </w:rPr>
    </w:lvl>
    <w:lvl w:ilvl="2" w:tplc="30FA3D8E">
      <w:numFmt w:val="bullet"/>
      <w:lvlText w:val="•"/>
      <w:lvlJc w:val="left"/>
      <w:pPr>
        <w:ind w:left="4425" w:hanging="317"/>
      </w:pPr>
      <w:rPr>
        <w:rFonts w:hint="default"/>
        <w:lang w:val="pt-PT" w:eastAsia="en-US" w:bidi="ar-SA"/>
      </w:rPr>
    </w:lvl>
    <w:lvl w:ilvl="3" w:tplc="020A9248">
      <w:numFmt w:val="bullet"/>
      <w:lvlText w:val="•"/>
      <w:lvlJc w:val="left"/>
      <w:pPr>
        <w:ind w:left="5147" w:hanging="317"/>
      </w:pPr>
      <w:rPr>
        <w:rFonts w:hint="default"/>
        <w:lang w:val="pt-PT" w:eastAsia="en-US" w:bidi="ar-SA"/>
      </w:rPr>
    </w:lvl>
    <w:lvl w:ilvl="4" w:tplc="6BDEB518">
      <w:numFmt w:val="bullet"/>
      <w:lvlText w:val="•"/>
      <w:lvlJc w:val="left"/>
      <w:pPr>
        <w:ind w:left="5870" w:hanging="317"/>
      </w:pPr>
      <w:rPr>
        <w:rFonts w:hint="default"/>
        <w:lang w:val="pt-PT" w:eastAsia="en-US" w:bidi="ar-SA"/>
      </w:rPr>
    </w:lvl>
    <w:lvl w:ilvl="5" w:tplc="F1088310">
      <w:numFmt w:val="bullet"/>
      <w:lvlText w:val="•"/>
      <w:lvlJc w:val="left"/>
      <w:pPr>
        <w:ind w:left="6593" w:hanging="317"/>
      </w:pPr>
      <w:rPr>
        <w:rFonts w:hint="default"/>
        <w:lang w:val="pt-PT" w:eastAsia="en-US" w:bidi="ar-SA"/>
      </w:rPr>
    </w:lvl>
    <w:lvl w:ilvl="6" w:tplc="93302314">
      <w:numFmt w:val="bullet"/>
      <w:lvlText w:val="•"/>
      <w:lvlJc w:val="left"/>
      <w:pPr>
        <w:ind w:left="7315" w:hanging="317"/>
      </w:pPr>
      <w:rPr>
        <w:rFonts w:hint="default"/>
        <w:lang w:val="pt-PT" w:eastAsia="en-US" w:bidi="ar-SA"/>
      </w:rPr>
    </w:lvl>
    <w:lvl w:ilvl="7" w:tplc="012433A6">
      <w:numFmt w:val="bullet"/>
      <w:lvlText w:val="•"/>
      <w:lvlJc w:val="left"/>
      <w:pPr>
        <w:ind w:left="8038" w:hanging="317"/>
      </w:pPr>
      <w:rPr>
        <w:rFonts w:hint="default"/>
        <w:lang w:val="pt-PT" w:eastAsia="en-US" w:bidi="ar-SA"/>
      </w:rPr>
    </w:lvl>
    <w:lvl w:ilvl="8" w:tplc="CBB221E4">
      <w:numFmt w:val="bullet"/>
      <w:lvlText w:val="•"/>
      <w:lvlJc w:val="left"/>
      <w:pPr>
        <w:ind w:left="8761" w:hanging="317"/>
      </w:pPr>
      <w:rPr>
        <w:rFonts w:hint="default"/>
        <w:lang w:val="pt-PT" w:eastAsia="en-US" w:bidi="ar-SA"/>
      </w:rPr>
    </w:lvl>
  </w:abstractNum>
  <w:abstractNum w:abstractNumId="42">
    <w:nsid w:val="753E16D6"/>
    <w:multiLevelType w:val="multilevel"/>
    <w:tmpl w:val="9BC0C33A"/>
    <w:lvl w:ilvl="0">
      <w:start w:val="1"/>
      <w:numFmt w:val="decimal"/>
      <w:lvlText w:val="%1."/>
      <w:lvlJc w:val="left"/>
      <w:pPr>
        <w:ind w:left="1430" w:hanging="360"/>
        <w:jc w:val="left"/>
      </w:pPr>
      <w:rPr>
        <w:rFonts w:ascii="Times New Roman" w:eastAsia="Times New Roman" w:hAnsi="Times New Roman" w:cs="Times New Roman" w:hint="default"/>
        <w:b/>
        <w:bCs/>
        <w:i w:val="0"/>
        <w:iCs w:val="0"/>
        <w:spacing w:val="-3"/>
        <w:w w:val="100"/>
        <w:sz w:val="24"/>
        <w:szCs w:val="24"/>
        <w:lang w:val="pt-PT" w:eastAsia="en-US" w:bidi="ar-SA"/>
      </w:rPr>
    </w:lvl>
    <w:lvl w:ilvl="1">
      <w:start w:val="1"/>
      <w:numFmt w:val="decimal"/>
      <w:lvlText w:val="%1.%2"/>
      <w:lvlJc w:val="left"/>
      <w:pPr>
        <w:ind w:left="1430" w:hanging="360"/>
        <w:jc w:val="left"/>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3193" w:hanging="360"/>
      </w:pPr>
      <w:rPr>
        <w:rFonts w:hint="default"/>
        <w:lang w:val="pt-PT" w:eastAsia="en-US" w:bidi="ar-SA"/>
      </w:rPr>
    </w:lvl>
    <w:lvl w:ilvl="3">
      <w:numFmt w:val="bullet"/>
      <w:lvlText w:val="•"/>
      <w:lvlJc w:val="left"/>
      <w:pPr>
        <w:ind w:left="4069" w:hanging="360"/>
      </w:pPr>
      <w:rPr>
        <w:rFonts w:hint="default"/>
        <w:lang w:val="pt-PT" w:eastAsia="en-US" w:bidi="ar-SA"/>
      </w:rPr>
    </w:lvl>
    <w:lvl w:ilvl="4">
      <w:numFmt w:val="bullet"/>
      <w:lvlText w:val="•"/>
      <w:lvlJc w:val="left"/>
      <w:pPr>
        <w:ind w:left="4946" w:hanging="360"/>
      </w:pPr>
      <w:rPr>
        <w:rFonts w:hint="default"/>
        <w:lang w:val="pt-PT" w:eastAsia="en-US" w:bidi="ar-SA"/>
      </w:rPr>
    </w:lvl>
    <w:lvl w:ilvl="5">
      <w:numFmt w:val="bullet"/>
      <w:lvlText w:val="•"/>
      <w:lvlJc w:val="left"/>
      <w:pPr>
        <w:ind w:left="5823" w:hanging="360"/>
      </w:pPr>
      <w:rPr>
        <w:rFonts w:hint="default"/>
        <w:lang w:val="pt-PT" w:eastAsia="en-US" w:bidi="ar-SA"/>
      </w:rPr>
    </w:lvl>
    <w:lvl w:ilvl="6">
      <w:numFmt w:val="bullet"/>
      <w:lvlText w:val="•"/>
      <w:lvlJc w:val="left"/>
      <w:pPr>
        <w:ind w:left="6699" w:hanging="360"/>
      </w:pPr>
      <w:rPr>
        <w:rFonts w:hint="default"/>
        <w:lang w:val="pt-PT" w:eastAsia="en-US" w:bidi="ar-SA"/>
      </w:rPr>
    </w:lvl>
    <w:lvl w:ilvl="7">
      <w:numFmt w:val="bullet"/>
      <w:lvlText w:val="•"/>
      <w:lvlJc w:val="left"/>
      <w:pPr>
        <w:ind w:left="7576" w:hanging="360"/>
      </w:pPr>
      <w:rPr>
        <w:rFonts w:hint="default"/>
        <w:lang w:val="pt-PT" w:eastAsia="en-US" w:bidi="ar-SA"/>
      </w:rPr>
    </w:lvl>
    <w:lvl w:ilvl="8">
      <w:numFmt w:val="bullet"/>
      <w:lvlText w:val="•"/>
      <w:lvlJc w:val="left"/>
      <w:pPr>
        <w:ind w:left="8453" w:hanging="360"/>
      </w:pPr>
      <w:rPr>
        <w:rFonts w:hint="default"/>
        <w:lang w:val="pt-PT" w:eastAsia="en-US" w:bidi="ar-SA"/>
      </w:rPr>
    </w:lvl>
  </w:abstractNum>
  <w:abstractNum w:abstractNumId="43">
    <w:nsid w:val="7F385898"/>
    <w:multiLevelType w:val="multilevel"/>
    <w:tmpl w:val="3D1A9A96"/>
    <w:lvl w:ilvl="0">
      <w:start w:val="1"/>
      <w:numFmt w:val="decimal"/>
      <w:lvlText w:val="%1."/>
      <w:lvlJc w:val="left"/>
      <w:pPr>
        <w:ind w:left="942" w:hanging="233"/>
        <w:jc w:val="left"/>
      </w:pPr>
      <w:rPr>
        <w:rFonts w:ascii="Times New Roman" w:eastAsia="Times New Roman" w:hAnsi="Times New Roman" w:cs="Times New Roman" w:hint="default"/>
        <w:b/>
        <w:bCs/>
        <w:i w:val="0"/>
        <w:iCs w:val="0"/>
        <w:spacing w:val="-3"/>
        <w:w w:val="92"/>
        <w:sz w:val="24"/>
        <w:szCs w:val="24"/>
        <w:lang w:val="pt-PT" w:eastAsia="en-US" w:bidi="ar-SA"/>
      </w:rPr>
    </w:lvl>
    <w:lvl w:ilvl="1">
      <w:start w:val="1"/>
      <w:numFmt w:val="decimal"/>
      <w:lvlText w:val="%1.%2"/>
      <w:lvlJc w:val="left"/>
      <w:pPr>
        <w:ind w:left="1070" w:hanging="360"/>
        <w:jc w:val="left"/>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upperRoman"/>
      <w:lvlText w:val="%3."/>
      <w:lvlJc w:val="left"/>
      <w:pPr>
        <w:ind w:left="3698" w:hanging="478"/>
        <w:jc w:val="right"/>
      </w:pPr>
      <w:rPr>
        <w:rFonts w:ascii="Times New Roman" w:eastAsia="Times New Roman" w:hAnsi="Times New Roman" w:cs="Times New Roman" w:hint="default"/>
        <w:b w:val="0"/>
        <w:bCs w:val="0"/>
        <w:i w:val="0"/>
        <w:iCs w:val="0"/>
        <w:spacing w:val="0"/>
        <w:w w:val="99"/>
        <w:sz w:val="20"/>
        <w:szCs w:val="20"/>
        <w:lang w:val="pt-PT" w:eastAsia="en-US" w:bidi="ar-SA"/>
      </w:rPr>
    </w:lvl>
    <w:lvl w:ilvl="3">
      <w:numFmt w:val="bullet"/>
      <w:lvlText w:val="•"/>
      <w:lvlJc w:val="left"/>
      <w:pPr>
        <w:ind w:left="4513" w:hanging="478"/>
      </w:pPr>
      <w:rPr>
        <w:rFonts w:hint="default"/>
        <w:lang w:val="pt-PT" w:eastAsia="en-US" w:bidi="ar-SA"/>
      </w:rPr>
    </w:lvl>
    <w:lvl w:ilvl="4">
      <w:numFmt w:val="bullet"/>
      <w:lvlText w:val="•"/>
      <w:lvlJc w:val="left"/>
      <w:pPr>
        <w:ind w:left="5326" w:hanging="478"/>
      </w:pPr>
      <w:rPr>
        <w:rFonts w:hint="default"/>
        <w:lang w:val="pt-PT" w:eastAsia="en-US" w:bidi="ar-SA"/>
      </w:rPr>
    </w:lvl>
    <w:lvl w:ilvl="5">
      <w:numFmt w:val="bullet"/>
      <w:lvlText w:val="•"/>
      <w:lvlJc w:val="left"/>
      <w:pPr>
        <w:ind w:left="6139" w:hanging="478"/>
      </w:pPr>
      <w:rPr>
        <w:rFonts w:hint="default"/>
        <w:lang w:val="pt-PT" w:eastAsia="en-US" w:bidi="ar-SA"/>
      </w:rPr>
    </w:lvl>
    <w:lvl w:ilvl="6">
      <w:numFmt w:val="bullet"/>
      <w:lvlText w:val="•"/>
      <w:lvlJc w:val="left"/>
      <w:pPr>
        <w:ind w:left="6953" w:hanging="478"/>
      </w:pPr>
      <w:rPr>
        <w:rFonts w:hint="default"/>
        <w:lang w:val="pt-PT" w:eastAsia="en-US" w:bidi="ar-SA"/>
      </w:rPr>
    </w:lvl>
    <w:lvl w:ilvl="7">
      <w:numFmt w:val="bullet"/>
      <w:lvlText w:val="•"/>
      <w:lvlJc w:val="left"/>
      <w:pPr>
        <w:ind w:left="7766" w:hanging="478"/>
      </w:pPr>
      <w:rPr>
        <w:rFonts w:hint="default"/>
        <w:lang w:val="pt-PT" w:eastAsia="en-US" w:bidi="ar-SA"/>
      </w:rPr>
    </w:lvl>
    <w:lvl w:ilvl="8">
      <w:numFmt w:val="bullet"/>
      <w:lvlText w:val="•"/>
      <w:lvlJc w:val="left"/>
      <w:pPr>
        <w:ind w:left="8579" w:hanging="478"/>
      </w:pPr>
      <w:rPr>
        <w:rFonts w:hint="default"/>
        <w:lang w:val="pt-PT" w:eastAsia="en-US" w:bidi="ar-SA"/>
      </w:rPr>
    </w:lvl>
  </w:abstractNum>
  <w:num w:numId="1">
    <w:abstractNumId w:val="5"/>
  </w:num>
  <w:num w:numId="2">
    <w:abstractNumId w:val="4"/>
  </w:num>
  <w:num w:numId="3">
    <w:abstractNumId w:val="3"/>
  </w:num>
  <w:num w:numId="4">
    <w:abstractNumId w:val="22"/>
  </w:num>
  <w:num w:numId="5">
    <w:abstractNumId w:val="28"/>
  </w:num>
  <w:num w:numId="6">
    <w:abstractNumId w:val="17"/>
  </w:num>
  <w:num w:numId="7">
    <w:abstractNumId w:val="35"/>
  </w:num>
  <w:num w:numId="8">
    <w:abstractNumId w:val="0"/>
  </w:num>
  <w:num w:numId="9">
    <w:abstractNumId w:val="27"/>
  </w:num>
  <w:num w:numId="10">
    <w:abstractNumId w:val="6"/>
  </w:num>
  <w:num w:numId="11">
    <w:abstractNumId w:val="21"/>
  </w:num>
  <w:num w:numId="12">
    <w:abstractNumId w:val="25"/>
  </w:num>
  <w:num w:numId="13">
    <w:abstractNumId w:val="13"/>
  </w:num>
  <w:num w:numId="14">
    <w:abstractNumId w:val="39"/>
  </w:num>
  <w:num w:numId="15">
    <w:abstractNumId w:val="26"/>
  </w:num>
  <w:num w:numId="16">
    <w:abstractNumId w:val="40"/>
  </w:num>
  <w:num w:numId="17">
    <w:abstractNumId w:val="41"/>
  </w:num>
  <w:num w:numId="18">
    <w:abstractNumId w:val="23"/>
  </w:num>
  <w:num w:numId="19">
    <w:abstractNumId w:val="9"/>
  </w:num>
  <w:num w:numId="20">
    <w:abstractNumId w:val="29"/>
  </w:num>
  <w:num w:numId="21">
    <w:abstractNumId w:val="2"/>
  </w:num>
  <w:num w:numId="22">
    <w:abstractNumId w:val="19"/>
  </w:num>
  <w:num w:numId="23">
    <w:abstractNumId w:val="1"/>
  </w:num>
  <w:num w:numId="24">
    <w:abstractNumId w:val="11"/>
  </w:num>
  <w:num w:numId="25">
    <w:abstractNumId w:val="36"/>
  </w:num>
  <w:num w:numId="26">
    <w:abstractNumId w:val="34"/>
  </w:num>
  <w:num w:numId="27">
    <w:abstractNumId w:val="30"/>
  </w:num>
  <w:num w:numId="28">
    <w:abstractNumId w:val="20"/>
  </w:num>
  <w:num w:numId="29">
    <w:abstractNumId w:val="42"/>
  </w:num>
  <w:num w:numId="30">
    <w:abstractNumId w:val="14"/>
  </w:num>
  <w:num w:numId="31">
    <w:abstractNumId w:val="38"/>
  </w:num>
  <w:num w:numId="32">
    <w:abstractNumId w:val="16"/>
  </w:num>
  <w:num w:numId="33">
    <w:abstractNumId w:val="8"/>
  </w:num>
  <w:num w:numId="34">
    <w:abstractNumId w:val="15"/>
  </w:num>
  <w:num w:numId="35">
    <w:abstractNumId w:val="10"/>
  </w:num>
  <w:num w:numId="36">
    <w:abstractNumId w:val="31"/>
  </w:num>
  <w:num w:numId="37">
    <w:abstractNumId w:val="37"/>
  </w:num>
  <w:num w:numId="38">
    <w:abstractNumId w:val="18"/>
  </w:num>
  <w:num w:numId="39">
    <w:abstractNumId w:val="7"/>
  </w:num>
  <w:num w:numId="40">
    <w:abstractNumId w:val="24"/>
  </w:num>
  <w:num w:numId="41">
    <w:abstractNumId w:val="33"/>
  </w:num>
  <w:num w:numId="42">
    <w:abstractNumId w:val="32"/>
  </w:num>
  <w:num w:numId="43">
    <w:abstractNumId w:val="43"/>
  </w:num>
  <w:num w:numId="44">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hideGrammaticalErrors/>
  <w:defaultTabStop w:val="720"/>
  <w:hyphenationZone w:val="425"/>
  <w:drawingGridHorizontalSpacing w:val="110"/>
  <w:displayHorizontalDrawingGridEvery w:val="2"/>
  <w:characterSpacingControl w:val="doNotCompress"/>
  <w:hdrShapeDefaults>
    <o:shapedefaults v:ext="edit" spidmax="5122"/>
    <o:shapelayout v:ext="edit">
      <o:idmap v:ext="edit" data="2"/>
    </o:shapelayout>
  </w:hdrShapeDefaults>
  <w:footnotePr>
    <w:footnote w:id="0"/>
    <w:footnote w:id="1"/>
  </w:footnotePr>
  <w:endnotePr>
    <w:endnote w:id="0"/>
    <w:endnote w:id="1"/>
  </w:endnotePr>
  <w:compat>
    <w:ulTrailSpace/>
    <w:shapeLayoutLikeWW8/>
  </w:compat>
  <w:rsids>
    <w:rsidRoot w:val="007259F2"/>
    <w:rsid w:val="005268B6"/>
    <w:rsid w:val="00701904"/>
    <w:rsid w:val="007259F2"/>
    <w:rsid w:val="00737EEE"/>
    <w:rsid w:val="00DE6B1C"/>
    <w:rsid w:val="00E655B4"/>
    <w:rsid w:val="00FF4C02"/>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7259F2"/>
    <w:rPr>
      <w:rFonts w:ascii="Times New Roman" w:eastAsia="Times New Roman" w:hAnsi="Times New Roman" w:cs="Times New Roman"/>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7259F2"/>
    <w:tblPr>
      <w:tblInd w:w="0" w:type="dxa"/>
      <w:tblCellMar>
        <w:top w:w="0" w:type="dxa"/>
        <w:left w:w="0" w:type="dxa"/>
        <w:bottom w:w="0" w:type="dxa"/>
        <w:right w:w="0" w:type="dxa"/>
      </w:tblCellMar>
    </w:tblPr>
  </w:style>
  <w:style w:type="paragraph" w:customStyle="1" w:styleId="TOC1">
    <w:name w:val="TOC 1"/>
    <w:basedOn w:val="Normal"/>
    <w:uiPriority w:val="1"/>
    <w:qFormat/>
    <w:rsid w:val="007259F2"/>
    <w:pPr>
      <w:spacing w:before="125"/>
      <w:ind w:left="140"/>
    </w:pPr>
    <w:rPr>
      <w:b/>
      <w:bCs/>
      <w:sz w:val="24"/>
      <w:szCs w:val="24"/>
    </w:rPr>
  </w:style>
  <w:style w:type="paragraph" w:customStyle="1" w:styleId="TOC2">
    <w:name w:val="TOC 2"/>
    <w:basedOn w:val="Normal"/>
    <w:uiPriority w:val="1"/>
    <w:qFormat/>
    <w:rsid w:val="007259F2"/>
    <w:pPr>
      <w:spacing w:before="12"/>
      <w:ind w:left="140"/>
    </w:pPr>
    <w:rPr>
      <w:i/>
      <w:iCs/>
      <w:sz w:val="24"/>
      <w:szCs w:val="24"/>
    </w:rPr>
  </w:style>
  <w:style w:type="paragraph" w:styleId="Corpodetexto">
    <w:name w:val="Body Text"/>
    <w:basedOn w:val="Normal"/>
    <w:uiPriority w:val="1"/>
    <w:qFormat/>
    <w:rsid w:val="007259F2"/>
    <w:pPr>
      <w:ind w:left="710" w:firstLine="707"/>
      <w:jc w:val="both"/>
    </w:pPr>
    <w:rPr>
      <w:sz w:val="24"/>
      <w:szCs w:val="24"/>
    </w:rPr>
  </w:style>
  <w:style w:type="paragraph" w:customStyle="1" w:styleId="Heading1">
    <w:name w:val="Heading 1"/>
    <w:basedOn w:val="Normal"/>
    <w:uiPriority w:val="1"/>
    <w:qFormat/>
    <w:rsid w:val="007259F2"/>
    <w:pPr>
      <w:ind w:left="710"/>
      <w:outlineLvl w:val="1"/>
    </w:pPr>
    <w:rPr>
      <w:b/>
      <w:bCs/>
      <w:sz w:val="24"/>
      <w:szCs w:val="24"/>
    </w:rPr>
  </w:style>
  <w:style w:type="paragraph" w:customStyle="1" w:styleId="Heading2">
    <w:name w:val="Heading 2"/>
    <w:basedOn w:val="Normal"/>
    <w:uiPriority w:val="1"/>
    <w:qFormat/>
    <w:rsid w:val="007259F2"/>
    <w:pPr>
      <w:spacing w:before="207"/>
      <w:ind w:left="710"/>
      <w:jc w:val="both"/>
      <w:outlineLvl w:val="2"/>
    </w:pPr>
    <w:rPr>
      <w:b/>
      <w:bCs/>
      <w:sz w:val="24"/>
      <w:szCs w:val="24"/>
    </w:rPr>
  </w:style>
  <w:style w:type="paragraph" w:styleId="Ttulo">
    <w:name w:val="Title"/>
    <w:basedOn w:val="Normal"/>
    <w:uiPriority w:val="1"/>
    <w:qFormat/>
    <w:rsid w:val="007259F2"/>
    <w:pPr>
      <w:spacing w:before="267"/>
      <w:ind w:left="4561" w:right="50" w:hanging="4456"/>
    </w:pPr>
    <w:rPr>
      <w:rFonts w:ascii="Arial Black" w:eastAsia="Arial Black" w:hAnsi="Arial Black" w:cs="Arial Black"/>
      <w:sz w:val="119"/>
      <w:szCs w:val="119"/>
    </w:rPr>
  </w:style>
  <w:style w:type="paragraph" w:styleId="PargrafodaLista">
    <w:name w:val="List Paragraph"/>
    <w:basedOn w:val="Normal"/>
    <w:uiPriority w:val="1"/>
    <w:qFormat/>
    <w:rsid w:val="007259F2"/>
    <w:pPr>
      <w:ind w:left="2978"/>
      <w:jc w:val="both"/>
    </w:pPr>
  </w:style>
  <w:style w:type="paragraph" w:customStyle="1" w:styleId="TableParagraph">
    <w:name w:val="Table Paragraph"/>
    <w:basedOn w:val="Normal"/>
    <w:uiPriority w:val="1"/>
    <w:qFormat/>
    <w:rsid w:val="007259F2"/>
    <w:pPr>
      <w:ind w:left="319"/>
    </w:pPr>
  </w:style>
  <w:style w:type="paragraph" w:styleId="Textodebalo">
    <w:name w:val="Balloon Text"/>
    <w:basedOn w:val="Normal"/>
    <w:link w:val="TextodebaloChar"/>
    <w:uiPriority w:val="99"/>
    <w:semiHidden/>
    <w:unhideWhenUsed/>
    <w:rsid w:val="00FF4C02"/>
    <w:rPr>
      <w:rFonts w:ascii="Tahoma" w:hAnsi="Tahoma" w:cs="Tahoma"/>
      <w:sz w:val="16"/>
      <w:szCs w:val="16"/>
    </w:rPr>
  </w:style>
  <w:style w:type="character" w:customStyle="1" w:styleId="TextodebaloChar">
    <w:name w:val="Texto de balão Char"/>
    <w:basedOn w:val="Fontepargpadro"/>
    <w:link w:val="Textodebalo"/>
    <w:uiPriority w:val="99"/>
    <w:semiHidden/>
    <w:rsid w:val="00FF4C02"/>
    <w:rPr>
      <w:rFonts w:ascii="Tahoma" w:eastAsia="Times New Roman" w:hAnsi="Tahoma" w:cs="Tahoma"/>
      <w:sz w:val="16"/>
      <w:szCs w:val="16"/>
      <w:lang w:val="pt-PT"/>
    </w:rPr>
  </w:style>
  <w:style w:type="paragraph" w:styleId="Cabealho">
    <w:name w:val="header"/>
    <w:basedOn w:val="Normal"/>
    <w:link w:val="CabealhoChar"/>
    <w:uiPriority w:val="99"/>
    <w:unhideWhenUsed/>
    <w:rsid w:val="00FF4C02"/>
    <w:pPr>
      <w:tabs>
        <w:tab w:val="center" w:pos="4252"/>
        <w:tab w:val="right" w:pos="8504"/>
      </w:tabs>
    </w:pPr>
  </w:style>
  <w:style w:type="character" w:customStyle="1" w:styleId="CabealhoChar">
    <w:name w:val="Cabeçalho Char"/>
    <w:basedOn w:val="Fontepargpadro"/>
    <w:link w:val="Cabealho"/>
    <w:uiPriority w:val="99"/>
    <w:rsid w:val="00FF4C02"/>
    <w:rPr>
      <w:rFonts w:ascii="Times New Roman" w:eastAsia="Times New Roman" w:hAnsi="Times New Roman" w:cs="Times New Roman"/>
      <w:lang w:val="pt-PT"/>
    </w:rPr>
  </w:style>
  <w:style w:type="paragraph" w:styleId="Rodap">
    <w:name w:val="footer"/>
    <w:basedOn w:val="Normal"/>
    <w:link w:val="RodapChar"/>
    <w:uiPriority w:val="99"/>
    <w:semiHidden/>
    <w:unhideWhenUsed/>
    <w:rsid w:val="00FF4C02"/>
    <w:pPr>
      <w:tabs>
        <w:tab w:val="center" w:pos="4252"/>
        <w:tab w:val="right" w:pos="8504"/>
      </w:tabs>
    </w:pPr>
  </w:style>
  <w:style w:type="character" w:customStyle="1" w:styleId="RodapChar">
    <w:name w:val="Rodapé Char"/>
    <w:basedOn w:val="Fontepargpadro"/>
    <w:link w:val="Rodap"/>
    <w:uiPriority w:val="99"/>
    <w:semiHidden/>
    <w:rsid w:val="00FF4C02"/>
    <w:rPr>
      <w:rFonts w:ascii="Times New Roman" w:eastAsia="Times New Roman" w:hAnsi="Times New Roman" w:cs="Times New Roman"/>
      <w:lang w:val="pt-PT"/>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117" Type="http://schemas.openxmlformats.org/officeDocument/2006/relationships/hyperlink" Target="https://data.imf.org/?sk=a0867067-d23c-4ebc-ad23-d3b015045405&amp;sid=154444838607" TargetMode="External"/><Relationship Id="rId299" Type="http://schemas.openxmlformats.org/officeDocument/2006/relationships/hyperlink" Target="https://legislacao.prefeitura.sp.gov.br/leis/lei-20000-de-19-de-julho-de-2007" TargetMode="External"/><Relationship Id="rId21" Type="http://schemas.openxmlformats.org/officeDocument/2006/relationships/hyperlink" Target="http://www.scielo.br/j/icse/a/ZvjJ4wJr4SWLZL5hJmWD6QR/" TargetMode="External"/><Relationship Id="rId63" Type="http://schemas.openxmlformats.org/officeDocument/2006/relationships/hyperlink" Target="https://noticias.uol.com.br/politica/ultimas-noticias/2023/11/08/psol-investigacao-mp-obras-sem-licitacao-nunes-sp.htm" TargetMode="External"/><Relationship Id="rId159" Type="http://schemas.openxmlformats.org/officeDocument/2006/relationships/hyperlink" Target="https://legislacao.prefeitura.sp.gov.br/leis/decreto-58526-de-23-de-novembro-de-2018/consolidado" TargetMode="External"/><Relationship Id="rId324" Type="http://schemas.openxmlformats.org/officeDocument/2006/relationships/hyperlink" Target="https://legislacao.prefeitura.sp.gov.br/leis/lei-20000-de-19-de-julho-de-2007" TargetMode="External"/><Relationship Id="rId366" Type="http://schemas.openxmlformats.org/officeDocument/2006/relationships/hyperlink" Target="https://www.planalto.gov.br/ccivil_03/_Ato2015-2018/2016/Lei/L13311.htm" TargetMode="External"/><Relationship Id="rId170" Type="http://schemas.openxmlformats.org/officeDocument/2006/relationships/hyperlink" Target="http://www.planalto.gov.br/ccivil_03/leis/2002/l10406compilada.htm" TargetMode="External"/><Relationship Id="rId226" Type="http://schemas.openxmlformats.org/officeDocument/2006/relationships/hyperlink" Target="https://www.planalto.gov.br/ccivil_03/_ato2011-2014/2014/lei/l13019.htm" TargetMode="External"/><Relationship Id="rId433" Type="http://schemas.openxmlformats.org/officeDocument/2006/relationships/hyperlink" Target="http://www.planalto.gov.br/ccivil_03/decreto/antigos/d20910.htm" TargetMode="External"/><Relationship Id="rId268" Type="http://schemas.openxmlformats.org/officeDocument/2006/relationships/hyperlink" Target="https://legislacao.prefeitura.sp.gov.br/leis/lei-17585-de-26-de-julho-de-2021" TargetMode="External"/><Relationship Id="rId475" Type="http://schemas.openxmlformats.org/officeDocument/2006/relationships/hyperlink" Target="https://www.ojp.gov/ncjrs/virtual-library/abstracts/settling-things-six-case-studiesenvironmental-mediation" TargetMode="External"/><Relationship Id="rId32" Type="http://schemas.openxmlformats.org/officeDocument/2006/relationships/hyperlink" Target="http://www.planalto.gov.br/ccivil_03/Leis/L8078compilado.htm" TargetMode="External"/><Relationship Id="rId74" Type="http://schemas.openxmlformats.org/officeDocument/2006/relationships/hyperlink" Target="https://www.google.com/search?q=https%3A//pesquisa.apps.tcu.gov.br/documento/acordao-completo/%2A/NUMACORDAO%25253A34%252520ANOACORDAO%25253A2011%252520/DTRELEVANCIA%252520desc%25252C%252520NUMACORDAOINT%252520desc/2" TargetMode="External"/><Relationship Id="rId128" Type="http://schemas.openxmlformats.org/officeDocument/2006/relationships/hyperlink" Target="http://hdl.handle.net/10400.5/12349" TargetMode="External"/><Relationship Id="rId335" Type="http://schemas.openxmlformats.org/officeDocument/2006/relationships/hyperlink" Target="https://www.prefeitura.sp.gov.br/cidade/secretarias/upload/governo/SEPEP/arquivos/pdm-versao-final-participativa.pdf" TargetMode="External"/><Relationship Id="rId377" Type="http://schemas.openxmlformats.org/officeDocument/2006/relationships/hyperlink" Target="https://periodicos.fgv.br/rda/article/download/41549/40862/86581" TargetMode="External"/><Relationship Id="rId5" Type="http://schemas.openxmlformats.org/officeDocument/2006/relationships/footnotes" Target="footnotes.xml"/><Relationship Id="rId181" Type="http://schemas.openxmlformats.org/officeDocument/2006/relationships/hyperlink" Target="http://bdor.sibi.ufrj.br/handle/doc/348" TargetMode="External"/><Relationship Id="rId237" Type="http://schemas.openxmlformats.org/officeDocument/2006/relationships/hyperlink" Target="http://www.al.sp.gov.br/StaticFile/ilp/questoes_fundam_de_tecn_legis_-" TargetMode="External"/><Relationship Id="rId402" Type="http://schemas.openxmlformats.org/officeDocument/2006/relationships/hyperlink" Target="https://www.google.com/search?q=https%3A//www2.camara.leg.br/legin/fed/declei/1930-1939/decreto-lei-710-17-setembro-1938-358386-publicacaooriginal-1-pe.html%23%3A~%3Atext%3DReorganiza%2520a%2520Diretoria%2520do%2520Dom%25C3%25ADnio%2520da%2520Uni%25C3%25A3o.%26text%3Dos%2520bens%2520dos%2520devedores%2520da%2Cna%2520forma%2520do%2520C%25C3%25B3digo%2520Civil" TargetMode="External"/><Relationship Id="rId279" Type="http://schemas.openxmlformats.org/officeDocument/2006/relationships/hyperlink" Target="https://legislacao.prefeitura.sp.gov.br/leis/lei-20000-de-19-de-julho-de-2007" TargetMode="External"/><Relationship Id="rId444" Type="http://schemas.openxmlformats.org/officeDocument/2006/relationships/hyperlink" Target="mailto:rmpm.97@outlook.com" TargetMode="External"/><Relationship Id="rId43" Type="http://schemas.openxmlformats.org/officeDocument/2006/relationships/image" Target="media/image8.png"/><Relationship Id="rId139" Type="http://schemas.openxmlformats.org/officeDocument/2006/relationships/hyperlink" Target="http://www.planalto.gov.br/ccivil_03/constituicao/Constituicao67EMC69.htm" TargetMode="External"/><Relationship Id="rId290" Type="http://schemas.openxmlformats.org/officeDocument/2006/relationships/hyperlink" Target="https://legislacao.prefeitura.sp.gov.br/leis/lei-20000-de-19-de-julho-de-2007" TargetMode="External"/><Relationship Id="rId304" Type="http://schemas.openxmlformats.org/officeDocument/2006/relationships/hyperlink" Target="https://legislacao.prefeitura.sp.gov.br/leis/lei-20000-de-19-de-julho-de-2007" TargetMode="External"/><Relationship Id="rId346" Type="http://schemas.openxmlformats.org/officeDocument/2006/relationships/hyperlink" Target="https://pesquisa-eaesp.fgv.br/sites/gvpesquisa.fgv.br/files/arquivos/accountability_nos_atos_da_administracao_publica_federal_brasileira.pdf" TargetMode="External"/><Relationship Id="rId388" Type="http://schemas.openxmlformats.org/officeDocument/2006/relationships/hyperlink" Target="https://redir.stf.jus.br/paginadorpub/paginador.jsp?docTP=AC&amp;docID=618164" TargetMode="External"/><Relationship Id="rId85" Type="http://schemas.openxmlformats.org/officeDocument/2006/relationships/hyperlink" Target="https://www.google.com/search?q=https%3A//sei.prefeitura.sp.gov.br/sei/controlador.php%3Facao%3Dprocedimento_trabalhar%26acao_origem%3Dprotocolo_pesquisa_rapida%26id_protocolo%3D89732464%26infra_sistema%3D100000100%26infra_unidade_atual%3D110002104%26infra_hash%3Dcfc2f3d07f679c4846c64e2f55c732dd06d0317783433d409888c86ed4783919%23" TargetMode="External"/><Relationship Id="rId150" Type="http://schemas.openxmlformats.org/officeDocument/2006/relationships/hyperlink" Target="https://www.congressonacional.leg.br/materias/materias-bicamerais/-/ver/pl-259-1999" TargetMode="External"/><Relationship Id="rId192" Type="http://schemas.openxmlformats.org/officeDocument/2006/relationships/hyperlink" Target="https://www.migalhas.com.br/depeso/344058/municipio-de-sao-paulo-retira-consulta-do-valor-venal-de-referencia" TargetMode="External"/><Relationship Id="rId206" Type="http://schemas.openxmlformats.org/officeDocument/2006/relationships/hyperlink" Target="http://www.planalto.gov.br/ccivil_03/_ato2015-2018/2017/lei/l13465.htm" TargetMode="External"/><Relationship Id="rId413" Type="http://schemas.openxmlformats.org/officeDocument/2006/relationships/hyperlink" Target="https://www.planalto.gov.br/ccivil_03/leis/l3071.htm" TargetMode="External"/><Relationship Id="rId248" Type="http://schemas.openxmlformats.org/officeDocument/2006/relationships/hyperlink" Target="https://legislacao.prefeitura.sp.gov.br/leis/lei-20000-de-19-de-julho-de-2007" TargetMode="External"/><Relationship Id="rId455" Type="http://schemas.openxmlformats.org/officeDocument/2006/relationships/hyperlink" Target="https://www.planalto.gov.br/ccivil_03/_ato2011-2014/2014/lei/l13019.htm" TargetMode="External"/><Relationship Id="rId12" Type="http://schemas.openxmlformats.org/officeDocument/2006/relationships/header" Target="header1.xml"/><Relationship Id="rId108" Type="http://schemas.openxmlformats.org/officeDocument/2006/relationships/hyperlink" Target="http://www.planalto.gov.br/ccivil_03/decreto-lei/del5452.html" TargetMode="External"/><Relationship Id="rId315" Type="http://schemas.openxmlformats.org/officeDocument/2006/relationships/hyperlink" Target="https://legislacao.prefeitura.sp.gov.br/leis/lei-14493-de-9-de-agosto-de-2007" TargetMode="External"/><Relationship Id="rId357" Type="http://schemas.openxmlformats.org/officeDocument/2006/relationships/hyperlink" Target="https://www.scielo.br/j/rsocp/a/V4CY3KD3B8MHBgjrrxgQwkH/?format=pdf&amp;lang=pt" TargetMode="External"/><Relationship Id="rId54" Type="http://schemas.openxmlformats.org/officeDocument/2006/relationships/hyperlink" Target="https://schreiber.adv.br/downloads/funcao-social-da-propriedade-na-pratica-jurisprudencial-brasileira.pdf" TargetMode="External"/><Relationship Id="rId96" Type="http://schemas.openxmlformats.org/officeDocument/2006/relationships/hyperlink" Target="mailto:felipe.monteiro13@hormail.com" TargetMode="External"/><Relationship Id="rId161" Type="http://schemas.openxmlformats.org/officeDocument/2006/relationships/hyperlink" Target="https://legislacao.prefeitura.sp.gov.br/leis/decreto-59749-de-9-de-setembro-de-2020/consolidado" TargetMode="External"/><Relationship Id="rId217" Type="http://schemas.openxmlformats.org/officeDocument/2006/relationships/hyperlink" Target="http://www.planalto.g/" TargetMode="External"/><Relationship Id="rId399" Type="http://schemas.openxmlformats.org/officeDocument/2006/relationships/hyperlink" Target="https://www.google.com/search?q=https%3A//www2.camara.leg.br/legin/fed/decret/1930-1939/decreto-22785-31-maio-1933-505782-publicacaooriginal-1-pe.html%23%3A~%3Atext%3DDecreta%253A-%2CArt.%2Cn%25C3%25A3o%2520s%25C3%25A3o%2520sujeitos%2520a%2520usucapi%25C3%25A3o" TargetMode="External"/><Relationship Id="rId259" Type="http://schemas.openxmlformats.org/officeDocument/2006/relationships/hyperlink" Target="https://legislacao.prefeitura.sp.gov.br/leis/lei-20000-de-19-de-julho-de-2007" TargetMode="External"/><Relationship Id="rId424" Type="http://schemas.openxmlformats.org/officeDocument/2006/relationships/hyperlink" Target="https://sistemas.uft.edu.br/periodicos/index.php/direito/article/view/2860" TargetMode="External"/><Relationship Id="rId466" Type="http://schemas.openxmlformats.org/officeDocument/2006/relationships/footer" Target="footer28.xml"/><Relationship Id="rId23" Type="http://schemas.openxmlformats.org/officeDocument/2006/relationships/hyperlink" Target="http://www.scielo.br/j/rbem/a/PgYxhjqpFYqvYKm8HvQkDtP/abstract/?lang=pt" TargetMode="External"/><Relationship Id="rId119" Type="http://schemas.openxmlformats.org/officeDocument/2006/relationships/hyperlink" Target="http://www.planalto.gov.br/ccivil_03/constituicao/constituicao.htm" TargetMode="External"/><Relationship Id="rId270" Type="http://schemas.openxmlformats.org/officeDocument/2006/relationships/hyperlink" Target="https://legislacao.prefeitura.sp.gov.br/leis/lei-20000-de-19-de-julho-de-2007" TargetMode="External"/><Relationship Id="rId326" Type="http://schemas.openxmlformats.org/officeDocument/2006/relationships/hyperlink" Target="https://legislacao.prefeitura.sp.gov.br/leis/lei-20000-de-19-de-julho-de-2007" TargetMode="External"/><Relationship Id="rId65" Type="http://schemas.openxmlformats.org/officeDocument/2006/relationships/hyperlink" Target="https://www.planalto.gov.br/ccivil_03/_ato2019-2022/2021/lei/l14133.htm" TargetMode="External"/><Relationship Id="rId130" Type="http://schemas.openxmlformats.org/officeDocument/2006/relationships/hyperlink" Target="http://www.migalhas.com.br/depeso/297334/a-tributacao-de-lucros-e-dividendos-e-seus-" TargetMode="External"/><Relationship Id="rId368" Type="http://schemas.openxmlformats.org/officeDocument/2006/relationships/image" Target="media/image12.jpeg"/><Relationship Id="rId172" Type="http://schemas.openxmlformats.org/officeDocument/2006/relationships/hyperlink" Target="http://www.planalto.gov.br/ccivil_03/_Ato2015-2018/2016/Lei/L13243.htm" TargetMode="External"/><Relationship Id="rId228" Type="http://schemas.openxmlformats.org/officeDocument/2006/relationships/hyperlink" Target="http://www.planalto.gov.br/ccivil_03/_ato2015-2018/2015/lei/l13204.htm" TargetMode="External"/><Relationship Id="rId435" Type="http://schemas.openxmlformats.org/officeDocument/2006/relationships/footer" Target="footer9.xml"/><Relationship Id="rId477" Type="http://schemas.openxmlformats.org/officeDocument/2006/relationships/footer" Target="footer36.xml"/><Relationship Id="rId281" Type="http://schemas.openxmlformats.org/officeDocument/2006/relationships/hyperlink" Target="https://legislacao.prefeitura.sp.gov.br/leis/lei-20000-de-19-de-julho-de-2007" TargetMode="External"/><Relationship Id="rId337" Type="http://schemas.openxmlformats.org/officeDocument/2006/relationships/hyperlink" Target="https://eur-lex.europa.eu/legal-content/PT/TXT/?uri=celex%3A32004L0018" TargetMode="External"/><Relationship Id="rId34" Type="http://schemas.openxmlformats.org/officeDocument/2006/relationships/hyperlink" Target="http://www.planalto.gov.br/ccivil_03/leis/l9637.htm" TargetMode="External"/><Relationship Id="rId76" Type="http://schemas.openxmlformats.org/officeDocument/2006/relationships/hyperlink" Target="https://g1.globo.com/sp/sao-paulo/noticia/2024/03/05/psol-e-pt-protocolam-pedido-de-cpi-na-camara-de-sp-e-investigacao-no-mp-sobre-suspeita-de-conluio-em-contratos-de-obras-emergenciais-de-nunes.ghtml" TargetMode="External"/><Relationship Id="rId141" Type="http://schemas.openxmlformats.org/officeDocument/2006/relationships/hyperlink" Target="mailto:luanateles.adv@outlook.com" TargetMode="External"/><Relationship Id="rId379" Type="http://schemas.openxmlformats.org/officeDocument/2006/relationships/hyperlink" Target="https://gestaourbana.prefeitura.sp.gov.br/wp-content/uploads/2023/02/06_Funcao-Social-da-Propriedade-e-Retrofit.pdf" TargetMode="External"/><Relationship Id="rId7" Type="http://schemas.openxmlformats.org/officeDocument/2006/relationships/image" Target="media/image1.png"/><Relationship Id="rId183" Type="http://schemas.openxmlformats.org/officeDocument/2006/relationships/hyperlink" Target="http://www.stj.jus.br/webstj/Processo/justica/jurisprudencia.asp?valor=%20202000120791" TargetMode="External"/><Relationship Id="rId239" Type="http://schemas.openxmlformats.org/officeDocument/2006/relationships/hyperlink" Target="file://localhost/C:/Users/d909007/Desktop/Monografia/Manual%20de%20Reda&#195;&#167;&#195;&#163;o%20Legislativa/Rubens_Naman_Rizek_Junior_Tese.pdf" TargetMode="External"/><Relationship Id="rId390" Type="http://schemas.openxmlformats.org/officeDocument/2006/relationships/hyperlink" Target="https://www.google.com/search?q=https%3A//ppf.adv.br/conteudo/imunidade-tributaria-reciproca-e-imovel-publico-cedido-a-particular" TargetMode="External"/><Relationship Id="rId404" Type="http://schemas.openxmlformats.org/officeDocument/2006/relationships/hyperlink" Target="https://www.google.com/search?q=https%3A//www2.camara.leg.br/legin/fed/declei/1930-1939/decreto-lei-710-17-setembro-1938-358386-publicacaooriginal-1-pe.html%23%3A~%3Atext%3DReorganiza%2520a%2520Diretoria%2520do%2520Dom%25C3%25ADnio%2520da%2520Uni%25C3%25A3o.%26text%3Dos%2520bens%2520dos%2520devedores%2520da%2Cna%2520forma%2520do%2520C%25C3%25B3digo%2520Civil" TargetMode="External"/><Relationship Id="rId446" Type="http://schemas.openxmlformats.org/officeDocument/2006/relationships/footer" Target="footer19.xml"/><Relationship Id="rId250" Type="http://schemas.openxmlformats.org/officeDocument/2006/relationships/hyperlink" Target="https://legislacao.prefeitura.sp.gov.br/leis/lei-20000-de-19-de-julho-de-2007" TargetMode="External"/><Relationship Id="rId292" Type="http://schemas.openxmlformats.org/officeDocument/2006/relationships/hyperlink" Target="https://legislacao.prefeitura.sp.gov.br/leis/lei-20000-de-19-de-julho-de-2007" TargetMode="External"/><Relationship Id="rId306" Type="http://schemas.openxmlformats.org/officeDocument/2006/relationships/hyperlink" Target="https://legislacao.prefeitura.sp.gov.br/leis/lei-20000-de-19-de-julho-de-2007" TargetMode="External"/><Relationship Id="rId45" Type="http://schemas.openxmlformats.org/officeDocument/2006/relationships/hyperlink" Target="http://www.planalto.gov.br/ccivil_03/leis/L8666consimpressao.htm" TargetMode="External"/><Relationship Id="rId87" Type="http://schemas.openxmlformats.org/officeDocument/2006/relationships/hyperlink" Target="mailto:daniel.araujo.assis@gmail.com" TargetMode="External"/><Relationship Id="rId110" Type="http://schemas.openxmlformats.org/officeDocument/2006/relationships/hyperlink" Target="https://www.migalhas.com.br/depeso/297334/a-tributacao-de-lucros-e-dividendos-e-seus-potenciais-efeitostributarios-e-trabalhistas-para-o-mercado" TargetMode="External"/><Relationship Id="rId348" Type="http://schemas.openxmlformats.org/officeDocument/2006/relationships/hyperlink" Target="https://www12.senado.leg.br/ril/edicoes/56/224/ril_v56_n224_p105" TargetMode="External"/><Relationship Id="rId152" Type="http://schemas.openxmlformats.org/officeDocument/2006/relationships/hyperlink" Target="http://portal.mec.gov.br/dmdocuments/cnecp_003.pdf" TargetMode="External"/><Relationship Id="rId194" Type="http://schemas.openxmlformats.org/officeDocument/2006/relationships/hyperlink" Target="https://www.conjur.com.br/2022-out-28/questao-processual-ameaca-tese-stj-base-calculo-itbi/" TargetMode="External"/><Relationship Id="rId208" Type="http://schemas.openxmlformats.org/officeDocument/2006/relationships/hyperlink" Target="https://economia.uol.com.br/noticias/agencia-%20brasil/2024/01/17/concentracao-de-renda-bate-recorde-historico-no-brasil-diz-pesquisa.htm" TargetMode="External"/><Relationship Id="rId415" Type="http://schemas.openxmlformats.org/officeDocument/2006/relationships/hyperlink" Target="https://www.google.com/search?q=https%3A//processo.stj.jus.br/processo/monocraticas/decisoes/%3Fnum_registro%3D201502352360%26dt_publicacao%3D05/08/2019" TargetMode="External"/><Relationship Id="rId457" Type="http://schemas.openxmlformats.org/officeDocument/2006/relationships/hyperlink" Target="https://portal.stf.jus.br/jurisprudenciaRepercussao/verAndamentoProcesso.asp?incidente=6048634&amp;numeroProcesso=1298647&amp;classeProcesso=RE&amp;numeroTema=1118" TargetMode="External"/><Relationship Id="rId261" Type="http://schemas.openxmlformats.org/officeDocument/2006/relationships/hyperlink" Target="https://legislacao.prefeitura.sp.gov.br/leis/lei-20000-de-19-de-julho-de-2007" TargetMode="External"/><Relationship Id="rId14" Type="http://schemas.openxmlformats.org/officeDocument/2006/relationships/hyperlink" Target="mailto:guilhermegskrivan@prefeitura.sp.gov.br" TargetMode="External"/><Relationship Id="rId56" Type="http://schemas.openxmlformats.org/officeDocument/2006/relationships/hyperlink" Target="https://proview.thomsonreuters.com/launchapp/title/rt/monografias/282422094/v1/page/1" TargetMode="External"/><Relationship Id="rId317" Type="http://schemas.openxmlformats.org/officeDocument/2006/relationships/hyperlink" Target="https://legislacao.prefeitura.sp.gov.br/leis/lei-20000-de-19-de-julho-de-2007" TargetMode="External"/><Relationship Id="rId359" Type="http://schemas.openxmlformats.org/officeDocument/2006/relationships/hyperlink" Target="https://legislacao.prefeitura.sp.gov.br/leis/decreto-61928-de-25-de-outubro-de-2022" TargetMode="External"/><Relationship Id="rId98" Type="http://schemas.openxmlformats.org/officeDocument/2006/relationships/hyperlink" Target="http://www.planalto.gov.br/ccivil_03/constituicao/constituicao.htm" TargetMode="External"/><Relationship Id="rId121" Type="http://schemas.openxmlformats.org/officeDocument/2006/relationships/hyperlink" Target="https://www.gov.br/receitafederal" TargetMode="External"/><Relationship Id="rId163" Type="http://schemas.openxmlformats.org/officeDocument/2006/relationships/hyperlink" Target="mailto:lregamato0@gmail.com" TargetMode="External"/><Relationship Id="rId219" Type="http://schemas.openxmlformats.org/officeDocument/2006/relationships/hyperlink" Target="http://www.prefeitura.sp.gov.br/cidade/secretarias/upload/LOM.pdf" TargetMode="External"/><Relationship Id="rId370" Type="http://schemas.openxmlformats.org/officeDocument/2006/relationships/image" Target="media/image14.jpeg"/><Relationship Id="rId426" Type="http://schemas.openxmlformats.org/officeDocument/2006/relationships/hyperlink" Target="https://www5.tjmg.jus.br/jurisprudencia/pesquisaNumeroCNJEspelhoAcordao.do%3Bjsessionid%3D182EFE2B016B7E376BB8CD21BDA01937.juri_node2?numeroRegistro=1&amp;totalLinhas=1&amp;linhasPorPagina=10&amp;numeroUnico=1.0194.10.011238-3%2F001&amp;pesquisaNumeroCNJ=Pesquisar" TargetMode="External"/><Relationship Id="rId230" Type="http://schemas.openxmlformats.org/officeDocument/2006/relationships/hyperlink" Target="https://www.planalto.gov.br/ccivil_03/_ato2011-2014/2014/lei/l13019.htm" TargetMode="External"/><Relationship Id="rId468" Type="http://schemas.openxmlformats.org/officeDocument/2006/relationships/footer" Target="footer30.xml"/><Relationship Id="rId25" Type="http://schemas.openxmlformats.org/officeDocument/2006/relationships/hyperlink" Target="http://www.scielo.br/j/icse/a/qYWSNj6CdKGt7FxF4HFR9Lj/abstract/?lang=pt" TargetMode="External"/><Relationship Id="rId67" Type="http://schemas.openxmlformats.org/officeDocument/2006/relationships/hyperlink" Target="https://www.google.com/search?q=https%3A//processo.stj.jus.br/processo/julgamento/eletronico/documento/mediado/%3Fdocumento_tipo%3Dintegra%26documento_sequencial%3D268145217%26registro_numero%3D202100861180%26peticao_numero%3D%26publicacao_data%3D20240902%26formato%3DPDF" TargetMode="External"/><Relationship Id="rId272" Type="http://schemas.openxmlformats.org/officeDocument/2006/relationships/hyperlink" Target="https://legislacao.prefeitura.sp.gov.br/leis/lei-14889-de-20-de-janeiro-de-2009" TargetMode="External"/><Relationship Id="rId328" Type="http://schemas.openxmlformats.org/officeDocument/2006/relationships/hyperlink" Target="https://legislacao.prefeitura.sp.gov.br/leis/lei-20000-de-19-de-julho-de-2007" TargetMode="External"/><Relationship Id="rId132" Type="http://schemas.openxmlformats.org/officeDocument/2006/relationships/hyperlink" Target="http://www.planalto.gov.br/ccivil_03/constituicao/constituicao.htm" TargetMode="External"/><Relationship Id="rId174" Type="http://schemas.openxmlformats.org/officeDocument/2006/relationships/hyperlink" Target="https://founders.archives.gov/documents/Jefferson/03-06-02-0322" TargetMode="External"/><Relationship Id="rId381" Type="http://schemas.openxmlformats.org/officeDocument/2006/relationships/hyperlink" Target="http://legislacao.prefeitura.sp.gov.br/leis/lei-13430-de-01-de-setembro-de-2002" TargetMode="External"/><Relationship Id="rId241" Type="http://schemas.openxmlformats.org/officeDocument/2006/relationships/hyperlink" Target="https://www.direito.ufmg.br/revista/index.php/revista/article/view/31" TargetMode="External"/><Relationship Id="rId437" Type="http://schemas.openxmlformats.org/officeDocument/2006/relationships/footer" Target="footer11.xml"/><Relationship Id="rId479" Type="http://schemas.openxmlformats.org/officeDocument/2006/relationships/glossaryDocument" Target="glossary/document.xml"/><Relationship Id="rId36" Type="http://schemas.openxmlformats.org/officeDocument/2006/relationships/hyperlink" Target="http://www.jusbrasil.com.br/artigos/a-" TargetMode="External"/><Relationship Id="rId283" Type="http://schemas.openxmlformats.org/officeDocument/2006/relationships/hyperlink" Target="https://legislacao.prefeitura.sp.gov.br/leis/lei-20000-de-19-de-julho-de-2007" TargetMode="External"/><Relationship Id="rId339" Type="http://schemas.openxmlformats.org/officeDocument/2006/relationships/hyperlink" Target="http://www.revistas.usp.br/rfdusp/article/view/218271" TargetMode="External"/><Relationship Id="rId78" Type="http://schemas.openxmlformats.org/officeDocument/2006/relationships/hyperlink" Target="https://www.metropoles.com/sao-paulo/mpsp-apura-irregularidades-em-36-contratos-sem-licitacao-da-prefeitura" TargetMode="External"/><Relationship Id="rId101" Type="http://schemas.openxmlformats.org/officeDocument/2006/relationships/hyperlink" Target="http://www.planalto.gov.br/ccivil_03/leis/l6404consol.htm" TargetMode="External"/><Relationship Id="rId143" Type="http://schemas.openxmlformats.org/officeDocument/2006/relationships/hyperlink" Target="https://www.planalto.gov.br/ccivil_03/leis/L9394.htm" TargetMode="External"/><Relationship Id="rId185" Type="http://schemas.openxmlformats.org/officeDocument/2006/relationships/hyperlink" Target="https://legislacao.prefeitura.sp.gov.br/leis/lei-14125-de-29-de-dezembro-de-2005" TargetMode="External"/><Relationship Id="rId350" Type="http://schemas.openxmlformats.org/officeDocument/2006/relationships/hyperlink" Target="https://www2.senado.leg.br/bdsf/handle/id/595837" TargetMode="External"/><Relationship Id="rId406" Type="http://schemas.openxmlformats.org/officeDocument/2006/relationships/hyperlink" Target="https://www.google.com/search?q=https%3A//www2.camara.leg.br/legin/fed/declei/1940-1949/decreto-lei-9760-5-setembro-1946-417540-publicacaooriginal-1-pe.html%23%3A~%3Atext%3DDisp%25C3%25B5e%2520sobre%2520os%2520bens%2520im%25C3%25B3veis%2520da%2520Uni%25C3%25A3o%2520d%25C3%25A1%2520outras%2520provid%25C3%25AAncais.%26text%3Dos%2520que%2520tenham%2520sido%2520a%2Clei%252C%2520incorporados%2520ao%2520seu%2520patrim%25C3%25B4nio" TargetMode="External"/><Relationship Id="rId9" Type="http://schemas.openxmlformats.org/officeDocument/2006/relationships/image" Target="media/image3.jpeg"/><Relationship Id="rId210" Type="http://schemas.openxmlformats.org/officeDocument/2006/relationships/hyperlink" Target="http://www.migalhas.com.br/depeso/287119/da--in-" TargetMode="External"/><Relationship Id="rId392" Type="http://schemas.openxmlformats.org/officeDocument/2006/relationships/hyperlink" Target="https://www.planalto.gov.br/ccivil_03/constituicao/constituicao.htm" TargetMode="External"/><Relationship Id="rId448" Type="http://schemas.openxmlformats.org/officeDocument/2006/relationships/footer" Target="footer21.xml"/><Relationship Id="rId252" Type="http://schemas.openxmlformats.org/officeDocument/2006/relationships/hyperlink" Target="https://legislacao.prefeitura.sp.gov.br/leis/lei-20000-de-19-de-julho-de-2007" TargetMode="External"/><Relationship Id="rId294" Type="http://schemas.openxmlformats.org/officeDocument/2006/relationships/hyperlink" Target="https://legislacao.prefeitura.sp.gov.br/leis/lei-20000-de-19-de-julho-de-2007" TargetMode="External"/><Relationship Id="rId308" Type="http://schemas.openxmlformats.org/officeDocument/2006/relationships/hyperlink" Target="https://legislacao.prefeitura.sp.gov.br/leis/lei-20000-de-19-de-julho-de-2007" TargetMode="External"/><Relationship Id="rId47" Type="http://schemas.openxmlformats.org/officeDocument/2006/relationships/hyperlink" Target="http://paineldecompras.economia.gov.br/processos-compra" TargetMode="External"/><Relationship Id="rId89" Type="http://schemas.openxmlformats.org/officeDocument/2006/relationships/hyperlink" Target="https://buscaintegrada.ufrj.br/Author/Home?author=Torres%2C%2BHaroldo" TargetMode="External"/><Relationship Id="rId112" Type="http://schemas.openxmlformats.org/officeDocument/2006/relationships/hyperlink" Target="https://forbes.com.br/forbes-money/2021/07/por-que-o-brasil-e-um-dos-poucospaises-do-mundo-que-nao-tributa-dividendos/" TargetMode="External"/><Relationship Id="rId154" Type="http://schemas.openxmlformats.org/officeDocument/2006/relationships/hyperlink" Target="https://leismunicipais.com.br/lei-organica-sao-paulo-sp" TargetMode="External"/><Relationship Id="rId361" Type="http://schemas.openxmlformats.org/officeDocument/2006/relationships/hyperlink" Target="https://legislacao.prefeitura.sp.gov.br/leis/lei-0-de-04-de-abril-de-1990" TargetMode="External"/><Relationship Id="rId196" Type="http://schemas.openxmlformats.org/officeDocument/2006/relationships/hyperlink" Target="https://www.conjur.com.br/2022-out-28/questao-processual-ameaca-tese-stj-base-calculo-itbi/" TargetMode="External"/><Relationship Id="rId417" Type="http://schemas.openxmlformats.org/officeDocument/2006/relationships/hyperlink" Target="https://scon.stj.jus.br/SCON/sumstj/toc.jsp" TargetMode="External"/><Relationship Id="rId459" Type="http://schemas.openxmlformats.org/officeDocument/2006/relationships/hyperlink" Target="https://www.gov.br/gestao/pt-br/assuntos/organizacoes-sociais" TargetMode="External"/><Relationship Id="rId16" Type="http://schemas.openxmlformats.org/officeDocument/2006/relationships/footer" Target="footer1.xml"/><Relationship Id="rId221" Type="http://schemas.openxmlformats.org/officeDocument/2006/relationships/hyperlink" Target="https://legislacao.prefeitura.sp.gov.br/" TargetMode="External"/><Relationship Id="rId263" Type="http://schemas.openxmlformats.org/officeDocument/2006/relationships/hyperlink" Target="https://legislacao.prefeitura.sp.gov.br/leis/lei-20000-de-19-de-julho-de-2007" TargetMode="External"/><Relationship Id="rId319" Type="http://schemas.openxmlformats.org/officeDocument/2006/relationships/hyperlink" Target="https://legislacao.prefeitura.sp.gov.br/leis/lei-20000-de-19-de-julho-de-2007" TargetMode="External"/><Relationship Id="rId470" Type="http://schemas.openxmlformats.org/officeDocument/2006/relationships/footer" Target="footer32.xml"/><Relationship Id="rId58" Type="http://schemas.openxmlformats.org/officeDocument/2006/relationships/hyperlink" Target="https://schreiber.adv.br/downloads/funcao-social-da-propriedade-na-pratica-jurisprudencial-brasileira.pdf" TargetMode="External"/><Relationship Id="rId123" Type="http://schemas.openxmlformats.org/officeDocument/2006/relationships/hyperlink" Target="https://bd.camara.leg.br/bd/handle/bdcamara/26840" TargetMode="External"/><Relationship Id="rId330" Type="http://schemas.openxmlformats.org/officeDocument/2006/relationships/image" Target="media/image10.jpeg"/><Relationship Id="rId165" Type="http://schemas.openxmlformats.org/officeDocument/2006/relationships/hyperlink" Target="https://www.planalto.gov.br/ccivil_03/constituicao/constituicao24.htm" TargetMode="External"/><Relationship Id="rId372" Type="http://schemas.openxmlformats.org/officeDocument/2006/relationships/hyperlink" Target="https://www2.senado.leg.br/bdsf/bitstream/handle/id/176504/000518634.pdf?sequence=3&amp;isAllowed=y" TargetMode="External"/><Relationship Id="rId428" Type="http://schemas.openxmlformats.org/officeDocument/2006/relationships/hyperlink" Target="https://www.google.com/search?q=https%3A//www.emerj.tjrj.jus.br/paginas/trabalhos_conclusao/1semestre2015/pdf/JessicaFernandesRosina.pdf" TargetMode="External"/><Relationship Id="rId232" Type="http://schemas.openxmlformats.org/officeDocument/2006/relationships/hyperlink" Target="http://www.planalto.gov.br/ccivil_03/_ato2015-2018/2015/lei/l13204.htm" TargetMode="External"/><Relationship Id="rId274" Type="http://schemas.openxmlformats.org/officeDocument/2006/relationships/hyperlink" Target="https://legislacao.prefeitura.sp.gov.br/leis/lei-20000-de-19-de-julho-de-2007" TargetMode="External"/><Relationship Id="rId481" Type="http://schemas.openxmlformats.org/officeDocument/2006/relationships/customXml" Target="../customXml/item1.xml"/><Relationship Id="rId27" Type="http://schemas.openxmlformats.org/officeDocument/2006/relationships/hyperlink" Target="https://www.prefeitura.sp.gov.br/cidade/secretarias/upload/procuradoria_geral/cejur/Projeto%20Pedagogico.pdf" TargetMode="External"/><Relationship Id="rId69" Type="http://schemas.openxmlformats.org/officeDocument/2006/relationships/hyperlink" Target="https://www.google.com/search?q=https%3A//processo.stj.jus.br/processo/julgamento/eletronico/documento/mediado/%3Fdocumento_tipo%3Dintegra%26documento_sequencial%3D268145217%26registro_numero%3D202100861180%26peticao_numero%3D%26publicacao_data%3D20240902%26formato%3DPDF" TargetMode="External"/><Relationship Id="rId134" Type="http://schemas.openxmlformats.org/officeDocument/2006/relationships/hyperlink" Target="http://www.planalto.gov.br/ccivil_03/Constituicao/Constituicao91.htm" TargetMode="External"/><Relationship Id="rId80" Type="http://schemas.openxmlformats.org/officeDocument/2006/relationships/hyperlink" Target="https://legislacao.prefeitura.sp.gov.br/leis/lei-0-de-04-de-abril-de-1990" TargetMode="External"/><Relationship Id="rId176" Type="http://schemas.openxmlformats.org/officeDocument/2006/relationships/hyperlink" Target="http://www.wipo.int/edocs/pubdocs/en/wipo-pub-2000-2023-en-main-report-" TargetMode="External"/><Relationship Id="rId341" Type="http://schemas.openxmlformats.org/officeDocument/2006/relationships/hyperlink" Target="https://www.planalto.gov.br/ccivil_03/decreto-lei/del4657compilado.htm" TargetMode="External"/><Relationship Id="rId383" Type="http://schemas.openxmlformats.org/officeDocument/2006/relationships/hyperlink" Target="mailto:vitoriademelo.97@outlook.com" TargetMode="External"/><Relationship Id="rId439" Type="http://schemas.openxmlformats.org/officeDocument/2006/relationships/footer" Target="footer13.xml"/><Relationship Id="rId201" Type="http://schemas.openxmlformats.org/officeDocument/2006/relationships/hyperlink" Target="http://www.scielo.br/j/csc/a/cR5fBb9MWJRFmvgn4DhrLgN/?lang=pt" TargetMode="External"/><Relationship Id="rId243" Type="http://schemas.openxmlformats.org/officeDocument/2006/relationships/hyperlink" Target="https://legislacao.prefeitura.sp.gov.br/leis/lei-20000-de-19-de-julho-de-2007" TargetMode="External"/><Relationship Id="rId285" Type="http://schemas.openxmlformats.org/officeDocument/2006/relationships/hyperlink" Target="https://legislacao.prefeitura.sp.gov.br/leis/lei-20000-de-19-de-julho-de-2007" TargetMode="External"/><Relationship Id="rId450" Type="http://schemas.openxmlformats.org/officeDocument/2006/relationships/footer" Target="footer23.xml"/><Relationship Id="rId38" Type="http://schemas.openxmlformats.org/officeDocument/2006/relationships/footer" Target="footer3.xml"/><Relationship Id="rId103" Type="http://schemas.openxmlformats.org/officeDocument/2006/relationships/hyperlink" Target="https://www.jusbrasil.com.br/legislacao/108199/lei-8849-94" TargetMode="External"/><Relationship Id="rId310" Type="http://schemas.openxmlformats.org/officeDocument/2006/relationships/hyperlink" Target="https://legislacao.prefeitura.sp.gov.br/leis/lei-20000-de-19-de-julho-de-2007" TargetMode="External"/><Relationship Id="rId91" Type="http://schemas.openxmlformats.org/officeDocument/2006/relationships/hyperlink" Target="mailto:fabiowyner@hotmail.com" TargetMode="External"/><Relationship Id="rId145" Type="http://schemas.openxmlformats.org/officeDocument/2006/relationships/hyperlink" Target="https://www.planalto.gov.br/ccivil_03/leis/L9394.htm" TargetMode="External"/><Relationship Id="rId187" Type="http://schemas.openxmlformats.org/officeDocument/2006/relationships/hyperlink" Target="https://legislacao.prefeitura.sp.gov.br/leis/lei-14125-de-29-de-dezembro-de-2005" TargetMode="External"/><Relationship Id="rId352" Type="http://schemas.openxmlformats.org/officeDocument/2006/relationships/hyperlink" Target="https://www2.senado.leg.br/bdsf/handle/id/516865" TargetMode="External"/><Relationship Id="rId394" Type="http://schemas.openxmlformats.org/officeDocument/2006/relationships/hyperlink" Target="https://www2.camara.leg.br/legin/fed/decret/1930-1939/decreto-19924-27-abril-1931-514651-publicacaooriginal-1-pe.html" TargetMode="External"/><Relationship Id="rId408" Type="http://schemas.openxmlformats.org/officeDocument/2006/relationships/hyperlink" Target="https://www.google.com/search?q=https%3A//www2.camara.leg.br/legin/fed/declei/1940-1949/decreto-lei-9760-5-setembro-1946-417540-publicacaooriginal-1-pe.html%23%3A~%3Atext%3DDisp%25C3%25B5e%2520sobre%2520os%2520bens%2520im%25C3%25B3veis%2520da%2520Uni%25C3%25A3o%2520d%25C3%25A1%2520outras%2520provid%25C3%25AAncais.%26text%3Dos%2520que%2520tenham%2520sido%2520a%2Clei%252C%2520incorporados%2520ao%2520seu%2520patrim%25C3%25B4nio" TargetMode="External"/><Relationship Id="rId212" Type="http://schemas.openxmlformats.org/officeDocument/2006/relationships/hyperlink" Target="http://www.anadep.org.br/wtk/pagina/materia?id=425" TargetMode="External"/><Relationship Id="rId254" Type="http://schemas.openxmlformats.org/officeDocument/2006/relationships/hyperlink" Target="https://legislacao.prefeitura.sp.gov.br/leis/lei-20000-de-19-de-julho-de-2007" TargetMode="External"/><Relationship Id="rId49" Type="http://schemas.openxmlformats.org/officeDocument/2006/relationships/hyperlink" Target="http://repositorio2.unb.br/jspui/handle/10482/43103" TargetMode="External"/><Relationship Id="rId114" Type="http://schemas.openxmlformats.org/officeDocument/2006/relationships/hyperlink" Target="https://www.portaldaindustria.com.br/publicacoes/2020/10/nota-economica-15-o-peso-do-funcionalismopublicono-brasil-em-comparacao-com-outros-paises/" TargetMode="External"/><Relationship Id="rId296" Type="http://schemas.openxmlformats.org/officeDocument/2006/relationships/hyperlink" Target="https://legislacao.prefeitura.sp.gov.br/leis/lei-20000-de-19-de-julho-de-2007" TargetMode="External"/><Relationship Id="rId461" Type="http://schemas.openxmlformats.org/officeDocument/2006/relationships/hyperlink" Target="https://jurisprudencia.tst.jus.br/?tipoJuris=SUM&amp;orgao=TST&amp;pesquisar=1" TargetMode="External"/><Relationship Id="rId60" Type="http://schemas.openxmlformats.org/officeDocument/2006/relationships/hyperlink" Target="mailto:beatriz000347@gmail.com" TargetMode="External"/><Relationship Id="rId156" Type="http://schemas.openxmlformats.org/officeDocument/2006/relationships/hyperlink" Target="https://legislacao.prefeitura.sp.gov.br/leis/lei-17950-de-19-de-maio-de-2023/consolidado" TargetMode="External"/><Relationship Id="rId198" Type="http://schemas.openxmlformats.org/officeDocument/2006/relationships/hyperlink" Target="mailto:nicolaus.prota@gmail.com" TargetMode="External"/><Relationship Id="rId321" Type="http://schemas.openxmlformats.org/officeDocument/2006/relationships/hyperlink" Target="https://legislacao.prefeitura.sp.gov.br/leis/lei-20000-de-19-de-julho-de-2007" TargetMode="External"/><Relationship Id="rId363" Type="http://schemas.openxmlformats.org/officeDocument/2006/relationships/hyperlink" Target="http://www.prefeitura.sp.gov.br/cidade/secretarias/casa_civil/acesso_a_informacao/index.ph" TargetMode="External"/><Relationship Id="rId419" Type="http://schemas.openxmlformats.org/officeDocument/2006/relationships/hyperlink" Target="https://www.google.com/search?q=https%3A//processo.stj.jus.br/jurisprudencia/externo/informativo/%3Facao%3Dpesquisarumaedicao%26livre%3D0752.cod" TargetMode="External"/><Relationship Id="rId223" Type="http://schemas.openxmlformats.org/officeDocument/2006/relationships/hyperlink" Target="http://legislacao.prefeitura.sp.gov.br/leis/lei-0-de-04-de-abril-de-1990" TargetMode="External"/><Relationship Id="rId430" Type="http://schemas.openxmlformats.org/officeDocument/2006/relationships/hyperlink" Target="http://www.planalto.gov.br/ccivil_03/_ato2015-" TargetMode="External"/><Relationship Id="rId18" Type="http://schemas.openxmlformats.org/officeDocument/2006/relationships/hyperlink" Target="https://www.institutomais.org.br/Concursos/Detalhe/416" TargetMode="External"/><Relationship Id="rId265" Type="http://schemas.openxmlformats.org/officeDocument/2006/relationships/hyperlink" Target="https://legislacao.prefeitura.sp.gov.br/leis/lei-17502-de-3-de-novembro-de-2020" TargetMode="External"/><Relationship Id="rId472" Type="http://schemas.openxmlformats.org/officeDocument/2006/relationships/footer" Target="footer33.xml"/><Relationship Id="rId125" Type="http://schemas.openxmlformats.org/officeDocument/2006/relationships/hyperlink" Target="http://www.ipea.gov.br/portal/index.php?option=com_content&amp;view=article&amp;id=39017&amp;Ite" TargetMode="External"/><Relationship Id="rId167" Type="http://schemas.openxmlformats.org/officeDocument/2006/relationships/hyperlink" Target="http://www.planalto.gov.br/cciviL_03/LEIS/L9279.htm" TargetMode="External"/><Relationship Id="rId332" Type="http://schemas.openxmlformats.org/officeDocument/2006/relationships/hyperlink" Target="https://www.cjf.jus.br/enunciados/" TargetMode="External"/><Relationship Id="rId374" Type="http://schemas.openxmlformats.org/officeDocument/2006/relationships/hyperlink" Target="https://www.planalto.gov.br/ccivil_03/constituicao/constituicao.htm" TargetMode="External"/><Relationship Id="rId71" Type="http://schemas.openxmlformats.org/officeDocument/2006/relationships/hyperlink" Target="https://www.google.com/search?q=https%3A//pesquisa.apps.tcu.gov.br/documento/acordao-completo/%2A/NUMACORDAO%25253A34%252520ANOACORDAO%25253A2011%252520/DTRELEVANCIA%252520desc%25252C%252520NUMACORDAOINT%252520desc/2" TargetMode="External"/><Relationship Id="rId234" Type="http://schemas.openxmlformats.org/officeDocument/2006/relationships/hyperlink" Target="http://www.planalto.gov.br/ccivil_03/leis/l8069.htm" TargetMode="External"/><Relationship Id="rId2" Type="http://schemas.openxmlformats.org/officeDocument/2006/relationships/styles" Target="styles.xml"/><Relationship Id="rId29" Type="http://schemas.openxmlformats.org/officeDocument/2006/relationships/hyperlink" Target="mailto:amandatorres.san@gmail.com" TargetMode="External"/><Relationship Id="rId276" Type="http://schemas.openxmlformats.org/officeDocument/2006/relationships/hyperlink" Target="https://legislacao.prefeitura.sp.gov.br/leis/lei-20000-de-19-de-julho-de-2007" TargetMode="External"/><Relationship Id="rId441" Type="http://schemas.openxmlformats.org/officeDocument/2006/relationships/footer" Target="footer15.xml"/><Relationship Id="rId483" Type="http://schemas.openxmlformats.org/officeDocument/2006/relationships/customXml" Target="../customXml/item3.xml"/><Relationship Id="rId40" Type="http://schemas.openxmlformats.org/officeDocument/2006/relationships/image" Target="media/image6.png"/><Relationship Id="rId136" Type="http://schemas.openxmlformats.org/officeDocument/2006/relationships/hyperlink" Target="http://www.planalto.gov.br/ccivil_03/constituicao/constituicao37.htm" TargetMode="External"/><Relationship Id="rId178" Type="http://schemas.openxmlformats.org/officeDocument/2006/relationships/hyperlink" Target="http://www.al.sp.gov.br/repositorio/legislacao/constituicao/1989/compilacao-constituicao-0-" TargetMode="External"/><Relationship Id="rId301" Type="http://schemas.openxmlformats.org/officeDocument/2006/relationships/hyperlink" Target="https://legislacao.prefeitura.sp.gov.br/leis/lei-20000-de-19-de-julho-de-2007" TargetMode="External"/><Relationship Id="rId343" Type="http://schemas.openxmlformats.org/officeDocument/2006/relationships/hyperlink" Target="https://www.congressonacional.leg.br/materias/vetos/entenda-a-tramitacao-do-veto" TargetMode="External"/><Relationship Id="rId82" Type="http://schemas.openxmlformats.org/officeDocument/2006/relationships/hyperlink" Target="https://www.google.com/search?q=https%3A//sei.prefeitura.sp.gov.br/sei/controlador.php%3Facao%3Dprocedimento_trabalhar%26acao_origem%3Dprotocolo_pesquisa_rapida%26id_protocolo%3D89732464%26infra_sistema%3D100000100%26infra_unidade_atual%3D110002104%26infra_hash%3Dcfc2f3d07f679c4846c64e2f55c732dd06d0317783433d409888c86ed4783919%23" TargetMode="External"/><Relationship Id="rId203" Type="http://schemas.openxmlformats.org/officeDocument/2006/relationships/hyperlink" Target="http://www.scielo.br/j/nec/a/hdLsr4FXMpVZWPJ7XswRRbj/" TargetMode="External"/><Relationship Id="rId385" Type="http://schemas.openxmlformats.org/officeDocument/2006/relationships/hyperlink" Target="https://portal.stf.jus.br/jurisprudenciaRepercussao/verAndamentoProcesso.asp?incidente=6146137&amp;numeroProcesso=1320054&amp;classeProcesso=RE&amp;numeroTema=1140" TargetMode="External"/><Relationship Id="rId245" Type="http://schemas.openxmlformats.org/officeDocument/2006/relationships/hyperlink" Target="https://legislacao.prefeitura.sp.gov.br/leis/lei-20000-de-19-de-julho-de-2007" TargetMode="External"/><Relationship Id="rId287" Type="http://schemas.openxmlformats.org/officeDocument/2006/relationships/hyperlink" Target="https://legislacao.prefeitura.sp.gov.br/leis/lei-20000-de-19-de-julho-de-2007" TargetMode="External"/><Relationship Id="rId410" Type="http://schemas.openxmlformats.org/officeDocument/2006/relationships/hyperlink" Target="https://www.google.com/search?q=https%3A//www2.camara.leg.br/legin/fed/declei/1940-1949/decreto-lei-9760-5-setembro-1946-417540-publicacaooriginal-1-pe.html%23%3A~%3Atext%3DDisp%25C3%25B5e%2520sobre%2520os%2520bens%2520im%25C3%25B3veis%2520da%2520Uni%25C3%25A3o%2520d%25C3%25A1%2520outras%2520provid%25C3%25AAncais.%26text%3Dos%2520que%2520tenham%2520sido%2520a%2Clei%252C%2520incorporados%2520ao%2520seu%2520patrim%25C3%25B4nio" TargetMode="External"/><Relationship Id="rId452" Type="http://schemas.openxmlformats.org/officeDocument/2006/relationships/footer" Target="footer25.xml"/><Relationship Id="rId105" Type="http://schemas.openxmlformats.org/officeDocument/2006/relationships/hyperlink" Target="http://www.planalto.gov.br/ccivil_03/leis/l7713.htm" TargetMode="External"/><Relationship Id="rId147" Type="http://schemas.openxmlformats.org/officeDocument/2006/relationships/hyperlink" Target="http://www.planalto.gov.br/ccivil_03/leis/2003/l10.639.htm" TargetMode="External"/><Relationship Id="rId312" Type="http://schemas.openxmlformats.org/officeDocument/2006/relationships/hyperlink" Target="https://legislacao.prefeitura.sp.gov.br/leis/lei-20000-de-19-de-julho-de-2007" TargetMode="External"/><Relationship Id="rId354" Type="http://schemas.openxmlformats.org/officeDocument/2006/relationships/hyperlink" Target="https://www.tjdft.jus.br/institucional/imprensa/campanhas-e-produtos/artigos-discursos-e-entrevistas/artigos/2018/consideracoes-sobre-a-teoria-dos-freios-e-contrapesos-checks-and-balances-system-juiza-oriana-piske" TargetMode="External"/><Relationship Id="rId51" Type="http://schemas.openxmlformats.org/officeDocument/2006/relationships/hyperlink" Target="https://doi.org/10.12660/rda.v247.2008.41549" TargetMode="External"/><Relationship Id="rId93" Type="http://schemas.openxmlformats.org/officeDocument/2006/relationships/hyperlink" Target="https://www.conjur.com.br/2021-jul-22/arrematante-imovel-leilao-nao-pagar-dividas-iptu/" TargetMode="External"/><Relationship Id="rId189" Type="http://schemas.openxmlformats.org/officeDocument/2006/relationships/hyperlink" Target="https://legislacao.prefeitura.sp.gov.br/leis/lei-14125-de-29-de-dezembro-de-2005" TargetMode="External"/><Relationship Id="rId396" Type="http://schemas.openxmlformats.org/officeDocument/2006/relationships/hyperlink" Target="https://www.google.com/search?q=https%3A//www2.camara.leg.br/legin/fed/decret/1930-1939/decreto-22785-31-maio-1933-505782-publicacaooriginal-1-pe.html%23%3A~%3Atext%3DDecreta%253A-%2CArt.%2Cn%25C3%25A3o%2520s%25C3%25A3o%2520sujeitos%2520a%2520usucapi%25C3%25A3o" TargetMode="External"/><Relationship Id="rId3" Type="http://schemas.openxmlformats.org/officeDocument/2006/relationships/settings" Target="settings.xml"/><Relationship Id="rId214" Type="http://schemas.openxmlformats.org/officeDocument/2006/relationships/hyperlink" Target="https://www.mpsp.mp.br/portal/page/portal/documen" TargetMode="External"/><Relationship Id="rId235" Type="http://schemas.openxmlformats.org/officeDocument/2006/relationships/hyperlink" Target="http://www.planalto.gov.br/ccivil_03/leis/l8069.htm" TargetMode="External"/><Relationship Id="rId256" Type="http://schemas.openxmlformats.org/officeDocument/2006/relationships/hyperlink" Target="https://legislacao.prefeitura.sp.gov.br/leis/lei-20000-de-19-de-julho-de-2007" TargetMode="External"/><Relationship Id="rId277" Type="http://schemas.openxmlformats.org/officeDocument/2006/relationships/hyperlink" Target="https://legislacao.prefeitura.sp.gov.br/leis/lei-14977-de-11-de-setembro-de-2009" TargetMode="External"/><Relationship Id="rId298" Type="http://schemas.openxmlformats.org/officeDocument/2006/relationships/hyperlink" Target="https://legislacao.prefeitura.sp.gov.br/leis/lei-20000-de-19-de-julho-de-2007" TargetMode="External"/><Relationship Id="rId400" Type="http://schemas.openxmlformats.org/officeDocument/2006/relationships/hyperlink" Target="https://www.google.com/search?q=https%3A//www2.camara.leg.br/legin/fed/declei/1930-1939/decreto-lei-710-17-setembro-1938-358386-publicacaooriginal-1-pe.html%23%3A~%3Atext%3DReorganiza%2520a%2520Diretoria%2520do%2520Dom%25C3%25ADnio%2520da%2520Uni%25C3%25A3o.%26text%3Dos%2520bens%2520dos%2520devedores%2520da%2Cna%2520forma%2520do%2520C%25C3%25B3digo%2520Civil" TargetMode="External"/><Relationship Id="rId421" Type="http://schemas.openxmlformats.org/officeDocument/2006/relationships/hyperlink" Target="https://jurisprudencia.stf.jus.br/pages/search/despacho228876/false" TargetMode="External"/><Relationship Id="rId442" Type="http://schemas.openxmlformats.org/officeDocument/2006/relationships/footer" Target="footer16.xml"/><Relationship Id="rId463" Type="http://schemas.openxmlformats.org/officeDocument/2006/relationships/hyperlink" Target="http://legislacao.prefeitura.sp.gov.br/leis/lei-14132-de-24-de-janeiro-de-2006" TargetMode="External"/><Relationship Id="rId116" Type="http://schemas.openxmlformats.org/officeDocument/2006/relationships/hyperlink" Target="https://data.imf.org/?sk=a0867067-d23c-4ebc-ad23-d3b015045405&amp;sid=154444838607" TargetMode="External"/><Relationship Id="rId137" Type="http://schemas.openxmlformats.org/officeDocument/2006/relationships/hyperlink" Target="http://www.planalto.gov.br/ccivil_03/Constituicao/Constituicao46.htm" TargetMode="External"/><Relationship Id="rId158" Type="http://schemas.openxmlformats.org/officeDocument/2006/relationships/hyperlink" Target="https://legislacao.prefeitura.sp.gov.br/leis/decreto-58526-de-23-de-novembro-de-2018/consolidado" TargetMode="External"/><Relationship Id="rId302" Type="http://schemas.openxmlformats.org/officeDocument/2006/relationships/hyperlink" Target="https://legislacao.prefeitura.sp.gov.br/leis/lei-20000-de-19-de-julho-de-2007" TargetMode="External"/><Relationship Id="rId323" Type="http://schemas.openxmlformats.org/officeDocument/2006/relationships/hyperlink" Target="https://legislacao.prefeitura.sp.gov.br/leis/lei-20000-de-19-de-julho-de-2007" TargetMode="External"/><Relationship Id="rId344" Type="http://schemas.openxmlformats.org/officeDocument/2006/relationships/hyperlink" Target="https://www.congressonacional.leg.br/materias/vetos/entenda-a-tramitacao-do-veto" TargetMode="External"/><Relationship Id="rId20" Type="http://schemas.openxmlformats.org/officeDocument/2006/relationships/hyperlink" Target="https://www.scielo.br/j/physis/a/PT96npfTcfqT7xWPZZkyGpt/" TargetMode="External"/><Relationship Id="rId41" Type="http://schemas.openxmlformats.org/officeDocument/2006/relationships/image" Target="media/image7.png"/><Relationship Id="rId62" Type="http://schemas.openxmlformats.org/officeDocument/2006/relationships/hyperlink" Target="https://noticias.uol.com.br/politica/ultimas-noticias/2023/11/08/psol-investigacao-mp-obras-sem-licitacao-nunes-sp.htm" TargetMode="External"/><Relationship Id="rId83" Type="http://schemas.openxmlformats.org/officeDocument/2006/relationships/hyperlink" Target="https://www.google.com/search?q=https%3A//sei.prefeitura.sp.gov.br/sei/controlador.php%3Facao%3Dprocedimento_trabalhar%26acao_origem%3Dprotocolo_pesquisa_rapida%26id_protocolo%3D89732464%26infra_sistema%3D100000100%26infra_unidade_atual%3D110002104%26infra_hash%3Dcfc2f3d07f679c4846c64e2f55c732dd06d0317783433d409888c86ed4783919%23" TargetMode="External"/><Relationship Id="rId179" Type="http://schemas.openxmlformats.org/officeDocument/2006/relationships/hyperlink" Target="http://www.saopaulo.sp.leg.br/atividade-legislativa/lei-organica-do-municipio/" TargetMode="External"/><Relationship Id="rId365" Type="http://schemas.openxmlformats.org/officeDocument/2006/relationships/hyperlink" Target="https://www.planalto.gov.br/ccivil_03/LEIS/LEIS_2001/L10257.htm" TargetMode="External"/><Relationship Id="rId386" Type="http://schemas.openxmlformats.org/officeDocument/2006/relationships/hyperlink" Target="https://portal.stf.jus.br/jurisprudenciaRepercussao/verAndamentoProcesso.asp?incidente=6146137&amp;numeroProcesso=1320054&amp;classeProcesso=RE&amp;numeroTema=1140" TargetMode="External"/><Relationship Id="rId190" Type="http://schemas.openxmlformats.org/officeDocument/2006/relationships/hyperlink" Target="https://www.migalhas.com.br/depeso/344058/municipio-de-sao-paulo-retira-consulta-do-valor-venal-de-referencia" TargetMode="External"/><Relationship Id="rId204" Type="http://schemas.openxmlformats.org/officeDocument/2006/relationships/hyperlink" Target="http://www.prefeitura.sp.gov.br/cidade/secretarias/upload/LOM.pdf" TargetMode="External"/><Relationship Id="rId225" Type="http://schemas.openxmlformats.org/officeDocument/2006/relationships/hyperlink" Target="http://legislacao.prefeitura.sp.gov.br/leis/lei-0-de-04-de-abril-de-1990" TargetMode="External"/><Relationship Id="rId246" Type="http://schemas.openxmlformats.org/officeDocument/2006/relationships/hyperlink" Target="https://legislacao.prefeitura.sp.gov.br/leis/lei-20000-de-19-de-julho-de-2007" TargetMode="External"/><Relationship Id="rId267" Type="http://schemas.openxmlformats.org/officeDocument/2006/relationships/hyperlink" Target="https://legislacao.prefeitura.sp.gov.br/leis/lei-20000-de-19-de-julho-de-2007" TargetMode="External"/><Relationship Id="rId288" Type="http://schemas.openxmlformats.org/officeDocument/2006/relationships/hyperlink" Target="https://legislacao.prefeitura.sp.gov.br/leis/lei-20000-de-19-de-julho-de-2007" TargetMode="External"/><Relationship Id="rId411" Type="http://schemas.openxmlformats.org/officeDocument/2006/relationships/hyperlink" Target="https://www.google.com/search?q=https%3A//www2.camara.leg.br/legin/fed/declei/1940-1949/decreto-lei-9760-5-setembro-1946-417540-publicacaooriginal-1-pe.html%23%3A~%3Atext%3DDisp%25C3%25B5e%2520sobre%2520os%2520bens%2520im%25C3%25B3veis%2520da%2520Uni%25C3%25A3o%2520d%25C3%25A1%2520outras%2520provid%25C3%25AAncais.%26text%3Dos%2520que%2520tenham%2520sido%2520a%2Clei%252C%2520incorporados%2520ao%2520seu%2520patrim%25C3%25B4nio" TargetMode="External"/><Relationship Id="rId432" Type="http://schemas.openxmlformats.org/officeDocument/2006/relationships/hyperlink" Target="http://www.planalto.gov.br/ccivil_03/constituicao/constituicao.htm" TargetMode="External"/><Relationship Id="rId453" Type="http://schemas.openxmlformats.org/officeDocument/2006/relationships/hyperlink" Target="https://www.planalto.gov.br/ccivil_03/constituicao/constituicao.htm" TargetMode="External"/><Relationship Id="rId474" Type="http://schemas.openxmlformats.org/officeDocument/2006/relationships/footer" Target="footer35.xml"/><Relationship Id="rId106" Type="http://schemas.openxmlformats.org/officeDocument/2006/relationships/hyperlink" Target="https://www.gov.br/receitafederal" TargetMode="External"/><Relationship Id="rId127" Type="http://schemas.openxmlformats.org/officeDocument/2006/relationships/hyperlink" Target="https://www.inesul.edu.br/professor/arquivos_alunos/doc_1330259554.pdf" TargetMode="External"/><Relationship Id="rId313" Type="http://schemas.openxmlformats.org/officeDocument/2006/relationships/hyperlink" Target="https://legislacao.prefeitura.sp.gov.br/leis/lei-20000-de-19-de-julho-de-2007" TargetMode="External"/><Relationship Id="rId10" Type="http://schemas.openxmlformats.org/officeDocument/2006/relationships/image" Target="media/image4.png"/><Relationship Id="rId31" Type="http://schemas.openxmlformats.org/officeDocument/2006/relationships/hyperlink" Target="http://www.planalto.gov.br/ccivil_03/constituicao/constituicao.htm" TargetMode="External"/><Relationship Id="rId52" Type="http://schemas.openxmlformats.org/officeDocument/2006/relationships/hyperlink" Target="https://proview.thomsonreuters.com/launchapp/title/rt/monografias/282422094/v1/page/1" TargetMode="External"/><Relationship Id="rId73" Type="http://schemas.openxmlformats.org/officeDocument/2006/relationships/hyperlink" Target="https://www.google.com/search?q=https%3A//pesquisa.apps.tcu.gov.br/documento/acordao-completo/%2A/NUMACORDAO%25253A34%252520ANOACORDAO%25253A2011%252520/DTRELEVANCIA%252520desc%25252C%252520NUMACORDAOINT%252520desc/2" TargetMode="External"/><Relationship Id="rId94" Type="http://schemas.openxmlformats.org/officeDocument/2006/relationships/hyperlink" Target="https://www.conjur.com.br/2021-jul-22/arrematante-imovel-leilao-nao-pagar-dividas-iptu/" TargetMode="External"/><Relationship Id="rId148" Type="http://schemas.openxmlformats.org/officeDocument/2006/relationships/hyperlink" Target="https://www.planalto.gov.br/ccivil_03/_ato2007-2010/2010/lei/l12288.htm" TargetMode="External"/><Relationship Id="rId169" Type="http://schemas.openxmlformats.org/officeDocument/2006/relationships/hyperlink" Target="http://www.planalto.gov.br/ccivil_03/leis/l9610.htm" TargetMode="External"/><Relationship Id="rId334" Type="http://schemas.openxmlformats.org/officeDocument/2006/relationships/hyperlink" Target="https://www.prefeitura.sp.gov.br/cidade/secretarias/upload/governo/SEPEP/arquivos/pdm-versao-final-participativa.pdf" TargetMode="External"/><Relationship Id="rId355" Type="http://schemas.openxmlformats.org/officeDocument/2006/relationships/hyperlink" Target="https://www.tjdft.jus.br/institucional/imprensa/campanhas-e-produtos/artigos-discursos-e-entrevistas/artigos/2018/consideracoes-sobre-a-teoria-dos-freios-e-contrapesos-checks-and-balances-system-juiza-oriana-piske" TargetMode="External"/><Relationship Id="rId376" Type="http://schemas.openxmlformats.org/officeDocument/2006/relationships/hyperlink" Target="https://www.planalto.gov.br/ccivil_03/leis/l4132.htm" TargetMode="External"/><Relationship Id="rId397" Type="http://schemas.openxmlformats.org/officeDocument/2006/relationships/hyperlink" Target="https://www.google.com/search?q=https%3A//www2.camara.leg.br/legin/fed/decret/1930-1939/decreto-22785-31-maio-1933-505782-publicacaooriginal-1-pe.html%23%3A~%3Atext%3DDecreta%253A-%2CArt.%2Cn%25C3%25A3o%2520s%25C3%25A3o%2520sujeitos%2520a%2520usucapi%25C3%25A3o" TargetMode="External"/><Relationship Id="rId4" Type="http://schemas.openxmlformats.org/officeDocument/2006/relationships/webSettings" Target="webSettings.xml"/><Relationship Id="rId180" Type="http://schemas.openxmlformats.org/officeDocument/2006/relationships/hyperlink" Target="http://www.saopaulo.sp.leg.br/atividade-legislativa/lei-organica-do-municipio/" TargetMode="External"/><Relationship Id="rId215" Type="http://schemas.openxmlformats.org/officeDocument/2006/relationships/hyperlink" Target="http://www.scielo.br/j/nec/a/hdLsr4FXMp" TargetMode="External"/><Relationship Id="rId236" Type="http://schemas.openxmlformats.org/officeDocument/2006/relationships/hyperlink" Target="http://www.leffa.pro.br/tela2/trabalhos/teses/separadas/maciel.pdf" TargetMode="External"/><Relationship Id="rId257" Type="http://schemas.openxmlformats.org/officeDocument/2006/relationships/hyperlink" Target="https://legislacao.prefeitura.sp.gov.br/leis/lei-20000-de-19-de-julho-de-2007" TargetMode="External"/><Relationship Id="rId278" Type="http://schemas.openxmlformats.org/officeDocument/2006/relationships/hyperlink" Target="https://legislacao.prefeitura.sp.gov.br/leis/lei-20000-de-19-de-julho-de-2007" TargetMode="External"/><Relationship Id="rId401" Type="http://schemas.openxmlformats.org/officeDocument/2006/relationships/hyperlink" Target="https://www.google.com/search?q=https%3A//www2.camara.leg.br/legin/fed/declei/1930-1939/decreto-lei-710-17-setembro-1938-358386-publicacaooriginal-1-pe.html%23%3A~%3Atext%3DReorganiza%2520a%2520Diretoria%2520do%2520Dom%25C3%25ADnio%2520da%2520Uni%25C3%25A3o.%26text%3Dos%2520bens%2520dos%2520devedores%2520da%2Cna%2520forma%2520do%2520C%25C3%25B3digo%2520Civil" TargetMode="External"/><Relationship Id="rId422" Type="http://schemas.openxmlformats.org/officeDocument/2006/relationships/hyperlink" Target="https://jurisprudencia.stf.jus.br/pages/search/seq-sumula340/false" TargetMode="External"/><Relationship Id="rId443" Type="http://schemas.openxmlformats.org/officeDocument/2006/relationships/footer" Target="footer17.xml"/><Relationship Id="rId464" Type="http://schemas.openxmlformats.org/officeDocument/2006/relationships/footer" Target="footer27.xml"/><Relationship Id="rId303" Type="http://schemas.openxmlformats.org/officeDocument/2006/relationships/hyperlink" Target="https://legislacao.prefeitura.sp.gov.br/leis/lei-20000-de-19-de-julho-de-2007" TargetMode="External"/><Relationship Id="rId42" Type="http://schemas.openxmlformats.org/officeDocument/2006/relationships/footer" Target="footer5.xml"/><Relationship Id="rId84" Type="http://schemas.openxmlformats.org/officeDocument/2006/relationships/hyperlink" Target="https://www.google.com/search?q=https%3A//sei.prefeitura.sp.gov.br/sei/controlador.php%3Facao%3Dprocedimento_trabalhar%26acao_origem%3Dprotocolo_pesquisa_rapida%26id_protocolo%3D89732464%26infra_sistema%3D100000100%26infra_unidade_atual%3D110002104%26infra_hash%3Dcfc2f3d07f679c4846c64e2f55c732dd06d0317783433d409888c86ed4783919%23" TargetMode="External"/><Relationship Id="rId138" Type="http://schemas.openxmlformats.org/officeDocument/2006/relationships/hyperlink" Target="http://www.planalto.gov.br/ccivil_03/Constituicao/Constituicao67.htm" TargetMode="External"/><Relationship Id="rId345" Type="http://schemas.openxmlformats.org/officeDocument/2006/relationships/hyperlink" Target="https://pesquisa-eaesp.fgv.br/sites/gvpesquisa.fgv.br/files/arquivos/accountability_nos_atos_da_administracao_publica_federal_brasileira.pdf" TargetMode="External"/><Relationship Id="rId387" Type="http://schemas.openxmlformats.org/officeDocument/2006/relationships/hyperlink" Target="https://portal.stf.jus.br/processos/detalhe.asp?incidente=5278341" TargetMode="External"/><Relationship Id="rId191" Type="http://schemas.openxmlformats.org/officeDocument/2006/relationships/hyperlink" Target="https://www.migalhas.com.br/depeso/344058/municipio-de-sao-paulo-retira-consulta-do-valor-venal-de-referencia" TargetMode="External"/><Relationship Id="rId205" Type="http://schemas.openxmlformats.org/officeDocument/2006/relationships/hyperlink" Target="http://www.planalto.gov.br/ccivil_03/_ato2007-2010/2007/lei/l11481.htm" TargetMode="External"/><Relationship Id="rId247" Type="http://schemas.openxmlformats.org/officeDocument/2006/relationships/hyperlink" Target="https://legislacao.prefeitura.sp.gov.br/leis/lei-20000-de-19-de-julho-de-2007" TargetMode="External"/><Relationship Id="rId412" Type="http://schemas.openxmlformats.org/officeDocument/2006/relationships/hyperlink" Target="https://www.google.com/search?q=https%3A//www2.camara.leg.br/legin/fed/declei/1940-1949/decreto-lei-9760-5-setembro-1946-417540-publicacaooriginal-1-pe.html%23%3A~%3Atext%3DDisp%25C3%25B5e%2520sobre%2520os%2520bens%2520im%25C3%25B3veis%2520da%2520Uni%25C3%25A3o%2520d%25C3%25A1%2520outras%2520provid%25C3%25AAncais.%26text%3Dos%2520que%2520tenham%2520sido%2520a%2Clei%252C%2520incorporados%2520ao%2520seu%2520patrim%25C3%25B4nio" TargetMode="External"/><Relationship Id="rId107" Type="http://schemas.openxmlformats.org/officeDocument/2006/relationships/hyperlink" Target="https://www.gov.br/receitafederal" TargetMode="External"/><Relationship Id="rId289" Type="http://schemas.openxmlformats.org/officeDocument/2006/relationships/hyperlink" Target="https://legislacao.prefeitura.sp.gov.br/leis/lei-20000-de-19-de-julho-de-2007" TargetMode="External"/><Relationship Id="rId454" Type="http://schemas.openxmlformats.org/officeDocument/2006/relationships/hyperlink" Target="http://www.planalto.gov.br/ccivil_03/leis/l9637.htm" TargetMode="External"/><Relationship Id="rId11" Type="http://schemas.openxmlformats.org/officeDocument/2006/relationships/image" Target="media/image5.png"/><Relationship Id="rId53" Type="http://schemas.openxmlformats.org/officeDocument/2006/relationships/hyperlink" Target="https://schreiber.adv.br/downloads/funcao-social-da-propriedade-na-pratica-jurisprudencial-brasileira.pdf" TargetMode="External"/><Relationship Id="rId149" Type="http://schemas.openxmlformats.org/officeDocument/2006/relationships/hyperlink" Target="https://www.planalto.gov.br/ccivil_03/_ato2007-2010/2010/lei/l12288.htm" TargetMode="External"/><Relationship Id="rId314" Type="http://schemas.openxmlformats.org/officeDocument/2006/relationships/hyperlink" Target="https://legislacao.prefeitura.sp.gov.br/leis/lei-20000-de-19-de-julho-de-2007" TargetMode="External"/><Relationship Id="rId356" Type="http://schemas.openxmlformats.org/officeDocument/2006/relationships/hyperlink" Target="https://www.scielo.br/j/rsocp/a/V4CY3KD3B8MHBgjrrxgQwkH/?format=pdf&amp;lang=pt" TargetMode="External"/><Relationship Id="rId398" Type="http://schemas.openxmlformats.org/officeDocument/2006/relationships/hyperlink" Target="https://www.google.com/search?q=https%3A//www2.camara.leg.br/legin/fed/decret/1930-1939/decreto-22785-31-maio-1933-505782-publicacaooriginal-1-pe.html%23%3A~%3Atext%3DDecreta%253A-%2CArt.%2Cn%25C3%25A3o%2520s%25C3%25A3o%2520sujeitos%2520a%2520usucapi%25C3%25A3o" TargetMode="External"/><Relationship Id="rId95" Type="http://schemas.openxmlformats.org/officeDocument/2006/relationships/hyperlink" Target="https://www.conjur.com.br/2021-jul-22/arrematante-imovel-leilao-nao-pagar-dividas-iptu/" TargetMode="External"/><Relationship Id="rId160" Type="http://schemas.openxmlformats.org/officeDocument/2006/relationships/hyperlink" Target="https://legislacao.prefeitura.sp.gov.br/leis/decreto-58526-de-23-de-novembro-de-2018/consolidado" TargetMode="External"/><Relationship Id="rId216" Type="http://schemas.openxmlformats.org/officeDocument/2006/relationships/hyperlink" Target="http://www.planalto.g/" TargetMode="External"/><Relationship Id="rId423" Type="http://schemas.openxmlformats.org/officeDocument/2006/relationships/hyperlink" Target="https://doi.org/10.20873/uft.2359-0106.2017.v4n1.p42-62" TargetMode="External"/><Relationship Id="rId258" Type="http://schemas.openxmlformats.org/officeDocument/2006/relationships/hyperlink" Target="https://legislacao.prefeitura.sp.gov.br/leis/lei-20000-de-19-de-julho-de-2007" TargetMode="External"/><Relationship Id="rId465" Type="http://schemas.openxmlformats.org/officeDocument/2006/relationships/hyperlink" Target="mailto:vmanosalvaadv@gmail.com" TargetMode="External"/><Relationship Id="rId22" Type="http://schemas.openxmlformats.org/officeDocument/2006/relationships/hyperlink" Target="http://www.scielo.br/j/icse/a/736VVYw4p3MvtCHNvbnvHrL/abstract/?lang=pt" TargetMode="External"/><Relationship Id="rId64" Type="http://schemas.openxmlformats.org/officeDocument/2006/relationships/hyperlink" Target="https://www.planalto.gov.br/ccivil_03/leis/L8666consimpressao.htm" TargetMode="External"/><Relationship Id="rId118" Type="http://schemas.openxmlformats.org/officeDocument/2006/relationships/hyperlink" Target="http://www.planalto.gov.br/ccivil_03/leis/l5172compilado.htm" TargetMode="External"/><Relationship Id="rId325" Type="http://schemas.openxmlformats.org/officeDocument/2006/relationships/hyperlink" Target="https://legislacao.prefeitura.sp.gov.br/leis/lei-20000-de-19-de-julho-de-2007" TargetMode="External"/><Relationship Id="rId367" Type="http://schemas.openxmlformats.org/officeDocument/2006/relationships/image" Target="media/image11.jpeg"/><Relationship Id="rId171" Type="http://schemas.openxmlformats.org/officeDocument/2006/relationships/hyperlink" Target="https://www.planalto.gov.br/CCIVIL_03/_Ato2004-2006/2004/Lei/L10.973.htm" TargetMode="External"/><Relationship Id="rId227" Type="http://schemas.openxmlformats.org/officeDocument/2006/relationships/hyperlink" Target="http://www.planalto.gov.br/ccivil_03/_ato2015-2018/2015/lei/l13204.htm" TargetMode="External"/><Relationship Id="rId269" Type="http://schemas.openxmlformats.org/officeDocument/2006/relationships/hyperlink" Target="https://legislacao.prefeitura.sp.gov.br/leis/lei-20000-de-19-de-julho-de-2007" TargetMode="External"/><Relationship Id="rId434" Type="http://schemas.openxmlformats.org/officeDocument/2006/relationships/hyperlink" Target="mailto:caiomarquesfc@gmail.com" TargetMode="External"/><Relationship Id="rId476" Type="http://schemas.openxmlformats.org/officeDocument/2006/relationships/hyperlink" Target="https://www.ojp.gov/ncjrs/virtual-library/abstracts/settling-things-six-case-studiesenvironmental-mediation" TargetMode="External"/><Relationship Id="rId33" Type="http://schemas.openxmlformats.org/officeDocument/2006/relationships/hyperlink" Target="http://www.planalto.gov.br/ccivil_03/LEIS/L8080.htm" TargetMode="External"/><Relationship Id="rId129" Type="http://schemas.openxmlformats.org/officeDocument/2006/relationships/hyperlink" Target="http://www.migalhas.com.br/depeso/297334/a-tributacao-de-lucros-e-dividendos-e-seus-" TargetMode="External"/><Relationship Id="rId280" Type="http://schemas.openxmlformats.org/officeDocument/2006/relationships/hyperlink" Target="https://legislacao.prefeitura.sp.gov.br/leis/lei-20000-de-19-de-julho-de-2007" TargetMode="External"/><Relationship Id="rId336" Type="http://schemas.openxmlformats.org/officeDocument/2006/relationships/hyperlink" Target="https://eur-lex.europa.eu/legal-content/PT/TXT/?uri=celex%3A32004L0018" TargetMode="External"/><Relationship Id="rId75" Type="http://schemas.openxmlformats.org/officeDocument/2006/relationships/hyperlink" Target="https://g1.globo.com/sp/sao-paulo/noticia/2024/03/05/psol-e-pt-protocolam-pedido-de-cpi-na-camara-de-sp-e-investigacao-no-mp-sobre-suspeita-de-conluio-em-contratos-de-obras-emergenciais-de-nunes.ghtml" TargetMode="External"/><Relationship Id="rId140" Type="http://schemas.openxmlformats.org/officeDocument/2006/relationships/hyperlink" Target="http://www.migalhas.com.br/depeso/372819/a-legitimidade-" TargetMode="External"/><Relationship Id="rId182" Type="http://schemas.openxmlformats.org/officeDocument/2006/relationships/hyperlink" Target="mailto:marianepaiva11@gmail.com" TargetMode="External"/><Relationship Id="rId378" Type="http://schemas.openxmlformats.org/officeDocument/2006/relationships/hyperlink" Target="http://www.conpedi.org.br/manaus/arquivos/anais/salvador/daniela_richter-1.pdf" TargetMode="External"/><Relationship Id="rId403" Type="http://schemas.openxmlformats.org/officeDocument/2006/relationships/hyperlink" Target="https://www.google.com/search?q=https%3A//www2.camara.leg.br/legin/fed/declei/1930-1939/decreto-lei-710-17-setembro-1938-358386-publicacaooriginal-1-pe.html%23%3A~%3Atext%3DReorganiza%2520a%2520Diretoria%2520do%2520Dom%25C3%25ADnio%2520da%2520Uni%25C3%25A3o.%26text%3Dos%2520bens%2520dos%2520devedores%2520da%2Cna%2520forma%2520do%2520C%25C3%25B3digo%2520Civil" TargetMode="External"/><Relationship Id="rId6" Type="http://schemas.openxmlformats.org/officeDocument/2006/relationships/endnotes" Target="endnotes.xml"/><Relationship Id="rId238" Type="http://schemas.openxmlformats.org/officeDocument/2006/relationships/hyperlink" Target="https://www.al.sp.gov.br/StaticFile/ilp/questoes_fundam_de_tecn_legis_-_gilmar_mendes.pdf" TargetMode="External"/><Relationship Id="rId445" Type="http://schemas.openxmlformats.org/officeDocument/2006/relationships/footer" Target="footer18.xml"/><Relationship Id="rId291" Type="http://schemas.openxmlformats.org/officeDocument/2006/relationships/hyperlink" Target="https://legislacao.prefeitura.sp.gov.br/leis/lei-20000-de-19-de-julho-de-2007" TargetMode="External"/><Relationship Id="rId305" Type="http://schemas.openxmlformats.org/officeDocument/2006/relationships/hyperlink" Target="https://legislacao.prefeitura.sp.gov.br/leis/lei-20000-de-19-de-julho-de-2007" TargetMode="External"/><Relationship Id="rId347" Type="http://schemas.openxmlformats.org/officeDocument/2006/relationships/hyperlink" Target="https://pesquisa-eaesp.fgv.br/sites/gvpesquisa.fgv.br/files/arquivos/accountability_nos_atos_da_administracao_publica_federal_brasileira.pdf" TargetMode="External"/><Relationship Id="rId44" Type="http://schemas.openxmlformats.org/officeDocument/2006/relationships/hyperlink" Target="http://www.planalto.gov.br/ccivil_03/constituicao/constituicao.htm" TargetMode="External"/><Relationship Id="rId86" Type="http://schemas.openxmlformats.org/officeDocument/2006/relationships/hyperlink" Target="https://www.google.com/search?q=https%3A//sei.prefeitura.sp.gov.br/sei/controlador.php%3Facao%3Dprocedimento_trabalhar%26acao_origem%3Dprotocolo_pesquisa_rapida%26id_protocolo%3D89732464%26infra_sistema%3D100000100%26infra_unidade_atual%3D110002104%26infra_hash%3Dcfc2f3d07f679c4846c64e2f55c732dd06d0317783433d409888c86ed4783919%23" TargetMode="External"/><Relationship Id="rId151" Type="http://schemas.openxmlformats.org/officeDocument/2006/relationships/hyperlink" Target="http://portal.mec.gov.br/dmdocuments/cnecp_003.pdf" TargetMode="External"/><Relationship Id="rId389" Type="http://schemas.openxmlformats.org/officeDocument/2006/relationships/hyperlink" Target="https://www.google.com/search?q=https%3A//ppf.adv.br/conteudo/imunidade-tributaria-reciproca-e-imovel-publico-cedido-a-particular" TargetMode="External"/><Relationship Id="rId193" Type="http://schemas.openxmlformats.org/officeDocument/2006/relationships/hyperlink" Target="https://www.migalhas.com.br/depeso/344058/municipio-de-sao-paulo-retira-consulta-do-valor-venal-de-referencia" TargetMode="External"/><Relationship Id="rId207" Type="http://schemas.openxmlformats.org/officeDocument/2006/relationships/hyperlink" Target="https://economia.uol.com.br/noticias/agencia-%20brasil/2024/01/17/concentracao-de-renda-bate-recorde-historico-no-brasil-diz-pesquisa.htm" TargetMode="External"/><Relationship Id="rId249" Type="http://schemas.openxmlformats.org/officeDocument/2006/relationships/hyperlink" Target="https://legislacao.prefeitura.sp.gov.br/leis/lei-20000-de-19-de-julho-de-2007" TargetMode="External"/><Relationship Id="rId414" Type="http://schemas.openxmlformats.org/officeDocument/2006/relationships/hyperlink" Target="https://www.planalto.gov.br/ccivil_03/leis/2002/l10406compilada.htm" TargetMode="External"/><Relationship Id="rId456" Type="http://schemas.openxmlformats.org/officeDocument/2006/relationships/hyperlink" Target="https://portal.stf.jus.br/jurisprudenciaRepercussao/verAndamentoProcesso.asp?incidente=6048634&amp;numeroProcesso=1298647&amp;classeProcesso=RE&amp;numeroTema=1118" TargetMode="External"/><Relationship Id="rId13" Type="http://schemas.openxmlformats.org/officeDocument/2006/relationships/hyperlink" Target="http://www.defensoria.sp.def.br/documents/20122/b042ae95-a01f-3040-c5e9-4f85cde1d116" TargetMode="External"/><Relationship Id="rId109" Type="http://schemas.openxmlformats.org/officeDocument/2006/relationships/hyperlink" Target="https://www.migalhas.com.br/depeso/297334/a-tributacao-de-lucros-e-dividendos-e-seus-potenciais-efeitostributarios-e-trabalhistas-para-o-mercado" TargetMode="External"/><Relationship Id="rId260" Type="http://schemas.openxmlformats.org/officeDocument/2006/relationships/hyperlink" Target="https://legislacao.prefeitura.sp.gov.br/leis/lei-20000-de-19-de-julho-de-2007" TargetMode="External"/><Relationship Id="rId316" Type="http://schemas.openxmlformats.org/officeDocument/2006/relationships/hyperlink" Target="https://legislacao.prefeitura.sp.gov.br/leis/lei-14493-de-9-de-agosto-de-2007" TargetMode="External"/><Relationship Id="rId55" Type="http://schemas.openxmlformats.org/officeDocument/2006/relationships/hyperlink" Target="https://doi.org/10.12660/rda.v247.2008.41549" TargetMode="External"/><Relationship Id="rId97" Type="http://schemas.openxmlformats.org/officeDocument/2006/relationships/hyperlink" Target="http://www.planalto.gov.br/ccivil_03/leis/l5172compilado.htm" TargetMode="External"/><Relationship Id="rId120" Type="http://schemas.openxmlformats.org/officeDocument/2006/relationships/hyperlink" Target="http://www.planalto.gov.br/ccivil_03/leis/l6404consol.htm" TargetMode="External"/><Relationship Id="rId358" Type="http://schemas.openxmlformats.org/officeDocument/2006/relationships/hyperlink" Target="https://legislacao.prefeitura.sp.gov.br/leis/decreto-61928-de-25-de-outubro-de-2022" TargetMode="External"/><Relationship Id="rId162" Type="http://schemas.openxmlformats.org/officeDocument/2006/relationships/hyperlink" Target="https://legislacao.prefeitura.sp.gov.br/leis/decreto-59749-de-9-de-setembro-de-2020/consolidado" TargetMode="External"/><Relationship Id="rId218" Type="http://schemas.openxmlformats.org/officeDocument/2006/relationships/hyperlink" Target="http://www.planalto.gov.br/" TargetMode="External"/><Relationship Id="rId425" Type="http://schemas.openxmlformats.org/officeDocument/2006/relationships/hyperlink" Target="https://www5.tjmg.jus.br/jurisprudencia/pesquisaNumeroCNJEspelhoAcordao.do%3Bjsessionid%3D182EFE2B016B7E376BB8CD21BDA01937.juri_node2?numeroRegistro=1&amp;totalLinhas=1&amp;linhasPorPagina=10&amp;numeroUnico=1.0194.10.011238-3%2F001&amp;pesquisaNumeroCNJ=Pesquisar" TargetMode="External"/><Relationship Id="rId467" Type="http://schemas.openxmlformats.org/officeDocument/2006/relationships/footer" Target="footer29.xml"/><Relationship Id="rId271" Type="http://schemas.openxmlformats.org/officeDocument/2006/relationships/hyperlink" Target="https://legislacao.prefeitura.sp.gov.br/leis/lei-14889-de-20-de-janeiro-de-2009" TargetMode="External"/><Relationship Id="rId24" Type="http://schemas.openxmlformats.org/officeDocument/2006/relationships/hyperlink" Target="http://www.scielo.br/j/aval/a/C9khps4n4BnGj6ZWkZvBk9z/?lang=pt" TargetMode="External"/><Relationship Id="rId66" Type="http://schemas.openxmlformats.org/officeDocument/2006/relationships/hyperlink" Target="https://www.google.com/search?q=https%3A//processo.stj.jus.br/processo/julgamento/eletronico/documento/mediado/%3Fdocumento_tipo%3Dintegra%26documento_sequencial%3D268145217%26registro_numero%3D202100861180%26peticao_numero%3D%26publicacao_data%3D20240902%26formato%3DPDF" TargetMode="External"/><Relationship Id="rId131" Type="http://schemas.openxmlformats.org/officeDocument/2006/relationships/hyperlink" Target="mailto:henrique.eurico.re@gmail.com" TargetMode="External"/><Relationship Id="rId327" Type="http://schemas.openxmlformats.org/officeDocument/2006/relationships/hyperlink" Target="https://legislacao.prefeitura.sp.gov.br/leis/lei-20000-de-19-de-julho-de-2007" TargetMode="External"/><Relationship Id="rId369" Type="http://schemas.openxmlformats.org/officeDocument/2006/relationships/image" Target="media/image13.jpeg"/><Relationship Id="rId173" Type="http://schemas.openxmlformats.org/officeDocument/2006/relationships/hyperlink" Target="http://www.planalto.gov.br/ccivil_03/_ato2019-" TargetMode="External"/><Relationship Id="rId229" Type="http://schemas.openxmlformats.org/officeDocument/2006/relationships/hyperlink" Target="http://www.planalto.gov.br/ccivil_03/_ato2015-2018/2015/lei/l13204.htm" TargetMode="External"/><Relationship Id="rId380" Type="http://schemas.openxmlformats.org/officeDocument/2006/relationships/hyperlink" Target="https://gestaourbana.prefeitura.sp.gov.br/wp-content/uploads/2023/02/06_Funcao-Social-da-Propriedade-e-Retrofit.pdf" TargetMode="External"/><Relationship Id="rId436" Type="http://schemas.openxmlformats.org/officeDocument/2006/relationships/footer" Target="footer10.xml"/><Relationship Id="rId240" Type="http://schemas.openxmlformats.org/officeDocument/2006/relationships/hyperlink" Target="http://www.teses.usp.br/teses/disponiveis/2/2134/tde-26052010-" TargetMode="External"/><Relationship Id="rId478" Type="http://schemas.openxmlformats.org/officeDocument/2006/relationships/fontTable" Target="fontTable.xml"/><Relationship Id="rId35" Type="http://schemas.openxmlformats.org/officeDocument/2006/relationships/hyperlink" Target="http://www.planalto.gov.br/ccivil_03/LEIS/2002/L10406compilada.htm" TargetMode="External"/><Relationship Id="rId77" Type="http://schemas.openxmlformats.org/officeDocument/2006/relationships/hyperlink" Target="https://g1.globo.com/sp/sao-paulo/noticia/2024/03/05/psol-e-pt-protocolam-pedido-de-cpi-na-camara-de-sp-e-investigacao-no-mp-sobre-suspeita-de-conluio-em-contratos-de-obras-emergenciais-de-nunes.ghtml" TargetMode="External"/><Relationship Id="rId100" Type="http://schemas.openxmlformats.org/officeDocument/2006/relationships/hyperlink" Target="http://hdl.handle.net/10400.5/12349" TargetMode="External"/><Relationship Id="rId282" Type="http://schemas.openxmlformats.org/officeDocument/2006/relationships/hyperlink" Target="https://legislacao.prefeitura.sp.gov.br/leis/lei-20000-de-19-de-julho-de-2007" TargetMode="External"/><Relationship Id="rId338" Type="http://schemas.openxmlformats.org/officeDocument/2006/relationships/hyperlink" Target="mailto:romulo.redondo1@gmail.com" TargetMode="External"/><Relationship Id="rId8" Type="http://schemas.openxmlformats.org/officeDocument/2006/relationships/image" Target="media/image2.png"/><Relationship Id="rId142" Type="http://schemas.openxmlformats.org/officeDocument/2006/relationships/footer" Target="footer6.xml"/><Relationship Id="rId184" Type="http://schemas.openxmlformats.org/officeDocument/2006/relationships/hyperlink" Target="http://legislacao.prefeitura.sp.gov.br/leis/lei-13402-de-05-de-agosto-de-2002" TargetMode="External"/><Relationship Id="rId391" Type="http://schemas.openxmlformats.org/officeDocument/2006/relationships/hyperlink" Target="mailto:yasmineramos01@gmail.com" TargetMode="External"/><Relationship Id="rId405" Type="http://schemas.openxmlformats.org/officeDocument/2006/relationships/hyperlink" Target="https://www.google.com/search?q=https%3A//www2.camara.leg.br/legin/fed/declei/1930-1939/decreto-lei-710-17-setembro-1938-358386-publicacaooriginal-1-pe.html%23%3A~%3Atext%3DReorganiza%2520a%2520Diretoria%2520do%2520Dom%25C3%25ADnio%2520da%2520Uni%25C3%25A3o.%26text%3Dos%2520bens%2520dos%2520devedores%2520da%2Cna%2520forma%2520do%2520C%25C3%25B3digo%2520Civil" TargetMode="External"/><Relationship Id="rId447" Type="http://schemas.openxmlformats.org/officeDocument/2006/relationships/footer" Target="footer20.xml"/><Relationship Id="rId251" Type="http://schemas.openxmlformats.org/officeDocument/2006/relationships/hyperlink" Target="https://legislacao.prefeitura.sp.gov.br/leis/lei-20000-de-19-de-julho-de-2007" TargetMode="External"/><Relationship Id="rId46" Type="http://schemas.openxmlformats.org/officeDocument/2006/relationships/hyperlink" Target="http://www.planalto.gov.br/ccivil_03/_ato2019-2022/2021/lei/l14133.htm" TargetMode="External"/><Relationship Id="rId293" Type="http://schemas.openxmlformats.org/officeDocument/2006/relationships/hyperlink" Target="https://legislacao.prefeitura.sp.gov.br/leis/lei-20000-de-19-de-julho-de-2007" TargetMode="External"/><Relationship Id="rId307" Type="http://schemas.openxmlformats.org/officeDocument/2006/relationships/hyperlink" Target="https://legislacao.prefeitura.sp.gov.br/leis/lei-20000-de-19-de-julho-de-2007" TargetMode="External"/><Relationship Id="rId349" Type="http://schemas.openxmlformats.org/officeDocument/2006/relationships/hyperlink" Target="https://enciclopediajuridica.pucsp.br/verbete/541/edicao-2/advocacia-publica-" TargetMode="External"/><Relationship Id="rId88" Type="http://schemas.openxmlformats.org/officeDocument/2006/relationships/hyperlink" Target="http://bit.ly/37iGx5Z" TargetMode="External"/><Relationship Id="rId111" Type="http://schemas.openxmlformats.org/officeDocument/2006/relationships/hyperlink" Target="https://www.cnm.org.br/biblioteca/exibe/2851" TargetMode="External"/><Relationship Id="rId153" Type="http://schemas.openxmlformats.org/officeDocument/2006/relationships/hyperlink" Target="https://media.ceert.org.br/portal-4/pdf/plano.pdf" TargetMode="External"/><Relationship Id="rId195" Type="http://schemas.openxmlformats.org/officeDocument/2006/relationships/hyperlink" Target="https://www.conjur.com.br/2022-out-28/questao-processual-ameaca-tese-stj-base-calculo-itbi/" TargetMode="External"/><Relationship Id="rId209" Type="http://schemas.openxmlformats.org/officeDocument/2006/relationships/hyperlink" Target="http://www.cjf.jus.br/caju/FUNDIARIA-2.pdf" TargetMode="External"/><Relationship Id="rId360" Type="http://schemas.openxmlformats.org/officeDocument/2006/relationships/hyperlink" Target="https://legislacao.prefeitura.sp.gov.br/leis/lei-0-de-04-de-abril-de-1990" TargetMode="External"/><Relationship Id="rId416" Type="http://schemas.openxmlformats.org/officeDocument/2006/relationships/hyperlink" Target="https://www.google.com/search?q=https%3A//processo.stj.jus.br/processo/monocraticas/decisoes/%3Fnum_registro%3D201502352360%26dt_publicacao%3D05/08/2019" TargetMode="External"/><Relationship Id="rId220" Type="http://schemas.openxmlformats.org/officeDocument/2006/relationships/hyperlink" Target="mailto:rentemr@gmail.com" TargetMode="External"/><Relationship Id="rId458" Type="http://schemas.openxmlformats.org/officeDocument/2006/relationships/hyperlink" Target="https://portal.stf.jus.br/jurisprudenciaRepercussao/verAndamentoProcesso.asp?incidente=6048634&amp;numeroProcesso=1298647&amp;classeProcesso=RE&amp;numeroTema=1118" TargetMode="External"/><Relationship Id="rId15" Type="http://schemas.openxmlformats.org/officeDocument/2006/relationships/hyperlink" Target="mailto:rangotti@prefeitura.sp.gov.br" TargetMode="External"/><Relationship Id="rId57" Type="http://schemas.openxmlformats.org/officeDocument/2006/relationships/hyperlink" Target="https://schreiber.adv.br/downloads/funcao-social-da-propriedade-na-pratica-jurisprudencial-brasileira.pdf" TargetMode="External"/><Relationship Id="rId262" Type="http://schemas.openxmlformats.org/officeDocument/2006/relationships/hyperlink" Target="https://legislacao.prefeitura.sp.gov.br/leis/lei-20000-de-19-de-julho-de-2007" TargetMode="External"/><Relationship Id="rId318" Type="http://schemas.openxmlformats.org/officeDocument/2006/relationships/hyperlink" Target="https://legislacao.prefeitura.sp.gov.br/leis/lei-20000-de-19-de-julho-de-2007" TargetMode="External"/><Relationship Id="rId99" Type="http://schemas.openxmlformats.org/officeDocument/2006/relationships/hyperlink" Target="http://www.planalto.gov.br/ccivil_03/leis/l5172compilado.htm" TargetMode="External"/><Relationship Id="rId122" Type="http://schemas.openxmlformats.org/officeDocument/2006/relationships/hyperlink" Target="https://www.gov.br/receitafederal" TargetMode="External"/><Relationship Id="rId164" Type="http://schemas.openxmlformats.org/officeDocument/2006/relationships/image" Target="media/image9.png"/><Relationship Id="rId371" Type="http://schemas.openxmlformats.org/officeDocument/2006/relationships/hyperlink" Target="https://www.planalto.gov.br/ccivil_03/decreto-lei/del3365.htm" TargetMode="External"/><Relationship Id="rId427" Type="http://schemas.openxmlformats.org/officeDocument/2006/relationships/hyperlink" Target="https://www.google.com/search?q=https%3A//www.emerj.tjrj.jus.br/paginas/trabalhos_conclusao/1semestre2015/pdf/JessicaFernandesRosina.pdf" TargetMode="External"/><Relationship Id="rId469" Type="http://schemas.openxmlformats.org/officeDocument/2006/relationships/footer" Target="footer31.xml"/><Relationship Id="rId26" Type="http://schemas.openxmlformats.org/officeDocument/2006/relationships/hyperlink" Target="https://www.prefeitura.sp.gov.br/cidade/secretarias/upload/procuradoria_geral/cejur/Projeto%20Pedagogico.pdf" TargetMode="External"/><Relationship Id="rId231" Type="http://schemas.openxmlformats.org/officeDocument/2006/relationships/hyperlink" Target="http://www.planalto.gov.br/ccivil_03/_ato2015-2018/2015/lei/l13204.htm" TargetMode="External"/><Relationship Id="rId273" Type="http://schemas.openxmlformats.org/officeDocument/2006/relationships/hyperlink" Target="https://legislacao.prefeitura.sp.gov.br/leis/lei-20000-de-19-de-julho-de-2007" TargetMode="External"/><Relationship Id="rId329" Type="http://schemas.openxmlformats.org/officeDocument/2006/relationships/hyperlink" Target="mailto:renato.s.oliveira.br@gmail.com" TargetMode="External"/><Relationship Id="rId480" Type="http://schemas.openxmlformats.org/officeDocument/2006/relationships/theme" Target="theme/theme1.xml"/><Relationship Id="rId68" Type="http://schemas.openxmlformats.org/officeDocument/2006/relationships/hyperlink" Target="https://www.google.com/search?q=https%3A//processo.stj.jus.br/processo/julgamento/eletronico/documento/mediado/%3Fdocumento_tipo%3Dintegra%26documento_sequencial%3D268145217%26registro_numero%3D202100861180%26peticao_numero%3D%26publicacao_data%3D20240902%26formato%3DPDF" TargetMode="External"/><Relationship Id="rId133" Type="http://schemas.openxmlformats.org/officeDocument/2006/relationships/hyperlink" Target="http://www.planalto.gov.br/ccivil_03/Constituicao/Constituicao24.htm" TargetMode="External"/><Relationship Id="rId175" Type="http://schemas.openxmlformats.org/officeDocument/2006/relationships/hyperlink" Target="http://www.wto.org/english/docs_e/legal_e/27-trips_01_e.htm" TargetMode="External"/><Relationship Id="rId340" Type="http://schemas.openxmlformats.org/officeDocument/2006/relationships/hyperlink" Target="https://www.planalto.gov.br/ccivil_03/_Ato2019-2022/2019/Decreto/D9830.htm" TargetMode="External"/><Relationship Id="rId200" Type="http://schemas.openxmlformats.org/officeDocument/2006/relationships/hyperlink" Target="https://portal.stf.jus.br/processos/downloadPeca.asp?id=15362009287&amp;ext=.pdf" TargetMode="External"/><Relationship Id="rId382" Type="http://schemas.openxmlformats.org/officeDocument/2006/relationships/hyperlink" Target="https://legislacao.prefeitura.sp.gov.br/leis/lei-16050-de-31-de-julho-de-2014" TargetMode="External"/><Relationship Id="rId438" Type="http://schemas.openxmlformats.org/officeDocument/2006/relationships/footer" Target="footer12.xml"/><Relationship Id="rId242" Type="http://schemas.openxmlformats.org/officeDocument/2006/relationships/hyperlink" Target="https://legislacao.prefeitura.sp.gov.br/" TargetMode="External"/><Relationship Id="rId284" Type="http://schemas.openxmlformats.org/officeDocument/2006/relationships/hyperlink" Target="https://legislacao.prefeitura.sp.gov.br/leis/lei-20000-de-19-de-julho-de-2007" TargetMode="External"/><Relationship Id="rId37" Type="http://schemas.openxmlformats.org/officeDocument/2006/relationships/hyperlink" Target="mailto:anaflaviaac93@gmail.com" TargetMode="External"/><Relationship Id="rId79" Type="http://schemas.openxmlformats.org/officeDocument/2006/relationships/hyperlink" Target="https://www.metropoles.com/sao-paulo/mpsp-apura-irregularidades-em-36-contratos-sem-licitacao-da-prefeitura" TargetMode="External"/><Relationship Id="rId102" Type="http://schemas.openxmlformats.org/officeDocument/2006/relationships/hyperlink" Target="https://www.jusbrasil.com.br/legislacao/773841428/constitui&#231;&#227;o-federal-constitui&#231;&#227;o-da-republica-federativa-do-brasil-1988" TargetMode="External"/><Relationship Id="rId144" Type="http://schemas.openxmlformats.org/officeDocument/2006/relationships/hyperlink" Target="https://www.planalto.gov.br/ccivil_03/leis/L9394.htm" TargetMode="External"/><Relationship Id="rId90" Type="http://schemas.openxmlformats.org/officeDocument/2006/relationships/hyperlink" Target="http://www.revistas.usp.br/rfdusp/article/view/67487" TargetMode="External"/><Relationship Id="rId186" Type="http://schemas.openxmlformats.org/officeDocument/2006/relationships/hyperlink" Target="https://legislacao.prefeitura.sp.gov.br/leis/lei-14125-de-29-de-dezembro-de-2005" TargetMode="External"/><Relationship Id="rId351" Type="http://schemas.openxmlformats.org/officeDocument/2006/relationships/hyperlink" Target="https://www2.senado.leg.br/bdsf/handle/id/596860" TargetMode="External"/><Relationship Id="rId393" Type="http://schemas.openxmlformats.org/officeDocument/2006/relationships/hyperlink" Target="https://www2.camara.leg.br/legin/fed/decret/1930-1939/decreto-19924-27-abril-1931-514651-publicacaooriginal-1-pe.html" TargetMode="External"/><Relationship Id="rId407" Type="http://schemas.openxmlformats.org/officeDocument/2006/relationships/hyperlink" Target="https://www.google.com/search?q=https%3A//www2.camara.leg.br/legin/fed/declei/1940-1949/decreto-lei-9760-5-setembro-1946-417540-publicacaooriginal-1-pe.html%23%3A~%3Atext%3DDisp%25C3%25B5e%2520sobre%2520os%2520bens%2520im%25C3%25B3veis%2520da%2520Uni%25C3%25A3o%2520d%25C3%25A1%2520outras%2520provid%25C3%25AAncais.%26text%3Dos%2520que%2520tenham%2520sido%2520a%2Clei%252C%2520incorporados%2520ao%2520seu%2520patrim%25C3%25B4nio" TargetMode="External"/><Relationship Id="rId449" Type="http://schemas.openxmlformats.org/officeDocument/2006/relationships/footer" Target="footer22.xml"/><Relationship Id="rId211" Type="http://schemas.openxmlformats.org/officeDocument/2006/relationships/hyperlink" Target="http://www.mpgo.mp.br/boletimdompgo/2020/07-jul/artigos/" TargetMode="External"/><Relationship Id="rId253" Type="http://schemas.openxmlformats.org/officeDocument/2006/relationships/hyperlink" Target="https://legislacao.prefeitura.sp.gov.br/leis/lei-20000-de-19-de-julho-de-2007" TargetMode="External"/><Relationship Id="rId295" Type="http://schemas.openxmlformats.org/officeDocument/2006/relationships/hyperlink" Target="https://legislacao.prefeitura.sp.gov.br/leis/lei-20000-de-19-de-julho-de-2007" TargetMode="External"/><Relationship Id="rId309" Type="http://schemas.openxmlformats.org/officeDocument/2006/relationships/hyperlink" Target="https://legislacao.prefeitura.sp.gov.br/leis/lei-20000-de-19-de-julho-de-2007" TargetMode="External"/><Relationship Id="rId460" Type="http://schemas.openxmlformats.org/officeDocument/2006/relationships/hyperlink" Target="https://www.gov.br/gestao/pt-br/assuntos/organizacoes-sociais" TargetMode="External"/><Relationship Id="rId48" Type="http://schemas.openxmlformats.org/officeDocument/2006/relationships/hyperlink" Target="http://www.youtube.com/watch?v" TargetMode="External"/><Relationship Id="rId113" Type="http://schemas.openxmlformats.org/officeDocument/2006/relationships/hyperlink" Target="https://forbes.com.br/forbes-money/2021/07/por-que-o-brasil-e-um-dos-poucospaises-do-mundo-que-nao-tributa-dividendos/" TargetMode="External"/><Relationship Id="rId320" Type="http://schemas.openxmlformats.org/officeDocument/2006/relationships/hyperlink" Target="https://legislacao.prefeitura.sp.gov.br/leis/lei-20000-de-19-de-julho-de-2007" TargetMode="External"/><Relationship Id="rId155" Type="http://schemas.openxmlformats.org/officeDocument/2006/relationships/hyperlink" Target="https://leismunicipais.com.br/lei-organica-sao-paulo-sp" TargetMode="External"/><Relationship Id="rId197" Type="http://schemas.openxmlformats.org/officeDocument/2006/relationships/hyperlink" Target="https://www.conjur.com.br/2022-out-28/questao-processual-ameaca-tese-stj-base-calculo-itbi/" TargetMode="External"/><Relationship Id="rId362" Type="http://schemas.openxmlformats.org/officeDocument/2006/relationships/hyperlink" Target="http://www.saopaulo.sp.leg.br/especiaiscmsp/como-" TargetMode="External"/><Relationship Id="rId418" Type="http://schemas.openxmlformats.org/officeDocument/2006/relationships/hyperlink" Target="https://www.google.com/search?q=https%3A//processo.stj.jus.br/jurisprudencia/externo/informativo/%3Facao%3Dpesquisarumaedicao%26livre%3D0752.cod" TargetMode="External"/><Relationship Id="rId222" Type="http://schemas.openxmlformats.org/officeDocument/2006/relationships/footer" Target="footer7.xml"/><Relationship Id="rId264" Type="http://schemas.openxmlformats.org/officeDocument/2006/relationships/hyperlink" Target="https://legislacao.prefeitura.sp.gov.br/leis/lei-17502-de-3-de-novembro-de-2020" TargetMode="External"/><Relationship Id="rId471" Type="http://schemas.openxmlformats.org/officeDocument/2006/relationships/hyperlink" Target="http://www.ojp.gov/ncjrs/virtual-library/abstracts/settling-things-six-case-studies-environmental-mediation" TargetMode="External"/><Relationship Id="rId17" Type="http://schemas.openxmlformats.org/officeDocument/2006/relationships/hyperlink" Target="http://www.prefeitura.sp.gov.br/cidade/secretarias/procuradoria_geral/cejur/escola_superior_de_direito_" TargetMode="External"/><Relationship Id="rId59" Type="http://schemas.openxmlformats.org/officeDocument/2006/relationships/hyperlink" Target="https://schreiber.adv.br/downloads/funcao-social-da-propriedade-na-pratica-jurisprudencial-brasileira.pdf" TargetMode="External"/><Relationship Id="rId124" Type="http://schemas.openxmlformats.org/officeDocument/2006/relationships/hyperlink" Target="http://www.ipea.gov.br/portal/index.php?option=com_content&amp;view=article&amp;id=39017&amp;Ite" TargetMode="External"/><Relationship Id="rId70" Type="http://schemas.openxmlformats.org/officeDocument/2006/relationships/hyperlink" Target="https://portal.stf.jus.br/processos/detalhe.asp?incidente=6201037" TargetMode="External"/><Relationship Id="rId166" Type="http://schemas.openxmlformats.org/officeDocument/2006/relationships/hyperlink" Target="http://www.planalto.gov.br/ccivil_03/leis/L8666consimpressao.htm" TargetMode="External"/><Relationship Id="rId331" Type="http://schemas.openxmlformats.org/officeDocument/2006/relationships/hyperlink" Target="http://www.planalto.gov.br/ccivil_03/_ato2019-2022/2021/lei/l14133.htm" TargetMode="External"/><Relationship Id="rId373" Type="http://schemas.openxmlformats.org/officeDocument/2006/relationships/hyperlink" Target="https://www2.senado.leg.br/bdsf/bitstream/handle/id/176504/000518634.pdf?sequence=3&amp;isAllowed=y" TargetMode="External"/><Relationship Id="rId429" Type="http://schemas.openxmlformats.org/officeDocument/2006/relationships/hyperlink" Target="mailto:antoniomeira@outlook.com.br" TargetMode="External"/><Relationship Id="rId1" Type="http://schemas.openxmlformats.org/officeDocument/2006/relationships/numbering" Target="numbering.xml"/><Relationship Id="rId233" Type="http://schemas.openxmlformats.org/officeDocument/2006/relationships/hyperlink" Target="http://www.planalto.gov.br/ccivil_03/leis/l8069.htm" TargetMode="External"/><Relationship Id="rId440" Type="http://schemas.openxmlformats.org/officeDocument/2006/relationships/footer" Target="footer14.xml"/><Relationship Id="rId28" Type="http://schemas.openxmlformats.org/officeDocument/2006/relationships/hyperlink" Target="http://www.researchgate.net/publication/363726585_Do_ensinar_e_do_aprender_Direi" TargetMode="External"/><Relationship Id="rId275" Type="http://schemas.openxmlformats.org/officeDocument/2006/relationships/hyperlink" Target="https://legislacao.prefeitura.sp.gov.br/leis/lei-20000-de-19-de-julho-de-2007" TargetMode="External"/><Relationship Id="rId300" Type="http://schemas.openxmlformats.org/officeDocument/2006/relationships/hyperlink" Target="https://legislacao.prefeitura.sp.gov.br/leis/lei-20000-de-19-de-julho-de-2007" TargetMode="External"/><Relationship Id="rId482" Type="http://schemas.openxmlformats.org/officeDocument/2006/relationships/customXml" Target="../customXml/item2.xml"/><Relationship Id="rId81" Type="http://schemas.openxmlformats.org/officeDocument/2006/relationships/hyperlink" Target="https://legislacao.prefeitura.sp.gov.br/leis/lei-0-de-04-de-abril-de-1990" TargetMode="External"/><Relationship Id="rId135" Type="http://schemas.openxmlformats.org/officeDocument/2006/relationships/hyperlink" Target="http://www.planalto.gov.br/ccivil_03/constituicao/constituicao34.htm" TargetMode="External"/><Relationship Id="rId177" Type="http://schemas.openxmlformats.org/officeDocument/2006/relationships/hyperlink" Target="http://www.wipo.int/edocs/pubdocs/en/wipo-pub-941-2023-en-world-intellectual-" TargetMode="External"/><Relationship Id="rId342" Type="http://schemas.openxmlformats.org/officeDocument/2006/relationships/hyperlink" Target="https://www.planalto.gov.br/ccivil_03/decreto-lei/del4657compilado.htm" TargetMode="External"/><Relationship Id="rId384" Type="http://schemas.openxmlformats.org/officeDocument/2006/relationships/footer" Target="footer8.xml"/><Relationship Id="rId202" Type="http://schemas.openxmlformats.org/officeDocument/2006/relationships/hyperlink" Target="mailto:pauloeduardo.mces@outlook.com" TargetMode="External"/><Relationship Id="rId244" Type="http://schemas.openxmlformats.org/officeDocument/2006/relationships/hyperlink" Target="https://legislacao.prefeitura.sp.gov.br/leis/lei-20000-de-19-de-julho-de-2007" TargetMode="External"/><Relationship Id="rId39" Type="http://schemas.openxmlformats.org/officeDocument/2006/relationships/footer" Target="footer4.xml"/><Relationship Id="rId286" Type="http://schemas.openxmlformats.org/officeDocument/2006/relationships/hyperlink" Target="https://legislacao.prefeitura.sp.gov.br/leis/lei-20000-de-19-de-julho-de-2007" TargetMode="External"/><Relationship Id="rId451" Type="http://schemas.openxmlformats.org/officeDocument/2006/relationships/footer" Target="footer24.xml"/><Relationship Id="rId50" Type="http://schemas.openxmlformats.org/officeDocument/2006/relationships/hyperlink" Target="mailto:andersonmendes21@yahoo.com.br" TargetMode="External"/><Relationship Id="rId104" Type="http://schemas.openxmlformats.org/officeDocument/2006/relationships/hyperlink" Target="https://www.jusbrasil.com.br/legislacao/109277/lei-do-imposto-de-renda-das-pessoas-juridicas-lei-9249-95" TargetMode="External"/><Relationship Id="rId146" Type="http://schemas.openxmlformats.org/officeDocument/2006/relationships/hyperlink" Target="http://www.planalto.gov.br/ccivil_03/Constituicao/" TargetMode="External"/><Relationship Id="rId188" Type="http://schemas.openxmlformats.org/officeDocument/2006/relationships/hyperlink" Target="https://legislacao.prefeitura.sp.gov.br/leis/lei-14125-de-29-de-dezembro-de-2005" TargetMode="External"/><Relationship Id="rId311" Type="http://schemas.openxmlformats.org/officeDocument/2006/relationships/hyperlink" Target="https://legislacao.prefeitura.sp.gov.br/leis/lei-20000-de-19-de-julho-de-2007" TargetMode="External"/><Relationship Id="rId353" Type="http://schemas.openxmlformats.org/officeDocument/2006/relationships/hyperlink" Target="https://www.tjdft.jus.br/institucional/imprensa/campanhas-e-produtos/artigos-discursos-e-entrevistas/artigos/2018/consideracoes-sobre-a-teoria-dos-freios-e-contrapesos-checks-and-balances-system-juiza-oriana-piske" TargetMode="External"/><Relationship Id="rId395" Type="http://schemas.openxmlformats.org/officeDocument/2006/relationships/hyperlink" Target="https://www.google.com/search?q=https%3A//www2.camara.leg.br/legin/fed/decret/1930-1939/decreto-22785-31-maio-1933-505782-publicacaooriginal-1-pe.html%23%3A~%3Atext%3DDecreta%253A-%2CArt.%2Cn%25C3%25A3o%2520s%25C3%25A3o%2520sujeitos%2520a%2520usucapi%25C3%25A3o" TargetMode="External"/><Relationship Id="rId409" Type="http://schemas.openxmlformats.org/officeDocument/2006/relationships/hyperlink" Target="https://www.google.com/search?q=https%3A//www2.camara.leg.br/legin/fed/declei/1940-1949/decreto-lei-9760-5-setembro-1946-417540-publicacaooriginal-1-pe.html%23%3A~%3Atext%3DDisp%25C3%25B5e%2520sobre%2520os%2520bens%2520im%25C3%25B3veis%2520da%2520Uni%25C3%25A3o%2520d%25C3%25A1%2520outras%2520provid%25C3%25AAncais.%26text%3Dos%2520que%2520tenham%2520sido%2520a%2Clei%252C%2520incorporados%2520ao%2520seu%2520patrim%25C3%25B4nio" TargetMode="External"/><Relationship Id="rId92" Type="http://schemas.openxmlformats.org/officeDocument/2006/relationships/hyperlink" Target="http://www.planalto.gov.br/ccivil_03/leis/l5172compilado.htm" TargetMode="External"/><Relationship Id="rId213" Type="http://schemas.openxmlformats.org/officeDocument/2006/relationships/hyperlink" Target="http://www.teses.usp.br/teses/disponiveis/2/2134/tde-06112020-150207/pt-" TargetMode="External"/><Relationship Id="rId420" Type="http://schemas.openxmlformats.org/officeDocument/2006/relationships/hyperlink" Target="https://jurisprudencia.stf.jus.br/pages/search/despacho418284/false" TargetMode="External"/><Relationship Id="rId255" Type="http://schemas.openxmlformats.org/officeDocument/2006/relationships/hyperlink" Target="https://legislacao.prefeitura.sp.gov.br/leis/lei-20000-de-19-de-julho-de-2007" TargetMode="External"/><Relationship Id="rId297" Type="http://schemas.openxmlformats.org/officeDocument/2006/relationships/hyperlink" Target="https://legislacao.prefeitura.sp.gov.br/leis/lei-20000-de-19-de-julho-de-2007" TargetMode="External"/><Relationship Id="rId462" Type="http://schemas.openxmlformats.org/officeDocument/2006/relationships/footer" Target="footer26.xml"/><Relationship Id="rId115" Type="http://schemas.openxmlformats.org/officeDocument/2006/relationships/hyperlink" Target="https://www.portaldaindustria.com.br/publicacoes/2020/10/nota-economica-15-o-peso-do-funcionalismopublicono-brasil-em-comparacao-com-outros-paises/" TargetMode="External"/><Relationship Id="rId157" Type="http://schemas.openxmlformats.org/officeDocument/2006/relationships/hyperlink" Target="https://legislacao.prefeitura.sp.gov.br/leis/lei-17950-de-19-de-maio-de-2023/consolidado" TargetMode="External"/><Relationship Id="rId322" Type="http://schemas.openxmlformats.org/officeDocument/2006/relationships/hyperlink" Target="https://legislacao.prefeitura.sp.gov.br/leis/lei-20000-de-19-de-julho-de-2007" TargetMode="External"/><Relationship Id="rId364" Type="http://schemas.openxmlformats.org/officeDocument/2006/relationships/hyperlink" Target="mailto:thaisapelligrino@gmail.com" TargetMode="External"/><Relationship Id="rId61" Type="http://schemas.openxmlformats.org/officeDocument/2006/relationships/hyperlink" Target="http://www.metropoles.com/sao-paulo/mpsp-apura-irregularidades-em-36-contratos-sem-licitacao-da-" TargetMode="External"/><Relationship Id="rId199" Type="http://schemas.openxmlformats.org/officeDocument/2006/relationships/hyperlink" Target="http://www.scielo.br/j/csc/a/cR5fBb9MWJRFmvgn4DhrLgN/?lang=pt" TargetMode="External"/><Relationship Id="rId19" Type="http://schemas.openxmlformats.org/officeDocument/2006/relationships/hyperlink" Target="https://periodicos.feevale.br/seer/index.php/revistaconhecimentoonline/article/view/472" TargetMode="External"/><Relationship Id="rId224" Type="http://schemas.openxmlformats.org/officeDocument/2006/relationships/hyperlink" Target="http://legislacao.prefeitura.sp.gov.br/leis/lei-0-de-04-de-abril-de-1990" TargetMode="External"/><Relationship Id="rId266" Type="http://schemas.openxmlformats.org/officeDocument/2006/relationships/hyperlink" Target="https://legislacao.prefeitura.sp.gov.br/leis/lei-20000-de-19-de-julho-de-2007" TargetMode="External"/><Relationship Id="rId431" Type="http://schemas.openxmlformats.org/officeDocument/2006/relationships/hyperlink" Target="http://www.planalto.gov.br/ccivil_03/leis/2002/l10406compilada.htm" TargetMode="External"/><Relationship Id="rId473" Type="http://schemas.openxmlformats.org/officeDocument/2006/relationships/footer" Target="footer34.xml"/><Relationship Id="rId30" Type="http://schemas.openxmlformats.org/officeDocument/2006/relationships/footer" Target="footer2.xml"/><Relationship Id="rId126" Type="http://schemas.openxmlformats.org/officeDocument/2006/relationships/hyperlink" Target="http://www.portaldaindustria.com.br/publicacoes/2020/10/nota-economica-15-o-peso-" TargetMode="External"/><Relationship Id="rId168" Type="http://schemas.openxmlformats.org/officeDocument/2006/relationships/hyperlink" Target="http://www.planalto.gov.br/cciviL_03/LEIS/L9609.htm" TargetMode="External"/><Relationship Id="rId333" Type="http://schemas.openxmlformats.org/officeDocument/2006/relationships/hyperlink" Target="https://bd.camara.leg.br/bd/items/901987ea-1af4-4dcb-b9b7-9d617e6d5202" TargetMode="External"/><Relationship Id="rId72" Type="http://schemas.openxmlformats.org/officeDocument/2006/relationships/hyperlink" Target="https://www.google.com/search?q=https%3A//pesquisa.apps.tcu.gov.br/documento/acordao-completo/%2A/NUMACORDAO%25253A34%252520ANOACORDAO%25253A2011%252520/DTRELEVANCIA%252520desc%25252C%252520NUMACORDAOINT%252520desc/2" TargetMode="External"/><Relationship Id="rId375" Type="http://schemas.openxmlformats.org/officeDocument/2006/relationships/hyperlink" Target="https://www.planalto.gov.br/ccivil_03/leis/leis_2001/l10257.h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sig w:usb0="00000000" w:usb1="00000000" w:usb2="00000000" w:usb3="00000000" w:csb0="00000000" w:csb1="00000000"/>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917019"/>
    <w:rsid w:val="003E292F"/>
    <w:rsid w:val="00917019"/>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55FA5B0788444E34943FCAE48F75FFB7">
    <w:name w:val="55FA5B0788444E34943FCAE48F75FFB7"/>
    <w:rsid w:val="00917019"/>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3AE93C31DD58540BC4DC1BE34FC29C5" ma:contentTypeVersion="12" ma:contentTypeDescription="Crie um novo documento." ma:contentTypeScope="" ma:versionID="2ecd4ad977dac6615de48d8890bcbb4f">
  <xsd:schema xmlns:xsd="http://www.w3.org/2001/XMLSchema" xmlns:xs="http://www.w3.org/2001/XMLSchema" xmlns:p="http://schemas.microsoft.com/office/2006/metadata/properties" xmlns:ns2="fd17b41e-1427-44bc-a72d-f51a70255959" xmlns:ns3="56fc38ea-433d-4cb5-8e37-2c4a12281d22" targetNamespace="http://schemas.microsoft.com/office/2006/metadata/properties" ma:root="true" ma:fieldsID="824f712aaff3867f9cafb570ffc2be70" ns2:_="" ns3:_="">
    <xsd:import namespace="fd17b41e-1427-44bc-a72d-f51a70255959"/>
    <xsd:import namespace="56fc38ea-433d-4cb5-8e37-2c4a12281d2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d17b41e-1427-44bc-a72d-f51a702559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cc2251a4-284b-4299-a75e-b536127868a7"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_Flow_SignoffStatus" ma:index="19" nillable="true" ma:displayName="Status de liberação" ma:internalName="_x0024_Resources_x003a_core_x002c_Signoff_Status">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6fc38ea-433d-4cb5-8e37-2c4a12281d22"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e4b4005a-b472-4f7b-b06a-2bd3fedef126}" ma:internalName="TaxCatchAll" ma:showField="CatchAllData" ma:web="56fc38ea-433d-4cb5-8e37-2c4a12281d2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Flow_SignoffStatus xmlns="fd17b41e-1427-44bc-a72d-f51a70255959" xsi:nil="true"/>
    <TaxCatchAll xmlns="56fc38ea-433d-4cb5-8e37-2c4a12281d22" xsi:nil="true"/>
    <lcf76f155ced4ddcb4097134ff3c332f xmlns="fd17b41e-1427-44bc-a72d-f51a7025595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869A61C-3E23-4F7F-80CD-77788E2882E6}"/>
</file>

<file path=customXml/itemProps2.xml><?xml version="1.0" encoding="utf-8"?>
<ds:datastoreItem xmlns:ds="http://schemas.openxmlformats.org/officeDocument/2006/customXml" ds:itemID="{D5EA524B-6459-46FB-A8A2-F3060751FEC8}"/>
</file>

<file path=customXml/itemProps3.xml><?xml version="1.0" encoding="utf-8"?>
<ds:datastoreItem xmlns:ds="http://schemas.openxmlformats.org/officeDocument/2006/customXml" ds:itemID="{37A9C82A-D266-44E5-A8B0-26C9E07BC24C}"/>
</file>

<file path=docProps/app.xml><?xml version="1.0" encoding="utf-8"?>
<Properties xmlns="http://schemas.openxmlformats.org/officeDocument/2006/extended-properties" xmlns:vt="http://schemas.openxmlformats.org/officeDocument/2006/docPropsVTypes">
  <Template>Normal.dotm</Template>
  <TotalTime>0</TotalTime>
  <Pages>395</Pages>
  <Words>217123</Words>
  <Characters>1172469</Characters>
  <Application>Microsoft Office Word</Application>
  <DocSecurity>0</DocSecurity>
  <Lines>9770</Lines>
  <Paragraphs>2773</Paragraphs>
  <ScaleCrop>false</ScaleCrop>
  <Company/>
  <LinksUpToDate>false</LinksUpToDate>
  <CharactersWithSpaces>1386819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Vanilde Costa Delgado</dc:creator>
  <cp:lastModifiedBy>D734625</cp:lastModifiedBy>
  <cp:revision>2</cp:revision>
  <dcterms:created xsi:type="dcterms:W3CDTF">2026-05-13T19:13:00Z</dcterms:created>
  <dcterms:modified xsi:type="dcterms:W3CDTF">2026-05-13T19:13:00Z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2025-08-15T00:00:00Z</vt:filetime>
  </property>
  <property fmtid="{D5CDD505-2E9C-101B-9397-08002B2CF9AE}" pid="3" name="LastSaved">
    <vt:filetime>2025-08-15T00:00:00Z</vt:filetime>
  </property>
  <property fmtid="{D5CDD505-2E9C-101B-9397-08002B2CF9AE}" pid="4" name="Producer">
    <vt:lpwstr>iLovePDF</vt:lpwstr>
  </property>
  <property fmtid="{D5CDD505-2E9C-101B-9397-08002B2CF9AE}" pid="5" name="ContentTypeId">
    <vt:lpwstr>0x01010043AE93C31DD58540BC4DC1BE34FC29C5</vt:lpwstr>
  </property>
</Properties>
</file>